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2590C" w14:textId="6EB82C53" w:rsidR="007C0C5B" w:rsidRDefault="00D12B58" w:rsidP="00D12B58">
      <w:pPr>
        <w:pStyle w:val="Pagedecouverture"/>
        <w:rPr>
          <w:noProof/>
        </w:rPr>
      </w:pPr>
      <w:bookmarkStart w:id="0" w:name="LW_BM_COVERPAGE"/>
      <w:r>
        <w:rPr>
          <w:noProof/>
        </w:rPr>
        <w:pict w14:anchorId="45DE0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D613D5-26DC-4C9E-ADDB-121766C35E5E" style="width:455.25pt;height:351.75pt">
            <v:imagedata r:id="rId14" o:title=""/>
          </v:shape>
        </w:pict>
      </w:r>
    </w:p>
    <w:bookmarkEnd w:id="0"/>
    <w:p w14:paraId="02B91152" w14:textId="77777777" w:rsidR="007C0C5B" w:rsidRDefault="007C0C5B" w:rsidP="007C0C5B">
      <w:pPr>
        <w:rPr>
          <w:noProof/>
        </w:rPr>
        <w:sectPr w:rsidR="007C0C5B" w:rsidSect="00D12B58">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28AEF6D6" w14:textId="4E38EE1E" w:rsidR="00A47CC4" w:rsidRDefault="007A05F0" w:rsidP="002F39C3">
      <w:pPr>
        <w:pStyle w:val="Heading1"/>
        <w:numPr>
          <w:ilvl w:val="0"/>
          <w:numId w:val="32"/>
        </w:numPr>
        <w:rPr>
          <w:noProof/>
        </w:rPr>
      </w:pPr>
      <w:bookmarkStart w:id="1" w:name="_GoBack"/>
      <w:bookmarkEnd w:id="1"/>
      <w:r>
        <w:rPr>
          <w:noProof/>
        </w:rPr>
        <w:lastRenderedPageBreak/>
        <w:t>Asigurarea viitorului agriculturii: strategia pentru reînnoirea generațiilor</w:t>
      </w:r>
    </w:p>
    <w:p w14:paraId="718067D0" w14:textId="7A60BEF6" w:rsidR="003529C0" w:rsidRDefault="6F890ED0" w:rsidP="000D0614">
      <w:pPr>
        <w:rPr>
          <w:noProof/>
        </w:rPr>
      </w:pPr>
      <w:r>
        <w:rPr>
          <w:noProof/>
        </w:rPr>
        <w:t xml:space="preserve">Agricultura europeană înseamnă mai mult decât producția de alimente. Fermierii au un rol central pentru securitatea noastră alimentară, sunt aliați importanți în ceea ce privește competitivitatea, acțiunile climatice, protecția mediului și sunt esențiali pentru menținerea vitalității zonelor rurale. Cu toate acestea, agricultura se confruntă cu presiuni serioase, inclusiv cu îmbătrânirea forței de muncă, cu declinul populațiilor rurale și cu un mediu internațional dificil. </w:t>
      </w:r>
    </w:p>
    <w:p w14:paraId="724FD764" w14:textId="799558E6" w:rsidR="00697D31" w:rsidRPr="000C4CD5" w:rsidRDefault="00B66767" w:rsidP="000D0614">
      <w:pPr>
        <w:rPr>
          <w:noProof/>
        </w:rPr>
      </w:pPr>
      <w:r>
        <w:rPr>
          <w:noProof/>
        </w:rPr>
        <w:t>În 2020, vârsta medie a fermierilor din UE era de 57 de ani, doar 12 % dintre aceștia având sub 40 de ani(</w:t>
      </w:r>
      <w:r>
        <w:rPr>
          <w:rStyle w:val="FootnoteReference"/>
          <w:noProof/>
        </w:rPr>
        <w:footnoteReference w:id="2"/>
      </w:r>
      <w:r>
        <w:rPr>
          <w:noProof/>
        </w:rPr>
        <w:t xml:space="preserve">). Din acest grup mai tânăr, doar 2,5 % erau femei. Întrucât securitatea alimentară este o componentă esențială a securității și autonomiei strategice europene mai ample, acestea nu sunt doar efecte negative demografice și, în sens mai larg, societale; ele reprezintă provocări strategice și este responsabilitatea noastră societală să le abordăm. </w:t>
      </w:r>
    </w:p>
    <w:p w14:paraId="57CD5839" w14:textId="437AE380" w:rsidR="00697D31" w:rsidRPr="000C4CD5" w:rsidRDefault="00235EC4" w:rsidP="000D0614">
      <w:pPr>
        <w:rPr>
          <w:noProof/>
        </w:rPr>
      </w:pPr>
      <w:r>
        <w:rPr>
          <w:b/>
          <w:noProof/>
        </w:rPr>
        <w:t xml:space="preserve">Viitorul securității alimentare în Europa se bazează pe o nouă generație dinamică de fermieri și producători primari de alimente. </w:t>
      </w:r>
    </w:p>
    <w:p w14:paraId="69646D19" w14:textId="0A0D9789" w:rsidR="009E17F9" w:rsidRDefault="00C2284F" w:rsidP="000D0614">
      <w:pPr>
        <w:rPr>
          <w:noProof/>
        </w:rPr>
      </w:pPr>
      <w:r>
        <w:rPr>
          <w:noProof/>
        </w:rPr>
        <w:t>Viziunea pentru agricultură și sectorul alimentar(</w:t>
      </w:r>
      <w:r>
        <w:rPr>
          <w:rStyle w:val="FootnoteReference"/>
          <w:noProof/>
        </w:rPr>
        <w:footnoteReference w:id="3"/>
      </w:r>
      <w:r>
        <w:rPr>
          <w:noProof/>
        </w:rPr>
        <w:t xml:space="preserve">) stabilește cadrul pentru abordarea UE de a face agricultura și sectorul primar mai atractive, mai competitive, mai adaptate exigențelor viitorului și mai echitabile. </w:t>
      </w:r>
    </w:p>
    <w:p w14:paraId="50CA91F8" w14:textId="37A8A8BF" w:rsidR="000B245B" w:rsidRDefault="00884F9A" w:rsidP="000D0614">
      <w:pPr>
        <w:rPr>
          <w:noProof/>
        </w:rPr>
      </w:pPr>
      <w:r>
        <w:rPr>
          <w:noProof/>
        </w:rPr>
        <w:t>Prin noua abordare propusă pentru următorul cadru financiar multianual, ni se deschide o oportunitate: politica agricolă comună (PAC) sprijină în mod tradițional tinerii fermieri(</w:t>
      </w:r>
      <w:r>
        <w:rPr>
          <w:rStyle w:val="FootnoteReference"/>
          <w:noProof/>
        </w:rPr>
        <w:footnoteReference w:id="4"/>
      </w:r>
      <w:r>
        <w:rPr>
          <w:noProof/>
        </w:rPr>
        <w:t>) prin măsuri și bugete specifice, inclusiv prin ajutoare pentru instalare, rate mai ridicate ale sprijinului pentru investiții și măsuri de creditare. În cazul în care noua propunere privind PAC post-2027(</w:t>
      </w:r>
      <w:r>
        <w:rPr>
          <w:rStyle w:val="FootnoteReference"/>
          <w:noProof/>
        </w:rPr>
        <w:footnoteReference w:id="5"/>
      </w:r>
      <w:r>
        <w:rPr>
          <w:noProof/>
        </w:rPr>
        <w:t>) va fi adoptată, sprijinul ar putea deveni chiar mai specific și mai ambițios. O serie de măsuri specifice, cum ar fi un pachet de măsuri pentru demarare destinat tinerilor fermieri, o mai bună direcționare a fondurilor prin plăți degresive în favoarea tinerilor fermieri și sprijin pentru investiții, ar contribui la generarea impulsului necesar și ar spori atractivitatea profesiei pentru generațiile mai tinere. PAC post-2027 va beneficia, de asemenea, de sinergii sporite între politicile UE prevăzute în planurile de parteneriat naționale și regionale(</w:t>
      </w:r>
      <w:r>
        <w:rPr>
          <w:rStyle w:val="FootnoteReference"/>
          <w:noProof/>
        </w:rPr>
        <w:footnoteReference w:id="6"/>
      </w:r>
      <w:r>
        <w:rPr>
          <w:noProof/>
        </w:rPr>
        <w:t>), în cadrul cărora statele membre vor beneficia de flexibilitatea necesară pentru a concepe un set cuprinzător de acțiuni în beneficiul tinerilor fermieri în diferite domenii de politică.</w:t>
      </w:r>
    </w:p>
    <w:p w14:paraId="0E974D99" w14:textId="043BE7F8" w:rsidR="00645146" w:rsidRDefault="00645146" w:rsidP="008F31B0">
      <w:pPr>
        <w:rPr>
          <w:noProof/>
        </w:rPr>
      </w:pPr>
      <w:r>
        <w:rPr>
          <w:noProof/>
        </w:rPr>
        <w:t>Această strategie pentru reînnoirea generațiilor în agricultură, o prioritate politică a Comisiei(</w:t>
      </w:r>
      <w:r>
        <w:rPr>
          <w:rStyle w:val="FootnoteReference"/>
          <w:noProof/>
        </w:rPr>
        <w:footnoteReference w:id="7"/>
      </w:r>
      <w:r>
        <w:rPr>
          <w:noProof/>
        </w:rPr>
        <w:t>), acordă prioritate acțiunilor de politică și sprijinului pentru tinerii fermieri și noii fermieri, în special pentru cei cu vârsta sub 40 de ani. Strategia abordează principalele obstacole identificate prin consultări ample cu părțile interesate(</w:t>
      </w:r>
      <w:r>
        <w:rPr>
          <w:rStyle w:val="FootnoteReference"/>
          <w:noProof/>
        </w:rPr>
        <w:footnoteReference w:id="8"/>
      </w:r>
      <w:r>
        <w:rPr>
          <w:noProof/>
        </w:rPr>
        <w:t>), acordând o atenție deosebită tinerilor fermieri și tinerilor din mediul rural, precum și prin date provenite din surse multiple(</w:t>
      </w:r>
      <w:r>
        <w:rPr>
          <w:rStyle w:val="FootnoteReference"/>
          <w:noProof/>
        </w:rPr>
        <w:footnoteReference w:id="9"/>
      </w:r>
      <w:r>
        <w:rPr>
          <w:noProof/>
        </w:rPr>
        <w:t>). De asemenea, strategia oferă sprijin fermierilor în vârstă pentru ca aceștia să își transfere cu demnitate activitatea către următoarea generație de fermieri, încurajând statele membre să asigure sisteme de pensii echitabile și fiabile, în cadrul unui efort mai amplu de promovare a unei dezvoltări rurale reziliente și favorabile incluziunii. Strategia se aliniază la pozițiile exprimate în cadrul Parlamentului European(</w:t>
      </w:r>
      <w:r>
        <w:rPr>
          <w:rStyle w:val="FootnoteReference"/>
          <w:noProof/>
        </w:rPr>
        <w:footnoteReference w:id="10"/>
      </w:r>
      <w:r>
        <w:rPr>
          <w:noProof/>
        </w:rPr>
        <w:t>), al Consiliului(</w:t>
      </w:r>
      <w:r>
        <w:rPr>
          <w:rStyle w:val="FootnoteReference"/>
          <w:noProof/>
        </w:rPr>
        <w:footnoteReference w:id="11"/>
      </w:r>
      <w:r>
        <w:rPr>
          <w:noProof/>
        </w:rPr>
        <w:t>) și la rezultatele dialogului strategic(</w:t>
      </w:r>
      <w:r>
        <w:rPr>
          <w:rStyle w:val="FootnoteReference"/>
          <w:noProof/>
        </w:rPr>
        <w:footnoteReference w:id="12"/>
      </w:r>
      <w:r>
        <w:rPr>
          <w:noProof/>
        </w:rPr>
        <w:t>).</w:t>
      </w:r>
    </w:p>
    <w:p w14:paraId="366F1FCD" w14:textId="078C7427" w:rsidR="002E5443" w:rsidRDefault="00182621" w:rsidP="008F31B0">
      <w:pPr>
        <w:rPr>
          <w:noProof/>
        </w:rPr>
      </w:pPr>
      <w:r>
        <w:rPr>
          <w:noProof/>
        </w:rPr>
        <w:t xml:space="preserve">Zonele rurale situate de-a lungul frontierelor estice ale UE, afectate de războiul de agresiune al Rusiei împotriva Ucrainei, se confruntă cu presiuni socioeconomice și de securitate specifice, care necesită sprijin continuu ca parte a acestui efort mai mare. Asigurarea unei agriculturi durabile, productive și reziliente necesită în prezent acțiuni hotărâte. Dacă nu acționăm acum, tendința de îmbătrânire își va face simțite efectele, făcând mult mai dificilă reînnoirea generațiilor. Sunt necesare acțiuni imediate la nivelul UE, la nivel național și regional, printr-o abordare la nivelul întregii administrații. </w:t>
      </w:r>
    </w:p>
    <w:p w14:paraId="6298D44F" w14:textId="4470B3C0" w:rsidR="005B3424" w:rsidRDefault="00BE6CD8" w:rsidP="008F31B0">
      <w:pPr>
        <w:rPr>
          <w:noProof/>
        </w:rPr>
      </w:pPr>
      <w:r>
        <w:rPr>
          <w:noProof/>
          <w:lang w:val="en-GB"/>
        </w:rPr>
        <w:drawing>
          <wp:inline distT="0" distB="0" distL="0" distR="0" wp14:anchorId="6D99A6FB" wp14:editId="0ECB08B3">
            <wp:extent cx="3529392" cy="1987563"/>
            <wp:effectExtent l="0" t="0" r="0" b="0"/>
            <wp:docPr id="418319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8129" cy="2026272"/>
                    </a:xfrm>
                    <a:prstGeom prst="rect">
                      <a:avLst/>
                    </a:prstGeom>
                    <a:noFill/>
                  </pic:spPr>
                </pic:pic>
              </a:graphicData>
            </a:graphic>
          </wp:inline>
        </w:drawing>
      </w:r>
    </w:p>
    <w:p w14:paraId="2A5C4C0C" w14:textId="153EA46A" w:rsidR="001012EF" w:rsidRDefault="006734B0" w:rsidP="008F31B0">
      <w:pPr>
        <w:rPr>
          <w:noProof/>
        </w:rPr>
      </w:pPr>
      <w:r>
        <w:rPr>
          <w:noProof/>
        </w:rPr>
        <w:t xml:space="preserve">Deși sprijinul public rămâne esențial, o schimbare reală poate avea loc numai prin </w:t>
      </w:r>
      <w:r>
        <w:rPr>
          <w:b/>
          <w:noProof/>
        </w:rPr>
        <w:t>reformele necesare, în special la nivel național și regional</w:t>
      </w:r>
      <w:r>
        <w:rPr>
          <w:noProof/>
        </w:rPr>
        <w:t xml:space="preserve">, pentru a elimina principalele obstacole din calea reînnoirii generațiilor. Aceasta include </w:t>
      </w:r>
      <w:r>
        <w:rPr>
          <w:b/>
          <w:noProof/>
        </w:rPr>
        <w:t>necesitatea de a îmbunătăți accesul la finanțare și la terenuri, de a îmbunătăți transferul de competențe și de cunoștințe și de a face viața rurală mai atractivă</w:t>
      </w:r>
      <w:r>
        <w:rPr>
          <w:noProof/>
        </w:rPr>
        <w:t xml:space="preserve"> prin furnizarea unor servicii publice mai bune și a unei infrastructuri adecvate, care să fie favorabile incluziunii, accesibile și atente la nevoile persoanelor cu handicap și ale grupurilor expuse riscului de discriminare. În acest context, promovarea inițiativelor culturale poate contribui la consolidarea legăturilor sociale și la sporirea atractivității vieții rurale.  „</w:t>
      </w:r>
      <w:r>
        <w:rPr>
          <w:b/>
          <w:noProof/>
        </w:rPr>
        <w:t>Dreptul de a rămâne”</w:t>
      </w:r>
      <w:r>
        <w:rPr>
          <w:noProof/>
        </w:rPr>
        <w:t xml:space="preserve"> se aplică instalării tinerilor fermieri care doresc să rămână și să desfășoare activități agricole pe teritoriul lor. </w:t>
      </w:r>
    </w:p>
    <w:p w14:paraId="17F9F2E9" w14:textId="3D6FB93A" w:rsidR="009E17F9" w:rsidRDefault="00D6392E">
      <w:pPr>
        <w:rPr>
          <w:noProof/>
        </w:rPr>
      </w:pPr>
      <w:r>
        <w:rPr>
          <w:noProof/>
        </w:rPr>
        <w:t xml:space="preserve">În plus, </w:t>
      </w:r>
      <w:r>
        <w:rPr>
          <w:b/>
          <w:noProof/>
        </w:rPr>
        <w:t xml:space="preserve">inovarea va modela competitivitatea și transformarea agriculturii. </w:t>
      </w:r>
      <w:r>
        <w:rPr>
          <w:noProof/>
        </w:rPr>
        <w:t xml:space="preserve"> Următoarea generație de fermieri are un mare potențial de a stimula această transformare. </w:t>
      </w:r>
      <w:r>
        <w:rPr>
          <w:b/>
          <w:noProof/>
        </w:rPr>
        <w:t>Tinerii fermieri sunt întreprinzători și adaptivi, iar adesea se află în prima linie în ceea ce privește adoptarea de noi tehnologii, practici durabile și modele de afaceri diversificate.</w:t>
      </w:r>
      <w:r>
        <w:rPr>
          <w:noProof/>
        </w:rPr>
        <w:t xml:space="preserve"> Implicarea lor este esențială pentru a modela un sector agricol orientat spre viitor și rezilient. </w:t>
      </w:r>
    </w:p>
    <w:p w14:paraId="6AE88259" w14:textId="67F45120" w:rsidR="009E17F9" w:rsidRDefault="00D62546" w:rsidP="009E17F9">
      <w:pPr>
        <w:rPr>
          <w:noProof/>
        </w:rPr>
      </w:pPr>
      <w:r>
        <w:rPr>
          <w:noProof/>
        </w:rPr>
        <w:t>Aceste oportunități ar putea fi și mai mari în viitor, având în vedere majorarea semnificativă propusă a bugetului total pentru cercetare și inovare în cadrul Fondului european pentru competitivitate (FEC) (</w:t>
      </w:r>
      <w:r>
        <w:rPr>
          <w:rStyle w:val="FootnoteReference"/>
          <w:noProof/>
        </w:rPr>
        <w:footnoteReference w:id="13"/>
      </w:r>
      <w:r>
        <w:rPr>
          <w:noProof/>
        </w:rPr>
        <w:t>) propus și al noului program-cadru pentru cercetare și inovare(</w:t>
      </w:r>
      <w:r>
        <w:rPr>
          <w:rStyle w:val="FootnoteReference"/>
          <w:noProof/>
        </w:rPr>
        <w:footnoteReference w:id="14"/>
      </w:r>
      <w:r>
        <w:rPr>
          <w:noProof/>
        </w:rPr>
        <w:t xml:space="preserve">) propus. Pentru perioada 2028-2034, abordarea în materie de planificare propusă în cadrul planurilor PNR, dacă este adoptată, ar permite statelor membre să realizeze sinergii între domeniile de politică pentru a aborda mai bine provocările, oferind un răspuns politic semnificativ tinerilor fermieri și cetățenilor care locuiesc în zonele rurale. </w:t>
      </w:r>
    </w:p>
    <w:p w14:paraId="214436A4" w14:textId="778CD578" w:rsidR="00284A26" w:rsidRPr="007D054C" w:rsidRDefault="002F4C7C" w:rsidP="002F39C3">
      <w:pPr>
        <w:pStyle w:val="Heading1"/>
        <w:numPr>
          <w:ilvl w:val="0"/>
          <w:numId w:val="32"/>
        </w:numPr>
        <w:rPr>
          <w:noProof/>
        </w:rPr>
      </w:pPr>
      <w:bookmarkStart w:id="2" w:name="_Toc207980848"/>
      <w:r>
        <w:rPr>
          <w:noProof/>
        </w:rPr>
        <w:t>identificarea obstacolelor în calea reînnoirii generațiilor</w:t>
      </w:r>
      <w:bookmarkEnd w:id="2"/>
    </w:p>
    <w:p w14:paraId="16561AC2" w14:textId="6FC5993E" w:rsidR="009C4165" w:rsidRPr="00827D8B" w:rsidRDefault="00AB79B3" w:rsidP="00A4027E">
      <w:pPr>
        <w:rPr>
          <w:noProof/>
        </w:rPr>
      </w:pPr>
      <w:r>
        <w:rPr>
          <w:noProof/>
        </w:rPr>
        <w:t>În perioada 2004-2024, ponderea populației Uniunii Europene în vârstă de peste 65 de ani a crescut de la 16 % la 22 %, în timp ce populația cu vârste cuprinse între 0 și 19 ani a scăzut de la 22 % la 20 % (</w:t>
      </w:r>
      <w:r>
        <w:rPr>
          <w:rStyle w:val="FootnoteReference"/>
          <w:noProof/>
        </w:rPr>
        <w:footnoteReference w:id="15"/>
      </w:r>
      <w:r>
        <w:rPr>
          <w:noProof/>
        </w:rPr>
        <w:t>). Această schimbare afectează multe sectoare, dar impactul se resimte în special în zonele rurale și, cu precădere, în agricultură.</w:t>
      </w:r>
    </w:p>
    <w:p w14:paraId="6FC698AC" w14:textId="6FBEB755" w:rsidR="00A4027E" w:rsidRPr="00A4027E" w:rsidRDefault="002E1595" w:rsidP="00A4027E">
      <w:pPr>
        <w:rPr>
          <w:noProof/>
        </w:rPr>
      </w:pPr>
      <w:r>
        <w:rPr>
          <w:b/>
          <w:noProof/>
        </w:rPr>
        <w:t>Îmbătrânirea în agricultură este mai rapidă decât în alte sectoare.</w:t>
      </w:r>
      <w:r>
        <w:rPr>
          <w:noProof/>
        </w:rPr>
        <w:t xml:space="preserve"> Numărul fermelor gestionate de fermieri peste vârsta de pensionare (33,2 %) este mult mai mare decât cel al fermelor gestionate de tineri fermieri (12 %) (</w:t>
      </w:r>
      <w:r>
        <w:rPr>
          <w:rStyle w:val="FootnoteReference"/>
          <w:noProof/>
        </w:rPr>
        <w:footnoteReference w:id="16"/>
      </w:r>
      <w:r>
        <w:rPr>
          <w:noProof/>
        </w:rPr>
        <w:t>), deși cifrele variază de la un stat membru la altul. Acest dezechilibru, precum și tendințele similare din sectoarele pescuitului și acvaculturii, amenință securitatea alimentară pe termen lung, autonomia strategică a UE în ceea ce privește producția alimentară și viitorul peisajelor agricole din Europa.</w:t>
      </w:r>
    </w:p>
    <w:p w14:paraId="6B202E92" w14:textId="6D00B8F0" w:rsidR="00FE67F2" w:rsidRDefault="00FE67F2" w:rsidP="00A4027E">
      <w:pPr>
        <w:rPr>
          <w:noProof/>
        </w:rPr>
      </w:pPr>
      <w:r>
        <w:rPr>
          <w:b/>
          <w:noProof/>
        </w:rPr>
        <w:t>Tinerii sunt descurajați să aleagă profesia de fermier de o serie de obstacole interconectate, cum ar fi accesul la terenuri, la credite accesibile și la competențe esențiale/expertiză.</w:t>
      </w:r>
      <w:r>
        <w:rPr>
          <w:noProof/>
        </w:rPr>
        <w:t xml:space="preserve"> Transferul fermelor între generații necesită investiții pe termen lung și implică adesea aspecte juridice, financiare și emoționale complexe, în special în fermele de familie. Alături de investițiile masive de capital specifice agriculturii moderne, aceste provocări îi descurajează pe mulți dintre noii fermieri potențiali.</w:t>
      </w:r>
    </w:p>
    <w:p w14:paraId="14D942F9" w14:textId="45B42059" w:rsidR="005A6AC8" w:rsidRDefault="005A6AC8" w:rsidP="00A4027E">
      <w:pPr>
        <w:rPr>
          <w:noProof/>
        </w:rPr>
      </w:pPr>
      <w:r>
        <w:rPr>
          <w:noProof/>
        </w:rPr>
        <w:t>Fermierii gestionează aproximativ 40 % din suprafața totală a UE(</w:t>
      </w:r>
      <w:r>
        <w:rPr>
          <w:rStyle w:val="FootnoteReference"/>
          <w:noProof/>
        </w:rPr>
        <w:footnoteReference w:id="17"/>
      </w:r>
      <w:r>
        <w:rPr>
          <w:noProof/>
        </w:rPr>
        <w:t xml:space="preserve">), motiv pentru care acest sector se află în centrul securității alimentare, al zonelor rurale dinamice și al serviciilor de mediu esențiale, cum ar fi reziliența la schimbările climatice și în domeniul apei și conservarea biodiversității. Exploatând în mod activ terenurile, fermierii reduc, de asemenea, riscurile de evenimente climatice extreme și consolidează reziliența rurală. Acest lucru este deosebit de relevant în regiunile ultraperiferice ale Uniunii, care depind în mare măsură de agricultură și sunt mai vulnerabile la fenomene climatice și la dezastre naturale. </w:t>
      </w:r>
    </w:p>
    <w:p w14:paraId="55556961" w14:textId="6E3B37FB" w:rsidR="00804F56" w:rsidRPr="00B919DF" w:rsidRDefault="00075DC0" w:rsidP="00075DC0">
      <w:pPr>
        <w:rPr>
          <w:noProof/>
        </w:rPr>
      </w:pPr>
      <w:r>
        <w:rPr>
          <w:noProof/>
        </w:rPr>
        <w:t>Asigurarea reînnoirii generațiilor, în special în fermele de familie, este esențială pentru menținerea securității alimentare, transferul de cunoștințe și alinierea productivității la durabilitate. Pe lângă producția de alimente și gestionarea durabilă a terenurilor, mulți fermieri contribuie la generarea energiei din surse regenerabile prin bioenergie, energie solară și eoliană, sprijinind atât obiectivele climatice, cât și securitatea energetică, în timp ce reformele viitoare pot optimiza conexiunile la rețea, pot crește veniturile fermelor și pot oferi comunităților energie produsă la nivel local.</w:t>
      </w:r>
    </w:p>
    <w:p w14:paraId="6C3BCD59" w14:textId="1F3604B0" w:rsidR="00CB4EDD" w:rsidRPr="00BD5E4D" w:rsidRDefault="00B919DF" w:rsidP="00E52E44">
      <w:pPr>
        <w:rPr>
          <w:noProof/>
        </w:rPr>
      </w:pPr>
      <w:r>
        <w:rPr>
          <w:noProof/>
        </w:rPr>
        <w:t xml:space="preserve">Reînnoirea generațiilor este esențială pentru a menține agricultura vitală, competitivă și inovatoare, asigurând aprovizionarea cu alimente sigure, durabile și la prețuri accesibile pentru peste 450 de milioane de consumatori din UE. Accesibilitatea prețurilor alimentelor rămâne un motiv de îngrijorare, deoarece prețurile ridicate pun presiune asupra bugetelor gospodăriilor, în special pentru grupurile cu venituri mici. </w:t>
      </w:r>
    </w:p>
    <w:p w14:paraId="481A9ECD" w14:textId="274310DA" w:rsidR="00911D16" w:rsidRPr="00BD5E4D" w:rsidRDefault="00F20A18" w:rsidP="00192FE4">
      <w:pPr>
        <w:rPr>
          <w:noProof/>
        </w:rPr>
      </w:pPr>
      <w:r>
        <w:rPr>
          <w:b/>
          <w:noProof/>
        </w:rPr>
        <w:t>Pentru ca agricultura să devină o alegere de carieră viabilă și satisfăcătoare pentru tineri, este nevoie de acțiuni care să nu se limiteze doar la sectorul agricol</w:t>
      </w:r>
      <w:r>
        <w:rPr>
          <w:noProof/>
        </w:rPr>
        <w:t>. Numărul tinerilor din mediul rural este în scădere. În perioada 2013-2019, numărul tinerilor cu vârste cuprinse între 15 și 24 de ani care locuiesc în zone rurale din UE-28(</w:t>
      </w:r>
      <w:r>
        <w:rPr>
          <w:rStyle w:val="FootnoteReference"/>
          <w:noProof/>
        </w:rPr>
        <w:footnoteReference w:id="18"/>
      </w:r>
      <w:r>
        <w:rPr>
          <w:noProof/>
        </w:rPr>
        <w:t>) a scăzut de la 3,6 milioane la 1,9 milioane, iar numărul tinerilor cu vârste cuprinse între 25 și 29 de ani a scăzut de la 6,9 milioane la 5,9 milioane(</w:t>
      </w:r>
      <w:r>
        <w:rPr>
          <w:rStyle w:val="FootnoteReference"/>
          <w:noProof/>
        </w:rPr>
        <w:footnoteReference w:id="19"/>
      </w:r>
      <w:r>
        <w:rPr>
          <w:noProof/>
        </w:rPr>
        <w:t>).</w:t>
      </w:r>
    </w:p>
    <w:p w14:paraId="4D537675" w14:textId="66C1ECC0" w:rsidR="00AB2BD1" w:rsidRDefault="002448CB" w:rsidP="00B95001">
      <w:pPr>
        <w:rPr>
          <w:noProof/>
        </w:rPr>
      </w:pPr>
      <w:r>
        <w:rPr>
          <w:noProof/>
        </w:rPr>
        <w:t xml:space="preserve">Viitorul fermierilor depinde de măsura în care zonele rurale devin </w:t>
      </w:r>
      <w:r>
        <w:rPr>
          <w:b/>
          <w:noProof/>
        </w:rPr>
        <w:t>mai puternice, mai conectate, mai reziliente și mai prospere</w:t>
      </w:r>
      <w:r>
        <w:rPr>
          <w:noProof/>
        </w:rPr>
        <w:t>, în conformitate cu viziunea pe termen lung pentru zonele rurale ale UE</w:t>
      </w:r>
      <w:r>
        <w:rPr>
          <w:noProof/>
          <w:vertAlign w:val="superscript"/>
        </w:rPr>
        <w:t>(</w:t>
      </w:r>
      <w:r>
        <w:rPr>
          <w:noProof/>
          <w:vertAlign w:val="superscript"/>
        </w:rPr>
        <w:footnoteReference w:id="20"/>
      </w:r>
      <w:r>
        <w:rPr>
          <w:noProof/>
          <w:vertAlign w:val="superscript"/>
        </w:rPr>
        <w:t>)</w:t>
      </w:r>
      <w:r>
        <w:rPr>
          <w:noProof/>
        </w:rPr>
        <w:t xml:space="preserve">. Comunitățile dinamice, infrastructura de înaltă calitate, serviciile accesibile, atractivitatea și calitatea educației și formării, precum și oportunitățile de angajare în afara fermei și legăturile sociale puternice sunt esențiale pentru păstrarea tinerilor și facilitarea „dreptului de a rămâne”, atrăgând în același timp noi fermieri. Zonele rurale sunt esențiale pentru modul nostru de viață european și trebuie să ne asigurăm că acestea rămân zone atractive de locuit. </w:t>
      </w:r>
    </w:p>
    <w:p w14:paraId="3DE9FB17" w14:textId="551C9741" w:rsidR="00192FE4" w:rsidRDefault="00971CCF" w:rsidP="00B95001">
      <w:pPr>
        <w:rPr>
          <w:noProof/>
        </w:rPr>
      </w:pPr>
      <w:r>
        <w:rPr>
          <w:noProof/>
        </w:rPr>
        <w:t>„Fermierii viitorului” se vor implica în rețele mai diversificate, care includ debutanți în domeniul agriculturii, o varietate de modele agricole și de afaceri, inclusiv unele legate de economia socială, precum și parteneriate inovatoare, care reflectă diversitatea tot mai mare a sistemelor alimentare(</w:t>
      </w:r>
      <w:r>
        <w:rPr>
          <w:noProof/>
          <w:vertAlign w:val="superscript"/>
        </w:rPr>
        <w:footnoteReference w:id="21"/>
      </w:r>
      <w:r>
        <w:rPr>
          <w:noProof/>
        </w:rPr>
        <w:t>). Noile forme de colaborare, cum ar fi parteneriatele, schimburile între generații, sinergiile cu alte sectoare și partajarea terenurilor, au rolul lor în acest proces prin reducerea barierelor la intrare și consolidarea legăturilor comunitare. Aceste modele contribuie la crearea unor sisteme agricole mai favorabile incluziunii și mai reziliente, care, la rândul lor, contribuie la vitalitatea socială și economică a zonelor rurale. Cu sprijinul cooperativelor și al organizațiilor de producători, modelele oferă căi practice pentru noii fermieri, consolidând în același timp structura vieții rurale.</w:t>
      </w:r>
    </w:p>
    <w:p w14:paraId="04720FBD" w14:textId="3A98B261" w:rsidR="00F96690" w:rsidRPr="00AB2BD1" w:rsidRDefault="00F96690" w:rsidP="00B95001">
      <w:pPr>
        <w:rPr>
          <w:b/>
          <w:bCs/>
          <w:noProof/>
        </w:rPr>
      </w:pPr>
      <w:r>
        <w:rPr>
          <w:b/>
          <w:noProof/>
        </w:rPr>
        <w:t>În cele din urmă, viitorul agriculturii și al zonelor rurale depinde de crearea condițiilor adecvate pentru ca tinerii să își construiască viața și cariera acolo, astfel încât agricultura să poată contribui în continuare la o UE rezilientă și durabilă.</w:t>
      </w:r>
    </w:p>
    <w:p w14:paraId="684A7F17" w14:textId="35BFC0BA" w:rsidR="002B6762" w:rsidRPr="00827D8B" w:rsidRDefault="002B6762" w:rsidP="002F39C3">
      <w:pPr>
        <w:pStyle w:val="Heading1"/>
        <w:numPr>
          <w:ilvl w:val="0"/>
          <w:numId w:val="32"/>
        </w:numPr>
        <w:rPr>
          <w:noProof/>
        </w:rPr>
      </w:pPr>
      <w:bookmarkStart w:id="3" w:name="_Toc207980849"/>
      <w:r>
        <w:rPr>
          <w:noProof/>
        </w:rPr>
        <w:t>Crearea de oportunități pentru următoarea generație de fermieri din Europa</w:t>
      </w:r>
      <w:bookmarkEnd w:id="3"/>
      <w:r>
        <w:rPr>
          <w:noProof/>
        </w:rPr>
        <w:t xml:space="preserve"> </w:t>
      </w:r>
    </w:p>
    <w:p w14:paraId="221530B3" w14:textId="064DE58A" w:rsidR="00F0770F" w:rsidRDefault="00A4027E" w:rsidP="00A4027E">
      <w:pPr>
        <w:rPr>
          <w:noProof/>
        </w:rPr>
      </w:pPr>
      <w:r>
        <w:rPr>
          <w:b/>
          <w:noProof/>
        </w:rPr>
        <w:t xml:space="preserve">Agricultura din UE oferă un set amplu și evolutiv de oportunități de atragere, sprijinire și păstrare a tinerilor și a noilor fermieri și lucrători agricoli. </w:t>
      </w:r>
      <w:r>
        <w:rPr>
          <w:noProof/>
        </w:rPr>
        <w:t xml:space="preserve">Diferitele modele agricole rămân relevante, fiecare contribuind în diferite moduri la productivitate, la reziliența la schimbările climatice, la durabilitatea mediului, la conservarea tradițiilor rurale și locale ca parte integrantă a patrimoniului cultural al Uniunii și la durabilitatea sistemelor alimentare și atrăgând noi profiluri de tineri fermieri. Adoptarea acestei diversități asigură un sector favorabil incluziunii, receptiv la condițiile în schimbare, la nevoia de diversificare agricolă pentru a garanta securitatea alimentară, în special în zonele izolate, la cererile consumatorilor și la viziunile întreprinderilor. Fie prin inovare, fie prin competențe tradiționale, tinerii fermieri au un rol esențial în conturarea viitorului agriculturii. </w:t>
      </w:r>
    </w:p>
    <w:p w14:paraId="5D322841" w14:textId="3330DE5A" w:rsidR="00797595" w:rsidRDefault="00B82141" w:rsidP="00A4027E">
      <w:pPr>
        <w:rPr>
          <w:noProof/>
        </w:rPr>
      </w:pPr>
      <w:r>
        <w:rPr>
          <w:b/>
          <w:noProof/>
        </w:rPr>
        <w:t>Diversificarea activităților și a produselor agricole contribuie la robustețea sectorului prin diversificarea surselor de venit:</w:t>
      </w:r>
      <w:r>
        <w:rPr>
          <w:noProof/>
        </w:rPr>
        <w:t xml:space="preserve"> agroturismul, prelucrarea în cadrul exploatației, sistemele integrate de agricultură și acvacultură, soluțiile bioeconomice, cum ar fi producția de materiale regenerabile și de bioenergie sau de hrană pentru animale din alge sau sechestrarea carbonului, se numără printre activitățile care au un potențial semnificativ de a contribui la viabilitatea condițiilor de trai din mediul rural. De exemplu, bioeconomia și soluțiile circulare transformă deșeurile în resurse și energie, contribuind în același timp la autonomia strategică a Uniunii și la obiectivele climatice și de mediu. În acest context, se creează noi locuri de muncă cu mai multe oportunități. Pentru numeroși tineri fermieri, care adesea desfășoară activități agricole cu fracțiune de normă sau simultan cu alte activități, astfel de oportunități pot fi esențiale pentru crearea unor cariere profesionale flexibile și stabile în domeniul agricol în general. </w:t>
      </w:r>
    </w:p>
    <w:p w14:paraId="52C8F7C4" w14:textId="7A107D6F" w:rsidR="00D66D65" w:rsidRPr="00827D8B" w:rsidRDefault="002816A7" w:rsidP="00ED5FA3">
      <w:pPr>
        <w:rPr>
          <w:noProof/>
        </w:rPr>
      </w:pPr>
      <w:r>
        <w:rPr>
          <w:noProof/>
        </w:rPr>
        <w:t xml:space="preserve">Reînnoirea generațiilor nu este determinată doar de PAC. </w:t>
      </w:r>
      <w:r>
        <w:rPr>
          <w:b/>
          <w:noProof/>
        </w:rPr>
        <w:t>Investițiile mai ample în infrastructura și serviciile rurale sunt esențiale pentru atragerea tinerilor fermieri și a noilor fermieri</w:t>
      </w:r>
      <w:r>
        <w:rPr>
          <w:noProof/>
        </w:rPr>
        <w:t xml:space="preserve">, inclusiv servicii de calitate și favorabile incluziunii precum cele de sănătate și îngrijire pe termen lung, educație și formare, locuințe, apă, infrastructură, îngrijirea copiilor, transport, comunicații digitale și servicii recreative, în conformitate cu Pilonul european al drepturilor sociale. </w:t>
      </w:r>
    </w:p>
    <w:p w14:paraId="75AC666F" w14:textId="03EF29FA" w:rsidR="003529C0" w:rsidRDefault="00AE604B" w:rsidP="00ED5FA3">
      <w:pPr>
        <w:rPr>
          <w:noProof/>
        </w:rPr>
      </w:pPr>
      <w:r>
        <w:rPr>
          <w:b/>
          <w:noProof/>
        </w:rPr>
        <w:t>Politica de coeziune completează intervențiile PAC și oferă sprijin semnificativ în zonele rurale</w:t>
      </w:r>
      <w:r>
        <w:rPr>
          <w:noProof/>
        </w:rPr>
        <w:t>. Aceasta sprijină obiectivele economice, sociale și teritoriale prin investiții specifice, inclusiv în internetul de bandă largă, energie curată, sănătate, competențe educaționale, ocuparea forței de muncă, incluziune socială și infrastructură locală în zonele rurale. Aceste investiții aduc valoare adăugată și bunăstare în zonele rurale. Evaluarea intermediară a programelor din cadrul politicii de coeziune(</w:t>
      </w:r>
      <w:r>
        <w:rPr>
          <w:rStyle w:val="FootnoteReference"/>
          <w:noProof/>
        </w:rPr>
        <w:footnoteReference w:id="22"/>
      </w:r>
      <w:r>
        <w:rPr>
          <w:noProof/>
        </w:rPr>
        <w:t xml:space="preserve">) oferă, de asemenea, stimulente și modalități flexibile pentru a sprijini obiective prioritare, cum ar fi reziliența în domeniul apei, locuințele, tranziția energetică și competitivitatea și inovarea, toate acestea constituind aspecte relevante pentru zonele rurale. </w:t>
      </w:r>
    </w:p>
    <w:p w14:paraId="60FDF698" w14:textId="3B251E94" w:rsidR="00B350C7" w:rsidRDefault="00A4027E" w:rsidP="00603AC0">
      <w:pPr>
        <w:rPr>
          <w:noProof/>
        </w:rPr>
      </w:pPr>
      <w:r>
        <w:rPr>
          <w:noProof/>
        </w:rPr>
        <w:t xml:space="preserve">Pe măsură ce agricultura se transformă, prin consolidare, integrarea lanțului valoric, adoptarea tehnologiilor și adaptarea la schimbările climatice, sunt necesare instrumente care să ajute fermierii și factorii de decizie să anticipeze și să răspundă prin acțiuni coordonate orientate spre viitor, în conformitate cu normele aplicabile privind ajutoarele de stat. </w:t>
      </w:r>
    </w:p>
    <w:p w14:paraId="5AAF33D5" w14:textId="120D6F14" w:rsidR="007D3672" w:rsidRPr="00F91EFA" w:rsidRDefault="003F5459" w:rsidP="002F39C3">
      <w:pPr>
        <w:pStyle w:val="ListParagraph"/>
        <w:numPr>
          <w:ilvl w:val="0"/>
          <w:numId w:val="32"/>
        </w:numPr>
        <w:spacing w:line="259" w:lineRule="auto"/>
        <w:rPr>
          <w:b/>
          <w:bCs/>
          <w:noProof/>
          <w:u w:val="single"/>
        </w:rPr>
      </w:pPr>
      <w:r>
        <w:rPr>
          <w:b/>
          <w:smallCaps/>
          <w:noProof/>
        </w:rPr>
        <w:t xml:space="preserve">Noua CAP și planurile PNR: stimularea unei schimbări pozitive </w:t>
      </w:r>
    </w:p>
    <w:p w14:paraId="03C624E3" w14:textId="23E07D5A" w:rsidR="002816A7" w:rsidRPr="00827D8B" w:rsidRDefault="002816A7" w:rsidP="002816A7">
      <w:pPr>
        <w:rPr>
          <w:noProof/>
        </w:rPr>
      </w:pPr>
      <w:r>
        <w:rPr>
          <w:b/>
          <w:noProof/>
        </w:rPr>
        <w:t xml:space="preserve">PAC are un rol central în crearea de oportunități </w:t>
      </w:r>
      <w:r>
        <w:rPr>
          <w:noProof/>
        </w:rPr>
        <w:t>pentru dezvoltarea durabilă a întreprinderilor prin îmbunătățirea accesului la finanțare, cunoștințe și inovare, în timp ce măsurile statelor membre abordează, de asemenea, principalele obstacole, cum ar fi accesul la terenuri pentru noii fermieri</w:t>
      </w:r>
      <w:r>
        <w:rPr>
          <w:b/>
          <w:noProof/>
        </w:rPr>
        <w:t xml:space="preserve"> </w:t>
      </w:r>
      <w:r>
        <w:rPr>
          <w:noProof/>
        </w:rPr>
        <w:t>(</w:t>
      </w:r>
      <w:r>
        <w:rPr>
          <w:rStyle w:val="FootnoteReference"/>
          <w:noProof/>
        </w:rPr>
        <w:footnoteReference w:id="23"/>
      </w:r>
      <w:r>
        <w:rPr>
          <w:noProof/>
        </w:rPr>
        <w:t>).</w:t>
      </w:r>
    </w:p>
    <w:p w14:paraId="0C946915" w14:textId="080DB67E" w:rsidR="004E2B23" w:rsidRDefault="00AB2BD1" w:rsidP="004E2B23">
      <w:pPr>
        <w:spacing w:line="259" w:lineRule="auto"/>
        <w:rPr>
          <w:noProof/>
        </w:rPr>
      </w:pPr>
      <w:r>
        <w:rPr>
          <w:noProof/>
        </w:rPr>
        <w:t xml:space="preserve">Propunerea privind PAC pentru CFM post-2027 marchează un pas important către o agricultură europeană mai modernă, mai favorabilă incluziunii și mai orientată spre viitor, axată pe reînnoirea generațiilor. </w:t>
      </w:r>
    </w:p>
    <w:p w14:paraId="61AD119B" w14:textId="2D921DB8" w:rsidR="00AB2BD1" w:rsidRDefault="004E2B23" w:rsidP="002E6DA9">
      <w:pPr>
        <w:spacing w:line="259" w:lineRule="auto"/>
        <w:rPr>
          <w:noProof/>
        </w:rPr>
      </w:pPr>
      <w:r>
        <w:rPr>
          <w:noProof/>
        </w:rPr>
        <w:t>Dacă va fi adoptată, aceasta ar putea facilita intrarea pe piață a unor noi fermieri, cu un sprijin consolidat pentru cercetare și inovare, fundamental pentru reînnoirea generațiilor, stimulând modernizarea și productivitatea, creând oportunități economice și îmbunătățind condițiile de viață în mediul rural și sprijinind în același timp diversitatea și incluziunea. Prin următoarea propunere privind CFM, Comisia prezintă, de asemenea, o abordare mai integrată a sprijinului rural în cadrul PAC și în afara acesteia. Investițiile necesită acțiuni coordonate la nivelul departamentelor guvernamentale și al nivelurilor de guvernanță, susținute prin reformele necesare. Propunerea privind PAC este esențială pentru propunerea Comisiei de noi planuri PNR, fiind completată de măsuri la nivelul UE și de inițiative la nivel național și regional.</w:t>
      </w:r>
    </w:p>
    <w:p w14:paraId="76C18BB9" w14:textId="5E77851A" w:rsidR="002E5443" w:rsidRDefault="00B47251" w:rsidP="00AB2BD1">
      <w:pPr>
        <w:spacing w:line="259" w:lineRule="auto"/>
        <w:rPr>
          <w:noProof/>
        </w:rPr>
      </w:pPr>
      <w:r>
        <w:rPr>
          <w:b/>
          <w:noProof/>
        </w:rPr>
        <w:t xml:space="preserve">Planul PNR trebuie să conțină măsuri pentru abordarea reînnoirii generațiilor, inclusiv pregătirea unei strategii naționale </w:t>
      </w:r>
      <w:r>
        <w:rPr>
          <w:noProof/>
        </w:rPr>
        <w:t xml:space="preserve">care să identifice tendințele demografice, să elimine barierele la intrare și să definească măsuri de sprijin specifice. Pentru a fi eficace, aceste strategii trebuie să fie cuprinzătoare, reflectând realitățile complexe cu care se confruntă fermierii din fiecare stat membru, asigurând în același timp coerența cu eforturile naționale și regionale mai ample de revitalizare a zonelor rurale și contribuind la eforturile comune ale UE de reînnoire a generațiilor. Statele membre ar urma să aibă obligația de a stabili obiective concrete pentru reînnoirea generațiilor, de a raporta periodic cu privire la progresele înregistrate și de a efectua ajustări acolo unde rezultatele sunt insuficiente, explicând modul în care planul prevede concentrarea resurselor pe sprijinirea reînnoirii generațiilor. La rândul său, Comisia ar urma să utilizeze criterii de referință și recomandări specifice PAC pentru a orienta politicile naționale, garantând asumarea răspunderii și alinierea la obiectivele de la nivelul UE. </w:t>
      </w:r>
      <w:r>
        <w:rPr>
          <w:b/>
          <w:noProof/>
        </w:rPr>
        <w:t>În centrul acestei noi strategii se află un pachet cuprinzător de măsuri pentru demarare destinat tinerilor fermieri</w:t>
      </w:r>
      <w:r>
        <w:rPr>
          <w:noProof/>
        </w:rPr>
        <w:t>, care include sprijin pentru instalare, ajutor pentru investiții și acces la instrumente financiare, precum și măsuri fiscale favorabile. Măsurile complementare sprijină întreprinderile nou-înființate, parteneriatele pentru inovare, programele de transfer al fermelor între generații, formarea și serviciile de înlocuire în cadrul exploatației menite să îi ajute să obțină un echilibru mai bun între viața profesională și cea privată. Pentru a îmbunătăți accesibilitatea și eficiența, se propune ca întregul sprijin să fie pus la dispoziție prin intermediul unui punct de acces unic în fiecare stat membru.</w:t>
      </w:r>
    </w:p>
    <w:p w14:paraId="53D27388" w14:textId="23ED2A25" w:rsidR="009C027A" w:rsidRDefault="00577AF2" w:rsidP="009C027A">
      <w:pPr>
        <w:rPr>
          <w:noProof/>
        </w:rPr>
      </w:pPr>
      <w:r>
        <w:rPr>
          <w:noProof/>
        </w:rPr>
        <w:t>Pentru a reuși, statele membre, în special cele cu întârzieri în dezvoltare, ar trebui să își dubleze eforturile de reînnoire a generațiilor. În cadrul viitorului mecanism de direcționare, Comisia va recomanda statelor membre să investească în acest scop cel puțin 6 % din sumele rezervate pentru agricultură(</w:t>
      </w:r>
      <w:r>
        <w:rPr>
          <w:rStyle w:val="FootnoteReference"/>
          <w:noProof/>
        </w:rPr>
        <w:footnoteReference w:id="24"/>
      </w:r>
      <w:r>
        <w:rPr>
          <w:noProof/>
        </w:rPr>
        <w:t xml:space="preserve">). Dacă este necesar, această sumă ar putea fi suplimentată pentru a se asigura un nivel adecvat de finanțare în cadrul PNR în vederea punerii în aplicare a strategiei naționale. </w:t>
      </w:r>
    </w:p>
    <w:p w14:paraId="5E7621C0" w14:textId="6D1A534F" w:rsidR="00FA1A47" w:rsidRDefault="009C027A" w:rsidP="009C027A">
      <w:pPr>
        <w:rPr>
          <w:noProof/>
        </w:rPr>
      </w:pPr>
      <w:r>
        <w:rPr>
          <w:noProof/>
        </w:rPr>
        <w:t>Prin această combinație de angajamente naționale, ținte măsurabile și orientări ale Comisiei, noua PAC propusă și-ar consolida rolul de motor al reînnoirii, permițând tinerilor fermieri să își construiască cariere viabile și asigurând sustenabilitatea pe termen lung a agriculturii europene.</w:t>
      </w:r>
    </w:p>
    <w:p w14:paraId="182E8593" w14:textId="25FAF12A" w:rsidR="001C19EC" w:rsidRPr="00C07AF9" w:rsidRDefault="001C19EC" w:rsidP="009C027A">
      <w:pPr>
        <w:rPr>
          <w:noProof/>
        </w:rPr>
      </w:pPr>
      <w:r>
        <w:rPr>
          <w:noProof/>
          <w:lang w:val="en-GB"/>
        </w:rPr>
        <mc:AlternateContent>
          <mc:Choice Requires="wps">
            <w:drawing>
              <wp:anchor distT="0" distB="0" distL="114300" distR="114300" simplePos="0" relativeHeight="251658240" behindDoc="1" locked="0" layoutInCell="1" allowOverlap="1" wp14:anchorId="114C9734" wp14:editId="2EF3B30C">
                <wp:simplePos x="0" y="0"/>
                <wp:positionH relativeFrom="margin">
                  <wp:posOffset>-220345</wp:posOffset>
                </wp:positionH>
                <wp:positionV relativeFrom="paragraph">
                  <wp:posOffset>211455</wp:posOffset>
                </wp:positionV>
                <wp:extent cx="6105525" cy="2136775"/>
                <wp:effectExtent l="0" t="0" r="28575" b="15875"/>
                <wp:wrapNone/>
                <wp:docPr id="1951043314" name="Rectangle: Rounded Corners 1"/>
                <wp:cNvGraphicFramePr/>
                <a:graphic xmlns:a="http://schemas.openxmlformats.org/drawingml/2006/main">
                  <a:graphicData uri="http://schemas.microsoft.com/office/word/2010/wordprocessingShape">
                    <wps:wsp>
                      <wps:cNvSpPr/>
                      <wps:spPr>
                        <a:xfrm>
                          <a:off x="0" y="0"/>
                          <a:ext cx="6105525" cy="2136775"/>
                        </a:xfrm>
                        <a:prstGeom prst="roundRect">
                          <a:avLst/>
                        </a:prstGeom>
                        <a:solidFill>
                          <a:srgbClr val="FAE98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id="Rectangle: Rounded Corners 1" style="position:absolute;margin-left:-17.35pt;margin-top:16.65pt;width:480.75pt;height:16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e986"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" arcsize="10923f" w14:anchorId="3BC170AF">
                <v:stroke joinstyle="miter"/>
                <w10:wrap anchorx="margin"/>
              </v:roundrect>
            </w:pict>
          </mc:Fallback>
        </mc:AlternateContent>
      </w:r>
    </w:p>
    <w:p w14:paraId="6D4695D4" w14:textId="10223817" w:rsidR="007E6908" w:rsidRPr="003D634B" w:rsidRDefault="007E6908" w:rsidP="007E6908">
      <w:pPr>
        <w:rPr>
          <w:i/>
          <w:iCs/>
          <w:noProof/>
          <w:sz w:val="22"/>
          <w:szCs w:val="22"/>
        </w:rPr>
      </w:pPr>
      <w:r>
        <w:rPr>
          <w:b/>
          <w:i/>
          <w:noProof/>
          <w:sz w:val="22"/>
        </w:rPr>
        <w:t>Inițiative emblematice(</w:t>
      </w:r>
      <w:r>
        <w:rPr>
          <w:rStyle w:val="FootnoteReference"/>
          <w:b/>
          <w:bCs/>
          <w:i/>
          <w:iCs/>
          <w:noProof/>
          <w:sz w:val="22"/>
          <w:szCs w:val="22"/>
        </w:rPr>
        <w:footnoteReference w:id="25"/>
      </w:r>
      <w:r>
        <w:rPr>
          <w:b/>
          <w:i/>
          <w:noProof/>
          <w:sz w:val="22"/>
        </w:rPr>
        <w:t>) </w:t>
      </w:r>
    </w:p>
    <w:p w14:paraId="55A500F1" w14:textId="77777777" w:rsidR="002E6DA9" w:rsidRDefault="00640AA6" w:rsidP="002E6DA9">
      <w:pPr>
        <w:numPr>
          <w:ilvl w:val="0"/>
          <w:numId w:val="22"/>
        </w:numPr>
        <w:spacing w:after="0"/>
        <w:ind w:left="360"/>
        <w:rPr>
          <w:noProof/>
        </w:rPr>
      </w:pPr>
      <w:r>
        <w:rPr>
          <w:b/>
          <w:i/>
          <w:noProof/>
          <w:sz w:val="22"/>
        </w:rPr>
        <w:t>Strategii cuprinzătoare și obligatorii privind reînnoirea generațiilor în agricultură în fiecare stat membru</w:t>
      </w:r>
      <w:r>
        <w:rPr>
          <w:i/>
          <w:noProof/>
          <w:sz w:val="22"/>
        </w:rPr>
        <w:t>, consolidate cu cerințe clare pentru identificarea tendințelor demografice, a barierelor la intrare și a măsurilor de sprijin specifice.</w:t>
      </w:r>
    </w:p>
    <w:p w14:paraId="3FFE2F7C" w14:textId="5385F8C2" w:rsidR="00577AF2" w:rsidRPr="002E6DA9" w:rsidRDefault="00577AF2" w:rsidP="002E6DA9">
      <w:pPr>
        <w:numPr>
          <w:ilvl w:val="0"/>
          <w:numId w:val="22"/>
        </w:numPr>
        <w:spacing w:after="0"/>
        <w:ind w:left="360"/>
        <w:rPr>
          <w:noProof/>
        </w:rPr>
      </w:pPr>
      <w:r>
        <w:rPr>
          <w:i/>
          <w:noProof/>
          <w:sz w:val="22"/>
        </w:rPr>
        <w:t xml:space="preserve">Dublarea eforturilor din partea statelor membre pentru reînnoirea generațiilor. Pentru programarea viitoare a PPNR, Comisia va recomanda, în cadrul viitorului mecanism de direcționare, ca statele membre </w:t>
      </w:r>
      <w:r>
        <w:rPr>
          <w:b/>
          <w:i/>
          <w:noProof/>
          <w:sz w:val="22"/>
        </w:rPr>
        <w:t>să investească cel puțin 6 % din cheltuielile lor rezervate pentru agricultură</w:t>
      </w:r>
      <w:r>
        <w:rPr>
          <w:i/>
          <w:noProof/>
          <w:sz w:val="22"/>
        </w:rPr>
        <w:t xml:space="preserve"> în acest scop, investiții care ar putea fi completate în continuare cu fonduri PNR suplimentare pentru a asigura o finanțare adecvată a punerii în aplicare a strategiei naționale.</w:t>
      </w:r>
    </w:p>
    <w:p w14:paraId="2EBE753C" w14:textId="77777777" w:rsidR="007E6908" w:rsidRPr="00FC6382" w:rsidRDefault="007E6908" w:rsidP="002F39C3">
      <w:pPr>
        <w:numPr>
          <w:ilvl w:val="0"/>
          <w:numId w:val="22"/>
        </w:numPr>
        <w:spacing w:after="0"/>
        <w:ind w:left="360"/>
        <w:rPr>
          <w:i/>
          <w:iCs/>
          <w:noProof/>
          <w:sz w:val="22"/>
          <w:szCs w:val="22"/>
        </w:rPr>
      </w:pPr>
      <w:r>
        <w:rPr>
          <w:i/>
          <w:noProof/>
          <w:sz w:val="22"/>
        </w:rPr>
        <w:t>„</w:t>
      </w:r>
      <w:r>
        <w:rPr>
          <w:b/>
          <w:i/>
          <w:noProof/>
          <w:sz w:val="22"/>
        </w:rPr>
        <w:t>Pachetul de măsuri pentru demarare destinat tinerilor fermieri</w:t>
      </w:r>
      <w:r>
        <w:rPr>
          <w:i/>
          <w:noProof/>
          <w:sz w:val="22"/>
        </w:rPr>
        <w:t xml:space="preserve">”, menit să faciliteze intrarea și instalarea tinerilor fermieri în acest sector prin intermediul unui pachet cuprinzător de intervenții. </w:t>
      </w:r>
    </w:p>
    <w:p w14:paraId="12311F48" w14:textId="77777777" w:rsidR="003020B9" w:rsidRDefault="003020B9" w:rsidP="003020B9">
      <w:pPr>
        <w:spacing w:after="0"/>
        <w:ind w:left="360"/>
        <w:rPr>
          <w:i/>
          <w:iCs/>
          <w:noProof/>
          <w:sz w:val="22"/>
          <w:szCs w:val="22"/>
        </w:rPr>
      </w:pPr>
    </w:p>
    <w:p w14:paraId="5B06AD3E" w14:textId="481D8E1E" w:rsidR="003B2090" w:rsidRDefault="00EB12B0" w:rsidP="002F39C3">
      <w:pPr>
        <w:pStyle w:val="Heading1"/>
        <w:numPr>
          <w:ilvl w:val="0"/>
          <w:numId w:val="32"/>
        </w:numPr>
        <w:rPr>
          <w:noProof/>
        </w:rPr>
      </w:pPr>
      <w:bookmarkStart w:id="4" w:name="_Toc207980850"/>
      <w:r>
        <w:rPr>
          <w:noProof/>
        </w:rPr>
        <w:t>Aplicarea strategiei: etapele următoare pentru reînnoirea generațiilor</w:t>
      </w:r>
      <w:bookmarkEnd w:id="4"/>
      <w:r>
        <w:rPr>
          <w:noProof/>
        </w:rPr>
        <w:t xml:space="preserve"> </w:t>
      </w:r>
    </w:p>
    <w:p w14:paraId="50ECA47D" w14:textId="77777777" w:rsidR="002E6DA9" w:rsidRDefault="00CA19F5" w:rsidP="00420448">
      <w:pPr>
        <w:rPr>
          <w:noProof/>
        </w:rPr>
      </w:pPr>
      <w:r>
        <w:rPr>
          <w:noProof/>
        </w:rPr>
        <w:t xml:space="preserve">Plasarea tinerilor fermieri în centrul elaborării politicilor este esențială pentru ca reînnoirea generațiilor să devină o realitate durabilă în agricultura europeană. Pentru a se asigura că tinerii fermieri nu beneficiază doar de sprijin, ci sunt și implicați activ, Comisia a instituit un </w:t>
      </w:r>
      <w:r>
        <w:rPr>
          <w:b/>
          <w:noProof/>
        </w:rPr>
        <w:t>angajament structurat în favoarea tinerilor</w:t>
      </w:r>
      <w:r>
        <w:rPr>
          <w:noProof/>
        </w:rPr>
        <w:t>, care să țină cont de opiniile lor pe tot parcursul elaborării și punerii în aplicare a politicilor. Ca parte a acestei abordări, Comisia a găzduit în acest mandat două dialoguri privind politicile pentru tineret(</w:t>
      </w:r>
      <w:r>
        <w:rPr>
          <w:rStyle w:val="FootnoteReference"/>
          <w:noProof/>
        </w:rPr>
        <w:footnoteReference w:id="26"/>
      </w:r>
      <w:r>
        <w:rPr>
          <w:noProof/>
        </w:rPr>
        <w:t xml:space="preserve">), în cadrul cărora s-a discutat despre reînnoirea generațiilor, oferind tinerilor posibilitatea de a modela politica agricolă. </w:t>
      </w:r>
    </w:p>
    <w:p w14:paraId="4B6BBF96" w14:textId="04543241" w:rsidR="00420448" w:rsidRPr="00DD3546" w:rsidRDefault="00C807B6" w:rsidP="00420448">
      <w:pPr>
        <w:rPr>
          <w:noProof/>
        </w:rPr>
      </w:pPr>
      <w:r>
        <w:rPr>
          <w:noProof/>
        </w:rPr>
        <w:t>La nivel național, statele membre sunt încurajate să includă reprezentanți ai tinerilor fermieri în comitetele de monitorizare(</w:t>
      </w:r>
      <w:r>
        <w:rPr>
          <w:rStyle w:val="FootnoteReference"/>
          <w:noProof/>
        </w:rPr>
        <w:footnoteReference w:id="27"/>
      </w:r>
      <w:r>
        <w:rPr>
          <w:noProof/>
        </w:rPr>
        <w:t xml:space="preserve">) </w:t>
      </w:r>
      <w:r>
        <w:rPr>
          <w:b/>
          <w:noProof/>
        </w:rPr>
        <w:t xml:space="preserve">pentru a se asigura că perspectivele lor stau la baza deciziilor de politică </w:t>
      </w:r>
      <w:r>
        <w:rPr>
          <w:noProof/>
        </w:rPr>
        <w:t>din cadrul PAC. Acest lucru creează un spațiu instituțional pentru ca tinerii fermieri să își facă simțită vocea în procesul decizional, permițându-le să contribuie la o mai bună punere în aplicare și să consolideze asumarea răspunderii pentru îndeplinirea angajamentelor în materie de reînnoire a generațiilor.</w:t>
      </w:r>
    </w:p>
    <w:p w14:paraId="7FA1B0A9" w14:textId="1AB97B39" w:rsidR="00420448" w:rsidRPr="00E90503" w:rsidRDefault="00420448" w:rsidP="00420448">
      <w:pPr>
        <w:rPr>
          <w:noProof/>
        </w:rPr>
      </w:pPr>
      <w:r>
        <w:rPr>
          <w:noProof/>
        </w:rPr>
        <w:t>Prin integrarea directă a tinerilor în elaborarea politicii agricole, această strategie pune bazele unei responsabilități mai puternice, a unui sprijin mai reactiv și a unui sector agricol dinamic, orientat spre viitor. Strategia reflectă angajamentul UE de a se asigura că cei pregătiți să conducă agricultura europeană spre viitor dispun atât de instrumentele necesare, cât și de posibilitatea de a-și exprima opiniile.</w:t>
      </w:r>
    </w:p>
    <w:p w14:paraId="353DEB00" w14:textId="4F0410C4" w:rsidR="00C509AE" w:rsidRDefault="00C509AE" w:rsidP="00001A9F">
      <w:pPr>
        <w:rPr>
          <w:noProof/>
        </w:rPr>
      </w:pPr>
      <w:r>
        <w:rPr>
          <w:noProof/>
        </w:rPr>
        <w:t>Pentru a valorifica această dinamică, dialogurile privind politicile pentru tineret vor continua anual pe parcursul acestui mandat, permițând schimbul periodic de opinii, schimbul de experiență și dezbateri în cunoștință de cauză cu privire la principalele aspecte de politică și asigurându-se că toate vocile tinerilor sunt auzite în mod egal.</w:t>
      </w:r>
    </w:p>
    <w:p w14:paraId="0E5DD872" w14:textId="79609108" w:rsidR="0082320F" w:rsidRPr="00FA1A47" w:rsidRDefault="0082320F" w:rsidP="00E84BBE">
      <w:pPr>
        <w:rPr>
          <w:b/>
          <w:smallCaps/>
          <w:noProof/>
        </w:rPr>
      </w:pPr>
      <w:r>
        <w:rPr>
          <w:b/>
          <w:smallCaps/>
          <w:noProof/>
        </w:rPr>
        <w:t>Obiective-cheie și priorități strategice</w:t>
      </w:r>
    </w:p>
    <w:p w14:paraId="1EFE779D" w14:textId="33DAD72E" w:rsidR="007C7B93" w:rsidRPr="007C7B93" w:rsidRDefault="007C7B93" w:rsidP="007D3BF1">
      <w:pPr>
        <w:rPr>
          <w:noProof/>
        </w:rPr>
      </w:pPr>
      <w:r>
        <w:rPr>
          <w:noProof/>
        </w:rPr>
        <w:t>Principalul obiectiv al acestei strategii este de a asigura reziliența pe termen lung a sectorului agricol prin sprijinirea veniturilor fermelor. Acest lucru este esențial nu numai pentru vitalitatea zonelor rurale, ci și pentru securitatea alimentară a Europei. Aceasta presupune acordarea de sprijin fermierilor pentru ca să dezvolte afaceri viabile din punct de vedere economic, durabile și adaptate exigențelor viitorului. Pentru a realiza acest obiectiv, inovarea și antreprenoriatul sunt factori favorizanți transversali fundamentali.</w:t>
      </w:r>
    </w:p>
    <w:p w14:paraId="140A8FB0" w14:textId="71A4CD51" w:rsidR="00F91EFA" w:rsidRDefault="007C7B93" w:rsidP="0032028B">
      <w:pPr>
        <w:rPr>
          <w:noProof/>
        </w:rPr>
      </w:pPr>
      <w:r>
        <w:rPr>
          <w:noProof/>
        </w:rPr>
        <w:t xml:space="preserve">Este esențial ca tinerii fermieri și noii fermieri să beneficieze de oportunitățile emergente și </w:t>
      </w:r>
      <w:r>
        <w:rPr>
          <w:b/>
          <w:noProof/>
        </w:rPr>
        <w:t>să se ofere sprijin pentru diversificarea veniturilor fermelor</w:t>
      </w:r>
      <w:r>
        <w:rPr>
          <w:noProof/>
        </w:rPr>
        <w:t xml:space="preserve">. Scopul este ca fermierii să devină mai rezilienți și mai puțin dependenți de subvenții pe termen lung. Strategia se bazează, printre altele, pe potențialul bioeconomiei, al energiei din surse regenerabile, al naturii și al creditelor de carbon, precum și al lanțurilor scurte de aprovizionare. </w:t>
      </w:r>
    </w:p>
    <w:p w14:paraId="4100A6C6" w14:textId="0BEDF77D" w:rsidR="0032028B" w:rsidRDefault="4047B0D0" w:rsidP="0032028B">
      <w:pPr>
        <w:rPr>
          <w:noProof/>
        </w:rPr>
      </w:pPr>
      <w:r>
        <w:rPr>
          <w:noProof/>
        </w:rPr>
        <w:t xml:space="preserve">Aceasta recunoaște că agricultura trebuie să asigure un </w:t>
      </w:r>
      <w:r>
        <w:rPr>
          <w:b/>
          <w:noProof/>
        </w:rPr>
        <w:t>venit stabil și echitabil prin prețuri echitabile(</w:t>
      </w:r>
      <w:r>
        <w:rPr>
          <w:rStyle w:val="FootnoteReference"/>
          <w:b/>
          <w:bCs/>
          <w:noProof/>
        </w:rPr>
        <w:footnoteReference w:id="28"/>
      </w:r>
      <w:r>
        <w:rPr>
          <w:b/>
          <w:noProof/>
        </w:rPr>
        <w:t>)</w:t>
      </w:r>
      <w:r>
        <w:rPr>
          <w:noProof/>
        </w:rPr>
        <w:t>, pentru a sprijini condiții de trai viabile și atractive. Participanții la dialogul privind politicile pentru tineret(</w:t>
      </w:r>
      <w:r>
        <w:rPr>
          <w:rStyle w:val="FootnoteReference"/>
          <w:noProof/>
        </w:rPr>
        <w:footnoteReference w:id="29"/>
      </w:r>
      <w:r>
        <w:rPr>
          <w:noProof/>
        </w:rPr>
        <w:t>) au identificat veniturile echitabile drept cea mai urgentă provocare. Pentru mulți tineri europeni, perspectivele economice limitate rămân un factor descurajator în alegerea profesiei de fermier. Comisia recunoaște aceste preocupări și le abordează deja prin inițiative mai ample, inclusiv reforme și noi instrumente destinate să îmbunătățească echitatea și transparența în cadrul lanțului de aprovizionare agricol și cu alimente(</w:t>
      </w:r>
      <w:r>
        <w:rPr>
          <w:rStyle w:val="FootnoteReference"/>
          <w:noProof/>
        </w:rPr>
        <w:footnoteReference w:id="30"/>
      </w:r>
      <w:r>
        <w:rPr>
          <w:noProof/>
        </w:rPr>
        <w:t>). Este important să se reamintească rolul-cheie al organizațiilor de producători (OP), care pot consolida puterea de negociere a fermierilor, pot îmbunătăți accesul pe piață și pot contribui la venituri mai echitabile.</w:t>
      </w:r>
    </w:p>
    <w:p w14:paraId="0A82ECAB" w14:textId="4934E985" w:rsidR="00F91EFA" w:rsidRDefault="00540AEC" w:rsidP="00F91EFA">
      <w:pPr>
        <w:rPr>
          <w:noProof/>
        </w:rPr>
      </w:pPr>
      <w:r>
        <w:rPr>
          <w:noProof/>
        </w:rPr>
        <w:t>Există un consens general(</w:t>
      </w:r>
      <w:r>
        <w:rPr>
          <w:rStyle w:val="FootnoteReference"/>
          <w:noProof/>
        </w:rPr>
        <w:footnoteReference w:id="31"/>
      </w:r>
      <w:r>
        <w:rPr>
          <w:noProof/>
        </w:rPr>
        <w:t>) cu privire la faptul că cinci domenii necesită acțiuni urgente: accesul la finanțare, educație, formare și competențe, terenuri, un nivel de trai echitabil în zonele rurale, precum și asistență la transferul fermelor între generații și la pensionare. Aceste provocări sunt abordate în cinci blocuri strategice, fiecare cu inițiative emblematice și acțiuni de sprijin esențiale:</w:t>
      </w:r>
    </w:p>
    <w:p w14:paraId="662B4E1F" w14:textId="70DDDD62" w:rsidR="00FC3BF5" w:rsidRPr="00F91EFA" w:rsidRDefault="002030D7" w:rsidP="00F91EFA">
      <w:pPr>
        <w:rPr>
          <w:b/>
          <w:bCs/>
          <w:noProof/>
        </w:rPr>
      </w:pPr>
      <w:r>
        <w:rPr>
          <w:b/>
          <w:noProof/>
        </w:rPr>
        <w:t>A.</w:t>
      </w:r>
      <w:r>
        <w:rPr>
          <w:noProof/>
        </w:rPr>
        <w:t xml:space="preserve"> </w:t>
      </w:r>
      <w:r>
        <w:rPr>
          <w:b/>
          <w:noProof/>
        </w:rPr>
        <w:t xml:space="preserve">Accesul la credite și la finanțare </w:t>
      </w:r>
    </w:p>
    <w:p w14:paraId="2660DF98" w14:textId="04927BAD" w:rsidR="00FC3BF5" w:rsidRDefault="00FC3BF5" w:rsidP="00FC3BF5">
      <w:pPr>
        <w:rPr>
          <w:noProof/>
        </w:rPr>
      </w:pPr>
      <w:r>
        <w:rPr>
          <w:b/>
          <w:noProof/>
        </w:rPr>
        <w:t>Accesul la finanțare rămâne o provocare majoră pentru toți fermierii, în special pentru tinerii fermieri și pentru noii fermieri</w:t>
      </w:r>
      <w:r>
        <w:rPr>
          <w:noProof/>
        </w:rPr>
        <w:t>, deoarece înființarea sau preluarea unei ferme necesită investiții inițiale ridicate, cu randamente întârziate și adesea instabile sau incerte. Mulți fermieri pornesc pe acest drum sub povara datoriilor, ceea ce îngreunează finanțarea noilor operațiuni, adoptarea unor practici durabile sau modernizarea echipamentelor. În 2023, tinerii fermieri au avut un raport dintre active și pasive de peste 20 %, comparativ cu 8 % pentru fermierii cu vârsta de peste 65 de ani(</w:t>
      </w:r>
      <w:r>
        <w:rPr>
          <w:rStyle w:val="FootnoteReference"/>
          <w:noProof/>
        </w:rPr>
        <w:footnoteReference w:id="32"/>
      </w:r>
      <w:r>
        <w:rPr>
          <w:noProof/>
        </w:rPr>
        <w:t>), ceea ce a evidențiat presiunea financiară mai mare cu care se confruntă generația mai tânără.</w:t>
      </w:r>
    </w:p>
    <w:p w14:paraId="058021C3" w14:textId="158CD96E" w:rsidR="00187EAB" w:rsidRPr="0073546A" w:rsidRDefault="00187EAB" w:rsidP="00FC3BF5">
      <w:pPr>
        <w:rPr>
          <w:noProof/>
        </w:rPr>
      </w:pPr>
      <w:r>
        <w:rPr>
          <w:noProof/>
        </w:rPr>
        <w:t>În 2022, tinerii fermieri din UE-27 s-au confruntat cu un deficit de finanțare de 14,1 miliarde EUR, reprezentând 22 % din deficitul total al sectorului, adică o creștere de 11 % față de 2017(</w:t>
      </w:r>
      <w:r>
        <w:rPr>
          <w:rStyle w:val="FootnoteReference"/>
          <w:noProof/>
        </w:rPr>
        <w:footnoteReference w:id="33"/>
      </w:r>
      <w:r>
        <w:rPr>
          <w:noProof/>
        </w:rPr>
        <w:t>). Un nou sondaj BEI realizat de platforma fi-compass(</w:t>
      </w:r>
      <w:r>
        <w:rPr>
          <w:rStyle w:val="FootnoteReference"/>
          <w:noProof/>
        </w:rPr>
        <w:footnoteReference w:id="34"/>
      </w:r>
      <w:r>
        <w:rPr>
          <w:noProof/>
        </w:rPr>
        <w:t xml:space="preserve">) nu arată nicio îmbunătățire în principalele sectoare: pentru cereale, semințe oleaginoase și culturi proteice, există un deficit de 4,9 miliarde EUR, pentru legume de 3,2 miliarde EUR, iar pentru vacile de lapte de 0,4 miliarde EUR. Acest deficit tot mai mare subliniază rolul central al tinerilor fermieri în satisfacerea nevoilor de investiții ale sectorului și necesitatea urgentă de a combate constrângerile financiare cu care se confruntă aceștia. </w:t>
      </w:r>
    </w:p>
    <w:p w14:paraId="6D6E8602" w14:textId="577E09AE" w:rsidR="00FC3BF5" w:rsidRPr="0073546A" w:rsidRDefault="00FC3BF5" w:rsidP="00FC3BF5">
      <w:pPr>
        <w:rPr>
          <w:noProof/>
        </w:rPr>
      </w:pPr>
      <w:r>
        <w:rPr>
          <w:noProof/>
        </w:rPr>
        <w:t xml:space="preserve">Una dintre cele mai urgente probleme este accesul limitat la produse financiare adaptate. Tinerii fermieri </w:t>
      </w:r>
      <w:r>
        <w:rPr>
          <w:b/>
          <w:noProof/>
        </w:rPr>
        <w:t>întâmpină adesea dificultăți în a obține împrumuturi pe termen lung</w:t>
      </w:r>
      <w:r>
        <w:rPr>
          <w:noProof/>
        </w:rPr>
        <w:t>, în special pentru perioade de peste 12 ani, din cauza lipsei garanțiilor sau a istoricului de creditare. Pentru a elimina aceste obstacole, instrumentele financiare, cum ar fi împrumuturile și garanțiile, trebuie să fie concepute special pentru ei. Aceste instrumente pot sprijini o gamă largă de investiții, de la dezvoltarea întreprinderilor și adaptarea la schimbările climatice până la digitalizare și achiziționarea treptată a fermelor prin preluări de acțiuni. De asemenea, instrumentele respective ar trebui să fie adaptate la particularitățile modelelor de afaceri alternative, cum ar fi cooperativele și întreprinderile sociale. Parteneriatele public-privat și o colaborare mai strânsă cu Grupul Băncii Europene de Investiții (Grupul BEI) și cu alte instituții financiare pot facilita și mai mult accesul la finanțare, în timp ce contragaranțiile ar putea oferi un potențial neexploatat pentru statele membre care doresc să sprijine reînnoirea generațiilor. Împreună cu Grupul BEI, Comisia va examina forme de sprijin pentru tinerii fermieri și pentru noii fermieri, inclusiv scheme de garantare și subvenții la rata dobânzii.</w:t>
      </w:r>
    </w:p>
    <w:p w14:paraId="4417F8FB" w14:textId="4337023D" w:rsidR="00FC3BF5" w:rsidRPr="0073546A" w:rsidRDefault="552F35F1" w:rsidP="00FC3BF5">
      <w:pPr>
        <w:rPr>
          <w:noProof/>
        </w:rPr>
      </w:pPr>
      <w:r>
        <w:rPr>
          <w:b/>
          <w:noProof/>
        </w:rPr>
        <w:t>Finanțarea este esențială, în special în ceea ce privește achiziționarea de terenuri.</w:t>
      </w:r>
      <w:r>
        <w:rPr>
          <w:noProof/>
        </w:rPr>
        <w:t xml:space="preserve"> Tinerii fermieri trebuie să poată utiliza instrumentele cofinanțate de UE pentru a achiziționa terenuri agricole fără condiții restrictive în mod nejustificat. Acest lucru le-ar permite să își consolideze operațiunile și să investească în îmbunătățiri pe termen lung, cum ar fi sănătatea solului, practicile agroecologice sau sechestrarea carbonului. Accesul la terenuri rămâne un obstacol major, iar facilitarea achiziționării de terenuri este esențială pentru asigurarea viabilității pe termen lung.</w:t>
      </w:r>
    </w:p>
    <w:p w14:paraId="66B79191" w14:textId="1946454F" w:rsidR="00FC3BF5" w:rsidRPr="0073546A" w:rsidRDefault="00FC3BF5" w:rsidP="00FC3BF5">
      <w:pPr>
        <w:rPr>
          <w:noProof/>
        </w:rPr>
      </w:pPr>
      <w:r>
        <w:rPr>
          <w:noProof/>
        </w:rPr>
        <w:t xml:space="preserve">În paralel, </w:t>
      </w:r>
      <w:r>
        <w:rPr>
          <w:b/>
          <w:noProof/>
        </w:rPr>
        <w:t>investițiile în inovare și în tehnologiile moderne</w:t>
      </w:r>
      <w:r>
        <w:rPr>
          <w:noProof/>
        </w:rPr>
        <w:t xml:space="preserve"> sunt esențiale pentru a îmbunătăți productivitatea, a spori reziliența și a sprijini tranziția verde. Finanțarea trebuie să meargă dincolo de instrumentele convenționale pentru ca tinerii fermieri să poată adopta noi tehnici, instrumente digitale și soluții durabile care să le permită să facă față provocărilor legate de schimbările climatice și de cererea în schimbare de pe piață. Acest lucru este deosebit de relevant pentru agricultura ecologică, unde randamentele mai scăzute pot crește riscul financiar. În acest sens, instrumentele eficace de gestionare a riscurilor sunt esențiale și, deși noile plăți de tranziție în valoare de 200 000 EUR în cadrul viitoarei PAC, dacă sunt adoptate, ar putea reprezenta un bun exemplu pentru sprijinirea produselor ecologice și a tranziției, vor fi necesare mai multe resurse pentru a aborda amploarea provocărilor existente.</w:t>
      </w:r>
    </w:p>
    <w:p w14:paraId="59945D9C" w14:textId="155C7E98" w:rsidR="00FC3BF5" w:rsidRPr="00F92C26" w:rsidRDefault="00FC3BF5" w:rsidP="00FC3BF5">
      <w:pPr>
        <w:rPr>
          <w:noProof/>
        </w:rPr>
      </w:pPr>
      <w:r>
        <w:rPr>
          <w:noProof/>
        </w:rPr>
        <w:t>În plus, modificările în materie de reglementare îngreunează realizarea cu încredere de către fermieri a investițiilor pe termen lung. Aceștia contractează împrumuturi pe baza normelor actuale și se confruntă cu modificări ale normelor respective înainte ca investițiile lor să fie amortizate, fapt care subminează securitatea juridică și previzibilitatea. Un sector agroalimentar mai previzibil pentru 2040 este, prin urmare, un obiectiv-cheie al viziunii Comisiei pentru agricultură și sectorul alimentar. Comisia se angajează să aplice perioade de tranziție suficiente atunci când ia în considerare modificări în materie de reglementare care afectează fermele.</w:t>
      </w:r>
    </w:p>
    <w:p w14:paraId="66ED7007" w14:textId="285E9C25" w:rsidR="00A80181" w:rsidRDefault="77571398" w:rsidP="00FC3BF5">
      <w:pPr>
        <w:rPr>
          <w:noProof/>
        </w:rPr>
      </w:pPr>
      <w:r>
        <w:rPr>
          <w:noProof/>
        </w:rPr>
        <w:t xml:space="preserve">În acest context, PAC și finanțarea națională rămân vitale. Ajutoarele pentru instalare și sprijinul specific pentru investiții sunt esențiale pentru a-i ajuta pe tinerii fermieri să își lanseze afacerile, să își consolideze reziliența și să gestioneze atât riscurile de piață, cât și riscurile climatice. Sumele forfetare de tranziție, cum ar fi cele prevăzute în cadrul viitoarei PAC, ar putea avea, de asemenea, un rol important în sprijinirea fermierilor în primele etape critice de adaptare la aceste provocări. </w:t>
      </w:r>
    </w:p>
    <w:p w14:paraId="4B5F06EA" w14:textId="342FA250" w:rsidR="003A28E0" w:rsidRDefault="003A28E0" w:rsidP="00FC3BF5">
      <w:pPr>
        <w:rPr>
          <w:noProof/>
        </w:rPr>
      </w:pPr>
      <w:r>
        <w:rPr>
          <w:noProof/>
        </w:rPr>
        <w:t>FEC propus, împreună cu pilonul II al programului Orizont Europa, ar putea oferi posibilități de finanțare pentru ca fermierii, inclusiv tinerii fermieri și noii fermieri, să își extindă întreprinderile și să depășească barierele structurale. În conformitate cu Strategia UE privind start-upurile și întreprinderile în fază de extindere(</w:t>
      </w:r>
      <w:r>
        <w:rPr>
          <w:rStyle w:val="FootnoteReference"/>
          <w:noProof/>
        </w:rPr>
        <w:footnoteReference w:id="35"/>
      </w:r>
      <w:r>
        <w:rPr>
          <w:noProof/>
        </w:rPr>
        <w:t>), aceste instrumente mobilizează capital, abordează deficitul de finanțare pentru creștere și încurajează start-upurile agroalimentare din zonele rurale. Un tânăr fermier care înființează un start-up în mediul rural s-ar putea extinde și mai mult prin accesarea acestor instrumente, inclusiv a Consiliului European pentru Inovare, după caz.</w:t>
      </w:r>
    </w:p>
    <w:p w14:paraId="0734AE81" w14:textId="6834ACEC" w:rsidR="00542368" w:rsidRDefault="77571398" w:rsidP="00FC3BF5">
      <w:pPr>
        <w:rPr>
          <w:noProof/>
        </w:rPr>
      </w:pPr>
      <w:r>
        <w:rPr>
          <w:noProof/>
        </w:rPr>
        <w:t>Instrumentele financiare adaptate și mecanismele de sprijin integrate care vizează combinarea finanțării publice și private vor fi esențiale pentru deblocarea potențialului generației următoare și pentru stimularea unei transformări durabile a agriculturii UE.</w:t>
      </w:r>
    </w:p>
    <w:p w14:paraId="7577E234" w14:textId="47DACFF9" w:rsidR="003A0B2C" w:rsidRDefault="003672D5" w:rsidP="00FC3BF5">
      <w:pPr>
        <w:rPr>
          <w:b/>
          <w:bCs/>
          <w:i/>
          <w:iCs/>
          <w:noProof/>
          <w:sz w:val="22"/>
          <w:szCs w:val="22"/>
        </w:rPr>
      </w:pPr>
      <w:r>
        <w:rPr>
          <w:noProof/>
          <w:lang w:val="en-GB"/>
        </w:rPr>
        <mc:AlternateContent>
          <mc:Choice Requires="wps">
            <w:drawing>
              <wp:anchor distT="0" distB="0" distL="114300" distR="114300" simplePos="0" relativeHeight="251658242" behindDoc="1" locked="0" layoutInCell="1" allowOverlap="1" wp14:anchorId="3504A3C2" wp14:editId="7D68AF9D">
                <wp:simplePos x="0" y="0"/>
                <wp:positionH relativeFrom="margin">
                  <wp:posOffset>-58709</wp:posOffset>
                </wp:positionH>
                <wp:positionV relativeFrom="paragraph">
                  <wp:posOffset>132253</wp:posOffset>
                </wp:positionV>
                <wp:extent cx="5875655" cy="1413048"/>
                <wp:effectExtent l="0" t="0" r="10795" b="15875"/>
                <wp:wrapNone/>
                <wp:docPr id="357331725" name="Rectangle: Rounded Corners 1"/>
                <wp:cNvGraphicFramePr/>
                <a:graphic xmlns:a="http://schemas.openxmlformats.org/drawingml/2006/main">
                  <a:graphicData uri="http://schemas.microsoft.com/office/word/2010/wordprocessingShape">
                    <wps:wsp>
                      <wps:cNvSpPr/>
                      <wps:spPr>
                        <a:xfrm>
                          <a:off x="0" y="0"/>
                          <a:ext cx="5875655" cy="1413048"/>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oundrect id="Rectangle: Rounded Corners 1" style="position:absolute;margin-left:-4.6pt;margin-top:10.4pt;width:462.65pt;height:111.2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3e5a1 [1305]"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" arcsize="10923f" w14:anchorId="062C2958">
                <v:stroke joinstyle="miter"/>
                <w10:wrap anchorx="margin"/>
              </v:roundrect>
            </w:pict>
          </mc:Fallback>
        </mc:AlternateContent>
      </w:r>
    </w:p>
    <w:p w14:paraId="1C02681F" w14:textId="180427A5" w:rsidR="00FC3BF5" w:rsidRPr="003D634B" w:rsidRDefault="003A0B2C" w:rsidP="00106CD6">
      <w:pPr>
        <w:tabs>
          <w:tab w:val="center" w:pos="4451"/>
        </w:tabs>
        <w:rPr>
          <w:b/>
          <w:bCs/>
          <w:i/>
          <w:iCs/>
          <w:noProof/>
          <w:sz w:val="22"/>
          <w:szCs w:val="22"/>
        </w:rPr>
      </w:pPr>
      <w:r>
        <w:rPr>
          <w:b/>
          <w:i/>
          <w:noProof/>
          <w:sz w:val="22"/>
        </w:rPr>
        <w:t>Inițiative emblematice</w:t>
      </w:r>
      <w:r>
        <w:rPr>
          <w:noProof/>
        </w:rPr>
        <w:tab/>
      </w:r>
    </w:p>
    <w:p w14:paraId="09F2E891" w14:textId="65DB6B61" w:rsidR="002E1669" w:rsidRPr="00244300" w:rsidRDefault="00427BA7" w:rsidP="002F39C3">
      <w:pPr>
        <w:pStyle w:val="ListParagraph"/>
        <w:numPr>
          <w:ilvl w:val="0"/>
          <w:numId w:val="25"/>
        </w:numPr>
        <w:rPr>
          <w:i/>
          <w:iCs/>
          <w:noProof/>
          <w:sz w:val="22"/>
          <w:szCs w:val="22"/>
        </w:rPr>
      </w:pPr>
      <w:r>
        <w:rPr>
          <w:b/>
          <w:i/>
          <w:noProof/>
          <w:sz w:val="22"/>
        </w:rPr>
        <w:t>În propunerea privind viitoarea PAC, se prevede un nivel maxim triplat al sprijinului PAC (echivalent subvenție brută)</w:t>
      </w:r>
      <w:r>
        <w:rPr>
          <w:i/>
          <w:noProof/>
          <w:sz w:val="22"/>
        </w:rPr>
        <w:t xml:space="preserve"> pentru instalarea tinerilor fermieri atunci când sprijinul este furnizat </w:t>
      </w:r>
      <w:r>
        <w:rPr>
          <w:b/>
          <w:i/>
          <w:noProof/>
          <w:sz w:val="22"/>
        </w:rPr>
        <w:t>prin intermediul instrumentelor financiare</w:t>
      </w:r>
      <w:r>
        <w:rPr>
          <w:i/>
          <w:noProof/>
          <w:sz w:val="22"/>
        </w:rPr>
        <w:t xml:space="preserve"> (de la 100 000 EUR la 300 000 EUR), permițând un volum mult mai mare al împrumuturilor pe proiect și/sau o reducere semnificativă a plăților ratei dobânzii. </w:t>
      </w:r>
    </w:p>
    <w:p w14:paraId="5E75C7D9" w14:textId="41E0DEF9" w:rsidR="002E1669" w:rsidRDefault="00427BA7" w:rsidP="002F39C3">
      <w:pPr>
        <w:pStyle w:val="ListParagraph"/>
        <w:numPr>
          <w:ilvl w:val="0"/>
          <w:numId w:val="25"/>
        </w:numPr>
        <w:rPr>
          <w:i/>
          <w:iCs/>
          <w:noProof/>
          <w:sz w:val="22"/>
          <w:szCs w:val="22"/>
        </w:rPr>
      </w:pPr>
      <w:r>
        <w:rPr>
          <w:b/>
          <w:i/>
          <w:noProof/>
          <w:sz w:val="22"/>
        </w:rPr>
        <w:t>Propunerea prevede, de asemenea, o rată mai mare a sprijinului pentru investiții de până la 85 %</w:t>
      </w:r>
      <w:r>
        <w:rPr>
          <w:i/>
          <w:noProof/>
          <w:sz w:val="22"/>
        </w:rPr>
        <w:t xml:space="preserve"> și posibilitatea ca statele membre să stabilească niveluri minime de cheltuieli sau rate mai ridicate de cofinanțare din partea UE pentru tinerii fermieri.</w:t>
      </w:r>
    </w:p>
    <w:p w14:paraId="225CF9D6" w14:textId="5045F6EE" w:rsidR="00CF7C32" w:rsidRDefault="00CF7C32" w:rsidP="00AD3BBB">
      <w:pPr>
        <w:rPr>
          <w:noProof/>
        </w:rPr>
      </w:pPr>
    </w:p>
    <w:p w14:paraId="0AF1FED2" w14:textId="77777777" w:rsidR="005B3424" w:rsidRDefault="005B3424" w:rsidP="00AD3BBB">
      <w:pPr>
        <w:rPr>
          <w:noProof/>
        </w:rPr>
      </w:pPr>
    </w:p>
    <w:p w14:paraId="533A422F" w14:textId="77777777" w:rsidR="005B3424" w:rsidRDefault="005B3424" w:rsidP="00AD3BBB">
      <w:pPr>
        <w:rPr>
          <w:noProof/>
        </w:rPr>
      </w:pPr>
    </w:p>
    <w:tbl>
      <w:tblPr>
        <w:tblStyle w:val="TableGrid"/>
        <w:tblW w:w="9214" w:type="dxa"/>
        <w:tblInd w:w="-150" w:type="dxa"/>
        <w:tblLayout w:type="fixed"/>
        <w:tblLook w:val="04A0" w:firstRow="1" w:lastRow="0" w:firstColumn="1" w:lastColumn="0" w:noHBand="0" w:noVBand="1"/>
      </w:tblPr>
      <w:tblGrid>
        <w:gridCol w:w="2155"/>
        <w:gridCol w:w="5925"/>
        <w:gridCol w:w="1134"/>
      </w:tblGrid>
      <w:tr w:rsidR="005863B8" w:rsidRPr="00636FA3" w14:paraId="1B8713C1" w14:textId="77777777" w:rsidTr="00356507">
        <w:trPr>
          <w:trHeight w:val="490"/>
        </w:trPr>
        <w:tc>
          <w:tcPr>
            <w:tcW w:w="8080" w:type="dxa"/>
            <w:gridSpan w:val="2"/>
            <w:shd w:val="clear" w:color="auto" w:fill="D9F2D0" w:themeFill="accent6" w:themeFillTint="33"/>
          </w:tcPr>
          <w:p w14:paraId="745A7E04" w14:textId="77777777" w:rsidR="005863B8" w:rsidRPr="00C67F94" w:rsidRDefault="005863B8" w:rsidP="00356507">
            <w:pPr>
              <w:jc w:val="center"/>
              <w:rPr>
                <w:b/>
                <w:bCs/>
                <w:noProof/>
                <w:sz w:val="20"/>
              </w:rPr>
            </w:pPr>
            <w:r>
              <w:rPr>
                <w:b/>
                <w:noProof/>
                <w:sz w:val="20"/>
              </w:rPr>
              <w:t>Acțiuni propuse în cadrul actualei PAC și în propunerea privind PAC pentru perioada 2028-2034</w:t>
            </w:r>
          </w:p>
        </w:tc>
        <w:tc>
          <w:tcPr>
            <w:tcW w:w="1134" w:type="dxa"/>
            <w:shd w:val="clear" w:color="auto" w:fill="D9F2D0" w:themeFill="accent6" w:themeFillTint="33"/>
          </w:tcPr>
          <w:p w14:paraId="4EA142A8" w14:textId="77777777" w:rsidR="005863B8" w:rsidRPr="00C67F94" w:rsidRDefault="005863B8" w:rsidP="00356507">
            <w:pPr>
              <w:jc w:val="center"/>
              <w:rPr>
                <w:b/>
                <w:bCs/>
                <w:noProof/>
                <w:sz w:val="20"/>
              </w:rPr>
            </w:pPr>
          </w:p>
        </w:tc>
      </w:tr>
      <w:tr w:rsidR="005863B8" w14:paraId="6499BEBE" w14:textId="77777777" w:rsidTr="00356507">
        <w:trPr>
          <w:trHeight w:val="1204"/>
        </w:trPr>
        <w:tc>
          <w:tcPr>
            <w:tcW w:w="2155" w:type="dxa"/>
            <w:shd w:val="clear" w:color="auto" w:fill="FFFFFF" w:themeFill="background1"/>
          </w:tcPr>
          <w:p w14:paraId="280D9C18" w14:textId="77777777" w:rsidR="005863B8" w:rsidRDefault="005863B8" w:rsidP="00356507">
            <w:pPr>
              <w:rPr>
                <w:b/>
                <w:bCs/>
                <w:noProof/>
                <w:sz w:val="20"/>
              </w:rPr>
            </w:pPr>
            <w:r>
              <w:rPr>
                <w:b/>
                <w:noProof/>
                <w:sz w:val="20"/>
              </w:rPr>
              <w:t>Sprijin pentru proiectarea financiară și pentru sensibilizarea publicului</w:t>
            </w:r>
          </w:p>
        </w:tc>
        <w:tc>
          <w:tcPr>
            <w:tcW w:w="5925" w:type="dxa"/>
            <w:shd w:val="clear" w:color="auto" w:fill="FFFFFF" w:themeFill="background1"/>
          </w:tcPr>
          <w:p w14:paraId="2D2A1B6A" w14:textId="77777777" w:rsidR="005863B8" w:rsidRDefault="005863B8" w:rsidP="00356507">
            <w:pPr>
              <w:rPr>
                <w:noProof/>
                <w:sz w:val="20"/>
              </w:rPr>
            </w:pPr>
            <w:r>
              <w:rPr>
                <w:noProof/>
                <w:sz w:val="20"/>
              </w:rPr>
              <w:t>Furnizarea de asistență tehnică pentru conceperea și punerea în aplicare a unor instrumente financiare adaptate tinerilor fermieri. Aceasta include îndrumare și sprijin prin intermediul unor platforme precum fi-compass, precum și eforturi de comunicare și diseminare sporite și accesibile în cadrul rețelei PAC pentru a sensibiliza publicul cu privire la oportunitățile de finanțare.</w:t>
            </w:r>
          </w:p>
        </w:tc>
        <w:tc>
          <w:tcPr>
            <w:tcW w:w="1134" w:type="dxa"/>
            <w:shd w:val="clear" w:color="auto" w:fill="FFFFFF" w:themeFill="background1"/>
          </w:tcPr>
          <w:p w14:paraId="436A6B0E" w14:textId="77777777" w:rsidR="005863B8" w:rsidRDefault="005863B8" w:rsidP="00356507">
            <w:pPr>
              <w:jc w:val="left"/>
              <w:rPr>
                <w:noProof/>
                <w:sz w:val="20"/>
              </w:rPr>
            </w:pPr>
            <w:r>
              <w:rPr>
                <w:noProof/>
                <w:sz w:val="20"/>
              </w:rPr>
              <w:t>T2 2026 și PAC actuală</w:t>
            </w:r>
          </w:p>
        </w:tc>
      </w:tr>
      <w:tr w:rsidR="005863B8" w:rsidRPr="00636FA3" w14:paraId="54164120" w14:textId="77777777" w:rsidTr="00356507">
        <w:trPr>
          <w:trHeight w:val="3607"/>
        </w:trPr>
        <w:tc>
          <w:tcPr>
            <w:tcW w:w="2155" w:type="dxa"/>
            <w:shd w:val="clear" w:color="auto" w:fill="FFFFFF" w:themeFill="background1"/>
          </w:tcPr>
          <w:p w14:paraId="793763E0" w14:textId="77777777" w:rsidR="005863B8" w:rsidRPr="00636FA3" w:rsidRDefault="005863B8" w:rsidP="00356507">
            <w:pPr>
              <w:rPr>
                <w:b/>
                <w:bCs/>
                <w:noProof/>
                <w:sz w:val="20"/>
              </w:rPr>
            </w:pPr>
            <w:r>
              <w:rPr>
                <w:b/>
                <w:noProof/>
                <w:sz w:val="20"/>
              </w:rPr>
              <w:t xml:space="preserve">Accesul la finanțare și o mai bună gestionare a riscurilor în cadrul strategiilor statelor membre și prin pachetul de măsuri pentru demarare </w:t>
            </w:r>
          </w:p>
        </w:tc>
        <w:tc>
          <w:tcPr>
            <w:tcW w:w="5925" w:type="dxa"/>
            <w:shd w:val="clear" w:color="auto" w:fill="FFFFFF" w:themeFill="background1"/>
          </w:tcPr>
          <w:p w14:paraId="5CFF74F2" w14:textId="77777777" w:rsidR="005863B8" w:rsidRPr="004E5BDC" w:rsidRDefault="005863B8" w:rsidP="00356507">
            <w:pPr>
              <w:pStyle w:val="ListParagraph"/>
              <w:numPr>
                <w:ilvl w:val="0"/>
                <w:numId w:val="28"/>
              </w:numPr>
              <w:rPr>
                <w:noProof/>
                <w:sz w:val="20"/>
              </w:rPr>
            </w:pPr>
            <w:r>
              <w:rPr>
                <w:noProof/>
                <w:sz w:val="20"/>
              </w:rPr>
              <w:t>Acțiuni privind accesul la finanțare pentru tinerii fermieri în cadrul strategiilor lor de reînnoire a generațiilor și luarea în considerare a aplicării unor măsuri suplimentare, cum ar fi rate mai mari ale granturilor sau puncte suplimentare în selectarea proiectelor pentru grupurile subreprezentate, acordând o atenție deosebită tinerelor fermiere.</w:t>
            </w:r>
          </w:p>
          <w:p w14:paraId="4F364965" w14:textId="77777777" w:rsidR="005863B8" w:rsidRPr="004E5BDC" w:rsidRDefault="005863B8" w:rsidP="00356507">
            <w:pPr>
              <w:pStyle w:val="ListParagraph"/>
              <w:numPr>
                <w:ilvl w:val="0"/>
                <w:numId w:val="28"/>
              </w:numPr>
              <w:rPr>
                <w:noProof/>
                <w:sz w:val="20"/>
              </w:rPr>
            </w:pPr>
            <w:r>
              <w:rPr>
                <w:noProof/>
                <w:sz w:val="20"/>
              </w:rPr>
              <w:t xml:space="preserve">Furnizarea de fonduri de împrumuturi și de garantare destinate tinerilor fermieri, inclusiv instrumente cu rate reduse ale dobânzii, garanții mai mici, perioade de grație și perioade de rambursare mai lungi, în cadrul pachetelor financiare naționale ale statelor membre și prin intermediul instrumentelor din pachetul de măsuri pentru demarare, inclusiv pentru agricultura ecologică. </w:t>
            </w:r>
          </w:p>
          <w:p w14:paraId="70AA8D97" w14:textId="6A99C2F0" w:rsidR="005863B8" w:rsidRPr="004E5BDC" w:rsidRDefault="005863B8" w:rsidP="00356507">
            <w:pPr>
              <w:pStyle w:val="ListParagraph"/>
              <w:numPr>
                <w:ilvl w:val="0"/>
                <w:numId w:val="28"/>
              </w:numPr>
              <w:rPr>
                <w:noProof/>
                <w:sz w:val="20"/>
              </w:rPr>
            </w:pPr>
          </w:p>
        </w:tc>
        <w:tc>
          <w:tcPr>
            <w:tcW w:w="1134" w:type="dxa"/>
            <w:shd w:val="clear" w:color="auto" w:fill="FFFFFF" w:themeFill="background1"/>
          </w:tcPr>
          <w:p w14:paraId="5A06DB41" w14:textId="77777777" w:rsidR="005863B8" w:rsidRPr="00636FA3" w:rsidRDefault="005863B8" w:rsidP="00356507">
            <w:pPr>
              <w:rPr>
                <w:noProof/>
                <w:sz w:val="20"/>
              </w:rPr>
            </w:pPr>
            <w:r>
              <w:rPr>
                <w:noProof/>
                <w:sz w:val="20"/>
              </w:rPr>
              <w:t>Noua PAC – începând din 2028</w:t>
            </w:r>
          </w:p>
        </w:tc>
      </w:tr>
      <w:tr w:rsidR="00FA1A47" w:rsidRPr="00636FA3" w14:paraId="2C5CB3BB" w14:textId="77777777" w:rsidTr="00FA1A47">
        <w:trPr>
          <w:trHeight w:val="978"/>
        </w:trPr>
        <w:tc>
          <w:tcPr>
            <w:tcW w:w="2155" w:type="dxa"/>
            <w:shd w:val="clear" w:color="auto" w:fill="FFFFFF" w:themeFill="background1"/>
          </w:tcPr>
          <w:p w14:paraId="7045DE94" w14:textId="1B8B6F32" w:rsidR="00FA1A47" w:rsidRPr="730E4BBC" w:rsidRDefault="00FA1A47" w:rsidP="00FA1A47">
            <w:pPr>
              <w:rPr>
                <w:b/>
                <w:bCs/>
                <w:noProof/>
                <w:sz w:val="20"/>
              </w:rPr>
            </w:pPr>
            <w:r>
              <w:rPr>
                <w:b/>
                <w:noProof/>
                <w:sz w:val="20"/>
              </w:rPr>
              <w:t>Planuri de afaceri</w:t>
            </w:r>
          </w:p>
        </w:tc>
        <w:tc>
          <w:tcPr>
            <w:tcW w:w="5925" w:type="dxa"/>
            <w:shd w:val="clear" w:color="auto" w:fill="FFFFFF" w:themeFill="background1"/>
          </w:tcPr>
          <w:p w14:paraId="4378B4F3" w14:textId="53707646" w:rsidR="00FA1A47" w:rsidRDefault="00FA1A47" w:rsidP="00FA1A47">
            <w:pPr>
              <w:pStyle w:val="ListParagraph"/>
              <w:numPr>
                <w:ilvl w:val="0"/>
                <w:numId w:val="28"/>
              </w:numPr>
              <w:rPr>
                <w:noProof/>
                <w:sz w:val="20"/>
              </w:rPr>
            </w:pPr>
            <w:r>
              <w:rPr>
                <w:noProof/>
                <w:sz w:val="20"/>
              </w:rPr>
              <w:t>Servicii de consiliere pentru sprijinirea tinerilor fermieri și a noilor fermieri în elaborarea și actualizarea planurilor de afaceri, consolidând în același timp legăturile dintre zonele urbane și cele rurale.</w:t>
            </w:r>
          </w:p>
        </w:tc>
        <w:tc>
          <w:tcPr>
            <w:tcW w:w="1134" w:type="dxa"/>
            <w:shd w:val="clear" w:color="auto" w:fill="FFFFFF" w:themeFill="background1"/>
          </w:tcPr>
          <w:p w14:paraId="08C29863" w14:textId="00E02779" w:rsidR="00FA1A47" w:rsidRDefault="00FA1A47" w:rsidP="00FA1A47">
            <w:pPr>
              <w:rPr>
                <w:noProof/>
                <w:sz w:val="20"/>
              </w:rPr>
            </w:pPr>
            <w:r>
              <w:rPr>
                <w:noProof/>
                <w:sz w:val="20"/>
              </w:rPr>
              <w:t>Începând cu T4 2025</w:t>
            </w:r>
          </w:p>
        </w:tc>
      </w:tr>
      <w:tr w:rsidR="005863B8" w:rsidRPr="00636FA3" w14:paraId="6A433719" w14:textId="77777777" w:rsidTr="00356507">
        <w:trPr>
          <w:trHeight w:val="490"/>
        </w:trPr>
        <w:tc>
          <w:tcPr>
            <w:tcW w:w="8080" w:type="dxa"/>
            <w:gridSpan w:val="2"/>
            <w:shd w:val="clear" w:color="auto" w:fill="D9F2D0" w:themeFill="accent6" w:themeFillTint="33"/>
          </w:tcPr>
          <w:p w14:paraId="07BC1B86" w14:textId="77777777" w:rsidR="005863B8" w:rsidRPr="00636FA3" w:rsidRDefault="005863B8" w:rsidP="00356507">
            <w:pPr>
              <w:jc w:val="center"/>
              <w:rPr>
                <w:noProof/>
                <w:sz w:val="20"/>
              </w:rPr>
            </w:pPr>
            <w:r>
              <w:rPr>
                <w:b/>
                <w:noProof/>
                <w:sz w:val="20"/>
              </w:rPr>
              <w:t>Acțiuni propuse în cadrul altor politici ale UE</w:t>
            </w:r>
          </w:p>
        </w:tc>
        <w:tc>
          <w:tcPr>
            <w:tcW w:w="1134" w:type="dxa"/>
            <w:shd w:val="clear" w:color="auto" w:fill="D9F2D0" w:themeFill="accent6" w:themeFillTint="33"/>
          </w:tcPr>
          <w:p w14:paraId="56789043" w14:textId="77777777" w:rsidR="005863B8" w:rsidRPr="00636FA3" w:rsidRDefault="005863B8" w:rsidP="00356507">
            <w:pPr>
              <w:jc w:val="center"/>
              <w:rPr>
                <w:noProof/>
                <w:sz w:val="20"/>
              </w:rPr>
            </w:pPr>
          </w:p>
        </w:tc>
      </w:tr>
      <w:tr w:rsidR="005863B8" w:rsidRPr="00636FA3" w14:paraId="5A7139A5" w14:textId="77777777" w:rsidTr="00356507">
        <w:trPr>
          <w:trHeight w:val="552"/>
        </w:trPr>
        <w:tc>
          <w:tcPr>
            <w:tcW w:w="2155" w:type="dxa"/>
            <w:shd w:val="clear" w:color="auto" w:fill="FFFFFF" w:themeFill="background1"/>
          </w:tcPr>
          <w:p w14:paraId="2FA5B557" w14:textId="77777777" w:rsidR="005863B8" w:rsidRPr="00636FA3" w:rsidRDefault="005863B8" w:rsidP="00356507">
            <w:pPr>
              <w:rPr>
                <w:b/>
                <w:bCs/>
                <w:noProof/>
                <w:sz w:val="20"/>
              </w:rPr>
            </w:pPr>
            <w:r>
              <w:rPr>
                <w:b/>
                <w:noProof/>
                <w:sz w:val="20"/>
              </w:rPr>
              <w:t>Pachete de împrumuturi specifice din partea BEI</w:t>
            </w:r>
          </w:p>
        </w:tc>
        <w:tc>
          <w:tcPr>
            <w:tcW w:w="5925" w:type="dxa"/>
            <w:shd w:val="clear" w:color="auto" w:fill="FFFFFF" w:themeFill="background1"/>
          </w:tcPr>
          <w:p w14:paraId="032A9CBB" w14:textId="3EC140E9" w:rsidR="005863B8" w:rsidRPr="00636FA3" w:rsidRDefault="005863B8" w:rsidP="00356507">
            <w:pPr>
              <w:rPr>
                <w:noProof/>
                <w:sz w:val="20"/>
              </w:rPr>
            </w:pPr>
            <w:r>
              <w:rPr>
                <w:noProof/>
                <w:sz w:val="20"/>
              </w:rPr>
              <w:t>Promovarea și monitorizarea pachetelor de împrumuturi din partea BEI pentru agricultură și bioeconomie, inclusiv a finanțării destinate tinerilor fermieri. Asigurarea transparenței și a raportării cheltuielilor specifice de care beneficiază acest grup. Încurajarea BEI să majoreze finanțarea prin asumarea propriului risc, în plus față de garanțiile UE.</w:t>
            </w:r>
            <w:r>
              <w:rPr>
                <w:noProof/>
                <w:color w:val="FF0000"/>
              </w:rPr>
              <w:t xml:space="preserve"> </w:t>
            </w:r>
            <w:r>
              <w:rPr>
                <w:noProof/>
                <w:sz w:val="20"/>
              </w:rPr>
              <w:t>Examinarea formelor de sprijin pentru tinerii fermieri și pentru noii fermieri, incluzând scheme de garantare și subvenții la rata dobânzii.</w:t>
            </w:r>
          </w:p>
        </w:tc>
        <w:tc>
          <w:tcPr>
            <w:tcW w:w="1134" w:type="dxa"/>
            <w:shd w:val="clear" w:color="auto" w:fill="FFFFFF" w:themeFill="background1"/>
          </w:tcPr>
          <w:p w14:paraId="14CB6869" w14:textId="77777777" w:rsidR="005863B8" w:rsidRPr="00636FA3" w:rsidRDefault="005863B8" w:rsidP="00356507">
            <w:pPr>
              <w:rPr>
                <w:noProof/>
                <w:sz w:val="20"/>
              </w:rPr>
            </w:pPr>
            <w:r>
              <w:rPr>
                <w:noProof/>
                <w:sz w:val="20"/>
              </w:rPr>
              <w:t>În perioada 2025-2027 și ulterior/Noua strategie a UE în domeniul bioeconomiei</w:t>
            </w:r>
          </w:p>
        </w:tc>
      </w:tr>
      <w:tr w:rsidR="003529C0" w:rsidRPr="00636FA3" w14:paraId="56FE95B8" w14:textId="77777777" w:rsidTr="00356507">
        <w:trPr>
          <w:trHeight w:val="994"/>
        </w:trPr>
        <w:tc>
          <w:tcPr>
            <w:tcW w:w="2155" w:type="dxa"/>
            <w:shd w:val="clear" w:color="auto" w:fill="FFFFFF" w:themeFill="background1"/>
          </w:tcPr>
          <w:p w14:paraId="44BD53F2" w14:textId="09B911E7" w:rsidR="003529C0" w:rsidRPr="00636FA3" w:rsidRDefault="003529C0" w:rsidP="003529C0">
            <w:pPr>
              <w:rPr>
                <w:b/>
                <w:bCs/>
                <w:noProof/>
                <w:sz w:val="20"/>
              </w:rPr>
            </w:pPr>
            <w:r>
              <w:rPr>
                <w:b/>
                <w:noProof/>
                <w:sz w:val="20"/>
              </w:rPr>
              <w:t>Sprijin în cadrul instrumentelor adecvate în cooperare cu Grupul BEI și al altor instrumente ale partenerilor de implementare</w:t>
            </w:r>
          </w:p>
        </w:tc>
        <w:tc>
          <w:tcPr>
            <w:tcW w:w="5925" w:type="dxa"/>
            <w:shd w:val="clear" w:color="auto" w:fill="FFFFFF" w:themeFill="background1"/>
          </w:tcPr>
          <w:p w14:paraId="2E4A3F0F" w14:textId="1156E7B8" w:rsidR="003529C0" w:rsidRPr="00636FA3" w:rsidRDefault="003529C0" w:rsidP="003529C0">
            <w:pPr>
              <w:rPr>
                <w:noProof/>
                <w:sz w:val="20"/>
              </w:rPr>
            </w:pPr>
            <w:r>
              <w:rPr>
                <w:noProof/>
                <w:sz w:val="20"/>
              </w:rPr>
              <w:t>Facilitarea accesului la finanțare pentru tinerii fermieri prin instrumente adecvate, în special prin produse de garantare și de capital dezvoltate împreună cu FEI, BEI sau alți parteneri de implementare, care permit achiziționarea de ferme și extinderea tehnologiilor inovatoare.</w:t>
            </w:r>
          </w:p>
        </w:tc>
        <w:tc>
          <w:tcPr>
            <w:tcW w:w="1134" w:type="dxa"/>
            <w:shd w:val="clear" w:color="auto" w:fill="FFFFFF" w:themeFill="background1"/>
          </w:tcPr>
          <w:p w14:paraId="7161FB9C" w14:textId="0F65FC9E" w:rsidR="003529C0" w:rsidRPr="00636FA3" w:rsidRDefault="003529C0" w:rsidP="003529C0">
            <w:pPr>
              <w:rPr>
                <w:noProof/>
                <w:sz w:val="20"/>
              </w:rPr>
            </w:pPr>
            <w:r>
              <w:rPr>
                <w:noProof/>
                <w:sz w:val="20"/>
              </w:rPr>
              <w:t>În perioada 2025-2027 și ulterior/Noua strategie a UE în domeniul bioeconomiei</w:t>
            </w:r>
          </w:p>
        </w:tc>
      </w:tr>
      <w:tr w:rsidR="005863B8" w:rsidRPr="00636FA3" w14:paraId="6EB3E4AE" w14:textId="77777777" w:rsidTr="00356507">
        <w:trPr>
          <w:trHeight w:val="490"/>
        </w:trPr>
        <w:tc>
          <w:tcPr>
            <w:tcW w:w="8080" w:type="dxa"/>
            <w:gridSpan w:val="2"/>
            <w:shd w:val="clear" w:color="auto" w:fill="D9F2D0" w:themeFill="accent6" w:themeFillTint="33"/>
          </w:tcPr>
          <w:p w14:paraId="7FC28C08" w14:textId="77777777" w:rsidR="005863B8" w:rsidRPr="00636FA3" w:rsidRDefault="005863B8" w:rsidP="00356507">
            <w:pPr>
              <w:jc w:val="center"/>
              <w:rPr>
                <w:noProof/>
                <w:sz w:val="20"/>
              </w:rPr>
            </w:pPr>
            <w:r>
              <w:rPr>
                <w:b/>
                <w:noProof/>
                <w:sz w:val="20"/>
              </w:rPr>
              <w:t>Acțiuni voluntare la nivelul statelor membre</w:t>
            </w:r>
          </w:p>
        </w:tc>
        <w:tc>
          <w:tcPr>
            <w:tcW w:w="1134" w:type="dxa"/>
            <w:shd w:val="clear" w:color="auto" w:fill="D9F2D0" w:themeFill="accent6" w:themeFillTint="33"/>
          </w:tcPr>
          <w:p w14:paraId="65830717" w14:textId="77777777" w:rsidR="005863B8" w:rsidRPr="00636FA3" w:rsidRDefault="005863B8" w:rsidP="00356507">
            <w:pPr>
              <w:jc w:val="center"/>
              <w:rPr>
                <w:noProof/>
                <w:sz w:val="20"/>
              </w:rPr>
            </w:pPr>
          </w:p>
        </w:tc>
      </w:tr>
      <w:tr w:rsidR="005863B8" w:rsidRPr="00636FA3" w14:paraId="11A05EB9" w14:textId="77777777" w:rsidTr="00356507">
        <w:trPr>
          <w:trHeight w:val="702"/>
        </w:trPr>
        <w:tc>
          <w:tcPr>
            <w:tcW w:w="2155" w:type="dxa"/>
            <w:shd w:val="clear" w:color="auto" w:fill="FFFFFF" w:themeFill="background1"/>
          </w:tcPr>
          <w:p w14:paraId="0658D390" w14:textId="77777777" w:rsidR="005863B8" w:rsidRPr="00636FA3" w:rsidRDefault="005863B8" w:rsidP="00356507">
            <w:pPr>
              <w:rPr>
                <w:b/>
                <w:bCs/>
                <w:noProof/>
                <w:sz w:val="20"/>
              </w:rPr>
            </w:pPr>
            <w:r>
              <w:rPr>
                <w:b/>
                <w:noProof/>
                <w:sz w:val="20"/>
              </w:rPr>
              <w:t>Îmbunătățirea accesului la credite prin intermediul băncilor de promovare</w:t>
            </w:r>
          </w:p>
        </w:tc>
        <w:tc>
          <w:tcPr>
            <w:tcW w:w="5925" w:type="dxa"/>
            <w:shd w:val="clear" w:color="auto" w:fill="FFFFFF" w:themeFill="background1"/>
          </w:tcPr>
          <w:p w14:paraId="18B8E19B" w14:textId="77777777" w:rsidR="005863B8" w:rsidRPr="00636FA3" w:rsidRDefault="005863B8" w:rsidP="00356507">
            <w:pPr>
              <w:rPr>
                <w:noProof/>
                <w:sz w:val="20"/>
              </w:rPr>
            </w:pPr>
            <w:r>
              <w:rPr>
                <w:noProof/>
                <w:sz w:val="20"/>
              </w:rPr>
              <w:t>Colaborarea cu băncile naționale de promovare pentru a dezvolta sisteme care să îmbunătățească accesul fermierilor la credite.</w:t>
            </w:r>
          </w:p>
        </w:tc>
        <w:tc>
          <w:tcPr>
            <w:tcW w:w="1134" w:type="dxa"/>
            <w:shd w:val="clear" w:color="auto" w:fill="FFFFFF" w:themeFill="background1"/>
          </w:tcPr>
          <w:p w14:paraId="07B3A3D2" w14:textId="77777777" w:rsidR="005863B8" w:rsidRDefault="005863B8" w:rsidP="00356507">
            <w:pPr>
              <w:rPr>
                <w:noProof/>
                <w:sz w:val="20"/>
              </w:rPr>
            </w:pPr>
            <w:r>
              <w:rPr>
                <w:noProof/>
                <w:sz w:val="20"/>
              </w:rPr>
              <w:t>Începând cu T4 2025</w:t>
            </w:r>
          </w:p>
        </w:tc>
      </w:tr>
    </w:tbl>
    <w:p w14:paraId="01ED8C0A" w14:textId="0DDD5455" w:rsidR="002D227E" w:rsidRDefault="002D227E" w:rsidP="00552A1B">
      <w:pPr>
        <w:rPr>
          <w:noProof/>
        </w:rPr>
      </w:pPr>
    </w:p>
    <w:p w14:paraId="16364C37" w14:textId="42286A3A" w:rsidR="002D227E" w:rsidRPr="00AE69A7" w:rsidRDefault="002030D7" w:rsidP="00AE69A7">
      <w:pPr>
        <w:rPr>
          <w:b/>
          <w:bCs/>
          <w:noProof/>
        </w:rPr>
      </w:pPr>
      <w:r>
        <w:rPr>
          <w:b/>
          <w:noProof/>
        </w:rPr>
        <w:t xml:space="preserve">B. Accesul la cunoștințe și competențe </w:t>
      </w:r>
    </w:p>
    <w:p w14:paraId="0B2A63EE" w14:textId="09F72778" w:rsidR="00886430" w:rsidRDefault="004A6FE7" w:rsidP="002D227E">
      <w:pPr>
        <w:rPr>
          <w:noProof/>
        </w:rPr>
      </w:pPr>
      <w:r>
        <w:rPr>
          <w:b/>
          <w:noProof/>
        </w:rPr>
        <w:t>Formarea și seturile de competențe adaptate pentru înființarea și menținerea unor ferme viabile sunt factori-cheie pentru succesul tinerilor fermieri.</w:t>
      </w:r>
      <w:r>
        <w:rPr>
          <w:noProof/>
        </w:rPr>
        <w:t xml:space="preserve"> Provocările apar cu mult înainte de înființarea fermelor, odată cu respectarea cadrelor juridice și financiare complexe și pregătirea unor planuri de afaceri care să asigure un echilibru între viabilitatea economică și durabilitatea socială și de mediu. Prin sisteme de sprijin structurate care să asigure formare, consiliere și mentorat înainte, în timpul și după înființarea fermei, riscul de eșec scade. Provocările legate de transferul de competențe la preluarea sau adaptarea rolurilor în cadrul exploatațiilor familiale existente sunt diferite de cele cu care se confruntă fermierii de primă generație. </w:t>
      </w:r>
    </w:p>
    <w:p w14:paraId="12AEC8CA" w14:textId="3F26BDF3" w:rsidR="00886430" w:rsidRDefault="002D227E" w:rsidP="002D227E">
      <w:pPr>
        <w:rPr>
          <w:noProof/>
        </w:rPr>
      </w:pPr>
      <w:r>
        <w:rPr>
          <w:noProof/>
        </w:rPr>
        <w:t>Pe lângă planificarea și dezvoltarea afacerii, educația și formarea în domeniul agriculturii și serviciile de consiliere trebuie să acopere provocările și oportunitățile emergente, cum ar fi schimbările climatice, pierderea biodiversității, digitalizarea, integrarea energiei din surse regenerabile sau practicile agriculturii inteligente, care se bazează pe sistemele spațiale europene, precum Copernicus și Galileo. Alfabetizarea financiară este, de asemenea, esențială, astfel cum se subliniază în strategia UE de alfabetizare financiară(</w:t>
      </w:r>
      <w:r>
        <w:rPr>
          <w:rStyle w:val="FootnoteReference"/>
          <w:noProof/>
        </w:rPr>
        <w:footnoteReference w:id="36"/>
      </w:r>
      <w:r>
        <w:rPr>
          <w:noProof/>
        </w:rPr>
        <w:t xml:space="preserve">), întrucât le permite tinerilor fermieri să gestioneze în mod eficace investițiile, creditele și riscurile și să ia decizii în cunoștință de cauză pentru viabilitatea pe termen lung. Punerea la dispoziția fermierilor tineri și a noilor fermieri a competențelor și a instrumentelor necesare pentru a adopta practici agroecologice, pentru a combina digitalizarea cu forța de muncă (deficitară) și pentru a se angaja să aducă o valoare adăugată, de exemplu, prin intermediul întreprinderilor din domeniul bioeconomiei, este esențială pentru transformarea durabilă a sectorului. Oportunitățile de învățare pe tot parcursul vieții, variantele de formare cu frecvență parțială, schimburile și instrumentele digitale sunt esențiale pentru a asigura accesibilitatea cunoștințelor și a competențelor. În plus, eforturile specifice de a include fermierii care desfășoară activități agricole cu fracțiune de normă, lucrătorii agricoli, femeile și grupurile aflate în situații vulnerabile sunt esențiale pentru incluziune și pentru extinderea oportunităților. </w:t>
      </w:r>
    </w:p>
    <w:p w14:paraId="4D0DB9D2" w14:textId="5BE50586" w:rsidR="002D227E" w:rsidRDefault="003E2996" w:rsidP="002D227E">
      <w:pPr>
        <w:rPr>
          <w:noProof/>
        </w:rPr>
      </w:pPr>
      <w:r>
        <w:rPr>
          <w:noProof/>
        </w:rPr>
        <w:t>Platformele colaborative accesibile care încurajează schimbul de cunoștințe, echipamente și servicii contribuie la reducerea costurilor, la consolidarea rezilienței comunității și la stimularea inovării. În cadrul actualului CFM, parteneriatul pentru competențe în domeniul agroalimentar din cadrul pactului pentru competențe(</w:t>
      </w:r>
      <w:r>
        <w:rPr>
          <w:rStyle w:val="FootnoteReference"/>
          <w:noProof/>
        </w:rPr>
        <w:footnoteReference w:id="37"/>
      </w:r>
      <w:r>
        <w:rPr>
          <w:noProof/>
        </w:rPr>
        <w:t>) sprijină părțile interesate în ceea ce privește perfecționarea și recalificarea pentru tranziția verde și cea digitală, oferind cunoștințe, consiliere în materie de finanțare și oportunități de cooperare. Centrele de excelență profesională Erasmus+ abordează, de asemenea, provocările în materie de competențe în agricultură. Privind în perspectiva următorului CFM, este necesar să se continue sprijinul și alinierea prin inițiative precum Parteneriatul european pentru inovare privind productivitatea și durabilitatea agriculturii (PEI-AGRI) și instrumentele PAC aliniate, pentru a spori capacitatea tinerilor fermieri și a noilor fermieri de a adopta și de a dezvolta împreună soluții.</w:t>
      </w:r>
    </w:p>
    <w:p w14:paraId="13BE10F7" w14:textId="027B2956" w:rsidR="000A2B36" w:rsidRDefault="000A2B36" w:rsidP="002D227E">
      <w:pPr>
        <w:rPr>
          <w:noProof/>
        </w:rPr>
      </w:pPr>
      <w:r>
        <w:rPr>
          <w:noProof/>
        </w:rPr>
        <w:t>Orizont Europa include în prezent un cluster 6 dedicat agriculturii și bioeconomiei, care creează noi oportunități de conectare a sprijinului din partea PAC și a FEC cu cercetarea și inovarea avansate, asigurându-se că tinerii fermieri pot beneficia în mod direct de soluțiile finanțate de UE. Este necesară simplificarea accesului la aceste cunoștințe, alături de inițiative precum Parteneriatul european pentru inovare privind productivitatea și durabilitatea agriculturii (PEI-AGRI) și de instrumentele PAC aliniate, pentru a spori capacitatea tinerilor fermieri și a noilor fermieri de a adopta și de a dezvolta împreună soluții.</w:t>
      </w:r>
    </w:p>
    <w:p w14:paraId="33A59F81" w14:textId="6D40B09A" w:rsidR="00FE4E18" w:rsidRDefault="00545423" w:rsidP="00222051">
      <w:pPr>
        <w:rPr>
          <w:noProof/>
        </w:rPr>
      </w:pPr>
      <w:r>
        <w:rPr>
          <w:noProof/>
        </w:rPr>
        <w:t>Mulți fermieri sunt, de asemenea, deținători de păduri, ceea ce face ca accesul la formare specializată în domeniul forestier, inclusiv la practici de lucru sigure, să fie esențial pentru gestionarea adecvată a pădurilor, reziliența rurală și securitatea în zonele de frontieră.</w:t>
      </w:r>
    </w:p>
    <w:p w14:paraId="0BB588F3" w14:textId="4CC30839" w:rsidR="00FE4E18" w:rsidRDefault="00081B18" w:rsidP="00222051">
      <w:pPr>
        <w:rPr>
          <w:noProof/>
        </w:rPr>
      </w:pPr>
      <w:r>
        <w:rPr>
          <w:noProof/>
          <w:lang w:val="en-GB"/>
        </w:rPr>
        <mc:AlternateContent>
          <mc:Choice Requires="wps">
            <w:drawing>
              <wp:anchor distT="0" distB="0" distL="114300" distR="114300" simplePos="0" relativeHeight="251658246" behindDoc="1" locked="0" layoutInCell="1" allowOverlap="1" wp14:anchorId="711F57EF" wp14:editId="554D7D10">
                <wp:simplePos x="0" y="0"/>
                <wp:positionH relativeFrom="margin">
                  <wp:align>center</wp:align>
                </wp:positionH>
                <wp:positionV relativeFrom="paragraph">
                  <wp:posOffset>199228</wp:posOffset>
                </wp:positionV>
                <wp:extent cx="5969479" cy="3151909"/>
                <wp:effectExtent l="0" t="0" r="12700" b="10795"/>
                <wp:wrapNone/>
                <wp:docPr id="809555000" name="Rectangle: Rounded Corners 1"/>
                <wp:cNvGraphicFramePr/>
                <a:graphic xmlns:a="http://schemas.openxmlformats.org/drawingml/2006/main">
                  <a:graphicData uri="http://schemas.microsoft.com/office/word/2010/wordprocessingShape">
                    <wps:wsp>
                      <wps:cNvSpPr/>
                      <wps:spPr>
                        <a:xfrm>
                          <a:off x="0" y="0"/>
                          <a:ext cx="5969479" cy="3151909"/>
                        </a:xfrm>
                        <a:prstGeom prst="roundRect">
                          <a:avLst/>
                        </a:prstGeom>
                        <a:solidFill>
                          <a:schemeClr val="accent1">
                            <a:lumMod val="60000"/>
                            <a:lumOff val="40000"/>
                          </a:schemeClr>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oundrect id="Rectangle: Rounded Corners 1" style="position:absolute;margin-left:0;margin-top:15.7pt;width:470.05pt;height:248.2pt;z-index:-25165823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45b0e1 [1940]" strokecolor="#02171f [48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" arcsize="10923f" w14:anchorId="53BE758A">
                <v:stroke joinstyle="miter"/>
                <w10:wrap anchorx="margin"/>
              </v:roundrect>
            </w:pict>
          </mc:Fallback>
        </mc:AlternateContent>
      </w:r>
    </w:p>
    <w:p w14:paraId="66B2488B" w14:textId="316CC1BF" w:rsidR="002D227E" w:rsidRPr="003D634B" w:rsidRDefault="002D227E" w:rsidP="002D227E">
      <w:pPr>
        <w:spacing w:after="0"/>
        <w:rPr>
          <w:b/>
          <w:bCs/>
          <w:i/>
          <w:iCs/>
          <w:noProof/>
          <w:sz w:val="22"/>
          <w:szCs w:val="22"/>
        </w:rPr>
      </w:pPr>
      <w:r>
        <w:rPr>
          <w:b/>
          <w:i/>
          <w:noProof/>
          <w:sz w:val="22"/>
        </w:rPr>
        <w:t>Inițiative emblematice</w:t>
      </w:r>
    </w:p>
    <w:p w14:paraId="6095D7E8" w14:textId="22180372" w:rsidR="002D227E" w:rsidRPr="003D634B" w:rsidRDefault="002D227E" w:rsidP="002D227E">
      <w:pPr>
        <w:spacing w:after="0"/>
        <w:rPr>
          <w:b/>
          <w:bCs/>
          <w:i/>
          <w:iCs/>
          <w:noProof/>
          <w:sz w:val="22"/>
          <w:szCs w:val="22"/>
        </w:rPr>
      </w:pPr>
    </w:p>
    <w:p w14:paraId="1CF50668" w14:textId="345198C6" w:rsidR="003B0EC5" w:rsidRDefault="002D227E" w:rsidP="002F39C3">
      <w:pPr>
        <w:pStyle w:val="ListParagraph"/>
        <w:numPr>
          <w:ilvl w:val="0"/>
          <w:numId w:val="23"/>
        </w:numPr>
        <w:spacing w:after="0"/>
        <w:ind w:left="720"/>
        <w:rPr>
          <w:i/>
          <w:iCs/>
          <w:noProof/>
          <w:sz w:val="22"/>
          <w:szCs w:val="22"/>
        </w:rPr>
      </w:pPr>
      <w:r>
        <w:rPr>
          <w:b/>
          <w:i/>
          <w:noProof/>
          <w:sz w:val="22"/>
        </w:rPr>
        <w:t xml:space="preserve">Erasmus pentru tineri antreprenori (EYE) </w:t>
      </w:r>
      <w:r>
        <w:rPr>
          <w:i/>
          <w:noProof/>
          <w:sz w:val="22"/>
        </w:rPr>
        <w:t xml:space="preserve">este un instrument puternic de promovare a reînnoirii generațiilor în agricultură. Inițiativa este concepută pentru antreprenori, permițând noilor fermieri și tinerilor fermieri să dobândească competențe esențiale legate de afaceri și încredere, precum și să creeze rețele prin colaborarea cu antreprenori cu experiență din peste 40 de țări. Comisia urmărește să sporească vizibilitatea în zonele rurale, în beneficiul unui număr mai mare de tineri fermieri și noi fermieri. </w:t>
      </w:r>
    </w:p>
    <w:p w14:paraId="265924C2" w14:textId="33FB7E7B" w:rsidR="000B14C1" w:rsidRPr="002E6DA9" w:rsidRDefault="000B14C1" w:rsidP="002F39C3">
      <w:pPr>
        <w:pStyle w:val="ListParagraph"/>
        <w:numPr>
          <w:ilvl w:val="0"/>
          <w:numId w:val="23"/>
        </w:numPr>
        <w:spacing w:after="0"/>
        <w:ind w:left="720"/>
        <w:rPr>
          <w:i/>
          <w:iCs/>
          <w:noProof/>
          <w:sz w:val="22"/>
          <w:szCs w:val="22"/>
        </w:rPr>
      </w:pPr>
      <w:r>
        <w:rPr>
          <w:b/>
          <w:i/>
          <w:noProof/>
          <w:sz w:val="22"/>
        </w:rPr>
        <w:t>Platforma „Femeile în agricultură”</w:t>
      </w:r>
      <w:r>
        <w:rPr>
          <w:i/>
          <w:noProof/>
          <w:sz w:val="22"/>
        </w:rPr>
        <w:t>: scopul platformei este de a atrage mai multe femei în agricultură, de a promova egalitatea de șanse, schimbul de experiență și mentoratul, recunoscând rolul esențial al femeilor în viitorul agriculturii și al dezvoltării rurale.</w:t>
      </w:r>
    </w:p>
    <w:p w14:paraId="7F0379BA" w14:textId="77777777" w:rsidR="003B0EC5" w:rsidRPr="003D634B" w:rsidRDefault="003B0EC5" w:rsidP="002F39C3">
      <w:pPr>
        <w:pStyle w:val="ListParagraph"/>
        <w:numPr>
          <w:ilvl w:val="0"/>
          <w:numId w:val="23"/>
        </w:numPr>
        <w:spacing w:after="0"/>
        <w:ind w:left="720"/>
        <w:rPr>
          <w:i/>
          <w:iCs/>
          <w:noProof/>
          <w:sz w:val="22"/>
          <w:szCs w:val="22"/>
        </w:rPr>
      </w:pPr>
      <w:r>
        <w:rPr>
          <w:b/>
          <w:i/>
          <w:noProof/>
          <w:sz w:val="22"/>
        </w:rPr>
        <w:t>Pachetul de bune practici „Agricultorii viitorului” destinat tuturor școlilor cu profil agricol din UE</w:t>
      </w:r>
    </w:p>
    <w:p w14:paraId="46B2B86A" w14:textId="75D1BC0C" w:rsidR="00B142B9" w:rsidRDefault="003B0EC5" w:rsidP="00296C8D">
      <w:pPr>
        <w:spacing w:after="0"/>
        <w:ind w:left="720"/>
        <w:rPr>
          <w:i/>
          <w:iCs/>
          <w:noProof/>
          <w:sz w:val="22"/>
          <w:szCs w:val="22"/>
        </w:rPr>
      </w:pPr>
      <w:r>
        <w:rPr>
          <w:i/>
          <w:noProof/>
          <w:sz w:val="22"/>
        </w:rPr>
        <w:t>Pachetul le va oferi elevilor exemple clare și practice de abordări moderne în sectorul agricol, cum ar fi diversificarea, instrumentele digitale, durabilitatea și colaborarea în cadrul unor noi modele de afaceri. Aceste exemple arată că agricultura modernă este inovatoare și conectată la economie în ansamblul său. Includerea lor în educație îi ajută pe elevi să vadă agricultura drept o carieră dinamică, orientată spre viitor.</w:t>
      </w:r>
    </w:p>
    <w:p w14:paraId="7F9B52DC" w14:textId="77777777" w:rsidR="00924757" w:rsidRDefault="00924757" w:rsidP="002E228E">
      <w:pPr>
        <w:spacing w:after="0"/>
        <w:rPr>
          <w:b/>
          <w:bCs/>
          <w:noProof/>
        </w:rPr>
      </w:pPr>
    </w:p>
    <w:p w14:paraId="55C1F203" w14:textId="77777777" w:rsidR="00924757" w:rsidRDefault="00924757" w:rsidP="002E228E">
      <w:pPr>
        <w:spacing w:after="0"/>
        <w:rPr>
          <w:b/>
          <w:bCs/>
          <w:noProof/>
        </w:rPr>
      </w:pPr>
    </w:p>
    <w:tbl>
      <w:tblPr>
        <w:tblStyle w:val="TableGrid"/>
        <w:tblW w:w="9356" w:type="dxa"/>
        <w:tblInd w:w="-150" w:type="dxa"/>
        <w:tblLayout w:type="fixed"/>
        <w:tblLook w:val="04A0" w:firstRow="1" w:lastRow="0" w:firstColumn="1" w:lastColumn="0" w:noHBand="0" w:noVBand="1"/>
      </w:tblPr>
      <w:tblGrid>
        <w:gridCol w:w="2098"/>
        <w:gridCol w:w="5982"/>
        <w:gridCol w:w="1276"/>
      </w:tblGrid>
      <w:tr w:rsidR="0089372F" w:rsidRPr="004E1CB6" w14:paraId="5D069B46" w14:textId="77777777" w:rsidTr="00AE69A7">
        <w:trPr>
          <w:trHeight w:val="490"/>
        </w:trPr>
        <w:tc>
          <w:tcPr>
            <w:tcW w:w="8080" w:type="dxa"/>
            <w:gridSpan w:val="2"/>
            <w:shd w:val="clear" w:color="auto" w:fill="DAE9F7" w:themeFill="text2" w:themeFillTint="1A"/>
          </w:tcPr>
          <w:p w14:paraId="6D0A1575" w14:textId="0FE6D1BA" w:rsidR="00B53D65" w:rsidRPr="00BF7D9F" w:rsidRDefault="00B53D65" w:rsidP="006D5E1D">
            <w:pPr>
              <w:jc w:val="center"/>
              <w:rPr>
                <w:b/>
                <w:bCs/>
                <w:noProof/>
                <w:sz w:val="20"/>
              </w:rPr>
            </w:pPr>
            <w:r>
              <w:rPr>
                <w:b/>
                <w:noProof/>
                <w:sz w:val="20"/>
              </w:rPr>
              <w:t>Acțiuni propuse în cadrul PAC pentru perioada 2028-2034</w:t>
            </w:r>
          </w:p>
        </w:tc>
        <w:tc>
          <w:tcPr>
            <w:tcW w:w="1276" w:type="dxa"/>
            <w:shd w:val="clear" w:color="auto" w:fill="DAE9F7" w:themeFill="text2" w:themeFillTint="1A"/>
          </w:tcPr>
          <w:p w14:paraId="36E62955" w14:textId="3D17D405" w:rsidR="00B53D65" w:rsidRPr="006D3A34" w:rsidRDefault="00B53D65" w:rsidP="006D5E1D">
            <w:pPr>
              <w:jc w:val="center"/>
              <w:rPr>
                <w:b/>
                <w:bCs/>
                <w:noProof/>
                <w:sz w:val="20"/>
              </w:rPr>
            </w:pPr>
          </w:p>
        </w:tc>
      </w:tr>
      <w:tr w:rsidR="004A13F9" w:rsidRPr="004E1CB6" w14:paraId="380E73D2" w14:textId="77777777" w:rsidTr="00AE69A7">
        <w:trPr>
          <w:trHeight w:val="1329"/>
        </w:trPr>
        <w:tc>
          <w:tcPr>
            <w:tcW w:w="2098" w:type="dxa"/>
            <w:shd w:val="clear" w:color="auto" w:fill="FFFFFF" w:themeFill="background1"/>
          </w:tcPr>
          <w:p w14:paraId="617FB6E7" w14:textId="75D37A2D" w:rsidR="00B53D65" w:rsidRPr="006D3A34" w:rsidRDefault="070881DC" w:rsidP="6F8ADA65">
            <w:pPr>
              <w:rPr>
                <w:b/>
                <w:bCs/>
                <w:noProof/>
                <w:sz w:val="20"/>
              </w:rPr>
            </w:pPr>
            <w:r>
              <w:rPr>
                <w:b/>
                <w:noProof/>
                <w:sz w:val="20"/>
              </w:rPr>
              <w:t xml:space="preserve">Consolidarea AKIS și a serviciilor de consiliere pentru colaborarea între generații </w:t>
            </w:r>
          </w:p>
        </w:tc>
        <w:tc>
          <w:tcPr>
            <w:tcW w:w="5982" w:type="dxa"/>
            <w:shd w:val="clear" w:color="auto" w:fill="FFFFFF" w:themeFill="background1"/>
          </w:tcPr>
          <w:p w14:paraId="7B989A06" w14:textId="024D3BFD" w:rsidR="00B53D65" w:rsidRPr="006D3A34" w:rsidRDefault="5858D27A" w:rsidP="6F8ADA65">
            <w:pPr>
              <w:rPr>
                <w:noProof/>
                <w:sz w:val="20"/>
              </w:rPr>
            </w:pPr>
            <w:r>
              <w:rPr>
                <w:noProof/>
                <w:sz w:val="20"/>
              </w:rPr>
              <w:t xml:space="preserve">Integrarea, în cadrul sistemului de cunoștințe și inovare în agricultură (AKIS), a unor cursuri de formare adaptate pentru tinerii fermieri care să sprijine reînnoirea generațiilor. Înainte și după înființarea fermei, tinerii fermieri beneficiază de mentorat pe teme legate de accesul la terenuri, planificarea afacerii, aspecte tehnice, juridice și de durabilitate, cu accent pe soluții inovatoare.  </w:t>
            </w:r>
          </w:p>
        </w:tc>
        <w:tc>
          <w:tcPr>
            <w:tcW w:w="1276" w:type="dxa"/>
            <w:shd w:val="clear" w:color="auto" w:fill="FFFFFF" w:themeFill="background1"/>
          </w:tcPr>
          <w:p w14:paraId="2859DDC7" w14:textId="48CEE405" w:rsidR="00B53D65" w:rsidRPr="006D3A34" w:rsidRDefault="00B53D65" w:rsidP="006D5E1D">
            <w:pPr>
              <w:rPr>
                <w:noProof/>
                <w:sz w:val="20"/>
              </w:rPr>
            </w:pPr>
            <w:r>
              <w:rPr>
                <w:noProof/>
                <w:sz w:val="20"/>
              </w:rPr>
              <w:t>Noua PAC – începând din 2028</w:t>
            </w:r>
          </w:p>
        </w:tc>
      </w:tr>
      <w:tr w:rsidR="0089372F" w:rsidRPr="006D3A34" w14:paraId="27A8775E" w14:textId="77777777" w:rsidTr="00AE69A7">
        <w:trPr>
          <w:trHeight w:val="490"/>
        </w:trPr>
        <w:tc>
          <w:tcPr>
            <w:tcW w:w="8080" w:type="dxa"/>
            <w:gridSpan w:val="2"/>
            <w:shd w:val="clear" w:color="auto" w:fill="DAE9F7" w:themeFill="text2" w:themeFillTint="1A"/>
          </w:tcPr>
          <w:p w14:paraId="5A60D86C" w14:textId="5BE60DE3" w:rsidR="00B53D65" w:rsidRPr="006D3A34" w:rsidRDefault="00B53D65" w:rsidP="006D5E1D">
            <w:pPr>
              <w:jc w:val="center"/>
              <w:rPr>
                <w:noProof/>
                <w:sz w:val="20"/>
              </w:rPr>
            </w:pPr>
            <w:r>
              <w:rPr>
                <w:b/>
                <w:noProof/>
                <w:sz w:val="20"/>
              </w:rPr>
              <w:t>Acțiuni propuse în cadrul altor politici ale UE</w:t>
            </w:r>
          </w:p>
        </w:tc>
        <w:tc>
          <w:tcPr>
            <w:tcW w:w="1276" w:type="dxa"/>
            <w:shd w:val="clear" w:color="auto" w:fill="DAE9F7" w:themeFill="text2" w:themeFillTint="1A"/>
          </w:tcPr>
          <w:p w14:paraId="505B948E" w14:textId="77777777" w:rsidR="00B53D65" w:rsidRPr="006D3A34" w:rsidRDefault="00B53D65" w:rsidP="006D5E1D">
            <w:pPr>
              <w:rPr>
                <w:b/>
                <w:bCs/>
                <w:noProof/>
                <w:sz w:val="20"/>
              </w:rPr>
            </w:pPr>
          </w:p>
        </w:tc>
      </w:tr>
      <w:tr w:rsidR="004A13F9" w:rsidRPr="006D3A34" w14:paraId="73A9AD33" w14:textId="77777777" w:rsidTr="00AE69A7">
        <w:trPr>
          <w:trHeight w:val="892"/>
        </w:trPr>
        <w:tc>
          <w:tcPr>
            <w:tcW w:w="2098" w:type="dxa"/>
            <w:shd w:val="clear" w:color="auto" w:fill="FFFFFF" w:themeFill="background1"/>
          </w:tcPr>
          <w:p w14:paraId="15A4151C" w14:textId="3F2FD858" w:rsidR="00AF78EE" w:rsidRPr="00AF78EE" w:rsidRDefault="00AF78EE" w:rsidP="00AF78EE">
            <w:pPr>
              <w:rPr>
                <w:b/>
                <w:bCs/>
                <w:noProof/>
                <w:sz w:val="20"/>
              </w:rPr>
            </w:pPr>
            <w:r>
              <w:rPr>
                <w:b/>
                <w:noProof/>
                <w:sz w:val="20"/>
              </w:rPr>
              <w:t>Activități de C&amp;I orientate către nevoile generațiilor mai tinere</w:t>
            </w:r>
          </w:p>
        </w:tc>
        <w:tc>
          <w:tcPr>
            <w:tcW w:w="5982" w:type="dxa"/>
            <w:shd w:val="clear" w:color="auto" w:fill="FFFFFF" w:themeFill="background1"/>
          </w:tcPr>
          <w:p w14:paraId="52CA95EF" w14:textId="0F6512B3" w:rsidR="00AF78EE" w:rsidRPr="00AF78EE" w:rsidRDefault="00AF78EE" w:rsidP="00AF78EE">
            <w:pPr>
              <w:rPr>
                <w:noProof/>
                <w:sz w:val="20"/>
              </w:rPr>
            </w:pPr>
            <w:r>
              <w:rPr>
                <w:noProof/>
                <w:sz w:val="20"/>
              </w:rPr>
              <w:t>Utilizarea finanțării acordate prin programul Orizont Europa pentru a sprijini reînnoirea generațiilor în acest sector, prin furnizarea de activități de C&amp;I adaptate la nevoile generațiilor tinere, prin implicarea tinerilor fermieri în procesul de inovare și prin promovarea serviciilor de consiliere conexe.</w:t>
            </w:r>
          </w:p>
        </w:tc>
        <w:tc>
          <w:tcPr>
            <w:tcW w:w="1276" w:type="dxa"/>
            <w:shd w:val="clear" w:color="auto" w:fill="FFFFFF" w:themeFill="background1"/>
          </w:tcPr>
          <w:p w14:paraId="40E6DC99" w14:textId="22F3A7E9" w:rsidR="00AF78EE" w:rsidRPr="00AF78EE" w:rsidRDefault="00AF78EE" w:rsidP="00AF78EE">
            <w:pPr>
              <w:rPr>
                <w:noProof/>
                <w:sz w:val="20"/>
              </w:rPr>
            </w:pPr>
            <w:r>
              <w:rPr>
                <w:noProof/>
                <w:sz w:val="20"/>
              </w:rPr>
              <w:t>Programul de lucru Orizont Europa 2027</w:t>
            </w:r>
          </w:p>
        </w:tc>
      </w:tr>
      <w:tr w:rsidR="0089372F" w:rsidRPr="006D3A34" w14:paraId="5CC849CE" w14:textId="77777777" w:rsidTr="00AE69A7">
        <w:trPr>
          <w:trHeight w:val="405"/>
        </w:trPr>
        <w:tc>
          <w:tcPr>
            <w:tcW w:w="8080" w:type="dxa"/>
            <w:gridSpan w:val="2"/>
            <w:shd w:val="clear" w:color="auto" w:fill="DAE9F7" w:themeFill="text2" w:themeFillTint="1A"/>
          </w:tcPr>
          <w:p w14:paraId="5560B209" w14:textId="10F864E0" w:rsidR="005F563B" w:rsidRDefault="00452D8E" w:rsidP="00AE69A7">
            <w:pPr>
              <w:ind w:right="-111"/>
              <w:jc w:val="center"/>
              <w:rPr>
                <w:noProof/>
                <w:sz w:val="20"/>
              </w:rPr>
            </w:pPr>
            <w:r>
              <w:rPr>
                <w:b/>
                <w:noProof/>
                <w:sz w:val="20"/>
              </w:rPr>
              <w:t>Acțiuni voluntare la nivelul statelor membre</w:t>
            </w:r>
          </w:p>
        </w:tc>
        <w:tc>
          <w:tcPr>
            <w:tcW w:w="1276" w:type="dxa"/>
            <w:shd w:val="clear" w:color="auto" w:fill="DAE9F7" w:themeFill="text2" w:themeFillTint="1A"/>
          </w:tcPr>
          <w:p w14:paraId="68ECBAD4" w14:textId="3DE76175" w:rsidR="005F563B" w:rsidRDefault="005F563B" w:rsidP="00E34014">
            <w:pPr>
              <w:jc w:val="center"/>
              <w:rPr>
                <w:noProof/>
                <w:sz w:val="20"/>
              </w:rPr>
            </w:pPr>
            <w:r>
              <w:rPr>
                <w:noProof/>
                <w:sz w:val="20"/>
              </w:rPr>
              <w:t>Voluntar</w:t>
            </w:r>
          </w:p>
        </w:tc>
      </w:tr>
      <w:tr w:rsidR="004A13F9" w:rsidRPr="006D3A34" w14:paraId="327F2B94" w14:textId="77777777" w:rsidTr="0093126A">
        <w:trPr>
          <w:trHeight w:val="694"/>
        </w:trPr>
        <w:tc>
          <w:tcPr>
            <w:tcW w:w="2098" w:type="dxa"/>
            <w:shd w:val="clear" w:color="auto" w:fill="FFFFFF" w:themeFill="background1"/>
          </w:tcPr>
          <w:p w14:paraId="3A678BAE" w14:textId="77777777" w:rsidR="005F563B" w:rsidRPr="006D3A34" w:rsidRDefault="005F563B" w:rsidP="005F563B">
            <w:pPr>
              <w:rPr>
                <w:b/>
                <w:bCs/>
                <w:noProof/>
                <w:sz w:val="20"/>
              </w:rPr>
            </w:pPr>
            <w:r>
              <w:rPr>
                <w:b/>
                <w:noProof/>
                <w:sz w:val="20"/>
              </w:rPr>
              <w:t>Competențe inovatoare în domeniul agricol</w:t>
            </w:r>
          </w:p>
        </w:tc>
        <w:tc>
          <w:tcPr>
            <w:tcW w:w="5982" w:type="dxa"/>
            <w:shd w:val="clear" w:color="auto" w:fill="FFFFFF" w:themeFill="background1"/>
          </w:tcPr>
          <w:p w14:paraId="3166648F" w14:textId="2546BCEA" w:rsidR="005F563B" w:rsidRPr="006D3A34" w:rsidRDefault="0008221A" w:rsidP="005F563B">
            <w:pPr>
              <w:rPr>
                <w:noProof/>
                <w:sz w:val="20"/>
              </w:rPr>
            </w:pPr>
            <w:r>
              <w:rPr>
                <w:noProof/>
                <w:sz w:val="20"/>
              </w:rPr>
              <w:t>Utilizarea specializării inteligente, a platformei de talente și a parteneriatului pentru competențe în domeniul agroalimentar din cadrul pactului pentru competențe cu scopul de a stimula inovarea, recalificarea și păstrarea talentelor în zonele rurale. Regiunile ar trebui să acorde prioritate agriculturii și reînnoirii generațiilor în strategiile de specializare inteligentă. Platforma de talente poate atrage tinerii prin educație și mobilitate adaptate, în timp ce actorii din sectorul agroalimentar ar trebui să se implice în pact pentru a dezvolta în comun formarea și perfecționarea tinerilor fermieri și a noilor fermieri în domeniul tehnologiilor inovatoare. Centrele de excelență profesională Erasmus+ sprijină rețelele transnaționale care abordează provocările sectoriale și transversale în materie de competențe.</w:t>
            </w:r>
          </w:p>
        </w:tc>
        <w:tc>
          <w:tcPr>
            <w:tcW w:w="1276" w:type="dxa"/>
            <w:shd w:val="clear" w:color="auto" w:fill="FFFFFF" w:themeFill="background1"/>
          </w:tcPr>
          <w:p w14:paraId="402C8D54" w14:textId="236219E2" w:rsidR="005F563B" w:rsidRPr="006D3A34" w:rsidRDefault="005F563B" w:rsidP="005F563B">
            <w:pPr>
              <w:rPr>
                <w:noProof/>
                <w:sz w:val="20"/>
              </w:rPr>
            </w:pPr>
            <w:r>
              <w:rPr>
                <w:noProof/>
                <w:sz w:val="20"/>
              </w:rPr>
              <w:t>Începând cu T4 2025</w:t>
            </w:r>
          </w:p>
        </w:tc>
      </w:tr>
      <w:tr w:rsidR="004A13F9" w:rsidRPr="006D3A34" w14:paraId="473308B8" w14:textId="77777777" w:rsidTr="00AE69A7">
        <w:trPr>
          <w:trHeight w:val="710"/>
        </w:trPr>
        <w:tc>
          <w:tcPr>
            <w:tcW w:w="2098" w:type="dxa"/>
            <w:shd w:val="clear" w:color="auto" w:fill="FFFFFF" w:themeFill="background1"/>
          </w:tcPr>
          <w:p w14:paraId="2EBBEF7C" w14:textId="44B1D501" w:rsidR="005F563B" w:rsidRPr="006D3A34" w:rsidRDefault="005F563B" w:rsidP="005F563B">
            <w:pPr>
              <w:rPr>
                <w:b/>
                <w:bCs/>
                <w:noProof/>
                <w:sz w:val="20"/>
              </w:rPr>
            </w:pPr>
            <w:r>
              <w:rPr>
                <w:b/>
                <w:noProof/>
                <w:sz w:val="20"/>
              </w:rPr>
              <w:t>Educație și formare profesională flexibile și modernizate în domeniul agricol</w:t>
            </w:r>
          </w:p>
        </w:tc>
        <w:tc>
          <w:tcPr>
            <w:tcW w:w="5982" w:type="dxa"/>
            <w:shd w:val="clear" w:color="auto" w:fill="FFFFFF" w:themeFill="background1"/>
          </w:tcPr>
          <w:p w14:paraId="7ADF2E8D" w14:textId="404DA9D1" w:rsidR="005F563B" w:rsidRPr="006D3A34" w:rsidRDefault="005F563B" w:rsidP="005F563B">
            <w:pPr>
              <w:rPr>
                <w:noProof/>
                <w:sz w:val="20"/>
              </w:rPr>
            </w:pPr>
            <w:r>
              <w:rPr>
                <w:noProof/>
                <w:sz w:val="20"/>
              </w:rPr>
              <w:t>Adaptarea programelor de învățământ și asigurarea unor formate flexibile și accesibile cu instrumente digitale noi sau existente pentru a răspunde nevoilor fermierilor care desfășoară activități agricole cu fracțiune de normă și pentru a aborda noile provocări, inclusiv strategiile de diversificare și de venit.</w:t>
            </w:r>
          </w:p>
        </w:tc>
        <w:tc>
          <w:tcPr>
            <w:tcW w:w="1276" w:type="dxa"/>
            <w:shd w:val="clear" w:color="auto" w:fill="FFFFFF" w:themeFill="background1"/>
          </w:tcPr>
          <w:p w14:paraId="5F09D480" w14:textId="2F3F4BB8" w:rsidR="005F563B" w:rsidRPr="006D3A34" w:rsidRDefault="005F563B" w:rsidP="005F563B">
            <w:pPr>
              <w:rPr>
                <w:noProof/>
                <w:sz w:val="20"/>
              </w:rPr>
            </w:pPr>
            <w:r>
              <w:rPr>
                <w:noProof/>
                <w:sz w:val="20"/>
              </w:rPr>
              <w:t>Începând cu T4 2025</w:t>
            </w:r>
          </w:p>
        </w:tc>
      </w:tr>
      <w:tr w:rsidR="004A13F9" w:rsidRPr="006D3A34" w14:paraId="63882489" w14:textId="77777777" w:rsidTr="00AE69A7">
        <w:trPr>
          <w:trHeight w:val="722"/>
        </w:trPr>
        <w:tc>
          <w:tcPr>
            <w:tcW w:w="2098" w:type="dxa"/>
            <w:shd w:val="clear" w:color="auto" w:fill="FFFFFF" w:themeFill="background1"/>
          </w:tcPr>
          <w:p w14:paraId="114A70C2" w14:textId="77777777" w:rsidR="005F563B" w:rsidRPr="006D3A34" w:rsidRDefault="005F563B" w:rsidP="005F563B">
            <w:pPr>
              <w:rPr>
                <w:b/>
                <w:bCs/>
                <w:noProof/>
                <w:sz w:val="20"/>
              </w:rPr>
            </w:pPr>
            <w:r>
              <w:rPr>
                <w:b/>
                <w:noProof/>
                <w:sz w:val="20"/>
              </w:rPr>
              <w:t>Sprijinirea organizațiilor de tineri fermieri</w:t>
            </w:r>
          </w:p>
        </w:tc>
        <w:tc>
          <w:tcPr>
            <w:tcW w:w="5982" w:type="dxa"/>
            <w:shd w:val="clear" w:color="auto" w:fill="FFFFFF" w:themeFill="background1"/>
          </w:tcPr>
          <w:p w14:paraId="6FD47FFD" w14:textId="62C81691" w:rsidR="005F563B" w:rsidRPr="006D3A34" w:rsidRDefault="005F563B" w:rsidP="005F563B">
            <w:pPr>
              <w:rPr>
                <w:noProof/>
                <w:sz w:val="20"/>
              </w:rPr>
            </w:pPr>
            <w:r>
              <w:rPr>
                <w:noProof/>
                <w:sz w:val="20"/>
              </w:rPr>
              <w:t xml:space="preserve">Direcționarea finanțării și a programelor în vederea sprijinirii organizațiilor de tineri fermieri, asigurându-se că vocile acestora sunt auzite. </w:t>
            </w:r>
          </w:p>
        </w:tc>
        <w:tc>
          <w:tcPr>
            <w:tcW w:w="1276" w:type="dxa"/>
            <w:shd w:val="clear" w:color="auto" w:fill="FFFFFF" w:themeFill="background1"/>
          </w:tcPr>
          <w:p w14:paraId="463F11FC" w14:textId="023704BF" w:rsidR="005F563B" w:rsidRPr="006D3A34" w:rsidRDefault="005F563B" w:rsidP="005F563B">
            <w:pPr>
              <w:rPr>
                <w:noProof/>
                <w:sz w:val="20"/>
              </w:rPr>
            </w:pPr>
            <w:r>
              <w:rPr>
                <w:noProof/>
                <w:sz w:val="20"/>
              </w:rPr>
              <w:t>Începând cu T4 2025</w:t>
            </w:r>
          </w:p>
        </w:tc>
      </w:tr>
      <w:tr w:rsidR="00AC5977" w:rsidRPr="006D3A34" w14:paraId="1357EF91" w14:textId="77777777" w:rsidTr="003263FB">
        <w:trPr>
          <w:trHeight w:val="1939"/>
        </w:trPr>
        <w:tc>
          <w:tcPr>
            <w:tcW w:w="2098" w:type="dxa"/>
            <w:shd w:val="clear" w:color="auto" w:fill="FFFFFF" w:themeFill="background1"/>
          </w:tcPr>
          <w:p w14:paraId="72431889" w14:textId="77777777" w:rsidR="00AC5977" w:rsidRPr="00804F56" w:rsidRDefault="00AC5977" w:rsidP="00AC5977">
            <w:pPr>
              <w:spacing w:line="259" w:lineRule="auto"/>
              <w:rPr>
                <w:b/>
                <w:bCs/>
                <w:noProof/>
                <w:sz w:val="20"/>
              </w:rPr>
            </w:pPr>
            <w:r>
              <w:rPr>
                <w:b/>
                <w:noProof/>
                <w:sz w:val="20"/>
              </w:rPr>
              <w:t>Utilizarea ALMA pentru a sprijini descoperirea și sporirea atractivității sectorului agricol pentru tinerii care nu sunt încadrați profesional și nu urmează niciun program educațional sau de formare</w:t>
            </w:r>
          </w:p>
          <w:p w14:paraId="442433D0" w14:textId="77777777" w:rsidR="00AC5977" w:rsidRPr="00804F56" w:rsidRDefault="00AC5977" w:rsidP="00AC5977">
            <w:pPr>
              <w:rPr>
                <w:b/>
                <w:bCs/>
                <w:noProof/>
                <w:sz w:val="20"/>
              </w:rPr>
            </w:pPr>
          </w:p>
        </w:tc>
        <w:tc>
          <w:tcPr>
            <w:tcW w:w="5982" w:type="dxa"/>
            <w:shd w:val="clear" w:color="auto" w:fill="FFFFFF" w:themeFill="background1"/>
          </w:tcPr>
          <w:p w14:paraId="3BE47B65" w14:textId="2CC12575" w:rsidR="00AC5977" w:rsidRPr="00804F56" w:rsidRDefault="00AC5977" w:rsidP="00AC5977">
            <w:pPr>
              <w:rPr>
                <w:noProof/>
                <w:sz w:val="20"/>
              </w:rPr>
            </w:pPr>
            <w:r>
              <w:rPr>
                <w:noProof/>
                <w:sz w:val="20"/>
              </w:rPr>
              <w:t xml:space="preserve"> ALMA (Țintește, Învață, Stăpânește, Realizează) este o inițiativă a UE de incluziune socială care ajută tinerii care nu sunt încadrați profesional și nu urmează niciun program educațional sau de formare să se reintegreze în societate prin consolidarea competențelor non-tehnice și prin furnizarea de sprijin personalizat. Deși nu se limitează la un singur sector, schimburile în sectorul agricol ar putea crește gradul de conștientizare cu privire la atractivitatea acestuia. Implicarea fermierilor în găzduirea participanților pentru plasamente în străinătate ar putea sprijini dezvoltarea competențelor și ar putea încuraja tinerii să aleagă locuri de muncă în agricultură. Integrarea acestei abordări în sistemul național de cunoștințe și inovare în agricultură (AKIS) ar putea consolida ocuparea forței de muncă în mediul rural și reînnoirea generațiilor.</w:t>
            </w:r>
          </w:p>
        </w:tc>
        <w:tc>
          <w:tcPr>
            <w:tcW w:w="1276" w:type="dxa"/>
            <w:shd w:val="clear" w:color="auto" w:fill="FFFFFF" w:themeFill="background1"/>
          </w:tcPr>
          <w:p w14:paraId="475E9A72" w14:textId="14D65E7B" w:rsidR="00AC5977" w:rsidRPr="00804F56" w:rsidRDefault="00AC5977" w:rsidP="00AC5977">
            <w:pPr>
              <w:rPr>
                <w:noProof/>
                <w:sz w:val="20"/>
              </w:rPr>
            </w:pPr>
            <w:r>
              <w:rPr>
                <w:noProof/>
                <w:sz w:val="20"/>
              </w:rPr>
              <w:t>Începând cu T4 2025</w:t>
            </w:r>
          </w:p>
        </w:tc>
      </w:tr>
      <w:tr w:rsidR="00BF50C3" w14:paraId="035E452E" w14:textId="77777777" w:rsidTr="00544006">
        <w:trPr>
          <w:trHeight w:val="307"/>
        </w:trPr>
        <w:tc>
          <w:tcPr>
            <w:tcW w:w="8080" w:type="dxa"/>
            <w:gridSpan w:val="2"/>
            <w:shd w:val="clear" w:color="auto" w:fill="DAE9F7" w:themeFill="text2" w:themeFillTint="1A"/>
          </w:tcPr>
          <w:p w14:paraId="1A7365BD" w14:textId="646C347D" w:rsidR="00BF50C3" w:rsidRDefault="00BF50C3" w:rsidP="005F563B">
            <w:pPr>
              <w:spacing w:line="259" w:lineRule="auto"/>
              <w:jc w:val="center"/>
              <w:rPr>
                <w:b/>
                <w:bCs/>
                <w:noProof/>
                <w:sz w:val="20"/>
              </w:rPr>
            </w:pPr>
            <w:r>
              <w:rPr>
                <w:b/>
                <w:noProof/>
                <w:sz w:val="20"/>
              </w:rPr>
              <w:t>Acțiuni voluntare pentru părțile interesate</w:t>
            </w:r>
          </w:p>
        </w:tc>
        <w:tc>
          <w:tcPr>
            <w:tcW w:w="1276" w:type="dxa"/>
            <w:shd w:val="clear" w:color="auto" w:fill="DAE9F7" w:themeFill="text2" w:themeFillTint="1A"/>
          </w:tcPr>
          <w:p w14:paraId="27B9C76C" w14:textId="74DF91C3" w:rsidR="00BF50C3" w:rsidRPr="002E228E" w:rsidRDefault="00BF50C3" w:rsidP="005F563B">
            <w:pPr>
              <w:spacing w:line="259" w:lineRule="auto"/>
              <w:jc w:val="center"/>
              <w:rPr>
                <w:b/>
                <w:bCs/>
                <w:noProof/>
                <w:sz w:val="20"/>
              </w:rPr>
            </w:pPr>
            <w:r>
              <w:rPr>
                <w:b/>
                <w:noProof/>
                <w:sz w:val="20"/>
              </w:rPr>
              <w:t>Voluntar</w:t>
            </w:r>
          </w:p>
        </w:tc>
      </w:tr>
      <w:tr w:rsidR="004A13F9" w14:paraId="781CF7A5" w14:textId="77777777" w:rsidTr="00AE69A7">
        <w:trPr>
          <w:trHeight w:val="307"/>
        </w:trPr>
        <w:tc>
          <w:tcPr>
            <w:tcW w:w="2098" w:type="dxa"/>
            <w:shd w:val="clear" w:color="auto" w:fill="FFFFFF" w:themeFill="background1"/>
          </w:tcPr>
          <w:p w14:paraId="2B609212" w14:textId="29998E32" w:rsidR="0093482C" w:rsidRDefault="0093482C" w:rsidP="0093482C">
            <w:pPr>
              <w:rPr>
                <w:b/>
                <w:bCs/>
                <w:noProof/>
                <w:sz w:val="20"/>
              </w:rPr>
            </w:pPr>
            <w:r>
              <w:rPr>
                <w:b/>
                <w:noProof/>
                <w:sz w:val="20"/>
              </w:rPr>
              <w:t>Învățarea reciprocă pentru tinerii fermieri și pentru noii fermieri</w:t>
            </w:r>
          </w:p>
        </w:tc>
        <w:tc>
          <w:tcPr>
            <w:tcW w:w="5982" w:type="dxa"/>
            <w:shd w:val="clear" w:color="auto" w:fill="FFFFFF" w:themeFill="background1"/>
          </w:tcPr>
          <w:p w14:paraId="5AF7ECAE" w14:textId="7EA28504" w:rsidR="0093482C" w:rsidRPr="002E228E" w:rsidRDefault="0093482C" w:rsidP="0093482C">
            <w:pPr>
              <w:rPr>
                <w:b/>
                <w:bCs/>
                <w:noProof/>
                <w:sz w:val="20"/>
              </w:rPr>
            </w:pPr>
            <w:r>
              <w:rPr>
                <w:noProof/>
                <w:sz w:val="20"/>
              </w:rPr>
              <w:t xml:space="preserve">Organizațiile de tineri fermieri, cooperativele și partenerii ar trebui să ofere mentorat, formare și învățare reciprocă pentru a consolida competențele de afaceri și de conducere ale tinerilor fermieri și ale noilor fermieri. </w:t>
            </w:r>
          </w:p>
        </w:tc>
        <w:tc>
          <w:tcPr>
            <w:tcW w:w="1276" w:type="dxa"/>
            <w:shd w:val="clear" w:color="auto" w:fill="FFFFFF" w:themeFill="background1"/>
          </w:tcPr>
          <w:p w14:paraId="26E638D6" w14:textId="4FB4FF2D" w:rsidR="0093482C" w:rsidRPr="00892599" w:rsidRDefault="0093482C" w:rsidP="0093482C">
            <w:pPr>
              <w:spacing w:line="259" w:lineRule="auto"/>
              <w:jc w:val="center"/>
              <w:rPr>
                <w:noProof/>
                <w:sz w:val="20"/>
              </w:rPr>
            </w:pPr>
            <w:r>
              <w:rPr>
                <w:noProof/>
                <w:sz w:val="20"/>
              </w:rPr>
              <w:t>Începând cu 2026</w:t>
            </w:r>
          </w:p>
        </w:tc>
      </w:tr>
    </w:tbl>
    <w:p w14:paraId="6B51E733" w14:textId="302689BC" w:rsidR="00B142B9" w:rsidRDefault="00B142B9" w:rsidP="00552A1B">
      <w:pPr>
        <w:rPr>
          <w:b/>
          <w:bCs/>
          <w:noProof/>
        </w:rPr>
      </w:pPr>
    </w:p>
    <w:p w14:paraId="70AECD01" w14:textId="00DA3736" w:rsidR="00672F5A" w:rsidRPr="00DC261C" w:rsidRDefault="002030D7" w:rsidP="00AE69A7">
      <w:pPr>
        <w:rPr>
          <w:noProof/>
        </w:rPr>
      </w:pPr>
      <w:r>
        <w:rPr>
          <w:b/>
          <w:noProof/>
        </w:rPr>
        <w:t>C. Accesul la terenuri</w:t>
      </w:r>
    </w:p>
    <w:p w14:paraId="204ECAA6" w14:textId="6A886DC0" w:rsidR="00A53C9D" w:rsidRPr="00A53C9D" w:rsidRDefault="00366A29" w:rsidP="00A53C9D">
      <w:pPr>
        <w:rPr>
          <w:noProof/>
        </w:rPr>
      </w:pPr>
      <w:r>
        <w:rPr>
          <w:b/>
          <w:noProof/>
        </w:rPr>
        <w:t>Transferul de terenuri este esențial pentru reînnoirea generațiilor</w:t>
      </w:r>
      <w:r>
        <w:rPr>
          <w:noProof/>
        </w:rPr>
        <w:t>. Provocarea este ilustrată de dezechilibrul în ceea ce privește regimul funciar: în timp ce majoritatea fermierilor mai în vârstă sunt proprietari ai terenurilor, generațiile mai tinere sunt adesea limitate la arendare, exploatând 15 milioane de hectare în calitate de arendași, față de 10 milioane în calitate de proprietari. Arendarea oferă o opțiune mai accesibilă pentru mulți fermieri noi, deși arendarea pe termen scurt le poate limita capacitatea de investiții și de planificare pe termen lung.</w:t>
      </w:r>
    </w:p>
    <w:p w14:paraId="09C1055F" w14:textId="07746D79" w:rsidR="00A53C9D" w:rsidRPr="00106CD6" w:rsidRDefault="00C07248" w:rsidP="00A53C9D">
      <w:pPr>
        <w:rPr>
          <w:b/>
          <w:bCs/>
          <w:noProof/>
        </w:rPr>
      </w:pPr>
      <w:r>
        <w:rPr>
          <w:noProof/>
        </w:rPr>
        <w:t xml:space="preserve">Deși în unele state membre există sisteme și dispoziții administrative specifice pentru facilitarea transferului fermelor între generații, transferul timpuriu este adesea dificil, fermierii fiind descurajați să își transfere exploatațiile înainte de pensionare de o serie de obstacole administrative și financiare. </w:t>
      </w:r>
      <w:r>
        <w:rPr>
          <w:b/>
          <w:noProof/>
        </w:rPr>
        <w:t>Existența unor norme mai simplificate și a unor stimulente specifice ar crește atractivitatea transferurilor mai timpurii.</w:t>
      </w:r>
    </w:p>
    <w:p w14:paraId="5B537E8B" w14:textId="0BCF5F9D" w:rsidR="004C7F3F" w:rsidRPr="00827D8B" w:rsidRDefault="004C7F3F" w:rsidP="00A53C9D">
      <w:pPr>
        <w:rPr>
          <w:noProof/>
        </w:rPr>
      </w:pPr>
      <w:r>
        <w:rPr>
          <w:noProof/>
        </w:rPr>
        <w:t>Transferul fermei după decesul unui fermier este adesea îngreunat de cadre juridice complexe și de sarcini fiscale ridicate. Chiar și în cazul în care există scutiri fiscale sau un proces de transfer simplificat, practicile tradiționale din unele regiuni conduc la fragmentare, complicând consolidarea exploatațiilor agricole viabile. Statele membre ar trebui să elimine aceste obstacole pentru a facilita un transfer mai eficace de terenuri către fermieri. Prin urmare, Comisia va integra aspectele economice și sociale relevante legate de reînnoirea generațiilor în procesul semestrului european, pentru a se asigura că politicile naționale sunt aliniate la obiectivele UE și că sunt puse în aplicare reforme adecvate.</w:t>
      </w:r>
    </w:p>
    <w:p w14:paraId="4CF7B06E" w14:textId="712B0CB3" w:rsidR="00A53C9D" w:rsidRPr="00827D8B" w:rsidRDefault="00A53C9D" w:rsidP="00A53C9D">
      <w:pPr>
        <w:rPr>
          <w:noProof/>
        </w:rPr>
      </w:pPr>
      <w:r>
        <w:rPr>
          <w:noProof/>
        </w:rPr>
        <w:t>Pentru cei care nu au acces la terenuri moștenite, achiziționarea este principala cale către practicarea agriculturii, dar și cea mai dificilă. Prețurile medii sunt de 11 791 EUR pe hectar în întreaga UE, dar ajung la peste 280 000 EUR în anumite regiuni. În condiții de creditare limitată, condiții de rambursare împovărătoare și randamente ale investițiilor adesea modeste și instabile, tinerii fermieri se confruntă cu bariere la intrare majore. Statele membre pot facilita acest proces prin scheme de împrumuturi accesibile, prin drepturi de preempțiune în favoarea tinerilor fermieri (care nu sunt discriminatorii pe motive de naționalitate) și prin mecanisme specifice de punere în corespondență pentru a pune în legătură fermierii care se pensionează sau proprietarii de terenuri cu cei care aspiră să devină fermieri. În același timp, statele membre trebuie să ia măsuri împotriva achizițiilor speculative și a acaparării terenurilor pentru a menține terenurile agricole disponibile pentru agricultură(</w:t>
      </w:r>
      <w:r>
        <w:rPr>
          <w:rStyle w:val="FootnoteReference"/>
          <w:noProof/>
        </w:rPr>
        <w:footnoteReference w:id="38"/>
      </w:r>
      <w:r>
        <w:rPr>
          <w:noProof/>
        </w:rPr>
        <w:t>).</w:t>
      </w:r>
    </w:p>
    <w:p w14:paraId="55383829" w14:textId="7D18A8C7" w:rsidR="00A53C9D" w:rsidRPr="00827D8B" w:rsidRDefault="00A53C9D" w:rsidP="00A53C9D">
      <w:pPr>
        <w:rPr>
          <w:noProof/>
        </w:rPr>
      </w:pPr>
      <w:r>
        <w:rPr>
          <w:noProof/>
        </w:rPr>
        <w:t>Arendarea poate fi o opțiune mai accesibilă. Aproape jumătate din terenurile agricole din UE sunt arendate, dar acordurile pe termen scurt reprezintă o vulnerabilitate pentru noii fermieri. Contractele pe termen lung mai stricte, alături de acordarea de prioritate tinerilor fermieri la alocarea terenurilor municipale sau publice, ar îmbunătăți stabilitatea și încrederea.</w:t>
      </w:r>
    </w:p>
    <w:p w14:paraId="119DA27A" w14:textId="058855AD" w:rsidR="00786F0A" w:rsidRPr="00827D8B" w:rsidRDefault="00A53C9D" w:rsidP="00A53C9D">
      <w:pPr>
        <w:rPr>
          <w:noProof/>
        </w:rPr>
      </w:pPr>
      <w:r>
        <w:rPr>
          <w:noProof/>
        </w:rPr>
        <w:t>De asemenea, apar modele alternative, de la băncile funciare și trusturile funciare comunitare la incubatoarele agricole. Acestea au nevoie de cadre juridice favorabile și de sprijin regional pentru a deveni viabile la scară largă. În același timp, concurența pentru terenuri în scopul altor utilizări reduce disponibilitatea terenurilor agricole și crește prețurile terenurilor în detrimentul agriculturii. Ocuparea terenurilor reduce disponibilitatea terenurilor agricole. Conversia continuă a terenurilor agricole în utilizări urbane și industriale crește prețurile și limitează accesul pentru tinerii fermieri. Statele membre ar trebui să se alinieze la obiectivul UE de „zero ocupări nete de teren până în 2050”(</w:t>
      </w:r>
      <w:r>
        <w:rPr>
          <w:rStyle w:val="FootnoteReference"/>
          <w:noProof/>
        </w:rPr>
        <w:footnoteReference w:id="39"/>
      </w:r>
      <w:r>
        <w:rPr>
          <w:noProof/>
        </w:rPr>
        <w:t>) printr-o mai bună protecție a terenurilor agricole în amenajarea teritoriului.</w:t>
      </w:r>
    </w:p>
    <w:p w14:paraId="1279C7C9" w14:textId="0E090C4C" w:rsidR="00106CD6" w:rsidRDefault="003672D5" w:rsidP="00D972E8">
      <w:pPr>
        <w:rPr>
          <w:noProof/>
        </w:rPr>
      </w:pPr>
      <w:r>
        <w:rPr>
          <w:noProof/>
          <w:lang w:val="en-GB"/>
        </w:rPr>
        <mc:AlternateContent>
          <mc:Choice Requires="wps">
            <w:drawing>
              <wp:anchor distT="0" distB="0" distL="114300" distR="114300" simplePos="0" relativeHeight="251658241" behindDoc="1" locked="0" layoutInCell="1" allowOverlap="1" wp14:anchorId="314A87D1" wp14:editId="6E3D773A">
                <wp:simplePos x="0" y="0"/>
                <wp:positionH relativeFrom="margin">
                  <wp:posOffset>-231890</wp:posOffset>
                </wp:positionH>
                <wp:positionV relativeFrom="paragraph">
                  <wp:posOffset>1488672</wp:posOffset>
                </wp:positionV>
                <wp:extent cx="5937250" cy="1724602"/>
                <wp:effectExtent l="0" t="0" r="25400" b="28575"/>
                <wp:wrapNone/>
                <wp:docPr id="1489362392" name="Rectangle: Rounded Corners 1"/>
                <wp:cNvGraphicFramePr/>
                <a:graphic xmlns:a="http://schemas.openxmlformats.org/drawingml/2006/main">
                  <a:graphicData uri="http://schemas.microsoft.com/office/word/2010/wordprocessingShape">
                    <wps:wsp>
                      <wps:cNvSpPr/>
                      <wps:spPr>
                        <a:xfrm>
                          <a:off x="0" y="0"/>
                          <a:ext cx="5937250" cy="1724602"/>
                        </a:xfrm>
                        <a:prstGeom prst="roundRect">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oundrect id="Rectangle: Rounded Corners 1" style="position:absolute;margin-left:-18.25pt;margin-top:117.2pt;width:467.5pt;height:135.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e2d5 [661]"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" arcsize="10923f" w14:anchorId="1FB00F1D">
                <v:stroke joinstyle="miter"/>
                <w10:wrap anchorx="margin"/>
              </v:roundrect>
            </w:pict>
          </mc:Fallback>
        </mc:AlternateContent>
      </w:r>
      <w:r w:rsidR="007A272C">
        <w:rPr>
          <w:noProof/>
        </w:rPr>
        <w:t xml:space="preserve">Politica funciară în întreaga UE ar beneficia de pe urma unei cooperări mai strânse și a schimbului de date între statele membre. Pentru a sprijini acest lucru, Comisia dezvoltă baza analitică pentru un </w:t>
      </w:r>
      <w:r w:rsidR="007A272C">
        <w:rPr>
          <w:b/>
          <w:noProof/>
        </w:rPr>
        <w:t>Observator european al terenurilor</w:t>
      </w:r>
      <w:r w:rsidR="007A272C">
        <w:rPr>
          <w:noProof/>
        </w:rPr>
        <w:t>, conceput ca un forum de discuții care să contribuie la completarea lacunelor în materie de informații și la sporirea transparenței tranzacțiilor funciare, a prețurilor, a schimbării destinației terenurilor și a tendințelor pieței. Observatorul va oferi statelor membre dovezi și instrumente pentru a concepe măsuri mai echitabile și mai eficace, adaptate la contextele lor naționale, contribuind în același timp la obiectivele comune ale UE, inclusiv la reînnoirea generațiilor.</w:t>
      </w:r>
    </w:p>
    <w:p w14:paraId="795B2BF1" w14:textId="408A2061" w:rsidR="00E27A3F" w:rsidRPr="00827D8B" w:rsidRDefault="00E27A3F" w:rsidP="003E12D1">
      <w:pPr>
        <w:rPr>
          <w:b/>
          <w:bCs/>
          <w:i/>
          <w:iCs/>
          <w:noProof/>
          <w:sz w:val="22"/>
          <w:szCs w:val="22"/>
        </w:rPr>
      </w:pPr>
      <w:r>
        <w:rPr>
          <w:b/>
          <w:i/>
          <w:noProof/>
          <w:sz w:val="22"/>
        </w:rPr>
        <w:t>Inițiative emblematice</w:t>
      </w:r>
    </w:p>
    <w:p w14:paraId="478BA8BA" w14:textId="58246F5D" w:rsidR="00FE253A" w:rsidRPr="00827D8B" w:rsidRDefault="00FE253A" w:rsidP="002F39C3">
      <w:pPr>
        <w:pStyle w:val="ListParagraph"/>
        <w:numPr>
          <w:ilvl w:val="0"/>
          <w:numId w:val="24"/>
        </w:numPr>
        <w:spacing w:after="0"/>
        <w:rPr>
          <w:i/>
          <w:iCs/>
          <w:noProof/>
          <w:sz w:val="22"/>
          <w:szCs w:val="22"/>
        </w:rPr>
      </w:pPr>
      <w:r>
        <w:rPr>
          <w:i/>
          <w:noProof/>
          <w:sz w:val="22"/>
        </w:rPr>
        <w:t xml:space="preserve">Un </w:t>
      </w:r>
      <w:r>
        <w:rPr>
          <w:b/>
          <w:i/>
          <w:noProof/>
          <w:sz w:val="22"/>
        </w:rPr>
        <w:t xml:space="preserve">Observator european al terenurilor </w:t>
      </w:r>
      <w:r>
        <w:rPr>
          <w:i/>
          <w:noProof/>
          <w:sz w:val="22"/>
        </w:rPr>
        <w:t xml:space="preserve">pentru a îmbunătăți transparența terenurilor, ajutându-i pe fermieri să aibă acces la terenurile disponibile, sprijinind transferul fermelor între generații, oferind informații în materie de politici și prevenind speculațiile cu terenuri, facilitând astfel începerea activității agricole de către noii fermieri. </w:t>
      </w:r>
    </w:p>
    <w:p w14:paraId="7AF62C5E" w14:textId="5F21A95C" w:rsidR="007C64C3" w:rsidRPr="00827D8B" w:rsidRDefault="007C64C3" w:rsidP="002F39C3">
      <w:pPr>
        <w:pStyle w:val="ListParagraph"/>
        <w:numPr>
          <w:ilvl w:val="0"/>
          <w:numId w:val="24"/>
        </w:numPr>
        <w:spacing w:after="0"/>
        <w:rPr>
          <w:i/>
          <w:iCs/>
          <w:noProof/>
          <w:sz w:val="22"/>
          <w:szCs w:val="22"/>
        </w:rPr>
      </w:pPr>
      <w:r>
        <w:rPr>
          <w:b/>
          <w:i/>
          <w:noProof/>
          <w:sz w:val="22"/>
        </w:rPr>
        <w:t>Politici funciare</w:t>
      </w:r>
      <w:r>
        <w:rPr>
          <w:i/>
          <w:noProof/>
          <w:sz w:val="22"/>
        </w:rPr>
        <w:t xml:space="preserve"> naționale pentru a aborda barierele în calea accesului, pentru a preveni achizițiile speculative și pentru a asigura alinierea la obiectivele UE privind reînnoirea generațiilor, care urmează să fie acoperite de semestrul european/în domeniul de aplicare al acestuia.</w:t>
      </w:r>
    </w:p>
    <w:p w14:paraId="4E029717" w14:textId="6F7DF972" w:rsidR="000A0604" w:rsidRDefault="000A0604" w:rsidP="001D1CAE">
      <w:pPr>
        <w:rPr>
          <w:i/>
          <w:iCs/>
          <w:noProof/>
          <w:sz w:val="22"/>
          <w:szCs w:val="22"/>
        </w:rPr>
      </w:pPr>
    </w:p>
    <w:tbl>
      <w:tblPr>
        <w:tblStyle w:val="TableGrid"/>
        <w:tblW w:w="9356" w:type="dxa"/>
        <w:tblInd w:w="-150" w:type="dxa"/>
        <w:tblLayout w:type="fixed"/>
        <w:tblLook w:val="04A0" w:firstRow="1" w:lastRow="0" w:firstColumn="1" w:lastColumn="0" w:noHBand="0" w:noVBand="1"/>
      </w:tblPr>
      <w:tblGrid>
        <w:gridCol w:w="1985"/>
        <w:gridCol w:w="6095"/>
        <w:gridCol w:w="1276"/>
      </w:tblGrid>
      <w:tr w:rsidR="00283270" w:rsidRPr="00C67F94" w14:paraId="77F3C370" w14:textId="77777777" w:rsidTr="00356507">
        <w:trPr>
          <w:trHeight w:val="476"/>
        </w:trPr>
        <w:tc>
          <w:tcPr>
            <w:tcW w:w="8080" w:type="dxa"/>
            <w:gridSpan w:val="2"/>
            <w:shd w:val="clear" w:color="auto" w:fill="FAE2D5" w:themeFill="accent2" w:themeFillTint="33"/>
          </w:tcPr>
          <w:p w14:paraId="22E4D48B" w14:textId="77777777" w:rsidR="00283270" w:rsidRPr="00C93D12" w:rsidRDefault="00283270" w:rsidP="00356507">
            <w:pPr>
              <w:jc w:val="center"/>
              <w:rPr>
                <w:b/>
                <w:bCs/>
                <w:noProof/>
                <w:sz w:val="20"/>
              </w:rPr>
            </w:pPr>
            <w:r>
              <w:rPr>
                <w:b/>
                <w:noProof/>
                <w:sz w:val="20"/>
              </w:rPr>
              <w:t>Acțiuni propuse în cadrul altor politici ale UE</w:t>
            </w:r>
          </w:p>
        </w:tc>
        <w:tc>
          <w:tcPr>
            <w:tcW w:w="1276" w:type="dxa"/>
            <w:shd w:val="clear" w:color="auto" w:fill="FAE2D5" w:themeFill="accent2" w:themeFillTint="33"/>
          </w:tcPr>
          <w:p w14:paraId="3FBAAFB7" w14:textId="77777777" w:rsidR="00283270" w:rsidRPr="00C67F94" w:rsidRDefault="00283270" w:rsidP="00356507">
            <w:pPr>
              <w:jc w:val="center"/>
              <w:rPr>
                <w:b/>
                <w:bCs/>
                <w:noProof/>
                <w:sz w:val="20"/>
              </w:rPr>
            </w:pPr>
          </w:p>
        </w:tc>
      </w:tr>
      <w:tr w:rsidR="00283270" w:rsidRPr="00C67F94" w14:paraId="1704C09E" w14:textId="77777777" w:rsidTr="00356507">
        <w:trPr>
          <w:trHeight w:val="927"/>
        </w:trPr>
        <w:tc>
          <w:tcPr>
            <w:tcW w:w="1985" w:type="dxa"/>
            <w:shd w:val="clear" w:color="auto" w:fill="FFFFFF" w:themeFill="background1"/>
          </w:tcPr>
          <w:p w14:paraId="5D9D9639" w14:textId="77777777" w:rsidR="00283270" w:rsidRDefault="00283270" w:rsidP="00356507">
            <w:pPr>
              <w:rPr>
                <w:b/>
                <w:bCs/>
                <w:noProof/>
                <w:sz w:val="20"/>
              </w:rPr>
            </w:pPr>
            <w:r>
              <w:rPr>
                <w:b/>
                <w:noProof/>
                <w:sz w:val="20"/>
              </w:rPr>
              <w:t>Evaluarea pieței funciare pentru reînnoirea generațiilor</w:t>
            </w:r>
          </w:p>
          <w:p w14:paraId="0198F056" w14:textId="77777777" w:rsidR="00283270" w:rsidRPr="00C67F94" w:rsidRDefault="00283270" w:rsidP="00356507">
            <w:pPr>
              <w:rPr>
                <w:b/>
                <w:bCs/>
                <w:noProof/>
                <w:sz w:val="20"/>
              </w:rPr>
            </w:pPr>
          </w:p>
        </w:tc>
        <w:tc>
          <w:tcPr>
            <w:tcW w:w="6095" w:type="dxa"/>
            <w:shd w:val="clear" w:color="auto" w:fill="FFFFFF" w:themeFill="background1"/>
          </w:tcPr>
          <w:p w14:paraId="6348CEBC" w14:textId="77777777" w:rsidR="00283270" w:rsidRPr="00D95C99" w:rsidRDefault="00283270" w:rsidP="00356507">
            <w:pPr>
              <w:spacing w:after="0"/>
              <w:rPr>
                <w:noProof/>
                <w:sz w:val="20"/>
              </w:rPr>
            </w:pPr>
            <w:r>
              <w:rPr>
                <w:noProof/>
                <w:sz w:val="20"/>
              </w:rPr>
              <w:t>Efectuarea a două studii interconectate cu scopul de a înțelege mai bine obstacolele legate de terenuri în calea reînnoirii generațiilor în agricultură pentru:</w:t>
            </w:r>
          </w:p>
          <w:p w14:paraId="7B2FE4AD" w14:textId="628DB53F" w:rsidR="00283270" w:rsidRPr="00D95C99" w:rsidRDefault="00283270" w:rsidP="00356507">
            <w:pPr>
              <w:numPr>
                <w:ilvl w:val="0"/>
                <w:numId w:val="26"/>
              </w:numPr>
              <w:spacing w:after="0"/>
              <w:rPr>
                <w:noProof/>
                <w:sz w:val="20"/>
              </w:rPr>
            </w:pPr>
            <w:r>
              <w:rPr>
                <w:noProof/>
                <w:sz w:val="20"/>
              </w:rPr>
              <w:t>a examina financiarizarea terenurilor agricole și consecințele sale socioeconomice și de mediu și</w:t>
            </w:r>
          </w:p>
          <w:p w14:paraId="7764B91B" w14:textId="77777777" w:rsidR="00283270" w:rsidRPr="0010255F" w:rsidRDefault="00283270" w:rsidP="00356507">
            <w:pPr>
              <w:numPr>
                <w:ilvl w:val="0"/>
                <w:numId w:val="26"/>
              </w:numPr>
              <w:spacing w:after="0"/>
              <w:rPr>
                <w:noProof/>
                <w:sz w:val="20"/>
              </w:rPr>
            </w:pPr>
            <w:r>
              <w:rPr>
                <w:noProof/>
                <w:sz w:val="20"/>
              </w:rPr>
              <w:t>a analiza evoluția prețurilor terenurilor agricole în raport cu factorii de agromediu și sociali.</w:t>
            </w:r>
          </w:p>
        </w:tc>
        <w:tc>
          <w:tcPr>
            <w:tcW w:w="1276" w:type="dxa"/>
            <w:shd w:val="clear" w:color="auto" w:fill="FFFFFF" w:themeFill="background1"/>
          </w:tcPr>
          <w:p w14:paraId="6E1E2F2D" w14:textId="77777777" w:rsidR="00283270" w:rsidRPr="00C67F94" w:rsidRDefault="00283270" w:rsidP="00356507">
            <w:pPr>
              <w:rPr>
                <w:noProof/>
                <w:sz w:val="20"/>
              </w:rPr>
            </w:pPr>
            <w:r>
              <w:rPr>
                <w:noProof/>
                <w:sz w:val="20"/>
              </w:rPr>
              <w:t>Până în T4 din 2026</w:t>
            </w:r>
          </w:p>
        </w:tc>
      </w:tr>
      <w:tr w:rsidR="00283270" w:rsidRPr="00C67F94" w14:paraId="651A176B" w14:textId="77777777" w:rsidTr="00356507">
        <w:trPr>
          <w:trHeight w:val="463"/>
        </w:trPr>
        <w:tc>
          <w:tcPr>
            <w:tcW w:w="8080" w:type="dxa"/>
            <w:gridSpan w:val="2"/>
            <w:shd w:val="clear" w:color="auto" w:fill="FAE2D5" w:themeFill="accent2" w:themeFillTint="33"/>
          </w:tcPr>
          <w:p w14:paraId="2C5E3D33" w14:textId="77777777" w:rsidR="00283270" w:rsidRPr="00C67F94" w:rsidRDefault="00283270" w:rsidP="00356507">
            <w:pPr>
              <w:jc w:val="center"/>
              <w:rPr>
                <w:b/>
                <w:bCs/>
                <w:noProof/>
                <w:sz w:val="20"/>
              </w:rPr>
            </w:pPr>
            <w:r>
              <w:rPr>
                <w:b/>
                <w:noProof/>
                <w:sz w:val="20"/>
              </w:rPr>
              <w:t>Acțiuni voluntare la nivelul statelor membre</w:t>
            </w:r>
          </w:p>
        </w:tc>
        <w:tc>
          <w:tcPr>
            <w:tcW w:w="1276" w:type="dxa"/>
            <w:shd w:val="clear" w:color="auto" w:fill="FAE2D5" w:themeFill="accent2" w:themeFillTint="33"/>
          </w:tcPr>
          <w:p w14:paraId="365E922A" w14:textId="77777777" w:rsidR="00283270" w:rsidRPr="00C67F94" w:rsidRDefault="00283270" w:rsidP="00356507">
            <w:pPr>
              <w:jc w:val="center"/>
              <w:rPr>
                <w:b/>
                <w:bCs/>
                <w:noProof/>
                <w:sz w:val="20"/>
              </w:rPr>
            </w:pPr>
          </w:p>
        </w:tc>
      </w:tr>
      <w:tr w:rsidR="00283270" w:rsidRPr="00C67F94" w14:paraId="4CBDF881" w14:textId="77777777" w:rsidTr="00356507">
        <w:trPr>
          <w:trHeight w:val="412"/>
        </w:trPr>
        <w:tc>
          <w:tcPr>
            <w:tcW w:w="1985" w:type="dxa"/>
            <w:shd w:val="clear" w:color="auto" w:fill="FFFFFF" w:themeFill="background1"/>
          </w:tcPr>
          <w:p w14:paraId="35014C9F" w14:textId="77777777" w:rsidR="00283270" w:rsidRPr="00C67F94" w:rsidRDefault="00283270" w:rsidP="00356507">
            <w:pPr>
              <w:rPr>
                <w:b/>
                <w:bCs/>
                <w:noProof/>
                <w:sz w:val="20"/>
              </w:rPr>
            </w:pPr>
            <w:r>
              <w:rPr>
                <w:b/>
                <w:noProof/>
                <w:sz w:val="20"/>
              </w:rPr>
              <w:t>Servicii privind mobilitatea terenurilor</w:t>
            </w:r>
          </w:p>
        </w:tc>
        <w:tc>
          <w:tcPr>
            <w:tcW w:w="6095" w:type="dxa"/>
            <w:shd w:val="clear" w:color="auto" w:fill="FFFFFF" w:themeFill="background1"/>
          </w:tcPr>
          <w:p w14:paraId="0DE5470E" w14:textId="77777777" w:rsidR="00283270" w:rsidRPr="00C67F94" w:rsidRDefault="00283270" w:rsidP="00356507">
            <w:pPr>
              <w:rPr>
                <w:noProof/>
                <w:sz w:val="20"/>
              </w:rPr>
            </w:pPr>
            <w:r>
              <w:rPr>
                <w:noProof/>
                <w:sz w:val="20"/>
              </w:rPr>
              <w:t xml:space="preserve">Sprijinirea schemelor confidențiale de mobilitate a terenurilor care asigură legătura între proprietarii de terenuri și noii fermieri prin contracte de arendă, parteneriate, agricultură partajată și instrumente de intermediere între noii fermieri și proprietarii de terenuri. Încurajarea elaborării unor cadre juridice care asigură arendarea pe termen lung și promovează stabilitatea arendării pentru a permite preluarea treptată a fermelor și investițiile din partea tinerilor fermieri. Valorificând inițiativele statelor membre, o rețea la nivelul UE ar conecta platformele naționale. </w:t>
            </w:r>
          </w:p>
        </w:tc>
        <w:tc>
          <w:tcPr>
            <w:tcW w:w="1276" w:type="dxa"/>
            <w:shd w:val="clear" w:color="auto" w:fill="FFFFFF" w:themeFill="background1"/>
          </w:tcPr>
          <w:p w14:paraId="2FE3AF04" w14:textId="77777777" w:rsidR="00283270" w:rsidRPr="00C67F94" w:rsidRDefault="00283270" w:rsidP="00356507">
            <w:pPr>
              <w:rPr>
                <w:noProof/>
                <w:sz w:val="20"/>
              </w:rPr>
            </w:pPr>
            <w:r>
              <w:rPr>
                <w:noProof/>
                <w:sz w:val="20"/>
              </w:rPr>
              <w:t>Începând cu T4 2025</w:t>
            </w:r>
          </w:p>
        </w:tc>
      </w:tr>
      <w:tr w:rsidR="00283270" w:rsidRPr="00C67F94" w14:paraId="6F44D308" w14:textId="77777777" w:rsidTr="00356507">
        <w:trPr>
          <w:trHeight w:val="927"/>
        </w:trPr>
        <w:tc>
          <w:tcPr>
            <w:tcW w:w="1985" w:type="dxa"/>
            <w:shd w:val="clear" w:color="auto" w:fill="FFFFFF" w:themeFill="background1"/>
          </w:tcPr>
          <w:p w14:paraId="2EF354B7" w14:textId="77777777" w:rsidR="00283270" w:rsidRPr="00C67F94" w:rsidRDefault="00283270" w:rsidP="00356507">
            <w:pPr>
              <w:rPr>
                <w:b/>
                <w:bCs/>
                <w:noProof/>
                <w:sz w:val="20"/>
              </w:rPr>
            </w:pPr>
            <w:r>
              <w:rPr>
                <w:b/>
                <w:noProof/>
                <w:sz w:val="20"/>
              </w:rPr>
              <w:t>Modele alternative de transfer al dreptului de proprietate și al întreprinderilor</w:t>
            </w:r>
          </w:p>
        </w:tc>
        <w:tc>
          <w:tcPr>
            <w:tcW w:w="6095" w:type="dxa"/>
            <w:shd w:val="clear" w:color="auto" w:fill="FFFFFF" w:themeFill="background1"/>
          </w:tcPr>
          <w:p w14:paraId="4805C0E1" w14:textId="77777777" w:rsidR="00283270" w:rsidRPr="00C67F94" w:rsidRDefault="00283270" w:rsidP="00356507">
            <w:pPr>
              <w:rPr>
                <w:noProof/>
                <w:sz w:val="20"/>
              </w:rPr>
            </w:pPr>
            <w:r>
              <w:rPr>
                <w:noProof/>
                <w:sz w:val="20"/>
              </w:rPr>
              <w:t>Sprijinirea transferurilor de proprietate între generații și către lucrători, inclusiv preluările de către lucrători prin care angajații achiziționează cote de participare în exploatații agricole, precum și a modelelor de gestionare a terenurilor în cadrul cooperativelor. Acordarea de prioritate sprijinului pentru modelele care permit transferuri treptate sau colective ale dreptului de proprietate.</w:t>
            </w:r>
          </w:p>
        </w:tc>
        <w:tc>
          <w:tcPr>
            <w:tcW w:w="1276" w:type="dxa"/>
            <w:shd w:val="clear" w:color="auto" w:fill="FFFFFF" w:themeFill="background1"/>
          </w:tcPr>
          <w:p w14:paraId="1FC54DC2" w14:textId="77777777" w:rsidR="00283270" w:rsidRPr="00C67F94" w:rsidRDefault="00283270" w:rsidP="00356507">
            <w:pPr>
              <w:rPr>
                <w:noProof/>
                <w:sz w:val="20"/>
              </w:rPr>
            </w:pPr>
            <w:r>
              <w:rPr>
                <w:noProof/>
                <w:sz w:val="20"/>
              </w:rPr>
              <w:t>Începând cu T4 2025</w:t>
            </w:r>
          </w:p>
        </w:tc>
      </w:tr>
      <w:tr w:rsidR="00283270" w:rsidRPr="00C67F94" w14:paraId="52EF1E48" w14:textId="77777777" w:rsidTr="00356507">
        <w:trPr>
          <w:trHeight w:val="849"/>
        </w:trPr>
        <w:tc>
          <w:tcPr>
            <w:tcW w:w="1985" w:type="dxa"/>
            <w:shd w:val="clear" w:color="auto" w:fill="FFFFFF" w:themeFill="background1"/>
          </w:tcPr>
          <w:p w14:paraId="6BBA984D" w14:textId="77777777" w:rsidR="00283270" w:rsidRPr="00C67F94" w:rsidRDefault="00283270" w:rsidP="00356507">
            <w:pPr>
              <w:rPr>
                <w:b/>
                <w:bCs/>
                <w:noProof/>
                <w:sz w:val="20"/>
              </w:rPr>
            </w:pPr>
            <w:r>
              <w:rPr>
                <w:b/>
                <w:noProof/>
                <w:sz w:val="20"/>
              </w:rPr>
              <w:t>Bănci funciare și reutilizarea terenurilor abandonate</w:t>
            </w:r>
          </w:p>
        </w:tc>
        <w:tc>
          <w:tcPr>
            <w:tcW w:w="6095" w:type="dxa"/>
            <w:shd w:val="clear" w:color="auto" w:fill="FFFFFF" w:themeFill="background1"/>
          </w:tcPr>
          <w:p w14:paraId="7071A613" w14:textId="77777777" w:rsidR="00283270" w:rsidRPr="00C67F94" w:rsidRDefault="00283270" w:rsidP="00356507">
            <w:pPr>
              <w:rPr>
                <w:noProof/>
                <w:sz w:val="20"/>
              </w:rPr>
            </w:pPr>
            <w:r>
              <w:rPr>
                <w:noProof/>
                <w:sz w:val="20"/>
              </w:rPr>
              <w:t>Sprijinirea băncilor funciare publice pentru a gestiona și a schimba destinația terenurilor abandonate sau fragmentate, facilitând accesul tinerilor fermieri și al noilor fermieri. Încurajarea mecanismelor de arendare în regim de cooperativă, după caz.</w:t>
            </w:r>
          </w:p>
        </w:tc>
        <w:tc>
          <w:tcPr>
            <w:tcW w:w="1276" w:type="dxa"/>
            <w:shd w:val="clear" w:color="auto" w:fill="FFFFFF" w:themeFill="background1"/>
          </w:tcPr>
          <w:p w14:paraId="52FD1A84" w14:textId="77777777" w:rsidR="00283270" w:rsidRPr="00C67F94" w:rsidRDefault="00283270" w:rsidP="00356507">
            <w:pPr>
              <w:rPr>
                <w:noProof/>
                <w:sz w:val="20"/>
              </w:rPr>
            </w:pPr>
            <w:r>
              <w:rPr>
                <w:noProof/>
                <w:sz w:val="20"/>
              </w:rPr>
              <w:t>Începând cu T4 2025</w:t>
            </w:r>
          </w:p>
        </w:tc>
      </w:tr>
      <w:tr w:rsidR="00283270" w:rsidRPr="00C67F94" w14:paraId="0D4FEC17" w14:textId="77777777" w:rsidTr="00356507">
        <w:trPr>
          <w:trHeight w:val="1166"/>
        </w:trPr>
        <w:tc>
          <w:tcPr>
            <w:tcW w:w="1985" w:type="dxa"/>
            <w:shd w:val="clear" w:color="auto" w:fill="FFFFFF" w:themeFill="background1"/>
          </w:tcPr>
          <w:p w14:paraId="3A699250" w14:textId="77777777" w:rsidR="00283270" w:rsidRPr="00C67F94" w:rsidRDefault="00283270" w:rsidP="00356507">
            <w:pPr>
              <w:rPr>
                <w:b/>
                <w:bCs/>
                <w:noProof/>
                <w:sz w:val="20"/>
              </w:rPr>
            </w:pPr>
            <w:r>
              <w:rPr>
                <w:b/>
                <w:noProof/>
                <w:sz w:val="20"/>
              </w:rPr>
              <w:t>Implicarea instituțiilor financiare deținute de stat</w:t>
            </w:r>
          </w:p>
        </w:tc>
        <w:tc>
          <w:tcPr>
            <w:tcW w:w="6095" w:type="dxa"/>
            <w:shd w:val="clear" w:color="auto" w:fill="FFFFFF" w:themeFill="background1"/>
          </w:tcPr>
          <w:p w14:paraId="7F1EDEF3" w14:textId="1D75D297" w:rsidR="00283270" w:rsidRPr="00C67F94" w:rsidRDefault="00283270" w:rsidP="00356507">
            <w:pPr>
              <w:rPr>
                <w:noProof/>
                <w:sz w:val="20"/>
              </w:rPr>
            </w:pPr>
            <w:r>
              <w:rPr>
                <w:noProof/>
                <w:sz w:val="20"/>
              </w:rPr>
              <w:t>Încurajarea instituțiilor financiare să sprijine accesul la terenurile agricole și dezvoltarea acestora prin oferirea de produse financiare precum împrumuturi pentru achiziții, garanții pentru împrumuturi și subvenții la rata dobânzii pentru amenajarea și consolidarea terenurilor, ajutând tinerii fermieri să depășească barierele financiare și să îmbunătățească viabilitatea exploatațiilor.</w:t>
            </w:r>
          </w:p>
        </w:tc>
        <w:tc>
          <w:tcPr>
            <w:tcW w:w="1276" w:type="dxa"/>
            <w:shd w:val="clear" w:color="auto" w:fill="FFFFFF" w:themeFill="background1"/>
          </w:tcPr>
          <w:p w14:paraId="5E5C12F3" w14:textId="77777777" w:rsidR="00283270" w:rsidRPr="00C67F94" w:rsidRDefault="00283270" w:rsidP="00356507">
            <w:pPr>
              <w:rPr>
                <w:noProof/>
                <w:sz w:val="20"/>
              </w:rPr>
            </w:pPr>
            <w:r>
              <w:rPr>
                <w:noProof/>
                <w:sz w:val="20"/>
              </w:rPr>
              <w:t>Începând cu T4 2025</w:t>
            </w:r>
          </w:p>
        </w:tc>
      </w:tr>
      <w:tr w:rsidR="00283270" w:rsidRPr="00C67F94" w14:paraId="187A2ACA" w14:textId="77777777" w:rsidTr="00356507">
        <w:trPr>
          <w:trHeight w:val="876"/>
        </w:trPr>
        <w:tc>
          <w:tcPr>
            <w:tcW w:w="1985" w:type="dxa"/>
            <w:shd w:val="clear" w:color="auto" w:fill="FFFFFF" w:themeFill="background1"/>
          </w:tcPr>
          <w:p w14:paraId="4E20F2D7" w14:textId="77777777" w:rsidR="00283270" w:rsidRPr="00C67F94" w:rsidRDefault="00283270" w:rsidP="00356507">
            <w:pPr>
              <w:rPr>
                <w:b/>
                <w:bCs/>
                <w:noProof/>
                <w:sz w:val="20"/>
              </w:rPr>
            </w:pPr>
            <w:r>
              <w:rPr>
                <w:b/>
                <w:noProof/>
                <w:sz w:val="20"/>
              </w:rPr>
              <w:t>Costuri mai mici la tranzacțiile funciare pentru fermele mici</w:t>
            </w:r>
          </w:p>
        </w:tc>
        <w:tc>
          <w:tcPr>
            <w:tcW w:w="6095" w:type="dxa"/>
            <w:shd w:val="clear" w:color="auto" w:fill="FFFFFF" w:themeFill="background1"/>
          </w:tcPr>
          <w:p w14:paraId="6110FCB1" w14:textId="77777777" w:rsidR="00283270" w:rsidRPr="00C93D12" w:rsidRDefault="00283270" w:rsidP="00356507">
            <w:pPr>
              <w:rPr>
                <w:noProof/>
                <w:sz w:val="20"/>
              </w:rPr>
            </w:pPr>
            <w:r>
              <w:rPr>
                <w:noProof/>
                <w:sz w:val="20"/>
              </w:rPr>
              <w:t xml:space="preserve">Sprijinirea reformelor și acordarea de subvenții pentru a reduce costurile ridicate de înregistrare a terenurilor și de tranzacționare, un obstacol major pentru tinerii fermieri. Pentru a găsi un echilibru în ceea ce privește descurajarea speculațiilor, fără a-i afecta pe noii fermieri, trebuie să se ia în considerare scutirea de taxe sau reducerea taxelor pentru fermele mici, cum ar fi stabilirea unor praguri sau a unor costuri proporționale cu dimensiunea terenurilor. </w:t>
            </w:r>
          </w:p>
        </w:tc>
        <w:tc>
          <w:tcPr>
            <w:tcW w:w="1276" w:type="dxa"/>
            <w:shd w:val="clear" w:color="auto" w:fill="FFFFFF" w:themeFill="background1"/>
          </w:tcPr>
          <w:p w14:paraId="63BB034A" w14:textId="77777777" w:rsidR="00283270" w:rsidRPr="00C67F94" w:rsidRDefault="00283270" w:rsidP="00356507">
            <w:pPr>
              <w:rPr>
                <w:noProof/>
                <w:sz w:val="20"/>
              </w:rPr>
            </w:pPr>
            <w:r>
              <w:rPr>
                <w:noProof/>
                <w:sz w:val="20"/>
              </w:rPr>
              <w:t>Începând cu T4 2025</w:t>
            </w:r>
          </w:p>
        </w:tc>
      </w:tr>
    </w:tbl>
    <w:p w14:paraId="65B5C728" w14:textId="77777777" w:rsidR="004A28DF" w:rsidRDefault="004A28DF" w:rsidP="003D634B">
      <w:pPr>
        <w:spacing w:after="0"/>
        <w:rPr>
          <w:i/>
          <w:iCs/>
          <w:noProof/>
        </w:rPr>
      </w:pPr>
    </w:p>
    <w:p w14:paraId="4A64CE9C" w14:textId="77777777" w:rsidR="004A28DF" w:rsidRDefault="004A28DF" w:rsidP="004A28DF">
      <w:pPr>
        <w:spacing w:after="0"/>
        <w:ind w:left="360"/>
        <w:rPr>
          <w:noProof/>
        </w:rPr>
      </w:pPr>
    </w:p>
    <w:p w14:paraId="7B458EB7" w14:textId="5792939C" w:rsidR="004E5BDC" w:rsidRPr="00AE69A7" w:rsidRDefault="00AE69A7" w:rsidP="00AE69A7">
      <w:pPr>
        <w:rPr>
          <w:b/>
          <w:bCs/>
          <w:noProof/>
        </w:rPr>
      </w:pPr>
      <w:r>
        <w:rPr>
          <w:b/>
          <w:noProof/>
        </w:rPr>
        <w:t xml:space="preserve">D. Reziliență, condiții de trai echitabile și acces la noi oportunități de venit </w:t>
      </w:r>
    </w:p>
    <w:p w14:paraId="66F9E41B" w14:textId="103D1C8B" w:rsidR="00823038" w:rsidRDefault="001E787B" w:rsidP="001E787B">
      <w:pPr>
        <w:spacing w:before="100" w:beforeAutospacing="1" w:after="100" w:afterAutospacing="1"/>
        <w:rPr>
          <w:noProof/>
        </w:rPr>
      </w:pPr>
      <w:r>
        <w:rPr>
          <w:noProof/>
        </w:rPr>
        <w:t>Reînnoirea agriculturii nu depinde numai de accesul la terenuri, competențe sau finanțare, ci și de oportunitățile economice generale din agricultură și de atractivitatea vieții rurale</w:t>
      </w:r>
      <w:r>
        <w:rPr>
          <w:b/>
          <w:noProof/>
        </w:rPr>
        <w:t>.</w:t>
      </w:r>
      <w:r>
        <w:rPr>
          <w:noProof/>
        </w:rPr>
        <w:t xml:space="preserve"> Mulți tineri ezită să rămână sau să se reîntoarcă în sectorul agricol și în zonele rurale dacă oportunitățile de câștig, serviciile și calitatea vieții nu se ridică la nivelul celor din zonele urbane. PAC are un rol esențial în asigurarea viabilității economice și a atractivității agriculturii și a altor activități în zonele rurale ale UE, în complementaritate cu politica de coeziune și cu alte politici ale UE. Observatorul rural(</w:t>
      </w:r>
      <w:r>
        <w:rPr>
          <w:rStyle w:val="FootnoteReference"/>
          <w:noProof/>
        </w:rPr>
        <w:footnoteReference w:id="40"/>
      </w:r>
      <w:r>
        <w:rPr>
          <w:noProof/>
        </w:rPr>
        <w:t>) furnizează date și analize actualizate privind condițiile, reziliența și calitatea vieții în zonele rurale, sprijinind elaborarea de politici bazate pe date concrete.</w:t>
      </w:r>
    </w:p>
    <w:p w14:paraId="1A2B192A" w14:textId="4C292A58" w:rsidR="003020B9" w:rsidRDefault="00D226DA" w:rsidP="001E787B">
      <w:pPr>
        <w:spacing w:before="100" w:beforeAutospacing="1" w:after="100" w:afterAutospacing="1"/>
        <w:rPr>
          <w:noProof/>
        </w:rPr>
      </w:pPr>
      <w:r>
        <w:rPr>
          <w:noProof/>
        </w:rPr>
        <w:t>În plus, în conformitate cu Pilonul european al drepturilor sociale, îmbunătățirea accesului la asistență medicală, la îngrijirea copiilor, la îngrijirea persoanelor în vârstă, la transport, la locuințe, la infrastructura locală, la educație și formare, la oportunități de angajare (pentru tineri și membrii familiilor fermierilor) și la sprijin social, furnizate în formate flexibile și accesibile și consolidate prin instrumente digitale și rețele comunitare, este esențială pentru a face agricultura compatibilă cu viața de familie și pentru a combate izolarea și depopularea.</w:t>
      </w:r>
    </w:p>
    <w:p w14:paraId="2A701540" w14:textId="12E76858" w:rsidR="002E6DA9" w:rsidRDefault="002E6DA9" w:rsidP="001E787B">
      <w:pPr>
        <w:spacing w:before="100" w:beforeAutospacing="1" w:after="100" w:afterAutospacing="1"/>
        <w:rPr>
          <w:noProof/>
        </w:rPr>
      </w:pPr>
      <w:r>
        <w:rPr>
          <w:noProof/>
          <w:lang w:val="en-GB"/>
        </w:rPr>
        <mc:AlternateContent>
          <mc:Choice Requires="wps">
            <w:drawing>
              <wp:anchor distT="0" distB="0" distL="114300" distR="114300" simplePos="0" relativeHeight="251658247" behindDoc="1" locked="0" layoutInCell="1" allowOverlap="1" wp14:anchorId="43FFE25E" wp14:editId="1226D380">
                <wp:simplePos x="0" y="0"/>
                <wp:positionH relativeFrom="margin">
                  <wp:posOffset>180753</wp:posOffset>
                </wp:positionH>
                <wp:positionV relativeFrom="paragraph">
                  <wp:posOffset>82255</wp:posOffset>
                </wp:positionV>
                <wp:extent cx="5581403" cy="1282535"/>
                <wp:effectExtent l="0" t="0" r="19685" b="13335"/>
                <wp:wrapNone/>
                <wp:docPr id="737309409" name="Rectangle 2"/>
                <wp:cNvGraphicFramePr/>
                <a:graphic xmlns:a="http://schemas.openxmlformats.org/drawingml/2006/main">
                  <a:graphicData uri="http://schemas.microsoft.com/office/word/2010/wordprocessingShape">
                    <wps:wsp>
                      <wps:cNvSpPr/>
                      <wps:spPr>
                        <a:xfrm>
                          <a:off x="0" y="0"/>
                          <a:ext cx="5581403" cy="1282535"/>
                        </a:xfrm>
                        <a:prstGeom prst="rect">
                          <a:avLst/>
                        </a:prstGeom>
                        <a:solidFill>
                          <a:srgbClr val="BEC4F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Rectangle 2" style="position:absolute;margin-left:14.25pt;margin-top:6.5pt;width:439.5pt;height:101pt;z-index:-2516582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c4fe"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" w14:anchorId="74024618">
                <w10:wrap anchorx="margin"/>
              </v:rect>
            </w:pict>
          </mc:Fallback>
        </mc:AlternateContent>
      </w:r>
    </w:p>
    <w:p w14:paraId="6786074D" w14:textId="35876655" w:rsidR="00952986" w:rsidRPr="00106CD6" w:rsidRDefault="00952986" w:rsidP="00DD0A87">
      <w:pPr>
        <w:spacing w:after="0"/>
        <w:ind w:left="720"/>
        <w:rPr>
          <w:noProof/>
          <w:sz w:val="20"/>
        </w:rPr>
      </w:pPr>
      <w:r>
        <w:rPr>
          <w:b/>
          <w:noProof/>
          <w:sz w:val="20"/>
        </w:rPr>
        <w:t>Exemple de servicii rurale de sprijinire a fermierilor</w:t>
      </w:r>
    </w:p>
    <w:p w14:paraId="1BD2F4A9" w14:textId="0774477E" w:rsidR="00952986" w:rsidRPr="00106CD6" w:rsidRDefault="00952986" w:rsidP="002F39C3">
      <w:pPr>
        <w:numPr>
          <w:ilvl w:val="0"/>
          <w:numId w:val="30"/>
        </w:numPr>
        <w:tabs>
          <w:tab w:val="clear" w:pos="720"/>
          <w:tab w:val="num" w:pos="1080"/>
        </w:tabs>
        <w:spacing w:after="0"/>
        <w:ind w:left="1080"/>
        <w:rPr>
          <w:noProof/>
          <w:sz w:val="20"/>
        </w:rPr>
      </w:pPr>
      <w:r>
        <w:rPr>
          <w:b/>
          <w:noProof/>
          <w:sz w:val="20"/>
        </w:rPr>
        <w:t>Austria – cooperative de îngrijire a copiilor din mediul rural</w:t>
      </w:r>
      <w:r>
        <w:rPr>
          <w:noProof/>
          <w:sz w:val="20"/>
        </w:rPr>
        <w:t>: inițiative comunitare de îngrijire a copiilor care permit familiilor de fermieri să atingă un echilibru între responsabilitățile de familie și cele profesionale.</w:t>
      </w:r>
    </w:p>
    <w:p w14:paraId="0700A927" w14:textId="6A1FE0D1" w:rsidR="00952986" w:rsidRPr="00106CD6" w:rsidRDefault="00952986" w:rsidP="002F39C3">
      <w:pPr>
        <w:numPr>
          <w:ilvl w:val="0"/>
          <w:numId w:val="30"/>
        </w:numPr>
        <w:tabs>
          <w:tab w:val="clear" w:pos="720"/>
          <w:tab w:val="num" w:pos="1080"/>
        </w:tabs>
        <w:spacing w:after="0"/>
        <w:ind w:left="1080"/>
        <w:rPr>
          <w:noProof/>
          <w:sz w:val="20"/>
        </w:rPr>
      </w:pPr>
      <w:r>
        <w:rPr>
          <w:b/>
          <w:noProof/>
          <w:sz w:val="20"/>
        </w:rPr>
        <w:t>Finlanda – unități mobile de asistență medicală și de servicii sociale</w:t>
      </w:r>
      <w:r>
        <w:rPr>
          <w:noProof/>
          <w:sz w:val="20"/>
        </w:rPr>
        <w:t>: asigurarea de asistență medicală și socială esențială direct în zonele rurale îndepărtate, îmbunătățind calitatea vieții și reducând presiunea asupra gospodăriilor agricole.</w:t>
      </w:r>
    </w:p>
    <w:p w14:paraId="5199E0A1" w14:textId="44943EF4" w:rsidR="00650570" w:rsidRPr="00D94D3A" w:rsidRDefault="00650570" w:rsidP="00952986">
      <w:pPr>
        <w:spacing w:before="100" w:beforeAutospacing="1" w:after="100" w:afterAutospacing="1"/>
        <w:rPr>
          <w:noProof/>
        </w:rPr>
      </w:pPr>
    </w:p>
    <w:p w14:paraId="53654100" w14:textId="28EBF984" w:rsidR="00106CD6" w:rsidRDefault="001E787B" w:rsidP="001E787B">
      <w:pPr>
        <w:spacing w:before="100" w:beforeAutospacing="1" w:after="100" w:afterAutospacing="1"/>
        <w:rPr>
          <w:noProof/>
        </w:rPr>
      </w:pPr>
      <w:r>
        <w:rPr>
          <w:noProof/>
        </w:rPr>
        <w:t xml:space="preserve">Consolidarea protecției sociale și a serviciilor sociale adaptate fermierilor poate avea, de asemenea, un rol decisiv. Veniturile stabile, asigurarea de sănătate (inclusiv pentru servicii de îngrijire a sănătății mintale și pe termen lung), concediul pentru creșterea copilului și îngrijirea copilului, precum și pensiile adecvate oferă securitatea de care au nevoie noii fermieri pentru a-și asuma riscuri și a-și construi cariere în agricultură. Sisteme favorabile incluziunii care sprijină, conectează și atrag toți fermierii, inclusiv fermierii care desfășoară activități agricole cu fracțiune de normă, femeile și grupurile aflate în situații vulnerabile, și care abordează provocările în materie de sănătate mintală din zonele rurale și consolidează echitatea și reziliența în toate comunitățile rurale. </w:t>
      </w:r>
    </w:p>
    <w:p w14:paraId="4E513F86" w14:textId="687B0FCB" w:rsidR="001E787B" w:rsidRPr="00D94D3A" w:rsidRDefault="001E787B" w:rsidP="001E787B">
      <w:pPr>
        <w:spacing w:before="100" w:beforeAutospacing="1" w:after="100" w:afterAutospacing="1"/>
        <w:rPr>
          <w:noProof/>
        </w:rPr>
      </w:pPr>
      <w:r>
        <w:rPr>
          <w:noProof/>
        </w:rPr>
        <w:t xml:space="preserve">În același timp, </w:t>
      </w:r>
      <w:r>
        <w:rPr>
          <w:b/>
          <w:noProof/>
        </w:rPr>
        <w:t>diversificarea economică este esențială pentru reziliență</w:t>
      </w:r>
      <w:r>
        <w:rPr>
          <w:noProof/>
        </w:rPr>
        <w:t>. Tinerii fermieri care pot combina agricultura tradițională cu practici inteligente adaptate schimbărilor climatice, noile întreprinderi și lanțuri valorice din domeniul bioeconomiei, agroturismul, producția de energie din surse regenerabile sau digitalizarea câștigă competitivitate și viabilitate pe termen lung. Sistemele alimentare locale, de la lanțurile scurte de aprovizionare la agricultura sprijinită de comunitate, sporesc stabilitatea veniturilor și consolidează legăturile sociale, sensibilizând consumatorii cu privire la alimentele pe care le consumă. În plus, oportunitățile de finanțare pentru instalațiile de producere de energie din surse regenerabile în cadrul fermelor pot reduce barierele inițiale în calea investițiilor și pot genera reduceri pe termen lung ale costurilor și surse potențiale de venituri, consolidând atât viabilitatea fermelor, cât și reziliența energetică din zonele rurale.</w:t>
      </w:r>
    </w:p>
    <w:p w14:paraId="1DFED7BD" w14:textId="712FE27C" w:rsidR="001E787B" w:rsidRDefault="001E787B" w:rsidP="001E787B">
      <w:pPr>
        <w:spacing w:before="100" w:beforeAutospacing="1" w:after="100" w:afterAutospacing="1"/>
        <w:rPr>
          <w:noProof/>
        </w:rPr>
      </w:pPr>
      <w:r>
        <w:rPr>
          <w:noProof/>
        </w:rPr>
        <w:t xml:space="preserve">O provocare constantă este percepția: agricultura este încă adesea considerată o profesie dificilă și învechită. Schimbarea acestei imagini prin prezentarea inovării, a durabilității și a sprijinului disponibil va fi esențială pentru atragerea de noi generații. Utilizarea noilor canale de comunicare și a platformelor de comunicare socială ar putea permite accesul la mai mulți tineri și la implicarea acestora, determinându-i să considere agricultura drept un parcurs profesional care oferă flexibilitate, calitate a vieții aproape de natură și contribuții semnificative în societate.  </w:t>
      </w:r>
    </w:p>
    <w:p w14:paraId="3B512E7D" w14:textId="62B427E2" w:rsidR="00081B18" w:rsidRDefault="00094D4F" w:rsidP="004A28DF">
      <w:pPr>
        <w:spacing w:before="100" w:beforeAutospacing="1" w:after="100" w:afterAutospacing="1"/>
        <w:rPr>
          <w:noProof/>
        </w:rPr>
      </w:pPr>
      <w:r>
        <w:rPr>
          <w:noProof/>
        </w:rPr>
        <w:t>Împreună, aceste măsuri pot crea zone rurale mai dinamice, mai diverse și mai reziliente, locuri în care tinerii doresc să trăiască, să lucreze și să investească în viitorul lor. Acesta este fundamentul pentru o reînnoire durabilă a generațiilor în agricultura europeană.</w:t>
      </w:r>
    </w:p>
    <w:p w14:paraId="212472EA" w14:textId="583A907B" w:rsidR="0003214D" w:rsidRDefault="0003214D" w:rsidP="004A28DF">
      <w:pPr>
        <w:spacing w:before="100" w:beforeAutospacing="1" w:after="100" w:afterAutospacing="1"/>
        <w:rPr>
          <w:noProof/>
          <w:szCs w:val="24"/>
        </w:rPr>
      </w:pPr>
    </w:p>
    <w:p w14:paraId="76CC43D2" w14:textId="59C59706" w:rsidR="002E6DA9" w:rsidRDefault="00C54693" w:rsidP="004A28DF">
      <w:pPr>
        <w:spacing w:before="100" w:beforeAutospacing="1" w:after="100" w:afterAutospacing="1"/>
        <w:rPr>
          <w:noProof/>
          <w:szCs w:val="24"/>
        </w:rPr>
      </w:pPr>
      <w:r>
        <w:rPr>
          <w:noProof/>
          <w:lang w:val="en-GB"/>
        </w:rPr>
        <mc:AlternateContent>
          <mc:Choice Requires="wps">
            <w:drawing>
              <wp:anchor distT="0" distB="0" distL="114300" distR="114300" simplePos="0" relativeHeight="251658245" behindDoc="1" locked="0" layoutInCell="1" allowOverlap="1" wp14:anchorId="362C02FD" wp14:editId="1365DC78">
                <wp:simplePos x="0" y="0"/>
                <wp:positionH relativeFrom="margin">
                  <wp:posOffset>-278130</wp:posOffset>
                </wp:positionH>
                <wp:positionV relativeFrom="paragraph">
                  <wp:posOffset>245110</wp:posOffset>
                </wp:positionV>
                <wp:extent cx="6185535" cy="2239645"/>
                <wp:effectExtent l="0" t="0" r="24765" b="27305"/>
                <wp:wrapNone/>
                <wp:docPr id="791696271" name="Rectangle: Rounded Corners 1"/>
                <wp:cNvGraphicFramePr/>
                <a:graphic xmlns:a="http://schemas.openxmlformats.org/drawingml/2006/main">
                  <a:graphicData uri="http://schemas.microsoft.com/office/word/2010/wordprocessingShape">
                    <wps:wsp>
                      <wps:cNvSpPr/>
                      <wps:spPr>
                        <a:xfrm>
                          <a:off x="0" y="0"/>
                          <a:ext cx="6185535" cy="2239645"/>
                        </a:xfrm>
                        <a:prstGeom prst="round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oundrect id="Rectangle: Rounded Corners 1" style="position:absolute;margin-left:-21.9pt;margin-top:19.3pt;width:487.05pt;height:176.35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ceed [664]"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" arcsize="10923f" w14:anchorId="27E74650">
                <v:stroke joinstyle="miter"/>
                <w10:wrap anchorx="margin"/>
              </v:roundrect>
            </w:pict>
          </mc:Fallback>
        </mc:AlternateContent>
      </w:r>
    </w:p>
    <w:p w14:paraId="122031B5" w14:textId="50844E60" w:rsidR="007C7E71" w:rsidRPr="00C26154" w:rsidRDefault="00B97EC1" w:rsidP="003020B9">
      <w:pPr>
        <w:spacing w:after="0"/>
        <w:rPr>
          <w:b/>
          <w:bCs/>
          <w:i/>
          <w:iCs/>
          <w:noProof/>
          <w:sz w:val="22"/>
          <w:szCs w:val="22"/>
        </w:rPr>
      </w:pPr>
      <w:r>
        <w:rPr>
          <w:b/>
          <w:i/>
          <w:noProof/>
          <w:sz w:val="22"/>
        </w:rPr>
        <w:t>Inițiative emblematice</w:t>
      </w:r>
    </w:p>
    <w:p w14:paraId="39C5CB3B" w14:textId="43577CDC" w:rsidR="00797595" w:rsidRPr="00CA1211" w:rsidRDefault="00797595" w:rsidP="003020B9">
      <w:pPr>
        <w:spacing w:after="0"/>
        <w:rPr>
          <w:noProof/>
          <w:szCs w:val="24"/>
        </w:rPr>
      </w:pPr>
    </w:p>
    <w:p w14:paraId="01A42746" w14:textId="5EABED91" w:rsidR="00A37590" w:rsidRPr="003020B9" w:rsidRDefault="004C6F35" w:rsidP="002F39C3">
      <w:pPr>
        <w:pStyle w:val="ListParagraph"/>
        <w:numPr>
          <w:ilvl w:val="0"/>
          <w:numId w:val="23"/>
        </w:numPr>
        <w:spacing w:after="0"/>
        <w:ind w:left="426"/>
        <w:rPr>
          <w:i/>
          <w:iCs/>
          <w:noProof/>
          <w:sz w:val="22"/>
          <w:szCs w:val="22"/>
        </w:rPr>
      </w:pPr>
      <w:r>
        <w:rPr>
          <w:b/>
          <w:i/>
          <w:noProof/>
          <w:sz w:val="22"/>
        </w:rPr>
        <w:t xml:space="preserve">Ca parte a noii propuneri privind PAC, serviciile de înlocuire în cadrul exploatației ar </w:t>
      </w:r>
      <w:r>
        <w:rPr>
          <w:i/>
          <w:noProof/>
          <w:sz w:val="22"/>
        </w:rPr>
        <w:t xml:space="preserve">introduce măsuri de sprijin care să îi ajute pe fermieri să își ia timp liber pentru boală, accidente, responsabilități parentale, îngrijire, inclusiv pentru fermierii în vârstă, vacanțe sau formare. Finanțarea ar trebui să acopere crearea de servicii de înlocuire în cadrul exploatației și salariile lucrătorilor înlocuitori în timpul absențelor pe termen scurt. </w:t>
      </w:r>
    </w:p>
    <w:p w14:paraId="4774F006" w14:textId="171E8023" w:rsidR="00EB08D0" w:rsidRDefault="00A37590" w:rsidP="002F39C3">
      <w:pPr>
        <w:pStyle w:val="ListParagraph"/>
        <w:numPr>
          <w:ilvl w:val="0"/>
          <w:numId w:val="23"/>
        </w:numPr>
        <w:spacing w:after="0"/>
        <w:ind w:left="426"/>
        <w:rPr>
          <w:i/>
          <w:iCs/>
          <w:noProof/>
          <w:sz w:val="22"/>
          <w:szCs w:val="22"/>
        </w:rPr>
      </w:pPr>
      <w:r>
        <w:rPr>
          <w:b/>
          <w:i/>
          <w:noProof/>
          <w:sz w:val="22"/>
        </w:rPr>
        <w:t xml:space="preserve">Ambasadori ai tinerilor din mediul rural. </w:t>
      </w:r>
      <w:r>
        <w:rPr>
          <w:i/>
          <w:noProof/>
          <w:sz w:val="22"/>
        </w:rPr>
        <w:t>Comisia Europeană va institui un program de ambasadori ai tinerilor din mediul rural. Tinerii vor fi selectați și sprijiniți să promoveze agricultura și viața rurală și să contribuie în mod activ la discuțiile politice. Prin informare, metode narative și implicare reciprocă, ambasadorii vor contribui la remodelarea percepțiilor publice, vor spori interesul tinerilor și vor îmbunătăți imaginea generală a agriculturii și a zonelor rurale în întreaga Europă.</w:t>
      </w:r>
    </w:p>
    <w:p w14:paraId="71B8229F" w14:textId="77777777" w:rsidR="00C668CD" w:rsidRPr="00C54693" w:rsidRDefault="00C668CD" w:rsidP="00C54693">
      <w:pPr>
        <w:spacing w:before="100" w:beforeAutospacing="1" w:after="0"/>
        <w:rPr>
          <w:i/>
          <w:iCs/>
          <w:noProof/>
          <w:sz w:val="22"/>
          <w:szCs w:val="22"/>
        </w:rPr>
      </w:pPr>
    </w:p>
    <w:tbl>
      <w:tblPr>
        <w:tblStyle w:val="TableGrid"/>
        <w:tblW w:w="9356" w:type="dxa"/>
        <w:tblInd w:w="-150" w:type="dxa"/>
        <w:tblLayout w:type="fixed"/>
        <w:tblLook w:val="04A0" w:firstRow="1" w:lastRow="0" w:firstColumn="1" w:lastColumn="0" w:noHBand="0" w:noVBand="1"/>
      </w:tblPr>
      <w:tblGrid>
        <w:gridCol w:w="1560"/>
        <w:gridCol w:w="6379"/>
        <w:gridCol w:w="1417"/>
      </w:tblGrid>
      <w:tr w:rsidR="0009431E" w:rsidRPr="00AB4003" w14:paraId="60955941" w14:textId="77777777" w:rsidTr="00356507">
        <w:trPr>
          <w:trHeight w:val="483"/>
        </w:trPr>
        <w:tc>
          <w:tcPr>
            <w:tcW w:w="7939" w:type="dxa"/>
            <w:gridSpan w:val="2"/>
            <w:shd w:val="clear" w:color="auto" w:fill="F2CEED" w:themeFill="accent5" w:themeFillTint="33"/>
          </w:tcPr>
          <w:p w14:paraId="289B94C3" w14:textId="77777777" w:rsidR="0009431E" w:rsidRPr="00017A27" w:rsidRDefault="0009431E" w:rsidP="00356507">
            <w:pPr>
              <w:jc w:val="center"/>
              <w:rPr>
                <w:b/>
                <w:bCs/>
                <w:noProof/>
                <w:sz w:val="20"/>
              </w:rPr>
            </w:pPr>
            <w:r>
              <w:rPr>
                <w:b/>
                <w:noProof/>
                <w:sz w:val="20"/>
              </w:rPr>
              <w:t>Acțiuni propuse în cadrul actualei PAC și în propunerea privind PAC pentru perioada 2028-2034</w:t>
            </w:r>
          </w:p>
        </w:tc>
        <w:tc>
          <w:tcPr>
            <w:tcW w:w="1417" w:type="dxa"/>
            <w:shd w:val="clear" w:color="auto" w:fill="F2CEED" w:themeFill="accent5" w:themeFillTint="33"/>
          </w:tcPr>
          <w:p w14:paraId="73A6C9B7" w14:textId="77777777" w:rsidR="0009431E" w:rsidRPr="00017A27" w:rsidRDefault="0009431E" w:rsidP="00356507">
            <w:pPr>
              <w:jc w:val="center"/>
              <w:rPr>
                <w:b/>
                <w:bCs/>
                <w:noProof/>
                <w:sz w:val="20"/>
              </w:rPr>
            </w:pPr>
          </w:p>
        </w:tc>
      </w:tr>
      <w:tr w:rsidR="0009431E" w:rsidRPr="00AB4003" w14:paraId="22ED957B" w14:textId="77777777" w:rsidTr="00094D4F">
        <w:trPr>
          <w:trHeight w:val="980"/>
        </w:trPr>
        <w:tc>
          <w:tcPr>
            <w:tcW w:w="1560" w:type="dxa"/>
            <w:shd w:val="clear" w:color="auto" w:fill="FFFFFF" w:themeFill="background1"/>
          </w:tcPr>
          <w:p w14:paraId="5C8E027B" w14:textId="77777777" w:rsidR="0009431E" w:rsidRPr="00AB4003" w:rsidRDefault="0009431E" w:rsidP="00356507">
            <w:pPr>
              <w:rPr>
                <w:b/>
                <w:bCs/>
                <w:noProof/>
                <w:sz w:val="20"/>
              </w:rPr>
            </w:pPr>
            <w:r>
              <w:rPr>
                <w:b/>
                <w:noProof/>
                <w:sz w:val="20"/>
              </w:rPr>
              <w:t>Investiții în tranziția energetică și climatică</w:t>
            </w:r>
          </w:p>
        </w:tc>
        <w:tc>
          <w:tcPr>
            <w:tcW w:w="6379" w:type="dxa"/>
            <w:shd w:val="clear" w:color="auto" w:fill="FFFFFF" w:themeFill="background1"/>
          </w:tcPr>
          <w:p w14:paraId="4F0209CA" w14:textId="77777777" w:rsidR="0009431E" w:rsidRPr="004578E1" w:rsidRDefault="0009431E" w:rsidP="00356507">
            <w:pPr>
              <w:rPr>
                <w:noProof/>
                <w:sz w:val="20"/>
              </w:rPr>
            </w:pPr>
            <w:r>
              <w:rPr>
                <w:noProof/>
                <w:sz w:val="20"/>
              </w:rPr>
              <w:t>Sprijinirea proiectelor de producere de energie din surse regenerabile în cadrul fermelor și a investițiilor în adaptarea la schimbările climatice pentru a spori reziliența tinerilor fermieri la riscurile climatice.</w:t>
            </w:r>
          </w:p>
        </w:tc>
        <w:tc>
          <w:tcPr>
            <w:tcW w:w="1417" w:type="dxa"/>
            <w:shd w:val="clear" w:color="auto" w:fill="FFFFFF" w:themeFill="background1"/>
          </w:tcPr>
          <w:p w14:paraId="1C3E73CF" w14:textId="77777777" w:rsidR="0009431E" w:rsidRPr="004578E1" w:rsidRDefault="0009431E" w:rsidP="00356507">
            <w:pPr>
              <w:rPr>
                <w:noProof/>
                <w:sz w:val="20"/>
              </w:rPr>
            </w:pPr>
            <w:r>
              <w:rPr>
                <w:noProof/>
                <w:sz w:val="20"/>
              </w:rPr>
              <w:t>Planurile PAC actuale și noi</w:t>
            </w:r>
          </w:p>
        </w:tc>
      </w:tr>
      <w:tr w:rsidR="0009431E" w:rsidRPr="00AB4003" w14:paraId="3F8CF650" w14:textId="77777777" w:rsidTr="00094D4F">
        <w:trPr>
          <w:trHeight w:val="1503"/>
        </w:trPr>
        <w:tc>
          <w:tcPr>
            <w:tcW w:w="1560" w:type="dxa"/>
            <w:shd w:val="clear" w:color="auto" w:fill="FFFFFF" w:themeFill="background1"/>
          </w:tcPr>
          <w:p w14:paraId="0F8C5BE4" w14:textId="090F7A4F" w:rsidR="0009431E" w:rsidRPr="730E4BBC" w:rsidRDefault="002F39FB" w:rsidP="00356507">
            <w:pPr>
              <w:rPr>
                <w:b/>
                <w:bCs/>
                <w:noProof/>
                <w:sz w:val="20"/>
              </w:rPr>
            </w:pPr>
            <w:r>
              <w:rPr>
                <w:b/>
                <w:noProof/>
                <w:sz w:val="20"/>
              </w:rPr>
              <w:t>Strategii rurale, infrastructuri și diversificarea întreprinderilor</w:t>
            </w:r>
          </w:p>
        </w:tc>
        <w:tc>
          <w:tcPr>
            <w:tcW w:w="6379" w:type="dxa"/>
            <w:shd w:val="clear" w:color="auto" w:fill="FFFFFF" w:themeFill="background1"/>
          </w:tcPr>
          <w:p w14:paraId="16ADE2E4" w14:textId="77777777" w:rsidR="0009431E" w:rsidRPr="6F8ADA65" w:rsidRDefault="0009431E" w:rsidP="00356507">
            <w:pPr>
              <w:rPr>
                <w:noProof/>
                <w:sz w:val="20"/>
              </w:rPr>
            </w:pPr>
            <w:r>
              <w:rPr>
                <w:noProof/>
                <w:sz w:val="20"/>
              </w:rPr>
              <w:t xml:space="preserve">Promovarea unei abordări integrate a zonelor rurale în planurile de parteneriate naționale și regionale și în programarea instrumentelor de dezvoltare teritorială integrată, oferind finanțare pentru infrastructuri și servicii rurale accesibile, în special în zonele îndepărtate, cum ar fi regiunile ultraperiferice ale UE, inclusiv conectivitatea și transportul, pentru a îmbunătăți viabilitatea vieții rurale. </w:t>
            </w:r>
          </w:p>
        </w:tc>
        <w:tc>
          <w:tcPr>
            <w:tcW w:w="1417" w:type="dxa"/>
            <w:shd w:val="clear" w:color="auto" w:fill="FFFFFF" w:themeFill="background1"/>
          </w:tcPr>
          <w:p w14:paraId="27E60CFC" w14:textId="77777777" w:rsidR="0009431E" w:rsidRPr="00AB4003" w:rsidRDefault="0009431E" w:rsidP="00356507">
            <w:pPr>
              <w:rPr>
                <w:noProof/>
                <w:sz w:val="20"/>
              </w:rPr>
            </w:pPr>
            <w:r>
              <w:rPr>
                <w:noProof/>
                <w:sz w:val="20"/>
              </w:rPr>
              <w:t>PAC actuală pentru investiții în infrastructură, noua PAC, planurile PNR – începând cu 2028</w:t>
            </w:r>
          </w:p>
        </w:tc>
      </w:tr>
      <w:tr w:rsidR="0009431E" w:rsidRPr="00AB4003" w14:paraId="21A955FA" w14:textId="77777777" w:rsidTr="00094D4F">
        <w:trPr>
          <w:trHeight w:val="757"/>
        </w:trPr>
        <w:tc>
          <w:tcPr>
            <w:tcW w:w="1560" w:type="dxa"/>
            <w:shd w:val="clear" w:color="auto" w:fill="FFFFFF" w:themeFill="background1"/>
          </w:tcPr>
          <w:p w14:paraId="45ECD27E" w14:textId="77777777" w:rsidR="0009431E" w:rsidRPr="00AB4003" w:rsidRDefault="0009431E" w:rsidP="00356507">
            <w:pPr>
              <w:rPr>
                <w:b/>
                <w:bCs/>
                <w:noProof/>
                <w:sz w:val="20"/>
              </w:rPr>
            </w:pPr>
            <w:r>
              <w:rPr>
                <w:b/>
                <w:noProof/>
                <w:sz w:val="20"/>
              </w:rPr>
              <w:t xml:space="preserve">Inițiativa LEADER/DLRC </w:t>
            </w:r>
          </w:p>
        </w:tc>
        <w:tc>
          <w:tcPr>
            <w:tcW w:w="6379" w:type="dxa"/>
            <w:shd w:val="clear" w:color="auto" w:fill="FFFFFF" w:themeFill="background1"/>
          </w:tcPr>
          <w:p w14:paraId="29540C95" w14:textId="77777777" w:rsidR="0009431E" w:rsidRPr="00AB4003" w:rsidRDefault="0009431E" w:rsidP="00356507">
            <w:pPr>
              <w:spacing w:line="256" w:lineRule="auto"/>
              <w:rPr>
                <w:noProof/>
                <w:sz w:val="20"/>
              </w:rPr>
            </w:pPr>
            <w:r>
              <w:rPr>
                <w:noProof/>
                <w:sz w:val="20"/>
              </w:rPr>
              <w:t xml:space="preserve">Sprijinirea dezvoltării rurale locale și a creării de rețele prin inițiativa LEADER/dezvoltarea locală plasată sub responsabilitatea comunității (DLRC), promovarea implicării tinerilor și a femeilor și reducerea izolării rurale. </w:t>
            </w:r>
          </w:p>
        </w:tc>
        <w:tc>
          <w:tcPr>
            <w:tcW w:w="1417" w:type="dxa"/>
            <w:shd w:val="clear" w:color="auto" w:fill="FFFFFF" w:themeFill="background1"/>
          </w:tcPr>
          <w:p w14:paraId="18737DAF" w14:textId="77777777" w:rsidR="0009431E" w:rsidRPr="00AB4003" w:rsidRDefault="0009431E" w:rsidP="00356507">
            <w:pPr>
              <w:spacing w:line="256" w:lineRule="auto"/>
              <w:rPr>
                <w:noProof/>
                <w:sz w:val="20"/>
              </w:rPr>
            </w:pPr>
            <w:r>
              <w:rPr>
                <w:noProof/>
                <w:sz w:val="20"/>
              </w:rPr>
              <w:t>PAC actuală și fondul PNR</w:t>
            </w:r>
          </w:p>
        </w:tc>
      </w:tr>
      <w:tr w:rsidR="0009431E" w:rsidRPr="00AB4003" w14:paraId="4F20C1A7" w14:textId="77777777" w:rsidTr="00356507">
        <w:trPr>
          <w:trHeight w:val="496"/>
        </w:trPr>
        <w:tc>
          <w:tcPr>
            <w:tcW w:w="7939" w:type="dxa"/>
            <w:gridSpan w:val="2"/>
            <w:shd w:val="clear" w:color="auto" w:fill="F2CEED" w:themeFill="accent5" w:themeFillTint="33"/>
          </w:tcPr>
          <w:p w14:paraId="78542285" w14:textId="77777777" w:rsidR="0009431E" w:rsidRPr="00AB4003" w:rsidRDefault="0009431E" w:rsidP="00356507">
            <w:pPr>
              <w:jc w:val="center"/>
              <w:rPr>
                <w:noProof/>
                <w:sz w:val="20"/>
              </w:rPr>
            </w:pPr>
            <w:r>
              <w:rPr>
                <w:b/>
                <w:noProof/>
                <w:sz w:val="20"/>
              </w:rPr>
              <w:t>Acțiuni propuse în cadrul altor politici ale UE</w:t>
            </w:r>
          </w:p>
        </w:tc>
        <w:tc>
          <w:tcPr>
            <w:tcW w:w="1417" w:type="dxa"/>
            <w:shd w:val="clear" w:color="auto" w:fill="F2CEED" w:themeFill="accent5" w:themeFillTint="33"/>
          </w:tcPr>
          <w:p w14:paraId="4EBD4C31" w14:textId="77777777" w:rsidR="0009431E" w:rsidRPr="00AB4003" w:rsidRDefault="0009431E" w:rsidP="00356507">
            <w:pPr>
              <w:jc w:val="center"/>
              <w:rPr>
                <w:b/>
                <w:bCs/>
                <w:noProof/>
                <w:sz w:val="20"/>
              </w:rPr>
            </w:pPr>
          </w:p>
        </w:tc>
      </w:tr>
      <w:tr w:rsidR="0009431E" w:rsidRPr="00AB4003" w14:paraId="5F4CF4CD" w14:textId="77777777" w:rsidTr="00094D4F">
        <w:trPr>
          <w:trHeight w:val="1216"/>
        </w:trPr>
        <w:tc>
          <w:tcPr>
            <w:tcW w:w="1560" w:type="dxa"/>
            <w:shd w:val="clear" w:color="auto" w:fill="FFFFFF" w:themeFill="background1"/>
          </w:tcPr>
          <w:p w14:paraId="36B1F2F1" w14:textId="77777777" w:rsidR="0009431E" w:rsidRPr="00645CF0" w:rsidRDefault="0009431E" w:rsidP="00356507">
            <w:pPr>
              <w:rPr>
                <w:b/>
                <w:bCs/>
                <w:noProof/>
                <w:sz w:val="20"/>
              </w:rPr>
            </w:pPr>
            <w:r>
              <w:rPr>
                <w:b/>
                <w:noProof/>
                <w:sz w:val="20"/>
              </w:rPr>
              <w:t>Acțiuni coordonate pentru zonele rurale la nivelul UE</w:t>
            </w:r>
          </w:p>
        </w:tc>
        <w:tc>
          <w:tcPr>
            <w:tcW w:w="6379" w:type="dxa"/>
            <w:shd w:val="clear" w:color="auto" w:fill="FFFFFF" w:themeFill="background1"/>
          </w:tcPr>
          <w:p w14:paraId="63C1E822" w14:textId="77777777" w:rsidR="0009431E" w:rsidRPr="00E4465B" w:rsidRDefault="0009431E" w:rsidP="00356507">
            <w:pPr>
              <w:rPr>
                <w:noProof/>
                <w:sz w:val="20"/>
              </w:rPr>
            </w:pPr>
            <w:r>
              <w:rPr>
                <w:noProof/>
                <w:sz w:val="20"/>
              </w:rPr>
              <w:t>Promovarea unor acțiuni de sprijinire a atractivității zonelor rurale în mai multe domenii de politică, inclusiv educația și formarea, comunitățile energetice, conectivitatea, bioeconomia și implicarea tinerilor prin intermediul planului de acțiune rurală al UE în versiunea actualizată.</w:t>
            </w:r>
          </w:p>
          <w:p w14:paraId="20F33F5D" w14:textId="77777777" w:rsidR="0009431E" w:rsidRPr="00A43126" w:rsidRDefault="0009431E" w:rsidP="00356507">
            <w:pPr>
              <w:rPr>
                <w:noProof/>
                <w:sz w:val="20"/>
              </w:rPr>
            </w:pPr>
            <w:r>
              <w:rPr>
                <w:noProof/>
                <w:sz w:val="20"/>
              </w:rPr>
              <w:t>Consolidarea eforturilor de amplificare a vocii comunităților rurale, de colaborare în rețea și de coordonare a acțiunilor pentru zonele rurale prin intermediul Pactului rural în 2026 și 2027.</w:t>
            </w:r>
          </w:p>
        </w:tc>
        <w:tc>
          <w:tcPr>
            <w:tcW w:w="1417" w:type="dxa"/>
            <w:shd w:val="clear" w:color="auto" w:fill="FFFFFF" w:themeFill="background1"/>
          </w:tcPr>
          <w:p w14:paraId="2ED2928D" w14:textId="77777777" w:rsidR="0009431E" w:rsidRDefault="0009431E" w:rsidP="00356507">
            <w:pPr>
              <w:rPr>
                <w:noProof/>
                <w:sz w:val="20"/>
              </w:rPr>
            </w:pPr>
            <w:r>
              <w:rPr>
                <w:noProof/>
                <w:sz w:val="20"/>
              </w:rPr>
              <w:t>T1 2026</w:t>
            </w:r>
          </w:p>
        </w:tc>
      </w:tr>
      <w:tr w:rsidR="0009431E" w:rsidRPr="00AB4003" w14:paraId="5A70B3A7" w14:textId="77777777" w:rsidTr="00094D4F">
        <w:trPr>
          <w:trHeight w:val="980"/>
        </w:trPr>
        <w:tc>
          <w:tcPr>
            <w:tcW w:w="1560" w:type="dxa"/>
            <w:shd w:val="clear" w:color="auto" w:fill="FFFFFF" w:themeFill="background1"/>
          </w:tcPr>
          <w:p w14:paraId="4992AE45" w14:textId="77777777" w:rsidR="0009431E" w:rsidRPr="007933AD" w:rsidRDefault="0009431E" w:rsidP="00356507">
            <w:pPr>
              <w:rPr>
                <w:b/>
                <w:bCs/>
                <w:noProof/>
                <w:sz w:val="20"/>
              </w:rPr>
            </w:pPr>
            <w:r>
              <w:rPr>
                <w:b/>
                <w:noProof/>
                <w:sz w:val="20"/>
              </w:rPr>
              <w:t>Promovarea agriculturii sociale(</w:t>
            </w:r>
            <w:r>
              <w:rPr>
                <w:rStyle w:val="FootnoteReference"/>
                <w:b/>
                <w:bCs/>
                <w:noProof/>
                <w:sz w:val="20"/>
              </w:rPr>
              <w:footnoteReference w:id="41"/>
            </w:r>
            <w:r>
              <w:rPr>
                <w:b/>
                <w:noProof/>
                <w:sz w:val="20"/>
              </w:rPr>
              <w:t xml:space="preserve">)  </w:t>
            </w:r>
          </w:p>
        </w:tc>
        <w:tc>
          <w:tcPr>
            <w:tcW w:w="6379" w:type="dxa"/>
            <w:shd w:val="clear" w:color="auto" w:fill="FFFFFF" w:themeFill="background1"/>
          </w:tcPr>
          <w:p w14:paraId="1B34651C" w14:textId="77777777" w:rsidR="0009431E" w:rsidRPr="007933AD" w:rsidRDefault="0009431E" w:rsidP="00356507">
            <w:pPr>
              <w:rPr>
                <w:noProof/>
                <w:sz w:val="20"/>
              </w:rPr>
            </w:pPr>
            <w:r>
              <w:rPr>
                <w:noProof/>
                <w:sz w:val="20"/>
              </w:rPr>
              <w:t>Încurajarea voluntariatului în fermele terapeutice și în cele sociale prin implicarea Corpului european de solidaritate, sprijinind în același timp statele membre în dezvoltarea de inițiative pentru tinerii fermieri care oferă servicii sociale și de îngrijire accesibile în zonele rurale.</w:t>
            </w:r>
          </w:p>
        </w:tc>
        <w:tc>
          <w:tcPr>
            <w:tcW w:w="1417" w:type="dxa"/>
            <w:shd w:val="clear" w:color="auto" w:fill="FFFFFF" w:themeFill="background1"/>
          </w:tcPr>
          <w:p w14:paraId="4417A70F" w14:textId="77777777" w:rsidR="0009431E" w:rsidRPr="007933AD" w:rsidRDefault="0009431E" w:rsidP="00356507">
            <w:pPr>
              <w:rPr>
                <w:noProof/>
                <w:sz w:val="20"/>
              </w:rPr>
            </w:pPr>
            <w:r>
              <w:rPr>
                <w:noProof/>
                <w:sz w:val="20"/>
              </w:rPr>
              <w:t>T4 2026</w:t>
            </w:r>
          </w:p>
        </w:tc>
      </w:tr>
      <w:tr w:rsidR="0009431E" w:rsidRPr="00AB4003" w14:paraId="34239132" w14:textId="77777777" w:rsidTr="00094D4F">
        <w:trPr>
          <w:trHeight w:val="980"/>
        </w:trPr>
        <w:tc>
          <w:tcPr>
            <w:tcW w:w="1560" w:type="dxa"/>
            <w:shd w:val="clear" w:color="auto" w:fill="FFFFFF" w:themeFill="background1"/>
          </w:tcPr>
          <w:p w14:paraId="30A8F944" w14:textId="792342AC" w:rsidR="0009431E" w:rsidRPr="00AC17FB" w:rsidRDefault="0009431E" w:rsidP="00356507">
            <w:pPr>
              <w:rPr>
                <w:b/>
                <w:bCs/>
                <w:noProof/>
                <w:sz w:val="20"/>
              </w:rPr>
            </w:pPr>
            <w:bookmarkStart w:id="5" w:name="_Hlk211519254"/>
            <w:r>
              <w:rPr>
                <w:b/>
                <w:noProof/>
                <w:sz w:val="20"/>
              </w:rPr>
              <w:t>Agricultura carbonului, piețe și reziliență</w:t>
            </w:r>
          </w:p>
        </w:tc>
        <w:tc>
          <w:tcPr>
            <w:tcW w:w="6379" w:type="dxa"/>
            <w:shd w:val="clear" w:color="auto" w:fill="FFFFFF" w:themeFill="background1"/>
          </w:tcPr>
          <w:p w14:paraId="1C7EC39E" w14:textId="7E079EE5" w:rsidR="00CB2242" w:rsidRPr="00CB2242" w:rsidRDefault="00CB2242" w:rsidP="00CB2242">
            <w:pPr>
              <w:rPr>
                <w:noProof/>
                <w:sz w:val="20"/>
              </w:rPr>
            </w:pPr>
            <w:r>
              <w:rPr>
                <w:noProof/>
                <w:sz w:val="20"/>
              </w:rPr>
              <w:t>Regulamentul de instituire a unui cadru de certificare al Uniunii pentru absorbțiile permanente de carbon, agricultura carbonului și stocarea carbonului în produse oferă posibilitatea de a conecta în mod voluntar fermierii, silvicultorii și administratorii de terenuri la piețele carbonului, oferindu-le un flux suplimentar de venituri, consolidându-le competitivitatea și reziliența fermelor.</w:t>
            </w:r>
          </w:p>
          <w:p w14:paraId="5D6F793F" w14:textId="6099D0EB" w:rsidR="0009431E" w:rsidRPr="007A6868" w:rsidRDefault="0009431E" w:rsidP="00356507">
            <w:pPr>
              <w:rPr>
                <w:noProof/>
                <w:sz w:val="20"/>
              </w:rPr>
            </w:pPr>
          </w:p>
        </w:tc>
        <w:tc>
          <w:tcPr>
            <w:tcW w:w="1417" w:type="dxa"/>
            <w:shd w:val="clear" w:color="auto" w:fill="FFFFFF" w:themeFill="background1"/>
          </w:tcPr>
          <w:p w14:paraId="188B5409" w14:textId="77777777" w:rsidR="0009431E" w:rsidRDefault="0009431E" w:rsidP="00356507">
            <w:pPr>
              <w:rPr>
                <w:noProof/>
                <w:sz w:val="20"/>
              </w:rPr>
            </w:pPr>
            <w:r>
              <w:rPr>
                <w:noProof/>
                <w:sz w:val="20"/>
              </w:rPr>
              <w:t>Începând cu T4 2025</w:t>
            </w:r>
          </w:p>
        </w:tc>
      </w:tr>
      <w:bookmarkEnd w:id="5"/>
      <w:tr w:rsidR="0009431E" w:rsidRPr="00AB4003" w14:paraId="792B288B" w14:textId="77777777" w:rsidTr="00356507">
        <w:trPr>
          <w:trHeight w:val="496"/>
        </w:trPr>
        <w:tc>
          <w:tcPr>
            <w:tcW w:w="7939" w:type="dxa"/>
            <w:gridSpan w:val="2"/>
            <w:shd w:val="clear" w:color="auto" w:fill="F2CEED" w:themeFill="accent5" w:themeFillTint="33"/>
          </w:tcPr>
          <w:p w14:paraId="53860048" w14:textId="77777777" w:rsidR="0009431E" w:rsidRPr="00AB4003" w:rsidRDefault="0009431E" w:rsidP="00356507">
            <w:pPr>
              <w:jc w:val="center"/>
              <w:rPr>
                <w:noProof/>
                <w:sz w:val="20"/>
              </w:rPr>
            </w:pPr>
            <w:r>
              <w:rPr>
                <w:b/>
                <w:noProof/>
                <w:sz w:val="20"/>
              </w:rPr>
              <w:t>Acțiuni voluntare la nivelul statelor membre</w:t>
            </w:r>
          </w:p>
        </w:tc>
        <w:tc>
          <w:tcPr>
            <w:tcW w:w="1417" w:type="dxa"/>
            <w:shd w:val="clear" w:color="auto" w:fill="F2CEED" w:themeFill="accent5" w:themeFillTint="33"/>
          </w:tcPr>
          <w:p w14:paraId="56C5B12E" w14:textId="77777777" w:rsidR="0009431E" w:rsidRPr="00AB4003" w:rsidRDefault="0009431E" w:rsidP="00356507">
            <w:pPr>
              <w:jc w:val="center"/>
              <w:rPr>
                <w:b/>
                <w:bCs/>
                <w:noProof/>
                <w:sz w:val="20"/>
              </w:rPr>
            </w:pPr>
            <w:r>
              <w:rPr>
                <w:b/>
                <w:noProof/>
                <w:sz w:val="20"/>
              </w:rPr>
              <w:t>Voluntar</w:t>
            </w:r>
          </w:p>
        </w:tc>
      </w:tr>
      <w:tr w:rsidR="0009431E" w:rsidRPr="00AB4003" w14:paraId="41AA7581" w14:textId="77777777" w:rsidTr="00094D4F">
        <w:trPr>
          <w:trHeight w:val="968"/>
        </w:trPr>
        <w:tc>
          <w:tcPr>
            <w:tcW w:w="1560" w:type="dxa"/>
            <w:shd w:val="clear" w:color="auto" w:fill="FFFFFF" w:themeFill="background1"/>
          </w:tcPr>
          <w:p w14:paraId="07BF5FD9" w14:textId="77777777" w:rsidR="0009431E" w:rsidRPr="00AB4003" w:rsidRDefault="0009431E" w:rsidP="00356507">
            <w:pPr>
              <w:rPr>
                <w:b/>
                <w:bCs/>
                <w:noProof/>
                <w:sz w:val="20"/>
              </w:rPr>
            </w:pPr>
            <w:r>
              <w:rPr>
                <w:b/>
                <w:noProof/>
                <w:sz w:val="20"/>
              </w:rPr>
              <w:t>Valoarea adăugată locală în sistemele alimentare</w:t>
            </w:r>
          </w:p>
        </w:tc>
        <w:tc>
          <w:tcPr>
            <w:tcW w:w="6379" w:type="dxa"/>
            <w:shd w:val="clear" w:color="auto" w:fill="FFFFFF" w:themeFill="background1"/>
          </w:tcPr>
          <w:p w14:paraId="53CCCB57" w14:textId="77777777" w:rsidR="0009431E" w:rsidRPr="00AB4003" w:rsidRDefault="0009431E" w:rsidP="00356507">
            <w:pPr>
              <w:rPr>
                <w:noProof/>
                <w:sz w:val="20"/>
              </w:rPr>
            </w:pPr>
            <w:r>
              <w:rPr>
                <w:noProof/>
                <w:sz w:val="20"/>
              </w:rPr>
              <w:t xml:space="preserve">Sprijinirea strategiilor alimentare locale și regionale și a strategiilor de inovare în domeniul alimentar, promovarea vânzărilor directe prin intermediul piețelor locale și a celor la nivel de exploatație și îmbunătățirea legăturilor dintre zonele urbane și cele rurale, ajutând tinerii fermieri și noii fermieri să aibă acces la oportunități și încurajând agricultura, prelucrarea și comerțul cu amănuntul în comunitate. </w:t>
            </w:r>
          </w:p>
        </w:tc>
        <w:tc>
          <w:tcPr>
            <w:tcW w:w="1417" w:type="dxa"/>
            <w:shd w:val="clear" w:color="auto" w:fill="FFFFFF" w:themeFill="background1"/>
          </w:tcPr>
          <w:p w14:paraId="72A1BBB1" w14:textId="77777777" w:rsidR="0009431E" w:rsidRPr="00AB4003" w:rsidRDefault="0009431E" w:rsidP="00356507">
            <w:pPr>
              <w:rPr>
                <w:noProof/>
                <w:sz w:val="20"/>
              </w:rPr>
            </w:pPr>
            <w:r>
              <w:rPr>
                <w:noProof/>
                <w:sz w:val="20"/>
              </w:rPr>
              <w:t>Începând cu T4 2025</w:t>
            </w:r>
          </w:p>
        </w:tc>
      </w:tr>
    </w:tbl>
    <w:p w14:paraId="7C3BD63C" w14:textId="77777777" w:rsidR="0009431E" w:rsidRPr="005E1EFA" w:rsidRDefault="0009431E" w:rsidP="005E1EFA">
      <w:pPr>
        <w:spacing w:before="100" w:beforeAutospacing="1" w:after="0"/>
        <w:rPr>
          <w:i/>
          <w:iCs/>
          <w:noProof/>
          <w:sz w:val="22"/>
          <w:szCs w:val="22"/>
        </w:rPr>
      </w:pPr>
    </w:p>
    <w:p w14:paraId="000DDCB0" w14:textId="7511DFE3" w:rsidR="00A37F51" w:rsidRPr="00827D8B" w:rsidRDefault="00AE69A7" w:rsidP="00A37F51">
      <w:pPr>
        <w:spacing w:before="100" w:beforeAutospacing="1" w:after="0"/>
        <w:rPr>
          <w:b/>
          <w:bCs/>
          <w:noProof/>
        </w:rPr>
      </w:pPr>
      <w:r>
        <w:rPr>
          <w:b/>
          <w:noProof/>
        </w:rPr>
        <w:t>E. Transferul fermelor între generații și pensionare</w:t>
      </w:r>
    </w:p>
    <w:p w14:paraId="47420398" w14:textId="6590B9C6" w:rsidR="00431F1A" w:rsidRPr="00431F1A" w:rsidRDefault="00431F1A" w:rsidP="00431F1A">
      <w:pPr>
        <w:spacing w:before="100" w:beforeAutospacing="1" w:after="0"/>
        <w:rPr>
          <w:noProof/>
        </w:rPr>
      </w:pPr>
      <w:r>
        <w:rPr>
          <w:b/>
          <w:noProof/>
        </w:rPr>
        <w:t>Sistemele de pensii și planificarea transferului fermelor între generații sunt fundamentale pentru a asigura reînnoirea generațiilor în agricultură</w:t>
      </w:r>
      <w:r>
        <w:rPr>
          <w:noProof/>
        </w:rPr>
        <w:t>. Este esențial ca fermierii mai în vârstă care doresc să se pensioneze să aibă posibilitatea și mijloacele necesare pentru a face acest lucru în condiții de demnitate și de siguranță financiară. În întreaga UE, mulți fermieri mai în vârstă amână pensionarea din cauza acoperirii insuficiente a pensiilor și a lipsei unor alternative viabile la veniturile agricole. Această insecuritate financiară generează adesea reticență față de transferul terenurilor sau de retragerea din viața profesională activă, reducând mobilitatea terenurilor și blocând oportunitățile tinerilor fermieri de a intra în sectorul agricol și de a se stabili în acest sector.</w:t>
      </w:r>
    </w:p>
    <w:p w14:paraId="5BC95A5C" w14:textId="687D68ED" w:rsidR="00665467" w:rsidRPr="00431F1A" w:rsidRDefault="00431F1A" w:rsidP="00665467">
      <w:pPr>
        <w:spacing w:before="100" w:beforeAutospacing="1" w:after="0"/>
        <w:rPr>
          <w:noProof/>
        </w:rPr>
      </w:pPr>
      <w:r>
        <w:rPr>
          <w:noProof/>
        </w:rPr>
        <w:t>PAC are adesea un rol social în acest context. Pentru mulți fermieri mai în vârstă care nu dispun de drepturi de pensie adecvate, plățile PAC reprezintă singurul venit, devenind o plasă de siguranță. Acest lucru evidențiază necesitatea unor măsuri naționale complementare pentru a consolida protecția socială și opțiunile de pensionare care să îi acopere în mod adecvat pe fermieri.</w:t>
      </w:r>
    </w:p>
    <w:p w14:paraId="10A9B28A" w14:textId="16D64762" w:rsidR="00F2523A" w:rsidRDefault="006F0002" w:rsidP="00431F1A">
      <w:pPr>
        <w:spacing w:before="100" w:beforeAutospacing="1" w:after="0"/>
        <w:rPr>
          <w:noProof/>
        </w:rPr>
      </w:pPr>
      <w:r>
        <w:rPr>
          <w:b/>
          <w:noProof/>
        </w:rPr>
        <w:t>Planificarea transferului fermelor între generații este la fel de importantă, dar rămâne un obstacol semnificativ.</w:t>
      </w:r>
      <w:r>
        <w:rPr>
          <w:noProof/>
        </w:rPr>
        <w:t xml:space="preserve"> Fără sprijin juridic și consiliere, transferul fermelor poate fi întârziat sau gestionat necorespunzător, generând conflicte și incertitudine. Planificarea timpurie este esențială pentru viabilitatea pe termen lung a sectorului agricol, permițând în același timp generațiilor mai în vârstă să se retragă treptat, să rămână implicate dacă doresc și să transfere responsabilitățile într-un mod structurat, care să le respecte rolul și experiența.</w:t>
      </w:r>
    </w:p>
    <w:p w14:paraId="0B3A0D9A" w14:textId="02A19236" w:rsidR="00D82D32" w:rsidRDefault="00D82D32" w:rsidP="00D82D32">
      <w:pPr>
        <w:spacing w:before="100" w:beforeAutospacing="1" w:after="0"/>
        <w:rPr>
          <w:noProof/>
        </w:rPr>
      </w:pPr>
      <w:r>
        <w:rPr>
          <w:noProof/>
        </w:rPr>
        <w:t>Semestrul european va continua să monitorizeze modul în care politicile naționale de pensii și de protecție socială contribuie la obținerea unui venit adecvat pentru limită de vârstă și a accesului la protecție socială pentru diferite grupuri profesionale, inclusiv pentru fermieri.</w:t>
      </w:r>
    </w:p>
    <w:p w14:paraId="34A0FA32" w14:textId="025B738A" w:rsidR="00106CD6" w:rsidRDefault="00106CD6" w:rsidP="00431F1A">
      <w:pPr>
        <w:spacing w:before="100" w:beforeAutospacing="1" w:after="0"/>
        <w:rPr>
          <w:noProof/>
        </w:rPr>
      </w:pPr>
      <w:r>
        <w:rPr>
          <w:noProof/>
          <w:lang w:val="en-GB"/>
        </w:rPr>
        <mc:AlternateContent>
          <mc:Choice Requires="wps">
            <w:drawing>
              <wp:anchor distT="0" distB="0" distL="114300" distR="114300" simplePos="0" relativeHeight="251658244" behindDoc="1" locked="0" layoutInCell="1" allowOverlap="1" wp14:anchorId="7C883553" wp14:editId="680C20D4">
                <wp:simplePos x="0" y="0"/>
                <wp:positionH relativeFrom="margin">
                  <wp:posOffset>169891</wp:posOffset>
                </wp:positionH>
                <wp:positionV relativeFrom="paragraph">
                  <wp:posOffset>150495</wp:posOffset>
                </wp:positionV>
                <wp:extent cx="5581403" cy="1004455"/>
                <wp:effectExtent l="0" t="0" r="19685" b="24765"/>
                <wp:wrapNone/>
                <wp:docPr id="431748935" name="Rectangle 2"/>
                <wp:cNvGraphicFramePr/>
                <a:graphic xmlns:a="http://schemas.openxmlformats.org/drawingml/2006/main">
                  <a:graphicData uri="http://schemas.microsoft.com/office/word/2010/wordprocessingShape">
                    <wps:wsp>
                      <wps:cNvSpPr/>
                      <wps:spPr>
                        <a:xfrm>
                          <a:off x="0" y="0"/>
                          <a:ext cx="5581403" cy="1004455"/>
                        </a:xfrm>
                        <a:prstGeom prst="rect">
                          <a:avLst/>
                        </a:prstGeom>
                        <a:solidFill>
                          <a:srgbClr val="BEC4F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ect id="Rectangle 2" style="position:absolute;margin-left:13.4pt;margin-top:11.85pt;width:439.5pt;height:79.1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c4fe"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" w14:anchorId="160FEB47">
                <w10:wrap anchorx="margin"/>
              </v:rect>
            </w:pict>
          </mc:Fallback>
        </mc:AlternateContent>
      </w:r>
    </w:p>
    <w:p w14:paraId="305AC120" w14:textId="1487B4A6" w:rsidR="000A4566" w:rsidRPr="00106CD6" w:rsidRDefault="000A4566" w:rsidP="00106CD6">
      <w:pPr>
        <w:spacing w:after="0"/>
        <w:ind w:left="360"/>
        <w:rPr>
          <w:noProof/>
          <w:sz w:val="20"/>
        </w:rPr>
      </w:pPr>
      <w:r>
        <w:rPr>
          <w:b/>
          <w:noProof/>
          <w:sz w:val="20"/>
        </w:rPr>
        <w:t>Exemple de sisteme de pensii care sprijină reînnoirea generațiilor</w:t>
      </w:r>
    </w:p>
    <w:p w14:paraId="4DB47A7F" w14:textId="77777777" w:rsidR="003529C0" w:rsidRPr="00106CD6" w:rsidRDefault="003529C0" w:rsidP="003529C0">
      <w:pPr>
        <w:numPr>
          <w:ilvl w:val="0"/>
          <w:numId w:val="31"/>
        </w:numPr>
        <w:tabs>
          <w:tab w:val="clear" w:pos="720"/>
          <w:tab w:val="num" w:pos="1080"/>
        </w:tabs>
        <w:spacing w:after="0"/>
        <w:ind w:left="1080"/>
        <w:rPr>
          <w:noProof/>
          <w:sz w:val="20"/>
        </w:rPr>
      </w:pPr>
      <w:r>
        <w:rPr>
          <w:b/>
          <w:noProof/>
          <w:sz w:val="20"/>
        </w:rPr>
        <w:t>Germania</w:t>
      </w:r>
      <w:r>
        <w:rPr>
          <w:noProof/>
          <w:sz w:val="20"/>
        </w:rPr>
        <w:t xml:space="preserve"> – Banca de Pensii Agricole din Germania sprijină transferul fermelor între generații prin furnizarea de venituri din pensii și asigurări sociale pentru fermierii care se pensionează.</w:t>
      </w:r>
    </w:p>
    <w:p w14:paraId="24AFB6A1" w14:textId="0B9C025F" w:rsidR="002E5443" w:rsidRDefault="000A4566" w:rsidP="003529C0">
      <w:pPr>
        <w:numPr>
          <w:ilvl w:val="0"/>
          <w:numId w:val="31"/>
        </w:numPr>
        <w:tabs>
          <w:tab w:val="clear" w:pos="720"/>
          <w:tab w:val="num" w:pos="1080"/>
        </w:tabs>
        <w:spacing w:after="0"/>
        <w:ind w:left="1080"/>
        <w:rPr>
          <w:noProof/>
          <w:sz w:val="20"/>
        </w:rPr>
      </w:pPr>
      <w:r>
        <w:rPr>
          <w:b/>
          <w:noProof/>
          <w:sz w:val="20"/>
        </w:rPr>
        <w:t>Franța</w:t>
      </w:r>
      <w:r>
        <w:rPr>
          <w:noProof/>
          <w:sz w:val="20"/>
        </w:rPr>
        <w:t xml:space="preserve"> – sistemele de pensii personalizate oferă un sprijin similar, arătând modul în care măsurile de protecție socială adaptate pot facilita reînnoirea generațiilor în agricultură.</w:t>
      </w:r>
    </w:p>
    <w:p w14:paraId="39E85996" w14:textId="1388CE35" w:rsidR="00D978AE" w:rsidRPr="00F54E1B" w:rsidRDefault="00D978AE" w:rsidP="0061102D">
      <w:pPr>
        <w:spacing w:before="100" w:beforeAutospacing="1" w:after="0"/>
        <w:rPr>
          <w:noProof/>
        </w:rPr>
      </w:pPr>
    </w:p>
    <w:p w14:paraId="7CADE769" w14:textId="181C76D9" w:rsidR="0061102D" w:rsidRPr="0061102D" w:rsidRDefault="0061102D" w:rsidP="0061102D">
      <w:pPr>
        <w:spacing w:before="100" w:beforeAutospacing="1" w:after="0"/>
        <w:rPr>
          <w:noProof/>
        </w:rPr>
      </w:pPr>
      <w:r>
        <w:rPr>
          <w:noProof/>
        </w:rPr>
        <w:t>Sistemele de succes au în comun o serie de caracteristici esențiale: acestea includ toți membrii de familie care beneficiază de acoperire, pentru a evita întreruperea cotizării, oferă contribuții flexibile, bazate pe venituri sau forfetare pentru a reflecta veniturile variabile ale fermelor și se bazează pe subvenții publice, considerate pe bună dreptate drept investiții în capitalul rural și în securitatea alimentară. Definițiile juridice clare și testarea echitabilă a mijloacelor asigură în continuare incluziunea.</w:t>
      </w:r>
    </w:p>
    <w:p w14:paraId="062F61DC" w14:textId="34A68903" w:rsidR="00EF3616" w:rsidRDefault="00A93A53" w:rsidP="0061102D">
      <w:pPr>
        <w:spacing w:before="100" w:beforeAutospacing="1" w:after="0"/>
        <w:rPr>
          <w:noProof/>
        </w:rPr>
      </w:pPr>
      <w:r>
        <w:rPr>
          <w:noProof/>
        </w:rPr>
        <w:t>În cele din urmă, investițiile în sisteme de pensii adecvate și stabile pentru fermieri nu sunt doar o chestiune de justiție socială, ci și o pârghie strategică pentru a asigura reînnoirea generațiilor, mobilitatea terenurilor și sustenabilitatea pe termen lung a agriculturii UE.</w:t>
      </w:r>
    </w:p>
    <w:p w14:paraId="6947C83A" w14:textId="77777777" w:rsidR="002E6DA9" w:rsidRDefault="002E6DA9" w:rsidP="0061102D">
      <w:pPr>
        <w:spacing w:before="100" w:beforeAutospacing="1" w:after="0"/>
        <w:rPr>
          <w:noProof/>
        </w:rPr>
      </w:pPr>
    </w:p>
    <w:p w14:paraId="05E1968B" w14:textId="77777777" w:rsidR="002E6DA9" w:rsidRDefault="002E6DA9" w:rsidP="0061102D">
      <w:pPr>
        <w:spacing w:before="100" w:beforeAutospacing="1" w:after="0"/>
        <w:rPr>
          <w:noProof/>
        </w:rPr>
      </w:pPr>
    </w:p>
    <w:p w14:paraId="039A91E3" w14:textId="77777777" w:rsidR="002E6DA9" w:rsidRDefault="002E6DA9" w:rsidP="0061102D">
      <w:pPr>
        <w:spacing w:before="100" w:beforeAutospacing="1" w:after="0"/>
        <w:rPr>
          <w:noProof/>
        </w:rPr>
      </w:pPr>
    </w:p>
    <w:p w14:paraId="7F901B44" w14:textId="6DC0440C" w:rsidR="00A93A53" w:rsidRDefault="00A93A53" w:rsidP="0061102D">
      <w:pPr>
        <w:spacing w:before="100" w:beforeAutospacing="1" w:after="0"/>
        <w:rPr>
          <w:noProof/>
        </w:rPr>
      </w:pPr>
    </w:p>
    <w:p w14:paraId="730580F5" w14:textId="77777777" w:rsidR="003672D5" w:rsidRDefault="003672D5" w:rsidP="0061102D">
      <w:pPr>
        <w:spacing w:before="100" w:beforeAutospacing="1" w:after="0"/>
        <w:rPr>
          <w:noProof/>
        </w:rPr>
      </w:pPr>
    </w:p>
    <w:p w14:paraId="3D05B3A8" w14:textId="77777777" w:rsidR="003672D5" w:rsidRDefault="003672D5" w:rsidP="0061102D">
      <w:pPr>
        <w:spacing w:before="100" w:beforeAutospacing="1" w:after="0"/>
        <w:rPr>
          <w:noProof/>
        </w:rPr>
      </w:pPr>
    </w:p>
    <w:p w14:paraId="461331BF" w14:textId="59DDC7C5" w:rsidR="003672D5" w:rsidRDefault="003672D5" w:rsidP="0061102D">
      <w:pPr>
        <w:spacing w:before="100" w:beforeAutospacing="1" w:after="0"/>
        <w:rPr>
          <w:noProof/>
        </w:rPr>
      </w:pPr>
      <w:r>
        <w:rPr>
          <w:noProof/>
          <w:lang w:val="en-GB"/>
        </w:rPr>
        <mc:AlternateContent>
          <mc:Choice Requires="wps">
            <w:drawing>
              <wp:anchor distT="0" distB="0" distL="114300" distR="114300" simplePos="0" relativeHeight="251658243" behindDoc="1" locked="0" layoutInCell="1" allowOverlap="1" wp14:anchorId="2AF1B135" wp14:editId="7599F713">
                <wp:simplePos x="0" y="0"/>
                <wp:positionH relativeFrom="page">
                  <wp:posOffset>928255</wp:posOffset>
                </wp:positionH>
                <wp:positionV relativeFrom="paragraph">
                  <wp:posOffset>114300</wp:posOffset>
                </wp:positionV>
                <wp:extent cx="5898515" cy="1674033"/>
                <wp:effectExtent l="0" t="0" r="26035" b="21590"/>
                <wp:wrapNone/>
                <wp:docPr id="172556434" name="Rectangle: Rounded Corners 1"/>
                <wp:cNvGraphicFramePr/>
                <a:graphic xmlns:a="http://schemas.openxmlformats.org/drawingml/2006/main">
                  <a:graphicData uri="http://schemas.microsoft.com/office/word/2010/wordprocessingShape">
                    <wps:wsp>
                      <wps:cNvSpPr/>
                      <wps:spPr>
                        <a:xfrm>
                          <a:off x="0" y="0"/>
                          <a:ext cx="5898515" cy="1674033"/>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roundrect id="Rectangle: Rounded Corners 1" style="position:absolute;margin-left:73.1pt;margin-top:9pt;width:464.45pt;height:131.8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fc000"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" arcsize="10923f" w14:anchorId="740F53B3">
                <v:stroke joinstyle="miter"/>
                <w10:wrap anchorx="page"/>
              </v:roundrect>
            </w:pict>
          </mc:Fallback>
        </mc:AlternateContent>
      </w:r>
    </w:p>
    <w:p w14:paraId="5D9C2B26" w14:textId="360E5305" w:rsidR="00C328BB" w:rsidRDefault="00C328BB" w:rsidP="00106CD6">
      <w:pPr>
        <w:spacing w:after="0"/>
        <w:rPr>
          <w:b/>
          <w:bCs/>
          <w:i/>
          <w:iCs/>
          <w:noProof/>
          <w:sz w:val="22"/>
          <w:szCs w:val="22"/>
        </w:rPr>
      </w:pPr>
      <w:r>
        <w:rPr>
          <w:b/>
          <w:i/>
          <w:noProof/>
          <w:sz w:val="22"/>
        </w:rPr>
        <w:t>Inițiative emblematice</w:t>
      </w:r>
    </w:p>
    <w:p w14:paraId="7A6627BF" w14:textId="464333E1" w:rsidR="00F54E1B" w:rsidRPr="00F54E1B" w:rsidRDefault="00F54E1B" w:rsidP="00106CD6">
      <w:pPr>
        <w:spacing w:after="0"/>
        <w:rPr>
          <w:b/>
          <w:bCs/>
          <w:i/>
          <w:iCs/>
          <w:noProof/>
          <w:sz w:val="22"/>
          <w:szCs w:val="22"/>
        </w:rPr>
      </w:pPr>
    </w:p>
    <w:p w14:paraId="4B6B0D40" w14:textId="3682FAD6" w:rsidR="00E15F90" w:rsidRDefault="00C328BB" w:rsidP="002F39C3">
      <w:pPr>
        <w:pStyle w:val="ListParagraph"/>
        <w:numPr>
          <w:ilvl w:val="0"/>
          <w:numId w:val="27"/>
        </w:numPr>
        <w:spacing w:after="0"/>
        <w:rPr>
          <w:i/>
          <w:iCs/>
          <w:noProof/>
          <w:sz w:val="22"/>
          <w:szCs w:val="22"/>
        </w:rPr>
      </w:pPr>
      <w:r>
        <w:rPr>
          <w:b/>
          <w:i/>
          <w:noProof/>
          <w:sz w:val="22"/>
        </w:rPr>
        <w:t xml:space="preserve">Corelarea plăților directe cu vârsta de pensionare a fermierilor </w:t>
      </w:r>
      <w:r>
        <w:rPr>
          <w:i/>
          <w:noProof/>
          <w:sz w:val="22"/>
        </w:rPr>
        <w:t xml:space="preserve">până în 2032, astfel cum s-a propus în PAC post-2027. Fermierii la vârsta de pensionare care primesc o pensie nu vor mai fi eligibili pentru plăți directe, ceea ce încurajează transferul între generații. </w:t>
      </w:r>
    </w:p>
    <w:p w14:paraId="2FF2F818" w14:textId="3E886C15" w:rsidR="00313B4A" w:rsidRPr="0058288C" w:rsidRDefault="00FB67AC" w:rsidP="002F39C3">
      <w:pPr>
        <w:pStyle w:val="ListParagraph"/>
        <w:numPr>
          <w:ilvl w:val="0"/>
          <w:numId w:val="27"/>
        </w:numPr>
        <w:spacing w:after="0"/>
        <w:rPr>
          <w:i/>
          <w:iCs/>
          <w:noProof/>
          <w:sz w:val="22"/>
          <w:szCs w:val="22"/>
        </w:rPr>
      </w:pPr>
      <w:r>
        <w:rPr>
          <w:i/>
          <w:noProof/>
          <w:sz w:val="22"/>
        </w:rPr>
        <w:t xml:space="preserve">Integrarea în </w:t>
      </w:r>
      <w:r>
        <w:rPr>
          <w:b/>
          <w:i/>
          <w:noProof/>
          <w:sz w:val="22"/>
        </w:rPr>
        <w:t>semestrul european</w:t>
      </w:r>
      <w:r>
        <w:rPr>
          <w:i/>
          <w:noProof/>
          <w:sz w:val="22"/>
        </w:rPr>
        <w:t xml:space="preserve"> a unor aspecte relevante legate de reînnoirea generațiilor în materie de transfer și includerea reformelor privind pensiile, pensionarea și transferul fermelor în cadrele naționale de politică vor facilita transferul în timp util, mobilitatea terenurilor și securitatea veniturilor pentru fermierii care se pensionează.</w:t>
      </w:r>
    </w:p>
    <w:p w14:paraId="20E68E30" w14:textId="77777777" w:rsidR="00F54E1B" w:rsidRDefault="00F54E1B" w:rsidP="00C328BB">
      <w:pPr>
        <w:spacing w:before="100" w:beforeAutospacing="1" w:after="0"/>
        <w:rPr>
          <w:i/>
          <w:iCs/>
          <w:noProof/>
          <w:szCs w:val="24"/>
        </w:rPr>
      </w:pPr>
    </w:p>
    <w:p w14:paraId="612422DE" w14:textId="77777777" w:rsidR="003020B9" w:rsidRDefault="003020B9" w:rsidP="00C328BB">
      <w:pPr>
        <w:spacing w:before="100" w:beforeAutospacing="1" w:after="0"/>
        <w:rPr>
          <w:i/>
          <w:iCs/>
          <w:noProof/>
          <w:szCs w:val="24"/>
        </w:rPr>
      </w:pPr>
    </w:p>
    <w:tbl>
      <w:tblPr>
        <w:tblStyle w:val="TableGrid"/>
        <w:tblW w:w="9252" w:type="dxa"/>
        <w:tblInd w:w="-150" w:type="dxa"/>
        <w:tblLayout w:type="fixed"/>
        <w:tblLook w:val="04A0" w:firstRow="1" w:lastRow="0" w:firstColumn="1" w:lastColumn="0" w:noHBand="0" w:noVBand="1"/>
      </w:tblPr>
      <w:tblGrid>
        <w:gridCol w:w="1454"/>
        <w:gridCol w:w="6345"/>
        <w:gridCol w:w="1453"/>
      </w:tblGrid>
      <w:tr w:rsidR="00F35E62" w:rsidRPr="00AB4003" w14:paraId="1FB42BF7" w14:textId="77777777" w:rsidTr="0E5BE3D9">
        <w:trPr>
          <w:trHeight w:val="509"/>
        </w:trPr>
        <w:tc>
          <w:tcPr>
            <w:tcW w:w="7799" w:type="dxa"/>
            <w:gridSpan w:val="2"/>
            <w:shd w:val="clear" w:color="auto" w:fill="FFC000"/>
          </w:tcPr>
          <w:p w14:paraId="19DC6061" w14:textId="176DBAEC" w:rsidR="00C328BB" w:rsidRPr="00AB4003" w:rsidRDefault="00C328BB" w:rsidP="006D5E1D">
            <w:pPr>
              <w:jc w:val="center"/>
              <w:rPr>
                <w:b/>
                <w:bCs/>
                <w:noProof/>
                <w:sz w:val="20"/>
              </w:rPr>
            </w:pPr>
            <w:r>
              <w:rPr>
                <w:b/>
                <w:noProof/>
                <w:sz w:val="20"/>
              </w:rPr>
              <w:t>Acțiuni propuse în cadrul PAC pentru perioada 2028-2034</w:t>
            </w:r>
          </w:p>
        </w:tc>
        <w:tc>
          <w:tcPr>
            <w:tcW w:w="1453" w:type="dxa"/>
            <w:shd w:val="clear" w:color="auto" w:fill="FFC000"/>
          </w:tcPr>
          <w:p w14:paraId="366A1BAA" w14:textId="46B6DB56" w:rsidR="00C328BB" w:rsidRPr="00AB4003" w:rsidRDefault="00BB5969" w:rsidP="006D5E1D">
            <w:pPr>
              <w:jc w:val="center"/>
              <w:rPr>
                <w:b/>
                <w:bCs/>
                <w:noProof/>
                <w:sz w:val="20"/>
              </w:rPr>
            </w:pPr>
            <w:r>
              <w:rPr>
                <w:b/>
                <w:noProof/>
                <w:sz w:val="20"/>
              </w:rPr>
              <w:t>Calendar</w:t>
            </w:r>
          </w:p>
        </w:tc>
      </w:tr>
      <w:tr w:rsidR="00431C4E" w:rsidRPr="00AB4003" w:rsidDel="00982026" w14:paraId="153AC07D" w14:textId="77777777" w:rsidTr="0E5BE3D9">
        <w:trPr>
          <w:trHeight w:val="798"/>
        </w:trPr>
        <w:tc>
          <w:tcPr>
            <w:tcW w:w="1454" w:type="dxa"/>
            <w:shd w:val="clear" w:color="auto" w:fill="FFFFFF" w:themeFill="background1"/>
          </w:tcPr>
          <w:p w14:paraId="293435C7" w14:textId="12467517" w:rsidR="008D7CEB" w:rsidRPr="00AB4003" w:rsidDel="00982026" w:rsidRDefault="00153303" w:rsidP="00843C20">
            <w:pPr>
              <w:jc w:val="left"/>
              <w:rPr>
                <w:b/>
                <w:bCs/>
                <w:noProof/>
                <w:sz w:val="20"/>
              </w:rPr>
            </w:pPr>
            <w:r>
              <w:rPr>
                <w:b/>
                <w:noProof/>
                <w:sz w:val="20"/>
              </w:rPr>
              <w:t>Sprijinirea planificării transferului fermelor între generații prin intermediul AKIS</w:t>
            </w:r>
          </w:p>
        </w:tc>
        <w:tc>
          <w:tcPr>
            <w:tcW w:w="6345" w:type="dxa"/>
            <w:shd w:val="clear" w:color="auto" w:fill="FFFFFF" w:themeFill="background1"/>
          </w:tcPr>
          <w:p w14:paraId="52FFE4F7" w14:textId="043BA78F" w:rsidR="009E7F33" w:rsidRPr="00AB4003" w:rsidDel="00982026" w:rsidRDefault="009E7F33" w:rsidP="006D5E1D">
            <w:pPr>
              <w:spacing w:line="256" w:lineRule="auto"/>
              <w:rPr>
                <w:noProof/>
                <w:sz w:val="20"/>
              </w:rPr>
            </w:pPr>
            <w:r>
              <w:rPr>
                <w:noProof/>
                <w:sz w:val="20"/>
              </w:rPr>
              <w:t xml:space="preserve">Furnizarea de formare specifică și de servicii de consiliere prin intermediul AKIS pentru a sprijini un transfer al fermelor fără probleme și în timp util. Fermierii mai în vârstă ar trebui să primească îndrumări cu privire la planificarea juridică, financiară și succesorală, în timp ce tinerii fermieri sunt formați în ceea ce privește cadrele de transfer, continuitatea activității și planurile de modernizare. Facilitarea sesiunilor comune de planificare a transferului între generații, sprijinite de consilieri sau mediatori instruiți, pentru a elabora planuri de transfer clare și realiste. </w:t>
            </w:r>
          </w:p>
        </w:tc>
        <w:tc>
          <w:tcPr>
            <w:tcW w:w="1453" w:type="dxa"/>
            <w:shd w:val="clear" w:color="auto" w:fill="FFFFFF" w:themeFill="background1"/>
          </w:tcPr>
          <w:p w14:paraId="3DFFB11F" w14:textId="651A65AC" w:rsidR="008D7CEB" w:rsidRPr="00AB4003" w:rsidDel="00982026" w:rsidRDefault="009E7F33" w:rsidP="006D5E1D">
            <w:pPr>
              <w:spacing w:line="256" w:lineRule="auto"/>
              <w:rPr>
                <w:noProof/>
                <w:sz w:val="20"/>
              </w:rPr>
            </w:pPr>
            <w:r>
              <w:rPr>
                <w:noProof/>
                <w:sz w:val="20"/>
              </w:rPr>
              <w:t>Noua PAC – începând din 2028</w:t>
            </w:r>
          </w:p>
        </w:tc>
      </w:tr>
      <w:tr w:rsidR="00F35E62" w:rsidRPr="00AB4003" w14:paraId="672566CD" w14:textId="77777777" w:rsidTr="0E5BE3D9">
        <w:trPr>
          <w:trHeight w:val="523"/>
        </w:trPr>
        <w:tc>
          <w:tcPr>
            <w:tcW w:w="7799" w:type="dxa"/>
            <w:gridSpan w:val="2"/>
            <w:shd w:val="clear" w:color="auto" w:fill="FFC000"/>
          </w:tcPr>
          <w:p w14:paraId="499FE352" w14:textId="416D4E20" w:rsidR="00C328BB" w:rsidRPr="00AB4003" w:rsidRDefault="00C328BB" w:rsidP="006D5E1D">
            <w:pPr>
              <w:jc w:val="center"/>
              <w:rPr>
                <w:noProof/>
                <w:sz w:val="20"/>
              </w:rPr>
            </w:pPr>
            <w:r>
              <w:rPr>
                <w:b/>
                <w:noProof/>
                <w:sz w:val="20"/>
              </w:rPr>
              <w:t>Acțiuni propuse în cadrul altor politici ale UE</w:t>
            </w:r>
          </w:p>
        </w:tc>
        <w:tc>
          <w:tcPr>
            <w:tcW w:w="1453" w:type="dxa"/>
            <w:shd w:val="clear" w:color="auto" w:fill="FFC000"/>
          </w:tcPr>
          <w:p w14:paraId="15E0ABA4" w14:textId="77777777" w:rsidR="00C328BB" w:rsidRPr="00AB4003" w:rsidRDefault="00C328BB" w:rsidP="006D5E1D">
            <w:pPr>
              <w:jc w:val="center"/>
              <w:rPr>
                <w:b/>
                <w:bCs/>
                <w:noProof/>
                <w:sz w:val="20"/>
              </w:rPr>
            </w:pPr>
          </w:p>
        </w:tc>
      </w:tr>
      <w:tr w:rsidR="00431C4E" w:rsidRPr="00812C09" w14:paraId="669222B9" w14:textId="77777777" w:rsidTr="0E5BE3D9">
        <w:trPr>
          <w:trHeight w:val="1282"/>
        </w:trPr>
        <w:tc>
          <w:tcPr>
            <w:tcW w:w="1454" w:type="dxa"/>
            <w:shd w:val="clear" w:color="auto" w:fill="FFFFFF" w:themeFill="background1"/>
          </w:tcPr>
          <w:p w14:paraId="3041B087" w14:textId="4C8F0029" w:rsidR="001C7180" w:rsidRPr="00843C20" w:rsidRDefault="00A7610A" w:rsidP="0E5BE3D9">
            <w:pPr>
              <w:rPr>
                <w:b/>
                <w:bCs/>
                <w:noProof/>
                <w:sz w:val="20"/>
              </w:rPr>
            </w:pPr>
            <w:r>
              <w:rPr>
                <w:b/>
                <w:noProof/>
                <w:sz w:val="20"/>
              </w:rPr>
              <w:t>Îmbunătățirea cunoștințelor privind impozitarea și transferul fermelor între generații</w:t>
            </w:r>
          </w:p>
        </w:tc>
        <w:tc>
          <w:tcPr>
            <w:tcW w:w="6345" w:type="dxa"/>
            <w:shd w:val="clear" w:color="auto" w:fill="FFFFFF" w:themeFill="background1"/>
          </w:tcPr>
          <w:p w14:paraId="631E033B" w14:textId="4DDD01BE" w:rsidR="001C7180" w:rsidRPr="00843C20" w:rsidRDefault="001C7180" w:rsidP="006D5E1D">
            <w:pPr>
              <w:rPr>
                <w:noProof/>
                <w:sz w:val="20"/>
              </w:rPr>
            </w:pPr>
            <w:r>
              <w:rPr>
                <w:noProof/>
                <w:sz w:val="20"/>
              </w:rPr>
              <w:t>Studiu cu privire la modul în care politicile fiscale privind succesiunile și donațiile influențează transferul fermelor în toate statele membre, pe baza dovezilor furnizate de Observatorul european al terenurilor. Identificarea barierelor fiscale și juridice care întârzie sau complică transferurile în timp util, oferind o bază pentru reforme care facilitează pensionarea anticipată, un transfer mai simplu și o reînnoire mai eficace a generațiilor.</w:t>
            </w:r>
          </w:p>
        </w:tc>
        <w:tc>
          <w:tcPr>
            <w:tcW w:w="1453" w:type="dxa"/>
            <w:shd w:val="clear" w:color="auto" w:fill="FFFFFF" w:themeFill="background1"/>
          </w:tcPr>
          <w:p w14:paraId="116EE69F" w14:textId="13B98878" w:rsidR="001C7180" w:rsidRPr="00843C20" w:rsidRDefault="00986768" w:rsidP="006D5E1D">
            <w:pPr>
              <w:rPr>
                <w:noProof/>
                <w:sz w:val="20"/>
              </w:rPr>
            </w:pPr>
            <w:r>
              <w:rPr>
                <w:noProof/>
                <w:sz w:val="20"/>
              </w:rPr>
              <w:t>Începând din T4 2026</w:t>
            </w:r>
          </w:p>
        </w:tc>
      </w:tr>
      <w:tr w:rsidR="00431C4E" w:rsidRPr="00812C09" w14:paraId="3CF4ABD1" w14:textId="77777777" w:rsidTr="00EF3616">
        <w:trPr>
          <w:trHeight w:val="948"/>
        </w:trPr>
        <w:tc>
          <w:tcPr>
            <w:tcW w:w="1454" w:type="dxa"/>
            <w:shd w:val="clear" w:color="auto" w:fill="FFFFFF" w:themeFill="background1"/>
          </w:tcPr>
          <w:p w14:paraId="20E5B777" w14:textId="2707809E" w:rsidR="00C328BB" w:rsidRPr="00C668CD" w:rsidRDefault="00106CD6" w:rsidP="006D5E1D">
            <w:pPr>
              <w:rPr>
                <w:b/>
                <w:bCs/>
                <w:noProof/>
                <w:sz w:val="20"/>
              </w:rPr>
            </w:pPr>
            <w:r>
              <w:rPr>
                <w:b/>
                <w:noProof/>
                <w:sz w:val="20"/>
              </w:rPr>
              <w:t>Schimb de bune practici</w:t>
            </w:r>
          </w:p>
        </w:tc>
        <w:tc>
          <w:tcPr>
            <w:tcW w:w="6345" w:type="dxa"/>
            <w:shd w:val="clear" w:color="auto" w:fill="FFFFFF" w:themeFill="background1"/>
          </w:tcPr>
          <w:p w14:paraId="27BC26C6" w14:textId="1D00135D" w:rsidR="00C328BB" w:rsidRPr="00C668CD" w:rsidRDefault="008E6385" w:rsidP="006D5E1D">
            <w:pPr>
              <w:rPr>
                <w:noProof/>
                <w:sz w:val="20"/>
              </w:rPr>
            </w:pPr>
            <w:r>
              <w:rPr>
                <w:noProof/>
                <w:sz w:val="20"/>
              </w:rPr>
              <w:t xml:space="preserve">Sprijinirea tranziției de la activitatea agricolă la pensionare, corelarea plăților directe cu vârsta de pensionare, promovarea schimbului de bune practici privind accesul fermierilor la sistemele de securitate socială prin intermediul unei discuții comune cu statele membre. </w:t>
            </w:r>
          </w:p>
        </w:tc>
        <w:tc>
          <w:tcPr>
            <w:tcW w:w="1453" w:type="dxa"/>
            <w:shd w:val="clear" w:color="auto" w:fill="FFFFFF" w:themeFill="background1"/>
          </w:tcPr>
          <w:p w14:paraId="78284BE6" w14:textId="2D40A52D" w:rsidR="00C328BB" w:rsidRPr="00843C20" w:rsidRDefault="00044C66" w:rsidP="006D5E1D">
            <w:pPr>
              <w:rPr>
                <w:noProof/>
                <w:sz w:val="20"/>
              </w:rPr>
            </w:pPr>
            <w:r>
              <w:rPr>
                <w:noProof/>
                <w:sz w:val="20"/>
              </w:rPr>
              <w:t>T2 2026</w:t>
            </w:r>
          </w:p>
        </w:tc>
      </w:tr>
      <w:tr w:rsidR="00F35E62" w:rsidRPr="00AB4003" w14:paraId="0501B2BE" w14:textId="77777777" w:rsidTr="00EF3616">
        <w:trPr>
          <w:trHeight w:val="199"/>
        </w:trPr>
        <w:tc>
          <w:tcPr>
            <w:tcW w:w="7799" w:type="dxa"/>
            <w:gridSpan w:val="2"/>
            <w:shd w:val="clear" w:color="auto" w:fill="FFC000"/>
          </w:tcPr>
          <w:p w14:paraId="78CC247A" w14:textId="771F06A7" w:rsidR="00C328BB" w:rsidRPr="00AB4003" w:rsidRDefault="00211296" w:rsidP="006D5E1D">
            <w:pPr>
              <w:jc w:val="center"/>
              <w:rPr>
                <w:noProof/>
                <w:sz w:val="20"/>
              </w:rPr>
            </w:pPr>
            <w:r>
              <w:rPr>
                <w:b/>
                <w:noProof/>
                <w:sz w:val="20"/>
              </w:rPr>
              <w:t>Acțiuni voluntare la nivelul statelor membre</w:t>
            </w:r>
          </w:p>
        </w:tc>
        <w:tc>
          <w:tcPr>
            <w:tcW w:w="1453" w:type="dxa"/>
            <w:shd w:val="clear" w:color="auto" w:fill="FFC000"/>
          </w:tcPr>
          <w:p w14:paraId="4AA05C4C" w14:textId="71790693" w:rsidR="00C328BB" w:rsidRPr="00AB4003" w:rsidRDefault="00044C66" w:rsidP="006D5E1D">
            <w:pPr>
              <w:jc w:val="center"/>
              <w:rPr>
                <w:b/>
                <w:bCs/>
                <w:noProof/>
                <w:sz w:val="20"/>
              </w:rPr>
            </w:pPr>
            <w:r>
              <w:rPr>
                <w:b/>
                <w:noProof/>
                <w:sz w:val="20"/>
              </w:rPr>
              <w:t xml:space="preserve">Voluntar </w:t>
            </w:r>
          </w:p>
        </w:tc>
      </w:tr>
      <w:tr w:rsidR="00C328BB" w:rsidRPr="005D4892" w14:paraId="2C58B812" w14:textId="77777777" w:rsidTr="0E5BE3D9">
        <w:trPr>
          <w:trHeight w:val="771"/>
        </w:trPr>
        <w:tc>
          <w:tcPr>
            <w:tcW w:w="1454" w:type="dxa"/>
          </w:tcPr>
          <w:p w14:paraId="183B48A1" w14:textId="77777777" w:rsidR="00C328BB" w:rsidRPr="00982026" w:rsidRDefault="00C328BB" w:rsidP="006D5E1D">
            <w:pPr>
              <w:rPr>
                <w:b/>
                <w:bCs/>
                <w:noProof/>
                <w:sz w:val="20"/>
              </w:rPr>
            </w:pPr>
            <w:r>
              <w:rPr>
                <w:b/>
                <w:noProof/>
                <w:sz w:val="20"/>
              </w:rPr>
              <w:t>Sisteme de pensii</w:t>
            </w:r>
          </w:p>
        </w:tc>
        <w:tc>
          <w:tcPr>
            <w:tcW w:w="6345" w:type="dxa"/>
          </w:tcPr>
          <w:p w14:paraId="355E1524" w14:textId="693B7D61" w:rsidR="00C328BB" w:rsidRPr="00982026" w:rsidRDefault="008079FE" w:rsidP="006D5E1D">
            <w:pPr>
              <w:tabs>
                <w:tab w:val="left" w:pos="1888"/>
              </w:tabs>
              <w:rPr>
                <w:noProof/>
                <w:sz w:val="20"/>
              </w:rPr>
            </w:pPr>
            <w:r>
              <w:rPr>
                <w:noProof/>
                <w:sz w:val="20"/>
              </w:rPr>
              <w:t xml:space="preserve">Asigurarea accesului adecvat la sisteme de pensii care să asigure o pensie suficientă fermierilor și lucrătorilor agricoli în vârstă. </w:t>
            </w:r>
          </w:p>
        </w:tc>
        <w:tc>
          <w:tcPr>
            <w:tcW w:w="1453" w:type="dxa"/>
          </w:tcPr>
          <w:p w14:paraId="755DD8F2" w14:textId="25FD7B14" w:rsidR="00C328BB" w:rsidRPr="00982026" w:rsidRDefault="001A66EA" w:rsidP="006D5E1D">
            <w:pPr>
              <w:rPr>
                <w:noProof/>
                <w:sz w:val="20"/>
              </w:rPr>
            </w:pPr>
            <w:r>
              <w:rPr>
                <w:noProof/>
                <w:sz w:val="20"/>
              </w:rPr>
              <w:t>Începând cu T4 2025</w:t>
            </w:r>
          </w:p>
        </w:tc>
      </w:tr>
      <w:tr w:rsidR="00C328BB" w:rsidRPr="005D4892" w14:paraId="0894D779" w14:textId="77777777" w:rsidTr="00EF3616">
        <w:trPr>
          <w:trHeight w:val="554"/>
        </w:trPr>
        <w:tc>
          <w:tcPr>
            <w:tcW w:w="1454" w:type="dxa"/>
          </w:tcPr>
          <w:p w14:paraId="629A63A1" w14:textId="381F43DA" w:rsidR="00C328BB" w:rsidRPr="00982026" w:rsidRDefault="005B0269" w:rsidP="006D5E1D">
            <w:pPr>
              <w:rPr>
                <w:b/>
                <w:bCs/>
                <w:noProof/>
                <w:sz w:val="20"/>
              </w:rPr>
            </w:pPr>
            <w:r>
              <w:rPr>
                <w:b/>
                <w:noProof/>
                <w:sz w:val="20"/>
              </w:rPr>
              <w:t>Legislație pentru facilitarea transferului fermelor</w:t>
            </w:r>
          </w:p>
        </w:tc>
        <w:tc>
          <w:tcPr>
            <w:tcW w:w="6345" w:type="dxa"/>
          </w:tcPr>
          <w:p w14:paraId="57ECF034" w14:textId="77777777" w:rsidR="00C328BB" w:rsidRPr="00982026" w:rsidRDefault="00C328BB" w:rsidP="006D5E1D">
            <w:pPr>
              <w:tabs>
                <w:tab w:val="left" w:pos="1888"/>
              </w:tabs>
              <w:rPr>
                <w:noProof/>
                <w:sz w:val="20"/>
              </w:rPr>
            </w:pPr>
            <w:r>
              <w:rPr>
                <w:noProof/>
                <w:sz w:val="20"/>
              </w:rPr>
              <w:t>Adoptarea de măsuri legislative în domenii precum impozitarea, succesiunea și transferul de terenuri, care să faciliteze transferul activelor din cadrul exploatațiilor de la o generație la alta.</w:t>
            </w:r>
          </w:p>
        </w:tc>
        <w:tc>
          <w:tcPr>
            <w:tcW w:w="1453" w:type="dxa"/>
          </w:tcPr>
          <w:p w14:paraId="37C7D721" w14:textId="0DFAEB63" w:rsidR="00C328BB" w:rsidRPr="00982026" w:rsidRDefault="001A66EA" w:rsidP="006D5E1D">
            <w:pPr>
              <w:rPr>
                <w:noProof/>
                <w:sz w:val="20"/>
              </w:rPr>
            </w:pPr>
            <w:r>
              <w:rPr>
                <w:noProof/>
                <w:sz w:val="20"/>
              </w:rPr>
              <w:t>Începând cu T4 2025</w:t>
            </w:r>
          </w:p>
        </w:tc>
      </w:tr>
      <w:tr w:rsidR="00EC43E7" w:rsidRPr="005D4892" w14:paraId="7E331200" w14:textId="77777777" w:rsidTr="00EF3616">
        <w:trPr>
          <w:trHeight w:val="554"/>
        </w:trPr>
        <w:tc>
          <w:tcPr>
            <w:tcW w:w="1454" w:type="dxa"/>
          </w:tcPr>
          <w:p w14:paraId="7B124BA0" w14:textId="5684EF2C" w:rsidR="00EC43E7" w:rsidRDefault="00EC43E7" w:rsidP="00EC43E7">
            <w:pPr>
              <w:rPr>
                <w:b/>
                <w:bCs/>
                <w:noProof/>
                <w:sz w:val="20"/>
              </w:rPr>
            </w:pPr>
            <w:r>
              <w:rPr>
                <w:b/>
                <w:noProof/>
                <w:sz w:val="20"/>
              </w:rPr>
              <w:t>Securitate socială și servicii sociale</w:t>
            </w:r>
          </w:p>
        </w:tc>
        <w:tc>
          <w:tcPr>
            <w:tcW w:w="6345" w:type="dxa"/>
          </w:tcPr>
          <w:p w14:paraId="07EC2A0C" w14:textId="7AF88351" w:rsidR="00EC43E7" w:rsidRPr="00982026" w:rsidRDefault="00EC43E7" w:rsidP="00EC43E7">
            <w:pPr>
              <w:tabs>
                <w:tab w:val="left" w:pos="1888"/>
              </w:tabs>
              <w:rPr>
                <w:noProof/>
                <w:sz w:val="20"/>
              </w:rPr>
            </w:pPr>
            <w:r>
              <w:rPr>
                <w:noProof/>
                <w:sz w:val="20"/>
              </w:rPr>
              <w:t>Asigurarea stabilității, eliminarea disparităților de gen și sprijinirea tranzițiilor din cursul vieții prin intermediul asigurărilor sociale favorabile incluziunii pentru fermieri, inclusiv pentru femei, pensionari și persoanele cu dizabilități și alte grupuri aflate în situații vulnerabile, precum și accesul la servicii sociale de înaltă calitate și la prețuri accesibile, inclusiv la îngrijire pe termen lung.</w:t>
            </w:r>
          </w:p>
        </w:tc>
        <w:tc>
          <w:tcPr>
            <w:tcW w:w="1453" w:type="dxa"/>
          </w:tcPr>
          <w:p w14:paraId="0A15B7A6" w14:textId="399B4FE4" w:rsidR="00EC43E7" w:rsidRDefault="00EC43E7" w:rsidP="00EC43E7">
            <w:pPr>
              <w:rPr>
                <w:noProof/>
                <w:sz w:val="20"/>
              </w:rPr>
            </w:pPr>
            <w:r>
              <w:rPr>
                <w:noProof/>
                <w:sz w:val="20"/>
              </w:rPr>
              <w:t>Începând cu T4 2025</w:t>
            </w:r>
          </w:p>
        </w:tc>
      </w:tr>
      <w:tr w:rsidR="00BF50C3" w14:paraId="52B7041A" w14:textId="77777777" w:rsidTr="00F36971">
        <w:trPr>
          <w:trHeight w:val="326"/>
        </w:trPr>
        <w:tc>
          <w:tcPr>
            <w:tcW w:w="7799" w:type="dxa"/>
            <w:gridSpan w:val="2"/>
            <w:shd w:val="clear" w:color="auto" w:fill="FFC000"/>
          </w:tcPr>
          <w:p w14:paraId="6262F2E8" w14:textId="6787E01C" w:rsidR="00BF50C3" w:rsidRDefault="00BF50C3" w:rsidP="00724B20">
            <w:pPr>
              <w:jc w:val="center"/>
              <w:rPr>
                <w:noProof/>
                <w:sz w:val="20"/>
              </w:rPr>
            </w:pPr>
            <w:r>
              <w:rPr>
                <w:b/>
                <w:noProof/>
                <w:sz w:val="20"/>
              </w:rPr>
              <w:t>Acțiuni voluntare pentru părțile interesate</w:t>
            </w:r>
          </w:p>
        </w:tc>
        <w:tc>
          <w:tcPr>
            <w:tcW w:w="1453" w:type="dxa"/>
            <w:shd w:val="clear" w:color="auto" w:fill="FFC000"/>
          </w:tcPr>
          <w:p w14:paraId="5CF1B725" w14:textId="1E56F5F8" w:rsidR="00BF50C3" w:rsidRDefault="00BF50C3" w:rsidP="730E4BBC">
            <w:pPr>
              <w:rPr>
                <w:noProof/>
                <w:sz w:val="20"/>
              </w:rPr>
            </w:pPr>
            <w:r>
              <w:rPr>
                <w:noProof/>
                <w:sz w:val="20"/>
              </w:rPr>
              <w:t>Voluntar</w:t>
            </w:r>
          </w:p>
        </w:tc>
      </w:tr>
      <w:tr w:rsidR="730E4BBC" w14:paraId="0FC45CBD" w14:textId="77777777" w:rsidTr="00EF3616">
        <w:trPr>
          <w:trHeight w:val="1193"/>
        </w:trPr>
        <w:tc>
          <w:tcPr>
            <w:tcW w:w="1454" w:type="dxa"/>
          </w:tcPr>
          <w:p w14:paraId="36B55FEB" w14:textId="75845231" w:rsidR="730E4BBC" w:rsidRDefault="000E010F" w:rsidP="730E4BBC">
            <w:pPr>
              <w:rPr>
                <w:b/>
                <w:bCs/>
                <w:noProof/>
                <w:sz w:val="20"/>
              </w:rPr>
            </w:pPr>
            <w:r>
              <w:rPr>
                <w:b/>
                <w:noProof/>
                <w:sz w:val="20"/>
              </w:rPr>
              <w:t>Transferul fermelor între generații bazat pe colaborare</w:t>
            </w:r>
          </w:p>
        </w:tc>
        <w:tc>
          <w:tcPr>
            <w:tcW w:w="6345" w:type="dxa"/>
          </w:tcPr>
          <w:p w14:paraId="62E38BC8" w14:textId="1A121FAF" w:rsidR="29E1CD32" w:rsidRPr="00B37BFE" w:rsidRDefault="00B37BFE" w:rsidP="730E4BBC">
            <w:pPr>
              <w:spacing w:line="259" w:lineRule="auto"/>
              <w:rPr>
                <w:noProof/>
                <w:sz w:val="20"/>
              </w:rPr>
            </w:pPr>
            <w:r>
              <w:rPr>
                <w:noProof/>
                <w:sz w:val="20"/>
              </w:rPr>
              <w:t>Organizații de fermieri care să reprezinte atât generațiile mai în vârstă, cât și generațiile mai tinere, alături de cooperative, serviciile de consiliere și rețelele rurale, pentru a colabora la cooperarea dintre generații și pentru a asigura formare în ceea ce privește transferul fermelor, planificarea transferului și aspectele juridice/financiare ale predării fermelor.</w:t>
            </w:r>
          </w:p>
        </w:tc>
        <w:tc>
          <w:tcPr>
            <w:tcW w:w="1453" w:type="dxa"/>
          </w:tcPr>
          <w:p w14:paraId="3C082CFA" w14:textId="1C3F1A73" w:rsidR="730E4BBC" w:rsidRPr="00B37BFE" w:rsidRDefault="001A66EA" w:rsidP="730E4BBC">
            <w:pPr>
              <w:rPr>
                <w:noProof/>
                <w:sz w:val="20"/>
              </w:rPr>
            </w:pPr>
            <w:r>
              <w:rPr>
                <w:noProof/>
                <w:sz w:val="20"/>
              </w:rPr>
              <w:t>Începând cu T4 2025</w:t>
            </w:r>
          </w:p>
        </w:tc>
      </w:tr>
    </w:tbl>
    <w:p w14:paraId="20259053" w14:textId="77777777" w:rsidR="00C328BB" w:rsidRPr="00A37F51" w:rsidRDefault="00C328BB" w:rsidP="00DB33CD">
      <w:pPr>
        <w:spacing w:before="100" w:beforeAutospacing="1" w:after="0"/>
        <w:rPr>
          <w:i/>
          <w:iCs/>
          <w:noProof/>
          <w:szCs w:val="24"/>
        </w:rPr>
      </w:pPr>
    </w:p>
    <w:p w14:paraId="7941A6A9" w14:textId="2B3A953D" w:rsidR="00FC4525" w:rsidRPr="0099483B" w:rsidRDefault="0099483B" w:rsidP="00552A1B">
      <w:pPr>
        <w:pStyle w:val="Heading1"/>
        <w:rPr>
          <w:noProof/>
        </w:rPr>
      </w:pPr>
      <w:bookmarkStart w:id="6" w:name="_Toc207980851"/>
      <w:r>
        <w:rPr>
          <w:noProof/>
        </w:rPr>
        <w:t>Concluzie</w:t>
      </w:r>
      <w:bookmarkEnd w:id="6"/>
    </w:p>
    <w:p w14:paraId="24E65BF5" w14:textId="6FD29898" w:rsidR="00360422" w:rsidRDefault="004767CF" w:rsidP="004767CF">
      <w:pPr>
        <w:rPr>
          <w:noProof/>
        </w:rPr>
      </w:pPr>
      <w:r>
        <w:rPr>
          <w:noProof/>
        </w:rPr>
        <w:t xml:space="preserve">Strategia pentru reînnoirea generațiilor în agricultură este construită în jurul unor inițiative emblematice, fiind sprijinită de un set cuprinzător de inițiative care ar putea fi puse în aplicare la niveluri interconectate: cele din cadrul PAC actuale și al celei viitoare, inițiativele din cadrul altor politici ale UE, acțiunile conduse de statele membre, care sunt competente în domenii esențiale precum accesul la terenuri, politica fiscală, educația și pensiile și, în cele din urmă, acțiunile părților interesate. Depășirea obstacolelor majore necesită un angajament puternic la nivel național și regional. </w:t>
      </w:r>
    </w:p>
    <w:p w14:paraId="51DEC5C0" w14:textId="59505BC1" w:rsidR="00924AF6" w:rsidRDefault="007F3624" w:rsidP="004767CF">
      <w:pPr>
        <w:rPr>
          <w:noProof/>
        </w:rPr>
      </w:pPr>
      <w:r>
        <w:rPr>
          <w:noProof/>
        </w:rPr>
        <w:t>Prezenta strategie stabilește o cale clară de sprijinire a reînnoirii generațiilor în agricultura europeană prin transformarea ambițiilor în materie de politici în acțiuni concrete. Aceasta oferă un cadru care corelează diferitele politici și niveluri de guvernanță pentru a aborda obstacolele cu care se confruntă tinerii și pentru a promova condiții echitabile pentru fermierii mai în vârstă care se retrag din activitate, inclusiv prin scheme adecvate de pensionare și de pensii. De asemenea, strategia introduce o nouă platformă, „Femeile în agricultură”, pentru a promova egalitatea de șanse și crearea de rețele. Se acordă o atenție deosebită fermierilor cu vârsta sub 40 de ani, care se confruntă cu cele mai mari dificultăți în ceea ce privește accesul la finanțare și la credite, recunoscând în același timp rolul esențial al noilor fermieri de toate vârstele în susținerea sistemelor alimentare ale UE, a vitalității rurale și a moștenirii ecologice.</w:t>
      </w:r>
    </w:p>
    <w:p w14:paraId="5A6CDFB3" w14:textId="35FE834D" w:rsidR="004767CF" w:rsidRPr="004767CF" w:rsidRDefault="00142D62" w:rsidP="004767CF">
      <w:pPr>
        <w:rPr>
          <w:noProof/>
        </w:rPr>
      </w:pPr>
      <w:r>
        <w:rPr>
          <w:b/>
          <w:noProof/>
        </w:rPr>
        <w:t>Comisia a propus ca toate statele membre să își instituie propria strategie de reînnoire a generațiilor pentru agricultură până în 2028, ca parte a planurilor lor de parteneriat naționale și regionale</w:t>
      </w:r>
      <w:r>
        <w:rPr>
          <w:noProof/>
        </w:rPr>
        <w:t>, în care să combine acțiunile din cadrul politicii agricole a UE, al politicilor rurale naționale, precum și al cadrelor fiscale și sociale. Comisia invită statele membre să adapteze măsurile la nevoile lor specifice, ținând cont de diversitatea sistemelor agricole, de dreptul succesoral și de cel fiscal, precum și de realitățile rurale din întreaga Europă.</w:t>
      </w:r>
    </w:p>
    <w:p w14:paraId="398052FD" w14:textId="23119026" w:rsidR="00106CD6" w:rsidRDefault="00805E98" w:rsidP="00D044BB">
      <w:pPr>
        <w:rPr>
          <w:noProof/>
        </w:rPr>
      </w:pPr>
      <w:r>
        <w:rPr>
          <w:noProof/>
        </w:rPr>
        <w:t xml:space="preserve">Realizarea obiectivelor strategiei necesită </w:t>
      </w:r>
      <w:r>
        <w:rPr>
          <w:b/>
          <w:noProof/>
        </w:rPr>
        <w:t>o cooperare strânsă între autoritățile naționale și regionale și fermierii din toate generațiile, susținută de conducerea politică, finanțare specifică și angajament pe termen lung din partea tuturor actorilor.</w:t>
      </w:r>
      <w:r>
        <w:rPr>
          <w:noProof/>
        </w:rPr>
        <w:t xml:space="preserve"> Acești factori sunt esențiali pentru a concepe intervenții eficace și specifice contextului și pentru a debloca potențialul generației următoare.</w:t>
      </w:r>
    </w:p>
    <w:p w14:paraId="71BC3F23" w14:textId="409199AB" w:rsidR="00D044BB" w:rsidRDefault="004767CF" w:rsidP="00D044BB">
      <w:pPr>
        <w:rPr>
          <w:noProof/>
        </w:rPr>
      </w:pPr>
      <w:r>
        <w:rPr>
          <w:noProof/>
        </w:rPr>
        <w:t>În completarea acestor eforturi, comunicarea, promovarea și sprijinul pentru diversificarea fermelor sporesc vizibilitatea agriculturii ca o carieră atractivă, semnificativă și viabilă, subliniind în același timp importanța societală mai largă a reînnoirii generațiilor pentru viitorul sistemelor alimentare și al comunităților rurale din Europa.</w:t>
      </w:r>
    </w:p>
    <w:p w14:paraId="4955D8D0" w14:textId="77777777" w:rsidR="00823038" w:rsidRPr="009642E6" w:rsidRDefault="00823038" w:rsidP="00823038">
      <w:pPr>
        <w:spacing w:before="100" w:beforeAutospacing="1" w:after="100" w:afterAutospacing="1"/>
        <w:rPr>
          <w:noProof/>
        </w:rPr>
      </w:pPr>
      <w:r>
        <w:rPr>
          <w:b/>
          <w:noProof/>
        </w:rPr>
        <w:t>Împreună, aceste măsuri constituie fundamentul pentru o reînnoire durabilă a generațiilor în agricultura europeană</w:t>
      </w:r>
      <w:r>
        <w:rPr>
          <w:noProof/>
        </w:rPr>
        <w:t>.</w:t>
      </w:r>
    </w:p>
    <w:p w14:paraId="7FA07441" w14:textId="51E2A4BE" w:rsidR="007933AD" w:rsidRPr="00C668CD" w:rsidRDefault="00804F56" w:rsidP="00804F56">
      <w:pPr>
        <w:rPr>
          <w:noProof/>
        </w:rPr>
      </w:pPr>
      <w:r>
        <w:rPr>
          <w:noProof/>
        </w:rPr>
        <w:t xml:space="preserve">Reflectând această ambiție și bazându-se pe propunerea privind PAC pentru perioada 2028-2034, strategia stabilește un </w:t>
      </w:r>
      <w:r>
        <w:rPr>
          <w:b/>
          <w:noProof/>
        </w:rPr>
        <w:t>obiectiv ambițios</w:t>
      </w:r>
      <w:r>
        <w:rPr>
          <w:noProof/>
        </w:rPr>
        <w:t xml:space="preserve"> </w:t>
      </w:r>
      <w:r>
        <w:rPr>
          <w:b/>
          <w:noProof/>
        </w:rPr>
        <w:t>de creștere până în 2040</w:t>
      </w:r>
      <w:r>
        <w:rPr>
          <w:noProof/>
        </w:rPr>
        <w:t xml:space="preserve"> </w:t>
      </w:r>
      <w:r>
        <w:rPr>
          <w:b/>
          <w:noProof/>
        </w:rPr>
        <w:t>a ponderii actuale de 12 % a tinerilor fermieri din UE, vizând un procent de</w:t>
      </w:r>
      <w:r>
        <w:rPr>
          <w:noProof/>
        </w:rPr>
        <w:t xml:space="preserve"> </w:t>
      </w:r>
      <w:r>
        <w:rPr>
          <w:b/>
          <w:noProof/>
        </w:rPr>
        <w:t>24 % atunci când sunt incluși și noii fermieri</w:t>
      </w:r>
      <w:r>
        <w:rPr>
          <w:noProof/>
        </w:rPr>
        <w:t xml:space="preserve">. Acest lucru este în concordanță cu recomandarea Comisiei </w:t>
      </w:r>
      <w:r>
        <w:rPr>
          <w:b/>
          <w:noProof/>
        </w:rPr>
        <w:t>de a aloca cel puțin 6 % din cheltuielile agricole pentru reînnoirea generațiilor</w:t>
      </w:r>
      <w:r>
        <w:rPr>
          <w:noProof/>
        </w:rPr>
        <w:t>, un obiectiv deosebit de important pentru statele membre cu întârzieri în acest domeniu.</w:t>
      </w:r>
    </w:p>
    <w:p w14:paraId="13346E38" w14:textId="7BDBB35F" w:rsidR="00D044BB" w:rsidRDefault="005067D4" w:rsidP="004767CF">
      <w:pPr>
        <w:rPr>
          <w:noProof/>
        </w:rPr>
      </w:pPr>
      <w:r>
        <w:rPr>
          <w:noProof/>
        </w:rPr>
        <w:t xml:space="preserve">Comisia își va continua colaborarea cu tinerii fermieri și intenționează să facă un bilanț al progreselor înregistrate în cadrul dialogurilor privind politicile pentru tineret, în special cel din primăvara anului 2029, ultimul an din mandatul actual al colegiului. </w:t>
      </w:r>
    </w:p>
    <w:p w14:paraId="58E4D46F" w14:textId="63FC5D26" w:rsidR="00772691" w:rsidRPr="00797595" w:rsidRDefault="00772691" w:rsidP="009834DD">
      <w:pPr>
        <w:rPr>
          <w:noProof/>
        </w:rPr>
      </w:pPr>
    </w:p>
    <w:sectPr w:rsidR="00772691" w:rsidRPr="00797595" w:rsidSect="007C0C5B">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416"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6601A" w14:textId="77777777" w:rsidR="001C770A" w:rsidRDefault="001C770A">
      <w:pPr>
        <w:spacing w:after="0"/>
      </w:pPr>
      <w:r>
        <w:separator/>
      </w:r>
    </w:p>
  </w:endnote>
  <w:endnote w:type="continuationSeparator" w:id="0">
    <w:p w14:paraId="7090C988" w14:textId="77777777" w:rsidR="001C770A" w:rsidRDefault="001C770A">
      <w:pPr>
        <w:spacing w:after="0"/>
      </w:pPr>
      <w:r>
        <w:continuationSeparator/>
      </w:r>
    </w:p>
  </w:endnote>
  <w:endnote w:type="continuationNotice" w:id="1">
    <w:p w14:paraId="230036FF" w14:textId="77777777" w:rsidR="001C770A" w:rsidRDefault="001C77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770D1" w14:textId="6721AE17" w:rsidR="00D12B58" w:rsidRPr="00D12B58" w:rsidRDefault="00D12B58" w:rsidP="00D12B58">
    <w:pPr>
      <w:pStyle w:val="FooterCoverPage"/>
      <w:rPr>
        <w:rFonts w:ascii="Arial" w:hAnsi="Arial" w:cs="Arial"/>
        <w:b/>
        <w:sz w:val="48"/>
      </w:rPr>
    </w:pPr>
    <w:r w:rsidRPr="00D12B58">
      <w:rPr>
        <w:rFonts w:ascii="Arial" w:hAnsi="Arial" w:cs="Arial"/>
        <w:b/>
        <w:sz w:val="48"/>
      </w:rPr>
      <w:t>RO</w:t>
    </w:r>
    <w:r w:rsidRPr="00D12B58">
      <w:rPr>
        <w:rFonts w:ascii="Arial" w:hAnsi="Arial" w:cs="Arial"/>
        <w:b/>
        <w:sz w:val="48"/>
      </w:rPr>
      <w:tab/>
    </w:r>
    <w:r w:rsidRPr="00D12B58">
      <w:rPr>
        <w:rFonts w:ascii="Arial" w:hAnsi="Arial" w:cs="Arial"/>
        <w:b/>
        <w:sz w:val="48"/>
      </w:rPr>
      <w:tab/>
    </w:r>
    <w:r w:rsidRPr="00D12B58">
      <w:tab/>
    </w:r>
    <w:r w:rsidRPr="00D12B5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4BBAF" w14:textId="758FB9E7" w:rsidR="00D12B58" w:rsidRPr="00D12B58" w:rsidRDefault="00D12B58" w:rsidP="00D12B58">
    <w:pPr>
      <w:pStyle w:val="FooterCoverPage"/>
      <w:rPr>
        <w:rFonts w:ascii="Arial" w:hAnsi="Arial" w:cs="Arial"/>
        <w:b/>
        <w:sz w:val="48"/>
      </w:rPr>
    </w:pPr>
    <w:r w:rsidRPr="00D12B58">
      <w:rPr>
        <w:rFonts w:ascii="Arial" w:hAnsi="Arial" w:cs="Arial"/>
        <w:b/>
        <w:sz w:val="48"/>
      </w:rPr>
      <w:t>RO</w:t>
    </w:r>
    <w:r w:rsidRPr="00D12B58">
      <w:rPr>
        <w:rFonts w:ascii="Arial" w:hAnsi="Arial" w:cs="Arial"/>
        <w:b/>
        <w:sz w:val="48"/>
      </w:rPr>
      <w:tab/>
    </w:r>
    <w:r w:rsidRPr="00D12B58">
      <w:rPr>
        <w:rFonts w:ascii="Arial" w:hAnsi="Arial" w:cs="Arial"/>
        <w:b/>
        <w:sz w:val="48"/>
      </w:rPr>
      <w:tab/>
    </w:r>
    <w:r w:rsidRPr="00D12B58">
      <w:tab/>
    </w:r>
    <w:r w:rsidRPr="00D12B5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42893" w14:textId="77777777" w:rsidR="00D12B58" w:rsidRPr="00D12B58" w:rsidRDefault="00D12B58" w:rsidP="00D12B5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5CBDC" w14:textId="77777777" w:rsidR="007C0C5B" w:rsidRDefault="007C0C5B">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265195"/>
      <w:docPartObj>
        <w:docPartGallery w:val="Page Numbers (Bottom of Page)"/>
        <w:docPartUnique/>
      </w:docPartObj>
    </w:sdtPr>
    <w:sdtEndPr>
      <w:rPr>
        <w:noProof/>
      </w:rPr>
    </w:sdtEndPr>
    <w:sdtContent>
      <w:p w14:paraId="0BE0963F" w14:textId="43DD6805" w:rsidR="007C0C5B" w:rsidRDefault="007C0C5B">
        <w:pPr>
          <w:pStyle w:val="Footer"/>
          <w:jc w:val="right"/>
        </w:pPr>
        <w:r>
          <w:fldChar w:fldCharType="begin"/>
        </w:r>
        <w:r>
          <w:instrText xml:space="preserve"> PAGE   \* MERGEFORMAT </w:instrText>
        </w:r>
        <w:r>
          <w:fldChar w:fldCharType="separate"/>
        </w:r>
        <w:r w:rsidR="00D12B58">
          <w:rPr>
            <w:noProof/>
          </w:rPr>
          <w:t>7</w:t>
        </w:r>
        <w:r>
          <w:fldChar w:fldCharType="end"/>
        </w:r>
      </w:p>
    </w:sdtContent>
  </w:sdt>
  <w:p w14:paraId="41F09DDE" w14:textId="77777777" w:rsidR="007C0C5B" w:rsidRDefault="007C0C5B">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5093C" w14:textId="77777777" w:rsidR="007C0C5B" w:rsidRDefault="007C0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277B4" w14:textId="77777777" w:rsidR="001C770A" w:rsidRDefault="001C770A">
      <w:pPr>
        <w:spacing w:after="0"/>
      </w:pPr>
      <w:r>
        <w:separator/>
      </w:r>
    </w:p>
  </w:footnote>
  <w:footnote w:type="continuationSeparator" w:id="0">
    <w:p w14:paraId="72415B8E" w14:textId="77777777" w:rsidR="001C770A" w:rsidRDefault="001C770A">
      <w:pPr>
        <w:spacing w:after="0"/>
      </w:pPr>
      <w:r>
        <w:continuationSeparator/>
      </w:r>
    </w:p>
  </w:footnote>
  <w:footnote w:type="continuationNotice" w:id="1">
    <w:p w14:paraId="657AAE38" w14:textId="77777777" w:rsidR="001C770A" w:rsidRDefault="001C770A">
      <w:pPr>
        <w:spacing w:after="0"/>
      </w:pPr>
    </w:p>
  </w:footnote>
  <w:footnote w:id="2">
    <w:p w14:paraId="55847A25" w14:textId="111D0F92" w:rsidR="00B66767" w:rsidRPr="004E5BDC" w:rsidRDefault="00B66767" w:rsidP="00B66767">
      <w:pPr>
        <w:pStyle w:val="FootnoteText"/>
        <w:spacing w:after="0"/>
      </w:pPr>
      <w:r>
        <w:t>(</w:t>
      </w:r>
      <w:r>
        <w:rPr>
          <w:rStyle w:val="FootnoteReference"/>
        </w:rPr>
        <w:footnoteRef/>
      </w:r>
      <w:r>
        <w:t>)</w:t>
      </w:r>
      <w:r>
        <w:tab/>
        <w:t xml:space="preserve">Eurostat, </w:t>
      </w:r>
      <w:hyperlink r:id="rId1" w:history="1">
        <w:r>
          <w:rPr>
            <w:rStyle w:val="Hyperlink"/>
          </w:rPr>
          <w:t>Farmers and the Agricultural Labour Force</w:t>
        </w:r>
      </w:hyperlink>
      <w:r>
        <w:t xml:space="preserve"> (Fermierii și forța de muncă agricolă),</w:t>
      </w:r>
      <w:r>
        <w:rPr>
          <w:i/>
        </w:rPr>
        <w:t xml:space="preserve"> </w:t>
      </w:r>
      <w:r>
        <w:t>2020.</w:t>
      </w:r>
    </w:p>
  </w:footnote>
  <w:footnote w:id="3">
    <w:p w14:paraId="2FB0E6D4" w14:textId="325D4A61" w:rsidR="007D03CB" w:rsidRPr="004E5BDC" w:rsidRDefault="007D03CB" w:rsidP="00A46051">
      <w:pPr>
        <w:pStyle w:val="FootnoteText"/>
        <w:spacing w:after="0"/>
      </w:pPr>
      <w:r>
        <w:t>(</w:t>
      </w:r>
      <w:r>
        <w:rPr>
          <w:rStyle w:val="FootnoteReference"/>
        </w:rPr>
        <w:footnoteRef/>
      </w:r>
      <w:r>
        <w:t>)</w:t>
      </w:r>
      <w:r>
        <w:tab/>
      </w:r>
      <w:hyperlink r:id="rId2">
        <w:r>
          <w:rPr>
            <w:rStyle w:val="Hyperlink"/>
          </w:rPr>
          <w:t>Viziunea pentru agricultură și sectorul alimentar. Conturarea viitorului agriculturii și al sectorului agroalimentar pentru generațiile viitoare din Europa</w:t>
        </w:r>
      </w:hyperlink>
      <w:r>
        <w:t>.</w:t>
      </w:r>
    </w:p>
  </w:footnote>
  <w:footnote w:id="4">
    <w:p w14:paraId="16A8A647" w14:textId="4E7D6088" w:rsidR="008E5A0D" w:rsidRPr="008E5A0D" w:rsidRDefault="008E5A0D" w:rsidP="002F014E">
      <w:pPr>
        <w:pStyle w:val="FootnoteText"/>
        <w:spacing w:after="0"/>
      </w:pPr>
      <w:r>
        <w:t>(</w:t>
      </w:r>
      <w:r>
        <w:rPr>
          <w:rStyle w:val="FootnoteReference"/>
        </w:rPr>
        <w:footnoteRef/>
      </w:r>
      <w:r>
        <w:t>)</w:t>
      </w:r>
      <w:r>
        <w:tab/>
        <w:t>Articolul 4 alineatul (6) din Regulamentul (UE) 2021/2115 de stabilire a normelor privind sprijinul pentru planurile strategice PAC.</w:t>
      </w:r>
    </w:p>
  </w:footnote>
  <w:footnote w:id="5">
    <w:p w14:paraId="2E3630C0" w14:textId="34CDD679" w:rsidR="001459D1" w:rsidRPr="00A46051" w:rsidRDefault="001459D1" w:rsidP="002F014E">
      <w:pPr>
        <w:pStyle w:val="FootnoteText"/>
        <w:spacing w:after="0"/>
      </w:pPr>
      <w:r>
        <w:t>(</w:t>
      </w:r>
      <w:r>
        <w:rPr>
          <w:rStyle w:val="FootnoteReference"/>
        </w:rPr>
        <w:footnoteRef/>
      </w:r>
      <w:r>
        <w:t>)</w:t>
      </w:r>
      <w:r>
        <w:tab/>
        <w:t>COM(2025) 560 final.</w:t>
      </w:r>
    </w:p>
  </w:footnote>
  <w:footnote w:id="6">
    <w:p w14:paraId="631B2DFE" w14:textId="57A9BC7E" w:rsidR="001459D1" w:rsidRPr="00F34ED0" w:rsidRDefault="001459D1" w:rsidP="00A46051">
      <w:pPr>
        <w:pStyle w:val="FootnoteText"/>
        <w:spacing w:after="0"/>
      </w:pPr>
      <w:r>
        <w:t>(</w:t>
      </w:r>
      <w:r>
        <w:rPr>
          <w:rStyle w:val="FootnoteReference"/>
        </w:rPr>
        <w:footnoteRef/>
      </w:r>
      <w:r>
        <w:t>)</w:t>
      </w:r>
      <w:r>
        <w:tab/>
        <w:t>COM(2025) 565 final.</w:t>
      </w:r>
    </w:p>
  </w:footnote>
  <w:footnote w:id="7">
    <w:p w14:paraId="309F6F7D" w14:textId="77777777" w:rsidR="00645146" w:rsidRPr="00633436" w:rsidRDefault="00645146" w:rsidP="00A46051">
      <w:pPr>
        <w:pStyle w:val="FootnoteText"/>
        <w:spacing w:after="0"/>
      </w:pPr>
      <w:r>
        <w:t>(</w:t>
      </w:r>
      <w:r>
        <w:rPr>
          <w:rStyle w:val="FootnoteReference"/>
        </w:rPr>
        <w:footnoteRef/>
      </w:r>
      <w:r>
        <w:t>)</w:t>
      </w:r>
      <w:r>
        <w:tab/>
      </w:r>
      <w:hyperlink r:id="rId3" w:history="1">
        <w:r>
          <w:rPr>
            <w:rStyle w:val="Hyperlink"/>
          </w:rPr>
          <w:t>Scrisoare de misiune adresată comisarului Hansen</w:t>
        </w:r>
      </w:hyperlink>
      <w:r>
        <w:t xml:space="preserve">. </w:t>
      </w:r>
    </w:p>
  </w:footnote>
  <w:footnote w:id="8">
    <w:p w14:paraId="6F84EED7" w14:textId="3F002DCE" w:rsidR="00645146" w:rsidRPr="004B78F4" w:rsidRDefault="00645146" w:rsidP="004B78F4">
      <w:pPr>
        <w:pStyle w:val="FootnoteText"/>
        <w:spacing w:after="0"/>
      </w:pPr>
      <w:r>
        <w:t>(</w:t>
      </w:r>
      <w:r>
        <w:rPr>
          <w:rStyle w:val="FootnoteReference"/>
        </w:rPr>
        <w:footnoteRef/>
      </w:r>
      <w:r>
        <w:t>)</w:t>
      </w:r>
      <w:r>
        <w:tab/>
        <w:t xml:space="preserve">Documentul de lucru al serviciilor Comisiei denumit </w:t>
      </w:r>
      <w:r>
        <w:rPr>
          <w:i/>
        </w:rPr>
        <w:t>Consultarea părților interesate – Raport de sinteză</w:t>
      </w:r>
      <w:r>
        <w:t>, care însoțește prezenta strategie.</w:t>
      </w:r>
    </w:p>
  </w:footnote>
  <w:footnote w:id="9">
    <w:p w14:paraId="59CBA58A" w14:textId="435EA91A" w:rsidR="00645146" w:rsidRDefault="00645146" w:rsidP="00A46051">
      <w:pPr>
        <w:pStyle w:val="FootnoteText"/>
        <w:spacing w:after="0"/>
      </w:pPr>
      <w:r>
        <w:t>(</w:t>
      </w:r>
      <w:r>
        <w:rPr>
          <w:rStyle w:val="FootnoteReference"/>
        </w:rPr>
        <w:footnoteRef/>
      </w:r>
      <w:r>
        <w:t>)</w:t>
      </w:r>
      <w:r>
        <w:tab/>
        <w:t>Tinerii fermieri în agricultura UE – Notă de informare analitică nr. 10, DG Agricultură și Dezvoltare Rurală.</w:t>
      </w:r>
    </w:p>
  </w:footnote>
  <w:footnote w:id="10">
    <w:p w14:paraId="749A8DA6" w14:textId="77777777" w:rsidR="00645146" w:rsidRDefault="00645146" w:rsidP="00645146">
      <w:pPr>
        <w:pStyle w:val="FootnoteText"/>
        <w:spacing w:after="0"/>
      </w:pPr>
      <w:r>
        <w:t>(</w:t>
      </w:r>
      <w:r>
        <w:rPr>
          <w:rStyle w:val="FootnoteReference"/>
        </w:rPr>
        <w:footnoteRef/>
      </w:r>
      <w:r>
        <w:t>)</w:t>
      </w:r>
      <w:r>
        <w:tab/>
        <w:t>Rezoluția Parlamentului European din 19 octombrie 2023 referitoare la reînnoirea generațională în fermele UE ale viitorului [</w:t>
      </w:r>
      <w:hyperlink r:id="rId4">
        <w:r>
          <w:rPr>
            <w:rStyle w:val="Hyperlink"/>
          </w:rPr>
          <w:t>2022/2182(INI</w:t>
        </w:r>
      </w:hyperlink>
      <w:r>
        <w:t>)].</w:t>
      </w:r>
    </w:p>
  </w:footnote>
  <w:footnote w:id="11">
    <w:p w14:paraId="6839166F" w14:textId="77777777" w:rsidR="00645146" w:rsidRDefault="00645146" w:rsidP="00645146">
      <w:pPr>
        <w:pStyle w:val="FootnoteText"/>
        <w:spacing w:after="0"/>
      </w:pPr>
      <w:r>
        <w:t>(</w:t>
      </w:r>
      <w:r>
        <w:rPr>
          <w:rStyle w:val="FootnoteReference"/>
        </w:rPr>
        <w:footnoteRef/>
      </w:r>
      <w:r>
        <w:t>)</w:t>
      </w:r>
      <w:r>
        <w:tab/>
        <w:t xml:space="preserve">Concluziile Consiliului privind o viziune pe termen lung pentru zonele rurale ale UE (LTVRA) </w:t>
      </w:r>
      <w:hyperlink r:id="rId5">
        <w:r>
          <w:rPr>
            <w:rStyle w:val="Hyperlink"/>
          </w:rPr>
          <w:t>15631/23</w:t>
        </w:r>
      </w:hyperlink>
      <w:r>
        <w:t>.</w:t>
      </w:r>
    </w:p>
  </w:footnote>
  <w:footnote w:id="12">
    <w:p w14:paraId="711E8759" w14:textId="77777777" w:rsidR="00645146" w:rsidRDefault="00645146" w:rsidP="00964CA3">
      <w:pPr>
        <w:pStyle w:val="FootnoteText"/>
        <w:spacing w:after="0"/>
      </w:pPr>
      <w:r>
        <w:t>(</w:t>
      </w:r>
      <w:r>
        <w:rPr>
          <w:rStyle w:val="FootnoteReference"/>
        </w:rPr>
        <w:footnoteRef/>
      </w:r>
      <w:r>
        <w:t>)</w:t>
      </w:r>
      <w:r>
        <w:tab/>
      </w:r>
      <w:hyperlink r:id="rId6">
        <w:r>
          <w:rPr>
            <w:rStyle w:val="Hyperlink"/>
          </w:rPr>
          <w:t>Dialogul strategic privind viitorul agriculturii UE.</w:t>
        </w:r>
      </w:hyperlink>
      <w:hyperlink r:id="rId7">
        <w:r>
          <w:rPr>
            <w:rStyle w:val="Hyperlink"/>
          </w:rPr>
          <w:t xml:space="preserve"> O perspectivă comună pentru agricultură și alimentație în Europa</w:t>
        </w:r>
      </w:hyperlink>
      <w:r>
        <w:t xml:space="preserve">, 2024. </w:t>
      </w:r>
    </w:p>
  </w:footnote>
  <w:footnote w:id="13">
    <w:p w14:paraId="23F21BD8" w14:textId="7DEB5953" w:rsidR="00134129" w:rsidRPr="00134129" w:rsidRDefault="00376E47" w:rsidP="00134129">
      <w:pPr>
        <w:pStyle w:val="FootnoteText"/>
        <w:spacing w:after="0"/>
      </w:pPr>
      <w:r>
        <w:t>(</w:t>
      </w:r>
      <w:r>
        <w:rPr>
          <w:rStyle w:val="FootnoteReference"/>
        </w:rPr>
        <w:footnoteRef/>
      </w:r>
      <w:r>
        <w:t>)</w:t>
      </w:r>
      <w:r>
        <w:tab/>
        <w:t>Propunere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și (UE) 2021/783 și de modificare a Regulamentelor (UE) 2021/696, (UE) 2023/588 și (UE) [EDIP], COM(2025) 555 final, componenta „Sănătate, biotehnologii, agricultură și bioeconomie”.</w:t>
      </w:r>
    </w:p>
    <w:p w14:paraId="5AF8072E" w14:textId="1A22F4A7" w:rsidR="00376E47" w:rsidRPr="003672D5" w:rsidRDefault="00376E47" w:rsidP="00964CA3">
      <w:pPr>
        <w:pStyle w:val="FootnoteText"/>
        <w:spacing w:after="0"/>
        <w:rPr>
          <w:lang w:val="es-ES"/>
        </w:rPr>
      </w:pPr>
    </w:p>
  </w:footnote>
  <w:footnote w:id="14">
    <w:p w14:paraId="06F47911" w14:textId="5E537D98" w:rsidR="00964CA3" w:rsidRPr="00964CA3" w:rsidRDefault="00376E47" w:rsidP="00964CA3">
      <w:pPr>
        <w:pStyle w:val="FootnoteText"/>
        <w:spacing w:after="0"/>
      </w:pPr>
      <w:r>
        <w:t>(</w:t>
      </w:r>
      <w:r>
        <w:rPr>
          <w:rStyle w:val="FootnoteReference"/>
        </w:rPr>
        <w:footnoteRef/>
      </w:r>
      <w:r>
        <w:t>)</w:t>
      </w:r>
      <w:r>
        <w:tab/>
        <w:t>Propunere de regulament al Parlamentului European și al Consiliului de instituire a programului-cadru pentru cercetare și inovare Orizont Europa pentru perioada 2028-2034, de stabilire a normelor sale de participare și de diseminare și de abrogare a Regulamentului (UE) 2021/695, COM(2025) 543 final, pilonul II, domeniul tematic „Sănătate, biotehnologii, agricultură și bioeconomie”.</w:t>
      </w:r>
    </w:p>
    <w:p w14:paraId="531FDF54" w14:textId="6BD53E77" w:rsidR="00376E47" w:rsidRPr="003672D5" w:rsidRDefault="00376E47">
      <w:pPr>
        <w:pStyle w:val="FootnoteText"/>
        <w:rPr>
          <w:lang w:val="es-ES"/>
        </w:rPr>
      </w:pPr>
    </w:p>
  </w:footnote>
  <w:footnote w:id="15">
    <w:p w14:paraId="63166F08" w14:textId="131087A6" w:rsidR="002B7184" w:rsidRPr="004E5BDC" w:rsidRDefault="2373DDDF" w:rsidP="00244300">
      <w:pPr>
        <w:pStyle w:val="FootnoteText"/>
        <w:spacing w:after="0"/>
      </w:pPr>
      <w:r>
        <w:t>(</w:t>
      </w:r>
      <w:r>
        <w:rPr>
          <w:rStyle w:val="FootnoteReference"/>
        </w:rPr>
        <w:footnoteRef/>
      </w:r>
      <w:r>
        <w:t>)</w:t>
      </w:r>
      <w:r>
        <w:tab/>
        <w:t xml:space="preserve">Eurostat, </w:t>
      </w:r>
      <w:hyperlink r:id="rId8" w:history="1">
        <w:r>
          <w:rPr>
            <w:rStyle w:val="Hyperlink"/>
          </w:rPr>
          <w:t>Demography of Europe</w:t>
        </w:r>
      </w:hyperlink>
      <w:r>
        <w:t xml:space="preserve"> (Demografia Europei), ediția 2025</w:t>
      </w:r>
      <w:r>
        <w:fldChar w:fldCharType="begin"/>
      </w:r>
      <w:r>
        <w:instrText>https://ec.europa.eu/eurostat/web/interactive-publications/demography-2023" \l "growing-population" \h</w:instrText>
      </w:r>
      <w:r>
        <w:fldChar w:fldCharType="separate"/>
      </w:r>
      <w:r>
        <w:rPr>
          <w:rStyle w:val="Hyperlink"/>
        </w:rPr>
        <w:t>Demography of Europe – 2023 edition - Interactive publications - Eurostat</w:t>
      </w:r>
      <w:r>
        <w:fldChar w:fldCharType="end"/>
      </w:r>
      <w:r>
        <w:t>.</w:t>
      </w:r>
    </w:p>
  </w:footnote>
  <w:footnote w:id="16">
    <w:p w14:paraId="220EF388" w14:textId="2FDCE3FE" w:rsidR="00941A49" w:rsidRPr="00DE52B7" w:rsidRDefault="00941A49" w:rsidP="00244300">
      <w:pPr>
        <w:pStyle w:val="FootnoteText"/>
        <w:spacing w:after="0"/>
      </w:pPr>
      <w:r>
        <w:t>(</w:t>
      </w:r>
      <w:r>
        <w:rPr>
          <w:rStyle w:val="FootnoteReference"/>
        </w:rPr>
        <w:footnoteRef/>
      </w:r>
      <w:r>
        <w:t>)</w:t>
      </w:r>
      <w:r>
        <w:tab/>
        <w:t xml:space="preserve">Eurostat, </w:t>
      </w:r>
      <w:hyperlink r:id="rId9" w:history="1">
        <w:r>
          <w:rPr>
            <w:rStyle w:val="Hyperlink"/>
          </w:rPr>
          <w:t>Agriculture statistics – family farming in the EU</w:t>
        </w:r>
      </w:hyperlink>
      <w:r>
        <w:t xml:space="preserve"> (Statistici privind agricultura – agricultura familială în UE), 2020.</w:t>
      </w:r>
    </w:p>
  </w:footnote>
  <w:footnote w:id="17">
    <w:p w14:paraId="6F49DB62" w14:textId="77777777" w:rsidR="005A6AC8" w:rsidRPr="004E5BDC" w:rsidRDefault="005A6AC8" w:rsidP="005A6AC8">
      <w:pPr>
        <w:pStyle w:val="FootnoteText"/>
        <w:spacing w:after="0"/>
      </w:pPr>
      <w:r>
        <w:t>(</w:t>
      </w:r>
      <w:r>
        <w:rPr>
          <w:rStyle w:val="FootnoteReference"/>
        </w:rPr>
        <w:footnoteRef/>
      </w:r>
      <w:r>
        <w:t>)</w:t>
      </w:r>
      <w:r>
        <w:tab/>
        <w:t xml:space="preserve">Eurostat, </w:t>
      </w:r>
      <w:hyperlink r:id="rId10" w:history="1">
        <w:r>
          <w:rPr>
            <w:rStyle w:val="Hyperlink"/>
          </w:rPr>
          <w:t>Farms and agricultural land in the European Union</w:t>
        </w:r>
      </w:hyperlink>
      <w:r>
        <w:t xml:space="preserve"> (Ferme și terenuri agricole în Uniunea Europeană), 2020.</w:t>
      </w:r>
    </w:p>
  </w:footnote>
  <w:footnote w:id="18">
    <w:p w14:paraId="3FAB7466" w14:textId="54C1C86C" w:rsidR="00595008" w:rsidRPr="00987C10" w:rsidRDefault="00595008" w:rsidP="00987C10">
      <w:pPr>
        <w:pStyle w:val="FootnoteText"/>
        <w:spacing w:after="0"/>
      </w:pPr>
      <w:r>
        <w:t>(</w:t>
      </w:r>
      <w:r>
        <w:rPr>
          <w:rStyle w:val="FootnoteReference"/>
        </w:rPr>
        <w:footnoteRef/>
      </w:r>
      <w:r>
        <w:t>)</w:t>
      </w:r>
      <w:r>
        <w:tab/>
        <w:t>UE-28 include Regatul Unit înainte de ieșirea sa din UE la 31 ianuarie 2020.</w:t>
      </w:r>
    </w:p>
  </w:footnote>
  <w:footnote w:id="19">
    <w:p w14:paraId="5B904CD0" w14:textId="2634D0D5" w:rsidR="002B018E" w:rsidRPr="002B018E" w:rsidRDefault="002B018E" w:rsidP="002B018E">
      <w:pPr>
        <w:pStyle w:val="FootnoteText"/>
        <w:spacing w:after="0"/>
      </w:pPr>
      <w:r>
        <w:t>(</w:t>
      </w:r>
      <w:r>
        <w:rPr>
          <w:rStyle w:val="FootnoteReference"/>
        </w:rPr>
        <w:footnoteRef/>
      </w:r>
      <w:r>
        <w:t>)</w:t>
      </w:r>
      <w:r>
        <w:tab/>
      </w:r>
      <w:hyperlink r:id="rId11" w:anchor=":~:text=The%20proportion%20of%20young%20people%20in%20rural%20areas,25-29%20from%206%20949.2%20to%205%20881.3%20million.">
        <w:r>
          <w:rPr>
            <w:rStyle w:val="Hyperlink"/>
          </w:rPr>
          <w:t>Tinerii din agricultură și din zonele rurale – Comisia Europeană</w:t>
        </w:r>
      </w:hyperlink>
      <w:r>
        <w:t>.</w:t>
      </w:r>
    </w:p>
  </w:footnote>
  <w:footnote w:id="20">
    <w:p w14:paraId="1B42440D" w14:textId="6EAF4A8A" w:rsidR="002448CB" w:rsidRPr="004E5BDC" w:rsidRDefault="002448CB" w:rsidP="002B018E">
      <w:pPr>
        <w:pStyle w:val="FootnoteText"/>
        <w:spacing w:after="0"/>
      </w:pPr>
      <w:r>
        <w:t>(</w:t>
      </w:r>
      <w:r>
        <w:rPr>
          <w:rStyle w:val="FootnoteReference"/>
        </w:rPr>
        <w:footnoteRef/>
      </w:r>
      <w:r>
        <w:t xml:space="preserve">) Regulamentul (UE) 2025/1914 al Parlamentului European și al Consiliului din 18 septembrie 2025 de modificare a Regulamentelor (UE) 2021/1058 și (UE) 2021/1056 în ceea ce privește măsuri specifice de abordare a provocărilor strategice în contextul evaluării intermediare, JO L 19.9.2025. </w:t>
      </w:r>
    </w:p>
  </w:footnote>
  <w:footnote w:id="21">
    <w:p w14:paraId="178101BF" w14:textId="77777777" w:rsidR="00E71F20" w:rsidRPr="00EC02C3" w:rsidRDefault="00E71F20" w:rsidP="00595008">
      <w:pPr>
        <w:pStyle w:val="FootnoteText"/>
        <w:spacing w:after="0"/>
      </w:pPr>
      <w:r>
        <w:t>(</w:t>
      </w:r>
      <w:r>
        <w:rPr>
          <w:rStyle w:val="FootnoteReference"/>
        </w:rPr>
        <w:footnoteRef/>
      </w:r>
      <w:r>
        <w:t>)</w:t>
      </w:r>
      <w:r>
        <w:tab/>
      </w:r>
      <w:hyperlink r:id="rId12" w:history="1">
        <w:r>
          <w:rPr>
            <w:rStyle w:val="Hyperlink"/>
          </w:rPr>
          <w:t>JRC Publications Repository - Farmers of the future</w:t>
        </w:r>
      </w:hyperlink>
      <w:r>
        <w:t xml:space="preserve"> (Registrul de publicații al JRC – Fermierii viitorului).</w:t>
      </w:r>
    </w:p>
  </w:footnote>
  <w:footnote w:id="22">
    <w:p w14:paraId="7832E4AD" w14:textId="77777777" w:rsidR="00AE604B" w:rsidRPr="00EA319D" w:rsidRDefault="00AE604B" w:rsidP="005476B8">
      <w:pPr>
        <w:pStyle w:val="FootnoteText"/>
        <w:spacing w:after="0"/>
      </w:pPr>
      <w:r>
        <w:t>(</w:t>
      </w:r>
      <w:r>
        <w:rPr>
          <w:rStyle w:val="FootnoteReference"/>
        </w:rPr>
        <w:footnoteRef/>
      </w:r>
      <w:r>
        <w:t>)</w:t>
      </w:r>
      <w:r>
        <w:tab/>
        <w:t xml:space="preserve">Propunere de regulament al Parlamentului European și al Consiliului de modificare a Regulamentelor (UE) 2021/1058 și (UE) 2021/1056 în ceea ce privește măsuri specifice de abordare a provocărilor strategice în contextul evaluării intermediare. </w:t>
      </w:r>
    </w:p>
  </w:footnote>
  <w:footnote w:id="23">
    <w:p w14:paraId="05938D10" w14:textId="77777777" w:rsidR="002816A7" w:rsidRPr="00A64641" w:rsidRDefault="002816A7" w:rsidP="005476B8">
      <w:pPr>
        <w:pStyle w:val="FootnoteText"/>
        <w:spacing w:after="0"/>
      </w:pPr>
      <w:r>
        <w:t>(</w:t>
      </w:r>
      <w:r>
        <w:rPr>
          <w:rStyle w:val="FootnoteReference"/>
        </w:rPr>
        <w:footnoteRef/>
      </w:r>
      <w:r>
        <w:t>)</w:t>
      </w:r>
      <w:r>
        <w:tab/>
        <w:t>Comisia Europeană – Direcția Generală Agricultură și Dezvoltare Rurală – Unitatea A.3 (2025): „Assessment of generational renewal strategies across EU Member States – Report” (Evaluarea strategiilor de reînnoire a generațiilor în statele membre ale UE – Raport).</w:t>
      </w:r>
    </w:p>
  </w:footnote>
  <w:footnote w:id="24">
    <w:p w14:paraId="277DBDC6" w14:textId="77777777" w:rsidR="007E6908" w:rsidRPr="00772691" w:rsidRDefault="007E6908" w:rsidP="00E218E1">
      <w:pPr>
        <w:pStyle w:val="FootnoteText"/>
        <w:spacing w:after="0"/>
      </w:pPr>
      <w:r>
        <w:t>(</w:t>
      </w:r>
      <w:r>
        <w:rPr>
          <w:rStyle w:val="FootnoteReference"/>
        </w:rPr>
        <w:footnoteRef/>
      </w:r>
      <w:r>
        <w:t>)</w:t>
      </w:r>
      <w:r>
        <w:tab/>
        <w:t>6 % din sumele menționate în anexa XVIII la [Regulamentul PNR – COM(2025) 565 final].</w:t>
      </w:r>
    </w:p>
  </w:footnote>
  <w:footnote w:id="25">
    <w:p w14:paraId="5E10DC23" w14:textId="464B4819" w:rsidR="00BE5659" w:rsidRPr="00BE5659" w:rsidRDefault="00BE5659" w:rsidP="002E6DA9">
      <w:pPr>
        <w:pStyle w:val="FootnoteText"/>
        <w:spacing w:after="0"/>
      </w:pPr>
      <w:r>
        <w:t>(</w:t>
      </w:r>
      <w:r>
        <w:rPr>
          <w:rStyle w:val="FootnoteReference"/>
        </w:rPr>
        <w:footnoteRef/>
      </w:r>
      <w:r>
        <w:t>)</w:t>
      </w:r>
      <w:r>
        <w:tab/>
        <w:t>Mai multe dintre acțiunile și inițiativele prezentate se bazează pe propunerile stabilite pentru CFM post-2027. Întrucât aceste propuneri fac obiectul procedurii de codecizie, conținutul lor final va depinde de rezultatul procesului legislativ.</w:t>
      </w:r>
    </w:p>
  </w:footnote>
  <w:footnote w:id="26">
    <w:p w14:paraId="5170CDB7" w14:textId="6009395B" w:rsidR="000B0A0F" w:rsidRPr="000B0A0F" w:rsidRDefault="000B0A0F" w:rsidP="002E6DA9">
      <w:pPr>
        <w:pStyle w:val="FootnoteText"/>
        <w:spacing w:after="0"/>
      </w:pPr>
      <w:r>
        <w:t>(</w:t>
      </w:r>
      <w:r>
        <w:rPr>
          <w:rStyle w:val="FootnoteReference"/>
        </w:rPr>
        <w:footnoteRef/>
      </w:r>
      <w:r>
        <w:t>)</w:t>
      </w:r>
      <w:r>
        <w:tab/>
        <w:t>https://agriculture.ec.europa.eu/overview-vision-agriculture-food/young-people-agriculture-and-rural-areas_ro.</w:t>
      </w:r>
    </w:p>
  </w:footnote>
  <w:footnote w:id="27">
    <w:p w14:paraId="2B13B909" w14:textId="594F843D" w:rsidR="000B0A0F" w:rsidRPr="002E6DA9" w:rsidRDefault="000B0A0F" w:rsidP="002E6DA9">
      <w:pPr>
        <w:pStyle w:val="FootnoteText"/>
        <w:spacing w:after="0"/>
      </w:pPr>
      <w:r>
        <w:t>(</w:t>
      </w:r>
      <w:r>
        <w:rPr>
          <w:rStyle w:val="FootnoteReference"/>
        </w:rPr>
        <w:footnoteRef/>
      </w:r>
      <w:r>
        <w:t>)</w:t>
      </w:r>
      <w:r>
        <w:tab/>
        <w:t xml:space="preserve">Astfel cum se menționează la articolul 124 din Regulamentul (UE) 2021/2115. </w:t>
      </w:r>
    </w:p>
  </w:footnote>
  <w:footnote w:id="28">
    <w:p w14:paraId="674B5A1B" w14:textId="77777777" w:rsidR="00C375FB" w:rsidRPr="00923824" w:rsidRDefault="00C375FB" w:rsidP="002E6DA9">
      <w:pPr>
        <w:pStyle w:val="FootnoteText"/>
        <w:spacing w:after="0"/>
      </w:pPr>
      <w:r>
        <w:t>(</w:t>
      </w:r>
      <w:r>
        <w:rPr>
          <w:rStyle w:val="FootnoteReference"/>
        </w:rPr>
        <w:footnoteRef/>
      </w:r>
      <w:r>
        <w:t>)</w:t>
      </w:r>
      <w:r>
        <w:tab/>
        <w:t>Nu există o definiție oficială a „prețului echitabil”, însă acesta poate fi interpretat în mod rezonabil  ca fiind un preț care acoperă costul total al producției durabile, asigură un venit decent pentru producători și rămâne accesibil pentru consumatori.</w:t>
      </w:r>
    </w:p>
  </w:footnote>
  <w:footnote w:id="29">
    <w:p w14:paraId="70ADF647" w14:textId="77777777" w:rsidR="0032028B" w:rsidRPr="00724C6E" w:rsidRDefault="0032028B" w:rsidP="0032028B">
      <w:pPr>
        <w:pStyle w:val="FootnoteText"/>
        <w:spacing w:after="0"/>
      </w:pPr>
      <w:r>
        <w:t>(</w:t>
      </w:r>
      <w:r>
        <w:rPr>
          <w:rStyle w:val="FootnoteReference"/>
        </w:rPr>
        <w:footnoteRef/>
      </w:r>
      <w:r>
        <w:t>)</w:t>
      </w:r>
      <w:r>
        <w:tab/>
      </w:r>
      <w:hyperlink r:id="rId13" w:anchor=":~:text=The%20second%20edition%20of%20the,food%20systems%20and%20rural%20life." w:history="1">
        <w:r>
          <w:rPr>
            <w:rStyle w:val="Hyperlink"/>
          </w:rPr>
          <w:t>Youth Policy Dialogue in Agriculture</w:t>
        </w:r>
      </w:hyperlink>
      <w:r>
        <w:t xml:space="preserve"> (Dialogul privind politicile pentru tineret în agricultură). </w:t>
      </w:r>
    </w:p>
  </w:footnote>
  <w:footnote w:id="30">
    <w:p w14:paraId="26E58E20" w14:textId="22716111" w:rsidR="0032028B" w:rsidRPr="00C375FB" w:rsidRDefault="0032028B" w:rsidP="00244300">
      <w:pPr>
        <w:pStyle w:val="FootnoteText"/>
        <w:spacing w:after="0"/>
      </w:pPr>
      <w:r>
        <w:t>(</w:t>
      </w:r>
      <w:r>
        <w:rPr>
          <w:rStyle w:val="FootnoteReference"/>
        </w:rPr>
        <w:footnoteRef/>
      </w:r>
      <w:r>
        <w:t>)</w:t>
      </w:r>
      <w:r>
        <w:tab/>
        <w:t>Modificările propuse ale Regulamentului privind organizarea comună a piețelor (OCP) au vizat consolidarea poziției fermierilor în negocierile contractuale, încurajarea cooperării și îmbunătățirea transmiterii prețurilor. În paralel, noile norme privind aplicarea transfrontalieră în temeiul Directivei privind practicile comerciale neloiale vizează o mai bună protecție a fermierilor. Aceste eforturi sunt completate de Observatorul UE al lanțului agroalimentar (AFCO), care va furniza date privind formarea prețurilor pentru a sprijini decizii de politică mai echitabile.</w:t>
      </w:r>
    </w:p>
  </w:footnote>
  <w:footnote w:id="31">
    <w:p w14:paraId="6F14E320" w14:textId="1D636F3B" w:rsidR="00555D46" w:rsidRPr="00D21C4C" w:rsidRDefault="00555D46" w:rsidP="00244300">
      <w:pPr>
        <w:pStyle w:val="FootnoteText"/>
        <w:spacing w:after="0"/>
      </w:pPr>
      <w:r>
        <w:t>(</w:t>
      </w:r>
      <w:r>
        <w:rPr>
          <w:rStyle w:val="FootnoteReference"/>
        </w:rPr>
        <w:footnoteRef/>
      </w:r>
      <w:r>
        <w:t>)</w:t>
      </w:r>
      <w:r>
        <w:tab/>
        <w:t xml:space="preserve">Document de lucru al serviciilor Comisiei denumit </w:t>
      </w:r>
      <w:r>
        <w:rPr>
          <w:i/>
        </w:rPr>
        <w:t>Consultarea părților interesate – Raport de sinteză</w:t>
      </w:r>
      <w:r>
        <w:t>, care însoțește prezenta strategie.</w:t>
      </w:r>
    </w:p>
  </w:footnote>
  <w:footnote w:id="32">
    <w:p w14:paraId="207273A7" w14:textId="2822B5A5" w:rsidR="003020B9" w:rsidRPr="003020B9" w:rsidRDefault="003020B9" w:rsidP="00FE1FFA">
      <w:pPr>
        <w:pStyle w:val="FootnoteText"/>
        <w:spacing w:after="0"/>
      </w:pPr>
      <w:r>
        <w:t>(</w:t>
      </w:r>
      <w:r>
        <w:rPr>
          <w:rStyle w:val="FootnoteReference"/>
        </w:rPr>
        <w:footnoteRef/>
      </w:r>
      <w:r>
        <w:t>)</w:t>
      </w:r>
      <w:r>
        <w:tab/>
        <w:t>Date RICA.</w:t>
      </w:r>
    </w:p>
  </w:footnote>
  <w:footnote w:id="33">
    <w:p w14:paraId="1FACA8AF" w14:textId="5CB56299" w:rsidR="00187EAB" w:rsidRPr="00D21C4C" w:rsidRDefault="00187EAB" w:rsidP="00FE1FFA">
      <w:pPr>
        <w:pStyle w:val="FootnoteText"/>
        <w:spacing w:after="0"/>
      </w:pPr>
      <w:r>
        <w:t>(</w:t>
      </w:r>
      <w:r>
        <w:rPr>
          <w:rStyle w:val="FootnoteReference"/>
        </w:rPr>
        <w:footnoteRef/>
      </w:r>
      <w:r>
        <w:t>)</w:t>
      </w:r>
      <w:r>
        <w:tab/>
        <w:t xml:space="preserve">Platforma Fi-compass, </w:t>
      </w:r>
      <w:hyperlink r:id="rId14" w:history="1">
        <w:r>
          <w:rPr>
            <w:rStyle w:val="Hyperlink"/>
            <w:i/>
          </w:rPr>
          <w:t>Financing Gap in Agriculture &amp; Agri-Food</w:t>
        </w:r>
      </w:hyperlink>
      <w:r>
        <w:t xml:space="preserve"> (Deficitul de finanțare în sectorul agricol și agroalimentar), RTW, 2023.</w:t>
      </w:r>
    </w:p>
  </w:footnote>
  <w:footnote w:id="34">
    <w:p w14:paraId="3DCFF2BA" w14:textId="460AD6B4" w:rsidR="00187EAB" w:rsidRPr="00F3762A" w:rsidRDefault="00187EAB" w:rsidP="00187EAB">
      <w:pPr>
        <w:pStyle w:val="FootnoteText"/>
      </w:pPr>
      <w:r>
        <w:t>(</w:t>
      </w:r>
      <w:r>
        <w:rPr>
          <w:rStyle w:val="FootnoteReference"/>
        </w:rPr>
        <w:footnoteRef/>
      </w:r>
      <w:r>
        <w:t>)</w:t>
      </w:r>
      <w:r>
        <w:tab/>
        <w:t xml:space="preserve">Acestea sunt rezultate preliminare ale unui sondaj realizat de platforma fi-compass în 2025, care acoperă cele trei subsectoare, ale cărui rezultate vor fi publicate în viitorul apropiat pe site-ul platformei fi-compass. </w:t>
      </w:r>
    </w:p>
  </w:footnote>
  <w:footnote w:id="35">
    <w:p w14:paraId="3BE566E7" w14:textId="7DABA2F5" w:rsidR="005858B7" w:rsidRPr="005858B7" w:rsidRDefault="005858B7">
      <w:pPr>
        <w:pStyle w:val="FootnoteText"/>
      </w:pPr>
      <w:r>
        <w:t>(</w:t>
      </w:r>
      <w:r>
        <w:rPr>
          <w:rStyle w:val="FootnoteReference"/>
        </w:rPr>
        <w:footnoteRef/>
      </w:r>
      <w:r>
        <w:t>)</w:t>
      </w:r>
      <w:r>
        <w:tab/>
        <w:t>Comunicare a Comisiei către Parlamentul European, Consiliu, Comitetul Economic și Social European și Comitetul Regiunilor – Strategia UE privind start-upurile și întreprinderile în fază de extindere: Alegeți Europa pentru lansarea și dezvoltarea afacerii, COM(2025) 270 final.</w:t>
      </w:r>
    </w:p>
  </w:footnote>
  <w:footnote w:id="36">
    <w:p w14:paraId="3B6F707F" w14:textId="40090B0C" w:rsidR="00886430" w:rsidRPr="00886430" w:rsidRDefault="00886430" w:rsidP="00FE4E18">
      <w:pPr>
        <w:pStyle w:val="FootnoteText"/>
        <w:spacing w:after="0"/>
      </w:pPr>
      <w:r>
        <w:t>(</w:t>
      </w:r>
      <w:r>
        <w:rPr>
          <w:rStyle w:val="FootnoteReference"/>
        </w:rPr>
        <w:footnoteRef/>
      </w:r>
      <w:r>
        <w:t>)</w:t>
      </w:r>
      <w:r>
        <w:tab/>
        <w:t>Comunicare a Comisiei către Parlamentul European, Consiliu, Comitetul Economic și Social European și Comitetul Regiunilor privind Strategia de alfabetizare financiară pentru UE.</w:t>
      </w:r>
    </w:p>
  </w:footnote>
  <w:footnote w:id="37">
    <w:p w14:paraId="1A19AAEE" w14:textId="1604253D" w:rsidR="00775BD7" w:rsidRPr="00775BD7" w:rsidRDefault="004A6FE7" w:rsidP="00FE4E18">
      <w:pPr>
        <w:pStyle w:val="FootnoteText"/>
        <w:spacing w:after="0"/>
      </w:pPr>
      <w:r>
        <w:t>(</w:t>
      </w:r>
      <w:r>
        <w:rPr>
          <w:rStyle w:val="FootnoteReference"/>
        </w:rPr>
        <w:footnoteRef/>
      </w:r>
      <w:r>
        <w:t>)</w:t>
      </w:r>
      <w:r>
        <w:tab/>
      </w:r>
      <w:hyperlink r:id="rId15" w:history="1">
        <w:r>
          <w:rPr>
            <w:rStyle w:val="Hyperlink"/>
          </w:rPr>
          <w:t>Pact for Skills - Agri-Food ecosystem</w:t>
        </w:r>
      </w:hyperlink>
      <w:r>
        <w:t xml:space="preserve"> (Pactul pentru competențe – ecosistemul agroalimentar).</w:t>
      </w:r>
    </w:p>
    <w:p w14:paraId="23ACACF8" w14:textId="65BF1E5C" w:rsidR="004A6FE7" w:rsidRPr="00775BD7" w:rsidRDefault="004A6FE7" w:rsidP="00FE4E18">
      <w:pPr>
        <w:pStyle w:val="FootnoteText"/>
        <w:spacing w:after="0"/>
      </w:pPr>
    </w:p>
  </w:footnote>
  <w:footnote w:id="38">
    <w:p w14:paraId="1B1B72E9" w14:textId="4B8EE78F" w:rsidR="007933AD" w:rsidRPr="007C4C41" w:rsidRDefault="007933AD" w:rsidP="007C4C41">
      <w:pPr>
        <w:pStyle w:val="FootnoteText"/>
        <w:spacing w:after="0"/>
      </w:pPr>
      <w:r>
        <w:t>(</w:t>
      </w:r>
      <w:r>
        <w:rPr>
          <w:rStyle w:val="FootnoteReference"/>
        </w:rPr>
        <w:footnoteRef/>
      </w:r>
      <w:r>
        <w:t>)</w:t>
      </w:r>
      <w:r>
        <w:tab/>
        <w:t xml:space="preserve">Comitetul pentru securitatea alimentară mondială (2012), </w:t>
      </w:r>
      <w:hyperlink r:id="rId16" w:history="1">
        <w:r>
          <w:rPr>
            <w:rStyle w:val="Hyperlink"/>
            <w:i/>
          </w:rPr>
          <w:t>Orientări voluntare privind guvernanța responsabilă a proprietății funciare, a locurilor de pescuit și a pădurilor în contextul securității alimentare naționale</w:t>
        </w:r>
      </w:hyperlink>
      <w:r>
        <w:t>, FAO, Roma.</w:t>
      </w:r>
    </w:p>
  </w:footnote>
  <w:footnote w:id="39">
    <w:p w14:paraId="0AEF8598" w14:textId="3D89E445" w:rsidR="007C4C41" w:rsidRPr="007C4C41" w:rsidRDefault="007C4C41" w:rsidP="007C4C41">
      <w:pPr>
        <w:pStyle w:val="FootnoteText"/>
        <w:spacing w:after="0"/>
      </w:pPr>
      <w:r>
        <w:t>(</w:t>
      </w:r>
      <w:r>
        <w:rPr>
          <w:rStyle w:val="FootnoteReference"/>
        </w:rPr>
        <w:footnoteRef/>
      </w:r>
      <w:r>
        <w:t>)</w:t>
      </w:r>
      <w:r>
        <w:tab/>
        <w:t xml:space="preserve">Comisia Europeană (2011), </w:t>
      </w:r>
      <w:r>
        <w:rPr>
          <w:i/>
        </w:rPr>
        <w:t>Foaie de parcurs către o Europă eficientă din punct de vedere energetic</w:t>
      </w:r>
      <w:r>
        <w:t xml:space="preserve">, COM(2011) 571, Bruxelles, care stabilește obiectivul de a atinge până în 2050 zero ocupări nete de teren, reafirmat în documentul Comisiei Europene (2021), </w:t>
      </w:r>
      <w:r>
        <w:rPr>
          <w:i/>
        </w:rPr>
        <w:t>Strategia UE privind solul pentru 2030</w:t>
      </w:r>
      <w:r>
        <w:t>, COM(2021) 699, Bruxelles.</w:t>
      </w:r>
    </w:p>
  </w:footnote>
  <w:footnote w:id="40">
    <w:p w14:paraId="5A7A39AD" w14:textId="3982A947" w:rsidR="003529C0" w:rsidRPr="00F226CF" w:rsidRDefault="003529C0" w:rsidP="003529C0">
      <w:pPr>
        <w:pStyle w:val="FootnoteText"/>
      </w:pPr>
      <w:r>
        <w:t>(</w:t>
      </w:r>
      <w:r>
        <w:rPr>
          <w:rStyle w:val="FootnoteReference"/>
        </w:rPr>
        <w:footnoteRef/>
      </w:r>
      <w:r>
        <w:t>)</w:t>
      </w:r>
      <w:r>
        <w:tab/>
        <w:t xml:space="preserve">Observatorul rural al UE, </w:t>
      </w:r>
      <w:r>
        <w:rPr>
          <w:i/>
        </w:rPr>
        <w:t>rural-vision.europa.eu</w:t>
      </w:r>
      <w:r w:rsidR="002F149F">
        <w:rPr>
          <w:i/>
        </w:rPr>
        <w:t>.</w:t>
      </w:r>
    </w:p>
  </w:footnote>
  <w:footnote w:id="41">
    <w:p w14:paraId="5CFBFACD" w14:textId="77777777" w:rsidR="0009431E" w:rsidRPr="00106CD6" w:rsidRDefault="0009431E" w:rsidP="0009431E">
      <w:pPr>
        <w:pStyle w:val="FootnoteText"/>
        <w:spacing w:after="0"/>
      </w:pPr>
      <w:r>
        <w:t>(</w:t>
      </w:r>
      <w:r>
        <w:rPr>
          <w:rStyle w:val="FootnoteReference"/>
        </w:rPr>
        <w:footnoteRef/>
      </w:r>
      <w:r>
        <w:t>)</w:t>
      </w:r>
      <w:r>
        <w:tab/>
        <w:t xml:space="preserve">Agricultura socială (sau </w:t>
      </w:r>
      <w:r>
        <w:rPr>
          <w:i/>
        </w:rPr>
        <w:t>agricultura terapeutică</w:t>
      </w:r>
      <w:r>
        <w:t>) se referă la utilizarea activităților agricole pentru a furniza servicii de sănătate, sociale sau educaționale grupurilor aflate în situații vulnerabile, diversificând în același timp activitățile agricole și contribuind la dezvoltarea rurală.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BF21D" w14:textId="77777777" w:rsidR="00D12B58" w:rsidRPr="00D12B58" w:rsidRDefault="00D12B58" w:rsidP="00D12B5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4C133" w14:textId="77777777" w:rsidR="00D12B58" w:rsidRPr="00D12B58" w:rsidRDefault="00D12B58" w:rsidP="00D12B5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24AD5" w14:textId="77777777" w:rsidR="00D12B58" w:rsidRPr="00D12B58" w:rsidRDefault="00D12B58" w:rsidP="00D12B5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669C" w14:textId="77777777" w:rsidR="007C0C5B" w:rsidRDefault="007C0C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D22E5" w14:textId="77777777" w:rsidR="007C0C5B" w:rsidRDefault="007C0C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BEF9" w14:textId="6E93957C" w:rsidR="007C0C5B" w:rsidRDefault="007C0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1EAAAA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64323"/>
    <w:multiLevelType w:val="hybridMultilevel"/>
    <w:tmpl w:val="BC56AD88"/>
    <w:lvl w:ilvl="0" w:tplc="BCDCF2BA">
      <w:start w:val="1"/>
      <w:numFmt w:val="bullet"/>
      <w:lvlText w:val=""/>
      <w:lvlJc w:val="left"/>
      <w:pPr>
        <w:ind w:left="720" w:hanging="360"/>
      </w:pPr>
      <w:rPr>
        <w:rFonts w:ascii="Symbol" w:hAnsi="Symbol"/>
      </w:rPr>
    </w:lvl>
    <w:lvl w:ilvl="1" w:tplc="8590494E">
      <w:start w:val="1"/>
      <w:numFmt w:val="bullet"/>
      <w:lvlText w:val=""/>
      <w:lvlJc w:val="left"/>
      <w:pPr>
        <w:ind w:left="720" w:hanging="360"/>
      </w:pPr>
      <w:rPr>
        <w:rFonts w:ascii="Symbol" w:hAnsi="Symbol"/>
      </w:rPr>
    </w:lvl>
    <w:lvl w:ilvl="2" w:tplc="C9427F6A">
      <w:start w:val="1"/>
      <w:numFmt w:val="bullet"/>
      <w:lvlText w:val=""/>
      <w:lvlJc w:val="left"/>
      <w:pPr>
        <w:ind w:left="720" w:hanging="360"/>
      </w:pPr>
      <w:rPr>
        <w:rFonts w:ascii="Symbol" w:hAnsi="Symbol"/>
      </w:rPr>
    </w:lvl>
    <w:lvl w:ilvl="3" w:tplc="7C460556">
      <w:start w:val="1"/>
      <w:numFmt w:val="bullet"/>
      <w:lvlText w:val=""/>
      <w:lvlJc w:val="left"/>
      <w:pPr>
        <w:ind w:left="720" w:hanging="360"/>
      </w:pPr>
      <w:rPr>
        <w:rFonts w:ascii="Symbol" w:hAnsi="Symbol"/>
      </w:rPr>
    </w:lvl>
    <w:lvl w:ilvl="4" w:tplc="18B411D2">
      <w:start w:val="1"/>
      <w:numFmt w:val="bullet"/>
      <w:lvlText w:val=""/>
      <w:lvlJc w:val="left"/>
      <w:pPr>
        <w:ind w:left="720" w:hanging="360"/>
      </w:pPr>
      <w:rPr>
        <w:rFonts w:ascii="Symbol" w:hAnsi="Symbol"/>
      </w:rPr>
    </w:lvl>
    <w:lvl w:ilvl="5" w:tplc="26866ADA">
      <w:start w:val="1"/>
      <w:numFmt w:val="bullet"/>
      <w:lvlText w:val=""/>
      <w:lvlJc w:val="left"/>
      <w:pPr>
        <w:ind w:left="720" w:hanging="360"/>
      </w:pPr>
      <w:rPr>
        <w:rFonts w:ascii="Symbol" w:hAnsi="Symbol"/>
      </w:rPr>
    </w:lvl>
    <w:lvl w:ilvl="6" w:tplc="C3FAC214">
      <w:start w:val="1"/>
      <w:numFmt w:val="bullet"/>
      <w:lvlText w:val=""/>
      <w:lvlJc w:val="left"/>
      <w:pPr>
        <w:ind w:left="720" w:hanging="360"/>
      </w:pPr>
      <w:rPr>
        <w:rFonts w:ascii="Symbol" w:hAnsi="Symbol"/>
      </w:rPr>
    </w:lvl>
    <w:lvl w:ilvl="7" w:tplc="2DC2C800">
      <w:start w:val="1"/>
      <w:numFmt w:val="bullet"/>
      <w:lvlText w:val=""/>
      <w:lvlJc w:val="left"/>
      <w:pPr>
        <w:ind w:left="720" w:hanging="360"/>
      </w:pPr>
      <w:rPr>
        <w:rFonts w:ascii="Symbol" w:hAnsi="Symbol"/>
      </w:rPr>
    </w:lvl>
    <w:lvl w:ilvl="8" w:tplc="289C6ADA">
      <w:start w:val="1"/>
      <w:numFmt w:val="bullet"/>
      <w:lvlText w:val=""/>
      <w:lvlJc w:val="left"/>
      <w:pPr>
        <w:ind w:left="720" w:hanging="360"/>
      </w:pPr>
      <w:rPr>
        <w:rFonts w:ascii="Symbol" w:hAnsi="Symbol"/>
      </w:rPr>
    </w:lvl>
  </w:abstractNum>
  <w:abstractNum w:abstractNumId="2" w15:restartNumberingAfterBreak="0">
    <w:nsid w:val="0EFB7115"/>
    <w:multiLevelType w:val="multilevel"/>
    <w:tmpl w:val="9A7E49E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6189CC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756FF2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24DC80C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1EE4879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6336358"/>
    <w:multiLevelType w:val="multilevel"/>
    <w:tmpl w:val="C2CA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F0AC5"/>
    <w:multiLevelType w:val="multilevel"/>
    <w:tmpl w:val="EDF43B9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BE0A48"/>
    <w:multiLevelType w:val="hybridMultilevel"/>
    <w:tmpl w:val="4A7619CC"/>
    <w:lvl w:ilvl="0" w:tplc="F05A46E6">
      <w:start w:val="1"/>
      <w:numFmt w:val="bullet"/>
      <w:lvlText w:val=""/>
      <w:lvlJc w:val="left"/>
      <w:pPr>
        <w:ind w:left="720" w:hanging="360"/>
      </w:pPr>
      <w:rPr>
        <w:rFonts w:ascii="Symbol" w:hAnsi="Symbol"/>
      </w:rPr>
    </w:lvl>
    <w:lvl w:ilvl="1" w:tplc="626C366A">
      <w:start w:val="1"/>
      <w:numFmt w:val="bullet"/>
      <w:lvlText w:val=""/>
      <w:lvlJc w:val="left"/>
      <w:pPr>
        <w:ind w:left="720" w:hanging="360"/>
      </w:pPr>
      <w:rPr>
        <w:rFonts w:ascii="Symbol" w:hAnsi="Symbol"/>
      </w:rPr>
    </w:lvl>
    <w:lvl w:ilvl="2" w:tplc="CE4011BE">
      <w:start w:val="1"/>
      <w:numFmt w:val="bullet"/>
      <w:lvlText w:val=""/>
      <w:lvlJc w:val="left"/>
      <w:pPr>
        <w:ind w:left="720" w:hanging="360"/>
      </w:pPr>
      <w:rPr>
        <w:rFonts w:ascii="Symbol" w:hAnsi="Symbol"/>
      </w:rPr>
    </w:lvl>
    <w:lvl w:ilvl="3" w:tplc="2A323CAC">
      <w:start w:val="1"/>
      <w:numFmt w:val="bullet"/>
      <w:lvlText w:val=""/>
      <w:lvlJc w:val="left"/>
      <w:pPr>
        <w:ind w:left="720" w:hanging="360"/>
      </w:pPr>
      <w:rPr>
        <w:rFonts w:ascii="Symbol" w:hAnsi="Symbol"/>
      </w:rPr>
    </w:lvl>
    <w:lvl w:ilvl="4" w:tplc="FB0A7906">
      <w:start w:val="1"/>
      <w:numFmt w:val="bullet"/>
      <w:lvlText w:val=""/>
      <w:lvlJc w:val="left"/>
      <w:pPr>
        <w:ind w:left="720" w:hanging="360"/>
      </w:pPr>
      <w:rPr>
        <w:rFonts w:ascii="Symbol" w:hAnsi="Symbol"/>
      </w:rPr>
    </w:lvl>
    <w:lvl w:ilvl="5" w:tplc="61C649FE">
      <w:start w:val="1"/>
      <w:numFmt w:val="bullet"/>
      <w:lvlText w:val=""/>
      <w:lvlJc w:val="left"/>
      <w:pPr>
        <w:ind w:left="720" w:hanging="360"/>
      </w:pPr>
      <w:rPr>
        <w:rFonts w:ascii="Symbol" w:hAnsi="Symbol"/>
      </w:rPr>
    </w:lvl>
    <w:lvl w:ilvl="6" w:tplc="025AA68C">
      <w:start w:val="1"/>
      <w:numFmt w:val="bullet"/>
      <w:lvlText w:val=""/>
      <w:lvlJc w:val="left"/>
      <w:pPr>
        <w:ind w:left="720" w:hanging="360"/>
      </w:pPr>
      <w:rPr>
        <w:rFonts w:ascii="Symbol" w:hAnsi="Symbol"/>
      </w:rPr>
    </w:lvl>
    <w:lvl w:ilvl="7" w:tplc="DDACA94E">
      <w:start w:val="1"/>
      <w:numFmt w:val="bullet"/>
      <w:lvlText w:val=""/>
      <w:lvlJc w:val="left"/>
      <w:pPr>
        <w:ind w:left="720" w:hanging="360"/>
      </w:pPr>
      <w:rPr>
        <w:rFonts w:ascii="Symbol" w:hAnsi="Symbol"/>
      </w:rPr>
    </w:lvl>
    <w:lvl w:ilvl="8" w:tplc="7F14995C">
      <w:start w:val="1"/>
      <w:numFmt w:val="bullet"/>
      <w:lvlText w:val=""/>
      <w:lvlJc w:val="left"/>
      <w:pPr>
        <w:ind w:left="720" w:hanging="360"/>
      </w:pPr>
      <w:rPr>
        <w:rFonts w:ascii="Symbol" w:hAnsi="Symbol"/>
      </w:rPr>
    </w:lvl>
  </w:abstractNum>
  <w:abstractNum w:abstractNumId="10" w15:restartNumberingAfterBreak="0">
    <w:nsid w:val="1BAE1D34"/>
    <w:multiLevelType w:val="hybridMultilevel"/>
    <w:tmpl w:val="1396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72D62"/>
    <w:multiLevelType w:val="multilevel"/>
    <w:tmpl w:val="9222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B624F"/>
    <w:multiLevelType w:val="multilevel"/>
    <w:tmpl w:val="83DAEA5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E9C6D3C"/>
    <w:multiLevelType w:val="multilevel"/>
    <w:tmpl w:val="E04E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2390C"/>
    <w:multiLevelType w:val="hybridMultilevel"/>
    <w:tmpl w:val="C3368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DFDF8"/>
    <w:multiLevelType w:val="multilevel"/>
    <w:tmpl w:val="2A4887A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C3DA2BC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FE0EF0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1716FE6"/>
    <w:multiLevelType w:val="hybridMultilevel"/>
    <w:tmpl w:val="593229EA"/>
    <w:lvl w:ilvl="0" w:tplc="4A02C52A">
      <w:start w:val="1"/>
      <w:numFmt w:val="bullet"/>
      <w:lvlText w:val=""/>
      <w:lvlJc w:val="left"/>
      <w:pPr>
        <w:ind w:left="720" w:hanging="360"/>
      </w:pPr>
      <w:rPr>
        <w:rFonts w:ascii="Symbol" w:hAnsi="Symbol"/>
      </w:rPr>
    </w:lvl>
    <w:lvl w:ilvl="1" w:tplc="5A36391E">
      <w:start w:val="1"/>
      <w:numFmt w:val="bullet"/>
      <w:lvlText w:val=""/>
      <w:lvlJc w:val="left"/>
      <w:pPr>
        <w:ind w:left="720" w:hanging="360"/>
      </w:pPr>
      <w:rPr>
        <w:rFonts w:ascii="Symbol" w:hAnsi="Symbol"/>
      </w:rPr>
    </w:lvl>
    <w:lvl w:ilvl="2" w:tplc="B43CD5AC">
      <w:start w:val="1"/>
      <w:numFmt w:val="bullet"/>
      <w:lvlText w:val=""/>
      <w:lvlJc w:val="left"/>
      <w:pPr>
        <w:ind w:left="720" w:hanging="360"/>
      </w:pPr>
      <w:rPr>
        <w:rFonts w:ascii="Symbol" w:hAnsi="Symbol"/>
      </w:rPr>
    </w:lvl>
    <w:lvl w:ilvl="3" w:tplc="B8ECE796">
      <w:start w:val="1"/>
      <w:numFmt w:val="bullet"/>
      <w:lvlText w:val=""/>
      <w:lvlJc w:val="left"/>
      <w:pPr>
        <w:ind w:left="720" w:hanging="360"/>
      </w:pPr>
      <w:rPr>
        <w:rFonts w:ascii="Symbol" w:hAnsi="Symbol"/>
      </w:rPr>
    </w:lvl>
    <w:lvl w:ilvl="4" w:tplc="02A6F8F6">
      <w:start w:val="1"/>
      <w:numFmt w:val="bullet"/>
      <w:lvlText w:val=""/>
      <w:lvlJc w:val="left"/>
      <w:pPr>
        <w:ind w:left="720" w:hanging="360"/>
      </w:pPr>
      <w:rPr>
        <w:rFonts w:ascii="Symbol" w:hAnsi="Symbol"/>
      </w:rPr>
    </w:lvl>
    <w:lvl w:ilvl="5" w:tplc="AF8E83BE">
      <w:start w:val="1"/>
      <w:numFmt w:val="bullet"/>
      <w:lvlText w:val=""/>
      <w:lvlJc w:val="left"/>
      <w:pPr>
        <w:ind w:left="720" w:hanging="360"/>
      </w:pPr>
      <w:rPr>
        <w:rFonts w:ascii="Symbol" w:hAnsi="Symbol"/>
      </w:rPr>
    </w:lvl>
    <w:lvl w:ilvl="6" w:tplc="82E028D8">
      <w:start w:val="1"/>
      <w:numFmt w:val="bullet"/>
      <w:lvlText w:val=""/>
      <w:lvlJc w:val="left"/>
      <w:pPr>
        <w:ind w:left="720" w:hanging="360"/>
      </w:pPr>
      <w:rPr>
        <w:rFonts w:ascii="Symbol" w:hAnsi="Symbol"/>
      </w:rPr>
    </w:lvl>
    <w:lvl w:ilvl="7" w:tplc="6A40B4FE">
      <w:start w:val="1"/>
      <w:numFmt w:val="bullet"/>
      <w:lvlText w:val=""/>
      <w:lvlJc w:val="left"/>
      <w:pPr>
        <w:ind w:left="720" w:hanging="360"/>
      </w:pPr>
      <w:rPr>
        <w:rFonts w:ascii="Symbol" w:hAnsi="Symbol"/>
      </w:rPr>
    </w:lvl>
    <w:lvl w:ilvl="8" w:tplc="010EF620">
      <w:start w:val="1"/>
      <w:numFmt w:val="bullet"/>
      <w:lvlText w:val=""/>
      <w:lvlJc w:val="left"/>
      <w:pPr>
        <w:ind w:left="720" w:hanging="360"/>
      </w:pPr>
      <w:rPr>
        <w:rFonts w:ascii="Symbol" w:hAnsi="Symbol"/>
      </w:rPr>
    </w:lvl>
  </w:abstractNum>
  <w:abstractNum w:abstractNumId="19" w15:restartNumberingAfterBreak="0">
    <w:nsid w:val="318F6615"/>
    <w:multiLevelType w:val="hybridMultilevel"/>
    <w:tmpl w:val="0166243E"/>
    <w:lvl w:ilvl="0" w:tplc="CDDE3260">
      <w:start w:val="1"/>
      <w:numFmt w:val="bullet"/>
      <w:lvlText w:val=""/>
      <w:lvlJc w:val="left"/>
      <w:pPr>
        <w:ind w:left="1780" w:hanging="360"/>
      </w:pPr>
      <w:rPr>
        <w:rFonts w:ascii="Symbol" w:hAnsi="Symbol"/>
      </w:rPr>
    </w:lvl>
    <w:lvl w:ilvl="1" w:tplc="FCFE224E">
      <w:start w:val="1"/>
      <w:numFmt w:val="bullet"/>
      <w:lvlText w:val=""/>
      <w:lvlJc w:val="left"/>
      <w:pPr>
        <w:ind w:left="1780" w:hanging="360"/>
      </w:pPr>
      <w:rPr>
        <w:rFonts w:ascii="Symbol" w:hAnsi="Symbol"/>
      </w:rPr>
    </w:lvl>
    <w:lvl w:ilvl="2" w:tplc="760646F6">
      <w:start w:val="1"/>
      <w:numFmt w:val="bullet"/>
      <w:lvlText w:val=""/>
      <w:lvlJc w:val="left"/>
      <w:pPr>
        <w:ind w:left="1780" w:hanging="360"/>
      </w:pPr>
      <w:rPr>
        <w:rFonts w:ascii="Symbol" w:hAnsi="Symbol"/>
      </w:rPr>
    </w:lvl>
    <w:lvl w:ilvl="3" w:tplc="D0F034AA">
      <w:start w:val="1"/>
      <w:numFmt w:val="bullet"/>
      <w:lvlText w:val=""/>
      <w:lvlJc w:val="left"/>
      <w:pPr>
        <w:ind w:left="1780" w:hanging="360"/>
      </w:pPr>
      <w:rPr>
        <w:rFonts w:ascii="Symbol" w:hAnsi="Symbol"/>
      </w:rPr>
    </w:lvl>
    <w:lvl w:ilvl="4" w:tplc="C21EA136">
      <w:start w:val="1"/>
      <w:numFmt w:val="bullet"/>
      <w:lvlText w:val=""/>
      <w:lvlJc w:val="left"/>
      <w:pPr>
        <w:ind w:left="1780" w:hanging="360"/>
      </w:pPr>
      <w:rPr>
        <w:rFonts w:ascii="Symbol" w:hAnsi="Symbol"/>
      </w:rPr>
    </w:lvl>
    <w:lvl w:ilvl="5" w:tplc="FE86DD40">
      <w:start w:val="1"/>
      <w:numFmt w:val="bullet"/>
      <w:lvlText w:val=""/>
      <w:lvlJc w:val="left"/>
      <w:pPr>
        <w:ind w:left="1780" w:hanging="360"/>
      </w:pPr>
      <w:rPr>
        <w:rFonts w:ascii="Symbol" w:hAnsi="Symbol"/>
      </w:rPr>
    </w:lvl>
    <w:lvl w:ilvl="6" w:tplc="A1CA49C4">
      <w:start w:val="1"/>
      <w:numFmt w:val="bullet"/>
      <w:lvlText w:val=""/>
      <w:lvlJc w:val="left"/>
      <w:pPr>
        <w:ind w:left="1780" w:hanging="360"/>
      </w:pPr>
      <w:rPr>
        <w:rFonts w:ascii="Symbol" w:hAnsi="Symbol"/>
      </w:rPr>
    </w:lvl>
    <w:lvl w:ilvl="7" w:tplc="518E4032">
      <w:start w:val="1"/>
      <w:numFmt w:val="bullet"/>
      <w:lvlText w:val=""/>
      <w:lvlJc w:val="left"/>
      <w:pPr>
        <w:ind w:left="1780" w:hanging="360"/>
      </w:pPr>
      <w:rPr>
        <w:rFonts w:ascii="Symbol" w:hAnsi="Symbol"/>
      </w:rPr>
    </w:lvl>
    <w:lvl w:ilvl="8" w:tplc="46C428C2">
      <w:start w:val="1"/>
      <w:numFmt w:val="bullet"/>
      <w:lvlText w:val=""/>
      <w:lvlJc w:val="left"/>
      <w:pPr>
        <w:ind w:left="1780" w:hanging="360"/>
      </w:pPr>
      <w:rPr>
        <w:rFonts w:ascii="Symbol" w:hAnsi="Symbol"/>
      </w:rPr>
    </w:lvl>
  </w:abstractNum>
  <w:abstractNum w:abstractNumId="20" w15:restartNumberingAfterBreak="0">
    <w:nsid w:val="36324F1E"/>
    <w:multiLevelType w:val="multilevel"/>
    <w:tmpl w:val="3022D50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95A213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11636E"/>
    <w:multiLevelType w:val="hybridMultilevel"/>
    <w:tmpl w:val="69D2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730C4"/>
    <w:multiLevelType w:val="multilevel"/>
    <w:tmpl w:val="4B02FDA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BAB4F21"/>
    <w:multiLevelType w:val="multilevel"/>
    <w:tmpl w:val="F3664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9E662A"/>
    <w:multiLevelType w:val="multilevel"/>
    <w:tmpl w:val="BE08D8D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31E1E38"/>
    <w:multiLevelType w:val="hybridMultilevel"/>
    <w:tmpl w:val="D4CAC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67F364A"/>
    <w:multiLevelType w:val="hybridMultilevel"/>
    <w:tmpl w:val="D5FEF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1A63DF"/>
    <w:multiLevelType w:val="multilevel"/>
    <w:tmpl w:val="EAD0D6D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1A982C"/>
    <w:multiLevelType w:val="multilevel"/>
    <w:tmpl w:val="C896C9F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72619B"/>
    <w:multiLevelType w:val="multilevel"/>
    <w:tmpl w:val="53A8C0D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9B52"/>
    <w:multiLevelType w:val="multilevel"/>
    <w:tmpl w:val="02D2754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B2908DB"/>
    <w:multiLevelType w:val="hybridMultilevel"/>
    <w:tmpl w:val="F2569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77472E"/>
    <w:multiLevelType w:val="multilevel"/>
    <w:tmpl w:val="CAE2C77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3DE6AAE"/>
    <w:multiLevelType w:val="hybridMultilevel"/>
    <w:tmpl w:val="D42ADCDA"/>
    <w:lvl w:ilvl="0" w:tplc="17185C28">
      <w:start w:val="1"/>
      <w:numFmt w:val="bullet"/>
      <w:lvlText w:val=""/>
      <w:lvlJc w:val="left"/>
      <w:pPr>
        <w:ind w:left="720" w:hanging="360"/>
      </w:pPr>
      <w:rPr>
        <w:rFonts w:ascii="Symbol" w:hAnsi="Symbol"/>
      </w:rPr>
    </w:lvl>
    <w:lvl w:ilvl="1" w:tplc="EBBC14AE">
      <w:start w:val="1"/>
      <w:numFmt w:val="bullet"/>
      <w:lvlText w:val=""/>
      <w:lvlJc w:val="left"/>
      <w:pPr>
        <w:ind w:left="720" w:hanging="360"/>
      </w:pPr>
      <w:rPr>
        <w:rFonts w:ascii="Symbol" w:hAnsi="Symbol"/>
      </w:rPr>
    </w:lvl>
    <w:lvl w:ilvl="2" w:tplc="96A0EB18">
      <w:start w:val="1"/>
      <w:numFmt w:val="bullet"/>
      <w:lvlText w:val=""/>
      <w:lvlJc w:val="left"/>
      <w:pPr>
        <w:ind w:left="720" w:hanging="360"/>
      </w:pPr>
      <w:rPr>
        <w:rFonts w:ascii="Symbol" w:hAnsi="Symbol"/>
      </w:rPr>
    </w:lvl>
    <w:lvl w:ilvl="3" w:tplc="BC4AD69C">
      <w:start w:val="1"/>
      <w:numFmt w:val="bullet"/>
      <w:lvlText w:val=""/>
      <w:lvlJc w:val="left"/>
      <w:pPr>
        <w:ind w:left="720" w:hanging="360"/>
      </w:pPr>
      <w:rPr>
        <w:rFonts w:ascii="Symbol" w:hAnsi="Symbol"/>
      </w:rPr>
    </w:lvl>
    <w:lvl w:ilvl="4" w:tplc="D932E7D6">
      <w:start w:val="1"/>
      <w:numFmt w:val="bullet"/>
      <w:lvlText w:val=""/>
      <w:lvlJc w:val="left"/>
      <w:pPr>
        <w:ind w:left="720" w:hanging="360"/>
      </w:pPr>
      <w:rPr>
        <w:rFonts w:ascii="Symbol" w:hAnsi="Symbol"/>
      </w:rPr>
    </w:lvl>
    <w:lvl w:ilvl="5" w:tplc="B84E2CB8">
      <w:start w:val="1"/>
      <w:numFmt w:val="bullet"/>
      <w:lvlText w:val=""/>
      <w:lvlJc w:val="left"/>
      <w:pPr>
        <w:ind w:left="720" w:hanging="360"/>
      </w:pPr>
      <w:rPr>
        <w:rFonts w:ascii="Symbol" w:hAnsi="Symbol"/>
      </w:rPr>
    </w:lvl>
    <w:lvl w:ilvl="6" w:tplc="E7CAE74A">
      <w:start w:val="1"/>
      <w:numFmt w:val="bullet"/>
      <w:lvlText w:val=""/>
      <w:lvlJc w:val="left"/>
      <w:pPr>
        <w:ind w:left="720" w:hanging="360"/>
      </w:pPr>
      <w:rPr>
        <w:rFonts w:ascii="Symbol" w:hAnsi="Symbol"/>
      </w:rPr>
    </w:lvl>
    <w:lvl w:ilvl="7" w:tplc="A378D8BA">
      <w:start w:val="1"/>
      <w:numFmt w:val="bullet"/>
      <w:lvlText w:val=""/>
      <w:lvlJc w:val="left"/>
      <w:pPr>
        <w:ind w:left="720" w:hanging="360"/>
      </w:pPr>
      <w:rPr>
        <w:rFonts w:ascii="Symbol" w:hAnsi="Symbol"/>
      </w:rPr>
    </w:lvl>
    <w:lvl w:ilvl="8" w:tplc="E200D1F8">
      <w:start w:val="1"/>
      <w:numFmt w:val="bullet"/>
      <w:lvlText w:val=""/>
      <w:lvlJc w:val="left"/>
      <w:pPr>
        <w:ind w:left="720" w:hanging="360"/>
      </w:pPr>
      <w:rPr>
        <w:rFonts w:ascii="Symbol" w:hAnsi="Symbol"/>
      </w:rPr>
    </w:lvl>
  </w:abstractNum>
  <w:abstractNum w:abstractNumId="35" w15:restartNumberingAfterBreak="0">
    <w:nsid w:val="7C65145E"/>
    <w:multiLevelType w:val="multilevel"/>
    <w:tmpl w:val="A538D6E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2438"/>
        </w:tabs>
        <w:ind w:left="2211"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7" w15:restartNumberingAfterBreak="0">
    <w:nsid w:val="7E596F3C"/>
    <w:multiLevelType w:val="hybridMultilevel"/>
    <w:tmpl w:val="35660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0"/>
  </w:num>
  <w:num w:numId="3">
    <w:abstractNumId w:val="12"/>
  </w:num>
  <w:num w:numId="4">
    <w:abstractNumId w:val="21"/>
  </w:num>
  <w:num w:numId="5">
    <w:abstractNumId w:val="30"/>
  </w:num>
  <w:num w:numId="6">
    <w:abstractNumId w:val="33"/>
  </w:num>
  <w:num w:numId="7">
    <w:abstractNumId w:val="2"/>
  </w:num>
  <w:num w:numId="8">
    <w:abstractNumId w:val="8"/>
  </w:num>
  <w:num w:numId="9">
    <w:abstractNumId w:val="25"/>
  </w:num>
  <w:num w:numId="10">
    <w:abstractNumId w:val="3"/>
  </w:num>
  <w:num w:numId="11">
    <w:abstractNumId w:val="5"/>
  </w:num>
  <w:num w:numId="12">
    <w:abstractNumId w:val="6"/>
  </w:num>
  <w:num w:numId="13">
    <w:abstractNumId w:val="15"/>
  </w:num>
  <w:num w:numId="14">
    <w:abstractNumId w:val="23"/>
  </w:num>
  <w:num w:numId="15">
    <w:abstractNumId w:val="29"/>
  </w:num>
  <w:num w:numId="16">
    <w:abstractNumId w:val="16"/>
  </w:num>
  <w:num w:numId="17">
    <w:abstractNumId w:val="17"/>
  </w:num>
  <w:num w:numId="18">
    <w:abstractNumId w:val="36"/>
  </w:num>
  <w:num w:numId="19">
    <w:abstractNumId w:val="28"/>
  </w:num>
  <w:num w:numId="20">
    <w:abstractNumId w:val="31"/>
  </w:num>
  <w:num w:numId="21">
    <w:abstractNumId w:val="4"/>
  </w:num>
  <w:num w:numId="22">
    <w:abstractNumId w:val="11"/>
  </w:num>
  <w:num w:numId="23">
    <w:abstractNumId w:val="26"/>
  </w:num>
  <w:num w:numId="24">
    <w:abstractNumId w:val="22"/>
  </w:num>
  <w:num w:numId="25">
    <w:abstractNumId w:val="32"/>
  </w:num>
  <w:num w:numId="26">
    <w:abstractNumId w:val="24"/>
  </w:num>
  <w:num w:numId="27">
    <w:abstractNumId w:val="10"/>
  </w:num>
  <w:num w:numId="28">
    <w:abstractNumId w:val="37"/>
  </w:num>
  <w:num w:numId="29">
    <w:abstractNumId w:val="27"/>
  </w:num>
  <w:num w:numId="30">
    <w:abstractNumId w:val="13"/>
  </w:num>
  <w:num w:numId="31">
    <w:abstractNumId w:val="7"/>
  </w:num>
  <w:num w:numId="32">
    <w:abstractNumId w:val="14"/>
  </w:num>
  <w:num w:numId="33">
    <w:abstractNumId w:val="9"/>
  </w:num>
  <w:num w:numId="34">
    <w:abstractNumId w:val="34"/>
  </w:num>
  <w:num w:numId="35">
    <w:abstractNumId w:val="18"/>
  </w:num>
  <w:num w:numId="36">
    <w:abstractNumId w:val="1"/>
  </w:num>
  <w:num w:numId="37">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8D613D5-26DC-4C9E-ADDB-121766C35E5E"/>
    <w:docVar w:name="LW_COVERPAGE_TYPE" w:val="1"/>
    <w:docVar w:name="LW_CROSSREFERENCE" w:val="{SWD(2025) 872 final}"/>
    <w:docVar w:name="LW_DocType" w:val="EUROLOOK"/>
    <w:docVar w:name="LW_EMISSION" w:val="21.10.2025"/>
    <w:docVar w:name="LW_EMISSION_ISODATE" w:val="2025-10-21"/>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pentru reînnoirea genera\u539?iilor în agricultur\u259?&lt;/FMT&gt;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EE0CF1"/>
    <w:rsid w:val="00000802"/>
    <w:rsid w:val="00000969"/>
    <w:rsid w:val="00000AD9"/>
    <w:rsid w:val="00000BCB"/>
    <w:rsid w:val="00001A9F"/>
    <w:rsid w:val="00001D85"/>
    <w:rsid w:val="000021A1"/>
    <w:rsid w:val="00002685"/>
    <w:rsid w:val="00002ACD"/>
    <w:rsid w:val="00002CFA"/>
    <w:rsid w:val="00003373"/>
    <w:rsid w:val="00003C35"/>
    <w:rsid w:val="00004378"/>
    <w:rsid w:val="00004748"/>
    <w:rsid w:val="000049D9"/>
    <w:rsid w:val="00004F80"/>
    <w:rsid w:val="000055BB"/>
    <w:rsid w:val="00005629"/>
    <w:rsid w:val="000056C5"/>
    <w:rsid w:val="0000629B"/>
    <w:rsid w:val="00006429"/>
    <w:rsid w:val="000076F7"/>
    <w:rsid w:val="00007866"/>
    <w:rsid w:val="00010235"/>
    <w:rsid w:val="0001038F"/>
    <w:rsid w:val="00010808"/>
    <w:rsid w:val="00010A66"/>
    <w:rsid w:val="00010C84"/>
    <w:rsid w:val="00010CFA"/>
    <w:rsid w:val="00011C3D"/>
    <w:rsid w:val="00012684"/>
    <w:rsid w:val="00012813"/>
    <w:rsid w:val="00012EA9"/>
    <w:rsid w:val="0001327A"/>
    <w:rsid w:val="00013419"/>
    <w:rsid w:val="000137CF"/>
    <w:rsid w:val="00013CD4"/>
    <w:rsid w:val="00013E37"/>
    <w:rsid w:val="00013E75"/>
    <w:rsid w:val="00014005"/>
    <w:rsid w:val="0001415C"/>
    <w:rsid w:val="00014424"/>
    <w:rsid w:val="00014C77"/>
    <w:rsid w:val="0001521B"/>
    <w:rsid w:val="000155D4"/>
    <w:rsid w:val="00015617"/>
    <w:rsid w:val="00015DCD"/>
    <w:rsid w:val="00016F42"/>
    <w:rsid w:val="0001766B"/>
    <w:rsid w:val="00017A27"/>
    <w:rsid w:val="00020316"/>
    <w:rsid w:val="00020E58"/>
    <w:rsid w:val="00021A65"/>
    <w:rsid w:val="00021E02"/>
    <w:rsid w:val="000224C6"/>
    <w:rsid w:val="000225F5"/>
    <w:rsid w:val="00022E01"/>
    <w:rsid w:val="0002321C"/>
    <w:rsid w:val="00023546"/>
    <w:rsid w:val="00023778"/>
    <w:rsid w:val="00023893"/>
    <w:rsid w:val="0002444F"/>
    <w:rsid w:val="000244C8"/>
    <w:rsid w:val="00024584"/>
    <w:rsid w:val="00025640"/>
    <w:rsid w:val="00025AF4"/>
    <w:rsid w:val="00025FEA"/>
    <w:rsid w:val="0002639E"/>
    <w:rsid w:val="00026437"/>
    <w:rsid w:val="000270B8"/>
    <w:rsid w:val="000270FD"/>
    <w:rsid w:val="0002745C"/>
    <w:rsid w:val="000278F0"/>
    <w:rsid w:val="00027931"/>
    <w:rsid w:val="00030126"/>
    <w:rsid w:val="000304EA"/>
    <w:rsid w:val="0003063A"/>
    <w:rsid w:val="0003090C"/>
    <w:rsid w:val="00031B12"/>
    <w:rsid w:val="0003214D"/>
    <w:rsid w:val="00032C85"/>
    <w:rsid w:val="0003314E"/>
    <w:rsid w:val="000331B1"/>
    <w:rsid w:val="0003333E"/>
    <w:rsid w:val="000343FE"/>
    <w:rsid w:val="000344D7"/>
    <w:rsid w:val="000345F4"/>
    <w:rsid w:val="00034C1A"/>
    <w:rsid w:val="00035398"/>
    <w:rsid w:val="0003575C"/>
    <w:rsid w:val="00035A18"/>
    <w:rsid w:val="00036B50"/>
    <w:rsid w:val="00037001"/>
    <w:rsid w:val="00037388"/>
    <w:rsid w:val="000402F7"/>
    <w:rsid w:val="000426AB"/>
    <w:rsid w:val="000431DF"/>
    <w:rsid w:val="00043251"/>
    <w:rsid w:val="0004366C"/>
    <w:rsid w:val="00043967"/>
    <w:rsid w:val="000444F3"/>
    <w:rsid w:val="00044551"/>
    <w:rsid w:val="000448AB"/>
    <w:rsid w:val="00044C66"/>
    <w:rsid w:val="00045202"/>
    <w:rsid w:val="0004537D"/>
    <w:rsid w:val="00045399"/>
    <w:rsid w:val="00045B7A"/>
    <w:rsid w:val="00045D55"/>
    <w:rsid w:val="00046F2A"/>
    <w:rsid w:val="0004706C"/>
    <w:rsid w:val="000471AC"/>
    <w:rsid w:val="00052746"/>
    <w:rsid w:val="000528A2"/>
    <w:rsid w:val="00055A71"/>
    <w:rsid w:val="00056BE2"/>
    <w:rsid w:val="00056CED"/>
    <w:rsid w:val="00056E59"/>
    <w:rsid w:val="00056E9B"/>
    <w:rsid w:val="00057770"/>
    <w:rsid w:val="000601FC"/>
    <w:rsid w:val="000605B8"/>
    <w:rsid w:val="000618FA"/>
    <w:rsid w:val="00061901"/>
    <w:rsid w:val="00062439"/>
    <w:rsid w:val="00063703"/>
    <w:rsid w:val="00064136"/>
    <w:rsid w:val="000646E4"/>
    <w:rsid w:val="0006492D"/>
    <w:rsid w:val="00065484"/>
    <w:rsid w:val="000670E8"/>
    <w:rsid w:val="0006725E"/>
    <w:rsid w:val="00067270"/>
    <w:rsid w:val="000672D0"/>
    <w:rsid w:val="00071715"/>
    <w:rsid w:val="0007173B"/>
    <w:rsid w:val="00072166"/>
    <w:rsid w:val="000731E1"/>
    <w:rsid w:val="00074560"/>
    <w:rsid w:val="0007547C"/>
    <w:rsid w:val="0007550F"/>
    <w:rsid w:val="00075802"/>
    <w:rsid w:val="00075D84"/>
    <w:rsid w:val="00075DC0"/>
    <w:rsid w:val="00076247"/>
    <w:rsid w:val="000765A8"/>
    <w:rsid w:val="00076E5C"/>
    <w:rsid w:val="00077EC4"/>
    <w:rsid w:val="00077FB2"/>
    <w:rsid w:val="00080109"/>
    <w:rsid w:val="00080B9C"/>
    <w:rsid w:val="00080E2D"/>
    <w:rsid w:val="0008156F"/>
    <w:rsid w:val="00081B18"/>
    <w:rsid w:val="0008219B"/>
    <w:rsid w:val="0008221A"/>
    <w:rsid w:val="00083063"/>
    <w:rsid w:val="00083844"/>
    <w:rsid w:val="00083B51"/>
    <w:rsid w:val="00085484"/>
    <w:rsid w:val="0008580C"/>
    <w:rsid w:val="00085B31"/>
    <w:rsid w:val="00086570"/>
    <w:rsid w:val="000866E6"/>
    <w:rsid w:val="00086E98"/>
    <w:rsid w:val="0008712C"/>
    <w:rsid w:val="00087188"/>
    <w:rsid w:val="000876C0"/>
    <w:rsid w:val="00087DD9"/>
    <w:rsid w:val="00090599"/>
    <w:rsid w:val="000906E1"/>
    <w:rsid w:val="00090B02"/>
    <w:rsid w:val="000910AF"/>
    <w:rsid w:val="000927B7"/>
    <w:rsid w:val="000929C5"/>
    <w:rsid w:val="00093935"/>
    <w:rsid w:val="0009431E"/>
    <w:rsid w:val="0009467F"/>
    <w:rsid w:val="00094D4F"/>
    <w:rsid w:val="000951A0"/>
    <w:rsid w:val="000951E1"/>
    <w:rsid w:val="00095D4D"/>
    <w:rsid w:val="000960C8"/>
    <w:rsid w:val="0009660F"/>
    <w:rsid w:val="00096E71"/>
    <w:rsid w:val="000975AC"/>
    <w:rsid w:val="000976FB"/>
    <w:rsid w:val="00097A3C"/>
    <w:rsid w:val="00097D0F"/>
    <w:rsid w:val="000A0604"/>
    <w:rsid w:val="000A065A"/>
    <w:rsid w:val="000A1903"/>
    <w:rsid w:val="000A272B"/>
    <w:rsid w:val="000A2B36"/>
    <w:rsid w:val="000A2B58"/>
    <w:rsid w:val="000A2CB9"/>
    <w:rsid w:val="000A305D"/>
    <w:rsid w:val="000A4566"/>
    <w:rsid w:val="000A49BC"/>
    <w:rsid w:val="000A5354"/>
    <w:rsid w:val="000A5EA5"/>
    <w:rsid w:val="000A6524"/>
    <w:rsid w:val="000A6EFD"/>
    <w:rsid w:val="000A787B"/>
    <w:rsid w:val="000A787D"/>
    <w:rsid w:val="000B051C"/>
    <w:rsid w:val="000B0A0F"/>
    <w:rsid w:val="000B14C1"/>
    <w:rsid w:val="000B245B"/>
    <w:rsid w:val="000B2ECE"/>
    <w:rsid w:val="000B36F7"/>
    <w:rsid w:val="000B421D"/>
    <w:rsid w:val="000B4B8A"/>
    <w:rsid w:val="000B4BE8"/>
    <w:rsid w:val="000B4D91"/>
    <w:rsid w:val="000B5661"/>
    <w:rsid w:val="000B586B"/>
    <w:rsid w:val="000B5A9F"/>
    <w:rsid w:val="000B636D"/>
    <w:rsid w:val="000B71F1"/>
    <w:rsid w:val="000B79AC"/>
    <w:rsid w:val="000B7B20"/>
    <w:rsid w:val="000C04DC"/>
    <w:rsid w:val="000C0CCE"/>
    <w:rsid w:val="000C100D"/>
    <w:rsid w:val="000C130D"/>
    <w:rsid w:val="000C1322"/>
    <w:rsid w:val="000C1837"/>
    <w:rsid w:val="000C1EEE"/>
    <w:rsid w:val="000C24FA"/>
    <w:rsid w:val="000C3A8B"/>
    <w:rsid w:val="000C41D0"/>
    <w:rsid w:val="000C4AC5"/>
    <w:rsid w:val="000C4B78"/>
    <w:rsid w:val="000C4B8B"/>
    <w:rsid w:val="000C4CD5"/>
    <w:rsid w:val="000C548C"/>
    <w:rsid w:val="000C5913"/>
    <w:rsid w:val="000C5BE0"/>
    <w:rsid w:val="000C5D9A"/>
    <w:rsid w:val="000C5E0B"/>
    <w:rsid w:val="000C693E"/>
    <w:rsid w:val="000D01E1"/>
    <w:rsid w:val="000D0614"/>
    <w:rsid w:val="000D0692"/>
    <w:rsid w:val="000D0CD4"/>
    <w:rsid w:val="000D0FCE"/>
    <w:rsid w:val="000D1763"/>
    <w:rsid w:val="000D1B06"/>
    <w:rsid w:val="000D1C1C"/>
    <w:rsid w:val="000D22E1"/>
    <w:rsid w:val="000D24E1"/>
    <w:rsid w:val="000D2691"/>
    <w:rsid w:val="000D3526"/>
    <w:rsid w:val="000D399F"/>
    <w:rsid w:val="000D3EF3"/>
    <w:rsid w:val="000D4C8D"/>
    <w:rsid w:val="000D6934"/>
    <w:rsid w:val="000D7A46"/>
    <w:rsid w:val="000D7F51"/>
    <w:rsid w:val="000E010F"/>
    <w:rsid w:val="000E01FD"/>
    <w:rsid w:val="000E06D3"/>
    <w:rsid w:val="000E093C"/>
    <w:rsid w:val="000E1F87"/>
    <w:rsid w:val="000E2414"/>
    <w:rsid w:val="000E2783"/>
    <w:rsid w:val="000E2CF8"/>
    <w:rsid w:val="000E3D16"/>
    <w:rsid w:val="000E4363"/>
    <w:rsid w:val="000E53DA"/>
    <w:rsid w:val="000E5686"/>
    <w:rsid w:val="000E6311"/>
    <w:rsid w:val="000E6ACF"/>
    <w:rsid w:val="000E6B79"/>
    <w:rsid w:val="000E6DC5"/>
    <w:rsid w:val="000E7123"/>
    <w:rsid w:val="000E7138"/>
    <w:rsid w:val="000E7816"/>
    <w:rsid w:val="000E7E4F"/>
    <w:rsid w:val="000F0E51"/>
    <w:rsid w:val="000F183C"/>
    <w:rsid w:val="000F18E2"/>
    <w:rsid w:val="000F1AF0"/>
    <w:rsid w:val="000F1D22"/>
    <w:rsid w:val="000F32BF"/>
    <w:rsid w:val="000F43CC"/>
    <w:rsid w:val="000F43E3"/>
    <w:rsid w:val="000F4C25"/>
    <w:rsid w:val="000F5055"/>
    <w:rsid w:val="000F5A9D"/>
    <w:rsid w:val="000F72AC"/>
    <w:rsid w:val="000F73EC"/>
    <w:rsid w:val="000F76CC"/>
    <w:rsid w:val="000F77D9"/>
    <w:rsid w:val="00100B29"/>
    <w:rsid w:val="001012EF"/>
    <w:rsid w:val="001019C1"/>
    <w:rsid w:val="0010218A"/>
    <w:rsid w:val="0010255F"/>
    <w:rsid w:val="0010348E"/>
    <w:rsid w:val="00103500"/>
    <w:rsid w:val="001036A5"/>
    <w:rsid w:val="0010432E"/>
    <w:rsid w:val="00104608"/>
    <w:rsid w:val="00104AC2"/>
    <w:rsid w:val="00105174"/>
    <w:rsid w:val="001055BF"/>
    <w:rsid w:val="0010656F"/>
    <w:rsid w:val="0010694E"/>
    <w:rsid w:val="00106B66"/>
    <w:rsid w:val="00106CD6"/>
    <w:rsid w:val="0011034B"/>
    <w:rsid w:val="00110C48"/>
    <w:rsid w:val="001111C4"/>
    <w:rsid w:val="001112B6"/>
    <w:rsid w:val="00111951"/>
    <w:rsid w:val="00112C2F"/>
    <w:rsid w:val="00112CB1"/>
    <w:rsid w:val="00112DC4"/>
    <w:rsid w:val="001130EA"/>
    <w:rsid w:val="00113652"/>
    <w:rsid w:val="001139A7"/>
    <w:rsid w:val="0011480E"/>
    <w:rsid w:val="00116469"/>
    <w:rsid w:val="00116E7E"/>
    <w:rsid w:val="00117086"/>
    <w:rsid w:val="001172C3"/>
    <w:rsid w:val="001174F9"/>
    <w:rsid w:val="00117F70"/>
    <w:rsid w:val="00120B46"/>
    <w:rsid w:val="001215A5"/>
    <w:rsid w:val="00122AAB"/>
    <w:rsid w:val="00122CCF"/>
    <w:rsid w:val="001231AE"/>
    <w:rsid w:val="001238CE"/>
    <w:rsid w:val="0012436E"/>
    <w:rsid w:val="001247D9"/>
    <w:rsid w:val="00124F64"/>
    <w:rsid w:val="00124FEC"/>
    <w:rsid w:val="0012567C"/>
    <w:rsid w:val="001258B4"/>
    <w:rsid w:val="00125A5A"/>
    <w:rsid w:val="00125C20"/>
    <w:rsid w:val="00125C31"/>
    <w:rsid w:val="001261AA"/>
    <w:rsid w:val="00126214"/>
    <w:rsid w:val="0012656C"/>
    <w:rsid w:val="001266FB"/>
    <w:rsid w:val="00126974"/>
    <w:rsid w:val="00126B08"/>
    <w:rsid w:val="00126BE4"/>
    <w:rsid w:val="00126EEA"/>
    <w:rsid w:val="0012755B"/>
    <w:rsid w:val="001277FC"/>
    <w:rsid w:val="00127E86"/>
    <w:rsid w:val="00130769"/>
    <w:rsid w:val="0013084D"/>
    <w:rsid w:val="001323CA"/>
    <w:rsid w:val="00132BD2"/>
    <w:rsid w:val="001331E4"/>
    <w:rsid w:val="00133FE1"/>
    <w:rsid w:val="00134129"/>
    <w:rsid w:val="0013434C"/>
    <w:rsid w:val="00135252"/>
    <w:rsid w:val="0013551D"/>
    <w:rsid w:val="00135EF2"/>
    <w:rsid w:val="00136A2B"/>
    <w:rsid w:val="00136CEE"/>
    <w:rsid w:val="00136FE1"/>
    <w:rsid w:val="00137065"/>
    <w:rsid w:val="00137097"/>
    <w:rsid w:val="001405E7"/>
    <w:rsid w:val="001408E2"/>
    <w:rsid w:val="001429EE"/>
    <w:rsid w:val="00142CD2"/>
    <w:rsid w:val="00142D62"/>
    <w:rsid w:val="00143D65"/>
    <w:rsid w:val="00143F2D"/>
    <w:rsid w:val="001449B9"/>
    <w:rsid w:val="0014535D"/>
    <w:rsid w:val="0014593E"/>
    <w:rsid w:val="001459D1"/>
    <w:rsid w:val="00147D15"/>
    <w:rsid w:val="00150C8A"/>
    <w:rsid w:val="00150CE2"/>
    <w:rsid w:val="00151EBC"/>
    <w:rsid w:val="00152FAC"/>
    <w:rsid w:val="00153303"/>
    <w:rsid w:val="00153678"/>
    <w:rsid w:val="00153CB4"/>
    <w:rsid w:val="00154007"/>
    <w:rsid w:val="0015475F"/>
    <w:rsid w:val="00154E22"/>
    <w:rsid w:val="001554A3"/>
    <w:rsid w:val="0015681D"/>
    <w:rsid w:val="00156B8A"/>
    <w:rsid w:val="001572A1"/>
    <w:rsid w:val="00157A13"/>
    <w:rsid w:val="00157F00"/>
    <w:rsid w:val="0016001E"/>
    <w:rsid w:val="00160F4B"/>
    <w:rsid w:val="00161008"/>
    <w:rsid w:val="00161283"/>
    <w:rsid w:val="00161671"/>
    <w:rsid w:val="00161760"/>
    <w:rsid w:val="0016177B"/>
    <w:rsid w:val="00161A1E"/>
    <w:rsid w:val="00161A30"/>
    <w:rsid w:val="00161A32"/>
    <w:rsid w:val="00161BC4"/>
    <w:rsid w:val="00161E75"/>
    <w:rsid w:val="001622D1"/>
    <w:rsid w:val="00162458"/>
    <w:rsid w:val="001631FB"/>
    <w:rsid w:val="0016377B"/>
    <w:rsid w:val="00163D4F"/>
    <w:rsid w:val="001643BE"/>
    <w:rsid w:val="001651AE"/>
    <w:rsid w:val="00165CFA"/>
    <w:rsid w:val="001669E8"/>
    <w:rsid w:val="00167A8C"/>
    <w:rsid w:val="00167B05"/>
    <w:rsid w:val="00167D1D"/>
    <w:rsid w:val="00171DA6"/>
    <w:rsid w:val="00175BC6"/>
    <w:rsid w:val="001765C3"/>
    <w:rsid w:val="001767AA"/>
    <w:rsid w:val="001769FB"/>
    <w:rsid w:val="00177B3D"/>
    <w:rsid w:val="00177E50"/>
    <w:rsid w:val="001804EC"/>
    <w:rsid w:val="00181081"/>
    <w:rsid w:val="00181B15"/>
    <w:rsid w:val="001823A1"/>
    <w:rsid w:val="00182621"/>
    <w:rsid w:val="0018271C"/>
    <w:rsid w:val="0018285E"/>
    <w:rsid w:val="00183E3E"/>
    <w:rsid w:val="00183FFF"/>
    <w:rsid w:val="00184451"/>
    <w:rsid w:val="0018511A"/>
    <w:rsid w:val="00185558"/>
    <w:rsid w:val="001856C2"/>
    <w:rsid w:val="001858E3"/>
    <w:rsid w:val="00185F73"/>
    <w:rsid w:val="00186114"/>
    <w:rsid w:val="0018727F"/>
    <w:rsid w:val="00187A1A"/>
    <w:rsid w:val="00187A98"/>
    <w:rsid w:val="00187EAB"/>
    <w:rsid w:val="00187F00"/>
    <w:rsid w:val="00190A73"/>
    <w:rsid w:val="00190A99"/>
    <w:rsid w:val="00190EAB"/>
    <w:rsid w:val="00190FA6"/>
    <w:rsid w:val="0019109A"/>
    <w:rsid w:val="001917CD"/>
    <w:rsid w:val="00192046"/>
    <w:rsid w:val="00192079"/>
    <w:rsid w:val="00192FE4"/>
    <w:rsid w:val="001936DC"/>
    <w:rsid w:val="00193E6A"/>
    <w:rsid w:val="00193FDF"/>
    <w:rsid w:val="00194424"/>
    <w:rsid w:val="001944A5"/>
    <w:rsid w:val="001944D4"/>
    <w:rsid w:val="0019456C"/>
    <w:rsid w:val="00194BA4"/>
    <w:rsid w:val="00194BBA"/>
    <w:rsid w:val="0019501F"/>
    <w:rsid w:val="001966A4"/>
    <w:rsid w:val="001968DF"/>
    <w:rsid w:val="00197C3B"/>
    <w:rsid w:val="001A0408"/>
    <w:rsid w:val="001A08D8"/>
    <w:rsid w:val="001A0EC3"/>
    <w:rsid w:val="001A11D6"/>
    <w:rsid w:val="001A135A"/>
    <w:rsid w:val="001A1FFC"/>
    <w:rsid w:val="001A279F"/>
    <w:rsid w:val="001A2DBD"/>
    <w:rsid w:val="001A339F"/>
    <w:rsid w:val="001A4393"/>
    <w:rsid w:val="001A66EA"/>
    <w:rsid w:val="001A7D65"/>
    <w:rsid w:val="001B0220"/>
    <w:rsid w:val="001B0272"/>
    <w:rsid w:val="001B08F1"/>
    <w:rsid w:val="001B0AB4"/>
    <w:rsid w:val="001B1C74"/>
    <w:rsid w:val="001B2D2F"/>
    <w:rsid w:val="001B2F2E"/>
    <w:rsid w:val="001B396E"/>
    <w:rsid w:val="001B398F"/>
    <w:rsid w:val="001B3EEA"/>
    <w:rsid w:val="001B485B"/>
    <w:rsid w:val="001B4B2D"/>
    <w:rsid w:val="001B4F9E"/>
    <w:rsid w:val="001B637D"/>
    <w:rsid w:val="001B6756"/>
    <w:rsid w:val="001B6C4E"/>
    <w:rsid w:val="001B6D82"/>
    <w:rsid w:val="001B6D8F"/>
    <w:rsid w:val="001B6D96"/>
    <w:rsid w:val="001B7478"/>
    <w:rsid w:val="001B775E"/>
    <w:rsid w:val="001B7B3B"/>
    <w:rsid w:val="001B9964"/>
    <w:rsid w:val="001C0203"/>
    <w:rsid w:val="001C1973"/>
    <w:rsid w:val="001C19EC"/>
    <w:rsid w:val="001C2148"/>
    <w:rsid w:val="001C2C41"/>
    <w:rsid w:val="001C3DCE"/>
    <w:rsid w:val="001C5325"/>
    <w:rsid w:val="001C59CE"/>
    <w:rsid w:val="001C62E4"/>
    <w:rsid w:val="001C67F7"/>
    <w:rsid w:val="001C69A0"/>
    <w:rsid w:val="001C6A41"/>
    <w:rsid w:val="001C6E30"/>
    <w:rsid w:val="001C6F5B"/>
    <w:rsid w:val="001C7085"/>
    <w:rsid w:val="001C7155"/>
    <w:rsid w:val="001C7180"/>
    <w:rsid w:val="001C770A"/>
    <w:rsid w:val="001C7B8B"/>
    <w:rsid w:val="001D01DA"/>
    <w:rsid w:val="001D14D8"/>
    <w:rsid w:val="001D1877"/>
    <w:rsid w:val="001D1CAE"/>
    <w:rsid w:val="001D1FED"/>
    <w:rsid w:val="001D2903"/>
    <w:rsid w:val="001D422F"/>
    <w:rsid w:val="001D438C"/>
    <w:rsid w:val="001D46A4"/>
    <w:rsid w:val="001D5391"/>
    <w:rsid w:val="001D5662"/>
    <w:rsid w:val="001D5F40"/>
    <w:rsid w:val="001D7974"/>
    <w:rsid w:val="001E131F"/>
    <w:rsid w:val="001E147B"/>
    <w:rsid w:val="001E290E"/>
    <w:rsid w:val="001E311F"/>
    <w:rsid w:val="001E32A9"/>
    <w:rsid w:val="001E431B"/>
    <w:rsid w:val="001E4E17"/>
    <w:rsid w:val="001E5093"/>
    <w:rsid w:val="001E6261"/>
    <w:rsid w:val="001E63E7"/>
    <w:rsid w:val="001E6F5E"/>
    <w:rsid w:val="001E759F"/>
    <w:rsid w:val="001E787B"/>
    <w:rsid w:val="001EC4C2"/>
    <w:rsid w:val="001F00FF"/>
    <w:rsid w:val="001F10A2"/>
    <w:rsid w:val="001F11C6"/>
    <w:rsid w:val="001F1D8B"/>
    <w:rsid w:val="001F1DF0"/>
    <w:rsid w:val="001F23A8"/>
    <w:rsid w:val="001F292B"/>
    <w:rsid w:val="001F38B2"/>
    <w:rsid w:val="001F3BAF"/>
    <w:rsid w:val="001F3DA9"/>
    <w:rsid w:val="001F41EE"/>
    <w:rsid w:val="001F473C"/>
    <w:rsid w:val="001F487C"/>
    <w:rsid w:val="001F48D6"/>
    <w:rsid w:val="001F49B0"/>
    <w:rsid w:val="001F5782"/>
    <w:rsid w:val="001F7250"/>
    <w:rsid w:val="0020081A"/>
    <w:rsid w:val="00200977"/>
    <w:rsid w:val="00200D79"/>
    <w:rsid w:val="00200F85"/>
    <w:rsid w:val="0020202D"/>
    <w:rsid w:val="002028E8"/>
    <w:rsid w:val="00202C0A"/>
    <w:rsid w:val="002030D7"/>
    <w:rsid w:val="002034D1"/>
    <w:rsid w:val="00203AD5"/>
    <w:rsid w:val="00204555"/>
    <w:rsid w:val="00205652"/>
    <w:rsid w:val="002057A9"/>
    <w:rsid w:val="00205BF3"/>
    <w:rsid w:val="00207A5C"/>
    <w:rsid w:val="00207C4A"/>
    <w:rsid w:val="0021081E"/>
    <w:rsid w:val="00210B54"/>
    <w:rsid w:val="00211283"/>
    <w:rsid w:val="00211296"/>
    <w:rsid w:val="00212577"/>
    <w:rsid w:val="00213FA5"/>
    <w:rsid w:val="00214A09"/>
    <w:rsid w:val="00214F9F"/>
    <w:rsid w:val="00216406"/>
    <w:rsid w:val="00216686"/>
    <w:rsid w:val="002166F9"/>
    <w:rsid w:val="00216901"/>
    <w:rsid w:val="00216917"/>
    <w:rsid w:val="0021693E"/>
    <w:rsid w:val="00217177"/>
    <w:rsid w:val="00217523"/>
    <w:rsid w:val="00220446"/>
    <w:rsid w:val="00220F27"/>
    <w:rsid w:val="00221148"/>
    <w:rsid w:val="002217EA"/>
    <w:rsid w:val="00222051"/>
    <w:rsid w:val="0022222F"/>
    <w:rsid w:val="002229B7"/>
    <w:rsid w:val="00223141"/>
    <w:rsid w:val="002234C9"/>
    <w:rsid w:val="00223959"/>
    <w:rsid w:val="00223E7F"/>
    <w:rsid w:val="00223E9A"/>
    <w:rsid w:val="00224137"/>
    <w:rsid w:val="00224640"/>
    <w:rsid w:val="002253C1"/>
    <w:rsid w:val="00225BCB"/>
    <w:rsid w:val="00226D86"/>
    <w:rsid w:val="002278D0"/>
    <w:rsid w:val="00227BA5"/>
    <w:rsid w:val="00227C0C"/>
    <w:rsid w:val="00227C95"/>
    <w:rsid w:val="00227CAA"/>
    <w:rsid w:val="00230636"/>
    <w:rsid w:val="00230B57"/>
    <w:rsid w:val="00230D09"/>
    <w:rsid w:val="00231067"/>
    <w:rsid w:val="002319F5"/>
    <w:rsid w:val="00231BCA"/>
    <w:rsid w:val="00231CE4"/>
    <w:rsid w:val="002324F0"/>
    <w:rsid w:val="002329FC"/>
    <w:rsid w:val="00232DB5"/>
    <w:rsid w:val="002334F8"/>
    <w:rsid w:val="00233BD6"/>
    <w:rsid w:val="00233D9A"/>
    <w:rsid w:val="00234650"/>
    <w:rsid w:val="002350BB"/>
    <w:rsid w:val="00235102"/>
    <w:rsid w:val="00235EC4"/>
    <w:rsid w:val="0023657A"/>
    <w:rsid w:val="0023705C"/>
    <w:rsid w:val="00237406"/>
    <w:rsid w:val="0023782B"/>
    <w:rsid w:val="00241065"/>
    <w:rsid w:val="00242253"/>
    <w:rsid w:val="00242A44"/>
    <w:rsid w:val="00242A73"/>
    <w:rsid w:val="0024349D"/>
    <w:rsid w:val="00244300"/>
    <w:rsid w:val="0024479D"/>
    <w:rsid w:val="002447E4"/>
    <w:rsid w:val="002448CB"/>
    <w:rsid w:val="002454B5"/>
    <w:rsid w:val="00245EF9"/>
    <w:rsid w:val="0024635F"/>
    <w:rsid w:val="002501B4"/>
    <w:rsid w:val="00250494"/>
    <w:rsid w:val="00250550"/>
    <w:rsid w:val="00250C52"/>
    <w:rsid w:val="002514FC"/>
    <w:rsid w:val="00251730"/>
    <w:rsid w:val="00252EDB"/>
    <w:rsid w:val="00253139"/>
    <w:rsid w:val="002535CC"/>
    <w:rsid w:val="002538F8"/>
    <w:rsid w:val="00253925"/>
    <w:rsid w:val="00253CC5"/>
    <w:rsid w:val="00253F2A"/>
    <w:rsid w:val="00254310"/>
    <w:rsid w:val="002544E7"/>
    <w:rsid w:val="00254727"/>
    <w:rsid w:val="002547A6"/>
    <w:rsid w:val="00254A22"/>
    <w:rsid w:val="00255150"/>
    <w:rsid w:val="0025543B"/>
    <w:rsid w:val="00255915"/>
    <w:rsid w:val="00255E8A"/>
    <w:rsid w:val="002561E0"/>
    <w:rsid w:val="00256305"/>
    <w:rsid w:val="00257C2C"/>
    <w:rsid w:val="00260582"/>
    <w:rsid w:val="00260A58"/>
    <w:rsid w:val="002618DF"/>
    <w:rsid w:val="00261D44"/>
    <w:rsid w:val="002626EC"/>
    <w:rsid w:val="002630FE"/>
    <w:rsid w:val="00263280"/>
    <w:rsid w:val="0026426A"/>
    <w:rsid w:val="00264602"/>
    <w:rsid w:val="002654D5"/>
    <w:rsid w:val="0026578D"/>
    <w:rsid w:val="00266391"/>
    <w:rsid w:val="00266805"/>
    <w:rsid w:val="00266CBD"/>
    <w:rsid w:val="00266ECA"/>
    <w:rsid w:val="00267616"/>
    <w:rsid w:val="002704D2"/>
    <w:rsid w:val="00272A20"/>
    <w:rsid w:val="0027365B"/>
    <w:rsid w:val="0027375A"/>
    <w:rsid w:val="002739E7"/>
    <w:rsid w:val="00273E30"/>
    <w:rsid w:val="00274648"/>
    <w:rsid w:val="002749A8"/>
    <w:rsid w:val="002759C4"/>
    <w:rsid w:val="0027620C"/>
    <w:rsid w:val="00276E8B"/>
    <w:rsid w:val="00276F48"/>
    <w:rsid w:val="00280CA8"/>
    <w:rsid w:val="002816A7"/>
    <w:rsid w:val="002824BA"/>
    <w:rsid w:val="0028257A"/>
    <w:rsid w:val="00283270"/>
    <w:rsid w:val="00283826"/>
    <w:rsid w:val="00283895"/>
    <w:rsid w:val="00283F94"/>
    <w:rsid w:val="00284630"/>
    <w:rsid w:val="00284A26"/>
    <w:rsid w:val="00285968"/>
    <w:rsid w:val="002859E4"/>
    <w:rsid w:val="00287445"/>
    <w:rsid w:val="002874E9"/>
    <w:rsid w:val="00287725"/>
    <w:rsid w:val="00287967"/>
    <w:rsid w:val="00290265"/>
    <w:rsid w:val="002908E8"/>
    <w:rsid w:val="002910B2"/>
    <w:rsid w:val="00291134"/>
    <w:rsid w:val="002929B8"/>
    <w:rsid w:val="0029403B"/>
    <w:rsid w:val="00295610"/>
    <w:rsid w:val="00296C8D"/>
    <w:rsid w:val="002A068F"/>
    <w:rsid w:val="002A0B77"/>
    <w:rsid w:val="002A1138"/>
    <w:rsid w:val="002A1349"/>
    <w:rsid w:val="002A1C53"/>
    <w:rsid w:val="002A30FF"/>
    <w:rsid w:val="002A36B7"/>
    <w:rsid w:val="002A37F1"/>
    <w:rsid w:val="002A383A"/>
    <w:rsid w:val="002A38F0"/>
    <w:rsid w:val="002A40BC"/>
    <w:rsid w:val="002A421A"/>
    <w:rsid w:val="002A5779"/>
    <w:rsid w:val="002A5AAC"/>
    <w:rsid w:val="002A668D"/>
    <w:rsid w:val="002A7AFE"/>
    <w:rsid w:val="002B018E"/>
    <w:rsid w:val="002B06C0"/>
    <w:rsid w:val="002B1550"/>
    <w:rsid w:val="002B1F2B"/>
    <w:rsid w:val="002B249B"/>
    <w:rsid w:val="002B2569"/>
    <w:rsid w:val="002B2682"/>
    <w:rsid w:val="002B27E5"/>
    <w:rsid w:val="002B2959"/>
    <w:rsid w:val="002B2A3F"/>
    <w:rsid w:val="002B2E24"/>
    <w:rsid w:val="002B31B5"/>
    <w:rsid w:val="002B32EE"/>
    <w:rsid w:val="002B393B"/>
    <w:rsid w:val="002B3E81"/>
    <w:rsid w:val="002B4036"/>
    <w:rsid w:val="002B4C81"/>
    <w:rsid w:val="002B50E0"/>
    <w:rsid w:val="002B5442"/>
    <w:rsid w:val="002B657E"/>
    <w:rsid w:val="002B6762"/>
    <w:rsid w:val="002B6D6C"/>
    <w:rsid w:val="002B70A4"/>
    <w:rsid w:val="002B7184"/>
    <w:rsid w:val="002B71C8"/>
    <w:rsid w:val="002B73CB"/>
    <w:rsid w:val="002B7F24"/>
    <w:rsid w:val="002C00F7"/>
    <w:rsid w:val="002C0F06"/>
    <w:rsid w:val="002C2791"/>
    <w:rsid w:val="002C2B9B"/>
    <w:rsid w:val="002C2D91"/>
    <w:rsid w:val="002C304B"/>
    <w:rsid w:val="002C375A"/>
    <w:rsid w:val="002C39D2"/>
    <w:rsid w:val="002C4A48"/>
    <w:rsid w:val="002C5723"/>
    <w:rsid w:val="002C5AEF"/>
    <w:rsid w:val="002C62C0"/>
    <w:rsid w:val="002C6357"/>
    <w:rsid w:val="002C68A4"/>
    <w:rsid w:val="002C6BAE"/>
    <w:rsid w:val="002C7DA0"/>
    <w:rsid w:val="002D0E9E"/>
    <w:rsid w:val="002D12E1"/>
    <w:rsid w:val="002D18E3"/>
    <w:rsid w:val="002D1D1B"/>
    <w:rsid w:val="002D227E"/>
    <w:rsid w:val="002D2E14"/>
    <w:rsid w:val="002D3364"/>
    <w:rsid w:val="002D39FD"/>
    <w:rsid w:val="002D3BCE"/>
    <w:rsid w:val="002D3CFA"/>
    <w:rsid w:val="002D444F"/>
    <w:rsid w:val="002D4678"/>
    <w:rsid w:val="002D4895"/>
    <w:rsid w:val="002D4926"/>
    <w:rsid w:val="002D4D9B"/>
    <w:rsid w:val="002D5434"/>
    <w:rsid w:val="002D57C4"/>
    <w:rsid w:val="002D6869"/>
    <w:rsid w:val="002D73CD"/>
    <w:rsid w:val="002D7A34"/>
    <w:rsid w:val="002D7EE6"/>
    <w:rsid w:val="002E0913"/>
    <w:rsid w:val="002E0E1B"/>
    <w:rsid w:val="002E1595"/>
    <w:rsid w:val="002E1669"/>
    <w:rsid w:val="002E1862"/>
    <w:rsid w:val="002E2216"/>
    <w:rsid w:val="002E228E"/>
    <w:rsid w:val="002E2816"/>
    <w:rsid w:val="002E330A"/>
    <w:rsid w:val="002E349C"/>
    <w:rsid w:val="002E42D4"/>
    <w:rsid w:val="002E5443"/>
    <w:rsid w:val="002E54BE"/>
    <w:rsid w:val="002E5F1B"/>
    <w:rsid w:val="002E62E5"/>
    <w:rsid w:val="002E6DA9"/>
    <w:rsid w:val="002E7D60"/>
    <w:rsid w:val="002F014E"/>
    <w:rsid w:val="002F024F"/>
    <w:rsid w:val="002F132A"/>
    <w:rsid w:val="002F137E"/>
    <w:rsid w:val="002F149F"/>
    <w:rsid w:val="002F181E"/>
    <w:rsid w:val="002F1B70"/>
    <w:rsid w:val="002F1CCE"/>
    <w:rsid w:val="002F2496"/>
    <w:rsid w:val="002F2EC5"/>
    <w:rsid w:val="002F3798"/>
    <w:rsid w:val="002F3898"/>
    <w:rsid w:val="002F39C3"/>
    <w:rsid w:val="002F39FB"/>
    <w:rsid w:val="002F48BE"/>
    <w:rsid w:val="002F4C7C"/>
    <w:rsid w:val="002F4D99"/>
    <w:rsid w:val="002F513D"/>
    <w:rsid w:val="002F673F"/>
    <w:rsid w:val="002F681E"/>
    <w:rsid w:val="002F68FE"/>
    <w:rsid w:val="002F6CAD"/>
    <w:rsid w:val="002F72AD"/>
    <w:rsid w:val="002F74EA"/>
    <w:rsid w:val="002F7A58"/>
    <w:rsid w:val="0030068B"/>
    <w:rsid w:val="00300C6C"/>
    <w:rsid w:val="003015E7"/>
    <w:rsid w:val="0030184C"/>
    <w:rsid w:val="003020B9"/>
    <w:rsid w:val="00302A44"/>
    <w:rsid w:val="00302AC8"/>
    <w:rsid w:val="00302FA5"/>
    <w:rsid w:val="0030303E"/>
    <w:rsid w:val="003046ED"/>
    <w:rsid w:val="00304BB7"/>
    <w:rsid w:val="00304C1D"/>
    <w:rsid w:val="00304F1E"/>
    <w:rsid w:val="00305029"/>
    <w:rsid w:val="00305ACF"/>
    <w:rsid w:val="003064CF"/>
    <w:rsid w:val="00307FD6"/>
    <w:rsid w:val="003106DA"/>
    <w:rsid w:val="00310BB9"/>
    <w:rsid w:val="00310E63"/>
    <w:rsid w:val="0031210C"/>
    <w:rsid w:val="00313B4A"/>
    <w:rsid w:val="00314417"/>
    <w:rsid w:val="003152F9"/>
    <w:rsid w:val="0031572C"/>
    <w:rsid w:val="0031577F"/>
    <w:rsid w:val="00316169"/>
    <w:rsid w:val="00316288"/>
    <w:rsid w:val="00316BC3"/>
    <w:rsid w:val="00316BF7"/>
    <w:rsid w:val="00316CD7"/>
    <w:rsid w:val="00316F20"/>
    <w:rsid w:val="00317137"/>
    <w:rsid w:val="00317491"/>
    <w:rsid w:val="00317C75"/>
    <w:rsid w:val="00317D33"/>
    <w:rsid w:val="0032028B"/>
    <w:rsid w:val="0032130D"/>
    <w:rsid w:val="003218DE"/>
    <w:rsid w:val="003220C0"/>
    <w:rsid w:val="0032223B"/>
    <w:rsid w:val="00322441"/>
    <w:rsid w:val="0032308A"/>
    <w:rsid w:val="003233AC"/>
    <w:rsid w:val="0032397D"/>
    <w:rsid w:val="00323E42"/>
    <w:rsid w:val="00324220"/>
    <w:rsid w:val="0032438E"/>
    <w:rsid w:val="003247F1"/>
    <w:rsid w:val="003252FA"/>
    <w:rsid w:val="00325647"/>
    <w:rsid w:val="003260D4"/>
    <w:rsid w:val="003263FB"/>
    <w:rsid w:val="00326423"/>
    <w:rsid w:val="00326635"/>
    <w:rsid w:val="00326A23"/>
    <w:rsid w:val="00326D0F"/>
    <w:rsid w:val="0033035E"/>
    <w:rsid w:val="00330BBC"/>
    <w:rsid w:val="00330E0A"/>
    <w:rsid w:val="00331302"/>
    <w:rsid w:val="00331622"/>
    <w:rsid w:val="00331808"/>
    <w:rsid w:val="00331EF1"/>
    <w:rsid w:val="00331FDB"/>
    <w:rsid w:val="00332E22"/>
    <w:rsid w:val="00333BCB"/>
    <w:rsid w:val="00333CEE"/>
    <w:rsid w:val="00334776"/>
    <w:rsid w:val="00335840"/>
    <w:rsid w:val="00336157"/>
    <w:rsid w:val="0033686A"/>
    <w:rsid w:val="00336B3C"/>
    <w:rsid w:val="00337917"/>
    <w:rsid w:val="00340942"/>
    <w:rsid w:val="00340E03"/>
    <w:rsid w:val="0034149C"/>
    <w:rsid w:val="003416B4"/>
    <w:rsid w:val="00341A93"/>
    <w:rsid w:val="003421A2"/>
    <w:rsid w:val="00342317"/>
    <w:rsid w:val="00342602"/>
    <w:rsid w:val="00344442"/>
    <w:rsid w:val="003449A2"/>
    <w:rsid w:val="00344A7F"/>
    <w:rsid w:val="00344D3D"/>
    <w:rsid w:val="00344DC9"/>
    <w:rsid w:val="00345A78"/>
    <w:rsid w:val="003462EF"/>
    <w:rsid w:val="00346AFF"/>
    <w:rsid w:val="00346D65"/>
    <w:rsid w:val="00346DE9"/>
    <w:rsid w:val="00347B91"/>
    <w:rsid w:val="00347E51"/>
    <w:rsid w:val="00347FC5"/>
    <w:rsid w:val="0035052B"/>
    <w:rsid w:val="00351306"/>
    <w:rsid w:val="0035217C"/>
    <w:rsid w:val="003529C0"/>
    <w:rsid w:val="0035373B"/>
    <w:rsid w:val="00353788"/>
    <w:rsid w:val="003539D0"/>
    <w:rsid w:val="00354695"/>
    <w:rsid w:val="003555AE"/>
    <w:rsid w:val="003556C9"/>
    <w:rsid w:val="00356028"/>
    <w:rsid w:val="00356176"/>
    <w:rsid w:val="00356278"/>
    <w:rsid w:val="00356753"/>
    <w:rsid w:val="003568F9"/>
    <w:rsid w:val="003571AE"/>
    <w:rsid w:val="00357414"/>
    <w:rsid w:val="00360422"/>
    <w:rsid w:val="0036081B"/>
    <w:rsid w:val="00361813"/>
    <w:rsid w:val="00363084"/>
    <w:rsid w:val="003636AB"/>
    <w:rsid w:val="003647EF"/>
    <w:rsid w:val="00364CF9"/>
    <w:rsid w:val="00364F3B"/>
    <w:rsid w:val="00365CA8"/>
    <w:rsid w:val="0036691A"/>
    <w:rsid w:val="00366A29"/>
    <w:rsid w:val="00366C97"/>
    <w:rsid w:val="00366E45"/>
    <w:rsid w:val="0036720D"/>
    <w:rsid w:val="003672D5"/>
    <w:rsid w:val="003704FC"/>
    <w:rsid w:val="00370C9F"/>
    <w:rsid w:val="00370DB1"/>
    <w:rsid w:val="0037148D"/>
    <w:rsid w:val="00371490"/>
    <w:rsid w:val="00371821"/>
    <w:rsid w:val="00372525"/>
    <w:rsid w:val="00372771"/>
    <w:rsid w:val="00372F01"/>
    <w:rsid w:val="00373060"/>
    <w:rsid w:val="00373255"/>
    <w:rsid w:val="00373C41"/>
    <w:rsid w:val="00373CBD"/>
    <w:rsid w:val="003740FF"/>
    <w:rsid w:val="003751A9"/>
    <w:rsid w:val="00375D41"/>
    <w:rsid w:val="00375E9A"/>
    <w:rsid w:val="00375EBB"/>
    <w:rsid w:val="0037634E"/>
    <w:rsid w:val="00376E47"/>
    <w:rsid w:val="00377424"/>
    <w:rsid w:val="00377D76"/>
    <w:rsid w:val="0038030F"/>
    <w:rsid w:val="0038046D"/>
    <w:rsid w:val="003812C2"/>
    <w:rsid w:val="0038247F"/>
    <w:rsid w:val="00382E03"/>
    <w:rsid w:val="00383062"/>
    <w:rsid w:val="00383B62"/>
    <w:rsid w:val="00383EDD"/>
    <w:rsid w:val="0038414E"/>
    <w:rsid w:val="00384B1E"/>
    <w:rsid w:val="00385B09"/>
    <w:rsid w:val="00385CC4"/>
    <w:rsid w:val="00386543"/>
    <w:rsid w:val="00386A16"/>
    <w:rsid w:val="0038718C"/>
    <w:rsid w:val="0038790D"/>
    <w:rsid w:val="00387E2C"/>
    <w:rsid w:val="00387F35"/>
    <w:rsid w:val="003906AE"/>
    <w:rsid w:val="00390C17"/>
    <w:rsid w:val="00390D0B"/>
    <w:rsid w:val="003922C1"/>
    <w:rsid w:val="003923B1"/>
    <w:rsid w:val="0039351F"/>
    <w:rsid w:val="003935E5"/>
    <w:rsid w:val="00393BEE"/>
    <w:rsid w:val="00394428"/>
    <w:rsid w:val="0039449F"/>
    <w:rsid w:val="00395223"/>
    <w:rsid w:val="003953EE"/>
    <w:rsid w:val="00395E0F"/>
    <w:rsid w:val="00395E36"/>
    <w:rsid w:val="00396223"/>
    <w:rsid w:val="00396745"/>
    <w:rsid w:val="003971B2"/>
    <w:rsid w:val="003979D8"/>
    <w:rsid w:val="00397EDB"/>
    <w:rsid w:val="003A04FE"/>
    <w:rsid w:val="003A05B6"/>
    <w:rsid w:val="003A066D"/>
    <w:rsid w:val="003A0B2C"/>
    <w:rsid w:val="003A1037"/>
    <w:rsid w:val="003A1583"/>
    <w:rsid w:val="003A18DF"/>
    <w:rsid w:val="003A1F64"/>
    <w:rsid w:val="003A21DF"/>
    <w:rsid w:val="003A2345"/>
    <w:rsid w:val="003A246F"/>
    <w:rsid w:val="003A2590"/>
    <w:rsid w:val="003A28E0"/>
    <w:rsid w:val="003A2BFA"/>
    <w:rsid w:val="003A38F7"/>
    <w:rsid w:val="003A45C5"/>
    <w:rsid w:val="003A4669"/>
    <w:rsid w:val="003A67A2"/>
    <w:rsid w:val="003A6BDD"/>
    <w:rsid w:val="003A75A8"/>
    <w:rsid w:val="003A7925"/>
    <w:rsid w:val="003A7EE2"/>
    <w:rsid w:val="003B0892"/>
    <w:rsid w:val="003B0D47"/>
    <w:rsid w:val="003B0EC5"/>
    <w:rsid w:val="003B17C2"/>
    <w:rsid w:val="003B1BDA"/>
    <w:rsid w:val="003B1BFA"/>
    <w:rsid w:val="003B2090"/>
    <w:rsid w:val="003B2365"/>
    <w:rsid w:val="003B241D"/>
    <w:rsid w:val="003B3107"/>
    <w:rsid w:val="003B3A8E"/>
    <w:rsid w:val="003B4874"/>
    <w:rsid w:val="003B48C0"/>
    <w:rsid w:val="003B4A47"/>
    <w:rsid w:val="003B62F7"/>
    <w:rsid w:val="003B64C6"/>
    <w:rsid w:val="003B69E9"/>
    <w:rsid w:val="003B6A2B"/>
    <w:rsid w:val="003B735F"/>
    <w:rsid w:val="003B766A"/>
    <w:rsid w:val="003C0C80"/>
    <w:rsid w:val="003C10EA"/>
    <w:rsid w:val="003C19AB"/>
    <w:rsid w:val="003C19C1"/>
    <w:rsid w:val="003C258B"/>
    <w:rsid w:val="003C303C"/>
    <w:rsid w:val="003C31EB"/>
    <w:rsid w:val="003C555C"/>
    <w:rsid w:val="003C5646"/>
    <w:rsid w:val="003C5F20"/>
    <w:rsid w:val="003C5F9A"/>
    <w:rsid w:val="003C6346"/>
    <w:rsid w:val="003C6D88"/>
    <w:rsid w:val="003C77D3"/>
    <w:rsid w:val="003C7E48"/>
    <w:rsid w:val="003D000B"/>
    <w:rsid w:val="003D02C9"/>
    <w:rsid w:val="003D0CC7"/>
    <w:rsid w:val="003D1134"/>
    <w:rsid w:val="003D1E48"/>
    <w:rsid w:val="003D1EF2"/>
    <w:rsid w:val="003D2A28"/>
    <w:rsid w:val="003D2CF5"/>
    <w:rsid w:val="003D2D43"/>
    <w:rsid w:val="003D2E73"/>
    <w:rsid w:val="003D2F71"/>
    <w:rsid w:val="003D3977"/>
    <w:rsid w:val="003D49B1"/>
    <w:rsid w:val="003D4AFF"/>
    <w:rsid w:val="003D5356"/>
    <w:rsid w:val="003D634B"/>
    <w:rsid w:val="003E043D"/>
    <w:rsid w:val="003E12D1"/>
    <w:rsid w:val="003E1BEE"/>
    <w:rsid w:val="003E1BFE"/>
    <w:rsid w:val="003E2996"/>
    <w:rsid w:val="003E33A6"/>
    <w:rsid w:val="003E5C56"/>
    <w:rsid w:val="003E61D0"/>
    <w:rsid w:val="003E6856"/>
    <w:rsid w:val="003E6F9E"/>
    <w:rsid w:val="003E70C9"/>
    <w:rsid w:val="003E7399"/>
    <w:rsid w:val="003E7F2E"/>
    <w:rsid w:val="003F0064"/>
    <w:rsid w:val="003F0713"/>
    <w:rsid w:val="003F23AD"/>
    <w:rsid w:val="003F2728"/>
    <w:rsid w:val="003F2D90"/>
    <w:rsid w:val="003F327D"/>
    <w:rsid w:val="003F365C"/>
    <w:rsid w:val="003F39D8"/>
    <w:rsid w:val="003F3B3D"/>
    <w:rsid w:val="003F3C86"/>
    <w:rsid w:val="003F3CF1"/>
    <w:rsid w:val="003F534E"/>
    <w:rsid w:val="003F5459"/>
    <w:rsid w:val="003F764B"/>
    <w:rsid w:val="003F787D"/>
    <w:rsid w:val="003F7BCD"/>
    <w:rsid w:val="00400403"/>
    <w:rsid w:val="004014E9"/>
    <w:rsid w:val="00401F1D"/>
    <w:rsid w:val="0040239D"/>
    <w:rsid w:val="0040300B"/>
    <w:rsid w:val="00403211"/>
    <w:rsid w:val="00404519"/>
    <w:rsid w:val="00404529"/>
    <w:rsid w:val="0040465F"/>
    <w:rsid w:val="00406C9D"/>
    <w:rsid w:val="00406EEB"/>
    <w:rsid w:val="004071CB"/>
    <w:rsid w:val="00407752"/>
    <w:rsid w:val="00407891"/>
    <w:rsid w:val="0041086B"/>
    <w:rsid w:val="00410DD3"/>
    <w:rsid w:val="004128AD"/>
    <w:rsid w:val="00412D88"/>
    <w:rsid w:val="00412E12"/>
    <w:rsid w:val="00413964"/>
    <w:rsid w:val="00413FC5"/>
    <w:rsid w:val="004146D5"/>
    <w:rsid w:val="0041470A"/>
    <w:rsid w:val="00415FD6"/>
    <w:rsid w:val="0041606A"/>
    <w:rsid w:val="0041611E"/>
    <w:rsid w:val="00416DA2"/>
    <w:rsid w:val="00416F2E"/>
    <w:rsid w:val="004171EF"/>
    <w:rsid w:val="004172F2"/>
    <w:rsid w:val="0041781F"/>
    <w:rsid w:val="00417ED0"/>
    <w:rsid w:val="00420448"/>
    <w:rsid w:val="00420916"/>
    <w:rsid w:val="00420E2E"/>
    <w:rsid w:val="00421659"/>
    <w:rsid w:val="00422D73"/>
    <w:rsid w:val="0042319F"/>
    <w:rsid w:val="0042377B"/>
    <w:rsid w:val="00423877"/>
    <w:rsid w:val="00423CF7"/>
    <w:rsid w:val="0042471A"/>
    <w:rsid w:val="00425122"/>
    <w:rsid w:val="00426001"/>
    <w:rsid w:val="004264D5"/>
    <w:rsid w:val="00427159"/>
    <w:rsid w:val="00427BA7"/>
    <w:rsid w:val="00427E2C"/>
    <w:rsid w:val="00427FEE"/>
    <w:rsid w:val="00430FEB"/>
    <w:rsid w:val="00431617"/>
    <w:rsid w:val="00431C4E"/>
    <w:rsid w:val="00431D2E"/>
    <w:rsid w:val="00431F1A"/>
    <w:rsid w:val="00431F58"/>
    <w:rsid w:val="00432D99"/>
    <w:rsid w:val="0043344F"/>
    <w:rsid w:val="00433680"/>
    <w:rsid w:val="004336C8"/>
    <w:rsid w:val="00433ECB"/>
    <w:rsid w:val="00434269"/>
    <w:rsid w:val="00434F79"/>
    <w:rsid w:val="004350D7"/>
    <w:rsid w:val="00436107"/>
    <w:rsid w:val="00436F8C"/>
    <w:rsid w:val="00437427"/>
    <w:rsid w:val="0044118F"/>
    <w:rsid w:val="00441D73"/>
    <w:rsid w:val="00441E90"/>
    <w:rsid w:val="004421D9"/>
    <w:rsid w:val="004426B2"/>
    <w:rsid w:val="00442731"/>
    <w:rsid w:val="00443CBE"/>
    <w:rsid w:val="00444F2A"/>
    <w:rsid w:val="004455E1"/>
    <w:rsid w:val="004459F8"/>
    <w:rsid w:val="00445B62"/>
    <w:rsid w:val="00445E61"/>
    <w:rsid w:val="00445F47"/>
    <w:rsid w:val="00446368"/>
    <w:rsid w:val="00446CAB"/>
    <w:rsid w:val="00446CF0"/>
    <w:rsid w:val="0045021E"/>
    <w:rsid w:val="00450B1B"/>
    <w:rsid w:val="004510C5"/>
    <w:rsid w:val="004516E7"/>
    <w:rsid w:val="00452D8E"/>
    <w:rsid w:val="0045353C"/>
    <w:rsid w:val="00454859"/>
    <w:rsid w:val="004550EB"/>
    <w:rsid w:val="00455ACE"/>
    <w:rsid w:val="004565B1"/>
    <w:rsid w:val="004569F6"/>
    <w:rsid w:val="00456FDB"/>
    <w:rsid w:val="004578E1"/>
    <w:rsid w:val="004578E5"/>
    <w:rsid w:val="004578E8"/>
    <w:rsid w:val="004603EE"/>
    <w:rsid w:val="00460FCC"/>
    <w:rsid w:val="00462638"/>
    <w:rsid w:val="00462B46"/>
    <w:rsid w:val="00463323"/>
    <w:rsid w:val="004637B4"/>
    <w:rsid w:val="004639D6"/>
    <w:rsid w:val="004640E0"/>
    <w:rsid w:val="00465F63"/>
    <w:rsid w:val="00466149"/>
    <w:rsid w:val="0046618B"/>
    <w:rsid w:val="00466744"/>
    <w:rsid w:val="00466CFF"/>
    <w:rsid w:val="00467893"/>
    <w:rsid w:val="00467FAD"/>
    <w:rsid w:val="004707F4"/>
    <w:rsid w:val="00470B9C"/>
    <w:rsid w:val="00470CE1"/>
    <w:rsid w:val="0047100E"/>
    <w:rsid w:val="00471376"/>
    <w:rsid w:val="0047138F"/>
    <w:rsid w:val="00471B45"/>
    <w:rsid w:val="00471E9D"/>
    <w:rsid w:val="00472019"/>
    <w:rsid w:val="004723DC"/>
    <w:rsid w:val="004727E2"/>
    <w:rsid w:val="00472CFF"/>
    <w:rsid w:val="0047305C"/>
    <w:rsid w:val="00473878"/>
    <w:rsid w:val="004748BC"/>
    <w:rsid w:val="00475C00"/>
    <w:rsid w:val="004767CF"/>
    <w:rsid w:val="0047681D"/>
    <w:rsid w:val="00476D80"/>
    <w:rsid w:val="004770B5"/>
    <w:rsid w:val="0047769D"/>
    <w:rsid w:val="004776CB"/>
    <w:rsid w:val="00477847"/>
    <w:rsid w:val="0047793D"/>
    <w:rsid w:val="00477AF4"/>
    <w:rsid w:val="00480D09"/>
    <w:rsid w:val="00480F00"/>
    <w:rsid w:val="00481B81"/>
    <w:rsid w:val="00481EBA"/>
    <w:rsid w:val="00481F31"/>
    <w:rsid w:val="00481F8B"/>
    <w:rsid w:val="004829A3"/>
    <w:rsid w:val="00483459"/>
    <w:rsid w:val="004839E4"/>
    <w:rsid w:val="00483FAF"/>
    <w:rsid w:val="00484302"/>
    <w:rsid w:val="00484868"/>
    <w:rsid w:val="00485416"/>
    <w:rsid w:val="00485639"/>
    <w:rsid w:val="00486EBE"/>
    <w:rsid w:val="004871AD"/>
    <w:rsid w:val="0049011E"/>
    <w:rsid w:val="00490477"/>
    <w:rsid w:val="00490601"/>
    <w:rsid w:val="0049094C"/>
    <w:rsid w:val="00490C99"/>
    <w:rsid w:val="0049106C"/>
    <w:rsid w:val="00491766"/>
    <w:rsid w:val="0049218A"/>
    <w:rsid w:val="00492B61"/>
    <w:rsid w:val="00494676"/>
    <w:rsid w:val="00494B24"/>
    <w:rsid w:val="00495263"/>
    <w:rsid w:val="00495283"/>
    <w:rsid w:val="00495590"/>
    <w:rsid w:val="00495825"/>
    <w:rsid w:val="00495EC3"/>
    <w:rsid w:val="00495FD9"/>
    <w:rsid w:val="0049645D"/>
    <w:rsid w:val="0049666F"/>
    <w:rsid w:val="00497044"/>
    <w:rsid w:val="004970FA"/>
    <w:rsid w:val="00497657"/>
    <w:rsid w:val="004976B9"/>
    <w:rsid w:val="00497E50"/>
    <w:rsid w:val="00497FDE"/>
    <w:rsid w:val="004A0782"/>
    <w:rsid w:val="004A0F58"/>
    <w:rsid w:val="004A0F5A"/>
    <w:rsid w:val="004A13F9"/>
    <w:rsid w:val="004A1500"/>
    <w:rsid w:val="004A28DF"/>
    <w:rsid w:val="004A2C2F"/>
    <w:rsid w:val="004A3050"/>
    <w:rsid w:val="004A393D"/>
    <w:rsid w:val="004A4357"/>
    <w:rsid w:val="004A43D6"/>
    <w:rsid w:val="004A6033"/>
    <w:rsid w:val="004A67BE"/>
    <w:rsid w:val="004A6FE7"/>
    <w:rsid w:val="004A73DA"/>
    <w:rsid w:val="004B0B35"/>
    <w:rsid w:val="004B1229"/>
    <w:rsid w:val="004B2118"/>
    <w:rsid w:val="004B2289"/>
    <w:rsid w:val="004B2D47"/>
    <w:rsid w:val="004B3011"/>
    <w:rsid w:val="004B4842"/>
    <w:rsid w:val="004B4924"/>
    <w:rsid w:val="004B53F8"/>
    <w:rsid w:val="004B698A"/>
    <w:rsid w:val="004B709C"/>
    <w:rsid w:val="004B78F4"/>
    <w:rsid w:val="004B79FE"/>
    <w:rsid w:val="004B7D7F"/>
    <w:rsid w:val="004C0171"/>
    <w:rsid w:val="004C02F6"/>
    <w:rsid w:val="004C1174"/>
    <w:rsid w:val="004C1B2A"/>
    <w:rsid w:val="004C1E62"/>
    <w:rsid w:val="004C1ED8"/>
    <w:rsid w:val="004C3090"/>
    <w:rsid w:val="004C3CF9"/>
    <w:rsid w:val="004C43E1"/>
    <w:rsid w:val="004C54DC"/>
    <w:rsid w:val="004C6115"/>
    <w:rsid w:val="004C6536"/>
    <w:rsid w:val="004C677D"/>
    <w:rsid w:val="004C6F33"/>
    <w:rsid w:val="004C6F35"/>
    <w:rsid w:val="004C706E"/>
    <w:rsid w:val="004C7884"/>
    <w:rsid w:val="004C7F3F"/>
    <w:rsid w:val="004D01F9"/>
    <w:rsid w:val="004D076A"/>
    <w:rsid w:val="004D0C4B"/>
    <w:rsid w:val="004D1134"/>
    <w:rsid w:val="004D1E46"/>
    <w:rsid w:val="004D1EF8"/>
    <w:rsid w:val="004D24FF"/>
    <w:rsid w:val="004D3407"/>
    <w:rsid w:val="004D3668"/>
    <w:rsid w:val="004D3AA5"/>
    <w:rsid w:val="004D3E4B"/>
    <w:rsid w:val="004D56EB"/>
    <w:rsid w:val="004D63AF"/>
    <w:rsid w:val="004D66A9"/>
    <w:rsid w:val="004D6976"/>
    <w:rsid w:val="004D6A97"/>
    <w:rsid w:val="004D6B26"/>
    <w:rsid w:val="004D6DB0"/>
    <w:rsid w:val="004D7101"/>
    <w:rsid w:val="004D7414"/>
    <w:rsid w:val="004D7D12"/>
    <w:rsid w:val="004E1CB6"/>
    <w:rsid w:val="004E2B23"/>
    <w:rsid w:val="004E2D9C"/>
    <w:rsid w:val="004E2DC2"/>
    <w:rsid w:val="004E4945"/>
    <w:rsid w:val="004E4A79"/>
    <w:rsid w:val="004E4C73"/>
    <w:rsid w:val="004E5136"/>
    <w:rsid w:val="004E55F9"/>
    <w:rsid w:val="004E5BDC"/>
    <w:rsid w:val="004E643C"/>
    <w:rsid w:val="004E6940"/>
    <w:rsid w:val="004E69D2"/>
    <w:rsid w:val="004E7373"/>
    <w:rsid w:val="004E7DE6"/>
    <w:rsid w:val="004F01BC"/>
    <w:rsid w:val="004F07B0"/>
    <w:rsid w:val="004F0B52"/>
    <w:rsid w:val="004F0C3D"/>
    <w:rsid w:val="004F10CB"/>
    <w:rsid w:val="004F17F2"/>
    <w:rsid w:val="004F21C1"/>
    <w:rsid w:val="004F2B21"/>
    <w:rsid w:val="004F2DEE"/>
    <w:rsid w:val="004F2EA0"/>
    <w:rsid w:val="004F3033"/>
    <w:rsid w:val="004F34F4"/>
    <w:rsid w:val="004F3636"/>
    <w:rsid w:val="004F4331"/>
    <w:rsid w:val="004F45C3"/>
    <w:rsid w:val="004F5CFA"/>
    <w:rsid w:val="004F6096"/>
    <w:rsid w:val="004F62DF"/>
    <w:rsid w:val="004F6F60"/>
    <w:rsid w:val="004F72D9"/>
    <w:rsid w:val="004F753D"/>
    <w:rsid w:val="00500B18"/>
    <w:rsid w:val="00501374"/>
    <w:rsid w:val="0050153D"/>
    <w:rsid w:val="00501D60"/>
    <w:rsid w:val="005025FB"/>
    <w:rsid w:val="0050282B"/>
    <w:rsid w:val="005031B7"/>
    <w:rsid w:val="005032B9"/>
    <w:rsid w:val="005034AA"/>
    <w:rsid w:val="00503B63"/>
    <w:rsid w:val="00504A88"/>
    <w:rsid w:val="00505FA0"/>
    <w:rsid w:val="0050640E"/>
    <w:rsid w:val="005066A4"/>
    <w:rsid w:val="005067D4"/>
    <w:rsid w:val="0050696F"/>
    <w:rsid w:val="00506C75"/>
    <w:rsid w:val="00510797"/>
    <w:rsid w:val="00510B21"/>
    <w:rsid w:val="00510E04"/>
    <w:rsid w:val="0051119C"/>
    <w:rsid w:val="00511665"/>
    <w:rsid w:val="00511F9D"/>
    <w:rsid w:val="00511FEB"/>
    <w:rsid w:val="005120FD"/>
    <w:rsid w:val="0051221A"/>
    <w:rsid w:val="005125A4"/>
    <w:rsid w:val="00513E25"/>
    <w:rsid w:val="005141BD"/>
    <w:rsid w:val="0051420B"/>
    <w:rsid w:val="005143F2"/>
    <w:rsid w:val="005145C5"/>
    <w:rsid w:val="00514A10"/>
    <w:rsid w:val="0051503B"/>
    <w:rsid w:val="005153F2"/>
    <w:rsid w:val="0051624A"/>
    <w:rsid w:val="00516EA6"/>
    <w:rsid w:val="00517B0C"/>
    <w:rsid w:val="005207A9"/>
    <w:rsid w:val="0052096F"/>
    <w:rsid w:val="00520AC1"/>
    <w:rsid w:val="00521225"/>
    <w:rsid w:val="005216A4"/>
    <w:rsid w:val="00521C5C"/>
    <w:rsid w:val="00521EAA"/>
    <w:rsid w:val="005222E5"/>
    <w:rsid w:val="005228F6"/>
    <w:rsid w:val="00523ACE"/>
    <w:rsid w:val="00524D14"/>
    <w:rsid w:val="00524F3C"/>
    <w:rsid w:val="005250C6"/>
    <w:rsid w:val="005264CB"/>
    <w:rsid w:val="005274CB"/>
    <w:rsid w:val="0052752B"/>
    <w:rsid w:val="00531118"/>
    <w:rsid w:val="00531247"/>
    <w:rsid w:val="0053264B"/>
    <w:rsid w:val="00532B21"/>
    <w:rsid w:val="00533A4A"/>
    <w:rsid w:val="00533B0B"/>
    <w:rsid w:val="00533ED7"/>
    <w:rsid w:val="00534789"/>
    <w:rsid w:val="005357E0"/>
    <w:rsid w:val="00535C4D"/>
    <w:rsid w:val="00536192"/>
    <w:rsid w:val="00536B94"/>
    <w:rsid w:val="0053763A"/>
    <w:rsid w:val="00540424"/>
    <w:rsid w:val="00540AEC"/>
    <w:rsid w:val="0054212E"/>
    <w:rsid w:val="00542368"/>
    <w:rsid w:val="00542445"/>
    <w:rsid w:val="00542FB5"/>
    <w:rsid w:val="005431D5"/>
    <w:rsid w:val="0054381D"/>
    <w:rsid w:val="00545423"/>
    <w:rsid w:val="00545895"/>
    <w:rsid w:val="00545C28"/>
    <w:rsid w:val="00545EA3"/>
    <w:rsid w:val="005462F2"/>
    <w:rsid w:val="0054654E"/>
    <w:rsid w:val="005465E4"/>
    <w:rsid w:val="005476B8"/>
    <w:rsid w:val="0054777B"/>
    <w:rsid w:val="00547924"/>
    <w:rsid w:val="00547B25"/>
    <w:rsid w:val="00547E9F"/>
    <w:rsid w:val="0055022F"/>
    <w:rsid w:val="005504CD"/>
    <w:rsid w:val="00551905"/>
    <w:rsid w:val="00551DE8"/>
    <w:rsid w:val="00552A1B"/>
    <w:rsid w:val="0055378E"/>
    <w:rsid w:val="00553DFF"/>
    <w:rsid w:val="00555D46"/>
    <w:rsid w:val="00556046"/>
    <w:rsid w:val="005565A8"/>
    <w:rsid w:val="0055682B"/>
    <w:rsid w:val="00557062"/>
    <w:rsid w:val="00561421"/>
    <w:rsid w:val="00561907"/>
    <w:rsid w:val="00561980"/>
    <w:rsid w:val="00561DC2"/>
    <w:rsid w:val="0056224A"/>
    <w:rsid w:val="0056225E"/>
    <w:rsid w:val="00562302"/>
    <w:rsid w:val="00562BFD"/>
    <w:rsid w:val="005632FC"/>
    <w:rsid w:val="00564BCB"/>
    <w:rsid w:val="00564EDA"/>
    <w:rsid w:val="00565DA5"/>
    <w:rsid w:val="00566BC8"/>
    <w:rsid w:val="00566F38"/>
    <w:rsid w:val="005679F7"/>
    <w:rsid w:val="0057052B"/>
    <w:rsid w:val="00571445"/>
    <w:rsid w:val="00571708"/>
    <w:rsid w:val="00572959"/>
    <w:rsid w:val="00573AAE"/>
    <w:rsid w:val="00574DD7"/>
    <w:rsid w:val="00575337"/>
    <w:rsid w:val="005760B6"/>
    <w:rsid w:val="005770DE"/>
    <w:rsid w:val="00577AF2"/>
    <w:rsid w:val="00577BDB"/>
    <w:rsid w:val="00581344"/>
    <w:rsid w:val="005815F0"/>
    <w:rsid w:val="00581B92"/>
    <w:rsid w:val="00582676"/>
    <w:rsid w:val="0058288C"/>
    <w:rsid w:val="00583EE6"/>
    <w:rsid w:val="00583F67"/>
    <w:rsid w:val="005849F8"/>
    <w:rsid w:val="00584E68"/>
    <w:rsid w:val="0058552A"/>
    <w:rsid w:val="005858B7"/>
    <w:rsid w:val="00585BD8"/>
    <w:rsid w:val="005862ED"/>
    <w:rsid w:val="005863B8"/>
    <w:rsid w:val="005866EA"/>
    <w:rsid w:val="0058690F"/>
    <w:rsid w:val="00586C84"/>
    <w:rsid w:val="00586FAE"/>
    <w:rsid w:val="00587423"/>
    <w:rsid w:val="0058754E"/>
    <w:rsid w:val="00587E36"/>
    <w:rsid w:val="005905D2"/>
    <w:rsid w:val="005929DF"/>
    <w:rsid w:val="005933C8"/>
    <w:rsid w:val="0059341B"/>
    <w:rsid w:val="0059379A"/>
    <w:rsid w:val="00594306"/>
    <w:rsid w:val="00594D9E"/>
    <w:rsid w:val="00594F6A"/>
    <w:rsid w:val="00595008"/>
    <w:rsid w:val="00595AFA"/>
    <w:rsid w:val="00597337"/>
    <w:rsid w:val="00597A5B"/>
    <w:rsid w:val="00597A79"/>
    <w:rsid w:val="005A0883"/>
    <w:rsid w:val="005A09A1"/>
    <w:rsid w:val="005A127F"/>
    <w:rsid w:val="005A1496"/>
    <w:rsid w:val="005A155A"/>
    <w:rsid w:val="005A197B"/>
    <w:rsid w:val="005A1F14"/>
    <w:rsid w:val="005A27B9"/>
    <w:rsid w:val="005A2A08"/>
    <w:rsid w:val="005A2BC8"/>
    <w:rsid w:val="005A41B9"/>
    <w:rsid w:val="005A4538"/>
    <w:rsid w:val="005A4C5D"/>
    <w:rsid w:val="005A6382"/>
    <w:rsid w:val="005A64A3"/>
    <w:rsid w:val="005A6AC8"/>
    <w:rsid w:val="005A7898"/>
    <w:rsid w:val="005A79CA"/>
    <w:rsid w:val="005B0012"/>
    <w:rsid w:val="005B0269"/>
    <w:rsid w:val="005B1306"/>
    <w:rsid w:val="005B14EA"/>
    <w:rsid w:val="005B1BA7"/>
    <w:rsid w:val="005B1EA2"/>
    <w:rsid w:val="005B265A"/>
    <w:rsid w:val="005B2AD8"/>
    <w:rsid w:val="005B2AF9"/>
    <w:rsid w:val="005B32E9"/>
    <w:rsid w:val="005B3424"/>
    <w:rsid w:val="005B3898"/>
    <w:rsid w:val="005B3B44"/>
    <w:rsid w:val="005B427F"/>
    <w:rsid w:val="005B43F9"/>
    <w:rsid w:val="005B48E5"/>
    <w:rsid w:val="005B605A"/>
    <w:rsid w:val="005B6473"/>
    <w:rsid w:val="005B6505"/>
    <w:rsid w:val="005B65CD"/>
    <w:rsid w:val="005B6A38"/>
    <w:rsid w:val="005B7195"/>
    <w:rsid w:val="005B73FE"/>
    <w:rsid w:val="005B741F"/>
    <w:rsid w:val="005C1F0F"/>
    <w:rsid w:val="005C1F4F"/>
    <w:rsid w:val="005C20ED"/>
    <w:rsid w:val="005C25CC"/>
    <w:rsid w:val="005C2A1C"/>
    <w:rsid w:val="005C396E"/>
    <w:rsid w:val="005C42DB"/>
    <w:rsid w:val="005C4A4C"/>
    <w:rsid w:val="005C4CE7"/>
    <w:rsid w:val="005C4DD9"/>
    <w:rsid w:val="005C5209"/>
    <w:rsid w:val="005C5408"/>
    <w:rsid w:val="005C5767"/>
    <w:rsid w:val="005C5982"/>
    <w:rsid w:val="005C5F6C"/>
    <w:rsid w:val="005C68C7"/>
    <w:rsid w:val="005C6BCF"/>
    <w:rsid w:val="005C6E05"/>
    <w:rsid w:val="005C72C1"/>
    <w:rsid w:val="005D01E7"/>
    <w:rsid w:val="005D092C"/>
    <w:rsid w:val="005D0A25"/>
    <w:rsid w:val="005D0ECC"/>
    <w:rsid w:val="005D115F"/>
    <w:rsid w:val="005D1CD1"/>
    <w:rsid w:val="005D1D1C"/>
    <w:rsid w:val="005D2E1F"/>
    <w:rsid w:val="005D3129"/>
    <w:rsid w:val="005D3F60"/>
    <w:rsid w:val="005D57C1"/>
    <w:rsid w:val="005D5C0F"/>
    <w:rsid w:val="005D65F2"/>
    <w:rsid w:val="005D69ED"/>
    <w:rsid w:val="005D6B0E"/>
    <w:rsid w:val="005D6B6C"/>
    <w:rsid w:val="005D7430"/>
    <w:rsid w:val="005E027E"/>
    <w:rsid w:val="005E02BE"/>
    <w:rsid w:val="005E1828"/>
    <w:rsid w:val="005E18A0"/>
    <w:rsid w:val="005E1975"/>
    <w:rsid w:val="005E1EFA"/>
    <w:rsid w:val="005E203B"/>
    <w:rsid w:val="005E22D9"/>
    <w:rsid w:val="005E3964"/>
    <w:rsid w:val="005E39AA"/>
    <w:rsid w:val="005E4663"/>
    <w:rsid w:val="005E4CFA"/>
    <w:rsid w:val="005E4E9B"/>
    <w:rsid w:val="005E55AF"/>
    <w:rsid w:val="005E55BB"/>
    <w:rsid w:val="005E55DB"/>
    <w:rsid w:val="005E578C"/>
    <w:rsid w:val="005E5EFF"/>
    <w:rsid w:val="005E6A91"/>
    <w:rsid w:val="005E7747"/>
    <w:rsid w:val="005E7A9B"/>
    <w:rsid w:val="005E7FBE"/>
    <w:rsid w:val="005F0E0B"/>
    <w:rsid w:val="005F118A"/>
    <w:rsid w:val="005F24BD"/>
    <w:rsid w:val="005F254E"/>
    <w:rsid w:val="005F2740"/>
    <w:rsid w:val="005F29F2"/>
    <w:rsid w:val="005F2C68"/>
    <w:rsid w:val="005F361B"/>
    <w:rsid w:val="005F3FC3"/>
    <w:rsid w:val="005F4069"/>
    <w:rsid w:val="005F4D58"/>
    <w:rsid w:val="005F563B"/>
    <w:rsid w:val="005F6378"/>
    <w:rsid w:val="005F6391"/>
    <w:rsid w:val="005F6693"/>
    <w:rsid w:val="005F68AD"/>
    <w:rsid w:val="005F7643"/>
    <w:rsid w:val="00601870"/>
    <w:rsid w:val="00601E00"/>
    <w:rsid w:val="00603183"/>
    <w:rsid w:val="006037D9"/>
    <w:rsid w:val="006038F0"/>
    <w:rsid w:val="00603AC0"/>
    <w:rsid w:val="00604115"/>
    <w:rsid w:val="00605D66"/>
    <w:rsid w:val="00605FD5"/>
    <w:rsid w:val="00606675"/>
    <w:rsid w:val="00606919"/>
    <w:rsid w:val="006069D9"/>
    <w:rsid w:val="00606F97"/>
    <w:rsid w:val="00607AC5"/>
    <w:rsid w:val="00607C5E"/>
    <w:rsid w:val="00607D25"/>
    <w:rsid w:val="00607DF2"/>
    <w:rsid w:val="006104D1"/>
    <w:rsid w:val="0061052A"/>
    <w:rsid w:val="0061102D"/>
    <w:rsid w:val="0061124C"/>
    <w:rsid w:val="00611393"/>
    <w:rsid w:val="00611746"/>
    <w:rsid w:val="00611A6C"/>
    <w:rsid w:val="00611C36"/>
    <w:rsid w:val="006120D5"/>
    <w:rsid w:val="0061267B"/>
    <w:rsid w:val="006133A6"/>
    <w:rsid w:val="00613C82"/>
    <w:rsid w:val="006149C7"/>
    <w:rsid w:val="006149F2"/>
    <w:rsid w:val="00614AF3"/>
    <w:rsid w:val="0061517C"/>
    <w:rsid w:val="00617015"/>
    <w:rsid w:val="00617354"/>
    <w:rsid w:val="00617949"/>
    <w:rsid w:val="00617EB9"/>
    <w:rsid w:val="006200C3"/>
    <w:rsid w:val="00620246"/>
    <w:rsid w:val="00620AFE"/>
    <w:rsid w:val="00621D61"/>
    <w:rsid w:val="00621F0B"/>
    <w:rsid w:val="006224C8"/>
    <w:rsid w:val="00622972"/>
    <w:rsid w:val="00622F6E"/>
    <w:rsid w:val="00623731"/>
    <w:rsid w:val="0062459D"/>
    <w:rsid w:val="00624D8F"/>
    <w:rsid w:val="00625958"/>
    <w:rsid w:val="00625F4C"/>
    <w:rsid w:val="0062705E"/>
    <w:rsid w:val="006272AA"/>
    <w:rsid w:val="00627535"/>
    <w:rsid w:val="0063009B"/>
    <w:rsid w:val="0063083D"/>
    <w:rsid w:val="00630931"/>
    <w:rsid w:val="00630A86"/>
    <w:rsid w:val="00630AC9"/>
    <w:rsid w:val="0063210A"/>
    <w:rsid w:val="006325DF"/>
    <w:rsid w:val="00632796"/>
    <w:rsid w:val="00632B60"/>
    <w:rsid w:val="00633436"/>
    <w:rsid w:val="00633EA9"/>
    <w:rsid w:val="00634183"/>
    <w:rsid w:val="006346EA"/>
    <w:rsid w:val="00634CAF"/>
    <w:rsid w:val="00635403"/>
    <w:rsid w:val="00635757"/>
    <w:rsid w:val="006357CE"/>
    <w:rsid w:val="00636105"/>
    <w:rsid w:val="00636258"/>
    <w:rsid w:val="0063750B"/>
    <w:rsid w:val="00637F89"/>
    <w:rsid w:val="00640658"/>
    <w:rsid w:val="00640AA6"/>
    <w:rsid w:val="00640FB0"/>
    <w:rsid w:val="00641486"/>
    <w:rsid w:val="0064180F"/>
    <w:rsid w:val="00641BE9"/>
    <w:rsid w:val="00642371"/>
    <w:rsid w:val="006425D3"/>
    <w:rsid w:val="00642762"/>
    <w:rsid w:val="006435BD"/>
    <w:rsid w:val="0064377B"/>
    <w:rsid w:val="00645146"/>
    <w:rsid w:val="006457A1"/>
    <w:rsid w:val="00645CF0"/>
    <w:rsid w:val="00646CBC"/>
    <w:rsid w:val="00647F65"/>
    <w:rsid w:val="00650570"/>
    <w:rsid w:val="006508B1"/>
    <w:rsid w:val="00650A85"/>
    <w:rsid w:val="00650F06"/>
    <w:rsid w:val="006513C3"/>
    <w:rsid w:val="0065271F"/>
    <w:rsid w:val="00652CD3"/>
    <w:rsid w:val="00653ADF"/>
    <w:rsid w:val="00654922"/>
    <w:rsid w:val="00654EF4"/>
    <w:rsid w:val="006552DE"/>
    <w:rsid w:val="0065613A"/>
    <w:rsid w:val="00656E82"/>
    <w:rsid w:val="00657839"/>
    <w:rsid w:val="00660A9E"/>
    <w:rsid w:val="00660C05"/>
    <w:rsid w:val="00661003"/>
    <w:rsid w:val="00661E5D"/>
    <w:rsid w:val="0066349D"/>
    <w:rsid w:val="006636A5"/>
    <w:rsid w:val="00663761"/>
    <w:rsid w:val="006646B7"/>
    <w:rsid w:val="00665467"/>
    <w:rsid w:val="00665AD3"/>
    <w:rsid w:val="006669C7"/>
    <w:rsid w:val="00667611"/>
    <w:rsid w:val="00667E1E"/>
    <w:rsid w:val="006700F7"/>
    <w:rsid w:val="006711AB"/>
    <w:rsid w:val="006719F2"/>
    <w:rsid w:val="0067210C"/>
    <w:rsid w:val="00672F5A"/>
    <w:rsid w:val="006734B0"/>
    <w:rsid w:val="00673F02"/>
    <w:rsid w:val="00674378"/>
    <w:rsid w:val="006745D9"/>
    <w:rsid w:val="006748FE"/>
    <w:rsid w:val="00674C7E"/>
    <w:rsid w:val="00676245"/>
    <w:rsid w:val="00677564"/>
    <w:rsid w:val="0068038D"/>
    <w:rsid w:val="00680509"/>
    <w:rsid w:val="006813E5"/>
    <w:rsid w:val="006821F3"/>
    <w:rsid w:val="00682267"/>
    <w:rsid w:val="006822DA"/>
    <w:rsid w:val="006829A3"/>
    <w:rsid w:val="00683C4E"/>
    <w:rsid w:val="00683F35"/>
    <w:rsid w:val="0068470D"/>
    <w:rsid w:val="00685244"/>
    <w:rsid w:val="00685D4E"/>
    <w:rsid w:val="0068617D"/>
    <w:rsid w:val="00686AE1"/>
    <w:rsid w:val="00686E5D"/>
    <w:rsid w:val="006876F1"/>
    <w:rsid w:val="00687C5D"/>
    <w:rsid w:val="00687CB9"/>
    <w:rsid w:val="00687DC0"/>
    <w:rsid w:val="0069007E"/>
    <w:rsid w:val="0069174D"/>
    <w:rsid w:val="006919E9"/>
    <w:rsid w:val="00692B88"/>
    <w:rsid w:val="006931DF"/>
    <w:rsid w:val="006933B9"/>
    <w:rsid w:val="0069445F"/>
    <w:rsid w:val="006949AE"/>
    <w:rsid w:val="0069545E"/>
    <w:rsid w:val="006967C6"/>
    <w:rsid w:val="0069772F"/>
    <w:rsid w:val="00697D31"/>
    <w:rsid w:val="00697ED7"/>
    <w:rsid w:val="00697FB3"/>
    <w:rsid w:val="006A0AF1"/>
    <w:rsid w:val="006A0C6C"/>
    <w:rsid w:val="006A0E72"/>
    <w:rsid w:val="006A0FF6"/>
    <w:rsid w:val="006A1354"/>
    <w:rsid w:val="006A1CD1"/>
    <w:rsid w:val="006A3208"/>
    <w:rsid w:val="006A361C"/>
    <w:rsid w:val="006A39D3"/>
    <w:rsid w:val="006A3A17"/>
    <w:rsid w:val="006A3E25"/>
    <w:rsid w:val="006A3E58"/>
    <w:rsid w:val="006A4B98"/>
    <w:rsid w:val="006A5289"/>
    <w:rsid w:val="006A5B0B"/>
    <w:rsid w:val="006A6C8D"/>
    <w:rsid w:val="006B12D2"/>
    <w:rsid w:val="006B1E43"/>
    <w:rsid w:val="006B1E6E"/>
    <w:rsid w:val="006B205D"/>
    <w:rsid w:val="006B2303"/>
    <w:rsid w:val="006B23D1"/>
    <w:rsid w:val="006B295A"/>
    <w:rsid w:val="006B352B"/>
    <w:rsid w:val="006B43A0"/>
    <w:rsid w:val="006B5CA6"/>
    <w:rsid w:val="006B66D9"/>
    <w:rsid w:val="006B6CCE"/>
    <w:rsid w:val="006B7AB3"/>
    <w:rsid w:val="006B7D2E"/>
    <w:rsid w:val="006C173E"/>
    <w:rsid w:val="006C1B80"/>
    <w:rsid w:val="006C3A5F"/>
    <w:rsid w:val="006C46EE"/>
    <w:rsid w:val="006C48AC"/>
    <w:rsid w:val="006C6A00"/>
    <w:rsid w:val="006D0214"/>
    <w:rsid w:val="006D193C"/>
    <w:rsid w:val="006D1A47"/>
    <w:rsid w:val="006D27BC"/>
    <w:rsid w:val="006D2B41"/>
    <w:rsid w:val="006D2D0B"/>
    <w:rsid w:val="006D2D55"/>
    <w:rsid w:val="006D2D83"/>
    <w:rsid w:val="006D32E9"/>
    <w:rsid w:val="006D36EE"/>
    <w:rsid w:val="006D3BA8"/>
    <w:rsid w:val="006D3DC9"/>
    <w:rsid w:val="006D414C"/>
    <w:rsid w:val="006D43B9"/>
    <w:rsid w:val="006D518B"/>
    <w:rsid w:val="006D5576"/>
    <w:rsid w:val="006D5E1D"/>
    <w:rsid w:val="006D62D6"/>
    <w:rsid w:val="006D6495"/>
    <w:rsid w:val="006D64AC"/>
    <w:rsid w:val="006D6C90"/>
    <w:rsid w:val="006D768E"/>
    <w:rsid w:val="006E04C6"/>
    <w:rsid w:val="006E04D1"/>
    <w:rsid w:val="006E1501"/>
    <w:rsid w:val="006E1952"/>
    <w:rsid w:val="006E1D15"/>
    <w:rsid w:val="006E2520"/>
    <w:rsid w:val="006E2E40"/>
    <w:rsid w:val="006E3C3C"/>
    <w:rsid w:val="006E4FF7"/>
    <w:rsid w:val="006E52D9"/>
    <w:rsid w:val="006E54A7"/>
    <w:rsid w:val="006E60D8"/>
    <w:rsid w:val="006E6288"/>
    <w:rsid w:val="006E63CE"/>
    <w:rsid w:val="006E71E8"/>
    <w:rsid w:val="006F0002"/>
    <w:rsid w:val="006F068A"/>
    <w:rsid w:val="006F1839"/>
    <w:rsid w:val="006F19A4"/>
    <w:rsid w:val="006F20D4"/>
    <w:rsid w:val="006F2425"/>
    <w:rsid w:val="006F2453"/>
    <w:rsid w:val="006F26C8"/>
    <w:rsid w:val="006F3637"/>
    <w:rsid w:val="006F393D"/>
    <w:rsid w:val="006F3A9D"/>
    <w:rsid w:val="006F45D9"/>
    <w:rsid w:val="006F47BD"/>
    <w:rsid w:val="006F49A1"/>
    <w:rsid w:val="006F4B20"/>
    <w:rsid w:val="006F5D61"/>
    <w:rsid w:val="006F6364"/>
    <w:rsid w:val="006F65B9"/>
    <w:rsid w:val="006F663B"/>
    <w:rsid w:val="006F7FC8"/>
    <w:rsid w:val="00700E34"/>
    <w:rsid w:val="0070179A"/>
    <w:rsid w:val="0070235F"/>
    <w:rsid w:val="00702B84"/>
    <w:rsid w:val="00702C97"/>
    <w:rsid w:val="00702F58"/>
    <w:rsid w:val="007057C8"/>
    <w:rsid w:val="007057CA"/>
    <w:rsid w:val="00705E5D"/>
    <w:rsid w:val="007068C3"/>
    <w:rsid w:val="007068DE"/>
    <w:rsid w:val="00706BE4"/>
    <w:rsid w:val="007072DF"/>
    <w:rsid w:val="007078BF"/>
    <w:rsid w:val="007079DE"/>
    <w:rsid w:val="00707B2C"/>
    <w:rsid w:val="00710AA3"/>
    <w:rsid w:val="00710CAE"/>
    <w:rsid w:val="007113AE"/>
    <w:rsid w:val="007113D6"/>
    <w:rsid w:val="00711AF8"/>
    <w:rsid w:val="00711B8D"/>
    <w:rsid w:val="0071209E"/>
    <w:rsid w:val="007120E5"/>
    <w:rsid w:val="00712746"/>
    <w:rsid w:val="00712BDC"/>
    <w:rsid w:val="00713069"/>
    <w:rsid w:val="007137E9"/>
    <w:rsid w:val="007138F2"/>
    <w:rsid w:val="0071396B"/>
    <w:rsid w:val="00714DBA"/>
    <w:rsid w:val="00714E5A"/>
    <w:rsid w:val="00714F83"/>
    <w:rsid w:val="00714FA8"/>
    <w:rsid w:val="0071503A"/>
    <w:rsid w:val="0071506A"/>
    <w:rsid w:val="007151E3"/>
    <w:rsid w:val="00715761"/>
    <w:rsid w:val="0071608E"/>
    <w:rsid w:val="007164B8"/>
    <w:rsid w:val="00716DB4"/>
    <w:rsid w:val="0071779D"/>
    <w:rsid w:val="00717C8C"/>
    <w:rsid w:val="007210E9"/>
    <w:rsid w:val="0072138B"/>
    <w:rsid w:val="007216F2"/>
    <w:rsid w:val="0072196E"/>
    <w:rsid w:val="00724B20"/>
    <w:rsid w:val="00724C6E"/>
    <w:rsid w:val="0072592D"/>
    <w:rsid w:val="00726F2F"/>
    <w:rsid w:val="0072777B"/>
    <w:rsid w:val="00727DB4"/>
    <w:rsid w:val="00730041"/>
    <w:rsid w:val="00730997"/>
    <w:rsid w:val="00730E76"/>
    <w:rsid w:val="007318A2"/>
    <w:rsid w:val="00731B47"/>
    <w:rsid w:val="00731DAE"/>
    <w:rsid w:val="00732095"/>
    <w:rsid w:val="00733A34"/>
    <w:rsid w:val="00733D73"/>
    <w:rsid w:val="00733F7A"/>
    <w:rsid w:val="00733FB2"/>
    <w:rsid w:val="007341B9"/>
    <w:rsid w:val="00734619"/>
    <w:rsid w:val="0073546A"/>
    <w:rsid w:val="00735B78"/>
    <w:rsid w:val="00735E17"/>
    <w:rsid w:val="00735FEC"/>
    <w:rsid w:val="007362E9"/>
    <w:rsid w:val="007364BB"/>
    <w:rsid w:val="0073708D"/>
    <w:rsid w:val="00737BD3"/>
    <w:rsid w:val="0074054B"/>
    <w:rsid w:val="0074115F"/>
    <w:rsid w:val="0074193B"/>
    <w:rsid w:val="0074250C"/>
    <w:rsid w:val="007437B0"/>
    <w:rsid w:val="00743BAA"/>
    <w:rsid w:val="00744F7F"/>
    <w:rsid w:val="0074564F"/>
    <w:rsid w:val="00745F2C"/>
    <w:rsid w:val="00746137"/>
    <w:rsid w:val="00746634"/>
    <w:rsid w:val="00746A43"/>
    <w:rsid w:val="00746E5F"/>
    <w:rsid w:val="007472D8"/>
    <w:rsid w:val="00747B24"/>
    <w:rsid w:val="007513DC"/>
    <w:rsid w:val="00751841"/>
    <w:rsid w:val="00751880"/>
    <w:rsid w:val="00751910"/>
    <w:rsid w:val="007519FD"/>
    <w:rsid w:val="00751A02"/>
    <w:rsid w:val="00751B6A"/>
    <w:rsid w:val="00751C12"/>
    <w:rsid w:val="00751DEE"/>
    <w:rsid w:val="0075284D"/>
    <w:rsid w:val="00752AD6"/>
    <w:rsid w:val="0075306E"/>
    <w:rsid w:val="00753755"/>
    <w:rsid w:val="00753A25"/>
    <w:rsid w:val="00753A31"/>
    <w:rsid w:val="007559DB"/>
    <w:rsid w:val="007568CC"/>
    <w:rsid w:val="00756DFA"/>
    <w:rsid w:val="007578A4"/>
    <w:rsid w:val="007600FC"/>
    <w:rsid w:val="00760267"/>
    <w:rsid w:val="00760471"/>
    <w:rsid w:val="00760B3F"/>
    <w:rsid w:val="00760C9B"/>
    <w:rsid w:val="00760F71"/>
    <w:rsid w:val="0076182D"/>
    <w:rsid w:val="00761DD4"/>
    <w:rsid w:val="00762D26"/>
    <w:rsid w:val="00763AA8"/>
    <w:rsid w:val="007646D1"/>
    <w:rsid w:val="00764734"/>
    <w:rsid w:val="00764C04"/>
    <w:rsid w:val="007658AD"/>
    <w:rsid w:val="007658CC"/>
    <w:rsid w:val="007666B4"/>
    <w:rsid w:val="007670D9"/>
    <w:rsid w:val="00767985"/>
    <w:rsid w:val="00767FCC"/>
    <w:rsid w:val="00770403"/>
    <w:rsid w:val="007707C7"/>
    <w:rsid w:val="00770CA1"/>
    <w:rsid w:val="00770EC6"/>
    <w:rsid w:val="00770F5B"/>
    <w:rsid w:val="00771267"/>
    <w:rsid w:val="0077128E"/>
    <w:rsid w:val="0077229F"/>
    <w:rsid w:val="00772691"/>
    <w:rsid w:val="0077340C"/>
    <w:rsid w:val="007735C7"/>
    <w:rsid w:val="00773885"/>
    <w:rsid w:val="00773FCF"/>
    <w:rsid w:val="0077408D"/>
    <w:rsid w:val="007740E3"/>
    <w:rsid w:val="00774EA8"/>
    <w:rsid w:val="00774F09"/>
    <w:rsid w:val="00774F13"/>
    <w:rsid w:val="00775A46"/>
    <w:rsid w:val="00775BD7"/>
    <w:rsid w:val="00775E73"/>
    <w:rsid w:val="007763F3"/>
    <w:rsid w:val="007765C6"/>
    <w:rsid w:val="0077695B"/>
    <w:rsid w:val="007771AB"/>
    <w:rsid w:val="00777C82"/>
    <w:rsid w:val="00780396"/>
    <w:rsid w:val="0078096B"/>
    <w:rsid w:val="00780B73"/>
    <w:rsid w:val="00780D1C"/>
    <w:rsid w:val="0078113C"/>
    <w:rsid w:val="00781803"/>
    <w:rsid w:val="00781BFD"/>
    <w:rsid w:val="007824AE"/>
    <w:rsid w:val="007829F1"/>
    <w:rsid w:val="00783A08"/>
    <w:rsid w:val="00785BA3"/>
    <w:rsid w:val="00785F7B"/>
    <w:rsid w:val="0078639F"/>
    <w:rsid w:val="0078662D"/>
    <w:rsid w:val="007867C4"/>
    <w:rsid w:val="00786868"/>
    <w:rsid w:val="00786F0A"/>
    <w:rsid w:val="007870F8"/>
    <w:rsid w:val="007874B9"/>
    <w:rsid w:val="00787866"/>
    <w:rsid w:val="0079010A"/>
    <w:rsid w:val="00790E47"/>
    <w:rsid w:val="0079203B"/>
    <w:rsid w:val="00792F41"/>
    <w:rsid w:val="007933AD"/>
    <w:rsid w:val="00793589"/>
    <w:rsid w:val="0079389D"/>
    <w:rsid w:val="00794AAE"/>
    <w:rsid w:val="00795888"/>
    <w:rsid w:val="00795999"/>
    <w:rsid w:val="00796767"/>
    <w:rsid w:val="00797595"/>
    <w:rsid w:val="00797816"/>
    <w:rsid w:val="00797D02"/>
    <w:rsid w:val="007A05F0"/>
    <w:rsid w:val="007A1EC5"/>
    <w:rsid w:val="007A1F96"/>
    <w:rsid w:val="007A2057"/>
    <w:rsid w:val="007A272C"/>
    <w:rsid w:val="007A46A7"/>
    <w:rsid w:val="007A526C"/>
    <w:rsid w:val="007A54CE"/>
    <w:rsid w:val="007A5A75"/>
    <w:rsid w:val="007A5BE5"/>
    <w:rsid w:val="007A5EE1"/>
    <w:rsid w:val="007A6CF4"/>
    <w:rsid w:val="007A7504"/>
    <w:rsid w:val="007A7972"/>
    <w:rsid w:val="007A7974"/>
    <w:rsid w:val="007A7984"/>
    <w:rsid w:val="007A7D85"/>
    <w:rsid w:val="007B0066"/>
    <w:rsid w:val="007B04E1"/>
    <w:rsid w:val="007B0EF8"/>
    <w:rsid w:val="007B1BC9"/>
    <w:rsid w:val="007B241B"/>
    <w:rsid w:val="007B2858"/>
    <w:rsid w:val="007B2EA6"/>
    <w:rsid w:val="007B3BFB"/>
    <w:rsid w:val="007B3F2E"/>
    <w:rsid w:val="007B477C"/>
    <w:rsid w:val="007B5885"/>
    <w:rsid w:val="007B5E1A"/>
    <w:rsid w:val="007B62E9"/>
    <w:rsid w:val="007B6645"/>
    <w:rsid w:val="007C0430"/>
    <w:rsid w:val="007C0C5B"/>
    <w:rsid w:val="007C11DC"/>
    <w:rsid w:val="007C16B0"/>
    <w:rsid w:val="007C1D0E"/>
    <w:rsid w:val="007C2120"/>
    <w:rsid w:val="007C3670"/>
    <w:rsid w:val="007C4079"/>
    <w:rsid w:val="007C4C41"/>
    <w:rsid w:val="007C5694"/>
    <w:rsid w:val="007C63B6"/>
    <w:rsid w:val="007C64C3"/>
    <w:rsid w:val="007C6B7A"/>
    <w:rsid w:val="007C7220"/>
    <w:rsid w:val="007C749B"/>
    <w:rsid w:val="007C7AB3"/>
    <w:rsid w:val="007C7B93"/>
    <w:rsid w:val="007C7D3A"/>
    <w:rsid w:val="007C7E71"/>
    <w:rsid w:val="007D03CB"/>
    <w:rsid w:val="007D054C"/>
    <w:rsid w:val="007D18CA"/>
    <w:rsid w:val="007D1B1D"/>
    <w:rsid w:val="007D2C54"/>
    <w:rsid w:val="007D3461"/>
    <w:rsid w:val="007D35F2"/>
    <w:rsid w:val="007D3672"/>
    <w:rsid w:val="007D3BF1"/>
    <w:rsid w:val="007D3DB3"/>
    <w:rsid w:val="007D3FDE"/>
    <w:rsid w:val="007D516D"/>
    <w:rsid w:val="007D56B7"/>
    <w:rsid w:val="007D5D97"/>
    <w:rsid w:val="007D5FC9"/>
    <w:rsid w:val="007D6AEF"/>
    <w:rsid w:val="007D701B"/>
    <w:rsid w:val="007D70A1"/>
    <w:rsid w:val="007D7B0A"/>
    <w:rsid w:val="007D7D2D"/>
    <w:rsid w:val="007D7E09"/>
    <w:rsid w:val="007DCC04"/>
    <w:rsid w:val="007E00FD"/>
    <w:rsid w:val="007E015D"/>
    <w:rsid w:val="007E0433"/>
    <w:rsid w:val="007E0CE6"/>
    <w:rsid w:val="007E15D8"/>
    <w:rsid w:val="007E1890"/>
    <w:rsid w:val="007E2136"/>
    <w:rsid w:val="007E21A3"/>
    <w:rsid w:val="007E2E15"/>
    <w:rsid w:val="007E38E7"/>
    <w:rsid w:val="007E3A02"/>
    <w:rsid w:val="007E4F70"/>
    <w:rsid w:val="007E5077"/>
    <w:rsid w:val="007E5217"/>
    <w:rsid w:val="007E5AAF"/>
    <w:rsid w:val="007E621D"/>
    <w:rsid w:val="007E6908"/>
    <w:rsid w:val="007E6D01"/>
    <w:rsid w:val="007E7396"/>
    <w:rsid w:val="007E758F"/>
    <w:rsid w:val="007E7771"/>
    <w:rsid w:val="007E78DA"/>
    <w:rsid w:val="007E7A7E"/>
    <w:rsid w:val="007F018D"/>
    <w:rsid w:val="007F095A"/>
    <w:rsid w:val="007F17C0"/>
    <w:rsid w:val="007F1DFC"/>
    <w:rsid w:val="007F22B6"/>
    <w:rsid w:val="007F241D"/>
    <w:rsid w:val="007F2925"/>
    <w:rsid w:val="007F3020"/>
    <w:rsid w:val="007F3624"/>
    <w:rsid w:val="007F3820"/>
    <w:rsid w:val="007F3D9C"/>
    <w:rsid w:val="007F5087"/>
    <w:rsid w:val="007F579C"/>
    <w:rsid w:val="007F5E97"/>
    <w:rsid w:val="007F60D1"/>
    <w:rsid w:val="007F61E5"/>
    <w:rsid w:val="007F660E"/>
    <w:rsid w:val="007F77C0"/>
    <w:rsid w:val="008016FA"/>
    <w:rsid w:val="00801B19"/>
    <w:rsid w:val="00801D42"/>
    <w:rsid w:val="00801E77"/>
    <w:rsid w:val="0080261E"/>
    <w:rsid w:val="008027C1"/>
    <w:rsid w:val="00802921"/>
    <w:rsid w:val="00803098"/>
    <w:rsid w:val="00803224"/>
    <w:rsid w:val="0080350C"/>
    <w:rsid w:val="00803958"/>
    <w:rsid w:val="00803A3C"/>
    <w:rsid w:val="008041F8"/>
    <w:rsid w:val="00804371"/>
    <w:rsid w:val="0080472C"/>
    <w:rsid w:val="00804F56"/>
    <w:rsid w:val="00805450"/>
    <w:rsid w:val="00805E98"/>
    <w:rsid w:val="00806EED"/>
    <w:rsid w:val="00806F22"/>
    <w:rsid w:val="008079FE"/>
    <w:rsid w:val="00807E4B"/>
    <w:rsid w:val="008103DB"/>
    <w:rsid w:val="0081075D"/>
    <w:rsid w:val="008116F6"/>
    <w:rsid w:val="00811D4E"/>
    <w:rsid w:val="00812C09"/>
    <w:rsid w:val="00812F2A"/>
    <w:rsid w:val="0081359B"/>
    <w:rsid w:val="00813BCE"/>
    <w:rsid w:val="008143A4"/>
    <w:rsid w:val="00814740"/>
    <w:rsid w:val="00815244"/>
    <w:rsid w:val="00815C28"/>
    <w:rsid w:val="00815C87"/>
    <w:rsid w:val="00815D2E"/>
    <w:rsid w:val="00815D6F"/>
    <w:rsid w:val="008163AC"/>
    <w:rsid w:val="00816BE8"/>
    <w:rsid w:val="008178C4"/>
    <w:rsid w:val="00817996"/>
    <w:rsid w:val="00820C2C"/>
    <w:rsid w:val="00820DF2"/>
    <w:rsid w:val="00821EDD"/>
    <w:rsid w:val="00822449"/>
    <w:rsid w:val="00823038"/>
    <w:rsid w:val="0082320F"/>
    <w:rsid w:val="0082347D"/>
    <w:rsid w:val="00823652"/>
    <w:rsid w:val="00823C5D"/>
    <w:rsid w:val="008244F1"/>
    <w:rsid w:val="008247E3"/>
    <w:rsid w:val="0082484F"/>
    <w:rsid w:val="00824ABF"/>
    <w:rsid w:val="00825A9A"/>
    <w:rsid w:val="00825B1F"/>
    <w:rsid w:val="00825DE7"/>
    <w:rsid w:val="00826404"/>
    <w:rsid w:val="00826FD2"/>
    <w:rsid w:val="00827164"/>
    <w:rsid w:val="00827C09"/>
    <w:rsid w:val="00827D8B"/>
    <w:rsid w:val="00827DB4"/>
    <w:rsid w:val="008300C9"/>
    <w:rsid w:val="008309AB"/>
    <w:rsid w:val="00830E6B"/>
    <w:rsid w:val="00831C1C"/>
    <w:rsid w:val="00831CE3"/>
    <w:rsid w:val="00831FAA"/>
    <w:rsid w:val="00832580"/>
    <w:rsid w:val="00832D3E"/>
    <w:rsid w:val="00833234"/>
    <w:rsid w:val="008336E5"/>
    <w:rsid w:val="00833FFC"/>
    <w:rsid w:val="008340CD"/>
    <w:rsid w:val="008342D4"/>
    <w:rsid w:val="00834A61"/>
    <w:rsid w:val="00834EF8"/>
    <w:rsid w:val="00835213"/>
    <w:rsid w:val="008362F1"/>
    <w:rsid w:val="00836445"/>
    <w:rsid w:val="008365B9"/>
    <w:rsid w:val="0083678E"/>
    <w:rsid w:val="00836F73"/>
    <w:rsid w:val="00837D54"/>
    <w:rsid w:val="00837E67"/>
    <w:rsid w:val="00840CE4"/>
    <w:rsid w:val="008416AB"/>
    <w:rsid w:val="00841996"/>
    <w:rsid w:val="00841F1F"/>
    <w:rsid w:val="00842664"/>
    <w:rsid w:val="008434EA"/>
    <w:rsid w:val="008438E7"/>
    <w:rsid w:val="008439E7"/>
    <w:rsid w:val="00843C20"/>
    <w:rsid w:val="00843D88"/>
    <w:rsid w:val="0084458F"/>
    <w:rsid w:val="008453DD"/>
    <w:rsid w:val="00845631"/>
    <w:rsid w:val="0084571F"/>
    <w:rsid w:val="00846630"/>
    <w:rsid w:val="008469B5"/>
    <w:rsid w:val="00846D8C"/>
    <w:rsid w:val="00847275"/>
    <w:rsid w:val="00847432"/>
    <w:rsid w:val="008474E0"/>
    <w:rsid w:val="00847682"/>
    <w:rsid w:val="00847963"/>
    <w:rsid w:val="00847B10"/>
    <w:rsid w:val="00847B83"/>
    <w:rsid w:val="008524BC"/>
    <w:rsid w:val="00853767"/>
    <w:rsid w:val="008538B1"/>
    <w:rsid w:val="008539E9"/>
    <w:rsid w:val="00853A2E"/>
    <w:rsid w:val="00854342"/>
    <w:rsid w:val="00854D2D"/>
    <w:rsid w:val="00855E37"/>
    <w:rsid w:val="008568D4"/>
    <w:rsid w:val="008576C3"/>
    <w:rsid w:val="00857719"/>
    <w:rsid w:val="00857B34"/>
    <w:rsid w:val="00860158"/>
    <w:rsid w:val="0086076D"/>
    <w:rsid w:val="00860ED9"/>
    <w:rsid w:val="00861291"/>
    <w:rsid w:val="0086187A"/>
    <w:rsid w:val="008619E0"/>
    <w:rsid w:val="00861BC2"/>
    <w:rsid w:val="00862117"/>
    <w:rsid w:val="0086253F"/>
    <w:rsid w:val="0086290C"/>
    <w:rsid w:val="00862B06"/>
    <w:rsid w:val="00863216"/>
    <w:rsid w:val="008636E3"/>
    <w:rsid w:val="008643D9"/>
    <w:rsid w:val="0086470C"/>
    <w:rsid w:val="00864F30"/>
    <w:rsid w:val="008650BF"/>
    <w:rsid w:val="0086527F"/>
    <w:rsid w:val="008655FC"/>
    <w:rsid w:val="008656DB"/>
    <w:rsid w:val="008659F7"/>
    <w:rsid w:val="00866D7D"/>
    <w:rsid w:val="0086704B"/>
    <w:rsid w:val="008676F1"/>
    <w:rsid w:val="00867793"/>
    <w:rsid w:val="00867C80"/>
    <w:rsid w:val="00867E4F"/>
    <w:rsid w:val="0087075D"/>
    <w:rsid w:val="00870771"/>
    <w:rsid w:val="00870821"/>
    <w:rsid w:val="0087116F"/>
    <w:rsid w:val="00871774"/>
    <w:rsid w:val="00872127"/>
    <w:rsid w:val="00872C85"/>
    <w:rsid w:val="00873650"/>
    <w:rsid w:val="00873A62"/>
    <w:rsid w:val="00873B86"/>
    <w:rsid w:val="00874108"/>
    <w:rsid w:val="0087493B"/>
    <w:rsid w:val="0087524D"/>
    <w:rsid w:val="00875396"/>
    <w:rsid w:val="00875E01"/>
    <w:rsid w:val="008763D5"/>
    <w:rsid w:val="00877171"/>
    <w:rsid w:val="008773D0"/>
    <w:rsid w:val="008773F5"/>
    <w:rsid w:val="00877D9D"/>
    <w:rsid w:val="008810EC"/>
    <w:rsid w:val="00881207"/>
    <w:rsid w:val="00881297"/>
    <w:rsid w:val="00881E19"/>
    <w:rsid w:val="00881E47"/>
    <w:rsid w:val="008829D8"/>
    <w:rsid w:val="00882B2E"/>
    <w:rsid w:val="00883500"/>
    <w:rsid w:val="00883902"/>
    <w:rsid w:val="008839EF"/>
    <w:rsid w:val="0088482B"/>
    <w:rsid w:val="00884F9A"/>
    <w:rsid w:val="008852D7"/>
    <w:rsid w:val="008862FD"/>
    <w:rsid w:val="00886430"/>
    <w:rsid w:val="00887AC7"/>
    <w:rsid w:val="0089031F"/>
    <w:rsid w:val="0089076E"/>
    <w:rsid w:val="00890ECE"/>
    <w:rsid w:val="00891768"/>
    <w:rsid w:val="00892598"/>
    <w:rsid w:val="00892599"/>
    <w:rsid w:val="00892DB9"/>
    <w:rsid w:val="008934D8"/>
    <w:rsid w:val="0089372F"/>
    <w:rsid w:val="00893852"/>
    <w:rsid w:val="00894165"/>
    <w:rsid w:val="008945C5"/>
    <w:rsid w:val="00894D94"/>
    <w:rsid w:val="00895762"/>
    <w:rsid w:val="00896073"/>
    <w:rsid w:val="00896866"/>
    <w:rsid w:val="008A0216"/>
    <w:rsid w:val="008A0CC7"/>
    <w:rsid w:val="008A1D7B"/>
    <w:rsid w:val="008A2365"/>
    <w:rsid w:val="008A3347"/>
    <w:rsid w:val="008A367F"/>
    <w:rsid w:val="008A3C6F"/>
    <w:rsid w:val="008A45C6"/>
    <w:rsid w:val="008A4937"/>
    <w:rsid w:val="008A51C2"/>
    <w:rsid w:val="008A559F"/>
    <w:rsid w:val="008A596F"/>
    <w:rsid w:val="008A5BC8"/>
    <w:rsid w:val="008A5C17"/>
    <w:rsid w:val="008A615F"/>
    <w:rsid w:val="008A6AF7"/>
    <w:rsid w:val="008A762B"/>
    <w:rsid w:val="008B0770"/>
    <w:rsid w:val="008B1943"/>
    <w:rsid w:val="008B1BED"/>
    <w:rsid w:val="008B2762"/>
    <w:rsid w:val="008B2B8A"/>
    <w:rsid w:val="008B3CBE"/>
    <w:rsid w:val="008B4594"/>
    <w:rsid w:val="008B466E"/>
    <w:rsid w:val="008B4A65"/>
    <w:rsid w:val="008B4C07"/>
    <w:rsid w:val="008B4D93"/>
    <w:rsid w:val="008B50D0"/>
    <w:rsid w:val="008B52E1"/>
    <w:rsid w:val="008B54B3"/>
    <w:rsid w:val="008B59A2"/>
    <w:rsid w:val="008B5B5D"/>
    <w:rsid w:val="008B5C6F"/>
    <w:rsid w:val="008B5D2C"/>
    <w:rsid w:val="008B7555"/>
    <w:rsid w:val="008B761C"/>
    <w:rsid w:val="008C0155"/>
    <w:rsid w:val="008C01BE"/>
    <w:rsid w:val="008C0C22"/>
    <w:rsid w:val="008C11EF"/>
    <w:rsid w:val="008C1EE0"/>
    <w:rsid w:val="008C221F"/>
    <w:rsid w:val="008C227D"/>
    <w:rsid w:val="008C26C1"/>
    <w:rsid w:val="008C27EA"/>
    <w:rsid w:val="008C38E8"/>
    <w:rsid w:val="008C4456"/>
    <w:rsid w:val="008C4AAF"/>
    <w:rsid w:val="008C4E59"/>
    <w:rsid w:val="008C4ED7"/>
    <w:rsid w:val="008C5986"/>
    <w:rsid w:val="008C5E32"/>
    <w:rsid w:val="008C6564"/>
    <w:rsid w:val="008C7BF4"/>
    <w:rsid w:val="008D00E2"/>
    <w:rsid w:val="008D05DB"/>
    <w:rsid w:val="008D08E4"/>
    <w:rsid w:val="008D11B6"/>
    <w:rsid w:val="008D15E4"/>
    <w:rsid w:val="008D208A"/>
    <w:rsid w:val="008D2594"/>
    <w:rsid w:val="008D4A34"/>
    <w:rsid w:val="008D4AA7"/>
    <w:rsid w:val="008D5147"/>
    <w:rsid w:val="008D7960"/>
    <w:rsid w:val="008D7CEB"/>
    <w:rsid w:val="008E0112"/>
    <w:rsid w:val="008E0701"/>
    <w:rsid w:val="008E0996"/>
    <w:rsid w:val="008E10F5"/>
    <w:rsid w:val="008E1249"/>
    <w:rsid w:val="008E1690"/>
    <w:rsid w:val="008E1C60"/>
    <w:rsid w:val="008E1CF9"/>
    <w:rsid w:val="008E1FC4"/>
    <w:rsid w:val="008E2092"/>
    <w:rsid w:val="008E23E2"/>
    <w:rsid w:val="008E38E4"/>
    <w:rsid w:val="008E3F3F"/>
    <w:rsid w:val="008E49DA"/>
    <w:rsid w:val="008E4E05"/>
    <w:rsid w:val="008E5117"/>
    <w:rsid w:val="008E51DF"/>
    <w:rsid w:val="008E53D0"/>
    <w:rsid w:val="008E55E9"/>
    <w:rsid w:val="008E5A0D"/>
    <w:rsid w:val="008E632C"/>
    <w:rsid w:val="008E6385"/>
    <w:rsid w:val="008E7D1E"/>
    <w:rsid w:val="008E7F46"/>
    <w:rsid w:val="008F07CF"/>
    <w:rsid w:val="008F09DB"/>
    <w:rsid w:val="008F0D96"/>
    <w:rsid w:val="008F1F3E"/>
    <w:rsid w:val="008F20DF"/>
    <w:rsid w:val="008F31B0"/>
    <w:rsid w:val="008F3909"/>
    <w:rsid w:val="008F440E"/>
    <w:rsid w:val="008F4ECD"/>
    <w:rsid w:val="008F503F"/>
    <w:rsid w:val="008F5B58"/>
    <w:rsid w:val="008F65DE"/>
    <w:rsid w:val="008F791F"/>
    <w:rsid w:val="008F793D"/>
    <w:rsid w:val="00900A26"/>
    <w:rsid w:val="00900FC4"/>
    <w:rsid w:val="009034AB"/>
    <w:rsid w:val="00903960"/>
    <w:rsid w:val="00905013"/>
    <w:rsid w:val="009051EE"/>
    <w:rsid w:val="00905C43"/>
    <w:rsid w:val="00905DE4"/>
    <w:rsid w:val="009063D8"/>
    <w:rsid w:val="009066E5"/>
    <w:rsid w:val="009066E6"/>
    <w:rsid w:val="009071CF"/>
    <w:rsid w:val="009076A7"/>
    <w:rsid w:val="00907850"/>
    <w:rsid w:val="0091006A"/>
    <w:rsid w:val="009108F6"/>
    <w:rsid w:val="00910F8B"/>
    <w:rsid w:val="00911040"/>
    <w:rsid w:val="00911740"/>
    <w:rsid w:val="00911D16"/>
    <w:rsid w:val="0091243A"/>
    <w:rsid w:val="00912666"/>
    <w:rsid w:val="00912923"/>
    <w:rsid w:val="0091540E"/>
    <w:rsid w:val="00916069"/>
    <w:rsid w:val="0091623F"/>
    <w:rsid w:val="009163D2"/>
    <w:rsid w:val="00916E19"/>
    <w:rsid w:val="00916E72"/>
    <w:rsid w:val="00920DF1"/>
    <w:rsid w:val="0092140F"/>
    <w:rsid w:val="009220F4"/>
    <w:rsid w:val="009221EF"/>
    <w:rsid w:val="0092277F"/>
    <w:rsid w:val="00922F83"/>
    <w:rsid w:val="00923502"/>
    <w:rsid w:val="0092359D"/>
    <w:rsid w:val="00923824"/>
    <w:rsid w:val="009244F8"/>
    <w:rsid w:val="00924757"/>
    <w:rsid w:val="0092492C"/>
    <w:rsid w:val="00924AF6"/>
    <w:rsid w:val="009254F1"/>
    <w:rsid w:val="00926EC1"/>
    <w:rsid w:val="0092723A"/>
    <w:rsid w:val="0092779C"/>
    <w:rsid w:val="00927872"/>
    <w:rsid w:val="00930B0C"/>
    <w:rsid w:val="0093126A"/>
    <w:rsid w:val="00931778"/>
    <w:rsid w:val="009317E5"/>
    <w:rsid w:val="00932593"/>
    <w:rsid w:val="00932D2E"/>
    <w:rsid w:val="009333F4"/>
    <w:rsid w:val="00933D82"/>
    <w:rsid w:val="009341F7"/>
    <w:rsid w:val="0093482C"/>
    <w:rsid w:val="00934C00"/>
    <w:rsid w:val="00934EA7"/>
    <w:rsid w:val="0093509B"/>
    <w:rsid w:val="00935ADD"/>
    <w:rsid w:val="009366A8"/>
    <w:rsid w:val="009368D0"/>
    <w:rsid w:val="009376D1"/>
    <w:rsid w:val="00937E79"/>
    <w:rsid w:val="009401E8"/>
    <w:rsid w:val="00940A3C"/>
    <w:rsid w:val="00940D9B"/>
    <w:rsid w:val="00941A49"/>
    <w:rsid w:val="009426A4"/>
    <w:rsid w:val="009429E4"/>
    <w:rsid w:val="00942C15"/>
    <w:rsid w:val="0094316D"/>
    <w:rsid w:val="00943BFD"/>
    <w:rsid w:val="0094452F"/>
    <w:rsid w:val="00944AE0"/>
    <w:rsid w:val="00944B74"/>
    <w:rsid w:val="00944DB2"/>
    <w:rsid w:val="0094651C"/>
    <w:rsid w:val="0094707B"/>
    <w:rsid w:val="00947207"/>
    <w:rsid w:val="00947C30"/>
    <w:rsid w:val="00950328"/>
    <w:rsid w:val="009513AA"/>
    <w:rsid w:val="00951773"/>
    <w:rsid w:val="009525B8"/>
    <w:rsid w:val="009526E7"/>
    <w:rsid w:val="00952986"/>
    <w:rsid w:val="009529D6"/>
    <w:rsid w:val="00952C51"/>
    <w:rsid w:val="00952CE8"/>
    <w:rsid w:val="0095347A"/>
    <w:rsid w:val="00953572"/>
    <w:rsid w:val="00953FA1"/>
    <w:rsid w:val="009545B0"/>
    <w:rsid w:val="0095480B"/>
    <w:rsid w:val="0095490B"/>
    <w:rsid w:val="00955985"/>
    <w:rsid w:val="00955F96"/>
    <w:rsid w:val="00955FD8"/>
    <w:rsid w:val="00960AC1"/>
    <w:rsid w:val="00960B5C"/>
    <w:rsid w:val="00960C8D"/>
    <w:rsid w:val="009619E6"/>
    <w:rsid w:val="00961DEC"/>
    <w:rsid w:val="00962B45"/>
    <w:rsid w:val="009630A3"/>
    <w:rsid w:val="0096382F"/>
    <w:rsid w:val="00963DD2"/>
    <w:rsid w:val="00964313"/>
    <w:rsid w:val="00964C97"/>
    <w:rsid w:val="00964CA3"/>
    <w:rsid w:val="00964D06"/>
    <w:rsid w:val="00965545"/>
    <w:rsid w:val="009655D9"/>
    <w:rsid w:val="0096614A"/>
    <w:rsid w:val="00966235"/>
    <w:rsid w:val="009664FD"/>
    <w:rsid w:val="00966EDA"/>
    <w:rsid w:val="00967CA7"/>
    <w:rsid w:val="0097096E"/>
    <w:rsid w:val="00970B51"/>
    <w:rsid w:val="00970D33"/>
    <w:rsid w:val="00971CA3"/>
    <w:rsid w:val="00971CCF"/>
    <w:rsid w:val="009723D3"/>
    <w:rsid w:val="009726F6"/>
    <w:rsid w:val="009737B2"/>
    <w:rsid w:val="00973827"/>
    <w:rsid w:val="0097416D"/>
    <w:rsid w:val="0097472E"/>
    <w:rsid w:val="00974FF7"/>
    <w:rsid w:val="00975183"/>
    <w:rsid w:val="009756DF"/>
    <w:rsid w:val="00975729"/>
    <w:rsid w:val="00975738"/>
    <w:rsid w:val="00975D91"/>
    <w:rsid w:val="00976CB7"/>
    <w:rsid w:val="00977236"/>
    <w:rsid w:val="009779C9"/>
    <w:rsid w:val="009802C7"/>
    <w:rsid w:val="009808D3"/>
    <w:rsid w:val="00980E27"/>
    <w:rsid w:val="00980E99"/>
    <w:rsid w:val="0098108A"/>
    <w:rsid w:val="00981881"/>
    <w:rsid w:val="00981FE2"/>
    <w:rsid w:val="00982026"/>
    <w:rsid w:val="00982277"/>
    <w:rsid w:val="0098231D"/>
    <w:rsid w:val="00982EAA"/>
    <w:rsid w:val="009830D0"/>
    <w:rsid w:val="009834DD"/>
    <w:rsid w:val="0098476A"/>
    <w:rsid w:val="00984A22"/>
    <w:rsid w:val="00985135"/>
    <w:rsid w:val="0098516E"/>
    <w:rsid w:val="00985691"/>
    <w:rsid w:val="00985A84"/>
    <w:rsid w:val="00985F4B"/>
    <w:rsid w:val="00986768"/>
    <w:rsid w:val="00986D1A"/>
    <w:rsid w:val="0098701B"/>
    <w:rsid w:val="0098744B"/>
    <w:rsid w:val="00987938"/>
    <w:rsid w:val="00987C10"/>
    <w:rsid w:val="00987E7D"/>
    <w:rsid w:val="00991139"/>
    <w:rsid w:val="0099144A"/>
    <w:rsid w:val="00991685"/>
    <w:rsid w:val="0099234B"/>
    <w:rsid w:val="00992C49"/>
    <w:rsid w:val="00992FC1"/>
    <w:rsid w:val="00992FCD"/>
    <w:rsid w:val="00993731"/>
    <w:rsid w:val="0099402A"/>
    <w:rsid w:val="0099483B"/>
    <w:rsid w:val="0099490F"/>
    <w:rsid w:val="0099521F"/>
    <w:rsid w:val="00996659"/>
    <w:rsid w:val="00996685"/>
    <w:rsid w:val="0099746B"/>
    <w:rsid w:val="009975D3"/>
    <w:rsid w:val="0099771F"/>
    <w:rsid w:val="00997EF0"/>
    <w:rsid w:val="009A1615"/>
    <w:rsid w:val="009A1A04"/>
    <w:rsid w:val="009A1FB7"/>
    <w:rsid w:val="009A2519"/>
    <w:rsid w:val="009A27B4"/>
    <w:rsid w:val="009A2D5C"/>
    <w:rsid w:val="009A2EAA"/>
    <w:rsid w:val="009A332E"/>
    <w:rsid w:val="009A3A3A"/>
    <w:rsid w:val="009A3E91"/>
    <w:rsid w:val="009A4536"/>
    <w:rsid w:val="009A5325"/>
    <w:rsid w:val="009A532C"/>
    <w:rsid w:val="009A6F75"/>
    <w:rsid w:val="009A72E3"/>
    <w:rsid w:val="009A7319"/>
    <w:rsid w:val="009A78D2"/>
    <w:rsid w:val="009A7B5F"/>
    <w:rsid w:val="009B0268"/>
    <w:rsid w:val="009B037A"/>
    <w:rsid w:val="009B163E"/>
    <w:rsid w:val="009B1E93"/>
    <w:rsid w:val="009B26D6"/>
    <w:rsid w:val="009B3265"/>
    <w:rsid w:val="009B3622"/>
    <w:rsid w:val="009B3A94"/>
    <w:rsid w:val="009B41EA"/>
    <w:rsid w:val="009B44E2"/>
    <w:rsid w:val="009B4C1C"/>
    <w:rsid w:val="009B518E"/>
    <w:rsid w:val="009B5254"/>
    <w:rsid w:val="009B6275"/>
    <w:rsid w:val="009B6606"/>
    <w:rsid w:val="009B68C6"/>
    <w:rsid w:val="009B70E4"/>
    <w:rsid w:val="009C027A"/>
    <w:rsid w:val="009C130D"/>
    <w:rsid w:val="009C1692"/>
    <w:rsid w:val="009C1733"/>
    <w:rsid w:val="009C17D6"/>
    <w:rsid w:val="009C1E4E"/>
    <w:rsid w:val="009C1EBE"/>
    <w:rsid w:val="009C23DA"/>
    <w:rsid w:val="009C254A"/>
    <w:rsid w:val="009C26C9"/>
    <w:rsid w:val="009C35C4"/>
    <w:rsid w:val="009C37B3"/>
    <w:rsid w:val="009C39F2"/>
    <w:rsid w:val="009C3A99"/>
    <w:rsid w:val="009C3EC8"/>
    <w:rsid w:val="009C4165"/>
    <w:rsid w:val="009C43F0"/>
    <w:rsid w:val="009C49AF"/>
    <w:rsid w:val="009C4A8F"/>
    <w:rsid w:val="009C561C"/>
    <w:rsid w:val="009C61C2"/>
    <w:rsid w:val="009C6266"/>
    <w:rsid w:val="009C6449"/>
    <w:rsid w:val="009C7938"/>
    <w:rsid w:val="009C7949"/>
    <w:rsid w:val="009C7ACA"/>
    <w:rsid w:val="009D10CB"/>
    <w:rsid w:val="009D1B90"/>
    <w:rsid w:val="009D205A"/>
    <w:rsid w:val="009D234B"/>
    <w:rsid w:val="009D2B1E"/>
    <w:rsid w:val="009D3007"/>
    <w:rsid w:val="009D486F"/>
    <w:rsid w:val="009D5CF7"/>
    <w:rsid w:val="009D64CD"/>
    <w:rsid w:val="009D7C73"/>
    <w:rsid w:val="009E1117"/>
    <w:rsid w:val="009E1139"/>
    <w:rsid w:val="009E17F9"/>
    <w:rsid w:val="009E25FF"/>
    <w:rsid w:val="009E2724"/>
    <w:rsid w:val="009E3113"/>
    <w:rsid w:val="009E355B"/>
    <w:rsid w:val="009E3760"/>
    <w:rsid w:val="009E3830"/>
    <w:rsid w:val="009E3FDB"/>
    <w:rsid w:val="009E42CE"/>
    <w:rsid w:val="009E465F"/>
    <w:rsid w:val="009E48F1"/>
    <w:rsid w:val="009E52D8"/>
    <w:rsid w:val="009E5603"/>
    <w:rsid w:val="009E5D3B"/>
    <w:rsid w:val="009E6350"/>
    <w:rsid w:val="009E6D05"/>
    <w:rsid w:val="009E73EA"/>
    <w:rsid w:val="009E76F2"/>
    <w:rsid w:val="009E7772"/>
    <w:rsid w:val="009E7A68"/>
    <w:rsid w:val="009E7F33"/>
    <w:rsid w:val="009F0793"/>
    <w:rsid w:val="009F0A58"/>
    <w:rsid w:val="009F0C51"/>
    <w:rsid w:val="009F1121"/>
    <w:rsid w:val="009F16A0"/>
    <w:rsid w:val="009F2CC0"/>
    <w:rsid w:val="009F32B3"/>
    <w:rsid w:val="009F42BB"/>
    <w:rsid w:val="009F436F"/>
    <w:rsid w:val="009F46B3"/>
    <w:rsid w:val="009F4750"/>
    <w:rsid w:val="009F48A2"/>
    <w:rsid w:val="009F4A6C"/>
    <w:rsid w:val="009F4C54"/>
    <w:rsid w:val="009F5326"/>
    <w:rsid w:val="009F55FF"/>
    <w:rsid w:val="009F61CF"/>
    <w:rsid w:val="009F699D"/>
    <w:rsid w:val="009F6B81"/>
    <w:rsid w:val="009F774F"/>
    <w:rsid w:val="00A00539"/>
    <w:rsid w:val="00A00593"/>
    <w:rsid w:val="00A019BF"/>
    <w:rsid w:val="00A01A39"/>
    <w:rsid w:val="00A0258D"/>
    <w:rsid w:val="00A025B6"/>
    <w:rsid w:val="00A026B5"/>
    <w:rsid w:val="00A02A0E"/>
    <w:rsid w:val="00A02C4F"/>
    <w:rsid w:val="00A033F2"/>
    <w:rsid w:val="00A03A53"/>
    <w:rsid w:val="00A03E91"/>
    <w:rsid w:val="00A04780"/>
    <w:rsid w:val="00A07C0B"/>
    <w:rsid w:val="00A07D6B"/>
    <w:rsid w:val="00A1029F"/>
    <w:rsid w:val="00A103CF"/>
    <w:rsid w:val="00A105BF"/>
    <w:rsid w:val="00A1110C"/>
    <w:rsid w:val="00A113C1"/>
    <w:rsid w:val="00A115C6"/>
    <w:rsid w:val="00A1185C"/>
    <w:rsid w:val="00A12B39"/>
    <w:rsid w:val="00A1300B"/>
    <w:rsid w:val="00A13ACD"/>
    <w:rsid w:val="00A1407A"/>
    <w:rsid w:val="00A149CE"/>
    <w:rsid w:val="00A14DB6"/>
    <w:rsid w:val="00A164D0"/>
    <w:rsid w:val="00A16681"/>
    <w:rsid w:val="00A1696A"/>
    <w:rsid w:val="00A169DC"/>
    <w:rsid w:val="00A16D13"/>
    <w:rsid w:val="00A20749"/>
    <w:rsid w:val="00A210CD"/>
    <w:rsid w:val="00A21E8B"/>
    <w:rsid w:val="00A22038"/>
    <w:rsid w:val="00A22556"/>
    <w:rsid w:val="00A22D32"/>
    <w:rsid w:val="00A23038"/>
    <w:rsid w:val="00A23121"/>
    <w:rsid w:val="00A2328D"/>
    <w:rsid w:val="00A2349A"/>
    <w:rsid w:val="00A2364C"/>
    <w:rsid w:val="00A23EE5"/>
    <w:rsid w:val="00A24689"/>
    <w:rsid w:val="00A24E7B"/>
    <w:rsid w:val="00A24EF5"/>
    <w:rsid w:val="00A25496"/>
    <w:rsid w:val="00A25E40"/>
    <w:rsid w:val="00A276AC"/>
    <w:rsid w:val="00A27B20"/>
    <w:rsid w:val="00A27CA8"/>
    <w:rsid w:val="00A308C5"/>
    <w:rsid w:val="00A30A4F"/>
    <w:rsid w:val="00A30D65"/>
    <w:rsid w:val="00A315C7"/>
    <w:rsid w:val="00A31EE6"/>
    <w:rsid w:val="00A31EF6"/>
    <w:rsid w:val="00A33570"/>
    <w:rsid w:val="00A33CDE"/>
    <w:rsid w:val="00A3474F"/>
    <w:rsid w:val="00A34D19"/>
    <w:rsid w:val="00A3557A"/>
    <w:rsid w:val="00A36A4B"/>
    <w:rsid w:val="00A36C86"/>
    <w:rsid w:val="00A36F8E"/>
    <w:rsid w:val="00A37055"/>
    <w:rsid w:val="00A37143"/>
    <w:rsid w:val="00A37511"/>
    <w:rsid w:val="00A37590"/>
    <w:rsid w:val="00A37F51"/>
    <w:rsid w:val="00A4027E"/>
    <w:rsid w:val="00A4047F"/>
    <w:rsid w:val="00A40807"/>
    <w:rsid w:val="00A40B28"/>
    <w:rsid w:val="00A40D79"/>
    <w:rsid w:val="00A41CF9"/>
    <w:rsid w:val="00A423BB"/>
    <w:rsid w:val="00A42A79"/>
    <w:rsid w:val="00A43126"/>
    <w:rsid w:val="00A43C2B"/>
    <w:rsid w:val="00A440F9"/>
    <w:rsid w:val="00A4455C"/>
    <w:rsid w:val="00A445B3"/>
    <w:rsid w:val="00A45182"/>
    <w:rsid w:val="00A46051"/>
    <w:rsid w:val="00A465F9"/>
    <w:rsid w:val="00A46AAA"/>
    <w:rsid w:val="00A46F46"/>
    <w:rsid w:val="00A472C1"/>
    <w:rsid w:val="00A47854"/>
    <w:rsid w:val="00A47CC4"/>
    <w:rsid w:val="00A505AC"/>
    <w:rsid w:val="00A5244B"/>
    <w:rsid w:val="00A53034"/>
    <w:rsid w:val="00A53352"/>
    <w:rsid w:val="00A53766"/>
    <w:rsid w:val="00A53B5E"/>
    <w:rsid w:val="00A53C9D"/>
    <w:rsid w:val="00A53CEA"/>
    <w:rsid w:val="00A54030"/>
    <w:rsid w:val="00A55ECD"/>
    <w:rsid w:val="00A55FB1"/>
    <w:rsid w:val="00A56F59"/>
    <w:rsid w:val="00A578FC"/>
    <w:rsid w:val="00A6038F"/>
    <w:rsid w:val="00A60943"/>
    <w:rsid w:val="00A6096A"/>
    <w:rsid w:val="00A61CF2"/>
    <w:rsid w:val="00A61EE4"/>
    <w:rsid w:val="00A62D07"/>
    <w:rsid w:val="00A6335F"/>
    <w:rsid w:val="00A635B5"/>
    <w:rsid w:val="00A6394A"/>
    <w:rsid w:val="00A63BD9"/>
    <w:rsid w:val="00A64641"/>
    <w:rsid w:val="00A6466E"/>
    <w:rsid w:val="00A64945"/>
    <w:rsid w:val="00A65206"/>
    <w:rsid w:val="00A6577F"/>
    <w:rsid w:val="00A65D19"/>
    <w:rsid w:val="00A671C4"/>
    <w:rsid w:val="00A67B6E"/>
    <w:rsid w:val="00A70609"/>
    <w:rsid w:val="00A70810"/>
    <w:rsid w:val="00A71ADD"/>
    <w:rsid w:val="00A735DE"/>
    <w:rsid w:val="00A735ED"/>
    <w:rsid w:val="00A741FC"/>
    <w:rsid w:val="00A74F36"/>
    <w:rsid w:val="00A7514E"/>
    <w:rsid w:val="00A752D0"/>
    <w:rsid w:val="00A75379"/>
    <w:rsid w:val="00A756CD"/>
    <w:rsid w:val="00A7610A"/>
    <w:rsid w:val="00A76620"/>
    <w:rsid w:val="00A768F0"/>
    <w:rsid w:val="00A76BDA"/>
    <w:rsid w:val="00A76E5B"/>
    <w:rsid w:val="00A778C8"/>
    <w:rsid w:val="00A80181"/>
    <w:rsid w:val="00A8066B"/>
    <w:rsid w:val="00A80881"/>
    <w:rsid w:val="00A809D0"/>
    <w:rsid w:val="00A81359"/>
    <w:rsid w:val="00A81422"/>
    <w:rsid w:val="00A814AA"/>
    <w:rsid w:val="00A81805"/>
    <w:rsid w:val="00A82293"/>
    <w:rsid w:val="00A822B2"/>
    <w:rsid w:val="00A82616"/>
    <w:rsid w:val="00A83BDB"/>
    <w:rsid w:val="00A8660D"/>
    <w:rsid w:val="00A8739A"/>
    <w:rsid w:val="00A87AB4"/>
    <w:rsid w:val="00A900D4"/>
    <w:rsid w:val="00A906C8"/>
    <w:rsid w:val="00A90D8E"/>
    <w:rsid w:val="00A90DC8"/>
    <w:rsid w:val="00A90FF8"/>
    <w:rsid w:val="00A9121A"/>
    <w:rsid w:val="00A9168B"/>
    <w:rsid w:val="00A916F9"/>
    <w:rsid w:val="00A91D1D"/>
    <w:rsid w:val="00A92679"/>
    <w:rsid w:val="00A92A67"/>
    <w:rsid w:val="00A939A7"/>
    <w:rsid w:val="00A93A53"/>
    <w:rsid w:val="00A94190"/>
    <w:rsid w:val="00A94698"/>
    <w:rsid w:val="00A94C70"/>
    <w:rsid w:val="00A94E4D"/>
    <w:rsid w:val="00A95C70"/>
    <w:rsid w:val="00A96677"/>
    <w:rsid w:val="00A970EB"/>
    <w:rsid w:val="00A9776D"/>
    <w:rsid w:val="00A979FB"/>
    <w:rsid w:val="00A97B22"/>
    <w:rsid w:val="00AA056B"/>
    <w:rsid w:val="00AA06D0"/>
    <w:rsid w:val="00AA1715"/>
    <w:rsid w:val="00AA2906"/>
    <w:rsid w:val="00AA29BF"/>
    <w:rsid w:val="00AA2A75"/>
    <w:rsid w:val="00AA3965"/>
    <w:rsid w:val="00AA3A18"/>
    <w:rsid w:val="00AA3B40"/>
    <w:rsid w:val="00AA3B6B"/>
    <w:rsid w:val="00AA51EF"/>
    <w:rsid w:val="00AA533B"/>
    <w:rsid w:val="00AA680F"/>
    <w:rsid w:val="00AA6D31"/>
    <w:rsid w:val="00AA6EE0"/>
    <w:rsid w:val="00AA74E2"/>
    <w:rsid w:val="00AB070B"/>
    <w:rsid w:val="00AB1EFE"/>
    <w:rsid w:val="00AB2445"/>
    <w:rsid w:val="00AB2BD1"/>
    <w:rsid w:val="00AB3B4D"/>
    <w:rsid w:val="00AB43DF"/>
    <w:rsid w:val="00AB45DC"/>
    <w:rsid w:val="00AB4CBE"/>
    <w:rsid w:val="00AB518E"/>
    <w:rsid w:val="00AB5391"/>
    <w:rsid w:val="00AB5542"/>
    <w:rsid w:val="00AB6226"/>
    <w:rsid w:val="00AB665F"/>
    <w:rsid w:val="00AB6A52"/>
    <w:rsid w:val="00AB706E"/>
    <w:rsid w:val="00AB72B0"/>
    <w:rsid w:val="00AB72B5"/>
    <w:rsid w:val="00AB7731"/>
    <w:rsid w:val="00AB79B3"/>
    <w:rsid w:val="00AB7C93"/>
    <w:rsid w:val="00AC04DF"/>
    <w:rsid w:val="00AC04FC"/>
    <w:rsid w:val="00AC05B3"/>
    <w:rsid w:val="00AC1B81"/>
    <w:rsid w:val="00AC2068"/>
    <w:rsid w:val="00AC25A8"/>
    <w:rsid w:val="00AC3344"/>
    <w:rsid w:val="00AC3AF0"/>
    <w:rsid w:val="00AC3F12"/>
    <w:rsid w:val="00AC3F81"/>
    <w:rsid w:val="00AC4179"/>
    <w:rsid w:val="00AC5977"/>
    <w:rsid w:val="00AC5B3B"/>
    <w:rsid w:val="00AC6432"/>
    <w:rsid w:val="00AC6555"/>
    <w:rsid w:val="00AC6AF1"/>
    <w:rsid w:val="00AC72D4"/>
    <w:rsid w:val="00AC759C"/>
    <w:rsid w:val="00AC75C9"/>
    <w:rsid w:val="00AC7A62"/>
    <w:rsid w:val="00AC7B51"/>
    <w:rsid w:val="00AD002C"/>
    <w:rsid w:val="00AD0292"/>
    <w:rsid w:val="00AD0A1E"/>
    <w:rsid w:val="00AD0E69"/>
    <w:rsid w:val="00AD1851"/>
    <w:rsid w:val="00AD1A07"/>
    <w:rsid w:val="00AD2243"/>
    <w:rsid w:val="00AD2581"/>
    <w:rsid w:val="00AD309F"/>
    <w:rsid w:val="00AD3938"/>
    <w:rsid w:val="00AD39A8"/>
    <w:rsid w:val="00AD3BBB"/>
    <w:rsid w:val="00AD3CBC"/>
    <w:rsid w:val="00AD54FE"/>
    <w:rsid w:val="00AD575A"/>
    <w:rsid w:val="00AD5E35"/>
    <w:rsid w:val="00AD6F5F"/>
    <w:rsid w:val="00AD7A81"/>
    <w:rsid w:val="00AD7D0C"/>
    <w:rsid w:val="00AE01AB"/>
    <w:rsid w:val="00AE05EB"/>
    <w:rsid w:val="00AE2539"/>
    <w:rsid w:val="00AE32CF"/>
    <w:rsid w:val="00AE370D"/>
    <w:rsid w:val="00AE43CF"/>
    <w:rsid w:val="00AE4AE5"/>
    <w:rsid w:val="00AE5020"/>
    <w:rsid w:val="00AE50FE"/>
    <w:rsid w:val="00AE553F"/>
    <w:rsid w:val="00AE58E4"/>
    <w:rsid w:val="00AE5A2D"/>
    <w:rsid w:val="00AE5E8A"/>
    <w:rsid w:val="00AE604B"/>
    <w:rsid w:val="00AE6289"/>
    <w:rsid w:val="00AE640E"/>
    <w:rsid w:val="00AE69A7"/>
    <w:rsid w:val="00AE777F"/>
    <w:rsid w:val="00AF15DE"/>
    <w:rsid w:val="00AF295C"/>
    <w:rsid w:val="00AF2961"/>
    <w:rsid w:val="00AF2C91"/>
    <w:rsid w:val="00AF31AC"/>
    <w:rsid w:val="00AF3616"/>
    <w:rsid w:val="00AF40EB"/>
    <w:rsid w:val="00AF4129"/>
    <w:rsid w:val="00AF4817"/>
    <w:rsid w:val="00AF4F52"/>
    <w:rsid w:val="00AF52EF"/>
    <w:rsid w:val="00AF5691"/>
    <w:rsid w:val="00AF59F3"/>
    <w:rsid w:val="00AF5A42"/>
    <w:rsid w:val="00AF656F"/>
    <w:rsid w:val="00AF753F"/>
    <w:rsid w:val="00AF78EE"/>
    <w:rsid w:val="00AF7D15"/>
    <w:rsid w:val="00B0150E"/>
    <w:rsid w:val="00B01CEB"/>
    <w:rsid w:val="00B020D6"/>
    <w:rsid w:val="00B02AA5"/>
    <w:rsid w:val="00B02BB4"/>
    <w:rsid w:val="00B03169"/>
    <w:rsid w:val="00B03A89"/>
    <w:rsid w:val="00B03EC5"/>
    <w:rsid w:val="00B040D5"/>
    <w:rsid w:val="00B04194"/>
    <w:rsid w:val="00B042E9"/>
    <w:rsid w:val="00B043B7"/>
    <w:rsid w:val="00B04572"/>
    <w:rsid w:val="00B04E80"/>
    <w:rsid w:val="00B0508E"/>
    <w:rsid w:val="00B0526F"/>
    <w:rsid w:val="00B05919"/>
    <w:rsid w:val="00B05C85"/>
    <w:rsid w:val="00B06B52"/>
    <w:rsid w:val="00B06DA3"/>
    <w:rsid w:val="00B072E1"/>
    <w:rsid w:val="00B078E7"/>
    <w:rsid w:val="00B07A22"/>
    <w:rsid w:val="00B109C8"/>
    <w:rsid w:val="00B10F19"/>
    <w:rsid w:val="00B11CCC"/>
    <w:rsid w:val="00B12278"/>
    <w:rsid w:val="00B123AA"/>
    <w:rsid w:val="00B1250B"/>
    <w:rsid w:val="00B12A12"/>
    <w:rsid w:val="00B1303D"/>
    <w:rsid w:val="00B132C3"/>
    <w:rsid w:val="00B140EA"/>
    <w:rsid w:val="00B142B9"/>
    <w:rsid w:val="00B14D5B"/>
    <w:rsid w:val="00B15D38"/>
    <w:rsid w:val="00B15DE5"/>
    <w:rsid w:val="00B164BA"/>
    <w:rsid w:val="00B1669A"/>
    <w:rsid w:val="00B16EB3"/>
    <w:rsid w:val="00B1745A"/>
    <w:rsid w:val="00B17B5A"/>
    <w:rsid w:val="00B17D06"/>
    <w:rsid w:val="00B17E51"/>
    <w:rsid w:val="00B17FA8"/>
    <w:rsid w:val="00B20342"/>
    <w:rsid w:val="00B2052A"/>
    <w:rsid w:val="00B2167E"/>
    <w:rsid w:val="00B218AD"/>
    <w:rsid w:val="00B21DE2"/>
    <w:rsid w:val="00B227F4"/>
    <w:rsid w:val="00B2298F"/>
    <w:rsid w:val="00B23458"/>
    <w:rsid w:val="00B23969"/>
    <w:rsid w:val="00B24F42"/>
    <w:rsid w:val="00B256AE"/>
    <w:rsid w:val="00B260A1"/>
    <w:rsid w:val="00B26147"/>
    <w:rsid w:val="00B26B40"/>
    <w:rsid w:val="00B277D7"/>
    <w:rsid w:val="00B27A53"/>
    <w:rsid w:val="00B27EFB"/>
    <w:rsid w:val="00B31E95"/>
    <w:rsid w:val="00B31EDB"/>
    <w:rsid w:val="00B32596"/>
    <w:rsid w:val="00B327FB"/>
    <w:rsid w:val="00B32BE9"/>
    <w:rsid w:val="00B33A57"/>
    <w:rsid w:val="00B33B5D"/>
    <w:rsid w:val="00B350C7"/>
    <w:rsid w:val="00B35AC7"/>
    <w:rsid w:val="00B36BA4"/>
    <w:rsid w:val="00B37BFE"/>
    <w:rsid w:val="00B409C1"/>
    <w:rsid w:val="00B40F81"/>
    <w:rsid w:val="00B4109A"/>
    <w:rsid w:val="00B413F9"/>
    <w:rsid w:val="00B41512"/>
    <w:rsid w:val="00B419B8"/>
    <w:rsid w:val="00B41B09"/>
    <w:rsid w:val="00B424C5"/>
    <w:rsid w:val="00B42671"/>
    <w:rsid w:val="00B42944"/>
    <w:rsid w:val="00B42C78"/>
    <w:rsid w:val="00B42D68"/>
    <w:rsid w:val="00B44F2B"/>
    <w:rsid w:val="00B450F0"/>
    <w:rsid w:val="00B453AE"/>
    <w:rsid w:val="00B45AEC"/>
    <w:rsid w:val="00B4661F"/>
    <w:rsid w:val="00B46623"/>
    <w:rsid w:val="00B46D7E"/>
    <w:rsid w:val="00B4702F"/>
    <w:rsid w:val="00B47251"/>
    <w:rsid w:val="00B47811"/>
    <w:rsid w:val="00B47AB3"/>
    <w:rsid w:val="00B505FC"/>
    <w:rsid w:val="00B50AC9"/>
    <w:rsid w:val="00B50BAF"/>
    <w:rsid w:val="00B51A18"/>
    <w:rsid w:val="00B51C95"/>
    <w:rsid w:val="00B5308C"/>
    <w:rsid w:val="00B53712"/>
    <w:rsid w:val="00B53D65"/>
    <w:rsid w:val="00B54388"/>
    <w:rsid w:val="00B54D48"/>
    <w:rsid w:val="00B55A11"/>
    <w:rsid w:val="00B55FA2"/>
    <w:rsid w:val="00B572BD"/>
    <w:rsid w:val="00B57348"/>
    <w:rsid w:val="00B57602"/>
    <w:rsid w:val="00B603A0"/>
    <w:rsid w:val="00B60B86"/>
    <w:rsid w:val="00B60DB8"/>
    <w:rsid w:val="00B60E84"/>
    <w:rsid w:val="00B61F76"/>
    <w:rsid w:val="00B6248D"/>
    <w:rsid w:val="00B63050"/>
    <w:rsid w:val="00B634A7"/>
    <w:rsid w:val="00B63C80"/>
    <w:rsid w:val="00B648C8"/>
    <w:rsid w:val="00B6538B"/>
    <w:rsid w:val="00B65966"/>
    <w:rsid w:val="00B65B37"/>
    <w:rsid w:val="00B6607A"/>
    <w:rsid w:val="00B660A6"/>
    <w:rsid w:val="00B66574"/>
    <w:rsid w:val="00B66767"/>
    <w:rsid w:val="00B67B0F"/>
    <w:rsid w:val="00B7051D"/>
    <w:rsid w:val="00B7071D"/>
    <w:rsid w:val="00B724A2"/>
    <w:rsid w:val="00B72C62"/>
    <w:rsid w:val="00B73410"/>
    <w:rsid w:val="00B73732"/>
    <w:rsid w:val="00B73CFB"/>
    <w:rsid w:val="00B7408B"/>
    <w:rsid w:val="00B74226"/>
    <w:rsid w:val="00B756BB"/>
    <w:rsid w:val="00B75A33"/>
    <w:rsid w:val="00B75F3B"/>
    <w:rsid w:val="00B760E0"/>
    <w:rsid w:val="00B779C4"/>
    <w:rsid w:val="00B806E5"/>
    <w:rsid w:val="00B80B5E"/>
    <w:rsid w:val="00B81342"/>
    <w:rsid w:val="00B81E02"/>
    <w:rsid w:val="00B82141"/>
    <w:rsid w:val="00B82E43"/>
    <w:rsid w:val="00B8383C"/>
    <w:rsid w:val="00B84132"/>
    <w:rsid w:val="00B84CCF"/>
    <w:rsid w:val="00B860DF"/>
    <w:rsid w:val="00B865F6"/>
    <w:rsid w:val="00B8724C"/>
    <w:rsid w:val="00B87503"/>
    <w:rsid w:val="00B87675"/>
    <w:rsid w:val="00B877F0"/>
    <w:rsid w:val="00B878AA"/>
    <w:rsid w:val="00B9059A"/>
    <w:rsid w:val="00B906C6"/>
    <w:rsid w:val="00B91148"/>
    <w:rsid w:val="00B9130A"/>
    <w:rsid w:val="00B91587"/>
    <w:rsid w:val="00B919DF"/>
    <w:rsid w:val="00B921E3"/>
    <w:rsid w:val="00B940E0"/>
    <w:rsid w:val="00B94C23"/>
    <w:rsid w:val="00B95001"/>
    <w:rsid w:val="00B95593"/>
    <w:rsid w:val="00B95EC0"/>
    <w:rsid w:val="00B96648"/>
    <w:rsid w:val="00B96BE7"/>
    <w:rsid w:val="00B97198"/>
    <w:rsid w:val="00B9721A"/>
    <w:rsid w:val="00B97EC1"/>
    <w:rsid w:val="00BA02D1"/>
    <w:rsid w:val="00BA0931"/>
    <w:rsid w:val="00BA1103"/>
    <w:rsid w:val="00BA11EF"/>
    <w:rsid w:val="00BA14A3"/>
    <w:rsid w:val="00BA1767"/>
    <w:rsid w:val="00BA1E06"/>
    <w:rsid w:val="00BA2415"/>
    <w:rsid w:val="00BA252F"/>
    <w:rsid w:val="00BA2EB5"/>
    <w:rsid w:val="00BA2FE7"/>
    <w:rsid w:val="00BA3410"/>
    <w:rsid w:val="00BA3A19"/>
    <w:rsid w:val="00BA3ECD"/>
    <w:rsid w:val="00BA3F80"/>
    <w:rsid w:val="00BA4736"/>
    <w:rsid w:val="00BA5849"/>
    <w:rsid w:val="00BA5B6B"/>
    <w:rsid w:val="00BA5CA8"/>
    <w:rsid w:val="00BA5E26"/>
    <w:rsid w:val="00BA6361"/>
    <w:rsid w:val="00BA6ECB"/>
    <w:rsid w:val="00BA746E"/>
    <w:rsid w:val="00BB00FF"/>
    <w:rsid w:val="00BB0B83"/>
    <w:rsid w:val="00BB1DA3"/>
    <w:rsid w:val="00BB2099"/>
    <w:rsid w:val="00BB26CF"/>
    <w:rsid w:val="00BB2BD0"/>
    <w:rsid w:val="00BB32DE"/>
    <w:rsid w:val="00BB4272"/>
    <w:rsid w:val="00BB4B8D"/>
    <w:rsid w:val="00BB5969"/>
    <w:rsid w:val="00BB5970"/>
    <w:rsid w:val="00BB5AC1"/>
    <w:rsid w:val="00BB5FFF"/>
    <w:rsid w:val="00BB6086"/>
    <w:rsid w:val="00BB6366"/>
    <w:rsid w:val="00BB63EB"/>
    <w:rsid w:val="00BB67E0"/>
    <w:rsid w:val="00BB69E4"/>
    <w:rsid w:val="00BB6E67"/>
    <w:rsid w:val="00BB72E6"/>
    <w:rsid w:val="00BB7BA3"/>
    <w:rsid w:val="00BB7DE4"/>
    <w:rsid w:val="00BB7F55"/>
    <w:rsid w:val="00BC00B9"/>
    <w:rsid w:val="00BC03E1"/>
    <w:rsid w:val="00BC0B57"/>
    <w:rsid w:val="00BC14CE"/>
    <w:rsid w:val="00BC3159"/>
    <w:rsid w:val="00BC3ACC"/>
    <w:rsid w:val="00BC4368"/>
    <w:rsid w:val="00BC445E"/>
    <w:rsid w:val="00BC4B01"/>
    <w:rsid w:val="00BC5005"/>
    <w:rsid w:val="00BC59D6"/>
    <w:rsid w:val="00BC5D3D"/>
    <w:rsid w:val="00BC63D8"/>
    <w:rsid w:val="00BC65D4"/>
    <w:rsid w:val="00BC68EC"/>
    <w:rsid w:val="00BC6E01"/>
    <w:rsid w:val="00BC7523"/>
    <w:rsid w:val="00BCF939"/>
    <w:rsid w:val="00BD009C"/>
    <w:rsid w:val="00BD14DF"/>
    <w:rsid w:val="00BD1D1A"/>
    <w:rsid w:val="00BD2924"/>
    <w:rsid w:val="00BD2EFD"/>
    <w:rsid w:val="00BD44EC"/>
    <w:rsid w:val="00BD457E"/>
    <w:rsid w:val="00BD5E4D"/>
    <w:rsid w:val="00BD640C"/>
    <w:rsid w:val="00BD6FFE"/>
    <w:rsid w:val="00BD7011"/>
    <w:rsid w:val="00BE01FA"/>
    <w:rsid w:val="00BE0302"/>
    <w:rsid w:val="00BE0ED6"/>
    <w:rsid w:val="00BE100A"/>
    <w:rsid w:val="00BE1053"/>
    <w:rsid w:val="00BE1D91"/>
    <w:rsid w:val="00BE219A"/>
    <w:rsid w:val="00BE222B"/>
    <w:rsid w:val="00BE2788"/>
    <w:rsid w:val="00BE2ABF"/>
    <w:rsid w:val="00BE34D4"/>
    <w:rsid w:val="00BE3B3C"/>
    <w:rsid w:val="00BE3EEC"/>
    <w:rsid w:val="00BE3F78"/>
    <w:rsid w:val="00BE4292"/>
    <w:rsid w:val="00BE4570"/>
    <w:rsid w:val="00BE4BAA"/>
    <w:rsid w:val="00BE5659"/>
    <w:rsid w:val="00BE5687"/>
    <w:rsid w:val="00BE56FB"/>
    <w:rsid w:val="00BE5887"/>
    <w:rsid w:val="00BE62BD"/>
    <w:rsid w:val="00BE6309"/>
    <w:rsid w:val="00BE6CD8"/>
    <w:rsid w:val="00BE751B"/>
    <w:rsid w:val="00BE77D7"/>
    <w:rsid w:val="00BF0014"/>
    <w:rsid w:val="00BF0084"/>
    <w:rsid w:val="00BF02CC"/>
    <w:rsid w:val="00BF0540"/>
    <w:rsid w:val="00BF091F"/>
    <w:rsid w:val="00BF0DCC"/>
    <w:rsid w:val="00BF0EE7"/>
    <w:rsid w:val="00BF3C86"/>
    <w:rsid w:val="00BF4058"/>
    <w:rsid w:val="00BF4290"/>
    <w:rsid w:val="00BF43E6"/>
    <w:rsid w:val="00BF47D2"/>
    <w:rsid w:val="00BF48B9"/>
    <w:rsid w:val="00BF4DD6"/>
    <w:rsid w:val="00BF50C3"/>
    <w:rsid w:val="00BF53D6"/>
    <w:rsid w:val="00BF64A6"/>
    <w:rsid w:val="00BF7256"/>
    <w:rsid w:val="00BF7D9F"/>
    <w:rsid w:val="00C0076A"/>
    <w:rsid w:val="00C00BF1"/>
    <w:rsid w:val="00C01758"/>
    <w:rsid w:val="00C01BBD"/>
    <w:rsid w:val="00C02603"/>
    <w:rsid w:val="00C035F2"/>
    <w:rsid w:val="00C04564"/>
    <w:rsid w:val="00C0464E"/>
    <w:rsid w:val="00C05C50"/>
    <w:rsid w:val="00C05F01"/>
    <w:rsid w:val="00C06104"/>
    <w:rsid w:val="00C0662C"/>
    <w:rsid w:val="00C06881"/>
    <w:rsid w:val="00C06909"/>
    <w:rsid w:val="00C06AA8"/>
    <w:rsid w:val="00C07248"/>
    <w:rsid w:val="00C07AF9"/>
    <w:rsid w:val="00C07B2D"/>
    <w:rsid w:val="00C1049F"/>
    <w:rsid w:val="00C10702"/>
    <w:rsid w:val="00C10841"/>
    <w:rsid w:val="00C11733"/>
    <w:rsid w:val="00C117AE"/>
    <w:rsid w:val="00C11A9A"/>
    <w:rsid w:val="00C12139"/>
    <w:rsid w:val="00C12C32"/>
    <w:rsid w:val="00C1318D"/>
    <w:rsid w:val="00C13852"/>
    <w:rsid w:val="00C13B0F"/>
    <w:rsid w:val="00C147FD"/>
    <w:rsid w:val="00C153DC"/>
    <w:rsid w:val="00C15F0E"/>
    <w:rsid w:val="00C15F24"/>
    <w:rsid w:val="00C17096"/>
    <w:rsid w:val="00C17120"/>
    <w:rsid w:val="00C17727"/>
    <w:rsid w:val="00C20D12"/>
    <w:rsid w:val="00C2127B"/>
    <w:rsid w:val="00C21324"/>
    <w:rsid w:val="00C2168F"/>
    <w:rsid w:val="00C216B2"/>
    <w:rsid w:val="00C219AF"/>
    <w:rsid w:val="00C2284F"/>
    <w:rsid w:val="00C22F59"/>
    <w:rsid w:val="00C2361C"/>
    <w:rsid w:val="00C2366A"/>
    <w:rsid w:val="00C25571"/>
    <w:rsid w:val="00C25F46"/>
    <w:rsid w:val="00C26154"/>
    <w:rsid w:val="00C267F3"/>
    <w:rsid w:val="00C26904"/>
    <w:rsid w:val="00C26D83"/>
    <w:rsid w:val="00C275D7"/>
    <w:rsid w:val="00C312F9"/>
    <w:rsid w:val="00C314DD"/>
    <w:rsid w:val="00C31884"/>
    <w:rsid w:val="00C32388"/>
    <w:rsid w:val="00C327D3"/>
    <w:rsid w:val="00C328BB"/>
    <w:rsid w:val="00C32F6A"/>
    <w:rsid w:val="00C33037"/>
    <w:rsid w:val="00C34CAF"/>
    <w:rsid w:val="00C35073"/>
    <w:rsid w:val="00C3529A"/>
    <w:rsid w:val="00C35363"/>
    <w:rsid w:val="00C36071"/>
    <w:rsid w:val="00C37526"/>
    <w:rsid w:val="00C375FB"/>
    <w:rsid w:val="00C37833"/>
    <w:rsid w:val="00C40CFA"/>
    <w:rsid w:val="00C41102"/>
    <w:rsid w:val="00C4194B"/>
    <w:rsid w:val="00C41BC6"/>
    <w:rsid w:val="00C42309"/>
    <w:rsid w:val="00C42510"/>
    <w:rsid w:val="00C4256A"/>
    <w:rsid w:val="00C42809"/>
    <w:rsid w:val="00C42BE8"/>
    <w:rsid w:val="00C4379A"/>
    <w:rsid w:val="00C43CF7"/>
    <w:rsid w:val="00C44559"/>
    <w:rsid w:val="00C4460A"/>
    <w:rsid w:val="00C44C6D"/>
    <w:rsid w:val="00C44F16"/>
    <w:rsid w:val="00C455EC"/>
    <w:rsid w:val="00C4649A"/>
    <w:rsid w:val="00C464BD"/>
    <w:rsid w:val="00C46963"/>
    <w:rsid w:val="00C471FF"/>
    <w:rsid w:val="00C509AE"/>
    <w:rsid w:val="00C51789"/>
    <w:rsid w:val="00C518BF"/>
    <w:rsid w:val="00C5196C"/>
    <w:rsid w:val="00C51DB3"/>
    <w:rsid w:val="00C5291D"/>
    <w:rsid w:val="00C53285"/>
    <w:rsid w:val="00C53529"/>
    <w:rsid w:val="00C54151"/>
    <w:rsid w:val="00C54693"/>
    <w:rsid w:val="00C55085"/>
    <w:rsid w:val="00C55D24"/>
    <w:rsid w:val="00C5685F"/>
    <w:rsid w:val="00C568DD"/>
    <w:rsid w:val="00C56B33"/>
    <w:rsid w:val="00C56C20"/>
    <w:rsid w:val="00C56CEA"/>
    <w:rsid w:val="00C57020"/>
    <w:rsid w:val="00C57DBA"/>
    <w:rsid w:val="00C57F2B"/>
    <w:rsid w:val="00C6140E"/>
    <w:rsid w:val="00C617A5"/>
    <w:rsid w:val="00C61BFA"/>
    <w:rsid w:val="00C6239A"/>
    <w:rsid w:val="00C62574"/>
    <w:rsid w:val="00C62892"/>
    <w:rsid w:val="00C6395A"/>
    <w:rsid w:val="00C639FF"/>
    <w:rsid w:val="00C65322"/>
    <w:rsid w:val="00C668CD"/>
    <w:rsid w:val="00C674D2"/>
    <w:rsid w:val="00C67D68"/>
    <w:rsid w:val="00C70339"/>
    <w:rsid w:val="00C7192E"/>
    <w:rsid w:val="00C71A9F"/>
    <w:rsid w:val="00C7403F"/>
    <w:rsid w:val="00C75B45"/>
    <w:rsid w:val="00C7644E"/>
    <w:rsid w:val="00C76906"/>
    <w:rsid w:val="00C76F3D"/>
    <w:rsid w:val="00C77722"/>
    <w:rsid w:val="00C77B6E"/>
    <w:rsid w:val="00C77DE2"/>
    <w:rsid w:val="00C80302"/>
    <w:rsid w:val="00C807B6"/>
    <w:rsid w:val="00C809CC"/>
    <w:rsid w:val="00C80CC2"/>
    <w:rsid w:val="00C80E9B"/>
    <w:rsid w:val="00C80EBD"/>
    <w:rsid w:val="00C811A4"/>
    <w:rsid w:val="00C81886"/>
    <w:rsid w:val="00C8191F"/>
    <w:rsid w:val="00C82310"/>
    <w:rsid w:val="00C82365"/>
    <w:rsid w:val="00C8264E"/>
    <w:rsid w:val="00C829D4"/>
    <w:rsid w:val="00C82A8A"/>
    <w:rsid w:val="00C83A8F"/>
    <w:rsid w:val="00C84220"/>
    <w:rsid w:val="00C842E4"/>
    <w:rsid w:val="00C84546"/>
    <w:rsid w:val="00C849AB"/>
    <w:rsid w:val="00C84DB6"/>
    <w:rsid w:val="00C85837"/>
    <w:rsid w:val="00C86878"/>
    <w:rsid w:val="00C86ABB"/>
    <w:rsid w:val="00C874CB"/>
    <w:rsid w:val="00C902EB"/>
    <w:rsid w:val="00C9098F"/>
    <w:rsid w:val="00C91589"/>
    <w:rsid w:val="00C92450"/>
    <w:rsid w:val="00C924CF"/>
    <w:rsid w:val="00C930B7"/>
    <w:rsid w:val="00C9320A"/>
    <w:rsid w:val="00C93CF9"/>
    <w:rsid w:val="00C9423F"/>
    <w:rsid w:val="00C945B0"/>
    <w:rsid w:val="00C94D63"/>
    <w:rsid w:val="00C96FC8"/>
    <w:rsid w:val="00C97606"/>
    <w:rsid w:val="00CA0138"/>
    <w:rsid w:val="00CA03F8"/>
    <w:rsid w:val="00CA0564"/>
    <w:rsid w:val="00CA10D7"/>
    <w:rsid w:val="00CA11B8"/>
    <w:rsid w:val="00CA11D1"/>
    <w:rsid w:val="00CA1211"/>
    <w:rsid w:val="00CA19F5"/>
    <w:rsid w:val="00CA1AEB"/>
    <w:rsid w:val="00CA1E10"/>
    <w:rsid w:val="00CA1ECE"/>
    <w:rsid w:val="00CA274D"/>
    <w:rsid w:val="00CA2AEB"/>
    <w:rsid w:val="00CA2C86"/>
    <w:rsid w:val="00CA3303"/>
    <w:rsid w:val="00CA3925"/>
    <w:rsid w:val="00CA3CDD"/>
    <w:rsid w:val="00CA481E"/>
    <w:rsid w:val="00CA5294"/>
    <w:rsid w:val="00CA53EF"/>
    <w:rsid w:val="00CA5548"/>
    <w:rsid w:val="00CA56CE"/>
    <w:rsid w:val="00CA5AC1"/>
    <w:rsid w:val="00CA5C66"/>
    <w:rsid w:val="00CA6365"/>
    <w:rsid w:val="00CA6B0E"/>
    <w:rsid w:val="00CA6DB1"/>
    <w:rsid w:val="00CA788A"/>
    <w:rsid w:val="00CA7D71"/>
    <w:rsid w:val="00CB0C56"/>
    <w:rsid w:val="00CB0DEA"/>
    <w:rsid w:val="00CB109A"/>
    <w:rsid w:val="00CB147C"/>
    <w:rsid w:val="00CB1C21"/>
    <w:rsid w:val="00CB2242"/>
    <w:rsid w:val="00CB3320"/>
    <w:rsid w:val="00CB3F0D"/>
    <w:rsid w:val="00CB4A1D"/>
    <w:rsid w:val="00CB4C64"/>
    <w:rsid w:val="00CB4EDD"/>
    <w:rsid w:val="00CB4F02"/>
    <w:rsid w:val="00CB5662"/>
    <w:rsid w:val="00CB654D"/>
    <w:rsid w:val="00CB6CE4"/>
    <w:rsid w:val="00CB71C6"/>
    <w:rsid w:val="00CB7CEE"/>
    <w:rsid w:val="00CC034E"/>
    <w:rsid w:val="00CC0F5F"/>
    <w:rsid w:val="00CC1044"/>
    <w:rsid w:val="00CC2BC1"/>
    <w:rsid w:val="00CC52C8"/>
    <w:rsid w:val="00CC550B"/>
    <w:rsid w:val="00CC6192"/>
    <w:rsid w:val="00CC6E7C"/>
    <w:rsid w:val="00CC7B78"/>
    <w:rsid w:val="00CC7F8E"/>
    <w:rsid w:val="00CD0C4D"/>
    <w:rsid w:val="00CD118B"/>
    <w:rsid w:val="00CD1445"/>
    <w:rsid w:val="00CD193D"/>
    <w:rsid w:val="00CD210A"/>
    <w:rsid w:val="00CD34E2"/>
    <w:rsid w:val="00CD3F61"/>
    <w:rsid w:val="00CD4271"/>
    <w:rsid w:val="00CD63C2"/>
    <w:rsid w:val="00CD74B3"/>
    <w:rsid w:val="00CE09C8"/>
    <w:rsid w:val="00CE0D57"/>
    <w:rsid w:val="00CE1707"/>
    <w:rsid w:val="00CE173E"/>
    <w:rsid w:val="00CE1DFB"/>
    <w:rsid w:val="00CE2AE6"/>
    <w:rsid w:val="00CE362B"/>
    <w:rsid w:val="00CE4436"/>
    <w:rsid w:val="00CE45D2"/>
    <w:rsid w:val="00CE5831"/>
    <w:rsid w:val="00CE59DA"/>
    <w:rsid w:val="00CE5FFB"/>
    <w:rsid w:val="00CE7675"/>
    <w:rsid w:val="00CE78E8"/>
    <w:rsid w:val="00CE7B42"/>
    <w:rsid w:val="00CF117E"/>
    <w:rsid w:val="00CF2D5A"/>
    <w:rsid w:val="00CF31B1"/>
    <w:rsid w:val="00CF34CB"/>
    <w:rsid w:val="00CF3E74"/>
    <w:rsid w:val="00CF4B99"/>
    <w:rsid w:val="00CF63E3"/>
    <w:rsid w:val="00CF64EB"/>
    <w:rsid w:val="00CF673D"/>
    <w:rsid w:val="00CF6868"/>
    <w:rsid w:val="00CF6EA7"/>
    <w:rsid w:val="00CF7277"/>
    <w:rsid w:val="00CF76B3"/>
    <w:rsid w:val="00CF7C32"/>
    <w:rsid w:val="00D0098A"/>
    <w:rsid w:val="00D00C25"/>
    <w:rsid w:val="00D01F2E"/>
    <w:rsid w:val="00D01F44"/>
    <w:rsid w:val="00D02F8D"/>
    <w:rsid w:val="00D0341B"/>
    <w:rsid w:val="00D03595"/>
    <w:rsid w:val="00D044BB"/>
    <w:rsid w:val="00D048D2"/>
    <w:rsid w:val="00D0507C"/>
    <w:rsid w:val="00D05A4B"/>
    <w:rsid w:val="00D05DE6"/>
    <w:rsid w:val="00D060D1"/>
    <w:rsid w:val="00D06612"/>
    <w:rsid w:val="00D06778"/>
    <w:rsid w:val="00D0784A"/>
    <w:rsid w:val="00D07E4D"/>
    <w:rsid w:val="00D1026E"/>
    <w:rsid w:val="00D11278"/>
    <w:rsid w:val="00D1129D"/>
    <w:rsid w:val="00D12191"/>
    <w:rsid w:val="00D12B58"/>
    <w:rsid w:val="00D13353"/>
    <w:rsid w:val="00D13BD4"/>
    <w:rsid w:val="00D13F19"/>
    <w:rsid w:val="00D150DB"/>
    <w:rsid w:val="00D155ED"/>
    <w:rsid w:val="00D15DE8"/>
    <w:rsid w:val="00D15E42"/>
    <w:rsid w:val="00D169D4"/>
    <w:rsid w:val="00D1743D"/>
    <w:rsid w:val="00D1765A"/>
    <w:rsid w:val="00D176D8"/>
    <w:rsid w:val="00D178A9"/>
    <w:rsid w:val="00D17C7E"/>
    <w:rsid w:val="00D17FFD"/>
    <w:rsid w:val="00D2108A"/>
    <w:rsid w:val="00D21566"/>
    <w:rsid w:val="00D21C4C"/>
    <w:rsid w:val="00D226DA"/>
    <w:rsid w:val="00D22C7E"/>
    <w:rsid w:val="00D23696"/>
    <w:rsid w:val="00D236E9"/>
    <w:rsid w:val="00D2370A"/>
    <w:rsid w:val="00D23836"/>
    <w:rsid w:val="00D241B2"/>
    <w:rsid w:val="00D246FC"/>
    <w:rsid w:val="00D24751"/>
    <w:rsid w:val="00D24F16"/>
    <w:rsid w:val="00D25789"/>
    <w:rsid w:val="00D25872"/>
    <w:rsid w:val="00D25C25"/>
    <w:rsid w:val="00D26910"/>
    <w:rsid w:val="00D26F16"/>
    <w:rsid w:val="00D270D0"/>
    <w:rsid w:val="00D278FB"/>
    <w:rsid w:val="00D27DAF"/>
    <w:rsid w:val="00D31009"/>
    <w:rsid w:val="00D315A5"/>
    <w:rsid w:val="00D338C0"/>
    <w:rsid w:val="00D33A34"/>
    <w:rsid w:val="00D34014"/>
    <w:rsid w:val="00D341F8"/>
    <w:rsid w:val="00D34A9A"/>
    <w:rsid w:val="00D34E07"/>
    <w:rsid w:val="00D3625C"/>
    <w:rsid w:val="00D3683E"/>
    <w:rsid w:val="00D3719A"/>
    <w:rsid w:val="00D37733"/>
    <w:rsid w:val="00D37849"/>
    <w:rsid w:val="00D40FE5"/>
    <w:rsid w:val="00D41447"/>
    <w:rsid w:val="00D414E1"/>
    <w:rsid w:val="00D41C97"/>
    <w:rsid w:val="00D41E56"/>
    <w:rsid w:val="00D42946"/>
    <w:rsid w:val="00D42A02"/>
    <w:rsid w:val="00D42BA2"/>
    <w:rsid w:val="00D42C72"/>
    <w:rsid w:val="00D433AD"/>
    <w:rsid w:val="00D44791"/>
    <w:rsid w:val="00D455DC"/>
    <w:rsid w:val="00D46642"/>
    <w:rsid w:val="00D46704"/>
    <w:rsid w:val="00D46954"/>
    <w:rsid w:val="00D46CC7"/>
    <w:rsid w:val="00D46FD4"/>
    <w:rsid w:val="00D50F73"/>
    <w:rsid w:val="00D51073"/>
    <w:rsid w:val="00D518F4"/>
    <w:rsid w:val="00D51AA6"/>
    <w:rsid w:val="00D51C1C"/>
    <w:rsid w:val="00D51EC4"/>
    <w:rsid w:val="00D52A31"/>
    <w:rsid w:val="00D534D2"/>
    <w:rsid w:val="00D53E4C"/>
    <w:rsid w:val="00D53EAE"/>
    <w:rsid w:val="00D54A15"/>
    <w:rsid w:val="00D54C0B"/>
    <w:rsid w:val="00D550B2"/>
    <w:rsid w:val="00D571AD"/>
    <w:rsid w:val="00D574EC"/>
    <w:rsid w:val="00D57692"/>
    <w:rsid w:val="00D577B2"/>
    <w:rsid w:val="00D60256"/>
    <w:rsid w:val="00D6243E"/>
    <w:rsid w:val="00D62464"/>
    <w:rsid w:val="00D62546"/>
    <w:rsid w:val="00D62861"/>
    <w:rsid w:val="00D62D5D"/>
    <w:rsid w:val="00D6392E"/>
    <w:rsid w:val="00D65985"/>
    <w:rsid w:val="00D6694B"/>
    <w:rsid w:val="00D66D25"/>
    <w:rsid w:val="00D66D65"/>
    <w:rsid w:val="00D67D4D"/>
    <w:rsid w:val="00D67D90"/>
    <w:rsid w:val="00D70E34"/>
    <w:rsid w:val="00D71288"/>
    <w:rsid w:val="00D71FD7"/>
    <w:rsid w:val="00D72671"/>
    <w:rsid w:val="00D72AC2"/>
    <w:rsid w:val="00D733AB"/>
    <w:rsid w:val="00D73415"/>
    <w:rsid w:val="00D737DE"/>
    <w:rsid w:val="00D73AF5"/>
    <w:rsid w:val="00D743D5"/>
    <w:rsid w:val="00D74B66"/>
    <w:rsid w:val="00D75619"/>
    <w:rsid w:val="00D75B89"/>
    <w:rsid w:val="00D75CEE"/>
    <w:rsid w:val="00D774CD"/>
    <w:rsid w:val="00D775F5"/>
    <w:rsid w:val="00D776DE"/>
    <w:rsid w:val="00D77793"/>
    <w:rsid w:val="00D77BDF"/>
    <w:rsid w:val="00D77BF1"/>
    <w:rsid w:val="00D77E05"/>
    <w:rsid w:val="00D77E41"/>
    <w:rsid w:val="00D81812"/>
    <w:rsid w:val="00D821A1"/>
    <w:rsid w:val="00D82214"/>
    <w:rsid w:val="00D822C6"/>
    <w:rsid w:val="00D82AAF"/>
    <w:rsid w:val="00D82B10"/>
    <w:rsid w:val="00D82BB7"/>
    <w:rsid w:val="00D82D32"/>
    <w:rsid w:val="00D82DC5"/>
    <w:rsid w:val="00D82E2F"/>
    <w:rsid w:val="00D82EE1"/>
    <w:rsid w:val="00D832B8"/>
    <w:rsid w:val="00D8333D"/>
    <w:rsid w:val="00D83432"/>
    <w:rsid w:val="00D83718"/>
    <w:rsid w:val="00D837BB"/>
    <w:rsid w:val="00D84312"/>
    <w:rsid w:val="00D84832"/>
    <w:rsid w:val="00D854DD"/>
    <w:rsid w:val="00D86527"/>
    <w:rsid w:val="00D86D1A"/>
    <w:rsid w:val="00D86DF8"/>
    <w:rsid w:val="00D870FA"/>
    <w:rsid w:val="00D8776E"/>
    <w:rsid w:val="00D879E4"/>
    <w:rsid w:val="00D87A07"/>
    <w:rsid w:val="00D87E90"/>
    <w:rsid w:val="00D87F6F"/>
    <w:rsid w:val="00D90D54"/>
    <w:rsid w:val="00D90E8E"/>
    <w:rsid w:val="00D9141C"/>
    <w:rsid w:val="00D9146A"/>
    <w:rsid w:val="00D91AB0"/>
    <w:rsid w:val="00D92466"/>
    <w:rsid w:val="00D9267C"/>
    <w:rsid w:val="00D92821"/>
    <w:rsid w:val="00D93738"/>
    <w:rsid w:val="00D93C89"/>
    <w:rsid w:val="00D94A2E"/>
    <w:rsid w:val="00D95497"/>
    <w:rsid w:val="00D95803"/>
    <w:rsid w:val="00D959ED"/>
    <w:rsid w:val="00D95A75"/>
    <w:rsid w:val="00D95C99"/>
    <w:rsid w:val="00D966A0"/>
    <w:rsid w:val="00D96830"/>
    <w:rsid w:val="00D972E8"/>
    <w:rsid w:val="00D978AE"/>
    <w:rsid w:val="00D97E38"/>
    <w:rsid w:val="00DA0235"/>
    <w:rsid w:val="00DA0E15"/>
    <w:rsid w:val="00DA13A3"/>
    <w:rsid w:val="00DA2701"/>
    <w:rsid w:val="00DA28CA"/>
    <w:rsid w:val="00DA2F63"/>
    <w:rsid w:val="00DA33A5"/>
    <w:rsid w:val="00DA3EDA"/>
    <w:rsid w:val="00DA440C"/>
    <w:rsid w:val="00DA5018"/>
    <w:rsid w:val="00DA56AD"/>
    <w:rsid w:val="00DA5B0F"/>
    <w:rsid w:val="00DA6955"/>
    <w:rsid w:val="00DA6FB7"/>
    <w:rsid w:val="00DA7362"/>
    <w:rsid w:val="00DA79D4"/>
    <w:rsid w:val="00DB0760"/>
    <w:rsid w:val="00DB0EE1"/>
    <w:rsid w:val="00DB33CD"/>
    <w:rsid w:val="00DB3C94"/>
    <w:rsid w:val="00DB3CA3"/>
    <w:rsid w:val="00DB42EE"/>
    <w:rsid w:val="00DB4949"/>
    <w:rsid w:val="00DB4B64"/>
    <w:rsid w:val="00DB4D9F"/>
    <w:rsid w:val="00DB5489"/>
    <w:rsid w:val="00DB55A1"/>
    <w:rsid w:val="00DB5AB1"/>
    <w:rsid w:val="00DB5AE4"/>
    <w:rsid w:val="00DB6F76"/>
    <w:rsid w:val="00DB709E"/>
    <w:rsid w:val="00DC03AD"/>
    <w:rsid w:val="00DC1CDF"/>
    <w:rsid w:val="00DC1FAB"/>
    <w:rsid w:val="00DC1FE0"/>
    <w:rsid w:val="00DC261C"/>
    <w:rsid w:val="00DC2A67"/>
    <w:rsid w:val="00DC36E9"/>
    <w:rsid w:val="00DC3C04"/>
    <w:rsid w:val="00DC4293"/>
    <w:rsid w:val="00DC447B"/>
    <w:rsid w:val="00DC4839"/>
    <w:rsid w:val="00DC55B3"/>
    <w:rsid w:val="00DC7293"/>
    <w:rsid w:val="00DC7503"/>
    <w:rsid w:val="00DC7661"/>
    <w:rsid w:val="00DC7709"/>
    <w:rsid w:val="00DC787E"/>
    <w:rsid w:val="00DD0549"/>
    <w:rsid w:val="00DD0613"/>
    <w:rsid w:val="00DD08BB"/>
    <w:rsid w:val="00DD0A87"/>
    <w:rsid w:val="00DD16A4"/>
    <w:rsid w:val="00DD184F"/>
    <w:rsid w:val="00DD2665"/>
    <w:rsid w:val="00DD3546"/>
    <w:rsid w:val="00DD38E7"/>
    <w:rsid w:val="00DD3F2A"/>
    <w:rsid w:val="00DD48D4"/>
    <w:rsid w:val="00DD4A07"/>
    <w:rsid w:val="00DD51EE"/>
    <w:rsid w:val="00DD56ED"/>
    <w:rsid w:val="00DD5FC1"/>
    <w:rsid w:val="00DD7D54"/>
    <w:rsid w:val="00DD7DAA"/>
    <w:rsid w:val="00DE0CE5"/>
    <w:rsid w:val="00DE1A53"/>
    <w:rsid w:val="00DE2F28"/>
    <w:rsid w:val="00DE2F41"/>
    <w:rsid w:val="00DE34BE"/>
    <w:rsid w:val="00DE3E16"/>
    <w:rsid w:val="00DE475B"/>
    <w:rsid w:val="00DE4B1E"/>
    <w:rsid w:val="00DE52B7"/>
    <w:rsid w:val="00DE60D2"/>
    <w:rsid w:val="00DE6217"/>
    <w:rsid w:val="00DE623B"/>
    <w:rsid w:val="00DE72B3"/>
    <w:rsid w:val="00DE7756"/>
    <w:rsid w:val="00DE7B53"/>
    <w:rsid w:val="00DE7F66"/>
    <w:rsid w:val="00DF02CE"/>
    <w:rsid w:val="00DF0D51"/>
    <w:rsid w:val="00DF14A6"/>
    <w:rsid w:val="00DF21F5"/>
    <w:rsid w:val="00DF2323"/>
    <w:rsid w:val="00DF3D0B"/>
    <w:rsid w:val="00DF3FEB"/>
    <w:rsid w:val="00DF4991"/>
    <w:rsid w:val="00DF5062"/>
    <w:rsid w:val="00DF54ED"/>
    <w:rsid w:val="00DF5A53"/>
    <w:rsid w:val="00DF5AFA"/>
    <w:rsid w:val="00DF5E50"/>
    <w:rsid w:val="00DF5FEA"/>
    <w:rsid w:val="00DF603D"/>
    <w:rsid w:val="00DF6852"/>
    <w:rsid w:val="00DF7FC5"/>
    <w:rsid w:val="00DFEA69"/>
    <w:rsid w:val="00E00626"/>
    <w:rsid w:val="00E00A19"/>
    <w:rsid w:val="00E00B35"/>
    <w:rsid w:val="00E0158A"/>
    <w:rsid w:val="00E0177D"/>
    <w:rsid w:val="00E01B31"/>
    <w:rsid w:val="00E0272A"/>
    <w:rsid w:val="00E02D5A"/>
    <w:rsid w:val="00E04214"/>
    <w:rsid w:val="00E04639"/>
    <w:rsid w:val="00E04A43"/>
    <w:rsid w:val="00E04E16"/>
    <w:rsid w:val="00E05CDD"/>
    <w:rsid w:val="00E067C3"/>
    <w:rsid w:val="00E068BB"/>
    <w:rsid w:val="00E06949"/>
    <w:rsid w:val="00E07446"/>
    <w:rsid w:val="00E07609"/>
    <w:rsid w:val="00E10259"/>
    <w:rsid w:val="00E113B2"/>
    <w:rsid w:val="00E1155F"/>
    <w:rsid w:val="00E120F7"/>
    <w:rsid w:val="00E1283C"/>
    <w:rsid w:val="00E13A4A"/>
    <w:rsid w:val="00E14091"/>
    <w:rsid w:val="00E14A73"/>
    <w:rsid w:val="00E1503E"/>
    <w:rsid w:val="00E150EC"/>
    <w:rsid w:val="00E15DFB"/>
    <w:rsid w:val="00E15F90"/>
    <w:rsid w:val="00E162FA"/>
    <w:rsid w:val="00E1680A"/>
    <w:rsid w:val="00E16E1E"/>
    <w:rsid w:val="00E16EED"/>
    <w:rsid w:val="00E17787"/>
    <w:rsid w:val="00E178D0"/>
    <w:rsid w:val="00E203AD"/>
    <w:rsid w:val="00E20593"/>
    <w:rsid w:val="00E2080C"/>
    <w:rsid w:val="00E208DB"/>
    <w:rsid w:val="00E21149"/>
    <w:rsid w:val="00E2184C"/>
    <w:rsid w:val="00E218E1"/>
    <w:rsid w:val="00E2197C"/>
    <w:rsid w:val="00E21E88"/>
    <w:rsid w:val="00E22AAA"/>
    <w:rsid w:val="00E2323C"/>
    <w:rsid w:val="00E23DEA"/>
    <w:rsid w:val="00E2415D"/>
    <w:rsid w:val="00E2490D"/>
    <w:rsid w:val="00E24C59"/>
    <w:rsid w:val="00E26191"/>
    <w:rsid w:val="00E26EC5"/>
    <w:rsid w:val="00E26F2D"/>
    <w:rsid w:val="00E2713E"/>
    <w:rsid w:val="00E27930"/>
    <w:rsid w:val="00E27A3F"/>
    <w:rsid w:val="00E3126B"/>
    <w:rsid w:val="00E31427"/>
    <w:rsid w:val="00E31537"/>
    <w:rsid w:val="00E3186C"/>
    <w:rsid w:val="00E31D61"/>
    <w:rsid w:val="00E323E4"/>
    <w:rsid w:val="00E32BEC"/>
    <w:rsid w:val="00E34014"/>
    <w:rsid w:val="00E34526"/>
    <w:rsid w:val="00E345A4"/>
    <w:rsid w:val="00E345C0"/>
    <w:rsid w:val="00E34EB9"/>
    <w:rsid w:val="00E35733"/>
    <w:rsid w:val="00E375E0"/>
    <w:rsid w:val="00E37E4E"/>
    <w:rsid w:val="00E40DFF"/>
    <w:rsid w:val="00E40E10"/>
    <w:rsid w:val="00E4149B"/>
    <w:rsid w:val="00E417D6"/>
    <w:rsid w:val="00E42649"/>
    <w:rsid w:val="00E42F96"/>
    <w:rsid w:val="00E42FDD"/>
    <w:rsid w:val="00E4363C"/>
    <w:rsid w:val="00E43958"/>
    <w:rsid w:val="00E43B29"/>
    <w:rsid w:val="00E43E7C"/>
    <w:rsid w:val="00E440EE"/>
    <w:rsid w:val="00E445C2"/>
    <w:rsid w:val="00E4465B"/>
    <w:rsid w:val="00E44AC0"/>
    <w:rsid w:val="00E44B97"/>
    <w:rsid w:val="00E455C7"/>
    <w:rsid w:val="00E45736"/>
    <w:rsid w:val="00E45828"/>
    <w:rsid w:val="00E458F1"/>
    <w:rsid w:val="00E45F44"/>
    <w:rsid w:val="00E464F7"/>
    <w:rsid w:val="00E46D32"/>
    <w:rsid w:val="00E47CB4"/>
    <w:rsid w:val="00E50C28"/>
    <w:rsid w:val="00E50D2E"/>
    <w:rsid w:val="00E50D94"/>
    <w:rsid w:val="00E50EA4"/>
    <w:rsid w:val="00E50F70"/>
    <w:rsid w:val="00E51AB1"/>
    <w:rsid w:val="00E520C2"/>
    <w:rsid w:val="00E52152"/>
    <w:rsid w:val="00E52677"/>
    <w:rsid w:val="00E52E44"/>
    <w:rsid w:val="00E5339A"/>
    <w:rsid w:val="00E5371E"/>
    <w:rsid w:val="00E5382B"/>
    <w:rsid w:val="00E53E84"/>
    <w:rsid w:val="00E5442D"/>
    <w:rsid w:val="00E5449E"/>
    <w:rsid w:val="00E54A03"/>
    <w:rsid w:val="00E54A72"/>
    <w:rsid w:val="00E55082"/>
    <w:rsid w:val="00E55810"/>
    <w:rsid w:val="00E55A9C"/>
    <w:rsid w:val="00E55ED7"/>
    <w:rsid w:val="00E55FB4"/>
    <w:rsid w:val="00E562C0"/>
    <w:rsid w:val="00E56B0C"/>
    <w:rsid w:val="00E56B76"/>
    <w:rsid w:val="00E570D9"/>
    <w:rsid w:val="00E57244"/>
    <w:rsid w:val="00E577AF"/>
    <w:rsid w:val="00E57807"/>
    <w:rsid w:val="00E602B4"/>
    <w:rsid w:val="00E60C2E"/>
    <w:rsid w:val="00E610AB"/>
    <w:rsid w:val="00E61823"/>
    <w:rsid w:val="00E620F2"/>
    <w:rsid w:val="00E62826"/>
    <w:rsid w:val="00E62C08"/>
    <w:rsid w:val="00E6387E"/>
    <w:rsid w:val="00E63985"/>
    <w:rsid w:val="00E646D0"/>
    <w:rsid w:val="00E653BC"/>
    <w:rsid w:val="00E654EB"/>
    <w:rsid w:val="00E65D6D"/>
    <w:rsid w:val="00E65DE8"/>
    <w:rsid w:val="00E666C2"/>
    <w:rsid w:val="00E66903"/>
    <w:rsid w:val="00E66AFE"/>
    <w:rsid w:val="00E66DD1"/>
    <w:rsid w:val="00E717C7"/>
    <w:rsid w:val="00E71F20"/>
    <w:rsid w:val="00E71F70"/>
    <w:rsid w:val="00E72444"/>
    <w:rsid w:val="00E734A4"/>
    <w:rsid w:val="00E73A28"/>
    <w:rsid w:val="00E75117"/>
    <w:rsid w:val="00E75506"/>
    <w:rsid w:val="00E75712"/>
    <w:rsid w:val="00E75969"/>
    <w:rsid w:val="00E75994"/>
    <w:rsid w:val="00E77971"/>
    <w:rsid w:val="00E80261"/>
    <w:rsid w:val="00E80FF2"/>
    <w:rsid w:val="00E81A50"/>
    <w:rsid w:val="00E82673"/>
    <w:rsid w:val="00E82976"/>
    <w:rsid w:val="00E83D04"/>
    <w:rsid w:val="00E841D5"/>
    <w:rsid w:val="00E84BBE"/>
    <w:rsid w:val="00E8606A"/>
    <w:rsid w:val="00E86579"/>
    <w:rsid w:val="00E8679A"/>
    <w:rsid w:val="00E8713A"/>
    <w:rsid w:val="00E87B8E"/>
    <w:rsid w:val="00E90503"/>
    <w:rsid w:val="00E90BA4"/>
    <w:rsid w:val="00E915F8"/>
    <w:rsid w:val="00E91677"/>
    <w:rsid w:val="00E91D7F"/>
    <w:rsid w:val="00E92043"/>
    <w:rsid w:val="00E920E7"/>
    <w:rsid w:val="00E92379"/>
    <w:rsid w:val="00E9244F"/>
    <w:rsid w:val="00E92975"/>
    <w:rsid w:val="00E93794"/>
    <w:rsid w:val="00E94E41"/>
    <w:rsid w:val="00E960A8"/>
    <w:rsid w:val="00E9702F"/>
    <w:rsid w:val="00E974AA"/>
    <w:rsid w:val="00EA00D4"/>
    <w:rsid w:val="00EA02EC"/>
    <w:rsid w:val="00EA0470"/>
    <w:rsid w:val="00EA0B9A"/>
    <w:rsid w:val="00EA1220"/>
    <w:rsid w:val="00EA3747"/>
    <w:rsid w:val="00EA45E0"/>
    <w:rsid w:val="00EA4F54"/>
    <w:rsid w:val="00EA551D"/>
    <w:rsid w:val="00EA69A2"/>
    <w:rsid w:val="00EA75A5"/>
    <w:rsid w:val="00EA7715"/>
    <w:rsid w:val="00EB0203"/>
    <w:rsid w:val="00EB08D0"/>
    <w:rsid w:val="00EB1108"/>
    <w:rsid w:val="00EB1246"/>
    <w:rsid w:val="00EB12B0"/>
    <w:rsid w:val="00EB210B"/>
    <w:rsid w:val="00EB219E"/>
    <w:rsid w:val="00EB22F8"/>
    <w:rsid w:val="00EB238D"/>
    <w:rsid w:val="00EB2A80"/>
    <w:rsid w:val="00EB3278"/>
    <w:rsid w:val="00EB3457"/>
    <w:rsid w:val="00EB38A8"/>
    <w:rsid w:val="00EB3D56"/>
    <w:rsid w:val="00EB3F13"/>
    <w:rsid w:val="00EB4267"/>
    <w:rsid w:val="00EB5ABD"/>
    <w:rsid w:val="00EB6196"/>
    <w:rsid w:val="00EB62B4"/>
    <w:rsid w:val="00EB642E"/>
    <w:rsid w:val="00EB70B4"/>
    <w:rsid w:val="00EB7E21"/>
    <w:rsid w:val="00EC02FA"/>
    <w:rsid w:val="00EC0A71"/>
    <w:rsid w:val="00EC0F5A"/>
    <w:rsid w:val="00EC0FE7"/>
    <w:rsid w:val="00EC0FFB"/>
    <w:rsid w:val="00EC2726"/>
    <w:rsid w:val="00EC3525"/>
    <w:rsid w:val="00EC35E4"/>
    <w:rsid w:val="00EC3BFB"/>
    <w:rsid w:val="00EC43E7"/>
    <w:rsid w:val="00EC477D"/>
    <w:rsid w:val="00EC501A"/>
    <w:rsid w:val="00EC5622"/>
    <w:rsid w:val="00EC5AE6"/>
    <w:rsid w:val="00EC5C19"/>
    <w:rsid w:val="00EC71FF"/>
    <w:rsid w:val="00EC7333"/>
    <w:rsid w:val="00EC7C78"/>
    <w:rsid w:val="00ED05D4"/>
    <w:rsid w:val="00ED0CE1"/>
    <w:rsid w:val="00ED10AD"/>
    <w:rsid w:val="00ED1291"/>
    <w:rsid w:val="00ED18A1"/>
    <w:rsid w:val="00ED21E6"/>
    <w:rsid w:val="00ED23FC"/>
    <w:rsid w:val="00ED2645"/>
    <w:rsid w:val="00ED2F3C"/>
    <w:rsid w:val="00ED32F5"/>
    <w:rsid w:val="00ED3F81"/>
    <w:rsid w:val="00ED5582"/>
    <w:rsid w:val="00ED5CAC"/>
    <w:rsid w:val="00ED5D8A"/>
    <w:rsid w:val="00ED5E56"/>
    <w:rsid w:val="00ED5FA3"/>
    <w:rsid w:val="00ED6238"/>
    <w:rsid w:val="00ED7E88"/>
    <w:rsid w:val="00ED7FF9"/>
    <w:rsid w:val="00EE0CF1"/>
    <w:rsid w:val="00EE1775"/>
    <w:rsid w:val="00EE1909"/>
    <w:rsid w:val="00EE19BD"/>
    <w:rsid w:val="00EE1C16"/>
    <w:rsid w:val="00EE2534"/>
    <w:rsid w:val="00EE29E4"/>
    <w:rsid w:val="00EE2A4F"/>
    <w:rsid w:val="00EE374C"/>
    <w:rsid w:val="00EE443D"/>
    <w:rsid w:val="00EE44E7"/>
    <w:rsid w:val="00EE469E"/>
    <w:rsid w:val="00EE4705"/>
    <w:rsid w:val="00EE47E8"/>
    <w:rsid w:val="00EE4999"/>
    <w:rsid w:val="00EE5023"/>
    <w:rsid w:val="00EE5C9B"/>
    <w:rsid w:val="00EE6BA4"/>
    <w:rsid w:val="00EE6FCE"/>
    <w:rsid w:val="00EE77C8"/>
    <w:rsid w:val="00EE7BE7"/>
    <w:rsid w:val="00EE7DA8"/>
    <w:rsid w:val="00EF025C"/>
    <w:rsid w:val="00EF072D"/>
    <w:rsid w:val="00EF08E9"/>
    <w:rsid w:val="00EF13D5"/>
    <w:rsid w:val="00EF1D69"/>
    <w:rsid w:val="00EF1EB1"/>
    <w:rsid w:val="00EF2B2C"/>
    <w:rsid w:val="00EF2F10"/>
    <w:rsid w:val="00EF2FE7"/>
    <w:rsid w:val="00EF3616"/>
    <w:rsid w:val="00EF3B8A"/>
    <w:rsid w:val="00EF3F51"/>
    <w:rsid w:val="00EF3F71"/>
    <w:rsid w:val="00EF43EC"/>
    <w:rsid w:val="00EF441D"/>
    <w:rsid w:val="00EF4534"/>
    <w:rsid w:val="00EF4C0A"/>
    <w:rsid w:val="00EF5DCF"/>
    <w:rsid w:val="00EF6CD4"/>
    <w:rsid w:val="00EF78EA"/>
    <w:rsid w:val="00EF7BDE"/>
    <w:rsid w:val="00F003A0"/>
    <w:rsid w:val="00F01F17"/>
    <w:rsid w:val="00F022FC"/>
    <w:rsid w:val="00F02BF8"/>
    <w:rsid w:val="00F02D7F"/>
    <w:rsid w:val="00F02F2D"/>
    <w:rsid w:val="00F02F59"/>
    <w:rsid w:val="00F0348C"/>
    <w:rsid w:val="00F03D6D"/>
    <w:rsid w:val="00F04AA4"/>
    <w:rsid w:val="00F04CDC"/>
    <w:rsid w:val="00F058F6"/>
    <w:rsid w:val="00F0595A"/>
    <w:rsid w:val="00F05A4E"/>
    <w:rsid w:val="00F05EEA"/>
    <w:rsid w:val="00F0678F"/>
    <w:rsid w:val="00F068AD"/>
    <w:rsid w:val="00F0696E"/>
    <w:rsid w:val="00F069BF"/>
    <w:rsid w:val="00F06BEC"/>
    <w:rsid w:val="00F06FA3"/>
    <w:rsid w:val="00F0770F"/>
    <w:rsid w:val="00F07950"/>
    <w:rsid w:val="00F07B34"/>
    <w:rsid w:val="00F07C78"/>
    <w:rsid w:val="00F07ED5"/>
    <w:rsid w:val="00F11004"/>
    <w:rsid w:val="00F1100E"/>
    <w:rsid w:val="00F110E5"/>
    <w:rsid w:val="00F112BA"/>
    <w:rsid w:val="00F115C3"/>
    <w:rsid w:val="00F118C4"/>
    <w:rsid w:val="00F1243C"/>
    <w:rsid w:val="00F12A3E"/>
    <w:rsid w:val="00F145A7"/>
    <w:rsid w:val="00F14B24"/>
    <w:rsid w:val="00F15335"/>
    <w:rsid w:val="00F160D8"/>
    <w:rsid w:val="00F16561"/>
    <w:rsid w:val="00F165D8"/>
    <w:rsid w:val="00F165EE"/>
    <w:rsid w:val="00F167FB"/>
    <w:rsid w:val="00F16EF6"/>
    <w:rsid w:val="00F17479"/>
    <w:rsid w:val="00F17D66"/>
    <w:rsid w:val="00F17DB8"/>
    <w:rsid w:val="00F200B3"/>
    <w:rsid w:val="00F20A18"/>
    <w:rsid w:val="00F21CC6"/>
    <w:rsid w:val="00F22B2C"/>
    <w:rsid w:val="00F22C0D"/>
    <w:rsid w:val="00F2360B"/>
    <w:rsid w:val="00F248A9"/>
    <w:rsid w:val="00F25168"/>
    <w:rsid w:val="00F2523A"/>
    <w:rsid w:val="00F253FF"/>
    <w:rsid w:val="00F2546C"/>
    <w:rsid w:val="00F265AB"/>
    <w:rsid w:val="00F26679"/>
    <w:rsid w:val="00F26ABD"/>
    <w:rsid w:val="00F27573"/>
    <w:rsid w:val="00F275CD"/>
    <w:rsid w:val="00F314A2"/>
    <w:rsid w:val="00F31662"/>
    <w:rsid w:val="00F31C02"/>
    <w:rsid w:val="00F31E1E"/>
    <w:rsid w:val="00F32042"/>
    <w:rsid w:val="00F320BE"/>
    <w:rsid w:val="00F322D6"/>
    <w:rsid w:val="00F32561"/>
    <w:rsid w:val="00F334C3"/>
    <w:rsid w:val="00F3365D"/>
    <w:rsid w:val="00F33869"/>
    <w:rsid w:val="00F348BF"/>
    <w:rsid w:val="00F34CD8"/>
    <w:rsid w:val="00F34ED0"/>
    <w:rsid w:val="00F352E4"/>
    <w:rsid w:val="00F35876"/>
    <w:rsid w:val="00F35E62"/>
    <w:rsid w:val="00F37508"/>
    <w:rsid w:val="00F40755"/>
    <w:rsid w:val="00F40C5A"/>
    <w:rsid w:val="00F42299"/>
    <w:rsid w:val="00F427BA"/>
    <w:rsid w:val="00F436DA"/>
    <w:rsid w:val="00F44CC8"/>
    <w:rsid w:val="00F44F7C"/>
    <w:rsid w:val="00F45213"/>
    <w:rsid w:val="00F45391"/>
    <w:rsid w:val="00F45C3A"/>
    <w:rsid w:val="00F46D30"/>
    <w:rsid w:val="00F474AE"/>
    <w:rsid w:val="00F47572"/>
    <w:rsid w:val="00F505DE"/>
    <w:rsid w:val="00F508F5"/>
    <w:rsid w:val="00F509F2"/>
    <w:rsid w:val="00F51198"/>
    <w:rsid w:val="00F5146F"/>
    <w:rsid w:val="00F5154A"/>
    <w:rsid w:val="00F517A5"/>
    <w:rsid w:val="00F51F7D"/>
    <w:rsid w:val="00F5236A"/>
    <w:rsid w:val="00F528E8"/>
    <w:rsid w:val="00F53091"/>
    <w:rsid w:val="00F53B8B"/>
    <w:rsid w:val="00F53C17"/>
    <w:rsid w:val="00F54E1B"/>
    <w:rsid w:val="00F54E2C"/>
    <w:rsid w:val="00F55708"/>
    <w:rsid w:val="00F5583F"/>
    <w:rsid w:val="00F55DCE"/>
    <w:rsid w:val="00F56127"/>
    <w:rsid w:val="00F56954"/>
    <w:rsid w:val="00F5768B"/>
    <w:rsid w:val="00F57E1C"/>
    <w:rsid w:val="00F57F65"/>
    <w:rsid w:val="00F57F96"/>
    <w:rsid w:val="00F6059E"/>
    <w:rsid w:val="00F61809"/>
    <w:rsid w:val="00F61C53"/>
    <w:rsid w:val="00F61FED"/>
    <w:rsid w:val="00F62C1B"/>
    <w:rsid w:val="00F62F8C"/>
    <w:rsid w:val="00F632D2"/>
    <w:rsid w:val="00F63C20"/>
    <w:rsid w:val="00F646DD"/>
    <w:rsid w:val="00F649A2"/>
    <w:rsid w:val="00F649A3"/>
    <w:rsid w:val="00F65028"/>
    <w:rsid w:val="00F6547D"/>
    <w:rsid w:val="00F656C9"/>
    <w:rsid w:val="00F65A4E"/>
    <w:rsid w:val="00F66605"/>
    <w:rsid w:val="00F66770"/>
    <w:rsid w:val="00F66E02"/>
    <w:rsid w:val="00F67500"/>
    <w:rsid w:val="00F6771F"/>
    <w:rsid w:val="00F70BAA"/>
    <w:rsid w:val="00F715EE"/>
    <w:rsid w:val="00F71C9C"/>
    <w:rsid w:val="00F72A73"/>
    <w:rsid w:val="00F72E7F"/>
    <w:rsid w:val="00F738BF"/>
    <w:rsid w:val="00F738D2"/>
    <w:rsid w:val="00F74F6F"/>
    <w:rsid w:val="00F752EB"/>
    <w:rsid w:val="00F76431"/>
    <w:rsid w:val="00F76F46"/>
    <w:rsid w:val="00F8018A"/>
    <w:rsid w:val="00F80DFC"/>
    <w:rsid w:val="00F818C2"/>
    <w:rsid w:val="00F81A6A"/>
    <w:rsid w:val="00F82070"/>
    <w:rsid w:val="00F82DAB"/>
    <w:rsid w:val="00F83384"/>
    <w:rsid w:val="00F83517"/>
    <w:rsid w:val="00F83C3B"/>
    <w:rsid w:val="00F83CA3"/>
    <w:rsid w:val="00F83DEC"/>
    <w:rsid w:val="00F844C8"/>
    <w:rsid w:val="00F84DAD"/>
    <w:rsid w:val="00F8509E"/>
    <w:rsid w:val="00F85F50"/>
    <w:rsid w:val="00F85FAC"/>
    <w:rsid w:val="00F87241"/>
    <w:rsid w:val="00F900DF"/>
    <w:rsid w:val="00F90645"/>
    <w:rsid w:val="00F90ED5"/>
    <w:rsid w:val="00F9102B"/>
    <w:rsid w:val="00F911F5"/>
    <w:rsid w:val="00F91AEC"/>
    <w:rsid w:val="00F91B8B"/>
    <w:rsid w:val="00F91EFA"/>
    <w:rsid w:val="00F92C26"/>
    <w:rsid w:val="00F92E4F"/>
    <w:rsid w:val="00F930B6"/>
    <w:rsid w:val="00F9384D"/>
    <w:rsid w:val="00F94073"/>
    <w:rsid w:val="00F942DC"/>
    <w:rsid w:val="00F94E06"/>
    <w:rsid w:val="00F9525D"/>
    <w:rsid w:val="00F95632"/>
    <w:rsid w:val="00F95813"/>
    <w:rsid w:val="00F963AF"/>
    <w:rsid w:val="00F96431"/>
    <w:rsid w:val="00F9645C"/>
    <w:rsid w:val="00F965B6"/>
    <w:rsid w:val="00F96690"/>
    <w:rsid w:val="00F9693B"/>
    <w:rsid w:val="00F969C0"/>
    <w:rsid w:val="00F9760B"/>
    <w:rsid w:val="00FA11DF"/>
    <w:rsid w:val="00FA1A47"/>
    <w:rsid w:val="00FA2E4D"/>
    <w:rsid w:val="00FA2ED8"/>
    <w:rsid w:val="00FA2F2B"/>
    <w:rsid w:val="00FA344A"/>
    <w:rsid w:val="00FA3DDC"/>
    <w:rsid w:val="00FA3EAE"/>
    <w:rsid w:val="00FA55D7"/>
    <w:rsid w:val="00FA5ECB"/>
    <w:rsid w:val="00FA6C4D"/>
    <w:rsid w:val="00FA70C5"/>
    <w:rsid w:val="00FA76EE"/>
    <w:rsid w:val="00FB03D2"/>
    <w:rsid w:val="00FB111B"/>
    <w:rsid w:val="00FB13A6"/>
    <w:rsid w:val="00FB2395"/>
    <w:rsid w:val="00FB4A7F"/>
    <w:rsid w:val="00FB4F3D"/>
    <w:rsid w:val="00FB513D"/>
    <w:rsid w:val="00FB6036"/>
    <w:rsid w:val="00FB67AC"/>
    <w:rsid w:val="00FB6EFD"/>
    <w:rsid w:val="00FB716C"/>
    <w:rsid w:val="00FB7B12"/>
    <w:rsid w:val="00FB7DDF"/>
    <w:rsid w:val="00FC07B8"/>
    <w:rsid w:val="00FC1D8D"/>
    <w:rsid w:val="00FC1E6B"/>
    <w:rsid w:val="00FC2EAC"/>
    <w:rsid w:val="00FC3076"/>
    <w:rsid w:val="00FC32BF"/>
    <w:rsid w:val="00FC333A"/>
    <w:rsid w:val="00FC384B"/>
    <w:rsid w:val="00FC3BF5"/>
    <w:rsid w:val="00FC4083"/>
    <w:rsid w:val="00FC4525"/>
    <w:rsid w:val="00FC5B52"/>
    <w:rsid w:val="00FC6382"/>
    <w:rsid w:val="00FC691A"/>
    <w:rsid w:val="00FC6E62"/>
    <w:rsid w:val="00FC7168"/>
    <w:rsid w:val="00FC7C46"/>
    <w:rsid w:val="00FD1DE4"/>
    <w:rsid w:val="00FD1FA3"/>
    <w:rsid w:val="00FD21DF"/>
    <w:rsid w:val="00FD257E"/>
    <w:rsid w:val="00FD28FC"/>
    <w:rsid w:val="00FD2D96"/>
    <w:rsid w:val="00FD2E65"/>
    <w:rsid w:val="00FD30B1"/>
    <w:rsid w:val="00FD3740"/>
    <w:rsid w:val="00FD38E9"/>
    <w:rsid w:val="00FD417E"/>
    <w:rsid w:val="00FD4A26"/>
    <w:rsid w:val="00FD5F18"/>
    <w:rsid w:val="00FD6916"/>
    <w:rsid w:val="00FE03E9"/>
    <w:rsid w:val="00FE0BDB"/>
    <w:rsid w:val="00FE0E5D"/>
    <w:rsid w:val="00FE1FFA"/>
    <w:rsid w:val="00FE253A"/>
    <w:rsid w:val="00FE2640"/>
    <w:rsid w:val="00FE274D"/>
    <w:rsid w:val="00FE4783"/>
    <w:rsid w:val="00FE4E18"/>
    <w:rsid w:val="00FE544E"/>
    <w:rsid w:val="00FE54F2"/>
    <w:rsid w:val="00FE5ED5"/>
    <w:rsid w:val="00FE6181"/>
    <w:rsid w:val="00FE657B"/>
    <w:rsid w:val="00FE67F2"/>
    <w:rsid w:val="00FE6D97"/>
    <w:rsid w:val="00FE77D9"/>
    <w:rsid w:val="00FF0160"/>
    <w:rsid w:val="00FF04B8"/>
    <w:rsid w:val="00FF1CDE"/>
    <w:rsid w:val="00FF340B"/>
    <w:rsid w:val="00FF4195"/>
    <w:rsid w:val="00FF4812"/>
    <w:rsid w:val="00FF5565"/>
    <w:rsid w:val="00FF5FCD"/>
    <w:rsid w:val="00FF65A8"/>
    <w:rsid w:val="00FF7535"/>
    <w:rsid w:val="00FF75B5"/>
    <w:rsid w:val="00FF76FC"/>
    <w:rsid w:val="00FF7BAE"/>
    <w:rsid w:val="00FF7D73"/>
    <w:rsid w:val="01294DCE"/>
    <w:rsid w:val="015BE3FF"/>
    <w:rsid w:val="01833BD1"/>
    <w:rsid w:val="02468AC4"/>
    <w:rsid w:val="0253F3A3"/>
    <w:rsid w:val="026823BA"/>
    <w:rsid w:val="026E50C1"/>
    <w:rsid w:val="029777B5"/>
    <w:rsid w:val="02A81584"/>
    <w:rsid w:val="02AA177D"/>
    <w:rsid w:val="02DEFC20"/>
    <w:rsid w:val="03735D94"/>
    <w:rsid w:val="03848E70"/>
    <w:rsid w:val="03B1ECAF"/>
    <w:rsid w:val="03B6EF68"/>
    <w:rsid w:val="03E4EB5C"/>
    <w:rsid w:val="0413E121"/>
    <w:rsid w:val="04A5EFA7"/>
    <w:rsid w:val="04C728B9"/>
    <w:rsid w:val="04CCD42E"/>
    <w:rsid w:val="053E9196"/>
    <w:rsid w:val="055B123D"/>
    <w:rsid w:val="05E33B02"/>
    <w:rsid w:val="06A43AF3"/>
    <w:rsid w:val="06D58241"/>
    <w:rsid w:val="070881DC"/>
    <w:rsid w:val="07498C63"/>
    <w:rsid w:val="0781FA4F"/>
    <w:rsid w:val="07E907A2"/>
    <w:rsid w:val="080FF717"/>
    <w:rsid w:val="087782ED"/>
    <w:rsid w:val="08830C11"/>
    <w:rsid w:val="08A58D7D"/>
    <w:rsid w:val="08B2535A"/>
    <w:rsid w:val="08CD34B1"/>
    <w:rsid w:val="09110A24"/>
    <w:rsid w:val="095BC9AC"/>
    <w:rsid w:val="09D04914"/>
    <w:rsid w:val="0A0EDC63"/>
    <w:rsid w:val="0A17CA82"/>
    <w:rsid w:val="0A17D38F"/>
    <w:rsid w:val="0A1DA1DB"/>
    <w:rsid w:val="0A56B8DC"/>
    <w:rsid w:val="0A74CD5C"/>
    <w:rsid w:val="0A7F442F"/>
    <w:rsid w:val="0A82518E"/>
    <w:rsid w:val="0AC8A7BC"/>
    <w:rsid w:val="0B2BCF0C"/>
    <w:rsid w:val="0B4EB89A"/>
    <w:rsid w:val="0B565E47"/>
    <w:rsid w:val="0BC5E65D"/>
    <w:rsid w:val="0BD4A4C7"/>
    <w:rsid w:val="0C1E0265"/>
    <w:rsid w:val="0C357542"/>
    <w:rsid w:val="0C3C7EDA"/>
    <w:rsid w:val="0C838650"/>
    <w:rsid w:val="0D46C580"/>
    <w:rsid w:val="0D6327AF"/>
    <w:rsid w:val="0DBD0FDF"/>
    <w:rsid w:val="0E1EC065"/>
    <w:rsid w:val="0E21798D"/>
    <w:rsid w:val="0E238A84"/>
    <w:rsid w:val="0E4872FE"/>
    <w:rsid w:val="0E52E5CB"/>
    <w:rsid w:val="0E5BE3D9"/>
    <w:rsid w:val="0E75ADEB"/>
    <w:rsid w:val="0E850A04"/>
    <w:rsid w:val="0E87A111"/>
    <w:rsid w:val="0EC63922"/>
    <w:rsid w:val="0EF34A3C"/>
    <w:rsid w:val="0F3ED0B7"/>
    <w:rsid w:val="0F9A4BA1"/>
    <w:rsid w:val="0F9DC779"/>
    <w:rsid w:val="0FA23D3C"/>
    <w:rsid w:val="1077AA11"/>
    <w:rsid w:val="108FD900"/>
    <w:rsid w:val="10A0420C"/>
    <w:rsid w:val="10C862C1"/>
    <w:rsid w:val="1109D6E0"/>
    <w:rsid w:val="11C64268"/>
    <w:rsid w:val="11E6B04F"/>
    <w:rsid w:val="122EAB3E"/>
    <w:rsid w:val="1234C51C"/>
    <w:rsid w:val="12AD4A01"/>
    <w:rsid w:val="12B216AB"/>
    <w:rsid w:val="12DFD8C2"/>
    <w:rsid w:val="12FA401F"/>
    <w:rsid w:val="1315567D"/>
    <w:rsid w:val="138EDCE3"/>
    <w:rsid w:val="13A460F0"/>
    <w:rsid w:val="13B7B4A1"/>
    <w:rsid w:val="13BF8AEC"/>
    <w:rsid w:val="13C4D2EE"/>
    <w:rsid w:val="13F529E9"/>
    <w:rsid w:val="1407B526"/>
    <w:rsid w:val="143CF81B"/>
    <w:rsid w:val="144789C4"/>
    <w:rsid w:val="1465AC09"/>
    <w:rsid w:val="147317D1"/>
    <w:rsid w:val="148CCF06"/>
    <w:rsid w:val="14AEE8BF"/>
    <w:rsid w:val="15044293"/>
    <w:rsid w:val="1512B975"/>
    <w:rsid w:val="1526AA52"/>
    <w:rsid w:val="152A721E"/>
    <w:rsid w:val="156AE3F5"/>
    <w:rsid w:val="15912674"/>
    <w:rsid w:val="15A84146"/>
    <w:rsid w:val="15EA996C"/>
    <w:rsid w:val="1635E758"/>
    <w:rsid w:val="166349CE"/>
    <w:rsid w:val="166ED2A2"/>
    <w:rsid w:val="168A5781"/>
    <w:rsid w:val="16BC14C3"/>
    <w:rsid w:val="16C7BDCE"/>
    <w:rsid w:val="170DB516"/>
    <w:rsid w:val="1752B5D2"/>
    <w:rsid w:val="17868BA6"/>
    <w:rsid w:val="17905973"/>
    <w:rsid w:val="1794B9B2"/>
    <w:rsid w:val="17CB29C4"/>
    <w:rsid w:val="1805B421"/>
    <w:rsid w:val="180FCB92"/>
    <w:rsid w:val="185B9139"/>
    <w:rsid w:val="18C73F3C"/>
    <w:rsid w:val="1902465B"/>
    <w:rsid w:val="1938CF33"/>
    <w:rsid w:val="197670F8"/>
    <w:rsid w:val="19A25C6B"/>
    <w:rsid w:val="19ECB0B1"/>
    <w:rsid w:val="19F45F6E"/>
    <w:rsid w:val="1A032996"/>
    <w:rsid w:val="1A1CC75A"/>
    <w:rsid w:val="1A438AC9"/>
    <w:rsid w:val="1A59B4D3"/>
    <w:rsid w:val="1A8898E0"/>
    <w:rsid w:val="1A9348A1"/>
    <w:rsid w:val="1A983F7F"/>
    <w:rsid w:val="1AD5F4F6"/>
    <w:rsid w:val="1AEA6984"/>
    <w:rsid w:val="1AF00020"/>
    <w:rsid w:val="1AF3A3B2"/>
    <w:rsid w:val="1B02696F"/>
    <w:rsid w:val="1B339E70"/>
    <w:rsid w:val="1BB5FF14"/>
    <w:rsid w:val="1BBB01F7"/>
    <w:rsid w:val="1BC500B9"/>
    <w:rsid w:val="1BD07ECA"/>
    <w:rsid w:val="1BE296A6"/>
    <w:rsid w:val="1C5144EE"/>
    <w:rsid w:val="1C520F31"/>
    <w:rsid w:val="1CC9F899"/>
    <w:rsid w:val="1CEB8855"/>
    <w:rsid w:val="1CEC8FC3"/>
    <w:rsid w:val="1CEFB157"/>
    <w:rsid w:val="1D035CF0"/>
    <w:rsid w:val="1D3985BC"/>
    <w:rsid w:val="1D504F89"/>
    <w:rsid w:val="1D777FE0"/>
    <w:rsid w:val="1D876847"/>
    <w:rsid w:val="1DB58594"/>
    <w:rsid w:val="1DBC33FC"/>
    <w:rsid w:val="1E2FE248"/>
    <w:rsid w:val="1E54AF73"/>
    <w:rsid w:val="1E867E99"/>
    <w:rsid w:val="1E8B8D63"/>
    <w:rsid w:val="1EB18169"/>
    <w:rsid w:val="1EE38B09"/>
    <w:rsid w:val="1F3A83EF"/>
    <w:rsid w:val="1F5D6CB1"/>
    <w:rsid w:val="2044CF3F"/>
    <w:rsid w:val="2046FD26"/>
    <w:rsid w:val="2085505B"/>
    <w:rsid w:val="20C336F4"/>
    <w:rsid w:val="20D67C4D"/>
    <w:rsid w:val="20F98E32"/>
    <w:rsid w:val="2104044C"/>
    <w:rsid w:val="21306392"/>
    <w:rsid w:val="2136375C"/>
    <w:rsid w:val="2165DDD5"/>
    <w:rsid w:val="2175D267"/>
    <w:rsid w:val="21772E65"/>
    <w:rsid w:val="219E9697"/>
    <w:rsid w:val="21D14FC6"/>
    <w:rsid w:val="21F81356"/>
    <w:rsid w:val="2201D404"/>
    <w:rsid w:val="2212C663"/>
    <w:rsid w:val="222ADD37"/>
    <w:rsid w:val="2237DEB1"/>
    <w:rsid w:val="224D301D"/>
    <w:rsid w:val="22694AD3"/>
    <w:rsid w:val="22CB392B"/>
    <w:rsid w:val="22D1A3F1"/>
    <w:rsid w:val="22DE8D82"/>
    <w:rsid w:val="2309EEF2"/>
    <w:rsid w:val="235BA658"/>
    <w:rsid w:val="236A477B"/>
    <w:rsid w:val="2373DDDF"/>
    <w:rsid w:val="237F78FB"/>
    <w:rsid w:val="2397227D"/>
    <w:rsid w:val="23F17B7B"/>
    <w:rsid w:val="24439729"/>
    <w:rsid w:val="24576FAD"/>
    <w:rsid w:val="2478838A"/>
    <w:rsid w:val="24885B5F"/>
    <w:rsid w:val="24CEEC53"/>
    <w:rsid w:val="24D167E5"/>
    <w:rsid w:val="24DBC1FA"/>
    <w:rsid w:val="2559FA94"/>
    <w:rsid w:val="25A6CCEC"/>
    <w:rsid w:val="2610CF7A"/>
    <w:rsid w:val="262ED8F2"/>
    <w:rsid w:val="2646760C"/>
    <w:rsid w:val="2650C1FB"/>
    <w:rsid w:val="2686DBC3"/>
    <w:rsid w:val="269B0708"/>
    <w:rsid w:val="271EA490"/>
    <w:rsid w:val="272933F1"/>
    <w:rsid w:val="2741BB70"/>
    <w:rsid w:val="27775DD6"/>
    <w:rsid w:val="277AD91B"/>
    <w:rsid w:val="288A0A74"/>
    <w:rsid w:val="28A79AE1"/>
    <w:rsid w:val="28D9FEE9"/>
    <w:rsid w:val="28E5A535"/>
    <w:rsid w:val="28F6FD3C"/>
    <w:rsid w:val="2958B8F9"/>
    <w:rsid w:val="29876C9E"/>
    <w:rsid w:val="29E1CD32"/>
    <w:rsid w:val="2A0DF54F"/>
    <w:rsid w:val="2A1A9BCB"/>
    <w:rsid w:val="2A43AC57"/>
    <w:rsid w:val="2A774889"/>
    <w:rsid w:val="2ABEAF34"/>
    <w:rsid w:val="2ACDCF5E"/>
    <w:rsid w:val="2B43939E"/>
    <w:rsid w:val="2B635872"/>
    <w:rsid w:val="2B6C2558"/>
    <w:rsid w:val="2B7C93D9"/>
    <w:rsid w:val="2B8F9676"/>
    <w:rsid w:val="2BD8A89D"/>
    <w:rsid w:val="2C13E37A"/>
    <w:rsid w:val="2CFD3645"/>
    <w:rsid w:val="2D1CD388"/>
    <w:rsid w:val="2D35DDB1"/>
    <w:rsid w:val="2D9686B0"/>
    <w:rsid w:val="2DDAF07B"/>
    <w:rsid w:val="2E1923A7"/>
    <w:rsid w:val="2E44CEB1"/>
    <w:rsid w:val="2E64E487"/>
    <w:rsid w:val="2EC9012C"/>
    <w:rsid w:val="2F088B73"/>
    <w:rsid w:val="2F20B6F7"/>
    <w:rsid w:val="2F31221D"/>
    <w:rsid w:val="2F70EF23"/>
    <w:rsid w:val="2F7C2582"/>
    <w:rsid w:val="2F80E6F0"/>
    <w:rsid w:val="2FE13200"/>
    <w:rsid w:val="2FF9694A"/>
    <w:rsid w:val="307B3095"/>
    <w:rsid w:val="307C060F"/>
    <w:rsid w:val="3082E7C8"/>
    <w:rsid w:val="3095ABD4"/>
    <w:rsid w:val="311930DE"/>
    <w:rsid w:val="311E0D68"/>
    <w:rsid w:val="31B1F6CF"/>
    <w:rsid w:val="323B3DED"/>
    <w:rsid w:val="3269ADD4"/>
    <w:rsid w:val="32B6C852"/>
    <w:rsid w:val="32E8448A"/>
    <w:rsid w:val="330333E2"/>
    <w:rsid w:val="334397F0"/>
    <w:rsid w:val="336C2F0B"/>
    <w:rsid w:val="3380378C"/>
    <w:rsid w:val="338D5F10"/>
    <w:rsid w:val="338F6357"/>
    <w:rsid w:val="34295E98"/>
    <w:rsid w:val="346414BA"/>
    <w:rsid w:val="346F9CFA"/>
    <w:rsid w:val="347B2402"/>
    <w:rsid w:val="34958FC0"/>
    <w:rsid w:val="34982391"/>
    <w:rsid w:val="34D655E6"/>
    <w:rsid w:val="34DB4BF1"/>
    <w:rsid w:val="352CBA7D"/>
    <w:rsid w:val="356A3AA9"/>
    <w:rsid w:val="358AB8D3"/>
    <w:rsid w:val="363C47F1"/>
    <w:rsid w:val="3646AFE7"/>
    <w:rsid w:val="36489378"/>
    <w:rsid w:val="3656AB5F"/>
    <w:rsid w:val="366F8BF7"/>
    <w:rsid w:val="3762AFE7"/>
    <w:rsid w:val="377F12EF"/>
    <w:rsid w:val="37B32006"/>
    <w:rsid w:val="380BACEE"/>
    <w:rsid w:val="38333314"/>
    <w:rsid w:val="383DFA12"/>
    <w:rsid w:val="38B68038"/>
    <w:rsid w:val="38BB374D"/>
    <w:rsid w:val="38DD027A"/>
    <w:rsid w:val="391E0331"/>
    <w:rsid w:val="392D6412"/>
    <w:rsid w:val="3972E3BA"/>
    <w:rsid w:val="39995EE0"/>
    <w:rsid w:val="399CEFF0"/>
    <w:rsid w:val="39BE03E2"/>
    <w:rsid w:val="3A13B9F7"/>
    <w:rsid w:val="3A14853A"/>
    <w:rsid w:val="3A1F37FD"/>
    <w:rsid w:val="3A517A4A"/>
    <w:rsid w:val="3A596A65"/>
    <w:rsid w:val="3A72A224"/>
    <w:rsid w:val="3A86BFE0"/>
    <w:rsid w:val="3AA14253"/>
    <w:rsid w:val="3AA9B087"/>
    <w:rsid w:val="3AC54578"/>
    <w:rsid w:val="3B11D43A"/>
    <w:rsid w:val="3B183351"/>
    <w:rsid w:val="3B208A83"/>
    <w:rsid w:val="3BDE042B"/>
    <w:rsid w:val="3BE4909E"/>
    <w:rsid w:val="3BEB137F"/>
    <w:rsid w:val="3C050B71"/>
    <w:rsid w:val="3C117FAB"/>
    <w:rsid w:val="3C1BB075"/>
    <w:rsid w:val="3C7C93FD"/>
    <w:rsid w:val="3D494537"/>
    <w:rsid w:val="3D9F26CF"/>
    <w:rsid w:val="3DB83248"/>
    <w:rsid w:val="3DD765BA"/>
    <w:rsid w:val="3E195821"/>
    <w:rsid w:val="3E1D0543"/>
    <w:rsid w:val="3E973211"/>
    <w:rsid w:val="3ED47AD1"/>
    <w:rsid w:val="3EFA181B"/>
    <w:rsid w:val="3EFF50D3"/>
    <w:rsid w:val="3EFFD528"/>
    <w:rsid w:val="3F5E7ED0"/>
    <w:rsid w:val="3F610960"/>
    <w:rsid w:val="403A24F8"/>
    <w:rsid w:val="4047B0D0"/>
    <w:rsid w:val="407BCE21"/>
    <w:rsid w:val="4092C162"/>
    <w:rsid w:val="409F0864"/>
    <w:rsid w:val="40D5F6ED"/>
    <w:rsid w:val="4164D882"/>
    <w:rsid w:val="41E79883"/>
    <w:rsid w:val="41F76783"/>
    <w:rsid w:val="4230AF55"/>
    <w:rsid w:val="424A238F"/>
    <w:rsid w:val="425AD370"/>
    <w:rsid w:val="42A19D6E"/>
    <w:rsid w:val="42A7D7A7"/>
    <w:rsid w:val="42B496C9"/>
    <w:rsid w:val="42D1ABA1"/>
    <w:rsid w:val="4323BD19"/>
    <w:rsid w:val="4329CAB7"/>
    <w:rsid w:val="433A96D9"/>
    <w:rsid w:val="433B7A14"/>
    <w:rsid w:val="43577565"/>
    <w:rsid w:val="4408848D"/>
    <w:rsid w:val="444361AD"/>
    <w:rsid w:val="4456AA38"/>
    <w:rsid w:val="4473B468"/>
    <w:rsid w:val="44B131DD"/>
    <w:rsid w:val="4529B42E"/>
    <w:rsid w:val="452C70C1"/>
    <w:rsid w:val="453BDF1B"/>
    <w:rsid w:val="454352DB"/>
    <w:rsid w:val="4567E891"/>
    <w:rsid w:val="45AE91A3"/>
    <w:rsid w:val="45C71C17"/>
    <w:rsid w:val="45ED8443"/>
    <w:rsid w:val="46497209"/>
    <w:rsid w:val="464DBAC8"/>
    <w:rsid w:val="46564276"/>
    <w:rsid w:val="46812E14"/>
    <w:rsid w:val="468EBB06"/>
    <w:rsid w:val="46AE5FE3"/>
    <w:rsid w:val="46F1243B"/>
    <w:rsid w:val="46FD71FD"/>
    <w:rsid w:val="46FE16B7"/>
    <w:rsid w:val="471B2591"/>
    <w:rsid w:val="4721489E"/>
    <w:rsid w:val="4738FFF5"/>
    <w:rsid w:val="47736BE3"/>
    <w:rsid w:val="48673302"/>
    <w:rsid w:val="487819DC"/>
    <w:rsid w:val="4889EE5A"/>
    <w:rsid w:val="488E0597"/>
    <w:rsid w:val="48A1BE09"/>
    <w:rsid w:val="48C3B0D1"/>
    <w:rsid w:val="48C5E1FF"/>
    <w:rsid w:val="48D459BD"/>
    <w:rsid w:val="490D4148"/>
    <w:rsid w:val="491E54A2"/>
    <w:rsid w:val="491EB163"/>
    <w:rsid w:val="492D37D9"/>
    <w:rsid w:val="4955FF33"/>
    <w:rsid w:val="495C6AD3"/>
    <w:rsid w:val="497437C7"/>
    <w:rsid w:val="497E6D5B"/>
    <w:rsid w:val="49A8AB70"/>
    <w:rsid w:val="49D8E175"/>
    <w:rsid w:val="4A1CE348"/>
    <w:rsid w:val="4A335279"/>
    <w:rsid w:val="4A3A6117"/>
    <w:rsid w:val="4A453135"/>
    <w:rsid w:val="4A9D0E2D"/>
    <w:rsid w:val="4B353107"/>
    <w:rsid w:val="4B601ABD"/>
    <w:rsid w:val="4B6CF344"/>
    <w:rsid w:val="4B9059B3"/>
    <w:rsid w:val="4B9CEC18"/>
    <w:rsid w:val="4C20C7FF"/>
    <w:rsid w:val="4C278227"/>
    <w:rsid w:val="4C79EDEC"/>
    <w:rsid w:val="4C9137E9"/>
    <w:rsid w:val="4C9AC3C1"/>
    <w:rsid w:val="4CD64F0F"/>
    <w:rsid w:val="4D0F9235"/>
    <w:rsid w:val="4D1823DE"/>
    <w:rsid w:val="4D38E119"/>
    <w:rsid w:val="4D44AC44"/>
    <w:rsid w:val="4D8AFBC7"/>
    <w:rsid w:val="4DD99D56"/>
    <w:rsid w:val="4DE784D0"/>
    <w:rsid w:val="4DF8CBAB"/>
    <w:rsid w:val="4E184DF6"/>
    <w:rsid w:val="4EAF4FE7"/>
    <w:rsid w:val="4EEDEB7A"/>
    <w:rsid w:val="4EEE4560"/>
    <w:rsid w:val="50363238"/>
    <w:rsid w:val="503D8E6D"/>
    <w:rsid w:val="50476458"/>
    <w:rsid w:val="5055DEE6"/>
    <w:rsid w:val="5083277D"/>
    <w:rsid w:val="50837002"/>
    <w:rsid w:val="508F0E42"/>
    <w:rsid w:val="509948F3"/>
    <w:rsid w:val="50E402C4"/>
    <w:rsid w:val="51261080"/>
    <w:rsid w:val="512CB3C4"/>
    <w:rsid w:val="51312AEB"/>
    <w:rsid w:val="5144831E"/>
    <w:rsid w:val="51ACE021"/>
    <w:rsid w:val="51B71A88"/>
    <w:rsid w:val="51CED398"/>
    <w:rsid w:val="522EE681"/>
    <w:rsid w:val="526E5FC4"/>
    <w:rsid w:val="527F6374"/>
    <w:rsid w:val="530F411F"/>
    <w:rsid w:val="53356CDB"/>
    <w:rsid w:val="535D1611"/>
    <w:rsid w:val="53E6B95B"/>
    <w:rsid w:val="541B6D09"/>
    <w:rsid w:val="5422D0FA"/>
    <w:rsid w:val="54698F83"/>
    <w:rsid w:val="546FA3CB"/>
    <w:rsid w:val="5494523D"/>
    <w:rsid w:val="549CEEA2"/>
    <w:rsid w:val="54D2F51E"/>
    <w:rsid w:val="552F35F1"/>
    <w:rsid w:val="55776BC8"/>
    <w:rsid w:val="55923F0A"/>
    <w:rsid w:val="55A8D221"/>
    <w:rsid w:val="55BBD637"/>
    <w:rsid w:val="55C5834B"/>
    <w:rsid w:val="5605142A"/>
    <w:rsid w:val="5613A9AD"/>
    <w:rsid w:val="56C227F2"/>
    <w:rsid w:val="56C38A85"/>
    <w:rsid w:val="571793C9"/>
    <w:rsid w:val="574AFC71"/>
    <w:rsid w:val="5776059B"/>
    <w:rsid w:val="577999C6"/>
    <w:rsid w:val="579EFB22"/>
    <w:rsid w:val="581E70D8"/>
    <w:rsid w:val="58302DA8"/>
    <w:rsid w:val="5845F463"/>
    <w:rsid w:val="5851BA81"/>
    <w:rsid w:val="5851F4E9"/>
    <w:rsid w:val="5858D27A"/>
    <w:rsid w:val="58609091"/>
    <w:rsid w:val="58ADCADE"/>
    <w:rsid w:val="58BBF771"/>
    <w:rsid w:val="58EE61D8"/>
    <w:rsid w:val="594F4B12"/>
    <w:rsid w:val="5973C333"/>
    <w:rsid w:val="5990D48D"/>
    <w:rsid w:val="5995B2F0"/>
    <w:rsid w:val="599AF184"/>
    <w:rsid w:val="59B5595D"/>
    <w:rsid w:val="59E00DF6"/>
    <w:rsid w:val="59F6E9C3"/>
    <w:rsid w:val="5A16BF55"/>
    <w:rsid w:val="5B08043E"/>
    <w:rsid w:val="5B13C3EE"/>
    <w:rsid w:val="5B300B1B"/>
    <w:rsid w:val="5B41A1C5"/>
    <w:rsid w:val="5B728CF0"/>
    <w:rsid w:val="5BA0D807"/>
    <w:rsid w:val="5BB3CCFA"/>
    <w:rsid w:val="5C1DA267"/>
    <w:rsid w:val="5C45CCB9"/>
    <w:rsid w:val="5C8CE827"/>
    <w:rsid w:val="5CA0AA1A"/>
    <w:rsid w:val="5CA46C16"/>
    <w:rsid w:val="5D28CF4A"/>
    <w:rsid w:val="5D681427"/>
    <w:rsid w:val="5DBA96CF"/>
    <w:rsid w:val="5DD22240"/>
    <w:rsid w:val="5DF3264F"/>
    <w:rsid w:val="5E77B9AD"/>
    <w:rsid w:val="5F00E1CB"/>
    <w:rsid w:val="5F3C468E"/>
    <w:rsid w:val="5F52C04E"/>
    <w:rsid w:val="5F7E2272"/>
    <w:rsid w:val="60012C72"/>
    <w:rsid w:val="602C6A18"/>
    <w:rsid w:val="602D242E"/>
    <w:rsid w:val="603A3244"/>
    <w:rsid w:val="603E3C1B"/>
    <w:rsid w:val="607DF3AE"/>
    <w:rsid w:val="60EB0A09"/>
    <w:rsid w:val="610A0334"/>
    <w:rsid w:val="6114C53E"/>
    <w:rsid w:val="618FBA0F"/>
    <w:rsid w:val="61F495E9"/>
    <w:rsid w:val="623BA7EE"/>
    <w:rsid w:val="625B4429"/>
    <w:rsid w:val="62664D8E"/>
    <w:rsid w:val="62951928"/>
    <w:rsid w:val="63205AFF"/>
    <w:rsid w:val="633567A0"/>
    <w:rsid w:val="633F7BE6"/>
    <w:rsid w:val="63463029"/>
    <w:rsid w:val="6362D01E"/>
    <w:rsid w:val="636458B2"/>
    <w:rsid w:val="6399C835"/>
    <w:rsid w:val="63DFBD8D"/>
    <w:rsid w:val="63E08E87"/>
    <w:rsid w:val="64277D56"/>
    <w:rsid w:val="646CF967"/>
    <w:rsid w:val="64733EBA"/>
    <w:rsid w:val="64AA23CF"/>
    <w:rsid w:val="64D2B1CC"/>
    <w:rsid w:val="64E91D34"/>
    <w:rsid w:val="651A2BC3"/>
    <w:rsid w:val="65DC1845"/>
    <w:rsid w:val="65F008C3"/>
    <w:rsid w:val="66027D3A"/>
    <w:rsid w:val="662E0955"/>
    <w:rsid w:val="66462095"/>
    <w:rsid w:val="66938CB1"/>
    <w:rsid w:val="66C32530"/>
    <w:rsid w:val="66C9C6D4"/>
    <w:rsid w:val="670BB95E"/>
    <w:rsid w:val="672EB868"/>
    <w:rsid w:val="67582155"/>
    <w:rsid w:val="675906CF"/>
    <w:rsid w:val="676E11EC"/>
    <w:rsid w:val="67721761"/>
    <w:rsid w:val="67921C78"/>
    <w:rsid w:val="67B49732"/>
    <w:rsid w:val="67C60553"/>
    <w:rsid w:val="67DF11B8"/>
    <w:rsid w:val="67E1DF4C"/>
    <w:rsid w:val="6808AC97"/>
    <w:rsid w:val="683920F4"/>
    <w:rsid w:val="684114F8"/>
    <w:rsid w:val="68587807"/>
    <w:rsid w:val="685C459E"/>
    <w:rsid w:val="6892C7C5"/>
    <w:rsid w:val="68A5BE34"/>
    <w:rsid w:val="68B3DA9F"/>
    <w:rsid w:val="68B9A075"/>
    <w:rsid w:val="68BB6789"/>
    <w:rsid w:val="692D2249"/>
    <w:rsid w:val="693491F0"/>
    <w:rsid w:val="69D62018"/>
    <w:rsid w:val="6A32C7C7"/>
    <w:rsid w:val="6A51D6E0"/>
    <w:rsid w:val="6A5900A2"/>
    <w:rsid w:val="6B2D3485"/>
    <w:rsid w:val="6B94CC45"/>
    <w:rsid w:val="6B9A9855"/>
    <w:rsid w:val="6BA6EF62"/>
    <w:rsid w:val="6BB78B0B"/>
    <w:rsid w:val="6C1775EC"/>
    <w:rsid w:val="6C2DAF4D"/>
    <w:rsid w:val="6C3B3B1A"/>
    <w:rsid w:val="6C6C444E"/>
    <w:rsid w:val="6C98BD2E"/>
    <w:rsid w:val="6C9D0D11"/>
    <w:rsid w:val="6CC17E86"/>
    <w:rsid w:val="6D03CB95"/>
    <w:rsid w:val="6D056555"/>
    <w:rsid w:val="6D14FECB"/>
    <w:rsid w:val="6D7147ED"/>
    <w:rsid w:val="6D7BE963"/>
    <w:rsid w:val="6D8D1BA1"/>
    <w:rsid w:val="6DE62846"/>
    <w:rsid w:val="6DE87C9F"/>
    <w:rsid w:val="6E105EAE"/>
    <w:rsid w:val="6E22F57A"/>
    <w:rsid w:val="6E39FAED"/>
    <w:rsid w:val="6E5A36ED"/>
    <w:rsid w:val="6E6E48B5"/>
    <w:rsid w:val="6F890ED0"/>
    <w:rsid w:val="6F8ADA65"/>
    <w:rsid w:val="6FB930D9"/>
    <w:rsid w:val="6FB9C942"/>
    <w:rsid w:val="6FEF6115"/>
    <w:rsid w:val="702BD75A"/>
    <w:rsid w:val="7049D14F"/>
    <w:rsid w:val="70913533"/>
    <w:rsid w:val="70C31206"/>
    <w:rsid w:val="716ED36F"/>
    <w:rsid w:val="716FC2E4"/>
    <w:rsid w:val="71ABB360"/>
    <w:rsid w:val="71B82267"/>
    <w:rsid w:val="71C00186"/>
    <w:rsid w:val="71EFC8A2"/>
    <w:rsid w:val="723F5159"/>
    <w:rsid w:val="72485104"/>
    <w:rsid w:val="72B55204"/>
    <w:rsid w:val="72D22DED"/>
    <w:rsid w:val="72FAE6FF"/>
    <w:rsid w:val="730E4BBC"/>
    <w:rsid w:val="73839996"/>
    <w:rsid w:val="73F41B6A"/>
    <w:rsid w:val="742C489C"/>
    <w:rsid w:val="744131AF"/>
    <w:rsid w:val="74B1849F"/>
    <w:rsid w:val="74BA922B"/>
    <w:rsid w:val="74CFA224"/>
    <w:rsid w:val="74D98D08"/>
    <w:rsid w:val="74DC2784"/>
    <w:rsid w:val="75295755"/>
    <w:rsid w:val="7539737B"/>
    <w:rsid w:val="75398B4D"/>
    <w:rsid w:val="7547BFC5"/>
    <w:rsid w:val="7548F0D7"/>
    <w:rsid w:val="75512CAB"/>
    <w:rsid w:val="7572A31C"/>
    <w:rsid w:val="75B1B517"/>
    <w:rsid w:val="75B8ABDB"/>
    <w:rsid w:val="75FD17C7"/>
    <w:rsid w:val="761D5B9B"/>
    <w:rsid w:val="7620E9EC"/>
    <w:rsid w:val="766C8955"/>
    <w:rsid w:val="770929A3"/>
    <w:rsid w:val="77504E1E"/>
    <w:rsid w:val="77571398"/>
    <w:rsid w:val="776629B9"/>
    <w:rsid w:val="783469AC"/>
    <w:rsid w:val="78853123"/>
    <w:rsid w:val="788FB90F"/>
    <w:rsid w:val="78985AA3"/>
    <w:rsid w:val="78C036E0"/>
    <w:rsid w:val="7908643A"/>
    <w:rsid w:val="79109E80"/>
    <w:rsid w:val="79CE7BC4"/>
    <w:rsid w:val="79E8FD5F"/>
    <w:rsid w:val="7A151B92"/>
    <w:rsid w:val="7A235EA4"/>
    <w:rsid w:val="7A81F0F6"/>
    <w:rsid w:val="7A8236AF"/>
    <w:rsid w:val="7AB12AB0"/>
    <w:rsid w:val="7AC9B9CC"/>
    <w:rsid w:val="7AE78BD0"/>
    <w:rsid w:val="7AF4C543"/>
    <w:rsid w:val="7AFF54D8"/>
    <w:rsid w:val="7B16F7CD"/>
    <w:rsid w:val="7B9BFC93"/>
    <w:rsid w:val="7BFBC382"/>
    <w:rsid w:val="7C2E9678"/>
    <w:rsid w:val="7C443D80"/>
    <w:rsid w:val="7C6073D5"/>
    <w:rsid w:val="7C8D4924"/>
    <w:rsid w:val="7CA2AAAE"/>
    <w:rsid w:val="7CA4F4CE"/>
    <w:rsid w:val="7D8C7003"/>
    <w:rsid w:val="7D981164"/>
    <w:rsid w:val="7DA34086"/>
    <w:rsid w:val="7E0092E8"/>
    <w:rsid w:val="7E147BFB"/>
    <w:rsid w:val="7E41BD5A"/>
    <w:rsid w:val="7E6163B4"/>
    <w:rsid w:val="7ECAD2A1"/>
    <w:rsid w:val="7ECF373A"/>
    <w:rsid w:val="7F373CF9"/>
    <w:rsid w:val="7F5B7FD0"/>
    <w:rsid w:val="7F7AC5A0"/>
    <w:rsid w:val="7FB862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ABEB2C"/>
  <w15:docId w15:val="{FE9F0F09-4ED9-47B1-BE46-BAF0E0EB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9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BF1"/>
    <w:pPr>
      <w:spacing w:after="240"/>
      <w:jc w:val="both"/>
    </w:pPr>
  </w:style>
  <w:style w:type="paragraph" w:styleId="Heading1">
    <w:name w:val="heading 1"/>
    <w:basedOn w:val="Normal"/>
    <w:next w:val="Text1"/>
    <w:link w:val="Heading1Char"/>
    <w:uiPriority w:val="90"/>
    <w:qFormat/>
    <w:pPr>
      <w:keepNext/>
      <w:spacing w:before="240"/>
      <w:outlineLvl w:val="0"/>
    </w:pPr>
    <w:rPr>
      <w:b/>
      <w:smallCaps/>
    </w:rPr>
  </w:style>
  <w:style w:type="paragraph" w:styleId="Heading2">
    <w:name w:val="heading 2"/>
    <w:basedOn w:val="Normal"/>
    <w:next w:val="Text2"/>
    <w:uiPriority w:val="10"/>
    <w:qFormat/>
    <w:pPr>
      <w:keepNext/>
      <w:outlineLvl w:val="1"/>
    </w:pPr>
    <w:rPr>
      <w:b/>
    </w:rPr>
  </w:style>
  <w:style w:type="paragraph" w:styleId="Heading3">
    <w:name w:val="heading 3"/>
    <w:basedOn w:val="Normal"/>
    <w:next w:val="Text3"/>
    <w:uiPriority w:val="10"/>
    <w:qFormat/>
    <w:pPr>
      <w:keepNext/>
      <w:outlineLvl w:val="2"/>
    </w:pPr>
    <w:rPr>
      <w:i/>
    </w:rPr>
  </w:style>
  <w:style w:type="paragraph" w:styleId="Heading4">
    <w:name w:val="heading 4"/>
    <w:basedOn w:val="Normal"/>
    <w:next w:val="Text4"/>
    <w:uiPriority w:val="10"/>
    <w:qFormat/>
    <w:pPr>
      <w:keepNext/>
      <w:outlineLvl w:val="3"/>
    </w:pPr>
  </w:style>
  <w:style w:type="paragraph" w:styleId="Heading5">
    <w:name w:val="heading 5"/>
    <w:basedOn w:val="Normal"/>
    <w:next w:val="Normal"/>
    <w:semiHidden/>
    <w:pPr>
      <w:keepNext/>
      <w:outlineLvl w:val="4"/>
    </w:pPr>
  </w:style>
  <w:style w:type="paragraph" w:styleId="Heading6">
    <w:name w:val="heading 6"/>
    <w:basedOn w:val="Normal"/>
    <w:next w:val="Normal"/>
    <w:semiHidden/>
    <w:pPr>
      <w:keepNext/>
      <w:outlineLvl w:val="5"/>
    </w:pPr>
  </w:style>
  <w:style w:type="paragraph" w:styleId="Heading7">
    <w:name w:val="heading 7"/>
    <w:basedOn w:val="Normal"/>
    <w:next w:val="Normal"/>
    <w:semiHidden/>
    <w:pPr>
      <w:keepNext/>
      <w:outlineLvl w:val="6"/>
    </w:pPr>
  </w:style>
  <w:style w:type="paragraph" w:styleId="Heading8">
    <w:name w:val="heading 8"/>
    <w:basedOn w:val="Normal"/>
    <w:next w:val="Normal"/>
    <w:semiHidden/>
    <w:pPr>
      <w:keepNext/>
      <w:outlineLvl w:val="7"/>
    </w:pPr>
  </w:style>
  <w:style w:type="paragraph" w:styleId="Heading9">
    <w:name w:val="heading 9"/>
    <w:basedOn w:val="Normal"/>
    <w:next w:val="Normal"/>
    <w:semiHidden/>
    <w:pPr>
      <w:keepNex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E0CF1"/>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19"/>
      </w:numPr>
    </w:pPr>
  </w:style>
  <w:style w:type="paragraph" w:customStyle="1" w:styleId="TableListBulletLevel2">
    <w:name w:val="Table List Bullet (Level 2)"/>
    <w:basedOn w:val="TableText"/>
    <w:uiPriority w:val="55"/>
    <w:semiHidden/>
    <w:unhideWhenUsed/>
    <w:pPr>
      <w:numPr>
        <w:ilvl w:val="1"/>
        <w:numId w:val="19"/>
      </w:numPr>
    </w:pPr>
  </w:style>
  <w:style w:type="paragraph" w:customStyle="1" w:styleId="TableListBulletLevel3">
    <w:name w:val="Table List Bullet (Level 3)"/>
    <w:basedOn w:val="TableText"/>
    <w:uiPriority w:val="55"/>
    <w:semiHidden/>
    <w:unhideWhenUsed/>
    <w:pPr>
      <w:numPr>
        <w:ilvl w:val="2"/>
        <w:numId w:val="19"/>
      </w:numPr>
    </w:pPr>
  </w:style>
  <w:style w:type="paragraph" w:customStyle="1" w:styleId="TableListBulletLevel4">
    <w:name w:val="Table List Bullet (Level 4)"/>
    <w:basedOn w:val="TableText"/>
    <w:uiPriority w:val="55"/>
    <w:semiHidden/>
    <w:unhideWhenUsed/>
    <w:pPr>
      <w:numPr>
        <w:ilvl w:val="3"/>
        <w:numId w:val="19"/>
      </w:numPr>
    </w:pPr>
  </w:style>
  <w:style w:type="paragraph" w:customStyle="1" w:styleId="TableListDash">
    <w:name w:val="Table List Dash"/>
    <w:basedOn w:val="TableText"/>
    <w:uiPriority w:val="55"/>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pPr>
      <w:numPr>
        <w:numId w:val="21"/>
      </w:numPr>
    </w:pPr>
  </w:style>
  <w:style w:type="paragraph" w:customStyle="1" w:styleId="TableListNumberLevel2">
    <w:name w:val="Table List Number (Level 2)"/>
    <w:basedOn w:val="TableText"/>
    <w:uiPriority w:val="55"/>
    <w:semiHidden/>
    <w:unhideWhenUsed/>
    <w:pPr>
      <w:numPr>
        <w:ilvl w:val="1"/>
        <w:numId w:val="21"/>
      </w:numPr>
    </w:pPr>
  </w:style>
  <w:style w:type="paragraph" w:customStyle="1" w:styleId="TableListNumberLevel3">
    <w:name w:val="Table List Number (Level 3)"/>
    <w:basedOn w:val="TableText"/>
    <w:uiPriority w:val="55"/>
    <w:semiHidden/>
    <w:unhideWhenUsed/>
    <w:pPr>
      <w:numPr>
        <w:ilvl w:val="2"/>
        <w:numId w:val="21"/>
      </w:numPr>
    </w:pPr>
  </w:style>
  <w:style w:type="paragraph" w:customStyle="1" w:styleId="TableListNumberLevel4">
    <w:name w:val="Table List Number (Level 4)"/>
    <w:basedOn w:val="TableText"/>
    <w:uiPriority w:val="55"/>
    <w:semiHidden/>
    <w:unhideWhenUsed/>
    <w:pPr>
      <w:numPr>
        <w:ilvl w:val="3"/>
        <w:numId w:val="21"/>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EE0CF1"/>
    <w:pPr>
      <w:ind w:left="720"/>
      <w:contextualSpacing/>
    </w:pPr>
  </w:style>
  <w:style w:type="character" w:customStyle="1" w:styleId="Heading1Char">
    <w:name w:val="Heading 1 Char"/>
    <w:basedOn w:val="DefaultParagraphFont"/>
    <w:link w:val="Heading1"/>
    <w:uiPriority w:val="90"/>
    <w:rsid w:val="00EE0CF1"/>
    <w:rPr>
      <w:b/>
      <w:smallCaps/>
    </w:rPr>
  </w:style>
  <w:style w:type="character" w:styleId="Hyperlink">
    <w:name w:val="Hyperlink"/>
    <w:basedOn w:val="DefaultParagraphFont"/>
    <w:uiPriority w:val="99"/>
    <w:unhideWhenUsed/>
    <w:rsid w:val="00EE0CF1"/>
    <w:rPr>
      <w:color w:val="467886" w:themeColor="hyperlink"/>
      <w:u w:val="single"/>
    </w:rPr>
  </w:style>
  <w:style w:type="character" w:customStyle="1" w:styleId="FootnoteTextChar">
    <w:name w:val="Footnote Text Char"/>
    <w:basedOn w:val="DefaultParagraphFont"/>
    <w:link w:val="FootnoteText"/>
    <w:uiPriority w:val="99"/>
    <w:semiHidden/>
    <w:rsid w:val="008C01BE"/>
    <w:rPr>
      <w:sz w:val="20"/>
    </w:rPr>
  </w:style>
  <w:style w:type="paragraph" w:styleId="NormalWeb">
    <w:name w:val="Normal (Web)"/>
    <w:basedOn w:val="Normal"/>
    <w:uiPriority w:val="99"/>
    <w:unhideWhenUsed/>
    <w:rsid w:val="008C01BE"/>
    <w:pPr>
      <w:spacing w:before="100" w:beforeAutospacing="1" w:after="100" w:afterAutospacing="1"/>
      <w:jc w:val="left"/>
    </w:pPr>
    <w:rPr>
      <w:szCs w:val="24"/>
    </w:rPr>
  </w:style>
  <w:style w:type="character" w:styleId="Strong">
    <w:name w:val="Strong"/>
    <w:basedOn w:val="DefaultParagraphFont"/>
    <w:uiPriority w:val="22"/>
    <w:qFormat/>
    <w:rsid w:val="008C01BE"/>
    <w:rPr>
      <w:b/>
      <w:bCs/>
    </w:rPr>
  </w:style>
  <w:style w:type="character" w:styleId="CommentReference">
    <w:name w:val="annotation reference"/>
    <w:basedOn w:val="DefaultParagraphFont"/>
    <w:uiPriority w:val="99"/>
    <w:semiHidden/>
    <w:unhideWhenUsed/>
    <w:rsid w:val="008C01BE"/>
    <w:rPr>
      <w:sz w:val="16"/>
      <w:szCs w:val="16"/>
    </w:rPr>
  </w:style>
  <w:style w:type="paragraph" w:styleId="CommentText">
    <w:name w:val="annotation text"/>
    <w:basedOn w:val="Normal"/>
    <w:link w:val="CommentTextChar"/>
    <w:uiPriority w:val="99"/>
    <w:unhideWhenUsed/>
    <w:rsid w:val="008C01BE"/>
    <w:rPr>
      <w:sz w:val="20"/>
    </w:rPr>
  </w:style>
  <w:style w:type="character" w:customStyle="1" w:styleId="CommentTextChar">
    <w:name w:val="Comment Text Char"/>
    <w:basedOn w:val="DefaultParagraphFont"/>
    <w:link w:val="CommentText"/>
    <w:uiPriority w:val="99"/>
    <w:rsid w:val="008C01BE"/>
    <w:rPr>
      <w:sz w:val="20"/>
    </w:rPr>
  </w:style>
  <w:style w:type="paragraph" w:styleId="Revision">
    <w:name w:val="Revision"/>
    <w:hidden/>
    <w:uiPriority w:val="99"/>
    <w:semiHidden/>
    <w:rsid w:val="00594D9E"/>
  </w:style>
  <w:style w:type="paragraph" w:styleId="CommentSubject">
    <w:name w:val="annotation subject"/>
    <w:basedOn w:val="CommentText"/>
    <w:next w:val="CommentText"/>
    <w:link w:val="CommentSubjectChar"/>
    <w:uiPriority w:val="99"/>
    <w:semiHidden/>
    <w:rsid w:val="00C7644E"/>
    <w:rPr>
      <w:b/>
      <w:bCs/>
    </w:rPr>
  </w:style>
  <w:style w:type="character" w:customStyle="1" w:styleId="CommentSubjectChar">
    <w:name w:val="Comment Subject Char"/>
    <w:basedOn w:val="CommentTextChar"/>
    <w:link w:val="CommentSubject"/>
    <w:uiPriority w:val="99"/>
    <w:semiHidden/>
    <w:rsid w:val="00C7644E"/>
    <w:rPr>
      <w:b/>
      <w:bCs/>
      <w:sz w:val="20"/>
    </w:rPr>
  </w:style>
  <w:style w:type="character" w:customStyle="1" w:styleId="UnresolvedMention1">
    <w:name w:val="Unresolved Mention1"/>
    <w:basedOn w:val="DefaultParagraphFont"/>
    <w:uiPriority w:val="99"/>
    <w:semiHidden/>
    <w:unhideWhenUsed/>
    <w:rsid w:val="00481F8B"/>
    <w:rPr>
      <w:color w:val="605E5C"/>
      <w:shd w:val="clear" w:color="auto" w:fill="E1DFDD"/>
    </w:rPr>
  </w:style>
  <w:style w:type="paragraph" w:customStyle="1" w:styleId="a">
    <w:name w:val="("/>
    <w:basedOn w:val="Normal"/>
    <w:rsid w:val="003B64C6"/>
    <w:pPr>
      <w:shd w:val="clear" w:color="auto" w:fill="FFFFFF" w:themeFill="background1"/>
      <w:spacing w:after="0"/>
    </w:pPr>
  </w:style>
  <w:style w:type="character" w:styleId="FollowedHyperlink">
    <w:name w:val="FollowedHyperlink"/>
    <w:basedOn w:val="DefaultParagraphFont"/>
    <w:uiPriority w:val="99"/>
    <w:semiHidden/>
    <w:rsid w:val="000278F0"/>
    <w:rPr>
      <w:color w:val="96607D" w:themeColor="followedHyperlink"/>
      <w:u w:val="single"/>
    </w:rPr>
  </w:style>
  <w:style w:type="character" w:customStyle="1" w:styleId="FooterChar">
    <w:name w:val="Footer Char"/>
    <w:basedOn w:val="DefaultParagraphFont"/>
    <w:link w:val="Footer"/>
    <w:uiPriority w:val="99"/>
    <w:rsid w:val="007B2858"/>
    <w:rPr>
      <w:sz w:val="16"/>
    </w:rPr>
  </w:style>
  <w:style w:type="character" w:customStyle="1" w:styleId="Marker">
    <w:name w:val="Marker"/>
    <w:basedOn w:val="DefaultParagraphFont"/>
    <w:rsid w:val="007C0C5B"/>
    <w:rPr>
      <w:color w:val="0000FF"/>
      <w:shd w:val="clear" w:color="auto" w:fill="auto"/>
    </w:rPr>
  </w:style>
  <w:style w:type="paragraph" w:customStyle="1" w:styleId="Pagedecouverture">
    <w:name w:val="Page de couverture"/>
    <w:basedOn w:val="Normal"/>
    <w:next w:val="Normal"/>
    <w:link w:val="PagedecouvertureChar"/>
    <w:rsid w:val="007C0C5B"/>
    <w:pPr>
      <w:spacing w:after="0"/>
    </w:pPr>
    <w:rPr>
      <w:rFonts w:eastAsiaTheme="minorHAnsi"/>
      <w:szCs w:val="22"/>
      <w:lang w:eastAsia="en-US"/>
    </w:rPr>
  </w:style>
  <w:style w:type="paragraph" w:customStyle="1" w:styleId="FooterCoverPage">
    <w:name w:val="Footer Cover Page"/>
    <w:basedOn w:val="Normal"/>
    <w:link w:val="FooterCoverPageChar"/>
    <w:rsid w:val="007C0C5B"/>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7C0C5B"/>
    <w:rPr>
      <w:rFonts w:eastAsiaTheme="minorHAnsi"/>
      <w:szCs w:val="22"/>
      <w:lang w:eastAsia="en-US"/>
    </w:rPr>
  </w:style>
  <w:style w:type="character" w:customStyle="1" w:styleId="FooterCoverPageChar">
    <w:name w:val="Footer Cover Page Char"/>
    <w:basedOn w:val="PagedecouvertureChar"/>
    <w:link w:val="FooterCoverPage"/>
    <w:rsid w:val="007C0C5B"/>
    <w:rPr>
      <w:rFonts w:eastAsiaTheme="minorHAnsi"/>
      <w:szCs w:val="22"/>
      <w:lang w:eastAsia="en-US"/>
    </w:rPr>
  </w:style>
  <w:style w:type="paragraph" w:customStyle="1" w:styleId="FooterSensitivity">
    <w:name w:val="Footer Sensitivity"/>
    <w:basedOn w:val="Normal"/>
    <w:link w:val="FooterSensitivityChar"/>
    <w:rsid w:val="007C0C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7C0C5B"/>
    <w:rPr>
      <w:rFonts w:eastAsiaTheme="minorHAnsi"/>
      <w:b/>
      <w:sz w:val="32"/>
      <w:szCs w:val="22"/>
      <w:lang w:eastAsia="en-US"/>
    </w:rPr>
  </w:style>
  <w:style w:type="paragraph" w:customStyle="1" w:styleId="HeaderCoverPage">
    <w:name w:val="Header Cover Page"/>
    <w:basedOn w:val="Normal"/>
    <w:link w:val="HeaderCoverPageChar"/>
    <w:rsid w:val="007C0C5B"/>
    <w:pPr>
      <w:tabs>
        <w:tab w:val="center" w:pos="4535"/>
        <w:tab w:val="right" w:pos="9071"/>
      </w:tabs>
      <w:spacing w:after="120"/>
    </w:pPr>
  </w:style>
  <w:style w:type="character" w:customStyle="1" w:styleId="HeaderCoverPageChar">
    <w:name w:val="Header Cover Page Char"/>
    <w:basedOn w:val="PagedecouvertureChar"/>
    <w:link w:val="HeaderCoverPage"/>
    <w:rsid w:val="007C0C5B"/>
    <w:rPr>
      <w:rFonts w:eastAsiaTheme="minorHAnsi"/>
      <w:szCs w:val="22"/>
      <w:lang w:eastAsia="en-US"/>
    </w:rPr>
  </w:style>
  <w:style w:type="paragraph" w:customStyle="1" w:styleId="HeaderSensitivity">
    <w:name w:val="Header Sensitivity"/>
    <w:basedOn w:val="Normal"/>
    <w:link w:val="HeaderSensitivityChar"/>
    <w:rsid w:val="007C0C5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C0C5B"/>
    <w:rPr>
      <w:rFonts w:eastAsiaTheme="minorHAnsi"/>
      <w:b/>
      <w:sz w:val="32"/>
      <w:szCs w:val="22"/>
      <w:lang w:eastAsia="en-US"/>
    </w:rPr>
  </w:style>
  <w:style w:type="paragraph" w:customStyle="1" w:styleId="HeaderSensitivityRight">
    <w:name w:val="Header Sensitivity Right"/>
    <w:basedOn w:val="Normal"/>
    <w:link w:val="HeaderSensitivityRightChar"/>
    <w:rsid w:val="007C0C5B"/>
    <w:pPr>
      <w:spacing w:after="120"/>
      <w:jc w:val="right"/>
    </w:pPr>
    <w:rPr>
      <w:sz w:val="28"/>
    </w:rPr>
  </w:style>
  <w:style w:type="character" w:customStyle="1" w:styleId="HeaderSensitivityRightChar">
    <w:name w:val="Header Sensitivity Right Char"/>
    <w:basedOn w:val="PagedecouvertureChar"/>
    <w:link w:val="HeaderSensitivityRight"/>
    <w:rsid w:val="007C0C5B"/>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793">
      <w:bodyDiv w:val="1"/>
      <w:marLeft w:val="0"/>
      <w:marRight w:val="0"/>
      <w:marTop w:val="0"/>
      <w:marBottom w:val="0"/>
      <w:divBdr>
        <w:top w:val="none" w:sz="0" w:space="0" w:color="auto"/>
        <w:left w:val="none" w:sz="0" w:space="0" w:color="auto"/>
        <w:bottom w:val="none" w:sz="0" w:space="0" w:color="auto"/>
        <w:right w:val="none" w:sz="0" w:space="0" w:color="auto"/>
      </w:divBdr>
    </w:div>
    <w:div w:id="2903340">
      <w:bodyDiv w:val="1"/>
      <w:marLeft w:val="0"/>
      <w:marRight w:val="0"/>
      <w:marTop w:val="0"/>
      <w:marBottom w:val="0"/>
      <w:divBdr>
        <w:top w:val="none" w:sz="0" w:space="0" w:color="auto"/>
        <w:left w:val="none" w:sz="0" w:space="0" w:color="auto"/>
        <w:bottom w:val="none" w:sz="0" w:space="0" w:color="auto"/>
        <w:right w:val="none" w:sz="0" w:space="0" w:color="auto"/>
      </w:divBdr>
    </w:div>
    <w:div w:id="6716805">
      <w:bodyDiv w:val="1"/>
      <w:marLeft w:val="0"/>
      <w:marRight w:val="0"/>
      <w:marTop w:val="0"/>
      <w:marBottom w:val="0"/>
      <w:divBdr>
        <w:top w:val="none" w:sz="0" w:space="0" w:color="auto"/>
        <w:left w:val="none" w:sz="0" w:space="0" w:color="auto"/>
        <w:bottom w:val="none" w:sz="0" w:space="0" w:color="auto"/>
        <w:right w:val="none" w:sz="0" w:space="0" w:color="auto"/>
      </w:divBdr>
    </w:div>
    <w:div w:id="9336562">
      <w:bodyDiv w:val="1"/>
      <w:marLeft w:val="0"/>
      <w:marRight w:val="0"/>
      <w:marTop w:val="0"/>
      <w:marBottom w:val="0"/>
      <w:divBdr>
        <w:top w:val="none" w:sz="0" w:space="0" w:color="auto"/>
        <w:left w:val="none" w:sz="0" w:space="0" w:color="auto"/>
        <w:bottom w:val="none" w:sz="0" w:space="0" w:color="auto"/>
        <w:right w:val="none" w:sz="0" w:space="0" w:color="auto"/>
      </w:divBdr>
    </w:div>
    <w:div w:id="17898230">
      <w:bodyDiv w:val="1"/>
      <w:marLeft w:val="0"/>
      <w:marRight w:val="0"/>
      <w:marTop w:val="0"/>
      <w:marBottom w:val="0"/>
      <w:divBdr>
        <w:top w:val="none" w:sz="0" w:space="0" w:color="auto"/>
        <w:left w:val="none" w:sz="0" w:space="0" w:color="auto"/>
        <w:bottom w:val="none" w:sz="0" w:space="0" w:color="auto"/>
        <w:right w:val="none" w:sz="0" w:space="0" w:color="auto"/>
      </w:divBdr>
      <w:divsChild>
        <w:div w:id="247539575">
          <w:marLeft w:val="0"/>
          <w:marRight w:val="0"/>
          <w:marTop w:val="0"/>
          <w:marBottom w:val="0"/>
          <w:divBdr>
            <w:top w:val="none" w:sz="0" w:space="0" w:color="auto"/>
            <w:left w:val="none" w:sz="0" w:space="0" w:color="auto"/>
            <w:bottom w:val="none" w:sz="0" w:space="0" w:color="auto"/>
            <w:right w:val="none" w:sz="0" w:space="0" w:color="auto"/>
          </w:divBdr>
          <w:divsChild>
            <w:div w:id="80417633">
              <w:marLeft w:val="0"/>
              <w:marRight w:val="0"/>
              <w:marTop w:val="0"/>
              <w:marBottom w:val="0"/>
              <w:divBdr>
                <w:top w:val="none" w:sz="0" w:space="0" w:color="auto"/>
                <w:left w:val="none" w:sz="0" w:space="0" w:color="auto"/>
                <w:bottom w:val="none" w:sz="0" w:space="0" w:color="auto"/>
                <w:right w:val="none" w:sz="0" w:space="0" w:color="auto"/>
              </w:divBdr>
              <w:divsChild>
                <w:div w:id="954630123">
                  <w:marLeft w:val="0"/>
                  <w:marRight w:val="0"/>
                  <w:marTop w:val="0"/>
                  <w:marBottom w:val="0"/>
                  <w:divBdr>
                    <w:top w:val="none" w:sz="0" w:space="0" w:color="auto"/>
                    <w:left w:val="none" w:sz="0" w:space="0" w:color="auto"/>
                    <w:bottom w:val="none" w:sz="0" w:space="0" w:color="auto"/>
                    <w:right w:val="none" w:sz="0" w:space="0" w:color="auto"/>
                  </w:divBdr>
                  <w:divsChild>
                    <w:div w:id="1655790107">
                      <w:marLeft w:val="0"/>
                      <w:marRight w:val="0"/>
                      <w:marTop w:val="0"/>
                      <w:marBottom w:val="0"/>
                      <w:divBdr>
                        <w:top w:val="none" w:sz="0" w:space="0" w:color="auto"/>
                        <w:left w:val="none" w:sz="0" w:space="0" w:color="auto"/>
                        <w:bottom w:val="none" w:sz="0" w:space="0" w:color="auto"/>
                        <w:right w:val="none" w:sz="0" w:space="0" w:color="auto"/>
                      </w:divBdr>
                      <w:divsChild>
                        <w:div w:id="1565607520">
                          <w:marLeft w:val="0"/>
                          <w:marRight w:val="0"/>
                          <w:marTop w:val="0"/>
                          <w:marBottom w:val="0"/>
                          <w:divBdr>
                            <w:top w:val="none" w:sz="0" w:space="0" w:color="auto"/>
                            <w:left w:val="none" w:sz="0" w:space="0" w:color="auto"/>
                            <w:bottom w:val="none" w:sz="0" w:space="0" w:color="auto"/>
                            <w:right w:val="none" w:sz="0" w:space="0" w:color="auto"/>
                          </w:divBdr>
                          <w:divsChild>
                            <w:div w:id="1431197658">
                              <w:marLeft w:val="0"/>
                              <w:marRight w:val="0"/>
                              <w:marTop w:val="0"/>
                              <w:marBottom w:val="0"/>
                              <w:divBdr>
                                <w:top w:val="none" w:sz="0" w:space="0" w:color="auto"/>
                                <w:left w:val="none" w:sz="0" w:space="0" w:color="auto"/>
                                <w:bottom w:val="none" w:sz="0" w:space="0" w:color="auto"/>
                                <w:right w:val="none" w:sz="0" w:space="0" w:color="auto"/>
                              </w:divBdr>
                              <w:divsChild>
                                <w:div w:id="663320630">
                                  <w:marLeft w:val="0"/>
                                  <w:marRight w:val="0"/>
                                  <w:marTop w:val="0"/>
                                  <w:marBottom w:val="0"/>
                                  <w:divBdr>
                                    <w:top w:val="none" w:sz="0" w:space="0" w:color="auto"/>
                                    <w:left w:val="none" w:sz="0" w:space="0" w:color="auto"/>
                                    <w:bottom w:val="none" w:sz="0" w:space="0" w:color="auto"/>
                                    <w:right w:val="none" w:sz="0" w:space="0" w:color="auto"/>
                                  </w:divBdr>
                                  <w:divsChild>
                                    <w:div w:id="19372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796367">
                      <w:marLeft w:val="0"/>
                      <w:marRight w:val="0"/>
                      <w:marTop w:val="0"/>
                      <w:marBottom w:val="0"/>
                      <w:divBdr>
                        <w:top w:val="none" w:sz="0" w:space="0" w:color="auto"/>
                        <w:left w:val="none" w:sz="0" w:space="0" w:color="auto"/>
                        <w:bottom w:val="none" w:sz="0" w:space="0" w:color="auto"/>
                        <w:right w:val="none" w:sz="0" w:space="0" w:color="auto"/>
                      </w:divBdr>
                      <w:divsChild>
                        <w:div w:id="13988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5134">
      <w:bodyDiv w:val="1"/>
      <w:marLeft w:val="0"/>
      <w:marRight w:val="0"/>
      <w:marTop w:val="0"/>
      <w:marBottom w:val="0"/>
      <w:divBdr>
        <w:top w:val="none" w:sz="0" w:space="0" w:color="auto"/>
        <w:left w:val="none" w:sz="0" w:space="0" w:color="auto"/>
        <w:bottom w:val="none" w:sz="0" w:space="0" w:color="auto"/>
        <w:right w:val="none" w:sz="0" w:space="0" w:color="auto"/>
      </w:divBdr>
    </w:div>
    <w:div w:id="20397205">
      <w:bodyDiv w:val="1"/>
      <w:marLeft w:val="0"/>
      <w:marRight w:val="0"/>
      <w:marTop w:val="0"/>
      <w:marBottom w:val="0"/>
      <w:divBdr>
        <w:top w:val="none" w:sz="0" w:space="0" w:color="auto"/>
        <w:left w:val="none" w:sz="0" w:space="0" w:color="auto"/>
        <w:bottom w:val="none" w:sz="0" w:space="0" w:color="auto"/>
        <w:right w:val="none" w:sz="0" w:space="0" w:color="auto"/>
      </w:divBdr>
    </w:div>
    <w:div w:id="25523973">
      <w:bodyDiv w:val="1"/>
      <w:marLeft w:val="0"/>
      <w:marRight w:val="0"/>
      <w:marTop w:val="0"/>
      <w:marBottom w:val="0"/>
      <w:divBdr>
        <w:top w:val="none" w:sz="0" w:space="0" w:color="auto"/>
        <w:left w:val="none" w:sz="0" w:space="0" w:color="auto"/>
        <w:bottom w:val="none" w:sz="0" w:space="0" w:color="auto"/>
        <w:right w:val="none" w:sz="0" w:space="0" w:color="auto"/>
      </w:divBdr>
    </w:div>
    <w:div w:id="58671349">
      <w:bodyDiv w:val="1"/>
      <w:marLeft w:val="0"/>
      <w:marRight w:val="0"/>
      <w:marTop w:val="0"/>
      <w:marBottom w:val="0"/>
      <w:divBdr>
        <w:top w:val="none" w:sz="0" w:space="0" w:color="auto"/>
        <w:left w:val="none" w:sz="0" w:space="0" w:color="auto"/>
        <w:bottom w:val="none" w:sz="0" w:space="0" w:color="auto"/>
        <w:right w:val="none" w:sz="0" w:space="0" w:color="auto"/>
      </w:divBdr>
    </w:div>
    <w:div w:id="58676282">
      <w:bodyDiv w:val="1"/>
      <w:marLeft w:val="0"/>
      <w:marRight w:val="0"/>
      <w:marTop w:val="0"/>
      <w:marBottom w:val="0"/>
      <w:divBdr>
        <w:top w:val="none" w:sz="0" w:space="0" w:color="auto"/>
        <w:left w:val="none" w:sz="0" w:space="0" w:color="auto"/>
        <w:bottom w:val="none" w:sz="0" w:space="0" w:color="auto"/>
        <w:right w:val="none" w:sz="0" w:space="0" w:color="auto"/>
      </w:divBdr>
    </w:div>
    <w:div w:id="62409900">
      <w:bodyDiv w:val="1"/>
      <w:marLeft w:val="0"/>
      <w:marRight w:val="0"/>
      <w:marTop w:val="0"/>
      <w:marBottom w:val="0"/>
      <w:divBdr>
        <w:top w:val="none" w:sz="0" w:space="0" w:color="auto"/>
        <w:left w:val="none" w:sz="0" w:space="0" w:color="auto"/>
        <w:bottom w:val="none" w:sz="0" w:space="0" w:color="auto"/>
        <w:right w:val="none" w:sz="0" w:space="0" w:color="auto"/>
      </w:divBdr>
    </w:div>
    <w:div w:id="75707727">
      <w:bodyDiv w:val="1"/>
      <w:marLeft w:val="0"/>
      <w:marRight w:val="0"/>
      <w:marTop w:val="0"/>
      <w:marBottom w:val="0"/>
      <w:divBdr>
        <w:top w:val="none" w:sz="0" w:space="0" w:color="auto"/>
        <w:left w:val="none" w:sz="0" w:space="0" w:color="auto"/>
        <w:bottom w:val="none" w:sz="0" w:space="0" w:color="auto"/>
        <w:right w:val="none" w:sz="0" w:space="0" w:color="auto"/>
      </w:divBdr>
    </w:div>
    <w:div w:id="83841882">
      <w:bodyDiv w:val="1"/>
      <w:marLeft w:val="0"/>
      <w:marRight w:val="0"/>
      <w:marTop w:val="0"/>
      <w:marBottom w:val="0"/>
      <w:divBdr>
        <w:top w:val="none" w:sz="0" w:space="0" w:color="auto"/>
        <w:left w:val="none" w:sz="0" w:space="0" w:color="auto"/>
        <w:bottom w:val="none" w:sz="0" w:space="0" w:color="auto"/>
        <w:right w:val="none" w:sz="0" w:space="0" w:color="auto"/>
      </w:divBdr>
    </w:div>
    <w:div w:id="86510246">
      <w:bodyDiv w:val="1"/>
      <w:marLeft w:val="0"/>
      <w:marRight w:val="0"/>
      <w:marTop w:val="0"/>
      <w:marBottom w:val="0"/>
      <w:divBdr>
        <w:top w:val="none" w:sz="0" w:space="0" w:color="auto"/>
        <w:left w:val="none" w:sz="0" w:space="0" w:color="auto"/>
        <w:bottom w:val="none" w:sz="0" w:space="0" w:color="auto"/>
        <w:right w:val="none" w:sz="0" w:space="0" w:color="auto"/>
      </w:divBdr>
    </w:div>
    <w:div w:id="90006551">
      <w:bodyDiv w:val="1"/>
      <w:marLeft w:val="0"/>
      <w:marRight w:val="0"/>
      <w:marTop w:val="0"/>
      <w:marBottom w:val="0"/>
      <w:divBdr>
        <w:top w:val="none" w:sz="0" w:space="0" w:color="auto"/>
        <w:left w:val="none" w:sz="0" w:space="0" w:color="auto"/>
        <w:bottom w:val="none" w:sz="0" w:space="0" w:color="auto"/>
        <w:right w:val="none" w:sz="0" w:space="0" w:color="auto"/>
      </w:divBdr>
    </w:div>
    <w:div w:id="93788351">
      <w:bodyDiv w:val="1"/>
      <w:marLeft w:val="0"/>
      <w:marRight w:val="0"/>
      <w:marTop w:val="0"/>
      <w:marBottom w:val="0"/>
      <w:divBdr>
        <w:top w:val="none" w:sz="0" w:space="0" w:color="auto"/>
        <w:left w:val="none" w:sz="0" w:space="0" w:color="auto"/>
        <w:bottom w:val="none" w:sz="0" w:space="0" w:color="auto"/>
        <w:right w:val="none" w:sz="0" w:space="0" w:color="auto"/>
      </w:divBdr>
    </w:div>
    <w:div w:id="103354971">
      <w:bodyDiv w:val="1"/>
      <w:marLeft w:val="0"/>
      <w:marRight w:val="0"/>
      <w:marTop w:val="0"/>
      <w:marBottom w:val="0"/>
      <w:divBdr>
        <w:top w:val="none" w:sz="0" w:space="0" w:color="auto"/>
        <w:left w:val="none" w:sz="0" w:space="0" w:color="auto"/>
        <w:bottom w:val="none" w:sz="0" w:space="0" w:color="auto"/>
        <w:right w:val="none" w:sz="0" w:space="0" w:color="auto"/>
      </w:divBdr>
    </w:div>
    <w:div w:id="109013434">
      <w:bodyDiv w:val="1"/>
      <w:marLeft w:val="0"/>
      <w:marRight w:val="0"/>
      <w:marTop w:val="0"/>
      <w:marBottom w:val="0"/>
      <w:divBdr>
        <w:top w:val="none" w:sz="0" w:space="0" w:color="auto"/>
        <w:left w:val="none" w:sz="0" w:space="0" w:color="auto"/>
        <w:bottom w:val="none" w:sz="0" w:space="0" w:color="auto"/>
        <w:right w:val="none" w:sz="0" w:space="0" w:color="auto"/>
      </w:divBdr>
    </w:div>
    <w:div w:id="135298098">
      <w:bodyDiv w:val="1"/>
      <w:marLeft w:val="0"/>
      <w:marRight w:val="0"/>
      <w:marTop w:val="0"/>
      <w:marBottom w:val="0"/>
      <w:divBdr>
        <w:top w:val="none" w:sz="0" w:space="0" w:color="auto"/>
        <w:left w:val="none" w:sz="0" w:space="0" w:color="auto"/>
        <w:bottom w:val="none" w:sz="0" w:space="0" w:color="auto"/>
        <w:right w:val="none" w:sz="0" w:space="0" w:color="auto"/>
      </w:divBdr>
    </w:div>
    <w:div w:id="135874535">
      <w:bodyDiv w:val="1"/>
      <w:marLeft w:val="0"/>
      <w:marRight w:val="0"/>
      <w:marTop w:val="0"/>
      <w:marBottom w:val="0"/>
      <w:divBdr>
        <w:top w:val="none" w:sz="0" w:space="0" w:color="auto"/>
        <w:left w:val="none" w:sz="0" w:space="0" w:color="auto"/>
        <w:bottom w:val="none" w:sz="0" w:space="0" w:color="auto"/>
        <w:right w:val="none" w:sz="0" w:space="0" w:color="auto"/>
      </w:divBdr>
    </w:div>
    <w:div w:id="146938332">
      <w:bodyDiv w:val="1"/>
      <w:marLeft w:val="0"/>
      <w:marRight w:val="0"/>
      <w:marTop w:val="0"/>
      <w:marBottom w:val="0"/>
      <w:divBdr>
        <w:top w:val="none" w:sz="0" w:space="0" w:color="auto"/>
        <w:left w:val="none" w:sz="0" w:space="0" w:color="auto"/>
        <w:bottom w:val="none" w:sz="0" w:space="0" w:color="auto"/>
        <w:right w:val="none" w:sz="0" w:space="0" w:color="auto"/>
      </w:divBdr>
    </w:div>
    <w:div w:id="148715215">
      <w:bodyDiv w:val="1"/>
      <w:marLeft w:val="0"/>
      <w:marRight w:val="0"/>
      <w:marTop w:val="0"/>
      <w:marBottom w:val="0"/>
      <w:divBdr>
        <w:top w:val="none" w:sz="0" w:space="0" w:color="auto"/>
        <w:left w:val="none" w:sz="0" w:space="0" w:color="auto"/>
        <w:bottom w:val="none" w:sz="0" w:space="0" w:color="auto"/>
        <w:right w:val="none" w:sz="0" w:space="0" w:color="auto"/>
      </w:divBdr>
    </w:div>
    <w:div w:id="155535258">
      <w:bodyDiv w:val="1"/>
      <w:marLeft w:val="0"/>
      <w:marRight w:val="0"/>
      <w:marTop w:val="0"/>
      <w:marBottom w:val="0"/>
      <w:divBdr>
        <w:top w:val="none" w:sz="0" w:space="0" w:color="auto"/>
        <w:left w:val="none" w:sz="0" w:space="0" w:color="auto"/>
        <w:bottom w:val="none" w:sz="0" w:space="0" w:color="auto"/>
        <w:right w:val="none" w:sz="0" w:space="0" w:color="auto"/>
      </w:divBdr>
    </w:div>
    <w:div w:id="163932751">
      <w:bodyDiv w:val="1"/>
      <w:marLeft w:val="0"/>
      <w:marRight w:val="0"/>
      <w:marTop w:val="0"/>
      <w:marBottom w:val="0"/>
      <w:divBdr>
        <w:top w:val="none" w:sz="0" w:space="0" w:color="auto"/>
        <w:left w:val="none" w:sz="0" w:space="0" w:color="auto"/>
        <w:bottom w:val="none" w:sz="0" w:space="0" w:color="auto"/>
        <w:right w:val="none" w:sz="0" w:space="0" w:color="auto"/>
      </w:divBdr>
    </w:div>
    <w:div w:id="172644969">
      <w:bodyDiv w:val="1"/>
      <w:marLeft w:val="0"/>
      <w:marRight w:val="0"/>
      <w:marTop w:val="0"/>
      <w:marBottom w:val="0"/>
      <w:divBdr>
        <w:top w:val="none" w:sz="0" w:space="0" w:color="auto"/>
        <w:left w:val="none" w:sz="0" w:space="0" w:color="auto"/>
        <w:bottom w:val="none" w:sz="0" w:space="0" w:color="auto"/>
        <w:right w:val="none" w:sz="0" w:space="0" w:color="auto"/>
      </w:divBdr>
    </w:div>
    <w:div w:id="173765957">
      <w:bodyDiv w:val="1"/>
      <w:marLeft w:val="0"/>
      <w:marRight w:val="0"/>
      <w:marTop w:val="0"/>
      <w:marBottom w:val="0"/>
      <w:divBdr>
        <w:top w:val="none" w:sz="0" w:space="0" w:color="auto"/>
        <w:left w:val="none" w:sz="0" w:space="0" w:color="auto"/>
        <w:bottom w:val="none" w:sz="0" w:space="0" w:color="auto"/>
        <w:right w:val="none" w:sz="0" w:space="0" w:color="auto"/>
      </w:divBdr>
    </w:div>
    <w:div w:id="174851272">
      <w:bodyDiv w:val="1"/>
      <w:marLeft w:val="0"/>
      <w:marRight w:val="0"/>
      <w:marTop w:val="0"/>
      <w:marBottom w:val="0"/>
      <w:divBdr>
        <w:top w:val="none" w:sz="0" w:space="0" w:color="auto"/>
        <w:left w:val="none" w:sz="0" w:space="0" w:color="auto"/>
        <w:bottom w:val="none" w:sz="0" w:space="0" w:color="auto"/>
        <w:right w:val="none" w:sz="0" w:space="0" w:color="auto"/>
      </w:divBdr>
    </w:div>
    <w:div w:id="180320472">
      <w:bodyDiv w:val="1"/>
      <w:marLeft w:val="0"/>
      <w:marRight w:val="0"/>
      <w:marTop w:val="0"/>
      <w:marBottom w:val="0"/>
      <w:divBdr>
        <w:top w:val="none" w:sz="0" w:space="0" w:color="auto"/>
        <w:left w:val="none" w:sz="0" w:space="0" w:color="auto"/>
        <w:bottom w:val="none" w:sz="0" w:space="0" w:color="auto"/>
        <w:right w:val="none" w:sz="0" w:space="0" w:color="auto"/>
      </w:divBdr>
    </w:div>
    <w:div w:id="208076803">
      <w:bodyDiv w:val="1"/>
      <w:marLeft w:val="0"/>
      <w:marRight w:val="0"/>
      <w:marTop w:val="0"/>
      <w:marBottom w:val="0"/>
      <w:divBdr>
        <w:top w:val="none" w:sz="0" w:space="0" w:color="auto"/>
        <w:left w:val="none" w:sz="0" w:space="0" w:color="auto"/>
        <w:bottom w:val="none" w:sz="0" w:space="0" w:color="auto"/>
        <w:right w:val="none" w:sz="0" w:space="0" w:color="auto"/>
      </w:divBdr>
    </w:div>
    <w:div w:id="209807769">
      <w:bodyDiv w:val="1"/>
      <w:marLeft w:val="0"/>
      <w:marRight w:val="0"/>
      <w:marTop w:val="0"/>
      <w:marBottom w:val="0"/>
      <w:divBdr>
        <w:top w:val="none" w:sz="0" w:space="0" w:color="auto"/>
        <w:left w:val="none" w:sz="0" w:space="0" w:color="auto"/>
        <w:bottom w:val="none" w:sz="0" w:space="0" w:color="auto"/>
        <w:right w:val="none" w:sz="0" w:space="0" w:color="auto"/>
      </w:divBdr>
    </w:div>
    <w:div w:id="218249611">
      <w:bodyDiv w:val="1"/>
      <w:marLeft w:val="0"/>
      <w:marRight w:val="0"/>
      <w:marTop w:val="0"/>
      <w:marBottom w:val="0"/>
      <w:divBdr>
        <w:top w:val="none" w:sz="0" w:space="0" w:color="auto"/>
        <w:left w:val="none" w:sz="0" w:space="0" w:color="auto"/>
        <w:bottom w:val="none" w:sz="0" w:space="0" w:color="auto"/>
        <w:right w:val="none" w:sz="0" w:space="0" w:color="auto"/>
      </w:divBdr>
    </w:div>
    <w:div w:id="224144670">
      <w:bodyDiv w:val="1"/>
      <w:marLeft w:val="0"/>
      <w:marRight w:val="0"/>
      <w:marTop w:val="0"/>
      <w:marBottom w:val="0"/>
      <w:divBdr>
        <w:top w:val="none" w:sz="0" w:space="0" w:color="auto"/>
        <w:left w:val="none" w:sz="0" w:space="0" w:color="auto"/>
        <w:bottom w:val="none" w:sz="0" w:space="0" w:color="auto"/>
        <w:right w:val="none" w:sz="0" w:space="0" w:color="auto"/>
      </w:divBdr>
    </w:div>
    <w:div w:id="227618962">
      <w:bodyDiv w:val="1"/>
      <w:marLeft w:val="0"/>
      <w:marRight w:val="0"/>
      <w:marTop w:val="0"/>
      <w:marBottom w:val="0"/>
      <w:divBdr>
        <w:top w:val="none" w:sz="0" w:space="0" w:color="auto"/>
        <w:left w:val="none" w:sz="0" w:space="0" w:color="auto"/>
        <w:bottom w:val="none" w:sz="0" w:space="0" w:color="auto"/>
        <w:right w:val="none" w:sz="0" w:space="0" w:color="auto"/>
      </w:divBdr>
    </w:div>
    <w:div w:id="230045826">
      <w:bodyDiv w:val="1"/>
      <w:marLeft w:val="0"/>
      <w:marRight w:val="0"/>
      <w:marTop w:val="0"/>
      <w:marBottom w:val="0"/>
      <w:divBdr>
        <w:top w:val="none" w:sz="0" w:space="0" w:color="auto"/>
        <w:left w:val="none" w:sz="0" w:space="0" w:color="auto"/>
        <w:bottom w:val="none" w:sz="0" w:space="0" w:color="auto"/>
        <w:right w:val="none" w:sz="0" w:space="0" w:color="auto"/>
      </w:divBdr>
    </w:div>
    <w:div w:id="236064057">
      <w:bodyDiv w:val="1"/>
      <w:marLeft w:val="0"/>
      <w:marRight w:val="0"/>
      <w:marTop w:val="0"/>
      <w:marBottom w:val="0"/>
      <w:divBdr>
        <w:top w:val="none" w:sz="0" w:space="0" w:color="auto"/>
        <w:left w:val="none" w:sz="0" w:space="0" w:color="auto"/>
        <w:bottom w:val="none" w:sz="0" w:space="0" w:color="auto"/>
        <w:right w:val="none" w:sz="0" w:space="0" w:color="auto"/>
      </w:divBdr>
      <w:divsChild>
        <w:div w:id="601186394">
          <w:marLeft w:val="0"/>
          <w:marRight w:val="0"/>
          <w:marTop w:val="0"/>
          <w:marBottom w:val="0"/>
          <w:divBdr>
            <w:top w:val="none" w:sz="0" w:space="0" w:color="auto"/>
            <w:left w:val="none" w:sz="0" w:space="0" w:color="auto"/>
            <w:bottom w:val="none" w:sz="0" w:space="0" w:color="auto"/>
            <w:right w:val="none" w:sz="0" w:space="0" w:color="auto"/>
          </w:divBdr>
          <w:divsChild>
            <w:div w:id="2096122973">
              <w:marLeft w:val="0"/>
              <w:marRight w:val="0"/>
              <w:marTop w:val="0"/>
              <w:marBottom w:val="0"/>
              <w:divBdr>
                <w:top w:val="none" w:sz="0" w:space="0" w:color="auto"/>
                <w:left w:val="none" w:sz="0" w:space="0" w:color="auto"/>
                <w:bottom w:val="none" w:sz="0" w:space="0" w:color="auto"/>
                <w:right w:val="none" w:sz="0" w:space="0" w:color="auto"/>
              </w:divBdr>
              <w:divsChild>
                <w:div w:id="188186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5773">
          <w:marLeft w:val="0"/>
          <w:marRight w:val="0"/>
          <w:marTop w:val="0"/>
          <w:marBottom w:val="0"/>
          <w:divBdr>
            <w:top w:val="none" w:sz="0" w:space="0" w:color="auto"/>
            <w:left w:val="none" w:sz="0" w:space="0" w:color="auto"/>
            <w:bottom w:val="none" w:sz="0" w:space="0" w:color="auto"/>
            <w:right w:val="none" w:sz="0" w:space="0" w:color="auto"/>
          </w:divBdr>
          <w:divsChild>
            <w:div w:id="1960914938">
              <w:marLeft w:val="0"/>
              <w:marRight w:val="0"/>
              <w:marTop w:val="0"/>
              <w:marBottom w:val="0"/>
              <w:divBdr>
                <w:top w:val="none" w:sz="0" w:space="0" w:color="auto"/>
                <w:left w:val="none" w:sz="0" w:space="0" w:color="auto"/>
                <w:bottom w:val="none" w:sz="0" w:space="0" w:color="auto"/>
                <w:right w:val="none" w:sz="0" w:space="0" w:color="auto"/>
              </w:divBdr>
              <w:divsChild>
                <w:div w:id="646472260">
                  <w:marLeft w:val="0"/>
                  <w:marRight w:val="0"/>
                  <w:marTop w:val="0"/>
                  <w:marBottom w:val="0"/>
                  <w:divBdr>
                    <w:top w:val="none" w:sz="0" w:space="0" w:color="auto"/>
                    <w:left w:val="none" w:sz="0" w:space="0" w:color="auto"/>
                    <w:bottom w:val="none" w:sz="0" w:space="0" w:color="auto"/>
                    <w:right w:val="none" w:sz="0" w:space="0" w:color="auto"/>
                  </w:divBdr>
                  <w:divsChild>
                    <w:div w:id="4839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891207">
      <w:bodyDiv w:val="1"/>
      <w:marLeft w:val="0"/>
      <w:marRight w:val="0"/>
      <w:marTop w:val="0"/>
      <w:marBottom w:val="0"/>
      <w:divBdr>
        <w:top w:val="none" w:sz="0" w:space="0" w:color="auto"/>
        <w:left w:val="none" w:sz="0" w:space="0" w:color="auto"/>
        <w:bottom w:val="none" w:sz="0" w:space="0" w:color="auto"/>
        <w:right w:val="none" w:sz="0" w:space="0" w:color="auto"/>
      </w:divBdr>
    </w:div>
    <w:div w:id="258486037">
      <w:bodyDiv w:val="1"/>
      <w:marLeft w:val="0"/>
      <w:marRight w:val="0"/>
      <w:marTop w:val="0"/>
      <w:marBottom w:val="0"/>
      <w:divBdr>
        <w:top w:val="none" w:sz="0" w:space="0" w:color="auto"/>
        <w:left w:val="none" w:sz="0" w:space="0" w:color="auto"/>
        <w:bottom w:val="none" w:sz="0" w:space="0" w:color="auto"/>
        <w:right w:val="none" w:sz="0" w:space="0" w:color="auto"/>
      </w:divBdr>
    </w:div>
    <w:div w:id="258831420">
      <w:bodyDiv w:val="1"/>
      <w:marLeft w:val="0"/>
      <w:marRight w:val="0"/>
      <w:marTop w:val="0"/>
      <w:marBottom w:val="0"/>
      <w:divBdr>
        <w:top w:val="none" w:sz="0" w:space="0" w:color="auto"/>
        <w:left w:val="none" w:sz="0" w:space="0" w:color="auto"/>
        <w:bottom w:val="none" w:sz="0" w:space="0" w:color="auto"/>
        <w:right w:val="none" w:sz="0" w:space="0" w:color="auto"/>
      </w:divBdr>
    </w:div>
    <w:div w:id="263614616">
      <w:bodyDiv w:val="1"/>
      <w:marLeft w:val="0"/>
      <w:marRight w:val="0"/>
      <w:marTop w:val="0"/>
      <w:marBottom w:val="0"/>
      <w:divBdr>
        <w:top w:val="none" w:sz="0" w:space="0" w:color="auto"/>
        <w:left w:val="none" w:sz="0" w:space="0" w:color="auto"/>
        <w:bottom w:val="none" w:sz="0" w:space="0" w:color="auto"/>
        <w:right w:val="none" w:sz="0" w:space="0" w:color="auto"/>
      </w:divBdr>
    </w:div>
    <w:div w:id="279344239">
      <w:bodyDiv w:val="1"/>
      <w:marLeft w:val="0"/>
      <w:marRight w:val="0"/>
      <w:marTop w:val="0"/>
      <w:marBottom w:val="0"/>
      <w:divBdr>
        <w:top w:val="none" w:sz="0" w:space="0" w:color="auto"/>
        <w:left w:val="none" w:sz="0" w:space="0" w:color="auto"/>
        <w:bottom w:val="none" w:sz="0" w:space="0" w:color="auto"/>
        <w:right w:val="none" w:sz="0" w:space="0" w:color="auto"/>
      </w:divBdr>
      <w:divsChild>
        <w:div w:id="1312447869">
          <w:marLeft w:val="0"/>
          <w:marRight w:val="0"/>
          <w:marTop w:val="0"/>
          <w:marBottom w:val="0"/>
          <w:divBdr>
            <w:top w:val="none" w:sz="0" w:space="0" w:color="auto"/>
            <w:left w:val="none" w:sz="0" w:space="0" w:color="auto"/>
            <w:bottom w:val="none" w:sz="0" w:space="0" w:color="auto"/>
            <w:right w:val="none" w:sz="0" w:space="0" w:color="auto"/>
          </w:divBdr>
          <w:divsChild>
            <w:div w:id="6919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55786">
      <w:bodyDiv w:val="1"/>
      <w:marLeft w:val="0"/>
      <w:marRight w:val="0"/>
      <w:marTop w:val="0"/>
      <w:marBottom w:val="0"/>
      <w:divBdr>
        <w:top w:val="none" w:sz="0" w:space="0" w:color="auto"/>
        <w:left w:val="none" w:sz="0" w:space="0" w:color="auto"/>
        <w:bottom w:val="none" w:sz="0" w:space="0" w:color="auto"/>
        <w:right w:val="none" w:sz="0" w:space="0" w:color="auto"/>
      </w:divBdr>
    </w:div>
    <w:div w:id="296882143">
      <w:bodyDiv w:val="1"/>
      <w:marLeft w:val="0"/>
      <w:marRight w:val="0"/>
      <w:marTop w:val="0"/>
      <w:marBottom w:val="0"/>
      <w:divBdr>
        <w:top w:val="none" w:sz="0" w:space="0" w:color="auto"/>
        <w:left w:val="none" w:sz="0" w:space="0" w:color="auto"/>
        <w:bottom w:val="none" w:sz="0" w:space="0" w:color="auto"/>
        <w:right w:val="none" w:sz="0" w:space="0" w:color="auto"/>
      </w:divBdr>
    </w:div>
    <w:div w:id="298924506">
      <w:bodyDiv w:val="1"/>
      <w:marLeft w:val="0"/>
      <w:marRight w:val="0"/>
      <w:marTop w:val="0"/>
      <w:marBottom w:val="0"/>
      <w:divBdr>
        <w:top w:val="none" w:sz="0" w:space="0" w:color="auto"/>
        <w:left w:val="none" w:sz="0" w:space="0" w:color="auto"/>
        <w:bottom w:val="none" w:sz="0" w:space="0" w:color="auto"/>
        <w:right w:val="none" w:sz="0" w:space="0" w:color="auto"/>
      </w:divBdr>
    </w:div>
    <w:div w:id="310837342">
      <w:bodyDiv w:val="1"/>
      <w:marLeft w:val="0"/>
      <w:marRight w:val="0"/>
      <w:marTop w:val="0"/>
      <w:marBottom w:val="0"/>
      <w:divBdr>
        <w:top w:val="none" w:sz="0" w:space="0" w:color="auto"/>
        <w:left w:val="none" w:sz="0" w:space="0" w:color="auto"/>
        <w:bottom w:val="none" w:sz="0" w:space="0" w:color="auto"/>
        <w:right w:val="none" w:sz="0" w:space="0" w:color="auto"/>
      </w:divBdr>
    </w:div>
    <w:div w:id="312486095">
      <w:bodyDiv w:val="1"/>
      <w:marLeft w:val="0"/>
      <w:marRight w:val="0"/>
      <w:marTop w:val="0"/>
      <w:marBottom w:val="0"/>
      <w:divBdr>
        <w:top w:val="none" w:sz="0" w:space="0" w:color="auto"/>
        <w:left w:val="none" w:sz="0" w:space="0" w:color="auto"/>
        <w:bottom w:val="none" w:sz="0" w:space="0" w:color="auto"/>
        <w:right w:val="none" w:sz="0" w:space="0" w:color="auto"/>
      </w:divBdr>
    </w:div>
    <w:div w:id="316225834">
      <w:bodyDiv w:val="1"/>
      <w:marLeft w:val="0"/>
      <w:marRight w:val="0"/>
      <w:marTop w:val="0"/>
      <w:marBottom w:val="0"/>
      <w:divBdr>
        <w:top w:val="none" w:sz="0" w:space="0" w:color="auto"/>
        <w:left w:val="none" w:sz="0" w:space="0" w:color="auto"/>
        <w:bottom w:val="none" w:sz="0" w:space="0" w:color="auto"/>
        <w:right w:val="none" w:sz="0" w:space="0" w:color="auto"/>
      </w:divBdr>
    </w:div>
    <w:div w:id="327054104">
      <w:bodyDiv w:val="1"/>
      <w:marLeft w:val="0"/>
      <w:marRight w:val="0"/>
      <w:marTop w:val="0"/>
      <w:marBottom w:val="0"/>
      <w:divBdr>
        <w:top w:val="none" w:sz="0" w:space="0" w:color="auto"/>
        <w:left w:val="none" w:sz="0" w:space="0" w:color="auto"/>
        <w:bottom w:val="none" w:sz="0" w:space="0" w:color="auto"/>
        <w:right w:val="none" w:sz="0" w:space="0" w:color="auto"/>
      </w:divBdr>
    </w:div>
    <w:div w:id="340817603">
      <w:bodyDiv w:val="1"/>
      <w:marLeft w:val="0"/>
      <w:marRight w:val="0"/>
      <w:marTop w:val="0"/>
      <w:marBottom w:val="0"/>
      <w:divBdr>
        <w:top w:val="none" w:sz="0" w:space="0" w:color="auto"/>
        <w:left w:val="none" w:sz="0" w:space="0" w:color="auto"/>
        <w:bottom w:val="none" w:sz="0" w:space="0" w:color="auto"/>
        <w:right w:val="none" w:sz="0" w:space="0" w:color="auto"/>
      </w:divBdr>
    </w:div>
    <w:div w:id="344013363">
      <w:bodyDiv w:val="1"/>
      <w:marLeft w:val="0"/>
      <w:marRight w:val="0"/>
      <w:marTop w:val="0"/>
      <w:marBottom w:val="0"/>
      <w:divBdr>
        <w:top w:val="none" w:sz="0" w:space="0" w:color="auto"/>
        <w:left w:val="none" w:sz="0" w:space="0" w:color="auto"/>
        <w:bottom w:val="none" w:sz="0" w:space="0" w:color="auto"/>
        <w:right w:val="none" w:sz="0" w:space="0" w:color="auto"/>
      </w:divBdr>
    </w:div>
    <w:div w:id="346178953">
      <w:bodyDiv w:val="1"/>
      <w:marLeft w:val="0"/>
      <w:marRight w:val="0"/>
      <w:marTop w:val="0"/>
      <w:marBottom w:val="0"/>
      <w:divBdr>
        <w:top w:val="none" w:sz="0" w:space="0" w:color="auto"/>
        <w:left w:val="none" w:sz="0" w:space="0" w:color="auto"/>
        <w:bottom w:val="none" w:sz="0" w:space="0" w:color="auto"/>
        <w:right w:val="none" w:sz="0" w:space="0" w:color="auto"/>
      </w:divBdr>
      <w:divsChild>
        <w:div w:id="1565094944">
          <w:marLeft w:val="0"/>
          <w:marRight w:val="0"/>
          <w:marTop w:val="0"/>
          <w:marBottom w:val="0"/>
          <w:divBdr>
            <w:top w:val="none" w:sz="0" w:space="0" w:color="auto"/>
            <w:left w:val="none" w:sz="0" w:space="0" w:color="auto"/>
            <w:bottom w:val="none" w:sz="0" w:space="0" w:color="auto"/>
            <w:right w:val="none" w:sz="0" w:space="0" w:color="auto"/>
          </w:divBdr>
          <w:divsChild>
            <w:div w:id="682632694">
              <w:marLeft w:val="0"/>
              <w:marRight w:val="0"/>
              <w:marTop w:val="0"/>
              <w:marBottom w:val="0"/>
              <w:divBdr>
                <w:top w:val="none" w:sz="0" w:space="0" w:color="auto"/>
                <w:left w:val="none" w:sz="0" w:space="0" w:color="auto"/>
                <w:bottom w:val="none" w:sz="0" w:space="0" w:color="auto"/>
                <w:right w:val="none" w:sz="0" w:space="0" w:color="auto"/>
              </w:divBdr>
              <w:divsChild>
                <w:div w:id="298999792">
                  <w:marLeft w:val="0"/>
                  <w:marRight w:val="0"/>
                  <w:marTop w:val="0"/>
                  <w:marBottom w:val="0"/>
                  <w:divBdr>
                    <w:top w:val="none" w:sz="0" w:space="0" w:color="auto"/>
                    <w:left w:val="none" w:sz="0" w:space="0" w:color="auto"/>
                    <w:bottom w:val="none" w:sz="0" w:space="0" w:color="auto"/>
                    <w:right w:val="none" w:sz="0" w:space="0" w:color="auto"/>
                  </w:divBdr>
                  <w:divsChild>
                    <w:div w:id="1228414421">
                      <w:marLeft w:val="0"/>
                      <w:marRight w:val="0"/>
                      <w:marTop w:val="0"/>
                      <w:marBottom w:val="0"/>
                      <w:divBdr>
                        <w:top w:val="none" w:sz="0" w:space="0" w:color="auto"/>
                        <w:left w:val="none" w:sz="0" w:space="0" w:color="auto"/>
                        <w:bottom w:val="none" w:sz="0" w:space="0" w:color="auto"/>
                        <w:right w:val="none" w:sz="0" w:space="0" w:color="auto"/>
                      </w:divBdr>
                      <w:divsChild>
                        <w:div w:id="1600290763">
                          <w:marLeft w:val="0"/>
                          <w:marRight w:val="0"/>
                          <w:marTop w:val="0"/>
                          <w:marBottom w:val="0"/>
                          <w:divBdr>
                            <w:top w:val="none" w:sz="0" w:space="0" w:color="auto"/>
                            <w:left w:val="none" w:sz="0" w:space="0" w:color="auto"/>
                            <w:bottom w:val="none" w:sz="0" w:space="0" w:color="auto"/>
                            <w:right w:val="none" w:sz="0" w:space="0" w:color="auto"/>
                          </w:divBdr>
                          <w:divsChild>
                            <w:div w:id="381944598">
                              <w:marLeft w:val="0"/>
                              <w:marRight w:val="0"/>
                              <w:marTop w:val="0"/>
                              <w:marBottom w:val="0"/>
                              <w:divBdr>
                                <w:top w:val="none" w:sz="0" w:space="0" w:color="auto"/>
                                <w:left w:val="none" w:sz="0" w:space="0" w:color="auto"/>
                                <w:bottom w:val="none" w:sz="0" w:space="0" w:color="auto"/>
                                <w:right w:val="none" w:sz="0" w:space="0" w:color="auto"/>
                              </w:divBdr>
                              <w:divsChild>
                                <w:div w:id="1596474497">
                                  <w:marLeft w:val="0"/>
                                  <w:marRight w:val="0"/>
                                  <w:marTop w:val="0"/>
                                  <w:marBottom w:val="0"/>
                                  <w:divBdr>
                                    <w:top w:val="none" w:sz="0" w:space="0" w:color="auto"/>
                                    <w:left w:val="none" w:sz="0" w:space="0" w:color="auto"/>
                                    <w:bottom w:val="none" w:sz="0" w:space="0" w:color="auto"/>
                                    <w:right w:val="none" w:sz="0" w:space="0" w:color="auto"/>
                                  </w:divBdr>
                                  <w:divsChild>
                                    <w:div w:id="8748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493603">
      <w:bodyDiv w:val="1"/>
      <w:marLeft w:val="0"/>
      <w:marRight w:val="0"/>
      <w:marTop w:val="0"/>
      <w:marBottom w:val="0"/>
      <w:divBdr>
        <w:top w:val="none" w:sz="0" w:space="0" w:color="auto"/>
        <w:left w:val="none" w:sz="0" w:space="0" w:color="auto"/>
        <w:bottom w:val="none" w:sz="0" w:space="0" w:color="auto"/>
        <w:right w:val="none" w:sz="0" w:space="0" w:color="auto"/>
      </w:divBdr>
    </w:div>
    <w:div w:id="359287469">
      <w:bodyDiv w:val="1"/>
      <w:marLeft w:val="0"/>
      <w:marRight w:val="0"/>
      <w:marTop w:val="0"/>
      <w:marBottom w:val="0"/>
      <w:divBdr>
        <w:top w:val="none" w:sz="0" w:space="0" w:color="auto"/>
        <w:left w:val="none" w:sz="0" w:space="0" w:color="auto"/>
        <w:bottom w:val="none" w:sz="0" w:space="0" w:color="auto"/>
        <w:right w:val="none" w:sz="0" w:space="0" w:color="auto"/>
      </w:divBdr>
    </w:div>
    <w:div w:id="362364563">
      <w:bodyDiv w:val="1"/>
      <w:marLeft w:val="0"/>
      <w:marRight w:val="0"/>
      <w:marTop w:val="0"/>
      <w:marBottom w:val="0"/>
      <w:divBdr>
        <w:top w:val="none" w:sz="0" w:space="0" w:color="auto"/>
        <w:left w:val="none" w:sz="0" w:space="0" w:color="auto"/>
        <w:bottom w:val="none" w:sz="0" w:space="0" w:color="auto"/>
        <w:right w:val="none" w:sz="0" w:space="0" w:color="auto"/>
      </w:divBdr>
      <w:divsChild>
        <w:div w:id="2066223259">
          <w:marLeft w:val="0"/>
          <w:marRight w:val="0"/>
          <w:marTop w:val="0"/>
          <w:marBottom w:val="0"/>
          <w:divBdr>
            <w:top w:val="none" w:sz="0" w:space="0" w:color="auto"/>
            <w:left w:val="none" w:sz="0" w:space="0" w:color="auto"/>
            <w:bottom w:val="none" w:sz="0" w:space="0" w:color="auto"/>
            <w:right w:val="none" w:sz="0" w:space="0" w:color="auto"/>
          </w:divBdr>
          <w:divsChild>
            <w:div w:id="215358105">
              <w:marLeft w:val="0"/>
              <w:marRight w:val="0"/>
              <w:marTop w:val="0"/>
              <w:marBottom w:val="0"/>
              <w:divBdr>
                <w:top w:val="none" w:sz="0" w:space="0" w:color="auto"/>
                <w:left w:val="none" w:sz="0" w:space="0" w:color="auto"/>
                <w:bottom w:val="none" w:sz="0" w:space="0" w:color="auto"/>
                <w:right w:val="none" w:sz="0" w:space="0" w:color="auto"/>
              </w:divBdr>
              <w:divsChild>
                <w:div w:id="957024884">
                  <w:marLeft w:val="0"/>
                  <w:marRight w:val="0"/>
                  <w:marTop w:val="0"/>
                  <w:marBottom w:val="0"/>
                  <w:divBdr>
                    <w:top w:val="none" w:sz="0" w:space="0" w:color="auto"/>
                    <w:left w:val="none" w:sz="0" w:space="0" w:color="auto"/>
                    <w:bottom w:val="none" w:sz="0" w:space="0" w:color="auto"/>
                    <w:right w:val="none" w:sz="0" w:space="0" w:color="auto"/>
                  </w:divBdr>
                  <w:divsChild>
                    <w:div w:id="1704987245">
                      <w:marLeft w:val="0"/>
                      <w:marRight w:val="0"/>
                      <w:marTop w:val="0"/>
                      <w:marBottom w:val="0"/>
                      <w:divBdr>
                        <w:top w:val="none" w:sz="0" w:space="0" w:color="auto"/>
                        <w:left w:val="none" w:sz="0" w:space="0" w:color="auto"/>
                        <w:bottom w:val="none" w:sz="0" w:space="0" w:color="auto"/>
                        <w:right w:val="none" w:sz="0" w:space="0" w:color="auto"/>
                      </w:divBdr>
                      <w:divsChild>
                        <w:div w:id="1459105711">
                          <w:marLeft w:val="0"/>
                          <w:marRight w:val="0"/>
                          <w:marTop w:val="0"/>
                          <w:marBottom w:val="0"/>
                          <w:divBdr>
                            <w:top w:val="none" w:sz="0" w:space="0" w:color="auto"/>
                            <w:left w:val="none" w:sz="0" w:space="0" w:color="auto"/>
                            <w:bottom w:val="none" w:sz="0" w:space="0" w:color="auto"/>
                            <w:right w:val="none" w:sz="0" w:space="0" w:color="auto"/>
                          </w:divBdr>
                          <w:divsChild>
                            <w:div w:id="873081548">
                              <w:marLeft w:val="0"/>
                              <w:marRight w:val="0"/>
                              <w:marTop w:val="0"/>
                              <w:marBottom w:val="0"/>
                              <w:divBdr>
                                <w:top w:val="none" w:sz="0" w:space="0" w:color="auto"/>
                                <w:left w:val="none" w:sz="0" w:space="0" w:color="auto"/>
                                <w:bottom w:val="none" w:sz="0" w:space="0" w:color="auto"/>
                                <w:right w:val="none" w:sz="0" w:space="0" w:color="auto"/>
                              </w:divBdr>
                              <w:divsChild>
                                <w:div w:id="1666586724">
                                  <w:marLeft w:val="0"/>
                                  <w:marRight w:val="0"/>
                                  <w:marTop w:val="0"/>
                                  <w:marBottom w:val="0"/>
                                  <w:divBdr>
                                    <w:top w:val="none" w:sz="0" w:space="0" w:color="auto"/>
                                    <w:left w:val="none" w:sz="0" w:space="0" w:color="auto"/>
                                    <w:bottom w:val="none" w:sz="0" w:space="0" w:color="auto"/>
                                    <w:right w:val="none" w:sz="0" w:space="0" w:color="auto"/>
                                  </w:divBdr>
                                  <w:divsChild>
                                    <w:div w:id="8067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776381">
                      <w:marLeft w:val="0"/>
                      <w:marRight w:val="0"/>
                      <w:marTop w:val="0"/>
                      <w:marBottom w:val="0"/>
                      <w:divBdr>
                        <w:top w:val="none" w:sz="0" w:space="0" w:color="auto"/>
                        <w:left w:val="none" w:sz="0" w:space="0" w:color="auto"/>
                        <w:bottom w:val="none" w:sz="0" w:space="0" w:color="auto"/>
                        <w:right w:val="none" w:sz="0" w:space="0" w:color="auto"/>
                      </w:divBdr>
                      <w:divsChild>
                        <w:div w:id="197887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339782">
      <w:bodyDiv w:val="1"/>
      <w:marLeft w:val="0"/>
      <w:marRight w:val="0"/>
      <w:marTop w:val="0"/>
      <w:marBottom w:val="0"/>
      <w:divBdr>
        <w:top w:val="none" w:sz="0" w:space="0" w:color="auto"/>
        <w:left w:val="none" w:sz="0" w:space="0" w:color="auto"/>
        <w:bottom w:val="none" w:sz="0" w:space="0" w:color="auto"/>
        <w:right w:val="none" w:sz="0" w:space="0" w:color="auto"/>
      </w:divBdr>
    </w:div>
    <w:div w:id="373312123">
      <w:bodyDiv w:val="1"/>
      <w:marLeft w:val="0"/>
      <w:marRight w:val="0"/>
      <w:marTop w:val="0"/>
      <w:marBottom w:val="0"/>
      <w:divBdr>
        <w:top w:val="none" w:sz="0" w:space="0" w:color="auto"/>
        <w:left w:val="none" w:sz="0" w:space="0" w:color="auto"/>
        <w:bottom w:val="none" w:sz="0" w:space="0" w:color="auto"/>
        <w:right w:val="none" w:sz="0" w:space="0" w:color="auto"/>
      </w:divBdr>
    </w:div>
    <w:div w:id="386300935">
      <w:bodyDiv w:val="1"/>
      <w:marLeft w:val="0"/>
      <w:marRight w:val="0"/>
      <w:marTop w:val="0"/>
      <w:marBottom w:val="0"/>
      <w:divBdr>
        <w:top w:val="none" w:sz="0" w:space="0" w:color="auto"/>
        <w:left w:val="none" w:sz="0" w:space="0" w:color="auto"/>
        <w:bottom w:val="none" w:sz="0" w:space="0" w:color="auto"/>
        <w:right w:val="none" w:sz="0" w:space="0" w:color="auto"/>
      </w:divBdr>
    </w:div>
    <w:div w:id="388651708">
      <w:bodyDiv w:val="1"/>
      <w:marLeft w:val="0"/>
      <w:marRight w:val="0"/>
      <w:marTop w:val="0"/>
      <w:marBottom w:val="0"/>
      <w:divBdr>
        <w:top w:val="none" w:sz="0" w:space="0" w:color="auto"/>
        <w:left w:val="none" w:sz="0" w:space="0" w:color="auto"/>
        <w:bottom w:val="none" w:sz="0" w:space="0" w:color="auto"/>
        <w:right w:val="none" w:sz="0" w:space="0" w:color="auto"/>
      </w:divBdr>
    </w:div>
    <w:div w:id="389500200">
      <w:bodyDiv w:val="1"/>
      <w:marLeft w:val="0"/>
      <w:marRight w:val="0"/>
      <w:marTop w:val="0"/>
      <w:marBottom w:val="0"/>
      <w:divBdr>
        <w:top w:val="none" w:sz="0" w:space="0" w:color="auto"/>
        <w:left w:val="none" w:sz="0" w:space="0" w:color="auto"/>
        <w:bottom w:val="none" w:sz="0" w:space="0" w:color="auto"/>
        <w:right w:val="none" w:sz="0" w:space="0" w:color="auto"/>
      </w:divBdr>
    </w:div>
    <w:div w:id="391198573">
      <w:bodyDiv w:val="1"/>
      <w:marLeft w:val="0"/>
      <w:marRight w:val="0"/>
      <w:marTop w:val="0"/>
      <w:marBottom w:val="0"/>
      <w:divBdr>
        <w:top w:val="none" w:sz="0" w:space="0" w:color="auto"/>
        <w:left w:val="none" w:sz="0" w:space="0" w:color="auto"/>
        <w:bottom w:val="none" w:sz="0" w:space="0" w:color="auto"/>
        <w:right w:val="none" w:sz="0" w:space="0" w:color="auto"/>
      </w:divBdr>
      <w:divsChild>
        <w:div w:id="49499799">
          <w:marLeft w:val="0"/>
          <w:marRight w:val="0"/>
          <w:marTop w:val="0"/>
          <w:marBottom w:val="0"/>
          <w:divBdr>
            <w:top w:val="none" w:sz="0" w:space="0" w:color="auto"/>
            <w:left w:val="none" w:sz="0" w:space="0" w:color="auto"/>
            <w:bottom w:val="none" w:sz="0" w:space="0" w:color="auto"/>
            <w:right w:val="none" w:sz="0" w:space="0" w:color="auto"/>
          </w:divBdr>
          <w:divsChild>
            <w:div w:id="2133402329">
              <w:marLeft w:val="0"/>
              <w:marRight w:val="0"/>
              <w:marTop w:val="0"/>
              <w:marBottom w:val="0"/>
              <w:divBdr>
                <w:top w:val="none" w:sz="0" w:space="0" w:color="auto"/>
                <w:left w:val="none" w:sz="0" w:space="0" w:color="auto"/>
                <w:bottom w:val="none" w:sz="0" w:space="0" w:color="auto"/>
                <w:right w:val="none" w:sz="0" w:space="0" w:color="auto"/>
              </w:divBdr>
              <w:divsChild>
                <w:div w:id="111051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26359">
          <w:marLeft w:val="0"/>
          <w:marRight w:val="0"/>
          <w:marTop w:val="0"/>
          <w:marBottom w:val="0"/>
          <w:divBdr>
            <w:top w:val="none" w:sz="0" w:space="0" w:color="auto"/>
            <w:left w:val="none" w:sz="0" w:space="0" w:color="auto"/>
            <w:bottom w:val="none" w:sz="0" w:space="0" w:color="auto"/>
            <w:right w:val="none" w:sz="0" w:space="0" w:color="auto"/>
          </w:divBdr>
          <w:divsChild>
            <w:div w:id="106658038">
              <w:marLeft w:val="0"/>
              <w:marRight w:val="0"/>
              <w:marTop w:val="0"/>
              <w:marBottom w:val="0"/>
              <w:divBdr>
                <w:top w:val="none" w:sz="0" w:space="0" w:color="auto"/>
                <w:left w:val="none" w:sz="0" w:space="0" w:color="auto"/>
                <w:bottom w:val="none" w:sz="0" w:space="0" w:color="auto"/>
                <w:right w:val="none" w:sz="0" w:space="0" w:color="auto"/>
              </w:divBdr>
              <w:divsChild>
                <w:div w:id="204605277">
                  <w:marLeft w:val="0"/>
                  <w:marRight w:val="0"/>
                  <w:marTop w:val="0"/>
                  <w:marBottom w:val="0"/>
                  <w:divBdr>
                    <w:top w:val="none" w:sz="0" w:space="0" w:color="auto"/>
                    <w:left w:val="none" w:sz="0" w:space="0" w:color="auto"/>
                    <w:bottom w:val="none" w:sz="0" w:space="0" w:color="auto"/>
                    <w:right w:val="none" w:sz="0" w:space="0" w:color="auto"/>
                  </w:divBdr>
                  <w:divsChild>
                    <w:div w:id="2889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01560506">
      <w:bodyDiv w:val="1"/>
      <w:marLeft w:val="0"/>
      <w:marRight w:val="0"/>
      <w:marTop w:val="0"/>
      <w:marBottom w:val="0"/>
      <w:divBdr>
        <w:top w:val="none" w:sz="0" w:space="0" w:color="auto"/>
        <w:left w:val="none" w:sz="0" w:space="0" w:color="auto"/>
        <w:bottom w:val="none" w:sz="0" w:space="0" w:color="auto"/>
        <w:right w:val="none" w:sz="0" w:space="0" w:color="auto"/>
      </w:divBdr>
    </w:div>
    <w:div w:id="401949981">
      <w:bodyDiv w:val="1"/>
      <w:marLeft w:val="0"/>
      <w:marRight w:val="0"/>
      <w:marTop w:val="0"/>
      <w:marBottom w:val="0"/>
      <w:divBdr>
        <w:top w:val="none" w:sz="0" w:space="0" w:color="auto"/>
        <w:left w:val="none" w:sz="0" w:space="0" w:color="auto"/>
        <w:bottom w:val="none" w:sz="0" w:space="0" w:color="auto"/>
        <w:right w:val="none" w:sz="0" w:space="0" w:color="auto"/>
      </w:divBdr>
    </w:div>
    <w:div w:id="418792848">
      <w:bodyDiv w:val="1"/>
      <w:marLeft w:val="0"/>
      <w:marRight w:val="0"/>
      <w:marTop w:val="0"/>
      <w:marBottom w:val="0"/>
      <w:divBdr>
        <w:top w:val="none" w:sz="0" w:space="0" w:color="auto"/>
        <w:left w:val="none" w:sz="0" w:space="0" w:color="auto"/>
        <w:bottom w:val="none" w:sz="0" w:space="0" w:color="auto"/>
        <w:right w:val="none" w:sz="0" w:space="0" w:color="auto"/>
      </w:divBdr>
    </w:div>
    <w:div w:id="419369959">
      <w:bodyDiv w:val="1"/>
      <w:marLeft w:val="0"/>
      <w:marRight w:val="0"/>
      <w:marTop w:val="0"/>
      <w:marBottom w:val="0"/>
      <w:divBdr>
        <w:top w:val="none" w:sz="0" w:space="0" w:color="auto"/>
        <w:left w:val="none" w:sz="0" w:space="0" w:color="auto"/>
        <w:bottom w:val="none" w:sz="0" w:space="0" w:color="auto"/>
        <w:right w:val="none" w:sz="0" w:space="0" w:color="auto"/>
      </w:divBdr>
    </w:div>
    <w:div w:id="420832515">
      <w:bodyDiv w:val="1"/>
      <w:marLeft w:val="0"/>
      <w:marRight w:val="0"/>
      <w:marTop w:val="0"/>
      <w:marBottom w:val="0"/>
      <w:divBdr>
        <w:top w:val="none" w:sz="0" w:space="0" w:color="auto"/>
        <w:left w:val="none" w:sz="0" w:space="0" w:color="auto"/>
        <w:bottom w:val="none" w:sz="0" w:space="0" w:color="auto"/>
        <w:right w:val="none" w:sz="0" w:space="0" w:color="auto"/>
      </w:divBdr>
    </w:div>
    <w:div w:id="432701012">
      <w:bodyDiv w:val="1"/>
      <w:marLeft w:val="0"/>
      <w:marRight w:val="0"/>
      <w:marTop w:val="0"/>
      <w:marBottom w:val="0"/>
      <w:divBdr>
        <w:top w:val="none" w:sz="0" w:space="0" w:color="auto"/>
        <w:left w:val="none" w:sz="0" w:space="0" w:color="auto"/>
        <w:bottom w:val="none" w:sz="0" w:space="0" w:color="auto"/>
        <w:right w:val="none" w:sz="0" w:space="0" w:color="auto"/>
      </w:divBdr>
    </w:div>
    <w:div w:id="436829363">
      <w:bodyDiv w:val="1"/>
      <w:marLeft w:val="0"/>
      <w:marRight w:val="0"/>
      <w:marTop w:val="0"/>
      <w:marBottom w:val="0"/>
      <w:divBdr>
        <w:top w:val="none" w:sz="0" w:space="0" w:color="auto"/>
        <w:left w:val="none" w:sz="0" w:space="0" w:color="auto"/>
        <w:bottom w:val="none" w:sz="0" w:space="0" w:color="auto"/>
        <w:right w:val="none" w:sz="0" w:space="0" w:color="auto"/>
      </w:divBdr>
    </w:div>
    <w:div w:id="437800971">
      <w:bodyDiv w:val="1"/>
      <w:marLeft w:val="0"/>
      <w:marRight w:val="0"/>
      <w:marTop w:val="0"/>
      <w:marBottom w:val="0"/>
      <w:divBdr>
        <w:top w:val="none" w:sz="0" w:space="0" w:color="auto"/>
        <w:left w:val="none" w:sz="0" w:space="0" w:color="auto"/>
        <w:bottom w:val="none" w:sz="0" w:space="0" w:color="auto"/>
        <w:right w:val="none" w:sz="0" w:space="0" w:color="auto"/>
      </w:divBdr>
    </w:div>
    <w:div w:id="444664417">
      <w:bodyDiv w:val="1"/>
      <w:marLeft w:val="0"/>
      <w:marRight w:val="0"/>
      <w:marTop w:val="0"/>
      <w:marBottom w:val="0"/>
      <w:divBdr>
        <w:top w:val="none" w:sz="0" w:space="0" w:color="auto"/>
        <w:left w:val="none" w:sz="0" w:space="0" w:color="auto"/>
        <w:bottom w:val="none" w:sz="0" w:space="0" w:color="auto"/>
        <w:right w:val="none" w:sz="0" w:space="0" w:color="auto"/>
      </w:divBdr>
    </w:div>
    <w:div w:id="449519577">
      <w:bodyDiv w:val="1"/>
      <w:marLeft w:val="0"/>
      <w:marRight w:val="0"/>
      <w:marTop w:val="0"/>
      <w:marBottom w:val="0"/>
      <w:divBdr>
        <w:top w:val="none" w:sz="0" w:space="0" w:color="auto"/>
        <w:left w:val="none" w:sz="0" w:space="0" w:color="auto"/>
        <w:bottom w:val="none" w:sz="0" w:space="0" w:color="auto"/>
        <w:right w:val="none" w:sz="0" w:space="0" w:color="auto"/>
      </w:divBdr>
    </w:div>
    <w:div w:id="450981011">
      <w:bodyDiv w:val="1"/>
      <w:marLeft w:val="0"/>
      <w:marRight w:val="0"/>
      <w:marTop w:val="0"/>
      <w:marBottom w:val="0"/>
      <w:divBdr>
        <w:top w:val="none" w:sz="0" w:space="0" w:color="auto"/>
        <w:left w:val="none" w:sz="0" w:space="0" w:color="auto"/>
        <w:bottom w:val="none" w:sz="0" w:space="0" w:color="auto"/>
        <w:right w:val="none" w:sz="0" w:space="0" w:color="auto"/>
      </w:divBdr>
    </w:div>
    <w:div w:id="461310767">
      <w:bodyDiv w:val="1"/>
      <w:marLeft w:val="0"/>
      <w:marRight w:val="0"/>
      <w:marTop w:val="0"/>
      <w:marBottom w:val="0"/>
      <w:divBdr>
        <w:top w:val="none" w:sz="0" w:space="0" w:color="auto"/>
        <w:left w:val="none" w:sz="0" w:space="0" w:color="auto"/>
        <w:bottom w:val="none" w:sz="0" w:space="0" w:color="auto"/>
        <w:right w:val="none" w:sz="0" w:space="0" w:color="auto"/>
      </w:divBdr>
    </w:div>
    <w:div w:id="465516374">
      <w:bodyDiv w:val="1"/>
      <w:marLeft w:val="0"/>
      <w:marRight w:val="0"/>
      <w:marTop w:val="0"/>
      <w:marBottom w:val="0"/>
      <w:divBdr>
        <w:top w:val="none" w:sz="0" w:space="0" w:color="auto"/>
        <w:left w:val="none" w:sz="0" w:space="0" w:color="auto"/>
        <w:bottom w:val="none" w:sz="0" w:space="0" w:color="auto"/>
        <w:right w:val="none" w:sz="0" w:space="0" w:color="auto"/>
      </w:divBdr>
    </w:div>
    <w:div w:id="467746891">
      <w:bodyDiv w:val="1"/>
      <w:marLeft w:val="0"/>
      <w:marRight w:val="0"/>
      <w:marTop w:val="0"/>
      <w:marBottom w:val="0"/>
      <w:divBdr>
        <w:top w:val="none" w:sz="0" w:space="0" w:color="auto"/>
        <w:left w:val="none" w:sz="0" w:space="0" w:color="auto"/>
        <w:bottom w:val="none" w:sz="0" w:space="0" w:color="auto"/>
        <w:right w:val="none" w:sz="0" w:space="0" w:color="auto"/>
      </w:divBdr>
    </w:div>
    <w:div w:id="477652757">
      <w:bodyDiv w:val="1"/>
      <w:marLeft w:val="0"/>
      <w:marRight w:val="0"/>
      <w:marTop w:val="0"/>
      <w:marBottom w:val="0"/>
      <w:divBdr>
        <w:top w:val="none" w:sz="0" w:space="0" w:color="auto"/>
        <w:left w:val="none" w:sz="0" w:space="0" w:color="auto"/>
        <w:bottom w:val="none" w:sz="0" w:space="0" w:color="auto"/>
        <w:right w:val="none" w:sz="0" w:space="0" w:color="auto"/>
      </w:divBdr>
    </w:div>
    <w:div w:id="483468683">
      <w:bodyDiv w:val="1"/>
      <w:marLeft w:val="0"/>
      <w:marRight w:val="0"/>
      <w:marTop w:val="0"/>
      <w:marBottom w:val="0"/>
      <w:divBdr>
        <w:top w:val="none" w:sz="0" w:space="0" w:color="auto"/>
        <w:left w:val="none" w:sz="0" w:space="0" w:color="auto"/>
        <w:bottom w:val="none" w:sz="0" w:space="0" w:color="auto"/>
        <w:right w:val="none" w:sz="0" w:space="0" w:color="auto"/>
      </w:divBdr>
    </w:div>
    <w:div w:id="485826447">
      <w:bodyDiv w:val="1"/>
      <w:marLeft w:val="0"/>
      <w:marRight w:val="0"/>
      <w:marTop w:val="0"/>
      <w:marBottom w:val="0"/>
      <w:divBdr>
        <w:top w:val="none" w:sz="0" w:space="0" w:color="auto"/>
        <w:left w:val="none" w:sz="0" w:space="0" w:color="auto"/>
        <w:bottom w:val="none" w:sz="0" w:space="0" w:color="auto"/>
        <w:right w:val="none" w:sz="0" w:space="0" w:color="auto"/>
      </w:divBdr>
    </w:div>
    <w:div w:id="519389703">
      <w:bodyDiv w:val="1"/>
      <w:marLeft w:val="0"/>
      <w:marRight w:val="0"/>
      <w:marTop w:val="0"/>
      <w:marBottom w:val="0"/>
      <w:divBdr>
        <w:top w:val="none" w:sz="0" w:space="0" w:color="auto"/>
        <w:left w:val="none" w:sz="0" w:space="0" w:color="auto"/>
        <w:bottom w:val="none" w:sz="0" w:space="0" w:color="auto"/>
        <w:right w:val="none" w:sz="0" w:space="0" w:color="auto"/>
      </w:divBdr>
    </w:div>
    <w:div w:id="523790185">
      <w:bodyDiv w:val="1"/>
      <w:marLeft w:val="0"/>
      <w:marRight w:val="0"/>
      <w:marTop w:val="0"/>
      <w:marBottom w:val="0"/>
      <w:divBdr>
        <w:top w:val="none" w:sz="0" w:space="0" w:color="auto"/>
        <w:left w:val="none" w:sz="0" w:space="0" w:color="auto"/>
        <w:bottom w:val="none" w:sz="0" w:space="0" w:color="auto"/>
        <w:right w:val="none" w:sz="0" w:space="0" w:color="auto"/>
      </w:divBdr>
    </w:div>
    <w:div w:id="525218531">
      <w:bodyDiv w:val="1"/>
      <w:marLeft w:val="0"/>
      <w:marRight w:val="0"/>
      <w:marTop w:val="0"/>
      <w:marBottom w:val="0"/>
      <w:divBdr>
        <w:top w:val="none" w:sz="0" w:space="0" w:color="auto"/>
        <w:left w:val="none" w:sz="0" w:space="0" w:color="auto"/>
        <w:bottom w:val="none" w:sz="0" w:space="0" w:color="auto"/>
        <w:right w:val="none" w:sz="0" w:space="0" w:color="auto"/>
      </w:divBdr>
    </w:div>
    <w:div w:id="530995910">
      <w:bodyDiv w:val="1"/>
      <w:marLeft w:val="0"/>
      <w:marRight w:val="0"/>
      <w:marTop w:val="0"/>
      <w:marBottom w:val="0"/>
      <w:divBdr>
        <w:top w:val="none" w:sz="0" w:space="0" w:color="auto"/>
        <w:left w:val="none" w:sz="0" w:space="0" w:color="auto"/>
        <w:bottom w:val="none" w:sz="0" w:space="0" w:color="auto"/>
        <w:right w:val="none" w:sz="0" w:space="0" w:color="auto"/>
      </w:divBdr>
    </w:div>
    <w:div w:id="538588566">
      <w:bodyDiv w:val="1"/>
      <w:marLeft w:val="0"/>
      <w:marRight w:val="0"/>
      <w:marTop w:val="0"/>
      <w:marBottom w:val="0"/>
      <w:divBdr>
        <w:top w:val="none" w:sz="0" w:space="0" w:color="auto"/>
        <w:left w:val="none" w:sz="0" w:space="0" w:color="auto"/>
        <w:bottom w:val="none" w:sz="0" w:space="0" w:color="auto"/>
        <w:right w:val="none" w:sz="0" w:space="0" w:color="auto"/>
      </w:divBdr>
    </w:div>
    <w:div w:id="557520239">
      <w:bodyDiv w:val="1"/>
      <w:marLeft w:val="0"/>
      <w:marRight w:val="0"/>
      <w:marTop w:val="0"/>
      <w:marBottom w:val="0"/>
      <w:divBdr>
        <w:top w:val="none" w:sz="0" w:space="0" w:color="auto"/>
        <w:left w:val="none" w:sz="0" w:space="0" w:color="auto"/>
        <w:bottom w:val="none" w:sz="0" w:space="0" w:color="auto"/>
        <w:right w:val="none" w:sz="0" w:space="0" w:color="auto"/>
      </w:divBdr>
    </w:div>
    <w:div w:id="559944660">
      <w:bodyDiv w:val="1"/>
      <w:marLeft w:val="0"/>
      <w:marRight w:val="0"/>
      <w:marTop w:val="0"/>
      <w:marBottom w:val="0"/>
      <w:divBdr>
        <w:top w:val="none" w:sz="0" w:space="0" w:color="auto"/>
        <w:left w:val="none" w:sz="0" w:space="0" w:color="auto"/>
        <w:bottom w:val="none" w:sz="0" w:space="0" w:color="auto"/>
        <w:right w:val="none" w:sz="0" w:space="0" w:color="auto"/>
      </w:divBdr>
    </w:div>
    <w:div w:id="563834867">
      <w:bodyDiv w:val="1"/>
      <w:marLeft w:val="0"/>
      <w:marRight w:val="0"/>
      <w:marTop w:val="0"/>
      <w:marBottom w:val="0"/>
      <w:divBdr>
        <w:top w:val="none" w:sz="0" w:space="0" w:color="auto"/>
        <w:left w:val="none" w:sz="0" w:space="0" w:color="auto"/>
        <w:bottom w:val="none" w:sz="0" w:space="0" w:color="auto"/>
        <w:right w:val="none" w:sz="0" w:space="0" w:color="auto"/>
      </w:divBdr>
    </w:div>
    <w:div w:id="574899974">
      <w:bodyDiv w:val="1"/>
      <w:marLeft w:val="0"/>
      <w:marRight w:val="0"/>
      <w:marTop w:val="0"/>
      <w:marBottom w:val="0"/>
      <w:divBdr>
        <w:top w:val="none" w:sz="0" w:space="0" w:color="auto"/>
        <w:left w:val="none" w:sz="0" w:space="0" w:color="auto"/>
        <w:bottom w:val="none" w:sz="0" w:space="0" w:color="auto"/>
        <w:right w:val="none" w:sz="0" w:space="0" w:color="auto"/>
      </w:divBdr>
    </w:div>
    <w:div w:id="581640233">
      <w:bodyDiv w:val="1"/>
      <w:marLeft w:val="0"/>
      <w:marRight w:val="0"/>
      <w:marTop w:val="0"/>
      <w:marBottom w:val="0"/>
      <w:divBdr>
        <w:top w:val="none" w:sz="0" w:space="0" w:color="auto"/>
        <w:left w:val="none" w:sz="0" w:space="0" w:color="auto"/>
        <w:bottom w:val="none" w:sz="0" w:space="0" w:color="auto"/>
        <w:right w:val="none" w:sz="0" w:space="0" w:color="auto"/>
      </w:divBdr>
    </w:div>
    <w:div w:id="624047158">
      <w:bodyDiv w:val="1"/>
      <w:marLeft w:val="0"/>
      <w:marRight w:val="0"/>
      <w:marTop w:val="0"/>
      <w:marBottom w:val="0"/>
      <w:divBdr>
        <w:top w:val="none" w:sz="0" w:space="0" w:color="auto"/>
        <w:left w:val="none" w:sz="0" w:space="0" w:color="auto"/>
        <w:bottom w:val="none" w:sz="0" w:space="0" w:color="auto"/>
        <w:right w:val="none" w:sz="0" w:space="0" w:color="auto"/>
      </w:divBdr>
    </w:div>
    <w:div w:id="632367360">
      <w:bodyDiv w:val="1"/>
      <w:marLeft w:val="0"/>
      <w:marRight w:val="0"/>
      <w:marTop w:val="0"/>
      <w:marBottom w:val="0"/>
      <w:divBdr>
        <w:top w:val="none" w:sz="0" w:space="0" w:color="auto"/>
        <w:left w:val="none" w:sz="0" w:space="0" w:color="auto"/>
        <w:bottom w:val="none" w:sz="0" w:space="0" w:color="auto"/>
        <w:right w:val="none" w:sz="0" w:space="0" w:color="auto"/>
      </w:divBdr>
    </w:div>
    <w:div w:id="634414213">
      <w:bodyDiv w:val="1"/>
      <w:marLeft w:val="0"/>
      <w:marRight w:val="0"/>
      <w:marTop w:val="0"/>
      <w:marBottom w:val="0"/>
      <w:divBdr>
        <w:top w:val="none" w:sz="0" w:space="0" w:color="auto"/>
        <w:left w:val="none" w:sz="0" w:space="0" w:color="auto"/>
        <w:bottom w:val="none" w:sz="0" w:space="0" w:color="auto"/>
        <w:right w:val="none" w:sz="0" w:space="0" w:color="auto"/>
      </w:divBdr>
    </w:div>
    <w:div w:id="643240369">
      <w:bodyDiv w:val="1"/>
      <w:marLeft w:val="0"/>
      <w:marRight w:val="0"/>
      <w:marTop w:val="0"/>
      <w:marBottom w:val="0"/>
      <w:divBdr>
        <w:top w:val="none" w:sz="0" w:space="0" w:color="auto"/>
        <w:left w:val="none" w:sz="0" w:space="0" w:color="auto"/>
        <w:bottom w:val="none" w:sz="0" w:space="0" w:color="auto"/>
        <w:right w:val="none" w:sz="0" w:space="0" w:color="auto"/>
      </w:divBdr>
    </w:div>
    <w:div w:id="645623121">
      <w:bodyDiv w:val="1"/>
      <w:marLeft w:val="0"/>
      <w:marRight w:val="0"/>
      <w:marTop w:val="0"/>
      <w:marBottom w:val="0"/>
      <w:divBdr>
        <w:top w:val="none" w:sz="0" w:space="0" w:color="auto"/>
        <w:left w:val="none" w:sz="0" w:space="0" w:color="auto"/>
        <w:bottom w:val="none" w:sz="0" w:space="0" w:color="auto"/>
        <w:right w:val="none" w:sz="0" w:space="0" w:color="auto"/>
      </w:divBdr>
    </w:div>
    <w:div w:id="649864378">
      <w:bodyDiv w:val="1"/>
      <w:marLeft w:val="0"/>
      <w:marRight w:val="0"/>
      <w:marTop w:val="0"/>
      <w:marBottom w:val="0"/>
      <w:divBdr>
        <w:top w:val="none" w:sz="0" w:space="0" w:color="auto"/>
        <w:left w:val="none" w:sz="0" w:space="0" w:color="auto"/>
        <w:bottom w:val="none" w:sz="0" w:space="0" w:color="auto"/>
        <w:right w:val="none" w:sz="0" w:space="0" w:color="auto"/>
      </w:divBdr>
    </w:div>
    <w:div w:id="652679027">
      <w:bodyDiv w:val="1"/>
      <w:marLeft w:val="0"/>
      <w:marRight w:val="0"/>
      <w:marTop w:val="0"/>
      <w:marBottom w:val="0"/>
      <w:divBdr>
        <w:top w:val="none" w:sz="0" w:space="0" w:color="auto"/>
        <w:left w:val="none" w:sz="0" w:space="0" w:color="auto"/>
        <w:bottom w:val="none" w:sz="0" w:space="0" w:color="auto"/>
        <w:right w:val="none" w:sz="0" w:space="0" w:color="auto"/>
      </w:divBdr>
      <w:divsChild>
        <w:div w:id="967735549">
          <w:marLeft w:val="0"/>
          <w:marRight w:val="0"/>
          <w:marTop w:val="0"/>
          <w:marBottom w:val="0"/>
          <w:divBdr>
            <w:top w:val="none" w:sz="0" w:space="0" w:color="auto"/>
            <w:left w:val="none" w:sz="0" w:space="0" w:color="auto"/>
            <w:bottom w:val="none" w:sz="0" w:space="0" w:color="auto"/>
            <w:right w:val="none" w:sz="0" w:space="0" w:color="auto"/>
          </w:divBdr>
          <w:divsChild>
            <w:div w:id="1851947999">
              <w:marLeft w:val="0"/>
              <w:marRight w:val="0"/>
              <w:marTop w:val="0"/>
              <w:marBottom w:val="0"/>
              <w:divBdr>
                <w:top w:val="none" w:sz="0" w:space="0" w:color="auto"/>
                <w:left w:val="none" w:sz="0" w:space="0" w:color="auto"/>
                <w:bottom w:val="none" w:sz="0" w:space="0" w:color="auto"/>
                <w:right w:val="none" w:sz="0" w:space="0" w:color="auto"/>
              </w:divBdr>
              <w:divsChild>
                <w:div w:id="415781686">
                  <w:marLeft w:val="0"/>
                  <w:marRight w:val="0"/>
                  <w:marTop w:val="0"/>
                  <w:marBottom w:val="0"/>
                  <w:divBdr>
                    <w:top w:val="none" w:sz="0" w:space="0" w:color="auto"/>
                    <w:left w:val="none" w:sz="0" w:space="0" w:color="auto"/>
                    <w:bottom w:val="none" w:sz="0" w:space="0" w:color="auto"/>
                    <w:right w:val="none" w:sz="0" w:space="0" w:color="auto"/>
                  </w:divBdr>
                  <w:divsChild>
                    <w:div w:id="378284159">
                      <w:marLeft w:val="0"/>
                      <w:marRight w:val="0"/>
                      <w:marTop w:val="0"/>
                      <w:marBottom w:val="0"/>
                      <w:divBdr>
                        <w:top w:val="none" w:sz="0" w:space="0" w:color="auto"/>
                        <w:left w:val="none" w:sz="0" w:space="0" w:color="auto"/>
                        <w:bottom w:val="none" w:sz="0" w:space="0" w:color="auto"/>
                        <w:right w:val="none" w:sz="0" w:space="0" w:color="auto"/>
                      </w:divBdr>
                      <w:divsChild>
                        <w:div w:id="1186090167">
                          <w:marLeft w:val="0"/>
                          <w:marRight w:val="0"/>
                          <w:marTop w:val="0"/>
                          <w:marBottom w:val="0"/>
                          <w:divBdr>
                            <w:top w:val="none" w:sz="0" w:space="0" w:color="auto"/>
                            <w:left w:val="none" w:sz="0" w:space="0" w:color="auto"/>
                            <w:bottom w:val="none" w:sz="0" w:space="0" w:color="auto"/>
                            <w:right w:val="none" w:sz="0" w:space="0" w:color="auto"/>
                          </w:divBdr>
                          <w:divsChild>
                            <w:div w:id="1190024713">
                              <w:marLeft w:val="0"/>
                              <w:marRight w:val="0"/>
                              <w:marTop w:val="0"/>
                              <w:marBottom w:val="0"/>
                              <w:divBdr>
                                <w:top w:val="none" w:sz="0" w:space="0" w:color="auto"/>
                                <w:left w:val="none" w:sz="0" w:space="0" w:color="auto"/>
                                <w:bottom w:val="none" w:sz="0" w:space="0" w:color="auto"/>
                                <w:right w:val="none" w:sz="0" w:space="0" w:color="auto"/>
                              </w:divBdr>
                              <w:divsChild>
                                <w:div w:id="36198648">
                                  <w:marLeft w:val="0"/>
                                  <w:marRight w:val="0"/>
                                  <w:marTop w:val="0"/>
                                  <w:marBottom w:val="0"/>
                                  <w:divBdr>
                                    <w:top w:val="none" w:sz="0" w:space="0" w:color="auto"/>
                                    <w:left w:val="none" w:sz="0" w:space="0" w:color="auto"/>
                                    <w:bottom w:val="none" w:sz="0" w:space="0" w:color="auto"/>
                                    <w:right w:val="none" w:sz="0" w:space="0" w:color="auto"/>
                                  </w:divBdr>
                                  <w:divsChild>
                                    <w:div w:id="67719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371947">
      <w:bodyDiv w:val="1"/>
      <w:marLeft w:val="0"/>
      <w:marRight w:val="0"/>
      <w:marTop w:val="0"/>
      <w:marBottom w:val="0"/>
      <w:divBdr>
        <w:top w:val="none" w:sz="0" w:space="0" w:color="auto"/>
        <w:left w:val="none" w:sz="0" w:space="0" w:color="auto"/>
        <w:bottom w:val="none" w:sz="0" w:space="0" w:color="auto"/>
        <w:right w:val="none" w:sz="0" w:space="0" w:color="auto"/>
      </w:divBdr>
    </w:div>
    <w:div w:id="670722253">
      <w:bodyDiv w:val="1"/>
      <w:marLeft w:val="0"/>
      <w:marRight w:val="0"/>
      <w:marTop w:val="0"/>
      <w:marBottom w:val="0"/>
      <w:divBdr>
        <w:top w:val="none" w:sz="0" w:space="0" w:color="auto"/>
        <w:left w:val="none" w:sz="0" w:space="0" w:color="auto"/>
        <w:bottom w:val="none" w:sz="0" w:space="0" w:color="auto"/>
        <w:right w:val="none" w:sz="0" w:space="0" w:color="auto"/>
      </w:divBdr>
    </w:div>
    <w:div w:id="690839674">
      <w:bodyDiv w:val="1"/>
      <w:marLeft w:val="0"/>
      <w:marRight w:val="0"/>
      <w:marTop w:val="0"/>
      <w:marBottom w:val="0"/>
      <w:divBdr>
        <w:top w:val="none" w:sz="0" w:space="0" w:color="auto"/>
        <w:left w:val="none" w:sz="0" w:space="0" w:color="auto"/>
        <w:bottom w:val="none" w:sz="0" w:space="0" w:color="auto"/>
        <w:right w:val="none" w:sz="0" w:space="0" w:color="auto"/>
      </w:divBdr>
    </w:div>
    <w:div w:id="697197054">
      <w:bodyDiv w:val="1"/>
      <w:marLeft w:val="0"/>
      <w:marRight w:val="0"/>
      <w:marTop w:val="0"/>
      <w:marBottom w:val="0"/>
      <w:divBdr>
        <w:top w:val="none" w:sz="0" w:space="0" w:color="auto"/>
        <w:left w:val="none" w:sz="0" w:space="0" w:color="auto"/>
        <w:bottom w:val="none" w:sz="0" w:space="0" w:color="auto"/>
        <w:right w:val="none" w:sz="0" w:space="0" w:color="auto"/>
      </w:divBdr>
    </w:div>
    <w:div w:id="703940398">
      <w:bodyDiv w:val="1"/>
      <w:marLeft w:val="0"/>
      <w:marRight w:val="0"/>
      <w:marTop w:val="0"/>
      <w:marBottom w:val="0"/>
      <w:divBdr>
        <w:top w:val="none" w:sz="0" w:space="0" w:color="auto"/>
        <w:left w:val="none" w:sz="0" w:space="0" w:color="auto"/>
        <w:bottom w:val="none" w:sz="0" w:space="0" w:color="auto"/>
        <w:right w:val="none" w:sz="0" w:space="0" w:color="auto"/>
      </w:divBdr>
    </w:div>
    <w:div w:id="712928628">
      <w:bodyDiv w:val="1"/>
      <w:marLeft w:val="0"/>
      <w:marRight w:val="0"/>
      <w:marTop w:val="0"/>
      <w:marBottom w:val="0"/>
      <w:divBdr>
        <w:top w:val="none" w:sz="0" w:space="0" w:color="auto"/>
        <w:left w:val="none" w:sz="0" w:space="0" w:color="auto"/>
        <w:bottom w:val="none" w:sz="0" w:space="0" w:color="auto"/>
        <w:right w:val="none" w:sz="0" w:space="0" w:color="auto"/>
      </w:divBdr>
    </w:div>
    <w:div w:id="714234997">
      <w:bodyDiv w:val="1"/>
      <w:marLeft w:val="0"/>
      <w:marRight w:val="0"/>
      <w:marTop w:val="0"/>
      <w:marBottom w:val="0"/>
      <w:divBdr>
        <w:top w:val="none" w:sz="0" w:space="0" w:color="auto"/>
        <w:left w:val="none" w:sz="0" w:space="0" w:color="auto"/>
        <w:bottom w:val="none" w:sz="0" w:space="0" w:color="auto"/>
        <w:right w:val="none" w:sz="0" w:space="0" w:color="auto"/>
      </w:divBdr>
    </w:div>
    <w:div w:id="727845091">
      <w:bodyDiv w:val="1"/>
      <w:marLeft w:val="0"/>
      <w:marRight w:val="0"/>
      <w:marTop w:val="0"/>
      <w:marBottom w:val="0"/>
      <w:divBdr>
        <w:top w:val="none" w:sz="0" w:space="0" w:color="auto"/>
        <w:left w:val="none" w:sz="0" w:space="0" w:color="auto"/>
        <w:bottom w:val="none" w:sz="0" w:space="0" w:color="auto"/>
        <w:right w:val="none" w:sz="0" w:space="0" w:color="auto"/>
      </w:divBdr>
    </w:div>
    <w:div w:id="731080340">
      <w:bodyDiv w:val="1"/>
      <w:marLeft w:val="0"/>
      <w:marRight w:val="0"/>
      <w:marTop w:val="0"/>
      <w:marBottom w:val="0"/>
      <w:divBdr>
        <w:top w:val="none" w:sz="0" w:space="0" w:color="auto"/>
        <w:left w:val="none" w:sz="0" w:space="0" w:color="auto"/>
        <w:bottom w:val="none" w:sz="0" w:space="0" w:color="auto"/>
        <w:right w:val="none" w:sz="0" w:space="0" w:color="auto"/>
      </w:divBdr>
    </w:div>
    <w:div w:id="731122073">
      <w:bodyDiv w:val="1"/>
      <w:marLeft w:val="0"/>
      <w:marRight w:val="0"/>
      <w:marTop w:val="0"/>
      <w:marBottom w:val="0"/>
      <w:divBdr>
        <w:top w:val="none" w:sz="0" w:space="0" w:color="auto"/>
        <w:left w:val="none" w:sz="0" w:space="0" w:color="auto"/>
        <w:bottom w:val="none" w:sz="0" w:space="0" w:color="auto"/>
        <w:right w:val="none" w:sz="0" w:space="0" w:color="auto"/>
      </w:divBdr>
    </w:div>
    <w:div w:id="738671165">
      <w:bodyDiv w:val="1"/>
      <w:marLeft w:val="0"/>
      <w:marRight w:val="0"/>
      <w:marTop w:val="0"/>
      <w:marBottom w:val="0"/>
      <w:divBdr>
        <w:top w:val="none" w:sz="0" w:space="0" w:color="auto"/>
        <w:left w:val="none" w:sz="0" w:space="0" w:color="auto"/>
        <w:bottom w:val="none" w:sz="0" w:space="0" w:color="auto"/>
        <w:right w:val="none" w:sz="0" w:space="0" w:color="auto"/>
      </w:divBdr>
    </w:div>
    <w:div w:id="738943187">
      <w:bodyDiv w:val="1"/>
      <w:marLeft w:val="0"/>
      <w:marRight w:val="0"/>
      <w:marTop w:val="0"/>
      <w:marBottom w:val="0"/>
      <w:divBdr>
        <w:top w:val="none" w:sz="0" w:space="0" w:color="auto"/>
        <w:left w:val="none" w:sz="0" w:space="0" w:color="auto"/>
        <w:bottom w:val="none" w:sz="0" w:space="0" w:color="auto"/>
        <w:right w:val="none" w:sz="0" w:space="0" w:color="auto"/>
      </w:divBdr>
    </w:div>
    <w:div w:id="742262712">
      <w:bodyDiv w:val="1"/>
      <w:marLeft w:val="0"/>
      <w:marRight w:val="0"/>
      <w:marTop w:val="0"/>
      <w:marBottom w:val="0"/>
      <w:divBdr>
        <w:top w:val="none" w:sz="0" w:space="0" w:color="auto"/>
        <w:left w:val="none" w:sz="0" w:space="0" w:color="auto"/>
        <w:bottom w:val="none" w:sz="0" w:space="0" w:color="auto"/>
        <w:right w:val="none" w:sz="0" w:space="0" w:color="auto"/>
      </w:divBdr>
    </w:div>
    <w:div w:id="743339500">
      <w:bodyDiv w:val="1"/>
      <w:marLeft w:val="0"/>
      <w:marRight w:val="0"/>
      <w:marTop w:val="0"/>
      <w:marBottom w:val="0"/>
      <w:divBdr>
        <w:top w:val="none" w:sz="0" w:space="0" w:color="auto"/>
        <w:left w:val="none" w:sz="0" w:space="0" w:color="auto"/>
        <w:bottom w:val="none" w:sz="0" w:space="0" w:color="auto"/>
        <w:right w:val="none" w:sz="0" w:space="0" w:color="auto"/>
      </w:divBdr>
    </w:div>
    <w:div w:id="755127419">
      <w:bodyDiv w:val="1"/>
      <w:marLeft w:val="0"/>
      <w:marRight w:val="0"/>
      <w:marTop w:val="0"/>
      <w:marBottom w:val="0"/>
      <w:divBdr>
        <w:top w:val="none" w:sz="0" w:space="0" w:color="auto"/>
        <w:left w:val="none" w:sz="0" w:space="0" w:color="auto"/>
        <w:bottom w:val="none" w:sz="0" w:space="0" w:color="auto"/>
        <w:right w:val="none" w:sz="0" w:space="0" w:color="auto"/>
      </w:divBdr>
    </w:div>
    <w:div w:id="756098250">
      <w:bodyDiv w:val="1"/>
      <w:marLeft w:val="0"/>
      <w:marRight w:val="0"/>
      <w:marTop w:val="0"/>
      <w:marBottom w:val="0"/>
      <w:divBdr>
        <w:top w:val="none" w:sz="0" w:space="0" w:color="auto"/>
        <w:left w:val="none" w:sz="0" w:space="0" w:color="auto"/>
        <w:bottom w:val="none" w:sz="0" w:space="0" w:color="auto"/>
        <w:right w:val="none" w:sz="0" w:space="0" w:color="auto"/>
      </w:divBdr>
    </w:div>
    <w:div w:id="756636321">
      <w:bodyDiv w:val="1"/>
      <w:marLeft w:val="0"/>
      <w:marRight w:val="0"/>
      <w:marTop w:val="0"/>
      <w:marBottom w:val="0"/>
      <w:divBdr>
        <w:top w:val="none" w:sz="0" w:space="0" w:color="auto"/>
        <w:left w:val="none" w:sz="0" w:space="0" w:color="auto"/>
        <w:bottom w:val="none" w:sz="0" w:space="0" w:color="auto"/>
        <w:right w:val="none" w:sz="0" w:space="0" w:color="auto"/>
      </w:divBdr>
    </w:div>
    <w:div w:id="759378295">
      <w:bodyDiv w:val="1"/>
      <w:marLeft w:val="0"/>
      <w:marRight w:val="0"/>
      <w:marTop w:val="0"/>
      <w:marBottom w:val="0"/>
      <w:divBdr>
        <w:top w:val="none" w:sz="0" w:space="0" w:color="auto"/>
        <w:left w:val="none" w:sz="0" w:space="0" w:color="auto"/>
        <w:bottom w:val="none" w:sz="0" w:space="0" w:color="auto"/>
        <w:right w:val="none" w:sz="0" w:space="0" w:color="auto"/>
      </w:divBdr>
    </w:div>
    <w:div w:id="763108345">
      <w:bodyDiv w:val="1"/>
      <w:marLeft w:val="0"/>
      <w:marRight w:val="0"/>
      <w:marTop w:val="0"/>
      <w:marBottom w:val="0"/>
      <w:divBdr>
        <w:top w:val="none" w:sz="0" w:space="0" w:color="auto"/>
        <w:left w:val="none" w:sz="0" w:space="0" w:color="auto"/>
        <w:bottom w:val="none" w:sz="0" w:space="0" w:color="auto"/>
        <w:right w:val="none" w:sz="0" w:space="0" w:color="auto"/>
      </w:divBdr>
    </w:div>
    <w:div w:id="769929384">
      <w:bodyDiv w:val="1"/>
      <w:marLeft w:val="0"/>
      <w:marRight w:val="0"/>
      <w:marTop w:val="0"/>
      <w:marBottom w:val="0"/>
      <w:divBdr>
        <w:top w:val="none" w:sz="0" w:space="0" w:color="auto"/>
        <w:left w:val="none" w:sz="0" w:space="0" w:color="auto"/>
        <w:bottom w:val="none" w:sz="0" w:space="0" w:color="auto"/>
        <w:right w:val="none" w:sz="0" w:space="0" w:color="auto"/>
      </w:divBdr>
    </w:div>
    <w:div w:id="770054582">
      <w:bodyDiv w:val="1"/>
      <w:marLeft w:val="0"/>
      <w:marRight w:val="0"/>
      <w:marTop w:val="0"/>
      <w:marBottom w:val="0"/>
      <w:divBdr>
        <w:top w:val="none" w:sz="0" w:space="0" w:color="auto"/>
        <w:left w:val="none" w:sz="0" w:space="0" w:color="auto"/>
        <w:bottom w:val="none" w:sz="0" w:space="0" w:color="auto"/>
        <w:right w:val="none" w:sz="0" w:space="0" w:color="auto"/>
      </w:divBdr>
    </w:div>
    <w:div w:id="771586460">
      <w:bodyDiv w:val="1"/>
      <w:marLeft w:val="0"/>
      <w:marRight w:val="0"/>
      <w:marTop w:val="0"/>
      <w:marBottom w:val="0"/>
      <w:divBdr>
        <w:top w:val="none" w:sz="0" w:space="0" w:color="auto"/>
        <w:left w:val="none" w:sz="0" w:space="0" w:color="auto"/>
        <w:bottom w:val="none" w:sz="0" w:space="0" w:color="auto"/>
        <w:right w:val="none" w:sz="0" w:space="0" w:color="auto"/>
      </w:divBdr>
    </w:div>
    <w:div w:id="775516695">
      <w:bodyDiv w:val="1"/>
      <w:marLeft w:val="0"/>
      <w:marRight w:val="0"/>
      <w:marTop w:val="0"/>
      <w:marBottom w:val="0"/>
      <w:divBdr>
        <w:top w:val="none" w:sz="0" w:space="0" w:color="auto"/>
        <w:left w:val="none" w:sz="0" w:space="0" w:color="auto"/>
        <w:bottom w:val="none" w:sz="0" w:space="0" w:color="auto"/>
        <w:right w:val="none" w:sz="0" w:space="0" w:color="auto"/>
      </w:divBdr>
    </w:div>
    <w:div w:id="776025523">
      <w:bodyDiv w:val="1"/>
      <w:marLeft w:val="0"/>
      <w:marRight w:val="0"/>
      <w:marTop w:val="0"/>
      <w:marBottom w:val="0"/>
      <w:divBdr>
        <w:top w:val="none" w:sz="0" w:space="0" w:color="auto"/>
        <w:left w:val="none" w:sz="0" w:space="0" w:color="auto"/>
        <w:bottom w:val="none" w:sz="0" w:space="0" w:color="auto"/>
        <w:right w:val="none" w:sz="0" w:space="0" w:color="auto"/>
      </w:divBdr>
    </w:div>
    <w:div w:id="786391496">
      <w:bodyDiv w:val="1"/>
      <w:marLeft w:val="0"/>
      <w:marRight w:val="0"/>
      <w:marTop w:val="0"/>
      <w:marBottom w:val="0"/>
      <w:divBdr>
        <w:top w:val="none" w:sz="0" w:space="0" w:color="auto"/>
        <w:left w:val="none" w:sz="0" w:space="0" w:color="auto"/>
        <w:bottom w:val="none" w:sz="0" w:space="0" w:color="auto"/>
        <w:right w:val="none" w:sz="0" w:space="0" w:color="auto"/>
      </w:divBdr>
    </w:div>
    <w:div w:id="787508563">
      <w:bodyDiv w:val="1"/>
      <w:marLeft w:val="0"/>
      <w:marRight w:val="0"/>
      <w:marTop w:val="0"/>
      <w:marBottom w:val="0"/>
      <w:divBdr>
        <w:top w:val="none" w:sz="0" w:space="0" w:color="auto"/>
        <w:left w:val="none" w:sz="0" w:space="0" w:color="auto"/>
        <w:bottom w:val="none" w:sz="0" w:space="0" w:color="auto"/>
        <w:right w:val="none" w:sz="0" w:space="0" w:color="auto"/>
      </w:divBdr>
    </w:div>
    <w:div w:id="792939169">
      <w:bodyDiv w:val="1"/>
      <w:marLeft w:val="0"/>
      <w:marRight w:val="0"/>
      <w:marTop w:val="0"/>
      <w:marBottom w:val="0"/>
      <w:divBdr>
        <w:top w:val="none" w:sz="0" w:space="0" w:color="auto"/>
        <w:left w:val="none" w:sz="0" w:space="0" w:color="auto"/>
        <w:bottom w:val="none" w:sz="0" w:space="0" w:color="auto"/>
        <w:right w:val="none" w:sz="0" w:space="0" w:color="auto"/>
      </w:divBdr>
    </w:div>
    <w:div w:id="797186702">
      <w:bodyDiv w:val="1"/>
      <w:marLeft w:val="0"/>
      <w:marRight w:val="0"/>
      <w:marTop w:val="0"/>
      <w:marBottom w:val="0"/>
      <w:divBdr>
        <w:top w:val="none" w:sz="0" w:space="0" w:color="auto"/>
        <w:left w:val="none" w:sz="0" w:space="0" w:color="auto"/>
        <w:bottom w:val="none" w:sz="0" w:space="0" w:color="auto"/>
        <w:right w:val="none" w:sz="0" w:space="0" w:color="auto"/>
      </w:divBdr>
    </w:div>
    <w:div w:id="800195317">
      <w:bodyDiv w:val="1"/>
      <w:marLeft w:val="0"/>
      <w:marRight w:val="0"/>
      <w:marTop w:val="0"/>
      <w:marBottom w:val="0"/>
      <w:divBdr>
        <w:top w:val="none" w:sz="0" w:space="0" w:color="auto"/>
        <w:left w:val="none" w:sz="0" w:space="0" w:color="auto"/>
        <w:bottom w:val="none" w:sz="0" w:space="0" w:color="auto"/>
        <w:right w:val="none" w:sz="0" w:space="0" w:color="auto"/>
      </w:divBdr>
    </w:div>
    <w:div w:id="806624555">
      <w:bodyDiv w:val="1"/>
      <w:marLeft w:val="0"/>
      <w:marRight w:val="0"/>
      <w:marTop w:val="0"/>
      <w:marBottom w:val="0"/>
      <w:divBdr>
        <w:top w:val="none" w:sz="0" w:space="0" w:color="auto"/>
        <w:left w:val="none" w:sz="0" w:space="0" w:color="auto"/>
        <w:bottom w:val="none" w:sz="0" w:space="0" w:color="auto"/>
        <w:right w:val="none" w:sz="0" w:space="0" w:color="auto"/>
      </w:divBdr>
    </w:div>
    <w:div w:id="812984374">
      <w:bodyDiv w:val="1"/>
      <w:marLeft w:val="0"/>
      <w:marRight w:val="0"/>
      <w:marTop w:val="0"/>
      <w:marBottom w:val="0"/>
      <w:divBdr>
        <w:top w:val="none" w:sz="0" w:space="0" w:color="auto"/>
        <w:left w:val="none" w:sz="0" w:space="0" w:color="auto"/>
        <w:bottom w:val="none" w:sz="0" w:space="0" w:color="auto"/>
        <w:right w:val="none" w:sz="0" w:space="0" w:color="auto"/>
      </w:divBdr>
    </w:div>
    <w:div w:id="836386266">
      <w:bodyDiv w:val="1"/>
      <w:marLeft w:val="0"/>
      <w:marRight w:val="0"/>
      <w:marTop w:val="0"/>
      <w:marBottom w:val="0"/>
      <w:divBdr>
        <w:top w:val="none" w:sz="0" w:space="0" w:color="auto"/>
        <w:left w:val="none" w:sz="0" w:space="0" w:color="auto"/>
        <w:bottom w:val="none" w:sz="0" w:space="0" w:color="auto"/>
        <w:right w:val="none" w:sz="0" w:space="0" w:color="auto"/>
      </w:divBdr>
    </w:div>
    <w:div w:id="839733132">
      <w:bodyDiv w:val="1"/>
      <w:marLeft w:val="0"/>
      <w:marRight w:val="0"/>
      <w:marTop w:val="0"/>
      <w:marBottom w:val="0"/>
      <w:divBdr>
        <w:top w:val="none" w:sz="0" w:space="0" w:color="auto"/>
        <w:left w:val="none" w:sz="0" w:space="0" w:color="auto"/>
        <w:bottom w:val="none" w:sz="0" w:space="0" w:color="auto"/>
        <w:right w:val="none" w:sz="0" w:space="0" w:color="auto"/>
      </w:divBdr>
    </w:div>
    <w:div w:id="842010094">
      <w:bodyDiv w:val="1"/>
      <w:marLeft w:val="0"/>
      <w:marRight w:val="0"/>
      <w:marTop w:val="0"/>
      <w:marBottom w:val="0"/>
      <w:divBdr>
        <w:top w:val="none" w:sz="0" w:space="0" w:color="auto"/>
        <w:left w:val="none" w:sz="0" w:space="0" w:color="auto"/>
        <w:bottom w:val="none" w:sz="0" w:space="0" w:color="auto"/>
        <w:right w:val="none" w:sz="0" w:space="0" w:color="auto"/>
      </w:divBdr>
      <w:divsChild>
        <w:div w:id="1489780745">
          <w:marLeft w:val="0"/>
          <w:marRight w:val="0"/>
          <w:marTop w:val="0"/>
          <w:marBottom w:val="0"/>
          <w:divBdr>
            <w:top w:val="none" w:sz="0" w:space="0" w:color="auto"/>
            <w:left w:val="none" w:sz="0" w:space="0" w:color="auto"/>
            <w:bottom w:val="none" w:sz="0" w:space="0" w:color="auto"/>
            <w:right w:val="none" w:sz="0" w:space="0" w:color="auto"/>
          </w:divBdr>
          <w:divsChild>
            <w:div w:id="775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90180">
      <w:bodyDiv w:val="1"/>
      <w:marLeft w:val="0"/>
      <w:marRight w:val="0"/>
      <w:marTop w:val="0"/>
      <w:marBottom w:val="0"/>
      <w:divBdr>
        <w:top w:val="none" w:sz="0" w:space="0" w:color="auto"/>
        <w:left w:val="none" w:sz="0" w:space="0" w:color="auto"/>
        <w:bottom w:val="none" w:sz="0" w:space="0" w:color="auto"/>
        <w:right w:val="none" w:sz="0" w:space="0" w:color="auto"/>
      </w:divBdr>
    </w:div>
    <w:div w:id="853224081">
      <w:bodyDiv w:val="1"/>
      <w:marLeft w:val="0"/>
      <w:marRight w:val="0"/>
      <w:marTop w:val="0"/>
      <w:marBottom w:val="0"/>
      <w:divBdr>
        <w:top w:val="none" w:sz="0" w:space="0" w:color="auto"/>
        <w:left w:val="none" w:sz="0" w:space="0" w:color="auto"/>
        <w:bottom w:val="none" w:sz="0" w:space="0" w:color="auto"/>
        <w:right w:val="none" w:sz="0" w:space="0" w:color="auto"/>
      </w:divBdr>
    </w:div>
    <w:div w:id="868177598">
      <w:bodyDiv w:val="1"/>
      <w:marLeft w:val="0"/>
      <w:marRight w:val="0"/>
      <w:marTop w:val="0"/>
      <w:marBottom w:val="0"/>
      <w:divBdr>
        <w:top w:val="none" w:sz="0" w:space="0" w:color="auto"/>
        <w:left w:val="none" w:sz="0" w:space="0" w:color="auto"/>
        <w:bottom w:val="none" w:sz="0" w:space="0" w:color="auto"/>
        <w:right w:val="none" w:sz="0" w:space="0" w:color="auto"/>
      </w:divBdr>
    </w:div>
    <w:div w:id="891231945">
      <w:bodyDiv w:val="1"/>
      <w:marLeft w:val="0"/>
      <w:marRight w:val="0"/>
      <w:marTop w:val="0"/>
      <w:marBottom w:val="0"/>
      <w:divBdr>
        <w:top w:val="none" w:sz="0" w:space="0" w:color="auto"/>
        <w:left w:val="none" w:sz="0" w:space="0" w:color="auto"/>
        <w:bottom w:val="none" w:sz="0" w:space="0" w:color="auto"/>
        <w:right w:val="none" w:sz="0" w:space="0" w:color="auto"/>
      </w:divBdr>
    </w:div>
    <w:div w:id="891891451">
      <w:bodyDiv w:val="1"/>
      <w:marLeft w:val="0"/>
      <w:marRight w:val="0"/>
      <w:marTop w:val="0"/>
      <w:marBottom w:val="0"/>
      <w:divBdr>
        <w:top w:val="none" w:sz="0" w:space="0" w:color="auto"/>
        <w:left w:val="none" w:sz="0" w:space="0" w:color="auto"/>
        <w:bottom w:val="none" w:sz="0" w:space="0" w:color="auto"/>
        <w:right w:val="none" w:sz="0" w:space="0" w:color="auto"/>
      </w:divBdr>
    </w:div>
    <w:div w:id="903684002">
      <w:bodyDiv w:val="1"/>
      <w:marLeft w:val="0"/>
      <w:marRight w:val="0"/>
      <w:marTop w:val="0"/>
      <w:marBottom w:val="0"/>
      <w:divBdr>
        <w:top w:val="none" w:sz="0" w:space="0" w:color="auto"/>
        <w:left w:val="none" w:sz="0" w:space="0" w:color="auto"/>
        <w:bottom w:val="none" w:sz="0" w:space="0" w:color="auto"/>
        <w:right w:val="none" w:sz="0" w:space="0" w:color="auto"/>
      </w:divBdr>
    </w:div>
    <w:div w:id="907154658">
      <w:bodyDiv w:val="1"/>
      <w:marLeft w:val="0"/>
      <w:marRight w:val="0"/>
      <w:marTop w:val="0"/>
      <w:marBottom w:val="0"/>
      <w:divBdr>
        <w:top w:val="none" w:sz="0" w:space="0" w:color="auto"/>
        <w:left w:val="none" w:sz="0" w:space="0" w:color="auto"/>
        <w:bottom w:val="none" w:sz="0" w:space="0" w:color="auto"/>
        <w:right w:val="none" w:sz="0" w:space="0" w:color="auto"/>
      </w:divBdr>
    </w:div>
    <w:div w:id="922685515">
      <w:bodyDiv w:val="1"/>
      <w:marLeft w:val="0"/>
      <w:marRight w:val="0"/>
      <w:marTop w:val="0"/>
      <w:marBottom w:val="0"/>
      <w:divBdr>
        <w:top w:val="none" w:sz="0" w:space="0" w:color="auto"/>
        <w:left w:val="none" w:sz="0" w:space="0" w:color="auto"/>
        <w:bottom w:val="none" w:sz="0" w:space="0" w:color="auto"/>
        <w:right w:val="none" w:sz="0" w:space="0" w:color="auto"/>
      </w:divBdr>
    </w:div>
    <w:div w:id="931815161">
      <w:bodyDiv w:val="1"/>
      <w:marLeft w:val="0"/>
      <w:marRight w:val="0"/>
      <w:marTop w:val="0"/>
      <w:marBottom w:val="0"/>
      <w:divBdr>
        <w:top w:val="none" w:sz="0" w:space="0" w:color="auto"/>
        <w:left w:val="none" w:sz="0" w:space="0" w:color="auto"/>
        <w:bottom w:val="none" w:sz="0" w:space="0" w:color="auto"/>
        <w:right w:val="none" w:sz="0" w:space="0" w:color="auto"/>
      </w:divBdr>
    </w:div>
    <w:div w:id="933248264">
      <w:bodyDiv w:val="1"/>
      <w:marLeft w:val="0"/>
      <w:marRight w:val="0"/>
      <w:marTop w:val="0"/>
      <w:marBottom w:val="0"/>
      <w:divBdr>
        <w:top w:val="none" w:sz="0" w:space="0" w:color="auto"/>
        <w:left w:val="none" w:sz="0" w:space="0" w:color="auto"/>
        <w:bottom w:val="none" w:sz="0" w:space="0" w:color="auto"/>
        <w:right w:val="none" w:sz="0" w:space="0" w:color="auto"/>
      </w:divBdr>
    </w:div>
    <w:div w:id="951781964">
      <w:bodyDiv w:val="1"/>
      <w:marLeft w:val="0"/>
      <w:marRight w:val="0"/>
      <w:marTop w:val="0"/>
      <w:marBottom w:val="0"/>
      <w:divBdr>
        <w:top w:val="none" w:sz="0" w:space="0" w:color="auto"/>
        <w:left w:val="none" w:sz="0" w:space="0" w:color="auto"/>
        <w:bottom w:val="none" w:sz="0" w:space="0" w:color="auto"/>
        <w:right w:val="none" w:sz="0" w:space="0" w:color="auto"/>
      </w:divBdr>
    </w:div>
    <w:div w:id="958491616">
      <w:bodyDiv w:val="1"/>
      <w:marLeft w:val="0"/>
      <w:marRight w:val="0"/>
      <w:marTop w:val="0"/>
      <w:marBottom w:val="0"/>
      <w:divBdr>
        <w:top w:val="none" w:sz="0" w:space="0" w:color="auto"/>
        <w:left w:val="none" w:sz="0" w:space="0" w:color="auto"/>
        <w:bottom w:val="none" w:sz="0" w:space="0" w:color="auto"/>
        <w:right w:val="none" w:sz="0" w:space="0" w:color="auto"/>
      </w:divBdr>
    </w:div>
    <w:div w:id="963778717">
      <w:bodyDiv w:val="1"/>
      <w:marLeft w:val="0"/>
      <w:marRight w:val="0"/>
      <w:marTop w:val="0"/>
      <w:marBottom w:val="0"/>
      <w:divBdr>
        <w:top w:val="none" w:sz="0" w:space="0" w:color="auto"/>
        <w:left w:val="none" w:sz="0" w:space="0" w:color="auto"/>
        <w:bottom w:val="none" w:sz="0" w:space="0" w:color="auto"/>
        <w:right w:val="none" w:sz="0" w:space="0" w:color="auto"/>
      </w:divBdr>
    </w:div>
    <w:div w:id="968441948">
      <w:bodyDiv w:val="1"/>
      <w:marLeft w:val="0"/>
      <w:marRight w:val="0"/>
      <w:marTop w:val="0"/>
      <w:marBottom w:val="0"/>
      <w:divBdr>
        <w:top w:val="none" w:sz="0" w:space="0" w:color="auto"/>
        <w:left w:val="none" w:sz="0" w:space="0" w:color="auto"/>
        <w:bottom w:val="none" w:sz="0" w:space="0" w:color="auto"/>
        <w:right w:val="none" w:sz="0" w:space="0" w:color="auto"/>
      </w:divBdr>
    </w:div>
    <w:div w:id="978998391">
      <w:bodyDiv w:val="1"/>
      <w:marLeft w:val="0"/>
      <w:marRight w:val="0"/>
      <w:marTop w:val="0"/>
      <w:marBottom w:val="0"/>
      <w:divBdr>
        <w:top w:val="none" w:sz="0" w:space="0" w:color="auto"/>
        <w:left w:val="none" w:sz="0" w:space="0" w:color="auto"/>
        <w:bottom w:val="none" w:sz="0" w:space="0" w:color="auto"/>
        <w:right w:val="none" w:sz="0" w:space="0" w:color="auto"/>
      </w:divBdr>
      <w:divsChild>
        <w:div w:id="1855652202">
          <w:marLeft w:val="0"/>
          <w:marRight w:val="0"/>
          <w:marTop w:val="0"/>
          <w:marBottom w:val="0"/>
          <w:divBdr>
            <w:top w:val="none" w:sz="0" w:space="0" w:color="auto"/>
            <w:left w:val="none" w:sz="0" w:space="0" w:color="auto"/>
            <w:bottom w:val="none" w:sz="0" w:space="0" w:color="auto"/>
            <w:right w:val="none" w:sz="0" w:space="0" w:color="auto"/>
          </w:divBdr>
          <w:divsChild>
            <w:div w:id="10848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39997">
      <w:bodyDiv w:val="1"/>
      <w:marLeft w:val="0"/>
      <w:marRight w:val="0"/>
      <w:marTop w:val="0"/>
      <w:marBottom w:val="0"/>
      <w:divBdr>
        <w:top w:val="none" w:sz="0" w:space="0" w:color="auto"/>
        <w:left w:val="none" w:sz="0" w:space="0" w:color="auto"/>
        <w:bottom w:val="none" w:sz="0" w:space="0" w:color="auto"/>
        <w:right w:val="none" w:sz="0" w:space="0" w:color="auto"/>
      </w:divBdr>
    </w:div>
    <w:div w:id="1018658366">
      <w:bodyDiv w:val="1"/>
      <w:marLeft w:val="0"/>
      <w:marRight w:val="0"/>
      <w:marTop w:val="0"/>
      <w:marBottom w:val="0"/>
      <w:divBdr>
        <w:top w:val="none" w:sz="0" w:space="0" w:color="auto"/>
        <w:left w:val="none" w:sz="0" w:space="0" w:color="auto"/>
        <w:bottom w:val="none" w:sz="0" w:space="0" w:color="auto"/>
        <w:right w:val="none" w:sz="0" w:space="0" w:color="auto"/>
      </w:divBdr>
    </w:div>
    <w:div w:id="1039086157">
      <w:bodyDiv w:val="1"/>
      <w:marLeft w:val="0"/>
      <w:marRight w:val="0"/>
      <w:marTop w:val="0"/>
      <w:marBottom w:val="0"/>
      <w:divBdr>
        <w:top w:val="none" w:sz="0" w:space="0" w:color="auto"/>
        <w:left w:val="none" w:sz="0" w:space="0" w:color="auto"/>
        <w:bottom w:val="none" w:sz="0" w:space="0" w:color="auto"/>
        <w:right w:val="none" w:sz="0" w:space="0" w:color="auto"/>
      </w:divBdr>
    </w:div>
    <w:div w:id="1042704181">
      <w:bodyDiv w:val="1"/>
      <w:marLeft w:val="0"/>
      <w:marRight w:val="0"/>
      <w:marTop w:val="0"/>
      <w:marBottom w:val="0"/>
      <w:divBdr>
        <w:top w:val="none" w:sz="0" w:space="0" w:color="auto"/>
        <w:left w:val="none" w:sz="0" w:space="0" w:color="auto"/>
        <w:bottom w:val="none" w:sz="0" w:space="0" w:color="auto"/>
        <w:right w:val="none" w:sz="0" w:space="0" w:color="auto"/>
      </w:divBdr>
    </w:div>
    <w:div w:id="1052002432">
      <w:bodyDiv w:val="1"/>
      <w:marLeft w:val="0"/>
      <w:marRight w:val="0"/>
      <w:marTop w:val="0"/>
      <w:marBottom w:val="0"/>
      <w:divBdr>
        <w:top w:val="none" w:sz="0" w:space="0" w:color="auto"/>
        <w:left w:val="none" w:sz="0" w:space="0" w:color="auto"/>
        <w:bottom w:val="none" w:sz="0" w:space="0" w:color="auto"/>
        <w:right w:val="none" w:sz="0" w:space="0" w:color="auto"/>
      </w:divBdr>
    </w:div>
    <w:div w:id="1072579086">
      <w:bodyDiv w:val="1"/>
      <w:marLeft w:val="0"/>
      <w:marRight w:val="0"/>
      <w:marTop w:val="0"/>
      <w:marBottom w:val="0"/>
      <w:divBdr>
        <w:top w:val="none" w:sz="0" w:space="0" w:color="auto"/>
        <w:left w:val="none" w:sz="0" w:space="0" w:color="auto"/>
        <w:bottom w:val="none" w:sz="0" w:space="0" w:color="auto"/>
        <w:right w:val="none" w:sz="0" w:space="0" w:color="auto"/>
      </w:divBdr>
    </w:div>
    <w:div w:id="1076854634">
      <w:bodyDiv w:val="1"/>
      <w:marLeft w:val="0"/>
      <w:marRight w:val="0"/>
      <w:marTop w:val="0"/>
      <w:marBottom w:val="0"/>
      <w:divBdr>
        <w:top w:val="none" w:sz="0" w:space="0" w:color="auto"/>
        <w:left w:val="none" w:sz="0" w:space="0" w:color="auto"/>
        <w:bottom w:val="none" w:sz="0" w:space="0" w:color="auto"/>
        <w:right w:val="none" w:sz="0" w:space="0" w:color="auto"/>
      </w:divBdr>
    </w:div>
    <w:div w:id="1090661019">
      <w:bodyDiv w:val="1"/>
      <w:marLeft w:val="0"/>
      <w:marRight w:val="0"/>
      <w:marTop w:val="0"/>
      <w:marBottom w:val="0"/>
      <w:divBdr>
        <w:top w:val="none" w:sz="0" w:space="0" w:color="auto"/>
        <w:left w:val="none" w:sz="0" w:space="0" w:color="auto"/>
        <w:bottom w:val="none" w:sz="0" w:space="0" w:color="auto"/>
        <w:right w:val="none" w:sz="0" w:space="0" w:color="auto"/>
      </w:divBdr>
    </w:div>
    <w:div w:id="1102729134">
      <w:bodyDiv w:val="1"/>
      <w:marLeft w:val="0"/>
      <w:marRight w:val="0"/>
      <w:marTop w:val="0"/>
      <w:marBottom w:val="0"/>
      <w:divBdr>
        <w:top w:val="none" w:sz="0" w:space="0" w:color="auto"/>
        <w:left w:val="none" w:sz="0" w:space="0" w:color="auto"/>
        <w:bottom w:val="none" w:sz="0" w:space="0" w:color="auto"/>
        <w:right w:val="none" w:sz="0" w:space="0" w:color="auto"/>
      </w:divBdr>
    </w:div>
    <w:div w:id="1104107218">
      <w:bodyDiv w:val="1"/>
      <w:marLeft w:val="0"/>
      <w:marRight w:val="0"/>
      <w:marTop w:val="0"/>
      <w:marBottom w:val="0"/>
      <w:divBdr>
        <w:top w:val="none" w:sz="0" w:space="0" w:color="auto"/>
        <w:left w:val="none" w:sz="0" w:space="0" w:color="auto"/>
        <w:bottom w:val="none" w:sz="0" w:space="0" w:color="auto"/>
        <w:right w:val="none" w:sz="0" w:space="0" w:color="auto"/>
      </w:divBdr>
    </w:div>
    <w:div w:id="1106123099">
      <w:bodyDiv w:val="1"/>
      <w:marLeft w:val="0"/>
      <w:marRight w:val="0"/>
      <w:marTop w:val="0"/>
      <w:marBottom w:val="0"/>
      <w:divBdr>
        <w:top w:val="none" w:sz="0" w:space="0" w:color="auto"/>
        <w:left w:val="none" w:sz="0" w:space="0" w:color="auto"/>
        <w:bottom w:val="none" w:sz="0" w:space="0" w:color="auto"/>
        <w:right w:val="none" w:sz="0" w:space="0" w:color="auto"/>
      </w:divBdr>
    </w:div>
    <w:div w:id="1107239235">
      <w:bodyDiv w:val="1"/>
      <w:marLeft w:val="0"/>
      <w:marRight w:val="0"/>
      <w:marTop w:val="0"/>
      <w:marBottom w:val="0"/>
      <w:divBdr>
        <w:top w:val="none" w:sz="0" w:space="0" w:color="auto"/>
        <w:left w:val="none" w:sz="0" w:space="0" w:color="auto"/>
        <w:bottom w:val="none" w:sz="0" w:space="0" w:color="auto"/>
        <w:right w:val="none" w:sz="0" w:space="0" w:color="auto"/>
      </w:divBdr>
    </w:div>
    <w:div w:id="1108311064">
      <w:bodyDiv w:val="1"/>
      <w:marLeft w:val="0"/>
      <w:marRight w:val="0"/>
      <w:marTop w:val="0"/>
      <w:marBottom w:val="0"/>
      <w:divBdr>
        <w:top w:val="none" w:sz="0" w:space="0" w:color="auto"/>
        <w:left w:val="none" w:sz="0" w:space="0" w:color="auto"/>
        <w:bottom w:val="none" w:sz="0" w:space="0" w:color="auto"/>
        <w:right w:val="none" w:sz="0" w:space="0" w:color="auto"/>
      </w:divBdr>
      <w:divsChild>
        <w:div w:id="151138626">
          <w:marLeft w:val="0"/>
          <w:marRight w:val="0"/>
          <w:marTop w:val="0"/>
          <w:marBottom w:val="0"/>
          <w:divBdr>
            <w:top w:val="none" w:sz="0" w:space="0" w:color="auto"/>
            <w:left w:val="none" w:sz="0" w:space="0" w:color="auto"/>
            <w:bottom w:val="none" w:sz="0" w:space="0" w:color="auto"/>
            <w:right w:val="none" w:sz="0" w:space="0" w:color="auto"/>
          </w:divBdr>
          <w:divsChild>
            <w:div w:id="25302328">
              <w:marLeft w:val="0"/>
              <w:marRight w:val="0"/>
              <w:marTop w:val="0"/>
              <w:marBottom w:val="0"/>
              <w:divBdr>
                <w:top w:val="none" w:sz="0" w:space="0" w:color="auto"/>
                <w:left w:val="none" w:sz="0" w:space="0" w:color="auto"/>
                <w:bottom w:val="none" w:sz="0" w:space="0" w:color="auto"/>
                <w:right w:val="none" w:sz="0" w:space="0" w:color="auto"/>
              </w:divBdr>
              <w:divsChild>
                <w:div w:id="2072923528">
                  <w:marLeft w:val="0"/>
                  <w:marRight w:val="0"/>
                  <w:marTop w:val="0"/>
                  <w:marBottom w:val="0"/>
                  <w:divBdr>
                    <w:top w:val="none" w:sz="0" w:space="0" w:color="auto"/>
                    <w:left w:val="none" w:sz="0" w:space="0" w:color="auto"/>
                    <w:bottom w:val="none" w:sz="0" w:space="0" w:color="auto"/>
                    <w:right w:val="none" w:sz="0" w:space="0" w:color="auto"/>
                  </w:divBdr>
                  <w:divsChild>
                    <w:div w:id="160508528">
                      <w:marLeft w:val="0"/>
                      <w:marRight w:val="0"/>
                      <w:marTop w:val="0"/>
                      <w:marBottom w:val="0"/>
                      <w:divBdr>
                        <w:top w:val="none" w:sz="0" w:space="0" w:color="auto"/>
                        <w:left w:val="none" w:sz="0" w:space="0" w:color="auto"/>
                        <w:bottom w:val="none" w:sz="0" w:space="0" w:color="auto"/>
                        <w:right w:val="none" w:sz="0" w:space="0" w:color="auto"/>
                      </w:divBdr>
                      <w:divsChild>
                        <w:div w:id="700253124">
                          <w:marLeft w:val="0"/>
                          <w:marRight w:val="0"/>
                          <w:marTop w:val="0"/>
                          <w:marBottom w:val="0"/>
                          <w:divBdr>
                            <w:top w:val="none" w:sz="0" w:space="0" w:color="auto"/>
                            <w:left w:val="none" w:sz="0" w:space="0" w:color="auto"/>
                            <w:bottom w:val="none" w:sz="0" w:space="0" w:color="auto"/>
                            <w:right w:val="none" w:sz="0" w:space="0" w:color="auto"/>
                          </w:divBdr>
                          <w:divsChild>
                            <w:div w:id="1406562273">
                              <w:marLeft w:val="0"/>
                              <w:marRight w:val="0"/>
                              <w:marTop w:val="0"/>
                              <w:marBottom w:val="0"/>
                              <w:divBdr>
                                <w:top w:val="none" w:sz="0" w:space="0" w:color="auto"/>
                                <w:left w:val="none" w:sz="0" w:space="0" w:color="auto"/>
                                <w:bottom w:val="none" w:sz="0" w:space="0" w:color="auto"/>
                                <w:right w:val="none" w:sz="0" w:space="0" w:color="auto"/>
                              </w:divBdr>
                              <w:divsChild>
                                <w:div w:id="109712844">
                                  <w:marLeft w:val="0"/>
                                  <w:marRight w:val="0"/>
                                  <w:marTop w:val="0"/>
                                  <w:marBottom w:val="0"/>
                                  <w:divBdr>
                                    <w:top w:val="none" w:sz="0" w:space="0" w:color="auto"/>
                                    <w:left w:val="none" w:sz="0" w:space="0" w:color="auto"/>
                                    <w:bottom w:val="none" w:sz="0" w:space="0" w:color="auto"/>
                                    <w:right w:val="none" w:sz="0" w:space="0" w:color="auto"/>
                                  </w:divBdr>
                                  <w:divsChild>
                                    <w:div w:id="6425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939493">
                      <w:marLeft w:val="0"/>
                      <w:marRight w:val="0"/>
                      <w:marTop w:val="0"/>
                      <w:marBottom w:val="0"/>
                      <w:divBdr>
                        <w:top w:val="none" w:sz="0" w:space="0" w:color="auto"/>
                        <w:left w:val="none" w:sz="0" w:space="0" w:color="auto"/>
                        <w:bottom w:val="none" w:sz="0" w:space="0" w:color="auto"/>
                        <w:right w:val="none" w:sz="0" w:space="0" w:color="auto"/>
                      </w:divBdr>
                      <w:divsChild>
                        <w:div w:id="4978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708560">
      <w:bodyDiv w:val="1"/>
      <w:marLeft w:val="0"/>
      <w:marRight w:val="0"/>
      <w:marTop w:val="0"/>
      <w:marBottom w:val="0"/>
      <w:divBdr>
        <w:top w:val="none" w:sz="0" w:space="0" w:color="auto"/>
        <w:left w:val="none" w:sz="0" w:space="0" w:color="auto"/>
        <w:bottom w:val="none" w:sz="0" w:space="0" w:color="auto"/>
        <w:right w:val="none" w:sz="0" w:space="0" w:color="auto"/>
      </w:divBdr>
    </w:div>
    <w:div w:id="1119570867">
      <w:bodyDiv w:val="1"/>
      <w:marLeft w:val="0"/>
      <w:marRight w:val="0"/>
      <w:marTop w:val="0"/>
      <w:marBottom w:val="0"/>
      <w:divBdr>
        <w:top w:val="none" w:sz="0" w:space="0" w:color="auto"/>
        <w:left w:val="none" w:sz="0" w:space="0" w:color="auto"/>
        <w:bottom w:val="none" w:sz="0" w:space="0" w:color="auto"/>
        <w:right w:val="none" w:sz="0" w:space="0" w:color="auto"/>
      </w:divBdr>
      <w:divsChild>
        <w:div w:id="154076459">
          <w:marLeft w:val="0"/>
          <w:marRight w:val="0"/>
          <w:marTop w:val="0"/>
          <w:marBottom w:val="0"/>
          <w:divBdr>
            <w:top w:val="none" w:sz="0" w:space="0" w:color="auto"/>
            <w:left w:val="none" w:sz="0" w:space="0" w:color="auto"/>
            <w:bottom w:val="none" w:sz="0" w:space="0" w:color="auto"/>
            <w:right w:val="none" w:sz="0" w:space="0" w:color="auto"/>
          </w:divBdr>
          <w:divsChild>
            <w:div w:id="1133594202">
              <w:marLeft w:val="0"/>
              <w:marRight w:val="0"/>
              <w:marTop w:val="0"/>
              <w:marBottom w:val="0"/>
              <w:divBdr>
                <w:top w:val="none" w:sz="0" w:space="0" w:color="auto"/>
                <w:left w:val="none" w:sz="0" w:space="0" w:color="auto"/>
                <w:bottom w:val="none" w:sz="0" w:space="0" w:color="auto"/>
                <w:right w:val="none" w:sz="0" w:space="0" w:color="auto"/>
              </w:divBdr>
            </w:div>
          </w:divsChild>
        </w:div>
        <w:div w:id="216936319">
          <w:marLeft w:val="0"/>
          <w:marRight w:val="0"/>
          <w:marTop w:val="0"/>
          <w:marBottom w:val="0"/>
          <w:divBdr>
            <w:top w:val="none" w:sz="0" w:space="0" w:color="auto"/>
            <w:left w:val="none" w:sz="0" w:space="0" w:color="auto"/>
            <w:bottom w:val="none" w:sz="0" w:space="0" w:color="auto"/>
            <w:right w:val="none" w:sz="0" w:space="0" w:color="auto"/>
          </w:divBdr>
          <w:divsChild>
            <w:div w:id="747389680">
              <w:marLeft w:val="0"/>
              <w:marRight w:val="0"/>
              <w:marTop w:val="0"/>
              <w:marBottom w:val="0"/>
              <w:divBdr>
                <w:top w:val="none" w:sz="0" w:space="0" w:color="auto"/>
                <w:left w:val="none" w:sz="0" w:space="0" w:color="auto"/>
                <w:bottom w:val="none" w:sz="0" w:space="0" w:color="auto"/>
                <w:right w:val="none" w:sz="0" w:space="0" w:color="auto"/>
              </w:divBdr>
            </w:div>
          </w:divsChild>
        </w:div>
        <w:div w:id="238946077">
          <w:marLeft w:val="0"/>
          <w:marRight w:val="0"/>
          <w:marTop w:val="0"/>
          <w:marBottom w:val="0"/>
          <w:divBdr>
            <w:top w:val="none" w:sz="0" w:space="0" w:color="auto"/>
            <w:left w:val="none" w:sz="0" w:space="0" w:color="auto"/>
            <w:bottom w:val="none" w:sz="0" w:space="0" w:color="auto"/>
            <w:right w:val="none" w:sz="0" w:space="0" w:color="auto"/>
          </w:divBdr>
          <w:divsChild>
            <w:div w:id="1316226866">
              <w:marLeft w:val="0"/>
              <w:marRight w:val="0"/>
              <w:marTop w:val="0"/>
              <w:marBottom w:val="0"/>
              <w:divBdr>
                <w:top w:val="none" w:sz="0" w:space="0" w:color="auto"/>
                <w:left w:val="none" w:sz="0" w:space="0" w:color="auto"/>
                <w:bottom w:val="none" w:sz="0" w:space="0" w:color="auto"/>
                <w:right w:val="none" w:sz="0" w:space="0" w:color="auto"/>
              </w:divBdr>
            </w:div>
          </w:divsChild>
        </w:div>
        <w:div w:id="289475977">
          <w:marLeft w:val="0"/>
          <w:marRight w:val="0"/>
          <w:marTop w:val="0"/>
          <w:marBottom w:val="0"/>
          <w:divBdr>
            <w:top w:val="none" w:sz="0" w:space="0" w:color="auto"/>
            <w:left w:val="none" w:sz="0" w:space="0" w:color="auto"/>
            <w:bottom w:val="none" w:sz="0" w:space="0" w:color="auto"/>
            <w:right w:val="none" w:sz="0" w:space="0" w:color="auto"/>
          </w:divBdr>
          <w:divsChild>
            <w:div w:id="817385368">
              <w:marLeft w:val="0"/>
              <w:marRight w:val="0"/>
              <w:marTop w:val="0"/>
              <w:marBottom w:val="0"/>
              <w:divBdr>
                <w:top w:val="none" w:sz="0" w:space="0" w:color="auto"/>
                <w:left w:val="none" w:sz="0" w:space="0" w:color="auto"/>
                <w:bottom w:val="none" w:sz="0" w:space="0" w:color="auto"/>
                <w:right w:val="none" w:sz="0" w:space="0" w:color="auto"/>
              </w:divBdr>
            </w:div>
          </w:divsChild>
        </w:div>
        <w:div w:id="342321887">
          <w:marLeft w:val="0"/>
          <w:marRight w:val="0"/>
          <w:marTop w:val="0"/>
          <w:marBottom w:val="0"/>
          <w:divBdr>
            <w:top w:val="none" w:sz="0" w:space="0" w:color="auto"/>
            <w:left w:val="none" w:sz="0" w:space="0" w:color="auto"/>
            <w:bottom w:val="none" w:sz="0" w:space="0" w:color="auto"/>
            <w:right w:val="none" w:sz="0" w:space="0" w:color="auto"/>
          </w:divBdr>
          <w:divsChild>
            <w:div w:id="2006198465">
              <w:marLeft w:val="0"/>
              <w:marRight w:val="0"/>
              <w:marTop w:val="0"/>
              <w:marBottom w:val="0"/>
              <w:divBdr>
                <w:top w:val="none" w:sz="0" w:space="0" w:color="auto"/>
                <w:left w:val="none" w:sz="0" w:space="0" w:color="auto"/>
                <w:bottom w:val="none" w:sz="0" w:space="0" w:color="auto"/>
                <w:right w:val="none" w:sz="0" w:space="0" w:color="auto"/>
              </w:divBdr>
            </w:div>
          </w:divsChild>
        </w:div>
        <w:div w:id="382219516">
          <w:marLeft w:val="0"/>
          <w:marRight w:val="0"/>
          <w:marTop w:val="0"/>
          <w:marBottom w:val="0"/>
          <w:divBdr>
            <w:top w:val="none" w:sz="0" w:space="0" w:color="auto"/>
            <w:left w:val="none" w:sz="0" w:space="0" w:color="auto"/>
            <w:bottom w:val="none" w:sz="0" w:space="0" w:color="auto"/>
            <w:right w:val="none" w:sz="0" w:space="0" w:color="auto"/>
          </w:divBdr>
          <w:divsChild>
            <w:div w:id="1755081479">
              <w:marLeft w:val="0"/>
              <w:marRight w:val="0"/>
              <w:marTop w:val="0"/>
              <w:marBottom w:val="0"/>
              <w:divBdr>
                <w:top w:val="none" w:sz="0" w:space="0" w:color="auto"/>
                <w:left w:val="none" w:sz="0" w:space="0" w:color="auto"/>
                <w:bottom w:val="none" w:sz="0" w:space="0" w:color="auto"/>
                <w:right w:val="none" w:sz="0" w:space="0" w:color="auto"/>
              </w:divBdr>
            </w:div>
          </w:divsChild>
        </w:div>
        <w:div w:id="425998588">
          <w:marLeft w:val="0"/>
          <w:marRight w:val="0"/>
          <w:marTop w:val="0"/>
          <w:marBottom w:val="0"/>
          <w:divBdr>
            <w:top w:val="none" w:sz="0" w:space="0" w:color="auto"/>
            <w:left w:val="none" w:sz="0" w:space="0" w:color="auto"/>
            <w:bottom w:val="none" w:sz="0" w:space="0" w:color="auto"/>
            <w:right w:val="none" w:sz="0" w:space="0" w:color="auto"/>
          </w:divBdr>
          <w:divsChild>
            <w:div w:id="1213343507">
              <w:marLeft w:val="0"/>
              <w:marRight w:val="0"/>
              <w:marTop w:val="0"/>
              <w:marBottom w:val="0"/>
              <w:divBdr>
                <w:top w:val="none" w:sz="0" w:space="0" w:color="auto"/>
                <w:left w:val="none" w:sz="0" w:space="0" w:color="auto"/>
                <w:bottom w:val="none" w:sz="0" w:space="0" w:color="auto"/>
                <w:right w:val="none" w:sz="0" w:space="0" w:color="auto"/>
              </w:divBdr>
            </w:div>
          </w:divsChild>
        </w:div>
        <w:div w:id="527908786">
          <w:marLeft w:val="0"/>
          <w:marRight w:val="0"/>
          <w:marTop w:val="0"/>
          <w:marBottom w:val="0"/>
          <w:divBdr>
            <w:top w:val="none" w:sz="0" w:space="0" w:color="auto"/>
            <w:left w:val="none" w:sz="0" w:space="0" w:color="auto"/>
            <w:bottom w:val="none" w:sz="0" w:space="0" w:color="auto"/>
            <w:right w:val="none" w:sz="0" w:space="0" w:color="auto"/>
          </w:divBdr>
          <w:divsChild>
            <w:div w:id="179248221">
              <w:marLeft w:val="0"/>
              <w:marRight w:val="0"/>
              <w:marTop w:val="0"/>
              <w:marBottom w:val="0"/>
              <w:divBdr>
                <w:top w:val="none" w:sz="0" w:space="0" w:color="auto"/>
                <w:left w:val="none" w:sz="0" w:space="0" w:color="auto"/>
                <w:bottom w:val="none" w:sz="0" w:space="0" w:color="auto"/>
                <w:right w:val="none" w:sz="0" w:space="0" w:color="auto"/>
              </w:divBdr>
            </w:div>
          </w:divsChild>
        </w:div>
        <w:div w:id="545799633">
          <w:marLeft w:val="0"/>
          <w:marRight w:val="0"/>
          <w:marTop w:val="0"/>
          <w:marBottom w:val="0"/>
          <w:divBdr>
            <w:top w:val="none" w:sz="0" w:space="0" w:color="auto"/>
            <w:left w:val="none" w:sz="0" w:space="0" w:color="auto"/>
            <w:bottom w:val="none" w:sz="0" w:space="0" w:color="auto"/>
            <w:right w:val="none" w:sz="0" w:space="0" w:color="auto"/>
          </w:divBdr>
          <w:divsChild>
            <w:div w:id="595526337">
              <w:marLeft w:val="0"/>
              <w:marRight w:val="0"/>
              <w:marTop w:val="0"/>
              <w:marBottom w:val="0"/>
              <w:divBdr>
                <w:top w:val="none" w:sz="0" w:space="0" w:color="auto"/>
                <w:left w:val="none" w:sz="0" w:space="0" w:color="auto"/>
                <w:bottom w:val="none" w:sz="0" w:space="0" w:color="auto"/>
                <w:right w:val="none" w:sz="0" w:space="0" w:color="auto"/>
              </w:divBdr>
            </w:div>
          </w:divsChild>
        </w:div>
        <w:div w:id="576935549">
          <w:marLeft w:val="0"/>
          <w:marRight w:val="0"/>
          <w:marTop w:val="0"/>
          <w:marBottom w:val="0"/>
          <w:divBdr>
            <w:top w:val="none" w:sz="0" w:space="0" w:color="auto"/>
            <w:left w:val="none" w:sz="0" w:space="0" w:color="auto"/>
            <w:bottom w:val="none" w:sz="0" w:space="0" w:color="auto"/>
            <w:right w:val="none" w:sz="0" w:space="0" w:color="auto"/>
          </w:divBdr>
          <w:divsChild>
            <w:div w:id="1647009873">
              <w:marLeft w:val="0"/>
              <w:marRight w:val="0"/>
              <w:marTop w:val="0"/>
              <w:marBottom w:val="0"/>
              <w:divBdr>
                <w:top w:val="none" w:sz="0" w:space="0" w:color="auto"/>
                <w:left w:val="none" w:sz="0" w:space="0" w:color="auto"/>
                <w:bottom w:val="none" w:sz="0" w:space="0" w:color="auto"/>
                <w:right w:val="none" w:sz="0" w:space="0" w:color="auto"/>
              </w:divBdr>
            </w:div>
          </w:divsChild>
        </w:div>
        <w:div w:id="600840378">
          <w:marLeft w:val="0"/>
          <w:marRight w:val="0"/>
          <w:marTop w:val="0"/>
          <w:marBottom w:val="0"/>
          <w:divBdr>
            <w:top w:val="none" w:sz="0" w:space="0" w:color="auto"/>
            <w:left w:val="none" w:sz="0" w:space="0" w:color="auto"/>
            <w:bottom w:val="none" w:sz="0" w:space="0" w:color="auto"/>
            <w:right w:val="none" w:sz="0" w:space="0" w:color="auto"/>
          </w:divBdr>
          <w:divsChild>
            <w:div w:id="2075276709">
              <w:marLeft w:val="0"/>
              <w:marRight w:val="0"/>
              <w:marTop w:val="0"/>
              <w:marBottom w:val="0"/>
              <w:divBdr>
                <w:top w:val="none" w:sz="0" w:space="0" w:color="auto"/>
                <w:left w:val="none" w:sz="0" w:space="0" w:color="auto"/>
                <w:bottom w:val="none" w:sz="0" w:space="0" w:color="auto"/>
                <w:right w:val="none" w:sz="0" w:space="0" w:color="auto"/>
              </w:divBdr>
            </w:div>
          </w:divsChild>
        </w:div>
        <w:div w:id="618295019">
          <w:marLeft w:val="0"/>
          <w:marRight w:val="0"/>
          <w:marTop w:val="0"/>
          <w:marBottom w:val="0"/>
          <w:divBdr>
            <w:top w:val="none" w:sz="0" w:space="0" w:color="auto"/>
            <w:left w:val="none" w:sz="0" w:space="0" w:color="auto"/>
            <w:bottom w:val="none" w:sz="0" w:space="0" w:color="auto"/>
            <w:right w:val="none" w:sz="0" w:space="0" w:color="auto"/>
          </w:divBdr>
          <w:divsChild>
            <w:div w:id="1888369469">
              <w:marLeft w:val="0"/>
              <w:marRight w:val="0"/>
              <w:marTop w:val="0"/>
              <w:marBottom w:val="0"/>
              <w:divBdr>
                <w:top w:val="none" w:sz="0" w:space="0" w:color="auto"/>
                <w:left w:val="none" w:sz="0" w:space="0" w:color="auto"/>
                <w:bottom w:val="none" w:sz="0" w:space="0" w:color="auto"/>
                <w:right w:val="none" w:sz="0" w:space="0" w:color="auto"/>
              </w:divBdr>
            </w:div>
          </w:divsChild>
        </w:div>
        <w:div w:id="649791117">
          <w:marLeft w:val="0"/>
          <w:marRight w:val="0"/>
          <w:marTop w:val="0"/>
          <w:marBottom w:val="0"/>
          <w:divBdr>
            <w:top w:val="none" w:sz="0" w:space="0" w:color="auto"/>
            <w:left w:val="none" w:sz="0" w:space="0" w:color="auto"/>
            <w:bottom w:val="none" w:sz="0" w:space="0" w:color="auto"/>
            <w:right w:val="none" w:sz="0" w:space="0" w:color="auto"/>
          </w:divBdr>
          <w:divsChild>
            <w:div w:id="1712220542">
              <w:marLeft w:val="0"/>
              <w:marRight w:val="0"/>
              <w:marTop w:val="0"/>
              <w:marBottom w:val="0"/>
              <w:divBdr>
                <w:top w:val="none" w:sz="0" w:space="0" w:color="auto"/>
                <w:left w:val="none" w:sz="0" w:space="0" w:color="auto"/>
                <w:bottom w:val="none" w:sz="0" w:space="0" w:color="auto"/>
                <w:right w:val="none" w:sz="0" w:space="0" w:color="auto"/>
              </w:divBdr>
            </w:div>
          </w:divsChild>
        </w:div>
        <w:div w:id="703100097">
          <w:marLeft w:val="0"/>
          <w:marRight w:val="0"/>
          <w:marTop w:val="0"/>
          <w:marBottom w:val="0"/>
          <w:divBdr>
            <w:top w:val="none" w:sz="0" w:space="0" w:color="auto"/>
            <w:left w:val="none" w:sz="0" w:space="0" w:color="auto"/>
            <w:bottom w:val="none" w:sz="0" w:space="0" w:color="auto"/>
            <w:right w:val="none" w:sz="0" w:space="0" w:color="auto"/>
          </w:divBdr>
          <w:divsChild>
            <w:div w:id="1190988965">
              <w:marLeft w:val="0"/>
              <w:marRight w:val="0"/>
              <w:marTop w:val="0"/>
              <w:marBottom w:val="0"/>
              <w:divBdr>
                <w:top w:val="none" w:sz="0" w:space="0" w:color="auto"/>
                <w:left w:val="none" w:sz="0" w:space="0" w:color="auto"/>
                <w:bottom w:val="none" w:sz="0" w:space="0" w:color="auto"/>
                <w:right w:val="none" w:sz="0" w:space="0" w:color="auto"/>
              </w:divBdr>
            </w:div>
          </w:divsChild>
        </w:div>
        <w:div w:id="744424592">
          <w:marLeft w:val="0"/>
          <w:marRight w:val="0"/>
          <w:marTop w:val="0"/>
          <w:marBottom w:val="0"/>
          <w:divBdr>
            <w:top w:val="none" w:sz="0" w:space="0" w:color="auto"/>
            <w:left w:val="none" w:sz="0" w:space="0" w:color="auto"/>
            <w:bottom w:val="none" w:sz="0" w:space="0" w:color="auto"/>
            <w:right w:val="none" w:sz="0" w:space="0" w:color="auto"/>
          </w:divBdr>
          <w:divsChild>
            <w:div w:id="577208317">
              <w:marLeft w:val="0"/>
              <w:marRight w:val="0"/>
              <w:marTop w:val="0"/>
              <w:marBottom w:val="0"/>
              <w:divBdr>
                <w:top w:val="none" w:sz="0" w:space="0" w:color="auto"/>
                <w:left w:val="none" w:sz="0" w:space="0" w:color="auto"/>
                <w:bottom w:val="none" w:sz="0" w:space="0" w:color="auto"/>
                <w:right w:val="none" w:sz="0" w:space="0" w:color="auto"/>
              </w:divBdr>
            </w:div>
            <w:div w:id="1216158839">
              <w:marLeft w:val="0"/>
              <w:marRight w:val="0"/>
              <w:marTop w:val="0"/>
              <w:marBottom w:val="0"/>
              <w:divBdr>
                <w:top w:val="none" w:sz="0" w:space="0" w:color="auto"/>
                <w:left w:val="none" w:sz="0" w:space="0" w:color="auto"/>
                <w:bottom w:val="none" w:sz="0" w:space="0" w:color="auto"/>
                <w:right w:val="none" w:sz="0" w:space="0" w:color="auto"/>
              </w:divBdr>
              <w:divsChild>
                <w:div w:id="839002570">
                  <w:marLeft w:val="0"/>
                  <w:marRight w:val="0"/>
                  <w:marTop w:val="0"/>
                  <w:marBottom w:val="0"/>
                  <w:divBdr>
                    <w:top w:val="none" w:sz="0" w:space="0" w:color="auto"/>
                    <w:left w:val="none" w:sz="0" w:space="0" w:color="auto"/>
                    <w:bottom w:val="none" w:sz="0" w:space="0" w:color="auto"/>
                    <w:right w:val="none" w:sz="0" w:space="0" w:color="auto"/>
                  </w:divBdr>
                  <w:divsChild>
                    <w:div w:id="1620212486">
                      <w:marLeft w:val="0"/>
                      <w:marRight w:val="0"/>
                      <w:marTop w:val="0"/>
                      <w:marBottom w:val="0"/>
                      <w:divBdr>
                        <w:top w:val="none" w:sz="0" w:space="0" w:color="auto"/>
                        <w:left w:val="none" w:sz="0" w:space="0" w:color="auto"/>
                        <w:bottom w:val="none" w:sz="0" w:space="0" w:color="auto"/>
                        <w:right w:val="none" w:sz="0" w:space="0" w:color="auto"/>
                      </w:divBdr>
                      <w:divsChild>
                        <w:div w:id="828641313">
                          <w:marLeft w:val="0"/>
                          <w:marRight w:val="0"/>
                          <w:marTop w:val="0"/>
                          <w:marBottom w:val="0"/>
                          <w:divBdr>
                            <w:top w:val="none" w:sz="0" w:space="0" w:color="auto"/>
                            <w:left w:val="none" w:sz="0" w:space="0" w:color="auto"/>
                            <w:bottom w:val="none" w:sz="0" w:space="0" w:color="auto"/>
                            <w:right w:val="none" w:sz="0" w:space="0" w:color="auto"/>
                          </w:divBdr>
                          <w:divsChild>
                            <w:div w:id="66423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654642">
          <w:marLeft w:val="0"/>
          <w:marRight w:val="0"/>
          <w:marTop w:val="0"/>
          <w:marBottom w:val="0"/>
          <w:divBdr>
            <w:top w:val="none" w:sz="0" w:space="0" w:color="auto"/>
            <w:left w:val="none" w:sz="0" w:space="0" w:color="auto"/>
            <w:bottom w:val="none" w:sz="0" w:space="0" w:color="auto"/>
            <w:right w:val="none" w:sz="0" w:space="0" w:color="auto"/>
          </w:divBdr>
          <w:divsChild>
            <w:div w:id="1255820051">
              <w:marLeft w:val="0"/>
              <w:marRight w:val="0"/>
              <w:marTop w:val="0"/>
              <w:marBottom w:val="0"/>
              <w:divBdr>
                <w:top w:val="none" w:sz="0" w:space="0" w:color="auto"/>
                <w:left w:val="none" w:sz="0" w:space="0" w:color="auto"/>
                <w:bottom w:val="none" w:sz="0" w:space="0" w:color="auto"/>
                <w:right w:val="none" w:sz="0" w:space="0" w:color="auto"/>
              </w:divBdr>
            </w:div>
          </w:divsChild>
        </w:div>
        <w:div w:id="779421032">
          <w:marLeft w:val="0"/>
          <w:marRight w:val="0"/>
          <w:marTop w:val="0"/>
          <w:marBottom w:val="0"/>
          <w:divBdr>
            <w:top w:val="none" w:sz="0" w:space="0" w:color="auto"/>
            <w:left w:val="none" w:sz="0" w:space="0" w:color="auto"/>
            <w:bottom w:val="none" w:sz="0" w:space="0" w:color="auto"/>
            <w:right w:val="none" w:sz="0" w:space="0" w:color="auto"/>
          </w:divBdr>
          <w:divsChild>
            <w:div w:id="263076939">
              <w:marLeft w:val="0"/>
              <w:marRight w:val="0"/>
              <w:marTop w:val="0"/>
              <w:marBottom w:val="0"/>
              <w:divBdr>
                <w:top w:val="none" w:sz="0" w:space="0" w:color="auto"/>
                <w:left w:val="none" w:sz="0" w:space="0" w:color="auto"/>
                <w:bottom w:val="none" w:sz="0" w:space="0" w:color="auto"/>
                <w:right w:val="none" w:sz="0" w:space="0" w:color="auto"/>
              </w:divBdr>
            </w:div>
          </w:divsChild>
        </w:div>
        <w:div w:id="817107986">
          <w:marLeft w:val="0"/>
          <w:marRight w:val="0"/>
          <w:marTop w:val="0"/>
          <w:marBottom w:val="0"/>
          <w:divBdr>
            <w:top w:val="none" w:sz="0" w:space="0" w:color="auto"/>
            <w:left w:val="none" w:sz="0" w:space="0" w:color="auto"/>
            <w:bottom w:val="none" w:sz="0" w:space="0" w:color="auto"/>
            <w:right w:val="none" w:sz="0" w:space="0" w:color="auto"/>
          </w:divBdr>
          <w:divsChild>
            <w:div w:id="822427330">
              <w:marLeft w:val="0"/>
              <w:marRight w:val="0"/>
              <w:marTop w:val="0"/>
              <w:marBottom w:val="0"/>
              <w:divBdr>
                <w:top w:val="none" w:sz="0" w:space="0" w:color="auto"/>
                <w:left w:val="none" w:sz="0" w:space="0" w:color="auto"/>
                <w:bottom w:val="none" w:sz="0" w:space="0" w:color="auto"/>
                <w:right w:val="none" w:sz="0" w:space="0" w:color="auto"/>
              </w:divBdr>
            </w:div>
          </w:divsChild>
        </w:div>
        <w:div w:id="956064001">
          <w:marLeft w:val="0"/>
          <w:marRight w:val="0"/>
          <w:marTop w:val="0"/>
          <w:marBottom w:val="0"/>
          <w:divBdr>
            <w:top w:val="none" w:sz="0" w:space="0" w:color="auto"/>
            <w:left w:val="none" w:sz="0" w:space="0" w:color="auto"/>
            <w:bottom w:val="none" w:sz="0" w:space="0" w:color="auto"/>
            <w:right w:val="none" w:sz="0" w:space="0" w:color="auto"/>
          </w:divBdr>
          <w:divsChild>
            <w:div w:id="835537246">
              <w:marLeft w:val="0"/>
              <w:marRight w:val="0"/>
              <w:marTop w:val="0"/>
              <w:marBottom w:val="0"/>
              <w:divBdr>
                <w:top w:val="none" w:sz="0" w:space="0" w:color="auto"/>
                <w:left w:val="none" w:sz="0" w:space="0" w:color="auto"/>
                <w:bottom w:val="none" w:sz="0" w:space="0" w:color="auto"/>
                <w:right w:val="none" w:sz="0" w:space="0" w:color="auto"/>
              </w:divBdr>
            </w:div>
          </w:divsChild>
        </w:div>
        <w:div w:id="1103265415">
          <w:marLeft w:val="0"/>
          <w:marRight w:val="0"/>
          <w:marTop w:val="0"/>
          <w:marBottom w:val="0"/>
          <w:divBdr>
            <w:top w:val="none" w:sz="0" w:space="0" w:color="auto"/>
            <w:left w:val="none" w:sz="0" w:space="0" w:color="auto"/>
            <w:bottom w:val="none" w:sz="0" w:space="0" w:color="auto"/>
            <w:right w:val="none" w:sz="0" w:space="0" w:color="auto"/>
          </w:divBdr>
          <w:divsChild>
            <w:div w:id="1114791440">
              <w:marLeft w:val="0"/>
              <w:marRight w:val="0"/>
              <w:marTop w:val="0"/>
              <w:marBottom w:val="0"/>
              <w:divBdr>
                <w:top w:val="none" w:sz="0" w:space="0" w:color="auto"/>
                <w:left w:val="none" w:sz="0" w:space="0" w:color="auto"/>
                <w:bottom w:val="none" w:sz="0" w:space="0" w:color="auto"/>
                <w:right w:val="none" w:sz="0" w:space="0" w:color="auto"/>
              </w:divBdr>
            </w:div>
          </w:divsChild>
        </w:div>
        <w:div w:id="1132210270">
          <w:marLeft w:val="0"/>
          <w:marRight w:val="0"/>
          <w:marTop w:val="0"/>
          <w:marBottom w:val="0"/>
          <w:divBdr>
            <w:top w:val="none" w:sz="0" w:space="0" w:color="auto"/>
            <w:left w:val="none" w:sz="0" w:space="0" w:color="auto"/>
            <w:bottom w:val="none" w:sz="0" w:space="0" w:color="auto"/>
            <w:right w:val="none" w:sz="0" w:space="0" w:color="auto"/>
          </w:divBdr>
          <w:divsChild>
            <w:div w:id="587468582">
              <w:marLeft w:val="0"/>
              <w:marRight w:val="0"/>
              <w:marTop w:val="0"/>
              <w:marBottom w:val="0"/>
              <w:divBdr>
                <w:top w:val="none" w:sz="0" w:space="0" w:color="auto"/>
                <w:left w:val="none" w:sz="0" w:space="0" w:color="auto"/>
                <w:bottom w:val="none" w:sz="0" w:space="0" w:color="auto"/>
                <w:right w:val="none" w:sz="0" w:space="0" w:color="auto"/>
              </w:divBdr>
            </w:div>
          </w:divsChild>
        </w:div>
        <w:div w:id="1195775871">
          <w:marLeft w:val="0"/>
          <w:marRight w:val="0"/>
          <w:marTop w:val="0"/>
          <w:marBottom w:val="0"/>
          <w:divBdr>
            <w:top w:val="none" w:sz="0" w:space="0" w:color="auto"/>
            <w:left w:val="none" w:sz="0" w:space="0" w:color="auto"/>
            <w:bottom w:val="none" w:sz="0" w:space="0" w:color="auto"/>
            <w:right w:val="none" w:sz="0" w:space="0" w:color="auto"/>
          </w:divBdr>
          <w:divsChild>
            <w:div w:id="1327319003">
              <w:marLeft w:val="0"/>
              <w:marRight w:val="0"/>
              <w:marTop w:val="0"/>
              <w:marBottom w:val="0"/>
              <w:divBdr>
                <w:top w:val="none" w:sz="0" w:space="0" w:color="auto"/>
                <w:left w:val="none" w:sz="0" w:space="0" w:color="auto"/>
                <w:bottom w:val="none" w:sz="0" w:space="0" w:color="auto"/>
                <w:right w:val="none" w:sz="0" w:space="0" w:color="auto"/>
              </w:divBdr>
            </w:div>
          </w:divsChild>
        </w:div>
        <w:div w:id="1258175643">
          <w:marLeft w:val="0"/>
          <w:marRight w:val="0"/>
          <w:marTop w:val="0"/>
          <w:marBottom w:val="0"/>
          <w:divBdr>
            <w:top w:val="none" w:sz="0" w:space="0" w:color="auto"/>
            <w:left w:val="none" w:sz="0" w:space="0" w:color="auto"/>
            <w:bottom w:val="none" w:sz="0" w:space="0" w:color="auto"/>
            <w:right w:val="none" w:sz="0" w:space="0" w:color="auto"/>
          </w:divBdr>
          <w:divsChild>
            <w:div w:id="2038235501">
              <w:marLeft w:val="0"/>
              <w:marRight w:val="0"/>
              <w:marTop w:val="0"/>
              <w:marBottom w:val="0"/>
              <w:divBdr>
                <w:top w:val="none" w:sz="0" w:space="0" w:color="auto"/>
                <w:left w:val="none" w:sz="0" w:space="0" w:color="auto"/>
                <w:bottom w:val="none" w:sz="0" w:space="0" w:color="auto"/>
                <w:right w:val="none" w:sz="0" w:space="0" w:color="auto"/>
              </w:divBdr>
            </w:div>
          </w:divsChild>
        </w:div>
        <w:div w:id="1282541436">
          <w:marLeft w:val="0"/>
          <w:marRight w:val="0"/>
          <w:marTop w:val="0"/>
          <w:marBottom w:val="0"/>
          <w:divBdr>
            <w:top w:val="none" w:sz="0" w:space="0" w:color="auto"/>
            <w:left w:val="none" w:sz="0" w:space="0" w:color="auto"/>
            <w:bottom w:val="none" w:sz="0" w:space="0" w:color="auto"/>
            <w:right w:val="none" w:sz="0" w:space="0" w:color="auto"/>
          </w:divBdr>
          <w:divsChild>
            <w:div w:id="1249651467">
              <w:marLeft w:val="0"/>
              <w:marRight w:val="0"/>
              <w:marTop w:val="0"/>
              <w:marBottom w:val="0"/>
              <w:divBdr>
                <w:top w:val="none" w:sz="0" w:space="0" w:color="auto"/>
                <w:left w:val="none" w:sz="0" w:space="0" w:color="auto"/>
                <w:bottom w:val="none" w:sz="0" w:space="0" w:color="auto"/>
                <w:right w:val="none" w:sz="0" w:space="0" w:color="auto"/>
              </w:divBdr>
            </w:div>
          </w:divsChild>
        </w:div>
        <w:div w:id="1332953025">
          <w:marLeft w:val="0"/>
          <w:marRight w:val="0"/>
          <w:marTop w:val="0"/>
          <w:marBottom w:val="0"/>
          <w:divBdr>
            <w:top w:val="none" w:sz="0" w:space="0" w:color="auto"/>
            <w:left w:val="none" w:sz="0" w:space="0" w:color="auto"/>
            <w:bottom w:val="none" w:sz="0" w:space="0" w:color="auto"/>
            <w:right w:val="none" w:sz="0" w:space="0" w:color="auto"/>
          </w:divBdr>
          <w:divsChild>
            <w:div w:id="74474865">
              <w:marLeft w:val="0"/>
              <w:marRight w:val="0"/>
              <w:marTop w:val="0"/>
              <w:marBottom w:val="0"/>
              <w:divBdr>
                <w:top w:val="none" w:sz="0" w:space="0" w:color="auto"/>
                <w:left w:val="none" w:sz="0" w:space="0" w:color="auto"/>
                <w:bottom w:val="none" w:sz="0" w:space="0" w:color="auto"/>
                <w:right w:val="none" w:sz="0" w:space="0" w:color="auto"/>
              </w:divBdr>
            </w:div>
          </w:divsChild>
        </w:div>
        <w:div w:id="1346666247">
          <w:marLeft w:val="0"/>
          <w:marRight w:val="0"/>
          <w:marTop w:val="0"/>
          <w:marBottom w:val="0"/>
          <w:divBdr>
            <w:top w:val="none" w:sz="0" w:space="0" w:color="auto"/>
            <w:left w:val="none" w:sz="0" w:space="0" w:color="auto"/>
            <w:bottom w:val="none" w:sz="0" w:space="0" w:color="auto"/>
            <w:right w:val="none" w:sz="0" w:space="0" w:color="auto"/>
          </w:divBdr>
          <w:divsChild>
            <w:div w:id="1525051912">
              <w:marLeft w:val="0"/>
              <w:marRight w:val="0"/>
              <w:marTop w:val="0"/>
              <w:marBottom w:val="0"/>
              <w:divBdr>
                <w:top w:val="none" w:sz="0" w:space="0" w:color="auto"/>
                <w:left w:val="none" w:sz="0" w:space="0" w:color="auto"/>
                <w:bottom w:val="none" w:sz="0" w:space="0" w:color="auto"/>
                <w:right w:val="none" w:sz="0" w:space="0" w:color="auto"/>
              </w:divBdr>
            </w:div>
          </w:divsChild>
        </w:div>
        <w:div w:id="1369184938">
          <w:marLeft w:val="0"/>
          <w:marRight w:val="0"/>
          <w:marTop w:val="0"/>
          <w:marBottom w:val="0"/>
          <w:divBdr>
            <w:top w:val="none" w:sz="0" w:space="0" w:color="auto"/>
            <w:left w:val="none" w:sz="0" w:space="0" w:color="auto"/>
            <w:bottom w:val="none" w:sz="0" w:space="0" w:color="auto"/>
            <w:right w:val="none" w:sz="0" w:space="0" w:color="auto"/>
          </w:divBdr>
          <w:divsChild>
            <w:div w:id="1146976340">
              <w:marLeft w:val="0"/>
              <w:marRight w:val="0"/>
              <w:marTop w:val="0"/>
              <w:marBottom w:val="0"/>
              <w:divBdr>
                <w:top w:val="none" w:sz="0" w:space="0" w:color="auto"/>
                <w:left w:val="none" w:sz="0" w:space="0" w:color="auto"/>
                <w:bottom w:val="none" w:sz="0" w:space="0" w:color="auto"/>
                <w:right w:val="none" w:sz="0" w:space="0" w:color="auto"/>
              </w:divBdr>
            </w:div>
          </w:divsChild>
        </w:div>
        <w:div w:id="1379550625">
          <w:marLeft w:val="0"/>
          <w:marRight w:val="0"/>
          <w:marTop w:val="0"/>
          <w:marBottom w:val="0"/>
          <w:divBdr>
            <w:top w:val="none" w:sz="0" w:space="0" w:color="auto"/>
            <w:left w:val="none" w:sz="0" w:space="0" w:color="auto"/>
            <w:bottom w:val="none" w:sz="0" w:space="0" w:color="auto"/>
            <w:right w:val="none" w:sz="0" w:space="0" w:color="auto"/>
          </w:divBdr>
          <w:divsChild>
            <w:div w:id="1216315179">
              <w:marLeft w:val="0"/>
              <w:marRight w:val="0"/>
              <w:marTop w:val="0"/>
              <w:marBottom w:val="0"/>
              <w:divBdr>
                <w:top w:val="none" w:sz="0" w:space="0" w:color="auto"/>
                <w:left w:val="none" w:sz="0" w:space="0" w:color="auto"/>
                <w:bottom w:val="none" w:sz="0" w:space="0" w:color="auto"/>
                <w:right w:val="none" w:sz="0" w:space="0" w:color="auto"/>
              </w:divBdr>
            </w:div>
          </w:divsChild>
        </w:div>
        <w:div w:id="1383168175">
          <w:marLeft w:val="0"/>
          <w:marRight w:val="0"/>
          <w:marTop w:val="0"/>
          <w:marBottom w:val="0"/>
          <w:divBdr>
            <w:top w:val="none" w:sz="0" w:space="0" w:color="auto"/>
            <w:left w:val="none" w:sz="0" w:space="0" w:color="auto"/>
            <w:bottom w:val="none" w:sz="0" w:space="0" w:color="auto"/>
            <w:right w:val="none" w:sz="0" w:space="0" w:color="auto"/>
          </w:divBdr>
          <w:divsChild>
            <w:div w:id="1549488122">
              <w:marLeft w:val="0"/>
              <w:marRight w:val="0"/>
              <w:marTop w:val="0"/>
              <w:marBottom w:val="0"/>
              <w:divBdr>
                <w:top w:val="none" w:sz="0" w:space="0" w:color="auto"/>
                <w:left w:val="none" w:sz="0" w:space="0" w:color="auto"/>
                <w:bottom w:val="none" w:sz="0" w:space="0" w:color="auto"/>
                <w:right w:val="none" w:sz="0" w:space="0" w:color="auto"/>
              </w:divBdr>
            </w:div>
          </w:divsChild>
        </w:div>
        <w:div w:id="1420521655">
          <w:marLeft w:val="0"/>
          <w:marRight w:val="0"/>
          <w:marTop w:val="0"/>
          <w:marBottom w:val="0"/>
          <w:divBdr>
            <w:top w:val="none" w:sz="0" w:space="0" w:color="auto"/>
            <w:left w:val="none" w:sz="0" w:space="0" w:color="auto"/>
            <w:bottom w:val="none" w:sz="0" w:space="0" w:color="auto"/>
            <w:right w:val="none" w:sz="0" w:space="0" w:color="auto"/>
          </w:divBdr>
          <w:divsChild>
            <w:div w:id="2005165726">
              <w:marLeft w:val="0"/>
              <w:marRight w:val="0"/>
              <w:marTop w:val="0"/>
              <w:marBottom w:val="0"/>
              <w:divBdr>
                <w:top w:val="none" w:sz="0" w:space="0" w:color="auto"/>
                <w:left w:val="none" w:sz="0" w:space="0" w:color="auto"/>
                <w:bottom w:val="none" w:sz="0" w:space="0" w:color="auto"/>
                <w:right w:val="none" w:sz="0" w:space="0" w:color="auto"/>
              </w:divBdr>
            </w:div>
          </w:divsChild>
        </w:div>
        <w:div w:id="1437940157">
          <w:marLeft w:val="0"/>
          <w:marRight w:val="0"/>
          <w:marTop w:val="0"/>
          <w:marBottom w:val="0"/>
          <w:divBdr>
            <w:top w:val="none" w:sz="0" w:space="0" w:color="auto"/>
            <w:left w:val="none" w:sz="0" w:space="0" w:color="auto"/>
            <w:bottom w:val="none" w:sz="0" w:space="0" w:color="auto"/>
            <w:right w:val="none" w:sz="0" w:space="0" w:color="auto"/>
          </w:divBdr>
          <w:divsChild>
            <w:div w:id="1886217352">
              <w:marLeft w:val="0"/>
              <w:marRight w:val="0"/>
              <w:marTop w:val="0"/>
              <w:marBottom w:val="0"/>
              <w:divBdr>
                <w:top w:val="none" w:sz="0" w:space="0" w:color="auto"/>
                <w:left w:val="none" w:sz="0" w:space="0" w:color="auto"/>
                <w:bottom w:val="none" w:sz="0" w:space="0" w:color="auto"/>
                <w:right w:val="none" w:sz="0" w:space="0" w:color="auto"/>
              </w:divBdr>
            </w:div>
          </w:divsChild>
        </w:div>
        <w:div w:id="1501777501">
          <w:marLeft w:val="0"/>
          <w:marRight w:val="0"/>
          <w:marTop w:val="0"/>
          <w:marBottom w:val="0"/>
          <w:divBdr>
            <w:top w:val="none" w:sz="0" w:space="0" w:color="auto"/>
            <w:left w:val="none" w:sz="0" w:space="0" w:color="auto"/>
            <w:bottom w:val="none" w:sz="0" w:space="0" w:color="auto"/>
            <w:right w:val="none" w:sz="0" w:space="0" w:color="auto"/>
          </w:divBdr>
          <w:divsChild>
            <w:div w:id="1430616472">
              <w:marLeft w:val="0"/>
              <w:marRight w:val="0"/>
              <w:marTop w:val="0"/>
              <w:marBottom w:val="0"/>
              <w:divBdr>
                <w:top w:val="none" w:sz="0" w:space="0" w:color="auto"/>
                <w:left w:val="none" w:sz="0" w:space="0" w:color="auto"/>
                <w:bottom w:val="none" w:sz="0" w:space="0" w:color="auto"/>
                <w:right w:val="none" w:sz="0" w:space="0" w:color="auto"/>
              </w:divBdr>
            </w:div>
          </w:divsChild>
        </w:div>
        <w:div w:id="1527864643">
          <w:marLeft w:val="0"/>
          <w:marRight w:val="0"/>
          <w:marTop w:val="0"/>
          <w:marBottom w:val="0"/>
          <w:divBdr>
            <w:top w:val="none" w:sz="0" w:space="0" w:color="auto"/>
            <w:left w:val="none" w:sz="0" w:space="0" w:color="auto"/>
            <w:bottom w:val="none" w:sz="0" w:space="0" w:color="auto"/>
            <w:right w:val="none" w:sz="0" w:space="0" w:color="auto"/>
          </w:divBdr>
          <w:divsChild>
            <w:div w:id="1322851209">
              <w:marLeft w:val="0"/>
              <w:marRight w:val="0"/>
              <w:marTop w:val="0"/>
              <w:marBottom w:val="0"/>
              <w:divBdr>
                <w:top w:val="none" w:sz="0" w:space="0" w:color="auto"/>
                <w:left w:val="none" w:sz="0" w:space="0" w:color="auto"/>
                <w:bottom w:val="none" w:sz="0" w:space="0" w:color="auto"/>
                <w:right w:val="none" w:sz="0" w:space="0" w:color="auto"/>
              </w:divBdr>
            </w:div>
          </w:divsChild>
        </w:div>
        <w:div w:id="1550413467">
          <w:marLeft w:val="0"/>
          <w:marRight w:val="0"/>
          <w:marTop w:val="0"/>
          <w:marBottom w:val="0"/>
          <w:divBdr>
            <w:top w:val="none" w:sz="0" w:space="0" w:color="auto"/>
            <w:left w:val="none" w:sz="0" w:space="0" w:color="auto"/>
            <w:bottom w:val="none" w:sz="0" w:space="0" w:color="auto"/>
            <w:right w:val="none" w:sz="0" w:space="0" w:color="auto"/>
          </w:divBdr>
          <w:divsChild>
            <w:div w:id="734469161">
              <w:marLeft w:val="0"/>
              <w:marRight w:val="0"/>
              <w:marTop w:val="0"/>
              <w:marBottom w:val="0"/>
              <w:divBdr>
                <w:top w:val="none" w:sz="0" w:space="0" w:color="auto"/>
                <w:left w:val="none" w:sz="0" w:space="0" w:color="auto"/>
                <w:bottom w:val="none" w:sz="0" w:space="0" w:color="auto"/>
                <w:right w:val="none" w:sz="0" w:space="0" w:color="auto"/>
              </w:divBdr>
            </w:div>
          </w:divsChild>
        </w:div>
        <w:div w:id="1561015224">
          <w:marLeft w:val="0"/>
          <w:marRight w:val="0"/>
          <w:marTop w:val="0"/>
          <w:marBottom w:val="0"/>
          <w:divBdr>
            <w:top w:val="none" w:sz="0" w:space="0" w:color="auto"/>
            <w:left w:val="none" w:sz="0" w:space="0" w:color="auto"/>
            <w:bottom w:val="none" w:sz="0" w:space="0" w:color="auto"/>
            <w:right w:val="none" w:sz="0" w:space="0" w:color="auto"/>
          </w:divBdr>
          <w:divsChild>
            <w:div w:id="125663476">
              <w:marLeft w:val="0"/>
              <w:marRight w:val="0"/>
              <w:marTop w:val="0"/>
              <w:marBottom w:val="0"/>
              <w:divBdr>
                <w:top w:val="none" w:sz="0" w:space="0" w:color="auto"/>
                <w:left w:val="none" w:sz="0" w:space="0" w:color="auto"/>
                <w:bottom w:val="none" w:sz="0" w:space="0" w:color="auto"/>
                <w:right w:val="none" w:sz="0" w:space="0" w:color="auto"/>
              </w:divBdr>
            </w:div>
          </w:divsChild>
        </w:div>
        <w:div w:id="1568223291">
          <w:marLeft w:val="0"/>
          <w:marRight w:val="0"/>
          <w:marTop w:val="0"/>
          <w:marBottom w:val="0"/>
          <w:divBdr>
            <w:top w:val="none" w:sz="0" w:space="0" w:color="auto"/>
            <w:left w:val="none" w:sz="0" w:space="0" w:color="auto"/>
            <w:bottom w:val="none" w:sz="0" w:space="0" w:color="auto"/>
            <w:right w:val="none" w:sz="0" w:space="0" w:color="auto"/>
          </w:divBdr>
          <w:divsChild>
            <w:div w:id="1744525330">
              <w:marLeft w:val="0"/>
              <w:marRight w:val="0"/>
              <w:marTop w:val="0"/>
              <w:marBottom w:val="0"/>
              <w:divBdr>
                <w:top w:val="none" w:sz="0" w:space="0" w:color="auto"/>
                <w:left w:val="none" w:sz="0" w:space="0" w:color="auto"/>
                <w:bottom w:val="none" w:sz="0" w:space="0" w:color="auto"/>
                <w:right w:val="none" w:sz="0" w:space="0" w:color="auto"/>
              </w:divBdr>
            </w:div>
          </w:divsChild>
        </w:div>
        <w:div w:id="1569879088">
          <w:marLeft w:val="0"/>
          <w:marRight w:val="0"/>
          <w:marTop w:val="0"/>
          <w:marBottom w:val="0"/>
          <w:divBdr>
            <w:top w:val="none" w:sz="0" w:space="0" w:color="auto"/>
            <w:left w:val="none" w:sz="0" w:space="0" w:color="auto"/>
            <w:bottom w:val="none" w:sz="0" w:space="0" w:color="auto"/>
            <w:right w:val="none" w:sz="0" w:space="0" w:color="auto"/>
          </w:divBdr>
          <w:divsChild>
            <w:div w:id="222836255">
              <w:marLeft w:val="0"/>
              <w:marRight w:val="0"/>
              <w:marTop w:val="0"/>
              <w:marBottom w:val="0"/>
              <w:divBdr>
                <w:top w:val="none" w:sz="0" w:space="0" w:color="auto"/>
                <w:left w:val="none" w:sz="0" w:space="0" w:color="auto"/>
                <w:bottom w:val="none" w:sz="0" w:space="0" w:color="auto"/>
                <w:right w:val="none" w:sz="0" w:space="0" w:color="auto"/>
              </w:divBdr>
            </w:div>
          </w:divsChild>
        </w:div>
        <w:div w:id="1656103253">
          <w:marLeft w:val="0"/>
          <w:marRight w:val="0"/>
          <w:marTop w:val="0"/>
          <w:marBottom w:val="0"/>
          <w:divBdr>
            <w:top w:val="none" w:sz="0" w:space="0" w:color="auto"/>
            <w:left w:val="none" w:sz="0" w:space="0" w:color="auto"/>
            <w:bottom w:val="none" w:sz="0" w:space="0" w:color="auto"/>
            <w:right w:val="none" w:sz="0" w:space="0" w:color="auto"/>
          </w:divBdr>
          <w:divsChild>
            <w:div w:id="473523256">
              <w:marLeft w:val="0"/>
              <w:marRight w:val="0"/>
              <w:marTop w:val="0"/>
              <w:marBottom w:val="0"/>
              <w:divBdr>
                <w:top w:val="none" w:sz="0" w:space="0" w:color="auto"/>
                <w:left w:val="none" w:sz="0" w:space="0" w:color="auto"/>
                <w:bottom w:val="none" w:sz="0" w:space="0" w:color="auto"/>
                <w:right w:val="none" w:sz="0" w:space="0" w:color="auto"/>
              </w:divBdr>
            </w:div>
          </w:divsChild>
        </w:div>
        <w:div w:id="1663199126">
          <w:marLeft w:val="0"/>
          <w:marRight w:val="0"/>
          <w:marTop w:val="0"/>
          <w:marBottom w:val="0"/>
          <w:divBdr>
            <w:top w:val="none" w:sz="0" w:space="0" w:color="auto"/>
            <w:left w:val="none" w:sz="0" w:space="0" w:color="auto"/>
            <w:bottom w:val="none" w:sz="0" w:space="0" w:color="auto"/>
            <w:right w:val="none" w:sz="0" w:space="0" w:color="auto"/>
          </w:divBdr>
          <w:divsChild>
            <w:div w:id="912351108">
              <w:marLeft w:val="0"/>
              <w:marRight w:val="0"/>
              <w:marTop w:val="0"/>
              <w:marBottom w:val="0"/>
              <w:divBdr>
                <w:top w:val="none" w:sz="0" w:space="0" w:color="auto"/>
                <w:left w:val="none" w:sz="0" w:space="0" w:color="auto"/>
                <w:bottom w:val="none" w:sz="0" w:space="0" w:color="auto"/>
                <w:right w:val="none" w:sz="0" w:space="0" w:color="auto"/>
              </w:divBdr>
            </w:div>
          </w:divsChild>
        </w:div>
        <w:div w:id="1713460138">
          <w:marLeft w:val="0"/>
          <w:marRight w:val="0"/>
          <w:marTop w:val="0"/>
          <w:marBottom w:val="0"/>
          <w:divBdr>
            <w:top w:val="none" w:sz="0" w:space="0" w:color="auto"/>
            <w:left w:val="none" w:sz="0" w:space="0" w:color="auto"/>
            <w:bottom w:val="none" w:sz="0" w:space="0" w:color="auto"/>
            <w:right w:val="none" w:sz="0" w:space="0" w:color="auto"/>
          </w:divBdr>
          <w:divsChild>
            <w:div w:id="110591351">
              <w:marLeft w:val="0"/>
              <w:marRight w:val="0"/>
              <w:marTop w:val="0"/>
              <w:marBottom w:val="0"/>
              <w:divBdr>
                <w:top w:val="none" w:sz="0" w:space="0" w:color="auto"/>
                <w:left w:val="none" w:sz="0" w:space="0" w:color="auto"/>
                <w:bottom w:val="none" w:sz="0" w:space="0" w:color="auto"/>
                <w:right w:val="none" w:sz="0" w:space="0" w:color="auto"/>
              </w:divBdr>
            </w:div>
            <w:div w:id="312413682">
              <w:marLeft w:val="0"/>
              <w:marRight w:val="0"/>
              <w:marTop w:val="0"/>
              <w:marBottom w:val="0"/>
              <w:divBdr>
                <w:top w:val="none" w:sz="0" w:space="0" w:color="auto"/>
                <w:left w:val="none" w:sz="0" w:space="0" w:color="auto"/>
                <w:bottom w:val="none" w:sz="0" w:space="0" w:color="auto"/>
                <w:right w:val="none" w:sz="0" w:space="0" w:color="auto"/>
              </w:divBdr>
            </w:div>
          </w:divsChild>
        </w:div>
        <w:div w:id="1796604801">
          <w:marLeft w:val="0"/>
          <w:marRight w:val="0"/>
          <w:marTop w:val="0"/>
          <w:marBottom w:val="0"/>
          <w:divBdr>
            <w:top w:val="none" w:sz="0" w:space="0" w:color="auto"/>
            <w:left w:val="none" w:sz="0" w:space="0" w:color="auto"/>
            <w:bottom w:val="none" w:sz="0" w:space="0" w:color="auto"/>
            <w:right w:val="none" w:sz="0" w:space="0" w:color="auto"/>
          </w:divBdr>
          <w:divsChild>
            <w:div w:id="1198817041">
              <w:marLeft w:val="0"/>
              <w:marRight w:val="0"/>
              <w:marTop w:val="0"/>
              <w:marBottom w:val="0"/>
              <w:divBdr>
                <w:top w:val="none" w:sz="0" w:space="0" w:color="auto"/>
                <w:left w:val="none" w:sz="0" w:space="0" w:color="auto"/>
                <w:bottom w:val="none" w:sz="0" w:space="0" w:color="auto"/>
                <w:right w:val="none" w:sz="0" w:space="0" w:color="auto"/>
              </w:divBdr>
            </w:div>
          </w:divsChild>
        </w:div>
        <w:div w:id="1798330982">
          <w:marLeft w:val="0"/>
          <w:marRight w:val="0"/>
          <w:marTop w:val="0"/>
          <w:marBottom w:val="0"/>
          <w:divBdr>
            <w:top w:val="none" w:sz="0" w:space="0" w:color="auto"/>
            <w:left w:val="none" w:sz="0" w:space="0" w:color="auto"/>
            <w:bottom w:val="none" w:sz="0" w:space="0" w:color="auto"/>
            <w:right w:val="none" w:sz="0" w:space="0" w:color="auto"/>
          </w:divBdr>
          <w:divsChild>
            <w:div w:id="439761526">
              <w:marLeft w:val="0"/>
              <w:marRight w:val="0"/>
              <w:marTop w:val="0"/>
              <w:marBottom w:val="0"/>
              <w:divBdr>
                <w:top w:val="none" w:sz="0" w:space="0" w:color="auto"/>
                <w:left w:val="none" w:sz="0" w:space="0" w:color="auto"/>
                <w:bottom w:val="none" w:sz="0" w:space="0" w:color="auto"/>
                <w:right w:val="none" w:sz="0" w:space="0" w:color="auto"/>
              </w:divBdr>
            </w:div>
          </w:divsChild>
        </w:div>
        <w:div w:id="1900238561">
          <w:marLeft w:val="0"/>
          <w:marRight w:val="0"/>
          <w:marTop w:val="0"/>
          <w:marBottom w:val="0"/>
          <w:divBdr>
            <w:top w:val="none" w:sz="0" w:space="0" w:color="auto"/>
            <w:left w:val="none" w:sz="0" w:space="0" w:color="auto"/>
            <w:bottom w:val="none" w:sz="0" w:space="0" w:color="auto"/>
            <w:right w:val="none" w:sz="0" w:space="0" w:color="auto"/>
          </w:divBdr>
          <w:divsChild>
            <w:div w:id="2054689706">
              <w:marLeft w:val="0"/>
              <w:marRight w:val="0"/>
              <w:marTop w:val="0"/>
              <w:marBottom w:val="0"/>
              <w:divBdr>
                <w:top w:val="none" w:sz="0" w:space="0" w:color="auto"/>
                <w:left w:val="none" w:sz="0" w:space="0" w:color="auto"/>
                <w:bottom w:val="none" w:sz="0" w:space="0" w:color="auto"/>
                <w:right w:val="none" w:sz="0" w:space="0" w:color="auto"/>
              </w:divBdr>
            </w:div>
          </w:divsChild>
        </w:div>
        <w:div w:id="1919972310">
          <w:marLeft w:val="0"/>
          <w:marRight w:val="0"/>
          <w:marTop w:val="0"/>
          <w:marBottom w:val="0"/>
          <w:divBdr>
            <w:top w:val="none" w:sz="0" w:space="0" w:color="auto"/>
            <w:left w:val="none" w:sz="0" w:space="0" w:color="auto"/>
            <w:bottom w:val="none" w:sz="0" w:space="0" w:color="auto"/>
            <w:right w:val="none" w:sz="0" w:space="0" w:color="auto"/>
          </w:divBdr>
          <w:divsChild>
            <w:div w:id="1973099001">
              <w:marLeft w:val="0"/>
              <w:marRight w:val="0"/>
              <w:marTop w:val="0"/>
              <w:marBottom w:val="0"/>
              <w:divBdr>
                <w:top w:val="none" w:sz="0" w:space="0" w:color="auto"/>
                <w:left w:val="none" w:sz="0" w:space="0" w:color="auto"/>
                <w:bottom w:val="none" w:sz="0" w:space="0" w:color="auto"/>
                <w:right w:val="none" w:sz="0" w:space="0" w:color="auto"/>
              </w:divBdr>
            </w:div>
          </w:divsChild>
        </w:div>
        <w:div w:id="1969312108">
          <w:marLeft w:val="0"/>
          <w:marRight w:val="0"/>
          <w:marTop w:val="0"/>
          <w:marBottom w:val="0"/>
          <w:divBdr>
            <w:top w:val="none" w:sz="0" w:space="0" w:color="auto"/>
            <w:left w:val="none" w:sz="0" w:space="0" w:color="auto"/>
            <w:bottom w:val="none" w:sz="0" w:space="0" w:color="auto"/>
            <w:right w:val="none" w:sz="0" w:space="0" w:color="auto"/>
          </w:divBdr>
          <w:divsChild>
            <w:div w:id="337735471">
              <w:marLeft w:val="0"/>
              <w:marRight w:val="0"/>
              <w:marTop w:val="0"/>
              <w:marBottom w:val="0"/>
              <w:divBdr>
                <w:top w:val="none" w:sz="0" w:space="0" w:color="auto"/>
                <w:left w:val="none" w:sz="0" w:space="0" w:color="auto"/>
                <w:bottom w:val="none" w:sz="0" w:space="0" w:color="auto"/>
                <w:right w:val="none" w:sz="0" w:space="0" w:color="auto"/>
              </w:divBdr>
            </w:div>
          </w:divsChild>
        </w:div>
        <w:div w:id="2017685624">
          <w:marLeft w:val="0"/>
          <w:marRight w:val="0"/>
          <w:marTop w:val="0"/>
          <w:marBottom w:val="0"/>
          <w:divBdr>
            <w:top w:val="none" w:sz="0" w:space="0" w:color="auto"/>
            <w:left w:val="none" w:sz="0" w:space="0" w:color="auto"/>
            <w:bottom w:val="none" w:sz="0" w:space="0" w:color="auto"/>
            <w:right w:val="none" w:sz="0" w:space="0" w:color="auto"/>
          </w:divBdr>
          <w:divsChild>
            <w:div w:id="593903784">
              <w:marLeft w:val="0"/>
              <w:marRight w:val="0"/>
              <w:marTop w:val="0"/>
              <w:marBottom w:val="0"/>
              <w:divBdr>
                <w:top w:val="none" w:sz="0" w:space="0" w:color="auto"/>
                <w:left w:val="none" w:sz="0" w:space="0" w:color="auto"/>
                <w:bottom w:val="none" w:sz="0" w:space="0" w:color="auto"/>
                <w:right w:val="none" w:sz="0" w:space="0" w:color="auto"/>
              </w:divBdr>
            </w:div>
          </w:divsChild>
        </w:div>
        <w:div w:id="2044667592">
          <w:marLeft w:val="0"/>
          <w:marRight w:val="0"/>
          <w:marTop w:val="0"/>
          <w:marBottom w:val="0"/>
          <w:divBdr>
            <w:top w:val="none" w:sz="0" w:space="0" w:color="auto"/>
            <w:left w:val="none" w:sz="0" w:space="0" w:color="auto"/>
            <w:bottom w:val="none" w:sz="0" w:space="0" w:color="auto"/>
            <w:right w:val="none" w:sz="0" w:space="0" w:color="auto"/>
          </w:divBdr>
          <w:divsChild>
            <w:div w:id="905804028">
              <w:marLeft w:val="0"/>
              <w:marRight w:val="0"/>
              <w:marTop w:val="0"/>
              <w:marBottom w:val="0"/>
              <w:divBdr>
                <w:top w:val="none" w:sz="0" w:space="0" w:color="auto"/>
                <w:left w:val="none" w:sz="0" w:space="0" w:color="auto"/>
                <w:bottom w:val="none" w:sz="0" w:space="0" w:color="auto"/>
                <w:right w:val="none" w:sz="0" w:space="0" w:color="auto"/>
              </w:divBdr>
            </w:div>
          </w:divsChild>
        </w:div>
        <w:div w:id="2052071065">
          <w:marLeft w:val="0"/>
          <w:marRight w:val="0"/>
          <w:marTop w:val="0"/>
          <w:marBottom w:val="0"/>
          <w:divBdr>
            <w:top w:val="none" w:sz="0" w:space="0" w:color="auto"/>
            <w:left w:val="none" w:sz="0" w:space="0" w:color="auto"/>
            <w:bottom w:val="none" w:sz="0" w:space="0" w:color="auto"/>
            <w:right w:val="none" w:sz="0" w:space="0" w:color="auto"/>
          </w:divBdr>
          <w:divsChild>
            <w:div w:id="519396241">
              <w:marLeft w:val="0"/>
              <w:marRight w:val="0"/>
              <w:marTop w:val="0"/>
              <w:marBottom w:val="0"/>
              <w:divBdr>
                <w:top w:val="none" w:sz="0" w:space="0" w:color="auto"/>
                <w:left w:val="none" w:sz="0" w:space="0" w:color="auto"/>
                <w:bottom w:val="none" w:sz="0" w:space="0" w:color="auto"/>
                <w:right w:val="none" w:sz="0" w:space="0" w:color="auto"/>
              </w:divBdr>
            </w:div>
          </w:divsChild>
        </w:div>
        <w:div w:id="2065368852">
          <w:marLeft w:val="0"/>
          <w:marRight w:val="0"/>
          <w:marTop w:val="0"/>
          <w:marBottom w:val="0"/>
          <w:divBdr>
            <w:top w:val="none" w:sz="0" w:space="0" w:color="auto"/>
            <w:left w:val="none" w:sz="0" w:space="0" w:color="auto"/>
            <w:bottom w:val="none" w:sz="0" w:space="0" w:color="auto"/>
            <w:right w:val="none" w:sz="0" w:space="0" w:color="auto"/>
          </w:divBdr>
          <w:divsChild>
            <w:div w:id="153310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629838">
      <w:bodyDiv w:val="1"/>
      <w:marLeft w:val="0"/>
      <w:marRight w:val="0"/>
      <w:marTop w:val="0"/>
      <w:marBottom w:val="0"/>
      <w:divBdr>
        <w:top w:val="none" w:sz="0" w:space="0" w:color="auto"/>
        <w:left w:val="none" w:sz="0" w:space="0" w:color="auto"/>
        <w:bottom w:val="none" w:sz="0" w:space="0" w:color="auto"/>
        <w:right w:val="none" w:sz="0" w:space="0" w:color="auto"/>
      </w:divBdr>
    </w:div>
    <w:div w:id="1129476283">
      <w:bodyDiv w:val="1"/>
      <w:marLeft w:val="0"/>
      <w:marRight w:val="0"/>
      <w:marTop w:val="0"/>
      <w:marBottom w:val="0"/>
      <w:divBdr>
        <w:top w:val="none" w:sz="0" w:space="0" w:color="auto"/>
        <w:left w:val="none" w:sz="0" w:space="0" w:color="auto"/>
        <w:bottom w:val="none" w:sz="0" w:space="0" w:color="auto"/>
        <w:right w:val="none" w:sz="0" w:space="0" w:color="auto"/>
      </w:divBdr>
    </w:div>
    <w:div w:id="1133909514">
      <w:bodyDiv w:val="1"/>
      <w:marLeft w:val="0"/>
      <w:marRight w:val="0"/>
      <w:marTop w:val="0"/>
      <w:marBottom w:val="0"/>
      <w:divBdr>
        <w:top w:val="none" w:sz="0" w:space="0" w:color="auto"/>
        <w:left w:val="none" w:sz="0" w:space="0" w:color="auto"/>
        <w:bottom w:val="none" w:sz="0" w:space="0" w:color="auto"/>
        <w:right w:val="none" w:sz="0" w:space="0" w:color="auto"/>
      </w:divBdr>
    </w:div>
    <w:div w:id="1139883130">
      <w:bodyDiv w:val="1"/>
      <w:marLeft w:val="0"/>
      <w:marRight w:val="0"/>
      <w:marTop w:val="0"/>
      <w:marBottom w:val="0"/>
      <w:divBdr>
        <w:top w:val="none" w:sz="0" w:space="0" w:color="auto"/>
        <w:left w:val="none" w:sz="0" w:space="0" w:color="auto"/>
        <w:bottom w:val="none" w:sz="0" w:space="0" w:color="auto"/>
        <w:right w:val="none" w:sz="0" w:space="0" w:color="auto"/>
      </w:divBdr>
    </w:div>
    <w:div w:id="1142774732">
      <w:bodyDiv w:val="1"/>
      <w:marLeft w:val="0"/>
      <w:marRight w:val="0"/>
      <w:marTop w:val="0"/>
      <w:marBottom w:val="0"/>
      <w:divBdr>
        <w:top w:val="none" w:sz="0" w:space="0" w:color="auto"/>
        <w:left w:val="none" w:sz="0" w:space="0" w:color="auto"/>
        <w:bottom w:val="none" w:sz="0" w:space="0" w:color="auto"/>
        <w:right w:val="none" w:sz="0" w:space="0" w:color="auto"/>
      </w:divBdr>
    </w:div>
    <w:div w:id="1145664008">
      <w:bodyDiv w:val="1"/>
      <w:marLeft w:val="0"/>
      <w:marRight w:val="0"/>
      <w:marTop w:val="0"/>
      <w:marBottom w:val="0"/>
      <w:divBdr>
        <w:top w:val="none" w:sz="0" w:space="0" w:color="auto"/>
        <w:left w:val="none" w:sz="0" w:space="0" w:color="auto"/>
        <w:bottom w:val="none" w:sz="0" w:space="0" w:color="auto"/>
        <w:right w:val="none" w:sz="0" w:space="0" w:color="auto"/>
      </w:divBdr>
    </w:div>
    <w:div w:id="1153376703">
      <w:bodyDiv w:val="1"/>
      <w:marLeft w:val="0"/>
      <w:marRight w:val="0"/>
      <w:marTop w:val="0"/>
      <w:marBottom w:val="0"/>
      <w:divBdr>
        <w:top w:val="none" w:sz="0" w:space="0" w:color="auto"/>
        <w:left w:val="none" w:sz="0" w:space="0" w:color="auto"/>
        <w:bottom w:val="none" w:sz="0" w:space="0" w:color="auto"/>
        <w:right w:val="none" w:sz="0" w:space="0" w:color="auto"/>
      </w:divBdr>
    </w:div>
    <w:div w:id="1155992007">
      <w:bodyDiv w:val="1"/>
      <w:marLeft w:val="0"/>
      <w:marRight w:val="0"/>
      <w:marTop w:val="0"/>
      <w:marBottom w:val="0"/>
      <w:divBdr>
        <w:top w:val="none" w:sz="0" w:space="0" w:color="auto"/>
        <w:left w:val="none" w:sz="0" w:space="0" w:color="auto"/>
        <w:bottom w:val="none" w:sz="0" w:space="0" w:color="auto"/>
        <w:right w:val="none" w:sz="0" w:space="0" w:color="auto"/>
      </w:divBdr>
    </w:div>
    <w:div w:id="1165052699">
      <w:bodyDiv w:val="1"/>
      <w:marLeft w:val="0"/>
      <w:marRight w:val="0"/>
      <w:marTop w:val="0"/>
      <w:marBottom w:val="0"/>
      <w:divBdr>
        <w:top w:val="none" w:sz="0" w:space="0" w:color="auto"/>
        <w:left w:val="none" w:sz="0" w:space="0" w:color="auto"/>
        <w:bottom w:val="none" w:sz="0" w:space="0" w:color="auto"/>
        <w:right w:val="none" w:sz="0" w:space="0" w:color="auto"/>
      </w:divBdr>
    </w:div>
    <w:div w:id="1166281963">
      <w:bodyDiv w:val="1"/>
      <w:marLeft w:val="0"/>
      <w:marRight w:val="0"/>
      <w:marTop w:val="0"/>
      <w:marBottom w:val="0"/>
      <w:divBdr>
        <w:top w:val="none" w:sz="0" w:space="0" w:color="auto"/>
        <w:left w:val="none" w:sz="0" w:space="0" w:color="auto"/>
        <w:bottom w:val="none" w:sz="0" w:space="0" w:color="auto"/>
        <w:right w:val="none" w:sz="0" w:space="0" w:color="auto"/>
      </w:divBdr>
    </w:div>
    <w:div w:id="1172572465">
      <w:bodyDiv w:val="1"/>
      <w:marLeft w:val="0"/>
      <w:marRight w:val="0"/>
      <w:marTop w:val="0"/>
      <w:marBottom w:val="0"/>
      <w:divBdr>
        <w:top w:val="none" w:sz="0" w:space="0" w:color="auto"/>
        <w:left w:val="none" w:sz="0" w:space="0" w:color="auto"/>
        <w:bottom w:val="none" w:sz="0" w:space="0" w:color="auto"/>
        <w:right w:val="none" w:sz="0" w:space="0" w:color="auto"/>
      </w:divBdr>
    </w:div>
    <w:div w:id="1175803489">
      <w:bodyDiv w:val="1"/>
      <w:marLeft w:val="0"/>
      <w:marRight w:val="0"/>
      <w:marTop w:val="0"/>
      <w:marBottom w:val="0"/>
      <w:divBdr>
        <w:top w:val="none" w:sz="0" w:space="0" w:color="auto"/>
        <w:left w:val="none" w:sz="0" w:space="0" w:color="auto"/>
        <w:bottom w:val="none" w:sz="0" w:space="0" w:color="auto"/>
        <w:right w:val="none" w:sz="0" w:space="0" w:color="auto"/>
      </w:divBdr>
    </w:div>
    <w:div w:id="1177117050">
      <w:bodyDiv w:val="1"/>
      <w:marLeft w:val="0"/>
      <w:marRight w:val="0"/>
      <w:marTop w:val="0"/>
      <w:marBottom w:val="0"/>
      <w:divBdr>
        <w:top w:val="none" w:sz="0" w:space="0" w:color="auto"/>
        <w:left w:val="none" w:sz="0" w:space="0" w:color="auto"/>
        <w:bottom w:val="none" w:sz="0" w:space="0" w:color="auto"/>
        <w:right w:val="none" w:sz="0" w:space="0" w:color="auto"/>
      </w:divBdr>
      <w:divsChild>
        <w:div w:id="810445830">
          <w:marLeft w:val="0"/>
          <w:marRight w:val="0"/>
          <w:marTop w:val="0"/>
          <w:marBottom w:val="0"/>
          <w:divBdr>
            <w:top w:val="none" w:sz="0" w:space="0" w:color="auto"/>
            <w:left w:val="none" w:sz="0" w:space="0" w:color="auto"/>
            <w:bottom w:val="none" w:sz="0" w:space="0" w:color="auto"/>
            <w:right w:val="none" w:sz="0" w:space="0" w:color="auto"/>
          </w:divBdr>
          <w:divsChild>
            <w:div w:id="95757019">
              <w:marLeft w:val="0"/>
              <w:marRight w:val="0"/>
              <w:marTop w:val="0"/>
              <w:marBottom w:val="0"/>
              <w:divBdr>
                <w:top w:val="none" w:sz="0" w:space="0" w:color="auto"/>
                <w:left w:val="none" w:sz="0" w:space="0" w:color="auto"/>
                <w:bottom w:val="none" w:sz="0" w:space="0" w:color="auto"/>
                <w:right w:val="none" w:sz="0" w:space="0" w:color="auto"/>
              </w:divBdr>
              <w:divsChild>
                <w:div w:id="955524536">
                  <w:marLeft w:val="0"/>
                  <w:marRight w:val="0"/>
                  <w:marTop w:val="0"/>
                  <w:marBottom w:val="0"/>
                  <w:divBdr>
                    <w:top w:val="none" w:sz="0" w:space="0" w:color="auto"/>
                    <w:left w:val="none" w:sz="0" w:space="0" w:color="auto"/>
                    <w:bottom w:val="none" w:sz="0" w:space="0" w:color="auto"/>
                    <w:right w:val="none" w:sz="0" w:space="0" w:color="auto"/>
                  </w:divBdr>
                  <w:divsChild>
                    <w:div w:id="324624102">
                      <w:marLeft w:val="0"/>
                      <w:marRight w:val="0"/>
                      <w:marTop w:val="0"/>
                      <w:marBottom w:val="0"/>
                      <w:divBdr>
                        <w:top w:val="none" w:sz="0" w:space="0" w:color="auto"/>
                        <w:left w:val="none" w:sz="0" w:space="0" w:color="auto"/>
                        <w:bottom w:val="none" w:sz="0" w:space="0" w:color="auto"/>
                        <w:right w:val="none" w:sz="0" w:space="0" w:color="auto"/>
                      </w:divBdr>
                      <w:divsChild>
                        <w:div w:id="1310791212">
                          <w:marLeft w:val="0"/>
                          <w:marRight w:val="0"/>
                          <w:marTop w:val="0"/>
                          <w:marBottom w:val="0"/>
                          <w:divBdr>
                            <w:top w:val="none" w:sz="0" w:space="0" w:color="auto"/>
                            <w:left w:val="none" w:sz="0" w:space="0" w:color="auto"/>
                            <w:bottom w:val="none" w:sz="0" w:space="0" w:color="auto"/>
                            <w:right w:val="none" w:sz="0" w:space="0" w:color="auto"/>
                          </w:divBdr>
                          <w:divsChild>
                            <w:div w:id="280263130">
                              <w:marLeft w:val="0"/>
                              <w:marRight w:val="0"/>
                              <w:marTop w:val="0"/>
                              <w:marBottom w:val="0"/>
                              <w:divBdr>
                                <w:top w:val="none" w:sz="0" w:space="0" w:color="auto"/>
                                <w:left w:val="none" w:sz="0" w:space="0" w:color="auto"/>
                                <w:bottom w:val="none" w:sz="0" w:space="0" w:color="auto"/>
                                <w:right w:val="none" w:sz="0" w:space="0" w:color="auto"/>
                              </w:divBdr>
                              <w:divsChild>
                                <w:div w:id="984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3303">
                          <w:marLeft w:val="0"/>
                          <w:marRight w:val="0"/>
                          <w:marTop w:val="0"/>
                          <w:marBottom w:val="0"/>
                          <w:divBdr>
                            <w:top w:val="none" w:sz="0" w:space="0" w:color="auto"/>
                            <w:left w:val="none" w:sz="0" w:space="0" w:color="auto"/>
                            <w:bottom w:val="none" w:sz="0" w:space="0" w:color="auto"/>
                            <w:right w:val="none" w:sz="0" w:space="0" w:color="auto"/>
                          </w:divBdr>
                          <w:divsChild>
                            <w:div w:id="117645754">
                              <w:marLeft w:val="0"/>
                              <w:marRight w:val="0"/>
                              <w:marTop w:val="0"/>
                              <w:marBottom w:val="0"/>
                              <w:divBdr>
                                <w:top w:val="none" w:sz="0" w:space="0" w:color="auto"/>
                                <w:left w:val="none" w:sz="0" w:space="0" w:color="auto"/>
                                <w:bottom w:val="none" w:sz="0" w:space="0" w:color="auto"/>
                                <w:right w:val="none" w:sz="0" w:space="0" w:color="auto"/>
                              </w:divBdr>
                              <w:divsChild>
                                <w:div w:id="1001810761">
                                  <w:marLeft w:val="0"/>
                                  <w:marRight w:val="0"/>
                                  <w:marTop w:val="0"/>
                                  <w:marBottom w:val="0"/>
                                  <w:divBdr>
                                    <w:top w:val="none" w:sz="0" w:space="0" w:color="auto"/>
                                    <w:left w:val="none" w:sz="0" w:space="0" w:color="auto"/>
                                    <w:bottom w:val="none" w:sz="0" w:space="0" w:color="auto"/>
                                    <w:right w:val="none" w:sz="0" w:space="0" w:color="auto"/>
                                  </w:divBdr>
                                  <w:divsChild>
                                    <w:div w:id="9534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537178">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6560430">
      <w:bodyDiv w:val="1"/>
      <w:marLeft w:val="0"/>
      <w:marRight w:val="0"/>
      <w:marTop w:val="0"/>
      <w:marBottom w:val="0"/>
      <w:divBdr>
        <w:top w:val="none" w:sz="0" w:space="0" w:color="auto"/>
        <w:left w:val="none" w:sz="0" w:space="0" w:color="auto"/>
        <w:bottom w:val="none" w:sz="0" w:space="0" w:color="auto"/>
        <w:right w:val="none" w:sz="0" w:space="0" w:color="auto"/>
      </w:divBdr>
    </w:div>
    <w:div w:id="1195311461">
      <w:bodyDiv w:val="1"/>
      <w:marLeft w:val="0"/>
      <w:marRight w:val="0"/>
      <w:marTop w:val="0"/>
      <w:marBottom w:val="0"/>
      <w:divBdr>
        <w:top w:val="none" w:sz="0" w:space="0" w:color="auto"/>
        <w:left w:val="none" w:sz="0" w:space="0" w:color="auto"/>
        <w:bottom w:val="none" w:sz="0" w:space="0" w:color="auto"/>
        <w:right w:val="none" w:sz="0" w:space="0" w:color="auto"/>
      </w:divBdr>
    </w:div>
    <w:div w:id="1200632120">
      <w:bodyDiv w:val="1"/>
      <w:marLeft w:val="0"/>
      <w:marRight w:val="0"/>
      <w:marTop w:val="0"/>
      <w:marBottom w:val="0"/>
      <w:divBdr>
        <w:top w:val="none" w:sz="0" w:space="0" w:color="auto"/>
        <w:left w:val="none" w:sz="0" w:space="0" w:color="auto"/>
        <w:bottom w:val="none" w:sz="0" w:space="0" w:color="auto"/>
        <w:right w:val="none" w:sz="0" w:space="0" w:color="auto"/>
      </w:divBdr>
    </w:div>
    <w:div w:id="1203522663">
      <w:bodyDiv w:val="1"/>
      <w:marLeft w:val="0"/>
      <w:marRight w:val="0"/>
      <w:marTop w:val="0"/>
      <w:marBottom w:val="0"/>
      <w:divBdr>
        <w:top w:val="none" w:sz="0" w:space="0" w:color="auto"/>
        <w:left w:val="none" w:sz="0" w:space="0" w:color="auto"/>
        <w:bottom w:val="none" w:sz="0" w:space="0" w:color="auto"/>
        <w:right w:val="none" w:sz="0" w:space="0" w:color="auto"/>
      </w:divBdr>
    </w:div>
    <w:div w:id="1213418638">
      <w:bodyDiv w:val="1"/>
      <w:marLeft w:val="0"/>
      <w:marRight w:val="0"/>
      <w:marTop w:val="0"/>
      <w:marBottom w:val="0"/>
      <w:divBdr>
        <w:top w:val="none" w:sz="0" w:space="0" w:color="auto"/>
        <w:left w:val="none" w:sz="0" w:space="0" w:color="auto"/>
        <w:bottom w:val="none" w:sz="0" w:space="0" w:color="auto"/>
        <w:right w:val="none" w:sz="0" w:space="0" w:color="auto"/>
      </w:divBdr>
    </w:div>
    <w:div w:id="1220895070">
      <w:bodyDiv w:val="1"/>
      <w:marLeft w:val="0"/>
      <w:marRight w:val="0"/>
      <w:marTop w:val="0"/>
      <w:marBottom w:val="0"/>
      <w:divBdr>
        <w:top w:val="none" w:sz="0" w:space="0" w:color="auto"/>
        <w:left w:val="none" w:sz="0" w:space="0" w:color="auto"/>
        <w:bottom w:val="none" w:sz="0" w:space="0" w:color="auto"/>
        <w:right w:val="none" w:sz="0" w:space="0" w:color="auto"/>
      </w:divBdr>
    </w:div>
    <w:div w:id="1234194857">
      <w:bodyDiv w:val="1"/>
      <w:marLeft w:val="0"/>
      <w:marRight w:val="0"/>
      <w:marTop w:val="0"/>
      <w:marBottom w:val="0"/>
      <w:divBdr>
        <w:top w:val="none" w:sz="0" w:space="0" w:color="auto"/>
        <w:left w:val="none" w:sz="0" w:space="0" w:color="auto"/>
        <w:bottom w:val="none" w:sz="0" w:space="0" w:color="auto"/>
        <w:right w:val="none" w:sz="0" w:space="0" w:color="auto"/>
      </w:divBdr>
    </w:div>
    <w:div w:id="1237976049">
      <w:bodyDiv w:val="1"/>
      <w:marLeft w:val="0"/>
      <w:marRight w:val="0"/>
      <w:marTop w:val="0"/>
      <w:marBottom w:val="0"/>
      <w:divBdr>
        <w:top w:val="none" w:sz="0" w:space="0" w:color="auto"/>
        <w:left w:val="none" w:sz="0" w:space="0" w:color="auto"/>
        <w:bottom w:val="none" w:sz="0" w:space="0" w:color="auto"/>
        <w:right w:val="none" w:sz="0" w:space="0" w:color="auto"/>
      </w:divBdr>
    </w:div>
    <w:div w:id="1238978869">
      <w:bodyDiv w:val="1"/>
      <w:marLeft w:val="0"/>
      <w:marRight w:val="0"/>
      <w:marTop w:val="0"/>
      <w:marBottom w:val="0"/>
      <w:divBdr>
        <w:top w:val="none" w:sz="0" w:space="0" w:color="auto"/>
        <w:left w:val="none" w:sz="0" w:space="0" w:color="auto"/>
        <w:bottom w:val="none" w:sz="0" w:space="0" w:color="auto"/>
        <w:right w:val="none" w:sz="0" w:space="0" w:color="auto"/>
      </w:divBdr>
    </w:div>
    <w:div w:id="1263106849">
      <w:bodyDiv w:val="1"/>
      <w:marLeft w:val="0"/>
      <w:marRight w:val="0"/>
      <w:marTop w:val="0"/>
      <w:marBottom w:val="0"/>
      <w:divBdr>
        <w:top w:val="none" w:sz="0" w:space="0" w:color="auto"/>
        <w:left w:val="none" w:sz="0" w:space="0" w:color="auto"/>
        <w:bottom w:val="none" w:sz="0" w:space="0" w:color="auto"/>
        <w:right w:val="none" w:sz="0" w:space="0" w:color="auto"/>
      </w:divBdr>
    </w:div>
    <w:div w:id="1276329045">
      <w:bodyDiv w:val="1"/>
      <w:marLeft w:val="0"/>
      <w:marRight w:val="0"/>
      <w:marTop w:val="0"/>
      <w:marBottom w:val="0"/>
      <w:divBdr>
        <w:top w:val="none" w:sz="0" w:space="0" w:color="auto"/>
        <w:left w:val="none" w:sz="0" w:space="0" w:color="auto"/>
        <w:bottom w:val="none" w:sz="0" w:space="0" w:color="auto"/>
        <w:right w:val="none" w:sz="0" w:space="0" w:color="auto"/>
      </w:divBdr>
    </w:div>
    <w:div w:id="1278833218">
      <w:bodyDiv w:val="1"/>
      <w:marLeft w:val="0"/>
      <w:marRight w:val="0"/>
      <w:marTop w:val="0"/>
      <w:marBottom w:val="0"/>
      <w:divBdr>
        <w:top w:val="none" w:sz="0" w:space="0" w:color="auto"/>
        <w:left w:val="none" w:sz="0" w:space="0" w:color="auto"/>
        <w:bottom w:val="none" w:sz="0" w:space="0" w:color="auto"/>
        <w:right w:val="none" w:sz="0" w:space="0" w:color="auto"/>
      </w:divBdr>
    </w:div>
    <w:div w:id="1281105101">
      <w:bodyDiv w:val="1"/>
      <w:marLeft w:val="0"/>
      <w:marRight w:val="0"/>
      <w:marTop w:val="0"/>
      <w:marBottom w:val="0"/>
      <w:divBdr>
        <w:top w:val="none" w:sz="0" w:space="0" w:color="auto"/>
        <w:left w:val="none" w:sz="0" w:space="0" w:color="auto"/>
        <w:bottom w:val="none" w:sz="0" w:space="0" w:color="auto"/>
        <w:right w:val="none" w:sz="0" w:space="0" w:color="auto"/>
      </w:divBdr>
    </w:div>
    <w:div w:id="1281689017">
      <w:bodyDiv w:val="1"/>
      <w:marLeft w:val="0"/>
      <w:marRight w:val="0"/>
      <w:marTop w:val="0"/>
      <w:marBottom w:val="0"/>
      <w:divBdr>
        <w:top w:val="none" w:sz="0" w:space="0" w:color="auto"/>
        <w:left w:val="none" w:sz="0" w:space="0" w:color="auto"/>
        <w:bottom w:val="none" w:sz="0" w:space="0" w:color="auto"/>
        <w:right w:val="none" w:sz="0" w:space="0" w:color="auto"/>
      </w:divBdr>
      <w:divsChild>
        <w:div w:id="511800320">
          <w:marLeft w:val="0"/>
          <w:marRight w:val="0"/>
          <w:marTop w:val="0"/>
          <w:marBottom w:val="0"/>
          <w:divBdr>
            <w:top w:val="none" w:sz="0" w:space="0" w:color="auto"/>
            <w:left w:val="none" w:sz="0" w:space="0" w:color="auto"/>
            <w:bottom w:val="none" w:sz="0" w:space="0" w:color="auto"/>
            <w:right w:val="none" w:sz="0" w:space="0" w:color="auto"/>
          </w:divBdr>
          <w:divsChild>
            <w:div w:id="1098914762">
              <w:marLeft w:val="0"/>
              <w:marRight w:val="0"/>
              <w:marTop w:val="0"/>
              <w:marBottom w:val="0"/>
              <w:divBdr>
                <w:top w:val="none" w:sz="0" w:space="0" w:color="auto"/>
                <w:left w:val="none" w:sz="0" w:space="0" w:color="auto"/>
                <w:bottom w:val="none" w:sz="0" w:space="0" w:color="auto"/>
                <w:right w:val="none" w:sz="0" w:space="0" w:color="auto"/>
              </w:divBdr>
              <w:divsChild>
                <w:div w:id="1445690195">
                  <w:marLeft w:val="0"/>
                  <w:marRight w:val="0"/>
                  <w:marTop w:val="0"/>
                  <w:marBottom w:val="0"/>
                  <w:divBdr>
                    <w:top w:val="none" w:sz="0" w:space="0" w:color="auto"/>
                    <w:left w:val="none" w:sz="0" w:space="0" w:color="auto"/>
                    <w:bottom w:val="none" w:sz="0" w:space="0" w:color="auto"/>
                    <w:right w:val="none" w:sz="0" w:space="0" w:color="auto"/>
                  </w:divBdr>
                  <w:divsChild>
                    <w:div w:id="2058773129">
                      <w:marLeft w:val="0"/>
                      <w:marRight w:val="0"/>
                      <w:marTop w:val="0"/>
                      <w:marBottom w:val="0"/>
                      <w:divBdr>
                        <w:top w:val="none" w:sz="0" w:space="0" w:color="auto"/>
                        <w:left w:val="none" w:sz="0" w:space="0" w:color="auto"/>
                        <w:bottom w:val="none" w:sz="0" w:space="0" w:color="auto"/>
                        <w:right w:val="none" w:sz="0" w:space="0" w:color="auto"/>
                      </w:divBdr>
                      <w:divsChild>
                        <w:div w:id="302121473">
                          <w:marLeft w:val="0"/>
                          <w:marRight w:val="0"/>
                          <w:marTop w:val="0"/>
                          <w:marBottom w:val="0"/>
                          <w:divBdr>
                            <w:top w:val="none" w:sz="0" w:space="0" w:color="auto"/>
                            <w:left w:val="none" w:sz="0" w:space="0" w:color="auto"/>
                            <w:bottom w:val="none" w:sz="0" w:space="0" w:color="auto"/>
                            <w:right w:val="none" w:sz="0" w:space="0" w:color="auto"/>
                          </w:divBdr>
                          <w:divsChild>
                            <w:div w:id="1315523690">
                              <w:marLeft w:val="0"/>
                              <w:marRight w:val="0"/>
                              <w:marTop w:val="0"/>
                              <w:marBottom w:val="0"/>
                              <w:divBdr>
                                <w:top w:val="none" w:sz="0" w:space="0" w:color="auto"/>
                                <w:left w:val="none" w:sz="0" w:space="0" w:color="auto"/>
                                <w:bottom w:val="none" w:sz="0" w:space="0" w:color="auto"/>
                                <w:right w:val="none" w:sz="0" w:space="0" w:color="auto"/>
                              </w:divBdr>
                              <w:divsChild>
                                <w:div w:id="1669598865">
                                  <w:marLeft w:val="0"/>
                                  <w:marRight w:val="0"/>
                                  <w:marTop w:val="0"/>
                                  <w:marBottom w:val="0"/>
                                  <w:divBdr>
                                    <w:top w:val="none" w:sz="0" w:space="0" w:color="auto"/>
                                    <w:left w:val="none" w:sz="0" w:space="0" w:color="auto"/>
                                    <w:bottom w:val="none" w:sz="0" w:space="0" w:color="auto"/>
                                    <w:right w:val="none" w:sz="0" w:space="0" w:color="auto"/>
                                  </w:divBdr>
                                  <w:divsChild>
                                    <w:div w:id="10577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165136">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12783841">
      <w:bodyDiv w:val="1"/>
      <w:marLeft w:val="0"/>
      <w:marRight w:val="0"/>
      <w:marTop w:val="0"/>
      <w:marBottom w:val="0"/>
      <w:divBdr>
        <w:top w:val="none" w:sz="0" w:space="0" w:color="auto"/>
        <w:left w:val="none" w:sz="0" w:space="0" w:color="auto"/>
        <w:bottom w:val="none" w:sz="0" w:space="0" w:color="auto"/>
        <w:right w:val="none" w:sz="0" w:space="0" w:color="auto"/>
      </w:divBdr>
    </w:div>
    <w:div w:id="1313219557">
      <w:bodyDiv w:val="1"/>
      <w:marLeft w:val="0"/>
      <w:marRight w:val="0"/>
      <w:marTop w:val="0"/>
      <w:marBottom w:val="0"/>
      <w:divBdr>
        <w:top w:val="none" w:sz="0" w:space="0" w:color="auto"/>
        <w:left w:val="none" w:sz="0" w:space="0" w:color="auto"/>
        <w:bottom w:val="none" w:sz="0" w:space="0" w:color="auto"/>
        <w:right w:val="none" w:sz="0" w:space="0" w:color="auto"/>
      </w:divBdr>
    </w:div>
    <w:div w:id="1315791620">
      <w:bodyDiv w:val="1"/>
      <w:marLeft w:val="0"/>
      <w:marRight w:val="0"/>
      <w:marTop w:val="0"/>
      <w:marBottom w:val="0"/>
      <w:divBdr>
        <w:top w:val="none" w:sz="0" w:space="0" w:color="auto"/>
        <w:left w:val="none" w:sz="0" w:space="0" w:color="auto"/>
        <w:bottom w:val="none" w:sz="0" w:space="0" w:color="auto"/>
        <w:right w:val="none" w:sz="0" w:space="0" w:color="auto"/>
      </w:divBdr>
    </w:div>
    <w:div w:id="1317951963">
      <w:bodyDiv w:val="1"/>
      <w:marLeft w:val="0"/>
      <w:marRight w:val="0"/>
      <w:marTop w:val="0"/>
      <w:marBottom w:val="0"/>
      <w:divBdr>
        <w:top w:val="none" w:sz="0" w:space="0" w:color="auto"/>
        <w:left w:val="none" w:sz="0" w:space="0" w:color="auto"/>
        <w:bottom w:val="none" w:sz="0" w:space="0" w:color="auto"/>
        <w:right w:val="none" w:sz="0" w:space="0" w:color="auto"/>
      </w:divBdr>
    </w:div>
    <w:div w:id="1318152180">
      <w:bodyDiv w:val="1"/>
      <w:marLeft w:val="0"/>
      <w:marRight w:val="0"/>
      <w:marTop w:val="0"/>
      <w:marBottom w:val="0"/>
      <w:divBdr>
        <w:top w:val="none" w:sz="0" w:space="0" w:color="auto"/>
        <w:left w:val="none" w:sz="0" w:space="0" w:color="auto"/>
        <w:bottom w:val="none" w:sz="0" w:space="0" w:color="auto"/>
        <w:right w:val="none" w:sz="0" w:space="0" w:color="auto"/>
      </w:divBdr>
    </w:div>
    <w:div w:id="1321498922">
      <w:bodyDiv w:val="1"/>
      <w:marLeft w:val="0"/>
      <w:marRight w:val="0"/>
      <w:marTop w:val="0"/>
      <w:marBottom w:val="0"/>
      <w:divBdr>
        <w:top w:val="none" w:sz="0" w:space="0" w:color="auto"/>
        <w:left w:val="none" w:sz="0" w:space="0" w:color="auto"/>
        <w:bottom w:val="none" w:sz="0" w:space="0" w:color="auto"/>
        <w:right w:val="none" w:sz="0" w:space="0" w:color="auto"/>
      </w:divBdr>
    </w:div>
    <w:div w:id="1323197657">
      <w:bodyDiv w:val="1"/>
      <w:marLeft w:val="0"/>
      <w:marRight w:val="0"/>
      <w:marTop w:val="0"/>
      <w:marBottom w:val="0"/>
      <w:divBdr>
        <w:top w:val="none" w:sz="0" w:space="0" w:color="auto"/>
        <w:left w:val="none" w:sz="0" w:space="0" w:color="auto"/>
        <w:bottom w:val="none" w:sz="0" w:space="0" w:color="auto"/>
        <w:right w:val="none" w:sz="0" w:space="0" w:color="auto"/>
      </w:divBdr>
    </w:div>
    <w:div w:id="1342049658">
      <w:bodyDiv w:val="1"/>
      <w:marLeft w:val="0"/>
      <w:marRight w:val="0"/>
      <w:marTop w:val="0"/>
      <w:marBottom w:val="0"/>
      <w:divBdr>
        <w:top w:val="none" w:sz="0" w:space="0" w:color="auto"/>
        <w:left w:val="none" w:sz="0" w:space="0" w:color="auto"/>
        <w:bottom w:val="none" w:sz="0" w:space="0" w:color="auto"/>
        <w:right w:val="none" w:sz="0" w:space="0" w:color="auto"/>
      </w:divBdr>
    </w:div>
    <w:div w:id="1343126616">
      <w:bodyDiv w:val="1"/>
      <w:marLeft w:val="0"/>
      <w:marRight w:val="0"/>
      <w:marTop w:val="0"/>
      <w:marBottom w:val="0"/>
      <w:divBdr>
        <w:top w:val="none" w:sz="0" w:space="0" w:color="auto"/>
        <w:left w:val="none" w:sz="0" w:space="0" w:color="auto"/>
        <w:bottom w:val="none" w:sz="0" w:space="0" w:color="auto"/>
        <w:right w:val="none" w:sz="0" w:space="0" w:color="auto"/>
      </w:divBdr>
    </w:div>
    <w:div w:id="1352491332">
      <w:bodyDiv w:val="1"/>
      <w:marLeft w:val="0"/>
      <w:marRight w:val="0"/>
      <w:marTop w:val="0"/>
      <w:marBottom w:val="0"/>
      <w:divBdr>
        <w:top w:val="none" w:sz="0" w:space="0" w:color="auto"/>
        <w:left w:val="none" w:sz="0" w:space="0" w:color="auto"/>
        <w:bottom w:val="none" w:sz="0" w:space="0" w:color="auto"/>
        <w:right w:val="none" w:sz="0" w:space="0" w:color="auto"/>
      </w:divBdr>
      <w:divsChild>
        <w:div w:id="1117289379">
          <w:marLeft w:val="0"/>
          <w:marRight w:val="0"/>
          <w:marTop w:val="0"/>
          <w:marBottom w:val="0"/>
          <w:divBdr>
            <w:top w:val="none" w:sz="0" w:space="0" w:color="auto"/>
            <w:left w:val="none" w:sz="0" w:space="0" w:color="auto"/>
            <w:bottom w:val="none" w:sz="0" w:space="0" w:color="auto"/>
            <w:right w:val="none" w:sz="0" w:space="0" w:color="auto"/>
          </w:divBdr>
          <w:divsChild>
            <w:div w:id="628634656">
              <w:marLeft w:val="0"/>
              <w:marRight w:val="0"/>
              <w:marTop w:val="0"/>
              <w:marBottom w:val="0"/>
              <w:divBdr>
                <w:top w:val="none" w:sz="0" w:space="0" w:color="auto"/>
                <w:left w:val="none" w:sz="0" w:space="0" w:color="auto"/>
                <w:bottom w:val="none" w:sz="0" w:space="0" w:color="auto"/>
                <w:right w:val="none" w:sz="0" w:space="0" w:color="auto"/>
              </w:divBdr>
              <w:divsChild>
                <w:div w:id="97637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18336">
          <w:marLeft w:val="0"/>
          <w:marRight w:val="0"/>
          <w:marTop w:val="0"/>
          <w:marBottom w:val="0"/>
          <w:divBdr>
            <w:top w:val="none" w:sz="0" w:space="0" w:color="auto"/>
            <w:left w:val="none" w:sz="0" w:space="0" w:color="auto"/>
            <w:bottom w:val="none" w:sz="0" w:space="0" w:color="auto"/>
            <w:right w:val="none" w:sz="0" w:space="0" w:color="auto"/>
          </w:divBdr>
          <w:divsChild>
            <w:div w:id="1039206509">
              <w:marLeft w:val="0"/>
              <w:marRight w:val="0"/>
              <w:marTop w:val="0"/>
              <w:marBottom w:val="0"/>
              <w:divBdr>
                <w:top w:val="none" w:sz="0" w:space="0" w:color="auto"/>
                <w:left w:val="none" w:sz="0" w:space="0" w:color="auto"/>
                <w:bottom w:val="none" w:sz="0" w:space="0" w:color="auto"/>
                <w:right w:val="none" w:sz="0" w:space="0" w:color="auto"/>
              </w:divBdr>
              <w:divsChild>
                <w:div w:id="490365570">
                  <w:marLeft w:val="0"/>
                  <w:marRight w:val="0"/>
                  <w:marTop w:val="0"/>
                  <w:marBottom w:val="0"/>
                  <w:divBdr>
                    <w:top w:val="none" w:sz="0" w:space="0" w:color="auto"/>
                    <w:left w:val="none" w:sz="0" w:space="0" w:color="auto"/>
                    <w:bottom w:val="none" w:sz="0" w:space="0" w:color="auto"/>
                    <w:right w:val="none" w:sz="0" w:space="0" w:color="auto"/>
                  </w:divBdr>
                  <w:divsChild>
                    <w:div w:id="143282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681288">
      <w:bodyDiv w:val="1"/>
      <w:marLeft w:val="0"/>
      <w:marRight w:val="0"/>
      <w:marTop w:val="0"/>
      <w:marBottom w:val="0"/>
      <w:divBdr>
        <w:top w:val="none" w:sz="0" w:space="0" w:color="auto"/>
        <w:left w:val="none" w:sz="0" w:space="0" w:color="auto"/>
        <w:bottom w:val="none" w:sz="0" w:space="0" w:color="auto"/>
        <w:right w:val="none" w:sz="0" w:space="0" w:color="auto"/>
      </w:divBdr>
    </w:div>
    <w:div w:id="1383334915">
      <w:bodyDiv w:val="1"/>
      <w:marLeft w:val="0"/>
      <w:marRight w:val="0"/>
      <w:marTop w:val="0"/>
      <w:marBottom w:val="0"/>
      <w:divBdr>
        <w:top w:val="none" w:sz="0" w:space="0" w:color="auto"/>
        <w:left w:val="none" w:sz="0" w:space="0" w:color="auto"/>
        <w:bottom w:val="none" w:sz="0" w:space="0" w:color="auto"/>
        <w:right w:val="none" w:sz="0" w:space="0" w:color="auto"/>
      </w:divBdr>
    </w:div>
    <w:div w:id="1385835483">
      <w:bodyDiv w:val="1"/>
      <w:marLeft w:val="0"/>
      <w:marRight w:val="0"/>
      <w:marTop w:val="0"/>
      <w:marBottom w:val="0"/>
      <w:divBdr>
        <w:top w:val="none" w:sz="0" w:space="0" w:color="auto"/>
        <w:left w:val="none" w:sz="0" w:space="0" w:color="auto"/>
        <w:bottom w:val="none" w:sz="0" w:space="0" w:color="auto"/>
        <w:right w:val="none" w:sz="0" w:space="0" w:color="auto"/>
      </w:divBdr>
    </w:div>
    <w:div w:id="1391150871">
      <w:bodyDiv w:val="1"/>
      <w:marLeft w:val="0"/>
      <w:marRight w:val="0"/>
      <w:marTop w:val="0"/>
      <w:marBottom w:val="0"/>
      <w:divBdr>
        <w:top w:val="none" w:sz="0" w:space="0" w:color="auto"/>
        <w:left w:val="none" w:sz="0" w:space="0" w:color="auto"/>
        <w:bottom w:val="none" w:sz="0" w:space="0" w:color="auto"/>
        <w:right w:val="none" w:sz="0" w:space="0" w:color="auto"/>
      </w:divBdr>
    </w:div>
    <w:div w:id="1392994596">
      <w:bodyDiv w:val="1"/>
      <w:marLeft w:val="0"/>
      <w:marRight w:val="0"/>
      <w:marTop w:val="0"/>
      <w:marBottom w:val="0"/>
      <w:divBdr>
        <w:top w:val="none" w:sz="0" w:space="0" w:color="auto"/>
        <w:left w:val="none" w:sz="0" w:space="0" w:color="auto"/>
        <w:bottom w:val="none" w:sz="0" w:space="0" w:color="auto"/>
        <w:right w:val="none" w:sz="0" w:space="0" w:color="auto"/>
      </w:divBdr>
    </w:div>
    <w:div w:id="1396322470">
      <w:bodyDiv w:val="1"/>
      <w:marLeft w:val="0"/>
      <w:marRight w:val="0"/>
      <w:marTop w:val="0"/>
      <w:marBottom w:val="0"/>
      <w:divBdr>
        <w:top w:val="none" w:sz="0" w:space="0" w:color="auto"/>
        <w:left w:val="none" w:sz="0" w:space="0" w:color="auto"/>
        <w:bottom w:val="none" w:sz="0" w:space="0" w:color="auto"/>
        <w:right w:val="none" w:sz="0" w:space="0" w:color="auto"/>
      </w:divBdr>
    </w:div>
    <w:div w:id="1400447669">
      <w:bodyDiv w:val="1"/>
      <w:marLeft w:val="0"/>
      <w:marRight w:val="0"/>
      <w:marTop w:val="0"/>
      <w:marBottom w:val="0"/>
      <w:divBdr>
        <w:top w:val="none" w:sz="0" w:space="0" w:color="auto"/>
        <w:left w:val="none" w:sz="0" w:space="0" w:color="auto"/>
        <w:bottom w:val="none" w:sz="0" w:space="0" w:color="auto"/>
        <w:right w:val="none" w:sz="0" w:space="0" w:color="auto"/>
      </w:divBdr>
    </w:div>
    <w:div w:id="1403021435">
      <w:bodyDiv w:val="1"/>
      <w:marLeft w:val="0"/>
      <w:marRight w:val="0"/>
      <w:marTop w:val="0"/>
      <w:marBottom w:val="0"/>
      <w:divBdr>
        <w:top w:val="none" w:sz="0" w:space="0" w:color="auto"/>
        <w:left w:val="none" w:sz="0" w:space="0" w:color="auto"/>
        <w:bottom w:val="none" w:sz="0" w:space="0" w:color="auto"/>
        <w:right w:val="none" w:sz="0" w:space="0" w:color="auto"/>
      </w:divBdr>
    </w:div>
    <w:div w:id="1403257784">
      <w:bodyDiv w:val="1"/>
      <w:marLeft w:val="0"/>
      <w:marRight w:val="0"/>
      <w:marTop w:val="0"/>
      <w:marBottom w:val="0"/>
      <w:divBdr>
        <w:top w:val="none" w:sz="0" w:space="0" w:color="auto"/>
        <w:left w:val="none" w:sz="0" w:space="0" w:color="auto"/>
        <w:bottom w:val="none" w:sz="0" w:space="0" w:color="auto"/>
        <w:right w:val="none" w:sz="0" w:space="0" w:color="auto"/>
      </w:divBdr>
    </w:div>
    <w:div w:id="1407653921">
      <w:bodyDiv w:val="1"/>
      <w:marLeft w:val="0"/>
      <w:marRight w:val="0"/>
      <w:marTop w:val="0"/>
      <w:marBottom w:val="0"/>
      <w:divBdr>
        <w:top w:val="none" w:sz="0" w:space="0" w:color="auto"/>
        <w:left w:val="none" w:sz="0" w:space="0" w:color="auto"/>
        <w:bottom w:val="none" w:sz="0" w:space="0" w:color="auto"/>
        <w:right w:val="none" w:sz="0" w:space="0" w:color="auto"/>
      </w:divBdr>
    </w:div>
    <w:div w:id="1414930442">
      <w:bodyDiv w:val="1"/>
      <w:marLeft w:val="0"/>
      <w:marRight w:val="0"/>
      <w:marTop w:val="0"/>
      <w:marBottom w:val="0"/>
      <w:divBdr>
        <w:top w:val="none" w:sz="0" w:space="0" w:color="auto"/>
        <w:left w:val="none" w:sz="0" w:space="0" w:color="auto"/>
        <w:bottom w:val="none" w:sz="0" w:space="0" w:color="auto"/>
        <w:right w:val="none" w:sz="0" w:space="0" w:color="auto"/>
      </w:divBdr>
    </w:div>
    <w:div w:id="1431317318">
      <w:bodyDiv w:val="1"/>
      <w:marLeft w:val="0"/>
      <w:marRight w:val="0"/>
      <w:marTop w:val="0"/>
      <w:marBottom w:val="0"/>
      <w:divBdr>
        <w:top w:val="none" w:sz="0" w:space="0" w:color="auto"/>
        <w:left w:val="none" w:sz="0" w:space="0" w:color="auto"/>
        <w:bottom w:val="none" w:sz="0" w:space="0" w:color="auto"/>
        <w:right w:val="none" w:sz="0" w:space="0" w:color="auto"/>
      </w:divBdr>
    </w:div>
    <w:div w:id="1436710347">
      <w:bodyDiv w:val="1"/>
      <w:marLeft w:val="0"/>
      <w:marRight w:val="0"/>
      <w:marTop w:val="0"/>
      <w:marBottom w:val="0"/>
      <w:divBdr>
        <w:top w:val="none" w:sz="0" w:space="0" w:color="auto"/>
        <w:left w:val="none" w:sz="0" w:space="0" w:color="auto"/>
        <w:bottom w:val="none" w:sz="0" w:space="0" w:color="auto"/>
        <w:right w:val="none" w:sz="0" w:space="0" w:color="auto"/>
      </w:divBdr>
      <w:divsChild>
        <w:div w:id="425883545">
          <w:marLeft w:val="0"/>
          <w:marRight w:val="0"/>
          <w:marTop w:val="0"/>
          <w:marBottom w:val="0"/>
          <w:divBdr>
            <w:top w:val="none" w:sz="0" w:space="0" w:color="auto"/>
            <w:left w:val="none" w:sz="0" w:space="0" w:color="auto"/>
            <w:bottom w:val="none" w:sz="0" w:space="0" w:color="auto"/>
            <w:right w:val="none" w:sz="0" w:space="0" w:color="auto"/>
          </w:divBdr>
          <w:divsChild>
            <w:div w:id="533007164">
              <w:marLeft w:val="0"/>
              <w:marRight w:val="0"/>
              <w:marTop w:val="0"/>
              <w:marBottom w:val="0"/>
              <w:divBdr>
                <w:top w:val="none" w:sz="0" w:space="0" w:color="auto"/>
                <w:left w:val="none" w:sz="0" w:space="0" w:color="auto"/>
                <w:bottom w:val="none" w:sz="0" w:space="0" w:color="auto"/>
                <w:right w:val="none" w:sz="0" w:space="0" w:color="auto"/>
              </w:divBdr>
              <w:divsChild>
                <w:div w:id="1056780245">
                  <w:marLeft w:val="0"/>
                  <w:marRight w:val="0"/>
                  <w:marTop w:val="0"/>
                  <w:marBottom w:val="0"/>
                  <w:divBdr>
                    <w:top w:val="none" w:sz="0" w:space="0" w:color="auto"/>
                    <w:left w:val="none" w:sz="0" w:space="0" w:color="auto"/>
                    <w:bottom w:val="none" w:sz="0" w:space="0" w:color="auto"/>
                    <w:right w:val="none" w:sz="0" w:space="0" w:color="auto"/>
                  </w:divBdr>
                  <w:divsChild>
                    <w:div w:id="104228846">
                      <w:marLeft w:val="0"/>
                      <w:marRight w:val="0"/>
                      <w:marTop w:val="0"/>
                      <w:marBottom w:val="0"/>
                      <w:divBdr>
                        <w:top w:val="none" w:sz="0" w:space="0" w:color="auto"/>
                        <w:left w:val="none" w:sz="0" w:space="0" w:color="auto"/>
                        <w:bottom w:val="none" w:sz="0" w:space="0" w:color="auto"/>
                        <w:right w:val="none" w:sz="0" w:space="0" w:color="auto"/>
                      </w:divBdr>
                      <w:divsChild>
                        <w:div w:id="2144692782">
                          <w:marLeft w:val="0"/>
                          <w:marRight w:val="0"/>
                          <w:marTop w:val="0"/>
                          <w:marBottom w:val="0"/>
                          <w:divBdr>
                            <w:top w:val="none" w:sz="0" w:space="0" w:color="auto"/>
                            <w:left w:val="none" w:sz="0" w:space="0" w:color="auto"/>
                            <w:bottom w:val="none" w:sz="0" w:space="0" w:color="auto"/>
                            <w:right w:val="none" w:sz="0" w:space="0" w:color="auto"/>
                          </w:divBdr>
                        </w:div>
                      </w:divsChild>
                    </w:div>
                    <w:div w:id="638538381">
                      <w:marLeft w:val="0"/>
                      <w:marRight w:val="0"/>
                      <w:marTop w:val="0"/>
                      <w:marBottom w:val="0"/>
                      <w:divBdr>
                        <w:top w:val="none" w:sz="0" w:space="0" w:color="auto"/>
                        <w:left w:val="none" w:sz="0" w:space="0" w:color="auto"/>
                        <w:bottom w:val="none" w:sz="0" w:space="0" w:color="auto"/>
                        <w:right w:val="none" w:sz="0" w:space="0" w:color="auto"/>
                      </w:divBdr>
                      <w:divsChild>
                        <w:div w:id="2038390505">
                          <w:marLeft w:val="0"/>
                          <w:marRight w:val="0"/>
                          <w:marTop w:val="0"/>
                          <w:marBottom w:val="0"/>
                          <w:divBdr>
                            <w:top w:val="none" w:sz="0" w:space="0" w:color="auto"/>
                            <w:left w:val="none" w:sz="0" w:space="0" w:color="auto"/>
                            <w:bottom w:val="none" w:sz="0" w:space="0" w:color="auto"/>
                            <w:right w:val="none" w:sz="0" w:space="0" w:color="auto"/>
                          </w:divBdr>
                          <w:divsChild>
                            <w:div w:id="2130388914">
                              <w:marLeft w:val="0"/>
                              <w:marRight w:val="0"/>
                              <w:marTop w:val="0"/>
                              <w:marBottom w:val="0"/>
                              <w:divBdr>
                                <w:top w:val="none" w:sz="0" w:space="0" w:color="auto"/>
                                <w:left w:val="none" w:sz="0" w:space="0" w:color="auto"/>
                                <w:bottom w:val="none" w:sz="0" w:space="0" w:color="auto"/>
                                <w:right w:val="none" w:sz="0" w:space="0" w:color="auto"/>
                              </w:divBdr>
                              <w:divsChild>
                                <w:div w:id="1386295393">
                                  <w:marLeft w:val="0"/>
                                  <w:marRight w:val="0"/>
                                  <w:marTop w:val="0"/>
                                  <w:marBottom w:val="0"/>
                                  <w:divBdr>
                                    <w:top w:val="none" w:sz="0" w:space="0" w:color="auto"/>
                                    <w:left w:val="none" w:sz="0" w:space="0" w:color="auto"/>
                                    <w:bottom w:val="none" w:sz="0" w:space="0" w:color="auto"/>
                                    <w:right w:val="none" w:sz="0" w:space="0" w:color="auto"/>
                                  </w:divBdr>
                                  <w:divsChild>
                                    <w:div w:id="9472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331877">
      <w:bodyDiv w:val="1"/>
      <w:marLeft w:val="0"/>
      <w:marRight w:val="0"/>
      <w:marTop w:val="0"/>
      <w:marBottom w:val="0"/>
      <w:divBdr>
        <w:top w:val="none" w:sz="0" w:space="0" w:color="auto"/>
        <w:left w:val="none" w:sz="0" w:space="0" w:color="auto"/>
        <w:bottom w:val="none" w:sz="0" w:space="0" w:color="auto"/>
        <w:right w:val="none" w:sz="0" w:space="0" w:color="auto"/>
      </w:divBdr>
    </w:div>
    <w:div w:id="1444302054">
      <w:bodyDiv w:val="1"/>
      <w:marLeft w:val="0"/>
      <w:marRight w:val="0"/>
      <w:marTop w:val="0"/>
      <w:marBottom w:val="0"/>
      <w:divBdr>
        <w:top w:val="none" w:sz="0" w:space="0" w:color="auto"/>
        <w:left w:val="none" w:sz="0" w:space="0" w:color="auto"/>
        <w:bottom w:val="none" w:sz="0" w:space="0" w:color="auto"/>
        <w:right w:val="none" w:sz="0" w:space="0" w:color="auto"/>
      </w:divBdr>
    </w:div>
    <w:div w:id="1447699312">
      <w:bodyDiv w:val="1"/>
      <w:marLeft w:val="0"/>
      <w:marRight w:val="0"/>
      <w:marTop w:val="0"/>
      <w:marBottom w:val="0"/>
      <w:divBdr>
        <w:top w:val="none" w:sz="0" w:space="0" w:color="auto"/>
        <w:left w:val="none" w:sz="0" w:space="0" w:color="auto"/>
        <w:bottom w:val="none" w:sz="0" w:space="0" w:color="auto"/>
        <w:right w:val="none" w:sz="0" w:space="0" w:color="auto"/>
      </w:divBdr>
    </w:div>
    <w:div w:id="1455556764">
      <w:bodyDiv w:val="1"/>
      <w:marLeft w:val="0"/>
      <w:marRight w:val="0"/>
      <w:marTop w:val="0"/>
      <w:marBottom w:val="0"/>
      <w:divBdr>
        <w:top w:val="none" w:sz="0" w:space="0" w:color="auto"/>
        <w:left w:val="none" w:sz="0" w:space="0" w:color="auto"/>
        <w:bottom w:val="none" w:sz="0" w:space="0" w:color="auto"/>
        <w:right w:val="none" w:sz="0" w:space="0" w:color="auto"/>
      </w:divBdr>
    </w:div>
    <w:div w:id="1461411634">
      <w:bodyDiv w:val="1"/>
      <w:marLeft w:val="0"/>
      <w:marRight w:val="0"/>
      <w:marTop w:val="0"/>
      <w:marBottom w:val="0"/>
      <w:divBdr>
        <w:top w:val="none" w:sz="0" w:space="0" w:color="auto"/>
        <w:left w:val="none" w:sz="0" w:space="0" w:color="auto"/>
        <w:bottom w:val="none" w:sz="0" w:space="0" w:color="auto"/>
        <w:right w:val="none" w:sz="0" w:space="0" w:color="auto"/>
      </w:divBdr>
    </w:div>
    <w:div w:id="1475485913">
      <w:bodyDiv w:val="1"/>
      <w:marLeft w:val="0"/>
      <w:marRight w:val="0"/>
      <w:marTop w:val="0"/>
      <w:marBottom w:val="0"/>
      <w:divBdr>
        <w:top w:val="none" w:sz="0" w:space="0" w:color="auto"/>
        <w:left w:val="none" w:sz="0" w:space="0" w:color="auto"/>
        <w:bottom w:val="none" w:sz="0" w:space="0" w:color="auto"/>
        <w:right w:val="none" w:sz="0" w:space="0" w:color="auto"/>
      </w:divBdr>
      <w:divsChild>
        <w:div w:id="511339641">
          <w:marLeft w:val="0"/>
          <w:marRight w:val="0"/>
          <w:marTop w:val="0"/>
          <w:marBottom w:val="0"/>
          <w:divBdr>
            <w:top w:val="none" w:sz="0" w:space="0" w:color="auto"/>
            <w:left w:val="none" w:sz="0" w:space="0" w:color="auto"/>
            <w:bottom w:val="none" w:sz="0" w:space="0" w:color="auto"/>
            <w:right w:val="none" w:sz="0" w:space="0" w:color="auto"/>
          </w:divBdr>
          <w:divsChild>
            <w:div w:id="1324092030">
              <w:marLeft w:val="0"/>
              <w:marRight w:val="0"/>
              <w:marTop w:val="0"/>
              <w:marBottom w:val="0"/>
              <w:divBdr>
                <w:top w:val="none" w:sz="0" w:space="0" w:color="auto"/>
                <w:left w:val="none" w:sz="0" w:space="0" w:color="auto"/>
                <w:bottom w:val="none" w:sz="0" w:space="0" w:color="auto"/>
                <w:right w:val="none" w:sz="0" w:space="0" w:color="auto"/>
              </w:divBdr>
              <w:divsChild>
                <w:div w:id="1575165102">
                  <w:marLeft w:val="0"/>
                  <w:marRight w:val="0"/>
                  <w:marTop w:val="0"/>
                  <w:marBottom w:val="0"/>
                  <w:divBdr>
                    <w:top w:val="none" w:sz="0" w:space="0" w:color="auto"/>
                    <w:left w:val="none" w:sz="0" w:space="0" w:color="auto"/>
                    <w:bottom w:val="none" w:sz="0" w:space="0" w:color="auto"/>
                    <w:right w:val="none" w:sz="0" w:space="0" w:color="auto"/>
                  </w:divBdr>
                  <w:divsChild>
                    <w:div w:id="19522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41603">
          <w:marLeft w:val="0"/>
          <w:marRight w:val="0"/>
          <w:marTop w:val="0"/>
          <w:marBottom w:val="0"/>
          <w:divBdr>
            <w:top w:val="none" w:sz="0" w:space="0" w:color="auto"/>
            <w:left w:val="none" w:sz="0" w:space="0" w:color="auto"/>
            <w:bottom w:val="none" w:sz="0" w:space="0" w:color="auto"/>
            <w:right w:val="none" w:sz="0" w:space="0" w:color="auto"/>
          </w:divBdr>
          <w:divsChild>
            <w:div w:id="1995060703">
              <w:marLeft w:val="0"/>
              <w:marRight w:val="0"/>
              <w:marTop w:val="0"/>
              <w:marBottom w:val="0"/>
              <w:divBdr>
                <w:top w:val="none" w:sz="0" w:space="0" w:color="auto"/>
                <w:left w:val="none" w:sz="0" w:space="0" w:color="auto"/>
                <w:bottom w:val="none" w:sz="0" w:space="0" w:color="auto"/>
                <w:right w:val="none" w:sz="0" w:space="0" w:color="auto"/>
              </w:divBdr>
              <w:divsChild>
                <w:div w:id="196392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565052">
      <w:bodyDiv w:val="1"/>
      <w:marLeft w:val="0"/>
      <w:marRight w:val="0"/>
      <w:marTop w:val="0"/>
      <w:marBottom w:val="0"/>
      <w:divBdr>
        <w:top w:val="none" w:sz="0" w:space="0" w:color="auto"/>
        <w:left w:val="none" w:sz="0" w:space="0" w:color="auto"/>
        <w:bottom w:val="none" w:sz="0" w:space="0" w:color="auto"/>
        <w:right w:val="none" w:sz="0" w:space="0" w:color="auto"/>
      </w:divBdr>
    </w:div>
    <w:div w:id="1490249474">
      <w:bodyDiv w:val="1"/>
      <w:marLeft w:val="0"/>
      <w:marRight w:val="0"/>
      <w:marTop w:val="0"/>
      <w:marBottom w:val="0"/>
      <w:divBdr>
        <w:top w:val="none" w:sz="0" w:space="0" w:color="auto"/>
        <w:left w:val="none" w:sz="0" w:space="0" w:color="auto"/>
        <w:bottom w:val="none" w:sz="0" w:space="0" w:color="auto"/>
        <w:right w:val="none" w:sz="0" w:space="0" w:color="auto"/>
      </w:divBdr>
    </w:div>
    <w:div w:id="1492401960">
      <w:bodyDiv w:val="1"/>
      <w:marLeft w:val="0"/>
      <w:marRight w:val="0"/>
      <w:marTop w:val="0"/>
      <w:marBottom w:val="0"/>
      <w:divBdr>
        <w:top w:val="none" w:sz="0" w:space="0" w:color="auto"/>
        <w:left w:val="none" w:sz="0" w:space="0" w:color="auto"/>
        <w:bottom w:val="none" w:sz="0" w:space="0" w:color="auto"/>
        <w:right w:val="none" w:sz="0" w:space="0" w:color="auto"/>
      </w:divBdr>
    </w:div>
    <w:div w:id="1495796548">
      <w:bodyDiv w:val="1"/>
      <w:marLeft w:val="0"/>
      <w:marRight w:val="0"/>
      <w:marTop w:val="0"/>
      <w:marBottom w:val="0"/>
      <w:divBdr>
        <w:top w:val="none" w:sz="0" w:space="0" w:color="auto"/>
        <w:left w:val="none" w:sz="0" w:space="0" w:color="auto"/>
        <w:bottom w:val="none" w:sz="0" w:space="0" w:color="auto"/>
        <w:right w:val="none" w:sz="0" w:space="0" w:color="auto"/>
      </w:divBdr>
    </w:div>
    <w:div w:id="1496140564">
      <w:bodyDiv w:val="1"/>
      <w:marLeft w:val="0"/>
      <w:marRight w:val="0"/>
      <w:marTop w:val="0"/>
      <w:marBottom w:val="0"/>
      <w:divBdr>
        <w:top w:val="none" w:sz="0" w:space="0" w:color="auto"/>
        <w:left w:val="none" w:sz="0" w:space="0" w:color="auto"/>
        <w:bottom w:val="none" w:sz="0" w:space="0" w:color="auto"/>
        <w:right w:val="none" w:sz="0" w:space="0" w:color="auto"/>
      </w:divBdr>
    </w:div>
    <w:div w:id="1496652506">
      <w:bodyDiv w:val="1"/>
      <w:marLeft w:val="0"/>
      <w:marRight w:val="0"/>
      <w:marTop w:val="0"/>
      <w:marBottom w:val="0"/>
      <w:divBdr>
        <w:top w:val="none" w:sz="0" w:space="0" w:color="auto"/>
        <w:left w:val="none" w:sz="0" w:space="0" w:color="auto"/>
        <w:bottom w:val="none" w:sz="0" w:space="0" w:color="auto"/>
        <w:right w:val="none" w:sz="0" w:space="0" w:color="auto"/>
      </w:divBdr>
    </w:div>
    <w:div w:id="1497111723">
      <w:bodyDiv w:val="1"/>
      <w:marLeft w:val="0"/>
      <w:marRight w:val="0"/>
      <w:marTop w:val="0"/>
      <w:marBottom w:val="0"/>
      <w:divBdr>
        <w:top w:val="none" w:sz="0" w:space="0" w:color="auto"/>
        <w:left w:val="none" w:sz="0" w:space="0" w:color="auto"/>
        <w:bottom w:val="none" w:sz="0" w:space="0" w:color="auto"/>
        <w:right w:val="none" w:sz="0" w:space="0" w:color="auto"/>
      </w:divBdr>
    </w:div>
    <w:div w:id="1503472531">
      <w:bodyDiv w:val="1"/>
      <w:marLeft w:val="0"/>
      <w:marRight w:val="0"/>
      <w:marTop w:val="0"/>
      <w:marBottom w:val="0"/>
      <w:divBdr>
        <w:top w:val="none" w:sz="0" w:space="0" w:color="auto"/>
        <w:left w:val="none" w:sz="0" w:space="0" w:color="auto"/>
        <w:bottom w:val="none" w:sz="0" w:space="0" w:color="auto"/>
        <w:right w:val="none" w:sz="0" w:space="0" w:color="auto"/>
      </w:divBdr>
    </w:div>
    <w:div w:id="1504320402">
      <w:bodyDiv w:val="1"/>
      <w:marLeft w:val="0"/>
      <w:marRight w:val="0"/>
      <w:marTop w:val="0"/>
      <w:marBottom w:val="0"/>
      <w:divBdr>
        <w:top w:val="none" w:sz="0" w:space="0" w:color="auto"/>
        <w:left w:val="none" w:sz="0" w:space="0" w:color="auto"/>
        <w:bottom w:val="none" w:sz="0" w:space="0" w:color="auto"/>
        <w:right w:val="none" w:sz="0" w:space="0" w:color="auto"/>
      </w:divBdr>
      <w:divsChild>
        <w:div w:id="1528062647">
          <w:marLeft w:val="0"/>
          <w:marRight w:val="0"/>
          <w:marTop w:val="0"/>
          <w:marBottom w:val="0"/>
          <w:divBdr>
            <w:top w:val="none" w:sz="0" w:space="0" w:color="auto"/>
            <w:left w:val="none" w:sz="0" w:space="0" w:color="auto"/>
            <w:bottom w:val="none" w:sz="0" w:space="0" w:color="auto"/>
            <w:right w:val="none" w:sz="0" w:space="0" w:color="auto"/>
          </w:divBdr>
          <w:divsChild>
            <w:div w:id="91628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9874">
      <w:bodyDiv w:val="1"/>
      <w:marLeft w:val="0"/>
      <w:marRight w:val="0"/>
      <w:marTop w:val="0"/>
      <w:marBottom w:val="0"/>
      <w:divBdr>
        <w:top w:val="none" w:sz="0" w:space="0" w:color="auto"/>
        <w:left w:val="none" w:sz="0" w:space="0" w:color="auto"/>
        <w:bottom w:val="none" w:sz="0" w:space="0" w:color="auto"/>
        <w:right w:val="none" w:sz="0" w:space="0" w:color="auto"/>
      </w:divBdr>
    </w:div>
    <w:div w:id="1516843731">
      <w:bodyDiv w:val="1"/>
      <w:marLeft w:val="0"/>
      <w:marRight w:val="0"/>
      <w:marTop w:val="0"/>
      <w:marBottom w:val="0"/>
      <w:divBdr>
        <w:top w:val="none" w:sz="0" w:space="0" w:color="auto"/>
        <w:left w:val="none" w:sz="0" w:space="0" w:color="auto"/>
        <w:bottom w:val="none" w:sz="0" w:space="0" w:color="auto"/>
        <w:right w:val="none" w:sz="0" w:space="0" w:color="auto"/>
      </w:divBdr>
    </w:div>
    <w:div w:id="1525905066">
      <w:bodyDiv w:val="1"/>
      <w:marLeft w:val="0"/>
      <w:marRight w:val="0"/>
      <w:marTop w:val="0"/>
      <w:marBottom w:val="0"/>
      <w:divBdr>
        <w:top w:val="none" w:sz="0" w:space="0" w:color="auto"/>
        <w:left w:val="none" w:sz="0" w:space="0" w:color="auto"/>
        <w:bottom w:val="none" w:sz="0" w:space="0" w:color="auto"/>
        <w:right w:val="none" w:sz="0" w:space="0" w:color="auto"/>
      </w:divBdr>
    </w:div>
    <w:div w:id="1542284325">
      <w:bodyDiv w:val="1"/>
      <w:marLeft w:val="0"/>
      <w:marRight w:val="0"/>
      <w:marTop w:val="0"/>
      <w:marBottom w:val="0"/>
      <w:divBdr>
        <w:top w:val="none" w:sz="0" w:space="0" w:color="auto"/>
        <w:left w:val="none" w:sz="0" w:space="0" w:color="auto"/>
        <w:bottom w:val="none" w:sz="0" w:space="0" w:color="auto"/>
        <w:right w:val="none" w:sz="0" w:space="0" w:color="auto"/>
      </w:divBdr>
    </w:div>
    <w:div w:id="1548444730">
      <w:bodyDiv w:val="1"/>
      <w:marLeft w:val="0"/>
      <w:marRight w:val="0"/>
      <w:marTop w:val="0"/>
      <w:marBottom w:val="0"/>
      <w:divBdr>
        <w:top w:val="none" w:sz="0" w:space="0" w:color="auto"/>
        <w:left w:val="none" w:sz="0" w:space="0" w:color="auto"/>
        <w:bottom w:val="none" w:sz="0" w:space="0" w:color="auto"/>
        <w:right w:val="none" w:sz="0" w:space="0" w:color="auto"/>
      </w:divBdr>
    </w:div>
    <w:div w:id="1550845745">
      <w:bodyDiv w:val="1"/>
      <w:marLeft w:val="0"/>
      <w:marRight w:val="0"/>
      <w:marTop w:val="0"/>
      <w:marBottom w:val="0"/>
      <w:divBdr>
        <w:top w:val="none" w:sz="0" w:space="0" w:color="auto"/>
        <w:left w:val="none" w:sz="0" w:space="0" w:color="auto"/>
        <w:bottom w:val="none" w:sz="0" w:space="0" w:color="auto"/>
        <w:right w:val="none" w:sz="0" w:space="0" w:color="auto"/>
      </w:divBdr>
    </w:div>
    <w:div w:id="1558318903">
      <w:bodyDiv w:val="1"/>
      <w:marLeft w:val="0"/>
      <w:marRight w:val="0"/>
      <w:marTop w:val="0"/>
      <w:marBottom w:val="0"/>
      <w:divBdr>
        <w:top w:val="none" w:sz="0" w:space="0" w:color="auto"/>
        <w:left w:val="none" w:sz="0" w:space="0" w:color="auto"/>
        <w:bottom w:val="none" w:sz="0" w:space="0" w:color="auto"/>
        <w:right w:val="none" w:sz="0" w:space="0" w:color="auto"/>
      </w:divBdr>
    </w:div>
    <w:div w:id="1559242358">
      <w:bodyDiv w:val="1"/>
      <w:marLeft w:val="0"/>
      <w:marRight w:val="0"/>
      <w:marTop w:val="0"/>
      <w:marBottom w:val="0"/>
      <w:divBdr>
        <w:top w:val="none" w:sz="0" w:space="0" w:color="auto"/>
        <w:left w:val="none" w:sz="0" w:space="0" w:color="auto"/>
        <w:bottom w:val="none" w:sz="0" w:space="0" w:color="auto"/>
        <w:right w:val="none" w:sz="0" w:space="0" w:color="auto"/>
      </w:divBdr>
    </w:div>
    <w:div w:id="1568691256">
      <w:bodyDiv w:val="1"/>
      <w:marLeft w:val="0"/>
      <w:marRight w:val="0"/>
      <w:marTop w:val="0"/>
      <w:marBottom w:val="0"/>
      <w:divBdr>
        <w:top w:val="none" w:sz="0" w:space="0" w:color="auto"/>
        <w:left w:val="none" w:sz="0" w:space="0" w:color="auto"/>
        <w:bottom w:val="none" w:sz="0" w:space="0" w:color="auto"/>
        <w:right w:val="none" w:sz="0" w:space="0" w:color="auto"/>
      </w:divBdr>
    </w:div>
    <w:div w:id="1569850914">
      <w:bodyDiv w:val="1"/>
      <w:marLeft w:val="0"/>
      <w:marRight w:val="0"/>
      <w:marTop w:val="0"/>
      <w:marBottom w:val="0"/>
      <w:divBdr>
        <w:top w:val="none" w:sz="0" w:space="0" w:color="auto"/>
        <w:left w:val="none" w:sz="0" w:space="0" w:color="auto"/>
        <w:bottom w:val="none" w:sz="0" w:space="0" w:color="auto"/>
        <w:right w:val="none" w:sz="0" w:space="0" w:color="auto"/>
      </w:divBdr>
    </w:div>
    <w:div w:id="1572885438">
      <w:bodyDiv w:val="1"/>
      <w:marLeft w:val="0"/>
      <w:marRight w:val="0"/>
      <w:marTop w:val="0"/>
      <w:marBottom w:val="0"/>
      <w:divBdr>
        <w:top w:val="none" w:sz="0" w:space="0" w:color="auto"/>
        <w:left w:val="none" w:sz="0" w:space="0" w:color="auto"/>
        <w:bottom w:val="none" w:sz="0" w:space="0" w:color="auto"/>
        <w:right w:val="none" w:sz="0" w:space="0" w:color="auto"/>
      </w:divBdr>
    </w:div>
    <w:div w:id="1580098956">
      <w:bodyDiv w:val="1"/>
      <w:marLeft w:val="0"/>
      <w:marRight w:val="0"/>
      <w:marTop w:val="0"/>
      <w:marBottom w:val="0"/>
      <w:divBdr>
        <w:top w:val="none" w:sz="0" w:space="0" w:color="auto"/>
        <w:left w:val="none" w:sz="0" w:space="0" w:color="auto"/>
        <w:bottom w:val="none" w:sz="0" w:space="0" w:color="auto"/>
        <w:right w:val="none" w:sz="0" w:space="0" w:color="auto"/>
      </w:divBdr>
      <w:divsChild>
        <w:div w:id="38483053">
          <w:marLeft w:val="0"/>
          <w:marRight w:val="0"/>
          <w:marTop w:val="0"/>
          <w:marBottom w:val="0"/>
          <w:divBdr>
            <w:top w:val="none" w:sz="0" w:space="0" w:color="auto"/>
            <w:left w:val="none" w:sz="0" w:space="0" w:color="auto"/>
            <w:bottom w:val="none" w:sz="0" w:space="0" w:color="auto"/>
            <w:right w:val="none" w:sz="0" w:space="0" w:color="auto"/>
          </w:divBdr>
          <w:divsChild>
            <w:div w:id="1138258939">
              <w:marLeft w:val="0"/>
              <w:marRight w:val="0"/>
              <w:marTop w:val="0"/>
              <w:marBottom w:val="0"/>
              <w:divBdr>
                <w:top w:val="none" w:sz="0" w:space="0" w:color="auto"/>
                <w:left w:val="none" w:sz="0" w:space="0" w:color="auto"/>
                <w:bottom w:val="none" w:sz="0" w:space="0" w:color="auto"/>
                <w:right w:val="none" w:sz="0" w:space="0" w:color="auto"/>
              </w:divBdr>
              <w:divsChild>
                <w:div w:id="81686878">
                  <w:marLeft w:val="0"/>
                  <w:marRight w:val="0"/>
                  <w:marTop w:val="0"/>
                  <w:marBottom w:val="0"/>
                  <w:divBdr>
                    <w:top w:val="none" w:sz="0" w:space="0" w:color="auto"/>
                    <w:left w:val="none" w:sz="0" w:space="0" w:color="auto"/>
                    <w:bottom w:val="none" w:sz="0" w:space="0" w:color="auto"/>
                    <w:right w:val="none" w:sz="0" w:space="0" w:color="auto"/>
                  </w:divBdr>
                  <w:divsChild>
                    <w:div w:id="14780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38501">
      <w:bodyDiv w:val="1"/>
      <w:marLeft w:val="0"/>
      <w:marRight w:val="0"/>
      <w:marTop w:val="0"/>
      <w:marBottom w:val="0"/>
      <w:divBdr>
        <w:top w:val="none" w:sz="0" w:space="0" w:color="auto"/>
        <w:left w:val="none" w:sz="0" w:space="0" w:color="auto"/>
        <w:bottom w:val="none" w:sz="0" w:space="0" w:color="auto"/>
        <w:right w:val="none" w:sz="0" w:space="0" w:color="auto"/>
      </w:divBdr>
      <w:divsChild>
        <w:div w:id="885408542">
          <w:marLeft w:val="0"/>
          <w:marRight w:val="0"/>
          <w:marTop w:val="0"/>
          <w:marBottom w:val="0"/>
          <w:divBdr>
            <w:top w:val="none" w:sz="0" w:space="0" w:color="auto"/>
            <w:left w:val="none" w:sz="0" w:space="0" w:color="auto"/>
            <w:bottom w:val="none" w:sz="0" w:space="0" w:color="auto"/>
            <w:right w:val="none" w:sz="0" w:space="0" w:color="auto"/>
          </w:divBdr>
          <w:divsChild>
            <w:div w:id="1571771686">
              <w:marLeft w:val="0"/>
              <w:marRight w:val="0"/>
              <w:marTop w:val="0"/>
              <w:marBottom w:val="0"/>
              <w:divBdr>
                <w:top w:val="none" w:sz="0" w:space="0" w:color="auto"/>
                <w:left w:val="none" w:sz="0" w:space="0" w:color="auto"/>
                <w:bottom w:val="none" w:sz="0" w:space="0" w:color="auto"/>
                <w:right w:val="none" w:sz="0" w:space="0" w:color="auto"/>
              </w:divBdr>
              <w:divsChild>
                <w:div w:id="1007635834">
                  <w:marLeft w:val="0"/>
                  <w:marRight w:val="0"/>
                  <w:marTop w:val="0"/>
                  <w:marBottom w:val="0"/>
                  <w:divBdr>
                    <w:top w:val="none" w:sz="0" w:space="0" w:color="auto"/>
                    <w:left w:val="none" w:sz="0" w:space="0" w:color="auto"/>
                    <w:bottom w:val="none" w:sz="0" w:space="0" w:color="auto"/>
                    <w:right w:val="none" w:sz="0" w:space="0" w:color="auto"/>
                  </w:divBdr>
                  <w:divsChild>
                    <w:div w:id="1921402973">
                      <w:marLeft w:val="0"/>
                      <w:marRight w:val="0"/>
                      <w:marTop w:val="0"/>
                      <w:marBottom w:val="0"/>
                      <w:divBdr>
                        <w:top w:val="none" w:sz="0" w:space="0" w:color="auto"/>
                        <w:left w:val="none" w:sz="0" w:space="0" w:color="auto"/>
                        <w:bottom w:val="none" w:sz="0" w:space="0" w:color="auto"/>
                        <w:right w:val="none" w:sz="0" w:space="0" w:color="auto"/>
                      </w:divBdr>
                      <w:divsChild>
                        <w:div w:id="1423448239">
                          <w:marLeft w:val="0"/>
                          <w:marRight w:val="0"/>
                          <w:marTop w:val="0"/>
                          <w:marBottom w:val="0"/>
                          <w:divBdr>
                            <w:top w:val="none" w:sz="0" w:space="0" w:color="auto"/>
                            <w:left w:val="none" w:sz="0" w:space="0" w:color="auto"/>
                            <w:bottom w:val="none" w:sz="0" w:space="0" w:color="auto"/>
                            <w:right w:val="none" w:sz="0" w:space="0" w:color="auto"/>
                          </w:divBdr>
                          <w:divsChild>
                            <w:div w:id="109211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538928">
      <w:bodyDiv w:val="1"/>
      <w:marLeft w:val="0"/>
      <w:marRight w:val="0"/>
      <w:marTop w:val="0"/>
      <w:marBottom w:val="0"/>
      <w:divBdr>
        <w:top w:val="none" w:sz="0" w:space="0" w:color="auto"/>
        <w:left w:val="none" w:sz="0" w:space="0" w:color="auto"/>
        <w:bottom w:val="none" w:sz="0" w:space="0" w:color="auto"/>
        <w:right w:val="none" w:sz="0" w:space="0" w:color="auto"/>
      </w:divBdr>
    </w:div>
    <w:div w:id="1631666540">
      <w:bodyDiv w:val="1"/>
      <w:marLeft w:val="0"/>
      <w:marRight w:val="0"/>
      <w:marTop w:val="0"/>
      <w:marBottom w:val="0"/>
      <w:divBdr>
        <w:top w:val="none" w:sz="0" w:space="0" w:color="auto"/>
        <w:left w:val="none" w:sz="0" w:space="0" w:color="auto"/>
        <w:bottom w:val="none" w:sz="0" w:space="0" w:color="auto"/>
        <w:right w:val="none" w:sz="0" w:space="0" w:color="auto"/>
      </w:divBdr>
    </w:div>
    <w:div w:id="1638562013">
      <w:bodyDiv w:val="1"/>
      <w:marLeft w:val="0"/>
      <w:marRight w:val="0"/>
      <w:marTop w:val="0"/>
      <w:marBottom w:val="0"/>
      <w:divBdr>
        <w:top w:val="none" w:sz="0" w:space="0" w:color="auto"/>
        <w:left w:val="none" w:sz="0" w:space="0" w:color="auto"/>
        <w:bottom w:val="none" w:sz="0" w:space="0" w:color="auto"/>
        <w:right w:val="none" w:sz="0" w:space="0" w:color="auto"/>
      </w:divBdr>
    </w:div>
    <w:div w:id="1649936108">
      <w:bodyDiv w:val="1"/>
      <w:marLeft w:val="0"/>
      <w:marRight w:val="0"/>
      <w:marTop w:val="0"/>
      <w:marBottom w:val="0"/>
      <w:divBdr>
        <w:top w:val="none" w:sz="0" w:space="0" w:color="auto"/>
        <w:left w:val="none" w:sz="0" w:space="0" w:color="auto"/>
        <w:bottom w:val="none" w:sz="0" w:space="0" w:color="auto"/>
        <w:right w:val="none" w:sz="0" w:space="0" w:color="auto"/>
      </w:divBdr>
    </w:div>
    <w:div w:id="1653214589">
      <w:bodyDiv w:val="1"/>
      <w:marLeft w:val="0"/>
      <w:marRight w:val="0"/>
      <w:marTop w:val="0"/>
      <w:marBottom w:val="0"/>
      <w:divBdr>
        <w:top w:val="none" w:sz="0" w:space="0" w:color="auto"/>
        <w:left w:val="none" w:sz="0" w:space="0" w:color="auto"/>
        <w:bottom w:val="none" w:sz="0" w:space="0" w:color="auto"/>
        <w:right w:val="none" w:sz="0" w:space="0" w:color="auto"/>
      </w:divBdr>
      <w:divsChild>
        <w:div w:id="469128541">
          <w:marLeft w:val="0"/>
          <w:marRight w:val="0"/>
          <w:marTop w:val="0"/>
          <w:marBottom w:val="0"/>
          <w:divBdr>
            <w:top w:val="none" w:sz="0" w:space="0" w:color="auto"/>
            <w:left w:val="none" w:sz="0" w:space="0" w:color="auto"/>
            <w:bottom w:val="none" w:sz="0" w:space="0" w:color="auto"/>
            <w:right w:val="none" w:sz="0" w:space="0" w:color="auto"/>
          </w:divBdr>
          <w:divsChild>
            <w:div w:id="878131001">
              <w:marLeft w:val="0"/>
              <w:marRight w:val="0"/>
              <w:marTop w:val="0"/>
              <w:marBottom w:val="0"/>
              <w:divBdr>
                <w:top w:val="none" w:sz="0" w:space="0" w:color="auto"/>
                <w:left w:val="none" w:sz="0" w:space="0" w:color="auto"/>
                <w:bottom w:val="none" w:sz="0" w:space="0" w:color="auto"/>
                <w:right w:val="none" w:sz="0" w:space="0" w:color="auto"/>
              </w:divBdr>
              <w:divsChild>
                <w:div w:id="874930521">
                  <w:marLeft w:val="0"/>
                  <w:marRight w:val="0"/>
                  <w:marTop w:val="0"/>
                  <w:marBottom w:val="0"/>
                  <w:divBdr>
                    <w:top w:val="none" w:sz="0" w:space="0" w:color="auto"/>
                    <w:left w:val="none" w:sz="0" w:space="0" w:color="auto"/>
                    <w:bottom w:val="none" w:sz="0" w:space="0" w:color="auto"/>
                    <w:right w:val="none" w:sz="0" w:space="0" w:color="auto"/>
                  </w:divBdr>
                  <w:divsChild>
                    <w:div w:id="1614172524">
                      <w:marLeft w:val="0"/>
                      <w:marRight w:val="0"/>
                      <w:marTop w:val="0"/>
                      <w:marBottom w:val="0"/>
                      <w:divBdr>
                        <w:top w:val="none" w:sz="0" w:space="0" w:color="auto"/>
                        <w:left w:val="none" w:sz="0" w:space="0" w:color="auto"/>
                        <w:bottom w:val="none" w:sz="0" w:space="0" w:color="auto"/>
                        <w:right w:val="none" w:sz="0" w:space="0" w:color="auto"/>
                      </w:divBdr>
                      <w:divsChild>
                        <w:div w:id="858542909">
                          <w:marLeft w:val="0"/>
                          <w:marRight w:val="0"/>
                          <w:marTop w:val="0"/>
                          <w:marBottom w:val="0"/>
                          <w:divBdr>
                            <w:top w:val="none" w:sz="0" w:space="0" w:color="auto"/>
                            <w:left w:val="none" w:sz="0" w:space="0" w:color="auto"/>
                            <w:bottom w:val="none" w:sz="0" w:space="0" w:color="auto"/>
                            <w:right w:val="none" w:sz="0" w:space="0" w:color="auto"/>
                          </w:divBdr>
                          <w:divsChild>
                            <w:div w:id="916329745">
                              <w:marLeft w:val="0"/>
                              <w:marRight w:val="0"/>
                              <w:marTop w:val="0"/>
                              <w:marBottom w:val="0"/>
                              <w:divBdr>
                                <w:top w:val="none" w:sz="0" w:space="0" w:color="auto"/>
                                <w:left w:val="none" w:sz="0" w:space="0" w:color="auto"/>
                                <w:bottom w:val="none" w:sz="0" w:space="0" w:color="auto"/>
                                <w:right w:val="none" w:sz="0" w:space="0" w:color="auto"/>
                              </w:divBdr>
                              <w:divsChild>
                                <w:div w:id="2057855451">
                                  <w:marLeft w:val="0"/>
                                  <w:marRight w:val="0"/>
                                  <w:marTop w:val="0"/>
                                  <w:marBottom w:val="0"/>
                                  <w:divBdr>
                                    <w:top w:val="none" w:sz="0" w:space="0" w:color="auto"/>
                                    <w:left w:val="none" w:sz="0" w:space="0" w:color="auto"/>
                                    <w:bottom w:val="none" w:sz="0" w:space="0" w:color="auto"/>
                                    <w:right w:val="none" w:sz="0" w:space="0" w:color="auto"/>
                                  </w:divBdr>
                                  <w:divsChild>
                                    <w:div w:id="7374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670141">
      <w:bodyDiv w:val="1"/>
      <w:marLeft w:val="0"/>
      <w:marRight w:val="0"/>
      <w:marTop w:val="0"/>
      <w:marBottom w:val="0"/>
      <w:divBdr>
        <w:top w:val="none" w:sz="0" w:space="0" w:color="auto"/>
        <w:left w:val="none" w:sz="0" w:space="0" w:color="auto"/>
        <w:bottom w:val="none" w:sz="0" w:space="0" w:color="auto"/>
        <w:right w:val="none" w:sz="0" w:space="0" w:color="auto"/>
      </w:divBdr>
    </w:div>
    <w:div w:id="1665890260">
      <w:bodyDiv w:val="1"/>
      <w:marLeft w:val="0"/>
      <w:marRight w:val="0"/>
      <w:marTop w:val="0"/>
      <w:marBottom w:val="0"/>
      <w:divBdr>
        <w:top w:val="none" w:sz="0" w:space="0" w:color="auto"/>
        <w:left w:val="none" w:sz="0" w:space="0" w:color="auto"/>
        <w:bottom w:val="none" w:sz="0" w:space="0" w:color="auto"/>
        <w:right w:val="none" w:sz="0" w:space="0" w:color="auto"/>
      </w:divBdr>
    </w:div>
    <w:div w:id="1666125196">
      <w:bodyDiv w:val="1"/>
      <w:marLeft w:val="0"/>
      <w:marRight w:val="0"/>
      <w:marTop w:val="0"/>
      <w:marBottom w:val="0"/>
      <w:divBdr>
        <w:top w:val="none" w:sz="0" w:space="0" w:color="auto"/>
        <w:left w:val="none" w:sz="0" w:space="0" w:color="auto"/>
        <w:bottom w:val="none" w:sz="0" w:space="0" w:color="auto"/>
        <w:right w:val="none" w:sz="0" w:space="0" w:color="auto"/>
      </w:divBdr>
      <w:divsChild>
        <w:div w:id="677074291">
          <w:marLeft w:val="0"/>
          <w:marRight w:val="0"/>
          <w:marTop w:val="0"/>
          <w:marBottom w:val="0"/>
          <w:divBdr>
            <w:top w:val="none" w:sz="0" w:space="0" w:color="auto"/>
            <w:left w:val="none" w:sz="0" w:space="0" w:color="auto"/>
            <w:bottom w:val="none" w:sz="0" w:space="0" w:color="auto"/>
            <w:right w:val="none" w:sz="0" w:space="0" w:color="auto"/>
          </w:divBdr>
          <w:divsChild>
            <w:div w:id="231695671">
              <w:marLeft w:val="0"/>
              <w:marRight w:val="0"/>
              <w:marTop w:val="0"/>
              <w:marBottom w:val="0"/>
              <w:divBdr>
                <w:top w:val="none" w:sz="0" w:space="0" w:color="auto"/>
                <w:left w:val="none" w:sz="0" w:space="0" w:color="auto"/>
                <w:bottom w:val="none" w:sz="0" w:space="0" w:color="auto"/>
                <w:right w:val="none" w:sz="0" w:space="0" w:color="auto"/>
              </w:divBdr>
              <w:divsChild>
                <w:div w:id="1967006065">
                  <w:marLeft w:val="0"/>
                  <w:marRight w:val="0"/>
                  <w:marTop w:val="0"/>
                  <w:marBottom w:val="0"/>
                  <w:divBdr>
                    <w:top w:val="none" w:sz="0" w:space="0" w:color="auto"/>
                    <w:left w:val="none" w:sz="0" w:space="0" w:color="auto"/>
                    <w:bottom w:val="none" w:sz="0" w:space="0" w:color="auto"/>
                    <w:right w:val="none" w:sz="0" w:space="0" w:color="auto"/>
                  </w:divBdr>
                  <w:divsChild>
                    <w:div w:id="90029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899683">
          <w:marLeft w:val="0"/>
          <w:marRight w:val="0"/>
          <w:marTop w:val="0"/>
          <w:marBottom w:val="0"/>
          <w:divBdr>
            <w:top w:val="none" w:sz="0" w:space="0" w:color="auto"/>
            <w:left w:val="none" w:sz="0" w:space="0" w:color="auto"/>
            <w:bottom w:val="none" w:sz="0" w:space="0" w:color="auto"/>
            <w:right w:val="none" w:sz="0" w:space="0" w:color="auto"/>
          </w:divBdr>
          <w:divsChild>
            <w:div w:id="1373842874">
              <w:marLeft w:val="0"/>
              <w:marRight w:val="0"/>
              <w:marTop w:val="0"/>
              <w:marBottom w:val="0"/>
              <w:divBdr>
                <w:top w:val="none" w:sz="0" w:space="0" w:color="auto"/>
                <w:left w:val="none" w:sz="0" w:space="0" w:color="auto"/>
                <w:bottom w:val="none" w:sz="0" w:space="0" w:color="auto"/>
                <w:right w:val="none" w:sz="0" w:space="0" w:color="auto"/>
              </w:divBdr>
              <w:divsChild>
                <w:div w:id="95016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6884">
      <w:bodyDiv w:val="1"/>
      <w:marLeft w:val="0"/>
      <w:marRight w:val="0"/>
      <w:marTop w:val="0"/>
      <w:marBottom w:val="0"/>
      <w:divBdr>
        <w:top w:val="none" w:sz="0" w:space="0" w:color="auto"/>
        <w:left w:val="none" w:sz="0" w:space="0" w:color="auto"/>
        <w:bottom w:val="none" w:sz="0" w:space="0" w:color="auto"/>
        <w:right w:val="none" w:sz="0" w:space="0" w:color="auto"/>
      </w:divBdr>
      <w:divsChild>
        <w:div w:id="1054278202">
          <w:marLeft w:val="0"/>
          <w:marRight w:val="0"/>
          <w:marTop w:val="0"/>
          <w:marBottom w:val="0"/>
          <w:divBdr>
            <w:top w:val="none" w:sz="0" w:space="0" w:color="auto"/>
            <w:left w:val="none" w:sz="0" w:space="0" w:color="auto"/>
            <w:bottom w:val="none" w:sz="0" w:space="0" w:color="auto"/>
            <w:right w:val="none" w:sz="0" w:space="0" w:color="auto"/>
          </w:divBdr>
          <w:divsChild>
            <w:div w:id="1162434478">
              <w:marLeft w:val="0"/>
              <w:marRight w:val="0"/>
              <w:marTop w:val="0"/>
              <w:marBottom w:val="0"/>
              <w:divBdr>
                <w:top w:val="none" w:sz="0" w:space="0" w:color="auto"/>
                <w:left w:val="none" w:sz="0" w:space="0" w:color="auto"/>
                <w:bottom w:val="none" w:sz="0" w:space="0" w:color="auto"/>
                <w:right w:val="none" w:sz="0" w:space="0" w:color="auto"/>
              </w:divBdr>
              <w:divsChild>
                <w:div w:id="625938655">
                  <w:marLeft w:val="0"/>
                  <w:marRight w:val="0"/>
                  <w:marTop w:val="0"/>
                  <w:marBottom w:val="0"/>
                  <w:divBdr>
                    <w:top w:val="none" w:sz="0" w:space="0" w:color="auto"/>
                    <w:left w:val="none" w:sz="0" w:space="0" w:color="auto"/>
                    <w:bottom w:val="none" w:sz="0" w:space="0" w:color="auto"/>
                    <w:right w:val="none" w:sz="0" w:space="0" w:color="auto"/>
                  </w:divBdr>
                  <w:divsChild>
                    <w:div w:id="165177189">
                      <w:marLeft w:val="0"/>
                      <w:marRight w:val="0"/>
                      <w:marTop w:val="0"/>
                      <w:marBottom w:val="0"/>
                      <w:divBdr>
                        <w:top w:val="none" w:sz="0" w:space="0" w:color="auto"/>
                        <w:left w:val="none" w:sz="0" w:space="0" w:color="auto"/>
                        <w:bottom w:val="none" w:sz="0" w:space="0" w:color="auto"/>
                        <w:right w:val="none" w:sz="0" w:space="0" w:color="auto"/>
                      </w:divBdr>
                      <w:divsChild>
                        <w:div w:id="259876665">
                          <w:marLeft w:val="0"/>
                          <w:marRight w:val="0"/>
                          <w:marTop w:val="0"/>
                          <w:marBottom w:val="0"/>
                          <w:divBdr>
                            <w:top w:val="none" w:sz="0" w:space="0" w:color="auto"/>
                            <w:left w:val="none" w:sz="0" w:space="0" w:color="auto"/>
                            <w:bottom w:val="none" w:sz="0" w:space="0" w:color="auto"/>
                            <w:right w:val="none" w:sz="0" w:space="0" w:color="auto"/>
                          </w:divBdr>
                          <w:divsChild>
                            <w:div w:id="17118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4977">
      <w:bodyDiv w:val="1"/>
      <w:marLeft w:val="0"/>
      <w:marRight w:val="0"/>
      <w:marTop w:val="0"/>
      <w:marBottom w:val="0"/>
      <w:divBdr>
        <w:top w:val="none" w:sz="0" w:space="0" w:color="auto"/>
        <w:left w:val="none" w:sz="0" w:space="0" w:color="auto"/>
        <w:bottom w:val="none" w:sz="0" w:space="0" w:color="auto"/>
        <w:right w:val="none" w:sz="0" w:space="0" w:color="auto"/>
      </w:divBdr>
    </w:div>
    <w:div w:id="1677611390">
      <w:bodyDiv w:val="1"/>
      <w:marLeft w:val="0"/>
      <w:marRight w:val="0"/>
      <w:marTop w:val="0"/>
      <w:marBottom w:val="0"/>
      <w:divBdr>
        <w:top w:val="none" w:sz="0" w:space="0" w:color="auto"/>
        <w:left w:val="none" w:sz="0" w:space="0" w:color="auto"/>
        <w:bottom w:val="none" w:sz="0" w:space="0" w:color="auto"/>
        <w:right w:val="none" w:sz="0" w:space="0" w:color="auto"/>
      </w:divBdr>
    </w:div>
    <w:div w:id="1687293696">
      <w:bodyDiv w:val="1"/>
      <w:marLeft w:val="0"/>
      <w:marRight w:val="0"/>
      <w:marTop w:val="0"/>
      <w:marBottom w:val="0"/>
      <w:divBdr>
        <w:top w:val="none" w:sz="0" w:space="0" w:color="auto"/>
        <w:left w:val="none" w:sz="0" w:space="0" w:color="auto"/>
        <w:bottom w:val="none" w:sz="0" w:space="0" w:color="auto"/>
        <w:right w:val="none" w:sz="0" w:space="0" w:color="auto"/>
      </w:divBdr>
    </w:div>
    <w:div w:id="1703751565">
      <w:bodyDiv w:val="1"/>
      <w:marLeft w:val="0"/>
      <w:marRight w:val="0"/>
      <w:marTop w:val="0"/>
      <w:marBottom w:val="0"/>
      <w:divBdr>
        <w:top w:val="none" w:sz="0" w:space="0" w:color="auto"/>
        <w:left w:val="none" w:sz="0" w:space="0" w:color="auto"/>
        <w:bottom w:val="none" w:sz="0" w:space="0" w:color="auto"/>
        <w:right w:val="none" w:sz="0" w:space="0" w:color="auto"/>
      </w:divBdr>
    </w:div>
    <w:div w:id="1714109832">
      <w:bodyDiv w:val="1"/>
      <w:marLeft w:val="0"/>
      <w:marRight w:val="0"/>
      <w:marTop w:val="0"/>
      <w:marBottom w:val="0"/>
      <w:divBdr>
        <w:top w:val="none" w:sz="0" w:space="0" w:color="auto"/>
        <w:left w:val="none" w:sz="0" w:space="0" w:color="auto"/>
        <w:bottom w:val="none" w:sz="0" w:space="0" w:color="auto"/>
        <w:right w:val="none" w:sz="0" w:space="0" w:color="auto"/>
      </w:divBdr>
    </w:div>
    <w:div w:id="1715538790">
      <w:bodyDiv w:val="1"/>
      <w:marLeft w:val="0"/>
      <w:marRight w:val="0"/>
      <w:marTop w:val="0"/>
      <w:marBottom w:val="0"/>
      <w:divBdr>
        <w:top w:val="none" w:sz="0" w:space="0" w:color="auto"/>
        <w:left w:val="none" w:sz="0" w:space="0" w:color="auto"/>
        <w:bottom w:val="none" w:sz="0" w:space="0" w:color="auto"/>
        <w:right w:val="none" w:sz="0" w:space="0" w:color="auto"/>
      </w:divBdr>
    </w:div>
    <w:div w:id="1719476175">
      <w:bodyDiv w:val="1"/>
      <w:marLeft w:val="0"/>
      <w:marRight w:val="0"/>
      <w:marTop w:val="0"/>
      <w:marBottom w:val="0"/>
      <w:divBdr>
        <w:top w:val="none" w:sz="0" w:space="0" w:color="auto"/>
        <w:left w:val="none" w:sz="0" w:space="0" w:color="auto"/>
        <w:bottom w:val="none" w:sz="0" w:space="0" w:color="auto"/>
        <w:right w:val="none" w:sz="0" w:space="0" w:color="auto"/>
      </w:divBdr>
    </w:div>
    <w:div w:id="1725256759">
      <w:bodyDiv w:val="1"/>
      <w:marLeft w:val="0"/>
      <w:marRight w:val="0"/>
      <w:marTop w:val="0"/>
      <w:marBottom w:val="0"/>
      <w:divBdr>
        <w:top w:val="none" w:sz="0" w:space="0" w:color="auto"/>
        <w:left w:val="none" w:sz="0" w:space="0" w:color="auto"/>
        <w:bottom w:val="none" w:sz="0" w:space="0" w:color="auto"/>
        <w:right w:val="none" w:sz="0" w:space="0" w:color="auto"/>
      </w:divBdr>
    </w:div>
    <w:div w:id="1729109994">
      <w:bodyDiv w:val="1"/>
      <w:marLeft w:val="0"/>
      <w:marRight w:val="0"/>
      <w:marTop w:val="0"/>
      <w:marBottom w:val="0"/>
      <w:divBdr>
        <w:top w:val="none" w:sz="0" w:space="0" w:color="auto"/>
        <w:left w:val="none" w:sz="0" w:space="0" w:color="auto"/>
        <w:bottom w:val="none" w:sz="0" w:space="0" w:color="auto"/>
        <w:right w:val="none" w:sz="0" w:space="0" w:color="auto"/>
      </w:divBdr>
    </w:div>
    <w:div w:id="1731079038">
      <w:bodyDiv w:val="1"/>
      <w:marLeft w:val="0"/>
      <w:marRight w:val="0"/>
      <w:marTop w:val="0"/>
      <w:marBottom w:val="0"/>
      <w:divBdr>
        <w:top w:val="none" w:sz="0" w:space="0" w:color="auto"/>
        <w:left w:val="none" w:sz="0" w:space="0" w:color="auto"/>
        <w:bottom w:val="none" w:sz="0" w:space="0" w:color="auto"/>
        <w:right w:val="none" w:sz="0" w:space="0" w:color="auto"/>
      </w:divBdr>
    </w:div>
    <w:div w:id="1732457940">
      <w:bodyDiv w:val="1"/>
      <w:marLeft w:val="0"/>
      <w:marRight w:val="0"/>
      <w:marTop w:val="0"/>
      <w:marBottom w:val="0"/>
      <w:divBdr>
        <w:top w:val="none" w:sz="0" w:space="0" w:color="auto"/>
        <w:left w:val="none" w:sz="0" w:space="0" w:color="auto"/>
        <w:bottom w:val="none" w:sz="0" w:space="0" w:color="auto"/>
        <w:right w:val="none" w:sz="0" w:space="0" w:color="auto"/>
      </w:divBdr>
    </w:div>
    <w:div w:id="1736053277">
      <w:bodyDiv w:val="1"/>
      <w:marLeft w:val="0"/>
      <w:marRight w:val="0"/>
      <w:marTop w:val="0"/>
      <w:marBottom w:val="0"/>
      <w:divBdr>
        <w:top w:val="none" w:sz="0" w:space="0" w:color="auto"/>
        <w:left w:val="none" w:sz="0" w:space="0" w:color="auto"/>
        <w:bottom w:val="none" w:sz="0" w:space="0" w:color="auto"/>
        <w:right w:val="none" w:sz="0" w:space="0" w:color="auto"/>
      </w:divBdr>
      <w:divsChild>
        <w:div w:id="1913201242">
          <w:marLeft w:val="0"/>
          <w:marRight w:val="0"/>
          <w:marTop w:val="0"/>
          <w:marBottom w:val="0"/>
          <w:divBdr>
            <w:top w:val="none" w:sz="0" w:space="0" w:color="auto"/>
            <w:left w:val="none" w:sz="0" w:space="0" w:color="auto"/>
            <w:bottom w:val="none" w:sz="0" w:space="0" w:color="auto"/>
            <w:right w:val="none" w:sz="0" w:space="0" w:color="auto"/>
          </w:divBdr>
          <w:divsChild>
            <w:div w:id="457140247">
              <w:marLeft w:val="0"/>
              <w:marRight w:val="0"/>
              <w:marTop w:val="0"/>
              <w:marBottom w:val="0"/>
              <w:divBdr>
                <w:top w:val="none" w:sz="0" w:space="0" w:color="auto"/>
                <w:left w:val="none" w:sz="0" w:space="0" w:color="auto"/>
                <w:bottom w:val="none" w:sz="0" w:space="0" w:color="auto"/>
                <w:right w:val="none" w:sz="0" w:space="0" w:color="auto"/>
              </w:divBdr>
              <w:divsChild>
                <w:div w:id="970598690">
                  <w:marLeft w:val="0"/>
                  <w:marRight w:val="0"/>
                  <w:marTop w:val="0"/>
                  <w:marBottom w:val="0"/>
                  <w:divBdr>
                    <w:top w:val="none" w:sz="0" w:space="0" w:color="auto"/>
                    <w:left w:val="none" w:sz="0" w:space="0" w:color="auto"/>
                    <w:bottom w:val="none" w:sz="0" w:space="0" w:color="auto"/>
                    <w:right w:val="none" w:sz="0" w:space="0" w:color="auto"/>
                  </w:divBdr>
                  <w:divsChild>
                    <w:div w:id="21181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429286">
      <w:bodyDiv w:val="1"/>
      <w:marLeft w:val="0"/>
      <w:marRight w:val="0"/>
      <w:marTop w:val="0"/>
      <w:marBottom w:val="0"/>
      <w:divBdr>
        <w:top w:val="none" w:sz="0" w:space="0" w:color="auto"/>
        <w:left w:val="none" w:sz="0" w:space="0" w:color="auto"/>
        <w:bottom w:val="none" w:sz="0" w:space="0" w:color="auto"/>
        <w:right w:val="none" w:sz="0" w:space="0" w:color="auto"/>
      </w:divBdr>
    </w:div>
    <w:div w:id="1747262290">
      <w:bodyDiv w:val="1"/>
      <w:marLeft w:val="0"/>
      <w:marRight w:val="0"/>
      <w:marTop w:val="0"/>
      <w:marBottom w:val="0"/>
      <w:divBdr>
        <w:top w:val="none" w:sz="0" w:space="0" w:color="auto"/>
        <w:left w:val="none" w:sz="0" w:space="0" w:color="auto"/>
        <w:bottom w:val="none" w:sz="0" w:space="0" w:color="auto"/>
        <w:right w:val="none" w:sz="0" w:space="0" w:color="auto"/>
      </w:divBdr>
    </w:div>
    <w:div w:id="1751074602">
      <w:bodyDiv w:val="1"/>
      <w:marLeft w:val="0"/>
      <w:marRight w:val="0"/>
      <w:marTop w:val="0"/>
      <w:marBottom w:val="0"/>
      <w:divBdr>
        <w:top w:val="none" w:sz="0" w:space="0" w:color="auto"/>
        <w:left w:val="none" w:sz="0" w:space="0" w:color="auto"/>
        <w:bottom w:val="none" w:sz="0" w:space="0" w:color="auto"/>
        <w:right w:val="none" w:sz="0" w:space="0" w:color="auto"/>
      </w:divBdr>
    </w:div>
    <w:div w:id="1763989896">
      <w:bodyDiv w:val="1"/>
      <w:marLeft w:val="0"/>
      <w:marRight w:val="0"/>
      <w:marTop w:val="0"/>
      <w:marBottom w:val="0"/>
      <w:divBdr>
        <w:top w:val="none" w:sz="0" w:space="0" w:color="auto"/>
        <w:left w:val="none" w:sz="0" w:space="0" w:color="auto"/>
        <w:bottom w:val="none" w:sz="0" w:space="0" w:color="auto"/>
        <w:right w:val="none" w:sz="0" w:space="0" w:color="auto"/>
      </w:divBdr>
    </w:div>
    <w:div w:id="1765110139">
      <w:bodyDiv w:val="1"/>
      <w:marLeft w:val="0"/>
      <w:marRight w:val="0"/>
      <w:marTop w:val="0"/>
      <w:marBottom w:val="0"/>
      <w:divBdr>
        <w:top w:val="none" w:sz="0" w:space="0" w:color="auto"/>
        <w:left w:val="none" w:sz="0" w:space="0" w:color="auto"/>
        <w:bottom w:val="none" w:sz="0" w:space="0" w:color="auto"/>
        <w:right w:val="none" w:sz="0" w:space="0" w:color="auto"/>
      </w:divBdr>
    </w:div>
    <w:div w:id="1765304608">
      <w:bodyDiv w:val="1"/>
      <w:marLeft w:val="0"/>
      <w:marRight w:val="0"/>
      <w:marTop w:val="0"/>
      <w:marBottom w:val="0"/>
      <w:divBdr>
        <w:top w:val="none" w:sz="0" w:space="0" w:color="auto"/>
        <w:left w:val="none" w:sz="0" w:space="0" w:color="auto"/>
        <w:bottom w:val="none" w:sz="0" w:space="0" w:color="auto"/>
        <w:right w:val="none" w:sz="0" w:space="0" w:color="auto"/>
      </w:divBdr>
    </w:div>
    <w:div w:id="1765688152">
      <w:bodyDiv w:val="1"/>
      <w:marLeft w:val="0"/>
      <w:marRight w:val="0"/>
      <w:marTop w:val="0"/>
      <w:marBottom w:val="0"/>
      <w:divBdr>
        <w:top w:val="none" w:sz="0" w:space="0" w:color="auto"/>
        <w:left w:val="none" w:sz="0" w:space="0" w:color="auto"/>
        <w:bottom w:val="none" w:sz="0" w:space="0" w:color="auto"/>
        <w:right w:val="none" w:sz="0" w:space="0" w:color="auto"/>
      </w:divBdr>
    </w:div>
    <w:div w:id="1768230243">
      <w:bodyDiv w:val="1"/>
      <w:marLeft w:val="0"/>
      <w:marRight w:val="0"/>
      <w:marTop w:val="0"/>
      <w:marBottom w:val="0"/>
      <w:divBdr>
        <w:top w:val="none" w:sz="0" w:space="0" w:color="auto"/>
        <w:left w:val="none" w:sz="0" w:space="0" w:color="auto"/>
        <w:bottom w:val="none" w:sz="0" w:space="0" w:color="auto"/>
        <w:right w:val="none" w:sz="0" w:space="0" w:color="auto"/>
      </w:divBdr>
      <w:divsChild>
        <w:div w:id="908155179">
          <w:marLeft w:val="0"/>
          <w:marRight w:val="0"/>
          <w:marTop w:val="0"/>
          <w:marBottom w:val="0"/>
          <w:divBdr>
            <w:top w:val="none" w:sz="0" w:space="0" w:color="auto"/>
            <w:left w:val="none" w:sz="0" w:space="0" w:color="auto"/>
            <w:bottom w:val="none" w:sz="0" w:space="0" w:color="auto"/>
            <w:right w:val="none" w:sz="0" w:space="0" w:color="auto"/>
          </w:divBdr>
          <w:divsChild>
            <w:div w:id="1859392595">
              <w:marLeft w:val="0"/>
              <w:marRight w:val="0"/>
              <w:marTop w:val="0"/>
              <w:marBottom w:val="0"/>
              <w:divBdr>
                <w:top w:val="none" w:sz="0" w:space="0" w:color="auto"/>
                <w:left w:val="none" w:sz="0" w:space="0" w:color="auto"/>
                <w:bottom w:val="none" w:sz="0" w:space="0" w:color="auto"/>
                <w:right w:val="none" w:sz="0" w:space="0" w:color="auto"/>
              </w:divBdr>
              <w:divsChild>
                <w:div w:id="45332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4046">
          <w:marLeft w:val="0"/>
          <w:marRight w:val="0"/>
          <w:marTop w:val="0"/>
          <w:marBottom w:val="0"/>
          <w:divBdr>
            <w:top w:val="none" w:sz="0" w:space="0" w:color="auto"/>
            <w:left w:val="none" w:sz="0" w:space="0" w:color="auto"/>
            <w:bottom w:val="none" w:sz="0" w:space="0" w:color="auto"/>
            <w:right w:val="none" w:sz="0" w:space="0" w:color="auto"/>
          </w:divBdr>
          <w:divsChild>
            <w:div w:id="1689019719">
              <w:marLeft w:val="0"/>
              <w:marRight w:val="0"/>
              <w:marTop w:val="0"/>
              <w:marBottom w:val="0"/>
              <w:divBdr>
                <w:top w:val="none" w:sz="0" w:space="0" w:color="auto"/>
                <w:left w:val="none" w:sz="0" w:space="0" w:color="auto"/>
                <w:bottom w:val="none" w:sz="0" w:space="0" w:color="auto"/>
                <w:right w:val="none" w:sz="0" w:space="0" w:color="auto"/>
              </w:divBdr>
              <w:divsChild>
                <w:div w:id="242418941">
                  <w:marLeft w:val="0"/>
                  <w:marRight w:val="0"/>
                  <w:marTop w:val="0"/>
                  <w:marBottom w:val="0"/>
                  <w:divBdr>
                    <w:top w:val="none" w:sz="0" w:space="0" w:color="auto"/>
                    <w:left w:val="none" w:sz="0" w:space="0" w:color="auto"/>
                    <w:bottom w:val="none" w:sz="0" w:space="0" w:color="auto"/>
                    <w:right w:val="none" w:sz="0" w:space="0" w:color="auto"/>
                  </w:divBdr>
                  <w:divsChild>
                    <w:div w:id="2320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189132">
      <w:bodyDiv w:val="1"/>
      <w:marLeft w:val="0"/>
      <w:marRight w:val="0"/>
      <w:marTop w:val="0"/>
      <w:marBottom w:val="0"/>
      <w:divBdr>
        <w:top w:val="none" w:sz="0" w:space="0" w:color="auto"/>
        <w:left w:val="none" w:sz="0" w:space="0" w:color="auto"/>
        <w:bottom w:val="none" w:sz="0" w:space="0" w:color="auto"/>
        <w:right w:val="none" w:sz="0" w:space="0" w:color="auto"/>
      </w:divBdr>
    </w:div>
    <w:div w:id="1784958932">
      <w:bodyDiv w:val="1"/>
      <w:marLeft w:val="0"/>
      <w:marRight w:val="0"/>
      <w:marTop w:val="0"/>
      <w:marBottom w:val="0"/>
      <w:divBdr>
        <w:top w:val="none" w:sz="0" w:space="0" w:color="auto"/>
        <w:left w:val="none" w:sz="0" w:space="0" w:color="auto"/>
        <w:bottom w:val="none" w:sz="0" w:space="0" w:color="auto"/>
        <w:right w:val="none" w:sz="0" w:space="0" w:color="auto"/>
      </w:divBdr>
    </w:div>
    <w:div w:id="1790859171">
      <w:bodyDiv w:val="1"/>
      <w:marLeft w:val="0"/>
      <w:marRight w:val="0"/>
      <w:marTop w:val="0"/>
      <w:marBottom w:val="0"/>
      <w:divBdr>
        <w:top w:val="none" w:sz="0" w:space="0" w:color="auto"/>
        <w:left w:val="none" w:sz="0" w:space="0" w:color="auto"/>
        <w:bottom w:val="none" w:sz="0" w:space="0" w:color="auto"/>
        <w:right w:val="none" w:sz="0" w:space="0" w:color="auto"/>
      </w:divBdr>
    </w:div>
    <w:div w:id="1792434816">
      <w:bodyDiv w:val="1"/>
      <w:marLeft w:val="0"/>
      <w:marRight w:val="0"/>
      <w:marTop w:val="0"/>
      <w:marBottom w:val="0"/>
      <w:divBdr>
        <w:top w:val="none" w:sz="0" w:space="0" w:color="auto"/>
        <w:left w:val="none" w:sz="0" w:space="0" w:color="auto"/>
        <w:bottom w:val="none" w:sz="0" w:space="0" w:color="auto"/>
        <w:right w:val="none" w:sz="0" w:space="0" w:color="auto"/>
      </w:divBdr>
    </w:div>
    <w:div w:id="1807430738">
      <w:bodyDiv w:val="1"/>
      <w:marLeft w:val="0"/>
      <w:marRight w:val="0"/>
      <w:marTop w:val="0"/>
      <w:marBottom w:val="0"/>
      <w:divBdr>
        <w:top w:val="none" w:sz="0" w:space="0" w:color="auto"/>
        <w:left w:val="none" w:sz="0" w:space="0" w:color="auto"/>
        <w:bottom w:val="none" w:sz="0" w:space="0" w:color="auto"/>
        <w:right w:val="none" w:sz="0" w:space="0" w:color="auto"/>
      </w:divBdr>
    </w:div>
    <w:div w:id="1807773241">
      <w:bodyDiv w:val="1"/>
      <w:marLeft w:val="0"/>
      <w:marRight w:val="0"/>
      <w:marTop w:val="0"/>
      <w:marBottom w:val="0"/>
      <w:divBdr>
        <w:top w:val="none" w:sz="0" w:space="0" w:color="auto"/>
        <w:left w:val="none" w:sz="0" w:space="0" w:color="auto"/>
        <w:bottom w:val="none" w:sz="0" w:space="0" w:color="auto"/>
        <w:right w:val="none" w:sz="0" w:space="0" w:color="auto"/>
      </w:divBdr>
    </w:div>
    <w:div w:id="1809585897">
      <w:bodyDiv w:val="1"/>
      <w:marLeft w:val="0"/>
      <w:marRight w:val="0"/>
      <w:marTop w:val="0"/>
      <w:marBottom w:val="0"/>
      <w:divBdr>
        <w:top w:val="none" w:sz="0" w:space="0" w:color="auto"/>
        <w:left w:val="none" w:sz="0" w:space="0" w:color="auto"/>
        <w:bottom w:val="none" w:sz="0" w:space="0" w:color="auto"/>
        <w:right w:val="none" w:sz="0" w:space="0" w:color="auto"/>
      </w:divBdr>
    </w:div>
    <w:div w:id="1810246583">
      <w:bodyDiv w:val="1"/>
      <w:marLeft w:val="0"/>
      <w:marRight w:val="0"/>
      <w:marTop w:val="0"/>
      <w:marBottom w:val="0"/>
      <w:divBdr>
        <w:top w:val="none" w:sz="0" w:space="0" w:color="auto"/>
        <w:left w:val="none" w:sz="0" w:space="0" w:color="auto"/>
        <w:bottom w:val="none" w:sz="0" w:space="0" w:color="auto"/>
        <w:right w:val="none" w:sz="0" w:space="0" w:color="auto"/>
      </w:divBdr>
    </w:div>
    <w:div w:id="1819806230">
      <w:bodyDiv w:val="1"/>
      <w:marLeft w:val="0"/>
      <w:marRight w:val="0"/>
      <w:marTop w:val="0"/>
      <w:marBottom w:val="0"/>
      <w:divBdr>
        <w:top w:val="none" w:sz="0" w:space="0" w:color="auto"/>
        <w:left w:val="none" w:sz="0" w:space="0" w:color="auto"/>
        <w:bottom w:val="none" w:sz="0" w:space="0" w:color="auto"/>
        <w:right w:val="none" w:sz="0" w:space="0" w:color="auto"/>
      </w:divBdr>
    </w:div>
    <w:div w:id="1822503146">
      <w:bodyDiv w:val="1"/>
      <w:marLeft w:val="0"/>
      <w:marRight w:val="0"/>
      <w:marTop w:val="0"/>
      <w:marBottom w:val="0"/>
      <w:divBdr>
        <w:top w:val="none" w:sz="0" w:space="0" w:color="auto"/>
        <w:left w:val="none" w:sz="0" w:space="0" w:color="auto"/>
        <w:bottom w:val="none" w:sz="0" w:space="0" w:color="auto"/>
        <w:right w:val="none" w:sz="0" w:space="0" w:color="auto"/>
      </w:divBdr>
    </w:div>
    <w:div w:id="1836916523">
      <w:bodyDiv w:val="1"/>
      <w:marLeft w:val="0"/>
      <w:marRight w:val="0"/>
      <w:marTop w:val="0"/>
      <w:marBottom w:val="0"/>
      <w:divBdr>
        <w:top w:val="none" w:sz="0" w:space="0" w:color="auto"/>
        <w:left w:val="none" w:sz="0" w:space="0" w:color="auto"/>
        <w:bottom w:val="none" w:sz="0" w:space="0" w:color="auto"/>
        <w:right w:val="none" w:sz="0" w:space="0" w:color="auto"/>
      </w:divBdr>
    </w:div>
    <w:div w:id="1845509598">
      <w:bodyDiv w:val="1"/>
      <w:marLeft w:val="0"/>
      <w:marRight w:val="0"/>
      <w:marTop w:val="0"/>
      <w:marBottom w:val="0"/>
      <w:divBdr>
        <w:top w:val="none" w:sz="0" w:space="0" w:color="auto"/>
        <w:left w:val="none" w:sz="0" w:space="0" w:color="auto"/>
        <w:bottom w:val="none" w:sz="0" w:space="0" w:color="auto"/>
        <w:right w:val="none" w:sz="0" w:space="0" w:color="auto"/>
      </w:divBdr>
    </w:div>
    <w:div w:id="1849441672">
      <w:bodyDiv w:val="1"/>
      <w:marLeft w:val="0"/>
      <w:marRight w:val="0"/>
      <w:marTop w:val="0"/>
      <w:marBottom w:val="0"/>
      <w:divBdr>
        <w:top w:val="none" w:sz="0" w:space="0" w:color="auto"/>
        <w:left w:val="none" w:sz="0" w:space="0" w:color="auto"/>
        <w:bottom w:val="none" w:sz="0" w:space="0" w:color="auto"/>
        <w:right w:val="none" w:sz="0" w:space="0" w:color="auto"/>
      </w:divBdr>
    </w:div>
    <w:div w:id="1849783070">
      <w:bodyDiv w:val="1"/>
      <w:marLeft w:val="0"/>
      <w:marRight w:val="0"/>
      <w:marTop w:val="0"/>
      <w:marBottom w:val="0"/>
      <w:divBdr>
        <w:top w:val="none" w:sz="0" w:space="0" w:color="auto"/>
        <w:left w:val="none" w:sz="0" w:space="0" w:color="auto"/>
        <w:bottom w:val="none" w:sz="0" w:space="0" w:color="auto"/>
        <w:right w:val="none" w:sz="0" w:space="0" w:color="auto"/>
      </w:divBdr>
      <w:divsChild>
        <w:div w:id="153566095">
          <w:marLeft w:val="0"/>
          <w:marRight w:val="0"/>
          <w:marTop w:val="0"/>
          <w:marBottom w:val="0"/>
          <w:divBdr>
            <w:top w:val="none" w:sz="0" w:space="0" w:color="auto"/>
            <w:left w:val="none" w:sz="0" w:space="0" w:color="auto"/>
            <w:bottom w:val="none" w:sz="0" w:space="0" w:color="auto"/>
            <w:right w:val="none" w:sz="0" w:space="0" w:color="auto"/>
          </w:divBdr>
          <w:divsChild>
            <w:div w:id="1208183005">
              <w:marLeft w:val="0"/>
              <w:marRight w:val="0"/>
              <w:marTop w:val="0"/>
              <w:marBottom w:val="0"/>
              <w:divBdr>
                <w:top w:val="none" w:sz="0" w:space="0" w:color="auto"/>
                <w:left w:val="none" w:sz="0" w:space="0" w:color="auto"/>
                <w:bottom w:val="none" w:sz="0" w:space="0" w:color="auto"/>
                <w:right w:val="none" w:sz="0" w:space="0" w:color="auto"/>
              </w:divBdr>
              <w:divsChild>
                <w:div w:id="20334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21095">
          <w:marLeft w:val="0"/>
          <w:marRight w:val="0"/>
          <w:marTop w:val="0"/>
          <w:marBottom w:val="0"/>
          <w:divBdr>
            <w:top w:val="none" w:sz="0" w:space="0" w:color="auto"/>
            <w:left w:val="none" w:sz="0" w:space="0" w:color="auto"/>
            <w:bottom w:val="none" w:sz="0" w:space="0" w:color="auto"/>
            <w:right w:val="none" w:sz="0" w:space="0" w:color="auto"/>
          </w:divBdr>
          <w:divsChild>
            <w:div w:id="2044817932">
              <w:marLeft w:val="0"/>
              <w:marRight w:val="0"/>
              <w:marTop w:val="0"/>
              <w:marBottom w:val="0"/>
              <w:divBdr>
                <w:top w:val="none" w:sz="0" w:space="0" w:color="auto"/>
                <w:left w:val="none" w:sz="0" w:space="0" w:color="auto"/>
                <w:bottom w:val="none" w:sz="0" w:space="0" w:color="auto"/>
                <w:right w:val="none" w:sz="0" w:space="0" w:color="auto"/>
              </w:divBdr>
              <w:divsChild>
                <w:div w:id="1073426438">
                  <w:marLeft w:val="0"/>
                  <w:marRight w:val="0"/>
                  <w:marTop w:val="0"/>
                  <w:marBottom w:val="0"/>
                  <w:divBdr>
                    <w:top w:val="none" w:sz="0" w:space="0" w:color="auto"/>
                    <w:left w:val="none" w:sz="0" w:space="0" w:color="auto"/>
                    <w:bottom w:val="none" w:sz="0" w:space="0" w:color="auto"/>
                    <w:right w:val="none" w:sz="0" w:space="0" w:color="auto"/>
                  </w:divBdr>
                  <w:divsChild>
                    <w:div w:id="18672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261582">
      <w:bodyDiv w:val="1"/>
      <w:marLeft w:val="0"/>
      <w:marRight w:val="0"/>
      <w:marTop w:val="0"/>
      <w:marBottom w:val="0"/>
      <w:divBdr>
        <w:top w:val="none" w:sz="0" w:space="0" w:color="auto"/>
        <w:left w:val="none" w:sz="0" w:space="0" w:color="auto"/>
        <w:bottom w:val="none" w:sz="0" w:space="0" w:color="auto"/>
        <w:right w:val="none" w:sz="0" w:space="0" w:color="auto"/>
      </w:divBdr>
    </w:div>
    <w:div w:id="1867517096">
      <w:bodyDiv w:val="1"/>
      <w:marLeft w:val="0"/>
      <w:marRight w:val="0"/>
      <w:marTop w:val="0"/>
      <w:marBottom w:val="0"/>
      <w:divBdr>
        <w:top w:val="none" w:sz="0" w:space="0" w:color="auto"/>
        <w:left w:val="none" w:sz="0" w:space="0" w:color="auto"/>
        <w:bottom w:val="none" w:sz="0" w:space="0" w:color="auto"/>
        <w:right w:val="none" w:sz="0" w:space="0" w:color="auto"/>
      </w:divBdr>
    </w:div>
    <w:div w:id="1876119388">
      <w:bodyDiv w:val="1"/>
      <w:marLeft w:val="0"/>
      <w:marRight w:val="0"/>
      <w:marTop w:val="0"/>
      <w:marBottom w:val="0"/>
      <w:divBdr>
        <w:top w:val="none" w:sz="0" w:space="0" w:color="auto"/>
        <w:left w:val="none" w:sz="0" w:space="0" w:color="auto"/>
        <w:bottom w:val="none" w:sz="0" w:space="0" w:color="auto"/>
        <w:right w:val="none" w:sz="0" w:space="0" w:color="auto"/>
      </w:divBdr>
    </w:div>
    <w:div w:id="1880777654">
      <w:bodyDiv w:val="1"/>
      <w:marLeft w:val="0"/>
      <w:marRight w:val="0"/>
      <w:marTop w:val="0"/>
      <w:marBottom w:val="0"/>
      <w:divBdr>
        <w:top w:val="none" w:sz="0" w:space="0" w:color="auto"/>
        <w:left w:val="none" w:sz="0" w:space="0" w:color="auto"/>
        <w:bottom w:val="none" w:sz="0" w:space="0" w:color="auto"/>
        <w:right w:val="none" w:sz="0" w:space="0" w:color="auto"/>
      </w:divBdr>
      <w:divsChild>
        <w:div w:id="651565519">
          <w:marLeft w:val="0"/>
          <w:marRight w:val="0"/>
          <w:marTop w:val="0"/>
          <w:marBottom w:val="0"/>
          <w:divBdr>
            <w:top w:val="none" w:sz="0" w:space="0" w:color="auto"/>
            <w:left w:val="none" w:sz="0" w:space="0" w:color="auto"/>
            <w:bottom w:val="none" w:sz="0" w:space="0" w:color="auto"/>
            <w:right w:val="none" w:sz="0" w:space="0" w:color="auto"/>
          </w:divBdr>
          <w:divsChild>
            <w:div w:id="1320228396">
              <w:marLeft w:val="0"/>
              <w:marRight w:val="0"/>
              <w:marTop w:val="0"/>
              <w:marBottom w:val="0"/>
              <w:divBdr>
                <w:top w:val="none" w:sz="0" w:space="0" w:color="auto"/>
                <w:left w:val="none" w:sz="0" w:space="0" w:color="auto"/>
                <w:bottom w:val="none" w:sz="0" w:space="0" w:color="auto"/>
                <w:right w:val="none" w:sz="0" w:space="0" w:color="auto"/>
              </w:divBdr>
              <w:divsChild>
                <w:div w:id="1354957643">
                  <w:marLeft w:val="0"/>
                  <w:marRight w:val="0"/>
                  <w:marTop w:val="0"/>
                  <w:marBottom w:val="0"/>
                  <w:divBdr>
                    <w:top w:val="none" w:sz="0" w:space="0" w:color="auto"/>
                    <w:left w:val="none" w:sz="0" w:space="0" w:color="auto"/>
                    <w:bottom w:val="none" w:sz="0" w:space="0" w:color="auto"/>
                    <w:right w:val="none" w:sz="0" w:space="0" w:color="auto"/>
                  </w:divBdr>
                  <w:divsChild>
                    <w:div w:id="9795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333093">
          <w:marLeft w:val="0"/>
          <w:marRight w:val="0"/>
          <w:marTop w:val="0"/>
          <w:marBottom w:val="0"/>
          <w:divBdr>
            <w:top w:val="none" w:sz="0" w:space="0" w:color="auto"/>
            <w:left w:val="none" w:sz="0" w:space="0" w:color="auto"/>
            <w:bottom w:val="none" w:sz="0" w:space="0" w:color="auto"/>
            <w:right w:val="none" w:sz="0" w:space="0" w:color="auto"/>
          </w:divBdr>
          <w:divsChild>
            <w:div w:id="559561335">
              <w:marLeft w:val="0"/>
              <w:marRight w:val="0"/>
              <w:marTop w:val="0"/>
              <w:marBottom w:val="0"/>
              <w:divBdr>
                <w:top w:val="none" w:sz="0" w:space="0" w:color="auto"/>
                <w:left w:val="none" w:sz="0" w:space="0" w:color="auto"/>
                <w:bottom w:val="none" w:sz="0" w:space="0" w:color="auto"/>
                <w:right w:val="none" w:sz="0" w:space="0" w:color="auto"/>
              </w:divBdr>
              <w:divsChild>
                <w:div w:id="7589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130246">
      <w:bodyDiv w:val="1"/>
      <w:marLeft w:val="0"/>
      <w:marRight w:val="0"/>
      <w:marTop w:val="0"/>
      <w:marBottom w:val="0"/>
      <w:divBdr>
        <w:top w:val="none" w:sz="0" w:space="0" w:color="auto"/>
        <w:left w:val="none" w:sz="0" w:space="0" w:color="auto"/>
        <w:bottom w:val="none" w:sz="0" w:space="0" w:color="auto"/>
        <w:right w:val="none" w:sz="0" w:space="0" w:color="auto"/>
      </w:divBdr>
    </w:div>
    <w:div w:id="1885946775">
      <w:bodyDiv w:val="1"/>
      <w:marLeft w:val="0"/>
      <w:marRight w:val="0"/>
      <w:marTop w:val="0"/>
      <w:marBottom w:val="0"/>
      <w:divBdr>
        <w:top w:val="none" w:sz="0" w:space="0" w:color="auto"/>
        <w:left w:val="none" w:sz="0" w:space="0" w:color="auto"/>
        <w:bottom w:val="none" w:sz="0" w:space="0" w:color="auto"/>
        <w:right w:val="none" w:sz="0" w:space="0" w:color="auto"/>
      </w:divBdr>
    </w:div>
    <w:div w:id="1896619001">
      <w:bodyDiv w:val="1"/>
      <w:marLeft w:val="0"/>
      <w:marRight w:val="0"/>
      <w:marTop w:val="0"/>
      <w:marBottom w:val="0"/>
      <w:divBdr>
        <w:top w:val="none" w:sz="0" w:space="0" w:color="auto"/>
        <w:left w:val="none" w:sz="0" w:space="0" w:color="auto"/>
        <w:bottom w:val="none" w:sz="0" w:space="0" w:color="auto"/>
        <w:right w:val="none" w:sz="0" w:space="0" w:color="auto"/>
      </w:divBdr>
    </w:div>
    <w:div w:id="1902446964">
      <w:bodyDiv w:val="1"/>
      <w:marLeft w:val="0"/>
      <w:marRight w:val="0"/>
      <w:marTop w:val="0"/>
      <w:marBottom w:val="0"/>
      <w:divBdr>
        <w:top w:val="none" w:sz="0" w:space="0" w:color="auto"/>
        <w:left w:val="none" w:sz="0" w:space="0" w:color="auto"/>
        <w:bottom w:val="none" w:sz="0" w:space="0" w:color="auto"/>
        <w:right w:val="none" w:sz="0" w:space="0" w:color="auto"/>
      </w:divBdr>
    </w:div>
    <w:div w:id="1917129499">
      <w:bodyDiv w:val="1"/>
      <w:marLeft w:val="0"/>
      <w:marRight w:val="0"/>
      <w:marTop w:val="0"/>
      <w:marBottom w:val="0"/>
      <w:divBdr>
        <w:top w:val="none" w:sz="0" w:space="0" w:color="auto"/>
        <w:left w:val="none" w:sz="0" w:space="0" w:color="auto"/>
        <w:bottom w:val="none" w:sz="0" w:space="0" w:color="auto"/>
        <w:right w:val="none" w:sz="0" w:space="0" w:color="auto"/>
      </w:divBdr>
    </w:div>
    <w:div w:id="1921132369">
      <w:bodyDiv w:val="1"/>
      <w:marLeft w:val="0"/>
      <w:marRight w:val="0"/>
      <w:marTop w:val="0"/>
      <w:marBottom w:val="0"/>
      <w:divBdr>
        <w:top w:val="none" w:sz="0" w:space="0" w:color="auto"/>
        <w:left w:val="none" w:sz="0" w:space="0" w:color="auto"/>
        <w:bottom w:val="none" w:sz="0" w:space="0" w:color="auto"/>
        <w:right w:val="none" w:sz="0" w:space="0" w:color="auto"/>
      </w:divBdr>
    </w:div>
    <w:div w:id="1924560274">
      <w:bodyDiv w:val="1"/>
      <w:marLeft w:val="0"/>
      <w:marRight w:val="0"/>
      <w:marTop w:val="0"/>
      <w:marBottom w:val="0"/>
      <w:divBdr>
        <w:top w:val="none" w:sz="0" w:space="0" w:color="auto"/>
        <w:left w:val="none" w:sz="0" w:space="0" w:color="auto"/>
        <w:bottom w:val="none" w:sz="0" w:space="0" w:color="auto"/>
        <w:right w:val="none" w:sz="0" w:space="0" w:color="auto"/>
      </w:divBdr>
    </w:div>
    <w:div w:id="1929459766">
      <w:bodyDiv w:val="1"/>
      <w:marLeft w:val="0"/>
      <w:marRight w:val="0"/>
      <w:marTop w:val="0"/>
      <w:marBottom w:val="0"/>
      <w:divBdr>
        <w:top w:val="none" w:sz="0" w:space="0" w:color="auto"/>
        <w:left w:val="none" w:sz="0" w:space="0" w:color="auto"/>
        <w:bottom w:val="none" w:sz="0" w:space="0" w:color="auto"/>
        <w:right w:val="none" w:sz="0" w:space="0" w:color="auto"/>
      </w:divBdr>
      <w:divsChild>
        <w:div w:id="1147865859">
          <w:marLeft w:val="0"/>
          <w:marRight w:val="0"/>
          <w:marTop w:val="0"/>
          <w:marBottom w:val="0"/>
          <w:divBdr>
            <w:top w:val="none" w:sz="0" w:space="0" w:color="auto"/>
            <w:left w:val="none" w:sz="0" w:space="0" w:color="auto"/>
            <w:bottom w:val="none" w:sz="0" w:space="0" w:color="auto"/>
            <w:right w:val="none" w:sz="0" w:space="0" w:color="auto"/>
          </w:divBdr>
          <w:divsChild>
            <w:div w:id="1707557194">
              <w:marLeft w:val="0"/>
              <w:marRight w:val="0"/>
              <w:marTop w:val="0"/>
              <w:marBottom w:val="0"/>
              <w:divBdr>
                <w:top w:val="none" w:sz="0" w:space="0" w:color="auto"/>
                <w:left w:val="none" w:sz="0" w:space="0" w:color="auto"/>
                <w:bottom w:val="none" w:sz="0" w:space="0" w:color="auto"/>
                <w:right w:val="none" w:sz="0" w:space="0" w:color="auto"/>
              </w:divBdr>
              <w:divsChild>
                <w:div w:id="1766614866">
                  <w:marLeft w:val="0"/>
                  <w:marRight w:val="0"/>
                  <w:marTop w:val="0"/>
                  <w:marBottom w:val="0"/>
                  <w:divBdr>
                    <w:top w:val="none" w:sz="0" w:space="0" w:color="auto"/>
                    <w:left w:val="none" w:sz="0" w:space="0" w:color="auto"/>
                    <w:bottom w:val="none" w:sz="0" w:space="0" w:color="auto"/>
                    <w:right w:val="none" w:sz="0" w:space="0" w:color="auto"/>
                  </w:divBdr>
                  <w:divsChild>
                    <w:div w:id="606470980">
                      <w:marLeft w:val="0"/>
                      <w:marRight w:val="0"/>
                      <w:marTop w:val="0"/>
                      <w:marBottom w:val="0"/>
                      <w:divBdr>
                        <w:top w:val="none" w:sz="0" w:space="0" w:color="auto"/>
                        <w:left w:val="none" w:sz="0" w:space="0" w:color="auto"/>
                        <w:bottom w:val="none" w:sz="0" w:space="0" w:color="auto"/>
                        <w:right w:val="none" w:sz="0" w:space="0" w:color="auto"/>
                      </w:divBdr>
                      <w:divsChild>
                        <w:div w:id="518933537">
                          <w:marLeft w:val="0"/>
                          <w:marRight w:val="0"/>
                          <w:marTop w:val="0"/>
                          <w:marBottom w:val="0"/>
                          <w:divBdr>
                            <w:top w:val="none" w:sz="0" w:space="0" w:color="auto"/>
                            <w:left w:val="none" w:sz="0" w:space="0" w:color="auto"/>
                            <w:bottom w:val="none" w:sz="0" w:space="0" w:color="auto"/>
                            <w:right w:val="none" w:sz="0" w:space="0" w:color="auto"/>
                          </w:divBdr>
                          <w:divsChild>
                            <w:div w:id="1326667873">
                              <w:marLeft w:val="0"/>
                              <w:marRight w:val="0"/>
                              <w:marTop w:val="0"/>
                              <w:marBottom w:val="0"/>
                              <w:divBdr>
                                <w:top w:val="none" w:sz="0" w:space="0" w:color="auto"/>
                                <w:left w:val="none" w:sz="0" w:space="0" w:color="auto"/>
                                <w:bottom w:val="none" w:sz="0" w:space="0" w:color="auto"/>
                                <w:right w:val="none" w:sz="0" w:space="0" w:color="auto"/>
                              </w:divBdr>
                              <w:divsChild>
                                <w:div w:id="199246644">
                                  <w:marLeft w:val="0"/>
                                  <w:marRight w:val="0"/>
                                  <w:marTop w:val="0"/>
                                  <w:marBottom w:val="0"/>
                                  <w:divBdr>
                                    <w:top w:val="none" w:sz="0" w:space="0" w:color="auto"/>
                                    <w:left w:val="none" w:sz="0" w:space="0" w:color="auto"/>
                                    <w:bottom w:val="none" w:sz="0" w:space="0" w:color="auto"/>
                                    <w:right w:val="none" w:sz="0" w:space="0" w:color="auto"/>
                                  </w:divBdr>
                                  <w:divsChild>
                                    <w:div w:id="779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139274">
                      <w:marLeft w:val="0"/>
                      <w:marRight w:val="0"/>
                      <w:marTop w:val="0"/>
                      <w:marBottom w:val="0"/>
                      <w:divBdr>
                        <w:top w:val="none" w:sz="0" w:space="0" w:color="auto"/>
                        <w:left w:val="none" w:sz="0" w:space="0" w:color="auto"/>
                        <w:bottom w:val="none" w:sz="0" w:space="0" w:color="auto"/>
                        <w:right w:val="none" w:sz="0" w:space="0" w:color="auto"/>
                      </w:divBdr>
                      <w:divsChild>
                        <w:div w:id="118109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321577">
      <w:bodyDiv w:val="1"/>
      <w:marLeft w:val="0"/>
      <w:marRight w:val="0"/>
      <w:marTop w:val="0"/>
      <w:marBottom w:val="0"/>
      <w:divBdr>
        <w:top w:val="none" w:sz="0" w:space="0" w:color="auto"/>
        <w:left w:val="none" w:sz="0" w:space="0" w:color="auto"/>
        <w:bottom w:val="none" w:sz="0" w:space="0" w:color="auto"/>
        <w:right w:val="none" w:sz="0" w:space="0" w:color="auto"/>
      </w:divBdr>
    </w:div>
    <w:div w:id="1940063898">
      <w:bodyDiv w:val="1"/>
      <w:marLeft w:val="0"/>
      <w:marRight w:val="0"/>
      <w:marTop w:val="0"/>
      <w:marBottom w:val="0"/>
      <w:divBdr>
        <w:top w:val="none" w:sz="0" w:space="0" w:color="auto"/>
        <w:left w:val="none" w:sz="0" w:space="0" w:color="auto"/>
        <w:bottom w:val="none" w:sz="0" w:space="0" w:color="auto"/>
        <w:right w:val="none" w:sz="0" w:space="0" w:color="auto"/>
      </w:divBdr>
    </w:div>
    <w:div w:id="1945990180">
      <w:bodyDiv w:val="1"/>
      <w:marLeft w:val="0"/>
      <w:marRight w:val="0"/>
      <w:marTop w:val="0"/>
      <w:marBottom w:val="0"/>
      <w:divBdr>
        <w:top w:val="none" w:sz="0" w:space="0" w:color="auto"/>
        <w:left w:val="none" w:sz="0" w:space="0" w:color="auto"/>
        <w:bottom w:val="none" w:sz="0" w:space="0" w:color="auto"/>
        <w:right w:val="none" w:sz="0" w:space="0" w:color="auto"/>
      </w:divBdr>
    </w:div>
    <w:div w:id="1948586412">
      <w:bodyDiv w:val="1"/>
      <w:marLeft w:val="0"/>
      <w:marRight w:val="0"/>
      <w:marTop w:val="0"/>
      <w:marBottom w:val="0"/>
      <w:divBdr>
        <w:top w:val="none" w:sz="0" w:space="0" w:color="auto"/>
        <w:left w:val="none" w:sz="0" w:space="0" w:color="auto"/>
        <w:bottom w:val="none" w:sz="0" w:space="0" w:color="auto"/>
        <w:right w:val="none" w:sz="0" w:space="0" w:color="auto"/>
      </w:divBdr>
    </w:div>
    <w:div w:id="1951352249">
      <w:bodyDiv w:val="1"/>
      <w:marLeft w:val="0"/>
      <w:marRight w:val="0"/>
      <w:marTop w:val="0"/>
      <w:marBottom w:val="0"/>
      <w:divBdr>
        <w:top w:val="none" w:sz="0" w:space="0" w:color="auto"/>
        <w:left w:val="none" w:sz="0" w:space="0" w:color="auto"/>
        <w:bottom w:val="none" w:sz="0" w:space="0" w:color="auto"/>
        <w:right w:val="none" w:sz="0" w:space="0" w:color="auto"/>
      </w:divBdr>
    </w:div>
    <w:div w:id="1954242780">
      <w:bodyDiv w:val="1"/>
      <w:marLeft w:val="0"/>
      <w:marRight w:val="0"/>
      <w:marTop w:val="0"/>
      <w:marBottom w:val="0"/>
      <w:divBdr>
        <w:top w:val="none" w:sz="0" w:space="0" w:color="auto"/>
        <w:left w:val="none" w:sz="0" w:space="0" w:color="auto"/>
        <w:bottom w:val="none" w:sz="0" w:space="0" w:color="auto"/>
        <w:right w:val="none" w:sz="0" w:space="0" w:color="auto"/>
      </w:divBdr>
      <w:divsChild>
        <w:div w:id="1162968926">
          <w:marLeft w:val="0"/>
          <w:marRight w:val="0"/>
          <w:marTop w:val="0"/>
          <w:marBottom w:val="0"/>
          <w:divBdr>
            <w:top w:val="none" w:sz="0" w:space="0" w:color="auto"/>
            <w:left w:val="none" w:sz="0" w:space="0" w:color="auto"/>
            <w:bottom w:val="none" w:sz="0" w:space="0" w:color="auto"/>
            <w:right w:val="none" w:sz="0" w:space="0" w:color="auto"/>
          </w:divBdr>
          <w:divsChild>
            <w:div w:id="250820887">
              <w:marLeft w:val="0"/>
              <w:marRight w:val="0"/>
              <w:marTop w:val="0"/>
              <w:marBottom w:val="0"/>
              <w:divBdr>
                <w:top w:val="none" w:sz="0" w:space="0" w:color="auto"/>
                <w:left w:val="none" w:sz="0" w:space="0" w:color="auto"/>
                <w:bottom w:val="none" w:sz="0" w:space="0" w:color="auto"/>
                <w:right w:val="none" w:sz="0" w:space="0" w:color="auto"/>
              </w:divBdr>
              <w:divsChild>
                <w:div w:id="1225989726">
                  <w:marLeft w:val="0"/>
                  <w:marRight w:val="0"/>
                  <w:marTop w:val="0"/>
                  <w:marBottom w:val="0"/>
                  <w:divBdr>
                    <w:top w:val="none" w:sz="0" w:space="0" w:color="auto"/>
                    <w:left w:val="none" w:sz="0" w:space="0" w:color="auto"/>
                    <w:bottom w:val="none" w:sz="0" w:space="0" w:color="auto"/>
                    <w:right w:val="none" w:sz="0" w:space="0" w:color="auto"/>
                  </w:divBdr>
                  <w:divsChild>
                    <w:div w:id="43913759">
                      <w:marLeft w:val="0"/>
                      <w:marRight w:val="0"/>
                      <w:marTop w:val="0"/>
                      <w:marBottom w:val="0"/>
                      <w:divBdr>
                        <w:top w:val="none" w:sz="0" w:space="0" w:color="auto"/>
                        <w:left w:val="none" w:sz="0" w:space="0" w:color="auto"/>
                        <w:bottom w:val="none" w:sz="0" w:space="0" w:color="auto"/>
                        <w:right w:val="none" w:sz="0" w:space="0" w:color="auto"/>
                      </w:divBdr>
                      <w:divsChild>
                        <w:div w:id="1391467088">
                          <w:marLeft w:val="0"/>
                          <w:marRight w:val="0"/>
                          <w:marTop w:val="0"/>
                          <w:marBottom w:val="0"/>
                          <w:divBdr>
                            <w:top w:val="none" w:sz="0" w:space="0" w:color="auto"/>
                            <w:left w:val="none" w:sz="0" w:space="0" w:color="auto"/>
                            <w:bottom w:val="none" w:sz="0" w:space="0" w:color="auto"/>
                            <w:right w:val="none" w:sz="0" w:space="0" w:color="auto"/>
                          </w:divBdr>
                        </w:div>
                      </w:divsChild>
                    </w:div>
                    <w:div w:id="116336128">
                      <w:marLeft w:val="0"/>
                      <w:marRight w:val="0"/>
                      <w:marTop w:val="0"/>
                      <w:marBottom w:val="0"/>
                      <w:divBdr>
                        <w:top w:val="none" w:sz="0" w:space="0" w:color="auto"/>
                        <w:left w:val="none" w:sz="0" w:space="0" w:color="auto"/>
                        <w:bottom w:val="none" w:sz="0" w:space="0" w:color="auto"/>
                        <w:right w:val="none" w:sz="0" w:space="0" w:color="auto"/>
                      </w:divBdr>
                      <w:divsChild>
                        <w:div w:id="1389039310">
                          <w:marLeft w:val="0"/>
                          <w:marRight w:val="0"/>
                          <w:marTop w:val="0"/>
                          <w:marBottom w:val="0"/>
                          <w:divBdr>
                            <w:top w:val="none" w:sz="0" w:space="0" w:color="auto"/>
                            <w:left w:val="none" w:sz="0" w:space="0" w:color="auto"/>
                            <w:bottom w:val="none" w:sz="0" w:space="0" w:color="auto"/>
                            <w:right w:val="none" w:sz="0" w:space="0" w:color="auto"/>
                          </w:divBdr>
                          <w:divsChild>
                            <w:div w:id="203367569">
                              <w:marLeft w:val="0"/>
                              <w:marRight w:val="0"/>
                              <w:marTop w:val="0"/>
                              <w:marBottom w:val="0"/>
                              <w:divBdr>
                                <w:top w:val="none" w:sz="0" w:space="0" w:color="auto"/>
                                <w:left w:val="none" w:sz="0" w:space="0" w:color="auto"/>
                                <w:bottom w:val="none" w:sz="0" w:space="0" w:color="auto"/>
                                <w:right w:val="none" w:sz="0" w:space="0" w:color="auto"/>
                              </w:divBdr>
                              <w:divsChild>
                                <w:div w:id="36247988">
                                  <w:marLeft w:val="0"/>
                                  <w:marRight w:val="0"/>
                                  <w:marTop w:val="0"/>
                                  <w:marBottom w:val="0"/>
                                  <w:divBdr>
                                    <w:top w:val="none" w:sz="0" w:space="0" w:color="auto"/>
                                    <w:left w:val="none" w:sz="0" w:space="0" w:color="auto"/>
                                    <w:bottom w:val="none" w:sz="0" w:space="0" w:color="auto"/>
                                    <w:right w:val="none" w:sz="0" w:space="0" w:color="auto"/>
                                  </w:divBdr>
                                  <w:divsChild>
                                    <w:div w:id="20839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92175">
      <w:bodyDiv w:val="1"/>
      <w:marLeft w:val="0"/>
      <w:marRight w:val="0"/>
      <w:marTop w:val="0"/>
      <w:marBottom w:val="0"/>
      <w:divBdr>
        <w:top w:val="none" w:sz="0" w:space="0" w:color="auto"/>
        <w:left w:val="none" w:sz="0" w:space="0" w:color="auto"/>
        <w:bottom w:val="none" w:sz="0" w:space="0" w:color="auto"/>
        <w:right w:val="none" w:sz="0" w:space="0" w:color="auto"/>
      </w:divBdr>
    </w:div>
    <w:div w:id="1968898841">
      <w:bodyDiv w:val="1"/>
      <w:marLeft w:val="0"/>
      <w:marRight w:val="0"/>
      <w:marTop w:val="0"/>
      <w:marBottom w:val="0"/>
      <w:divBdr>
        <w:top w:val="none" w:sz="0" w:space="0" w:color="auto"/>
        <w:left w:val="none" w:sz="0" w:space="0" w:color="auto"/>
        <w:bottom w:val="none" w:sz="0" w:space="0" w:color="auto"/>
        <w:right w:val="none" w:sz="0" w:space="0" w:color="auto"/>
      </w:divBdr>
    </w:div>
    <w:div w:id="1973637597">
      <w:bodyDiv w:val="1"/>
      <w:marLeft w:val="0"/>
      <w:marRight w:val="0"/>
      <w:marTop w:val="0"/>
      <w:marBottom w:val="0"/>
      <w:divBdr>
        <w:top w:val="none" w:sz="0" w:space="0" w:color="auto"/>
        <w:left w:val="none" w:sz="0" w:space="0" w:color="auto"/>
        <w:bottom w:val="none" w:sz="0" w:space="0" w:color="auto"/>
        <w:right w:val="none" w:sz="0" w:space="0" w:color="auto"/>
      </w:divBdr>
    </w:div>
    <w:div w:id="1978222382">
      <w:bodyDiv w:val="1"/>
      <w:marLeft w:val="0"/>
      <w:marRight w:val="0"/>
      <w:marTop w:val="0"/>
      <w:marBottom w:val="0"/>
      <w:divBdr>
        <w:top w:val="none" w:sz="0" w:space="0" w:color="auto"/>
        <w:left w:val="none" w:sz="0" w:space="0" w:color="auto"/>
        <w:bottom w:val="none" w:sz="0" w:space="0" w:color="auto"/>
        <w:right w:val="none" w:sz="0" w:space="0" w:color="auto"/>
      </w:divBdr>
    </w:div>
    <w:div w:id="1993832556">
      <w:bodyDiv w:val="1"/>
      <w:marLeft w:val="0"/>
      <w:marRight w:val="0"/>
      <w:marTop w:val="0"/>
      <w:marBottom w:val="0"/>
      <w:divBdr>
        <w:top w:val="none" w:sz="0" w:space="0" w:color="auto"/>
        <w:left w:val="none" w:sz="0" w:space="0" w:color="auto"/>
        <w:bottom w:val="none" w:sz="0" w:space="0" w:color="auto"/>
        <w:right w:val="none" w:sz="0" w:space="0" w:color="auto"/>
      </w:divBdr>
    </w:div>
    <w:div w:id="2000306046">
      <w:bodyDiv w:val="1"/>
      <w:marLeft w:val="0"/>
      <w:marRight w:val="0"/>
      <w:marTop w:val="0"/>
      <w:marBottom w:val="0"/>
      <w:divBdr>
        <w:top w:val="none" w:sz="0" w:space="0" w:color="auto"/>
        <w:left w:val="none" w:sz="0" w:space="0" w:color="auto"/>
        <w:bottom w:val="none" w:sz="0" w:space="0" w:color="auto"/>
        <w:right w:val="none" w:sz="0" w:space="0" w:color="auto"/>
      </w:divBdr>
    </w:div>
    <w:div w:id="2014526868">
      <w:bodyDiv w:val="1"/>
      <w:marLeft w:val="0"/>
      <w:marRight w:val="0"/>
      <w:marTop w:val="0"/>
      <w:marBottom w:val="0"/>
      <w:divBdr>
        <w:top w:val="none" w:sz="0" w:space="0" w:color="auto"/>
        <w:left w:val="none" w:sz="0" w:space="0" w:color="auto"/>
        <w:bottom w:val="none" w:sz="0" w:space="0" w:color="auto"/>
        <w:right w:val="none" w:sz="0" w:space="0" w:color="auto"/>
      </w:divBdr>
    </w:div>
    <w:div w:id="2015916748">
      <w:bodyDiv w:val="1"/>
      <w:marLeft w:val="0"/>
      <w:marRight w:val="0"/>
      <w:marTop w:val="0"/>
      <w:marBottom w:val="0"/>
      <w:divBdr>
        <w:top w:val="none" w:sz="0" w:space="0" w:color="auto"/>
        <w:left w:val="none" w:sz="0" w:space="0" w:color="auto"/>
        <w:bottom w:val="none" w:sz="0" w:space="0" w:color="auto"/>
        <w:right w:val="none" w:sz="0" w:space="0" w:color="auto"/>
      </w:divBdr>
    </w:div>
    <w:div w:id="2018995941">
      <w:bodyDiv w:val="1"/>
      <w:marLeft w:val="0"/>
      <w:marRight w:val="0"/>
      <w:marTop w:val="0"/>
      <w:marBottom w:val="0"/>
      <w:divBdr>
        <w:top w:val="none" w:sz="0" w:space="0" w:color="auto"/>
        <w:left w:val="none" w:sz="0" w:space="0" w:color="auto"/>
        <w:bottom w:val="none" w:sz="0" w:space="0" w:color="auto"/>
        <w:right w:val="none" w:sz="0" w:space="0" w:color="auto"/>
      </w:divBdr>
    </w:div>
    <w:div w:id="2026393774">
      <w:bodyDiv w:val="1"/>
      <w:marLeft w:val="0"/>
      <w:marRight w:val="0"/>
      <w:marTop w:val="0"/>
      <w:marBottom w:val="0"/>
      <w:divBdr>
        <w:top w:val="none" w:sz="0" w:space="0" w:color="auto"/>
        <w:left w:val="none" w:sz="0" w:space="0" w:color="auto"/>
        <w:bottom w:val="none" w:sz="0" w:space="0" w:color="auto"/>
        <w:right w:val="none" w:sz="0" w:space="0" w:color="auto"/>
      </w:divBdr>
    </w:div>
    <w:div w:id="2026438933">
      <w:bodyDiv w:val="1"/>
      <w:marLeft w:val="0"/>
      <w:marRight w:val="0"/>
      <w:marTop w:val="0"/>
      <w:marBottom w:val="0"/>
      <w:divBdr>
        <w:top w:val="none" w:sz="0" w:space="0" w:color="auto"/>
        <w:left w:val="none" w:sz="0" w:space="0" w:color="auto"/>
        <w:bottom w:val="none" w:sz="0" w:space="0" w:color="auto"/>
        <w:right w:val="none" w:sz="0" w:space="0" w:color="auto"/>
      </w:divBdr>
    </w:div>
    <w:div w:id="2045204098">
      <w:bodyDiv w:val="1"/>
      <w:marLeft w:val="0"/>
      <w:marRight w:val="0"/>
      <w:marTop w:val="0"/>
      <w:marBottom w:val="0"/>
      <w:divBdr>
        <w:top w:val="none" w:sz="0" w:space="0" w:color="auto"/>
        <w:left w:val="none" w:sz="0" w:space="0" w:color="auto"/>
        <w:bottom w:val="none" w:sz="0" w:space="0" w:color="auto"/>
        <w:right w:val="none" w:sz="0" w:space="0" w:color="auto"/>
      </w:divBdr>
    </w:div>
    <w:div w:id="2048411829">
      <w:bodyDiv w:val="1"/>
      <w:marLeft w:val="0"/>
      <w:marRight w:val="0"/>
      <w:marTop w:val="0"/>
      <w:marBottom w:val="0"/>
      <w:divBdr>
        <w:top w:val="none" w:sz="0" w:space="0" w:color="auto"/>
        <w:left w:val="none" w:sz="0" w:space="0" w:color="auto"/>
        <w:bottom w:val="none" w:sz="0" w:space="0" w:color="auto"/>
        <w:right w:val="none" w:sz="0" w:space="0" w:color="auto"/>
      </w:divBdr>
    </w:div>
    <w:div w:id="2065983355">
      <w:bodyDiv w:val="1"/>
      <w:marLeft w:val="0"/>
      <w:marRight w:val="0"/>
      <w:marTop w:val="0"/>
      <w:marBottom w:val="0"/>
      <w:divBdr>
        <w:top w:val="none" w:sz="0" w:space="0" w:color="auto"/>
        <w:left w:val="none" w:sz="0" w:space="0" w:color="auto"/>
        <w:bottom w:val="none" w:sz="0" w:space="0" w:color="auto"/>
        <w:right w:val="none" w:sz="0" w:space="0" w:color="auto"/>
      </w:divBdr>
    </w:div>
    <w:div w:id="2072270766">
      <w:bodyDiv w:val="1"/>
      <w:marLeft w:val="0"/>
      <w:marRight w:val="0"/>
      <w:marTop w:val="0"/>
      <w:marBottom w:val="0"/>
      <w:divBdr>
        <w:top w:val="none" w:sz="0" w:space="0" w:color="auto"/>
        <w:left w:val="none" w:sz="0" w:space="0" w:color="auto"/>
        <w:bottom w:val="none" w:sz="0" w:space="0" w:color="auto"/>
        <w:right w:val="none" w:sz="0" w:space="0" w:color="auto"/>
      </w:divBdr>
    </w:div>
    <w:div w:id="2076733515">
      <w:bodyDiv w:val="1"/>
      <w:marLeft w:val="0"/>
      <w:marRight w:val="0"/>
      <w:marTop w:val="0"/>
      <w:marBottom w:val="0"/>
      <w:divBdr>
        <w:top w:val="none" w:sz="0" w:space="0" w:color="auto"/>
        <w:left w:val="none" w:sz="0" w:space="0" w:color="auto"/>
        <w:bottom w:val="none" w:sz="0" w:space="0" w:color="auto"/>
        <w:right w:val="none" w:sz="0" w:space="0" w:color="auto"/>
      </w:divBdr>
    </w:div>
    <w:div w:id="2076734185">
      <w:bodyDiv w:val="1"/>
      <w:marLeft w:val="0"/>
      <w:marRight w:val="0"/>
      <w:marTop w:val="0"/>
      <w:marBottom w:val="0"/>
      <w:divBdr>
        <w:top w:val="none" w:sz="0" w:space="0" w:color="auto"/>
        <w:left w:val="none" w:sz="0" w:space="0" w:color="auto"/>
        <w:bottom w:val="none" w:sz="0" w:space="0" w:color="auto"/>
        <w:right w:val="none" w:sz="0" w:space="0" w:color="auto"/>
      </w:divBdr>
    </w:div>
    <w:div w:id="2087875460">
      <w:bodyDiv w:val="1"/>
      <w:marLeft w:val="0"/>
      <w:marRight w:val="0"/>
      <w:marTop w:val="0"/>
      <w:marBottom w:val="0"/>
      <w:divBdr>
        <w:top w:val="none" w:sz="0" w:space="0" w:color="auto"/>
        <w:left w:val="none" w:sz="0" w:space="0" w:color="auto"/>
        <w:bottom w:val="none" w:sz="0" w:space="0" w:color="auto"/>
        <w:right w:val="none" w:sz="0" w:space="0" w:color="auto"/>
      </w:divBdr>
    </w:div>
    <w:div w:id="2092581694">
      <w:bodyDiv w:val="1"/>
      <w:marLeft w:val="0"/>
      <w:marRight w:val="0"/>
      <w:marTop w:val="0"/>
      <w:marBottom w:val="0"/>
      <w:divBdr>
        <w:top w:val="none" w:sz="0" w:space="0" w:color="auto"/>
        <w:left w:val="none" w:sz="0" w:space="0" w:color="auto"/>
        <w:bottom w:val="none" w:sz="0" w:space="0" w:color="auto"/>
        <w:right w:val="none" w:sz="0" w:space="0" w:color="auto"/>
      </w:divBdr>
    </w:div>
    <w:div w:id="2092970355">
      <w:bodyDiv w:val="1"/>
      <w:marLeft w:val="0"/>
      <w:marRight w:val="0"/>
      <w:marTop w:val="0"/>
      <w:marBottom w:val="0"/>
      <w:divBdr>
        <w:top w:val="none" w:sz="0" w:space="0" w:color="auto"/>
        <w:left w:val="none" w:sz="0" w:space="0" w:color="auto"/>
        <w:bottom w:val="none" w:sz="0" w:space="0" w:color="auto"/>
        <w:right w:val="none" w:sz="0" w:space="0" w:color="auto"/>
      </w:divBdr>
    </w:div>
    <w:div w:id="2103185749">
      <w:bodyDiv w:val="1"/>
      <w:marLeft w:val="0"/>
      <w:marRight w:val="0"/>
      <w:marTop w:val="0"/>
      <w:marBottom w:val="0"/>
      <w:divBdr>
        <w:top w:val="none" w:sz="0" w:space="0" w:color="auto"/>
        <w:left w:val="none" w:sz="0" w:space="0" w:color="auto"/>
        <w:bottom w:val="none" w:sz="0" w:space="0" w:color="auto"/>
        <w:right w:val="none" w:sz="0" w:space="0" w:color="auto"/>
      </w:divBdr>
    </w:div>
    <w:div w:id="2122455645">
      <w:bodyDiv w:val="1"/>
      <w:marLeft w:val="0"/>
      <w:marRight w:val="0"/>
      <w:marTop w:val="0"/>
      <w:marBottom w:val="0"/>
      <w:divBdr>
        <w:top w:val="none" w:sz="0" w:space="0" w:color="auto"/>
        <w:left w:val="none" w:sz="0" w:space="0" w:color="auto"/>
        <w:bottom w:val="none" w:sz="0" w:space="0" w:color="auto"/>
        <w:right w:val="none" w:sz="0" w:space="0" w:color="auto"/>
      </w:divBdr>
    </w:div>
    <w:div w:id="2124379165">
      <w:bodyDiv w:val="1"/>
      <w:marLeft w:val="0"/>
      <w:marRight w:val="0"/>
      <w:marTop w:val="0"/>
      <w:marBottom w:val="0"/>
      <w:divBdr>
        <w:top w:val="none" w:sz="0" w:space="0" w:color="auto"/>
        <w:left w:val="none" w:sz="0" w:space="0" w:color="auto"/>
        <w:bottom w:val="none" w:sz="0" w:space="0" w:color="auto"/>
        <w:right w:val="none" w:sz="0" w:space="0" w:color="auto"/>
      </w:divBdr>
    </w:div>
    <w:div w:id="2126995483">
      <w:bodyDiv w:val="1"/>
      <w:marLeft w:val="0"/>
      <w:marRight w:val="0"/>
      <w:marTop w:val="0"/>
      <w:marBottom w:val="0"/>
      <w:divBdr>
        <w:top w:val="none" w:sz="0" w:space="0" w:color="auto"/>
        <w:left w:val="none" w:sz="0" w:space="0" w:color="auto"/>
        <w:bottom w:val="none" w:sz="0" w:space="0" w:color="auto"/>
        <w:right w:val="none" w:sz="0" w:space="0" w:color="auto"/>
      </w:divBdr>
    </w:div>
    <w:div w:id="2136288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web/interactive-publications/demography-2025" TargetMode="External"/><Relationship Id="rId13" Type="http://schemas.openxmlformats.org/officeDocument/2006/relationships/hyperlink" Target="https://agriculture.ec.europa.eu/overview-vision-agriculture-food/young-people-agriculture-and-rural-areas_ro" TargetMode="External"/><Relationship Id="rId3" Type="http://schemas.openxmlformats.org/officeDocument/2006/relationships/hyperlink" Target="https://commission.europa.eu/document/2c64e540-c07a-4376-a1da-368d289f4afe_en" TargetMode="External"/><Relationship Id="rId7" Type="http://schemas.openxmlformats.org/officeDocument/2006/relationships/hyperlink" Target="https://agriculture.ec.europa.eu/overview-vision-agriculture-food/main-initiatives-strategic-dialogue-future-eu-agriculture_ro" TargetMode="External"/><Relationship Id="rId12" Type="http://schemas.openxmlformats.org/officeDocument/2006/relationships/hyperlink" Target="https://publications.jrc.ec.europa.eu/repository/handle/JRC122308" TargetMode="External"/><Relationship Id="rId2" Type="http://schemas.openxmlformats.org/officeDocument/2006/relationships/hyperlink" Target="https://agriculture.ec.europa.eu/overview-vision-agriculture-food/vision-agriculture-and-food_ro" TargetMode="External"/><Relationship Id="rId16" Type="http://schemas.openxmlformats.org/officeDocument/2006/relationships/hyperlink" Target="https://www.fao.org/tenure/voluntary-guidelines/en" TargetMode="External"/><Relationship Id="rId1" Type="http://schemas.openxmlformats.org/officeDocument/2006/relationships/hyperlink" Target="https://ec.europa.eu/eurostat/statistics-explained/index.php?title=Farmers_and_the_agricultural_labour_force_-_statistics" TargetMode="External"/><Relationship Id="rId6" Type="http://schemas.openxmlformats.org/officeDocument/2006/relationships/hyperlink" Target="https://agriculture.ec.europa.eu/overview-vision-agriculture-food/main-initiatives-strategic-dialogue-future-eu-agriculture_ro" TargetMode="External"/><Relationship Id="rId11" Type="http://schemas.openxmlformats.org/officeDocument/2006/relationships/hyperlink" Target="https://agriculture.ec.europa.eu/overview-vision-agriculture-food/young-people-agriculture-and-rural-areas_ro" TargetMode="External"/><Relationship Id="rId5" Type="http://schemas.openxmlformats.org/officeDocument/2006/relationships/hyperlink" Target="https://data.consilium.europa.eu/doc/document/ST-15631-2023-INIT/en/pdf" TargetMode="External"/><Relationship Id="rId15" Type="http://schemas.openxmlformats.org/officeDocument/2006/relationships/hyperlink" Target="https://pact-for-skills.ec.europa.eu/about/industrial-ecosystems-and-partnerships/agri-food_en" TargetMode="External"/><Relationship Id="rId10" Type="http://schemas.openxmlformats.org/officeDocument/2006/relationships/hyperlink" Target="https://ec.europa.eu/eurostat/statistics-explained/index.php?title=Farms_and_farmland_in_the_European_Union_-_statistics" TargetMode="External"/><Relationship Id="rId4" Type="http://schemas.openxmlformats.org/officeDocument/2006/relationships/hyperlink" Target="https://www.europarl.europa.eu/doceo/document/TA-9-2023-0376_RO.html" TargetMode="External"/><Relationship Id="rId9" Type="http://schemas.openxmlformats.org/officeDocument/2006/relationships/hyperlink" Target="https://ec.europa.eu/eurostat/statistics-explained/index.php?title=Agriculture_statistics_-_family_farming_in_the_EU" TargetMode="External"/><Relationship Id="rId14" Type="http://schemas.openxmlformats.org/officeDocument/2006/relationships/hyperlink" Target="https://www.fi-compass.eu/sites/default/files/publications/FinancingGapAgricultureAgrifood_RTW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4D390D3B784B45B53FE1A1E1D89F0A" ma:contentTypeVersion="3" ma:contentTypeDescription="Create a new document." ma:contentTypeScope="" ma:versionID="2679ac38b867c32ba7220764a102890f">
  <xsd:schema xmlns:xsd="http://www.w3.org/2001/XMLSchema" xmlns:xs="http://www.w3.org/2001/XMLSchema" xmlns:p="http://schemas.microsoft.com/office/2006/metadata/properties" xmlns:ns2="9e203ff3-d826-4611-aa91-e4f465798a8c" targetNamespace="http://schemas.microsoft.com/office/2006/metadata/properties" ma:root="true" ma:fieldsID="6e37d4f2feff167cf3187252c11062b3" ns2:_="">
    <xsd:import namespace="9e203ff3-d826-4611-aa91-e4f465798a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03ff3-d826-4611-aa91-e4f465798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10.0.47654.0</Version>
    <Date>2025-03-17T13:31:20</Date>
    <Language>EN</Language>
    <Note/>
  </Created>
  <Edited>
    <Version/>
    <Date/>
  </Edited>
  <DocumentModel>
    <Id>6cbda13a-4db2-46c6-876a-ef72275827ef</Id>
    <Name>Report</Name>
  </DocumentModel>
  <CustomTemplate>
    <Id/>
    <Name/>
  </CustomTemplate>
  <DocumentDate>2025-03-17T13:31:20</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4.xml><?xml version="1.0" encoding="utf-8"?>
<Author Role="Creator" AuthorRoleName="Writer" AuthorRoleId="a4fbaff4-b07c-48b4-a21e-e7b9eedf3796">
  <Id>93bfbabf-9974-440d-98b7-58226fe055ef</Id>
  <Names>
    <Latin>
      <FirstName>Sandra</FirstName>
      <LastName>SANMARTIN</LastName>
    </Latin>
    <Greek>
      <FirstName/>
      <LastName/>
    </Greek>
    <Cyrillic>
      <FirstName/>
      <LastName/>
    </Cyrillic>
    <DocumentScript>
      <FirstName>Sandra</FirstName>
      <LastName>SANMARTIN</LastName>
      <FullName>Sandra SANMARTIN</FullName>
    </DocumentScript>
  </Names>
  <Initials>SS</Initials>
  <Gender>f</Gender>
  <Email>Sandra.SANMARTIN@ec.europa.eu</Email>
  <Service>AGRI.B.3</Service>
  <Function ADCode="" ShowInSignature="true" ShowInHeader="false" HeaderText=""/>
  <WebAddress/>
  <FunctionalMailbox/>
  <InheritedWebAddress>http://europa.eu</InheritedWebAddress>
  <OrgaEntity1>
    <Id>dceee1a0-d6c4-4ae4-85b1-ca07eb5e67fa</Id>
    <LogicalLevel>1</LogicalLevel>
    <Name>AGRI</Name>
    <HeadLine1/>
    <HeadLine2/>
    <PrimaryAddressId>f03b5801-04c9-4931-aa17-c6d6c70bc579</PrimaryAddressId>
    <SecondaryAddressId/>
    <WebAddress/>
    <InheritedWebAddress>http://europa.eu</InheritedWebAddress>
    <ShowInHeader>true</ShowInHeader>
  </OrgaEntity1>
  <OrgaEntity2>
    <Id>14af2b24-4e13-446c-91c6-1483e0274546</Id>
    <LogicalLevel>2</LogicalLevel>
    <Name>AGRI.B</Name>
    <HeadLine1>Directorate B – Sustainability</HeadLine1>
    <HeadLine2/>
    <PrimaryAddressId>f03b5801-04c9-4931-aa17-c6d6c70bc579</PrimaryAddressId>
    <SecondaryAddressId/>
    <WebAddress/>
    <InheritedWebAddress>http://europa.eu</InheritedWebAddress>
    <ShowInHeader>true</ShowInHeader>
  </OrgaEntity2>
  <OrgaEntity3>
    <Id>259f2602-f572-4cad-90a7-daab77534fd7</Id>
    <LogicalLevel>3</LogicalLevel>
    <Name>AGRI.B.3</Name>
    <HeadLine1>B.3 – Social Sustainability</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14af2b24-4e13-446c-91c6-1483e0274546</Id>
      <LogicalLevel>2</LogicalLevel>
      <Name>AGRI.B</Name>
      <HeadLine1>Directorate B – Sustainability</HeadLine1>
      <HeadLine2/>
      <PrimaryAddressId>f03b5801-04c9-4931-aa17-c6d6c70bc579</PrimaryAddressId>
      <SecondaryAddressId/>
      <WebAddress/>
      <InheritedWebAddress>http://europa.eu</InheritedWebAddress>
      <ShowInHeader>true</ShowInHeader>
    </OrgaEntity>
    <OrgaEntity>
      <Id>259f2602-f572-4cad-90a7-daab77534fd7</Id>
      <LogicalLevel>3</LogicalLevel>
      <Name>AGRI.B.3</Name>
      <HeadLine1>B.3 – Social Sustainability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+32 229-83243</Phone>
    <Office>L130 08/056</Office>
  </MainWorkplace>
  <Workplaces>
    <Workplace IsMain="true">
      <AddressId>f03b5801-04c9-4931-aa17-c6d6c70bc579</AddressId>
      <Fax/>
      <Phone>+32 229-83243</Phone>
      <Office>L130 08/056</Office>
    </Workplace>
  </Workplaces>
</Autho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3F983-0F1D-49F7-8013-2B9C97979A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08DDF7-AB85-429B-B15C-734F7A168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03ff3-d826-4611-aa91-e4f465798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B78EBEAD-3601-4DA5-9F1E-A9AFF3CA6791}">
  <ds:schemaRefs/>
</ds:datastoreItem>
</file>

<file path=customXml/itemProps5.xml><?xml version="1.0" encoding="utf-8"?>
<ds:datastoreItem xmlns:ds="http://schemas.openxmlformats.org/officeDocument/2006/customXml" ds:itemID="{81D1133C-707A-4DC9-B62E-4D51FBFF1916}">
  <ds:schemaRefs>
    <ds:schemaRef ds:uri="http://schemas.microsoft.com/sharepoint/v3/contenttype/form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752A516E-176F-40DE-8CE7-CDBECC166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10846</Words>
  <Characters>61828</Characters>
  <Application>Microsoft Office Word</Application>
  <DocSecurity>0</DocSecurity>
  <PresentationFormat>Microsoft Word 14.0</PresentationFormat>
  <Lines>515</Lines>
  <Paragraphs>145</Paragraphs>
  <ScaleCrop>true</ScaleCrop>
  <HeadingPairs>
    <vt:vector size="2" baseType="variant">
      <vt:variant>
        <vt:lpstr>Title</vt:lpstr>
      </vt:variant>
      <vt:variant>
        <vt:i4>1</vt:i4>
      </vt:variant>
    </vt:vector>
  </HeadingPairs>
  <TitlesOfParts>
    <vt:vector size="1" baseType="lpstr">
      <vt:lpstr>COMMUNICATION FROM THE COMMISSION TO THE EUROPEAN PARLIAMENT, THE COUNCIL, THE EUROPEAN ECONOMIC AND SOCIAL COMMITTEE AND THE COMMITTEE OF THE REGIONS</vt:lpstr>
    </vt:vector>
  </TitlesOfParts>
  <Manager/>
  <Company/>
  <LinksUpToDate>false</LinksUpToDate>
  <CharactersWithSpaces>72529</CharactersWithSpaces>
  <SharedDoc>false</SharedDoc>
  <HLinks>
    <vt:vector size="54" baseType="variant">
      <vt:variant>
        <vt:i4>8323082</vt:i4>
      </vt:variant>
      <vt:variant>
        <vt:i4>30</vt:i4>
      </vt:variant>
      <vt:variant>
        <vt:i4>0</vt:i4>
      </vt:variant>
      <vt:variant>
        <vt:i4>5</vt:i4>
      </vt:variant>
      <vt:variant>
        <vt:lpwstr>https://agriculture.ec.europa.eu/overview-vision-agriculture-food/young-people-agriculture-and-rural-areas_en</vt:lpwstr>
      </vt:variant>
      <vt:variant>
        <vt:lpwstr>:~:text=The%20second%20edition%20of%20the,food%20systems%20and%20rural%20life.</vt:lpwstr>
      </vt:variant>
      <vt:variant>
        <vt:i4>65600</vt:i4>
      </vt:variant>
      <vt:variant>
        <vt:i4>27</vt:i4>
      </vt:variant>
      <vt:variant>
        <vt:i4>0</vt:i4>
      </vt:variant>
      <vt:variant>
        <vt:i4>5</vt:i4>
      </vt:variant>
      <vt:variant>
        <vt:lpwstr>https://publications.jrc.ec.europa.eu/repository/handle/JRC122308</vt:lpwstr>
      </vt:variant>
      <vt:variant>
        <vt:lpwstr/>
      </vt:variant>
      <vt:variant>
        <vt:i4>5046379</vt:i4>
      </vt:variant>
      <vt:variant>
        <vt:i4>24</vt:i4>
      </vt:variant>
      <vt:variant>
        <vt:i4>0</vt:i4>
      </vt:variant>
      <vt:variant>
        <vt:i4>5</vt:i4>
      </vt:variant>
      <vt:variant>
        <vt:lpwstr>https://rural-vision.europa.eu/rural-vision_en</vt:lpwstr>
      </vt:variant>
      <vt:variant>
        <vt:lpwstr/>
      </vt:variant>
      <vt:variant>
        <vt:i4>5701751</vt:i4>
      </vt:variant>
      <vt:variant>
        <vt:i4>21</vt:i4>
      </vt:variant>
      <vt:variant>
        <vt:i4>0</vt:i4>
      </vt:variant>
      <vt:variant>
        <vt:i4>5</vt:i4>
      </vt:variant>
      <vt:variant>
        <vt:lpwstr>https://agriculture.ec.europa.eu/overview-vision-agriculture-food/young-people-agriculture-and-rural-areas_en</vt:lpwstr>
      </vt:variant>
      <vt:variant>
        <vt:lpwstr>:~:text=The%20proportion%20of%20young%20people%20in%20rural%20areas,25-29%20from%206%20949.2%20to%205%20881.3%20million.</vt:lpwstr>
      </vt:variant>
      <vt:variant>
        <vt:i4>5767201</vt:i4>
      </vt:variant>
      <vt:variant>
        <vt:i4>12</vt:i4>
      </vt:variant>
      <vt:variant>
        <vt:i4>0</vt:i4>
      </vt:variant>
      <vt:variant>
        <vt:i4>5</vt:i4>
      </vt:variant>
      <vt:variant>
        <vt:lpwstr>https://agriculture.ec.europa.eu/overview-vision-agriculture-food/main-initiatives-strategic-dialogue-future-eu-agriculture_en</vt:lpwstr>
      </vt:variant>
      <vt:variant>
        <vt:lpwstr/>
      </vt:variant>
      <vt:variant>
        <vt:i4>3801192</vt:i4>
      </vt:variant>
      <vt:variant>
        <vt:i4>9</vt:i4>
      </vt:variant>
      <vt:variant>
        <vt:i4>0</vt:i4>
      </vt:variant>
      <vt:variant>
        <vt:i4>5</vt:i4>
      </vt:variant>
      <vt:variant>
        <vt:lpwstr>https://data.consilium.europa.eu/doc/document/ST-15631-2023-INIT/en/pdf</vt:lpwstr>
      </vt:variant>
      <vt:variant>
        <vt:lpwstr/>
      </vt:variant>
      <vt:variant>
        <vt:i4>196640</vt:i4>
      </vt:variant>
      <vt:variant>
        <vt:i4>6</vt:i4>
      </vt:variant>
      <vt:variant>
        <vt:i4>0</vt:i4>
      </vt:variant>
      <vt:variant>
        <vt:i4>5</vt:i4>
      </vt:variant>
      <vt:variant>
        <vt:lpwstr>https://www.europarl.europa.eu/doceo/document/TA-9-2023-0376_EN.html</vt:lpwstr>
      </vt:variant>
      <vt:variant>
        <vt:lpwstr/>
      </vt:variant>
      <vt:variant>
        <vt:i4>1769589</vt:i4>
      </vt:variant>
      <vt:variant>
        <vt:i4>3</vt:i4>
      </vt:variant>
      <vt:variant>
        <vt:i4>0</vt:i4>
      </vt:variant>
      <vt:variant>
        <vt:i4>5</vt:i4>
      </vt:variant>
      <vt:variant>
        <vt:lpwstr>https://commission.europa.eu/document/2c64e540-c07a-4376-a1da-368d289f4afe_en</vt:lpwstr>
      </vt:variant>
      <vt:variant>
        <vt:lpwstr/>
      </vt:variant>
      <vt:variant>
        <vt:i4>3276810</vt:i4>
      </vt:variant>
      <vt:variant>
        <vt:i4>0</vt:i4>
      </vt:variant>
      <vt:variant>
        <vt:i4>0</vt:i4>
      </vt:variant>
      <vt:variant>
        <vt:i4>5</vt:i4>
      </vt:variant>
      <vt:variant>
        <vt:lpwstr>https://agriculture.ec.europa.eu/overview-vision-agriculture-food/vision-agriculture-and-food_en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FROM THE COMMISSION TO THE EUROPEAN PARLIAMENT, THE COUNCIL, THE EUROPEAN ECONOMIC AND SOCIAL COMMITTEE AND THE COMMITTEE OF THE REGIONS</dc:title>
  <dc:subject>Strategy for generational renewal in agriculture</dc:subject>
  <dc:creator/>
  <cp:keywords/>
  <dc:description/>
  <cp:lastModifiedBy>EC CoDe</cp:lastModifiedBy>
  <cp:revision>12</cp:revision>
  <cp:lastPrinted>2025-10-16T13:15:00Z</cp:lastPrinted>
  <dcterms:created xsi:type="dcterms:W3CDTF">2025-10-21T11:38:00Z</dcterms:created>
  <dcterms:modified xsi:type="dcterms:W3CDTF">2025-10-24T07:40:00Z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2025-03-17T12:41:53Z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bfc1907d-689f-4a09-b58c-fdc04106942a</vt:lpwstr>
  </property>
  <property fmtid="{D5CDD505-2E9C-101B-9397-08002B2CF9AE}" pid="8" name="MSIP_Label_6bd9ddd1-4d20-43f6-abfa-fc3c07406f94_ContentBits">
    <vt:lpwstr>0</vt:lpwstr>
  </property>
  <property fmtid="{D5CDD505-2E9C-101B-9397-08002B2CF9AE}" pid="9" name="ContentTypeId">
    <vt:lpwstr>0x010100E34D390D3B784B45B53FE1A1E1D89F0A</vt:lpwstr>
  </property>
  <property fmtid="{D5CDD505-2E9C-101B-9397-08002B2CF9AE}" pid="10" name="Order">
    <vt:r8>66900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Level of sensitivity">
    <vt:lpwstr>Standard treatment</vt:lpwstr>
  </property>
  <property fmtid="{D5CDD505-2E9C-101B-9397-08002B2CF9AE}" pid="18" name="_LW_INVALIDATED_EurolookVersion">
    <vt:lpwstr>10.0</vt:lpwstr>
  </property>
  <property fmtid="{D5CDD505-2E9C-101B-9397-08002B2CF9AE}" pid="19" name="Part">
    <vt:lpwstr>1</vt:lpwstr>
  </property>
  <property fmtid="{D5CDD505-2E9C-101B-9397-08002B2CF9AE}" pid="20" name="Total parts">
    <vt:lpwstr>1</vt:lpwstr>
  </property>
  <property fmtid="{D5CDD505-2E9C-101B-9397-08002B2CF9AE}" pid="21" name="DocStatus">
    <vt:lpwstr>Green</vt:lpwstr>
  </property>
  <property fmtid="{D5CDD505-2E9C-101B-9397-08002B2CF9AE}" pid="22" name="CPTemplateID">
    <vt:lpwstr>CP-014</vt:lpwstr>
  </property>
  <property fmtid="{D5CDD505-2E9C-101B-9397-08002B2CF9AE}" pid="23" name="Last edited using">
    <vt:lpwstr>LW 9.1, Build 20240808</vt:lpwstr>
  </property>
  <property fmtid="{D5CDD505-2E9C-101B-9397-08002B2CF9AE}" pid="24" name="Created using">
    <vt:lpwstr>LW 9.1, Build 20240808</vt:lpwstr>
  </property>
  <property fmtid="{D5CDD505-2E9C-101B-9397-08002B2CF9AE}" pid="25" name="MediaServiceImageTags">
    <vt:lpwstr/>
  </property>
</Properties>
</file>