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12E37" w14:textId="06093C70" w:rsidR="009D5589" w:rsidRDefault="007175AB" w:rsidP="007175AB">
      <w:pPr>
        <w:pStyle w:val="Pagedecouverture"/>
        <w:rPr>
          <w:noProof/>
        </w:rPr>
      </w:pPr>
      <w:bookmarkStart w:id="0" w:name="LW_BM_COVERPAGE"/>
      <w:r>
        <w:rPr>
          <w:noProof/>
        </w:rPr>
        <w:pict w14:anchorId="61929F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12F9A6B-5161-4ECC-BA35-F48173A3916D" style="width:455.25pt;height:336.75pt">
            <v:imagedata r:id="rId9" o:title=""/>
          </v:shape>
        </w:pict>
      </w:r>
    </w:p>
    <w:bookmarkEnd w:id="0"/>
    <w:p w14:paraId="37CAF8A7" w14:textId="77777777" w:rsidR="009D5589" w:rsidRDefault="009D5589" w:rsidP="009D5589">
      <w:pPr>
        <w:rPr>
          <w:noProof/>
          <w:lang w:val="en-IE" w:eastAsia="en-IE"/>
        </w:rPr>
        <w:sectPr w:rsidR="009D5589" w:rsidSect="007175AB">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2E0518B5" w14:textId="2EB2905F" w:rsidR="000906B4" w:rsidRPr="00A173A7" w:rsidRDefault="25658233" w:rsidP="008852F0">
      <w:pPr>
        <w:pStyle w:val="Text1"/>
        <w:numPr>
          <w:ilvl w:val="0"/>
          <w:numId w:val="9"/>
        </w:numPr>
        <w:spacing w:line="257" w:lineRule="auto"/>
        <w:ind w:left="0" w:firstLine="0"/>
        <w:rPr>
          <w:b/>
          <w:bCs/>
          <w:noProof/>
          <w:color w:val="000000" w:themeColor="text1"/>
          <w:szCs w:val="24"/>
        </w:rPr>
      </w:pPr>
      <w:bookmarkStart w:id="1" w:name="_GoBack"/>
      <w:bookmarkEnd w:id="1"/>
      <w:r>
        <w:rPr>
          <w:b/>
          <w:noProof/>
          <w:color w:val="000000" w:themeColor="text1"/>
        </w:rPr>
        <w:lastRenderedPageBreak/>
        <w:t>Introduction</w:t>
      </w:r>
    </w:p>
    <w:p w14:paraId="08148123" w14:textId="2EACC3D5" w:rsidR="002D6F20" w:rsidRPr="00A173A7" w:rsidRDefault="5086A67C" w:rsidP="008852F0">
      <w:pPr>
        <w:pStyle w:val="Text1"/>
        <w:spacing w:line="257" w:lineRule="auto"/>
        <w:ind w:left="0"/>
        <w:rPr>
          <w:noProof/>
          <w:color w:val="000000" w:themeColor="text1"/>
        </w:rPr>
      </w:pPr>
      <w:r>
        <w:rPr>
          <w:noProof/>
          <w:color w:val="000000" w:themeColor="text1"/>
        </w:rPr>
        <w:t>L’industrie automobile est un moteur essentiel de la prospérité européenne et un élément essentiel de l’identité européenne. Les fabricants européens sont des leaders mondiaux depuis l’invention de l’automobile, ils produisent des marques emblématiques qui font figure de référence en matière d’innovation et d’excellence. Aujourd’hui, le secteur représente 1 000 milliards d’euros de PIB, soit un tiers des investissements privés dans la recherche et le développement dans l’UE, et il fournit des emplois directs et indirects à 13 millions d’Européens. Pour les véhicules utilitaires, les constructeurs européens de camions représentent plus de 40 % du marché mondial</w:t>
      </w:r>
      <w:r w:rsidRPr="00A173A7">
        <w:rPr>
          <w:rStyle w:val="FootnoteReference"/>
          <w:noProof/>
          <w:color w:val="000000" w:themeColor="text1"/>
          <w:lang w:val="en-IE"/>
        </w:rPr>
        <w:footnoteReference w:id="2"/>
      </w:r>
      <w:r>
        <w:rPr>
          <w:noProof/>
          <w:color w:val="000000" w:themeColor="text1"/>
        </w:rPr>
        <w:t xml:space="preserve">. Le leadership de l’industrie automobile européenne force l’admiration du monde entier. </w:t>
      </w:r>
    </w:p>
    <w:p w14:paraId="7C601671" w14:textId="068751F0" w:rsidR="00AB5B98" w:rsidRPr="00A173A7" w:rsidRDefault="00C05F17" w:rsidP="008852F0">
      <w:pPr>
        <w:pStyle w:val="Text1"/>
        <w:spacing w:line="257" w:lineRule="auto"/>
        <w:ind w:left="0"/>
        <w:rPr>
          <w:b/>
          <w:bCs/>
          <w:noProof/>
          <w:color w:val="000000" w:themeColor="text1"/>
          <w:szCs w:val="24"/>
        </w:rPr>
      </w:pPr>
      <w:r>
        <w:rPr>
          <w:noProof/>
          <w:color w:val="000000" w:themeColor="text1"/>
        </w:rPr>
        <w:t xml:space="preserve">À l’heure actuelle, le secteur connaît une transformation structurelle d’une vitesse et d’une ampleur sans précédent. La transition vers une mobilité propre s’accélère. En 2024, une voiture sur cinq vendue dans le monde était déjà électrique. Dans le même temps, l’intégration rapide des technologies numériques, telles que l’IA, les logiciels, les dispositifs de détection et de communication, ainsi que l’importance croissante des services numériques et de la connectivité, bouleversent le secteur. </w:t>
      </w:r>
      <w:r>
        <w:rPr>
          <w:b/>
          <w:noProof/>
          <w:color w:val="000000" w:themeColor="text1"/>
        </w:rPr>
        <w:t xml:space="preserve">Il est impératif que l’industrie automobile européenne non seulement surmonte, mais façonne également la transition vers des véhicules à émissions nulles, connectés et de plus en plus automatisés. </w:t>
      </w:r>
    </w:p>
    <w:p w14:paraId="274E0BF2" w14:textId="75137348" w:rsidR="000B5AB5" w:rsidRPr="00A173A7" w:rsidRDefault="51D05182" w:rsidP="008852F0">
      <w:pPr>
        <w:pStyle w:val="Text1"/>
        <w:spacing w:line="257" w:lineRule="auto"/>
        <w:ind w:left="0"/>
        <w:rPr>
          <w:noProof/>
          <w:color w:val="000000" w:themeColor="text1"/>
          <w:szCs w:val="24"/>
        </w:rPr>
      </w:pPr>
      <w:r>
        <w:rPr>
          <w:noProof/>
          <w:color w:val="000000" w:themeColor="text1"/>
        </w:rPr>
        <w:t xml:space="preserve">Outre cette transition, notre industrie automobile fait également face à de sérieux défis en matière de compétitivité. Elle est confrontée à des risques liés à la chaîne d’approvisionnement mondiale, elle est tributaire des importations de matières premières et de batteries, elle dépend encore trop des combustibles fossiles, et elle doit faire face à une concurrence féroce pour les talents, à des écarts de coûts dans les principaux intrants et à un contexte géopolitique de plus en plus instable. Les entreprises européennes risquent de prendre du retard en ce qui concerne les technologies stratégiques clés telles que les batteries, les logiciels, les systèmes d’infodivertissement et la conduite autonome, et ont souvent moins de contrôle direct sur de nombreuses matières premières, tandis que les concurrents étrangers sont souvent soutenus par des stratégies industrielles ambitieuses et bénéficient d’un soutien de l’État sous différentes formes. </w:t>
      </w:r>
    </w:p>
    <w:p w14:paraId="10D5AAF7" w14:textId="13C43E1B" w:rsidR="000906B4" w:rsidRPr="00A173A7" w:rsidRDefault="00D87E3B" w:rsidP="008852F0">
      <w:pPr>
        <w:pStyle w:val="Text1"/>
        <w:spacing w:line="257" w:lineRule="auto"/>
        <w:ind w:left="0"/>
        <w:rPr>
          <w:noProof/>
          <w:color w:val="000000" w:themeColor="text1"/>
          <w:szCs w:val="24"/>
        </w:rPr>
      </w:pPr>
      <w:r>
        <w:rPr>
          <w:noProof/>
          <w:color w:val="000000" w:themeColor="text1"/>
        </w:rPr>
        <w:t xml:space="preserve">Il s’agit d’un moment charnière pour l’industrie automobile européenne — une action décisive est nécessaire, et l’Union européenne (UE) est déterminée à soutenir le secteur dans sa transition. </w:t>
      </w:r>
    </w:p>
    <w:p w14:paraId="7142AC2D" w14:textId="5FB5213D" w:rsidR="00711536" w:rsidRPr="00A173A7" w:rsidRDefault="5138AEE0" w:rsidP="008852F0">
      <w:pPr>
        <w:pStyle w:val="Text1"/>
        <w:spacing w:line="257" w:lineRule="auto"/>
        <w:ind w:left="0"/>
        <w:rPr>
          <w:noProof/>
          <w:color w:val="000000" w:themeColor="text1"/>
          <w:szCs w:val="24"/>
        </w:rPr>
      </w:pPr>
      <w:r>
        <w:rPr>
          <w:noProof/>
          <w:color w:val="000000" w:themeColor="text1"/>
        </w:rPr>
        <w:t>Tel est l’objectif du présent plan d’action, qui s’appuie sur la boussole pour la compétitivité, le pacte pour une industrie propre et, ces dernières semaines, une vaste série de consultations, menées par la présidente et plusieurs membres de la Commission, auxquelles plus de 100 organisations ont participé activement</w:t>
      </w:r>
      <w:r w:rsidR="007A5612" w:rsidRPr="00A173A7">
        <w:rPr>
          <w:rStyle w:val="FootnoteReference"/>
          <w:noProof/>
          <w:color w:val="000000" w:themeColor="text1"/>
          <w:szCs w:val="24"/>
          <w:lang w:val="en-IE"/>
        </w:rPr>
        <w:footnoteReference w:id="3"/>
      </w:r>
      <w:r>
        <w:rPr>
          <w:noProof/>
          <w:color w:val="000000" w:themeColor="text1"/>
        </w:rPr>
        <w:t xml:space="preserve">. Le présent plan d’action définit des mesures concrètes visant à garantir la compétitivité mondiale de l’industrie automobile européenne et à maintenir une base de production européenne solide grâce à des </w:t>
      </w:r>
      <w:r>
        <w:rPr>
          <w:b/>
          <w:noProof/>
          <w:color w:val="000000" w:themeColor="text1"/>
        </w:rPr>
        <w:t>actions dans cinq domaines clés</w:t>
      </w:r>
      <w:r>
        <w:rPr>
          <w:noProof/>
          <w:color w:val="000000" w:themeColor="text1"/>
        </w:rPr>
        <w:t>: 1) innovation et transition numérique, 2) mobilité propre, 3) compétitivité et résilience de la chaîne d’approvisionnement, 4) compétences et dimension sociale, 5) conditions de concurrence équitables et environnement favorable aux entreprises.</w:t>
      </w:r>
      <w:r>
        <w:rPr>
          <w:noProof/>
          <w:color w:val="000000" w:themeColor="text1"/>
        </w:rPr>
        <w:br/>
      </w:r>
    </w:p>
    <w:p w14:paraId="52F394D9" w14:textId="018F9D42" w:rsidR="00B50714" w:rsidRPr="00A173A7" w:rsidRDefault="004F44D4" w:rsidP="008852F0">
      <w:pPr>
        <w:pStyle w:val="Text1"/>
        <w:numPr>
          <w:ilvl w:val="0"/>
          <w:numId w:val="9"/>
        </w:numPr>
        <w:spacing w:line="257" w:lineRule="auto"/>
        <w:ind w:left="284" w:hanging="284"/>
        <w:rPr>
          <w:b/>
          <w:bCs/>
          <w:noProof/>
          <w:color w:val="000000" w:themeColor="text1"/>
          <w:szCs w:val="24"/>
        </w:rPr>
      </w:pPr>
      <w:r>
        <w:rPr>
          <w:b/>
          <w:noProof/>
          <w:color w:val="000000" w:themeColor="text1"/>
        </w:rPr>
        <w:t>Les cinq piliers du plan d’action en faveur du secteur automobile</w:t>
      </w:r>
    </w:p>
    <w:p w14:paraId="33D705F5" w14:textId="77777777" w:rsidR="002C79D0" w:rsidRPr="001E4629" w:rsidRDefault="002C79D0" w:rsidP="008852F0">
      <w:pPr>
        <w:pStyle w:val="Text1"/>
        <w:numPr>
          <w:ilvl w:val="1"/>
          <w:numId w:val="11"/>
        </w:numPr>
        <w:spacing w:line="257" w:lineRule="auto"/>
        <w:rPr>
          <w:b/>
          <w:bCs/>
          <w:noProof/>
          <w:color w:val="000000" w:themeColor="text1"/>
          <w:szCs w:val="24"/>
        </w:rPr>
      </w:pPr>
      <w:r>
        <w:rPr>
          <w:b/>
          <w:noProof/>
          <w:color w:val="000000" w:themeColor="text1"/>
        </w:rPr>
        <w:t xml:space="preserve">Innovation et transition numérique </w:t>
      </w:r>
    </w:p>
    <w:p w14:paraId="5B0C44FF" w14:textId="4EF15219" w:rsidR="002C79D0" w:rsidRPr="00A173A7" w:rsidRDefault="006F5A86" w:rsidP="008852F0">
      <w:p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Pour être compétitive à l’échelle mondiale, l’industrie automobile européenne doit retrouver d’urgence une position de chef de file dans la transition vers des véhicules connectés, autonomes et fondés sur l’IA. L’expérience en voiture, tant pour les conducteurs que pour les passagers, est de plus en plus définie par les logiciels, dans la mesure où les nouvelles applications, telles que la conduite automatisée et autonome, la communication et l’infodivertissement jouent un rôle de plus en plus central. Ces éléments sont rapidement en train de devenir des différenciateurs stratégiques clés dans lesquels les constructeurs automobiles (fabricants d’équipements d’origine ou «FEO») doivent exceller, mais dans lesquels ils risquent actuellement de se faire dépasser par les concurrents non européens. </w:t>
      </w:r>
    </w:p>
    <w:p w14:paraId="00BFBEEF" w14:textId="3D8019B1" w:rsidR="002C79D0" w:rsidRPr="00A173A7" w:rsidRDefault="00EE39B7" w:rsidP="008852F0">
      <w:pPr>
        <w:spacing w:after="240"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Promouvoir la conduite autonome et stimuler le marché unique des véhicules autonomes</w:t>
      </w:r>
    </w:p>
    <w:p w14:paraId="570C9790" w14:textId="2CE9A952" w:rsidR="002C79D0" w:rsidRPr="00A173A7" w:rsidRDefault="002C79D0" w:rsidP="008852F0">
      <w:p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technologie de conduite autonome sera un déterminant essentiel de la compétitivité et représentera une part importante de la valeur ajoutée future. Elle devrait générer une valeur ajoutée pour le secteur automobile à l’échelle mondiale pouvant atteindre 400 milliards d’euros d’ici à 2035.</w:t>
      </w:r>
    </w:p>
    <w:p w14:paraId="191F46C2" w14:textId="0AD8A996" w:rsidR="002C79D0" w:rsidRPr="00A173A7" w:rsidRDefault="002C79D0" w:rsidP="008852F0">
      <w:pPr>
        <w:spacing w:after="240" w:line="257" w:lineRule="auto"/>
        <w:jc w:val="both"/>
        <w:rPr>
          <w:rFonts w:ascii="Times New Roman" w:eastAsia="Times New Roman" w:hAnsi="Times New Roman" w:cs="Times New Roman"/>
          <w:noProof/>
          <w:sz w:val="24"/>
          <w:szCs w:val="24"/>
        </w:rPr>
      </w:pPr>
      <w:r>
        <w:rPr>
          <w:rFonts w:ascii="Times New Roman" w:hAnsi="Times New Roman"/>
          <w:b/>
          <w:i/>
          <w:noProof/>
          <w:sz w:val="24"/>
        </w:rPr>
        <w:t>Bancs d’essai pour la conduite autonome</w:t>
      </w:r>
    </w:p>
    <w:p w14:paraId="5FEA3E71" w14:textId="2F0F755A" w:rsidR="002C79D0" w:rsidRPr="00A173A7" w:rsidRDefault="3D2D9DD6" w:rsidP="008852F0">
      <w:pPr>
        <w:autoSpaceDE w:val="0"/>
        <w:autoSpaceDN w:val="0"/>
        <w:adjustRightInd w:val="0"/>
        <w:spacing w:after="240" w:line="240"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Dans l’UE, les conditions d’essai routier et d’exploitation commerciale des véhicules entièrement autonomes sont moins favorables qu’aux États-Unis et en Chine. Cela donne aux concurrents de ces pays une avance importante. </w:t>
      </w:r>
    </w:p>
    <w:p w14:paraId="62A06425" w14:textId="43E0BE5B" w:rsidR="002C79D0" w:rsidRPr="00A173A7" w:rsidRDefault="002C79D0" w:rsidP="008852F0">
      <w:p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Afin de stimuler la préparation du marché et la commercialisation des véhicules autonomes, la Commission collaborera avec les États membres pour mettre en place rapidement au moins trois </w:t>
      </w:r>
      <w:r>
        <w:rPr>
          <w:rFonts w:ascii="Times New Roman" w:hAnsi="Times New Roman"/>
          <w:b/>
          <w:noProof/>
          <w:color w:val="000000" w:themeColor="text1"/>
          <w:sz w:val="24"/>
        </w:rPr>
        <w:t>bancs d’essai transfrontières à grande échelle, des bacs à sable réglementaires connexes et des corridors européens de conduite automatisée</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Les villes de taille moyenne désireuses de jouer un rôle pionnier pourraient être incluses. Ces bancs d’essai permettront le déploiement pilote à grande échelle de véhicules autonomes, tant pour le transport de passagers que pour le transport de marchandises. La Commission s’engage également à poursuivre l’évaluation du potentiel d’intégration des véhicules automatisés dans le système de transport grâce à la communication entre les véhicules et les infrastructures. </w:t>
      </w:r>
    </w:p>
    <w:p w14:paraId="3E2EBBC1" w14:textId="3526599F" w:rsidR="002C79D0" w:rsidRPr="00A173A7" w:rsidRDefault="007310EF" w:rsidP="001E4629">
      <w:pPr>
        <w:spacing w:after="240" w:line="257" w:lineRule="auto"/>
        <w:jc w:val="both"/>
        <w:rPr>
          <w:rFonts w:ascii="Times New Roman" w:eastAsia="Times New Roman" w:hAnsi="Times New Roman" w:cs="Times New Roman"/>
          <w:noProof/>
          <w:sz w:val="24"/>
          <w:szCs w:val="24"/>
        </w:rPr>
      </w:pPr>
      <w:r>
        <w:rPr>
          <w:rFonts w:ascii="Times New Roman" w:hAnsi="Times New Roman"/>
          <w:b/>
          <w:i/>
          <w:noProof/>
          <w:sz w:val="24"/>
        </w:rPr>
        <w:t xml:space="preserve">Vers un marché unique de la conduite autonome </w:t>
      </w:r>
    </w:p>
    <w:p w14:paraId="2D764B11" w14:textId="48A7537B" w:rsidR="008340A5" w:rsidRPr="00A173A7" w:rsidRDefault="008340A5" w:rsidP="001E4629">
      <w:pPr>
        <w:pStyle w:val="Text1"/>
        <w:spacing w:line="257" w:lineRule="auto"/>
        <w:ind w:left="0"/>
        <w:rPr>
          <w:noProof/>
          <w:color w:val="000000" w:themeColor="text1"/>
        </w:rPr>
      </w:pPr>
      <w:r>
        <w:rPr>
          <w:noProof/>
          <w:color w:val="000000" w:themeColor="text1"/>
        </w:rPr>
        <w:t xml:space="preserve">Aujourd’hui, l’environnement réglementaire relatif à la mobilité connectée et autonome est fragmenté. Peu d’États membres disposent de règles de circulation nationales qui autorisent les véhicules autonomes sur leurs routes, ce qui bloque le potentiel du marché unique de la conduite autonome. La coopération entre tous les concepteurs et constructeurs de ces véhicules, ainsi que les exploitants d’infrastructures routières et les gestionnaires de l’infrastructure, est essentielle. Un </w:t>
      </w:r>
      <w:r>
        <w:rPr>
          <w:b/>
          <w:noProof/>
          <w:color w:val="000000" w:themeColor="text1"/>
        </w:rPr>
        <w:t>cadre et une gouvernance plus harmonisés au niveau de l’UE</w:t>
      </w:r>
      <w:r>
        <w:rPr>
          <w:noProof/>
          <w:color w:val="000000" w:themeColor="text1"/>
        </w:rPr>
        <w:t xml:space="preserve"> sont nécessaires pour tirer parti des avantages de notre marché unique et faciliter le déploiement rapide de la mobilité connectée et autonome. La Commission prendra des mesures pour atteindre cet objectif. </w:t>
      </w:r>
    </w:p>
    <w:p w14:paraId="45E80138" w14:textId="5E63B95B" w:rsidR="000E6A38" w:rsidRDefault="002C79D0" w:rsidP="002C146A">
      <w:pPr>
        <w:pStyle w:val="Text1"/>
        <w:spacing w:line="257" w:lineRule="auto"/>
        <w:ind w:left="0"/>
        <w:rPr>
          <w:noProof/>
          <w:color w:val="000000" w:themeColor="text1"/>
        </w:rPr>
      </w:pPr>
      <w:r>
        <w:rPr>
          <w:noProof/>
        </w:rPr>
        <w:t xml:space="preserve">Elle poursuivra en priorité l’élaboration du </w:t>
      </w:r>
      <w:r>
        <w:rPr>
          <w:b/>
          <w:noProof/>
        </w:rPr>
        <w:t>cadre réglementaire applicable aux véhicules autonomes</w:t>
      </w:r>
      <w:r>
        <w:rPr>
          <w:noProof/>
        </w:rPr>
        <w:t xml:space="preserve">, en commençant par </w:t>
      </w:r>
      <w:r>
        <w:rPr>
          <w:b/>
          <w:noProof/>
        </w:rPr>
        <w:t>autoriser l’homologation de séries illimitées de véhicules équipés de systèmes de stationnement automatisé en 2025, avant d’autres utilisations</w:t>
      </w:r>
      <w:r>
        <w:rPr>
          <w:noProof/>
        </w:rPr>
        <w:t xml:space="preserve"> (telles que le transport de marchandises de point à point) </w:t>
      </w:r>
      <w:r>
        <w:rPr>
          <w:b/>
          <w:noProof/>
        </w:rPr>
        <w:t>en 2026</w:t>
      </w:r>
      <w:r>
        <w:rPr>
          <w:noProof/>
        </w:rPr>
        <w:t xml:space="preserve">, sans compromettre la sécurité. </w:t>
      </w:r>
      <w:r>
        <w:rPr>
          <w:noProof/>
          <w:color w:val="000000" w:themeColor="text1"/>
        </w:rPr>
        <w:t xml:space="preserve">En outre, la Commission </w:t>
      </w:r>
      <w:r>
        <w:rPr>
          <w:b/>
          <w:noProof/>
          <w:color w:val="000000" w:themeColor="text1"/>
        </w:rPr>
        <w:t>élaborera des règles affinées pour mieux soutenir les essais préalables au déploiement des systèmes ADS</w:t>
      </w:r>
      <w:r>
        <w:rPr>
          <w:noProof/>
          <w:color w:val="000000" w:themeColor="text1"/>
        </w:rPr>
        <w:t xml:space="preserve"> (systèmes de conduite automatisée) </w:t>
      </w:r>
      <w:r>
        <w:rPr>
          <w:b/>
          <w:noProof/>
          <w:color w:val="000000" w:themeColor="text1"/>
        </w:rPr>
        <w:t>et ADAS</w:t>
      </w:r>
      <w:r>
        <w:rPr>
          <w:noProof/>
          <w:color w:val="000000" w:themeColor="text1"/>
        </w:rPr>
        <w:t xml:space="preserve"> (systèmes avancés d’aide à la conduite) </w:t>
      </w:r>
      <w:r>
        <w:rPr>
          <w:b/>
          <w:noProof/>
          <w:color w:val="000000" w:themeColor="text1"/>
        </w:rPr>
        <w:t>sur la voie publique</w:t>
      </w:r>
      <w:r>
        <w:rPr>
          <w:noProof/>
          <w:color w:val="000000" w:themeColor="text1"/>
        </w:rPr>
        <w:t xml:space="preserve">. L’expérimentation de technologies ADAS et ADS innovantes sur la voie publique en Europe nécessite généralement des autorisations fondées sur des dérogations aux règles nationales, ce qui implique plusieurs approbations dans différents États membres. La Commission </w:t>
      </w:r>
      <w:r>
        <w:rPr>
          <w:b/>
          <w:noProof/>
          <w:color w:val="000000" w:themeColor="text1"/>
        </w:rPr>
        <w:t>proposera des procédures harmonisées d’approbation des autorisations début 2026 afin de faciliter tous les essais ADAS et ADS sur les routes ouvertes dans l’ensemble de l’UE</w:t>
      </w:r>
      <w:r>
        <w:rPr>
          <w:noProof/>
          <w:color w:val="000000" w:themeColor="text1"/>
        </w:rPr>
        <w:t xml:space="preserve">. </w:t>
      </w:r>
    </w:p>
    <w:p w14:paraId="32CAC5D4" w14:textId="77777777" w:rsidR="000E6A38" w:rsidRDefault="000E6A38">
      <w:pPr>
        <w:rPr>
          <w:rFonts w:ascii="Times New Roman" w:eastAsia="Times New Roman" w:hAnsi="Times New Roman" w:cs="Times New Roman"/>
          <w:noProof/>
          <w:color w:val="000000" w:themeColor="text1"/>
          <w:sz w:val="24"/>
          <w:szCs w:val="20"/>
          <w14:ligatures w14:val="none"/>
        </w:rPr>
      </w:pPr>
      <w:r>
        <w:rPr>
          <w:noProof/>
        </w:rPr>
        <w:br w:type="page"/>
      </w:r>
    </w:p>
    <w:p w14:paraId="3DC6B58D" w14:textId="77777777" w:rsidR="000634E4" w:rsidRPr="00A173A7" w:rsidRDefault="002C79D0" w:rsidP="002413E7">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rPr>
        <w:t>Actions phares</w:t>
      </w:r>
      <w:r>
        <w:rPr>
          <w:rFonts w:ascii="Times New Roman" w:hAnsi="Times New Roman"/>
          <w:noProof/>
          <w:color w:val="000000" w:themeColor="text1"/>
          <w:sz w:val="24"/>
        </w:rPr>
        <w:t xml:space="preserve">: </w:t>
      </w:r>
    </w:p>
    <w:p w14:paraId="019031AF" w14:textId="70839D0E" w:rsidR="000634E4" w:rsidRPr="00A173A7" w:rsidRDefault="000634E4" w:rsidP="002413E7">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Mise en place de bancs d’essai transfrontaliers à grande échelle pour les véhicules autonomes à partir de 2026.</w:t>
      </w:r>
    </w:p>
    <w:p w14:paraId="0319D4CD" w14:textId="230AA900" w:rsidR="002C79D0" w:rsidRPr="00A173A7" w:rsidRDefault="000634E4" w:rsidP="001E4629">
      <w:pPr>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Stimuler le cadre réglementaire et l’intégration du marché unique pour la conduite autonome européenne: i) avec des règles sur des séries illimitées de véhicules équipés de systèmes de conduite automatisée d’ici à 2026; ii) des règles harmonisées pour l’essai de systèmes ADAS et ADS sur la voie publique d’ici à 2026; iii) et des règles harmonisées pour le déploiement dans l’ensemble de l’UE.</w:t>
      </w:r>
    </w:p>
    <w:p w14:paraId="4ACD1393" w14:textId="482FB075" w:rsidR="002C79D0" w:rsidRPr="00A173A7" w:rsidRDefault="3B4CC174" w:rsidP="00F73FC6">
      <w:pPr>
        <w:pStyle w:val="Text1"/>
        <w:spacing w:line="257" w:lineRule="auto"/>
        <w:ind w:left="0"/>
        <w:rPr>
          <w:b/>
          <w:bCs/>
          <w:noProof/>
          <w:color w:val="000000" w:themeColor="text1"/>
        </w:rPr>
      </w:pPr>
      <w:r>
        <w:rPr>
          <w:b/>
          <w:noProof/>
          <w:color w:val="000000" w:themeColor="text1"/>
        </w:rPr>
        <w:t>Stimuler le développement du véhicule européen connecté et automatisé de demain</w:t>
      </w:r>
    </w:p>
    <w:p w14:paraId="3047D849" w14:textId="4C0CDF80" w:rsidR="002C79D0" w:rsidRPr="00A173A7" w:rsidRDefault="002C79D0" w:rsidP="00F73FC6">
      <w:pPr>
        <w:spacing w:after="240" w:line="257" w:lineRule="auto"/>
        <w:jc w:val="both"/>
        <w:rPr>
          <w:noProof/>
        </w:rPr>
      </w:pPr>
      <w:r>
        <w:rPr>
          <w:rFonts w:ascii="Times New Roman" w:hAnsi="Times New Roman"/>
          <w:noProof/>
          <w:color w:val="000000" w:themeColor="text1"/>
          <w:sz w:val="24"/>
        </w:rPr>
        <w:t xml:space="preserve">Les puces électroniques, les logiciels et l’IA sont les trois principaux composants du véhicule connecté et automatisé de demain. Alors que les constructeurs et fournisseurs automobiles européens représentent 45 % des investissements mondiaux dans la R&amp;D du secteur automobile, ils sont contestés dans ce domaine par des entreprises technologiques et de nouveaux acteurs automobiles «natifs du numérique» de pays tiers. Afin d’éviter de nouvelles dépendances et le transfert de valeur ajoutée et d’emplois vers l’étranger, </w:t>
      </w:r>
      <w:r>
        <w:rPr>
          <w:rFonts w:ascii="Times New Roman" w:hAnsi="Times New Roman"/>
          <w:b/>
          <w:noProof/>
          <w:color w:val="000000" w:themeColor="text1"/>
          <w:sz w:val="24"/>
        </w:rPr>
        <w:t>l’UE doit renforcer ses propres capacités industrielles pour les logiciels et le matériel informatique nécessaires aux véhicules propres, connectés et automatisés</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Il s’agit notamment de veiller à ce que ces logiciels et équipements soient conçus pour utiliser des données et des services spatiaux pour la navigation, le positionnement de haute précision, l’observation de la Terre et la connectivité sécurisée, comme le prévoient respectivement les systèmes européens Galileo/EGNOS, Copernicus et bientôt IRIS.</w:t>
      </w:r>
    </w:p>
    <w:p w14:paraId="4F412EE0" w14:textId="63F01407" w:rsidR="002C79D0" w:rsidRPr="00A173A7" w:rsidRDefault="002C79D0" w:rsidP="00F73FC6">
      <w:pPr>
        <w:spacing w:after="240" w:line="276"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Alliance européenne pour les véhicules connectés et autonomes </w:t>
      </w:r>
    </w:p>
    <w:p w14:paraId="4BDCBE8B" w14:textId="79962EFC" w:rsidR="002C79D0" w:rsidRPr="00A173A7" w:rsidRDefault="6C61EF8F" w:rsidP="00F73FC6">
      <w:pPr>
        <w:pStyle w:val="ListParagraph"/>
        <w:spacing w:after="240" w:line="257" w:lineRule="auto"/>
        <w:ind w:left="0"/>
        <w:jc w:val="both"/>
        <w:rPr>
          <w:rFonts w:ascii="Times New Roman" w:eastAsia="Calibri" w:hAnsi="Times New Roman" w:cs="Times New Roman"/>
          <w:noProof/>
          <w:color w:val="000000" w:themeColor="text1"/>
          <w:sz w:val="24"/>
          <w:szCs w:val="24"/>
        </w:rPr>
      </w:pPr>
      <w:r>
        <w:rPr>
          <w:rFonts w:ascii="Times New Roman" w:hAnsi="Times New Roman"/>
          <w:noProof/>
          <w:sz w:val="24"/>
        </w:rPr>
        <w:t>Une collaboration étroite entre les acteurs européens, dans le cadre des règles de concurrence de l’UE, est nécessaire pour mettre au point des logiciels partagés et des éléments constitutifs du matériel informatique.</w:t>
      </w:r>
      <w:r>
        <w:rPr>
          <w:rFonts w:ascii="Times New Roman" w:hAnsi="Times New Roman"/>
          <w:noProof/>
          <w:color w:val="000000" w:themeColor="text1"/>
          <w:sz w:val="24"/>
        </w:rPr>
        <w:t xml:space="preserve"> Cela permettrait de réaliser d’importantes économies de ressources. Les constructeurs automobiles pourraient accélérer le développement technologique commun et concentrer les ressources sur les éléments qui déterminent une expérience client différenciée. </w:t>
      </w:r>
    </w:p>
    <w:p w14:paraId="12B036B9" w14:textId="7A0FF04A" w:rsidR="002C79D0" w:rsidRPr="00A173A7" w:rsidRDefault="002C79D0" w:rsidP="00BD1B51">
      <w:pPr>
        <w:spacing w:after="120" w:line="276" w:lineRule="auto"/>
        <w:jc w:val="both"/>
        <w:rPr>
          <w:rFonts w:ascii="Times New Roman" w:eastAsia="Times New Roman" w:hAnsi="Times New Roman" w:cs="Times New Roman"/>
          <w:b/>
          <w:bCs/>
          <w:i/>
          <w:iCs/>
          <w:noProof/>
          <w:sz w:val="24"/>
          <w:szCs w:val="24"/>
        </w:rPr>
      </w:pPr>
      <w:r>
        <w:rPr>
          <w:rFonts w:ascii="Times New Roman" w:hAnsi="Times New Roman"/>
          <w:noProof/>
          <w:sz w:val="24"/>
        </w:rPr>
        <w:t>C’est pourquoi la Commission lancera sans délai l’</w:t>
      </w:r>
      <w:r>
        <w:rPr>
          <w:rFonts w:ascii="Times New Roman" w:hAnsi="Times New Roman"/>
          <w:b/>
          <w:i/>
          <w:noProof/>
          <w:sz w:val="24"/>
        </w:rPr>
        <w:t>Alliance européenne pour les véhicules connectés et autonomes</w:t>
      </w:r>
      <w:r>
        <w:rPr>
          <w:rFonts w:ascii="Times New Roman" w:hAnsi="Times New Roman"/>
          <w:noProof/>
          <w:sz w:val="24"/>
        </w:rPr>
        <w:t>, sur la base des travaux préparatoires effectués dans le cadre de l’</w:t>
      </w:r>
      <w:hyperlink r:id="rId16">
        <w:r>
          <w:rPr>
            <w:rStyle w:val="Hyperlink"/>
            <w:rFonts w:ascii="Times New Roman" w:hAnsi="Times New Roman"/>
            <w:noProof/>
            <w:sz w:val="24"/>
          </w:rPr>
          <w:t>initiative européenne «Véhicule du futur»</w:t>
        </w:r>
      </w:hyperlink>
      <w:r>
        <w:rPr>
          <w:rFonts w:ascii="Times New Roman" w:hAnsi="Times New Roman"/>
          <w:noProof/>
          <w:sz w:val="24"/>
        </w:rPr>
        <w:t xml:space="preserve">, et les </w:t>
      </w:r>
      <w:r>
        <w:rPr>
          <w:rStyle w:val="Hyperlink"/>
          <w:rFonts w:ascii="Times New Roman" w:hAnsi="Times New Roman"/>
          <w:noProof/>
          <w:sz w:val="24"/>
        </w:rPr>
        <w:t>partenariats Horizon Europe liés à l’automobile</w:t>
      </w:r>
      <w:r>
        <w:rPr>
          <w:rFonts w:ascii="Times New Roman" w:hAnsi="Times New Roman"/>
          <w:noProof/>
          <w:sz w:val="24"/>
        </w:rPr>
        <w:t>, en particulier 2Zero, CCAM et l’entreprise commune «Semi-conducteurs».</w:t>
      </w:r>
      <w:r>
        <w:rPr>
          <w:rFonts w:ascii="Times New Roman" w:hAnsi="Times New Roman"/>
          <w:i/>
          <w:noProof/>
          <w:sz w:val="24"/>
        </w:rPr>
        <w:t xml:space="preserve"> </w:t>
      </w:r>
      <w:r>
        <w:rPr>
          <w:rFonts w:ascii="Times New Roman" w:hAnsi="Times New Roman"/>
          <w:noProof/>
          <w:sz w:val="24"/>
        </w:rPr>
        <w:t>Elle réunira une masse critique d’acteurs européens du secteur automobile, y compris des PME, afin de façonner le développement de la prochaine génération de véhicules en mettant l’accent sur les éléments d’architecture communs, les composants matériels et logiciels européens partagés ainsi que leur normalisation. Sur la base d’une feuille de route commune en matière d’innovation, l’Alliance réalisera les activités clés suivantes:</w:t>
      </w:r>
    </w:p>
    <w:p w14:paraId="0D30078A" w14:textId="0B05311F" w:rsidR="002C79D0" w:rsidRPr="00BD1B51" w:rsidRDefault="002C79D0" w:rsidP="00BD1B51">
      <w:pPr>
        <w:pStyle w:val="ListParagraph"/>
        <w:numPr>
          <w:ilvl w:val="0"/>
          <w:numId w:val="1"/>
        </w:numPr>
        <w:spacing w:after="240" w:line="276" w:lineRule="auto"/>
        <w:ind w:left="357" w:hanging="357"/>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Mettre au point une plateforme logicielle pour les véhicules définis par logiciel: </w:t>
      </w:r>
      <w:r>
        <w:rPr>
          <w:rFonts w:ascii="Times New Roman" w:hAnsi="Times New Roman"/>
          <w:noProof/>
          <w:sz w:val="24"/>
        </w:rPr>
        <w:t>L’Alliance mettra au point une plateforme ouverte à l’échelle de l’UE sur les véhicules définis par logiciel, fondée sur des modules logiciels ouverts de pointe, ainsi que sur des interfaces, des normes et des outils.</w:t>
      </w:r>
    </w:p>
    <w:p w14:paraId="0EFD32E1" w14:textId="77777777" w:rsidR="00BD1B51" w:rsidRPr="00254E61" w:rsidRDefault="00BD1B51" w:rsidP="00BD1B51">
      <w:pPr>
        <w:pStyle w:val="ListParagraph"/>
        <w:spacing w:after="240" w:line="276" w:lineRule="auto"/>
        <w:ind w:left="357"/>
        <w:jc w:val="both"/>
        <w:rPr>
          <w:rFonts w:ascii="Times New Roman" w:eastAsia="Times New Roman" w:hAnsi="Times New Roman" w:cs="Times New Roman"/>
          <w:b/>
          <w:bCs/>
          <w:i/>
          <w:iCs/>
          <w:noProof/>
          <w:sz w:val="24"/>
          <w:szCs w:val="24"/>
          <w:lang w:val="fr-BE"/>
        </w:rPr>
      </w:pPr>
    </w:p>
    <w:p w14:paraId="069DF2AE" w14:textId="4A1891F4" w:rsidR="002C79D0" w:rsidRPr="00A173A7" w:rsidRDefault="002C79D0" w:rsidP="00BD1B51">
      <w:pPr>
        <w:pStyle w:val="ListParagraph"/>
        <w:numPr>
          <w:ilvl w:val="0"/>
          <w:numId w:val="1"/>
        </w:numPr>
        <w:spacing w:after="240" w:line="257" w:lineRule="auto"/>
        <w:ind w:left="357" w:hanging="357"/>
        <w:jc w:val="both"/>
        <w:rPr>
          <w:rFonts w:ascii="Times New Roman" w:hAnsi="Times New Roman"/>
          <w:noProof/>
          <w:sz w:val="24"/>
        </w:rPr>
      </w:pPr>
      <w:r>
        <w:rPr>
          <w:rFonts w:ascii="Times New Roman" w:hAnsi="Times New Roman"/>
          <w:b/>
          <w:i/>
          <w:noProof/>
          <w:sz w:val="24"/>
        </w:rPr>
        <w:t xml:space="preserve">Mettre au point une architecture informatique embarquée pour les véhicules définis par logiciel: </w:t>
      </w:r>
      <w:r>
        <w:rPr>
          <w:rFonts w:ascii="Times New Roman" w:hAnsi="Times New Roman"/>
          <w:noProof/>
          <w:sz w:val="24"/>
        </w:rPr>
        <w:t xml:space="preserve">La conduite autonome nécessite une capacité informatique avancée centralisée à bord. L’Alliance mettra au point une plateforme informatique à l’épreuve du temps qui soit adaptable, flexible, économe en énergie et capable d’assurer des performances en temps réel, et intégrera des processeurs plus avancés, y compris des puces IA, tout en veillant à ce que les véhicules définis par logiciel restent modulables et puissent être facilement mis à niveau. </w:t>
      </w:r>
    </w:p>
    <w:p w14:paraId="7473C3DE" w14:textId="564D08FB" w:rsidR="002C79D0" w:rsidRPr="00A173A7" w:rsidRDefault="002C79D0" w:rsidP="00BD1B51">
      <w:pPr>
        <w:numPr>
          <w:ilvl w:val="0"/>
          <w:numId w:val="1"/>
        </w:numPr>
        <w:spacing w:after="240" w:line="257" w:lineRule="auto"/>
        <w:ind w:left="357" w:hanging="357"/>
        <w:jc w:val="both"/>
        <w:rPr>
          <w:rFonts w:ascii="Times New Roman" w:eastAsia="Times New Roman" w:hAnsi="Times New Roman" w:cs="Times New Roman"/>
          <w:noProof/>
          <w:sz w:val="24"/>
          <w:szCs w:val="24"/>
        </w:rPr>
      </w:pPr>
      <w:r>
        <w:rPr>
          <w:rFonts w:ascii="Times New Roman" w:hAnsi="Times New Roman"/>
          <w:b/>
          <w:i/>
          <w:noProof/>
          <w:sz w:val="24"/>
        </w:rPr>
        <w:t>Mettre au point des solutions innovantes en matière d’IA pour l’industrie automobile:</w:t>
      </w:r>
      <w:r>
        <w:rPr>
          <w:rFonts w:ascii="Times New Roman" w:hAnsi="Times New Roman"/>
          <w:noProof/>
          <w:sz w:val="24"/>
        </w:rPr>
        <w:t xml:space="preserve"> Mettre au point des modèles et des algorithmes d’IA générative sectoriels qui permettent, par exemple, la conduite autonome, l’optimisation du fonctionnement des véhicules connectés dans les infrastructures de transport et de recharge, ainsi qu’une gestion efficace des batteries ou une maintenance prédictive fondée sur l’IA. </w:t>
      </w:r>
    </w:p>
    <w:p w14:paraId="182E0081" w14:textId="645E5821" w:rsidR="002C79D0" w:rsidRPr="00A173A7" w:rsidRDefault="002C79D0" w:rsidP="00BD1B51">
      <w:pPr>
        <w:numPr>
          <w:ilvl w:val="0"/>
          <w:numId w:val="1"/>
        </w:numPr>
        <w:spacing w:after="240" w:line="257" w:lineRule="auto"/>
        <w:ind w:left="357" w:hanging="357"/>
        <w:jc w:val="both"/>
        <w:rPr>
          <w:rFonts w:ascii="Times New Roman" w:eastAsia="Times New Roman" w:hAnsi="Times New Roman" w:cs="Times New Roman"/>
          <w:noProof/>
          <w:sz w:val="24"/>
          <w:szCs w:val="24"/>
        </w:rPr>
      </w:pPr>
      <w:r>
        <w:rPr>
          <w:rFonts w:ascii="Times New Roman" w:hAnsi="Times New Roman"/>
          <w:b/>
          <w:i/>
          <w:noProof/>
          <w:sz w:val="24"/>
        </w:rPr>
        <w:t xml:space="preserve">Créer une installation pilote distribuée à grande échelle en 2026/2027: </w:t>
      </w:r>
      <w:r>
        <w:rPr>
          <w:rFonts w:ascii="Times New Roman" w:hAnsi="Times New Roman"/>
          <w:noProof/>
          <w:sz w:val="24"/>
        </w:rPr>
        <w:t xml:space="preserve">L’installation servira d’environnement collaboratif pour l’industrie des </w:t>
      </w:r>
      <w:r>
        <w:rPr>
          <w:rFonts w:ascii="Times New Roman" w:hAnsi="Times New Roman"/>
          <w:b/>
          <w:noProof/>
          <w:sz w:val="24"/>
        </w:rPr>
        <w:t>véhicules définis par logiciel et l’ingénierie de l’IA</w:t>
      </w:r>
      <w:r>
        <w:rPr>
          <w:rFonts w:ascii="Times New Roman" w:hAnsi="Times New Roman"/>
          <w:noProof/>
          <w:sz w:val="24"/>
        </w:rPr>
        <w:t xml:space="preserve"> et servira de banc d’essai pour l’innovation dans les couches application. </w:t>
      </w:r>
    </w:p>
    <w:p w14:paraId="37D61B39" w14:textId="1C8BF748" w:rsidR="002C79D0" w:rsidRPr="00A173A7" w:rsidRDefault="002C79D0" w:rsidP="00F73FC6">
      <w:pPr>
        <w:numPr>
          <w:ilvl w:val="0"/>
          <w:numId w:val="1"/>
        </w:num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b/>
          <w:i/>
          <w:noProof/>
          <w:sz w:val="24"/>
        </w:rPr>
        <w:t xml:space="preserve">Accélérer la transition vers la conduite autonome: </w:t>
      </w:r>
      <w:r>
        <w:rPr>
          <w:rFonts w:ascii="Times New Roman" w:hAnsi="Times New Roman"/>
          <w:noProof/>
          <w:color w:val="000000" w:themeColor="text1"/>
          <w:sz w:val="24"/>
        </w:rPr>
        <w:t xml:space="preserve">Élaborer et fournir une feuille de route technologique ambitieuse pour le développement de composants de systèmes de conduite autonome (ADS) partagés (logiciels et matériels). </w:t>
      </w:r>
    </w:p>
    <w:p w14:paraId="43CA414A" w14:textId="24E6FD1B" w:rsidR="00AE41AB" w:rsidRPr="00A173A7" w:rsidRDefault="001E4019" w:rsidP="00F73FC6">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L’Alliance est un mécanisme puissant pour accélérer la coopération transfrontière de l’industrie européenne en matière d’innovation, de développement et de premier déploiement industriel de technologies de conduite connectées et autonomes. La Commission est prête à fournir, à la demande du secteur, des orientations sur la manière dont la mise en commun des données automobiles permettant les progrès de l’IA dans le domaine de la conduite autonome peut se faire dans le respect du droit de la concurrence. La Commission soutiendra également les travaux techniques en cours des États membres visant à désigner un éventuel projet important d’intérêt européen commun </w:t>
      </w:r>
      <w:r>
        <w:rPr>
          <w:rFonts w:ascii="Times New Roman" w:hAnsi="Times New Roman"/>
          <w:b/>
          <w:noProof/>
          <w:sz w:val="24"/>
        </w:rPr>
        <w:t>(PIIEC) dans le secteur des véhicules propres, connectés et autonomes,</w:t>
      </w:r>
      <w:r>
        <w:rPr>
          <w:rFonts w:ascii="Times New Roman" w:hAnsi="Times New Roman"/>
          <w:noProof/>
          <w:sz w:val="24"/>
        </w:rPr>
        <w:t xml:space="preserve"> tout en veillant à ce qu’il soit accessible aux PME innovantes.</w:t>
      </w:r>
    </w:p>
    <w:p w14:paraId="377A8428" w14:textId="3D94C207" w:rsidR="002C79D0" w:rsidRPr="00A173A7" w:rsidRDefault="002C79D0" w:rsidP="00D84DFA">
      <w:pPr>
        <w:pStyle w:val="Text1"/>
        <w:spacing w:line="257" w:lineRule="auto"/>
        <w:ind w:left="0"/>
        <w:rPr>
          <w:b/>
          <w:bCs/>
          <w:noProof/>
          <w:szCs w:val="24"/>
        </w:rPr>
      </w:pPr>
      <w:r>
        <w:rPr>
          <w:b/>
          <w:noProof/>
          <w:color w:val="000000" w:themeColor="text1"/>
        </w:rPr>
        <w:t xml:space="preserve">Technologie des batteries de nouvelle génération </w:t>
      </w:r>
    </w:p>
    <w:p w14:paraId="3B7B2C41" w14:textId="18203E4F" w:rsidR="002C79D0" w:rsidRDefault="002C79D0" w:rsidP="5316FE8D">
      <w:pPr>
        <w:pStyle w:val="Text1"/>
        <w:spacing w:line="257" w:lineRule="auto"/>
        <w:ind w:left="0"/>
        <w:rPr>
          <w:rFonts w:eastAsiaTheme="minorEastAsia"/>
          <w:noProof/>
        </w:rPr>
      </w:pPr>
      <w:r>
        <w:rPr>
          <w:noProof/>
        </w:rPr>
        <w:t xml:space="preserve">Les concurrents étrangers investissent d’importantes ressources financières et humaines dans la recherche et le développement de futures technologies de batteries, avec un soutien important de l’État. L’UE met fortement l’accent sur l’innovation dans le domaine des batteries au sein du partenariat </w:t>
      </w:r>
      <w:r>
        <w:rPr>
          <w:b/>
          <w:bCs/>
          <w:noProof/>
        </w:rPr>
        <w:t>BATT4EU</w:t>
      </w:r>
      <w:r>
        <w:rPr>
          <w:noProof/>
        </w:rPr>
        <w:t xml:space="preserve"> d’Horizon Europe, qui reste un point important. La Commission soutiendra </w:t>
      </w:r>
      <w:r>
        <w:rPr>
          <w:b/>
          <w:noProof/>
        </w:rPr>
        <w:t>l’ensemble de la chaîne de valeur de l’UE des batteries de nouvelle génération, y compris le recyclage</w:t>
      </w:r>
      <w:r>
        <w:rPr>
          <w:noProof/>
        </w:rPr>
        <w:t>, en étroite coopération avec des partenariats dans le domaine de la fabrication avancée et des matériaux avancés. Pour les années 2025 à 2027, le budget spécifique s’élèvera à environ 350 millions d’euros, dans le cadre de la contribution globale d’Horizon Europe au secteur automobile.</w:t>
      </w:r>
    </w:p>
    <w:p w14:paraId="5D3FF6B4" w14:textId="1778E534" w:rsidR="00973BDA" w:rsidRPr="00780E4B" w:rsidRDefault="00724392" w:rsidP="00D84DFA">
      <w:pPr>
        <w:pStyle w:val="Text1"/>
        <w:spacing w:line="257" w:lineRule="auto"/>
        <w:ind w:left="0"/>
        <w:rPr>
          <w:b/>
          <w:bCs/>
          <w:noProof/>
          <w:color w:val="000000" w:themeColor="text1"/>
        </w:rPr>
      </w:pPr>
      <w:r>
        <w:rPr>
          <w:b/>
          <w:noProof/>
          <w:color w:val="000000" w:themeColor="text1"/>
        </w:rPr>
        <w:t>Financement dans le cadre d’Horizon Europe</w:t>
      </w:r>
    </w:p>
    <w:p w14:paraId="65EF8B44" w14:textId="439004D4" w:rsidR="00973BDA" w:rsidRPr="00A173A7" w:rsidRDefault="00973BDA" w:rsidP="34E82DFA">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Les activités de l’Alliance et la technologie des batteries de nouvelle génération seront soutenues par des investissements publics et privés conjoints dans le cadre des partenariats correspondants d’Horizon Europe. Le programme mobilisera 1 milliard d’euros pour le secteur automobile au cours de la période 2025-2027, s’accompagnant d’activités utiles financées par l’intermédiaire du Conseil européen de l’innovation. Dans le futur, des partenariats ad hoc pour des activités spécifiques pourraient être rassemblés dans le cadre d’une entreprise commune dédiée au secteur automobile. Cela est sans préjudice du train de mesures de la prochaine proposition de CFP.</w:t>
      </w:r>
    </w:p>
    <w:p w14:paraId="4FAE17BF" w14:textId="74641E80" w:rsidR="00362B52" w:rsidRPr="00A173A7" w:rsidRDefault="00362B52" w:rsidP="00D84DFA">
      <w:pPr>
        <w:pStyle w:val="Text1"/>
        <w:spacing w:line="257" w:lineRule="auto"/>
        <w:ind w:left="0"/>
        <w:rPr>
          <w:b/>
          <w:bCs/>
          <w:noProof/>
          <w:color w:val="000000" w:themeColor="text1"/>
        </w:rPr>
      </w:pPr>
      <w:r>
        <w:rPr>
          <w:b/>
          <w:noProof/>
          <w:color w:val="000000" w:themeColor="text1"/>
        </w:rPr>
        <w:t>Catalyser les investissements privés pour développer l’innovation en Europe</w:t>
      </w:r>
    </w:p>
    <w:p w14:paraId="475E8C91" w14:textId="17F4E5CC" w:rsidR="000E6A38" w:rsidRDefault="00191CD2" w:rsidP="00D84DFA">
      <w:pPr>
        <w:pStyle w:val="Text1"/>
        <w:spacing w:line="257" w:lineRule="auto"/>
        <w:ind w:left="0"/>
        <w:rPr>
          <w:rFonts w:eastAsiaTheme="minorEastAsia"/>
          <w:noProof/>
        </w:rPr>
      </w:pPr>
      <w:r>
        <w:rPr>
          <w:noProof/>
        </w:rPr>
        <w:t xml:space="preserve">Comme annoncé dans la boussole pour la compétitivité et le pacte pour une industrie propre, la Commission collaborera avec le groupe BEI et les investisseurs privés pour déployer un </w:t>
      </w:r>
      <w:r>
        <w:rPr>
          <w:b/>
          <w:noProof/>
        </w:rPr>
        <w:t>programme d’investissement TechEU</w:t>
      </w:r>
      <w:r>
        <w:rPr>
          <w:noProof/>
        </w:rPr>
        <w:t xml:space="preserve"> afin de contribuer à combler le déficit de financement en faveur de l’innovation de rupture, de renforcer la capacité industrielle de l’Europe et de soutenir l’expansion des entreprises qui investissent dans des technologies innovantes en synergie avec le portefeuille de projets pertinents du Conseil européen de l’innovation. Dans le secteur automobile, TechEU pourrait soutenir les investissements dans la RDI pour les futures technologies stratégiques, la transition numérique, l’application de l’IA, ainsi que le déploiement de capacités industrielles de fabrication et d’approvisionnement avancées et l’expansion de technologies stratégiques et compétitives par les équipementiers automobiles, les fournisseurs et les entreprises technologiques innovantes, y compris la mise en place de la chaîne d’approvisionnement en technologies de cellules de batteries.</w:t>
      </w:r>
    </w:p>
    <w:p w14:paraId="62D1E1B2" w14:textId="0A16FCFD" w:rsidR="000634E4" w:rsidRDefault="000634E4" w:rsidP="00837898">
      <w:pPr>
        <w:pStyle w:val="Text1"/>
        <w:pBdr>
          <w:top w:val="single" w:sz="4" w:space="1" w:color="000000"/>
          <w:left w:val="single" w:sz="4" w:space="4" w:color="000000"/>
          <w:bottom w:val="single" w:sz="4" w:space="1" w:color="000000"/>
          <w:right w:val="single" w:sz="4" w:space="4" w:color="000000"/>
        </w:pBdr>
        <w:spacing w:after="120" w:line="257" w:lineRule="auto"/>
        <w:ind w:left="0"/>
        <w:rPr>
          <w:b/>
          <w:bCs/>
          <w:noProof/>
        </w:rPr>
      </w:pPr>
      <w:r>
        <w:rPr>
          <w:b/>
          <w:noProof/>
        </w:rPr>
        <w:t>Actions phares:</w:t>
      </w:r>
    </w:p>
    <w:p w14:paraId="46AF164F" w14:textId="6CE8CAD1" w:rsidR="00F868A9" w:rsidRPr="00FA63DA" w:rsidRDefault="00F868A9" w:rsidP="00837898">
      <w:pPr>
        <w:pStyle w:val="Text1"/>
        <w:pBdr>
          <w:top w:val="single" w:sz="4" w:space="1" w:color="000000"/>
          <w:left w:val="single" w:sz="4" w:space="4" w:color="000000"/>
          <w:bottom w:val="single" w:sz="4" w:space="1" w:color="000000"/>
          <w:right w:val="single" w:sz="4" w:space="4" w:color="000000"/>
        </w:pBdr>
        <w:spacing w:after="120" w:line="257" w:lineRule="auto"/>
        <w:ind w:left="0"/>
        <w:rPr>
          <w:noProof/>
        </w:rPr>
      </w:pPr>
      <w:r>
        <w:rPr>
          <w:noProof/>
        </w:rPr>
        <w:t>Mettre en place l’Alliance européenne pour les véhicules connectés et autonomes en 2025.</w:t>
      </w:r>
    </w:p>
    <w:p w14:paraId="09178144" w14:textId="3BEBC833" w:rsidR="00F868A9" w:rsidRDefault="00F868A9" w:rsidP="00D84DFA">
      <w:pPr>
        <w:pStyle w:val="Text1"/>
        <w:pBdr>
          <w:top w:val="single" w:sz="4" w:space="1" w:color="000000"/>
          <w:left w:val="single" w:sz="4" w:space="4" w:color="000000"/>
          <w:bottom w:val="single" w:sz="4" w:space="1" w:color="000000"/>
          <w:right w:val="single" w:sz="4" w:space="4" w:color="000000"/>
        </w:pBdr>
        <w:spacing w:line="257" w:lineRule="auto"/>
        <w:ind w:left="0"/>
        <w:rPr>
          <w:noProof/>
        </w:rPr>
      </w:pPr>
      <w:r>
        <w:rPr>
          <w:noProof/>
        </w:rPr>
        <w:t>Soutenir la recherche et l’innovation dans le domaine de la mobilité connectée et automatisée et développer la technologie des batteries de nouvelle génération dans le cadre d’Horizon Europe.</w:t>
      </w:r>
    </w:p>
    <w:p w14:paraId="760EAC8C" w14:textId="79F7F24D" w:rsidR="00BD143F" w:rsidRPr="00FA63DA" w:rsidRDefault="0015179D" w:rsidP="002C146A">
      <w:pPr>
        <w:pStyle w:val="Text1"/>
        <w:pBdr>
          <w:top w:val="single" w:sz="4" w:space="1" w:color="000000"/>
          <w:left w:val="single" w:sz="4" w:space="4" w:color="000000"/>
          <w:bottom w:val="single" w:sz="4" w:space="1" w:color="000000"/>
          <w:right w:val="single" w:sz="4" w:space="4" w:color="000000"/>
        </w:pBdr>
        <w:spacing w:after="120" w:line="257" w:lineRule="auto"/>
        <w:ind w:left="0"/>
        <w:rPr>
          <w:b/>
          <w:bCs/>
          <w:noProof/>
        </w:rPr>
      </w:pPr>
      <w:r>
        <w:rPr>
          <w:b/>
          <w:noProof/>
        </w:rPr>
        <w:t>Autre action:</w:t>
      </w:r>
    </w:p>
    <w:p w14:paraId="0F65F41C" w14:textId="5EC5D5BB" w:rsidR="00CD1E1D" w:rsidRPr="00A173A7" w:rsidRDefault="003415FB" w:rsidP="00D84DFA">
      <w:pPr>
        <w:pStyle w:val="Text1"/>
        <w:pBdr>
          <w:top w:val="single" w:sz="4" w:space="1" w:color="000000"/>
          <w:left w:val="single" w:sz="4" w:space="4" w:color="000000"/>
          <w:bottom w:val="single" w:sz="4" w:space="1" w:color="000000"/>
          <w:right w:val="single" w:sz="4" w:space="4" w:color="000000"/>
        </w:pBdr>
        <w:spacing w:line="257" w:lineRule="auto"/>
        <w:ind w:left="0"/>
        <w:rPr>
          <w:noProof/>
        </w:rPr>
      </w:pPr>
      <w:r>
        <w:rPr>
          <w:noProof/>
        </w:rPr>
        <w:t xml:space="preserve">Collaborer avec le groupe BEI et le secteur privé pour déployer un programme d’investissement TechEU sur les entreprises en expansion, y compris pour la mise en place de la chaîne d’approvisionnement en technologies de cellules de batteries. </w:t>
      </w:r>
    </w:p>
    <w:p w14:paraId="35685F9A" w14:textId="77777777" w:rsidR="00EF3D99" w:rsidRPr="00A173A7" w:rsidRDefault="00EF3D99" w:rsidP="00EF3D99">
      <w:pPr>
        <w:spacing w:after="240" w:line="257" w:lineRule="auto"/>
        <w:jc w:val="both"/>
        <w:rPr>
          <w:rFonts w:ascii="Times New Roman" w:hAnsi="Times New Roman" w:cs="Times New Roman"/>
          <w:b/>
          <w:bCs/>
          <w:i/>
          <w:iCs/>
          <w:noProof/>
          <w:sz w:val="24"/>
          <w:szCs w:val="24"/>
        </w:rPr>
      </w:pPr>
      <w:r>
        <w:rPr>
          <w:rFonts w:ascii="Times New Roman" w:hAnsi="Times New Roman"/>
          <w:b/>
          <w:i/>
          <w:noProof/>
          <w:sz w:val="24"/>
        </w:rPr>
        <w:t xml:space="preserve">Cybersécurité </w:t>
      </w:r>
    </w:p>
    <w:p w14:paraId="00286FE4" w14:textId="77777777" w:rsidR="00EF3D99" w:rsidRDefault="00EF3D99" w:rsidP="00EF3D99">
      <w:pPr>
        <w:pStyle w:val="Text1"/>
        <w:spacing w:line="257" w:lineRule="auto"/>
        <w:ind w:left="0"/>
        <w:rPr>
          <w:rStyle w:val="eop"/>
          <w:rFonts w:eastAsiaTheme="majorEastAsia"/>
          <w:noProof/>
        </w:rPr>
      </w:pPr>
      <w:r>
        <w:rPr>
          <w:noProof/>
        </w:rPr>
        <w:t xml:space="preserve">Les composants matériels et logiciels des véhicules connectés et automatisés ont d’importantes implications en matière de sécurité. </w:t>
      </w:r>
      <w:r>
        <w:rPr>
          <w:noProof/>
          <w:color w:val="000000" w:themeColor="text1"/>
        </w:rPr>
        <w:t xml:space="preserve">La Commission </w:t>
      </w:r>
      <w:r>
        <w:rPr>
          <w:b/>
          <w:noProof/>
          <w:color w:val="000000" w:themeColor="text1"/>
        </w:rPr>
        <w:t>assurera le suivi d’une évaluation en cours des risques de cybersécurité des véhicules connectés au titre de la directive SRI 2 au moyen de mesures concrètes</w:t>
      </w:r>
      <w:r>
        <w:rPr>
          <w:noProof/>
          <w:color w:val="000000" w:themeColor="text1"/>
        </w:rPr>
        <w:t xml:space="preserve">, y compris, le cas échéant, dans le cadre réglementaire pour les véhicules à moteur, et étudiera les moyens de mettre en place une chaîne de valeur industrielle européenne pour les composants critiques. </w:t>
      </w:r>
      <w:r>
        <w:rPr>
          <w:noProof/>
        </w:rPr>
        <w:t xml:space="preserve">Parallèlement, </w:t>
      </w:r>
      <w:r>
        <w:rPr>
          <w:rStyle w:val="eop"/>
          <w:noProof/>
        </w:rPr>
        <w:t>conformément à la stratégie de sécurité économique de l’UE, la Commission, en dialogue avec ses partenaires internationaux et en particulier le G7,</w:t>
      </w:r>
      <w:r>
        <w:rPr>
          <w:noProof/>
        </w:rPr>
        <w:t xml:space="preserve"> élaborera </w:t>
      </w:r>
      <w:r>
        <w:rPr>
          <w:rStyle w:val="eop"/>
          <w:noProof/>
        </w:rPr>
        <w:t xml:space="preserve">une vision commune des risques en matière de cybersécurité et des mesures d’atténuation potentielles liées aux véhicules connectés. Cette approche est importante pour éviter de fragmenter davantage le marché mondial. La Commission élaborera également des normes de sécurité économique pour faire face aux risques liés à la chaîne d’approvisionnement, tels que la surdépendance, l’instrumentalisation, la surcapacité, les risques technologiques, la cybersécurité ou les risques en matière de sécurité.   </w:t>
      </w:r>
    </w:p>
    <w:p w14:paraId="38CB393C" w14:textId="55F46A9F" w:rsidR="003C3E96" w:rsidRPr="00A173A7" w:rsidRDefault="003C3E96" w:rsidP="003C3E96">
      <w:pPr>
        <w:pBdr>
          <w:top w:val="single" w:sz="4" w:space="1" w:color="auto"/>
          <w:left w:val="single" w:sz="4" w:space="4" w:color="auto"/>
          <w:bottom w:val="single" w:sz="4" w:space="1" w:color="auto"/>
          <w:right w:val="single" w:sz="4" w:space="4" w:color="auto"/>
        </w:pBdr>
        <w:spacing w:after="120"/>
        <w:jc w:val="both"/>
        <w:rPr>
          <w:rFonts w:ascii="Times New Roman" w:eastAsiaTheme="minorEastAsia" w:hAnsi="Times New Roman" w:cs="Times New Roman"/>
          <w:b/>
          <w:bCs/>
          <w:noProof/>
          <w:color w:val="000000" w:themeColor="text1"/>
          <w:sz w:val="24"/>
          <w:szCs w:val="24"/>
        </w:rPr>
      </w:pPr>
      <w:r>
        <w:rPr>
          <w:rFonts w:ascii="Times New Roman" w:hAnsi="Times New Roman"/>
          <w:b/>
          <w:noProof/>
          <w:color w:val="000000" w:themeColor="text1"/>
          <w:sz w:val="24"/>
        </w:rPr>
        <w:t>Autres actions:</w:t>
      </w:r>
    </w:p>
    <w:p w14:paraId="57F39744" w14:textId="77777777" w:rsidR="003C3E96" w:rsidRPr="00A173A7" w:rsidRDefault="003C3E96" w:rsidP="003C3E96">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Continuer à œuvrer en faveur d’une cybersécurité suffisante sans étouffer l’innovation et la commercialisation.</w:t>
      </w:r>
    </w:p>
    <w:p w14:paraId="36FEE4CB" w14:textId="77777777" w:rsidR="003C3E96" w:rsidRPr="00A173A7" w:rsidRDefault="003C3E96" w:rsidP="003C3E96">
      <w:pPr>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Élaborer des normes de sécurité économique.</w:t>
      </w:r>
    </w:p>
    <w:p w14:paraId="4D06879A" w14:textId="38B1377C" w:rsidR="002C79D0" w:rsidRPr="00A173A7" w:rsidRDefault="002C79D0" w:rsidP="00D84DFA">
      <w:pPr>
        <w:pStyle w:val="Text1"/>
        <w:spacing w:line="257" w:lineRule="auto"/>
        <w:ind w:left="0"/>
        <w:rPr>
          <w:rFonts w:eastAsiaTheme="minorEastAsia"/>
          <w:noProof/>
          <w:color w:val="000000" w:themeColor="text1"/>
          <w14:ligatures w14:val="standardContextual"/>
        </w:rPr>
      </w:pPr>
      <w:r>
        <w:rPr>
          <w:b/>
          <w:noProof/>
          <w:color w:val="000000" w:themeColor="text1"/>
        </w:rPr>
        <w:t>Accès aux données, aux fonctions et aux ressources des véhicules</w:t>
      </w:r>
      <w:r>
        <w:rPr>
          <w:noProof/>
          <w:color w:val="000000" w:themeColor="text1"/>
        </w:rPr>
        <w:t xml:space="preserve"> </w:t>
      </w:r>
    </w:p>
    <w:p w14:paraId="0E8D0347" w14:textId="4D6F0AB2" w:rsidR="00027F51" w:rsidRPr="00A173A7" w:rsidRDefault="002C79D0" w:rsidP="00D84DFA">
      <w:pPr>
        <w:pStyle w:val="Text1"/>
        <w:spacing w:line="257" w:lineRule="auto"/>
        <w:ind w:left="0"/>
        <w:rPr>
          <w:noProof/>
          <w:szCs w:val="24"/>
          <w14:ligatures w14:val="standardContextual"/>
        </w:rPr>
      </w:pPr>
      <w:r>
        <w:rPr>
          <w:noProof/>
          <w:color w:val="000000" w:themeColor="text1"/>
        </w:rPr>
        <w:t>Les données des véhicules connectés et numériques créeront de nouveaux flux de revenus et une valeur économique considérables. Ce potentiel est déjà libéré dans une certaine mesure par le règlement sur les données, qui donne accès aux données provenant de dispositifs connectés, tels que les véhicules, à la demande des utilisateurs, ainsi que par la directive sur les énergies renouvelables, qui prévoit l’accès aux données relatives aux batteries.</w:t>
      </w:r>
      <w:r>
        <w:rPr>
          <w:noProof/>
        </w:rPr>
        <w:t xml:space="preserve"> </w:t>
      </w:r>
    </w:p>
    <w:p w14:paraId="7B3CCC91" w14:textId="6D925C1C" w:rsidR="00744E62" w:rsidRPr="00A173A7" w:rsidRDefault="002C79D0" w:rsidP="00D84DFA">
      <w:pPr>
        <w:pStyle w:val="Text1"/>
        <w:spacing w:line="257" w:lineRule="auto"/>
        <w:ind w:left="0"/>
        <w:rPr>
          <w:rFonts w:eastAsiaTheme="minorEastAsia"/>
          <w:noProof/>
          <w:color w:val="000000" w:themeColor="text1"/>
        </w:rPr>
      </w:pPr>
      <w:r>
        <w:rPr>
          <w:noProof/>
          <w:color w:val="000000" w:themeColor="text1"/>
        </w:rPr>
        <w:t xml:space="preserve">Toutefois, en raison des nombreuses spécificités des véhicules à moteur connectés et de leur potentiel d’ouvrir de nouvelles perspectives commerciales, y compris en ce qui concerne la recharge bidirectionnelle et intelligente, des mesures complémentaires sont nécessaires. La Commission </w:t>
      </w:r>
      <w:r>
        <w:rPr>
          <w:b/>
          <w:noProof/>
          <w:color w:val="000000" w:themeColor="text1"/>
        </w:rPr>
        <w:t>prendra donc des mesures appropriées</w:t>
      </w:r>
      <w:r>
        <w:rPr>
          <w:noProof/>
          <w:color w:val="000000" w:themeColor="text1"/>
        </w:rPr>
        <w:t xml:space="preserve"> pour permettre à l’</w:t>
      </w:r>
      <w:r>
        <w:rPr>
          <w:b/>
          <w:noProof/>
          <w:color w:val="000000" w:themeColor="text1"/>
        </w:rPr>
        <w:t>ensemble</w:t>
      </w:r>
      <w:r>
        <w:rPr>
          <w:noProof/>
          <w:color w:val="000000" w:themeColor="text1"/>
        </w:rPr>
        <w:t xml:space="preserve"> de l’écosystème automobile de </w:t>
      </w:r>
      <w:r>
        <w:rPr>
          <w:b/>
          <w:noProof/>
          <w:color w:val="000000" w:themeColor="text1"/>
        </w:rPr>
        <w:t>tirer parti des données des véhicules connectés</w:t>
      </w:r>
      <w:r>
        <w:rPr>
          <w:noProof/>
          <w:color w:val="000000" w:themeColor="text1"/>
        </w:rPr>
        <w:t xml:space="preserve">, notamment grâce à l’application du règlement sur les données et aux </w:t>
      </w:r>
      <w:r>
        <w:rPr>
          <w:b/>
          <w:noProof/>
          <w:color w:val="000000" w:themeColor="text1"/>
        </w:rPr>
        <w:t>orientations sur les données embarquées</w:t>
      </w:r>
      <w:r>
        <w:rPr>
          <w:noProof/>
          <w:color w:val="000000" w:themeColor="text1"/>
        </w:rPr>
        <w:t xml:space="preserve"> qui seront publiées lors de l’entrée en application du règlement sur les données. Après évaluation des effets du règlement sur les données, la Commission envisagera d’autres mesures, y compris une proposition législative sur l’accès aux données embarquées et la possibilité de mettre en place une plateforme européenne de données automobiles. Dans ce contexte, elle tiendra également compte des considérations relatives à la cybersécurité, y compris pour l’accès à distance aux données.</w:t>
      </w:r>
      <w:r>
        <w:rPr>
          <w:noProof/>
          <w:color w:val="000000" w:themeColor="text1"/>
        </w:rPr>
        <w:tab/>
      </w:r>
    </w:p>
    <w:p w14:paraId="284B2ABA" w14:textId="477BA0AA" w:rsidR="000E6A38" w:rsidRDefault="00686094" w:rsidP="00D84DFA">
      <w:pPr>
        <w:pStyle w:val="Text1"/>
        <w:spacing w:line="257" w:lineRule="auto"/>
        <w:ind w:left="0"/>
        <w:rPr>
          <w:noProof/>
          <w:color w:val="000000" w:themeColor="text1"/>
        </w:rPr>
      </w:pPr>
      <w:r>
        <w:rPr>
          <w:noProof/>
          <w:color w:val="000000" w:themeColor="text1"/>
        </w:rPr>
        <w:t xml:space="preserve">La Commission évalue également si l’actuel cadre de l’UE en matière de concurrence en ce qui concerne les accords verticaux sur les marchés de l’après-vente dans le secteur automobile (le règlement d’exemption par catégorie applicable au secteur automobile) est toujours adapté à sa finalité, y compris dans un contexte de transition numérique.  </w:t>
      </w:r>
    </w:p>
    <w:p w14:paraId="7F5D885C" w14:textId="3A3D6819" w:rsidR="002C79D0" w:rsidRPr="00A173A7" w:rsidRDefault="00CD1E1D" w:rsidP="00837898">
      <w:pPr>
        <w:pStyle w:val="Text1"/>
        <w:pBdr>
          <w:top w:val="single" w:sz="4" w:space="1" w:color="auto"/>
          <w:left w:val="single" w:sz="4" w:space="4" w:color="auto"/>
          <w:bottom w:val="single" w:sz="4" w:space="1" w:color="auto"/>
          <w:right w:val="single" w:sz="4" w:space="4" w:color="auto"/>
        </w:pBdr>
        <w:spacing w:after="120" w:line="257" w:lineRule="auto"/>
        <w:ind w:left="0"/>
        <w:rPr>
          <w:noProof/>
          <w:color w:val="000000" w:themeColor="text1"/>
          <w:szCs w:val="24"/>
        </w:rPr>
      </w:pPr>
      <w:r>
        <w:rPr>
          <w:b/>
          <w:bCs/>
          <w:noProof/>
          <w:color w:val="000000" w:themeColor="text1"/>
        </w:rPr>
        <w:t>Actions phares</w:t>
      </w:r>
      <w:r>
        <w:rPr>
          <w:noProof/>
          <w:color w:val="000000" w:themeColor="text1"/>
        </w:rPr>
        <w:t xml:space="preserve">: </w:t>
      </w:r>
    </w:p>
    <w:p w14:paraId="1F1D1BDB" w14:textId="47B8FC53" w:rsidR="000634E4" w:rsidRPr="00A173A7" w:rsidRDefault="002A2F1E" w:rsidP="00837898">
      <w:pPr>
        <w:pStyle w:val="Text1"/>
        <w:pBdr>
          <w:top w:val="single" w:sz="4" w:space="1" w:color="auto"/>
          <w:left w:val="single" w:sz="4" w:space="4" w:color="auto"/>
          <w:bottom w:val="single" w:sz="4" w:space="1" w:color="auto"/>
          <w:right w:val="single" w:sz="4" w:space="4" w:color="auto"/>
        </w:pBdr>
        <w:spacing w:after="120" w:line="257" w:lineRule="auto"/>
        <w:ind w:left="0"/>
        <w:rPr>
          <w:noProof/>
          <w:color w:val="000000" w:themeColor="text1"/>
        </w:rPr>
      </w:pPr>
      <w:r>
        <w:rPr>
          <w:noProof/>
          <w:color w:val="000000" w:themeColor="text1"/>
        </w:rPr>
        <w:t>Des mesures adéquates concernant l’accès aux données, aux fonctions et aux ressources relatives aux véhicules, y compris des orientations sur le règlement sur les données et, si nécessaire, une proposition législative sur l’accès aux données des véhicules.</w:t>
      </w:r>
    </w:p>
    <w:p w14:paraId="56C52781" w14:textId="3A751DE9" w:rsidR="00837898" w:rsidRDefault="000634E4" w:rsidP="00D84DFA">
      <w:pPr>
        <w:pStyle w:val="Text1"/>
        <w:pBdr>
          <w:top w:val="single" w:sz="4" w:space="1" w:color="auto"/>
          <w:left w:val="single" w:sz="4" w:space="4" w:color="auto"/>
          <w:bottom w:val="single" w:sz="4" w:space="1" w:color="auto"/>
          <w:right w:val="single" w:sz="4" w:space="4" w:color="auto"/>
        </w:pBdr>
        <w:spacing w:line="257" w:lineRule="auto"/>
        <w:ind w:left="0"/>
        <w:rPr>
          <w:noProof/>
          <w:color w:val="000000" w:themeColor="text1"/>
        </w:rPr>
      </w:pPr>
      <w:r>
        <w:rPr>
          <w:noProof/>
          <w:color w:val="000000" w:themeColor="text1"/>
        </w:rPr>
        <w:t>Réexamen du règlement d’exemption par catégorie applicable au secteur automobile et lignes directrices supplémentaires.</w:t>
      </w:r>
    </w:p>
    <w:p w14:paraId="54D4E863" w14:textId="680D68CC" w:rsidR="00711536" w:rsidRPr="00A173A7" w:rsidRDefault="00492061" w:rsidP="00A403F1">
      <w:pPr>
        <w:pStyle w:val="Text1"/>
        <w:numPr>
          <w:ilvl w:val="1"/>
          <w:numId w:val="11"/>
        </w:numPr>
        <w:spacing w:line="257" w:lineRule="auto"/>
        <w:rPr>
          <w:b/>
          <w:noProof/>
          <w:color w:val="000000" w:themeColor="text1"/>
        </w:rPr>
      </w:pPr>
      <w:r>
        <w:rPr>
          <w:b/>
          <w:noProof/>
          <w:color w:val="000000" w:themeColor="text1"/>
        </w:rPr>
        <w:t xml:space="preserve">Mobilité propre </w:t>
      </w:r>
    </w:p>
    <w:p w14:paraId="0E5C033A" w14:textId="240B0BBE" w:rsidR="00EE052F" w:rsidRPr="00A173A7" w:rsidRDefault="001536E1" w:rsidP="00A403F1">
      <w:pPr>
        <w:pStyle w:val="Text1"/>
        <w:spacing w:line="257" w:lineRule="auto"/>
        <w:ind w:left="0"/>
        <w:rPr>
          <w:noProof/>
        </w:rPr>
      </w:pPr>
      <w:r>
        <w:rPr>
          <w:noProof/>
        </w:rPr>
        <w:t>Le transport routier représente encore environ un quart des émissions totales de gaz à effet de serre de l’UE. Pour atteindre l’ambition de l’Europe de parvenir à la neutralité climatique d’ici à 2050, les émissions dues aux transports devront être réduites de 90 % à cette échéance. Et pour garantir la poursuite de la réussite commerciale, il est également essentiel que les FEO européens, qui investissent déjà massivement dans les technologies à émissions nulles, retrouvent leur leadership en matière de technologies et de produits dans le secteur des véhicules à émissions nulles. Les véhicules à émissions nulles représentent déjà une part importante des ventes mondiales et, à terme, constitueront le segment de marché dominant. Un marché intérieur solide, soutenu par des infrastructures adéquates dans tous les territoires, est un facteur essentiel à cet égard.</w:t>
      </w:r>
    </w:p>
    <w:p w14:paraId="66DDF216" w14:textId="05F59868" w:rsidR="000906B4" w:rsidRPr="00A173A7" w:rsidRDefault="00761EA2" w:rsidP="00A403F1">
      <w:pPr>
        <w:pStyle w:val="Text1"/>
        <w:spacing w:line="257" w:lineRule="auto"/>
        <w:ind w:left="0"/>
        <w:rPr>
          <w:b/>
          <w:bCs/>
          <w:noProof/>
          <w:color w:val="000000" w:themeColor="text1"/>
          <w:szCs w:val="24"/>
        </w:rPr>
      </w:pPr>
      <w:r>
        <w:rPr>
          <w:b/>
          <w:noProof/>
          <w:color w:val="000000" w:themeColor="text1"/>
        </w:rPr>
        <w:t>Normes d’émission</w:t>
      </w:r>
    </w:p>
    <w:p w14:paraId="463055EA" w14:textId="2D0789A0" w:rsidR="00A42D87" w:rsidRPr="00A173A7" w:rsidRDefault="00A42D87" w:rsidP="00A403F1">
      <w:pPr>
        <w:pStyle w:val="Text1"/>
        <w:spacing w:line="257" w:lineRule="auto"/>
        <w:ind w:left="0"/>
        <w:rPr>
          <w:noProof/>
          <w:color w:val="000000" w:themeColor="text1"/>
        </w:rPr>
      </w:pPr>
      <w:r>
        <w:rPr>
          <w:noProof/>
        </w:rPr>
        <w:t>La transition vers une mobilité routière propre est soutenue par des normes d’émission de CO</w:t>
      </w:r>
      <w:r>
        <w:rPr>
          <w:noProof/>
          <w:vertAlign w:val="subscript"/>
        </w:rPr>
        <w:t>2</w:t>
      </w:r>
      <w:r>
        <w:rPr>
          <w:noProof/>
        </w:rPr>
        <w:t xml:space="preserve"> pour les voitures et camionnettes neuves et pour les véhicules utilitaires lourds neufs, qui fixent des objectifs de réduction des émissions progressivement plus élevés pour les constructeurs. Ces normes offrent une sécurité et une prévisibilité à long terme pour les investisseurs tout au long de la chaîne de valeur, tout en laissant suffisamment de temps pour une transition équitable. À l’heure actuelle, près de 6 millions de véhicules à émissions nulles circulent sur les routes européennes, mais une forte augmentation est encore nécessaire pour atteindre les objectifs de 2035 et 2040.  </w:t>
      </w:r>
    </w:p>
    <w:p w14:paraId="19D0A9C0" w14:textId="35D1D80A" w:rsidR="008A151D" w:rsidRPr="00A173A7" w:rsidRDefault="244CB5F4" w:rsidP="00A403F1">
      <w:pPr>
        <w:pStyle w:val="Text1"/>
        <w:spacing w:line="257" w:lineRule="auto"/>
        <w:ind w:left="0"/>
        <w:rPr>
          <w:noProof/>
          <w:color w:val="000000" w:themeColor="text1"/>
        </w:rPr>
      </w:pPr>
      <w:r>
        <w:rPr>
          <w:noProof/>
          <w:color w:val="000000" w:themeColor="text1"/>
        </w:rPr>
        <w:t xml:space="preserve">Récemment, la demande de véhicules électriques à batterie a été plus faible que prévu. Après avoir été multipliées par six entre 2019 et 2023, les ventes de véhicules électriques à batterie dans l’UE ont légèrement diminué de 5,6 % entre 2023 et 2024, leur part de marché passant de 14,6 % à 13,6 %, tandis que le lancement sur le marché de modèles de véhicules électriques abordables a connu des retards. </w:t>
      </w:r>
    </w:p>
    <w:p w14:paraId="53586999" w14:textId="4FD106E8" w:rsidR="000E6A38" w:rsidRDefault="00DC3ADE" w:rsidP="00A403F1">
      <w:pPr>
        <w:pStyle w:val="Text1"/>
        <w:spacing w:line="257" w:lineRule="auto"/>
        <w:ind w:left="0"/>
        <w:rPr>
          <w:noProof/>
          <w:color w:val="000000" w:themeColor="text1"/>
        </w:rPr>
      </w:pPr>
      <w:r>
        <w:rPr>
          <w:noProof/>
          <w:color w:val="000000" w:themeColor="text1"/>
        </w:rPr>
        <w:t xml:space="preserve">Si les chiffres de janvier 2025 indiquaient une part de 15 % de ventes de véhicules électriques à batterie, contre 10,9 % en janvier 2024, il existe toujours un risque que les objectifs en matière d’émissions des véhicules de transport de passagers pour 2025 entraînent des sanctions importantes. La Commission </w:t>
      </w:r>
      <w:r>
        <w:rPr>
          <w:b/>
          <w:bCs/>
          <w:noProof/>
          <w:color w:val="000000" w:themeColor="text1"/>
        </w:rPr>
        <w:t>présentera donc rapidement des flexibilités supplémentaires, au moyen d’une modification ciblée des normes de performance en matière d’émissions de CO</w:t>
      </w:r>
      <w:r>
        <w:rPr>
          <w:b/>
          <w:bCs/>
          <w:noProof/>
          <w:color w:val="000000" w:themeColor="text1"/>
          <w:vertAlign w:val="subscript"/>
        </w:rPr>
        <w:t>2</w:t>
      </w:r>
      <w:r>
        <w:rPr>
          <w:b/>
          <w:bCs/>
          <w:noProof/>
          <w:color w:val="000000" w:themeColor="text1"/>
        </w:rPr>
        <w:t xml:space="preserve"> pour les voitures et les camionnettes</w:t>
      </w:r>
      <w:r>
        <w:rPr>
          <w:noProof/>
          <w:color w:val="000000" w:themeColor="text1"/>
        </w:rPr>
        <w:t xml:space="preserve">. La modification, si elle est adoptée, prévoirait d’évaluer la conformité au cours des années 2025, 2026 et 2027 combinées afin de permettre aux constructeurs automobiles de </w:t>
      </w:r>
      <w:r>
        <w:rPr>
          <w:b/>
          <w:noProof/>
          <w:color w:val="000000" w:themeColor="text1"/>
        </w:rPr>
        <w:t>compenser un retard au cours de l’une ou deux de ces années par des dépassements de l’objectif au cours de l’autre ou des autres années</w:t>
      </w:r>
      <w:r>
        <w:rPr>
          <w:noProof/>
          <w:color w:val="000000" w:themeColor="text1"/>
        </w:rPr>
        <w:t>. Cela contribuera à préserver la capacité de l’industrie à investir, tout en maintenant l’ambition globale des objectifs pour 2025. La Commission invite les colégislateurs à parvenir sans délai à un accord sur cette modification, car cela créerait une sécurité pour le secteur. Comme indiqué dans les orientations politiques de la Commission, le règlement sur les normes de performance en matière d’émissions de CO</w:t>
      </w:r>
      <w:r>
        <w:rPr>
          <w:noProof/>
          <w:color w:val="000000" w:themeColor="text1"/>
          <w:vertAlign w:val="subscript"/>
        </w:rPr>
        <w:t>2</w:t>
      </w:r>
      <w:r>
        <w:rPr>
          <w:noProof/>
          <w:color w:val="000000" w:themeColor="text1"/>
        </w:rPr>
        <w:t xml:space="preserve"> pour les voitures et les camionnettes crée de la prévisibilité pour les investisseurs et les constructeurs. La Commission européenne accélérera les travaux de préparation de la révision prévue du règlement. Cette révision sera fondée sur une analyse factuelle tenant compte de toutes les évolutions technologiques pertinentes et de l’importance d’une transition économiquement viable et socialement équitable vers une mobilité à émissions nulles. </w:t>
      </w:r>
    </w:p>
    <w:p w14:paraId="51DFC4A8" w14:textId="7FAFC06B" w:rsidR="00FB4A21" w:rsidRPr="005D4CD7" w:rsidRDefault="25658233" w:rsidP="002D50DD">
      <w:pPr>
        <w:pBdr>
          <w:top w:val="single" w:sz="4" w:space="1" w:color="auto"/>
          <w:left w:val="single" w:sz="4" w:space="1" w:color="auto"/>
          <w:bottom w:val="single" w:sz="4" w:space="1" w:color="auto"/>
          <w:right w:val="single" w:sz="4" w:space="1" w:color="auto"/>
        </w:pBdr>
        <w:rPr>
          <w:rFonts w:ascii="Times New Roman" w:hAnsi="Times New Roman" w:cs="Times New Roman"/>
          <w:noProof/>
          <w:color w:val="000000" w:themeColor="text1"/>
          <w:sz w:val="24"/>
          <w:szCs w:val="24"/>
        </w:rPr>
      </w:pPr>
      <w:r>
        <w:rPr>
          <w:rFonts w:ascii="Times New Roman" w:hAnsi="Times New Roman"/>
          <w:b/>
          <w:bCs/>
          <w:noProof/>
          <w:color w:val="000000" w:themeColor="text1"/>
          <w:sz w:val="24"/>
        </w:rPr>
        <w:t>Actions phares</w:t>
      </w:r>
      <w:r>
        <w:rPr>
          <w:rFonts w:ascii="Times New Roman" w:hAnsi="Times New Roman"/>
          <w:noProof/>
          <w:color w:val="000000" w:themeColor="text1"/>
          <w:sz w:val="24"/>
        </w:rPr>
        <w:t xml:space="preserve">: </w:t>
      </w:r>
    </w:p>
    <w:p w14:paraId="73744450" w14:textId="1020753B" w:rsidR="00F7493D" w:rsidRDefault="00F7493D" w:rsidP="002D50DD">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rPr>
      </w:pPr>
      <w:r>
        <w:rPr>
          <w:noProof/>
          <w:color w:val="000000" w:themeColor="text1"/>
        </w:rPr>
        <w:t>Proposition visant à modifier les normes d’émission de CO</w:t>
      </w:r>
      <w:r>
        <w:rPr>
          <w:noProof/>
          <w:color w:val="000000" w:themeColor="text1"/>
          <w:vertAlign w:val="subscript"/>
        </w:rPr>
        <w:t>2</w:t>
      </w:r>
      <w:r>
        <w:rPr>
          <w:noProof/>
          <w:color w:val="000000" w:themeColor="text1"/>
        </w:rPr>
        <w:t xml:space="preserve"> pour les voitures et les camionnettes, afin d’autoriser un retard dans la réalisation de l’objectif au cours d’une ou deux années, compensé par un dépassement de l’objectif au cours de l’autre ou des autres années pour la période 2025-2027.</w:t>
      </w:r>
    </w:p>
    <w:p w14:paraId="30BD4551" w14:textId="0338256B" w:rsidR="00693173" w:rsidRPr="00A173A7" w:rsidRDefault="00693173" w:rsidP="002D50DD">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rPr>
      </w:pPr>
      <w:r>
        <w:rPr>
          <w:noProof/>
          <w:color w:val="000000" w:themeColor="text1"/>
        </w:rPr>
        <w:t>Accélération des préparatifs en vue de la révision prévue du règlement.</w:t>
      </w:r>
    </w:p>
    <w:p w14:paraId="0E1F82CE" w14:textId="77777777" w:rsidR="00DB0E78" w:rsidRPr="009569ED" w:rsidRDefault="00DB0E78" w:rsidP="00DB0E78">
      <w:pPr>
        <w:pStyle w:val="Text1"/>
        <w:spacing w:line="257" w:lineRule="auto"/>
        <w:ind w:left="0"/>
        <w:rPr>
          <w:b/>
          <w:bCs/>
          <w:noProof/>
          <w:color w:val="000000" w:themeColor="text1"/>
        </w:rPr>
      </w:pPr>
      <w:r w:rsidRPr="009569ED">
        <w:rPr>
          <w:b/>
          <w:noProof/>
          <w:color w:val="000000" w:themeColor="text1"/>
        </w:rPr>
        <w:t>Stimuler la demande de véhicules à émissions nulles</w:t>
      </w:r>
    </w:p>
    <w:p w14:paraId="69E9C258" w14:textId="77777777" w:rsidR="00DB0E78" w:rsidRPr="009569ED" w:rsidRDefault="00DB0E78" w:rsidP="00DB0E78">
      <w:pPr>
        <w:pStyle w:val="Text1"/>
        <w:spacing w:line="257" w:lineRule="auto"/>
        <w:ind w:left="0"/>
        <w:rPr>
          <w:b/>
          <w:bCs/>
          <w:i/>
          <w:iCs/>
          <w:noProof/>
          <w:color w:val="000000" w:themeColor="text1"/>
        </w:rPr>
      </w:pPr>
      <w:r w:rsidRPr="009569ED">
        <w:rPr>
          <w:b/>
          <w:i/>
          <w:noProof/>
          <w:color w:val="000000" w:themeColor="text1"/>
        </w:rPr>
        <w:t>Soutenir les utilisateurs à faibles revenus au moyen de régimes de crédit-bail social</w:t>
      </w:r>
    </w:p>
    <w:p w14:paraId="47D19BEF" w14:textId="77777777" w:rsidR="00DB0E78" w:rsidRPr="009569ED" w:rsidRDefault="00DB0E78" w:rsidP="00DB0E78">
      <w:pPr>
        <w:pStyle w:val="Text1"/>
        <w:spacing w:line="257" w:lineRule="auto"/>
        <w:ind w:left="0"/>
        <w:rPr>
          <w:noProof/>
          <w:color w:val="000000" w:themeColor="text1"/>
        </w:rPr>
      </w:pPr>
      <w:bookmarkStart w:id="2" w:name="_Hlk191288736"/>
      <w:r w:rsidRPr="009569ED">
        <w:rPr>
          <w:noProof/>
          <w:color w:val="000000" w:themeColor="text1"/>
        </w:rPr>
        <w:t xml:space="preserve">Les régimes de crédit-bail social peuvent soutenir une mobilité propre abordable pour les consommateurs moins favorisés, tout en stimulant directement les ventes de véhicules à émissions nulles. La Commission </w:t>
      </w:r>
      <w:r w:rsidRPr="009569ED">
        <w:rPr>
          <w:b/>
          <w:bCs/>
          <w:noProof/>
          <w:color w:val="000000" w:themeColor="text1"/>
        </w:rPr>
        <w:t>adoptera au premier trimestre 2025 une recommandation sur la précarité en matière de transport, encourageant les États membres à adopter des régimes de crédit-bail social</w:t>
      </w:r>
      <w:r w:rsidRPr="009569ED">
        <w:rPr>
          <w:noProof/>
          <w:color w:val="000000" w:themeColor="text1"/>
        </w:rPr>
        <w:t xml:space="preserve"> pour les véhicules à émissions nulles neufs et d’occasion, </w:t>
      </w:r>
      <w:r w:rsidRPr="009569ED">
        <w:rPr>
          <w:b/>
          <w:bCs/>
          <w:noProof/>
          <w:color w:val="000000" w:themeColor="text1"/>
        </w:rPr>
        <w:t>ciblant les usagers vulnérables des transports</w:t>
      </w:r>
      <w:r w:rsidRPr="009569ED">
        <w:rPr>
          <w:noProof/>
          <w:color w:val="000000" w:themeColor="text1"/>
        </w:rPr>
        <w:t xml:space="preserve"> dans le cadre de la mise en œuvre de leurs plans nationaux </w:t>
      </w:r>
      <w:r w:rsidRPr="009569ED">
        <w:rPr>
          <w:b/>
          <w:bCs/>
          <w:noProof/>
          <w:color w:val="000000" w:themeColor="text1"/>
        </w:rPr>
        <w:t>au titre du Fonds social pour le climat</w:t>
      </w:r>
      <w:r w:rsidRPr="009569ED">
        <w:rPr>
          <w:noProof/>
          <w:color w:val="000000" w:themeColor="text1"/>
        </w:rPr>
        <w:t xml:space="preserve">. Le crédit-bail social (et notamment les régimes de location ou de crédit-bail de véhicules à émissions nulles destinés aux groupes vulnérables) est également couvert par les </w:t>
      </w:r>
      <w:r w:rsidRPr="009569ED">
        <w:rPr>
          <w:b/>
          <w:bCs/>
          <w:noProof/>
          <w:color w:val="000000" w:themeColor="text1"/>
        </w:rPr>
        <w:t>orientations sur les plans sociaux pour le climat</w:t>
      </w:r>
      <w:r w:rsidRPr="009569ED">
        <w:rPr>
          <w:noProof/>
          <w:color w:val="000000" w:themeColor="text1"/>
        </w:rPr>
        <w:t xml:space="preserve">, que la Commission adopte le même jour que la présente communication. </w:t>
      </w:r>
    </w:p>
    <w:bookmarkEnd w:id="2"/>
    <w:p w14:paraId="4F58043A" w14:textId="77777777" w:rsidR="00DB0E78" w:rsidRPr="009569ED" w:rsidRDefault="00DB0E78" w:rsidP="00DB0E78">
      <w:pPr>
        <w:pStyle w:val="Text1"/>
        <w:spacing w:line="257" w:lineRule="auto"/>
        <w:ind w:left="0"/>
        <w:rPr>
          <w:b/>
          <w:bCs/>
          <w:i/>
          <w:iCs/>
          <w:noProof/>
          <w:color w:val="000000" w:themeColor="text1"/>
        </w:rPr>
      </w:pPr>
      <w:r w:rsidRPr="009569ED">
        <w:rPr>
          <w:b/>
          <w:i/>
          <w:noProof/>
          <w:color w:val="000000" w:themeColor="text1"/>
        </w:rPr>
        <w:t>Accélération de l’intégration des véhicules à émissions nulles dans les flottes d’entreprises</w:t>
      </w:r>
    </w:p>
    <w:p w14:paraId="7EA70E31" w14:textId="77777777" w:rsidR="00DB0E78" w:rsidRPr="009569ED" w:rsidRDefault="00DB0E78" w:rsidP="00DB0E78">
      <w:pPr>
        <w:pStyle w:val="Text1"/>
        <w:spacing w:line="257" w:lineRule="auto"/>
        <w:ind w:left="0"/>
        <w:rPr>
          <w:b/>
          <w:bCs/>
          <w:i/>
          <w:iCs/>
          <w:noProof/>
          <w:color w:val="000000" w:themeColor="text1"/>
        </w:rPr>
      </w:pPr>
      <w:r w:rsidRPr="009569ED">
        <w:rPr>
          <w:noProof/>
        </w:rPr>
        <w:t xml:space="preserve">Les flottes d’entreprises constituent une part importante du marché européen des véhicules. Les véhicules achetés par les entreprises représentent actuellement environ 60 % des immatriculations de véhicules dans l’UE. L’accélération de l’adoption de véhicules à émissions nulles dans les flottes d’entreprises profitera à l’industrie automobile européenne et réduira encore les émissions dues aux transports. </w:t>
      </w:r>
      <w:r w:rsidRPr="009569ED">
        <w:rPr>
          <w:noProof/>
          <w:color w:val="000000" w:themeColor="text1"/>
        </w:rPr>
        <w:t xml:space="preserve">Pour garantir une adoption adéquate des véhicules à émissions nulles dans les flottes d’entreprises, il est essentiel d’éliminer les subventions faussant la concurrence dont bénéficient les véhicules à combustibles fossiles. </w:t>
      </w:r>
    </w:p>
    <w:p w14:paraId="69D867EF" w14:textId="77777777" w:rsidR="00DB0E78" w:rsidRPr="009569ED" w:rsidRDefault="00DB0E78" w:rsidP="00DB0E78">
      <w:pPr>
        <w:pStyle w:val="Text1"/>
        <w:spacing w:line="257" w:lineRule="auto"/>
        <w:ind w:left="0"/>
        <w:rPr>
          <w:noProof/>
        </w:rPr>
      </w:pPr>
      <w:r w:rsidRPr="009569ED">
        <w:rPr>
          <w:noProof/>
          <w:color w:val="000000" w:themeColor="text1"/>
        </w:rPr>
        <w:t xml:space="preserve">La Commission a entamé des travaux sur une </w:t>
      </w:r>
      <w:r w:rsidRPr="009569ED">
        <w:rPr>
          <w:b/>
          <w:bCs/>
          <w:noProof/>
          <w:color w:val="000000" w:themeColor="text1"/>
        </w:rPr>
        <w:t>proposition législative visant à décarboner les flottes d’entreprises</w:t>
      </w:r>
      <w:r w:rsidRPr="009569ED">
        <w:rPr>
          <w:noProof/>
          <w:color w:val="000000" w:themeColor="text1"/>
        </w:rPr>
        <w:t xml:space="preserve">, dans le but de définir des mesures visant à soutenir l’adoption de véhicules à émissions nulles par les entreprises acheteuses, sans imposer de charge inutile aux PME et en tenant compte de critères concernant, entre autres, la durabilité et la résilience. </w:t>
      </w:r>
      <w:r w:rsidRPr="009569ED">
        <w:rPr>
          <w:noProof/>
        </w:rPr>
        <w:t xml:space="preserve">Afin de donner une impulsion aussi rapidement que possible, la Commission publie, parallèlement au présent plan d’action, une </w:t>
      </w:r>
      <w:r w:rsidRPr="009569ED">
        <w:rPr>
          <w:b/>
          <w:bCs/>
          <w:noProof/>
        </w:rPr>
        <w:t>communication visant à décarboner les flottes d’entreprises</w:t>
      </w:r>
      <w:r w:rsidRPr="009569ED">
        <w:rPr>
          <w:noProof/>
        </w:rPr>
        <w:t xml:space="preserve">, qui expose les mesures que les autorités nationales, régionales et municipales peuvent déjà prendre pour accélérer l’adoption de véhicules à émissions nulles. </w:t>
      </w:r>
    </w:p>
    <w:p w14:paraId="2E1818A9" w14:textId="77777777" w:rsidR="00DB0E78" w:rsidRPr="009569ED" w:rsidRDefault="00DB0E78" w:rsidP="00DB0E78">
      <w:pPr>
        <w:pStyle w:val="Text1"/>
        <w:spacing w:line="257" w:lineRule="auto"/>
        <w:ind w:left="0"/>
        <w:rPr>
          <w:noProof/>
        </w:rPr>
      </w:pPr>
      <w:r w:rsidRPr="009569ED">
        <w:rPr>
          <w:noProof/>
        </w:rPr>
        <w:t>Les transporteurs jouent un rôle important dans l’accélération de la part des véhicules utilitaires lourds à émissions nulles. Dans le cadre des travaux sur les flottes d’entreprises, la Commission examinera également des mesures visant à accélérer l’adoption de camions européens à émissions nulles.</w:t>
      </w:r>
    </w:p>
    <w:p w14:paraId="6D76E741" w14:textId="77777777" w:rsidR="00DB0E78" w:rsidRPr="009569ED" w:rsidRDefault="00DB0E78" w:rsidP="00DB0E78">
      <w:pPr>
        <w:spacing w:after="240" w:line="257" w:lineRule="auto"/>
        <w:jc w:val="both"/>
        <w:rPr>
          <w:rFonts w:ascii="Times New Roman" w:eastAsia="Times New Roman" w:hAnsi="Times New Roman" w:cs="Times New Roman"/>
          <w:b/>
          <w:bCs/>
          <w:noProof/>
          <w:color w:val="000000" w:themeColor="text1"/>
          <w:sz w:val="24"/>
          <w:szCs w:val="24"/>
        </w:rPr>
      </w:pPr>
      <w:r w:rsidRPr="009569ED">
        <w:rPr>
          <w:rFonts w:ascii="Times New Roman" w:hAnsi="Times New Roman"/>
          <w:b/>
          <w:i/>
          <w:noProof/>
          <w:color w:val="000000" w:themeColor="text1"/>
          <w:sz w:val="24"/>
        </w:rPr>
        <w:t>Accélérer l’adoption de véhicules utilitaires lourds à émissions nulles</w:t>
      </w:r>
    </w:p>
    <w:p w14:paraId="05929CFB" w14:textId="77777777" w:rsidR="00DB0E78" w:rsidRPr="009569ED" w:rsidRDefault="00DB0E78" w:rsidP="00DB0E78">
      <w:pPr>
        <w:pStyle w:val="Text1"/>
        <w:spacing w:line="257" w:lineRule="auto"/>
        <w:ind w:left="0"/>
        <w:rPr>
          <w:noProof/>
          <w:color w:val="000000" w:themeColor="text1"/>
        </w:rPr>
      </w:pPr>
      <w:r w:rsidRPr="009569ED">
        <w:rPr>
          <w:noProof/>
        </w:rPr>
        <w:t xml:space="preserve">Dans les mois à venir, la Commission adoptera une </w:t>
      </w:r>
      <w:r w:rsidRPr="009569ED">
        <w:rPr>
          <w:b/>
          <w:bCs/>
          <w:noProof/>
        </w:rPr>
        <w:t xml:space="preserve">modification ciblée de la directive Eurovignette afin de prolonger au-delà du 31 décembre 2025 le délai </w:t>
      </w:r>
      <w:r w:rsidRPr="009569ED">
        <w:rPr>
          <w:noProof/>
        </w:rPr>
        <w:t>applicable à l’exemption totale des redevances routières pour les véhicules utilitaires lourds à émissions nulles.</w:t>
      </w:r>
      <w:r w:rsidRPr="009569ED">
        <w:rPr>
          <w:b/>
          <w:i/>
          <w:noProof/>
          <w:color w:val="000000" w:themeColor="text1"/>
        </w:rPr>
        <w:t xml:space="preserve"> </w:t>
      </w:r>
    </w:p>
    <w:p w14:paraId="649D001B" w14:textId="77777777" w:rsidR="00DB0E78" w:rsidRPr="009569ED" w:rsidRDefault="00DB0E78" w:rsidP="00DB0E78">
      <w:pPr>
        <w:spacing w:after="240" w:line="257" w:lineRule="auto"/>
        <w:jc w:val="both"/>
        <w:rPr>
          <w:rFonts w:ascii="Times New Roman" w:eastAsia="Times New Roman" w:hAnsi="Times New Roman" w:cs="Times New Roman"/>
          <w:noProof/>
          <w:sz w:val="24"/>
          <w:szCs w:val="24"/>
        </w:rPr>
      </w:pPr>
      <w:r w:rsidRPr="009569ED">
        <w:rPr>
          <w:rFonts w:ascii="Times New Roman" w:hAnsi="Times New Roman"/>
          <w:noProof/>
          <w:sz w:val="24"/>
        </w:rPr>
        <w:t xml:space="preserve">La compétitivité et les investissements dans les camions à émissions nulles et la décarbonation du transport routier peuvent être davantage stimulés par la conclusion rapide des négociations interinstitutionnelles et l’adoption de la proposition de révision de la directive sur les poids et dimensions. Cela garantirait la </w:t>
      </w:r>
      <w:r w:rsidRPr="009569ED">
        <w:rPr>
          <w:rFonts w:ascii="Times New Roman" w:hAnsi="Times New Roman"/>
          <w:b/>
          <w:bCs/>
          <w:noProof/>
          <w:sz w:val="24"/>
        </w:rPr>
        <w:t>parité de charge utile avec les véhicules diesel</w:t>
      </w:r>
      <w:r w:rsidRPr="009569ED">
        <w:rPr>
          <w:rFonts w:ascii="Times New Roman" w:hAnsi="Times New Roman"/>
          <w:noProof/>
          <w:sz w:val="24"/>
        </w:rPr>
        <w:t>. En outre, plusieurs mesures</w:t>
      </w:r>
      <w:r w:rsidRPr="009569ED">
        <w:rPr>
          <w:rStyle w:val="FootnoteReference"/>
          <w:rFonts w:ascii="Times New Roman" w:eastAsia="Times New Roman" w:hAnsi="Times New Roman" w:cs="Times New Roman"/>
          <w:noProof/>
          <w:sz w:val="24"/>
          <w:szCs w:val="24"/>
          <w:lang w:val="en-IE"/>
        </w:rPr>
        <w:footnoteReference w:id="4"/>
      </w:r>
      <w:r w:rsidRPr="009569ED">
        <w:rPr>
          <w:rFonts w:ascii="Times New Roman" w:hAnsi="Times New Roman"/>
          <w:noProof/>
          <w:sz w:val="24"/>
        </w:rPr>
        <w:t xml:space="preserve"> sont proposées pour encourager les investissements dans des remorques efficaces grâce à des </w:t>
      </w:r>
      <w:r w:rsidRPr="009569ED">
        <w:rPr>
          <w:rFonts w:ascii="Times New Roman" w:hAnsi="Times New Roman"/>
          <w:b/>
          <w:bCs/>
          <w:noProof/>
          <w:sz w:val="24"/>
        </w:rPr>
        <w:t>variations favorables du péage routier</w:t>
      </w:r>
      <w:r w:rsidRPr="009569ED">
        <w:rPr>
          <w:rFonts w:ascii="Times New Roman" w:hAnsi="Times New Roman"/>
          <w:noProof/>
          <w:sz w:val="24"/>
        </w:rPr>
        <w:t xml:space="preserve">. </w:t>
      </w:r>
    </w:p>
    <w:p w14:paraId="7619EB1D" w14:textId="77777777" w:rsidR="00DB0E78" w:rsidRPr="009569ED" w:rsidRDefault="00DB0E78" w:rsidP="00DB0E78">
      <w:pPr>
        <w:pStyle w:val="Text1"/>
        <w:spacing w:line="257" w:lineRule="auto"/>
        <w:ind w:left="0"/>
        <w:rPr>
          <w:noProof/>
          <w:color w:val="000000" w:themeColor="text1"/>
        </w:rPr>
      </w:pPr>
      <w:r w:rsidRPr="009569ED">
        <w:rPr>
          <w:noProof/>
          <w:color w:val="000000" w:themeColor="text1"/>
        </w:rPr>
        <w:t xml:space="preserve">Enfin, la conversion des véhicules utilitaires lourds conventionnels, en particulier des autobus, en les équipant d’un groupe motopropulseur électrique, peut contribuer de manière rentable à la décarbonation de la flotte. La Commission soutiendra </w:t>
      </w:r>
      <w:r w:rsidRPr="009569ED">
        <w:rPr>
          <w:b/>
          <w:bCs/>
          <w:noProof/>
          <w:color w:val="000000" w:themeColor="text1"/>
        </w:rPr>
        <w:t>l’élaboration d’un règlement dans le cadre de la CEE-ONU</w:t>
      </w:r>
      <w:r w:rsidRPr="009569ED">
        <w:rPr>
          <w:noProof/>
          <w:color w:val="000000" w:themeColor="text1"/>
        </w:rPr>
        <w:t xml:space="preserve">, harmonisant la réception par type de ces véhicules convertis au niveau mondial.  </w:t>
      </w:r>
    </w:p>
    <w:p w14:paraId="5B5DB989" w14:textId="77777777" w:rsidR="00DB0E78" w:rsidRPr="009569ED" w:rsidRDefault="00DB0E78" w:rsidP="00DB0E78">
      <w:pPr>
        <w:pStyle w:val="Text1"/>
        <w:spacing w:line="257" w:lineRule="auto"/>
        <w:ind w:left="0"/>
        <w:rPr>
          <w:b/>
          <w:bCs/>
          <w:i/>
          <w:iCs/>
          <w:noProof/>
          <w:color w:val="000000" w:themeColor="text1"/>
        </w:rPr>
      </w:pPr>
      <w:r w:rsidRPr="009569ED">
        <w:rPr>
          <w:noProof/>
          <w:color w:val="000000" w:themeColor="text1"/>
        </w:rPr>
        <w:t xml:space="preserve">La Commission étudie également des mesures visant à soutenir l’adoption de </w:t>
      </w:r>
      <w:r w:rsidRPr="009569ED">
        <w:rPr>
          <w:b/>
          <w:bCs/>
          <w:noProof/>
          <w:color w:val="000000" w:themeColor="text1"/>
        </w:rPr>
        <w:t>bus propres fabriqués en Europe</w:t>
      </w:r>
      <w:r w:rsidRPr="009569ED">
        <w:rPr>
          <w:noProof/>
          <w:color w:val="000000" w:themeColor="text1"/>
        </w:rPr>
        <w:t xml:space="preserve">, y compris au moyen d’un soutien à la conversion du parc de véhicules et des dépôts et d’une meilleure agrégation de la demande ou des règles d’amortissement pour les municipalités locales. </w:t>
      </w:r>
    </w:p>
    <w:p w14:paraId="35A39C4E" w14:textId="77777777" w:rsidR="00DB0E78" w:rsidRPr="009569ED" w:rsidRDefault="00DB0E78" w:rsidP="00DB0E78">
      <w:pPr>
        <w:pStyle w:val="Text1"/>
        <w:spacing w:line="257" w:lineRule="auto"/>
        <w:ind w:left="0"/>
        <w:rPr>
          <w:b/>
          <w:bCs/>
          <w:i/>
          <w:iCs/>
          <w:noProof/>
          <w:color w:val="000000" w:themeColor="text1"/>
        </w:rPr>
      </w:pPr>
      <w:r w:rsidRPr="009569ED">
        <w:rPr>
          <w:b/>
          <w:i/>
          <w:noProof/>
          <w:color w:val="000000" w:themeColor="text1"/>
        </w:rPr>
        <w:t>Mieux coordonner les mécanismes d’incitation des États membres en faveur des achats des consommateurs</w:t>
      </w:r>
    </w:p>
    <w:p w14:paraId="60B02683" w14:textId="77777777" w:rsidR="00DB0E78" w:rsidRPr="009569ED" w:rsidRDefault="00DB0E78" w:rsidP="00DB0E78">
      <w:pPr>
        <w:pStyle w:val="Text1"/>
        <w:spacing w:line="257" w:lineRule="auto"/>
        <w:ind w:left="0"/>
        <w:rPr>
          <w:b/>
          <w:bCs/>
          <w:noProof/>
          <w:color w:val="000000" w:themeColor="text1"/>
        </w:rPr>
      </w:pPr>
      <w:r w:rsidRPr="009569ED">
        <w:rPr>
          <w:noProof/>
          <w:color w:val="000000" w:themeColor="text1"/>
        </w:rPr>
        <w:t xml:space="preserve">Lors de l’achat d’une voiture neuve, son coût est généralement l’une des principales considérations du client. À l’heure actuelle, les États membres ont choisi différentes approches pour encourager l’adoption de véhicules à émissions nulles, même dans les États membres présentant des niveaux de maturité du marché similaires pour une mobilité propre. Ces incitations sont également souvent sujettes à des changements, ce qui réduit la sécurité pour les consommateurs, les entreprises et les investisseurs. À ce jour, des enseignements importants ont été tirés en ce qui concerne l’efficacité de ces programmes, qui ont permis d’optimiser leur conception et de soutenir une production européenne plus durable sur le plan environnemental et plus résiliente sur le plan stratégique. Une approche plus coordonnée au niveau européen est nécessaire. La Commission commencera à travailler, sans délai, avec les </w:t>
      </w:r>
      <w:r w:rsidRPr="009569ED">
        <w:rPr>
          <w:b/>
          <w:bCs/>
          <w:noProof/>
          <w:color w:val="000000" w:themeColor="text1"/>
        </w:rPr>
        <w:t>États membres</w:t>
      </w:r>
      <w:r w:rsidRPr="009569ED">
        <w:rPr>
          <w:noProof/>
          <w:color w:val="000000" w:themeColor="text1"/>
        </w:rPr>
        <w:t xml:space="preserve"> afin d’échanger les bonnes pratiques et les enseignements tirés en ce qui concerne les </w:t>
      </w:r>
      <w:r w:rsidRPr="009569ED">
        <w:rPr>
          <w:b/>
          <w:bCs/>
          <w:noProof/>
          <w:color w:val="000000" w:themeColor="text1"/>
        </w:rPr>
        <w:t>mécanismes d’incitation</w:t>
      </w:r>
      <w:r w:rsidRPr="009569ED">
        <w:rPr>
          <w:noProof/>
          <w:color w:val="000000" w:themeColor="text1"/>
        </w:rPr>
        <w:t xml:space="preserve"> en faveur des consommateurs. Ces travaux permettront de définir une boîte à outils incluant des options de mécanismes incitatifs conçus pour être économiquement efficaces, viables sur le plan budgétaire et adaptés à la maturité des marchés en question, et d’examiner des pistes pour d’éventuels mécanismes incitatifs à l’échelle de l’UE. </w:t>
      </w:r>
      <w:r w:rsidRPr="009569ED">
        <w:rPr>
          <w:noProof/>
        </w:rPr>
        <w:t xml:space="preserve">Ils alimenteront également une </w:t>
      </w:r>
      <w:r w:rsidRPr="009569ED">
        <w:rPr>
          <w:b/>
          <w:bCs/>
          <w:noProof/>
        </w:rPr>
        <w:t>recommandation de la Commission</w:t>
      </w:r>
      <w:r w:rsidRPr="009569ED">
        <w:rPr>
          <w:noProof/>
        </w:rPr>
        <w:t xml:space="preserve"> qui recensera les sources de financement de l’UE à partir desquelles les États membres peuvent soutenir de telles incitations. </w:t>
      </w:r>
    </w:p>
    <w:p w14:paraId="60C2690C"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rPr>
      </w:pPr>
      <w:r w:rsidRPr="009569ED">
        <w:rPr>
          <w:b/>
          <w:noProof/>
          <w:color w:val="000000" w:themeColor="text1"/>
        </w:rPr>
        <w:t>Actions phares:</w:t>
      </w:r>
    </w:p>
    <w:p w14:paraId="1D44DC0F"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9569ED">
        <w:rPr>
          <w:noProof/>
          <w:color w:val="000000" w:themeColor="text1"/>
        </w:rPr>
        <w:t>Recommandation sur la précarité en matière de transport (T1 2025), y compris les régimes de crédit-bail social.</w:t>
      </w:r>
    </w:p>
    <w:p w14:paraId="75BAF819"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9569ED">
        <w:rPr>
          <w:noProof/>
          <w:color w:val="000000" w:themeColor="text1"/>
        </w:rPr>
        <w:t>Communication (T1 2025) et initiative législative visant à décarboner les flottes d’entreprises (fin 2025).</w:t>
      </w:r>
    </w:p>
    <w:p w14:paraId="20CCD051"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szCs w:val="24"/>
        </w:rPr>
      </w:pPr>
      <w:r w:rsidRPr="009569ED">
        <w:rPr>
          <w:b/>
          <w:noProof/>
          <w:color w:val="000000" w:themeColor="text1"/>
        </w:rPr>
        <w:t>Autres actions:</w:t>
      </w:r>
    </w:p>
    <w:p w14:paraId="6C60895E"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rPr>
      </w:pPr>
      <w:r w:rsidRPr="009569ED">
        <w:rPr>
          <w:noProof/>
        </w:rPr>
        <w:t>Modification ciblée de la directive «Eurovignette» afin de prolonger le délai pour exempter totalement les véhicules utilitaires lourds à émissions nulles des redevances routières (T2 2025).</w:t>
      </w:r>
    </w:p>
    <w:p w14:paraId="4E82C219"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rPr>
      </w:pPr>
      <w:r w:rsidRPr="009569ED">
        <w:rPr>
          <w:noProof/>
        </w:rPr>
        <w:t>Finaliser les négociations interinstitutionnelles en vue de la révision de la directive sur les poids et dimensions.</w:t>
      </w:r>
    </w:p>
    <w:p w14:paraId="095D291A"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line="257" w:lineRule="auto"/>
        <w:ind w:left="0"/>
        <w:rPr>
          <w:noProof/>
        </w:rPr>
      </w:pPr>
      <w:r w:rsidRPr="009569ED">
        <w:rPr>
          <w:noProof/>
          <w:color w:val="000000" w:themeColor="text1"/>
        </w:rPr>
        <w:t>Recommandation sur les incitations fiscales et non fiscales du côté de la demande (2026).</w:t>
      </w:r>
    </w:p>
    <w:p w14:paraId="55FE9320" w14:textId="77777777" w:rsidR="00DB0E78" w:rsidRPr="009569ED" w:rsidRDefault="00DB0E78" w:rsidP="00DB0E78">
      <w:pPr>
        <w:pStyle w:val="Text1"/>
        <w:spacing w:line="257" w:lineRule="auto"/>
        <w:ind w:left="0"/>
        <w:rPr>
          <w:b/>
          <w:bCs/>
          <w:noProof/>
          <w:color w:val="000000" w:themeColor="text1"/>
        </w:rPr>
      </w:pPr>
      <w:r w:rsidRPr="009569ED">
        <w:rPr>
          <w:b/>
          <w:noProof/>
          <w:color w:val="000000" w:themeColor="text1"/>
        </w:rPr>
        <w:t xml:space="preserve">Accélérer le déploiement des infrastructures de recharge </w:t>
      </w:r>
    </w:p>
    <w:p w14:paraId="225F13CF" w14:textId="77777777" w:rsidR="00DB0E78" w:rsidRPr="009569ED" w:rsidRDefault="00DB0E78" w:rsidP="00DB0E78">
      <w:pPr>
        <w:pStyle w:val="Text1"/>
        <w:spacing w:line="257" w:lineRule="auto"/>
        <w:ind w:left="0"/>
        <w:rPr>
          <w:noProof/>
          <w:color w:val="000000" w:themeColor="text1"/>
        </w:rPr>
      </w:pPr>
      <w:r w:rsidRPr="009569ED">
        <w:rPr>
          <w:noProof/>
          <w:color w:val="000000" w:themeColor="text1"/>
        </w:rPr>
        <w:t>La disponibilité d’infrastructures de recharge électrique et de ravitaillement en hydrogène est l’une des conditions préalables à l’adoption de véhicules à émissions nulles, et les investissements dans les infrastructures sont donc également essentiels pour la compétitivité du secteur automobile européen. Toutefois, le niveau de déploiement des infrastructures de recharge n’est pas uniforme dans tous les États membres et leurs régions. Il faut que cela change.</w:t>
      </w:r>
    </w:p>
    <w:p w14:paraId="3487B63B" w14:textId="77777777" w:rsidR="00DB0E78" w:rsidRPr="009569ED" w:rsidRDefault="00DB0E78" w:rsidP="00DB0E78">
      <w:pPr>
        <w:pStyle w:val="Text1"/>
        <w:spacing w:line="257" w:lineRule="auto"/>
        <w:ind w:left="0"/>
        <w:rPr>
          <w:b/>
          <w:bCs/>
          <w:i/>
          <w:iCs/>
          <w:noProof/>
          <w:color w:val="000000" w:themeColor="text1"/>
        </w:rPr>
      </w:pPr>
      <w:r w:rsidRPr="009569ED">
        <w:rPr>
          <w:b/>
          <w:i/>
          <w:noProof/>
          <w:color w:val="000000" w:themeColor="text1"/>
        </w:rPr>
        <w:t>Mettre en œuvre la législation existante</w:t>
      </w:r>
    </w:p>
    <w:p w14:paraId="5566BA97" w14:textId="77777777" w:rsidR="00DB0E78" w:rsidRPr="009569ED" w:rsidRDefault="00DB0E78" w:rsidP="00DB0E78">
      <w:pPr>
        <w:pStyle w:val="Text1"/>
        <w:spacing w:line="257" w:lineRule="auto"/>
        <w:ind w:left="0"/>
        <w:rPr>
          <w:noProof/>
          <w:color w:val="000000" w:themeColor="text1"/>
          <w14:ligatures w14:val="standardContextual"/>
        </w:rPr>
      </w:pPr>
      <w:r w:rsidRPr="009569ED">
        <w:rPr>
          <w:noProof/>
        </w:rPr>
        <w:t xml:space="preserve">La Commission </w:t>
      </w:r>
      <w:r w:rsidRPr="009569ED">
        <w:rPr>
          <w:b/>
          <w:bCs/>
          <w:noProof/>
        </w:rPr>
        <w:t>mettra une assistance technique ciblée à la disposition des États membres</w:t>
      </w:r>
      <w:r w:rsidRPr="009569ED">
        <w:rPr>
          <w:noProof/>
        </w:rPr>
        <w:t xml:space="preserve"> par l’intermédiaire de l’instrument d’appui technique pour la mise en œuvre des actions prévues dans le règlement sur le déploiement d’une infrastructure pour carburants alternatifs (AFIR) et dans la directive sur la performance énergétique des bâtiments (DPEB).</w:t>
      </w:r>
      <w:r w:rsidRPr="009569ED">
        <w:rPr>
          <w:noProof/>
          <w:color w:val="000000" w:themeColor="text1"/>
        </w:rPr>
        <w:t xml:space="preserve"> </w:t>
      </w:r>
    </w:p>
    <w:p w14:paraId="611125CB" w14:textId="77777777" w:rsidR="00DB0E78" w:rsidRPr="009569ED" w:rsidRDefault="00DB0E78" w:rsidP="00DB0E78">
      <w:pPr>
        <w:pStyle w:val="Text1"/>
        <w:spacing w:line="257" w:lineRule="auto"/>
        <w:ind w:left="0"/>
        <w:rPr>
          <w:noProof/>
          <w:color w:val="000000" w:themeColor="text1"/>
        </w:rPr>
      </w:pPr>
      <w:r w:rsidRPr="009569ED">
        <w:rPr>
          <w:noProof/>
          <w:color w:val="000000" w:themeColor="text1"/>
        </w:rPr>
        <w:t xml:space="preserve">Le mécanisme pour une infrastructure pour carburants alternatifs (AFIF) s’est avéré être un instrument efficace et efficient pour soutenir le déploiement d’infrastructures de recharge et de ravitaillement en hydrogène. 570 millions d’euros supplémentaires seront mis à disposition au titre du mécanisme pour l’infrastructure pour carburants alternatifs en faveur de projets de déploiement d’infrastructures pour carburants alternatifs en 2025 et 2026 axés sur les véhicules utilitaires lourds. </w:t>
      </w:r>
    </w:p>
    <w:p w14:paraId="69E3CF02" w14:textId="77777777" w:rsidR="00DB0E78" w:rsidRPr="009569ED" w:rsidRDefault="00DB0E78" w:rsidP="00DB0E78">
      <w:pPr>
        <w:pStyle w:val="Text1"/>
        <w:spacing w:line="257" w:lineRule="auto"/>
        <w:ind w:left="0"/>
        <w:rPr>
          <w:noProof/>
          <w:color w:val="000000" w:themeColor="text1"/>
          <w14:ligatures w14:val="standardContextual"/>
        </w:rPr>
      </w:pPr>
      <w:r w:rsidRPr="009569ED">
        <w:rPr>
          <w:noProof/>
          <w:color w:val="000000" w:themeColor="text1"/>
        </w:rPr>
        <w:t xml:space="preserve">Dans le </w:t>
      </w:r>
      <w:r w:rsidRPr="009569ED">
        <w:rPr>
          <w:b/>
          <w:bCs/>
          <w:noProof/>
          <w:color w:val="000000" w:themeColor="text1"/>
        </w:rPr>
        <w:t>plan d’investissement pour des transports durables</w:t>
      </w:r>
      <w:r w:rsidRPr="009569ED">
        <w:rPr>
          <w:noProof/>
          <w:color w:val="000000" w:themeColor="text1"/>
        </w:rPr>
        <w:t xml:space="preserve">, qui doit être adopté dans le courant de l’année 2025, la Commission présentera des propositions supplémentaires de mesures visant à supprimer les obstacles à l’augmentation du financement des infrastructures de recharge.  </w:t>
      </w:r>
    </w:p>
    <w:p w14:paraId="63898000" w14:textId="77777777" w:rsidR="00DB0E78" w:rsidRPr="009569ED" w:rsidRDefault="00DB0E78" w:rsidP="00DB0E78">
      <w:pPr>
        <w:pStyle w:val="Text1"/>
        <w:spacing w:line="257" w:lineRule="auto"/>
        <w:ind w:left="0"/>
        <w:rPr>
          <w:b/>
          <w:bCs/>
          <w:i/>
          <w:iCs/>
          <w:noProof/>
          <w:color w:val="000000" w:themeColor="text1"/>
        </w:rPr>
      </w:pPr>
      <w:r w:rsidRPr="009569ED">
        <w:rPr>
          <w:b/>
          <w:i/>
          <w:noProof/>
          <w:color w:val="000000" w:themeColor="text1"/>
        </w:rPr>
        <w:t>Accès au réseau</w:t>
      </w:r>
    </w:p>
    <w:p w14:paraId="2D007F01" w14:textId="77777777" w:rsidR="00DB0E78" w:rsidRPr="009569ED" w:rsidRDefault="00DB0E78" w:rsidP="00DB0E78">
      <w:pPr>
        <w:pStyle w:val="Text1"/>
        <w:spacing w:line="257" w:lineRule="auto"/>
        <w:ind w:left="0"/>
        <w:rPr>
          <w:noProof/>
        </w:rPr>
      </w:pPr>
      <w:r w:rsidRPr="009569ED">
        <w:rPr>
          <w:noProof/>
          <w:color w:val="000000" w:themeColor="text1"/>
        </w:rPr>
        <w:t xml:space="preserve">Les retards dans les connexions au réseau constituent souvent un goulet d’étranglement majeur qui entrave le déploiement d’infrastructures de recharge, en particulier les grands parcs de recharge publics et les chargeurs à haute puissance nécessaires pour les véhicules utilitaires lourds. </w:t>
      </w:r>
      <w:r w:rsidRPr="009569ED">
        <w:rPr>
          <w:noProof/>
        </w:rPr>
        <w:t xml:space="preserve">Plusieurs actions prioritaires concernant l’accès au réseau sont déjà en cours ou prévues dans le cadre du plan d’action de l’UE pour les réseaux (notamment en assurant une plus grande transparence en ce qui concerne la capacité d’hébergement du réseau et en aidant les gestionnaires de réseau à anticiper la demande de recharge), du paquet «réseaux» et du plan d’action pour l’électrification annoncé pour le premier trimestre de 2026. </w:t>
      </w:r>
    </w:p>
    <w:p w14:paraId="07151EA3" w14:textId="77777777" w:rsidR="00DB0E78" w:rsidRPr="009569ED" w:rsidRDefault="00DB0E78" w:rsidP="00DB0E78">
      <w:pPr>
        <w:pStyle w:val="Text1"/>
        <w:spacing w:line="257" w:lineRule="auto"/>
        <w:ind w:left="0"/>
        <w:rPr>
          <w:noProof/>
        </w:rPr>
      </w:pPr>
      <w:r w:rsidRPr="009569ED">
        <w:rPr>
          <w:noProof/>
        </w:rPr>
        <w:t xml:space="preserve">La Commission </w:t>
      </w:r>
      <w:r w:rsidRPr="009569ED">
        <w:rPr>
          <w:b/>
          <w:bCs/>
          <w:noProof/>
        </w:rPr>
        <w:t>publiera prochainement des orientations et des recommandations aux États membres sur le raccourcissement du délai d’attente pour la connexion des points de recharge aux réseaux et leur traitement prioritaire</w:t>
      </w:r>
      <w:r w:rsidRPr="009569ED">
        <w:rPr>
          <w:noProof/>
        </w:rPr>
        <w:t xml:space="preserve">, en s’appuyant sur les bonnes pratiques des États membres. La Commission recommande également </w:t>
      </w:r>
      <w:r w:rsidRPr="009569ED">
        <w:rPr>
          <w:b/>
          <w:bCs/>
          <w:noProof/>
        </w:rPr>
        <w:t>aux États membres de présumer que les stations de recharge, leur raccordement au réseau, le réseau lui-même et les actifs de stockage sont dans l’intérêt public supérieur dans le cadre des procédures d’autorisation.</w:t>
      </w:r>
      <w:r w:rsidRPr="009569ED">
        <w:rPr>
          <w:noProof/>
        </w:rPr>
        <w:t xml:space="preserve"> La Commission évaluera si cette présomption devrait devenir obligatoire. Les États membres devraient favoriser la hiérarchisation des projets bénéfiques à la transition vers une énergie propre et à l’efficacité du système électrique, y compris les points de recharge. </w:t>
      </w:r>
    </w:p>
    <w:p w14:paraId="5044FB73" w14:textId="77777777" w:rsidR="00DB0E78" w:rsidRPr="009569ED" w:rsidRDefault="00DB0E78" w:rsidP="00DB0E78">
      <w:pPr>
        <w:pStyle w:val="Text1"/>
        <w:spacing w:line="257" w:lineRule="auto"/>
        <w:ind w:left="0"/>
        <w:rPr>
          <w:noProof/>
        </w:rPr>
      </w:pPr>
      <w:r w:rsidRPr="009569ED">
        <w:rPr>
          <w:noProof/>
        </w:rPr>
        <w:t xml:space="preserve">La Commission </w:t>
      </w:r>
      <w:r w:rsidRPr="009569ED">
        <w:rPr>
          <w:b/>
          <w:bCs/>
          <w:noProof/>
        </w:rPr>
        <w:t>publiera, d’ici l’été 2025, des principes directeurs définissant les conditions sous lesquelles des investissements anticipatifs dans des projets de réseau devraient être accordés.</w:t>
      </w:r>
      <w:r w:rsidRPr="009569ED">
        <w:rPr>
          <w:noProof/>
          <w:color w:val="000000" w:themeColor="text1"/>
        </w:rPr>
        <w:t xml:space="preserve"> Cela permettra d’anticiper les besoins futurs des infrastructures de recharge dans la planification du réseau. </w:t>
      </w:r>
      <w:r w:rsidRPr="009569ED">
        <w:rPr>
          <w:noProof/>
        </w:rPr>
        <w:t xml:space="preserve"> </w:t>
      </w:r>
    </w:p>
    <w:p w14:paraId="016F5960" w14:textId="77777777" w:rsidR="00DB0E78" w:rsidRPr="009569ED" w:rsidRDefault="00DB0E78" w:rsidP="00DB0E78">
      <w:pPr>
        <w:pStyle w:val="Text1"/>
        <w:spacing w:line="257" w:lineRule="auto"/>
        <w:ind w:left="0"/>
        <w:rPr>
          <w:noProof/>
          <w:color w:val="000000" w:themeColor="text1"/>
        </w:rPr>
      </w:pPr>
      <w:r w:rsidRPr="009569ED">
        <w:rPr>
          <w:noProof/>
          <w:color w:val="000000" w:themeColor="text1"/>
        </w:rPr>
        <w:t xml:space="preserve">La directive sur les énergies renouvelables autorise déjà les États membres à planifier des zones spécifiques pour les réseaux liés aux projets dans le domaine des énergies renouvelables, ce qui permet d’accélérer les procédures d’autorisation et de planification. Dans ce contexte, les </w:t>
      </w:r>
      <w:r w:rsidRPr="009569ED">
        <w:rPr>
          <w:b/>
          <w:bCs/>
          <w:noProof/>
          <w:color w:val="000000" w:themeColor="text1"/>
        </w:rPr>
        <w:t>réseaux liés aux domaines pertinents pour l’initiative relative aux corridors de transport propres européens devraient être considérés par les États membres comme des zones d’accélération similaires</w:t>
      </w:r>
      <w:r w:rsidRPr="009569ED">
        <w:rPr>
          <w:noProof/>
          <w:color w:val="000000" w:themeColor="text1"/>
        </w:rPr>
        <w:t xml:space="preserve"> à celles conçues pour les infrastructures liées aux plans en matière d’énergies renouvelables. La Commission formulera d’autres recommandations à ce sujet. </w:t>
      </w:r>
    </w:p>
    <w:p w14:paraId="27C46F40" w14:textId="77777777" w:rsidR="00DB0E78" w:rsidRPr="009569ED" w:rsidRDefault="00DB0E78" w:rsidP="00DB0E78">
      <w:pPr>
        <w:rPr>
          <w:rFonts w:ascii="Times New Roman" w:eastAsia="Times New Roman" w:hAnsi="Times New Roman" w:cs="Times New Roman"/>
          <w:b/>
          <w:bCs/>
          <w:i/>
          <w:iCs/>
          <w:noProof/>
          <w:color w:val="000000" w:themeColor="text1"/>
          <w:sz w:val="24"/>
          <w:szCs w:val="24"/>
          <w14:ligatures w14:val="none"/>
        </w:rPr>
      </w:pPr>
      <w:r w:rsidRPr="009569ED">
        <w:rPr>
          <w:noProof/>
        </w:rPr>
        <w:br w:type="page"/>
      </w:r>
    </w:p>
    <w:p w14:paraId="35ECA6A5" w14:textId="77777777" w:rsidR="00DB0E78" w:rsidRPr="009569ED" w:rsidRDefault="00DB0E78" w:rsidP="00DB0E78">
      <w:pPr>
        <w:pStyle w:val="Text1"/>
        <w:spacing w:line="257" w:lineRule="auto"/>
        <w:ind w:left="0"/>
        <w:rPr>
          <w:b/>
          <w:bCs/>
          <w:i/>
          <w:iCs/>
          <w:noProof/>
          <w:color w:val="000000" w:themeColor="text1"/>
          <w:szCs w:val="24"/>
        </w:rPr>
      </w:pPr>
      <w:r w:rsidRPr="009569ED">
        <w:rPr>
          <w:b/>
          <w:i/>
          <w:noProof/>
          <w:color w:val="000000" w:themeColor="text1"/>
        </w:rPr>
        <w:t>Infrastructures de recharge des véhicules électriques</w:t>
      </w:r>
    </w:p>
    <w:p w14:paraId="52C1D65A" w14:textId="77777777" w:rsidR="00DB0E78" w:rsidRPr="009569ED" w:rsidRDefault="00DB0E78" w:rsidP="00DB0E78">
      <w:pPr>
        <w:pStyle w:val="Text1"/>
        <w:spacing w:line="257" w:lineRule="auto"/>
        <w:ind w:left="0"/>
        <w:rPr>
          <w:noProof/>
          <w:color w:val="000000" w:themeColor="text1"/>
        </w:rPr>
      </w:pPr>
      <w:r w:rsidRPr="009569ED">
        <w:rPr>
          <w:noProof/>
          <w:color w:val="000000" w:themeColor="text1"/>
        </w:rPr>
        <w:t xml:space="preserve">Une zone d’action critique est l’infrastructure de recharge pour les véhicules utilitaires lourds, dans les dépôts et le long des principaux corridors routiers. Les investissements dans les infrastructures accéléreront également l’adoption de véhicules utilitaires lourds propres par les clients du fret. </w:t>
      </w:r>
    </w:p>
    <w:p w14:paraId="71492B16" w14:textId="77777777" w:rsidR="00DB0E78" w:rsidRPr="009569ED" w:rsidRDefault="00DB0E78" w:rsidP="00DB0E78">
      <w:pPr>
        <w:pStyle w:val="Text1"/>
        <w:spacing w:line="257" w:lineRule="auto"/>
        <w:ind w:left="0"/>
        <w:rPr>
          <w:noProof/>
          <w:color w:val="000000" w:themeColor="text1"/>
        </w:rPr>
      </w:pPr>
      <w:r w:rsidRPr="009569ED">
        <w:rPr>
          <w:noProof/>
        </w:rPr>
        <w:t xml:space="preserve">La Commission collaborera avec les États membres sur une </w:t>
      </w:r>
      <w:r w:rsidRPr="009569ED">
        <w:rPr>
          <w:b/>
          <w:noProof/>
        </w:rPr>
        <w:t>initiative relative aux corridors de transport propre européens</w:t>
      </w:r>
      <w:r w:rsidRPr="009569ED">
        <w:rPr>
          <w:noProof/>
        </w:rPr>
        <w:t xml:space="preserve"> qui </w:t>
      </w:r>
      <w:r w:rsidRPr="009569ED">
        <w:rPr>
          <w:noProof/>
          <w:color w:val="000000" w:themeColor="text1"/>
        </w:rPr>
        <w:t>accélérera le déploiement d'aires de recharge pour véhicules utilitaires lourds le long des principaux corridors logistiques du RTE-T en tant qu’infrastructures critiques</w:t>
      </w:r>
      <w:r w:rsidRPr="009569ED">
        <w:rPr>
          <w:noProof/>
        </w:rPr>
        <w:t>, y compris au sein des nœuds urbains connexes et de leurs terminaux de fret multimodaux.</w:t>
      </w:r>
      <w:r w:rsidRPr="009569ED">
        <w:rPr>
          <w:noProof/>
          <w:color w:val="000000" w:themeColor="text1"/>
        </w:rPr>
        <w:t xml:space="preserve"> Cette initiative sera mise en œuvre dans le cadre de l’outil de coordination de la compétitivité présenté dans le contexte de la «Boussole pour la compétitivité»</w:t>
      </w:r>
      <w:r w:rsidRPr="009569ED">
        <w:rPr>
          <w:rStyle w:val="FootnoteReference"/>
          <w:bCs/>
          <w:noProof/>
          <w:color w:val="000000" w:themeColor="text1"/>
          <w:lang w:val="en-IE"/>
        </w:rPr>
        <w:footnoteReference w:id="5"/>
      </w:r>
      <w:r w:rsidRPr="009569ED">
        <w:rPr>
          <w:noProof/>
          <w:color w:val="000000" w:themeColor="text1"/>
        </w:rPr>
        <w:t xml:space="preserve"> et mettra l’accent sur la simplification des procédures d’octroi de permis, la mobilisation de financements visant à réduire les risques d’investissement et le lien avec les dispositions relatives à des domaines prioritaires spécifiques du réseau au titre de la directive sur les énergies renouvelables. L’objectif est de produire un premier impact en 2025. La Commission étudiera également les moyens d’</w:t>
      </w:r>
      <w:r w:rsidRPr="009569ED">
        <w:rPr>
          <w:b/>
          <w:bCs/>
          <w:noProof/>
          <w:color w:val="000000" w:themeColor="text1"/>
        </w:rPr>
        <w:t>accélérer l’octroi de permis</w:t>
      </w:r>
      <w:r w:rsidRPr="009569ED">
        <w:rPr>
          <w:noProof/>
          <w:color w:val="000000" w:themeColor="text1"/>
        </w:rPr>
        <w:t xml:space="preserve"> hors réseau pour les stations de recharge pour véhicules utilitaires lourds, par exemple en modifiant les règlements sur le zonage afin de soutenir explicitement la recharge des véhicules utilitaires lourds le long des corridors RTE-T. Il est également important de déterminer le type de soutien approprié aux exploitants de dépôts et de points de recharge publics pour l’installation de stockage local de l’électricité, par exemple le financement ou l’assistance technique.</w:t>
      </w:r>
    </w:p>
    <w:p w14:paraId="1F06D684" w14:textId="77777777" w:rsidR="00DB0E78" w:rsidRPr="009569ED" w:rsidRDefault="00DB0E78" w:rsidP="00DB0E78">
      <w:pPr>
        <w:pStyle w:val="Text1"/>
        <w:spacing w:line="257" w:lineRule="auto"/>
        <w:ind w:left="0"/>
        <w:rPr>
          <w:b/>
          <w:bCs/>
          <w:i/>
          <w:iCs/>
          <w:noProof/>
          <w:color w:val="000000" w:themeColor="text1"/>
          <w:szCs w:val="24"/>
        </w:rPr>
      </w:pPr>
      <w:r w:rsidRPr="009569ED">
        <w:rPr>
          <w:b/>
          <w:i/>
          <w:noProof/>
          <w:color w:val="000000" w:themeColor="text1"/>
        </w:rPr>
        <w:t>Recharge intelligente et bidirectionnelle</w:t>
      </w:r>
    </w:p>
    <w:p w14:paraId="6460529A" w14:textId="77777777" w:rsidR="00DB0E78" w:rsidRPr="009569ED" w:rsidRDefault="00DB0E78" w:rsidP="00DB0E78">
      <w:pPr>
        <w:pStyle w:val="Text1"/>
        <w:spacing w:line="257" w:lineRule="auto"/>
        <w:ind w:left="0"/>
        <w:rPr>
          <w:noProof/>
          <w:color w:val="000000" w:themeColor="text1"/>
        </w:rPr>
      </w:pPr>
      <w:r w:rsidRPr="009569ED">
        <w:rPr>
          <w:noProof/>
          <w:color w:val="000000" w:themeColor="text1"/>
        </w:rPr>
        <w:t xml:space="preserve">Avec le développement des énergies renouvelables et l’électrification accrue des utilisations finales, les besoins de flexibilité augmenteront considérablement. </w:t>
      </w:r>
      <w:r w:rsidRPr="009569ED">
        <w:rPr>
          <w:noProof/>
        </w:rPr>
        <w:t>Une recharge intelligente et bidirectionnelle peut contribuer à alléger la charge pesant sur le réseau et à favoriser l’intégration efficace des véhicules électriques dans le système électrique tout en réduisant les coûts énergétiques des utilisateurs de véhicules.</w:t>
      </w:r>
      <w:r w:rsidRPr="009569ED">
        <w:rPr>
          <w:noProof/>
          <w:color w:val="000000" w:themeColor="text1"/>
        </w:rPr>
        <w:t xml:space="preserve"> </w:t>
      </w:r>
    </w:p>
    <w:p w14:paraId="5E4DD72E" w14:textId="77777777" w:rsidR="00DB0E78" w:rsidRPr="009569ED" w:rsidRDefault="00DB0E78" w:rsidP="00DB0E78">
      <w:pPr>
        <w:pStyle w:val="Text1"/>
        <w:spacing w:line="257" w:lineRule="auto"/>
        <w:ind w:left="0"/>
        <w:rPr>
          <w:noProof/>
          <w:szCs w:val="24"/>
        </w:rPr>
      </w:pPr>
      <w:r w:rsidRPr="009569ED">
        <w:rPr>
          <w:b/>
          <w:bCs/>
          <w:noProof/>
          <w:color w:val="000000" w:themeColor="text1"/>
        </w:rPr>
        <w:t>Les États membres devraient donc mettre en place un cadre propice à la recharge intelligente et bidirectionnelle.</w:t>
      </w:r>
      <w:r w:rsidRPr="009569ED">
        <w:rPr>
          <w:noProof/>
          <w:color w:val="000000" w:themeColor="text1"/>
        </w:rPr>
        <w:t xml:space="preserve"> </w:t>
      </w:r>
      <w:r w:rsidRPr="009569ED">
        <w:rPr>
          <w:noProof/>
        </w:rPr>
        <w:t xml:space="preserve">La directive sur l’organisation du marché de l’électricité fournit déjà aux États membres une boîte à outils pour soutenir la recharge intelligente et bidirectionnelle. Ils devraient veiller à ce que les gestionnaires de réseau de distribution proposent des redevances de réseau équitables et éviter une double taxation de l’énergie stockée, y compris dans les batteries de véhicules électriques. Plus généralement, les États membres peuvent, grâce à une taxation appropriée de l’électricité, créer des arguments économiques en faveur d’une tarification bidirectionnelle. </w:t>
      </w:r>
      <w:r w:rsidRPr="009569ED">
        <w:rPr>
          <w:b/>
          <w:bCs/>
          <w:noProof/>
        </w:rPr>
        <w:t>La Commission facilitera l’échange de bonnes pratiques entre les États membres et fournira un nouveau code de réseau sur la participation active de la demande (T1 2026)</w:t>
      </w:r>
      <w:r w:rsidRPr="009569ED">
        <w:rPr>
          <w:noProof/>
        </w:rPr>
        <w:t xml:space="preserve"> qui garantira la pleine participation au marché des différents services de flexibilité, y compris la tarification bidirectionnelle. </w:t>
      </w:r>
    </w:p>
    <w:p w14:paraId="6B44D580" w14:textId="77777777" w:rsidR="00DB0E78" w:rsidRPr="009569ED" w:rsidRDefault="00DB0E78" w:rsidP="00DB0E78">
      <w:pPr>
        <w:pStyle w:val="Text1"/>
        <w:spacing w:line="257" w:lineRule="auto"/>
        <w:ind w:left="0"/>
        <w:rPr>
          <w:noProof/>
          <w:color w:val="000000" w:themeColor="text1"/>
        </w:rPr>
      </w:pPr>
      <w:r w:rsidRPr="009569ED">
        <w:rPr>
          <w:noProof/>
          <w:color w:val="000000" w:themeColor="text1"/>
        </w:rPr>
        <w:t xml:space="preserve">En outre, la Commission évaluera les besoins en matière de capacité de recharge intelligente et bidirectionnelle des véhicules électriques dans le cadre de la réception par type. </w:t>
      </w:r>
      <w:r w:rsidRPr="009569ED">
        <w:rPr>
          <w:noProof/>
        </w:rPr>
        <w:t>Elle lancera un bac à sable réglementaire pour les pilotes V2G afin de relever les défis réglementaires, techniques et commerciaux avant un déploiement à grande échelle.</w:t>
      </w:r>
    </w:p>
    <w:p w14:paraId="4ABF8EE1" w14:textId="77777777" w:rsidR="00DB0E78" w:rsidRPr="009569ED" w:rsidRDefault="00DB0E78" w:rsidP="00DB0E78">
      <w:pPr>
        <w:rPr>
          <w:rFonts w:ascii="Times New Roman" w:eastAsia="Times New Roman" w:hAnsi="Times New Roman" w:cs="Times New Roman"/>
          <w:noProof/>
          <w:color w:val="000000" w:themeColor="text1"/>
          <w:sz w:val="24"/>
          <w:szCs w:val="20"/>
          <w14:ligatures w14:val="none"/>
        </w:rPr>
      </w:pPr>
      <w:r w:rsidRPr="009569ED">
        <w:rPr>
          <w:noProof/>
        </w:rPr>
        <w:br w:type="page"/>
      </w:r>
    </w:p>
    <w:p w14:paraId="31D91F7C"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rPr>
      </w:pPr>
      <w:r w:rsidRPr="009569ED">
        <w:rPr>
          <w:b/>
          <w:noProof/>
          <w:color w:val="000000" w:themeColor="text1"/>
        </w:rPr>
        <w:t xml:space="preserve">Actions phares: </w:t>
      </w:r>
    </w:p>
    <w:p w14:paraId="7199B867"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120" w:line="257" w:lineRule="auto"/>
        <w:jc w:val="both"/>
        <w:rPr>
          <w:rFonts w:ascii="Times New Roman" w:hAnsi="Times New Roman" w:cs="Times New Roman"/>
          <w:noProof/>
          <w:color w:val="000000" w:themeColor="text1"/>
          <w:sz w:val="24"/>
          <w:szCs w:val="24"/>
        </w:rPr>
      </w:pPr>
      <w:r w:rsidRPr="009569ED">
        <w:rPr>
          <w:rFonts w:ascii="Times New Roman" w:hAnsi="Times New Roman"/>
          <w:noProof/>
          <w:color w:val="000000" w:themeColor="text1"/>
          <w:sz w:val="24"/>
        </w:rPr>
        <w:t>Initiative relative aux corridors de transport propres européens (T3 2025).</w:t>
      </w:r>
    </w:p>
    <w:p w14:paraId="314437E3"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rPr>
      </w:pPr>
      <w:r w:rsidRPr="009569ED">
        <w:rPr>
          <w:rFonts w:ascii="Times New Roman" w:hAnsi="Times New Roman"/>
          <w:noProof/>
          <w:color w:val="000000" w:themeColor="text1"/>
          <w:sz w:val="24"/>
        </w:rPr>
        <w:t>Mettre à disposition 570 millions d’EUR au titre du mécanisme d’infrastructure pour carburants alternatifs en 2025 et 2026.</w:t>
      </w:r>
    </w:p>
    <w:p w14:paraId="2120CBAB"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rPr>
      </w:pPr>
      <w:r w:rsidRPr="009569ED">
        <w:rPr>
          <w:rFonts w:ascii="Times New Roman" w:hAnsi="Times New Roman"/>
          <w:noProof/>
          <w:color w:val="000000" w:themeColor="text1"/>
          <w:sz w:val="24"/>
        </w:rPr>
        <w:t xml:space="preserve">Orientations et recommandation de la Commission sur le raccourcissement des procédures de raccordement au réseau et la hiérarchisation des priorités en matière de raccordement au réseau. </w:t>
      </w:r>
    </w:p>
    <w:p w14:paraId="02322E8D"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rPr>
      </w:pPr>
      <w:r w:rsidRPr="009569ED">
        <w:rPr>
          <w:rFonts w:ascii="Times New Roman" w:hAnsi="Times New Roman"/>
          <w:noProof/>
          <w:color w:val="000000" w:themeColor="text1"/>
          <w:sz w:val="24"/>
        </w:rPr>
        <w:t>Principes directeurs concernant les investissements anticipatifs dans le réseau (T2 2025).</w:t>
      </w:r>
    </w:p>
    <w:p w14:paraId="5A307904"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120" w:line="257" w:lineRule="auto"/>
        <w:jc w:val="both"/>
        <w:rPr>
          <w:rFonts w:ascii="Times New Roman" w:hAnsi="Times New Roman" w:cs="Times New Roman"/>
          <w:b/>
          <w:bCs/>
          <w:noProof/>
          <w:color w:val="000000" w:themeColor="text1"/>
          <w:sz w:val="24"/>
          <w:szCs w:val="24"/>
        </w:rPr>
      </w:pPr>
      <w:r w:rsidRPr="009569ED">
        <w:rPr>
          <w:rFonts w:ascii="Times New Roman" w:hAnsi="Times New Roman"/>
          <w:b/>
          <w:noProof/>
          <w:color w:val="000000" w:themeColor="text1"/>
          <w:sz w:val="24"/>
        </w:rPr>
        <w:t>Autres actions:</w:t>
      </w:r>
    </w:p>
    <w:p w14:paraId="109F653A"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rPr>
      </w:pPr>
      <w:r w:rsidRPr="009569ED">
        <w:rPr>
          <w:rFonts w:ascii="Times New Roman" w:hAnsi="Times New Roman"/>
          <w:noProof/>
          <w:color w:val="000000" w:themeColor="text1"/>
          <w:sz w:val="24"/>
        </w:rPr>
        <w:t>Soutien aux États membres pour la mise en œuvre de l’AFIR et de la DPEB par l’instrument d’appui technique.</w:t>
      </w:r>
    </w:p>
    <w:p w14:paraId="4DFB1339"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240" w:line="257" w:lineRule="auto"/>
        <w:jc w:val="both"/>
        <w:rPr>
          <w:rFonts w:ascii="Times New Roman" w:eastAsia="Times New Roman" w:hAnsi="Times New Roman" w:cs="Times New Roman"/>
          <w:noProof/>
          <w:color w:val="000000" w:themeColor="text1"/>
          <w:sz w:val="24"/>
          <w:szCs w:val="24"/>
        </w:rPr>
      </w:pPr>
      <w:r w:rsidRPr="009569ED">
        <w:rPr>
          <w:rFonts w:ascii="Times New Roman" w:hAnsi="Times New Roman"/>
          <w:noProof/>
          <w:color w:val="000000" w:themeColor="text1"/>
          <w:sz w:val="24"/>
        </w:rPr>
        <w:t>Aider les États membres à mettre en place des cadres propices à une tarification intelligente/bidirectionnelle et faciliter l’échange de bonnes pratiques.</w:t>
      </w:r>
    </w:p>
    <w:p w14:paraId="341D518B" w14:textId="5E72C08E" w:rsidR="00DB0E78" w:rsidRPr="009569ED" w:rsidRDefault="00DB0E78" w:rsidP="00DB0E78">
      <w:pPr>
        <w:pStyle w:val="Text1"/>
        <w:spacing w:line="257" w:lineRule="auto"/>
        <w:ind w:left="0"/>
        <w:rPr>
          <w:b/>
          <w:bCs/>
          <w:i/>
          <w:iCs/>
          <w:noProof/>
          <w:color w:val="000000" w:themeColor="text1"/>
        </w:rPr>
      </w:pPr>
      <w:r w:rsidRPr="009569ED">
        <w:rPr>
          <w:b/>
          <w:i/>
          <w:noProof/>
          <w:color w:val="000000" w:themeColor="text1"/>
        </w:rPr>
        <w:t>Mobiliser des fonds privés</w:t>
      </w:r>
      <w:r w:rsidR="00316EDC">
        <w:rPr>
          <w:b/>
          <w:i/>
          <w:noProof/>
          <w:color w:val="000000" w:themeColor="text1"/>
        </w:rPr>
        <w:t>…</w:t>
      </w:r>
      <w:r w:rsidRPr="009569ED">
        <w:rPr>
          <w:b/>
          <w:i/>
          <w:noProof/>
          <w:color w:val="000000" w:themeColor="text1"/>
        </w:rPr>
        <w:t xml:space="preserve"> </w:t>
      </w:r>
    </w:p>
    <w:p w14:paraId="63CE012F" w14:textId="77777777" w:rsidR="00DB0E78" w:rsidRPr="009569ED" w:rsidRDefault="00DB0E78" w:rsidP="00DB0E78">
      <w:pPr>
        <w:pStyle w:val="Text1"/>
        <w:spacing w:line="257" w:lineRule="auto"/>
        <w:ind w:left="0"/>
        <w:rPr>
          <w:b/>
          <w:bCs/>
          <w:i/>
          <w:iCs/>
          <w:noProof/>
          <w:color w:val="000000" w:themeColor="text1"/>
        </w:rPr>
      </w:pPr>
      <w:r w:rsidRPr="009569ED">
        <w:rPr>
          <w:noProof/>
        </w:rPr>
        <w:t>Comme annoncé dans le pacte pour une industrie propre, environ 50 milliards d’euros d’investissements supplémentaires seront mobilisés au titre d’</w:t>
      </w:r>
      <w:r w:rsidRPr="009569ED">
        <w:rPr>
          <w:b/>
          <w:bCs/>
          <w:noProof/>
        </w:rPr>
        <w:t>InvestEU</w:t>
      </w:r>
      <w:r w:rsidRPr="009569ED">
        <w:rPr>
          <w:noProof/>
        </w:rPr>
        <w:t xml:space="preserve"> pour soutenir les principales politiques de l’UE, le groupe BEI jouant un rôle de premier plan dans cette action. Cela pourrait inclure un soutien supplémentaire aux technologies propres et à la mobilité propre, y compris dans l’intérêt de l’industrie automobile tout au long de la chaîne de valeur, afin de contribuer à l’expansion ou à l’amélioration des arguments d’investissement en faveur des investissements à grande échelle nécessaires. </w:t>
      </w:r>
      <w:bookmarkStart w:id="3" w:name="_Hlk191842622"/>
    </w:p>
    <w:p w14:paraId="7110510C" w14:textId="77777777" w:rsidR="00DB0E78" w:rsidRPr="009569ED" w:rsidRDefault="00DB0E78" w:rsidP="00DB0E78">
      <w:pPr>
        <w:pStyle w:val="Text1"/>
        <w:spacing w:line="257" w:lineRule="auto"/>
        <w:ind w:left="0"/>
        <w:rPr>
          <w:b/>
          <w:bCs/>
          <w:i/>
          <w:iCs/>
          <w:noProof/>
          <w:color w:val="000000" w:themeColor="text1"/>
        </w:rPr>
      </w:pPr>
      <w:r w:rsidRPr="009569ED">
        <w:rPr>
          <w:b/>
          <w:i/>
          <w:noProof/>
          <w:color w:val="000000" w:themeColor="text1"/>
        </w:rPr>
        <w:t>... et renforcer la confiance des consommateurs</w:t>
      </w:r>
    </w:p>
    <w:bookmarkEnd w:id="3"/>
    <w:p w14:paraId="1A02258F" w14:textId="77777777" w:rsidR="00DB0E78" w:rsidRPr="009569ED" w:rsidRDefault="00DB0E78" w:rsidP="00DB0E78">
      <w:pPr>
        <w:spacing w:after="240"/>
        <w:jc w:val="both"/>
        <w:rPr>
          <w:rFonts w:ascii="Times New Roman" w:eastAsia="Times New Roman" w:hAnsi="Times New Roman" w:cs="Times New Roman"/>
          <w:noProof/>
          <w:sz w:val="24"/>
          <w:szCs w:val="24"/>
        </w:rPr>
      </w:pPr>
      <w:r w:rsidRPr="009569ED">
        <w:rPr>
          <w:rFonts w:ascii="Times New Roman" w:hAnsi="Times New Roman"/>
          <w:noProof/>
          <w:color w:val="000000" w:themeColor="text1"/>
          <w:sz w:val="24"/>
        </w:rPr>
        <w:t xml:space="preserve">La Commission réexaminera la </w:t>
      </w:r>
      <w:r w:rsidRPr="009569ED">
        <w:rPr>
          <w:rFonts w:ascii="Times New Roman" w:hAnsi="Times New Roman"/>
          <w:b/>
          <w:bCs/>
          <w:noProof/>
          <w:color w:val="000000" w:themeColor="text1"/>
          <w:sz w:val="24"/>
        </w:rPr>
        <w:t>directive sur l’étiquetage des voitures</w:t>
      </w:r>
      <w:r w:rsidRPr="009569ED">
        <w:rPr>
          <w:rFonts w:ascii="Times New Roman" w:hAnsi="Times New Roman"/>
          <w:noProof/>
          <w:color w:val="000000" w:themeColor="text1"/>
          <w:sz w:val="24"/>
        </w:rPr>
        <w:t xml:space="preserve"> en 2026, à la suite de l’évaluation qui sera publiée au cours du premier semestre de 2025, afin d’aider les consommateurs à faire des choix durables et de contribuer à l’objectif d’accroître le déploiement de véhicules à émissions nulles. </w:t>
      </w:r>
      <w:r w:rsidRPr="009569ED">
        <w:rPr>
          <w:rFonts w:ascii="Times New Roman" w:hAnsi="Times New Roman"/>
          <w:noProof/>
          <w:sz w:val="24"/>
        </w:rPr>
        <w:t xml:space="preserve">Cela peut se faire, par exemple, en incluant des </w:t>
      </w:r>
      <w:r w:rsidRPr="009569ED">
        <w:rPr>
          <w:rFonts w:ascii="Times New Roman" w:hAnsi="Times New Roman"/>
          <w:b/>
          <w:bCs/>
          <w:noProof/>
          <w:sz w:val="24"/>
        </w:rPr>
        <w:t>informations sur la teneur en carbone des matériaux clés utilisés dans le véhicule</w:t>
      </w:r>
      <w:r w:rsidRPr="009569ED">
        <w:rPr>
          <w:rFonts w:ascii="Times New Roman" w:hAnsi="Times New Roman"/>
          <w:noProof/>
          <w:sz w:val="24"/>
        </w:rPr>
        <w:t xml:space="preserve">. </w:t>
      </w:r>
    </w:p>
    <w:p w14:paraId="5F679D83" w14:textId="77777777" w:rsidR="00DB0E78" w:rsidRPr="009569ED" w:rsidRDefault="00DB0E78" w:rsidP="00DB0E78">
      <w:pPr>
        <w:pStyle w:val="Text1"/>
        <w:spacing w:line="257" w:lineRule="auto"/>
        <w:ind w:left="0"/>
        <w:rPr>
          <w:noProof/>
        </w:rPr>
      </w:pPr>
      <w:r w:rsidRPr="009569ED">
        <w:rPr>
          <w:noProof/>
        </w:rPr>
        <w:t xml:space="preserve">Il convient de noter que, selon les pays, 75 % à 90 % des consommateurs achètent uniquement des véhicules d’occasion. En ce qui concerne les véhicules d’occasion à émissions nulles, les consommateurs s’inquiètent de la </w:t>
      </w:r>
      <w:r w:rsidRPr="009569ED">
        <w:rPr>
          <w:b/>
          <w:bCs/>
          <w:noProof/>
        </w:rPr>
        <w:t>santé des batteries et de la réparabilité</w:t>
      </w:r>
      <w:r w:rsidRPr="009569ED">
        <w:rPr>
          <w:noProof/>
        </w:rPr>
        <w:t>.</w:t>
      </w:r>
      <w:r w:rsidRPr="009569ED">
        <w:rPr>
          <w:noProof/>
          <w:color w:val="000000" w:themeColor="text1"/>
        </w:rPr>
        <w:t xml:space="preserve"> </w:t>
      </w:r>
      <w:r w:rsidRPr="009569ED">
        <w:rPr>
          <w:b/>
          <w:bCs/>
          <w:noProof/>
        </w:rPr>
        <w:t>Afin de renforcer la confiance des consommateurs dans les véhicules électriques à batteries, la Commission évaluera la question plus large de la réparabilité des batteries et prendra des mesures réglementaires</w:t>
      </w:r>
      <w:r w:rsidRPr="009569ED">
        <w:rPr>
          <w:noProof/>
        </w:rPr>
        <w:t xml:space="preserve"> pour garantir l’accès aux informations sur la santé des batteries dans le passeport de batterie, ainsi que l’accès aux informations sur la réparation et l’entretien des batteries. </w:t>
      </w:r>
    </w:p>
    <w:p w14:paraId="25129E22" w14:textId="77777777" w:rsidR="00DB0E78" w:rsidRPr="009569ED" w:rsidRDefault="00DB0E78" w:rsidP="00DB0E78">
      <w:pPr>
        <w:pStyle w:val="Text1"/>
        <w:spacing w:line="257" w:lineRule="auto"/>
        <w:ind w:left="0"/>
        <w:rPr>
          <w:b/>
          <w:bCs/>
          <w:i/>
          <w:iCs/>
          <w:noProof/>
          <w:color w:val="000000" w:themeColor="text1"/>
          <w:szCs w:val="24"/>
        </w:rPr>
      </w:pPr>
      <w:r w:rsidRPr="009569ED">
        <w:rPr>
          <w:b/>
          <w:i/>
          <w:noProof/>
          <w:color w:val="000000" w:themeColor="text1"/>
        </w:rPr>
        <w:t>Renforcer la facilité d’utilisation des infrastructures de recharge</w:t>
      </w:r>
    </w:p>
    <w:p w14:paraId="56493546" w14:textId="77777777" w:rsidR="00DB0E78" w:rsidRPr="009569ED" w:rsidRDefault="00DB0E78" w:rsidP="00DB0E78">
      <w:pPr>
        <w:pStyle w:val="Text1"/>
        <w:spacing w:line="257" w:lineRule="auto"/>
        <w:ind w:left="0"/>
        <w:rPr>
          <w:noProof/>
          <w:color w:val="000000" w:themeColor="text1"/>
          <w:szCs w:val="24"/>
        </w:rPr>
      </w:pPr>
      <w:r w:rsidRPr="009569ED">
        <w:rPr>
          <w:noProof/>
          <w:color w:val="000000" w:themeColor="text1"/>
        </w:rPr>
        <w:t xml:space="preserve">Il est important que les consommateurs puissent comparer les prix en toute transparence et disposer sur leur écran d’informations complètes sur les infrastructures disponibles. À l’heure actuelle, cela peut encore être difficile et les tarifs de recharge peuvent différer sensiblement d’un point de recharge à l’autre. L’AFIR impose déjà aux exploitants de points de recharge d’échanger toutes les données pertinentes sans frais. </w:t>
      </w:r>
      <w:r w:rsidRPr="009569ED">
        <w:rPr>
          <w:b/>
          <w:bCs/>
          <w:noProof/>
          <w:color w:val="000000" w:themeColor="text1"/>
        </w:rPr>
        <w:t>Dans le cadre du réexamen de l’AFIR en 2026, la Commission examinera les possibilités de renforcer encore la transparence des prix aux points de recharge accessibles au public,</w:t>
      </w:r>
      <w:r w:rsidRPr="009569ED">
        <w:rPr>
          <w:noProof/>
          <w:color w:val="000000" w:themeColor="text1"/>
        </w:rPr>
        <w:t xml:space="preserve"> en tenant compte des évolutions pertinentes du marché.</w:t>
      </w:r>
    </w:p>
    <w:p w14:paraId="518D9DBD" w14:textId="77777777" w:rsidR="00DB0E78" w:rsidRPr="009569ED" w:rsidRDefault="00DB0E78" w:rsidP="00DB0E78">
      <w:pPr>
        <w:rPr>
          <w:rFonts w:ascii="Times New Roman" w:eastAsia="Times New Roman" w:hAnsi="Times New Roman" w:cs="Times New Roman"/>
          <w:noProof/>
          <w:color w:val="000000" w:themeColor="text1"/>
          <w:sz w:val="24"/>
          <w:szCs w:val="24"/>
          <w14:ligatures w14:val="none"/>
        </w:rPr>
      </w:pPr>
      <w:r w:rsidRPr="009569ED">
        <w:rPr>
          <w:noProof/>
        </w:rPr>
        <w:br w:type="page"/>
      </w:r>
    </w:p>
    <w:p w14:paraId="40E9374C"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rPr>
      </w:pPr>
      <w:r w:rsidRPr="009569ED">
        <w:rPr>
          <w:b/>
          <w:noProof/>
          <w:color w:val="000000" w:themeColor="text1"/>
        </w:rPr>
        <w:t>Actions phares:</w:t>
      </w:r>
    </w:p>
    <w:p w14:paraId="4DFB3E11"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9569ED">
        <w:rPr>
          <w:noProof/>
          <w:color w:val="000000" w:themeColor="text1"/>
        </w:rPr>
        <w:t xml:space="preserve">Mesure réglementaire visant à garantir l’accès aux informations sur la santé des batteries dans le passeport de batterie d’ici au troisième trimestre 2026. </w:t>
      </w:r>
    </w:p>
    <w:p w14:paraId="3A88FBC0"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9569ED">
        <w:rPr>
          <w:noProof/>
          <w:color w:val="000000" w:themeColor="text1"/>
        </w:rPr>
        <w:t>Mesure réglementaire visant à garantir l’accès aux informations sur la réparation et l’entretien des batteries au troisième trimestre 2025.</w:t>
      </w:r>
    </w:p>
    <w:p w14:paraId="342ECBF8"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120" w:line="257" w:lineRule="auto"/>
        <w:rPr>
          <w:rFonts w:ascii="Times New Roman" w:eastAsia="Times New Roman" w:hAnsi="Times New Roman" w:cs="Times New Roman"/>
          <w:noProof/>
          <w:color w:val="000000" w:themeColor="text1"/>
          <w:sz w:val="24"/>
          <w:szCs w:val="24"/>
        </w:rPr>
      </w:pPr>
      <w:r w:rsidRPr="009569ED">
        <w:rPr>
          <w:rFonts w:ascii="Times New Roman" w:hAnsi="Times New Roman"/>
          <w:noProof/>
          <w:color w:val="000000" w:themeColor="text1"/>
          <w:sz w:val="24"/>
        </w:rPr>
        <w:t>Réexamen de l’AFIR afin d’évaluer les possibilités de renforcer encore la transparence des prix aux points de recharge accessibles au public en 2026.</w:t>
      </w:r>
    </w:p>
    <w:p w14:paraId="0253AD0F" w14:textId="77777777" w:rsidR="00DB0E78" w:rsidRPr="009569ED" w:rsidRDefault="00DB0E78" w:rsidP="00DB0E78">
      <w:pPr>
        <w:pBdr>
          <w:top w:val="single" w:sz="4" w:space="1" w:color="auto"/>
          <w:left w:val="single" w:sz="4" w:space="1" w:color="auto"/>
          <w:bottom w:val="single" w:sz="4" w:space="1" w:color="auto"/>
          <w:right w:val="single" w:sz="4" w:space="1" w:color="auto"/>
        </w:pBdr>
        <w:spacing w:after="120" w:line="257" w:lineRule="auto"/>
        <w:rPr>
          <w:rFonts w:ascii="Times New Roman" w:eastAsia="Times New Roman" w:hAnsi="Times New Roman" w:cs="Times New Roman"/>
          <w:b/>
          <w:bCs/>
          <w:noProof/>
          <w:color w:val="000000" w:themeColor="text1"/>
          <w:sz w:val="24"/>
          <w:szCs w:val="24"/>
        </w:rPr>
      </w:pPr>
      <w:r w:rsidRPr="009569ED">
        <w:rPr>
          <w:rFonts w:ascii="Times New Roman" w:hAnsi="Times New Roman"/>
          <w:b/>
          <w:noProof/>
          <w:color w:val="000000" w:themeColor="text1"/>
          <w:sz w:val="24"/>
        </w:rPr>
        <w:t>Autres actions:</w:t>
      </w:r>
    </w:p>
    <w:p w14:paraId="5F22C242" w14:textId="77777777" w:rsidR="00DB0E78" w:rsidRPr="009569ED" w:rsidRDefault="00DB0E78" w:rsidP="00DB0E78">
      <w:pPr>
        <w:pStyle w:val="Text1"/>
        <w:pBdr>
          <w:top w:val="single" w:sz="4" w:space="1" w:color="auto"/>
          <w:left w:val="single" w:sz="4" w:space="1" w:color="auto"/>
          <w:bottom w:val="single" w:sz="4" w:space="1" w:color="auto"/>
          <w:right w:val="single" w:sz="4" w:space="1" w:color="auto"/>
        </w:pBdr>
        <w:spacing w:line="257" w:lineRule="auto"/>
        <w:ind w:left="0"/>
        <w:rPr>
          <w:noProof/>
        </w:rPr>
      </w:pPr>
      <w:r w:rsidRPr="009569ED">
        <w:rPr>
          <w:noProof/>
          <w:color w:val="000000" w:themeColor="text1"/>
        </w:rPr>
        <w:t>Révision de la directive sur l’étiquetage des voitures en 2026, qui vise à améliorer l’information des consommateurs.</w:t>
      </w:r>
    </w:p>
    <w:p w14:paraId="53834574" w14:textId="77777777" w:rsidR="00DB0E78" w:rsidRPr="009569ED" w:rsidRDefault="00DB0E78" w:rsidP="00DB0E78">
      <w:pPr>
        <w:pStyle w:val="Text1"/>
        <w:numPr>
          <w:ilvl w:val="1"/>
          <w:numId w:val="11"/>
        </w:numPr>
        <w:spacing w:line="257" w:lineRule="auto"/>
        <w:rPr>
          <w:b/>
          <w:bCs/>
          <w:noProof/>
          <w:color w:val="000000" w:themeColor="text1"/>
          <w:szCs w:val="24"/>
        </w:rPr>
      </w:pPr>
      <w:r w:rsidRPr="009569ED">
        <w:rPr>
          <w:b/>
          <w:noProof/>
          <w:color w:val="000000" w:themeColor="text1"/>
        </w:rPr>
        <w:t>Compétitivité et résilience de la chaîne d’approvisionnement</w:t>
      </w:r>
    </w:p>
    <w:p w14:paraId="6E0C5E10" w14:textId="77777777" w:rsidR="00DB0E78" w:rsidRPr="009569ED" w:rsidRDefault="00DB0E78" w:rsidP="00DB0E78">
      <w:pPr>
        <w:spacing w:after="240"/>
        <w:jc w:val="both"/>
        <w:rPr>
          <w:rFonts w:ascii="Times New Roman" w:eastAsia="Times New Roman" w:hAnsi="Times New Roman" w:cs="Times New Roman"/>
          <w:noProof/>
          <w:sz w:val="24"/>
          <w:szCs w:val="24"/>
        </w:rPr>
      </w:pPr>
      <w:r w:rsidRPr="009569ED">
        <w:rPr>
          <w:rFonts w:ascii="Times New Roman" w:hAnsi="Times New Roman"/>
          <w:noProof/>
          <w:sz w:val="24"/>
        </w:rPr>
        <w:t>L’industrie automobile européenne risque de perdre des parts de marché importantes en raison de sa compétitivité limitée dans le domaine de la technologie et des capacités de production de véhicules à émissions nulles, ainsi que du fait d’un écart de coût important pour les composants critiques, en particulier les batteries. Celles-ci, qui représentent 30 à 40 % de la valeur ajoutée d’une voiture particulière électrique typique, constituent un champ de bataille essentiel pour l’emploi et la création de valeur à l’avenir. L’Europe a besoin d’une production intérieure de cellules de batteries et d’une chaîne d’approvisionnement compétitives, notamment pour se préparer aux chocs et aux crises d’approvisionnement et protéger la souveraineté économique. Cette production couvrirait une grande partie de l’approvisionnement en éléments de batterie et de la valeur ajoutée européenne tout au long de la chaîne d’approvisionnement, y compris les capacités de production de l’UE de matières actives anodiques, de matières actives cathodiques et de leurs précurseurs, et d’autres composants de batteries pertinents. Cela nécessite également des investissements d’acteurs européens dans les opérations d’extraction et de raffinage des matériaux pour batteries en Europe ou dans le reste du monde. L’objectif pour 2030 est de parvenir à une valeur ajoutée européenne de plus de 50 % tout au long de la chaîne de valeur.</w:t>
      </w:r>
    </w:p>
    <w:p w14:paraId="6B816D5E" w14:textId="77777777" w:rsidR="00DB0E78" w:rsidRPr="009569ED" w:rsidRDefault="00DB0E78" w:rsidP="00DB0E78">
      <w:pPr>
        <w:pStyle w:val="Text1"/>
        <w:spacing w:line="252" w:lineRule="auto"/>
        <w:ind w:left="0"/>
        <w:rPr>
          <w:b/>
          <w:bCs/>
          <w:noProof/>
        </w:rPr>
      </w:pPr>
      <w:r w:rsidRPr="009569ED">
        <w:rPr>
          <w:b/>
          <w:noProof/>
        </w:rPr>
        <w:t>Fabrication de batteries — «Battery Booster»</w:t>
      </w:r>
    </w:p>
    <w:p w14:paraId="5F4D9C2B" w14:textId="77777777" w:rsidR="00DB0E78" w:rsidRPr="009569ED" w:rsidRDefault="00DB0E78" w:rsidP="00DB0E78">
      <w:pPr>
        <w:pStyle w:val="paragraph"/>
        <w:spacing w:before="0" w:beforeAutospacing="0" w:after="240" w:afterAutospacing="0"/>
        <w:jc w:val="both"/>
        <w:rPr>
          <w:noProof/>
        </w:rPr>
      </w:pPr>
      <w:r w:rsidRPr="009569ED">
        <w:rPr>
          <w:noProof/>
        </w:rPr>
        <w:t xml:space="preserve">Afin de parvenir à court terme à des cellules et composants de batterie produits dans l’UE à un coût compétitif, le présent plan d’action présente un train de mesures baptisé «Battery Booster». Le financement est un élément important du train de mesures. La Commission a déjà annoncé jusqu’à 3 milliards d’euros au titre du </w:t>
      </w:r>
      <w:r w:rsidRPr="009569ED">
        <w:rPr>
          <w:b/>
          <w:bCs/>
          <w:noProof/>
        </w:rPr>
        <w:t>Fonds pour l’innovation</w:t>
      </w:r>
      <w:r w:rsidRPr="009569ED">
        <w:rPr>
          <w:noProof/>
        </w:rPr>
        <w:t xml:space="preserve"> pour la fabrication de batteries de véhicules électriques. Le premier appel de 1 milliard d’euros a été lancé le 3 décembre 2024. Le secteur bénéficie également d’un complément de 200 millions d’EUR au titre du Fonds pour l’innovation. Cela soutiendra des projets innovants tout au long de la chaîne de valeur européenne de la fabrication de batteries afin de relever les défis en matière de financement en permettant d’autres opérations de capital-risque du groupe BEI au cours de la période 2025-2027. La Commission mettra à disposition 1,8 milliard d’euros au cours des deux prochaines années pour soutenir les entreprises qui fabriquent des batteries dans l’UE en mobilisant des ressources du Fonds pour l’innovation. La Commission étudiera les possibilités de financement de la montée en puissance des lignes de production européennes dans ce contexte. </w:t>
      </w:r>
    </w:p>
    <w:p w14:paraId="3F6D028D" w14:textId="77777777" w:rsidR="00DB0E78" w:rsidRPr="009569ED" w:rsidRDefault="00DB0E78" w:rsidP="00DB0E78">
      <w:pPr>
        <w:pStyle w:val="paragraph"/>
        <w:spacing w:before="0" w:beforeAutospacing="0" w:after="240" w:afterAutospacing="0"/>
        <w:jc w:val="both"/>
        <w:rPr>
          <w:noProof/>
        </w:rPr>
      </w:pPr>
      <w:r w:rsidRPr="009569ED">
        <w:rPr>
          <w:noProof/>
        </w:rPr>
        <w:t xml:space="preserve">La Commission examinera le </w:t>
      </w:r>
      <w:r w:rsidRPr="009569ED">
        <w:rPr>
          <w:b/>
          <w:bCs/>
          <w:noProof/>
        </w:rPr>
        <w:t>soutien direct de l’UE à la production des entreprises qui fabriquent des batteries dans l’UE</w:t>
      </w:r>
      <w:r w:rsidRPr="009569ED">
        <w:rPr>
          <w:noProof/>
        </w:rPr>
        <w:t>.</w:t>
      </w:r>
      <w:r w:rsidRPr="009569ED">
        <w:rPr>
          <w:b/>
          <w:noProof/>
        </w:rPr>
        <w:t xml:space="preserve"> </w:t>
      </w:r>
      <w:r w:rsidRPr="009569ED">
        <w:rPr>
          <w:noProof/>
        </w:rPr>
        <w:t>Le soutien de l’UE pourrait être combiné avec des aides d’État. Dans ce contexte, la Commission travaille actuellement à l’élaboration d’un nouvel encadrement des aides d’État à l’industrie propre qui simplifiera les règles en matière d’aides d’État, notamment pour garantir une capacité de production suffisante d’équipements de technologie propre en Europe, y compris les batteries et leurs composants essentiels. La Commission consulte actuellement les États membres et les parties prenantes sur un projet d'encadrement.</w:t>
      </w:r>
    </w:p>
    <w:p w14:paraId="5407A866" w14:textId="77777777" w:rsidR="00DB0E78" w:rsidRPr="009569ED" w:rsidRDefault="00DB0E78" w:rsidP="00DB0E78">
      <w:pPr>
        <w:pStyle w:val="paragraph"/>
        <w:spacing w:before="0" w:beforeAutospacing="0" w:after="240" w:afterAutospacing="0"/>
        <w:jc w:val="both"/>
        <w:rPr>
          <w:noProof/>
        </w:rPr>
      </w:pPr>
      <w:r w:rsidRPr="009569ED">
        <w:rPr>
          <w:noProof/>
        </w:rPr>
        <w:t xml:space="preserve">Afin de renforcer la valeur ajoutée européenne, le </w:t>
      </w:r>
      <w:r w:rsidRPr="009569ED">
        <w:rPr>
          <w:b/>
          <w:bCs/>
          <w:noProof/>
        </w:rPr>
        <w:t>soutien pourrait être mis à la disposition des acteurs étrangers si des entreprises européennes ont noué avec eux des partenariats</w:t>
      </w:r>
      <w:r w:rsidRPr="009569ED">
        <w:rPr>
          <w:noProof/>
        </w:rPr>
        <w:t xml:space="preserve"> qui garantissent le partage des compétences, du savoir-faire, de l’expertise technique et de la technologie, ainsi qu’une valeur ajoutée suffisante pour l’UE. </w:t>
      </w:r>
    </w:p>
    <w:p w14:paraId="44D42E57" w14:textId="77777777" w:rsidR="00DB0E78" w:rsidRPr="00A173A7" w:rsidRDefault="00DB0E78" w:rsidP="00DB0E78">
      <w:pPr>
        <w:pStyle w:val="paragraph"/>
        <w:spacing w:before="0" w:beforeAutospacing="0" w:after="240" w:afterAutospacing="0"/>
        <w:jc w:val="both"/>
        <w:rPr>
          <w:noProof/>
        </w:rPr>
      </w:pPr>
      <w:r w:rsidRPr="009569ED">
        <w:rPr>
          <w:noProof/>
        </w:rPr>
        <w:t xml:space="preserve">Lors de la mise en place de tels instruments de financement, des </w:t>
      </w:r>
      <w:r w:rsidRPr="009569ED">
        <w:rPr>
          <w:b/>
          <w:bCs/>
          <w:noProof/>
        </w:rPr>
        <w:t>critères autres que le prix, tels que les exigences en matière de résilience, seront pris en considération, tant pour le financement par l’UE que pour le financement par les États membres</w:t>
      </w:r>
      <w:r w:rsidRPr="009569ED">
        <w:rPr>
          <w:noProof/>
        </w:rPr>
        <w:t>.</w:t>
      </w:r>
      <w:r>
        <w:rPr>
          <w:noProof/>
        </w:rPr>
        <w:t xml:space="preserve"> </w:t>
      </w:r>
    </w:p>
    <w:p w14:paraId="67C2AE25" w14:textId="77777777" w:rsidR="00DB0E78" w:rsidRPr="00A173A7" w:rsidRDefault="00DB0E78" w:rsidP="00DB0E78">
      <w:pPr>
        <w:pStyle w:val="paragraph"/>
        <w:spacing w:before="0" w:beforeAutospacing="0" w:after="240" w:afterAutospacing="0"/>
        <w:jc w:val="both"/>
        <w:rPr>
          <w:rStyle w:val="eop"/>
          <w:noProof/>
        </w:rPr>
      </w:pPr>
      <w:r>
        <w:rPr>
          <w:b/>
          <w:bCs/>
          <w:noProof/>
        </w:rPr>
        <w:t>Les exigences en matière de contenu européen relatives aux éléments et composants de batterie pour les véhicules électriques vendus dans l’UE</w:t>
      </w:r>
      <w:r>
        <w:rPr>
          <w:noProof/>
        </w:rPr>
        <w:t xml:space="preserve"> seront définies dans le cadre de divers actes législatifs en préparation, parmi lesquels l’acte législatif visant à accélérer la décarbonation de l’industrie et l’acte législatif sur l’économie circulaire, conformément aux engagements juridiques internationaux pris par l’Union. Ces exigences seront en phase avec la courbe de progression graduelle que devraient connaître les capacités de production intérieures. </w:t>
      </w:r>
    </w:p>
    <w:p w14:paraId="329FACE4" w14:textId="77777777" w:rsidR="00DB0E78" w:rsidRPr="00A173A7" w:rsidRDefault="00DB0E78" w:rsidP="00DB0E78">
      <w:pPr>
        <w:spacing w:after="240"/>
        <w:jc w:val="both"/>
        <w:rPr>
          <w:rFonts w:ascii="Times New Roman" w:hAnsi="Times New Roman" w:cs="Times New Roman"/>
          <w:noProof/>
          <w:sz w:val="24"/>
          <w:szCs w:val="24"/>
        </w:rPr>
      </w:pPr>
      <w:r>
        <w:rPr>
          <w:rFonts w:ascii="Times New Roman" w:hAnsi="Times New Roman"/>
          <w:noProof/>
          <w:sz w:val="24"/>
        </w:rPr>
        <w:t>Le nouvel encadrement des aides d’État offrira aux États membres la possibilité d’encourager davantage les investisseurs privés en réduisant les risques liés aux investissements dans les portefeuilles de projets. Les États membres pourront également créer des incitations fiscales sous la forme d’amortissements accélérés, comme la comptabilisation immédiate en charges, pour l’acquisition d’équipements liés aux technologies propres que requiert la transition vers une économie à zéro émission nette.</w:t>
      </w:r>
    </w:p>
    <w:p w14:paraId="32B86C70" w14:textId="77777777" w:rsidR="00DB0E78" w:rsidRPr="00A173A7" w:rsidRDefault="00DB0E78" w:rsidP="00DB0E78">
      <w:pPr>
        <w:spacing w:after="240"/>
        <w:jc w:val="both"/>
        <w:rPr>
          <w:rFonts w:ascii="Times New Roman" w:hAnsi="Times New Roman" w:cs="Times New Roman"/>
          <w:noProof/>
          <w:sz w:val="24"/>
          <w:szCs w:val="24"/>
        </w:rPr>
      </w:pPr>
      <w:r>
        <w:rPr>
          <w:rFonts w:ascii="Times New Roman" w:hAnsi="Times New Roman"/>
          <w:noProof/>
          <w:sz w:val="24"/>
        </w:rPr>
        <w:t>La Commission étudiera d’autres moyens pratiques de soutenir la fabrication de batteries en Europe au cours de la phase critique d’expansion, notamment en fournissant, à la demande, des orientations sur les possibilités de coopération rapprochée entre les acteurs du secteur des batteries dans le respect des règles de concurrence de l’UE. La Commission évaluera comment et dans quelle mesure les initiatives de normalisation, en particulier en ce qui concerne la conception des batteries, pourraient profiter à l’écosystème européen des batteries pour réaliser des économies d’échelle. La Commission détaillera également dans les meilleurs délais une méthode de calcul simple pour l’empreinte carbone des batteries.</w:t>
      </w:r>
    </w:p>
    <w:p w14:paraId="6824D4B5" w14:textId="77777777" w:rsidR="00DB0E78" w:rsidRPr="00A173A7" w:rsidRDefault="00DB0E78" w:rsidP="00DB0E78">
      <w:pPr>
        <w:spacing w:after="240"/>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Matières premières pour batteries et raffinage</w:t>
      </w:r>
    </w:p>
    <w:p w14:paraId="680123A8" w14:textId="77777777" w:rsidR="00DB0E78" w:rsidRPr="00A173A7" w:rsidRDefault="00DB0E78" w:rsidP="00DB0E78">
      <w:p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acteurs européens du secteur automobile ont besoin d’un accès fiable et sûr à moindre coût aux matériaux bruts et raffinés. Dans le même temps, la valeur ajoutée des activités s’y rapportant doit être localisée en Europe.</w:t>
      </w:r>
    </w:p>
    <w:p w14:paraId="0EC1C032" w14:textId="77777777" w:rsidR="00DB0E78" w:rsidRPr="00A173A7" w:rsidRDefault="00DB0E78" w:rsidP="00DB0E78">
      <w:p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mars 2025, dans le cadre du règlement sur les matières premières critiques (CRMA), la Commission présentera une liste de projets stratégiques couvrant par priorité la production de matières premières pour batteries à tous les stades de la chaîne de valeur. Ces projets bénéficieront de procédures d’autorisation simplifiées, tandis que l’accès au financement et les accords d’achat de la production seront facilités. Parallèlement, dans le cadre de ses 14 partenariats stratégiques sur les matières premières avec un éventail de pays allant du Chili à la République démocratique du Congo, la Commission soutient des investissements conjoints tout au long de la chaîne de valeur des matières premières critiques</w:t>
      </w:r>
      <w:r w:rsidRPr="00A173A7">
        <w:rPr>
          <w:rStyle w:val="FootnoteReference"/>
          <w:rFonts w:ascii="Times New Roman" w:eastAsia="Times New Roman" w:hAnsi="Times New Roman" w:cs="Times New Roman"/>
          <w:noProof/>
          <w:color w:val="000000" w:themeColor="text1"/>
          <w:sz w:val="24"/>
          <w:szCs w:val="24"/>
          <w:lang w:eastAsia="en-IE"/>
        </w:rPr>
        <w:footnoteReference w:id="6"/>
      </w:r>
      <w:r>
        <w:rPr>
          <w:rFonts w:ascii="Times New Roman" w:hAnsi="Times New Roman"/>
          <w:noProof/>
          <w:color w:val="000000" w:themeColor="text1"/>
          <w:sz w:val="24"/>
        </w:rPr>
        <w:t>.</w:t>
      </w:r>
      <w:r>
        <w:rPr>
          <w:rFonts w:ascii="Times New Roman" w:hAnsi="Times New Roman"/>
          <w:noProof/>
          <w:sz w:val="24"/>
        </w:rPr>
        <w:t xml:space="preserve"> La Commission lance les premiers appels en 2025 sur la plateforme qui regroupe l’offre et la demande de certaines matières premières critiques.</w:t>
      </w:r>
      <w:r>
        <w:rPr>
          <w:rFonts w:ascii="Times New Roman" w:hAnsi="Times New Roman"/>
          <w:noProof/>
          <w:color w:val="000000" w:themeColor="text1"/>
          <w:sz w:val="24"/>
        </w:rPr>
        <w:t xml:space="preserve"> Cela augmentera la disponibilité de matières premières critiques et la transparence du marché. </w:t>
      </w:r>
    </w:p>
    <w:p w14:paraId="39F701AD" w14:textId="77777777" w:rsidR="00DB0E78" w:rsidRPr="00A173A7" w:rsidRDefault="00DB0E78" w:rsidP="00DB0E78">
      <w:p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Mais cela ne suffit pas. Dans le pacte pour une industrie propre, la Commission a annoncé la création en 2026 d’un centre dédié aux matières premières critiques afin d’agréger l’offre et la demande. En outre, la Commission européenne est prête à faciliter les </w:t>
      </w:r>
      <w:r>
        <w:rPr>
          <w:rFonts w:ascii="Times New Roman" w:hAnsi="Times New Roman"/>
          <w:b/>
          <w:bCs/>
          <w:noProof/>
          <w:color w:val="000000" w:themeColor="text1"/>
          <w:sz w:val="24"/>
        </w:rPr>
        <w:t>investissements conjoints du secteur privé dans la chaîne de valeur en amont</w:t>
      </w:r>
      <w:r>
        <w:rPr>
          <w:rFonts w:ascii="Times New Roman" w:hAnsi="Times New Roman"/>
          <w:noProof/>
          <w:color w:val="000000" w:themeColor="text1"/>
          <w:sz w:val="24"/>
        </w:rPr>
        <w:t>, en permettant aux acteurs du secteur automobile participants de bénéficier d’un approvisionnement en matériaux nettement moins risqué et moins coûteux.</w:t>
      </w:r>
    </w:p>
    <w:p w14:paraId="54081693" w14:textId="77777777" w:rsidR="00DB0E78" w:rsidRPr="00A173A7" w:rsidRDefault="00DB0E78" w:rsidP="00DB0E78">
      <w:p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 recours à des </w:t>
      </w:r>
      <w:r>
        <w:rPr>
          <w:rFonts w:ascii="Times New Roman" w:hAnsi="Times New Roman"/>
          <w:b/>
          <w:bCs/>
          <w:noProof/>
          <w:color w:val="000000" w:themeColor="text1"/>
          <w:sz w:val="24"/>
        </w:rPr>
        <w:t>procédures d’autorisation simplifiées pour les matières premières des batteries et les projets de raffinage devrait être étendu</w:t>
      </w:r>
      <w:r>
        <w:rPr>
          <w:rFonts w:ascii="Times New Roman" w:hAnsi="Times New Roman"/>
          <w:noProof/>
          <w:color w:val="000000" w:themeColor="text1"/>
          <w:sz w:val="24"/>
        </w:rPr>
        <w:t xml:space="preserve"> au-delà des projets stratégiques déjà recensés. À ce titre, la Commission encourage les États membres et les autorités régionales à appliquer des procédures simplifiées à l’ensemble des projets nationaux tout au long de la chaîne d’approvisionnement en matières premières pour batteries.</w:t>
      </w:r>
    </w:p>
    <w:p w14:paraId="5556DF3E" w14:textId="77777777" w:rsidR="00DB0E78" w:rsidRPr="00A173A7" w:rsidRDefault="00DB0E78" w:rsidP="00DB0E78">
      <w:pPr>
        <w:spacing w:after="24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examinera l’utilité d’un soutien supplémentaire en faveur des entreprises de raffinage et de transformation des matériaux pour batteries (par exemple, en aval du carbonate de lithium) opérant dans les États membres. La Commission s’efforcera de mobiliser les institutions financières publiques pour qu’elles fournissent des garanties et réduisent les risques liés aux accords d’achat de la production et autres contrats à long terme tout au long de la chaîne d’approvisionnement des matériaux pour batteries. </w:t>
      </w:r>
    </w:p>
    <w:p w14:paraId="00BF1F33" w14:textId="77777777" w:rsidR="00DB0E78" w:rsidRPr="00A173A7" w:rsidRDefault="00DB0E78" w:rsidP="00DB0E78">
      <w:pPr>
        <w:pStyle w:val="Text1"/>
        <w:spacing w:line="257" w:lineRule="auto"/>
        <w:ind w:left="0"/>
        <w:rPr>
          <w:b/>
          <w:bCs/>
          <w:noProof/>
          <w:color w:val="000000" w:themeColor="text1"/>
        </w:rPr>
      </w:pPr>
      <w:r>
        <w:rPr>
          <w:b/>
          <w:noProof/>
          <w:color w:val="000000" w:themeColor="text1"/>
        </w:rPr>
        <w:t>Stimuler la circularité de la chaîne d’approvisionnement automobile</w:t>
      </w:r>
    </w:p>
    <w:p w14:paraId="3F1C9A8E" w14:textId="77777777" w:rsidR="00DB0E78" w:rsidRPr="00A173A7" w:rsidRDefault="00DB0E78" w:rsidP="00DB0E78">
      <w:pPr>
        <w:pStyle w:val="Text1"/>
        <w:spacing w:line="257" w:lineRule="auto"/>
        <w:ind w:left="0"/>
        <w:rPr>
          <w:rFonts w:eastAsia="Calibri"/>
          <w:i/>
          <w:iCs/>
          <w:noProof/>
          <w:color w:val="000000" w:themeColor="text1"/>
        </w:rPr>
      </w:pPr>
      <w:r>
        <w:rPr>
          <w:noProof/>
          <w:color w:val="000000" w:themeColor="text1"/>
        </w:rPr>
        <w:t xml:space="preserve">La transition vers une économie circulaire est essentielle pour réduire la dépendance à l’égard des matières premières et accroître l’autonomie stratégique et la résilience de la chaîne d’approvisionnement automobile, y compris l’écosystème européen des batteries. Le règlement sur les batteries offre un cadre à cet effet. Toutefois, il convient d’étayer davantage les arguments économiques en faveur d’une chaîne de valeur globale du recyclage en Europe. Il importe de réaliser des investissements importants dans les capacités de recyclage tant avant qu’après traitement, de développer des technologies de recyclage plus avancées et d’assurer la disponibilité de matières à recycler (c’est-à-dire des batteries usagées et des déchets métalliques de haute qualité). À cette fin, la Commission </w:t>
      </w:r>
      <w:r>
        <w:rPr>
          <w:b/>
          <w:bCs/>
          <w:noProof/>
          <w:color w:val="000000" w:themeColor="text1"/>
        </w:rPr>
        <w:t>examinera la question du soutien financier en faveur des installations de recyclage des batteries</w:t>
      </w:r>
      <w:r>
        <w:rPr>
          <w:noProof/>
          <w:color w:val="000000" w:themeColor="text1"/>
        </w:rPr>
        <w:t xml:space="preserve"> </w:t>
      </w:r>
      <w:r>
        <w:rPr>
          <w:b/>
          <w:bCs/>
          <w:noProof/>
          <w:color w:val="000000" w:themeColor="text1"/>
        </w:rPr>
        <w:t>et des véhicules hors d’usage</w:t>
      </w:r>
      <w:r>
        <w:rPr>
          <w:noProof/>
          <w:color w:val="000000" w:themeColor="text1"/>
        </w:rPr>
        <w:t>.</w:t>
      </w:r>
      <w:r>
        <w:rPr>
          <w:b/>
          <w:noProof/>
          <w:color w:val="000000" w:themeColor="text1"/>
        </w:rPr>
        <w:t xml:space="preserve">  </w:t>
      </w:r>
    </w:p>
    <w:p w14:paraId="476207D0" w14:textId="77777777" w:rsidR="00DB0E78" w:rsidRPr="00A173A7" w:rsidRDefault="00DB0E78" w:rsidP="00DB0E78">
      <w:pPr>
        <w:pStyle w:val="Text1"/>
        <w:spacing w:line="257" w:lineRule="auto"/>
        <w:ind w:left="0"/>
        <w:rPr>
          <w:rFonts w:eastAsiaTheme="minorEastAsia"/>
          <w:noProof/>
          <w:color w:val="000000" w:themeColor="text1"/>
        </w:rPr>
      </w:pPr>
      <w:r>
        <w:rPr>
          <w:b/>
          <w:bCs/>
          <w:noProof/>
          <w:color w:val="000000" w:themeColor="text1"/>
        </w:rPr>
        <w:t>La Commission envisagera l’opportunité de nouvelles actions pour renforcer la coopération industrielle en matière de recyclage des matières premières</w:t>
      </w:r>
      <w:r>
        <w:rPr>
          <w:noProof/>
          <w:color w:val="000000" w:themeColor="text1"/>
        </w:rPr>
        <w:t>, dans le respect des règles de concurrence de l’UE.</w:t>
      </w:r>
      <w:r>
        <w:rPr>
          <w:b/>
          <w:noProof/>
          <w:color w:val="000000" w:themeColor="text1"/>
        </w:rPr>
        <w:t xml:space="preserve"> </w:t>
      </w:r>
      <w:r>
        <w:rPr>
          <w:noProof/>
          <w:color w:val="000000" w:themeColor="text1"/>
        </w:rPr>
        <w:t>À cette fin, la Commission lancera prochainement un exercice de collecte de données factuelles afin de recueillir les contributions des acteurs du marché.</w:t>
      </w:r>
    </w:p>
    <w:p w14:paraId="16D28DC8" w14:textId="77777777" w:rsidR="00DB0E78" w:rsidRPr="00A173A7" w:rsidRDefault="00DB0E78" w:rsidP="00DB0E78">
      <w:pPr>
        <w:pStyle w:val="Text1"/>
        <w:spacing w:line="257" w:lineRule="auto"/>
        <w:ind w:left="0"/>
        <w:rPr>
          <w:rFonts w:eastAsiaTheme="minorEastAsia"/>
          <w:noProof/>
          <w:color w:val="000000" w:themeColor="text1"/>
        </w:rPr>
      </w:pPr>
      <w:r>
        <w:rPr>
          <w:noProof/>
          <w:color w:val="000000" w:themeColor="text1"/>
        </w:rPr>
        <w:t xml:space="preserve">Afin de protéger l’environnement contre les déchets dangereux, la Commission adopte, en même temps que le présent plan d’action, une décision au titre de la directive-cadre relative aux déchets prévoyant qu’à l’état de déchet, le broyat noir doit être classé comme déchet dangereux. Cela conduira à </w:t>
      </w:r>
      <w:r>
        <w:rPr>
          <w:b/>
          <w:bCs/>
          <w:noProof/>
          <w:color w:val="000000" w:themeColor="text1"/>
        </w:rPr>
        <w:t>un meilleur contrôle des transferts de broyat noir et, en particulier, à une interdiction de son exportation vers des pays non membres de l’OCDE</w:t>
      </w:r>
      <w:r>
        <w:rPr>
          <w:noProof/>
          <w:color w:val="000000" w:themeColor="text1"/>
        </w:rPr>
        <w:t>. Un meilleur accès au broyat noir des batteries stimulera également le recyclage des batteries. Des mesures supplémentaires visant à faciliter les transferts intra-UE et à imposer de nouvelles restrictions à l’exportation seront envisagées.</w:t>
      </w:r>
    </w:p>
    <w:p w14:paraId="2695F59E" w14:textId="77777777" w:rsidR="00DB0E78" w:rsidRPr="00A173A7" w:rsidRDefault="00DB0E78" w:rsidP="00DB0E78">
      <w:pPr>
        <w:pStyle w:val="Text1"/>
        <w:spacing w:line="257" w:lineRule="auto"/>
        <w:ind w:left="0"/>
        <w:rPr>
          <w:noProof/>
        </w:rPr>
      </w:pPr>
      <w:r>
        <w:rPr>
          <w:noProof/>
        </w:rPr>
        <w:t xml:space="preserve">Enfin, une finalisation rapide du </w:t>
      </w:r>
      <w:r>
        <w:rPr>
          <w:b/>
          <w:bCs/>
          <w:noProof/>
        </w:rPr>
        <w:t>processus de codécision portant sur le règlement relatif à la gestion des véhicules hors d’usage</w:t>
      </w:r>
      <w:r>
        <w:rPr>
          <w:noProof/>
        </w:rPr>
        <w:t xml:space="preserve"> stimulera la circularité dans l’industrie automobile et améliorera la disponibilité de matériaux secondaires et de pièces de rechange usagées financièrement accessibles.</w:t>
      </w:r>
    </w:p>
    <w:p w14:paraId="61FC7E92" w14:textId="77777777" w:rsidR="00DB0E78" w:rsidRPr="00A173A7" w:rsidRDefault="00DB0E78" w:rsidP="00DB0E78">
      <w:pPr>
        <w:spacing w:after="240" w:line="257" w:lineRule="auto"/>
        <w:jc w:val="both"/>
        <w:rPr>
          <w:rFonts w:ascii="Times New Roman" w:hAnsi="Times New Roman"/>
          <w:b/>
          <w:noProof/>
          <w:sz w:val="24"/>
        </w:rPr>
      </w:pPr>
      <w:r>
        <w:rPr>
          <w:rFonts w:ascii="Times New Roman" w:hAnsi="Times New Roman"/>
          <w:b/>
          <w:noProof/>
          <w:sz w:val="24"/>
        </w:rPr>
        <w:t>Promouvoir la production européenne de composants</w:t>
      </w:r>
    </w:p>
    <w:p w14:paraId="2E908E84" w14:textId="77777777" w:rsidR="00DB0E78" w:rsidRDefault="00DB0E78" w:rsidP="00DB0E78">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Afin de stimuler la production européenne de composants essentiels pour véhicules, toute aide publique bénéficiant à l’industrie automobile sera subordonnée à des critères de résilience et de durabilité, qui seront proposés au quatrième trimestre de 2025 dans le cadre de l’acte législatif visant à accélérer la décarbonation de l’industrie. En outre, la Commission évaluera si ces critères pourraient également être appliqués dans le cadre de la passation de marchés privés. Cette approche s’impose également au vu de l’augmentation de la demande de composants pour véhicules en provenance du secteur de la défense, qui a absolument besoin d’un approvisionnement stable et sûr en pièces critiques. L’augmentation de la production européenne de composants pour véhicules devrait également réduire les risques de failles de sécurité, en garantissant l’intégrité des systèmes critiques. Pour des raisons de sécurité économique, cet aspect sera également important pour les composants de groupe motopropulseur électrique ainsi que d’autres composants essentiels pour véhicules connectés et automatisés.</w:t>
      </w:r>
    </w:p>
    <w:p w14:paraId="7AB831DF" w14:textId="77777777" w:rsidR="00DB0E78" w:rsidRDefault="00DB0E78" w:rsidP="00DB0E78">
      <w:pPr>
        <w:rPr>
          <w:rFonts w:ascii="Times New Roman" w:eastAsia="Times New Roman" w:hAnsi="Times New Roman" w:cs="Times New Roman"/>
          <w:noProof/>
          <w:sz w:val="24"/>
          <w:szCs w:val="24"/>
        </w:rPr>
      </w:pPr>
      <w:r>
        <w:rPr>
          <w:noProof/>
        </w:rPr>
        <w:br w:type="page"/>
      </w:r>
    </w:p>
    <w:p w14:paraId="075E22A3" w14:textId="77777777" w:rsidR="00DB0E78" w:rsidRPr="009B2504" w:rsidRDefault="00DB0E78" w:rsidP="00DB0E78">
      <w:pPr>
        <w:spacing w:after="240" w:line="257" w:lineRule="auto"/>
        <w:jc w:val="both"/>
        <w:rPr>
          <w:noProof/>
          <w:lang w:val="fr-BE"/>
        </w:rPr>
      </w:pPr>
    </w:p>
    <w:p w14:paraId="41638CF9" w14:textId="77777777" w:rsidR="00DB0E78" w:rsidRPr="00A173A7"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szCs w:val="24"/>
        </w:rPr>
      </w:pPr>
      <w:r>
        <w:rPr>
          <w:b/>
          <w:bCs/>
          <w:noProof/>
          <w:color w:val="000000" w:themeColor="text1"/>
        </w:rPr>
        <w:t>Actions phares</w:t>
      </w:r>
      <w:r>
        <w:rPr>
          <w:noProof/>
          <w:color w:val="000000" w:themeColor="text1"/>
        </w:rPr>
        <w:t xml:space="preserve">: </w:t>
      </w:r>
    </w:p>
    <w:p w14:paraId="23240A6B" w14:textId="77777777" w:rsidR="00DB0E78" w:rsidRPr="00A173A7"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Pr>
          <w:noProof/>
          <w:color w:val="000000" w:themeColor="text1"/>
        </w:rPr>
        <w:t xml:space="preserve">Train de mesures «Battery Booster»: </w:t>
      </w:r>
      <w:r>
        <w:rPr>
          <w:noProof/>
        </w:rPr>
        <w:t>soutien à la fabrication de batteries au titre du Fonds pour l’innovation et recherche de pistes pour un soutien direct à la production apporté par l’UE aux entreprises produisant des batteries dans l’UE, éventuellement combiné à des aides d’État, à des critères autres que le prix et à des exigences en matière de contenu européen, dans le respect des engagements juridiques internationaux de l’Union.</w:t>
      </w:r>
    </w:p>
    <w:p w14:paraId="38B07C2B" w14:textId="77777777" w:rsidR="00DB0E78" w:rsidRPr="00516909"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Pr>
          <w:noProof/>
          <w:color w:val="000000" w:themeColor="text1"/>
        </w:rPr>
        <w:t>Faciliter les investissements conjoints du secteur privé dans la chaîne de valeur en amont.</w:t>
      </w:r>
    </w:p>
    <w:p w14:paraId="65985A88" w14:textId="77777777" w:rsidR="00DB0E78" w:rsidRPr="00A173A7"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szCs w:val="24"/>
        </w:rPr>
      </w:pPr>
      <w:r>
        <w:rPr>
          <w:b/>
          <w:noProof/>
          <w:color w:val="000000" w:themeColor="text1"/>
        </w:rPr>
        <w:t>Autres actions:</w:t>
      </w:r>
    </w:p>
    <w:p w14:paraId="20D5F63D" w14:textId="77777777" w:rsidR="00DB0E78" w:rsidRPr="00A173A7"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Pr>
          <w:noProof/>
          <w:color w:val="000000" w:themeColor="text1"/>
        </w:rPr>
        <w:t>Finalisation rapide de la codécision sur le règlement relatif à la gestion des véhicules hors d’usage.</w:t>
      </w:r>
    </w:p>
    <w:p w14:paraId="4B544C0A" w14:textId="77777777" w:rsidR="00DB0E78"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rFonts w:eastAsiaTheme="minorEastAsia"/>
          <w:noProof/>
          <w:color w:val="000000" w:themeColor="text1"/>
        </w:rPr>
      </w:pPr>
      <w:r>
        <w:rPr>
          <w:noProof/>
          <w:color w:val="000000" w:themeColor="text1"/>
        </w:rPr>
        <w:t>Examen de la question du soutien financier en faveur des installations de recyclage des batteries et des véhicules hors d’usage.</w:t>
      </w:r>
    </w:p>
    <w:p w14:paraId="7BF5F937" w14:textId="77777777" w:rsidR="00DB0E78" w:rsidRPr="00A173A7" w:rsidRDefault="00DB0E78" w:rsidP="00DB0E7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Pr>
          <w:noProof/>
          <w:color w:val="000000" w:themeColor="text1"/>
        </w:rPr>
        <w:t>Poursuite du soutien au renforcement du recyclage.</w:t>
      </w:r>
    </w:p>
    <w:p w14:paraId="2666AE2A" w14:textId="77777777" w:rsidR="00DB0E78" w:rsidRPr="00A173A7" w:rsidRDefault="00DB0E78" w:rsidP="00DB0E78">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rPr>
      </w:pPr>
      <w:r>
        <w:rPr>
          <w:noProof/>
          <w:color w:val="000000" w:themeColor="text1"/>
        </w:rPr>
        <w:t>Critères de résilience et de durabilité applicables aux composants clés pour véhicules.</w:t>
      </w:r>
    </w:p>
    <w:p w14:paraId="4C344C69" w14:textId="77777777" w:rsidR="00DB0E78" w:rsidRPr="00A173A7" w:rsidRDefault="00DB0E78" w:rsidP="00DB0E78">
      <w:pPr>
        <w:pStyle w:val="Text1"/>
        <w:numPr>
          <w:ilvl w:val="1"/>
          <w:numId w:val="11"/>
        </w:numPr>
        <w:spacing w:line="257" w:lineRule="auto"/>
        <w:rPr>
          <w:b/>
          <w:bCs/>
          <w:noProof/>
          <w:color w:val="000000" w:themeColor="text1"/>
          <w:szCs w:val="24"/>
        </w:rPr>
      </w:pPr>
      <w:r>
        <w:rPr>
          <w:b/>
          <w:noProof/>
          <w:color w:val="000000" w:themeColor="text1"/>
        </w:rPr>
        <w:t xml:space="preserve">Compétences et dimension sociale </w:t>
      </w:r>
    </w:p>
    <w:p w14:paraId="0D64391B" w14:textId="77777777" w:rsidR="00DB0E78" w:rsidRPr="00A173A7" w:rsidRDefault="00DB0E78" w:rsidP="00DB0E78">
      <w:pPr>
        <w:spacing w:after="240" w:line="257"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Les déplacements de la demande et de la production intervenus récemment dans l’économie mondiale, ainsi que les chocs économiques et les risques et incertitudes géopolitiques ont eu une incidence profonde sur l’emploi dans le secteur automobile de l’UE. De nouvelles pertes d’emplois sont attendues dans les années à venir. En outre, les pénuries et inadéquations de compétences dans l’industrie automobile constituent une préoccupation majeure, au même titre que le vieillissement de la main-d’œuvre et la nécessité urgente de former des travailleurs et d’attirer de nouveaux profils de travailleurs dûment qualifiés. Les partenaires sociaux jouent un rôle capital dans l’anticipation et la gestion du changement, et les conventions collectives peuvent apporter des solutions pour faire face aux conséquences sur l’emploi et aux conséquences sociales des défis auxquels le secteur automobile est confronté. </w:t>
      </w:r>
    </w:p>
    <w:p w14:paraId="58EF75EE" w14:textId="77777777" w:rsidR="00DB0E78" w:rsidRPr="00A173A7" w:rsidRDefault="00DB0E78" w:rsidP="00DB0E78">
      <w:pPr>
        <w:spacing w:after="240" w:line="257"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Plusieurs initiatives au niveau de l’UE permettent aujourd’hui d’agir sur ces problèmes, telles que les financements au titre du Fonds social européen plus (FSE+) et du Fonds européen d’ajustement à la mondialisation (FEM). Les initiatives en matière de développement des compétences, telles que le pacte pour les compétences et l’alliance pour les compétences dans le secteur automobile, préparent les travailleurs aux profondes transitions en cours. Mais cela ne suffit pas. </w:t>
      </w:r>
    </w:p>
    <w:p w14:paraId="758C2358" w14:textId="77777777" w:rsidR="00DB0E78" w:rsidRPr="00A173A7" w:rsidRDefault="00DB0E78" w:rsidP="00DB0E78">
      <w:pPr>
        <w:spacing w:after="240" w:line="257"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créera un </w:t>
      </w:r>
      <w:r>
        <w:rPr>
          <w:rFonts w:ascii="Times New Roman" w:hAnsi="Times New Roman"/>
          <w:b/>
          <w:bCs/>
          <w:noProof/>
          <w:color w:val="000000" w:themeColor="text1"/>
          <w:sz w:val="24"/>
        </w:rPr>
        <w:t>observatoire européen de la transition équitable</w:t>
      </w:r>
      <w:r>
        <w:rPr>
          <w:rFonts w:ascii="Times New Roman" w:hAnsi="Times New Roman"/>
          <w:noProof/>
          <w:color w:val="000000" w:themeColor="text1"/>
          <w:sz w:val="24"/>
        </w:rPr>
        <w:t xml:space="preserve"> chargé de produire et de recueillir des données pertinentes, ainsi que d’établir des projections concernant les tendances de l’emploi tout au long de la chaîne de valeur automobile européenne et aux niveaux sectoriel et régional. En combinaison avec les données relatives à la structure démographique de la main-d’œuvre, cela permettra de recenser les futurs «points névralgiques» probables des délocalisations et de produire des informations précises en vue d’interventions prospectives visant à y remédier. </w:t>
      </w:r>
    </w:p>
    <w:p w14:paraId="1C34D8CA" w14:textId="77777777" w:rsidR="00DB0E78" w:rsidRPr="005D4CD7" w:rsidRDefault="00DB0E78" w:rsidP="00DB0E78">
      <w:pPr>
        <w:spacing w:after="240" w:line="257"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Afin d’apporter un meilleur soutien aux travailleurs touchés par les transitions, la Commission proposera, au printemps 2025, une </w:t>
      </w:r>
      <w:r>
        <w:rPr>
          <w:rFonts w:ascii="Times New Roman" w:hAnsi="Times New Roman"/>
          <w:b/>
          <w:bCs/>
          <w:noProof/>
          <w:color w:val="000000" w:themeColor="text1"/>
          <w:sz w:val="24"/>
        </w:rPr>
        <w:t>modification ciblée du règlement FEM visant à l’accélérer et à l’élargir</w:t>
      </w:r>
      <w:r>
        <w:rPr>
          <w:rFonts w:ascii="Times New Roman" w:hAnsi="Times New Roman"/>
          <w:noProof/>
          <w:color w:val="000000" w:themeColor="text1"/>
          <w:sz w:val="24"/>
        </w:rPr>
        <w:t>. Le champ d’application du règlement sera étendu pour accompagner les entreprises en phase de restructuration dans le but de protéger les travailleurs contre le risque de chômage. Cela pourrait conduire à une mobilisation plus rapide des fonds disponibles. Parallèlement, la Commission élabore en ce moment, en consultation avec les partenaires sociaux, une feuille de route pour des emplois de qualité, qui sera publiée vers la fin de l’année.</w:t>
      </w:r>
    </w:p>
    <w:p w14:paraId="326D6D90" w14:textId="77777777" w:rsidR="00DB0E78" w:rsidRPr="00A173A7" w:rsidRDefault="00DB0E78" w:rsidP="00DB0E78">
      <w:pPr>
        <w:spacing w:after="240" w:line="257"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Afin d’aider les États membres et les partenaires sectoriels à exploiter encore mieux les possibilités offertes par le </w:t>
      </w:r>
      <w:r>
        <w:rPr>
          <w:rFonts w:ascii="Times New Roman" w:hAnsi="Times New Roman"/>
          <w:b/>
          <w:bCs/>
          <w:noProof/>
          <w:color w:val="000000" w:themeColor="text1"/>
          <w:sz w:val="24"/>
        </w:rPr>
        <w:t>FSE+</w:t>
      </w:r>
      <w:r>
        <w:rPr>
          <w:rFonts w:ascii="Times New Roman" w:hAnsi="Times New Roman"/>
          <w:noProof/>
          <w:color w:val="000000" w:themeColor="text1"/>
          <w:sz w:val="24"/>
        </w:rPr>
        <w:t>, la Commission coopérera activement avec les partenaires sociaux et les États membres pour attirer l’attention sur les possibilités offertes par le FSE+ et mettre les acteurs en relation. Un appui sera notamment fourni aux travailleurs pour la recherche d’emplois dans des domaines autres que le secteur automobile et pour leur reconversion professionnelle. En outre, l’examen à mi-parcours du FSE+ sera mis à profit pour inciter les États membres à reprogrammer à la hausse le financement du secteur automobile, y compris par une éventuelle modification du règlement FSE+.</w:t>
      </w:r>
    </w:p>
    <w:p w14:paraId="2B10FF49" w14:textId="77777777" w:rsidR="00DB0E78" w:rsidRPr="00A173A7" w:rsidRDefault="00DB0E78" w:rsidP="00DB0E78">
      <w:pPr>
        <w:spacing w:after="240" w:line="257"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la perspective de l’union des compétences, </w:t>
      </w:r>
      <w:r>
        <w:rPr>
          <w:rFonts w:ascii="Times New Roman" w:hAnsi="Times New Roman"/>
          <w:b/>
          <w:bCs/>
          <w:noProof/>
          <w:color w:val="000000" w:themeColor="text1"/>
          <w:sz w:val="24"/>
        </w:rPr>
        <w:t>il est prévu de renforcer le cadre des initiatives sectorielles en matière de compétences dans les industries stratégiques sur lesquelles s’appuie le pacte pour une industrie propre</w:t>
      </w:r>
      <w:r>
        <w:rPr>
          <w:rFonts w:ascii="Times New Roman" w:hAnsi="Times New Roman"/>
          <w:noProof/>
          <w:color w:val="000000" w:themeColor="text1"/>
          <w:sz w:val="24"/>
        </w:rPr>
        <w:t xml:space="preserve">. En 2026, un soutien ciblé au moyen de subventions Erasmus+ d’un montant maximal de 90 millions d’EUR sera mis à disposition pour soutenir les partenariats à grande échelle en matière de compétences dans les secteurs concernés, parmi lesquels le partenariat à grande échelle en matière de compétences dans le secteur automobile au titre du pacte pour les compétences. </w:t>
      </w:r>
    </w:p>
    <w:p w14:paraId="461E626B" w14:textId="77777777" w:rsidR="00DB0E78" w:rsidRPr="00A173A7" w:rsidRDefault="00DB0E78" w:rsidP="00DB0E78">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rPr>
        <w:t>Actions phares</w:t>
      </w:r>
      <w:r>
        <w:rPr>
          <w:rFonts w:ascii="Times New Roman" w:hAnsi="Times New Roman"/>
          <w:noProof/>
          <w:color w:val="000000" w:themeColor="text1"/>
          <w:sz w:val="24"/>
        </w:rPr>
        <w:t>:</w:t>
      </w:r>
    </w:p>
    <w:p w14:paraId="16B286FA" w14:textId="77777777" w:rsidR="00DB0E78" w:rsidRDefault="00DB0E78" w:rsidP="00DB0E78">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Observatoire européen de la transition équitable.</w:t>
      </w:r>
    </w:p>
    <w:p w14:paraId="59F0F212" w14:textId="77777777" w:rsidR="00DB0E78" w:rsidRPr="00A173A7" w:rsidRDefault="00DB0E78" w:rsidP="00DB0E78">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Modifications juridiques apportées aux règlements FEM et FSE+.</w:t>
      </w:r>
    </w:p>
    <w:p w14:paraId="0B8380CC" w14:textId="77777777" w:rsidR="00DB0E78" w:rsidRDefault="00DB0E78" w:rsidP="00DB0E78">
      <w:pPr>
        <w:rPr>
          <w:rFonts w:ascii="Times New Roman" w:eastAsia="Times New Roman" w:hAnsi="Times New Roman" w:cs="Times New Roman"/>
          <w:b/>
          <w:bCs/>
          <w:noProof/>
          <w:color w:val="000000" w:themeColor="text1"/>
          <w:sz w:val="24"/>
          <w:szCs w:val="24"/>
          <w14:ligatures w14:val="none"/>
        </w:rPr>
      </w:pPr>
      <w:bookmarkStart w:id="4" w:name="_Hlk190363045"/>
    </w:p>
    <w:p w14:paraId="4EF0C6EF" w14:textId="77777777" w:rsidR="00DB0E78" w:rsidRPr="00A173A7" w:rsidRDefault="00DB0E78" w:rsidP="00DB0E78">
      <w:pPr>
        <w:pStyle w:val="Text1"/>
        <w:numPr>
          <w:ilvl w:val="1"/>
          <w:numId w:val="11"/>
        </w:numPr>
        <w:spacing w:line="257" w:lineRule="auto"/>
        <w:rPr>
          <w:b/>
          <w:noProof/>
          <w:color w:val="000000" w:themeColor="text1"/>
        </w:rPr>
      </w:pPr>
      <w:r>
        <w:rPr>
          <w:b/>
          <w:noProof/>
          <w:color w:val="000000" w:themeColor="text1"/>
        </w:rPr>
        <w:t>Renforcer notre accès au marché, assurer l’égalité des conditions de concurrence et garantir notre sécurité économique</w:t>
      </w:r>
    </w:p>
    <w:p w14:paraId="060C9AD7" w14:textId="77777777" w:rsidR="00DB0E78" w:rsidRPr="00A173A7" w:rsidRDefault="00DB0E78" w:rsidP="00DB0E78">
      <w:pPr>
        <w:spacing w:after="240" w:line="257" w:lineRule="auto"/>
        <w:jc w:val="both"/>
        <w:rPr>
          <w:rFonts w:ascii="Times New Roman" w:eastAsiaTheme="minorEastAsia" w:hAnsi="Times New Roman" w:cs="Times New Roman"/>
          <w:noProof/>
          <w:sz w:val="24"/>
          <w:szCs w:val="24"/>
        </w:rPr>
      </w:pPr>
      <w:r>
        <w:rPr>
          <w:rFonts w:ascii="Times New Roman" w:hAnsi="Times New Roman"/>
          <w:noProof/>
          <w:sz w:val="24"/>
        </w:rPr>
        <w:t>Le secteur automobile est d’envergure mondiale. Les exportations, les importations et les investissements jouent un rôle déterminant pour soutenir la compétitivité de l’industrie de l’UE. L’accès au marché étranger, l’égalité des conditions de concurrence avec les concurrents étrangers et l’existence d’un environnement économique et réglementaire propice sont essentiels pour assurer la réussite de l’industrie. À cette fin, l’UE mettra en œuvre plusieurs actions prioritaires spécifiquement dédiées au secteur automobile.</w:t>
      </w:r>
    </w:p>
    <w:p w14:paraId="2C9CDFAE" w14:textId="77777777" w:rsidR="00DB0E78" w:rsidRPr="00A173A7" w:rsidRDefault="00DB0E78" w:rsidP="00DB0E78">
      <w:pPr>
        <w:pStyle w:val="paragraph"/>
        <w:spacing w:before="0" w:beforeAutospacing="0" w:after="240" w:afterAutospacing="0" w:line="276" w:lineRule="auto"/>
        <w:jc w:val="both"/>
        <w:textAlignment w:val="baseline"/>
        <w:rPr>
          <w:noProof/>
        </w:rPr>
      </w:pPr>
      <w:r>
        <w:rPr>
          <w:rStyle w:val="normaltextrun"/>
          <w:b/>
          <w:noProof/>
        </w:rPr>
        <w:t>Diversifier l’approvisionnement, garantir l’accès aux marchés des pays tiers</w:t>
      </w:r>
      <w:r>
        <w:rPr>
          <w:rStyle w:val="eop"/>
          <w:noProof/>
        </w:rPr>
        <w:t> </w:t>
      </w:r>
      <w:r>
        <w:rPr>
          <w:b/>
          <w:bCs/>
          <w:noProof/>
        </w:rPr>
        <w:t>et renforcer la sécurité économique</w:t>
      </w:r>
    </w:p>
    <w:p w14:paraId="193DEB2F" w14:textId="77777777" w:rsidR="00DB0E78" w:rsidRPr="00A173A7" w:rsidRDefault="00DB0E78" w:rsidP="00DB0E78">
      <w:pPr>
        <w:pStyle w:val="Text1"/>
        <w:spacing w:line="257" w:lineRule="auto"/>
        <w:ind w:left="0"/>
        <w:rPr>
          <w:rFonts w:eastAsiaTheme="majorEastAsia"/>
          <w:b/>
          <w:noProof/>
          <w:color w:val="000000" w:themeColor="text1"/>
        </w:rPr>
      </w:pPr>
      <w:r>
        <w:rPr>
          <w:noProof/>
          <w:color w:val="000000" w:themeColor="text1"/>
        </w:rPr>
        <w:t xml:space="preserve">La Commission est déterminée à appliquer ses accords de libre-échange et à poursuivre ses partenariats internationaux mutuellement bénéfiques afin d’améliorer l’accès au marché et les possibilités d’approvisionnement, notamment en ce qui concerne les matériaux critiques pour l’industrie automobile européenne. La Commission évaluera l’efficacité des volets relatifs aux voitures dans les accords commerciaux et, le cas échéant, coopérera avec les partenaires commerciaux afin de poursuivre la convergence réglementaire sur la base des normes internationales. La Commission utilisera toutes les possibilités, en collaboration avec les parties prenantes, pour améliorer le soutien apporté au secteur au moyen d’autres formes d’interaction, telles que des accords de reconnaissance mutuelle, des partenariats stratégiques dans le domaine des matières premières critiques ou des partenariats pour des échanges et des investissements propres. Conformément aux recommandations du rapport Draghi, la Commission continuera de promouvoir l’harmonisation des réglementations techniques relatives aux véhicules au niveau mondial (CEE-ONU) et dans le cadre des accords commerciaux bilatéraux. </w:t>
      </w:r>
    </w:p>
    <w:p w14:paraId="77741CCC" w14:textId="77777777" w:rsidR="00DB0E78" w:rsidRPr="00A173A7" w:rsidRDefault="00DB0E78" w:rsidP="00DB0E78">
      <w:pPr>
        <w:pStyle w:val="paragraph"/>
        <w:spacing w:before="0" w:beforeAutospacing="0" w:after="240" w:afterAutospacing="0" w:line="276" w:lineRule="auto"/>
        <w:jc w:val="both"/>
        <w:textAlignment w:val="baseline"/>
        <w:rPr>
          <w:noProof/>
        </w:rPr>
      </w:pPr>
      <w:r>
        <w:rPr>
          <w:b/>
          <w:noProof/>
        </w:rPr>
        <w:t>Train de mesures pour l’égalité des conditions de concurrence</w:t>
      </w:r>
      <w:r>
        <w:rPr>
          <w:rStyle w:val="eop"/>
          <w:noProof/>
        </w:rPr>
        <w:t> </w:t>
      </w:r>
    </w:p>
    <w:p w14:paraId="3C81BD30" w14:textId="77777777" w:rsidR="00DB0E78" w:rsidRPr="00A173A7" w:rsidRDefault="00DB0E78" w:rsidP="00DB0E78">
      <w:pPr>
        <w:pStyle w:val="Text1"/>
        <w:spacing w:line="257" w:lineRule="auto"/>
        <w:ind w:left="0"/>
        <w:rPr>
          <w:rFonts w:eastAsiaTheme="majorEastAsia"/>
          <w:noProof/>
          <w:color w:val="000000" w:themeColor="text1"/>
        </w:rPr>
      </w:pPr>
      <w:r>
        <w:rPr>
          <w:noProof/>
          <w:color w:val="000000" w:themeColor="text1"/>
        </w:rPr>
        <w:t>La Commission veillera à améliorer de manière continue l’égalité des conditions de concurrence au moyen d’une boîte à outils renforcée, comprenant les éléments suivants.</w:t>
      </w:r>
    </w:p>
    <w:p w14:paraId="5843B6AC" w14:textId="77777777" w:rsidR="00DB0E78" w:rsidRDefault="00DB0E78" w:rsidP="00DB0E78">
      <w:pPr>
        <w:pStyle w:val="Text1"/>
        <w:spacing w:line="257" w:lineRule="auto"/>
        <w:ind w:left="0"/>
        <w:rPr>
          <w:rStyle w:val="normaltextrun"/>
          <w:rFonts w:eastAsiaTheme="majorEastAsia"/>
          <w:i/>
          <w:iCs/>
          <w:noProof/>
        </w:rPr>
      </w:pPr>
      <w:r>
        <w:rPr>
          <w:rStyle w:val="normaltextrun"/>
          <w:b/>
          <w:i/>
          <w:noProof/>
        </w:rPr>
        <w:t>Règles d'origine</w:t>
      </w:r>
      <w:r>
        <w:rPr>
          <w:rStyle w:val="normaltextrun"/>
          <w:i/>
          <w:noProof/>
        </w:rPr>
        <w:t> </w:t>
      </w:r>
    </w:p>
    <w:p w14:paraId="38C3D554" w14:textId="77777777" w:rsidR="00DB0E78" w:rsidRPr="00AF6FA8" w:rsidRDefault="00DB0E78" w:rsidP="00DB0E78">
      <w:pPr>
        <w:pStyle w:val="Text1"/>
        <w:spacing w:line="257" w:lineRule="auto"/>
        <w:ind w:left="0"/>
        <w:rPr>
          <w:rFonts w:eastAsiaTheme="majorEastAsia"/>
          <w:noProof/>
          <w:color w:val="000000" w:themeColor="text1"/>
        </w:rPr>
      </w:pPr>
      <w:r>
        <w:rPr>
          <w:noProof/>
          <w:color w:val="000000" w:themeColor="text1"/>
        </w:rPr>
        <w:t xml:space="preserve">Les règles d’origine préférentielles déterminent les conditions dans lesquelles des produits peuvent bénéficier d’un taux de droit nul ou réduit dans les accords commerciaux et dans les régimes préférentiels autonomes. Elles tendent à établir un équilibre entre les objectifs d’exportation et d’importation, qu’il convient d’analyser également au regard des chaînes d’approvisionnement considérées de manière cumulative. La Commission communiquera avec le secteur et les États membres sur </w:t>
      </w:r>
      <w:r>
        <w:rPr>
          <w:b/>
          <w:bCs/>
          <w:noProof/>
          <w:color w:val="000000" w:themeColor="text1"/>
        </w:rPr>
        <w:t>l’approche appliquée aux règles d’origine préférentielles</w:t>
      </w:r>
      <w:r>
        <w:rPr>
          <w:noProof/>
          <w:color w:val="000000" w:themeColor="text1"/>
        </w:rPr>
        <w:t xml:space="preserve"> afin de garantir qu’elles apportent leur concours et leur soutien à la compétitivité à long terme du secteur automobile de l’UE.</w:t>
      </w:r>
    </w:p>
    <w:p w14:paraId="4BDBC01F" w14:textId="77777777" w:rsidR="00DB0E78" w:rsidRPr="00A173A7" w:rsidRDefault="00DB0E78" w:rsidP="00DB0E78">
      <w:pPr>
        <w:pStyle w:val="Text1"/>
        <w:spacing w:line="257" w:lineRule="auto"/>
        <w:ind w:left="0"/>
        <w:rPr>
          <w:rFonts w:eastAsiaTheme="majorEastAsia"/>
          <w:noProof/>
          <w:color w:val="000000" w:themeColor="text1"/>
        </w:rPr>
      </w:pPr>
      <w:r>
        <w:rPr>
          <w:noProof/>
          <w:color w:val="000000" w:themeColor="text1"/>
        </w:rPr>
        <w:t xml:space="preserve">La Commission examinera l’opportunité de définir des </w:t>
      </w:r>
      <w:r>
        <w:rPr>
          <w:b/>
          <w:bCs/>
          <w:noProof/>
          <w:color w:val="000000" w:themeColor="text1"/>
        </w:rPr>
        <w:t>règles d’origine spécifiques à titre de mesures de défense commerciale</w:t>
      </w:r>
      <w:r>
        <w:rPr>
          <w:noProof/>
          <w:color w:val="000000" w:themeColor="text1"/>
        </w:rPr>
        <w:t xml:space="preserve"> pour l’écosystème des véhicules électriques en tant qu’outil visant à décourager les acteurs se livrant à des pratiques déloyales d’établir des installations dans des pays tiers, notamment des pays bénéficiant d’un accès préférentiel au marché de l’UE.  </w:t>
      </w:r>
    </w:p>
    <w:p w14:paraId="48663F7A" w14:textId="77777777" w:rsidR="00DB0E78" w:rsidRDefault="00DB0E78" w:rsidP="00DB0E78">
      <w:pPr>
        <w:pStyle w:val="paragraph"/>
        <w:spacing w:before="0" w:beforeAutospacing="0" w:after="240" w:afterAutospacing="0" w:line="276" w:lineRule="auto"/>
        <w:jc w:val="both"/>
        <w:textAlignment w:val="baseline"/>
        <w:rPr>
          <w:rStyle w:val="normaltextrun"/>
          <w:rFonts w:eastAsiaTheme="majorEastAsia"/>
          <w:b/>
          <w:bCs/>
          <w:i/>
          <w:iCs/>
          <w:noProof/>
        </w:rPr>
      </w:pPr>
      <w:r>
        <w:rPr>
          <w:rStyle w:val="normaltextrun"/>
          <w:b/>
          <w:i/>
          <w:noProof/>
        </w:rPr>
        <w:t>Instruments de défense commerciale</w:t>
      </w:r>
    </w:p>
    <w:p w14:paraId="159DF979" w14:textId="77777777" w:rsidR="00DB0E78" w:rsidRPr="00A173A7" w:rsidRDefault="00DB0E78" w:rsidP="00DB0E78">
      <w:pPr>
        <w:pStyle w:val="paragraph"/>
        <w:spacing w:before="0" w:beforeAutospacing="0" w:after="240" w:afterAutospacing="0" w:line="276" w:lineRule="auto"/>
        <w:jc w:val="both"/>
        <w:textAlignment w:val="baseline"/>
        <w:rPr>
          <w:rFonts w:eastAsiaTheme="majorEastAsia"/>
          <w:noProof/>
          <w:color w:val="000000" w:themeColor="text1"/>
        </w:rPr>
      </w:pPr>
      <w:r>
        <w:rPr>
          <w:noProof/>
          <w:color w:val="000000" w:themeColor="text1"/>
        </w:rPr>
        <w:t>La Commission a institué des droits compensateurs sur les importations de véhicules électriques chinois afin de lutter contre les pratiques commerciales déloyales et se tient prête à ouvrir une enquête anticontournement si elle reçoit des preuves suffisantes indiquant l’existence de pratiques de contournement compromettant l’efficacité de la mesure. En outre, la Commission reste disposée à poursuivre ses contacts avec les producteurs individuels en ce qui concerne les engagements de prix pour les mesures compensatoires applicables aux véhicules électriques à batteries en provenance de Chine, conformément au règlement antisubventions de base. </w:t>
      </w:r>
    </w:p>
    <w:p w14:paraId="68785BBD" w14:textId="77777777" w:rsidR="00DB0E78" w:rsidRPr="00A173A7" w:rsidRDefault="00DB0E78" w:rsidP="00DB0E78">
      <w:pPr>
        <w:pStyle w:val="Text1"/>
        <w:spacing w:line="257" w:lineRule="auto"/>
        <w:ind w:left="0"/>
        <w:rPr>
          <w:noProof/>
          <w:color w:val="000000" w:themeColor="text1"/>
        </w:rPr>
      </w:pPr>
      <w:r>
        <w:rPr>
          <w:noProof/>
          <w:color w:val="000000" w:themeColor="text1"/>
        </w:rPr>
        <w:t xml:space="preserve">La Commission est également résolue à recourir aux </w:t>
      </w:r>
      <w:r>
        <w:rPr>
          <w:b/>
          <w:bCs/>
          <w:noProof/>
          <w:color w:val="000000" w:themeColor="text1"/>
        </w:rPr>
        <w:t>instruments de défense commerciale</w:t>
      </w:r>
      <w:r>
        <w:rPr>
          <w:noProof/>
          <w:color w:val="000000" w:themeColor="text1"/>
        </w:rPr>
        <w:t xml:space="preserve"> et au </w:t>
      </w:r>
      <w:r>
        <w:rPr>
          <w:b/>
          <w:bCs/>
          <w:noProof/>
          <w:color w:val="000000" w:themeColor="text1"/>
        </w:rPr>
        <w:t>règlement relatif aux subventions étrangères</w:t>
      </w:r>
      <w:r>
        <w:rPr>
          <w:noProof/>
          <w:color w:val="000000" w:themeColor="text1"/>
        </w:rPr>
        <w:t xml:space="preserve"> pour enquêter sur les pratiques déloyales en amont de la chaîne d’approvisionnement, y compris dans le segment des batteries et des pièces détachées, le cas échéant. </w:t>
      </w:r>
    </w:p>
    <w:p w14:paraId="6C64581F" w14:textId="77777777" w:rsidR="00DB0E78" w:rsidRPr="00A173A7" w:rsidRDefault="00DB0E78" w:rsidP="00DB0E78">
      <w:pPr>
        <w:pStyle w:val="paragraph"/>
        <w:spacing w:before="0" w:beforeAutospacing="0" w:after="240" w:afterAutospacing="0" w:line="276" w:lineRule="auto"/>
        <w:jc w:val="both"/>
        <w:textAlignment w:val="baseline"/>
        <w:rPr>
          <w:i/>
          <w:iCs/>
          <w:noProof/>
        </w:rPr>
      </w:pPr>
      <w:r>
        <w:rPr>
          <w:rStyle w:val="normaltextrun"/>
          <w:b/>
          <w:i/>
          <w:noProof/>
        </w:rPr>
        <w:t>Renforcer la contribution des investissements étrangers à la compétitivité européenne</w:t>
      </w:r>
      <w:r>
        <w:rPr>
          <w:rStyle w:val="eop"/>
          <w:i/>
          <w:noProof/>
          <w:color w:val="D13438"/>
        </w:rPr>
        <w:t> </w:t>
      </w:r>
    </w:p>
    <w:p w14:paraId="60957DC5" w14:textId="77777777" w:rsidR="00DB0E78" w:rsidRPr="00A173A7" w:rsidRDefault="00DB0E78" w:rsidP="00DB0E78">
      <w:pPr>
        <w:pStyle w:val="Text1"/>
        <w:spacing w:line="257" w:lineRule="auto"/>
        <w:ind w:left="0"/>
        <w:rPr>
          <w:rFonts w:eastAsiaTheme="majorEastAsia"/>
          <w:noProof/>
          <w:color w:val="000000" w:themeColor="text1"/>
        </w:rPr>
      </w:pPr>
      <w:bookmarkStart w:id="5" w:name="_Hlk190362611"/>
      <w:r>
        <w:rPr>
          <w:noProof/>
          <w:color w:val="000000" w:themeColor="text1"/>
        </w:rPr>
        <w:t xml:space="preserve">La Commission s’efforcera de faire en sorte que les investissements étrangers dans le secteur automobile contribuent plus fortement à la compétitivité à long terme de l’industrie de l’UE, à son avance technologique et à sa résilience économique, ainsi qu’à la création d’emplois de qualité dans l’Union. </w:t>
      </w:r>
      <w:bookmarkEnd w:id="5"/>
      <w:r>
        <w:rPr>
          <w:noProof/>
          <w:color w:val="000000" w:themeColor="text1"/>
        </w:rPr>
        <w:t xml:space="preserve">En conséquence, </w:t>
      </w:r>
      <w:r>
        <w:rPr>
          <w:b/>
          <w:bCs/>
          <w:noProof/>
          <w:color w:val="000000" w:themeColor="text1"/>
        </w:rPr>
        <w:t>la Commission proposera, en coopération avec les États membres et le secteur, des conditions garantissant que les investissements étrangers entrants dans le secteur automobile apportent une valeur ajoutée accrue à l’UE.</w:t>
      </w:r>
      <w:r>
        <w:rPr>
          <w:b/>
          <w:noProof/>
          <w:color w:val="000000" w:themeColor="text1"/>
        </w:rPr>
        <w:t xml:space="preserve"> </w:t>
      </w:r>
      <w:r>
        <w:rPr>
          <w:noProof/>
          <w:color w:val="000000" w:themeColor="text1"/>
        </w:rPr>
        <w:t>Il pourrait s’agir, par exemple, de conditions de coentreprise, d’exigences en matière d’encadrement supérieur, de facilitation d’accords qui répondent aux besoins de l’industrie de l’UE (tels que des accords sur l’achat de la production, les services de licence et les redevances avec des partenaires étrangers), de l’octroi de licences couvrant les technologies ou la propriété intellectuelle, d’engagements à fournir des intrants essentiels. L’un des domaines prioritaires à cet égard sera la chaîne d’approvisionnement des batteries.  </w:t>
      </w:r>
    </w:p>
    <w:p w14:paraId="6206C69B" w14:textId="77777777" w:rsidR="00DB0E78" w:rsidRPr="00A173A7" w:rsidRDefault="00DB0E78" w:rsidP="00DB0E78">
      <w:pPr>
        <w:pStyle w:val="Text1"/>
        <w:spacing w:line="257" w:lineRule="auto"/>
        <w:ind w:left="0"/>
        <w:rPr>
          <w:rFonts w:eastAsiaTheme="majorEastAsia"/>
          <w:noProof/>
          <w:color w:val="000000" w:themeColor="text1"/>
          <w:szCs w:val="24"/>
        </w:rPr>
      </w:pPr>
      <w:r>
        <w:rPr>
          <w:noProof/>
          <w:color w:val="000000" w:themeColor="text1"/>
        </w:rPr>
        <w:t>En marge des travaux en cours sur les investissements étrangers, la Commission et les États membres veilleront à ce que les investissements directs étrangers soient utilisés pour créer de la valeur ajoutée en Europe, en particulier en cas de financement public, et imposeront des conditions claires contribuant à combler les lacunes liées au savoir-faire et à l’expertise en matière de production, notamment par des mécanismes efficaces de transfert de propriété intellectuelle et de compétences, ainsi que le recrutement de personnel basé dans l’UE et le recours aux chaînes d’approvisionnement locales.</w:t>
      </w:r>
    </w:p>
    <w:p w14:paraId="38FE128F" w14:textId="77777777" w:rsidR="00DB0E78" w:rsidRPr="00A173A7" w:rsidRDefault="00DB0E78" w:rsidP="00DB0E78">
      <w:pPr>
        <w:pStyle w:val="paragraph"/>
        <w:spacing w:before="0" w:beforeAutospacing="0" w:after="240" w:afterAutospacing="0" w:line="276" w:lineRule="auto"/>
        <w:jc w:val="both"/>
        <w:textAlignment w:val="baseline"/>
        <w:rPr>
          <w:noProof/>
        </w:rPr>
      </w:pPr>
      <w:r>
        <w:rPr>
          <w:rStyle w:val="normaltextrun"/>
          <w:b/>
          <w:noProof/>
          <w:color w:val="000000" w:themeColor="text1"/>
        </w:rPr>
        <w:t>Train de mesures pour la simplification</w:t>
      </w:r>
    </w:p>
    <w:p w14:paraId="061AC128" w14:textId="77777777" w:rsidR="00DB0E78" w:rsidRPr="00A173A7" w:rsidRDefault="00DB0E78" w:rsidP="00DB0E78">
      <w:pPr>
        <w:pStyle w:val="Text1"/>
        <w:spacing w:line="257" w:lineRule="auto"/>
        <w:ind w:left="0"/>
        <w:rPr>
          <w:rFonts w:eastAsia="Aptos"/>
          <w:noProof/>
          <w:color w:val="000000" w:themeColor="text1"/>
        </w:rPr>
      </w:pPr>
      <w:r>
        <w:rPr>
          <w:noProof/>
        </w:rPr>
        <w:t xml:space="preserve">Le cadre réglementaire existant apporte de la prévisibilité et contribue à la réalisation de nos objectifs stratégiques communs. Il faut cependant éviter qu’il fasse peser une charge et des coûts excessifs sur les entreprises, en particulier les PME au sein de la chaîne d’approvisionnement et du secteur de l’après-vente. Dans le cadre du programme de simplification de la réglementation, la Commission, en consultation avec les parties prenantes, prendra des mesures en vue d’établir un </w:t>
      </w:r>
      <w:r>
        <w:rPr>
          <w:b/>
          <w:bCs/>
          <w:noProof/>
        </w:rPr>
        <w:t>train de mesures pour la simplification de la réglementation applicable au secteur automobile</w:t>
      </w:r>
      <w:r>
        <w:rPr>
          <w:noProof/>
        </w:rPr>
        <w:t xml:space="preserve">, en améliorant la cohérence et l’harmonie entre les différentes exigences réglementaires. </w:t>
      </w:r>
      <w:bookmarkStart w:id="6" w:name="_Hlk191573968"/>
      <w:r>
        <w:rPr>
          <w:noProof/>
        </w:rPr>
        <w:t xml:space="preserve">Par ailleurs, lors de l’élaboration de nouvelles propositions législatives, la Commission entend ménager un délai suffisant pour permettre aux entreprises de tenir compte de ces nouvelles exigences réglementaires applicables aux véhicules à moteur dans le processus de développement des produits. Une évaluation du règlement relatif à la réception et à la surveillance du marché des véhicules à moteur (c’est-à-dire la législation relative à la réception par type) prévue en 2026 mettra particulièrement l’accent sur les possibilités de simplification. </w:t>
      </w:r>
      <w:bookmarkEnd w:id="6"/>
    </w:p>
    <w:p w14:paraId="4B70E0C4" w14:textId="77777777" w:rsidR="00DB0E78" w:rsidRPr="00A173A7" w:rsidRDefault="00DB0E78" w:rsidP="00DB0E78">
      <w:pPr>
        <w:pStyle w:val="paragraph"/>
        <w:spacing w:before="0" w:beforeAutospacing="0" w:after="240" w:afterAutospacing="0" w:line="276" w:lineRule="auto"/>
        <w:jc w:val="both"/>
        <w:textAlignment w:val="baseline"/>
        <w:rPr>
          <w:rFonts w:eastAsiaTheme="majorEastAsia"/>
          <w:noProof/>
          <w:color w:val="000000" w:themeColor="text1"/>
        </w:rPr>
      </w:pPr>
      <w:r>
        <w:rPr>
          <w:noProof/>
          <w:color w:val="000000" w:themeColor="text1"/>
        </w:rPr>
        <w:t>Le contrôle de l’application du cadre réglementaire applicable aux véhicules à moteur est important pour garantir des conditions de concurrence équitables et éviter d’une manière générale le contournement des règles applicables de l’UE. Bien qu’il s’agisse d’une responsabilité incombant principalement aux autorités nationales compétentes pour la réception par type, la Commission collaborera avec les États membres pour combler les lacunes éventuelles du cadre réglementaire, par exemple dans les divers systèmes de réception par type de véhicules.  </w:t>
      </w:r>
    </w:p>
    <w:tbl>
      <w:tblPr>
        <w:tblStyle w:val="TableGrid"/>
        <w:tblW w:w="0" w:type="auto"/>
        <w:tblLook w:val="04A0" w:firstRow="1" w:lastRow="0" w:firstColumn="1" w:lastColumn="0" w:noHBand="0" w:noVBand="1"/>
      </w:tblPr>
      <w:tblGrid>
        <w:gridCol w:w="9016"/>
      </w:tblGrid>
      <w:tr w:rsidR="00DB0E78" w:rsidRPr="00363175" w14:paraId="38C8F9C2" w14:textId="77777777" w:rsidTr="003262EE">
        <w:tc>
          <w:tcPr>
            <w:tcW w:w="9016" w:type="dxa"/>
          </w:tcPr>
          <w:p w14:paraId="446B92C0" w14:textId="77777777" w:rsidR="00DB0E78" w:rsidRPr="00A173A7" w:rsidRDefault="00DB0E78" w:rsidP="003262EE">
            <w:pPr>
              <w:pStyle w:val="Text1"/>
              <w:spacing w:after="120" w:line="257" w:lineRule="auto"/>
              <w:ind w:left="0"/>
              <w:rPr>
                <w:noProof/>
                <w:color w:val="000000" w:themeColor="text1"/>
                <w:szCs w:val="24"/>
              </w:rPr>
            </w:pPr>
            <w:r>
              <w:rPr>
                <w:b/>
                <w:bCs/>
                <w:noProof/>
                <w:color w:val="000000" w:themeColor="text1"/>
              </w:rPr>
              <w:t>Actions phares</w:t>
            </w:r>
            <w:r>
              <w:rPr>
                <w:noProof/>
                <w:color w:val="000000" w:themeColor="text1"/>
              </w:rPr>
              <w:t>:</w:t>
            </w:r>
          </w:p>
          <w:p w14:paraId="6DE99787" w14:textId="77777777" w:rsidR="00DB0E78" w:rsidRPr="00A174CF" w:rsidRDefault="00DB0E78" w:rsidP="003262EE">
            <w:pPr>
              <w:pStyle w:val="Text1"/>
              <w:spacing w:after="120" w:line="257" w:lineRule="auto"/>
              <w:ind w:left="0"/>
              <w:rPr>
                <w:noProof/>
                <w:color w:val="000000" w:themeColor="text1"/>
              </w:rPr>
            </w:pPr>
            <w:r>
              <w:rPr>
                <w:noProof/>
                <w:color w:val="000000" w:themeColor="text1"/>
              </w:rPr>
              <w:t>Examiner l’opportunité d’attacher des conditions aux investissements étrangers entrants dans le secteur automobile, notamment en cas de financement public.</w:t>
            </w:r>
          </w:p>
          <w:p w14:paraId="356716B2" w14:textId="77777777" w:rsidR="00DB0E78" w:rsidRPr="00A174CF" w:rsidRDefault="00DB0E78" w:rsidP="003262EE">
            <w:pPr>
              <w:pStyle w:val="Text1"/>
              <w:spacing w:after="120" w:line="257" w:lineRule="auto"/>
              <w:ind w:left="0"/>
              <w:rPr>
                <w:noProof/>
                <w:color w:val="000000" w:themeColor="text1"/>
              </w:rPr>
            </w:pPr>
            <w:r>
              <w:rPr>
                <w:noProof/>
                <w:color w:val="000000" w:themeColor="text1"/>
              </w:rPr>
              <w:t>Simplification de la réglementation.</w:t>
            </w:r>
          </w:p>
          <w:p w14:paraId="4EDE7FDB" w14:textId="77777777" w:rsidR="00DB0E78" w:rsidRPr="00A173A7" w:rsidRDefault="00DB0E78" w:rsidP="003262EE">
            <w:pPr>
              <w:pStyle w:val="Text1"/>
              <w:spacing w:after="120" w:line="257" w:lineRule="auto"/>
              <w:ind w:left="0"/>
              <w:rPr>
                <w:b/>
                <w:bCs/>
                <w:noProof/>
                <w:color w:val="000000" w:themeColor="text1"/>
                <w:szCs w:val="24"/>
              </w:rPr>
            </w:pPr>
            <w:r>
              <w:rPr>
                <w:b/>
                <w:noProof/>
                <w:color w:val="000000" w:themeColor="text1"/>
              </w:rPr>
              <w:t>Autres actions:</w:t>
            </w:r>
          </w:p>
          <w:p w14:paraId="48DBE28E" w14:textId="77777777" w:rsidR="00DB0E78" w:rsidRPr="00A174CF" w:rsidRDefault="00DB0E78" w:rsidP="003262EE">
            <w:pPr>
              <w:pStyle w:val="Text1"/>
              <w:spacing w:after="120" w:line="257" w:lineRule="auto"/>
              <w:ind w:left="0"/>
              <w:rPr>
                <w:noProof/>
                <w:color w:val="000000" w:themeColor="text1"/>
              </w:rPr>
            </w:pPr>
            <w:r>
              <w:rPr>
                <w:noProof/>
                <w:color w:val="000000" w:themeColor="text1"/>
              </w:rPr>
              <w:t>Poursuivre les négociations en vue de la conclusion d’ALE et de partenariats internationaux mutuellement bénéfiques afin d’améliorer l’accès au marché et les possibilités d’approvisionnement pour l’industrie automobile de l’UE.</w:t>
            </w:r>
          </w:p>
          <w:p w14:paraId="368F2DF0" w14:textId="77777777" w:rsidR="00DB0E78" w:rsidRPr="00A174CF" w:rsidRDefault="00DB0E78" w:rsidP="003262EE">
            <w:pPr>
              <w:pStyle w:val="Text1"/>
              <w:spacing w:after="120" w:line="257" w:lineRule="auto"/>
              <w:ind w:left="0"/>
              <w:rPr>
                <w:noProof/>
                <w:color w:val="000000" w:themeColor="text1"/>
              </w:rPr>
            </w:pPr>
            <w:r>
              <w:rPr>
                <w:noProof/>
                <w:color w:val="000000" w:themeColor="text1"/>
              </w:rPr>
              <w:t>Développer davantage la coopération au moyen de partenariats pour des échanges et des investissements propres et de partenariats stratégiques afin de garantir un meilleur accès aux minerais pour batteries.</w:t>
            </w:r>
          </w:p>
          <w:p w14:paraId="2DE22D8D" w14:textId="77777777" w:rsidR="00DB0E78" w:rsidRPr="00A174CF" w:rsidRDefault="00DB0E78" w:rsidP="003262EE">
            <w:pPr>
              <w:pStyle w:val="Text1"/>
              <w:spacing w:after="120" w:line="257" w:lineRule="auto"/>
              <w:ind w:left="0"/>
              <w:rPr>
                <w:noProof/>
                <w:color w:val="000000" w:themeColor="text1"/>
              </w:rPr>
            </w:pPr>
            <w:r>
              <w:rPr>
                <w:noProof/>
                <w:color w:val="000000" w:themeColor="text1"/>
              </w:rPr>
              <w:t>Communiquer avec le secteur et les États membres sur l’approche appliquée aux règles d’origine préférentielles dans le cadre des ALE.</w:t>
            </w:r>
          </w:p>
          <w:p w14:paraId="58FA3A23" w14:textId="77777777" w:rsidR="00DB0E78" w:rsidRPr="00A174CF" w:rsidRDefault="00DB0E78" w:rsidP="003262EE">
            <w:pPr>
              <w:pStyle w:val="Text1"/>
              <w:spacing w:after="120" w:line="257" w:lineRule="auto"/>
              <w:ind w:left="0"/>
              <w:rPr>
                <w:noProof/>
                <w:color w:val="000000" w:themeColor="text1"/>
              </w:rPr>
            </w:pPr>
            <w:r>
              <w:rPr>
                <w:noProof/>
                <w:color w:val="000000" w:themeColor="text1"/>
              </w:rPr>
              <w:t xml:space="preserve">Examiner l’opportunité de définir des règles d’origine spécifiques à titre de mesures de défense commerciale pour l’écosystème des véhicules électriques. </w:t>
            </w:r>
          </w:p>
          <w:p w14:paraId="1295283C" w14:textId="77777777" w:rsidR="00DB0E78" w:rsidRPr="00A174CF" w:rsidRDefault="00DB0E78" w:rsidP="003262EE">
            <w:pPr>
              <w:pStyle w:val="Text1"/>
              <w:spacing w:after="120" w:line="257" w:lineRule="auto"/>
              <w:ind w:left="0"/>
              <w:rPr>
                <w:rStyle w:val="normaltextrun"/>
                <w:rFonts w:eastAsiaTheme="majorEastAsia"/>
                <w:noProof/>
              </w:rPr>
            </w:pPr>
            <w:r>
              <w:rPr>
                <w:rStyle w:val="normaltextrun"/>
                <w:noProof/>
              </w:rPr>
              <w:t>Surveiller l’application de la mesure compensatoire applicable aux importations de véhicules électriques chinois et entreprendre une enquête anticontournement s’il y a lieu.</w:t>
            </w:r>
          </w:p>
          <w:p w14:paraId="7F353F43" w14:textId="77777777" w:rsidR="00DB0E78" w:rsidRPr="00A173A7" w:rsidRDefault="00DB0E78" w:rsidP="003262EE">
            <w:pPr>
              <w:pStyle w:val="paragraph"/>
              <w:spacing w:before="0" w:beforeAutospacing="0" w:after="240" w:afterAutospacing="0" w:line="276" w:lineRule="auto"/>
              <w:jc w:val="both"/>
              <w:textAlignment w:val="baseline"/>
              <w:rPr>
                <w:noProof/>
              </w:rPr>
            </w:pPr>
            <w:r>
              <w:rPr>
                <w:rStyle w:val="normaltextrun"/>
                <w:noProof/>
              </w:rPr>
              <w:t>Recourir aux instruments de défense commerciale et au règlement relatif aux subventions étrangères pour lutter contre les pratiques déloyales dans le segment des batteries et des pièces détachées, le cas échéant.</w:t>
            </w:r>
          </w:p>
        </w:tc>
      </w:tr>
      <w:bookmarkEnd w:id="4"/>
    </w:tbl>
    <w:p w14:paraId="11224A3E" w14:textId="77777777" w:rsidR="00DB0E78" w:rsidRPr="009B2504" w:rsidRDefault="00DB0E78" w:rsidP="00DB0E78">
      <w:pPr>
        <w:pStyle w:val="Text1"/>
        <w:spacing w:line="257" w:lineRule="auto"/>
        <w:ind w:left="0"/>
        <w:rPr>
          <w:noProof/>
          <w:color w:val="000000" w:themeColor="text1"/>
          <w:szCs w:val="24"/>
          <w:lang w:val="fr-BE"/>
        </w:rPr>
      </w:pPr>
    </w:p>
    <w:p w14:paraId="6B86D9ED" w14:textId="77777777" w:rsidR="00DB0E78" w:rsidRPr="00A173A7" w:rsidRDefault="00DB0E78" w:rsidP="00DB0E78">
      <w:pPr>
        <w:pStyle w:val="Text1"/>
        <w:numPr>
          <w:ilvl w:val="0"/>
          <w:numId w:val="9"/>
        </w:numPr>
        <w:spacing w:line="257" w:lineRule="auto"/>
        <w:ind w:left="0" w:firstLine="0"/>
        <w:rPr>
          <w:b/>
          <w:bCs/>
          <w:noProof/>
          <w:color w:val="000000" w:themeColor="text1"/>
          <w:szCs w:val="24"/>
        </w:rPr>
      </w:pPr>
      <w:r>
        <w:rPr>
          <w:b/>
          <w:noProof/>
          <w:color w:val="000000" w:themeColor="text1"/>
        </w:rPr>
        <w:t>Conclusions – étapes suivantes</w:t>
      </w:r>
    </w:p>
    <w:p w14:paraId="2F635C26" w14:textId="77777777" w:rsidR="00DB0E78" w:rsidRPr="00A173A7" w:rsidRDefault="00DB0E78" w:rsidP="00DB0E78">
      <w:pPr>
        <w:pStyle w:val="Text1"/>
        <w:spacing w:line="257" w:lineRule="auto"/>
        <w:ind w:left="0"/>
        <w:rPr>
          <w:noProof/>
          <w:color w:val="000000" w:themeColor="text1"/>
        </w:rPr>
      </w:pPr>
      <w:r>
        <w:rPr>
          <w:noProof/>
          <w:color w:val="000000" w:themeColor="text1"/>
        </w:rPr>
        <w:t>La Commission informera le Parlement européen et le Conseil sur le présent plan d’action et les actions proposées et les invite à permettre une mise en œuvre rapide des modifications ciblées proposées.</w:t>
      </w:r>
    </w:p>
    <w:p w14:paraId="11D2EBCF" w14:textId="77777777" w:rsidR="00DB0E78" w:rsidRPr="00252AC5" w:rsidRDefault="00DB0E78" w:rsidP="00DB0E78">
      <w:pPr>
        <w:pStyle w:val="Text1"/>
        <w:spacing w:after="0" w:line="257" w:lineRule="auto"/>
        <w:ind w:left="0"/>
        <w:rPr>
          <w:noProof/>
          <w:color w:val="000000" w:themeColor="text1"/>
        </w:rPr>
      </w:pPr>
      <w:r>
        <w:rPr>
          <w:noProof/>
          <w:color w:val="000000" w:themeColor="text1"/>
        </w:rPr>
        <w:t>Le présent plan d’action repose sur d’importantes contributions recueillies auprès d’entreprises du secteur automobile, d’associations professionnelles, de représentants de la société civile et de chercheurs à l’occasion de dialogues et de tables rondes, ainsi qu’à l’occasion de la consultation publique ouverte</w:t>
      </w:r>
      <w:r>
        <w:rPr>
          <w:rStyle w:val="FootnoteReference"/>
          <w:noProof/>
          <w:color w:val="000000" w:themeColor="text1"/>
          <w:lang w:val="en-IE"/>
        </w:rPr>
        <w:footnoteReference w:id="7"/>
      </w:r>
      <w:r>
        <w:rPr>
          <w:noProof/>
          <w:color w:val="000000" w:themeColor="text1"/>
        </w:rPr>
        <w:t xml:space="preserve">. Un suivi attentif et une mise en œuvre rapide des mesures proposées sont désormais de la plus haute importance. La Commission continuera à collaborer avec les parties prenantes en organisant des dialogues réguliers, en vue de procéder à un échange de vues sur la mise en œuvre des mesures à court et à moyen terme décrites dans le plan et de recueillir des réactions et des informations sur l’évolution récente du marché. </w:t>
      </w:r>
    </w:p>
    <w:p w14:paraId="1FBF7270" w14:textId="053545C8" w:rsidR="008B0308" w:rsidRPr="00DB0E78" w:rsidRDefault="008B0308" w:rsidP="00DB0E78">
      <w:pPr>
        <w:pStyle w:val="paragraph"/>
        <w:spacing w:before="0" w:beforeAutospacing="0" w:after="240" w:afterAutospacing="0"/>
        <w:jc w:val="both"/>
        <w:rPr>
          <w:noProof/>
          <w:color w:val="000000" w:themeColor="text1"/>
        </w:rPr>
      </w:pPr>
    </w:p>
    <w:sectPr w:rsidR="008B0308" w:rsidRPr="00DB0E78" w:rsidSect="00CF1955">
      <w:headerReference w:type="even" r:id="rId17"/>
      <w:headerReference w:type="default" r:id="rId18"/>
      <w:footerReference w:type="even" r:id="rId19"/>
      <w:footerReference w:type="default" r:id="rId20"/>
      <w:headerReference w:type="first" r:id="rId21"/>
      <w:footerReference w:type="first" r:id="rId22"/>
      <w:pgSz w:w="11906" w:h="16838"/>
      <w:pgMar w:top="993" w:right="1133" w:bottom="993"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FF8BD" w14:textId="77777777" w:rsidR="005E3512" w:rsidRDefault="005E3512" w:rsidP="004F02C6">
      <w:pPr>
        <w:spacing w:after="0" w:line="240" w:lineRule="auto"/>
      </w:pPr>
      <w:r>
        <w:separator/>
      </w:r>
    </w:p>
  </w:endnote>
  <w:endnote w:type="continuationSeparator" w:id="0">
    <w:p w14:paraId="41A28CCD" w14:textId="77777777" w:rsidR="005E3512" w:rsidRDefault="005E3512" w:rsidP="004F02C6">
      <w:pPr>
        <w:spacing w:after="0" w:line="240" w:lineRule="auto"/>
      </w:pPr>
      <w:r>
        <w:continuationSeparator/>
      </w:r>
    </w:p>
  </w:endnote>
  <w:endnote w:type="continuationNotice" w:id="1">
    <w:p w14:paraId="6ECE6DA8" w14:textId="77777777" w:rsidR="005E3512" w:rsidRDefault="005E35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987F3" w14:textId="1E5EEC2F" w:rsidR="007175AB" w:rsidRPr="007175AB" w:rsidRDefault="007175AB" w:rsidP="007175AB">
    <w:pPr>
      <w:pStyle w:val="FooterCoverPage"/>
      <w:rPr>
        <w:rFonts w:ascii="Arial" w:hAnsi="Arial" w:cs="Arial"/>
        <w:b/>
        <w:sz w:val="48"/>
      </w:rPr>
    </w:pPr>
    <w:r w:rsidRPr="007175AB">
      <w:rPr>
        <w:rFonts w:ascii="Arial" w:hAnsi="Arial" w:cs="Arial"/>
        <w:b/>
        <w:sz w:val="48"/>
      </w:rPr>
      <w:t>FR</w:t>
    </w:r>
    <w:r w:rsidRPr="007175AB">
      <w:rPr>
        <w:rFonts w:ascii="Arial" w:hAnsi="Arial" w:cs="Arial"/>
        <w:b/>
        <w:sz w:val="48"/>
      </w:rPr>
      <w:tab/>
    </w:r>
    <w:r w:rsidRPr="007175AB">
      <w:rPr>
        <w:rFonts w:ascii="Arial" w:hAnsi="Arial" w:cs="Arial"/>
        <w:b/>
        <w:sz w:val="48"/>
      </w:rPr>
      <w:tab/>
    </w:r>
    <w:r w:rsidRPr="007175AB">
      <w:tab/>
    </w:r>
    <w:r w:rsidRPr="007175A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F4E3B" w14:textId="7B89AE9E" w:rsidR="007175AB" w:rsidRPr="007175AB" w:rsidRDefault="007175AB" w:rsidP="007175AB">
    <w:pPr>
      <w:pStyle w:val="FooterCoverPage"/>
      <w:rPr>
        <w:rFonts w:ascii="Arial" w:hAnsi="Arial" w:cs="Arial"/>
        <w:b/>
        <w:sz w:val="48"/>
      </w:rPr>
    </w:pPr>
    <w:r w:rsidRPr="007175AB">
      <w:rPr>
        <w:rFonts w:ascii="Arial" w:hAnsi="Arial" w:cs="Arial"/>
        <w:b/>
        <w:sz w:val="48"/>
      </w:rPr>
      <w:t>FR</w:t>
    </w:r>
    <w:r w:rsidRPr="007175AB">
      <w:rPr>
        <w:rFonts w:ascii="Arial" w:hAnsi="Arial" w:cs="Arial"/>
        <w:b/>
        <w:sz w:val="48"/>
      </w:rPr>
      <w:tab/>
    </w:r>
    <w:r w:rsidRPr="007175AB">
      <w:rPr>
        <w:rFonts w:ascii="Arial" w:hAnsi="Arial" w:cs="Arial"/>
        <w:b/>
        <w:sz w:val="48"/>
      </w:rPr>
      <w:tab/>
    </w:r>
    <w:r w:rsidRPr="007175AB">
      <w:tab/>
    </w:r>
    <w:r w:rsidRPr="007175A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95B57" w14:textId="77777777" w:rsidR="007175AB" w:rsidRPr="007175AB" w:rsidRDefault="007175AB" w:rsidP="007175A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DD1EA" w14:textId="77777777" w:rsidR="009D5589" w:rsidRDefault="009D55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635575"/>
      <w:docPartObj>
        <w:docPartGallery w:val="Page Numbers (Bottom of Page)"/>
        <w:docPartUnique/>
      </w:docPartObj>
    </w:sdtPr>
    <w:sdtEndPr>
      <w:rPr>
        <w:noProof/>
      </w:rPr>
    </w:sdtEndPr>
    <w:sdtContent>
      <w:p w14:paraId="3F7B76AF" w14:textId="4CC9F133" w:rsidR="009D5589" w:rsidRDefault="009D5589">
        <w:pPr>
          <w:pStyle w:val="Footer"/>
          <w:jc w:val="center"/>
        </w:pPr>
        <w:r>
          <w:fldChar w:fldCharType="begin"/>
        </w:r>
        <w:r>
          <w:instrText xml:space="preserve"> PAGE   \* MERGEFORMAT </w:instrText>
        </w:r>
        <w:r>
          <w:fldChar w:fldCharType="separate"/>
        </w:r>
        <w:r w:rsidR="007175AB">
          <w:rPr>
            <w:noProof/>
          </w:rPr>
          <w:t>8</w:t>
        </w:r>
        <w:r>
          <w:fldChar w:fldCharType="end"/>
        </w:r>
      </w:p>
    </w:sdtContent>
  </w:sdt>
  <w:p w14:paraId="7E84EA37" w14:textId="77777777" w:rsidR="009D5589" w:rsidRDefault="009D55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0966573"/>
      <w:docPartObj>
        <w:docPartGallery w:val="Page Numbers (Bottom of Page)"/>
        <w:docPartUnique/>
      </w:docPartObj>
    </w:sdtPr>
    <w:sdtEndPr>
      <w:rPr>
        <w:noProof/>
      </w:rPr>
    </w:sdtEndPr>
    <w:sdtContent>
      <w:p w14:paraId="066A6DB4" w14:textId="3B5090C5" w:rsidR="003A110E" w:rsidRDefault="003A110E">
        <w:pPr>
          <w:pStyle w:val="Footer"/>
          <w:jc w:val="center"/>
        </w:pPr>
        <w:r>
          <w:fldChar w:fldCharType="begin"/>
        </w:r>
        <w:r>
          <w:instrText xml:space="preserve"> PAGE   \* MERGEFORMAT </w:instrText>
        </w:r>
        <w:r>
          <w:fldChar w:fldCharType="separate"/>
        </w:r>
        <w:r w:rsidR="007175AB">
          <w:rPr>
            <w:noProof/>
          </w:rPr>
          <w:t>1</w:t>
        </w:r>
        <w:r>
          <w:fldChar w:fldCharType="end"/>
        </w:r>
      </w:p>
    </w:sdtContent>
  </w:sdt>
  <w:p w14:paraId="04EF6C2C" w14:textId="54456CC4" w:rsidR="009D5589" w:rsidRDefault="009D5589" w:rsidP="0065025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8E64B8" w14:textId="77777777" w:rsidR="005E3512" w:rsidRDefault="005E3512" w:rsidP="004F02C6">
      <w:pPr>
        <w:spacing w:after="0" w:line="240" w:lineRule="auto"/>
      </w:pPr>
      <w:r>
        <w:separator/>
      </w:r>
    </w:p>
  </w:footnote>
  <w:footnote w:type="continuationSeparator" w:id="0">
    <w:p w14:paraId="1A232668" w14:textId="77777777" w:rsidR="005E3512" w:rsidRDefault="005E3512" w:rsidP="004F02C6">
      <w:pPr>
        <w:spacing w:after="0" w:line="240" w:lineRule="auto"/>
      </w:pPr>
      <w:r>
        <w:continuationSeparator/>
      </w:r>
    </w:p>
  </w:footnote>
  <w:footnote w:type="continuationNotice" w:id="1">
    <w:p w14:paraId="7CFEEC6F" w14:textId="77777777" w:rsidR="005E3512" w:rsidRDefault="005E3512">
      <w:pPr>
        <w:spacing w:after="0" w:line="240" w:lineRule="auto"/>
      </w:pPr>
    </w:p>
  </w:footnote>
  <w:footnote w:id="2">
    <w:p w14:paraId="733D86BF" w14:textId="28644A70" w:rsidR="61B189C8" w:rsidRPr="00F73FC6" w:rsidRDefault="61B189C8" w:rsidP="0DC0B63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Statista Market Insights, janvier 2025.</w:t>
      </w:r>
    </w:p>
  </w:footnote>
  <w:footnote w:id="3">
    <w:p w14:paraId="37D06BB5" w14:textId="77777777" w:rsidR="007A5612" w:rsidRPr="00786E1C" w:rsidRDefault="007A5612" w:rsidP="007A5612">
      <w:pPr>
        <w:pStyle w:val="FootnoteText"/>
      </w:pPr>
      <w:r>
        <w:rPr>
          <w:rStyle w:val="FootnoteReference"/>
          <w:rFonts w:ascii="Times New Roman" w:hAnsi="Times New Roman" w:cs="Times New Roman"/>
        </w:rPr>
        <w:footnoteRef/>
      </w:r>
      <w:r>
        <w:rPr>
          <w:rFonts w:ascii="Times New Roman" w:hAnsi="Times New Roman"/>
        </w:rPr>
        <w:t xml:space="preserve"> Ces consultations, qui ont eu lieu entre le 30 janvier et le 20 février, ont été complétées par une consultation publique ouverte, qui a permis d’obtenir plus de 1900 réponses.</w:t>
      </w:r>
    </w:p>
  </w:footnote>
  <w:footnote w:id="4">
    <w:p w14:paraId="1B029EEB" w14:textId="77777777" w:rsidR="00DB0E78" w:rsidRPr="00992E8B" w:rsidRDefault="00DB0E78" w:rsidP="00DB0E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COM(2023)189, Proposition de DIRECTIVE DU PARLEMENT EUROPÉEN ET DU CONSEIL modifiant la directive 1999/62/CE, la directive 1999/37/CE du Conseil et la directive (UE) 2019/520 en ce qui concerne la classe d’émissions de CO2 des véhicules lourds avec remorques.</w:t>
      </w:r>
    </w:p>
  </w:footnote>
  <w:footnote w:id="5">
    <w:p w14:paraId="4E9752A5" w14:textId="77777777" w:rsidR="00DB0E78" w:rsidRPr="00992E8B" w:rsidRDefault="00DB0E78" w:rsidP="00DB0E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L’outil de coordination de la compétitivité permettra de coordonner les investissements et les politiques en matière de compétitivité au niveau de l’UE et au niveau national, et de mettre sur pied des projets pilotes transfrontières dans certains domaines clés présentant une valeur ajoutée manifeste pour la compétitivité de l’Europe.</w:t>
      </w:r>
    </w:p>
  </w:footnote>
  <w:footnote w:id="6">
    <w:p w14:paraId="63AD1B0B" w14:textId="77777777" w:rsidR="00DB0E78" w:rsidRPr="00AC565E" w:rsidRDefault="00DB0E78" w:rsidP="00DB0E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notre partenariat stratégique UE-Canada a permis de garantir quelque 10 milliards d’euros d’investissements qui se renforcent mutuellement entre l’UE et le Canada tout au long de la chaîne d’approvisionnement des batteries. </w:t>
      </w:r>
    </w:p>
  </w:footnote>
  <w:footnote w:id="7">
    <w:p w14:paraId="02F373B4" w14:textId="77777777" w:rsidR="00DB0E78" w:rsidRPr="000E6A38" w:rsidRDefault="00DB0E78" w:rsidP="00DB0E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https://ec.europa.eu/info/law/better-regulation/have-your-say/initiatives/14487-Future-of-the-European-automotive-industry/public-consultation_fr.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E79C1" w14:textId="77777777" w:rsidR="007175AB" w:rsidRPr="007175AB" w:rsidRDefault="007175AB" w:rsidP="007175A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F03C6" w14:textId="77777777" w:rsidR="007175AB" w:rsidRPr="007175AB" w:rsidRDefault="007175AB" w:rsidP="007175A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CE8A5" w14:textId="77777777" w:rsidR="007175AB" w:rsidRPr="007175AB" w:rsidRDefault="007175AB" w:rsidP="007175A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D154B" w14:textId="097B650B" w:rsidR="009D5589" w:rsidRDefault="009D55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F9DF0" w14:textId="5DE01B8E" w:rsidR="009D5589" w:rsidRDefault="009D55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FD698" w14:textId="48FF6967" w:rsidR="009D5589" w:rsidRDefault="009D5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89EB8"/>
    <w:multiLevelType w:val="hybridMultilevel"/>
    <w:tmpl w:val="AEB04492"/>
    <w:lvl w:ilvl="0" w:tplc="E7203F64">
      <w:start w:val="1"/>
      <w:numFmt w:val="decimal"/>
      <w:lvlText w:val="%1."/>
      <w:lvlJc w:val="left"/>
      <w:pPr>
        <w:ind w:left="720" w:hanging="360"/>
      </w:pPr>
    </w:lvl>
    <w:lvl w:ilvl="1" w:tplc="4476AFE0">
      <w:start w:val="1"/>
      <w:numFmt w:val="lowerLetter"/>
      <w:lvlText w:val="%2."/>
      <w:lvlJc w:val="left"/>
      <w:pPr>
        <w:ind w:left="1440" w:hanging="360"/>
      </w:pPr>
    </w:lvl>
    <w:lvl w:ilvl="2" w:tplc="D5A8053C">
      <w:start w:val="1"/>
      <w:numFmt w:val="lowerRoman"/>
      <w:lvlText w:val="%3."/>
      <w:lvlJc w:val="right"/>
      <w:pPr>
        <w:ind w:left="2160" w:hanging="180"/>
      </w:pPr>
    </w:lvl>
    <w:lvl w:ilvl="3" w:tplc="0EE27A50">
      <w:start w:val="1"/>
      <w:numFmt w:val="decimal"/>
      <w:lvlText w:val="%4."/>
      <w:lvlJc w:val="left"/>
      <w:pPr>
        <w:ind w:left="2880" w:hanging="360"/>
      </w:pPr>
    </w:lvl>
    <w:lvl w:ilvl="4" w:tplc="AAA65554">
      <w:start w:val="1"/>
      <w:numFmt w:val="lowerLetter"/>
      <w:lvlText w:val="%5."/>
      <w:lvlJc w:val="left"/>
      <w:pPr>
        <w:ind w:left="3600" w:hanging="360"/>
      </w:pPr>
    </w:lvl>
    <w:lvl w:ilvl="5" w:tplc="F9C242AA">
      <w:start w:val="1"/>
      <w:numFmt w:val="lowerRoman"/>
      <w:lvlText w:val="%6."/>
      <w:lvlJc w:val="right"/>
      <w:pPr>
        <w:ind w:left="4320" w:hanging="180"/>
      </w:pPr>
    </w:lvl>
    <w:lvl w:ilvl="6" w:tplc="056EA758">
      <w:start w:val="1"/>
      <w:numFmt w:val="decimal"/>
      <w:lvlText w:val="%7."/>
      <w:lvlJc w:val="left"/>
      <w:pPr>
        <w:ind w:left="5040" w:hanging="360"/>
      </w:pPr>
    </w:lvl>
    <w:lvl w:ilvl="7" w:tplc="69B8121C">
      <w:start w:val="1"/>
      <w:numFmt w:val="lowerLetter"/>
      <w:lvlText w:val="%8."/>
      <w:lvlJc w:val="left"/>
      <w:pPr>
        <w:ind w:left="5760" w:hanging="360"/>
      </w:pPr>
    </w:lvl>
    <w:lvl w:ilvl="8" w:tplc="1A30196A">
      <w:start w:val="1"/>
      <w:numFmt w:val="lowerRoman"/>
      <w:lvlText w:val="%9."/>
      <w:lvlJc w:val="right"/>
      <w:pPr>
        <w:ind w:left="6480" w:hanging="180"/>
      </w:pPr>
    </w:lvl>
  </w:abstractNum>
  <w:abstractNum w:abstractNumId="1" w15:restartNumberingAfterBreak="0">
    <w:nsid w:val="0744B461"/>
    <w:multiLevelType w:val="hybridMultilevel"/>
    <w:tmpl w:val="FFFFFFFF"/>
    <w:lvl w:ilvl="0" w:tplc="E780B498">
      <w:start w:val="1"/>
      <w:numFmt w:val="bullet"/>
      <w:lvlText w:val="·"/>
      <w:lvlJc w:val="left"/>
      <w:pPr>
        <w:ind w:left="720" w:hanging="360"/>
      </w:pPr>
      <w:rPr>
        <w:rFonts w:ascii="Symbol" w:hAnsi="Symbol" w:hint="default"/>
      </w:rPr>
    </w:lvl>
    <w:lvl w:ilvl="1" w:tplc="A86E290C">
      <w:start w:val="1"/>
      <w:numFmt w:val="bullet"/>
      <w:lvlText w:val="o"/>
      <w:lvlJc w:val="left"/>
      <w:pPr>
        <w:ind w:left="1440" w:hanging="360"/>
      </w:pPr>
      <w:rPr>
        <w:rFonts w:ascii="Courier New" w:hAnsi="Courier New" w:hint="default"/>
      </w:rPr>
    </w:lvl>
    <w:lvl w:ilvl="2" w:tplc="1604DCFA">
      <w:start w:val="1"/>
      <w:numFmt w:val="bullet"/>
      <w:lvlText w:val=""/>
      <w:lvlJc w:val="left"/>
      <w:pPr>
        <w:ind w:left="2160" w:hanging="360"/>
      </w:pPr>
      <w:rPr>
        <w:rFonts w:ascii="Wingdings" w:hAnsi="Wingdings" w:hint="default"/>
      </w:rPr>
    </w:lvl>
    <w:lvl w:ilvl="3" w:tplc="FD66BD84">
      <w:start w:val="1"/>
      <w:numFmt w:val="bullet"/>
      <w:lvlText w:val=""/>
      <w:lvlJc w:val="left"/>
      <w:pPr>
        <w:ind w:left="2880" w:hanging="360"/>
      </w:pPr>
      <w:rPr>
        <w:rFonts w:ascii="Symbol" w:hAnsi="Symbol" w:hint="default"/>
      </w:rPr>
    </w:lvl>
    <w:lvl w:ilvl="4" w:tplc="26F29598">
      <w:start w:val="1"/>
      <w:numFmt w:val="bullet"/>
      <w:lvlText w:val="o"/>
      <w:lvlJc w:val="left"/>
      <w:pPr>
        <w:ind w:left="3600" w:hanging="360"/>
      </w:pPr>
      <w:rPr>
        <w:rFonts w:ascii="Courier New" w:hAnsi="Courier New" w:hint="default"/>
      </w:rPr>
    </w:lvl>
    <w:lvl w:ilvl="5" w:tplc="83EA1CEE">
      <w:start w:val="1"/>
      <w:numFmt w:val="bullet"/>
      <w:lvlText w:val=""/>
      <w:lvlJc w:val="left"/>
      <w:pPr>
        <w:ind w:left="4320" w:hanging="360"/>
      </w:pPr>
      <w:rPr>
        <w:rFonts w:ascii="Wingdings" w:hAnsi="Wingdings" w:hint="default"/>
      </w:rPr>
    </w:lvl>
    <w:lvl w:ilvl="6" w:tplc="6172F012">
      <w:start w:val="1"/>
      <w:numFmt w:val="bullet"/>
      <w:lvlText w:val=""/>
      <w:lvlJc w:val="left"/>
      <w:pPr>
        <w:ind w:left="5040" w:hanging="360"/>
      </w:pPr>
      <w:rPr>
        <w:rFonts w:ascii="Symbol" w:hAnsi="Symbol" w:hint="default"/>
      </w:rPr>
    </w:lvl>
    <w:lvl w:ilvl="7" w:tplc="A61C2862">
      <w:start w:val="1"/>
      <w:numFmt w:val="bullet"/>
      <w:lvlText w:val="o"/>
      <w:lvlJc w:val="left"/>
      <w:pPr>
        <w:ind w:left="5760" w:hanging="360"/>
      </w:pPr>
      <w:rPr>
        <w:rFonts w:ascii="Courier New" w:hAnsi="Courier New" w:hint="default"/>
      </w:rPr>
    </w:lvl>
    <w:lvl w:ilvl="8" w:tplc="B8587B24">
      <w:start w:val="1"/>
      <w:numFmt w:val="bullet"/>
      <w:lvlText w:val=""/>
      <w:lvlJc w:val="left"/>
      <w:pPr>
        <w:ind w:left="6480" w:hanging="360"/>
      </w:pPr>
      <w:rPr>
        <w:rFonts w:ascii="Wingdings" w:hAnsi="Wingdings" w:hint="default"/>
      </w:rPr>
    </w:lvl>
  </w:abstractNum>
  <w:abstractNum w:abstractNumId="2" w15:restartNumberingAfterBreak="0">
    <w:nsid w:val="0B835CA3"/>
    <w:multiLevelType w:val="hybridMultilevel"/>
    <w:tmpl w:val="0C08F2F6"/>
    <w:lvl w:ilvl="0" w:tplc="868C3354">
      <w:start w:val="1"/>
      <w:numFmt w:val="bullet"/>
      <w:lvlText w:val=""/>
      <w:lvlJc w:val="left"/>
      <w:pPr>
        <w:ind w:left="360" w:hanging="360"/>
      </w:pPr>
      <w:rPr>
        <w:rFonts w:ascii="Symbol" w:hAnsi="Symbol" w:hint="default"/>
      </w:rPr>
    </w:lvl>
    <w:lvl w:ilvl="1" w:tplc="7268A108">
      <w:start w:val="1"/>
      <w:numFmt w:val="bullet"/>
      <w:lvlText w:val="o"/>
      <w:lvlJc w:val="left"/>
      <w:pPr>
        <w:ind w:left="1080" w:hanging="360"/>
      </w:pPr>
      <w:rPr>
        <w:rFonts w:ascii="Courier New" w:hAnsi="Courier New" w:hint="default"/>
      </w:rPr>
    </w:lvl>
    <w:lvl w:ilvl="2" w:tplc="4086C836">
      <w:start w:val="1"/>
      <w:numFmt w:val="bullet"/>
      <w:lvlText w:val=""/>
      <w:lvlJc w:val="left"/>
      <w:pPr>
        <w:ind w:left="1800" w:hanging="360"/>
      </w:pPr>
      <w:rPr>
        <w:rFonts w:ascii="Wingdings" w:hAnsi="Wingdings" w:hint="default"/>
      </w:rPr>
    </w:lvl>
    <w:lvl w:ilvl="3" w:tplc="79FC45D0">
      <w:start w:val="1"/>
      <w:numFmt w:val="bullet"/>
      <w:lvlText w:val=""/>
      <w:lvlJc w:val="left"/>
      <w:pPr>
        <w:ind w:left="2520" w:hanging="360"/>
      </w:pPr>
      <w:rPr>
        <w:rFonts w:ascii="Symbol" w:hAnsi="Symbol" w:hint="default"/>
      </w:rPr>
    </w:lvl>
    <w:lvl w:ilvl="4" w:tplc="CCE6354E">
      <w:start w:val="1"/>
      <w:numFmt w:val="bullet"/>
      <w:lvlText w:val="o"/>
      <w:lvlJc w:val="left"/>
      <w:pPr>
        <w:ind w:left="3240" w:hanging="360"/>
      </w:pPr>
      <w:rPr>
        <w:rFonts w:ascii="Courier New" w:hAnsi="Courier New" w:hint="default"/>
      </w:rPr>
    </w:lvl>
    <w:lvl w:ilvl="5" w:tplc="400214F6">
      <w:start w:val="1"/>
      <w:numFmt w:val="bullet"/>
      <w:lvlText w:val=""/>
      <w:lvlJc w:val="left"/>
      <w:pPr>
        <w:ind w:left="3960" w:hanging="360"/>
      </w:pPr>
      <w:rPr>
        <w:rFonts w:ascii="Wingdings" w:hAnsi="Wingdings" w:hint="default"/>
      </w:rPr>
    </w:lvl>
    <w:lvl w:ilvl="6" w:tplc="882C9FD4">
      <w:start w:val="1"/>
      <w:numFmt w:val="bullet"/>
      <w:lvlText w:val=""/>
      <w:lvlJc w:val="left"/>
      <w:pPr>
        <w:ind w:left="4680" w:hanging="360"/>
      </w:pPr>
      <w:rPr>
        <w:rFonts w:ascii="Symbol" w:hAnsi="Symbol" w:hint="default"/>
      </w:rPr>
    </w:lvl>
    <w:lvl w:ilvl="7" w:tplc="1E5653DC">
      <w:start w:val="1"/>
      <w:numFmt w:val="bullet"/>
      <w:lvlText w:val="o"/>
      <w:lvlJc w:val="left"/>
      <w:pPr>
        <w:ind w:left="5400" w:hanging="360"/>
      </w:pPr>
      <w:rPr>
        <w:rFonts w:ascii="Courier New" w:hAnsi="Courier New" w:hint="default"/>
      </w:rPr>
    </w:lvl>
    <w:lvl w:ilvl="8" w:tplc="A0124A68">
      <w:start w:val="1"/>
      <w:numFmt w:val="bullet"/>
      <w:lvlText w:val=""/>
      <w:lvlJc w:val="left"/>
      <w:pPr>
        <w:ind w:left="6120" w:hanging="360"/>
      </w:pPr>
      <w:rPr>
        <w:rFonts w:ascii="Wingdings" w:hAnsi="Wingdings" w:hint="default"/>
      </w:rPr>
    </w:lvl>
  </w:abstractNum>
  <w:abstractNum w:abstractNumId="3" w15:restartNumberingAfterBreak="0">
    <w:nsid w:val="0D40E43C"/>
    <w:multiLevelType w:val="hybridMultilevel"/>
    <w:tmpl w:val="EBEAFC5C"/>
    <w:lvl w:ilvl="0" w:tplc="1AD005A4">
      <w:start w:val="1"/>
      <w:numFmt w:val="bullet"/>
      <w:lvlText w:val="-"/>
      <w:lvlJc w:val="left"/>
      <w:pPr>
        <w:ind w:left="720" w:hanging="360"/>
      </w:pPr>
      <w:rPr>
        <w:rFonts w:ascii="Aptos" w:hAnsi="Aptos" w:hint="default"/>
      </w:rPr>
    </w:lvl>
    <w:lvl w:ilvl="1" w:tplc="D4E280A4">
      <w:start w:val="1"/>
      <w:numFmt w:val="bullet"/>
      <w:lvlText w:val="o"/>
      <w:lvlJc w:val="left"/>
      <w:pPr>
        <w:ind w:left="1440" w:hanging="360"/>
      </w:pPr>
      <w:rPr>
        <w:rFonts w:ascii="Courier New" w:hAnsi="Courier New" w:hint="default"/>
      </w:rPr>
    </w:lvl>
    <w:lvl w:ilvl="2" w:tplc="BAB41268">
      <w:start w:val="1"/>
      <w:numFmt w:val="bullet"/>
      <w:lvlText w:val=""/>
      <w:lvlJc w:val="left"/>
      <w:pPr>
        <w:ind w:left="2160" w:hanging="360"/>
      </w:pPr>
      <w:rPr>
        <w:rFonts w:ascii="Wingdings" w:hAnsi="Wingdings" w:hint="default"/>
      </w:rPr>
    </w:lvl>
    <w:lvl w:ilvl="3" w:tplc="A7D666BC">
      <w:start w:val="1"/>
      <w:numFmt w:val="bullet"/>
      <w:lvlText w:val=""/>
      <w:lvlJc w:val="left"/>
      <w:pPr>
        <w:ind w:left="2880" w:hanging="360"/>
      </w:pPr>
      <w:rPr>
        <w:rFonts w:ascii="Symbol" w:hAnsi="Symbol" w:hint="default"/>
      </w:rPr>
    </w:lvl>
    <w:lvl w:ilvl="4" w:tplc="D5443F0A">
      <w:start w:val="1"/>
      <w:numFmt w:val="bullet"/>
      <w:lvlText w:val="o"/>
      <w:lvlJc w:val="left"/>
      <w:pPr>
        <w:ind w:left="3600" w:hanging="360"/>
      </w:pPr>
      <w:rPr>
        <w:rFonts w:ascii="Courier New" w:hAnsi="Courier New" w:hint="default"/>
      </w:rPr>
    </w:lvl>
    <w:lvl w:ilvl="5" w:tplc="B3F8C5E8">
      <w:start w:val="1"/>
      <w:numFmt w:val="bullet"/>
      <w:lvlText w:val=""/>
      <w:lvlJc w:val="left"/>
      <w:pPr>
        <w:ind w:left="4320" w:hanging="360"/>
      </w:pPr>
      <w:rPr>
        <w:rFonts w:ascii="Wingdings" w:hAnsi="Wingdings" w:hint="default"/>
      </w:rPr>
    </w:lvl>
    <w:lvl w:ilvl="6" w:tplc="E49010C0">
      <w:start w:val="1"/>
      <w:numFmt w:val="bullet"/>
      <w:lvlText w:val=""/>
      <w:lvlJc w:val="left"/>
      <w:pPr>
        <w:ind w:left="5040" w:hanging="360"/>
      </w:pPr>
      <w:rPr>
        <w:rFonts w:ascii="Symbol" w:hAnsi="Symbol" w:hint="default"/>
      </w:rPr>
    </w:lvl>
    <w:lvl w:ilvl="7" w:tplc="1CBA7972">
      <w:start w:val="1"/>
      <w:numFmt w:val="bullet"/>
      <w:lvlText w:val="o"/>
      <w:lvlJc w:val="left"/>
      <w:pPr>
        <w:ind w:left="5760" w:hanging="360"/>
      </w:pPr>
      <w:rPr>
        <w:rFonts w:ascii="Courier New" w:hAnsi="Courier New" w:hint="default"/>
      </w:rPr>
    </w:lvl>
    <w:lvl w:ilvl="8" w:tplc="8214B30E">
      <w:start w:val="1"/>
      <w:numFmt w:val="bullet"/>
      <w:lvlText w:val=""/>
      <w:lvlJc w:val="left"/>
      <w:pPr>
        <w:ind w:left="6480" w:hanging="360"/>
      </w:pPr>
      <w:rPr>
        <w:rFonts w:ascii="Wingdings" w:hAnsi="Wingdings" w:hint="default"/>
      </w:rPr>
    </w:lvl>
  </w:abstractNum>
  <w:abstractNum w:abstractNumId="4" w15:restartNumberingAfterBreak="0">
    <w:nsid w:val="0F6EEEFC"/>
    <w:multiLevelType w:val="hybridMultilevel"/>
    <w:tmpl w:val="FFFFFFFF"/>
    <w:lvl w:ilvl="0" w:tplc="B7E6A168">
      <w:start w:val="1"/>
      <w:numFmt w:val="decimal"/>
      <w:lvlText w:val="%1."/>
      <w:lvlJc w:val="left"/>
      <w:pPr>
        <w:ind w:left="720" w:hanging="360"/>
      </w:pPr>
    </w:lvl>
    <w:lvl w:ilvl="1" w:tplc="9FD2CB6A">
      <w:start w:val="1"/>
      <w:numFmt w:val="lowerLetter"/>
      <w:lvlText w:val="%2."/>
      <w:lvlJc w:val="left"/>
      <w:pPr>
        <w:ind w:left="1440" w:hanging="360"/>
      </w:pPr>
    </w:lvl>
    <w:lvl w:ilvl="2" w:tplc="17CEAB5C">
      <w:start w:val="1"/>
      <w:numFmt w:val="lowerRoman"/>
      <w:lvlText w:val="%3."/>
      <w:lvlJc w:val="right"/>
      <w:pPr>
        <w:ind w:left="2160" w:hanging="180"/>
      </w:pPr>
    </w:lvl>
    <w:lvl w:ilvl="3" w:tplc="9CEA3442">
      <w:start w:val="1"/>
      <w:numFmt w:val="decimal"/>
      <w:lvlText w:val="%4."/>
      <w:lvlJc w:val="left"/>
      <w:pPr>
        <w:ind w:left="2880" w:hanging="360"/>
      </w:pPr>
    </w:lvl>
    <w:lvl w:ilvl="4" w:tplc="2DA6801C">
      <w:start w:val="1"/>
      <w:numFmt w:val="lowerLetter"/>
      <w:lvlText w:val="%5."/>
      <w:lvlJc w:val="left"/>
      <w:pPr>
        <w:ind w:left="3600" w:hanging="360"/>
      </w:pPr>
    </w:lvl>
    <w:lvl w:ilvl="5" w:tplc="37067086">
      <w:start w:val="1"/>
      <w:numFmt w:val="lowerRoman"/>
      <w:lvlText w:val="%6."/>
      <w:lvlJc w:val="right"/>
      <w:pPr>
        <w:ind w:left="4320" w:hanging="180"/>
      </w:pPr>
    </w:lvl>
    <w:lvl w:ilvl="6" w:tplc="304AEC22">
      <w:start w:val="1"/>
      <w:numFmt w:val="decimal"/>
      <w:lvlText w:val="%7."/>
      <w:lvlJc w:val="left"/>
      <w:pPr>
        <w:ind w:left="5040" w:hanging="360"/>
      </w:pPr>
    </w:lvl>
    <w:lvl w:ilvl="7" w:tplc="5DB460B2">
      <w:start w:val="1"/>
      <w:numFmt w:val="lowerLetter"/>
      <w:lvlText w:val="%8."/>
      <w:lvlJc w:val="left"/>
      <w:pPr>
        <w:ind w:left="5760" w:hanging="360"/>
      </w:pPr>
    </w:lvl>
    <w:lvl w:ilvl="8" w:tplc="F78EB368">
      <w:start w:val="1"/>
      <w:numFmt w:val="lowerRoman"/>
      <w:lvlText w:val="%9."/>
      <w:lvlJc w:val="right"/>
      <w:pPr>
        <w:ind w:left="6480" w:hanging="180"/>
      </w:pPr>
    </w:lvl>
  </w:abstractNum>
  <w:abstractNum w:abstractNumId="5" w15:restartNumberingAfterBreak="0">
    <w:nsid w:val="1651D93D"/>
    <w:multiLevelType w:val="hybridMultilevel"/>
    <w:tmpl w:val="F7A8A916"/>
    <w:lvl w:ilvl="0" w:tplc="5B9837AA">
      <w:start w:val="1"/>
      <w:numFmt w:val="bullet"/>
      <w:lvlText w:val="-"/>
      <w:lvlJc w:val="left"/>
      <w:pPr>
        <w:ind w:left="720" w:hanging="360"/>
      </w:pPr>
      <w:rPr>
        <w:rFonts w:ascii="Aptos" w:hAnsi="Aptos" w:hint="default"/>
      </w:rPr>
    </w:lvl>
    <w:lvl w:ilvl="1" w:tplc="D88C1372">
      <w:start w:val="1"/>
      <w:numFmt w:val="bullet"/>
      <w:lvlText w:val="o"/>
      <w:lvlJc w:val="left"/>
      <w:pPr>
        <w:ind w:left="1440" w:hanging="360"/>
      </w:pPr>
      <w:rPr>
        <w:rFonts w:ascii="Courier New" w:hAnsi="Courier New" w:hint="default"/>
      </w:rPr>
    </w:lvl>
    <w:lvl w:ilvl="2" w:tplc="4D1E0056">
      <w:start w:val="1"/>
      <w:numFmt w:val="bullet"/>
      <w:lvlText w:val=""/>
      <w:lvlJc w:val="left"/>
      <w:pPr>
        <w:ind w:left="2160" w:hanging="360"/>
      </w:pPr>
      <w:rPr>
        <w:rFonts w:ascii="Wingdings" w:hAnsi="Wingdings" w:hint="default"/>
      </w:rPr>
    </w:lvl>
    <w:lvl w:ilvl="3" w:tplc="2C426674">
      <w:start w:val="1"/>
      <w:numFmt w:val="bullet"/>
      <w:lvlText w:val=""/>
      <w:lvlJc w:val="left"/>
      <w:pPr>
        <w:ind w:left="2880" w:hanging="360"/>
      </w:pPr>
      <w:rPr>
        <w:rFonts w:ascii="Symbol" w:hAnsi="Symbol" w:hint="default"/>
      </w:rPr>
    </w:lvl>
    <w:lvl w:ilvl="4" w:tplc="C6785B78">
      <w:start w:val="1"/>
      <w:numFmt w:val="bullet"/>
      <w:lvlText w:val="o"/>
      <w:lvlJc w:val="left"/>
      <w:pPr>
        <w:ind w:left="3600" w:hanging="360"/>
      </w:pPr>
      <w:rPr>
        <w:rFonts w:ascii="Courier New" w:hAnsi="Courier New" w:hint="default"/>
      </w:rPr>
    </w:lvl>
    <w:lvl w:ilvl="5" w:tplc="7F822974">
      <w:start w:val="1"/>
      <w:numFmt w:val="bullet"/>
      <w:lvlText w:val=""/>
      <w:lvlJc w:val="left"/>
      <w:pPr>
        <w:ind w:left="4320" w:hanging="360"/>
      </w:pPr>
      <w:rPr>
        <w:rFonts w:ascii="Wingdings" w:hAnsi="Wingdings" w:hint="default"/>
      </w:rPr>
    </w:lvl>
    <w:lvl w:ilvl="6" w:tplc="BC300066">
      <w:start w:val="1"/>
      <w:numFmt w:val="bullet"/>
      <w:lvlText w:val=""/>
      <w:lvlJc w:val="left"/>
      <w:pPr>
        <w:ind w:left="5040" w:hanging="360"/>
      </w:pPr>
      <w:rPr>
        <w:rFonts w:ascii="Symbol" w:hAnsi="Symbol" w:hint="default"/>
      </w:rPr>
    </w:lvl>
    <w:lvl w:ilvl="7" w:tplc="9EF4A414">
      <w:start w:val="1"/>
      <w:numFmt w:val="bullet"/>
      <w:lvlText w:val="o"/>
      <w:lvlJc w:val="left"/>
      <w:pPr>
        <w:ind w:left="5760" w:hanging="360"/>
      </w:pPr>
      <w:rPr>
        <w:rFonts w:ascii="Courier New" w:hAnsi="Courier New" w:hint="default"/>
      </w:rPr>
    </w:lvl>
    <w:lvl w:ilvl="8" w:tplc="0316C2AE">
      <w:start w:val="1"/>
      <w:numFmt w:val="bullet"/>
      <w:lvlText w:val=""/>
      <w:lvlJc w:val="left"/>
      <w:pPr>
        <w:ind w:left="6480" w:hanging="360"/>
      </w:pPr>
      <w:rPr>
        <w:rFonts w:ascii="Wingdings" w:hAnsi="Wingdings" w:hint="default"/>
      </w:rPr>
    </w:lvl>
  </w:abstractNum>
  <w:abstractNum w:abstractNumId="6" w15:restartNumberingAfterBreak="0">
    <w:nsid w:val="1E920562"/>
    <w:multiLevelType w:val="hybridMultilevel"/>
    <w:tmpl w:val="6F3E115C"/>
    <w:lvl w:ilvl="0" w:tplc="9FDAF65A">
      <w:start w:val="1"/>
      <w:numFmt w:val="lowerRoman"/>
      <w:lvlText w:val="%1)"/>
      <w:lvlJc w:val="left"/>
      <w:pPr>
        <w:ind w:left="1080" w:hanging="72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623949"/>
    <w:multiLevelType w:val="hybridMultilevel"/>
    <w:tmpl w:val="AFE8D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F68F934"/>
    <w:multiLevelType w:val="hybridMultilevel"/>
    <w:tmpl w:val="5D4EE096"/>
    <w:lvl w:ilvl="0" w:tplc="866A1B10">
      <w:start w:val="1"/>
      <w:numFmt w:val="bullet"/>
      <w:lvlText w:val="-"/>
      <w:lvlJc w:val="left"/>
      <w:pPr>
        <w:ind w:left="720" w:hanging="360"/>
      </w:pPr>
      <w:rPr>
        <w:rFonts w:ascii="Aptos" w:hAnsi="Aptos" w:hint="default"/>
      </w:rPr>
    </w:lvl>
    <w:lvl w:ilvl="1" w:tplc="8F94929A">
      <w:start w:val="1"/>
      <w:numFmt w:val="bullet"/>
      <w:lvlText w:val="o"/>
      <w:lvlJc w:val="left"/>
      <w:pPr>
        <w:ind w:left="1440" w:hanging="360"/>
      </w:pPr>
      <w:rPr>
        <w:rFonts w:ascii="Courier New" w:hAnsi="Courier New" w:hint="default"/>
      </w:rPr>
    </w:lvl>
    <w:lvl w:ilvl="2" w:tplc="91446278">
      <w:start w:val="1"/>
      <w:numFmt w:val="bullet"/>
      <w:lvlText w:val=""/>
      <w:lvlJc w:val="left"/>
      <w:pPr>
        <w:ind w:left="2160" w:hanging="360"/>
      </w:pPr>
      <w:rPr>
        <w:rFonts w:ascii="Wingdings" w:hAnsi="Wingdings" w:hint="default"/>
      </w:rPr>
    </w:lvl>
    <w:lvl w:ilvl="3" w:tplc="30E07412">
      <w:start w:val="1"/>
      <w:numFmt w:val="bullet"/>
      <w:lvlText w:val=""/>
      <w:lvlJc w:val="left"/>
      <w:pPr>
        <w:ind w:left="2880" w:hanging="360"/>
      </w:pPr>
      <w:rPr>
        <w:rFonts w:ascii="Symbol" w:hAnsi="Symbol" w:hint="default"/>
      </w:rPr>
    </w:lvl>
    <w:lvl w:ilvl="4" w:tplc="5A12FE76">
      <w:start w:val="1"/>
      <w:numFmt w:val="bullet"/>
      <w:lvlText w:val="o"/>
      <w:lvlJc w:val="left"/>
      <w:pPr>
        <w:ind w:left="3600" w:hanging="360"/>
      </w:pPr>
      <w:rPr>
        <w:rFonts w:ascii="Courier New" w:hAnsi="Courier New" w:hint="default"/>
      </w:rPr>
    </w:lvl>
    <w:lvl w:ilvl="5" w:tplc="BCEE8F4E">
      <w:start w:val="1"/>
      <w:numFmt w:val="bullet"/>
      <w:lvlText w:val=""/>
      <w:lvlJc w:val="left"/>
      <w:pPr>
        <w:ind w:left="4320" w:hanging="360"/>
      </w:pPr>
      <w:rPr>
        <w:rFonts w:ascii="Wingdings" w:hAnsi="Wingdings" w:hint="default"/>
      </w:rPr>
    </w:lvl>
    <w:lvl w:ilvl="6" w:tplc="3912F288">
      <w:start w:val="1"/>
      <w:numFmt w:val="bullet"/>
      <w:lvlText w:val=""/>
      <w:lvlJc w:val="left"/>
      <w:pPr>
        <w:ind w:left="5040" w:hanging="360"/>
      </w:pPr>
      <w:rPr>
        <w:rFonts w:ascii="Symbol" w:hAnsi="Symbol" w:hint="default"/>
      </w:rPr>
    </w:lvl>
    <w:lvl w:ilvl="7" w:tplc="14C2D07C">
      <w:start w:val="1"/>
      <w:numFmt w:val="bullet"/>
      <w:lvlText w:val="o"/>
      <w:lvlJc w:val="left"/>
      <w:pPr>
        <w:ind w:left="5760" w:hanging="360"/>
      </w:pPr>
      <w:rPr>
        <w:rFonts w:ascii="Courier New" w:hAnsi="Courier New" w:hint="default"/>
      </w:rPr>
    </w:lvl>
    <w:lvl w:ilvl="8" w:tplc="C696DF64">
      <w:start w:val="1"/>
      <w:numFmt w:val="bullet"/>
      <w:lvlText w:val=""/>
      <w:lvlJc w:val="left"/>
      <w:pPr>
        <w:ind w:left="6480" w:hanging="360"/>
      </w:pPr>
      <w:rPr>
        <w:rFonts w:ascii="Wingdings" w:hAnsi="Wingdings" w:hint="default"/>
      </w:rPr>
    </w:lvl>
  </w:abstractNum>
  <w:abstractNum w:abstractNumId="9" w15:restartNumberingAfterBreak="0">
    <w:nsid w:val="45550859"/>
    <w:multiLevelType w:val="hybridMultilevel"/>
    <w:tmpl w:val="F3409B8C"/>
    <w:lvl w:ilvl="0" w:tplc="BD84E6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CDD75BC"/>
    <w:multiLevelType w:val="hybridMultilevel"/>
    <w:tmpl w:val="00C28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9DC1145"/>
    <w:multiLevelType w:val="hybridMultilevel"/>
    <w:tmpl w:val="864CA792"/>
    <w:lvl w:ilvl="0" w:tplc="6BA0653E">
      <w:start w:val="2"/>
      <w:numFmt w:val="bullet"/>
      <w:lvlText w:val="-"/>
      <w:lvlJc w:val="left"/>
      <w:pPr>
        <w:ind w:left="360" w:hanging="360"/>
      </w:pPr>
      <w:rPr>
        <w:rFonts w:ascii="Aptos" w:eastAsiaTheme="minorEastAsia" w:hAnsi="Aptos" w:cstheme="minorBidi"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2" w15:restartNumberingAfterBreak="0">
    <w:nsid w:val="5D59656A"/>
    <w:multiLevelType w:val="multilevel"/>
    <w:tmpl w:val="CA0815A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2B21ACD"/>
    <w:multiLevelType w:val="hybridMultilevel"/>
    <w:tmpl w:val="AC04A18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B1728CA"/>
    <w:multiLevelType w:val="hybridMultilevel"/>
    <w:tmpl w:val="9ED6E68E"/>
    <w:lvl w:ilvl="0" w:tplc="58A8A854">
      <w:start w:val="1"/>
      <w:numFmt w:val="bullet"/>
      <w:lvlText w:val="-"/>
      <w:lvlJc w:val="left"/>
      <w:pPr>
        <w:ind w:left="720" w:hanging="360"/>
      </w:pPr>
      <w:rPr>
        <w:rFonts w:ascii="Aptos" w:hAnsi="Aptos" w:hint="default"/>
      </w:rPr>
    </w:lvl>
    <w:lvl w:ilvl="1" w:tplc="50F2D734">
      <w:start w:val="1"/>
      <w:numFmt w:val="bullet"/>
      <w:lvlText w:val="o"/>
      <w:lvlJc w:val="left"/>
      <w:pPr>
        <w:ind w:left="1440" w:hanging="360"/>
      </w:pPr>
      <w:rPr>
        <w:rFonts w:ascii="Courier New" w:hAnsi="Courier New" w:hint="default"/>
      </w:rPr>
    </w:lvl>
    <w:lvl w:ilvl="2" w:tplc="A328CAA4">
      <w:start w:val="1"/>
      <w:numFmt w:val="bullet"/>
      <w:lvlText w:val=""/>
      <w:lvlJc w:val="left"/>
      <w:pPr>
        <w:ind w:left="2160" w:hanging="360"/>
      </w:pPr>
      <w:rPr>
        <w:rFonts w:ascii="Wingdings" w:hAnsi="Wingdings" w:hint="default"/>
      </w:rPr>
    </w:lvl>
    <w:lvl w:ilvl="3" w:tplc="8460C976">
      <w:start w:val="1"/>
      <w:numFmt w:val="bullet"/>
      <w:lvlText w:val=""/>
      <w:lvlJc w:val="left"/>
      <w:pPr>
        <w:ind w:left="2880" w:hanging="360"/>
      </w:pPr>
      <w:rPr>
        <w:rFonts w:ascii="Symbol" w:hAnsi="Symbol" w:hint="default"/>
      </w:rPr>
    </w:lvl>
    <w:lvl w:ilvl="4" w:tplc="68BA1F50">
      <w:start w:val="1"/>
      <w:numFmt w:val="bullet"/>
      <w:lvlText w:val="o"/>
      <w:lvlJc w:val="left"/>
      <w:pPr>
        <w:ind w:left="3600" w:hanging="360"/>
      </w:pPr>
      <w:rPr>
        <w:rFonts w:ascii="Courier New" w:hAnsi="Courier New" w:hint="default"/>
      </w:rPr>
    </w:lvl>
    <w:lvl w:ilvl="5" w:tplc="885CABDC">
      <w:start w:val="1"/>
      <w:numFmt w:val="bullet"/>
      <w:lvlText w:val=""/>
      <w:lvlJc w:val="left"/>
      <w:pPr>
        <w:ind w:left="4320" w:hanging="360"/>
      </w:pPr>
      <w:rPr>
        <w:rFonts w:ascii="Wingdings" w:hAnsi="Wingdings" w:hint="default"/>
      </w:rPr>
    </w:lvl>
    <w:lvl w:ilvl="6" w:tplc="B52854B4">
      <w:start w:val="1"/>
      <w:numFmt w:val="bullet"/>
      <w:lvlText w:val=""/>
      <w:lvlJc w:val="left"/>
      <w:pPr>
        <w:ind w:left="5040" w:hanging="360"/>
      </w:pPr>
      <w:rPr>
        <w:rFonts w:ascii="Symbol" w:hAnsi="Symbol" w:hint="default"/>
      </w:rPr>
    </w:lvl>
    <w:lvl w:ilvl="7" w:tplc="DE445A90">
      <w:start w:val="1"/>
      <w:numFmt w:val="bullet"/>
      <w:lvlText w:val="o"/>
      <w:lvlJc w:val="left"/>
      <w:pPr>
        <w:ind w:left="5760" w:hanging="360"/>
      </w:pPr>
      <w:rPr>
        <w:rFonts w:ascii="Courier New" w:hAnsi="Courier New" w:hint="default"/>
      </w:rPr>
    </w:lvl>
    <w:lvl w:ilvl="8" w:tplc="AF5E498A">
      <w:start w:val="1"/>
      <w:numFmt w:val="bullet"/>
      <w:lvlText w:val=""/>
      <w:lvlJc w:val="left"/>
      <w:pPr>
        <w:ind w:left="6480" w:hanging="360"/>
      </w:pPr>
      <w:rPr>
        <w:rFonts w:ascii="Wingdings" w:hAnsi="Wingdings" w:hint="default"/>
      </w:rPr>
    </w:lvl>
  </w:abstractNum>
  <w:abstractNum w:abstractNumId="15" w15:restartNumberingAfterBreak="0">
    <w:nsid w:val="71C55CD1"/>
    <w:multiLevelType w:val="hybridMultilevel"/>
    <w:tmpl w:val="D1CE7C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88723C0"/>
    <w:multiLevelType w:val="hybridMultilevel"/>
    <w:tmpl w:val="8910AE92"/>
    <w:lvl w:ilvl="0" w:tplc="92AA08E8">
      <w:start w:val="1"/>
      <w:numFmt w:val="bullet"/>
      <w:lvlText w:val=""/>
      <w:lvlJc w:val="left"/>
      <w:pPr>
        <w:ind w:left="720" w:hanging="360"/>
      </w:pPr>
      <w:rPr>
        <w:rFonts w:ascii="Symbol" w:hAnsi="Symbol" w:hint="default"/>
      </w:rPr>
    </w:lvl>
    <w:lvl w:ilvl="1" w:tplc="18421786">
      <w:start w:val="1"/>
      <w:numFmt w:val="bullet"/>
      <w:lvlText w:val="o"/>
      <w:lvlJc w:val="left"/>
      <w:pPr>
        <w:ind w:left="1440" w:hanging="360"/>
      </w:pPr>
      <w:rPr>
        <w:rFonts w:ascii="Courier New" w:hAnsi="Courier New" w:hint="default"/>
      </w:rPr>
    </w:lvl>
    <w:lvl w:ilvl="2" w:tplc="E5FA5E22">
      <w:start w:val="1"/>
      <w:numFmt w:val="bullet"/>
      <w:lvlText w:val=""/>
      <w:lvlJc w:val="left"/>
      <w:pPr>
        <w:ind w:left="2160" w:hanging="360"/>
      </w:pPr>
      <w:rPr>
        <w:rFonts w:ascii="Wingdings" w:hAnsi="Wingdings" w:hint="default"/>
      </w:rPr>
    </w:lvl>
    <w:lvl w:ilvl="3" w:tplc="D26E8750">
      <w:start w:val="1"/>
      <w:numFmt w:val="bullet"/>
      <w:lvlText w:val=""/>
      <w:lvlJc w:val="left"/>
      <w:pPr>
        <w:ind w:left="2880" w:hanging="360"/>
      </w:pPr>
      <w:rPr>
        <w:rFonts w:ascii="Symbol" w:hAnsi="Symbol" w:hint="default"/>
      </w:rPr>
    </w:lvl>
    <w:lvl w:ilvl="4" w:tplc="898C3B1E">
      <w:start w:val="1"/>
      <w:numFmt w:val="bullet"/>
      <w:lvlText w:val="o"/>
      <w:lvlJc w:val="left"/>
      <w:pPr>
        <w:ind w:left="3600" w:hanging="360"/>
      </w:pPr>
      <w:rPr>
        <w:rFonts w:ascii="Courier New" w:hAnsi="Courier New" w:hint="default"/>
      </w:rPr>
    </w:lvl>
    <w:lvl w:ilvl="5" w:tplc="7E6440D6">
      <w:start w:val="1"/>
      <w:numFmt w:val="bullet"/>
      <w:lvlText w:val=""/>
      <w:lvlJc w:val="left"/>
      <w:pPr>
        <w:ind w:left="4320" w:hanging="360"/>
      </w:pPr>
      <w:rPr>
        <w:rFonts w:ascii="Wingdings" w:hAnsi="Wingdings" w:hint="default"/>
      </w:rPr>
    </w:lvl>
    <w:lvl w:ilvl="6" w:tplc="E54AF992">
      <w:start w:val="1"/>
      <w:numFmt w:val="bullet"/>
      <w:lvlText w:val=""/>
      <w:lvlJc w:val="left"/>
      <w:pPr>
        <w:ind w:left="5040" w:hanging="360"/>
      </w:pPr>
      <w:rPr>
        <w:rFonts w:ascii="Symbol" w:hAnsi="Symbol" w:hint="default"/>
      </w:rPr>
    </w:lvl>
    <w:lvl w:ilvl="7" w:tplc="21F07E88">
      <w:start w:val="1"/>
      <w:numFmt w:val="bullet"/>
      <w:lvlText w:val="o"/>
      <w:lvlJc w:val="left"/>
      <w:pPr>
        <w:ind w:left="5760" w:hanging="360"/>
      </w:pPr>
      <w:rPr>
        <w:rFonts w:ascii="Courier New" w:hAnsi="Courier New" w:hint="default"/>
      </w:rPr>
    </w:lvl>
    <w:lvl w:ilvl="8" w:tplc="A8FA2894">
      <w:start w:val="1"/>
      <w:numFmt w:val="bullet"/>
      <w:lvlText w:val=""/>
      <w:lvlJc w:val="left"/>
      <w:pPr>
        <w:ind w:left="6480" w:hanging="360"/>
      </w:pPr>
      <w:rPr>
        <w:rFonts w:ascii="Wingdings" w:hAnsi="Wingdings" w:hint="default"/>
      </w:rPr>
    </w:lvl>
  </w:abstractNum>
  <w:abstractNum w:abstractNumId="17" w15:restartNumberingAfterBreak="0">
    <w:nsid w:val="78FA5242"/>
    <w:multiLevelType w:val="hybridMultilevel"/>
    <w:tmpl w:val="76FC1CB0"/>
    <w:lvl w:ilvl="0" w:tplc="18090017">
      <w:start w:val="1"/>
      <w:numFmt w:val="lowerLetter"/>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B9DF1CE"/>
    <w:multiLevelType w:val="hybridMultilevel"/>
    <w:tmpl w:val="3350DA4E"/>
    <w:lvl w:ilvl="0" w:tplc="63D68F28">
      <w:start w:val="1"/>
      <w:numFmt w:val="bullet"/>
      <w:lvlText w:val="·"/>
      <w:lvlJc w:val="left"/>
      <w:pPr>
        <w:ind w:left="720" w:hanging="360"/>
      </w:pPr>
      <w:rPr>
        <w:rFonts w:ascii="Symbol" w:hAnsi="Symbol" w:hint="default"/>
      </w:rPr>
    </w:lvl>
    <w:lvl w:ilvl="1" w:tplc="85A8EEE2">
      <w:start w:val="1"/>
      <w:numFmt w:val="bullet"/>
      <w:lvlText w:val="o"/>
      <w:lvlJc w:val="left"/>
      <w:pPr>
        <w:ind w:left="1440" w:hanging="360"/>
      </w:pPr>
      <w:rPr>
        <w:rFonts w:ascii="Courier New" w:hAnsi="Courier New" w:hint="default"/>
      </w:rPr>
    </w:lvl>
    <w:lvl w:ilvl="2" w:tplc="DBB681B4">
      <w:start w:val="1"/>
      <w:numFmt w:val="bullet"/>
      <w:lvlText w:val=""/>
      <w:lvlJc w:val="left"/>
      <w:pPr>
        <w:ind w:left="2160" w:hanging="360"/>
      </w:pPr>
      <w:rPr>
        <w:rFonts w:ascii="Wingdings" w:hAnsi="Wingdings" w:hint="default"/>
      </w:rPr>
    </w:lvl>
    <w:lvl w:ilvl="3" w:tplc="33E06420">
      <w:start w:val="1"/>
      <w:numFmt w:val="bullet"/>
      <w:lvlText w:val=""/>
      <w:lvlJc w:val="left"/>
      <w:pPr>
        <w:ind w:left="2880" w:hanging="360"/>
      </w:pPr>
      <w:rPr>
        <w:rFonts w:ascii="Symbol" w:hAnsi="Symbol" w:hint="default"/>
      </w:rPr>
    </w:lvl>
    <w:lvl w:ilvl="4" w:tplc="997E1E70">
      <w:start w:val="1"/>
      <w:numFmt w:val="bullet"/>
      <w:lvlText w:val="o"/>
      <w:lvlJc w:val="left"/>
      <w:pPr>
        <w:ind w:left="3600" w:hanging="360"/>
      </w:pPr>
      <w:rPr>
        <w:rFonts w:ascii="Courier New" w:hAnsi="Courier New" w:hint="default"/>
      </w:rPr>
    </w:lvl>
    <w:lvl w:ilvl="5" w:tplc="336884DA">
      <w:start w:val="1"/>
      <w:numFmt w:val="bullet"/>
      <w:lvlText w:val=""/>
      <w:lvlJc w:val="left"/>
      <w:pPr>
        <w:ind w:left="4320" w:hanging="360"/>
      </w:pPr>
      <w:rPr>
        <w:rFonts w:ascii="Wingdings" w:hAnsi="Wingdings" w:hint="default"/>
      </w:rPr>
    </w:lvl>
    <w:lvl w:ilvl="6" w:tplc="1282599E">
      <w:start w:val="1"/>
      <w:numFmt w:val="bullet"/>
      <w:lvlText w:val=""/>
      <w:lvlJc w:val="left"/>
      <w:pPr>
        <w:ind w:left="5040" w:hanging="360"/>
      </w:pPr>
      <w:rPr>
        <w:rFonts w:ascii="Symbol" w:hAnsi="Symbol" w:hint="default"/>
      </w:rPr>
    </w:lvl>
    <w:lvl w:ilvl="7" w:tplc="5F7C6EE8">
      <w:start w:val="1"/>
      <w:numFmt w:val="bullet"/>
      <w:lvlText w:val="o"/>
      <w:lvlJc w:val="left"/>
      <w:pPr>
        <w:ind w:left="5760" w:hanging="360"/>
      </w:pPr>
      <w:rPr>
        <w:rFonts w:ascii="Courier New" w:hAnsi="Courier New" w:hint="default"/>
      </w:rPr>
    </w:lvl>
    <w:lvl w:ilvl="8" w:tplc="22F693F4">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8"/>
  </w:num>
  <w:num w:numId="4">
    <w:abstractNumId w:val="0"/>
  </w:num>
  <w:num w:numId="5">
    <w:abstractNumId w:val="5"/>
  </w:num>
  <w:num w:numId="6">
    <w:abstractNumId w:val="14"/>
  </w:num>
  <w:num w:numId="7">
    <w:abstractNumId w:val="8"/>
  </w:num>
  <w:num w:numId="8">
    <w:abstractNumId w:val="3"/>
  </w:num>
  <w:num w:numId="9">
    <w:abstractNumId w:val="15"/>
  </w:num>
  <w:num w:numId="10">
    <w:abstractNumId w:val="6"/>
  </w:num>
  <w:num w:numId="11">
    <w:abstractNumId w:val="12"/>
  </w:num>
  <w:num w:numId="12">
    <w:abstractNumId w:val="1"/>
  </w:num>
  <w:num w:numId="13">
    <w:abstractNumId w:val="4"/>
  </w:num>
  <w:num w:numId="14">
    <w:abstractNumId w:val="9"/>
  </w:num>
  <w:num w:numId="15">
    <w:abstractNumId w:val="7"/>
  </w:num>
  <w:num w:numId="16">
    <w:abstractNumId w:val="11"/>
  </w:num>
  <w:num w:numId="17">
    <w:abstractNumId w:val="13"/>
  </w:num>
  <w:num w:numId="18">
    <w:abstractNumId w:val="17"/>
  </w:num>
  <w:num w:numId="1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12F9A6B-5161-4ECC-BA35-F48173A3916D"/>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action industriel en faveur du secteur automobile&lt;FMT:Font=Aptos&gt;_x000d__x000d_&lt;/FMT&gt;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4F02C6"/>
    <w:rsid w:val="00000211"/>
    <w:rsid w:val="000002E4"/>
    <w:rsid w:val="000003B2"/>
    <w:rsid w:val="000009BF"/>
    <w:rsid w:val="00000AA0"/>
    <w:rsid w:val="00000C3D"/>
    <w:rsid w:val="000013DB"/>
    <w:rsid w:val="00001549"/>
    <w:rsid w:val="000016A6"/>
    <w:rsid w:val="00001949"/>
    <w:rsid w:val="000019D5"/>
    <w:rsid w:val="0000201F"/>
    <w:rsid w:val="00002139"/>
    <w:rsid w:val="00002183"/>
    <w:rsid w:val="000023E9"/>
    <w:rsid w:val="00002886"/>
    <w:rsid w:val="0000296A"/>
    <w:rsid w:val="00002B0C"/>
    <w:rsid w:val="00002C7A"/>
    <w:rsid w:val="00002D77"/>
    <w:rsid w:val="00002ED6"/>
    <w:rsid w:val="00003118"/>
    <w:rsid w:val="000033CF"/>
    <w:rsid w:val="00003BB2"/>
    <w:rsid w:val="00003BC9"/>
    <w:rsid w:val="00003C88"/>
    <w:rsid w:val="00003E73"/>
    <w:rsid w:val="00003E8C"/>
    <w:rsid w:val="00004479"/>
    <w:rsid w:val="0000489E"/>
    <w:rsid w:val="00004F9B"/>
    <w:rsid w:val="0000531F"/>
    <w:rsid w:val="000053F4"/>
    <w:rsid w:val="000055BA"/>
    <w:rsid w:val="00005B68"/>
    <w:rsid w:val="00005E40"/>
    <w:rsid w:val="00005E5F"/>
    <w:rsid w:val="00005EB0"/>
    <w:rsid w:val="000064A9"/>
    <w:rsid w:val="000065CB"/>
    <w:rsid w:val="000066F7"/>
    <w:rsid w:val="00006C23"/>
    <w:rsid w:val="00006CFF"/>
    <w:rsid w:val="00006D21"/>
    <w:rsid w:val="00006E1E"/>
    <w:rsid w:val="00006E22"/>
    <w:rsid w:val="00006FA1"/>
    <w:rsid w:val="0000703C"/>
    <w:rsid w:val="0000720C"/>
    <w:rsid w:val="00007486"/>
    <w:rsid w:val="000078B3"/>
    <w:rsid w:val="00007AD2"/>
    <w:rsid w:val="00007B17"/>
    <w:rsid w:val="000100B1"/>
    <w:rsid w:val="000100D1"/>
    <w:rsid w:val="0001012B"/>
    <w:rsid w:val="00010397"/>
    <w:rsid w:val="000103CE"/>
    <w:rsid w:val="00010486"/>
    <w:rsid w:val="00010533"/>
    <w:rsid w:val="00010652"/>
    <w:rsid w:val="00010BBA"/>
    <w:rsid w:val="00010E76"/>
    <w:rsid w:val="00011193"/>
    <w:rsid w:val="00011238"/>
    <w:rsid w:val="00011B66"/>
    <w:rsid w:val="00011E4E"/>
    <w:rsid w:val="00011FAE"/>
    <w:rsid w:val="00012553"/>
    <w:rsid w:val="00012662"/>
    <w:rsid w:val="000126B0"/>
    <w:rsid w:val="0001278F"/>
    <w:rsid w:val="000128AC"/>
    <w:rsid w:val="00012C04"/>
    <w:rsid w:val="00013065"/>
    <w:rsid w:val="00013191"/>
    <w:rsid w:val="0001374C"/>
    <w:rsid w:val="00013F1A"/>
    <w:rsid w:val="00014078"/>
    <w:rsid w:val="000143B6"/>
    <w:rsid w:val="00014EC5"/>
    <w:rsid w:val="00015094"/>
    <w:rsid w:val="000154DC"/>
    <w:rsid w:val="00015B22"/>
    <w:rsid w:val="00015EC1"/>
    <w:rsid w:val="00015FBD"/>
    <w:rsid w:val="0001631F"/>
    <w:rsid w:val="00016371"/>
    <w:rsid w:val="00016700"/>
    <w:rsid w:val="00016836"/>
    <w:rsid w:val="00016BCA"/>
    <w:rsid w:val="0001712C"/>
    <w:rsid w:val="00017282"/>
    <w:rsid w:val="00017991"/>
    <w:rsid w:val="000179EB"/>
    <w:rsid w:val="00020292"/>
    <w:rsid w:val="000204A4"/>
    <w:rsid w:val="0002053C"/>
    <w:rsid w:val="00020881"/>
    <w:rsid w:val="000209BA"/>
    <w:rsid w:val="00020F9F"/>
    <w:rsid w:val="000215AA"/>
    <w:rsid w:val="00022026"/>
    <w:rsid w:val="00022207"/>
    <w:rsid w:val="00022517"/>
    <w:rsid w:val="00022620"/>
    <w:rsid w:val="0002311E"/>
    <w:rsid w:val="00023190"/>
    <w:rsid w:val="00023987"/>
    <w:rsid w:val="00023AF8"/>
    <w:rsid w:val="00023CBB"/>
    <w:rsid w:val="00023F6B"/>
    <w:rsid w:val="0002476F"/>
    <w:rsid w:val="0002553A"/>
    <w:rsid w:val="00025787"/>
    <w:rsid w:val="00025AC0"/>
    <w:rsid w:val="00025D88"/>
    <w:rsid w:val="00025ECE"/>
    <w:rsid w:val="00026084"/>
    <w:rsid w:val="000260F8"/>
    <w:rsid w:val="000261DA"/>
    <w:rsid w:val="00026220"/>
    <w:rsid w:val="00026648"/>
    <w:rsid w:val="00026869"/>
    <w:rsid w:val="000269E9"/>
    <w:rsid w:val="00026B67"/>
    <w:rsid w:val="00026C2A"/>
    <w:rsid w:val="000270DA"/>
    <w:rsid w:val="00027D09"/>
    <w:rsid w:val="00027F51"/>
    <w:rsid w:val="00030200"/>
    <w:rsid w:val="000305FE"/>
    <w:rsid w:val="0003076C"/>
    <w:rsid w:val="000307FF"/>
    <w:rsid w:val="000309FE"/>
    <w:rsid w:val="00030AA1"/>
    <w:rsid w:val="00031389"/>
    <w:rsid w:val="00031B30"/>
    <w:rsid w:val="00031CBE"/>
    <w:rsid w:val="00031E9A"/>
    <w:rsid w:val="0003274D"/>
    <w:rsid w:val="00032753"/>
    <w:rsid w:val="00032811"/>
    <w:rsid w:val="00032DC4"/>
    <w:rsid w:val="000332F6"/>
    <w:rsid w:val="0003338C"/>
    <w:rsid w:val="0003347D"/>
    <w:rsid w:val="000337E3"/>
    <w:rsid w:val="00033DCB"/>
    <w:rsid w:val="00034A4B"/>
    <w:rsid w:val="00034B38"/>
    <w:rsid w:val="00034D31"/>
    <w:rsid w:val="00035003"/>
    <w:rsid w:val="000352A3"/>
    <w:rsid w:val="00035AC3"/>
    <w:rsid w:val="00035C69"/>
    <w:rsid w:val="00035E60"/>
    <w:rsid w:val="00036128"/>
    <w:rsid w:val="000361E4"/>
    <w:rsid w:val="00036CD6"/>
    <w:rsid w:val="00036E2B"/>
    <w:rsid w:val="00037921"/>
    <w:rsid w:val="000379B7"/>
    <w:rsid w:val="000379EF"/>
    <w:rsid w:val="00037A29"/>
    <w:rsid w:val="00037DA2"/>
    <w:rsid w:val="00037F26"/>
    <w:rsid w:val="000401E7"/>
    <w:rsid w:val="00040AF1"/>
    <w:rsid w:val="00040C24"/>
    <w:rsid w:val="00040F3E"/>
    <w:rsid w:val="00041119"/>
    <w:rsid w:val="00041368"/>
    <w:rsid w:val="00041450"/>
    <w:rsid w:val="000414F8"/>
    <w:rsid w:val="00041D4A"/>
    <w:rsid w:val="00042062"/>
    <w:rsid w:val="00042225"/>
    <w:rsid w:val="000432CD"/>
    <w:rsid w:val="000437C7"/>
    <w:rsid w:val="00043881"/>
    <w:rsid w:val="000439F6"/>
    <w:rsid w:val="00043E9F"/>
    <w:rsid w:val="00043F58"/>
    <w:rsid w:val="000442A7"/>
    <w:rsid w:val="00044959"/>
    <w:rsid w:val="00044B8A"/>
    <w:rsid w:val="00044E3A"/>
    <w:rsid w:val="000452AB"/>
    <w:rsid w:val="00045356"/>
    <w:rsid w:val="00045376"/>
    <w:rsid w:val="0004595D"/>
    <w:rsid w:val="00045EC2"/>
    <w:rsid w:val="00045F50"/>
    <w:rsid w:val="00045F7A"/>
    <w:rsid w:val="000461CD"/>
    <w:rsid w:val="0004641D"/>
    <w:rsid w:val="000467C8"/>
    <w:rsid w:val="000471EE"/>
    <w:rsid w:val="0004732D"/>
    <w:rsid w:val="000473F8"/>
    <w:rsid w:val="000477B4"/>
    <w:rsid w:val="00047CEE"/>
    <w:rsid w:val="00047EC0"/>
    <w:rsid w:val="00050E2F"/>
    <w:rsid w:val="00050E4C"/>
    <w:rsid w:val="00051656"/>
    <w:rsid w:val="00051659"/>
    <w:rsid w:val="0005182F"/>
    <w:rsid w:val="0005191F"/>
    <w:rsid w:val="00051A9A"/>
    <w:rsid w:val="00052178"/>
    <w:rsid w:val="000528F1"/>
    <w:rsid w:val="000529FC"/>
    <w:rsid w:val="00052BDD"/>
    <w:rsid w:val="00052E15"/>
    <w:rsid w:val="00052E6E"/>
    <w:rsid w:val="000532AB"/>
    <w:rsid w:val="000533F7"/>
    <w:rsid w:val="000537C3"/>
    <w:rsid w:val="000538F2"/>
    <w:rsid w:val="00053BB1"/>
    <w:rsid w:val="00053BB2"/>
    <w:rsid w:val="00053BEB"/>
    <w:rsid w:val="00053E0A"/>
    <w:rsid w:val="0005411C"/>
    <w:rsid w:val="00054ACA"/>
    <w:rsid w:val="00054B06"/>
    <w:rsid w:val="00054BAE"/>
    <w:rsid w:val="00054EEA"/>
    <w:rsid w:val="00055AC2"/>
    <w:rsid w:val="000560A8"/>
    <w:rsid w:val="00056156"/>
    <w:rsid w:val="000561EF"/>
    <w:rsid w:val="0005623E"/>
    <w:rsid w:val="000565B1"/>
    <w:rsid w:val="00056794"/>
    <w:rsid w:val="000567B9"/>
    <w:rsid w:val="00056973"/>
    <w:rsid w:val="00056C26"/>
    <w:rsid w:val="00057118"/>
    <w:rsid w:val="000577F5"/>
    <w:rsid w:val="000577F6"/>
    <w:rsid w:val="00057D9F"/>
    <w:rsid w:val="00060160"/>
    <w:rsid w:val="00060315"/>
    <w:rsid w:val="0006032C"/>
    <w:rsid w:val="000603F5"/>
    <w:rsid w:val="00060947"/>
    <w:rsid w:val="00060B0C"/>
    <w:rsid w:val="00061331"/>
    <w:rsid w:val="0006163C"/>
    <w:rsid w:val="0006204D"/>
    <w:rsid w:val="000621F5"/>
    <w:rsid w:val="000624F5"/>
    <w:rsid w:val="00062AE8"/>
    <w:rsid w:val="00062C95"/>
    <w:rsid w:val="00062E45"/>
    <w:rsid w:val="00063180"/>
    <w:rsid w:val="00063258"/>
    <w:rsid w:val="000634E4"/>
    <w:rsid w:val="000639F5"/>
    <w:rsid w:val="00063AD9"/>
    <w:rsid w:val="00063C40"/>
    <w:rsid w:val="00063D03"/>
    <w:rsid w:val="00064390"/>
    <w:rsid w:val="0006481E"/>
    <w:rsid w:val="00064906"/>
    <w:rsid w:val="00064956"/>
    <w:rsid w:val="00064A5D"/>
    <w:rsid w:val="00064E58"/>
    <w:rsid w:val="000650AC"/>
    <w:rsid w:val="000655AC"/>
    <w:rsid w:val="0006569D"/>
    <w:rsid w:val="000657B9"/>
    <w:rsid w:val="00065934"/>
    <w:rsid w:val="00065C26"/>
    <w:rsid w:val="000661A3"/>
    <w:rsid w:val="000661AA"/>
    <w:rsid w:val="000661D5"/>
    <w:rsid w:val="00066231"/>
    <w:rsid w:val="00066470"/>
    <w:rsid w:val="00066553"/>
    <w:rsid w:val="00066894"/>
    <w:rsid w:val="00066B6B"/>
    <w:rsid w:val="00066D27"/>
    <w:rsid w:val="00066F49"/>
    <w:rsid w:val="000670E3"/>
    <w:rsid w:val="0006730D"/>
    <w:rsid w:val="00067341"/>
    <w:rsid w:val="000674E1"/>
    <w:rsid w:val="00067718"/>
    <w:rsid w:val="0006771F"/>
    <w:rsid w:val="00067C41"/>
    <w:rsid w:val="00067CB2"/>
    <w:rsid w:val="0007026F"/>
    <w:rsid w:val="00070492"/>
    <w:rsid w:val="00070692"/>
    <w:rsid w:val="000707C9"/>
    <w:rsid w:val="00070874"/>
    <w:rsid w:val="00070934"/>
    <w:rsid w:val="00070A81"/>
    <w:rsid w:val="00070C04"/>
    <w:rsid w:val="00070C89"/>
    <w:rsid w:val="00070E9A"/>
    <w:rsid w:val="00071052"/>
    <w:rsid w:val="00071223"/>
    <w:rsid w:val="000713C1"/>
    <w:rsid w:val="0007146C"/>
    <w:rsid w:val="000714CC"/>
    <w:rsid w:val="00071AF2"/>
    <w:rsid w:val="00071E90"/>
    <w:rsid w:val="00071EA0"/>
    <w:rsid w:val="00072178"/>
    <w:rsid w:val="00072646"/>
    <w:rsid w:val="0007294F"/>
    <w:rsid w:val="00072A3B"/>
    <w:rsid w:val="00072A7D"/>
    <w:rsid w:val="000732DC"/>
    <w:rsid w:val="00073AAA"/>
    <w:rsid w:val="00073D00"/>
    <w:rsid w:val="000740F0"/>
    <w:rsid w:val="000743F3"/>
    <w:rsid w:val="00074665"/>
    <w:rsid w:val="00074DA2"/>
    <w:rsid w:val="00074EAF"/>
    <w:rsid w:val="00075065"/>
    <w:rsid w:val="0007531A"/>
    <w:rsid w:val="00075640"/>
    <w:rsid w:val="000756CF"/>
    <w:rsid w:val="000756D4"/>
    <w:rsid w:val="000758FF"/>
    <w:rsid w:val="00075943"/>
    <w:rsid w:val="000759A7"/>
    <w:rsid w:val="00075AE3"/>
    <w:rsid w:val="00075B7A"/>
    <w:rsid w:val="00075FF5"/>
    <w:rsid w:val="00076168"/>
    <w:rsid w:val="00076B5E"/>
    <w:rsid w:val="00076BB9"/>
    <w:rsid w:val="00076FBD"/>
    <w:rsid w:val="00077537"/>
    <w:rsid w:val="0007790B"/>
    <w:rsid w:val="00077915"/>
    <w:rsid w:val="0007AFD5"/>
    <w:rsid w:val="000804E1"/>
    <w:rsid w:val="000805A0"/>
    <w:rsid w:val="000807EE"/>
    <w:rsid w:val="00080E49"/>
    <w:rsid w:val="00080E5E"/>
    <w:rsid w:val="0008114B"/>
    <w:rsid w:val="00082179"/>
    <w:rsid w:val="0008249A"/>
    <w:rsid w:val="000827A3"/>
    <w:rsid w:val="00082A54"/>
    <w:rsid w:val="00082C00"/>
    <w:rsid w:val="00082C40"/>
    <w:rsid w:val="00082CA4"/>
    <w:rsid w:val="00082CED"/>
    <w:rsid w:val="00082D6C"/>
    <w:rsid w:val="00082DD3"/>
    <w:rsid w:val="00083144"/>
    <w:rsid w:val="00083891"/>
    <w:rsid w:val="0008395E"/>
    <w:rsid w:val="00083CDC"/>
    <w:rsid w:val="00084195"/>
    <w:rsid w:val="000841BD"/>
    <w:rsid w:val="000844A3"/>
    <w:rsid w:val="00084684"/>
    <w:rsid w:val="0008474C"/>
    <w:rsid w:val="000848DA"/>
    <w:rsid w:val="00084A64"/>
    <w:rsid w:val="00084D32"/>
    <w:rsid w:val="00084F33"/>
    <w:rsid w:val="000855E2"/>
    <w:rsid w:val="00085CC9"/>
    <w:rsid w:val="000866B9"/>
    <w:rsid w:val="000866F3"/>
    <w:rsid w:val="000868EF"/>
    <w:rsid w:val="00086950"/>
    <w:rsid w:val="00086A7B"/>
    <w:rsid w:val="0008704B"/>
    <w:rsid w:val="0008725E"/>
    <w:rsid w:val="000875F6"/>
    <w:rsid w:val="00087C73"/>
    <w:rsid w:val="00087CC9"/>
    <w:rsid w:val="00087E5F"/>
    <w:rsid w:val="0009000F"/>
    <w:rsid w:val="00090074"/>
    <w:rsid w:val="000903B7"/>
    <w:rsid w:val="000903C7"/>
    <w:rsid w:val="00090456"/>
    <w:rsid w:val="000906B4"/>
    <w:rsid w:val="00090A4D"/>
    <w:rsid w:val="00090B11"/>
    <w:rsid w:val="00090C32"/>
    <w:rsid w:val="00090D7B"/>
    <w:rsid w:val="000914BE"/>
    <w:rsid w:val="00091575"/>
    <w:rsid w:val="00091867"/>
    <w:rsid w:val="00091E5F"/>
    <w:rsid w:val="00092045"/>
    <w:rsid w:val="000924F8"/>
    <w:rsid w:val="00092B2F"/>
    <w:rsid w:val="00092E4E"/>
    <w:rsid w:val="00093376"/>
    <w:rsid w:val="00093A35"/>
    <w:rsid w:val="00093B5A"/>
    <w:rsid w:val="00093E83"/>
    <w:rsid w:val="00093E88"/>
    <w:rsid w:val="000942F2"/>
    <w:rsid w:val="00094A64"/>
    <w:rsid w:val="00094CB0"/>
    <w:rsid w:val="00094D58"/>
    <w:rsid w:val="00094DCB"/>
    <w:rsid w:val="00094E52"/>
    <w:rsid w:val="00095257"/>
    <w:rsid w:val="00095492"/>
    <w:rsid w:val="00095596"/>
    <w:rsid w:val="000955E5"/>
    <w:rsid w:val="000957D6"/>
    <w:rsid w:val="00095ACD"/>
    <w:rsid w:val="00095C45"/>
    <w:rsid w:val="00095C57"/>
    <w:rsid w:val="00095C68"/>
    <w:rsid w:val="00095D90"/>
    <w:rsid w:val="00095EF1"/>
    <w:rsid w:val="00096333"/>
    <w:rsid w:val="00097601"/>
    <w:rsid w:val="00097744"/>
    <w:rsid w:val="00097C9D"/>
    <w:rsid w:val="00097CD1"/>
    <w:rsid w:val="0009BFCF"/>
    <w:rsid w:val="000A0013"/>
    <w:rsid w:val="000A0150"/>
    <w:rsid w:val="000A021A"/>
    <w:rsid w:val="000A030B"/>
    <w:rsid w:val="000A05BF"/>
    <w:rsid w:val="000A0779"/>
    <w:rsid w:val="000A077F"/>
    <w:rsid w:val="000A08A5"/>
    <w:rsid w:val="000A0A13"/>
    <w:rsid w:val="000A0B55"/>
    <w:rsid w:val="000A0B85"/>
    <w:rsid w:val="000A0EEF"/>
    <w:rsid w:val="000A1332"/>
    <w:rsid w:val="000A156C"/>
    <w:rsid w:val="000A1710"/>
    <w:rsid w:val="000A174A"/>
    <w:rsid w:val="000A1877"/>
    <w:rsid w:val="000A1C7D"/>
    <w:rsid w:val="000A24C9"/>
    <w:rsid w:val="000A25B3"/>
    <w:rsid w:val="000A2790"/>
    <w:rsid w:val="000A27B0"/>
    <w:rsid w:val="000A2D5C"/>
    <w:rsid w:val="000A3878"/>
    <w:rsid w:val="000A3977"/>
    <w:rsid w:val="000A3E82"/>
    <w:rsid w:val="000A3EC0"/>
    <w:rsid w:val="000A4167"/>
    <w:rsid w:val="000A4AB2"/>
    <w:rsid w:val="000A4BFA"/>
    <w:rsid w:val="000A4CB0"/>
    <w:rsid w:val="000A4FD0"/>
    <w:rsid w:val="000A53AD"/>
    <w:rsid w:val="000A548C"/>
    <w:rsid w:val="000A5DDE"/>
    <w:rsid w:val="000A5ECE"/>
    <w:rsid w:val="000A60D0"/>
    <w:rsid w:val="000A65BE"/>
    <w:rsid w:val="000A662E"/>
    <w:rsid w:val="000A66A6"/>
    <w:rsid w:val="000A6937"/>
    <w:rsid w:val="000A6A14"/>
    <w:rsid w:val="000A6AF0"/>
    <w:rsid w:val="000A7142"/>
    <w:rsid w:val="000A7228"/>
    <w:rsid w:val="000A724E"/>
    <w:rsid w:val="000A74E6"/>
    <w:rsid w:val="000A7AA4"/>
    <w:rsid w:val="000A7CFB"/>
    <w:rsid w:val="000A7F56"/>
    <w:rsid w:val="000B008F"/>
    <w:rsid w:val="000B00BF"/>
    <w:rsid w:val="000B010E"/>
    <w:rsid w:val="000B018E"/>
    <w:rsid w:val="000B0263"/>
    <w:rsid w:val="000B07AA"/>
    <w:rsid w:val="000B0DF2"/>
    <w:rsid w:val="000B0E5B"/>
    <w:rsid w:val="000B0FA5"/>
    <w:rsid w:val="000B1181"/>
    <w:rsid w:val="000B11DD"/>
    <w:rsid w:val="000B1225"/>
    <w:rsid w:val="000B145B"/>
    <w:rsid w:val="000B1528"/>
    <w:rsid w:val="000B1711"/>
    <w:rsid w:val="000B18CA"/>
    <w:rsid w:val="000B1CB3"/>
    <w:rsid w:val="000B2A4F"/>
    <w:rsid w:val="000B2B59"/>
    <w:rsid w:val="000B2BB3"/>
    <w:rsid w:val="000B2BE9"/>
    <w:rsid w:val="000B3028"/>
    <w:rsid w:val="000B3387"/>
    <w:rsid w:val="000B33A9"/>
    <w:rsid w:val="000B33ED"/>
    <w:rsid w:val="000B350B"/>
    <w:rsid w:val="000B3524"/>
    <w:rsid w:val="000B3644"/>
    <w:rsid w:val="000B3825"/>
    <w:rsid w:val="000B38CD"/>
    <w:rsid w:val="000B39CC"/>
    <w:rsid w:val="000B406B"/>
    <w:rsid w:val="000B4930"/>
    <w:rsid w:val="000B4CBB"/>
    <w:rsid w:val="000B549E"/>
    <w:rsid w:val="000B564A"/>
    <w:rsid w:val="000B5862"/>
    <w:rsid w:val="000B5AB5"/>
    <w:rsid w:val="000B5BF4"/>
    <w:rsid w:val="000B5BF7"/>
    <w:rsid w:val="000B5C07"/>
    <w:rsid w:val="000B5E33"/>
    <w:rsid w:val="000B62BE"/>
    <w:rsid w:val="000B6464"/>
    <w:rsid w:val="000B6C37"/>
    <w:rsid w:val="000B6D8C"/>
    <w:rsid w:val="000B7122"/>
    <w:rsid w:val="000B718D"/>
    <w:rsid w:val="000B71A9"/>
    <w:rsid w:val="000B72C1"/>
    <w:rsid w:val="000B7440"/>
    <w:rsid w:val="000B74F1"/>
    <w:rsid w:val="000B7670"/>
    <w:rsid w:val="000B7777"/>
    <w:rsid w:val="000B77C6"/>
    <w:rsid w:val="000B7E69"/>
    <w:rsid w:val="000B7F5A"/>
    <w:rsid w:val="000C0C82"/>
    <w:rsid w:val="000C0DC3"/>
    <w:rsid w:val="000C0FBF"/>
    <w:rsid w:val="000C12E8"/>
    <w:rsid w:val="000C17AD"/>
    <w:rsid w:val="000C1865"/>
    <w:rsid w:val="000C2022"/>
    <w:rsid w:val="000C20DD"/>
    <w:rsid w:val="000C250A"/>
    <w:rsid w:val="000C2BB4"/>
    <w:rsid w:val="000C2C72"/>
    <w:rsid w:val="000C2E88"/>
    <w:rsid w:val="000C3118"/>
    <w:rsid w:val="000C31E7"/>
    <w:rsid w:val="000C33B5"/>
    <w:rsid w:val="000C3624"/>
    <w:rsid w:val="000C3693"/>
    <w:rsid w:val="000C36FB"/>
    <w:rsid w:val="000C3C25"/>
    <w:rsid w:val="000C3DBA"/>
    <w:rsid w:val="000C4362"/>
    <w:rsid w:val="000C4ABC"/>
    <w:rsid w:val="000C5043"/>
    <w:rsid w:val="000C50FC"/>
    <w:rsid w:val="000C51F5"/>
    <w:rsid w:val="000C57B9"/>
    <w:rsid w:val="000C5817"/>
    <w:rsid w:val="000C5A68"/>
    <w:rsid w:val="000C5B21"/>
    <w:rsid w:val="000C5D09"/>
    <w:rsid w:val="000C63E6"/>
    <w:rsid w:val="000C6618"/>
    <w:rsid w:val="000C70FD"/>
    <w:rsid w:val="000C74A0"/>
    <w:rsid w:val="000C7741"/>
    <w:rsid w:val="000C7F96"/>
    <w:rsid w:val="000D0496"/>
    <w:rsid w:val="000D06F6"/>
    <w:rsid w:val="000D0AB7"/>
    <w:rsid w:val="000D0C95"/>
    <w:rsid w:val="000D0F4D"/>
    <w:rsid w:val="000D1043"/>
    <w:rsid w:val="000D1820"/>
    <w:rsid w:val="000D1AEC"/>
    <w:rsid w:val="000D201B"/>
    <w:rsid w:val="000D21F0"/>
    <w:rsid w:val="000D227C"/>
    <w:rsid w:val="000D2521"/>
    <w:rsid w:val="000D2775"/>
    <w:rsid w:val="000D299A"/>
    <w:rsid w:val="000D2F10"/>
    <w:rsid w:val="000D2F2C"/>
    <w:rsid w:val="000D2F35"/>
    <w:rsid w:val="000D2F43"/>
    <w:rsid w:val="000D2F9F"/>
    <w:rsid w:val="000D2FD8"/>
    <w:rsid w:val="000D3035"/>
    <w:rsid w:val="000D3150"/>
    <w:rsid w:val="000D330D"/>
    <w:rsid w:val="000D376F"/>
    <w:rsid w:val="000D3881"/>
    <w:rsid w:val="000D3A13"/>
    <w:rsid w:val="000D3AE4"/>
    <w:rsid w:val="000D44DB"/>
    <w:rsid w:val="000D47D8"/>
    <w:rsid w:val="000D4916"/>
    <w:rsid w:val="000D499B"/>
    <w:rsid w:val="000D535C"/>
    <w:rsid w:val="000D5575"/>
    <w:rsid w:val="000D574A"/>
    <w:rsid w:val="000D5759"/>
    <w:rsid w:val="000D58AF"/>
    <w:rsid w:val="000D5C4F"/>
    <w:rsid w:val="000D5C9E"/>
    <w:rsid w:val="000D5E29"/>
    <w:rsid w:val="000D6B6D"/>
    <w:rsid w:val="000D6BBE"/>
    <w:rsid w:val="000D6BE3"/>
    <w:rsid w:val="000D6C41"/>
    <w:rsid w:val="000D6C65"/>
    <w:rsid w:val="000D6C88"/>
    <w:rsid w:val="000D78B2"/>
    <w:rsid w:val="000D799F"/>
    <w:rsid w:val="000D7E05"/>
    <w:rsid w:val="000D7F21"/>
    <w:rsid w:val="000D8520"/>
    <w:rsid w:val="000E0B09"/>
    <w:rsid w:val="000E0D45"/>
    <w:rsid w:val="000E0E33"/>
    <w:rsid w:val="000E0E6A"/>
    <w:rsid w:val="000E134A"/>
    <w:rsid w:val="000E1E4E"/>
    <w:rsid w:val="000E1E74"/>
    <w:rsid w:val="000E1E92"/>
    <w:rsid w:val="000E1F82"/>
    <w:rsid w:val="000E20F0"/>
    <w:rsid w:val="000E2143"/>
    <w:rsid w:val="000E2307"/>
    <w:rsid w:val="000E23CA"/>
    <w:rsid w:val="000E2511"/>
    <w:rsid w:val="000E26EC"/>
    <w:rsid w:val="000E2B01"/>
    <w:rsid w:val="000E2D08"/>
    <w:rsid w:val="000E2E25"/>
    <w:rsid w:val="000E30E6"/>
    <w:rsid w:val="000E32AA"/>
    <w:rsid w:val="000E32FD"/>
    <w:rsid w:val="000E369D"/>
    <w:rsid w:val="000E41D9"/>
    <w:rsid w:val="000E43D1"/>
    <w:rsid w:val="000E4531"/>
    <w:rsid w:val="000E4716"/>
    <w:rsid w:val="000E483D"/>
    <w:rsid w:val="000E48AB"/>
    <w:rsid w:val="000E4EA2"/>
    <w:rsid w:val="000E53A9"/>
    <w:rsid w:val="000E5494"/>
    <w:rsid w:val="000E550C"/>
    <w:rsid w:val="000E56DD"/>
    <w:rsid w:val="000E5778"/>
    <w:rsid w:val="000E5C31"/>
    <w:rsid w:val="000E60C1"/>
    <w:rsid w:val="000E640D"/>
    <w:rsid w:val="000E64F1"/>
    <w:rsid w:val="000E68AE"/>
    <w:rsid w:val="000E6A38"/>
    <w:rsid w:val="000E6A72"/>
    <w:rsid w:val="000E6D37"/>
    <w:rsid w:val="000E6E36"/>
    <w:rsid w:val="000E6E85"/>
    <w:rsid w:val="000E709A"/>
    <w:rsid w:val="000E7124"/>
    <w:rsid w:val="000E7521"/>
    <w:rsid w:val="000F01FA"/>
    <w:rsid w:val="000F0214"/>
    <w:rsid w:val="000F02FF"/>
    <w:rsid w:val="000F0461"/>
    <w:rsid w:val="000F1236"/>
    <w:rsid w:val="000F1A18"/>
    <w:rsid w:val="000F1E62"/>
    <w:rsid w:val="000F1E76"/>
    <w:rsid w:val="000F1EC6"/>
    <w:rsid w:val="000F2856"/>
    <w:rsid w:val="000F2A35"/>
    <w:rsid w:val="000F2BCB"/>
    <w:rsid w:val="000F2E8D"/>
    <w:rsid w:val="000F3323"/>
    <w:rsid w:val="000F341D"/>
    <w:rsid w:val="000F3865"/>
    <w:rsid w:val="000F3AB3"/>
    <w:rsid w:val="000F3C99"/>
    <w:rsid w:val="000F4283"/>
    <w:rsid w:val="000F44E3"/>
    <w:rsid w:val="000F44F2"/>
    <w:rsid w:val="000F46A9"/>
    <w:rsid w:val="000F46F7"/>
    <w:rsid w:val="000F47E2"/>
    <w:rsid w:val="000F4A3E"/>
    <w:rsid w:val="000F5857"/>
    <w:rsid w:val="000F5917"/>
    <w:rsid w:val="000F5960"/>
    <w:rsid w:val="000F5FFB"/>
    <w:rsid w:val="000F6249"/>
    <w:rsid w:val="000F6276"/>
    <w:rsid w:val="000F6337"/>
    <w:rsid w:val="000F6D7D"/>
    <w:rsid w:val="000F6D7F"/>
    <w:rsid w:val="000F6DAC"/>
    <w:rsid w:val="000F6F91"/>
    <w:rsid w:val="000F710E"/>
    <w:rsid w:val="000F7492"/>
    <w:rsid w:val="000F75DA"/>
    <w:rsid w:val="000F7889"/>
    <w:rsid w:val="000F7A6B"/>
    <w:rsid w:val="000F7B7F"/>
    <w:rsid w:val="000F7CFB"/>
    <w:rsid w:val="000F7E8D"/>
    <w:rsid w:val="000F7F7D"/>
    <w:rsid w:val="00100B55"/>
    <w:rsid w:val="00100C19"/>
    <w:rsid w:val="00100DC9"/>
    <w:rsid w:val="00100F65"/>
    <w:rsid w:val="00100FF8"/>
    <w:rsid w:val="001012EC"/>
    <w:rsid w:val="0010168F"/>
    <w:rsid w:val="00101D4A"/>
    <w:rsid w:val="00101DFA"/>
    <w:rsid w:val="00101F65"/>
    <w:rsid w:val="00102BC5"/>
    <w:rsid w:val="001030AE"/>
    <w:rsid w:val="00103632"/>
    <w:rsid w:val="00103A2F"/>
    <w:rsid w:val="00103D48"/>
    <w:rsid w:val="00103ED8"/>
    <w:rsid w:val="00104273"/>
    <w:rsid w:val="00104346"/>
    <w:rsid w:val="00104493"/>
    <w:rsid w:val="00104756"/>
    <w:rsid w:val="00104A4B"/>
    <w:rsid w:val="00105318"/>
    <w:rsid w:val="00105831"/>
    <w:rsid w:val="0010595F"/>
    <w:rsid w:val="00106561"/>
    <w:rsid w:val="00107185"/>
    <w:rsid w:val="00107906"/>
    <w:rsid w:val="00107AA1"/>
    <w:rsid w:val="00107B82"/>
    <w:rsid w:val="00107D77"/>
    <w:rsid w:val="00110126"/>
    <w:rsid w:val="00110237"/>
    <w:rsid w:val="001102AF"/>
    <w:rsid w:val="00110394"/>
    <w:rsid w:val="0011053B"/>
    <w:rsid w:val="001105A1"/>
    <w:rsid w:val="00110AC6"/>
    <w:rsid w:val="0011150B"/>
    <w:rsid w:val="0011235B"/>
    <w:rsid w:val="001123C5"/>
    <w:rsid w:val="001124E2"/>
    <w:rsid w:val="0011259A"/>
    <w:rsid w:val="0011267B"/>
    <w:rsid w:val="001126B5"/>
    <w:rsid w:val="00112813"/>
    <w:rsid w:val="001129CA"/>
    <w:rsid w:val="00112AF3"/>
    <w:rsid w:val="00112FEB"/>
    <w:rsid w:val="00113250"/>
    <w:rsid w:val="001132FB"/>
    <w:rsid w:val="001135D2"/>
    <w:rsid w:val="001136AE"/>
    <w:rsid w:val="001137B9"/>
    <w:rsid w:val="00113C68"/>
    <w:rsid w:val="00113E75"/>
    <w:rsid w:val="00113F04"/>
    <w:rsid w:val="00114092"/>
    <w:rsid w:val="00114587"/>
    <w:rsid w:val="001147A1"/>
    <w:rsid w:val="001147C3"/>
    <w:rsid w:val="00114BB4"/>
    <w:rsid w:val="001156A8"/>
    <w:rsid w:val="001156C6"/>
    <w:rsid w:val="00115941"/>
    <w:rsid w:val="00115AF6"/>
    <w:rsid w:val="00115F41"/>
    <w:rsid w:val="00116607"/>
    <w:rsid w:val="00116749"/>
    <w:rsid w:val="001169D7"/>
    <w:rsid w:val="00116ADA"/>
    <w:rsid w:val="00117ABD"/>
    <w:rsid w:val="00117B34"/>
    <w:rsid w:val="00117B8B"/>
    <w:rsid w:val="00117C0A"/>
    <w:rsid w:val="00117C1C"/>
    <w:rsid w:val="00117F46"/>
    <w:rsid w:val="0012054C"/>
    <w:rsid w:val="0012098A"/>
    <w:rsid w:val="00120A5B"/>
    <w:rsid w:val="00120CA5"/>
    <w:rsid w:val="00121013"/>
    <w:rsid w:val="0012114F"/>
    <w:rsid w:val="0012115F"/>
    <w:rsid w:val="001212F3"/>
    <w:rsid w:val="0012144A"/>
    <w:rsid w:val="0012146B"/>
    <w:rsid w:val="00121563"/>
    <w:rsid w:val="00121B8D"/>
    <w:rsid w:val="00122292"/>
    <w:rsid w:val="00122716"/>
    <w:rsid w:val="001229C4"/>
    <w:rsid w:val="001232B6"/>
    <w:rsid w:val="0012332B"/>
    <w:rsid w:val="001235CF"/>
    <w:rsid w:val="00123766"/>
    <w:rsid w:val="001238A9"/>
    <w:rsid w:val="00123933"/>
    <w:rsid w:val="00123AAD"/>
    <w:rsid w:val="001244BE"/>
    <w:rsid w:val="001245C2"/>
    <w:rsid w:val="00124A73"/>
    <w:rsid w:val="00125202"/>
    <w:rsid w:val="00125574"/>
    <w:rsid w:val="001257EE"/>
    <w:rsid w:val="0012591D"/>
    <w:rsid w:val="00125BDF"/>
    <w:rsid w:val="00125EC9"/>
    <w:rsid w:val="00126BB8"/>
    <w:rsid w:val="00126CA0"/>
    <w:rsid w:val="001272D7"/>
    <w:rsid w:val="0012782C"/>
    <w:rsid w:val="00127864"/>
    <w:rsid w:val="00127A7C"/>
    <w:rsid w:val="00127F1D"/>
    <w:rsid w:val="0013008C"/>
    <w:rsid w:val="001300B1"/>
    <w:rsid w:val="0013106A"/>
    <w:rsid w:val="00131644"/>
    <w:rsid w:val="001317F0"/>
    <w:rsid w:val="00131AFB"/>
    <w:rsid w:val="00131C2A"/>
    <w:rsid w:val="00131DD6"/>
    <w:rsid w:val="001322B6"/>
    <w:rsid w:val="00132593"/>
    <w:rsid w:val="00132694"/>
    <w:rsid w:val="001326C0"/>
    <w:rsid w:val="00132E41"/>
    <w:rsid w:val="00133313"/>
    <w:rsid w:val="00133A67"/>
    <w:rsid w:val="001343BA"/>
    <w:rsid w:val="00134D86"/>
    <w:rsid w:val="00134DD5"/>
    <w:rsid w:val="00134F04"/>
    <w:rsid w:val="00135270"/>
    <w:rsid w:val="0013539A"/>
    <w:rsid w:val="00135538"/>
    <w:rsid w:val="00135D2D"/>
    <w:rsid w:val="001366B7"/>
    <w:rsid w:val="0013678A"/>
    <w:rsid w:val="001367AC"/>
    <w:rsid w:val="001368D6"/>
    <w:rsid w:val="001369F1"/>
    <w:rsid w:val="00136B5C"/>
    <w:rsid w:val="00136B62"/>
    <w:rsid w:val="00136DB7"/>
    <w:rsid w:val="00136EB4"/>
    <w:rsid w:val="00136FE2"/>
    <w:rsid w:val="001370D8"/>
    <w:rsid w:val="001373CD"/>
    <w:rsid w:val="00137584"/>
    <w:rsid w:val="001375AE"/>
    <w:rsid w:val="001375E8"/>
    <w:rsid w:val="00137737"/>
    <w:rsid w:val="00137C12"/>
    <w:rsid w:val="00140180"/>
    <w:rsid w:val="001403A5"/>
    <w:rsid w:val="001403C8"/>
    <w:rsid w:val="00140430"/>
    <w:rsid w:val="00140C0E"/>
    <w:rsid w:val="00140E5C"/>
    <w:rsid w:val="00140F43"/>
    <w:rsid w:val="00141138"/>
    <w:rsid w:val="001412EC"/>
    <w:rsid w:val="0014137B"/>
    <w:rsid w:val="0014164F"/>
    <w:rsid w:val="00141C65"/>
    <w:rsid w:val="00141E8B"/>
    <w:rsid w:val="00141EF3"/>
    <w:rsid w:val="00142037"/>
    <w:rsid w:val="00142061"/>
    <w:rsid w:val="00142226"/>
    <w:rsid w:val="001424D1"/>
    <w:rsid w:val="00142858"/>
    <w:rsid w:val="001429D9"/>
    <w:rsid w:val="00142AD7"/>
    <w:rsid w:val="00142D6D"/>
    <w:rsid w:val="00142FA6"/>
    <w:rsid w:val="0014317A"/>
    <w:rsid w:val="00143333"/>
    <w:rsid w:val="0014355B"/>
    <w:rsid w:val="0014367A"/>
    <w:rsid w:val="0014368B"/>
    <w:rsid w:val="00143831"/>
    <w:rsid w:val="00143C3E"/>
    <w:rsid w:val="001441E6"/>
    <w:rsid w:val="00144299"/>
    <w:rsid w:val="00144382"/>
    <w:rsid w:val="001449D1"/>
    <w:rsid w:val="00144A9C"/>
    <w:rsid w:val="00144F45"/>
    <w:rsid w:val="001451C0"/>
    <w:rsid w:val="0014543A"/>
    <w:rsid w:val="00145638"/>
    <w:rsid w:val="00145701"/>
    <w:rsid w:val="00145926"/>
    <w:rsid w:val="00145A00"/>
    <w:rsid w:val="00145B25"/>
    <w:rsid w:val="001460D8"/>
    <w:rsid w:val="001462A0"/>
    <w:rsid w:val="00146331"/>
    <w:rsid w:val="001465BD"/>
    <w:rsid w:val="00146C84"/>
    <w:rsid w:val="00146EF2"/>
    <w:rsid w:val="00147355"/>
    <w:rsid w:val="00147560"/>
    <w:rsid w:val="00147575"/>
    <w:rsid w:val="001475A1"/>
    <w:rsid w:val="00147C57"/>
    <w:rsid w:val="00150395"/>
    <w:rsid w:val="001504C3"/>
    <w:rsid w:val="00150523"/>
    <w:rsid w:val="00150809"/>
    <w:rsid w:val="00150EA3"/>
    <w:rsid w:val="00151184"/>
    <w:rsid w:val="0015179D"/>
    <w:rsid w:val="00151989"/>
    <w:rsid w:val="00151CFA"/>
    <w:rsid w:val="00151F34"/>
    <w:rsid w:val="00152045"/>
    <w:rsid w:val="00152064"/>
    <w:rsid w:val="001527EF"/>
    <w:rsid w:val="00152922"/>
    <w:rsid w:val="00152EEA"/>
    <w:rsid w:val="00153107"/>
    <w:rsid w:val="00153289"/>
    <w:rsid w:val="00153427"/>
    <w:rsid w:val="00153613"/>
    <w:rsid w:val="001536E1"/>
    <w:rsid w:val="001538D4"/>
    <w:rsid w:val="00153BE2"/>
    <w:rsid w:val="00153D43"/>
    <w:rsid w:val="00154453"/>
    <w:rsid w:val="001544C4"/>
    <w:rsid w:val="001545F3"/>
    <w:rsid w:val="00154BD7"/>
    <w:rsid w:val="00155132"/>
    <w:rsid w:val="0015520D"/>
    <w:rsid w:val="0015541B"/>
    <w:rsid w:val="0015586D"/>
    <w:rsid w:val="00155C4B"/>
    <w:rsid w:val="00155CC5"/>
    <w:rsid w:val="00155FB0"/>
    <w:rsid w:val="00156065"/>
    <w:rsid w:val="001561E4"/>
    <w:rsid w:val="001564BA"/>
    <w:rsid w:val="0015663E"/>
    <w:rsid w:val="00156C25"/>
    <w:rsid w:val="00156CEB"/>
    <w:rsid w:val="00156E1C"/>
    <w:rsid w:val="0015717E"/>
    <w:rsid w:val="0015720F"/>
    <w:rsid w:val="0015721C"/>
    <w:rsid w:val="00157230"/>
    <w:rsid w:val="0015737C"/>
    <w:rsid w:val="001575BF"/>
    <w:rsid w:val="0015780D"/>
    <w:rsid w:val="001579B5"/>
    <w:rsid w:val="00157C91"/>
    <w:rsid w:val="00157CE4"/>
    <w:rsid w:val="00157E7D"/>
    <w:rsid w:val="0015BE90"/>
    <w:rsid w:val="001602B5"/>
    <w:rsid w:val="0016049B"/>
    <w:rsid w:val="00160AF3"/>
    <w:rsid w:val="00160C93"/>
    <w:rsid w:val="00161024"/>
    <w:rsid w:val="001614D8"/>
    <w:rsid w:val="001616AD"/>
    <w:rsid w:val="00161EC3"/>
    <w:rsid w:val="00161F9F"/>
    <w:rsid w:val="001622B0"/>
    <w:rsid w:val="00162366"/>
    <w:rsid w:val="001627B3"/>
    <w:rsid w:val="001628E8"/>
    <w:rsid w:val="00162D35"/>
    <w:rsid w:val="00163680"/>
    <w:rsid w:val="001637FB"/>
    <w:rsid w:val="00163940"/>
    <w:rsid w:val="00163C10"/>
    <w:rsid w:val="00163FEF"/>
    <w:rsid w:val="00164088"/>
    <w:rsid w:val="00164234"/>
    <w:rsid w:val="001643D6"/>
    <w:rsid w:val="00164679"/>
    <w:rsid w:val="00164C1C"/>
    <w:rsid w:val="00164D04"/>
    <w:rsid w:val="00165085"/>
    <w:rsid w:val="001650AF"/>
    <w:rsid w:val="00165208"/>
    <w:rsid w:val="001656B2"/>
    <w:rsid w:val="00165975"/>
    <w:rsid w:val="00165BDF"/>
    <w:rsid w:val="00165DA2"/>
    <w:rsid w:val="00165E91"/>
    <w:rsid w:val="001664CA"/>
    <w:rsid w:val="00166853"/>
    <w:rsid w:val="00166C8E"/>
    <w:rsid w:val="00166FBC"/>
    <w:rsid w:val="001671E1"/>
    <w:rsid w:val="00167A50"/>
    <w:rsid w:val="00167BDB"/>
    <w:rsid w:val="001700DC"/>
    <w:rsid w:val="00170337"/>
    <w:rsid w:val="0017040E"/>
    <w:rsid w:val="001705E8"/>
    <w:rsid w:val="00170964"/>
    <w:rsid w:val="00170A18"/>
    <w:rsid w:val="00170CC9"/>
    <w:rsid w:val="0017114A"/>
    <w:rsid w:val="001711C0"/>
    <w:rsid w:val="0017179E"/>
    <w:rsid w:val="00171BBD"/>
    <w:rsid w:val="00171D28"/>
    <w:rsid w:val="00171F67"/>
    <w:rsid w:val="00171F78"/>
    <w:rsid w:val="00172371"/>
    <w:rsid w:val="001724D4"/>
    <w:rsid w:val="00172561"/>
    <w:rsid w:val="001725DE"/>
    <w:rsid w:val="00172635"/>
    <w:rsid w:val="00172A18"/>
    <w:rsid w:val="00172CC9"/>
    <w:rsid w:val="001733BC"/>
    <w:rsid w:val="00173643"/>
    <w:rsid w:val="00173891"/>
    <w:rsid w:val="00173D12"/>
    <w:rsid w:val="00174262"/>
    <w:rsid w:val="001743AB"/>
    <w:rsid w:val="0017445C"/>
    <w:rsid w:val="0017455F"/>
    <w:rsid w:val="0017469D"/>
    <w:rsid w:val="0017474C"/>
    <w:rsid w:val="00174A92"/>
    <w:rsid w:val="00174ADA"/>
    <w:rsid w:val="00174CD8"/>
    <w:rsid w:val="00174E6B"/>
    <w:rsid w:val="00174EAA"/>
    <w:rsid w:val="001752B2"/>
    <w:rsid w:val="00175828"/>
    <w:rsid w:val="001759E6"/>
    <w:rsid w:val="00175CDC"/>
    <w:rsid w:val="00176435"/>
    <w:rsid w:val="0017662A"/>
    <w:rsid w:val="0017704A"/>
    <w:rsid w:val="001770DD"/>
    <w:rsid w:val="00177502"/>
    <w:rsid w:val="0017758F"/>
    <w:rsid w:val="00177796"/>
    <w:rsid w:val="00180209"/>
    <w:rsid w:val="001805CC"/>
    <w:rsid w:val="0018098A"/>
    <w:rsid w:val="001809D3"/>
    <w:rsid w:val="00180BD8"/>
    <w:rsid w:val="00181067"/>
    <w:rsid w:val="00181075"/>
    <w:rsid w:val="001810FE"/>
    <w:rsid w:val="001812B4"/>
    <w:rsid w:val="001814D8"/>
    <w:rsid w:val="00181587"/>
    <w:rsid w:val="00181714"/>
    <w:rsid w:val="00181C2C"/>
    <w:rsid w:val="00181EA8"/>
    <w:rsid w:val="00182245"/>
    <w:rsid w:val="00182441"/>
    <w:rsid w:val="0018327E"/>
    <w:rsid w:val="001833FF"/>
    <w:rsid w:val="0018386A"/>
    <w:rsid w:val="001838A6"/>
    <w:rsid w:val="0018396C"/>
    <w:rsid w:val="00183AA0"/>
    <w:rsid w:val="00183B68"/>
    <w:rsid w:val="00183BDC"/>
    <w:rsid w:val="00183C3B"/>
    <w:rsid w:val="00183E76"/>
    <w:rsid w:val="001840E5"/>
    <w:rsid w:val="0018420D"/>
    <w:rsid w:val="001843E7"/>
    <w:rsid w:val="00184411"/>
    <w:rsid w:val="00184487"/>
    <w:rsid w:val="00184797"/>
    <w:rsid w:val="00184A73"/>
    <w:rsid w:val="00184AEC"/>
    <w:rsid w:val="00184D1F"/>
    <w:rsid w:val="001857E6"/>
    <w:rsid w:val="00185BFE"/>
    <w:rsid w:val="00185D17"/>
    <w:rsid w:val="00185D48"/>
    <w:rsid w:val="00186192"/>
    <w:rsid w:val="00186208"/>
    <w:rsid w:val="0018623B"/>
    <w:rsid w:val="001863F7"/>
    <w:rsid w:val="0018642E"/>
    <w:rsid w:val="001868EA"/>
    <w:rsid w:val="00186B79"/>
    <w:rsid w:val="00186D12"/>
    <w:rsid w:val="00186F97"/>
    <w:rsid w:val="00186FF1"/>
    <w:rsid w:val="00187379"/>
    <w:rsid w:val="00187D9B"/>
    <w:rsid w:val="00190094"/>
    <w:rsid w:val="001902E5"/>
    <w:rsid w:val="00190A85"/>
    <w:rsid w:val="00190A93"/>
    <w:rsid w:val="00190BCE"/>
    <w:rsid w:val="00190D06"/>
    <w:rsid w:val="00190E61"/>
    <w:rsid w:val="00190F71"/>
    <w:rsid w:val="001910EE"/>
    <w:rsid w:val="00191186"/>
    <w:rsid w:val="0019126F"/>
    <w:rsid w:val="00191301"/>
    <w:rsid w:val="00191667"/>
    <w:rsid w:val="001917F4"/>
    <w:rsid w:val="00191AFD"/>
    <w:rsid w:val="00191CA5"/>
    <w:rsid w:val="00191CD2"/>
    <w:rsid w:val="0019201F"/>
    <w:rsid w:val="0019275F"/>
    <w:rsid w:val="0019280E"/>
    <w:rsid w:val="0019296B"/>
    <w:rsid w:val="00192B2E"/>
    <w:rsid w:val="00192B78"/>
    <w:rsid w:val="00192CA9"/>
    <w:rsid w:val="00192E82"/>
    <w:rsid w:val="00192F63"/>
    <w:rsid w:val="00193942"/>
    <w:rsid w:val="00193A02"/>
    <w:rsid w:val="00193A84"/>
    <w:rsid w:val="00193C5B"/>
    <w:rsid w:val="00193C98"/>
    <w:rsid w:val="00193DB3"/>
    <w:rsid w:val="00193E58"/>
    <w:rsid w:val="0019440D"/>
    <w:rsid w:val="00194783"/>
    <w:rsid w:val="0019491D"/>
    <w:rsid w:val="00194C5A"/>
    <w:rsid w:val="00194E7D"/>
    <w:rsid w:val="00195429"/>
    <w:rsid w:val="0019549D"/>
    <w:rsid w:val="00195579"/>
    <w:rsid w:val="001955D0"/>
    <w:rsid w:val="001959F3"/>
    <w:rsid w:val="00195B2D"/>
    <w:rsid w:val="00195E38"/>
    <w:rsid w:val="001961B9"/>
    <w:rsid w:val="0019624F"/>
    <w:rsid w:val="001965E4"/>
    <w:rsid w:val="00196A66"/>
    <w:rsid w:val="00196D2A"/>
    <w:rsid w:val="001973AF"/>
    <w:rsid w:val="0019780D"/>
    <w:rsid w:val="001978F3"/>
    <w:rsid w:val="00197904"/>
    <w:rsid w:val="00197B1D"/>
    <w:rsid w:val="00197C67"/>
    <w:rsid w:val="00197D0A"/>
    <w:rsid w:val="0019EBA6"/>
    <w:rsid w:val="001A01D7"/>
    <w:rsid w:val="001A0370"/>
    <w:rsid w:val="001A03AF"/>
    <w:rsid w:val="001A0430"/>
    <w:rsid w:val="001A0737"/>
    <w:rsid w:val="001A07BA"/>
    <w:rsid w:val="001A0AEB"/>
    <w:rsid w:val="001A0C68"/>
    <w:rsid w:val="001A0D6D"/>
    <w:rsid w:val="001A0E7A"/>
    <w:rsid w:val="001A102D"/>
    <w:rsid w:val="001A11B5"/>
    <w:rsid w:val="001A142A"/>
    <w:rsid w:val="001A146F"/>
    <w:rsid w:val="001A1A30"/>
    <w:rsid w:val="001A2128"/>
    <w:rsid w:val="001A2386"/>
    <w:rsid w:val="001A241C"/>
    <w:rsid w:val="001A2BCC"/>
    <w:rsid w:val="001A333C"/>
    <w:rsid w:val="001A34D3"/>
    <w:rsid w:val="001A3542"/>
    <w:rsid w:val="001A367F"/>
    <w:rsid w:val="001A37EC"/>
    <w:rsid w:val="001A3D29"/>
    <w:rsid w:val="001A3E6D"/>
    <w:rsid w:val="001A3EF8"/>
    <w:rsid w:val="001A4009"/>
    <w:rsid w:val="001A41BF"/>
    <w:rsid w:val="001A46CC"/>
    <w:rsid w:val="001A4BF6"/>
    <w:rsid w:val="001A4F89"/>
    <w:rsid w:val="001A4F9C"/>
    <w:rsid w:val="001A50C1"/>
    <w:rsid w:val="001A5590"/>
    <w:rsid w:val="001A5C11"/>
    <w:rsid w:val="001A5E2C"/>
    <w:rsid w:val="001A6772"/>
    <w:rsid w:val="001A690B"/>
    <w:rsid w:val="001A6F16"/>
    <w:rsid w:val="001A741A"/>
    <w:rsid w:val="001A74E6"/>
    <w:rsid w:val="001A7794"/>
    <w:rsid w:val="001A7C71"/>
    <w:rsid w:val="001A7CBB"/>
    <w:rsid w:val="001A7F7D"/>
    <w:rsid w:val="001B00C8"/>
    <w:rsid w:val="001B0304"/>
    <w:rsid w:val="001B04DE"/>
    <w:rsid w:val="001B0564"/>
    <w:rsid w:val="001B07AD"/>
    <w:rsid w:val="001B08BC"/>
    <w:rsid w:val="001B092E"/>
    <w:rsid w:val="001B09A0"/>
    <w:rsid w:val="001B0C01"/>
    <w:rsid w:val="001B0EBB"/>
    <w:rsid w:val="001B0EE3"/>
    <w:rsid w:val="001B0F89"/>
    <w:rsid w:val="001B142B"/>
    <w:rsid w:val="001B1611"/>
    <w:rsid w:val="001B1735"/>
    <w:rsid w:val="001B176A"/>
    <w:rsid w:val="001B1BA6"/>
    <w:rsid w:val="001B1F27"/>
    <w:rsid w:val="001B1FD7"/>
    <w:rsid w:val="001B20BF"/>
    <w:rsid w:val="001B26FB"/>
    <w:rsid w:val="001B2801"/>
    <w:rsid w:val="001B28D1"/>
    <w:rsid w:val="001B2C27"/>
    <w:rsid w:val="001B2EAC"/>
    <w:rsid w:val="001B3061"/>
    <w:rsid w:val="001B3216"/>
    <w:rsid w:val="001B34BE"/>
    <w:rsid w:val="001B3950"/>
    <w:rsid w:val="001B3BA2"/>
    <w:rsid w:val="001B3BB3"/>
    <w:rsid w:val="001B3BB4"/>
    <w:rsid w:val="001B3D44"/>
    <w:rsid w:val="001B3FA9"/>
    <w:rsid w:val="001B476B"/>
    <w:rsid w:val="001B4826"/>
    <w:rsid w:val="001B497E"/>
    <w:rsid w:val="001B50D2"/>
    <w:rsid w:val="001B5151"/>
    <w:rsid w:val="001B5B4B"/>
    <w:rsid w:val="001B6000"/>
    <w:rsid w:val="001B6084"/>
    <w:rsid w:val="001B62D8"/>
    <w:rsid w:val="001B6402"/>
    <w:rsid w:val="001B662A"/>
    <w:rsid w:val="001B6B06"/>
    <w:rsid w:val="001B6C72"/>
    <w:rsid w:val="001B6D36"/>
    <w:rsid w:val="001B6FA8"/>
    <w:rsid w:val="001B724C"/>
    <w:rsid w:val="001B7A8F"/>
    <w:rsid w:val="001B7D1E"/>
    <w:rsid w:val="001B7E0A"/>
    <w:rsid w:val="001B7E44"/>
    <w:rsid w:val="001B7E82"/>
    <w:rsid w:val="001B7F3F"/>
    <w:rsid w:val="001B7F5F"/>
    <w:rsid w:val="001C034C"/>
    <w:rsid w:val="001C072A"/>
    <w:rsid w:val="001C0881"/>
    <w:rsid w:val="001C0BD9"/>
    <w:rsid w:val="001C0C7C"/>
    <w:rsid w:val="001C0DAA"/>
    <w:rsid w:val="001C0EFC"/>
    <w:rsid w:val="001C15B2"/>
    <w:rsid w:val="001C15B9"/>
    <w:rsid w:val="001C15F8"/>
    <w:rsid w:val="001C17AA"/>
    <w:rsid w:val="001C18ED"/>
    <w:rsid w:val="001C1BA0"/>
    <w:rsid w:val="001C1DB5"/>
    <w:rsid w:val="001C22DD"/>
    <w:rsid w:val="001C23FA"/>
    <w:rsid w:val="001C27B2"/>
    <w:rsid w:val="001C2C0E"/>
    <w:rsid w:val="001C2C86"/>
    <w:rsid w:val="001C2CC7"/>
    <w:rsid w:val="001C2F5D"/>
    <w:rsid w:val="001C3210"/>
    <w:rsid w:val="001C33F1"/>
    <w:rsid w:val="001C351D"/>
    <w:rsid w:val="001C3991"/>
    <w:rsid w:val="001C3B0D"/>
    <w:rsid w:val="001C3CB8"/>
    <w:rsid w:val="001C3E33"/>
    <w:rsid w:val="001C3EA7"/>
    <w:rsid w:val="001C48FA"/>
    <w:rsid w:val="001C48FF"/>
    <w:rsid w:val="001C4A75"/>
    <w:rsid w:val="001C4C0E"/>
    <w:rsid w:val="001C4E26"/>
    <w:rsid w:val="001C4E97"/>
    <w:rsid w:val="001C5241"/>
    <w:rsid w:val="001C534C"/>
    <w:rsid w:val="001C5920"/>
    <w:rsid w:val="001C5B61"/>
    <w:rsid w:val="001C5C36"/>
    <w:rsid w:val="001C61D6"/>
    <w:rsid w:val="001C64E7"/>
    <w:rsid w:val="001C6566"/>
    <w:rsid w:val="001C67AC"/>
    <w:rsid w:val="001C67E9"/>
    <w:rsid w:val="001C69A5"/>
    <w:rsid w:val="001C6AD5"/>
    <w:rsid w:val="001C6AEC"/>
    <w:rsid w:val="001C77E1"/>
    <w:rsid w:val="001D022D"/>
    <w:rsid w:val="001D06DC"/>
    <w:rsid w:val="001D06DE"/>
    <w:rsid w:val="001D0C05"/>
    <w:rsid w:val="001D0C9B"/>
    <w:rsid w:val="001D0DCC"/>
    <w:rsid w:val="001D0E5D"/>
    <w:rsid w:val="001D0ECA"/>
    <w:rsid w:val="001D0F4F"/>
    <w:rsid w:val="001D102E"/>
    <w:rsid w:val="001D1722"/>
    <w:rsid w:val="001D1E2C"/>
    <w:rsid w:val="001D3251"/>
    <w:rsid w:val="001D3324"/>
    <w:rsid w:val="001D33D9"/>
    <w:rsid w:val="001D36F8"/>
    <w:rsid w:val="001D3B7E"/>
    <w:rsid w:val="001D4060"/>
    <w:rsid w:val="001D41BE"/>
    <w:rsid w:val="001D44A6"/>
    <w:rsid w:val="001D4547"/>
    <w:rsid w:val="001D45B6"/>
    <w:rsid w:val="001D4E6E"/>
    <w:rsid w:val="001D4EF2"/>
    <w:rsid w:val="001D4F88"/>
    <w:rsid w:val="001D50CF"/>
    <w:rsid w:val="001D5126"/>
    <w:rsid w:val="001D5C4C"/>
    <w:rsid w:val="001D5E19"/>
    <w:rsid w:val="001D5E8E"/>
    <w:rsid w:val="001D63FC"/>
    <w:rsid w:val="001D641D"/>
    <w:rsid w:val="001D6614"/>
    <w:rsid w:val="001D671E"/>
    <w:rsid w:val="001D6775"/>
    <w:rsid w:val="001D6B73"/>
    <w:rsid w:val="001D6C9D"/>
    <w:rsid w:val="001D6D03"/>
    <w:rsid w:val="001D6D71"/>
    <w:rsid w:val="001D6DA1"/>
    <w:rsid w:val="001D74A5"/>
    <w:rsid w:val="001D75EB"/>
    <w:rsid w:val="001D79B6"/>
    <w:rsid w:val="001D7A62"/>
    <w:rsid w:val="001D7A7F"/>
    <w:rsid w:val="001D7B1E"/>
    <w:rsid w:val="001D7B7F"/>
    <w:rsid w:val="001D7D44"/>
    <w:rsid w:val="001D7E7A"/>
    <w:rsid w:val="001E002D"/>
    <w:rsid w:val="001E07AC"/>
    <w:rsid w:val="001E07C8"/>
    <w:rsid w:val="001E0842"/>
    <w:rsid w:val="001E0865"/>
    <w:rsid w:val="001E0DED"/>
    <w:rsid w:val="001E1198"/>
    <w:rsid w:val="001E1272"/>
    <w:rsid w:val="001E12EE"/>
    <w:rsid w:val="001E1AEF"/>
    <w:rsid w:val="001E1C08"/>
    <w:rsid w:val="001E233C"/>
    <w:rsid w:val="001E24D0"/>
    <w:rsid w:val="001E2703"/>
    <w:rsid w:val="001E2910"/>
    <w:rsid w:val="001E2983"/>
    <w:rsid w:val="001E298D"/>
    <w:rsid w:val="001E2A2A"/>
    <w:rsid w:val="001E3174"/>
    <w:rsid w:val="001E3547"/>
    <w:rsid w:val="001E3808"/>
    <w:rsid w:val="001E380F"/>
    <w:rsid w:val="001E38F2"/>
    <w:rsid w:val="001E3C53"/>
    <w:rsid w:val="001E4019"/>
    <w:rsid w:val="001E4182"/>
    <w:rsid w:val="001E43C7"/>
    <w:rsid w:val="001E443B"/>
    <w:rsid w:val="001E4629"/>
    <w:rsid w:val="001E46E1"/>
    <w:rsid w:val="001E46E9"/>
    <w:rsid w:val="001E4744"/>
    <w:rsid w:val="001E476E"/>
    <w:rsid w:val="001E4816"/>
    <w:rsid w:val="001E4FCB"/>
    <w:rsid w:val="001E501E"/>
    <w:rsid w:val="001E5AB7"/>
    <w:rsid w:val="001E5B48"/>
    <w:rsid w:val="001E5D6C"/>
    <w:rsid w:val="001E6936"/>
    <w:rsid w:val="001E7144"/>
    <w:rsid w:val="001E73F6"/>
    <w:rsid w:val="001E7BAE"/>
    <w:rsid w:val="001E7C70"/>
    <w:rsid w:val="001E7CB9"/>
    <w:rsid w:val="001E7E2D"/>
    <w:rsid w:val="001E7F6A"/>
    <w:rsid w:val="001F02FC"/>
    <w:rsid w:val="001F049B"/>
    <w:rsid w:val="001F05D0"/>
    <w:rsid w:val="001F07DC"/>
    <w:rsid w:val="001F0930"/>
    <w:rsid w:val="001F0B61"/>
    <w:rsid w:val="001F10DA"/>
    <w:rsid w:val="001F166E"/>
    <w:rsid w:val="001F1773"/>
    <w:rsid w:val="001F21A6"/>
    <w:rsid w:val="001F21B7"/>
    <w:rsid w:val="001F2206"/>
    <w:rsid w:val="001F2380"/>
    <w:rsid w:val="001F24B5"/>
    <w:rsid w:val="001F250D"/>
    <w:rsid w:val="001F2519"/>
    <w:rsid w:val="001F25E3"/>
    <w:rsid w:val="001F2852"/>
    <w:rsid w:val="001F2D8F"/>
    <w:rsid w:val="001F3360"/>
    <w:rsid w:val="001F39D1"/>
    <w:rsid w:val="001F3C41"/>
    <w:rsid w:val="001F3CF3"/>
    <w:rsid w:val="001F3DA0"/>
    <w:rsid w:val="001F3F58"/>
    <w:rsid w:val="001F4027"/>
    <w:rsid w:val="001F416A"/>
    <w:rsid w:val="001F4706"/>
    <w:rsid w:val="001F4C67"/>
    <w:rsid w:val="001F5271"/>
    <w:rsid w:val="001F54BA"/>
    <w:rsid w:val="001F54EA"/>
    <w:rsid w:val="001F56CB"/>
    <w:rsid w:val="001F59D6"/>
    <w:rsid w:val="001F5BCB"/>
    <w:rsid w:val="001F5BF2"/>
    <w:rsid w:val="001F5DD1"/>
    <w:rsid w:val="001F5E3C"/>
    <w:rsid w:val="001F653C"/>
    <w:rsid w:val="001F656C"/>
    <w:rsid w:val="001F65A4"/>
    <w:rsid w:val="001F6676"/>
    <w:rsid w:val="001F69E2"/>
    <w:rsid w:val="001F6AA4"/>
    <w:rsid w:val="001F75DB"/>
    <w:rsid w:val="001F7745"/>
    <w:rsid w:val="001F78DA"/>
    <w:rsid w:val="001F7E13"/>
    <w:rsid w:val="001F7EEE"/>
    <w:rsid w:val="001F7F93"/>
    <w:rsid w:val="002000B1"/>
    <w:rsid w:val="00200101"/>
    <w:rsid w:val="00200132"/>
    <w:rsid w:val="00200362"/>
    <w:rsid w:val="00200676"/>
    <w:rsid w:val="0020073F"/>
    <w:rsid w:val="00200918"/>
    <w:rsid w:val="00200A8C"/>
    <w:rsid w:val="00200B05"/>
    <w:rsid w:val="00200B3C"/>
    <w:rsid w:val="00200B6F"/>
    <w:rsid w:val="00200C2F"/>
    <w:rsid w:val="00200D5E"/>
    <w:rsid w:val="00201404"/>
    <w:rsid w:val="002014ED"/>
    <w:rsid w:val="002015DB"/>
    <w:rsid w:val="002016AD"/>
    <w:rsid w:val="002016B0"/>
    <w:rsid w:val="00201963"/>
    <w:rsid w:val="002019B1"/>
    <w:rsid w:val="00201B91"/>
    <w:rsid w:val="00201D10"/>
    <w:rsid w:val="00201F7A"/>
    <w:rsid w:val="00201F80"/>
    <w:rsid w:val="0020214E"/>
    <w:rsid w:val="002025A2"/>
    <w:rsid w:val="002025BC"/>
    <w:rsid w:val="00202686"/>
    <w:rsid w:val="0020270B"/>
    <w:rsid w:val="00202E85"/>
    <w:rsid w:val="00202E99"/>
    <w:rsid w:val="00202FA5"/>
    <w:rsid w:val="00203217"/>
    <w:rsid w:val="00203834"/>
    <w:rsid w:val="00203CF5"/>
    <w:rsid w:val="00204009"/>
    <w:rsid w:val="0020413E"/>
    <w:rsid w:val="0020419B"/>
    <w:rsid w:val="002042F0"/>
    <w:rsid w:val="00204533"/>
    <w:rsid w:val="00204803"/>
    <w:rsid w:val="00204E23"/>
    <w:rsid w:val="00205251"/>
    <w:rsid w:val="00205BC4"/>
    <w:rsid w:val="00205CDF"/>
    <w:rsid w:val="00205E6C"/>
    <w:rsid w:val="00206437"/>
    <w:rsid w:val="0020659E"/>
    <w:rsid w:val="00206A9E"/>
    <w:rsid w:val="00206BDA"/>
    <w:rsid w:val="00206EA1"/>
    <w:rsid w:val="002070BA"/>
    <w:rsid w:val="00207731"/>
    <w:rsid w:val="00207A5E"/>
    <w:rsid w:val="00207F17"/>
    <w:rsid w:val="00207FB6"/>
    <w:rsid w:val="0021046C"/>
    <w:rsid w:val="002104E3"/>
    <w:rsid w:val="002109ED"/>
    <w:rsid w:val="00210C13"/>
    <w:rsid w:val="00210C2E"/>
    <w:rsid w:val="00210CBF"/>
    <w:rsid w:val="00210CD1"/>
    <w:rsid w:val="002111F4"/>
    <w:rsid w:val="00211213"/>
    <w:rsid w:val="0021133E"/>
    <w:rsid w:val="002114F1"/>
    <w:rsid w:val="002114FB"/>
    <w:rsid w:val="002125FA"/>
    <w:rsid w:val="00212D42"/>
    <w:rsid w:val="00212D68"/>
    <w:rsid w:val="0021316B"/>
    <w:rsid w:val="002134E3"/>
    <w:rsid w:val="00213729"/>
    <w:rsid w:val="00213D72"/>
    <w:rsid w:val="00213D94"/>
    <w:rsid w:val="00214052"/>
    <w:rsid w:val="002143C6"/>
    <w:rsid w:val="002149B6"/>
    <w:rsid w:val="00214FCB"/>
    <w:rsid w:val="00215081"/>
    <w:rsid w:val="0021516F"/>
    <w:rsid w:val="002151C5"/>
    <w:rsid w:val="00215222"/>
    <w:rsid w:val="002153C2"/>
    <w:rsid w:val="002153EA"/>
    <w:rsid w:val="002153F2"/>
    <w:rsid w:val="002155F5"/>
    <w:rsid w:val="00215BA9"/>
    <w:rsid w:val="00215CF6"/>
    <w:rsid w:val="002160B2"/>
    <w:rsid w:val="00216206"/>
    <w:rsid w:val="002163C8"/>
    <w:rsid w:val="002169DF"/>
    <w:rsid w:val="002169E2"/>
    <w:rsid w:val="00216A2F"/>
    <w:rsid w:val="00216A7C"/>
    <w:rsid w:val="00216BA1"/>
    <w:rsid w:val="0021762C"/>
    <w:rsid w:val="00217750"/>
    <w:rsid w:val="0021791E"/>
    <w:rsid w:val="0022006A"/>
    <w:rsid w:val="002202C2"/>
    <w:rsid w:val="00220357"/>
    <w:rsid w:val="002207BA"/>
    <w:rsid w:val="002207C7"/>
    <w:rsid w:val="00220A14"/>
    <w:rsid w:val="00220C42"/>
    <w:rsid w:val="002212BC"/>
    <w:rsid w:val="0022135D"/>
    <w:rsid w:val="00221748"/>
    <w:rsid w:val="00221802"/>
    <w:rsid w:val="00221B6D"/>
    <w:rsid w:val="00222099"/>
    <w:rsid w:val="00222146"/>
    <w:rsid w:val="002227DD"/>
    <w:rsid w:val="00222A46"/>
    <w:rsid w:val="0022313D"/>
    <w:rsid w:val="002232DB"/>
    <w:rsid w:val="002234A7"/>
    <w:rsid w:val="0022364C"/>
    <w:rsid w:val="002241CD"/>
    <w:rsid w:val="002246E1"/>
    <w:rsid w:val="002246FA"/>
    <w:rsid w:val="002248FA"/>
    <w:rsid w:val="00225218"/>
    <w:rsid w:val="002259C2"/>
    <w:rsid w:val="00225C06"/>
    <w:rsid w:val="00225D42"/>
    <w:rsid w:val="00225E29"/>
    <w:rsid w:val="00226AF6"/>
    <w:rsid w:val="00226C60"/>
    <w:rsid w:val="00226F67"/>
    <w:rsid w:val="002278B7"/>
    <w:rsid w:val="002278FB"/>
    <w:rsid w:val="00227B0F"/>
    <w:rsid w:val="00227DD3"/>
    <w:rsid w:val="0023059A"/>
    <w:rsid w:val="00230611"/>
    <w:rsid w:val="0023086C"/>
    <w:rsid w:val="00230AED"/>
    <w:rsid w:val="00230CB7"/>
    <w:rsid w:val="00230E16"/>
    <w:rsid w:val="00230EA4"/>
    <w:rsid w:val="00231151"/>
    <w:rsid w:val="00231395"/>
    <w:rsid w:val="002316AD"/>
    <w:rsid w:val="0023218D"/>
    <w:rsid w:val="0023243F"/>
    <w:rsid w:val="0023275A"/>
    <w:rsid w:val="00232A08"/>
    <w:rsid w:val="00232A5F"/>
    <w:rsid w:val="00232B5F"/>
    <w:rsid w:val="00232B8D"/>
    <w:rsid w:val="00232B9E"/>
    <w:rsid w:val="00232E50"/>
    <w:rsid w:val="002330BE"/>
    <w:rsid w:val="00233834"/>
    <w:rsid w:val="00233965"/>
    <w:rsid w:val="00233BF3"/>
    <w:rsid w:val="00233E67"/>
    <w:rsid w:val="00234340"/>
    <w:rsid w:val="002349F7"/>
    <w:rsid w:val="00234ADC"/>
    <w:rsid w:val="00234C6D"/>
    <w:rsid w:val="00234E67"/>
    <w:rsid w:val="0023509D"/>
    <w:rsid w:val="002350C0"/>
    <w:rsid w:val="00235115"/>
    <w:rsid w:val="002353A9"/>
    <w:rsid w:val="00235568"/>
    <w:rsid w:val="00236050"/>
    <w:rsid w:val="00236328"/>
    <w:rsid w:val="0023654B"/>
    <w:rsid w:val="00236869"/>
    <w:rsid w:val="00236BB9"/>
    <w:rsid w:val="0023715D"/>
    <w:rsid w:val="0023742A"/>
    <w:rsid w:val="00237602"/>
    <w:rsid w:val="00237E65"/>
    <w:rsid w:val="00239921"/>
    <w:rsid w:val="0024002C"/>
    <w:rsid w:val="002401A0"/>
    <w:rsid w:val="0024053F"/>
    <w:rsid w:val="0024065F"/>
    <w:rsid w:val="00240D9F"/>
    <w:rsid w:val="00240EED"/>
    <w:rsid w:val="00240FFE"/>
    <w:rsid w:val="002410CA"/>
    <w:rsid w:val="002413E7"/>
    <w:rsid w:val="00241457"/>
    <w:rsid w:val="00241509"/>
    <w:rsid w:val="00241A4D"/>
    <w:rsid w:val="00241D73"/>
    <w:rsid w:val="002423AC"/>
    <w:rsid w:val="002426AA"/>
    <w:rsid w:val="00242969"/>
    <w:rsid w:val="00242BBE"/>
    <w:rsid w:val="00242C83"/>
    <w:rsid w:val="00242E01"/>
    <w:rsid w:val="0024353C"/>
    <w:rsid w:val="00243714"/>
    <w:rsid w:val="0024426C"/>
    <w:rsid w:val="00244647"/>
    <w:rsid w:val="00244732"/>
    <w:rsid w:val="0024496A"/>
    <w:rsid w:val="00244CE7"/>
    <w:rsid w:val="00244FFB"/>
    <w:rsid w:val="0024507B"/>
    <w:rsid w:val="00245180"/>
    <w:rsid w:val="002453B9"/>
    <w:rsid w:val="00245459"/>
    <w:rsid w:val="00245B33"/>
    <w:rsid w:val="00245D83"/>
    <w:rsid w:val="00246159"/>
    <w:rsid w:val="00246342"/>
    <w:rsid w:val="002463E3"/>
    <w:rsid w:val="00246526"/>
    <w:rsid w:val="0024685B"/>
    <w:rsid w:val="00246CF5"/>
    <w:rsid w:val="00246D78"/>
    <w:rsid w:val="00246E76"/>
    <w:rsid w:val="0024728F"/>
    <w:rsid w:val="00247380"/>
    <w:rsid w:val="002475E7"/>
    <w:rsid w:val="0024778E"/>
    <w:rsid w:val="00247CCA"/>
    <w:rsid w:val="00250042"/>
    <w:rsid w:val="0025047C"/>
    <w:rsid w:val="002505F1"/>
    <w:rsid w:val="00250641"/>
    <w:rsid w:val="0025079E"/>
    <w:rsid w:val="002507D8"/>
    <w:rsid w:val="002507F4"/>
    <w:rsid w:val="002512F7"/>
    <w:rsid w:val="002519CE"/>
    <w:rsid w:val="00251D32"/>
    <w:rsid w:val="00251DD6"/>
    <w:rsid w:val="00251F05"/>
    <w:rsid w:val="00252158"/>
    <w:rsid w:val="00252436"/>
    <w:rsid w:val="0025272A"/>
    <w:rsid w:val="00252AC5"/>
    <w:rsid w:val="00252CD7"/>
    <w:rsid w:val="00252E5D"/>
    <w:rsid w:val="00252FED"/>
    <w:rsid w:val="002533E3"/>
    <w:rsid w:val="0025346C"/>
    <w:rsid w:val="00253867"/>
    <w:rsid w:val="0025440F"/>
    <w:rsid w:val="002544CC"/>
    <w:rsid w:val="0025470B"/>
    <w:rsid w:val="00254A3E"/>
    <w:rsid w:val="00254B9F"/>
    <w:rsid w:val="00254CF1"/>
    <w:rsid w:val="00254DF8"/>
    <w:rsid w:val="00254E5C"/>
    <w:rsid w:val="00254E61"/>
    <w:rsid w:val="00254E69"/>
    <w:rsid w:val="0025519C"/>
    <w:rsid w:val="002552D2"/>
    <w:rsid w:val="00255DED"/>
    <w:rsid w:val="002565C7"/>
    <w:rsid w:val="002565E7"/>
    <w:rsid w:val="00256733"/>
    <w:rsid w:val="00256ABB"/>
    <w:rsid w:val="00256C52"/>
    <w:rsid w:val="00256CD8"/>
    <w:rsid w:val="00256D23"/>
    <w:rsid w:val="00257087"/>
    <w:rsid w:val="002575E8"/>
    <w:rsid w:val="002577D1"/>
    <w:rsid w:val="002605E7"/>
    <w:rsid w:val="0026066E"/>
    <w:rsid w:val="00260D88"/>
    <w:rsid w:val="00261CB5"/>
    <w:rsid w:val="00261D63"/>
    <w:rsid w:val="00262172"/>
    <w:rsid w:val="0026243A"/>
    <w:rsid w:val="00262D3F"/>
    <w:rsid w:val="00263318"/>
    <w:rsid w:val="00263786"/>
    <w:rsid w:val="00263AF0"/>
    <w:rsid w:val="00263C3C"/>
    <w:rsid w:val="00263C93"/>
    <w:rsid w:val="00263CAD"/>
    <w:rsid w:val="00264274"/>
    <w:rsid w:val="0026472C"/>
    <w:rsid w:val="00264762"/>
    <w:rsid w:val="002647BC"/>
    <w:rsid w:val="0026494F"/>
    <w:rsid w:val="00264D2E"/>
    <w:rsid w:val="00264EA3"/>
    <w:rsid w:val="00264EBC"/>
    <w:rsid w:val="002658D4"/>
    <w:rsid w:val="00265960"/>
    <w:rsid w:val="00265AC6"/>
    <w:rsid w:val="00265C4D"/>
    <w:rsid w:val="0026609A"/>
    <w:rsid w:val="0026628E"/>
    <w:rsid w:val="00266634"/>
    <w:rsid w:val="00266DAD"/>
    <w:rsid w:val="002671D1"/>
    <w:rsid w:val="00267484"/>
    <w:rsid w:val="002674DF"/>
    <w:rsid w:val="002678AF"/>
    <w:rsid w:val="002678B4"/>
    <w:rsid w:val="00267BAD"/>
    <w:rsid w:val="00267BCC"/>
    <w:rsid w:val="00267C61"/>
    <w:rsid w:val="00270172"/>
    <w:rsid w:val="002704B3"/>
    <w:rsid w:val="00270A1D"/>
    <w:rsid w:val="00270AF6"/>
    <w:rsid w:val="00270B45"/>
    <w:rsid w:val="00270F9C"/>
    <w:rsid w:val="00271A30"/>
    <w:rsid w:val="00271F42"/>
    <w:rsid w:val="00272198"/>
    <w:rsid w:val="0027223F"/>
    <w:rsid w:val="00272349"/>
    <w:rsid w:val="00272370"/>
    <w:rsid w:val="00272506"/>
    <w:rsid w:val="002728E1"/>
    <w:rsid w:val="002729D4"/>
    <w:rsid w:val="00272D51"/>
    <w:rsid w:val="00272DA0"/>
    <w:rsid w:val="0027309F"/>
    <w:rsid w:val="002731BB"/>
    <w:rsid w:val="002736B0"/>
    <w:rsid w:val="0027372A"/>
    <w:rsid w:val="0027385F"/>
    <w:rsid w:val="00273910"/>
    <w:rsid w:val="00273AB9"/>
    <w:rsid w:val="00273B47"/>
    <w:rsid w:val="00273BB6"/>
    <w:rsid w:val="00273BCE"/>
    <w:rsid w:val="00273F09"/>
    <w:rsid w:val="0027421F"/>
    <w:rsid w:val="00274359"/>
    <w:rsid w:val="00274660"/>
    <w:rsid w:val="002747B7"/>
    <w:rsid w:val="002748BC"/>
    <w:rsid w:val="00274A45"/>
    <w:rsid w:val="00274C63"/>
    <w:rsid w:val="00274DB1"/>
    <w:rsid w:val="00274FFD"/>
    <w:rsid w:val="0027507C"/>
    <w:rsid w:val="00275258"/>
    <w:rsid w:val="00275371"/>
    <w:rsid w:val="0027538E"/>
    <w:rsid w:val="00275A14"/>
    <w:rsid w:val="00275ADC"/>
    <w:rsid w:val="00275EAA"/>
    <w:rsid w:val="002762FB"/>
    <w:rsid w:val="002765AC"/>
    <w:rsid w:val="00276B01"/>
    <w:rsid w:val="00276C04"/>
    <w:rsid w:val="00276C46"/>
    <w:rsid w:val="00276C58"/>
    <w:rsid w:val="00276C9A"/>
    <w:rsid w:val="00276EEA"/>
    <w:rsid w:val="002770DE"/>
    <w:rsid w:val="0027722A"/>
    <w:rsid w:val="002775FC"/>
    <w:rsid w:val="00277835"/>
    <w:rsid w:val="00277B11"/>
    <w:rsid w:val="00277B53"/>
    <w:rsid w:val="00277CE7"/>
    <w:rsid w:val="00277F58"/>
    <w:rsid w:val="00280032"/>
    <w:rsid w:val="00280EDD"/>
    <w:rsid w:val="00280F23"/>
    <w:rsid w:val="00280FAD"/>
    <w:rsid w:val="002812C4"/>
    <w:rsid w:val="00281695"/>
    <w:rsid w:val="00281A78"/>
    <w:rsid w:val="00281C90"/>
    <w:rsid w:val="00281CA6"/>
    <w:rsid w:val="00282702"/>
    <w:rsid w:val="00282AB1"/>
    <w:rsid w:val="00282B87"/>
    <w:rsid w:val="00282C1A"/>
    <w:rsid w:val="00282F77"/>
    <w:rsid w:val="0028322D"/>
    <w:rsid w:val="002832E8"/>
    <w:rsid w:val="00283367"/>
    <w:rsid w:val="0028338D"/>
    <w:rsid w:val="00283D19"/>
    <w:rsid w:val="00283E8D"/>
    <w:rsid w:val="00283F59"/>
    <w:rsid w:val="002843E4"/>
    <w:rsid w:val="002843EA"/>
    <w:rsid w:val="002845D3"/>
    <w:rsid w:val="002846CF"/>
    <w:rsid w:val="00284792"/>
    <w:rsid w:val="002848F3"/>
    <w:rsid w:val="00284D9B"/>
    <w:rsid w:val="0028546B"/>
    <w:rsid w:val="002857C2"/>
    <w:rsid w:val="00285868"/>
    <w:rsid w:val="002859A4"/>
    <w:rsid w:val="002862EC"/>
    <w:rsid w:val="0028653C"/>
    <w:rsid w:val="002866D7"/>
    <w:rsid w:val="002867E5"/>
    <w:rsid w:val="002868B4"/>
    <w:rsid w:val="00287289"/>
    <w:rsid w:val="00287369"/>
    <w:rsid w:val="002875BA"/>
    <w:rsid w:val="002876F0"/>
    <w:rsid w:val="0028777E"/>
    <w:rsid w:val="002877C2"/>
    <w:rsid w:val="00287819"/>
    <w:rsid w:val="00290094"/>
    <w:rsid w:val="00290097"/>
    <w:rsid w:val="0029034F"/>
    <w:rsid w:val="0029075D"/>
    <w:rsid w:val="002907D1"/>
    <w:rsid w:val="0029091F"/>
    <w:rsid w:val="00290A4D"/>
    <w:rsid w:val="00290B40"/>
    <w:rsid w:val="00290E43"/>
    <w:rsid w:val="0029139D"/>
    <w:rsid w:val="00291477"/>
    <w:rsid w:val="002915F3"/>
    <w:rsid w:val="002916D0"/>
    <w:rsid w:val="00291A7B"/>
    <w:rsid w:val="00291B43"/>
    <w:rsid w:val="00291DD8"/>
    <w:rsid w:val="00291E2C"/>
    <w:rsid w:val="00292528"/>
    <w:rsid w:val="0029281A"/>
    <w:rsid w:val="00292A7C"/>
    <w:rsid w:val="00292F47"/>
    <w:rsid w:val="00293300"/>
    <w:rsid w:val="00293302"/>
    <w:rsid w:val="00293599"/>
    <w:rsid w:val="00293A5F"/>
    <w:rsid w:val="00293B4B"/>
    <w:rsid w:val="00293CE6"/>
    <w:rsid w:val="00293E24"/>
    <w:rsid w:val="00293F21"/>
    <w:rsid w:val="00294258"/>
    <w:rsid w:val="002942DB"/>
    <w:rsid w:val="00294466"/>
    <w:rsid w:val="00294B35"/>
    <w:rsid w:val="00294BE1"/>
    <w:rsid w:val="00294C40"/>
    <w:rsid w:val="00294F61"/>
    <w:rsid w:val="002950FC"/>
    <w:rsid w:val="00295377"/>
    <w:rsid w:val="0029553B"/>
    <w:rsid w:val="0029553E"/>
    <w:rsid w:val="00295967"/>
    <w:rsid w:val="00295BF9"/>
    <w:rsid w:val="002963FA"/>
    <w:rsid w:val="002965FF"/>
    <w:rsid w:val="002967D1"/>
    <w:rsid w:val="0029698B"/>
    <w:rsid w:val="002969CE"/>
    <w:rsid w:val="002969EF"/>
    <w:rsid w:val="00296D9C"/>
    <w:rsid w:val="00296FB2"/>
    <w:rsid w:val="0029701D"/>
    <w:rsid w:val="002971CC"/>
    <w:rsid w:val="00297915"/>
    <w:rsid w:val="0029792F"/>
    <w:rsid w:val="00297974"/>
    <w:rsid w:val="002A0373"/>
    <w:rsid w:val="002A05AB"/>
    <w:rsid w:val="002A05D2"/>
    <w:rsid w:val="002A0C56"/>
    <w:rsid w:val="002A0D2C"/>
    <w:rsid w:val="002A15BE"/>
    <w:rsid w:val="002A1ADF"/>
    <w:rsid w:val="002A1BB4"/>
    <w:rsid w:val="002A1DDF"/>
    <w:rsid w:val="002A2223"/>
    <w:rsid w:val="002A22AD"/>
    <w:rsid w:val="002A22BC"/>
    <w:rsid w:val="002A22F7"/>
    <w:rsid w:val="002A246E"/>
    <w:rsid w:val="002A29D8"/>
    <w:rsid w:val="002A2C1F"/>
    <w:rsid w:val="002A2CFF"/>
    <w:rsid w:val="002A2F1E"/>
    <w:rsid w:val="002A3005"/>
    <w:rsid w:val="002A3034"/>
    <w:rsid w:val="002A3087"/>
    <w:rsid w:val="002A313C"/>
    <w:rsid w:val="002A3275"/>
    <w:rsid w:val="002A3B52"/>
    <w:rsid w:val="002A4046"/>
    <w:rsid w:val="002A40CD"/>
    <w:rsid w:val="002A4133"/>
    <w:rsid w:val="002A421C"/>
    <w:rsid w:val="002A44A6"/>
    <w:rsid w:val="002A465B"/>
    <w:rsid w:val="002A4736"/>
    <w:rsid w:val="002A4AB7"/>
    <w:rsid w:val="002A4D75"/>
    <w:rsid w:val="002A4EA3"/>
    <w:rsid w:val="002A50E8"/>
    <w:rsid w:val="002A510E"/>
    <w:rsid w:val="002A53F8"/>
    <w:rsid w:val="002A554E"/>
    <w:rsid w:val="002A57AD"/>
    <w:rsid w:val="002A58E8"/>
    <w:rsid w:val="002A5AC5"/>
    <w:rsid w:val="002A5BEF"/>
    <w:rsid w:val="002A5E91"/>
    <w:rsid w:val="002A6437"/>
    <w:rsid w:val="002A6720"/>
    <w:rsid w:val="002A6E64"/>
    <w:rsid w:val="002A6FF4"/>
    <w:rsid w:val="002A7548"/>
    <w:rsid w:val="002A7C84"/>
    <w:rsid w:val="002A7F29"/>
    <w:rsid w:val="002B00E0"/>
    <w:rsid w:val="002B03B6"/>
    <w:rsid w:val="002B03DB"/>
    <w:rsid w:val="002B0802"/>
    <w:rsid w:val="002B10F8"/>
    <w:rsid w:val="002B11D3"/>
    <w:rsid w:val="002B157D"/>
    <w:rsid w:val="002B17ED"/>
    <w:rsid w:val="002B182B"/>
    <w:rsid w:val="002B188C"/>
    <w:rsid w:val="002B192C"/>
    <w:rsid w:val="002B196E"/>
    <w:rsid w:val="002B1AD6"/>
    <w:rsid w:val="002B1CE5"/>
    <w:rsid w:val="002B1F4C"/>
    <w:rsid w:val="002B1FB7"/>
    <w:rsid w:val="002B209B"/>
    <w:rsid w:val="002B280F"/>
    <w:rsid w:val="002B2D81"/>
    <w:rsid w:val="002B3868"/>
    <w:rsid w:val="002B3A7D"/>
    <w:rsid w:val="002B3C2A"/>
    <w:rsid w:val="002B4001"/>
    <w:rsid w:val="002B4967"/>
    <w:rsid w:val="002B4C31"/>
    <w:rsid w:val="002B4DEC"/>
    <w:rsid w:val="002B5147"/>
    <w:rsid w:val="002B5539"/>
    <w:rsid w:val="002B55FB"/>
    <w:rsid w:val="002B56C7"/>
    <w:rsid w:val="002B56E2"/>
    <w:rsid w:val="002B5A23"/>
    <w:rsid w:val="002B5A52"/>
    <w:rsid w:val="002B5E34"/>
    <w:rsid w:val="002B5E90"/>
    <w:rsid w:val="002B6271"/>
    <w:rsid w:val="002B672C"/>
    <w:rsid w:val="002B6B83"/>
    <w:rsid w:val="002B6C83"/>
    <w:rsid w:val="002B7388"/>
    <w:rsid w:val="002B75F3"/>
    <w:rsid w:val="002B7A42"/>
    <w:rsid w:val="002B7C86"/>
    <w:rsid w:val="002B7D59"/>
    <w:rsid w:val="002B7D8A"/>
    <w:rsid w:val="002B7F75"/>
    <w:rsid w:val="002C006A"/>
    <w:rsid w:val="002C0765"/>
    <w:rsid w:val="002C0890"/>
    <w:rsid w:val="002C0922"/>
    <w:rsid w:val="002C0DFB"/>
    <w:rsid w:val="002C0F85"/>
    <w:rsid w:val="002C11D7"/>
    <w:rsid w:val="002C11E6"/>
    <w:rsid w:val="002C125B"/>
    <w:rsid w:val="002C12E5"/>
    <w:rsid w:val="002C146A"/>
    <w:rsid w:val="002C19C5"/>
    <w:rsid w:val="002C1DA1"/>
    <w:rsid w:val="002C25C4"/>
    <w:rsid w:val="002C2633"/>
    <w:rsid w:val="002C2A64"/>
    <w:rsid w:val="002C2AAB"/>
    <w:rsid w:val="002C2AC6"/>
    <w:rsid w:val="002C2D40"/>
    <w:rsid w:val="002C2D65"/>
    <w:rsid w:val="002C2F39"/>
    <w:rsid w:val="002C2F3F"/>
    <w:rsid w:val="002C3A99"/>
    <w:rsid w:val="002C3ACD"/>
    <w:rsid w:val="002C3DA6"/>
    <w:rsid w:val="002C4035"/>
    <w:rsid w:val="002C4406"/>
    <w:rsid w:val="002C4647"/>
    <w:rsid w:val="002C4A26"/>
    <w:rsid w:val="002C4BA6"/>
    <w:rsid w:val="002C4DAC"/>
    <w:rsid w:val="002C50BD"/>
    <w:rsid w:val="002C520B"/>
    <w:rsid w:val="002C5340"/>
    <w:rsid w:val="002C53F0"/>
    <w:rsid w:val="002C54C7"/>
    <w:rsid w:val="002C58CD"/>
    <w:rsid w:val="002C5E75"/>
    <w:rsid w:val="002C6353"/>
    <w:rsid w:val="002C65E2"/>
    <w:rsid w:val="002C6BE9"/>
    <w:rsid w:val="002C6E1B"/>
    <w:rsid w:val="002C6ED8"/>
    <w:rsid w:val="002C7234"/>
    <w:rsid w:val="002C738F"/>
    <w:rsid w:val="002C74D7"/>
    <w:rsid w:val="002C76AE"/>
    <w:rsid w:val="002C79D0"/>
    <w:rsid w:val="002C7F8E"/>
    <w:rsid w:val="002D032A"/>
    <w:rsid w:val="002D0571"/>
    <w:rsid w:val="002D072A"/>
    <w:rsid w:val="002D07D1"/>
    <w:rsid w:val="002D0A56"/>
    <w:rsid w:val="002D0B5F"/>
    <w:rsid w:val="002D0D81"/>
    <w:rsid w:val="002D0DD2"/>
    <w:rsid w:val="002D0DDA"/>
    <w:rsid w:val="002D111E"/>
    <w:rsid w:val="002D1196"/>
    <w:rsid w:val="002D1574"/>
    <w:rsid w:val="002D1716"/>
    <w:rsid w:val="002D17D7"/>
    <w:rsid w:val="002D1DA0"/>
    <w:rsid w:val="002D2206"/>
    <w:rsid w:val="002D2260"/>
    <w:rsid w:val="002D25C9"/>
    <w:rsid w:val="002D2B68"/>
    <w:rsid w:val="002D2D17"/>
    <w:rsid w:val="002D3211"/>
    <w:rsid w:val="002D3D3E"/>
    <w:rsid w:val="002D3D8C"/>
    <w:rsid w:val="002D3EB6"/>
    <w:rsid w:val="002D41C5"/>
    <w:rsid w:val="002D4821"/>
    <w:rsid w:val="002D483A"/>
    <w:rsid w:val="002D4A58"/>
    <w:rsid w:val="002D4BD3"/>
    <w:rsid w:val="002D4BF2"/>
    <w:rsid w:val="002D4D43"/>
    <w:rsid w:val="002D4DEE"/>
    <w:rsid w:val="002D4FE9"/>
    <w:rsid w:val="002D50DD"/>
    <w:rsid w:val="002D53D2"/>
    <w:rsid w:val="002D58A4"/>
    <w:rsid w:val="002D58F5"/>
    <w:rsid w:val="002D6390"/>
    <w:rsid w:val="002D64CD"/>
    <w:rsid w:val="002D6516"/>
    <w:rsid w:val="002D655F"/>
    <w:rsid w:val="002D6963"/>
    <w:rsid w:val="002D6F20"/>
    <w:rsid w:val="002D7ABC"/>
    <w:rsid w:val="002D7B10"/>
    <w:rsid w:val="002D7B56"/>
    <w:rsid w:val="002D7C09"/>
    <w:rsid w:val="002DCB25"/>
    <w:rsid w:val="002E0122"/>
    <w:rsid w:val="002E0227"/>
    <w:rsid w:val="002E025E"/>
    <w:rsid w:val="002E0644"/>
    <w:rsid w:val="002E0961"/>
    <w:rsid w:val="002E0AA6"/>
    <w:rsid w:val="002E0C2C"/>
    <w:rsid w:val="002E0FE0"/>
    <w:rsid w:val="002E107A"/>
    <w:rsid w:val="002E118D"/>
    <w:rsid w:val="002E12A7"/>
    <w:rsid w:val="002E12E1"/>
    <w:rsid w:val="002E13BE"/>
    <w:rsid w:val="002E1669"/>
    <w:rsid w:val="002E16C3"/>
    <w:rsid w:val="002E172D"/>
    <w:rsid w:val="002E1863"/>
    <w:rsid w:val="002E1F5C"/>
    <w:rsid w:val="002E2222"/>
    <w:rsid w:val="002E2480"/>
    <w:rsid w:val="002E2761"/>
    <w:rsid w:val="002E2781"/>
    <w:rsid w:val="002E27FF"/>
    <w:rsid w:val="002E291E"/>
    <w:rsid w:val="002E2C81"/>
    <w:rsid w:val="002E2CBE"/>
    <w:rsid w:val="002E3099"/>
    <w:rsid w:val="002E321A"/>
    <w:rsid w:val="002E3359"/>
    <w:rsid w:val="002E3387"/>
    <w:rsid w:val="002E390F"/>
    <w:rsid w:val="002E3FEF"/>
    <w:rsid w:val="002E43A4"/>
    <w:rsid w:val="002E4431"/>
    <w:rsid w:val="002E44BB"/>
    <w:rsid w:val="002E46F0"/>
    <w:rsid w:val="002E4799"/>
    <w:rsid w:val="002E49B0"/>
    <w:rsid w:val="002E4B3A"/>
    <w:rsid w:val="002E4DAB"/>
    <w:rsid w:val="002E4E73"/>
    <w:rsid w:val="002E4F7F"/>
    <w:rsid w:val="002E5142"/>
    <w:rsid w:val="002E52EA"/>
    <w:rsid w:val="002E54DB"/>
    <w:rsid w:val="002E5E60"/>
    <w:rsid w:val="002E64B3"/>
    <w:rsid w:val="002E6B18"/>
    <w:rsid w:val="002E6C3B"/>
    <w:rsid w:val="002E6D20"/>
    <w:rsid w:val="002E6DA5"/>
    <w:rsid w:val="002E6DE4"/>
    <w:rsid w:val="002E6FA0"/>
    <w:rsid w:val="002E72D0"/>
    <w:rsid w:val="002E740A"/>
    <w:rsid w:val="002E7889"/>
    <w:rsid w:val="002E798F"/>
    <w:rsid w:val="002E7D6B"/>
    <w:rsid w:val="002F00A5"/>
    <w:rsid w:val="002F02FB"/>
    <w:rsid w:val="002F0A4E"/>
    <w:rsid w:val="002F0BC1"/>
    <w:rsid w:val="002F0C05"/>
    <w:rsid w:val="002F1378"/>
    <w:rsid w:val="002F15DF"/>
    <w:rsid w:val="002F1A44"/>
    <w:rsid w:val="002F1DE7"/>
    <w:rsid w:val="002F1FE4"/>
    <w:rsid w:val="002F2151"/>
    <w:rsid w:val="002F228B"/>
    <w:rsid w:val="002F22FF"/>
    <w:rsid w:val="002F2505"/>
    <w:rsid w:val="002F2536"/>
    <w:rsid w:val="002F270D"/>
    <w:rsid w:val="002F281F"/>
    <w:rsid w:val="002F2942"/>
    <w:rsid w:val="002F2C42"/>
    <w:rsid w:val="002F2E04"/>
    <w:rsid w:val="002F3025"/>
    <w:rsid w:val="002F347F"/>
    <w:rsid w:val="002F3786"/>
    <w:rsid w:val="002F387E"/>
    <w:rsid w:val="002F39A3"/>
    <w:rsid w:val="002F3CF0"/>
    <w:rsid w:val="002F3F39"/>
    <w:rsid w:val="002F3FBD"/>
    <w:rsid w:val="002F41EE"/>
    <w:rsid w:val="002F4297"/>
    <w:rsid w:val="002F43E4"/>
    <w:rsid w:val="002F459B"/>
    <w:rsid w:val="002F468C"/>
    <w:rsid w:val="002F474B"/>
    <w:rsid w:val="002F4F83"/>
    <w:rsid w:val="002F5AC1"/>
    <w:rsid w:val="002F5DEF"/>
    <w:rsid w:val="002F61EF"/>
    <w:rsid w:val="002F64E3"/>
    <w:rsid w:val="002F6556"/>
    <w:rsid w:val="002F6A0B"/>
    <w:rsid w:val="002F6B70"/>
    <w:rsid w:val="002F6EB8"/>
    <w:rsid w:val="002F706F"/>
    <w:rsid w:val="002F75F8"/>
    <w:rsid w:val="002F790C"/>
    <w:rsid w:val="002F7A57"/>
    <w:rsid w:val="002F7CDA"/>
    <w:rsid w:val="002F7D2D"/>
    <w:rsid w:val="003000BC"/>
    <w:rsid w:val="00300100"/>
    <w:rsid w:val="00300554"/>
    <w:rsid w:val="00300691"/>
    <w:rsid w:val="00300879"/>
    <w:rsid w:val="00300AA4"/>
    <w:rsid w:val="00300B6E"/>
    <w:rsid w:val="00300D27"/>
    <w:rsid w:val="003010D6"/>
    <w:rsid w:val="00301653"/>
    <w:rsid w:val="00301FA8"/>
    <w:rsid w:val="00302153"/>
    <w:rsid w:val="00302342"/>
    <w:rsid w:val="0030258B"/>
    <w:rsid w:val="00302865"/>
    <w:rsid w:val="0030294D"/>
    <w:rsid w:val="00302C25"/>
    <w:rsid w:val="00302E9D"/>
    <w:rsid w:val="00302F2A"/>
    <w:rsid w:val="00302F44"/>
    <w:rsid w:val="00303534"/>
    <w:rsid w:val="003037F6"/>
    <w:rsid w:val="003039D6"/>
    <w:rsid w:val="003039ED"/>
    <w:rsid w:val="00303B6E"/>
    <w:rsid w:val="00303D02"/>
    <w:rsid w:val="00303F02"/>
    <w:rsid w:val="00304500"/>
    <w:rsid w:val="00304A1A"/>
    <w:rsid w:val="00304A3A"/>
    <w:rsid w:val="00304AF5"/>
    <w:rsid w:val="00305151"/>
    <w:rsid w:val="00305161"/>
    <w:rsid w:val="0030543E"/>
    <w:rsid w:val="00305962"/>
    <w:rsid w:val="00305B12"/>
    <w:rsid w:val="00305B71"/>
    <w:rsid w:val="003062D8"/>
    <w:rsid w:val="003063FE"/>
    <w:rsid w:val="00306554"/>
    <w:rsid w:val="00306C47"/>
    <w:rsid w:val="0030723E"/>
    <w:rsid w:val="00307302"/>
    <w:rsid w:val="00307333"/>
    <w:rsid w:val="00307967"/>
    <w:rsid w:val="0030A517"/>
    <w:rsid w:val="003101FC"/>
    <w:rsid w:val="0031057B"/>
    <w:rsid w:val="00310602"/>
    <w:rsid w:val="00310789"/>
    <w:rsid w:val="00310ABD"/>
    <w:rsid w:val="00310D1F"/>
    <w:rsid w:val="003111F5"/>
    <w:rsid w:val="00311BBF"/>
    <w:rsid w:val="00311D3D"/>
    <w:rsid w:val="00311DE7"/>
    <w:rsid w:val="00311E7C"/>
    <w:rsid w:val="003121B3"/>
    <w:rsid w:val="003128F8"/>
    <w:rsid w:val="00312BFC"/>
    <w:rsid w:val="003132E9"/>
    <w:rsid w:val="00313E15"/>
    <w:rsid w:val="003141BA"/>
    <w:rsid w:val="003141DA"/>
    <w:rsid w:val="003143C5"/>
    <w:rsid w:val="003145A8"/>
    <w:rsid w:val="00314A8B"/>
    <w:rsid w:val="00314C8B"/>
    <w:rsid w:val="00314F27"/>
    <w:rsid w:val="003151E4"/>
    <w:rsid w:val="00315427"/>
    <w:rsid w:val="00315512"/>
    <w:rsid w:val="0031563A"/>
    <w:rsid w:val="003156E1"/>
    <w:rsid w:val="00315F49"/>
    <w:rsid w:val="003161C0"/>
    <w:rsid w:val="003165C0"/>
    <w:rsid w:val="00316D60"/>
    <w:rsid w:val="00316EDC"/>
    <w:rsid w:val="00316F6C"/>
    <w:rsid w:val="003171BC"/>
    <w:rsid w:val="003178AC"/>
    <w:rsid w:val="00317974"/>
    <w:rsid w:val="00317AFB"/>
    <w:rsid w:val="00317C03"/>
    <w:rsid w:val="00317D6C"/>
    <w:rsid w:val="00317DB5"/>
    <w:rsid w:val="00317EA5"/>
    <w:rsid w:val="003202B4"/>
    <w:rsid w:val="0032043D"/>
    <w:rsid w:val="00320DFF"/>
    <w:rsid w:val="00320FB8"/>
    <w:rsid w:val="00321464"/>
    <w:rsid w:val="00321485"/>
    <w:rsid w:val="0032195A"/>
    <w:rsid w:val="0032196B"/>
    <w:rsid w:val="00321D0C"/>
    <w:rsid w:val="003226A1"/>
    <w:rsid w:val="00322776"/>
    <w:rsid w:val="00322AF0"/>
    <w:rsid w:val="00322FAE"/>
    <w:rsid w:val="003233E6"/>
    <w:rsid w:val="003234CD"/>
    <w:rsid w:val="003237E4"/>
    <w:rsid w:val="00323D8D"/>
    <w:rsid w:val="00323FB0"/>
    <w:rsid w:val="0032403B"/>
    <w:rsid w:val="003243E0"/>
    <w:rsid w:val="00324496"/>
    <w:rsid w:val="00324998"/>
    <w:rsid w:val="00324AC3"/>
    <w:rsid w:val="0032515B"/>
    <w:rsid w:val="003256A5"/>
    <w:rsid w:val="0032571C"/>
    <w:rsid w:val="003258CD"/>
    <w:rsid w:val="00326074"/>
    <w:rsid w:val="003264B2"/>
    <w:rsid w:val="003266EC"/>
    <w:rsid w:val="00326B52"/>
    <w:rsid w:val="00326BC8"/>
    <w:rsid w:val="00326C4D"/>
    <w:rsid w:val="00326F6C"/>
    <w:rsid w:val="00326F95"/>
    <w:rsid w:val="003275B1"/>
    <w:rsid w:val="0032784E"/>
    <w:rsid w:val="0032797E"/>
    <w:rsid w:val="00327C2B"/>
    <w:rsid w:val="00327C88"/>
    <w:rsid w:val="003301E3"/>
    <w:rsid w:val="0033033E"/>
    <w:rsid w:val="003304C3"/>
    <w:rsid w:val="00330638"/>
    <w:rsid w:val="00330F4C"/>
    <w:rsid w:val="0033105E"/>
    <w:rsid w:val="00331B54"/>
    <w:rsid w:val="00331C41"/>
    <w:rsid w:val="00331E8B"/>
    <w:rsid w:val="00332326"/>
    <w:rsid w:val="00332702"/>
    <w:rsid w:val="00332CD5"/>
    <w:rsid w:val="003331FF"/>
    <w:rsid w:val="00333760"/>
    <w:rsid w:val="003338D0"/>
    <w:rsid w:val="00334367"/>
    <w:rsid w:val="00334428"/>
    <w:rsid w:val="00334502"/>
    <w:rsid w:val="003348E2"/>
    <w:rsid w:val="003359AF"/>
    <w:rsid w:val="003359D1"/>
    <w:rsid w:val="00336615"/>
    <w:rsid w:val="003368F4"/>
    <w:rsid w:val="00336BFA"/>
    <w:rsid w:val="00336D3F"/>
    <w:rsid w:val="003372C3"/>
    <w:rsid w:val="003373D1"/>
    <w:rsid w:val="003375E0"/>
    <w:rsid w:val="003375ED"/>
    <w:rsid w:val="003377BE"/>
    <w:rsid w:val="00337DB2"/>
    <w:rsid w:val="0034016E"/>
    <w:rsid w:val="00340335"/>
    <w:rsid w:val="00340437"/>
    <w:rsid w:val="003404E9"/>
    <w:rsid w:val="00340675"/>
    <w:rsid w:val="00340754"/>
    <w:rsid w:val="00340786"/>
    <w:rsid w:val="00340D13"/>
    <w:rsid w:val="003410CC"/>
    <w:rsid w:val="003412BB"/>
    <w:rsid w:val="003415D5"/>
    <w:rsid w:val="003415FB"/>
    <w:rsid w:val="003417F4"/>
    <w:rsid w:val="00341958"/>
    <w:rsid w:val="00341CEA"/>
    <w:rsid w:val="00341D1C"/>
    <w:rsid w:val="00342431"/>
    <w:rsid w:val="00342601"/>
    <w:rsid w:val="00342849"/>
    <w:rsid w:val="00342A2A"/>
    <w:rsid w:val="00342DBE"/>
    <w:rsid w:val="003431CE"/>
    <w:rsid w:val="0034381D"/>
    <w:rsid w:val="00343C3A"/>
    <w:rsid w:val="00343ED8"/>
    <w:rsid w:val="00344138"/>
    <w:rsid w:val="00344403"/>
    <w:rsid w:val="00344933"/>
    <w:rsid w:val="00344B39"/>
    <w:rsid w:val="00344B5B"/>
    <w:rsid w:val="00344D11"/>
    <w:rsid w:val="0034512F"/>
    <w:rsid w:val="00345164"/>
    <w:rsid w:val="00345570"/>
    <w:rsid w:val="003455F3"/>
    <w:rsid w:val="003460FF"/>
    <w:rsid w:val="00346485"/>
    <w:rsid w:val="0034687F"/>
    <w:rsid w:val="00346BAE"/>
    <w:rsid w:val="00346D99"/>
    <w:rsid w:val="00347314"/>
    <w:rsid w:val="003474F3"/>
    <w:rsid w:val="00347669"/>
    <w:rsid w:val="00347A71"/>
    <w:rsid w:val="00347AA9"/>
    <w:rsid w:val="00347C54"/>
    <w:rsid w:val="0035018E"/>
    <w:rsid w:val="003501D3"/>
    <w:rsid w:val="003502B5"/>
    <w:rsid w:val="003502F2"/>
    <w:rsid w:val="003503D3"/>
    <w:rsid w:val="0035044B"/>
    <w:rsid w:val="003506AB"/>
    <w:rsid w:val="00350904"/>
    <w:rsid w:val="00350AD8"/>
    <w:rsid w:val="00350C16"/>
    <w:rsid w:val="00350C54"/>
    <w:rsid w:val="00350D28"/>
    <w:rsid w:val="00350DED"/>
    <w:rsid w:val="00351098"/>
    <w:rsid w:val="00351253"/>
    <w:rsid w:val="0035132A"/>
    <w:rsid w:val="00351701"/>
    <w:rsid w:val="0035178F"/>
    <w:rsid w:val="0035184C"/>
    <w:rsid w:val="003518A6"/>
    <w:rsid w:val="00351A8D"/>
    <w:rsid w:val="00351E6E"/>
    <w:rsid w:val="00351F24"/>
    <w:rsid w:val="00352025"/>
    <w:rsid w:val="003524B5"/>
    <w:rsid w:val="003524DB"/>
    <w:rsid w:val="00352693"/>
    <w:rsid w:val="00352806"/>
    <w:rsid w:val="00352C9A"/>
    <w:rsid w:val="00352D6E"/>
    <w:rsid w:val="00353368"/>
    <w:rsid w:val="00353418"/>
    <w:rsid w:val="00353764"/>
    <w:rsid w:val="00353983"/>
    <w:rsid w:val="00353CB5"/>
    <w:rsid w:val="00353E89"/>
    <w:rsid w:val="0035407D"/>
    <w:rsid w:val="00354144"/>
    <w:rsid w:val="00354B8A"/>
    <w:rsid w:val="00355931"/>
    <w:rsid w:val="00355AD1"/>
    <w:rsid w:val="00355E3C"/>
    <w:rsid w:val="00355FF4"/>
    <w:rsid w:val="00356138"/>
    <w:rsid w:val="0035654F"/>
    <w:rsid w:val="00356C21"/>
    <w:rsid w:val="003570C6"/>
    <w:rsid w:val="00357222"/>
    <w:rsid w:val="00357288"/>
    <w:rsid w:val="003572AA"/>
    <w:rsid w:val="003573E1"/>
    <w:rsid w:val="003579D7"/>
    <w:rsid w:val="00357B3E"/>
    <w:rsid w:val="00360361"/>
    <w:rsid w:val="003606A5"/>
    <w:rsid w:val="003606ED"/>
    <w:rsid w:val="00360801"/>
    <w:rsid w:val="00360CA4"/>
    <w:rsid w:val="00360F2C"/>
    <w:rsid w:val="00360FD5"/>
    <w:rsid w:val="00361199"/>
    <w:rsid w:val="003625A6"/>
    <w:rsid w:val="00362A3F"/>
    <w:rsid w:val="00362B52"/>
    <w:rsid w:val="00363175"/>
    <w:rsid w:val="0036324A"/>
    <w:rsid w:val="00363261"/>
    <w:rsid w:val="003633FD"/>
    <w:rsid w:val="00363DC9"/>
    <w:rsid w:val="00363EDD"/>
    <w:rsid w:val="00364439"/>
    <w:rsid w:val="00364499"/>
    <w:rsid w:val="00364616"/>
    <w:rsid w:val="003646B8"/>
    <w:rsid w:val="00364747"/>
    <w:rsid w:val="00364B0D"/>
    <w:rsid w:val="00364B77"/>
    <w:rsid w:val="0036593E"/>
    <w:rsid w:val="00365F21"/>
    <w:rsid w:val="00367235"/>
    <w:rsid w:val="003678D8"/>
    <w:rsid w:val="00367966"/>
    <w:rsid w:val="00367D5E"/>
    <w:rsid w:val="003704B0"/>
    <w:rsid w:val="00370601"/>
    <w:rsid w:val="0037072B"/>
    <w:rsid w:val="003707BF"/>
    <w:rsid w:val="00370CDC"/>
    <w:rsid w:val="00370D44"/>
    <w:rsid w:val="003712D2"/>
    <w:rsid w:val="0037166C"/>
    <w:rsid w:val="00371C80"/>
    <w:rsid w:val="00371E18"/>
    <w:rsid w:val="00371E47"/>
    <w:rsid w:val="00371FC3"/>
    <w:rsid w:val="00371FDE"/>
    <w:rsid w:val="00372050"/>
    <w:rsid w:val="003720B8"/>
    <w:rsid w:val="00372110"/>
    <w:rsid w:val="003724EF"/>
    <w:rsid w:val="003726CB"/>
    <w:rsid w:val="00372D2E"/>
    <w:rsid w:val="00372D4B"/>
    <w:rsid w:val="00373117"/>
    <w:rsid w:val="00373171"/>
    <w:rsid w:val="00373966"/>
    <w:rsid w:val="00373ADD"/>
    <w:rsid w:val="00373D5E"/>
    <w:rsid w:val="003740EB"/>
    <w:rsid w:val="0037440B"/>
    <w:rsid w:val="00374819"/>
    <w:rsid w:val="00374DD9"/>
    <w:rsid w:val="0037591A"/>
    <w:rsid w:val="00375A3C"/>
    <w:rsid w:val="00375A94"/>
    <w:rsid w:val="00375CF1"/>
    <w:rsid w:val="0037601F"/>
    <w:rsid w:val="00376096"/>
    <w:rsid w:val="00376880"/>
    <w:rsid w:val="00376AC3"/>
    <w:rsid w:val="00376CD0"/>
    <w:rsid w:val="00376DA2"/>
    <w:rsid w:val="00377C65"/>
    <w:rsid w:val="00377D19"/>
    <w:rsid w:val="003801F9"/>
    <w:rsid w:val="00380266"/>
    <w:rsid w:val="00380371"/>
    <w:rsid w:val="00380403"/>
    <w:rsid w:val="003809FE"/>
    <w:rsid w:val="00380A74"/>
    <w:rsid w:val="00380AEA"/>
    <w:rsid w:val="00380D43"/>
    <w:rsid w:val="003810E9"/>
    <w:rsid w:val="003817D7"/>
    <w:rsid w:val="003818DB"/>
    <w:rsid w:val="003818E9"/>
    <w:rsid w:val="00382515"/>
    <w:rsid w:val="00382591"/>
    <w:rsid w:val="003828F5"/>
    <w:rsid w:val="003828FF"/>
    <w:rsid w:val="00382D27"/>
    <w:rsid w:val="0038302C"/>
    <w:rsid w:val="00383676"/>
    <w:rsid w:val="003838DD"/>
    <w:rsid w:val="00383A36"/>
    <w:rsid w:val="00383E33"/>
    <w:rsid w:val="00384501"/>
    <w:rsid w:val="00384557"/>
    <w:rsid w:val="00384700"/>
    <w:rsid w:val="0038494D"/>
    <w:rsid w:val="00384960"/>
    <w:rsid w:val="00384A87"/>
    <w:rsid w:val="00384D68"/>
    <w:rsid w:val="00385093"/>
    <w:rsid w:val="003851F6"/>
    <w:rsid w:val="0038530C"/>
    <w:rsid w:val="003853CC"/>
    <w:rsid w:val="003853DF"/>
    <w:rsid w:val="003853EE"/>
    <w:rsid w:val="0038542E"/>
    <w:rsid w:val="00385E05"/>
    <w:rsid w:val="00385F8F"/>
    <w:rsid w:val="0038601B"/>
    <w:rsid w:val="00386053"/>
    <w:rsid w:val="003861D1"/>
    <w:rsid w:val="00386214"/>
    <w:rsid w:val="00386AC0"/>
    <w:rsid w:val="00387063"/>
    <w:rsid w:val="00387834"/>
    <w:rsid w:val="0038795E"/>
    <w:rsid w:val="00387A9F"/>
    <w:rsid w:val="00387AEA"/>
    <w:rsid w:val="00387B72"/>
    <w:rsid w:val="00387F3F"/>
    <w:rsid w:val="00390090"/>
    <w:rsid w:val="00390716"/>
    <w:rsid w:val="003907E0"/>
    <w:rsid w:val="003909DF"/>
    <w:rsid w:val="00390BDE"/>
    <w:rsid w:val="00390D9B"/>
    <w:rsid w:val="0039169F"/>
    <w:rsid w:val="003916B0"/>
    <w:rsid w:val="00391776"/>
    <w:rsid w:val="00391D56"/>
    <w:rsid w:val="003920B3"/>
    <w:rsid w:val="003924FD"/>
    <w:rsid w:val="003926F2"/>
    <w:rsid w:val="0039374F"/>
    <w:rsid w:val="00393A69"/>
    <w:rsid w:val="00393B65"/>
    <w:rsid w:val="00393D53"/>
    <w:rsid w:val="00393FA8"/>
    <w:rsid w:val="003950CF"/>
    <w:rsid w:val="003951CA"/>
    <w:rsid w:val="00395567"/>
    <w:rsid w:val="00395C75"/>
    <w:rsid w:val="00395DE4"/>
    <w:rsid w:val="0039610B"/>
    <w:rsid w:val="003966A8"/>
    <w:rsid w:val="00396739"/>
    <w:rsid w:val="00396BA0"/>
    <w:rsid w:val="003971D2"/>
    <w:rsid w:val="003971DF"/>
    <w:rsid w:val="00397441"/>
    <w:rsid w:val="00397973"/>
    <w:rsid w:val="00397997"/>
    <w:rsid w:val="00397C2C"/>
    <w:rsid w:val="003A0028"/>
    <w:rsid w:val="003A03E8"/>
    <w:rsid w:val="003A0476"/>
    <w:rsid w:val="003A0501"/>
    <w:rsid w:val="003A0FDD"/>
    <w:rsid w:val="003A10A4"/>
    <w:rsid w:val="003A110E"/>
    <w:rsid w:val="003A11C7"/>
    <w:rsid w:val="003A141E"/>
    <w:rsid w:val="003A1548"/>
    <w:rsid w:val="003A161B"/>
    <w:rsid w:val="003A1691"/>
    <w:rsid w:val="003A1704"/>
    <w:rsid w:val="003A1A6F"/>
    <w:rsid w:val="003A248E"/>
    <w:rsid w:val="003A2833"/>
    <w:rsid w:val="003A2A62"/>
    <w:rsid w:val="003A2F4B"/>
    <w:rsid w:val="003A3170"/>
    <w:rsid w:val="003A3286"/>
    <w:rsid w:val="003A3377"/>
    <w:rsid w:val="003A361D"/>
    <w:rsid w:val="003A38FC"/>
    <w:rsid w:val="003A39CC"/>
    <w:rsid w:val="003A400C"/>
    <w:rsid w:val="003A4A0B"/>
    <w:rsid w:val="003A4C16"/>
    <w:rsid w:val="003A4C9C"/>
    <w:rsid w:val="003A4D28"/>
    <w:rsid w:val="003A4E60"/>
    <w:rsid w:val="003A4F04"/>
    <w:rsid w:val="003A51D4"/>
    <w:rsid w:val="003A5278"/>
    <w:rsid w:val="003A540F"/>
    <w:rsid w:val="003A5752"/>
    <w:rsid w:val="003A5777"/>
    <w:rsid w:val="003A5F07"/>
    <w:rsid w:val="003A603C"/>
    <w:rsid w:val="003A6063"/>
    <w:rsid w:val="003A65E7"/>
    <w:rsid w:val="003A6870"/>
    <w:rsid w:val="003A6886"/>
    <w:rsid w:val="003A697E"/>
    <w:rsid w:val="003A6B83"/>
    <w:rsid w:val="003A6D08"/>
    <w:rsid w:val="003A74B9"/>
    <w:rsid w:val="003A763D"/>
    <w:rsid w:val="003A77DB"/>
    <w:rsid w:val="003A795B"/>
    <w:rsid w:val="003A7A28"/>
    <w:rsid w:val="003A9AB3"/>
    <w:rsid w:val="003B09D8"/>
    <w:rsid w:val="003B0F79"/>
    <w:rsid w:val="003B125A"/>
    <w:rsid w:val="003B136A"/>
    <w:rsid w:val="003B1534"/>
    <w:rsid w:val="003B15A1"/>
    <w:rsid w:val="003B16C8"/>
    <w:rsid w:val="003B1810"/>
    <w:rsid w:val="003B1B8A"/>
    <w:rsid w:val="003B25B9"/>
    <w:rsid w:val="003B27A8"/>
    <w:rsid w:val="003B2858"/>
    <w:rsid w:val="003B2983"/>
    <w:rsid w:val="003B29A6"/>
    <w:rsid w:val="003B2BFA"/>
    <w:rsid w:val="003B2C7E"/>
    <w:rsid w:val="003B3377"/>
    <w:rsid w:val="003B37B7"/>
    <w:rsid w:val="003B3844"/>
    <w:rsid w:val="003B3982"/>
    <w:rsid w:val="003B3A5D"/>
    <w:rsid w:val="003B3B44"/>
    <w:rsid w:val="003B3CAE"/>
    <w:rsid w:val="003B3DE3"/>
    <w:rsid w:val="003B45FA"/>
    <w:rsid w:val="003B4733"/>
    <w:rsid w:val="003B4B1E"/>
    <w:rsid w:val="003B5063"/>
    <w:rsid w:val="003B52DD"/>
    <w:rsid w:val="003B5410"/>
    <w:rsid w:val="003B5680"/>
    <w:rsid w:val="003B568A"/>
    <w:rsid w:val="003B5903"/>
    <w:rsid w:val="003B5933"/>
    <w:rsid w:val="003B5D56"/>
    <w:rsid w:val="003B5F45"/>
    <w:rsid w:val="003B6359"/>
    <w:rsid w:val="003B6B24"/>
    <w:rsid w:val="003B6ED8"/>
    <w:rsid w:val="003B702A"/>
    <w:rsid w:val="003B7171"/>
    <w:rsid w:val="003B7251"/>
    <w:rsid w:val="003B7A81"/>
    <w:rsid w:val="003B7ED8"/>
    <w:rsid w:val="003B7EE6"/>
    <w:rsid w:val="003B7F97"/>
    <w:rsid w:val="003B7FF4"/>
    <w:rsid w:val="003C023B"/>
    <w:rsid w:val="003C0451"/>
    <w:rsid w:val="003C0AC3"/>
    <w:rsid w:val="003C0B14"/>
    <w:rsid w:val="003C0FF5"/>
    <w:rsid w:val="003C1624"/>
    <w:rsid w:val="003C1736"/>
    <w:rsid w:val="003C17E5"/>
    <w:rsid w:val="003C19F7"/>
    <w:rsid w:val="003C1F78"/>
    <w:rsid w:val="003C23E8"/>
    <w:rsid w:val="003C2475"/>
    <w:rsid w:val="003C2483"/>
    <w:rsid w:val="003C25E5"/>
    <w:rsid w:val="003C26FA"/>
    <w:rsid w:val="003C3CF2"/>
    <w:rsid w:val="003C3D36"/>
    <w:rsid w:val="003C3E0D"/>
    <w:rsid w:val="003C3E96"/>
    <w:rsid w:val="003C3EEF"/>
    <w:rsid w:val="003C42B6"/>
    <w:rsid w:val="003C4370"/>
    <w:rsid w:val="003C4A4E"/>
    <w:rsid w:val="003C4FD4"/>
    <w:rsid w:val="003C5136"/>
    <w:rsid w:val="003C51E2"/>
    <w:rsid w:val="003C5224"/>
    <w:rsid w:val="003C522C"/>
    <w:rsid w:val="003C5292"/>
    <w:rsid w:val="003C589C"/>
    <w:rsid w:val="003C5957"/>
    <w:rsid w:val="003C5A4F"/>
    <w:rsid w:val="003C6030"/>
    <w:rsid w:val="003C610C"/>
    <w:rsid w:val="003C63F3"/>
    <w:rsid w:val="003C69AB"/>
    <w:rsid w:val="003C6B42"/>
    <w:rsid w:val="003C6EA9"/>
    <w:rsid w:val="003C7271"/>
    <w:rsid w:val="003C7376"/>
    <w:rsid w:val="003C7B79"/>
    <w:rsid w:val="003C7D44"/>
    <w:rsid w:val="003C7D8C"/>
    <w:rsid w:val="003C7F09"/>
    <w:rsid w:val="003D03CB"/>
    <w:rsid w:val="003D0608"/>
    <w:rsid w:val="003D078D"/>
    <w:rsid w:val="003D08D4"/>
    <w:rsid w:val="003D0996"/>
    <w:rsid w:val="003D09A9"/>
    <w:rsid w:val="003D0BF4"/>
    <w:rsid w:val="003D0D27"/>
    <w:rsid w:val="003D1033"/>
    <w:rsid w:val="003D13E7"/>
    <w:rsid w:val="003D14B1"/>
    <w:rsid w:val="003D1617"/>
    <w:rsid w:val="003D18FA"/>
    <w:rsid w:val="003D2647"/>
    <w:rsid w:val="003D26D1"/>
    <w:rsid w:val="003D27CA"/>
    <w:rsid w:val="003D2D15"/>
    <w:rsid w:val="003D2F70"/>
    <w:rsid w:val="003D324C"/>
    <w:rsid w:val="003D3370"/>
    <w:rsid w:val="003D338D"/>
    <w:rsid w:val="003D3546"/>
    <w:rsid w:val="003D35D4"/>
    <w:rsid w:val="003D3674"/>
    <w:rsid w:val="003D3A61"/>
    <w:rsid w:val="003D3B36"/>
    <w:rsid w:val="003D3EDE"/>
    <w:rsid w:val="003D430D"/>
    <w:rsid w:val="003D432E"/>
    <w:rsid w:val="003D47BD"/>
    <w:rsid w:val="003D4DCA"/>
    <w:rsid w:val="003D51B0"/>
    <w:rsid w:val="003D54CB"/>
    <w:rsid w:val="003D58A6"/>
    <w:rsid w:val="003D5B7E"/>
    <w:rsid w:val="003D5E3A"/>
    <w:rsid w:val="003D6152"/>
    <w:rsid w:val="003D61B6"/>
    <w:rsid w:val="003D66A6"/>
    <w:rsid w:val="003D6886"/>
    <w:rsid w:val="003D6955"/>
    <w:rsid w:val="003D706A"/>
    <w:rsid w:val="003D711A"/>
    <w:rsid w:val="003D71DD"/>
    <w:rsid w:val="003D73FF"/>
    <w:rsid w:val="003D7474"/>
    <w:rsid w:val="003D7C71"/>
    <w:rsid w:val="003E0150"/>
    <w:rsid w:val="003E0158"/>
    <w:rsid w:val="003E03F3"/>
    <w:rsid w:val="003E06D1"/>
    <w:rsid w:val="003E07DB"/>
    <w:rsid w:val="003E0DE6"/>
    <w:rsid w:val="003E11A7"/>
    <w:rsid w:val="003E131A"/>
    <w:rsid w:val="003E158E"/>
    <w:rsid w:val="003E1600"/>
    <w:rsid w:val="003E160C"/>
    <w:rsid w:val="003E161A"/>
    <w:rsid w:val="003E1C34"/>
    <w:rsid w:val="003E232D"/>
    <w:rsid w:val="003E2501"/>
    <w:rsid w:val="003E25DF"/>
    <w:rsid w:val="003E2D1C"/>
    <w:rsid w:val="003E2D86"/>
    <w:rsid w:val="003E2F88"/>
    <w:rsid w:val="003E4279"/>
    <w:rsid w:val="003E443B"/>
    <w:rsid w:val="003E4678"/>
    <w:rsid w:val="003E4929"/>
    <w:rsid w:val="003E4B27"/>
    <w:rsid w:val="003E4CA3"/>
    <w:rsid w:val="003E5051"/>
    <w:rsid w:val="003E5201"/>
    <w:rsid w:val="003E5349"/>
    <w:rsid w:val="003E562F"/>
    <w:rsid w:val="003E575C"/>
    <w:rsid w:val="003E5ACF"/>
    <w:rsid w:val="003E5D33"/>
    <w:rsid w:val="003E5F2B"/>
    <w:rsid w:val="003E629E"/>
    <w:rsid w:val="003E6B08"/>
    <w:rsid w:val="003E6EDE"/>
    <w:rsid w:val="003F0095"/>
    <w:rsid w:val="003F0239"/>
    <w:rsid w:val="003F07BA"/>
    <w:rsid w:val="003F0867"/>
    <w:rsid w:val="003F0C09"/>
    <w:rsid w:val="003F10DF"/>
    <w:rsid w:val="003F1156"/>
    <w:rsid w:val="003F1516"/>
    <w:rsid w:val="003F1D48"/>
    <w:rsid w:val="003F2188"/>
    <w:rsid w:val="003F2219"/>
    <w:rsid w:val="003F241C"/>
    <w:rsid w:val="003F2927"/>
    <w:rsid w:val="003F2967"/>
    <w:rsid w:val="003F2A7B"/>
    <w:rsid w:val="003F3324"/>
    <w:rsid w:val="003F34AA"/>
    <w:rsid w:val="003F36C5"/>
    <w:rsid w:val="003F37D5"/>
    <w:rsid w:val="003F38B7"/>
    <w:rsid w:val="003F3A3C"/>
    <w:rsid w:val="003F3B8B"/>
    <w:rsid w:val="003F3E3A"/>
    <w:rsid w:val="003F4995"/>
    <w:rsid w:val="003F4A90"/>
    <w:rsid w:val="003F4E96"/>
    <w:rsid w:val="003F5017"/>
    <w:rsid w:val="003F50AE"/>
    <w:rsid w:val="003F5101"/>
    <w:rsid w:val="003F5413"/>
    <w:rsid w:val="003F55EC"/>
    <w:rsid w:val="003F560A"/>
    <w:rsid w:val="003F5D47"/>
    <w:rsid w:val="003F5D8E"/>
    <w:rsid w:val="003F5E81"/>
    <w:rsid w:val="003F622F"/>
    <w:rsid w:val="003F646D"/>
    <w:rsid w:val="003F67A8"/>
    <w:rsid w:val="003F6AC1"/>
    <w:rsid w:val="003F6AD1"/>
    <w:rsid w:val="003F7064"/>
    <w:rsid w:val="003F7123"/>
    <w:rsid w:val="003F71A1"/>
    <w:rsid w:val="003F727C"/>
    <w:rsid w:val="003F7299"/>
    <w:rsid w:val="003F74B0"/>
    <w:rsid w:val="003F770F"/>
    <w:rsid w:val="003F79FE"/>
    <w:rsid w:val="003F7E19"/>
    <w:rsid w:val="003F7EF7"/>
    <w:rsid w:val="00400032"/>
    <w:rsid w:val="00400988"/>
    <w:rsid w:val="00400B61"/>
    <w:rsid w:val="00401392"/>
    <w:rsid w:val="004013BB"/>
    <w:rsid w:val="00401491"/>
    <w:rsid w:val="0040163C"/>
    <w:rsid w:val="00401810"/>
    <w:rsid w:val="00401DA8"/>
    <w:rsid w:val="00401EB0"/>
    <w:rsid w:val="00401F82"/>
    <w:rsid w:val="00402562"/>
    <w:rsid w:val="0040257F"/>
    <w:rsid w:val="00402F24"/>
    <w:rsid w:val="00403A35"/>
    <w:rsid w:val="00403BD4"/>
    <w:rsid w:val="00403F92"/>
    <w:rsid w:val="00403FD7"/>
    <w:rsid w:val="0040478B"/>
    <w:rsid w:val="00404A73"/>
    <w:rsid w:val="00404E6D"/>
    <w:rsid w:val="00404F64"/>
    <w:rsid w:val="0040577D"/>
    <w:rsid w:val="00405D26"/>
    <w:rsid w:val="00406496"/>
    <w:rsid w:val="00406978"/>
    <w:rsid w:val="00406A46"/>
    <w:rsid w:val="00406A87"/>
    <w:rsid w:val="00406B52"/>
    <w:rsid w:val="00406BB1"/>
    <w:rsid w:val="004076EB"/>
    <w:rsid w:val="00407BC0"/>
    <w:rsid w:val="004105B7"/>
    <w:rsid w:val="004105C9"/>
    <w:rsid w:val="0041080C"/>
    <w:rsid w:val="004109CB"/>
    <w:rsid w:val="00410A97"/>
    <w:rsid w:val="00410D2F"/>
    <w:rsid w:val="00410E70"/>
    <w:rsid w:val="00410EA1"/>
    <w:rsid w:val="00410F63"/>
    <w:rsid w:val="00410FE2"/>
    <w:rsid w:val="00411E09"/>
    <w:rsid w:val="00411E49"/>
    <w:rsid w:val="00412112"/>
    <w:rsid w:val="004121D9"/>
    <w:rsid w:val="00412272"/>
    <w:rsid w:val="0041275E"/>
    <w:rsid w:val="0041288E"/>
    <w:rsid w:val="0041317F"/>
    <w:rsid w:val="004131C5"/>
    <w:rsid w:val="004133A5"/>
    <w:rsid w:val="0041378B"/>
    <w:rsid w:val="00413822"/>
    <w:rsid w:val="004138D8"/>
    <w:rsid w:val="00413C44"/>
    <w:rsid w:val="00413E1C"/>
    <w:rsid w:val="0041478E"/>
    <w:rsid w:val="004148B3"/>
    <w:rsid w:val="004149F2"/>
    <w:rsid w:val="00414A14"/>
    <w:rsid w:val="00414FDD"/>
    <w:rsid w:val="00415067"/>
    <w:rsid w:val="00415374"/>
    <w:rsid w:val="004155A2"/>
    <w:rsid w:val="00415785"/>
    <w:rsid w:val="00415F8C"/>
    <w:rsid w:val="00416051"/>
    <w:rsid w:val="0041633D"/>
    <w:rsid w:val="0041698A"/>
    <w:rsid w:val="00416B6C"/>
    <w:rsid w:val="00416C57"/>
    <w:rsid w:val="00416C7D"/>
    <w:rsid w:val="0041754B"/>
    <w:rsid w:val="004175CB"/>
    <w:rsid w:val="00417B16"/>
    <w:rsid w:val="00417BD7"/>
    <w:rsid w:val="00417C2F"/>
    <w:rsid w:val="0042012F"/>
    <w:rsid w:val="00420231"/>
    <w:rsid w:val="004206E0"/>
    <w:rsid w:val="0042070D"/>
    <w:rsid w:val="00420A6C"/>
    <w:rsid w:val="00420A8F"/>
    <w:rsid w:val="00420CD6"/>
    <w:rsid w:val="00420F20"/>
    <w:rsid w:val="00421025"/>
    <w:rsid w:val="0042128A"/>
    <w:rsid w:val="004212A7"/>
    <w:rsid w:val="004216A6"/>
    <w:rsid w:val="00421787"/>
    <w:rsid w:val="0042186F"/>
    <w:rsid w:val="00421BD0"/>
    <w:rsid w:val="00421C71"/>
    <w:rsid w:val="00421CFB"/>
    <w:rsid w:val="00421D7A"/>
    <w:rsid w:val="00421E87"/>
    <w:rsid w:val="0042206E"/>
    <w:rsid w:val="004223CC"/>
    <w:rsid w:val="00422427"/>
    <w:rsid w:val="004225E0"/>
    <w:rsid w:val="004227D9"/>
    <w:rsid w:val="00422C0A"/>
    <w:rsid w:val="00422C53"/>
    <w:rsid w:val="00422EC9"/>
    <w:rsid w:val="00423023"/>
    <w:rsid w:val="0042390C"/>
    <w:rsid w:val="00423B8E"/>
    <w:rsid w:val="00423CA0"/>
    <w:rsid w:val="00423CE7"/>
    <w:rsid w:val="00424C3C"/>
    <w:rsid w:val="00424FB9"/>
    <w:rsid w:val="0042502D"/>
    <w:rsid w:val="0042516B"/>
    <w:rsid w:val="0042527F"/>
    <w:rsid w:val="004253CB"/>
    <w:rsid w:val="004256A3"/>
    <w:rsid w:val="00425781"/>
    <w:rsid w:val="0042594E"/>
    <w:rsid w:val="00425BDE"/>
    <w:rsid w:val="00426250"/>
    <w:rsid w:val="00426446"/>
    <w:rsid w:val="00426FD9"/>
    <w:rsid w:val="00427392"/>
    <w:rsid w:val="00427B94"/>
    <w:rsid w:val="00430234"/>
    <w:rsid w:val="004305AE"/>
    <w:rsid w:val="00430907"/>
    <w:rsid w:val="00430D70"/>
    <w:rsid w:val="00431896"/>
    <w:rsid w:val="00431938"/>
    <w:rsid w:val="00431EB6"/>
    <w:rsid w:val="00432068"/>
    <w:rsid w:val="004321EF"/>
    <w:rsid w:val="004326D4"/>
    <w:rsid w:val="004329FA"/>
    <w:rsid w:val="00432E9C"/>
    <w:rsid w:val="00432EB7"/>
    <w:rsid w:val="00433778"/>
    <w:rsid w:val="004340E8"/>
    <w:rsid w:val="0043436B"/>
    <w:rsid w:val="00434600"/>
    <w:rsid w:val="00434601"/>
    <w:rsid w:val="00434736"/>
    <w:rsid w:val="0043490E"/>
    <w:rsid w:val="00434966"/>
    <w:rsid w:val="00434C70"/>
    <w:rsid w:val="00434E23"/>
    <w:rsid w:val="00435501"/>
    <w:rsid w:val="004356D8"/>
    <w:rsid w:val="00435C7B"/>
    <w:rsid w:val="00435CD8"/>
    <w:rsid w:val="00435D09"/>
    <w:rsid w:val="00435EA4"/>
    <w:rsid w:val="00435EAC"/>
    <w:rsid w:val="0043687C"/>
    <w:rsid w:val="00436981"/>
    <w:rsid w:val="004371A0"/>
    <w:rsid w:val="004375A1"/>
    <w:rsid w:val="004376A9"/>
    <w:rsid w:val="00437853"/>
    <w:rsid w:val="004379A7"/>
    <w:rsid w:val="00437D71"/>
    <w:rsid w:val="00440362"/>
    <w:rsid w:val="00440448"/>
    <w:rsid w:val="00440569"/>
    <w:rsid w:val="00440589"/>
    <w:rsid w:val="0044069F"/>
    <w:rsid w:val="0044072E"/>
    <w:rsid w:val="00440B80"/>
    <w:rsid w:val="00440C31"/>
    <w:rsid w:val="00440C8C"/>
    <w:rsid w:val="00441111"/>
    <w:rsid w:val="0044147A"/>
    <w:rsid w:val="004415F7"/>
    <w:rsid w:val="00441667"/>
    <w:rsid w:val="00441B73"/>
    <w:rsid w:val="00441FAA"/>
    <w:rsid w:val="00441FAC"/>
    <w:rsid w:val="0044203A"/>
    <w:rsid w:val="00442431"/>
    <w:rsid w:val="00442918"/>
    <w:rsid w:val="0044299C"/>
    <w:rsid w:val="00443553"/>
    <w:rsid w:val="0044380C"/>
    <w:rsid w:val="00443A52"/>
    <w:rsid w:val="00443BAA"/>
    <w:rsid w:val="00443C17"/>
    <w:rsid w:val="00443D6D"/>
    <w:rsid w:val="00444772"/>
    <w:rsid w:val="0044498F"/>
    <w:rsid w:val="00444A05"/>
    <w:rsid w:val="00444AB1"/>
    <w:rsid w:val="00444BBF"/>
    <w:rsid w:val="00444ECD"/>
    <w:rsid w:val="00444ED4"/>
    <w:rsid w:val="00445048"/>
    <w:rsid w:val="004450E8"/>
    <w:rsid w:val="00445910"/>
    <w:rsid w:val="00445957"/>
    <w:rsid w:val="00445980"/>
    <w:rsid w:val="004459AC"/>
    <w:rsid w:val="00445C5E"/>
    <w:rsid w:val="00445F28"/>
    <w:rsid w:val="00446B14"/>
    <w:rsid w:val="00446CE4"/>
    <w:rsid w:val="00446F05"/>
    <w:rsid w:val="00447836"/>
    <w:rsid w:val="00447BE3"/>
    <w:rsid w:val="00447EA2"/>
    <w:rsid w:val="0045032A"/>
    <w:rsid w:val="0045072F"/>
    <w:rsid w:val="00450CFA"/>
    <w:rsid w:val="00450DC7"/>
    <w:rsid w:val="004510E9"/>
    <w:rsid w:val="00451174"/>
    <w:rsid w:val="004511CB"/>
    <w:rsid w:val="004512E0"/>
    <w:rsid w:val="00451489"/>
    <w:rsid w:val="00451E2B"/>
    <w:rsid w:val="00452484"/>
    <w:rsid w:val="00452642"/>
    <w:rsid w:val="004526B6"/>
    <w:rsid w:val="00452D60"/>
    <w:rsid w:val="00453A50"/>
    <w:rsid w:val="00453C84"/>
    <w:rsid w:val="00453D87"/>
    <w:rsid w:val="00453D90"/>
    <w:rsid w:val="00453EA1"/>
    <w:rsid w:val="004540ED"/>
    <w:rsid w:val="004541E7"/>
    <w:rsid w:val="004547C9"/>
    <w:rsid w:val="004548C1"/>
    <w:rsid w:val="00454B81"/>
    <w:rsid w:val="00454B99"/>
    <w:rsid w:val="00455330"/>
    <w:rsid w:val="0045565A"/>
    <w:rsid w:val="004561F7"/>
    <w:rsid w:val="00456605"/>
    <w:rsid w:val="004569FE"/>
    <w:rsid w:val="00456BDC"/>
    <w:rsid w:val="00457049"/>
    <w:rsid w:val="00457114"/>
    <w:rsid w:val="004576C5"/>
    <w:rsid w:val="00457713"/>
    <w:rsid w:val="00457B58"/>
    <w:rsid w:val="00460283"/>
    <w:rsid w:val="00460C28"/>
    <w:rsid w:val="00460C60"/>
    <w:rsid w:val="00460F83"/>
    <w:rsid w:val="00461283"/>
    <w:rsid w:val="004617C5"/>
    <w:rsid w:val="004619A5"/>
    <w:rsid w:val="00461DED"/>
    <w:rsid w:val="00461EEB"/>
    <w:rsid w:val="0046200C"/>
    <w:rsid w:val="00462174"/>
    <w:rsid w:val="00462262"/>
    <w:rsid w:val="0046227D"/>
    <w:rsid w:val="00462476"/>
    <w:rsid w:val="00462492"/>
    <w:rsid w:val="004626BB"/>
    <w:rsid w:val="0046277C"/>
    <w:rsid w:val="00463394"/>
    <w:rsid w:val="004634B2"/>
    <w:rsid w:val="004637BA"/>
    <w:rsid w:val="00463A3B"/>
    <w:rsid w:val="00463ACC"/>
    <w:rsid w:val="00463B46"/>
    <w:rsid w:val="00463F96"/>
    <w:rsid w:val="004641C8"/>
    <w:rsid w:val="004643D9"/>
    <w:rsid w:val="00464DEB"/>
    <w:rsid w:val="00464EA7"/>
    <w:rsid w:val="00465289"/>
    <w:rsid w:val="0046534C"/>
    <w:rsid w:val="00465CC1"/>
    <w:rsid w:val="00465E14"/>
    <w:rsid w:val="00465FAD"/>
    <w:rsid w:val="00466279"/>
    <w:rsid w:val="004663F7"/>
    <w:rsid w:val="004664E3"/>
    <w:rsid w:val="00466711"/>
    <w:rsid w:val="004668E2"/>
    <w:rsid w:val="00466913"/>
    <w:rsid w:val="004669AB"/>
    <w:rsid w:val="004669E6"/>
    <w:rsid w:val="00466BD6"/>
    <w:rsid w:val="00466EFC"/>
    <w:rsid w:val="0046705D"/>
    <w:rsid w:val="00467415"/>
    <w:rsid w:val="00467488"/>
    <w:rsid w:val="004674C2"/>
    <w:rsid w:val="00467560"/>
    <w:rsid w:val="004676BD"/>
    <w:rsid w:val="00467749"/>
    <w:rsid w:val="00467864"/>
    <w:rsid w:val="00467AB6"/>
    <w:rsid w:val="00467D03"/>
    <w:rsid w:val="00467D27"/>
    <w:rsid w:val="0047011C"/>
    <w:rsid w:val="00470AC0"/>
    <w:rsid w:val="0047134B"/>
    <w:rsid w:val="004715A4"/>
    <w:rsid w:val="0047172B"/>
    <w:rsid w:val="00471A77"/>
    <w:rsid w:val="00471EA4"/>
    <w:rsid w:val="00471F90"/>
    <w:rsid w:val="00471FC6"/>
    <w:rsid w:val="004726CA"/>
    <w:rsid w:val="00472BBC"/>
    <w:rsid w:val="00472F91"/>
    <w:rsid w:val="00472FE9"/>
    <w:rsid w:val="00473104"/>
    <w:rsid w:val="00473C7C"/>
    <w:rsid w:val="00473F3F"/>
    <w:rsid w:val="0047417F"/>
    <w:rsid w:val="0047447F"/>
    <w:rsid w:val="0047463F"/>
    <w:rsid w:val="00474745"/>
    <w:rsid w:val="004749AB"/>
    <w:rsid w:val="00474D1F"/>
    <w:rsid w:val="0047527F"/>
    <w:rsid w:val="00475B32"/>
    <w:rsid w:val="00475B8E"/>
    <w:rsid w:val="00475DF9"/>
    <w:rsid w:val="00475E3D"/>
    <w:rsid w:val="0047604C"/>
    <w:rsid w:val="00476557"/>
    <w:rsid w:val="004769E2"/>
    <w:rsid w:val="00476D5B"/>
    <w:rsid w:val="00476F1F"/>
    <w:rsid w:val="00477027"/>
    <w:rsid w:val="00477060"/>
    <w:rsid w:val="004772B5"/>
    <w:rsid w:val="004773F2"/>
    <w:rsid w:val="004774D5"/>
    <w:rsid w:val="0047755D"/>
    <w:rsid w:val="00477924"/>
    <w:rsid w:val="00477AB4"/>
    <w:rsid w:val="00477AFB"/>
    <w:rsid w:val="00477E84"/>
    <w:rsid w:val="00477F84"/>
    <w:rsid w:val="004800AB"/>
    <w:rsid w:val="00480244"/>
    <w:rsid w:val="00480363"/>
    <w:rsid w:val="00480797"/>
    <w:rsid w:val="00480B80"/>
    <w:rsid w:val="00480D28"/>
    <w:rsid w:val="004811BA"/>
    <w:rsid w:val="00481288"/>
    <w:rsid w:val="004813F0"/>
    <w:rsid w:val="00481876"/>
    <w:rsid w:val="00481C2C"/>
    <w:rsid w:val="00482005"/>
    <w:rsid w:val="0048231A"/>
    <w:rsid w:val="00482666"/>
    <w:rsid w:val="004839F8"/>
    <w:rsid w:val="00483AD2"/>
    <w:rsid w:val="00483D45"/>
    <w:rsid w:val="004840A4"/>
    <w:rsid w:val="00484594"/>
    <w:rsid w:val="0048484A"/>
    <w:rsid w:val="004849E3"/>
    <w:rsid w:val="0048504F"/>
    <w:rsid w:val="004854C9"/>
    <w:rsid w:val="0048554A"/>
    <w:rsid w:val="00485729"/>
    <w:rsid w:val="004859E1"/>
    <w:rsid w:val="00485BCB"/>
    <w:rsid w:val="00485CB5"/>
    <w:rsid w:val="004863DA"/>
    <w:rsid w:val="004864C4"/>
    <w:rsid w:val="004865FE"/>
    <w:rsid w:val="0048698B"/>
    <w:rsid w:val="0048720D"/>
    <w:rsid w:val="0048756B"/>
    <w:rsid w:val="0048760A"/>
    <w:rsid w:val="00487637"/>
    <w:rsid w:val="00487754"/>
    <w:rsid w:val="00487D19"/>
    <w:rsid w:val="00490325"/>
    <w:rsid w:val="00490390"/>
    <w:rsid w:val="004906DB"/>
    <w:rsid w:val="00490C2C"/>
    <w:rsid w:val="00490E3C"/>
    <w:rsid w:val="00490EB6"/>
    <w:rsid w:val="00490F99"/>
    <w:rsid w:val="004911C2"/>
    <w:rsid w:val="00492061"/>
    <w:rsid w:val="00492544"/>
    <w:rsid w:val="0049256A"/>
    <w:rsid w:val="004934C7"/>
    <w:rsid w:val="0049364D"/>
    <w:rsid w:val="004937D0"/>
    <w:rsid w:val="00493A93"/>
    <w:rsid w:val="00493D13"/>
    <w:rsid w:val="004942C8"/>
    <w:rsid w:val="004944A0"/>
    <w:rsid w:val="0049473E"/>
    <w:rsid w:val="00494AF6"/>
    <w:rsid w:val="00495705"/>
    <w:rsid w:val="0049595B"/>
    <w:rsid w:val="00495BFB"/>
    <w:rsid w:val="00495C1A"/>
    <w:rsid w:val="004963B8"/>
    <w:rsid w:val="004964C7"/>
    <w:rsid w:val="0049657F"/>
    <w:rsid w:val="00496A0B"/>
    <w:rsid w:val="00496C7E"/>
    <w:rsid w:val="00497117"/>
    <w:rsid w:val="004971B1"/>
    <w:rsid w:val="00497587"/>
    <w:rsid w:val="00497825"/>
    <w:rsid w:val="00497D46"/>
    <w:rsid w:val="00497E06"/>
    <w:rsid w:val="004A02F0"/>
    <w:rsid w:val="004A05DE"/>
    <w:rsid w:val="004A0601"/>
    <w:rsid w:val="004A0A26"/>
    <w:rsid w:val="004A0C69"/>
    <w:rsid w:val="004A0DB7"/>
    <w:rsid w:val="004A0E15"/>
    <w:rsid w:val="004A12AD"/>
    <w:rsid w:val="004A12AF"/>
    <w:rsid w:val="004A12D4"/>
    <w:rsid w:val="004A1335"/>
    <w:rsid w:val="004A175C"/>
    <w:rsid w:val="004A21B7"/>
    <w:rsid w:val="004A2BDA"/>
    <w:rsid w:val="004A2BEB"/>
    <w:rsid w:val="004A31DB"/>
    <w:rsid w:val="004A3253"/>
    <w:rsid w:val="004A33EC"/>
    <w:rsid w:val="004A34FF"/>
    <w:rsid w:val="004A35F2"/>
    <w:rsid w:val="004A3B84"/>
    <w:rsid w:val="004A3F2C"/>
    <w:rsid w:val="004A415A"/>
    <w:rsid w:val="004A4305"/>
    <w:rsid w:val="004A4481"/>
    <w:rsid w:val="004A4A62"/>
    <w:rsid w:val="004A4F91"/>
    <w:rsid w:val="004A5907"/>
    <w:rsid w:val="004A5E1C"/>
    <w:rsid w:val="004A6137"/>
    <w:rsid w:val="004A6471"/>
    <w:rsid w:val="004A6512"/>
    <w:rsid w:val="004A6959"/>
    <w:rsid w:val="004A6995"/>
    <w:rsid w:val="004A6CC9"/>
    <w:rsid w:val="004A718E"/>
    <w:rsid w:val="004A73A1"/>
    <w:rsid w:val="004A73E6"/>
    <w:rsid w:val="004A750D"/>
    <w:rsid w:val="004A7676"/>
    <w:rsid w:val="004B06D5"/>
    <w:rsid w:val="004B09FC"/>
    <w:rsid w:val="004B0C6F"/>
    <w:rsid w:val="004B0E1C"/>
    <w:rsid w:val="004B1404"/>
    <w:rsid w:val="004B148B"/>
    <w:rsid w:val="004B19A3"/>
    <w:rsid w:val="004B1BB8"/>
    <w:rsid w:val="004B1E52"/>
    <w:rsid w:val="004B2024"/>
    <w:rsid w:val="004B2ABB"/>
    <w:rsid w:val="004B2BEA"/>
    <w:rsid w:val="004B2DB1"/>
    <w:rsid w:val="004B2F48"/>
    <w:rsid w:val="004B3105"/>
    <w:rsid w:val="004B3282"/>
    <w:rsid w:val="004B38B7"/>
    <w:rsid w:val="004B3BFD"/>
    <w:rsid w:val="004B3C75"/>
    <w:rsid w:val="004B419F"/>
    <w:rsid w:val="004B440F"/>
    <w:rsid w:val="004B46B5"/>
    <w:rsid w:val="004B4C47"/>
    <w:rsid w:val="004B5202"/>
    <w:rsid w:val="004B53A7"/>
    <w:rsid w:val="004B55F4"/>
    <w:rsid w:val="004B58E7"/>
    <w:rsid w:val="004B596A"/>
    <w:rsid w:val="004B5DF9"/>
    <w:rsid w:val="004B60BD"/>
    <w:rsid w:val="004B62C6"/>
    <w:rsid w:val="004B6312"/>
    <w:rsid w:val="004B6335"/>
    <w:rsid w:val="004B6C78"/>
    <w:rsid w:val="004B6CDD"/>
    <w:rsid w:val="004B716F"/>
    <w:rsid w:val="004B728C"/>
    <w:rsid w:val="004B740F"/>
    <w:rsid w:val="004B7419"/>
    <w:rsid w:val="004B7817"/>
    <w:rsid w:val="004B7E43"/>
    <w:rsid w:val="004C049E"/>
    <w:rsid w:val="004C055C"/>
    <w:rsid w:val="004C063F"/>
    <w:rsid w:val="004C096B"/>
    <w:rsid w:val="004C0991"/>
    <w:rsid w:val="004C0AA5"/>
    <w:rsid w:val="004C0C2A"/>
    <w:rsid w:val="004C0DA2"/>
    <w:rsid w:val="004C0DE4"/>
    <w:rsid w:val="004C10A6"/>
    <w:rsid w:val="004C113B"/>
    <w:rsid w:val="004C12C8"/>
    <w:rsid w:val="004C1313"/>
    <w:rsid w:val="004C13C5"/>
    <w:rsid w:val="004C1729"/>
    <w:rsid w:val="004C197F"/>
    <w:rsid w:val="004C2ED0"/>
    <w:rsid w:val="004C2F82"/>
    <w:rsid w:val="004C30AC"/>
    <w:rsid w:val="004C34FD"/>
    <w:rsid w:val="004C3816"/>
    <w:rsid w:val="004C3819"/>
    <w:rsid w:val="004C3E69"/>
    <w:rsid w:val="004C3EEF"/>
    <w:rsid w:val="004C40EC"/>
    <w:rsid w:val="004C4231"/>
    <w:rsid w:val="004C4A52"/>
    <w:rsid w:val="004C4D98"/>
    <w:rsid w:val="004C54AD"/>
    <w:rsid w:val="004C596B"/>
    <w:rsid w:val="004C5DD4"/>
    <w:rsid w:val="004C620C"/>
    <w:rsid w:val="004C64B8"/>
    <w:rsid w:val="004C6688"/>
    <w:rsid w:val="004C681D"/>
    <w:rsid w:val="004C6BEA"/>
    <w:rsid w:val="004C6C72"/>
    <w:rsid w:val="004C7822"/>
    <w:rsid w:val="004C7840"/>
    <w:rsid w:val="004C7999"/>
    <w:rsid w:val="004C7B4F"/>
    <w:rsid w:val="004D0145"/>
    <w:rsid w:val="004D0235"/>
    <w:rsid w:val="004D044E"/>
    <w:rsid w:val="004D06DB"/>
    <w:rsid w:val="004D08C4"/>
    <w:rsid w:val="004D16FF"/>
    <w:rsid w:val="004D1858"/>
    <w:rsid w:val="004D1B0D"/>
    <w:rsid w:val="004D1CA8"/>
    <w:rsid w:val="004D1FD5"/>
    <w:rsid w:val="004D2496"/>
    <w:rsid w:val="004D252F"/>
    <w:rsid w:val="004D259D"/>
    <w:rsid w:val="004D2724"/>
    <w:rsid w:val="004D2942"/>
    <w:rsid w:val="004D2A3B"/>
    <w:rsid w:val="004D2BB8"/>
    <w:rsid w:val="004D2DB3"/>
    <w:rsid w:val="004D2E24"/>
    <w:rsid w:val="004D2E32"/>
    <w:rsid w:val="004D3025"/>
    <w:rsid w:val="004D30DB"/>
    <w:rsid w:val="004D3419"/>
    <w:rsid w:val="004D37BF"/>
    <w:rsid w:val="004D39FE"/>
    <w:rsid w:val="004D3C1E"/>
    <w:rsid w:val="004D4583"/>
    <w:rsid w:val="004D471D"/>
    <w:rsid w:val="004D4925"/>
    <w:rsid w:val="004D4997"/>
    <w:rsid w:val="004D4BCA"/>
    <w:rsid w:val="004D4C26"/>
    <w:rsid w:val="004D4D4F"/>
    <w:rsid w:val="004D4DEA"/>
    <w:rsid w:val="004D4FA2"/>
    <w:rsid w:val="004D55EA"/>
    <w:rsid w:val="004D5AE2"/>
    <w:rsid w:val="004D5CB5"/>
    <w:rsid w:val="004D5DD9"/>
    <w:rsid w:val="004D5E43"/>
    <w:rsid w:val="004D6149"/>
    <w:rsid w:val="004D6183"/>
    <w:rsid w:val="004D63FB"/>
    <w:rsid w:val="004D6452"/>
    <w:rsid w:val="004D648F"/>
    <w:rsid w:val="004D6F03"/>
    <w:rsid w:val="004D74FC"/>
    <w:rsid w:val="004D7516"/>
    <w:rsid w:val="004E05E4"/>
    <w:rsid w:val="004E06B6"/>
    <w:rsid w:val="004E09F3"/>
    <w:rsid w:val="004E0BBD"/>
    <w:rsid w:val="004E0EA1"/>
    <w:rsid w:val="004E0EDD"/>
    <w:rsid w:val="004E0F29"/>
    <w:rsid w:val="004E11F2"/>
    <w:rsid w:val="004E1487"/>
    <w:rsid w:val="004E169E"/>
    <w:rsid w:val="004E17C1"/>
    <w:rsid w:val="004E17DA"/>
    <w:rsid w:val="004E1870"/>
    <w:rsid w:val="004E236B"/>
    <w:rsid w:val="004E25A9"/>
    <w:rsid w:val="004E29B4"/>
    <w:rsid w:val="004E29BE"/>
    <w:rsid w:val="004E2A5C"/>
    <w:rsid w:val="004E2B45"/>
    <w:rsid w:val="004E2CA6"/>
    <w:rsid w:val="004E2D1E"/>
    <w:rsid w:val="004E2DD1"/>
    <w:rsid w:val="004E2E09"/>
    <w:rsid w:val="004E2E43"/>
    <w:rsid w:val="004E2FE7"/>
    <w:rsid w:val="004E3054"/>
    <w:rsid w:val="004E3958"/>
    <w:rsid w:val="004E3A42"/>
    <w:rsid w:val="004E3FDA"/>
    <w:rsid w:val="004E41EC"/>
    <w:rsid w:val="004E4277"/>
    <w:rsid w:val="004E4AE0"/>
    <w:rsid w:val="004E4C04"/>
    <w:rsid w:val="004E4C10"/>
    <w:rsid w:val="004E5087"/>
    <w:rsid w:val="004E55B9"/>
    <w:rsid w:val="004E574C"/>
    <w:rsid w:val="004E589D"/>
    <w:rsid w:val="004E5A1F"/>
    <w:rsid w:val="004E5C87"/>
    <w:rsid w:val="004E5F59"/>
    <w:rsid w:val="004E613A"/>
    <w:rsid w:val="004E6903"/>
    <w:rsid w:val="004E6EBA"/>
    <w:rsid w:val="004E6F6D"/>
    <w:rsid w:val="004E701D"/>
    <w:rsid w:val="004E710A"/>
    <w:rsid w:val="004E71F3"/>
    <w:rsid w:val="004E721A"/>
    <w:rsid w:val="004E725D"/>
    <w:rsid w:val="004E76D6"/>
    <w:rsid w:val="004E7D5F"/>
    <w:rsid w:val="004F02C6"/>
    <w:rsid w:val="004F040D"/>
    <w:rsid w:val="004F079F"/>
    <w:rsid w:val="004F0881"/>
    <w:rsid w:val="004F0A24"/>
    <w:rsid w:val="004F1D0F"/>
    <w:rsid w:val="004F2AEF"/>
    <w:rsid w:val="004F2B0F"/>
    <w:rsid w:val="004F2EFB"/>
    <w:rsid w:val="004F2F29"/>
    <w:rsid w:val="004F304F"/>
    <w:rsid w:val="004F31E9"/>
    <w:rsid w:val="004F37A1"/>
    <w:rsid w:val="004F38AD"/>
    <w:rsid w:val="004F3B9E"/>
    <w:rsid w:val="004F3C72"/>
    <w:rsid w:val="004F3E05"/>
    <w:rsid w:val="004F44D4"/>
    <w:rsid w:val="004F451A"/>
    <w:rsid w:val="004F4574"/>
    <w:rsid w:val="004F4649"/>
    <w:rsid w:val="004F4817"/>
    <w:rsid w:val="004F48F8"/>
    <w:rsid w:val="004F49C8"/>
    <w:rsid w:val="004F4CD3"/>
    <w:rsid w:val="004F4EFE"/>
    <w:rsid w:val="004F55F7"/>
    <w:rsid w:val="004F5C40"/>
    <w:rsid w:val="004F6127"/>
    <w:rsid w:val="004F6192"/>
    <w:rsid w:val="004F63AC"/>
    <w:rsid w:val="004F71E2"/>
    <w:rsid w:val="004F778F"/>
    <w:rsid w:val="004F7CE7"/>
    <w:rsid w:val="005001CA"/>
    <w:rsid w:val="005009C9"/>
    <w:rsid w:val="00500A56"/>
    <w:rsid w:val="00501352"/>
    <w:rsid w:val="00501410"/>
    <w:rsid w:val="005019CC"/>
    <w:rsid w:val="00501C3F"/>
    <w:rsid w:val="00501EBA"/>
    <w:rsid w:val="0050201A"/>
    <w:rsid w:val="005022A1"/>
    <w:rsid w:val="005025C9"/>
    <w:rsid w:val="005032DA"/>
    <w:rsid w:val="0050345C"/>
    <w:rsid w:val="005034EF"/>
    <w:rsid w:val="005036AC"/>
    <w:rsid w:val="00503A63"/>
    <w:rsid w:val="00503C28"/>
    <w:rsid w:val="00504013"/>
    <w:rsid w:val="00504090"/>
    <w:rsid w:val="00504276"/>
    <w:rsid w:val="0050440C"/>
    <w:rsid w:val="00504C35"/>
    <w:rsid w:val="00504E88"/>
    <w:rsid w:val="00504EC0"/>
    <w:rsid w:val="00504F01"/>
    <w:rsid w:val="0050540A"/>
    <w:rsid w:val="005058E3"/>
    <w:rsid w:val="00505CC9"/>
    <w:rsid w:val="00505D3B"/>
    <w:rsid w:val="00505EBD"/>
    <w:rsid w:val="0050612D"/>
    <w:rsid w:val="00506209"/>
    <w:rsid w:val="0050646C"/>
    <w:rsid w:val="0050650B"/>
    <w:rsid w:val="005065A9"/>
    <w:rsid w:val="00506CDD"/>
    <w:rsid w:val="005076C8"/>
    <w:rsid w:val="005078D6"/>
    <w:rsid w:val="00507A8A"/>
    <w:rsid w:val="00507B2C"/>
    <w:rsid w:val="00507D5E"/>
    <w:rsid w:val="005100C2"/>
    <w:rsid w:val="00510456"/>
    <w:rsid w:val="0051057F"/>
    <w:rsid w:val="005105C0"/>
    <w:rsid w:val="00510A26"/>
    <w:rsid w:val="00510A9C"/>
    <w:rsid w:val="00510E53"/>
    <w:rsid w:val="00511038"/>
    <w:rsid w:val="00511217"/>
    <w:rsid w:val="00511C51"/>
    <w:rsid w:val="00511D89"/>
    <w:rsid w:val="00511E3A"/>
    <w:rsid w:val="005129F0"/>
    <w:rsid w:val="00512E20"/>
    <w:rsid w:val="00513334"/>
    <w:rsid w:val="0051368C"/>
    <w:rsid w:val="0051394F"/>
    <w:rsid w:val="00513970"/>
    <w:rsid w:val="00513AFD"/>
    <w:rsid w:val="00514888"/>
    <w:rsid w:val="0051496A"/>
    <w:rsid w:val="00514A41"/>
    <w:rsid w:val="00514A6D"/>
    <w:rsid w:val="00514C4E"/>
    <w:rsid w:val="00514EB1"/>
    <w:rsid w:val="00514FFF"/>
    <w:rsid w:val="00515029"/>
    <w:rsid w:val="00515173"/>
    <w:rsid w:val="00515449"/>
    <w:rsid w:val="00515758"/>
    <w:rsid w:val="005158A8"/>
    <w:rsid w:val="00515990"/>
    <w:rsid w:val="00515B16"/>
    <w:rsid w:val="00515B68"/>
    <w:rsid w:val="0051642E"/>
    <w:rsid w:val="005165B1"/>
    <w:rsid w:val="00516909"/>
    <w:rsid w:val="00516F67"/>
    <w:rsid w:val="00517BB4"/>
    <w:rsid w:val="0052011A"/>
    <w:rsid w:val="00520276"/>
    <w:rsid w:val="005203A6"/>
    <w:rsid w:val="005204FF"/>
    <w:rsid w:val="00520B8B"/>
    <w:rsid w:val="00520F62"/>
    <w:rsid w:val="00521155"/>
    <w:rsid w:val="005216E3"/>
    <w:rsid w:val="0052173F"/>
    <w:rsid w:val="005217C2"/>
    <w:rsid w:val="0052221E"/>
    <w:rsid w:val="00522E46"/>
    <w:rsid w:val="00522E51"/>
    <w:rsid w:val="005234E0"/>
    <w:rsid w:val="0052383A"/>
    <w:rsid w:val="00523D23"/>
    <w:rsid w:val="00524460"/>
    <w:rsid w:val="00524C0F"/>
    <w:rsid w:val="00524C36"/>
    <w:rsid w:val="00524DD0"/>
    <w:rsid w:val="00524EDC"/>
    <w:rsid w:val="0052553F"/>
    <w:rsid w:val="00525C6D"/>
    <w:rsid w:val="0052600B"/>
    <w:rsid w:val="0052629C"/>
    <w:rsid w:val="0052691A"/>
    <w:rsid w:val="00526BF4"/>
    <w:rsid w:val="00526D26"/>
    <w:rsid w:val="00527174"/>
    <w:rsid w:val="0052773A"/>
    <w:rsid w:val="00527ADC"/>
    <w:rsid w:val="00527EA7"/>
    <w:rsid w:val="005303F2"/>
    <w:rsid w:val="0053051F"/>
    <w:rsid w:val="00530617"/>
    <w:rsid w:val="0053063D"/>
    <w:rsid w:val="0053087D"/>
    <w:rsid w:val="00530BC8"/>
    <w:rsid w:val="0053112C"/>
    <w:rsid w:val="00531300"/>
    <w:rsid w:val="0053151B"/>
    <w:rsid w:val="00531776"/>
    <w:rsid w:val="005319BE"/>
    <w:rsid w:val="00531D69"/>
    <w:rsid w:val="005321C6"/>
    <w:rsid w:val="00532260"/>
    <w:rsid w:val="005326B6"/>
    <w:rsid w:val="00532743"/>
    <w:rsid w:val="00532965"/>
    <w:rsid w:val="00532989"/>
    <w:rsid w:val="00532A1B"/>
    <w:rsid w:val="00532A6D"/>
    <w:rsid w:val="00532AE7"/>
    <w:rsid w:val="00533198"/>
    <w:rsid w:val="005337EA"/>
    <w:rsid w:val="00533B83"/>
    <w:rsid w:val="00533F1E"/>
    <w:rsid w:val="0053420C"/>
    <w:rsid w:val="00534391"/>
    <w:rsid w:val="00534749"/>
    <w:rsid w:val="00534931"/>
    <w:rsid w:val="005349D0"/>
    <w:rsid w:val="00534C94"/>
    <w:rsid w:val="00534FDF"/>
    <w:rsid w:val="00535096"/>
    <w:rsid w:val="00535C0D"/>
    <w:rsid w:val="00535CBF"/>
    <w:rsid w:val="00535D4A"/>
    <w:rsid w:val="00536091"/>
    <w:rsid w:val="00536456"/>
    <w:rsid w:val="005364C0"/>
    <w:rsid w:val="005371F3"/>
    <w:rsid w:val="0053732E"/>
    <w:rsid w:val="005373E7"/>
    <w:rsid w:val="005376DB"/>
    <w:rsid w:val="00537E55"/>
    <w:rsid w:val="00537E83"/>
    <w:rsid w:val="00540312"/>
    <w:rsid w:val="00540390"/>
    <w:rsid w:val="00540A16"/>
    <w:rsid w:val="00540D48"/>
    <w:rsid w:val="0054101B"/>
    <w:rsid w:val="005414D2"/>
    <w:rsid w:val="005415F0"/>
    <w:rsid w:val="005419B4"/>
    <w:rsid w:val="005421F3"/>
    <w:rsid w:val="005424A8"/>
    <w:rsid w:val="005424D7"/>
    <w:rsid w:val="00542650"/>
    <w:rsid w:val="005427A1"/>
    <w:rsid w:val="005429A0"/>
    <w:rsid w:val="0054307F"/>
    <w:rsid w:val="005435EE"/>
    <w:rsid w:val="00543818"/>
    <w:rsid w:val="00543844"/>
    <w:rsid w:val="00543D83"/>
    <w:rsid w:val="00543FAD"/>
    <w:rsid w:val="0054458D"/>
    <w:rsid w:val="00544984"/>
    <w:rsid w:val="00544BC1"/>
    <w:rsid w:val="00544D0E"/>
    <w:rsid w:val="0054506A"/>
    <w:rsid w:val="005450BA"/>
    <w:rsid w:val="005454F3"/>
    <w:rsid w:val="0054560E"/>
    <w:rsid w:val="00545942"/>
    <w:rsid w:val="00545C68"/>
    <w:rsid w:val="00546254"/>
    <w:rsid w:val="00546F12"/>
    <w:rsid w:val="00547019"/>
    <w:rsid w:val="005471A8"/>
    <w:rsid w:val="00547244"/>
    <w:rsid w:val="005473F8"/>
    <w:rsid w:val="0054749F"/>
    <w:rsid w:val="005476E5"/>
    <w:rsid w:val="0054772A"/>
    <w:rsid w:val="00547765"/>
    <w:rsid w:val="005479E6"/>
    <w:rsid w:val="005500D6"/>
    <w:rsid w:val="005501CC"/>
    <w:rsid w:val="005502B4"/>
    <w:rsid w:val="005504C3"/>
    <w:rsid w:val="00550ECA"/>
    <w:rsid w:val="0055124B"/>
    <w:rsid w:val="0055167C"/>
    <w:rsid w:val="00551B05"/>
    <w:rsid w:val="0055212D"/>
    <w:rsid w:val="0055235C"/>
    <w:rsid w:val="00552400"/>
    <w:rsid w:val="00552451"/>
    <w:rsid w:val="0055250C"/>
    <w:rsid w:val="00552780"/>
    <w:rsid w:val="00552938"/>
    <w:rsid w:val="00552AA3"/>
    <w:rsid w:val="00552D4E"/>
    <w:rsid w:val="00553154"/>
    <w:rsid w:val="00553503"/>
    <w:rsid w:val="005535A1"/>
    <w:rsid w:val="00553A08"/>
    <w:rsid w:val="005541C8"/>
    <w:rsid w:val="00554206"/>
    <w:rsid w:val="00554364"/>
    <w:rsid w:val="0055439E"/>
    <w:rsid w:val="005543A7"/>
    <w:rsid w:val="005545C4"/>
    <w:rsid w:val="00554993"/>
    <w:rsid w:val="00554BB1"/>
    <w:rsid w:val="00554D91"/>
    <w:rsid w:val="00554EE6"/>
    <w:rsid w:val="00554FE4"/>
    <w:rsid w:val="00555C98"/>
    <w:rsid w:val="00555CE5"/>
    <w:rsid w:val="00555CF4"/>
    <w:rsid w:val="00555E4A"/>
    <w:rsid w:val="00555F3C"/>
    <w:rsid w:val="005564F2"/>
    <w:rsid w:val="00556575"/>
    <w:rsid w:val="0055699F"/>
    <w:rsid w:val="00556AA5"/>
    <w:rsid w:val="00556BB4"/>
    <w:rsid w:val="0055725A"/>
    <w:rsid w:val="0055752D"/>
    <w:rsid w:val="00557627"/>
    <w:rsid w:val="005576A4"/>
    <w:rsid w:val="00557A98"/>
    <w:rsid w:val="0056004A"/>
    <w:rsid w:val="00560097"/>
    <w:rsid w:val="00560305"/>
    <w:rsid w:val="00560947"/>
    <w:rsid w:val="00560AAD"/>
    <w:rsid w:val="00560B1B"/>
    <w:rsid w:val="00560B69"/>
    <w:rsid w:val="005612AF"/>
    <w:rsid w:val="005612F1"/>
    <w:rsid w:val="005613D6"/>
    <w:rsid w:val="00561B17"/>
    <w:rsid w:val="005622EF"/>
    <w:rsid w:val="00562387"/>
    <w:rsid w:val="00562724"/>
    <w:rsid w:val="005629BE"/>
    <w:rsid w:val="00562AD2"/>
    <w:rsid w:val="00562B5D"/>
    <w:rsid w:val="00562C6A"/>
    <w:rsid w:val="00562F74"/>
    <w:rsid w:val="00563030"/>
    <w:rsid w:val="0056322F"/>
    <w:rsid w:val="005633B4"/>
    <w:rsid w:val="005635CF"/>
    <w:rsid w:val="00563691"/>
    <w:rsid w:val="005637B9"/>
    <w:rsid w:val="0056392E"/>
    <w:rsid w:val="005641BF"/>
    <w:rsid w:val="005646B3"/>
    <w:rsid w:val="005647AF"/>
    <w:rsid w:val="00564F85"/>
    <w:rsid w:val="00565407"/>
    <w:rsid w:val="00565606"/>
    <w:rsid w:val="00565729"/>
    <w:rsid w:val="00565880"/>
    <w:rsid w:val="00565B2D"/>
    <w:rsid w:val="00565E75"/>
    <w:rsid w:val="00566051"/>
    <w:rsid w:val="005663C2"/>
    <w:rsid w:val="005669EB"/>
    <w:rsid w:val="00566BAF"/>
    <w:rsid w:val="00566BB1"/>
    <w:rsid w:val="00566F26"/>
    <w:rsid w:val="00567F46"/>
    <w:rsid w:val="0056ADD9"/>
    <w:rsid w:val="005702D1"/>
    <w:rsid w:val="005704EC"/>
    <w:rsid w:val="0057053A"/>
    <w:rsid w:val="00570638"/>
    <w:rsid w:val="00570660"/>
    <w:rsid w:val="00570A49"/>
    <w:rsid w:val="00570A83"/>
    <w:rsid w:val="00571764"/>
    <w:rsid w:val="00571A43"/>
    <w:rsid w:val="00571B0E"/>
    <w:rsid w:val="00571F0A"/>
    <w:rsid w:val="005722A2"/>
    <w:rsid w:val="00572BF0"/>
    <w:rsid w:val="00573189"/>
    <w:rsid w:val="005732D0"/>
    <w:rsid w:val="0057339A"/>
    <w:rsid w:val="0057390F"/>
    <w:rsid w:val="0057396D"/>
    <w:rsid w:val="005739E3"/>
    <w:rsid w:val="00573EA4"/>
    <w:rsid w:val="00573FD7"/>
    <w:rsid w:val="005740F1"/>
    <w:rsid w:val="005744A4"/>
    <w:rsid w:val="00574663"/>
    <w:rsid w:val="00574B49"/>
    <w:rsid w:val="00574CF4"/>
    <w:rsid w:val="00574F20"/>
    <w:rsid w:val="00575085"/>
    <w:rsid w:val="00575115"/>
    <w:rsid w:val="0057515D"/>
    <w:rsid w:val="00575438"/>
    <w:rsid w:val="00575887"/>
    <w:rsid w:val="005764FD"/>
    <w:rsid w:val="0057688A"/>
    <w:rsid w:val="005768BB"/>
    <w:rsid w:val="00576B0C"/>
    <w:rsid w:val="00577066"/>
    <w:rsid w:val="0057709F"/>
    <w:rsid w:val="005772C5"/>
    <w:rsid w:val="00577624"/>
    <w:rsid w:val="00577D21"/>
    <w:rsid w:val="005802E8"/>
    <w:rsid w:val="00580614"/>
    <w:rsid w:val="00580A3A"/>
    <w:rsid w:val="00580B34"/>
    <w:rsid w:val="00580EE9"/>
    <w:rsid w:val="00581554"/>
    <w:rsid w:val="00581694"/>
    <w:rsid w:val="0058197E"/>
    <w:rsid w:val="00581DF2"/>
    <w:rsid w:val="00581FDF"/>
    <w:rsid w:val="00582167"/>
    <w:rsid w:val="005830A1"/>
    <w:rsid w:val="00583A5D"/>
    <w:rsid w:val="00583C0A"/>
    <w:rsid w:val="0058414F"/>
    <w:rsid w:val="00584471"/>
    <w:rsid w:val="005849B5"/>
    <w:rsid w:val="00584B57"/>
    <w:rsid w:val="00584F07"/>
    <w:rsid w:val="00584FDB"/>
    <w:rsid w:val="00585524"/>
    <w:rsid w:val="005856BD"/>
    <w:rsid w:val="00585FDD"/>
    <w:rsid w:val="005865E8"/>
    <w:rsid w:val="0058679C"/>
    <w:rsid w:val="005868CD"/>
    <w:rsid w:val="005869A9"/>
    <w:rsid w:val="00586AEA"/>
    <w:rsid w:val="00586DF1"/>
    <w:rsid w:val="005870E6"/>
    <w:rsid w:val="00587647"/>
    <w:rsid w:val="00587A0C"/>
    <w:rsid w:val="00587A2F"/>
    <w:rsid w:val="00587AA0"/>
    <w:rsid w:val="00587E89"/>
    <w:rsid w:val="00588C77"/>
    <w:rsid w:val="00590284"/>
    <w:rsid w:val="00590764"/>
    <w:rsid w:val="00590DE0"/>
    <w:rsid w:val="0059112B"/>
    <w:rsid w:val="00591156"/>
    <w:rsid w:val="00591224"/>
    <w:rsid w:val="005913EB"/>
    <w:rsid w:val="00591675"/>
    <w:rsid w:val="00591916"/>
    <w:rsid w:val="00591CA7"/>
    <w:rsid w:val="00591D11"/>
    <w:rsid w:val="00592534"/>
    <w:rsid w:val="005925F7"/>
    <w:rsid w:val="005929E0"/>
    <w:rsid w:val="00592CAE"/>
    <w:rsid w:val="00592CEA"/>
    <w:rsid w:val="00592DE8"/>
    <w:rsid w:val="00592E6E"/>
    <w:rsid w:val="00592E95"/>
    <w:rsid w:val="005932E0"/>
    <w:rsid w:val="005939B7"/>
    <w:rsid w:val="00593B91"/>
    <w:rsid w:val="00593E63"/>
    <w:rsid w:val="0059412E"/>
    <w:rsid w:val="00594134"/>
    <w:rsid w:val="00594286"/>
    <w:rsid w:val="00594834"/>
    <w:rsid w:val="005948C1"/>
    <w:rsid w:val="00594B8F"/>
    <w:rsid w:val="00594E67"/>
    <w:rsid w:val="0059542F"/>
    <w:rsid w:val="005954B3"/>
    <w:rsid w:val="0059553A"/>
    <w:rsid w:val="005955C1"/>
    <w:rsid w:val="00595693"/>
    <w:rsid w:val="00595743"/>
    <w:rsid w:val="00595A32"/>
    <w:rsid w:val="00595B2D"/>
    <w:rsid w:val="00595ECF"/>
    <w:rsid w:val="005960EA"/>
    <w:rsid w:val="005963FC"/>
    <w:rsid w:val="0059640D"/>
    <w:rsid w:val="005964B7"/>
    <w:rsid w:val="00596A74"/>
    <w:rsid w:val="00596A89"/>
    <w:rsid w:val="0059728E"/>
    <w:rsid w:val="00597B44"/>
    <w:rsid w:val="00597CA3"/>
    <w:rsid w:val="00597CEB"/>
    <w:rsid w:val="00597E3B"/>
    <w:rsid w:val="00597F96"/>
    <w:rsid w:val="005A05A2"/>
    <w:rsid w:val="005A05AE"/>
    <w:rsid w:val="005A05AF"/>
    <w:rsid w:val="005A08AC"/>
    <w:rsid w:val="005A098E"/>
    <w:rsid w:val="005A11C6"/>
    <w:rsid w:val="005A1220"/>
    <w:rsid w:val="005A1561"/>
    <w:rsid w:val="005A175B"/>
    <w:rsid w:val="005A1789"/>
    <w:rsid w:val="005A1849"/>
    <w:rsid w:val="005A1D54"/>
    <w:rsid w:val="005A1DE9"/>
    <w:rsid w:val="005A1FB1"/>
    <w:rsid w:val="005A2082"/>
    <w:rsid w:val="005A20BD"/>
    <w:rsid w:val="005A212A"/>
    <w:rsid w:val="005A22DE"/>
    <w:rsid w:val="005A274A"/>
    <w:rsid w:val="005A2779"/>
    <w:rsid w:val="005A2832"/>
    <w:rsid w:val="005A2967"/>
    <w:rsid w:val="005A2B20"/>
    <w:rsid w:val="005A300A"/>
    <w:rsid w:val="005A30D4"/>
    <w:rsid w:val="005A35E0"/>
    <w:rsid w:val="005A3905"/>
    <w:rsid w:val="005A3A0D"/>
    <w:rsid w:val="005A43A2"/>
    <w:rsid w:val="005A45D0"/>
    <w:rsid w:val="005A50F5"/>
    <w:rsid w:val="005A52B8"/>
    <w:rsid w:val="005A5566"/>
    <w:rsid w:val="005A56E8"/>
    <w:rsid w:val="005A5CCC"/>
    <w:rsid w:val="005A5CF9"/>
    <w:rsid w:val="005A5D78"/>
    <w:rsid w:val="005A5FF8"/>
    <w:rsid w:val="005A6159"/>
    <w:rsid w:val="005A6413"/>
    <w:rsid w:val="005A681C"/>
    <w:rsid w:val="005A6CE6"/>
    <w:rsid w:val="005A6D51"/>
    <w:rsid w:val="005A753E"/>
    <w:rsid w:val="005A7570"/>
    <w:rsid w:val="005A7E95"/>
    <w:rsid w:val="005B055B"/>
    <w:rsid w:val="005B06E3"/>
    <w:rsid w:val="005B0D86"/>
    <w:rsid w:val="005B1215"/>
    <w:rsid w:val="005B1C04"/>
    <w:rsid w:val="005B1CB9"/>
    <w:rsid w:val="005B1E95"/>
    <w:rsid w:val="005B2131"/>
    <w:rsid w:val="005B2371"/>
    <w:rsid w:val="005B2B09"/>
    <w:rsid w:val="005B3029"/>
    <w:rsid w:val="005B302A"/>
    <w:rsid w:val="005B306F"/>
    <w:rsid w:val="005B3160"/>
    <w:rsid w:val="005B323A"/>
    <w:rsid w:val="005B33BA"/>
    <w:rsid w:val="005B390A"/>
    <w:rsid w:val="005B3AC2"/>
    <w:rsid w:val="005B3B13"/>
    <w:rsid w:val="005B40BF"/>
    <w:rsid w:val="005B418B"/>
    <w:rsid w:val="005B4345"/>
    <w:rsid w:val="005B46AF"/>
    <w:rsid w:val="005B4E04"/>
    <w:rsid w:val="005B5018"/>
    <w:rsid w:val="005B51AC"/>
    <w:rsid w:val="005B52A3"/>
    <w:rsid w:val="005B58AF"/>
    <w:rsid w:val="005B5C82"/>
    <w:rsid w:val="005B5E38"/>
    <w:rsid w:val="005B5F46"/>
    <w:rsid w:val="005B6277"/>
    <w:rsid w:val="005B6417"/>
    <w:rsid w:val="005B65AB"/>
    <w:rsid w:val="005B662D"/>
    <w:rsid w:val="005B68C9"/>
    <w:rsid w:val="005B7190"/>
    <w:rsid w:val="005B71E7"/>
    <w:rsid w:val="005B7369"/>
    <w:rsid w:val="005B75B4"/>
    <w:rsid w:val="005B7B54"/>
    <w:rsid w:val="005B7B7A"/>
    <w:rsid w:val="005B7C67"/>
    <w:rsid w:val="005B7FE0"/>
    <w:rsid w:val="005C01BD"/>
    <w:rsid w:val="005C07E6"/>
    <w:rsid w:val="005C098F"/>
    <w:rsid w:val="005C0B2C"/>
    <w:rsid w:val="005C0E14"/>
    <w:rsid w:val="005C0E1F"/>
    <w:rsid w:val="005C0E6E"/>
    <w:rsid w:val="005C14F5"/>
    <w:rsid w:val="005C1BF9"/>
    <w:rsid w:val="005C1D43"/>
    <w:rsid w:val="005C1FB7"/>
    <w:rsid w:val="005C273B"/>
    <w:rsid w:val="005C2978"/>
    <w:rsid w:val="005C2BD7"/>
    <w:rsid w:val="005C3282"/>
    <w:rsid w:val="005C39EC"/>
    <w:rsid w:val="005C4B85"/>
    <w:rsid w:val="005C4D34"/>
    <w:rsid w:val="005C4E0D"/>
    <w:rsid w:val="005C5EED"/>
    <w:rsid w:val="005C65CC"/>
    <w:rsid w:val="005C6708"/>
    <w:rsid w:val="005C6912"/>
    <w:rsid w:val="005C6C70"/>
    <w:rsid w:val="005C6D71"/>
    <w:rsid w:val="005C72AF"/>
    <w:rsid w:val="005C7A3D"/>
    <w:rsid w:val="005D0549"/>
    <w:rsid w:val="005D090C"/>
    <w:rsid w:val="005D0B70"/>
    <w:rsid w:val="005D0FF0"/>
    <w:rsid w:val="005D1883"/>
    <w:rsid w:val="005D1A44"/>
    <w:rsid w:val="005D1B3B"/>
    <w:rsid w:val="005D1C0E"/>
    <w:rsid w:val="005D1CE2"/>
    <w:rsid w:val="005D2211"/>
    <w:rsid w:val="005D2D04"/>
    <w:rsid w:val="005D3149"/>
    <w:rsid w:val="005D34C9"/>
    <w:rsid w:val="005D34CE"/>
    <w:rsid w:val="005D3A4C"/>
    <w:rsid w:val="005D3C19"/>
    <w:rsid w:val="005D3D7C"/>
    <w:rsid w:val="005D3D92"/>
    <w:rsid w:val="005D3F52"/>
    <w:rsid w:val="005D4185"/>
    <w:rsid w:val="005D4581"/>
    <w:rsid w:val="005D45DF"/>
    <w:rsid w:val="005D467A"/>
    <w:rsid w:val="005D47D6"/>
    <w:rsid w:val="005D4803"/>
    <w:rsid w:val="005D48C9"/>
    <w:rsid w:val="005D491F"/>
    <w:rsid w:val="005D4CD7"/>
    <w:rsid w:val="005D543C"/>
    <w:rsid w:val="005D5AE3"/>
    <w:rsid w:val="005D5C03"/>
    <w:rsid w:val="005D5C9B"/>
    <w:rsid w:val="005D5F5B"/>
    <w:rsid w:val="005D6868"/>
    <w:rsid w:val="005D6A98"/>
    <w:rsid w:val="005D6AD3"/>
    <w:rsid w:val="005D6CED"/>
    <w:rsid w:val="005D6D2F"/>
    <w:rsid w:val="005D6EE9"/>
    <w:rsid w:val="005D700E"/>
    <w:rsid w:val="005D7074"/>
    <w:rsid w:val="005D71FE"/>
    <w:rsid w:val="005D74E9"/>
    <w:rsid w:val="005D7522"/>
    <w:rsid w:val="005D78E0"/>
    <w:rsid w:val="005D7918"/>
    <w:rsid w:val="005D7BB6"/>
    <w:rsid w:val="005E0160"/>
    <w:rsid w:val="005E08CB"/>
    <w:rsid w:val="005E0B85"/>
    <w:rsid w:val="005E11C4"/>
    <w:rsid w:val="005E1EAA"/>
    <w:rsid w:val="005E20C7"/>
    <w:rsid w:val="005E22DA"/>
    <w:rsid w:val="005E2411"/>
    <w:rsid w:val="005E2775"/>
    <w:rsid w:val="005E2A9B"/>
    <w:rsid w:val="005E2FF4"/>
    <w:rsid w:val="005E346C"/>
    <w:rsid w:val="005E3512"/>
    <w:rsid w:val="005E3888"/>
    <w:rsid w:val="005E3979"/>
    <w:rsid w:val="005E3B1F"/>
    <w:rsid w:val="005E3BBC"/>
    <w:rsid w:val="005E3C51"/>
    <w:rsid w:val="005E3D72"/>
    <w:rsid w:val="005E44CD"/>
    <w:rsid w:val="005E457B"/>
    <w:rsid w:val="005E471E"/>
    <w:rsid w:val="005E474E"/>
    <w:rsid w:val="005E4BC1"/>
    <w:rsid w:val="005E4D13"/>
    <w:rsid w:val="005E5209"/>
    <w:rsid w:val="005E5772"/>
    <w:rsid w:val="005E5CAF"/>
    <w:rsid w:val="005E5EC7"/>
    <w:rsid w:val="005E628B"/>
    <w:rsid w:val="005E62BE"/>
    <w:rsid w:val="005E65FF"/>
    <w:rsid w:val="005E660F"/>
    <w:rsid w:val="005E66D4"/>
    <w:rsid w:val="005E671F"/>
    <w:rsid w:val="005E6778"/>
    <w:rsid w:val="005E67DA"/>
    <w:rsid w:val="005E6893"/>
    <w:rsid w:val="005E6EE7"/>
    <w:rsid w:val="005E76CC"/>
    <w:rsid w:val="005E7915"/>
    <w:rsid w:val="005E7E9E"/>
    <w:rsid w:val="005F0212"/>
    <w:rsid w:val="005F052E"/>
    <w:rsid w:val="005F0A97"/>
    <w:rsid w:val="005F0ABA"/>
    <w:rsid w:val="005F0B3F"/>
    <w:rsid w:val="005F1220"/>
    <w:rsid w:val="005F14D4"/>
    <w:rsid w:val="005F1832"/>
    <w:rsid w:val="005F1859"/>
    <w:rsid w:val="005F189E"/>
    <w:rsid w:val="005F1E7F"/>
    <w:rsid w:val="005F2539"/>
    <w:rsid w:val="005F25D9"/>
    <w:rsid w:val="005F2A48"/>
    <w:rsid w:val="005F2ADF"/>
    <w:rsid w:val="005F2F3C"/>
    <w:rsid w:val="005F2FE1"/>
    <w:rsid w:val="005F30D2"/>
    <w:rsid w:val="005F34B1"/>
    <w:rsid w:val="005F35E4"/>
    <w:rsid w:val="005F366E"/>
    <w:rsid w:val="005F3FC7"/>
    <w:rsid w:val="005F402D"/>
    <w:rsid w:val="005F472F"/>
    <w:rsid w:val="005F4D0E"/>
    <w:rsid w:val="005F4DFC"/>
    <w:rsid w:val="005F4E4E"/>
    <w:rsid w:val="005F577C"/>
    <w:rsid w:val="005F5800"/>
    <w:rsid w:val="005F5AAA"/>
    <w:rsid w:val="005F5B6A"/>
    <w:rsid w:val="005F5E4B"/>
    <w:rsid w:val="005F60A2"/>
    <w:rsid w:val="005F61B5"/>
    <w:rsid w:val="005F63B5"/>
    <w:rsid w:val="005F66A4"/>
    <w:rsid w:val="005F6BA1"/>
    <w:rsid w:val="005F6D4C"/>
    <w:rsid w:val="005F6F22"/>
    <w:rsid w:val="005F708A"/>
    <w:rsid w:val="005F75D0"/>
    <w:rsid w:val="005F7BB0"/>
    <w:rsid w:val="006000B2"/>
    <w:rsid w:val="0060013A"/>
    <w:rsid w:val="006003EB"/>
    <w:rsid w:val="00600465"/>
    <w:rsid w:val="00600535"/>
    <w:rsid w:val="0060055E"/>
    <w:rsid w:val="006008A7"/>
    <w:rsid w:val="006009E9"/>
    <w:rsid w:val="00600DCE"/>
    <w:rsid w:val="00600F24"/>
    <w:rsid w:val="00601024"/>
    <w:rsid w:val="00601826"/>
    <w:rsid w:val="00601FED"/>
    <w:rsid w:val="006020D2"/>
    <w:rsid w:val="00602DF6"/>
    <w:rsid w:val="00602FAA"/>
    <w:rsid w:val="00603343"/>
    <w:rsid w:val="00603987"/>
    <w:rsid w:val="00603C18"/>
    <w:rsid w:val="00603F48"/>
    <w:rsid w:val="00604067"/>
    <w:rsid w:val="00604451"/>
    <w:rsid w:val="00604524"/>
    <w:rsid w:val="006046CD"/>
    <w:rsid w:val="00604700"/>
    <w:rsid w:val="0060480C"/>
    <w:rsid w:val="00604C4F"/>
    <w:rsid w:val="00605188"/>
    <w:rsid w:val="0060521E"/>
    <w:rsid w:val="006053F3"/>
    <w:rsid w:val="006058C4"/>
    <w:rsid w:val="0060596C"/>
    <w:rsid w:val="00605B6B"/>
    <w:rsid w:val="00605CE4"/>
    <w:rsid w:val="0060610D"/>
    <w:rsid w:val="00606396"/>
    <w:rsid w:val="006067F5"/>
    <w:rsid w:val="00606808"/>
    <w:rsid w:val="00606DF6"/>
    <w:rsid w:val="00606E50"/>
    <w:rsid w:val="00607327"/>
    <w:rsid w:val="0060742A"/>
    <w:rsid w:val="006075FD"/>
    <w:rsid w:val="00607A9E"/>
    <w:rsid w:val="00607C3D"/>
    <w:rsid w:val="0061007E"/>
    <w:rsid w:val="0061040D"/>
    <w:rsid w:val="006106C4"/>
    <w:rsid w:val="006109E5"/>
    <w:rsid w:val="00610B42"/>
    <w:rsid w:val="00610CA4"/>
    <w:rsid w:val="0061140A"/>
    <w:rsid w:val="00611535"/>
    <w:rsid w:val="006117D8"/>
    <w:rsid w:val="00611B2D"/>
    <w:rsid w:val="00611C26"/>
    <w:rsid w:val="00611DD0"/>
    <w:rsid w:val="00612146"/>
    <w:rsid w:val="0061262E"/>
    <w:rsid w:val="00613375"/>
    <w:rsid w:val="006133DD"/>
    <w:rsid w:val="006135D9"/>
    <w:rsid w:val="0061376B"/>
    <w:rsid w:val="006139F7"/>
    <w:rsid w:val="00613A82"/>
    <w:rsid w:val="00613CE5"/>
    <w:rsid w:val="006143CF"/>
    <w:rsid w:val="006149A6"/>
    <w:rsid w:val="006150F7"/>
    <w:rsid w:val="00615171"/>
    <w:rsid w:val="006153F1"/>
    <w:rsid w:val="00615422"/>
    <w:rsid w:val="00615832"/>
    <w:rsid w:val="00615C19"/>
    <w:rsid w:val="00615CD6"/>
    <w:rsid w:val="00615D40"/>
    <w:rsid w:val="00615EC3"/>
    <w:rsid w:val="00615F3B"/>
    <w:rsid w:val="00616241"/>
    <w:rsid w:val="00616272"/>
    <w:rsid w:val="0061652E"/>
    <w:rsid w:val="00616653"/>
    <w:rsid w:val="00616682"/>
    <w:rsid w:val="00616762"/>
    <w:rsid w:val="00616A67"/>
    <w:rsid w:val="00616DC4"/>
    <w:rsid w:val="00616E3B"/>
    <w:rsid w:val="00616F25"/>
    <w:rsid w:val="0061719B"/>
    <w:rsid w:val="00617647"/>
    <w:rsid w:val="0061767B"/>
    <w:rsid w:val="00617852"/>
    <w:rsid w:val="00617B66"/>
    <w:rsid w:val="00617B6C"/>
    <w:rsid w:val="00617D8C"/>
    <w:rsid w:val="00617DA4"/>
    <w:rsid w:val="0062048F"/>
    <w:rsid w:val="00620B2F"/>
    <w:rsid w:val="006210FA"/>
    <w:rsid w:val="00621309"/>
    <w:rsid w:val="00621678"/>
    <w:rsid w:val="00621A42"/>
    <w:rsid w:val="00621D8A"/>
    <w:rsid w:val="00621E1E"/>
    <w:rsid w:val="00622197"/>
    <w:rsid w:val="00622282"/>
    <w:rsid w:val="00622BAE"/>
    <w:rsid w:val="00622BD7"/>
    <w:rsid w:val="00622C13"/>
    <w:rsid w:val="00623463"/>
    <w:rsid w:val="00623506"/>
    <w:rsid w:val="00623756"/>
    <w:rsid w:val="006237FA"/>
    <w:rsid w:val="00623916"/>
    <w:rsid w:val="00623FA4"/>
    <w:rsid w:val="0062428E"/>
    <w:rsid w:val="00624502"/>
    <w:rsid w:val="00624DEC"/>
    <w:rsid w:val="00625159"/>
    <w:rsid w:val="00625353"/>
    <w:rsid w:val="00625468"/>
    <w:rsid w:val="0062559B"/>
    <w:rsid w:val="006257E3"/>
    <w:rsid w:val="00625955"/>
    <w:rsid w:val="006259BC"/>
    <w:rsid w:val="00625DE9"/>
    <w:rsid w:val="00625E26"/>
    <w:rsid w:val="00625F8D"/>
    <w:rsid w:val="00625FAA"/>
    <w:rsid w:val="0062603A"/>
    <w:rsid w:val="006260AD"/>
    <w:rsid w:val="006262C6"/>
    <w:rsid w:val="006263D2"/>
    <w:rsid w:val="0062658E"/>
    <w:rsid w:val="00626827"/>
    <w:rsid w:val="00626855"/>
    <w:rsid w:val="0062692D"/>
    <w:rsid w:val="0062693C"/>
    <w:rsid w:val="00626AF6"/>
    <w:rsid w:val="00626EB0"/>
    <w:rsid w:val="006270A7"/>
    <w:rsid w:val="006270B9"/>
    <w:rsid w:val="006272DE"/>
    <w:rsid w:val="006275D9"/>
    <w:rsid w:val="006279A1"/>
    <w:rsid w:val="006279CC"/>
    <w:rsid w:val="00627E2A"/>
    <w:rsid w:val="00627E51"/>
    <w:rsid w:val="006301E3"/>
    <w:rsid w:val="006302AB"/>
    <w:rsid w:val="00630853"/>
    <w:rsid w:val="00630CDB"/>
    <w:rsid w:val="00630EA9"/>
    <w:rsid w:val="00630F7E"/>
    <w:rsid w:val="0063119E"/>
    <w:rsid w:val="006312C4"/>
    <w:rsid w:val="00631339"/>
    <w:rsid w:val="00631564"/>
    <w:rsid w:val="00631A20"/>
    <w:rsid w:val="00631B2A"/>
    <w:rsid w:val="00631CC3"/>
    <w:rsid w:val="00631D67"/>
    <w:rsid w:val="006320B0"/>
    <w:rsid w:val="0063224C"/>
    <w:rsid w:val="0063235B"/>
    <w:rsid w:val="00632374"/>
    <w:rsid w:val="00632AD9"/>
    <w:rsid w:val="00632D9D"/>
    <w:rsid w:val="00632FBE"/>
    <w:rsid w:val="00633AB6"/>
    <w:rsid w:val="00633BB5"/>
    <w:rsid w:val="00633F0A"/>
    <w:rsid w:val="00633FAE"/>
    <w:rsid w:val="00633FF8"/>
    <w:rsid w:val="006347E6"/>
    <w:rsid w:val="00634B9D"/>
    <w:rsid w:val="00634FF8"/>
    <w:rsid w:val="00635009"/>
    <w:rsid w:val="0063514C"/>
    <w:rsid w:val="006352EF"/>
    <w:rsid w:val="0063530B"/>
    <w:rsid w:val="00635971"/>
    <w:rsid w:val="00635A18"/>
    <w:rsid w:val="00635A81"/>
    <w:rsid w:val="00635D11"/>
    <w:rsid w:val="00635FD8"/>
    <w:rsid w:val="00636163"/>
    <w:rsid w:val="00636259"/>
    <w:rsid w:val="0063638D"/>
    <w:rsid w:val="0063658E"/>
    <w:rsid w:val="00636697"/>
    <w:rsid w:val="006366E1"/>
    <w:rsid w:val="006368AE"/>
    <w:rsid w:val="00637168"/>
    <w:rsid w:val="006371F9"/>
    <w:rsid w:val="0063729E"/>
    <w:rsid w:val="00637365"/>
    <w:rsid w:val="006373CA"/>
    <w:rsid w:val="0063777F"/>
    <w:rsid w:val="006378C7"/>
    <w:rsid w:val="006379AF"/>
    <w:rsid w:val="00637A57"/>
    <w:rsid w:val="00637BC6"/>
    <w:rsid w:val="00637EEA"/>
    <w:rsid w:val="00640283"/>
    <w:rsid w:val="006402C1"/>
    <w:rsid w:val="00640406"/>
    <w:rsid w:val="00640586"/>
    <w:rsid w:val="00640881"/>
    <w:rsid w:val="00640BC1"/>
    <w:rsid w:val="00640E1D"/>
    <w:rsid w:val="00640E97"/>
    <w:rsid w:val="00640FB8"/>
    <w:rsid w:val="006411E5"/>
    <w:rsid w:val="0064138B"/>
    <w:rsid w:val="00641631"/>
    <w:rsid w:val="00641737"/>
    <w:rsid w:val="006418AB"/>
    <w:rsid w:val="00642074"/>
    <w:rsid w:val="0064212A"/>
    <w:rsid w:val="006423AA"/>
    <w:rsid w:val="006423C6"/>
    <w:rsid w:val="00642722"/>
    <w:rsid w:val="00642DE6"/>
    <w:rsid w:val="00642E9F"/>
    <w:rsid w:val="00642F6F"/>
    <w:rsid w:val="006431E6"/>
    <w:rsid w:val="00643B9F"/>
    <w:rsid w:val="00643C3D"/>
    <w:rsid w:val="00643F91"/>
    <w:rsid w:val="0064417F"/>
    <w:rsid w:val="00644206"/>
    <w:rsid w:val="0064486A"/>
    <w:rsid w:val="006448B8"/>
    <w:rsid w:val="00644AB4"/>
    <w:rsid w:val="00644B31"/>
    <w:rsid w:val="00644CD2"/>
    <w:rsid w:val="006451A5"/>
    <w:rsid w:val="00645252"/>
    <w:rsid w:val="006452F7"/>
    <w:rsid w:val="00645B17"/>
    <w:rsid w:val="00645BC9"/>
    <w:rsid w:val="00645D5D"/>
    <w:rsid w:val="0064665F"/>
    <w:rsid w:val="0064666D"/>
    <w:rsid w:val="00646BA4"/>
    <w:rsid w:val="00646E23"/>
    <w:rsid w:val="00646E8A"/>
    <w:rsid w:val="00646ED7"/>
    <w:rsid w:val="00647059"/>
    <w:rsid w:val="006470DE"/>
    <w:rsid w:val="00647160"/>
    <w:rsid w:val="00647373"/>
    <w:rsid w:val="0064738B"/>
    <w:rsid w:val="006477BC"/>
    <w:rsid w:val="00647AD8"/>
    <w:rsid w:val="0065025A"/>
    <w:rsid w:val="006506FD"/>
    <w:rsid w:val="00650771"/>
    <w:rsid w:val="00651176"/>
    <w:rsid w:val="00651563"/>
    <w:rsid w:val="00651836"/>
    <w:rsid w:val="00651908"/>
    <w:rsid w:val="00651A8E"/>
    <w:rsid w:val="00651B0B"/>
    <w:rsid w:val="00651D77"/>
    <w:rsid w:val="00651D97"/>
    <w:rsid w:val="0065217C"/>
    <w:rsid w:val="00652588"/>
    <w:rsid w:val="006526C3"/>
    <w:rsid w:val="00652B49"/>
    <w:rsid w:val="00652C9E"/>
    <w:rsid w:val="00652E25"/>
    <w:rsid w:val="00652ED1"/>
    <w:rsid w:val="00653117"/>
    <w:rsid w:val="00653190"/>
    <w:rsid w:val="00653257"/>
    <w:rsid w:val="00653360"/>
    <w:rsid w:val="006535E2"/>
    <w:rsid w:val="0065371C"/>
    <w:rsid w:val="00653935"/>
    <w:rsid w:val="00653980"/>
    <w:rsid w:val="006540DE"/>
    <w:rsid w:val="00654547"/>
    <w:rsid w:val="0065475B"/>
    <w:rsid w:val="00654D6A"/>
    <w:rsid w:val="00654DAE"/>
    <w:rsid w:val="00654F6C"/>
    <w:rsid w:val="0065534A"/>
    <w:rsid w:val="00655391"/>
    <w:rsid w:val="006554B9"/>
    <w:rsid w:val="006561EA"/>
    <w:rsid w:val="006562D3"/>
    <w:rsid w:val="00656610"/>
    <w:rsid w:val="00656878"/>
    <w:rsid w:val="00656AC1"/>
    <w:rsid w:val="00656F97"/>
    <w:rsid w:val="006570EA"/>
    <w:rsid w:val="00657120"/>
    <w:rsid w:val="00657322"/>
    <w:rsid w:val="00657591"/>
    <w:rsid w:val="00657618"/>
    <w:rsid w:val="0066000E"/>
    <w:rsid w:val="00660130"/>
    <w:rsid w:val="00660186"/>
    <w:rsid w:val="00660433"/>
    <w:rsid w:val="00660559"/>
    <w:rsid w:val="006606F8"/>
    <w:rsid w:val="00660849"/>
    <w:rsid w:val="00660A72"/>
    <w:rsid w:val="00661759"/>
    <w:rsid w:val="00661778"/>
    <w:rsid w:val="00661A8C"/>
    <w:rsid w:val="00661AEE"/>
    <w:rsid w:val="00661CC9"/>
    <w:rsid w:val="0066214D"/>
    <w:rsid w:val="006626A6"/>
    <w:rsid w:val="00662917"/>
    <w:rsid w:val="006629F4"/>
    <w:rsid w:val="00662BE7"/>
    <w:rsid w:val="00662C6D"/>
    <w:rsid w:val="0066304C"/>
    <w:rsid w:val="00663080"/>
    <w:rsid w:val="006636BF"/>
    <w:rsid w:val="006636E7"/>
    <w:rsid w:val="00663918"/>
    <w:rsid w:val="00663A5C"/>
    <w:rsid w:val="00663AEB"/>
    <w:rsid w:val="00663DAD"/>
    <w:rsid w:val="00663E23"/>
    <w:rsid w:val="00663EEE"/>
    <w:rsid w:val="0066471C"/>
    <w:rsid w:val="00664998"/>
    <w:rsid w:val="00664D23"/>
    <w:rsid w:val="00664F71"/>
    <w:rsid w:val="00665228"/>
    <w:rsid w:val="0066593F"/>
    <w:rsid w:val="00665BEE"/>
    <w:rsid w:val="00665EF7"/>
    <w:rsid w:val="00666005"/>
    <w:rsid w:val="006662B1"/>
    <w:rsid w:val="00666D1F"/>
    <w:rsid w:val="00666F3D"/>
    <w:rsid w:val="0066700F"/>
    <w:rsid w:val="006672FC"/>
    <w:rsid w:val="006674A2"/>
    <w:rsid w:val="00667893"/>
    <w:rsid w:val="00667ADD"/>
    <w:rsid w:val="00667F9C"/>
    <w:rsid w:val="006700C8"/>
    <w:rsid w:val="006707C1"/>
    <w:rsid w:val="00670CBD"/>
    <w:rsid w:val="006711BE"/>
    <w:rsid w:val="006715BE"/>
    <w:rsid w:val="006718E1"/>
    <w:rsid w:val="0067195F"/>
    <w:rsid w:val="00671B06"/>
    <w:rsid w:val="00671B60"/>
    <w:rsid w:val="00671F4A"/>
    <w:rsid w:val="006720E7"/>
    <w:rsid w:val="006722AE"/>
    <w:rsid w:val="00672403"/>
    <w:rsid w:val="0067283B"/>
    <w:rsid w:val="00672945"/>
    <w:rsid w:val="00672DAB"/>
    <w:rsid w:val="006730A7"/>
    <w:rsid w:val="00673CAF"/>
    <w:rsid w:val="00673E7D"/>
    <w:rsid w:val="006740A5"/>
    <w:rsid w:val="00674345"/>
    <w:rsid w:val="0067482E"/>
    <w:rsid w:val="0067492E"/>
    <w:rsid w:val="00674975"/>
    <w:rsid w:val="006749CD"/>
    <w:rsid w:val="00674E24"/>
    <w:rsid w:val="006757E6"/>
    <w:rsid w:val="00675A67"/>
    <w:rsid w:val="00675D32"/>
    <w:rsid w:val="00676210"/>
    <w:rsid w:val="006763BC"/>
    <w:rsid w:val="00676485"/>
    <w:rsid w:val="006767B9"/>
    <w:rsid w:val="0067686C"/>
    <w:rsid w:val="00676989"/>
    <w:rsid w:val="00676EBB"/>
    <w:rsid w:val="00677D6B"/>
    <w:rsid w:val="00677DD9"/>
    <w:rsid w:val="00677FC6"/>
    <w:rsid w:val="00680463"/>
    <w:rsid w:val="006804BD"/>
    <w:rsid w:val="006804FE"/>
    <w:rsid w:val="0068064D"/>
    <w:rsid w:val="0068068A"/>
    <w:rsid w:val="00680D36"/>
    <w:rsid w:val="00681284"/>
    <w:rsid w:val="006812B4"/>
    <w:rsid w:val="00681324"/>
    <w:rsid w:val="006815C0"/>
    <w:rsid w:val="00681644"/>
    <w:rsid w:val="0068175B"/>
    <w:rsid w:val="006823A0"/>
    <w:rsid w:val="00682448"/>
    <w:rsid w:val="0068258E"/>
    <w:rsid w:val="006825AA"/>
    <w:rsid w:val="006828B0"/>
    <w:rsid w:val="006830F0"/>
    <w:rsid w:val="006830F9"/>
    <w:rsid w:val="006835B1"/>
    <w:rsid w:val="006837EC"/>
    <w:rsid w:val="00683B6D"/>
    <w:rsid w:val="00683F93"/>
    <w:rsid w:val="006841FC"/>
    <w:rsid w:val="0068455F"/>
    <w:rsid w:val="006849A3"/>
    <w:rsid w:val="00684A3A"/>
    <w:rsid w:val="00684C37"/>
    <w:rsid w:val="00684E02"/>
    <w:rsid w:val="00685358"/>
    <w:rsid w:val="0068585D"/>
    <w:rsid w:val="00685D08"/>
    <w:rsid w:val="00685D22"/>
    <w:rsid w:val="00686094"/>
    <w:rsid w:val="006861C1"/>
    <w:rsid w:val="0068674C"/>
    <w:rsid w:val="00686D56"/>
    <w:rsid w:val="00686F9B"/>
    <w:rsid w:val="006870EA"/>
    <w:rsid w:val="006873EE"/>
    <w:rsid w:val="00687AA3"/>
    <w:rsid w:val="00687B90"/>
    <w:rsid w:val="00687E7D"/>
    <w:rsid w:val="006900AB"/>
    <w:rsid w:val="006903C9"/>
    <w:rsid w:val="00690550"/>
    <w:rsid w:val="00690892"/>
    <w:rsid w:val="006908AF"/>
    <w:rsid w:val="00690D22"/>
    <w:rsid w:val="006918E1"/>
    <w:rsid w:val="00691A74"/>
    <w:rsid w:val="00691B93"/>
    <w:rsid w:val="00691FDC"/>
    <w:rsid w:val="00692089"/>
    <w:rsid w:val="00692228"/>
    <w:rsid w:val="0069236C"/>
    <w:rsid w:val="006926E1"/>
    <w:rsid w:val="006929FE"/>
    <w:rsid w:val="00693173"/>
    <w:rsid w:val="00693319"/>
    <w:rsid w:val="006935D9"/>
    <w:rsid w:val="00693C93"/>
    <w:rsid w:val="00693CC8"/>
    <w:rsid w:val="00693EA9"/>
    <w:rsid w:val="0069512B"/>
    <w:rsid w:val="00695CA8"/>
    <w:rsid w:val="00695CEF"/>
    <w:rsid w:val="006960F2"/>
    <w:rsid w:val="006963B5"/>
    <w:rsid w:val="00696742"/>
    <w:rsid w:val="00696CDF"/>
    <w:rsid w:val="00696DE7"/>
    <w:rsid w:val="00697057"/>
    <w:rsid w:val="006971F9"/>
    <w:rsid w:val="00697455"/>
    <w:rsid w:val="00697584"/>
    <w:rsid w:val="006976EB"/>
    <w:rsid w:val="006978A8"/>
    <w:rsid w:val="006978AE"/>
    <w:rsid w:val="00697B5A"/>
    <w:rsid w:val="00697BEC"/>
    <w:rsid w:val="00697C6D"/>
    <w:rsid w:val="00697ED0"/>
    <w:rsid w:val="006A014A"/>
    <w:rsid w:val="006A01EA"/>
    <w:rsid w:val="006A045E"/>
    <w:rsid w:val="006A0CB6"/>
    <w:rsid w:val="006A0E7E"/>
    <w:rsid w:val="006A19C9"/>
    <w:rsid w:val="006A1C1D"/>
    <w:rsid w:val="006A1D05"/>
    <w:rsid w:val="006A1E42"/>
    <w:rsid w:val="006A1EEA"/>
    <w:rsid w:val="006A23BD"/>
    <w:rsid w:val="006A25A3"/>
    <w:rsid w:val="006A2A1A"/>
    <w:rsid w:val="006A2BCA"/>
    <w:rsid w:val="006A2CE6"/>
    <w:rsid w:val="006A2F89"/>
    <w:rsid w:val="006A32E7"/>
    <w:rsid w:val="006A33A9"/>
    <w:rsid w:val="006A3A89"/>
    <w:rsid w:val="006A3E7E"/>
    <w:rsid w:val="006A3F0A"/>
    <w:rsid w:val="006A40A7"/>
    <w:rsid w:val="006A416B"/>
    <w:rsid w:val="006A4456"/>
    <w:rsid w:val="006A4723"/>
    <w:rsid w:val="006A481C"/>
    <w:rsid w:val="006A5041"/>
    <w:rsid w:val="006A514A"/>
    <w:rsid w:val="006A55F7"/>
    <w:rsid w:val="006A5780"/>
    <w:rsid w:val="006A5885"/>
    <w:rsid w:val="006A5A47"/>
    <w:rsid w:val="006A5C57"/>
    <w:rsid w:val="006A5FDB"/>
    <w:rsid w:val="006A5FFD"/>
    <w:rsid w:val="006A673B"/>
    <w:rsid w:val="006A6837"/>
    <w:rsid w:val="006A6AE9"/>
    <w:rsid w:val="006A6D1A"/>
    <w:rsid w:val="006A6E82"/>
    <w:rsid w:val="006A6E9D"/>
    <w:rsid w:val="006A7204"/>
    <w:rsid w:val="006A72F5"/>
    <w:rsid w:val="006A75F3"/>
    <w:rsid w:val="006A7843"/>
    <w:rsid w:val="006A7B7F"/>
    <w:rsid w:val="006A7BAC"/>
    <w:rsid w:val="006B049E"/>
    <w:rsid w:val="006B0814"/>
    <w:rsid w:val="006B0AE2"/>
    <w:rsid w:val="006B0F49"/>
    <w:rsid w:val="006B0F86"/>
    <w:rsid w:val="006B12E3"/>
    <w:rsid w:val="006B17F3"/>
    <w:rsid w:val="006B1867"/>
    <w:rsid w:val="006B18A8"/>
    <w:rsid w:val="006B1993"/>
    <w:rsid w:val="006B1ABB"/>
    <w:rsid w:val="006B1E39"/>
    <w:rsid w:val="006B2721"/>
    <w:rsid w:val="006B27A2"/>
    <w:rsid w:val="006B27F7"/>
    <w:rsid w:val="006B2CFE"/>
    <w:rsid w:val="006B2E67"/>
    <w:rsid w:val="006B3174"/>
    <w:rsid w:val="006B3A43"/>
    <w:rsid w:val="006B4019"/>
    <w:rsid w:val="006B406E"/>
    <w:rsid w:val="006B41BE"/>
    <w:rsid w:val="006B43BD"/>
    <w:rsid w:val="006B49C5"/>
    <w:rsid w:val="006B5116"/>
    <w:rsid w:val="006B5176"/>
    <w:rsid w:val="006B57EB"/>
    <w:rsid w:val="006B59ED"/>
    <w:rsid w:val="006B59FF"/>
    <w:rsid w:val="006B5E67"/>
    <w:rsid w:val="006B62D8"/>
    <w:rsid w:val="006B67B7"/>
    <w:rsid w:val="006B6A1F"/>
    <w:rsid w:val="006B7297"/>
    <w:rsid w:val="006B7403"/>
    <w:rsid w:val="006B75F6"/>
    <w:rsid w:val="006B76CD"/>
    <w:rsid w:val="006B77DC"/>
    <w:rsid w:val="006B7A14"/>
    <w:rsid w:val="006B7A2C"/>
    <w:rsid w:val="006C074F"/>
    <w:rsid w:val="006C082C"/>
    <w:rsid w:val="006C09E5"/>
    <w:rsid w:val="006C1421"/>
    <w:rsid w:val="006C158C"/>
    <w:rsid w:val="006C1594"/>
    <w:rsid w:val="006C15AF"/>
    <w:rsid w:val="006C1865"/>
    <w:rsid w:val="006C1A11"/>
    <w:rsid w:val="006C1BDA"/>
    <w:rsid w:val="006C2181"/>
    <w:rsid w:val="006C2273"/>
    <w:rsid w:val="006C2485"/>
    <w:rsid w:val="006C2491"/>
    <w:rsid w:val="006C27F4"/>
    <w:rsid w:val="006C2B97"/>
    <w:rsid w:val="006C3757"/>
    <w:rsid w:val="006C3B8C"/>
    <w:rsid w:val="006C3D0C"/>
    <w:rsid w:val="006C3FA7"/>
    <w:rsid w:val="006C3FB3"/>
    <w:rsid w:val="006C4028"/>
    <w:rsid w:val="006C404D"/>
    <w:rsid w:val="006C41E0"/>
    <w:rsid w:val="006C4624"/>
    <w:rsid w:val="006C4969"/>
    <w:rsid w:val="006C4DA6"/>
    <w:rsid w:val="006C5089"/>
    <w:rsid w:val="006C51CD"/>
    <w:rsid w:val="006C5379"/>
    <w:rsid w:val="006C5402"/>
    <w:rsid w:val="006C5B0A"/>
    <w:rsid w:val="006C5D8D"/>
    <w:rsid w:val="006C6327"/>
    <w:rsid w:val="006C6420"/>
    <w:rsid w:val="006C642C"/>
    <w:rsid w:val="006C657F"/>
    <w:rsid w:val="006C667C"/>
    <w:rsid w:val="006C6979"/>
    <w:rsid w:val="006C697C"/>
    <w:rsid w:val="006C6D90"/>
    <w:rsid w:val="006C6E23"/>
    <w:rsid w:val="006C7241"/>
    <w:rsid w:val="006C765F"/>
    <w:rsid w:val="006C7696"/>
    <w:rsid w:val="006C786B"/>
    <w:rsid w:val="006C7C5E"/>
    <w:rsid w:val="006D01DE"/>
    <w:rsid w:val="006D0356"/>
    <w:rsid w:val="006D05B3"/>
    <w:rsid w:val="006D0784"/>
    <w:rsid w:val="006D0B5F"/>
    <w:rsid w:val="006D0F08"/>
    <w:rsid w:val="006D147A"/>
    <w:rsid w:val="006D166E"/>
    <w:rsid w:val="006D18ED"/>
    <w:rsid w:val="006D1924"/>
    <w:rsid w:val="006D1975"/>
    <w:rsid w:val="006D2265"/>
    <w:rsid w:val="006D2652"/>
    <w:rsid w:val="006D2696"/>
    <w:rsid w:val="006D2B34"/>
    <w:rsid w:val="006D2C76"/>
    <w:rsid w:val="006D2D7F"/>
    <w:rsid w:val="006D3761"/>
    <w:rsid w:val="006D403B"/>
    <w:rsid w:val="006D487E"/>
    <w:rsid w:val="006D4AFB"/>
    <w:rsid w:val="006D4D76"/>
    <w:rsid w:val="006D4EA1"/>
    <w:rsid w:val="006D4F7B"/>
    <w:rsid w:val="006D4FB6"/>
    <w:rsid w:val="006D5266"/>
    <w:rsid w:val="006D530F"/>
    <w:rsid w:val="006D5C40"/>
    <w:rsid w:val="006D5D4E"/>
    <w:rsid w:val="006D5FD2"/>
    <w:rsid w:val="006D60FE"/>
    <w:rsid w:val="006D6149"/>
    <w:rsid w:val="006D6248"/>
    <w:rsid w:val="006D66AD"/>
    <w:rsid w:val="006D677C"/>
    <w:rsid w:val="006D6DE0"/>
    <w:rsid w:val="006D6EAF"/>
    <w:rsid w:val="006D732C"/>
    <w:rsid w:val="006D7834"/>
    <w:rsid w:val="006D7A6E"/>
    <w:rsid w:val="006E0105"/>
    <w:rsid w:val="006E0181"/>
    <w:rsid w:val="006E09E3"/>
    <w:rsid w:val="006E0DFD"/>
    <w:rsid w:val="006E0EE7"/>
    <w:rsid w:val="006E12AA"/>
    <w:rsid w:val="006E12D0"/>
    <w:rsid w:val="006E1537"/>
    <w:rsid w:val="006E1651"/>
    <w:rsid w:val="006E1847"/>
    <w:rsid w:val="006E1F4D"/>
    <w:rsid w:val="006E1F97"/>
    <w:rsid w:val="006E23C8"/>
    <w:rsid w:val="006E24E1"/>
    <w:rsid w:val="006E2733"/>
    <w:rsid w:val="006E27AC"/>
    <w:rsid w:val="006E27E4"/>
    <w:rsid w:val="006E2CE3"/>
    <w:rsid w:val="006E2D2C"/>
    <w:rsid w:val="006E35E3"/>
    <w:rsid w:val="006E38EC"/>
    <w:rsid w:val="006E39C5"/>
    <w:rsid w:val="006E3AF8"/>
    <w:rsid w:val="006E3C66"/>
    <w:rsid w:val="006E3CBA"/>
    <w:rsid w:val="006E3D72"/>
    <w:rsid w:val="006E43E5"/>
    <w:rsid w:val="006E4781"/>
    <w:rsid w:val="006E494E"/>
    <w:rsid w:val="006E4DB8"/>
    <w:rsid w:val="006E4FD8"/>
    <w:rsid w:val="006E51FF"/>
    <w:rsid w:val="006E57FA"/>
    <w:rsid w:val="006E5C13"/>
    <w:rsid w:val="006E5E63"/>
    <w:rsid w:val="006E5F0F"/>
    <w:rsid w:val="006E6111"/>
    <w:rsid w:val="006E634F"/>
    <w:rsid w:val="006E6418"/>
    <w:rsid w:val="006E68E5"/>
    <w:rsid w:val="006E6BCF"/>
    <w:rsid w:val="006E782B"/>
    <w:rsid w:val="006E783D"/>
    <w:rsid w:val="006E7845"/>
    <w:rsid w:val="006E7F5C"/>
    <w:rsid w:val="006F0118"/>
    <w:rsid w:val="006F0247"/>
    <w:rsid w:val="006F0461"/>
    <w:rsid w:val="006F05F9"/>
    <w:rsid w:val="006F07E8"/>
    <w:rsid w:val="006F0A93"/>
    <w:rsid w:val="006F0E36"/>
    <w:rsid w:val="006F116A"/>
    <w:rsid w:val="006F1607"/>
    <w:rsid w:val="006F1736"/>
    <w:rsid w:val="006F1A7F"/>
    <w:rsid w:val="006F1C22"/>
    <w:rsid w:val="006F1EC4"/>
    <w:rsid w:val="006F1EE2"/>
    <w:rsid w:val="006F1FBD"/>
    <w:rsid w:val="006F21AF"/>
    <w:rsid w:val="006F229E"/>
    <w:rsid w:val="006F2623"/>
    <w:rsid w:val="006F27A6"/>
    <w:rsid w:val="006F286F"/>
    <w:rsid w:val="006F28EF"/>
    <w:rsid w:val="006F3705"/>
    <w:rsid w:val="006F381A"/>
    <w:rsid w:val="006F3CE2"/>
    <w:rsid w:val="006F3EA0"/>
    <w:rsid w:val="006F4007"/>
    <w:rsid w:val="006F4040"/>
    <w:rsid w:val="006F4119"/>
    <w:rsid w:val="006F4413"/>
    <w:rsid w:val="006F4572"/>
    <w:rsid w:val="006F465C"/>
    <w:rsid w:val="006F485B"/>
    <w:rsid w:val="006F4A6E"/>
    <w:rsid w:val="006F4D53"/>
    <w:rsid w:val="006F50E1"/>
    <w:rsid w:val="006F524A"/>
    <w:rsid w:val="006F53EA"/>
    <w:rsid w:val="006F5603"/>
    <w:rsid w:val="006F5A86"/>
    <w:rsid w:val="006F6616"/>
    <w:rsid w:val="006F66EF"/>
    <w:rsid w:val="006F6860"/>
    <w:rsid w:val="006F6A12"/>
    <w:rsid w:val="006F6BB5"/>
    <w:rsid w:val="006F6C1F"/>
    <w:rsid w:val="006F6FD1"/>
    <w:rsid w:val="006F722F"/>
    <w:rsid w:val="006F762A"/>
    <w:rsid w:val="006F7A95"/>
    <w:rsid w:val="006F7AC0"/>
    <w:rsid w:val="006F7AC7"/>
    <w:rsid w:val="006F7CB2"/>
    <w:rsid w:val="006F7D8E"/>
    <w:rsid w:val="006F7F0F"/>
    <w:rsid w:val="006F850E"/>
    <w:rsid w:val="007001F5"/>
    <w:rsid w:val="00700270"/>
    <w:rsid w:val="00700A41"/>
    <w:rsid w:val="007012F0"/>
    <w:rsid w:val="00701734"/>
    <w:rsid w:val="00701A4C"/>
    <w:rsid w:val="00701B3B"/>
    <w:rsid w:val="00701D71"/>
    <w:rsid w:val="00701EB4"/>
    <w:rsid w:val="007022D3"/>
    <w:rsid w:val="00702529"/>
    <w:rsid w:val="00702800"/>
    <w:rsid w:val="00702B24"/>
    <w:rsid w:val="00702D1A"/>
    <w:rsid w:val="007030E9"/>
    <w:rsid w:val="00703369"/>
    <w:rsid w:val="00703391"/>
    <w:rsid w:val="007035C1"/>
    <w:rsid w:val="0070375B"/>
    <w:rsid w:val="007038FD"/>
    <w:rsid w:val="00703918"/>
    <w:rsid w:val="00703BAA"/>
    <w:rsid w:val="00703DD1"/>
    <w:rsid w:val="00704697"/>
    <w:rsid w:val="007047B7"/>
    <w:rsid w:val="00704D5C"/>
    <w:rsid w:val="00705022"/>
    <w:rsid w:val="007050A9"/>
    <w:rsid w:val="0070517F"/>
    <w:rsid w:val="00705700"/>
    <w:rsid w:val="0070573E"/>
    <w:rsid w:val="00705968"/>
    <w:rsid w:val="00705DDD"/>
    <w:rsid w:val="00706188"/>
    <w:rsid w:val="007064D8"/>
    <w:rsid w:val="0070674B"/>
    <w:rsid w:val="007067D5"/>
    <w:rsid w:val="00706864"/>
    <w:rsid w:val="00706883"/>
    <w:rsid w:val="00706988"/>
    <w:rsid w:val="00706E81"/>
    <w:rsid w:val="00706F1A"/>
    <w:rsid w:val="0070746A"/>
    <w:rsid w:val="00707888"/>
    <w:rsid w:val="00707E51"/>
    <w:rsid w:val="00707F7C"/>
    <w:rsid w:val="00707FE2"/>
    <w:rsid w:val="007100BA"/>
    <w:rsid w:val="00710196"/>
    <w:rsid w:val="00710513"/>
    <w:rsid w:val="007106C4"/>
    <w:rsid w:val="007107B2"/>
    <w:rsid w:val="00710A55"/>
    <w:rsid w:val="00710BF7"/>
    <w:rsid w:val="00710CF0"/>
    <w:rsid w:val="007113FF"/>
    <w:rsid w:val="00711536"/>
    <w:rsid w:val="007117B7"/>
    <w:rsid w:val="00711A6A"/>
    <w:rsid w:val="007121E1"/>
    <w:rsid w:val="007122E1"/>
    <w:rsid w:val="00712F0D"/>
    <w:rsid w:val="00713021"/>
    <w:rsid w:val="007138E7"/>
    <w:rsid w:val="00713A55"/>
    <w:rsid w:val="00713B12"/>
    <w:rsid w:val="00714BC3"/>
    <w:rsid w:val="00714CCF"/>
    <w:rsid w:val="00714F07"/>
    <w:rsid w:val="00714F11"/>
    <w:rsid w:val="00715027"/>
    <w:rsid w:val="007150CE"/>
    <w:rsid w:val="007151E1"/>
    <w:rsid w:val="007158E1"/>
    <w:rsid w:val="00715A65"/>
    <w:rsid w:val="00715BF0"/>
    <w:rsid w:val="0071638B"/>
    <w:rsid w:val="007164AA"/>
    <w:rsid w:val="00716B4E"/>
    <w:rsid w:val="00716F84"/>
    <w:rsid w:val="00717033"/>
    <w:rsid w:val="0071732F"/>
    <w:rsid w:val="007173E7"/>
    <w:rsid w:val="0071745A"/>
    <w:rsid w:val="007175AB"/>
    <w:rsid w:val="0071775B"/>
    <w:rsid w:val="00717DEE"/>
    <w:rsid w:val="00717E9A"/>
    <w:rsid w:val="00720118"/>
    <w:rsid w:val="007202EB"/>
    <w:rsid w:val="007204DC"/>
    <w:rsid w:val="00720976"/>
    <w:rsid w:val="00720F6A"/>
    <w:rsid w:val="007211C3"/>
    <w:rsid w:val="007211E0"/>
    <w:rsid w:val="0072173C"/>
    <w:rsid w:val="00721D0D"/>
    <w:rsid w:val="00722905"/>
    <w:rsid w:val="00722AC1"/>
    <w:rsid w:val="00723043"/>
    <w:rsid w:val="007234A3"/>
    <w:rsid w:val="00723653"/>
    <w:rsid w:val="00724392"/>
    <w:rsid w:val="007249EA"/>
    <w:rsid w:val="00724C6D"/>
    <w:rsid w:val="00724DC5"/>
    <w:rsid w:val="00724DF3"/>
    <w:rsid w:val="007250D9"/>
    <w:rsid w:val="007257C2"/>
    <w:rsid w:val="00725C76"/>
    <w:rsid w:val="00725D1F"/>
    <w:rsid w:val="00726026"/>
    <w:rsid w:val="0072624F"/>
    <w:rsid w:val="0072655C"/>
    <w:rsid w:val="00726908"/>
    <w:rsid w:val="00726952"/>
    <w:rsid w:val="007272EB"/>
    <w:rsid w:val="007273C3"/>
    <w:rsid w:val="007274D1"/>
    <w:rsid w:val="007276E6"/>
    <w:rsid w:val="007278E0"/>
    <w:rsid w:val="00727B00"/>
    <w:rsid w:val="00727CC7"/>
    <w:rsid w:val="007304AA"/>
    <w:rsid w:val="0073050B"/>
    <w:rsid w:val="0073091D"/>
    <w:rsid w:val="0073094C"/>
    <w:rsid w:val="00730D11"/>
    <w:rsid w:val="007310E2"/>
    <w:rsid w:val="007310EF"/>
    <w:rsid w:val="00731318"/>
    <w:rsid w:val="00731341"/>
    <w:rsid w:val="007313E5"/>
    <w:rsid w:val="00731684"/>
    <w:rsid w:val="00731821"/>
    <w:rsid w:val="00731B45"/>
    <w:rsid w:val="0073205F"/>
    <w:rsid w:val="007320C9"/>
    <w:rsid w:val="0073255C"/>
    <w:rsid w:val="0073266D"/>
    <w:rsid w:val="00732785"/>
    <w:rsid w:val="00732C22"/>
    <w:rsid w:val="00732F11"/>
    <w:rsid w:val="0073305D"/>
    <w:rsid w:val="00733507"/>
    <w:rsid w:val="00733581"/>
    <w:rsid w:val="0073366A"/>
    <w:rsid w:val="00733AAC"/>
    <w:rsid w:val="00733E4C"/>
    <w:rsid w:val="00733F6E"/>
    <w:rsid w:val="00733FF2"/>
    <w:rsid w:val="007340DE"/>
    <w:rsid w:val="007342E2"/>
    <w:rsid w:val="007343C7"/>
    <w:rsid w:val="007347E7"/>
    <w:rsid w:val="0073536D"/>
    <w:rsid w:val="007356EE"/>
    <w:rsid w:val="00735E22"/>
    <w:rsid w:val="00735F99"/>
    <w:rsid w:val="00736439"/>
    <w:rsid w:val="00736720"/>
    <w:rsid w:val="007367FA"/>
    <w:rsid w:val="00736844"/>
    <w:rsid w:val="0073697B"/>
    <w:rsid w:val="00736A7B"/>
    <w:rsid w:val="00736C22"/>
    <w:rsid w:val="00736CB3"/>
    <w:rsid w:val="00736DAE"/>
    <w:rsid w:val="00736F51"/>
    <w:rsid w:val="00737086"/>
    <w:rsid w:val="00737A0B"/>
    <w:rsid w:val="00737BAC"/>
    <w:rsid w:val="00737F0A"/>
    <w:rsid w:val="00737F24"/>
    <w:rsid w:val="00740229"/>
    <w:rsid w:val="007402F3"/>
    <w:rsid w:val="0074037E"/>
    <w:rsid w:val="0074045B"/>
    <w:rsid w:val="00740634"/>
    <w:rsid w:val="00740662"/>
    <w:rsid w:val="007406B6"/>
    <w:rsid w:val="00740DB2"/>
    <w:rsid w:val="007410A8"/>
    <w:rsid w:val="007410D3"/>
    <w:rsid w:val="00741157"/>
    <w:rsid w:val="007414AD"/>
    <w:rsid w:val="007416FC"/>
    <w:rsid w:val="00742885"/>
    <w:rsid w:val="00742B89"/>
    <w:rsid w:val="00742B99"/>
    <w:rsid w:val="00742DB0"/>
    <w:rsid w:val="00742FBB"/>
    <w:rsid w:val="007439BD"/>
    <w:rsid w:val="00743A41"/>
    <w:rsid w:val="00743DCA"/>
    <w:rsid w:val="007442B7"/>
    <w:rsid w:val="007447E4"/>
    <w:rsid w:val="00744E62"/>
    <w:rsid w:val="007451A8"/>
    <w:rsid w:val="0074560F"/>
    <w:rsid w:val="00745808"/>
    <w:rsid w:val="00745E98"/>
    <w:rsid w:val="0074642F"/>
    <w:rsid w:val="0074646A"/>
    <w:rsid w:val="00746551"/>
    <w:rsid w:val="0074694D"/>
    <w:rsid w:val="007473EA"/>
    <w:rsid w:val="007473F8"/>
    <w:rsid w:val="007474DB"/>
    <w:rsid w:val="0074760F"/>
    <w:rsid w:val="00747F7C"/>
    <w:rsid w:val="007500BA"/>
    <w:rsid w:val="007503FA"/>
    <w:rsid w:val="007504D6"/>
    <w:rsid w:val="00750A14"/>
    <w:rsid w:val="00750C74"/>
    <w:rsid w:val="00750DBE"/>
    <w:rsid w:val="00750E3C"/>
    <w:rsid w:val="00751188"/>
    <w:rsid w:val="007511BD"/>
    <w:rsid w:val="00751361"/>
    <w:rsid w:val="0075149D"/>
    <w:rsid w:val="00751667"/>
    <w:rsid w:val="00751799"/>
    <w:rsid w:val="00751851"/>
    <w:rsid w:val="00751A43"/>
    <w:rsid w:val="00751ADD"/>
    <w:rsid w:val="00751E6C"/>
    <w:rsid w:val="007520CC"/>
    <w:rsid w:val="00752509"/>
    <w:rsid w:val="007525A0"/>
    <w:rsid w:val="007527D2"/>
    <w:rsid w:val="007529D8"/>
    <w:rsid w:val="007529FC"/>
    <w:rsid w:val="00752A7D"/>
    <w:rsid w:val="00752AB1"/>
    <w:rsid w:val="00752ACD"/>
    <w:rsid w:val="0075354A"/>
    <w:rsid w:val="0075360B"/>
    <w:rsid w:val="00753A50"/>
    <w:rsid w:val="00753AD3"/>
    <w:rsid w:val="007541A8"/>
    <w:rsid w:val="007541BD"/>
    <w:rsid w:val="007541CD"/>
    <w:rsid w:val="007542F3"/>
    <w:rsid w:val="00754440"/>
    <w:rsid w:val="007544DD"/>
    <w:rsid w:val="007545F2"/>
    <w:rsid w:val="00754711"/>
    <w:rsid w:val="00754755"/>
    <w:rsid w:val="00755007"/>
    <w:rsid w:val="00755294"/>
    <w:rsid w:val="0075536D"/>
    <w:rsid w:val="007558A2"/>
    <w:rsid w:val="00755A15"/>
    <w:rsid w:val="00755AE1"/>
    <w:rsid w:val="0075661C"/>
    <w:rsid w:val="007568BB"/>
    <w:rsid w:val="00756B7D"/>
    <w:rsid w:val="00756CD2"/>
    <w:rsid w:val="007571FB"/>
    <w:rsid w:val="00757236"/>
    <w:rsid w:val="00757471"/>
    <w:rsid w:val="00757895"/>
    <w:rsid w:val="00757D28"/>
    <w:rsid w:val="00757DF0"/>
    <w:rsid w:val="007602B1"/>
    <w:rsid w:val="0076072A"/>
    <w:rsid w:val="007609D6"/>
    <w:rsid w:val="00760C94"/>
    <w:rsid w:val="00760DEC"/>
    <w:rsid w:val="0076121B"/>
    <w:rsid w:val="007613A5"/>
    <w:rsid w:val="0076151D"/>
    <w:rsid w:val="0076175D"/>
    <w:rsid w:val="00761AE4"/>
    <w:rsid w:val="00761B80"/>
    <w:rsid w:val="00761D08"/>
    <w:rsid w:val="00761EA2"/>
    <w:rsid w:val="00761FDC"/>
    <w:rsid w:val="00761FFE"/>
    <w:rsid w:val="007621DF"/>
    <w:rsid w:val="00762334"/>
    <w:rsid w:val="00762518"/>
    <w:rsid w:val="00762692"/>
    <w:rsid w:val="00762A88"/>
    <w:rsid w:val="00762E79"/>
    <w:rsid w:val="0076323A"/>
    <w:rsid w:val="0076331F"/>
    <w:rsid w:val="00763331"/>
    <w:rsid w:val="007634B4"/>
    <w:rsid w:val="0076390D"/>
    <w:rsid w:val="007639A3"/>
    <w:rsid w:val="007639CC"/>
    <w:rsid w:val="00763B65"/>
    <w:rsid w:val="00764164"/>
    <w:rsid w:val="00764630"/>
    <w:rsid w:val="00764690"/>
    <w:rsid w:val="00764784"/>
    <w:rsid w:val="0076478A"/>
    <w:rsid w:val="00764937"/>
    <w:rsid w:val="00764B0C"/>
    <w:rsid w:val="00764F0E"/>
    <w:rsid w:val="00765194"/>
    <w:rsid w:val="00765475"/>
    <w:rsid w:val="00765529"/>
    <w:rsid w:val="00765B68"/>
    <w:rsid w:val="00765BDE"/>
    <w:rsid w:val="00765CB9"/>
    <w:rsid w:val="00765E4F"/>
    <w:rsid w:val="0076643D"/>
    <w:rsid w:val="007669F1"/>
    <w:rsid w:val="00766C16"/>
    <w:rsid w:val="00766E06"/>
    <w:rsid w:val="00766EC5"/>
    <w:rsid w:val="007671D1"/>
    <w:rsid w:val="0076782B"/>
    <w:rsid w:val="00767C64"/>
    <w:rsid w:val="00767D77"/>
    <w:rsid w:val="00767D8D"/>
    <w:rsid w:val="00770172"/>
    <w:rsid w:val="007701BF"/>
    <w:rsid w:val="0077043A"/>
    <w:rsid w:val="0077065A"/>
    <w:rsid w:val="007708A3"/>
    <w:rsid w:val="0077177A"/>
    <w:rsid w:val="00771780"/>
    <w:rsid w:val="0077186A"/>
    <w:rsid w:val="00771E3C"/>
    <w:rsid w:val="0077217B"/>
    <w:rsid w:val="007721D4"/>
    <w:rsid w:val="007721FC"/>
    <w:rsid w:val="00772E21"/>
    <w:rsid w:val="00772F96"/>
    <w:rsid w:val="0077310B"/>
    <w:rsid w:val="007731C7"/>
    <w:rsid w:val="00773648"/>
    <w:rsid w:val="007738AF"/>
    <w:rsid w:val="007738ED"/>
    <w:rsid w:val="00774542"/>
    <w:rsid w:val="00774CC6"/>
    <w:rsid w:val="0077510B"/>
    <w:rsid w:val="007754C8"/>
    <w:rsid w:val="007756BB"/>
    <w:rsid w:val="0077573F"/>
    <w:rsid w:val="00775A1A"/>
    <w:rsid w:val="0077602C"/>
    <w:rsid w:val="0077620E"/>
    <w:rsid w:val="007762BC"/>
    <w:rsid w:val="00776377"/>
    <w:rsid w:val="007767C1"/>
    <w:rsid w:val="00776D27"/>
    <w:rsid w:val="00776D76"/>
    <w:rsid w:val="00776DB2"/>
    <w:rsid w:val="00776F00"/>
    <w:rsid w:val="0077726F"/>
    <w:rsid w:val="007778DF"/>
    <w:rsid w:val="007778EF"/>
    <w:rsid w:val="007801B1"/>
    <w:rsid w:val="007804D5"/>
    <w:rsid w:val="0078050D"/>
    <w:rsid w:val="0078085A"/>
    <w:rsid w:val="00780C07"/>
    <w:rsid w:val="00780E4B"/>
    <w:rsid w:val="00781107"/>
    <w:rsid w:val="007811EA"/>
    <w:rsid w:val="007813E5"/>
    <w:rsid w:val="0078143B"/>
    <w:rsid w:val="00781736"/>
    <w:rsid w:val="00781856"/>
    <w:rsid w:val="00781917"/>
    <w:rsid w:val="00781A33"/>
    <w:rsid w:val="00781D3F"/>
    <w:rsid w:val="00781EE6"/>
    <w:rsid w:val="0078242D"/>
    <w:rsid w:val="00782738"/>
    <w:rsid w:val="007827AA"/>
    <w:rsid w:val="007828B7"/>
    <w:rsid w:val="007829DE"/>
    <w:rsid w:val="00782B88"/>
    <w:rsid w:val="00783347"/>
    <w:rsid w:val="00783578"/>
    <w:rsid w:val="007837D1"/>
    <w:rsid w:val="00783C19"/>
    <w:rsid w:val="00783C2E"/>
    <w:rsid w:val="00783D54"/>
    <w:rsid w:val="00783D79"/>
    <w:rsid w:val="00783FE0"/>
    <w:rsid w:val="00784ECD"/>
    <w:rsid w:val="007853EE"/>
    <w:rsid w:val="00785579"/>
    <w:rsid w:val="00785782"/>
    <w:rsid w:val="00785787"/>
    <w:rsid w:val="007857F8"/>
    <w:rsid w:val="0078586D"/>
    <w:rsid w:val="007859F3"/>
    <w:rsid w:val="00785AF0"/>
    <w:rsid w:val="00785C2B"/>
    <w:rsid w:val="00785EF3"/>
    <w:rsid w:val="007861E0"/>
    <w:rsid w:val="0078646B"/>
    <w:rsid w:val="007867C2"/>
    <w:rsid w:val="0078697F"/>
    <w:rsid w:val="00786ACD"/>
    <w:rsid w:val="00786B13"/>
    <w:rsid w:val="00786D51"/>
    <w:rsid w:val="00786E95"/>
    <w:rsid w:val="00787099"/>
    <w:rsid w:val="00787451"/>
    <w:rsid w:val="0078795C"/>
    <w:rsid w:val="00790636"/>
    <w:rsid w:val="00790A4D"/>
    <w:rsid w:val="00790A69"/>
    <w:rsid w:val="00791483"/>
    <w:rsid w:val="007918CC"/>
    <w:rsid w:val="00791962"/>
    <w:rsid w:val="007919F1"/>
    <w:rsid w:val="00791F9F"/>
    <w:rsid w:val="00791FF0"/>
    <w:rsid w:val="007921C4"/>
    <w:rsid w:val="007922D9"/>
    <w:rsid w:val="00792D2B"/>
    <w:rsid w:val="00792FEB"/>
    <w:rsid w:val="00793310"/>
    <w:rsid w:val="007935E5"/>
    <w:rsid w:val="0079367A"/>
    <w:rsid w:val="007938D1"/>
    <w:rsid w:val="00793B5E"/>
    <w:rsid w:val="00793B72"/>
    <w:rsid w:val="00793F64"/>
    <w:rsid w:val="00794151"/>
    <w:rsid w:val="0079496D"/>
    <w:rsid w:val="00794B91"/>
    <w:rsid w:val="00794D64"/>
    <w:rsid w:val="00794E7D"/>
    <w:rsid w:val="00794E81"/>
    <w:rsid w:val="007953A9"/>
    <w:rsid w:val="0079565E"/>
    <w:rsid w:val="00795B15"/>
    <w:rsid w:val="00795B9B"/>
    <w:rsid w:val="00795C63"/>
    <w:rsid w:val="00795D35"/>
    <w:rsid w:val="00795E7E"/>
    <w:rsid w:val="00795ECD"/>
    <w:rsid w:val="00796020"/>
    <w:rsid w:val="00796422"/>
    <w:rsid w:val="00796713"/>
    <w:rsid w:val="00796B0E"/>
    <w:rsid w:val="00797325"/>
    <w:rsid w:val="00797D42"/>
    <w:rsid w:val="007A02F4"/>
    <w:rsid w:val="007A091D"/>
    <w:rsid w:val="007A10A7"/>
    <w:rsid w:val="007A10EA"/>
    <w:rsid w:val="007A1135"/>
    <w:rsid w:val="007A1A97"/>
    <w:rsid w:val="007A2803"/>
    <w:rsid w:val="007A2D44"/>
    <w:rsid w:val="007A32CE"/>
    <w:rsid w:val="007A3798"/>
    <w:rsid w:val="007A37A3"/>
    <w:rsid w:val="007A38DC"/>
    <w:rsid w:val="007A38EB"/>
    <w:rsid w:val="007A39E2"/>
    <w:rsid w:val="007A3DA0"/>
    <w:rsid w:val="007A3E6D"/>
    <w:rsid w:val="007A49D0"/>
    <w:rsid w:val="007A4B13"/>
    <w:rsid w:val="007A4C0A"/>
    <w:rsid w:val="007A4C76"/>
    <w:rsid w:val="007A4F44"/>
    <w:rsid w:val="007A4FEE"/>
    <w:rsid w:val="007A5612"/>
    <w:rsid w:val="007A58C1"/>
    <w:rsid w:val="007A61E6"/>
    <w:rsid w:val="007A636D"/>
    <w:rsid w:val="007A64C6"/>
    <w:rsid w:val="007A6611"/>
    <w:rsid w:val="007A6816"/>
    <w:rsid w:val="007A68FD"/>
    <w:rsid w:val="007A693C"/>
    <w:rsid w:val="007A76EB"/>
    <w:rsid w:val="007A7A19"/>
    <w:rsid w:val="007A7C91"/>
    <w:rsid w:val="007A7E80"/>
    <w:rsid w:val="007B0002"/>
    <w:rsid w:val="007B01FD"/>
    <w:rsid w:val="007B025C"/>
    <w:rsid w:val="007B0498"/>
    <w:rsid w:val="007B0629"/>
    <w:rsid w:val="007B0660"/>
    <w:rsid w:val="007B0AA0"/>
    <w:rsid w:val="007B1863"/>
    <w:rsid w:val="007B19DD"/>
    <w:rsid w:val="007B2117"/>
    <w:rsid w:val="007B215C"/>
    <w:rsid w:val="007B25A0"/>
    <w:rsid w:val="007B2A2C"/>
    <w:rsid w:val="007B2B3C"/>
    <w:rsid w:val="007B3ABB"/>
    <w:rsid w:val="007B3C0D"/>
    <w:rsid w:val="007B3F92"/>
    <w:rsid w:val="007B3FD9"/>
    <w:rsid w:val="007B4359"/>
    <w:rsid w:val="007B45BC"/>
    <w:rsid w:val="007B468B"/>
    <w:rsid w:val="007B5534"/>
    <w:rsid w:val="007B55DA"/>
    <w:rsid w:val="007B6141"/>
    <w:rsid w:val="007B657E"/>
    <w:rsid w:val="007B6C48"/>
    <w:rsid w:val="007B73EE"/>
    <w:rsid w:val="007B752B"/>
    <w:rsid w:val="007B7630"/>
    <w:rsid w:val="007B7699"/>
    <w:rsid w:val="007B76B7"/>
    <w:rsid w:val="007B7A8B"/>
    <w:rsid w:val="007B7B4B"/>
    <w:rsid w:val="007C020E"/>
    <w:rsid w:val="007C03C7"/>
    <w:rsid w:val="007C04DA"/>
    <w:rsid w:val="007C1779"/>
    <w:rsid w:val="007C181A"/>
    <w:rsid w:val="007C1842"/>
    <w:rsid w:val="007C188B"/>
    <w:rsid w:val="007C1A43"/>
    <w:rsid w:val="007C1B8F"/>
    <w:rsid w:val="007C1D96"/>
    <w:rsid w:val="007C2075"/>
    <w:rsid w:val="007C2358"/>
    <w:rsid w:val="007C2978"/>
    <w:rsid w:val="007C2C78"/>
    <w:rsid w:val="007C2E85"/>
    <w:rsid w:val="007C384C"/>
    <w:rsid w:val="007C3ADA"/>
    <w:rsid w:val="007C424B"/>
    <w:rsid w:val="007C44A2"/>
    <w:rsid w:val="007C44FF"/>
    <w:rsid w:val="007C4590"/>
    <w:rsid w:val="007C5142"/>
    <w:rsid w:val="007C55A2"/>
    <w:rsid w:val="007C65AD"/>
    <w:rsid w:val="007C6641"/>
    <w:rsid w:val="007C6BCB"/>
    <w:rsid w:val="007C6FA6"/>
    <w:rsid w:val="007C71B7"/>
    <w:rsid w:val="007C71C9"/>
    <w:rsid w:val="007C72F6"/>
    <w:rsid w:val="007C7497"/>
    <w:rsid w:val="007C74DB"/>
    <w:rsid w:val="007C7568"/>
    <w:rsid w:val="007C79F6"/>
    <w:rsid w:val="007C7E8F"/>
    <w:rsid w:val="007D0865"/>
    <w:rsid w:val="007D08ED"/>
    <w:rsid w:val="007D09FA"/>
    <w:rsid w:val="007D0A32"/>
    <w:rsid w:val="007D0E0F"/>
    <w:rsid w:val="007D0F69"/>
    <w:rsid w:val="007D119F"/>
    <w:rsid w:val="007D1261"/>
    <w:rsid w:val="007D13D0"/>
    <w:rsid w:val="007D15C7"/>
    <w:rsid w:val="007D1622"/>
    <w:rsid w:val="007D162E"/>
    <w:rsid w:val="007D1E25"/>
    <w:rsid w:val="007D1E40"/>
    <w:rsid w:val="007D2070"/>
    <w:rsid w:val="007D218F"/>
    <w:rsid w:val="007D274C"/>
    <w:rsid w:val="007D2911"/>
    <w:rsid w:val="007D2A3C"/>
    <w:rsid w:val="007D2D76"/>
    <w:rsid w:val="007D35CC"/>
    <w:rsid w:val="007D3C15"/>
    <w:rsid w:val="007D3C62"/>
    <w:rsid w:val="007D4018"/>
    <w:rsid w:val="007D4181"/>
    <w:rsid w:val="007D43F2"/>
    <w:rsid w:val="007D4557"/>
    <w:rsid w:val="007D4891"/>
    <w:rsid w:val="007D49D9"/>
    <w:rsid w:val="007D4EFC"/>
    <w:rsid w:val="007D4FDC"/>
    <w:rsid w:val="007D536C"/>
    <w:rsid w:val="007D56D6"/>
    <w:rsid w:val="007D5713"/>
    <w:rsid w:val="007D659C"/>
    <w:rsid w:val="007D66AE"/>
    <w:rsid w:val="007D6A05"/>
    <w:rsid w:val="007D6C42"/>
    <w:rsid w:val="007D6F7A"/>
    <w:rsid w:val="007D728F"/>
    <w:rsid w:val="007D734F"/>
    <w:rsid w:val="007D73F6"/>
    <w:rsid w:val="007D7630"/>
    <w:rsid w:val="007D7845"/>
    <w:rsid w:val="007D79B1"/>
    <w:rsid w:val="007D7D34"/>
    <w:rsid w:val="007D7EE3"/>
    <w:rsid w:val="007D7F88"/>
    <w:rsid w:val="007E0E47"/>
    <w:rsid w:val="007E109A"/>
    <w:rsid w:val="007E1280"/>
    <w:rsid w:val="007E1695"/>
    <w:rsid w:val="007E1AB3"/>
    <w:rsid w:val="007E1FC1"/>
    <w:rsid w:val="007E289F"/>
    <w:rsid w:val="007E3072"/>
    <w:rsid w:val="007E397B"/>
    <w:rsid w:val="007E3A4D"/>
    <w:rsid w:val="007E3DFD"/>
    <w:rsid w:val="007E3E40"/>
    <w:rsid w:val="007E3F4F"/>
    <w:rsid w:val="007E4D89"/>
    <w:rsid w:val="007E53FF"/>
    <w:rsid w:val="007E549F"/>
    <w:rsid w:val="007E5890"/>
    <w:rsid w:val="007E590E"/>
    <w:rsid w:val="007E5959"/>
    <w:rsid w:val="007E5A49"/>
    <w:rsid w:val="007E5A8C"/>
    <w:rsid w:val="007E5ADC"/>
    <w:rsid w:val="007E5C3A"/>
    <w:rsid w:val="007E5D2B"/>
    <w:rsid w:val="007E5E92"/>
    <w:rsid w:val="007E5EB5"/>
    <w:rsid w:val="007E623B"/>
    <w:rsid w:val="007E6358"/>
    <w:rsid w:val="007E63A3"/>
    <w:rsid w:val="007E63DE"/>
    <w:rsid w:val="007E683F"/>
    <w:rsid w:val="007E6930"/>
    <w:rsid w:val="007E6A66"/>
    <w:rsid w:val="007E6C69"/>
    <w:rsid w:val="007E74DB"/>
    <w:rsid w:val="007E79DE"/>
    <w:rsid w:val="007E7B16"/>
    <w:rsid w:val="007E7E66"/>
    <w:rsid w:val="007F0075"/>
    <w:rsid w:val="007F027E"/>
    <w:rsid w:val="007F06EE"/>
    <w:rsid w:val="007F07DF"/>
    <w:rsid w:val="007F09B5"/>
    <w:rsid w:val="007F0A06"/>
    <w:rsid w:val="007F1236"/>
    <w:rsid w:val="007F1304"/>
    <w:rsid w:val="007F1370"/>
    <w:rsid w:val="007F140D"/>
    <w:rsid w:val="007F1749"/>
    <w:rsid w:val="007F1D7B"/>
    <w:rsid w:val="007F1EAC"/>
    <w:rsid w:val="007F221E"/>
    <w:rsid w:val="007F247B"/>
    <w:rsid w:val="007F25A3"/>
    <w:rsid w:val="007F2923"/>
    <w:rsid w:val="007F2DB0"/>
    <w:rsid w:val="007F328D"/>
    <w:rsid w:val="007F32F5"/>
    <w:rsid w:val="007F350C"/>
    <w:rsid w:val="007F375B"/>
    <w:rsid w:val="007F3BA8"/>
    <w:rsid w:val="007F3EA9"/>
    <w:rsid w:val="007F3FBA"/>
    <w:rsid w:val="007F3FC7"/>
    <w:rsid w:val="007F3FF2"/>
    <w:rsid w:val="007F43D5"/>
    <w:rsid w:val="007F4419"/>
    <w:rsid w:val="007F4A6F"/>
    <w:rsid w:val="007F4CFE"/>
    <w:rsid w:val="007F4DA9"/>
    <w:rsid w:val="007F549E"/>
    <w:rsid w:val="007F651B"/>
    <w:rsid w:val="007F686C"/>
    <w:rsid w:val="007F6971"/>
    <w:rsid w:val="007F6AB3"/>
    <w:rsid w:val="007F6DDA"/>
    <w:rsid w:val="007F707B"/>
    <w:rsid w:val="007F70FB"/>
    <w:rsid w:val="007F7222"/>
    <w:rsid w:val="007F73F5"/>
    <w:rsid w:val="007F778C"/>
    <w:rsid w:val="007F7846"/>
    <w:rsid w:val="007F784E"/>
    <w:rsid w:val="007F799E"/>
    <w:rsid w:val="007F7BCE"/>
    <w:rsid w:val="007F7C70"/>
    <w:rsid w:val="007F7E0E"/>
    <w:rsid w:val="007F9BA5"/>
    <w:rsid w:val="008002DA"/>
    <w:rsid w:val="008006A0"/>
    <w:rsid w:val="008008E5"/>
    <w:rsid w:val="00800B00"/>
    <w:rsid w:val="00800BE6"/>
    <w:rsid w:val="00800F22"/>
    <w:rsid w:val="00800F3F"/>
    <w:rsid w:val="00801316"/>
    <w:rsid w:val="0080137F"/>
    <w:rsid w:val="00801912"/>
    <w:rsid w:val="00801A4E"/>
    <w:rsid w:val="00801AC8"/>
    <w:rsid w:val="00801AEF"/>
    <w:rsid w:val="00801B25"/>
    <w:rsid w:val="00801FF5"/>
    <w:rsid w:val="0080217C"/>
    <w:rsid w:val="008021ED"/>
    <w:rsid w:val="00802390"/>
    <w:rsid w:val="00802399"/>
    <w:rsid w:val="00802687"/>
    <w:rsid w:val="00802B33"/>
    <w:rsid w:val="00802CCF"/>
    <w:rsid w:val="00802CFF"/>
    <w:rsid w:val="00802DE4"/>
    <w:rsid w:val="00802F53"/>
    <w:rsid w:val="00803115"/>
    <w:rsid w:val="008039DA"/>
    <w:rsid w:val="00803A74"/>
    <w:rsid w:val="00803ED1"/>
    <w:rsid w:val="008040D5"/>
    <w:rsid w:val="00804767"/>
    <w:rsid w:val="00804D0B"/>
    <w:rsid w:val="00804D3A"/>
    <w:rsid w:val="0080500F"/>
    <w:rsid w:val="00805158"/>
    <w:rsid w:val="00805244"/>
    <w:rsid w:val="008053B7"/>
    <w:rsid w:val="0080563E"/>
    <w:rsid w:val="008058E1"/>
    <w:rsid w:val="00805E5D"/>
    <w:rsid w:val="00806067"/>
    <w:rsid w:val="00806237"/>
    <w:rsid w:val="00806DF4"/>
    <w:rsid w:val="00807044"/>
    <w:rsid w:val="0080709E"/>
    <w:rsid w:val="00807110"/>
    <w:rsid w:val="00807772"/>
    <w:rsid w:val="008077A1"/>
    <w:rsid w:val="008077AC"/>
    <w:rsid w:val="00807946"/>
    <w:rsid w:val="00807A80"/>
    <w:rsid w:val="00807C53"/>
    <w:rsid w:val="00810C91"/>
    <w:rsid w:val="00810D85"/>
    <w:rsid w:val="00810F2F"/>
    <w:rsid w:val="00810F92"/>
    <w:rsid w:val="008110B2"/>
    <w:rsid w:val="0081155C"/>
    <w:rsid w:val="00811B0D"/>
    <w:rsid w:val="00811C08"/>
    <w:rsid w:val="00811CE7"/>
    <w:rsid w:val="008123CE"/>
    <w:rsid w:val="00812566"/>
    <w:rsid w:val="0081277D"/>
    <w:rsid w:val="00813940"/>
    <w:rsid w:val="00813A56"/>
    <w:rsid w:val="00813AD7"/>
    <w:rsid w:val="00813FE6"/>
    <w:rsid w:val="008140A7"/>
    <w:rsid w:val="0081437E"/>
    <w:rsid w:val="008146D6"/>
    <w:rsid w:val="008147FB"/>
    <w:rsid w:val="00814B39"/>
    <w:rsid w:val="00814B85"/>
    <w:rsid w:val="008151F0"/>
    <w:rsid w:val="008153E2"/>
    <w:rsid w:val="008153F3"/>
    <w:rsid w:val="008154DD"/>
    <w:rsid w:val="0081579D"/>
    <w:rsid w:val="00815D63"/>
    <w:rsid w:val="00815E21"/>
    <w:rsid w:val="0081601F"/>
    <w:rsid w:val="0081659F"/>
    <w:rsid w:val="008165B9"/>
    <w:rsid w:val="00816699"/>
    <w:rsid w:val="008166E2"/>
    <w:rsid w:val="008169DD"/>
    <w:rsid w:val="00817B19"/>
    <w:rsid w:val="00817BF5"/>
    <w:rsid w:val="00820B79"/>
    <w:rsid w:val="00820BC7"/>
    <w:rsid w:val="0082118C"/>
    <w:rsid w:val="0082173F"/>
    <w:rsid w:val="0082176F"/>
    <w:rsid w:val="00821896"/>
    <w:rsid w:val="00821EA6"/>
    <w:rsid w:val="0082232E"/>
    <w:rsid w:val="0082270F"/>
    <w:rsid w:val="00822983"/>
    <w:rsid w:val="00822A6F"/>
    <w:rsid w:val="00822AB4"/>
    <w:rsid w:val="00822E7D"/>
    <w:rsid w:val="00822EC0"/>
    <w:rsid w:val="00823CF0"/>
    <w:rsid w:val="00823E69"/>
    <w:rsid w:val="00823F2D"/>
    <w:rsid w:val="008241CA"/>
    <w:rsid w:val="00824443"/>
    <w:rsid w:val="008244BA"/>
    <w:rsid w:val="008248C2"/>
    <w:rsid w:val="008249C2"/>
    <w:rsid w:val="00824BC9"/>
    <w:rsid w:val="00824E44"/>
    <w:rsid w:val="00824E63"/>
    <w:rsid w:val="00824F20"/>
    <w:rsid w:val="0082556A"/>
    <w:rsid w:val="00825AF2"/>
    <w:rsid w:val="0082617C"/>
    <w:rsid w:val="008266D1"/>
    <w:rsid w:val="00826709"/>
    <w:rsid w:val="00826868"/>
    <w:rsid w:val="008269E9"/>
    <w:rsid w:val="00826A6F"/>
    <w:rsid w:val="00826B2F"/>
    <w:rsid w:val="00826B88"/>
    <w:rsid w:val="00826BA7"/>
    <w:rsid w:val="00826D69"/>
    <w:rsid w:val="00827208"/>
    <w:rsid w:val="0082729E"/>
    <w:rsid w:val="008276EB"/>
    <w:rsid w:val="0082771F"/>
    <w:rsid w:val="00827ACB"/>
    <w:rsid w:val="00827D9C"/>
    <w:rsid w:val="008301CE"/>
    <w:rsid w:val="008303B6"/>
    <w:rsid w:val="0083077C"/>
    <w:rsid w:val="00830A69"/>
    <w:rsid w:val="00831280"/>
    <w:rsid w:val="008319FA"/>
    <w:rsid w:val="00831B1A"/>
    <w:rsid w:val="0083250D"/>
    <w:rsid w:val="00833172"/>
    <w:rsid w:val="00833187"/>
    <w:rsid w:val="0083324E"/>
    <w:rsid w:val="00833301"/>
    <w:rsid w:val="00833510"/>
    <w:rsid w:val="00833A98"/>
    <w:rsid w:val="00833D57"/>
    <w:rsid w:val="008340A5"/>
    <w:rsid w:val="0083421A"/>
    <w:rsid w:val="00834249"/>
    <w:rsid w:val="008344A4"/>
    <w:rsid w:val="00834B50"/>
    <w:rsid w:val="00834BE5"/>
    <w:rsid w:val="00834D89"/>
    <w:rsid w:val="0083518E"/>
    <w:rsid w:val="00835325"/>
    <w:rsid w:val="008353D7"/>
    <w:rsid w:val="00835455"/>
    <w:rsid w:val="008356EE"/>
    <w:rsid w:val="00835A3C"/>
    <w:rsid w:val="00835BC7"/>
    <w:rsid w:val="00835C61"/>
    <w:rsid w:val="00835E7A"/>
    <w:rsid w:val="00836068"/>
    <w:rsid w:val="008361F1"/>
    <w:rsid w:val="008362AE"/>
    <w:rsid w:val="00836C4B"/>
    <w:rsid w:val="008370F0"/>
    <w:rsid w:val="0083715E"/>
    <w:rsid w:val="008375D1"/>
    <w:rsid w:val="00837898"/>
    <w:rsid w:val="00837EFE"/>
    <w:rsid w:val="0083DEAC"/>
    <w:rsid w:val="008409CD"/>
    <w:rsid w:val="00840AA3"/>
    <w:rsid w:val="00840C22"/>
    <w:rsid w:val="00841ACE"/>
    <w:rsid w:val="0084263E"/>
    <w:rsid w:val="008426D6"/>
    <w:rsid w:val="008426DE"/>
    <w:rsid w:val="0084290F"/>
    <w:rsid w:val="0084298F"/>
    <w:rsid w:val="00842CBA"/>
    <w:rsid w:val="00842E11"/>
    <w:rsid w:val="00842FC2"/>
    <w:rsid w:val="0084349F"/>
    <w:rsid w:val="00843838"/>
    <w:rsid w:val="0084400A"/>
    <w:rsid w:val="008441F2"/>
    <w:rsid w:val="00844ABF"/>
    <w:rsid w:val="00844CB5"/>
    <w:rsid w:val="00844D34"/>
    <w:rsid w:val="00844EEE"/>
    <w:rsid w:val="00844F72"/>
    <w:rsid w:val="008452D9"/>
    <w:rsid w:val="0084572B"/>
    <w:rsid w:val="008457F1"/>
    <w:rsid w:val="00845C7E"/>
    <w:rsid w:val="00845D93"/>
    <w:rsid w:val="00846774"/>
    <w:rsid w:val="008469C6"/>
    <w:rsid w:val="00846B18"/>
    <w:rsid w:val="00846ED7"/>
    <w:rsid w:val="00847280"/>
    <w:rsid w:val="00847FA0"/>
    <w:rsid w:val="0085014E"/>
    <w:rsid w:val="008501AC"/>
    <w:rsid w:val="00850764"/>
    <w:rsid w:val="00850913"/>
    <w:rsid w:val="00851416"/>
    <w:rsid w:val="0085148B"/>
    <w:rsid w:val="0085193E"/>
    <w:rsid w:val="00851B10"/>
    <w:rsid w:val="00851CBC"/>
    <w:rsid w:val="00851CCF"/>
    <w:rsid w:val="008521AB"/>
    <w:rsid w:val="008522D3"/>
    <w:rsid w:val="008523AC"/>
    <w:rsid w:val="00852733"/>
    <w:rsid w:val="00852C4E"/>
    <w:rsid w:val="00852F6B"/>
    <w:rsid w:val="0085349E"/>
    <w:rsid w:val="00853C2E"/>
    <w:rsid w:val="00853D6E"/>
    <w:rsid w:val="0085419E"/>
    <w:rsid w:val="008542B7"/>
    <w:rsid w:val="0085443C"/>
    <w:rsid w:val="00854454"/>
    <w:rsid w:val="008546A8"/>
    <w:rsid w:val="00855037"/>
    <w:rsid w:val="00855357"/>
    <w:rsid w:val="008559C3"/>
    <w:rsid w:val="00855A71"/>
    <w:rsid w:val="00855B36"/>
    <w:rsid w:val="00855B79"/>
    <w:rsid w:val="00855F49"/>
    <w:rsid w:val="00856051"/>
    <w:rsid w:val="008560C8"/>
    <w:rsid w:val="00856313"/>
    <w:rsid w:val="008568B1"/>
    <w:rsid w:val="00856ABE"/>
    <w:rsid w:val="008573F3"/>
    <w:rsid w:val="0085745B"/>
    <w:rsid w:val="00857558"/>
    <w:rsid w:val="008576B0"/>
    <w:rsid w:val="00857706"/>
    <w:rsid w:val="00857B8D"/>
    <w:rsid w:val="00857E3C"/>
    <w:rsid w:val="00857F2A"/>
    <w:rsid w:val="00857FB0"/>
    <w:rsid w:val="00857FBC"/>
    <w:rsid w:val="008600FA"/>
    <w:rsid w:val="008603D3"/>
    <w:rsid w:val="00860628"/>
    <w:rsid w:val="00861069"/>
    <w:rsid w:val="00861151"/>
    <w:rsid w:val="0086141E"/>
    <w:rsid w:val="008615F8"/>
    <w:rsid w:val="00861747"/>
    <w:rsid w:val="008618D8"/>
    <w:rsid w:val="0086254F"/>
    <w:rsid w:val="0086278A"/>
    <w:rsid w:val="008628C1"/>
    <w:rsid w:val="0086297D"/>
    <w:rsid w:val="00862AE0"/>
    <w:rsid w:val="00862B11"/>
    <w:rsid w:val="00862ECC"/>
    <w:rsid w:val="008634EF"/>
    <w:rsid w:val="00863680"/>
    <w:rsid w:val="008636DE"/>
    <w:rsid w:val="00863A06"/>
    <w:rsid w:val="00863A67"/>
    <w:rsid w:val="00863A89"/>
    <w:rsid w:val="00863F8A"/>
    <w:rsid w:val="008642EE"/>
    <w:rsid w:val="00864452"/>
    <w:rsid w:val="00864802"/>
    <w:rsid w:val="008648DC"/>
    <w:rsid w:val="00864FC5"/>
    <w:rsid w:val="008650CE"/>
    <w:rsid w:val="0086556B"/>
    <w:rsid w:val="008658A7"/>
    <w:rsid w:val="00865A43"/>
    <w:rsid w:val="00865D78"/>
    <w:rsid w:val="00865E3A"/>
    <w:rsid w:val="00865EE3"/>
    <w:rsid w:val="00865F03"/>
    <w:rsid w:val="008662E1"/>
    <w:rsid w:val="0086667D"/>
    <w:rsid w:val="00866CA2"/>
    <w:rsid w:val="00866CEF"/>
    <w:rsid w:val="00866E26"/>
    <w:rsid w:val="0086727A"/>
    <w:rsid w:val="0086753A"/>
    <w:rsid w:val="00867575"/>
    <w:rsid w:val="00867981"/>
    <w:rsid w:val="00867A05"/>
    <w:rsid w:val="00867C73"/>
    <w:rsid w:val="00867E7F"/>
    <w:rsid w:val="00870938"/>
    <w:rsid w:val="0087120B"/>
    <w:rsid w:val="00871743"/>
    <w:rsid w:val="008719BB"/>
    <w:rsid w:val="00871F70"/>
    <w:rsid w:val="00872569"/>
    <w:rsid w:val="008728B8"/>
    <w:rsid w:val="00872B03"/>
    <w:rsid w:val="00872B57"/>
    <w:rsid w:val="00872D6D"/>
    <w:rsid w:val="00872DC1"/>
    <w:rsid w:val="00872F84"/>
    <w:rsid w:val="008731E7"/>
    <w:rsid w:val="0087330D"/>
    <w:rsid w:val="008734E8"/>
    <w:rsid w:val="008735B1"/>
    <w:rsid w:val="008736BC"/>
    <w:rsid w:val="00873A71"/>
    <w:rsid w:val="00873B70"/>
    <w:rsid w:val="00873C49"/>
    <w:rsid w:val="0087411D"/>
    <w:rsid w:val="0087424B"/>
    <w:rsid w:val="008749B1"/>
    <w:rsid w:val="00874BEA"/>
    <w:rsid w:val="00874C85"/>
    <w:rsid w:val="00874D01"/>
    <w:rsid w:val="00874DFE"/>
    <w:rsid w:val="00874E87"/>
    <w:rsid w:val="008752AF"/>
    <w:rsid w:val="00875634"/>
    <w:rsid w:val="00875915"/>
    <w:rsid w:val="008759C1"/>
    <w:rsid w:val="00875DBA"/>
    <w:rsid w:val="008761CE"/>
    <w:rsid w:val="0087689A"/>
    <w:rsid w:val="00876B99"/>
    <w:rsid w:val="008775D6"/>
    <w:rsid w:val="00877844"/>
    <w:rsid w:val="0087796F"/>
    <w:rsid w:val="008779F0"/>
    <w:rsid w:val="00877C4A"/>
    <w:rsid w:val="00877F38"/>
    <w:rsid w:val="00877FF8"/>
    <w:rsid w:val="0088006A"/>
    <w:rsid w:val="0088024C"/>
    <w:rsid w:val="00880363"/>
    <w:rsid w:val="00880501"/>
    <w:rsid w:val="008809A0"/>
    <w:rsid w:val="00880EAD"/>
    <w:rsid w:val="00880ECE"/>
    <w:rsid w:val="00880F2D"/>
    <w:rsid w:val="008811D0"/>
    <w:rsid w:val="0088199C"/>
    <w:rsid w:val="008819EF"/>
    <w:rsid w:val="00881E5E"/>
    <w:rsid w:val="00882038"/>
    <w:rsid w:val="00882AC1"/>
    <w:rsid w:val="00883161"/>
    <w:rsid w:val="0088317B"/>
    <w:rsid w:val="00883FEC"/>
    <w:rsid w:val="008842FE"/>
    <w:rsid w:val="0088433D"/>
    <w:rsid w:val="008846E8"/>
    <w:rsid w:val="008848F6"/>
    <w:rsid w:val="00884E98"/>
    <w:rsid w:val="00885288"/>
    <w:rsid w:val="008852F0"/>
    <w:rsid w:val="008852F2"/>
    <w:rsid w:val="008856B9"/>
    <w:rsid w:val="00885AC9"/>
    <w:rsid w:val="008861B8"/>
    <w:rsid w:val="008865BC"/>
    <w:rsid w:val="008869D8"/>
    <w:rsid w:val="00887024"/>
    <w:rsid w:val="008878C2"/>
    <w:rsid w:val="00890650"/>
    <w:rsid w:val="00890894"/>
    <w:rsid w:val="00890903"/>
    <w:rsid w:val="00890AA7"/>
    <w:rsid w:val="00890CE1"/>
    <w:rsid w:val="0089112D"/>
    <w:rsid w:val="00891450"/>
    <w:rsid w:val="0089157B"/>
    <w:rsid w:val="00891784"/>
    <w:rsid w:val="008918A4"/>
    <w:rsid w:val="00892560"/>
    <w:rsid w:val="00892721"/>
    <w:rsid w:val="00893489"/>
    <w:rsid w:val="00893576"/>
    <w:rsid w:val="008939F0"/>
    <w:rsid w:val="00893E85"/>
    <w:rsid w:val="008943C5"/>
    <w:rsid w:val="00894470"/>
    <w:rsid w:val="00894591"/>
    <w:rsid w:val="00894B19"/>
    <w:rsid w:val="0089513C"/>
    <w:rsid w:val="0089527C"/>
    <w:rsid w:val="0089551A"/>
    <w:rsid w:val="00895653"/>
    <w:rsid w:val="008958AD"/>
    <w:rsid w:val="00895914"/>
    <w:rsid w:val="008962C9"/>
    <w:rsid w:val="008965C4"/>
    <w:rsid w:val="008966EB"/>
    <w:rsid w:val="0089683A"/>
    <w:rsid w:val="00896942"/>
    <w:rsid w:val="00896944"/>
    <w:rsid w:val="00896B0C"/>
    <w:rsid w:val="00897297"/>
    <w:rsid w:val="0089778B"/>
    <w:rsid w:val="00897AC0"/>
    <w:rsid w:val="00897F0F"/>
    <w:rsid w:val="00897F51"/>
    <w:rsid w:val="008A0425"/>
    <w:rsid w:val="008A0597"/>
    <w:rsid w:val="008A06B6"/>
    <w:rsid w:val="008A0AAF"/>
    <w:rsid w:val="008A0DCC"/>
    <w:rsid w:val="008A0E43"/>
    <w:rsid w:val="008A1218"/>
    <w:rsid w:val="008A124C"/>
    <w:rsid w:val="008A1477"/>
    <w:rsid w:val="008A151D"/>
    <w:rsid w:val="008A164B"/>
    <w:rsid w:val="008A1DC9"/>
    <w:rsid w:val="008A1DFA"/>
    <w:rsid w:val="008A1FCC"/>
    <w:rsid w:val="008A1FD8"/>
    <w:rsid w:val="008A20A2"/>
    <w:rsid w:val="008A20BC"/>
    <w:rsid w:val="008A21C8"/>
    <w:rsid w:val="008A240A"/>
    <w:rsid w:val="008A2487"/>
    <w:rsid w:val="008A2646"/>
    <w:rsid w:val="008A2783"/>
    <w:rsid w:val="008A28BD"/>
    <w:rsid w:val="008A2E91"/>
    <w:rsid w:val="008A358D"/>
    <w:rsid w:val="008A3692"/>
    <w:rsid w:val="008A3765"/>
    <w:rsid w:val="008A3A5A"/>
    <w:rsid w:val="008A3CF6"/>
    <w:rsid w:val="008A3F41"/>
    <w:rsid w:val="008A43E4"/>
    <w:rsid w:val="008A4495"/>
    <w:rsid w:val="008A4599"/>
    <w:rsid w:val="008A4666"/>
    <w:rsid w:val="008A4710"/>
    <w:rsid w:val="008A4E13"/>
    <w:rsid w:val="008A514E"/>
    <w:rsid w:val="008A557A"/>
    <w:rsid w:val="008A5CD3"/>
    <w:rsid w:val="008A5E2E"/>
    <w:rsid w:val="008A60B7"/>
    <w:rsid w:val="008A6324"/>
    <w:rsid w:val="008A6C16"/>
    <w:rsid w:val="008A6E87"/>
    <w:rsid w:val="008A73FB"/>
    <w:rsid w:val="008A7666"/>
    <w:rsid w:val="008A77A0"/>
    <w:rsid w:val="008A7A9B"/>
    <w:rsid w:val="008A7AE0"/>
    <w:rsid w:val="008A7CA6"/>
    <w:rsid w:val="008AB02E"/>
    <w:rsid w:val="008B0308"/>
    <w:rsid w:val="008B04A8"/>
    <w:rsid w:val="008B0571"/>
    <w:rsid w:val="008B06CA"/>
    <w:rsid w:val="008B0E3C"/>
    <w:rsid w:val="008B108B"/>
    <w:rsid w:val="008B1291"/>
    <w:rsid w:val="008B1742"/>
    <w:rsid w:val="008B1CF5"/>
    <w:rsid w:val="008B1D2C"/>
    <w:rsid w:val="008B1D5A"/>
    <w:rsid w:val="008B225E"/>
    <w:rsid w:val="008B2764"/>
    <w:rsid w:val="008B2AA7"/>
    <w:rsid w:val="008B2CD7"/>
    <w:rsid w:val="008B3123"/>
    <w:rsid w:val="008B31D4"/>
    <w:rsid w:val="008B31E2"/>
    <w:rsid w:val="008B33D8"/>
    <w:rsid w:val="008B355C"/>
    <w:rsid w:val="008B35CB"/>
    <w:rsid w:val="008B372F"/>
    <w:rsid w:val="008B3960"/>
    <w:rsid w:val="008B3B1B"/>
    <w:rsid w:val="008B3BFF"/>
    <w:rsid w:val="008B3CD4"/>
    <w:rsid w:val="008B4062"/>
    <w:rsid w:val="008B4162"/>
    <w:rsid w:val="008B4296"/>
    <w:rsid w:val="008B4839"/>
    <w:rsid w:val="008B4A11"/>
    <w:rsid w:val="008B4AEF"/>
    <w:rsid w:val="008B4B70"/>
    <w:rsid w:val="008B507C"/>
    <w:rsid w:val="008B5163"/>
    <w:rsid w:val="008B51C3"/>
    <w:rsid w:val="008B51E5"/>
    <w:rsid w:val="008B5501"/>
    <w:rsid w:val="008B55F7"/>
    <w:rsid w:val="008B5735"/>
    <w:rsid w:val="008B582D"/>
    <w:rsid w:val="008B584D"/>
    <w:rsid w:val="008B58EB"/>
    <w:rsid w:val="008B5D0A"/>
    <w:rsid w:val="008B616E"/>
    <w:rsid w:val="008B61F8"/>
    <w:rsid w:val="008B6229"/>
    <w:rsid w:val="008B6472"/>
    <w:rsid w:val="008B66CF"/>
    <w:rsid w:val="008B689D"/>
    <w:rsid w:val="008B6AA6"/>
    <w:rsid w:val="008B6C67"/>
    <w:rsid w:val="008B6EFF"/>
    <w:rsid w:val="008B701C"/>
    <w:rsid w:val="008B70B6"/>
    <w:rsid w:val="008B72D6"/>
    <w:rsid w:val="008B7648"/>
    <w:rsid w:val="008B7740"/>
    <w:rsid w:val="008B7A1E"/>
    <w:rsid w:val="008B7C23"/>
    <w:rsid w:val="008B7D99"/>
    <w:rsid w:val="008C0239"/>
    <w:rsid w:val="008C0386"/>
    <w:rsid w:val="008C04F9"/>
    <w:rsid w:val="008C07B3"/>
    <w:rsid w:val="008C0CDC"/>
    <w:rsid w:val="008C11AC"/>
    <w:rsid w:val="008C15B3"/>
    <w:rsid w:val="008C1714"/>
    <w:rsid w:val="008C1756"/>
    <w:rsid w:val="008C1B1F"/>
    <w:rsid w:val="008C1BF9"/>
    <w:rsid w:val="008C1CA7"/>
    <w:rsid w:val="008C1DB9"/>
    <w:rsid w:val="008C2238"/>
    <w:rsid w:val="008C256F"/>
    <w:rsid w:val="008C28AB"/>
    <w:rsid w:val="008C290B"/>
    <w:rsid w:val="008C2C2F"/>
    <w:rsid w:val="008C2D0F"/>
    <w:rsid w:val="008C2E93"/>
    <w:rsid w:val="008C3122"/>
    <w:rsid w:val="008C377C"/>
    <w:rsid w:val="008C392A"/>
    <w:rsid w:val="008C39CB"/>
    <w:rsid w:val="008C3D20"/>
    <w:rsid w:val="008C3FD6"/>
    <w:rsid w:val="008C441F"/>
    <w:rsid w:val="008C4608"/>
    <w:rsid w:val="008C4C84"/>
    <w:rsid w:val="008C4D59"/>
    <w:rsid w:val="008C4EBC"/>
    <w:rsid w:val="008C501E"/>
    <w:rsid w:val="008C520F"/>
    <w:rsid w:val="008C5451"/>
    <w:rsid w:val="008C5E5E"/>
    <w:rsid w:val="008C61DB"/>
    <w:rsid w:val="008C6339"/>
    <w:rsid w:val="008C69D7"/>
    <w:rsid w:val="008C6D70"/>
    <w:rsid w:val="008C6F4E"/>
    <w:rsid w:val="008C743F"/>
    <w:rsid w:val="008C7602"/>
    <w:rsid w:val="008C7614"/>
    <w:rsid w:val="008C76AB"/>
    <w:rsid w:val="008C76C9"/>
    <w:rsid w:val="008C771A"/>
    <w:rsid w:val="008C77A0"/>
    <w:rsid w:val="008C7A7F"/>
    <w:rsid w:val="008C7AC3"/>
    <w:rsid w:val="008C7BA2"/>
    <w:rsid w:val="008C7F8A"/>
    <w:rsid w:val="008C7FD2"/>
    <w:rsid w:val="008D0077"/>
    <w:rsid w:val="008D05FE"/>
    <w:rsid w:val="008D0793"/>
    <w:rsid w:val="008D0AB1"/>
    <w:rsid w:val="008D0B6D"/>
    <w:rsid w:val="008D0CCD"/>
    <w:rsid w:val="008D1019"/>
    <w:rsid w:val="008D158B"/>
    <w:rsid w:val="008D17F7"/>
    <w:rsid w:val="008D189F"/>
    <w:rsid w:val="008D1AC2"/>
    <w:rsid w:val="008D1C98"/>
    <w:rsid w:val="008D1D6A"/>
    <w:rsid w:val="008D1DE7"/>
    <w:rsid w:val="008D27C5"/>
    <w:rsid w:val="008D2A35"/>
    <w:rsid w:val="008D2B76"/>
    <w:rsid w:val="008D2BB1"/>
    <w:rsid w:val="008D2C8E"/>
    <w:rsid w:val="008D3050"/>
    <w:rsid w:val="008D3111"/>
    <w:rsid w:val="008D3116"/>
    <w:rsid w:val="008D320E"/>
    <w:rsid w:val="008D3375"/>
    <w:rsid w:val="008D33CF"/>
    <w:rsid w:val="008D33F1"/>
    <w:rsid w:val="008D3A95"/>
    <w:rsid w:val="008D3EA2"/>
    <w:rsid w:val="008D3EFA"/>
    <w:rsid w:val="008D423C"/>
    <w:rsid w:val="008D4646"/>
    <w:rsid w:val="008D4747"/>
    <w:rsid w:val="008D4820"/>
    <w:rsid w:val="008D4839"/>
    <w:rsid w:val="008D4DEE"/>
    <w:rsid w:val="008D51FD"/>
    <w:rsid w:val="008D5995"/>
    <w:rsid w:val="008D5A3D"/>
    <w:rsid w:val="008D5B78"/>
    <w:rsid w:val="008D5D32"/>
    <w:rsid w:val="008D5DDA"/>
    <w:rsid w:val="008D5DFA"/>
    <w:rsid w:val="008D5F4A"/>
    <w:rsid w:val="008D6353"/>
    <w:rsid w:val="008D6406"/>
    <w:rsid w:val="008D6F1B"/>
    <w:rsid w:val="008D713E"/>
    <w:rsid w:val="008D73CF"/>
    <w:rsid w:val="008D74EB"/>
    <w:rsid w:val="008D7973"/>
    <w:rsid w:val="008E0082"/>
    <w:rsid w:val="008E0190"/>
    <w:rsid w:val="008E0399"/>
    <w:rsid w:val="008E042E"/>
    <w:rsid w:val="008E04DD"/>
    <w:rsid w:val="008E04E0"/>
    <w:rsid w:val="008E0925"/>
    <w:rsid w:val="008E0BD8"/>
    <w:rsid w:val="008E1121"/>
    <w:rsid w:val="008E1209"/>
    <w:rsid w:val="008E1839"/>
    <w:rsid w:val="008E1916"/>
    <w:rsid w:val="008E1B1D"/>
    <w:rsid w:val="008E1CD2"/>
    <w:rsid w:val="008E1EB1"/>
    <w:rsid w:val="008E2328"/>
    <w:rsid w:val="008E285A"/>
    <w:rsid w:val="008E2870"/>
    <w:rsid w:val="008E2907"/>
    <w:rsid w:val="008E2C94"/>
    <w:rsid w:val="008E3215"/>
    <w:rsid w:val="008E3DA6"/>
    <w:rsid w:val="008E4161"/>
    <w:rsid w:val="008E41CE"/>
    <w:rsid w:val="008E423F"/>
    <w:rsid w:val="008E426D"/>
    <w:rsid w:val="008E4342"/>
    <w:rsid w:val="008E4404"/>
    <w:rsid w:val="008E48A6"/>
    <w:rsid w:val="008E4914"/>
    <w:rsid w:val="008E4A1B"/>
    <w:rsid w:val="008E4A82"/>
    <w:rsid w:val="008E4C37"/>
    <w:rsid w:val="008E4DAA"/>
    <w:rsid w:val="008E4DAE"/>
    <w:rsid w:val="008E4E45"/>
    <w:rsid w:val="008E504D"/>
    <w:rsid w:val="008E5421"/>
    <w:rsid w:val="008E5450"/>
    <w:rsid w:val="008E5940"/>
    <w:rsid w:val="008E5B9E"/>
    <w:rsid w:val="008E5E19"/>
    <w:rsid w:val="008E5FC8"/>
    <w:rsid w:val="008E5FD8"/>
    <w:rsid w:val="008E62D6"/>
    <w:rsid w:val="008E653C"/>
    <w:rsid w:val="008E6586"/>
    <w:rsid w:val="008E6925"/>
    <w:rsid w:val="008E6A2C"/>
    <w:rsid w:val="008E6BDA"/>
    <w:rsid w:val="008E6C30"/>
    <w:rsid w:val="008E6D65"/>
    <w:rsid w:val="008E6E75"/>
    <w:rsid w:val="008E79AB"/>
    <w:rsid w:val="008E7A76"/>
    <w:rsid w:val="008E7FDF"/>
    <w:rsid w:val="008F07C0"/>
    <w:rsid w:val="008F0D9F"/>
    <w:rsid w:val="008F18C1"/>
    <w:rsid w:val="008F236E"/>
    <w:rsid w:val="008F2835"/>
    <w:rsid w:val="008F28B3"/>
    <w:rsid w:val="008F29E6"/>
    <w:rsid w:val="008F2A52"/>
    <w:rsid w:val="008F2C03"/>
    <w:rsid w:val="008F2C51"/>
    <w:rsid w:val="008F2D11"/>
    <w:rsid w:val="008F2DBB"/>
    <w:rsid w:val="008F39AC"/>
    <w:rsid w:val="008F3F2B"/>
    <w:rsid w:val="008F42AF"/>
    <w:rsid w:val="008F45B6"/>
    <w:rsid w:val="008F49D8"/>
    <w:rsid w:val="008F4DA0"/>
    <w:rsid w:val="008F4F69"/>
    <w:rsid w:val="008F5044"/>
    <w:rsid w:val="008F56DE"/>
    <w:rsid w:val="008F5775"/>
    <w:rsid w:val="008F57EE"/>
    <w:rsid w:val="008F595C"/>
    <w:rsid w:val="008F5D78"/>
    <w:rsid w:val="008F5FF3"/>
    <w:rsid w:val="008F6110"/>
    <w:rsid w:val="008F6CC2"/>
    <w:rsid w:val="008F6F01"/>
    <w:rsid w:val="008F752D"/>
    <w:rsid w:val="008F7775"/>
    <w:rsid w:val="008F7947"/>
    <w:rsid w:val="008F7A5F"/>
    <w:rsid w:val="008F7C40"/>
    <w:rsid w:val="00900181"/>
    <w:rsid w:val="009001D6"/>
    <w:rsid w:val="00900220"/>
    <w:rsid w:val="00900568"/>
    <w:rsid w:val="009006A3"/>
    <w:rsid w:val="00900B3E"/>
    <w:rsid w:val="00900E8E"/>
    <w:rsid w:val="00901058"/>
    <w:rsid w:val="0090116A"/>
    <w:rsid w:val="00901478"/>
    <w:rsid w:val="009018E9"/>
    <w:rsid w:val="0090193C"/>
    <w:rsid w:val="00901AE7"/>
    <w:rsid w:val="00901CCC"/>
    <w:rsid w:val="00901D34"/>
    <w:rsid w:val="0090262D"/>
    <w:rsid w:val="00902907"/>
    <w:rsid w:val="00902C87"/>
    <w:rsid w:val="00902F1E"/>
    <w:rsid w:val="00902F88"/>
    <w:rsid w:val="0090309E"/>
    <w:rsid w:val="00903261"/>
    <w:rsid w:val="0090348A"/>
    <w:rsid w:val="00903502"/>
    <w:rsid w:val="00903569"/>
    <w:rsid w:val="00903917"/>
    <w:rsid w:val="00903BCD"/>
    <w:rsid w:val="00903BDE"/>
    <w:rsid w:val="00903C45"/>
    <w:rsid w:val="00903E82"/>
    <w:rsid w:val="00904032"/>
    <w:rsid w:val="009043BB"/>
    <w:rsid w:val="00904989"/>
    <w:rsid w:val="00904AD0"/>
    <w:rsid w:val="0090510A"/>
    <w:rsid w:val="00905356"/>
    <w:rsid w:val="0090592E"/>
    <w:rsid w:val="00905AFD"/>
    <w:rsid w:val="00905C80"/>
    <w:rsid w:val="00905D33"/>
    <w:rsid w:val="00905F20"/>
    <w:rsid w:val="00905FA8"/>
    <w:rsid w:val="00906041"/>
    <w:rsid w:val="009060D4"/>
    <w:rsid w:val="009060F2"/>
    <w:rsid w:val="00906107"/>
    <w:rsid w:val="00906181"/>
    <w:rsid w:val="009063AF"/>
    <w:rsid w:val="00906414"/>
    <w:rsid w:val="00906A04"/>
    <w:rsid w:val="00906F38"/>
    <w:rsid w:val="0090718F"/>
    <w:rsid w:val="00907222"/>
    <w:rsid w:val="009073AF"/>
    <w:rsid w:val="009075DE"/>
    <w:rsid w:val="009075EA"/>
    <w:rsid w:val="009076A8"/>
    <w:rsid w:val="00907B98"/>
    <w:rsid w:val="00907CB6"/>
    <w:rsid w:val="00907F1A"/>
    <w:rsid w:val="009100DD"/>
    <w:rsid w:val="00910D62"/>
    <w:rsid w:val="00910E35"/>
    <w:rsid w:val="00910E61"/>
    <w:rsid w:val="009111AC"/>
    <w:rsid w:val="00911299"/>
    <w:rsid w:val="009117BC"/>
    <w:rsid w:val="0091191D"/>
    <w:rsid w:val="00911FF3"/>
    <w:rsid w:val="009127FF"/>
    <w:rsid w:val="00912912"/>
    <w:rsid w:val="0091298F"/>
    <w:rsid w:val="00912A37"/>
    <w:rsid w:val="00912C16"/>
    <w:rsid w:val="00912C6F"/>
    <w:rsid w:val="009130D3"/>
    <w:rsid w:val="009134CE"/>
    <w:rsid w:val="00913D39"/>
    <w:rsid w:val="00913E58"/>
    <w:rsid w:val="00913FBF"/>
    <w:rsid w:val="0091421E"/>
    <w:rsid w:val="00914414"/>
    <w:rsid w:val="00914696"/>
    <w:rsid w:val="00914812"/>
    <w:rsid w:val="0091493D"/>
    <w:rsid w:val="009149A5"/>
    <w:rsid w:val="00914A07"/>
    <w:rsid w:val="00914B95"/>
    <w:rsid w:val="00914EB5"/>
    <w:rsid w:val="0091545F"/>
    <w:rsid w:val="00915723"/>
    <w:rsid w:val="00915C6A"/>
    <w:rsid w:val="00916196"/>
    <w:rsid w:val="00916239"/>
    <w:rsid w:val="009168CB"/>
    <w:rsid w:val="009168F5"/>
    <w:rsid w:val="00916FE8"/>
    <w:rsid w:val="0091784E"/>
    <w:rsid w:val="00917958"/>
    <w:rsid w:val="009179F4"/>
    <w:rsid w:val="00917C04"/>
    <w:rsid w:val="009201B3"/>
    <w:rsid w:val="009212D5"/>
    <w:rsid w:val="0092134B"/>
    <w:rsid w:val="009216FE"/>
    <w:rsid w:val="0092172C"/>
    <w:rsid w:val="00921BDA"/>
    <w:rsid w:val="00921D42"/>
    <w:rsid w:val="00921D8B"/>
    <w:rsid w:val="00921FB8"/>
    <w:rsid w:val="00922114"/>
    <w:rsid w:val="00922172"/>
    <w:rsid w:val="00922276"/>
    <w:rsid w:val="00922617"/>
    <w:rsid w:val="00922628"/>
    <w:rsid w:val="00922939"/>
    <w:rsid w:val="00922B0A"/>
    <w:rsid w:val="00922B91"/>
    <w:rsid w:val="00922F75"/>
    <w:rsid w:val="00922FF6"/>
    <w:rsid w:val="0092342E"/>
    <w:rsid w:val="00923590"/>
    <w:rsid w:val="009236FC"/>
    <w:rsid w:val="00923938"/>
    <w:rsid w:val="00923CEB"/>
    <w:rsid w:val="00923D4C"/>
    <w:rsid w:val="00923E71"/>
    <w:rsid w:val="0092400D"/>
    <w:rsid w:val="00924AB0"/>
    <w:rsid w:val="00924F96"/>
    <w:rsid w:val="009253A8"/>
    <w:rsid w:val="00925928"/>
    <w:rsid w:val="00925D4C"/>
    <w:rsid w:val="0092617C"/>
    <w:rsid w:val="00926558"/>
    <w:rsid w:val="0092661D"/>
    <w:rsid w:val="0092701A"/>
    <w:rsid w:val="00927385"/>
    <w:rsid w:val="009274A5"/>
    <w:rsid w:val="009274B5"/>
    <w:rsid w:val="0092783F"/>
    <w:rsid w:val="00927E8F"/>
    <w:rsid w:val="0093017A"/>
    <w:rsid w:val="00930372"/>
    <w:rsid w:val="00930D5B"/>
    <w:rsid w:val="00930DB5"/>
    <w:rsid w:val="00931174"/>
    <w:rsid w:val="00931468"/>
    <w:rsid w:val="00931558"/>
    <w:rsid w:val="009315E0"/>
    <w:rsid w:val="0093193D"/>
    <w:rsid w:val="00931E2B"/>
    <w:rsid w:val="00931F46"/>
    <w:rsid w:val="00932448"/>
    <w:rsid w:val="00932816"/>
    <w:rsid w:val="00932A4A"/>
    <w:rsid w:val="00932BC5"/>
    <w:rsid w:val="00932F4D"/>
    <w:rsid w:val="00933621"/>
    <w:rsid w:val="0093377F"/>
    <w:rsid w:val="009337C6"/>
    <w:rsid w:val="00933D97"/>
    <w:rsid w:val="00933F54"/>
    <w:rsid w:val="00934421"/>
    <w:rsid w:val="009344F9"/>
    <w:rsid w:val="00934732"/>
    <w:rsid w:val="00934788"/>
    <w:rsid w:val="009349DB"/>
    <w:rsid w:val="009349ED"/>
    <w:rsid w:val="00934B2F"/>
    <w:rsid w:val="00935261"/>
    <w:rsid w:val="009362B7"/>
    <w:rsid w:val="00936A64"/>
    <w:rsid w:val="00936B51"/>
    <w:rsid w:val="0093714E"/>
    <w:rsid w:val="00937DB1"/>
    <w:rsid w:val="00940617"/>
    <w:rsid w:val="0094083B"/>
    <w:rsid w:val="009411DE"/>
    <w:rsid w:val="0094124D"/>
    <w:rsid w:val="009413F2"/>
    <w:rsid w:val="00941983"/>
    <w:rsid w:val="00941D4F"/>
    <w:rsid w:val="00941F57"/>
    <w:rsid w:val="00942083"/>
    <w:rsid w:val="00942254"/>
    <w:rsid w:val="00942378"/>
    <w:rsid w:val="00942396"/>
    <w:rsid w:val="0094243E"/>
    <w:rsid w:val="009437A1"/>
    <w:rsid w:val="009437D5"/>
    <w:rsid w:val="009442EA"/>
    <w:rsid w:val="009447CB"/>
    <w:rsid w:val="00944833"/>
    <w:rsid w:val="00944C7D"/>
    <w:rsid w:val="00944FD7"/>
    <w:rsid w:val="00945D70"/>
    <w:rsid w:val="00945F26"/>
    <w:rsid w:val="00946070"/>
    <w:rsid w:val="00946202"/>
    <w:rsid w:val="0094650D"/>
    <w:rsid w:val="009466FB"/>
    <w:rsid w:val="00946735"/>
    <w:rsid w:val="00946979"/>
    <w:rsid w:val="00946A15"/>
    <w:rsid w:val="009471A2"/>
    <w:rsid w:val="00947768"/>
    <w:rsid w:val="00947A6D"/>
    <w:rsid w:val="00947D4E"/>
    <w:rsid w:val="0095010C"/>
    <w:rsid w:val="009505DF"/>
    <w:rsid w:val="0095071D"/>
    <w:rsid w:val="00950AED"/>
    <w:rsid w:val="00950D71"/>
    <w:rsid w:val="00950D8A"/>
    <w:rsid w:val="00950F3B"/>
    <w:rsid w:val="009510A0"/>
    <w:rsid w:val="009510DC"/>
    <w:rsid w:val="00951308"/>
    <w:rsid w:val="00951669"/>
    <w:rsid w:val="00951B23"/>
    <w:rsid w:val="00951E0B"/>
    <w:rsid w:val="00951F3B"/>
    <w:rsid w:val="00952534"/>
    <w:rsid w:val="009525F3"/>
    <w:rsid w:val="00952C62"/>
    <w:rsid w:val="00952C67"/>
    <w:rsid w:val="00952D07"/>
    <w:rsid w:val="00952D2C"/>
    <w:rsid w:val="00953977"/>
    <w:rsid w:val="00953ED1"/>
    <w:rsid w:val="0095444D"/>
    <w:rsid w:val="0095455E"/>
    <w:rsid w:val="0095461F"/>
    <w:rsid w:val="00954844"/>
    <w:rsid w:val="00954CCD"/>
    <w:rsid w:val="00954EF3"/>
    <w:rsid w:val="00954FE2"/>
    <w:rsid w:val="0095634E"/>
    <w:rsid w:val="009566FF"/>
    <w:rsid w:val="00956728"/>
    <w:rsid w:val="009569ED"/>
    <w:rsid w:val="00957996"/>
    <w:rsid w:val="00957A71"/>
    <w:rsid w:val="00957BE8"/>
    <w:rsid w:val="00957EF1"/>
    <w:rsid w:val="00960690"/>
    <w:rsid w:val="00960D7A"/>
    <w:rsid w:val="00960D85"/>
    <w:rsid w:val="00960DBE"/>
    <w:rsid w:val="00961467"/>
    <w:rsid w:val="0096168E"/>
    <w:rsid w:val="00961718"/>
    <w:rsid w:val="00961793"/>
    <w:rsid w:val="009618AA"/>
    <w:rsid w:val="00961C71"/>
    <w:rsid w:val="009620E7"/>
    <w:rsid w:val="0096222B"/>
    <w:rsid w:val="0096224A"/>
    <w:rsid w:val="00962283"/>
    <w:rsid w:val="00962707"/>
    <w:rsid w:val="009629BE"/>
    <w:rsid w:val="00962D48"/>
    <w:rsid w:val="00962E15"/>
    <w:rsid w:val="00962E50"/>
    <w:rsid w:val="00962F5A"/>
    <w:rsid w:val="0096305D"/>
    <w:rsid w:val="009630DB"/>
    <w:rsid w:val="009636A6"/>
    <w:rsid w:val="00963778"/>
    <w:rsid w:val="00963AFC"/>
    <w:rsid w:val="00963DC8"/>
    <w:rsid w:val="00963F71"/>
    <w:rsid w:val="00964161"/>
    <w:rsid w:val="009647A7"/>
    <w:rsid w:val="00964823"/>
    <w:rsid w:val="00964B09"/>
    <w:rsid w:val="00965277"/>
    <w:rsid w:val="00965B51"/>
    <w:rsid w:val="00965D0B"/>
    <w:rsid w:val="00966352"/>
    <w:rsid w:val="009664FF"/>
    <w:rsid w:val="00966897"/>
    <w:rsid w:val="00966B28"/>
    <w:rsid w:val="00966DC2"/>
    <w:rsid w:val="009676A6"/>
    <w:rsid w:val="009676AD"/>
    <w:rsid w:val="00967F89"/>
    <w:rsid w:val="009702D4"/>
    <w:rsid w:val="009707A4"/>
    <w:rsid w:val="009709A3"/>
    <w:rsid w:val="00970D3A"/>
    <w:rsid w:val="00970D85"/>
    <w:rsid w:val="00971076"/>
    <w:rsid w:val="00971331"/>
    <w:rsid w:val="0097158C"/>
    <w:rsid w:val="00971967"/>
    <w:rsid w:val="009719B9"/>
    <w:rsid w:val="00971C27"/>
    <w:rsid w:val="00971C47"/>
    <w:rsid w:val="00971D5A"/>
    <w:rsid w:val="00971F93"/>
    <w:rsid w:val="009720D4"/>
    <w:rsid w:val="009720F7"/>
    <w:rsid w:val="00972290"/>
    <w:rsid w:val="0097237D"/>
    <w:rsid w:val="00972B8A"/>
    <w:rsid w:val="00972C21"/>
    <w:rsid w:val="00973015"/>
    <w:rsid w:val="009731D7"/>
    <w:rsid w:val="00973905"/>
    <w:rsid w:val="00973BDA"/>
    <w:rsid w:val="00973E31"/>
    <w:rsid w:val="00974329"/>
    <w:rsid w:val="0097444F"/>
    <w:rsid w:val="00974787"/>
    <w:rsid w:val="009747FF"/>
    <w:rsid w:val="00974A81"/>
    <w:rsid w:val="00974B5C"/>
    <w:rsid w:val="00974B89"/>
    <w:rsid w:val="00974F05"/>
    <w:rsid w:val="00974F14"/>
    <w:rsid w:val="00974FF6"/>
    <w:rsid w:val="00975D31"/>
    <w:rsid w:val="0097632F"/>
    <w:rsid w:val="00976AD5"/>
    <w:rsid w:val="00976E15"/>
    <w:rsid w:val="00976E31"/>
    <w:rsid w:val="00976F41"/>
    <w:rsid w:val="00976FB3"/>
    <w:rsid w:val="00977194"/>
    <w:rsid w:val="0097729E"/>
    <w:rsid w:val="0097732C"/>
    <w:rsid w:val="00977776"/>
    <w:rsid w:val="0097793A"/>
    <w:rsid w:val="00977B40"/>
    <w:rsid w:val="00977EA3"/>
    <w:rsid w:val="009801AF"/>
    <w:rsid w:val="0098044D"/>
    <w:rsid w:val="00980613"/>
    <w:rsid w:val="00980618"/>
    <w:rsid w:val="00980A99"/>
    <w:rsid w:val="00980B67"/>
    <w:rsid w:val="00980D8C"/>
    <w:rsid w:val="00981626"/>
    <w:rsid w:val="009817B9"/>
    <w:rsid w:val="00981932"/>
    <w:rsid w:val="00982283"/>
    <w:rsid w:val="00982601"/>
    <w:rsid w:val="00982687"/>
    <w:rsid w:val="009826B8"/>
    <w:rsid w:val="0098307B"/>
    <w:rsid w:val="0098330A"/>
    <w:rsid w:val="009833CC"/>
    <w:rsid w:val="00983732"/>
    <w:rsid w:val="00983BAA"/>
    <w:rsid w:val="00983D72"/>
    <w:rsid w:val="00983DEA"/>
    <w:rsid w:val="00984C90"/>
    <w:rsid w:val="00984DE1"/>
    <w:rsid w:val="00984E4D"/>
    <w:rsid w:val="00985645"/>
    <w:rsid w:val="009858E5"/>
    <w:rsid w:val="00985A41"/>
    <w:rsid w:val="00985A50"/>
    <w:rsid w:val="00985EE2"/>
    <w:rsid w:val="00986564"/>
    <w:rsid w:val="00987C38"/>
    <w:rsid w:val="00987DFB"/>
    <w:rsid w:val="00987E47"/>
    <w:rsid w:val="00987F18"/>
    <w:rsid w:val="00987F8B"/>
    <w:rsid w:val="0099013F"/>
    <w:rsid w:val="0099047C"/>
    <w:rsid w:val="0099090C"/>
    <w:rsid w:val="00990952"/>
    <w:rsid w:val="00990C6E"/>
    <w:rsid w:val="00991C11"/>
    <w:rsid w:val="009921F6"/>
    <w:rsid w:val="009926AE"/>
    <w:rsid w:val="009929E2"/>
    <w:rsid w:val="009929ED"/>
    <w:rsid w:val="00992E8B"/>
    <w:rsid w:val="0099380A"/>
    <w:rsid w:val="00993CF9"/>
    <w:rsid w:val="00993EDF"/>
    <w:rsid w:val="009941C6"/>
    <w:rsid w:val="009942C6"/>
    <w:rsid w:val="00994CA2"/>
    <w:rsid w:val="0099536A"/>
    <w:rsid w:val="0099544E"/>
    <w:rsid w:val="00995654"/>
    <w:rsid w:val="00996141"/>
    <w:rsid w:val="009962E3"/>
    <w:rsid w:val="0099647F"/>
    <w:rsid w:val="009964F4"/>
    <w:rsid w:val="009968B0"/>
    <w:rsid w:val="00996AC3"/>
    <w:rsid w:val="00996F6F"/>
    <w:rsid w:val="00997060"/>
    <w:rsid w:val="009970E0"/>
    <w:rsid w:val="0099763C"/>
    <w:rsid w:val="00997708"/>
    <w:rsid w:val="00997810"/>
    <w:rsid w:val="00997827"/>
    <w:rsid w:val="00997BFB"/>
    <w:rsid w:val="00997E0D"/>
    <w:rsid w:val="0099AFF5"/>
    <w:rsid w:val="009A009B"/>
    <w:rsid w:val="009A017D"/>
    <w:rsid w:val="009A01BD"/>
    <w:rsid w:val="009A01DB"/>
    <w:rsid w:val="009A041F"/>
    <w:rsid w:val="009A0566"/>
    <w:rsid w:val="009A0658"/>
    <w:rsid w:val="009A077D"/>
    <w:rsid w:val="009A0A0C"/>
    <w:rsid w:val="009A0B24"/>
    <w:rsid w:val="009A0B9A"/>
    <w:rsid w:val="009A0C50"/>
    <w:rsid w:val="009A0D5D"/>
    <w:rsid w:val="009A118A"/>
    <w:rsid w:val="009A135D"/>
    <w:rsid w:val="009A13A8"/>
    <w:rsid w:val="009A2127"/>
    <w:rsid w:val="009A22CB"/>
    <w:rsid w:val="009A26EE"/>
    <w:rsid w:val="009A285B"/>
    <w:rsid w:val="009A2942"/>
    <w:rsid w:val="009A2A3E"/>
    <w:rsid w:val="009A2A8B"/>
    <w:rsid w:val="009A33C9"/>
    <w:rsid w:val="009A34B9"/>
    <w:rsid w:val="009A3690"/>
    <w:rsid w:val="009A3E7E"/>
    <w:rsid w:val="009A40BF"/>
    <w:rsid w:val="009A4322"/>
    <w:rsid w:val="009A44C3"/>
    <w:rsid w:val="009A44E6"/>
    <w:rsid w:val="009A4500"/>
    <w:rsid w:val="009A5021"/>
    <w:rsid w:val="009A50B3"/>
    <w:rsid w:val="009A52C2"/>
    <w:rsid w:val="009A5571"/>
    <w:rsid w:val="009A58C8"/>
    <w:rsid w:val="009A5A52"/>
    <w:rsid w:val="009A68FB"/>
    <w:rsid w:val="009A6A65"/>
    <w:rsid w:val="009A6B65"/>
    <w:rsid w:val="009A7056"/>
    <w:rsid w:val="009A7422"/>
    <w:rsid w:val="009A74EA"/>
    <w:rsid w:val="009A76D4"/>
    <w:rsid w:val="009A777F"/>
    <w:rsid w:val="009A7A23"/>
    <w:rsid w:val="009A7C8E"/>
    <w:rsid w:val="009B0076"/>
    <w:rsid w:val="009B00D0"/>
    <w:rsid w:val="009B00D6"/>
    <w:rsid w:val="009B01ED"/>
    <w:rsid w:val="009B02C3"/>
    <w:rsid w:val="009B02F7"/>
    <w:rsid w:val="009B0334"/>
    <w:rsid w:val="009B06A3"/>
    <w:rsid w:val="009B0972"/>
    <w:rsid w:val="009B0C22"/>
    <w:rsid w:val="009B0D73"/>
    <w:rsid w:val="009B19AD"/>
    <w:rsid w:val="009B1DF8"/>
    <w:rsid w:val="009B23A7"/>
    <w:rsid w:val="009B23AE"/>
    <w:rsid w:val="009B243E"/>
    <w:rsid w:val="009B2577"/>
    <w:rsid w:val="009B2DB5"/>
    <w:rsid w:val="009B2EE1"/>
    <w:rsid w:val="009B2F8B"/>
    <w:rsid w:val="009B31E8"/>
    <w:rsid w:val="009B3499"/>
    <w:rsid w:val="009B3889"/>
    <w:rsid w:val="009B394B"/>
    <w:rsid w:val="009B3C99"/>
    <w:rsid w:val="009B419E"/>
    <w:rsid w:val="009B43A6"/>
    <w:rsid w:val="009B43FF"/>
    <w:rsid w:val="009B49C4"/>
    <w:rsid w:val="009B4D9A"/>
    <w:rsid w:val="009B4F3C"/>
    <w:rsid w:val="009B504C"/>
    <w:rsid w:val="009B52F0"/>
    <w:rsid w:val="009B5824"/>
    <w:rsid w:val="009B5B8A"/>
    <w:rsid w:val="009B5C58"/>
    <w:rsid w:val="009B5E69"/>
    <w:rsid w:val="009B6051"/>
    <w:rsid w:val="009B62FF"/>
    <w:rsid w:val="009B69D8"/>
    <w:rsid w:val="009B6A25"/>
    <w:rsid w:val="009B6BD6"/>
    <w:rsid w:val="009B6BF5"/>
    <w:rsid w:val="009B7146"/>
    <w:rsid w:val="009B71C2"/>
    <w:rsid w:val="009B7346"/>
    <w:rsid w:val="009B7359"/>
    <w:rsid w:val="009B74C0"/>
    <w:rsid w:val="009B776D"/>
    <w:rsid w:val="009B79FF"/>
    <w:rsid w:val="009B7BBA"/>
    <w:rsid w:val="009C005A"/>
    <w:rsid w:val="009C043A"/>
    <w:rsid w:val="009C04BC"/>
    <w:rsid w:val="009C0651"/>
    <w:rsid w:val="009C079A"/>
    <w:rsid w:val="009C0F87"/>
    <w:rsid w:val="009C119C"/>
    <w:rsid w:val="009C1458"/>
    <w:rsid w:val="009C1B05"/>
    <w:rsid w:val="009C1BA6"/>
    <w:rsid w:val="009C1F5F"/>
    <w:rsid w:val="009C1FA8"/>
    <w:rsid w:val="009C22EB"/>
    <w:rsid w:val="009C2459"/>
    <w:rsid w:val="009C29B1"/>
    <w:rsid w:val="009C2D12"/>
    <w:rsid w:val="009C2ED1"/>
    <w:rsid w:val="009C3290"/>
    <w:rsid w:val="009C3321"/>
    <w:rsid w:val="009C3401"/>
    <w:rsid w:val="009C34B7"/>
    <w:rsid w:val="009C34F0"/>
    <w:rsid w:val="009C36BF"/>
    <w:rsid w:val="009C3824"/>
    <w:rsid w:val="009C3E30"/>
    <w:rsid w:val="009C3F7E"/>
    <w:rsid w:val="009C4032"/>
    <w:rsid w:val="009C439F"/>
    <w:rsid w:val="009C43C2"/>
    <w:rsid w:val="009C4486"/>
    <w:rsid w:val="009C4562"/>
    <w:rsid w:val="009C45E4"/>
    <w:rsid w:val="009C4B2E"/>
    <w:rsid w:val="009C4B3B"/>
    <w:rsid w:val="009C4DF3"/>
    <w:rsid w:val="009C5347"/>
    <w:rsid w:val="009C5404"/>
    <w:rsid w:val="009C55F4"/>
    <w:rsid w:val="009C59F1"/>
    <w:rsid w:val="009C619B"/>
    <w:rsid w:val="009C64E6"/>
    <w:rsid w:val="009C667F"/>
    <w:rsid w:val="009C6CCB"/>
    <w:rsid w:val="009C6F24"/>
    <w:rsid w:val="009C73F6"/>
    <w:rsid w:val="009C7616"/>
    <w:rsid w:val="009C7794"/>
    <w:rsid w:val="009C78B5"/>
    <w:rsid w:val="009C7936"/>
    <w:rsid w:val="009C793E"/>
    <w:rsid w:val="009C7A3B"/>
    <w:rsid w:val="009C7FFD"/>
    <w:rsid w:val="009D0A09"/>
    <w:rsid w:val="009D0DE2"/>
    <w:rsid w:val="009D1081"/>
    <w:rsid w:val="009D11DB"/>
    <w:rsid w:val="009D1848"/>
    <w:rsid w:val="009D1AD8"/>
    <w:rsid w:val="009D1CD8"/>
    <w:rsid w:val="009D1D10"/>
    <w:rsid w:val="009D1FD0"/>
    <w:rsid w:val="009D2012"/>
    <w:rsid w:val="009D2698"/>
    <w:rsid w:val="009D2775"/>
    <w:rsid w:val="009D2AF9"/>
    <w:rsid w:val="009D2C1C"/>
    <w:rsid w:val="009D3032"/>
    <w:rsid w:val="009D3249"/>
    <w:rsid w:val="009D3495"/>
    <w:rsid w:val="009D349F"/>
    <w:rsid w:val="009D41AF"/>
    <w:rsid w:val="009D44B7"/>
    <w:rsid w:val="009D4745"/>
    <w:rsid w:val="009D482E"/>
    <w:rsid w:val="009D492A"/>
    <w:rsid w:val="009D4A02"/>
    <w:rsid w:val="009D4BDC"/>
    <w:rsid w:val="009D4D2E"/>
    <w:rsid w:val="009D4DA7"/>
    <w:rsid w:val="009D542B"/>
    <w:rsid w:val="009D5473"/>
    <w:rsid w:val="009D5589"/>
    <w:rsid w:val="009D5823"/>
    <w:rsid w:val="009D5A3D"/>
    <w:rsid w:val="009D5CE0"/>
    <w:rsid w:val="009D624E"/>
    <w:rsid w:val="009D68A9"/>
    <w:rsid w:val="009D6D84"/>
    <w:rsid w:val="009D6EE1"/>
    <w:rsid w:val="009D72C7"/>
    <w:rsid w:val="009D733E"/>
    <w:rsid w:val="009D75DB"/>
    <w:rsid w:val="009D776E"/>
    <w:rsid w:val="009D79DC"/>
    <w:rsid w:val="009D7EFA"/>
    <w:rsid w:val="009E0185"/>
    <w:rsid w:val="009E0496"/>
    <w:rsid w:val="009E117F"/>
    <w:rsid w:val="009E11D5"/>
    <w:rsid w:val="009E15FB"/>
    <w:rsid w:val="009E1A8E"/>
    <w:rsid w:val="009E1C45"/>
    <w:rsid w:val="009E1EAB"/>
    <w:rsid w:val="009E1FDE"/>
    <w:rsid w:val="009E2207"/>
    <w:rsid w:val="009E228D"/>
    <w:rsid w:val="009E251D"/>
    <w:rsid w:val="009E2835"/>
    <w:rsid w:val="009E28D2"/>
    <w:rsid w:val="009E2B83"/>
    <w:rsid w:val="009E30AF"/>
    <w:rsid w:val="009E33C9"/>
    <w:rsid w:val="009E3407"/>
    <w:rsid w:val="009E378B"/>
    <w:rsid w:val="009E3D7C"/>
    <w:rsid w:val="009E4420"/>
    <w:rsid w:val="009E47F0"/>
    <w:rsid w:val="009E4C33"/>
    <w:rsid w:val="009E52F3"/>
    <w:rsid w:val="009E52F4"/>
    <w:rsid w:val="009E55B8"/>
    <w:rsid w:val="009E5E60"/>
    <w:rsid w:val="009E5FA8"/>
    <w:rsid w:val="009E6219"/>
    <w:rsid w:val="009E6279"/>
    <w:rsid w:val="009E6281"/>
    <w:rsid w:val="009E689E"/>
    <w:rsid w:val="009E6AAD"/>
    <w:rsid w:val="009E6AF7"/>
    <w:rsid w:val="009E6CED"/>
    <w:rsid w:val="009E71C3"/>
    <w:rsid w:val="009E73AA"/>
    <w:rsid w:val="009E75BF"/>
    <w:rsid w:val="009E75CD"/>
    <w:rsid w:val="009E772A"/>
    <w:rsid w:val="009E7802"/>
    <w:rsid w:val="009E7B4C"/>
    <w:rsid w:val="009F0151"/>
    <w:rsid w:val="009F0475"/>
    <w:rsid w:val="009F087C"/>
    <w:rsid w:val="009F0E31"/>
    <w:rsid w:val="009F0FCF"/>
    <w:rsid w:val="009F1263"/>
    <w:rsid w:val="009F160E"/>
    <w:rsid w:val="009F1E24"/>
    <w:rsid w:val="009F1F48"/>
    <w:rsid w:val="009F250B"/>
    <w:rsid w:val="009F2930"/>
    <w:rsid w:val="009F2BDB"/>
    <w:rsid w:val="009F2C63"/>
    <w:rsid w:val="009F2E1A"/>
    <w:rsid w:val="009F31E7"/>
    <w:rsid w:val="009F3745"/>
    <w:rsid w:val="009F3909"/>
    <w:rsid w:val="009F3C93"/>
    <w:rsid w:val="009F40B4"/>
    <w:rsid w:val="009F4370"/>
    <w:rsid w:val="009F4707"/>
    <w:rsid w:val="009F4827"/>
    <w:rsid w:val="009F4C39"/>
    <w:rsid w:val="009F5494"/>
    <w:rsid w:val="009F54B2"/>
    <w:rsid w:val="009F58D8"/>
    <w:rsid w:val="009F5961"/>
    <w:rsid w:val="009F630E"/>
    <w:rsid w:val="009F6982"/>
    <w:rsid w:val="009F6A7F"/>
    <w:rsid w:val="009F6FC2"/>
    <w:rsid w:val="009F7130"/>
    <w:rsid w:val="009F75B1"/>
    <w:rsid w:val="009F75B8"/>
    <w:rsid w:val="009F79CA"/>
    <w:rsid w:val="009F7A09"/>
    <w:rsid w:val="009F7BA8"/>
    <w:rsid w:val="00A00084"/>
    <w:rsid w:val="00A004BA"/>
    <w:rsid w:val="00A00900"/>
    <w:rsid w:val="00A00D53"/>
    <w:rsid w:val="00A01187"/>
    <w:rsid w:val="00A01B3E"/>
    <w:rsid w:val="00A01B72"/>
    <w:rsid w:val="00A01CAA"/>
    <w:rsid w:val="00A02C19"/>
    <w:rsid w:val="00A02C6F"/>
    <w:rsid w:val="00A033A4"/>
    <w:rsid w:val="00A03515"/>
    <w:rsid w:val="00A035B6"/>
    <w:rsid w:val="00A03A20"/>
    <w:rsid w:val="00A04337"/>
    <w:rsid w:val="00A04A85"/>
    <w:rsid w:val="00A04E6D"/>
    <w:rsid w:val="00A0523C"/>
    <w:rsid w:val="00A05594"/>
    <w:rsid w:val="00A057CC"/>
    <w:rsid w:val="00A05824"/>
    <w:rsid w:val="00A05865"/>
    <w:rsid w:val="00A0593C"/>
    <w:rsid w:val="00A05C62"/>
    <w:rsid w:val="00A05F07"/>
    <w:rsid w:val="00A061FD"/>
    <w:rsid w:val="00A06593"/>
    <w:rsid w:val="00A069B4"/>
    <w:rsid w:val="00A07103"/>
    <w:rsid w:val="00A077F7"/>
    <w:rsid w:val="00A0791C"/>
    <w:rsid w:val="00A07BB7"/>
    <w:rsid w:val="00A07C73"/>
    <w:rsid w:val="00A07E76"/>
    <w:rsid w:val="00A1033C"/>
    <w:rsid w:val="00A10433"/>
    <w:rsid w:val="00A1077F"/>
    <w:rsid w:val="00A107E6"/>
    <w:rsid w:val="00A10C72"/>
    <w:rsid w:val="00A11426"/>
    <w:rsid w:val="00A115C3"/>
    <w:rsid w:val="00A11708"/>
    <w:rsid w:val="00A12817"/>
    <w:rsid w:val="00A13330"/>
    <w:rsid w:val="00A134BE"/>
    <w:rsid w:val="00A137A6"/>
    <w:rsid w:val="00A1396F"/>
    <w:rsid w:val="00A13CCA"/>
    <w:rsid w:val="00A13D19"/>
    <w:rsid w:val="00A140BA"/>
    <w:rsid w:val="00A14315"/>
    <w:rsid w:val="00A143BE"/>
    <w:rsid w:val="00A143C4"/>
    <w:rsid w:val="00A14501"/>
    <w:rsid w:val="00A14613"/>
    <w:rsid w:val="00A14951"/>
    <w:rsid w:val="00A15090"/>
    <w:rsid w:val="00A15187"/>
    <w:rsid w:val="00A15215"/>
    <w:rsid w:val="00A15452"/>
    <w:rsid w:val="00A156BA"/>
    <w:rsid w:val="00A16420"/>
    <w:rsid w:val="00A16517"/>
    <w:rsid w:val="00A1675E"/>
    <w:rsid w:val="00A167B4"/>
    <w:rsid w:val="00A16BB1"/>
    <w:rsid w:val="00A16F52"/>
    <w:rsid w:val="00A17335"/>
    <w:rsid w:val="00A173A7"/>
    <w:rsid w:val="00A174CF"/>
    <w:rsid w:val="00A17684"/>
    <w:rsid w:val="00A177F8"/>
    <w:rsid w:val="00A17910"/>
    <w:rsid w:val="00A179CC"/>
    <w:rsid w:val="00A17CF5"/>
    <w:rsid w:val="00A17F83"/>
    <w:rsid w:val="00A200A0"/>
    <w:rsid w:val="00A2025B"/>
    <w:rsid w:val="00A203CC"/>
    <w:rsid w:val="00A20433"/>
    <w:rsid w:val="00A2087E"/>
    <w:rsid w:val="00A208BE"/>
    <w:rsid w:val="00A208C8"/>
    <w:rsid w:val="00A208E8"/>
    <w:rsid w:val="00A208EF"/>
    <w:rsid w:val="00A20A89"/>
    <w:rsid w:val="00A20DB4"/>
    <w:rsid w:val="00A211C3"/>
    <w:rsid w:val="00A2143F"/>
    <w:rsid w:val="00A21828"/>
    <w:rsid w:val="00A21884"/>
    <w:rsid w:val="00A2188F"/>
    <w:rsid w:val="00A21C7D"/>
    <w:rsid w:val="00A2269D"/>
    <w:rsid w:val="00A22803"/>
    <w:rsid w:val="00A22816"/>
    <w:rsid w:val="00A22A1E"/>
    <w:rsid w:val="00A22D12"/>
    <w:rsid w:val="00A22D34"/>
    <w:rsid w:val="00A22E45"/>
    <w:rsid w:val="00A22F4D"/>
    <w:rsid w:val="00A22FEF"/>
    <w:rsid w:val="00A23A7F"/>
    <w:rsid w:val="00A23AD2"/>
    <w:rsid w:val="00A23C86"/>
    <w:rsid w:val="00A24111"/>
    <w:rsid w:val="00A24367"/>
    <w:rsid w:val="00A2437E"/>
    <w:rsid w:val="00A244FD"/>
    <w:rsid w:val="00A24849"/>
    <w:rsid w:val="00A24898"/>
    <w:rsid w:val="00A24A5C"/>
    <w:rsid w:val="00A252EE"/>
    <w:rsid w:val="00A25385"/>
    <w:rsid w:val="00A254FF"/>
    <w:rsid w:val="00A2594C"/>
    <w:rsid w:val="00A25A1B"/>
    <w:rsid w:val="00A25AEC"/>
    <w:rsid w:val="00A25C65"/>
    <w:rsid w:val="00A25E7F"/>
    <w:rsid w:val="00A26130"/>
    <w:rsid w:val="00A26630"/>
    <w:rsid w:val="00A26C0B"/>
    <w:rsid w:val="00A27304"/>
    <w:rsid w:val="00A27A8D"/>
    <w:rsid w:val="00A27B0D"/>
    <w:rsid w:val="00A27D39"/>
    <w:rsid w:val="00A27EF3"/>
    <w:rsid w:val="00A302B0"/>
    <w:rsid w:val="00A30354"/>
    <w:rsid w:val="00A3058F"/>
    <w:rsid w:val="00A3095F"/>
    <w:rsid w:val="00A30F08"/>
    <w:rsid w:val="00A31430"/>
    <w:rsid w:val="00A3156F"/>
    <w:rsid w:val="00A3176B"/>
    <w:rsid w:val="00A31A81"/>
    <w:rsid w:val="00A32055"/>
    <w:rsid w:val="00A322EC"/>
    <w:rsid w:val="00A32403"/>
    <w:rsid w:val="00A33116"/>
    <w:rsid w:val="00A334AC"/>
    <w:rsid w:val="00A334AD"/>
    <w:rsid w:val="00A336C6"/>
    <w:rsid w:val="00A33736"/>
    <w:rsid w:val="00A337CE"/>
    <w:rsid w:val="00A33AE6"/>
    <w:rsid w:val="00A33FA9"/>
    <w:rsid w:val="00A34028"/>
    <w:rsid w:val="00A34224"/>
    <w:rsid w:val="00A34489"/>
    <w:rsid w:val="00A34537"/>
    <w:rsid w:val="00A3466C"/>
    <w:rsid w:val="00A34CE4"/>
    <w:rsid w:val="00A34E88"/>
    <w:rsid w:val="00A34F1F"/>
    <w:rsid w:val="00A350D6"/>
    <w:rsid w:val="00A3528A"/>
    <w:rsid w:val="00A3543E"/>
    <w:rsid w:val="00A36015"/>
    <w:rsid w:val="00A36828"/>
    <w:rsid w:val="00A3687B"/>
    <w:rsid w:val="00A369CB"/>
    <w:rsid w:val="00A36BF0"/>
    <w:rsid w:val="00A36FC8"/>
    <w:rsid w:val="00A370C9"/>
    <w:rsid w:val="00A370F8"/>
    <w:rsid w:val="00A37D0B"/>
    <w:rsid w:val="00A37E16"/>
    <w:rsid w:val="00A37EA6"/>
    <w:rsid w:val="00A401C5"/>
    <w:rsid w:val="00A402BA"/>
    <w:rsid w:val="00A403F1"/>
    <w:rsid w:val="00A40C3C"/>
    <w:rsid w:val="00A40CA8"/>
    <w:rsid w:val="00A40EAA"/>
    <w:rsid w:val="00A40F92"/>
    <w:rsid w:val="00A410C2"/>
    <w:rsid w:val="00A4151F"/>
    <w:rsid w:val="00A4176A"/>
    <w:rsid w:val="00A418FF"/>
    <w:rsid w:val="00A41933"/>
    <w:rsid w:val="00A41C51"/>
    <w:rsid w:val="00A41CF9"/>
    <w:rsid w:val="00A42007"/>
    <w:rsid w:val="00A42849"/>
    <w:rsid w:val="00A42B4E"/>
    <w:rsid w:val="00A42B99"/>
    <w:rsid w:val="00A42D87"/>
    <w:rsid w:val="00A430E0"/>
    <w:rsid w:val="00A436DC"/>
    <w:rsid w:val="00A437B3"/>
    <w:rsid w:val="00A4399E"/>
    <w:rsid w:val="00A44040"/>
    <w:rsid w:val="00A441E9"/>
    <w:rsid w:val="00A4448C"/>
    <w:rsid w:val="00A4451C"/>
    <w:rsid w:val="00A44726"/>
    <w:rsid w:val="00A448B7"/>
    <w:rsid w:val="00A44BC2"/>
    <w:rsid w:val="00A44F0E"/>
    <w:rsid w:val="00A44F60"/>
    <w:rsid w:val="00A4538A"/>
    <w:rsid w:val="00A45679"/>
    <w:rsid w:val="00A4595D"/>
    <w:rsid w:val="00A465AF"/>
    <w:rsid w:val="00A46651"/>
    <w:rsid w:val="00A46C9B"/>
    <w:rsid w:val="00A46E21"/>
    <w:rsid w:val="00A477A2"/>
    <w:rsid w:val="00A479CA"/>
    <w:rsid w:val="00A47C92"/>
    <w:rsid w:val="00A47C97"/>
    <w:rsid w:val="00A47CAB"/>
    <w:rsid w:val="00A47CF7"/>
    <w:rsid w:val="00A47E41"/>
    <w:rsid w:val="00A5042C"/>
    <w:rsid w:val="00A506C4"/>
    <w:rsid w:val="00A507DB"/>
    <w:rsid w:val="00A50975"/>
    <w:rsid w:val="00A50A07"/>
    <w:rsid w:val="00A50B53"/>
    <w:rsid w:val="00A50EAA"/>
    <w:rsid w:val="00A51024"/>
    <w:rsid w:val="00A51081"/>
    <w:rsid w:val="00A510FB"/>
    <w:rsid w:val="00A513D6"/>
    <w:rsid w:val="00A51490"/>
    <w:rsid w:val="00A5174E"/>
    <w:rsid w:val="00A51FF4"/>
    <w:rsid w:val="00A52E1C"/>
    <w:rsid w:val="00A5315D"/>
    <w:rsid w:val="00A532A5"/>
    <w:rsid w:val="00A5350D"/>
    <w:rsid w:val="00A535EA"/>
    <w:rsid w:val="00A535EF"/>
    <w:rsid w:val="00A5363C"/>
    <w:rsid w:val="00A53BE0"/>
    <w:rsid w:val="00A53C3F"/>
    <w:rsid w:val="00A53EDA"/>
    <w:rsid w:val="00A53F54"/>
    <w:rsid w:val="00A53FB7"/>
    <w:rsid w:val="00A54118"/>
    <w:rsid w:val="00A5419D"/>
    <w:rsid w:val="00A543F2"/>
    <w:rsid w:val="00A54AAD"/>
    <w:rsid w:val="00A54F7A"/>
    <w:rsid w:val="00A55109"/>
    <w:rsid w:val="00A5519A"/>
    <w:rsid w:val="00A55634"/>
    <w:rsid w:val="00A558EC"/>
    <w:rsid w:val="00A55A1C"/>
    <w:rsid w:val="00A567C6"/>
    <w:rsid w:val="00A56A8A"/>
    <w:rsid w:val="00A56B61"/>
    <w:rsid w:val="00A56C27"/>
    <w:rsid w:val="00A56D17"/>
    <w:rsid w:val="00A56E4C"/>
    <w:rsid w:val="00A57585"/>
    <w:rsid w:val="00A57799"/>
    <w:rsid w:val="00A5782D"/>
    <w:rsid w:val="00A5789A"/>
    <w:rsid w:val="00A579BA"/>
    <w:rsid w:val="00A57AAA"/>
    <w:rsid w:val="00A57EDC"/>
    <w:rsid w:val="00A5D629"/>
    <w:rsid w:val="00A60022"/>
    <w:rsid w:val="00A60216"/>
    <w:rsid w:val="00A60439"/>
    <w:rsid w:val="00A605A7"/>
    <w:rsid w:val="00A60B6F"/>
    <w:rsid w:val="00A60D53"/>
    <w:rsid w:val="00A6158D"/>
    <w:rsid w:val="00A615AC"/>
    <w:rsid w:val="00A61C0C"/>
    <w:rsid w:val="00A61FED"/>
    <w:rsid w:val="00A62048"/>
    <w:rsid w:val="00A62109"/>
    <w:rsid w:val="00A627AF"/>
    <w:rsid w:val="00A62855"/>
    <w:rsid w:val="00A63592"/>
    <w:rsid w:val="00A637AD"/>
    <w:rsid w:val="00A63AA0"/>
    <w:rsid w:val="00A63B7C"/>
    <w:rsid w:val="00A63DA9"/>
    <w:rsid w:val="00A63EDE"/>
    <w:rsid w:val="00A63FCA"/>
    <w:rsid w:val="00A64414"/>
    <w:rsid w:val="00A645A8"/>
    <w:rsid w:val="00A64B2E"/>
    <w:rsid w:val="00A64C93"/>
    <w:rsid w:val="00A64D53"/>
    <w:rsid w:val="00A650EE"/>
    <w:rsid w:val="00A65102"/>
    <w:rsid w:val="00A65146"/>
    <w:rsid w:val="00A65C41"/>
    <w:rsid w:val="00A66183"/>
    <w:rsid w:val="00A66290"/>
    <w:rsid w:val="00A66335"/>
    <w:rsid w:val="00A6695E"/>
    <w:rsid w:val="00A66E17"/>
    <w:rsid w:val="00A673A7"/>
    <w:rsid w:val="00A674A0"/>
    <w:rsid w:val="00A67753"/>
    <w:rsid w:val="00A67B4B"/>
    <w:rsid w:val="00A6DA0A"/>
    <w:rsid w:val="00A703C2"/>
    <w:rsid w:val="00A7077E"/>
    <w:rsid w:val="00A707E7"/>
    <w:rsid w:val="00A70824"/>
    <w:rsid w:val="00A70856"/>
    <w:rsid w:val="00A7090C"/>
    <w:rsid w:val="00A70CEE"/>
    <w:rsid w:val="00A714A0"/>
    <w:rsid w:val="00A71598"/>
    <w:rsid w:val="00A717C9"/>
    <w:rsid w:val="00A718D0"/>
    <w:rsid w:val="00A71A16"/>
    <w:rsid w:val="00A71C36"/>
    <w:rsid w:val="00A71D62"/>
    <w:rsid w:val="00A72295"/>
    <w:rsid w:val="00A722EE"/>
    <w:rsid w:val="00A72962"/>
    <w:rsid w:val="00A72BA3"/>
    <w:rsid w:val="00A731AF"/>
    <w:rsid w:val="00A731C5"/>
    <w:rsid w:val="00A73344"/>
    <w:rsid w:val="00A73A17"/>
    <w:rsid w:val="00A73FFA"/>
    <w:rsid w:val="00A742DF"/>
    <w:rsid w:val="00A7433F"/>
    <w:rsid w:val="00A744F5"/>
    <w:rsid w:val="00A74783"/>
    <w:rsid w:val="00A7478A"/>
    <w:rsid w:val="00A74DD3"/>
    <w:rsid w:val="00A74E24"/>
    <w:rsid w:val="00A74E98"/>
    <w:rsid w:val="00A7506E"/>
    <w:rsid w:val="00A75387"/>
    <w:rsid w:val="00A755A2"/>
    <w:rsid w:val="00A75F1E"/>
    <w:rsid w:val="00A76A9C"/>
    <w:rsid w:val="00A76B4A"/>
    <w:rsid w:val="00A76D40"/>
    <w:rsid w:val="00A76F1C"/>
    <w:rsid w:val="00A77626"/>
    <w:rsid w:val="00A77A0E"/>
    <w:rsid w:val="00A77AA6"/>
    <w:rsid w:val="00A8029B"/>
    <w:rsid w:val="00A8046A"/>
    <w:rsid w:val="00A80521"/>
    <w:rsid w:val="00A80659"/>
    <w:rsid w:val="00A80712"/>
    <w:rsid w:val="00A809A1"/>
    <w:rsid w:val="00A80BD0"/>
    <w:rsid w:val="00A80E2A"/>
    <w:rsid w:val="00A80E42"/>
    <w:rsid w:val="00A8143A"/>
    <w:rsid w:val="00A81940"/>
    <w:rsid w:val="00A81C21"/>
    <w:rsid w:val="00A82347"/>
    <w:rsid w:val="00A8246E"/>
    <w:rsid w:val="00A824BC"/>
    <w:rsid w:val="00A829D8"/>
    <w:rsid w:val="00A82BA4"/>
    <w:rsid w:val="00A82EBE"/>
    <w:rsid w:val="00A83749"/>
    <w:rsid w:val="00A839FE"/>
    <w:rsid w:val="00A83DD5"/>
    <w:rsid w:val="00A84017"/>
    <w:rsid w:val="00A842A1"/>
    <w:rsid w:val="00A844DA"/>
    <w:rsid w:val="00A8450F"/>
    <w:rsid w:val="00A84B14"/>
    <w:rsid w:val="00A85084"/>
    <w:rsid w:val="00A85751"/>
    <w:rsid w:val="00A85C32"/>
    <w:rsid w:val="00A86118"/>
    <w:rsid w:val="00A86513"/>
    <w:rsid w:val="00A867D0"/>
    <w:rsid w:val="00A86A15"/>
    <w:rsid w:val="00A87074"/>
    <w:rsid w:val="00A90162"/>
    <w:rsid w:val="00A90417"/>
    <w:rsid w:val="00A90449"/>
    <w:rsid w:val="00A905BB"/>
    <w:rsid w:val="00A90688"/>
    <w:rsid w:val="00A9088C"/>
    <w:rsid w:val="00A9096A"/>
    <w:rsid w:val="00A90E13"/>
    <w:rsid w:val="00A90FE7"/>
    <w:rsid w:val="00A915BC"/>
    <w:rsid w:val="00A917A3"/>
    <w:rsid w:val="00A91A78"/>
    <w:rsid w:val="00A91B9D"/>
    <w:rsid w:val="00A9274D"/>
    <w:rsid w:val="00A92D23"/>
    <w:rsid w:val="00A92DDE"/>
    <w:rsid w:val="00A92E20"/>
    <w:rsid w:val="00A9309A"/>
    <w:rsid w:val="00A939F9"/>
    <w:rsid w:val="00A93AAE"/>
    <w:rsid w:val="00A943DE"/>
    <w:rsid w:val="00A95862"/>
    <w:rsid w:val="00A95DFF"/>
    <w:rsid w:val="00A95E8E"/>
    <w:rsid w:val="00A966B4"/>
    <w:rsid w:val="00A968DE"/>
    <w:rsid w:val="00A9690F"/>
    <w:rsid w:val="00A96B0D"/>
    <w:rsid w:val="00A97703"/>
    <w:rsid w:val="00A97D72"/>
    <w:rsid w:val="00AA008F"/>
    <w:rsid w:val="00AA038D"/>
    <w:rsid w:val="00AA03CF"/>
    <w:rsid w:val="00AA03ED"/>
    <w:rsid w:val="00AA0567"/>
    <w:rsid w:val="00AA05EF"/>
    <w:rsid w:val="00AA076C"/>
    <w:rsid w:val="00AA077B"/>
    <w:rsid w:val="00AA09E6"/>
    <w:rsid w:val="00AA0A10"/>
    <w:rsid w:val="00AA0D5A"/>
    <w:rsid w:val="00AA0E9C"/>
    <w:rsid w:val="00AA1889"/>
    <w:rsid w:val="00AA18CB"/>
    <w:rsid w:val="00AA193E"/>
    <w:rsid w:val="00AA1B16"/>
    <w:rsid w:val="00AA1CFD"/>
    <w:rsid w:val="00AA1DBA"/>
    <w:rsid w:val="00AA1DD0"/>
    <w:rsid w:val="00AA1F13"/>
    <w:rsid w:val="00AA25A8"/>
    <w:rsid w:val="00AA25B7"/>
    <w:rsid w:val="00AA291B"/>
    <w:rsid w:val="00AA2BD8"/>
    <w:rsid w:val="00AA2BDE"/>
    <w:rsid w:val="00AA2DC8"/>
    <w:rsid w:val="00AA35DF"/>
    <w:rsid w:val="00AA370A"/>
    <w:rsid w:val="00AA3BDF"/>
    <w:rsid w:val="00AA3C2C"/>
    <w:rsid w:val="00AA3CAD"/>
    <w:rsid w:val="00AA44E5"/>
    <w:rsid w:val="00AA44E9"/>
    <w:rsid w:val="00AA478A"/>
    <w:rsid w:val="00AA488B"/>
    <w:rsid w:val="00AA4AE2"/>
    <w:rsid w:val="00AA4BEB"/>
    <w:rsid w:val="00AA4E56"/>
    <w:rsid w:val="00AA4EE2"/>
    <w:rsid w:val="00AA50A0"/>
    <w:rsid w:val="00AA56DB"/>
    <w:rsid w:val="00AA5A12"/>
    <w:rsid w:val="00AA5D51"/>
    <w:rsid w:val="00AA6110"/>
    <w:rsid w:val="00AA63CA"/>
    <w:rsid w:val="00AA64BB"/>
    <w:rsid w:val="00AA64C4"/>
    <w:rsid w:val="00AA6862"/>
    <w:rsid w:val="00AA687A"/>
    <w:rsid w:val="00AA69D2"/>
    <w:rsid w:val="00AA6D47"/>
    <w:rsid w:val="00AA6E07"/>
    <w:rsid w:val="00AA6F96"/>
    <w:rsid w:val="00AA72FD"/>
    <w:rsid w:val="00AA754E"/>
    <w:rsid w:val="00AA7B3D"/>
    <w:rsid w:val="00AA7CA9"/>
    <w:rsid w:val="00AB027E"/>
    <w:rsid w:val="00AB06F6"/>
    <w:rsid w:val="00AB07A7"/>
    <w:rsid w:val="00AB0945"/>
    <w:rsid w:val="00AB0CA2"/>
    <w:rsid w:val="00AB0D9A"/>
    <w:rsid w:val="00AB10BA"/>
    <w:rsid w:val="00AB116A"/>
    <w:rsid w:val="00AB1273"/>
    <w:rsid w:val="00AB175C"/>
    <w:rsid w:val="00AB1769"/>
    <w:rsid w:val="00AB1B8E"/>
    <w:rsid w:val="00AB1C00"/>
    <w:rsid w:val="00AB1D46"/>
    <w:rsid w:val="00AB1DAB"/>
    <w:rsid w:val="00AB1F9E"/>
    <w:rsid w:val="00AB29E9"/>
    <w:rsid w:val="00AB2DD2"/>
    <w:rsid w:val="00AB31DD"/>
    <w:rsid w:val="00AB39CB"/>
    <w:rsid w:val="00AB405F"/>
    <w:rsid w:val="00AB477F"/>
    <w:rsid w:val="00AB4968"/>
    <w:rsid w:val="00AB4E8D"/>
    <w:rsid w:val="00AB5175"/>
    <w:rsid w:val="00AB5249"/>
    <w:rsid w:val="00AB5B98"/>
    <w:rsid w:val="00AB5E65"/>
    <w:rsid w:val="00AB6372"/>
    <w:rsid w:val="00AB70E1"/>
    <w:rsid w:val="00AB7155"/>
    <w:rsid w:val="00AB7963"/>
    <w:rsid w:val="00AB7C23"/>
    <w:rsid w:val="00AB7EB5"/>
    <w:rsid w:val="00AB7F9A"/>
    <w:rsid w:val="00AC02BA"/>
    <w:rsid w:val="00AC048D"/>
    <w:rsid w:val="00AC0576"/>
    <w:rsid w:val="00AC07BF"/>
    <w:rsid w:val="00AC0F01"/>
    <w:rsid w:val="00AC12A6"/>
    <w:rsid w:val="00AC1482"/>
    <w:rsid w:val="00AC1877"/>
    <w:rsid w:val="00AC19FA"/>
    <w:rsid w:val="00AC1B8C"/>
    <w:rsid w:val="00AC1F16"/>
    <w:rsid w:val="00AC2537"/>
    <w:rsid w:val="00AC2767"/>
    <w:rsid w:val="00AC2777"/>
    <w:rsid w:val="00AC2BED"/>
    <w:rsid w:val="00AC2C0E"/>
    <w:rsid w:val="00AC2D5D"/>
    <w:rsid w:val="00AC413A"/>
    <w:rsid w:val="00AC4CA1"/>
    <w:rsid w:val="00AC4E8A"/>
    <w:rsid w:val="00AC4F99"/>
    <w:rsid w:val="00AC5022"/>
    <w:rsid w:val="00AC51A2"/>
    <w:rsid w:val="00AC55CD"/>
    <w:rsid w:val="00AC565E"/>
    <w:rsid w:val="00AC5747"/>
    <w:rsid w:val="00AC5D63"/>
    <w:rsid w:val="00AC6015"/>
    <w:rsid w:val="00AC604A"/>
    <w:rsid w:val="00AC64BB"/>
    <w:rsid w:val="00AC6777"/>
    <w:rsid w:val="00AC6846"/>
    <w:rsid w:val="00AC68D8"/>
    <w:rsid w:val="00AC6AAA"/>
    <w:rsid w:val="00AC6B47"/>
    <w:rsid w:val="00AC6C21"/>
    <w:rsid w:val="00AC6E13"/>
    <w:rsid w:val="00AC705B"/>
    <w:rsid w:val="00AC70E4"/>
    <w:rsid w:val="00AC73AF"/>
    <w:rsid w:val="00AC73B6"/>
    <w:rsid w:val="00AC776C"/>
    <w:rsid w:val="00AD0193"/>
    <w:rsid w:val="00AD04AA"/>
    <w:rsid w:val="00AD055C"/>
    <w:rsid w:val="00AD06EC"/>
    <w:rsid w:val="00AD0791"/>
    <w:rsid w:val="00AD083D"/>
    <w:rsid w:val="00AD08BD"/>
    <w:rsid w:val="00AD0BAC"/>
    <w:rsid w:val="00AD0C09"/>
    <w:rsid w:val="00AD0DCA"/>
    <w:rsid w:val="00AD10ED"/>
    <w:rsid w:val="00AD168F"/>
    <w:rsid w:val="00AD1827"/>
    <w:rsid w:val="00AD18AC"/>
    <w:rsid w:val="00AD1E97"/>
    <w:rsid w:val="00AD204F"/>
    <w:rsid w:val="00AD206A"/>
    <w:rsid w:val="00AD2460"/>
    <w:rsid w:val="00AD28AB"/>
    <w:rsid w:val="00AD2D9B"/>
    <w:rsid w:val="00AD2DE6"/>
    <w:rsid w:val="00AD36A8"/>
    <w:rsid w:val="00AD3F41"/>
    <w:rsid w:val="00AD443A"/>
    <w:rsid w:val="00AD44FD"/>
    <w:rsid w:val="00AD4A0F"/>
    <w:rsid w:val="00AD5139"/>
    <w:rsid w:val="00AD53F2"/>
    <w:rsid w:val="00AD541F"/>
    <w:rsid w:val="00AD5589"/>
    <w:rsid w:val="00AD55D0"/>
    <w:rsid w:val="00AD5C4D"/>
    <w:rsid w:val="00AD5D34"/>
    <w:rsid w:val="00AD60C5"/>
    <w:rsid w:val="00AD6275"/>
    <w:rsid w:val="00AD671C"/>
    <w:rsid w:val="00AD67C8"/>
    <w:rsid w:val="00AD6F29"/>
    <w:rsid w:val="00AD7122"/>
    <w:rsid w:val="00AD7169"/>
    <w:rsid w:val="00AD71BE"/>
    <w:rsid w:val="00AD72BC"/>
    <w:rsid w:val="00AD74AE"/>
    <w:rsid w:val="00AD760E"/>
    <w:rsid w:val="00AD7D6A"/>
    <w:rsid w:val="00AD7E32"/>
    <w:rsid w:val="00AE06AF"/>
    <w:rsid w:val="00AE070C"/>
    <w:rsid w:val="00AE0FD6"/>
    <w:rsid w:val="00AE1179"/>
    <w:rsid w:val="00AE17F0"/>
    <w:rsid w:val="00AE1AE1"/>
    <w:rsid w:val="00AE1EF6"/>
    <w:rsid w:val="00AE2446"/>
    <w:rsid w:val="00AE2456"/>
    <w:rsid w:val="00AE2CA3"/>
    <w:rsid w:val="00AE2F67"/>
    <w:rsid w:val="00AE3475"/>
    <w:rsid w:val="00AE37EF"/>
    <w:rsid w:val="00AE3962"/>
    <w:rsid w:val="00AE3A05"/>
    <w:rsid w:val="00AE3CB1"/>
    <w:rsid w:val="00AE3CB3"/>
    <w:rsid w:val="00AE3F29"/>
    <w:rsid w:val="00AE410C"/>
    <w:rsid w:val="00AE41AB"/>
    <w:rsid w:val="00AE42DE"/>
    <w:rsid w:val="00AE44AF"/>
    <w:rsid w:val="00AE45F7"/>
    <w:rsid w:val="00AE4904"/>
    <w:rsid w:val="00AE4C91"/>
    <w:rsid w:val="00AE4DE2"/>
    <w:rsid w:val="00AE4E04"/>
    <w:rsid w:val="00AE53D2"/>
    <w:rsid w:val="00AE544B"/>
    <w:rsid w:val="00AE56BA"/>
    <w:rsid w:val="00AE575F"/>
    <w:rsid w:val="00AE5A61"/>
    <w:rsid w:val="00AE6085"/>
    <w:rsid w:val="00AE641C"/>
    <w:rsid w:val="00AE6970"/>
    <w:rsid w:val="00AE6980"/>
    <w:rsid w:val="00AE710B"/>
    <w:rsid w:val="00AE72F2"/>
    <w:rsid w:val="00AE737F"/>
    <w:rsid w:val="00AE744D"/>
    <w:rsid w:val="00AE7513"/>
    <w:rsid w:val="00AE751B"/>
    <w:rsid w:val="00AE7528"/>
    <w:rsid w:val="00AE7814"/>
    <w:rsid w:val="00AE786E"/>
    <w:rsid w:val="00AE79D5"/>
    <w:rsid w:val="00AE7A41"/>
    <w:rsid w:val="00AE7A93"/>
    <w:rsid w:val="00AE7C37"/>
    <w:rsid w:val="00AE7D2E"/>
    <w:rsid w:val="00AE7F9B"/>
    <w:rsid w:val="00AF0000"/>
    <w:rsid w:val="00AF0AB1"/>
    <w:rsid w:val="00AF0B76"/>
    <w:rsid w:val="00AF0F92"/>
    <w:rsid w:val="00AF1536"/>
    <w:rsid w:val="00AF1DEA"/>
    <w:rsid w:val="00AF1FE1"/>
    <w:rsid w:val="00AF221E"/>
    <w:rsid w:val="00AF229B"/>
    <w:rsid w:val="00AF2364"/>
    <w:rsid w:val="00AF26FA"/>
    <w:rsid w:val="00AF2861"/>
    <w:rsid w:val="00AF2A0C"/>
    <w:rsid w:val="00AF2C28"/>
    <w:rsid w:val="00AF2E57"/>
    <w:rsid w:val="00AF37BC"/>
    <w:rsid w:val="00AF3811"/>
    <w:rsid w:val="00AF385E"/>
    <w:rsid w:val="00AF39EF"/>
    <w:rsid w:val="00AF3CE2"/>
    <w:rsid w:val="00AF4314"/>
    <w:rsid w:val="00AF4D09"/>
    <w:rsid w:val="00AF4DDD"/>
    <w:rsid w:val="00AF4EAA"/>
    <w:rsid w:val="00AF50CA"/>
    <w:rsid w:val="00AF50FA"/>
    <w:rsid w:val="00AF5389"/>
    <w:rsid w:val="00AF5639"/>
    <w:rsid w:val="00AF59BD"/>
    <w:rsid w:val="00AF6257"/>
    <w:rsid w:val="00AF63A1"/>
    <w:rsid w:val="00AF63EB"/>
    <w:rsid w:val="00AF6619"/>
    <w:rsid w:val="00AF681C"/>
    <w:rsid w:val="00AF69B8"/>
    <w:rsid w:val="00AF69F6"/>
    <w:rsid w:val="00AF6AC5"/>
    <w:rsid w:val="00AF6AF2"/>
    <w:rsid w:val="00AF6B43"/>
    <w:rsid w:val="00AF6FA8"/>
    <w:rsid w:val="00AF70B0"/>
    <w:rsid w:val="00AF7230"/>
    <w:rsid w:val="00AF7328"/>
    <w:rsid w:val="00AF757A"/>
    <w:rsid w:val="00AF78EA"/>
    <w:rsid w:val="00AF7903"/>
    <w:rsid w:val="00AF7E6D"/>
    <w:rsid w:val="00AF7F98"/>
    <w:rsid w:val="00B002A5"/>
    <w:rsid w:val="00B0030E"/>
    <w:rsid w:val="00B009A1"/>
    <w:rsid w:val="00B00D28"/>
    <w:rsid w:val="00B00E1C"/>
    <w:rsid w:val="00B00F94"/>
    <w:rsid w:val="00B010D2"/>
    <w:rsid w:val="00B01318"/>
    <w:rsid w:val="00B014CC"/>
    <w:rsid w:val="00B0150B"/>
    <w:rsid w:val="00B01FB7"/>
    <w:rsid w:val="00B02141"/>
    <w:rsid w:val="00B025B5"/>
    <w:rsid w:val="00B02789"/>
    <w:rsid w:val="00B028B7"/>
    <w:rsid w:val="00B0303D"/>
    <w:rsid w:val="00B034DE"/>
    <w:rsid w:val="00B0377C"/>
    <w:rsid w:val="00B03E3C"/>
    <w:rsid w:val="00B04297"/>
    <w:rsid w:val="00B043C4"/>
    <w:rsid w:val="00B0520A"/>
    <w:rsid w:val="00B0546D"/>
    <w:rsid w:val="00B054D6"/>
    <w:rsid w:val="00B0550E"/>
    <w:rsid w:val="00B05855"/>
    <w:rsid w:val="00B058FE"/>
    <w:rsid w:val="00B059E2"/>
    <w:rsid w:val="00B05E7F"/>
    <w:rsid w:val="00B05EE8"/>
    <w:rsid w:val="00B0617B"/>
    <w:rsid w:val="00B06306"/>
    <w:rsid w:val="00B0634D"/>
    <w:rsid w:val="00B06DDC"/>
    <w:rsid w:val="00B06F25"/>
    <w:rsid w:val="00B07100"/>
    <w:rsid w:val="00B07162"/>
    <w:rsid w:val="00B077A2"/>
    <w:rsid w:val="00B07A56"/>
    <w:rsid w:val="00B1039F"/>
    <w:rsid w:val="00B103F8"/>
    <w:rsid w:val="00B1182C"/>
    <w:rsid w:val="00B11B26"/>
    <w:rsid w:val="00B11E0C"/>
    <w:rsid w:val="00B12394"/>
    <w:rsid w:val="00B126F6"/>
    <w:rsid w:val="00B12BB5"/>
    <w:rsid w:val="00B12CB5"/>
    <w:rsid w:val="00B12E72"/>
    <w:rsid w:val="00B12F13"/>
    <w:rsid w:val="00B12F89"/>
    <w:rsid w:val="00B1318C"/>
    <w:rsid w:val="00B1332F"/>
    <w:rsid w:val="00B13758"/>
    <w:rsid w:val="00B13D6B"/>
    <w:rsid w:val="00B146F0"/>
    <w:rsid w:val="00B14808"/>
    <w:rsid w:val="00B14E40"/>
    <w:rsid w:val="00B14F9F"/>
    <w:rsid w:val="00B15265"/>
    <w:rsid w:val="00B15330"/>
    <w:rsid w:val="00B1556D"/>
    <w:rsid w:val="00B15717"/>
    <w:rsid w:val="00B158F6"/>
    <w:rsid w:val="00B160A4"/>
    <w:rsid w:val="00B160CD"/>
    <w:rsid w:val="00B162DF"/>
    <w:rsid w:val="00B16916"/>
    <w:rsid w:val="00B16B1A"/>
    <w:rsid w:val="00B16D51"/>
    <w:rsid w:val="00B17147"/>
    <w:rsid w:val="00B17503"/>
    <w:rsid w:val="00B177A0"/>
    <w:rsid w:val="00B17A65"/>
    <w:rsid w:val="00B17C6E"/>
    <w:rsid w:val="00B17CCA"/>
    <w:rsid w:val="00B208A9"/>
    <w:rsid w:val="00B21203"/>
    <w:rsid w:val="00B212A8"/>
    <w:rsid w:val="00B214D9"/>
    <w:rsid w:val="00B21A8E"/>
    <w:rsid w:val="00B21B0A"/>
    <w:rsid w:val="00B21BBA"/>
    <w:rsid w:val="00B21F35"/>
    <w:rsid w:val="00B22055"/>
    <w:rsid w:val="00B222FE"/>
    <w:rsid w:val="00B223FC"/>
    <w:rsid w:val="00B22A22"/>
    <w:rsid w:val="00B22CAE"/>
    <w:rsid w:val="00B231FE"/>
    <w:rsid w:val="00B233EE"/>
    <w:rsid w:val="00B23496"/>
    <w:rsid w:val="00B234B3"/>
    <w:rsid w:val="00B23730"/>
    <w:rsid w:val="00B237F1"/>
    <w:rsid w:val="00B2389B"/>
    <w:rsid w:val="00B23912"/>
    <w:rsid w:val="00B23AA3"/>
    <w:rsid w:val="00B23B0F"/>
    <w:rsid w:val="00B23BB8"/>
    <w:rsid w:val="00B23BEC"/>
    <w:rsid w:val="00B24196"/>
    <w:rsid w:val="00B242B2"/>
    <w:rsid w:val="00B247F1"/>
    <w:rsid w:val="00B249AD"/>
    <w:rsid w:val="00B24FF4"/>
    <w:rsid w:val="00B250EF"/>
    <w:rsid w:val="00B25546"/>
    <w:rsid w:val="00B255A5"/>
    <w:rsid w:val="00B25E67"/>
    <w:rsid w:val="00B262F4"/>
    <w:rsid w:val="00B263B2"/>
    <w:rsid w:val="00B2676D"/>
    <w:rsid w:val="00B26851"/>
    <w:rsid w:val="00B26B1B"/>
    <w:rsid w:val="00B26E6F"/>
    <w:rsid w:val="00B27691"/>
    <w:rsid w:val="00B277BB"/>
    <w:rsid w:val="00B27A33"/>
    <w:rsid w:val="00B30350"/>
    <w:rsid w:val="00B303AD"/>
    <w:rsid w:val="00B3052C"/>
    <w:rsid w:val="00B307B4"/>
    <w:rsid w:val="00B3094A"/>
    <w:rsid w:val="00B315D8"/>
    <w:rsid w:val="00B315EC"/>
    <w:rsid w:val="00B317E5"/>
    <w:rsid w:val="00B31F28"/>
    <w:rsid w:val="00B320B4"/>
    <w:rsid w:val="00B32A60"/>
    <w:rsid w:val="00B3316B"/>
    <w:rsid w:val="00B338E9"/>
    <w:rsid w:val="00B33CCC"/>
    <w:rsid w:val="00B3459E"/>
    <w:rsid w:val="00B3475B"/>
    <w:rsid w:val="00B3476E"/>
    <w:rsid w:val="00B3479F"/>
    <w:rsid w:val="00B348B0"/>
    <w:rsid w:val="00B34908"/>
    <w:rsid w:val="00B34994"/>
    <w:rsid w:val="00B34ADD"/>
    <w:rsid w:val="00B35281"/>
    <w:rsid w:val="00B353B1"/>
    <w:rsid w:val="00B354FB"/>
    <w:rsid w:val="00B3573A"/>
    <w:rsid w:val="00B35BB8"/>
    <w:rsid w:val="00B35CAD"/>
    <w:rsid w:val="00B35E52"/>
    <w:rsid w:val="00B361AD"/>
    <w:rsid w:val="00B365A0"/>
    <w:rsid w:val="00B36928"/>
    <w:rsid w:val="00B36E27"/>
    <w:rsid w:val="00B37333"/>
    <w:rsid w:val="00B376FB"/>
    <w:rsid w:val="00B37AC6"/>
    <w:rsid w:val="00B37AF8"/>
    <w:rsid w:val="00B40057"/>
    <w:rsid w:val="00B4025D"/>
    <w:rsid w:val="00B403FC"/>
    <w:rsid w:val="00B408B0"/>
    <w:rsid w:val="00B40960"/>
    <w:rsid w:val="00B40AAB"/>
    <w:rsid w:val="00B40E0B"/>
    <w:rsid w:val="00B40EA5"/>
    <w:rsid w:val="00B40F08"/>
    <w:rsid w:val="00B410F1"/>
    <w:rsid w:val="00B41252"/>
    <w:rsid w:val="00B412D6"/>
    <w:rsid w:val="00B412FF"/>
    <w:rsid w:val="00B414D3"/>
    <w:rsid w:val="00B416E0"/>
    <w:rsid w:val="00B417F4"/>
    <w:rsid w:val="00B41A12"/>
    <w:rsid w:val="00B41AD8"/>
    <w:rsid w:val="00B41D95"/>
    <w:rsid w:val="00B41E90"/>
    <w:rsid w:val="00B4206B"/>
    <w:rsid w:val="00B42140"/>
    <w:rsid w:val="00B42614"/>
    <w:rsid w:val="00B4262D"/>
    <w:rsid w:val="00B42C17"/>
    <w:rsid w:val="00B42C3F"/>
    <w:rsid w:val="00B42C88"/>
    <w:rsid w:val="00B42F1C"/>
    <w:rsid w:val="00B42FBF"/>
    <w:rsid w:val="00B430AF"/>
    <w:rsid w:val="00B43106"/>
    <w:rsid w:val="00B432B0"/>
    <w:rsid w:val="00B4348D"/>
    <w:rsid w:val="00B4350D"/>
    <w:rsid w:val="00B43587"/>
    <w:rsid w:val="00B4359D"/>
    <w:rsid w:val="00B436F8"/>
    <w:rsid w:val="00B439AF"/>
    <w:rsid w:val="00B43BC7"/>
    <w:rsid w:val="00B43C05"/>
    <w:rsid w:val="00B43D45"/>
    <w:rsid w:val="00B43DC4"/>
    <w:rsid w:val="00B43FC1"/>
    <w:rsid w:val="00B4419E"/>
    <w:rsid w:val="00B44347"/>
    <w:rsid w:val="00B44442"/>
    <w:rsid w:val="00B44BB7"/>
    <w:rsid w:val="00B453A6"/>
    <w:rsid w:val="00B4558A"/>
    <w:rsid w:val="00B45738"/>
    <w:rsid w:val="00B45787"/>
    <w:rsid w:val="00B45794"/>
    <w:rsid w:val="00B4587D"/>
    <w:rsid w:val="00B458AA"/>
    <w:rsid w:val="00B46204"/>
    <w:rsid w:val="00B463C2"/>
    <w:rsid w:val="00B46FFA"/>
    <w:rsid w:val="00B46FFE"/>
    <w:rsid w:val="00B47040"/>
    <w:rsid w:val="00B47072"/>
    <w:rsid w:val="00B474B6"/>
    <w:rsid w:val="00B50012"/>
    <w:rsid w:val="00B50066"/>
    <w:rsid w:val="00B50266"/>
    <w:rsid w:val="00B502B6"/>
    <w:rsid w:val="00B50454"/>
    <w:rsid w:val="00B50550"/>
    <w:rsid w:val="00B506C3"/>
    <w:rsid w:val="00B50714"/>
    <w:rsid w:val="00B507AA"/>
    <w:rsid w:val="00B509FA"/>
    <w:rsid w:val="00B5109E"/>
    <w:rsid w:val="00B51113"/>
    <w:rsid w:val="00B511FE"/>
    <w:rsid w:val="00B51314"/>
    <w:rsid w:val="00B5137D"/>
    <w:rsid w:val="00B51553"/>
    <w:rsid w:val="00B51857"/>
    <w:rsid w:val="00B519D5"/>
    <w:rsid w:val="00B51C66"/>
    <w:rsid w:val="00B521A5"/>
    <w:rsid w:val="00B52686"/>
    <w:rsid w:val="00B52875"/>
    <w:rsid w:val="00B53139"/>
    <w:rsid w:val="00B5367B"/>
    <w:rsid w:val="00B537BD"/>
    <w:rsid w:val="00B53847"/>
    <w:rsid w:val="00B538F8"/>
    <w:rsid w:val="00B53C5A"/>
    <w:rsid w:val="00B5400D"/>
    <w:rsid w:val="00B540B9"/>
    <w:rsid w:val="00B54297"/>
    <w:rsid w:val="00B5434D"/>
    <w:rsid w:val="00B54566"/>
    <w:rsid w:val="00B5487B"/>
    <w:rsid w:val="00B54C25"/>
    <w:rsid w:val="00B54CDB"/>
    <w:rsid w:val="00B54E94"/>
    <w:rsid w:val="00B55834"/>
    <w:rsid w:val="00B559E5"/>
    <w:rsid w:val="00B55AE4"/>
    <w:rsid w:val="00B561DF"/>
    <w:rsid w:val="00B56BF3"/>
    <w:rsid w:val="00B56C11"/>
    <w:rsid w:val="00B56FFB"/>
    <w:rsid w:val="00B5706B"/>
    <w:rsid w:val="00B570E4"/>
    <w:rsid w:val="00B571AF"/>
    <w:rsid w:val="00B57B4A"/>
    <w:rsid w:val="00B57CD0"/>
    <w:rsid w:val="00B57F31"/>
    <w:rsid w:val="00B60051"/>
    <w:rsid w:val="00B602A2"/>
    <w:rsid w:val="00B608C1"/>
    <w:rsid w:val="00B60F3A"/>
    <w:rsid w:val="00B60F73"/>
    <w:rsid w:val="00B60F9C"/>
    <w:rsid w:val="00B60FAE"/>
    <w:rsid w:val="00B61074"/>
    <w:rsid w:val="00B61102"/>
    <w:rsid w:val="00B611E0"/>
    <w:rsid w:val="00B61508"/>
    <w:rsid w:val="00B617D8"/>
    <w:rsid w:val="00B6198B"/>
    <w:rsid w:val="00B61A92"/>
    <w:rsid w:val="00B61AF2"/>
    <w:rsid w:val="00B61CD1"/>
    <w:rsid w:val="00B61EA7"/>
    <w:rsid w:val="00B6246C"/>
    <w:rsid w:val="00B62676"/>
    <w:rsid w:val="00B62A83"/>
    <w:rsid w:val="00B62AF5"/>
    <w:rsid w:val="00B62AF8"/>
    <w:rsid w:val="00B62F2F"/>
    <w:rsid w:val="00B633DB"/>
    <w:rsid w:val="00B63DCD"/>
    <w:rsid w:val="00B63DE5"/>
    <w:rsid w:val="00B63EC8"/>
    <w:rsid w:val="00B6427F"/>
    <w:rsid w:val="00B6430B"/>
    <w:rsid w:val="00B64551"/>
    <w:rsid w:val="00B647DD"/>
    <w:rsid w:val="00B64CAD"/>
    <w:rsid w:val="00B65259"/>
    <w:rsid w:val="00B6536C"/>
    <w:rsid w:val="00B65435"/>
    <w:rsid w:val="00B65467"/>
    <w:rsid w:val="00B6580F"/>
    <w:rsid w:val="00B65A4C"/>
    <w:rsid w:val="00B65B29"/>
    <w:rsid w:val="00B66312"/>
    <w:rsid w:val="00B663B6"/>
    <w:rsid w:val="00B665AD"/>
    <w:rsid w:val="00B6676B"/>
    <w:rsid w:val="00B668D9"/>
    <w:rsid w:val="00B669E7"/>
    <w:rsid w:val="00B66B15"/>
    <w:rsid w:val="00B671E9"/>
    <w:rsid w:val="00B67827"/>
    <w:rsid w:val="00B679E8"/>
    <w:rsid w:val="00B67BCF"/>
    <w:rsid w:val="00B67EB6"/>
    <w:rsid w:val="00B70166"/>
    <w:rsid w:val="00B704B4"/>
    <w:rsid w:val="00B7058F"/>
    <w:rsid w:val="00B708C8"/>
    <w:rsid w:val="00B70DD9"/>
    <w:rsid w:val="00B71116"/>
    <w:rsid w:val="00B7145D"/>
    <w:rsid w:val="00B715C1"/>
    <w:rsid w:val="00B71A4A"/>
    <w:rsid w:val="00B71B18"/>
    <w:rsid w:val="00B71E2C"/>
    <w:rsid w:val="00B71ED6"/>
    <w:rsid w:val="00B72108"/>
    <w:rsid w:val="00B72883"/>
    <w:rsid w:val="00B72AA3"/>
    <w:rsid w:val="00B72AD5"/>
    <w:rsid w:val="00B72C30"/>
    <w:rsid w:val="00B73452"/>
    <w:rsid w:val="00B73491"/>
    <w:rsid w:val="00B737D4"/>
    <w:rsid w:val="00B74090"/>
    <w:rsid w:val="00B74B78"/>
    <w:rsid w:val="00B74CC4"/>
    <w:rsid w:val="00B74D64"/>
    <w:rsid w:val="00B751B3"/>
    <w:rsid w:val="00B752CC"/>
    <w:rsid w:val="00B753A2"/>
    <w:rsid w:val="00B75712"/>
    <w:rsid w:val="00B7577E"/>
    <w:rsid w:val="00B75A05"/>
    <w:rsid w:val="00B75BF6"/>
    <w:rsid w:val="00B75FC6"/>
    <w:rsid w:val="00B761E4"/>
    <w:rsid w:val="00B762CF"/>
    <w:rsid w:val="00B7671A"/>
    <w:rsid w:val="00B768D2"/>
    <w:rsid w:val="00B7699B"/>
    <w:rsid w:val="00B76AF8"/>
    <w:rsid w:val="00B76C06"/>
    <w:rsid w:val="00B76FE5"/>
    <w:rsid w:val="00B77523"/>
    <w:rsid w:val="00B77581"/>
    <w:rsid w:val="00B7763F"/>
    <w:rsid w:val="00B776A3"/>
    <w:rsid w:val="00B77719"/>
    <w:rsid w:val="00B777E8"/>
    <w:rsid w:val="00B77C02"/>
    <w:rsid w:val="00B77DC9"/>
    <w:rsid w:val="00B77EB7"/>
    <w:rsid w:val="00B77F4A"/>
    <w:rsid w:val="00B80048"/>
    <w:rsid w:val="00B801E9"/>
    <w:rsid w:val="00B80362"/>
    <w:rsid w:val="00B8048B"/>
    <w:rsid w:val="00B80570"/>
    <w:rsid w:val="00B805D0"/>
    <w:rsid w:val="00B806F3"/>
    <w:rsid w:val="00B808B2"/>
    <w:rsid w:val="00B80FDF"/>
    <w:rsid w:val="00B816B6"/>
    <w:rsid w:val="00B81879"/>
    <w:rsid w:val="00B81BBB"/>
    <w:rsid w:val="00B81DCE"/>
    <w:rsid w:val="00B829B0"/>
    <w:rsid w:val="00B83131"/>
    <w:rsid w:val="00B8324D"/>
    <w:rsid w:val="00B83363"/>
    <w:rsid w:val="00B8381A"/>
    <w:rsid w:val="00B839C2"/>
    <w:rsid w:val="00B8452A"/>
    <w:rsid w:val="00B84B5F"/>
    <w:rsid w:val="00B84F1D"/>
    <w:rsid w:val="00B84FFE"/>
    <w:rsid w:val="00B85464"/>
    <w:rsid w:val="00B85542"/>
    <w:rsid w:val="00B85ABF"/>
    <w:rsid w:val="00B85CE0"/>
    <w:rsid w:val="00B86095"/>
    <w:rsid w:val="00B86295"/>
    <w:rsid w:val="00B8640E"/>
    <w:rsid w:val="00B8681A"/>
    <w:rsid w:val="00B87180"/>
    <w:rsid w:val="00B872FE"/>
    <w:rsid w:val="00B87348"/>
    <w:rsid w:val="00B874A6"/>
    <w:rsid w:val="00B8769E"/>
    <w:rsid w:val="00B87AB3"/>
    <w:rsid w:val="00B87D19"/>
    <w:rsid w:val="00B87D1F"/>
    <w:rsid w:val="00B901C7"/>
    <w:rsid w:val="00B90900"/>
    <w:rsid w:val="00B90C27"/>
    <w:rsid w:val="00B90F98"/>
    <w:rsid w:val="00B91356"/>
    <w:rsid w:val="00B91446"/>
    <w:rsid w:val="00B91644"/>
    <w:rsid w:val="00B91711"/>
    <w:rsid w:val="00B917DB"/>
    <w:rsid w:val="00B919FB"/>
    <w:rsid w:val="00B91BB2"/>
    <w:rsid w:val="00B91C87"/>
    <w:rsid w:val="00B91F9A"/>
    <w:rsid w:val="00B920AA"/>
    <w:rsid w:val="00B920DD"/>
    <w:rsid w:val="00B92219"/>
    <w:rsid w:val="00B925E4"/>
    <w:rsid w:val="00B92620"/>
    <w:rsid w:val="00B92EAB"/>
    <w:rsid w:val="00B92F53"/>
    <w:rsid w:val="00B934FB"/>
    <w:rsid w:val="00B94139"/>
    <w:rsid w:val="00B94199"/>
    <w:rsid w:val="00B946BF"/>
    <w:rsid w:val="00B94B3C"/>
    <w:rsid w:val="00B94C73"/>
    <w:rsid w:val="00B952F4"/>
    <w:rsid w:val="00B955BF"/>
    <w:rsid w:val="00B955C2"/>
    <w:rsid w:val="00B95D4E"/>
    <w:rsid w:val="00B960E2"/>
    <w:rsid w:val="00B961EC"/>
    <w:rsid w:val="00B961F7"/>
    <w:rsid w:val="00B962F6"/>
    <w:rsid w:val="00B96F4B"/>
    <w:rsid w:val="00B96FA4"/>
    <w:rsid w:val="00B979CF"/>
    <w:rsid w:val="00B97B80"/>
    <w:rsid w:val="00B97EA2"/>
    <w:rsid w:val="00B97EF4"/>
    <w:rsid w:val="00BA063A"/>
    <w:rsid w:val="00BA06A0"/>
    <w:rsid w:val="00BA0794"/>
    <w:rsid w:val="00BA07DC"/>
    <w:rsid w:val="00BA087F"/>
    <w:rsid w:val="00BA0C02"/>
    <w:rsid w:val="00BA0C3D"/>
    <w:rsid w:val="00BA0EEC"/>
    <w:rsid w:val="00BA0F82"/>
    <w:rsid w:val="00BA10A5"/>
    <w:rsid w:val="00BA11F7"/>
    <w:rsid w:val="00BA1342"/>
    <w:rsid w:val="00BA168A"/>
    <w:rsid w:val="00BA17BA"/>
    <w:rsid w:val="00BA1AE3"/>
    <w:rsid w:val="00BA1B67"/>
    <w:rsid w:val="00BA1D14"/>
    <w:rsid w:val="00BA2024"/>
    <w:rsid w:val="00BA2163"/>
    <w:rsid w:val="00BA218A"/>
    <w:rsid w:val="00BA2353"/>
    <w:rsid w:val="00BA2586"/>
    <w:rsid w:val="00BA269A"/>
    <w:rsid w:val="00BA2744"/>
    <w:rsid w:val="00BA27E2"/>
    <w:rsid w:val="00BA2B02"/>
    <w:rsid w:val="00BA2E2A"/>
    <w:rsid w:val="00BA2F60"/>
    <w:rsid w:val="00BA2F68"/>
    <w:rsid w:val="00BA31E3"/>
    <w:rsid w:val="00BA3533"/>
    <w:rsid w:val="00BA37DD"/>
    <w:rsid w:val="00BA3B2B"/>
    <w:rsid w:val="00BA3E5B"/>
    <w:rsid w:val="00BA4211"/>
    <w:rsid w:val="00BA4693"/>
    <w:rsid w:val="00BA475B"/>
    <w:rsid w:val="00BA4919"/>
    <w:rsid w:val="00BA495A"/>
    <w:rsid w:val="00BA4D8E"/>
    <w:rsid w:val="00BA4EB6"/>
    <w:rsid w:val="00BA508D"/>
    <w:rsid w:val="00BA5638"/>
    <w:rsid w:val="00BA5695"/>
    <w:rsid w:val="00BA5697"/>
    <w:rsid w:val="00BA5763"/>
    <w:rsid w:val="00BA5A3F"/>
    <w:rsid w:val="00BA6168"/>
    <w:rsid w:val="00BA7711"/>
    <w:rsid w:val="00BA7963"/>
    <w:rsid w:val="00BA7AC1"/>
    <w:rsid w:val="00BA7AE5"/>
    <w:rsid w:val="00BA7B13"/>
    <w:rsid w:val="00BB0099"/>
    <w:rsid w:val="00BB043C"/>
    <w:rsid w:val="00BB05C8"/>
    <w:rsid w:val="00BB08E8"/>
    <w:rsid w:val="00BB0900"/>
    <w:rsid w:val="00BB151F"/>
    <w:rsid w:val="00BB19D6"/>
    <w:rsid w:val="00BB2171"/>
    <w:rsid w:val="00BB2196"/>
    <w:rsid w:val="00BB27EF"/>
    <w:rsid w:val="00BB2961"/>
    <w:rsid w:val="00BB34A1"/>
    <w:rsid w:val="00BB3DE0"/>
    <w:rsid w:val="00BB466E"/>
    <w:rsid w:val="00BB4771"/>
    <w:rsid w:val="00BB4C6F"/>
    <w:rsid w:val="00BB4E66"/>
    <w:rsid w:val="00BB5220"/>
    <w:rsid w:val="00BB5316"/>
    <w:rsid w:val="00BB567E"/>
    <w:rsid w:val="00BB56D1"/>
    <w:rsid w:val="00BB5C30"/>
    <w:rsid w:val="00BB5E3B"/>
    <w:rsid w:val="00BB6141"/>
    <w:rsid w:val="00BB694E"/>
    <w:rsid w:val="00BB6B80"/>
    <w:rsid w:val="00BB73C4"/>
    <w:rsid w:val="00BB7A0B"/>
    <w:rsid w:val="00BB7A44"/>
    <w:rsid w:val="00BB7F78"/>
    <w:rsid w:val="00BC023A"/>
    <w:rsid w:val="00BC0870"/>
    <w:rsid w:val="00BC0AF8"/>
    <w:rsid w:val="00BC0D51"/>
    <w:rsid w:val="00BC0ECA"/>
    <w:rsid w:val="00BC137C"/>
    <w:rsid w:val="00BC152B"/>
    <w:rsid w:val="00BC18DD"/>
    <w:rsid w:val="00BC1933"/>
    <w:rsid w:val="00BC1A06"/>
    <w:rsid w:val="00BC1AE0"/>
    <w:rsid w:val="00BC1D19"/>
    <w:rsid w:val="00BC2482"/>
    <w:rsid w:val="00BC2F0A"/>
    <w:rsid w:val="00BC2F40"/>
    <w:rsid w:val="00BC3A0D"/>
    <w:rsid w:val="00BC3AE6"/>
    <w:rsid w:val="00BC3B3C"/>
    <w:rsid w:val="00BC3EF6"/>
    <w:rsid w:val="00BC40D4"/>
    <w:rsid w:val="00BC41EA"/>
    <w:rsid w:val="00BC467C"/>
    <w:rsid w:val="00BC4693"/>
    <w:rsid w:val="00BC4764"/>
    <w:rsid w:val="00BC4F02"/>
    <w:rsid w:val="00BC4F0C"/>
    <w:rsid w:val="00BC5255"/>
    <w:rsid w:val="00BC527A"/>
    <w:rsid w:val="00BC534B"/>
    <w:rsid w:val="00BC5694"/>
    <w:rsid w:val="00BC5C69"/>
    <w:rsid w:val="00BC5D5F"/>
    <w:rsid w:val="00BC5DE0"/>
    <w:rsid w:val="00BC5EA4"/>
    <w:rsid w:val="00BC6141"/>
    <w:rsid w:val="00BC61A8"/>
    <w:rsid w:val="00BC6211"/>
    <w:rsid w:val="00BC6401"/>
    <w:rsid w:val="00BC697B"/>
    <w:rsid w:val="00BC6A19"/>
    <w:rsid w:val="00BC6A71"/>
    <w:rsid w:val="00BC6ADA"/>
    <w:rsid w:val="00BC6B6C"/>
    <w:rsid w:val="00BC6E09"/>
    <w:rsid w:val="00BC757C"/>
    <w:rsid w:val="00BC7834"/>
    <w:rsid w:val="00BC7A67"/>
    <w:rsid w:val="00BC7BDE"/>
    <w:rsid w:val="00BC7E89"/>
    <w:rsid w:val="00BC7F8C"/>
    <w:rsid w:val="00BD00A1"/>
    <w:rsid w:val="00BD00D6"/>
    <w:rsid w:val="00BD01C3"/>
    <w:rsid w:val="00BD06B8"/>
    <w:rsid w:val="00BD082A"/>
    <w:rsid w:val="00BD08B1"/>
    <w:rsid w:val="00BD12C3"/>
    <w:rsid w:val="00BD143F"/>
    <w:rsid w:val="00BD161F"/>
    <w:rsid w:val="00BD175F"/>
    <w:rsid w:val="00BD17F0"/>
    <w:rsid w:val="00BD1810"/>
    <w:rsid w:val="00BD1869"/>
    <w:rsid w:val="00BD1B51"/>
    <w:rsid w:val="00BD1CD0"/>
    <w:rsid w:val="00BD1FE4"/>
    <w:rsid w:val="00BD228B"/>
    <w:rsid w:val="00BD2A5C"/>
    <w:rsid w:val="00BD2A8F"/>
    <w:rsid w:val="00BD2EEF"/>
    <w:rsid w:val="00BD2F47"/>
    <w:rsid w:val="00BD37B2"/>
    <w:rsid w:val="00BD3CE4"/>
    <w:rsid w:val="00BD3F70"/>
    <w:rsid w:val="00BD3F7F"/>
    <w:rsid w:val="00BD4308"/>
    <w:rsid w:val="00BD4626"/>
    <w:rsid w:val="00BD46EB"/>
    <w:rsid w:val="00BD475A"/>
    <w:rsid w:val="00BD486A"/>
    <w:rsid w:val="00BD48B5"/>
    <w:rsid w:val="00BD4BF8"/>
    <w:rsid w:val="00BD51CF"/>
    <w:rsid w:val="00BD53DA"/>
    <w:rsid w:val="00BD5A9B"/>
    <w:rsid w:val="00BD5C7A"/>
    <w:rsid w:val="00BD5C8E"/>
    <w:rsid w:val="00BD604A"/>
    <w:rsid w:val="00BD6052"/>
    <w:rsid w:val="00BD6405"/>
    <w:rsid w:val="00BD6D87"/>
    <w:rsid w:val="00BD6F54"/>
    <w:rsid w:val="00BD6F5C"/>
    <w:rsid w:val="00BD71AE"/>
    <w:rsid w:val="00BD7646"/>
    <w:rsid w:val="00BD7AA5"/>
    <w:rsid w:val="00BD7CF5"/>
    <w:rsid w:val="00BE0167"/>
    <w:rsid w:val="00BE047F"/>
    <w:rsid w:val="00BE06E7"/>
    <w:rsid w:val="00BE0833"/>
    <w:rsid w:val="00BE08A0"/>
    <w:rsid w:val="00BE0B71"/>
    <w:rsid w:val="00BE0CAF"/>
    <w:rsid w:val="00BE0D7B"/>
    <w:rsid w:val="00BE0D92"/>
    <w:rsid w:val="00BE11EB"/>
    <w:rsid w:val="00BE1A22"/>
    <w:rsid w:val="00BE1B0C"/>
    <w:rsid w:val="00BE1B11"/>
    <w:rsid w:val="00BE1DF2"/>
    <w:rsid w:val="00BE2110"/>
    <w:rsid w:val="00BE23E5"/>
    <w:rsid w:val="00BE25B3"/>
    <w:rsid w:val="00BE2D8E"/>
    <w:rsid w:val="00BE358A"/>
    <w:rsid w:val="00BE3776"/>
    <w:rsid w:val="00BE3855"/>
    <w:rsid w:val="00BE391A"/>
    <w:rsid w:val="00BE3D67"/>
    <w:rsid w:val="00BE4190"/>
    <w:rsid w:val="00BE4224"/>
    <w:rsid w:val="00BE446E"/>
    <w:rsid w:val="00BE486E"/>
    <w:rsid w:val="00BE4D76"/>
    <w:rsid w:val="00BE5650"/>
    <w:rsid w:val="00BE5716"/>
    <w:rsid w:val="00BE5CF7"/>
    <w:rsid w:val="00BE60B4"/>
    <w:rsid w:val="00BE67B1"/>
    <w:rsid w:val="00BE70AC"/>
    <w:rsid w:val="00BE71B2"/>
    <w:rsid w:val="00BE7721"/>
    <w:rsid w:val="00BE785B"/>
    <w:rsid w:val="00BE786E"/>
    <w:rsid w:val="00BE794B"/>
    <w:rsid w:val="00BE7D8A"/>
    <w:rsid w:val="00BE7EF4"/>
    <w:rsid w:val="00BE91C1"/>
    <w:rsid w:val="00BEBBAF"/>
    <w:rsid w:val="00BF01B4"/>
    <w:rsid w:val="00BF03AA"/>
    <w:rsid w:val="00BF0844"/>
    <w:rsid w:val="00BF0958"/>
    <w:rsid w:val="00BF0B65"/>
    <w:rsid w:val="00BF0CF7"/>
    <w:rsid w:val="00BF0D59"/>
    <w:rsid w:val="00BF0E32"/>
    <w:rsid w:val="00BF0FE9"/>
    <w:rsid w:val="00BF107B"/>
    <w:rsid w:val="00BF109E"/>
    <w:rsid w:val="00BF1234"/>
    <w:rsid w:val="00BF17B6"/>
    <w:rsid w:val="00BF19ED"/>
    <w:rsid w:val="00BF1AEC"/>
    <w:rsid w:val="00BF1BEB"/>
    <w:rsid w:val="00BF1F4F"/>
    <w:rsid w:val="00BF2118"/>
    <w:rsid w:val="00BF253A"/>
    <w:rsid w:val="00BF2AC7"/>
    <w:rsid w:val="00BF351D"/>
    <w:rsid w:val="00BF3C67"/>
    <w:rsid w:val="00BF3D4C"/>
    <w:rsid w:val="00BF3EC1"/>
    <w:rsid w:val="00BF3FB2"/>
    <w:rsid w:val="00BF4199"/>
    <w:rsid w:val="00BF42FD"/>
    <w:rsid w:val="00BF4317"/>
    <w:rsid w:val="00BF441B"/>
    <w:rsid w:val="00BF46A1"/>
    <w:rsid w:val="00BF46B6"/>
    <w:rsid w:val="00BF478E"/>
    <w:rsid w:val="00BF494F"/>
    <w:rsid w:val="00BF4ADD"/>
    <w:rsid w:val="00BF4BE4"/>
    <w:rsid w:val="00BF4C5D"/>
    <w:rsid w:val="00BF5088"/>
    <w:rsid w:val="00BF52C7"/>
    <w:rsid w:val="00BF5598"/>
    <w:rsid w:val="00BF5678"/>
    <w:rsid w:val="00BF575F"/>
    <w:rsid w:val="00BF59BC"/>
    <w:rsid w:val="00BF5B4F"/>
    <w:rsid w:val="00BF5CAA"/>
    <w:rsid w:val="00BF5E4D"/>
    <w:rsid w:val="00BF6021"/>
    <w:rsid w:val="00BF6133"/>
    <w:rsid w:val="00BF61CC"/>
    <w:rsid w:val="00BF65CD"/>
    <w:rsid w:val="00BF6AE5"/>
    <w:rsid w:val="00BF6AE7"/>
    <w:rsid w:val="00BF6D6F"/>
    <w:rsid w:val="00BF71E5"/>
    <w:rsid w:val="00BF74A0"/>
    <w:rsid w:val="00BF7501"/>
    <w:rsid w:val="00BF7645"/>
    <w:rsid w:val="00BF7806"/>
    <w:rsid w:val="00BF783F"/>
    <w:rsid w:val="00C0009A"/>
    <w:rsid w:val="00C000FB"/>
    <w:rsid w:val="00C00770"/>
    <w:rsid w:val="00C0093E"/>
    <w:rsid w:val="00C00A6A"/>
    <w:rsid w:val="00C00B33"/>
    <w:rsid w:val="00C00B66"/>
    <w:rsid w:val="00C00C70"/>
    <w:rsid w:val="00C0132A"/>
    <w:rsid w:val="00C013BE"/>
    <w:rsid w:val="00C013D2"/>
    <w:rsid w:val="00C01837"/>
    <w:rsid w:val="00C01D82"/>
    <w:rsid w:val="00C01F3D"/>
    <w:rsid w:val="00C028D5"/>
    <w:rsid w:val="00C02BD5"/>
    <w:rsid w:val="00C02C35"/>
    <w:rsid w:val="00C02EF6"/>
    <w:rsid w:val="00C03041"/>
    <w:rsid w:val="00C03097"/>
    <w:rsid w:val="00C036E0"/>
    <w:rsid w:val="00C03F47"/>
    <w:rsid w:val="00C03FE9"/>
    <w:rsid w:val="00C040BC"/>
    <w:rsid w:val="00C042AD"/>
    <w:rsid w:val="00C043EA"/>
    <w:rsid w:val="00C04677"/>
    <w:rsid w:val="00C048FC"/>
    <w:rsid w:val="00C05774"/>
    <w:rsid w:val="00C05F17"/>
    <w:rsid w:val="00C0608F"/>
    <w:rsid w:val="00C06620"/>
    <w:rsid w:val="00C0669A"/>
    <w:rsid w:val="00C06767"/>
    <w:rsid w:val="00C06F35"/>
    <w:rsid w:val="00C07823"/>
    <w:rsid w:val="00C07ED6"/>
    <w:rsid w:val="00C10245"/>
    <w:rsid w:val="00C10706"/>
    <w:rsid w:val="00C10847"/>
    <w:rsid w:val="00C10919"/>
    <w:rsid w:val="00C10C3F"/>
    <w:rsid w:val="00C10D7C"/>
    <w:rsid w:val="00C11866"/>
    <w:rsid w:val="00C11AEB"/>
    <w:rsid w:val="00C12D28"/>
    <w:rsid w:val="00C132D3"/>
    <w:rsid w:val="00C13B21"/>
    <w:rsid w:val="00C13DBE"/>
    <w:rsid w:val="00C13F96"/>
    <w:rsid w:val="00C13FE7"/>
    <w:rsid w:val="00C14430"/>
    <w:rsid w:val="00C1451A"/>
    <w:rsid w:val="00C14631"/>
    <w:rsid w:val="00C14B3A"/>
    <w:rsid w:val="00C14B7D"/>
    <w:rsid w:val="00C14EDD"/>
    <w:rsid w:val="00C14F96"/>
    <w:rsid w:val="00C150AF"/>
    <w:rsid w:val="00C15699"/>
    <w:rsid w:val="00C159FD"/>
    <w:rsid w:val="00C15A00"/>
    <w:rsid w:val="00C15AFC"/>
    <w:rsid w:val="00C15C9D"/>
    <w:rsid w:val="00C15CF6"/>
    <w:rsid w:val="00C15D3A"/>
    <w:rsid w:val="00C15D7F"/>
    <w:rsid w:val="00C1648D"/>
    <w:rsid w:val="00C1655B"/>
    <w:rsid w:val="00C165A8"/>
    <w:rsid w:val="00C1697E"/>
    <w:rsid w:val="00C16B25"/>
    <w:rsid w:val="00C16D1E"/>
    <w:rsid w:val="00C16F52"/>
    <w:rsid w:val="00C175DB"/>
    <w:rsid w:val="00C1792E"/>
    <w:rsid w:val="00C179D7"/>
    <w:rsid w:val="00C17AD2"/>
    <w:rsid w:val="00C201AD"/>
    <w:rsid w:val="00C201E5"/>
    <w:rsid w:val="00C20219"/>
    <w:rsid w:val="00C20732"/>
    <w:rsid w:val="00C20AA8"/>
    <w:rsid w:val="00C2102B"/>
    <w:rsid w:val="00C21078"/>
    <w:rsid w:val="00C21E02"/>
    <w:rsid w:val="00C21E04"/>
    <w:rsid w:val="00C21E39"/>
    <w:rsid w:val="00C2216D"/>
    <w:rsid w:val="00C224D8"/>
    <w:rsid w:val="00C226DA"/>
    <w:rsid w:val="00C2280B"/>
    <w:rsid w:val="00C22967"/>
    <w:rsid w:val="00C22AB1"/>
    <w:rsid w:val="00C22B62"/>
    <w:rsid w:val="00C22F3D"/>
    <w:rsid w:val="00C2317D"/>
    <w:rsid w:val="00C23342"/>
    <w:rsid w:val="00C234C1"/>
    <w:rsid w:val="00C235FF"/>
    <w:rsid w:val="00C2387C"/>
    <w:rsid w:val="00C2395F"/>
    <w:rsid w:val="00C23CC5"/>
    <w:rsid w:val="00C23E24"/>
    <w:rsid w:val="00C24477"/>
    <w:rsid w:val="00C2460C"/>
    <w:rsid w:val="00C24754"/>
    <w:rsid w:val="00C24C19"/>
    <w:rsid w:val="00C25176"/>
    <w:rsid w:val="00C255A4"/>
    <w:rsid w:val="00C25741"/>
    <w:rsid w:val="00C25858"/>
    <w:rsid w:val="00C259E8"/>
    <w:rsid w:val="00C25A81"/>
    <w:rsid w:val="00C260E0"/>
    <w:rsid w:val="00C26282"/>
    <w:rsid w:val="00C26612"/>
    <w:rsid w:val="00C26A04"/>
    <w:rsid w:val="00C26B9B"/>
    <w:rsid w:val="00C27322"/>
    <w:rsid w:val="00C2737B"/>
    <w:rsid w:val="00C273FB"/>
    <w:rsid w:val="00C27DAC"/>
    <w:rsid w:val="00C300A2"/>
    <w:rsid w:val="00C300E7"/>
    <w:rsid w:val="00C30705"/>
    <w:rsid w:val="00C30908"/>
    <w:rsid w:val="00C30EAF"/>
    <w:rsid w:val="00C30F3C"/>
    <w:rsid w:val="00C31154"/>
    <w:rsid w:val="00C31525"/>
    <w:rsid w:val="00C316BC"/>
    <w:rsid w:val="00C31701"/>
    <w:rsid w:val="00C317A5"/>
    <w:rsid w:val="00C31B6B"/>
    <w:rsid w:val="00C31EC0"/>
    <w:rsid w:val="00C32315"/>
    <w:rsid w:val="00C326D0"/>
    <w:rsid w:val="00C3293F"/>
    <w:rsid w:val="00C3295A"/>
    <w:rsid w:val="00C32A07"/>
    <w:rsid w:val="00C32A35"/>
    <w:rsid w:val="00C32F3B"/>
    <w:rsid w:val="00C32FA5"/>
    <w:rsid w:val="00C33172"/>
    <w:rsid w:val="00C33728"/>
    <w:rsid w:val="00C3389D"/>
    <w:rsid w:val="00C338D5"/>
    <w:rsid w:val="00C3399E"/>
    <w:rsid w:val="00C33ADC"/>
    <w:rsid w:val="00C33F23"/>
    <w:rsid w:val="00C34598"/>
    <w:rsid w:val="00C346E2"/>
    <w:rsid w:val="00C34D40"/>
    <w:rsid w:val="00C35209"/>
    <w:rsid w:val="00C353FC"/>
    <w:rsid w:val="00C3569F"/>
    <w:rsid w:val="00C356DD"/>
    <w:rsid w:val="00C35837"/>
    <w:rsid w:val="00C358F6"/>
    <w:rsid w:val="00C35AEE"/>
    <w:rsid w:val="00C35CF3"/>
    <w:rsid w:val="00C361A6"/>
    <w:rsid w:val="00C36559"/>
    <w:rsid w:val="00C369FD"/>
    <w:rsid w:val="00C36BB6"/>
    <w:rsid w:val="00C36CD4"/>
    <w:rsid w:val="00C36E8E"/>
    <w:rsid w:val="00C36FC7"/>
    <w:rsid w:val="00C37B19"/>
    <w:rsid w:val="00C37D72"/>
    <w:rsid w:val="00C4028C"/>
    <w:rsid w:val="00C403C6"/>
    <w:rsid w:val="00C40A0D"/>
    <w:rsid w:val="00C40BCE"/>
    <w:rsid w:val="00C40C51"/>
    <w:rsid w:val="00C40E9C"/>
    <w:rsid w:val="00C41402"/>
    <w:rsid w:val="00C41499"/>
    <w:rsid w:val="00C414F9"/>
    <w:rsid w:val="00C41591"/>
    <w:rsid w:val="00C41A7A"/>
    <w:rsid w:val="00C41D27"/>
    <w:rsid w:val="00C41DB6"/>
    <w:rsid w:val="00C41E7E"/>
    <w:rsid w:val="00C41F23"/>
    <w:rsid w:val="00C42AB6"/>
    <w:rsid w:val="00C42CA6"/>
    <w:rsid w:val="00C42ED4"/>
    <w:rsid w:val="00C42FA6"/>
    <w:rsid w:val="00C431AC"/>
    <w:rsid w:val="00C4368B"/>
    <w:rsid w:val="00C43731"/>
    <w:rsid w:val="00C43AD0"/>
    <w:rsid w:val="00C43CF9"/>
    <w:rsid w:val="00C44513"/>
    <w:rsid w:val="00C44847"/>
    <w:rsid w:val="00C448D0"/>
    <w:rsid w:val="00C44BBB"/>
    <w:rsid w:val="00C44E04"/>
    <w:rsid w:val="00C44ECB"/>
    <w:rsid w:val="00C45382"/>
    <w:rsid w:val="00C455A7"/>
    <w:rsid w:val="00C459DA"/>
    <w:rsid w:val="00C45B1E"/>
    <w:rsid w:val="00C45F39"/>
    <w:rsid w:val="00C45F4A"/>
    <w:rsid w:val="00C46338"/>
    <w:rsid w:val="00C463BA"/>
    <w:rsid w:val="00C46B03"/>
    <w:rsid w:val="00C46FF7"/>
    <w:rsid w:val="00C473B5"/>
    <w:rsid w:val="00C47C84"/>
    <w:rsid w:val="00C47D5E"/>
    <w:rsid w:val="00C50087"/>
    <w:rsid w:val="00C505CA"/>
    <w:rsid w:val="00C50A36"/>
    <w:rsid w:val="00C50D35"/>
    <w:rsid w:val="00C50EC4"/>
    <w:rsid w:val="00C50FB2"/>
    <w:rsid w:val="00C50FC5"/>
    <w:rsid w:val="00C51678"/>
    <w:rsid w:val="00C51E1F"/>
    <w:rsid w:val="00C5212F"/>
    <w:rsid w:val="00C5263D"/>
    <w:rsid w:val="00C5277C"/>
    <w:rsid w:val="00C52786"/>
    <w:rsid w:val="00C52DE7"/>
    <w:rsid w:val="00C52F6C"/>
    <w:rsid w:val="00C53B5F"/>
    <w:rsid w:val="00C53C2E"/>
    <w:rsid w:val="00C53F5B"/>
    <w:rsid w:val="00C5475A"/>
    <w:rsid w:val="00C54A2E"/>
    <w:rsid w:val="00C54D0D"/>
    <w:rsid w:val="00C558A8"/>
    <w:rsid w:val="00C558EF"/>
    <w:rsid w:val="00C559A5"/>
    <w:rsid w:val="00C55C17"/>
    <w:rsid w:val="00C55C42"/>
    <w:rsid w:val="00C55CCE"/>
    <w:rsid w:val="00C55E5D"/>
    <w:rsid w:val="00C55ECE"/>
    <w:rsid w:val="00C55F2B"/>
    <w:rsid w:val="00C56185"/>
    <w:rsid w:val="00C565D8"/>
    <w:rsid w:val="00C56714"/>
    <w:rsid w:val="00C567EB"/>
    <w:rsid w:val="00C56A11"/>
    <w:rsid w:val="00C56A43"/>
    <w:rsid w:val="00C56D96"/>
    <w:rsid w:val="00C57067"/>
    <w:rsid w:val="00C57111"/>
    <w:rsid w:val="00C57452"/>
    <w:rsid w:val="00C577AD"/>
    <w:rsid w:val="00C579F4"/>
    <w:rsid w:val="00C57B86"/>
    <w:rsid w:val="00C57E68"/>
    <w:rsid w:val="00C60240"/>
    <w:rsid w:val="00C603D7"/>
    <w:rsid w:val="00C606F1"/>
    <w:rsid w:val="00C60CF7"/>
    <w:rsid w:val="00C61284"/>
    <w:rsid w:val="00C612E0"/>
    <w:rsid w:val="00C61A12"/>
    <w:rsid w:val="00C61C57"/>
    <w:rsid w:val="00C61C73"/>
    <w:rsid w:val="00C61CF1"/>
    <w:rsid w:val="00C621B7"/>
    <w:rsid w:val="00C621B9"/>
    <w:rsid w:val="00C62203"/>
    <w:rsid w:val="00C62969"/>
    <w:rsid w:val="00C62A9F"/>
    <w:rsid w:val="00C62BC8"/>
    <w:rsid w:val="00C62C6A"/>
    <w:rsid w:val="00C62E64"/>
    <w:rsid w:val="00C634E5"/>
    <w:rsid w:val="00C638D9"/>
    <w:rsid w:val="00C63CF0"/>
    <w:rsid w:val="00C63F90"/>
    <w:rsid w:val="00C64339"/>
    <w:rsid w:val="00C64929"/>
    <w:rsid w:val="00C64E61"/>
    <w:rsid w:val="00C6506A"/>
    <w:rsid w:val="00C6513B"/>
    <w:rsid w:val="00C657DE"/>
    <w:rsid w:val="00C65DD0"/>
    <w:rsid w:val="00C661DB"/>
    <w:rsid w:val="00C662F5"/>
    <w:rsid w:val="00C665B4"/>
    <w:rsid w:val="00C666BA"/>
    <w:rsid w:val="00C66761"/>
    <w:rsid w:val="00C66C7B"/>
    <w:rsid w:val="00C66EB4"/>
    <w:rsid w:val="00C6745C"/>
    <w:rsid w:val="00C67693"/>
    <w:rsid w:val="00C677E7"/>
    <w:rsid w:val="00C6783A"/>
    <w:rsid w:val="00C67A70"/>
    <w:rsid w:val="00C67DBC"/>
    <w:rsid w:val="00C67E1C"/>
    <w:rsid w:val="00C67EB7"/>
    <w:rsid w:val="00C67EEE"/>
    <w:rsid w:val="00C70404"/>
    <w:rsid w:val="00C70ECA"/>
    <w:rsid w:val="00C70FC3"/>
    <w:rsid w:val="00C71011"/>
    <w:rsid w:val="00C711CE"/>
    <w:rsid w:val="00C7133A"/>
    <w:rsid w:val="00C71340"/>
    <w:rsid w:val="00C714B1"/>
    <w:rsid w:val="00C71A91"/>
    <w:rsid w:val="00C72150"/>
    <w:rsid w:val="00C7297C"/>
    <w:rsid w:val="00C72A68"/>
    <w:rsid w:val="00C72C3C"/>
    <w:rsid w:val="00C7322D"/>
    <w:rsid w:val="00C7324D"/>
    <w:rsid w:val="00C738FB"/>
    <w:rsid w:val="00C73A20"/>
    <w:rsid w:val="00C73BF5"/>
    <w:rsid w:val="00C73C13"/>
    <w:rsid w:val="00C73F57"/>
    <w:rsid w:val="00C7439E"/>
    <w:rsid w:val="00C743FC"/>
    <w:rsid w:val="00C744DB"/>
    <w:rsid w:val="00C748B6"/>
    <w:rsid w:val="00C74B57"/>
    <w:rsid w:val="00C74D65"/>
    <w:rsid w:val="00C74F29"/>
    <w:rsid w:val="00C75145"/>
    <w:rsid w:val="00C75551"/>
    <w:rsid w:val="00C7560B"/>
    <w:rsid w:val="00C75869"/>
    <w:rsid w:val="00C75AF5"/>
    <w:rsid w:val="00C75BF4"/>
    <w:rsid w:val="00C7626F"/>
    <w:rsid w:val="00C76876"/>
    <w:rsid w:val="00C768D2"/>
    <w:rsid w:val="00C76BB1"/>
    <w:rsid w:val="00C76D0A"/>
    <w:rsid w:val="00C76EBD"/>
    <w:rsid w:val="00C76FBE"/>
    <w:rsid w:val="00C77668"/>
    <w:rsid w:val="00C77A6B"/>
    <w:rsid w:val="00C77FA3"/>
    <w:rsid w:val="00C80775"/>
    <w:rsid w:val="00C80824"/>
    <w:rsid w:val="00C80AB1"/>
    <w:rsid w:val="00C81076"/>
    <w:rsid w:val="00C811A6"/>
    <w:rsid w:val="00C81366"/>
    <w:rsid w:val="00C81F19"/>
    <w:rsid w:val="00C8223F"/>
    <w:rsid w:val="00C82722"/>
    <w:rsid w:val="00C82871"/>
    <w:rsid w:val="00C82DD9"/>
    <w:rsid w:val="00C82E2D"/>
    <w:rsid w:val="00C8300C"/>
    <w:rsid w:val="00C83342"/>
    <w:rsid w:val="00C835E6"/>
    <w:rsid w:val="00C838E0"/>
    <w:rsid w:val="00C8415D"/>
    <w:rsid w:val="00C8444B"/>
    <w:rsid w:val="00C845A6"/>
    <w:rsid w:val="00C848EC"/>
    <w:rsid w:val="00C85073"/>
    <w:rsid w:val="00C85330"/>
    <w:rsid w:val="00C85952"/>
    <w:rsid w:val="00C85C36"/>
    <w:rsid w:val="00C85FEF"/>
    <w:rsid w:val="00C86510"/>
    <w:rsid w:val="00C865FE"/>
    <w:rsid w:val="00C866A5"/>
    <w:rsid w:val="00C868C0"/>
    <w:rsid w:val="00C873B4"/>
    <w:rsid w:val="00C87402"/>
    <w:rsid w:val="00C876FC"/>
    <w:rsid w:val="00C87EF2"/>
    <w:rsid w:val="00C8BDF4"/>
    <w:rsid w:val="00C9066C"/>
    <w:rsid w:val="00C907AB"/>
    <w:rsid w:val="00C907BA"/>
    <w:rsid w:val="00C90C84"/>
    <w:rsid w:val="00C90F03"/>
    <w:rsid w:val="00C910FB"/>
    <w:rsid w:val="00C91A26"/>
    <w:rsid w:val="00C91C5A"/>
    <w:rsid w:val="00C920B0"/>
    <w:rsid w:val="00C9215D"/>
    <w:rsid w:val="00C92166"/>
    <w:rsid w:val="00C9272E"/>
    <w:rsid w:val="00C9276D"/>
    <w:rsid w:val="00C92793"/>
    <w:rsid w:val="00C92E1A"/>
    <w:rsid w:val="00C930A2"/>
    <w:rsid w:val="00C93249"/>
    <w:rsid w:val="00C93484"/>
    <w:rsid w:val="00C93C0B"/>
    <w:rsid w:val="00C93FE9"/>
    <w:rsid w:val="00C94032"/>
    <w:rsid w:val="00C94238"/>
    <w:rsid w:val="00C945C4"/>
    <w:rsid w:val="00C9491B"/>
    <w:rsid w:val="00C949FB"/>
    <w:rsid w:val="00C94E9B"/>
    <w:rsid w:val="00C951B6"/>
    <w:rsid w:val="00C95698"/>
    <w:rsid w:val="00C957E4"/>
    <w:rsid w:val="00C958F8"/>
    <w:rsid w:val="00C95C33"/>
    <w:rsid w:val="00C95DBD"/>
    <w:rsid w:val="00C95E3F"/>
    <w:rsid w:val="00C9636E"/>
    <w:rsid w:val="00C96513"/>
    <w:rsid w:val="00C967B5"/>
    <w:rsid w:val="00C969C0"/>
    <w:rsid w:val="00C96A83"/>
    <w:rsid w:val="00C96A8D"/>
    <w:rsid w:val="00C96CC7"/>
    <w:rsid w:val="00C97255"/>
    <w:rsid w:val="00C97283"/>
    <w:rsid w:val="00C97353"/>
    <w:rsid w:val="00C973A5"/>
    <w:rsid w:val="00C973ED"/>
    <w:rsid w:val="00C9766C"/>
    <w:rsid w:val="00C97C0B"/>
    <w:rsid w:val="00C97E5D"/>
    <w:rsid w:val="00CA02B8"/>
    <w:rsid w:val="00CA036B"/>
    <w:rsid w:val="00CA03AA"/>
    <w:rsid w:val="00CA03B8"/>
    <w:rsid w:val="00CA042D"/>
    <w:rsid w:val="00CA053C"/>
    <w:rsid w:val="00CA0698"/>
    <w:rsid w:val="00CA07A8"/>
    <w:rsid w:val="00CA0CFF"/>
    <w:rsid w:val="00CA135D"/>
    <w:rsid w:val="00CA13FF"/>
    <w:rsid w:val="00CA1934"/>
    <w:rsid w:val="00CA1990"/>
    <w:rsid w:val="00CA1E50"/>
    <w:rsid w:val="00CA1E7C"/>
    <w:rsid w:val="00CA1EF3"/>
    <w:rsid w:val="00CA23EB"/>
    <w:rsid w:val="00CA2439"/>
    <w:rsid w:val="00CA2519"/>
    <w:rsid w:val="00CA27B4"/>
    <w:rsid w:val="00CA3443"/>
    <w:rsid w:val="00CA373C"/>
    <w:rsid w:val="00CA382B"/>
    <w:rsid w:val="00CA417C"/>
    <w:rsid w:val="00CA4323"/>
    <w:rsid w:val="00CA469C"/>
    <w:rsid w:val="00CA485B"/>
    <w:rsid w:val="00CA48FF"/>
    <w:rsid w:val="00CA4BD9"/>
    <w:rsid w:val="00CA4C51"/>
    <w:rsid w:val="00CA52E5"/>
    <w:rsid w:val="00CA5559"/>
    <w:rsid w:val="00CA5C4A"/>
    <w:rsid w:val="00CA641A"/>
    <w:rsid w:val="00CA64E5"/>
    <w:rsid w:val="00CA6793"/>
    <w:rsid w:val="00CA69F5"/>
    <w:rsid w:val="00CA6DD5"/>
    <w:rsid w:val="00CA6F21"/>
    <w:rsid w:val="00CA7F18"/>
    <w:rsid w:val="00CB032A"/>
    <w:rsid w:val="00CB035A"/>
    <w:rsid w:val="00CB06B4"/>
    <w:rsid w:val="00CB0BF6"/>
    <w:rsid w:val="00CB0F51"/>
    <w:rsid w:val="00CB11FB"/>
    <w:rsid w:val="00CB18AA"/>
    <w:rsid w:val="00CB225E"/>
    <w:rsid w:val="00CB229D"/>
    <w:rsid w:val="00CB22C9"/>
    <w:rsid w:val="00CB237B"/>
    <w:rsid w:val="00CB2589"/>
    <w:rsid w:val="00CB267B"/>
    <w:rsid w:val="00CB26B8"/>
    <w:rsid w:val="00CB26CB"/>
    <w:rsid w:val="00CB2E1D"/>
    <w:rsid w:val="00CB3342"/>
    <w:rsid w:val="00CB3A62"/>
    <w:rsid w:val="00CB3ACF"/>
    <w:rsid w:val="00CB3FF4"/>
    <w:rsid w:val="00CB427C"/>
    <w:rsid w:val="00CB4553"/>
    <w:rsid w:val="00CB4592"/>
    <w:rsid w:val="00CB4783"/>
    <w:rsid w:val="00CB4A29"/>
    <w:rsid w:val="00CB4BCB"/>
    <w:rsid w:val="00CB4D05"/>
    <w:rsid w:val="00CB4D09"/>
    <w:rsid w:val="00CB4EFE"/>
    <w:rsid w:val="00CB4FB9"/>
    <w:rsid w:val="00CB51E3"/>
    <w:rsid w:val="00CB5345"/>
    <w:rsid w:val="00CB546F"/>
    <w:rsid w:val="00CB5518"/>
    <w:rsid w:val="00CB56A0"/>
    <w:rsid w:val="00CB5DD6"/>
    <w:rsid w:val="00CB5F15"/>
    <w:rsid w:val="00CB6436"/>
    <w:rsid w:val="00CB6609"/>
    <w:rsid w:val="00CB664A"/>
    <w:rsid w:val="00CB6A18"/>
    <w:rsid w:val="00CB6CA2"/>
    <w:rsid w:val="00CB6D2B"/>
    <w:rsid w:val="00CB7033"/>
    <w:rsid w:val="00CB74EE"/>
    <w:rsid w:val="00CB7641"/>
    <w:rsid w:val="00CB781C"/>
    <w:rsid w:val="00CB7820"/>
    <w:rsid w:val="00CB79D9"/>
    <w:rsid w:val="00CB7C9D"/>
    <w:rsid w:val="00CB7CD0"/>
    <w:rsid w:val="00CB7D3F"/>
    <w:rsid w:val="00CC0027"/>
    <w:rsid w:val="00CC0502"/>
    <w:rsid w:val="00CC0DC9"/>
    <w:rsid w:val="00CC12C0"/>
    <w:rsid w:val="00CC1402"/>
    <w:rsid w:val="00CC15C3"/>
    <w:rsid w:val="00CC171E"/>
    <w:rsid w:val="00CC19B1"/>
    <w:rsid w:val="00CC1A46"/>
    <w:rsid w:val="00CC1AB8"/>
    <w:rsid w:val="00CC1D99"/>
    <w:rsid w:val="00CC1E8C"/>
    <w:rsid w:val="00CC27DE"/>
    <w:rsid w:val="00CC2A36"/>
    <w:rsid w:val="00CC2C58"/>
    <w:rsid w:val="00CC3299"/>
    <w:rsid w:val="00CC372E"/>
    <w:rsid w:val="00CC386C"/>
    <w:rsid w:val="00CC4170"/>
    <w:rsid w:val="00CC41E1"/>
    <w:rsid w:val="00CC46EA"/>
    <w:rsid w:val="00CC4758"/>
    <w:rsid w:val="00CC484C"/>
    <w:rsid w:val="00CC4E3C"/>
    <w:rsid w:val="00CC547D"/>
    <w:rsid w:val="00CC586C"/>
    <w:rsid w:val="00CC6031"/>
    <w:rsid w:val="00CC609E"/>
    <w:rsid w:val="00CC6289"/>
    <w:rsid w:val="00CC64F6"/>
    <w:rsid w:val="00CC66D7"/>
    <w:rsid w:val="00CC67CC"/>
    <w:rsid w:val="00CC68D0"/>
    <w:rsid w:val="00CC6D9D"/>
    <w:rsid w:val="00CC6E75"/>
    <w:rsid w:val="00CC6EB1"/>
    <w:rsid w:val="00CC72ED"/>
    <w:rsid w:val="00CC7591"/>
    <w:rsid w:val="00CC7817"/>
    <w:rsid w:val="00CC7D56"/>
    <w:rsid w:val="00CC7EC4"/>
    <w:rsid w:val="00CC7FB4"/>
    <w:rsid w:val="00CD03DA"/>
    <w:rsid w:val="00CD0436"/>
    <w:rsid w:val="00CD0DF4"/>
    <w:rsid w:val="00CD0E1A"/>
    <w:rsid w:val="00CD100D"/>
    <w:rsid w:val="00CD1610"/>
    <w:rsid w:val="00CD1853"/>
    <w:rsid w:val="00CD1E1D"/>
    <w:rsid w:val="00CD1F54"/>
    <w:rsid w:val="00CD2159"/>
    <w:rsid w:val="00CD252C"/>
    <w:rsid w:val="00CD2594"/>
    <w:rsid w:val="00CD270D"/>
    <w:rsid w:val="00CD2724"/>
    <w:rsid w:val="00CD331B"/>
    <w:rsid w:val="00CD3354"/>
    <w:rsid w:val="00CD353E"/>
    <w:rsid w:val="00CD3825"/>
    <w:rsid w:val="00CD3CB8"/>
    <w:rsid w:val="00CD3F15"/>
    <w:rsid w:val="00CD44BA"/>
    <w:rsid w:val="00CD44F2"/>
    <w:rsid w:val="00CD479D"/>
    <w:rsid w:val="00CD47E2"/>
    <w:rsid w:val="00CD49EF"/>
    <w:rsid w:val="00CD4D09"/>
    <w:rsid w:val="00CD4DCB"/>
    <w:rsid w:val="00CD4E21"/>
    <w:rsid w:val="00CD4F7A"/>
    <w:rsid w:val="00CD5283"/>
    <w:rsid w:val="00CD53E8"/>
    <w:rsid w:val="00CD56B5"/>
    <w:rsid w:val="00CD576C"/>
    <w:rsid w:val="00CD5863"/>
    <w:rsid w:val="00CD58D9"/>
    <w:rsid w:val="00CD5A1A"/>
    <w:rsid w:val="00CD5B1E"/>
    <w:rsid w:val="00CD5B47"/>
    <w:rsid w:val="00CD5D07"/>
    <w:rsid w:val="00CD605A"/>
    <w:rsid w:val="00CD69D6"/>
    <w:rsid w:val="00CD6C89"/>
    <w:rsid w:val="00CD6CA2"/>
    <w:rsid w:val="00CD70EB"/>
    <w:rsid w:val="00CD7382"/>
    <w:rsid w:val="00CD7C20"/>
    <w:rsid w:val="00CE0294"/>
    <w:rsid w:val="00CE041C"/>
    <w:rsid w:val="00CE0AD8"/>
    <w:rsid w:val="00CE0CBC"/>
    <w:rsid w:val="00CE1253"/>
    <w:rsid w:val="00CE1272"/>
    <w:rsid w:val="00CE12F5"/>
    <w:rsid w:val="00CE154F"/>
    <w:rsid w:val="00CE1A81"/>
    <w:rsid w:val="00CE1CEA"/>
    <w:rsid w:val="00CE2F2C"/>
    <w:rsid w:val="00CE31B9"/>
    <w:rsid w:val="00CE3746"/>
    <w:rsid w:val="00CE3A30"/>
    <w:rsid w:val="00CE3DB3"/>
    <w:rsid w:val="00CE3ED1"/>
    <w:rsid w:val="00CE3F4E"/>
    <w:rsid w:val="00CE43AD"/>
    <w:rsid w:val="00CE4662"/>
    <w:rsid w:val="00CE4D2A"/>
    <w:rsid w:val="00CE4FAF"/>
    <w:rsid w:val="00CE503B"/>
    <w:rsid w:val="00CE50DA"/>
    <w:rsid w:val="00CE52DA"/>
    <w:rsid w:val="00CE57F8"/>
    <w:rsid w:val="00CE5823"/>
    <w:rsid w:val="00CE62C5"/>
    <w:rsid w:val="00CE647E"/>
    <w:rsid w:val="00CE64EB"/>
    <w:rsid w:val="00CE6686"/>
    <w:rsid w:val="00CE6B03"/>
    <w:rsid w:val="00CE6B9A"/>
    <w:rsid w:val="00CE70AC"/>
    <w:rsid w:val="00CE713A"/>
    <w:rsid w:val="00CE733B"/>
    <w:rsid w:val="00CE7691"/>
    <w:rsid w:val="00CE7721"/>
    <w:rsid w:val="00CE7A23"/>
    <w:rsid w:val="00CE7C3E"/>
    <w:rsid w:val="00CE7C58"/>
    <w:rsid w:val="00CF0248"/>
    <w:rsid w:val="00CF02DB"/>
    <w:rsid w:val="00CF0433"/>
    <w:rsid w:val="00CF054F"/>
    <w:rsid w:val="00CF07CF"/>
    <w:rsid w:val="00CF0826"/>
    <w:rsid w:val="00CF1218"/>
    <w:rsid w:val="00CF1647"/>
    <w:rsid w:val="00CF1955"/>
    <w:rsid w:val="00CF1A8C"/>
    <w:rsid w:val="00CF1C2A"/>
    <w:rsid w:val="00CF1C60"/>
    <w:rsid w:val="00CF2230"/>
    <w:rsid w:val="00CF2338"/>
    <w:rsid w:val="00CF2570"/>
    <w:rsid w:val="00CF2D50"/>
    <w:rsid w:val="00CF33CC"/>
    <w:rsid w:val="00CF35F7"/>
    <w:rsid w:val="00CF37D9"/>
    <w:rsid w:val="00CF3888"/>
    <w:rsid w:val="00CF3C59"/>
    <w:rsid w:val="00CF3DA9"/>
    <w:rsid w:val="00CF3EC8"/>
    <w:rsid w:val="00CF452A"/>
    <w:rsid w:val="00CF490A"/>
    <w:rsid w:val="00CF4CAA"/>
    <w:rsid w:val="00CF4F90"/>
    <w:rsid w:val="00CF5217"/>
    <w:rsid w:val="00CF5C78"/>
    <w:rsid w:val="00CF5D3A"/>
    <w:rsid w:val="00CF6002"/>
    <w:rsid w:val="00CF6093"/>
    <w:rsid w:val="00CF6783"/>
    <w:rsid w:val="00CF680F"/>
    <w:rsid w:val="00CF786B"/>
    <w:rsid w:val="00CF7878"/>
    <w:rsid w:val="00CF7C59"/>
    <w:rsid w:val="00CF7CE9"/>
    <w:rsid w:val="00CF7D8E"/>
    <w:rsid w:val="00CF7E97"/>
    <w:rsid w:val="00D00548"/>
    <w:rsid w:val="00D00564"/>
    <w:rsid w:val="00D007AA"/>
    <w:rsid w:val="00D010DF"/>
    <w:rsid w:val="00D01332"/>
    <w:rsid w:val="00D017E9"/>
    <w:rsid w:val="00D01CC1"/>
    <w:rsid w:val="00D01E32"/>
    <w:rsid w:val="00D01FF2"/>
    <w:rsid w:val="00D021B3"/>
    <w:rsid w:val="00D022CB"/>
    <w:rsid w:val="00D0234F"/>
    <w:rsid w:val="00D02816"/>
    <w:rsid w:val="00D02FD9"/>
    <w:rsid w:val="00D0336E"/>
    <w:rsid w:val="00D0342F"/>
    <w:rsid w:val="00D03554"/>
    <w:rsid w:val="00D0397F"/>
    <w:rsid w:val="00D03A58"/>
    <w:rsid w:val="00D03A66"/>
    <w:rsid w:val="00D03B21"/>
    <w:rsid w:val="00D03E18"/>
    <w:rsid w:val="00D03ED1"/>
    <w:rsid w:val="00D03FCC"/>
    <w:rsid w:val="00D04390"/>
    <w:rsid w:val="00D047E5"/>
    <w:rsid w:val="00D04979"/>
    <w:rsid w:val="00D04B2F"/>
    <w:rsid w:val="00D04CBD"/>
    <w:rsid w:val="00D04DB7"/>
    <w:rsid w:val="00D0567E"/>
    <w:rsid w:val="00D056C1"/>
    <w:rsid w:val="00D05853"/>
    <w:rsid w:val="00D058A9"/>
    <w:rsid w:val="00D05BF2"/>
    <w:rsid w:val="00D05CC8"/>
    <w:rsid w:val="00D05EB2"/>
    <w:rsid w:val="00D0606D"/>
    <w:rsid w:val="00D060A6"/>
    <w:rsid w:val="00D06154"/>
    <w:rsid w:val="00D06C2C"/>
    <w:rsid w:val="00D06E90"/>
    <w:rsid w:val="00D073C4"/>
    <w:rsid w:val="00D073D0"/>
    <w:rsid w:val="00D07667"/>
    <w:rsid w:val="00D076FF"/>
    <w:rsid w:val="00D078C7"/>
    <w:rsid w:val="00D07D6F"/>
    <w:rsid w:val="00D09FBB"/>
    <w:rsid w:val="00D10147"/>
    <w:rsid w:val="00D1025C"/>
    <w:rsid w:val="00D1039E"/>
    <w:rsid w:val="00D10DE5"/>
    <w:rsid w:val="00D10EA2"/>
    <w:rsid w:val="00D11328"/>
    <w:rsid w:val="00D11609"/>
    <w:rsid w:val="00D1178A"/>
    <w:rsid w:val="00D11B15"/>
    <w:rsid w:val="00D11DE1"/>
    <w:rsid w:val="00D1201F"/>
    <w:rsid w:val="00D122E3"/>
    <w:rsid w:val="00D12685"/>
    <w:rsid w:val="00D126C3"/>
    <w:rsid w:val="00D12852"/>
    <w:rsid w:val="00D12904"/>
    <w:rsid w:val="00D12B7C"/>
    <w:rsid w:val="00D12C94"/>
    <w:rsid w:val="00D12F3F"/>
    <w:rsid w:val="00D13267"/>
    <w:rsid w:val="00D13461"/>
    <w:rsid w:val="00D134DC"/>
    <w:rsid w:val="00D13AC2"/>
    <w:rsid w:val="00D13E08"/>
    <w:rsid w:val="00D1482D"/>
    <w:rsid w:val="00D14A6A"/>
    <w:rsid w:val="00D1569A"/>
    <w:rsid w:val="00D15EC8"/>
    <w:rsid w:val="00D16BD6"/>
    <w:rsid w:val="00D16D40"/>
    <w:rsid w:val="00D16DCC"/>
    <w:rsid w:val="00D16E63"/>
    <w:rsid w:val="00D16EBC"/>
    <w:rsid w:val="00D17051"/>
    <w:rsid w:val="00D17504"/>
    <w:rsid w:val="00D176A5"/>
    <w:rsid w:val="00D1776C"/>
    <w:rsid w:val="00D17AA2"/>
    <w:rsid w:val="00D17BC2"/>
    <w:rsid w:val="00D20794"/>
    <w:rsid w:val="00D216D1"/>
    <w:rsid w:val="00D21E29"/>
    <w:rsid w:val="00D22193"/>
    <w:rsid w:val="00D22385"/>
    <w:rsid w:val="00D2249D"/>
    <w:rsid w:val="00D2298A"/>
    <w:rsid w:val="00D22BA6"/>
    <w:rsid w:val="00D2343A"/>
    <w:rsid w:val="00D23834"/>
    <w:rsid w:val="00D2419D"/>
    <w:rsid w:val="00D2448F"/>
    <w:rsid w:val="00D24490"/>
    <w:rsid w:val="00D2465B"/>
    <w:rsid w:val="00D24F0F"/>
    <w:rsid w:val="00D24FBF"/>
    <w:rsid w:val="00D25339"/>
    <w:rsid w:val="00D25587"/>
    <w:rsid w:val="00D256DB"/>
    <w:rsid w:val="00D25941"/>
    <w:rsid w:val="00D25E54"/>
    <w:rsid w:val="00D260CB"/>
    <w:rsid w:val="00D2610B"/>
    <w:rsid w:val="00D2620D"/>
    <w:rsid w:val="00D2654E"/>
    <w:rsid w:val="00D26963"/>
    <w:rsid w:val="00D26BBD"/>
    <w:rsid w:val="00D26F28"/>
    <w:rsid w:val="00D27365"/>
    <w:rsid w:val="00D27519"/>
    <w:rsid w:val="00D275D9"/>
    <w:rsid w:val="00D301C3"/>
    <w:rsid w:val="00D306E0"/>
    <w:rsid w:val="00D306F8"/>
    <w:rsid w:val="00D30842"/>
    <w:rsid w:val="00D308EA"/>
    <w:rsid w:val="00D30C1E"/>
    <w:rsid w:val="00D30D79"/>
    <w:rsid w:val="00D31119"/>
    <w:rsid w:val="00D314F5"/>
    <w:rsid w:val="00D31562"/>
    <w:rsid w:val="00D315D5"/>
    <w:rsid w:val="00D3166E"/>
    <w:rsid w:val="00D31680"/>
    <w:rsid w:val="00D317C2"/>
    <w:rsid w:val="00D32580"/>
    <w:rsid w:val="00D32750"/>
    <w:rsid w:val="00D327D3"/>
    <w:rsid w:val="00D33060"/>
    <w:rsid w:val="00D332E5"/>
    <w:rsid w:val="00D33378"/>
    <w:rsid w:val="00D33563"/>
    <w:rsid w:val="00D3381B"/>
    <w:rsid w:val="00D3396E"/>
    <w:rsid w:val="00D33BE0"/>
    <w:rsid w:val="00D33BFC"/>
    <w:rsid w:val="00D33C82"/>
    <w:rsid w:val="00D33F22"/>
    <w:rsid w:val="00D343CB"/>
    <w:rsid w:val="00D343E5"/>
    <w:rsid w:val="00D34645"/>
    <w:rsid w:val="00D34654"/>
    <w:rsid w:val="00D348CE"/>
    <w:rsid w:val="00D34DAA"/>
    <w:rsid w:val="00D35079"/>
    <w:rsid w:val="00D35528"/>
    <w:rsid w:val="00D35AEC"/>
    <w:rsid w:val="00D35C2D"/>
    <w:rsid w:val="00D35D5B"/>
    <w:rsid w:val="00D35F09"/>
    <w:rsid w:val="00D362DF"/>
    <w:rsid w:val="00D363E4"/>
    <w:rsid w:val="00D36897"/>
    <w:rsid w:val="00D3765B"/>
    <w:rsid w:val="00D37CCF"/>
    <w:rsid w:val="00D37D68"/>
    <w:rsid w:val="00D40580"/>
    <w:rsid w:val="00D40742"/>
    <w:rsid w:val="00D40D4F"/>
    <w:rsid w:val="00D40EDE"/>
    <w:rsid w:val="00D40F29"/>
    <w:rsid w:val="00D41498"/>
    <w:rsid w:val="00D41A15"/>
    <w:rsid w:val="00D41EFC"/>
    <w:rsid w:val="00D42319"/>
    <w:rsid w:val="00D42360"/>
    <w:rsid w:val="00D4247E"/>
    <w:rsid w:val="00D425AC"/>
    <w:rsid w:val="00D425E4"/>
    <w:rsid w:val="00D42AF0"/>
    <w:rsid w:val="00D42C98"/>
    <w:rsid w:val="00D43243"/>
    <w:rsid w:val="00D43358"/>
    <w:rsid w:val="00D43656"/>
    <w:rsid w:val="00D4396C"/>
    <w:rsid w:val="00D43B55"/>
    <w:rsid w:val="00D43BED"/>
    <w:rsid w:val="00D43CB3"/>
    <w:rsid w:val="00D44036"/>
    <w:rsid w:val="00D44064"/>
    <w:rsid w:val="00D44259"/>
    <w:rsid w:val="00D443C6"/>
    <w:rsid w:val="00D44818"/>
    <w:rsid w:val="00D44853"/>
    <w:rsid w:val="00D44982"/>
    <w:rsid w:val="00D458E0"/>
    <w:rsid w:val="00D45AE1"/>
    <w:rsid w:val="00D45CC9"/>
    <w:rsid w:val="00D45FB3"/>
    <w:rsid w:val="00D46219"/>
    <w:rsid w:val="00D46438"/>
    <w:rsid w:val="00D46473"/>
    <w:rsid w:val="00D468B3"/>
    <w:rsid w:val="00D469D8"/>
    <w:rsid w:val="00D469E2"/>
    <w:rsid w:val="00D46C41"/>
    <w:rsid w:val="00D46CC3"/>
    <w:rsid w:val="00D47166"/>
    <w:rsid w:val="00D47303"/>
    <w:rsid w:val="00D474CE"/>
    <w:rsid w:val="00D4764E"/>
    <w:rsid w:val="00D476FD"/>
    <w:rsid w:val="00D47789"/>
    <w:rsid w:val="00D4785A"/>
    <w:rsid w:val="00D47D75"/>
    <w:rsid w:val="00D47E42"/>
    <w:rsid w:val="00D47EA2"/>
    <w:rsid w:val="00D47EB7"/>
    <w:rsid w:val="00D502DC"/>
    <w:rsid w:val="00D50E3D"/>
    <w:rsid w:val="00D5157F"/>
    <w:rsid w:val="00D5188E"/>
    <w:rsid w:val="00D51DDA"/>
    <w:rsid w:val="00D51E46"/>
    <w:rsid w:val="00D51E62"/>
    <w:rsid w:val="00D51FE5"/>
    <w:rsid w:val="00D524AC"/>
    <w:rsid w:val="00D52830"/>
    <w:rsid w:val="00D52916"/>
    <w:rsid w:val="00D52CFF"/>
    <w:rsid w:val="00D52D2A"/>
    <w:rsid w:val="00D52FBD"/>
    <w:rsid w:val="00D53467"/>
    <w:rsid w:val="00D534AE"/>
    <w:rsid w:val="00D5397E"/>
    <w:rsid w:val="00D53BCF"/>
    <w:rsid w:val="00D53F30"/>
    <w:rsid w:val="00D540D7"/>
    <w:rsid w:val="00D54143"/>
    <w:rsid w:val="00D5426A"/>
    <w:rsid w:val="00D54459"/>
    <w:rsid w:val="00D54794"/>
    <w:rsid w:val="00D54CB5"/>
    <w:rsid w:val="00D55560"/>
    <w:rsid w:val="00D55CBC"/>
    <w:rsid w:val="00D55F5F"/>
    <w:rsid w:val="00D56388"/>
    <w:rsid w:val="00D56647"/>
    <w:rsid w:val="00D5665F"/>
    <w:rsid w:val="00D566B2"/>
    <w:rsid w:val="00D56C5E"/>
    <w:rsid w:val="00D56FBB"/>
    <w:rsid w:val="00D571E1"/>
    <w:rsid w:val="00D57353"/>
    <w:rsid w:val="00D577AF"/>
    <w:rsid w:val="00D577B8"/>
    <w:rsid w:val="00D57AE6"/>
    <w:rsid w:val="00D57C58"/>
    <w:rsid w:val="00D57CE4"/>
    <w:rsid w:val="00D57FC2"/>
    <w:rsid w:val="00D57FF3"/>
    <w:rsid w:val="00D60227"/>
    <w:rsid w:val="00D608A0"/>
    <w:rsid w:val="00D60B75"/>
    <w:rsid w:val="00D60BB4"/>
    <w:rsid w:val="00D615E8"/>
    <w:rsid w:val="00D61A1D"/>
    <w:rsid w:val="00D61B4E"/>
    <w:rsid w:val="00D61D9A"/>
    <w:rsid w:val="00D61DA7"/>
    <w:rsid w:val="00D6237D"/>
    <w:rsid w:val="00D6238A"/>
    <w:rsid w:val="00D62793"/>
    <w:rsid w:val="00D628BF"/>
    <w:rsid w:val="00D62DB0"/>
    <w:rsid w:val="00D63081"/>
    <w:rsid w:val="00D63C8B"/>
    <w:rsid w:val="00D64500"/>
    <w:rsid w:val="00D64536"/>
    <w:rsid w:val="00D645B7"/>
    <w:rsid w:val="00D64935"/>
    <w:rsid w:val="00D64D43"/>
    <w:rsid w:val="00D64F11"/>
    <w:rsid w:val="00D65131"/>
    <w:rsid w:val="00D651C9"/>
    <w:rsid w:val="00D65779"/>
    <w:rsid w:val="00D65853"/>
    <w:rsid w:val="00D65DB8"/>
    <w:rsid w:val="00D66218"/>
    <w:rsid w:val="00D6621A"/>
    <w:rsid w:val="00D66332"/>
    <w:rsid w:val="00D66423"/>
    <w:rsid w:val="00D66756"/>
    <w:rsid w:val="00D66807"/>
    <w:rsid w:val="00D668F0"/>
    <w:rsid w:val="00D66948"/>
    <w:rsid w:val="00D66A39"/>
    <w:rsid w:val="00D66B0C"/>
    <w:rsid w:val="00D66B46"/>
    <w:rsid w:val="00D66E36"/>
    <w:rsid w:val="00D66FEC"/>
    <w:rsid w:val="00D67211"/>
    <w:rsid w:val="00D6732B"/>
    <w:rsid w:val="00D67C2E"/>
    <w:rsid w:val="00D67D6D"/>
    <w:rsid w:val="00D67D8A"/>
    <w:rsid w:val="00D7020A"/>
    <w:rsid w:val="00D704CC"/>
    <w:rsid w:val="00D705A3"/>
    <w:rsid w:val="00D706CB"/>
    <w:rsid w:val="00D70D5F"/>
    <w:rsid w:val="00D711A9"/>
    <w:rsid w:val="00D71984"/>
    <w:rsid w:val="00D719DA"/>
    <w:rsid w:val="00D71A18"/>
    <w:rsid w:val="00D72348"/>
    <w:rsid w:val="00D72629"/>
    <w:rsid w:val="00D72751"/>
    <w:rsid w:val="00D72822"/>
    <w:rsid w:val="00D72894"/>
    <w:rsid w:val="00D72BF7"/>
    <w:rsid w:val="00D72DEA"/>
    <w:rsid w:val="00D72E1D"/>
    <w:rsid w:val="00D72FCE"/>
    <w:rsid w:val="00D73816"/>
    <w:rsid w:val="00D73904"/>
    <w:rsid w:val="00D73A27"/>
    <w:rsid w:val="00D73A35"/>
    <w:rsid w:val="00D73A5F"/>
    <w:rsid w:val="00D73DF5"/>
    <w:rsid w:val="00D73E8E"/>
    <w:rsid w:val="00D73F58"/>
    <w:rsid w:val="00D73F67"/>
    <w:rsid w:val="00D740EA"/>
    <w:rsid w:val="00D74324"/>
    <w:rsid w:val="00D74D82"/>
    <w:rsid w:val="00D74E42"/>
    <w:rsid w:val="00D751F0"/>
    <w:rsid w:val="00D75397"/>
    <w:rsid w:val="00D75499"/>
    <w:rsid w:val="00D75555"/>
    <w:rsid w:val="00D759BE"/>
    <w:rsid w:val="00D762AE"/>
    <w:rsid w:val="00D7652E"/>
    <w:rsid w:val="00D76BB8"/>
    <w:rsid w:val="00D773F4"/>
    <w:rsid w:val="00D7766E"/>
    <w:rsid w:val="00D77924"/>
    <w:rsid w:val="00D8084E"/>
    <w:rsid w:val="00D80A06"/>
    <w:rsid w:val="00D813B4"/>
    <w:rsid w:val="00D81478"/>
    <w:rsid w:val="00D81481"/>
    <w:rsid w:val="00D81ACD"/>
    <w:rsid w:val="00D81F43"/>
    <w:rsid w:val="00D82150"/>
    <w:rsid w:val="00D837A3"/>
    <w:rsid w:val="00D83A0C"/>
    <w:rsid w:val="00D83D4B"/>
    <w:rsid w:val="00D83F99"/>
    <w:rsid w:val="00D848EA"/>
    <w:rsid w:val="00D84A44"/>
    <w:rsid w:val="00D84AC5"/>
    <w:rsid w:val="00D84B3E"/>
    <w:rsid w:val="00D84DFA"/>
    <w:rsid w:val="00D84E4A"/>
    <w:rsid w:val="00D85183"/>
    <w:rsid w:val="00D85254"/>
    <w:rsid w:val="00D855BE"/>
    <w:rsid w:val="00D85E70"/>
    <w:rsid w:val="00D863A0"/>
    <w:rsid w:val="00D86494"/>
    <w:rsid w:val="00D865DC"/>
    <w:rsid w:val="00D86809"/>
    <w:rsid w:val="00D86861"/>
    <w:rsid w:val="00D86E4F"/>
    <w:rsid w:val="00D87139"/>
    <w:rsid w:val="00D871E3"/>
    <w:rsid w:val="00D87938"/>
    <w:rsid w:val="00D87E3B"/>
    <w:rsid w:val="00D87F04"/>
    <w:rsid w:val="00D901B4"/>
    <w:rsid w:val="00D902E7"/>
    <w:rsid w:val="00D90719"/>
    <w:rsid w:val="00D90E19"/>
    <w:rsid w:val="00D90F0E"/>
    <w:rsid w:val="00D9112F"/>
    <w:rsid w:val="00D91234"/>
    <w:rsid w:val="00D9152C"/>
    <w:rsid w:val="00D915E3"/>
    <w:rsid w:val="00D9167C"/>
    <w:rsid w:val="00D91992"/>
    <w:rsid w:val="00D91AAC"/>
    <w:rsid w:val="00D91E04"/>
    <w:rsid w:val="00D91E9B"/>
    <w:rsid w:val="00D92184"/>
    <w:rsid w:val="00D9240B"/>
    <w:rsid w:val="00D924FF"/>
    <w:rsid w:val="00D92523"/>
    <w:rsid w:val="00D92A37"/>
    <w:rsid w:val="00D92C83"/>
    <w:rsid w:val="00D92E8D"/>
    <w:rsid w:val="00D92E9E"/>
    <w:rsid w:val="00D93095"/>
    <w:rsid w:val="00D931F2"/>
    <w:rsid w:val="00D932F2"/>
    <w:rsid w:val="00D93307"/>
    <w:rsid w:val="00D933C4"/>
    <w:rsid w:val="00D933CB"/>
    <w:rsid w:val="00D93C9C"/>
    <w:rsid w:val="00D93CC0"/>
    <w:rsid w:val="00D93D40"/>
    <w:rsid w:val="00D93E33"/>
    <w:rsid w:val="00D93EB3"/>
    <w:rsid w:val="00D93F29"/>
    <w:rsid w:val="00D94221"/>
    <w:rsid w:val="00D942CC"/>
    <w:rsid w:val="00D943AF"/>
    <w:rsid w:val="00D944D6"/>
    <w:rsid w:val="00D947C2"/>
    <w:rsid w:val="00D95186"/>
    <w:rsid w:val="00D95205"/>
    <w:rsid w:val="00D955D9"/>
    <w:rsid w:val="00D95761"/>
    <w:rsid w:val="00D9588F"/>
    <w:rsid w:val="00D95B02"/>
    <w:rsid w:val="00D95B87"/>
    <w:rsid w:val="00D95E14"/>
    <w:rsid w:val="00D95ECC"/>
    <w:rsid w:val="00D95F36"/>
    <w:rsid w:val="00D9622F"/>
    <w:rsid w:val="00D9646F"/>
    <w:rsid w:val="00D964DA"/>
    <w:rsid w:val="00D96C04"/>
    <w:rsid w:val="00D96D84"/>
    <w:rsid w:val="00D96E41"/>
    <w:rsid w:val="00D9721E"/>
    <w:rsid w:val="00D972F3"/>
    <w:rsid w:val="00D9743E"/>
    <w:rsid w:val="00D97641"/>
    <w:rsid w:val="00DA0F91"/>
    <w:rsid w:val="00DA1614"/>
    <w:rsid w:val="00DA1677"/>
    <w:rsid w:val="00DA1D9C"/>
    <w:rsid w:val="00DA1F86"/>
    <w:rsid w:val="00DA2323"/>
    <w:rsid w:val="00DA24D2"/>
    <w:rsid w:val="00DA2600"/>
    <w:rsid w:val="00DA26C9"/>
    <w:rsid w:val="00DA2872"/>
    <w:rsid w:val="00DA29B8"/>
    <w:rsid w:val="00DA2A87"/>
    <w:rsid w:val="00DA2ABD"/>
    <w:rsid w:val="00DA2EAD"/>
    <w:rsid w:val="00DA3007"/>
    <w:rsid w:val="00DA34A9"/>
    <w:rsid w:val="00DA36B5"/>
    <w:rsid w:val="00DA3A93"/>
    <w:rsid w:val="00DA3B25"/>
    <w:rsid w:val="00DA3C1A"/>
    <w:rsid w:val="00DA40CD"/>
    <w:rsid w:val="00DA4335"/>
    <w:rsid w:val="00DA45E0"/>
    <w:rsid w:val="00DA4820"/>
    <w:rsid w:val="00DA4AB4"/>
    <w:rsid w:val="00DA4F57"/>
    <w:rsid w:val="00DA4F5E"/>
    <w:rsid w:val="00DA51FC"/>
    <w:rsid w:val="00DA56BA"/>
    <w:rsid w:val="00DA5825"/>
    <w:rsid w:val="00DA5865"/>
    <w:rsid w:val="00DA59B9"/>
    <w:rsid w:val="00DA5B30"/>
    <w:rsid w:val="00DA5CB7"/>
    <w:rsid w:val="00DA5CFE"/>
    <w:rsid w:val="00DA60E7"/>
    <w:rsid w:val="00DA68C3"/>
    <w:rsid w:val="00DA6A3C"/>
    <w:rsid w:val="00DA6CA0"/>
    <w:rsid w:val="00DA755D"/>
    <w:rsid w:val="00DA7B12"/>
    <w:rsid w:val="00DA7BAE"/>
    <w:rsid w:val="00DA7C3D"/>
    <w:rsid w:val="00DA7C8F"/>
    <w:rsid w:val="00DA7ECB"/>
    <w:rsid w:val="00DA7ED7"/>
    <w:rsid w:val="00DA7F92"/>
    <w:rsid w:val="00DB0159"/>
    <w:rsid w:val="00DB02DF"/>
    <w:rsid w:val="00DB089C"/>
    <w:rsid w:val="00DB08BC"/>
    <w:rsid w:val="00DB0903"/>
    <w:rsid w:val="00DB0DF1"/>
    <w:rsid w:val="00DB0E39"/>
    <w:rsid w:val="00DB0E78"/>
    <w:rsid w:val="00DB0F53"/>
    <w:rsid w:val="00DB1204"/>
    <w:rsid w:val="00DB1382"/>
    <w:rsid w:val="00DB1AA9"/>
    <w:rsid w:val="00DB1E1B"/>
    <w:rsid w:val="00DB1F40"/>
    <w:rsid w:val="00DB1F7E"/>
    <w:rsid w:val="00DB2052"/>
    <w:rsid w:val="00DB20AE"/>
    <w:rsid w:val="00DB26FA"/>
    <w:rsid w:val="00DB273D"/>
    <w:rsid w:val="00DB2D89"/>
    <w:rsid w:val="00DB2F22"/>
    <w:rsid w:val="00DB2F87"/>
    <w:rsid w:val="00DB32C4"/>
    <w:rsid w:val="00DB3A7D"/>
    <w:rsid w:val="00DB4103"/>
    <w:rsid w:val="00DB5229"/>
    <w:rsid w:val="00DB537A"/>
    <w:rsid w:val="00DB5380"/>
    <w:rsid w:val="00DB59C5"/>
    <w:rsid w:val="00DB5C74"/>
    <w:rsid w:val="00DB5F17"/>
    <w:rsid w:val="00DB684C"/>
    <w:rsid w:val="00DB692D"/>
    <w:rsid w:val="00DB6A04"/>
    <w:rsid w:val="00DB6C97"/>
    <w:rsid w:val="00DB6D5E"/>
    <w:rsid w:val="00DB6F0B"/>
    <w:rsid w:val="00DB71A8"/>
    <w:rsid w:val="00DB7479"/>
    <w:rsid w:val="00DB769B"/>
    <w:rsid w:val="00DB788D"/>
    <w:rsid w:val="00DB7FD3"/>
    <w:rsid w:val="00DB7FDC"/>
    <w:rsid w:val="00DC0423"/>
    <w:rsid w:val="00DC054B"/>
    <w:rsid w:val="00DC0878"/>
    <w:rsid w:val="00DC0AAB"/>
    <w:rsid w:val="00DC0BF7"/>
    <w:rsid w:val="00DC0C8D"/>
    <w:rsid w:val="00DC0D42"/>
    <w:rsid w:val="00DC1060"/>
    <w:rsid w:val="00DC1A3F"/>
    <w:rsid w:val="00DC1F1F"/>
    <w:rsid w:val="00DC208B"/>
    <w:rsid w:val="00DC276D"/>
    <w:rsid w:val="00DC2AF5"/>
    <w:rsid w:val="00DC2B85"/>
    <w:rsid w:val="00DC2C2B"/>
    <w:rsid w:val="00DC2D7E"/>
    <w:rsid w:val="00DC3020"/>
    <w:rsid w:val="00DC3522"/>
    <w:rsid w:val="00DC3951"/>
    <w:rsid w:val="00DC3ADE"/>
    <w:rsid w:val="00DC3FC7"/>
    <w:rsid w:val="00DC403C"/>
    <w:rsid w:val="00DC4089"/>
    <w:rsid w:val="00DC40E5"/>
    <w:rsid w:val="00DC4116"/>
    <w:rsid w:val="00DC4491"/>
    <w:rsid w:val="00DC4980"/>
    <w:rsid w:val="00DC4B11"/>
    <w:rsid w:val="00DC4C34"/>
    <w:rsid w:val="00DC510E"/>
    <w:rsid w:val="00DC51E9"/>
    <w:rsid w:val="00DC5734"/>
    <w:rsid w:val="00DC57AC"/>
    <w:rsid w:val="00DC58C0"/>
    <w:rsid w:val="00DC59C5"/>
    <w:rsid w:val="00DC5F14"/>
    <w:rsid w:val="00DC6A33"/>
    <w:rsid w:val="00DC6B94"/>
    <w:rsid w:val="00DC6C10"/>
    <w:rsid w:val="00DC6C9B"/>
    <w:rsid w:val="00DC6D60"/>
    <w:rsid w:val="00DC709B"/>
    <w:rsid w:val="00DD0188"/>
    <w:rsid w:val="00DD0737"/>
    <w:rsid w:val="00DD07EA"/>
    <w:rsid w:val="00DD08C7"/>
    <w:rsid w:val="00DD0AA0"/>
    <w:rsid w:val="00DD0B87"/>
    <w:rsid w:val="00DD0D4E"/>
    <w:rsid w:val="00DD0F98"/>
    <w:rsid w:val="00DD1077"/>
    <w:rsid w:val="00DD10C4"/>
    <w:rsid w:val="00DD1145"/>
    <w:rsid w:val="00DD1158"/>
    <w:rsid w:val="00DD13BF"/>
    <w:rsid w:val="00DD1450"/>
    <w:rsid w:val="00DD14EB"/>
    <w:rsid w:val="00DD1571"/>
    <w:rsid w:val="00DD15C3"/>
    <w:rsid w:val="00DD1AAB"/>
    <w:rsid w:val="00DD1DD6"/>
    <w:rsid w:val="00DD2058"/>
    <w:rsid w:val="00DD25D6"/>
    <w:rsid w:val="00DD2728"/>
    <w:rsid w:val="00DD2830"/>
    <w:rsid w:val="00DD32EF"/>
    <w:rsid w:val="00DD34FB"/>
    <w:rsid w:val="00DD3887"/>
    <w:rsid w:val="00DD38CA"/>
    <w:rsid w:val="00DD39D4"/>
    <w:rsid w:val="00DD45B9"/>
    <w:rsid w:val="00DD5458"/>
    <w:rsid w:val="00DD55B0"/>
    <w:rsid w:val="00DD5672"/>
    <w:rsid w:val="00DD5CB8"/>
    <w:rsid w:val="00DD5DE9"/>
    <w:rsid w:val="00DD5E5B"/>
    <w:rsid w:val="00DD601E"/>
    <w:rsid w:val="00DD64A2"/>
    <w:rsid w:val="00DD6798"/>
    <w:rsid w:val="00DD7004"/>
    <w:rsid w:val="00DD717D"/>
    <w:rsid w:val="00DD772A"/>
    <w:rsid w:val="00DD779E"/>
    <w:rsid w:val="00DD7AC1"/>
    <w:rsid w:val="00DD7B92"/>
    <w:rsid w:val="00DE0190"/>
    <w:rsid w:val="00DE198A"/>
    <w:rsid w:val="00DE21CE"/>
    <w:rsid w:val="00DE2314"/>
    <w:rsid w:val="00DE2447"/>
    <w:rsid w:val="00DE2D4F"/>
    <w:rsid w:val="00DE2E8C"/>
    <w:rsid w:val="00DE3045"/>
    <w:rsid w:val="00DE3693"/>
    <w:rsid w:val="00DE3D6F"/>
    <w:rsid w:val="00DE501C"/>
    <w:rsid w:val="00DE5074"/>
    <w:rsid w:val="00DE511A"/>
    <w:rsid w:val="00DE5211"/>
    <w:rsid w:val="00DE5626"/>
    <w:rsid w:val="00DE5A6E"/>
    <w:rsid w:val="00DE5B16"/>
    <w:rsid w:val="00DE5DD8"/>
    <w:rsid w:val="00DE5FA3"/>
    <w:rsid w:val="00DE6888"/>
    <w:rsid w:val="00DE69CB"/>
    <w:rsid w:val="00DE71E9"/>
    <w:rsid w:val="00DE71EC"/>
    <w:rsid w:val="00DE768D"/>
    <w:rsid w:val="00DE7878"/>
    <w:rsid w:val="00DE79F5"/>
    <w:rsid w:val="00DF03E3"/>
    <w:rsid w:val="00DF03E4"/>
    <w:rsid w:val="00DF03EB"/>
    <w:rsid w:val="00DF0512"/>
    <w:rsid w:val="00DF0734"/>
    <w:rsid w:val="00DF07D7"/>
    <w:rsid w:val="00DF0A72"/>
    <w:rsid w:val="00DF0A7F"/>
    <w:rsid w:val="00DF111B"/>
    <w:rsid w:val="00DF11E5"/>
    <w:rsid w:val="00DF14AE"/>
    <w:rsid w:val="00DF1730"/>
    <w:rsid w:val="00DF18EC"/>
    <w:rsid w:val="00DF19CB"/>
    <w:rsid w:val="00DF26DD"/>
    <w:rsid w:val="00DF2B57"/>
    <w:rsid w:val="00DF2C3B"/>
    <w:rsid w:val="00DF2ED2"/>
    <w:rsid w:val="00DF32A6"/>
    <w:rsid w:val="00DF3314"/>
    <w:rsid w:val="00DF332D"/>
    <w:rsid w:val="00DF3F09"/>
    <w:rsid w:val="00DF3F4B"/>
    <w:rsid w:val="00DF43A0"/>
    <w:rsid w:val="00DF47AB"/>
    <w:rsid w:val="00DF486B"/>
    <w:rsid w:val="00DF4A66"/>
    <w:rsid w:val="00DF4AA5"/>
    <w:rsid w:val="00DF4B43"/>
    <w:rsid w:val="00DF4F46"/>
    <w:rsid w:val="00DF55D5"/>
    <w:rsid w:val="00DF585B"/>
    <w:rsid w:val="00DF5889"/>
    <w:rsid w:val="00DF590F"/>
    <w:rsid w:val="00DF5E20"/>
    <w:rsid w:val="00DF5FF2"/>
    <w:rsid w:val="00DF6357"/>
    <w:rsid w:val="00DF6547"/>
    <w:rsid w:val="00DF663E"/>
    <w:rsid w:val="00DF669F"/>
    <w:rsid w:val="00DF6DC0"/>
    <w:rsid w:val="00DF6E31"/>
    <w:rsid w:val="00DF6F42"/>
    <w:rsid w:val="00DF726A"/>
    <w:rsid w:val="00DF73DC"/>
    <w:rsid w:val="00DF7674"/>
    <w:rsid w:val="00DF7D4E"/>
    <w:rsid w:val="00DF7F98"/>
    <w:rsid w:val="00E0011E"/>
    <w:rsid w:val="00E00589"/>
    <w:rsid w:val="00E005EF"/>
    <w:rsid w:val="00E007F2"/>
    <w:rsid w:val="00E0088A"/>
    <w:rsid w:val="00E00BA7"/>
    <w:rsid w:val="00E00C77"/>
    <w:rsid w:val="00E00D14"/>
    <w:rsid w:val="00E00E69"/>
    <w:rsid w:val="00E00EE3"/>
    <w:rsid w:val="00E00F3B"/>
    <w:rsid w:val="00E0160B"/>
    <w:rsid w:val="00E0197A"/>
    <w:rsid w:val="00E01EA9"/>
    <w:rsid w:val="00E0201F"/>
    <w:rsid w:val="00E0269E"/>
    <w:rsid w:val="00E02D7A"/>
    <w:rsid w:val="00E02F88"/>
    <w:rsid w:val="00E02FD7"/>
    <w:rsid w:val="00E03329"/>
    <w:rsid w:val="00E0339A"/>
    <w:rsid w:val="00E03583"/>
    <w:rsid w:val="00E035F6"/>
    <w:rsid w:val="00E03F7B"/>
    <w:rsid w:val="00E04387"/>
    <w:rsid w:val="00E04987"/>
    <w:rsid w:val="00E04E6D"/>
    <w:rsid w:val="00E058BF"/>
    <w:rsid w:val="00E0592F"/>
    <w:rsid w:val="00E05943"/>
    <w:rsid w:val="00E05B27"/>
    <w:rsid w:val="00E05C86"/>
    <w:rsid w:val="00E05FA2"/>
    <w:rsid w:val="00E0631D"/>
    <w:rsid w:val="00E06567"/>
    <w:rsid w:val="00E068E2"/>
    <w:rsid w:val="00E0718F"/>
    <w:rsid w:val="00E07252"/>
    <w:rsid w:val="00E07368"/>
    <w:rsid w:val="00E0743E"/>
    <w:rsid w:val="00E07572"/>
    <w:rsid w:val="00E077A1"/>
    <w:rsid w:val="00E07E20"/>
    <w:rsid w:val="00E101D8"/>
    <w:rsid w:val="00E10224"/>
    <w:rsid w:val="00E1027F"/>
    <w:rsid w:val="00E10632"/>
    <w:rsid w:val="00E10A4D"/>
    <w:rsid w:val="00E10D43"/>
    <w:rsid w:val="00E10D59"/>
    <w:rsid w:val="00E11273"/>
    <w:rsid w:val="00E11277"/>
    <w:rsid w:val="00E11455"/>
    <w:rsid w:val="00E11491"/>
    <w:rsid w:val="00E11A13"/>
    <w:rsid w:val="00E11D65"/>
    <w:rsid w:val="00E11D76"/>
    <w:rsid w:val="00E1206E"/>
    <w:rsid w:val="00E126BE"/>
    <w:rsid w:val="00E12979"/>
    <w:rsid w:val="00E12F3C"/>
    <w:rsid w:val="00E1330A"/>
    <w:rsid w:val="00E13439"/>
    <w:rsid w:val="00E13479"/>
    <w:rsid w:val="00E1367C"/>
    <w:rsid w:val="00E1376D"/>
    <w:rsid w:val="00E137D0"/>
    <w:rsid w:val="00E13833"/>
    <w:rsid w:val="00E138A7"/>
    <w:rsid w:val="00E13C9F"/>
    <w:rsid w:val="00E1411F"/>
    <w:rsid w:val="00E14367"/>
    <w:rsid w:val="00E143F9"/>
    <w:rsid w:val="00E14662"/>
    <w:rsid w:val="00E149ED"/>
    <w:rsid w:val="00E14D9A"/>
    <w:rsid w:val="00E14F3E"/>
    <w:rsid w:val="00E1527D"/>
    <w:rsid w:val="00E156BD"/>
    <w:rsid w:val="00E1585D"/>
    <w:rsid w:val="00E15D17"/>
    <w:rsid w:val="00E15DA1"/>
    <w:rsid w:val="00E15E02"/>
    <w:rsid w:val="00E15FBE"/>
    <w:rsid w:val="00E16147"/>
    <w:rsid w:val="00E16205"/>
    <w:rsid w:val="00E1631A"/>
    <w:rsid w:val="00E167F0"/>
    <w:rsid w:val="00E16E9D"/>
    <w:rsid w:val="00E16F9F"/>
    <w:rsid w:val="00E1702D"/>
    <w:rsid w:val="00E177F3"/>
    <w:rsid w:val="00E1790B"/>
    <w:rsid w:val="00E17964"/>
    <w:rsid w:val="00E17C37"/>
    <w:rsid w:val="00E17DB0"/>
    <w:rsid w:val="00E17E87"/>
    <w:rsid w:val="00E17FA2"/>
    <w:rsid w:val="00E200EF"/>
    <w:rsid w:val="00E2025B"/>
    <w:rsid w:val="00E2037C"/>
    <w:rsid w:val="00E20558"/>
    <w:rsid w:val="00E2083C"/>
    <w:rsid w:val="00E20AC9"/>
    <w:rsid w:val="00E20CFF"/>
    <w:rsid w:val="00E21448"/>
    <w:rsid w:val="00E218AF"/>
    <w:rsid w:val="00E21DEB"/>
    <w:rsid w:val="00E21E18"/>
    <w:rsid w:val="00E21F3E"/>
    <w:rsid w:val="00E2203C"/>
    <w:rsid w:val="00E22848"/>
    <w:rsid w:val="00E22AAF"/>
    <w:rsid w:val="00E22AD7"/>
    <w:rsid w:val="00E22B42"/>
    <w:rsid w:val="00E22DE0"/>
    <w:rsid w:val="00E22F40"/>
    <w:rsid w:val="00E23258"/>
    <w:rsid w:val="00E23C63"/>
    <w:rsid w:val="00E23CDD"/>
    <w:rsid w:val="00E24139"/>
    <w:rsid w:val="00E24320"/>
    <w:rsid w:val="00E246ED"/>
    <w:rsid w:val="00E2477A"/>
    <w:rsid w:val="00E24BD3"/>
    <w:rsid w:val="00E24D98"/>
    <w:rsid w:val="00E24EE1"/>
    <w:rsid w:val="00E2503C"/>
    <w:rsid w:val="00E251B4"/>
    <w:rsid w:val="00E25428"/>
    <w:rsid w:val="00E2562C"/>
    <w:rsid w:val="00E256B4"/>
    <w:rsid w:val="00E259F4"/>
    <w:rsid w:val="00E25B46"/>
    <w:rsid w:val="00E25F0E"/>
    <w:rsid w:val="00E26041"/>
    <w:rsid w:val="00E265E5"/>
    <w:rsid w:val="00E265EC"/>
    <w:rsid w:val="00E2692C"/>
    <w:rsid w:val="00E26BBF"/>
    <w:rsid w:val="00E26E11"/>
    <w:rsid w:val="00E27124"/>
    <w:rsid w:val="00E27498"/>
    <w:rsid w:val="00E276DA"/>
    <w:rsid w:val="00E27E1B"/>
    <w:rsid w:val="00E3038F"/>
    <w:rsid w:val="00E304C9"/>
    <w:rsid w:val="00E30AEC"/>
    <w:rsid w:val="00E30CEE"/>
    <w:rsid w:val="00E30FC2"/>
    <w:rsid w:val="00E31609"/>
    <w:rsid w:val="00E31798"/>
    <w:rsid w:val="00E318EA"/>
    <w:rsid w:val="00E3193E"/>
    <w:rsid w:val="00E31955"/>
    <w:rsid w:val="00E31C4D"/>
    <w:rsid w:val="00E31D7D"/>
    <w:rsid w:val="00E31E1B"/>
    <w:rsid w:val="00E328B7"/>
    <w:rsid w:val="00E32EEE"/>
    <w:rsid w:val="00E32F88"/>
    <w:rsid w:val="00E33317"/>
    <w:rsid w:val="00E337E3"/>
    <w:rsid w:val="00E33E8E"/>
    <w:rsid w:val="00E34724"/>
    <w:rsid w:val="00E348DD"/>
    <w:rsid w:val="00E3492A"/>
    <w:rsid w:val="00E34AAB"/>
    <w:rsid w:val="00E34C45"/>
    <w:rsid w:val="00E34C66"/>
    <w:rsid w:val="00E34CB7"/>
    <w:rsid w:val="00E34FF7"/>
    <w:rsid w:val="00E35687"/>
    <w:rsid w:val="00E35B7E"/>
    <w:rsid w:val="00E35BFB"/>
    <w:rsid w:val="00E3656F"/>
    <w:rsid w:val="00E36829"/>
    <w:rsid w:val="00E36A4E"/>
    <w:rsid w:val="00E376DC"/>
    <w:rsid w:val="00E37743"/>
    <w:rsid w:val="00E37B7F"/>
    <w:rsid w:val="00E37DC1"/>
    <w:rsid w:val="00E404F5"/>
    <w:rsid w:val="00E406D4"/>
    <w:rsid w:val="00E4074B"/>
    <w:rsid w:val="00E40C56"/>
    <w:rsid w:val="00E40E77"/>
    <w:rsid w:val="00E416E7"/>
    <w:rsid w:val="00E41757"/>
    <w:rsid w:val="00E41AE5"/>
    <w:rsid w:val="00E41D50"/>
    <w:rsid w:val="00E421F4"/>
    <w:rsid w:val="00E425A0"/>
    <w:rsid w:val="00E42838"/>
    <w:rsid w:val="00E42856"/>
    <w:rsid w:val="00E42932"/>
    <w:rsid w:val="00E429A9"/>
    <w:rsid w:val="00E42D48"/>
    <w:rsid w:val="00E43269"/>
    <w:rsid w:val="00E4369A"/>
    <w:rsid w:val="00E436BA"/>
    <w:rsid w:val="00E43975"/>
    <w:rsid w:val="00E439A0"/>
    <w:rsid w:val="00E43A75"/>
    <w:rsid w:val="00E43BE5"/>
    <w:rsid w:val="00E43BF2"/>
    <w:rsid w:val="00E43C65"/>
    <w:rsid w:val="00E443A2"/>
    <w:rsid w:val="00E445FB"/>
    <w:rsid w:val="00E44653"/>
    <w:rsid w:val="00E44744"/>
    <w:rsid w:val="00E44745"/>
    <w:rsid w:val="00E44937"/>
    <w:rsid w:val="00E44A9B"/>
    <w:rsid w:val="00E44B56"/>
    <w:rsid w:val="00E45554"/>
    <w:rsid w:val="00E45B07"/>
    <w:rsid w:val="00E45B38"/>
    <w:rsid w:val="00E45E88"/>
    <w:rsid w:val="00E45F38"/>
    <w:rsid w:val="00E461D4"/>
    <w:rsid w:val="00E465D4"/>
    <w:rsid w:val="00E467FF"/>
    <w:rsid w:val="00E46EFA"/>
    <w:rsid w:val="00E470C7"/>
    <w:rsid w:val="00E47101"/>
    <w:rsid w:val="00E472B7"/>
    <w:rsid w:val="00E47C33"/>
    <w:rsid w:val="00E47F38"/>
    <w:rsid w:val="00E50272"/>
    <w:rsid w:val="00E50384"/>
    <w:rsid w:val="00E50424"/>
    <w:rsid w:val="00E505C8"/>
    <w:rsid w:val="00E50BE3"/>
    <w:rsid w:val="00E50ECF"/>
    <w:rsid w:val="00E512BE"/>
    <w:rsid w:val="00E5177F"/>
    <w:rsid w:val="00E51B16"/>
    <w:rsid w:val="00E528E9"/>
    <w:rsid w:val="00E52BEE"/>
    <w:rsid w:val="00E52E5C"/>
    <w:rsid w:val="00E530C0"/>
    <w:rsid w:val="00E53149"/>
    <w:rsid w:val="00E53352"/>
    <w:rsid w:val="00E533E9"/>
    <w:rsid w:val="00E5348C"/>
    <w:rsid w:val="00E536C2"/>
    <w:rsid w:val="00E536C9"/>
    <w:rsid w:val="00E53CDD"/>
    <w:rsid w:val="00E53FA1"/>
    <w:rsid w:val="00E54076"/>
    <w:rsid w:val="00E540A2"/>
    <w:rsid w:val="00E5441B"/>
    <w:rsid w:val="00E54432"/>
    <w:rsid w:val="00E547C6"/>
    <w:rsid w:val="00E54A4B"/>
    <w:rsid w:val="00E54B56"/>
    <w:rsid w:val="00E54F57"/>
    <w:rsid w:val="00E5564A"/>
    <w:rsid w:val="00E55829"/>
    <w:rsid w:val="00E55D48"/>
    <w:rsid w:val="00E564E7"/>
    <w:rsid w:val="00E56511"/>
    <w:rsid w:val="00E56D34"/>
    <w:rsid w:val="00E57513"/>
    <w:rsid w:val="00E576BA"/>
    <w:rsid w:val="00E57710"/>
    <w:rsid w:val="00E57B12"/>
    <w:rsid w:val="00E57B7B"/>
    <w:rsid w:val="00E60484"/>
    <w:rsid w:val="00E60704"/>
    <w:rsid w:val="00E60961"/>
    <w:rsid w:val="00E61314"/>
    <w:rsid w:val="00E617DA"/>
    <w:rsid w:val="00E61893"/>
    <w:rsid w:val="00E618C8"/>
    <w:rsid w:val="00E61A01"/>
    <w:rsid w:val="00E61FC3"/>
    <w:rsid w:val="00E6267B"/>
    <w:rsid w:val="00E62BB2"/>
    <w:rsid w:val="00E62CAE"/>
    <w:rsid w:val="00E631D7"/>
    <w:rsid w:val="00E63257"/>
    <w:rsid w:val="00E63514"/>
    <w:rsid w:val="00E636E4"/>
    <w:rsid w:val="00E6388B"/>
    <w:rsid w:val="00E63C9B"/>
    <w:rsid w:val="00E63EFB"/>
    <w:rsid w:val="00E64099"/>
    <w:rsid w:val="00E64536"/>
    <w:rsid w:val="00E647D5"/>
    <w:rsid w:val="00E648B5"/>
    <w:rsid w:val="00E64C0C"/>
    <w:rsid w:val="00E64EA9"/>
    <w:rsid w:val="00E65044"/>
    <w:rsid w:val="00E650A4"/>
    <w:rsid w:val="00E6511C"/>
    <w:rsid w:val="00E6516B"/>
    <w:rsid w:val="00E65291"/>
    <w:rsid w:val="00E65708"/>
    <w:rsid w:val="00E6573B"/>
    <w:rsid w:val="00E66069"/>
    <w:rsid w:val="00E6662A"/>
    <w:rsid w:val="00E668C7"/>
    <w:rsid w:val="00E66D65"/>
    <w:rsid w:val="00E66E08"/>
    <w:rsid w:val="00E670C3"/>
    <w:rsid w:val="00E67523"/>
    <w:rsid w:val="00E67E6F"/>
    <w:rsid w:val="00E67ED2"/>
    <w:rsid w:val="00E67F56"/>
    <w:rsid w:val="00E70324"/>
    <w:rsid w:val="00E70705"/>
    <w:rsid w:val="00E707D8"/>
    <w:rsid w:val="00E708DB"/>
    <w:rsid w:val="00E70F81"/>
    <w:rsid w:val="00E71299"/>
    <w:rsid w:val="00E7135C"/>
    <w:rsid w:val="00E71506"/>
    <w:rsid w:val="00E71911"/>
    <w:rsid w:val="00E71975"/>
    <w:rsid w:val="00E71AF2"/>
    <w:rsid w:val="00E71D94"/>
    <w:rsid w:val="00E71FFA"/>
    <w:rsid w:val="00E72836"/>
    <w:rsid w:val="00E72ABA"/>
    <w:rsid w:val="00E72D9C"/>
    <w:rsid w:val="00E731B3"/>
    <w:rsid w:val="00E73336"/>
    <w:rsid w:val="00E734A2"/>
    <w:rsid w:val="00E73DA1"/>
    <w:rsid w:val="00E73DE9"/>
    <w:rsid w:val="00E74027"/>
    <w:rsid w:val="00E745C5"/>
    <w:rsid w:val="00E74BEE"/>
    <w:rsid w:val="00E74D8E"/>
    <w:rsid w:val="00E7500E"/>
    <w:rsid w:val="00E7544C"/>
    <w:rsid w:val="00E75600"/>
    <w:rsid w:val="00E758C2"/>
    <w:rsid w:val="00E75AA6"/>
    <w:rsid w:val="00E75C65"/>
    <w:rsid w:val="00E75FE6"/>
    <w:rsid w:val="00E7601B"/>
    <w:rsid w:val="00E760FE"/>
    <w:rsid w:val="00E762A3"/>
    <w:rsid w:val="00E762A5"/>
    <w:rsid w:val="00E767EA"/>
    <w:rsid w:val="00E76DF4"/>
    <w:rsid w:val="00E77543"/>
    <w:rsid w:val="00E80610"/>
    <w:rsid w:val="00E80730"/>
    <w:rsid w:val="00E808F8"/>
    <w:rsid w:val="00E809AC"/>
    <w:rsid w:val="00E80AA1"/>
    <w:rsid w:val="00E811EE"/>
    <w:rsid w:val="00E814FB"/>
    <w:rsid w:val="00E81844"/>
    <w:rsid w:val="00E8188C"/>
    <w:rsid w:val="00E81ACA"/>
    <w:rsid w:val="00E81DEA"/>
    <w:rsid w:val="00E821E5"/>
    <w:rsid w:val="00E82601"/>
    <w:rsid w:val="00E82A43"/>
    <w:rsid w:val="00E82BC8"/>
    <w:rsid w:val="00E82E91"/>
    <w:rsid w:val="00E82F12"/>
    <w:rsid w:val="00E8319B"/>
    <w:rsid w:val="00E834C6"/>
    <w:rsid w:val="00E837EC"/>
    <w:rsid w:val="00E84526"/>
    <w:rsid w:val="00E84828"/>
    <w:rsid w:val="00E84B2D"/>
    <w:rsid w:val="00E84B80"/>
    <w:rsid w:val="00E84D7F"/>
    <w:rsid w:val="00E869F0"/>
    <w:rsid w:val="00E87138"/>
    <w:rsid w:val="00E87367"/>
    <w:rsid w:val="00E87568"/>
    <w:rsid w:val="00E87B74"/>
    <w:rsid w:val="00E905D2"/>
    <w:rsid w:val="00E907D0"/>
    <w:rsid w:val="00E90834"/>
    <w:rsid w:val="00E908BE"/>
    <w:rsid w:val="00E90AAA"/>
    <w:rsid w:val="00E91219"/>
    <w:rsid w:val="00E915D3"/>
    <w:rsid w:val="00E915F2"/>
    <w:rsid w:val="00E91944"/>
    <w:rsid w:val="00E91CE2"/>
    <w:rsid w:val="00E92056"/>
    <w:rsid w:val="00E922B6"/>
    <w:rsid w:val="00E927DC"/>
    <w:rsid w:val="00E92919"/>
    <w:rsid w:val="00E92A66"/>
    <w:rsid w:val="00E92AAE"/>
    <w:rsid w:val="00E92ACE"/>
    <w:rsid w:val="00E931D8"/>
    <w:rsid w:val="00E9353B"/>
    <w:rsid w:val="00E947EF"/>
    <w:rsid w:val="00E94C6F"/>
    <w:rsid w:val="00E94FF0"/>
    <w:rsid w:val="00E95108"/>
    <w:rsid w:val="00E95368"/>
    <w:rsid w:val="00E953A7"/>
    <w:rsid w:val="00E96030"/>
    <w:rsid w:val="00E96295"/>
    <w:rsid w:val="00E96378"/>
    <w:rsid w:val="00E9688D"/>
    <w:rsid w:val="00E96E17"/>
    <w:rsid w:val="00E97531"/>
    <w:rsid w:val="00E976BD"/>
    <w:rsid w:val="00E97BE7"/>
    <w:rsid w:val="00E97EC4"/>
    <w:rsid w:val="00EA03BE"/>
    <w:rsid w:val="00EA0421"/>
    <w:rsid w:val="00EA0830"/>
    <w:rsid w:val="00EA0A7E"/>
    <w:rsid w:val="00EA0F21"/>
    <w:rsid w:val="00EA120C"/>
    <w:rsid w:val="00EA137E"/>
    <w:rsid w:val="00EA169E"/>
    <w:rsid w:val="00EA16E1"/>
    <w:rsid w:val="00EA1933"/>
    <w:rsid w:val="00EA1C58"/>
    <w:rsid w:val="00EA248E"/>
    <w:rsid w:val="00EA2728"/>
    <w:rsid w:val="00EA280C"/>
    <w:rsid w:val="00EA29A4"/>
    <w:rsid w:val="00EA2A67"/>
    <w:rsid w:val="00EA2AAA"/>
    <w:rsid w:val="00EA2C79"/>
    <w:rsid w:val="00EA2CBD"/>
    <w:rsid w:val="00EA3583"/>
    <w:rsid w:val="00EA3670"/>
    <w:rsid w:val="00EA3697"/>
    <w:rsid w:val="00EA37D8"/>
    <w:rsid w:val="00EA3BC0"/>
    <w:rsid w:val="00EA405A"/>
    <w:rsid w:val="00EA405B"/>
    <w:rsid w:val="00EA41E7"/>
    <w:rsid w:val="00EA475A"/>
    <w:rsid w:val="00EA47A5"/>
    <w:rsid w:val="00EA4CF0"/>
    <w:rsid w:val="00EA52F4"/>
    <w:rsid w:val="00EA556E"/>
    <w:rsid w:val="00EA55D2"/>
    <w:rsid w:val="00EA57B8"/>
    <w:rsid w:val="00EA5A54"/>
    <w:rsid w:val="00EA5D62"/>
    <w:rsid w:val="00EA5EC8"/>
    <w:rsid w:val="00EA6620"/>
    <w:rsid w:val="00EA6941"/>
    <w:rsid w:val="00EA6BFC"/>
    <w:rsid w:val="00EA6DA1"/>
    <w:rsid w:val="00EA6DA9"/>
    <w:rsid w:val="00EA6E7C"/>
    <w:rsid w:val="00EA769C"/>
    <w:rsid w:val="00EA782A"/>
    <w:rsid w:val="00EA7BCE"/>
    <w:rsid w:val="00EA7C41"/>
    <w:rsid w:val="00EA7F88"/>
    <w:rsid w:val="00EB00DD"/>
    <w:rsid w:val="00EB02E8"/>
    <w:rsid w:val="00EB0829"/>
    <w:rsid w:val="00EB08BB"/>
    <w:rsid w:val="00EB09D8"/>
    <w:rsid w:val="00EB0AA4"/>
    <w:rsid w:val="00EB0ACE"/>
    <w:rsid w:val="00EB0AF9"/>
    <w:rsid w:val="00EB1821"/>
    <w:rsid w:val="00EB1C7A"/>
    <w:rsid w:val="00EB2606"/>
    <w:rsid w:val="00EB2E13"/>
    <w:rsid w:val="00EB2FB5"/>
    <w:rsid w:val="00EB3853"/>
    <w:rsid w:val="00EB3B45"/>
    <w:rsid w:val="00EB3BD6"/>
    <w:rsid w:val="00EB3CD3"/>
    <w:rsid w:val="00EB3D67"/>
    <w:rsid w:val="00EB4545"/>
    <w:rsid w:val="00EB4954"/>
    <w:rsid w:val="00EB4968"/>
    <w:rsid w:val="00EB50F9"/>
    <w:rsid w:val="00EB518C"/>
    <w:rsid w:val="00EB52B0"/>
    <w:rsid w:val="00EB551C"/>
    <w:rsid w:val="00EB5629"/>
    <w:rsid w:val="00EB5829"/>
    <w:rsid w:val="00EB58EB"/>
    <w:rsid w:val="00EB5B40"/>
    <w:rsid w:val="00EB5DA8"/>
    <w:rsid w:val="00EB5FFD"/>
    <w:rsid w:val="00EB60E3"/>
    <w:rsid w:val="00EB610B"/>
    <w:rsid w:val="00EB672A"/>
    <w:rsid w:val="00EB6C6D"/>
    <w:rsid w:val="00EB6CA3"/>
    <w:rsid w:val="00EB6E08"/>
    <w:rsid w:val="00EB7009"/>
    <w:rsid w:val="00EB733D"/>
    <w:rsid w:val="00EB741F"/>
    <w:rsid w:val="00EB74F7"/>
    <w:rsid w:val="00EB7587"/>
    <w:rsid w:val="00EB7775"/>
    <w:rsid w:val="00EB79E5"/>
    <w:rsid w:val="00EB7A06"/>
    <w:rsid w:val="00EB7C22"/>
    <w:rsid w:val="00EC0156"/>
    <w:rsid w:val="00EC01EC"/>
    <w:rsid w:val="00EC033C"/>
    <w:rsid w:val="00EC03AA"/>
    <w:rsid w:val="00EC0442"/>
    <w:rsid w:val="00EC04FB"/>
    <w:rsid w:val="00EC0CBE"/>
    <w:rsid w:val="00EC1408"/>
    <w:rsid w:val="00EC15AA"/>
    <w:rsid w:val="00EC1609"/>
    <w:rsid w:val="00EC19E5"/>
    <w:rsid w:val="00EC1D3A"/>
    <w:rsid w:val="00EC1D4D"/>
    <w:rsid w:val="00EC1EA5"/>
    <w:rsid w:val="00EC1F44"/>
    <w:rsid w:val="00EC1F7F"/>
    <w:rsid w:val="00EC20B6"/>
    <w:rsid w:val="00EC222F"/>
    <w:rsid w:val="00EC2248"/>
    <w:rsid w:val="00EC229B"/>
    <w:rsid w:val="00EC25BE"/>
    <w:rsid w:val="00EC280A"/>
    <w:rsid w:val="00EC2A0F"/>
    <w:rsid w:val="00EC2ADA"/>
    <w:rsid w:val="00EC2DD8"/>
    <w:rsid w:val="00EC2FBA"/>
    <w:rsid w:val="00EC368F"/>
    <w:rsid w:val="00EC3915"/>
    <w:rsid w:val="00EC3E78"/>
    <w:rsid w:val="00EC42B4"/>
    <w:rsid w:val="00EC4754"/>
    <w:rsid w:val="00EC48E3"/>
    <w:rsid w:val="00EC497A"/>
    <w:rsid w:val="00EC4A84"/>
    <w:rsid w:val="00EC4B61"/>
    <w:rsid w:val="00EC4B9D"/>
    <w:rsid w:val="00EC4D51"/>
    <w:rsid w:val="00EC4E8E"/>
    <w:rsid w:val="00EC513B"/>
    <w:rsid w:val="00EC536F"/>
    <w:rsid w:val="00EC53AD"/>
    <w:rsid w:val="00EC58C0"/>
    <w:rsid w:val="00EC5934"/>
    <w:rsid w:val="00EC5F1F"/>
    <w:rsid w:val="00EC6452"/>
    <w:rsid w:val="00EC652D"/>
    <w:rsid w:val="00EC698A"/>
    <w:rsid w:val="00EC6A13"/>
    <w:rsid w:val="00EC6AEC"/>
    <w:rsid w:val="00EC7082"/>
    <w:rsid w:val="00EC708E"/>
    <w:rsid w:val="00EC718D"/>
    <w:rsid w:val="00EC7323"/>
    <w:rsid w:val="00EC756E"/>
    <w:rsid w:val="00EC75B7"/>
    <w:rsid w:val="00EC787C"/>
    <w:rsid w:val="00EC7EB2"/>
    <w:rsid w:val="00EC7F72"/>
    <w:rsid w:val="00ED02A3"/>
    <w:rsid w:val="00ED087A"/>
    <w:rsid w:val="00ED09B5"/>
    <w:rsid w:val="00ED0B04"/>
    <w:rsid w:val="00ED10E5"/>
    <w:rsid w:val="00ED14A0"/>
    <w:rsid w:val="00ED1694"/>
    <w:rsid w:val="00ED19D6"/>
    <w:rsid w:val="00ED1E93"/>
    <w:rsid w:val="00ED2002"/>
    <w:rsid w:val="00ED2158"/>
    <w:rsid w:val="00ED2298"/>
    <w:rsid w:val="00ED27D6"/>
    <w:rsid w:val="00ED2A8E"/>
    <w:rsid w:val="00ED2B1A"/>
    <w:rsid w:val="00ED2E01"/>
    <w:rsid w:val="00ED2FDF"/>
    <w:rsid w:val="00ED377B"/>
    <w:rsid w:val="00ED3F35"/>
    <w:rsid w:val="00ED3F3B"/>
    <w:rsid w:val="00ED4046"/>
    <w:rsid w:val="00ED44C2"/>
    <w:rsid w:val="00ED4538"/>
    <w:rsid w:val="00ED474E"/>
    <w:rsid w:val="00ED47BB"/>
    <w:rsid w:val="00ED4917"/>
    <w:rsid w:val="00ED4DA1"/>
    <w:rsid w:val="00ED4DDD"/>
    <w:rsid w:val="00ED543B"/>
    <w:rsid w:val="00ED548A"/>
    <w:rsid w:val="00ED5B75"/>
    <w:rsid w:val="00ED5D8B"/>
    <w:rsid w:val="00ED6338"/>
    <w:rsid w:val="00ED6C98"/>
    <w:rsid w:val="00ED749D"/>
    <w:rsid w:val="00ED7680"/>
    <w:rsid w:val="00ED76D0"/>
    <w:rsid w:val="00ED7A5D"/>
    <w:rsid w:val="00ED7C3F"/>
    <w:rsid w:val="00ED7C4E"/>
    <w:rsid w:val="00ED7E2F"/>
    <w:rsid w:val="00EE052F"/>
    <w:rsid w:val="00EE06F7"/>
    <w:rsid w:val="00EE0998"/>
    <w:rsid w:val="00EE09BC"/>
    <w:rsid w:val="00EE0A10"/>
    <w:rsid w:val="00EE0E07"/>
    <w:rsid w:val="00EE0E48"/>
    <w:rsid w:val="00EE144F"/>
    <w:rsid w:val="00EE16C2"/>
    <w:rsid w:val="00EE1E48"/>
    <w:rsid w:val="00EE1F30"/>
    <w:rsid w:val="00EE2527"/>
    <w:rsid w:val="00EE256F"/>
    <w:rsid w:val="00EE2AE6"/>
    <w:rsid w:val="00EE2EA0"/>
    <w:rsid w:val="00EE301B"/>
    <w:rsid w:val="00EE31B9"/>
    <w:rsid w:val="00EE3543"/>
    <w:rsid w:val="00EE38C1"/>
    <w:rsid w:val="00EE39B7"/>
    <w:rsid w:val="00EE3ED5"/>
    <w:rsid w:val="00EE3EDA"/>
    <w:rsid w:val="00EE4631"/>
    <w:rsid w:val="00EE4872"/>
    <w:rsid w:val="00EE488B"/>
    <w:rsid w:val="00EE4961"/>
    <w:rsid w:val="00EE4D21"/>
    <w:rsid w:val="00EE501E"/>
    <w:rsid w:val="00EE59C3"/>
    <w:rsid w:val="00EE5F3E"/>
    <w:rsid w:val="00EE6674"/>
    <w:rsid w:val="00EE68D5"/>
    <w:rsid w:val="00EE6A83"/>
    <w:rsid w:val="00EE6BD4"/>
    <w:rsid w:val="00EE716C"/>
    <w:rsid w:val="00EE7269"/>
    <w:rsid w:val="00EE7605"/>
    <w:rsid w:val="00EE7819"/>
    <w:rsid w:val="00EE789E"/>
    <w:rsid w:val="00EE7CD1"/>
    <w:rsid w:val="00EE7E54"/>
    <w:rsid w:val="00EE7E58"/>
    <w:rsid w:val="00EE7F95"/>
    <w:rsid w:val="00EF03AA"/>
    <w:rsid w:val="00EF0823"/>
    <w:rsid w:val="00EF0DBE"/>
    <w:rsid w:val="00EF0DCE"/>
    <w:rsid w:val="00EF127A"/>
    <w:rsid w:val="00EF18EA"/>
    <w:rsid w:val="00EF1903"/>
    <w:rsid w:val="00EF19EC"/>
    <w:rsid w:val="00EF212B"/>
    <w:rsid w:val="00EF27BE"/>
    <w:rsid w:val="00EF2C29"/>
    <w:rsid w:val="00EF2D16"/>
    <w:rsid w:val="00EF2E79"/>
    <w:rsid w:val="00EF2FEF"/>
    <w:rsid w:val="00EF3019"/>
    <w:rsid w:val="00EF33A2"/>
    <w:rsid w:val="00EF384C"/>
    <w:rsid w:val="00EF38A0"/>
    <w:rsid w:val="00EF3D99"/>
    <w:rsid w:val="00EF3E2E"/>
    <w:rsid w:val="00EF3E79"/>
    <w:rsid w:val="00EF3F2A"/>
    <w:rsid w:val="00EF40DD"/>
    <w:rsid w:val="00EF488D"/>
    <w:rsid w:val="00EF4BB8"/>
    <w:rsid w:val="00EF4CB0"/>
    <w:rsid w:val="00EF4F5D"/>
    <w:rsid w:val="00EF5432"/>
    <w:rsid w:val="00EF5868"/>
    <w:rsid w:val="00EF5A21"/>
    <w:rsid w:val="00EF5B5B"/>
    <w:rsid w:val="00EF5C68"/>
    <w:rsid w:val="00EF5D8A"/>
    <w:rsid w:val="00EF60A9"/>
    <w:rsid w:val="00EF6116"/>
    <w:rsid w:val="00EF69F5"/>
    <w:rsid w:val="00EF6AF3"/>
    <w:rsid w:val="00EF6C4F"/>
    <w:rsid w:val="00EF6CAB"/>
    <w:rsid w:val="00EF6D7B"/>
    <w:rsid w:val="00EF71C8"/>
    <w:rsid w:val="00EF73B0"/>
    <w:rsid w:val="00EF76B9"/>
    <w:rsid w:val="00EF77D2"/>
    <w:rsid w:val="00EF78DB"/>
    <w:rsid w:val="00EF7908"/>
    <w:rsid w:val="00EF7B16"/>
    <w:rsid w:val="00EF7C2E"/>
    <w:rsid w:val="00F00A9A"/>
    <w:rsid w:val="00F00D65"/>
    <w:rsid w:val="00F00DF7"/>
    <w:rsid w:val="00F01366"/>
    <w:rsid w:val="00F0146A"/>
    <w:rsid w:val="00F0161D"/>
    <w:rsid w:val="00F0172F"/>
    <w:rsid w:val="00F0193A"/>
    <w:rsid w:val="00F01A63"/>
    <w:rsid w:val="00F01D27"/>
    <w:rsid w:val="00F01FA7"/>
    <w:rsid w:val="00F02530"/>
    <w:rsid w:val="00F028D8"/>
    <w:rsid w:val="00F02916"/>
    <w:rsid w:val="00F02A16"/>
    <w:rsid w:val="00F03550"/>
    <w:rsid w:val="00F03F47"/>
    <w:rsid w:val="00F04261"/>
    <w:rsid w:val="00F0453F"/>
    <w:rsid w:val="00F045BD"/>
    <w:rsid w:val="00F0464B"/>
    <w:rsid w:val="00F0465A"/>
    <w:rsid w:val="00F04E1F"/>
    <w:rsid w:val="00F053FD"/>
    <w:rsid w:val="00F05D70"/>
    <w:rsid w:val="00F05E08"/>
    <w:rsid w:val="00F06302"/>
    <w:rsid w:val="00F06324"/>
    <w:rsid w:val="00F06719"/>
    <w:rsid w:val="00F06A61"/>
    <w:rsid w:val="00F06F1A"/>
    <w:rsid w:val="00F0702E"/>
    <w:rsid w:val="00F07312"/>
    <w:rsid w:val="00F074F6"/>
    <w:rsid w:val="00F07A88"/>
    <w:rsid w:val="00F07C24"/>
    <w:rsid w:val="00F10B78"/>
    <w:rsid w:val="00F10E09"/>
    <w:rsid w:val="00F10F78"/>
    <w:rsid w:val="00F10F94"/>
    <w:rsid w:val="00F11414"/>
    <w:rsid w:val="00F117F5"/>
    <w:rsid w:val="00F1196B"/>
    <w:rsid w:val="00F1197C"/>
    <w:rsid w:val="00F1253D"/>
    <w:rsid w:val="00F12787"/>
    <w:rsid w:val="00F128A2"/>
    <w:rsid w:val="00F1292B"/>
    <w:rsid w:val="00F129A5"/>
    <w:rsid w:val="00F12B09"/>
    <w:rsid w:val="00F130CA"/>
    <w:rsid w:val="00F131CD"/>
    <w:rsid w:val="00F13E59"/>
    <w:rsid w:val="00F14495"/>
    <w:rsid w:val="00F15153"/>
    <w:rsid w:val="00F1549D"/>
    <w:rsid w:val="00F15856"/>
    <w:rsid w:val="00F15A10"/>
    <w:rsid w:val="00F15A80"/>
    <w:rsid w:val="00F15C80"/>
    <w:rsid w:val="00F16324"/>
    <w:rsid w:val="00F16492"/>
    <w:rsid w:val="00F164F0"/>
    <w:rsid w:val="00F16B7E"/>
    <w:rsid w:val="00F16BD7"/>
    <w:rsid w:val="00F16CE3"/>
    <w:rsid w:val="00F16E47"/>
    <w:rsid w:val="00F172A9"/>
    <w:rsid w:val="00F172BB"/>
    <w:rsid w:val="00F1749B"/>
    <w:rsid w:val="00F1757D"/>
    <w:rsid w:val="00F17594"/>
    <w:rsid w:val="00F17968"/>
    <w:rsid w:val="00F17B44"/>
    <w:rsid w:val="00F17BC1"/>
    <w:rsid w:val="00F17F24"/>
    <w:rsid w:val="00F2001F"/>
    <w:rsid w:val="00F2035E"/>
    <w:rsid w:val="00F20686"/>
    <w:rsid w:val="00F20726"/>
    <w:rsid w:val="00F209E2"/>
    <w:rsid w:val="00F2112D"/>
    <w:rsid w:val="00F2120D"/>
    <w:rsid w:val="00F21350"/>
    <w:rsid w:val="00F2161C"/>
    <w:rsid w:val="00F21677"/>
    <w:rsid w:val="00F216BB"/>
    <w:rsid w:val="00F216CF"/>
    <w:rsid w:val="00F216FE"/>
    <w:rsid w:val="00F218E1"/>
    <w:rsid w:val="00F22B4A"/>
    <w:rsid w:val="00F22EFE"/>
    <w:rsid w:val="00F22FEC"/>
    <w:rsid w:val="00F2300C"/>
    <w:rsid w:val="00F2320E"/>
    <w:rsid w:val="00F23330"/>
    <w:rsid w:val="00F23386"/>
    <w:rsid w:val="00F23973"/>
    <w:rsid w:val="00F24272"/>
    <w:rsid w:val="00F2456B"/>
    <w:rsid w:val="00F24584"/>
    <w:rsid w:val="00F24630"/>
    <w:rsid w:val="00F24BA7"/>
    <w:rsid w:val="00F24F58"/>
    <w:rsid w:val="00F25108"/>
    <w:rsid w:val="00F2521B"/>
    <w:rsid w:val="00F258DB"/>
    <w:rsid w:val="00F259BB"/>
    <w:rsid w:val="00F25A19"/>
    <w:rsid w:val="00F25D54"/>
    <w:rsid w:val="00F25D5B"/>
    <w:rsid w:val="00F25DC2"/>
    <w:rsid w:val="00F263FF"/>
    <w:rsid w:val="00F26429"/>
    <w:rsid w:val="00F266CD"/>
    <w:rsid w:val="00F267C2"/>
    <w:rsid w:val="00F26F0E"/>
    <w:rsid w:val="00F26F52"/>
    <w:rsid w:val="00F271D5"/>
    <w:rsid w:val="00F274C8"/>
    <w:rsid w:val="00F2774F"/>
    <w:rsid w:val="00F278E9"/>
    <w:rsid w:val="00F279A7"/>
    <w:rsid w:val="00F27DF2"/>
    <w:rsid w:val="00F303E8"/>
    <w:rsid w:val="00F3040C"/>
    <w:rsid w:val="00F3060C"/>
    <w:rsid w:val="00F3083B"/>
    <w:rsid w:val="00F30D4D"/>
    <w:rsid w:val="00F310EE"/>
    <w:rsid w:val="00F312AC"/>
    <w:rsid w:val="00F3132B"/>
    <w:rsid w:val="00F317B9"/>
    <w:rsid w:val="00F31825"/>
    <w:rsid w:val="00F31986"/>
    <w:rsid w:val="00F3198A"/>
    <w:rsid w:val="00F320FF"/>
    <w:rsid w:val="00F3293E"/>
    <w:rsid w:val="00F32CB0"/>
    <w:rsid w:val="00F32D21"/>
    <w:rsid w:val="00F32EB8"/>
    <w:rsid w:val="00F32EE3"/>
    <w:rsid w:val="00F33437"/>
    <w:rsid w:val="00F3347A"/>
    <w:rsid w:val="00F33853"/>
    <w:rsid w:val="00F3389D"/>
    <w:rsid w:val="00F33D10"/>
    <w:rsid w:val="00F3411D"/>
    <w:rsid w:val="00F342BA"/>
    <w:rsid w:val="00F34315"/>
    <w:rsid w:val="00F343EC"/>
    <w:rsid w:val="00F34520"/>
    <w:rsid w:val="00F348C9"/>
    <w:rsid w:val="00F34969"/>
    <w:rsid w:val="00F34A8E"/>
    <w:rsid w:val="00F34AC9"/>
    <w:rsid w:val="00F34DB5"/>
    <w:rsid w:val="00F3502C"/>
    <w:rsid w:val="00F3550F"/>
    <w:rsid w:val="00F357D9"/>
    <w:rsid w:val="00F35968"/>
    <w:rsid w:val="00F35B19"/>
    <w:rsid w:val="00F35B8F"/>
    <w:rsid w:val="00F35CFE"/>
    <w:rsid w:val="00F360F5"/>
    <w:rsid w:val="00F36985"/>
    <w:rsid w:val="00F36ACD"/>
    <w:rsid w:val="00F36B19"/>
    <w:rsid w:val="00F36BA8"/>
    <w:rsid w:val="00F36D5F"/>
    <w:rsid w:val="00F37335"/>
    <w:rsid w:val="00F37500"/>
    <w:rsid w:val="00F375F8"/>
    <w:rsid w:val="00F37AFF"/>
    <w:rsid w:val="00F37BF2"/>
    <w:rsid w:val="00F37E92"/>
    <w:rsid w:val="00F400FD"/>
    <w:rsid w:val="00F40488"/>
    <w:rsid w:val="00F40491"/>
    <w:rsid w:val="00F40688"/>
    <w:rsid w:val="00F41149"/>
    <w:rsid w:val="00F41410"/>
    <w:rsid w:val="00F414E7"/>
    <w:rsid w:val="00F4150F"/>
    <w:rsid w:val="00F419B7"/>
    <w:rsid w:val="00F41D1A"/>
    <w:rsid w:val="00F41FB7"/>
    <w:rsid w:val="00F433A4"/>
    <w:rsid w:val="00F433B1"/>
    <w:rsid w:val="00F435FA"/>
    <w:rsid w:val="00F44128"/>
    <w:rsid w:val="00F4431B"/>
    <w:rsid w:val="00F4496B"/>
    <w:rsid w:val="00F44A1F"/>
    <w:rsid w:val="00F44C4C"/>
    <w:rsid w:val="00F44F3B"/>
    <w:rsid w:val="00F45276"/>
    <w:rsid w:val="00F4537C"/>
    <w:rsid w:val="00F458EC"/>
    <w:rsid w:val="00F45B79"/>
    <w:rsid w:val="00F461A3"/>
    <w:rsid w:val="00F46603"/>
    <w:rsid w:val="00F46776"/>
    <w:rsid w:val="00F46C3E"/>
    <w:rsid w:val="00F46C46"/>
    <w:rsid w:val="00F46DD1"/>
    <w:rsid w:val="00F46F26"/>
    <w:rsid w:val="00F473EF"/>
    <w:rsid w:val="00F47618"/>
    <w:rsid w:val="00F47E86"/>
    <w:rsid w:val="00F47FF2"/>
    <w:rsid w:val="00F50938"/>
    <w:rsid w:val="00F50A77"/>
    <w:rsid w:val="00F50BC9"/>
    <w:rsid w:val="00F50E18"/>
    <w:rsid w:val="00F51398"/>
    <w:rsid w:val="00F51592"/>
    <w:rsid w:val="00F515DA"/>
    <w:rsid w:val="00F5163E"/>
    <w:rsid w:val="00F51DB0"/>
    <w:rsid w:val="00F51EBD"/>
    <w:rsid w:val="00F522E9"/>
    <w:rsid w:val="00F528E5"/>
    <w:rsid w:val="00F52986"/>
    <w:rsid w:val="00F52BF8"/>
    <w:rsid w:val="00F52DFA"/>
    <w:rsid w:val="00F52F3A"/>
    <w:rsid w:val="00F53652"/>
    <w:rsid w:val="00F53A59"/>
    <w:rsid w:val="00F53A8A"/>
    <w:rsid w:val="00F53DDD"/>
    <w:rsid w:val="00F53F44"/>
    <w:rsid w:val="00F54245"/>
    <w:rsid w:val="00F5435B"/>
    <w:rsid w:val="00F549E8"/>
    <w:rsid w:val="00F54DDC"/>
    <w:rsid w:val="00F54F83"/>
    <w:rsid w:val="00F5501E"/>
    <w:rsid w:val="00F554CF"/>
    <w:rsid w:val="00F55557"/>
    <w:rsid w:val="00F55885"/>
    <w:rsid w:val="00F55C06"/>
    <w:rsid w:val="00F5608E"/>
    <w:rsid w:val="00F5619E"/>
    <w:rsid w:val="00F56479"/>
    <w:rsid w:val="00F56B84"/>
    <w:rsid w:val="00F57469"/>
    <w:rsid w:val="00F57787"/>
    <w:rsid w:val="00F577BB"/>
    <w:rsid w:val="00F5785A"/>
    <w:rsid w:val="00F579A0"/>
    <w:rsid w:val="00F579AD"/>
    <w:rsid w:val="00F579F4"/>
    <w:rsid w:val="00F57C5B"/>
    <w:rsid w:val="00F57D6D"/>
    <w:rsid w:val="00F602D8"/>
    <w:rsid w:val="00F60342"/>
    <w:rsid w:val="00F60499"/>
    <w:rsid w:val="00F60B2E"/>
    <w:rsid w:val="00F61479"/>
    <w:rsid w:val="00F6153F"/>
    <w:rsid w:val="00F619AB"/>
    <w:rsid w:val="00F61D2E"/>
    <w:rsid w:val="00F61EA8"/>
    <w:rsid w:val="00F62059"/>
    <w:rsid w:val="00F62353"/>
    <w:rsid w:val="00F624F8"/>
    <w:rsid w:val="00F627CB"/>
    <w:rsid w:val="00F6295D"/>
    <w:rsid w:val="00F62A2B"/>
    <w:rsid w:val="00F63299"/>
    <w:rsid w:val="00F63783"/>
    <w:rsid w:val="00F639F5"/>
    <w:rsid w:val="00F63D57"/>
    <w:rsid w:val="00F640F8"/>
    <w:rsid w:val="00F6435B"/>
    <w:rsid w:val="00F643BE"/>
    <w:rsid w:val="00F643C3"/>
    <w:rsid w:val="00F6469A"/>
    <w:rsid w:val="00F646F7"/>
    <w:rsid w:val="00F64CEA"/>
    <w:rsid w:val="00F64E97"/>
    <w:rsid w:val="00F64EAB"/>
    <w:rsid w:val="00F6509A"/>
    <w:rsid w:val="00F656AF"/>
    <w:rsid w:val="00F656DC"/>
    <w:rsid w:val="00F659DC"/>
    <w:rsid w:val="00F65CDB"/>
    <w:rsid w:val="00F65DA4"/>
    <w:rsid w:val="00F65E4B"/>
    <w:rsid w:val="00F66003"/>
    <w:rsid w:val="00F66424"/>
    <w:rsid w:val="00F6691E"/>
    <w:rsid w:val="00F677E6"/>
    <w:rsid w:val="00F67932"/>
    <w:rsid w:val="00F67934"/>
    <w:rsid w:val="00F67C3E"/>
    <w:rsid w:val="00F67CD7"/>
    <w:rsid w:val="00F67F7B"/>
    <w:rsid w:val="00F70043"/>
    <w:rsid w:val="00F702F8"/>
    <w:rsid w:val="00F708D3"/>
    <w:rsid w:val="00F708F1"/>
    <w:rsid w:val="00F70A25"/>
    <w:rsid w:val="00F70C42"/>
    <w:rsid w:val="00F715DC"/>
    <w:rsid w:val="00F7175C"/>
    <w:rsid w:val="00F720C2"/>
    <w:rsid w:val="00F72BD7"/>
    <w:rsid w:val="00F72CC0"/>
    <w:rsid w:val="00F72DB9"/>
    <w:rsid w:val="00F72E1D"/>
    <w:rsid w:val="00F733BF"/>
    <w:rsid w:val="00F733F5"/>
    <w:rsid w:val="00F73B9B"/>
    <w:rsid w:val="00F73BDC"/>
    <w:rsid w:val="00F73CAB"/>
    <w:rsid w:val="00F73DE6"/>
    <w:rsid w:val="00F73E13"/>
    <w:rsid w:val="00F73FC6"/>
    <w:rsid w:val="00F742BF"/>
    <w:rsid w:val="00F7479C"/>
    <w:rsid w:val="00F747ED"/>
    <w:rsid w:val="00F7493D"/>
    <w:rsid w:val="00F749AF"/>
    <w:rsid w:val="00F74B8B"/>
    <w:rsid w:val="00F74E74"/>
    <w:rsid w:val="00F7511E"/>
    <w:rsid w:val="00F75AB4"/>
    <w:rsid w:val="00F75E6B"/>
    <w:rsid w:val="00F75EDB"/>
    <w:rsid w:val="00F7680C"/>
    <w:rsid w:val="00F769EA"/>
    <w:rsid w:val="00F76E52"/>
    <w:rsid w:val="00F77EEA"/>
    <w:rsid w:val="00F7F4DE"/>
    <w:rsid w:val="00F8031E"/>
    <w:rsid w:val="00F803A1"/>
    <w:rsid w:val="00F803F6"/>
    <w:rsid w:val="00F80704"/>
    <w:rsid w:val="00F80C2C"/>
    <w:rsid w:val="00F80C59"/>
    <w:rsid w:val="00F80EFC"/>
    <w:rsid w:val="00F80F01"/>
    <w:rsid w:val="00F81155"/>
    <w:rsid w:val="00F811AF"/>
    <w:rsid w:val="00F81427"/>
    <w:rsid w:val="00F8147B"/>
    <w:rsid w:val="00F81648"/>
    <w:rsid w:val="00F81C75"/>
    <w:rsid w:val="00F821CC"/>
    <w:rsid w:val="00F829B7"/>
    <w:rsid w:val="00F82A04"/>
    <w:rsid w:val="00F82E69"/>
    <w:rsid w:val="00F82E97"/>
    <w:rsid w:val="00F830EC"/>
    <w:rsid w:val="00F83276"/>
    <w:rsid w:val="00F832D1"/>
    <w:rsid w:val="00F83517"/>
    <w:rsid w:val="00F839C4"/>
    <w:rsid w:val="00F843C9"/>
    <w:rsid w:val="00F8472B"/>
    <w:rsid w:val="00F84E06"/>
    <w:rsid w:val="00F858BB"/>
    <w:rsid w:val="00F85A54"/>
    <w:rsid w:val="00F85A79"/>
    <w:rsid w:val="00F85E6F"/>
    <w:rsid w:val="00F86193"/>
    <w:rsid w:val="00F863E8"/>
    <w:rsid w:val="00F864B3"/>
    <w:rsid w:val="00F86564"/>
    <w:rsid w:val="00F8681D"/>
    <w:rsid w:val="00F868A9"/>
    <w:rsid w:val="00F86965"/>
    <w:rsid w:val="00F86CAE"/>
    <w:rsid w:val="00F86D54"/>
    <w:rsid w:val="00F870FE"/>
    <w:rsid w:val="00F871BB"/>
    <w:rsid w:val="00F872A3"/>
    <w:rsid w:val="00F874A9"/>
    <w:rsid w:val="00F874BE"/>
    <w:rsid w:val="00F879BC"/>
    <w:rsid w:val="00F87C71"/>
    <w:rsid w:val="00F9032A"/>
    <w:rsid w:val="00F90538"/>
    <w:rsid w:val="00F9087E"/>
    <w:rsid w:val="00F90DA4"/>
    <w:rsid w:val="00F90EDA"/>
    <w:rsid w:val="00F91219"/>
    <w:rsid w:val="00F916FF"/>
    <w:rsid w:val="00F91BEA"/>
    <w:rsid w:val="00F91C4E"/>
    <w:rsid w:val="00F91CD5"/>
    <w:rsid w:val="00F92080"/>
    <w:rsid w:val="00F92191"/>
    <w:rsid w:val="00F927F4"/>
    <w:rsid w:val="00F92B95"/>
    <w:rsid w:val="00F93B58"/>
    <w:rsid w:val="00F93C03"/>
    <w:rsid w:val="00F947A1"/>
    <w:rsid w:val="00F94B00"/>
    <w:rsid w:val="00F94BA5"/>
    <w:rsid w:val="00F95B19"/>
    <w:rsid w:val="00F95B50"/>
    <w:rsid w:val="00F95E87"/>
    <w:rsid w:val="00F96977"/>
    <w:rsid w:val="00F96A99"/>
    <w:rsid w:val="00F96DBA"/>
    <w:rsid w:val="00F96E3B"/>
    <w:rsid w:val="00F96FE3"/>
    <w:rsid w:val="00F97571"/>
    <w:rsid w:val="00F97720"/>
    <w:rsid w:val="00F97D22"/>
    <w:rsid w:val="00F97E52"/>
    <w:rsid w:val="00FA00D3"/>
    <w:rsid w:val="00FA0122"/>
    <w:rsid w:val="00FA0227"/>
    <w:rsid w:val="00FA0398"/>
    <w:rsid w:val="00FA039E"/>
    <w:rsid w:val="00FA0756"/>
    <w:rsid w:val="00FA0908"/>
    <w:rsid w:val="00FA0C73"/>
    <w:rsid w:val="00FA1422"/>
    <w:rsid w:val="00FA14CD"/>
    <w:rsid w:val="00FA1B86"/>
    <w:rsid w:val="00FA2087"/>
    <w:rsid w:val="00FA217B"/>
    <w:rsid w:val="00FA22CE"/>
    <w:rsid w:val="00FA238A"/>
    <w:rsid w:val="00FA2523"/>
    <w:rsid w:val="00FA25E0"/>
    <w:rsid w:val="00FA278E"/>
    <w:rsid w:val="00FA2C20"/>
    <w:rsid w:val="00FA2D60"/>
    <w:rsid w:val="00FA2EC9"/>
    <w:rsid w:val="00FA2F1A"/>
    <w:rsid w:val="00FA308F"/>
    <w:rsid w:val="00FA34D0"/>
    <w:rsid w:val="00FA36EB"/>
    <w:rsid w:val="00FA3C4E"/>
    <w:rsid w:val="00FA3D9A"/>
    <w:rsid w:val="00FA4141"/>
    <w:rsid w:val="00FA4683"/>
    <w:rsid w:val="00FA4C64"/>
    <w:rsid w:val="00FA4D2F"/>
    <w:rsid w:val="00FA5282"/>
    <w:rsid w:val="00FA54A0"/>
    <w:rsid w:val="00FA5536"/>
    <w:rsid w:val="00FA5641"/>
    <w:rsid w:val="00FA583E"/>
    <w:rsid w:val="00FA5E05"/>
    <w:rsid w:val="00FA606B"/>
    <w:rsid w:val="00FA60C7"/>
    <w:rsid w:val="00FA63A0"/>
    <w:rsid w:val="00FA63A9"/>
    <w:rsid w:val="00FA63DA"/>
    <w:rsid w:val="00FA6535"/>
    <w:rsid w:val="00FA6A37"/>
    <w:rsid w:val="00FA6F1F"/>
    <w:rsid w:val="00FA7051"/>
    <w:rsid w:val="00FA7281"/>
    <w:rsid w:val="00FA7AB1"/>
    <w:rsid w:val="00FA7CAE"/>
    <w:rsid w:val="00FB0A37"/>
    <w:rsid w:val="00FB0F94"/>
    <w:rsid w:val="00FB0FC9"/>
    <w:rsid w:val="00FB1291"/>
    <w:rsid w:val="00FB1433"/>
    <w:rsid w:val="00FB16D0"/>
    <w:rsid w:val="00FB1746"/>
    <w:rsid w:val="00FB1987"/>
    <w:rsid w:val="00FB1D9A"/>
    <w:rsid w:val="00FB1E51"/>
    <w:rsid w:val="00FB2038"/>
    <w:rsid w:val="00FB230B"/>
    <w:rsid w:val="00FB282A"/>
    <w:rsid w:val="00FB2B78"/>
    <w:rsid w:val="00FB36FD"/>
    <w:rsid w:val="00FB3BA8"/>
    <w:rsid w:val="00FB4074"/>
    <w:rsid w:val="00FB4252"/>
    <w:rsid w:val="00FB44D9"/>
    <w:rsid w:val="00FB45D5"/>
    <w:rsid w:val="00FB4826"/>
    <w:rsid w:val="00FB4A21"/>
    <w:rsid w:val="00FB4E42"/>
    <w:rsid w:val="00FB5151"/>
    <w:rsid w:val="00FB52B8"/>
    <w:rsid w:val="00FB52E4"/>
    <w:rsid w:val="00FB54C2"/>
    <w:rsid w:val="00FB6375"/>
    <w:rsid w:val="00FB6386"/>
    <w:rsid w:val="00FB6C51"/>
    <w:rsid w:val="00FB6CC3"/>
    <w:rsid w:val="00FB6CD9"/>
    <w:rsid w:val="00FB6D45"/>
    <w:rsid w:val="00FB6FE4"/>
    <w:rsid w:val="00FB716D"/>
    <w:rsid w:val="00FB71EA"/>
    <w:rsid w:val="00FB7AC3"/>
    <w:rsid w:val="00FB7AEA"/>
    <w:rsid w:val="00FB7B09"/>
    <w:rsid w:val="00FB7B4D"/>
    <w:rsid w:val="00FB7B91"/>
    <w:rsid w:val="00FB7C31"/>
    <w:rsid w:val="00FC0447"/>
    <w:rsid w:val="00FC0CD2"/>
    <w:rsid w:val="00FC0FFE"/>
    <w:rsid w:val="00FC12BB"/>
    <w:rsid w:val="00FC137D"/>
    <w:rsid w:val="00FC19CA"/>
    <w:rsid w:val="00FC1A69"/>
    <w:rsid w:val="00FC1EB1"/>
    <w:rsid w:val="00FC2267"/>
    <w:rsid w:val="00FC23C0"/>
    <w:rsid w:val="00FC266F"/>
    <w:rsid w:val="00FC279B"/>
    <w:rsid w:val="00FC2924"/>
    <w:rsid w:val="00FC2C34"/>
    <w:rsid w:val="00FC2D0D"/>
    <w:rsid w:val="00FC2EF4"/>
    <w:rsid w:val="00FC2F47"/>
    <w:rsid w:val="00FC3102"/>
    <w:rsid w:val="00FC34FC"/>
    <w:rsid w:val="00FC37A8"/>
    <w:rsid w:val="00FC3824"/>
    <w:rsid w:val="00FC4098"/>
    <w:rsid w:val="00FC426A"/>
    <w:rsid w:val="00FC432D"/>
    <w:rsid w:val="00FC446E"/>
    <w:rsid w:val="00FC4533"/>
    <w:rsid w:val="00FC540E"/>
    <w:rsid w:val="00FC5747"/>
    <w:rsid w:val="00FC5E12"/>
    <w:rsid w:val="00FC61C8"/>
    <w:rsid w:val="00FC6287"/>
    <w:rsid w:val="00FC6BF6"/>
    <w:rsid w:val="00FC6C58"/>
    <w:rsid w:val="00FC6DF7"/>
    <w:rsid w:val="00FC6F03"/>
    <w:rsid w:val="00FC71F6"/>
    <w:rsid w:val="00FC7407"/>
    <w:rsid w:val="00FC787E"/>
    <w:rsid w:val="00FC7C5A"/>
    <w:rsid w:val="00FC7F72"/>
    <w:rsid w:val="00FD0231"/>
    <w:rsid w:val="00FD04D4"/>
    <w:rsid w:val="00FD063C"/>
    <w:rsid w:val="00FD0FE1"/>
    <w:rsid w:val="00FD14DB"/>
    <w:rsid w:val="00FD1531"/>
    <w:rsid w:val="00FD1649"/>
    <w:rsid w:val="00FD1E2E"/>
    <w:rsid w:val="00FD2178"/>
    <w:rsid w:val="00FD22F8"/>
    <w:rsid w:val="00FD251A"/>
    <w:rsid w:val="00FD25A0"/>
    <w:rsid w:val="00FD2701"/>
    <w:rsid w:val="00FD27B4"/>
    <w:rsid w:val="00FD2813"/>
    <w:rsid w:val="00FD29A4"/>
    <w:rsid w:val="00FD29EE"/>
    <w:rsid w:val="00FD2A86"/>
    <w:rsid w:val="00FD2AB3"/>
    <w:rsid w:val="00FD3335"/>
    <w:rsid w:val="00FD36B3"/>
    <w:rsid w:val="00FD37D2"/>
    <w:rsid w:val="00FD3D45"/>
    <w:rsid w:val="00FD3FF3"/>
    <w:rsid w:val="00FD410C"/>
    <w:rsid w:val="00FD4365"/>
    <w:rsid w:val="00FD4738"/>
    <w:rsid w:val="00FD47E3"/>
    <w:rsid w:val="00FD4A84"/>
    <w:rsid w:val="00FD4B74"/>
    <w:rsid w:val="00FD508C"/>
    <w:rsid w:val="00FD557C"/>
    <w:rsid w:val="00FD56AC"/>
    <w:rsid w:val="00FD574A"/>
    <w:rsid w:val="00FD5ECE"/>
    <w:rsid w:val="00FD60E5"/>
    <w:rsid w:val="00FD61B6"/>
    <w:rsid w:val="00FD6321"/>
    <w:rsid w:val="00FD63B5"/>
    <w:rsid w:val="00FD64B5"/>
    <w:rsid w:val="00FD66A4"/>
    <w:rsid w:val="00FD67C6"/>
    <w:rsid w:val="00FD6C40"/>
    <w:rsid w:val="00FD6EBD"/>
    <w:rsid w:val="00FD6FF7"/>
    <w:rsid w:val="00FD7129"/>
    <w:rsid w:val="00FD7276"/>
    <w:rsid w:val="00FD73DC"/>
    <w:rsid w:val="00FD7583"/>
    <w:rsid w:val="00FD7946"/>
    <w:rsid w:val="00FD9B55"/>
    <w:rsid w:val="00FE00E8"/>
    <w:rsid w:val="00FE033B"/>
    <w:rsid w:val="00FE06C4"/>
    <w:rsid w:val="00FE0839"/>
    <w:rsid w:val="00FE0B5F"/>
    <w:rsid w:val="00FE0D5B"/>
    <w:rsid w:val="00FE0E6C"/>
    <w:rsid w:val="00FE182F"/>
    <w:rsid w:val="00FE1833"/>
    <w:rsid w:val="00FE1923"/>
    <w:rsid w:val="00FE1963"/>
    <w:rsid w:val="00FE1AA2"/>
    <w:rsid w:val="00FE1C45"/>
    <w:rsid w:val="00FE1CE5"/>
    <w:rsid w:val="00FE1E10"/>
    <w:rsid w:val="00FE22B8"/>
    <w:rsid w:val="00FE2465"/>
    <w:rsid w:val="00FE2C5C"/>
    <w:rsid w:val="00FE3076"/>
    <w:rsid w:val="00FE3326"/>
    <w:rsid w:val="00FE3897"/>
    <w:rsid w:val="00FE3EF3"/>
    <w:rsid w:val="00FE3F26"/>
    <w:rsid w:val="00FE4638"/>
    <w:rsid w:val="00FE4729"/>
    <w:rsid w:val="00FE4EBA"/>
    <w:rsid w:val="00FE5010"/>
    <w:rsid w:val="00FE50BC"/>
    <w:rsid w:val="00FE51B3"/>
    <w:rsid w:val="00FE5370"/>
    <w:rsid w:val="00FE5707"/>
    <w:rsid w:val="00FE574C"/>
    <w:rsid w:val="00FE5D6C"/>
    <w:rsid w:val="00FE606B"/>
    <w:rsid w:val="00FE6252"/>
    <w:rsid w:val="00FE6577"/>
    <w:rsid w:val="00FE6F73"/>
    <w:rsid w:val="00FE7022"/>
    <w:rsid w:val="00FE7BB5"/>
    <w:rsid w:val="00FE7CD1"/>
    <w:rsid w:val="00FE7DFB"/>
    <w:rsid w:val="00FF045A"/>
    <w:rsid w:val="00FF086D"/>
    <w:rsid w:val="00FF0ABD"/>
    <w:rsid w:val="00FF102D"/>
    <w:rsid w:val="00FF14C1"/>
    <w:rsid w:val="00FF1526"/>
    <w:rsid w:val="00FF1A6F"/>
    <w:rsid w:val="00FF1C64"/>
    <w:rsid w:val="00FF22A8"/>
    <w:rsid w:val="00FF24B1"/>
    <w:rsid w:val="00FF29AE"/>
    <w:rsid w:val="00FF34FB"/>
    <w:rsid w:val="00FF3C6F"/>
    <w:rsid w:val="00FF3F5D"/>
    <w:rsid w:val="00FF4537"/>
    <w:rsid w:val="00FF46F1"/>
    <w:rsid w:val="00FF4737"/>
    <w:rsid w:val="00FF4846"/>
    <w:rsid w:val="00FF4C5D"/>
    <w:rsid w:val="00FF5202"/>
    <w:rsid w:val="00FF5395"/>
    <w:rsid w:val="00FF5577"/>
    <w:rsid w:val="00FF592B"/>
    <w:rsid w:val="00FF5A0B"/>
    <w:rsid w:val="00FF5A99"/>
    <w:rsid w:val="00FF639E"/>
    <w:rsid w:val="00FF649D"/>
    <w:rsid w:val="00FF6882"/>
    <w:rsid w:val="00FF6B03"/>
    <w:rsid w:val="00FF6BDC"/>
    <w:rsid w:val="00FF7131"/>
    <w:rsid w:val="00FF7699"/>
    <w:rsid w:val="00FF7762"/>
    <w:rsid w:val="00FF7AD8"/>
    <w:rsid w:val="0106D120"/>
    <w:rsid w:val="011106E2"/>
    <w:rsid w:val="011380D2"/>
    <w:rsid w:val="011C2A46"/>
    <w:rsid w:val="01244216"/>
    <w:rsid w:val="0126CC96"/>
    <w:rsid w:val="012D9320"/>
    <w:rsid w:val="01336271"/>
    <w:rsid w:val="01498266"/>
    <w:rsid w:val="014C6175"/>
    <w:rsid w:val="0157369C"/>
    <w:rsid w:val="015BF4E3"/>
    <w:rsid w:val="015DBF07"/>
    <w:rsid w:val="015F40F2"/>
    <w:rsid w:val="01658580"/>
    <w:rsid w:val="01688386"/>
    <w:rsid w:val="0170F414"/>
    <w:rsid w:val="0175E68D"/>
    <w:rsid w:val="01813A01"/>
    <w:rsid w:val="0182A3BC"/>
    <w:rsid w:val="01844F65"/>
    <w:rsid w:val="018498F6"/>
    <w:rsid w:val="018FDB4A"/>
    <w:rsid w:val="0190CC42"/>
    <w:rsid w:val="01943DB9"/>
    <w:rsid w:val="0194DE88"/>
    <w:rsid w:val="019BA975"/>
    <w:rsid w:val="01A10A0C"/>
    <w:rsid w:val="01A1E0ED"/>
    <w:rsid w:val="01B76DC1"/>
    <w:rsid w:val="01BB7416"/>
    <w:rsid w:val="01D491F7"/>
    <w:rsid w:val="01DCEC14"/>
    <w:rsid w:val="01F461CB"/>
    <w:rsid w:val="01F527E3"/>
    <w:rsid w:val="01FB9E06"/>
    <w:rsid w:val="02001A4F"/>
    <w:rsid w:val="020F0D78"/>
    <w:rsid w:val="0213258E"/>
    <w:rsid w:val="02165C86"/>
    <w:rsid w:val="021D2ADA"/>
    <w:rsid w:val="02267388"/>
    <w:rsid w:val="0226768B"/>
    <w:rsid w:val="022AAB4A"/>
    <w:rsid w:val="0235310F"/>
    <w:rsid w:val="023C9A4D"/>
    <w:rsid w:val="02568371"/>
    <w:rsid w:val="0264F899"/>
    <w:rsid w:val="026701AA"/>
    <w:rsid w:val="0272E43B"/>
    <w:rsid w:val="02740410"/>
    <w:rsid w:val="027929BC"/>
    <w:rsid w:val="027A886A"/>
    <w:rsid w:val="0289537E"/>
    <w:rsid w:val="028E49A1"/>
    <w:rsid w:val="029153B3"/>
    <w:rsid w:val="02A15BA4"/>
    <w:rsid w:val="02A4ACCE"/>
    <w:rsid w:val="02A5496A"/>
    <w:rsid w:val="02A6A0C6"/>
    <w:rsid w:val="02B8C0DD"/>
    <w:rsid w:val="02B989B0"/>
    <w:rsid w:val="02C01CA2"/>
    <w:rsid w:val="02CE2133"/>
    <w:rsid w:val="02CE645C"/>
    <w:rsid w:val="02D28EAE"/>
    <w:rsid w:val="02D38AA1"/>
    <w:rsid w:val="02D4DD5B"/>
    <w:rsid w:val="02DE3DB8"/>
    <w:rsid w:val="02E1F7D7"/>
    <w:rsid w:val="02E6D6B9"/>
    <w:rsid w:val="02EA051D"/>
    <w:rsid w:val="02F22B94"/>
    <w:rsid w:val="02F4241F"/>
    <w:rsid w:val="02F54E56"/>
    <w:rsid w:val="0306DF6B"/>
    <w:rsid w:val="030842E0"/>
    <w:rsid w:val="0308EA7B"/>
    <w:rsid w:val="03113169"/>
    <w:rsid w:val="03157793"/>
    <w:rsid w:val="0315879A"/>
    <w:rsid w:val="03164552"/>
    <w:rsid w:val="03166E72"/>
    <w:rsid w:val="031C63EB"/>
    <w:rsid w:val="031D2D9A"/>
    <w:rsid w:val="03309AE6"/>
    <w:rsid w:val="03375C5F"/>
    <w:rsid w:val="03398E20"/>
    <w:rsid w:val="033B2AC7"/>
    <w:rsid w:val="0350D415"/>
    <w:rsid w:val="03556DEC"/>
    <w:rsid w:val="0373B8C1"/>
    <w:rsid w:val="0376C773"/>
    <w:rsid w:val="0379E8D8"/>
    <w:rsid w:val="0381F6DA"/>
    <w:rsid w:val="03A9109B"/>
    <w:rsid w:val="03ABC4C7"/>
    <w:rsid w:val="03B23939"/>
    <w:rsid w:val="03B7F540"/>
    <w:rsid w:val="03E7CE3A"/>
    <w:rsid w:val="03EA0FC7"/>
    <w:rsid w:val="03EFAA7F"/>
    <w:rsid w:val="03FEEA24"/>
    <w:rsid w:val="040635BF"/>
    <w:rsid w:val="0418B828"/>
    <w:rsid w:val="041C9242"/>
    <w:rsid w:val="041FBA66"/>
    <w:rsid w:val="04206ADE"/>
    <w:rsid w:val="0424A2C9"/>
    <w:rsid w:val="04297D39"/>
    <w:rsid w:val="042C6DE5"/>
    <w:rsid w:val="042CD8A6"/>
    <w:rsid w:val="042FEE43"/>
    <w:rsid w:val="043425BF"/>
    <w:rsid w:val="0438CE27"/>
    <w:rsid w:val="043B65A6"/>
    <w:rsid w:val="043BC7A4"/>
    <w:rsid w:val="043CCFC0"/>
    <w:rsid w:val="04475909"/>
    <w:rsid w:val="0447CF37"/>
    <w:rsid w:val="04581D5D"/>
    <w:rsid w:val="046473B4"/>
    <w:rsid w:val="046A8A3C"/>
    <w:rsid w:val="046B0A19"/>
    <w:rsid w:val="0472A8A7"/>
    <w:rsid w:val="047D5546"/>
    <w:rsid w:val="0480A2CF"/>
    <w:rsid w:val="048228A6"/>
    <w:rsid w:val="04974678"/>
    <w:rsid w:val="049B70B2"/>
    <w:rsid w:val="049DBCE5"/>
    <w:rsid w:val="04A22B5E"/>
    <w:rsid w:val="04B08616"/>
    <w:rsid w:val="04B1B977"/>
    <w:rsid w:val="04B2C986"/>
    <w:rsid w:val="04B3CECD"/>
    <w:rsid w:val="04B83351"/>
    <w:rsid w:val="04BD5100"/>
    <w:rsid w:val="04C207B9"/>
    <w:rsid w:val="04C74649"/>
    <w:rsid w:val="04CA1168"/>
    <w:rsid w:val="04CF67EB"/>
    <w:rsid w:val="04E83507"/>
    <w:rsid w:val="04EAE32E"/>
    <w:rsid w:val="04EBB2F4"/>
    <w:rsid w:val="04EEC908"/>
    <w:rsid w:val="04EF6136"/>
    <w:rsid w:val="04F3C4BA"/>
    <w:rsid w:val="04F46481"/>
    <w:rsid w:val="0500BA7F"/>
    <w:rsid w:val="05018657"/>
    <w:rsid w:val="050F8B92"/>
    <w:rsid w:val="051762EA"/>
    <w:rsid w:val="0518BCE4"/>
    <w:rsid w:val="05213019"/>
    <w:rsid w:val="05214E0D"/>
    <w:rsid w:val="05219133"/>
    <w:rsid w:val="052F8923"/>
    <w:rsid w:val="054174E5"/>
    <w:rsid w:val="0550A10D"/>
    <w:rsid w:val="05539F68"/>
    <w:rsid w:val="0554C329"/>
    <w:rsid w:val="0556AD57"/>
    <w:rsid w:val="05575975"/>
    <w:rsid w:val="055981E7"/>
    <w:rsid w:val="055B3B8B"/>
    <w:rsid w:val="055FDBBC"/>
    <w:rsid w:val="05630F32"/>
    <w:rsid w:val="05640029"/>
    <w:rsid w:val="056697A4"/>
    <w:rsid w:val="05729E15"/>
    <w:rsid w:val="05768CE2"/>
    <w:rsid w:val="0577074E"/>
    <w:rsid w:val="057ED10D"/>
    <w:rsid w:val="0585FABE"/>
    <w:rsid w:val="059FD10D"/>
    <w:rsid w:val="05A04940"/>
    <w:rsid w:val="05A25F10"/>
    <w:rsid w:val="05A9E96F"/>
    <w:rsid w:val="05AC576B"/>
    <w:rsid w:val="05B25D7E"/>
    <w:rsid w:val="05BD3AE4"/>
    <w:rsid w:val="05C85136"/>
    <w:rsid w:val="05C93C70"/>
    <w:rsid w:val="05CA72A9"/>
    <w:rsid w:val="05CEDB40"/>
    <w:rsid w:val="05D8917C"/>
    <w:rsid w:val="05E0C9DE"/>
    <w:rsid w:val="05EE2727"/>
    <w:rsid w:val="05F20C88"/>
    <w:rsid w:val="05F5A410"/>
    <w:rsid w:val="05F7E4B4"/>
    <w:rsid w:val="05F9C858"/>
    <w:rsid w:val="05FED494"/>
    <w:rsid w:val="060516A7"/>
    <w:rsid w:val="06056E45"/>
    <w:rsid w:val="060C2339"/>
    <w:rsid w:val="06115F26"/>
    <w:rsid w:val="06135B2A"/>
    <w:rsid w:val="0613F526"/>
    <w:rsid w:val="06156C14"/>
    <w:rsid w:val="06213910"/>
    <w:rsid w:val="06300C4E"/>
    <w:rsid w:val="06382747"/>
    <w:rsid w:val="06389A52"/>
    <w:rsid w:val="063C4DA9"/>
    <w:rsid w:val="063D2FA2"/>
    <w:rsid w:val="0641AAB6"/>
    <w:rsid w:val="0646C40A"/>
    <w:rsid w:val="064E4BF4"/>
    <w:rsid w:val="0650F98A"/>
    <w:rsid w:val="06521394"/>
    <w:rsid w:val="0654E8A9"/>
    <w:rsid w:val="0657FBDD"/>
    <w:rsid w:val="06605C0D"/>
    <w:rsid w:val="06607EF2"/>
    <w:rsid w:val="066455DE"/>
    <w:rsid w:val="06666F80"/>
    <w:rsid w:val="06681A74"/>
    <w:rsid w:val="06685C7C"/>
    <w:rsid w:val="06811215"/>
    <w:rsid w:val="068CC4F5"/>
    <w:rsid w:val="0697F87A"/>
    <w:rsid w:val="069CB2D3"/>
    <w:rsid w:val="069CCD16"/>
    <w:rsid w:val="06A4175F"/>
    <w:rsid w:val="06AB9210"/>
    <w:rsid w:val="06B195F3"/>
    <w:rsid w:val="06B514B4"/>
    <w:rsid w:val="06B80852"/>
    <w:rsid w:val="06B9445D"/>
    <w:rsid w:val="06C14A6B"/>
    <w:rsid w:val="06CC4749"/>
    <w:rsid w:val="06D1E092"/>
    <w:rsid w:val="06FF61D7"/>
    <w:rsid w:val="07001F5A"/>
    <w:rsid w:val="0700B5D7"/>
    <w:rsid w:val="0700EB9A"/>
    <w:rsid w:val="070684AE"/>
    <w:rsid w:val="07147B56"/>
    <w:rsid w:val="071ED4F5"/>
    <w:rsid w:val="071F2F45"/>
    <w:rsid w:val="0721E1E7"/>
    <w:rsid w:val="0721E254"/>
    <w:rsid w:val="0728E6CC"/>
    <w:rsid w:val="073D89A3"/>
    <w:rsid w:val="073DE422"/>
    <w:rsid w:val="07459FA0"/>
    <w:rsid w:val="074B42FA"/>
    <w:rsid w:val="074D133E"/>
    <w:rsid w:val="074F2548"/>
    <w:rsid w:val="0754D6D6"/>
    <w:rsid w:val="07597798"/>
    <w:rsid w:val="07619054"/>
    <w:rsid w:val="0762DDB0"/>
    <w:rsid w:val="07632A26"/>
    <w:rsid w:val="07668E44"/>
    <w:rsid w:val="076FCCE2"/>
    <w:rsid w:val="07721874"/>
    <w:rsid w:val="0773E434"/>
    <w:rsid w:val="0774A376"/>
    <w:rsid w:val="07780368"/>
    <w:rsid w:val="0778D627"/>
    <w:rsid w:val="0783C1AC"/>
    <w:rsid w:val="07840BC0"/>
    <w:rsid w:val="0786BD4E"/>
    <w:rsid w:val="07929280"/>
    <w:rsid w:val="0793647D"/>
    <w:rsid w:val="07A9B667"/>
    <w:rsid w:val="07ABC1F5"/>
    <w:rsid w:val="07B6DB7A"/>
    <w:rsid w:val="07CA04F8"/>
    <w:rsid w:val="07CFDC6F"/>
    <w:rsid w:val="07D399BF"/>
    <w:rsid w:val="07D6C346"/>
    <w:rsid w:val="07DFB037"/>
    <w:rsid w:val="07E18294"/>
    <w:rsid w:val="07F00D2E"/>
    <w:rsid w:val="07F17972"/>
    <w:rsid w:val="07F35733"/>
    <w:rsid w:val="07FED993"/>
    <w:rsid w:val="080101F7"/>
    <w:rsid w:val="080E0C55"/>
    <w:rsid w:val="080FDE73"/>
    <w:rsid w:val="08146854"/>
    <w:rsid w:val="0816019E"/>
    <w:rsid w:val="08255188"/>
    <w:rsid w:val="082AFD73"/>
    <w:rsid w:val="083681B0"/>
    <w:rsid w:val="0838C79F"/>
    <w:rsid w:val="08407110"/>
    <w:rsid w:val="0846A01F"/>
    <w:rsid w:val="084CE6AE"/>
    <w:rsid w:val="085A2E47"/>
    <w:rsid w:val="0866D370"/>
    <w:rsid w:val="0867684B"/>
    <w:rsid w:val="087059E6"/>
    <w:rsid w:val="087573CB"/>
    <w:rsid w:val="0885CE8D"/>
    <w:rsid w:val="088A2310"/>
    <w:rsid w:val="088E6E95"/>
    <w:rsid w:val="08938312"/>
    <w:rsid w:val="08991533"/>
    <w:rsid w:val="08A09391"/>
    <w:rsid w:val="08AE4C24"/>
    <w:rsid w:val="08BD6DBD"/>
    <w:rsid w:val="08BE226A"/>
    <w:rsid w:val="08D115A2"/>
    <w:rsid w:val="08D67816"/>
    <w:rsid w:val="08DD802B"/>
    <w:rsid w:val="08DEB15F"/>
    <w:rsid w:val="08E057C3"/>
    <w:rsid w:val="08EDFED8"/>
    <w:rsid w:val="08F22626"/>
    <w:rsid w:val="08F4FFA7"/>
    <w:rsid w:val="08FC2B67"/>
    <w:rsid w:val="09064051"/>
    <w:rsid w:val="0906BBE0"/>
    <w:rsid w:val="090DA0BB"/>
    <w:rsid w:val="091F6D11"/>
    <w:rsid w:val="09265208"/>
    <w:rsid w:val="092D6348"/>
    <w:rsid w:val="092F8A11"/>
    <w:rsid w:val="093ED715"/>
    <w:rsid w:val="09426E1F"/>
    <w:rsid w:val="0942A7DE"/>
    <w:rsid w:val="09453640"/>
    <w:rsid w:val="094917DF"/>
    <w:rsid w:val="094E5213"/>
    <w:rsid w:val="0954C7D8"/>
    <w:rsid w:val="09569CEA"/>
    <w:rsid w:val="0959480C"/>
    <w:rsid w:val="095BDEE3"/>
    <w:rsid w:val="09677D97"/>
    <w:rsid w:val="096F9075"/>
    <w:rsid w:val="0975829A"/>
    <w:rsid w:val="0978B691"/>
    <w:rsid w:val="09802670"/>
    <w:rsid w:val="098212AB"/>
    <w:rsid w:val="09827934"/>
    <w:rsid w:val="0982A349"/>
    <w:rsid w:val="0985EAD1"/>
    <w:rsid w:val="098A2BD5"/>
    <w:rsid w:val="099DF433"/>
    <w:rsid w:val="09ACF032"/>
    <w:rsid w:val="09B356E4"/>
    <w:rsid w:val="09CA1360"/>
    <w:rsid w:val="09CC4B68"/>
    <w:rsid w:val="09D58079"/>
    <w:rsid w:val="09DCC9C0"/>
    <w:rsid w:val="09E31605"/>
    <w:rsid w:val="09E6CF06"/>
    <w:rsid w:val="09ED8D9C"/>
    <w:rsid w:val="09F032C3"/>
    <w:rsid w:val="09FFAD32"/>
    <w:rsid w:val="0A02CC4C"/>
    <w:rsid w:val="0A06DC8F"/>
    <w:rsid w:val="0A0A3250"/>
    <w:rsid w:val="0A0E183A"/>
    <w:rsid w:val="0A119825"/>
    <w:rsid w:val="0A16836D"/>
    <w:rsid w:val="0A1C5F46"/>
    <w:rsid w:val="0A208E5A"/>
    <w:rsid w:val="0A258873"/>
    <w:rsid w:val="0A27B515"/>
    <w:rsid w:val="0A295359"/>
    <w:rsid w:val="0A37C046"/>
    <w:rsid w:val="0A3880EE"/>
    <w:rsid w:val="0A39D158"/>
    <w:rsid w:val="0A3F2B43"/>
    <w:rsid w:val="0A46F846"/>
    <w:rsid w:val="0A4865E6"/>
    <w:rsid w:val="0A495977"/>
    <w:rsid w:val="0A684DA1"/>
    <w:rsid w:val="0A6D6376"/>
    <w:rsid w:val="0A6EC65C"/>
    <w:rsid w:val="0A743F04"/>
    <w:rsid w:val="0A7A4B8D"/>
    <w:rsid w:val="0A7A983E"/>
    <w:rsid w:val="0A7AAF6C"/>
    <w:rsid w:val="0A7B556F"/>
    <w:rsid w:val="0A7D6907"/>
    <w:rsid w:val="0A7E7F0F"/>
    <w:rsid w:val="0A81C610"/>
    <w:rsid w:val="0A851E38"/>
    <w:rsid w:val="0A9765AC"/>
    <w:rsid w:val="0A9AACAE"/>
    <w:rsid w:val="0A9DAFC2"/>
    <w:rsid w:val="0AA2005C"/>
    <w:rsid w:val="0AAAD622"/>
    <w:rsid w:val="0AAC685B"/>
    <w:rsid w:val="0AB5C3D8"/>
    <w:rsid w:val="0AB7B984"/>
    <w:rsid w:val="0AB8D92B"/>
    <w:rsid w:val="0ACEECA4"/>
    <w:rsid w:val="0ADD8744"/>
    <w:rsid w:val="0ADF4CC7"/>
    <w:rsid w:val="0AE2EDD1"/>
    <w:rsid w:val="0AE5ABEC"/>
    <w:rsid w:val="0AE939C2"/>
    <w:rsid w:val="0AF32C12"/>
    <w:rsid w:val="0AF900BD"/>
    <w:rsid w:val="0AFC7E3F"/>
    <w:rsid w:val="0B114D48"/>
    <w:rsid w:val="0B1FADF4"/>
    <w:rsid w:val="0B20BA3B"/>
    <w:rsid w:val="0B20EB2E"/>
    <w:rsid w:val="0B348F0B"/>
    <w:rsid w:val="0B387035"/>
    <w:rsid w:val="0B3D35B1"/>
    <w:rsid w:val="0B401A67"/>
    <w:rsid w:val="0B420C80"/>
    <w:rsid w:val="0B477F93"/>
    <w:rsid w:val="0B4ADCB1"/>
    <w:rsid w:val="0B4FAC29"/>
    <w:rsid w:val="0B572F93"/>
    <w:rsid w:val="0B5E9A32"/>
    <w:rsid w:val="0B658A8A"/>
    <w:rsid w:val="0B67A17D"/>
    <w:rsid w:val="0B6E1B77"/>
    <w:rsid w:val="0B72636F"/>
    <w:rsid w:val="0B95DFD2"/>
    <w:rsid w:val="0B99C8F4"/>
    <w:rsid w:val="0BA22874"/>
    <w:rsid w:val="0BAB8C62"/>
    <w:rsid w:val="0BAEA2CA"/>
    <w:rsid w:val="0BB3616F"/>
    <w:rsid w:val="0BC1856A"/>
    <w:rsid w:val="0BC5E74E"/>
    <w:rsid w:val="0BCCBDEA"/>
    <w:rsid w:val="0BD16072"/>
    <w:rsid w:val="0BD1DDA4"/>
    <w:rsid w:val="0BD5BC27"/>
    <w:rsid w:val="0BDBC894"/>
    <w:rsid w:val="0BE7BB28"/>
    <w:rsid w:val="0BEC40E6"/>
    <w:rsid w:val="0BF17F7A"/>
    <w:rsid w:val="0BF7DB81"/>
    <w:rsid w:val="0BFA0C27"/>
    <w:rsid w:val="0C0198EB"/>
    <w:rsid w:val="0C0B475E"/>
    <w:rsid w:val="0C0D6E53"/>
    <w:rsid w:val="0C14C92D"/>
    <w:rsid w:val="0C185173"/>
    <w:rsid w:val="0C27BD51"/>
    <w:rsid w:val="0C285166"/>
    <w:rsid w:val="0C3B24AA"/>
    <w:rsid w:val="0C3E330D"/>
    <w:rsid w:val="0C3E51AD"/>
    <w:rsid w:val="0C41DE1B"/>
    <w:rsid w:val="0C4D9CFA"/>
    <w:rsid w:val="0C4E2089"/>
    <w:rsid w:val="0C52D142"/>
    <w:rsid w:val="0C5C685D"/>
    <w:rsid w:val="0C5CCE91"/>
    <w:rsid w:val="0C63230C"/>
    <w:rsid w:val="0C658D91"/>
    <w:rsid w:val="0C6607C3"/>
    <w:rsid w:val="0C66904A"/>
    <w:rsid w:val="0C74788A"/>
    <w:rsid w:val="0C7EE96D"/>
    <w:rsid w:val="0C7F549F"/>
    <w:rsid w:val="0C806735"/>
    <w:rsid w:val="0C80D7F8"/>
    <w:rsid w:val="0C840C51"/>
    <w:rsid w:val="0C851A81"/>
    <w:rsid w:val="0C865320"/>
    <w:rsid w:val="0C8BDC47"/>
    <w:rsid w:val="0C9CCE2B"/>
    <w:rsid w:val="0C9D4A5D"/>
    <w:rsid w:val="0C9FFFA4"/>
    <w:rsid w:val="0CA562A2"/>
    <w:rsid w:val="0CA5C009"/>
    <w:rsid w:val="0CB5CB7F"/>
    <w:rsid w:val="0CBE2CDE"/>
    <w:rsid w:val="0CC04011"/>
    <w:rsid w:val="0CC29DFF"/>
    <w:rsid w:val="0CCC7A44"/>
    <w:rsid w:val="0CCE8C19"/>
    <w:rsid w:val="0CDB25B8"/>
    <w:rsid w:val="0CDC4F5F"/>
    <w:rsid w:val="0CDE486E"/>
    <w:rsid w:val="0CE19237"/>
    <w:rsid w:val="0CE874B1"/>
    <w:rsid w:val="0CE8D57A"/>
    <w:rsid w:val="0CE9B911"/>
    <w:rsid w:val="0CEBF5DA"/>
    <w:rsid w:val="0CFAB7BD"/>
    <w:rsid w:val="0CFF4701"/>
    <w:rsid w:val="0D001179"/>
    <w:rsid w:val="0D001859"/>
    <w:rsid w:val="0D0C12B7"/>
    <w:rsid w:val="0D13485E"/>
    <w:rsid w:val="0D36EDE4"/>
    <w:rsid w:val="0D3A61B4"/>
    <w:rsid w:val="0D3CEE87"/>
    <w:rsid w:val="0D3DB3F8"/>
    <w:rsid w:val="0D470B99"/>
    <w:rsid w:val="0D477161"/>
    <w:rsid w:val="0D4A56F0"/>
    <w:rsid w:val="0D5EF066"/>
    <w:rsid w:val="0D60A5FD"/>
    <w:rsid w:val="0D61CAE1"/>
    <w:rsid w:val="0D6826C0"/>
    <w:rsid w:val="0D696EE9"/>
    <w:rsid w:val="0D6D9594"/>
    <w:rsid w:val="0D6DBEE9"/>
    <w:rsid w:val="0D70D5EC"/>
    <w:rsid w:val="0D756102"/>
    <w:rsid w:val="0D7DB402"/>
    <w:rsid w:val="0D8AD122"/>
    <w:rsid w:val="0D935DAD"/>
    <w:rsid w:val="0D951E2D"/>
    <w:rsid w:val="0D9CA741"/>
    <w:rsid w:val="0DA0AF8F"/>
    <w:rsid w:val="0DA9C69C"/>
    <w:rsid w:val="0DB64665"/>
    <w:rsid w:val="0DC0B632"/>
    <w:rsid w:val="0DD1DB55"/>
    <w:rsid w:val="0DDFB924"/>
    <w:rsid w:val="0DE240BE"/>
    <w:rsid w:val="0DE2437E"/>
    <w:rsid w:val="0DE6B47A"/>
    <w:rsid w:val="0DEE36FB"/>
    <w:rsid w:val="0DEF9A10"/>
    <w:rsid w:val="0DFB4C9C"/>
    <w:rsid w:val="0E00FF4A"/>
    <w:rsid w:val="0E057DD5"/>
    <w:rsid w:val="0E0E8EB7"/>
    <w:rsid w:val="0E1583C3"/>
    <w:rsid w:val="0E1802E7"/>
    <w:rsid w:val="0E235528"/>
    <w:rsid w:val="0E2CB3FC"/>
    <w:rsid w:val="0E38AEB8"/>
    <w:rsid w:val="0E39ECB4"/>
    <w:rsid w:val="0E3EA286"/>
    <w:rsid w:val="0E40D95D"/>
    <w:rsid w:val="0E44A9F1"/>
    <w:rsid w:val="0E498B04"/>
    <w:rsid w:val="0E4AEF3A"/>
    <w:rsid w:val="0E570B41"/>
    <w:rsid w:val="0E5C53FF"/>
    <w:rsid w:val="0E5D141E"/>
    <w:rsid w:val="0E5D3684"/>
    <w:rsid w:val="0E5F355E"/>
    <w:rsid w:val="0E6575D0"/>
    <w:rsid w:val="0E6991D3"/>
    <w:rsid w:val="0E711911"/>
    <w:rsid w:val="0E78B231"/>
    <w:rsid w:val="0E7FF912"/>
    <w:rsid w:val="0E8568A1"/>
    <w:rsid w:val="0E875A47"/>
    <w:rsid w:val="0E8D2FEB"/>
    <w:rsid w:val="0E99621B"/>
    <w:rsid w:val="0EA245AC"/>
    <w:rsid w:val="0EA63D87"/>
    <w:rsid w:val="0EA8B266"/>
    <w:rsid w:val="0EAA0C98"/>
    <w:rsid w:val="0EAEE13D"/>
    <w:rsid w:val="0EB02BD7"/>
    <w:rsid w:val="0EBA10D9"/>
    <w:rsid w:val="0EBEDC56"/>
    <w:rsid w:val="0EC8837E"/>
    <w:rsid w:val="0EC9FC3F"/>
    <w:rsid w:val="0ED8343E"/>
    <w:rsid w:val="0ED8718E"/>
    <w:rsid w:val="0EDA034F"/>
    <w:rsid w:val="0EE21198"/>
    <w:rsid w:val="0EEE92CE"/>
    <w:rsid w:val="0EF2CB34"/>
    <w:rsid w:val="0EF3CD4B"/>
    <w:rsid w:val="0EF6CA6B"/>
    <w:rsid w:val="0F0E5F8E"/>
    <w:rsid w:val="0F109BCA"/>
    <w:rsid w:val="0F1483C0"/>
    <w:rsid w:val="0F1674BD"/>
    <w:rsid w:val="0F16AEF7"/>
    <w:rsid w:val="0F1DA24C"/>
    <w:rsid w:val="0F245851"/>
    <w:rsid w:val="0F271A65"/>
    <w:rsid w:val="0F2F8422"/>
    <w:rsid w:val="0F30AC62"/>
    <w:rsid w:val="0F35B800"/>
    <w:rsid w:val="0F39112F"/>
    <w:rsid w:val="0F3D0FF8"/>
    <w:rsid w:val="0F4A5B6A"/>
    <w:rsid w:val="0F4E85B2"/>
    <w:rsid w:val="0F502EF4"/>
    <w:rsid w:val="0F514836"/>
    <w:rsid w:val="0F51AB05"/>
    <w:rsid w:val="0F5215B6"/>
    <w:rsid w:val="0F54C0AB"/>
    <w:rsid w:val="0F55C819"/>
    <w:rsid w:val="0F5972C5"/>
    <w:rsid w:val="0F685EE0"/>
    <w:rsid w:val="0F7211F2"/>
    <w:rsid w:val="0F7AFE1A"/>
    <w:rsid w:val="0F7F8277"/>
    <w:rsid w:val="0F8050FB"/>
    <w:rsid w:val="0F8C1399"/>
    <w:rsid w:val="0F97FAED"/>
    <w:rsid w:val="0F9B79A0"/>
    <w:rsid w:val="0FB314DA"/>
    <w:rsid w:val="0FB9CE4D"/>
    <w:rsid w:val="0FC8C715"/>
    <w:rsid w:val="0FCA7915"/>
    <w:rsid w:val="0FCF8D65"/>
    <w:rsid w:val="0FD45650"/>
    <w:rsid w:val="0FD66530"/>
    <w:rsid w:val="0FD66757"/>
    <w:rsid w:val="0FD97904"/>
    <w:rsid w:val="0FE0D25B"/>
    <w:rsid w:val="0FE1DF8D"/>
    <w:rsid w:val="0FECE5C9"/>
    <w:rsid w:val="0FEE92A1"/>
    <w:rsid w:val="0FF3AF34"/>
    <w:rsid w:val="0FF72B19"/>
    <w:rsid w:val="100E2BCA"/>
    <w:rsid w:val="10155D7C"/>
    <w:rsid w:val="102F7285"/>
    <w:rsid w:val="103925B1"/>
    <w:rsid w:val="103E4B72"/>
    <w:rsid w:val="10489B03"/>
    <w:rsid w:val="10499BF8"/>
    <w:rsid w:val="104A6D08"/>
    <w:rsid w:val="1050A211"/>
    <w:rsid w:val="105AB49D"/>
    <w:rsid w:val="105CF5AC"/>
    <w:rsid w:val="105D736C"/>
    <w:rsid w:val="10610CD9"/>
    <w:rsid w:val="1062F319"/>
    <w:rsid w:val="1071FB2F"/>
    <w:rsid w:val="1087E6E7"/>
    <w:rsid w:val="1088D697"/>
    <w:rsid w:val="1090DC8A"/>
    <w:rsid w:val="10971B1D"/>
    <w:rsid w:val="109B23A6"/>
    <w:rsid w:val="10A78A1C"/>
    <w:rsid w:val="10A8BD08"/>
    <w:rsid w:val="10AE61FC"/>
    <w:rsid w:val="10AFA0A5"/>
    <w:rsid w:val="10B5CBDA"/>
    <w:rsid w:val="10B7352C"/>
    <w:rsid w:val="10B8B90C"/>
    <w:rsid w:val="10BF5614"/>
    <w:rsid w:val="10C3F651"/>
    <w:rsid w:val="10C90269"/>
    <w:rsid w:val="10CB1D4E"/>
    <w:rsid w:val="10CF6187"/>
    <w:rsid w:val="10D3F713"/>
    <w:rsid w:val="10D9B792"/>
    <w:rsid w:val="10DBBCBD"/>
    <w:rsid w:val="10DC460E"/>
    <w:rsid w:val="10DE2414"/>
    <w:rsid w:val="10EBF33D"/>
    <w:rsid w:val="10EC2AB0"/>
    <w:rsid w:val="10EF43C1"/>
    <w:rsid w:val="10F30FA9"/>
    <w:rsid w:val="10F96179"/>
    <w:rsid w:val="10FCE9B7"/>
    <w:rsid w:val="10FE32EF"/>
    <w:rsid w:val="1107F2A2"/>
    <w:rsid w:val="110DD6D8"/>
    <w:rsid w:val="1113CDAA"/>
    <w:rsid w:val="1115F5EF"/>
    <w:rsid w:val="111EF9D3"/>
    <w:rsid w:val="1123282A"/>
    <w:rsid w:val="1124A907"/>
    <w:rsid w:val="1129BA64"/>
    <w:rsid w:val="1130E7DB"/>
    <w:rsid w:val="11354A60"/>
    <w:rsid w:val="113E82B2"/>
    <w:rsid w:val="11507572"/>
    <w:rsid w:val="1151A0FE"/>
    <w:rsid w:val="115361F1"/>
    <w:rsid w:val="115630BB"/>
    <w:rsid w:val="115692F6"/>
    <w:rsid w:val="115E7415"/>
    <w:rsid w:val="11623F48"/>
    <w:rsid w:val="11633A4F"/>
    <w:rsid w:val="1169B5D4"/>
    <w:rsid w:val="1170C07F"/>
    <w:rsid w:val="117374F8"/>
    <w:rsid w:val="117B00E3"/>
    <w:rsid w:val="117B920D"/>
    <w:rsid w:val="117BC92A"/>
    <w:rsid w:val="1186197E"/>
    <w:rsid w:val="1187D4B6"/>
    <w:rsid w:val="1188A577"/>
    <w:rsid w:val="1189D386"/>
    <w:rsid w:val="119189AF"/>
    <w:rsid w:val="119ACAFE"/>
    <w:rsid w:val="119F370E"/>
    <w:rsid w:val="11A55646"/>
    <w:rsid w:val="11A817E5"/>
    <w:rsid w:val="11AB03E8"/>
    <w:rsid w:val="11AE15BF"/>
    <w:rsid w:val="11B1C1B8"/>
    <w:rsid w:val="11B2E6AA"/>
    <w:rsid w:val="11C59853"/>
    <w:rsid w:val="11C8BFC7"/>
    <w:rsid w:val="11CA0E7D"/>
    <w:rsid w:val="11D6EADA"/>
    <w:rsid w:val="11E79699"/>
    <w:rsid w:val="11ECF18C"/>
    <w:rsid w:val="11F540D9"/>
    <w:rsid w:val="11FE08E5"/>
    <w:rsid w:val="11FF0DE3"/>
    <w:rsid w:val="120C495F"/>
    <w:rsid w:val="120E36D8"/>
    <w:rsid w:val="121AE44C"/>
    <w:rsid w:val="121B198D"/>
    <w:rsid w:val="121D7966"/>
    <w:rsid w:val="121D7BB8"/>
    <w:rsid w:val="122D2426"/>
    <w:rsid w:val="12486675"/>
    <w:rsid w:val="1248CA98"/>
    <w:rsid w:val="124D57EF"/>
    <w:rsid w:val="1259A766"/>
    <w:rsid w:val="125C7FE8"/>
    <w:rsid w:val="12610959"/>
    <w:rsid w:val="12610C72"/>
    <w:rsid w:val="126129A1"/>
    <w:rsid w:val="126DB254"/>
    <w:rsid w:val="12733462"/>
    <w:rsid w:val="12798822"/>
    <w:rsid w:val="1283DBB8"/>
    <w:rsid w:val="128ECECF"/>
    <w:rsid w:val="1297A706"/>
    <w:rsid w:val="12A085D0"/>
    <w:rsid w:val="12A51D48"/>
    <w:rsid w:val="12A69E24"/>
    <w:rsid w:val="12AED75C"/>
    <w:rsid w:val="12AF30E7"/>
    <w:rsid w:val="12B145E5"/>
    <w:rsid w:val="12B34A60"/>
    <w:rsid w:val="12B46458"/>
    <w:rsid w:val="12BD9300"/>
    <w:rsid w:val="12BE6143"/>
    <w:rsid w:val="12C1FDF1"/>
    <w:rsid w:val="12D60371"/>
    <w:rsid w:val="12E201D5"/>
    <w:rsid w:val="12E5C25D"/>
    <w:rsid w:val="12EB2E95"/>
    <w:rsid w:val="12EC802A"/>
    <w:rsid w:val="12EF4F67"/>
    <w:rsid w:val="12F0A9C8"/>
    <w:rsid w:val="12F15715"/>
    <w:rsid w:val="12FF70BC"/>
    <w:rsid w:val="13027FFA"/>
    <w:rsid w:val="1305F920"/>
    <w:rsid w:val="130BC3FB"/>
    <w:rsid w:val="130C6623"/>
    <w:rsid w:val="130CC38E"/>
    <w:rsid w:val="130CC868"/>
    <w:rsid w:val="130F5514"/>
    <w:rsid w:val="131A6B8E"/>
    <w:rsid w:val="131BD10A"/>
    <w:rsid w:val="132143BD"/>
    <w:rsid w:val="1324A8EB"/>
    <w:rsid w:val="13264C74"/>
    <w:rsid w:val="1328657A"/>
    <w:rsid w:val="133A9C83"/>
    <w:rsid w:val="13444D70"/>
    <w:rsid w:val="134710E8"/>
    <w:rsid w:val="134CF91B"/>
    <w:rsid w:val="135BD531"/>
    <w:rsid w:val="135EF0BE"/>
    <w:rsid w:val="13648D7A"/>
    <w:rsid w:val="136ADECE"/>
    <w:rsid w:val="13756456"/>
    <w:rsid w:val="1376F3A7"/>
    <w:rsid w:val="13814C95"/>
    <w:rsid w:val="1382E087"/>
    <w:rsid w:val="138A47A0"/>
    <w:rsid w:val="1392C49A"/>
    <w:rsid w:val="139CEDA0"/>
    <w:rsid w:val="139E7AD9"/>
    <w:rsid w:val="13A013ED"/>
    <w:rsid w:val="13A109B6"/>
    <w:rsid w:val="13AAAB79"/>
    <w:rsid w:val="13AD2BD4"/>
    <w:rsid w:val="13B50F23"/>
    <w:rsid w:val="13BAF3E9"/>
    <w:rsid w:val="13BE10CE"/>
    <w:rsid w:val="13C0E5D7"/>
    <w:rsid w:val="13CBBCA2"/>
    <w:rsid w:val="13DBEF41"/>
    <w:rsid w:val="13EB2001"/>
    <w:rsid w:val="13F2922A"/>
    <w:rsid w:val="13FDAC7A"/>
    <w:rsid w:val="14075A1C"/>
    <w:rsid w:val="140A5C9A"/>
    <w:rsid w:val="140E12B4"/>
    <w:rsid w:val="14159D7F"/>
    <w:rsid w:val="141F465E"/>
    <w:rsid w:val="142A59DC"/>
    <w:rsid w:val="142C9167"/>
    <w:rsid w:val="142D4DDA"/>
    <w:rsid w:val="142D6833"/>
    <w:rsid w:val="142EB93F"/>
    <w:rsid w:val="143F66FB"/>
    <w:rsid w:val="144319F9"/>
    <w:rsid w:val="1443743D"/>
    <w:rsid w:val="14445804"/>
    <w:rsid w:val="1445E7FE"/>
    <w:rsid w:val="144F7DBA"/>
    <w:rsid w:val="14535F9F"/>
    <w:rsid w:val="1455AF68"/>
    <w:rsid w:val="14571D70"/>
    <w:rsid w:val="145DB61F"/>
    <w:rsid w:val="1466D888"/>
    <w:rsid w:val="147455DB"/>
    <w:rsid w:val="1478E718"/>
    <w:rsid w:val="14792116"/>
    <w:rsid w:val="147A84EE"/>
    <w:rsid w:val="1480C6B1"/>
    <w:rsid w:val="14905B1F"/>
    <w:rsid w:val="14909F20"/>
    <w:rsid w:val="1494E509"/>
    <w:rsid w:val="14A0D611"/>
    <w:rsid w:val="14B45C09"/>
    <w:rsid w:val="14BC0050"/>
    <w:rsid w:val="14BCF7F0"/>
    <w:rsid w:val="14C17F26"/>
    <w:rsid w:val="14C5801E"/>
    <w:rsid w:val="14C74C49"/>
    <w:rsid w:val="14CB12AB"/>
    <w:rsid w:val="14CD022E"/>
    <w:rsid w:val="14CFF6E8"/>
    <w:rsid w:val="14D52516"/>
    <w:rsid w:val="14D9230F"/>
    <w:rsid w:val="14DAF244"/>
    <w:rsid w:val="14DF6EEB"/>
    <w:rsid w:val="14E590A0"/>
    <w:rsid w:val="14E79246"/>
    <w:rsid w:val="14E94F86"/>
    <w:rsid w:val="14EBEB62"/>
    <w:rsid w:val="14ECDD30"/>
    <w:rsid w:val="14ED6EB4"/>
    <w:rsid w:val="14EE7DEE"/>
    <w:rsid w:val="14EFBA3F"/>
    <w:rsid w:val="14F26935"/>
    <w:rsid w:val="14F33BFB"/>
    <w:rsid w:val="14F3A425"/>
    <w:rsid w:val="14F5B184"/>
    <w:rsid w:val="14F6CB9E"/>
    <w:rsid w:val="14FA8A92"/>
    <w:rsid w:val="14FD34A4"/>
    <w:rsid w:val="15018884"/>
    <w:rsid w:val="150284BB"/>
    <w:rsid w:val="15029D71"/>
    <w:rsid w:val="15105B54"/>
    <w:rsid w:val="151496AD"/>
    <w:rsid w:val="151A8AAB"/>
    <w:rsid w:val="1540BD3E"/>
    <w:rsid w:val="1541D56F"/>
    <w:rsid w:val="154AE30B"/>
    <w:rsid w:val="154D0006"/>
    <w:rsid w:val="154D0317"/>
    <w:rsid w:val="154DFABF"/>
    <w:rsid w:val="155023B9"/>
    <w:rsid w:val="15671DAE"/>
    <w:rsid w:val="156787E2"/>
    <w:rsid w:val="15696B89"/>
    <w:rsid w:val="157173F8"/>
    <w:rsid w:val="15728117"/>
    <w:rsid w:val="157A5112"/>
    <w:rsid w:val="15828E0A"/>
    <w:rsid w:val="1582BABE"/>
    <w:rsid w:val="158837C9"/>
    <w:rsid w:val="15906B49"/>
    <w:rsid w:val="159BC08E"/>
    <w:rsid w:val="15A2F5D3"/>
    <w:rsid w:val="15AA1C71"/>
    <w:rsid w:val="15AEBDC4"/>
    <w:rsid w:val="15B6EF14"/>
    <w:rsid w:val="15BECB13"/>
    <w:rsid w:val="15C0C10E"/>
    <w:rsid w:val="15C2BF52"/>
    <w:rsid w:val="15C7264C"/>
    <w:rsid w:val="15C81B44"/>
    <w:rsid w:val="15CCCA7F"/>
    <w:rsid w:val="15D149B7"/>
    <w:rsid w:val="15D2718A"/>
    <w:rsid w:val="15DA583A"/>
    <w:rsid w:val="15DD0C7B"/>
    <w:rsid w:val="15E49404"/>
    <w:rsid w:val="15E4B393"/>
    <w:rsid w:val="16008618"/>
    <w:rsid w:val="1601DAC1"/>
    <w:rsid w:val="160FCC40"/>
    <w:rsid w:val="1612153A"/>
    <w:rsid w:val="16263120"/>
    <w:rsid w:val="16266114"/>
    <w:rsid w:val="16305F37"/>
    <w:rsid w:val="163238DB"/>
    <w:rsid w:val="1647F7A2"/>
    <w:rsid w:val="1649060B"/>
    <w:rsid w:val="1649089E"/>
    <w:rsid w:val="164F2C69"/>
    <w:rsid w:val="166841C6"/>
    <w:rsid w:val="16698C6A"/>
    <w:rsid w:val="16795B8C"/>
    <w:rsid w:val="167D3737"/>
    <w:rsid w:val="1682B437"/>
    <w:rsid w:val="1684235F"/>
    <w:rsid w:val="1684FB49"/>
    <w:rsid w:val="1686BE26"/>
    <w:rsid w:val="168816A0"/>
    <w:rsid w:val="16883E6A"/>
    <w:rsid w:val="169043E5"/>
    <w:rsid w:val="1690C923"/>
    <w:rsid w:val="1699D99C"/>
    <w:rsid w:val="16A06955"/>
    <w:rsid w:val="16AB36B5"/>
    <w:rsid w:val="16ABD145"/>
    <w:rsid w:val="16B271A9"/>
    <w:rsid w:val="16B56EFC"/>
    <w:rsid w:val="16BF221F"/>
    <w:rsid w:val="16CAA7EA"/>
    <w:rsid w:val="16CCA0E0"/>
    <w:rsid w:val="16D02095"/>
    <w:rsid w:val="16D0CF87"/>
    <w:rsid w:val="16D2FF30"/>
    <w:rsid w:val="16D92D38"/>
    <w:rsid w:val="16D9F219"/>
    <w:rsid w:val="16E2291B"/>
    <w:rsid w:val="16E4599D"/>
    <w:rsid w:val="16EE4E75"/>
    <w:rsid w:val="16EE7DC4"/>
    <w:rsid w:val="16F81FA4"/>
    <w:rsid w:val="16FFE2DF"/>
    <w:rsid w:val="17006DDA"/>
    <w:rsid w:val="1700CB17"/>
    <w:rsid w:val="1702DC2B"/>
    <w:rsid w:val="17057610"/>
    <w:rsid w:val="170B83DD"/>
    <w:rsid w:val="170BDC0C"/>
    <w:rsid w:val="170D004F"/>
    <w:rsid w:val="1717D3FA"/>
    <w:rsid w:val="171F0C66"/>
    <w:rsid w:val="1723C0DD"/>
    <w:rsid w:val="1726036A"/>
    <w:rsid w:val="172A2DA8"/>
    <w:rsid w:val="173D42DE"/>
    <w:rsid w:val="17498CCD"/>
    <w:rsid w:val="174F7919"/>
    <w:rsid w:val="174FC160"/>
    <w:rsid w:val="175298F1"/>
    <w:rsid w:val="175D35C0"/>
    <w:rsid w:val="17670E40"/>
    <w:rsid w:val="17694AE7"/>
    <w:rsid w:val="176ECC78"/>
    <w:rsid w:val="1773B391"/>
    <w:rsid w:val="1775A390"/>
    <w:rsid w:val="177DE610"/>
    <w:rsid w:val="17872698"/>
    <w:rsid w:val="178E0AC8"/>
    <w:rsid w:val="17940C69"/>
    <w:rsid w:val="1794CD54"/>
    <w:rsid w:val="17961466"/>
    <w:rsid w:val="1797A263"/>
    <w:rsid w:val="179F0945"/>
    <w:rsid w:val="17A13BCA"/>
    <w:rsid w:val="17AFDBC4"/>
    <w:rsid w:val="17B19007"/>
    <w:rsid w:val="17B3F674"/>
    <w:rsid w:val="17BE0691"/>
    <w:rsid w:val="17C1B47D"/>
    <w:rsid w:val="17C2640D"/>
    <w:rsid w:val="17C5A11C"/>
    <w:rsid w:val="17D46214"/>
    <w:rsid w:val="17D4E5BC"/>
    <w:rsid w:val="17D91975"/>
    <w:rsid w:val="17DB45E1"/>
    <w:rsid w:val="17DCAFEB"/>
    <w:rsid w:val="17EC679E"/>
    <w:rsid w:val="17F084DE"/>
    <w:rsid w:val="17F4E2AF"/>
    <w:rsid w:val="17FEF57D"/>
    <w:rsid w:val="18053CBB"/>
    <w:rsid w:val="18070A27"/>
    <w:rsid w:val="180E9BE3"/>
    <w:rsid w:val="180F7980"/>
    <w:rsid w:val="1814DFBA"/>
    <w:rsid w:val="181531CC"/>
    <w:rsid w:val="1816238D"/>
    <w:rsid w:val="181EBC09"/>
    <w:rsid w:val="18267314"/>
    <w:rsid w:val="182D0A4A"/>
    <w:rsid w:val="184578AD"/>
    <w:rsid w:val="184C0AD8"/>
    <w:rsid w:val="185720C2"/>
    <w:rsid w:val="1858F27F"/>
    <w:rsid w:val="18609775"/>
    <w:rsid w:val="1865B168"/>
    <w:rsid w:val="18694AFE"/>
    <w:rsid w:val="186ACB91"/>
    <w:rsid w:val="186FF6DC"/>
    <w:rsid w:val="1873F0C8"/>
    <w:rsid w:val="1876ACE1"/>
    <w:rsid w:val="18783191"/>
    <w:rsid w:val="187A34BB"/>
    <w:rsid w:val="188760A8"/>
    <w:rsid w:val="188A0918"/>
    <w:rsid w:val="1895BB23"/>
    <w:rsid w:val="18A0E9B6"/>
    <w:rsid w:val="18A7D6C7"/>
    <w:rsid w:val="18B875A5"/>
    <w:rsid w:val="18BC586A"/>
    <w:rsid w:val="18BE2E6F"/>
    <w:rsid w:val="18C28B35"/>
    <w:rsid w:val="18C30C54"/>
    <w:rsid w:val="18C51BDC"/>
    <w:rsid w:val="18CDA8CA"/>
    <w:rsid w:val="18D9F9FF"/>
    <w:rsid w:val="18DAD3D0"/>
    <w:rsid w:val="18E15F5A"/>
    <w:rsid w:val="18E21A91"/>
    <w:rsid w:val="18E23A32"/>
    <w:rsid w:val="18E3E859"/>
    <w:rsid w:val="18EEAF21"/>
    <w:rsid w:val="18FC8C71"/>
    <w:rsid w:val="18FE9DFD"/>
    <w:rsid w:val="18FF1786"/>
    <w:rsid w:val="190F88E3"/>
    <w:rsid w:val="19179C16"/>
    <w:rsid w:val="19201D17"/>
    <w:rsid w:val="192D7B9A"/>
    <w:rsid w:val="19343586"/>
    <w:rsid w:val="1934AFF6"/>
    <w:rsid w:val="1938C8AE"/>
    <w:rsid w:val="1938F45A"/>
    <w:rsid w:val="194CE8D1"/>
    <w:rsid w:val="19547F8D"/>
    <w:rsid w:val="1954FEDE"/>
    <w:rsid w:val="1958AD37"/>
    <w:rsid w:val="19630DE7"/>
    <w:rsid w:val="196DDCA0"/>
    <w:rsid w:val="196EA37D"/>
    <w:rsid w:val="19708BB6"/>
    <w:rsid w:val="198C0CF6"/>
    <w:rsid w:val="198E7C81"/>
    <w:rsid w:val="19901A7C"/>
    <w:rsid w:val="19915560"/>
    <w:rsid w:val="19ACAC2F"/>
    <w:rsid w:val="19AF1C55"/>
    <w:rsid w:val="19B1F0E9"/>
    <w:rsid w:val="19C95752"/>
    <w:rsid w:val="19DCEF62"/>
    <w:rsid w:val="19E1D75A"/>
    <w:rsid w:val="19E9862D"/>
    <w:rsid w:val="19F66932"/>
    <w:rsid w:val="19F6F8EC"/>
    <w:rsid w:val="19F93129"/>
    <w:rsid w:val="19FA14EB"/>
    <w:rsid w:val="1A016D02"/>
    <w:rsid w:val="1A02ACF2"/>
    <w:rsid w:val="1A0F5027"/>
    <w:rsid w:val="1A1D95A7"/>
    <w:rsid w:val="1A239ED6"/>
    <w:rsid w:val="1A247283"/>
    <w:rsid w:val="1A25DBDE"/>
    <w:rsid w:val="1A25EB44"/>
    <w:rsid w:val="1A288DD9"/>
    <w:rsid w:val="1A29BC9C"/>
    <w:rsid w:val="1A29DA65"/>
    <w:rsid w:val="1A2B7304"/>
    <w:rsid w:val="1A2DD02A"/>
    <w:rsid w:val="1A400EFA"/>
    <w:rsid w:val="1A46237C"/>
    <w:rsid w:val="1A46B848"/>
    <w:rsid w:val="1A472BD4"/>
    <w:rsid w:val="1A4A9D9F"/>
    <w:rsid w:val="1A4B3D0E"/>
    <w:rsid w:val="1A559708"/>
    <w:rsid w:val="1A5860D7"/>
    <w:rsid w:val="1A5B42D4"/>
    <w:rsid w:val="1A5DE290"/>
    <w:rsid w:val="1A63301A"/>
    <w:rsid w:val="1A691092"/>
    <w:rsid w:val="1A6D288A"/>
    <w:rsid w:val="1A73F98E"/>
    <w:rsid w:val="1A774928"/>
    <w:rsid w:val="1A852499"/>
    <w:rsid w:val="1A89CB5D"/>
    <w:rsid w:val="1A89CDA8"/>
    <w:rsid w:val="1A9C2529"/>
    <w:rsid w:val="1AB33638"/>
    <w:rsid w:val="1ACD02CE"/>
    <w:rsid w:val="1AD2E7BE"/>
    <w:rsid w:val="1AD54B2B"/>
    <w:rsid w:val="1AE5FB21"/>
    <w:rsid w:val="1AEA98D9"/>
    <w:rsid w:val="1AEAC14C"/>
    <w:rsid w:val="1AF54C0D"/>
    <w:rsid w:val="1AF6A174"/>
    <w:rsid w:val="1AF9CC80"/>
    <w:rsid w:val="1AFED05D"/>
    <w:rsid w:val="1B01C018"/>
    <w:rsid w:val="1B049BE5"/>
    <w:rsid w:val="1B0BAEAD"/>
    <w:rsid w:val="1B0E2E21"/>
    <w:rsid w:val="1B11AC48"/>
    <w:rsid w:val="1B11F0E6"/>
    <w:rsid w:val="1B26FFAB"/>
    <w:rsid w:val="1B3C7CA6"/>
    <w:rsid w:val="1B3D9254"/>
    <w:rsid w:val="1B471EA6"/>
    <w:rsid w:val="1B488E35"/>
    <w:rsid w:val="1B4E438A"/>
    <w:rsid w:val="1B551528"/>
    <w:rsid w:val="1B66BDEF"/>
    <w:rsid w:val="1B6C8149"/>
    <w:rsid w:val="1B747D7F"/>
    <w:rsid w:val="1B761422"/>
    <w:rsid w:val="1B7AA400"/>
    <w:rsid w:val="1B8A8E01"/>
    <w:rsid w:val="1B90BD0B"/>
    <w:rsid w:val="1B99B48C"/>
    <w:rsid w:val="1B9D8A2D"/>
    <w:rsid w:val="1B9FE85A"/>
    <w:rsid w:val="1BA6238C"/>
    <w:rsid w:val="1BA897D3"/>
    <w:rsid w:val="1BAF4E78"/>
    <w:rsid w:val="1BB33D14"/>
    <w:rsid w:val="1BB8D8B1"/>
    <w:rsid w:val="1BD5CB8F"/>
    <w:rsid w:val="1BD63FCC"/>
    <w:rsid w:val="1BD80D68"/>
    <w:rsid w:val="1BD975C6"/>
    <w:rsid w:val="1BEC2B13"/>
    <w:rsid w:val="1BEDEA43"/>
    <w:rsid w:val="1BF183FD"/>
    <w:rsid w:val="1BF7C673"/>
    <w:rsid w:val="1BFB19B9"/>
    <w:rsid w:val="1BFEC2A6"/>
    <w:rsid w:val="1C0AC68B"/>
    <w:rsid w:val="1C0F822D"/>
    <w:rsid w:val="1C178D8F"/>
    <w:rsid w:val="1C211DD3"/>
    <w:rsid w:val="1C29C490"/>
    <w:rsid w:val="1C357723"/>
    <w:rsid w:val="1C52FF02"/>
    <w:rsid w:val="1C568786"/>
    <w:rsid w:val="1C58FCDA"/>
    <w:rsid w:val="1C5C8A4B"/>
    <w:rsid w:val="1C5CC83C"/>
    <w:rsid w:val="1C60C802"/>
    <w:rsid w:val="1C6A4E8E"/>
    <w:rsid w:val="1C72177C"/>
    <w:rsid w:val="1C7F4E2A"/>
    <w:rsid w:val="1C8836C5"/>
    <w:rsid w:val="1C8B0146"/>
    <w:rsid w:val="1C8B9AAE"/>
    <w:rsid w:val="1C9469E7"/>
    <w:rsid w:val="1C947611"/>
    <w:rsid w:val="1C98F9B9"/>
    <w:rsid w:val="1C9A2892"/>
    <w:rsid w:val="1CC5ADE7"/>
    <w:rsid w:val="1CCB03C3"/>
    <w:rsid w:val="1CCD19B2"/>
    <w:rsid w:val="1CCDC096"/>
    <w:rsid w:val="1CDC4C37"/>
    <w:rsid w:val="1CDD0478"/>
    <w:rsid w:val="1CEC4BE7"/>
    <w:rsid w:val="1D147028"/>
    <w:rsid w:val="1D2251E3"/>
    <w:rsid w:val="1D254E31"/>
    <w:rsid w:val="1D263858"/>
    <w:rsid w:val="1D2A6368"/>
    <w:rsid w:val="1D2C8EB1"/>
    <w:rsid w:val="1D32DE72"/>
    <w:rsid w:val="1D353EBB"/>
    <w:rsid w:val="1D36462B"/>
    <w:rsid w:val="1D39627A"/>
    <w:rsid w:val="1D3FE485"/>
    <w:rsid w:val="1D418566"/>
    <w:rsid w:val="1D41CB5A"/>
    <w:rsid w:val="1D483D1D"/>
    <w:rsid w:val="1D4C1CDF"/>
    <w:rsid w:val="1D4ECABE"/>
    <w:rsid w:val="1D4F1F0E"/>
    <w:rsid w:val="1D5097DA"/>
    <w:rsid w:val="1D53821A"/>
    <w:rsid w:val="1D5DF5C6"/>
    <w:rsid w:val="1D5E061A"/>
    <w:rsid w:val="1D72297F"/>
    <w:rsid w:val="1D776664"/>
    <w:rsid w:val="1D78095F"/>
    <w:rsid w:val="1D7A7FB2"/>
    <w:rsid w:val="1D92DA24"/>
    <w:rsid w:val="1D9423C5"/>
    <w:rsid w:val="1D9A6F81"/>
    <w:rsid w:val="1DA17AD1"/>
    <w:rsid w:val="1DA6FC5E"/>
    <w:rsid w:val="1DA76DB2"/>
    <w:rsid w:val="1DA79B6C"/>
    <w:rsid w:val="1DB4C334"/>
    <w:rsid w:val="1DB8EF03"/>
    <w:rsid w:val="1DB99990"/>
    <w:rsid w:val="1DBC7F9C"/>
    <w:rsid w:val="1DBE4AE2"/>
    <w:rsid w:val="1DBF8F2D"/>
    <w:rsid w:val="1DC4E689"/>
    <w:rsid w:val="1DDD7AD7"/>
    <w:rsid w:val="1DE20EFC"/>
    <w:rsid w:val="1DFD3695"/>
    <w:rsid w:val="1E0051B2"/>
    <w:rsid w:val="1E0E69FB"/>
    <w:rsid w:val="1E0EBEA5"/>
    <w:rsid w:val="1E13C35B"/>
    <w:rsid w:val="1E14A162"/>
    <w:rsid w:val="1E1AB1A5"/>
    <w:rsid w:val="1E277741"/>
    <w:rsid w:val="1E2A7B72"/>
    <w:rsid w:val="1E2FA9A0"/>
    <w:rsid w:val="1E388CD3"/>
    <w:rsid w:val="1E3FEBB6"/>
    <w:rsid w:val="1E421AAB"/>
    <w:rsid w:val="1E423A50"/>
    <w:rsid w:val="1E5096A7"/>
    <w:rsid w:val="1E51BB9F"/>
    <w:rsid w:val="1E61BC74"/>
    <w:rsid w:val="1E734439"/>
    <w:rsid w:val="1E86AF9E"/>
    <w:rsid w:val="1E9D6827"/>
    <w:rsid w:val="1E9E232B"/>
    <w:rsid w:val="1E9F7AEA"/>
    <w:rsid w:val="1E9FE48B"/>
    <w:rsid w:val="1EA32F91"/>
    <w:rsid w:val="1EA9A821"/>
    <w:rsid w:val="1EAE2B0D"/>
    <w:rsid w:val="1EBCDA20"/>
    <w:rsid w:val="1EBD00BE"/>
    <w:rsid w:val="1EC64C9A"/>
    <w:rsid w:val="1EC789B9"/>
    <w:rsid w:val="1ED4B6BE"/>
    <w:rsid w:val="1ED68260"/>
    <w:rsid w:val="1EDE9B50"/>
    <w:rsid w:val="1EE75E66"/>
    <w:rsid w:val="1EE844FD"/>
    <w:rsid w:val="1EEAA1FA"/>
    <w:rsid w:val="1EEC754B"/>
    <w:rsid w:val="1EF49C31"/>
    <w:rsid w:val="1EFAF657"/>
    <w:rsid w:val="1EFF4D9B"/>
    <w:rsid w:val="1F061CAE"/>
    <w:rsid w:val="1F07322D"/>
    <w:rsid w:val="1F099E15"/>
    <w:rsid w:val="1F180386"/>
    <w:rsid w:val="1F1C9EAE"/>
    <w:rsid w:val="1F1DC730"/>
    <w:rsid w:val="1F1FA8C4"/>
    <w:rsid w:val="1F202847"/>
    <w:rsid w:val="1F2A9C05"/>
    <w:rsid w:val="1F32CC06"/>
    <w:rsid w:val="1F334F2C"/>
    <w:rsid w:val="1F390950"/>
    <w:rsid w:val="1F3AD026"/>
    <w:rsid w:val="1F4641F4"/>
    <w:rsid w:val="1F4A2380"/>
    <w:rsid w:val="1F4ACC1D"/>
    <w:rsid w:val="1F4B7E8E"/>
    <w:rsid w:val="1F51E996"/>
    <w:rsid w:val="1F58EE32"/>
    <w:rsid w:val="1F5BAB74"/>
    <w:rsid w:val="1F6383CF"/>
    <w:rsid w:val="1F63872D"/>
    <w:rsid w:val="1F63A5B9"/>
    <w:rsid w:val="1F651E8B"/>
    <w:rsid w:val="1F68A9F3"/>
    <w:rsid w:val="1F701C40"/>
    <w:rsid w:val="1F709A21"/>
    <w:rsid w:val="1F7976D9"/>
    <w:rsid w:val="1F7BAC96"/>
    <w:rsid w:val="1F7F5525"/>
    <w:rsid w:val="1F85AB70"/>
    <w:rsid w:val="1F86C22B"/>
    <w:rsid w:val="1F97F2B2"/>
    <w:rsid w:val="1F9B9812"/>
    <w:rsid w:val="1F9BFE28"/>
    <w:rsid w:val="1F9DA988"/>
    <w:rsid w:val="1FA2C7FF"/>
    <w:rsid w:val="1FA70B8C"/>
    <w:rsid w:val="1FB0B485"/>
    <w:rsid w:val="1FB5492A"/>
    <w:rsid w:val="1FBCE66B"/>
    <w:rsid w:val="1FBE663A"/>
    <w:rsid w:val="1FD220CA"/>
    <w:rsid w:val="1FE05129"/>
    <w:rsid w:val="1FE37B96"/>
    <w:rsid w:val="1FE9302C"/>
    <w:rsid w:val="1FEB313C"/>
    <w:rsid w:val="1FF90060"/>
    <w:rsid w:val="1FF971A7"/>
    <w:rsid w:val="1FFA7DAF"/>
    <w:rsid w:val="2007AFE4"/>
    <w:rsid w:val="200EDEA5"/>
    <w:rsid w:val="2012AF33"/>
    <w:rsid w:val="2014A6F1"/>
    <w:rsid w:val="201624FA"/>
    <w:rsid w:val="2016ECCE"/>
    <w:rsid w:val="20175D5A"/>
    <w:rsid w:val="201B5E83"/>
    <w:rsid w:val="201FD52B"/>
    <w:rsid w:val="20210D44"/>
    <w:rsid w:val="2023DCE1"/>
    <w:rsid w:val="2025504B"/>
    <w:rsid w:val="203E7698"/>
    <w:rsid w:val="203EB0CF"/>
    <w:rsid w:val="2040C644"/>
    <w:rsid w:val="20433019"/>
    <w:rsid w:val="204D7470"/>
    <w:rsid w:val="204DABAE"/>
    <w:rsid w:val="2051B244"/>
    <w:rsid w:val="2061EEA3"/>
    <w:rsid w:val="206587C5"/>
    <w:rsid w:val="208913C1"/>
    <w:rsid w:val="208FC378"/>
    <w:rsid w:val="20930EDE"/>
    <w:rsid w:val="20A2F76D"/>
    <w:rsid w:val="20A8FB50"/>
    <w:rsid w:val="20B3EA4A"/>
    <w:rsid w:val="20BCEBB1"/>
    <w:rsid w:val="20C9A346"/>
    <w:rsid w:val="20D154B7"/>
    <w:rsid w:val="20D25B71"/>
    <w:rsid w:val="20E46B1F"/>
    <w:rsid w:val="20E4F564"/>
    <w:rsid w:val="20E51B5E"/>
    <w:rsid w:val="20EA28BA"/>
    <w:rsid w:val="20EDAF53"/>
    <w:rsid w:val="20F2BB46"/>
    <w:rsid w:val="210392A1"/>
    <w:rsid w:val="21043C61"/>
    <w:rsid w:val="21098C38"/>
    <w:rsid w:val="210EFC04"/>
    <w:rsid w:val="211AB619"/>
    <w:rsid w:val="211DB474"/>
    <w:rsid w:val="211F686E"/>
    <w:rsid w:val="212058FC"/>
    <w:rsid w:val="21214627"/>
    <w:rsid w:val="212628B7"/>
    <w:rsid w:val="212768AB"/>
    <w:rsid w:val="212DFB3C"/>
    <w:rsid w:val="21366F74"/>
    <w:rsid w:val="213C18EA"/>
    <w:rsid w:val="213DBC19"/>
    <w:rsid w:val="2142299D"/>
    <w:rsid w:val="214CAAA5"/>
    <w:rsid w:val="214E139C"/>
    <w:rsid w:val="214E17C0"/>
    <w:rsid w:val="2150244D"/>
    <w:rsid w:val="21537DDB"/>
    <w:rsid w:val="2154F0AB"/>
    <w:rsid w:val="21560C7B"/>
    <w:rsid w:val="215CFD3C"/>
    <w:rsid w:val="21650262"/>
    <w:rsid w:val="21668F22"/>
    <w:rsid w:val="21708325"/>
    <w:rsid w:val="21844F49"/>
    <w:rsid w:val="21894AF5"/>
    <w:rsid w:val="218AB5A9"/>
    <w:rsid w:val="218B207B"/>
    <w:rsid w:val="2192E578"/>
    <w:rsid w:val="21934212"/>
    <w:rsid w:val="219BF5C5"/>
    <w:rsid w:val="219E77BA"/>
    <w:rsid w:val="21A0F7F3"/>
    <w:rsid w:val="21A35861"/>
    <w:rsid w:val="21A676A6"/>
    <w:rsid w:val="21A92B75"/>
    <w:rsid w:val="21B47B62"/>
    <w:rsid w:val="21BB44FA"/>
    <w:rsid w:val="21BBEDB6"/>
    <w:rsid w:val="21C22778"/>
    <w:rsid w:val="21C7E453"/>
    <w:rsid w:val="21D31F18"/>
    <w:rsid w:val="21DD6007"/>
    <w:rsid w:val="21E2A95D"/>
    <w:rsid w:val="21F72D18"/>
    <w:rsid w:val="21FBFBE6"/>
    <w:rsid w:val="21FDEBD1"/>
    <w:rsid w:val="2207912D"/>
    <w:rsid w:val="22149092"/>
    <w:rsid w:val="221AC5BC"/>
    <w:rsid w:val="221DE46F"/>
    <w:rsid w:val="221DFEB1"/>
    <w:rsid w:val="221EE285"/>
    <w:rsid w:val="221FB265"/>
    <w:rsid w:val="22205F9C"/>
    <w:rsid w:val="22283753"/>
    <w:rsid w:val="222ED6E6"/>
    <w:rsid w:val="223368C2"/>
    <w:rsid w:val="2233801A"/>
    <w:rsid w:val="22350B17"/>
    <w:rsid w:val="22355BA8"/>
    <w:rsid w:val="22368845"/>
    <w:rsid w:val="2237FD52"/>
    <w:rsid w:val="224E3A63"/>
    <w:rsid w:val="22522D81"/>
    <w:rsid w:val="22543E8D"/>
    <w:rsid w:val="22559780"/>
    <w:rsid w:val="225857DD"/>
    <w:rsid w:val="22627AA5"/>
    <w:rsid w:val="2263DCB0"/>
    <w:rsid w:val="226463F1"/>
    <w:rsid w:val="226481BE"/>
    <w:rsid w:val="22733509"/>
    <w:rsid w:val="2277830D"/>
    <w:rsid w:val="2279B6F9"/>
    <w:rsid w:val="227C7990"/>
    <w:rsid w:val="22856537"/>
    <w:rsid w:val="228F937E"/>
    <w:rsid w:val="228F9DA2"/>
    <w:rsid w:val="2299324A"/>
    <w:rsid w:val="22ADF45F"/>
    <w:rsid w:val="22AFBCDE"/>
    <w:rsid w:val="22B64675"/>
    <w:rsid w:val="22B7BF45"/>
    <w:rsid w:val="22BADC8B"/>
    <w:rsid w:val="22C7785F"/>
    <w:rsid w:val="22CA0E50"/>
    <w:rsid w:val="22D77D46"/>
    <w:rsid w:val="22DE2AA4"/>
    <w:rsid w:val="22EB332E"/>
    <w:rsid w:val="22EF3D7D"/>
    <w:rsid w:val="22EFC62F"/>
    <w:rsid w:val="22EFD227"/>
    <w:rsid w:val="22FE7D59"/>
    <w:rsid w:val="22FEB69C"/>
    <w:rsid w:val="23000038"/>
    <w:rsid w:val="230CAF03"/>
    <w:rsid w:val="230E0FCA"/>
    <w:rsid w:val="230E6EC9"/>
    <w:rsid w:val="23146A14"/>
    <w:rsid w:val="2314F32C"/>
    <w:rsid w:val="231513D8"/>
    <w:rsid w:val="2315D478"/>
    <w:rsid w:val="231A7671"/>
    <w:rsid w:val="231EE23F"/>
    <w:rsid w:val="23227BA4"/>
    <w:rsid w:val="23230071"/>
    <w:rsid w:val="23232943"/>
    <w:rsid w:val="23290CAE"/>
    <w:rsid w:val="232A5C5A"/>
    <w:rsid w:val="232AEBED"/>
    <w:rsid w:val="23305F77"/>
    <w:rsid w:val="233432A8"/>
    <w:rsid w:val="233C9C18"/>
    <w:rsid w:val="2351F52D"/>
    <w:rsid w:val="2353CCE5"/>
    <w:rsid w:val="235CCF05"/>
    <w:rsid w:val="2360A76C"/>
    <w:rsid w:val="23616022"/>
    <w:rsid w:val="23620E8F"/>
    <w:rsid w:val="2363B66C"/>
    <w:rsid w:val="2368A8AB"/>
    <w:rsid w:val="2368E78A"/>
    <w:rsid w:val="237C1736"/>
    <w:rsid w:val="237D64A0"/>
    <w:rsid w:val="237F3C94"/>
    <w:rsid w:val="23870E6E"/>
    <w:rsid w:val="2397D187"/>
    <w:rsid w:val="239C6017"/>
    <w:rsid w:val="239E83FB"/>
    <w:rsid w:val="239F5F88"/>
    <w:rsid w:val="23B4F442"/>
    <w:rsid w:val="23B79FD3"/>
    <w:rsid w:val="23B80E9F"/>
    <w:rsid w:val="23BA760D"/>
    <w:rsid w:val="23C381BE"/>
    <w:rsid w:val="23D29478"/>
    <w:rsid w:val="23D89E0F"/>
    <w:rsid w:val="23E0C2A0"/>
    <w:rsid w:val="23E28AA6"/>
    <w:rsid w:val="23EAE368"/>
    <w:rsid w:val="23EAF1ED"/>
    <w:rsid w:val="23EF5DF5"/>
    <w:rsid w:val="23FC3698"/>
    <w:rsid w:val="2400678F"/>
    <w:rsid w:val="240B841B"/>
    <w:rsid w:val="2412B1AD"/>
    <w:rsid w:val="2425520B"/>
    <w:rsid w:val="242C90FF"/>
    <w:rsid w:val="2438B158"/>
    <w:rsid w:val="243976D9"/>
    <w:rsid w:val="2439E8C2"/>
    <w:rsid w:val="2446E9FE"/>
    <w:rsid w:val="24490B24"/>
    <w:rsid w:val="244C0281"/>
    <w:rsid w:val="244CB585"/>
    <w:rsid w:val="244CB5F4"/>
    <w:rsid w:val="24534C52"/>
    <w:rsid w:val="24544B34"/>
    <w:rsid w:val="24584E90"/>
    <w:rsid w:val="24657F72"/>
    <w:rsid w:val="24675197"/>
    <w:rsid w:val="24700CE9"/>
    <w:rsid w:val="248DACE8"/>
    <w:rsid w:val="249E16C7"/>
    <w:rsid w:val="24A47EDE"/>
    <w:rsid w:val="24A84759"/>
    <w:rsid w:val="24A89BB4"/>
    <w:rsid w:val="24A90C36"/>
    <w:rsid w:val="24A93D78"/>
    <w:rsid w:val="24A9C230"/>
    <w:rsid w:val="24AE8DE8"/>
    <w:rsid w:val="24AFFCC1"/>
    <w:rsid w:val="24B053FD"/>
    <w:rsid w:val="24B06610"/>
    <w:rsid w:val="24C86554"/>
    <w:rsid w:val="24CBAB13"/>
    <w:rsid w:val="24D06766"/>
    <w:rsid w:val="24D5EDC2"/>
    <w:rsid w:val="24DAEA83"/>
    <w:rsid w:val="24DC20B7"/>
    <w:rsid w:val="24FC158E"/>
    <w:rsid w:val="25063178"/>
    <w:rsid w:val="250BB515"/>
    <w:rsid w:val="25147283"/>
    <w:rsid w:val="2514E636"/>
    <w:rsid w:val="2518C150"/>
    <w:rsid w:val="251C75F1"/>
    <w:rsid w:val="2529F4D3"/>
    <w:rsid w:val="252F0AD8"/>
    <w:rsid w:val="2534E4F5"/>
    <w:rsid w:val="2546F1DD"/>
    <w:rsid w:val="2550FFC2"/>
    <w:rsid w:val="2558102A"/>
    <w:rsid w:val="255C8BE1"/>
    <w:rsid w:val="25658233"/>
    <w:rsid w:val="2568A892"/>
    <w:rsid w:val="256A15EE"/>
    <w:rsid w:val="256D81CB"/>
    <w:rsid w:val="2574814F"/>
    <w:rsid w:val="2592A2DD"/>
    <w:rsid w:val="2592C495"/>
    <w:rsid w:val="25957FBA"/>
    <w:rsid w:val="25A34ADD"/>
    <w:rsid w:val="25A9A271"/>
    <w:rsid w:val="25AA2867"/>
    <w:rsid w:val="25B0F499"/>
    <w:rsid w:val="25B5C25D"/>
    <w:rsid w:val="25B71E88"/>
    <w:rsid w:val="25C26CBA"/>
    <w:rsid w:val="25CCF360"/>
    <w:rsid w:val="25D04120"/>
    <w:rsid w:val="25D18A3C"/>
    <w:rsid w:val="25D18E92"/>
    <w:rsid w:val="25D39809"/>
    <w:rsid w:val="25DA29A4"/>
    <w:rsid w:val="25EA0327"/>
    <w:rsid w:val="25ED086C"/>
    <w:rsid w:val="25EF182F"/>
    <w:rsid w:val="25F3BF55"/>
    <w:rsid w:val="25FFFEC7"/>
    <w:rsid w:val="2608C24C"/>
    <w:rsid w:val="2608C653"/>
    <w:rsid w:val="260B8EB0"/>
    <w:rsid w:val="260FC7ED"/>
    <w:rsid w:val="2617F46A"/>
    <w:rsid w:val="2619D573"/>
    <w:rsid w:val="261AA865"/>
    <w:rsid w:val="261E9BD3"/>
    <w:rsid w:val="2620D7F1"/>
    <w:rsid w:val="262126F3"/>
    <w:rsid w:val="2624A4FA"/>
    <w:rsid w:val="2625B90F"/>
    <w:rsid w:val="262BB1E7"/>
    <w:rsid w:val="2633E63B"/>
    <w:rsid w:val="2634426C"/>
    <w:rsid w:val="26360931"/>
    <w:rsid w:val="26380827"/>
    <w:rsid w:val="263879C7"/>
    <w:rsid w:val="263A4F13"/>
    <w:rsid w:val="263BA340"/>
    <w:rsid w:val="263F88A1"/>
    <w:rsid w:val="26456270"/>
    <w:rsid w:val="264690AE"/>
    <w:rsid w:val="2646F774"/>
    <w:rsid w:val="264BBAE0"/>
    <w:rsid w:val="26517A8E"/>
    <w:rsid w:val="265AA509"/>
    <w:rsid w:val="2662DDBE"/>
    <w:rsid w:val="266E300E"/>
    <w:rsid w:val="266E56AD"/>
    <w:rsid w:val="2670133F"/>
    <w:rsid w:val="2679F277"/>
    <w:rsid w:val="267D27F5"/>
    <w:rsid w:val="267D4782"/>
    <w:rsid w:val="267D4FF3"/>
    <w:rsid w:val="268D3729"/>
    <w:rsid w:val="26971A4C"/>
    <w:rsid w:val="269B4CA5"/>
    <w:rsid w:val="26A22A89"/>
    <w:rsid w:val="26A3B291"/>
    <w:rsid w:val="26AC677C"/>
    <w:rsid w:val="26ACC5BE"/>
    <w:rsid w:val="26B280EC"/>
    <w:rsid w:val="26BEA792"/>
    <w:rsid w:val="26C57B4B"/>
    <w:rsid w:val="26C836C5"/>
    <w:rsid w:val="26CBFF0F"/>
    <w:rsid w:val="26CFDB9E"/>
    <w:rsid w:val="26D2BA83"/>
    <w:rsid w:val="26D3145E"/>
    <w:rsid w:val="26D6C1DC"/>
    <w:rsid w:val="26F4AFF0"/>
    <w:rsid w:val="2700221A"/>
    <w:rsid w:val="2715D956"/>
    <w:rsid w:val="27186DC5"/>
    <w:rsid w:val="271914E4"/>
    <w:rsid w:val="271B075E"/>
    <w:rsid w:val="2723785E"/>
    <w:rsid w:val="27265448"/>
    <w:rsid w:val="27284E42"/>
    <w:rsid w:val="2739CD3A"/>
    <w:rsid w:val="273A6CBC"/>
    <w:rsid w:val="273A7DB7"/>
    <w:rsid w:val="2741D7CA"/>
    <w:rsid w:val="274271AF"/>
    <w:rsid w:val="274697F4"/>
    <w:rsid w:val="27484BAE"/>
    <w:rsid w:val="274BFE0B"/>
    <w:rsid w:val="27532AC9"/>
    <w:rsid w:val="27547750"/>
    <w:rsid w:val="275C2FDE"/>
    <w:rsid w:val="275FAE35"/>
    <w:rsid w:val="2765D1C1"/>
    <w:rsid w:val="276C3A7D"/>
    <w:rsid w:val="276DEB99"/>
    <w:rsid w:val="276F72C6"/>
    <w:rsid w:val="277611ED"/>
    <w:rsid w:val="2787F6C7"/>
    <w:rsid w:val="278E19C3"/>
    <w:rsid w:val="278EAC4B"/>
    <w:rsid w:val="2791918F"/>
    <w:rsid w:val="279634AA"/>
    <w:rsid w:val="27A43071"/>
    <w:rsid w:val="27AB8D80"/>
    <w:rsid w:val="27AC9664"/>
    <w:rsid w:val="27AD269E"/>
    <w:rsid w:val="27AF8557"/>
    <w:rsid w:val="27B173F4"/>
    <w:rsid w:val="27B7DB76"/>
    <w:rsid w:val="27CAF889"/>
    <w:rsid w:val="27CAFA9A"/>
    <w:rsid w:val="27D2D1DA"/>
    <w:rsid w:val="27E59DE6"/>
    <w:rsid w:val="27E7A109"/>
    <w:rsid w:val="27FD2C1C"/>
    <w:rsid w:val="280150F5"/>
    <w:rsid w:val="2802DEC5"/>
    <w:rsid w:val="2809FE3D"/>
    <w:rsid w:val="282181D0"/>
    <w:rsid w:val="2839B154"/>
    <w:rsid w:val="2852D3A6"/>
    <w:rsid w:val="285FB72C"/>
    <w:rsid w:val="28697FE4"/>
    <w:rsid w:val="286A9CBE"/>
    <w:rsid w:val="286E40E8"/>
    <w:rsid w:val="2875303F"/>
    <w:rsid w:val="28842D8F"/>
    <w:rsid w:val="28857C2E"/>
    <w:rsid w:val="288C481F"/>
    <w:rsid w:val="289020AB"/>
    <w:rsid w:val="2896DE38"/>
    <w:rsid w:val="2897FABF"/>
    <w:rsid w:val="28992809"/>
    <w:rsid w:val="28A056CB"/>
    <w:rsid w:val="28B06E06"/>
    <w:rsid w:val="28B42527"/>
    <w:rsid w:val="28B773A0"/>
    <w:rsid w:val="28B9584E"/>
    <w:rsid w:val="28D40CF5"/>
    <w:rsid w:val="28D6947E"/>
    <w:rsid w:val="28D76F1B"/>
    <w:rsid w:val="28E60DEA"/>
    <w:rsid w:val="28E6E5A5"/>
    <w:rsid w:val="28E7D044"/>
    <w:rsid w:val="28E97F88"/>
    <w:rsid w:val="28EA9B22"/>
    <w:rsid w:val="28ECA751"/>
    <w:rsid w:val="28F0809F"/>
    <w:rsid w:val="2903BDB2"/>
    <w:rsid w:val="2903FC50"/>
    <w:rsid w:val="29129BA8"/>
    <w:rsid w:val="2915010D"/>
    <w:rsid w:val="2915DF00"/>
    <w:rsid w:val="291D9CE9"/>
    <w:rsid w:val="291F56E2"/>
    <w:rsid w:val="291FB1B4"/>
    <w:rsid w:val="2920AA4D"/>
    <w:rsid w:val="2922AB9C"/>
    <w:rsid w:val="292E8B8C"/>
    <w:rsid w:val="29300CEE"/>
    <w:rsid w:val="29310755"/>
    <w:rsid w:val="29438833"/>
    <w:rsid w:val="29525562"/>
    <w:rsid w:val="2956D02A"/>
    <w:rsid w:val="296474DB"/>
    <w:rsid w:val="297208CB"/>
    <w:rsid w:val="2975C8A0"/>
    <w:rsid w:val="297D95B4"/>
    <w:rsid w:val="2981C725"/>
    <w:rsid w:val="298C27F2"/>
    <w:rsid w:val="29901981"/>
    <w:rsid w:val="299ACA5D"/>
    <w:rsid w:val="299B1587"/>
    <w:rsid w:val="29B604BD"/>
    <w:rsid w:val="29B78EF4"/>
    <w:rsid w:val="29B83246"/>
    <w:rsid w:val="29BCAD53"/>
    <w:rsid w:val="29C1036E"/>
    <w:rsid w:val="29C34241"/>
    <w:rsid w:val="29C93202"/>
    <w:rsid w:val="29CB39E8"/>
    <w:rsid w:val="29D0ABDB"/>
    <w:rsid w:val="29D3BAA4"/>
    <w:rsid w:val="29D457E6"/>
    <w:rsid w:val="29D62F93"/>
    <w:rsid w:val="29DAB219"/>
    <w:rsid w:val="29DD95B2"/>
    <w:rsid w:val="29DE01F0"/>
    <w:rsid w:val="29DF7757"/>
    <w:rsid w:val="29DF9762"/>
    <w:rsid w:val="29E90653"/>
    <w:rsid w:val="29E9CDC8"/>
    <w:rsid w:val="29EEB9BF"/>
    <w:rsid w:val="29F11718"/>
    <w:rsid w:val="29F1997E"/>
    <w:rsid w:val="29F5D9D3"/>
    <w:rsid w:val="29FC96AF"/>
    <w:rsid w:val="29FF5DC7"/>
    <w:rsid w:val="29FFD30B"/>
    <w:rsid w:val="2A0041AF"/>
    <w:rsid w:val="2A0412A0"/>
    <w:rsid w:val="2A0469FF"/>
    <w:rsid w:val="2A0673AC"/>
    <w:rsid w:val="2A06D851"/>
    <w:rsid w:val="2A11CC50"/>
    <w:rsid w:val="2A16C0E7"/>
    <w:rsid w:val="2A1E5427"/>
    <w:rsid w:val="2A22FA05"/>
    <w:rsid w:val="2A24AA1A"/>
    <w:rsid w:val="2A320126"/>
    <w:rsid w:val="2A381D9A"/>
    <w:rsid w:val="2A3F27ED"/>
    <w:rsid w:val="2A41D5CB"/>
    <w:rsid w:val="2A432F9D"/>
    <w:rsid w:val="2A4462D2"/>
    <w:rsid w:val="2A4F3985"/>
    <w:rsid w:val="2A586332"/>
    <w:rsid w:val="2A5A6F15"/>
    <w:rsid w:val="2A605249"/>
    <w:rsid w:val="2A622C1D"/>
    <w:rsid w:val="2A66ED6D"/>
    <w:rsid w:val="2A6F3ACA"/>
    <w:rsid w:val="2A716479"/>
    <w:rsid w:val="2A7FCEDC"/>
    <w:rsid w:val="2A811B73"/>
    <w:rsid w:val="2A813A87"/>
    <w:rsid w:val="2A83B2AA"/>
    <w:rsid w:val="2A85A21B"/>
    <w:rsid w:val="2A8AA687"/>
    <w:rsid w:val="2A9502A8"/>
    <w:rsid w:val="2A959C7C"/>
    <w:rsid w:val="2AA55369"/>
    <w:rsid w:val="2AA9ECF1"/>
    <w:rsid w:val="2AAF4B79"/>
    <w:rsid w:val="2AB4D157"/>
    <w:rsid w:val="2ABAD001"/>
    <w:rsid w:val="2AC81B2C"/>
    <w:rsid w:val="2ACB3D8F"/>
    <w:rsid w:val="2AD257B2"/>
    <w:rsid w:val="2ADDA001"/>
    <w:rsid w:val="2ADDA28D"/>
    <w:rsid w:val="2AE0ADF9"/>
    <w:rsid w:val="2AE2D035"/>
    <w:rsid w:val="2AE38831"/>
    <w:rsid w:val="2AEAAF47"/>
    <w:rsid w:val="2AEB355F"/>
    <w:rsid w:val="2AF1C125"/>
    <w:rsid w:val="2AFF32BA"/>
    <w:rsid w:val="2B02DAC6"/>
    <w:rsid w:val="2B03227A"/>
    <w:rsid w:val="2B060C64"/>
    <w:rsid w:val="2B1026FB"/>
    <w:rsid w:val="2B171959"/>
    <w:rsid w:val="2B1E4E57"/>
    <w:rsid w:val="2B27A811"/>
    <w:rsid w:val="2B2EE889"/>
    <w:rsid w:val="2B328115"/>
    <w:rsid w:val="2B3CD091"/>
    <w:rsid w:val="2B3E5602"/>
    <w:rsid w:val="2B3EDF56"/>
    <w:rsid w:val="2B3F5868"/>
    <w:rsid w:val="2B461C7E"/>
    <w:rsid w:val="2B4963FE"/>
    <w:rsid w:val="2B4B8BFE"/>
    <w:rsid w:val="2B5312A7"/>
    <w:rsid w:val="2B537F92"/>
    <w:rsid w:val="2B5941EF"/>
    <w:rsid w:val="2B59D15C"/>
    <w:rsid w:val="2B61B2CB"/>
    <w:rsid w:val="2B63A028"/>
    <w:rsid w:val="2B66852A"/>
    <w:rsid w:val="2B6CEFB5"/>
    <w:rsid w:val="2B6D0E29"/>
    <w:rsid w:val="2B6DF931"/>
    <w:rsid w:val="2B7E2293"/>
    <w:rsid w:val="2B8CDE28"/>
    <w:rsid w:val="2B911B98"/>
    <w:rsid w:val="2B961CF2"/>
    <w:rsid w:val="2B98F80D"/>
    <w:rsid w:val="2B9F8D55"/>
    <w:rsid w:val="2BAF71AD"/>
    <w:rsid w:val="2BB304E7"/>
    <w:rsid w:val="2BB3345D"/>
    <w:rsid w:val="2BB6E2F5"/>
    <w:rsid w:val="2BBB82C7"/>
    <w:rsid w:val="2BCB0B7A"/>
    <w:rsid w:val="2BD864F9"/>
    <w:rsid w:val="2BDBF754"/>
    <w:rsid w:val="2BDDD38F"/>
    <w:rsid w:val="2BE19EEA"/>
    <w:rsid w:val="2BEA713C"/>
    <w:rsid w:val="2BED193E"/>
    <w:rsid w:val="2BF404F7"/>
    <w:rsid w:val="2BF63E75"/>
    <w:rsid w:val="2BF6E41B"/>
    <w:rsid w:val="2BF9976A"/>
    <w:rsid w:val="2BFF262D"/>
    <w:rsid w:val="2C2589BF"/>
    <w:rsid w:val="2C2BEF5D"/>
    <w:rsid w:val="2C351B7A"/>
    <w:rsid w:val="2C35F359"/>
    <w:rsid w:val="2C391A71"/>
    <w:rsid w:val="2C3B5C39"/>
    <w:rsid w:val="2C4CCAE9"/>
    <w:rsid w:val="2C4DBF62"/>
    <w:rsid w:val="2C50B3AC"/>
    <w:rsid w:val="2C516C29"/>
    <w:rsid w:val="2C530D6F"/>
    <w:rsid w:val="2C56A2FE"/>
    <w:rsid w:val="2C5985B9"/>
    <w:rsid w:val="2C5AD311"/>
    <w:rsid w:val="2C5B642F"/>
    <w:rsid w:val="2C5E3BE1"/>
    <w:rsid w:val="2C64555D"/>
    <w:rsid w:val="2C72B104"/>
    <w:rsid w:val="2C72E43B"/>
    <w:rsid w:val="2C73F492"/>
    <w:rsid w:val="2C7663A4"/>
    <w:rsid w:val="2C78321A"/>
    <w:rsid w:val="2C85D212"/>
    <w:rsid w:val="2C92CA8F"/>
    <w:rsid w:val="2C937416"/>
    <w:rsid w:val="2C9667F4"/>
    <w:rsid w:val="2C98DC9C"/>
    <w:rsid w:val="2C999C3E"/>
    <w:rsid w:val="2CA1DB65"/>
    <w:rsid w:val="2CA3AEC7"/>
    <w:rsid w:val="2CA5FD8B"/>
    <w:rsid w:val="2CADFCEA"/>
    <w:rsid w:val="2CAE9DC7"/>
    <w:rsid w:val="2CAF0C36"/>
    <w:rsid w:val="2CAF6821"/>
    <w:rsid w:val="2CB66E05"/>
    <w:rsid w:val="2CBB172D"/>
    <w:rsid w:val="2CBB1EEB"/>
    <w:rsid w:val="2CC0CE27"/>
    <w:rsid w:val="2CC3F900"/>
    <w:rsid w:val="2CCD50F1"/>
    <w:rsid w:val="2CCEB12B"/>
    <w:rsid w:val="2CCEB506"/>
    <w:rsid w:val="2CDE0AEA"/>
    <w:rsid w:val="2CDFC671"/>
    <w:rsid w:val="2CE76DA1"/>
    <w:rsid w:val="2CE86382"/>
    <w:rsid w:val="2CEBB0D9"/>
    <w:rsid w:val="2CF5C3E4"/>
    <w:rsid w:val="2CFBB24C"/>
    <w:rsid w:val="2D0880E9"/>
    <w:rsid w:val="2D09ABF6"/>
    <w:rsid w:val="2D10CE30"/>
    <w:rsid w:val="2D148CF6"/>
    <w:rsid w:val="2D163D00"/>
    <w:rsid w:val="2D1BAED0"/>
    <w:rsid w:val="2D213077"/>
    <w:rsid w:val="2D2F875A"/>
    <w:rsid w:val="2D31C605"/>
    <w:rsid w:val="2D345A3B"/>
    <w:rsid w:val="2D365131"/>
    <w:rsid w:val="2D39BA20"/>
    <w:rsid w:val="2D441FBC"/>
    <w:rsid w:val="2D5458B0"/>
    <w:rsid w:val="2D65FDA5"/>
    <w:rsid w:val="2D8C8313"/>
    <w:rsid w:val="2D8CC91C"/>
    <w:rsid w:val="2DAEF1AD"/>
    <w:rsid w:val="2DAF8AB1"/>
    <w:rsid w:val="2DB95419"/>
    <w:rsid w:val="2DBE1074"/>
    <w:rsid w:val="2DC1D6A5"/>
    <w:rsid w:val="2DC4066A"/>
    <w:rsid w:val="2DD0AA5D"/>
    <w:rsid w:val="2DD56B16"/>
    <w:rsid w:val="2DD588A9"/>
    <w:rsid w:val="2DDCAE6C"/>
    <w:rsid w:val="2DE2BF4B"/>
    <w:rsid w:val="2DE6A46C"/>
    <w:rsid w:val="2E0CE374"/>
    <w:rsid w:val="2E1C49DF"/>
    <w:rsid w:val="2E1D6F3F"/>
    <w:rsid w:val="2E1FFBA8"/>
    <w:rsid w:val="2E231A7A"/>
    <w:rsid w:val="2E3072BE"/>
    <w:rsid w:val="2E3505A4"/>
    <w:rsid w:val="2E3810E9"/>
    <w:rsid w:val="2E43083A"/>
    <w:rsid w:val="2E452F90"/>
    <w:rsid w:val="2E46A4ED"/>
    <w:rsid w:val="2E4A9D87"/>
    <w:rsid w:val="2E5052FF"/>
    <w:rsid w:val="2E54F2C4"/>
    <w:rsid w:val="2E5A3E0E"/>
    <w:rsid w:val="2E612FC9"/>
    <w:rsid w:val="2E733715"/>
    <w:rsid w:val="2E807210"/>
    <w:rsid w:val="2E8245DB"/>
    <w:rsid w:val="2E8A409C"/>
    <w:rsid w:val="2E95FAE5"/>
    <w:rsid w:val="2EA20BB9"/>
    <w:rsid w:val="2EA48D14"/>
    <w:rsid w:val="2EB59416"/>
    <w:rsid w:val="2EB8031F"/>
    <w:rsid w:val="2EB88397"/>
    <w:rsid w:val="2EB8EAE5"/>
    <w:rsid w:val="2EC52A0E"/>
    <w:rsid w:val="2EC65D03"/>
    <w:rsid w:val="2ED08E7E"/>
    <w:rsid w:val="2ED38BA5"/>
    <w:rsid w:val="2ED51220"/>
    <w:rsid w:val="2EDCEEA9"/>
    <w:rsid w:val="2EDFC044"/>
    <w:rsid w:val="2EE1A3DE"/>
    <w:rsid w:val="2EE419CC"/>
    <w:rsid w:val="2EE95C84"/>
    <w:rsid w:val="2EF56CF2"/>
    <w:rsid w:val="2EFA600F"/>
    <w:rsid w:val="2EFD6B37"/>
    <w:rsid w:val="2EFDCD98"/>
    <w:rsid w:val="2F042C9E"/>
    <w:rsid w:val="2F056E96"/>
    <w:rsid w:val="2F13E6A3"/>
    <w:rsid w:val="2F176DAE"/>
    <w:rsid w:val="2F22C3BC"/>
    <w:rsid w:val="2F3AC623"/>
    <w:rsid w:val="2F422B1E"/>
    <w:rsid w:val="2F439E19"/>
    <w:rsid w:val="2F43B33D"/>
    <w:rsid w:val="2F46A972"/>
    <w:rsid w:val="2F4BF71A"/>
    <w:rsid w:val="2F4D6AF3"/>
    <w:rsid w:val="2F500E1E"/>
    <w:rsid w:val="2F52E1CB"/>
    <w:rsid w:val="2F556B20"/>
    <w:rsid w:val="2F628C3A"/>
    <w:rsid w:val="2F85919D"/>
    <w:rsid w:val="2F8CAFE8"/>
    <w:rsid w:val="2F8E88F8"/>
    <w:rsid w:val="2F90B892"/>
    <w:rsid w:val="2F91214D"/>
    <w:rsid w:val="2F93F7E3"/>
    <w:rsid w:val="2F965DB4"/>
    <w:rsid w:val="2F989D59"/>
    <w:rsid w:val="2F9C1B44"/>
    <w:rsid w:val="2FA16F28"/>
    <w:rsid w:val="2FA476A7"/>
    <w:rsid w:val="2FAB7FB6"/>
    <w:rsid w:val="2FBAB094"/>
    <w:rsid w:val="2FBDF784"/>
    <w:rsid w:val="2FC5D462"/>
    <w:rsid w:val="2FCAB9F4"/>
    <w:rsid w:val="2FCD812C"/>
    <w:rsid w:val="2FD58C60"/>
    <w:rsid w:val="2FD6C233"/>
    <w:rsid w:val="2FD73B62"/>
    <w:rsid w:val="2FDA0818"/>
    <w:rsid w:val="2FDF3250"/>
    <w:rsid w:val="2FE0D1A2"/>
    <w:rsid w:val="2FE45597"/>
    <w:rsid w:val="2FE9FC78"/>
    <w:rsid w:val="2FEF6063"/>
    <w:rsid w:val="2FF7A44A"/>
    <w:rsid w:val="2FFD27F5"/>
    <w:rsid w:val="2FFD380D"/>
    <w:rsid w:val="2FFF0C71"/>
    <w:rsid w:val="300AB082"/>
    <w:rsid w:val="3010535D"/>
    <w:rsid w:val="3010684B"/>
    <w:rsid w:val="301E300E"/>
    <w:rsid w:val="302D6CCE"/>
    <w:rsid w:val="30335EC8"/>
    <w:rsid w:val="30379159"/>
    <w:rsid w:val="303F7F01"/>
    <w:rsid w:val="3041F262"/>
    <w:rsid w:val="304DD1A2"/>
    <w:rsid w:val="3059AD4E"/>
    <w:rsid w:val="3063ABB7"/>
    <w:rsid w:val="306ADDA4"/>
    <w:rsid w:val="306FFE35"/>
    <w:rsid w:val="307A5D4B"/>
    <w:rsid w:val="307CCCB2"/>
    <w:rsid w:val="3081B9AE"/>
    <w:rsid w:val="30828372"/>
    <w:rsid w:val="308509F3"/>
    <w:rsid w:val="3096FBAE"/>
    <w:rsid w:val="309DB81E"/>
    <w:rsid w:val="30B9766F"/>
    <w:rsid w:val="30BFD7D6"/>
    <w:rsid w:val="30C1D43D"/>
    <w:rsid w:val="30C31976"/>
    <w:rsid w:val="30C75AD5"/>
    <w:rsid w:val="30C7E0F0"/>
    <w:rsid w:val="30C7F05C"/>
    <w:rsid w:val="30E218E9"/>
    <w:rsid w:val="30E39A33"/>
    <w:rsid w:val="30F2372D"/>
    <w:rsid w:val="30F55B26"/>
    <w:rsid w:val="30FBF96D"/>
    <w:rsid w:val="30FC1454"/>
    <w:rsid w:val="31098FE5"/>
    <w:rsid w:val="310B4D98"/>
    <w:rsid w:val="31124B46"/>
    <w:rsid w:val="3112DBA2"/>
    <w:rsid w:val="3115B81D"/>
    <w:rsid w:val="311B59DC"/>
    <w:rsid w:val="311E1656"/>
    <w:rsid w:val="311FC1CA"/>
    <w:rsid w:val="312211B3"/>
    <w:rsid w:val="312A7A81"/>
    <w:rsid w:val="312D5481"/>
    <w:rsid w:val="3135D41F"/>
    <w:rsid w:val="313FD67B"/>
    <w:rsid w:val="31476534"/>
    <w:rsid w:val="314B7993"/>
    <w:rsid w:val="314C3B92"/>
    <w:rsid w:val="3153D960"/>
    <w:rsid w:val="3155209A"/>
    <w:rsid w:val="3156E7E9"/>
    <w:rsid w:val="31588C8F"/>
    <w:rsid w:val="315F1BF1"/>
    <w:rsid w:val="316BEF95"/>
    <w:rsid w:val="317D0585"/>
    <w:rsid w:val="3186B43C"/>
    <w:rsid w:val="31876633"/>
    <w:rsid w:val="318B9AD0"/>
    <w:rsid w:val="318DA240"/>
    <w:rsid w:val="31A70855"/>
    <w:rsid w:val="31A923B4"/>
    <w:rsid w:val="31ABDC08"/>
    <w:rsid w:val="31C1B916"/>
    <w:rsid w:val="31C6D69A"/>
    <w:rsid w:val="31C7CC71"/>
    <w:rsid w:val="31D143BE"/>
    <w:rsid w:val="31D64EA7"/>
    <w:rsid w:val="31D76A4E"/>
    <w:rsid w:val="31E21C69"/>
    <w:rsid w:val="31E3A8CF"/>
    <w:rsid w:val="31E50D39"/>
    <w:rsid w:val="31E6503B"/>
    <w:rsid w:val="31E7CF73"/>
    <w:rsid w:val="31E82F0A"/>
    <w:rsid w:val="31EC7C82"/>
    <w:rsid w:val="31F19B62"/>
    <w:rsid w:val="31F34CFF"/>
    <w:rsid w:val="31F3B189"/>
    <w:rsid w:val="31FC3C5E"/>
    <w:rsid w:val="31FC7127"/>
    <w:rsid w:val="320631BF"/>
    <w:rsid w:val="32154AAE"/>
    <w:rsid w:val="321F459E"/>
    <w:rsid w:val="322B1F7E"/>
    <w:rsid w:val="322CF6C9"/>
    <w:rsid w:val="322D6FCB"/>
    <w:rsid w:val="3236CF10"/>
    <w:rsid w:val="323CCF73"/>
    <w:rsid w:val="323DCBE8"/>
    <w:rsid w:val="32419EBE"/>
    <w:rsid w:val="3251AFD6"/>
    <w:rsid w:val="32556CA5"/>
    <w:rsid w:val="32592DD8"/>
    <w:rsid w:val="325C5E3B"/>
    <w:rsid w:val="32681757"/>
    <w:rsid w:val="32698167"/>
    <w:rsid w:val="326B7FF5"/>
    <w:rsid w:val="326CAD57"/>
    <w:rsid w:val="32725B45"/>
    <w:rsid w:val="32754962"/>
    <w:rsid w:val="32A89E73"/>
    <w:rsid w:val="32BBE368"/>
    <w:rsid w:val="32D4ED97"/>
    <w:rsid w:val="32D509DC"/>
    <w:rsid w:val="32D9320E"/>
    <w:rsid w:val="32DB9A82"/>
    <w:rsid w:val="32DE2A0B"/>
    <w:rsid w:val="32E58215"/>
    <w:rsid w:val="32E5FEFD"/>
    <w:rsid w:val="32E646D2"/>
    <w:rsid w:val="32E6A9A4"/>
    <w:rsid w:val="32F088DB"/>
    <w:rsid w:val="32F1004D"/>
    <w:rsid w:val="32F43333"/>
    <w:rsid w:val="33027BE1"/>
    <w:rsid w:val="330CBFD3"/>
    <w:rsid w:val="330E6B40"/>
    <w:rsid w:val="3311B547"/>
    <w:rsid w:val="3317D717"/>
    <w:rsid w:val="3318452C"/>
    <w:rsid w:val="332A780B"/>
    <w:rsid w:val="3331A852"/>
    <w:rsid w:val="33395ABA"/>
    <w:rsid w:val="334231C2"/>
    <w:rsid w:val="3347293E"/>
    <w:rsid w:val="334B7665"/>
    <w:rsid w:val="33507F74"/>
    <w:rsid w:val="3351770E"/>
    <w:rsid w:val="33655135"/>
    <w:rsid w:val="338AFF46"/>
    <w:rsid w:val="338DEDAA"/>
    <w:rsid w:val="3392BFE1"/>
    <w:rsid w:val="33943231"/>
    <w:rsid w:val="3399E9DA"/>
    <w:rsid w:val="339A0E95"/>
    <w:rsid w:val="33A0B18F"/>
    <w:rsid w:val="33A99C88"/>
    <w:rsid w:val="33AC16F2"/>
    <w:rsid w:val="33B07486"/>
    <w:rsid w:val="33B16C25"/>
    <w:rsid w:val="33B90245"/>
    <w:rsid w:val="33CE1018"/>
    <w:rsid w:val="33D18980"/>
    <w:rsid w:val="33D42D52"/>
    <w:rsid w:val="33D67C26"/>
    <w:rsid w:val="33DABAB6"/>
    <w:rsid w:val="33E2F6A4"/>
    <w:rsid w:val="33EB5157"/>
    <w:rsid w:val="33ECF162"/>
    <w:rsid w:val="33ED664A"/>
    <w:rsid w:val="33FAA075"/>
    <w:rsid w:val="3401D57C"/>
    <w:rsid w:val="34057ABB"/>
    <w:rsid w:val="34059783"/>
    <w:rsid w:val="340BCCD4"/>
    <w:rsid w:val="340C52EC"/>
    <w:rsid w:val="340C685D"/>
    <w:rsid w:val="340C86CB"/>
    <w:rsid w:val="340E2134"/>
    <w:rsid w:val="3411C050"/>
    <w:rsid w:val="3411D7E7"/>
    <w:rsid w:val="341D3D57"/>
    <w:rsid w:val="341D62A9"/>
    <w:rsid w:val="341E716E"/>
    <w:rsid w:val="3420C854"/>
    <w:rsid w:val="34217A09"/>
    <w:rsid w:val="34244490"/>
    <w:rsid w:val="342D4C29"/>
    <w:rsid w:val="342FAACA"/>
    <w:rsid w:val="3432E116"/>
    <w:rsid w:val="34371DA8"/>
    <w:rsid w:val="34498F77"/>
    <w:rsid w:val="344F3FFB"/>
    <w:rsid w:val="345349F5"/>
    <w:rsid w:val="3453E2A0"/>
    <w:rsid w:val="3457797C"/>
    <w:rsid w:val="34676155"/>
    <w:rsid w:val="346B73AF"/>
    <w:rsid w:val="346BA226"/>
    <w:rsid w:val="3486D406"/>
    <w:rsid w:val="348A2668"/>
    <w:rsid w:val="348A30CB"/>
    <w:rsid w:val="348E7CA1"/>
    <w:rsid w:val="348FB6DD"/>
    <w:rsid w:val="349397E6"/>
    <w:rsid w:val="3496F91F"/>
    <w:rsid w:val="34A1C0D5"/>
    <w:rsid w:val="34ABB02F"/>
    <w:rsid w:val="34ADDD94"/>
    <w:rsid w:val="34B612FC"/>
    <w:rsid w:val="34B83249"/>
    <w:rsid w:val="34BB3993"/>
    <w:rsid w:val="34C878A6"/>
    <w:rsid w:val="34D63C6B"/>
    <w:rsid w:val="34D77B96"/>
    <w:rsid w:val="34DB6D6E"/>
    <w:rsid w:val="34E523E5"/>
    <w:rsid w:val="34E65E0B"/>
    <w:rsid w:val="34E82DFA"/>
    <w:rsid w:val="34F7FF6C"/>
    <w:rsid w:val="35040688"/>
    <w:rsid w:val="350B1C30"/>
    <w:rsid w:val="350FB6EF"/>
    <w:rsid w:val="35128FF4"/>
    <w:rsid w:val="351B26D1"/>
    <w:rsid w:val="352CBB23"/>
    <w:rsid w:val="35334C92"/>
    <w:rsid w:val="3537E219"/>
    <w:rsid w:val="353AD0E7"/>
    <w:rsid w:val="353B263D"/>
    <w:rsid w:val="353E14A6"/>
    <w:rsid w:val="3542EFEF"/>
    <w:rsid w:val="354436A7"/>
    <w:rsid w:val="354C0041"/>
    <w:rsid w:val="3552B06E"/>
    <w:rsid w:val="3553C96F"/>
    <w:rsid w:val="355BE69F"/>
    <w:rsid w:val="355C60A1"/>
    <w:rsid w:val="355C9DE2"/>
    <w:rsid w:val="355DAD42"/>
    <w:rsid w:val="3563AF77"/>
    <w:rsid w:val="3564CBF3"/>
    <w:rsid w:val="3565744C"/>
    <w:rsid w:val="35763E0D"/>
    <w:rsid w:val="357890DF"/>
    <w:rsid w:val="357A1EC0"/>
    <w:rsid w:val="357CBC99"/>
    <w:rsid w:val="35847F6C"/>
    <w:rsid w:val="35868B2A"/>
    <w:rsid w:val="3586FA3E"/>
    <w:rsid w:val="358B9FB8"/>
    <w:rsid w:val="35905ABF"/>
    <w:rsid w:val="3593913F"/>
    <w:rsid w:val="359797FF"/>
    <w:rsid w:val="359B1D5A"/>
    <w:rsid w:val="359B96D1"/>
    <w:rsid w:val="359D3EAB"/>
    <w:rsid w:val="359EC552"/>
    <w:rsid w:val="359F7DF6"/>
    <w:rsid w:val="35B67932"/>
    <w:rsid w:val="35B9D2B8"/>
    <w:rsid w:val="35BC16EE"/>
    <w:rsid w:val="35C243BC"/>
    <w:rsid w:val="35C50998"/>
    <w:rsid w:val="35C72CCD"/>
    <w:rsid w:val="35CA4DB3"/>
    <w:rsid w:val="35CBD2AB"/>
    <w:rsid w:val="35CF4CA9"/>
    <w:rsid w:val="35DD1286"/>
    <w:rsid w:val="35DEAD49"/>
    <w:rsid w:val="35EA8B45"/>
    <w:rsid w:val="35FA886A"/>
    <w:rsid w:val="35FD62FF"/>
    <w:rsid w:val="360257CB"/>
    <w:rsid w:val="36082BEB"/>
    <w:rsid w:val="360F9F4E"/>
    <w:rsid w:val="3618F82E"/>
    <w:rsid w:val="36191F30"/>
    <w:rsid w:val="361CB0C7"/>
    <w:rsid w:val="36320F10"/>
    <w:rsid w:val="3633519A"/>
    <w:rsid w:val="364246DC"/>
    <w:rsid w:val="36426606"/>
    <w:rsid w:val="3644CB89"/>
    <w:rsid w:val="3645C2AA"/>
    <w:rsid w:val="365AFCE5"/>
    <w:rsid w:val="365CB70D"/>
    <w:rsid w:val="3662D5CE"/>
    <w:rsid w:val="366690C5"/>
    <w:rsid w:val="366A4BF4"/>
    <w:rsid w:val="367036C5"/>
    <w:rsid w:val="36765D77"/>
    <w:rsid w:val="367FF020"/>
    <w:rsid w:val="368ACA9E"/>
    <w:rsid w:val="369B1DE5"/>
    <w:rsid w:val="369B1F96"/>
    <w:rsid w:val="36A525AF"/>
    <w:rsid w:val="36A5B2C1"/>
    <w:rsid w:val="36AB3E5B"/>
    <w:rsid w:val="36ADB66F"/>
    <w:rsid w:val="36B7F14F"/>
    <w:rsid w:val="36B8A402"/>
    <w:rsid w:val="36C94DAB"/>
    <w:rsid w:val="36D496EC"/>
    <w:rsid w:val="36D4A4C1"/>
    <w:rsid w:val="36D75962"/>
    <w:rsid w:val="36DD0049"/>
    <w:rsid w:val="36E4FADB"/>
    <w:rsid w:val="36E78F9E"/>
    <w:rsid w:val="36F5914F"/>
    <w:rsid w:val="36F96EEE"/>
    <w:rsid w:val="36FC8DF0"/>
    <w:rsid w:val="36FDFB51"/>
    <w:rsid w:val="370452BB"/>
    <w:rsid w:val="371092FD"/>
    <w:rsid w:val="3713D09E"/>
    <w:rsid w:val="37227893"/>
    <w:rsid w:val="3724A824"/>
    <w:rsid w:val="37267C57"/>
    <w:rsid w:val="372994E9"/>
    <w:rsid w:val="372F0A0D"/>
    <w:rsid w:val="37304EDB"/>
    <w:rsid w:val="37318E4B"/>
    <w:rsid w:val="3732B2EF"/>
    <w:rsid w:val="373367DD"/>
    <w:rsid w:val="3734A23D"/>
    <w:rsid w:val="373F9D52"/>
    <w:rsid w:val="3745261F"/>
    <w:rsid w:val="3748A50C"/>
    <w:rsid w:val="374C92F6"/>
    <w:rsid w:val="374FAEE5"/>
    <w:rsid w:val="37573133"/>
    <w:rsid w:val="37588F99"/>
    <w:rsid w:val="37590068"/>
    <w:rsid w:val="375F28AE"/>
    <w:rsid w:val="3761BFFB"/>
    <w:rsid w:val="37639468"/>
    <w:rsid w:val="376AF1B0"/>
    <w:rsid w:val="37721915"/>
    <w:rsid w:val="3782ACF0"/>
    <w:rsid w:val="3784CA51"/>
    <w:rsid w:val="378FA4BF"/>
    <w:rsid w:val="37921973"/>
    <w:rsid w:val="379E3D07"/>
    <w:rsid w:val="37A059BC"/>
    <w:rsid w:val="37A10C63"/>
    <w:rsid w:val="37AF29D2"/>
    <w:rsid w:val="37B1D861"/>
    <w:rsid w:val="37B863A9"/>
    <w:rsid w:val="37BA346B"/>
    <w:rsid w:val="37BD1A2E"/>
    <w:rsid w:val="37BE1369"/>
    <w:rsid w:val="37BE7A8D"/>
    <w:rsid w:val="37C02CB2"/>
    <w:rsid w:val="37CD64AC"/>
    <w:rsid w:val="37D00AE3"/>
    <w:rsid w:val="37D36978"/>
    <w:rsid w:val="37D45396"/>
    <w:rsid w:val="37DDD31F"/>
    <w:rsid w:val="37E74E51"/>
    <w:rsid w:val="37EE9C01"/>
    <w:rsid w:val="37FB6C22"/>
    <w:rsid w:val="38003E5E"/>
    <w:rsid w:val="3813E50B"/>
    <w:rsid w:val="38175C85"/>
    <w:rsid w:val="381A0154"/>
    <w:rsid w:val="382015B6"/>
    <w:rsid w:val="38282534"/>
    <w:rsid w:val="38297FB1"/>
    <w:rsid w:val="382B6D06"/>
    <w:rsid w:val="382E8822"/>
    <w:rsid w:val="382FFB6D"/>
    <w:rsid w:val="3831242C"/>
    <w:rsid w:val="3832A43F"/>
    <w:rsid w:val="3837B087"/>
    <w:rsid w:val="38388F9F"/>
    <w:rsid w:val="383F5C21"/>
    <w:rsid w:val="3840C125"/>
    <w:rsid w:val="38430905"/>
    <w:rsid w:val="38514BC5"/>
    <w:rsid w:val="385F4AF7"/>
    <w:rsid w:val="386CC9F1"/>
    <w:rsid w:val="38740CD6"/>
    <w:rsid w:val="38794CE0"/>
    <w:rsid w:val="3879C148"/>
    <w:rsid w:val="387E8D0B"/>
    <w:rsid w:val="388A2679"/>
    <w:rsid w:val="388E0B08"/>
    <w:rsid w:val="388F4B1C"/>
    <w:rsid w:val="38983061"/>
    <w:rsid w:val="38A9FB9B"/>
    <w:rsid w:val="38ACABFC"/>
    <w:rsid w:val="38ADBA49"/>
    <w:rsid w:val="38C1199E"/>
    <w:rsid w:val="38CA473C"/>
    <w:rsid w:val="38CCBAF7"/>
    <w:rsid w:val="38D5D217"/>
    <w:rsid w:val="38DB2BA1"/>
    <w:rsid w:val="38DCFC22"/>
    <w:rsid w:val="38E23D2A"/>
    <w:rsid w:val="38ECBFF1"/>
    <w:rsid w:val="38F48796"/>
    <w:rsid w:val="38F542BC"/>
    <w:rsid w:val="38F59314"/>
    <w:rsid w:val="38F607A9"/>
    <w:rsid w:val="39049A24"/>
    <w:rsid w:val="3912CF5C"/>
    <w:rsid w:val="391D4973"/>
    <w:rsid w:val="39268BE3"/>
    <w:rsid w:val="39278873"/>
    <w:rsid w:val="392DF774"/>
    <w:rsid w:val="393A80B9"/>
    <w:rsid w:val="394A3064"/>
    <w:rsid w:val="394A5779"/>
    <w:rsid w:val="394DD655"/>
    <w:rsid w:val="3957FFC4"/>
    <w:rsid w:val="39594E5B"/>
    <w:rsid w:val="395AEB43"/>
    <w:rsid w:val="3967148B"/>
    <w:rsid w:val="396BD269"/>
    <w:rsid w:val="397129E0"/>
    <w:rsid w:val="3972DD56"/>
    <w:rsid w:val="3975F932"/>
    <w:rsid w:val="39765B43"/>
    <w:rsid w:val="3986F26E"/>
    <w:rsid w:val="3989BF66"/>
    <w:rsid w:val="398A2EFB"/>
    <w:rsid w:val="398A73E7"/>
    <w:rsid w:val="398A867B"/>
    <w:rsid w:val="3994B1FB"/>
    <w:rsid w:val="3994B4C8"/>
    <w:rsid w:val="399A2CB5"/>
    <w:rsid w:val="39A9C9C0"/>
    <w:rsid w:val="39ACCCBB"/>
    <w:rsid w:val="39B0DE79"/>
    <w:rsid w:val="39B6AC44"/>
    <w:rsid w:val="39B944BB"/>
    <w:rsid w:val="39BA458A"/>
    <w:rsid w:val="39BDE6D4"/>
    <w:rsid w:val="39C0AE40"/>
    <w:rsid w:val="39C32BEF"/>
    <w:rsid w:val="39C945CD"/>
    <w:rsid w:val="39CB6A67"/>
    <w:rsid w:val="39CEE767"/>
    <w:rsid w:val="39CEED79"/>
    <w:rsid w:val="39D0E4E5"/>
    <w:rsid w:val="39D1DE69"/>
    <w:rsid w:val="39D5824B"/>
    <w:rsid w:val="39D64FBF"/>
    <w:rsid w:val="39DC4C0C"/>
    <w:rsid w:val="39E06966"/>
    <w:rsid w:val="39ED1AF8"/>
    <w:rsid w:val="39F09672"/>
    <w:rsid w:val="39F411A0"/>
    <w:rsid w:val="39F95084"/>
    <w:rsid w:val="39FA52D0"/>
    <w:rsid w:val="3A060776"/>
    <w:rsid w:val="3A08CDA0"/>
    <w:rsid w:val="3A145E6E"/>
    <w:rsid w:val="3A188A1D"/>
    <w:rsid w:val="3A19BEF9"/>
    <w:rsid w:val="3A2050D6"/>
    <w:rsid w:val="3A22081E"/>
    <w:rsid w:val="3A240F8B"/>
    <w:rsid w:val="3A2C5D3D"/>
    <w:rsid w:val="3A30B987"/>
    <w:rsid w:val="3A34CB02"/>
    <w:rsid w:val="3A3887F6"/>
    <w:rsid w:val="3A42D641"/>
    <w:rsid w:val="3A457326"/>
    <w:rsid w:val="3A46BD34"/>
    <w:rsid w:val="3A4849FE"/>
    <w:rsid w:val="3A49FAD6"/>
    <w:rsid w:val="3A5096AE"/>
    <w:rsid w:val="3A579256"/>
    <w:rsid w:val="3A622994"/>
    <w:rsid w:val="3A68733C"/>
    <w:rsid w:val="3A7006FE"/>
    <w:rsid w:val="3A712A51"/>
    <w:rsid w:val="3A741C1A"/>
    <w:rsid w:val="3A75651F"/>
    <w:rsid w:val="3A777C15"/>
    <w:rsid w:val="3A7B324F"/>
    <w:rsid w:val="3A7B4F86"/>
    <w:rsid w:val="3A8218FF"/>
    <w:rsid w:val="3A82F933"/>
    <w:rsid w:val="3A835BEF"/>
    <w:rsid w:val="3A845E99"/>
    <w:rsid w:val="3A8A6466"/>
    <w:rsid w:val="3A915049"/>
    <w:rsid w:val="3A9484C4"/>
    <w:rsid w:val="3A9A79B2"/>
    <w:rsid w:val="3A9CD236"/>
    <w:rsid w:val="3A9FD5FE"/>
    <w:rsid w:val="3AA384F3"/>
    <w:rsid w:val="3AA45DB1"/>
    <w:rsid w:val="3AACB533"/>
    <w:rsid w:val="3AB42634"/>
    <w:rsid w:val="3AB9AB8C"/>
    <w:rsid w:val="3AC0AE09"/>
    <w:rsid w:val="3AC9D4F0"/>
    <w:rsid w:val="3AD26816"/>
    <w:rsid w:val="3AD2CE7B"/>
    <w:rsid w:val="3AD3DA03"/>
    <w:rsid w:val="3AD993E1"/>
    <w:rsid w:val="3AE2B2E8"/>
    <w:rsid w:val="3AF13D16"/>
    <w:rsid w:val="3AF53955"/>
    <w:rsid w:val="3AFD1161"/>
    <w:rsid w:val="3AFD85B1"/>
    <w:rsid w:val="3B08FCAF"/>
    <w:rsid w:val="3B0DA428"/>
    <w:rsid w:val="3B12FA0E"/>
    <w:rsid w:val="3B143483"/>
    <w:rsid w:val="3B213726"/>
    <w:rsid w:val="3B21F460"/>
    <w:rsid w:val="3B376F8B"/>
    <w:rsid w:val="3B38BBF3"/>
    <w:rsid w:val="3B3DC54D"/>
    <w:rsid w:val="3B3DF8C4"/>
    <w:rsid w:val="3B441D18"/>
    <w:rsid w:val="3B46BEFB"/>
    <w:rsid w:val="3B4BCC3C"/>
    <w:rsid w:val="3B4CC174"/>
    <w:rsid w:val="3B4F48F8"/>
    <w:rsid w:val="3B55FA20"/>
    <w:rsid w:val="3B64A8BD"/>
    <w:rsid w:val="3B65EDF8"/>
    <w:rsid w:val="3B66A990"/>
    <w:rsid w:val="3B6A183C"/>
    <w:rsid w:val="3B734CA3"/>
    <w:rsid w:val="3B81ECFD"/>
    <w:rsid w:val="3B8245EB"/>
    <w:rsid w:val="3B869606"/>
    <w:rsid w:val="3B8B5A3C"/>
    <w:rsid w:val="3B91F640"/>
    <w:rsid w:val="3B9840DB"/>
    <w:rsid w:val="3B9CC0D7"/>
    <w:rsid w:val="3BA09C05"/>
    <w:rsid w:val="3BA9F972"/>
    <w:rsid w:val="3BAE5179"/>
    <w:rsid w:val="3BBAFE3D"/>
    <w:rsid w:val="3BBFD9DC"/>
    <w:rsid w:val="3BC22014"/>
    <w:rsid w:val="3BCABDF1"/>
    <w:rsid w:val="3BDA3BF6"/>
    <w:rsid w:val="3BE04444"/>
    <w:rsid w:val="3BE2597F"/>
    <w:rsid w:val="3BE26008"/>
    <w:rsid w:val="3BE4E4A3"/>
    <w:rsid w:val="3BE75575"/>
    <w:rsid w:val="3BE99F98"/>
    <w:rsid w:val="3BF37E73"/>
    <w:rsid w:val="3BF6ADF5"/>
    <w:rsid w:val="3BFD6AB1"/>
    <w:rsid w:val="3C04107F"/>
    <w:rsid w:val="3C153855"/>
    <w:rsid w:val="3C197782"/>
    <w:rsid w:val="3C19FF7A"/>
    <w:rsid w:val="3C1F3E10"/>
    <w:rsid w:val="3C358556"/>
    <w:rsid w:val="3C3770F9"/>
    <w:rsid w:val="3C3871F9"/>
    <w:rsid w:val="3C3DA12A"/>
    <w:rsid w:val="3C428C19"/>
    <w:rsid w:val="3C4BDFEA"/>
    <w:rsid w:val="3C4E5838"/>
    <w:rsid w:val="3C4EEF27"/>
    <w:rsid w:val="3C56FFFB"/>
    <w:rsid w:val="3C5AAD35"/>
    <w:rsid w:val="3C6DA25B"/>
    <w:rsid w:val="3C7283A7"/>
    <w:rsid w:val="3C751308"/>
    <w:rsid w:val="3C81A4E8"/>
    <w:rsid w:val="3C840C1B"/>
    <w:rsid w:val="3C891241"/>
    <w:rsid w:val="3C8D19AF"/>
    <w:rsid w:val="3C912768"/>
    <w:rsid w:val="3C93E78F"/>
    <w:rsid w:val="3C9E8C9B"/>
    <w:rsid w:val="3CA5D12A"/>
    <w:rsid w:val="3CAF4CBA"/>
    <w:rsid w:val="3CB2FF19"/>
    <w:rsid w:val="3CB74D74"/>
    <w:rsid w:val="3CBB51D1"/>
    <w:rsid w:val="3CC08EBD"/>
    <w:rsid w:val="3CC704FF"/>
    <w:rsid w:val="3CCA04AB"/>
    <w:rsid w:val="3CCA9074"/>
    <w:rsid w:val="3CCDBA11"/>
    <w:rsid w:val="3CD6AE1F"/>
    <w:rsid w:val="3CD8E6FE"/>
    <w:rsid w:val="3CDE5C0E"/>
    <w:rsid w:val="3CE47A41"/>
    <w:rsid w:val="3CEECD57"/>
    <w:rsid w:val="3CF947E6"/>
    <w:rsid w:val="3D036018"/>
    <w:rsid w:val="3D08DA44"/>
    <w:rsid w:val="3D0F0E80"/>
    <w:rsid w:val="3D0F866D"/>
    <w:rsid w:val="3D10C473"/>
    <w:rsid w:val="3D15802E"/>
    <w:rsid w:val="3D18FBBD"/>
    <w:rsid w:val="3D283440"/>
    <w:rsid w:val="3D2CEF59"/>
    <w:rsid w:val="3D2D9DD6"/>
    <w:rsid w:val="3D32E622"/>
    <w:rsid w:val="3D3B5BB6"/>
    <w:rsid w:val="3D4179AD"/>
    <w:rsid w:val="3D47B279"/>
    <w:rsid w:val="3D56E2B1"/>
    <w:rsid w:val="3D5922B4"/>
    <w:rsid w:val="3D60125C"/>
    <w:rsid w:val="3D6629C6"/>
    <w:rsid w:val="3D6A58C5"/>
    <w:rsid w:val="3D719600"/>
    <w:rsid w:val="3D7B1281"/>
    <w:rsid w:val="3D883B8C"/>
    <w:rsid w:val="3D9475B3"/>
    <w:rsid w:val="3D9E83A7"/>
    <w:rsid w:val="3DAA8893"/>
    <w:rsid w:val="3DAD8E35"/>
    <w:rsid w:val="3DB4982D"/>
    <w:rsid w:val="3DC14378"/>
    <w:rsid w:val="3DC1B0B4"/>
    <w:rsid w:val="3DC5EBCB"/>
    <w:rsid w:val="3DC67A48"/>
    <w:rsid w:val="3DCAC6B9"/>
    <w:rsid w:val="3DCD4ECE"/>
    <w:rsid w:val="3DD04196"/>
    <w:rsid w:val="3DD45B24"/>
    <w:rsid w:val="3DD8E40F"/>
    <w:rsid w:val="3DD9DDE9"/>
    <w:rsid w:val="3DDC67B3"/>
    <w:rsid w:val="3DE71115"/>
    <w:rsid w:val="3DEDF15C"/>
    <w:rsid w:val="3DF0824F"/>
    <w:rsid w:val="3DF27B76"/>
    <w:rsid w:val="3DF2FC99"/>
    <w:rsid w:val="3DF5968E"/>
    <w:rsid w:val="3DF7177F"/>
    <w:rsid w:val="3DFE45F2"/>
    <w:rsid w:val="3DFE824C"/>
    <w:rsid w:val="3E01FA2C"/>
    <w:rsid w:val="3E044EFD"/>
    <w:rsid w:val="3E04A3B0"/>
    <w:rsid w:val="3E0D89D3"/>
    <w:rsid w:val="3E0E7AD0"/>
    <w:rsid w:val="3E1201B1"/>
    <w:rsid w:val="3E16A8DD"/>
    <w:rsid w:val="3E1BBFBA"/>
    <w:rsid w:val="3E1CF667"/>
    <w:rsid w:val="3E22C6A4"/>
    <w:rsid w:val="3E274470"/>
    <w:rsid w:val="3E2A100E"/>
    <w:rsid w:val="3E2B0C1C"/>
    <w:rsid w:val="3E2B44AE"/>
    <w:rsid w:val="3E2B76B9"/>
    <w:rsid w:val="3E2D9E22"/>
    <w:rsid w:val="3E3E77B1"/>
    <w:rsid w:val="3E45C98A"/>
    <w:rsid w:val="3E4886CD"/>
    <w:rsid w:val="3E489A18"/>
    <w:rsid w:val="3E48F067"/>
    <w:rsid w:val="3E53CF43"/>
    <w:rsid w:val="3E556B40"/>
    <w:rsid w:val="3E5775F3"/>
    <w:rsid w:val="3E5E375D"/>
    <w:rsid w:val="3E62AFEB"/>
    <w:rsid w:val="3E6722E3"/>
    <w:rsid w:val="3E71FF0D"/>
    <w:rsid w:val="3E76A5BC"/>
    <w:rsid w:val="3E7E43C2"/>
    <w:rsid w:val="3E889656"/>
    <w:rsid w:val="3E8FEB5E"/>
    <w:rsid w:val="3E93FF84"/>
    <w:rsid w:val="3E986E8A"/>
    <w:rsid w:val="3E994480"/>
    <w:rsid w:val="3E9B9D11"/>
    <w:rsid w:val="3EA2A501"/>
    <w:rsid w:val="3EB29D86"/>
    <w:rsid w:val="3EBBD4F4"/>
    <w:rsid w:val="3ECEE511"/>
    <w:rsid w:val="3ED2F4AC"/>
    <w:rsid w:val="3ED43440"/>
    <w:rsid w:val="3ED5AF44"/>
    <w:rsid w:val="3ED5E90E"/>
    <w:rsid w:val="3EDE3A90"/>
    <w:rsid w:val="3EE9D173"/>
    <w:rsid w:val="3EEAC2A7"/>
    <w:rsid w:val="3EEF770B"/>
    <w:rsid w:val="3EEFFFC1"/>
    <w:rsid w:val="3EF40EC1"/>
    <w:rsid w:val="3EFD505E"/>
    <w:rsid w:val="3F092E29"/>
    <w:rsid w:val="3F0BA179"/>
    <w:rsid w:val="3F10313D"/>
    <w:rsid w:val="3F117E82"/>
    <w:rsid w:val="3F1346FD"/>
    <w:rsid w:val="3F1F1826"/>
    <w:rsid w:val="3F297F2E"/>
    <w:rsid w:val="3F2A9175"/>
    <w:rsid w:val="3F2C2F57"/>
    <w:rsid w:val="3F36C6E3"/>
    <w:rsid w:val="3F39BC94"/>
    <w:rsid w:val="3F3BEB87"/>
    <w:rsid w:val="3F43F515"/>
    <w:rsid w:val="3F4A088A"/>
    <w:rsid w:val="3F57A6E6"/>
    <w:rsid w:val="3F6089B2"/>
    <w:rsid w:val="3F644472"/>
    <w:rsid w:val="3F648509"/>
    <w:rsid w:val="3F679F92"/>
    <w:rsid w:val="3F6D5558"/>
    <w:rsid w:val="3F6E5239"/>
    <w:rsid w:val="3F7688F2"/>
    <w:rsid w:val="3F7B0C11"/>
    <w:rsid w:val="3F7BD823"/>
    <w:rsid w:val="3F8C5109"/>
    <w:rsid w:val="3F8D10DF"/>
    <w:rsid w:val="3FA0CABB"/>
    <w:rsid w:val="3FA3009D"/>
    <w:rsid w:val="3FA479A9"/>
    <w:rsid w:val="3FA68899"/>
    <w:rsid w:val="3FB33C06"/>
    <w:rsid w:val="3FBE3A39"/>
    <w:rsid w:val="3FC1340A"/>
    <w:rsid w:val="3FC461EE"/>
    <w:rsid w:val="3FC70EE0"/>
    <w:rsid w:val="3FCD396B"/>
    <w:rsid w:val="3FCE8ECE"/>
    <w:rsid w:val="3FD26645"/>
    <w:rsid w:val="3FD4BA72"/>
    <w:rsid w:val="3FD7F040"/>
    <w:rsid w:val="3FD8CB2A"/>
    <w:rsid w:val="3FD9932B"/>
    <w:rsid w:val="3FDD36FC"/>
    <w:rsid w:val="3FE22833"/>
    <w:rsid w:val="40041BDF"/>
    <w:rsid w:val="4018D006"/>
    <w:rsid w:val="4023070B"/>
    <w:rsid w:val="4025CE3A"/>
    <w:rsid w:val="40262EF8"/>
    <w:rsid w:val="402C9E07"/>
    <w:rsid w:val="402E5A66"/>
    <w:rsid w:val="4036426F"/>
    <w:rsid w:val="403FEF8B"/>
    <w:rsid w:val="404172AB"/>
    <w:rsid w:val="40418794"/>
    <w:rsid w:val="4046AEAA"/>
    <w:rsid w:val="4048571C"/>
    <w:rsid w:val="404AC836"/>
    <w:rsid w:val="405881A5"/>
    <w:rsid w:val="405A524D"/>
    <w:rsid w:val="40659CC3"/>
    <w:rsid w:val="40672569"/>
    <w:rsid w:val="406761A2"/>
    <w:rsid w:val="4067A6A3"/>
    <w:rsid w:val="4068CBD8"/>
    <w:rsid w:val="4068E18D"/>
    <w:rsid w:val="407B16C0"/>
    <w:rsid w:val="40854A02"/>
    <w:rsid w:val="408D9F0F"/>
    <w:rsid w:val="40998D80"/>
    <w:rsid w:val="409A1E00"/>
    <w:rsid w:val="409C5FF4"/>
    <w:rsid w:val="409F1ADB"/>
    <w:rsid w:val="40A413ED"/>
    <w:rsid w:val="40A927A7"/>
    <w:rsid w:val="40B46F1D"/>
    <w:rsid w:val="40BCF6A2"/>
    <w:rsid w:val="40C0D543"/>
    <w:rsid w:val="40C21965"/>
    <w:rsid w:val="40C66F3C"/>
    <w:rsid w:val="40C85303"/>
    <w:rsid w:val="40C87A5D"/>
    <w:rsid w:val="40C9213D"/>
    <w:rsid w:val="40C9C087"/>
    <w:rsid w:val="40D03C49"/>
    <w:rsid w:val="40E4FE55"/>
    <w:rsid w:val="40EB0C16"/>
    <w:rsid w:val="40EE0CFB"/>
    <w:rsid w:val="40F1757D"/>
    <w:rsid w:val="40F48D5B"/>
    <w:rsid w:val="40F4F841"/>
    <w:rsid w:val="40F61DAE"/>
    <w:rsid w:val="40F9EB25"/>
    <w:rsid w:val="40FC721D"/>
    <w:rsid w:val="410C4A17"/>
    <w:rsid w:val="410D2F2B"/>
    <w:rsid w:val="410FCD18"/>
    <w:rsid w:val="4111F055"/>
    <w:rsid w:val="411A8B29"/>
    <w:rsid w:val="411B3427"/>
    <w:rsid w:val="41231CA5"/>
    <w:rsid w:val="412DF0EF"/>
    <w:rsid w:val="41398AE3"/>
    <w:rsid w:val="41399C5B"/>
    <w:rsid w:val="4139BBD5"/>
    <w:rsid w:val="413F5946"/>
    <w:rsid w:val="4140BAB0"/>
    <w:rsid w:val="41470724"/>
    <w:rsid w:val="414D9359"/>
    <w:rsid w:val="415F4C55"/>
    <w:rsid w:val="4161A178"/>
    <w:rsid w:val="4162E16D"/>
    <w:rsid w:val="416AC651"/>
    <w:rsid w:val="4172CA68"/>
    <w:rsid w:val="417AFB75"/>
    <w:rsid w:val="419D1DD4"/>
    <w:rsid w:val="41A2047C"/>
    <w:rsid w:val="41AADC27"/>
    <w:rsid w:val="41B0CBDE"/>
    <w:rsid w:val="41B60A95"/>
    <w:rsid w:val="41C3AD47"/>
    <w:rsid w:val="41CD08D7"/>
    <w:rsid w:val="41D09C6F"/>
    <w:rsid w:val="41D0F23A"/>
    <w:rsid w:val="41D3EADD"/>
    <w:rsid w:val="41D5165F"/>
    <w:rsid w:val="41D84B9B"/>
    <w:rsid w:val="41DD33DE"/>
    <w:rsid w:val="41E050CD"/>
    <w:rsid w:val="41E3089D"/>
    <w:rsid w:val="41E4FED0"/>
    <w:rsid w:val="41EB718F"/>
    <w:rsid w:val="41F8AF3A"/>
    <w:rsid w:val="41FCCA2D"/>
    <w:rsid w:val="41FE26B0"/>
    <w:rsid w:val="42084915"/>
    <w:rsid w:val="42085285"/>
    <w:rsid w:val="42088DE4"/>
    <w:rsid w:val="420919A0"/>
    <w:rsid w:val="420C19A7"/>
    <w:rsid w:val="421336C8"/>
    <w:rsid w:val="42145FD7"/>
    <w:rsid w:val="42169BB0"/>
    <w:rsid w:val="421E5580"/>
    <w:rsid w:val="423398F2"/>
    <w:rsid w:val="423524D0"/>
    <w:rsid w:val="42371056"/>
    <w:rsid w:val="423857F3"/>
    <w:rsid w:val="423DB83A"/>
    <w:rsid w:val="424BC56A"/>
    <w:rsid w:val="424FCB47"/>
    <w:rsid w:val="42516FBE"/>
    <w:rsid w:val="425547CB"/>
    <w:rsid w:val="42597D9E"/>
    <w:rsid w:val="425A0F20"/>
    <w:rsid w:val="42637B79"/>
    <w:rsid w:val="42654F08"/>
    <w:rsid w:val="426AA94C"/>
    <w:rsid w:val="426B3ADC"/>
    <w:rsid w:val="426F7B94"/>
    <w:rsid w:val="426FA10E"/>
    <w:rsid w:val="4270C386"/>
    <w:rsid w:val="42763185"/>
    <w:rsid w:val="42823897"/>
    <w:rsid w:val="4285F094"/>
    <w:rsid w:val="4288634A"/>
    <w:rsid w:val="428BA2D7"/>
    <w:rsid w:val="42A3F470"/>
    <w:rsid w:val="42A5C6BB"/>
    <w:rsid w:val="42A62E43"/>
    <w:rsid w:val="42B0ADE5"/>
    <w:rsid w:val="42B0DF58"/>
    <w:rsid w:val="42B3704A"/>
    <w:rsid w:val="42BB0A1C"/>
    <w:rsid w:val="42BE905C"/>
    <w:rsid w:val="42C82B4F"/>
    <w:rsid w:val="42C8E58A"/>
    <w:rsid w:val="42C954E3"/>
    <w:rsid w:val="42CC1EB9"/>
    <w:rsid w:val="42CF6137"/>
    <w:rsid w:val="42D02CF3"/>
    <w:rsid w:val="42D6936C"/>
    <w:rsid w:val="42DB3112"/>
    <w:rsid w:val="42DFC163"/>
    <w:rsid w:val="42E03A40"/>
    <w:rsid w:val="42ECAA36"/>
    <w:rsid w:val="42F22B2C"/>
    <w:rsid w:val="42F33915"/>
    <w:rsid w:val="42F682A3"/>
    <w:rsid w:val="42F75D4E"/>
    <w:rsid w:val="42F7A8A2"/>
    <w:rsid w:val="42FFEBCC"/>
    <w:rsid w:val="43023043"/>
    <w:rsid w:val="4303A077"/>
    <w:rsid w:val="43044AFF"/>
    <w:rsid w:val="4313E6F5"/>
    <w:rsid w:val="43194F57"/>
    <w:rsid w:val="432F3643"/>
    <w:rsid w:val="43301FB7"/>
    <w:rsid w:val="43331E28"/>
    <w:rsid w:val="433E56B4"/>
    <w:rsid w:val="433F01F9"/>
    <w:rsid w:val="433F6535"/>
    <w:rsid w:val="43448F83"/>
    <w:rsid w:val="434B2D4E"/>
    <w:rsid w:val="434BD65A"/>
    <w:rsid w:val="435A749B"/>
    <w:rsid w:val="435BB840"/>
    <w:rsid w:val="4362898A"/>
    <w:rsid w:val="43634ED9"/>
    <w:rsid w:val="43785003"/>
    <w:rsid w:val="437AD377"/>
    <w:rsid w:val="4381B87E"/>
    <w:rsid w:val="4387E883"/>
    <w:rsid w:val="438FBC69"/>
    <w:rsid w:val="439C948A"/>
    <w:rsid w:val="43A4A0EF"/>
    <w:rsid w:val="43A4D27C"/>
    <w:rsid w:val="43A74FA6"/>
    <w:rsid w:val="43ACD5B1"/>
    <w:rsid w:val="43AD6945"/>
    <w:rsid w:val="43ADC370"/>
    <w:rsid w:val="43AFA7B5"/>
    <w:rsid w:val="43B68ED1"/>
    <w:rsid w:val="43BD2D7A"/>
    <w:rsid w:val="43BF4745"/>
    <w:rsid w:val="43C23D9B"/>
    <w:rsid w:val="43C249C6"/>
    <w:rsid w:val="43C5778D"/>
    <w:rsid w:val="43CB8CA5"/>
    <w:rsid w:val="43CBE6C6"/>
    <w:rsid w:val="43CEBB62"/>
    <w:rsid w:val="43D08602"/>
    <w:rsid w:val="43D2E01F"/>
    <w:rsid w:val="43D2F268"/>
    <w:rsid w:val="43D8271A"/>
    <w:rsid w:val="43DB8E90"/>
    <w:rsid w:val="43E0C199"/>
    <w:rsid w:val="43E39E62"/>
    <w:rsid w:val="43E41548"/>
    <w:rsid w:val="43EA8D26"/>
    <w:rsid w:val="43EB4A5F"/>
    <w:rsid w:val="43EBE14E"/>
    <w:rsid w:val="43EF80D0"/>
    <w:rsid w:val="43F6D61D"/>
    <w:rsid w:val="43FDFFDA"/>
    <w:rsid w:val="44038326"/>
    <w:rsid w:val="44081B9D"/>
    <w:rsid w:val="4408A87C"/>
    <w:rsid w:val="440CEA53"/>
    <w:rsid w:val="44135AD9"/>
    <w:rsid w:val="4417976D"/>
    <w:rsid w:val="441B3A62"/>
    <w:rsid w:val="441CA88B"/>
    <w:rsid w:val="44204009"/>
    <w:rsid w:val="4422886E"/>
    <w:rsid w:val="44299C3E"/>
    <w:rsid w:val="442AAC94"/>
    <w:rsid w:val="442BF778"/>
    <w:rsid w:val="442D472B"/>
    <w:rsid w:val="442EA861"/>
    <w:rsid w:val="44306545"/>
    <w:rsid w:val="44311838"/>
    <w:rsid w:val="44312A41"/>
    <w:rsid w:val="4439F2F0"/>
    <w:rsid w:val="443C614C"/>
    <w:rsid w:val="443E824F"/>
    <w:rsid w:val="444270AD"/>
    <w:rsid w:val="4443FBA4"/>
    <w:rsid w:val="4446360B"/>
    <w:rsid w:val="44518FAD"/>
    <w:rsid w:val="445B2204"/>
    <w:rsid w:val="445D27FC"/>
    <w:rsid w:val="445DD3CE"/>
    <w:rsid w:val="44651AC2"/>
    <w:rsid w:val="446F58A4"/>
    <w:rsid w:val="4473EDAC"/>
    <w:rsid w:val="4475C078"/>
    <w:rsid w:val="447C1AB7"/>
    <w:rsid w:val="4482FA67"/>
    <w:rsid w:val="4485EAA3"/>
    <w:rsid w:val="4494BA1C"/>
    <w:rsid w:val="449F85B5"/>
    <w:rsid w:val="44A2DBD7"/>
    <w:rsid w:val="44BA05C9"/>
    <w:rsid w:val="44C4A78C"/>
    <w:rsid w:val="44CB4B8D"/>
    <w:rsid w:val="44CCC076"/>
    <w:rsid w:val="44D15B06"/>
    <w:rsid w:val="44D5D973"/>
    <w:rsid w:val="44D6B4F4"/>
    <w:rsid w:val="44D8C43C"/>
    <w:rsid w:val="44D94B45"/>
    <w:rsid w:val="44D982BF"/>
    <w:rsid w:val="44DBFECF"/>
    <w:rsid w:val="44E37227"/>
    <w:rsid w:val="4503DF26"/>
    <w:rsid w:val="450F4387"/>
    <w:rsid w:val="45103852"/>
    <w:rsid w:val="451490DA"/>
    <w:rsid w:val="451937E0"/>
    <w:rsid w:val="4523DD69"/>
    <w:rsid w:val="4528C0F9"/>
    <w:rsid w:val="452C4086"/>
    <w:rsid w:val="4530054E"/>
    <w:rsid w:val="4530BC43"/>
    <w:rsid w:val="4533021A"/>
    <w:rsid w:val="453FFCE6"/>
    <w:rsid w:val="455A6126"/>
    <w:rsid w:val="455D5AB3"/>
    <w:rsid w:val="455E360D"/>
    <w:rsid w:val="45620AD8"/>
    <w:rsid w:val="45758F02"/>
    <w:rsid w:val="45796D26"/>
    <w:rsid w:val="457C4864"/>
    <w:rsid w:val="45868A2A"/>
    <w:rsid w:val="4587974B"/>
    <w:rsid w:val="458AF38A"/>
    <w:rsid w:val="458E2EE7"/>
    <w:rsid w:val="45928383"/>
    <w:rsid w:val="4595C0EA"/>
    <w:rsid w:val="459610E2"/>
    <w:rsid w:val="4598B6A9"/>
    <w:rsid w:val="45A60313"/>
    <w:rsid w:val="45AFEA63"/>
    <w:rsid w:val="45B18501"/>
    <w:rsid w:val="45B936D2"/>
    <w:rsid w:val="45BDBB22"/>
    <w:rsid w:val="45BF0321"/>
    <w:rsid w:val="45D33C23"/>
    <w:rsid w:val="45D3D2CB"/>
    <w:rsid w:val="45D593F6"/>
    <w:rsid w:val="45D59D51"/>
    <w:rsid w:val="45E148AB"/>
    <w:rsid w:val="45F35DF6"/>
    <w:rsid w:val="45F4AEC7"/>
    <w:rsid w:val="45FCB3A4"/>
    <w:rsid w:val="4606EE61"/>
    <w:rsid w:val="460D8D75"/>
    <w:rsid w:val="461B2316"/>
    <w:rsid w:val="46269065"/>
    <w:rsid w:val="462D30C7"/>
    <w:rsid w:val="462E5DA5"/>
    <w:rsid w:val="4635E5AD"/>
    <w:rsid w:val="46387710"/>
    <w:rsid w:val="46399F54"/>
    <w:rsid w:val="463FF809"/>
    <w:rsid w:val="4642B536"/>
    <w:rsid w:val="4652F461"/>
    <w:rsid w:val="46582EFC"/>
    <w:rsid w:val="4659A4CD"/>
    <w:rsid w:val="465D47A0"/>
    <w:rsid w:val="46657732"/>
    <w:rsid w:val="4667F2DA"/>
    <w:rsid w:val="466D72C6"/>
    <w:rsid w:val="4681FF09"/>
    <w:rsid w:val="4683676A"/>
    <w:rsid w:val="4688C9C3"/>
    <w:rsid w:val="46893849"/>
    <w:rsid w:val="468A919B"/>
    <w:rsid w:val="46A786FA"/>
    <w:rsid w:val="46BC655D"/>
    <w:rsid w:val="46BCFD39"/>
    <w:rsid w:val="46BDAFD6"/>
    <w:rsid w:val="46C3B18B"/>
    <w:rsid w:val="46C4C25D"/>
    <w:rsid w:val="46C5F327"/>
    <w:rsid w:val="46CD1CC0"/>
    <w:rsid w:val="46D05D98"/>
    <w:rsid w:val="46D09155"/>
    <w:rsid w:val="46D0D679"/>
    <w:rsid w:val="46D55774"/>
    <w:rsid w:val="46D8D91B"/>
    <w:rsid w:val="46DD0A3B"/>
    <w:rsid w:val="46DDA43A"/>
    <w:rsid w:val="46E3F294"/>
    <w:rsid w:val="46ECEE3E"/>
    <w:rsid w:val="46ED65A4"/>
    <w:rsid w:val="46F53255"/>
    <w:rsid w:val="470651DB"/>
    <w:rsid w:val="47179A2E"/>
    <w:rsid w:val="472232F6"/>
    <w:rsid w:val="4725BCC9"/>
    <w:rsid w:val="472AEAD2"/>
    <w:rsid w:val="472DA13A"/>
    <w:rsid w:val="47343466"/>
    <w:rsid w:val="473D20C5"/>
    <w:rsid w:val="473ED878"/>
    <w:rsid w:val="47442CE8"/>
    <w:rsid w:val="4746D859"/>
    <w:rsid w:val="4748CE2A"/>
    <w:rsid w:val="474C7C50"/>
    <w:rsid w:val="4752A0EA"/>
    <w:rsid w:val="475B17C4"/>
    <w:rsid w:val="475D7FAF"/>
    <w:rsid w:val="4760DC05"/>
    <w:rsid w:val="47662131"/>
    <w:rsid w:val="4768DAF5"/>
    <w:rsid w:val="4771A186"/>
    <w:rsid w:val="47807D2B"/>
    <w:rsid w:val="47883108"/>
    <w:rsid w:val="4790B491"/>
    <w:rsid w:val="47953770"/>
    <w:rsid w:val="479CFE3F"/>
    <w:rsid w:val="47A038DE"/>
    <w:rsid w:val="47A87993"/>
    <w:rsid w:val="47ACB3E6"/>
    <w:rsid w:val="47B4BB7C"/>
    <w:rsid w:val="47B4D4B5"/>
    <w:rsid w:val="47B65EA5"/>
    <w:rsid w:val="47BB0E1B"/>
    <w:rsid w:val="47C340B7"/>
    <w:rsid w:val="47CF2F4B"/>
    <w:rsid w:val="47D6C638"/>
    <w:rsid w:val="47DF4BF8"/>
    <w:rsid w:val="47E23300"/>
    <w:rsid w:val="47E35706"/>
    <w:rsid w:val="47F38B8C"/>
    <w:rsid w:val="47FA8638"/>
    <w:rsid w:val="481411FD"/>
    <w:rsid w:val="48156C7F"/>
    <w:rsid w:val="4815DE73"/>
    <w:rsid w:val="48171ACE"/>
    <w:rsid w:val="481A722E"/>
    <w:rsid w:val="48230045"/>
    <w:rsid w:val="4823B90B"/>
    <w:rsid w:val="4824CC09"/>
    <w:rsid w:val="4826AB58"/>
    <w:rsid w:val="48316D1E"/>
    <w:rsid w:val="48325E21"/>
    <w:rsid w:val="4832C9CE"/>
    <w:rsid w:val="48342181"/>
    <w:rsid w:val="483935A3"/>
    <w:rsid w:val="4847BA7D"/>
    <w:rsid w:val="48539B58"/>
    <w:rsid w:val="4867B901"/>
    <w:rsid w:val="486AEB15"/>
    <w:rsid w:val="48782043"/>
    <w:rsid w:val="48783EA0"/>
    <w:rsid w:val="48814DD3"/>
    <w:rsid w:val="4884864E"/>
    <w:rsid w:val="4885AFD0"/>
    <w:rsid w:val="4886A2F0"/>
    <w:rsid w:val="4889A9EA"/>
    <w:rsid w:val="488CD0B0"/>
    <w:rsid w:val="489D2E04"/>
    <w:rsid w:val="489E30A0"/>
    <w:rsid w:val="489F2905"/>
    <w:rsid w:val="48B49AFF"/>
    <w:rsid w:val="48BDF0E7"/>
    <w:rsid w:val="48C4EA44"/>
    <w:rsid w:val="48D1537B"/>
    <w:rsid w:val="48DD741D"/>
    <w:rsid w:val="48E035D2"/>
    <w:rsid w:val="48E58A78"/>
    <w:rsid w:val="48E69FB3"/>
    <w:rsid w:val="48EEFF0F"/>
    <w:rsid w:val="48F451BF"/>
    <w:rsid w:val="4900103A"/>
    <w:rsid w:val="4903C8BD"/>
    <w:rsid w:val="490D9301"/>
    <w:rsid w:val="4914F88B"/>
    <w:rsid w:val="491E4910"/>
    <w:rsid w:val="492E92AF"/>
    <w:rsid w:val="4933D3E9"/>
    <w:rsid w:val="493E15BC"/>
    <w:rsid w:val="493F52A5"/>
    <w:rsid w:val="49412069"/>
    <w:rsid w:val="4942D77A"/>
    <w:rsid w:val="4943781D"/>
    <w:rsid w:val="494D43B3"/>
    <w:rsid w:val="494E25F7"/>
    <w:rsid w:val="494EDBAC"/>
    <w:rsid w:val="49547C7F"/>
    <w:rsid w:val="495B9F14"/>
    <w:rsid w:val="49607DB5"/>
    <w:rsid w:val="49670283"/>
    <w:rsid w:val="4967DBC1"/>
    <w:rsid w:val="49713809"/>
    <w:rsid w:val="4972070F"/>
    <w:rsid w:val="497EF1FF"/>
    <w:rsid w:val="4985C89B"/>
    <w:rsid w:val="4986CFCF"/>
    <w:rsid w:val="49943E59"/>
    <w:rsid w:val="499870EC"/>
    <w:rsid w:val="499AC111"/>
    <w:rsid w:val="49A2CA5B"/>
    <w:rsid w:val="49ACE960"/>
    <w:rsid w:val="49B0D87E"/>
    <w:rsid w:val="49B5321A"/>
    <w:rsid w:val="49B67F5C"/>
    <w:rsid w:val="49C29E7B"/>
    <w:rsid w:val="49C732AD"/>
    <w:rsid w:val="49CF11B4"/>
    <w:rsid w:val="49DBAC7C"/>
    <w:rsid w:val="49DC09FC"/>
    <w:rsid w:val="49E1290A"/>
    <w:rsid w:val="49E26D87"/>
    <w:rsid w:val="49E91700"/>
    <w:rsid w:val="49F4288A"/>
    <w:rsid w:val="49F4A28B"/>
    <w:rsid w:val="49F53B97"/>
    <w:rsid w:val="49F573CB"/>
    <w:rsid w:val="49F7EA08"/>
    <w:rsid w:val="49FC382E"/>
    <w:rsid w:val="49FD4EF5"/>
    <w:rsid w:val="4A0018E8"/>
    <w:rsid w:val="4A0201E5"/>
    <w:rsid w:val="4A0A87A5"/>
    <w:rsid w:val="4A105A4D"/>
    <w:rsid w:val="4A172FB1"/>
    <w:rsid w:val="4A177C6F"/>
    <w:rsid w:val="4A19D456"/>
    <w:rsid w:val="4A1A6B85"/>
    <w:rsid w:val="4A263D15"/>
    <w:rsid w:val="4A269BD6"/>
    <w:rsid w:val="4A296F25"/>
    <w:rsid w:val="4A29B232"/>
    <w:rsid w:val="4A2D99FE"/>
    <w:rsid w:val="4A3548A6"/>
    <w:rsid w:val="4A360A24"/>
    <w:rsid w:val="4A4BD67C"/>
    <w:rsid w:val="4A4CB698"/>
    <w:rsid w:val="4A5BECD5"/>
    <w:rsid w:val="4A5D3E00"/>
    <w:rsid w:val="4A5E93F4"/>
    <w:rsid w:val="4A609CB8"/>
    <w:rsid w:val="4A6B3F19"/>
    <w:rsid w:val="4A708D92"/>
    <w:rsid w:val="4A7F03D4"/>
    <w:rsid w:val="4A8A19DC"/>
    <w:rsid w:val="4A92347B"/>
    <w:rsid w:val="4A9D3B59"/>
    <w:rsid w:val="4AA9E543"/>
    <w:rsid w:val="4AAB90C5"/>
    <w:rsid w:val="4AAEBBFA"/>
    <w:rsid w:val="4AAF5525"/>
    <w:rsid w:val="4AAF6FDB"/>
    <w:rsid w:val="4AB151A2"/>
    <w:rsid w:val="4AB602A2"/>
    <w:rsid w:val="4AB83244"/>
    <w:rsid w:val="4ABC2C2E"/>
    <w:rsid w:val="4ABE501A"/>
    <w:rsid w:val="4AC01D88"/>
    <w:rsid w:val="4AC33FEE"/>
    <w:rsid w:val="4ACBF05F"/>
    <w:rsid w:val="4AD4A67D"/>
    <w:rsid w:val="4AD6060B"/>
    <w:rsid w:val="4ADFB56D"/>
    <w:rsid w:val="4AE318F9"/>
    <w:rsid w:val="4AEE5962"/>
    <w:rsid w:val="4AF2C910"/>
    <w:rsid w:val="4AF2E5A6"/>
    <w:rsid w:val="4AF2EB3D"/>
    <w:rsid w:val="4AFDAB1F"/>
    <w:rsid w:val="4B0176CA"/>
    <w:rsid w:val="4B01BC67"/>
    <w:rsid w:val="4B055572"/>
    <w:rsid w:val="4B09E2EE"/>
    <w:rsid w:val="4B133B54"/>
    <w:rsid w:val="4B1AC001"/>
    <w:rsid w:val="4B1CE82A"/>
    <w:rsid w:val="4B255A19"/>
    <w:rsid w:val="4B36E80B"/>
    <w:rsid w:val="4B3A4EC2"/>
    <w:rsid w:val="4B3C62C6"/>
    <w:rsid w:val="4B44013B"/>
    <w:rsid w:val="4B4635A2"/>
    <w:rsid w:val="4B463C94"/>
    <w:rsid w:val="4B5458DC"/>
    <w:rsid w:val="4B5AE4F8"/>
    <w:rsid w:val="4B60590F"/>
    <w:rsid w:val="4B6A4049"/>
    <w:rsid w:val="4B6BD5E6"/>
    <w:rsid w:val="4B72EE7D"/>
    <w:rsid w:val="4B737A41"/>
    <w:rsid w:val="4B76EB26"/>
    <w:rsid w:val="4B7B7C04"/>
    <w:rsid w:val="4B861367"/>
    <w:rsid w:val="4B862138"/>
    <w:rsid w:val="4B948191"/>
    <w:rsid w:val="4B986713"/>
    <w:rsid w:val="4B99C543"/>
    <w:rsid w:val="4B9B9AB0"/>
    <w:rsid w:val="4B9D2114"/>
    <w:rsid w:val="4B9F000C"/>
    <w:rsid w:val="4BA3EC1B"/>
    <w:rsid w:val="4BAE38A8"/>
    <w:rsid w:val="4BCE5622"/>
    <w:rsid w:val="4BD306EF"/>
    <w:rsid w:val="4BDBB954"/>
    <w:rsid w:val="4BE4C884"/>
    <w:rsid w:val="4BE5F730"/>
    <w:rsid w:val="4BEFFE62"/>
    <w:rsid w:val="4BF9F412"/>
    <w:rsid w:val="4BFD98D7"/>
    <w:rsid w:val="4BFE748B"/>
    <w:rsid w:val="4C2690BF"/>
    <w:rsid w:val="4C26F51E"/>
    <w:rsid w:val="4C2E3948"/>
    <w:rsid w:val="4C2EB88E"/>
    <w:rsid w:val="4C376FD0"/>
    <w:rsid w:val="4C381CFE"/>
    <w:rsid w:val="4C48116F"/>
    <w:rsid w:val="4C4D8220"/>
    <w:rsid w:val="4C4D9549"/>
    <w:rsid w:val="4C57AC45"/>
    <w:rsid w:val="4C5EBF3A"/>
    <w:rsid w:val="4C5F8E30"/>
    <w:rsid w:val="4C62481E"/>
    <w:rsid w:val="4C7062E1"/>
    <w:rsid w:val="4C70BB96"/>
    <w:rsid w:val="4C72B669"/>
    <w:rsid w:val="4C74870D"/>
    <w:rsid w:val="4C780826"/>
    <w:rsid w:val="4C86D23C"/>
    <w:rsid w:val="4C8E5753"/>
    <w:rsid w:val="4C8FFBA8"/>
    <w:rsid w:val="4C97059F"/>
    <w:rsid w:val="4C9A3977"/>
    <w:rsid w:val="4C9B979C"/>
    <w:rsid w:val="4CA6AD66"/>
    <w:rsid w:val="4CACF856"/>
    <w:rsid w:val="4CADE069"/>
    <w:rsid w:val="4CAEC6BA"/>
    <w:rsid w:val="4CAFD314"/>
    <w:rsid w:val="4CB40844"/>
    <w:rsid w:val="4CB7F093"/>
    <w:rsid w:val="4CC09E75"/>
    <w:rsid w:val="4CC72327"/>
    <w:rsid w:val="4CC8EC19"/>
    <w:rsid w:val="4CCB9DCA"/>
    <w:rsid w:val="4CDB3F32"/>
    <w:rsid w:val="4CE0B76A"/>
    <w:rsid w:val="4CE3AEF2"/>
    <w:rsid w:val="4CE5BB73"/>
    <w:rsid w:val="4CEA7A05"/>
    <w:rsid w:val="4CEC82D0"/>
    <w:rsid w:val="4CECB2B7"/>
    <w:rsid w:val="4CF07458"/>
    <w:rsid w:val="4CF2CCAF"/>
    <w:rsid w:val="4CF32962"/>
    <w:rsid w:val="4CF62175"/>
    <w:rsid w:val="4CF7E0A2"/>
    <w:rsid w:val="4CF7E780"/>
    <w:rsid w:val="4D048134"/>
    <w:rsid w:val="4D0897BC"/>
    <w:rsid w:val="4D0A1F18"/>
    <w:rsid w:val="4D11EFEC"/>
    <w:rsid w:val="4D168307"/>
    <w:rsid w:val="4D1C602F"/>
    <w:rsid w:val="4D32707F"/>
    <w:rsid w:val="4D3C2D2F"/>
    <w:rsid w:val="4D412288"/>
    <w:rsid w:val="4D4B329F"/>
    <w:rsid w:val="4D4F43E7"/>
    <w:rsid w:val="4D52C1F8"/>
    <w:rsid w:val="4D530B3E"/>
    <w:rsid w:val="4D570749"/>
    <w:rsid w:val="4D5DFC98"/>
    <w:rsid w:val="4D6104DE"/>
    <w:rsid w:val="4D61A1BD"/>
    <w:rsid w:val="4D6984DC"/>
    <w:rsid w:val="4D6A78C8"/>
    <w:rsid w:val="4D7559B1"/>
    <w:rsid w:val="4D8EAF2C"/>
    <w:rsid w:val="4D904C1C"/>
    <w:rsid w:val="4D9B508D"/>
    <w:rsid w:val="4DB2B387"/>
    <w:rsid w:val="4DBBEBB2"/>
    <w:rsid w:val="4DBE80EA"/>
    <w:rsid w:val="4DBF074E"/>
    <w:rsid w:val="4DC53E73"/>
    <w:rsid w:val="4DDB0EA7"/>
    <w:rsid w:val="4DDE58F3"/>
    <w:rsid w:val="4DE1F6DF"/>
    <w:rsid w:val="4DEC4109"/>
    <w:rsid w:val="4DF15F7D"/>
    <w:rsid w:val="4DF88A79"/>
    <w:rsid w:val="4DFEEB9E"/>
    <w:rsid w:val="4E03DFAD"/>
    <w:rsid w:val="4E040E34"/>
    <w:rsid w:val="4E059F1A"/>
    <w:rsid w:val="4E130C0A"/>
    <w:rsid w:val="4E1667BA"/>
    <w:rsid w:val="4E263419"/>
    <w:rsid w:val="4E292D40"/>
    <w:rsid w:val="4E2DD7EF"/>
    <w:rsid w:val="4E369874"/>
    <w:rsid w:val="4E3B2DC8"/>
    <w:rsid w:val="4E3F461F"/>
    <w:rsid w:val="4E471E7E"/>
    <w:rsid w:val="4E485D67"/>
    <w:rsid w:val="4E4866F6"/>
    <w:rsid w:val="4E4FBCD6"/>
    <w:rsid w:val="4E501136"/>
    <w:rsid w:val="4E5A4997"/>
    <w:rsid w:val="4E5B83D6"/>
    <w:rsid w:val="4E5DA700"/>
    <w:rsid w:val="4E6586B5"/>
    <w:rsid w:val="4E6BA1C1"/>
    <w:rsid w:val="4E6BE5D6"/>
    <w:rsid w:val="4E6C7F56"/>
    <w:rsid w:val="4E764E86"/>
    <w:rsid w:val="4E76AC66"/>
    <w:rsid w:val="4E77A28F"/>
    <w:rsid w:val="4E77AAF1"/>
    <w:rsid w:val="4E7CE069"/>
    <w:rsid w:val="4E858D16"/>
    <w:rsid w:val="4E89B055"/>
    <w:rsid w:val="4E8CB17A"/>
    <w:rsid w:val="4E8E6EF5"/>
    <w:rsid w:val="4E9BC19C"/>
    <w:rsid w:val="4E9C2CEB"/>
    <w:rsid w:val="4E9D5F7D"/>
    <w:rsid w:val="4EA3EEFF"/>
    <w:rsid w:val="4EA52BE8"/>
    <w:rsid w:val="4EA97498"/>
    <w:rsid w:val="4EAB8B6F"/>
    <w:rsid w:val="4EAE8264"/>
    <w:rsid w:val="4EB49D28"/>
    <w:rsid w:val="4EB8FBB1"/>
    <w:rsid w:val="4EC274F7"/>
    <w:rsid w:val="4EC40210"/>
    <w:rsid w:val="4EC8A349"/>
    <w:rsid w:val="4ECA237D"/>
    <w:rsid w:val="4ED1A8D4"/>
    <w:rsid w:val="4ED9D576"/>
    <w:rsid w:val="4EDD978F"/>
    <w:rsid w:val="4EE0C6B1"/>
    <w:rsid w:val="4EEB663B"/>
    <w:rsid w:val="4EF11BE5"/>
    <w:rsid w:val="4EF984E9"/>
    <w:rsid w:val="4F021DA5"/>
    <w:rsid w:val="4F024A5F"/>
    <w:rsid w:val="4F128A83"/>
    <w:rsid w:val="4F226BD6"/>
    <w:rsid w:val="4F231C41"/>
    <w:rsid w:val="4F258088"/>
    <w:rsid w:val="4F25E6FA"/>
    <w:rsid w:val="4F2653CC"/>
    <w:rsid w:val="4F2FA215"/>
    <w:rsid w:val="4F34235B"/>
    <w:rsid w:val="4F45FBF7"/>
    <w:rsid w:val="4F4A4BD4"/>
    <w:rsid w:val="4F6455B6"/>
    <w:rsid w:val="4F6569DE"/>
    <w:rsid w:val="4F66490D"/>
    <w:rsid w:val="4F666F38"/>
    <w:rsid w:val="4F728B19"/>
    <w:rsid w:val="4F775634"/>
    <w:rsid w:val="4F7F9C4C"/>
    <w:rsid w:val="4F843525"/>
    <w:rsid w:val="4F8868D3"/>
    <w:rsid w:val="4F8AB760"/>
    <w:rsid w:val="4F90ACDF"/>
    <w:rsid w:val="4F91618D"/>
    <w:rsid w:val="4F945911"/>
    <w:rsid w:val="4F946FCC"/>
    <w:rsid w:val="4FA4C2C2"/>
    <w:rsid w:val="4FA5B158"/>
    <w:rsid w:val="4FAAD327"/>
    <w:rsid w:val="4FAE0044"/>
    <w:rsid w:val="4FB8014D"/>
    <w:rsid w:val="4FB8A24A"/>
    <w:rsid w:val="4FB9B6AA"/>
    <w:rsid w:val="4FBE516D"/>
    <w:rsid w:val="4FBEC870"/>
    <w:rsid w:val="4FC2F622"/>
    <w:rsid w:val="4FCFC450"/>
    <w:rsid w:val="4FD935FD"/>
    <w:rsid w:val="4FD9F165"/>
    <w:rsid w:val="4FDF72A5"/>
    <w:rsid w:val="4FE1F229"/>
    <w:rsid w:val="4FED0355"/>
    <w:rsid w:val="4FF71AE2"/>
    <w:rsid w:val="4FF7BCAA"/>
    <w:rsid w:val="4FFB7686"/>
    <w:rsid w:val="500109DF"/>
    <w:rsid w:val="500271E3"/>
    <w:rsid w:val="5002A545"/>
    <w:rsid w:val="500AC472"/>
    <w:rsid w:val="500F6C2E"/>
    <w:rsid w:val="50150755"/>
    <w:rsid w:val="5016E5CD"/>
    <w:rsid w:val="50170940"/>
    <w:rsid w:val="50178D5E"/>
    <w:rsid w:val="50183978"/>
    <w:rsid w:val="501BA129"/>
    <w:rsid w:val="5028C83F"/>
    <w:rsid w:val="5028F13F"/>
    <w:rsid w:val="503164BC"/>
    <w:rsid w:val="5031F052"/>
    <w:rsid w:val="50357F2C"/>
    <w:rsid w:val="503A516D"/>
    <w:rsid w:val="5046D265"/>
    <w:rsid w:val="504BDE60"/>
    <w:rsid w:val="5050185A"/>
    <w:rsid w:val="505254EC"/>
    <w:rsid w:val="505BA823"/>
    <w:rsid w:val="505DC08C"/>
    <w:rsid w:val="506555B9"/>
    <w:rsid w:val="5066D4C2"/>
    <w:rsid w:val="506D9169"/>
    <w:rsid w:val="50747A57"/>
    <w:rsid w:val="507EA011"/>
    <w:rsid w:val="507EE219"/>
    <w:rsid w:val="508486C9"/>
    <w:rsid w:val="5086A67C"/>
    <w:rsid w:val="5094BC34"/>
    <w:rsid w:val="50A818F1"/>
    <w:rsid w:val="50ADA096"/>
    <w:rsid w:val="50B2CB99"/>
    <w:rsid w:val="50B8AA6F"/>
    <w:rsid w:val="50C06CC9"/>
    <w:rsid w:val="50C0FDD0"/>
    <w:rsid w:val="50CAAE1B"/>
    <w:rsid w:val="50D4296E"/>
    <w:rsid w:val="50D86077"/>
    <w:rsid w:val="50DD0425"/>
    <w:rsid w:val="50E3ECC0"/>
    <w:rsid w:val="50E96BD1"/>
    <w:rsid w:val="50EB4299"/>
    <w:rsid w:val="50F34202"/>
    <w:rsid w:val="50F4F198"/>
    <w:rsid w:val="50F61CE5"/>
    <w:rsid w:val="50FA66C7"/>
    <w:rsid w:val="5102D17A"/>
    <w:rsid w:val="5109813A"/>
    <w:rsid w:val="510C3AE2"/>
    <w:rsid w:val="511722E2"/>
    <w:rsid w:val="511CA582"/>
    <w:rsid w:val="511E14A5"/>
    <w:rsid w:val="51267CA4"/>
    <w:rsid w:val="51284C65"/>
    <w:rsid w:val="512C0FE6"/>
    <w:rsid w:val="51326C7B"/>
    <w:rsid w:val="51336930"/>
    <w:rsid w:val="5134AEE0"/>
    <w:rsid w:val="513738F6"/>
    <w:rsid w:val="51385F97"/>
    <w:rsid w:val="5138AEE0"/>
    <w:rsid w:val="513C2659"/>
    <w:rsid w:val="51468CCE"/>
    <w:rsid w:val="515A64E9"/>
    <w:rsid w:val="51644B64"/>
    <w:rsid w:val="516F6AEA"/>
    <w:rsid w:val="517112CD"/>
    <w:rsid w:val="517A0A25"/>
    <w:rsid w:val="517AC678"/>
    <w:rsid w:val="5189B290"/>
    <w:rsid w:val="51A1A662"/>
    <w:rsid w:val="51B04253"/>
    <w:rsid w:val="51B40CB4"/>
    <w:rsid w:val="51B7A2BA"/>
    <w:rsid w:val="51C4EA5F"/>
    <w:rsid w:val="51C9CC24"/>
    <w:rsid w:val="51D05182"/>
    <w:rsid w:val="51D16D01"/>
    <w:rsid w:val="51D39820"/>
    <w:rsid w:val="51E6B937"/>
    <w:rsid w:val="51E81368"/>
    <w:rsid w:val="51E89DEF"/>
    <w:rsid w:val="51E8CE3C"/>
    <w:rsid w:val="51EE1C78"/>
    <w:rsid w:val="51EE6BD0"/>
    <w:rsid w:val="51F47532"/>
    <w:rsid w:val="5201328F"/>
    <w:rsid w:val="52042F04"/>
    <w:rsid w:val="520EEF11"/>
    <w:rsid w:val="52101027"/>
    <w:rsid w:val="522077E4"/>
    <w:rsid w:val="5227BF85"/>
    <w:rsid w:val="522CF89F"/>
    <w:rsid w:val="522F8A46"/>
    <w:rsid w:val="5232A2BE"/>
    <w:rsid w:val="52351A50"/>
    <w:rsid w:val="52402D5E"/>
    <w:rsid w:val="524035E9"/>
    <w:rsid w:val="5241E9E0"/>
    <w:rsid w:val="52425FC2"/>
    <w:rsid w:val="524F2F66"/>
    <w:rsid w:val="5252EA73"/>
    <w:rsid w:val="5254138E"/>
    <w:rsid w:val="5255E0CB"/>
    <w:rsid w:val="525A4FEB"/>
    <w:rsid w:val="525B8098"/>
    <w:rsid w:val="526231AE"/>
    <w:rsid w:val="526D0353"/>
    <w:rsid w:val="526E5C16"/>
    <w:rsid w:val="526F9694"/>
    <w:rsid w:val="5282B987"/>
    <w:rsid w:val="528CAE22"/>
    <w:rsid w:val="528F8D5A"/>
    <w:rsid w:val="528FC894"/>
    <w:rsid w:val="52932992"/>
    <w:rsid w:val="529B892B"/>
    <w:rsid w:val="529BA252"/>
    <w:rsid w:val="529E5299"/>
    <w:rsid w:val="52A074DF"/>
    <w:rsid w:val="52A092E5"/>
    <w:rsid w:val="52A22D66"/>
    <w:rsid w:val="52A33134"/>
    <w:rsid w:val="52A836BD"/>
    <w:rsid w:val="52A99486"/>
    <w:rsid w:val="52AACB11"/>
    <w:rsid w:val="52AB156F"/>
    <w:rsid w:val="52AE41BC"/>
    <w:rsid w:val="52B5DD2C"/>
    <w:rsid w:val="52C16976"/>
    <w:rsid w:val="52C1CD3D"/>
    <w:rsid w:val="52C3C7F1"/>
    <w:rsid w:val="52C645C4"/>
    <w:rsid w:val="52C696F1"/>
    <w:rsid w:val="52C960EC"/>
    <w:rsid w:val="52CB88C8"/>
    <w:rsid w:val="52CFC6B5"/>
    <w:rsid w:val="52D219EE"/>
    <w:rsid w:val="52DACD2A"/>
    <w:rsid w:val="52E14379"/>
    <w:rsid w:val="52E18C22"/>
    <w:rsid w:val="52E828A3"/>
    <w:rsid w:val="52EA4276"/>
    <w:rsid w:val="52ED7DFC"/>
    <w:rsid w:val="52F78A78"/>
    <w:rsid w:val="52F82A82"/>
    <w:rsid w:val="52FA0B5A"/>
    <w:rsid w:val="52FD51EC"/>
    <w:rsid w:val="5307A643"/>
    <w:rsid w:val="530C7F14"/>
    <w:rsid w:val="531567A2"/>
    <w:rsid w:val="5316FE8D"/>
    <w:rsid w:val="53234964"/>
    <w:rsid w:val="5323F5E7"/>
    <w:rsid w:val="5325ED41"/>
    <w:rsid w:val="5329F932"/>
    <w:rsid w:val="532C63D2"/>
    <w:rsid w:val="532DD14C"/>
    <w:rsid w:val="53308D34"/>
    <w:rsid w:val="5331FFC8"/>
    <w:rsid w:val="5334CEF9"/>
    <w:rsid w:val="533A55BC"/>
    <w:rsid w:val="5342F32D"/>
    <w:rsid w:val="5347FD7C"/>
    <w:rsid w:val="534B90E2"/>
    <w:rsid w:val="534BCAAA"/>
    <w:rsid w:val="5356F5D8"/>
    <w:rsid w:val="535D8147"/>
    <w:rsid w:val="5365D988"/>
    <w:rsid w:val="536718C0"/>
    <w:rsid w:val="5367A052"/>
    <w:rsid w:val="536B1A5A"/>
    <w:rsid w:val="53794C6B"/>
    <w:rsid w:val="537C7638"/>
    <w:rsid w:val="537E8393"/>
    <w:rsid w:val="53825E60"/>
    <w:rsid w:val="5382E28F"/>
    <w:rsid w:val="53858229"/>
    <w:rsid w:val="538B5AC9"/>
    <w:rsid w:val="5391149C"/>
    <w:rsid w:val="5393EE7E"/>
    <w:rsid w:val="5395C2C0"/>
    <w:rsid w:val="5397ED52"/>
    <w:rsid w:val="53AB63E2"/>
    <w:rsid w:val="53AF5794"/>
    <w:rsid w:val="53B94C37"/>
    <w:rsid w:val="53BD73B5"/>
    <w:rsid w:val="53BF2E92"/>
    <w:rsid w:val="53C00601"/>
    <w:rsid w:val="53CA4441"/>
    <w:rsid w:val="53CB0C18"/>
    <w:rsid w:val="53CC373A"/>
    <w:rsid w:val="53CED331"/>
    <w:rsid w:val="53D5E7AF"/>
    <w:rsid w:val="53DABF44"/>
    <w:rsid w:val="53E42AEC"/>
    <w:rsid w:val="53E99740"/>
    <w:rsid w:val="53E9C19D"/>
    <w:rsid w:val="53EC22EA"/>
    <w:rsid w:val="53F65730"/>
    <w:rsid w:val="53F8C5D3"/>
    <w:rsid w:val="53F8DC0E"/>
    <w:rsid w:val="53FBE769"/>
    <w:rsid w:val="53FD1D68"/>
    <w:rsid w:val="540102D3"/>
    <w:rsid w:val="5402302A"/>
    <w:rsid w:val="54079E90"/>
    <w:rsid w:val="540CBF52"/>
    <w:rsid w:val="541B5703"/>
    <w:rsid w:val="5421FA43"/>
    <w:rsid w:val="54238CD6"/>
    <w:rsid w:val="5424EC0E"/>
    <w:rsid w:val="542D119E"/>
    <w:rsid w:val="5430B38C"/>
    <w:rsid w:val="54312D39"/>
    <w:rsid w:val="54354A1E"/>
    <w:rsid w:val="543EC7A0"/>
    <w:rsid w:val="54447C25"/>
    <w:rsid w:val="54632214"/>
    <w:rsid w:val="5464EC32"/>
    <w:rsid w:val="5466290C"/>
    <w:rsid w:val="5466677B"/>
    <w:rsid w:val="546FBE17"/>
    <w:rsid w:val="5478ACB3"/>
    <w:rsid w:val="54864ECF"/>
    <w:rsid w:val="54895978"/>
    <w:rsid w:val="548B5151"/>
    <w:rsid w:val="548D91F2"/>
    <w:rsid w:val="549593F1"/>
    <w:rsid w:val="54A054FA"/>
    <w:rsid w:val="54A48B6E"/>
    <w:rsid w:val="54A523F5"/>
    <w:rsid w:val="54A64F1A"/>
    <w:rsid w:val="54A810DD"/>
    <w:rsid w:val="54B0AC2F"/>
    <w:rsid w:val="54B3183C"/>
    <w:rsid w:val="54BC1323"/>
    <w:rsid w:val="54C3FF35"/>
    <w:rsid w:val="54C4204B"/>
    <w:rsid w:val="54C800A0"/>
    <w:rsid w:val="54D5F8C5"/>
    <w:rsid w:val="54DCF37F"/>
    <w:rsid w:val="54DDEFD3"/>
    <w:rsid w:val="54F1C094"/>
    <w:rsid w:val="5504D8B4"/>
    <w:rsid w:val="550C9AFF"/>
    <w:rsid w:val="551553AE"/>
    <w:rsid w:val="5519A184"/>
    <w:rsid w:val="55260822"/>
    <w:rsid w:val="55271A61"/>
    <w:rsid w:val="55313667"/>
    <w:rsid w:val="55508BF7"/>
    <w:rsid w:val="55539DF0"/>
    <w:rsid w:val="555E7201"/>
    <w:rsid w:val="556FA0D8"/>
    <w:rsid w:val="556FC0B7"/>
    <w:rsid w:val="557408F6"/>
    <w:rsid w:val="5579877A"/>
    <w:rsid w:val="55799D41"/>
    <w:rsid w:val="558446B6"/>
    <w:rsid w:val="55913A30"/>
    <w:rsid w:val="5595E92F"/>
    <w:rsid w:val="55A36506"/>
    <w:rsid w:val="55A409B3"/>
    <w:rsid w:val="55AC6924"/>
    <w:rsid w:val="55B1193F"/>
    <w:rsid w:val="55B4E74D"/>
    <w:rsid w:val="55B76D97"/>
    <w:rsid w:val="55BBA99C"/>
    <w:rsid w:val="55C58321"/>
    <w:rsid w:val="55DCE119"/>
    <w:rsid w:val="55DE6CE0"/>
    <w:rsid w:val="55E09959"/>
    <w:rsid w:val="55ED897F"/>
    <w:rsid w:val="55F031C3"/>
    <w:rsid w:val="55F0E9D7"/>
    <w:rsid w:val="55F9BDAD"/>
    <w:rsid w:val="55FA275E"/>
    <w:rsid w:val="560362D0"/>
    <w:rsid w:val="56049A60"/>
    <w:rsid w:val="5604BAD4"/>
    <w:rsid w:val="56065E92"/>
    <w:rsid w:val="560B4616"/>
    <w:rsid w:val="5612AA65"/>
    <w:rsid w:val="561907AE"/>
    <w:rsid w:val="562149DA"/>
    <w:rsid w:val="56216EEF"/>
    <w:rsid w:val="56268BFA"/>
    <w:rsid w:val="562812C2"/>
    <w:rsid w:val="562D65C3"/>
    <w:rsid w:val="562D799E"/>
    <w:rsid w:val="5637ED60"/>
    <w:rsid w:val="563FC3A9"/>
    <w:rsid w:val="564A051B"/>
    <w:rsid w:val="56559BDC"/>
    <w:rsid w:val="5661379F"/>
    <w:rsid w:val="566842A9"/>
    <w:rsid w:val="56693988"/>
    <w:rsid w:val="566A5A09"/>
    <w:rsid w:val="56750FC8"/>
    <w:rsid w:val="567846F9"/>
    <w:rsid w:val="567C397A"/>
    <w:rsid w:val="568C9543"/>
    <w:rsid w:val="56908340"/>
    <w:rsid w:val="5693DF05"/>
    <w:rsid w:val="56A8B418"/>
    <w:rsid w:val="56B12D56"/>
    <w:rsid w:val="56C2EE0C"/>
    <w:rsid w:val="56C39F3A"/>
    <w:rsid w:val="56C4409D"/>
    <w:rsid w:val="56C4E9AF"/>
    <w:rsid w:val="56C528C2"/>
    <w:rsid w:val="56C933F0"/>
    <w:rsid w:val="56D01EE7"/>
    <w:rsid w:val="56D6DDC3"/>
    <w:rsid w:val="56E74264"/>
    <w:rsid w:val="56E7C30B"/>
    <w:rsid w:val="56F33C27"/>
    <w:rsid w:val="56F35CF8"/>
    <w:rsid w:val="56FA58DA"/>
    <w:rsid w:val="5706CABB"/>
    <w:rsid w:val="570C00CF"/>
    <w:rsid w:val="5710CB70"/>
    <w:rsid w:val="57117539"/>
    <w:rsid w:val="5713A23C"/>
    <w:rsid w:val="5713B8BF"/>
    <w:rsid w:val="57315B9A"/>
    <w:rsid w:val="5736267F"/>
    <w:rsid w:val="5744C01C"/>
    <w:rsid w:val="574E5F5D"/>
    <w:rsid w:val="5752C23C"/>
    <w:rsid w:val="575D3C24"/>
    <w:rsid w:val="575E3283"/>
    <w:rsid w:val="576842EE"/>
    <w:rsid w:val="57690B16"/>
    <w:rsid w:val="576E3CA6"/>
    <w:rsid w:val="576E9C31"/>
    <w:rsid w:val="57807A81"/>
    <w:rsid w:val="5785658A"/>
    <w:rsid w:val="578817B2"/>
    <w:rsid w:val="578A0476"/>
    <w:rsid w:val="57A6A320"/>
    <w:rsid w:val="57B9C73F"/>
    <w:rsid w:val="57C049DE"/>
    <w:rsid w:val="57C30A89"/>
    <w:rsid w:val="57C5C1BE"/>
    <w:rsid w:val="57C9B2D0"/>
    <w:rsid w:val="57DDE896"/>
    <w:rsid w:val="57E2E149"/>
    <w:rsid w:val="57EBBC62"/>
    <w:rsid w:val="57ED3B79"/>
    <w:rsid w:val="57EF0F4F"/>
    <w:rsid w:val="57F9F0FF"/>
    <w:rsid w:val="57FD91F2"/>
    <w:rsid w:val="58074EC4"/>
    <w:rsid w:val="58151279"/>
    <w:rsid w:val="58166D73"/>
    <w:rsid w:val="581BC9A4"/>
    <w:rsid w:val="581C4FAC"/>
    <w:rsid w:val="581C78AD"/>
    <w:rsid w:val="581D6229"/>
    <w:rsid w:val="581E2442"/>
    <w:rsid w:val="581F7719"/>
    <w:rsid w:val="58214D52"/>
    <w:rsid w:val="58345E9D"/>
    <w:rsid w:val="58374F8B"/>
    <w:rsid w:val="5839E0B9"/>
    <w:rsid w:val="583F119A"/>
    <w:rsid w:val="5843267B"/>
    <w:rsid w:val="584C02F0"/>
    <w:rsid w:val="584ECBA1"/>
    <w:rsid w:val="58517FA2"/>
    <w:rsid w:val="5852C03A"/>
    <w:rsid w:val="58571498"/>
    <w:rsid w:val="5857262F"/>
    <w:rsid w:val="58589E27"/>
    <w:rsid w:val="5864807D"/>
    <w:rsid w:val="5867A403"/>
    <w:rsid w:val="5868C3C1"/>
    <w:rsid w:val="586E606D"/>
    <w:rsid w:val="586FBC81"/>
    <w:rsid w:val="58774166"/>
    <w:rsid w:val="587DDF99"/>
    <w:rsid w:val="5884C1FE"/>
    <w:rsid w:val="589DACFA"/>
    <w:rsid w:val="589F0A7C"/>
    <w:rsid w:val="589FD796"/>
    <w:rsid w:val="58AB5BAE"/>
    <w:rsid w:val="58B40C52"/>
    <w:rsid w:val="58B9F946"/>
    <w:rsid w:val="58CD9268"/>
    <w:rsid w:val="58D1C3DB"/>
    <w:rsid w:val="58E5303E"/>
    <w:rsid w:val="58E762F6"/>
    <w:rsid w:val="58EF0C0C"/>
    <w:rsid w:val="58F29A0C"/>
    <w:rsid w:val="58FC683A"/>
    <w:rsid w:val="58FCB0F6"/>
    <w:rsid w:val="5900C5C5"/>
    <w:rsid w:val="5909BEAF"/>
    <w:rsid w:val="590A9F7C"/>
    <w:rsid w:val="590CF1F4"/>
    <w:rsid w:val="591756A4"/>
    <w:rsid w:val="5917F7E4"/>
    <w:rsid w:val="591827CC"/>
    <w:rsid w:val="591D246D"/>
    <w:rsid w:val="592D9E74"/>
    <w:rsid w:val="59311852"/>
    <w:rsid w:val="59352876"/>
    <w:rsid w:val="594F3BEA"/>
    <w:rsid w:val="595412ED"/>
    <w:rsid w:val="59599110"/>
    <w:rsid w:val="595CF93E"/>
    <w:rsid w:val="595D003D"/>
    <w:rsid w:val="59613FBA"/>
    <w:rsid w:val="59669D46"/>
    <w:rsid w:val="596C2C78"/>
    <w:rsid w:val="59779837"/>
    <w:rsid w:val="597BBD1B"/>
    <w:rsid w:val="598A08B0"/>
    <w:rsid w:val="5992E539"/>
    <w:rsid w:val="599719B7"/>
    <w:rsid w:val="599F8D91"/>
    <w:rsid w:val="59A74FFE"/>
    <w:rsid w:val="59A75603"/>
    <w:rsid w:val="59AA3418"/>
    <w:rsid w:val="59BD1BD1"/>
    <w:rsid w:val="59C3BC0A"/>
    <w:rsid w:val="59C47C68"/>
    <w:rsid w:val="59CAF19F"/>
    <w:rsid w:val="59CCE64A"/>
    <w:rsid w:val="59D0BBCD"/>
    <w:rsid w:val="59D1E67F"/>
    <w:rsid w:val="59D6F148"/>
    <w:rsid w:val="59D7E4A6"/>
    <w:rsid w:val="59D9B98A"/>
    <w:rsid w:val="59E3CF2E"/>
    <w:rsid w:val="59E43B3F"/>
    <w:rsid w:val="59E4A6D9"/>
    <w:rsid w:val="59E7AF8D"/>
    <w:rsid w:val="59F560F6"/>
    <w:rsid w:val="59FC12D9"/>
    <w:rsid w:val="59FCB646"/>
    <w:rsid w:val="5A07C81A"/>
    <w:rsid w:val="5A121A5C"/>
    <w:rsid w:val="5A1F86AF"/>
    <w:rsid w:val="5A227987"/>
    <w:rsid w:val="5A25F453"/>
    <w:rsid w:val="5A2ED06D"/>
    <w:rsid w:val="5A38B147"/>
    <w:rsid w:val="5A44C8F3"/>
    <w:rsid w:val="5A47D994"/>
    <w:rsid w:val="5A56EE3E"/>
    <w:rsid w:val="5A59E1F2"/>
    <w:rsid w:val="5A686D17"/>
    <w:rsid w:val="5A6CB2FD"/>
    <w:rsid w:val="5A72B3EF"/>
    <w:rsid w:val="5A751AD7"/>
    <w:rsid w:val="5A763379"/>
    <w:rsid w:val="5A7B6584"/>
    <w:rsid w:val="5A81BC39"/>
    <w:rsid w:val="5A83227E"/>
    <w:rsid w:val="5A86B8D0"/>
    <w:rsid w:val="5A8BC529"/>
    <w:rsid w:val="5A94E942"/>
    <w:rsid w:val="5AAC199A"/>
    <w:rsid w:val="5AAFBFC7"/>
    <w:rsid w:val="5AB55856"/>
    <w:rsid w:val="5ABC89EC"/>
    <w:rsid w:val="5AC9FA86"/>
    <w:rsid w:val="5ACEE6EB"/>
    <w:rsid w:val="5AE33E14"/>
    <w:rsid w:val="5AE4759F"/>
    <w:rsid w:val="5AEB3407"/>
    <w:rsid w:val="5AED80E1"/>
    <w:rsid w:val="5AF886E4"/>
    <w:rsid w:val="5AFF5862"/>
    <w:rsid w:val="5B02CF5F"/>
    <w:rsid w:val="5B1548F1"/>
    <w:rsid w:val="5B203925"/>
    <w:rsid w:val="5B2B71CC"/>
    <w:rsid w:val="5B2CCE39"/>
    <w:rsid w:val="5B3A0FE0"/>
    <w:rsid w:val="5B3AC2C5"/>
    <w:rsid w:val="5B3FA219"/>
    <w:rsid w:val="5B4698B1"/>
    <w:rsid w:val="5B49D9DB"/>
    <w:rsid w:val="5B5AD30C"/>
    <w:rsid w:val="5B60088C"/>
    <w:rsid w:val="5B67FF9A"/>
    <w:rsid w:val="5B6A9F1F"/>
    <w:rsid w:val="5B6F814E"/>
    <w:rsid w:val="5B74F494"/>
    <w:rsid w:val="5B75D820"/>
    <w:rsid w:val="5B76EBC9"/>
    <w:rsid w:val="5B816DE8"/>
    <w:rsid w:val="5B85255F"/>
    <w:rsid w:val="5B85D8FA"/>
    <w:rsid w:val="5B866FE0"/>
    <w:rsid w:val="5B8B6E48"/>
    <w:rsid w:val="5B8EA772"/>
    <w:rsid w:val="5B9A76F3"/>
    <w:rsid w:val="5B9A91E0"/>
    <w:rsid w:val="5B9C80D4"/>
    <w:rsid w:val="5BA069D4"/>
    <w:rsid w:val="5BA941E9"/>
    <w:rsid w:val="5BAB01BC"/>
    <w:rsid w:val="5BAC48F2"/>
    <w:rsid w:val="5BB2CCB7"/>
    <w:rsid w:val="5BB4F12B"/>
    <w:rsid w:val="5BB7375D"/>
    <w:rsid w:val="5BBBAAAC"/>
    <w:rsid w:val="5BCE190B"/>
    <w:rsid w:val="5BD125E3"/>
    <w:rsid w:val="5BDBEFC0"/>
    <w:rsid w:val="5BF58660"/>
    <w:rsid w:val="5BF586D0"/>
    <w:rsid w:val="5BF9F22A"/>
    <w:rsid w:val="5BFE2C77"/>
    <w:rsid w:val="5C0183CC"/>
    <w:rsid w:val="5C080FE5"/>
    <w:rsid w:val="5C0D4ECF"/>
    <w:rsid w:val="5C0F8244"/>
    <w:rsid w:val="5C1BF320"/>
    <w:rsid w:val="5C1F4F48"/>
    <w:rsid w:val="5C27759F"/>
    <w:rsid w:val="5C359268"/>
    <w:rsid w:val="5C40AA74"/>
    <w:rsid w:val="5C4C26AA"/>
    <w:rsid w:val="5C60E971"/>
    <w:rsid w:val="5C6AD690"/>
    <w:rsid w:val="5C702C54"/>
    <w:rsid w:val="5C78B70A"/>
    <w:rsid w:val="5C7C6951"/>
    <w:rsid w:val="5C7D8EFD"/>
    <w:rsid w:val="5C809793"/>
    <w:rsid w:val="5C84A927"/>
    <w:rsid w:val="5C85E4D8"/>
    <w:rsid w:val="5C8B0428"/>
    <w:rsid w:val="5C91EED3"/>
    <w:rsid w:val="5C96DCEF"/>
    <w:rsid w:val="5CA3573C"/>
    <w:rsid w:val="5CA3EA8C"/>
    <w:rsid w:val="5CA74465"/>
    <w:rsid w:val="5CB40128"/>
    <w:rsid w:val="5CB6ECCA"/>
    <w:rsid w:val="5CC2D85B"/>
    <w:rsid w:val="5CC6EBA7"/>
    <w:rsid w:val="5CD65748"/>
    <w:rsid w:val="5CDD1B42"/>
    <w:rsid w:val="5CDD5E2D"/>
    <w:rsid w:val="5CE5EBD3"/>
    <w:rsid w:val="5CEFD5C7"/>
    <w:rsid w:val="5CF162EF"/>
    <w:rsid w:val="5CF39ADD"/>
    <w:rsid w:val="5D05D019"/>
    <w:rsid w:val="5D09BF90"/>
    <w:rsid w:val="5D0CAF9C"/>
    <w:rsid w:val="5D1489E3"/>
    <w:rsid w:val="5D1FFF40"/>
    <w:rsid w:val="5D21821F"/>
    <w:rsid w:val="5D2311B0"/>
    <w:rsid w:val="5D2E6871"/>
    <w:rsid w:val="5D380748"/>
    <w:rsid w:val="5D3F7B62"/>
    <w:rsid w:val="5D3FDF5A"/>
    <w:rsid w:val="5D42B7C7"/>
    <w:rsid w:val="5D48C687"/>
    <w:rsid w:val="5D4C5A34"/>
    <w:rsid w:val="5D506454"/>
    <w:rsid w:val="5D536517"/>
    <w:rsid w:val="5D5D08AD"/>
    <w:rsid w:val="5D5D28AD"/>
    <w:rsid w:val="5D5EE9F5"/>
    <w:rsid w:val="5D5FA39A"/>
    <w:rsid w:val="5D60D0D1"/>
    <w:rsid w:val="5D67FE7E"/>
    <w:rsid w:val="5D680EEF"/>
    <w:rsid w:val="5D68AAD3"/>
    <w:rsid w:val="5D69B917"/>
    <w:rsid w:val="5D6B4037"/>
    <w:rsid w:val="5D6EC95B"/>
    <w:rsid w:val="5D6F49BD"/>
    <w:rsid w:val="5D716D8F"/>
    <w:rsid w:val="5D75B25A"/>
    <w:rsid w:val="5D78E723"/>
    <w:rsid w:val="5D7C8734"/>
    <w:rsid w:val="5D7CD448"/>
    <w:rsid w:val="5D80A353"/>
    <w:rsid w:val="5D84E901"/>
    <w:rsid w:val="5D86CD8F"/>
    <w:rsid w:val="5D9085E0"/>
    <w:rsid w:val="5D96B0BF"/>
    <w:rsid w:val="5D98F533"/>
    <w:rsid w:val="5D9B07EF"/>
    <w:rsid w:val="5D9D2F88"/>
    <w:rsid w:val="5DA21706"/>
    <w:rsid w:val="5DA23CBE"/>
    <w:rsid w:val="5DA9960E"/>
    <w:rsid w:val="5DADDD05"/>
    <w:rsid w:val="5DB4D6C8"/>
    <w:rsid w:val="5DB7A298"/>
    <w:rsid w:val="5DBEC118"/>
    <w:rsid w:val="5DC10216"/>
    <w:rsid w:val="5DCC6983"/>
    <w:rsid w:val="5DCEDAB5"/>
    <w:rsid w:val="5DD19A95"/>
    <w:rsid w:val="5DD20D3B"/>
    <w:rsid w:val="5DD22DF0"/>
    <w:rsid w:val="5DD896C9"/>
    <w:rsid w:val="5DD911E2"/>
    <w:rsid w:val="5DE22938"/>
    <w:rsid w:val="5DE814F1"/>
    <w:rsid w:val="5DEB7A2D"/>
    <w:rsid w:val="5DFE5619"/>
    <w:rsid w:val="5DFEA177"/>
    <w:rsid w:val="5E033563"/>
    <w:rsid w:val="5E061F0F"/>
    <w:rsid w:val="5E137043"/>
    <w:rsid w:val="5E15310B"/>
    <w:rsid w:val="5E155918"/>
    <w:rsid w:val="5E222D89"/>
    <w:rsid w:val="5E32AC45"/>
    <w:rsid w:val="5E32D067"/>
    <w:rsid w:val="5E3A5349"/>
    <w:rsid w:val="5E40D09B"/>
    <w:rsid w:val="5E49DBF3"/>
    <w:rsid w:val="5E49EA26"/>
    <w:rsid w:val="5E4BCE25"/>
    <w:rsid w:val="5E4E372A"/>
    <w:rsid w:val="5E534A7A"/>
    <w:rsid w:val="5E55D9BD"/>
    <w:rsid w:val="5E61B8AE"/>
    <w:rsid w:val="5E63DAD7"/>
    <w:rsid w:val="5E684B08"/>
    <w:rsid w:val="5E691A5D"/>
    <w:rsid w:val="5E6BDD89"/>
    <w:rsid w:val="5E6CE121"/>
    <w:rsid w:val="5E6CF267"/>
    <w:rsid w:val="5E73F082"/>
    <w:rsid w:val="5E74DACE"/>
    <w:rsid w:val="5E812A7E"/>
    <w:rsid w:val="5E8A8FF1"/>
    <w:rsid w:val="5E925B46"/>
    <w:rsid w:val="5E950416"/>
    <w:rsid w:val="5E9B7B8B"/>
    <w:rsid w:val="5EA17F50"/>
    <w:rsid w:val="5EA18418"/>
    <w:rsid w:val="5EA8A8D7"/>
    <w:rsid w:val="5EA96B5A"/>
    <w:rsid w:val="5EA9D376"/>
    <w:rsid w:val="5EB005FA"/>
    <w:rsid w:val="5EB20F78"/>
    <w:rsid w:val="5EB5E03B"/>
    <w:rsid w:val="5EB9AD28"/>
    <w:rsid w:val="5EBA5539"/>
    <w:rsid w:val="5EBCEA56"/>
    <w:rsid w:val="5ECA56BD"/>
    <w:rsid w:val="5ED4E44C"/>
    <w:rsid w:val="5ED67BCF"/>
    <w:rsid w:val="5EDFBF35"/>
    <w:rsid w:val="5EE59C5F"/>
    <w:rsid w:val="5EF1E8FD"/>
    <w:rsid w:val="5EF6334B"/>
    <w:rsid w:val="5EFB4525"/>
    <w:rsid w:val="5F038E34"/>
    <w:rsid w:val="5F05681A"/>
    <w:rsid w:val="5F06B318"/>
    <w:rsid w:val="5F13AB46"/>
    <w:rsid w:val="5F1612F3"/>
    <w:rsid w:val="5F1C344F"/>
    <w:rsid w:val="5F1F902A"/>
    <w:rsid w:val="5F21390A"/>
    <w:rsid w:val="5F2220D9"/>
    <w:rsid w:val="5F268C67"/>
    <w:rsid w:val="5F2B496F"/>
    <w:rsid w:val="5F2EF4ED"/>
    <w:rsid w:val="5F3B04F1"/>
    <w:rsid w:val="5F416392"/>
    <w:rsid w:val="5F443068"/>
    <w:rsid w:val="5F450424"/>
    <w:rsid w:val="5F49C380"/>
    <w:rsid w:val="5F4C5032"/>
    <w:rsid w:val="5F4CE279"/>
    <w:rsid w:val="5F546E75"/>
    <w:rsid w:val="5F55DA62"/>
    <w:rsid w:val="5F606F15"/>
    <w:rsid w:val="5F614590"/>
    <w:rsid w:val="5F64208C"/>
    <w:rsid w:val="5F699A15"/>
    <w:rsid w:val="5F76AD69"/>
    <w:rsid w:val="5F7E1F52"/>
    <w:rsid w:val="5F804967"/>
    <w:rsid w:val="5F8EDA25"/>
    <w:rsid w:val="5F923F3F"/>
    <w:rsid w:val="5F92760B"/>
    <w:rsid w:val="5F940F68"/>
    <w:rsid w:val="5F960703"/>
    <w:rsid w:val="5F9CDD3C"/>
    <w:rsid w:val="5FA0C53D"/>
    <w:rsid w:val="5FA58EF9"/>
    <w:rsid w:val="5FAA0AD3"/>
    <w:rsid w:val="5FB093AC"/>
    <w:rsid w:val="5FB481C2"/>
    <w:rsid w:val="5FBEB982"/>
    <w:rsid w:val="5FBF4FA7"/>
    <w:rsid w:val="5FC333B6"/>
    <w:rsid w:val="5FC7CD5F"/>
    <w:rsid w:val="5FC7F44D"/>
    <w:rsid w:val="5FD3F20F"/>
    <w:rsid w:val="5FD9A781"/>
    <w:rsid w:val="5FDE88A7"/>
    <w:rsid w:val="5FE967BE"/>
    <w:rsid w:val="5FE997BC"/>
    <w:rsid w:val="5FFED60E"/>
    <w:rsid w:val="60042807"/>
    <w:rsid w:val="6007C03C"/>
    <w:rsid w:val="601048D0"/>
    <w:rsid w:val="6012ADD2"/>
    <w:rsid w:val="60130A31"/>
    <w:rsid w:val="60152A83"/>
    <w:rsid w:val="6020465F"/>
    <w:rsid w:val="6033AAE0"/>
    <w:rsid w:val="603B060F"/>
    <w:rsid w:val="6042A601"/>
    <w:rsid w:val="605701CE"/>
    <w:rsid w:val="60691B5A"/>
    <w:rsid w:val="606C9955"/>
    <w:rsid w:val="606FBFE9"/>
    <w:rsid w:val="607093F1"/>
    <w:rsid w:val="60784FC2"/>
    <w:rsid w:val="607FC0DF"/>
    <w:rsid w:val="6083F29B"/>
    <w:rsid w:val="60959169"/>
    <w:rsid w:val="60990528"/>
    <w:rsid w:val="609C3793"/>
    <w:rsid w:val="609DE8FA"/>
    <w:rsid w:val="60A5FD1E"/>
    <w:rsid w:val="60BAFB65"/>
    <w:rsid w:val="60C50185"/>
    <w:rsid w:val="60C83EFF"/>
    <w:rsid w:val="60C8C17F"/>
    <w:rsid w:val="60D17079"/>
    <w:rsid w:val="60DF541F"/>
    <w:rsid w:val="60E1906B"/>
    <w:rsid w:val="60E89E9E"/>
    <w:rsid w:val="60EB2A07"/>
    <w:rsid w:val="60F33939"/>
    <w:rsid w:val="60F7A49C"/>
    <w:rsid w:val="6101D424"/>
    <w:rsid w:val="61098519"/>
    <w:rsid w:val="6109A23C"/>
    <w:rsid w:val="610F4C8A"/>
    <w:rsid w:val="610FE692"/>
    <w:rsid w:val="611038EC"/>
    <w:rsid w:val="611904F2"/>
    <w:rsid w:val="6122661F"/>
    <w:rsid w:val="612B8BD0"/>
    <w:rsid w:val="61305BFF"/>
    <w:rsid w:val="61360560"/>
    <w:rsid w:val="61386A5F"/>
    <w:rsid w:val="6142A0D9"/>
    <w:rsid w:val="6143FD30"/>
    <w:rsid w:val="6144D824"/>
    <w:rsid w:val="614959CA"/>
    <w:rsid w:val="614D22C8"/>
    <w:rsid w:val="6158471E"/>
    <w:rsid w:val="615C534A"/>
    <w:rsid w:val="615F447A"/>
    <w:rsid w:val="6161901D"/>
    <w:rsid w:val="61619C5D"/>
    <w:rsid w:val="616A3C2A"/>
    <w:rsid w:val="6171A016"/>
    <w:rsid w:val="617444F2"/>
    <w:rsid w:val="617640C2"/>
    <w:rsid w:val="6177F77C"/>
    <w:rsid w:val="617ED83A"/>
    <w:rsid w:val="618B57A4"/>
    <w:rsid w:val="619142F9"/>
    <w:rsid w:val="61A31863"/>
    <w:rsid w:val="61A51444"/>
    <w:rsid w:val="61A589C9"/>
    <w:rsid w:val="61A6AF10"/>
    <w:rsid w:val="61B189C8"/>
    <w:rsid w:val="61B32BF0"/>
    <w:rsid w:val="61B346AC"/>
    <w:rsid w:val="61B4022A"/>
    <w:rsid w:val="61B79CCC"/>
    <w:rsid w:val="61BA6D85"/>
    <w:rsid w:val="61BAA5F2"/>
    <w:rsid w:val="61BAD117"/>
    <w:rsid w:val="61C41946"/>
    <w:rsid w:val="61C7508B"/>
    <w:rsid w:val="61CCBD5A"/>
    <w:rsid w:val="61CF0879"/>
    <w:rsid w:val="61D06FC2"/>
    <w:rsid w:val="61D4475F"/>
    <w:rsid w:val="61D886A7"/>
    <w:rsid w:val="61D9DE1C"/>
    <w:rsid w:val="61DCA791"/>
    <w:rsid w:val="61E0C709"/>
    <w:rsid w:val="61EB94EC"/>
    <w:rsid w:val="61EC2D3E"/>
    <w:rsid w:val="61F6797E"/>
    <w:rsid w:val="61FE35A7"/>
    <w:rsid w:val="61FF4E18"/>
    <w:rsid w:val="6201DFAF"/>
    <w:rsid w:val="62024088"/>
    <w:rsid w:val="6202DFDC"/>
    <w:rsid w:val="620387D7"/>
    <w:rsid w:val="6203CD81"/>
    <w:rsid w:val="62040BEA"/>
    <w:rsid w:val="620748CD"/>
    <w:rsid w:val="62108984"/>
    <w:rsid w:val="6217695F"/>
    <w:rsid w:val="62192F69"/>
    <w:rsid w:val="621E38FC"/>
    <w:rsid w:val="6222CE0B"/>
    <w:rsid w:val="6231C2F8"/>
    <w:rsid w:val="6231D876"/>
    <w:rsid w:val="62334101"/>
    <w:rsid w:val="6240E140"/>
    <w:rsid w:val="62425519"/>
    <w:rsid w:val="6254D3C6"/>
    <w:rsid w:val="6256785E"/>
    <w:rsid w:val="626B5EA1"/>
    <w:rsid w:val="627B45C5"/>
    <w:rsid w:val="628DA655"/>
    <w:rsid w:val="628EB041"/>
    <w:rsid w:val="62930C11"/>
    <w:rsid w:val="629373BE"/>
    <w:rsid w:val="62A2E168"/>
    <w:rsid w:val="62B04588"/>
    <w:rsid w:val="62B63093"/>
    <w:rsid w:val="62B6D1AC"/>
    <w:rsid w:val="62B6FFAD"/>
    <w:rsid w:val="62DD93AF"/>
    <w:rsid w:val="62DDCEEE"/>
    <w:rsid w:val="62E47220"/>
    <w:rsid w:val="62E6AD40"/>
    <w:rsid w:val="62E829E4"/>
    <w:rsid w:val="62EEE5DE"/>
    <w:rsid w:val="62EFD615"/>
    <w:rsid w:val="630898D5"/>
    <w:rsid w:val="6311B80C"/>
    <w:rsid w:val="63129441"/>
    <w:rsid w:val="63139419"/>
    <w:rsid w:val="631FCACA"/>
    <w:rsid w:val="63226202"/>
    <w:rsid w:val="632926C2"/>
    <w:rsid w:val="632B6111"/>
    <w:rsid w:val="6332BFFA"/>
    <w:rsid w:val="633EE0EC"/>
    <w:rsid w:val="63449D67"/>
    <w:rsid w:val="63453422"/>
    <w:rsid w:val="634C3A84"/>
    <w:rsid w:val="634C81B9"/>
    <w:rsid w:val="634D7178"/>
    <w:rsid w:val="634FACC0"/>
    <w:rsid w:val="635160C1"/>
    <w:rsid w:val="63519994"/>
    <w:rsid w:val="63590E55"/>
    <w:rsid w:val="635B81F8"/>
    <w:rsid w:val="636017D7"/>
    <w:rsid w:val="6363BD4A"/>
    <w:rsid w:val="6368F078"/>
    <w:rsid w:val="636EE59D"/>
    <w:rsid w:val="63772B12"/>
    <w:rsid w:val="637C33F0"/>
    <w:rsid w:val="637C9ECB"/>
    <w:rsid w:val="637EE222"/>
    <w:rsid w:val="63812C8D"/>
    <w:rsid w:val="638142DC"/>
    <w:rsid w:val="638BD806"/>
    <w:rsid w:val="63943873"/>
    <w:rsid w:val="639D0984"/>
    <w:rsid w:val="63A9CF11"/>
    <w:rsid w:val="63B33EA8"/>
    <w:rsid w:val="63B42A32"/>
    <w:rsid w:val="63B510D4"/>
    <w:rsid w:val="63CDD848"/>
    <w:rsid w:val="63D48CAF"/>
    <w:rsid w:val="63D7447D"/>
    <w:rsid w:val="63DE463A"/>
    <w:rsid w:val="63E8983F"/>
    <w:rsid w:val="63E9D84B"/>
    <w:rsid w:val="63FBD1B0"/>
    <w:rsid w:val="64000A0E"/>
    <w:rsid w:val="64088330"/>
    <w:rsid w:val="64136E16"/>
    <w:rsid w:val="6415964F"/>
    <w:rsid w:val="64182706"/>
    <w:rsid w:val="64269660"/>
    <w:rsid w:val="64302F4C"/>
    <w:rsid w:val="6434C49C"/>
    <w:rsid w:val="6435EF9C"/>
    <w:rsid w:val="64366A82"/>
    <w:rsid w:val="643A10BF"/>
    <w:rsid w:val="64416F3B"/>
    <w:rsid w:val="644224C3"/>
    <w:rsid w:val="64427579"/>
    <w:rsid w:val="644445A6"/>
    <w:rsid w:val="6448C1C9"/>
    <w:rsid w:val="644B0768"/>
    <w:rsid w:val="644C355A"/>
    <w:rsid w:val="64630421"/>
    <w:rsid w:val="64692BE2"/>
    <w:rsid w:val="6471A6B5"/>
    <w:rsid w:val="64731942"/>
    <w:rsid w:val="648AA569"/>
    <w:rsid w:val="64916501"/>
    <w:rsid w:val="649DCB76"/>
    <w:rsid w:val="64A40AA3"/>
    <w:rsid w:val="64A52D3C"/>
    <w:rsid w:val="64A558E7"/>
    <w:rsid w:val="64A8E9AF"/>
    <w:rsid w:val="64AE62C2"/>
    <w:rsid w:val="64B3081A"/>
    <w:rsid w:val="64BD9BCC"/>
    <w:rsid w:val="64C5F144"/>
    <w:rsid w:val="64CDB730"/>
    <w:rsid w:val="64DD19F8"/>
    <w:rsid w:val="64DD9A7E"/>
    <w:rsid w:val="64E658A6"/>
    <w:rsid w:val="64E7432B"/>
    <w:rsid w:val="64E81EB2"/>
    <w:rsid w:val="64E94090"/>
    <w:rsid w:val="64EA04AD"/>
    <w:rsid w:val="64EB3389"/>
    <w:rsid w:val="64ECCB91"/>
    <w:rsid w:val="64EEB7ED"/>
    <w:rsid w:val="64F4714E"/>
    <w:rsid w:val="64F7F414"/>
    <w:rsid w:val="64F8C19C"/>
    <w:rsid w:val="64FAFDDF"/>
    <w:rsid w:val="64FF3587"/>
    <w:rsid w:val="650BA493"/>
    <w:rsid w:val="651C40C4"/>
    <w:rsid w:val="651E5F41"/>
    <w:rsid w:val="6523BF0B"/>
    <w:rsid w:val="652752A4"/>
    <w:rsid w:val="6531D0D9"/>
    <w:rsid w:val="6533EAC3"/>
    <w:rsid w:val="65361A41"/>
    <w:rsid w:val="653A286F"/>
    <w:rsid w:val="653D110B"/>
    <w:rsid w:val="653D3249"/>
    <w:rsid w:val="6545FE36"/>
    <w:rsid w:val="6546B2AE"/>
    <w:rsid w:val="6557ADC7"/>
    <w:rsid w:val="655BF8A9"/>
    <w:rsid w:val="655E4383"/>
    <w:rsid w:val="655F6A3E"/>
    <w:rsid w:val="65601720"/>
    <w:rsid w:val="65609F32"/>
    <w:rsid w:val="6565F30F"/>
    <w:rsid w:val="656810A1"/>
    <w:rsid w:val="656B90FA"/>
    <w:rsid w:val="656ED1A4"/>
    <w:rsid w:val="656F6599"/>
    <w:rsid w:val="65746D4A"/>
    <w:rsid w:val="65752BAC"/>
    <w:rsid w:val="657C6674"/>
    <w:rsid w:val="6586C77C"/>
    <w:rsid w:val="6588AF39"/>
    <w:rsid w:val="6588DC1B"/>
    <w:rsid w:val="658C5E98"/>
    <w:rsid w:val="658CF8BB"/>
    <w:rsid w:val="6595B622"/>
    <w:rsid w:val="659BC54C"/>
    <w:rsid w:val="659D8904"/>
    <w:rsid w:val="65ABD4F6"/>
    <w:rsid w:val="65B17675"/>
    <w:rsid w:val="65B6AE3F"/>
    <w:rsid w:val="65C821F4"/>
    <w:rsid w:val="65D0518F"/>
    <w:rsid w:val="65D5A7A5"/>
    <w:rsid w:val="65E76422"/>
    <w:rsid w:val="65ECA7A3"/>
    <w:rsid w:val="65EFF3E7"/>
    <w:rsid w:val="65F82EEA"/>
    <w:rsid w:val="65F8EF6D"/>
    <w:rsid w:val="65FC5388"/>
    <w:rsid w:val="65FF12E9"/>
    <w:rsid w:val="6602C0CA"/>
    <w:rsid w:val="66030C68"/>
    <w:rsid w:val="66057757"/>
    <w:rsid w:val="6610B459"/>
    <w:rsid w:val="6614F4DD"/>
    <w:rsid w:val="661E716F"/>
    <w:rsid w:val="66461AA3"/>
    <w:rsid w:val="664CDFEE"/>
    <w:rsid w:val="665226A5"/>
    <w:rsid w:val="66596051"/>
    <w:rsid w:val="666328A8"/>
    <w:rsid w:val="66636045"/>
    <w:rsid w:val="6688E691"/>
    <w:rsid w:val="66901595"/>
    <w:rsid w:val="66905FF5"/>
    <w:rsid w:val="66912153"/>
    <w:rsid w:val="6698B311"/>
    <w:rsid w:val="66A13B7B"/>
    <w:rsid w:val="66AE1499"/>
    <w:rsid w:val="66AF4E28"/>
    <w:rsid w:val="66B55988"/>
    <w:rsid w:val="66B9B837"/>
    <w:rsid w:val="66BA855C"/>
    <w:rsid w:val="66C09574"/>
    <w:rsid w:val="66C1D597"/>
    <w:rsid w:val="66C62FA5"/>
    <w:rsid w:val="66CBA936"/>
    <w:rsid w:val="66D3E21C"/>
    <w:rsid w:val="66D7AE41"/>
    <w:rsid w:val="66E1ECED"/>
    <w:rsid w:val="66E6186A"/>
    <w:rsid w:val="66E8F213"/>
    <w:rsid w:val="66E8FECE"/>
    <w:rsid w:val="66ECD774"/>
    <w:rsid w:val="66F05E4B"/>
    <w:rsid w:val="66F66BB7"/>
    <w:rsid w:val="66FDB690"/>
    <w:rsid w:val="670D0F80"/>
    <w:rsid w:val="67104C7E"/>
    <w:rsid w:val="671050E7"/>
    <w:rsid w:val="67167A7E"/>
    <w:rsid w:val="67178B83"/>
    <w:rsid w:val="671A21A4"/>
    <w:rsid w:val="671BF432"/>
    <w:rsid w:val="671C074E"/>
    <w:rsid w:val="67267951"/>
    <w:rsid w:val="672D4A43"/>
    <w:rsid w:val="672DEAA4"/>
    <w:rsid w:val="6738CCEC"/>
    <w:rsid w:val="67484ED5"/>
    <w:rsid w:val="674CBF70"/>
    <w:rsid w:val="6758E521"/>
    <w:rsid w:val="6764D423"/>
    <w:rsid w:val="67668F1F"/>
    <w:rsid w:val="678928F3"/>
    <w:rsid w:val="67A3087B"/>
    <w:rsid w:val="67A5AB74"/>
    <w:rsid w:val="67AA1595"/>
    <w:rsid w:val="67AA4792"/>
    <w:rsid w:val="67AB2A89"/>
    <w:rsid w:val="67B2F586"/>
    <w:rsid w:val="67B42989"/>
    <w:rsid w:val="67B5B5AF"/>
    <w:rsid w:val="67C2CFC9"/>
    <w:rsid w:val="67E623B0"/>
    <w:rsid w:val="67EF1D89"/>
    <w:rsid w:val="67EFC981"/>
    <w:rsid w:val="67EFE90C"/>
    <w:rsid w:val="67F4CC9A"/>
    <w:rsid w:val="67F62476"/>
    <w:rsid w:val="67F845AB"/>
    <w:rsid w:val="67FB986A"/>
    <w:rsid w:val="67FDF7FB"/>
    <w:rsid w:val="67FF00A8"/>
    <w:rsid w:val="680DE5C5"/>
    <w:rsid w:val="680FB013"/>
    <w:rsid w:val="6824032D"/>
    <w:rsid w:val="6824EB3E"/>
    <w:rsid w:val="682EF297"/>
    <w:rsid w:val="6830D7D1"/>
    <w:rsid w:val="6834BA44"/>
    <w:rsid w:val="6834EB21"/>
    <w:rsid w:val="683EF850"/>
    <w:rsid w:val="683FEAAD"/>
    <w:rsid w:val="68406429"/>
    <w:rsid w:val="68436590"/>
    <w:rsid w:val="6848F2FB"/>
    <w:rsid w:val="684ACD86"/>
    <w:rsid w:val="684FEF92"/>
    <w:rsid w:val="6851B040"/>
    <w:rsid w:val="68531BD6"/>
    <w:rsid w:val="6871D12B"/>
    <w:rsid w:val="6872CAE7"/>
    <w:rsid w:val="68777157"/>
    <w:rsid w:val="687C2C21"/>
    <w:rsid w:val="687F11C0"/>
    <w:rsid w:val="6880A983"/>
    <w:rsid w:val="6884C55F"/>
    <w:rsid w:val="68870380"/>
    <w:rsid w:val="688C6C7F"/>
    <w:rsid w:val="68914BC7"/>
    <w:rsid w:val="68938E31"/>
    <w:rsid w:val="689FCBD5"/>
    <w:rsid w:val="68A034CC"/>
    <w:rsid w:val="68A1D246"/>
    <w:rsid w:val="68A9C713"/>
    <w:rsid w:val="68AB83A0"/>
    <w:rsid w:val="68AC3AEE"/>
    <w:rsid w:val="68B24FAE"/>
    <w:rsid w:val="68BDBB26"/>
    <w:rsid w:val="68D05534"/>
    <w:rsid w:val="68D83EBC"/>
    <w:rsid w:val="68D8C0CB"/>
    <w:rsid w:val="68DE0B4E"/>
    <w:rsid w:val="68DF6BED"/>
    <w:rsid w:val="68E11374"/>
    <w:rsid w:val="68E327FC"/>
    <w:rsid w:val="68EBB9F9"/>
    <w:rsid w:val="68F0E944"/>
    <w:rsid w:val="68F1E791"/>
    <w:rsid w:val="68F4D40B"/>
    <w:rsid w:val="68F523B5"/>
    <w:rsid w:val="68F74178"/>
    <w:rsid w:val="690C23C1"/>
    <w:rsid w:val="6910DE36"/>
    <w:rsid w:val="6912E379"/>
    <w:rsid w:val="6914728F"/>
    <w:rsid w:val="69195C41"/>
    <w:rsid w:val="691F79F3"/>
    <w:rsid w:val="69221F71"/>
    <w:rsid w:val="6922A2D2"/>
    <w:rsid w:val="69270B9B"/>
    <w:rsid w:val="6928E991"/>
    <w:rsid w:val="69295264"/>
    <w:rsid w:val="692B05D6"/>
    <w:rsid w:val="692D8A49"/>
    <w:rsid w:val="69355EDB"/>
    <w:rsid w:val="693C78A0"/>
    <w:rsid w:val="694497BB"/>
    <w:rsid w:val="6946CA8E"/>
    <w:rsid w:val="694994EC"/>
    <w:rsid w:val="694B3C29"/>
    <w:rsid w:val="6959417C"/>
    <w:rsid w:val="695CB9A6"/>
    <w:rsid w:val="696E93BC"/>
    <w:rsid w:val="697C3BB0"/>
    <w:rsid w:val="69856EC0"/>
    <w:rsid w:val="698891B7"/>
    <w:rsid w:val="6998C7AD"/>
    <w:rsid w:val="699AAF27"/>
    <w:rsid w:val="699AE61D"/>
    <w:rsid w:val="699AEF98"/>
    <w:rsid w:val="69A62C76"/>
    <w:rsid w:val="69A888AD"/>
    <w:rsid w:val="69AE6D21"/>
    <w:rsid w:val="69AFE0D6"/>
    <w:rsid w:val="69BB0D7A"/>
    <w:rsid w:val="69C621F7"/>
    <w:rsid w:val="69CE82E1"/>
    <w:rsid w:val="69CEBB0B"/>
    <w:rsid w:val="69D08799"/>
    <w:rsid w:val="69D2E09B"/>
    <w:rsid w:val="69D4BC4D"/>
    <w:rsid w:val="69EB0DD6"/>
    <w:rsid w:val="69EC159D"/>
    <w:rsid w:val="69EC400E"/>
    <w:rsid w:val="69ED559B"/>
    <w:rsid w:val="69EFDDAB"/>
    <w:rsid w:val="69F3FFCA"/>
    <w:rsid w:val="6A08F94B"/>
    <w:rsid w:val="6A09DD33"/>
    <w:rsid w:val="6A0C620E"/>
    <w:rsid w:val="6A0D2C5D"/>
    <w:rsid w:val="6A18B2DC"/>
    <w:rsid w:val="6A199367"/>
    <w:rsid w:val="6A19E215"/>
    <w:rsid w:val="6A1AAAC5"/>
    <w:rsid w:val="6A1AD083"/>
    <w:rsid w:val="6A1D31E6"/>
    <w:rsid w:val="6A237412"/>
    <w:rsid w:val="6A2BBF3E"/>
    <w:rsid w:val="6A2D1D94"/>
    <w:rsid w:val="6A31D9B7"/>
    <w:rsid w:val="6A331753"/>
    <w:rsid w:val="6A3413EA"/>
    <w:rsid w:val="6A3B0163"/>
    <w:rsid w:val="6A5183C4"/>
    <w:rsid w:val="6A51CFD7"/>
    <w:rsid w:val="6A555C87"/>
    <w:rsid w:val="6A5FD3B5"/>
    <w:rsid w:val="6A604D1C"/>
    <w:rsid w:val="6A6970B6"/>
    <w:rsid w:val="6A6E7407"/>
    <w:rsid w:val="6A707C8E"/>
    <w:rsid w:val="6A76ADE7"/>
    <w:rsid w:val="6A83948B"/>
    <w:rsid w:val="6A8B0F56"/>
    <w:rsid w:val="6A9AF226"/>
    <w:rsid w:val="6AAA6805"/>
    <w:rsid w:val="6AB3246E"/>
    <w:rsid w:val="6AB36D78"/>
    <w:rsid w:val="6AB46506"/>
    <w:rsid w:val="6ACE35B1"/>
    <w:rsid w:val="6ACF7380"/>
    <w:rsid w:val="6AD47039"/>
    <w:rsid w:val="6AD4BBE6"/>
    <w:rsid w:val="6AD9E06B"/>
    <w:rsid w:val="6ADE65AE"/>
    <w:rsid w:val="6AE30457"/>
    <w:rsid w:val="6AE3DA7F"/>
    <w:rsid w:val="6AE44DAF"/>
    <w:rsid w:val="6AE65D3E"/>
    <w:rsid w:val="6AE7BDF1"/>
    <w:rsid w:val="6AEA5297"/>
    <w:rsid w:val="6AED9350"/>
    <w:rsid w:val="6AF3941E"/>
    <w:rsid w:val="6AFF8101"/>
    <w:rsid w:val="6B001860"/>
    <w:rsid w:val="6B01A243"/>
    <w:rsid w:val="6B034139"/>
    <w:rsid w:val="6B03CE53"/>
    <w:rsid w:val="6B0494E0"/>
    <w:rsid w:val="6B06B0D1"/>
    <w:rsid w:val="6B0BAF64"/>
    <w:rsid w:val="6B0FC184"/>
    <w:rsid w:val="6B22947C"/>
    <w:rsid w:val="6B2B1708"/>
    <w:rsid w:val="6B2B81D6"/>
    <w:rsid w:val="6B33652B"/>
    <w:rsid w:val="6B40F353"/>
    <w:rsid w:val="6B44D918"/>
    <w:rsid w:val="6B50B3A7"/>
    <w:rsid w:val="6B542690"/>
    <w:rsid w:val="6B5460EF"/>
    <w:rsid w:val="6B5DF49B"/>
    <w:rsid w:val="6B604279"/>
    <w:rsid w:val="6B722A44"/>
    <w:rsid w:val="6B77D45E"/>
    <w:rsid w:val="6B812AE8"/>
    <w:rsid w:val="6B829A6D"/>
    <w:rsid w:val="6B8365F4"/>
    <w:rsid w:val="6B846487"/>
    <w:rsid w:val="6B95055A"/>
    <w:rsid w:val="6B987E90"/>
    <w:rsid w:val="6B98F1D1"/>
    <w:rsid w:val="6B9B7A4D"/>
    <w:rsid w:val="6B9C219F"/>
    <w:rsid w:val="6BA0C2A0"/>
    <w:rsid w:val="6BA20D39"/>
    <w:rsid w:val="6BA7A608"/>
    <w:rsid w:val="6BA7BD75"/>
    <w:rsid w:val="6BB4CBCB"/>
    <w:rsid w:val="6BBEA757"/>
    <w:rsid w:val="6BD43C12"/>
    <w:rsid w:val="6BD9B6A0"/>
    <w:rsid w:val="6BDF3CAD"/>
    <w:rsid w:val="6BE6C893"/>
    <w:rsid w:val="6BE6E6C1"/>
    <w:rsid w:val="6BE74CF0"/>
    <w:rsid w:val="6BEB5DE6"/>
    <w:rsid w:val="6BF85BDF"/>
    <w:rsid w:val="6C148FD7"/>
    <w:rsid w:val="6C173B28"/>
    <w:rsid w:val="6C1E371F"/>
    <w:rsid w:val="6C1E75C8"/>
    <w:rsid w:val="6C1F0B28"/>
    <w:rsid w:val="6C2B24E0"/>
    <w:rsid w:val="6C3E20A4"/>
    <w:rsid w:val="6C3EED34"/>
    <w:rsid w:val="6C423C4F"/>
    <w:rsid w:val="6C434C0E"/>
    <w:rsid w:val="6C47E46A"/>
    <w:rsid w:val="6C58860A"/>
    <w:rsid w:val="6C5EC10D"/>
    <w:rsid w:val="6C60F71C"/>
    <w:rsid w:val="6C61EF8F"/>
    <w:rsid w:val="6C7A03B2"/>
    <w:rsid w:val="6C7A7EA4"/>
    <w:rsid w:val="6C8E6DC6"/>
    <w:rsid w:val="6C9429BA"/>
    <w:rsid w:val="6C9DAF3E"/>
    <w:rsid w:val="6CA4CC7E"/>
    <w:rsid w:val="6CA7C944"/>
    <w:rsid w:val="6CBC450E"/>
    <w:rsid w:val="6CC7DA8B"/>
    <w:rsid w:val="6CCECF79"/>
    <w:rsid w:val="6CE233D9"/>
    <w:rsid w:val="6CE4B860"/>
    <w:rsid w:val="6CE8ED59"/>
    <w:rsid w:val="6CEE75CE"/>
    <w:rsid w:val="6CEF8C19"/>
    <w:rsid w:val="6CF31FBF"/>
    <w:rsid w:val="6CFBEE10"/>
    <w:rsid w:val="6D0209F1"/>
    <w:rsid w:val="6D09DA5E"/>
    <w:rsid w:val="6D0A94B1"/>
    <w:rsid w:val="6D0D4FF0"/>
    <w:rsid w:val="6D1BCD34"/>
    <w:rsid w:val="6D1C3332"/>
    <w:rsid w:val="6D36B8C3"/>
    <w:rsid w:val="6D4916CE"/>
    <w:rsid w:val="6D50F004"/>
    <w:rsid w:val="6D516FB9"/>
    <w:rsid w:val="6D56C4FE"/>
    <w:rsid w:val="6D65922D"/>
    <w:rsid w:val="6D6B573E"/>
    <w:rsid w:val="6D71F2AC"/>
    <w:rsid w:val="6D731EF8"/>
    <w:rsid w:val="6D7B4002"/>
    <w:rsid w:val="6D7B7495"/>
    <w:rsid w:val="6D84CC36"/>
    <w:rsid w:val="6D892828"/>
    <w:rsid w:val="6D95A542"/>
    <w:rsid w:val="6D97A287"/>
    <w:rsid w:val="6D997D83"/>
    <w:rsid w:val="6D9C0435"/>
    <w:rsid w:val="6D9D8483"/>
    <w:rsid w:val="6DAE4F82"/>
    <w:rsid w:val="6DB50159"/>
    <w:rsid w:val="6DB6520E"/>
    <w:rsid w:val="6DBFFC9A"/>
    <w:rsid w:val="6DDEB2E5"/>
    <w:rsid w:val="6DE16E55"/>
    <w:rsid w:val="6DE22EC2"/>
    <w:rsid w:val="6DE95573"/>
    <w:rsid w:val="6DEDBDCF"/>
    <w:rsid w:val="6DEE5231"/>
    <w:rsid w:val="6DEE56C4"/>
    <w:rsid w:val="6DF9E355"/>
    <w:rsid w:val="6DFB0F8D"/>
    <w:rsid w:val="6E056804"/>
    <w:rsid w:val="6E1048DF"/>
    <w:rsid w:val="6E141EE9"/>
    <w:rsid w:val="6E17D145"/>
    <w:rsid w:val="6E1C2E4E"/>
    <w:rsid w:val="6E1C44DA"/>
    <w:rsid w:val="6E222662"/>
    <w:rsid w:val="6E232C5D"/>
    <w:rsid w:val="6E23C16F"/>
    <w:rsid w:val="6E23E646"/>
    <w:rsid w:val="6E2657C8"/>
    <w:rsid w:val="6E2D9E78"/>
    <w:rsid w:val="6E2DAC83"/>
    <w:rsid w:val="6E2EBF51"/>
    <w:rsid w:val="6E407FB8"/>
    <w:rsid w:val="6E455CF7"/>
    <w:rsid w:val="6E46BE85"/>
    <w:rsid w:val="6E4D2496"/>
    <w:rsid w:val="6E5C3E92"/>
    <w:rsid w:val="6E7533B4"/>
    <w:rsid w:val="6E78E6F0"/>
    <w:rsid w:val="6E7AB2DB"/>
    <w:rsid w:val="6E8DC466"/>
    <w:rsid w:val="6E92FEED"/>
    <w:rsid w:val="6E9F9B75"/>
    <w:rsid w:val="6EA60906"/>
    <w:rsid w:val="6EA69202"/>
    <w:rsid w:val="6EB3C1E0"/>
    <w:rsid w:val="6EB4F62F"/>
    <w:rsid w:val="6EBA8C1E"/>
    <w:rsid w:val="6EBD4E3E"/>
    <w:rsid w:val="6EC078A1"/>
    <w:rsid w:val="6EC5907F"/>
    <w:rsid w:val="6EC7822E"/>
    <w:rsid w:val="6ECD0E84"/>
    <w:rsid w:val="6ECD94CA"/>
    <w:rsid w:val="6ECDD587"/>
    <w:rsid w:val="6ED3C270"/>
    <w:rsid w:val="6ED4E70C"/>
    <w:rsid w:val="6ED8EA57"/>
    <w:rsid w:val="6EDB8C48"/>
    <w:rsid w:val="6EE26030"/>
    <w:rsid w:val="6EE94857"/>
    <w:rsid w:val="6EF4106F"/>
    <w:rsid w:val="6EF491CB"/>
    <w:rsid w:val="6EF60793"/>
    <w:rsid w:val="6EF8AA50"/>
    <w:rsid w:val="6F0449EF"/>
    <w:rsid w:val="6F08B7B6"/>
    <w:rsid w:val="6F09A913"/>
    <w:rsid w:val="6F0B8E9E"/>
    <w:rsid w:val="6F0DFEF8"/>
    <w:rsid w:val="6F0EFC96"/>
    <w:rsid w:val="6F131313"/>
    <w:rsid w:val="6F138031"/>
    <w:rsid w:val="6F177043"/>
    <w:rsid w:val="6F1B06EF"/>
    <w:rsid w:val="6F2E95CD"/>
    <w:rsid w:val="6F32BF41"/>
    <w:rsid w:val="6F34D6E7"/>
    <w:rsid w:val="6F385CB8"/>
    <w:rsid w:val="6F3CEBC5"/>
    <w:rsid w:val="6F4BC25E"/>
    <w:rsid w:val="6F4D2E86"/>
    <w:rsid w:val="6F545158"/>
    <w:rsid w:val="6F6D33E5"/>
    <w:rsid w:val="6F74B29A"/>
    <w:rsid w:val="6F77E1C1"/>
    <w:rsid w:val="6F84DFEA"/>
    <w:rsid w:val="6F8F51E4"/>
    <w:rsid w:val="6F96E84A"/>
    <w:rsid w:val="6F9714B2"/>
    <w:rsid w:val="6F9C1AF6"/>
    <w:rsid w:val="6F9DACF6"/>
    <w:rsid w:val="6FA2F777"/>
    <w:rsid w:val="6FAF5552"/>
    <w:rsid w:val="6FB121EB"/>
    <w:rsid w:val="6FB29F5A"/>
    <w:rsid w:val="6FB3A0B9"/>
    <w:rsid w:val="6FB8CDE5"/>
    <w:rsid w:val="6FBD1B7C"/>
    <w:rsid w:val="6FC00F71"/>
    <w:rsid w:val="6FC263B1"/>
    <w:rsid w:val="6FC4D9FC"/>
    <w:rsid w:val="6FC98DE6"/>
    <w:rsid w:val="6FCB64C9"/>
    <w:rsid w:val="6FCBDA4F"/>
    <w:rsid w:val="6FCBE689"/>
    <w:rsid w:val="6FEC17DF"/>
    <w:rsid w:val="6FEF64F3"/>
    <w:rsid w:val="6FF2EFF1"/>
    <w:rsid w:val="6FF48616"/>
    <w:rsid w:val="6FF617C6"/>
    <w:rsid w:val="6FFEFD2F"/>
    <w:rsid w:val="7005F00B"/>
    <w:rsid w:val="70095EA7"/>
    <w:rsid w:val="700D03D0"/>
    <w:rsid w:val="700EA2C4"/>
    <w:rsid w:val="7024E3FC"/>
    <w:rsid w:val="702CAC55"/>
    <w:rsid w:val="702F46FB"/>
    <w:rsid w:val="703070DB"/>
    <w:rsid w:val="70360D4F"/>
    <w:rsid w:val="7045116F"/>
    <w:rsid w:val="7047ED6D"/>
    <w:rsid w:val="7048A71D"/>
    <w:rsid w:val="70595FDA"/>
    <w:rsid w:val="705FC085"/>
    <w:rsid w:val="7064606B"/>
    <w:rsid w:val="707462CF"/>
    <w:rsid w:val="70880BC0"/>
    <w:rsid w:val="708BC871"/>
    <w:rsid w:val="708CC89D"/>
    <w:rsid w:val="708CF260"/>
    <w:rsid w:val="708F0048"/>
    <w:rsid w:val="70956D83"/>
    <w:rsid w:val="709740D3"/>
    <w:rsid w:val="709EBCDE"/>
    <w:rsid w:val="709FAA33"/>
    <w:rsid w:val="70A3BD25"/>
    <w:rsid w:val="70AEFA43"/>
    <w:rsid w:val="70B8AFF2"/>
    <w:rsid w:val="70BA7319"/>
    <w:rsid w:val="70BB8AC2"/>
    <w:rsid w:val="70BEBBA7"/>
    <w:rsid w:val="70C5A05D"/>
    <w:rsid w:val="70C7E58E"/>
    <w:rsid w:val="70C89BAF"/>
    <w:rsid w:val="70CBE58E"/>
    <w:rsid w:val="70CDDEF7"/>
    <w:rsid w:val="70D673BA"/>
    <w:rsid w:val="70D6B295"/>
    <w:rsid w:val="70D7C4F5"/>
    <w:rsid w:val="70DC287B"/>
    <w:rsid w:val="70DC61C2"/>
    <w:rsid w:val="70DDFD33"/>
    <w:rsid w:val="70DF14D0"/>
    <w:rsid w:val="70E86BA0"/>
    <w:rsid w:val="70EE7448"/>
    <w:rsid w:val="70EEC7FA"/>
    <w:rsid w:val="70EF1366"/>
    <w:rsid w:val="71051ACA"/>
    <w:rsid w:val="710B38EF"/>
    <w:rsid w:val="710D5D2F"/>
    <w:rsid w:val="711556C0"/>
    <w:rsid w:val="711B850A"/>
    <w:rsid w:val="711E4333"/>
    <w:rsid w:val="711F7E10"/>
    <w:rsid w:val="712143DA"/>
    <w:rsid w:val="7121F8B5"/>
    <w:rsid w:val="71228C6D"/>
    <w:rsid w:val="7125E2C9"/>
    <w:rsid w:val="712DF517"/>
    <w:rsid w:val="712E7B96"/>
    <w:rsid w:val="71356FA6"/>
    <w:rsid w:val="713967FE"/>
    <w:rsid w:val="71447FC7"/>
    <w:rsid w:val="7148E071"/>
    <w:rsid w:val="714A859B"/>
    <w:rsid w:val="714A926C"/>
    <w:rsid w:val="714C4DB4"/>
    <w:rsid w:val="715C3F26"/>
    <w:rsid w:val="71642514"/>
    <w:rsid w:val="716C8EF0"/>
    <w:rsid w:val="716FF542"/>
    <w:rsid w:val="71760589"/>
    <w:rsid w:val="71778832"/>
    <w:rsid w:val="7178A276"/>
    <w:rsid w:val="717A5372"/>
    <w:rsid w:val="717B939C"/>
    <w:rsid w:val="7180A296"/>
    <w:rsid w:val="7182803A"/>
    <w:rsid w:val="7184131D"/>
    <w:rsid w:val="7185491A"/>
    <w:rsid w:val="718B639C"/>
    <w:rsid w:val="718FEA73"/>
    <w:rsid w:val="719C5ACC"/>
    <w:rsid w:val="71A52D20"/>
    <w:rsid w:val="71A94C60"/>
    <w:rsid w:val="71AEBC2F"/>
    <w:rsid w:val="71B5021A"/>
    <w:rsid w:val="71C0B5B9"/>
    <w:rsid w:val="71C9022B"/>
    <w:rsid w:val="71D65D6D"/>
    <w:rsid w:val="71DEDC3C"/>
    <w:rsid w:val="71E968EE"/>
    <w:rsid w:val="71ECFA77"/>
    <w:rsid w:val="71F2DB61"/>
    <w:rsid w:val="71FDA901"/>
    <w:rsid w:val="720072B0"/>
    <w:rsid w:val="7206463E"/>
    <w:rsid w:val="7211062E"/>
    <w:rsid w:val="721161E3"/>
    <w:rsid w:val="72128154"/>
    <w:rsid w:val="721B070A"/>
    <w:rsid w:val="7229264F"/>
    <w:rsid w:val="722C2C8F"/>
    <w:rsid w:val="723465F7"/>
    <w:rsid w:val="72359CCE"/>
    <w:rsid w:val="7236BA93"/>
    <w:rsid w:val="7237B47A"/>
    <w:rsid w:val="7238CB8B"/>
    <w:rsid w:val="723F1A9F"/>
    <w:rsid w:val="72406280"/>
    <w:rsid w:val="724BD63D"/>
    <w:rsid w:val="7250E48F"/>
    <w:rsid w:val="72536564"/>
    <w:rsid w:val="7257941D"/>
    <w:rsid w:val="725A14AC"/>
    <w:rsid w:val="725D890F"/>
    <w:rsid w:val="7263FC67"/>
    <w:rsid w:val="7265AB04"/>
    <w:rsid w:val="7265CB3E"/>
    <w:rsid w:val="72672382"/>
    <w:rsid w:val="72681FCC"/>
    <w:rsid w:val="72693DA9"/>
    <w:rsid w:val="726A88BE"/>
    <w:rsid w:val="726F7A63"/>
    <w:rsid w:val="7270F6AB"/>
    <w:rsid w:val="72735706"/>
    <w:rsid w:val="7276F06B"/>
    <w:rsid w:val="727B1472"/>
    <w:rsid w:val="727BE7DC"/>
    <w:rsid w:val="727D2691"/>
    <w:rsid w:val="727DB8F4"/>
    <w:rsid w:val="7280A03B"/>
    <w:rsid w:val="728F6D91"/>
    <w:rsid w:val="729AEDFB"/>
    <w:rsid w:val="72AE0842"/>
    <w:rsid w:val="72B7B13A"/>
    <w:rsid w:val="72C6D6D0"/>
    <w:rsid w:val="72CACA2D"/>
    <w:rsid w:val="72D02A82"/>
    <w:rsid w:val="72D1B157"/>
    <w:rsid w:val="72E1F648"/>
    <w:rsid w:val="72F0BB41"/>
    <w:rsid w:val="72F184E6"/>
    <w:rsid w:val="72F20473"/>
    <w:rsid w:val="72F2B025"/>
    <w:rsid w:val="7301D0D9"/>
    <w:rsid w:val="7310D1BA"/>
    <w:rsid w:val="73162DC2"/>
    <w:rsid w:val="73192374"/>
    <w:rsid w:val="731B832C"/>
    <w:rsid w:val="7320A5D3"/>
    <w:rsid w:val="7328E722"/>
    <w:rsid w:val="732C8689"/>
    <w:rsid w:val="7336532C"/>
    <w:rsid w:val="733787EA"/>
    <w:rsid w:val="733BCCEB"/>
    <w:rsid w:val="734A9CFC"/>
    <w:rsid w:val="734CCA6C"/>
    <w:rsid w:val="734CE09B"/>
    <w:rsid w:val="734D566F"/>
    <w:rsid w:val="734F448A"/>
    <w:rsid w:val="7355B70B"/>
    <w:rsid w:val="735B2AE8"/>
    <w:rsid w:val="735DB5DC"/>
    <w:rsid w:val="735E931B"/>
    <w:rsid w:val="73651FEC"/>
    <w:rsid w:val="73671EB4"/>
    <w:rsid w:val="73746017"/>
    <w:rsid w:val="73765C7F"/>
    <w:rsid w:val="7379FA04"/>
    <w:rsid w:val="737DF37C"/>
    <w:rsid w:val="738EBF1D"/>
    <w:rsid w:val="738F9985"/>
    <w:rsid w:val="739235B0"/>
    <w:rsid w:val="739887B3"/>
    <w:rsid w:val="7398F7A5"/>
    <w:rsid w:val="73A39030"/>
    <w:rsid w:val="73B5B12C"/>
    <w:rsid w:val="73C4B510"/>
    <w:rsid w:val="73C4E678"/>
    <w:rsid w:val="73D6F3C9"/>
    <w:rsid w:val="73DDE074"/>
    <w:rsid w:val="73EFF599"/>
    <w:rsid w:val="73F01DF1"/>
    <w:rsid w:val="73F0831E"/>
    <w:rsid w:val="73F816AF"/>
    <w:rsid w:val="73FEBB32"/>
    <w:rsid w:val="73FF3DA7"/>
    <w:rsid w:val="741755EB"/>
    <w:rsid w:val="74185E33"/>
    <w:rsid w:val="741B916E"/>
    <w:rsid w:val="741C2FD2"/>
    <w:rsid w:val="7436135E"/>
    <w:rsid w:val="743E3A6E"/>
    <w:rsid w:val="743F9CAE"/>
    <w:rsid w:val="74410844"/>
    <w:rsid w:val="74446879"/>
    <w:rsid w:val="7446BDD7"/>
    <w:rsid w:val="744D0BC5"/>
    <w:rsid w:val="74525EF0"/>
    <w:rsid w:val="7452FAA1"/>
    <w:rsid w:val="7453A58C"/>
    <w:rsid w:val="74555306"/>
    <w:rsid w:val="74581E8B"/>
    <w:rsid w:val="7458595D"/>
    <w:rsid w:val="745C577E"/>
    <w:rsid w:val="74797611"/>
    <w:rsid w:val="747AEBC6"/>
    <w:rsid w:val="747E24D7"/>
    <w:rsid w:val="747E2C0E"/>
    <w:rsid w:val="74851CC5"/>
    <w:rsid w:val="748EDD88"/>
    <w:rsid w:val="749092B7"/>
    <w:rsid w:val="7495E5E3"/>
    <w:rsid w:val="749BCAF4"/>
    <w:rsid w:val="749D303E"/>
    <w:rsid w:val="74A04BD5"/>
    <w:rsid w:val="74AE2B0D"/>
    <w:rsid w:val="74B0FCF0"/>
    <w:rsid w:val="74B2EA21"/>
    <w:rsid w:val="74B66A95"/>
    <w:rsid w:val="74BF1CD1"/>
    <w:rsid w:val="74C5F7DC"/>
    <w:rsid w:val="74E729B1"/>
    <w:rsid w:val="74E8555F"/>
    <w:rsid w:val="74F7C0AA"/>
    <w:rsid w:val="74FE24CA"/>
    <w:rsid w:val="750A618A"/>
    <w:rsid w:val="750FAF47"/>
    <w:rsid w:val="75139B9B"/>
    <w:rsid w:val="7513D2AA"/>
    <w:rsid w:val="751D735C"/>
    <w:rsid w:val="75207FEC"/>
    <w:rsid w:val="75250C23"/>
    <w:rsid w:val="7525EF56"/>
    <w:rsid w:val="75290741"/>
    <w:rsid w:val="752A4245"/>
    <w:rsid w:val="752CD86B"/>
    <w:rsid w:val="7530D7A8"/>
    <w:rsid w:val="75327454"/>
    <w:rsid w:val="75391071"/>
    <w:rsid w:val="7543D483"/>
    <w:rsid w:val="7544097B"/>
    <w:rsid w:val="7545A7AF"/>
    <w:rsid w:val="754B0AC0"/>
    <w:rsid w:val="754F5E92"/>
    <w:rsid w:val="7556B7F1"/>
    <w:rsid w:val="7558E2FB"/>
    <w:rsid w:val="755E7085"/>
    <w:rsid w:val="755EF3C1"/>
    <w:rsid w:val="7575BA68"/>
    <w:rsid w:val="757835A1"/>
    <w:rsid w:val="757915C4"/>
    <w:rsid w:val="757DAE6E"/>
    <w:rsid w:val="75803504"/>
    <w:rsid w:val="7581B445"/>
    <w:rsid w:val="75836616"/>
    <w:rsid w:val="7587767D"/>
    <w:rsid w:val="75889A45"/>
    <w:rsid w:val="758E46BD"/>
    <w:rsid w:val="75911030"/>
    <w:rsid w:val="75920107"/>
    <w:rsid w:val="7592CF58"/>
    <w:rsid w:val="7593C729"/>
    <w:rsid w:val="75A11FEA"/>
    <w:rsid w:val="75A3DDFF"/>
    <w:rsid w:val="75A818B4"/>
    <w:rsid w:val="75A95059"/>
    <w:rsid w:val="75B59692"/>
    <w:rsid w:val="75B5E7DD"/>
    <w:rsid w:val="75B90069"/>
    <w:rsid w:val="75BCA272"/>
    <w:rsid w:val="75BD214E"/>
    <w:rsid w:val="75BFE2A1"/>
    <w:rsid w:val="75C1AD39"/>
    <w:rsid w:val="75C8D0F7"/>
    <w:rsid w:val="75EC1E98"/>
    <w:rsid w:val="75ECC798"/>
    <w:rsid w:val="75F43CC2"/>
    <w:rsid w:val="75F56AD4"/>
    <w:rsid w:val="75FBB7C1"/>
    <w:rsid w:val="76021946"/>
    <w:rsid w:val="76061B27"/>
    <w:rsid w:val="7609DEB7"/>
    <w:rsid w:val="760B972F"/>
    <w:rsid w:val="760DE8D9"/>
    <w:rsid w:val="76151871"/>
    <w:rsid w:val="76156AE4"/>
    <w:rsid w:val="761CB0E7"/>
    <w:rsid w:val="761DB81E"/>
    <w:rsid w:val="761E835B"/>
    <w:rsid w:val="761F8387"/>
    <w:rsid w:val="76201571"/>
    <w:rsid w:val="7623BCDE"/>
    <w:rsid w:val="76296616"/>
    <w:rsid w:val="762B1788"/>
    <w:rsid w:val="7630797D"/>
    <w:rsid w:val="7630F2FE"/>
    <w:rsid w:val="763F33E1"/>
    <w:rsid w:val="7645254A"/>
    <w:rsid w:val="76504368"/>
    <w:rsid w:val="7662B135"/>
    <w:rsid w:val="76633637"/>
    <w:rsid w:val="766BA332"/>
    <w:rsid w:val="76760661"/>
    <w:rsid w:val="767B83C2"/>
    <w:rsid w:val="767BFF4C"/>
    <w:rsid w:val="7683E527"/>
    <w:rsid w:val="7686B872"/>
    <w:rsid w:val="7687523D"/>
    <w:rsid w:val="7687DF3F"/>
    <w:rsid w:val="76895689"/>
    <w:rsid w:val="7694D8F3"/>
    <w:rsid w:val="7699D54E"/>
    <w:rsid w:val="76A8D8B3"/>
    <w:rsid w:val="76A9E261"/>
    <w:rsid w:val="76AB6337"/>
    <w:rsid w:val="76AB6FE0"/>
    <w:rsid w:val="76AEA0B9"/>
    <w:rsid w:val="76AF0A7B"/>
    <w:rsid w:val="76AFA226"/>
    <w:rsid w:val="76B80EB2"/>
    <w:rsid w:val="76C2F10E"/>
    <w:rsid w:val="76CE6FD7"/>
    <w:rsid w:val="76D83AEB"/>
    <w:rsid w:val="76DBD6A4"/>
    <w:rsid w:val="76E727EE"/>
    <w:rsid w:val="76E86E20"/>
    <w:rsid w:val="76EA9C05"/>
    <w:rsid w:val="76F3B13A"/>
    <w:rsid w:val="76FB1142"/>
    <w:rsid w:val="770252FC"/>
    <w:rsid w:val="771D9353"/>
    <w:rsid w:val="771F56D1"/>
    <w:rsid w:val="77257D22"/>
    <w:rsid w:val="772840C8"/>
    <w:rsid w:val="773BE7D0"/>
    <w:rsid w:val="773D072C"/>
    <w:rsid w:val="773D1633"/>
    <w:rsid w:val="773D280A"/>
    <w:rsid w:val="773ED419"/>
    <w:rsid w:val="77495788"/>
    <w:rsid w:val="7755CE06"/>
    <w:rsid w:val="7756E0C6"/>
    <w:rsid w:val="775EF522"/>
    <w:rsid w:val="7762740E"/>
    <w:rsid w:val="776F05E2"/>
    <w:rsid w:val="7770DF8B"/>
    <w:rsid w:val="77863907"/>
    <w:rsid w:val="7787503E"/>
    <w:rsid w:val="778A7DDF"/>
    <w:rsid w:val="7793D142"/>
    <w:rsid w:val="77948A7E"/>
    <w:rsid w:val="7797C1EE"/>
    <w:rsid w:val="77997A40"/>
    <w:rsid w:val="77A05D8C"/>
    <w:rsid w:val="77A0BD75"/>
    <w:rsid w:val="77A13DCD"/>
    <w:rsid w:val="77A4CBDA"/>
    <w:rsid w:val="77A942B5"/>
    <w:rsid w:val="77AB8B69"/>
    <w:rsid w:val="77BEB948"/>
    <w:rsid w:val="77C1CE18"/>
    <w:rsid w:val="77C6E15E"/>
    <w:rsid w:val="77C75B7E"/>
    <w:rsid w:val="77CC4B3D"/>
    <w:rsid w:val="77D2F7A5"/>
    <w:rsid w:val="77D33CE5"/>
    <w:rsid w:val="77EA98F4"/>
    <w:rsid w:val="77EBF628"/>
    <w:rsid w:val="7802BE06"/>
    <w:rsid w:val="7804F2C7"/>
    <w:rsid w:val="7805FEBD"/>
    <w:rsid w:val="780E9265"/>
    <w:rsid w:val="78168503"/>
    <w:rsid w:val="78206D9D"/>
    <w:rsid w:val="782F0342"/>
    <w:rsid w:val="7831F800"/>
    <w:rsid w:val="783C7CEB"/>
    <w:rsid w:val="783D9E39"/>
    <w:rsid w:val="783ED57F"/>
    <w:rsid w:val="7847101B"/>
    <w:rsid w:val="784F250A"/>
    <w:rsid w:val="7851E94C"/>
    <w:rsid w:val="7854BBB3"/>
    <w:rsid w:val="7855F278"/>
    <w:rsid w:val="785804B3"/>
    <w:rsid w:val="78657F47"/>
    <w:rsid w:val="78705E8B"/>
    <w:rsid w:val="7870D73A"/>
    <w:rsid w:val="787487C2"/>
    <w:rsid w:val="7895E3F6"/>
    <w:rsid w:val="78985975"/>
    <w:rsid w:val="7899431D"/>
    <w:rsid w:val="78ACBC2A"/>
    <w:rsid w:val="78B11489"/>
    <w:rsid w:val="78BAC584"/>
    <w:rsid w:val="78BD9F1B"/>
    <w:rsid w:val="78BF1D06"/>
    <w:rsid w:val="78C01B07"/>
    <w:rsid w:val="78C67E4E"/>
    <w:rsid w:val="78C9A52A"/>
    <w:rsid w:val="78CBC522"/>
    <w:rsid w:val="78D1D30C"/>
    <w:rsid w:val="78D998B0"/>
    <w:rsid w:val="78DC1D49"/>
    <w:rsid w:val="78DCCBB8"/>
    <w:rsid w:val="78E26B57"/>
    <w:rsid w:val="78EBB166"/>
    <w:rsid w:val="78EBDE48"/>
    <w:rsid w:val="78EEC384"/>
    <w:rsid w:val="78FAF1DE"/>
    <w:rsid w:val="78FE29F3"/>
    <w:rsid w:val="78FF75C7"/>
    <w:rsid w:val="790916D7"/>
    <w:rsid w:val="791DD5B1"/>
    <w:rsid w:val="792B460B"/>
    <w:rsid w:val="792D8001"/>
    <w:rsid w:val="79318CD0"/>
    <w:rsid w:val="79327E32"/>
    <w:rsid w:val="7936BD9B"/>
    <w:rsid w:val="793AB9AA"/>
    <w:rsid w:val="793C7084"/>
    <w:rsid w:val="79416818"/>
    <w:rsid w:val="7942CDF8"/>
    <w:rsid w:val="7945CC9D"/>
    <w:rsid w:val="7952FF4B"/>
    <w:rsid w:val="795C916D"/>
    <w:rsid w:val="795CE874"/>
    <w:rsid w:val="795E7A7A"/>
    <w:rsid w:val="7962726A"/>
    <w:rsid w:val="7971E820"/>
    <w:rsid w:val="79759432"/>
    <w:rsid w:val="797FC325"/>
    <w:rsid w:val="7987A8CA"/>
    <w:rsid w:val="798CD695"/>
    <w:rsid w:val="79941DC0"/>
    <w:rsid w:val="7999E146"/>
    <w:rsid w:val="79AF01F0"/>
    <w:rsid w:val="79B105D7"/>
    <w:rsid w:val="79B22414"/>
    <w:rsid w:val="79BAF7DF"/>
    <w:rsid w:val="79BECBE0"/>
    <w:rsid w:val="79C8F316"/>
    <w:rsid w:val="79CD4962"/>
    <w:rsid w:val="79D6624C"/>
    <w:rsid w:val="79E30745"/>
    <w:rsid w:val="79FA55AE"/>
    <w:rsid w:val="79FB284E"/>
    <w:rsid w:val="7A0A4B86"/>
    <w:rsid w:val="7A0DC58C"/>
    <w:rsid w:val="7A0EE6F5"/>
    <w:rsid w:val="7A10CADB"/>
    <w:rsid w:val="7A188248"/>
    <w:rsid w:val="7A281DF1"/>
    <w:rsid w:val="7A2CF8FB"/>
    <w:rsid w:val="7A2E162D"/>
    <w:rsid w:val="7A304165"/>
    <w:rsid w:val="7A3D0E8A"/>
    <w:rsid w:val="7A401040"/>
    <w:rsid w:val="7A42C8B6"/>
    <w:rsid w:val="7A437A7D"/>
    <w:rsid w:val="7A567858"/>
    <w:rsid w:val="7A62B6FA"/>
    <w:rsid w:val="7A71E765"/>
    <w:rsid w:val="7A7EE0C1"/>
    <w:rsid w:val="7A818E56"/>
    <w:rsid w:val="7A860262"/>
    <w:rsid w:val="7A86CEAF"/>
    <w:rsid w:val="7A9286F4"/>
    <w:rsid w:val="7A9474CD"/>
    <w:rsid w:val="7A95F8CE"/>
    <w:rsid w:val="7AA60634"/>
    <w:rsid w:val="7AAF5FE2"/>
    <w:rsid w:val="7AB2F15E"/>
    <w:rsid w:val="7AB4B4E5"/>
    <w:rsid w:val="7ABA0336"/>
    <w:rsid w:val="7ABDB5A8"/>
    <w:rsid w:val="7AC52562"/>
    <w:rsid w:val="7AD258E9"/>
    <w:rsid w:val="7ADC73C3"/>
    <w:rsid w:val="7AE10B0E"/>
    <w:rsid w:val="7AE4E5B5"/>
    <w:rsid w:val="7AE87F56"/>
    <w:rsid w:val="7AE91C4C"/>
    <w:rsid w:val="7AEAB75A"/>
    <w:rsid w:val="7AEBF091"/>
    <w:rsid w:val="7AF1F4D2"/>
    <w:rsid w:val="7AF32429"/>
    <w:rsid w:val="7AF4CE4B"/>
    <w:rsid w:val="7B0238A4"/>
    <w:rsid w:val="7B0A4D71"/>
    <w:rsid w:val="7B35EE0D"/>
    <w:rsid w:val="7B3845AD"/>
    <w:rsid w:val="7B42B811"/>
    <w:rsid w:val="7B46B13E"/>
    <w:rsid w:val="7B48DADC"/>
    <w:rsid w:val="7B4A75C4"/>
    <w:rsid w:val="7B50C679"/>
    <w:rsid w:val="7B56CFBC"/>
    <w:rsid w:val="7B57892C"/>
    <w:rsid w:val="7B6179E8"/>
    <w:rsid w:val="7B6350D5"/>
    <w:rsid w:val="7B651E1F"/>
    <w:rsid w:val="7B6521C2"/>
    <w:rsid w:val="7B6F60F3"/>
    <w:rsid w:val="7B73355E"/>
    <w:rsid w:val="7B73CCCA"/>
    <w:rsid w:val="7B75FE6E"/>
    <w:rsid w:val="7B8120CF"/>
    <w:rsid w:val="7B813BE3"/>
    <w:rsid w:val="7B82CE33"/>
    <w:rsid w:val="7B83F5D1"/>
    <w:rsid w:val="7B89B61F"/>
    <w:rsid w:val="7B8E7B04"/>
    <w:rsid w:val="7B8F4535"/>
    <w:rsid w:val="7B931655"/>
    <w:rsid w:val="7B985B27"/>
    <w:rsid w:val="7B98A183"/>
    <w:rsid w:val="7B9EF722"/>
    <w:rsid w:val="7BA2F116"/>
    <w:rsid w:val="7BA8EA93"/>
    <w:rsid w:val="7BB1A5C6"/>
    <w:rsid w:val="7BBD83E5"/>
    <w:rsid w:val="7BC6B2E9"/>
    <w:rsid w:val="7BCC46A7"/>
    <w:rsid w:val="7BD05FAC"/>
    <w:rsid w:val="7BDBBD28"/>
    <w:rsid w:val="7BE7FB47"/>
    <w:rsid w:val="7BEC4D29"/>
    <w:rsid w:val="7BEDD12E"/>
    <w:rsid w:val="7BF692B2"/>
    <w:rsid w:val="7BFA7BA0"/>
    <w:rsid w:val="7C008CD2"/>
    <w:rsid w:val="7C118411"/>
    <w:rsid w:val="7C12C14F"/>
    <w:rsid w:val="7C1B1D54"/>
    <w:rsid w:val="7C2259A4"/>
    <w:rsid w:val="7C29DBA5"/>
    <w:rsid w:val="7C2CFB09"/>
    <w:rsid w:val="7C32235F"/>
    <w:rsid w:val="7C3DFC55"/>
    <w:rsid w:val="7C4151CB"/>
    <w:rsid w:val="7C4629D2"/>
    <w:rsid w:val="7C498EB8"/>
    <w:rsid w:val="7C4BA5D8"/>
    <w:rsid w:val="7C4BFED5"/>
    <w:rsid w:val="7C5CF647"/>
    <w:rsid w:val="7C681106"/>
    <w:rsid w:val="7C707041"/>
    <w:rsid w:val="7C735781"/>
    <w:rsid w:val="7C8222A3"/>
    <w:rsid w:val="7C83B2DB"/>
    <w:rsid w:val="7C85F744"/>
    <w:rsid w:val="7C8CE301"/>
    <w:rsid w:val="7C974B01"/>
    <w:rsid w:val="7C980A93"/>
    <w:rsid w:val="7C985C2A"/>
    <w:rsid w:val="7C98EFD2"/>
    <w:rsid w:val="7CA0EA85"/>
    <w:rsid w:val="7CA6DFAF"/>
    <w:rsid w:val="7CA76A4F"/>
    <w:rsid w:val="7CAB0464"/>
    <w:rsid w:val="7CB03976"/>
    <w:rsid w:val="7CB87127"/>
    <w:rsid w:val="7CBCAFD0"/>
    <w:rsid w:val="7CC2CCFB"/>
    <w:rsid w:val="7CCAAA96"/>
    <w:rsid w:val="7CCD5115"/>
    <w:rsid w:val="7CCDD586"/>
    <w:rsid w:val="7CDAE7B3"/>
    <w:rsid w:val="7CDDA845"/>
    <w:rsid w:val="7CEBDE45"/>
    <w:rsid w:val="7CEDFD29"/>
    <w:rsid w:val="7CF54A50"/>
    <w:rsid w:val="7CF58229"/>
    <w:rsid w:val="7D02F5E7"/>
    <w:rsid w:val="7D0B9839"/>
    <w:rsid w:val="7D0CB277"/>
    <w:rsid w:val="7D0EC744"/>
    <w:rsid w:val="7D24EFDD"/>
    <w:rsid w:val="7D2E6048"/>
    <w:rsid w:val="7D2E6A3D"/>
    <w:rsid w:val="7D36A9DD"/>
    <w:rsid w:val="7D398092"/>
    <w:rsid w:val="7D3A090F"/>
    <w:rsid w:val="7D427636"/>
    <w:rsid w:val="7D464C62"/>
    <w:rsid w:val="7D51B083"/>
    <w:rsid w:val="7D68E047"/>
    <w:rsid w:val="7D6B9379"/>
    <w:rsid w:val="7D752748"/>
    <w:rsid w:val="7D759719"/>
    <w:rsid w:val="7D782382"/>
    <w:rsid w:val="7D801184"/>
    <w:rsid w:val="7D819113"/>
    <w:rsid w:val="7D81AAEC"/>
    <w:rsid w:val="7D85BA99"/>
    <w:rsid w:val="7D881730"/>
    <w:rsid w:val="7D882A7E"/>
    <w:rsid w:val="7D8D2E11"/>
    <w:rsid w:val="7D8FE380"/>
    <w:rsid w:val="7D96BD73"/>
    <w:rsid w:val="7DA326F0"/>
    <w:rsid w:val="7DA5DF87"/>
    <w:rsid w:val="7DA8B832"/>
    <w:rsid w:val="7DA943BF"/>
    <w:rsid w:val="7DA99F03"/>
    <w:rsid w:val="7DAB56AF"/>
    <w:rsid w:val="7DB0BDDE"/>
    <w:rsid w:val="7DC00695"/>
    <w:rsid w:val="7DC2AE42"/>
    <w:rsid w:val="7DC60C31"/>
    <w:rsid w:val="7DD53EE9"/>
    <w:rsid w:val="7DD60528"/>
    <w:rsid w:val="7DF263C7"/>
    <w:rsid w:val="7DFB5626"/>
    <w:rsid w:val="7DFCBEE4"/>
    <w:rsid w:val="7DFFBE37"/>
    <w:rsid w:val="7E02C6B3"/>
    <w:rsid w:val="7E0615D7"/>
    <w:rsid w:val="7E0780C1"/>
    <w:rsid w:val="7E13E164"/>
    <w:rsid w:val="7E209861"/>
    <w:rsid w:val="7E24E0D5"/>
    <w:rsid w:val="7E25081A"/>
    <w:rsid w:val="7E28E445"/>
    <w:rsid w:val="7E30246F"/>
    <w:rsid w:val="7E33C19D"/>
    <w:rsid w:val="7E3FCEF7"/>
    <w:rsid w:val="7E3FF3C8"/>
    <w:rsid w:val="7E47CFA6"/>
    <w:rsid w:val="7E4A9273"/>
    <w:rsid w:val="7E4F0B1C"/>
    <w:rsid w:val="7E5797B8"/>
    <w:rsid w:val="7E5C8718"/>
    <w:rsid w:val="7E6730F9"/>
    <w:rsid w:val="7E6DDFF2"/>
    <w:rsid w:val="7E71E809"/>
    <w:rsid w:val="7E7A01CC"/>
    <w:rsid w:val="7E7EA5B9"/>
    <w:rsid w:val="7E8B09D7"/>
    <w:rsid w:val="7E8C2B6C"/>
    <w:rsid w:val="7EA0A613"/>
    <w:rsid w:val="7EA2C298"/>
    <w:rsid w:val="7EA8A692"/>
    <w:rsid w:val="7EAA108F"/>
    <w:rsid w:val="7EAAF3AF"/>
    <w:rsid w:val="7EABA60C"/>
    <w:rsid w:val="7EB59088"/>
    <w:rsid w:val="7EC363A8"/>
    <w:rsid w:val="7EC553FD"/>
    <w:rsid w:val="7EC64882"/>
    <w:rsid w:val="7EC8A74D"/>
    <w:rsid w:val="7ECC16C6"/>
    <w:rsid w:val="7ED47B83"/>
    <w:rsid w:val="7ED4AA66"/>
    <w:rsid w:val="7ED4C27B"/>
    <w:rsid w:val="7ED5267E"/>
    <w:rsid w:val="7EDFF17E"/>
    <w:rsid w:val="7EE953EA"/>
    <w:rsid w:val="7EEC32ED"/>
    <w:rsid w:val="7EEEF811"/>
    <w:rsid w:val="7EF0C064"/>
    <w:rsid w:val="7EF8D585"/>
    <w:rsid w:val="7EFD82AC"/>
    <w:rsid w:val="7EFF4B99"/>
    <w:rsid w:val="7F0D90C1"/>
    <w:rsid w:val="7F17D502"/>
    <w:rsid w:val="7F1912E8"/>
    <w:rsid w:val="7F1C1796"/>
    <w:rsid w:val="7F1F01FE"/>
    <w:rsid w:val="7F264DA2"/>
    <w:rsid w:val="7F2C7D04"/>
    <w:rsid w:val="7F36C8CD"/>
    <w:rsid w:val="7F3E9DAE"/>
    <w:rsid w:val="7F4591FE"/>
    <w:rsid w:val="7F5651C0"/>
    <w:rsid w:val="7F576699"/>
    <w:rsid w:val="7F5CF51B"/>
    <w:rsid w:val="7F5F7386"/>
    <w:rsid w:val="7F62CE4C"/>
    <w:rsid w:val="7F6A5B68"/>
    <w:rsid w:val="7F6B6E85"/>
    <w:rsid w:val="7F872285"/>
    <w:rsid w:val="7F88AFE8"/>
    <w:rsid w:val="7F912055"/>
    <w:rsid w:val="7F966148"/>
    <w:rsid w:val="7F96CA9C"/>
    <w:rsid w:val="7F973262"/>
    <w:rsid w:val="7F9BC719"/>
    <w:rsid w:val="7F9D9626"/>
    <w:rsid w:val="7FA0CCD7"/>
    <w:rsid w:val="7FA1E739"/>
    <w:rsid w:val="7FA20ED5"/>
    <w:rsid w:val="7FA5DE84"/>
    <w:rsid w:val="7FAE7002"/>
    <w:rsid w:val="7FB3EC3E"/>
    <w:rsid w:val="7FBCAE28"/>
    <w:rsid w:val="7FBD04C6"/>
    <w:rsid w:val="7FC0EE64"/>
    <w:rsid w:val="7FC17285"/>
    <w:rsid w:val="7FCCA62E"/>
    <w:rsid w:val="7FD3C8AB"/>
    <w:rsid w:val="7FD5F56D"/>
    <w:rsid w:val="7FE338B3"/>
    <w:rsid w:val="7FE5AB1A"/>
    <w:rsid w:val="7FE7B6E9"/>
    <w:rsid w:val="7FF12ADE"/>
    <w:rsid w:val="7FF3C2AC"/>
    <w:rsid w:val="7FF3D664"/>
    <w:rsid w:val="7FF60884"/>
    <w:rsid w:val="7FF95FD4"/>
    <w:rsid w:val="7FFB329D"/>
    <w:rsid w:val="7FFC39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8823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C03"/>
  </w:style>
  <w:style w:type="paragraph" w:styleId="Heading1">
    <w:name w:val="heading 1"/>
    <w:basedOn w:val="Normal"/>
    <w:next w:val="Normal"/>
    <w:link w:val="Heading1Char"/>
    <w:uiPriority w:val="9"/>
    <w:qFormat/>
    <w:rsid w:val="001F65A4"/>
    <w:pPr>
      <w:keepNext/>
      <w:keepLines/>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Heading3">
    <w:name w:val="heading 3"/>
    <w:basedOn w:val="Normal"/>
    <w:next w:val="Normal"/>
    <w:link w:val="Heading3Char"/>
    <w:uiPriority w:val="9"/>
    <w:unhideWhenUsed/>
    <w:qFormat/>
    <w:rsid w:val="001F65A4"/>
    <w:pPr>
      <w:keepNext/>
      <w:keepLines/>
      <w:spacing w:before="160" w:after="80"/>
      <w:outlineLvl w:val="2"/>
    </w:pPr>
    <w:rPr>
      <w:rFonts w:eastAsiaTheme="majorEastAsia" w:cstheme="majorBidi"/>
      <w:color w:val="2F5496" w:themeColor="accent1" w:themeShade="BF"/>
      <w:kern w:val="2"/>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2C6"/>
  </w:style>
  <w:style w:type="paragraph" w:styleId="Footer">
    <w:name w:val="footer"/>
    <w:basedOn w:val="Normal"/>
    <w:link w:val="FooterChar"/>
    <w:uiPriority w:val="99"/>
    <w:unhideWhenUsed/>
    <w:rsid w:val="004F02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2C6"/>
  </w:style>
  <w:style w:type="paragraph" w:customStyle="1" w:styleId="Text1">
    <w:name w:val="Text 1"/>
    <w:basedOn w:val="Normal"/>
    <w:qFormat/>
    <w:rsid w:val="004F02C6"/>
    <w:pPr>
      <w:spacing w:after="240" w:line="240" w:lineRule="auto"/>
      <w:ind w:left="482"/>
      <w:jc w:val="both"/>
    </w:pPr>
    <w:rPr>
      <w:rFonts w:ascii="Times New Roman" w:eastAsia="Times New Roman" w:hAnsi="Times New Roman" w:cs="Times New Roman"/>
      <w:sz w:val="24"/>
      <w:szCs w:val="20"/>
      <w:lang w:eastAsia="en-IE"/>
      <w14:ligatures w14:val="none"/>
    </w:rPr>
  </w:style>
  <w:style w:type="character" w:styleId="HTMLCode">
    <w:name w:val="HTML Code"/>
    <w:basedOn w:val="DefaultParagraphFont"/>
    <w:uiPriority w:val="99"/>
    <w:semiHidden/>
    <w:unhideWhenUsed/>
    <w:rsid w:val="00E62CAE"/>
    <w:rPr>
      <w:rFonts w:ascii="Courier New" w:eastAsia="Times New Roman" w:hAnsi="Courier New" w:cs="Courier New"/>
      <w:sz w:val="20"/>
      <w:szCs w:val="20"/>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Body"/>
    <w:basedOn w:val="Normal"/>
    <w:link w:val="ListParagraphChar"/>
    <w:uiPriority w:val="34"/>
    <w:qFormat/>
    <w:rsid w:val="00E62CAE"/>
    <w:pPr>
      <w:ind w:left="720"/>
      <w:contextualSpacing/>
    </w:pPr>
  </w:style>
  <w:style w:type="table" w:styleId="TableGrid">
    <w:name w:val="Table Grid"/>
    <w:basedOn w:val="TableNormal"/>
    <w:uiPriority w:val="39"/>
    <w:rsid w:val="00276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81F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1F43"/>
    <w:rPr>
      <w:sz w:val="20"/>
      <w:szCs w:val="20"/>
    </w:rPr>
  </w:style>
  <w:style w:type="character" w:styleId="FootnoteReference">
    <w:name w:val="footnote reference"/>
    <w:basedOn w:val="DefaultParagraphFont"/>
    <w:uiPriority w:val="99"/>
    <w:semiHidden/>
    <w:unhideWhenUsed/>
    <w:rsid w:val="00D81F43"/>
    <w:rPr>
      <w:vertAlign w:val="superscript"/>
    </w:rPr>
  </w:style>
  <w:style w:type="character" w:styleId="CommentReference">
    <w:name w:val="annotation reference"/>
    <w:basedOn w:val="DefaultParagraphFont"/>
    <w:uiPriority w:val="99"/>
    <w:semiHidden/>
    <w:unhideWhenUsed/>
    <w:rsid w:val="00EC0156"/>
    <w:rPr>
      <w:sz w:val="16"/>
      <w:szCs w:val="16"/>
    </w:rPr>
  </w:style>
  <w:style w:type="paragraph" w:styleId="CommentText">
    <w:name w:val="annotation text"/>
    <w:basedOn w:val="Normal"/>
    <w:link w:val="CommentTextChar"/>
    <w:uiPriority w:val="99"/>
    <w:unhideWhenUsed/>
    <w:rsid w:val="00EC0156"/>
    <w:pPr>
      <w:spacing w:line="240" w:lineRule="auto"/>
    </w:pPr>
    <w:rPr>
      <w:sz w:val="20"/>
      <w:szCs w:val="20"/>
    </w:rPr>
  </w:style>
  <w:style w:type="character" w:customStyle="1" w:styleId="CommentTextChar">
    <w:name w:val="Comment Text Char"/>
    <w:basedOn w:val="DefaultParagraphFont"/>
    <w:link w:val="CommentText"/>
    <w:uiPriority w:val="99"/>
    <w:rsid w:val="00EC0156"/>
    <w:rPr>
      <w:sz w:val="20"/>
      <w:szCs w:val="20"/>
    </w:rPr>
  </w:style>
  <w:style w:type="paragraph" w:styleId="CommentSubject">
    <w:name w:val="annotation subject"/>
    <w:basedOn w:val="CommentText"/>
    <w:next w:val="CommentText"/>
    <w:link w:val="CommentSubjectChar"/>
    <w:uiPriority w:val="99"/>
    <w:semiHidden/>
    <w:unhideWhenUsed/>
    <w:rsid w:val="00EC0156"/>
    <w:rPr>
      <w:b/>
      <w:bCs/>
    </w:rPr>
  </w:style>
  <w:style w:type="character" w:customStyle="1" w:styleId="CommentSubjectChar">
    <w:name w:val="Comment Subject Char"/>
    <w:basedOn w:val="CommentTextChar"/>
    <w:link w:val="CommentSubject"/>
    <w:uiPriority w:val="99"/>
    <w:semiHidden/>
    <w:rsid w:val="00EC0156"/>
    <w:rPr>
      <w:b/>
      <w:bCs/>
      <w:sz w:val="20"/>
      <w:szCs w:val="20"/>
    </w:rPr>
  </w:style>
  <w:style w:type="paragraph" w:styleId="Revision">
    <w:name w:val="Revision"/>
    <w:hidden/>
    <w:uiPriority w:val="99"/>
    <w:semiHidden/>
    <w:rsid w:val="00DF19CB"/>
    <w:pPr>
      <w:spacing w:after="0" w:line="240" w:lineRule="auto"/>
    </w:pPr>
  </w:style>
  <w:style w:type="character" w:styleId="Hyperlink">
    <w:name w:val="Hyperlink"/>
    <w:basedOn w:val="DefaultParagraphFont"/>
    <w:uiPriority w:val="99"/>
    <w:unhideWhenUsed/>
    <w:rsid w:val="5E812A7E"/>
    <w:rPr>
      <w:color w:val="0563C1"/>
      <w:u w:val="single"/>
    </w:rPr>
  </w:style>
  <w:style w:type="character" w:customStyle="1" w:styleId="UnresolvedMention1">
    <w:name w:val="Unresolved Mention1"/>
    <w:basedOn w:val="DefaultParagraphFont"/>
    <w:uiPriority w:val="99"/>
    <w:semiHidden/>
    <w:unhideWhenUsed/>
    <w:rsid w:val="002F61EF"/>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sid w:val="003B6359"/>
  </w:style>
  <w:style w:type="paragraph" w:customStyle="1" w:styleId="paragraph">
    <w:name w:val="paragraph"/>
    <w:basedOn w:val="Normal"/>
    <w:rsid w:val="00B14808"/>
    <w:pPr>
      <w:spacing w:before="100" w:beforeAutospacing="1" w:after="100" w:afterAutospacing="1" w:line="240" w:lineRule="auto"/>
    </w:pPr>
    <w:rPr>
      <w:rFonts w:ascii="Times New Roman" w:eastAsia="Times New Roman" w:hAnsi="Times New Roman" w:cs="Times New Roman"/>
      <w:sz w:val="24"/>
      <w:szCs w:val="24"/>
      <w:lang w:eastAsia="en-IE"/>
      <w14:ligatures w14:val="none"/>
    </w:rPr>
  </w:style>
  <w:style w:type="character" w:customStyle="1" w:styleId="normaltextrun">
    <w:name w:val="normaltextrun"/>
    <w:basedOn w:val="DefaultParagraphFont"/>
    <w:rsid w:val="00B14808"/>
  </w:style>
  <w:style w:type="character" w:customStyle="1" w:styleId="eop">
    <w:name w:val="eop"/>
    <w:basedOn w:val="DefaultParagraphFont"/>
    <w:uiPriority w:val="1"/>
    <w:rsid w:val="00B14808"/>
  </w:style>
  <w:style w:type="character" w:styleId="FollowedHyperlink">
    <w:name w:val="FollowedHyperlink"/>
    <w:basedOn w:val="DefaultParagraphFont"/>
    <w:uiPriority w:val="99"/>
    <w:semiHidden/>
    <w:unhideWhenUsed/>
    <w:rsid w:val="00626AF6"/>
    <w:rPr>
      <w:color w:val="954F72" w:themeColor="followedHyperlink"/>
      <w:u w:val="single"/>
    </w:rPr>
  </w:style>
  <w:style w:type="paragraph" w:customStyle="1" w:styleId="pf0">
    <w:name w:val="pf0"/>
    <w:basedOn w:val="Normal"/>
    <w:rsid w:val="00382591"/>
    <w:pPr>
      <w:spacing w:before="100" w:beforeAutospacing="1" w:after="100" w:afterAutospacing="1" w:line="240" w:lineRule="auto"/>
    </w:pPr>
    <w:rPr>
      <w:rFonts w:ascii="Times New Roman" w:eastAsia="Times New Roman" w:hAnsi="Times New Roman" w:cs="Times New Roman"/>
      <w:sz w:val="24"/>
      <w:szCs w:val="24"/>
      <w:lang w:eastAsia="en-IE"/>
      <w14:ligatures w14:val="none"/>
    </w:rPr>
  </w:style>
  <w:style w:type="character" w:customStyle="1" w:styleId="cf01">
    <w:name w:val="cf01"/>
    <w:basedOn w:val="DefaultParagraphFont"/>
    <w:rsid w:val="00382591"/>
    <w:rPr>
      <w:rFonts w:ascii="Segoe UI" w:hAnsi="Segoe UI" w:cs="Segoe UI" w:hint="default"/>
      <w:sz w:val="18"/>
      <w:szCs w:val="18"/>
    </w:rPr>
  </w:style>
  <w:style w:type="character" w:customStyle="1" w:styleId="cf11">
    <w:name w:val="cf11"/>
    <w:basedOn w:val="DefaultParagraphFont"/>
    <w:rsid w:val="00382591"/>
    <w:rPr>
      <w:rFonts w:ascii="Segoe UI" w:hAnsi="Segoe UI" w:cs="Segoe UI" w:hint="default"/>
      <w:sz w:val="18"/>
      <w:szCs w:val="18"/>
    </w:rPr>
  </w:style>
  <w:style w:type="character" w:customStyle="1" w:styleId="cf21">
    <w:name w:val="cf21"/>
    <w:basedOn w:val="DefaultParagraphFont"/>
    <w:rsid w:val="00382591"/>
    <w:rPr>
      <w:rFonts w:ascii="Segoe UI" w:hAnsi="Segoe UI" w:cs="Segoe UI" w:hint="default"/>
      <w:sz w:val="18"/>
      <w:szCs w:val="18"/>
      <w:vertAlign w:val="superscript"/>
    </w:rPr>
  </w:style>
  <w:style w:type="character" w:customStyle="1" w:styleId="Heading1Char">
    <w:name w:val="Heading 1 Char"/>
    <w:basedOn w:val="DefaultParagraphFont"/>
    <w:link w:val="Heading1"/>
    <w:uiPriority w:val="9"/>
    <w:rsid w:val="001F65A4"/>
    <w:rPr>
      <w:rFonts w:asciiTheme="majorHAnsi" w:eastAsiaTheme="majorEastAsia" w:hAnsiTheme="majorHAnsi" w:cstheme="majorBidi"/>
      <w:color w:val="2F5496" w:themeColor="accent1" w:themeShade="BF"/>
      <w:kern w:val="2"/>
      <w:sz w:val="40"/>
      <w:szCs w:val="40"/>
      <w:lang w:val="fr-FR"/>
    </w:rPr>
  </w:style>
  <w:style w:type="character" w:customStyle="1" w:styleId="Heading3Char">
    <w:name w:val="Heading 3 Char"/>
    <w:basedOn w:val="DefaultParagraphFont"/>
    <w:link w:val="Heading3"/>
    <w:uiPriority w:val="9"/>
    <w:rsid w:val="001F65A4"/>
    <w:rPr>
      <w:rFonts w:eastAsiaTheme="majorEastAsia" w:cstheme="majorBidi"/>
      <w:color w:val="2F5496" w:themeColor="accent1" w:themeShade="BF"/>
      <w:kern w:val="2"/>
      <w:sz w:val="28"/>
      <w:szCs w:val="28"/>
      <w:lang w:val="fr-FR"/>
    </w:rPr>
  </w:style>
  <w:style w:type="character" w:customStyle="1" w:styleId="Mention1">
    <w:name w:val="Mention1"/>
    <w:basedOn w:val="DefaultParagraphFont"/>
    <w:uiPriority w:val="99"/>
    <w:unhideWhenUsed/>
    <w:rsid w:val="00EF7908"/>
    <w:rPr>
      <w:color w:val="2B579A"/>
      <w:shd w:val="clear" w:color="auto" w:fill="E1DFDD"/>
    </w:rPr>
  </w:style>
  <w:style w:type="paragraph" w:customStyle="1" w:styleId="FooterCoverPage">
    <w:name w:val="Footer Cover Page"/>
    <w:basedOn w:val="Normal"/>
    <w:link w:val="FooterCoverPageChar"/>
    <w:rsid w:val="0087093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70938"/>
    <w:rPr>
      <w:rFonts w:ascii="Times New Roman" w:hAnsi="Times New Roman" w:cs="Times New Roman"/>
      <w:sz w:val="24"/>
    </w:rPr>
  </w:style>
  <w:style w:type="character" w:customStyle="1" w:styleId="Marker">
    <w:name w:val="Marker"/>
    <w:basedOn w:val="DefaultParagraphFont"/>
    <w:rsid w:val="009D5589"/>
    <w:rPr>
      <w:color w:val="0000FF"/>
      <w:shd w:val="clear" w:color="auto" w:fill="auto"/>
    </w:rPr>
  </w:style>
  <w:style w:type="paragraph" w:customStyle="1" w:styleId="Pagedecouverture">
    <w:name w:val="Page de couverture"/>
    <w:basedOn w:val="Normal"/>
    <w:next w:val="Normal"/>
    <w:rsid w:val="009D5589"/>
    <w:pPr>
      <w:spacing w:after="0" w:line="240" w:lineRule="auto"/>
      <w:jc w:val="both"/>
    </w:pPr>
    <w:rPr>
      <w:rFonts w:ascii="Times New Roman" w:hAnsi="Times New Roman" w:cs="Times New Roman"/>
      <w:sz w:val="24"/>
      <w14:ligatures w14:val="none"/>
    </w:rPr>
  </w:style>
  <w:style w:type="paragraph" w:customStyle="1" w:styleId="FooterSensitivity">
    <w:name w:val="Footer Sensitivity"/>
    <w:basedOn w:val="Normal"/>
    <w:link w:val="FooterSensitivityChar"/>
    <w:rsid w:val="009D558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5589"/>
    <w:rPr>
      <w:rFonts w:ascii="Times New Roman" w:hAnsi="Times New Roman" w:cs="Times New Roman"/>
      <w:b/>
      <w:sz w:val="32"/>
    </w:rPr>
  </w:style>
  <w:style w:type="paragraph" w:customStyle="1" w:styleId="HeaderCoverPage">
    <w:name w:val="Header Cover Page"/>
    <w:basedOn w:val="Normal"/>
    <w:link w:val="HeaderCoverPageChar"/>
    <w:rsid w:val="009D558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5589"/>
    <w:rPr>
      <w:rFonts w:ascii="Times New Roman" w:hAnsi="Times New Roman" w:cs="Times New Roman"/>
      <w:sz w:val="24"/>
    </w:rPr>
  </w:style>
  <w:style w:type="paragraph" w:customStyle="1" w:styleId="HeaderSensitivity">
    <w:name w:val="Header Sensitivity"/>
    <w:basedOn w:val="Normal"/>
    <w:link w:val="HeaderSensitivityChar"/>
    <w:rsid w:val="009D558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5589"/>
    <w:rPr>
      <w:rFonts w:ascii="Times New Roman" w:hAnsi="Times New Roman" w:cs="Times New Roman"/>
      <w:b/>
      <w:sz w:val="32"/>
    </w:rPr>
  </w:style>
  <w:style w:type="paragraph" w:customStyle="1" w:styleId="HeaderSensitivityRight">
    <w:name w:val="Header Sensitivity Right"/>
    <w:basedOn w:val="Normal"/>
    <w:link w:val="HeaderSensitivityRightChar"/>
    <w:rsid w:val="009D55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5589"/>
    <w:rPr>
      <w:rFonts w:ascii="Times New Roman" w:hAnsi="Times New Roman" w:cs="Times New Roman"/>
      <w:sz w:val="28"/>
    </w:rPr>
  </w:style>
  <w:style w:type="paragraph" w:styleId="BalloonText">
    <w:name w:val="Balloon Text"/>
    <w:basedOn w:val="Normal"/>
    <w:link w:val="BalloonTextChar"/>
    <w:uiPriority w:val="99"/>
    <w:semiHidden/>
    <w:unhideWhenUsed/>
    <w:rsid w:val="00403F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F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9064">
      <w:bodyDiv w:val="1"/>
      <w:marLeft w:val="0"/>
      <w:marRight w:val="0"/>
      <w:marTop w:val="0"/>
      <w:marBottom w:val="0"/>
      <w:divBdr>
        <w:top w:val="none" w:sz="0" w:space="0" w:color="auto"/>
        <w:left w:val="none" w:sz="0" w:space="0" w:color="auto"/>
        <w:bottom w:val="none" w:sz="0" w:space="0" w:color="auto"/>
        <w:right w:val="none" w:sz="0" w:space="0" w:color="auto"/>
      </w:divBdr>
    </w:div>
    <w:div w:id="67459834">
      <w:bodyDiv w:val="1"/>
      <w:marLeft w:val="0"/>
      <w:marRight w:val="0"/>
      <w:marTop w:val="0"/>
      <w:marBottom w:val="0"/>
      <w:divBdr>
        <w:top w:val="none" w:sz="0" w:space="0" w:color="auto"/>
        <w:left w:val="none" w:sz="0" w:space="0" w:color="auto"/>
        <w:bottom w:val="none" w:sz="0" w:space="0" w:color="auto"/>
        <w:right w:val="none" w:sz="0" w:space="0" w:color="auto"/>
      </w:divBdr>
    </w:div>
    <w:div w:id="125319428">
      <w:bodyDiv w:val="1"/>
      <w:marLeft w:val="0"/>
      <w:marRight w:val="0"/>
      <w:marTop w:val="0"/>
      <w:marBottom w:val="0"/>
      <w:divBdr>
        <w:top w:val="none" w:sz="0" w:space="0" w:color="auto"/>
        <w:left w:val="none" w:sz="0" w:space="0" w:color="auto"/>
        <w:bottom w:val="none" w:sz="0" w:space="0" w:color="auto"/>
        <w:right w:val="none" w:sz="0" w:space="0" w:color="auto"/>
      </w:divBdr>
    </w:div>
    <w:div w:id="165052315">
      <w:bodyDiv w:val="1"/>
      <w:marLeft w:val="0"/>
      <w:marRight w:val="0"/>
      <w:marTop w:val="0"/>
      <w:marBottom w:val="0"/>
      <w:divBdr>
        <w:top w:val="none" w:sz="0" w:space="0" w:color="auto"/>
        <w:left w:val="none" w:sz="0" w:space="0" w:color="auto"/>
        <w:bottom w:val="none" w:sz="0" w:space="0" w:color="auto"/>
        <w:right w:val="none" w:sz="0" w:space="0" w:color="auto"/>
      </w:divBdr>
    </w:div>
    <w:div w:id="198474487">
      <w:bodyDiv w:val="1"/>
      <w:marLeft w:val="0"/>
      <w:marRight w:val="0"/>
      <w:marTop w:val="0"/>
      <w:marBottom w:val="0"/>
      <w:divBdr>
        <w:top w:val="none" w:sz="0" w:space="0" w:color="auto"/>
        <w:left w:val="none" w:sz="0" w:space="0" w:color="auto"/>
        <w:bottom w:val="none" w:sz="0" w:space="0" w:color="auto"/>
        <w:right w:val="none" w:sz="0" w:space="0" w:color="auto"/>
      </w:divBdr>
    </w:div>
    <w:div w:id="211119542">
      <w:bodyDiv w:val="1"/>
      <w:marLeft w:val="0"/>
      <w:marRight w:val="0"/>
      <w:marTop w:val="0"/>
      <w:marBottom w:val="0"/>
      <w:divBdr>
        <w:top w:val="none" w:sz="0" w:space="0" w:color="auto"/>
        <w:left w:val="none" w:sz="0" w:space="0" w:color="auto"/>
        <w:bottom w:val="none" w:sz="0" w:space="0" w:color="auto"/>
        <w:right w:val="none" w:sz="0" w:space="0" w:color="auto"/>
      </w:divBdr>
    </w:div>
    <w:div w:id="268007285">
      <w:bodyDiv w:val="1"/>
      <w:marLeft w:val="0"/>
      <w:marRight w:val="0"/>
      <w:marTop w:val="0"/>
      <w:marBottom w:val="0"/>
      <w:divBdr>
        <w:top w:val="none" w:sz="0" w:space="0" w:color="auto"/>
        <w:left w:val="none" w:sz="0" w:space="0" w:color="auto"/>
        <w:bottom w:val="none" w:sz="0" w:space="0" w:color="auto"/>
        <w:right w:val="none" w:sz="0" w:space="0" w:color="auto"/>
      </w:divBdr>
    </w:div>
    <w:div w:id="322242938">
      <w:bodyDiv w:val="1"/>
      <w:marLeft w:val="0"/>
      <w:marRight w:val="0"/>
      <w:marTop w:val="0"/>
      <w:marBottom w:val="0"/>
      <w:divBdr>
        <w:top w:val="none" w:sz="0" w:space="0" w:color="auto"/>
        <w:left w:val="none" w:sz="0" w:space="0" w:color="auto"/>
        <w:bottom w:val="none" w:sz="0" w:space="0" w:color="auto"/>
        <w:right w:val="none" w:sz="0" w:space="0" w:color="auto"/>
      </w:divBdr>
    </w:div>
    <w:div w:id="346179043">
      <w:bodyDiv w:val="1"/>
      <w:marLeft w:val="0"/>
      <w:marRight w:val="0"/>
      <w:marTop w:val="0"/>
      <w:marBottom w:val="0"/>
      <w:divBdr>
        <w:top w:val="none" w:sz="0" w:space="0" w:color="auto"/>
        <w:left w:val="none" w:sz="0" w:space="0" w:color="auto"/>
        <w:bottom w:val="none" w:sz="0" w:space="0" w:color="auto"/>
        <w:right w:val="none" w:sz="0" w:space="0" w:color="auto"/>
      </w:divBdr>
    </w:div>
    <w:div w:id="377625938">
      <w:bodyDiv w:val="1"/>
      <w:marLeft w:val="0"/>
      <w:marRight w:val="0"/>
      <w:marTop w:val="0"/>
      <w:marBottom w:val="0"/>
      <w:divBdr>
        <w:top w:val="none" w:sz="0" w:space="0" w:color="auto"/>
        <w:left w:val="none" w:sz="0" w:space="0" w:color="auto"/>
        <w:bottom w:val="none" w:sz="0" w:space="0" w:color="auto"/>
        <w:right w:val="none" w:sz="0" w:space="0" w:color="auto"/>
      </w:divBdr>
    </w:div>
    <w:div w:id="483663689">
      <w:bodyDiv w:val="1"/>
      <w:marLeft w:val="0"/>
      <w:marRight w:val="0"/>
      <w:marTop w:val="0"/>
      <w:marBottom w:val="0"/>
      <w:divBdr>
        <w:top w:val="none" w:sz="0" w:space="0" w:color="auto"/>
        <w:left w:val="none" w:sz="0" w:space="0" w:color="auto"/>
        <w:bottom w:val="none" w:sz="0" w:space="0" w:color="auto"/>
        <w:right w:val="none" w:sz="0" w:space="0" w:color="auto"/>
      </w:divBdr>
      <w:divsChild>
        <w:div w:id="715393289">
          <w:marLeft w:val="0"/>
          <w:marRight w:val="0"/>
          <w:marTop w:val="0"/>
          <w:marBottom w:val="0"/>
          <w:divBdr>
            <w:top w:val="none" w:sz="0" w:space="0" w:color="auto"/>
            <w:left w:val="none" w:sz="0" w:space="0" w:color="auto"/>
            <w:bottom w:val="none" w:sz="0" w:space="0" w:color="auto"/>
            <w:right w:val="none" w:sz="0" w:space="0" w:color="auto"/>
          </w:divBdr>
        </w:div>
        <w:div w:id="822158223">
          <w:marLeft w:val="0"/>
          <w:marRight w:val="0"/>
          <w:marTop w:val="0"/>
          <w:marBottom w:val="0"/>
          <w:divBdr>
            <w:top w:val="none" w:sz="0" w:space="0" w:color="auto"/>
            <w:left w:val="none" w:sz="0" w:space="0" w:color="auto"/>
            <w:bottom w:val="none" w:sz="0" w:space="0" w:color="auto"/>
            <w:right w:val="none" w:sz="0" w:space="0" w:color="auto"/>
          </w:divBdr>
        </w:div>
      </w:divsChild>
    </w:div>
    <w:div w:id="483860345">
      <w:bodyDiv w:val="1"/>
      <w:marLeft w:val="0"/>
      <w:marRight w:val="0"/>
      <w:marTop w:val="0"/>
      <w:marBottom w:val="0"/>
      <w:divBdr>
        <w:top w:val="none" w:sz="0" w:space="0" w:color="auto"/>
        <w:left w:val="none" w:sz="0" w:space="0" w:color="auto"/>
        <w:bottom w:val="none" w:sz="0" w:space="0" w:color="auto"/>
        <w:right w:val="none" w:sz="0" w:space="0" w:color="auto"/>
      </w:divBdr>
      <w:divsChild>
        <w:div w:id="630942651">
          <w:marLeft w:val="0"/>
          <w:marRight w:val="0"/>
          <w:marTop w:val="0"/>
          <w:marBottom w:val="0"/>
          <w:divBdr>
            <w:top w:val="none" w:sz="0" w:space="0" w:color="auto"/>
            <w:left w:val="none" w:sz="0" w:space="0" w:color="auto"/>
            <w:bottom w:val="none" w:sz="0" w:space="0" w:color="auto"/>
            <w:right w:val="none" w:sz="0" w:space="0" w:color="auto"/>
          </w:divBdr>
        </w:div>
      </w:divsChild>
    </w:div>
    <w:div w:id="494801817">
      <w:bodyDiv w:val="1"/>
      <w:marLeft w:val="0"/>
      <w:marRight w:val="0"/>
      <w:marTop w:val="0"/>
      <w:marBottom w:val="0"/>
      <w:divBdr>
        <w:top w:val="none" w:sz="0" w:space="0" w:color="auto"/>
        <w:left w:val="none" w:sz="0" w:space="0" w:color="auto"/>
        <w:bottom w:val="none" w:sz="0" w:space="0" w:color="auto"/>
        <w:right w:val="none" w:sz="0" w:space="0" w:color="auto"/>
      </w:divBdr>
    </w:div>
    <w:div w:id="555968291">
      <w:bodyDiv w:val="1"/>
      <w:marLeft w:val="0"/>
      <w:marRight w:val="0"/>
      <w:marTop w:val="0"/>
      <w:marBottom w:val="0"/>
      <w:divBdr>
        <w:top w:val="none" w:sz="0" w:space="0" w:color="auto"/>
        <w:left w:val="none" w:sz="0" w:space="0" w:color="auto"/>
        <w:bottom w:val="none" w:sz="0" w:space="0" w:color="auto"/>
        <w:right w:val="none" w:sz="0" w:space="0" w:color="auto"/>
      </w:divBdr>
    </w:div>
    <w:div w:id="599681744">
      <w:bodyDiv w:val="1"/>
      <w:marLeft w:val="0"/>
      <w:marRight w:val="0"/>
      <w:marTop w:val="0"/>
      <w:marBottom w:val="0"/>
      <w:divBdr>
        <w:top w:val="none" w:sz="0" w:space="0" w:color="auto"/>
        <w:left w:val="none" w:sz="0" w:space="0" w:color="auto"/>
        <w:bottom w:val="none" w:sz="0" w:space="0" w:color="auto"/>
        <w:right w:val="none" w:sz="0" w:space="0" w:color="auto"/>
      </w:divBdr>
    </w:div>
    <w:div w:id="613177526">
      <w:bodyDiv w:val="1"/>
      <w:marLeft w:val="0"/>
      <w:marRight w:val="0"/>
      <w:marTop w:val="0"/>
      <w:marBottom w:val="0"/>
      <w:divBdr>
        <w:top w:val="none" w:sz="0" w:space="0" w:color="auto"/>
        <w:left w:val="none" w:sz="0" w:space="0" w:color="auto"/>
        <w:bottom w:val="none" w:sz="0" w:space="0" w:color="auto"/>
        <w:right w:val="none" w:sz="0" w:space="0" w:color="auto"/>
      </w:divBdr>
      <w:divsChild>
        <w:div w:id="518659889">
          <w:marLeft w:val="0"/>
          <w:marRight w:val="0"/>
          <w:marTop w:val="0"/>
          <w:marBottom w:val="0"/>
          <w:divBdr>
            <w:top w:val="none" w:sz="0" w:space="0" w:color="auto"/>
            <w:left w:val="none" w:sz="0" w:space="0" w:color="auto"/>
            <w:bottom w:val="none" w:sz="0" w:space="0" w:color="auto"/>
            <w:right w:val="none" w:sz="0" w:space="0" w:color="auto"/>
          </w:divBdr>
        </w:div>
      </w:divsChild>
    </w:div>
    <w:div w:id="672144319">
      <w:bodyDiv w:val="1"/>
      <w:marLeft w:val="0"/>
      <w:marRight w:val="0"/>
      <w:marTop w:val="0"/>
      <w:marBottom w:val="0"/>
      <w:divBdr>
        <w:top w:val="none" w:sz="0" w:space="0" w:color="auto"/>
        <w:left w:val="none" w:sz="0" w:space="0" w:color="auto"/>
        <w:bottom w:val="none" w:sz="0" w:space="0" w:color="auto"/>
        <w:right w:val="none" w:sz="0" w:space="0" w:color="auto"/>
      </w:divBdr>
    </w:div>
    <w:div w:id="689262899">
      <w:bodyDiv w:val="1"/>
      <w:marLeft w:val="0"/>
      <w:marRight w:val="0"/>
      <w:marTop w:val="0"/>
      <w:marBottom w:val="0"/>
      <w:divBdr>
        <w:top w:val="none" w:sz="0" w:space="0" w:color="auto"/>
        <w:left w:val="none" w:sz="0" w:space="0" w:color="auto"/>
        <w:bottom w:val="none" w:sz="0" w:space="0" w:color="auto"/>
        <w:right w:val="none" w:sz="0" w:space="0" w:color="auto"/>
      </w:divBdr>
    </w:div>
    <w:div w:id="691302562">
      <w:bodyDiv w:val="1"/>
      <w:marLeft w:val="0"/>
      <w:marRight w:val="0"/>
      <w:marTop w:val="0"/>
      <w:marBottom w:val="0"/>
      <w:divBdr>
        <w:top w:val="none" w:sz="0" w:space="0" w:color="auto"/>
        <w:left w:val="none" w:sz="0" w:space="0" w:color="auto"/>
        <w:bottom w:val="none" w:sz="0" w:space="0" w:color="auto"/>
        <w:right w:val="none" w:sz="0" w:space="0" w:color="auto"/>
      </w:divBdr>
    </w:div>
    <w:div w:id="716665300">
      <w:bodyDiv w:val="1"/>
      <w:marLeft w:val="0"/>
      <w:marRight w:val="0"/>
      <w:marTop w:val="0"/>
      <w:marBottom w:val="0"/>
      <w:divBdr>
        <w:top w:val="none" w:sz="0" w:space="0" w:color="auto"/>
        <w:left w:val="none" w:sz="0" w:space="0" w:color="auto"/>
        <w:bottom w:val="none" w:sz="0" w:space="0" w:color="auto"/>
        <w:right w:val="none" w:sz="0" w:space="0" w:color="auto"/>
      </w:divBdr>
    </w:div>
    <w:div w:id="725641242">
      <w:bodyDiv w:val="1"/>
      <w:marLeft w:val="0"/>
      <w:marRight w:val="0"/>
      <w:marTop w:val="0"/>
      <w:marBottom w:val="0"/>
      <w:divBdr>
        <w:top w:val="none" w:sz="0" w:space="0" w:color="auto"/>
        <w:left w:val="none" w:sz="0" w:space="0" w:color="auto"/>
        <w:bottom w:val="none" w:sz="0" w:space="0" w:color="auto"/>
        <w:right w:val="none" w:sz="0" w:space="0" w:color="auto"/>
      </w:divBdr>
    </w:div>
    <w:div w:id="758402469">
      <w:bodyDiv w:val="1"/>
      <w:marLeft w:val="0"/>
      <w:marRight w:val="0"/>
      <w:marTop w:val="0"/>
      <w:marBottom w:val="0"/>
      <w:divBdr>
        <w:top w:val="none" w:sz="0" w:space="0" w:color="auto"/>
        <w:left w:val="none" w:sz="0" w:space="0" w:color="auto"/>
        <w:bottom w:val="none" w:sz="0" w:space="0" w:color="auto"/>
        <w:right w:val="none" w:sz="0" w:space="0" w:color="auto"/>
      </w:divBdr>
    </w:div>
    <w:div w:id="803426087">
      <w:bodyDiv w:val="1"/>
      <w:marLeft w:val="0"/>
      <w:marRight w:val="0"/>
      <w:marTop w:val="0"/>
      <w:marBottom w:val="0"/>
      <w:divBdr>
        <w:top w:val="none" w:sz="0" w:space="0" w:color="auto"/>
        <w:left w:val="none" w:sz="0" w:space="0" w:color="auto"/>
        <w:bottom w:val="none" w:sz="0" w:space="0" w:color="auto"/>
        <w:right w:val="none" w:sz="0" w:space="0" w:color="auto"/>
      </w:divBdr>
    </w:div>
    <w:div w:id="836967876">
      <w:bodyDiv w:val="1"/>
      <w:marLeft w:val="0"/>
      <w:marRight w:val="0"/>
      <w:marTop w:val="0"/>
      <w:marBottom w:val="0"/>
      <w:divBdr>
        <w:top w:val="none" w:sz="0" w:space="0" w:color="auto"/>
        <w:left w:val="none" w:sz="0" w:space="0" w:color="auto"/>
        <w:bottom w:val="none" w:sz="0" w:space="0" w:color="auto"/>
        <w:right w:val="none" w:sz="0" w:space="0" w:color="auto"/>
      </w:divBdr>
    </w:div>
    <w:div w:id="853617913">
      <w:bodyDiv w:val="1"/>
      <w:marLeft w:val="0"/>
      <w:marRight w:val="0"/>
      <w:marTop w:val="0"/>
      <w:marBottom w:val="0"/>
      <w:divBdr>
        <w:top w:val="none" w:sz="0" w:space="0" w:color="auto"/>
        <w:left w:val="none" w:sz="0" w:space="0" w:color="auto"/>
        <w:bottom w:val="none" w:sz="0" w:space="0" w:color="auto"/>
        <w:right w:val="none" w:sz="0" w:space="0" w:color="auto"/>
      </w:divBdr>
    </w:div>
    <w:div w:id="859661289">
      <w:bodyDiv w:val="1"/>
      <w:marLeft w:val="0"/>
      <w:marRight w:val="0"/>
      <w:marTop w:val="0"/>
      <w:marBottom w:val="0"/>
      <w:divBdr>
        <w:top w:val="none" w:sz="0" w:space="0" w:color="auto"/>
        <w:left w:val="none" w:sz="0" w:space="0" w:color="auto"/>
        <w:bottom w:val="none" w:sz="0" w:space="0" w:color="auto"/>
        <w:right w:val="none" w:sz="0" w:space="0" w:color="auto"/>
      </w:divBdr>
    </w:div>
    <w:div w:id="895317234">
      <w:bodyDiv w:val="1"/>
      <w:marLeft w:val="0"/>
      <w:marRight w:val="0"/>
      <w:marTop w:val="0"/>
      <w:marBottom w:val="0"/>
      <w:divBdr>
        <w:top w:val="none" w:sz="0" w:space="0" w:color="auto"/>
        <w:left w:val="none" w:sz="0" w:space="0" w:color="auto"/>
        <w:bottom w:val="none" w:sz="0" w:space="0" w:color="auto"/>
        <w:right w:val="none" w:sz="0" w:space="0" w:color="auto"/>
      </w:divBdr>
      <w:divsChild>
        <w:div w:id="621420035">
          <w:marLeft w:val="0"/>
          <w:marRight w:val="0"/>
          <w:marTop w:val="0"/>
          <w:marBottom w:val="0"/>
          <w:divBdr>
            <w:top w:val="none" w:sz="0" w:space="0" w:color="auto"/>
            <w:left w:val="none" w:sz="0" w:space="0" w:color="auto"/>
            <w:bottom w:val="none" w:sz="0" w:space="0" w:color="auto"/>
            <w:right w:val="none" w:sz="0" w:space="0" w:color="auto"/>
          </w:divBdr>
        </w:div>
        <w:div w:id="1726296676">
          <w:marLeft w:val="0"/>
          <w:marRight w:val="0"/>
          <w:marTop w:val="0"/>
          <w:marBottom w:val="0"/>
          <w:divBdr>
            <w:top w:val="none" w:sz="0" w:space="0" w:color="auto"/>
            <w:left w:val="none" w:sz="0" w:space="0" w:color="auto"/>
            <w:bottom w:val="none" w:sz="0" w:space="0" w:color="auto"/>
            <w:right w:val="none" w:sz="0" w:space="0" w:color="auto"/>
          </w:divBdr>
        </w:div>
      </w:divsChild>
    </w:div>
    <w:div w:id="902836165">
      <w:bodyDiv w:val="1"/>
      <w:marLeft w:val="0"/>
      <w:marRight w:val="0"/>
      <w:marTop w:val="0"/>
      <w:marBottom w:val="0"/>
      <w:divBdr>
        <w:top w:val="none" w:sz="0" w:space="0" w:color="auto"/>
        <w:left w:val="none" w:sz="0" w:space="0" w:color="auto"/>
        <w:bottom w:val="none" w:sz="0" w:space="0" w:color="auto"/>
        <w:right w:val="none" w:sz="0" w:space="0" w:color="auto"/>
      </w:divBdr>
    </w:div>
    <w:div w:id="950162214">
      <w:bodyDiv w:val="1"/>
      <w:marLeft w:val="0"/>
      <w:marRight w:val="0"/>
      <w:marTop w:val="0"/>
      <w:marBottom w:val="0"/>
      <w:divBdr>
        <w:top w:val="none" w:sz="0" w:space="0" w:color="auto"/>
        <w:left w:val="none" w:sz="0" w:space="0" w:color="auto"/>
        <w:bottom w:val="none" w:sz="0" w:space="0" w:color="auto"/>
        <w:right w:val="none" w:sz="0" w:space="0" w:color="auto"/>
      </w:divBdr>
    </w:div>
    <w:div w:id="962928826">
      <w:bodyDiv w:val="1"/>
      <w:marLeft w:val="0"/>
      <w:marRight w:val="0"/>
      <w:marTop w:val="0"/>
      <w:marBottom w:val="0"/>
      <w:divBdr>
        <w:top w:val="none" w:sz="0" w:space="0" w:color="auto"/>
        <w:left w:val="none" w:sz="0" w:space="0" w:color="auto"/>
        <w:bottom w:val="none" w:sz="0" w:space="0" w:color="auto"/>
        <w:right w:val="none" w:sz="0" w:space="0" w:color="auto"/>
      </w:divBdr>
    </w:div>
    <w:div w:id="1041396586">
      <w:bodyDiv w:val="1"/>
      <w:marLeft w:val="0"/>
      <w:marRight w:val="0"/>
      <w:marTop w:val="0"/>
      <w:marBottom w:val="0"/>
      <w:divBdr>
        <w:top w:val="none" w:sz="0" w:space="0" w:color="auto"/>
        <w:left w:val="none" w:sz="0" w:space="0" w:color="auto"/>
        <w:bottom w:val="none" w:sz="0" w:space="0" w:color="auto"/>
        <w:right w:val="none" w:sz="0" w:space="0" w:color="auto"/>
      </w:divBdr>
    </w:div>
    <w:div w:id="1085103598">
      <w:bodyDiv w:val="1"/>
      <w:marLeft w:val="0"/>
      <w:marRight w:val="0"/>
      <w:marTop w:val="0"/>
      <w:marBottom w:val="0"/>
      <w:divBdr>
        <w:top w:val="none" w:sz="0" w:space="0" w:color="auto"/>
        <w:left w:val="none" w:sz="0" w:space="0" w:color="auto"/>
        <w:bottom w:val="none" w:sz="0" w:space="0" w:color="auto"/>
        <w:right w:val="none" w:sz="0" w:space="0" w:color="auto"/>
      </w:divBdr>
    </w:div>
    <w:div w:id="1094479573">
      <w:bodyDiv w:val="1"/>
      <w:marLeft w:val="0"/>
      <w:marRight w:val="0"/>
      <w:marTop w:val="0"/>
      <w:marBottom w:val="0"/>
      <w:divBdr>
        <w:top w:val="none" w:sz="0" w:space="0" w:color="auto"/>
        <w:left w:val="none" w:sz="0" w:space="0" w:color="auto"/>
        <w:bottom w:val="none" w:sz="0" w:space="0" w:color="auto"/>
        <w:right w:val="none" w:sz="0" w:space="0" w:color="auto"/>
      </w:divBdr>
    </w:div>
    <w:div w:id="1152139697">
      <w:bodyDiv w:val="1"/>
      <w:marLeft w:val="0"/>
      <w:marRight w:val="0"/>
      <w:marTop w:val="0"/>
      <w:marBottom w:val="0"/>
      <w:divBdr>
        <w:top w:val="none" w:sz="0" w:space="0" w:color="auto"/>
        <w:left w:val="none" w:sz="0" w:space="0" w:color="auto"/>
        <w:bottom w:val="none" w:sz="0" w:space="0" w:color="auto"/>
        <w:right w:val="none" w:sz="0" w:space="0" w:color="auto"/>
      </w:divBdr>
    </w:div>
    <w:div w:id="1240676911">
      <w:bodyDiv w:val="1"/>
      <w:marLeft w:val="0"/>
      <w:marRight w:val="0"/>
      <w:marTop w:val="0"/>
      <w:marBottom w:val="0"/>
      <w:divBdr>
        <w:top w:val="none" w:sz="0" w:space="0" w:color="auto"/>
        <w:left w:val="none" w:sz="0" w:space="0" w:color="auto"/>
        <w:bottom w:val="none" w:sz="0" w:space="0" w:color="auto"/>
        <w:right w:val="none" w:sz="0" w:space="0" w:color="auto"/>
      </w:divBdr>
      <w:divsChild>
        <w:div w:id="117185777">
          <w:marLeft w:val="0"/>
          <w:marRight w:val="0"/>
          <w:marTop w:val="0"/>
          <w:marBottom w:val="0"/>
          <w:divBdr>
            <w:top w:val="none" w:sz="0" w:space="0" w:color="auto"/>
            <w:left w:val="none" w:sz="0" w:space="0" w:color="auto"/>
            <w:bottom w:val="none" w:sz="0" w:space="0" w:color="auto"/>
            <w:right w:val="none" w:sz="0" w:space="0" w:color="auto"/>
          </w:divBdr>
        </w:div>
      </w:divsChild>
    </w:div>
    <w:div w:id="1265650893">
      <w:bodyDiv w:val="1"/>
      <w:marLeft w:val="0"/>
      <w:marRight w:val="0"/>
      <w:marTop w:val="0"/>
      <w:marBottom w:val="0"/>
      <w:divBdr>
        <w:top w:val="none" w:sz="0" w:space="0" w:color="auto"/>
        <w:left w:val="none" w:sz="0" w:space="0" w:color="auto"/>
        <w:bottom w:val="none" w:sz="0" w:space="0" w:color="auto"/>
        <w:right w:val="none" w:sz="0" w:space="0" w:color="auto"/>
      </w:divBdr>
    </w:div>
    <w:div w:id="1350526437">
      <w:bodyDiv w:val="1"/>
      <w:marLeft w:val="0"/>
      <w:marRight w:val="0"/>
      <w:marTop w:val="0"/>
      <w:marBottom w:val="0"/>
      <w:divBdr>
        <w:top w:val="none" w:sz="0" w:space="0" w:color="auto"/>
        <w:left w:val="none" w:sz="0" w:space="0" w:color="auto"/>
        <w:bottom w:val="none" w:sz="0" w:space="0" w:color="auto"/>
        <w:right w:val="none" w:sz="0" w:space="0" w:color="auto"/>
      </w:divBdr>
    </w:div>
    <w:div w:id="1474711446">
      <w:bodyDiv w:val="1"/>
      <w:marLeft w:val="0"/>
      <w:marRight w:val="0"/>
      <w:marTop w:val="0"/>
      <w:marBottom w:val="0"/>
      <w:divBdr>
        <w:top w:val="none" w:sz="0" w:space="0" w:color="auto"/>
        <w:left w:val="none" w:sz="0" w:space="0" w:color="auto"/>
        <w:bottom w:val="none" w:sz="0" w:space="0" w:color="auto"/>
        <w:right w:val="none" w:sz="0" w:space="0" w:color="auto"/>
      </w:divBdr>
    </w:div>
    <w:div w:id="1479955800">
      <w:bodyDiv w:val="1"/>
      <w:marLeft w:val="0"/>
      <w:marRight w:val="0"/>
      <w:marTop w:val="0"/>
      <w:marBottom w:val="0"/>
      <w:divBdr>
        <w:top w:val="none" w:sz="0" w:space="0" w:color="auto"/>
        <w:left w:val="none" w:sz="0" w:space="0" w:color="auto"/>
        <w:bottom w:val="none" w:sz="0" w:space="0" w:color="auto"/>
        <w:right w:val="none" w:sz="0" w:space="0" w:color="auto"/>
      </w:divBdr>
    </w:div>
    <w:div w:id="1516190337">
      <w:bodyDiv w:val="1"/>
      <w:marLeft w:val="0"/>
      <w:marRight w:val="0"/>
      <w:marTop w:val="0"/>
      <w:marBottom w:val="0"/>
      <w:divBdr>
        <w:top w:val="none" w:sz="0" w:space="0" w:color="auto"/>
        <w:left w:val="none" w:sz="0" w:space="0" w:color="auto"/>
        <w:bottom w:val="none" w:sz="0" w:space="0" w:color="auto"/>
        <w:right w:val="none" w:sz="0" w:space="0" w:color="auto"/>
      </w:divBdr>
    </w:div>
    <w:div w:id="1518619223">
      <w:bodyDiv w:val="1"/>
      <w:marLeft w:val="0"/>
      <w:marRight w:val="0"/>
      <w:marTop w:val="0"/>
      <w:marBottom w:val="0"/>
      <w:divBdr>
        <w:top w:val="none" w:sz="0" w:space="0" w:color="auto"/>
        <w:left w:val="none" w:sz="0" w:space="0" w:color="auto"/>
        <w:bottom w:val="none" w:sz="0" w:space="0" w:color="auto"/>
        <w:right w:val="none" w:sz="0" w:space="0" w:color="auto"/>
      </w:divBdr>
    </w:div>
    <w:div w:id="1552351328">
      <w:bodyDiv w:val="1"/>
      <w:marLeft w:val="0"/>
      <w:marRight w:val="0"/>
      <w:marTop w:val="0"/>
      <w:marBottom w:val="0"/>
      <w:divBdr>
        <w:top w:val="none" w:sz="0" w:space="0" w:color="auto"/>
        <w:left w:val="none" w:sz="0" w:space="0" w:color="auto"/>
        <w:bottom w:val="none" w:sz="0" w:space="0" w:color="auto"/>
        <w:right w:val="none" w:sz="0" w:space="0" w:color="auto"/>
      </w:divBdr>
    </w:div>
    <w:div w:id="1553731827">
      <w:bodyDiv w:val="1"/>
      <w:marLeft w:val="0"/>
      <w:marRight w:val="0"/>
      <w:marTop w:val="0"/>
      <w:marBottom w:val="0"/>
      <w:divBdr>
        <w:top w:val="none" w:sz="0" w:space="0" w:color="auto"/>
        <w:left w:val="none" w:sz="0" w:space="0" w:color="auto"/>
        <w:bottom w:val="none" w:sz="0" w:space="0" w:color="auto"/>
        <w:right w:val="none" w:sz="0" w:space="0" w:color="auto"/>
      </w:divBdr>
    </w:div>
    <w:div w:id="1569460405">
      <w:bodyDiv w:val="1"/>
      <w:marLeft w:val="0"/>
      <w:marRight w:val="0"/>
      <w:marTop w:val="0"/>
      <w:marBottom w:val="0"/>
      <w:divBdr>
        <w:top w:val="none" w:sz="0" w:space="0" w:color="auto"/>
        <w:left w:val="none" w:sz="0" w:space="0" w:color="auto"/>
        <w:bottom w:val="none" w:sz="0" w:space="0" w:color="auto"/>
        <w:right w:val="none" w:sz="0" w:space="0" w:color="auto"/>
      </w:divBdr>
    </w:div>
    <w:div w:id="1623341843">
      <w:bodyDiv w:val="1"/>
      <w:marLeft w:val="0"/>
      <w:marRight w:val="0"/>
      <w:marTop w:val="0"/>
      <w:marBottom w:val="0"/>
      <w:divBdr>
        <w:top w:val="none" w:sz="0" w:space="0" w:color="auto"/>
        <w:left w:val="none" w:sz="0" w:space="0" w:color="auto"/>
        <w:bottom w:val="none" w:sz="0" w:space="0" w:color="auto"/>
        <w:right w:val="none" w:sz="0" w:space="0" w:color="auto"/>
      </w:divBdr>
    </w:div>
    <w:div w:id="1650283502">
      <w:bodyDiv w:val="1"/>
      <w:marLeft w:val="0"/>
      <w:marRight w:val="0"/>
      <w:marTop w:val="0"/>
      <w:marBottom w:val="0"/>
      <w:divBdr>
        <w:top w:val="none" w:sz="0" w:space="0" w:color="auto"/>
        <w:left w:val="none" w:sz="0" w:space="0" w:color="auto"/>
        <w:bottom w:val="none" w:sz="0" w:space="0" w:color="auto"/>
        <w:right w:val="none" w:sz="0" w:space="0" w:color="auto"/>
      </w:divBdr>
    </w:div>
    <w:div w:id="1716613225">
      <w:bodyDiv w:val="1"/>
      <w:marLeft w:val="0"/>
      <w:marRight w:val="0"/>
      <w:marTop w:val="0"/>
      <w:marBottom w:val="0"/>
      <w:divBdr>
        <w:top w:val="none" w:sz="0" w:space="0" w:color="auto"/>
        <w:left w:val="none" w:sz="0" w:space="0" w:color="auto"/>
        <w:bottom w:val="none" w:sz="0" w:space="0" w:color="auto"/>
        <w:right w:val="none" w:sz="0" w:space="0" w:color="auto"/>
      </w:divBdr>
    </w:div>
    <w:div w:id="1781801856">
      <w:bodyDiv w:val="1"/>
      <w:marLeft w:val="0"/>
      <w:marRight w:val="0"/>
      <w:marTop w:val="0"/>
      <w:marBottom w:val="0"/>
      <w:divBdr>
        <w:top w:val="none" w:sz="0" w:space="0" w:color="auto"/>
        <w:left w:val="none" w:sz="0" w:space="0" w:color="auto"/>
        <w:bottom w:val="none" w:sz="0" w:space="0" w:color="auto"/>
        <w:right w:val="none" w:sz="0" w:space="0" w:color="auto"/>
      </w:divBdr>
    </w:div>
    <w:div w:id="1793016946">
      <w:bodyDiv w:val="1"/>
      <w:marLeft w:val="0"/>
      <w:marRight w:val="0"/>
      <w:marTop w:val="0"/>
      <w:marBottom w:val="0"/>
      <w:divBdr>
        <w:top w:val="none" w:sz="0" w:space="0" w:color="auto"/>
        <w:left w:val="none" w:sz="0" w:space="0" w:color="auto"/>
        <w:bottom w:val="none" w:sz="0" w:space="0" w:color="auto"/>
        <w:right w:val="none" w:sz="0" w:space="0" w:color="auto"/>
      </w:divBdr>
      <w:divsChild>
        <w:div w:id="2072188008">
          <w:marLeft w:val="0"/>
          <w:marRight w:val="0"/>
          <w:marTop w:val="0"/>
          <w:marBottom w:val="0"/>
          <w:divBdr>
            <w:top w:val="none" w:sz="0" w:space="0" w:color="auto"/>
            <w:left w:val="none" w:sz="0" w:space="0" w:color="auto"/>
            <w:bottom w:val="none" w:sz="0" w:space="0" w:color="auto"/>
            <w:right w:val="none" w:sz="0" w:space="0" w:color="auto"/>
          </w:divBdr>
        </w:div>
      </w:divsChild>
    </w:div>
    <w:div w:id="1829859830">
      <w:bodyDiv w:val="1"/>
      <w:marLeft w:val="0"/>
      <w:marRight w:val="0"/>
      <w:marTop w:val="0"/>
      <w:marBottom w:val="0"/>
      <w:divBdr>
        <w:top w:val="none" w:sz="0" w:space="0" w:color="auto"/>
        <w:left w:val="none" w:sz="0" w:space="0" w:color="auto"/>
        <w:bottom w:val="none" w:sz="0" w:space="0" w:color="auto"/>
        <w:right w:val="none" w:sz="0" w:space="0" w:color="auto"/>
      </w:divBdr>
    </w:div>
    <w:div w:id="1841431585">
      <w:bodyDiv w:val="1"/>
      <w:marLeft w:val="0"/>
      <w:marRight w:val="0"/>
      <w:marTop w:val="0"/>
      <w:marBottom w:val="0"/>
      <w:divBdr>
        <w:top w:val="none" w:sz="0" w:space="0" w:color="auto"/>
        <w:left w:val="none" w:sz="0" w:space="0" w:color="auto"/>
        <w:bottom w:val="none" w:sz="0" w:space="0" w:color="auto"/>
        <w:right w:val="none" w:sz="0" w:space="0" w:color="auto"/>
      </w:divBdr>
    </w:div>
    <w:div w:id="1848864788">
      <w:bodyDiv w:val="1"/>
      <w:marLeft w:val="0"/>
      <w:marRight w:val="0"/>
      <w:marTop w:val="0"/>
      <w:marBottom w:val="0"/>
      <w:divBdr>
        <w:top w:val="none" w:sz="0" w:space="0" w:color="auto"/>
        <w:left w:val="none" w:sz="0" w:space="0" w:color="auto"/>
        <w:bottom w:val="none" w:sz="0" w:space="0" w:color="auto"/>
        <w:right w:val="none" w:sz="0" w:space="0" w:color="auto"/>
      </w:divBdr>
    </w:div>
    <w:div w:id="1854801518">
      <w:bodyDiv w:val="1"/>
      <w:marLeft w:val="0"/>
      <w:marRight w:val="0"/>
      <w:marTop w:val="0"/>
      <w:marBottom w:val="0"/>
      <w:divBdr>
        <w:top w:val="none" w:sz="0" w:space="0" w:color="auto"/>
        <w:left w:val="none" w:sz="0" w:space="0" w:color="auto"/>
        <w:bottom w:val="none" w:sz="0" w:space="0" w:color="auto"/>
        <w:right w:val="none" w:sz="0" w:space="0" w:color="auto"/>
      </w:divBdr>
    </w:div>
    <w:div w:id="2035304879">
      <w:bodyDiv w:val="1"/>
      <w:marLeft w:val="0"/>
      <w:marRight w:val="0"/>
      <w:marTop w:val="0"/>
      <w:marBottom w:val="0"/>
      <w:divBdr>
        <w:top w:val="none" w:sz="0" w:space="0" w:color="auto"/>
        <w:left w:val="none" w:sz="0" w:space="0" w:color="auto"/>
        <w:bottom w:val="none" w:sz="0" w:space="0" w:color="auto"/>
        <w:right w:val="none" w:sz="0" w:space="0" w:color="auto"/>
      </w:divBdr>
    </w:div>
    <w:div w:id="2072069736">
      <w:bodyDiv w:val="1"/>
      <w:marLeft w:val="0"/>
      <w:marRight w:val="0"/>
      <w:marTop w:val="0"/>
      <w:marBottom w:val="0"/>
      <w:divBdr>
        <w:top w:val="none" w:sz="0" w:space="0" w:color="auto"/>
        <w:left w:val="none" w:sz="0" w:space="0" w:color="auto"/>
        <w:bottom w:val="none" w:sz="0" w:space="0" w:color="auto"/>
        <w:right w:val="none" w:sz="0" w:space="0" w:color="auto"/>
      </w:divBdr>
    </w:div>
    <w:div w:id="2114551658">
      <w:bodyDiv w:val="1"/>
      <w:marLeft w:val="0"/>
      <w:marRight w:val="0"/>
      <w:marTop w:val="0"/>
      <w:marBottom w:val="0"/>
      <w:divBdr>
        <w:top w:val="none" w:sz="0" w:space="0" w:color="auto"/>
        <w:left w:val="none" w:sz="0" w:space="0" w:color="auto"/>
        <w:bottom w:val="none" w:sz="0" w:space="0" w:color="auto"/>
        <w:right w:val="none" w:sz="0" w:space="0" w:color="auto"/>
      </w:divBdr>
    </w:div>
    <w:div w:id="214094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digital-strategy.ec.europa.eu/fr/policies/vehicle-future-initiative"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E3B01-D451-4CC2-9F0D-39CD8ABAEA74}">
  <ds:schemaRefs>
    <ds:schemaRef ds:uri="http://schemas.microsoft.com/sharepoint/v3/contenttype/forms"/>
  </ds:schemaRefs>
</ds:datastoreItem>
</file>

<file path=customXml/itemProps2.xml><?xml version="1.0" encoding="utf-8"?>
<ds:datastoreItem xmlns:ds="http://schemas.openxmlformats.org/officeDocument/2006/customXml" ds:itemID="{182B88B7-C821-45AB-B08A-FCD84EF02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10389</Words>
  <Characters>59222</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69473</CharactersWithSpaces>
  <SharedDoc>false</SharedDoc>
  <HLinks>
    <vt:vector size="6" baseType="variant">
      <vt:variant>
        <vt:i4>3538985</vt:i4>
      </vt:variant>
      <vt:variant>
        <vt:i4>0</vt:i4>
      </vt:variant>
      <vt:variant>
        <vt:i4>0</vt:i4>
      </vt:variant>
      <vt:variant>
        <vt:i4>5</vt:i4>
      </vt:variant>
      <vt:variant>
        <vt:lpwstr>https://digital-strategy.ec.europa.eu/en/policies/vehicle-future-initiative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2025-03-04T14:45:00Z</dcterms:created>
  <dcterms:modified xsi:type="dcterms:W3CDTF">2025-03-24T15:04:00Z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2025-02-23T09:39:01Z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5dac88d9-17de-4176-80da-d780365465d9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9.1, Build 20240808</vt:lpwstr>
  </property>
  <property fmtid="{D5CDD505-2E9C-101B-9397-08002B2CF9AE}" pid="15" name="Created using">
    <vt:lpwstr>LW 9.1, Build 20240808</vt:lpwstr>
  </property>
</Properties>
</file>