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BC161" w14:textId="43D173CD" w:rsidR="00D431DA" w:rsidRDefault="0018442C" w:rsidP="0018442C">
      <w:pPr>
        <w:pStyle w:val="Pagedecouverture"/>
        <w:rPr>
          <w:noProof/>
        </w:rPr>
      </w:pPr>
      <w:bookmarkStart w:id="0" w:name="LW_BM_COVERPAGE"/>
      <w:r>
        <w:rPr>
          <w:noProof/>
        </w:rPr>
        <w:pict w14:anchorId="0FA98E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F09291-F3A9-40C5-B8D6-486612EBE48C" style="width:455.25pt;height:313.5pt">
            <v:imagedata r:id="rId11" o:title=""/>
          </v:shape>
        </w:pict>
      </w:r>
    </w:p>
    <w:bookmarkEnd w:id="0"/>
    <w:p w14:paraId="0E975AAD" w14:textId="77777777" w:rsidR="00D431DA" w:rsidRDefault="00D431DA" w:rsidP="00D431DA">
      <w:pPr>
        <w:rPr>
          <w:noProof/>
          <w:lang w:val="en-IE"/>
        </w:rPr>
        <w:sectPr w:rsidR="00D431DA" w:rsidSect="0018442C">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1"/>
          <w:cols w:space="720"/>
          <w:docGrid w:linePitch="326"/>
        </w:sectPr>
      </w:pPr>
    </w:p>
    <w:p w14:paraId="7B90FB1B" w14:textId="77777777" w:rsidR="007D27A0" w:rsidRPr="00CE41EF" w:rsidRDefault="00725DCE" w:rsidP="005B1798">
      <w:pPr>
        <w:pStyle w:val="Heading1"/>
        <w:numPr>
          <w:ilvl w:val="0"/>
          <w:numId w:val="0"/>
        </w:numPr>
        <w:ind w:left="482" w:hanging="482"/>
        <w:rPr>
          <w:noProof/>
          <w:szCs w:val="24"/>
        </w:rPr>
      </w:pPr>
      <w:bookmarkStart w:id="1" w:name="_GoBack"/>
      <w:bookmarkEnd w:id="1"/>
      <w:r>
        <w:rPr>
          <w:noProof/>
        </w:rPr>
        <w:lastRenderedPageBreak/>
        <w:t>Introduction</w:t>
      </w:r>
    </w:p>
    <w:p w14:paraId="03FE2D01" w14:textId="2EA1F3B2" w:rsidR="009650AB" w:rsidRPr="00CE41EF" w:rsidRDefault="4D324962" w:rsidP="47E57817">
      <w:pPr>
        <w:rPr>
          <w:noProof/>
        </w:rPr>
      </w:pPr>
      <w:r>
        <w:rPr>
          <w:b/>
          <w:noProof/>
        </w:rPr>
        <w:t>La bioéconomie représente une occasion stratégique pour le 21</w:t>
      </w:r>
      <w:r>
        <w:rPr>
          <w:b/>
          <w:noProof/>
          <w:vertAlign w:val="superscript"/>
        </w:rPr>
        <w:t>e</w:t>
      </w:r>
      <w:r>
        <w:rPr>
          <w:b/>
          <w:noProof/>
        </w:rPr>
        <w:t> siècle</w:t>
      </w:r>
      <w:r>
        <w:rPr>
          <w:noProof/>
        </w:rPr>
        <w:t xml:space="preserve">: un moteur de croissance verte, de compétitivité et de résilience. Elle utilise plus efficacement les ressources biologiques, l’excellence scientifique et la base industrielle de l’Europe pour décarboner notre économie et remplacer les matériaux et produits d’origine fossile. Elle crée des solutions pratiques qui favorisent la prospérité économique et renforcent les communautés rurales et côtières, tout en aidant l’industrie à adopter des modèles de production plus circulaires. Elle contribue à l’autonomie stratégique de l’Union en réduisant sa dépendance à l’égard des produits d’origine fossile importés, et peut apporter une contribution substantielle à la réalisation des objectifs climatiques et environnementaux tels que l’utilisation efficace des ressources, la réduction des émissions de gaz à effet de serre, la résilience dans le domaine de l’eau, l’ambition «zéro pollution» et la biodiversité. </w:t>
      </w:r>
    </w:p>
    <w:p w14:paraId="49112BF2" w14:textId="1750CD2D" w:rsidR="009650AB" w:rsidRPr="00CE41EF" w:rsidRDefault="009761B2" w:rsidP="1CFD9F8D">
      <w:pPr>
        <w:rPr>
          <w:noProof/>
        </w:rPr>
      </w:pPr>
      <w:r>
        <w:rPr>
          <w:noProof/>
        </w:rPr>
        <w:t xml:space="preserve">La bioéconomie s’entend de l’ensemble des activités qui fournissent des solutions durables fondées sur des </w:t>
      </w:r>
      <w:r>
        <w:rPr>
          <w:b/>
          <w:noProof/>
        </w:rPr>
        <w:t>ressources biologiques afin de créer de la valeur ajoutée</w:t>
      </w:r>
      <w:r>
        <w:rPr>
          <w:noProof/>
        </w:rPr>
        <w:t>. Il s’agit notamment de produits, de services, de sciences et de technologies bénéficiant à des secteurs allant de l’agriculture, de la sylviculture, de la pêche et de l’aquaculture aux chaînes de valeur fondées sur la transformation de la biomasse, la bioproduction et les biotechnologies, par exemple dans les secteurs de l’alimentation</w:t>
      </w:r>
      <w:r>
        <w:rPr>
          <w:rStyle w:val="FootnoteReference"/>
          <w:noProof/>
          <w:lang w:val="en-IE"/>
        </w:rPr>
        <w:footnoteReference w:id="2"/>
      </w:r>
      <w:r>
        <w:rPr>
          <w:noProof/>
        </w:rPr>
        <w:t>, de la santé, de l’énergie, de l’industrie, des services écosystémiques et autres services. Les ressources biologiques</w:t>
      </w:r>
      <w:r>
        <w:rPr>
          <w:noProof/>
          <w:vertAlign w:val="superscript"/>
          <w:lang w:val="en-IE"/>
        </w:rPr>
        <w:footnoteReference w:id="3"/>
      </w:r>
      <w:r>
        <w:rPr>
          <w:noProof/>
        </w:rPr>
        <w:t xml:space="preserve"> comprennent les ressources génétiques, ainsi que la biomasse primaire et secondaire, comme les sous-produits et les résidus, et le carbone biogénique</w:t>
      </w:r>
      <w:r>
        <w:rPr>
          <w:rStyle w:val="FootnoteReference"/>
          <w:noProof/>
          <w:lang w:val="en-IE"/>
        </w:rPr>
        <w:footnoteReference w:id="4"/>
      </w:r>
      <w:r>
        <w:rPr>
          <w:noProof/>
        </w:rPr>
        <w:t xml:space="preserve"> capté au moyen de technologies innovantes. </w:t>
      </w:r>
    </w:p>
    <w:p w14:paraId="4CB6DC28" w14:textId="7915C236" w:rsidR="00421AF1" w:rsidRDefault="00D008ED" w:rsidP="1CFD9F8D">
      <w:pPr>
        <w:rPr>
          <w:noProof/>
        </w:rPr>
      </w:pPr>
      <w:r>
        <w:rPr>
          <w:noProof/>
        </w:rPr>
        <w:t xml:space="preserve">La bioéconomie européenne repose sur des </w:t>
      </w:r>
      <w:r>
        <w:rPr>
          <w:b/>
          <w:noProof/>
        </w:rPr>
        <w:t>fondements solides</w:t>
      </w:r>
      <w:r>
        <w:rPr>
          <w:noProof/>
        </w:rPr>
        <w:t>: science d’envergure mondiale, technologies de pointe, base industrielle compétitive, marché unique de 26 millions d’entreprises et de 450 millions de consommateurs</w:t>
      </w:r>
      <w:r>
        <w:rPr>
          <w:noProof/>
          <w:vertAlign w:val="superscript"/>
        </w:rPr>
        <w:footnoteReference w:id="5"/>
      </w:r>
      <w:r>
        <w:rPr>
          <w:noProof/>
        </w:rPr>
        <w:t xml:space="preserve"> et production importante de biomasse</w:t>
      </w:r>
      <w:r>
        <w:rPr>
          <w:noProof/>
          <w:vertAlign w:val="superscript"/>
        </w:rPr>
        <w:footnoteReference w:id="6"/>
      </w:r>
      <w:r>
        <w:rPr>
          <w:noProof/>
        </w:rPr>
        <w:t xml:space="preserve"> gérée par les agriculteurs, les sylviculteurs et les pêcheurs de l’UE.</w:t>
      </w:r>
    </w:p>
    <w:p w14:paraId="1410A3BD" w14:textId="267CB03A" w:rsidR="004F1F21" w:rsidRDefault="2D9BB27F" w:rsidP="00195A2C">
      <w:pPr>
        <w:rPr>
          <w:noProof/>
        </w:rPr>
      </w:pPr>
      <w:r>
        <w:rPr>
          <w:noProof/>
        </w:rPr>
        <w:t xml:space="preserve">La bioéconomie de l’UE, dont la valeur a atteint jusqu’à </w:t>
      </w:r>
      <w:r>
        <w:rPr>
          <w:b/>
          <w:noProof/>
        </w:rPr>
        <w:t>2 700 milliards d’EUR en 2023</w:t>
      </w:r>
      <w:r>
        <w:rPr>
          <w:noProof/>
          <w:vertAlign w:val="superscript"/>
        </w:rPr>
        <w:footnoteReference w:id="7"/>
      </w:r>
      <w:r>
        <w:rPr>
          <w:rStyle w:val="FootnoteReference"/>
          <w:noProof/>
        </w:rPr>
        <w:footnoteReference w:id="8"/>
      </w:r>
      <w:r>
        <w:rPr>
          <w:noProof/>
        </w:rPr>
        <w:t xml:space="preserve">, est un </w:t>
      </w:r>
      <w:r>
        <w:rPr>
          <w:b/>
          <w:noProof/>
        </w:rPr>
        <w:t>moteur dynamique de la compétitivité</w:t>
      </w:r>
      <w:r>
        <w:rPr>
          <w:noProof/>
        </w:rPr>
        <w:t xml:space="preserve"> et revêt une importance stratégique pour un large éventail de secteurs économiques</w:t>
      </w:r>
      <w:r>
        <w:rPr>
          <w:noProof/>
          <w:vertAlign w:val="superscript"/>
        </w:rPr>
        <w:footnoteReference w:id="9"/>
      </w:r>
      <w:r>
        <w:rPr>
          <w:noProof/>
        </w:rPr>
        <w:t>. En 2023, les activités de production et de transformation de biomasse employaient 17,1 millions de personnes dans l’UE (8 % des emplois de l’Union) et ont généré 863 milliards d’EUR de valeur ajoutée (5 % du PIB de l’Union)</w:t>
      </w:r>
      <w:r>
        <w:rPr>
          <w:noProof/>
          <w:vertAlign w:val="superscript"/>
        </w:rPr>
        <w:footnoteReference w:id="10"/>
      </w:r>
      <w:r>
        <w:rPr>
          <w:noProof/>
        </w:rPr>
        <w:t>. Les investissements en R&amp;D dans les secteurs liés à la bioéconomie ont atteint 23,2 milliards d’EUR (soit 9 % de l’ensemble des investissements en R&amp;D) en 2023</w:t>
      </w:r>
      <w:r>
        <w:rPr>
          <w:rStyle w:val="FootnoteReference"/>
          <w:noProof/>
        </w:rPr>
        <w:footnoteReference w:id="11"/>
      </w:r>
      <w:r>
        <w:rPr>
          <w:noProof/>
        </w:rPr>
        <w:t>, tandis que les brevets dans ces domaines représentaient 5 % de l’ensemble des brevets déposés dans l’UE entre 2008 et 2020</w:t>
      </w:r>
      <w:r>
        <w:rPr>
          <w:noProof/>
          <w:vertAlign w:val="superscript"/>
        </w:rPr>
        <w:footnoteReference w:id="12"/>
      </w:r>
      <w:r>
        <w:rPr>
          <w:noProof/>
        </w:rPr>
        <w:t>. Sur les dix dernières années, les secteurs de la bioéconomie ont enregistré une croissance plus rapide que l’ensemble de l’économie</w:t>
      </w:r>
      <w:r>
        <w:rPr>
          <w:rStyle w:val="FootnoteReference"/>
          <w:noProof/>
        </w:rPr>
        <w:footnoteReference w:id="13"/>
      </w:r>
      <w:r>
        <w:rPr>
          <w:noProof/>
        </w:rPr>
        <w:t>. Selon les estimations, pour chaque emploi créé dans l’industrie européenne de la bioéconomie, 2,9 emplois indirects supplémentaires sont créés dans l’UE</w:t>
      </w:r>
      <w:r>
        <w:rPr>
          <w:rStyle w:val="FootnoteReference"/>
          <w:noProof/>
        </w:rPr>
        <w:footnoteReference w:id="14"/>
      </w:r>
      <w:r>
        <w:rPr>
          <w:noProof/>
        </w:rPr>
        <w:t>.</w:t>
      </w:r>
    </w:p>
    <w:p w14:paraId="0A22F761" w14:textId="0E130373" w:rsidR="42B65590" w:rsidRPr="00422BD3" w:rsidRDefault="75137F64" w:rsidP="42B65590">
      <w:pPr>
        <w:rPr>
          <w:noProof/>
          <w:sz w:val="18"/>
          <w:szCs w:val="18"/>
        </w:rPr>
      </w:pPr>
      <w:r>
        <w:rPr>
          <w:noProof/>
          <w:sz w:val="18"/>
        </w:rPr>
        <w:t>Figure 1 – Évolution de la valeur ajoutée dans les secteurs de la production et de la transformation de biomasse (EU</w:t>
      </w:r>
      <w:r>
        <w:rPr>
          <w:noProof/>
          <w:sz w:val="18"/>
        </w:rPr>
        <w:noBreakHyphen/>
        <w:t>27)</w:t>
      </w:r>
      <w:r>
        <w:rPr>
          <w:noProof/>
          <w:sz w:val="18"/>
          <w:szCs w:val="18"/>
          <w:vertAlign w:val="superscript"/>
          <w:lang w:val="en-IE"/>
        </w:rPr>
        <w:footnoteReference w:id="15"/>
      </w:r>
    </w:p>
    <w:p w14:paraId="2369FA5A" w14:textId="52D08FAE" w:rsidR="00E155AE" w:rsidRDefault="00FB2EE5" w:rsidP="005C2FC0">
      <w:pPr>
        <w:jc w:val="center"/>
        <w:rPr>
          <w:noProof/>
        </w:rPr>
      </w:pPr>
      <w:r w:rsidRPr="00FB2EE5">
        <w:rPr>
          <w:noProof/>
          <w:lang w:val="en-GB" w:eastAsia="en-GB"/>
        </w:rPr>
        <w:drawing>
          <wp:inline distT="0" distB="0" distL="0" distR="0" wp14:anchorId="7905FEA6" wp14:editId="62E62755">
            <wp:extent cx="5472430" cy="2541905"/>
            <wp:effectExtent l="0" t="0" r="0" b="0"/>
            <wp:docPr id="1824384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2541905"/>
                    </a:xfrm>
                    <a:prstGeom prst="rect">
                      <a:avLst/>
                    </a:prstGeom>
                    <a:noFill/>
                    <a:ln>
                      <a:noFill/>
                    </a:ln>
                  </pic:spPr>
                </pic:pic>
              </a:graphicData>
            </a:graphic>
          </wp:inline>
        </w:drawing>
      </w:r>
    </w:p>
    <w:p w14:paraId="748DF516" w14:textId="77777777" w:rsidR="0013773B" w:rsidRPr="00D01D7F" w:rsidRDefault="005C2FC0" w:rsidP="00315884">
      <w:pPr>
        <w:pStyle w:val="FootnoteText"/>
        <w:spacing w:after="0"/>
        <w:rPr>
          <w:noProof/>
          <w:sz w:val="18"/>
          <w:szCs w:val="18"/>
          <w:lang w:val="en-US"/>
        </w:rPr>
      </w:pPr>
      <w:r w:rsidRPr="00D01D7F">
        <w:rPr>
          <w:noProof/>
          <w:sz w:val="18"/>
          <w:lang w:val="en-US"/>
        </w:rPr>
        <w:t>Source: Lasarte</w:t>
      </w:r>
      <w:r w:rsidRPr="00D01D7F">
        <w:rPr>
          <w:noProof/>
          <w:sz w:val="18"/>
          <w:lang w:val="en-US"/>
        </w:rPr>
        <w:noBreakHyphen/>
        <w:t xml:space="preserve">López, J., M’barek, R., </w:t>
      </w:r>
      <w:r w:rsidRPr="00D01D7F">
        <w:rPr>
          <w:i/>
          <w:noProof/>
          <w:sz w:val="18"/>
          <w:lang w:val="en-US"/>
        </w:rPr>
        <w:t>The EU bioeconomy at a glance:</w:t>
      </w:r>
      <w:r w:rsidRPr="00D01D7F">
        <w:rPr>
          <w:noProof/>
          <w:sz w:val="18"/>
          <w:lang w:val="en-US"/>
        </w:rPr>
        <w:t xml:space="preserve"> </w:t>
      </w:r>
      <w:r w:rsidRPr="00D01D7F">
        <w:rPr>
          <w:i/>
          <w:noProof/>
          <w:sz w:val="18"/>
          <w:lang w:val="en-US"/>
        </w:rPr>
        <w:t>Focus on economic value added,</w:t>
      </w:r>
    </w:p>
    <w:p w14:paraId="255FAB20" w14:textId="16540C52" w:rsidR="00315884" w:rsidRPr="00422BD3" w:rsidRDefault="0033371E" w:rsidP="00315884">
      <w:pPr>
        <w:pStyle w:val="FootnoteText"/>
        <w:spacing w:after="0"/>
        <w:rPr>
          <w:noProof/>
          <w:sz w:val="18"/>
          <w:szCs w:val="18"/>
        </w:rPr>
      </w:pPr>
      <w:r>
        <w:rPr>
          <w:i/>
          <w:noProof/>
          <w:sz w:val="18"/>
        </w:rPr>
        <w:t>employment and innovation</w:t>
      </w:r>
      <w:r>
        <w:rPr>
          <w:noProof/>
          <w:sz w:val="18"/>
        </w:rPr>
        <w:t>, Commission européenne, Séville, 2025. JRC143759.</w:t>
      </w:r>
    </w:p>
    <w:p w14:paraId="78194D76" w14:textId="77777777" w:rsidR="00315884" w:rsidRDefault="00315884" w:rsidP="00195A2C">
      <w:pPr>
        <w:rPr>
          <w:noProof/>
          <w:sz w:val="20"/>
        </w:rPr>
      </w:pPr>
      <w:bookmarkStart w:id="2" w:name="_Hlk214198311"/>
    </w:p>
    <w:p w14:paraId="70BA4D72" w14:textId="624FB490" w:rsidR="00195A2C" w:rsidRPr="00CE41EF" w:rsidRDefault="00370D75" w:rsidP="00195A2C">
      <w:pPr>
        <w:rPr>
          <w:noProof/>
        </w:rPr>
      </w:pPr>
      <w:r>
        <w:rPr>
          <w:noProof/>
        </w:rPr>
        <w:t xml:space="preserve">La bioéconomie recèle un énorme potentiel encore inexploité, notamment par manque d’investissements. Le </w:t>
      </w:r>
      <w:r>
        <w:rPr>
          <w:b/>
          <w:noProof/>
        </w:rPr>
        <w:t>Groupe Banque européenne d’investissement</w:t>
      </w:r>
      <w:r>
        <w:rPr>
          <w:noProof/>
        </w:rPr>
        <w:t xml:space="preserve"> (groupe BEI) a cartographié les besoins d’investissement</w:t>
      </w:r>
      <w:r>
        <w:rPr>
          <w:rStyle w:val="FootnoteReference"/>
          <w:noProof/>
        </w:rPr>
        <w:footnoteReference w:id="16"/>
      </w:r>
      <w:r>
        <w:rPr>
          <w:noProof/>
        </w:rPr>
        <w:t xml:space="preserve"> dans neuf secteurs de la bioéconomie, en mettant en évidence les domaines dans lesquels l’UE doit prendre des mesures pour combler les déficits de financement et accélérer la transformation durable. Son analyse révèle d’importants déficits de financement tout au long de la chaîne de valeur, en particulier pour le développement des capacités de bioproduction, des matériaux biosourcés avancés et des infrastructures de bioéconomie circulaire, qui empêchent actuellement les innovations prometteuses d’atteindre le marché.</w:t>
      </w:r>
    </w:p>
    <w:bookmarkEnd w:id="2"/>
    <w:p w14:paraId="7F035F24" w14:textId="7410D737" w:rsidR="00A57A91" w:rsidRPr="00CE41EF" w:rsidRDefault="7BCCC3A8" w:rsidP="0D40930D">
      <w:pPr>
        <w:rPr>
          <w:noProof/>
        </w:rPr>
      </w:pPr>
      <w:r>
        <w:rPr>
          <w:noProof/>
        </w:rPr>
        <w:t>Dans le même temps, la bioéconomie est freinée par les limites de la planète, les effets du changement climatique et la durabilité de la biomasse</w:t>
      </w:r>
      <w:r>
        <w:rPr>
          <w:rStyle w:val="FootnoteReference"/>
          <w:noProof/>
          <w:color w:val="000000" w:themeColor="text1"/>
        </w:rPr>
        <w:footnoteReference w:id="17"/>
      </w:r>
      <w:r>
        <w:rPr>
          <w:noProof/>
        </w:rPr>
        <w:t xml:space="preserve"> </w:t>
      </w:r>
      <w:r>
        <w:rPr>
          <w:rStyle w:val="FootnoteReference"/>
          <w:noProof/>
          <w:color w:val="000000" w:themeColor="text1"/>
        </w:rPr>
        <w:footnoteReference w:id="18"/>
      </w:r>
      <w:r>
        <w:rPr>
          <w:noProof/>
        </w:rPr>
        <w:t>.</w:t>
      </w:r>
      <w:r>
        <w:rPr>
          <w:noProof/>
          <w:color w:val="000000" w:themeColor="text1"/>
        </w:rPr>
        <w:t xml:space="preserve"> </w:t>
      </w:r>
      <w:r>
        <w:rPr>
          <w:noProof/>
        </w:rPr>
        <w:t xml:space="preserve">L’utilisation responsable et efficace de la biomasse demeure essentielle pour </w:t>
      </w:r>
      <w:r>
        <w:rPr>
          <w:b/>
          <w:noProof/>
        </w:rPr>
        <w:t>la compétitivité, la stabilité de l’approvisionnement</w:t>
      </w:r>
      <w:r>
        <w:rPr>
          <w:noProof/>
        </w:rPr>
        <w:t xml:space="preserve"> et</w:t>
      </w:r>
      <w:r>
        <w:rPr>
          <w:b/>
          <w:noProof/>
        </w:rPr>
        <w:t xml:space="preserve"> la santé des écosystèmes</w:t>
      </w:r>
      <w:r>
        <w:rPr>
          <w:noProof/>
        </w:rPr>
        <w:t xml:space="preserve"> </w:t>
      </w:r>
      <w:r>
        <w:rPr>
          <w:b/>
          <w:noProof/>
        </w:rPr>
        <w:t>à long terme</w:t>
      </w:r>
      <w:r>
        <w:rPr>
          <w:noProof/>
        </w:rPr>
        <w:t>.</w:t>
      </w:r>
      <w:r>
        <w:rPr>
          <w:b/>
          <w:noProof/>
        </w:rPr>
        <w:t xml:space="preserve"> </w:t>
      </w:r>
    </w:p>
    <w:p w14:paraId="3238ED1E" w14:textId="0ABD82FC" w:rsidR="00421AF1" w:rsidRDefault="00C96063" w:rsidP="009650AB">
      <w:pPr>
        <w:rPr>
          <w:noProof/>
        </w:rPr>
      </w:pPr>
      <w:r>
        <w:rPr>
          <w:noProof/>
        </w:rPr>
        <w:t>Sur la base de nombreuses contributions recueillies dans le cadre de plusieurs consultations</w:t>
      </w:r>
      <w:r>
        <w:rPr>
          <w:noProof/>
          <w:vertAlign w:val="superscript"/>
          <w:lang w:val="en-IE"/>
        </w:rPr>
        <w:footnoteReference w:id="19"/>
      </w:r>
      <w:r>
        <w:rPr>
          <w:noProof/>
        </w:rPr>
        <w:t xml:space="preserve">, la présente stratégie </w:t>
      </w:r>
      <w:r>
        <w:rPr>
          <w:b/>
          <w:noProof/>
        </w:rPr>
        <w:t>trace la voie à suivre pour bâtir une bioéconomie durable et respectueuse de la nature en</w:t>
      </w:r>
      <w:r>
        <w:rPr>
          <w:noProof/>
        </w:rPr>
        <w:t xml:space="preserve">: </w:t>
      </w:r>
    </w:p>
    <w:p w14:paraId="3BB7D9FC" w14:textId="17325CE2" w:rsidR="00421AF1" w:rsidRPr="00421AF1" w:rsidRDefault="00C96063" w:rsidP="003F29A7">
      <w:pPr>
        <w:pStyle w:val="ListParagraph"/>
        <w:numPr>
          <w:ilvl w:val="0"/>
          <w:numId w:val="45"/>
        </w:numPr>
        <w:spacing w:after="0" w:line="240" w:lineRule="auto"/>
        <w:ind w:left="714" w:hanging="357"/>
        <w:rPr>
          <w:noProof/>
        </w:rPr>
      </w:pPr>
      <w:r>
        <w:rPr>
          <w:b/>
          <w:noProof/>
        </w:rPr>
        <w:t>intensifiant l’innovation et les investissements</w:t>
      </w:r>
      <w:r>
        <w:rPr>
          <w:noProof/>
        </w:rPr>
        <w:t xml:space="preserve">; </w:t>
      </w:r>
    </w:p>
    <w:p w14:paraId="64C63015" w14:textId="3F10DDAF" w:rsidR="00421AF1" w:rsidRPr="00421AF1" w:rsidRDefault="00C96063" w:rsidP="003F29A7">
      <w:pPr>
        <w:pStyle w:val="ListParagraph"/>
        <w:numPr>
          <w:ilvl w:val="0"/>
          <w:numId w:val="45"/>
        </w:numPr>
        <w:spacing w:after="0" w:line="240" w:lineRule="auto"/>
        <w:ind w:left="714" w:hanging="357"/>
        <w:rPr>
          <w:noProof/>
        </w:rPr>
      </w:pPr>
      <w:r>
        <w:rPr>
          <w:b/>
          <w:noProof/>
        </w:rPr>
        <w:t>créant de nouveaux marchés pilotes pour les matériaux et technologies biosourcés;</w:t>
      </w:r>
    </w:p>
    <w:p w14:paraId="1884473E" w14:textId="2356BA17" w:rsidR="00421AF1" w:rsidRPr="00421AF1" w:rsidRDefault="00C96063" w:rsidP="003F29A7">
      <w:pPr>
        <w:pStyle w:val="ListParagraph"/>
        <w:numPr>
          <w:ilvl w:val="0"/>
          <w:numId w:val="45"/>
        </w:numPr>
        <w:spacing w:after="0" w:line="240" w:lineRule="auto"/>
        <w:ind w:left="714" w:hanging="357"/>
        <w:rPr>
          <w:noProof/>
        </w:rPr>
      </w:pPr>
      <w:r>
        <w:rPr>
          <w:b/>
          <w:noProof/>
        </w:rPr>
        <w:t>assurant la durabilité de la fourniture de biomasse tout au long des chaînes de valeur;</w:t>
      </w:r>
    </w:p>
    <w:p w14:paraId="09979EF4" w14:textId="77777777" w:rsidR="00421AF1" w:rsidRPr="00421AF1" w:rsidRDefault="00C96063" w:rsidP="003F29A7">
      <w:pPr>
        <w:pStyle w:val="ListParagraph"/>
        <w:numPr>
          <w:ilvl w:val="0"/>
          <w:numId w:val="45"/>
        </w:numPr>
        <w:spacing w:after="0" w:line="240" w:lineRule="auto"/>
        <w:ind w:left="714" w:hanging="357"/>
        <w:rPr>
          <w:noProof/>
        </w:rPr>
      </w:pPr>
      <w:r>
        <w:rPr>
          <w:b/>
          <w:noProof/>
        </w:rPr>
        <w:t>exploitant les possibilités offertes au niveau mondial</w:t>
      </w:r>
      <w:r>
        <w:rPr>
          <w:noProof/>
        </w:rPr>
        <w:t xml:space="preserve">. </w:t>
      </w:r>
    </w:p>
    <w:p w14:paraId="305E1499" w14:textId="77777777" w:rsidR="00421AF1" w:rsidRPr="00421AF1" w:rsidRDefault="00421AF1" w:rsidP="00421AF1">
      <w:pPr>
        <w:pStyle w:val="ListParagraph"/>
        <w:spacing w:after="0" w:line="240" w:lineRule="auto"/>
        <w:ind w:left="714" w:firstLine="0"/>
        <w:rPr>
          <w:noProof/>
        </w:rPr>
      </w:pPr>
    </w:p>
    <w:p w14:paraId="322E7DC0" w14:textId="7B1912F0" w:rsidR="001E0C0F" w:rsidRPr="006E08C9" w:rsidRDefault="00C96063" w:rsidP="45E269A7">
      <w:pPr>
        <w:rPr>
          <w:noProof/>
        </w:rPr>
      </w:pPr>
      <w:r>
        <w:rPr>
          <w:noProof/>
        </w:rPr>
        <w:t>La stratégie s’appuie sur la stratégie bioéconomique de 2012</w:t>
      </w:r>
      <w:r>
        <w:rPr>
          <w:noProof/>
          <w:vertAlign w:val="superscript"/>
          <w:lang w:val="en-IE"/>
        </w:rPr>
        <w:footnoteReference w:id="20"/>
      </w:r>
      <w:r>
        <w:rPr>
          <w:noProof/>
        </w:rPr>
        <w:t xml:space="preserve"> ainsi que sur les réexamens réalisés en 2018</w:t>
      </w:r>
      <w:r>
        <w:rPr>
          <w:noProof/>
          <w:vertAlign w:val="superscript"/>
          <w:lang w:val="en-IE"/>
        </w:rPr>
        <w:footnoteReference w:id="21"/>
      </w:r>
      <w:r>
        <w:rPr>
          <w:noProof/>
        </w:rPr>
        <w:t xml:space="preserve"> et 2022</w:t>
      </w:r>
      <w:r>
        <w:rPr>
          <w:rStyle w:val="FootnoteReference"/>
          <w:noProof/>
          <w:lang w:val="en-IE"/>
        </w:rPr>
        <w:footnoteReference w:id="22"/>
      </w:r>
      <w:r>
        <w:rPr>
          <w:noProof/>
        </w:rPr>
        <w:t>, mais en mettant cette fois l’accent sur le déploiement industriel, l’expansion du marché, la compétitivité et la résilience. Elle donne suite aux conclusions du Conseil de 2023 et 2024</w:t>
      </w:r>
      <w:r>
        <w:rPr>
          <w:noProof/>
          <w:vertAlign w:val="superscript"/>
          <w:lang w:val="en-IE"/>
        </w:rPr>
        <w:footnoteReference w:id="23"/>
      </w:r>
      <w:r>
        <w:rPr>
          <w:noProof/>
        </w:rPr>
        <w:t>, ainsi qu’au programme stratégique 2024</w:t>
      </w:r>
      <w:r>
        <w:rPr>
          <w:noProof/>
        </w:rPr>
        <w:noBreakHyphen/>
        <w:t>2029</w:t>
      </w:r>
      <w:r>
        <w:rPr>
          <w:noProof/>
          <w:vertAlign w:val="superscript"/>
          <w:lang w:val="en-IE"/>
        </w:rPr>
        <w:footnoteReference w:id="24"/>
      </w:r>
      <w:r>
        <w:rPr>
          <w:noProof/>
        </w:rPr>
        <w:t>. Elle tient également compte de la résolution du Parlement européen de juillet 2025 sur l’avenir de la biotechnologie et de la bioproduction dans l’Union</w:t>
      </w:r>
      <w:r>
        <w:rPr>
          <w:noProof/>
          <w:vertAlign w:val="superscript"/>
          <w:lang w:val="en-IE"/>
        </w:rPr>
        <w:footnoteReference w:id="25"/>
      </w:r>
      <w:r>
        <w:rPr>
          <w:noProof/>
        </w:rPr>
        <w:t>.</w:t>
      </w:r>
    </w:p>
    <w:p w14:paraId="64D42B49" w14:textId="6659055A" w:rsidR="038E81DD" w:rsidRPr="00CE41EF" w:rsidRDefault="52BE9D32" w:rsidP="45E269A7">
      <w:pPr>
        <w:rPr>
          <w:rFonts w:eastAsia="Aptos"/>
          <w:b/>
          <w:i/>
          <w:noProof/>
        </w:rPr>
      </w:pPr>
      <w:r>
        <w:rPr>
          <w:b/>
          <w:i/>
          <w:noProof/>
        </w:rPr>
        <w:t>Projection: la bioéconomie européenne en 2040</w:t>
      </w:r>
    </w:p>
    <w:p w14:paraId="0AF347A1" w14:textId="1094FA2D" w:rsidR="005B0359" w:rsidRDefault="4462F801" w:rsidP="47E57817">
      <w:pPr>
        <w:pBdr>
          <w:top w:val="single" w:sz="4" w:space="1" w:color="auto"/>
          <w:left w:val="single" w:sz="4" w:space="1" w:color="auto"/>
          <w:bottom w:val="single" w:sz="4" w:space="1" w:color="auto"/>
          <w:right w:val="single" w:sz="4" w:space="1" w:color="auto"/>
        </w:pBdr>
        <w:spacing w:after="0"/>
        <w:rPr>
          <w:rFonts w:eastAsia="Aptos"/>
          <w:i/>
          <w:iCs/>
          <w:noProof/>
        </w:rPr>
      </w:pPr>
      <w:r>
        <w:rPr>
          <w:i/>
          <w:noProof/>
        </w:rPr>
        <w:t xml:space="preserve">En 2040, les matériaux et produits biosourcés durables tels que les matériaux de construction, les produits biochimiques, les textiles, les engrais ainsi que les produits phytopharmaceutiques et les matières plastiques sont utilisés à grande échelle dans l’UE. Ils offrent des solutions de substitution non fossiles et créent de nouveaux flux de revenus stables dans les régions rurales, côtières et industrielles à travers l’Europe. Les améliorations du rendement durable favorisent des systèmes agricoles et alimentaires résilients reposant sur une gestion fondée sur les connaissances. Des bioraffineries intégrées et des installations de fermentation avancée, transformant diverses matières premières en produits de grande valeur, sont exploitées sur tout le continent. </w:t>
      </w:r>
    </w:p>
    <w:p w14:paraId="34C55EEE" w14:textId="77777777" w:rsidR="00640E09" w:rsidRPr="00D01D7F" w:rsidRDefault="00640E09" w:rsidP="47E57817">
      <w:pPr>
        <w:pBdr>
          <w:top w:val="single" w:sz="4" w:space="1" w:color="auto"/>
          <w:left w:val="single" w:sz="4" w:space="1" w:color="auto"/>
          <w:bottom w:val="single" w:sz="4" w:space="1" w:color="auto"/>
          <w:right w:val="single" w:sz="4" w:space="1" w:color="auto"/>
        </w:pBdr>
        <w:spacing w:after="0"/>
        <w:rPr>
          <w:rFonts w:eastAsia="Aptos"/>
          <w:i/>
          <w:iCs/>
          <w:noProof/>
          <w:lang w:val="fr-BE"/>
        </w:rPr>
      </w:pPr>
    </w:p>
    <w:p w14:paraId="6A633A99" w14:textId="3CA71402" w:rsidR="00640E09" w:rsidRDefault="00640E09" w:rsidP="47E57817">
      <w:pPr>
        <w:pBdr>
          <w:top w:val="single" w:sz="4" w:space="1" w:color="auto"/>
          <w:left w:val="single" w:sz="4" w:space="1" w:color="auto"/>
          <w:bottom w:val="single" w:sz="4" w:space="1" w:color="auto"/>
          <w:right w:val="single" w:sz="4" w:space="1" w:color="auto"/>
        </w:pBdr>
        <w:spacing w:after="0"/>
        <w:rPr>
          <w:rFonts w:eastAsia="Aptos"/>
          <w:i/>
          <w:iCs/>
          <w:noProof/>
        </w:rPr>
      </w:pPr>
      <w:r>
        <w:rPr>
          <w:i/>
          <w:noProof/>
        </w:rPr>
        <w:t>La bioéconomie européenne doit cette expansion au fait que la biotechnologie, dynamisée par les actes législatifs adoptés en la matière, devient le moteur qui rend les solutions biosourcées abordables et compétitives et permet de les déployer à l’échelle industrielle.</w:t>
      </w:r>
    </w:p>
    <w:p w14:paraId="58CC2982" w14:textId="77777777" w:rsidR="009845A8" w:rsidRPr="00D01D7F" w:rsidRDefault="009845A8" w:rsidP="45E269A7">
      <w:pPr>
        <w:pBdr>
          <w:top w:val="single" w:sz="4" w:space="1" w:color="auto"/>
          <w:left w:val="single" w:sz="4" w:space="1" w:color="auto"/>
          <w:bottom w:val="single" w:sz="4" w:space="1" w:color="auto"/>
          <w:right w:val="single" w:sz="4" w:space="1" w:color="auto"/>
        </w:pBdr>
        <w:spacing w:after="0"/>
        <w:rPr>
          <w:rFonts w:eastAsia="Aptos"/>
          <w:i/>
          <w:iCs/>
          <w:noProof/>
          <w:szCs w:val="24"/>
          <w:lang w:val="fr-BE"/>
        </w:rPr>
      </w:pPr>
    </w:p>
    <w:p w14:paraId="3A8D805D" w14:textId="5326C319" w:rsidR="00BE3CE7" w:rsidRPr="00CE41EF" w:rsidRDefault="66EFF382" w:rsidP="56E11421">
      <w:pPr>
        <w:pBdr>
          <w:top w:val="single" w:sz="4" w:space="1" w:color="auto"/>
          <w:left w:val="single" w:sz="4" w:space="1" w:color="auto"/>
          <w:bottom w:val="single" w:sz="4" w:space="1" w:color="auto"/>
          <w:right w:val="single" w:sz="4" w:space="1" w:color="auto"/>
        </w:pBdr>
        <w:spacing w:after="0"/>
        <w:rPr>
          <w:rFonts w:eastAsia="Aptos"/>
          <w:b/>
          <w:bCs/>
          <w:i/>
          <w:iCs/>
          <w:noProof/>
        </w:rPr>
      </w:pPr>
      <w:r>
        <w:rPr>
          <w:i/>
          <w:noProof/>
        </w:rPr>
        <w:t xml:space="preserve">Grâce aux avancées en matière de biotechnologie et de bioproduction, les solutions biosourcées deviennent compétitives en termes de coûts et adaptables. Les compétences, la sécurité des investissements et la fiabilité de l’approvisionnement en biomasse sous-tendent le déploiement industriel. </w:t>
      </w:r>
    </w:p>
    <w:p w14:paraId="61823864" w14:textId="77777777" w:rsidR="004B1D38" w:rsidRPr="00D01D7F" w:rsidRDefault="004B1D38" w:rsidP="45E269A7">
      <w:pPr>
        <w:pBdr>
          <w:top w:val="single" w:sz="4" w:space="1" w:color="auto"/>
          <w:left w:val="single" w:sz="4" w:space="1" w:color="auto"/>
          <w:bottom w:val="single" w:sz="4" w:space="1" w:color="auto"/>
          <w:right w:val="single" w:sz="4" w:space="1" w:color="auto"/>
        </w:pBdr>
        <w:spacing w:after="0"/>
        <w:rPr>
          <w:rFonts w:eastAsia="Aptos"/>
          <w:i/>
          <w:iCs/>
          <w:noProof/>
          <w:szCs w:val="24"/>
          <w:lang w:val="fr-BE"/>
        </w:rPr>
      </w:pPr>
    </w:p>
    <w:p w14:paraId="5BBA2E8A" w14:textId="43F69716" w:rsidR="00BE3CE7" w:rsidRPr="00CE41EF" w:rsidRDefault="6374146A" w:rsidP="47E57817">
      <w:pPr>
        <w:pBdr>
          <w:top w:val="single" w:sz="4" w:space="1" w:color="auto"/>
          <w:left w:val="single" w:sz="4" w:space="1" w:color="auto"/>
          <w:bottom w:val="single" w:sz="4" w:space="1" w:color="auto"/>
          <w:right w:val="single" w:sz="4" w:space="1" w:color="auto"/>
        </w:pBdr>
        <w:spacing w:after="0"/>
        <w:rPr>
          <w:rFonts w:eastAsia="Aptos"/>
          <w:i/>
          <w:iCs/>
          <w:noProof/>
        </w:rPr>
      </w:pPr>
      <w:r>
        <w:rPr>
          <w:i/>
          <w:noProof/>
        </w:rPr>
        <w:t>La bioéconomie permet à l’Europe de mobiliser ses propres atouts (terres agricoles productives, forêts gérées de manière durable et océans sains) pour assurer la prospérité, la sécurité économique et alimentaire et la résilience. L’agriculture et la sylviculture, associées à une utilisation plus intelligente des ressources marines, garantissent à l’Europe de pouvoir répondre à la plupart de ses besoins en biomasse grâce à une production intérieure durable. L’utilisation stratégique des sous-produits et des résidus rend l’utilisation des ressources plus efficace, tout en renforçant la position de l’UE sur les marchés mondiaux.</w:t>
      </w:r>
    </w:p>
    <w:p w14:paraId="109858A6" w14:textId="77777777" w:rsidR="007B2222" w:rsidRPr="00D01D7F" w:rsidRDefault="007B2222" w:rsidP="45E269A7">
      <w:pPr>
        <w:pBdr>
          <w:top w:val="single" w:sz="4" w:space="1" w:color="auto"/>
          <w:left w:val="single" w:sz="4" w:space="1" w:color="auto"/>
          <w:bottom w:val="single" w:sz="4" w:space="1" w:color="auto"/>
          <w:right w:val="single" w:sz="4" w:space="1" w:color="auto"/>
        </w:pBdr>
        <w:spacing w:after="0"/>
        <w:rPr>
          <w:rFonts w:eastAsia="Aptos"/>
          <w:i/>
          <w:iCs/>
          <w:noProof/>
          <w:szCs w:val="24"/>
          <w:lang w:val="fr-BE"/>
        </w:rPr>
      </w:pPr>
    </w:p>
    <w:p w14:paraId="6FEB81A5" w14:textId="05154B7C" w:rsidR="00BE3CE7" w:rsidRPr="00CE41EF" w:rsidRDefault="11C64069" w:rsidP="00FF0551">
      <w:pPr>
        <w:pBdr>
          <w:top w:val="single" w:sz="4" w:space="1" w:color="auto"/>
          <w:left w:val="single" w:sz="4" w:space="1" w:color="auto"/>
          <w:bottom w:val="single" w:sz="4" w:space="1" w:color="auto"/>
          <w:right w:val="single" w:sz="4" w:space="1" w:color="auto"/>
        </w:pBdr>
        <w:spacing w:after="0" w:line="259" w:lineRule="auto"/>
        <w:rPr>
          <w:rFonts w:eastAsia="Aptos"/>
          <w:i/>
          <w:iCs/>
          <w:noProof/>
        </w:rPr>
      </w:pPr>
      <w:r>
        <w:rPr>
          <w:i/>
          <w:noProof/>
        </w:rPr>
        <w:t>À l’échelle mondiale, l’Europe est un partenaire de premier plan et un exportateur de technologies et matériaux biosourcés, et de savoir-faire en la matière. Grâce à des partenariats stratégiques et à des accords commerciaux équitables et durables, l’UE peut exploiter de nouveaux marchés. Elle joue un rôle actif au sein d’enceintes internationales telles que l’Organisation des Nations unies pour l’alimentation et l’agriculture (FAO) et l’Organisation mondiale du commerce (OMC), où elle défend une bioéconomie mondiale équitable et fondée sur des règles.</w:t>
      </w:r>
    </w:p>
    <w:p w14:paraId="38D99559" w14:textId="77777777" w:rsidR="000B4DDB" w:rsidRPr="00D01D7F" w:rsidRDefault="000B4DDB" w:rsidP="000B4DDB">
      <w:pPr>
        <w:spacing w:after="0"/>
        <w:rPr>
          <w:rFonts w:eastAsia="Aptos"/>
          <w:noProof/>
          <w:szCs w:val="24"/>
          <w:lang w:val="fr-BE"/>
        </w:rPr>
      </w:pPr>
    </w:p>
    <w:p w14:paraId="0E433B4C" w14:textId="3F194AAA" w:rsidR="009650AB" w:rsidRPr="00CE41EF" w:rsidRDefault="00150231" w:rsidP="003F29A7">
      <w:pPr>
        <w:pStyle w:val="Heading1"/>
        <w:numPr>
          <w:ilvl w:val="0"/>
          <w:numId w:val="23"/>
        </w:numPr>
        <w:rPr>
          <w:noProof/>
          <w:szCs w:val="24"/>
        </w:rPr>
      </w:pPr>
      <w:r>
        <w:rPr>
          <w:noProof/>
        </w:rPr>
        <w:t>Intensifier l’innovation et les investissements: du laboratoire au déploiement</w:t>
      </w:r>
    </w:p>
    <w:p w14:paraId="2C0FD549" w14:textId="77777777" w:rsidR="008F4823" w:rsidRDefault="5540791E" w:rsidP="008F4823">
      <w:pPr>
        <w:rPr>
          <w:noProof/>
          <w:szCs w:val="24"/>
        </w:rPr>
      </w:pPr>
      <w:r>
        <w:rPr>
          <w:noProof/>
        </w:rPr>
        <w:t>La dernière décennie a révélé le potentiel d’</w:t>
      </w:r>
      <w:r>
        <w:rPr>
          <w:b/>
          <w:noProof/>
        </w:rPr>
        <w:t>innovation bioéconomique à grande échelle</w:t>
      </w:r>
      <w:r>
        <w:rPr>
          <w:noProof/>
        </w:rPr>
        <w:t>. La valeur ajoutée offerte par les nouveaux matériaux biosourcés augmente rapidement dans des secteurs tels que ceux des produits chimiques, des produits pharmaceutiques, des matières plastiques, de la construction et du textile</w:t>
      </w:r>
      <w:r>
        <w:rPr>
          <w:noProof/>
          <w:vertAlign w:val="superscript"/>
        </w:rPr>
        <w:footnoteReference w:id="26"/>
      </w:r>
      <w:r>
        <w:rPr>
          <w:noProof/>
        </w:rPr>
        <w:t xml:space="preserve">. Toutefois, la concurrence internationale, notamment de la part des États-Unis et de la Chine, ainsi que les obstacles persistants au sein du marché unique freinent leur déploiement et risquent de détourner l’innovation vers les marchés de pays tiers.  </w:t>
      </w:r>
    </w:p>
    <w:p w14:paraId="3E7BC39A" w14:textId="5FF67380" w:rsidR="001E0C0F" w:rsidRDefault="00F40923" w:rsidP="00587696">
      <w:pPr>
        <w:rPr>
          <w:noProof/>
        </w:rPr>
      </w:pPr>
      <w:r>
        <w:rPr>
          <w:b/>
          <w:noProof/>
        </w:rPr>
        <w:t>Pour accélérer le passage du potentiel au déploiement, nous devons éliminer les obstacles existants et intensifier les investissements et le soutien à l’utilisation de ces technologies, promettant la plus forte valeur ajoutée à partir des ressources limitées</w:t>
      </w:r>
      <w:r>
        <w:rPr>
          <w:noProof/>
        </w:rPr>
        <w:t xml:space="preserve">. </w:t>
      </w:r>
    </w:p>
    <w:p w14:paraId="44467C6B" w14:textId="48522723" w:rsidR="00E33B8F" w:rsidRPr="001E0C0F" w:rsidRDefault="001E0C0F" w:rsidP="00422BD3">
      <w:pPr>
        <w:pStyle w:val="Heading2"/>
        <w:rPr>
          <w:noProof/>
        </w:rPr>
      </w:pPr>
      <w:r>
        <w:rPr>
          <w:noProof/>
        </w:rPr>
        <w:t>Élimination des obstacles</w:t>
      </w:r>
    </w:p>
    <w:p w14:paraId="26FC9FE0" w14:textId="4D20A60E" w:rsidR="009650AB" w:rsidRPr="00CE41EF" w:rsidRDefault="6164E1AF" w:rsidP="74ED25BA">
      <w:pPr>
        <w:spacing w:after="120"/>
        <w:rPr>
          <w:noProof/>
        </w:rPr>
      </w:pPr>
      <w:r>
        <w:rPr>
          <w:i/>
          <w:noProof/>
        </w:rPr>
        <w:t xml:space="preserve">Rationalisation des exigences et facilitation de l’entrée sur le marché </w:t>
      </w:r>
    </w:p>
    <w:p w14:paraId="448E1A0F" w14:textId="5527F60F" w:rsidR="009650AB" w:rsidRPr="00CE41EF" w:rsidRDefault="39FF9AB1" w:rsidP="00D36D26">
      <w:pPr>
        <w:rPr>
          <w:noProof/>
        </w:rPr>
      </w:pPr>
      <w:r>
        <w:rPr>
          <w:b/>
          <w:noProof/>
        </w:rPr>
        <w:t>La complexité réglementaire</w:t>
      </w:r>
      <w:r>
        <w:rPr>
          <w:noProof/>
        </w:rPr>
        <w:t xml:space="preserve"> reste un défi majeur pour la bioéconomie. L’entrée sur le marché de la bioéconomie est souvent tardive en raison de l’incertitude quant au classement des nouveaux bioproduits qui ne relèvent pas clairement des catégories existantes juridiquement reconnues</w:t>
      </w:r>
      <w:r>
        <w:rPr>
          <w:noProof/>
          <w:vertAlign w:val="superscript"/>
        </w:rPr>
        <w:footnoteReference w:id="27"/>
      </w:r>
      <w:r>
        <w:rPr>
          <w:noProof/>
        </w:rPr>
        <w:t xml:space="preserve">. Cette complexité, aggravée par les divergences entre les règles et les interprétations nationales des États membres, entraîne une fragmentation du marché qui accroît le coût des activités commerciales, en particulier pour les PME. </w:t>
      </w:r>
    </w:p>
    <w:p w14:paraId="582BB220" w14:textId="7917830D" w:rsidR="00F13F97" w:rsidRDefault="001E0C0F" w:rsidP="00CC4422">
      <w:pPr>
        <w:rPr>
          <w:noProof/>
        </w:rPr>
      </w:pPr>
      <w:r>
        <w:rPr>
          <w:noProof/>
        </w:rPr>
        <w:t>Afin que l’UE puisse offrir un environnement prévisible et propice à l’innovation biosourcée tout en préservant ses normes de sécurité, la Commission entend simplifier les exigences réglementaires et accélérer le processus d’autorisation des produits au moyen d’</w:t>
      </w:r>
      <w:r>
        <w:rPr>
          <w:b/>
          <w:noProof/>
        </w:rPr>
        <w:t>actes législatifs de l’UE sur les biotechnologies</w:t>
      </w:r>
      <w:r>
        <w:rPr>
          <w:noProof/>
        </w:rPr>
        <w:t>. Les actes législatifs sur les biotechnologies introduiront des catalyseurs sectoriels et horizontaux, par exemple des bacs à sable réglementaires, des procédures d’autorisation accélérées pour les solutions microbiennes à usage industriel dans la bioéconomie et des procédures d’autorisation rationalisées pour les projets de bioproduction.</w:t>
      </w:r>
    </w:p>
    <w:p w14:paraId="57E213AB" w14:textId="58ACFFCB" w:rsidR="008F4823" w:rsidRDefault="785F2916" w:rsidP="47E57817">
      <w:pPr>
        <w:rPr>
          <w:noProof/>
        </w:rPr>
      </w:pPr>
      <w:r>
        <w:rPr>
          <w:noProof/>
        </w:rPr>
        <w:t xml:space="preserve">Il est essentiel de pouvoir procéder à des évaluations rapides et proportionnées des risques liés aux nouvelles solutions biosourcées. Aujourd’hui, ces évaluations sont réalisées par l’Autorité européenne de sécurité des aliments, l’Agence européenne des produits chimiques et l’Agence européenne des médicaments. Leur expertise est indispensable, et pourtant les innovateurs se heurtent souvent à des procédures fragmentées et longues, en particulier lorsque les nouvelles solutions biosourcées ne s’inscrivent pas parfaitement dans les catégories réglementaires existantes.  </w:t>
      </w:r>
    </w:p>
    <w:p w14:paraId="04612326" w14:textId="552451C5" w:rsidR="00A507C1" w:rsidRDefault="2CC3174C" w:rsidP="47E57817">
      <w:pPr>
        <w:rPr>
          <w:noProof/>
        </w:rPr>
      </w:pPr>
      <w:r>
        <w:rPr>
          <w:noProof/>
        </w:rPr>
        <w:t xml:space="preserve">La Commission mettra en place un </w:t>
      </w:r>
      <w:r>
        <w:rPr>
          <w:b/>
          <w:noProof/>
        </w:rPr>
        <w:t>forum européen des régulateurs et des innovateurs de la bioéconomie</w:t>
      </w:r>
      <w:r>
        <w:rPr>
          <w:noProof/>
        </w:rPr>
        <w:t xml:space="preserve">, qui servira d’espace structuré pour l’échange de bonnes pratiques en matière d’évaluation des risques liés aux nouvelles solutions biosourcées, pour le suivi des progrès accomplis et pour l’ouverture de discussions préliminaires avec les entreprises qui mettent au point de nouvelles solutions biosourcées. Il coordonnera les actions nationales et européennes en vue d’accélérer les autorisations pour les nouveaux entrants et d’éliminer les obstacles. </w:t>
      </w:r>
    </w:p>
    <w:p w14:paraId="4FC6D627" w14:textId="79DF3D3B" w:rsidR="001E0C0F" w:rsidRDefault="006D4846" w:rsidP="002D507D">
      <w:pPr>
        <w:rPr>
          <w:noProof/>
        </w:rPr>
      </w:pPr>
      <w:bookmarkStart w:id="3" w:name="_Hlk214198623"/>
      <w:r>
        <w:rPr>
          <w:noProof/>
        </w:rPr>
        <w:t xml:space="preserve">Outre la création du forum, il est nécessaire </w:t>
      </w:r>
      <w:r>
        <w:rPr>
          <w:b/>
          <w:noProof/>
        </w:rPr>
        <w:t>d’accélérer, de clarifier et de simplifier les autorisations</w:t>
      </w:r>
      <w:r>
        <w:rPr>
          <w:noProof/>
        </w:rPr>
        <w:t xml:space="preserve">. La Commission fournira des orientations sur la manière de classer les nouveaux bioproduits et créera un point d’entrée en ligne unique afin que les entreprises ne doivent communiquer les informations qu’une seule fois. La coordination des évaluations des risques entre les agences de l’UE sera améliorée afin d’éviter la duplication des tâches et de réduire les délais d’attente. </w:t>
      </w:r>
      <w:bookmarkStart w:id="4" w:name="_Hlk214198685"/>
      <w:bookmarkEnd w:id="3"/>
    </w:p>
    <w:bookmarkEnd w:id="4"/>
    <w:p w14:paraId="5624468C" w14:textId="12B43938" w:rsidR="009F4042" w:rsidRDefault="009F4042" w:rsidP="009F4042">
      <w:pPr>
        <w:spacing w:after="120"/>
        <w:rPr>
          <w:noProof/>
        </w:rPr>
      </w:pPr>
      <w:r>
        <w:rPr>
          <w:noProof/>
        </w:rPr>
        <w:t xml:space="preserve">La Commission mettra </w:t>
      </w:r>
      <w:r>
        <w:rPr>
          <w:b/>
          <w:noProof/>
        </w:rPr>
        <w:t>un soutien technique à la disposition des PME qui développent des bioproduits innovants afin d’accélérer les autorisations tout en maintenant des normes de sécurité élevées</w:t>
      </w:r>
      <w:r>
        <w:rPr>
          <w:noProof/>
        </w:rPr>
        <w:t xml:space="preserve">. Elle soutiendra notamment les PME qui élaborent des produits innovants en utilisant la fermentation avancée, y compris pour les denrées alimentaires et les aliments pour animaux. </w:t>
      </w:r>
    </w:p>
    <w:p w14:paraId="6972EE24" w14:textId="706CFEE9" w:rsidR="001E0C0F" w:rsidRDefault="4203083A" w:rsidP="00EA40C0">
      <w:pPr>
        <w:spacing w:after="120"/>
        <w:rPr>
          <w:noProof/>
        </w:rPr>
      </w:pPr>
      <w:r>
        <w:rPr>
          <w:noProof/>
        </w:rPr>
        <w:t xml:space="preserve">Afin d’accroître la souplesse réglementaire et de permettre aux innovateurs de la bioéconomie de développer et d’expérimenter de nouvelles idées, de recueillir des données probantes et de s’assurer que la réglementation continue de soutenir l’innovation, la Commission </w:t>
      </w:r>
      <w:r>
        <w:rPr>
          <w:b/>
          <w:noProof/>
        </w:rPr>
        <w:t>encouragera l’utilisation d’environnements d’essai</w:t>
      </w:r>
      <w:r>
        <w:rPr>
          <w:noProof/>
        </w:rPr>
        <w:t xml:space="preserve"> tels que les bacs à sable réglementaires dans la bioéconomie, notamment dans le contexte du futur acte législatif de l’UE sur l’innovation.  </w:t>
      </w:r>
    </w:p>
    <w:p w14:paraId="75132B64" w14:textId="5BEF22CD" w:rsidR="00D808FE" w:rsidRDefault="007256C5" w:rsidP="007256C5">
      <w:pPr>
        <w:spacing w:after="120"/>
        <w:rPr>
          <w:noProof/>
        </w:rPr>
      </w:pPr>
      <w:r>
        <w:rPr>
          <w:noProof/>
        </w:rPr>
        <w:t xml:space="preserve">Les biotechnologies et la bioproduction bénéficieront également de normes plus claires et plus cohérentes qui favoriseront l’adoption par le marché. Pour rester compétitive dans ces domaines complexes en constante évolution, la Commission accélérera l’élaboration de normes bioéconomiques et le développement de la métrologie. Elle renforcera ses investissements au titre du CFP actuel dans les activités prénormatives en élaborant, en expérimentant et en validant des prénormes stratégiques, y compris en ce qui concerne les données, en situation réelle. </w:t>
      </w:r>
    </w:p>
    <w:p w14:paraId="270D1290" w14:textId="25B392CB" w:rsidR="007256C5" w:rsidRPr="00A4406A" w:rsidRDefault="007256C5" w:rsidP="007256C5">
      <w:pPr>
        <w:spacing w:after="120"/>
        <w:rPr>
          <w:noProof/>
        </w:rPr>
      </w:pPr>
      <w:r>
        <w:rPr>
          <w:noProof/>
        </w:rPr>
        <w:t xml:space="preserve">En vertu du </w:t>
      </w:r>
      <w:r>
        <w:rPr>
          <w:b/>
          <w:noProof/>
        </w:rPr>
        <w:t>règlement sur les produits de construction</w:t>
      </w:r>
      <w:r>
        <w:rPr>
          <w:noProof/>
        </w:rPr>
        <w:t>, les caractéristiques essentielles liées à la réaction au feu et à la résistance au feu s’appliquent déjà à tous les produits de construction, le cas échéant, et les fabricants sont donc tenus d’en déclarer les performances. À ce jour, les divergences entre les pratiques nationales continuent de donner lieu à une duplication des tâches pour les bioproduits de construction qui ne sont pas encore harmonisés. Pour remédier à ces incohérences, la Commission collaborera avec les États membres, l’industrie et les organismes de normalisation afin de donner la priorité à l’élaboration et à la révision des normes harmonisées pertinentes dans le cadre du règlement sur les produits de la construction (en adoptant des demandes de normalisation pour les portes et fenêtres, les produits/éléments de bois de charpente et produits connexes, les panneaux et éléments à base de bois, les produits d’isolation thermique en 2026). Dans le cadre de ces travaux, elle veillera à ce que les méthodes d’essai et les approches de classification existantes de l’UE puissent être appliquées de manière harmonisée au bois d’œuvre et aux autres bioproduits, tout en respectant pleinement le fait que les exigences en matière de sécurité incendie au niveau des bâtiments restent une compétence nationale.</w:t>
      </w:r>
    </w:p>
    <w:p w14:paraId="00FCE4FF" w14:textId="77777777" w:rsidR="007256C5" w:rsidRDefault="007256C5" w:rsidP="00EA40C0">
      <w:pPr>
        <w:spacing w:after="120"/>
        <w:rPr>
          <w:noProof/>
        </w:rPr>
      </w:pPr>
    </w:p>
    <w:p w14:paraId="0BDAD43E" w14:textId="566AF22A" w:rsidR="009650AB" w:rsidRPr="00CE41EF" w:rsidRDefault="00364161" w:rsidP="00EA40C0">
      <w:pPr>
        <w:spacing w:after="120"/>
        <w:rPr>
          <w:i/>
          <w:iCs/>
          <w:noProof/>
          <w:szCs w:val="24"/>
        </w:rPr>
      </w:pPr>
      <w:r>
        <w:rPr>
          <w:i/>
          <w:noProof/>
        </w:rPr>
        <w:t>Obstacles non réglementaires</w:t>
      </w:r>
    </w:p>
    <w:p w14:paraId="20388828" w14:textId="51B20C71" w:rsidR="0065326D" w:rsidRDefault="10987D41" w:rsidP="47E57817">
      <w:pPr>
        <w:rPr>
          <w:noProof/>
          <w:szCs w:val="24"/>
        </w:rPr>
      </w:pPr>
      <w:r>
        <w:rPr>
          <w:b/>
          <w:noProof/>
        </w:rPr>
        <w:t>Par rapport aux solutions fossiles, les bioproduits peuvent présenter des avantages environnementaux qui ne sont pas toujours visibles pour les consommateurs</w:t>
      </w:r>
      <w:r>
        <w:rPr>
          <w:noProof/>
        </w:rPr>
        <w:t>. La révision en cours des méthodes d’</w:t>
      </w:r>
      <w:r>
        <w:rPr>
          <w:b/>
          <w:noProof/>
        </w:rPr>
        <w:t>empreinte environnementale de produit</w:t>
      </w:r>
      <w:r>
        <w:rPr>
          <w:noProof/>
        </w:rPr>
        <w:t xml:space="preserve"> (EEP) permettra d’améliorer la manière dont les matériaux, les produits chimiques et les produits biosourcés sont évalués et comparés, notamment en renforçant la comptabilisation du carbone biogénique, en ajoutant des indicateurs sur la biodiversité et les microplastiques et en affinant les méthodes d’évaluation de la circularité. Elle fournira également des données de meilleure qualité pour des évaluations transparentes et crédibles. </w:t>
      </w:r>
    </w:p>
    <w:p w14:paraId="41711062" w14:textId="73DAA281" w:rsidR="009650AB" w:rsidRPr="00CE41EF" w:rsidRDefault="000827BC" w:rsidP="000827BC">
      <w:pPr>
        <w:pStyle w:val="Heading2"/>
        <w:numPr>
          <w:ilvl w:val="0"/>
          <w:numId w:val="0"/>
        </w:numPr>
        <w:rPr>
          <w:noProof/>
          <w:szCs w:val="24"/>
        </w:rPr>
      </w:pPr>
      <w:r>
        <w:rPr>
          <w:noProof/>
        </w:rPr>
        <w:t xml:space="preserve">1.2 </w:t>
      </w:r>
      <w:r>
        <w:rPr>
          <w:noProof/>
        </w:rPr>
        <w:tab/>
        <w:t>Stimulation de l’innovation et des investissements</w:t>
      </w:r>
    </w:p>
    <w:p w14:paraId="1E761DE4" w14:textId="77777777" w:rsidR="001E0C0F" w:rsidRDefault="3A82B612" w:rsidP="001E0C0F">
      <w:pPr>
        <w:spacing w:after="200"/>
        <w:rPr>
          <w:noProof/>
        </w:rPr>
      </w:pPr>
      <w:r>
        <w:rPr>
          <w:noProof/>
        </w:rPr>
        <w:t xml:space="preserve">Les technologies biosourcées et les biotechnologies industrielles sont des technologies à forte intensité de capital, qui nécessitent des investissements initiaux substantiels dans les infrastructures de R&amp;I, de démonstration et de fabrication. Malgré le soutien apporté par les fonds et instruments de l’UE pour réduire les risques liés à l’innovation et aux investissements, les possibilités de financement restent insuffisantes pour soutenir les jeunes pousses et les entreprises en expansion de la bioéconomie depuis la découverte en laboratoire jusqu’au déploiement sur le marché. Elles doivent affronter </w:t>
      </w:r>
      <w:r>
        <w:rPr>
          <w:b/>
          <w:noProof/>
        </w:rPr>
        <w:t>deux «vallées de la mort»</w:t>
      </w:r>
      <w:r>
        <w:rPr>
          <w:noProof/>
        </w:rPr>
        <w:t xml:space="preserve">: </w:t>
      </w:r>
    </w:p>
    <w:p w14:paraId="35E557C4" w14:textId="72C97B70" w:rsidR="00E976BE" w:rsidRPr="001E0C0F" w:rsidRDefault="7B7E9180" w:rsidP="001E0C0F">
      <w:pPr>
        <w:spacing w:after="200"/>
        <w:rPr>
          <w:noProof/>
        </w:rPr>
      </w:pPr>
      <w:r>
        <w:rPr>
          <w:noProof/>
        </w:rPr>
        <w:t>la première se situe entre la démonstration et la première production commerciale, lorsque les technologies doivent prouver leur viabilité technique et économique.  Les besoins élevés en capitaux et les risques de marché perçus peuvent décourager le financement privé à ce stade. La deuxième «vallée de la mort» arrive après l’entrée initiale sur le marché, lorsque les entreprises cherchent à se développer pour atteindre le stade de la production industrielle.  Ici, la difficulté réside dans le passage à l’échelle industrielle, qui nécessite un capital de croissance substantiel et la certitude d’achats à long terme.</w:t>
      </w:r>
    </w:p>
    <w:p w14:paraId="0663DE9D" w14:textId="716134AE" w:rsidR="00C711A5" w:rsidRPr="00422BD3" w:rsidRDefault="00C711A5" w:rsidP="00C711A5">
      <w:pPr>
        <w:rPr>
          <w:noProof/>
          <w:sz w:val="18"/>
          <w:szCs w:val="18"/>
        </w:rPr>
      </w:pPr>
      <w:r>
        <w:rPr>
          <w:noProof/>
          <w:sz w:val="18"/>
        </w:rPr>
        <w:t>Figure 2: deux «vallées de la mort» dans l’expansion de la bioéconomie en Europe</w:t>
      </w:r>
    </w:p>
    <w:p w14:paraId="405FEB00" w14:textId="6C0F4EBF" w:rsidR="00C711A5" w:rsidRPr="00CE41EF" w:rsidRDefault="007B2C6A" w:rsidP="00C711A5">
      <w:pPr>
        <w:rPr>
          <w:noProof/>
          <w:szCs w:val="24"/>
        </w:rPr>
      </w:pPr>
      <w:r w:rsidRPr="007B2C6A">
        <w:rPr>
          <w:noProof/>
          <w:szCs w:val="24"/>
          <w:lang w:val="en-GB" w:eastAsia="en-GB"/>
        </w:rPr>
        <w:drawing>
          <wp:inline distT="0" distB="0" distL="0" distR="0" wp14:anchorId="224CECD3" wp14:editId="39AA246A">
            <wp:extent cx="5472430" cy="3030220"/>
            <wp:effectExtent l="0" t="0" r="0" b="0"/>
            <wp:docPr id="32508086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80866" name="Picture 1" descr="A screenshot of a graph&#10;&#10;AI-generated content may be incorrect."/>
                    <pic:cNvPicPr/>
                  </pic:nvPicPr>
                  <pic:blipFill>
                    <a:blip r:embed="rId19"/>
                    <a:stretch>
                      <a:fillRect/>
                    </a:stretch>
                  </pic:blipFill>
                  <pic:spPr>
                    <a:xfrm>
                      <a:off x="0" y="0"/>
                      <a:ext cx="5472430" cy="3030220"/>
                    </a:xfrm>
                    <a:prstGeom prst="rect">
                      <a:avLst/>
                    </a:prstGeom>
                  </pic:spPr>
                </pic:pic>
              </a:graphicData>
            </a:graphic>
          </wp:inline>
        </w:drawing>
      </w:r>
    </w:p>
    <w:p w14:paraId="73E4FEEA" w14:textId="3389125E" w:rsidR="003E1287" w:rsidRPr="00422BD3" w:rsidDel="00A66A32" w:rsidRDefault="00C711A5" w:rsidP="00315884">
      <w:pPr>
        <w:jc w:val="center"/>
        <w:rPr>
          <w:noProof/>
          <w:sz w:val="18"/>
          <w:szCs w:val="18"/>
        </w:rPr>
      </w:pPr>
      <w:r>
        <w:rPr>
          <w:noProof/>
          <w:sz w:val="18"/>
        </w:rPr>
        <w:t>Source: graphique de la Commission européenne fondé sur les résultats de consultations publiques et sur sa propre analyse</w:t>
      </w:r>
    </w:p>
    <w:p w14:paraId="48E3039A" w14:textId="6B248F20" w:rsidR="001E72AC" w:rsidRPr="00C66253" w:rsidRDefault="00511885" w:rsidP="45E269A7">
      <w:pPr>
        <w:spacing w:after="120"/>
        <w:rPr>
          <w:noProof/>
          <w:szCs w:val="24"/>
        </w:rPr>
      </w:pPr>
      <w:r>
        <w:rPr>
          <w:noProof/>
        </w:rPr>
        <w:t xml:space="preserve">La </w:t>
      </w:r>
      <w:r>
        <w:rPr>
          <w:b/>
          <w:noProof/>
        </w:rPr>
        <w:t>stratégie européenne pour les sciences du vivant et la stratégie de l’UE en faveur des start-up et des scale-up</w:t>
      </w:r>
      <w:r>
        <w:rPr>
          <w:noProof/>
        </w:rPr>
        <w:t xml:space="preserve"> fixent le cadre pour accélérer l’innovation, améliorer l’accès au marché et soutenir l’expansion, garantissant une évolution coordonnée de la durabilité et de la compétitivité. Ce cadre devrait être complété par un certain nombre de mesures ciblant spécifiquement l’investissement et l’innovation dans la bioéconomie, qui seront axées en particulier sur les dernières phases du processus d’expansion.</w:t>
      </w:r>
    </w:p>
    <w:p w14:paraId="64F90630" w14:textId="7BDC2E24" w:rsidR="009650AB" w:rsidRPr="00CE41EF" w:rsidRDefault="0F877218" w:rsidP="45E269A7">
      <w:pPr>
        <w:spacing w:after="120"/>
        <w:rPr>
          <w:i/>
          <w:iCs/>
          <w:noProof/>
          <w:szCs w:val="24"/>
        </w:rPr>
      </w:pPr>
      <w:r>
        <w:rPr>
          <w:i/>
          <w:noProof/>
        </w:rPr>
        <w:t>Réduire les risques liés aux investissements pour intensifier l’innovation</w:t>
      </w:r>
    </w:p>
    <w:p w14:paraId="581472AA" w14:textId="36917D87" w:rsidR="00B50978" w:rsidRDefault="00A43EF3" w:rsidP="009650AB">
      <w:pPr>
        <w:rPr>
          <w:noProof/>
        </w:rPr>
      </w:pPr>
      <w:r>
        <w:rPr>
          <w:noProof/>
        </w:rPr>
        <w:t>Afin de permettre aux entreprises de financer l’intensification de l’innovation, il est essentiel de réduire les risques d’investissement, de mobiliser des financements mixtes et de renforcer la viabilité financière des solutions innovantes. Il convient de faciliter l’accès au capital-risque, que ce soit en phase de démarrage ou à un stade ultérieur, au niveau de l’UE comme au niveau national, en s’attachant en priorité à attirer les investisseurs intéressés par la bioéconomie et les fonds axés sur les effets qui sont susceptibles de soutenir des projets à long terme à forte intensité de capital, conformément aux règles applicables en matière d’aides d’État. Une attention particulière devrait être accordée à l’adaptation du financement aux besoins des PME et à la prise en considération des niveaux de maturité technologique.</w:t>
      </w:r>
    </w:p>
    <w:p w14:paraId="086AAE25" w14:textId="09E38E17" w:rsidR="63D987FC" w:rsidRPr="00CE41EF" w:rsidRDefault="4ECDCC9E" w:rsidP="47E57817">
      <w:pPr>
        <w:rPr>
          <w:noProof/>
        </w:rPr>
      </w:pPr>
      <w:r>
        <w:rPr>
          <w:noProof/>
        </w:rPr>
        <w:t xml:space="preserve">La proposition de la Commission relative au </w:t>
      </w:r>
      <w:r>
        <w:rPr>
          <w:b/>
          <w:noProof/>
        </w:rPr>
        <w:t>prochain cadre financier pluriannuel</w:t>
      </w:r>
      <w:r>
        <w:rPr>
          <w:noProof/>
        </w:rPr>
        <w:t xml:space="preserve"> (CFP 2028</w:t>
      </w:r>
      <w:r>
        <w:rPr>
          <w:noProof/>
        </w:rPr>
        <w:noBreakHyphen/>
        <w:t xml:space="preserve">2034) augmente le financement de la bioéconomie par l’intermédiaire du </w:t>
      </w:r>
      <w:r>
        <w:rPr>
          <w:b/>
          <w:noProof/>
        </w:rPr>
        <w:t>Fonds européen pour la compétitivité</w:t>
      </w:r>
      <w:r>
        <w:rPr>
          <w:noProof/>
        </w:rPr>
        <w:t xml:space="preserve"> (FEC) et du volet du programme-cadre </w:t>
      </w:r>
      <w:r>
        <w:rPr>
          <w:b/>
          <w:noProof/>
        </w:rPr>
        <w:t>Horizon Europe</w:t>
      </w:r>
      <w:r>
        <w:rPr>
          <w:noProof/>
        </w:rPr>
        <w:t xml:space="preserve"> consacré à la santé, aux biotechnologies, à l’agriculture et à la bioéconomie. Cela permettra de mobiliser des financements en faveur de la recherche et de l’innovation, des investissements à grande échelle tout au long de la chaîne de valeur, notamment pour la gestion durable des terres, et de réduire les risques liés au déploiement industriel, en comblant les fossés entre la recherche, l’innovation et l’expansion du marché. </w:t>
      </w:r>
    </w:p>
    <w:p w14:paraId="00B8EEA5" w14:textId="17604165" w:rsidR="000A65F9" w:rsidRDefault="0924CE01" w:rsidP="000A65F9">
      <w:pPr>
        <w:rPr>
          <w:noProof/>
        </w:rPr>
      </w:pPr>
      <w:r>
        <w:rPr>
          <w:noProof/>
        </w:rPr>
        <w:t>En attendant, les programmes relevant du CFP actuel restent disponibles pour répondre aux besoins de la bioéconomie. Ils doivent être intégralement mis en œuvre, en tenant également compte des recommandations du groupe BEI, parmi lesquelles l’élaboration d’un programme de stimulation de la bioéconomie, l’utilisation des demandes de subventions phares au titre de l’entreprise commune «Une Europe fondée sur la bioéconomie circulaire» (ci-après «CBE-JU») et une flexibilité accrue dans le soutien aux projets (par exemple, les investissements à haut risque dans des entreprises en phase de démarrage)</w:t>
      </w:r>
      <w:r>
        <w:rPr>
          <w:rStyle w:val="FootnoteReference"/>
          <w:noProof/>
        </w:rPr>
        <w:footnoteReference w:id="28"/>
      </w:r>
      <w:r>
        <w:rPr>
          <w:noProof/>
        </w:rPr>
        <w:t xml:space="preserve">. La </w:t>
      </w:r>
      <w:r>
        <w:rPr>
          <w:b/>
          <w:noProof/>
        </w:rPr>
        <w:t>politique agricole commune</w:t>
      </w:r>
      <w:r>
        <w:rPr>
          <w:noProof/>
        </w:rPr>
        <w:t xml:space="preserve"> (PAC) propose différents modèles d’investissements coopératifs dans les processus ascendants et la commercialisation des nouvelles chaînes de valeur, créant de la valeur à partir de la biomasse inexploitée, et dans le rapprochement entre la production primaire et les investissements industriels, contribuant ainsi à la croissance rurale et à l’emploi. HERA Invest soutient les PME et les jeunes pousses qui investissent dans des MCM</w:t>
      </w:r>
      <w:r>
        <w:rPr>
          <w:rStyle w:val="FootnoteReference"/>
          <w:noProof/>
          <w:lang w:val="en-IE"/>
        </w:rPr>
        <w:footnoteReference w:id="29"/>
      </w:r>
      <w:r>
        <w:rPr>
          <w:noProof/>
        </w:rPr>
        <w:t xml:space="preserve"> en vue de l’élaboration de solutions de réduction et de prévention des risques pour la santé qui, le cas échéant, pourraient utiliser des ressources biosourcées et des biotechnologies. </w:t>
      </w:r>
      <w:r>
        <w:rPr>
          <w:b/>
          <w:noProof/>
        </w:rPr>
        <w:t>InvestEU Blue Economy</w:t>
      </w:r>
      <w:r>
        <w:rPr>
          <w:noProof/>
        </w:rPr>
        <w:t>, un instrument de financement mixte, soutient le capital-risque et les investissements privés dans la bioéconomie bleue.</w:t>
      </w:r>
    </w:p>
    <w:p w14:paraId="7FA786AC" w14:textId="0B976244" w:rsidR="0048326F" w:rsidRDefault="604E6BE3" w:rsidP="0048326F">
      <w:pPr>
        <w:rPr>
          <w:noProof/>
        </w:rPr>
      </w:pPr>
      <w:r>
        <w:rPr>
          <w:noProof/>
        </w:rPr>
        <w:t xml:space="preserve">À partir de 2026, la Commission améliorera l’accès au financement et aux services connexes pour les jeunes pousses et les entreprises en expansion de la bioéconomie par l’intermédiaire du </w:t>
      </w:r>
      <w:r>
        <w:rPr>
          <w:b/>
          <w:noProof/>
        </w:rPr>
        <w:t>Fonds «Scale-up Europe»</w:t>
      </w:r>
      <w:r>
        <w:rPr>
          <w:noProof/>
        </w:rPr>
        <w:t xml:space="preserve"> et d’autres </w:t>
      </w:r>
      <w:r>
        <w:rPr>
          <w:b/>
          <w:noProof/>
        </w:rPr>
        <w:t>instruments du Conseil européen de l’innovation</w:t>
      </w:r>
      <w:r>
        <w:rPr>
          <w:noProof/>
        </w:rPr>
        <w:t>, en étroite coopération avec la BEI, d’autres acteurs financiers et les parties prenantes nationales et régionales.</w:t>
      </w:r>
    </w:p>
    <w:p w14:paraId="037C9FF8" w14:textId="013EB662" w:rsidR="00894CAD" w:rsidRDefault="2EAB862D" w:rsidP="47E57817">
      <w:pPr>
        <w:rPr>
          <w:noProof/>
        </w:rPr>
      </w:pPr>
      <w:r>
        <w:rPr>
          <w:noProof/>
        </w:rPr>
        <w:t xml:space="preserve">Dès 2026, la Commission, en collaboration avec l’industrie et les parties prenantes, procédera à un réexamen de la </w:t>
      </w:r>
      <w:r>
        <w:rPr>
          <w:b/>
          <w:noProof/>
        </w:rPr>
        <w:t>CBE-JU</w:t>
      </w:r>
      <w:r>
        <w:rPr>
          <w:noProof/>
        </w:rPr>
        <w:t xml:space="preserve"> et déterminera le format de collaboration le plus efficace pour le prochain CFP, garantissant ainsi ses effets et une utilisation optimale des ressources.</w:t>
      </w:r>
    </w:p>
    <w:p w14:paraId="1B25E08D" w14:textId="642ABEE6" w:rsidR="009650AB" w:rsidRDefault="3A19522E" w:rsidP="00FF0551">
      <w:pPr>
        <w:spacing w:line="259" w:lineRule="auto"/>
        <w:rPr>
          <w:noProof/>
        </w:rPr>
      </w:pPr>
      <w:r>
        <w:rPr>
          <w:noProof/>
        </w:rPr>
        <w:t>Afin d’</w:t>
      </w:r>
      <w:r>
        <w:rPr>
          <w:b/>
          <w:bCs/>
          <w:noProof/>
        </w:rPr>
        <w:t>attirer les investisseurs privés</w:t>
      </w:r>
      <w:r>
        <w:rPr>
          <w:noProof/>
        </w:rPr>
        <w:t xml:space="preserve">, la Commission déterminera les outils financiers permettant d’exploiter les pratiques qui ont fait leurs preuves telles que le </w:t>
      </w:r>
      <w:r>
        <w:rPr>
          <w:b/>
          <w:bCs/>
          <w:noProof/>
        </w:rPr>
        <w:t>Fonds européen pour la bioéconomie circulaire</w:t>
      </w:r>
      <w:r>
        <w:rPr>
          <w:noProof/>
        </w:rPr>
        <w:t xml:space="preserve"> (ECBF), par l’intermédiaire de la BEI, et les banques nationales de développement. La Commission s’emploiera également à faire en sorte que la bioproduction durable et les autres activités biosourcées soient dûment reconnues dans les prochaines révisions des actes délégués de l’UE relatifs à la taxinomie, afin d’améliorer la sécurité des investissements.</w:t>
      </w:r>
    </w:p>
    <w:p w14:paraId="3362E66F" w14:textId="2B819481" w:rsidR="00E2466A" w:rsidRDefault="3B95D6BE" w:rsidP="2FDA1484">
      <w:pPr>
        <w:rPr>
          <w:noProof/>
        </w:rPr>
      </w:pPr>
      <w:r>
        <w:rPr>
          <w:noProof/>
        </w:rPr>
        <w:t xml:space="preserve">Pour rassembler tous ces instruments, la Commission constituera un </w:t>
      </w:r>
      <w:r>
        <w:rPr>
          <w:b/>
          <w:noProof/>
        </w:rPr>
        <w:t>groupe de déploiement des investissements dans la bioéconomie</w:t>
      </w:r>
      <w:r>
        <w:rPr>
          <w:noProof/>
        </w:rPr>
        <w:t xml:space="preserve"> sur le financement et l’investissement, combinant le financement de la recherche, de la démonstration et de l’expansion au niveau de l’UE et au niveau national. Ce groupe, qui réunira la Commission, le groupe BEI, les banques nationales de développement et des investisseurs privés, créera une réserve de projets finançables, partagera les risques plus efficacement et attirera des capitaux privés. Cette approche coordonnée devrait aider à mobiliser des investissements publics et privés au cours des dix prochaines années, en particulier pour les </w:t>
      </w:r>
      <w:r>
        <w:rPr>
          <w:b/>
          <w:noProof/>
        </w:rPr>
        <w:t>bioraffineries pionnières, les installations de fermentation avancée et la fabrication de matériaux biosourcés</w:t>
      </w:r>
      <w:r>
        <w:rPr>
          <w:noProof/>
        </w:rPr>
        <w:t>.</w:t>
      </w:r>
    </w:p>
    <w:p w14:paraId="62FEC7C8" w14:textId="77777777" w:rsidR="00E2466A" w:rsidRPr="00CE41EF" w:rsidRDefault="00E2466A" w:rsidP="00E2466A">
      <w:pPr>
        <w:spacing w:after="120"/>
        <w:rPr>
          <w:i/>
          <w:iCs/>
          <w:noProof/>
          <w:szCs w:val="24"/>
        </w:rPr>
      </w:pPr>
      <w:r>
        <w:rPr>
          <w:i/>
          <w:noProof/>
        </w:rPr>
        <w:t>Soutenir la diffusion de technologies, les projets pilotes et les démonstrations</w:t>
      </w:r>
    </w:p>
    <w:p w14:paraId="63433193" w14:textId="4173AF84" w:rsidR="00E2466A" w:rsidRDefault="3B95D6BE" w:rsidP="00E2466A">
      <w:pPr>
        <w:rPr>
          <w:noProof/>
        </w:rPr>
      </w:pPr>
      <w:r>
        <w:rPr>
          <w:noProof/>
        </w:rPr>
        <w:t xml:space="preserve">L’accès limité aux infrastructures de projets pilotes et d’expansion constitue un autre obstacle majeur pour les jeunes pousses et les entreprises en expansion de la bioéconomie. La Commission soutiendra l’amélioration de l’accès à ces infrastructures, en s’appuyant sur les synergies existantes entre les programmes de l’UE, tels que les partenariats entre </w:t>
      </w:r>
      <w:r>
        <w:rPr>
          <w:b/>
          <w:noProof/>
        </w:rPr>
        <w:t>Green Assist</w:t>
      </w:r>
      <w:r>
        <w:rPr>
          <w:noProof/>
        </w:rPr>
        <w:t xml:space="preserve"> et le </w:t>
      </w:r>
      <w:r>
        <w:rPr>
          <w:b/>
          <w:noProof/>
        </w:rPr>
        <w:t>réseau Entreprise Europe</w:t>
      </w:r>
      <w:r>
        <w:rPr>
          <w:noProof/>
        </w:rPr>
        <w:t xml:space="preserve">. </w:t>
      </w:r>
    </w:p>
    <w:p w14:paraId="1BB405B0" w14:textId="0E212895" w:rsidR="00E2466A" w:rsidRPr="00CE41EF" w:rsidRDefault="003F0254" w:rsidP="2FDA1484">
      <w:pPr>
        <w:rPr>
          <w:noProof/>
        </w:rPr>
      </w:pPr>
      <w:r>
        <w:rPr>
          <w:noProof/>
        </w:rPr>
        <w:t xml:space="preserve">La Commission collabore également avec les États membres en vue d’aligner les priorités d’investissement de la bioéconomie, et de guider la coordination des mécanismes de soutien de l’UE avec les projets nationaux, notamment en ce qui concerne les projets importants d’intérêt européen commun (PIIEC). Le </w:t>
      </w:r>
      <w:r>
        <w:rPr>
          <w:b/>
          <w:noProof/>
        </w:rPr>
        <w:t>forum européen conjoint pour les PIIEC</w:t>
      </w:r>
      <w:r>
        <w:rPr>
          <w:noProof/>
        </w:rPr>
        <w:t xml:space="preserve"> (JEF-PIIEC) examine la chaîne de valeur des biotechnologies et de la bioproduction afin de repérer les projets potentiels. Les États membres peuvent élaborer des mesures d’aide visant à soutenir des PIIEC en faveur de la recherche et du développement d’innovations majeures et du premier déploiement industriel de technologies essentielles à la transition propre, ou des projets d’infrastructure importants. </w:t>
      </w:r>
    </w:p>
    <w:p w14:paraId="42C82595" w14:textId="121F52AC" w:rsidR="009650AB" w:rsidRPr="00CE41EF" w:rsidRDefault="75958262" w:rsidP="62CA18EE">
      <w:pPr>
        <w:pStyle w:val="Heading1"/>
        <w:rPr>
          <w:noProof/>
        </w:rPr>
      </w:pPr>
      <w:r>
        <w:rPr>
          <w:noProof/>
        </w:rPr>
        <w:t>Développer des marchés pilotes pour les matériaux et les technologies</w:t>
      </w:r>
    </w:p>
    <w:p w14:paraId="58E6D128" w14:textId="25550DA0" w:rsidR="00C75ACF" w:rsidRDefault="77EFE803" w:rsidP="00223A81">
      <w:pPr>
        <w:spacing w:after="0"/>
        <w:rPr>
          <w:noProof/>
        </w:rPr>
      </w:pPr>
      <w:r>
        <w:rPr>
          <w:b/>
          <w:noProof/>
        </w:rPr>
        <w:t>Définir et renforcer les marchés pilotes</w:t>
      </w:r>
      <w:r>
        <w:rPr>
          <w:noProof/>
        </w:rPr>
        <w:t>, dans lesquels les conditions de la demande de solutions biosourcées sont prévisibles, peut débloquer des investissements privés et permettre l’expansion. Il convient d’accorder la priorité aux secteurs dans lesquels les solutions biosourcées apportent la plus grande valeur ajoutée et sont proches du stade de déploiement sur le marché ou ont déjà atteint la maturité industrielle, en s’appuyant sur les chaînes de valeur existantes pour garantir une utilisation plus efficace des ressources, une adoption plus rapide par le marché et une incidence économique visible, en tirant le meilleur parti des ressources de biomasse de l’Europe en tant que base pour les marchés de la bioéconomie. En Europe en 2022, la biomasse a été principalement utilisée pour les aliments pour animaux (38 %), l’énergie (29 %), les matériaux (24 %) et les denrées alimentaires (9 %). Au cours des dix dernières années, l’utilisation de la biomasse à des fins énergétiques a augmenté de 14 %, tandis que son utilisation pour les matériaux a augmenté de 11 %</w:t>
      </w:r>
      <w:r>
        <w:rPr>
          <w:rStyle w:val="FootnoteReference"/>
          <w:noProof/>
          <w:lang w:val="en-IE"/>
        </w:rPr>
        <w:footnoteReference w:id="30"/>
      </w:r>
      <w:bookmarkStart w:id="5" w:name="_Hlk213941109"/>
      <w:r>
        <w:rPr>
          <w:noProof/>
        </w:rPr>
        <w:t>. La bioénergie continue de jouer un rôle dans la sécurité énergétique, en particulier lorsqu’elle utilise des résidus, n’augmente pas la pollution de l’eau et de l’air et complète d’autres énergies renouvelables.</w:t>
      </w:r>
      <w:bookmarkEnd w:id="5"/>
    </w:p>
    <w:p w14:paraId="083F9566" w14:textId="77777777" w:rsidR="002D507D" w:rsidRDefault="002D507D" w:rsidP="00223A81">
      <w:pPr>
        <w:spacing w:after="0"/>
        <w:rPr>
          <w:noProof/>
        </w:rPr>
      </w:pPr>
    </w:p>
    <w:p w14:paraId="35EA93B3" w14:textId="56B33C17" w:rsidR="002D507D" w:rsidRPr="006E08C9" w:rsidRDefault="006E08C9" w:rsidP="00422BD3">
      <w:pPr>
        <w:pStyle w:val="Heading2"/>
        <w:rPr>
          <w:noProof/>
        </w:rPr>
      </w:pPr>
      <w:r>
        <w:rPr>
          <w:noProof/>
        </w:rPr>
        <w:tab/>
        <w:t xml:space="preserve">Utilisation efficace de la biomasse </w:t>
      </w:r>
    </w:p>
    <w:p w14:paraId="7DCD2311" w14:textId="6545D27A" w:rsidR="00C75ACF" w:rsidRDefault="00C75ACF" w:rsidP="00D468C6">
      <w:pPr>
        <w:rPr>
          <w:noProof/>
        </w:rPr>
      </w:pPr>
      <w:r>
        <w:rPr>
          <w:b/>
          <w:noProof/>
        </w:rPr>
        <w:t>Utiliser efficacement la biomasse</w:t>
      </w:r>
      <w:r>
        <w:rPr>
          <w:noProof/>
        </w:rPr>
        <w:t xml:space="preserve"> signifie l’orienter vers des applications de plus grande valeur et réduire les pressions sur les écosystèmes, tout en tenant compte des conditions locales et des réalités du marché:</w:t>
      </w:r>
    </w:p>
    <w:p w14:paraId="1ECBA085" w14:textId="0EE40AF9" w:rsidR="00223A81" w:rsidRDefault="00223A81" w:rsidP="00C66253">
      <w:pPr>
        <w:pStyle w:val="ListParagraph"/>
        <w:numPr>
          <w:ilvl w:val="0"/>
          <w:numId w:val="47"/>
        </w:numPr>
        <w:spacing w:after="0"/>
        <w:jc w:val="both"/>
        <w:rPr>
          <w:noProof/>
        </w:rPr>
      </w:pPr>
      <w:r>
        <w:rPr>
          <w:noProof/>
        </w:rPr>
        <w:t>la sécurité alimentaire et nutritionnelle, parallèlement au maintien et à l’amélioration des services écosystémiques;</w:t>
      </w:r>
    </w:p>
    <w:p w14:paraId="2446306A" w14:textId="029485C3" w:rsidR="00223A81" w:rsidRDefault="00223A81" w:rsidP="00C66253">
      <w:pPr>
        <w:pStyle w:val="ListParagraph"/>
        <w:numPr>
          <w:ilvl w:val="0"/>
          <w:numId w:val="47"/>
        </w:numPr>
        <w:spacing w:after="0"/>
        <w:ind w:right="-22"/>
        <w:jc w:val="both"/>
        <w:rPr>
          <w:noProof/>
        </w:rPr>
      </w:pPr>
      <w:r>
        <w:rPr>
          <w:noProof/>
        </w:rPr>
        <w:t>dans la mesure du possible, la biomasse devrait être utilisée pour des produits et des matériaux de plus grande valeur qui stockent le carbone plus longtemps et remplacent les matériaux d’origine fossile;</w:t>
      </w:r>
    </w:p>
    <w:p w14:paraId="0E9479F9" w14:textId="291EA423" w:rsidR="00F23A1A" w:rsidRDefault="00223A81" w:rsidP="00C66253">
      <w:pPr>
        <w:pStyle w:val="ListParagraph"/>
        <w:numPr>
          <w:ilvl w:val="0"/>
          <w:numId w:val="47"/>
        </w:numPr>
        <w:spacing w:after="0"/>
        <w:ind w:right="-22"/>
        <w:jc w:val="both"/>
        <w:rPr>
          <w:noProof/>
        </w:rPr>
      </w:pPr>
      <w:bookmarkStart w:id="6" w:name="_Hlk214467726"/>
      <w:r>
        <w:rPr>
          <w:noProof/>
        </w:rPr>
        <w:t>les flux résiduels et secondaires peuvent être utilisés pour l’énergie, en particulier lorsqu’il n’existe pas d’autres solutions de décarbonation, ou lorsqu’ils garantissent la sécurité énergétique et le caractère abordable de l’énergie.</w:t>
      </w:r>
    </w:p>
    <w:bookmarkEnd w:id="6"/>
    <w:p w14:paraId="2C316067" w14:textId="77777777" w:rsidR="00223A81" w:rsidRDefault="00223A81" w:rsidP="00C66253">
      <w:pPr>
        <w:pStyle w:val="ListParagraph"/>
        <w:spacing w:after="0" w:line="240" w:lineRule="auto"/>
        <w:ind w:left="714" w:firstLine="0"/>
        <w:jc w:val="both"/>
        <w:rPr>
          <w:noProof/>
        </w:rPr>
      </w:pPr>
    </w:p>
    <w:p w14:paraId="3DDE90AF" w14:textId="2965B530" w:rsidR="00223A81" w:rsidRPr="00223A81" w:rsidRDefault="00C75ACF" w:rsidP="00C66253">
      <w:pPr>
        <w:rPr>
          <w:noProof/>
        </w:rPr>
      </w:pPr>
      <w:r>
        <w:rPr>
          <w:noProof/>
        </w:rPr>
        <w:t>Les facteurs pertinents pour déterminer le mode d’utilisation le plus efficace dans les décisions stratégiques et d’investissement incluent la qualité de la biomasse, le type de matière première (primaire ou secondaire); la disponibilité de la biomasse au fil du temps; les autres moyens de fournir le même service au regard de la durabilité, des incidences environnementales et de la circularité; les infrastructures et les capacités de transformation; et le contexte local.</w:t>
      </w:r>
    </w:p>
    <w:p w14:paraId="67703B3F" w14:textId="3515339F" w:rsidR="00C75ACF" w:rsidRPr="00CC230B" w:rsidRDefault="326AED50" w:rsidP="00731D14">
      <w:pPr>
        <w:rPr>
          <w:noProof/>
        </w:rPr>
      </w:pPr>
      <w:bookmarkStart w:id="7" w:name="_Hlk214470052"/>
      <w:r>
        <w:rPr>
          <w:noProof/>
        </w:rPr>
        <w:t xml:space="preserve">À l’avenir, </w:t>
      </w:r>
      <w:r>
        <w:rPr>
          <w:b/>
          <w:noProof/>
        </w:rPr>
        <w:t>les plans stratégiques relevant de la PAC, les plans nationaux en matière d’énergie et de climat, la politique de cohésion</w:t>
      </w:r>
      <w:r>
        <w:rPr>
          <w:noProof/>
        </w:rPr>
        <w:t xml:space="preserve"> et</w:t>
      </w:r>
      <w:r>
        <w:rPr>
          <w:b/>
          <w:noProof/>
        </w:rPr>
        <w:t xml:space="preserve"> les stratégies nationales ou régionales en matière de bioéconomie</w:t>
      </w:r>
      <w:r>
        <w:rPr>
          <w:noProof/>
        </w:rPr>
        <w:t xml:space="preserve"> devraient favoriser une utilisation efficace et appropriée de la biomasse. Cette approche est parfaitement conforme à l’</w:t>
      </w:r>
      <w:r>
        <w:rPr>
          <w:b/>
          <w:noProof/>
        </w:rPr>
        <w:t>encadrement des aides d’État dans le cadre du pacte pour une industrie propre</w:t>
      </w:r>
      <w:r>
        <w:rPr>
          <w:noProof/>
        </w:rPr>
        <w:t xml:space="preserve">, qui encourage les États membres à veiller à ce que les projets et activités financés par des aides d’État contribuent, dans toute la mesure du possible, à l’économie circulaire. </w:t>
      </w:r>
      <w:bookmarkStart w:id="8" w:name="_Hlk214472076"/>
      <w:r>
        <w:rPr>
          <w:noProof/>
        </w:rPr>
        <w:t xml:space="preserve">Afin de soutenir les États membres et les acteurs du marché, la Commission améliorera la transparence des flux de biomasse dans le cadre des mécanismes existants de déclaration et de suivi, et diffusera des exemples et des approches pratiques par l’intermédiaire du </w:t>
      </w:r>
      <w:r>
        <w:rPr>
          <w:b/>
          <w:noProof/>
        </w:rPr>
        <w:t>centre de connaissances sur la bioéconomie</w:t>
      </w:r>
      <w:r>
        <w:rPr>
          <w:noProof/>
        </w:rPr>
        <w:t>. Elle procédera notamment à une évaluation cohérente et exhaustive des incidences et des compromis environnementaux du point de vue du cycle de vie</w:t>
      </w:r>
      <w:r>
        <w:rPr>
          <w:rStyle w:val="FootnoteReference"/>
          <w:noProof/>
        </w:rPr>
        <w:footnoteReference w:id="31"/>
      </w:r>
      <w:r>
        <w:rPr>
          <w:noProof/>
        </w:rPr>
        <w:t>, ainsi que du potentiel économique de l’ensemble du système, par exemple en recourant à la modélisation économique.</w:t>
      </w:r>
      <w:bookmarkEnd w:id="8"/>
    </w:p>
    <w:bookmarkEnd w:id="7"/>
    <w:p w14:paraId="0B141F68" w14:textId="7CFCA61E" w:rsidR="00223A81" w:rsidRPr="00126533" w:rsidRDefault="00126533" w:rsidP="47E57817">
      <w:pPr>
        <w:rPr>
          <w:rFonts w:eastAsiaTheme="minorHAnsi"/>
          <w:noProof/>
          <w:szCs w:val="24"/>
          <w14:ligatures w14:val="standardContextual"/>
        </w:rPr>
      </w:pPr>
      <w:r>
        <w:rPr>
          <w:noProof/>
        </w:rPr>
        <w:t xml:space="preserve">En 2026, la Commission élaborera le paquet «Union de l’énergie» pour la décennie à venir et tiendra compte de l’expérience acquise dans le cadre de la mise en œuvre de la </w:t>
      </w:r>
      <w:r>
        <w:rPr>
          <w:b/>
          <w:noProof/>
        </w:rPr>
        <w:t>directive sur les énergies renouvelables</w:t>
      </w:r>
      <w:r>
        <w:rPr>
          <w:noProof/>
        </w:rPr>
        <w:t>, y compris de ses critères de durabilité et de réduction des émissions de gaz à effet de serre, ainsi que des évolutions technologiques dans le domaine de l’énergie produite à partir de sources renouvelables. En outre, en application de l’article 3, paragraphe 3, de la directive sur les énergies renouvelables, la Commission publiera au plus tard en 2027 un rapport sur l’incidence des régimes d’aide des États membres en faveur de la biomasse, y compris sur la biodiversité, sur le climat et l’environnement, et sur d’éventuelles distorsions du marché.</w:t>
      </w:r>
    </w:p>
    <w:p w14:paraId="6D128F56" w14:textId="037DD5F2" w:rsidR="003F2A44" w:rsidRPr="003F2A44" w:rsidRDefault="003C2BF8" w:rsidP="47E57817">
      <w:pPr>
        <w:rPr>
          <w:noProof/>
        </w:rPr>
      </w:pPr>
      <w:r>
        <w:rPr>
          <w:noProof/>
        </w:rPr>
        <w:t>Les biocarburants continueront de jouer un rôle dans la décarbonation du secteur des transports, notamment dans les secteurs aérien et maritime, ainsi que dans le transport routier lourd long-courrier lors du passage à l’électrification. La demande devrait augmenter à partir de 2025, en partie sous l’effet des initiatives ReFuelEU Aviation et FuelEU Maritime. Toutefois, la disponibilité de biomasse durable reste limitée, et son utilisation est la plus efficace dans les secteurs dans lesquels il est difficile de réduire les émissions. Comme indiqué dans le plan d’investissement pour des transports durables, la présente stratégie favorisera des chaînes de valeur cohérentes, circulaires et durables à ces fins.</w:t>
      </w:r>
    </w:p>
    <w:p w14:paraId="417E2E06" w14:textId="0D8560EF" w:rsidR="00D70299" w:rsidRPr="006E08C9" w:rsidRDefault="006E08C9" w:rsidP="00422BD3">
      <w:pPr>
        <w:pStyle w:val="Heading2"/>
        <w:rPr>
          <w:rFonts w:eastAsia="Calibri"/>
          <w:noProof/>
        </w:rPr>
      </w:pPr>
      <w:r>
        <w:rPr>
          <w:noProof/>
        </w:rPr>
        <w:tab/>
        <w:t>Catalyseurs des marchés pilotes de la bioéconomie dans tous les secteurs:  marchés publics et alliances industrielles volontaires</w:t>
      </w:r>
    </w:p>
    <w:p w14:paraId="20B87FFD" w14:textId="48D51418" w:rsidR="00D70299" w:rsidRDefault="00D70299" w:rsidP="00D70299">
      <w:pPr>
        <w:rPr>
          <w:noProof/>
        </w:rPr>
      </w:pPr>
      <w:r>
        <w:rPr>
          <w:noProof/>
        </w:rPr>
        <w:t xml:space="preserve">Les marchés publics peuvent contribuer à susciter une demande précoce en matériaux et solutions innovants. La révision à venir des directives sur les marchés publics visera, entre autres, à promouvoir et à faciliter davantage la passation des marchés publics de solutions biosourcées. En outre, la Commission </w:t>
      </w:r>
      <w:r>
        <w:rPr>
          <w:b/>
          <w:noProof/>
        </w:rPr>
        <w:t>soutiendra les acheteurs publics qui seront disposés à envisager des solutions biosourcées dans les procédures de passation de marchés pertinentes</w:t>
      </w:r>
      <w:r>
        <w:rPr>
          <w:noProof/>
        </w:rPr>
        <w:t xml:space="preserve">. </w:t>
      </w:r>
    </w:p>
    <w:p w14:paraId="65AA9589" w14:textId="3DA10329" w:rsidR="00766412" w:rsidRDefault="00766412" w:rsidP="00766412">
      <w:pPr>
        <w:rPr>
          <w:noProof/>
        </w:rPr>
      </w:pPr>
      <w:r>
        <w:rPr>
          <w:noProof/>
        </w:rPr>
        <w:t>Les initiatives volontaires de l’industrie peuvent contribuer à envoyer des signaux de demande plus clairs et à réduire l’incertitude en matière d’investissement, en particulier pour les installations de production pionnières. Elles viennent compléter les outils réglementaires de simplification et de financement en alignant les attentes du marché et en améliorant la coordination tout au long de la chaîne de valeur.</w:t>
      </w:r>
    </w:p>
    <w:p w14:paraId="59DF3DBB" w14:textId="697EBB82" w:rsidR="00766412" w:rsidRDefault="170B545C" w:rsidP="00766412">
      <w:pPr>
        <w:rPr>
          <w:noProof/>
        </w:rPr>
      </w:pPr>
      <w:r>
        <w:rPr>
          <w:noProof/>
        </w:rPr>
        <w:t xml:space="preserve">La Commission élaborera un </w:t>
      </w:r>
      <w:r>
        <w:rPr>
          <w:b/>
          <w:noProof/>
        </w:rPr>
        <w:t>projet pilote sur la bioéconomie dans le cadre de l’outil de coordination de la compétitivité (CCT)</w:t>
      </w:r>
      <w:r>
        <w:rPr>
          <w:noProof/>
        </w:rPr>
        <w:t xml:space="preserve">, conformément à la boussole pour la compétitivité. Ce projet du CCT a pour but de </w:t>
      </w:r>
      <w:r>
        <w:rPr>
          <w:b/>
          <w:noProof/>
        </w:rPr>
        <w:t>créer la demande nécessaire</w:t>
      </w:r>
      <w:r>
        <w:rPr>
          <w:noProof/>
        </w:rPr>
        <w:t xml:space="preserve"> pour accélérer la préparation industrielle des matériaux biosourcés, tout en tenant compte du rôle des producteurs de biomasse primaire dans la chaîne de valeur et en veillant à ce que les </w:t>
      </w:r>
      <w:r>
        <w:rPr>
          <w:b/>
          <w:noProof/>
        </w:rPr>
        <w:t>jeunes pousses aient accès aux installations de démonstration nécessaires</w:t>
      </w:r>
      <w:r>
        <w:rPr>
          <w:noProof/>
        </w:rPr>
        <w:t xml:space="preserve"> pour expérimenter leurs nouveaux produits. À cette fin, le projet soutiendra la création de l’alliance pour une Europe fondée sur la bioéconomie («Bio-based Europe Alliance», BEA), une </w:t>
      </w:r>
      <w:r>
        <w:rPr>
          <w:b/>
          <w:noProof/>
        </w:rPr>
        <w:t>alliance volontaire d’entreprises</w:t>
      </w:r>
      <w:r>
        <w:rPr>
          <w:noProof/>
        </w:rPr>
        <w:t xml:space="preserve"> qui pourraient garantir une demande fiable et prévisible de matériaux et de produits biosourcés, rassurant les investisseurs privés quant à leurs investissements dans des installations à forte intensité de dépenses en capital et garantissant les </w:t>
      </w:r>
      <w:r>
        <w:rPr>
          <w:b/>
          <w:noProof/>
        </w:rPr>
        <w:t>accords d’achat</w:t>
      </w:r>
      <w:r>
        <w:rPr>
          <w:noProof/>
        </w:rPr>
        <w:t xml:space="preserve"> nécessaires.</w:t>
      </w:r>
      <w:r>
        <w:rPr>
          <w:b/>
          <w:noProof/>
        </w:rPr>
        <w:t xml:space="preserve"> </w:t>
      </w:r>
      <w:r>
        <w:rPr>
          <w:noProof/>
        </w:rPr>
        <w:t xml:space="preserve">Le projet pilote du CCT sur la bioéconomie favoriserait également la création de </w:t>
      </w:r>
      <w:r>
        <w:rPr>
          <w:b/>
          <w:noProof/>
        </w:rPr>
        <w:t>nouvelles installations de démonstration de la bioproduction</w:t>
      </w:r>
      <w:r>
        <w:rPr>
          <w:noProof/>
        </w:rPr>
        <w:t xml:space="preserve"> (niveau de maturité technologique 5-7), permettant aux jeunes pousses et aux entreprises innovantes de tester la viabilité de nouveaux prototypes et produits. L’</w:t>
      </w:r>
      <w:r>
        <w:rPr>
          <w:b/>
          <w:noProof/>
        </w:rPr>
        <w:t>alliance pour une Europe fondée sur la bioéconomie</w:t>
      </w:r>
      <w:r>
        <w:rPr>
          <w:noProof/>
        </w:rPr>
        <w:t xml:space="preserve"> (BEA) réunira des entreprises de l’UE qui s’engageront à acheter collectivement des matériaux, des produits et des applications biosourcés pour une valeur de 10 milliards d’EUR d’ici à 2030. En élaborant des instruments pratiques de financement mixte, adaptés aux spécificités des différents secteurs de la bioéconomie, l’UE peut contribuer à renforcer la confiance des investisseurs dans les phases d’expansion, notamment pour les PME et les producteurs régionaux. </w:t>
      </w:r>
    </w:p>
    <w:p w14:paraId="489F3BA6" w14:textId="564AAEF1" w:rsidR="00766412" w:rsidRPr="006E08C9" w:rsidRDefault="00766412" w:rsidP="4EDC679C">
      <w:pPr>
        <w:rPr>
          <w:b/>
          <w:bCs/>
          <w:noProof/>
        </w:rPr>
      </w:pPr>
      <w:r>
        <w:rPr>
          <w:noProof/>
        </w:rPr>
        <w:t xml:space="preserve">Les </w:t>
      </w:r>
      <w:r>
        <w:rPr>
          <w:b/>
          <w:noProof/>
        </w:rPr>
        <w:t>lignes directrices</w:t>
      </w:r>
      <w:r>
        <w:rPr>
          <w:noProof/>
        </w:rPr>
        <w:t xml:space="preserve"> de la Commission </w:t>
      </w:r>
      <w:r>
        <w:rPr>
          <w:b/>
          <w:noProof/>
        </w:rPr>
        <w:t>sur les accords de coopération horizontale</w:t>
      </w:r>
      <w:r>
        <w:rPr>
          <w:noProof/>
        </w:rPr>
        <w:t xml:space="preserve"> fixent des principes généraux et présentent des exemples concrets de la manière d’assurer la conformité des accords de durabilité avec les règles de concurrence de l’UE. Lorsque les entreprises cherchent à obtenir des éclaircissements sur les modèles de coopération, la Commission peut fournir des orientations supplémentaires personnalisées conformément aux conditions précisées dans la </w:t>
      </w:r>
      <w:r>
        <w:rPr>
          <w:b/>
          <w:noProof/>
        </w:rPr>
        <w:t>communication relative à des orientations informelles</w:t>
      </w:r>
      <w:r>
        <w:rPr>
          <w:noProof/>
        </w:rPr>
        <w:t>.</w:t>
      </w:r>
    </w:p>
    <w:p w14:paraId="777B7022" w14:textId="493DCCAB" w:rsidR="00766412" w:rsidRPr="006E08C9" w:rsidRDefault="006E08C9" w:rsidP="00422BD3">
      <w:pPr>
        <w:pStyle w:val="Heading2"/>
        <w:rPr>
          <w:noProof/>
        </w:rPr>
      </w:pPr>
      <w:r>
        <w:rPr>
          <w:noProof/>
        </w:rPr>
        <w:tab/>
        <w:t>Marchés pilotes pour les matériaux</w:t>
      </w:r>
    </w:p>
    <w:p w14:paraId="1FAF3554" w14:textId="68CC37E9" w:rsidR="00407B41" w:rsidRDefault="5D600073" w:rsidP="0EA7BCB7">
      <w:pPr>
        <w:rPr>
          <w:noProof/>
        </w:rPr>
      </w:pPr>
      <w:r>
        <w:rPr>
          <w:noProof/>
        </w:rPr>
        <w:t>Les matériaux biosourcés peinent souvent à réaliser des économies d’échelle, ce qui entraîne une hausse des coûts de production et, partant, une baisse de la demande qui, à son tour, limite la croissance et les investissements. La plupart des marchés des biomatériaux et des technologies rencontrent des difficultés similaires: concurrence par les coûts avec les solutions fossiles de substitution, risques liés à l’approvisionnement en matières premières, faiblesse de la demande du marché, faiblesse des économies d’échelle et longueur des délais d’autorisation.</w:t>
      </w:r>
    </w:p>
    <w:p w14:paraId="5F1394C5" w14:textId="4BD75A47" w:rsidR="00503849" w:rsidRPr="00CE41EF" w:rsidRDefault="4D397AE0" w:rsidP="0EA7BCB7">
      <w:pPr>
        <w:rPr>
          <w:noProof/>
        </w:rPr>
      </w:pPr>
      <w:r>
        <w:rPr>
          <w:noProof/>
        </w:rPr>
        <w:t xml:space="preserve">Les marchés pilotes suivants ont été désignés comme présentant un fort potentiel pour surmonter ces difficultés par la mise en œuvre d’initiatives ciblées et pour </w:t>
      </w:r>
      <w:r>
        <w:rPr>
          <w:b/>
          <w:noProof/>
        </w:rPr>
        <w:t>développer la bioéconomie</w:t>
      </w:r>
      <w:r>
        <w:rPr>
          <w:noProof/>
        </w:rPr>
        <w:t>.</w:t>
      </w:r>
    </w:p>
    <w:p w14:paraId="7520609C" w14:textId="5D19098C" w:rsidR="005357C2" w:rsidRPr="00E976BE" w:rsidRDefault="13D1AB44">
      <w:pPr>
        <w:pStyle w:val="ListBullet1"/>
        <w:numPr>
          <w:ilvl w:val="0"/>
          <w:numId w:val="0"/>
        </w:numPr>
        <w:spacing w:line="259" w:lineRule="auto"/>
        <w:rPr>
          <w:noProof/>
        </w:rPr>
      </w:pPr>
      <w:r>
        <w:rPr>
          <w:b/>
          <w:noProof/>
          <w:u w:val="single"/>
        </w:rPr>
        <w:t>Les plastiques et polymères biosourcés</w:t>
      </w:r>
      <w:r>
        <w:rPr>
          <w:noProof/>
          <w:u w:val="single"/>
        </w:rPr>
        <w:t>, ainsi que les matériaux d’emballage biosourcés à base de fibres</w:t>
      </w:r>
      <w:r>
        <w:rPr>
          <w:noProof/>
        </w:rPr>
        <w:t>, peuvent remplacer les matériaux d’origine fossile, par des solutions fabriquées à partir de sources d’énergie renouvelables issues de la biomasse (par exemple, l’amidon, la lignine ou les algues).  Ils sont de plus en plus utilisés dans les emballages, les composants automobiles et les applications industrielles, et leurs performances s’améliorent grâce à la recherche et à l’innovation en cours, y compris la conception de matériaux numérique et assistée par l’IA</w:t>
      </w:r>
      <w:r>
        <w:rPr>
          <w:noProof/>
          <w:vertAlign w:val="superscript"/>
        </w:rPr>
        <w:footnoteReference w:id="32"/>
      </w:r>
      <w:r>
        <w:rPr>
          <w:noProof/>
        </w:rPr>
        <w:t>.</w:t>
      </w:r>
    </w:p>
    <w:p w14:paraId="5F93A05E" w14:textId="0AFFBB62" w:rsidR="00E14B1B" w:rsidRPr="00223A81" w:rsidRDefault="00E14B1B"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szCs w:val="24"/>
        </w:rPr>
      </w:pPr>
      <w:r>
        <w:rPr>
          <w:i/>
          <w:noProof/>
        </w:rPr>
        <w:t xml:space="preserve">Avantages: </w:t>
      </w:r>
    </w:p>
    <w:p w14:paraId="5F2B16F0" w14:textId="2CBBE582" w:rsidR="00E14B1B" w:rsidRPr="004F12DE"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b/>
          <w:noProof/>
        </w:rPr>
        <w:t>réduction de l’empreinte carbone</w:t>
      </w:r>
      <w:r>
        <w:rPr>
          <w:noProof/>
        </w:rPr>
        <w:t xml:space="preserve"> par rapport aux matières plastiques conventionnelles (dépendant des polymères);</w:t>
      </w:r>
    </w:p>
    <w:p w14:paraId="131BD134" w14:textId="73E538A8" w:rsidR="00E14B1B" w:rsidRPr="00E14B1B"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noProof/>
        </w:rPr>
        <w:t xml:space="preserve">potentiel de </w:t>
      </w:r>
      <w:r>
        <w:rPr>
          <w:b/>
          <w:noProof/>
        </w:rPr>
        <w:t>réduction de la dépendance à l’égard des importations</w:t>
      </w:r>
      <w:r>
        <w:rPr>
          <w:noProof/>
        </w:rPr>
        <w:t xml:space="preserve"> de matières premières chimiques essentielles;</w:t>
      </w:r>
    </w:p>
    <w:p w14:paraId="2D356D77" w14:textId="3F6082B2" w:rsidR="00E14B1B"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noProof/>
        </w:rPr>
        <w:t xml:space="preserve">soutien à la </w:t>
      </w:r>
      <w:r>
        <w:rPr>
          <w:b/>
          <w:noProof/>
        </w:rPr>
        <w:t>revalorisation</w:t>
      </w:r>
      <w:r>
        <w:rPr>
          <w:noProof/>
        </w:rPr>
        <w:t xml:space="preserve"> lors de l’utilisation de biomasse d’origine locale;</w:t>
      </w:r>
    </w:p>
    <w:p w14:paraId="108EDF47" w14:textId="62E19C67" w:rsidR="0035440E" w:rsidRPr="003F2A44" w:rsidRDefault="0035440E" w:rsidP="003F2A44">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noProof/>
        </w:rPr>
        <w:t xml:space="preserve">développement de nouvelles applications pour les </w:t>
      </w:r>
      <w:r>
        <w:rPr>
          <w:b/>
          <w:noProof/>
        </w:rPr>
        <w:t>plastiques biodégradables</w:t>
      </w:r>
      <w:r>
        <w:rPr>
          <w:noProof/>
        </w:rPr>
        <w:t>.</w:t>
      </w:r>
    </w:p>
    <w:p w14:paraId="3ACD9301" w14:textId="77777777" w:rsidR="00223A81" w:rsidRPr="00D01D7F" w:rsidRDefault="00223A81" w:rsidP="00223A81">
      <w:pPr>
        <w:pStyle w:val="ListBullet1"/>
        <w:numPr>
          <w:ilvl w:val="0"/>
          <w:numId w:val="0"/>
        </w:numPr>
        <w:spacing w:after="0"/>
        <w:ind w:left="284"/>
        <w:rPr>
          <w:i/>
          <w:iCs/>
          <w:noProof/>
          <w:lang w:val="fr-BE"/>
        </w:rPr>
      </w:pPr>
    </w:p>
    <w:p w14:paraId="02BD5582" w14:textId="77777777" w:rsidR="003F2A44" w:rsidRPr="00D01D7F" w:rsidRDefault="003F2A44" w:rsidP="00223A81">
      <w:pPr>
        <w:pStyle w:val="ListBullet1"/>
        <w:numPr>
          <w:ilvl w:val="0"/>
          <w:numId w:val="0"/>
        </w:numPr>
        <w:spacing w:after="0"/>
        <w:ind w:left="284"/>
        <w:rPr>
          <w:i/>
          <w:iCs/>
          <w:noProof/>
          <w:lang w:val="fr-BE"/>
        </w:rPr>
      </w:pPr>
    </w:p>
    <w:p w14:paraId="35FCDFCD" w14:textId="460A8455" w:rsidR="00E14B1B" w:rsidRPr="00223A81" w:rsidRDefault="00C220C8" w:rsidP="00FF0551">
      <w:pPr>
        <w:pStyle w:val="ListBullet1"/>
        <w:numPr>
          <w:ilvl w:val="0"/>
          <w:numId w:val="0"/>
        </w:numPr>
        <w:spacing w:line="259" w:lineRule="auto"/>
        <w:rPr>
          <w:i/>
          <w:iCs/>
          <w:noProof/>
        </w:rPr>
      </w:pPr>
      <w:r>
        <w:rPr>
          <w:i/>
          <w:noProof/>
        </w:rPr>
        <w:t>Mesures de soutien à la demande et à l’investissement</w:t>
      </w:r>
    </w:p>
    <w:p w14:paraId="41229D2E" w14:textId="57289657" w:rsidR="00E14B1B" w:rsidRDefault="00E14B1B" w:rsidP="00C66253">
      <w:pPr>
        <w:pStyle w:val="ListBullet1"/>
        <w:numPr>
          <w:ilvl w:val="0"/>
          <w:numId w:val="0"/>
        </w:numPr>
        <w:spacing w:after="0"/>
        <w:ind w:left="288" w:hanging="288"/>
        <w:rPr>
          <w:noProof/>
        </w:rPr>
      </w:pPr>
      <w:r>
        <w:rPr>
          <w:noProof/>
        </w:rPr>
        <w:t xml:space="preserve">Conformément au </w:t>
      </w:r>
      <w:r>
        <w:rPr>
          <w:b/>
          <w:noProof/>
        </w:rPr>
        <w:t>règlement relatif aux emballages et aux déchets d’emballages</w:t>
      </w:r>
      <w:r>
        <w:rPr>
          <w:noProof/>
        </w:rPr>
        <w:t>, la Commission:</w:t>
      </w:r>
    </w:p>
    <w:p w14:paraId="7E4F9812" w14:textId="1479F6DE" w:rsidR="00223A81" w:rsidRPr="00323554" w:rsidRDefault="00223A81" w:rsidP="00C66253">
      <w:pPr>
        <w:pStyle w:val="ListBullet1"/>
        <w:numPr>
          <w:ilvl w:val="0"/>
          <w:numId w:val="50"/>
        </w:numPr>
        <w:spacing w:after="0"/>
        <w:rPr>
          <w:noProof/>
        </w:rPr>
      </w:pPr>
      <w:r>
        <w:rPr>
          <w:noProof/>
        </w:rPr>
        <w:t xml:space="preserve">encouragera la reconnaissance et l’adoption </w:t>
      </w:r>
      <w:r>
        <w:rPr>
          <w:b/>
          <w:noProof/>
        </w:rPr>
        <w:t>des plastiques et des nouveaux matériaux biosourcés</w:t>
      </w:r>
      <w:r>
        <w:rPr>
          <w:noProof/>
        </w:rPr>
        <w:t xml:space="preserve">, en complémentarité avec les </w:t>
      </w:r>
      <w:r>
        <w:rPr>
          <w:b/>
          <w:noProof/>
        </w:rPr>
        <w:t>objectifs en matière de contenu recyclé</w:t>
      </w:r>
      <w:r>
        <w:rPr>
          <w:noProof/>
        </w:rPr>
        <w:t>, garantissant une approche cohérente entre les applications;</w:t>
      </w:r>
    </w:p>
    <w:p w14:paraId="70427A86" w14:textId="5E04C3AA" w:rsidR="00E14B1B" w:rsidRPr="004F12DE" w:rsidRDefault="00E14B1B" w:rsidP="003F29A7">
      <w:pPr>
        <w:pStyle w:val="ListBullet1"/>
        <w:numPr>
          <w:ilvl w:val="0"/>
          <w:numId w:val="48"/>
        </w:numPr>
        <w:spacing w:after="0"/>
        <w:rPr>
          <w:b/>
          <w:bCs/>
          <w:noProof/>
        </w:rPr>
      </w:pPr>
      <w:r>
        <w:rPr>
          <w:noProof/>
        </w:rPr>
        <w:t xml:space="preserve">examinera si l’adoption de définitions à l’échelle de l’UE serait de nature à faciliter </w:t>
      </w:r>
      <w:r>
        <w:rPr>
          <w:b/>
          <w:noProof/>
        </w:rPr>
        <w:t>la certification et le développement des polymères biosourcés</w:t>
      </w:r>
      <w:r>
        <w:rPr>
          <w:noProof/>
        </w:rPr>
        <w:t>.</w:t>
      </w:r>
    </w:p>
    <w:p w14:paraId="04EFE429" w14:textId="77777777" w:rsidR="0001031B" w:rsidRPr="00CE41EF" w:rsidRDefault="0001031B" w:rsidP="00C66253">
      <w:pPr>
        <w:pStyle w:val="ListBullet1"/>
        <w:numPr>
          <w:ilvl w:val="0"/>
          <w:numId w:val="0"/>
        </w:numPr>
        <w:spacing w:after="0"/>
        <w:ind w:left="360"/>
        <w:rPr>
          <w:noProof/>
        </w:rPr>
      </w:pPr>
    </w:p>
    <w:p w14:paraId="5A18D12F" w14:textId="4EE26D62" w:rsidR="009650AB" w:rsidRDefault="1145B35E" w:rsidP="00E14B1B">
      <w:pPr>
        <w:rPr>
          <w:noProof/>
        </w:rPr>
      </w:pPr>
      <w:r>
        <w:rPr>
          <w:b/>
          <w:noProof/>
          <w:u w:val="single"/>
        </w:rPr>
        <w:t>Les textiles produits à partir de fibres et de tissus biosourcés</w:t>
      </w:r>
      <w:r>
        <w:rPr>
          <w:noProof/>
        </w:rPr>
        <w:t xml:space="preserve"> comprennent les fibres naturelles (coton, lin, chanvre et laine) et les fibres cellulosiques artificielles provenant de forêts gérées de manière durable, qui peuvent constituer une source fiable et traçable de cellulose pour ces fibres, soutenant ainsi les chaînes de valeur régionales. </w:t>
      </w:r>
    </w:p>
    <w:p w14:paraId="6B14AC1B" w14:textId="77777777" w:rsidR="00664802" w:rsidRDefault="00664802" w:rsidP="00E14B1B">
      <w:pPr>
        <w:rPr>
          <w:noProof/>
        </w:rPr>
      </w:pPr>
    </w:p>
    <w:p w14:paraId="6FFD0E68" w14:textId="24E7FCFE" w:rsidR="00E14B1B" w:rsidRPr="00223A81" w:rsidRDefault="00E14B1B" w:rsidP="003A6C62">
      <w:pPr>
        <w:pBdr>
          <w:top w:val="single" w:sz="4" w:space="1" w:color="auto"/>
          <w:left w:val="single" w:sz="4" w:space="4" w:color="auto"/>
          <w:bottom w:val="single" w:sz="4" w:space="1" w:color="auto"/>
          <w:right w:val="single" w:sz="4" w:space="4" w:color="auto"/>
        </w:pBdr>
        <w:rPr>
          <w:i/>
          <w:iCs/>
          <w:noProof/>
        </w:rPr>
      </w:pPr>
      <w:r>
        <w:rPr>
          <w:i/>
          <w:noProof/>
        </w:rPr>
        <w:t xml:space="preserve">Avantages: </w:t>
      </w:r>
    </w:p>
    <w:p w14:paraId="1DD5E86A" w14:textId="735ACBAF"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matières premières renouvelables</w:t>
      </w:r>
      <w:r>
        <w:rPr>
          <w:noProof/>
        </w:rPr>
        <w:t xml:space="preserve"> dont la capacité de production européenne est établie;</w:t>
      </w:r>
    </w:p>
    <w:p w14:paraId="3241F0B7" w14:textId="2DCC7F26" w:rsidR="00E14B1B"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favoriser des</w:t>
      </w:r>
      <w:r>
        <w:rPr>
          <w:b/>
          <w:noProof/>
        </w:rPr>
        <w:t xml:space="preserve"> chaînes d’approvisionnement traçables et ancrées au niveau régional</w:t>
      </w:r>
      <w:r>
        <w:rPr>
          <w:noProof/>
        </w:rPr>
        <w:t>;</w:t>
      </w:r>
    </w:p>
    <w:p w14:paraId="6863A1E9" w14:textId="0614F3DB" w:rsidR="0035440E" w:rsidRPr="004F12DE" w:rsidRDefault="0035440E"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éviter les rejets de microplastiques dans l’environnement; </w:t>
      </w:r>
    </w:p>
    <w:p w14:paraId="26BC7DE4" w14:textId="7B1013C8"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augmenter la demande de fibres textiles à faible incidence;</w:t>
      </w:r>
    </w:p>
    <w:p w14:paraId="28364C67" w14:textId="683F4C15"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ind w:right="0"/>
        <w:rPr>
          <w:noProof/>
        </w:rPr>
      </w:pPr>
      <w:r>
        <w:rPr>
          <w:noProof/>
        </w:rPr>
        <w:t xml:space="preserve">potentiel de </w:t>
      </w:r>
      <w:r>
        <w:rPr>
          <w:b/>
          <w:noProof/>
        </w:rPr>
        <w:t>conservation d’une plus grande valeur</w:t>
      </w:r>
      <w:r>
        <w:rPr>
          <w:noProof/>
        </w:rPr>
        <w:t xml:space="preserve">, y compris </w:t>
      </w:r>
      <w:r>
        <w:rPr>
          <w:b/>
          <w:noProof/>
        </w:rPr>
        <w:t>dans les régions rurales</w:t>
      </w:r>
      <w:r>
        <w:rPr>
          <w:noProof/>
        </w:rPr>
        <w:t>.</w:t>
      </w:r>
    </w:p>
    <w:p w14:paraId="4420593C" w14:textId="4E88BF79" w:rsidR="008A250D" w:rsidRDefault="00F27BBF" w:rsidP="008A250D">
      <w:pPr>
        <w:spacing w:after="0"/>
        <w:rPr>
          <w:i/>
          <w:iCs/>
          <w:noProof/>
        </w:rPr>
      </w:pPr>
      <w:r>
        <w:rPr>
          <w:i/>
          <w:noProof/>
        </w:rPr>
        <w:t>Mesures de soutien à la demande et à l’investissement</w:t>
      </w:r>
    </w:p>
    <w:p w14:paraId="75D0B99C" w14:textId="77777777" w:rsidR="008A250D" w:rsidRPr="00D01D7F" w:rsidRDefault="008A250D" w:rsidP="00422BD3">
      <w:pPr>
        <w:spacing w:after="0"/>
        <w:rPr>
          <w:noProof/>
          <w:lang w:val="fr-BE"/>
        </w:rPr>
      </w:pPr>
    </w:p>
    <w:p w14:paraId="08235EDF" w14:textId="2882FC93" w:rsidR="00223A81" w:rsidRPr="00E976BE" w:rsidRDefault="007C4BAE" w:rsidP="00422BD3">
      <w:pPr>
        <w:pStyle w:val="ListParagraph"/>
        <w:numPr>
          <w:ilvl w:val="0"/>
          <w:numId w:val="48"/>
        </w:numPr>
        <w:spacing w:after="0"/>
        <w:ind w:right="0"/>
        <w:jc w:val="both"/>
        <w:rPr>
          <w:noProof/>
        </w:rPr>
      </w:pPr>
      <w:r>
        <w:rPr>
          <w:noProof/>
        </w:rPr>
        <w:t xml:space="preserve">Le </w:t>
      </w:r>
      <w:r>
        <w:rPr>
          <w:b/>
          <w:noProof/>
        </w:rPr>
        <w:t>règlement sur l’écoconception pour des produits durables</w:t>
      </w:r>
      <w:r>
        <w:rPr>
          <w:noProof/>
        </w:rPr>
        <w:t xml:space="preserve"> (REPD) établira des </w:t>
      </w:r>
      <w:r>
        <w:rPr>
          <w:b/>
          <w:noProof/>
        </w:rPr>
        <w:t>exigences de performance et de durabilité pour les textiles</w:t>
      </w:r>
      <w:r>
        <w:rPr>
          <w:noProof/>
        </w:rPr>
        <w:t>, y compris pour ceux qui sont fabriqués à partir de fibres biosourcées.</w:t>
      </w:r>
    </w:p>
    <w:p w14:paraId="7FEE3663" w14:textId="2B6565CB" w:rsidR="00C66253" w:rsidRPr="00E976BE" w:rsidRDefault="007C4BAE" w:rsidP="00422BD3">
      <w:pPr>
        <w:pStyle w:val="ListParagraph"/>
        <w:numPr>
          <w:ilvl w:val="0"/>
          <w:numId w:val="48"/>
        </w:numPr>
        <w:spacing w:after="0"/>
        <w:ind w:right="0"/>
        <w:jc w:val="both"/>
        <w:rPr>
          <w:noProof/>
        </w:rPr>
      </w:pPr>
      <w:r>
        <w:rPr>
          <w:noProof/>
        </w:rPr>
        <w:t>Lors de la révision des méthodes d’</w:t>
      </w:r>
      <w:r>
        <w:rPr>
          <w:b/>
          <w:noProof/>
        </w:rPr>
        <w:t>empreinte environnementale de produit</w:t>
      </w:r>
      <w:r>
        <w:rPr>
          <w:noProof/>
        </w:rPr>
        <w:t xml:space="preserve"> (EEP), il sera tenu compte d’</w:t>
      </w:r>
      <w:r>
        <w:rPr>
          <w:b/>
          <w:noProof/>
        </w:rPr>
        <w:t>indicateurs</w:t>
      </w:r>
      <w:r>
        <w:rPr>
          <w:noProof/>
        </w:rPr>
        <w:t xml:space="preserve"> pertinents pour la performance des fibres, les rejets de microfibres et l’empreinte environnementale, ce qui permettra aux clients de comprendre plus aisément les avantages des matériaux tels que les textiles biosourcés.</w:t>
      </w:r>
    </w:p>
    <w:p w14:paraId="565833A8" w14:textId="76ED8F1F" w:rsidR="00B477F1" w:rsidRPr="007C4BAE" w:rsidRDefault="007C4BAE" w:rsidP="00422BD3">
      <w:pPr>
        <w:pStyle w:val="ListParagraph"/>
        <w:numPr>
          <w:ilvl w:val="0"/>
          <w:numId w:val="48"/>
        </w:numPr>
        <w:spacing w:after="0" w:line="240" w:lineRule="auto"/>
        <w:ind w:right="0"/>
        <w:jc w:val="both"/>
        <w:rPr>
          <w:noProof/>
          <w:szCs w:val="20"/>
        </w:rPr>
      </w:pPr>
      <w:r>
        <w:rPr>
          <w:noProof/>
        </w:rPr>
        <w:t xml:space="preserve">Un </w:t>
      </w:r>
      <w:r>
        <w:rPr>
          <w:b/>
          <w:noProof/>
        </w:rPr>
        <w:t>groupe de réflexion du réseau de la PAC</w:t>
      </w:r>
      <w:r>
        <w:rPr>
          <w:noProof/>
        </w:rPr>
        <w:t xml:space="preserve"> se penchera sur les moyens de renforcer la capacité de transformation de la laine de l’UE et la diversification des revenus des agriculteurs.</w:t>
      </w:r>
    </w:p>
    <w:p w14:paraId="49F20B50" w14:textId="77777777" w:rsidR="00343D27" w:rsidRDefault="00343D27" w:rsidP="00C66253">
      <w:pPr>
        <w:pStyle w:val="ListBullet1"/>
        <w:numPr>
          <w:ilvl w:val="0"/>
          <w:numId w:val="0"/>
        </w:numPr>
        <w:spacing w:after="0"/>
        <w:rPr>
          <w:b/>
          <w:bCs/>
          <w:noProof/>
          <w:u w:val="single"/>
        </w:rPr>
      </w:pPr>
    </w:p>
    <w:p w14:paraId="73DD67B3" w14:textId="167963B0" w:rsidR="204FB842" w:rsidRDefault="36410675" w:rsidP="002A18B1">
      <w:pPr>
        <w:pStyle w:val="ListBullet1"/>
        <w:numPr>
          <w:ilvl w:val="0"/>
          <w:numId w:val="0"/>
        </w:numPr>
        <w:spacing w:line="259" w:lineRule="auto"/>
        <w:rPr>
          <w:noProof/>
        </w:rPr>
      </w:pPr>
      <w:r>
        <w:rPr>
          <w:noProof/>
        </w:rPr>
        <w:t xml:space="preserve">Les </w:t>
      </w:r>
      <w:r>
        <w:rPr>
          <w:b/>
          <w:noProof/>
          <w:u w:val="single"/>
        </w:rPr>
        <w:t>produits biochimiques</w:t>
      </w:r>
      <w:r>
        <w:rPr>
          <w:noProof/>
        </w:rPr>
        <w:t xml:space="preserve"> sont produits à partir de </w:t>
      </w:r>
      <w:r>
        <w:rPr>
          <w:b/>
          <w:noProof/>
        </w:rPr>
        <w:t>ressources biologiques renouvelables</w:t>
      </w:r>
      <w:r>
        <w:rPr>
          <w:noProof/>
        </w:rPr>
        <w:t xml:space="preserve">, telles que les plantes, le bois, les algues et les résidus agricoles, et sont utilisés dans tous les secteurs, y compris ceux des produits pharmaceutiques, des denrées alimentaires et des boissons, des textiles, des produits de soins personnels, et dans les applications industrielles. </w:t>
      </w:r>
    </w:p>
    <w:p w14:paraId="29F06AA0" w14:textId="404C3619" w:rsidR="002A18B1" w:rsidRPr="004F12DE" w:rsidRDefault="002A18B1"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rPr>
      </w:pPr>
      <w:r>
        <w:rPr>
          <w:i/>
          <w:noProof/>
        </w:rPr>
        <w:t>Avantages:</w:t>
      </w:r>
    </w:p>
    <w:p w14:paraId="6E7432B9" w14:textId="06072C24" w:rsidR="002A18B1" w:rsidRPr="00FF0551"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Pr>
          <w:b/>
          <w:noProof/>
        </w:rPr>
        <w:t>réduction de 30 à 50 % des émissions de procédé</w:t>
      </w:r>
      <w:r>
        <w:rPr>
          <w:noProof/>
        </w:rPr>
        <w:t xml:space="preserve"> (selon la filière);</w:t>
      </w:r>
    </w:p>
    <w:p w14:paraId="51B7452B" w14:textId="072411F1" w:rsidR="002A18B1" w:rsidRPr="00FF0551"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Pr>
          <w:noProof/>
        </w:rPr>
        <w:t xml:space="preserve">les </w:t>
      </w:r>
      <w:r>
        <w:rPr>
          <w:b/>
          <w:noProof/>
        </w:rPr>
        <w:t>processus microbiens et enzymatiques</w:t>
      </w:r>
      <w:r>
        <w:rPr>
          <w:noProof/>
        </w:rPr>
        <w:t xml:space="preserve"> peuvent favoriser une production à faible consommation d’énergie;</w:t>
      </w:r>
    </w:p>
    <w:p w14:paraId="077E9882" w14:textId="323EA208" w:rsidR="004F12DE"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Pr>
          <w:noProof/>
        </w:rPr>
        <w:t xml:space="preserve">possibilités de </w:t>
      </w:r>
      <w:r>
        <w:rPr>
          <w:b/>
          <w:noProof/>
        </w:rPr>
        <w:t>remplacer les intrants pétrochimiques</w:t>
      </w:r>
      <w:r>
        <w:rPr>
          <w:noProof/>
        </w:rPr>
        <w:t xml:space="preserve"> et de </w:t>
      </w:r>
      <w:r>
        <w:rPr>
          <w:b/>
          <w:noProof/>
        </w:rPr>
        <w:t>réduire la dépendance à l’égard des importations</w:t>
      </w:r>
      <w:r>
        <w:rPr>
          <w:noProof/>
        </w:rPr>
        <w:t>.</w:t>
      </w:r>
    </w:p>
    <w:p w14:paraId="312C76D5" w14:textId="77777777" w:rsidR="004F12DE" w:rsidRDefault="004F12DE" w:rsidP="004F12DE">
      <w:pPr>
        <w:pStyle w:val="ListBullet1"/>
        <w:numPr>
          <w:ilvl w:val="0"/>
          <w:numId w:val="0"/>
        </w:numPr>
        <w:spacing w:after="0"/>
        <w:ind w:left="284" w:hanging="284"/>
        <w:rPr>
          <w:noProof/>
        </w:rPr>
      </w:pPr>
    </w:p>
    <w:p w14:paraId="7CDBB075" w14:textId="74AACBB6" w:rsidR="002A18B1" w:rsidRPr="004F12DE" w:rsidRDefault="007C4BAE" w:rsidP="00FF0551">
      <w:pPr>
        <w:pStyle w:val="ListBullet1"/>
        <w:numPr>
          <w:ilvl w:val="0"/>
          <w:numId w:val="0"/>
        </w:numPr>
        <w:spacing w:line="259" w:lineRule="auto"/>
        <w:rPr>
          <w:i/>
          <w:iCs/>
          <w:noProof/>
        </w:rPr>
      </w:pPr>
      <w:r>
        <w:rPr>
          <w:i/>
          <w:noProof/>
        </w:rPr>
        <w:t>Mesures de soutien à la demande et à l’investissement</w:t>
      </w:r>
    </w:p>
    <w:p w14:paraId="08FC1524" w14:textId="6A5C8E8B" w:rsidR="00123C95" w:rsidRPr="00C66253" w:rsidRDefault="002A18B1" w:rsidP="00C66253">
      <w:pPr>
        <w:pStyle w:val="ListBullet1"/>
        <w:numPr>
          <w:ilvl w:val="0"/>
          <w:numId w:val="0"/>
        </w:numPr>
        <w:spacing w:after="0"/>
        <w:rPr>
          <w:b/>
          <w:bCs/>
          <w:noProof/>
        </w:rPr>
      </w:pPr>
      <w:r>
        <w:rPr>
          <w:noProof/>
        </w:rPr>
        <w:t>La Commission:</w:t>
      </w:r>
    </w:p>
    <w:p w14:paraId="7DA8E056" w14:textId="05B74BE6" w:rsidR="002A18B1" w:rsidRPr="00FF0551" w:rsidRDefault="002A18B1" w:rsidP="003A6C62">
      <w:pPr>
        <w:pStyle w:val="ListBullet1"/>
        <w:numPr>
          <w:ilvl w:val="0"/>
          <w:numId w:val="0"/>
        </w:numPr>
        <w:spacing w:after="0"/>
        <w:ind w:left="283" w:hanging="283"/>
        <w:rPr>
          <w:noProof/>
        </w:rPr>
      </w:pPr>
    </w:p>
    <w:p w14:paraId="41F5F857" w14:textId="5812AF2C" w:rsidR="004F12DE" w:rsidRPr="00E976BE" w:rsidRDefault="00320795" w:rsidP="00E976BE">
      <w:pPr>
        <w:pStyle w:val="ListBullet1"/>
        <w:numPr>
          <w:ilvl w:val="0"/>
          <w:numId w:val="48"/>
        </w:numPr>
        <w:spacing w:after="0"/>
        <w:rPr>
          <w:noProof/>
        </w:rPr>
      </w:pPr>
      <w:r>
        <w:rPr>
          <w:noProof/>
        </w:rPr>
        <w:t xml:space="preserve">soutiendra l’expansion des biotechnologies industrielles pour la production de produits biochimiques; </w:t>
      </w:r>
    </w:p>
    <w:p w14:paraId="012C5467" w14:textId="62FFD0B4" w:rsidR="00FB66A6" w:rsidRPr="00E976BE" w:rsidRDefault="00534D77" w:rsidP="00E976BE">
      <w:pPr>
        <w:pStyle w:val="ListBullet1"/>
        <w:numPr>
          <w:ilvl w:val="0"/>
          <w:numId w:val="48"/>
        </w:numPr>
        <w:rPr>
          <w:noProof/>
        </w:rPr>
      </w:pPr>
      <w:r>
        <w:rPr>
          <w:noProof/>
        </w:rPr>
        <w:t>stimulera la demande et la production de produits biochimiques, par exemple par la possible mise en place d’exigences en matière de contenu biosourcé pour certains produits mis sur le marché unique de l’UE.</w:t>
      </w:r>
    </w:p>
    <w:p w14:paraId="06631C27" w14:textId="6CFEB5DF" w:rsidR="00C214C7" w:rsidRDefault="13D1AB44" w:rsidP="002A18B1">
      <w:pPr>
        <w:rPr>
          <w:noProof/>
        </w:rPr>
      </w:pPr>
      <w:r>
        <w:rPr>
          <w:noProof/>
        </w:rPr>
        <w:t xml:space="preserve">Les </w:t>
      </w:r>
      <w:r>
        <w:rPr>
          <w:b/>
          <w:noProof/>
          <w:u w:val="single"/>
        </w:rPr>
        <w:t>produits de construction biosourcés</w:t>
      </w:r>
      <w:r>
        <w:rPr>
          <w:noProof/>
        </w:rPr>
        <w:t xml:space="preserve"> comprennent le bois et d’autres matériaux renouvelables tels que le chanvre, la paille, le mycélium et les composites à base de fibres. Le secteur de la construction est responsable de </w:t>
      </w:r>
      <w:r>
        <w:rPr>
          <w:b/>
          <w:noProof/>
        </w:rPr>
        <w:t>plus de 35 %</w:t>
      </w:r>
      <w:r>
        <w:rPr>
          <w:noProof/>
        </w:rPr>
        <w:t xml:space="preserve"> de la production de déchets dans l’UE, et de </w:t>
      </w:r>
      <w:r>
        <w:rPr>
          <w:b/>
          <w:noProof/>
        </w:rPr>
        <w:t>5 à 12 %</w:t>
      </w:r>
      <w:r>
        <w:rPr>
          <w:noProof/>
        </w:rPr>
        <w:t xml:space="preserve"> des émissions nationales totales de gaz à effet de serre</w:t>
      </w:r>
      <w:r>
        <w:rPr>
          <w:rStyle w:val="FootnoteReference"/>
          <w:noProof/>
        </w:rPr>
        <w:footnoteReference w:id="33"/>
      </w:r>
      <w:r>
        <w:rPr>
          <w:noProof/>
        </w:rPr>
        <w:t>. L’utilisation de bioproduits peut contribuer à une réduction d’</w:t>
      </w:r>
      <w:r>
        <w:rPr>
          <w:b/>
          <w:noProof/>
        </w:rPr>
        <w:t>environ 40 %</w:t>
      </w:r>
      <w:r>
        <w:rPr>
          <w:rStyle w:val="FootnoteReference"/>
          <w:noProof/>
        </w:rPr>
        <w:footnoteReference w:id="34"/>
      </w:r>
      <w:r>
        <w:rPr>
          <w:noProof/>
        </w:rPr>
        <w:t xml:space="preserve"> du carbone intrinsèque et des besoins en énergie</w:t>
      </w:r>
      <w:r>
        <w:rPr>
          <w:rStyle w:val="FootnoteReference"/>
          <w:noProof/>
        </w:rPr>
        <w:footnoteReference w:id="35"/>
      </w:r>
      <w:r>
        <w:rPr>
          <w:noProof/>
        </w:rPr>
        <w:t xml:space="preserve"> des bâtiments. </w:t>
      </w:r>
    </w:p>
    <w:p w14:paraId="007EFE69" w14:textId="77777777" w:rsidR="002A18B1" w:rsidRPr="004F12DE" w:rsidRDefault="002A18B1" w:rsidP="003A6C62">
      <w:pPr>
        <w:pBdr>
          <w:top w:val="single" w:sz="4" w:space="1" w:color="auto"/>
          <w:left w:val="single" w:sz="4" w:space="4" w:color="auto"/>
          <w:bottom w:val="single" w:sz="4" w:space="1" w:color="auto"/>
          <w:right w:val="single" w:sz="4" w:space="4" w:color="auto"/>
        </w:pBdr>
        <w:rPr>
          <w:i/>
          <w:iCs/>
          <w:noProof/>
        </w:rPr>
      </w:pPr>
      <w:r>
        <w:rPr>
          <w:i/>
          <w:noProof/>
        </w:rPr>
        <w:t>Avantages:</w:t>
      </w:r>
    </w:p>
    <w:p w14:paraId="22F2B46C" w14:textId="68C2EFC6"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réduction du carbone intrinsèque et des besoins en énergie</w:t>
      </w:r>
      <w:r>
        <w:rPr>
          <w:noProof/>
        </w:rPr>
        <w:t>;</w:t>
      </w:r>
    </w:p>
    <w:p w14:paraId="54006881" w14:textId="35D41624"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stockage à long terme du carbone</w:t>
      </w:r>
      <w:r>
        <w:rPr>
          <w:noProof/>
        </w:rPr>
        <w:t xml:space="preserve"> dans les bâtiments;</w:t>
      </w:r>
    </w:p>
    <w:p w14:paraId="2EB5F6F7" w14:textId="2A07BA15"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diversification</w:t>
      </w:r>
      <w:r>
        <w:rPr>
          <w:noProof/>
        </w:rPr>
        <w:t xml:space="preserve"> des chaînes d’approvisionnement en matériaux;</w:t>
      </w:r>
    </w:p>
    <w:p w14:paraId="15D038A6" w14:textId="45DB2CB3"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soutien aux écosystèmes de transformation </w:t>
      </w:r>
      <w:r>
        <w:rPr>
          <w:b/>
          <w:noProof/>
        </w:rPr>
        <w:t>régionaux</w:t>
      </w:r>
      <w:r>
        <w:rPr>
          <w:noProof/>
        </w:rPr>
        <w:t>.</w:t>
      </w:r>
    </w:p>
    <w:p w14:paraId="679B439D" w14:textId="77777777" w:rsidR="004F12DE" w:rsidRPr="00D01D7F" w:rsidRDefault="004F12DE" w:rsidP="00610E0C">
      <w:pPr>
        <w:spacing w:after="0"/>
        <w:rPr>
          <w:i/>
          <w:iCs/>
          <w:noProof/>
          <w:lang w:val="fr-BE"/>
        </w:rPr>
      </w:pPr>
    </w:p>
    <w:p w14:paraId="20119F3F" w14:textId="3134AF5F" w:rsidR="002A18B1" w:rsidRPr="004F12DE" w:rsidRDefault="00FB66A6" w:rsidP="00610E0C">
      <w:pPr>
        <w:tabs>
          <w:tab w:val="num" w:pos="360"/>
        </w:tabs>
        <w:rPr>
          <w:i/>
          <w:iCs/>
          <w:noProof/>
        </w:rPr>
      </w:pPr>
      <w:r>
        <w:rPr>
          <w:i/>
          <w:noProof/>
        </w:rPr>
        <w:t>Mesures de soutien à la demande et à l’investissement</w:t>
      </w:r>
    </w:p>
    <w:p w14:paraId="44704A53" w14:textId="4644AA6C" w:rsidR="001D7577" w:rsidRPr="002A18B1" w:rsidRDefault="002A18B1" w:rsidP="00C66253">
      <w:pPr>
        <w:spacing w:after="0"/>
        <w:rPr>
          <w:noProof/>
        </w:rPr>
      </w:pPr>
      <w:r>
        <w:rPr>
          <w:noProof/>
        </w:rPr>
        <w:t xml:space="preserve">Conformément au </w:t>
      </w:r>
      <w:r>
        <w:rPr>
          <w:b/>
          <w:noProof/>
        </w:rPr>
        <w:t>règlement</w:t>
      </w:r>
      <w:r>
        <w:rPr>
          <w:noProof/>
        </w:rPr>
        <w:t xml:space="preserve"> révisé </w:t>
      </w:r>
      <w:r>
        <w:rPr>
          <w:b/>
          <w:noProof/>
        </w:rPr>
        <w:t>sur les produits de construction</w:t>
      </w:r>
      <w:r>
        <w:rPr>
          <w:noProof/>
        </w:rPr>
        <w:t xml:space="preserve"> (RPC), la Commission:</w:t>
      </w:r>
    </w:p>
    <w:p w14:paraId="60A9CEA6" w14:textId="24DDBEFC" w:rsidR="008A47D9" w:rsidRPr="00D01D7F" w:rsidRDefault="008A47D9" w:rsidP="003A6C62">
      <w:pPr>
        <w:spacing w:after="0"/>
        <w:rPr>
          <w:noProof/>
          <w:lang w:val="fr-BE"/>
        </w:rPr>
      </w:pPr>
    </w:p>
    <w:p w14:paraId="369D74BC" w14:textId="02941225" w:rsidR="002A18B1" w:rsidRPr="00E976BE" w:rsidRDefault="00C214C7" w:rsidP="00792501">
      <w:pPr>
        <w:pStyle w:val="ListParagraph"/>
        <w:numPr>
          <w:ilvl w:val="0"/>
          <w:numId w:val="48"/>
        </w:numPr>
        <w:spacing w:after="0"/>
        <w:ind w:right="0"/>
        <w:jc w:val="both"/>
        <w:rPr>
          <w:noProof/>
        </w:rPr>
      </w:pPr>
      <w:r>
        <w:rPr>
          <w:noProof/>
        </w:rPr>
        <w:t xml:space="preserve">poursuivra les travaux de </w:t>
      </w:r>
      <w:r>
        <w:rPr>
          <w:b/>
          <w:noProof/>
        </w:rPr>
        <w:t>normalisation</w:t>
      </w:r>
      <w:r>
        <w:rPr>
          <w:noProof/>
        </w:rPr>
        <w:t xml:space="preserve"> pour les produits de construction biosourcés et veillera ce que les </w:t>
      </w:r>
      <w:r>
        <w:rPr>
          <w:b/>
          <w:noProof/>
        </w:rPr>
        <w:t>normes</w:t>
      </w:r>
      <w:r>
        <w:rPr>
          <w:noProof/>
        </w:rPr>
        <w:t xml:space="preserve"> permettent une comparaison équitable entre les matériaux conventionnels et les matériaux innovants, ouvrant et élargissant ainsi le marché des produits de construction biosourcés de l’UE;</w:t>
      </w:r>
    </w:p>
    <w:p w14:paraId="6220A23D" w14:textId="2C30DFFD" w:rsidR="00EF3C5C" w:rsidRPr="00E976BE" w:rsidRDefault="00EF3C5C" w:rsidP="00792501">
      <w:pPr>
        <w:pStyle w:val="ListParagraph"/>
        <w:numPr>
          <w:ilvl w:val="0"/>
          <w:numId w:val="48"/>
        </w:numPr>
        <w:spacing w:after="0"/>
        <w:ind w:right="0"/>
        <w:jc w:val="both"/>
        <w:rPr>
          <w:noProof/>
        </w:rPr>
      </w:pPr>
      <w:r>
        <w:rPr>
          <w:noProof/>
        </w:rPr>
        <w:t>pour les nouveaux produits de construction biosourcés qui ne sont pas encore harmonisés, les futures normes permettront de comparer leurs performances, y compris leur réaction au feu, directement avec celles de produits similaires fabriqués à partir de matériaux différents, améliorant ainsi leur compétitivité et leur circulation au sein du marché unique.</w:t>
      </w:r>
    </w:p>
    <w:p w14:paraId="72FD9E52" w14:textId="77777777" w:rsidR="004F12DE" w:rsidRPr="00D01D7F" w:rsidRDefault="004F12DE" w:rsidP="00E976BE">
      <w:pPr>
        <w:spacing w:after="0"/>
        <w:ind w:left="360"/>
        <w:jc w:val="left"/>
        <w:rPr>
          <w:noProof/>
          <w:highlight w:val="yellow"/>
          <w:lang w:val="fr-BE"/>
        </w:rPr>
      </w:pPr>
    </w:p>
    <w:p w14:paraId="19A3FB9E" w14:textId="62BB02EA" w:rsidR="004F12DE" w:rsidRDefault="002A18B1" w:rsidP="00610E0C">
      <w:pPr>
        <w:spacing w:after="0"/>
        <w:rPr>
          <w:noProof/>
        </w:rPr>
      </w:pPr>
      <w:bookmarkStart w:id="9" w:name="_Hlk213941304"/>
      <w:r>
        <w:rPr>
          <w:noProof/>
        </w:rPr>
        <w:t>Afin de stimuler l’adoption par le marché, la Commission:</w:t>
      </w:r>
    </w:p>
    <w:p w14:paraId="74F89627" w14:textId="77777777" w:rsidR="001D7577" w:rsidRPr="00D01D7F" w:rsidRDefault="001D7577" w:rsidP="00610E0C">
      <w:pPr>
        <w:spacing w:after="0"/>
        <w:rPr>
          <w:noProof/>
          <w:lang w:val="fr-BE"/>
        </w:rPr>
      </w:pPr>
    </w:p>
    <w:p w14:paraId="39C2CDAD" w14:textId="043A04EC" w:rsidR="002A18B1" w:rsidRPr="004F12DE" w:rsidRDefault="00A73D6E" w:rsidP="00C66253">
      <w:pPr>
        <w:pStyle w:val="ListParagraph"/>
        <w:numPr>
          <w:ilvl w:val="0"/>
          <w:numId w:val="48"/>
        </w:numPr>
        <w:spacing w:after="0"/>
        <w:ind w:right="0"/>
        <w:jc w:val="both"/>
        <w:rPr>
          <w:noProof/>
        </w:rPr>
      </w:pPr>
      <w:r>
        <w:rPr>
          <w:noProof/>
        </w:rPr>
        <w:t>soutiendra la construction industrialisée et modulaire utilisant des matériaux biosourcés durables, en contribuant aux travaux de normalisation, aux modèles de marchés publics et aux projets de référence dans le cadre de la stratégie pour la construction (2026);</w:t>
      </w:r>
    </w:p>
    <w:p w14:paraId="0159326E" w14:textId="40DB7B9F" w:rsidR="002A18B1" w:rsidRPr="004F12DE" w:rsidRDefault="00E56DF0" w:rsidP="00C66253">
      <w:pPr>
        <w:pStyle w:val="ListParagraph"/>
        <w:numPr>
          <w:ilvl w:val="0"/>
          <w:numId w:val="48"/>
        </w:numPr>
        <w:spacing w:after="0"/>
        <w:ind w:right="0"/>
        <w:jc w:val="both"/>
        <w:rPr>
          <w:noProof/>
        </w:rPr>
      </w:pPr>
      <w:r>
        <w:rPr>
          <w:noProof/>
        </w:rPr>
        <w:t xml:space="preserve">soutiendra l’évaluation tout au long du cycle de vie des émissions de gaz à effet de serre des bâtiments au titre de la </w:t>
      </w:r>
      <w:r>
        <w:rPr>
          <w:b/>
          <w:noProof/>
        </w:rPr>
        <w:t>directive sur la performance énergétique des bâtiments</w:t>
      </w:r>
      <w:r>
        <w:rPr>
          <w:noProof/>
        </w:rPr>
        <w:t>;</w:t>
      </w:r>
    </w:p>
    <w:bookmarkEnd w:id="9"/>
    <w:p w14:paraId="55F04B80" w14:textId="09356B96" w:rsidR="002A18B1" w:rsidRPr="00F065AE" w:rsidRDefault="73AF98CF" w:rsidP="62CA18EE">
      <w:pPr>
        <w:pStyle w:val="ListParagraph"/>
        <w:numPr>
          <w:ilvl w:val="0"/>
          <w:numId w:val="48"/>
        </w:numPr>
        <w:spacing w:after="0"/>
        <w:ind w:right="0"/>
        <w:jc w:val="both"/>
        <w:rPr>
          <w:noProof/>
        </w:rPr>
      </w:pPr>
      <w:r>
        <w:rPr>
          <w:noProof/>
        </w:rPr>
        <w:t xml:space="preserve">élaborera une méthode de certification du stockage durable du carbone biogénique dans les bâtiments conformément au </w:t>
      </w:r>
      <w:r>
        <w:rPr>
          <w:b/>
          <w:noProof/>
        </w:rPr>
        <w:t>cadre de certification relatif aux absorptions de carbone et à l’agrostockage de carbone</w:t>
      </w:r>
      <w:r>
        <w:rPr>
          <w:noProof/>
        </w:rPr>
        <w:t xml:space="preserve"> (CRCF).</w:t>
      </w:r>
    </w:p>
    <w:p w14:paraId="0B5C2120" w14:textId="77777777" w:rsidR="004F12DE" w:rsidRDefault="004F12DE" w:rsidP="00610E0C">
      <w:pPr>
        <w:spacing w:after="0"/>
        <w:rPr>
          <w:noProof/>
        </w:rPr>
      </w:pPr>
      <w:bookmarkStart w:id="10" w:name="_Hlk213941964"/>
    </w:p>
    <w:p w14:paraId="4D39805B" w14:textId="699852A6" w:rsidR="000827BC" w:rsidRPr="002A18B1" w:rsidRDefault="00042A68" w:rsidP="00610E0C">
      <w:pPr>
        <w:spacing w:after="0"/>
        <w:rPr>
          <w:noProof/>
        </w:rPr>
      </w:pPr>
      <w:r>
        <w:rPr>
          <w:noProof/>
        </w:rPr>
        <w:t>Le nouveau Bauhaus européen continuera:</w:t>
      </w:r>
    </w:p>
    <w:p w14:paraId="7AC231C5" w14:textId="42D8A144" w:rsidR="002A18B1" w:rsidRPr="004F12DE" w:rsidRDefault="002A18B1" w:rsidP="00422BD3">
      <w:pPr>
        <w:pStyle w:val="ListParagraph"/>
        <w:numPr>
          <w:ilvl w:val="0"/>
          <w:numId w:val="48"/>
        </w:numPr>
        <w:spacing w:after="0"/>
        <w:ind w:right="0"/>
        <w:jc w:val="both"/>
        <w:rPr>
          <w:noProof/>
        </w:rPr>
      </w:pPr>
      <w:r>
        <w:rPr>
          <w:noProof/>
        </w:rPr>
        <w:t xml:space="preserve">de </w:t>
      </w:r>
      <w:r>
        <w:rPr>
          <w:b/>
          <w:noProof/>
        </w:rPr>
        <w:t>soutenir des projets de démonstration</w:t>
      </w:r>
      <w:r>
        <w:rPr>
          <w:noProof/>
        </w:rPr>
        <w:t xml:space="preserve"> (par exemple, rénovations d’écoles, logements sociaux, intérieurs publics);</w:t>
      </w:r>
    </w:p>
    <w:p w14:paraId="06FC541F" w14:textId="06AE25E6" w:rsidR="002A18B1" w:rsidRPr="004F12DE" w:rsidRDefault="002A18B1" w:rsidP="00422BD3">
      <w:pPr>
        <w:pStyle w:val="ListParagraph"/>
        <w:numPr>
          <w:ilvl w:val="0"/>
          <w:numId w:val="48"/>
        </w:numPr>
        <w:spacing w:after="0"/>
        <w:ind w:right="0"/>
        <w:jc w:val="both"/>
        <w:rPr>
          <w:noProof/>
        </w:rPr>
      </w:pPr>
      <w:r>
        <w:rPr>
          <w:noProof/>
        </w:rPr>
        <w:t>d’</w:t>
      </w:r>
      <w:r>
        <w:rPr>
          <w:b/>
          <w:noProof/>
        </w:rPr>
        <w:t>établir des liens entre les concepteurs, les architectes, les fabricants, les constructeurs, les villes et les autorités qui gèrent les fonds européens, nationaux et régionaux</w:t>
      </w:r>
      <w:r>
        <w:rPr>
          <w:noProof/>
        </w:rPr>
        <w:t>;</w:t>
      </w:r>
    </w:p>
    <w:p w14:paraId="5F7E6255" w14:textId="77777777" w:rsidR="00507BFC" w:rsidRDefault="002A18B1" w:rsidP="00422BD3">
      <w:pPr>
        <w:pStyle w:val="ListParagraph"/>
        <w:numPr>
          <w:ilvl w:val="0"/>
          <w:numId w:val="48"/>
        </w:numPr>
        <w:spacing w:after="0"/>
        <w:ind w:right="0"/>
        <w:jc w:val="both"/>
        <w:rPr>
          <w:noProof/>
        </w:rPr>
      </w:pPr>
      <w:r>
        <w:rPr>
          <w:noProof/>
        </w:rPr>
        <w:t>d’améliorer l’</w:t>
      </w:r>
      <w:r>
        <w:rPr>
          <w:b/>
          <w:noProof/>
        </w:rPr>
        <w:t>acceptation par le marché et la visibilité</w:t>
      </w:r>
      <w:r>
        <w:rPr>
          <w:noProof/>
        </w:rPr>
        <w:t xml:space="preserve">. </w:t>
      </w:r>
    </w:p>
    <w:p w14:paraId="5F86406C" w14:textId="77777777" w:rsidR="00507BFC" w:rsidRPr="00D01D7F" w:rsidRDefault="00507BFC" w:rsidP="00507BFC">
      <w:pPr>
        <w:spacing w:after="0"/>
        <w:rPr>
          <w:noProof/>
          <w:lang w:val="fr-BE"/>
        </w:rPr>
      </w:pPr>
    </w:p>
    <w:p w14:paraId="78E720CA" w14:textId="77777777" w:rsidR="00507BFC" w:rsidRDefault="002A18B1" w:rsidP="00507BFC">
      <w:pPr>
        <w:spacing w:after="0"/>
        <w:rPr>
          <w:noProof/>
        </w:rPr>
      </w:pPr>
      <w:r>
        <w:rPr>
          <w:noProof/>
        </w:rPr>
        <w:t>L’Académie du nouveau Bauhaus européen:</w:t>
      </w:r>
    </w:p>
    <w:p w14:paraId="63F2DFC4" w14:textId="3E5C0D0B" w:rsidR="00507BFC" w:rsidRDefault="002A18B1" w:rsidP="00422BD3">
      <w:pPr>
        <w:pStyle w:val="ListParagraph"/>
        <w:numPr>
          <w:ilvl w:val="0"/>
          <w:numId w:val="48"/>
        </w:numPr>
        <w:spacing w:after="0"/>
        <w:jc w:val="both"/>
        <w:rPr>
          <w:noProof/>
        </w:rPr>
      </w:pPr>
      <w:r>
        <w:rPr>
          <w:noProof/>
        </w:rPr>
        <w:t xml:space="preserve">soutiendra </w:t>
      </w:r>
      <w:r>
        <w:rPr>
          <w:b/>
          <w:noProof/>
        </w:rPr>
        <w:t>la formation et le développement des compétences</w:t>
      </w:r>
      <w:r>
        <w:rPr>
          <w:noProof/>
        </w:rPr>
        <w:t xml:space="preserve"> pour la construction au moyen de matériaux biosourcés et de matériaux naturels; </w:t>
      </w:r>
    </w:p>
    <w:p w14:paraId="2CD3611D" w14:textId="6C6D267A" w:rsidR="003F1ADD" w:rsidRPr="00507BFC" w:rsidRDefault="00507BFC" w:rsidP="00422BD3">
      <w:pPr>
        <w:pStyle w:val="ListParagraph"/>
        <w:numPr>
          <w:ilvl w:val="0"/>
          <w:numId w:val="48"/>
        </w:numPr>
        <w:spacing w:after="0"/>
        <w:jc w:val="both"/>
        <w:rPr>
          <w:noProof/>
        </w:rPr>
      </w:pPr>
      <w:r>
        <w:rPr>
          <w:noProof/>
        </w:rPr>
        <w:t xml:space="preserve">apportera un </w:t>
      </w:r>
      <w:r>
        <w:rPr>
          <w:b/>
          <w:noProof/>
        </w:rPr>
        <w:t>soutien</w:t>
      </w:r>
      <w:r>
        <w:rPr>
          <w:noProof/>
        </w:rPr>
        <w:t xml:space="preserve"> ciblé </w:t>
      </w:r>
      <w:r>
        <w:rPr>
          <w:b/>
          <w:noProof/>
        </w:rPr>
        <w:t>aux PME et aux écosystèmes d’innovation</w:t>
      </w:r>
      <w:r>
        <w:rPr>
          <w:noProof/>
        </w:rPr>
        <w:t xml:space="preserve">; </w:t>
      </w:r>
    </w:p>
    <w:p w14:paraId="7B4F0311" w14:textId="59367868" w:rsidR="00766412" w:rsidRPr="00A42F45" w:rsidRDefault="00766412" w:rsidP="00422BD3">
      <w:pPr>
        <w:pStyle w:val="ListParagraph"/>
        <w:numPr>
          <w:ilvl w:val="0"/>
          <w:numId w:val="48"/>
        </w:numPr>
        <w:spacing w:after="0"/>
        <w:ind w:right="0"/>
        <w:jc w:val="both"/>
        <w:rPr>
          <w:noProof/>
        </w:rPr>
      </w:pPr>
      <w:r>
        <w:rPr>
          <w:noProof/>
        </w:rPr>
        <w:t xml:space="preserve">soutiendra </w:t>
      </w:r>
      <w:r>
        <w:rPr>
          <w:b/>
          <w:noProof/>
        </w:rPr>
        <w:t>la recherche et l’innovation</w:t>
      </w:r>
      <w:r>
        <w:rPr>
          <w:noProof/>
        </w:rPr>
        <w:t xml:space="preserve">. </w:t>
      </w:r>
    </w:p>
    <w:bookmarkEnd w:id="10"/>
    <w:p w14:paraId="36D6BBB1" w14:textId="77777777" w:rsidR="003F1ADD" w:rsidRDefault="003F1ADD" w:rsidP="00C66253">
      <w:pPr>
        <w:spacing w:after="0"/>
        <w:rPr>
          <w:b/>
          <w:bCs/>
          <w:noProof/>
          <w:u w:val="single"/>
        </w:rPr>
      </w:pPr>
    </w:p>
    <w:p w14:paraId="02C76007" w14:textId="407041EE" w:rsidR="009650AB" w:rsidRDefault="79039E87" w:rsidP="004F12DE">
      <w:pPr>
        <w:rPr>
          <w:noProof/>
        </w:rPr>
      </w:pPr>
      <w:r>
        <w:rPr>
          <w:b/>
          <w:noProof/>
          <w:u w:val="single"/>
        </w:rPr>
        <w:t>Engrais biosourcés et produits phytopharmaceutiques</w:t>
      </w:r>
      <w:r>
        <w:rPr>
          <w:b/>
          <w:noProof/>
        </w:rPr>
        <w:t xml:space="preserve">. </w:t>
      </w:r>
      <w:r>
        <w:rPr>
          <w:noProof/>
        </w:rPr>
        <w:t xml:space="preserve">Les engrais biosourcés comprennent les micro-organismes, les nutriments recyclés et les composés biosourcés qui améliorent la fertilité des sols et la disponibilité des nutriments. Les produits phytopharmaceutiques biosourcés comprennent les micro-organismes et les substances naturelles (telles que les extraits de plantes et d’autres substances biosourcées) qui contribuent à la gestion de la santé des végétaux. Les engrais biosourcés peuvent réduire la dépendance à l’égard des importations et l’empreinte carbone tout en transformant les résidus agricoles et les déchets organiques locaux en valeur économique. </w:t>
      </w:r>
    </w:p>
    <w:p w14:paraId="599850A2" w14:textId="77777777" w:rsidR="001F7458" w:rsidRPr="00223A81" w:rsidRDefault="001F7458"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szCs w:val="24"/>
        </w:rPr>
      </w:pPr>
      <w:r>
        <w:rPr>
          <w:i/>
          <w:noProof/>
        </w:rPr>
        <w:t xml:space="preserve">Avantages: </w:t>
      </w:r>
    </w:p>
    <w:p w14:paraId="4B4CB6FF" w14:textId="17CB6D82"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réduisent la dépendance</w:t>
      </w:r>
      <w:r>
        <w:rPr>
          <w:noProof/>
        </w:rPr>
        <w:t xml:space="preserve"> à l’égard des </w:t>
      </w:r>
      <w:r>
        <w:rPr>
          <w:b/>
          <w:noProof/>
        </w:rPr>
        <w:t>intrants synthétiques</w:t>
      </w:r>
      <w:r>
        <w:rPr>
          <w:noProof/>
        </w:rPr>
        <w:t xml:space="preserve">; </w:t>
      </w:r>
    </w:p>
    <w:p w14:paraId="6170B463" w14:textId="77777777"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soutiennent la </w:t>
      </w:r>
      <w:r>
        <w:rPr>
          <w:b/>
          <w:noProof/>
        </w:rPr>
        <w:t>fonction des sols</w:t>
      </w:r>
      <w:r>
        <w:rPr>
          <w:noProof/>
        </w:rPr>
        <w:t xml:space="preserve"> et favorisent l’</w:t>
      </w:r>
      <w:r>
        <w:rPr>
          <w:b/>
          <w:noProof/>
        </w:rPr>
        <w:t>utilisation efficace des ressources</w:t>
      </w:r>
      <w:r>
        <w:rPr>
          <w:noProof/>
        </w:rPr>
        <w:t xml:space="preserve">; </w:t>
      </w:r>
    </w:p>
    <w:p w14:paraId="18C7E444" w14:textId="7234C527"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permettent des </w:t>
      </w:r>
      <w:r>
        <w:rPr>
          <w:b/>
          <w:noProof/>
        </w:rPr>
        <w:t>chaînes de valeur circulaires</w:t>
      </w:r>
      <w:r>
        <w:rPr>
          <w:noProof/>
        </w:rPr>
        <w:t xml:space="preserve"> en utilisant des sous-produits agricoles et de transformation; </w:t>
      </w:r>
    </w:p>
    <w:p w14:paraId="7873D813" w14:textId="33309C10"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réduisent la dépendance à l’égard des importations</w:t>
      </w:r>
      <w:r>
        <w:rPr>
          <w:noProof/>
        </w:rPr>
        <w:t xml:space="preserve"> d’intrants agricoles essentiels; et </w:t>
      </w:r>
    </w:p>
    <w:p w14:paraId="79579752" w14:textId="00848F23" w:rsidR="004F12DE"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fournissent des </w:t>
      </w:r>
      <w:r>
        <w:rPr>
          <w:b/>
          <w:noProof/>
        </w:rPr>
        <w:t>solutions pratiques et adaptables pour les exploitations</w:t>
      </w:r>
      <w:r>
        <w:rPr>
          <w:noProof/>
        </w:rPr>
        <w:t xml:space="preserve"> de différentes tailles.</w:t>
      </w:r>
    </w:p>
    <w:p w14:paraId="336636A9" w14:textId="77777777" w:rsidR="006E08C9" w:rsidRPr="00D01D7F" w:rsidRDefault="006E08C9" w:rsidP="004F12DE">
      <w:pPr>
        <w:spacing w:after="0"/>
        <w:rPr>
          <w:noProof/>
          <w:lang w:val="fr-BE"/>
        </w:rPr>
      </w:pPr>
    </w:p>
    <w:p w14:paraId="79E6A79D" w14:textId="2ECE8618" w:rsidR="002E5CFF" w:rsidRPr="004F12DE" w:rsidRDefault="003F1ADD" w:rsidP="00CA3F9A">
      <w:pPr>
        <w:rPr>
          <w:i/>
          <w:iCs/>
          <w:noProof/>
        </w:rPr>
      </w:pPr>
      <w:r>
        <w:rPr>
          <w:i/>
          <w:noProof/>
        </w:rPr>
        <w:t>Mesures de soutien à la demande et à l’investissement</w:t>
      </w:r>
    </w:p>
    <w:p w14:paraId="35183B81" w14:textId="361EC4C0" w:rsidR="00940E2E" w:rsidRDefault="00455AFF" w:rsidP="00CA3F9A">
      <w:pPr>
        <w:spacing w:after="0"/>
        <w:rPr>
          <w:noProof/>
        </w:rPr>
      </w:pPr>
      <w:r>
        <w:rPr>
          <w:noProof/>
        </w:rPr>
        <w:t xml:space="preserve">Grâce à des processus d’autorisation plus clairs et à une meilleure visibilité du marché, l’adoption par le marché pourrait s’accroître considérablement d’ici à 2040. </w:t>
      </w:r>
    </w:p>
    <w:p w14:paraId="61532A86" w14:textId="77777777" w:rsidR="003C2BF8" w:rsidRPr="00D01D7F" w:rsidRDefault="003C2BF8" w:rsidP="00C66253">
      <w:pPr>
        <w:spacing w:after="0"/>
        <w:rPr>
          <w:noProof/>
          <w:lang w:val="fr-BE"/>
        </w:rPr>
      </w:pPr>
    </w:p>
    <w:p w14:paraId="51077762" w14:textId="1543B755" w:rsidR="00031C8A" w:rsidRPr="00031C8A" w:rsidDel="00D00BA1" w:rsidRDefault="003C2BF8" w:rsidP="00984BBC">
      <w:pPr>
        <w:spacing w:after="0"/>
        <w:rPr>
          <w:noProof/>
        </w:rPr>
      </w:pPr>
      <w:r>
        <w:rPr>
          <w:noProof/>
        </w:rPr>
        <w:t xml:space="preserve">Le </w:t>
      </w:r>
      <w:r>
        <w:rPr>
          <w:b/>
          <w:noProof/>
        </w:rPr>
        <w:t>train de mesures omnibus sur la simplification pour les substances chimiques</w:t>
      </w:r>
      <w:r>
        <w:rPr>
          <w:noProof/>
        </w:rPr>
        <w:t xml:space="preserve"> rationalisera les procédures d’évaluation de certains micro-organismes présents dans les fertilisants. En outre, dans le prochain train de mesures sur la simplification pour la sécurité des denrées alimentaires et des aliments pour animaux, la Commission proposera des mesures en vue d’accélérer l’accès au marché pour les biopesticides. </w:t>
      </w:r>
    </w:p>
    <w:p w14:paraId="7DC64AA7" w14:textId="77777777" w:rsidR="003F29A7" w:rsidRPr="00D01D7F" w:rsidRDefault="003F29A7" w:rsidP="00422BD3">
      <w:pPr>
        <w:spacing w:after="0"/>
        <w:rPr>
          <w:noProof/>
          <w:lang w:val="fr-BE"/>
        </w:rPr>
      </w:pPr>
    </w:p>
    <w:p w14:paraId="3086FD79" w14:textId="4B62E665" w:rsidR="002E5CFF" w:rsidRPr="00E57C55" w:rsidRDefault="00951300" w:rsidP="00C66253">
      <w:pPr>
        <w:spacing w:after="0"/>
        <w:rPr>
          <w:noProof/>
        </w:rPr>
      </w:pPr>
      <w:r>
        <w:rPr>
          <w:noProof/>
        </w:rPr>
        <w:t xml:space="preserve">Lors de l’évaluation du </w:t>
      </w:r>
      <w:r>
        <w:rPr>
          <w:b/>
          <w:noProof/>
        </w:rPr>
        <w:t>règlement sur les fertilisants</w:t>
      </w:r>
      <w:r>
        <w:rPr>
          <w:noProof/>
        </w:rPr>
        <w:t xml:space="preserve"> (prévue pour juillet 2026), la Commission examinera si le règlement atteint son objectif, qui est de promouvoir l’utilisation de matières organiques et de matières valorisées. Sur la base de cette évaluation, la Commission pourrait proposer des mesures ciblées (par exemple, des orientations spécifiques, des plateformes de données communes ou des évaluations rationalisées des risques pour les souches microbiennes).</w:t>
      </w:r>
    </w:p>
    <w:p w14:paraId="178DAB5E" w14:textId="77777777" w:rsidR="001D7577" w:rsidRPr="00D01D7F" w:rsidRDefault="001D7577" w:rsidP="00C66253">
      <w:pPr>
        <w:pStyle w:val="ListParagraph"/>
        <w:spacing w:after="0" w:line="240" w:lineRule="auto"/>
        <w:ind w:left="720" w:right="0" w:firstLine="0"/>
        <w:jc w:val="both"/>
        <w:rPr>
          <w:noProof/>
          <w:lang w:val="fr-BE"/>
        </w:rPr>
      </w:pPr>
    </w:p>
    <w:p w14:paraId="771AB8A9" w14:textId="3E4BDC3E" w:rsidR="001D7577" w:rsidRDefault="002E5CFF">
      <w:pPr>
        <w:spacing w:after="0"/>
        <w:rPr>
          <w:noProof/>
        </w:rPr>
      </w:pPr>
      <w:r>
        <w:rPr>
          <w:noProof/>
        </w:rPr>
        <w:t xml:space="preserve">Par l’intermédiaire du </w:t>
      </w:r>
      <w:r>
        <w:rPr>
          <w:b/>
          <w:noProof/>
        </w:rPr>
        <w:t>réseau de la PAC de l’UE</w:t>
      </w:r>
      <w:r>
        <w:rPr>
          <w:noProof/>
        </w:rPr>
        <w:t xml:space="preserve">, la Commission favorisera les échanges de connaissances et l’utilisation circulaire des nutriments, et renforcera </w:t>
      </w:r>
      <w:r>
        <w:rPr>
          <w:b/>
          <w:noProof/>
        </w:rPr>
        <w:t>les connaissances et l’adoption dans la pratique</w:t>
      </w:r>
      <w:r>
        <w:rPr>
          <w:noProof/>
        </w:rPr>
        <w:t xml:space="preserve"> par les agriculteurs et les conseillers. En outre, l’acte délégué relatif à l’azote récupéré à partir d’effluents d’élevage (</w:t>
      </w:r>
      <w:r>
        <w:rPr>
          <w:b/>
          <w:noProof/>
        </w:rPr>
        <w:t>RENURE</w:t>
      </w:r>
      <w:r>
        <w:rPr>
          <w:noProof/>
        </w:rPr>
        <w:t xml:space="preserve">) offre la possibilité d’utiliser du </w:t>
      </w:r>
      <w:r>
        <w:rPr>
          <w:b/>
          <w:noProof/>
        </w:rPr>
        <w:t>lisier transformé</w:t>
      </w:r>
      <w:r>
        <w:rPr>
          <w:noProof/>
        </w:rPr>
        <w:t xml:space="preserve"> dans des conditions définies.</w:t>
      </w:r>
    </w:p>
    <w:p w14:paraId="5B7ED79E" w14:textId="77777777" w:rsidR="000B3EC4" w:rsidRDefault="000B3EC4" w:rsidP="00B61004">
      <w:pPr>
        <w:spacing w:after="120"/>
        <w:rPr>
          <w:i/>
          <w:iCs/>
          <w:noProof/>
          <w:szCs w:val="24"/>
        </w:rPr>
      </w:pPr>
    </w:p>
    <w:p w14:paraId="4B305701" w14:textId="29D9764B" w:rsidR="009650AB" w:rsidRPr="006E08C9" w:rsidRDefault="00766412" w:rsidP="00B61004">
      <w:pPr>
        <w:spacing w:after="120"/>
        <w:rPr>
          <w:noProof/>
          <w:szCs w:val="24"/>
        </w:rPr>
      </w:pPr>
      <w:r>
        <w:rPr>
          <w:b/>
          <w:noProof/>
        </w:rPr>
        <w:t xml:space="preserve">2.4 </w:t>
      </w:r>
      <w:r>
        <w:rPr>
          <w:noProof/>
        </w:rPr>
        <w:tab/>
      </w:r>
      <w:r>
        <w:rPr>
          <w:b/>
          <w:noProof/>
        </w:rPr>
        <w:t>Marchés pilotes pour les technologies</w:t>
      </w:r>
      <w:r>
        <w:rPr>
          <w:noProof/>
        </w:rPr>
        <w:t xml:space="preserve"> </w:t>
      </w:r>
    </w:p>
    <w:p w14:paraId="1886AA0B" w14:textId="4F94E64A" w:rsidR="005D5549" w:rsidRDefault="00441D50" w:rsidP="00B61004">
      <w:pPr>
        <w:spacing w:after="120"/>
        <w:rPr>
          <w:noProof/>
        </w:rPr>
      </w:pPr>
      <w:r>
        <w:rPr>
          <w:noProof/>
        </w:rPr>
        <w:t>Les biotechnologies sont essentielles à l’expansion de la bioéconomie et à l’élargissement de la base industrielle de l’Europe. Elles permettent la conversion de la biomasse primaire et secondaire en matériaux, produits chimiques, combustibles et autres applications à forte valeur ajoutée.</w:t>
      </w:r>
    </w:p>
    <w:p w14:paraId="72F41804" w14:textId="7F4D0A5D" w:rsidR="00335A96" w:rsidRPr="003F29A7" w:rsidRDefault="0CF35CE9" w:rsidP="00C66253">
      <w:pPr>
        <w:spacing w:line="259" w:lineRule="auto"/>
        <w:rPr>
          <w:noProof/>
        </w:rPr>
      </w:pPr>
      <w:r>
        <w:rPr>
          <w:noProof/>
        </w:rPr>
        <w:t xml:space="preserve">Les </w:t>
      </w:r>
      <w:r>
        <w:rPr>
          <w:b/>
          <w:noProof/>
        </w:rPr>
        <w:t>bioraffineries</w:t>
      </w:r>
      <w:r>
        <w:rPr>
          <w:noProof/>
        </w:rPr>
        <w:t xml:space="preserve"> transforment la biomasse (y compris la biomasse ligneuse, les résidus agricoles, les biodéchets et les flux secondaires de transformation) en une série de produits tels que des ingrédients alimentaires, aliments pour animaux, biocarburants, produits biochimiques et biomatériaux</w:t>
      </w:r>
      <w:r>
        <w:rPr>
          <w:noProof/>
          <w:vertAlign w:val="superscript"/>
        </w:rPr>
        <w:footnoteReference w:id="36"/>
      </w:r>
      <w:r>
        <w:rPr>
          <w:noProof/>
        </w:rPr>
        <w:t xml:space="preserve">. Elles peuvent également produire des solutions de substitution aux matières premières critiques, telles que des anodes biosourcées utilisées dans les batteries. Elles nécessitent souvent d’importants investissements en capital ainsi qu’une planification coordonnée des matières premières et des infrastructures. Le renforcement de la symbiose industrielle permettrait d’optimiser l’utilisation des matières premières dans tous les secteurs, de stabiliser l’approvisionnement en intrants, de réduire les déchets et les coûts de production, et de soutenir les pôles industriels. </w:t>
      </w:r>
    </w:p>
    <w:p w14:paraId="1C22F5F2" w14:textId="4F617503" w:rsidR="009F4042" w:rsidRDefault="009F4042" w:rsidP="009F4042">
      <w:pPr>
        <w:spacing w:after="0"/>
        <w:rPr>
          <w:noProof/>
        </w:rPr>
      </w:pPr>
      <w:r>
        <w:rPr>
          <w:noProof/>
        </w:rPr>
        <w:t xml:space="preserve">La </w:t>
      </w:r>
      <w:r>
        <w:rPr>
          <w:b/>
          <w:noProof/>
        </w:rPr>
        <w:t>fermentation avancée</w:t>
      </w:r>
      <w:r>
        <w:rPr>
          <w:noProof/>
        </w:rPr>
        <w:t xml:space="preserve"> utilise des micro-organismes innovants et à haute performance pour transformer des sources de carbone telles que les résidus de sucre et d’autres biomasses secondaires en composés de grande valeur. </w:t>
      </w:r>
    </w:p>
    <w:p w14:paraId="3BBC4354" w14:textId="77777777" w:rsidR="00603055" w:rsidRDefault="00603055" w:rsidP="00F728F9">
      <w:pPr>
        <w:spacing w:after="0"/>
        <w:rPr>
          <w:noProof/>
        </w:rPr>
      </w:pPr>
    </w:p>
    <w:p w14:paraId="450FC50D" w14:textId="76633292" w:rsidR="00611972" w:rsidRPr="00611972" w:rsidRDefault="00611972" w:rsidP="00F728F9">
      <w:pPr>
        <w:spacing w:after="0"/>
        <w:rPr>
          <w:noProof/>
        </w:rPr>
      </w:pPr>
      <w:r>
        <w:rPr>
          <w:noProof/>
        </w:rPr>
        <w:t xml:space="preserve">Le développement du </w:t>
      </w:r>
      <w:r>
        <w:rPr>
          <w:b/>
          <w:noProof/>
        </w:rPr>
        <w:t>stockage permanent du carbone biogénique</w:t>
      </w:r>
      <w:r>
        <w:rPr>
          <w:noProof/>
        </w:rPr>
        <w:t xml:space="preserve"> peut contribuer au leadership européen dans le domaine des technologies industrielles «zéro net», compléter la chaîne de valeur des matériaux biosourcés par le stockage du carbone à long terme, et fournir le CO</w:t>
      </w:r>
      <w:r>
        <w:rPr>
          <w:noProof/>
          <w:vertAlign w:val="subscript"/>
        </w:rPr>
        <w:t>2</w:t>
      </w:r>
      <w:r>
        <w:rPr>
          <w:noProof/>
        </w:rPr>
        <w:t xml:space="preserve"> utilisé comme matière première dans des processus industriels dans lesquels le carbone est nécessaire. </w:t>
      </w:r>
    </w:p>
    <w:p w14:paraId="2BBBBABF" w14:textId="77777777" w:rsidR="00F065AE" w:rsidRPr="00D01D7F" w:rsidRDefault="00F065AE" w:rsidP="009E1697">
      <w:pPr>
        <w:tabs>
          <w:tab w:val="num" w:pos="360"/>
        </w:tabs>
        <w:spacing w:after="0"/>
        <w:jc w:val="left"/>
        <w:rPr>
          <w:i/>
          <w:iCs/>
          <w:noProof/>
          <w:lang w:val="fr-BE"/>
        </w:rPr>
      </w:pPr>
    </w:p>
    <w:p w14:paraId="09076A28" w14:textId="2395D6CE" w:rsidR="00611972" w:rsidRDefault="003635E0" w:rsidP="009E1697">
      <w:pPr>
        <w:tabs>
          <w:tab w:val="num" w:pos="360"/>
        </w:tabs>
        <w:spacing w:after="0"/>
        <w:jc w:val="left"/>
        <w:rPr>
          <w:i/>
          <w:iCs/>
          <w:noProof/>
        </w:rPr>
      </w:pPr>
      <w:r>
        <w:rPr>
          <w:i/>
          <w:noProof/>
        </w:rPr>
        <w:t>Mesures de soutien à la demande et à l’investissement</w:t>
      </w:r>
    </w:p>
    <w:p w14:paraId="20217E53" w14:textId="77777777" w:rsidR="004D11A2" w:rsidRPr="00D01D7F" w:rsidRDefault="004D11A2" w:rsidP="009E1697">
      <w:pPr>
        <w:tabs>
          <w:tab w:val="num" w:pos="360"/>
        </w:tabs>
        <w:spacing w:after="0"/>
        <w:jc w:val="left"/>
        <w:rPr>
          <w:i/>
          <w:iCs/>
          <w:noProof/>
          <w:lang w:val="fr-BE"/>
        </w:rPr>
      </w:pPr>
    </w:p>
    <w:p w14:paraId="75E55398" w14:textId="77777777" w:rsidR="00F065AE" w:rsidRDefault="7A2426E2" w:rsidP="00F065AE">
      <w:pPr>
        <w:spacing w:after="0"/>
        <w:rPr>
          <w:noProof/>
          <w:szCs w:val="24"/>
        </w:rPr>
      </w:pPr>
      <w:r>
        <w:rPr>
          <w:noProof/>
        </w:rPr>
        <w:t>La Commission et le groupe BEI continueront d’utiliser des instruments de financement mixte pour accélérer le développement de bioraffineries pionnières, et renforceront les approches de réduction des risques afin d’attirer davantage de capitaux privés. Afin de favoriser l’émergence de pôles régionaux solides, la Commission facilitera le développement de vallées de symbiose industrielle qui coordonnent la planification des matières premières, des infrastructures et des investissements au niveau territorial.</w:t>
      </w:r>
    </w:p>
    <w:p w14:paraId="689E917F" w14:textId="77777777" w:rsidR="00F065AE" w:rsidRPr="00D01D7F" w:rsidRDefault="00F065AE" w:rsidP="00F065AE">
      <w:pPr>
        <w:spacing w:after="0"/>
        <w:rPr>
          <w:noProof/>
          <w:szCs w:val="24"/>
          <w:lang w:val="fr-BE"/>
        </w:rPr>
      </w:pPr>
    </w:p>
    <w:p w14:paraId="4EE4C34F" w14:textId="50AC1D1A" w:rsidR="7A2426E2" w:rsidRDefault="7A2426E2" w:rsidP="00F065AE">
      <w:pPr>
        <w:spacing w:after="0"/>
        <w:rPr>
          <w:noProof/>
          <w:szCs w:val="24"/>
        </w:rPr>
      </w:pPr>
      <w:r>
        <w:rPr>
          <w:noProof/>
        </w:rPr>
        <w:t>Par ailleurs, pour aider les entreprises utilisant la fermentation à se développer, elle améliorera l’accès des PME et des entreprises en expansion aux infrastructures pilotes et de démonstration, et renforcera la coordination des processus d’autorisation, le cas échéant.</w:t>
      </w:r>
    </w:p>
    <w:p w14:paraId="1A65A8B2" w14:textId="77777777" w:rsidR="00F065AE" w:rsidRPr="00D01D7F" w:rsidRDefault="00F065AE" w:rsidP="00F065AE">
      <w:pPr>
        <w:spacing w:after="0"/>
        <w:rPr>
          <w:noProof/>
          <w:szCs w:val="24"/>
          <w:lang w:val="fr-BE"/>
        </w:rPr>
      </w:pPr>
    </w:p>
    <w:p w14:paraId="02CB2893" w14:textId="135853C1" w:rsidR="7A2426E2" w:rsidRDefault="7A2426E2" w:rsidP="00F065AE">
      <w:pPr>
        <w:spacing w:after="0"/>
        <w:rPr>
          <w:noProof/>
          <w:szCs w:val="24"/>
        </w:rPr>
      </w:pPr>
      <w:r>
        <w:rPr>
          <w:noProof/>
        </w:rPr>
        <w:t>En ce qui concerne le captage, l’utilisation et le stockage du carbone biogénique, le réexamen du SEQE de l’UE explorera les différentes possibilités pour reconnaître les absorptions permanentes de carbone biogénique certifiées au titre du CRCF, tandis que le Fonds pour l’innovation continuera de soutenir les projets modulables de bioénergie avec captage, utilisation et stockage du carbone.</w:t>
      </w:r>
    </w:p>
    <w:p w14:paraId="67F88ED6" w14:textId="53043E73" w:rsidR="000827BC" w:rsidRPr="00D01D7F" w:rsidRDefault="000827BC" w:rsidP="00F728F9">
      <w:pPr>
        <w:spacing w:after="0"/>
        <w:ind w:left="714"/>
        <w:rPr>
          <w:noProof/>
          <w:lang w:val="fr-BE"/>
        </w:rPr>
      </w:pPr>
    </w:p>
    <w:p w14:paraId="79BF746F" w14:textId="4FCA1744" w:rsidR="009650AB" w:rsidRPr="00CE41EF" w:rsidRDefault="00C63058" w:rsidP="00734F2B">
      <w:pPr>
        <w:pStyle w:val="Heading1"/>
        <w:rPr>
          <w:noProof/>
        </w:rPr>
      </w:pPr>
      <w:r>
        <w:rPr>
          <w:noProof/>
        </w:rPr>
        <w:t>Garantir des perspectives à long terme pour la bioéconomie: biomasse issue de sources durables</w:t>
      </w:r>
    </w:p>
    <w:p w14:paraId="40E2C4CE" w14:textId="3C0233F0" w:rsidR="009650AB" w:rsidRPr="00CE41EF" w:rsidRDefault="5D36B4A6" w:rsidP="043AE53C">
      <w:pPr>
        <w:rPr>
          <w:noProof/>
        </w:rPr>
      </w:pPr>
      <w:r>
        <w:rPr>
          <w:noProof/>
        </w:rPr>
        <w:t>L’UE est largement autosuffisante en matière d’approvisionnement en biomasse (environ 90 %)</w:t>
      </w:r>
      <w:r>
        <w:rPr>
          <w:noProof/>
          <w:vertAlign w:val="superscript"/>
          <w:lang w:val="en-IE"/>
        </w:rPr>
        <w:footnoteReference w:id="37"/>
      </w:r>
      <w:r>
        <w:rPr>
          <w:noProof/>
        </w:rPr>
        <w:t xml:space="preserve">. Elle a les moyens de le rester, à condition que des mesures cohérentes à long terme soient mises en œuvre pour maintenir la capacité de production, la santé des écosystèmes et la résilience des ressources au fil du temps. </w:t>
      </w:r>
    </w:p>
    <w:p w14:paraId="56A4DDB0" w14:textId="2F6F0EF7" w:rsidR="04B3C887" w:rsidRPr="00CE41EF" w:rsidRDefault="078847DD" w:rsidP="0EA7BCB7">
      <w:pPr>
        <w:pStyle w:val="Heading2"/>
        <w:rPr>
          <w:noProof/>
        </w:rPr>
      </w:pPr>
      <w:r>
        <w:rPr>
          <w:noProof/>
        </w:rPr>
        <w:t xml:space="preserve">Réduire les besoins en biomasse primaire: recours à des matières premières secondaires et à la circularité </w:t>
      </w:r>
    </w:p>
    <w:p w14:paraId="2A99B8EC" w14:textId="0B758087" w:rsidR="00E75EE1" w:rsidRDefault="28BA09C4" w:rsidP="00832FD8">
      <w:pPr>
        <w:rPr>
          <w:noProof/>
        </w:rPr>
      </w:pPr>
      <w:r>
        <w:rPr>
          <w:noProof/>
        </w:rPr>
        <w:t>La circularité doit devenir un principe fondamental de la bioéconomie européenne. En maintenant l’utilisation productive des matériaux plus longtemps et en faisant un meilleur usage des résidus et des sous-produits, l’UE peut favoriser l’utilisation efficace des ressources et réduire la pression sur les systèmes de production primaire. Avec un taux de circularité de 11,8 % depuis 2015</w:t>
      </w:r>
      <w:r>
        <w:rPr>
          <w:noProof/>
          <w:vertAlign w:val="superscript"/>
        </w:rPr>
        <w:footnoteReference w:id="38"/>
      </w:r>
      <w:r>
        <w:rPr>
          <w:noProof/>
        </w:rPr>
        <w:t xml:space="preserve">, une utilisation accrue des flux de biomasse secondaire pourrait permettre de mettre en œuvre de nouveaux modèles économiques circulaires. </w:t>
      </w:r>
      <w:r>
        <w:rPr>
          <w:b/>
          <w:noProof/>
        </w:rPr>
        <w:t>La circularité de la bioéconomie commence au niveau local</w:t>
      </w:r>
      <w:r>
        <w:rPr>
          <w:noProof/>
        </w:rPr>
        <w:t xml:space="preserve">. Lorsque les sous-produits et les résidus sont transformés en nouvelles ressources, ils créent de la valeur à proximité de leur lieu de production et aident les communautés locales à devenir plus autonomes. De nombreuses régions montrent déjà comment les entreprises et les industries, y compris les PME et les producteurs primaires, transforment les déchets en matières premières, en chaleur ou en engrais. Il est toutefois essentiel que </w:t>
      </w:r>
      <w:r>
        <w:rPr>
          <w:b/>
          <w:noProof/>
        </w:rPr>
        <w:t>le marché unique de l’UE pour la biomasse secondaire</w:t>
      </w:r>
      <w:r>
        <w:rPr>
          <w:noProof/>
          <w:vertAlign w:val="superscript"/>
        </w:rPr>
        <w:footnoteReference w:id="39"/>
      </w:r>
      <w:r>
        <w:rPr>
          <w:b/>
          <w:noProof/>
        </w:rPr>
        <w:t xml:space="preserve"> fonctionne correctement</w:t>
      </w:r>
      <w:r>
        <w:rPr>
          <w:noProof/>
        </w:rPr>
        <w:t>. Des signaux de marché plus clairs et une capacité de transformation plus solide peuvent améliorer la compétitivité des flux secondaires. Les mesures relatives aux marchés pilotes que la Commission adoptera dans le cadre du règlement sur l’écoconception pour des produits durables (REPD) en ce qui concerne les textiles et l’ameublement (voir section 2) fixeront également des exigences en matière de performance et d’information en vue d’</w:t>
      </w:r>
      <w:r>
        <w:rPr>
          <w:b/>
          <w:noProof/>
        </w:rPr>
        <w:t>accroître la longévité, la possibilité de réutilisation et la recyclabilité</w:t>
      </w:r>
      <w:r>
        <w:rPr>
          <w:noProof/>
        </w:rPr>
        <w:t>, notamment pour les produits fabriqués à partir de ressources biologiques. Une approche similaire sera adoptée en ce qui concerne le label écologique de l’UE.</w:t>
      </w:r>
    </w:p>
    <w:p w14:paraId="78A9FB84" w14:textId="16EB67CB" w:rsidR="009F4042" w:rsidRDefault="009F4042" w:rsidP="009F4042">
      <w:pPr>
        <w:rPr>
          <w:noProof/>
        </w:rPr>
      </w:pPr>
      <w:r>
        <w:rPr>
          <w:b/>
          <w:noProof/>
        </w:rPr>
        <w:t>Les biodéchets restent sous-utilisés</w:t>
      </w:r>
      <w:r>
        <w:rPr>
          <w:noProof/>
        </w:rPr>
        <w:t>. La Commission encouragera leur collecte et leur valorisation, notamment par le futur acte législatif sur l’économie circulaire, la production de biogaz et de biométhane et l’utilisation du digestat comme engrais biosourcé, au moyen d’un accord tripartite. Le cas échéant, le captage et l’utilisation du CO</w:t>
      </w:r>
      <w:r>
        <w:rPr>
          <w:noProof/>
          <w:vertAlign w:val="subscript"/>
        </w:rPr>
        <w:t>2</w:t>
      </w:r>
      <w:r>
        <w:rPr>
          <w:noProof/>
        </w:rPr>
        <w:t xml:space="preserve"> biogénique seront encouragés afin d’améliorer l’utilisation efficace des ressources.  </w:t>
      </w:r>
    </w:p>
    <w:p w14:paraId="2187496A" w14:textId="04944EBC" w:rsidR="003F2A44" w:rsidRDefault="004B16F9" w:rsidP="00422BD3">
      <w:pPr>
        <w:rPr>
          <w:noProof/>
        </w:rPr>
      </w:pPr>
      <w:r>
        <w:rPr>
          <w:b/>
          <w:noProof/>
        </w:rPr>
        <w:t xml:space="preserve">Il est essentiel de clore le cycle des nutriments pour assurer la résilience environnementale et économique. </w:t>
      </w:r>
      <w:r>
        <w:rPr>
          <w:noProof/>
        </w:rPr>
        <w:t>L’utilisation circulaire des effluents d’élevage, notamment dans le cadre de RENURE, peut réduire la dépendance à l’égard des engrais de synthèse. La Commission encouragera l’efficacité de l’azote dans les systèmes de bioéconomie et œuvrera à la réalisation d’objectifs minimaux en matière de recyclage et de réutilisation du phosphore récupéré dans les eaux usées et les boues.</w:t>
      </w:r>
    </w:p>
    <w:p w14:paraId="4A75DCE1" w14:textId="77777777" w:rsidR="003F2A44" w:rsidRPr="00D01D7F" w:rsidRDefault="003F2A44" w:rsidP="00422BD3">
      <w:pPr>
        <w:spacing w:after="0"/>
        <w:rPr>
          <w:noProof/>
          <w:lang w:val="fr-BE"/>
        </w:rPr>
      </w:pPr>
    </w:p>
    <w:p w14:paraId="63C61ADC" w14:textId="56BFE822" w:rsidR="003D4E1F" w:rsidRDefault="30C98824" w:rsidP="003D4E1F">
      <w:pPr>
        <w:pStyle w:val="Heading2"/>
        <w:rPr>
          <w:noProof/>
          <w:szCs w:val="24"/>
        </w:rPr>
      </w:pPr>
      <w:r>
        <w:rPr>
          <w:noProof/>
        </w:rPr>
        <w:t>Vers des écosystèmes et des chaînes de valeur résilients et durables</w:t>
      </w:r>
    </w:p>
    <w:p w14:paraId="1F43D314" w14:textId="0A1A9C1D" w:rsidR="0069105A" w:rsidRPr="0069105A" w:rsidRDefault="0069105A" w:rsidP="0069105A">
      <w:pPr>
        <w:spacing w:beforeAutospacing="1" w:afterAutospacing="1"/>
        <w:rPr>
          <w:noProof/>
        </w:rPr>
      </w:pPr>
      <w:r>
        <w:rPr>
          <w:b/>
          <w:noProof/>
        </w:rPr>
        <w:t>La solidité de la bioéconomie européenne dépend de la santé et de la résilience de son environnement naturel</w:t>
      </w:r>
      <w:r>
        <w:rPr>
          <w:noProof/>
        </w:rPr>
        <w:t xml:space="preserve">. </w:t>
      </w:r>
    </w:p>
    <w:p w14:paraId="7405CA95" w14:textId="56485282" w:rsidR="00133EF5" w:rsidRPr="004B16F9" w:rsidRDefault="0069105A" w:rsidP="003A6C62">
      <w:pPr>
        <w:spacing w:beforeAutospacing="1" w:afterAutospacing="1"/>
        <w:rPr>
          <w:noProof/>
        </w:rPr>
      </w:pPr>
      <w:r>
        <w:rPr>
          <w:noProof/>
        </w:rPr>
        <w:t xml:space="preserve">Comprendre quelle quantité de biomasse nous pouvons produire et extraire tout en restaurant les écosystèmes et en maintenant un puits de carbone terrestre résilient permettra que la croissance respecte les limites de notre planète et tienne compte des objectifs du règlement UTCATF. La Commission continuera de s’appuyer sur les données scientifiques, l’expérience pratique et le dialogue avec les producteurs et les communautés pour assurer un équilibre entre la production, la restauration et la protection. Il est nécessaire d’acquérir une connaissance plus précise du potentiel de la biomasse durable. La Commission renforcera donc la modélisation et les données par l’intermédiaire du </w:t>
      </w:r>
      <w:r>
        <w:rPr>
          <w:b/>
          <w:noProof/>
        </w:rPr>
        <w:t>centre de connaissances sur la bioéconomie</w:t>
      </w:r>
      <w:r>
        <w:rPr>
          <w:noProof/>
        </w:rPr>
        <w:t xml:space="preserve"> et utilisera ces données pour </w:t>
      </w:r>
      <w:r>
        <w:rPr>
          <w:b/>
          <w:noProof/>
        </w:rPr>
        <w:t>orienter les mesures du côté de la demande</w:t>
      </w:r>
      <w:r>
        <w:rPr>
          <w:noProof/>
        </w:rPr>
        <w:t>.</w:t>
      </w:r>
    </w:p>
    <w:p w14:paraId="0DF2EED6" w14:textId="52165F3F" w:rsidR="006E08C9" w:rsidRPr="00C170DC" w:rsidRDefault="0069105A" w:rsidP="00797951">
      <w:pPr>
        <w:spacing w:beforeAutospacing="1" w:afterAutospacing="1"/>
        <w:rPr>
          <w:noProof/>
        </w:rPr>
      </w:pPr>
      <w:r>
        <w:rPr>
          <w:noProof/>
        </w:rPr>
        <w:t xml:space="preserve">De nombreuses régions combinent déjà l’exploitation économique et la préservation de l’environnement: réhumidification des terres drainées, réduction des risques d’incendie ou transformation du bois de moindre valeur en nouveaux produits. Le partage de ces expériences par-delà les frontières permet à chacun d’apprendre plus rapidement. Étant donné que de nombreux secteurs utilisent des matières premières communes, la Commission </w:t>
      </w:r>
      <w:r>
        <w:rPr>
          <w:b/>
          <w:noProof/>
        </w:rPr>
        <w:t>réunira les producteurs, les transformateurs et les utilisateurs industriels pour discuter des perspectives d’approvisionnement, notamment en ce qui concerne les cultures flexibles à double usage</w:t>
      </w:r>
      <w:r>
        <w:rPr>
          <w:noProof/>
        </w:rPr>
        <w:t xml:space="preserve">, et facilitera le développement à plus grande échelle d’approches combinant production et restauration, notamment la paludiculture dans les zones humides ou la valorisation du bois de moindre valeur en vue de créer de nouvelles sources de revenus et de prévenir les incendies de forêt. La Commission établira également un consensus par des approches volontaires et ascendantes, notamment un système volontaire d’évaluation comparative pour évaluer la durabilité dans les exploitations et une coopération avec les États membres et les partenaires tels que Forest Europe, la FAO et le FIDA afin de renforcer la gestion durable des forêts d’une manière qui tienne compte de la diversité régionale et des pratiques traditionnelles. La recherche de consensus sera étayée par une </w:t>
      </w:r>
      <w:r>
        <w:rPr>
          <w:b/>
          <w:noProof/>
        </w:rPr>
        <w:t>coopération continue avec les États membres, les chercheurs et les parties prenantes</w:t>
      </w:r>
      <w:r>
        <w:rPr>
          <w:noProof/>
        </w:rPr>
        <w:t xml:space="preserve">, notamment dans le cadre du processus paneuropéen </w:t>
      </w:r>
      <w:r>
        <w:rPr>
          <w:b/>
          <w:noProof/>
        </w:rPr>
        <w:t>Forest Europe</w:t>
      </w:r>
      <w:r>
        <w:rPr>
          <w:noProof/>
        </w:rPr>
        <w:t xml:space="preserve">. La bioéconomie s’appuiera également sur la </w:t>
      </w:r>
      <w:r>
        <w:rPr>
          <w:b/>
          <w:noProof/>
        </w:rPr>
        <w:t>prospective</w:t>
      </w:r>
      <w:r>
        <w:rPr>
          <w:noProof/>
        </w:rPr>
        <w:t xml:space="preserve">. L’amélioration du suivi, l’anticipation des risques climatiques et de marché, et la préparation à l’adaptation contribueront au maintien de la stabilité des chaînes de valeur européennes, même en période d’incertitude. Afin de renforcer la résilience, la Commission procédera à une </w:t>
      </w:r>
      <w:r>
        <w:rPr>
          <w:b/>
          <w:noProof/>
        </w:rPr>
        <w:t>analyse des risques liés aux chaînes d’approvisionnement en biomasse</w:t>
      </w:r>
      <w:r>
        <w:rPr>
          <w:noProof/>
        </w:rPr>
        <w:t xml:space="preserve"> et soutiendra l’utilisation des données ouvertes sur la surveillance fournies par </w:t>
      </w:r>
      <w:r>
        <w:rPr>
          <w:b/>
          <w:noProof/>
        </w:rPr>
        <w:t>Copernicus</w:t>
      </w:r>
      <w:r>
        <w:rPr>
          <w:noProof/>
        </w:rPr>
        <w:t xml:space="preserve"> aux fins de l’évaluation de l’approvisionnement en biomasse.</w:t>
      </w:r>
    </w:p>
    <w:p w14:paraId="60A86F14" w14:textId="77777777" w:rsidR="00664802" w:rsidRDefault="00664802" w:rsidP="003E4E2F">
      <w:pPr>
        <w:spacing w:after="0"/>
        <w:ind w:left="720"/>
        <w:rPr>
          <w:noProof/>
          <w:lang w:val="fr-BE" w:eastAsia="en-IE"/>
        </w:rPr>
      </w:pPr>
    </w:p>
    <w:p w14:paraId="24291E7D" w14:textId="77777777" w:rsidR="007B2C6A" w:rsidRDefault="007B2C6A" w:rsidP="003E4E2F">
      <w:pPr>
        <w:spacing w:after="0"/>
        <w:ind w:left="720"/>
        <w:rPr>
          <w:noProof/>
          <w:lang w:val="fr-BE" w:eastAsia="en-IE"/>
        </w:rPr>
      </w:pPr>
    </w:p>
    <w:p w14:paraId="0E83ED09" w14:textId="77777777" w:rsidR="007B2C6A" w:rsidRPr="00D01D7F" w:rsidRDefault="007B2C6A" w:rsidP="003E4E2F">
      <w:pPr>
        <w:spacing w:after="0"/>
        <w:ind w:left="720"/>
        <w:rPr>
          <w:noProof/>
          <w:lang w:val="fr-BE" w:eastAsia="en-IE"/>
        </w:rPr>
      </w:pPr>
    </w:p>
    <w:p w14:paraId="767CDA49" w14:textId="1D2F89C5" w:rsidR="00D01AE7" w:rsidRPr="00CE41EF" w:rsidRDefault="72A61B11" w:rsidP="00C170DC">
      <w:pPr>
        <w:pStyle w:val="Heading2"/>
        <w:spacing w:after="0"/>
        <w:rPr>
          <w:noProof/>
          <w:szCs w:val="24"/>
        </w:rPr>
      </w:pPr>
      <w:r>
        <w:rPr>
          <w:noProof/>
        </w:rPr>
        <w:t>Approvisionnement en biomasse primaire</w:t>
      </w:r>
    </w:p>
    <w:p w14:paraId="67962209" w14:textId="77777777" w:rsidR="00C170DC" w:rsidRDefault="00C170DC" w:rsidP="00C170DC">
      <w:pPr>
        <w:spacing w:after="0"/>
        <w:rPr>
          <w:noProof/>
          <w:lang w:val="en-IE" w:eastAsia="en-IE"/>
        </w:rPr>
      </w:pPr>
    </w:p>
    <w:p w14:paraId="3561CA1D" w14:textId="17B77165" w:rsidR="0069105A" w:rsidRDefault="0069105A" w:rsidP="0069105A">
      <w:pPr>
        <w:spacing w:after="0"/>
        <w:rPr>
          <w:noProof/>
        </w:rPr>
      </w:pPr>
      <w:r>
        <w:rPr>
          <w:noProof/>
        </w:rPr>
        <w:t>La production primaire est le point de départ de la bioéconomie, où durabilité et compétitivité peuvent aller de pair. Les agriculteurs, les sylviculteurs et les pêcheurs gèrent les ressources biologiques de l’Europe, en maintenant un équilibre entre la productivité et la préservation des terres et de l’eau. Leur travail quotidien est à la base de la sécurité alimentaire, des matériaux renouvelables et des moyens de subsistance en milieu rural.</w:t>
      </w:r>
    </w:p>
    <w:p w14:paraId="225023F5" w14:textId="01D239A9" w:rsidR="00FF1C30" w:rsidRPr="00D01D7F" w:rsidRDefault="00FF1C30" w:rsidP="0069105A">
      <w:pPr>
        <w:spacing w:after="0"/>
        <w:rPr>
          <w:noProof/>
          <w:lang w:val="fr-BE" w:eastAsia="en-IE"/>
        </w:rPr>
      </w:pPr>
    </w:p>
    <w:p w14:paraId="579A1E02" w14:textId="40BED2D8" w:rsidR="00FF1C30" w:rsidRDefault="0069105A" w:rsidP="0069105A">
      <w:pPr>
        <w:spacing w:after="0"/>
        <w:rPr>
          <w:noProof/>
        </w:rPr>
      </w:pPr>
      <w:r>
        <w:rPr>
          <w:noProof/>
        </w:rPr>
        <w:t xml:space="preserve">Dans les </w:t>
      </w:r>
      <w:r>
        <w:rPr>
          <w:b/>
          <w:noProof/>
        </w:rPr>
        <w:t>forêts</w:t>
      </w:r>
      <w:r>
        <w:rPr>
          <w:noProof/>
        </w:rPr>
        <w:t xml:space="preserve">, une gestion durable adaptée aux conditions locales peut assurer un approvisionnement à long terme à l’industrie tout en maintenant un puits de carbone résilient. </w:t>
      </w:r>
    </w:p>
    <w:p w14:paraId="771C77A5" w14:textId="77777777" w:rsidR="00FF1C30" w:rsidRPr="00D01D7F" w:rsidRDefault="00FF1C30" w:rsidP="0069105A">
      <w:pPr>
        <w:spacing w:after="0"/>
        <w:rPr>
          <w:noProof/>
          <w:lang w:val="fr-BE" w:eastAsia="en-IE"/>
        </w:rPr>
      </w:pPr>
    </w:p>
    <w:p w14:paraId="039387A4" w14:textId="4B467967" w:rsidR="0069105A" w:rsidRDefault="0069105A" w:rsidP="0069105A">
      <w:pPr>
        <w:spacing w:after="0"/>
        <w:rPr>
          <w:noProof/>
        </w:rPr>
      </w:pPr>
      <w:r>
        <w:rPr>
          <w:noProof/>
        </w:rPr>
        <w:t>Dans l’</w:t>
      </w:r>
      <w:r>
        <w:rPr>
          <w:b/>
          <w:noProof/>
        </w:rPr>
        <w:t>agriculture</w:t>
      </w:r>
      <w:r>
        <w:rPr>
          <w:noProof/>
        </w:rPr>
        <w:t>, les approches circulaires et durables renforcent la fertilité des sols et réduisent les coûts. La PAC actuelle et future soutiendra les agriculteurs qui adoptent l’innovation bioéconomique ainsi que des pratiques durables et régénératives, qui diversifient leurs sources de revenus et qui coopèrent au sein de chaînes de valeur émergentes.</w:t>
      </w:r>
    </w:p>
    <w:p w14:paraId="768C7A7A" w14:textId="77777777" w:rsidR="0069105A" w:rsidRPr="00D01D7F" w:rsidRDefault="0069105A" w:rsidP="0069105A">
      <w:pPr>
        <w:spacing w:after="0"/>
        <w:rPr>
          <w:noProof/>
          <w:lang w:val="fr-BE" w:eastAsia="en-IE"/>
        </w:rPr>
      </w:pPr>
    </w:p>
    <w:p w14:paraId="4DC74E88" w14:textId="69AC3018" w:rsidR="0069105A" w:rsidRDefault="0069105A" w:rsidP="0069105A">
      <w:pPr>
        <w:spacing w:after="0"/>
        <w:rPr>
          <w:noProof/>
        </w:rPr>
      </w:pPr>
      <w:r>
        <w:rPr>
          <w:noProof/>
        </w:rPr>
        <w:t xml:space="preserve">Les </w:t>
      </w:r>
      <w:r>
        <w:rPr>
          <w:b/>
          <w:noProof/>
        </w:rPr>
        <w:t>ressources aquatiques</w:t>
      </w:r>
      <w:r>
        <w:rPr>
          <w:noProof/>
        </w:rPr>
        <w:t xml:space="preserve"> peuvent également contribuer à un approvisionnement en biomasse plus diversifié et plus résilient tout en protégeant les écosystèmes vulnérables. Les orientations pour l’aquaculture et l’initiative sur les algues de l’UE soutiennent la production et la valorisation des algues et des bivalves, tandis que le pacte pour l’océan lancera une initiative de l’UE pour l’innovation dans la bioéconomie bleue afin de débloquer les flux secondaires sous-utilisés de biomasse aquatique et de développer des chaînes de valeur marines, notamment par la valorisation des flux secondaires tels que les chutes de parage ou les coquilles de poisson. </w:t>
      </w:r>
    </w:p>
    <w:p w14:paraId="1E6F5801" w14:textId="77777777" w:rsidR="0069105A" w:rsidRPr="00D01D7F" w:rsidRDefault="0069105A" w:rsidP="0069105A">
      <w:pPr>
        <w:spacing w:after="0"/>
        <w:rPr>
          <w:noProof/>
          <w:lang w:val="fr-BE" w:eastAsia="en-IE"/>
        </w:rPr>
      </w:pPr>
    </w:p>
    <w:p w14:paraId="721C9AD5" w14:textId="0DBDF418" w:rsidR="0069105A" w:rsidRDefault="0069105A" w:rsidP="0069105A">
      <w:pPr>
        <w:spacing w:after="0"/>
        <w:rPr>
          <w:noProof/>
        </w:rPr>
      </w:pPr>
      <w:r>
        <w:rPr>
          <w:noProof/>
        </w:rPr>
        <w:t xml:space="preserve">La </w:t>
      </w:r>
      <w:r>
        <w:rPr>
          <w:b/>
          <w:noProof/>
        </w:rPr>
        <w:t>résilience dans le domaine de l’eau</w:t>
      </w:r>
      <w:r>
        <w:rPr>
          <w:noProof/>
        </w:rPr>
        <w:t xml:space="preserve"> est essentielle à la bioéconomie. La gestion intégrée de l’eau, les mesures d’efficacité et les évaluations des risques climatiques devraient être intégrées dans les décisions d’investissement, conformément à l’approche définie dans la stratégie pour la résilience dans le domaine de l’eau. La santé des sols et l’équilibre des cycles de l’eau sont les fondements silencieux de la productivité à long terme et de la stabilité climatique.</w:t>
      </w:r>
    </w:p>
    <w:p w14:paraId="7918B21D" w14:textId="77777777" w:rsidR="0069105A" w:rsidRPr="00D01D7F" w:rsidRDefault="0069105A" w:rsidP="0069105A">
      <w:pPr>
        <w:spacing w:after="0"/>
        <w:rPr>
          <w:noProof/>
          <w:lang w:val="fr-BE" w:eastAsia="en-IE"/>
        </w:rPr>
      </w:pPr>
    </w:p>
    <w:p w14:paraId="1E167623" w14:textId="4EE6AAF0" w:rsidR="0069105A" w:rsidRPr="0069105A" w:rsidRDefault="0069105A" w:rsidP="0069105A">
      <w:pPr>
        <w:spacing w:after="0"/>
        <w:rPr>
          <w:noProof/>
        </w:rPr>
      </w:pPr>
      <w:r>
        <w:rPr>
          <w:noProof/>
        </w:rPr>
        <w:t xml:space="preserve">La </w:t>
      </w:r>
      <w:r>
        <w:rPr>
          <w:b/>
          <w:noProof/>
        </w:rPr>
        <w:t>nature</w:t>
      </w:r>
      <w:r>
        <w:rPr>
          <w:noProof/>
        </w:rPr>
        <w:t xml:space="preserve"> elle-même peut faire partie de la compétitivité de l’Europe. Les marchés émergents des crédits carbone et des crédits biodiversité peuvent récompenser ceux qui restaurent et protègent le capital naturel, en offrant de nouveaux revenus aux zones rurales. À cette fin, la Commission adopte des méthodes d’</w:t>
      </w:r>
      <w:r>
        <w:rPr>
          <w:b/>
          <w:noProof/>
        </w:rPr>
        <w:t>agrostockage de carbone</w:t>
      </w:r>
      <w:r>
        <w:rPr>
          <w:noProof/>
        </w:rPr>
        <w:t xml:space="preserve"> et établit un registre de l’Union au titre du règlement CRCF. En outre, elle met actuellement en œuvre la </w:t>
      </w:r>
      <w:r>
        <w:rPr>
          <w:b/>
          <w:noProof/>
        </w:rPr>
        <w:t>feuille de route pour les crédits nature</w:t>
      </w:r>
      <w:r>
        <w:rPr>
          <w:noProof/>
        </w:rPr>
        <w:t xml:space="preserve"> afin de guider les marchés volontaires et à haute intégrité qui complètent l’agrostockage du carbone. </w:t>
      </w:r>
      <w:bookmarkStart w:id="11" w:name="_Hlk213929620"/>
      <w:r>
        <w:rPr>
          <w:noProof/>
        </w:rPr>
        <w:t xml:space="preserve">Afin de créer une demande prévisible de systèmes fondés sur les résultats et de stimuler l’investissement privé, elle mettra en place une </w:t>
      </w:r>
      <w:r>
        <w:rPr>
          <w:b/>
          <w:noProof/>
        </w:rPr>
        <w:t>association d’acheteurs de l’UE</w:t>
      </w:r>
      <w:r>
        <w:rPr>
          <w:noProof/>
        </w:rPr>
        <w:t>, garantissant aux producteurs des possibilités et des conditions de concurrence équitables.</w:t>
      </w:r>
      <w:bookmarkEnd w:id="11"/>
      <w:r>
        <w:rPr>
          <w:noProof/>
        </w:rPr>
        <w:t xml:space="preserve"> Cette initiative volontaire enverra un signal clair pour la demande en agrostockage de carbone et en absorptions permanentes de carbone conformément au règlement CRCF. En regroupant la demande volontaire des entreprises privées, elle contribuera à générer de nouveaux flux de revenus pour les agriculteurs et les sylviculteurs européens, à favoriser la résilience des chaînes de valeur de la biomasse et à étayer les engagements des entreprises. Afin de simplifier davantage la participation des agriculteurs et des forêts au marché volontaire de l’agrostockage de carbone, la Commission mettra en place une base de données de l’UE sur l’agrostockage de carbone contenant des modèles, des facteurs d’émission, des produits de télédétection et des ensembles de données d’évaluation comparative, qui réduira les coûts administratifs et de surveillance.  </w:t>
      </w:r>
    </w:p>
    <w:p w14:paraId="39FF0F15" w14:textId="77777777" w:rsidR="003F2A44" w:rsidRPr="00D01D7F" w:rsidRDefault="003F2A44" w:rsidP="0069105A">
      <w:pPr>
        <w:spacing w:after="0"/>
        <w:rPr>
          <w:noProof/>
          <w:lang w:val="fr-BE" w:eastAsia="en-IE"/>
        </w:rPr>
      </w:pPr>
    </w:p>
    <w:p w14:paraId="41B40C7E" w14:textId="50DC99A4" w:rsidR="0069105A" w:rsidRPr="0069105A" w:rsidRDefault="0069105A" w:rsidP="0069105A">
      <w:pPr>
        <w:spacing w:after="0"/>
        <w:rPr>
          <w:noProof/>
        </w:rPr>
      </w:pPr>
      <w:r>
        <w:rPr>
          <w:noProof/>
        </w:rPr>
        <w:t xml:space="preserve">Enfin, la connaissance reste le pont entre la science, les politiques et la pratique. La Commission créera un </w:t>
      </w:r>
      <w:r>
        <w:rPr>
          <w:b/>
          <w:noProof/>
        </w:rPr>
        <w:t>référentiel de connaissances à l’échelle de l’UE</w:t>
      </w:r>
      <w:r>
        <w:rPr>
          <w:noProof/>
        </w:rPr>
        <w:t xml:space="preserve"> qui proposera des orientations pratiques adaptées aux conditions locales à destination des agriculteurs, des sylviculteurs et des gestionnaires de terres afin d’améliorer la productivité, la résilience et la fourniture des services écosystémiques.</w:t>
      </w:r>
    </w:p>
    <w:p w14:paraId="146239D9" w14:textId="054983BE" w:rsidR="009650AB" w:rsidRPr="00D01D7F" w:rsidRDefault="009650AB" w:rsidP="00C66253">
      <w:pPr>
        <w:spacing w:after="0"/>
        <w:rPr>
          <w:noProof/>
          <w:lang w:val="fr-BE"/>
        </w:rPr>
      </w:pPr>
    </w:p>
    <w:p w14:paraId="5621840D" w14:textId="4468007C" w:rsidR="009650AB" w:rsidRPr="00CE41EF" w:rsidRDefault="00346A7D" w:rsidP="00FF49AC">
      <w:pPr>
        <w:pStyle w:val="Heading1"/>
        <w:rPr>
          <w:noProof/>
          <w:szCs w:val="24"/>
        </w:rPr>
      </w:pPr>
      <w:r>
        <w:rPr>
          <w:noProof/>
        </w:rPr>
        <w:t xml:space="preserve">Exploiter les partenariats et les possibilités au niveau mondial </w:t>
      </w:r>
    </w:p>
    <w:p w14:paraId="0FC1A95B" w14:textId="5DF4251F" w:rsidR="00C170DC" w:rsidRPr="000F05AF" w:rsidRDefault="770FF279" w:rsidP="000F05AF">
      <w:pPr>
        <w:spacing w:line="259" w:lineRule="auto"/>
        <w:rPr>
          <w:noProof/>
          <w:szCs w:val="24"/>
        </w:rPr>
      </w:pPr>
      <w:r>
        <w:rPr>
          <w:noProof/>
        </w:rPr>
        <w:t>La bioéconomie prend de l’ampleur dans le monde. Plus de 50 pays ont adopté des stratégies bioéconomiques</w:t>
      </w:r>
      <w:r>
        <w:rPr>
          <w:noProof/>
          <w:vertAlign w:val="superscript"/>
          <w:lang w:val="en-IE"/>
        </w:rPr>
        <w:footnoteReference w:id="40"/>
      </w:r>
      <w:r>
        <w:rPr>
          <w:noProof/>
        </w:rPr>
        <w:t>. Dans un contexte de changement climatique, de pression croissante sur les ressources naturelles et d’intensification de la concurrence pour la biomasse, il est important de s’aligner à l’échelle mondiale sur ce qui constitue une bioéconomie durable. Les partenariats stratégiques devraient également favoriser un accès au marché ouvert et prévisible pour les bioproduits de l’UE, soutenu par la coopération en matière de normes et la réduction des obstacles inutiles au commerce. L’UE a l’intention de conclure des partenariats stratégiques en matière de bioéconomie, notamment avec les principaux fournisseurs mondiaux de biomasse. L’objectif est de soutenir la continuité du commerce de biomasse durable, de matériaux et de solutions biosourcées, d’une manière prévisible pour les opérateurs et respectueuse des conditions locales.</w:t>
      </w:r>
    </w:p>
    <w:p w14:paraId="0655E520" w14:textId="5E19D6E3" w:rsidR="009650AB" w:rsidRPr="00CE41EF" w:rsidRDefault="0F877218" w:rsidP="00FF0551">
      <w:pPr>
        <w:pStyle w:val="Heading2"/>
        <w:rPr>
          <w:noProof/>
        </w:rPr>
      </w:pPr>
      <w:r>
        <w:rPr>
          <w:noProof/>
        </w:rPr>
        <w:t>Faciliter un accès plus large aux marchés mondiaux pour les technologies, les innovations, les matériaux biosourcés et les applications de l’UE</w:t>
      </w:r>
    </w:p>
    <w:p w14:paraId="48B927C0" w14:textId="4CF51CEE" w:rsidR="009650AB" w:rsidRPr="00CB0E9F" w:rsidRDefault="68787052" w:rsidP="00CB0E9F">
      <w:pPr>
        <w:tabs>
          <w:tab w:val="num" w:pos="360"/>
        </w:tabs>
        <w:spacing w:line="259" w:lineRule="auto"/>
        <w:rPr>
          <w:b/>
          <w:bCs/>
          <w:noProof/>
        </w:rPr>
      </w:pPr>
      <w:r>
        <w:rPr>
          <w:noProof/>
        </w:rPr>
        <w:t>L’Europe peut accroître ses exportations de technologies, de matériaux, de produits, d’applications et d’innovations circulaires biosourcés. À cette fin, son industrie a besoin de conditions d’accès au marché équitables et, parallèlement, les exportations doivent faire l’objet d’un suivi afin d’éviter la pénurie de biomasse et les incidences négatives sur les écosystèmes.</w:t>
      </w:r>
      <w:r>
        <w:rPr>
          <w:b/>
          <w:noProof/>
        </w:rPr>
        <w:t xml:space="preserve"> </w:t>
      </w:r>
      <w:r>
        <w:rPr>
          <w:noProof/>
        </w:rPr>
        <w:t xml:space="preserve">L’UE est confrontée à la concurrence mondiale pour la biomasse durable. Il sera important, pour éviter une dépendance excessive à l’égard de fournisseurs uniques et une exposition à la volatilité, de diversifier les sources tout en maintenant un approvisionnement intérieur solide. </w:t>
      </w:r>
    </w:p>
    <w:p w14:paraId="77070338" w14:textId="02389F3E" w:rsidR="04071F24" w:rsidRPr="00CB0E9F" w:rsidRDefault="001268E3" w:rsidP="04071F24">
      <w:pPr>
        <w:spacing w:after="0"/>
        <w:rPr>
          <w:noProof/>
        </w:rPr>
      </w:pPr>
      <w:r>
        <w:rPr>
          <w:noProof/>
        </w:rPr>
        <w:t>Les accords commerciaux, les partenariats et les dialogues réglementaires seront utilisés pour soutenir un accès équilibré au marché pour les bioproduits et les biotechnologies. Dans le même temps, il convient de gérer l’accroissement de la demande en biomasse et l’expansion des marchés mondiaux des bioproduits afin d’éviter des incidences environnementales ou sociales négatives à l’étranger. Le commerce de la biomasse et des bioproduits doit être cohérent avec les objectifs plus généraux en matière d’environnement et de développement. Ceux-ci doivent être consolidés par des systèmes d’information cohérents et transparents qui facilitent la traçabilité et renforcent la confiance du marché, comme dans le cadre de la législation européenne sur la déforestation.</w:t>
      </w:r>
    </w:p>
    <w:p w14:paraId="3837944C" w14:textId="77777777" w:rsidR="00CB0E9F" w:rsidRDefault="00CB0E9F" w:rsidP="04071F24">
      <w:pPr>
        <w:spacing w:after="0"/>
        <w:rPr>
          <w:rFonts w:eastAsia="Aptos"/>
          <w:noProof/>
        </w:rPr>
      </w:pPr>
    </w:p>
    <w:p w14:paraId="0BDFDACE" w14:textId="60A841C3" w:rsidR="009650AB" w:rsidRPr="00CE41EF" w:rsidRDefault="4C5E5268" w:rsidP="1CFD9F8D">
      <w:pPr>
        <w:rPr>
          <w:noProof/>
        </w:rPr>
      </w:pPr>
      <w:r>
        <w:rPr>
          <w:noProof/>
        </w:rPr>
        <w:t>La stratégie «Global Gateway» offre un cadre pour relier les investissements dans des chaînes d’approvisionnement résilientes à l’échange de connaissances et à la coopération en matière d’innovation afin de les aider à développer leurs propres secteurs de la bioéconomie solides et durables et à améliorer leur accès aux marchés mondiaux en tant que fournisseurs potentiels. Les partenariats seront axés sur la création de valeur ajoutée locale, le développement des compétences et la mise en place de systèmes d’approvisionnement résilients dans les pays partenaires. En Afrique, où le plan d’action pour une économie circulaire de la CAE</w:t>
      </w:r>
      <w:r>
        <w:rPr>
          <w:noProof/>
          <w:vertAlign w:val="superscript"/>
          <w:lang w:val="en-IE"/>
        </w:rPr>
        <w:footnoteReference w:id="41"/>
      </w:r>
      <w:r>
        <w:rPr>
          <w:noProof/>
        </w:rPr>
        <w:t xml:space="preserve"> et la stratégie régionale de la CAE pour la bioéconomie</w:t>
      </w:r>
      <w:r>
        <w:rPr>
          <w:noProof/>
          <w:vertAlign w:val="superscript"/>
          <w:lang w:val="en-IE"/>
        </w:rPr>
        <w:footnoteReference w:id="42"/>
      </w:r>
      <w:r>
        <w:rPr>
          <w:noProof/>
        </w:rPr>
        <w:t xml:space="preserve"> ont été récemment adoptés, la stratégie «Global Gateway» soutient déjà des projets visant à renforcer les capacités locales, à créer des emplois et à promouvoir une utilisation responsable des ressources. Des plateformes telles que le Forum international sur la bioéconomie (FIB) et le dialogue politique de haut niveau Union africaine-Union européenne (UA-UE) sur la science, la technologie et l’innovation continueront de soutenir les échanges et la coopération dans les domaines de la recherche et de l’innovation. L’UE soutiendra le développement de chaînes de valeur bioéconomiques à l’échelle mondiale, y compris dans certains pays africains, d’une manière adaptée aux conditions locales.    </w:t>
      </w:r>
    </w:p>
    <w:p w14:paraId="25D9C31E" w14:textId="63095927" w:rsidR="009650AB" w:rsidRPr="00CE41EF" w:rsidRDefault="1E8D09EC" w:rsidP="45E269A7">
      <w:pPr>
        <w:pStyle w:val="Heading2"/>
        <w:numPr>
          <w:ilvl w:val="1"/>
          <w:numId w:val="0"/>
        </w:numPr>
        <w:rPr>
          <w:noProof/>
          <w:szCs w:val="24"/>
        </w:rPr>
      </w:pPr>
      <w:r>
        <w:rPr>
          <w:noProof/>
        </w:rPr>
        <w:t>4.2</w:t>
      </w:r>
      <w:r>
        <w:rPr>
          <w:noProof/>
        </w:rPr>
        <w:tab/>
        <w:t xml:space="preserve">Définir le programme mondial pour une bioéconomie durable </w:t>
      </w:r>
    </w:p>
    <w:p w14:paraId="1A78BED8" w14:textId="1E487E6F" w:rsidR="00FA000A" w:rsidRPr="00F065AE" w:rsidRDefault="0F877218" w:rsidP="009650AB">
      <w:pPr>
        <w:rPr>
          <w:rFonts w:eastAsia="Aptos"/>
          <w:noProof/>
        </w:rPr>
      </w:pPr>
      <w:r>
        <w:rPr>
          <w:noProof/>
        </w:rPr>
        <w:t>Il importe d’établir une compréhension commune entre l’UE et ses principaux partenaires internationaux et commerciaux afin de faciliter les investissements privés, les dialogues à un stade précoce, la coopération en matière de recherche et d’innovation, la convergence réglementaire et les objectifs de durabilité, par exemple en ce qui concerne l’agriculture, la pêche, l’aquaculture et la sylviculture durables. L’UE poursuivra le dialogue au sein des principales enceintes internationales où se définissent les conditions de concurrence internationales pour la bioéconomie, et continuera de plaider en faveur des objectifs connexes du programme de développement durable à l’horizon 2030, du cadre mondial de la biodiversité de Kunming-Montréal, de l’accord de Paris et d’autres accords multilatéraux sur l’environnement, et d’œuvrer à leur réalisation.</w:t>
      </w:r>
    </w:p>
    <w:p w14:paraId="1356EEE5" w14:textId="456AD511" w:rsidR="00C35C80" w:rsidRDefault="00CB6E5B" w:rsidP="00FF0551">
      <w:pPr>
        <w:spacing w:line="259" w:lineRule="auto"/>
        <w:rPr>
          <w:rFonts w:eastAsia="Arial"/>
          <w:noProof/>
          <w:color w:val="000000" w:themeColor="text1"/>
          <w:u w:val="single"/>
        </w:rPr>
      </w:pPr>
      <w:r>
        <w:rPr>
          <w:noProof/>
        </w:rPr>
        <w:t>L’UE renforcera son rôle de partenariat dans l’élaboration du programme international en matière de bioéconomie, notamment par un dialogue avec les organisations internationales (telles que la FAO). Elle établira des partenariats plus solides avec des pays tiers afin de discuter des avantages et des compromis, d’œuvrer en faveur de l’interopérabilité et de faciliter les projets communs</w:t>
      </w:r>
      <w:r>
        <w:rPr>
          <w:rStyle w:val="FootnoteReference"/>
          <w:noProof/>
        </w:rPr>
        <w:footnoteReference w:id="43"/>
      </w:r>
      <w:r>
        <w:rPr>
          <w:noProof/>
        </w:rPr>
        <w:t>. Elle s’appuiera sur les travaux existants, tels que les principes de haut niveau du G20 sur la bioéconomie, élaborés au cours de la présidence brésilienne du G20, ou les principes et critères ambitieux pour une bioéconomie durable</w:t>
      </w:r>
      <w:r>
        <w:rPr>
          <w:rStyle w:val="FootnoteReference"/>
          <w:rFonts w:eastAsia="Arial"/>
          <w:noProof/>
          <w:color w:val="000000" w:themeColor="text1"/>
        </w:rPr>
        <w:footnoteReference w:id="44"/>
      </w:r>
      <w:r>
        <w:rPr>
          <w:noProof/>
        </w:rPr>
        <w:t>, élaborés au sein de la FAO, pour collaborer avec ses partenaires en vue d’une convergence en matière de données, de bonnes pratiques, de paramètres et de normes afin de promouvoir le commerce durable.</w:t>
      </w:r>
      <w:r>
        <w:rPr>
          <w:noProof/>
          <w:color w:val="000000" w:themeColor="text1"/>
          <w:u w:val="single"/>
        </w:rPr>
        <w:t xml:space="preserve"> </w:t>
      </w:r>
    </w:p>
    <w:p w14:paraId="2E84914E" w14:textId="2258AF6D" w:rsidR="00494854" w:rsidRPr="003F2A44" w:rsidRDefault="00257A88" w:rsidP="00494854">
      <w:pPr>
        <w:rPr>
          <w:noProof/>
          <w:color w:val="000000" w:themeColor="text1"/>
        </w:rPr>
      </w:pPr>
      <w:r>
        <w:rPr>
          <w:noProof/>
          <w:color w:val="000000" w:themeColor="text1"/>
        </w:rPr>
        <w:t xml:space="preserve">Les pays candidats à l’adhésion et les voisins immédiats de l’UE sont des partenaires d’importance stratégique pour l’UE, et leur intégration dans ses chaînes de valeur bioéconomiques contribue à la mise en place de pôles régionaux de bioéconomie, à la réduction de la dépendance à l’égard des matières premières extérieures et au renforcement de l’autonomie stratégique de l’UE. </w:t>
      </w:r>
    </w:p>
    <w:p w14:paraId="7843CBB0" w14:textId="426B11C9" w:rsidR="000F05AF" w:rsidRPr="00CE41EF" w:rsidRDefault="00FA000A" w:rsidP="00FA000A">
      <w:pPr>
        <w:rPr>
          <w:noProof/>
        </w:rPr>
      </w:pPr>
      <w:r>
        <w:rPr>
          <w:noProof/>
        </w:rPr>
        <w:t xml:space="preserve">L’UE lancera une initiative de recherche et d’innovation pour développer et déployer des solutions bioéconomiques durables dans les régions à fort potentiel de biomasse, y compris dans les pays de l’initiative BIOEAST, en Moldavie, en Ukraine et dans les Balkans occidentaux. Cette initiative mobilisera des capitaux et renforcera les écosystèmes industriels au-delà des frontières de l’UE dans l’intérêt des États membres et des pays en voie d’adhésion, et garantira que tous les efforts sont étayés par des garanties environnementales et sociales solides. </w:t>
      </w:r>
    </w:p>
    <w:p w14:paraId="29B5D13D" w14:textId="741F5008" w:rsidR="009650AB" w:rsidRPr="00CE41EF" w:rsidRDefault="009650AB" w:rsidP="00FF49AC">
      <w:pPr>
        <w:pStyle w:val="Heading1"/>
        <w:rPr>
          <w:noProof/>
          <w:szCs w:val="24"/>
        </w:rPr>
      </w:pPr>
      <w:r>
        <w:rPr>
          <w:noProof/>
        </w:rPr>
        <w:t xml:space="preserve">Unir nos forces pour une action efficace: États membres, industrie, investisseurs et société civile </w:t>
      </w:r>
    </w:p>
    <w:p w14:paraId="3F28DB90" w14:textId="774920A9" w:rsidR="00943317" w:rsidRPr="00CE41EF" w:rsidDel="00943317" w:rsidRDefault="759E0A98" w:rsidP="47E57817">
      <w:pPr>
        <w:rPr>
          <w:noProof/>
        </w:rPr>
      </w:pPr>
      <w:r>
        <w:rPr>
          <w:noProof/>
        </w:rPr>
        <w:t>Les États membres et les parties prenantes sont des partenaires essentiels pour traduire la stratégie de l’UE pour la bioéconomie en actions et créer des synergies avec les stratégies régionales et nationales. Les régions et les municipalités jouent un rôle central dans la mise en œuvre, car de nombreuses solutions bioéconomiques se développent par l’intermédiaire des chaînes de valeur locales et des marchés publics municipaux. Les agriculteurs, les sylviculteurs, les pêcheurs, les acteurs industriels, les investisseurs (privés comme publics), les autorités publiques aux niveaux régional et local, ainsi que la société civile seront étroitement associés à la mise en œuvre de cette stratégie.</w:t>
      </w:r>
    </w:p>
    <w:p w14:paraId="0DC619DF" w14:textId="20CAB993" w:rsidR="006458A9" w:rsidRDefault="25941A8C" w:rsidP="1CFD9F8D">
      <w:pPr>
        <w:spacing w:line="259" w:lineRule="auto"/>
        <w:rPr>
          <w:noProof/>
        </w:rPr>
      </w:pPr>
      <w:r>
        <w:rPr>
          <w:noProof/>
        </w:rPr>
        <w:t>Le développement de la bioéconomie de l’UE doit s’appuyer sur les atouts dont dispose actuellement l’Europe dans ce secteur et tenir compte des différences régionales. Il existe des différences considérables entre les États membres en ce qui concerne la disponibilité de la biomasse, la santé des écosystèmes, la capacité industrielle, les écosystèmes d’innovation et la maturité du marché. Les États membres seront également encouragés à définir des profils stratégiques nationaux en matière de bioéconomie, par exemple en tant que producteurs primaires de biomasse, transformateurs à haute valeur ajoutée, pionniers de la bioéconomie bleue ou pôles d’innovation bioéconomique, et à les intégrer dans leurs plans de partenariat nationaux et régionaux ainsi que dans leurs plans nationaux en matière d’énergie et de climat. Les dialogues de l’UE sur la bioéconomie avec les États membres s’appuieront sur le Forum européen sur la politique de bioéconomie</w:t>
      </w:r>
      <w:r>
        <w:rPr>
          <w:noProof/>
          <w:vertAlign w:val="superscript"/>
          <w:lang w:val="en-IE"/>
        </w:rPr>
        <w:footnoteReference w:id="45"/>
      </w:r>
      <w:r>
        <w:rPr>
          <w:noProof/>
        </w:rPr>
        <w:t>, soutenu à partir de 2027 par une plateforme de soutien aux politiques de bioéconomie</w:t>
      </w:r>
      <w:r>
        <w:rPr>
          <w:noProof/>
          <w:vertAlign w:val="superscript"/>
          <w:lang w:val="en-IE"/>
        </w:rPr>
        <w:footnoteReference w:id="46"/>
      </w:r>
      <w:r>
        <w:rPr>
          <w:noProof/>
        </w:rPr>
        <w:t xml:space="preserve"> et des contributions du Conseil européen de l’agriculture et de l’alimentation (EBAF). </w:t>
      </w:r>
    </w:p>
    <w:p w14:paraId="3ACADA66" w14:textId="1DD26105" w:rsidR="00E82060" w:rsidRPr="00CE41EF" w:rsidRDefault="2F0BC565" w:rsidP="1CFD9F8D">
      <w:pPr>
        <w:spacing w:line="259" w:lineRule="auto"/>
        <w:rPr>
          <w:noProof/>
        </w:rPr>
      </w:pPr>
      <w:r>
        <w:rPr>
          <w:noProof/>
        </w:rPr>
        <w:t>Pour former leur main-d’œuvre à la bioéconomie et aligner les besoins du marché du travail sur les possibilités émergentes, les États membres et les régions sont encouragés à promouvoir des programmes d’éducation, de formation et de reconversion et de perfectionnement professionnels liés à la bioéconomie à destination des travailleurs comme des demandeurs d’emploi. La plateforme des acteurs de l’économie circulaire</w:t>
      </w:r>
      <w:r>
        <w:rPr>
          <w:noProof/>
          <w:vertAlign w:val="superscript"/>
          <w:lang w:val="en-IE"/>
        </w:rPr>
        <w:footnoteReference w:id="47"/>
      </w:r>
      <w:r>
        <w:rPr>
          <w:noProof/>
        </w:rPr>
        <w:t xml:space="preserve"> et le futur réseau des acteurs de la bioéconomie uniront leurs forces pour rassembler les producteurs primaires, l’industrie, les investisseurs et la société civile et pour renforcer les liens avec des initiatives telles que le réseau des investisseurs de confiance du Conseil européen de l’innovation</w:t>
      </w:r>
      <w:bookmarkStart w:id="12" w:name="_bookmark31"/>
      <w:bookmarkEnd w:id="12"/>
      <w:r>
        <w:rPr>
          <w:noProof/>
        </w:rPr>
        <w:t xml:space="preserve"> et le dialogue avec les jeunes dans le cadre du programme des ambassadeurs européens de la jeunesse pour la bioéconomie</w:t>
      </w:r>
      <w:r>
        <w:rPr>
          <w:noProof/>
          <w:vertAlign w:val="superscript"/>
        </w:rPr>
        <w:footnoteReference w:id="48"/>
      </w:r>
      <w:r>
        <w:rPr>
          <w:noProof/>
        </w:rPr>
        <w:t xml:space="preserve">. En outre, les liens seront renforcés avec des initiatives spécifiques de l’UE en matière d’éducation présentant un intérêt pour la bioéconomie, telles que la European Bioeconomy University, BIOEAST Uninet, la Global Bioeconomy Alliance et Global Bioeconomy Youth Champions. </w:t>
      </w:r>
    </w:p>
    <w:p w14:paraId="46DADAFE" w14:textId="3AD0A83B" w:rsidR="00FE0577" w:rsidRPr="006E08C9" w:rsidRDefault="0158A81C" w:rsidP="006E08C9">
      <w:pPr>
        <w:spacing w:line="259" w:lineRule="auto"/>
        <w:rPr>
          <w:noProof/>
        </w:rPr>
      </w:pPr>
      <w:r>
        <w:rPr>
          <w:noProof/>
        </w:rPr>
        <w:t>La Commission européenne continuera d’améliorer le suivi de la bioéconomie dans l’UE par l’intermédiaire de son système de suivi de la bioéconomie</w:t>
      </w:r>
      <w:r>
        <w:rPr>
          <w:noProof/>
          <w:vertAlign w:val="superscript"/>
        </w:rPr>
        <w:footnoteReference w:id="49"/>
      </w:r>
      <w:r>
        <w:rPr>
          <w:noProof/>
        </w:rPr>
        <w:t>, et coopérera avec les pays et les régions au sein de l’UE et au niveau international.</w:t>
      </w:r>
    </w:p>
    <w:p w14:paraId="7A7CD909" w14:textId="3062D6DD" w:rsidR="00035B1A" w:rsidRPr="006E08C9" w:rsidRDefault="0013773B" w:rsidP="006E08C9">
      <w:pPr>
        <w:pStyle w:val="Heading1"/>
        <w:rPr>
          <w:rFonts w:eastAsia="Aptos"/>
          <w:noProof/>
        </w:rPr>
      </w:pPr>
      <w:r>
        <w:rPr>
          <w:noProof/>
        </w:rPr>
        <w:t>Conclusion</w:t>
      </w:r>
    </w:p>
    <w:p w14:paraId="70C640BB" w14:textId="2B8256AD" w:rsidR="00DA5096" w:rsidRPr="00DA5096" w:rsidRDefault="00DA5096" w:rsidP="56E11421">
      <w:pPr>
        <w:spacing w:after="0"/>
        <w:rPr>
          <w:rFonts w:eastAsia="Aptos"/>
          <w:noProof/>
        </w:rPr>
      </w:pPr>
      <w:r>
        <w:rPr>
          <w:noProof/>
        </w:rPr>
        <w:t>L’Europe dispose des connaissances, de la base industrielle et des ressources humaines nécessaires pour mener la transition mondiale vers une bioéconomie durable et compétitive. En réduisant les dépendances stratégiques à l’égard des matières premières d’origine fossile importées, et en diversifiant les chaînes d’approvisionnement fondées sur des ressources renouvelables et circulaires, la bioéconomie renforcera la sécurité économique et la sécurité des ressources de l’Europe dans un monde plus incertain.</w:t>
      </w:r>
    </w:p>
    <w:p w14:paraId="3825E8CA" w14:textId="77777777" w:rsidR="00DA5096" w:rsidRPr="00D01D7F" w:rsidRDefault="00DA5096" w:rsidP="00DA5096">
      <w:pPr>
        <w:spacing w:after="0"/>
        <w:rPr>
          <w:rFonts w:eastAsia="Aptos"/>
          <w:noProof/>
          <w:szCs w:val="24"/>
          <w:lang w:val="fr-BE"/>
        </w:rPr>
      </w:pPr>
    </w:p>
    <w:p w14:paraId="00AE2E17" w14:textId="45F07BBE" w:rsidR="00DA5096" w:rsidRPr="00DA5096" w:rsidRDefault="00DA5096" w:rsidP="00DA5096">
      <w:pPr>
        <w:spacing w:after="0"/>
        <w:rPr>
          <w:rFonts w:eastAsia="Aptos"/>
          <w:noProof/>
          <w:szCs w:val="24"/>
        </w:rPr>
      </w:pPr>
      <w:r>
        <w:rPr>
          <w:noProof/>
        </w:rPr>
        <w:t>Pour concrétiser cette projection, une action coordonnée sera nécessaire aux niveaux européen, national et régional. En unissant nos efforts, nous pouvons transformer les ressources biologiques de l’Europe en moteurs de croissance et de résilience, renforcer notre autonomie stratégique et établir une transition juste qui ne laisse aucune région de côté. La Commission établira un rapport sur la mise en œuvre de la stratégie d’ici à 2028.</w:t>
      </w:r>
    </w:p>
    <w:p w14:paraId="3ABD2447" w14:textId="77777777" w:rsidR="00DA5096" w:rsidRPr="00D01D7F" w:rsidRDefault="00DA5096" w:rsidP="00DA5096">
      <w:pPr>
        <w:spacing w:after="0"/>
        <w:rPr>
          <w:rFonts w:eastAsia="Aptos"/>
          <w:noProof/>
          <w:szCs w:val="24"/>
          <w:lang w:val="fr-BE"/>
        </w:rPr>
      </w:pPr>
    </w:p>
    <w:p w14:paraId="352AC80D" w14:textId="5E9395FD" w:rsidR="00DA5096" w:rsidRPr="00DA5096" w:rsidRDefault="00DA5096" w:rsidP="62CA18EE">
      <w:pPr>
        <w:spacing w:after="0"/>
        <w:rPr>
          <w:rFonts w:eastAsia="Aptos"/>
          <w:noProof/>
        </w:rPr>
      </w:pPr>
      <w:r>
        <w:rPr>
          <w:noProof/>
        </w:rPr>
        <w:t>Une bioéconomie européenne forte n’est pas seulement un impératif environnemental, c’est un investissement stratégique dans la prospérité, la résilience et la sécurité à long terme de l’Europe.</w:t>
      </w:r>
    </w:p>
    <w:p w14:paraId="17474ECC" w14:textId="56343854" w:rsidR="62CA18EE" w:rsidRDefault="62CA18EE">
      <w:pPr>
        <w:rPr>
          <w:noProof/>
        </w:rPr>
      </w:pPr>
      <w:r>
        <w:rPr>
          <w:noProof/>
        </w:rPr>
        <w:br w:type="page"/>
      </w:r>
    </w:p>
    <w:p w14:paraId="33DF8679" w14:textId="704E28F5" w:rsidR="00CE7634" w:rsidRDefault="1199D122" w:rsidP="62CA18EE">
      <w:pPr>
        <w:spacing w:after="0"/>
        <w:rPr>
          <w:rFonts w:eastAsia="Aptos"/>
          <w:b/>
          <w:bCs/>
          <w:noProof/>
        </w:rPr>
      </w:pPr>
      <w:r>
        <w:rPr>
          <w:b/>
          <w:noProof/>
        </w:rPr>
        <w:t>ANNEXE: Actions clés et calendrier</w:t>
      </w:r>
    </w:p>
    <w:p w14:paraId="6010A7E8" w14:textId="52E63B6F" w:rsidR="003C08C0" w:rsidRDefault="00CE7634" w:rsidP="00422BD3">
      <w:pPr>
        <w:pStyle w:val="Heading1"/>
        <w:numPr>
          <w:ilvl w:val="0"/>
          <w:numId w:val="0"/>
        </w:numPr>
        <w:rPr>
          <w:rFonts w:eastAsia="Aptos"/>
          <w:noProof/>
        </w:rPr>
      </w:pPr>
      <w:r>
        <w:rPr>
          <w:noProof/>
        </w:rPr>
        <w:t>Intensifier l’innovation et les investissements: du laboratoire au déploiement</w:t>
      </w:r>
    </w:p>
    <w:tbl>
      <w:tblPr>
        <w:tblStyle w:val="TableGrid"/>
        <w:tblW w:w="8969" w:type="dxa"/>
        <w:tblInd w:w="-8" w:type="dxa"/>
        <w:tblBorders>
          <w:top w:val="single" w:sz="6" w:space="0" w:color="auto"/>
          <w:left w:val="single" w:sz="6" w:space="0" w:color="auto"/>
          <w:bottom w:val="single" w:sz="6" w:space="0" w:color="auto"/>
          <w:right w:val="single" w:sz="6" w:space="0" w:color="auto"/>
        </w:tblBorders>
        <w:tblLayout w:type="fixed"/>
        <w:tblCellMar>
          <w:top w:w="57" w:type="dxa"/>
          <w:bottom w:w="57" w:type="dxa"/>
        </w:tblCellMar>
        <w:tblLook w:val="01E0" w:firstRow="1" w:lastRow="1" w:firstColumn="1" w:lastColumn="1" w:noHBand="0" w:noVBand="0"/>
      </w:tblPr>
      <w:tblGrid>
        <w:gridCol w:w="7513"/>
        <w:gridCol w:w="1456"/>
      </w:tblGrid>
      <w:tr w:rsidR="00CE7634" w:rsidRPr="00CE41EF" w14:paraId="38453331" w14:textId="77777777" w:rsidTr="00422BD3">
        <w:trPr>
          <w:trHeight w:val="333"/>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BF7"/>
            <w:tcMar>
              <w:left w:w="105" w:type="dxa"/>
              <w:right w:w="105" w:type="dxa"/>
            </w:tcMar>
          </w:tcPr>
          <w:p w14:paraId="5359D040" w14:textId="77777777" w:rsidR="00CE7634" w:rsidRPr="00CE41EF" w:rsidRDefault="00CE7634" w:rsidP="00422BD3">
            <w:pPr>
              <w:spacing w:after="0"/>
              <w:jc w:val="center"/>
              <w:rPr>
                <w:b/>
                <w:bCs/>
                <w:noProof/>
              </w:rPr>
            </w:pPr>
            <w:bookmarkStart w:id="13" w:name="_Hlk198557170"/>
            <w:r>
              <w:rPr>
                <w:b/>
                <w:noProof/>
              </w:rPr>
              <w:t>Actions</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BF7"/>
            <w:tcMar>
              <w:left w:w="105" w:type="dxa"/>
              <w:right w:w="105" w:type="dxa"/>
            </w:tcMar>
          </w:tcPr>
          <w:p w14:paraId="3797091B" w14:textId="77777777" w:rsidR="00CE7634" w:rsidRPr="00CE41EF" w:rsidRDefault="00CE7634" w:rsidP="00422BD3">
            <w:pPr>
              <w:spacing w:after="0"/>
              <w:rPr>
                <w:b/>
                <w:bCs/>
                <w:noProof/>
              </w:rPr>
            </w:pPr>
            <w:r>
              <w:rPr>
                <w:b/>
                <w:noProof/>
              </w:rPr>
              <w:t>Calendrier</w:t>
            </w:r>
          </w:p>
        </w:tc>
      </w:tr>
      <w:tr w:rsidR="00CE7634" w:rsidRPr="00CE41EF" w14:paraId="5FA677F5" w14:textId="77777777" w:rsidTr="00422BD3">
        <w:trPr>
          <w:trHeight w:val="439"/>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C9A53C" w14:textId="5141D022" w:rsidR="00CE7634" w:rsidRPr="00070E77" w:rsidRDefault="00CE7634" w:rsidP="00160ED0">
            <w:pPr>
              <w:spacing w:after="0"/>
              <w:rPr>
                <w:noProof/>
              </w:rPr>
            </w:pPr>
            <w:r>
              <w:rPr>
                <w:noProof/>
              </w:rPr>
              <w:t xml:space="preserve">Adopter des actes législatifs sur les biotechnologies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9530EF" w14:textId="64DA948C" w:rsidR="00640E09" w:rsidRDefault="00640E09" w:rsidP="001425A5">
            <w:pPr>
              <w:spacing w:after="0"/>
              <w:jc w:val="center"/>
              <w:rPr>
                <w:noProof/>
              </w:rPr>
            </w:pPr>
            <w:r>
              <w:rPr>
                <w:noProof/>
              </w:rPr>
              <w:t xml:space="preserve"> 2025</w:t>
            </w:r>
          </w:p>
          <w:p w14:paraId="3FD4BEBF" w14:textId="581FEF8A" w:rsidR="00640E09" w:rsidRPr="006F6E8F" w:rsidRDefault="00640E09" w:rsidP="001425A5">
            <w:pPr>
              <w:spacing w:after="0"/>
              <w:jc w:val="center"/>
              <w:rPr>
                <w:noProof/>
              </w:rPr>
            </w:pPr>
            <w:r>
              <w:rPr>
                <w:noProof/>
              </w:rPr>
              <w:t>T3 2026</w:t>
            </w:r>
          </w:p>
        </w:tc>
      </w:tr>
      <w:tr w:rsidR="00CE7634" w:rsidRPr="00CE41EF" w14:paraId="1CB6A411"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54D24A" w14:textId="77777777" w:rsidR="00CE7634" w:rsidRPr="00FF0551" w:rsidRDefault="00CE7634" w:rsidP="00160ED0">
            <w:pPr>
              <w:spacing w:after="0"/>
              <w:rPr>
                <w:noProof/>
              </w:rPr>
            </w:pPr>
            <w:r>
              <w:rPr>
                <w:noProof/>
              </w:rPr>
              <w:t>Mettre en place un forum européen des régulateurs et des innovateurs dans le domaine de la bioéconomie</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142405" w14:textId="77777777" w:rsidR="00CE7634" w:rsidRPr="00FF0551" w:rsidRDefault="00CE7634" w:rsidP="001425A5">
            <w:pPr>
              <w:spacing w:after="0"/>
              <w:jc w:val="center"/>
              <w:rPr>
                <w:noProof/>
              </w:rPr>
            </w:pPr>
            <w:r>
              <w:rPr>
                <w:noProof/>
              </w:rPr>
              <w:t>T1 2026</w:t>
            </w:r>
          </w:p>
        </w:tc>
      </w:tr>
      <w:tr w:rsidR="00CE7634" w:rsidRPr="00CE41EF" w14:paraId="78B9C5E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0E842" w14:textId="6D7B59C9" w:rsidR="00CE7634" w:rsidRPr="001D3F21" w:rsidRDefault="00257A88" w:rsidP="00160ED0">
            <w:pPr>
              <w:spacing w:after="0"/>
              <w:rPr>
                <w:noProof/>
              </w:rPr>
            </w:pPr>
            <w:r>
              <w:rPr>
                <w:noProof/>
              </w:rPr>
              <w:t>Adopter des demandes de normalisation pour les portes et fenêtres, les produits/éléments de bois de charpente et produits connexes, les panneaux et éléments à base de bois, les produits d’isolation thermique au titre du règlement sur les produits de construction</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AFBC6" w14:textId="0504CCAC" w:rsidR="00CE7634" w:rsidRPr="00FF0551" w:rsidRDefault="00391266" w:rsidP="001425A5">
            <w:pPr>
              <w:spacing w:after="0"/>
              <w:jc w:val="center"/>
              <w:rPr>
                <w:noProof/>
              </w:rPr>
            </w:pPr>
            <w:r>
              <w:rPr>
                <w:noProof/>
              </w:rPr>
              <w:t>2026</w:t>
            </w:r>
          </w:p>
        </w:tc>
      </w:tr>
      <w:tr w:rsidR="00CE7634" w14:paraId="36F337EC"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EAFDA0" w14:textId="77777777" w:rsidR="00CE7634" w:rsidRDefault="00CE7634" w:rsidP="00160ED0">
            <w:pPr>
              <w:spacing w:after="0"/>
              <w:rPr>
                <w:noProof/>
              </w:rPr>
            </w:pPr>
            <w:bookmarkStart w:id="14" w:name="_Hlk213847804"/>
            <w:r>
              <w:rPr>
                <w:noProof/>
              </w:rPr>
              <w:t xml:space="preserve">Favoriser la coopération des producteurs primaires afin de stimuler les investissements conjoints dans des chaînes de valeur bioéconomiques innovantes en soutenant les investissements au titre de la PAC, les interventions sectorielles et le partenariat européen d’innovation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10A597" w14:textId="77777777" w:rsidR="00CE7634" w:rsidRDefault="00CE7634" w:rsidP="001425A5">
            <w:pPr>
              <w:spacing w:after="0"/>
              <w:jc w:val="center"/>
              <w:rPr>
                <w:noProof/>
              </w:rPr>
            </w:pPr>
            <w:r>
              <w:rPr>
                <w:noProof/>
              </w:rPr>
              <w:t>2026</w:t>
            </w:r>
          </w:p>
          <w:p w14:paraId="74AD49C0" w14:textId="77777777" w:rsidR="00CE7634" w:rsidRDefault="00CE7634" w:rsidP="001425A5">
            <w:pPr>
              <w:spacing w:after="0"/>
              <w:jc w:val="center"/>
              <w:rPr>
                <w:noProof/>
              </w:rPr>
            </w:pPr>
          </w:p>
        </w:tc>
      </w:tr>
      <w:tr w:rsidR="00CE7634" w14:paraId="08534C62" w14:textId="77777777" w:rsidTr="00422BD3">
        <w:trPr>
          <w:trHeight w:val="449"/>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B5253D" w14:textId="303065FD" w:rsidR="00CE7634" w:rsidRPr="00E976BE" w:rsidRDefault="00CE7634" w:rsidP="00422BD3">
            <w:pPr>
              <w:spacing w:after="0"/>
              <w:rPr>
                <w:b/>
                <w:bCs/>
                <w:noProof/>
              </w:rPr>
            </w:pPr>
            <w:r>
              <w:rPr>
                <w:noProof/>
              </w:rPr>
              <w:t xml:space="preserve">Lancer un groupe européen de déploiement des investissements dans la bioéconomie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2728C1" w14:textId="7509268E" w:rsidR="00CE7634" w:rsidRPr="006E08C9" w:rsidRDefault="00CE7634" w:rsidP="00422BD3">
            <w:pPr>
              <w:spacing w:after="0"/>
              <w:jc w:val="center"/>
              <w:rPr>
                <w:noProof/>
              </w:rPr>
            </w:pPr>
            <w:r>
              <w:rPr>
                <w:noProof/>
              </w:rPr>
              <w:t>2026-2028</w:t>
            </w:r>
          </w:p>
        </w:tc>
      </w:tr>
      <w:bookmarkEnd w:id="14"/>
      <w:tr w:rsidR="00CE7634" w:rsidRPr="00CE41EF" w14:paraId="7F8DCD1B"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A5FE06" w14:textId="77777777" w:rsidR="00CE7634" w:rsidRPr="00422BD3" w:rsidRDefault="00CE7634" w:rsidP="00160ED0">
            <w:pPr>
              <w:spacing w:after="0"/>
              <w:rPr>
                <w:noProof/>
                <w:szCs w:val="24"/>
              </w:rPr>
            </w:pPr>
            <w:r>
              <w:rPr>
                <w:noProof/>
              </w:rPr>
              <w:t>Réexaminer l’accord de partenariat actuel de l’entreprise commune CBE-JU et déterminer les futures possibilités de collaboration les plus efficaces au titre du prochain cadre financier pluriannuel</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0F35C0" w14:textId="77777777" w:rsidR="00CE7634" w:rsidRDefault="00CE7634" w:rsidP="001425A5">
            <w:pPr>
              <w:jc w:val="center"/>
              <w:rPr>
                <w:noProof/>
                <w:sz w:val="22"/>
                <w:szCs w:val="22"/>
              </w:rPr>
            </w:pPr>
            <w:r>
              <w:rPr>
                <w:noProof/>
              </w:rPr>
              <w:t>2026-2028</w:t>
            </w:r>
          </w:p>
        </w:tc>
      </w:tr>
      <w:tr w:rsidR="00CE7634" w:rsidRPr="00CE41EF" w14:paraId="0261E1A7"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027426" w14:textId="29253F3A" w:rsidR="00CE7634" w:rsidRPr="00FF0551" w:rsidRDefault="00FD2A26" w:rsidP="00160ED0">
            <w:pPr>
              <w:spacing w:after="0"/>
              <w:rPr>
                <w:noProof/>
              </w:rPr>
            </w:pPr>
            <w:bookmarkStart w:id="15" w:name="_Hlk213933864"/>
            <w:r>
              <w:rPr>
                <w:noProof/>
              </w:rPr>
              <w:t>Veiller à ce que la bioproduction durable et les autres activités économiques biosourcées soient dûment prises en compte dans les prochaines révisions des actes délégués relatifs à la taxinomie de l’UE</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2ED303" w14:textId="5E50C6BA" w:rsidR="00CE7634" w:rsidRPr="00FF0551" w:rsidRDefault="00CE7634" w:rsidP="001425A5">
            <w:pPr>
              <w:spacing w:after="0"/>
              <w:jc w:val="center"/>
              <w:rPr>
                <w:noProof/>
              </w:rPr>
            </w:pPr>
            <w:r>
              <w:rPr>
                <w:noProof/>
              </w:rPr>
              <w:t>2026-2028</w:t>
            </w:r>
          </w:p>
        </w:tc>
      </w:tr>
      <w:bookmarkEnd w:id="15"/>
      <w:tr w:rsidR="00CE7634" w:rsidRPr="00CE41EF" w14:paraId="791694C5"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1A62B1" w14:textId="77777777" w:rsidR="00CE7634" w:rsidRPr="00FF0551" w:rsidRDefault="00CE7634" w:rsidP="00160ED0">
            <w:pPr>
              <w:spacing w:after="0"/>
              <w:rPr>
                <w:noProof/>
              </w:rPr>
            </w:pPr>
            <w:r>
              <w:rPr>
                <w:noProof/>
              </w:rPr>
              <w:t>Réviser la recommandation relative à l’utilisation de méthodes d’empreinte environnementale (EE) et à la fourniture de données</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48DB6D" w14:textId="77777777" w:rsidR="00CE7634" w:rsidRPr="00FF0551" w:rsidRDefault="00CE7634" w:rsidP="001425A5">
            <w:pPr>
              <w:spacing w:after="0"/>
              <w:jc w:val="center"/>
              <w:rPr>
                <w:noProof/>
              </w:rPr>
            </w:pPr>
            <w:r>
              <w:rPr>
                <w:noProof/>
              </w:rPr>
              <w:t>T4 2026</w:t>
            </w:r>
          </w:p>
        </w:tc>
      </w:tr>
    </w:tbl>
    <w:bookmarkEnd w:id="13"/>
    <w:p w14:paraId="1309B197" w14:textId="6D62D180" w:rsidR="00CE7634" w:rsidRPr="00CE41EF" w:rsidRDefault="00CE7634" w:rsidP="00CE7634">
      <w:pPr>
        <w:pStyle w:val="Heading1"/>
        <w:numPr>
          <w:ilvl w:val="0"/>
          <w:numId w:val="0"/>
        </w:numPr>
        <w:rPr>
          <w:noProof/>
        </w:rPr>
      </w:pPr>
      <w:r>
        <w:rPr>
          <w:noProof/>
        </w:rPr>
        <w:t>Développer des marchés pilotes pour les matériaux et les technologies</w:t>
      </w:r>
    </w:p>
    <w:tbl>
      <w:tblPr>
        <w:tblStyle w:val="TableGrid"/>
        <w:tblW w:w="9000" w:type="dxa"/>
        <w:tblInd w:w="-8" w:type="dxa"/>
        <w:tblBorders>
          <w:top w:val="single" w:sz="6" w:space="0" w:color="auto"/>
          <w:left w:val="single" w:sz="6" w:space="0" w:color="auto"/>
          <w:bottom w:val="single" w:sz="6" w:space="0" w:color="auto"/>
          <w:right w:val="single" w:sz="6" w:space="0" w:color="auto"/>
        </w:tblBorders>
        <w:tblCellMar>
          <w:top w:w="28" w:type="dxa"/>
          <w:bottom w:w="28" w:type="dxa"/>
        </w:tblCellMar>
        <w:tblLook w:val="01E0" w:firstRow="1" w:lastRow="1" w:firstColumn="1" w:lastColumn="1" w:noHBand="0" w:noVBand="0"/>
      </w:tblPr>
      <w:tblGrid>
        <w:gridCol w:w="7513"/>
        <w:gridCol w:w="1487"/>
      </w:tblGrid>
      <w:tr w:rsidR="00F531BC" w:rsidRPr="00CE41EF" w14:paraId="05AB2CDD" w14:textId="77777777" w:rsidTr="00A6391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0FE944D4" w14:textId="77777777" w:rsidR="00CE7634" w:rsidRPr="00FF0551" w:rsidRDefault="00CE7634" w:rsidP="00160ED0">
            <w:pPr>
              <w:spacing w:after="0"/>
              <w:jc w:val="center"/>
              <w:rPr>
                <w:b/>
                <w:bCs/>
                <w:noProof/>
                <w:color w:val="000000" w:themeColor="text1"/>
              </w:rPr>
            </w:pPr>
            <w:r>
              <w:rPr>
                <w:b/>
                <w:noProof/>
                <w:color w:val="000000" w:themeColor="text1"/>
              </w:rPr>
              <w:t>Actions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03022DFE" w14:textId="77777777" w:rsidR="00CE7634" w:rsidRPr="00FF0551" w:rsidRDefault="00CE7634" w:rsidP="00160ED0">
            <w:pPr>
              <w:spacing w:after="0"/>
              <w:jc w:val="center"/>
              <w:rPr>
                <w:b/>
                <w:bCs/>
                <w:noProof/>
                <w:color w:val="000000" w:themeColor="text1"/>
              </w:rPr>
            </w:pPr>
            <w:r>
              <w:rPr>
                <w:b/>
                <w:noProof/>
                <w:color w:val="000000" w:themeColor="text1"/>
              </w:rPr>
              <w:t>Calendrier</w:t>
            </w:r>
          </w:p>
        </w:tc>
      </w:tr>
      <w:tr w:rsidR="00CE7634" w:rsidRPr="00070E77" w14:paraId="1BC44345"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E4C79F" w14:textId="77777777" w:rsidR="00CE7634" w:rsidRPr="00070E77" w:rsidRDefault="00CE7634" w:rsidP="00160ED0">
            <w:pPr>
              <w:spacing w:after="0"/>
              <w:rPr>
                <w:noProof/>
              </w:rPr>
            </w:pPr>
            <w:r>
              <w:rPr>
                <w:noProof/>
              </w:rPr>
              <w:t>Analyser et échanger les bonnes pratiques en matière d’utilisation en cascade avec une communauté de praticiens au sein du centre de connaissances de la CE sur la bioéconomie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CAE51C" w14:textId="77777777" w:rsidR="00CE7634" w:rsidRPr="00070E77" w:rsidRDefault="00CE7634" w:rsidP="00C55B60">
            <w:pPr>
              <w:spacing w:after="0"/>
              <w:jc w:val="center"/>
              <w:rPr>
                <w:noProof/>
              </w:rPr>
            </w:pPr>
            <w:r>
              <w:rPr>
                <w:noProof/>
              </w:rPr>
              <w:t>2026-2027</w:t>
            </w:r>
          </w:p>
        </w:tc>
      </w:tr>
      <w:tr w:rsidR="00F531BC" w:rsidRPr="00070E77" w14:paraId="185F0AC4" w14:textId="77777777" w:rsidTr="00A63913">
        <w:trPr>
          <w:trHeight w:val="1125"/>
        </w:trPr>
        <w:tc>
          <w:tcPr>
            <w:tcW w:w="7513" w:type="dxa"/>
            <w:tcBorders>
              <w:top w:val="single" w:sz="6" w:space="0" w:color="000000" w:themeColor="text1"/>
              <w:left w:val="single" w:sz="6" w:space="0" w:color="000000" w:themeColor="text1"/>
              <w:bottom w:val="single" w:sz="4" w:space="0" w:color="auto"/>
              <w:right w:val="single" w:sz="6" w:space="0" w:color="000000" w:themeColor="text1"/>
            </w:tcBorders>
            <w:tcMar>
              <w:left w:w="105" w:type="dxa"/>
              <w:right w:w="105" w:type="dxa"/>
            </w:tcMar>
          </w:tcPr>
          <w:p w14:paraId="53557313" w14:textId="030C1FD4" w:rsidR="00CE7634" w:rsidRPr="00E976BE" w:rsidRDefault="00CE7634" w:rsidP="00160ED0">
            <w:pPr>
              <w:spacing w:after="0"/>
              <w:rPr>
                <w:noProof/>
              </w:rPr>
            </w:pPr>
            <w:bookmarkStart w:id="16" w:name="_Hlk213332173"/>
            <w:bookmarkStart w:id="17" w:name="_Hlk213941462"/>
            <w:r>
              <w:rPr>
                <w:noProof/>
              </w:rPr>
              <w:t>Le paquet «Union de l’énergie» pour la décennie à venir tiendra compte de l’expérience acquise dans le cadre de la mise en œuvre de la directive sur les énergies renouvelables, y compris de ses critères de durabilité et de réduction des émissions de gaz à effet de serre, ainsi que des évolutions technologiques dans le domaine de l’énergie produite à partir de sources renouvelables</w:t>
            </w:r>
            <w:bookmarkEnd w:id="16"/>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2C84E9" w14:textId="73DFE8AB" w:rsidR="00CE7634" w:rsidRPr="00E976BE" w:rsidRDefault="00CE7634" w:rsidP="00C55B60">
            <w:pPr>
              <w:spacing w:after="0"/>
              <w:jc w:val="center"/>
              <w:rPr>
                <w:noProof/>
              </w:rPr>
            </w:pPr>
            <w:r>
              <w:rPr>
                <w:noProof/>
              </w:rPr>
              <w:t>2026</w:t>
            </w:r>
          </w:p>
          <w:p w14:paraId="16F38C6E" w14:textId="0DC74392" w:rsidR="00CE7634" w:rsidRPr="00E976BE" w:rsidRDefault="00CE7634" w:rsidP="00C55B60">
            <w:pPr>
              <w:spacing w:after="0"/>
              <w:jc w:val="center"/>
              <w:rPr>
                <w:noProof/>
              </w:rPr>
            </w:pPr>
          </w:p>
        </w:tc>
      </w:tr>
      <w:tr w:rsidR="00F531BC" w:rsidRPr="00070E77" w14:paraId="209922F7" w14:textId="77777777" w:rsidTr="00A63913">
        <w:trPr>
          <w:trHeight w:val="300"/>
        </w:trPr>
        <w:tc>
          <w:tcPr>
            <w:tcW w:w="7513"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112CBA87" w14:textId="325C8C0C" w:rsidR="005156FE" w:rsidRPr="00070E77" w:rsidRDefault="005156FE" w:rsidP="00160ED0">
            <w:pPr>
              <w:spacing w:after="0"/>
              <w:rPr>
                <w:noProof/>
              </w:rPr>
            </w:pPr>
            <w:bookmarkStart w:id="18" w:name="_Hlk213941474"/>
            <w:bookmarkEnd w:id="17"/>
            <w:r>
              <w:rPr>
                <w:noProof/>
              </w:rPr>
              <w:t>Publier un rapport, conformément à l’article 3, paragraphe 3, de la directive sur les énergies renouvelables, sur l’incidence des régimes d’aide des États membres en faveur de la biomasse, y compris sur la biodiversité, le climat et l’environnement, et sur d’éventuelles distorsions du marché</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FC7ECB" w14:textId="131C3F51" w:rsidR="00CE7634" w:rsidRPr="00070E77" w:rsidRDefault="005156FE" w:rsidP="00C55B60">
            <w:pPr>
              <w:spacing w:after="0"/>
              <w:jc w:val="center"/>
              <w:rPr>
                <w:noProof/>
              </w:rPr>
            </w:pPr>
            <w:r>
              <w:rPr>
                <w:noProof/>
              </w:rPr>
              <w:t>2027</w:t>
            </w:r>
          </w:p>
        </w:tc>
      </w:tr>
      <w:bookmarkEnd w:id="18"/>
      <w:tr w:rsidR="00CE7634" w:rsidRPr="00CE41EF" w14:paraId="1221CEB0"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DF22E4" w14:textId="77777777" w:rsidR="00CE7634" w:rsidRPr="00FF0551" w:rsidRDefault="00CE7634" w:rsidP="00160ED0">
            <w:pPr>
              <w:spacing w:after="0"/>
              <w:rPr>
                <w:noProof/>
              </w:rPr>
            </w:pPr>
            <w:r>
              <w:rPr>
                <w:noProof/>
              </w:rPr>
              <w:t>Adopter des critères et des objectifs pour les bioplastiques conformément au règlement relatif aux emballages et aux déchets d’emballages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4A5167" w14:textId="77777777" w:rsidR="00CE7634" w:rsidRPr="00FF0551" w:rsidDel="00934C29" w:rsidRDefault="00CE7634" w:rsidP="001425A5">
            <w:pPr>
              <w:spacing w:after="0"/>
              <w:jc w:val="center"/>
              <w:rPr>
                <w:noProof/>
              </w:rPr>
            </w:pPr>
            <w:r>
              <w:rPr>
                <w:noProof/>
              </w:rPr>
              <w:t>2027</w:t>
            </w:r>
          </w:p>
        </w:tc>
      </w:tr>
      <w:tr w:rsidR="00CE7634" w:rsidRPr="00CE41EF" w14:paraId="0ACD7CF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02E97D" w14:textId="77777777" w:rsidR="00CE7634" w:rsidRPr="00FF0551" w:rsidRDefault="00CE7634" w:rsidP="00160ED0">
            <w:pPr>
              <w:spacing w:after="0"/>
              <w:rPr>
                <w:rStyle w:val="FootnoteReference"/>
                <w:noProof/>
              </w:rPr>
            </w:pPr>
            <w:r>
              <w:rPr>
                <w:noProof/>
              </w:rPr>
              <w:t>Actes délégués du règlement sur l’écoconception pour des produits durables (REPD) concernant les exigences en matière d’écoconception applicables aux textiles et à l’ameublement, comme annoncé dans le premier plan de travail du REPD</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4390D" w14:textId="77777777" w:rsidR="00CE7634" w:rsidRPr="00FF0551" w:rsidRDefault="00CE7634" w:rsidP="001425A5">
            <w:pPr>
              <w:spacing w:after="0"/>
              <w:jc w:val="center"/>
              <w:rPr>
                <w:noProof/>
              </w:rPr>
            </w:pPr>
            <w:r>
              <w:rPr>
                <w:noProof/>
              </w:rPr>
              <w:t>2027-2028</w:t>
            </w:r>
          </w:p>
        </w:tc>
      </w:tr>
      <w:tr w:rsidR="00CE7634" w:rsidRPr="00070E77" w14:paraId="59EA270B"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40EAE0" w14:textId="593DE219" w:rsidR="00CE7634" w:rsidRPr="00070E77" w:rsidRDefault="00F02C20" w:rsidP="00160ED0">
            <w:pPr>
              <w:spacing w:after="0"/>
              <w:rPr>
                <w:noProof/>
              </w:rPr>
            </w:pPr>
            <w:r>
              <w:rPr>
                <w:noProof/>
              </w:rPr>
              <w:t>Poursuivre les travaux de normalisation pour les bioproduits de construction conformément au règlement sur les produits de construction</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7F5B9B" w14:textId="77777777" w:rsidR="00CE7634" w:rsidRPr="00070E77" w:rsidRDefault="00CE7634" w:rsidP="001425A5">
            <w:pPr>
              <w:spacing w:after="0"/>
              <w:jc w:val="center"/>
              <w:rPr>
                <w:noProof/>
              </w:rPr>
            </w:pPr>
            <w:r>
              <w:rPr>
                <w:noProof/>
              </w:rPr>
              <w:t>2026</w:t>
            </w:r>
          </w:p>
        </w:tc>
      </w:tr>
      <w:tr w:rsidR="00CE7634" w:rsidRPr="00CE41EF" w14:paraId="6F07E5E2"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E8B3C1" w14:textId="77777777" w:rsidR="00CE7634" w:rsidRPr="00070E77" w:rsidRDefault="00CE7634" w:rsidP="00160ED0">
            <w:pPr>
              <w:spacing w:after="0"/>
              <w:rPr>
                <w:noProof/>
              </w:rPr>
            </w:pPr>
            <w:r>
              <w:rPr>
                <w:noProof/>
              </w:rPr>
              <w:t>Soutenir le développement de vallées de symbiose industrielle et de pôles de bioéconomie</w:t>
            </w:r>
            <w:r>
              <w:rPr>
                <w:noProof/>
              </w:rPr>
              <w:tab/>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44B607" w14:textId="77777777" w:rsidR="00CE7634" w:rsidRPr="00070E77" w:rsidRDefault="00CE7634" w:rsidP="001425A5">
            <w:pPr>
              <w:spacing w:after="0"/>
              <w:jc w:val="center"/>
              <w:rPr>
                <w:noProof/>
              </w:rPr>
            </w:pPr>
            <w:r>
              <w:rPr>
                <w:noProof/>
              </w:rPr>
              <w:t>À partir de 2026</w:t>
            </w:r>
          </w:p>
        </w:tc>
      </w:tr>
      <w:tr w:rsidR="00CE7634" w:rsidRPr="00CE41EF" w14:paraId="3B373EDC"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0B09E9" w14:textId="15C62491" w:rsidR="00CE7634" w:rsidRPr="00070E77" w:rsidRDefault="00CE7634" w:rsidP="00160ED0">
            <w:pPr>
              <w:spacing w:after="0"/>
              <w:rPr>
                <w:noProof/>
              </w:rPr>
            </w:pPr>
            <w:r>
              <w:rPr>
                <w:noProof/>
              </w:rPr>
              <w:t>Lancer l’outil de coordination de la compétitivité, y compris l’alliance volontaire pour une Europe fondée sur la bioéconomie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87FE65" w14:textId="77777777" w:rsidR="00CE7634" w:rsidRPr="00FF0551" w:rsidRDefault="00CE7634" w:rsidP="001425A5">
            <w:pPr>
              <w:spacing w:after="0"/>
              <w:jc w:val="center"/>
              <w:rPr>
                <w:noProof/>
              </w:rPr>
            </w:pPr>
            <w:r>
              <w:rPr>
                <w:noProof/>
              </w:rPr>
              <w:t>T4 2026</w:t>
            </w:r>
          </w:p>
        </w:tc>
      </w:tr>
      <w:tr w:rsidR="00CE7634" w:rsidRPr="00CE41EF" w14:paraId="3EB86E52"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73536A" w14:textId="77777777" w:rsidR="00CE7634" w:rsidDel="003D0F48" w:rsidRDefault="00CE7634" w:rsidP="00160ED0">
            <w:pPr>
              <w:spacing w:after="0"/>
              <w:rPr>
                <w:noProof/>
              </w:rPr>
            </w:pPr>
            <w:r>
              <w:rPr>
                <w:noProof/>
              </w:rPr>
              <w:t>Méthode de certification pour le stockage durable du carbone dans les bâtiments conformément au règlement sur les absorptions de carbone et l’agrostockage de carbone (CRCF)</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53ED03" w14:textId="77777777" w:rsidR="00CE7634" w:rsidDel="003D0F48" w:rsidRDefault="00CE7634" w:rsidP="001425A5">
            <w:pPr>
              <w:spacing w:after="0"/>
              <w:jc w:val="center"/>
              <w:rPr>
                <w:noProof/>
              </w:rPr>
            </w:pPr>
            <w:r>
              <w:rPr>
                <w:noProof/>
              </w:rPr>
              <w:t>2026</w:t>
            </w:r>
          </w:p>
        </w:tc>
      </w:tr>
      <w:tr w:rsidR="00CE7634" w:rsidRPr="00CE41EF" w14:paraId="3BF63FF6"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6D1EA6" w14:textId="77777777" w:rsidR="00CE7634" w:rsidRPr="00CE41EF" w:rsidRDefault="00CE7634" w:rsidP="00160ED0">
            <w:pPr>
              <w:rPr>
                <w:noProof/>
              </w:rPr>
            </w:pPr>
            <w:r>
              <w:rPr>
                <w:noProof/>
              </w:rPr>
              <w:t>Améliorer les exigences en matière de marchés publics écologiques et créer des marchés pilotes pour les matériaux biosourcés et les technologies stratégiques propres par la révision de la législation de l’UE sur les marchés publics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3D9E7F" w14:textId="77777777" w:rsidR="00CE7634" w:rsidRPr="00FF0551" w:rsidRDefault="00CE7634" w:rsidP="001425A5">
            <w:pPr>
              <w:jc w:val="center"/>
              <w:rPr>
                <w:noProof/>
              </w:rPr>
            </w:pPr>
            <w:r>
              <w:rPr>
                <w:noProof/>
              </w:rPr>
              <w:t>Révisable</w:t>
            </w:r>
          </w:p>
        </w:tc>
      </w:tr>
    </w:tbl>
    <w:p w14:paraId="0D41EDE4" w14:textId="0A8B7F14" w:rsidR="00CE7634" w:rsidRDefault="00CE7634" w:rsidP="00CE7634">
      <w:pPr>
        <w:pStyle w:val="Heading1"/>
        <w:numPr>
          <w:ilvl w:val="0"/>
          <w:numId w:val="0"/>
        </w:numPr>
        <w:rPr>
          <w:noProof/>
        </w:rPr>
      </w:pPr>
      <w:r>
        <w:rPr>
          <w:noProof/>
        </w:rPr>
        <w:t>Garantir des perspectives à long terme pour la bioéconomie: biomasse issue de sources durables</w:t>
      </w:r>
    </w:p>
    <w:tbl>
      <w:tblPr>
        <w:tblStyle w:val="TableGrid"/>
        <w:tblW w:w="9000" w:type="dxa"/>
        <w:tblInd w:w="-8" w:type="dxa"/>
        <w:tblBorders>
          <w:top w:val="single" w:sz="6" w:space="0" w:color="auto"/>
          <w:left w:val="single" w:sz="6" w:space="0" w:color="auto"/>
          <w:bottom w:val="single" w:sz="6" w:space="0" w:color="auto"/>
          <w:right w:val="single" w:sz="6" w:space="0" w:color="auto"/>
        </w:tblBorders>
        <w:tblLayout w:type="fixed"/>
        <w:tblCellMar>
          <w:top w:w="28" w:type="dxa"/>
          <w:bottom w:w="28" w:type="dxa"/>
        </w:tblCellMar>
        <w:tblLook w:val="01E0" w:firstRow="1" w:lastRow="1" w:firstColumn="1" w:lastColumn="1" w:noHBand="0" w:noVBand="0"/>
      </w:tblPr>
      <w:tblGrid>
        <w:gridCol w:w="7513"/>
        <w:gridCol w:w="1487"/>
      </w:tblGrid>
      <w:tr w:rsidR="00CE7634" w:rsidRPr="00CE41EF" w14:paraId="4CBB0675" w14:textId="77777777" w:rsidTr="00A6391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7360C799" w14:textId="77777777" w:rsidR="00CE7634" w:rsidRPr="00FF0551" w:rsidRDefault="00CE7634" w:rsidP="00160ED0">
            <w:pPr>
              <w:spacing w:after="0"/>
              <w:jc w:val="center"/>
              <w:rPr>
                <w:b/>
                <w:bCs/>
                <w:noProof/>
              </w:rPr>
            </w:pPr>
            <w:r>
              <w:rPr>
                <w:b/>
                <w:noProof/>
              </w:rPr>
              <w:t>Actions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62D627A0" w14:textId="77777777" w:rsidR="00CE7634" w:rsidRPr="00FF0551" w:rsidRDefault="00CE7634" w:rsidP="00160ED0">
            <w:pPr>
              <w:spacing w:after="0"/>
              <w:jc w:val="center"/>
              <w:rPr>
                <w:b/>
                <w:bCs/>
                <w:noProof/>
              </w:rPr>
            </w:pPr>
            <w:r>
              <w:rPr>
                <w:b/>
                <w:noProof/>
              </w:rPr>
              <w:t>Calendrier</w:t>
            </w:r>
          </w:p>
        </w:tc>
      </w:tr>
      <w:tr w:rsidR="00CE7634" w14:paraId="706982B3"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F38E78" w14:textId="77777777" w:rsidR="00CE7634" w:rsidRPr="386CB003" w:rsidRDefault="00CE7634" w:rsidP="00160ED0">
            <w:pPr>
              <w:spacing w:after="0"/>
              <w:rPr>
                <w:noProof/>
              </w:rPr>
            </w:pPr>
            <w:r>
              <w:rPr>
                <w:noProof/>
              </w:rPr>
              <w:t>Échanger les bonnes pratiques en matière d’utilisation circulaire au niveau local des sous-produits animaux bénéficiant d’un soutien au titre du réseau de la PAC</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AD74E0" w14:textId="77777777" w:rsidR="00CE7634" w:rsidRDefault="00CE7634" w:rsidP="001425A5">
            <w:pPr>
              <w:spacing w:after="0"/>
              <w:jc w:val="center"/>
              <w:rPr>
                <w:noProof/>
              </w:rPr>
            </w:pPr>
            <w:r>
              <w:rPr>
                <w:noProof/>
              </w:rPr>
              <w:t>2027</w:t>
            </w:r>
          </w:p>
        </w:tc>
      </w:tr>
      <w:tr w:rsidR="00CE7634" w:rsidRPr="00CE41EF" w14:paraId="77AF8DAE"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7F841" w14:textId="75B5ED78" w:rsidR="00CE7634" w:rsidRPr="00FF0551" w:rsidRDefault="00CE7634" w:rsidP="00160ED0">
            <w:pPr>
              <w:spacing w:after="0"/>
              <w:rPr>
                <w:noProof/>
              </w:rPr>
            </w:pPr>
            <w:r>
              <w:rPr>
                <w:noProof/>
              </w:rPr>
              <w:t>Soutenir la production de biogaz et de biométhane valorisant les biodéchets et les résidus et permettant l’utilisation du digestat coproduit en tant que fertilisants biosourcés au moyen d’un accord tripartite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8B8665" w14:textId="77777777" w:rsidR="00CE7634" w:rsidRPr="00FF0551" w:rsidRDefault="00CE7634" w:rsidP="001425A5">
            <w:pPr>
              <w:spacing w:after="0"/>
              <w:jc w:val="center"/>
              <w:rPr>
                <w:noProof/>
              </w:rPr>
            </w:pPr>
            <w:r>
              <w:rPr>
                <w:noProof/>
              </w:rPr>
              <w:t>2026</w:t>
            </w:r>
          </w:p>
        </w:tc>
      </w:tr>
      <w:tr w:rsidR="00CE7634" w14:paraId="622C120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DB46DF" w14:textId="77777777" w:rsidR="00CE7634" w:rsidRDefault="00CE7634" w:rsidP="00160ED0">
            <w:pPr>
              <w:spacing w:after="0"/>
              <w:rPr>
                <w:b/>
                <w:bCs/>
                <w:noProof/>
              </w:rPr>
            </w:pPr>
            <w:r>
              <w:rPr>
                <w:noProof/>
              </w:rPr>
              <w:t>Évaluer les meilleures pratiques et innovations en matière de bioéconomie afin d’accroître l’efficacité de l’utilisation de l’azote dans les systèmes de bioéconomie et les réseaux de valeur</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A99D4" w14:textId="77777777" w:rsidR="00CE7634" w:rsidRDefault="00CE7634" w:rsidP="001425A5">
            <w:pPr>
              <w:spacing w:after="0"/>
              <w:jc w:val="center"/>
              <w:rPr>
                <w:noProof/>
              </w:rPr>
            </w:pPr>
            <w:r>
              <w:rPr>
                <w:noProof/>
              </w:rPr>
              <w:t>À partir de 2026</w:t>
            </w:r>
          </w:p>
        </w:tc>
      </w:tr>
      <w:tr w:rsidR="00CE7634" w14:paraId="7B9D0B6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BDC48E" w14:textId="77777777" w:rsidR="00CE7634" w:rsidRDefault="00CE7634" w:rsidP="00160ED0">
            <w:pPr>
              <w:spacing w:after="0"/>
              <w:rPr>
                <w:noProof/>
              </w:rPr>
            </w:pPr>
            <w:r>
              <w:rPr>
                <w:noProof/>
              </w:rPr>
              <w:t>Publier des orientations sur les modèles économiques circulaires</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2A6622" w14:textId="77777777" w:rsidR="00CE7634" w:rsidRDefault="00CE7634" w:rsidP="001425A5">
            <w:pPr>
              <w:spacing w:after="0"/>
              <w:jc w:val="center"/>
              <w:rPr>
                <w:noProof/>
              </w:rPr>
            </w:pPr>
            <w:r>
              <w:rPr>
                <w:noProof/>
              </w:rPr>
              <w:t>2027</w:t>
            </w:r>
          </w:p>
        </w:tc>
      </w:tr>
      <w:tr w:rsidR="00CE7634" w:rsidRPr="00CE41EF" w14:paraId="4B7E82F9"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CC5613" w14:textId="58EE470B" w:rsidR="00CE7634" w:rsidRPr="00FF0551" w:rsidRDefault="00CE7634" w:rsidP="00160ED0">
            <w:pPr>
              <w:spacing w:after="0"/>
              <w:rPr>
                <w:noProof/>
              </w:rPr>
            </w:pPr>
            <w:r>
              <w:rPr>
                <w:noProof/>
              </w:rPr>
              <w:t>Améliorer les données et la modélisation pour surveiller la disponibilité de la biomasse (en s’appuyant sur le centre de connaissances de la Commission sur la bioéconomie)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0EEBF3" w14:textId="77777777" w:rsidR="00CE7634" w:rsidRPr="00FF0551" w:rsidRDefault="00CE7634" w:rsidP="001425A5">
            <w:pPr>
              <w:spacing w:after="0"/>
              <w:jc w:val="center"/>
              <w:rPr>
                <w:noProof/>
              </w:rPr>
            </w:pPr>
            <w:r>
              <w:rPr>
                <w:noProof/>
              </w:rPr>
              <w:t>À partir de 2026</w:t>
            </w:r>
          </w:p>
        </w:tc>
      </w:tr>
      <w:tr w:rsidR="00CE7634" w14:paraId="11ED7434"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735F0D" w14:textId="294ED929" w:rsidR="00CE7634" w:rsidRDefault="00CE7634" w:rsidP="00160ED0">
            <w:pPr>
              <w:spacing w:after="0"/>
              <w:rPr>
                <w:noProof/>
              </w:rPr>
            </w:pPr>
            <w:r>
              <w:rPr>
                <w:noProof/>
              </w:rPr>
              <w:t>Lancer l’initiative pour l’innovation dans la bioéconomie bleue et le financement connexe d’Horizon Europe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125256" w14:textId="77777777" w:rsidR="00CE7634" w:rsidRDefault="00CE7634" w:rsidP="001425A5">
            <w:pPr>
              <w:spacing w:after="0"/>
              <w:jc w:val="center"/>
              <w:rPr>
                <w:noProof/>
              </w:rPr>
            </w:pPr>
            <w:r>
              <w:rPr>
                <w:noProof/>
              </w:rPr>
              <w:t>2026-2027</w:t>
            </w:r>
          </w:p>
        </w:tc>
      </w:tr>
      <w:tr w:rsidR="00CE7634" w:rsidRPr="00CE41EF" w14:paraId="548953EA"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8FA2E4" w14:textId="3CF0025B" w:rsidR="00CE7634" w:rsidRDefault="00CE7634" w:rsidP="00160ED0">
            <w:pPr>
              <w:spacing w:after="0"/>
              <w:rPr>
                <w:noProof/>
              </w:rPr>
            </w:pPr>
            <w:r>
              <w:rPr>
                <w:noProof/>
              </w:rPr>
              <w:t xml:space="preserve">Encourager les approches fondées sur les données pour le développement d’une bioéconomie durable: intégration de données d’observation de la Terre (OT) pour surveiller la disponibilité de la biomasse durable ainsi que les changements d’affectation des sols et les préoccupations en matière de biodiversité qui y sont liés. </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68E0EA" w14:textId="77777777" w:rsidR="00CE7634" w:rsidRDefault="00CE7634" w:rsidP="001425A5">
            <w:pPr>
              <w:spacing w:after="0"/>
              <w:jc w:val="center"/>
              <w:rPr>
                <w:noProof/>
              </w:rPr>
            </w:pPr>
            <w:r>
              <w:rPr>
                <w:noProof/>
              </w:rPr>
              <w:t>2027</w:t>
            </w:r>
          </w:p>
        </w:tc>
      </w:tr>
      <w:tr w:rsidR="00CE7634" w:rsidRPr="00CE41EF" w14:paraId="2B422260"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6508DB" w14:textId="77777777" w:rsidR="00CE7634" w:rsidRPr="00FF0551" w:rsidRDefault="00CE7634" w:rsidP="00160ED0">
            <w:pPr>
              <w:spacing w:after="0"/>
              <w:rPr>
                <w:noProof/>
              </w:rPr>
            </w:pPr>
            <w:r>
              <w:rPr>
                <w:noProof/>
              </w:rPr>
              <w:t xml:space="preserve">Établir un référentiel de connaissances à l’échelle de l’UE qui proposera des orientations pratiques adaptées aux conditions locales afin d’aider les agriculteurs, les sylviculteurs et les gestionnaires de terres à améliorer la productivité de la biomasse, la résilience aux conditions météorologiques extrêmes et la fourniture des services écosystémiques, notamment dans le cadre de la mission «Sols» </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119306" w14:textId="3D0854E2" w:rsidR="00CE7634" w:rsidRPr="00FF0551" w:rsidDel="00931931" w:rsidRDefault="001425A5" w:rsidP="001425A5">
            <w:pPr>
              <w:spacing w:after="0"/>
              <w:jc w:val="center"/>
              <w:rPr>
                <w:noProof/>
              </w:rPr>
            </w:pPr>
            <w:r>
              <w:rPr>
                <w:noProof/>
              </w:rPr>
              <w:t>D’ici à 2030</w:t>
            </w:r>
          </w:p>
        </w:tc>
      </w:tr>
    </w:tbl>
    <w:p w14:paraId="4FF88208" w14:textId="77777777" w:rsidR="00CE7634" w:rsidRPr="00CE41EF" w:rsidRDefault="00CE7634" w:rsidP="00CE7634">
      <w:pPr>
        <w:pStyle w:val="Heading1"/>
        <w:numPr>
          <w:ilvl w:val="0"/>
          <w:numId w:val="0"/>
        </w:numPr>
        <w:rPr>
          <w:noProof/>
          <w:szCs w:val="24"/>
        </w:rPr>
      </w:pPr>
      <w:r>
        <w:rPr>
          <w:noProof/>
        </w:rPr>
        <w:t xml:space="preserve">Exploiter les partenariats et les possibilités au niveau mondial </w:t>
      </w:r>
    </w:p>
    <w:tbl>
      <w:tblPr>
        <w:tblStyle w:val="TableGrid"/>
        <w:tblW w:w="9090" w:type="dxa"/>
        <w:tblInd w:w="-8" w:type="dxa"/>
        <w:tblBorders>
          <w:top w:val="outset" w:sz="6" w:space="0" w:color="auto"/>
          <w:left w:val="outset" w:sz="6" w:space="0" w:color="auto"/>
          <w:bottom w:val="outset" w:sz="6" w:space="0" w:color="auto"/>
          <w:right w:val="outset" w:sz="6" w:space="0" w:color="auto"/>
        </w:tblBorders>
        <w:tblLayout w:type="fixed"/>
        <w:tblCellMar>
          <w:top w:w="28" w:type="dxa"/>
          <w:left w:w="85" w:type="dxa"/>
          <w:bottom w:w="28" w:type="dxa"/>
          <w:right w:w="85" w:type="dxa"/>
        </w:tblCellMar>
        <w:tblLook w:val="04A0" w:firstRow="1" w:lastRow="0" w:firstColumn="1" w:lastColumn="0" w:noHBand="0" w:noVBand="1"/>
      </w:tblPr>
      <w:tblGrid>
        <w:gridCol w:w="7513"/>
        <w:gridCol w:w="1577"/>
      </w:tblGrid>
      <w:tr w:rsidR="00CE7634" w:rsidRPr="00CE41EF" w14:paraId="2E88B594"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D7606BE" w14:textId="77777777" w:rsidR="00CE7634" w:rsidRPr="00FF0551" w:rsidRDefault="00CE7634" w:rsidP="00160ED0">
            <w:pPr>
              <w:spacing w:after="0"/>
              <w:jc w:val="center"/>
              <w:rPr>
                <w:b/>
                <w:bCs/>
                <w:noProof/>
              </w:rPr>
            </w:pPr>
            <w:r>
              <w:rPr>
                <w:b/>
                <w:noProof/>
              </w:rPr>
              <w:t>Actions</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63EDA2BA" w14:textId="77777777" w:rsidR="00CE7634" w:rsidRPr="00FF0551" w:rsidRDefault="00CE7634" w:rsidP="00160ED0">
            <w:pPr>
              <w:spacing w:after="0"/>
              <w:jc w:val="center"/>
              <w:rPr>
                <w:b/>
                <w:bCs/>
                <w:noProof/>
              </w:rPr>
            </w:pPr>
            <w:r>
              <w:rPr>
                <w:b/>
                <w:noProof/>
              </w:rPr>
              <w:t>Calendrier</w:t>
            </w:r>
          </w:p>
        </w:tc>
      </w:tr>
      <w:tr w:rsidR="00CE7634" w:rsidRPr="00CE41EF" w14:paraId="3D7C011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AAB9D8" w14:textId="5F64080F" w:rsidR="00CE7634" w:rsidRPr="00FF0551" w:rsidRDefault="00CE7634" w:rsidP="00160ED0">
            <w:pPr>
              <w:spacing w:after="0"/>
              <w:rPr>
                <w:noProof/>
              </w:rPr>
            </w:pPr>
            <w:r>
              <w:rPr>
                <w:noProof/>
              </w:rPr>
              <w:t>Utiliser les accords de libre-échange et autres partenariats de l’UE ainsi que les enceintes internationales pour renforcer la coopération en vue d’élargir l’accès au marché pour des solutions bioéconomiques durables. Déterminer et éliminer les obstacles réglementaires et techniques au commerce afin de soutenir les investissements dans les secteurs de la bioéconomie</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A86D76" w14:textId="2F17D051" w:rsidR="00CE7634" w:rsidRPr="00FF0551" w:rsidRDefault="001425A5" w:rsidP="001425A5">
            <w:pPr>
              <w:spacing w:after="0"/>
              <w:jc w:val="center"/>
              <w:rPr>
                <w:noProof/>
              </w:rPr>
            </w:pPr>
            <w:r>
              <w:rPr>
                <w:noProof/>
              </w:rPr>
              <w:t>Révisable</w:t>
            </w:r>
          </w:p>
        </w:tc>
      </w:tr>
      <w:tr w:rsidR="00CE7634" w:rsidRPr="00CE41EF" w14:paraId="2D7203E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4386AE" w14:textId="2496E002" w:rsidR="00CE7634" w:rsidRPr="00FF0551" w:rsidRDefault="00CE7634" w:rsidP="00160ED0">
            <w:pPr>
              <w:spacing w:after="0"/>
              <w:rPr>
                <w:noProof/>
              </w:rPr>
            </w:pPr>
            <w:r>
              <w:rPr>
                <w:noProof/>
              </w:rPr>
              <w:t>Collaborer avec certains pays partenaires en vue de promouvoir l’innovation européenne, de mettre en place des partenariats stratégiques et de faciliter les investissements, notamment par l’intermédiaire de partenariats pour des échanges et des investissements propres et de la stratégie «Global Gateway»</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92B68D" w14:textId="77777777" w:rsidR="00CE7634" w:rsidRPr="00FF0551" w:rsidRDefault="00CE7634" w:rsidP="001425A5">
            <w:pPr>
              <w:spacing w:after="0"/>
              <w:jc w:val="center"/>
              <w:rPr>
                <w:noProof/>
              </w:rPr>
            </w:pPr>
            <w:r>
              <w:rPr>
                <w:noProof/>
              </w:rPr>
              <w:t>2026-2027</w:t>
            </w:r>
          </w:p>
        </w:tc>
      </w:tr>
      <w:tr w:rsidR="00CE7634" w:rsidRPr="00CE41EF" w14:paraId="7F62F6B3"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4A6545" w14:textId="754D6DF3" w:rsidR="00CE7634" w:rsidRPr="00FF0551" w:rsidRDefault="00CE7634" w:rsidP="00160ED0">
            <w:pPr>
              <w:spacing w:after="0"/>
              <w:rPr>
                <w:noProof/>
              </w:rPr>
            </w:pPr>
            <w:r>
              <w:rPr>
                <w:noProof/>
              </w:rPr>
              <w:t xml:space="preserve">Renforcer la coopération au niveau mondial et rationaliser la gouvernance mondiale dans le domaine de la bioéconomie durable et circulaire </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1BDFBC" w14:textId="77777777" w:rsidR="00CE7634" w:rsidRPr="00FF0551" w:rsidRDefault="00CE7634" w:rsidP="001425A5">
            <w:pPr>
              <w:spacing w:after="0"/>
              <w:jc w:val="center"/>
              <w:rPr>
                <w:noProof/>
              </w:rPr>
            </w:pPr>
            <w:r>
              <w:rPr>
                <w:noProof/>
              </w:rPr>
              <w:t>Révisable</w:t>
            </w:r>
          </w:p>
        </w:tc>
      </w:tr>
    </w:tbl>
    <w:p w14:paraId="2CCB50C8" w14:textId="45B41300" w:rsidR="00CE7634" w:rsidRDefault="00CE7634" w:rsidP="00CE7634">
      <w:pPr>
        <w:pStyle w:val="Heading1"/>
        <w:numPr>
          <w:ilvl w:val="0"/>
          <w:numId w:val="0"/>
        </w:numPr>
        <w:rPr>
          <w:noProof/>
          <w:szCs w:val="24"/>
        </w:rPr>
      </w:pPr>
      <w:r>
        <w:rPr>
          <w:noProof/>
        </w:rPr>
        <w:t xml:space="preserve">Unir nos forces pour une action efficace: États membres, industrie, investisseurs et société civile </w:t>
      </w:r>
    </w:p>
    <w:tbl>
      <w:tblPr>
        <w:tblStyle w:val="TableGrid"/>
        <w:tblW w:w="9090" w:type="dxa"/>
        <w:tblInd w:w="-10" w:type="dxa"/>
        <w:tblBorders>
          <w:top w:val="single" w:sz="6" w:space="0" w:color="auto"/>
          <w:left w:val="single" w:sz="6" w:space="0" w:color="auto"/>
          <w:bottom w:val="single" w:sz="6" w:space="0" w:color="auto"/>
          <w:right w:val="single" w:sz="6" w:space="0" w:color="auto"/>
        </w:tblBorders>
        <w:tblLayout w:type="fixed"/>
        <w:tblCellMar>
          <w:top w:w="28" w:type="dxa"/>
          <w:bottom w:w="28" w:type="dxa"/>
        </w:tblCellMar>
        <w:tblLook w:val="04A0" w:firstRow="1" w:lastRow="0" w:firstColumn="1" w:lastColumn="0" w:noHBand="0" w:noVBand="1"/>
      </w:tblPr>
      <w:tblGrid>
        <w:gridCol w:w="7513"/>
        <w:gridCol w:w="1577"/>
      </w:tblGrid>
      <w:tr w:rsidR="00CE7634" w:rsidRPr="00CE41EF" w14:paraId="69D5A7D9"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Pr>
          <w:p w14:paraId="2B649D04" w14:textId="77777777" w:rsidR="00CE7634" w:rsidRPr="00FF0551" w:rsidRDefault="00CE7634" w:rsidP="00160ED0">
            <w:pPr>
              <w:spacing w:after="0"/>
              <w:jc w:val="center"/>
              <w:rPr>
                <w:b/>
                <w:bCs/>
                <w:noProof/>
              </w:rPr>
            </w:pPr>
            <w:r>
              <w:rPr>
                <w:b/>
                <w:noProof/>
              </w:rPr>
              <w:t>Actions</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Pr>
          <w:p w14:paraId="4DE874CC" w14:textId="77777777" w:rsidR="00CE7634" w:rsidRPr="00FF0551" w:rsidRDefault="00CE7634" w:rsidP="00160ED0">
            <w:pPr>
              <w:spacing w:after="0"/>
              <w:jc w:val="center"/>
              <w:rPr>
                <w:b/>
                <w:bCs/>
                <w:noProof/>
              </w:rPr>
            </w:pPr>
            <w:r>
              <w:rPr>
                <w:b/>
                <w:noProof/>
              </w:rPr>
              <w:t>Calendrier</w:t>
            </w:r>
          </w:p>
        </w:tc>
      </w:tr>
      <w:tr w:rsidR="00CE7634" w:rsidRPr="00CE41EF" w14:paraId="652FD407"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9525B2" w14:textId="77777777" w:rsidR="00CE7634" w:rsidRPr="00FF0551" w:rsidDel="007206D1" w:rsidRDefault="00CE7634" w:rsidP="00160ED0">
            <w:pPr>
              <w:spacing w:after="0"/>
              <w:rPr>
                <w:noProof/>
              </w:rPr>
            </w:pPr>
            <w:r>
              <w:rPr>
                <w:noProof/>
              </w:rPr>
              <w:t xml:space="preserve">Dialogues de l’UE sur la bioéconomie avec les États membres concernant la mise en œuvre de la stratégie de l’UE pour la bioéconomie, mobilisation des plateformes des acteurs de l’économie circulaire et de la bioéconomie, du conseil européen de l’agriculture et de l’alimentation (EBAF) et du programme des ambassadeurs de la jeunesse de l’UE pour la bioéconomie </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D3ECCA" w14:textId="77777777" w:rsidR="00CE7634" w:rsidRPr="00FF0551" w:rsidRDefault="00CE7634" w:rsidP="001425A5">
            <w:pPr>
              <w:spacing w:after="0"/>
              <w:jc w:val="center"/>
              <w:rPr>
                <w:noProof/>
              </w:rPr>
            </w:pPr>
            <w:r>
              <w:rPr>
                <w:noProof/>
              </w:rPr>
              <w:t>À partir de T1 2026</w:t>
            </w:r>
          </w:p>
        </w:tc>
      </w:tr>
      <w:tr w:rsidR="00CE7634" w14:paraId="52BDF852"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E5F7CB" w14:textId="7F8D6FA2" w:rsidR="00CE7634" w:rsidRPr="009F47D4" w:rsidRDefault="00CE7634" w:rsidP="00160ED0">
            <w:pPr>
              <w:rPr>
                <w:noProof/>
              </w:rPr>
            </w:pPr>
            <w:r>
              <w:rPr>
                <w:noProof/>
              </w:rPr>
              <w:t>Suivi de la bioéconomie de l’UE au moyen des aspects économiques et environnementaux du système de surveillance de la bioéconomie de l’UE.</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600C1F" w14:textId="77777777" w:rsidR="00CE7634" w:rsidRPr="009F47D4" w:rsidRDefault="00CE7634" w:rsidP="001425A5">
            <w:pPr>
              <w:jc w:val="center"/>
              <w:rPr>
                <w:noProof/>
              </w:rPr>
            </w:pPr>
            <w:r>
              <w:rPr>
                <w:noProof/>
              </w:rPr>
              <w:t>À partir de 2026</w:t>
            </w:r>
          </w:p>
        </w:tc>
      </w:tr>
    </w:tbl>
    <w:p w14:paraId="5D64E6EC" w14:textId="77777777" w:rsidR="00CE7634" w:rsidRPr="00CE7634" w:rsidRDefault="00CE7634" w:rsidP="00CE7634">
      <w:pPr>
        <w:pStyle w:val="Text1"/>
        <w:ind w:left="0"/>
        <w:rPr>
          <w:noProof/>
        </w:rPr>
      </w:pPr>
    </w:p>
    <w:p w14:paraId="3F3BEC03" w14:textId="77777777" w:rsidR="00CE7634" w:rsidRDefault="00CE7634" w:rsidP="62CA18EE">
      <w:pPr>
        <w:spacing w:after="0"/>
        <w:rPr>
          <w:rFonts w:eastAsia="Aptos"/>
          <w:b/>
          <w:bCs/>
          <w:noProof/>
          <w:lang w:val="en-IE"/>
        </w:rPr>
      </w:pPr>
    </w:p>
    <w:sectPr w:rsidR="00CE7634" w:rsidSect="007038A3">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1020"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64C3D" w14:textId="77777777" w:rsidR="000F4699" w:rsidRDefault="000F4699">
      <w:pPr>
        <w:spacing w:after="0"/>
      </w:pPr>
      <w:r>
        <w:separator/>
      </w:r>
    </w:p>
  </w:endnote>
  <w:endnote w:type="continuationSeparator" w:id="0">
    <w:p w14:paraId="3709306B" w14:textId="77777777" w:rsidR="000F4699" w:rsidRDefault="000F4699">
      <w:pPr>
        <w:spacing w:after="0"/>
      </w:pPr>
      <w:r>
        <w:continuationSeparator/>
      </w:r>
    </w:p>
  </w:endnote>
  <w:endnote w:type="continuationNotice" w:id="1">
    <w:p w14:paraId="0DBED772" w14:textId="77777777" w:rsidR="000F4699" w:rsidRDefault="000F46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D78F0" w14:textId="7FEDEBB0" w:rsidR="0018442C" w:rsidRPr="0018442C" w:rsidRDefault="0018442C" w:rsidP="0018442C">
    <w:pPr>
      <w:pStyle w:val="FooterCoverPage"/>
      <w:rPr>
        <w:rFonts w:ascii="Arial" w:hAnsi="Arial" w:cs="Arial"/>
        <w:b/>
        <w:sz w:val="48"/>
      </w:rPr>
    </w:pPr>
    <w:r w:rsidRPr="0018442C">
      <w:rPr>
        <w:rFonts w:ascii="Arial" w:hAnsi="Arial" w:cs="Arial"/>
        <w:b/>
        <w:sz w:val="48"/>
      </w:rPr>
      <w:t>FR</w:t>
    </w:r>
    <w:r w:rsidRPr="0018442C">
      <w:rPr>
        <w:rFonts w:ascii="Arial" w:hAnsi="Arial" w:cs="Arial"/>
        <w:b/>
        <w:sz w:val="48"/>
      </w:rPr>
      <w:tab/>
    </w:r>
    <w:r w:rsidRPr="0018442C">
      <w:rPr>
        <w:rFonts w:ascii="Arial" w:hAnsi="Arial" w:cs="Arial"/>
        <w:b/>
        <w:sz w:val="48"/>
      </w:rPr>
      <w:tab/>
    </w:r>
    <w:r w:rsidRPr="0018442C">
      <w:tab/>
    </w:r>
    <w:r w:rsidRPr="0018442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92CA8" w14:textId="063E1109" w:rsidR="0018442C" w:rsidRPr="0018442C" w:rsidRDefault="0018442C" w:rsidP="0018442C">
    <w:pPr>
      <w:pStyle w:val="FooterCoverPage"/>
      <w:rPr>
        <w:rFonts w:ascii="Arial" w:hAnsi="Arial" w:cs="Arial"/>
        <w:b/>
        <w:sz w:val="48"/>
      </w:rPr>
    </w:pPr>
    <w:r w:rsidRPr="0018442C">
      <w:rPr>
        <w:rFonts w:ascii="Arial" w:hAnsi="Arial" w:cs="Arial"/>
        <w:b/>
        <w:sz w:val="48"/>
      </w:rPr>
      <w:t>FR</w:t>
    </w:r>
    <w:r w:rsidRPr="0018442C">
      <w:rPr>
        <w:rFonts w:ascii="Arial" w:hAnsi="Arial" w:cs="Arial"/>
        <w:b/>
        <w:sz w:val="48"/>
      </w:rPr>
      <w:tab/>
    </w:r>
    <w:r w:rsidRPr="0018442C">
      <w:rPr>
        <w:rFonts w:ascii="Arial" w:hAnsi="Arial" w:cs="Arial"/>
        <w:b/>
        <w:sz w:val="48"/>
      </w:rPr>
      <w:tab/>
    </w:r>
    <w:r w:rsidRPr="0018442C">
      <w:tab/>
    </w:r>
    <w:r w:rsidRPr="0018442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84052" w14:textId="77777777" w:rsidR="0018442C" w:rsidRPr="0018442C" w:rsidRDefault="0018442C" w:rsidP="0018442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A26D5" w14:textId="77777777" w:rsidR="00C47C8C" w:rsidRDefault="00C47C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596577"/>
      <w:docPartObj>
        <w:docPartGallery w:val="Page Numbers (Bottom of Page)"/>
        <w:docPartUnique/>
      </w:docPartObj>
    </w:sdtPr>
    <w:sdtEndPr>
      <w:rPr>
        <w:noProof/>
      </w:rPr>
    </w:sdtEndPr>
    <w:sdtContent>
      <w:p w14:paraId="0D8E5916" w14:textId="08D4B996" w:rsidR="006E4B2A" w:rsidRDefault="006E4B2A">
        <w:pPr>
          <w:pStyle w:val="Footer"/>
          <w:jc w:val="right"/>
        </w:pPr>
        <w:r>
          <w:fldChar w:fldCharType="begin"/>
        </w:r>
        <w:r>
          <w:instrText xml:space="preserve"> PAGE   \* MERGEFORMAT </w:instrText>
        </w:r>
        <w:r>
          <w:fldChar w:fldCharType="separate"/>
        </w:r>
        <w:r w:rsidR="0018442C">
          <w:rPr>
            <w:noProof/>
          </w:rPr>
          <w:t>11</w:t>
        </w:r>
        <w:r>
          <w:fldChar w:fldCharType="end"/>
        </w:r>
      </w:p>
    </w:sdtContent>
  </w:sdt>
  <w:p w14:paraId="2F5C7CE8" w14:textId="77777777" w:rsidR="00C47C8C" w:rsidRDefault="00C47C8C" w:rsidP="30C6EFA1">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797014"/>
      <w:docPartObj>
        <w:docPartGallery w:val="Page Numbers (Bottom of Page)"/>
        <w:docPartUnique/>
      </w:docPartObj>
    </w:sdtPr>
    <w:sdtEndPr>
      <w:rPr>
        <w:noProof/>
      </w:rPr>
    </w:sdtEndPr>
    <w:sdtContent>
      <w:p w14:paraId="122D09CA" w14:textId="4D60EEAF" w:rsidR="005473A4" w:rsidRDefault="005473A4">
        <w:pPr>
          <w:pStyle w:val="Footer"/>
          <w:jc w:val="right"/>
        </w:pPr>
        <w:r>
          <w:fldChar w:fldCharType="begin"/>
        </w:r>
        <w:r>
          <w:instrText xml:space="preserve"> PAGE   \* MERGEFORMAT </w:instrText>
        </w:r>
        <w:r>
          <w:fldChar w:fldCharType="separate"/>
        </w:r>
        <w:r w:rsidR="0018442C">
          <w:rPr>
            <w:noProof/>
          </w:rPr>
          <w:t>1</w:t>
        </w:r>
        <w:r>
          <w:fldChar w:fldCharType="end"/>
        </w:r>
      </w:p>
    </w:sdtContent>
  </w:sdt>
  <w:p w14:paraId="51776832" w14:textId="77777777" w:rsidR="00C47C8C" w:rsidRDefault="00C47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2773D" w14:textId="77777777" w:rsidR="000F4699" w:rsidRDefault="000F4699">
      <w:pPr>
        <w:spacing w:after="0"/>
      </w:pPr>
      <w:r>
        <w:separator/>
      </w:r>
    </w:p>
  </w:footnote>
  <w:footnote w:type="continuationSeparator" w:id="0">
    <w:p w14:paraId="738C33CA" w14:textId="77777777" w:rsidR="000F4699" w:rsidRDefault="000F4699">
      <w:pPr>
        <w:spacing w:after="0"/>
      </w:pPr>
      <w:r>
        <w:continuationSeparator/>
      </w:r>
    </w:p>
  </w:footnote>
  <w:footnote w:type="continuationNotice" w:id="1">
    <w:p w14:paraId="29D51648" w14:textId="77777777" w:rsidR="000F4699" w:rsidRDefault="000F4699">
      <w:pPr>
        <w:spacing w:after="0"/>
      </w:pPr>
    </w:p>
  </w:footnote>
  <w:footnote w:id="2">
    <w:p w14:paraId="73F1447B" w14:textId="566A3D65" w:rsidR="00FC4FC1" w:rsidRPr="00F63C4A" w:rsidRDefault="00FC4FC1" w:rsidP="00FC4FC1">
      <w:pPr>
        <w:pStyle w:val="FootnoteText"/>
        <w:spacing w:after="0"/>
        <w:rPr>
          <w:sz w:val="18"/>
          <w:szCs w:val="18"/>
        </w:rPr>
      </w:pPr>
      <w:r>
        <w:rPr>
          <w:rStyle w:val="FootnoteReference"/>
          <w:sz w:val="18"/>
          <w:szCs w:val="18"/>
        </w:rPr>
        <w:footnoteRef/>
      </w:r>
      <w:r>
        <w:tab/>
      </w:r>
      <w:r>
        <w:rPr>
          <w:sz w:val="18"/>
        </w:rPr>
        <w:t xml:space="preserve">L’alimentation est un élément clé de la bioéconomie et est au cœur de la vision pour l’agriculture et l’alimentation. Bien qu’elle ne soit pas la priorité de cette stratégie, plusieurs de ses actions profitent à l’innovation alimentaire et complètent les politiques de l’UE relatives aux systèmes alimentaires durables. </w:t>
      </w:r>
    </w:p>
  </w:footnote>
  <w:footnote w:id="3">
    <w:p w14:paraId="0EC449B1" w14:textId="4584ADF9" w:rsidR="009650AB" w:rsidRPr="00E309F1" w:rsidRDefault="009650AB" w:rsidP="00FF0551">
      <w:pPr>
        <w:pStyle w:val="FootnoteText"/>
        <w:widowControl w:val="0"/>
        <w:spacing w:after="0"/>
        <w:rPr>
          <w:sz w:val="18"/>
          <w:szCs w:val="18"/>
        </w:rPr>
      </w:pPr>
      <w:r>
        <w:rPr>
          <w:rStyle w:val="FootnoteReference"/>
          <w:sz w:val="18"/>
          <w:szCs w:val="18"/>
        </w:rPr>
        <w:footnoteRef/>
      </w:r>
      <w:r>
        <w:tab/>
      </w:r>
      <w:r>
        <w:rPr>
          <w:sz w:val="18"/>
        </w:rPr>
        <w:t>Les termes suivants sont utilisés dans la stratégie: 1) «ressources biologiques»: comprend les ressources génétiques, les organismes ou éléments de ceux-ci, les populations, ou tout autre élément biotique des écosystèmes ayant une valeur effective ou potentielle pour l’humanité (Convention sur la diversité biologique); 2) les ressources biologiques englobent également la «biomasse»: «la fraction biodégradable des produits, des déchets et des résidus d’origine biologique provenant de l’agriculture, y compris les substances végétales et animales, de la sylviculture et des industries connexes, y compris la pêche et l’aquaculture, ainsi que la fraction biodégradable des déchets, notamment les déchets industriels et municipaux d’origine biologique» (article 2, point 24, de la directive sur l’énergie renouvelable); 3) «biosourcé = dérivé de la biomasse. La biomasse peut avoir subi un ou plusieurs traitements physiques, chimiques ou biologiques» [Comité européen de normalisation (point 2.1)].</w:t>
      </w:r>
    </w:p>
  </w:footnote>
  <w:footnote w:id="4">
    <w:p w14:paraId="1B4BC6B9" w14:textId="56C395D6" w:rsidR="00202881" w:rsidRPr="00E309F1" w:rsidRDefault="00202881" w:rsidP="00E309F1">
      <w:pPr>
        <w:pStyle w:val="FootnoteText"/>
        <w:spacing w:after="0"/>
        <w:rPr>
          <w:sz w:val="18"/>
          <w:szCs w:val="18"/>
        </w:rPr>
      </w:pPr>
      <w:r>
        <w:rPr>
          <w:rStyle w:val="FootnoteReference"/>
          <w:sz w:val="18"/>
          <w:szCs w:val="18"/>
        </w:rPr>
        <w:footnoteRef/>
      </w:r>
      <w:r>
        <w:tab/>
      </w:r>
      <w:r>
        <w:rPr>
          <w:sz w:val="18"/>
        </w:rPr>
        <w:t>Dans la présente stratégie, le terme «défossilisation» est utilisé afin de rappeler que les matériaux sont constitués de carbone.</w:t>
      </w:r>
    </w:p>
  </w:footnote>
  <w:footnote w:id="5">
    <w:p w14:paraId="45135C42" w14:textId="4DE0D628" w:rsidR="009650AB" w:rsidRPr="00E309F1" w:rsidRDefault="009650AB" w:rsidP="00E309F1">
      <w:pPr>
        <w:pStyle w:val="FootnoteText"/>
        <w:widowControl w:val="0"/>
        <w:spacing w:after="0"/>
        <w:rPr>
          <w:sz w:val="18"/>
          <w:szCs w:val="18"/>
        </w:rPr>
      </w:pPr>
      <w:r>
        <w:rPr>
          <w:sz w:val="18"/>
          <w:szCs w:val="18"/>
          <w:vertAlign w:val="superscript"/>
        </w:rPr>
        <w:footnoteRef/>
      </w:r>
      <w:r>
        <w:rPr>
          <w:sz w:val="18"/>
          <w:vertAlign w:val="superscript"/>
        </w:rPr>
        <w:t xml:space="preserve"> </w:t>
      </w:r>
      <w:r>
        <w:tab/>
      </w:r>
      <w:r>
        <w:rPr>
          <w:sz w:val="18"/>
        </w:rPr>
        <w:t xml:space="preserve">COM(2025) 500 final, «Stratégie pour un marché unique simple, homogène et solide». </w:t>
      </w:r>
    </w:p>
  </w:footnote>
  <w:footnote w:id="6">
    <w:p w14:paraId="12C71A89" w14:textId="72DDB7D5" w:rsidR="009650AB" w:rsidRPr="00E309F1" w:rsidRDefault="009650AB" w:rsidP="1CFD9F8D">
      <w:pPr>
        <w:pStyle w:val="FootnoteText"/>
        <w:widowControl w:val="0"/>
        <w:spacing w:after="0"/>
        <w:rPr>
          <w:sz w:val="18"/>
          <w:szCs w:val="18"/>
          <w:highlight w:val="yellow"/>
        </w:rPr>
      </w:pPr>
      <w:r>
        <w:rPr>
          <w:sz w:val="18"/>
          <w:szCs w:val="18"/>
          <w:vertAlign w:val="superscript"/>
        </w:rPr>
        <w:footnoteRef/>
      </w:r>
      <w:r>
        <w:tab/>
      </w:r>
      <w:r>
        <w:rPr>
          <w:sz w:val="18"/>
        </w:rPr>
        <w:t xml:space="preserve">Mubareka, S.B. et Renner A. (éditeurs), </w:t>
      </w:r>
      <w:r>
        <w:rPr>
          <w:i/>
          <w:sz w:val="18"/>
        </w:rPr>
        <w:t>EU Biomass supply, uses, governance and regenerative actions - 10</w:t>
      </w:r>
      <w:r>
        <w:rPr>
          <w:i/>
          <w:sz w:val="18"/>
        </w:rPr>
        <w:noBreakHyphen/>
        <w:t>year anniversary edition</w:t>
      </w:r>
      <w:r>
        <w:rPr>
          <w:sz w:val="18"/>
        </w:rPr>
        <w:t>, (Approvisionnement, utilisations, gouvernance et actions régénératives de l’UE en matière de biomasse - édition du 10</w:t>
      </w:r>
      <w:r>
        <w:rPr>
          <w:sz w:val="18"/>
          <w:vertAlign w:val="superscript"/>
        </w:rPr>
        <w:t>e</w:t>
      </w:r>
      <w:r>
        <w:rPr>
          <w:sz w:val="18"/>
        </w:rPr>
        <w:t xml:space="preserve"> anniversaire), Office des publications de l’Union européenne, Luxembourg, 2025. </w:t>
      </w:r>
    </w:p>
  </w:footnote>
  <w:footnote w:id="7">
    <w:p w14:paraId="7B51A2FA" w14:textId="6FEC4923" w:rsidR="69F01097" w:rsidRPr="00E309F1" w:rsidRDefault="69F01097" w:rsidP="00E309F1">
      <w:pPr>
        <w:pStyle w:val="FootnoteText"/>
        <w:widowControl w:val="0"/>
        <w:spacing w:after="0"/>
        <w:rPr>
          <w:sz w:val="18"/>
          <w:szCs w:val="18"/>
        </w:rPr>
      </w:pPr>
      <w:r>
        <w:rPr>
          <w:sz w:val="18"/>
          <w:szCs w:val="18"/>
          <w:vertAlign w:val="superscript"/>
        </w:rPr>
        <w:footnoteRef/>
      </w:r>
      <w:r>
        <w:rPr>
          <w:sz w:val="18"/>
        </w:rPr>
        <w:t xml:space="preserve"> </w:t>
      </w:r>
      <w:r>
        <w:tab/>
      </w:r>
      <w:r>
        <w:rPr>
          <w:sz w:val="18"/>
        </w:rPr>
        <w:t xml:space="preserve">Lasarte-López, J., M’barek, R., </w:t>
      </w:r>
      <w:r>
        <w:rPr>
          <w:i/>
          <w:sz w:val="18"/>
        </w:rPr>
        <w:t>The EU bioeconomy at a glance:</w:t>
      </w:r>
      <w:r>
        <w:rPr>
          <w:sz w:val="18"/>
        </w:rPr>
        <w:t xml:space="preserve"> </w:t>
      </w:r>
      <w:r>
        <w:rPr>
          <w:i/>
          <w:sz w:val="18"/>
        </w:rPr>
        <w:t>Focus on economic value added, employment and innovation</w:t>
      </w:r>
      <w:r>
        <w:rPr>
          <w:sz w:val="18"/>
        </w:rPr>
        <w:t xml:space="preserve"> (La bioéconomie de l’UE en un coup d’œil: gros plan sur la valeur ajoutée économique, l’emploi et l’innovation). Commission européenne, Séville, 2025. JRC143759.</w:t>
      </w:r>
    </w:p>
  </w:footnote>
  <w:footnote w:id="8">
    <w:p w14:paraId="2E2564CA" w14:textId="665562B6" w:rsidR="00145002" w:rsidRPr="00C66253" w:rsidRDefault="00145002" w:rsidP="005C2FC0">
      <w:pPr>
        <w:pStyle w:val="FootnoteText"/>
        <w:spacing w:after="0"/>
      </w:pPr>
      <w:r>
        <w:rPr>
          <w:rStyle w:val="FootnoteReference"/>
        </w:rPr>
        <w:footnoteRef/>
      </w:r>
      <w:r>
        <w:tab/>
      </w:r>
      <w:r>
        <w:rPr>
          <w:sz w:val="18"/>
        </w:rPr>
        <w:t>Si l’on tient compte également des activités de services, la taille de tous les secteurs d’intérêt pour la bioéconomie a considérablement augmenté. Selon les estimations du Centre commun de recherche (JRC), les secteurs d’intérêt pour la bioéconomie ont créé entre 42 et 60 millions d’emplois en 2023 (19 à 28 % de l’emploi total) et généré une valeur ajoutée comprise entre 1,9 et 2 700 milliards d’EUR (environ 11 à 16 % du PIB de l’UE).</w:t>
      </w:r>
    </w:p>
  </w:footnote>
  <w:footnote w:id="9">
    <w:p w14:paraId="05E64D48" w14:textId="135A4ED8" w:rsidR="009650AB" w:rsidRPr="00E309F1" w:rsidRDefault="009650AB" w:rsidP="00E309F1">
      <w:pPr>
        <w:pStyle w:val="FootnoteText"/>
        <w:widowControl w:val="0"/>
        <w:spacing w:after="0"/>
        <w:rPr>
          <w:sz w:val="18"/>
          <w:szCs w:val="18"/>
        </w:rPr>
      </w:pPr>
      <w:r>
        <w:rPr>
          <w:sz w:val="18"/>
          <w:szCs w:val="18"/>
          <w:vertAlign w:val="superscript"/>
        </w:rPr>
        <w:footnoteRef/>
      </w:r>
      <w:r>
        <w:rPr>
          <w:sz w:val="18"/>
        </w:rPr>
        <w:t xml:space="preserve"> </w:t>
      </w:r>
      <w:r>
        <w:tab/>
      </w:r>
      <w:r>
        <w:rPr>
          <w:sz w:val="18"/>
        </w:rPr>
        <w:t>Selon les «Perspectives des ressources mondiales 2024» du Groupe international d’experts sur les ressources, la demande globale en biomasse est passée de 12,6 milliards de tonnes en 1970 à 24,8 milliards de tonnes en 2020.</w:t>
      </w:r>
    </w:p>
  </w:footnote>
  <w:footnote w:id="10">
    <w:p w14:paraId="6F2F6B64" w14:textId="4D05BD06" w:rsidR="009650AB" w:rsidRPr="00E309F1" w:rsidRDefault="009650AB" w:rsidP="00E309F1">
      <w:pPr>
        <w:pStyle w:val="FootnoteText"/>
        <w:widowControl w:val="0"/>
        <w:spacing w:after="0"/>
        <w:rPr>
          <w:sz w:val="18"/>
          <w:szCs w:val="18"/>
        </w:rPr>
      </w:pPr>
      <w:r>
        <w:rPr>
          <w:sz w:val="18"/>
          <w:szCs w:val="18"/>
          <w:vertAlign w:val="superscript"/>
        </w:rPr>
        <w:footnoteRef/>
      </w:r>
      <w:r>
        <w:tab/>
      </w:r>
      <w:r>
        <w:rPr>
          <w:sz w:val="18"/>
        </w:rPr>
        <w:t>D’après Lasarte</w:t>
      </w:r>
      <w:r>
        <w:rPr>
          <w:sz w:val="18"/>
        </w:rPr>
        <w:noBreakHyphen/>
        <w:t>López, M’barek (2025)</w:t>
      </w:r>
      <w:r>
        <w:rPr>
          <w:sz w:val="18"/>
        </w:rPr>
        <w:fldChar w:fldCharType="begin"/>
      </w:r>
      <w:r>
        <w:rPr>
          <w:sz w:val="18"/>
        </w:rPr>
        <w:instrText>https://knowledge4policy.ec.europa.eu/sites/default/files/bioeconomics_infographic_update_2022_0.pdf</w:instrText>
      </w:r>
      <w:r>
        <w:rPr>
          <w:sz w:val="18"/>
        </w:rPr>
        <w:fldChar w:fldCharType="separate"/>
      </w:r>
      <w:r>
        <w:rPr>
          <w:sz w:val="18"/>
        </w:rPr>
        <w:t>bioeconomy_infographic_update_updated with 2019 numbers-2</w:t>
      </w:r>
      <w:r>
        <w:rPr>
          <w:sz w:val="18"/>
        </w:rPr>
        <w:fldChar w:fldCharType="end"/>
      </w:r>
      <w:r>
        <w:t>.</w:t>
      </w:r>
    </w:p>
  </w:footnote>
  <w:footnote w:id="11">
    <w:p w14:paraId="23E432F7" w14:textId="328837D7" w:rsidR="003D3EC4" w:rsidRPr="00EA19A8" w:rsidRDefault="003D3EC4" w:rsidP="003D3EC4">
      <w:pPr>
        <w:pStyle w:val="FootnoteText"/>
      </w:pPr>
      <w:r>
        <w:rPr>
          <w:rStyle w:val="FootnoteReference"/>
        </w:rPr>
        <w:footnoteRef/>
      </w:r>
      <w:r>
        <w:tab/>
      </w:r>
      <w:r>
        <w:rPr>
          <w:sz w:val="18"/>
        </w:rPr>
        <w:t>D’après Lasarte</w:t>
      </w:r>
      <w:r>
        <w:rPr>
          <w:sz w:val="18"/>
        </w:rPr>
        <w:noBreakHyphen/>
        <w:t>López, M’barek (2025).</w:t>
      </w:r>
    </w:p>
  </w:footnote>
  <w:footnote w:id="12">
    <w:p w14:paraId="05CAB248" w14:textId="56BEB8D4" w:rsidR="00F7009A" w:rsidRPr="00E309F1" w:rsidRDefault="00F7009A" w:rsidP="00E976BE">
      <w:pPr>
        <w:pStyle w:val="FootnoteText"/>
        <w:widowControl w:val="0"/>
        <w:spacing w:after="0"/>
        <w:contextualSpacing/>
        <w:rPr>
          <w:sz w:val="18"/>
          <w:szCs w:val="18"/>
        </w:rPr>
      </w:pPr>
      <w:r>
        <w:rPr>
          <w:sz w:val="18"/>
          <w:szCs w:val="18"/>
          <w:vertAlign w:val="superscript"/>
        </w:rPr>
        <w:footnoteRef/>
      </w:r>
      <w:r>
        <w:rPr>
          <w:sz w:val="18"/>
        </w:rPr>
        <w:t xml:space="preserve"> </w:t>
      </w:r>
      <w:r>
        <w:tab/>
      </w:r>
      <w:r>
        <w:rPr>
          <w:sz w:val="18"/>
        </w:rPr>
        <w:t xml:space="preserve">Grassano, N., M’Barek, R. et Gonzales Hermoso, H., </w:t>
      </w:r>
      <w:r>
        <w:rPr>
          <w:i/>
          <w:sz w:val="18"/>
        </w:rPr>
        <w:t>Patenting in the Bioeconomy:</w:t>
      </w:r>
      <w:r>
        <w:rPr>
          <w:sz w:val="18"/>
        </w:rPr>
        <w:t xml:space="preserve"> </w:t>
      </w:r>
      <w:r>
        <w:rPr>
          <w:i/>
          <w:sz w:val="18"/>
        </w:rPr>
        <w:t>An Analysis of Trends and Patterns in the EU</w:t>
      </w:r>
      <w:r>
        <w:rPr>
          <w:sz w:val="18"/>
        </w:rPr>
        <w:t>, (Les brevets dans la bioéconomie: analyse des tendances et des évolutions dans l’UE), Office des publications de l’Union européenne, Luxembourg, 2025.</w:t>
      </w:r>
    </w:p>
  </w:footnote>
  <w:footnote w:id="13">
    <w:p w14:paraId="155C742D" w14:textId="1BA26A92" w:rsidR="00A12877" w:rsidRPr="00D01D7F" w:rsidRDefault="00DD0CEF" w:rsidP="00DD0CEF">
      <w:pPr>
        <w:pStyle w:val="FootnoteText"/>
        <w:spacing w:after="0"/>
        <w:contextualSpacing/>
        <w:rPr>
          <w:sz w:val="18"/>
          <w:szCs w:val="18"/>
          <w:lang w:val="en-US"/>
        </w:rPr>
      </w:pPr>
      <w:r>
        <w:rPr>
          <w:rStyle w:val="FootnoteReference"/>
          <w:sz w:val="18"/>
          <w:szCs w:val="18"/>
        </w:rPr>
        <w:footnoteRef/>
      </w:r>
      <w:r w:rsidRPr="00D01D7F">
        <w:rPr>
          <w:sz w:val="18"/>
          <w:lang w:val="en-US"/>
        </w:rPr>
        <w:t xml:space="preserve">  </w:t>
      </w:r>
      <w:r w:rsidRPr="00D01D7F">
        <w:rPr>
          <w:lang w:val="en-US"/>
        </w:rPr>
        <w:tab/>
      </w:r>
      <w:r w:rsidRPr="00D01D7F">
        <w:rPr>
          <w:sz w:val="18"/>
          <w:lang w:val="en-US"/>
        </w:rPr>
        <w:t>Lasarte López, J., M’barek, R., </w:t>
      </w:r>
      <w:r w:rsidRPr="00D01D7F">
        <w:rPr>
          <w:i/>
          <w:sz w:val="18"/>
          <w:lang w:val="en-US"/>
        </w:rPr>
        <w:t>The EU bioeconomy at a glance:</w:t>
      </w:r>
      <w:r w:rsidRPr="00D01D7F">
        <w:rPr>
          <w:sz w:val="18"/>
          <w:lang w:val="en-US"/>
        </w:rPr>
        <w:t xml:space="preserve"> </w:t>
      </w:r>
      <w:r w:rsidRPr="00D01D7F">
        <w:rPr>
          <w:i/>
          <w:sz w:val="18"/>
          <w:lang w:val="en-US"/>
        </w:rPr>
        <w:t>Focus on economic value added, employment and innovation</w:t>
      </w:r>
      <w:r w:rsidRPr="00D01D7F">
        <w:rPr>
          <w:sz w:val="18"/>
          <w:lang w:val="en-US"/>
        </w:rPr>
        <w:t>. Commission européenne, Séville, 2025. JRC143759.</w:t>
      </w:r>
    </w:p>
  </w:footnote>
  <w:footnote w:id="14">
    <w:p w14:paraId="1AAB15FF" w14:textId="031691E4" w:rsidR="00861477" w:rsidRPr="00D01D7F" w:rsidRDefault="00861477" w:rsidP="00E976BE">
      <w:pPr>
        <w:pStyle w:val="FootnoteText"/>
        <w:spacing w:after="0"/>
        <w:rPr>
          <w:sz w:val="18"/>
          <w:szCs w:val="18"/>
          <w:lang w:val="en-US"/>
        </w:rPr>
      </w:pPr>
      <w:r>
        <w:rPr>
          <w:rStyle w:val="FootnoteReference"/>
          <w:sz w:val="18"/>
          <w:szCs w:val="18"/>
        </w:rPr>
        <w:footnoteRef/>
      </w:r>
      <w:r w:rsidRPr="00D01D7F">
        <w:rPr>
          <w:lang w:val="en-US"/>
        </w:rPr>
        <w:tab/>
      </w:r>
      <w:r w:rsidRPr="00D01D7F">
        <w:rPr>
          <w:sz w:val="18"/>
          <w:lang w:val="en-US"/>
        </w:rPr>
        <w:t xml:space="preserve">Amsterdam Data Collective, </w:t>
      </w:r>
      <w:r w:rsidRPr="00D01D7F">
        <w:rPr>
          <w:i/>
          <w:sz w:val="18"/>
          <w:lang w:val="en-US"/>
        </w:rPr>
        <w:t>The Value of Biosolutions:</w:t>
      </w:r>
      <w:r w:rsidRPr="00D01D7F">
        <w:rPr>
          <w:sz w:val="18"/>
          <w:lang w:val="en-US"/>
        </w:rPr>
        <w:t xml:space="preserve"> </w:t>
      </w:r>
      <w:r w:rsidRPr="00D01D7F">
        <w:rPr>
          <w:i/>
          <w:sz w:val="18"/>
          <w:lang w:val="en-US"/>
        </w:rPr>
        <w:t xml:space="preserve">Growth and Prosperity to 2035 </w:t>
      </w:r>
      <w:r w:rsidRPr="00D01D7F">
        <w:rPr>
          <w:sz w:val="18"/>
          <w:lang w:val="en-US"/>
        </w:rPr>
        <w:t>(La valeur des biosolutions: croissance et prospérité jusqu’en 2035) – édition Europe, 2025.</w:t>
      </w:r>
    </w:p>
  </w:footnote>
  <w:footnote w:id="15">
    <w:p w14:paraId="7DA9EC94" w14:textId="5A7056BB" w:rsidR="7C95D774" w:rsidRPr="00D01D7F" w:rsidRDefault="7C95D774" w:rsidP="00E976BE">
      <w:pPr>
        <w:pStyle w:val="FootnoteText"/>
        <w:spacing w:after="0"/>
        <w:rPr>
          <w:sz w:val="18"/>
          <w:szCs w:val="18"/>
          <w:lang w:val="en-US"/>
        </w:rPr>
      </w:pPr>
      <w:r>
        <w:rPr>
          <w:rStyle w:val="FootnoteReference"/>
        </w:rPr>
        <w:footnoteRef/>
      </w:r>
      <w:r w:rsidRPr="00D01D7F">
        <w:rPr>
          <w:rStyle w:val="FootnoteReference"/>
          <w:lang w:val="en-US"/>
        </w:rPr>
        <w:t xml:space="preserve"> </w:t>
      </w:r>
      <w:r w:rsidRPr="00D01D7F">
        <w:rPr>
          <w:sz w:val="18"/>
          <w:lang w:val="en-US"/>
        </w:rPr>
        <w:t xml:space="preserve"> </w:t>
      </w:r>
      <w:r w:rsidR="00125941">
        <w:rPr>
          <w:sz w:val="18"/>
          <w:lang w:val="en-US"/>
        </w:rPr>
        <w:tab/>
      </w:r>
      <w:r w:rsidRPr="00D01D7F">
        <w:rPr>
          <w:sz w:val="18"/>
          <w:lang w:val="en-US"/>
        </w:rPr>
        <w:t xml:space="preserve">JRC, </w:t>
      </w:r>
      <w:r w:rsidRPr="00D01D7F">
        <w:rPr>
          <w:i/>
          <w:sz w:val="18"/>
          <w:lang w:val="en-US"/>
        </w:rPr>
        <w:t>The EU bioeconomy at a glance:</w:t>
      </w:r>
      <w:r w:rsidRPr="00D01D7F">
        <w:rPr>
          <w:sz w:val="18"/>
          <w:lang w:val="en-US"/>
        </w:rPr>
        <w:t xml:space="preserve"> </w:t>
      </w:r>
      <w:r w:rsidRPr="00D01D7F">
        <w:rPr>
          <w:i/>
          <w:sz w:val="18"/>
          <w:lang w:val="en-US"/>
        </w:rPr>
        <w:t>Focus on economic value added, employment and innovation</w:t>
      </w:r>
      <w:r w:rsidRPr="00D01D7F">
        <w:rPr>
          <w:sz w:val="18"/>
          <w:lang w:val="en-US"/>
        </w:rPr>
        <w:t>, 2025.</w:t>
      </w:r>
    </w:p>
  </w:footnote>
  <w:footnote w:id="16">
    <w:p w14:paraId="51567045" w14:textId="6583896E" w:rsidR="00F55FB3" w:rsidRPr="00315884" w:rsidRDefault="00F55FB3" w:rsidP="00E976BE">
      <w:pPr>
        <w:pStyle w:val="FootnoteText"/>
        <w:spacing w:after="0"/>
        <w:rPr>
          <w:sz w:val="18"/>
          <w:szCs w:val="18"/>
        </w:rPr>
      </w:pPr>
      <w:r>
        <w:rPr>
          <w:rStyle w:val="FootnoteReference"/>
          <w:sz w:val="18"/>
          <w:szCs w:val="18"/>
        </w:rPr>
        <w:footnoteRef/>
      </w:r>
      <w:r>
        <w:tab/>
      </w:r>
      <w:r>
        <w:rPr>
          <w:sz w:val="18"/>
        </w:rPr>
        <w:t xml:space="preserve">Groupe BEI, </w:t>
      </w:r>
      <w:r>
        <w:rPr>
          <w:i/>
          <w:sz w:val="18"/>
        </w:rPr>
        <w:t>Investment gaps to achieve sustainable targets in the bioeconomy</w:t>
      </w:r>
      <w:r>
        <w:rPr>
          <w:sz w:val="18"/>
        </w:rPr>
        <w:t xml:space="preserve"> (Les déficits d’investissement pour atteindre les objectifs durables dans la bioéconomie), 2025.</w:t>
      </w:r>
    </w:p>
  </w:footnote>
  <w:footnote w:id="17">
    <w:p w14:paraId="4B970A58" w14:textId="77777777" w:rsidR="00086107" w:rsidRPr="00E309F1" w:rsidRDefault="00086107" w:rsidP="00E976BE">
      <w:pPr>
        <w:pStyle w:val="FootnoteText"/>
        <w:spacing w:after="0"/>
        <w:rPr>
          <w:sz w:val="18"/>
          <w:szCs w:val="18"/>
        </w:rPr>
      </w:pPr>
      <w:r>
        <w:rPr>
          <w:rStyle w:val="FootnoteReference"/>
          <w:sz w:val="18"/>
          <w:szCs w:val="18"/>
        </w:rPr>
        <w:footnoteRef/>
      </w:r>
      <w:r>
        <w:tab/>
      </w:r>
      <w:r>
        <w:rPr>
          <w:sz w:val="18"/>
        </w:rPr>
        <w:t xml:space="preserve">AEE, </w:t>
      </w:r>
      <w:r>
        <w:rPr>
          <w:i/>
          <w:sz w:val="18"/>
        </w:rPr>
        <w:t>The European Biomass Puzzle</w:t>
      </w:r>
      <w:r>
        <w:rPr>
          <w:sz w:val="18"/>
        </w:rPr>
        <w:t xml:space="preserve"> (Le casse-tête européen de la biomasse), 2023, </w:t>
      </w:r>
      <w:hyperlink w:anchor=":~:text=This%20report%20looks%20at%20how%20biomass%20can%20help,the%20use%20of%20biomass%20for%20different%20policy%20objectives." w:history="1">
        <w:r>
          <w:rPr>
            <w:rStyle w:val="Hyperlink"/>
            <w:sz w:val="18"/>
          </w:rPr>
          <w:t>The European Biomass Puzzle |</w:t>
        </w:r>
      </w:hyperlink>
      <w:hyperlink w:anchor=":~:text=This%20report%20looks%20at%20how%20biomass%20can%20help,the%20use%20of%20biomass%20for%20different%20policy%20objectives." w:history="1">
        <w:r>
          <w:rPr>
            <w:rStyle w:val="Hyperlink"/>
            <w:sz w:val="18"/>
          </w:rPr>
          <w:t xml:space="preserve"> Publications |</w:t>
        </w:r>
      </w:hyperlink>
      <w:hyperlink w:anchor=":~:text=This%20report%20looks%20at%20how%20biomass%20can%20help,the%20use%20of%20biomass%20for%20different%20policy%20objectives." w:history="1">
        <w:r>
          <w:rPr>
            <w:rStyle w:val="Hyperlink"/>
            <w:sz w:val="18"/>
          </w:rPr>
          <w:t xml:space="preserve"> Agence européenne pour l’environnement (AEE)</w:t>
        </w:r>
      </w:hyperlink>
      <w:r>
        <w:t>.</w:t>
      </w:r>
    </w:p>
  </w:footnote>
  <w:footnote w:id="18">
    <w:p w14:paraId="44CA1AA8" w14:textId="4A752446" w:rsidR="00861477" w:rsidRPr="00315884" w:rsidRDefault="00861477" w:rsidP="00E976BE">
      <w:pPr>
        <w:pStyle w:val="FootnoteText"/>
        <w:spacing w:after="0"/>
        <w:rPr>
          <w:sz w:val="18"/>
          <w:szCs w:val="18"/>
        </w:rPr>
      </w:pPr>
      <w:r>
        <w:rPr>
          <w:rStyle w:val="FootnoteReference"/>
          <w:sz w:val="18"/>
          <w:szCs w:val="18"/>
        </w:rPr>
        <w:footnoteRef/>
      </w:r>
      <w:r>
        <w:tab/>
      </w:r>
      <w:r>
        <w:rPr>
          <w:sz w:val="18"/>
        </w:rPr>
        <w:t xml:space="preserve">AEE, </w:t>
      </w:r>
      <w:r>
        <w:rPr>
          <w:i/>
          <w:sz w:val="18"/>
        </w:rPr>
        <w:t>Europe’s Environment 2025 – Main Report:</w:t>
      </w:r>
      <w:r>
        <w:rPr>
          <w:sz w:val="18"/>
        </w:rPr>
        <w:t xml:space="preserve"> </w:t>
      </w:r>
      <w:r>
        <w:rPr>
          <w:i/>
          <w:sz w:val="18"/>
        </w:rPr>
        <w:t>Europe’s Environment and Climate:</w:t>
      </w:r>
      <w:r>
        <w:rPr>
          <w:sz w:val="18"/>
        </w:rPr>
        <w:t xml:space="preserve"> </w:t>
      </w:r>
      <w:r>
        <w:rPr>
          <w:i/>
          <w:sz w:val="18"/>
        </w:rPr>
        <w:t>knowledge for resilience, prosperity and sustainability</w:t>
      </w:r>
      <w:r>
        <w:rPr>
          <w:sz w:val="18"/>
        </w:rPr>
        <w:t xml:space="preserve"> (L’environnement en Europe en 2025 - Rapport principal: l’environnement et le climat en Europe: les connaissances pour la résilience, la prospérité et la durabilité). </w:t>
      </w:r>
    </w:p>
  </w:footnote>
  <w:footnote w:id="19">
    <w:p w14:paraId="4DFBE4B1" w14:textId="77777777" w:rsidR="00C96063" w:rsidRPr="00E309F1" w:rsidRDefault="00C96063" w:rsidP="00C96063">
      <w:pPr>
        <w:pStyle w:val="FootnoteText"/>
        <w:widowControl w:val="0"/>
        <w:spacing w:after="0"/>
        <w:rPr>
          <w:rFonts w:eastAsia="Aptos"/>
          <w:sz w:val="18"/>
          <w:szCs w:val="18"/>
        </w:rPr>
      </w:pPr>
      <w:r>
        <w:rPr>
          <w:rStyle w:val="FootnoteReference"/>
          <w:sz w:val="18"/>
          <w:szCs w:val="18"/>
        </w:rPr>
        <w:footnoteRef/>
      </w:r>
      <w:r>
        <w:rPr>
          <w:sz w:val="18"/>
        </w:rPr>
        <w:t xml:space="preserve"> </w:t>
      </w:r>
      <w:r>
        <w:tab/>
      </w:r>
      <w:r>
        <w:rPr>
          <w:sz w:val="18"/>
        </w:rPr>
        <w:t xml:space="preserve">Document de travail des services de la Commission – Rapport de synthèse de la consultation des parties prenantes et résultats de la consultation publique sur le portail «Donnez votre avis» de l’UE. </w:t>
      </w:r>
    </w:p>
  </w:footnote>
  <w:footnote w:id="20">
    <w:p w14:paraId="1143168B" w14:textId="794E0838" w:rsidR="00C96063" w:rsidRPr="00E309F1" w:rsidRDefault="00C96063" w:rsidP="00C96063">
      <w:pPr>
        <w:pStyle w:val="FootnoteText"/>
        <w:widowControl w:val="0"/>
        <w:spacing w:after="0"/>
        <w:rPr>
          <w:b/>
          <w:bCs/>
          <w:sz w:val="18"/>
          <w:szCs w:val="18"/>
        </w:rPr>
      </w:pPr>
      <w:r>
        <w:rPr>
          <w:rStyle w:val="FootnoteReference"/>
          <w:sz w:val="18"/>
          <w:szCs w:val="18"/>
        </w:rPr>
        <w:footnoteRef/>
      </w:r>
      <w:r>
        <w:tab/>
      </w:r>
      <w:r>
        <w:rPr>
          <w:sz w:val="18"/>
        </w:rPr>
        <w:t xml:space="preserve">COM(2012) 060 final, «L’innovation au service d’une croissance durable: une bioéconomie pour l’Europe». </w:t>
      </w:r>
    </w:p>
  </w:footnote>
  <w:footnote w:id="21">
    <w:p w14:paraId="55C48496" w14:textId="624DA00C" w:rsidR="00C96063" w:rsidRPr="00E309F1" w:rsidRDefault="00C96063" w:rsidP="00C96063">
      <w:pPr>
        <w:pStyle w:val="FootnoteText"/>
        <w:widowControl w:val="0"/>
        <w:spacing w:after="0"/>
        <w:rPr>
          <w:sz w:val="18"/>
          <w:szCs w:val="18"/>
        </w:rPr>
      </w:pPr>
      <w:r>
        <w:rPr>
          <w:rStyle w:val="FootnoteReference"/>
          <w:sz w:val="18"/>
          <w:szCs w:val="18"/>
        </w:rPr>
        <w:footnoteRef/>
      </w:r>
      <w:r>
        <w:tab/>
      </w:r>
      <w:r>
        <w:rPr>
          <w:sz w:val="18"/>
        </w:rPr>
        <w:t>COM(2018) 673 final, «Une bioéconomie durable pour l’Europe: renforcer les liens entre l’économie, la société et l’environnement». Stratégie bioéconomique actualisée de l’UE.</w:t>
      </w:r>
    </w:p>
  </w:footnote>
  <w:footnote w:id="22">
    <w:p w14:paraId="6F1F4585" w14:textId="77777777" w:rsidR="00C96063" w:rsidRPr="006F6E8F" w:rsidRDefault="00C96063" w:rsidP="00C96063">
      <w:pPr>
        <w:pStyle w:val="FootnoteText"/>
        <w:spacing w:after="0"/>
        <w:rPr>
          <w:sz w:val="18"/>
          <w:szCs w:val="18"/>
        </w:rPr>
      </w:pPr>
      <w:r>
        <w:rPr>
          <w:rStyle w:val="FootnoteReference"/>
          <w:sz w:val="18"/>
          <w:szCs w:val="18"/>
        </w:rPr>
        <w:footnoteRef/>
      </w:r>
      <w:r>
        <w:tab/>
      </w:r>
      <w:r>
        <w:rPr>
          <w:sz w:val="18"/>
        </w:rPr>
        <w:t xml:space="preserve">COM(2022) 283 final, «Politique européenne en matière de bioéconomie: bilan et évolutions futures». </w:t>
      </w:r>
    </w:p>
  </w:footnote>
  <w:footnote w:id="23">
    <w:p w14:paraId="47F86D3F" w14:textId="320542A1" w:rsidR="307A8193" w:rsidRPr="00E309F1" w:rsidRDefault="307A8193" w:rsidP="00E309F1">
      <w:pPr>
        <w:pStyle w:val="FootnoteText"/>
        <w:widowControl w:val="0"/>
        <w:spacing w:after="0"/>
        <w:rPr>
          <w:sz w:val="18"/>
          <w:szCs w:val="18"/>
        </w:rPr>
      </w:pPr>
      <w:r>
        <w:rPr>
          <w:rStyle w:val="FootnoteReference"/>
          <w:sz w:val="18"/>
          <w:szCs w:val="18"/>
        </w:rPr>
        <w:footnoteRef/>
      </w:r>
      <w:r>
        <w:rPr>
          <w:sz w:val="18"/>
        </w:rPr>
        <w:t xml:space="preserve"> </w:t>
      </w:r>
      <w:r>
        <w:tab/>
      </w:r>
      <w:r>
        <w:rPr>
          <w:sz w:val="18"/>
        </w:rPr>
        <w:t xml:space="preserve">Conseil de l’Union européenne, «Conclusions sur les possibilités offertes par la bioéconomie à la lumière des défis actuels, l’accent étant mis en particulier sur les zones rurales», 2023. </w:t>
      </w:r>
    </w:p>
  </w:footnote>
  <w:footnote w:id="24">
    <w:p w14:paraId="2083E274" w14:textId="4CB580D3" w:rsidR="7CDFF561" w:rsidRPr="00E309F1" w:rsidRDefault="7CDFF561" w:rsidP="00E309F1">
      <w:pPr>
        <w:pStyle w:val="FootnoteText"/>
        <w:widowControl w:val="0"/>
        <w:spacing w:after="0"/>
        <w:rPr>
          <w:sz w:val="18"/>
          <w:szCs w:val="18"/>
        </w:rPr>
      </w:pPr>
      <w:r>
        <w:rPr>
          <w:sz w:val="18"/>
          <w:szCs w:val="18"/>
          <w:vertAlign w:val="superscript"/>
        </w:rPr>
        <w:footnoteRef/>
      </w:r>
      <w:r>
        <w:rPr>
          <w:sz w:val="18"/>
          <w:vertAlign w:val="superscript"/>
        </w:rPr>
        <w:t xml:space="preserve"> </w:t>
      </w:r>
      <w:r>
        <w:tab/>
      </w:r>
      <w:r>
        <w:rPr>
          <w:sz w:val="18"/>
        </w:rPr>
        <w:t xml:space="preserve">Journal officiel, JO C 2024 400 I, p. 1. </w:t>
      </w:r>
    </w:p>
  </w:footnote>
  <w:footnote w:id="25">
    <w:p w14:paraId="7E934A70" w14:textId="08957B1A" w:rsidR="0CF9AC52" w:rsidRPr="00E309F1" w:rsidRDefault="0CF9AC52" w:rsidP="00E309F1">
      <w:pPr>
        <w:pStyle w:val="FootnoteText"/>
        <w:widowControl w:val="0"/>
        <w:spacing w:after="0"/>
        <w:rPr>
          <w:rFonts w:eastAsia="Aptos"/>
          <w:sz w:val="18"/>
          <w:szCs w:val="18"/>
        </w:rPr>
      </w:pPr>
      <w:r>
        <w:rPr>
          <w:sz w:val="18"/>
          <w:szCs w:val="18"/>
          <w:vertAlign w:val="superscript"/>
        </w:rPr>
        <w:footnoteRef/>
      </w:r>
      <w:r>
        <w:rPr>
          <w:sz w:val="18"/>
          <w:vertAlign w:val="superscript"/>
        </w:rPr>
        <w:t xml:space="preserve"> </w:t>
      </w:r>
      <w:r>
        <w:tab/>
      </w:r>
      <w:r>
        <w:rPr>
          <w:sz w:val="18"/>
        </w:rPr>
        <w:t>Parlement européen, «Résolution du Parlement européen sur l’avenir du secteur de la biotechnologie et de la production de produits biologiques dans l’Union européenne: mettre la recherche à contribution, stimuler l’innovation et accroître la compétitivité», 2025. Le Comité des régions et le Comité économique et social européen ont également émis des avis sur la bioéconomie.</w:t>
      </w:r>
    </w:p>
  </w:footnote>
  <w:footnote w:id="26">
    <w:p w14:paraId="4306A552" w14:textId="4BF65A87" w:rsidR="009650AB" w:rsidRPr="00E309F1" w:rsidRDefault="009650AB" w:rsidP="1CFD9F8D">
      <w:pPr>
        <w:pStyle w:val="FootnoteText"/>
        <w:spacing w:after="0"/>
        <w:rPr>
          <w:sz w:val="18"/>
          <w:szCs w:val="18"/>
        </w:rPr>
      </w:pPr>
      <w:r>
        <w:rPr>
          <w:rStyle w:val="FootnoteReference"/>
          <w:sz w:val="18"/>
          <w:szCs w:val="18"/>
        </w:rPr>
        <w:footnoteRef/>
      </w:r>
      <w:r w:rsidRPr="00D01D7F">
        <w:rPr>
          <w:rStyle w:val="FootnoteReference"/>
          <w:sz w:val="18"/>
          <w:lang w:val="en-US"/>
        </w:rPr>
        <w:t xml:space="preserve"> </w:t>
      </w:r>
      <w:r w:rsidRPr="00D01D7F">
        <w:rPr>
          <w:lang w:val="en-US"/>
        </w:rPr>
        <w:tab/>
      </w:r>
      <w:r w:rsidRPr="00D01D7F">
        <w:rPr>
          <w:sz w:val="18"/>
          <w:lang w:val="en-US"/>
        </w:rPr>
        <w:t>Lasarte-López, J., M’barek, R., </w:t>
      </w:r>
      <w:r w:rsidRPr="00D01D7F">
        <w:rPr>
          <w:i/>
          <w:sz w:val="18"/>
          <w:lang w:val="en-US"/>
        </w:rPr>
        <w:t>The EU bioeconomy at a glance:</w:t>
      </w:r>
      <w:r w:rsidRPr="00D01D7F">
        <w:rPr>
          <w:sz w:val="18"/>
          <w:lang w:val="en-US"/>
        </w:rPr>
        <w:t xml:space="preserve"> </w:t>
      </w:r>
      <w:r w:rsidRPr="00D01D7F">
        <w:rPr>
          <w:i/>
          <w:sz w:val="18"/>
          <w:lang w:val="en-US"/>
        </w:rPr>
        <w:t>Focus on economic value added, employment and innovation</w:t>
      </w:r>
      <w:r w:rsidRPr="00D01D7F">
        <w:rPr>
          <w:sz w:val="18"/>
          <w:lang w:val="en-US"/>
        </w:rPr>
        <w:t xml:space="preserve">. </w:t>
      </w:r>
      <w:r>
        <w:rPr>
          <w:sz w:val="18"/>
        </w:rPr>
        <w:t>Commission européenne, Séville, 2025. JRC143759.</w:t>
      </w:r>
    </w:p>
  </w:footnote>
  <w:footnote w:id="27">
    <w:p w14:paraId="3FC32C66" w14:textId="77777777" w:rsidR="00CE0CC8" w:rsidRPr="00E309F1" w:rsidRDefault="00CE0CC8" w:rsidP="00CE0CC8">
      <w:pPr>
        <w:pStyle w:val="FootnoteText"/>
        <w:widowControl w:val="0"/>
        <w:spacing w:after="0"/>
        <w:rPr>
          <w:sz w:val="18"/>
          <w:szCs w:val="18"/>
        </w:rPr>
      </w:pPr>
      <w:r>
        <w:rPr>
          <w:rStyle w:val="FootnoteReference"/>
          <w:sz w:val="18"/>
          <w:szCs w:val="18"/>
        </w:rPr>
        <w:footnoteRef/>
      </w:r>
      <w:r>
        <w:rPr>
          <w:rStyle w:val="FootnoteReference"/>
          <w:sz w:val="18"/>
        </w:rPr>
        <w:t xml:space="preserve"> </w:t>
      </w:r>
      <w:r>
        <w:tab/>
      </w:r>
      <w:r>
        <w:rPr>
          <w:sz w:val="18"/>
        </w:rPr>
        <w:t xml:space="preserve">Agence européenne des produits chimiques (ECHA), </w:t>
      </w:r>
      <w:r>
        <w:rPr>
          <w:i/>
          <w:sz w:val="18"/>
        </w:rPr>
        <w:t>Bio-Based Chemicals in REACH</w:t>
      </w:r>
      <w:r>
        <w:rPr>
          <w:sz w:val="18"/>
        </w:rPr>
        <w:t xml:space="preserve"> (Les produits biochimiques dans le règlement REACH), 2023.</w:t>
      </w:r>
    </w:p>
  </w:footnote>
  <w:footnote w:id="28">
    <w:p w14:paraId="5443AC69" w14:textId="64380B80" w:rsidR="00385034" w:rsidRPr="006F6E8F" w:rsidRDefault="00385034" w:rsidP="003F2A44">
      <w:pPr>
        <w:pStyle w:val="FootnoteText"/>
        <w:spacing w:after="0"/>
        <w:rPr>
          <w:sz w:val="18"/>
          <w:szCs w:val="18"/>
        </w:rPr>
      </w:pPr>
      <w:r>
        <w:rPr>
          <w:rStyle w:val="FootnoteReference"/>
          <w:sz w:val="18"/>
          <w:szCs w:val="18"/>
        </w:rPr>
        <w:footnoteRef/>
      </w:r>
      <w:r>
        <w:tab/>
      </w:r>
      <w:r>
        <w:rPr>
          <w:sz w:val="18"/>
        </w:rPr>
        <w:t xml:space="preserve">Groupe BEI, </w:t>
      </w:r>
      <w:r>
        <w:rPr>
          <w:i/>
          <w:sz w:val="18"/>
        </w:rPr>
        <w:t>Scaling up Europe’s Bio-based industries</w:t>
      </w:r>
      <w:r>
        <w:rPr>
          <w:sz w:val="18"/>
        </w:rPr>
        <w:t xml:space="preserve"> (Développer les industries biosourcées de l’UE), 2025.</w:t>
      </w:r>
    </w:p>
  </w:footnote>
  <w:footnote w:id="29">
    <w:p w14:paraId="01E3C632" w14:textId="44FBBFEA" w:rsidR="00015D32" w:rsidRDefault="00015D32" w:rsidP="00015D32">
      <w:pPr>
        <w:pStyle w:val="FootnoteText"/>
      </w:pPr>
      <w:r>
        <w:rPr>
          <w:rStyle w:val="FootnoteReference"/>
        </w:rPr>
        <w:footnoteRef/>
      </w:r>
      <w:r>
        <w:tab/>
        <w:t>Medical Countermeasures (contre-mesures médicales).</w:t>
      </w:r>
    </w:p>
  </w:footnote>
  <w:footnote w:id="30">
    <w:p w14:paraId="2E53A9A1" w14:textId="095B9219" w:rsidR="00B32C53" w:rsidRPr="00C66253" w:rsidRDefault="00B32C53">
      <w:pPr>
        <w:pStyle w:val="FootnoteText"/>
      </w:pPr>
      <w:r>
        <w:rPr>
          <w:rStyle w:val="FootnoteReference"/>
        </w:rPr>
        <w:footnoteRef/>
      </w:r>
      <w:r>
        <w:tab/>
        <w:t xml:space="preserve">JRC, note d’orientation, </w:t>
      </w:r>
      <w:r>
        <w:rPr>
          <w:i/>
        </w:rPr>
        <w:t>Biomass supply and demand in the EU 2012-2022</w:t>
      </w:r>
      <w:r>
        <w:t xml:space="preserve"> (L’offre et la demande de biomasse dans l’UE entre 2012 et 2022).</w:t>
      </w:r>
    </w:p>
  </w:footnote>
  <w:footnote w:id="31">
    <w:p w14:paraId="48C7C7B0" w14:textId="60A88A0B" w:rsidR="00937368" w:rsidRPr="00EA19A8" w:rsidRDefault="00937368" w:rsidP="00937368">
      <w:pPr>
        <w:pStyle w:val="FootnoteText"/>
      </w:pPr>
      <w:r>
        <w:rPr>
          <w:rStyle w:val="FootnoteReference"/>
        </w:rPr>
        <w:footnoteRef/>
      </w:r>
      <w:r>
        <w:tab/>
      </w:r>
      <w:r>
        <w:rPr>
          <w:sz w:val="18"/>
        </w:rPr>
        <w:t xml:space="preserve">SINKKO, T., CASONATO, C., VALENZANO, A., WIERZGALA, P. et LISTORTI, G., </w:t>
      </w:r>
      <w:r>
        <w:rPr>
          <w:i/>
          <w:sz w:val="18"/>
        </w:rPr>
        <w:t>Substituting conventional products with bioeconomy innovations:</w:t>
      </w:r>
      <w:r>
        <w:rPr>
          <w:sz w:val="18"/>
        </w:rPr>
        <w:t xml:space="preserve"> </w:t>
      </w:r>
      <w:r>
        <w:rPr>
          <w:i/>
          <w:sz w:val="18"/>
        </w:rPr>
        <w:t>Analysis of potential environmental impacts using a Life Cycle Assessment perspective</w:t>
      </w:r>
      <w:r>
        <w:rPr>
          <w:sz w:val="18"/>
        </w:rPr>
        <w:t xml:space="preserve"> (Remplacer les produits conventionnels par des innovations bioéconomiques: analyse des incidences environnementales potentielles du point de vue du cycle de vie), Office des publications de l’Union européenne, Luxembourg, 2025, JRC142832.</w:t>
      </w:r>
    </w:p>
  </w:footnote>
  <w:footnote w:id="32">
    <w:p w14:paraId="636283C5" w14:textId="0F5FFFF9" w:rsidR="009650AB" w:rsidRPr="00E309F1" w:rsidRDefault="009650AB" w:rsidP="00E309F1">
      <w:pPr>
        <w:pStyle w:val="FootnoteText"/>
        <w:widowControl w:val="0"/>
        <w:spacing w:after="0"/>
        <w:rPr>
          <w:sz w:val="18"/>
          <w:szCs w:val="18"/>
        </w:rPr>
      </w:pPr>
      <w:r>
        <w:rPr>
          <w:rStyle w:val="FootnoteReference"/>
          <w:sz w:val="18"/>
          <w:szCs w:val="18"/>
        </w:rPr>
        <w:footnoteRef/>
      </w:r>
      <w:r>
        <w:rPr>
          <w:sz w:val="18"/>
        </w:rPr>
        <w:t xml:space="preserve"> </w:t>
      </w:r>
      <w:r>
        <w:tab/>
      </w:r>
      <w:hyperlink r:id="rId1" w:history="1">
        <w:r>
          <w:rPr>
            <w:rStyle w:val="Hyperlink"/>
            <w:sz w:val="18"/>
          </w:rPr>
          <w:t>Towards a circular economy:</w:t>
        </w:r>
      </w:hyperlink>
      <w:hyperlink r:id="rId2" w:history="1">
        <w:r>
          <w:rPr>
            <w:rStyle w:val="Hyperlink"/>
            <w:sz w:val="18"/>
          </w:rPr>
          <w:t xml:space="preserve"> biopolymers by machine learning</w:t>
        </w:r>
      </w:hyperlink>
      <w:r>
        <w:rPr>
          <w:sz w:val="18"/>
        </w:rPr>
        <w:t xml:space="preserve"> (Vers une économie circulaire: les biopolymères par apprentissage automatique), extrait le 18.10.2025.</w:t>
      </w:r>
    </w:p>
  </w:footnote>
  <w:footnote w:id="33">
    <w:p w14:paraId="3BD66DB4" w14:textId="7F0A88EE" w:rsidR="008F4027" w:rsidRPr="00315884" w:rsidRDefault="008F4027" w:rsidP="00315884">
      <w:pPr>
        <w:pStyle w:val="FootnoteText"/>
        <w:spacing w:after="0"/>
        <w:rPr>
          <w:sz w:val="18"/>
          <w:szCs w:val="18"/>
        </w:rPr>
      </w:pPr>
      <w:r>
        <w:rPr>
          <w:rStyle w:val="FootnoteReference"/>
          <w:sz w:val="18"/>
          <w:szCs w:val="18"/>
        </w:rPr>
        <w:footnoteRef/>
      </w:r>
      <w:r>
        <w:tab/>
      </w:r>
      <w:hyperlink r:id="rId3" w:history="1">
        <w:r>
          <w:rPr>
            <w:rStyle w:val="Hyperlink"/>
            <w:sz w:val="18"/>
          </w:rPr>
          <w:t>Buildings and construction (Bâtiments et construction) - Marché intérieur, industrie, entrepreneuriat et PME</w:t>
        </w:r>
      </w:hyperlink>
      <w:r>
        <w:t>.</w:t>
      </w:r>
    </w:p>
  </w:footnote>
  <w:footnote w:id="34">
    <w:p w14:paraId="72F75EA8" w14:textId="43417087" w:rsidR="004D0835" w:rsidRPr="00FF0551" w:rsidRDefault="004D0835" w:rsidP="00315884">
      <w:pPr>
        <w:pStyle w:val="FootnoteText"/>
        <w:spacing w:after="0"/>
      </w:pPr>
      <w:r>
        <w:rPr>
          <w:rStyle w:val="FootnoteReference"/>
          <w:sz w:val="18"/>
          <w:szCs w:val="18"/>
        </w:rPr>
        <w:footnoteRef/>
      </w:r>
      <w:r>
        <w:tab/>
      </w:r>
      <w:hyperlink r:id="rId4" w:history="1">
        <w:r>
          <w:rPr>
            <w:rStyle w:val="Hyperlink"/>
            <w:sz w:val="18"/>
          </w:rPr>
          <w:t>Paving the way for lowering embodied carbon emissions in the building and construction sector (Ouvrir la voie à la réduction des émissions de carbone intrinsèques dans le secteur des bâtiments et de la construction) |</w:t>
        </w:r>
      </w:hyperlink>
      <w:r>
        <w:t>.</w:t>
      </w:r>
      <w:hyperlink r:id="rId5" w:history="1">
        <w:r>
          <w:rPr>
            <w:rStyle w:val="Hyperlink"/>
            <w:sz w:val="18"/>
          </w:rPr>
          <w:t xml:space="preserve"> Clean Technologies and Environmental Policy (Technologies propres et politique environnementale)</w:t>
        </w:r>
      </w:hyperlink>
      <w:r>
        <w:t>.</w:t>
      </w:r>
    </w:p>
  </w:footnote>
  <w:footnote w:id="35">
    <w:p w14:paraId="50DB455A" w14:textId="31ABC1B8" w:rsidR="00DF77C0" w:rsidRPr="00D01D7F" w:rsidRDefault="00DF77C0" w:rsidP="00315884">
      <w:pPr>
        <w:pStyle w:val="FootnoteText"/>
        <w:spacing w:after="0"/>
        <w:rPr>
          <w:sz w:val="18"/>
          <w:szCs w:val="18"/>
          <w:lang w:val="en-US"/>
        </w:rPr>
      </w:pPr>
      <w:r>
        <w:rPr>
          <w:rStyle w:val="FootnoteReference"/>
          <w:sz w:val="18"/>
          <w:szCs w:val="18"/>
        </w:rPr>
        <w:footnoteRef/>
      </w:r>
      <w:r w:rsidRPr="00D01D7F">
        <w:rPr>
          <w:lang w:val="en-US"/>
        </w:rPr>
        <w:tab/>
      </w:r>
      <w:hyperlink r:id="rId6" w:history="1">
        <w:r w:rsidRPr="00D01D7F">
          <w:rPr>
            <w:rStyle w:val="Hyperlink"/>
            <w:sz w:val="18"/>
            <w:lang w:val="en-US"/>
          </w:rPr>
          <w:t>BIOBUILD Project - Thermal Solutions for Green Buildings (Projet BIOBUILD - solutions thermiques pour les bâtiments écologiques)</w:t>
        </w:r>
      </w:hyperlink>
      <w:r w:rsidRPr="00D01D7F">
        <w:rPr>
          <w:lang w:val="en-US"/>
        </w:rPr>
        <w:t>.</w:t>
      </w:r>
    </w:p>
  </w:footnote>
  <w:footnote w:id="36">
    <w:p w14:paraId="5231F044" w14:textId="0388528C" w:rsidR="00257A88" w:rsidRPr="003F2A44" w:rsidRDefault="00257A88" w:rsidP="00422BD3">
      <w:pPr>
        <w:pStyle w:val="FootnoteText"/>
        <w:spacing w:after="0"/>
        <w:rPr>
          <w:sz w:val="18"/>
          <w:szCs w:val="18"/>
        </w:rPr>
      </w:pPr>
      <w:r>
        <w:rPr>
          <w:rStyle w:val="FootnoteReference"/>
        </w:rPr>
        <w:footnoteRef/>
      </w:r>
      <w:r>
        <w:rPr>
          <w:rStyle w:val="FootnoteReference"/>
        </w:rPr>
        <w:t xml:space="preserve"> </w:t>
      </w:r>
      <w:r>
        <w:tab/>
      </w:r>
      <w:r>
        <w:rPr>
          <w:i/>
          <w:sz w:val="18"/>
        </w:rPr>
        <w:t>EU biorefinery outlook to 2030</w:t>
      </w:r>
      <w:r>
        <w:rPr>
          <w:sz w:val="18"/>
        </w:rPr>
        <w:t xml:space="preserve"> (Perspectives des bioraffineries dans l’UE à l’horizon 2030) - Office des publications de l’UE.</w:t>
      </w:r>
    </w:p>
  </w:footnote>
  <w:footnote w:id="37">
    <w:p w14:paraId="56BD863B" w14:textId="08FE49CE" w:rsidR="009650AB" w:rsidRPr="00315884" w:rsidRDefault="009650AB" w:rsidP="00315884">
      <w:pPr>
        <w:pStyle w:val="FootnoteText"/>
        <w:widowControl w:val="0"/>
        <w:spacing w:after="0"/>
        <w:rPr>
          <w:sz w:val="18"/>
          <w:szCs w:val="18"/>
        </w:rPr>
      </w:pPr>
      <w:r>
        <w:rPr>
          <w:rStyle w:val="FootnoteReference"/>
          <w:sz w:val="18"/>
          <w:szCs w:val="18"/>
        </w:rPr>
        <w:footnoteRef/>
      </w:r>
      <w:r>
        <w:rPr>
          <w:sz w:val="18"/>
        </w:rPr>
        <w:t xml:space="preserve"> </w:t>
      </w:r>
      <w:r>
        <w:tab/>
      </w:r>
      <w:r>
        <w:rPr>
          <w:sz w:val="18"/>
        </w:rPr>
        <w:t xml:space="preserve">JRC, </w:t>
      </w:r>
      <w:r>
        <w:rPr>
          <w:i/>
          <w:sz w:val="18"/>
        </w:rPr>
        <w:t>EU Biomass supply, uses, governance and regenerative actions</w:t>
      </w:r>
      <w:r>
        <w:rPr>
          <w:sz w:val="18"/>
        </w:rPr>
        <w:t xml:space="preserve"> (Approvisionnement, utilisations, gouvernance et actions régénératives en matière de biomasse dans l’UE), 2025.</w:t>
      </w:r>
    </w:p>
  </w:footnote>
  <w:footnote w:id="38">
    <w:p w14:paraId="6DA65CA4" w14:textId="3463DBB2" w:rsidR="4980106A" w:rsidRPr="00315884" w:rsidRDefault="4980106A" w:rsidP="00315884">
      <w:pPr>
        <w:pStyle w:val="FootnoteText"/>
        <w:widowControl w:val="0"/>
        <w:spacing w:after="0"/>
        <w:rPr>
          <w:rFonts w:eastAsia="Aptos"/>
          <w:color w:val="0000FF"/>
          <w:sz w:val="18"/>
          <w:szCs w:val="18"/>
        </w:rPr>
      </w:pPr>
      <w:r>
        <w:rPr>
          <w:sz w:val="18"/>
          <w:szCs w:val="18"/>
          <w:vertAlign w:val="superscript"/>
        </w:rPr>
        <w:footnoteRef/>
      </w:r>
      <w:r>
        <w:rPr>
          <w:sz w:val="18"/>
        </w:rPr>
        <w:t xml:space="preserve"> </w:t>
      </w:r>
      <w:r>
        <w:tab/>
      </w:r>
      <w:hyperlink r:id="rId7" w:history="1">
        <w:r>
          <w:rPr>
            <w:rStyle w:val="Hyperlink"/>
            <w:sz w:val="18"/>
          </w:rPr>
          <w:t>Cadre de suivi - Économie circulaire - Eurostat</w:t>
        </w:r>
      </w:hyperlink>
      <w:r>
        <w:t>.</w:t>
      </w:r>
      <w:r>
        <w:rPr>
          <w:sz w:val="18"/>
        </w:rPr>
        <w:t xml:space="preserve">    </w:t>
      </w:r>
    </w:p>
  </w:footnote>
  <w:footnote w:id="39">
    <w:p w14:paraId="40FDC59C" w14:textId="346966F6" w:rsidR="5EB1D8BA" w:rsidRPr="00315884" w:rsidRDefault="5EB1D8BA" w:rsidP="00315884">
      <w:pPr>
        <w:pStyle w:val="FootnoteText"/>
        <w:spacing w:after="0"/>
        <w:rPr>
          <w:sz w:val="18"/>
          <w:szCs w:val="18"/>
        </w:rPr>
      </w:pPr>
      <w:r>
        <w:rPr>
          <w:sz w:val="18"/>
          <w:szCs w:val="18"/>
          <w:vertAlign w:val="superscript"/>
        </w:rPr>
        <w:footnoteRef/>
      </w:r>
      <w:r>
        <w:tab/>
      </w:r>
      <w:r>
        <w:rPr>
          <w:sz w:val="18"/>
        </w:rPr>
        <w:t>La biomasse secondaire comprend la biomasse issue de sous-produits ou de flux secondaires de procédés de fabrication, les biodéchets, les déchets d’élevage, le bois, le papier et le carton valorisés après consommation et toute autre biomasse récupérée à partir de bioproduits en fin de vie.</w:t>
      </w:r>
    </w:p>
    <w:p w14:paraId="6416A905" w14:textId="41394CF8" w:rsidR="5EB1D8BA" w:rsidRDefault="5EB1D8BA" w:rsidP="5EB1D8BA">
      <w:pPr>
        <w:pStyle w:val="FootnoteText"/>
      </w:pPr>
    </w:p>
  </w:footnote>
  <w:footnote w:id="40">
    <w:p w14:paraId="7D2520EA" w14:textId="3C23589C" w:rsidR="009650AB" w:rsidRPr="00E309F1" w:rsidRDefault="009650AB" w:rsidP="1CFD9F8D">
      <w:pPr>
        <w:pStyle w:val="FootnoteText"/>
        <w:widowControl w:val="0"/>
        <w:spacing w:after="0"/>
        <w:ind w:left="284" w:hanging="284"/>
        <w:rPr>
          <w:sz w:val="18"/>
          <w:szCs w:val="18"/>
        </w:rPr>
      </w:pPr>
      <w:r>
        <w:rPr>
          <w:rStyle w:val="FootnoteReference"/>
          <w:sz w:val="18"/>
          <w:szCs w:val="18"/>
        </w:rPr>
        <w:footnoteRef/>
      </w:r>
      <w:r>
        <w:rPr>
          <w:rStyle w:val="FootnoteReference"/>
          <w:sz w:val="18"/>
        </w:rPr>
        <w:t xml:space="preserve"> </w:t>
      </w:r>
      <w:r>
        <w:tab/>
      </w:r>
      <w:r>
        <w:rPr>
          <w:sz w:val="18"/>
        </w:rPr>
        <w:t xml:space="preserve">Gardossi et al, </w:t>
      </w:r>
      <w:hyperlink r:id="rId8">
        <w:r>
          <w:rPr>
            <w:i/>
            <w:sz w:val="18"/>
          </w:rPr>
          <w:t>Bioeconomy national strategies in the G20 and OECD countries:</w:t>
        </w:r>
      </w:hyperlink>
      <w:hyperlink r:id="rId9">
        <w:r>
          <w:rPr>
            <w:sz w:val="18"/>
          </w:rPr>
          <w:t xml:space="preserve"> </w:t>
        </w:r>
        <w:r>
          <w:rPr>
            <w:i/>
            <w:sz w:val="18"/>
          </w:rPr>
          <w:t>Sharing experiences and comparing existing policies</w:t>
        </w:r>
        <w:r>
          <w:rPr>
            <w:sz w:val="18"/>
          </w:rPr>
          <w:t xml:space="preserve"> (Stratégies nationales en matière de bioéconomie dans les pays du G20 et de l’OCDE: partage d’expériences et comparaison des politiques existantes)</w:t>
        </w:r>
      </w:hyperlink>
      <w:r>
        <w:t>,</w:t>
      </w:r>
      <w:r>
        <w:rPr>
          <w:sz w:val="18"/>
        </w:rPr>
        <w:t xml:space="preserve"> 2023. </w:t>
      </w:r>
    </w:p>
  </w:footnote>
  <w:footnote w:id="41">
    <w:p w14:paraId="70F8220A" w14:textId="4F0A8E81" w:rsidR="45E269A7" w:rsidRPr="00FF0551" w:rsidRDefault="45E269A7" w:rsidP="00E309F1">
      <w:pPr>
        <w:pStyle w:val="FootnoteText"/>
        <w:widowControl w:val="0"/>
        <w:spacing w:after="0"/>
        <w:rPr>
          <w:sz w:val="18"/>
          <w:szCs w:val="18"/>
        </w:rPr>
      </w:pPr>
      <w:r>
        <w:rPr>
          <w:sz w:val="18"/>
          <w:szCs w:val="18"/>
          <w:vertAlign w:val="superscript"/>
        </w:rPr>
        <w:footnoteRef/>
      </w:r>
      <w:r>
        <w:rPr>
          <w:sz w:val="18"/>
        </w:rPr>
        <w:t xml:space="preserve"> </w:t>
      </w:r>
      <w:r>
        <w:tab/>
      </w:r>
      <w:hyperlink r:id="rId10" w:history="1">
        <w:r>
          <w:rPr>
            <w:rStyle w:val="Hyperlink"/>
            <w:sz w:val="18"/>
          </w:rPr>
          <w:t>https://au.int/sites/default/files/documents/45336-doc-GIZ-AU_Continental_Circular_Action_V11.pdf.</w:t>
        </w:r>
      </w:hyperlink>
      <w:r>
        <w:rPr>
          <w:sz w:val="18"/>
        </w:rPr>
        <w:t xml:space="preserve"> </w:t>
      </w:r>
    </w:p>
  </w:footnote>
  <w:footnote w:id="42">
    <w:p w14:paraId="7A3EBD36" w14:textId="1116451C" w:rsidR="45E269A7" w:rsidRPr="00D01D7F" w:rsidRDefault="45E269A7" w:rsidP="00E309F1">
      <w:pPr>
        <w:pStyle w:val="FootnoteText"/>
        <w:widowControl w:val="0"/>
        <w:spacing w:after="0"/>
        <w:rPr>
          <w:sz w:val="18"/>
          <w:szCs w:val="18"/>
          <w:lang w:val="en-US"/>
        </w:rPr>
      </w:pPr>
      <w:r>
        <w:rPr>
          <w:sz w:val="18"/>
          <w:szCs w:val="18"/>
          <w:vertAlign w:val="superscript"/>
        </w:rPr>
        <w:footnoteRef/>
      </w:r>
      <w:r w:rsidRPr="00D01D7F">
        <w:rPr>
          <w:sz w:val="18"/>
          <w:vertAlign w:val="superscript"/>
          <w:lang w:val="en-US"/>
        </w:rPr>
        <w:t xml:space="preserve"> </w:t>
      </w:r>
      <w:r w:rsidRPr="00D01D7F">
        <w:rPr>
          <w:lang w:val="en-US"/>
        </w:rPr>
        <w:tab/>
      </w:r>
      <w:hyperlink r:id="rId11" w:history="1">
        <w:r w:rsidRPr="00D01D7F">
          <w:rPr>
            <w:rStyle w:val="Hyperlink"/>
            <w:sz w:val="18"/>
            <w:lang w:val="en-US"/>
          </w:rPr>
          <w:t>Final-Summary-EAC-BIOECONOMY-STRATEGY.pdf</w:t>
        </w:r>
      </w:hyperlink>
      <w:r w:rsidRPr="00D01D7F">
        <w:rPr>
          <w:lang w:val="en-US"/>
        </w:rPr>
        <w:t>.</w:t>
      </w:r>
      <w:r w:rsidRPr="00D01D7F">
        <w:rPr>
          <w:sz w:val="18"/>
          <w:highlight w:val="yellow"/>
          <w:vertAlign w:val="superscript"/>
          <w:lang w:val="en-US"/>
        </w:rPr>
        <w:t xml:space="preserve">  </w:t>
      </w:r>
    </w:p>
  </w:footnote>
  <w:footnote w:id="43">
    <w:p w14:paraId="2ACD8A9A" w14:textId="60799588" w:rsidR="00C35C80" w:rsidRPr="00315884" w:rsidRDefault="00C35C80" w:rsidP="00315884">
      <w:pPr>
        <w:pStyle w:val="FootnoteText"/>
        <w:spacing w:after="0"/>
        <w:rPr>
          <w:sz w:val="18"/>
          <w:szCs w:val="18"/>
        </w:rPr>
      </w:pPr>
      <w:r>
        <w:rPr>
          <w:rStyle w:val="FootnoteReference"/>
          <w:sz w:val="18"/>
          <w:szCs w:val="18"/>
        </w:rPr>
        <w:footnoteRef/>
      </w:r>
      <w:r>
        <w:tab/>
      </w:r>
      <w:r>
        <w:rPr>
          <w:sz w:val="18"/>
        </w:rPr>
        <w:t>Par exemple, à la FAO, l’UE a lancé, conjointement avec le Brésil, un groupe des amis de la bioéconomie, le 17 octobre 2025.</w:t>
      </w:r>
    </w:p>
  </w:footnote>
  <w:footnote w:id="44">
    <w:p w14:paraId="2A4B0AD7" w14:textId="056A39D2" w:rsidR="00C35C80" w:rsidRPr="00315884" w:rsidRDefault="00C35C80" w:rsidP="00315884">
      <w:pPr>
        <w:pStyle w:val="FootnoteText"/>
        <w:spacing w:after="0"/>
        <w:rPr>
          <w:sz w:val="18"/>
          <w:szCs w:val="18"/>
        </w:rPr>
      </w:pPr>
      <w:r>
        <w:rPr>
          <w:rStyle w:val="FootnoteReference"/>
          <w:sz w:val="18"/>
          <w:szCs w:val="18"/>
        </w:rPr>
        <w:footnoteRef/>
      </w:r>
      <w:r>
        <w:tab/>
      </w:r>
      <w:r>
        <w:rPr>
          <w:sz w:val="18"/>
        </w:rPr>
        <w:t>https://openknowledge.fao.org/server/api/core/bitstreams/92d6ae7c-2257-427f-a5a1-1f1223c89a47/content.</w:t>
      </w:r>
    </w:p>
  </w:footnote>
  <w:footnote w:id="45">
    <w:p w14:paraId="5F9B719C" w14:textId="3AF7674F" w:rsidR="009650AB" w:rsidRPr="00315884" w:rsidRDefault="009650AB" w:rsidP="00315884">
      <w:pPr>
        <w:pStyle w:val="FootnoteText"/>
        <w:widowControl w:val="0"/>
        <w:spacing w:after="0"/>
        <w:rPr>
          <w:sz w:val="18"/>
          <w:szCs w:val="18"/>
        </w:rPr>
      </w:pPr>
      <w:r>
        <w:rPr>
          <w:rStyle w:val="FootnoteReference"/>
          <w:sz w:val="18"/>
          <w:szCs w:val="18"/>
        </w:rPr>
        <w:footnoteRef/>
      </w:r>
      <w:r>
        <w:rPr>
          <w:sz w:val="18"/>
        </w:rPr>
        <w:t xml:space="preserve"> </w:t>
      </w:r>
      <w:r>
        <w:tab/>
      </w:r>
      <w:hyperlink r:id="rId12" w:history="1">
        <w:r>
          <w:rPr>
            <w:rStyle w:val="Hyperlink"/>
            <w:sz w:val="18"/>
          </w:rPr>
          <w:t>Forum européen sur la politique de bioéconomie - Recherche et innovation</w:t>
        </w:r>
      </w:hyperlink>
      <w:r>
        <w:t>.</w:t>
      </w:r>
      <w:r>
        <w:rPr>
          <w:sz w:val="18"/>
        </w:rPr>
        <w:t xml:space="preserve"> </w:t>
      </w:r>
    </w:p>
  </w:footnote>
  <w:footnote w:id="46">
    <w:p w14:paraId="69624915" w14:textId="212DA849" w:rsidR="009650AB" w:rsidRPr="00315884" w:rsidRDefault="009650AB" w:rsidP="00315884">
      <w:pPr>
        <w:pStyle w:val="FootnoteText"/>
        <w:widowControl w:val="0"/>
        <w:spacing w:after="0"/>
        <w:rPr>
          <w:sz w:val="18"/>
          <w:szCs w:val="18"/>
        </w:rPr>
      </w:pPr>
      <w:r>
        <w:rPr>
          <w:sz w:val="18"/>
          <w:szCs w:val="18"/>
          <w:vertAlign w:val="superscript"/>
        </w:rPr>
        <w:footnoteRef/>
      </w:r>
      <w:r>
        <w:rPr>
          <w:sz w:val="18"/>
        </w:rPr>
        <w:t xml:space="preserve"> </w:t>
      </w:r>
      <w:r>
        <w:tab/>
      </w:r>
      <w:r>
        <w:rPr>
          <w:sz w:val="18"/>
        </w:rPr>
        <w:t>La plateforme de soutien aux politiques de bioéconomie démarrera en 2027, sur la base du programme de travail Horizon de 2026.</w:t>
      </w:r>
    </w:p>
  </w:footnote>
  <w:footnote w:id="47">
    <w:p w14:paraId="7A9A9B8B" w14:textId="323ECCA6" w:rsidR="009650AB" w:rsidRPr="00E309F1" w:rsidRDefault="009650AB" w:rsidP="00315884">
      <w:pPr>
        <w:pStyle w:val="FootnoteText"/>
        <w:widowControl w:val="0"/>
        <w:spacing w:after="0"/>
        <w:rPr>
          <w:sz w:val="18"/>
          <w:szCs w:val="18"/>
        </w:rPr>
      </w:pPr>
      <w:r>
        <w:rPr>
          <w:rStyle w:val="FootnoteReference"/>
          <w:sz w:val="18"/>
          <w:szCs w:val="18"/>
        </w:rPr>
        <w:footnoteRef/>
      </w:r>
      <w:r>
        <w:rPr>
          <w:sz w:val="18"/>
        </w:rPr>
        <w:t xml:space="preserve"> </w:t>
      </w:r>
      <w:r>
        <w:tab/>
      </w:r>
      <w:hyperlink r:id="rId13" w:history="1">
        <w:r>
          <w:rPr>
            <w:rStyle w:val="Hyperlink"/>
            <w:sz w:val="18"/>
          </w:rPr>
          <w:t>Page d’accueil |</w:t>
        </w:r>
      </w:hyperlink>
      <w:hyperlink r:id="rId14" w:history="1">
        <w:r>
          <w:rPr>
            <w:rStyle w:val="Hyperlink"/>
            <w:sz w:val="18"/>
          </w:rPr>
          <w:t xml:space="preserve"> Plateforme européenne des acteurs de l’économie circulaire</w:t>
        </w:r>
      </w:hyperlink>
      <w:r>
        <w:t xml:space="preserve">. </w:t>
      </w:r>
    </w:p>
  </w:footnote>
  <w:footnote w:id="48">
    <w:p w14:paraId="07328D92" w14:textId="18E0BBCB" w:rsidR="009650AB" w:rsidRPr="00E309F1" w:rsidRDefault="009650AB" w:rsidP="1CFD9F8D">
      <w:pPr>
        <w:pStyle w:val="FootnoteText"/>
        <w:widowControl w:val="0"/>
        <w:spacing w:after="0"/>
        <w:ind w:left="0" w:firstLine="0"/>
        <w:rPr>
          <w:sz w:val="18"/>
          <w:szCs w:val="18"/>
        </w:rPr>
      </w:pPr>
      <w:r>
        <w:rPr>
          <w:rStyle w:val="FootnoteReference"/>
          <w:sz w:val="18"/>
          <w:szCs w:val="18"/>
        </w:rPr>
        <w:footnoteRef/>
      </w:r>
      <w:r>
        <w:rPr>
          <w:sz w:val="18"/>
        </w:rPr>
        <w:t xml:space="preserve">  </w:t>
      </w:r>
      <w:hyperlink r:id="rId15" w:anchor=":~:text=The%20EU%20Bioeconomy%20Youth%20Ambassador%20programme%20gives%20Europe%E2%80%99s,highlight%20the%20bioeconomy%E2%80%99s%20relevance%20in%20our%20daily%20life." w:history="1">
        <w:r>
          <w:rPr>
            <w:rStyle w:val="Hyperlink"/>
            <w:sz w:val="18"/>
          </w:rPr>
          <w:t>Ambassadeurs de la jeunesse pour la bioéconomie - Recherche et innovation</w:t>
        </w:r>
      </w:hyperlink>
      <w:r>
        <w:t>.</w:t>
      </w:r>
    </w:p>
  </w:footnote>
  <w:footnote w:id="49">
    <w:p w14:paraId="5208C889" w14:textId="46FC0867" w:rsidR="3358DB1C" w:rsidRDefault="007F07D0" w:rsidP="007F07D0">
      <w:pPr>
        <w:pStyle w:val="FootnoteText"/>
        <w:jc w:val="left"/>
      </w:pPr>
      <w:r>
        <w:rPr>
          <w:rStyle w:val="FootnoteReference"/>
          <w:sz w:val="18"/>
          <w:szCs w:val="18"/>
        </w:rPr>
        <w:footnoteRef/>
      </w:r>
      <w:r>
        <w:rPr>
          <w:sz w:val="18"/>
        </w:rPr>
        <w:t xml:space="preserve"> </w:t>
      </w:r>
      <w:r>
        <w:t xml:space="preserve"> </w:t>
      </w:r>
      <w:r>
        <w:rPr>
          <w:i/>
        </w:rPr>
        <w:t>Trends in the EU bioeconomy</w:t>
      </w:r>
      <w:r>
        <w:t xml:space="preserve"> (Tendances de la bioéconomie dans l’UE), mise à jour 2024. </w:t>
      </w:r>
      <w:hyperlink r:id="rId16" w:history="1">
        <w:r>
          <w:rPr>
            <w:rStyle w:val="Hyperlink"/>
          </w:rPr>
          <w:t>Répertoire des publications du JRC - Trends in the EU bioeconomy (Tendances de la bioéconomie dans l’UE), mise à jour 2024</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E1C70" w14:textId="77777777" w:rsidR="0018442C" w:rsidRPr="0018442C" w:rsidRDefault="0018442C" w:rsidP="0018442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A36F" w14:textId="77777777" w:rsidR="0018442C" w:rsidRPr="0018442C" w:rsidRDefault="0018442C" w:rsidP="0018442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7E1EF" w14:textId="77777777" w:rsidR="0018442C" w:rsidRPr="0018442C" w:rsidRDefault="0018442C" w:rsidP="0018442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4FD04" w14:textId="77777777" w:rsidR="00C47C8C" w:rsidRDefault="00C47C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06436" w14:textId="77777777" w:rsidR="00C47C8C" w:rsidRDefault="00C47C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1CC14" w14:textId="77777777" w:rsidR="00C47C8C" w:rsidRDefault="00C47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17DE"/>
    <w:multiLevelType w:val="multilevel"/>
    <w:tmpl w:val="C33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74D92"/>
    <w:multiLevelType w:val="multilevel"/>
    <w:tmpl w:val="603A1108"/>
    <w:lvl w:ilvl="0">
      <w:start w:val="1"/>
      <w:numFmt w:val="bullet"/>
      <w:lvlText w:val="-"/>
      <w:lvlJc w:val="left"/>
      <w:pPr>
        <w:tabs>
          <w:tab w:val="num" w:pos="720"/>
        </w:tabs>
        <w:ind w:left="720" w:hanging="360"/>
      </w:pPr>
      <w:rPr>
        <w:rFonts w:ascii="Times New Roman" w:eastAsia="Times New Roman" w:hAnsi="Times New Roman" w:cs="Times New Roman"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900F7"/>
    <w:multiLevelType w:val="multilevel"/>
    <w:tmpl w:val="8C60E22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B3A5B03"/>
    <w:multiLevelType w:val="multilevel"/>
    <w:tmpl w:val="B284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B7115"/>
    <w:multiLevelType w:val="multilevel"/>
    <w:tmpl w:val="BF5E0B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1E07BBA"/>
    <w:multiLevelType w:val="multilevel"/>
    <w:tmpl w:val="A420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80787"/>
    <w:multiLevelType w:val="hybridMultilevel"/>
    <w:tmpl w:val="AE407EDA"/>
    <w:lvl w:ilvl="0" w:tplc="D1B49474">
      <w:start w:val="1"/>
      <w:numFmt w:val="bullet"/>
      <w:lvlText w:val="-"/>
      <w:lvlJc w:val="left"/>
      <w:pPr>
        <w:ind w:left="360" w:hanging="360"/>
      </w:pPr>
      <w:rPr>
        <w:rFonts w:ascii="Times New Roman" w:eastAsia="Times New Roman" w:hAnsi="Times New Roman" w:cs="Times New Roman" w:hint="default"/>
        <w:b/>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20B7201"/>
    <w:multiLevelType w:val="multilevel"/>
    <w:tmpl w:val="84DEA7F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8345"/>
    <w:multiLevelType w:val="multilevel"/>
    <w:tmpl w:val="21D0909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D8D869D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BD7FC1"/>
    <w:multiLevelType w:val="multilevel"/>
    <w:tmpl w:val="D37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3D0A16"/>
    <w:multiLevelType w:val="multilevel"/>
    <w:tmpl w:val="4456EF5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4F06EC9"/>
    <w:multiLevelType w:val="hybridMultilevel"/>
    <w:tmpl w:val="AFE0D0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6A3D10"/>
    <w:multiLevelType w:val="multilevel"/>
    <w:tmpl w:val="BC8E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FD12F1"/>
    <w:multiLevelType w:val="hybridMultilevel"/>
    <w:tmpl w:val="A6547154"/>
    <w:lvl w:ilvl="0" w:tplc="D0167DE2">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72F0AC5"/>
    <w:multiLevelType w:val="multilevel"/>
    <w:tmpl w:val="950A434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C7B624F"/>
    <w:multiLevelType w:val="multilevel"/>
    <w:tmpl w:val="67DCFB9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16B3A0E"/>
    <w:multiLevelType w:val="hybridMultilevel"/>
    <w:tmpl w:val="D98427D8"/>
    <w:lvl w:ilvl="0" w:tplc="71F8BA4E">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23CB6A93"/>
    <w:multiLevelType w:val="multilevel"/>
    <w:tmpl w:val="D3DA0AC6"/>
    <w:lvl w:ilvl="0">
      <w:start w:val="1"/>
      <w:numFmt w:val="bullet"/>
      <w:lvlText w:val="-"/>
      <w:lvlJc w:val="left"/>
      <w:pPr>
        <w:tabs>
          <w:tab w:val="num" w:pos="6"/>
        </w:tabs>
        <w:ind w:left="6" w:hanging="360"/>
      </w:pPr>
      <w:rPr>
        <w:rFonts w:ascii="Times New Roman" w:eastAsia="Times New Roman" w:hAnsi="Times New Roman" w:cs="Times New Roman" w:hint="default"/>
        <w:b w:val="0"/>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9" w15:restartNumberingAfterBreak="0">
    <w:nsid w:val="2C8DFDF8"/>
    <w:multiLevelType w:val="multilevel"/>
    <w:tmpl w:val="6DE454F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E3"/>
    <w:multiLevelType w:val="multilevel"/>
    <w:tmpl w:val="B6544D2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F4"/>
    <w:multiLevelType w:val="multilevel"/>
    <w:tmpl w:val="6F26743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166418B"/>
    <w:multiLevelType w:val="multilevel"/>
    <w:tmpl w:val="C382CF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3A209A"/>
    <w:multiLevelType w:val="hybridMultilevel"/>
    <w:tmpl w:val="46A46C04"/>
    <w:lvl w:ilvl="0" w:tplc="4CF22E44">
      <w:start w:val="1"/>
      <w:numFmt w:val="bullet"/>
      <w:lvlText w:val="-"/>
      <w:lvlJc w:val="left"/>
      <w:pPr>
        <w:ind w:left="360" w:hanging="360"/>
      </w:pPr>
      <w:rPr>
        <w:rFonts w:ascii="Times New Roman" w:eastAsia="Times New Roman" w:hAnsi="Times New Roman" w:cs="Times New Roman"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36324F1E"/>
    <w:multiLevelType w:val="multilevel"/>
    <w:tmpl w:val="40E0624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7CB1E1C"/>
    <w:multiLevelType w:val="multilevel"/>
    <w:tmpl w:val="4CE2DAC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93C6DBF"/>
    <w:multiLevelType w:val="multilevel"/>
    <w:tmpl w:val="12E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412F60"/>
    <w:multiLevelType w:val="hybridMultilevel"/>
    <w:tmpl w:val="99A4AC64"/>
    <w:lvl w:ilvl="0" w:tplc="E8E43A0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3A7730C4"/>
    <w:multiLevelType w:val="multilevel"/>
    <w:tmpl w:val="7796161C"/>
    <w:name w:val="ListBullet1Numbering"/>
    <w:lvl w:ilvl="0">
      <w:start w:val="1"/>
      <w:numFmt w:val="bullet"/>
      <w:pStyle w:val="ListBullet1"/>
      <w:lvlText w:val=""/>
      <w:lvlJc w:val="left"/>
      <w:pPr>
        <w:tabs>
          <w:tab w:val="num" w:pos="765"/>
        </w:tabs>
        <w:ind w:left="283" w:hanging="283"/>
      </w:pPr>
      <w:rPr>
        <w:rFonts w:ascii="Symbol" w:hAnsi="Symbol" w:hint="default"/>
      </w:rPr>
    </w:lvl>
    <w:lvl w:ilvl="1">
      <w:start w:val="1"/>
      <w:numFmt w:val="bullet"/>
      <w:pStyle w:val="ListBullet1Level2"/>
      <w:lvlText w:val=""/>
      <w:lvlJc w:val="left"/>
      <w:pPr>
        <w:tabs>
          <w:tab w:val="num" w:pos="1049"/>
        </w:tabs>
        <w:ind w:left="567" w:hanging="284"/>
      </w:pPr>
      <w:rPr>
        <w:rFonts w:ascii="Symbol" w:hAnsi="Symbol" w:hint="default"/>
      </w:rPr>
    </w:lvl>
    <w:lvl w:ilvl="2">
      <w:start w:val="1"/>
      <w:numFmt w:val="bullet"/>
      <w:pStyle w:val="ListBullet1Level3"/>
      <w:lvlText w:val=""/>
      <w:lvlJc w:val="left"/>
      <w:pPr>
        <w:tabs>
          <w:tab w:val="num" w:pos="1332"/>
        </w:tabs>
        <w:ind w:left="850" w:hanging="283"/>
      </w:pPr>
      <w:rPr>
        <w:rFonts w:ascii="Symbol" w:hAnsi="Symbol" w:hint="default"/>
      </w:rPr>
    </w:lvl>
    <w:lvl w:ilvl="3">
      <w:start w:val="1"/>
      <w:numFmt w:val="bullet"/>
      <w:pStyle w:val="ListBullet1Level4"/>
      <w:lvlText w:val=""/>
      <w:lvlJc w:val="left"/>
      <w:pPr>
        <w:tabs>
          <w:tab w:val="num" w:pos="1616"/>
        </w:tabs>
        <w:ind w:left="1134" w:hanging="284"/>
      </w:pPr>
      <w:rPr>
        <w:rFonts w:ascii="Symbol" w:hAnsi="Symbol"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E9D5001"/>
    <w:multiLevelType w:val="multilevel"/>
    <w:tmpl w:val="D94A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467A82"/>
    <w:multiLevelType w:val="hybridMultilevel"/>
    <w:tmpl w:val="B10EDE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19A6E14"/>
    <w:multiLevelType w:val="multilevel"/>
    <w:tmpl w:val="82C6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9E662A"/>
    <w:multiLevelType w:val="multilevel"/>
    <w:tmpl w:val="9A0092C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47C0B2A"/>
    <w:multiLevelType w:val="multilevel"/>
    <w:tmpl w:val="01A0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1E4A14"/>
    <w:multiLevelType w:val="multilevel"/>
    <w:tmpl w:val="5E5EB4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6322FED"/>
    <w:multiLevelType w:val="multilevel"/>
    <w:tmpl w:val="B754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B74826"/>
    <w:multiLevelType w:val="multilevel"/>
    <w:tmpl w:val="59F4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5C7ABF"/>
    <w:multiLevelType w:val="multilevel"/>
    <w:tmpl w:val="6F1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61066F"/>
    <w:multiLevelType w:val="hybridMultilevel"/>
    <w:tmpl w:val="1E76DBD4"/>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9" w15:restartNumberingAfterBreak="0">
    <w:nsid w:val="4E1A63DF"/>
    <w:multiLevelType w:val="multilevel"/>
    <w:tmpl w:val="FC5293B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4E1A982C"/>
    <w:multiLevelType w:val="multilevel"/>
    <w:tmpl w:val="7CAAF01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4E305853"/>
    <w:multiLevelType w:val="multilevel"/>
    <w:tmpl w:val="6386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7B1263"/>
    <w:multiLevelType w:val="multilevel"/>
    <w:tmpl w:val="4A4E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72619B"/>
    <w:multiLevelType w:val="multilevel"/>
    <w:tmpl w:val="96F83B5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50729B52"/>
    <w:multiLevelType w:val="multilevel"/>
    <w:tmpl w:val="B41415B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5E0B0622"/>
    <w:multiLevelType w:val="multilevel"/>
    <w:tmpl w:val="E794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F6487F"/>
    <w:multiLevelType w:val="hybridMultilevel"/>
    <w:tmpl w:val="8B7804C0"/>
    <w:lvl w:ilvl="0" w:tplc="D94256AC">
      <w:start w:val="1"/>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6977472E"/>
    <w:multiLevelType w:val="multilevel"/>
    <w:tmpl w:val="71B6DF0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8" w15:restartNumberingAfterBreak="0">
    <w:nsid w:val="6FA7274E"/>
    <w:multiLevelType w:val="hybridMultilevel"/>
    <w:tmpl w:val="25963792"/>
    <w:lvl w:ilvl="0" w:tplc="4CF22E44">
      <w:start w:val="1"/>
      <w:numFmt w:val="bullet"/>
      <w:lvlText w:val="-"/>
      <w:lvlJc w:val="left"/>
      <w:pPr>
        <w:ind w:left="720" w:hanging="360"/>
      </w:pPr>
      <w:rPr>
        <w:rFonts w:ascii="Times New Roman" w:eastAsia="Times New Roman" w:hAnsi="Times New Roman" w:cs="Times New Roman"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176099B"/>
    <w:multiLevelType w:val="hybridMultilevel"/>
    <w:tmpl w:val="AA00444A"/>
    <w:lvl w:ilvl="0" w:tplc="4CF22E44">
      <w:start w:val="1"/>
      <w:numFmt w:val="bullet"/>
      <w:lvlText w:val="-"/>
      <w:lvlJc w:val="left"/>
      <w:pPr>
        <w:ind w:left="360" w:hanging="360"/>
      </w:pPr>
      <w:rPr>
        <w:rFonts w:ascii="Times New Roman" w:eastAsia="Times New Roman" w:hAnsi="Times New Roman" w:cs="Times New Roman"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71FF214D"/>
    <w:multiLevelType w:val="multilevel"/>
    <w:tmpl w:val="5B70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406410"/>
    <w:multiLevelType w:val="multilevel"/>
    <w:tmpl w:val="E85800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C65145E"/>
    <w:multiLevelType w:val="multilevel"/>
    <w:tmpl w:val="33F00F1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570"/>
        </w:tabs>
        <w:ind w:left="1570"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5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24"/>
  </w:num>
  <w:num w:numId="3">
    <w:abstractNumId w:val="16"/>
  </w:num>
  <w:num w:numId="4">
    <w:abstractNumId w:val="25"/>
  </w:num>
  <w:num w:numId="5">
    <w:abstractNumId w:val="43"/>
  </w:num>
  <w:num w:numId="6">
    <w:abstractNumId w:val="47"/>
  </w:num>
  <w:num w:numId="7">
    <w:abstractNumId w:val="4"/>
  </w:num>
  <w:num w:numId="8">
    <w:abstractNumId w:val="15"/>
  </w:num>
  <w:num w:numId="9">
    <w:abstractNumId w:val="32"/>
  </w:num>
  <w:num w:numId="10">
    <w:abstractNumId w:val="7"/>
  </w:num>
  <w:num w:numId="11">
    <w:abstractNumId w:val="9"/>
  </w:num>
  <w:num w:numId="12">
    <w:abstractNumId w:val="11"/>
  </w:num>
  <w:num w:numId="13">
    <w:abstractNumId w:val="19"/>
  </w:num>
  <w:num w:numId="14">
    <w:abstractNumId w:val="28"/>
  </w:num>
  <w:num w:numId="15">
    <w:abstractNumId w:val="40"/>
  </w:num>
  <w:num w:numId="16">
    <w:abstractNumId w:val="52"/>
  </w:num>
  <w:num w:numId="17">
    <w:abstractNumId w:val="20"/>
  </w:num>
  <w:num w:numId="18">
    <w:abstractNumId w:val="21"/>
  </w:num>
  <w:num w:numId="19">
    <w:abstractNumId w:val="53"/>
  </w:num>
  <w:num w:numId="20">
    <w:abstractNumId w:val="39"/>
  </w:num>
  <w:num w:numId="21">
    <w:abstractNumId w:val="44"/>
  </w:num>
  <w:num w:numId="22">
    <w:abstractNumId w:val="8"/>
  </w:num>
  <w:num w:numId="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8"/>
  </w:num>
  <w:num w:numId="26">
    <w:abstractNumId w:val="48"/>
  </w:num>
  <w:num w:numId="27">
    <w:abstractNumId w:val="5"/>
  </w:num>
  <w:num w:numId="28">
    <w:abstractNumId w:val="29"/>
  </w:num>
  <w:num w:numId="29">
    <w:abstractNumId w:val="0"/>
  </w:num>
  <w:num w:numId="30">
    <w:abstractNumId w:val="36"/>
  </w:num>
  <w:num w:numId="31">
    <w:abstractNumId w:val="41"/>
  </w:num>
  <w:num w:numId="32">
    <w:abstractNumId w:val="3"/>
  </w:num>
  <w:num w:numId="33">
    <w:abstractNumId w:val="10"/>
  </w:num>
  <w:num w:numId="34">
    <w:abstractNumId w:val="45"/>
  </w:num>
  <w:num w:numId="35">
    <w:abstractNumId w:val="31"/>
  </w:num>
  <w:num w:numId="36">
    <w:abstractNumId w:val="50"/>
  </w:num>
  <w:num w:numId="37">
    <w:abstractNumId w:val="33"/>
  </w:num>
  <w:num w:numId="38">
    <w:abstractNumId w:val="13"/>
  </w:num>
  <w:num w:numId="39">
    <w:abstractNumId w:val="35"/>
  </w:num>
  <w:num w:numId="40">
    <w:abstractNumId w:val="12"/>
  </w:num>
  <w:num w:numId="41">
    <w:abstractNumId w:val="37"/>
  </w:num>
  <w:num w:numId="42">
    <w:abstractNumId w:val="42"/>
  </w:num>
  <w:num w:numId="43">
    <w:abstractNumId w:val="22"/>
  </w:num>
  <w:num w:numId="44">
    <w:abstractNumId w:val="26"/>
  </w:num>
  <w:num w:numId="45">
    <w:abstractNumId w:val="30"/>
  </w:num>
  <w:num w:numId="46">
    <w:abstractNumId w:val="34"/>
  </w:num>
  <w:num w:numId="47">
    <w:abstractNumId w:val="49"/>
  </w:num>
  <w:num w:numId="48">
    <w:abstractNumId w:val="23"/>
  </w:num>
  <w:num w:numId="49">
    <w:abstractNumId w:val="6"/>
  </w:num>
  <w:num w:numId="50">
    <w:abstractNumId w:val="14"/>
  </w:num>
  <w:num w:numId="51">
    <w:abstractNumId w:val="27"/>
  </w:num>
  <w:num w:numId="52">
    <w:abstractNumId w:val="38"/>
  </w:num>
  <w:num w:numId="53">
    <w:abstractNumId w:val="17"/>
  </w:num>
  <w:num w:numId="54">
    <w:abstractNumId w:val="46"/>
  </w:num>
  <w:num w:numId="55">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1F09291-F3A9-40C5-B8D6-486612EBE48C"/>
    <w:docVar w:name="LW_COVERPAGE_TYPE" w:val="1"/>
    <w:docVar w:name="LW_CROSSREFERENCE" w:val="{SWD(2025) 895 final}"/>
    <w:docVar w:name="LW_DocType" w:val="99A10D1568B24978994F84D3B7A389D7"/>
    <w:docVar w:name="LW_EMISSION" w:val="27.11.2025"/>
    <w:docVar w:name="LW_EMISSION_ISODATE" w:val="2025-11-2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cadre stratégique pour une bioéconomie européenne compétitive et durable&lt;/FMT&gt;"/>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C47C8C"/>
    <w:rsid w:val="000001C2"/>
    <w:rsid w:val="00000205"/>
    <w:rsid w:val="00000622"/>
    <w:rsid w:val="00000714"/>
    <w:rsid w:val="00000A0F"/>
    <w:rsid w:val="00000B8A"/>
    <w:rsid w:val="00000D4F"/>
    <w:rsid w:val="00000DE2"/>
    <w:rsid w:val="00001043"/>
    <w:rsid w:val="00001090"/>
    <w:rsid w:val="00001107"/>
    <w:rsid w:val="00001258"/>
    <w:rsid w:val="000014A5"/>
    <w:rsid w:val="000014BC"/>
    <w:rsid w:val="0000179E"/>
    <w:rsid w:val="000017AE"/>
    <w:rsid w:val="00001916"/>
    <w:rsid w:val="00001A89"/>
    <w:rsid w:val="00001C3E"/>
    <w:rsid w:val="00001D02"/>
    <w:rsid w:val="00001D1B"/>
    <w:rsid w:val="00001FD2"/>
    <w:rsid w:val="00002046"/>
    <w:rsid w:val="0000213E"/>
    <w:rsid w:val="00002214"/>
    <w:rsid w:val="00002508"/>
    <w:rsid w:val="0000276E"/>
    <w:rsid w:val="00002787"/>
    <w:rsid w:val="00002A28"/>
    <w:rsid w:val="00002C36"/>
    <w:rsid w:val="00002E42"/>
    <w:rsid w:val="00002E9B"/>
    <w:rsid w:val="00002F3E"/>
    <w:rsid w:val="00003005"/>
    <w:rsid w:val="00003105"/>
    <w:rsid w:val="000031D7"/>
    <w:rsid w:val="000032E7"/>
    <w:rsid w:val="00003511"/>
    <w:rsid w:val="00003521"/>
    <w:rsid w:val="00003555"/>
    <w:rsid w:val="00003904"/>
    <w:rsid w:val="00003AD1"/>
    <w:rsid w:val="00003BE8"/>
    <w:rsid w:val="00003D45"/>
    <w:rsid w:val="00003D5B"/>
    <w:rsid w:val="00004030"/>
    <w:rsid w:val="000043AC"/>
    <w:rsid w:val="00004681"/>
    <w:rsid w:val="000046F5"/>
    <w:rsid w:val="00004894"/>
    <w:rsid w:val="00004C71"/>
    <w:rsid w:val="00004D7D"/>
    <w:rsid w:val="00005117"/>
    <w:rsid w:val="0000514B"/>
    <w:rsid w:val="00005252"/>
    <w:rsid w:val="00005611"/>
    <w:rsid w:val="000057B8"/>
    <w:rsid w:val="0000591A"/>
    <w:rsid w:val="00005B76"/>
    <w:rsid w:val="00005BCC"/>
    <w:rsid w:val="00005CB2"/>
    <w:rsid w:val="00005E63"/>
    <w:rsid w:val="00006209"/>
    <w:rsid w:val="0000664C"/>
    <w:rsid w:val="00006905"/>
    <w:rsid w:val="000069A8"/>
    <w:rsid w:val="00006A40"/>
    <w:rsid w:val="00006A9A"/>
    <w:rsid w:val="00006CE6"/>
    <w:rsid w:val="00006D50"/>
    <w:rsid w:val="00006E3A"/>
    <w:rsid w:val="00006E4E"/>
    <w:rsid w:val="00006F35"/>
    <w:rsid w:val="00006FDF"/>
    <w:rsid w:val="000070DE"/>
    <w:rsid w:val="00007126"/>
    <w:rsid w:val="0000726C"/>
    <w:rsid w:val="0000733E"/>
    <w:rsid w:val="00007467"/>
    <w:rsid w:val="00007B27"/>
    <w:rsid w:val="00007BF2"/>
    <w:rsid w:val="00007C99"/>
    <w:rsid w:val="00007CB6"/>
    <w:rsid w:val="00007E30"/>
    <w:rsid w:val="00007E4E"/>
    <w:rsid w:val="00007F56"/>
    <w:rsid w:val="0001000B"/>
    <w:rsid w:val="00010064"/>
    <w:rsid w:val="0001014E"/>
    <w:rsid w:val="000101A8"/>
    <w:rsid w:val="0001031B"/>
    <w:rsid w:val="00010333"/>
    <w:rsid w:val="00010337"/>
    <w:rsid w:val="000104F4"/>
    <w:rsid w:val="00010674"/>
    <w:rsid w:val="00010BBA"/>
    <w:rsid w:val="00010BBD"/>
    <w:rsid w:val="00010CE8"/>
    <w:rsid w:val="00010E33"/>
    <w:rsid w:val="00010E49"/>
    <w:rsid w:val="000114C7"/>
    <w:rsid w:val="00011512"/>
    <w:rsid w:val="00011623"/>
    <w:rsid w:val="000116B1"/>
    <w:rsid w:val="00011815"/>
    <w:rsid w:val="000118E7"/>
    <w:rsid w:val="00011DD5"/>
    <w:rsid w:val="00011F45"/>
    <w:rsid w:val="00011FCF"/>
    <w:rsid w:val="000120ED"/>
    <w:rsid w:val="000120F9"/>
    <w:rsid w:val="000122F7"/>
    <w:rsid w:val="00012483"/>
    <w:rsid w:val="0001249D"/>
    <w:rsid w:val="000124F7"/>
    <w:rsid w:val="0001260B"/>
    <w:rsid w:val="00012698"/>
    <w:rsid w:val="00012704"/>
    <w:rsid w:val="000128BE"/>
    <w:rsid w:val="00012E19"/>
    <w:rsid w:val="00012EA7"/>
    <w:rsid w:val="00012EFE"/>
    <w:rsid w:val="000130FC"/>
    <w:rsid w:val="0001335B"/>
    <w:rsid w:val="000135CA"/>
    <w:rsid w:val="00013665"/>
    <w:rsid w:val="00013760"/>
    <w:rsid w:val="000138E3"/>
    <w:rsid w:val="0001397D"/>
    <w:rsid w:val="00013A4A"/>
    <w:rsid w:val="00013B0B"/>
    <w:rsid w:val="00013B73"/>
    <w:rsid w:val="00013BC7"/>
    <w:rsid w:val="00013D38"/>
    <w:rsid w:val="00013E20"/>
    <w:rsid w:val="000140F9"/>
    <w:rsid w:val="00014390"/>
    <w:rsid w:val="00014493"/>
    <w:rsid w:val="0001487A"/>
    <w:rsid w:val="00014992"/>
    <w:rsid w:val="00014A15"/>
    <w:rsid w:val="00014B9F"/>
    <w:rsid w:val="00014F14"/>
    <w:rsid w:val="000151DB"/>
    <w:rsid w:val="00015298"/>
    <w:rsid w:val="00015517"/>
    <w:rsid w:val="000155AC"/>
    <w:rsid w:val="000155DC"/>
    <w:rsid w:val="000157E5"/>
    <w:rsid w:val="00015854"/>
    <w:rsid w:val="000158B2"/>
    <w:rsid w:val="00015A0E"/>
    <w:rsid w:val="00015B56"/>
    <w:rsid w:val="00015BD7"/>
    <w:rsid w:val="00015D32"/>
    <w:rsid w:val="00015D44"/>
    <w:rsid w:val="00015E53"/>
    <w:rsid w:val="00015EF1"/>
    <w:rsid w:val="00016049"/>
    <w:rsid w:val="00016A55"/>
    <w:rsid w:val="00016C6B"/>
    <w:rsid w:val="00016D0B"/>
    <w:rsid w:val="000170DE"/>
    <w:rsid w:val="000171B2"/>
    <w:rsid w:val="000171B6"/>
    <w:rsid w:val="000171E2"/>
    <w:rsid w:val="00017465"/>
    <w:rsid w:val="0001748F"/>
    <w:rsid w:val="000174A2"/>
    <w:rsid w:val="0001775B"/>
    <w:rsid w:val="0001784A"/>
    <w:rsid w:val="00017AA8"/>
    <w:rsid w:val="00017C23"/>
    <w:rsid w:val="00017D47"/>
    <w:rsid w:val="00020168"/>
    <w:rsid w:val="00020246"/>
    <w:rsid w:val="000202EB"/>
    <w:rsid w:val="0002042E"/>
    <w:rsid w:val="0002048F"/>
    <w:rsid w:val="0002061D"/>
    <w:rsid w:val="0002066C"/>
    <w:rsid w:val="00020817"/>
    <w:rsid w:val="00020900"/>
    <w:rsid w:val="00020986"/>
    <w:rsid w:val="00020DF0"/>
    <w:rsid w:val="00020EB4"/>
    <w:rsid w:val="00020ECE"/>
    <w:rsid w:val="00020FE6"/>
    <w:rsid w:val="0002113B"/>
    <w:rsid w:val="00021283"/>
    <w:rsid w:val="0002144B"/>
    <w:rsid w:val="0002163B"/>
    <w:rsid w:val="0002184C"/>
    <w:rsid w:val="00021DF4"/>
    <w:rsid w:val="00021FF4"/>
    <w:rsid w:val="00021FFF"/>
    <w:rsid w:val="000220A8"/>
    <w:rsid w:val="000221E3"/>
    <w:rsid w:val="00022210"/>
    <w:rsid w:val="000222FD"/>
    <w:rsid w:val="0002235E"/>
    <w:rsid w:val="00022776"/>
    <w:rsid w:val="00022B18"/>
    <w:rsid w:val="00022B4A"/>
    <w:rsid w:val="00022DB4"/>
    <w:rsid w:val="00022E25"/>
    <w:rsid w:val="00022E5F"/>
    <w:rsid w:val="00023100"/>
    <w:rsid w:val="00023245"/>
    <w:rsid w:val="000232D8"/>
    <w:rsid w:val="000232F5"/>
    <w:rsid w:val="0002339A"/>
    <w:rsid w:val="00023414"/>
    <w:rsid w:val="000236E3"/>
    <w:rsid w:val="00023B0B"/>
    <w:rsid w:val="00023BD6"/>
    <w:rsid w:val="00023C9E"/>
    <w:rsid w:val="00023D65"/>
    <w:rsid w:val="00023E67"/>
    <w:rsid w:val="000240E2"/>
    <w:rsid w:val="00024694"/>
    <w:rsid w:val="000246EF"/>
    <w:rsid w:val="0002481E"/>
    <w:rsid w:val="00024C86"/>
    <w:rsid w:val="00025009"/>
    <w:rsid w:val="000250B5"/>
    <w:rsid w:val="000254AC"/>
    <w:rsid w:val="0002591A"/>
    <w:rsid w:val="00025CC7"/>
    <w:rsid w:val="00025D04"/>
    <w:rsid w:val="00025DA5"/>
    <w:rsid w:val="00025EA8"/>
    <w:rsid w:val="00025FB9"/>
    <w:rsid w:val="0002606A"/>
    <w:rsid w:val="0002612D"/>
    <w:rsid w:val="000263AC"/>
    <w:rsid w:val="0002674F"/>
    <w:rsid w:val="0002694C"/>
    <w:rsid w:val="00026BBF"/>
    <w:rsid w:val="00026BE1"/>
    <w:rsid w:val="00026CB7"/>
    <w:rsid w:val="00026D05"/>
    <w:rsid w:val="00026D62"/>
    <w:rsid w:val="00026E0D"/>
    <w:rsid w:val="00027076"/>
    <w:rsid w:val="0002707E"/>
    <w:rsid w:val="0002709B"/>
    <w:rsid w:val="000271EF"/>
    <w:rsid w:val="0002728E"/>
    <w:rsid w:val="00027408"/>
    <w:rsid w:val="000274B9"/>
    <w:rsid w:val="000274FD"/>
    <w:rsid w:val="0002751F"/>
    <w:rsid w:val="0002778E"/>
    <w:rsid w:val="00027988"/>
    <w:rsid w:val="00027C84"/>
    <w:rsid w:val="00027CBE"/>
    <w:rsid w:val="00027DD7"/>
    <w:rsid w:val="00027FC2"/>
    <w:rsid w:val="00027FEA"/>
    <w:rsid w:val="0003030A"/>
    <w:rsid w:val="000303D4"/>
    <w:rsid w:val="00030499"/>
    <w:rsid w:val="00030942"/>
    <w:rsid w:val="00030C23"/>
    <w:rsid w:val="00030C90"/>
    <w:rsid w:val="00030D80"/>
    <w:rsid w:val="00030DC1"/>
    <w:rsid w:val="00030EB0"/>
    <w:rsid w:val="00030F0F"/>
    <w:rsid w:val="00030F29"/>
    <w:rsid w:val="000314A6"/>
    <w:rsid w:val="00031640"/>
    <w:rsid w:val="00031759"/>
    <w:rsid w:val="000319EE"/>
    <w:rsid w:val="00031C39"/>
    <w:rsid w:val="00031C8A"/>
    <w:rsid w:val="00031E8A"/>
    <w:rsid w:val="00031F7D"/>
    <w:rsid w:val="00031F9B"/>
    <w:rsid w:val="00032228"/>
    <w:rsid w:val="000322D7"/>
    <w:rsid w:val="00032380"/>
    <w:rsid w:val="000323AC"/>
    <w:rsid w:val="000324DE"/>
    <w:rsid w:val="0003259B"/>
    <w:rsid w:val="00032961"/>
    <w:rsid w:val="00032A10"/>
    <w:rsid w:val="00032A8F"/>
    <w:rsid w:val="00032CEC"/>
    <w:rsid w:val="00032DAE"/>
    <w:rsid w:val="00032DB5"/>
    <w:rsid w:val="00032DF9"/>
    <w:rsid w:val="000331D2"/>
    <w:rsid w:val="000333FE"/>
    <w:rsid w:val="00033422"/>
    <w:rsid w:val="000334DA"/>
    <w:rsid w:val="000334F9"/>
    <w:rsid w:val="000335BE"/>
    <w:rsid w:val="00033764"/>
    <w:rsid w:val="000337D6"/>
    <w:rsid w:val="0003380E"/>
    <w:rsid w:val="00033BFB"/>
    <w:rsid w:val="00033D91"/>
    <w:rsid w:val="00033E0D"/>
    <w:rsid w:val="00033E9A"/>
    <w:rsid w:val="00033FE1"/>
    <w:rsid w:val="00034029"/>
    <w:rsid w:val="000340B7"/>
    <w:rsid w:val="0003415F"/>
    <w:rsid w:val="000341E9"/>
    <w:rsid w:val="0003456C"/>
    <w:rsid w:val="000345AE"/>
    <w:rsid w:val="000345E4"/>
    <w:rsid w:val="0003469B"/>
    <w:rsid w:val="000347B3"/>
    <w:rsid w:val="000347F4"/>
    <w:rsid w:val="000348FE"/>
    <w:rsid w:val="00034CA9"/>
    <w:rsid w:val="00034E7E"/>
    <w:rsid w:val="000351C7"/>
    <w:rsid w:val="000352A0"/>
    <w:rsid w:val="00035412"/>
    <w:rsid w:val="0003542D"/>
    <w:rsid w:val="00035498"/>
    <w:rsid w:val="000357C5"/>
    <w:rsid w:val="00035B1A"/>
    <w:rsid w:val="00035C05"/>
    <w:rsid w:val="00035C22"/>
    <w:rsid w:val="00035DF8"/>
    <w:rsid w:val="00035E3D"/>
    <w:rsid w:val="00035FD0"/>
    <w:rsid w:val="00035FD3"/>
    <w:rsid w:val="000361C7"/>
    <w:rsid w:val="000361E3"/>
    <w:rsid w:val="0003624A"/>
    <w:rsid w:val="00036510"/>
    <w:rsid w:val="0003677D"/>
    <w:rsid w:val="00036A61"/>
    <w:rsid w:val="00036BD5"/>
    <w:rsid w:val="00036CA6"/>
    <w:rsid w:val="00036CC6"/>
    <w:rsid w:val="00036CF0"/>
    <w:rsid w:val="00036CFC"/>
    <w:rsid w:val="00036D75"/>
    <w:rsid w:val="00036E89"/>
    <w:rsid w:val="00036E8C"/>
    <w:rsid w:val="000370F7"/>
    <w:rsid w:val="00037135"/>
    <w:rsid w:val="00037280"/>
    <w:rsid w:val="000373B8"/>
    <w:rsid w:val="00037437"/>
    <w:rsid w:val="00037479"/>
    <w:rsid w:val="000374F2"/>
    <w:rsid w:val="00037544"/>
    <w:rsid w:val="0003756B"/>
    <w:rsid w:val="00037608"/>
    <w:rsid w:val="00037975"/>
    <w:rsid w:val="00037CB9"/>
    <w:rsid w:val="00037FE1"/>
    <w:rsid w:val="000401EB"/>
    <w:rsid w:val="00040331"/>
    <w:rsid w:val="000405FB"/>
    <w:rsid w:val="0004065B"/>
    <w:rsid w:val="00040849"/>
    <w:rsid w:val="000408B5"/>
    <w:rsid w:val="00040956"/>
    <w:rsid w:val="00040AB0"/>
    <w:rsid w:val="00040B1F"/>
    <w:rsid w:val="00040BBF"/>
    <w:rsid w:val="00040C24"/>
    <w:rsid w:val="00041300"/>
    <w:rsid w:val="00041381"/>
    <w:rsid w:val="0004144A"/>
    <w:rsid w:val="000414B2"/>
    <w:rsid w:val="000414E7"/>
    <w:rsid w:val="000415D7"/>
    <w:rsid w:val="00041705"/>
    <w:rsid w:val="00041721"/>
    <w:rsid w:val="000417E2"/>
    <w:rsid w:val="000418F2"/>
    <w:rsid w:val="00041AF0"/>
    <w:rsid w:val="00041D3C"/>
    <w:rsid w:val="00041EB0"/>
    <w:rsid w:val="00041F38"/>
    <w:rsid w:val="00041F4D"/>
    <w:rsid w:val="00041FD2"/>
    <w:rsid w:val="00041FF1"/>
    <w:rsid w:val="0004225F"/>
    <w:rsid w:val="00042459"/>
    <w:rsid w:val="00042461"/>
    <w:rsid w:val="00042547"/>
    <w:rsid w:val="000426CB"/>
    <w:rsid w:val="0004296F"/>
    <w:rsid w:val="00042A68"/>
    <w:rsid w:val="00042B5D"/>
    <w:rsid w:val="00042DAC"/>
    <w:rsid w:val="0004308A"/>
    <w:rsid w:val="00043188"/>
    <w:rsid w:val="000431C2"/>
    <w:rsid w:val="000432EC"/>
    <w:rsid w:val="000434C3"/>
    <w:rsid w:val="000434CC"/>
    <w:rsid w:val="000434E9"/>
    <w:rsid w:val="00043634"/>
    <w:rsid w:val="0004369F"/>
    <w:rsid w:val="00043970"/>
    <w:rsid w:val="000439A4"/>
    <w:rsid w:val="00043AD8"/>
    <w:rsid w:val="00043BA2"/>
    <w:rsid w:val="00043C2C"/>
    <w:rsid w:val="00043CC8"/>
    <w:rsid w:val="00043DBB"/>
    <w:rsid w:val="00043FEF"/>
    <w:rsid w:val="0004406D"/>
    <w:rsid w:val="00044088"/>
    <w:rsid w:val="00044135"/>
    <w:rsid w:val="00044324"/>
    <w:rsid w:val="00044372"/>
    <w:rsid w:val="0004439A"/>
    <w:rsid w:val="00044409"/>
    <w:rsid w:val="000444FC"/>
    <w:rsid w:val="0004454A"/>
    <w:rsid w:val="00044719"/>
    <w:rsid w:val="00044E70"/>
    <w:rsid w:val="00044FDC"/>
    <w:rsid w:val="00045033"/>
    <w:rsid w:val="0004503F"/>
    <w:rsid w:val="000450CE"/>
    <w:rsid w:val="00045115"/>
    <w:rsid w:val="000453BE"/>
    <w:rsid w:val="00045440"/>
    <w:rsid w:val="000455A9"/>
    <w:rsid w:val="000455DD"/>
    <w:rsid w:val="00045732"/>
    <w:rsid w:val="000457AA"/>
    <w:rsid w:val="00045A39"/>
    <w:rsid w:val="00045AD3"/>
    <w:rsid w:val="00045BCE"/>
    <w:rsid w:val="00045FD8"/>
    <w:rsid w:val="000460ED"/>
    <w:rsid w:val="00046138"/>
    <w:rsid w:val="000462F6"/>
    <w:rsid w:val="00046357"/>
    <w:rsid w:val="00046381"/>
    <w:rsid w:val="000463F7"/>
    <w:rsid w:val="000466E2"/>
    <w:rsid w:val="000466E5"/>
    <w:rsid w:val="000469AA"/>
    <w:rsid w:val="00046B25"/>
    <w:rsid w:val="00046F48"/>
    <w:rsid w:val="00047198"/>
    <w:rsid w:val="0004721A"/>
    <w:rsid w:val="000472A0"/>
    <w:rsid w:val="000475BE"/>
    <w:rsid w:val="000477BA"/>
    <w:rsid w:val="00047837"/>
    <w:rsid w:val="0004783A"/>
    <w:rsid w:val="00047A5E"/>
    <w:rsid w:val="00047ADF"/>
    <w:rsid w:val="00047C52"/>
    <w:rsid w:val="00047D0A"/>
    <w:rsid w:val="00047DC0"/>
    <w:rsid w:val="00047E3C"/>
    <w:rsid w:val="00047F9A"/>
    <w:rsid w:val="00050384"/>
    <w:rsid w:val="00050572"/>
    <w:rsid w:val="00050601"/>
    <w:rsid w:val="000508C9"/>
    <w:rsid w:val="00050B2D"/>
    <w:rsid w:val="00050C84"/>
    <w:rsid w:val="00051053"/>
    <w:rsid w:val="000510DF"/>
    <w:rsid w:val="000512A8"/>
    <w:rsid w:val="0005155F"/>
    <w:rsid w:val="000516FB"/>
    <w:rsid w:val="00051829"/>
    <w:rsid w:val="000519EB"/>
    <w:rsid w:val="00051B08"/>
    <w:rsid w:val="00051BEB"/>
    <w:rsid w:val="00051D2B"/>
    <w:rsid w:val="00051D3A"/>
    <w:rsid w:val="00051E24"/>
    <w:rsid w:val="00051FF6"/>
    <w:rsid w:val="0005212E"/>
    <w:rsid w:val="00052265"/>
    <w:rsid w:val="000526DD"/>
    <w:rsid w:val="00052803"/>
    <w:rsid w:val="00052885"/>
    <w:rsid w:val="00052B46"/>
    <w:rsid w:val="00052CC6"/>
    <w:rsid w:val="00052DEC"/>
    <w:rsid w:val="00052FBB"/>
    <w:rsid w:val="000530CF"/>
    <w:rsid w:val="000531B1"/>
    <w:rsid w:val="0005320E"/>
    <w:rsid w:val="000532BF"/>
    <w:rsid w:val="000532DE"/>
    <w:rsid w:val="000532F4"/>
    <w:rsid w:val="00053320"/>
    <w:rsid w:val="0005355F"/>
    <w:rsid w:val="0005366B"/>
    <w:rsid w:val="0005376F"/>
    <w:rsid w:val="0005381F"/>
    <w:rsid w:val="00053831"/>
    <w:rsid w:val="00053924"/>
    <w:rsid w:val="00053A0E"/>
    <w:rsid w:val="00053B5A"/>
    <w:rsid w:val="00053C17"/>
    <w:rsid w:val="00053D6E"/>
    <w:rsid w:val="000543F6"/>
    <w:rsid w:val="0005441D"/>
    <w:rsid w:val="00054436"/>
    <w:rsid w:val="0005447F"/>
    <w:rsid w:val="00054715"/>
    <w:rsid w:val="00054E40"/>
    <w:rsid w:val="00055197"/>
    <w:rsid w:val="000551A8"/>
    <w:rsid w:val="000552D4"/>
    <w:rsid w:val="000554FF"/>
    <w:rsid w:val="0005550F"/>
    <w:rsid w:val="00055532"/>
    <w:rsid w:val="00055765"/>
    <w:rsid w:val="00055EB7"/>
    <w:rsid w:val="00055F8A"/>
    <w:rsid w:val="00056226"/>
    <w:rsid w:val="0005623B"/>
    <w:rsid w:val="00056729"/>
    <w:rsid w:val="000567A6"/>
    <w:rsid w:val="000567FC"/>
    <w:rsid w:val="00056A06"/>
    <w:rsid w:val="00056B1E"/>
    <w:rsid w:val="00056BAB"/>
    <w:rsid w:val="00056F9E"/>
    <w:rsid w:val="0005706E"/>
    <w:rsid w:val="000570C5"/>
    <w:rsid w:val="00057122"/>
    <w:rsid w:val="0005754D"/>
    <w:rsid w:val="0005757A"/>
    <w:rsid w:val="000575C6"/>
    <w:rsid w:val="0005789D"/>
    <w:rsid w:val="00057950"/>
    <w:rsid w:val="00057B18"/>
    <w:rsid w:val="00057BFD"/>
    <w:rsid w:val="00057C8F"/>
    <w:rsid w:val="00057E0B"/>
    <w:rsid w:val="00057F25"/>
    <w:rsid w:val="00057FB8"/>
    <w:rsid w:val="0006008A"/>
    <w:rsid w:val="0006018B"/>
    <w:rsid w:val="00060281"/>
    <w:rsid w:val="0006046D"/>
    <w:rsid w:val="0006053B"/>
    <w:rsid w:val="0006055A"/>
    <w:rsid w:val="00060597"/>
    <w:rsid w:val="00060716"/>
    <w:rsid w:val="00060999"/>
    <w:rsid w:val="00060B6A"/>
    <w:rsid w:val="00060CC9"/>
    <w:rsid w:val="00060DDB"/>
    <w:rsid w:val="000612A0"/>
    <w:rsid w:val="000612CB"/>
    <w:rsid w:val="00061346"/>
    <w:rsid w:val="0006138F"/>
    <w:rsid w:val="0006151E"/>
    <w:rsid w:val="0006166D"/>
    <w:rsid w:val="00061677"/>
    <w:rsid w:val="000616A3"/>
    <w:rsid w:val="000616BC"/>
    <w:rsid w:val="00061C99"/>
    <w:rsid w:val="00061F96"/>
    <w:rsid w:val="0006222C"/>
    <w:rsid w:val="0006223C"/>
    <w:rsid w:val="000622D1"/>
    <w:rsid w:val="00062351"/>
    <w:rsid w:val="0006265B"/>
    <w:rsid w:val="000626AA"/>
    <w:rsid w:val="00062704"/>
    <w:rsid w:val="00062708"/>
    <w:rsid w:val="000628BA"/>
    <w:rsid w:val="0006293D"/>
    <w:rsid w:val="00062ACF"/>
    <w:rsid w:val="00062C15"/>
    <w:rsid w:val="00062E11"/>
    <w:rsid w:val="0006300F"/>
    <w:rsid w:val="000631B5"/>
    <w:rsid w:val="00063263"/>
    <w:rsid w:val="00063387"/>
    <w:rsid w:val="000636A9"/>
    <w:rsid w:val="000638C8"/>
    <w:rsid w:val="00063C6A"/>
    <w:rsid w:val="00063DF3"/>
    <w:rsid w:val="00064351"/>
    <w:rsid w:val="0006444F"/>
    <w:rsid w:val="000644FB"/>
    <w:rsid w:val="00064671"/>
    <w:rsid w:val="00064A31"/>
    <w:rsid w:val="00064D1A"/>
    <w:rsid w:val="000650EB"/>
    <w:rsid w:val="00065362"/>
    <w:rsid w:val="0006555B"/>
    <w:rsid w:val="000656E6"/>
    <w:rsid w:val="00065A26"/>
    <w:rsid w:val="00065C32"/>
    <w:rsid w:val="00065D13"/>
    <w:rsid w:val="00065DBF"/>
    <w:rsid w:val="000663AD"/>
    <w:rsid w:val="00066725"/>
    <w:rsid w:val="000668AA"/>
    <w:rsid w:val="00066980"/>
    <w:rsid w:val="00066B31"/>
    <w:rsid w:val="00066C43"/>
    <w:rsid w:val="00066E6E"/>
    <w:rsid w:val="000671C9"/>
    <w:rsid w:val="000672A6"/>
    <w:rsid w:val="00067477"/>
    <w:rsid w:val="00067599"/>
    <w:rsid w:val="00067B4F"/>
    <w:rsid w:val="00067B5B"/>
    <w:rsid w:val="00067CA3"/>
    <w:rsid w:val="00070089"/>
    <w:rsid w:val="00070125"/>
    <w:rsid w:val="000702C1"/>
    <w:rsid w:val="00070390"/>
    <w:rsid w:val="000703E3"/>
    <w:rsid w:val="000705DE"/>
    <w:rsid w:val="00070775"/>
    <w:rsid w:val="000707F7"/>
    <w:rsid w:val="0007085A"/>
    <w:rsid w:val="00070B37"/>
    <w:rsid w:val="00070B74"/>
    <w:rsid w:val="00070CCF"/>
    <w:rsid w:val="00070E77"/>
    <w:rsid w:val="00071096"/>
    <w:rsid w:val="00071279"/>
    <w:rsid w:val="000712D3"/>
    <w:rsid w:val="000713F9"/>
    <w:rsid w:val="00071463"/>
    <w:rsid w:val="00071466"/>
    <w:rsid w:val="00071DA3"/>
    <w:rsid w:val="00071E59"/>
    <w:rsid w:val="00072079"/>
    <w:rsid w:val="000723EB"/>
    <w:rsid w:val="000724B7"/>
    <w:rsid w:val="000725C2"/>
    <w:rsid w:val="000725F9"/>
    <w:rsid w:val="000727E6"/>
    <w:rsid w:val="000728E6"/>
    <w:rsid w:val="0007291A"/>
    <w:rsid w:val="00072B8C"/>
    <w:rsid w:val="00072BE8"/>
    <w:rsid w:val="00072E59"/>
    <w:rsid w:val="00072E97"/>
    <w:rsid w:val="0007310D"/>
    <w:rsid w:val="000731AA"/>
    <w:rsid w:val="0007332C"/>
    <w:rsid w:val="0007340A"/>
    <w:rsid w:val="00073527"/>
    <w:rsid w:val="0007352A"/>
    <w:rsid w:val="000736DA"/>
    <w:rsid w:val="000738BC"/>
    <w:rsid w:val="00073915"/>
    <w:rsid w:val="00073A88"/>
    <w:rsid w:val="00073B83"/>
    <w:rsid w:val="00073DF8"/>
    <w:rsid w:val="00073FAC"/>
    <w:rsid w:val="0007404D"/>
    <w:rsid w:val="00074088"/>
    <w:rsid w:val="000742A2"/>
    <w:rsid w:val="00074371"/>
    <w:rsid w:val="0007440F"/>
    <w:rsid w:val="00074416"/>
    <w:rsid w:val="000744DB"/>
    <w:rsid w:val="00074593"/>
    <w:rsid w:val="000746C7"/>
    <w:rsid w:val="00074718"/>
    <w:rsid w:val="000747A8"/>
    <w:rsid w:val="00074862"/>
    <w:rsid w:val="000749B3"/>
    <w:rsid w:val="00074BAA"/>
    <w:rsid w:val="00074DDC"/>
    <w:rsid w:val="00074E0C"/>
    <w:rsid w:val="00074F8B"/>
    <w:rsid w:val="0007522B"/>
    <w:rsid w:val="0007527D"/>
    <w:rsid w:val="00075456"/>
    <w:rsid w:val="0007565D"/>
    <w:rsid w:val="00075748"/>
    <w:rsid w:val="00075769"/>
    <w:rsid w:val="000757A2"/>
    <w:rsid w:val="00075A24"/>
    <w:rsid w:val="00075A50"/>
    <w:rsid w:val="00075E47"/>
    <w:rsid w:val="000761D7"/>
    <w:rsid w:val="00076429"/>
    <w:rsid w:val="0007669A"/>
    <w:rsid w:val="0007681B"/>
    <w:rsid w:val="000769A0"/>
    <w:rsid w:val="000769C6"/>
    <w:rsid w:val="00076C0D"/>
    <w:rsid w:val="00076C4A"/>
    <w:rsid w:val="00076CED"/>
    <w:rsid w:val="00076FD7"/>
    <w:rsid w:val="000771DD"/>
    <w:rsid w:val="00077246"/>
    <w:rsid w:val="00077787"/>
    <w:rsid w:val="000777ED"/>
    <w:rsid w:val="000778EE"/>
    <w:rsid w:val="00077C0A"/>
    <w:rsid w:val="00077E84"/>
    <w:rsid w:val="00077E8F"/>
    <w:rsid w:val="00077FFE"/>
    <w:rsid w:val="00080232"/>
    <w:rsid w:val="00080447"/>
    <w:rsid w:val="000804F8"/>
    <w:rsid w:val="0008051A"/>
    <w:rsid w:val="0008059D"/>
    <w:rsid w:val="000805CB"/>
    <w:rsid w:val="00080959"/>
    <w:rsid w:val="00080B6B"/>
    <w:rsid w:val="00080C0F"/>
    <w:rsid w:val="00080C37"/>
    <w:rsid w:val="00080C8E"/>
    <w:rsid w:val="00080F3B"/>
    <w:rsid w:val="000811E6"/>
    <w:rsid w:val="0008126E"/>
    <w:rsid w:val="00081272"/>
    <w:rsid w:val="00081405"/>
    <w:rsid w:val="0008143D"/>
    <w:rsid w:val="00081487"/>
    <w:rsid w:val="000815F2"/>
    <w:rsid w:val="000815F3"/>
    <w:rsid w:val="0008171D"/>
    <w:rsid w:val="0008185E"/>
    <w:rsid w:val="0008186D"/>
    <w:rsid w:val="000819E2"/>
    <w:rsid w:val="00081AD6"/>
    <w:rsid w:val="000821EF"/>
    <w:rsid w:val="00082284"/>
    <w:rsid w:val="000823A4"/>
    <w:rsid w:val="000824E4"/>
    <w:rsid w:val="000827BC"/>
    <w:rsid w:val="00082807"/>
    <w:rsid w:val="000829D7"/>
    <w:rsid w:val="00082BF5"/>
    <w:rsid w:val="00082C7C"/>
    <w:rsid w:val="00082D0A"/>
    <w:rsid w:val="0008315D"/>
    <w:rsid w:val="0008327F"/>
    <w:rsid w:val="00083484"/>
    <w:rsid w:val="00083688"/>
    <w:rsid w:val="000837BA"/>
    <w:rsid w:val="00083A36"/>
    <w:rsid w:val="00083A8C"/>
    <w:rsid w:val="00083B15"/>
    <w:rsid w:val="00083EBE"/>
    <w:rsid w:val="0008419A"/>
    <w:rsid w:val="00084241"/>
    <w:rsid w:val="000844C3"/>
    <w:rsid w:val="00084531"/>
    <w:rsid w:val="0008494E"/>
    <w:rsid w:val="00084A3E"/>
    <w:rsid w:val="00084CA2"/>
    <w:rsid w:val="00084FB1"/>
    <w:rsid w:val="00085053"/>
    <w:rsid w:val="0008523F"/>
    <w:rsid w:val="0008534A"/>
    <w:rsid w:val="000853CD"/>
    <w:rsid w:val="000854B8"/>
    <w:rsid w:val="00085523"/>
    <w:rsid w:val="000855A7"/>
    <w:rsid w:val="00085627"/>
    <w:rsid w:val="0008567D"/>
    <w:rsid w:val="000857EF"/>
    <w:rsid w:val="000857F6"/>
    <w:rsid w:val="000857FD"/>
    <w:rsid w:val="0008584B"/>
    <w:rsid w:val="00085873"/>
    <w:rsid w:val="000858FD"/>
    <w:rsid w:val="00085917"/>
    <w:rsid w:val="0008592B"/>
    <w:rsid w:val="00085A20"/>
    <w:rsid w:val="00085BD8"/>
    <w:rsid w:val="00085C16"/>
    <w:rsid w:val="00086069"/>
    <w:rsid w:val="00086107"/>
    <w:rsid w:val="00086877"/>
    <w:rsid w:val="00086882"/>
    <w:rsid w:val="00086944"/>
    <w:rsid w:val="00086CB9"/>
    <w:rsid w:val="00086CC7"/>
    <w:rsid w:val="00086D1F"/>
    <w:rsid w:val="00086F43"/>
    <w:rsid w:val="0008702A"/>
    <w:rsid w:val="000871DE"/>
    <w:rsid w:val="00087392"/>
    <w:rsid w:val="0008743D"/>
    <w:rsid w:val="00087467"/>
    <w:rsid w:val="0008764C"/>
    <w:rsid w:val="0008772F"/>
    <w:rsid w:val="00087869"/>
    <w:rsid w:val="0008798E"/>
    <w:rsid w:val="00087C2A"/>
    <w:rsid w:val="00087CC5"/>
    <w:rsid w:val="00087CEF"/>
    <w:rsid w:val="00087D7F"/>
    <w:rsid w:val="00087DF0"/>
    <w:rsid w:val="00087EBB"/>
    <w:rsid w:val="00087FBB"/>
    <w:rsid w:val="00090019"/>
    <w:rsid w:val="0009024F"/>
    <w:rsid w:val="0009030E"/>
    <w:rsid w:val="000905ED"/>
    <w:rsid w:val="00090743"/>
    <w:rsid w:val="00090B55"/>
    <w:rsid w:val="00090CCE"/>
    <w:rsid w:val="00090DB6"/>
    <w:rsid w:val="00091319"/>
    <w:rsid w:val="00091390"/>
    <w:rsid w:val="0009151E"/>
    <w:rsid w:val="000915B5"/>
    <w:rsid w:val="0009177C"/>
    <w:rsid w:val="0009182F"/>
    <w:rsid w:val="00091885"/>
    <w:rsid w:val="00091952"/>
    <w:rsid w:val="00091B90"/>
    <w:rsid w:val="00091C3C"/>
    <w:rsid w:val="00091D10"/>
    <w:rsid w:val="00091D95"/>
    <w:rsid w:val="0009234C"/>
    <w:rsid w:val="000924E8"/>
    <w:rsid w:val="0009260D"/>
    <w:rsid w:val="000926CC"/>
    <w:rsid w:val="000926DD"/>
    <w:rsid w:val="000927B0"/>
    <w:rsid w:val="00092857"/>
    <w:rsid w:val="00092963"/>
    <w:rsid w:val="00092E4D"/>
    <w:rsid w:val="00092EB7"/>
    <w:rsid w:val="0009313D"/>
    <w:rsid w:val="0009337E"/>
    <w:rsid w:val="000934B6"/>
    <w:rsid w:val="000935CD"/>
    <w:rsid w:val="000936D1"/>
    <w:rsid w:val="000937D3"/>
    <w:rsid w:val="00093C39"/>
    <w:rsid w:val="00093F2D"/>
    <w:rsid w:val="00093F3A"/>
    <w:rsid w:val="00093F3F"/>
    <w:rsid w:val="000940D2"/>
    <w:rsid w:val="000940F2"/>
    <w:rsid w:val="00094154"/>
    <w:rsid w:val="00094491"/>
    <w:rsid w:val="000945A2"/>
    <w:rsid w:val="000945C5"/>
    <w:rsid w:val="00094771"/>
    <w:rsid w:val="000947B4"/>
    <w:rsid w:val="000948C5"/>
    <w:rsid w:val="0009491E"/>
    <w:rsid w:val="00094A03"/>
    <w:rsid w:val="00094B50"/>
    <w:rsid w:val="00094C31"/>
    <w:rsid w:val="00094C93"/>
    <w:rsid w:val="00094CC4"/>
    <w:rsid w:val="00094DCB"/>
    <w:rsid w:val="00094E9D"/>
    <w:rsid w:val="00095266"/>
    <w:rsid w:val="00095374"/>
    <w:rsid w:val="00095385"/>
    <w:rsid w:val="000953E3"/>
    <w:rsid w:val="0009552E"/>
    <w:rsid w:val="00095546"/>
    <w:rsid w:val="00095569"/>
    <w:rsid w:val="000955C1"/>
    <w:rsid w:val="00095654"/>
    <w:rsid w:val="00095DD5"/>
    <w:rsid w:val="00095E16"/>
    <w:rsid w:val="00095EA8"/>
    <w:rsid w:val="000960EF"/>
    <w:rsid w:val="00096218"/>
    <w:rsid w:val="0009634E"/>
    <w:rsid w:val="000966AD"/>
    <w:rsid w:val="000967DB"/>
    <w:rsid w:val="00096AC8"/>
    <w:rsid w:val="00096C0E"/>
    <w:rsid w:val="00096D82"/>
    <w:rsid w:val="00096D8C"/>
    <w:rsid w:val="00097249"/>
    <w:rsid w:val="000972B8"/>
    <w:rsid w:val="000973DC"/>
    <w:rsid w:val="000975DE"/>
    <w:rsid w:val="00097781"/>
    <w:rsid w:val="00097904"/>
    <w:rsid w:val="0009791B"/>
    <w:rsid w:val="00097977"/>
    <w:rsid w:val="000A0030"/>
    <w:rsid w:val="000A05D1"/>
    <w:rsid w:val="000A0635"/>
    <w:rsid w:val="000A09B8"/>
    <w:rsid w:val="000A0B8E"/>
    <w:rsid w:val="000A0CC9"/>
    <w:rsid w:val="000A0E16"/>
    <w:rsid w:val="000A0F54"/>
    <w:rsid w:val="000A1285"/>
    <w:rsid w:val="000A12BE"/>
    <w:rsid w:val="000A141C"/>
    <w:rsid w:val="000A18B3"/>
    <w:rsid w:val="000A1990"/>
    <w:rsid w:val="000A1BF0"/>
    <w:rsid w:val="000A1FB5"/>
    <w:rsid w:val="000A1FBF"/>
    <w:rsid w:val="000A1FEB"/>
    <w:rsid w:val="000A237F"/>
    <w:rsid w:val="000A2533"/>
    <w:rsid w:val="000A25A0"/>
    <w:rsid w:val="000A26B3"/>
    <w:rsid w:val="000A27CC"/>
    <w:rsid w:val="000A2926"/>
    <w:rsid w:val="000A297A"/>
    <w:rsid w:val="000A29D2"/>
    <w:rsid w:val="000A2A7C"/>
    <w:rsid w:val="000A2D43"/>
    <w:rsid w:val="000A2D55"/>
    <w:rsid w:val="000A2EDE"/>
    <w:rsid w:val="000A2FC5"/>
    <w:rsid w:val="000A2FE4"/>
    <w:rsid w:val="000A3021"/>
    <w:rsid w:val="000A3137"/>
    <w:rsid w:val="000A33B0"/>
    <w:rsid w:val="000A3529"/>
    <w:rsid w:val="000A356A"/>
    <w:rsid w:val="000A37EA"/>
    <w:rsid w:val="000A382A"/>
    <w:rsid w:val="000A389D"/>
    <w:rsid w:val="000A3BAA"/>
    <w:rsid w:val="000A3CBF"/>
    <w:rsid w:val="000A4020"/>
    <w:rsid w:val="000A420A"/>
    <w:rsid w:val="000A42F9"/>
    <w:rsid w:val="000A436E"/>
    <w:rsid w:val="000A43B3"/>
    <w:rsid w:val="000A4555"/>
    <w:rsid w:val="000A45B3"/>
    <w:rsid w:val="000A49B6"/>
    <w:rsid w:val="000A4BA9"/>
    <w:rsid w:val="000A4BF1"/>
    <w:rsid w:val="000A4D9D"/>
    <w:rsid w:val="000A5060"/>
    <w:rsid w:val="000A5527"/>
    <w:rsid w:val="000A576E"/>
    <w:rsid w:val="000A57CE"/>
    <w:rsid w:val="000A5AC0"/>
    <w:rsid w:val="000A5CA4"/>
    <w:rsid w:val="000A5D20"/>
    <w:rsid w:val="000A5DC4"/>
    <w:rsid w:val="000A63CD"/>
    <w:rsid w:val="000A65F9"/>
    <w:rsid w:val="000A6658"/>
    <w:rsid w:val="000A6690"/>
    <w:rsid w:val="000A6857"/>
    <w:rsid w:val="000A6939"/>
    <w:rsid w:val="000A6B15"/>
    <w:rsid w:val="000A6B25"/>
    <w:rsid w:val="000A6C10"/>
    <w:rsid w:val="000A6C9A"/>
    <w:rsid w:val="000A726E"/>
    <w:rsid w:val="000A7360"/>
    <w:rsid w:val="000A736C"/>
    <w:rsid w:val="000A737D"/>
    <w:rsid w:val="000A7383"/>
    <w:rsid w:val="000A74FC"/>
    <w:rsid w:val="000A76AC"/>
    <w:rsid w:val="000A77A3"/>
    <w:rsid w:val="000A77FA"/>
    <w:rsid w:val="000A78C7"/>
    <w:rsid w:val="000A78F9"/>
    <w:rsid w:val="000A7949"/>
    <w:rsid w:val="000A7AB8"/>
    <w:rsid w:val="000A7C89"/>
    <w:rsid w:val="000A7EC7"/>
    <w:rsid w:val="000A7FA1"/>
    <w:rsid w:val="000B0175"/>
    <w:rsid w:val="000B02B9"/>
    <w:rsid w:val="000B02E6"/>
    <w:rsid w:val="000B05DF"/>
    <w:rsid w:val="000B0680"/>
    <w:rsid w:val="000B084D"/>
    <w:rsid w:val="000B0925"/>
    <w:rsid w:val="000B0AB8"/>
    <w:rsid w:val="000B0BF4"/>
    <w:rsid w:val="000B0D86"/>
    <w:rsid w:val="000B10BD"/>
    <w:rsid w:val="000B1414"/>
    <w:rsid w:val="000B153D"/>
    <w:rsid w:val="000B1598"/>
    <w:rsid w:val="000B1685"/>
    <w:rsid w:val="000B1691"/>
    <w:rsid w:val="000B16A6"/>
    <w:rsid w:val="000B16C8"/>
    <w:rsid w:val="000B1813"/>
    <w:rsid w:val="000B1912"/>
    <w:rsid w:val="000B1C1B"/>
    <w:rsid w:val="000B1D79"/>
    <w:rsid w:val="000B203A"/>
    <w:rsid w:val="000B209F"/>
    <w:rsid w:val="000B214E"/>
    <w:rsid w:val="000B2238"/>
    <w:rsid w:val="000B2271"/>
    <w:rsid w:val="000B243F"/>
    <w:rsid w:val="000B2615"/>
    <w:rsid w:val="000B28EB"/>
    <w:rsid w:val="000B2A49"/>
    <w:rsid w:val="000B2F69"/>
    <w:rsid w:val="000B2FC0"/>
    <w:rsid w:val="000B3047"/>
    <w:rsid w:val="000B3055"/>
    <w:rsid w:val="000B325A"/>
    <w:rsid w:val="000B349F"/>
    <w:rsid w:val="000B3839"/>
    <w:rsid w:val="000B386C"/>
    <w:rsid w:val="000B3D5B"/>
    <w:rsid w:val="000B3D62"/>
    <w:rsid w:val="000B3EC4"/>
    <w:rsid w:val="000B41E7"/>
    <w:rsid w:val="000B4295"/>
    <w:rsid w:val="000B42EC"/>
    <w:rsid w:val="000B43FB"/>
    <w:rsid w:val="000B44FC"/>
    <w:rsid w:val="000B46AF"/>
    <w:rsid w:val="000B46F5"/>
    <w:rsid w:val="000B4727"/>
    <w:rsid w:val="000B4811"/>
    <w:rsid w:val="000B4948"/>
    <w:rsid w:val="000B4DDB"/>
    <w:rsid w:val="000B4DEE"/>
    <w:rsid w:val="000B52F5"/>
    <w:rsid w:val="000B53A9"/>
    <w:rsid w:val="000B5997"/>
    <w:rsid w:val="000B59BA"/>
    <w:rsid w:val="000B5A87"/>
    <w:rsid w:val="000B5B3F"/>
    <w:rsid w:val="000B5D36"/>
    <w:rsid w:val="000B5D46"/>
    <w:rsid w:val="000B5D5D"/>
    <w:rsid w:val="000B5E45"/>
    <w:rsid w:val="000B5E55"/>
    <w:rsid w:val="000B5EB2"/>
    <w:rsid w:val="000B5ECD"/>
    <w:rsid w:val="000B5F3F"/>
    <w:rsid w:val="000B61DD"/>
    <w:rsid w:val="000B61E8"/>
    <w:rsid w:val="000B6288"/>
    <w:rsid w:val="000B63D6"/>
    <w:rsid w:val="000B63F5"/>
    <w:rsid w:val="000B68DD"/>
    <w:rsid w:val="000B6A5A"/>
    <w:rsid w:val="000B6A96"/>
    <w:rsid w:val="000B6C70"/>
    <w:rsid w:val="000B6D08"/>
    <w:rsid w:val="000B6D66"/>
    <w:rsid w:val="000B6D9F"/>
    <w:rsid w:val="000B6E15"/>
    <w:rsid w:val="000B6E3B"/>
    <w:rsid w:val="000B6EAF"/>
    <w:rsid w:val="000B6F4D"/>
    <w:rsid w:val="000B7152"/>
    <w:rsid w:val="000B7221"/>
    <w:rsid w:val="000B73BC"/>
    <w:rsid w:val="000B740C"/>
    <w:rsid w:val="000B7566"/>
    <w:rsid w:val="000B7659"/>
    <w:rsid w:val="000B77EA"/>
    <w:rsid w:val="000B796F"/>
    <w:rsid w:val="000B7CF1"/>
    <w:rsid w:val="000C0171"/>
    <w:rsid w:val="000C01B0"/>
    <w:rsid w:val="000C0234"/>
    <w:rsid w:val="000C02BE"/>
    <w:rsid w:val="000C03AF"/>
    <w:rsid w:val="000C0612"/>
    <w:rsid w:val="000C0750"/>
    <w:rsid w:val="000C0790"/>
    <w:rsid w:val="000C07FD"/>
    <w:rsid w:val="000C090B"/>
    <w:rsid w:val="000C0937"/>
    <w:rsid w:val="000C09EF"/>
    <w:rsid w:val="000C0B1D"/>
    <w:rsid w:val="000C0DA5"/>
    <w:rsid w:val="000C1042"/>
    <w:rsid w:val="000C1053"/>
    <w:rsid w:val="000C13C4"/>
    <w:rsid w:val="000C143E"/>
    <w:rsid w:val="000C14F4"/>
    <w:rsid w:val="000C1930"/>
    <w:rsid w:val="000C1B6D"/>
    <w:rsid w:val="000C1D5F"/>
    <w:rsid w:val="000C1F48"/>
    <w:rsid w:val="000C240E"/>
    <w:rsid w:val="000C24B6"/>
    <w:rsid w:val="000C25D5"/>
    <w:rsid w:val="000C2A36"/>
    <w:rsid w:val="000C2FBD"/>
    <w:rsid w:val="000C301E"/>
    <w:rsid w:val="000C316B"/>
    <w:rsid w:val="000C32AB"/>
    <w:rsid w:val="000C33A2"/>
    <w:rsid w:val="000C3427"/>
    <w:rsid w:val="000C359E"/>
    <w:rsid w:val="000C36AB"/>
    <w:rsid w:val="000C39EA"/>
    <w:rsid w:val="000C3AB6"/>
    <w:rsid w:val="000C3BFB"/>
    <w:rsid w:val="000C3CC8"/>
    <w:rsid w:val="000C3D2E"/>
    <w:rsid w:val="000C3DFC"/>
    <w:rsid w:val="000C3E22"/>
    <w:rsid w:val="000C3ED1"/>
    <w:rsid w:val="000C3F6F"/>
    <w:rsid w:val="000C40AA"/>
    <w:rsid w:val="000C4363"/>
    <w:rsid w:val="000C441E"/>
    <w:rsid w:val="000C4471"/>
    <w:rsid w:val="000C45FE"/>
    <w:rsid w:val="000C4626"/>
    <w:rsid w:val="000C46BC"/>
    <w:rsid w:val="000C4787"/>
    <w:rsid w:val="000C47BF"/>
    <w:rsid w:val="000C4A6F"/>
    <w:rsid w:val="000C4ADF"/>
    <w:rsid w:val="000C4BCC"/>
    <w:rsid w:val="000C4C5A"/>
    <w:rsid w:val="000C4C63"/>
    <w:rsid w:val="000C567F"/>
    <w:rsid w:val="000C57D5"/>
    <w:rsid w:val="000C58D5"/>
    <w:rsid w:val="000C5B39"/>
    <w:rsid w:val="000C5C50"/>
    <w:rsid w:val="000C5D41"/>
    <w:rsid w:val="000C5ED2"/>
    <w:rsid w:val="000C60CA"/>
    <w:rsid w:val="000C6317"/>
    <w:rsid w:val="000C63D1"/>
    <w:rsid w:val="000C63FC"/>
    <w:rsid w:val="000C640D"/>
    <w:rsid w:val="000C65E4"/>
    <w:rsid w:val="000C65F8"/>
    <w:rsid w:val="000C6741"/>
    <w:rsid w:val="000C68A7"/>
    <w:rsid w:val="000C6A08"/>
    <w:rsid w:val="000C6E31"/>
    <w:rsid w:val="000C6F4F"/>
    <w:rsid w:val="000C704A"/>
    <w:rsid w:val="000C72CE"/>
    <w:rsid w:val="000C7671"/>
    <w:rsid w:val="000C7873"/>
    <w:rsid w:val="000C793A"/>
    <w:rsid w:val="000C7A4E"/>
    <w:rsid w:val="000C7A5F"/>
    <w:rsid w:val="000C7BB7"/>
    <w:rsid w:val="000C7E86"/>
    <w:rsid w:val="000D02BD"/>
    <w:rsid w:val="000D0346"/>
    <w:rsid w:val="000D06F7"/>
    <w:rsid w:val="000D0794"/>
    <w:rsid w:val="000D083C"/>
    <w:rsid w:val="000D08A4"/>
    <w:rsid w:val="000D0933"/>
    <w:rsid w:val="000D0983"/>
    <w:rsid w:val="000D0A68"/>
    <w:rsid w:val="000D0AFA"/>
    <w:rsid w:val="000D0C59"/>
    <w:rsid w:val="000D0C65"/>
    <w:rsid w:val="000D0CDA"/>
    <w:rsid w:val="000D0D75"/>
    <w:rsid w:val="000D0D76"/>
    <w:rsid w:val="000D0D82"/>
    <w:rsid w:val="000D12CC"/>
    <w:rsid w:val="000D132D"/>
    <w:rsid w:val="000D14E4"/>
    <w:rsid w:val="000D16C6"/>
    <w:rsid w:val="000D1778"/>
    <w:rsid w:val="000D179F"/>
    <w:rsid w:val="000D1948"/>
    <w:rsid w:val="000D1A4F"/>
    <w:rsid w:val="000D1A8F"/>
    <w:rsid w:val="000D1BCF"/>
    <w:rsid w:val="000D1D2B"/>
    <w:rsid w:val="000D1D45"/>
    <w:rsid w:val="000D1F93"/>
    <w:rsid w:val="000D204A"/>
    <w:rsid w:val="000D228E"/>
    <w:rsid w:val="000D2475"/>
    <w:rsid w:val="000D2600"/>
    <w:rsid w:val="000D26A4"/>
    <w:rsid w:val="000D26B7"/>
    <w:rsid w:val="000D27E3"/>
    <w:rsid w:val="000D28AC"/>
    <w:rsid w:val="000D2A51"/>
    <w:rsid w:val="000D2C06"/>
    <w:rsid w:val="000D2C25"/>
    <w:rsid w:val="000D2E15"/>
    <w:rsid w:val="000D30C9"/>
    <w:rsid w:val="000D3196"/>
    <w:rsid w:val="000D34FE"/>
    <w:rsid w:val="000D353E"/>
    <w:rsid w:val="000D37AF"/>
    <w:rsid w:val="000D3890"/>
    <w:rsid w:val="000D3970"/>
    <w:rsid w:val="000D3B56"/>
    <w:rsid w:val="000D3ED1"/>
    <w:rsid w:val="000D4089"/>
    <w:rsid w:val="000D41A4"/>
    <w:rsid w:val="000D445A"/>
    <w:rsid w:val="000D487C"/>
    <w:rsid w:val="000D4976"/>
    <w:rsid w:val="000D49C6"/>
    <w:rsid w:val="000D4D26"/>
    <w:rsid w:val="000D4F89"/>
    <w:rsid w:val="000D4FB8"/>
    <w:rsid w:val="000D5357"/>
    <w:rsid w:val="000D5647"/>
    <w:rsid w:val="000D573B"/>
    <w:rsid w:val="000D574A"/>
    <w:rsid w:val="000D59BD"/>
    <w:rsid w:val="000D5A3D"/>
    <w:rsid w:val="000D5AFE"/>
    <w:rsid w:val="000D5D02"/>
    <w:rsid w:val="000D5D0C"/>
    <w:rsid w:val="000D5F9A"/>
    <w:rsid w:val="000D607A"/>
    <w:rsid w:val="000D6217"/>
    <w:rsid w:val="000D62B1"/>
    <w:rsid w:val="000D6625"/>
    <w:rsid w:val="000D6711"/>
    <w:rsid w:val="000D682A"/>
    <w:rsid w:val="000D68A9"/>
    <w:rsid w:val="000D6924"/>
    <w:rsid w:val="000D6A2D"/>
    <w:rsid w:val="000D6A53"/>
    <w:rsid w:val="000D6E7A"/>
    <w:rsid w:val="000D6E83"/>
    <w:rsid w:val="000D6EF8"/>
    <w:rsid w:val="000D6FE0"/>
    <w:rsid w:val="000D6FFC"/>
    <w:rsid w:val="000D7235"/>
    <w:rsid w:val="000D72A7"/>
    <w:rsid w:val="000D749E"/>
    <w:rsid w:val="000D752F"/>
    <w:rsid w:val="000D7647"/>
    <w:rsid w:val="000D777A"/>
    <w:rsid w:val="000D791C"/>
    <w:rsid w:val="000D79E4"/>
    <w:rsid w:val="000D7A8A"/>
    <w:rsid w:val="000D7CBC"/>
    <w:rsid w:val="000D7DAD"/>
    <w:rsid w:val="000D7DB9"/>
    <w:rsid w:val="000D7E51"/>
    <w:rsid w:val="000D7F5E"/>
    <w:rsid w:val="000D7F62"/>
    <w:rsid w:val="000E003B"/>
    <w:rsid w:val="000E0425"/>
    <w:rsid w:val="000E05B1"/>
    <w:rsid w:val="000E0738"/>
    <w:rsid w:val="000E0745"/>
    <w:rsid w:val="000E0C57"/>
    <w:rsid w:val="000E0CDE"/>
    <w:rsid w:val="000E0D33"/>
    <w:rsid w:val="000E1265"/>
    <w:rsid w:val="000E16CD"/>
    <w:rsid w:val="000E16D8"/>
    <w:rsid w:val="000E1C46"/>
    <w:rsid w:val="000E1E1C"/>
    <w:rsid w:val="000E2017"/>
    <w:rsid w:val="000E2055"/>
    <w:rsid w:val="000E20EE"/>
    <w:rsid w:val="000E231D"/>
    <w:rsid w:val="000E2388"/>
    <w:rsid w:val="000E23E4"/>
    <w:rsid w:val="000E2535"/>
    <w:rsid w:val="000E25F5"/>
    <w:rsid w:val="000E26EE"/>
    <w:rsid w:val="000E27B3"/>
    <w:rsid w:val="000E29D5"/>
    <w:rsid w:val="000E2ABB"/>
    <w:rsid w:val="000E2AE6"/>
    <w:rsid w:val="000E2F18"/>
    <w:rsid w:val="000E2FA0"/>
    <w:rsid w:val="000E332D"/>
    <w:rsid w:val="000E33FC"/>
    <w:rsid w:val="000E3517"/>
    <w:rsid w:val="000E354D"/>
    <w:rsid w:val="000E35E6"/>
    <w:rsid w:val="000E3621"/>
    <w:rsid w:val="000E37A9"/>
    <w:rsid w:val="000E38F9"/>
    <w:rsid w:val="000E3996"/>
    <w:rsid w:val="000E3D54"/>
    <w:rsid w:val="000E3E1F"/>
    <w:rsid w:val="000E3FB6"/>
    <w:rsid w:val="000E3FB9"/>
    <w:rsid w:val="000E4168"/>
    <w:rsid w:val="000E4271"/>
    <w:rsid w:val="000E429C"/>
    <w:rsid w:val="000E433B"/>
    <w:rsid w:val="000E441E"/>
    <w:rsid w:val="000E445F"/>
    <w:rsid w:val="000E47F4"/>
    <w:rsid w:val="000E49F8"/>
    <w:rsid w:val="000E4A7D"/>
    <w:rsid w:val="000E4B04"/>
    <w:rsid w:val="000E4B61"/>
    <w:rsid w:val="000E4CC5"/>
    <w:rsid w:val="000E4DAD"/>
    <w:rsid w:val="000E4DF4"/>
    <w:rsid w:val="000E4F23"/>
    <w:rsid w:val="000E4F2B"/>
    <w:rsid w:val="000E50BF"/>
    <w:rsid w:val="000E5143"/>
    <w:rsid w:val="000E518A"/>
    <w:rsid w:val="000E528C"/>
    <w:rsid w:val="000E5374"/>
    <w:rsid w:val="000E53F4"/>
    <w:rsid w:val="000E58B4"/>
    <w:rsid w:val="000E592E"/>
    <w:rsid w:val="000E59A6"/>
    <w:rsid w:val="000E5A78"/>
    <w:rsid w:val="000E5B68"/>
    <w:rsid w:val="000E5D17"/>
    <w:rsid w:val="000E60A5"/>
    <w:rsid w:val="000E60C7"/>
    <w:rsid w:val="000E617F"/>
    <w:rsid w:val="000E62AB"/>
    <w:rsid w:val="000E63BD"/>
    <w:rsid w:val="000E652D"/>
    <w:rsid w:val="000E65F7"/>
    <w:rsid w:val="000E66F3"/>
    <w:rsid w:val="000E675B"/>
    <w:rsid w:val="000E6972"/>
    <w:rsid w:val="000E6AE3"/>
    <w:rsid w:val="000E6B6B"/>
    <w:rsid w:val="000E6BE4"/>
    <w:rsid w:val="000E6D33"/>
    <w:rsid w:val="000E6D80"/>
    <w:rsid w:val="000E6EAE"/>
    <w:rsid w:val="000E7297"/>
    <w:rsid w:val="000E7483"/>
    <w:rsid w:val="000E754E"/>
    <w:rsid w:val="000E76FF"/>
    <w:rsid w:val="000E77D1"/>
    <w:rsid w:val="000E7919"/>
    <w:rsid w:val="000E7D15"/>
    <w:rsid w:val="000E7D6F"/>
    <w:rsid w:val="000E7DF8"/>
    <w:rsid w:val="000E7E3F"/>
    <w:rsid w:val="000E7FC0"/>
    <w:rsid w:val="000F00C3"/>
    <w:rsid w:val="000F00F6"/>
    <w:rsid w:val="000F02BF"/>
    <w:rsid w:val="000F03AF"/>
    <w:rsid w:val="000F05AF"/>
    <w:rsid w:val="000F0820"/>
    <w:rsid w:val="000F0A5A"/>
    <w:rsid w:val="000F0B4C"/>
    <w:rsid w:val="000F0BC1"/>
    <w:rsid w:val="000F0E1C"/>
    <w:rsid w:val="000F0EE5"/>
    <w:rsid w:val="000F0FA0"/>
    <w:rsid w:val="000F0FF5"/>
    <w:rsid w:val="000F1091"/>
    <w:rsid w:val="000F11F3"/>
    <w:rsid w:val="000F1234"/>
    <w:rsid w:val="000F1694"/>
    <w:rsid w:val="000F1784"/>
    <w:rsid w:val="000F17E9"/>
    <w:rsid w:val="000F187A"/>
    <w:rsid w:val="000F18B8"/>
    <w:rsid w:val="000F1ABB"/>
    <w:rsid w:val="000F1C2E"/>
    <w:rsid w:val="000F1C94"/>
    <w:rsid w:val="000F1D67"/>
    <w:rsid w:val="000F1DA1"/>
    <w:rsid w:val="000F1FE3"/>
    <w:rsid w:val="000F2074"/>
    <w:rsid w:val="000F208C"/>
    <w:rsid w:val="000F2232"/>
    <w:rsid w:val="000F22E0"/>
    <w:rsid w:val="000F2456"/>
    <w:rsid w:val="000F255E"/>
    <w:rsid w:val="000F287F"/>
    <w:rsid w:val="000F2A4C"/>
    <w:rsid w:val="000F2AF0"/>
    <w:rsid w:val="000F2B23"/>
    <w:rsid w:val="000F2D40"/>
    <w:rsid w:val="000F31F1"/>
    <w:rsid w:val="000F33F2"/>
    <w:rsid w:val="000F342C"/>
    <w:rsid w:val="000F3B19"/>
    <w:rsid w:val="000F3B91"/>
    <w:rsid w:val="000F3CDB"/>
    <w:rsid w:val="000F3D53"/>
    <w:rsid w:val="000F3D98"/>
    <w:rsid w:val="000F4036"/>
    <w:rsid w:val="000F40DA"/>
    <w:rsid w:val="000F4300"/>
    <w:rsid w:val="000F444E"/>
    <w:rsid w:val="000F4679"/>
    <w:rsid w:val="000F4699"/>
    <w:rsid w:val="000F46D8"/>
    <w:rsid w:val="000F4716"/>
    <w:rsid w:val="000F474A"/>
    <w:rsid w:val="000F490C"/>
    <w:rsid w:val="000F4973"/>
    <w:rsid w:val="000F4A3E"/>
    <w:rsid w:val="000F4A8C"/>
    <w:rsid w:val="000F4B0A"/>
    <w:rsid w:val="000F4B84"/>
    <w:rsid w:val="000F4F78"/>
    <w:rsid w:val="000F50B3"/>
    <w:rsid w:val="000F53DD"/>
    <w:rsid w:val="000F5624"/>
    <w:rsid w:val="000F5659"/>
    <w:rsid w:val="000F5760"/>
    <w:rsid w:val="000F586E"/>
    <w:rsid w:val="000F5928"/>
    <w:rsid w:val="000F5A83"/>
    <w:rsid w:val="000F5B31"/>
    <w:rsid w:val="000F6028"/>
    <w:rsid w:val="000F6066"/>
    <w:rsid w:val="000F6146"/>
    <w:rsid w:val="000F61C8"/>
    <w:rsid w:val="000F6233"/>
    <w:rsid w:val="000F638A"/>
    <w:rsid w:val="000F63C4"/>
    <w:rsid w:val="000F674F"/>
    <w:rsid w:val="000F67E7"/>
    <w:rsid w:val="000F6923"/>
    <w:rsid w:val="000F6A77"/>
    <w:rsid w:val="000F6B95"/>
    <w:rsid w:val="000F6BE4"/>
    <w:rsid w:val="000F6F42"/>
    <w:rsid w:val="000F7080"/>
    <w:rsid w:val="000F70FF"/>
    <w:rsid w:val="000F7327"/>
    <w:rsid w:val="000F7684"/>
    <w:rsid w:val="000F7852"/>
    <w:rsid w:val="000F7871"/>
    <w:rsid w:val="000F7890"/>
    <w:rsid w:val="000F79AF"/>
    <w:rsid w:val="000F7A6F"/>
    <w:rsid w:val="000F7DCA"/>
    <w:rsid w:val="000F7DCF"/>
    <w:rsid w:val="000F7F4F"/>
    <w:rsid w:val="000F7F55"/>
    <w:rsid w:val="000F7FF3"/>
    <w:rsid w:val="000FB558"/>
    <w:rsid w:val="00100048"/>
    <w:rsid w:val="00100356"/>
    <w:rsid w:val="001003AC"/>
    <w:rsid w:val="00100632"/>
    <w:rsid w:val="001007FB"/>
    <w:rsid w:val="00100839"/>
    <w:rsid w:val="00100AAE"/>
    <w:rsid w:val="00100B72"/>
    <w:rsid w:val="00100BEA"/>
    <w:rsid w:val="00100DBF"/>
    <w:rsid w:val="00100F69"/>
    <w:rsid w:val="00101075"/>
    <w:rsid w:val="001010FD"/>
    <w:rsid w:val="0010125D"/>
    <w:rsid w:val="001012A9"/>
    <w:rsid w:val="00101578"/>
    <w:rsid w:val="0010168D"/>
    <w:rsid w:val="00101A99"/>
    <w:rsid w:val="00101B33"/>
    <w:rsid w:val="00101C8A"/>
    <w:rsid w:val="00101E01"/>
    <w:rsid w:val="0010201A"/>
    <w:rsid w:val="0010215E"/>
    <w:rsid w:val="00102398"/>
    <w:rsid w:val="001024BC"/>
    <w:rsid w:val="00102588"/>
    <w:rsid w:val="0010265B"/>
    <w:rsid w:val="001026B8"/>
    <w:rsid w:val="0010274C"/>
    <w:rsid w:val="00102856"/>
    <w:rsid w:val="00102A53"/>
    <w:rsid w:val="00102B05"/>
    <w:rsid w:val="00102E76"/>
    <w:rsid w:val="0010304B"/>
    <w:rsid w:val="00103313"/>
    <w:rsid w:val="0010352D"/>
    <w:rsid w:val="001036DB"/>
    <w:rsid w:val="001037EA"/>
    <w:rsid w:val="00103A11"/>
    <w:rsid w:val="00103BB9"/>
    <w:rsid w:val="001040E2"/>
    <w:rsid w:val="00104102"/>
    <w:rsid w:val="001044AE"/>
    <w:rsid w:val="00104569"/>
    <w:rsid w:val="0010459D"/>
    <w:rsid w:val="00104A98"/>
    <w:rsid w:val="00104AD4"/>
    <w:rsid w:val="00104C46"/>
    <w:rsid w:val="00104CD9"/>
    <w:rsid w:val="00104D3F"/>
    <w:rsid w:val="00104FC9"/>
    <w:rsid w:val="00104FF5"/>
    <w:rsid w:val="0010512C"/>
    <w:rsid w:val="00105247"/>
    <w:rsid w:val="0010537B"/>
    <w:rsid w:val="001054A1"/>
    <w:rsid w:val="001056F6"/>
    <w:rsid w:val="001057EB"/>
    <w:rsid w:val="00105899"/>
    <w:rsid w:val="001059BC"/>
    <w:rsid w:val="00105D21"/>
    <w:rsid w:val="00105D7F"/>
    <w:rsid w:val="00105DB2"/>
    <w:rsid w:val="00105E3E"/>
    <w:rsid w:val="00105F3F"/>
    <w:rsid w:val="00105F61"/>
    <w:rsid w:val="00106777"/>
    <w:rsid w:val="00106B2A"/>
    <w:rsid w:val="00106CB3"/>
    <w:rsid w:val="00106FE1"/>
    <w:rsid w:val="001070C4"/>
    <w:rsid w:val="001072A9"/>
    <w:rsid w:val="001072D6"/>
    <w:rsid w:val="0010736F"/>
    <w:rsid w:val="0010737F"/>
    <w:rsid w:val="0010763D"/>
    <w:rsid w:val="0010787F"/>
    <w:rsid w:val="0010795F"/>
    <w:rsid w:val="00107AE0"/>
    <w:rsid w:val="00107D7A"/>
    <w:rsid w:val="00107F45"/>
    <w:rsid w:val="00110048"/>
    <w:rsid w:val="00110516"/>
    <w:rsid w:val="00110576"/>
    <w:rsid w:val="001106ED"/>
    <w:rsid w:val="001107F9"/>
    <w:rsid w:val="0011098A"/>
    <w:rsid w:val="00110BA5"/>
    <w:rsid w:val="00110FD3"/>
    <w:rsid w:val="00111059"/>
    <w:rsid w:val="00111270"/>
    <w:rsid w:val="00111284"/>
    <w:rsid w:val="00111297"/>
    <w:rsid w:val="00111669"/>
    <w:rsid w:val="001117BD"/>
    <w:rsid w:val="00111922"/>
    <w:rsid w:val="00111A16"/>
    <w:rsid w:val="00111C67"/>
    <w:rsid w:val="00111D11"/>
    <w:rsid w:val="00111F5B"/>
    <w:rsid w:val="001121F3"/>
    <w:rsid w:val="00112217"/>
    <w:rsid w:val="00112233"/>
    <w:rsid w:val="001124E2"/>
    <w:rsid w:val="001125FB"/>
    <w:rsid w:val="0011289E"/>
    <w:rsid w:val="001128A8"/>
    <w:rsid w:val="00112A3F"/>
    <w:rsid w:val="00112B4B"/>
    <w:rsid w:val="00112CFB"/>
    <w:rsid w:val="00112E5A"/>
    <w:rsid w:val="00112F75"/>
    <w:rsid w:val="0011313F"/>
    <w:rsid w:val="0011319F"/>
    <w:rsid w:val="001132EF"/>
    <w:rsid w:val="0011360E"/>
    <w:rsid w:val="001136C6"/>
    <w:rsid w:val="001137E9"/>
    <w:rsid w:val="00113820"/>
    <w:rsid w:val="00113A07"/>
    <w:rsid w:val="00113A63"/>
    <w:rsid w:val="00113B0D"/>
    <w:rsid w:val="00113C1D"/>
    <w:rsid w:val="0011413D"/>
    <w:rsid w:val="00114286"/>
    <w:rsid w:val="0011468D"/>
    <w:rsid w:val="001148CA"/>
    <w:rsid w:val="00114AFF"/>
    <w:rsid w:val="00114CA5"/>
    <w:rsid w:val="00114CC3"/>
    <w:rsid w:val="00114E1C"/>
    <w:rsid w:val="00114F43"/>
    <w:rsid w:val="00115007"/>
    <w:rsid w:val="001151E1"/>
    <w:rsid w:val="00115213"/>
    <w:rsid w:val="00115370"/>
    <w:rsid w:val="00115465"/>
    <w:rsid w:val="00115492"/>
    <w:rsid w:val="001154D0"/>
    <w:rsid w:val="001156CA"/>
    <w:rsid w:val="00115B72"/>
    <w:rsid w:val="00115BA0"/>
    <w:rsid w:val="00115D3F"/>
    <w:rsid w:val="00115E59"/>
    <w:rsid w:val="00115FEA"/>
    <w:rsid w:val="00116231"/>
    <w:rsid w:val="00116459"/>
    <w:rsid w:val="001164F7"/>
    <w:rsid w:val="00116521"/>
    <w:rsid w:val="0011679A"/>
    <w:rsid w:val="001167DB"/>
    <w:rsid w:val="001168C8"/>
    <w:rsid w:val="00116BC2"/>
    <w:rsid w:val="00116E97"/>
    <w:rsid w:val="00116FED"/>
    <w:rsid w:val="00117028"/>
    <w:rsid w:val="0011712E"/>
    <w:rsid w:val="00117240"/>
    <w:rsid w:val="0011726E"/>
    <w:rsid w:val="001175F4"/>
    <w:rsid w:val="001176E3"/>
    <w:rsid w:val="001177EC"/>
    <w:rsid w:val="0011783B"/>
    <w:rsid w:val="001178C4"/>
    <w:rsid w:val="001179FB"/>
    <w:rsid w:val="00117AFE"/>
    <w:rsid w:val="00117B01"/>
    <w:rsid w:val="00117B29"/>
    <w:rsid w:val="00117BAD"/>
    <w:rsid w:val="00117ED1"/>
    <w:rsid w:val="00117F56"/>
    <w:rsid w:val="0012008D"/>
    <w:rsid w:val="00120181"/>
    <w:rsid w:val="001201A3"/>
    <w:rsid w:val="00120738"/>
    <w:rsid w:val="00120918"/>
    <w:rsid w:val="00120BEF"/>
    <w:rsid w:val="00121104"/>
    <w:rsid w:val="00121134"/>
    <w:rsid w:val="00121192"/>
    <w:rsid w:val="001213C8"/>
    <w:rsid w:val="00121512"/>
    <w:rsid w:val="001218A9"/>
    <w:rsid w:val="001219F6"/>
    <w:rsid w:val="00121EBB"/>
    <w:rsid w:val="00121EE8"/>
    <w:rsid w:val="00121F21"/>
    <w:rsid w:val="0012211A"/>
    <w:rsid w:val="0012233A"/>
    <w:rsid w:val="00122550"/>
    <w:rsid w:val="001225DC"/>
    <w:rsid w:val="00122635"/>
    <w:rsid w:val="00122ACB"/>
    <w:rsid w:val="00122BC0"/>
    <w:rsid w:val="00122DED"/>
    <w:rsid w:val="00122F36"/>
    <w:rsid w:val="00123030"/>
    <w:rsid w:val="001231AA"/>
    <w:rsid w:val="001231F9"/>
    <w:rsid w:val="00123535"/>
    <w:rsid w:val="00123838"/>
    <w:rsid w:val="00123894"/>
    <w:rsid w:val="001239E3"/>
    <w:rsid w:val="00123B8C"/>
    <w:rsid w:val="00123C95"/>
    <w:rsid w:val="00123D15"/>
    <w:rsid w:val="00123D1D"/>
    <w:rsid w:val="00123ED7"/>
    <w:rsid w:val="00123F89"/>
    <w:rsid w:val="001242FD"/>
    <w:rsid w:val="00124373"/>
    <w:rsid w:val="00124381"/>
    <w:rsid w:val="00124390"/>
    <w:rsid w:val="00124426"/>
    <w:rsid w:val="001244A0"/>
    <w:rsid w:val="00124531"/>
    <w:rsid w:val="001245A2"/>
    <w:rsid w:val="001245AF"/>
    <w:rsid w:val="0012462F"/>
    <w:rsid w:val="001246A1"/>
    <w:rsid w:val="001247E5"/>
    <w:rsid w:val="0012489D"/>
    <w:rsid w:val="001248D9"/>
    <w:rsid w:val="00124951"/>
    <w:rsid w:val="0012496F"/>
    <w:rsid w:val="00124C36"/>
    <w:rsid w:val="00124EAF"/>
    <w:rsid w:val="00124EE5"/>
    <w:rsid w:val="00124F27"/>
    <w:rsid w:val="00124FFA"/>
    <w:rsid w:val="00125005"/>
    <w:rsid w:val="00125042"/>
    <w:rsid w:val="00125103"/>
    <w:rsid w:val="001252A9"/>
    <w:rsid w:val="0012534F"/>
    <w:rsid w:val="00125583"/>
    <w:rsid w:val="001257C0"/>
    <w:rsid w:val="00125941"/>
    <w:rsid w:val="0012595A"/>
    <w:rsid w:val="00125A5C"/>
    <w:rsid w:val="00125C46"/>
    <w:rsid w:val="00125D25"/>
    <w:rsid w:val="00125E0F"/>
    <w:rsid w:val="00125F34"/>
    <w:rsid w:val="00125F5E"/>
    <w:rsid w:val="00126069"/>
    <w:rsid w:val="0012617B"/>
    <w:rsid w:val="00126426"/>
    <w:rsid w:val="00126533"/>
    <w:rsid w:val="00126724"/>
    <w:rsid w:val="001268E3"/>
    <w:rsid w:val="001268FC"/>
    <w:rsid w:val="0012690D"/>
    <w:rsid w:val="001269A0"/>
    <w:rsid w:val="00126B0F"/>
    <w:rsid w:val="00126C05"/>
    <w:rsid w:val="00126CCC"/>
    <w:rsid w:val="00126E4C"/>
    <w:rsid w:val="00126EF3"/>
    <w:rsid w:val="00126FCA"/>
    <w:rsid w:val="00126FED"/>
    <w:rsid w:val="00127071"/>
    <w:rsid w:val="001273F8"/>
    <w:rsid w:val="00127514"/>
    <w:rsid w:val="0012758E"/>
    <w:rsid w:val="0012776E"/>
    <w:rsid w:val="00127823"/>
    <w:rsid w:val="0012784D"/>
    <w:rsid w:val="00127897"/>
    <w:rsid w:val="001278C9"/>
    <w:rsid w:val="001278F4"/>
    <w:rsid w:val="0012793D"/>
    <w:rsid w:val="00127BD2"/>
    <w:rsid w:val="00127DA7"/>
    <w:rsid w:val="00127E32"/>
    <w:rsid w:val="0012FD37"/>
    <w:rsid w:val="001300E2"/>
    <w:rsid w:val="0013020A"/>
    <w:rsid w:val="001302BE"/>
    <w:rsid w:val="00130524"/>
    <w:rsid w:val="0013052F"/>
    <w:rsid w:val="00130A4A"/>
    <w:rsid w:val="00130BBA"/>
    <w:rsid w:val="00131043"/>
    <w:rsid w:val="001312AB"/>
    <w:rsid w:val="001315E4"/>
    <w:rsid w:val="0013166B"/>
    <w:rsid w:val="00131758"/>
    <w:rsid w:val="0013194D"/>
    <w:rsid w:val="00131B84"/>
    <w:rsid w:val="00131D20"/>
    <w:rsid w:val="00131ECF"/>
    <w:rsid w:val="00131F64"/>
    <w:rsid w:val="0013217B"/>
    <w:rsid w:val="0013241B"/>
    <w:rsid w:val="00132591"/>
    <w:rsid w:val="0013262E"/>
    <w:rsid w:val="001326B7"/>
    <w:rsid w:val="0013272C"/>
    <w:rsid w:val="001327AD"/>
    <w:rsid w:val="00132810"/>
    <w:rsid w:val="001329CE"/>
    <w:rsid w:val="00132A54"/>
    <w:rsid w:val="00132B27"/>
    <w:rsid w:val="00132C0D"/>
    <w:rsid w:val="00132E94"/>
    <w:rsid w:val="0013302A"/>
    <w:rsid w:val="0013312C"/>
    <w:rsid w:val="00133140"/>
    <w:rsid w:val="001332B5"/>
    <w:rsid w:val="0013351F"/>
    <w:rsid w:val="001335CC"/>
    <w:rsid w:val="0013369D"/>
    <w:rsid w:val="001338B9"/>
    <w:rsid w:val="00133AE3"/>
    <w:rsid w:val="00133EF5"/>
    <w:rsid w:val="0013401E"/>
    <w:rsid w:val="00134073"/>
    <w:rsid w:val="00134213"/>
    <w:rsid w:val="0013449F"/>
    <w:rsid w:val="001346B5"/>
    <w:rsid w:val="00134700"/>
    <w:rsid w:val="0013473B"/>
    <w:rsid w:val="0013477B"/>
    <w:rsid w:val="001348E6"/>
    <w:rsid w:val="001348EF"/>
    <w:rsid w:val="00134A11"/>
    <w:rsid w:val="00134AF7"/>
    <w:rsid w:val="00134B0C"/>
    <w:rsid w:val="00134DE8"/>
    <w:rsid w:val="0013523C"/>
    <w:rsid w:val="001352DC"/>
    <w:rsid w:val="00135394"/>
    <w:rsid w:val="001353A4"/>
    <w:rsid w:val="0013544E"/>
    <w:rsid w:val="00135470"/>
    <w:rsid w:val="0013557D"/>
    <w:rsid w:val="001355AE"/>
    <w:rsid w:val="00135676"/>
    <w:rsid w:val="001357A1"/>
    <w:rsid w:val="00135A6B"/>
    <w:rsid w:val="00135B41"/>
    <w:rsid w:val="00135B90"/>
    <w:rsid w:val="00135B9C"/>
    <w:rsid w:val="00135F30"/>
    <w:rsid w:val="0013605A"/>
    <w:rsid w:val="00136548"/>
    <w:rsid w:val="00136616"/>
    <w:rsid w:val="001366AC"/>
    <w:rsid w:val="001367CB"/>
    <w:rsid w:val="00136833"/>
    <w:rsid w:val="00136B0E"/>
    <w:rsid w:val="00136B65"/>
    <w:rsid w:val="00136BF5"/>
    <w:rsid w:val="00136CC4"/>
    <w:rsid w:val="00136CCD"/>
    <w:rsid w:val="00136D36"/>
    <w:rsid w:val="00136D66"/>
    <w:rsid w:val="00136EE4"/>
    <w:rsid w:val="00137089"/>
    <w:rsid w:val="0013727E"/>
    <w:rsid w:val="001375F7"/>
    <w:rsid w:val="001376D4"/>
    <w:rsid w:val="0013773B"/>
    <w:rsid w:val="00137A27"/>
    <w:rsid w:val="00137A9A"/>
    <w:rsid w:val="00137B42"/>
    <w:rsid w:val="00137D5A"/>
    <w:rsid w:val="00137DA8"/>
    <w:rsid w:val="00137DC9"/>
    <w:rsid w:val="00140098"/>
    <w:rsid w:val="00140650"/>
    <w:rsid w:val="001406DA"/>
    <w:rsid w:val="00140A7D"/>
    <w:rsid w:val="00140C68"/>
    <w:rsid w:val="00140CA4"/>
    <w:rsid w:val="00140CB8"/>
    <w:rsid w:val="00140D0F"/>
    <w:rsid w:val="00140F21"/>
    <w:rsid w:val="0014105E"/>
    <w:rsid w:val="0014120B"/>
    <w:rsid w:val="0014132D"/>
    <w:rsid w:val="00141654"/>
    <w:rsid w:val="001417DA"/>
    <w:rsid w:val="00141817"/>
    <w:rsid w:val="00141964"/>
    <w:rsid w:val="00141D8E"/>
    <w:rsid w:val="00141D9D"/>
    <w:rsid w:val="00141DC3"/>
    <w:rsid w:val="00141F64"/>
    <w:rsid w:val="0014233F"/>
    <w:rsid w:val="00142486"/>
    <w:rsid w:val="0014253A"/>
    <w:rsid w:val="001425A5"/>
    <w:rsid w:val="001425AC"/>
    <w:rsid w:val="001427D7"/>
    <w:rsid w:val="001427EC"/>
    <w:rsid w:val="0014289E"/>
    <w:rsid w:val="00142A8E"/>
    <w:rsid w:val="00142B86"/>
    <w:rsid w:val="00142CCC"/>
    <w:rsid w:val="00142CE5"/>
    <w:rsid w:val="00142D0C"/>
    <w:rsid w:val="00142D2B"/>
    <w:rsid w:val="00142D58"/>
    <w:rsid w:val="00142DF1"/>
    <w:rsid w:val="00142E2D"/>
    <w:rsid w:val="0014314E"/>
    <w:rsid w:val="0014320F"/>
    <w:rsid w:val="001433E5"/>
    <w:rsid w:val="00143449"/>
    <w:rsid w:val="001434C4"/>
    <w:rsid w:val="00143889"/>
    <w:rsid w:val="00143A18"/>
    <w:rsid w:val="00143A70"/>
    <w:rsid w:val="00143B32"/>
    <w:rsid w:val="00143B9A"/>
    <w:rsid w:val="00143BE5"/>
    <w:rsid w:val="00143F2D"/>
    <w:rsid w:val="00143F9F"/>
    <w:rsid w:val="00144218"/>
    <w:rsid w:val="001442A1"/>
    <w:rsid w:val="0014437F"/>
    <w:rsid w:val="001444AC"/>
    <w:rsid w:val="00144553"/>
    <w:rsid w:val="00144731"/>
    <w:rsid w:val="00144B8A"/>
    <w:rsid w:val="00144C1F"/>
    <w:rsid w:val="00144D85"/>
    <w:rsid w:val="00144E9D"/>
    <w:rsid w:val="00144EBD"/>
    <w:rsid w:val="00144EFC"/>
    <w:rsid w:val="00144F23"/>
    <w:rsid w:val="00144FDC"/>
    <w:rsid w:val="00145002"/>
    <w:rsid w:val="00145166"/>
    <w:rsid w:val="001451B3"/>
    <w:rsid w:val="001455EE"/>
    <w:rsid w:val="0014565E"/>
    <w:rsid w:val="001456CA"/>
    <w:rsid w:val="0014575E"/>
    <w:rsid w:val="001457B6"/>
    <w:rsid w:val="001457F3"/>
    <w:rsid w:val="0014588F"/>
    <w:rsid w:val="00145C26"/>
    <w:rsid w:val="00145C9F"/>
    <w:rsid w:val="00145D1A"/>
    <w:rsid w:val="00145D5D"/>
    <w:rsid w:val="00145D85"/>
    <w:rsid w:val="00145DA1"/>
    <w:rsid w:val="00145EB2"/>
    <w:rsid w:val="00145F42"/>
    <w:rsid w:val="001462C9"/>
    <w:rsid w:val="001462FB"/>
    <w:rsid w:val="0014633D"/>
    <w:rsid w:val="00146770"/>
    <w:rsid w:val="00146A25"/>
    <w:rsid w:val="00146A7F"/>
    <w:rsid w:val="00146C1A"/>
    <w:rsid w:val="00146CCB"/>
    <w:rsid w:val="00146D9A"/>
    <w:rsid w:val="0014717A"/>
    <w:rsid w:val="0014724F"/>
    <w:rsid w:val="00147351"/>
    <w:rsid w:val="001473A4"/>
    <w:rsid w:val="001474B8"/>
    <w:rsid w:val="00147585"/>
    <w:rsid w:val="001476F7"/>
    <w:rsid w:val="00147905"/>
    <w:rsid w:val="0014799B"/>
    <w:rsid w:val="00147AB9"/>
    <w:rsid w:val="00147B90"/>
    <w:rsid w:val="00147C37"/>
    <w:rsid w:val="00147D61"/>
    <w:rsid w:val="00147E93"/>
    <w:rsid w:val="00150000"/>
    <w:rsid w:val="001500E0"/>
    <w:rsid w:val="001500F7"/>
    <w:rsid w:val="00150231"/>
    <w:rsid w:val="001503C6"/>
    <w:rsid w:val="001506BC"/>
    <w:rsid w:val="00150A3E"/>
    <w:rsid w:val="00150A93"/>
    <w:rsid w:val="00150B8B"/>
    <w:rsid w:val="00150BBC"/>
    <w:rsid w:val="00150E95"/>
    <w:rsid w:val="00150ECF"/>
    <w:rsid w:val="00150ED9"/>
    <w:rsid w:val="001510AD"/>
    <w:rsid w:val="0015115F"/>
    <w:rsid w:val="001511C0"/>
    <w:rsid w:val="0015126F"/>
    <w:rsid w:val="00151419"/>
    <w:rsid w:val="0015171B"/>
    <w:rsid w:val="001518EB"/>
    <w:rsid w:val="0015199A"/>
    <w:rsid w:val="00151BAD"/>
    <w:rsid w:val="00151DEB"/>
    <w:rsid w:val="00151EBC"/>
    <w:rsid w:val="00151F4F"/>
    <w:rsid w:val="0015213B"/>
    <w:rsid w:val="00152247"/>
    <w:rsid w:val="0015229E"/>
    <w:rsid w:val="001522D1"/>
    <w:rsid w:val="001523C3"/>
    <w:rsid w:val="00152638"/>
    <w:rsid w:val="0015265B"/>
    <w:rsid w:val="00152775"/>
    <w:rsid w:val="00152AD7"/>
    <w:rsid w:val="00152C70"/>
    <w:rsid w:val="00152CD5"/>
    <w:rsid w:val="00152ED1"/>
    <w:rsid w:val="00152F29"/>
    <w:rsid w:val="001531B7"/>
    <w:rsid w:val="0015332B"/>
    <w:rsid w:val="001533CB"/>
    <w:rsid w:val="0015385A"/>
    <w:rsid w:val="001539B4"/>
    <w:rsid w:val="00153CF2"/>
    <w:rsid w:val="00154087"/>
    <w:rsid w:val="001541EB"/>
    <w:rsid w:val="0015424C"/>
    <w:rsid w:val="00154255"/>
    <w:rsid w:val="001544C0"/>
    <w:rsid w:val="00154541"/>
    <w:rsid w:val="00154549"/>
    <w:rsid w:val="00154682"/>
    <w:rsid w:val="001547ED"/>
    <w:rsid w:val="0015489E"/>
    <w:rsid w:val="00154E3A"/>
    <w:rsid w:val="00154F59"/>
    <w:rsid w:val="00154FAF"/>
    <w:rsid w:val="00154FD3"/>
    <w:rsid w:val="0015509A"/>
    <w:rsid w:val="001550E8"/>
    <w:rsid w:val="00155169"/>
    <w:rsid w:val="0015516D"/>
    <w:rsid w:val="0015523E"/>
    <w:rsid w:val="001552D9"/>
    <w:rsid w:val="001552F7"/>
    <w:rsid w:val="00155845"/>
    <w:rsid w:val="0015584C"/>
    <w:rsid w:val="00155A9B"/>
    <w:rsid w:val="00155E15"/>
    <w:rsid w:val="00155F33"/>
    <w:rsid w:val="0015606F"/>
    <w:rsid w:val="001560C9"/>
    <w:rsid w:val="0015617F"/>
    <w:rsid w:val="0015622E"/>
    <w:rsid w:val="001562D4"/>
    <w:rsid w:val="00156447"/>
    <w:rsid w:val="001565EF"/>
    <w:rsid w:val="001568DE"/>
    <w:rsid w:val="00156964"/>
    <w:rsid w:val="001569BF"/>
    <w:rsid w:val="00156B2E"/>
    <w:rsid w:val="00156C39"/>
    <w:rsid w:val="00156F8D"/>
    <w:rsid w:val="0015701B"/>
    <w:rsid w:val="00157331"/>
    <w:rsid w:val="00157481"/>
    <w:rsid w:val="00157709"/>
    <w:rsid w:val="00157899"/>
    <w:rsid w:val="00157A5D"/>
    <w:rsid w:val="00160544"/>
    <w:rsid w:val="00160835"/>
    <w:rsid w:val="0016095F"/>
    <w:rsid w:val="00160BCD"/>
    <w:rsid w:val="00160D15"/>
    <w:rsid w:val="00160EA4"/>
    <w:rsid w:val="00160FB2"/>
    <w:rsid w:val="00160FE1"/>
    <w:rsid w:val="001610A1"/>
    <w:rsid w:val="001610BB"/>
    <w:rsid w:val="0016121A"/>
    <w:rsid w:val="00161284"/>
    <w:rsid w:val="00161336"/>
    <w:rsid w:val="001617BF"/>
    <w:rsid w:val="001618EE"/>
    <w:rsid w:val="001618F5"/>
    <w:rsid w:val="0016190E"/>
    <w:rsid w:val="00161949"/>
    <w:rsid w:val="00161969"/>
    <w:rsid w:val="00161B41"/>
    <w:rsid w:val="00161DBF"/>
    <w:rsid w:val="00161E52"/>
    <w:rsid w:val="00161F67"/>
    <w:rsid w:val="001621BE"/>
    <w:rsid w:val="00162226"/>
    <w:rsid w:val="00162286"/>
    <w:rsid w:val="001622E3"/>
    <w:rsid w:val="00162C26"/>
    <w:rsid w:val="00162C50"/>
    <w:rsid w:val="00162F08"/>
    <w:rsid w:val="00163266"/>
    <w:rsid w:val="0016332B"/>
    <w:rsid w:val="00163497"/>
    <w:rsid w:val="0016372B"/>
    <w:rsid w:val="0016377B"/>
    <w:rsid w:val="001639C4"/>
    <w:rsid w:val="00163AD3"/>
    <w:rsid w:val="00163B2E"/>
    <w:rsid w:val="00163D82"/>
    <w:rsid w:val="00163F4B"/>
    <w:rsid w:val="00163F93"/>
    <w:rsid w:val="00163FF9"/>
    <w:rsid w:val="00164045"/>
    <w:rsid w:val="00164092"/>
    <w:rsid w:val="001641AC"/>
    <w:rsid w:val="001641D9"/>
    <w:rsid w:val="00164274"/>
    <w:rsid w:val="0016449C"/>
    <w:rsid w:val="00164536"/>
    <w:rsid w:val="001645DF"/>
    <w:rsid w:val="0016468F"/>
    <w:rsid w:val="00164AEF"/>
    <w:rsid w:val="00164DFA"/>
    <w:rsid w:val="00164E8F"/>
    <w:rsid w:val="00165129"/>
    <w:rsid w:val="001651BA"/>
    <w:rsid w:val="001651BB"/>
    <w:rsid w:val="00165319"/>
    <w:rsid w:val="001654CB"/>
    <w:rsid w:val="001655F6"/>
    <w:rsid w:val="00165777"/>
    <w:rsid w:val="001658CD"/>
    <w:rsid w:val="00165952"/>
    <w:rsid w:val="00165A6C"/>
    <w:rsid w:val="00165CCA"/>
    <w:rsid w:val="00165D52"/>
    <w:rsid w:val="00165E9B"/>
    <w:rsid w:val="001660FC"/>
    <w:rsid w:val="001662A9"/>
    <w:rsid w:val="0016641F"/>
    <w:rsid w:val="001664AF"/>
    <w:rsid w:val="001665D4"/>
    <w:rsid w:val="001665D6"/>
    <w:rsid w:val="00166847"/>
    <w:rsid w:val="00166906"/>
    <w:rsid w:val="00166951"/>
    <w:rsid w:val="00166FD2"/>
    <w:rsid w:val="00167367"/>
    <w:rsid w:val="0016741A"/>
    <w:rsid w:val="00167437"/>
    <w:rsid w:val="00167587"/>
    <w:rsid w:val="001675C5"/>
    <w:rsid w:val="0016763B"/>
    <w:rsid w:val="001676EB"/>
    <w:rsid w:val="00167775"/>
    <w:rsid w:val="001678F7"/>
    <w:rsid w:val="0016790F"/>
    <w:rsid w:val="00167991"/>
    <w:rsid w:val="00167A21"/>
    <w:rsid w:val="00167C00"/>
    <w:rsid w:val="00167C06"/>
    <w:rsid w:val="00167C12"/>
    <w:rsid w:val="00167C4D"/>
    <w:rsid w:val="00167C75"/>
    <w:rsid w:val="00167CE0"/>
    <w:rsid w:val="00167D41"/>
    <w:rsid w:val="00167D9A"/>
    <w:rsid w:val="00167F38"/>
    <w:rsid w:val="00167F92"/>
    <w:rsid w:val="0017004D"/>
    <w:rsid w:val="00170340"/>
    <w:rsid w:val="001703E8"/>
    <w:rsid w:val="00170749"/>
    <w:rsid w:val="0017077C"/>
    <w:rsid w:val="00170872"/>
    <w:rsid w:val="00170ADD"/>
    <w:rsid w:val="00170E47"/>
    <w:rsid w:val="00170ED9"/>
    <w:rsid w:val="00170F2A"/>
    <w:rsid w:val="0017105E"/>
    <w:rsid w:val="00171107"/>
    <w:rsid w:val="00171363"/>
    <w:rsid w:val="001715A3"/>
    <w:rsid w:val="00171A41"/>
    <w:rsid w:val="00171A89"/>
    <w:rsid w:val="00171AE1"/>
    <w:rsid w:val="00171CA3"/>
    <w:rsid w:val="00171DE5"/>
    <w:rsid w:val="00171E96"/>
    <w:rsid w:val="00171F74"/>
    <w:rsid w:val="001721BC"/>
    <w:rsid w:val="00172217"/>
    <w:rsid w:val="0017239A"/>
    <w:rsid w:val="001726A1"/>
    <w:rsid w:val="001726E1"/>
    <w:rsid w:val="00172723"/>
    <w:rsid w:val="00172760"/>
    <w:rsid w:val="001727B1"/>
    <w:rsid w:val="0017284A"/>
    <w:rsid w:val="00172922"/>
    <w:rsid w:val="00172A4B"/>
    <w:rsid w:val="00172C5B"/>
    <w:rsid w:val="00172DAF"/>
    <w:rsid w:val="00172DC1"/>
    <w:rsid w:val="00173162"/>
    <w:rsid w:val="00173262"/>
    <w:rsid w:val="001733C7"/>
    <w:rsid w:val="00173401"/>
    <w:rsid w:val="0017354C"/>
    <w:rsid w:val="00173597"/>
    <w:rsid w:val="0017363D"/>
    <w:rsid w:val="001736E4"/>
    <w:rsid w:val="001738C7"/>
    <w:rsid w:val="00173986"/>
    <w:rsid w:val="00173A63"/>
    <w:rsid w:val="00173AD9"/>
    <w:rsid w:val="00173F24"/>
    <w:rsid w:val="00174120"/>
    <w:rsid w:val="00174327"/>
    <w:rsid w:val="001746B2"/>
    <w:rsid w:val="00174BAB"/>
    <w:rsid w:val="00174DC9"/>
    <w:rsid w:val="00174F41"/>
    <w:rsid w:val="0017514D"/>
    <w:rsid w:val="00175252"/>
    <w:rsid w:val="001752F5"/>
    <w:rsid w:val="00175303"/>
    <w:rsid w:val="00175600"/>
    <w:rsid w:val="00175637"/>
    <w:rsid w:val="0017584F"/>
    <w:rsid w:val="00175A82"/>
    <w:rsid w:val="00175CC0"/>
    <w:rsid w:val="00175CC7"/>
    <w:rsid w:val="00175DDA"/>
    <w:rsid w:val="00175F65"/>
    <w:rsid w:val="00176070"/>
    <w:rsid w:val="001761E7"/>
    <w:rsid w:val="00176295"/>
    <w:rsid w:val="00176432"/>
    <w:rsid w:val="00176477"/>
    <w:rsid w:val="00176504"/>
    <w:rsid w:val="00176663"/>
    <w:rsid w:val="00176689"/>
    <w:rsid w:val="001769DC"/>
    <w:rsid w:val="00176ACF"/>
    <w:rsid w:val="00176BF1"/>
    <w:rsid w:val="00176C17"/>
    <w:rsid w:val="00176E2F"/>
    <w:rsid w:val="00176E5D"/>
    <w:rsid w:val="00176FC5"/>
    <w:rsid w:val="00176FFB"/>
    <w:rsid w:val="0017706A"/>
    <w:rsid w:val="001771F7"/>
    <w:rsid w:val="00177499"/>
    <w:rsid w:val="0017773E"/>
    <w:rsid w:val="001778CA"/>
    <w:rsid w:val="00177C4F"/>
    <w:rsid w:val="0017F3F6"/>
    <w:rsid w:val="001804A1"/>
    <w:rsid w:val="0018072E"/>
    <w:rsid w:val="00180A23"/>
    <w:rsid w:val="00180A95"/>
    <w:rsid w:val="00180ACD"/>
    <w:rsid w:val="00180C5A"/>
    <w:rsid w:val="00180D66"/>
    <w:rsid w:val="00180E2F"/>
    <w:rsid w:val="00180EC4"/>
    <w:rsid w:val="00180EF8"/>
    <w:rsid w:val="00180F31"/>
    <w:rsid w:val="001813EB"/>
    <w:rsid w:val="0018150D"/>
    <w:rsid w:val="0018151A"/>
    <w:rsid w:val="001815A5"/>
    <w:rsid w:val="00181622"/>
    <w:rsid w:val="00181629"/>
    <w:rsid w:val="001816BD"/>
    <w:rsid w:val="001816DC"/>
    <w:rsid w:val="00181862"/>
    <w:rsid w:val="001818E8"/>
    <w:rsid w:val="00181B7A"/>
    <w:rsid w:val="00181BA7"/>
    <w:rsid w:val="00181C85"/>
    <w:rsid w:val="00181E28"/>
    <w:rsid w:val="001820B2"/>
    <w:rsid w:val="001820CA"/>
    <w:rsid w:val="00182122"/>
    <w:rsid w:val="001823A6"/>
    <w:rsid w:val="0018248F"/>
    <w:rsid w:val="00182633"/>
    <w:rsid w:val="00182665"/>
    <w:rsid w:val="001828D1"/>
    <w:rsid w:val="00182B00"/>
    <w:rsid w:val="00182DE0"/>
    <w:rsid w:val="00182ED5"/>
    <w:rsid w:val="00182F10"/>
    <w:rsid w:val="00182FE0"/>
    <w:rsid w:val="00183094"/>
    <w:rsid w:val="00183180"/>
    <w:rsid w:val="001835BB"/>
    <w:rsid w:val="00183661"/>
    <w:rsid w:val="0018392E"/>
    <w:rsid w:val="00183A96"/>
    <w:rsid w:val="00183BB9"/>
    <w:rsid w:val="00183DDA"/>
    <w:rsid w:val="00183DE2"/>
    <w:rsid w:val="00183F6F"/>
    <w:rsid w:val="00184011"/>
    <w:rsid w:val="00184013"/>
    <w:rsid w:val="0018413B"/>
    <w:rsid w:val="001841E8"/>
    <w:rsid w:val="001843FE"/>
    <w:rsid w:val="0018442C"/>
    <w:rsid w:val="001846C1"/>
    <w:rsid w:val="001848C0"/>
    <w:rsid w:val="00184AE2"/>
    <w:rsid w:val="00184B07"/>
    <w:rsid w:val="00184B6A"/>
    <w:rsid w:val="00184CDB"/>
    <w:rsid w:val="00184E41"/>
    <w:rsid w:val="00184FCB"/>
    <w:rsid w:val="0018506E"/>
    <w:rsid w:val="0018508D"/>
    <w:rsid w:val="001850EB"/>
    <w:rsid w:val="001850F4"/>
    <w:rsid w:val="001852AD"/>
    <w:rsid w:val="0018552E"/>
    <w:rsid w:val="00185549"/>
    <w:rsid w:val="001856B0"/>
    <w:rsid w:val="0018592A"/>
    <w:rsid w:val="00185976"/>
    <w:rsid w:val="00185A4C"/>
    <w:rsid w:val="00185BD5"/>
    <w:rsid w:val="00185E0D"/>
    <w:rsid w:val="00185E60"/>
    <w:rsid w:val="00185F15"/>
    <w:rsid w:val="00185F4B"/>
    <w:rsid w:val="00185FC8"/>
    <w:rsid w:val="001860AA"/>
    <w:rsid w:val="001865DA"/>
    <w:rsid w:val="00186723"/>
    <w:rsid w:val="0018677C"/>
    <w:rsid w:val="00186847"/>
    <w:rsid w:val="001868B9"/>
    <w:rsid w:val="00186CDD"/>
    <w:rsid w:val="00186DF2"/>
    <w:rsid w:val="00186FC7"/>
    <w:rsid w:val="001870B7"/>
    <w:rsid w:val="00187321"/>
    <w:rsid w:val="001873C3"/>
    <w:rsid w:val="00187557"/>
    <w:rsid w:val="001876BA"/>
    <w:rsid w:val="001877F8"/>
    <w:rsid w:val="00187910"/>
    <w:rsid w:val="00187C01"/>
    <w:rsid w:val="00187C1D"/>
    <w:rsid w:val="00187C70"/>
    <w:rsid w:val="00187D2A"/>
    <w:rsid w:val="00187EDC"/>
    <w:rsid w:val="001900AA"/>
    <w:rsid w:val="00190291"/>
    <w:rsid w:val="00190555"/>
    <w:rsid w:val="001905CC"/>
    <w:rsid w:val="00190757"/>
    <w:rsid w:val="00190884"/>
    <w:rsid w:val="00190DE6"/>
    <w:rsid w:val="00190F25"/>
    <w:rsid w:val="00191139"/>
    <w:rsid w:val="00191414"/>
    <w:rsid w:val="001914D9"/>
    <w:rsid w:val="001915B9"/>
    <w:rsid w:val="001915E6"/>
    <w:rsid w:val="001916BC"/>
    <w:rsid w:val="0019175C"/>
    <w:rsid w:val="001918B6"/>
    <w:rsid w:val="00191C0D"/>
    <w:rsid w:val="00191CAD"/>
    <w:rsid w:val="00191E0D"/>
    <w:rsid w:val="00192045"/>
    <w:rsid w:val="00192055"/>
    <w:rsid w:val="001922A9"/>
    <w:rsid w:val="001923BA"/>
    <w:rsid w:val="0019274D"/>
    <w:rsid w:val="00192907"/>
    <w:rsid w:val="001929CF"/>
    <w:rsid w:val="00192B28"/>
    <w:rsid w:val="00192C69"/>
    <w:rsid w:val="00192D02"/>
    <w:rsid w:val="00192EDE"/>
    <w:rsid w:val="00192F84"/>
    <w:rsid w:val="00192FD0"/>
    <w:rsid w:val="00193045"/>
    <w:rsid w:val="0019312E"/>
    <w:rsid w:val="00193181"/>
    <w:rsid w:val="001932C5"/>
    <w:rsid w:val="0019340C"/>
    <w:rsid w:val="0019356C"/>
    <w:rsid w:val="00193598"/>
    <w:rsid w:val="001935CE"/>
    <w:rsid w:val="00193674"/>
    <w:rsid w:val="001937ED"/>
    <w:rsid w:val="001939DB"/>
    <w:rsid w:val="00193AB1"/>
    <w:rsid w:val="00193C01"/>
    <w:rsid w:val="00193C4D"/>
    <w:rsid w:val="00193CAA"/>
    <w:rsid w:val="00193F53"/>
    <w:rsid w:val="0019402D"/>
    <w:rsid w:val="00194451"/>
    <w:rsid w:val="00194591"/>
    <w:rsid w:val="00194760"/>
    <w:rsid w:val="001947FD"/>
    <w:rsid w:val="00194841"/>
    <w:rsid w:val="001948BC"/>
    <w:rsid w:val="00194968"/>
    <w:rsid w:val="00194A24"/>
    <w:rsid w:val="00194AB0"/>
    <w:rsid w:val="00194C45"/>
    <w:rsid w:val="00195130"/>
    <w:rsid w:val="001951A0"/>
    <w:rsid w:val="001953DA"/>
    <w:rsid w:val="0019548E"/>
    <w:rsid w:val="001954E7"/>
    <w:rsid w:val="001954F9"/>
    <w:rsid w:val="00195678"/>
    <w:rsid w:val="0019572B"/>
    <w:rsid w:val="00195846"/>
    <w:rsid w:val="00195A2C"/>
    <w:rsid w:val="00195A7E"/>
    <w:rsid w:val="00195A8E"/>
    <w:rsid w:val="00195B1A"/>
    <w:rsid w:val="00195B56"/>
    <w:rsid w:val="00195C7F"/>
    <w:rsid w:val="00195CB8"/>
    <w:rsid w:val="00195D0D"/>
    <w:rsid w:val="00195E7E"/>
    <w:rsid w:val="00196070"/>
    <w:rsid w:val="00196479"/>
    <w:rsid w:val="00196526"/>
    <w:rsid w:val="0019653A"/>
    <w:rsid w:val="00196658"/>
    <w:rsid w:val="0019668C"/>
    <w:rsid w:val="001966DE"/>
    <w:rsid w:val="00196774"/>
    <w:rsid w:val="0019677D"/>
    <w:rsid w:val="001967D3"/>
    <w:rsid w:val="00196AD3"/>
    <w:rsid w:val="00196B1C"/>
    <w:rsid w:val="00196DCB"/>
    <w:rsid w:val="00196DD7"/>
    <w:rsid w:val="00196EA5"/>
    <w:rsid w:val="00196EE2"/>
    <w:rsid w:val="00196F14"/>
    <w:rsid w:val="00196F9E"/>
    <w:rsid w:val="001970D5"/>
    <w:rsid w:val="00197119"/>
    <w:rsid w:val="0019715B"/>
    <w:rsid w:val="0019740E"/>
    <w:rsid w:val="00197563"/>
    <w:rsid w:val="00197845"/>
    <w:rsid w:val="00197990"/>
    <w:rsid w:val="00197AD9"/>
    <w:rsid w:val="00197B29"/>
    <w:rsid w:val="00197C43"/>
    <w:rsid w:val="00197C7D"/>
    <w:rsid w:val="00197E4D"/>
    <w:rsid w:val="00197E61"/>
    <w:rsid w:val="00197F84"/>
    <w:rsid w:val="001A00B6"/>
    <w:rsid w:val="001A04B1"/>
    <w:rsid w:val="001A051B"/>
    <w:rsid w:val="001A05A1"/>
    <w:rsid w:val="001A0E32"/>
    <w:rsid w:val="001A12D8"/>
    <w:rsid w:val="001A1320"/>
    <w:rsid w:val="001A14F4"/>
    <w:rsid w:val="001A15D2"/>
    <w:rsid w:val="001A15E4"/>
    <w:rsid w:val="001A164B"/>
    <w:rsid w:val="001A1734"/>
    <w:rsid w:val="001A1BBC"/>
    <w:rsid w:val="001A1BD2"/>
    <w:rsid w:val="001A1E83"/>
    <w:rsid w:val="001A1E84"/>
    <w:rsid w:val="001A1F4F"/>
    <w:rsid w:val="001A1FCA"/>
    <w:rsid w:val="001A211C"/>
    <w:rsid w:val="001A2549"/>
    <w:rsid w:val="001A2720"/>
    <w:rsid w:val="001A2733"/>
    <w:rsid w:val="001A2785"/>
    <w:rsid w:val="001A2821"/>
    <w:rsid w:val="001A28DC"/>
    <w:rsid w:val="001A2BE5"/>
    <w:rsid w:val="001A2BFE"/>
    <w:rsid w:val="001A2D61"/>
    <w:rsid w:val="001A2F5F"/>
    <w:rsid w:val="001A30A9"/>
    <w:rsid w:val="001A30C1"/>
    <w:rsid w:val="001A31A4"/>
    <w:rsid w:val="001A3231"/>
    <w:rsid w:val="001A323F"/>
    <w:rsid w:val="001A33A2"/>
    <w:rsid w:val="001A33F6"/>
    <w:rsid w:val="001A39F2"/>
    <w:rsid w:val="001A3AD6"/>
    <w:rsid w:val="001A3BF4"/>
    <w:rsid w:val="001A3C1E"/>
    <w:rsid w:val="001A3D2E"/>
    <w:rsid w:val="001A3FEC"/>
    <w:rsid w:val="001A4071"/>
    <w:rsid w:val="001A4091"/>
    <w:rsid w:val="001A4102"/>
    <w:rsid w:val="001A414E"/>
    <w:rsid w:val="001A45EF"/>
    <w:rsid w:val="001A460F"/>
    <w:rsid w:val="001A46B4"/>
    <w:rsid w:val="001A48DF"/>
    <w:rsid w:val="001A48E2"/>
    <w:rsid w:val="001A4BB8"/>
    <w:rsid w:val="001A4CA3"/>
    <w:rsid w:val="001A4D7B"/>
    <w:rsid w:val="001A4DD0"/>
    <w:rsid w:val="001A4DD1"/>
    <w:rsid w:val="001A4E1B"/>
    <w:rsid w:val="001A4E8B"/>
    <w:rsid w:val="001A4FEE"/>
    <w:rsid w:val="001A509E"/>
    <w:rsid w:val="001A5274"/>
    <w:rsid w:val="001A5348"/>
    <w:rsid w:val="001A536A"/>
    <w:rsid w:val="001A5471"/>
    <w:rsid w:val="001A5722"/>
    <w:rsid w:val="001A5870"/>
    <w:rsid w:val="001A58D5"/>
    <w:rsid w:val="001A5A0E"/>
    <w:rsid w:val="001A5AA5"/>
    <w:rsid w:val="001A5CE8"/>
    <w:rsid w:val="001A5EEC"/>
    <w:rsid w:val="001A60F4"/>
    <w:rsid w:val="001A61BB"/>
    <w:rsid w:val="001A6347"/>
    <w:rsid w:val="001A644B"/>
    <w:rsid w:val="001A6574"/>
    <w:rsid w:val="001A66F0"/>
    <w:rsid w:val="001A6862"/>
    <w:rsid w:val="001A6869"/>
    <w:rsid w:val="001A69C7"/>
    <w:rsid w:val="001A6BFD"/>
    <w:rsid w:val="001A6D35"/>
    <w:rsid w:val="001A6DCD"/>
    <w:rsid w:val="001A6E51"/>
    <w:rsid w:val="001A72EA"/>
    <w:rsid w:val="001A739C"/>
    <w:rsid w:val="001A75D8"/>
    <w:rsid w:val="001A76B5"/>
    <w:rsid w:val="001A780F"/>
    <w:rsid w:val="001A7A1F"/>
    <w:rsid w:val="001A7A27"/>
    <w:rsid w:val="001A7AC8"/>
    <w:rsid w:val="001A7C11"/>
    <w:rsid w:val="001A7F6A"/>
    <w:rsid w:val="001B012F"/>
    <w:rsid w:val="001B039D"/>
    <w:rsid w:val="001B0429"/>
    <w:rsid w:val="001B04D4"/>
    <w:rsid w:val="001B070C"/>
    <w:rsid w:val="001B07BF"/>
    <w:rsid w:val="001B08FA"/>
    <w:rsid w:val="001B098B"/>
    <w:rsid w:val="001B0F8E"/>
    <w:rsid w:val="001B117B"/>
    <w:rsid w:val="001B12B2"/>
    <w:rsid w:val="001B1385"/>
    <w:rsid w:val="001B13A9"/>
    <w:rsid w:val="001B13ED"/>
    <w:rsid w:val="001B1431"/>
    <w:rsid w:val="001B15FD"/>
    <w:rsid w:val="001B179C"/>
    <w:rsid w:val="001B17EE"/>
    <w:rsid w:val="001B197C"/>
    <w:rsid w:val="001B1FB3"/>
    <w:rsid w:val="001B1FCC"/>
    <w:rsid w:val="001B20AC"/>
    <w:rsid w:val="001B21B3"/>
    <w:rsid w:val="001B2363"/>
    <w:rsid w:val="001B24DF"/>
    <w:rsid w:val="001B2779"/>
    <w:rsid w:val="001B2A14"/>
    <w:rsid w:val="001B2B1B"/>
    <w:rsid w:val="001B2D3A"/>
    <w:rsid w:val="001B2F4B"/>
    <w:rsid w:val="001B3253"/>
    <w:rsid w:val="001B333D"/>
    <w:rsid w:val="001B352F"/>
    <w:rsid w:val="001B37B3"/>
    <w:rsid w:val="001B37FD"/>
    <w:rsid w:val="001B3863"/>
    <w:rsid w:val="001B3973"/>
    <w:rsid w:val="001B3D2A"/>
    <w:rsid w:val="001B3E97"/>
    <w:rsid w:val="001B3EC0"/>
    <w:rsid w:val="001B417D"/>
    <w:rsid w:val="001B4226"/>
    <w:rsid w:val="001B423D"/>
    <w:rsid w:val="001B4316"/>
    <w:rsid w:val="001B461C"/>
    <w:rsid w:val="001B4B3A"/>
    <w:rsid w:val="001B4B4E"/>
    <w:rsid w:val="001B4B7C"/>
    <w:rsid w:val="001B4C08"/>
    <w:rsid w:val="001B4C97"/>
    <w:rsid w:val="001B4D99"/>
    <w:rsid w:val="001B4F70"/>
    <w:rsid w:val="001B516D"/>
    <w:rsid w:val="001B51A8"/>
    <w:rsid w:val="001B53A5"/>
    <w:rsid w:val="001B5423"/>
    <w:rsid w:val="001B54B7"/>
    <w:rsid w:val="001B5646"/>
    <w:rsid w:val="001B571A"/>
    <w:rsid w:val="001B573E"/>
    <w:rsid w:val="001B5ADD"/>
    <w:rsid w:val="001B5CCC"/>
    <w:rsid w:val="001B5FCD"/>
    <w:rsid w:val="001B60A2"/>
    <w:rsid w:val="001B6221"/>
    <w:rsid w:val="001B63DD"/>
    <w:rsid w:val="001B6634"/>
    <w:rsid w:val="001B6764"/>
    <w:rsid w:val="001B67B1"/>
    <w:rsid w:val="001B6A9F"/>
    <w:rsid w:val="001B6E96"/>
    <w:rsid w:val="001B6FAB"/>
    <w:rsid w:val="001B6FAC"/>
    <w:rsid w:val="001B7048"/>
    <w:rsid w:val="001B71CF"/>
    <w:rsid w:val="001B71FB"/>
    <w:rsid w:val="001B720F"/>
    <w:rsid w:val="001B7322"/>
    <w:rsid w:val="001B73B3"/>
    <w:rsid w:val="001B7468"/>
    <w:rsid w:val="001B758F"/>
    <w:rsid w:val="001B7C03"/>
    <w:rsid w:val="001B7C4E"/>
    <w:rsid w:val="001B7C55"/>
    <w:rsid w:val="001C0465"/>
    <w:rsid w:val="001C047C"/>
    <w:rsid w:val="001C0486"/>
    <w:rsid w:val="001C0771"/>
    <w:rsid w:val="001C08F9"/>
    <w:rsid w:val="001C096C"/>
    <w:rsid w:val="001C0BE4"/>
    <w:rsid w:val="001C1042"/>
    <w:rsid w:val="001C10CE"/>
    <w:rsid w:val="001C12B1"/>
    <w:rsid w:val="001C12C3"/>
    <w:rsid w:val="001C1310"/>
    <w:rsid w:val="001C1336"/>
    <w:rsid w:val="001C13C2"/>
    <w:rsid w:val="001C13D1"/>
    <w:rsid w:val="001C172E"/>
    <w:rsid w:val="001C1876"/>
    <w:rsid w:val="001C1A6A"/>
    <w:rsid w:val="001C1AC6"/>
    <w:rsid w:val="001C1DD2"/>
    <w:rsid w:val="001C2219"/>
    <w:rsid w:val="001C22E0"/>
    <w:rsid w:val="001C238F"/>
    <w:rsid w:val="001C25AC"/>
    <w:rsid w:val="001C260E"/>
    <w:rsid w:val="001C265E"/>
    <w:rsid w:val="001C26C0"/>
    <w:rsid w:val="001C2C8B"/>
    <w:rsid w:val="001C2DA3"/>
    <w:rsid w:val="001C2E2E"/>
    <w:rsid w:val="001C2E97"/>
    <w:rsid w:val="001C319D"/>
    <w:rsid w:val="001C31CD"/>
    <w:rsid w:val="001C323B"/>
    <w:rsid w:val="001C330E"/>
    <w:rsid w:val="001C3520"/>
    <w:rsid w:val="001C39CF"/>
    <w:rsid w:val="001C3A9D"/>
    <w:rsid w:val="001C3C23"/>
    <w:rsid w:val="001C3C4A"/>
    <w:rsid w:val="001C3C97"/>
    <w:rsid w:val="001C3DD7"/>
    <w:rsid w:val="001C3E44"/>
    <w:rsid w:val="001C4149"/>
    <w:rsid w:val="001C41CA"/>
    <w:rsid w:val="001C424F"/>
    <w:rsid w:val="001C43A9"/>
    <w:rsid w:val="001C474D"/>
    <w:rsid w:val="001C4785"/>
    <w:rsid w:val="001C48C8"/>
    <w:rsid w:val="001C4FD2"/>
    <w:rsid w:val="001C500E"/>
    <w:rsid w:val="001C50E0"/>
    <w:rsid w:val="001C51DC"/>
    <w:rsid w:val="001C538C"/>
    <w:rsid w:val="001C54BF"/>
    <w:rsid w:val="001C550B"/>
    <w:rsid w:val="001C5674"/>
    <w:rsid w:val="001C568C"/>
    <w:rsid w:val="001C5A69"/>
    <w:rsid w:val="001C5A9A"/>
    <w:rsid w:val="001C5C4B"/>
    <w:rsid w:val="001C5D19"/>
    <w:rsid w:val="001C5FA1"/>
    <w:rsid w:val="001C607D"/>
    <w:rsid w:val="001C617E"/>
    <w:rsid w:val="001C61D7"/>
    <w:rsid w:val="001C6565"/>
    <w:rsid w:val="001C66BC"/>
    <w:rsid w:val="001C6804"/>
    <w:rsid w:val="001C6B01"/>
    <w:rsid w:val="001C6D53"/>
    <w:rsid w:val="001C6EEB"/>
    <w:rsid w:val="001C6FD6"/>
    <w:rsid w:val="001C7279"/>
    <w:rsid w:val="001C7422"/>
    <w:rsid w:val="001C74FC"/>
    <w:rsid w:val="001C7596"/>
    <w:rsid w:val="001C7CCD"/>
    <w:rsid w:val="001C7DD8"/>
    <w:rsid w:val="001D00C0"/>
    <w:rsid w:val="001D032E"/>
    <w:rsid w:val="001D034A"/>
    <w:rsid w:val="001D0361"/>
    <w:rsid w:val="001D05BB"/>
    <w:rsid w:val="001D0692"/>
    <w:rsid w:val="001D09E5"/>
    <w:rsid w:val="001D09F9"/>
    <w:rsid w:val="001D0A81"/>
    <w:rsid w:val="001D0B02"/>
    <w:rsid w:val="001D0B70"/>
    <w:rsid w:val="001D0BCA"/>
    <w:rsid w:val="001D0BCD"/>
    <w:rsid w:val="001D0BFB"/>
    <w:rsid w:val="001D0BFD"/>
    <w:rsid w:val="001D0CB3"/>
    <w:rsid w:val="001D0E31"/>
    <w:rsid w:val="001D0EA6"/>
    <w:rsid w:val="001D0F74"/>
    <w:rsid w:val="001D0F83"/>
    <w:rsid w:val="001D0F91"/>
    <w:rsid w:val="001D1605"/>
    <w:rsid w:val="001D17B3"/>
    <w:rsid w:val="001D1CC6"/>
    <w:rsid w:val="001D1DCF"/>
    <w:rsid w:val="001D1E5F"/>
    <w:rsid w:val="001D2109"/>
    <w:rsid w:val="001D22A1"/>
    <w:rsid w:val="001D237F"/>
    <w:rsid w:val="001D253D"/>
    <w:rsid w:val="001D2580"/>
    <w:rsid w:val="001D275A"/>
    <w:rsid w:val="001D281B"/>
    <w:rsid w:val="001D2EA5"/>
    <w:rsid w:val="001D2EA6"/>
    <w:rsid w:val="001D323F"/>
    <w:rsid w:val="001D3251"/>
    <w:rsid w:val="001D3269"/>
    <w:rsid w:val="001D33C1"/>
    <w:rsid w:val="001D3621"/>
    <w:rsid w:val="001D3649"/>
    <w:rsid w:val="001D3692"/>
    <w:rsid w:val="001D36A4"/>
    <w:rsid w:val="001D39BE"/>
    <w:rsid w:val="001D3C55"/>
    <w:rsid w:val="001D3C64"/>
    <w:rsid w:val="001D3D08"/>
    <w:rsid w:val="001D3D1D"/>
    <w:rsid w:val="001D3F21"/>
    <w:rsid w:val="001D405A"/>
    <w:rsid w:val="001D40B0"/>
    <w:rsid w:val="001D40D5"/>
    <w:rsid w:val="001D40F5"/>
    <w:rsid w:val="001D4122"/>
    <w:rsid w:val="001D438D"/>
    <w:rsid w:val="001D4490"/>
    <w:rsid w:val="001D4527"/>
    <w:rsid w:val="001D4705"/>
    <w:rsid w:val="001D4746"/>
    <w:rsid w:val="001D48CD"/>
    <w:rsid w:val="001D4A09"/>
    <w:rsid w:val="001D4A99"/>
    <w:rsid w:val="001D4C5E"/>
    <w:rsid w:val="001D4C6C"/>
    <w:rsid w:val="001D4DDB"/>
    <w:rsid w:val="001D4F1D"/>
    <w:rsid w:val="001D5128"/>
    <w:rsid w:val="001D51A9"/>
    <w:rsid w:val="001D54CE"/>
    <w:rsid w:val="001D55C2"/>
    <w:rsid w:val="001D57EB"/>
    <w:rsid w:val="001D5897"/>
    <w:rsid w:val="001D58A8"/>
    <w:rsid w:val="001D5A13"/>
    <w:rsid w:val="001D5C57"/>
    <w:rsid w:val="001D5CE1"/>
    <w:rsid w:val="001D5E92"/>
    <w:rsid w:val="001D5F47"/>
    <w:rsid w:val="001D5F77"/>
    <w:rsid w:val="001D6006"/>
    <w:rsid w:val="001D62E5"/>
    <w:rsid w:val="001D64BF"/>
    <w:rsid w:val="001D64CE"/>
    <w:rsid w:val="001D66E7"/>
    <w:rsid w:val="001D6966"/>
    <w:rsid w:val="001D69FF"/>
    <w:rsid w:val="001D6A30"/>
    <w:rsid w:val="001D6A64"/>
    <w:rsid w:val="001D6C7A"/>
    <w:rsid w:val="001D6D8C"/>
    <w:rsid w:val="001D7108"/>
    <w:rsid w:val="001D7230"/>
    <w:rsid w:val="001D7577"/>
    <w:rsid w:val="001D7692"/>
    <w:rsid w:val="001D7733"/>
    <w:rsid w:val="001D7757"/>
    <w:rsid w:val="001D780B"/>
    <w:rsid w:val="001D78BE"/>
    <w:rsid w:val="001D79D0"/>
    <w:rsid w:val="001D7B69"/>
    <w:rsid w:val="001D7B8C"/>
    <w:rsid w:val="001D7CB8"/>
    <w:rsid w:val="001D7E8E"/>
    <w:rsid w:val="001D7F85"/>
    <w:rsid w:val="001E0010"/>
    <w:rsid w:val="001E01EF"/>
    <w:rsid w:val="001E021E"/>
    <w:rsid w:val="001E0282"/>
    <w:rsid w:val="001E042B"/>
    <w:rsid w:val="001E042F"/>
    <w:rsid w:val="001E04CF"/>
    <w:rsid w:val="001E052F"/>
    <w:rsid w:val="001E05C9"/>
    <w:rsid w:val="001E0687"/>
    <w:rsid w:val="001E07C0"/>
    <w:rsid w:val="001E09D7"/>
    <w:rsid w:val="001E0C0F"/>
    <w:rsid w:val="001E0C6B"/>
    <w:rsid w:val="001E0D39"/>
    <w:rsid w:val="001E0E86"/>
    <w:rsid w:val="001E0EB3"/>
    <w:rsid w:val="001E0F7E"/>
    <w:rsid w:val="001E1236"/>
    <w:rsid w:val="001E1476"/>
    <w:rsid w:val="001E18B5"/>
    <w:rsid w:val="001E1911"/>
    <w:rsid w:val="001E19D7"/>
    <w:rsid w:val="001E1AED"/>
    <w:rsid w:val="001E1B00"/>
    <w:rsid w:val="001E1BAF"/>
    <w:rsid w:val="001E1C1C"/>
    <w:rsid w:val="001E2487"/>
    <w:rsid w:val="001E24F8"/>
    <w:rsid w:val="001E27C0"/>
    <w:rsid w:val="001E29AA"/>
    <w:rsid w:val="001E2AF6"/>
    <w:rsid w:val="001E2B21"/>
    <w:rsid w:val="001E2BAC"/>
    <w:rsid w:val="001E2E49"/>
    <w:rsid w:val="001E2F00"/>
    <w:rsid w:val="001E2FC5"/>
    <w:rsid w:val="001E3113"/>
    <w:rsid w:val="001E311B"/>
    <w:rsid w:val="001E326F"/>
    <w:rsid w:val="001E32D7"/>
    <w:rsid w:val="001E3368"/>
    <w:rsid w:val="001E3443"/>
    <w:rsid w:val="001E35A7"/>
    <w:rsid w:val="001E3729"/>
    <w:rsid w:val="001E37D8"/>
    <w:rsid w:val="001E3897"/>
    <w:rsid w:val="001E3925"/>
    <w:rsid w:val="001E3942"/>
    <w:rsid w:val="001E3995"/>
    <w:rsid w:val="001E3D37"/>
    <w:rsid w:val="001E3E0C"/>
    <w:rsid w:val="001E3FE8"/>
    <w:rsid w:val="001E40A3"/>
    <w:rsid w:val="001E4215"/>
    <w:rsid w:val="001E4456"/>
    <w:rsid w:val="001E467A"/>
    <w:rsid w:val="001E4916"/>
    <w:rsid w:val="001E4B0A"/>
    <w:rsid w:val="001E4BF7"/>
    <w:rsid w:val="001E5024"/>
    <w:rsid w:val="001E5396"/>
    <w:rsid w:val="001E53AB"/>
    <w:rsid w:val="001E549F"/>
    <w:rsid w:val="001E5AEB"/>
    <w:rsid w:val="001E5C15"/>
    <w:rsid w:val="001E5F09"/>
    <w:rsid w:val="001E5F7A"/>
    <w:rsid w:val="001E5F9A"/>
    <w:rsid w:val="001E63F2"/>
    <w:rsid w:val="001E64AF"/>
    <w:rsid w:val="001E6523"/>
    <w:rsid w:val="001E663B"/>
    <w:rsid w:val="001E6654"/>
    <w:rsid w:val="001E670B"/>
    <w:rsid w:val="001E6A2C"/>
    <w:rsid w:val="001E6DE5"/>
    <w:rsid w:val="001E6E6D"/>
    <w:rsid w:val="001E709E"/>
    <w:rsid w:val="001E70D3"/>
    <w:rsid w:val="001E72AC"/>
    <w:rsid w:val="001E72AD"/>
    <w:rsid w:val="001E730F"/>
    <w:rsid w:val="001E735D"/>
    <w:rsid w:val="001E738D"/>
    <w:rsid w:val="001E7442"/>
    <w:rsid w:val="001E74F1"/>
    <w:rsid w:val="001E75BA"/>
    <w:rsid w:val="001E761B"/>
    <w:rsid w:val="001E7A47"/>
    <w:rsid w:val="001E7BF8"/>
    <w:rsid w:val="001E7C40"/>
    <w:rsid w:val="001E7DB2"/>
    <w:rsid w:val="001E7DC0"/>
    <w:rsid w:val="001E7DD0"/>
    <w:rsid w:val="001E7F16"/>
    <w:rsid w:val="001F007B"/>
    <w:rsid w:val="001F017C"/>
    <w:rsid w:val="001F01AD"/>
    <w:rsid w:val="001F0211"/>
    <w:rsid w:val="001F024E"/>
    <w:rsid w:val="001F02E1"/>
    <w:rsid w:val="001F0546"/>
    <w:rsid w:val="001F05D8"/>
    <w:rsid w:val="001F05E8"/>
    <w:rsid w:val="001F0737"/>
    <w:rsid w:val="001F0862"/>
    <w:rsid w:val="001F097B"/>
    <w:rsid w:val="001F0981"/>
    <w:rsid w:val="001F0A11"/>
    <w:rsid w:val="001F0A5D"/>
    <w:rsid w:val="001F0A78"/>
    <w:rsid w:val="001F0D22"/>
    <w:rsid w:val="001F0F1D"/>
    <w:rsid w:val="001F1088"/>
    <w:rsid w:val="001F124D"/>
    <w:rsid w:val="001F128C"/>
    <w:rsid w:val="001F13CC"/>
    <w:rsid w:val="001F1429"/>
    <w:rsid w:val="001F163E"/>
    <w:rsid w:val="001F17A3"/>
    <w:rsid w:val="001F1951"/>
    <w:rsid w:val="001F1D83"/>
    <w:rsid w:val="001F1F8A"/>
    <w:rsid w:val="001F20BA"/>
    <w:rsid w:val="001F2125"/>
    <w:rsid w:val="001F2443"/>
    <w:rsid w:val="001F2486"/>
    <w:rsid w:val="001F256D"/>
    <w:rsid w:val="001F284B"/>
    <w:rsid w:val="001F28DF"/>
    <w:rsid w:val="001F2EEC"/>
    <w:rsid w:val="001F314E"/>
    <w:rsid w:val="001F32D3"/>
    <w:rsid w:val="001F35B2"/>
    <w:rsid w:val="001F36A3"/>
    <w:rsid w:val="001F36A5"/>
    <w:rsid w:val="001F383A"/>
    <w:rsid w:val="001F391F"/>
    <w:rsid w:val="001F3AD5"/>
    <w:rsid w:val="001F3CE7"/>
    <w:rsid w:val="001F3D9C"/>
    <w:rsid w:val="001F3F50"/>
    <w:rsid w:val="001F4003"/>
    <w:rsid w:val="001F4019"/>
    <w:rsid w:val="001F43A9"/>
    <w:rsid w:val="001F4484"/>
    <w:rsid w:val="001F4577"/>
    <w:rsid w:val="001F4705"/>
    <w:rsid w:val="001F471B"/>
    <w:rsid w:val="001F478B"/>
    <w:rsid w:val="001F4812"/>
    <w:rsid w:val="001F4AF7"/>
    <w:rsid w:val="001F4B8E"/>
    <w:rsid w:val="001F4CB9"/>
    <w:rsid w:val="001F4F83"/>
    <w:rsid w:val="001F5061"/>
    <w:rsid w:val="001F50F8"/>
    <w:rsid w:val="001F5500"/>
    <w:rsid w:val="001F5618"/>
    <w:rsid w:val="001F59C4"/>
    <w:rsid w:val="001F5B6B"/>
    <w:rsid w:val="001F5C98"/>
    <w:rsid w:val="001F5D14"/>
    <w:rsid w:val="001F5D6C"/>
    <w:rsid w:val="001F5E04"/>
    <w:rsid w:val="001F5E60"/>
    <w:rsid w:val="001F5E81"/>
    <w:rsid w:val="001F5E8F"/>
    <w:rsid w:val="001F5EE5"/>
    <w:rsid w:val="001F632F"/>
    <w:rsid w:val="001F6353"/>
    <w:rsid w:val="001F6411"/>
    <w:rsid w:val="001F646E"/>
    <w:rsid w:val="001F6473"/>
    <w:rsid w:val="001F64EA"/>
    <w:rsid w:val="001F6971"/>
    <w:rsid w:val="001F69CA"/>
    <w:rsid w:val="001F6B27"/>
    <w:rsid w:val="001F6B93"/>
    <w:rsid w:val="001F6C4E"/>
    <w:rsid w:val="001F6DB5"/>
    <w:rsid w:val="001F6E2F"/>
    <w:rsid w:val="001F702F"/>
    <w:rsid w:val="001F7202"/>
    <w:rsid w:val="001F7208"/>
    <w:rsid w:val="001F7416"/>
    <w:rsid w:val="001F7458"/>
    <w:rsid w:val="001F7892"/>
    <w:rsid w:val="001F78F8"/>
    <w:rsid w:val="001F7A27"/>
    <w:rsid w:val="001F7AD9"/>
    <w:rsid w:val="001F7B68"/>
    <w:rsid w:val="001F7C01"/>
    <w:rsid w:val="001F7FA9"/>
    <w:rsid w:val="001F7FE1"/>
    <w:rsid w:val="002003BB"/>
    <w:rsid w:val="00200722"/>
    <w:rsid w:val="002009AA"/>
    <w:rsid w:val="00200B3B"/>
    <w:rsid w:val="00200B97"/>
    <w:rsid w:val="00200C99"/>
    <w:rsid w:val="00200DB2"/>
    <w:rsid w:val="0020104C"/>
    <w:rsid w:val="0020105F"/>
    <w:rsid w:val="00201234"/>
    <w:rsid w:val="00201329"/>
    <w:rsid w:val="0020173F"/>
    <w:rsid w:val="002017B8"/>
    <w:rsid w:val="00201C23"/>
    <w:rsid w:val="00201C85"/>
    <w:rsid w:val="00201CFF"/>
    <w:rsid w:val="00201D68"/>
    <w:rsid w:val="00201DCB"/>
    <w:rsid w:val="00202011"/>
    <w:rsid w:val="00202106"/>
    <w:rsid w:val="00202175"/>
    <w:rsid w:val="0020250D"/>
    <w:rsid w:val="00202599"/>
    <w:rsid w:val="0020265B"/>
    <w:rsid w:val="00202692"/>
    <w:rsid w:val="002027ED"/>
    <w:rsid w:val="00202837"/>
    <w:rsid w:val="0020284C"/>
    <w:rsid w:val="0020287A"/>
    <w:rsid w:val="00202881"/>
    <w:rsid w:val="00202943"/>
    <w:rsid w:val="00202989"/>
    <w:rsid w:val="00202AAE"/>
    <w:rsid w:val="00202B73"/>
    <w:rsid w:val="00202F22"/>
    <w:rsid w:val="00202F4A"/>
    <w:rsid w:val="002030B1"/>
    <w:rsid w:val="0020319B"/>
    <w:rsid w:val="002032F1"/>
    <w:rsid w:val="002033C0"/>
    <w:rsid w:val="00203519"/>
    <w:rsid w:val="0020356F"/>
    <w:rsid w:val="00203670"/>
    <w:rsid w:val="0020371A"/>
    <w:rsid w:val="002037E3"/>
    <w:rsid w:val="002037F5"/>
    <w:rsid w:val="00203814"/>
    <w:rsid w:val="002039DD"/>
    <w:rsid w:val="002039E9"/>
    <w:rsid w:val="00203C94"/>
    <w:rsid w:val="00203EB8"/>
    <w:rsid w:val="00203F58"/>
    <w:rsid w:val="002042FA"/>
    <w:rsid w:val="00204488"/>
    <w:rsid w:val="002045A0"/>
    <w:rsid w:val="00204989"/>
    <w:rsid w:val="00204A39"/>
    <w:rsid w:val="00204A6F"/>
    <w:rsid w:val="00204B5D"/>
    <w:rsid w:val="00204CB1"/>
    <w:rsid w:val="00204CFE"/>
    <w:rsid w:val="00204DBA"/>
    <w:rsid w:val="00204DBE"/>
    <w:rsid w:val="00205082"/>
    <w:rsid w:val="00205513"/>
    <w:rsid w:val="002055AC"/>
    <w:rsid w:val="002057F1"/>
    <w:rsid w:val="00205A91"/>
    <w:rsid w:val="00205C37"/>
    <w:rsid w:val="00205C67"/>
    <w:rsid w:val="00205D89"/>
    <w:rsid w:val="00205EA7"/>
    <w:rsid w:val="00206086"/>
    <w:rsid w:val="0020612A"/>
    <w:rsid w:val="0020625B"/>
    <w:rsid w:val="002063F5"/>
    <w:rsid w:val="00206477"/>
    <w:rsid w:val="002064FA"/>
    <w:rsid w:val="0020651F"/>
    <w:rsid w:val="00206604"/>
    <w:rsid w:val="0020681C"/>
    <w:rsid w:val="002069DB"/>
    <w:rsid w:val="00206B70"/>
    <w:rsid w:val="00206B93"/>
    <w:rsid w:val="00206B9D"/>
    <w:rsid w:val="00206D0E"/>
    <w:rsid w:val="00206F1E"/>
    <w:rsid w:val="00207153"/>
    <w:rsid w:val="00207467"/>
    <w:rsid w:val="00207C76"/>
    <w:rsid w:val="00207F3C"/>
    <w:rsid w:val="00210064"/>
    <w:rsid w:val="002101DD"/>
    <w:rsid w:val="00210573"/>
    <w:rsid w:val="002105B6"/>
    <w:rsid w:val="002109CF"/>
    <w:rsid w:val="00210A83"/>
    <w:rsid w:val="00210C41"/>
    <w:rsid w:val="00210C61"/>
    <w:rsid w:val="00210E3F"/>
    <w:rsid w:val="00211481"/>
    <w:rsid w:val="0021178F"/>
    <w:rsid w:val="002117FC"/>
    <w:rsid w:val="0021188E"/>
    <w:rsid w:val="002119B5"/>
    <w:rsid w:val="00211A6D"/>
    <w:rsid w:val="00211ABD"/>
    <w:rsid w:val="00211B9F"/>
    <w:rsid w:val="00211BEE"/>
    <w:rsid w:val="00211C1A"/>
    <w:rsid w:val="00211CBD"/>
    <w:rsid w:val="00211CE7"/>
    <w:rsid w:val="00211E0C"/>
    <w:rsid w:val="00211F01"/>
    <w:rsid w:val="00212010"/>
    <w:rsid w:val="002124B3"/>
    <w:rsid w:val="002124E4"/>
    <w:rsid w:val="00212682"/>
    <w:rsid w:val="00212752"/>
    <w:rsid w:val="00212770"/>
    <w:rsid w:val="0021286E"/>
    <w:rsid w:val="00212A66"/>
    <w:rsid w:val="00212B9C"/>
    <w:rsid w:val="0021305A"/>
    <w:rsid w:val="0021308D"/>
    <w:rsid w:val="002130C7"/>
    <w:rsid w:val="00213162"/>
    <w:rsid w:val="002137D4"/>
    <w:rsid w:val="0021388B"/>
    <w:rsid w:val="00213AEA"/>
    <w:rsid w:val="00213B71"/>
    <w:rsid w:val="00213D75"/>
    <w:rsid w:val="00214076"/>
    <w:rsid w:val="00214140"/>
    <w:rsid w:val="00214207"/>
    <w:rsid w:val="002142E3"/>
    <w:rsid w:val="002142E8"/>
    <w:rsid w:val="00214322"/>
    <w:rsid w:val="002143B2"/>
    <w:rsid w:val="0021476E"/>
    <w:rsid w:val="00214892"/>
    <w:rsid w:val="00214A3B"/>
    <w:rsid w:val="00214AAE"/>
    <w:rsid w:val="00214B46"/>
    <w:rsid w:val="00214B6B"/>
    <w:rsid w:val="00214E89"/>
    <w:rsid w:val="00214F6E"/>
    <w:rsid w:val="002150FB"/>
    <w:rsid w:val="002153A8"/>
    <w:rsid w:val="002154A4"/>
    <w:rsid w:val="0021554A"/>
    <w:rsid w:val="00215553"/>
    <w:rsid w:val="0021559A"/>
    <w:rsid w:val="0021579E"/>
    <w:rsid w:val="002157E4"/>
    <w:rsid w:val="0021592E"/>
    <w:rsid w:val="00215961"/>
    <w:rsid w:val="0021599B"/>
    <w:rsid w:val="002159DE"/>
    <w:rsid w:val="00215ACA"/>
    <w:rsid w:val="00215C3F"/>
    <w:rsid w:val="00215D1B"/>
    <w:rsid w:val="002160D2"/>
    <w:rsid w:val="00216215"/>
    <w:rsid w:val="00216557"/>
    <w:rsid w:val="00216657"/>
    <w:rsid w:val="002166CE"/>
    <w:rsid w:val="00216724"/>
    <w:rsid w:val="00216816"/>
    <w:rsid w:val="00216A55"/>
    <w:rsid w:val="00216AD2"/>
    <w:rsid w:val="00216B4D"/>
    <w:rsid w:val="00217037"/>
    <w:rsid w:val="0021713B"/>
    <w:rsid w:val="0021725F"/>
    <w:rsid w:val="002172D7"/>
    <w:rsid w:val="002173C1"/>
    <w:rsid w:val="002174F9"/>
    <w:rsid w:val="00217518"/>
    <w:rsid w:val="002177B3"/>
    <w:rsid w:val="002178F1"/>
    <w:rsid w:val="002178FE"/>
    <w:rsid w:val="00217930"/>
    <w:rsid w:val="00217997"/>
    <w:rsid w:val="002179A6"/>
    <w:rsid w:val="00217B31"/>
    <w:rsid w:val="00217B57"/>
    <w:rsid w:val="00217BFE"/>
    <w:rsid w:val="00217D07"/>
    <w:rsid w:val="00217F4F"/>
    <w:rsid w:val="002200A8"/>
    <w:rsid w:val="002200E3"/>
    <w:rsid w:val="002203A8"/>
    <w:rsid w:val="00220428"/>
    <w:rsid w:val="00220642"/>
    <w:rsid w:val="002207EF"/>
    <w:rsid w:val="00220823"/>
    <w:rsid w:val="00220883"/>
    <w:rsid w:val="002208A8"/>
    <w:rsid w:val="002209F3"/>
    <w:rsid w:val="00220AE6"/>
    <w:rsid w:val="00220AFF"/>
    <w:rsid w:val="00220E4E"/>
    <w:rsid w:val="00220F30"/>
    <w:rsid w:val="002212D3"/>
    <w:rsid w:val="0022144A"/>
    <w:rsid w:val="00221748"/>
    <w:rsid w:val="0022184B"/>
    <w:rsid w:val="00221A5B"/>
    <w:rsid w:val="00221B44"/>
    <w:rsid w:val="00221BBD"/>
    <w:rsid w:val="00221CD1"/>
    <w:rsid w:val="00221CF2"/>
    <w:rsid w:val="00221DD0"/>
    <w:rsid w:val="002220EC"/>
    <w:rsid w:val="002224F4"/>
    <w:rsid w:val="00222524"/>
    <w:rsid w:val="002225D7"/>
    <w:rsid w:val="00222A28"/>
    <w:rsid w:val="00222B04"/>
    <w:rsid w:val="00222BC6"/>
    <w:rsid w:val="00222C0E"/>
    <w:rsid w:val="00222D50"/>
    <w:rsid w:val="00222DDB"/>
    <w:rsid w:val="0022310C"/>
    <w:rsid w:val="002233BC"/>
    <w:rsid w:val="0022355B"/>
    <w:rsid w:val="0022357E"/>
    <w:rsid w:val="00223676"/>
    <w:rsid w:val="002236A2"/>
    <w:rsid w:val="0022396D"/>
    <w:rsid w:val="00223A81"/>
    <w:rsid w:val="00223A9C"/>
    <w:rsid w:val="00223AC1"/>
    <w:rsid w:val="00223EB8"/>
    <w:rsid w:val="002241AE"/>
    <w:rsid w:val="00224297"/>
    <w:rsid w:val="002242C6"/>
    <w:rsid w:val="00224417"/>
    <w:rsid w:val="0022444F"/>
    <w:rsid w:val="0022456E"/>
    <w:rsid w:val="00224630"/>
    <w:rsid w:val="00224655"/>
    <w:rsid w:val="002246C4"/>
    <w:rsid w:val="002246DF"/>
    <w:rsid w:val="00224725"/>
    <w:rsid w:val="0022489B"/>
    <w:rsid w:val="00224D79"/>
    <w:rsid w:val="00224E06"/>
    <w:rsid w:val="00224E4A"/>
    <w:rsid w:val="00224F01"/>
    <w:rsid w:val="00225370"/>
    <w:rsid w:val="0022547A"/>
    <w:rsid w:val="00225C35"/>
    <w:rsid w:val="00225D71"/>
    <w:rsid w:val="00225EDE"/>
    <w:rsid w:val="00226087"/>
    <w:rsid w:val="0022616D"/>
    <w:rsid w:val="0022640C"/>
    <w:rsid w:val="0022645D"/>
    <w:rsid w:val="00226480"/>
    <w:rsid w:val="0022668B"/>
    <w:rsid w:val="00226BEC"/>
    <w:rsid w:val="00226D77"/>
    <w:rsid w:val="00226F28"/>
    <w:rsid w:val="00226F9B"/>
    <w:rsid w:val="00227007"/>
    <w:rsid w:val="002271E0"/>
    <w:rsid w:val="00227296"/>
    <w:rsid w:val="002273C9"/>
    <w:rsid w:val="00227560"/>
    <w:rsid w:val="00227568"/>
    <w:rsid w:val="00227630"/>
    <w:rsid w:val="00227792"/>
    <w:rsid w:val="002278E4"/>
    <w:rsid w:val="00227993"/>
    <w:rsid w:val="002279EC"/>
    <w:rsid w:val="00227C5C"/>
    <w:rsid w:val="00230049"/>
    <w:rsid w:val="002300CF"/>
    <w:rsid w:val="0023082C"/>
    <w:rsid w:val="002309E1"/>
    <w:rsid w:val="00230A1F"/>
    <w:rsid w:val="00230AFC"/>
    <w:rsid w:val="00230D7B"/>
    <w:rsid w:val="0023108C"/>
    <w:rsid w:val="0023126E"/>
    <w:rsid w:val="002312E1"/>
    <w:rsid w:val="00231711"/>
    <w:rsid w:val="00231770"/>
    <w:rsid w:val="002317D7"/>
    <w:rsid w:val="002319AF"/>
    <w:rsid w:val="00231EB0"/>
    <w:rsid w:val="00231F0C"/>
    <w:rsid w:val="00231F3E"/>
    <w:rsid w:val="0023201D"/>
    <w:rsid w:val="002320E3"/>
    <w:rsid w:val="0023224D"/>
    <w:rsid w:val="00232305"/>
    <w:rsid w:val="002325E9"/>
    <w:rsid w:val="00232767"/>
    <w:rsid w:val="00232795"/>
    <w:rsid w:val="00232A57"/>
    <w:rsid w:val="00232B3F"/>
    <w:rsid w:val="00232B66"/>
    <w:rsid w:val="00232CC0"/>
    <w:rsid w:val="00232D8E"/>
    <w:rsid w:val="00232DBB"/>
    <w:rsid w:val="00232FA4"/>
    <w:rsid w:val="0023322C"/>
    <w:rsid w:val="0023338D"/>
    <w:rsid w:val="002333A9"/>
    <w:rsid w:val="00233620"/>
    <w:rsid w:val="00233644"/>
    <w:rsid w:val="0023401F"/>
    <w:rsid w:val="0023421E"/>
    <w:rsid w:val="0023435C"/>
    <w:rsid w:val="002345BF"/>
    <w:rsid w:val="002346F8"/>
    <w:rsid w:val="002348D7"/>
    <w:rsid w:val="00234998"/>
    <w:rsid w:val="002349F5"/>
    <w:rsid w:val="00234A03"/>
    <w:rsid w:val="00234A57"/>
    <w:rsid w:val="00234BF4"/>
    <w:rsid w:val="00234C3A"/>
    <w:rsid w:val="00234C89"/>
    <w:rsid w:val="00234CE1"/>
    <w:rsid w:val="00234FC2"/>
    <w:rsid w:val="00234FD9"/>
    <w:rsid w:val="0023521E"/>
    <w:rsid w:val="00235293"/>
    <w:rsid w:val="002352FD"/>
    <w:rsid w:val="0023552E"/>
    <w:rsid w:val="002356CB"/>
    <w:rsid w:val="00235767"/>
    <w:rsid w:val="00235802"/>
    <w:rsid w:val="002358DC"/>
    <w:rsid w:val="002359E5"/>
    <w:rsid w:val="00235B6B"/>
    <w:rsid w:val="00235C78"/>
    <w:rsid w:val="00235CDC"/>
    <w:rsid w:val="00235D08"/>
    <w:rsid w:val="00235E3A"/>
    <w:rsid w:val="00235F20"/>
    <w:rsid w:val="0023605C"/>
    <w:rsid w:val="00236326"/>
    <w:rsid w:val="00236348"/>
    <w:rsid w:val="002364B8"/>
    <w:rsid w:val="0023665C"/>
    <w:rsid w:val="00236665"/>
    <w:rsid w:val="00236754"/>
    <w:rsid w:val="002367B6"/>
    <w:rsid w:val="0023688B"/>
    <w:rsid w:val="00236AF1"/>
    <w:rsid w:val="00236AF3"/>
    <w:rsid w:val="00236B72"/>
    <w:rsid w:val="00236B7F"/>
    <w:rsid w:val="00236C81"/>
    <w:rsid w:val="00236CB7"/>
    <w:rsid w:val="00236CC7"/>
    <w:rsid w:val="00236D2B"/>
    <w:rsid w:val="0023726D"/>
    <w:rsid w:val="00237274"/>
    <w:rsid w:val="00237609"/>
    <w:rsid w:val="00237752"/>
    <w:rsid w:val="00237A27"/>
    <w:rsid w:val="00237B19"/>
    <w:rsid w:val="00237E38"/>
    <w:rsid w:val="00237E40"/>
    <w:rsid w:val="002400BF"/>
    <w:rsid w:val="00240146"/>
    <w:rsid w:val="002403F5"/>
    <w:rsid w:val="002404D9"/>
    <w:rsid w:val="0024059F"/>
    <w:rsid w:val="0024080C"/>
    <w:rsid w:val="00240911"/>
    <w:rsid w:val="00240A84"/>
    <w:rsid w:val="00240ABE"/>
    <w:rsid w:val="00240C29"/>
    <w:rsid w:val="00240D08"/>
    <w:rsid w:val="00241408"/>
    <w:rsid w:val="002414A3"/>
    <w:rsid w:val="002414FE"/>
    <w:rsid w:val="00241691"/>
    <w:rsid w:val="002416DA"/>
    <w:rsid w:val="00241B55"/>
    <w:rsid w:val="00241C60"/>
    <w:rsid w:val="00241C80"/>
    <w:rsid w:val="00241DC9"/>
    <w:rsid w:val="00241DE3"/>
    <w:rsid w:val="00241E15"/>
    <w:rsid w:val="00241F46"/>
    <w:rsid w:val="00241F4E"/>
    <w:rsid w:val="00241F8B"/>
    <w:rsid w:val="00242064"/>
    <w:rsid w:val="002421B4"/>
    <w:rsid w:val="00242209"/>
    <w:rsid w:val="0024225D"/>
    <w:rsid w:val="002423A3"/>
    <w:rsid w:val="002424AB"/>
    <w:rsid w:val="0024258C"/>
    <w:rsid w:val="002425FD"/>
    <w:rsid w:val="00242631"/>
    <w:rsid w:val="00242660"/>
    <w:rsid w:val="00242762"/>
    <w:rsid w:val="0024280E"/>
    <w:rsid w:val="00242950"/>
    <w:rsid w:val="00242A56"/>
    <w:rsid w:val="00242FA8"/>
    <w:rsid w:val="002432E6"/>
    <w:rsid w:val="002432F0"/>
    <w:rsid w:val="00243445"/>
    <w:rsid w:val="00243659"/>
    <w:rsid w:val="002436A6"/>
    <w:rsid w:val="00243723"/>
    <w:rsid w:val="00243729"/>
    <w:rsid w:val="00243754"/>
    <w:rsid w:val="002438FC"/>
    <w:rsid w:val="00243973"/>
    <w:rsid w:val="00243D0C"/>
    <w:rsid w:val="00243D60"/>
    <w:rsid w:val="002440F1"/>
    <w:rsid w:val="00244196"/>
    <w:rsid w:val="00244319"/>
    <w:rsid w:val="00244378"/>
    <w:rsid w:val="002443DE"/>
    <w:rsid w:val="00244473"/>
    <w:rsid w:val="002444E3"/>
    <w:rsid w:val="00244684"/>
    <w:rsid w:val="00244781"/>
    <w:rsid w:val="00244B7D"/>
    <w:rsid w:val="00244E9E"/>
    <w:rsid w:val="00244F4A"/>
    <w:rsid w:val="002450AA"/>
    <w:rsid w:val="002450EB"/>
    <w:rsid w:val="00245306"/>
    <w:rsid w:val="00245491"/>
    <w:rsid w:val="0024570E"/>
    <w:rsid w:val="002457EA"/>
    <w:rsid w:val="002458C4"/>
    <w:rsid w:val="00245989"/>
    <w:rsid w:val="00245B67"/>
    <w:rsid w:val="00245D40"/>
    <w:rsid w:val="00245DA8"/>
    <w:rsid w:val="00245FEB"/>
    <w:rsid w:val="002460E8"/>
    <w:rsid w:val="002462AA"/>
    <w:rsid w:val="00246424"/>
    <w:rsid w:val="00246684"/>
    <w:rsid w:val="00246953"/>
    <w:rsid w:val="00246C2E"/>
    <w:rsid w:val="00246F06"/>
    <w:rsid w:val="00246F3E"/>
    <w:rsid w:val="00246F6B"/>
    <w:rsid w:val="00246FFC"/>
    <w:rsid w:val="0024713D"/>
    <w:rsid w:val="002471E0"/>
    <w:rsid w:val="002472E0"/>
    <w:rsid w:val="0024742A"/>
    <w:rsid w:val="002474BD"/>
    <w:rsid w:val="002475A9"/>
    <w:rsid w:val="00247757"/>
    <w:rsid w:val="002477D7"/>
    <w:rsid w:val="00247918"/>
    <w:rsid w:val="00247AD0"/>
    <w:rsid w:val="00247C00"/>
    <w:rsid w:val="00247C40"/>
    <w:rsid w:val="00247C41"/>
    <w:rsid w:val="0024BB77"/>
    <w:rsid w:val="00250515"/>
    <w:rsid w:val="0025056E"/>
    <w:rsid w:val="002507EC"/>
    <w:rsid w:val="00250884"/>
    <w:rsid w:val="00250CB7"/>
    <w:rsid w:val="00250D4E"/>
    <w:rsid w:val="00251034"/>
    <w:rsid w:val="0025107C"/>
    <w:rsid w:val="00251085"/>
    <w:rsid w:val="00251334"/>
    <w:rsid w:val="00251551"/>
    <w:rsid w:val="002516BD"/>
    <w:rsid w:val="0025182E"/>
    <w:rsid w:val="002518DC"/>
    <w:rsid w:val="00251913"/>
    <w:rsid w:val="00251980"/>
    <w:rsid w:val="00251BD6"/>
    <w:rsid w:val="00251C8F"/>
    <w:rsid w:val="00251E58"/>
    <w:rsid w:val="00251FCB"/>
    <w:rsid w:val="002520DF"/>
    <w:rsid w:val="0025224C"/>
    <w:rsid w:val="002522F9"/>
    <w:rsid w:val="00252678"/>
    <w:rsid w:val="002526CF"/>
    <w:rsid w:val="0025270C"/>
    <w:rsid w:val="0025291A"/>
    <w:rsid w:val="002529AF"/>
    <w:rsid w:val="00252B9B"/>
    <w:rsid w:val="00252CED"/>
    <w:rsid w:val="00252D38"/>
    <w:rsid w:val="00252D65"/>
    <w:rsid w:val="00252E91"/>
    <w:rsid w:val="00253048"/>
    <w:rsid w:val="0025324B"/>
    <w:rsid w:val="00253404"/>
    <w:rsid w:val="00253451"/>
    <w:rsid w:val="00253624"/>
    <w:rsid w:val="002538C6"/>
    <w:rsid w:val="002538CA"/>
    <w:rsid w:val="00253978"/>
    <w:rsid w:val="00253ABD"/>
    <w:rsid w:val="00253AD4"/>
    <w:rsid w:val="00253BC9"/>
    <w:rsid w:val="00253D15"/>
    <w:rsid w:val="00253FD1"/>
    <w:rsid w:val="002540F1"/>
    <w:rsid w:val="002541D5"/>
    <w:rsid w:val="00254305"/>
    <w:rsid w:val="0025459B"/>
    <w:rsid w:val="00254A1A"/>
    <w:rsid w:val="00254C67"/>
    <w:rsid w:val="00254F5C"/>
    <w:rsid w:val="00255323"/>
    <w:rsid w:val="00255353"/>
    <w:rsid w:val="002553F1"/>
    <w:rsid w:val="00255722"/>
    <w:rsid w:val="00255807"/>
    <w:rsid w:val="0025584B"/>
    <w:rsid w:val="00255CFE"/>
    <w:rsid w:val="00255D6C"/>
    <w:rsid w:val="00255E89"/>
    <w:rsid w:val="00255F70"/>
    <w:rsid w:val="0025609B"/>
    <w:rsid w:val="00256217"/>
    <w:rsid w:val="002566D1"/>
    <w:rsid w:val="0025674C"/>
    <w:rsid w:val="00256C2B"/>
    <w:rsid w:val="00256C6A"/>
    <w:rsid w:val="00256CE8"/>
    <w:rsid w:val="00256D9C"/>
    <w:rsid w:val="00257214"/>
    <w:rsid w:val="0025735B"/>
    <w:rsid w:val="00257482"/>
    <w:rsid w:val="00257535"/>
    <w:rsid w:val="00257636"/>
    <w:rsid w:val="00257658"/>
    <w:rsid w:val="002576E9"/>
    <w:rsid w:val="00257708"/>
    <w:rsid w:val="0025783D"/>
    <w:rsid w:val="00257956"/>
    <w:rsid w:val="00257A5C"/>
    <w:rsid w:val="00257A88"/>
    <w:rsid w:val="00257F8D"/>
    <w:rsid w:val="002600D1"/>
    <w:rsid w:val="0026014F"/>
    <w:rsid w:val="0026023F"/>
    <w:rsid w:val="00260430"/>
    <w:rsid w:val="002604CA"/>
    <w:rsid w:val="00260587"/>
    <w:rsid w:val="002606EB"/>
    <w:rsid w:val="00260859"/>
    <w:rsid w:val="0026091C"/>
    <w:rsid w:val="00260A14"/>
    <w:rsid w:val="00260A34"/>
    <w:rsid w:val="00260A3E"/>
    <w:rsid w:val="00260D84"/>
    <w:rsid w:val="00260EE9"/>
    <w:rsid w:val="0026104F"/>
    <w:rsid w:val="0026130A"/>
    <w:rsid w:val="002619AF"/>
    <w:rsid w:val="00261AFC"/>
    <w:rsid w:val="00261CEE"/>
    <w:rsid w:val="00261DDA"/>
    <w:rsid w:val="00261E1A"/>
    <w:rsid w:val="002621F7"/>
    <w:rsid w:val="002622E7"/>
    <w:rsid w:val="00262495"/>
    <w:rsid w:val="00262E48"/>
    <w:rsid w:val="00262EFA"/>
    <w:rsid w:val="002631EA"/>
    <w:rsid w:val="00263200"/>
    <w:rsid w:val="0026352F"/>
    <w:rsid w:val="00263715"/>
    <w:rsid w:val="00263A62"/>
    <w:rsid w:val="00263D13"/>
    <w:rsid w:val="00263E89"/>
    <w:rsid w:val="00264300"/>
    <w:rsid w:val="0026433A"/>
    <w:rsid w:val="002643B9"/>
    <w:rsid w:val="0026441C"/>
    <w:rsid w:val="00264745"/>
    <w:rsid w:val="00264DC3"/>
    <w:rsid w:val="00264DF8"/>
    <w:rsid w:val="00264F5D"/>
    <w:rsid w:val="00265124"/>
    <w:rsid w:val="002651E7"/>
    <w:rsid w:val="0026538E"/>
    <w:rsid w:val="0026542E"/>
    <w:rsid w:val="0026572C"/>
    <w:rsid w:val="0026580B"/>
    <w:rsid w:val="002659A1"/>
    <w:rsid w:val="002659D6"/>
    <w:rsid w:val="00265AA2"/>
    <w:rsid w:val="002661AA"/>
    <w:rsid w:val="0026622D"/>
    <w:rsid w:val="002663F8"/>
    <w:rsid w:val="002664AC"/>
    <w:rsid w:val="002665A4"/>
    <w:rsid w:val="00266742"/>
    <w:rsid w:val="00266850"/>
    <w:rsid w:val="00266A3C"/>
    <w:rsid w:val="00266B59"/>
    <w:rsid w:val="00266D92"/>
    <w:rsid w:val="00267330"/>
    <w:rsid w:val="00267384"/>
    <w:rsid w:val="00267438"/>
    <w:rsid w:val="002674A1"/>
    <w:rsid w:val="0026754E"/>
    <w:rsid w:val="002675D4"/>
    <w:rsid w:val="0026789F"/>
    <w:rsid w:val="00267912"/>
    <w:rsid w:val="00267916"/>
    <w:rsid w:val="00267B07"/>
    <w:rsid w:val="00267BAD"/>
    <w:rsid w:val="00267BC9"/>
    <w:rsid w:val="00267C4A"/>
    <w:rsid w:val="00267F8B"/>
    <w:rsid w:val="00267FAA"/>
    <w:rsid w:val="00267FD5"/>
    <w:rsid w:val="00267FFE"/>
    <w:rsid w:val="00270163"/>
    <w:rsid w:val="002701EE"/>
    <w:rsid w:val="0027021C"/>
    <w:rsid w:val="0027027C"/>
    <w:rsid w:val="0027035D"/>
    <w:rsid w:val="00270455"/>
    <w:rsid w:val="00270642"/>
    <w:rsid w:val="00270951"/>
    <w:rsid w:val="00270F7E"/>
    <w:rsid w:val="00271097"/>
    <w:rsid w:val="002710D0"/>
    <w:rsid w:val="002710FF"/>
    <w:rsid w:val="0027134B"/>
    <w:rsid w:val="0027141A"/>
    <w:rsid w:val="0027173F"/>
    <w:rsid w:val="00271ADF"/>
    <w:rsid w:val="00271CAD"/>
    <w:rsid w:val="0027203C"/>
    <w:rsid w:val="0027209D"/>
    <w:rsid w:val="00272214"/>
    <w:rsid w:val="00272233"/>
    <w:rsid w:val="002722F2"/>
    <w:rsid w:val="00272314"/>
    <w:rsid w:val="00272347"/>
    <w:rsid w:val="002723FB"/>
    <w:rsid w:val="00272802"/>
    <w:rsid w:val="00272AE4"/>
    <w:rsid w:val="00272CBE"/>
    <w:rsid w:val="00272D57"/>
    <w:rsid w:val="00272E00"/>
    <w:rsid w:val="00272E9F"/>
    <w:rsid w:val="002730C9"/>
    <w:rsid w:val="00273452"/>
    <w:rsid w:val="002735A2"/>
    <w:rsid w:val="002736A7"/>
    <w:rsid w:val="00273921"/>
    <w:rsid w:val="00273928"/>
    <w:rsid w:val="00273DCB"/>
    <w:rsid w:val="0027407F"/>
    <w:rsid w:val="002740B3"/>
    <w:rsid w:val="00274233"/>
    <w:rsid w:val="00274264"/>
    <w:rsid w:val="00274350"/>
    <w:rsid w:val="0027481B"/>
    <w:rsid w:val="00274931"/>
    <w:rsid w:val="00274946"/>
    <w:rsid w:val="00274954"/>
    <w:rsid w:val="00274A55"/>
    <w:rsid w:val="00274F13"/>
    <w:rsid w:val="00275069"/>
    <w:rsid w:val="00275317"/>
    <w:rsid w:val="002753EB"/>
    <w:rsid w:val="002754EC"/>
    <w:rsid w:val="00275706"/>
    <w:rsid w:val="0027588F"/>
    <w:rsid w:val="002759CA"/>
    <w:rsid w:val="00275A69"/>
    <w:rsid w:val="00275A92"/>
    <w:rsid w:val="00275B71"/>
    <w:rsid w:val="00275C3A"/>
    <w:rsid w:val="0027616F"/>
    <w:rsid w:val="0027641C"/>
    <w:rsid w:val="00276479"/>
    <w:rsid w:val="002767C1"/>
    <w:rsid w:val="002767F0"/>
    <w:rsid w:val="002767FD"/>
    <w:rsid w:val="002769E0"/>
    <w:rsid w:val="00276AF2"/>
    <w:rsid w:val="00276D78"/>
    <w:rsid w:val="00277068"/>
    <w:rsid w:val="002770F2"/>
    <w:rsid w:val="00277263"/>
    <w:rsid w:val="0027734C"/>
    <w:rsid w:val="002773EF"/>
    <w:rsid w:val="00277404"/>
    <w:rsid w:val="0027740C"/>
    <w:rsid w:val="00277456"/>
    <w:rsid w:val="0027756B"/>
    <w:rsid w:val="002775AF"/>
    <w:rsid w:val="002775C4"/>
    <w:rsid w:val="00277818"/>
    <w:rsid w:val="0027790D"/>
    <w:rsid w:val="0027796F"/>
    <w:rsid w:val="00277999"/>
    <w:rsid w:val="00277B0E"/>
    <w:rsid w:val="00277E08"/>
    <w:rsid w:val="00277E95"/>
    <w:rsid w:val="00277F27"/>
    <w:rsid w:val="00280350"/>
    <w:rsid w:val="002803B2"/>
    <w:rsid w:val="002805FB"/>
    <w:rsid w:val="002805FD"/>
    <w:rsid w:val="00280828"/>
    <w:rsid w:val="00280ACB"/>
    <w:rsid w:val="00280B3D"/>
    <w:rsid w:val="00280C07"/>
    <w:rsid w:val="00280C69"/>
    <w:rsid w:val="00280E0E"/>
    <w:rsid w:val="00280FB5"/>
    <w:rsid w:val="00281138"/>
    <w:rsid w:val="002812AB"/>
    <w:rsid w:val="00281387"/>
    <w:rsid w:val="002813EB"/>
    <w:rsid w:val="0028147A"/>
    <w:rsid w:val="002814E8"/>
    <w:rsid w:val="00281532"/>
    <w:rsid w:val="00281593"/>
    <w:rsid w:val="002815E5"/>
    <w:rsid w:val="002817E0"/>
    <w:rsid w:val="002818D0"/>
    <w:rsid w:val="00281E8F"/>
    <w:rsid w:val="00281EE2"/>
    <w:rsid w:val="00281F63"/>
    <w:rsid w:val="002820BB"/>
    <w:rsid w:val="002821D6"/>
    <w:rsid w:val="002822E5"/>
    <w:rsid w:val="00282382"/>
    <w:rsid w:val="0028258A"/>
    <w:rsid w:val="00282832"/>
    <w:rsid w:val="0028295E"/>
    <w:rsid w:val="00282A5F"/>
    <w:rsid w:val="00282B01"/>
    <w:rsid w:val="00282C62"/>
    <w:rsid w:val="00282D1F"/>
    <w:rsid w:val="00282D35"/>
    <w:rsid w:val="00282D88"/>
    <w:rsid w:val="00282DC2"/>
    <w:rsid w:val="00282F82"/>
    <w:rsid w:val="002830D8"/>
    <w:rsid w:val="00283170"/>
    <w:rsid w:val="00283197"/>
    <w:rsid w:val="00283276"/>
    <w:rsid w:val="002835A6"/>
    <w:rsid w:val="00283740"/>
    <w:rsid w:val="00283753"/>
    <w:rsid w:val="00283821"/>
    <w:rsid w:val="002838EE"/>
    <w:rsid w:val="00283932"/>
    <w:rsid w:val="00283BF3"/>
    <w:rsid w:val="00283D69"/>
    <w:rsid w:val="00283E1C"/>
    <w:rsid w:val="0028406F"/>
    <w:rsid w:val="00284570"/>
    <w:rsid w:val="0028458F"/>
    <w:rsid w:val="0028486F"/>
    <w:rsid w:val="0028490A"/>
    <w:rsid w:val="00284AAA"/>
    <w:rsid w:val="00284AFD"/>
    <w:rsid w:val="00284BA8"/>
    <w:rsid w:val="00284BB3"/>
    <w:rsid w:val="00284E9D"/>
    <w:rsid w:val="00284EAF"/>
    <w:rsid w:val="00284EB7"/>
    <w:rsid w:val="00285261"/>
    <w:rsid w:val="002853DE"/>
    <w:rsid w:val="00285671"/>
    <w:rsid w:val="002856F9"/>
    <w:rsid w:val="002857A4"/>
    <w:rsid w:val="00285881"/>
    <w:rsid w:val="002859D0"/>
    <w:rsid w:val="00285C51"/>
    <w:rsid w:val="00285D78"/>
    <w:rsid w:val="00285EB1"/>
    <w:rsid w:val="00285EEC"/>
    <w:rsid w:val="0028606D"/>
    <w:rsid w:val="00286153"/>
    <w:rsid w:val="0028615B"/>
    <w:rsid w:val="002861DE"/>
    <w:rsid w:val="0028626B"/>
    <w:rsid w:val="00286376"/>
    <w:rsid w:val="00286387"/>
    <w:rsid w:val="0028638C"/>
    <w:rsid w:val="00286B1B"/>
    <w:rsid w:val="00286B45"/>
    <w:rsid w:val="00286BC5"/>
    <w:rsid w:val="00286D8B"/>
    <w:rsid w:val="00286DB1"/>
    <w:rsid w:val="00286F0E"/>
    <w:rsid w:val="0028708E"/>
    <w:rsid w:val="002870FC"/>
    <w:rsid w:val="0028723C"/>
    <w:rsid w:val="00287401"/>
    <w:rsid w:val="0028775B"/>
    <w:rsid w:val="002878A0"/>
    <w:rsid w:val="002878AB"/>
    <w:rsid w:val="00287947"/>
    <w:rsid w:val="00287A7C"/>
    <w:rsid w:val="00287BC6"/>
    <w:rsid w:val="00287C21"/>
    <w:rsid w:val="00287C75"/>
    <w:rsid w:val="00287CCA"/>
    <w:rsid w:val="00287F36"/>
    <w:rsid w:val="00290183"/>
    <w:rsid w:val="00290412"/>
    <w:rsid w:val="002904F9"/>
    <w:rsid w:val="00290599"/>
    <w:rsid w:val="00290719"/>
    <w:rsid w:val="00290994"/>
    <w:rsid w:val="00290B4E"/>
    <w:rsid w:val="00290BDD"/>
    <w:rsid w:val="00290CE2"/>
    <w:rsid w:val="00290DCA"/>
    <w:rsid w:val="0029105F"/>
    <w:rsid w:val="002910F2"/>
    <w:rsid w:val="002912C7"/>
    <w:rsid w:val="00291349"/>
    <w:rsid w:val="00291AD0"/>
    <w:rsid w:val="00291BDF"/>
    <w:rsid w:val="00291D8D"/>
    <w:rsid w:val="00291EC9"/>
    <w:rsid w:val="00291F4F"/>
    <w:rsid w:val="00291F69"/>
    <w:rsid w:val="0029219F"/>
    <w:rsid w:val="0029229B"/>
    <w:rsid w:val="00292309"/>
    <w:rsid w:val="00292471"/>
    <w:rsid w:val="002925F1"/>
    <w:rsid w:val="002925FC"/>
    <w:rsid w:val="0029262F"/>
    <w:rsid w:val="00292669"/>
    <w:rsid w:val="002926A2"/>
    <w:rsid w:val="00292C6F"/>
    <w:rsid w:val="00292D95"/>
    <w:rsid w:val="00292DBC"/>
    <w:rsid w:val="00292E58"/>
    <w:rsid w:val="00292EAB"/>
    <w:rsid w:val="00292F46"/>
    <w:rsid w:val="00292FDC"/>
    <w:rsid w:val="0029342C"/>
    <w:rsid w:val="00293525"/>
    <w:rsid w:val="00293628"/>
    <w:rsid w:val="002936A1"/>
    <w:rsid w:val="002936F7"/>
    <w:rsid w:val="0029373D"/>
    <w:rsid w:val="00293747"/>
    <w:rsid w:val="00293780"/>
    <w:rsid w:val="00293B40"/>
    <w:rsid w:val="00293B73"/>
    <w:rsid w:val="00293B79"/>
    <w:rsid w:val="00293CFD"/>
    <w:rsid w:val="00293D91"/>
    <w:rsid w:val="00293EE3"/>
    <w:rsid w:val="00293F00"/>
    <w:rsid w:val="00294141"/>
    <w:rsid w:val="0029414D"/>
    <w:rsid w:val="0029430A"/>
    <w:rsid w:val="002943D8"/>
    <w:rsid w:val="00294579"/>
    <w:rsid w:val="0029474B"/>
    <w:rsid w:val="00294865"/>
    <w:rsid w:val="002948F7"/>
    <w:rsid w:val="00294950"/>
    <w:rsid w:val="00294DE6"/>
    <w:rsid w:val="00294F71"/>
    <w:rsid w:val="00295028"/>
    <w:rsid w:val="002950A8"/>
    <w:rsid w:val="00295102"/>
    <w:rsid w:val="002953F9"/>
    <w:rsid w:val="00295493"/>
    <w:rsid w:val="00295511"/>
    <w:rsid w:val="002955ED"/>
    <w:rsid w:val="002955FF"/>
    <w:rsid w:val="002957F8"/>
    <w:rsid w:val="002958CD"/>
    <w:rsid w:val="00295BA1"/>
    <w:rsid w:val="00295CD4"/>
    <w:rsid w:val="00295D91"/>
    <w:rsid w:val="00295FD8"/>
    <w:rsid w:val="002961FE"/>
    <w:rsid w:val="0029623C"/>
    <w:rsid w:val="0029644A"/>
    <w:rsid w:val="00296619"/>
    <w:rsid w:val="00296766"/>
    <w:rsid w:val="0029690F"/>
    <w:rsid w:val="00297143"/>
    <w:rsid w:val="0029729A"/>
    <w:rsid w:val="00297397"/>
    <w:rsid w:val="00297A2C"/>
    <w:rsid w:val="00297DBD"/>
    <w:rsid w:val="002A0156"/>
    <w:rsid w:val="002A0385"/>
    <w:rsid w:val="002A046F"/>
    <w:rsid w:val="002A04E6"/>
    <w:rsid w:val="002A04F1"/>
    <w:rsid w:val="002A056B"/>
    <w:rsid w:val="002A0AE5"/>
    <w:rsid w:val="002A0B80"/>
    <w:rsid w:val="002A0D46"/>
    <w:rsid w:val="002A0E44"/>
    <w:rsid w:val="002A11A0"/>
    <w:rsid w:val="002A1232"/>
    <w:rsid w:val="002A144B"/>
    <w:rsid w:val="002A17BB"/>
    <w:rsid w:val="002A17CD"/>
    <w:rsid w:val="002A181E"/>
    <w:rsid w:val="002A18B1"/>
    <w:rsid w:val="002A195F"/>
    <w:rsid w:val="002A1B54"/>
    <w:rsid w:val="002A1BA3"/>
    <w:rsid w:val="002A21D0"/>
    <w:rsid w:val="002A21D6"/>
    <w:rsid w:val="002A223D"/>
    <w:rsid w:val="002A22C2"/>
    <w:rsid w:val="002A22E8"/>
    <w:rsid w:val="002A23E0"/>
    <w:rsid w:val="002A24AF"/>
    <w:rsid w:val="002A25FE"/>
    <w:rsid w:val="002A2617"/>
    <w:rsid w:val="002A26AC"/>
    <w:rsid w:val="002A271C"/>
    <w:rsid w:val="002A274D"/>
    <w:rsid w:val="002A27A5"/>
    <w:rsid w:val="002A281D"/>
    <w:rsid w:val="002A2D83"/>
    <w:rsid w:val="002A31AD"/>
    <w:rsid w:val="002A31FA"/>
    <w:rsid w:val="002A342E"/>
    <w:rsid w:val="002A3446"/>
    <w:rsid w:val="002A34A0"/>
    <w:rsid w:val="002A3781"/>
    <w:rsid w:val="002A39D9"/>
    <w:rsid w:val="002A3A29"/>
    <w:rsid w:val="002A3B0D"/>
    <w:rsid w:val="002A3D50"/>
    <w:rsid w:val="002A3DFA"/>
    <w:rsid w:val="002A3E36"/>
    <w:rsid w:val="002A40D3"/>
    <w:rsid w:val="002A4275"/>
    <w:rsid w:val="002A4290"/>
    <w:rsid w:val="002A43AA"/>
    <w:rsid w:val="002A4583"/>
    <w:rsid w:val="002A45C1"/>
    <w:rsid w:val="002A48DB"/>
    <w:rsid w:val="002A4953"/>
    <w:rsid w:val="002A49F6"/>
    <w:rsid w:val="002A4B09"/>
    <w:rsid w:val="002A505B"/>
    <w:rsid w:val="002A53B4"/>
    <w:rsid w:val="002A5463"/>
    <w:rsid w:val="002A54EA"/>
    <w:rsid w:val="002A5672"/>
    <w:rsid w:val="002A5697"/>
    <w:rsid w:val="002A571F"/>
    <w:rsid w:val="002A5AE3"/>
    <w:rsid w:val="002A5B35"/>
    <w:rsid w:val="002A5D31"/>
    <w:rsid w:val="002A5EEE"/>
    <w:rsid w:val="002A5FD9"/>
    <w:rsid w:val="002A6077"/>
    <w:rsid w:val="002A6234"/>
    <w:rsid w:val="002A62DD"/>
    <w:rsid w:val="002A6383"/>
    <w:rsid w:val="002A6458"/>
    <w:rsid w:val="002A65DC"/>
    <w:rsid w:val="002A6611"/>
    <w:rsid w:val="002A66F5"/>
    <w:rsid w:val="002A66FA"/>
    <w:rsid w:val="002A67FC"/>
    <w:rsid w:val="002A6808"/>
    <w:rsid w:val="002A6903"/>
    <w:rsid w:val="002A6966"/>
    <w:rsid w:val="002A69BC"/>
    <w:rsid w:val="002A6A4E"/>
    <w:rsid w:val="002A6B39"/>
    <w:rsid w:val="002A6B83"/>
    <w:rsid w:val="002A6C41"/>
    <w:rsid w:val="002A70FF"/>
    <w:rsid w:val="002A7259"/>
    <w:rsid w:val="002A7354"/>
    <w:rsid w:val="002A74AE"/>
    <w:rsid w:val="002A74E0"/>
    <w:rsid w:val="002A757F"/>
    <w:rsid w:val="002A7624"/>
    <w:rsid w:val="002A778C"/>
    <w:rsid w:val="002A77C3"/>
    <w:rsid w:val="002A7BF2"/>
    <w:rsid w:val="002A7F4F"/>
    <w:rsid w:val="002B005C"/>
    <w:rsid w:val="002B01BF"/>
    <w:rsid w:val="002B024E"/>
    <w:rsid w:val="002B0590"/>
    <w:rsid w:val="002B05F9"/>
    <w:rsid w:val="002B0D78"/>
    <w:rsid w:val="002B0DE3"/>
    <w:rsid w:val="002B0F15"/>
    <w:rsid w:val="002B0F16"/>
    <w:rsid w:val="002B1099"/>
    <w:rsid w:val="002B1380"/>
    <w:rsid w:val="002B13DF"/>
    <w:rsid w:val="002B14F0"/>
    <w:rsid w:val="002B16C0"/>
    <w:rsid w:val="002B16C9"/>
    <w:rsid w:val="002B1891"/>
    <w:rsid w:val="002B1A12"/>
    <w:rsid w:val="002B1BF0"/>
    <w:rsid w:val="002B1E23"/>
    <w:rsid w:val="002B22EC"/>
    <w:rsid w:val="002B24B3"/>
    <w:rsid w:val="002B24BA"/>
    <w:rsid w:val="002B2585"/>
    <w:rsid w:val="002B2C8A"/>
    <w:rsid w:val="002B2E7F"/>
    <w:rsid w:val="002B2F0B"/>
    <w:rsid w:val="002B2FF2"/>
    <w:rsid w:val="002B30DB"/>
    <w:rsid w:val="002B3351"/>
    <w:rsid w:val="002B344E"/>
    <w:rsid w:val="002B3535"/>
    <w:rsid w:val="002B355C"/>
    <w:rsid w:val="002B356F"/>
    <w:rsid w:val="002B36B7"/>
    <w:rsid w:val="002B370C"/>
    <w:rsid w:val="002B3744"/>
    <w:rsid w:val="002B381D"/>
    <w:rsid w:val="002B3B48"/>
    <w:rsid w:val="002B3BAC"/>
    <w:rsid w:val="002B3ECF"/>
    <w:rsid w:val="002B404C"/>
    <w:rsid w:val="002B404D"/>
    <w:rsid w:val="002B4106"/>
    <w:rsid w:val="002B41A6"/>
    <w:rsid w:val="002B41B4"/>
    <w:rsid w:val="002B41C5"/>
    <w:rsid w:val="002B479E"/>
    <w:rsid w:val="002B47DD"/>
    <w:rsid w:val="002B4818"/>
    <w:rsid w:val="002B488E"/>
    <w:rsid w:val="002B48DD"/>
    <w:rsid w:val="002B4913"/>
    <w:rsid w:val="002B4927"/>
    <w:rsid w:val="002B49E2"/>
    <w:rsid w:val="002B4A0D"/>
    <w:rsid w:val="002B4A7E"/>
    <w:rsid w:val="002B4C5E"/>
    <w:rsid w:val="002B4CDF"/>
    <w:rsid w:val="002B4F70"/>
    <w:rsid w:val="002B5408"/>
    <w:rsid w:val="002B5579"/>
    <w:rsid w:val="002B565E"/>
    <w:rsid w:val="002B5798"/>
    <w:rsid w:val="002B5804"/>
    <w:rsid w:val="002B5909"/>
    <w:rsid w:val="002B5B0B"/>
    <w:rsid w:val="002B5CAE"/>
    <w:rsid w:val="002B5D56"/>
    <w:rsid w:val="002B5DCD"/>
    <w:rsid w:val="002B6073"/>
    <w:rsid w:val="002B610E"/>
    <w:rsid w:val="002B634E"/>
    <w:rsid w:val="002B64C9"/>
    <w:rsid w:val="002B653B"/>
    <w:rsid w:val="002B659E"/>
    <w:rsid w:val="002B6862"/>
    <w:rsid w:val="002B68A3"/>
    <w:rsid w:val="002B68C9"/>
    <w:rsid w:val="002B68E8"/>
    <w:rsid w:val="002B68F5"/>
    <w:rsid w:val="002B6A38"/>
    <w:rsid w:val="002B6B07"/>
    <w:rsid w:val="002B6E00"/>
    <w:rsid w:val="002B6E03"/>
    <w:rsid w:val="002B6F1D"/>
    <w:rsid w:val="002B706F"/>
    <w:rsid w:val="002B7194"/>
    <w:rsid w:val="002B72DA"/>
    <w:rsid w:val="002B742A"/>
    <w:rsid w:val="002B7444"/>
    <w:rsid w:val="002B74C5"/>
    <w:rsid w:val="002B76F6"/>
    <w:rsid w:val="002B7B03"/>
    <w:rsid w:val="002B7DA1"/>
    <w:rsid w:val="002C0129"/>
    <w:rsid w:val="002C016F"/>
    <w:rsid w:val="002C020A"/>
    <w:rsid w:val="002C04F8"/>
    <w:rsid w:val="002C0994"/>
    <w:rsid w:val="002C0AF1"/>
    <w:rsid w:val="002C0AFD"/>
    <w:rsid w:val="002C0B22"/>
    <w:rsid w:val="002C0EF3"/>
    <w:rsid w:val="002C0F58"/>
    <w:rsid w:val="002C0F7C"/>
    <w:rsid w:val="002C124A"/>
    <w:rsid w:val="002C13C8"/>
    <w:rsid w:val="002C13E2"/>
    <w:rsid w:val="002C13E9"/>
    <w:rsid w:val="002C147A"/>
    <w:rsid w:val="002C18EC"/>
    <w:rsid w:val="002C1A68"/>
    <w:rsid w:val="002C1AF6"/>
    <w:rsid w:val="002C1B01"/>
    <w:rsid w:val="002C1BE1"/>
    <w:rsid w:val="002C1CAF"/>
    <w:rsid w:val="002C1DEB"/>
    <w:rsid w:val="002C20AA"/>
    <w:rsid w:val="002C2229"/>
    <w:rsid w:val="002C2270"/>
    <w:rsid w:val="002C2302"/>
    <w:rsid w:val="002C231D"/>
    <w:rsid w:val="002C23C0"/>
    <w:rsid w:val="002C2505"/>
    <w:rsid w:val="002C256E"/>
    <w:rsid w:val="002C2726"/>
    <w:rsid w:val="002C2907"/>
    <w:rsid w:val="002C2BDB"/>
    <w:rsid w:val="002C2C49"/>
    <w:rsid w:val="002C2F9C"/>
    <w:rsid w:val="002C2FD8"/>
    <w:rsid w:val="002C3057"/>
    <w:rsid w:val="002C363F"/>
    <w:rsid w:val="002C3A87"/>
    <w:rsid w:val="002C3C82"/>
    <w:rsid w:val="002C3EC1"/>
    <w:rsid w:val="002C4025"/>
    <w:rsid w:val="002C4048"/>
    <w:rsid w:val="002C487A"/>
    <w:rsid w:val="002C4A5F"/>
    <w:rsid w:val="002C4C8A"/>
    <w:rsid w:val="002C51F5"/>
    <w:rsid w:val="002C53DE"/>
    <w:rsid w:val="002C55A8"/>
    <w:rsid w:val="002C563C"/>
    <w:rsid w:val="002C56CD"/>
    <w:rsid w:val="002C57D8"/>
    <w:rsid w:val="002C57F3"/>
    <w:rsid w:val="002C5810"/>
    <w:rsid w:val="002C5923"/>
    <w:rsid w:val="002C5A0B"/>
    <w:rsid w:val="002C5A48"/>
    <w:rsid w:val="002C5C93"/>
    <w:rsid w:val="002C5EFB"/>
    <w:rsid w:val="002C5F59"/>
    <w:rsid w:val="002C6011"/>
    <w:rsid w:val="002C6044"/>
    <w:rsid w:val="002C612D"/>
    <w:rsid w:val="002C6229"/>
    <w:rsid w:val="002C6466"/>
    <w:rsid w:val="002C64E1"/>
    <w:rsid w:val="002C6636"/>
    <w:rsid w:val="002C6771"/>
    <w:rsid w:val="002C67A9"/>
    <w:rsid w:val="002C6801"/>
    <w:rsid w:val="002C6BC9"/>
    <w:rsid w:val="002C6E39"/>
    <w:rsid w:val="002C6FE1"/>
    <w:rsid w:val="002C71AB"/>
    <w:rsid w:val="002C7242"/>
    <w:rsid w:val="002C73E5"/>
    <w:rsid w:val="002C7421"/>
    <w:rsid w:val="002C74E4"/>
    <w:rsid w:val="002C757B"/>
    <w:rsid w:val="002C7621"/>
    <w:rsid w:val="002C7819"/>
    <w:rsid w:val="002C7C38"/>
    <w:rsid w:val="002C7C83"/>
    <w:rsid w:val="002C7D6C"/>
    <w:rsid w:val="002C7DC2"/>
    <w:rsid w:val="002C7E0A"/>
    <w:rsid w:val="002C7F14"/>
    <w:rsid w:val="002D0060"/>
    <w:rsid w:val="002D00E2"/>
    <w:rsid w:val="002D0109"/>
    <w:rsid w:val="002D033E"/>
    <w:rsid w:val="002D0421"/>
    <w:rsid w:val="002D04C2"/>
    <w:rsid w:val="002D0881"/>
    <w:rsid w:val="002D08AD"/>
    <w:rsid w:val="002D09A4"/>
    <w:rsid w:val="002D0AAF"/>
    <w:rsid w:val="002D0B5D"/>
    <w:rsid w:val="002D0B82"/>
    <w:rsid w:val="002D0CA9"/>
    <w:rsid w:val="002D0E81"/>
    <w:rsid w:val="002D0EB0"/>
    <w:rsid w:val="002D0F24"/>
    <w:rsid w:val="002D10F2"/>
    <w:rsid w:val="002D12B9"/>
    <w:rsid w:val="002D1675"/>
    <w:rsid w:val="002D16D8"/>
    <w:rsid w:val="002D193F"/>
    <w:rsid w:val="002D19D3"/>
    <w:rsid w:val="002D1C69"/>
    <w:rsid w:val="002D1CE6"/>
    <w:rsid w:val="002D1E55"/>
    <w:rsid w:val="002D2016"/>
    <w:rsid w:val="002D2089"/>
    <w:rsid w:val="002D21C2"/>
    <w:rsid w:val="002D22DD"/>
    <w:rsid w:val="002D2399"/>
    <w:rsid w:val="002D274E"/>
    <w:rsid w:val="002D2755"/>
    <w:rsid w:val="002D281B"/>
    <w:rsid w:val="002D2954"/>
    <w:rsid w:val="002D2A07"/>
    <w:rsid w:val="002D2A38"/>
    <w:rsid w:val="002D2A43"/>
    <w:rsid w:val="002D2B14"/>
    <w:rsid w:val="002D2F52"/>
    <w:rsid w:val="002D327B"/>
    <w:rsid w:val="002D3558"/>
    <w:rsid w:val="002D3643"/>
    <w:rsid w:val="002D365B"/>
    <w:rsid w:val="002D3668"/>
    <w:rsid w:val="002D3A32"/>
    <w:rsid w:val="002D3B68"/>
    <w:rsid w:val="002D3D4E"/>
    <w:rsid w:val="002D3DFE"/>
    <w:rsid w:val="002D408B"/>
    <w:rsid w:val="002D4288"/>
    <w:rsid w:val="002D4306"/>
    <w:rsid w:val="002D43A0"/>
    <w:rsid w:val="002D4A28"/>
    <w:rsid w:val="002D4A97"/>
    <w:rsid w:val="002D4AD6"/>
    <w:rsid w:val="002D4C99"/>
    <w:rsid w:val="002D4D8D"/>
    <w:rsid w:val="002D507D"/>
    <w:rsid w:val="002D51F0"/>
    <w:rsid w:val="002D52A9"/>
    <w:rsid w:val="002D559E"/>
    <w:rsid w:val="002D5793"/>
    <w:rsid w:val="002D57E5"/>
    <w:rsid w:val="002D598D"/>
    <w:rsid w:val="002D5BAA"/>
    <w:rsid w:val="002D5C7F"/>
    <w:rsid w:val="002D5E18"/>
    <w:rsid w:val="002D6021"/>
    <w:rsid w:val="002D631D"/>
    <w:rsid w:val="002D63BD"/>
    <w:rsid w:val="002D6530"/>
    <w:rsid w:val="002D6620"/>
    <w:rsid w:val="002D678A"/>
    <w:rsid w:val="002D6807"/>
    <w:rsid w:val="002D6865"/>
    <w:rsid w:val="002D693D"/>
    <w:rsid w:val="002D69B2"/>
    <w:rsid w:val="002D6BCB"/>
    <w:rsid w:val="002D6E67"/>
    <w:rsid w:val="002D6F0B"/>
    <w:rsid w:val="002D6FAE"/>
    <w:rsid w:val="002D71B8"/>
    <w:rsid w:val="002D7590"/>
    <w:rsid w:val="002D7CF1"/>
    <w:rsid w:val="002D7D09"/>
    <w:rsid w:val="002D7E7A"/>
    <w:rsid w:val="002D7E9D"/>
    <w:rsid w:val="002E0136"/>
    <w:rsid w:val="002E014A"/>
    <w:rsid w:val="002E0236"/>
    <w:rsid w:val="002E02C0"/>
    <w:rsid w:val="002E059B"/>
    <w:rsid w:val="002E084C"/>
    <w:rsid w:val="002E087F"/>
    <w:rsid w:val="002E08DA"/>
    <w:rsid w:val="002E094B"/>
    <w:rsid w:val="002E0C50"/>
    <w:rsid w:val="002E0CE1"/>
    <w:rsid w:val="002E0D1D"/>
    <w:rsid w:val="002E0D83"/>
    <w:rsid w:val="002E0E9A"/>
    <w:rsid w:val="002E0ECB"/>
    <w:rsid w:val="002E0F4F"/>
    <w:rsid w:val="002E1048"/>
    <w:rsid w:val="002E106B"/>
    <w:rsid w:val="002E1071"/>
    <w:rsid w:val="002E10C2"/>
    <w:rsid w:val="002E10F8"/>
    <w:rsid w:val="002E1141"/>
    <w:rsid w:val="002E1142"/>
    <w:rsid w:val="002E1317"/>
    <w:rsid w:val="002E1342"/>
    <w:rsid w:val="002E1458"/>
    <w:rsid w:val="002E1633"/>
    <w:rsid w:val="002E1819"/>
    <w:rsid w:val="002E19CB"/>
    <w:rsid w:val="002E1A6E"/>
    <w:rsid w:val="002E1BB9"/>
    <w:rsid w:val="002E1C13"/>
    <w:rsid w:val="002E1DAA"/>
    <w:rsid w:val="002E1E69"/>
    <w:rsid w:val="002E1FE6"/>
    <w:rsid w:val="002E2114"/>
    <w:rsid w:val="002E228C"/>
    <w:rsid w:val="002E23A3"/>
    <w:rsid w:val="002E2506"/>
    <w:rsid w:val="002E2718"/>
    <w:rsid w:val="002E27AF"/>
    <w:rsid w:val="002E2A4A"/>
    <w:rsid w:val="002E2E46"/>
    <w:rsid w:val="002E2EF7"/>
    <w:rsid w:val="002E31C1"/>
    <w:rsid w:val="002E3421"/>
    <w:rsid w:val="002E34CD"/>
    <w:rsid w:val="002E373C"/>
    <w:rsid w:val="002E37EA"/>
    <w:rsid w:val="002E38AC"/>
    <w:rsid w:val="002E3A75"/>
    <w:rsid w:val="002E3F78"/>
    <w:rsid w:val="002E4151"/>
    <w:rsid w:val="002E41AA"/>
    <w:rsid w:val="002E42CF"/>
    <w:rsid w:val="002E4363"/>
    <w:rsid w:val="002E44B0"/>
    <w:rsid w:val="002E484E"/>
    <w:rsid w:val="002E487D"/>
    <w:rsid w:val="002E4982"/>
    <w:rsid w:val="002E4B89"/>
    <w:rsid w:val="002E4CBE"/>
    <w:rsid w:val="002E50F9"/>
    <w:rsid w:val="002E5226"/>
    <w:rsid w:val="002E5496"/>
    <w:rsid w:val="002E5524"/>
    <w:rsid w:val="002E562E"/>
    <w:rsid w:val="002E5795"/>
    <w:rsid w:val="002E5881"/>
    <w:rsid w:val="002E5CB3"/>
    <w:rsid w:val="002E5CFF"/>
    <w:rsid w:val="002E5E51"/>
    <w:rsid w:val="002E64AA"/>
    <w:rsid w:val="002E6648"/>
    <w:rsid w:val="002E665D"/>
    <w:rsid w:val="002E66EE"/>
    <w:rsid w:val="002E670A"/>
    <w:rsid w:val="002E673A"/>
    <w:rsid w:val="002E6AC0"/>
    <w:rsid w:val="002E6C1B"/>
    <w:rsid w:val="002E6F0F"/>
    <w:rsid w:val="002E6F38"/>
    <w:rsid w:val="002E707F"/>
    <w:rsid w:val="002E7269"/>
    <w:rsid w:val="002E72EE"/>
    <w:rsid w:val="002E72FC"/>
    <w:rsid w:val="002E75D1"/>
    <w:rsid w:val="002E7996"/>
    <w:rsid w:val="002E79CA"/>
    <w:rsid w:val="002E7B31"/>
    <w:rsid w:val="002E7E6D"/>
    <w:rsid w:val="002E7F20"/>
    <w:rsid w:val="002E7FB0"/>
    <w:rsid w:val="002F031F"/>
    <w:rsid w:val="002F04ED"/>
    <w:rsid w:val="002F0680"/>
    <w:rsid w:val="002F08FA"/>
    <w:rsid w:val="002F090C"/>
    <w:rsid w:val="002F0A4B"/>
    <w:rsid w:val="002F0AEC"/>
    <w:rsid w:val="002F0B91"/>
    <w:rsid w:val="002F0BE1"/>
    <w:rsid w:val="002F0E0E"/>
    <w:rsid w:val="002F0EC9"/>
    <w:rsid w:val="002F0F55"/>
    <w:rsid w:val="002F1162"/>
    <w:rsid w:val="002F127B"/>
    <w:rsid w:val="002F129F"/>
    <w:rsid w:val="002F12BE"/>
    <w:rsid w:val="002F12DE"/>
    <w:rsid w:val="002F13BA"/>
    <w:rsid w:val="002F1403"/>
    <w:rsid w:val="002F14D4"/>
    <w:rsid w:val="002F1538"/>
    <w:rsid w:val="002F16E9"/>
    <w:rsid w:val="002F1789"/>
    <w:rsid w:val="002F180E"/>
    <w:rsid w:val="002F1889"/>
    <w:rsid w:val="002F1A0D"/>
    <w:rsid w:val="002F1AFD"/>
    <w:rsid w:val="002F1D19"/>
    <w:rsid w:val="002F2314"/>
    <w:rsid w:val="002F23E8"/>
    <w:rsid w:val="002F25C4"/>
    <w:rsid w:val="002F275F"/>
    <w:rsid w:val="002F283B"/>
    <w:rsid w:val="002F284A"/>
    <w:rsid w:val="002F2995"/>
    <w:rsid w:val="002F2996"/>
    <w:rsid w:val="002F2B17"/>
    <w:rsid w:val="002F2C8E"/>
    <w:rsid w:val="002F2E19"/>
    <w:rsid w:val="002F2F6B"/>
    <w:rsid w:val="002F319A"/>
    <w:rsid w:val="002F3302"/>
    <w:rsid w:val="002F33D1"/>
    <w:rsid w:val="002F369B"/>
    <w:rsid w:val="002F3832"/>
    <w:rsid w:val="002F390A"/>
    <w:rsid w:val="002F3AA1"/>
    <w:rsid w:val="002F3C1B"/>
    <w:rsid w:val="002F3CCC"/>
    <w:rsid w:val="002F3F1C"/>
    <w:rsid w:val="002F4060"/>
    <w:rsid w:val="002F4075"/>
    <w:rsid w:val="002F4761"/>
    <w:rsid w:val="002F4892"/>
    <w:rsid w:val="002F48BF"/>
    <w:rsid w:val="002F495E"/>
    <w:rsid w:val="002F49D1"/>
    <w:rsid w:val="002F49E0"/>
    <w:rsid w:val="002F4BDB"/>
    <w:rsid w:val="002F4C88"/>
    <w:rsid w:val="002F4CDB"/>
    <w:rsid w:val="002F4D3F"/>
    <w:rsid w:val="002F4EA8"/>
    <w:rsid w:val="002F5053"/>
    <w:rsid w:val="002F5174"/>
    <w:rsid w:val="002F52A3"/>
    <w:rsid w:val="002F54CC"/>
    <w:rsid w:val="002F57C6"/>
    <w:rsid w:val="002F5881"/>
    <w:rsid w:val="002F58C8"/>
    <w:rsid w:val="002F58CE"/>
    <w:rsid w:val="002F58EE"/>
    <w:rsid w:val="002F59DE"/>
    <w:rsid w:val="002F5B00"/>
    <w:rsid w:val="002F5BE8"/>
    <w:rsid w:val="002F5E8C"/>
    <w:rsid w:val="002F5F6D"/>
    <w:rsid w:val="002F609D"/>
    <w:rsid w:val="002F62C7"/>
    <w:rsid w:val="002F644B"/>
    <w:rsid w:val="002F6BF6"/>
    <w:rsid w:val="002F6D3C"/>
    <w:rsid w:val="002F6DAC"/>
    <w:rsid w:val="002F6E58"/>
    <w:rsid w:val="002F6F29"/>
    <w:rsid w:val="002F6FA0"/>
    <w:rsid w:val="002F741C"/>
    <w:rsid w:val="002F7562"/>
    <w:rsid w:val="002F766B"/>
    <w:rsid w:val="002F7688"/>
    <w:rsid w:val="002F7946"/>
    <w:rsid w:val="002F796F"/>
    <w:rsid w:val="002F7A21"/>
    <w:rsid w:val="002F7AD9"/>
    <w:rsid w:val="002F7E9D"/>
    <w:rsid w:val="002F7EC7"/>
    <w:rsid w:val="002F7F75"/>
    <w:rsid w:val="002FA992"/>
    <w:rsid w:val="0030008C"/>
    <w:rsid w:val="003000A8"/>
    <w:rsid w:val="003001F4"/>
    <w:rsid w:val="003002CC"/>
    <w:rsid w:val="003002ED"/>
    <w:rsid w:val="00300378"/>
    <w:rsid w:val="00300634"/>
    <w:rsid w:val="003007DF"/>
    <w:rsid w:val="0030083B"/>
    <w:rsid w:val="0030087A"/>
    <w:rsid w:val="003009E8"/>
    <w:rsid w:val="00300A1D"/>
    <w:rsid w:val="00300ACE"/>
    <w:rsid w:val="00300CE2"/>
    <w:rsid w:val="00301153"/>
    <w:rsid w:val="00301212"/>
    <w:rsid w:val="00301240"/>
    <w:rsid w:val="0030136A"/>
    <w:rsid w:val="00301493"/>
    <w:rsid w:val="00301574"/>
    <w:rsid w:val="003015C2"/>
    <w:rsid w:val="003015C5"/>
    <w:rsid w:val="003016D5"/>
    <w:rsid w:val="00301BBE"/>
    <w:rsid w:val="00301C85"/>
    <w:rsid w:val="00301D15"/>
    <w:rsid w:val="00301DB2"/>
    <w:rsid w:val="00301E2A"/>
    <w:rsid w:val="0030200C"/>
    <w:rsid w:val="00302075"/>
    <w:rsid w:val="0030218D"/>
    <w:rsid w:val="003024D7"/>
    <w:rsid w:val="003024DD"/>
    <w:rsid w:val="0030277B"/>
    <w:rsid w:val="00302B91"/>
    <w:rsid w:val="00302C41"/>
    <w:rsid w:val="00302E23"/>
    <w:rsid w:val="00302F20"/>
    <w:rsid w:val="0030301F"/>
    <w:rsid w:val="00303050"/>
    <w:rsid w:val="00303058"/>
    <w:rsid w:val="0030327E"/>
    <w:rsid w:val="00303328"/>
    <w:rsid w:val="003035B0"/>
    <w:rsid w:val="00303703"/>
    <w:rsid w:val="0030382A"/>
    <w:rsid w:val="003039D7"/>
    <w:rsid w:val="00303A47"/>
    <w:rsid w:val="00303C38"/>
    <w:rsid w:val="00303DAA"/>
    <w:rsid w:val="00303DE9"/>
    <w:rsid w:val="00303F7A"/>
    <w:rsid w:val="0030404C"/>
    <w:rsid w:val="00304077"/>
    <w:rsid w:val="00304103"/>
    <w:rsid w:val="0030415D"/>
    <w:rsid w:val="003042D4"/>
    <w:rsid w:val="00304616"/>
    <w:rsid w:val="003048CC"/>
    <w:rsid w:val="00304CC8"/>
    <w:rsid w:val="00304E70"/>
    <w:rsid w:val="00304F38"/>
    <w:rsid w:val="00304FC2"/>
    <w:rsid w:val="00305039"/>
    <w:rsid w:val="0030508B"/>
    <w:rsid w:val="00305609"/>
    <w:rsid w:val="00305683"/>
    <w:rsid w:val="00305745"/>
    <w:rsid w:val="003057EB"/>
    <w:rsid w:val="003059E6"/>
    <w:rsid w:val="00305B2F"/>
    <w:rsid w:val="00305DEC"/>
    <w:rsid w:val="003064FB"/>
    <w:rsid w:val="00306828"/>
    <w:rsid w:val="0030698E"/>
    <w:rsid w:val="003069A0"/>
    <w:rsid w:val="00306B00"/>
    <w:rsid w:val="00306B0B"/>
    <w:rsid w:val="00306B97"/>
    <w:rsid w:val="00306B99"/>
    <w:rsid w:val="00306DA0"/>
    <w:rsid w:val="00306E4F"/>
    <w:rsid w:val="003071E8"/>
    <w:rsid w:val="003073A8"/>
    <w:rsid w:val="0030748D"/>
    <w:rsid w:val="00307667"/>
    <w:rsid w:val="00307824"/>
    <w:rsid w:val="0030784E"/>
    <w:rsid w:val="003078D2"/>
    <w:rsid w:val="003079E6"/>
    <w:rsid w:val="00307A8C"/>
    <w:rsid w:val="00307FAD"/>
    <w:rsid w:val="00307FAE"/>
    <w:rsid w:val="00307FCF"/>
    <w:rsid w:val="00310329"/>
    <w:rsid w:val="003105B2"/>
    <w:rsid w:val="003107A9"/>
    <w:rsid w:val="00310D5C"/>
    <w:rsid w:val="00310DA1"/>
    <w:rsid w:val="00310DAB"/>
    <w:rsid w:val="00310DB4"/>
    <w:rsid w:val="00310F49"/>
    <w:rsid w:val="0031106E"/>
    <w:rsid w:val="00311093"/>
    <w:rsid w:val="003111F9"/>
    <w:rsid w:val="0031122E"/>
    <w:rsid w:val="0031150D"/>
    <w:rsid w:val="00311569"/>
    <w:rsid w:val="00311866"/>
    <w:rsid w:val="00311A7F"/>
    <w:rsid w:val="00311B94"/>
    <w:rsid w:val="00311C32"/>
    <w:rsid w:val="00311C66"/>
    <w:rsid w:val="00311CC6"/>
    <w:rsid w:val="00311DF2"/>
    <w:rsid w:val="00311E5F"/>
    <w:rsid w:val="003122C9"/>
    <w:rsid w:val="003123CC"/>
    <w:rsid w:val="00312483"/>
    <w:rsid w:val="00312562"/>
    <w:rsid w:val="00312641"/>
    <w:rsid w:val="00312672"/>
    <w:rsid w:val="0031279D"/>
    <w:rsid w:val="0031283D"/>
    <w:rsid w:val="003128A4"/>
    <w:rsid w:val="003128E2"/>
    <w:rsid w:val="00312979"/>
    <w:rsid w:val="00312B0D"/>
    <w:rsid w:val="00312B68"/>
    <w:rsid w:val="00312BCC"/>
    <w:rsid w:val="00312F3A"/>
    <w:rsid w:val="00313007"/>
    <w:rsid w:val="0031330D"/>
    <w:rsid w:val="003134EB"/>
    <w:rsid w:val="00313542"/>
    <w:rsid w:val="00313577"/>
    <w:rsid w:val="003135CB"/>
    <w:rsid w:val="00313690"/>
    <w:rsid w:val="0031377B"/>
    <w:rsid w:val="003139AD"/>
    <w:rsid w:val="00313AE9"/>
    <w:rsid w:val="0031412B"/>
    <w:rsid w:val="003141F8"/>
    <w:rsid w:val="0031434B"/>
    <w:rsid w:val="003148BB"/>
    <w:rsid w:val="003149B5"/>
    <w:rsid w:val="00314BD8"/>
    <w:rsid w:val="00314C49"/>
    <w:rsid w:val="00314D34"/>
    <w:rsid w:val="00314D3F"/>
    <w:rsid w:val="00315015"/>
    <w:rsid w:val="00315123"/>
    <w:rsid w:val="00315124"/>
    <w:rsid w:val="003151B3"/>
    <w:rsid w:val="003151BC"/>
    <w:rsid w:val="003151E1"/>
    <w:rsid w:val="003152C8"/>
    <w:rsid w:val="00315348"/>
    <w:rsid w:val="0031539E"/>
    <w:rsid w:val="003153B3"/>
    <w:rsid w:val="003154FB"/>
    <w:rsid w:val="003157F3"/>
    <w:rsid w:val="00315884"/>
    <w:rsid w:val="00315946"/>
    <w:rsid w:val="00315F47"/>
    <w:rsid w:val="0031605C"/>
    <w:rsid w:val="003163D7"/>
    <w:rsid w:val="0031653A"/>
    <w:rsid w:val="003165A4"/>
    <w:rsid w:val="003165B5"/>
    <w:rsid w:val="0031686D"/>
    <w:rsid w:val="00316940"/>
    <w:rsid w:val="00316956"/>
    <w:rsid w:val="0031696C"/>
    <w:rsid w:val="0031697A"/>
    <w:rsid w:val="00316AE6"/>
    <w:rsid w:val="00316B91"/>
    <w:rsid w:val="00316D4B"/>
    <w:rsid w:val="00316F51"/>
    <w:rsid w:val="003170C4"/>
    <w:rsid w:val="00317422"/>
    <w:rsid w:val="0031761C"/>
    <w:rsid w:val="0031762F"/>
    <w:rsid w:val="00317730"/>
    <w:rsid w:val="0031776D"/>
    <w:rsid w:val="003177C3"/>
    <w:rsid w:val="00317807"/>
    <w:rsid w:val="00317830"/>
    <w:rsid w:val="0031795C"/>
    <w:rsid w:val="00317983"/>
    <w:rsid w:val="00317F35"/>
    <w:rsid w:val="00320061"/>
    <w:rsid w:val="0032007C"/>
    <w:rsid w:val="00320148"/>
    <w:rsid w:val="003201FA"/>
    <w:rsid w:val="003203B8"/>
    <w:rsid w:val="003204B9"/>
    <w:rsid w:val="0032053F"/>
    <w:rsid w:val="003205C2"/>
    <w:rsid w:val="003205DB"/>
    <w:rsid w:val="00320795"/>
    <w:rsid w:val="00320B00"/>
    <w:rsid w:val="00320B1D"/>
    <w:rsid w:val="00320BB9"/>
    <w:rsid w:val="00320BDC"/>
    <w:rsid w:val="00320E20"/>
    <w:rsid w:val="003210FC"/>
    <w:rsid w:val="003211B2"/>
    <w:rsid w:val="00321278"/>
    <w:rsid w:val="00321290"/>
    <w:rsid w:val="003212B6"/>
    <w:rsid w:val="00321496"/>
    <w:rsid w:val="00321524"/>
    <w:rsid w:val="00321624"/>
    <w:rsid w:val="003218BA"/>
    <w:rsid w:val="00321988"/>
    <w:rsid w:val="00321BB3"/>
    <w:rsid w:val="00321BB4"/>
    <w:rsid w:val="00321BD1"/>
    <w:rsid w:val="00321C65"/>
    <w:rsid w:val="00321DFD"/>
    <w:rsid w:val="00321E92"/>
    <w:rsid w:val="0032208F"/>
    <w:rsid w:val="003220CF"/>
    <w:rsid w:val="00322176"/>
    <w:rsid w:val="003226AA"/>
    <w:rsid w:val="003226F6"/>
    <w:rsid w:val="0032272F"/>
    <w:rsid w:val="0032286B"/>
    <w:rsid w:val="0032294A"/>
    <w:rsid w:val="003229D9"/>
    <w:rsid w:val="003229F7"/>
    <w:rsid w:val="00322CFE"/>
    <w:rsid w:val="00322E8F"/>
    <w:rsid w:val="00322EF6"/>
    <w:rsid w:val="00322F12"/>
    <w:rsid w:val="00322F42"/>
    <w:rsid w:val="0032301B"/>
    <w:rsid w:val="003231A7"/>
    <w:rsid w:val="00323554"/>
    <w:rsid w:val="003237CE"/>
    <w:rsid w:val="00323FD3"/>
    <w:rsid w:val="00324010"/>
    <w:rsid w:val="003240C4"/>
    <w:rsid w:val="0032420F"/>
    <w:rsid w:val="0032464D"/>
    <w:rsid w:val="00324708"/>
    <w:rsid w:val="00324ACA"/>
    <w:rsid w:val="00324B85"/>
    <w:rsid w:val="00324D3A"/>
    <w:rsid w:val="00324D9A"/>
    <w:rsid w:val="003251C4"/>
    <w:rsid w:val="0032538A"/>
    <w:rsid w:val="00325430"/>
    <w:rsid w:val="003254F3"/>
    <w:rsid w:val="003256D4"/>
    <w:rsid w:val="003257F1"/>
    <w:rsid w:val="00325919"/>
    <w:rsid w:val="00325F32"/>
    <w:rsid w:val="00325FBE"/>
    <w:rsid w:val="003265FD"/>
    <w:rsid w:val="00326614"/>
    <w:rsid w:val="0032663F"/>
    <w:rsid w:val="0032665D"/>
    <w:rsid w:val="003268AF"/>
    <w:rsid w:val="00326B71"/>
    <w:rsid w:val="00326CA8"/>
    <w:rsid w:val="00326DC1"/>
    <w:rsid w:val="00326DDE"/>
    <w:rsid w:val="0032702A"/>
    <w:rsid w:val="0032717D"/>
    <w:rsid w:val="003272E0"/>
    <w:rsid w:val="003276D9"/>
    <w:rsid w:val="0032787B"/>
    <w:rsid w:val="00327E21"/>
    <w:rsid w:val="00327EA8"/>
    <w:rsid w:val="00327F9C"/>
    <w:rsid w:val="00330184"/>
    <w:rsid w:val="0033030E"/>
    <w:rsid w:val="003305CF"/>
    <w:rsid w:val="003306B6"/>
    <w:rsid w:val="0033079C"/>
    <w:rsid w:val="003308F8"/>
    <w:rsid w:val="00330A7B"/>
    <w:rsid w:val="00330EAC"/>
    <w:rsid w:val="00330FAD"/>
    <w:rsid w:val="00330FE3"/>
    <w:rsid w:val="0033104F"/>
    <w:rsid w:val="003310B8"/>
    <w:rsid w:val="003311D5"/>
    <w:rsid w:val="0033142D"/>
    <w:rsid w:val="0033148B"/>
    <w:rsid w:val="00331529"/>
    <w:rsid w:val="00331643"/>
    <w:rsid w:val="00331650"/>
    <w:rsid w:val="00331760"/>
    <w:rsid w:val="003317BA"/>
    <w:rsid w:val="00331871"/>
    <w:rsid w:val="00331942"/>
    <w:rsid w:val="00331BF8"/>
    <w:rsid w:val="00331C8D"/>
    <w:rsid w:val="00331CD0"/>
    <w:rsid w:val="00331E28"/>
    <w:rsid w:val="00331E5F"/>
    <w:rsid w:val="0033212D"/>
    <w:rsid w:val="003321E1"/>
    <w:rsid w:val="00332447"/>
    <w:rsid w:val="003324B2"/>
    <w:rsid w:val="00332663"/>
    <w:rsid w:val="003327C1"/>
    <w:rsid w:val="0033288D"/>
    <w:rsid w:val="003328FE"/>
    <w:rsid w:val="00332BFE"/>
    <w:rsid w:val="00332C9D"/>
    <w:rsid w:val="00332CEE"/>
    <w:rsid w:val="00332D14"/>
    <w:rsid w:val="00333023"/>
    <w:rsid w:val="0033323B"/>
    <w:rsid w:val="0033345A"/>
    <w:rsid w:val="0033355B"/>
    <w:rsid w:val="0033371E"/>
    <w:rsid w:val="003338B3"/>
    <w:rsid w:val="00333A93"/>
    <w:rsid w:val="00333AA5"/>
    <w:rsid w:val="00333C8C"/>
    <w:rsid w:val="00333FEA"/>
    <w:rsid w:val="00334170"/>
    <w:rsid w:val="003341BB"/>
    <w:rsid w:val="0033422B"/>
    <w:rsid w:val="003342FD"/>
    <w:rsid w:val="00334786"/>
    <w:rsid w:val="00334815"/>
    <w:rsid w:val="00334876"/>
    <w:rsid w:val="00334A0C"/>
    <w:rsid w:val="00334CEE"/>
    <w:rsid w:val="00334D1E"/>
    <w:rsid w:val="00334E4F"/>
    <w:rsid w:val="00334EE6"/>
    <w:rsid w:val="00335078"/>
    <w:rsid w:val="003353BF"/>
    <w:rsid w:val="00335446"/>
    <w:rsid w:val="003354C5"/>
    <w:rsid w:val="0033558D"/>
    <w:rsid w:val="003356B2"/>
    <w:rsid w:val="00335701"/>
    <w:rsid w:val="003357D9"/>
    <w:rsid w:val="003357EB"/>
    <w:rsid w:val="003359EC"/>
    <w:rsid w:val="00335A96"/>
    <w:rsid w:val="00335AA9"/>
    <w:rsid w:val="00335D2D"/>
    <w:rsid w:val="00335E99"/>
    <w:rsid w:val="0033605C"/>
    <w:rsid w:val="003360EA"/>
    <w:rsid w:val="0033628F"/>
    <w:rsid w:val="00336363"/>
    <w:rsid w:val="00336574"/>
    <w:rsid w:val="003365AA"/>
    <w:rsid w:val="003365DC"/>
    <w:rsid w:val="00336698"/>
    <w:rsid w:val="0033671F"/>
    <w:rsid w:val="00337035"/>
    <w:rsid w:val="00337265"/>
    <w:rsid w:val="00337504"/>
    <w:rsid w:val="00337537"/>
    <w:rsid w:val="00337703"/>
    <w:rsid w:val="00337817"/>
    <w:rsid w:val="0033788E"/>
    <w:rsid w:val="003378B2"/>
    <w:rsid w:val="003379C0"/>
    <w:rsid w:val="003379E3"/>
    <w:rsid w:val="00337C1E"/>
    <w:rsid w:val="00337E14"/>
    <w:rsid w:val="00337EFE"/>
    <w:rsid w:val="00337F92"/>
    <w:rsid w:val="00340293"/>
    <w:rsid w:val="003405BD"/>
    <w:rsid w:val="00340619"/>
    <w:rsid w:val="003406D4"/>
    <w:rsid w:val="003406D6"/>
    <w:rsid w:val="003406DD"/>
    <w:rsid w:val="00340709"/>
    <w:rsid w:val="0034096E"/>
    <w:rsid w:val="003409E1"/>
    <w:rsid w:val="00340D9A"/>
    <w:rsid w:val="00340DD5"/>
    <w:rsid w:val="00340F77"/>
    <w:rsid w:val="00340FD1"/>
    <w:rsid w:val="00341156"/>
    <w:rsid w:val="003411D7"/>
    <w:rsid w:val="00341385"/>
    <w:rsid w:val="00341692"/>
    <w:rsid w:val="0034181C"/>
    <w:rsid w:val="0034214D"/>
    <w:rsid w:val="003421D6"/>
    <w:rsid w:val="00342248"/>
    <w:rsid w:val="003423F0"/>
    <w:rsid w:val="00342545"/>
    <w:rsid w:val="0034258F"/>
    <w:rsid w:val="00342602"/>
    <w:rsid w:val="0034290E"/>
    <w:rsid w:val="00342A43"/>
    <w:rsid w:val="00342D75"/>
    <w:rsid w:val="00342DE6"/>
    <w:rsid w:val="00342F35"/>
    <w:rsid w:val="00342F54"/>
    <w:rsid w:val="00342FA6"/>
    <w:rsid w:val="00342FF5"/>
    <w:rsid w:val="00343003"/>
    <w:rsid w:val="003430EE"/>
    <w:rsid w:val="0034321D"/>
    <w:rsid w:val="003433BC"/>
    <w:rsid w:val="003433BF"/>
    <w:rsid w:val="00343560"/>
    <w:rsid w:val="0034358C"/>
    <w:rsid w:val="00343607"/>
    <w:rsid w:val="00343AEC"/>
    <w:rsid w:val="00343D27"/>
    <w:rsid w:val="00343DD6"/>
    <w:rsid w:val="00343E54"/>
    <w:rsid w:val="00343E9B"/>
    <w:rsid w:val="003442A8"/>
    <w:rsid w:val="00344480"/>
    <w:rsid w:val="003444DB"/>
    <w:rsid w:val="003444F7"/>
    <w:rsid w:val="003444FA"/>
    <w:rsid w:val="003446BA"/>
    <w:rsid w:val="00344A3D"/>
    <w:rsid w:val="00344D32"/>
    <w:rsid w:val="00344E85"/>
    <w:rsid w:val="00345105"/>
    <w:rsid w:val="0034552A"/>
    <w:rsid w:val="00345576"/>
    <w:rsid w:val="003455A3"/>
    <w:rsid w:val="00345784"/>
    <w:rsid w:val="003457B5"/>
    <w:rsid w:val="00345B15"/>
    <w:rsid w:val="00345B69"/>
    <w:rsid w:val="00345C81"/>
    <w:rsid w:val="00346166"/>
    <w:rsid w:val="00346397"/>
    <w:rsid w:val="00346412"/>
    <w:rsid w:val="00346434"/>
    <w:rsid w:val="00346604"/>
    <w:rsid w:val="0034662C"/>
    <w:rsid w:val="0034673D"/>
    <w:rsid w:val="00346780"/>
    <w:rsid w:val="003469AD"/>
    <w:rsid w:val="00346A0B"/>
    <w:rsid w:val="00346A60"/>
    <w:rsid w:val="00346A7D"/>
    <w:rsid w:val="00346AD1"/>
    <w:rsid w:val="00346AEA"/>
    <w:rsid w:val="00346B5C"/>
    <w:rsid w:val="00346E24"/>
    <w:rsid w:val="00347212"/>
    <w:rsid w:val="00347281"/>
    <w:rsid w:val="0034754B"/>
    <w:rsid w:val="00347564"/>
    <w:rsid w:val="00347751"/>
    <w:rsid w:val="003477CF"/>
    <w:rsid w:val="0034783D"/>
    <w:rsid w:val="0034784D"/>
    <w:rsid w:val="00347C1E"/>
    <w:rsid w:val="00347C41"/>
    <w:rsid w:val="00347CA5"/>
    <w:rsid w:val="00347D10"/>
    <w:rsid w:val="00347D5E"/>
    <w:rsid w:val="00347D9F"/>
    <w:rsid w:val="00347E03"/>
    <w:rsid w:val="003502EB"/>
    <w:rsid w:val="00350336"/>
    <w:rsid w:val="00350620"/>
    <w:rsid w:val="00350733"/>
    <w:rsid w:val="003509CA"/>
    <w:rsid w:val="00350DA3"/>
    <w:rsid w:val="00350E80"/>
    <w:rsid w:val="00350E88"/>
    <w:rsid w:val="00350F90"/>
    <w:rsid w:val="00350FFE"/>
    <w:rsid w:val="00351032"/>
    <w:rsid w:val="00351095"/>
    <w:rsid w:val="003510B9"/>
    <w:rsid w:val="00351261"/>
    <w:rsid w:val="00351697"/>
    <w:rsid w:val="00351920"/>
    <w:rsid w:val="00351929"/>
    <w:rsid w:val="00351B52"/>
    <w:rsid w:val="00351BC3"/>
    <w:rsid w:val="00351CDA"/>
    <w:rsid w:val="00352030"/>
    <w:rsid w:val="00352124"/>
    <w:rsid w:val="003522CB"/>
    <w:rsid w:val="003522D0"/>
    <w:rsid w:val="003525CD"/>
    <w:rsid w:val="003525FF"/>
    <w:rsid w:val="00352822"/>
    <w:rsid w:val="00352884"/>
    <w:rsid w:val="00352899"/>
    <w:rsid w:val="003528E5"/>
    <w:rsid w:val="003528F6"/>
    <w:rsid w:val="003529D8"/>
    <w:rsid w:val="00352B7F"/>
    <w:rsid w:val="00352DF7"/>
    <w:rsid w:val="00352E90"/>
    <w:rsid w:val="00352F3D"/>
    <w:rsid w:val="00353211"/>
    <w:rsid w:val="0035340B"/>
    <w:rsid w:val="003535A8"/>
    <w:rsid w:val="00353618"/>
    <w:rsid w:val="00353642"/>
    <w:rsid w:val="0035368F"/>
    <w:rsid w:val="00353764"/>
    <w:rsid w:val="00353923"/>
    <w:rsid w:val="00353B2F"/>
    <w:rsid w:val="00353B70"/>
    <w:rsid w:val="00353D1A"/>
    <w:rsid w:val="00353E45"/>
    <w:rsid w:val="00353F24"/>
    <w:rsid w:val="00354314"/>
    <w:rsid w:val="00354324"/>
    <w:rsid w:val="00354349"/>
    <w:rsid w:val="0035440E"/>
    <w:rsid w:val="00354464"/>
    <w:rsid w:val="003544CE"/>
    <w:rsid w:val="003546DC"/>
    <w:rsid w:val="003546E7"/>
    <w:rsid w:val="0035474E"/>
    <w:rsid w:val="0035499F"/>
    <w:rsid w:val="00354B02"/>
    <w:rsid w:val="00354D14"/>
    <w:rsid w:val="003551F0"/>
    <w:rsid w:val="003552AE"/>
    <w:rsid w:val="00355445"/>
    <w:rsid w:val="003554BA"/>
    <w:rsid w:val="003556DA"/>
    <w:rsid w:val="00355AB0"/>
    <w:rsid w:val="00355BF7"/>
    <w:rsid w:val="00355E3C"/>
    <w:rsid w:val="00355E74"/>
    <w:rsid w:val="003562DF"/>
    <w:rsid w:val="0035658F"/>
    <w:rsid w:val="003566B3"/>
    <w:rsid w:val="00356AFB"/>
    <w:rsid w:val="00356B42"/>
    <w:rsid w:val="00356C1C"/>
    <w:rsid w:val="00356C6D"/>
    <w:rsid w:val="00356E32"/>
    <w:rsid w:val="00357575"/>
    <w:rsid w:val="00357687"/>
    <w:rsid w:val="003576CA"/>
    <w:rsid w:val="00357B24"/>
    <w:rsid w:val="00357DD3"/>
    <w:rsid w:val="00357ED6"/>
    <w:rsid w:val="00357F6F"/>
    <w:rsid w:val="00357FA3"/>
    <w:rsid w:val="0036009F"/>
    <w:rsid w:val="003600FD"/>
    <w:rsid w:val="003603A8"/>
    <w:rsid w:val="00360441"/>
    <w:rsid w:val="0036054D"/>
    <w:rsid w:val="003609B2"/>
    <w:rsid w:val="003609F0"/>
    <w:rsid w:val="00360BB5"/>
    <w:rsid w:val="00360C86"/>
    <w:rsid w:val="00360E3E"/>
    <w:rsid w:val="00360F26"/>
    <w:rsid w:val="00360F36"/>
    <w:rsid w:val="0036115E"/>
    <w:rsid w:val="00361480"/>
    <w:rsid w:val="003614D1"/>
    <w:rsid w:val="003614FD"/>
    <w:rsid w:val="003615AE"/>
    <w:rsid w:val="00361992"/>
    <w:rsid w:val="00361A43"/>
    <w:rsid w:val="00361A93"/>
    <w:rsid w:val="00361D4B"/>
    <w:rsid w:val="00361DD5"/>
    <w:rsid w:val="0036204F"/>
    <w:rsid w:val="0036207A"/>
    <w:rsid w:val="0036207E"/>
    <w:rsid w:val="0036216A"/>
    <w:rsid w:val="00362341"/>
    <w:rsid w:val="00362344"/>
    <w:rsid w:val="0036235C"/>
    <w:rsid w:val="00362398"/>
    <w:rsid w:val="003623C4"/>
    <w:rsid w:val="0036246C"/>
    <w:rsid w:val="003624C7"/>
    <w:rsid w:val="003626B2"/>
    <w:rsid w:val="003627AD"/>
    <w:rsid w:val="00362861"/>
    <w:rsid w:val="00362924"/>
    <w:rsid w:val="00362954"/>
    <w:rsid w:val="003629D5"/>
    <w:rsid w:val="00362C73"/>
    <w:rsid w:val="00362D2E"/>
    <w:rsid w:val="00363179"/>
    <w:rsid w:val="00363180"/>
    <w:rsid w:val="003631AC"/>
    <w:rsid w:val="0036331C"/>
    <w:rsid w:val="003634AB"/>
    <w:rsid w:val="003634B5"/>
    <w:rsid w:val="003635E0"/>
    <w:rsid w:val="003638F3"/>
    <w:rsid w:val="00363A52"/>
    <w:rsid w:val="00363A61"/>
    <w:rsid w:val="00363A82"/>
    <w:rsid w:val="00363AD2"/>
    <w:rsid w:val="00363F5C"/>
    <w:rsid w:val="00364048"/>
    <w:rsid w:val="00364161"/>
    <w:rsid w:val="003641E1"/>
    <w:rsid w:val="00364486"/>
    <w:rsid w:val="003646CD"/>
    <w:rsid w:val="003646E2"/>
    <w:rsid w:val="00364874"/>
    <w:rsid w:val="00364935"/>
    <w:rsid w:val="00364A31"/>
    <w:rsid w:val="00364BDF"/>
    <w:rsid w:val="00364C36"/>
    <w:rsid w:val="00364C45"/>
    <w:rsid w:val="00364CE8"/>
    <w:rsid w:val="00365058"/>
    <w:rsid w:val="0036509D"/>
    <w:rsid w:val="0036511B"/>
    <w:rsid w:val="00365487"/>
    <w:rsid w:val="003658B6"/>
    <w:rsid w:val="00365966"/>
    <w:rsid w:val="00365E35"/>
    <w:rsid w:val="00365EDA"/>
    <w:rsid w:val="00365FDB"/>
    <w:rsid w:val="003662F0"/>
    <w:rsid w:val="003663A8"/>
    <w:rsid w:val="00366419"/>
    <w:rsid w:val="00366786"/>
    <w:rsid w:val="003667BD"/>
    <w:rsid w:val="00366A58"/>
    <w:rsid w:val="00366B37"/>
    <w:rsid w:val="00366BF9"/>
    <w:rsid w:val="00366C25"/>
    <w:rsid w:val="00366DDA"/>
    <w:rsid w:val="00366E91"/>
    <w:rsid w:val="00366EA5"/>
    <w:rsid w:val="00366F15"/>
    <w:rsid w:val="00366F55"/>
    <w:rsid w:val="0036708C"/>
    <w:rsid w:val="00367117"/>
    <w:rsid w:val="00367192"/>
    <w:rsid w:val="00367197"/>
    <w:rsid w:val="003672F7"/>
    <w:rsid w:val="00367360"/>
    <w:rsid w:val="0036736D"/>
    <w:rsid w:val="0036755F"/>
    <w:rsid w:val="00367744"/>
    <w:rsid w:val="00367ACB"/>
    <w:rsid w:val="00367D9D"/>
    <w:rsid w:val="003703D6"/>
    <w:rsid w:val="003704D2"/>
    <w:rsid w:val="003704EB"/>
    <w:rsid w:val="00370787"/>
    <w:rsid w:val="0037085E"/>
    <w:rsid w:val="0037088C"/>
    <w:rsid w:val="00370AED"/>
    <w:rsid w:val="00370D75"/>
    <w:rsid w:val="00370DC3"/>
    <w:rsid w:val="00370DF5"/>
    <w:rsid w:val="0037101C"/>
    <w:rsid w:val="003712B9"/>
    <w:rsid w:val="003712DC"/>
    <w:rsid w:val="003712FC"/>
    <w:rsid w:val="00371430"/>
    <w:rsid w:val="00371471"/>
    <w:rsid w:val="0037148A"/>
    <w:rsid w:val="0037155D"/>
    <w:rsid w:val="00371707"/>
    <w:rsid w:val="0037173C"/>
    <w:rsid w:val="003719B4"/>
    <w:rsid w:val="00371BF0"/>
    <w:rsid w:val="00371CC0"/>
    <w:rsid w:val="00371D7A"/>
    <w:rsid w:val="00371F79"/>
    <w:rsid w:val="003722B0"/>
    <w:rsid w:val="00372300"/>
    <w:rsid w:val="003723DB"/>
    <w:rsid w:val="0037240A"/>
    <w:rsid w:val="00372646"/>
    <w:rsid w:val="003727C5"/>
    <w:rsid w:val="0037286F"/>
    <w:rsid w:val="00372875"/>
    <w:rsid w:val="003728BE"/>
    <w:rsid w:val="00372966"/>
    <w:rsid w:val="00372A48"/>
    <w:rsid w:val="00372C66"/>
    <w:rsid w:val="00372DD0"/>
    <w:rsid w:val="00372E0B"/>
    <w:rsid w:val="00373045"/>
    <w:rsid w:val="003731A7"/>
    <w:rsid w:val="00373292"/>
    <w:rsid w:val="003732DC"/>
    <w:rsid w:val="00373339"/>
    <w:rsid w:val="00373378"/>
    <w:rsid w:val="00373512"/>
    <w:rsid w:val="00373643"/>
    <w:rsid w:val="00373716"/>
    <w:rsid w:val="0037390B"/>
    <w:rsid w:val="00373A11"/>
    <w:rsid w:val="00373B23"/>
    <w:rsid w:val="00373B48"/>
    <w:rsid w:val="00373CA0"/>
    <w:rsid w:val="00373EDE"/>
    <w:rsid w:val="00373EE6"/>
    <w:rsid w:val="00374018"/>
    <w:rsid w:val="0037401C"/>
    <w:rsid w:val="0037409A"/>
    <w:rsid w:val="003740CA"/>
    <w:rsid w:val="00374270"/>
    <w:rsid w:val="00374331"/>
    <w:rsid w:val="0037444E"/>
    <w:rsid w:val="00374594"/>
    <w:rsid w:val="0037468C"/>
    <w:rsid w:val="003747B6"/>
    <w:rsid w:val="003747FF"/>
    <w:rsid w:val="00374806"/>
    <w:rsid w:val="003749AD"/>
    <w:rsid w:val="003749AF"/>
    <w:rsid w:val="00374DAF"/>
    <w:rsid w:val="00374DE5"/>
    <w:rsid w:val="00374E5E"/>
    <w:rsid w:val="00374EFE"/>
    <w:rsid w:val="00374F32"/>
    <w:rsid w:val="00374F38"/>
    <w:rsid w:val="00375214"/>
    <w:rsid w:val="00375244"/>
    <w:rsid w:val="00375347"/>
    <w:rsid w:val="0037545F"/>
    <w:rsid w:val="00375482"/>
    <w:rsid w:val="0037554D"/>
    <w:rsid w:val="00375673"/>
    <w:rsid w:val="00375747"/>
    <w:rsid w:val="003759E2"/>
    <w:rsid w:val="00375AD3"/>
    <w:rsid w:val="00375B08"/>
    <w:rsid w:val="00375B8C"/>
    <w:rsid w:val="00375BC6"/>
    <w:rsid w:val="00375D1C"/>
    <w:rsid w:val="00375E93"/>
    <w:rsid w:val="00376086"/>
    <w:rsid w:val="00376264"/>
    <w:rsid w:val="003764F9"/>
    <w:rsid w:val="00376575"/>
    <w:rsid w:val="00376702"/>
    <w:rsid w:val="0037682B"/>
    <w:rsid w:val="00376844"/>
    <w:rsid w:val="0037690B"/>
    <w:rsid w:val="00376926"/>
    <w:rsid w:val="00376E11"/>
    <w:rsid w:val="00376F54"/>
    <w:rsid w:val="0037725B"/>
    <w:rsid w:val="00377375"/>
    <w:rsid w:val="0037739D"/>
    <w:rsid w:val="00377463"/>
    <w:rsid w:val="003775A1"/>
    <w:rsid w:val="00377622"/>
    <w:rsid w:val="00377632"/>
    <w:rsid w:val="00377799"/>
    <w:rsid w:val="003778F7"/>
    <w:rsid w:val="003779C2"/>
    <w:rsid w:val="00377A0E"/>
    <w:rsid w:val="00377B6E"/>
    <w:rsid w:val="00377D48"/>
    <w:rsid w:val="00380020"/>
    <w:rsid w:val="003800D7"/>
    <w:rsid w:val="00380175"/>
    <w:rsid w:val="003803A0"/>
    <w:rsid w:val="00380493"/>
    <w:rsid w:val="003806B4"/>
    <w:rsid w:val="00380C37"/>
    <w:rsid w:val="00380E45"/>
    <w:rsid w:val="003810C0"/>
    <w:rsid w:val="0038115B"/>
    <w:rsid w:val="00381517"/>
    <w:rsid w:val="003815AD"/>
    <w:rsid w:val="003818EF"/>
    <w:rsid w:val="00381928"/>
    <w:rsid w:val="00381941"/>
    <w:rsid w:val="0038198C"/>
    <w:rsid w:val="003819B5"/>
    <w:rsid w:val="00381A45"/>
    <w:rsid w:val="00381B26"/>
    <w:rsid w:val="00381DCB"/>
    <w:rsid w:val="00381F28"/>
    <w:rsid w:val="00381F85"/>
    <w:rsid w:val="0038211B"/>
    <w:rsid w:val="003823B4"/>
    <w:rsid w:val="003824C4"/>
    <w:rsid w:val="00382616"/>
    <w:rsid w:val="003826C2"/>
    <w:rsid w:val="003827B0"/>
    <w:rsid w:val="00382836"/>
    <w:rsid w:val="00382B66"/>
    <w:rsid w:val="00382E48"/>
    <w:rsid w:val="00383049"/>
    <w:rsid w:val="00383075"/>
    <w:rsid w:val="00383084"/>
    <w:rsid w:val="003830A4"/>
    <w:rsid w:val="0038316B"/>
    <w:rsid w:val="00383180"/>
    <w:rsid w:val="0038336E"/>
    <w:rsid w:val="003833C3"/>
    <w:rsid w:val="00383645"/>
    <w:rsid w:val="003836FE"/>
    <w:rsid w:val="0038370E"/>
    <w:rsid w:val="003837CB"/>
    <w:rsid w:val="003838E7"/>
    <w:rsid w:val="00383B5D"/>
    <w:rsid w:val="00383BF2"/>
    <w:rsid w:val="00383CF5"/>
    <w:rsid w:val="00383D94"/>
    <w:rsid w:val="00383F43"/>
    <w:rsid w:val="00383F71"/>
    <w:rsid w:val="00383FAC"/>
    <w:rsid w:val="00384250"/>
    <w:rsid w:val="0038425B"/>
    <w:rsid w:val="00384342"/>
    <w:rsid w:val="00384368"/>
    <w:rsid w:val="0038439D"/>
    <w:rsid w:val="00384480"/>
    <w:rsid w:val="003847BC"/>
    <w:rsid w:val="00384C9E"/>
    <w:rsid w:val="00384CC4"/>
    <w:rsid w:val="00384E4C"/>
    <w:rsid w:val="00385034"/>
    <w:rsid w:val="003852CE"/>
    <w:rsid w:val="00385364"/>
    <w:rsid w:val="0038568E"/>
    <w:rsid w:val="00385745"/>
    <w:rsid w:val="00385B60"/>
    <w:rsid w:val="00385BDB"/>
    <w:rsid w:val="00385E69"/>
    <w:rsid w:val="00385F6F"/>
    <w:rsid w:val="003861AA"/>
    <w:rsid w:val="0038621D"/>
    <w:rsid w:val="0038671C"/>
    <w:rsid w:val="003868BE"/>
    <w:rsid w:val="003869C2"/>
    <w:rsid w:val="003869F8"/>
    <w:rsid w:val="00386BBE"/>
    <w:rsid w:val="00386C6E"/>
    <w:rsid w:val="00386F0B"/>
    <w:rsid w:val="00386F2F"/>
    <w:rsid w:val="00386F56"/>
    <w:rsid w:val="00387358"/>
    <w:rsid w:val="003874B1"/>
    <w:rsid w:val="003876D4"/>
    <w:rsid w:val="003876D8"/>
    <w:rsid w:val="0038773F"/>
    <w:rsid w:val="00387983"/>
    <w:rsid w:val="00387B20"/>
    <w:rsid w:val="00387DC6"/>
    <w:rsid w:val="00387FB1"/>
    <w:rsid w:val="003900EE"/>
    <w:rsid w:val="003902F0"/>
    <w:rsid w:val="00390380"/>
    <w:rsid w:val="00390470"/>
    <w:rsid w:val="003904BB"/>
    <w:rsid w:val="003904E8"/>
    <w:rsid w:val="00390611"/>
    <w:rsid w:val="003906E1"/>
    <w:rsid w:val="00390716"/>
    <w:rsid w:val="003909DE"/>
    <w:rsid w:val="003909E1"/>
    <w:rsid w:val="00390A50"/>
    <w:rsid w:val="00390B30"/>
    <w:rsid w:val="00390D36"/>
    <w:rsid w:val="00390D3E"/>
    <w:rsid w:val="00390D41"/>
    <w:rsid w:val="00390DB7"/>
    <w:rsid w:val="00390E73"/>
    <w:rsid w:val="00391004"/>
    <w:rsid w:val="003910EE"/>
    <w:rsid w:val="0039125B"/>
    <w:rsid w:val="00391266"/>
    <w:rsid w:val="0039127E"/>
    <w:rsid w:val="003916C4"/>
    <w:rsid w:val="0039185E"/>
    <w:rsid w:val="00391866"/>
    <w:rsid w:val="00391997"/>
    <w:rsid w:val="00391A55"/>
    <w:rsid w:val="00391C79"/>
    <w:rsid w:val="00391F6C"/>
    <w:rsid w:val="00392151"/>
    <w:rsid w:val="00392342"/>
    <w:rsid w:val="00392D46"/>
    <w:rsid w:val="00392E5C"/>
    <w:rsid w:val="00393349"/>
    <w:rsid w:val="00393382"/>
    <w:rsid w:val="0039340F"/>
    <w:rsid w:val="00393437"/>
    <w:rsid w:val="003934DC"/>
    <w:rsid w:val="003935AB"/>
    <w:rsid w:val="00393734"/>
    <w:rsid w:val="0039383A"/>
    <w:rsid w:val="00393B85"/>
    <w:rsid w:val="00393C3E"/>
    <w:rsid w:val="00393C4A"/>
    <w:rsid w:val="00393C73"/>
    <w:rsid w:val="00393E0C"/>
    <w:rsid w:val="00393E10"/>
    <w:rsid w:val="00393E64"/>
    <w:rsid w:val="00393E70"/>
    <w:rsid w:val="00393EDA"/>
    <w:rsid w:val="003941C6"/>
    <w:rsid w:val="0039427C"/>
    <w:rsid w:val="003942A7"/>
    <w:rsid w:val="00394513"/>
    <w:rsid w:val="0039454A"/>
    <w:rsid w:val="003947F1"/>
    <w:rsid w:val="0039484E"/>
    <w:rsid w:val="00394980"/>
    <w:rsid w:val="00394C27"/>
    <w:rsid w:val="00394D2D"/>
    <w:rsid w:val="00394E17"/>
    <w:rsid w:val="00394EAC"/>
    <w:rsid w:val="003951E8"/>
    <w:rsid w:val="003952A9"/>
    <w:rsid w:val="003952C8"/>
    <w:rsid w:val="0039537F"/>
    <w:rsid w:val="003953FA"/>
    <w:rsid w:val="00395437"/>
    <w:rsid w:val="0039554A"/>
    <w:rsid w:val="00395898"/>
    <w:rsid w:val="00395A22"/>
    <w:rsid w:val="00395C74"/>
    <w:rsid w:val="00395E79"/>
    <w:rsid w:val="00395F13"/>
    <w:rsid w:val="00395FA9"/>
    <w:rsid w:val="00396079"/>
    <w:rsid w:val="003961C1"/>
    <w:rsid w:val="0039625E"/>
    <w:rsid w:val="003964EB"/>
    <w:rsid w:val="00396572"/>
    <w:rsid w:val="0039685C"/>
    <w:rsid w:val="00396ACA"/>
    <w:rsid w:val="00396BD0"/>
    <w:rsid w:val="00396EC0"/>
    <w:rsid w:val="0039713F"/>
    <w:rsid w:val="00397351"/>
    <w:rsid w:val="00397515"/>
    <w:rsid w:val="00397958"/>
    <w:rsid w:val="00397A32"/>
    <w:rsid w:val="00397A35"/>
    <w:rsid w:val="00397A5F"/>
    <w:rsid w:val="00397B75"/>
    <w:rsid w:val="00397F93"/>
    <w:rsid w:val="00397FD6"/>
    <w:rsid w:val="003A007E"/>
    <w:rsid w:val="003A008A"/>
    <w:rsid w:val="003A02DD"/>
    <w:rsid w:val="003A03D2"/>
    <w:rsid w:val="003A03FC"/>
    <w:rsid w:val="003A0443"/>
    <w:rsid w:val="003A0DEF"/>
    <w:rsid w:val="003A0E33"/>
    <w:rsid w:val="003A0F82"/>
    <w:rsid w:val="003A1079"/>
    <w:rsid w:val="003A1698"/>
    <w:rsid w:val="003A1729"/>
    <w:rsid w:val="003A1825"/>
    <w:rsid w:val="003A1830"/>
    <w:rsid w:val="003A18B7"/>
    <w:rsid w:val="003A1AF0"/>
    <w:rsid w:val="003A1D84"/>
    <w:rsid w:val="003A1DFD"/>
    <w:rsid w:val="003A20BF"/>
    <w:rsid w:val="003A2141"/>
    <w:rsid w:val="003A2243"/>
    <w:rsid w:val="003A2477"/>
    <w:rsid w:val="003A2583"/>
    <w:rsid w:val="003A2656"/>
    <w:rsid w:val="003A271F"/>
    <w:rsid w:val="003A27A5"/>
    <w:rsid w:val="003A2A1D"/>
    <w:rsid w:val="003A2ADB"/>
    <w:rsid w:val="003A2CF9"/>
    <w:rsid w:val="003A2DC4"/>
    <w:rsid w:val="003A2DF8"/>
    <w:rsid w:val="003A2E0B"/>
    <w:rsid w:val="003A2E45"/>
    <w:rsid w:val="003A2FDE"/>
    <w:rsid w:val="003A3013"/>
    <w:rsid w:val="003A3256"/>
    <w:rsid w:val="003A33B3"/>
    <w:rsid w:val="003A3444"/>
    <w:rsid w:val="003A3649"/>
    <w:rsid w:val="003A368D"/>
    <w:rsid w:val="003A36D2"/>
    <w:rsid w:val="003A3837"/>
    <w:rsid w:val="003A3960"/>
    <w:rsid w:val="003A39F6"/>
    <w:rsid w:val="003A3B7C"/>
    <w:rsid w:val="003A3C49"/>
    <w:rsid w:val="003A3FBE"/>
    <w:rsid w:val="003A41DA"/>
    <w:rsid w:val="003A424E"/>
    <w:rsid w:val="003A44A4"/>
    <w:rsid w:val="003A4526"/>
    <w:rsid w:val="003A47CA"/>
    <w:rsid w:val="003A4B7B"/>
    <w:rsid w:val="003A4C2E"/>
    <w:rsid w:val="003A4CC5"/>
    <w:rsid w:val="003A4DA6"/>
    <w:rsid w:val="003A4FAF"/>
    <w:rsid w:val="003A5094"/>
    <w:rsid w:val="003A509F"/>
    <w:rsid w:val="003A57E4"/>
    <w:rsid w:val="003A5A2F"/>
    <w:rsid w:val="003A5BD2"/>
    <w:rsid w:val="003A5C04"/>
    <w:rsid w:val="003A5CD4"/>
    <w:rsid w:val="003A5E61"/>
    <w:rsid w:val="003A5EB4"/>
    <w:rsid w:val="003A635E"/>
    <w:rsid w:val="003A66E3"/>
    <w:rsid w:val="003A672F"/>
    <w:rsid w:val="003A6790"/>
    <w:rsid w:val="003A687B"/>
    <w:rsid w:val="003A68B8"/>
    <w:rsid w:val="003A69CD"/>
    <w:rsid w:val="003A6ACC"/>
    <w:rsid w:val="003A6B96"/>
    <w:rsid w:val="003A6BED"/>
    <w:rsid w:val="003A6C62"/>
    <w:rsid w:val="003A6CEF"/>
    <w:rsid w:val="003A6DC3"/>
    <w:rsid w:val="003A6EB9"/>
    <w:rsid w:val="003A6F7C"/>
    <w:rsid w:val="003A709B"/>
    <w:rsid w:val="003A75E4"/>
    <w:rsid w:val="003A7736"/>
    <w:rsid w:val="003A790F"/>
    <w:rsid w:val="003A7916"/>
    <w:rsid w:val="003A7979"/>
    <w:rsid w:val="003A7C60"/>
    <w:rsid w:val="003A7C7B"/>
    <w:rsid w:val="003A7D71"/>
    <w:rsid w:val="003A7E54"/>
    <w:rsid w:val="003A7FBF"/>
    <w:rsid w:val="003B01E7"/>
    <w:rsid w:val="003B02CE"/>
    <w:rsid w:val="003B0340"/>
    <w:rsid w:val="003B04D2"/>
    <w:rsid w:val="003B0590"/>
    <w:rsid w:val="003B066A"/>
    <w:rsid w:val="003B084A"/>
    <w:rsid w:val="003B0A04"/>
    <w:rsid w:val="003B0A0A"/>
    <w:rsid w:val="003B0A47"/>
    <w:rsid w:val="003B0A71"/>
    <w:rsid w:val="003B0AB2"/>
    <w:rsid w:val="003B0C23"/>
    <w:rsid w:val="003B0F50"/>
    <w:rsid w:val="003B0FB1"/>
    <w:rsid w:val="003B110B"/>
    <w:rsid w:val="003B110F"/>
    <w:rsid w:val="003B1658"/>
    <w:rsid w:val="003B16C9"/>
    <w:rsid w:val="003B17B3"/>
    <w:rsid w:val="003B2140"/>
    <w:rsid w:val="003B21AE"/>
    <w:rsid w:val="003B2209"/>
    <w:rsid w:val="003B2261"/>
    <w:rsid w:val="003B2263"/>
    <w:rsid w:val="003B2562"/>
    <w:rsid w:val="003B29D3"/>
    <w:rsid w:val="003B2A5D"/>
    <w:rsid w:val="003B2C89"/>
    <w:rsid w:val="003B2CD4"/>
    <w:rsid w:val="003B2E7B"/>
    <w:rsid w:val="003B2F9B"/>
    <w:rsid w:val="003B2FAF"/>
    <w:rsid w:val="003B2FB6"/>
    <w:rsid w:val="003B3110"/>
    <w:rsid w:val="003B31A4"/>
    <w:rsid w:val="003B320A"/>
    <w:rsid w:val="003B33B7"/>
    <w:rsid w:val="003B344E"/>
    <w:rsid w:val="003B3576"/>
    <w:rsid w:val="003B37B6"/>
    <w:rsid w:val="003B389A"/>
    <w:rsid w:val="003B3953"/>
    <w:rsid w:val="003B39AC"/>
    <w:rsid w:val="003B3B41"/>
    <w:rsid w:val="003B3B65"/>
    <w:rsid w:val="003B3B70"/>
    <w:rsid w:val="003B3B81"/>
    <w:rsid w:val="003B41C7"/>
    <w:rsid w:val="003B4243"/>
    <w:rsid w:val="003B4381"/>
    <w:rsid w:val="003B43FE"/>
    <w:rsid w:val="003B4646"/>
    <w:rsid w:val="003B46C3"/>
    <w:rsid w:val="003B48BA"/>
    <w:rsid w:val="003B4AD3"/>
    <w:rsid w:val="003B4C72"/>
    <w:rsid w:val="003B4C7D"/>
    <w:rsid w:val="003B4DF6"/>
    <w:rsid w:val="003B4E74"/>
    <w:rsid w:val="003B4EDC"/>
    <w:rsid w:val="003B4F04"/>
    <w:rsid w:val="003B4F12"/>
    <w:rsid w:val="003B4F3E"/>
    <w:rsid w:val="003B501C"/>
    <w:rsid w:val="003B502C"/>
    <w:rsid w:val="003B50E1"/>
    <w:rsid w:val="003B545B"/>
    <w:rsid w:val="003B548A"/>
    <w:rsid w:val="003B5694"/>
    <w:rsid w:val="003B57A4"/>
    <w:rsid w:val="003B5988"/>
    <w:rsid w:val="003B5B9D"/>
    <w:rsid w:val="003B5BC6"/>
    <w:rsid w:val="003B5D19"/>
    <w:rsid w:val="003B5D24"/>
    <w:rsid w:val="003B5DBC"/>
    <w:rsid w:val="003B5F47"/>
    <w:rsid w:val="003B605E"/>
    <w:rsid w:val="003B6145"/>
    <w:rsid w:val="003B6163"/>
    <w:rsid w:val="003B61CA"/>
    <w:rsid w:val="003B6228"/>
    <w:rsid w:val="003B62A9"/>
    <w:rsid w:val="003B64BD"/>
    <w:rsid w:val="003B6594"/>
    <w:rsid w:val="003B66C6"/>
    <w:rsid w:val="003B688F"/>
    <w:rsid w:val="003B68BC"/>
    <w:rsid w:val="003B6938"/>
    <w:rsid w:val="003B6B0C"/>
    <w:rsid w:val="003B6E86"/>
    <w:rsid w:val="003B6F73"/>
    <w:rsid w:val="003B7528"/>
    <w:rsid w:val="003B7EFE"/>
    <w:rsid w:val="003B7F66"/>
    <w:rsid w:val="003C000E"/>
    <w:rsid w:val="003C00C7"/>
    <w:rsid w:val="003C00E9"/>
    <w:rsid w:val="003C01BA"/>
    <w:rsid w:val="003C0439"/>
    <w:rsid w:val="003C0698"/>
    <w:rsid w:val="003C072E"/>
    <w:rsid w:val="003C08C0"/>
    <w:rsid w:val="003C0AE8"/>
    <w:rsid w:val="003C0E37"/>
    <w:rsid w:val="003C0F1F"/>
    <w:rsid w:val="003C1259"/>
    <w:rsid w:val="003C1270"/>
    <w:rsid w:val="003C134D"/>
    <w:rsid w:val="003C13B7"/>
    <w:rsid w:val="003C1690"/>
    <w:rsid w:val="003C1754"/>
    <w:rsid w:val="003C17DD"/>
    <w:rsid w:val="003C1875"/>
    <w:rsid w:val="003C1ACA"/>
    <w:rsid w:val="003C1C3C"/>
    <w:rsid w:val="003C1EE7"/>
    <w:rsid w:val="003C20A3"/>
    <w:rsid w:val="003C20D0"/>
    <w:rsid w:val="003C240D"/>
    <w:rsid w:val="003C259F"/>
    <w:rsid w:val="003C2764"/>
    <w:rsid w:val="003C2812"/>
    <w:rsid w:val="003C29A8"/>
    <w:rsid w:val="003C29C4"/>
    <w:rsid w:val="003C2BF8"/>
    <w:rsid w:val="003C2D0A"/>
    <w:rsid w:val="003C2DDF"/>
    <w:rsid w:val="003C2E59"/>
    <w:rsid w:val="003C2EE4"/>
    <w:rsid w:val="003C3007"/>
    <w:rsid w:val="003C310C"/>
    <w:rsid w:val="003C3279"/>
    <w:rsid w:val="003C33F9"/>
    <w:rsid w:val="003C368F"/>
    <w:rsid w:val="003C38B2"/>
    <w:rsid w:val="003C390C"/>
    <w:rsid w:val="003C3924"/>
    <w:rsid w:val="003C3B63"/>
    <w:rsid w:val="003C3D29"/>
    <w:rsid w:val="003C3E7F"/>
    <w:rsid w:val="003C3FE2"/>
    <w:rsid w:val="003C427D"/>
    <w:rsid w:val="003C462A"/>
    <w:rsid w:val="003C493A"/>
    <w:rsid w:val="003C4AB2"/>
    <w:rsid w:val="003C4AC3"/>
    <w:rsid w:val="003C4B9E"/>
    <w:rsid w:val="003C4E0A"/>
    <w:rsid w:val="003C51A6"/>
    <w:rsid w:val="003C52F9"/>
    <w:rsid w:val="003C531D"/>
    <w:rsid w:val="003C5416"/>
    <w:rsid w:val="003C5647"/>
    <w:rsid w:val="003C56C2"/>
    <w:rsid w:val="003C56C7"/>
    <w:rsid w:val="003C5775"/>
    <w:rsid w:val="003C5AEE"/>
    <w:rsid w:val="003C608F"/>
    <w:rsid w:val="003C61F7"/>
    <w:rsid w:val="003C631B"/>
    <w:rsid w:val="003C6388"/>
    <w:rsid w:val="003C6563"/>
    <w:rsid w:val="003C660B"/>
    <w:rsid w:val="003C665F"/>
    <w:rsid w:val="003C66AE"/>
    <w:rsid w:val="003C66BD"/>
    <w:rsid w:val="003C676A"/>
    <w:rsid w:val="003C6866"/>
    <w:rsid w:val="003C6908"/>
    <w:rsid w:val="003C6A38"/>
    <w:rsid w:val="003C6B49"/>
    <w:rsid w:val="003C70A5"/>
    <w:rsid w:val="003C713F"/>
    <w:rsid w:val="003C753B"/>
    <w:rsid w:val="003C799F"/>
    <w:rsid w:val="003C7A8B"/>
    <w:rsid w:val="003C7BB8"/>
    <w:rsid w:val="003D0167"/>
    <w:rsid w:val="003D028A"/>
    <w:rsid w:val="003D036A"/>
    <w:rsid w:val="003D03B8"/>
    <w:rsid w:val="003D0482"/>
    <w:rsid w:val="003D056C"/>
    <w:rsid w:val="003D0729"/>
    <w:rsid w:val="003D093C"/>
    <w:rsid w:val="003D09CE"/>
    <w:rsid w:val="003D0D3A"/>
    <w:rsid w:val="003D0D85"/>
    <w:rsid w:val="003D0E27"/>
    <w:rsid w:val="003D0F48"/>
    <w:rsid w:val="003D0F8C"/>
    <w:rsid w:val="003D106B"/>
    <w:rsid w:val="003D120E"/>
    <w:rsid w:val="003D1222"/>
    <w:rsid w:val="003D154B"/>
    <w:rsid w:val="003D199A"/>
    <w:rsid w:val="003D1A71"/>
    <w:rsid w:val="003D1BC4"/>
    <w:rsid w:val="003D1DEE"/>
    <w:rsid w:val="003D1EF0"/>
    <w:rsid w:val="003D2056"/>
    <w:rsid w:val="003D213B"/>
    <w:rsid w:val="003D229A"/>
    <w:rsid w:val="003D2431"/>
    <w:rsid w:val="003D2962"/>
    <w:rsid w:val="003D31D9"/>
    <w:rsid w:val="003D333D"/>
    <w:rsid w:val="003D353B"/>
    <w:rsid w:val="003D3622"/>
    <w:rsid w:val="003D3850"/>
    <w:rsid w:val="003D3908"/>
    <w:rsid w:val="003D399A"/>
    <w:rsid w:val="003D3B3C"/>
    <w:rsid w:val="003D3BB4"/>
    <w:rsid w:val="003D3BB6"/>
    <w:rsid w:val="003D3DA4"/>
    <w:rsid w:val="003D3EC4"/>
    <w:rsid w:val="003D406F"/>
    <w:rsid w:val="003D410A"/>
    <w:rsid w:val="003D4241"/>
    <w:rsid w:val="003D43C3"/>
    <w:rsid w:val="003D446B"/>
    <w:rsid w:val="003D450E"/>
    <w:rsid w:val="003D460D"/>
    <w:rsid w:val="003D4A44"/>
    <w:rsid w:val="003D4B15"/>
    <w:rsid w:val="003D4BD1"/>
    <w:rsid w:val="003D4BDC"/>
    <w:rsid w:val="003D4E1F"/>
    <w:rsid w:val="003D4E6E"/>
    <w:rsid w:val="003D519D"/>
    <w:rsid w:val="003D5481"/>
    <w:rsid w:val="003D551A"/>
    <w:rsid w:val="003D5721"/>
    <w:rsid w:val="003D59F4"/>
    <w:rsid w:val="003D5A00"/>
    <w:rsid w:val="003D5AB3"/>
    <w:rsid w:val="003D5C40"/>
    <w:rsid w:val="003D5D3D"/>
    <w:rsid w:val="003D5DC8"/>
    <w:rsid w:val="003D5DCF"/>
    <w:rsid w:val="003D5E26"/>
    <w:rsid w:val="003D5E32"/>
    <w:rsid w:val="003D5EE3"/>
    <w:rsid w:val="003D609B"/>
    <w:rsid w:val="003D63C5"/>
    <w:rsid w:val="003D6437"/>
    <w:rsid w:val="003D6494"/>
    <w:rsid w:val="003D6532"/>
    <w:rsid w:val="003D665A"/>
    <w:rsid w:val="003D66B5"/>
    <w:rsid w:val="003D66BA"/>
    <w:rsid w:val="003D678F"/>
    <w:rsid w:val="003D6793"/>
    <w:rsid w:val="003D698B"/>
    <w:rsid w:val="003D6A1F"/>
    <w:rsid w:val="003D6A2A"/>
    <w:rsid w:val="003D6E89"/>
    <w:rsid w:val="003D6ECC"/>
    <w:rsid w:val="003D700C"/>
    <w:rsid w:val="003D71DF"/>
    <w:rsid w:val="003D74E2"/>
    <w:rsid w:val="003D7640"/>
    <w:rsid w:val="003D770F"/>
    <w:rsid w:val="003D77D5"/>
    <w:rsid w:val="003D7899"/>
    <w:rsid w:val="003D7904"/>
    <w:rsid w:val="003D791E"/>
    <w:rsid w:val="003D79FD"/>
    <w:rsid w:val="003D7DC0"/>
    <w:rsid w:val="003D7E4C"/>
    <w:rsid w:val="003D7F4E"/>
    <w:rsid w:val="003DA927"/>
    <w:rsid w:val="003E0262"/>
    <w:rsid w:val="003E0395"/>
    <w:rsid w:val="003E03CC"/>
    <w:rsid w:val="003E0C16"/>
    <w:rsid w:val="003E1287"/>
    <w:rsid w:val="003E1306"/>
    <w:rsid w:val="003E14AE"/>
    <w:rsid w:val="003E15C5"/>
    <w:rsid w:val="003E1639"/>
    <w:rsid w:val="003E16CB"/>
    <w:rsid w:val="003E17A3"/>
    <w:rsid w:val="003E18BA"/>
    <w:rsid w:val="003E19F6"/>
    <w:rsid w:val="003E2202"/>
    <w:rsid w:val="003E24E8"/>
    <w:rsid w:val="003E28A2"/>
    <w:rsid w:val="003E2A31"/>
    <w:rsid w:val="003E2C92"/>
    <w:rsid w:val="003E2D58"/>
    <w:rsid w:val="003E2F8B"/>
    <w:rsid w:val="003E3089"/>
    <w:rsid w:val="003E33C1"/>
    <w:rsid w:val="003E366E"/>
    <w:rsid w:val="003E3918"/>
    <w:rsid w:val="003E3931"/>
    <w:rsid w:val="003E39FC"/>
    <w:rsid w:val="003E3A0E"/>
    <w:rsid w:val="003E3B83"/>
    <w:rsid w:val="003E3BD3"/>
    <w:rsid w:val="003E3C5C"/>
    <w:rsid w:val="003E3E8D"/>
    <w:rsid w:val="003E4054"/>
    <w:rsid w:val="003E41B5"/>
    <w:rsid w:val="003E4234"/>
    <w:rsid w:val="003E47B0"/>
    <w:rsid w:val="003E49DC"/>
    <w:rsid w:val="003E4B38"/>
    <w:rsid w:val="003E4B7F"/>
    <w:rsid w:val="003E4DD5"/>
    <w:rsid w:val="003E4E2F"/>
    <w:rsid w:val="003E4EC9"/>
    <w:rsid w:val="003E4ED0"/>
    <w:rsid w:val="003E4EE2"/>
    <w:rsid w:val="003E4F0A"/>
    <w:rsid w:val="003E4F4D"/>
    <w:rsid w:val="003E5138"/>
    <w:rsid w:val="003E5163"/>
    <w:rsid w:val="003E51CC"/>
    <w:rsid w:val="003E51F1"/>
    <w:rsid w:val="003E52D4"/>
    <w:rsid w:val="003E53E0"/>
    <w:rsid w:val="003E5576"/>
    <w:rsid w:val="003E559C"/>
    <w:rsid w:val="003E5799"/>
    <w:rsid w:val="003E58A7"/>
    <w:rsid w:val="003E5951"/>
    <w:rsid w:val="003E5BBB"/>
    <w:rsid w:val="003E6045"/>
    <w:rsid w:val="003E606C"/>
    <w:rsid w:val="003E607E"/>
    <w:rsid w:val="003E6151"/>
    <w:rsid w:val="003E62FD"/>
    <w:rsid w:val="003E64E9"/>
    <w:rsid w:val="003E6580"/>
    <w:rsid w:val="003E65C2"/>
    <w:rsid w:val="003E65E1"/>
    <w:rsid w:val="003E6673"/>
    <w:rsid w:val="003E66BB"/>
    <w:rsid w:val="003E6779"/>
    <w:rsid w:val="003E67F6"/>
    <w:rsid w:val="003E6968"/>
    <w:rsid w:val="003E6B08"/>
    <w:rsid w:val="003E6D13"/>
    <w:rsid w:val="003E7049"/>
    <w:rsid w:val="003E717D"/>
    <w:rsid w:val="003E71DA"/>
    <w:rsid w:val="003E71F9"/>
    <w:rsid w:val="003E753E"/>
    <w:rsid w:val="003E7568"/>
    <w:rsid w:val="003E7650"/>
    <w:rsid w:val="003E7657"/>
    <w:rsid w:val="003E7678"/>
    <w:rsid w:val="003E7D1A"/>
    <w:rsid w:val="003E7D50"/>
    <w:rsid w:val="003E7E8D"/>
    <w:rsid w:val="003E7F06"/>
    <w:rsid w:val="003E7F8D"/>
    <w:rsid w:val="003F0104"/>
    <w:rsid w:val="003F01E7"/>
    <w:rsid w:val="003F0233"/>
    <w:rsid w:val="003F0254"/>
    <w:rsid w:val="003F033F"/>
    <w:rsid w:val="003F07A3"/>
    <w:rsid w:val="003F093A"/>
    <w:rsid w:val="003F09B8"/>
    <w:rsid w:val="003F0CE2"/>
    <w:rsid w:val="003F0DFB"/>
    <w:rsid w:val="003F0E80"/>
    <w:rsid w:val="003F0F55"/>
    <w:rsid w:val="003F0F66"/>
    <w:rsid w:val="003F0F89"/>
    <w:rsid w:val="003F1290"/>
    <w:rsid w:val="003F1361"/>
    <w:rsid w:val="003F149E"/>
    <w:rsid w:val="003F155B"/>
    <w:rsid w:val="003F17BC"/>
    <w:rsid w:val="003F1A7F"/>
    <w:rsid w:val="003F1A96"/>
    <w:rsid w:val="003F1ADD"/>
    <w:rsid w:val="003F1B55"/>
    <w:rsid w:val="003F1C61"/>
    <w:rsid w:val="003F1E7A"/>
    <w:rsid w:val="003F1ECD"/>
    <w:rsid w:val="003F20D1"/>
    <w:rsid w:val="003F211F"/>
    <w:rsid w:val="003F21A0"/>
    <w:rsid w:val="003F2510"/>
    <w:rsid w:val="003F253E"/>
    <w:rsid w:val="003F27D1"/>
    <w:rsid w:val="003F283A"/>
    <w:rsid w:val="003F29A7"/>
    <w:rsid w:val="003F2A44"/>
    <w:rsid w:val="003F2B76"/>
    <w:rsid w:val="003F2DD2"/>
    <w:rsid w:val="003F2FCE"/>
    <w:rsid w:val="003F308A"/>
    <w:rsid w:val="003F30B1"/>
    <w:rsid w:val="003F30C8"/>
    <w:rsid w:val="003F332D"/>
    <w:rsid w:val="003F3696"/>
    <w:rsid w:val="003F3759"/>
    <w:rsid w:val="003F375B"/>
    <w:rsid w:val="003F3761"/>
    <w:rsid w:val="003F3A83"/>
    <w:rsid w:val="003F3B19"/>
    <w:rsid w:val="003F3C1C"/>
    <w:rsid w:val="003F3E2D"/>
    <w:rsid w:val="003F3EEB"/>
    <w:rsid w:val="003F40B6"/>
    <w:rsid w:val="003F4421"/>
    <w:rsid w:val="003F4585"/>
    <w:rsid w:val="003F4676"/>
    <w:rsid w:val="003F4817"/>
    <w:rsid w:val="003F4939"/>
    <w:rsid w:val="003F4B13"/>
    <w:rsid w:val="003F4C27"/>
    <w:rsid w:val="003F4C5B"/>
    <w:rsid w:val="003F50F1"/>
    <w:rsid w:val="003F5186"/>
    <w:rsid w:val="003F5211"/>
    <w:rsid w:val="003F548F"/>
    <w:rsid w:val="003F5BCD"/>
    <w:rsid w:val="003F5D6A"/>
    <w:rsid w:val="003F5DF2"/>
    <w:rsid w:val="003F6119"/>
    <w:rsid w:val="003F62D2"/>
    <w:rsid w:val="003F62E5"/>
    <w:rsid w:val="003F62F7"/>
    <w:rsid w:val="003F62FC"/>
    <w:rsid w:val="003F63F2"/>
    <w:rsid w:val="003F64C7"/>
    <w:rsid w:val="003F6986"/>
    <w:rsid w:val="003F6C48"/>
    <w:rsid w:val="003F6F70"/>
    <w:rsid w:val="003F6FE3"/>
    <w:rsid w:val="003F70DD"/>
    <w:rsid w:val="003F742E"/>
    <w:rsid w:val="003F7692"/>
    <w:rsid w:val="003F79AE"/>
    <w:rsid w:val="003F7C9A"/>
    <w:rsid w:val="003F7DB2"/>
    <w:rsid w:val="003F7E25"/>
    <w:rsid w:val="00400043"/>
    <w:rsid w:val="004000E1"/>
    <w:rsid w:val="00400251"/>
    <w:rsid w:val="004002E1"/>
    <w:rsid w:val="004002EF"/>
    <w:rsid w:val="004005A5"/>
    <w:rsid w:val="004006DE"/>
    <w:rsid w:val="004008D9"/>
    <w:rsid w:val="00400A16"/>
    <w:rsid w:val="00400A71"/>
    <w:rsid w:val="00400B85"/>
    <w:rsid w:val="00400BA2"/>
    <w:rsid w:val="00400BEF"/>
    <w:rsid w:val="00400C40"/>
    <w:rsid w:val="00400D36"/>
    <w:rsid w:val="00401198"/>
    <w:rsid w:val="004014CD"/>
    <w:rsid w:val="00401501"/>
    <w:rsid w:val="00401635"/>
    <w:rsid w:val="00401664"/>
    <w:rsid w:val="00401704"/>
    <w:rsid w:val="004017A4"/>
    <w:rsid w:val="004019DF"/>
    <w:rsid w:val="00401A49"/>
    <w:rsid w:val="00401C12"/>
    <w:rsid w:val="00401D8B"/>
    <w:rsid w:val="00401EF4"/>
    <w:rsid w:val="00401F0A"/>
    <w:rsid w:val="00401FBD"/>
    <w:rsid w:val="00402139"/>
    <w:rsid w:val="00402150"/>
    <w:rsid w:val="0040238F"/>
    <w:rsid w:val="004023D1"/>
    <w:rsid w:val="0040281C"/>
    <w:rsid w:val="004028D1"/>
    <w:rsid w:val="00402933"/>
    <w:rsid w:val="00402AD6"/>
    <w:rsid w:val="00402C98"/>
    <w:rsid w:val="00402E42"/>
    <w:rsid w:val="004030EB"/>
    <w:rsid w:val="004032A8"/>
    <w:rsid w:val="004033F6"/>
    <w:rsid w:val="004034B4"/>
    <w:rsid w:val="00403507"/>
    <w:rsid w:val="004035F3"/>
    <w:rsid w:val="00403832"/>
    <w:rsid w:val="00403AAA"/>
    <w:rsid w:val="00403B7F"/>
    <w:rsid w:val="00403CFF"/>
    <w:rsid w:val="00404008"/>
    <w:rsid w:val="004042D1"/>
    <w:rsid w:val="0040446A"/>
    <w:rsid w:val="004045C6"/>
    <w:rsid w:val="00404797"/>
    <w:rsid w:val="00404801"/>
    <w:rsid w:val="00404805"/>
    <w:rsid w:val="00404AB8"/>
    <w:rsid w:val="00404B94"/>
    <w:rsid w:val="00404BE2"/>
    <w:rsid w:val="00404E45"/>
    <w:rsid w:val="0040502B"/>
    <w:rsid w:val="004050BE"/>
    <w:rsid w:val="004050CF"/>
    <w:rsid w:val="004051B3"/>
    <w:rsid w:val="00405246"/>
    <w:rsid w:val="00405336"/>
    <w:rsid w:val="00405362"/>
    <w:rsid w:val="004053EA"/>
    <w:rsid w:val="004054CB"/>
    <w:rsid w:val="00405543"/>
    <w:rsid w:val="004057F6"/>
    <w:rsid w:val="004058EA"/>
    <w:rsid w:val="00405B6F"/>
    <w:rsid w:val="00405CC3"/>
    <w:rsid w:val="004060E2"/>
    <w:rsid w:val="00406210"/>
    <w:rsid w:val="00406339"/>
    <w:rsid w:val="0040647A"/>
    <w:rsid w:val="00406649"/>
    <w:rsid w:val="004068EB"/>
    <w:rsid w:val="00406A26"/>
    <w:rsid w:val="00407065"/>
    <w:rsid w:val="0040759A"/>
    <w:rsid w:val="00407637"/>
    <w:rsid w:val="0040763A"/>
    <w:rsid w:val="00407663"/>
    <w:rsid w:val="00407758"/>
    <w:rsid w:val="00407975"/>
    <w:rsid w:val="00407ADA"/>
    <w:rsid w:val="00407B41"/>
    <w:rsid w:val="00407CE1"/>
    <w:rsid w:val="00407D7C"/>
    <w:rsid w:val="00407E5B"/>
    <w:rsid w:val="00407E70"/>
    <w:rsid w:val="00407F25"/>
    <w:rsid w:val="00407FC9"/>
    <w:rsid w:val="00410353"/>
    <w:rsid w:val="00410426"/>
    <w:rsid w:val="0041049C"/>
    <w:rsid w:val="0041052C"/>
    <w:rsid w:val="00410578"/>
    <w:rsid w:val="00410607"/>
    <w:rsid w:val="0041061E"/>
    <w:rsid w:val="00410683"/>
    <w:rsid w:val="00410836"/>
    <w:rsid w:val="004108E4"/>
    <w:rsid w:val="00410A14"/>
    <w:rsid w:val="00410A42"/>
    <w:rsid w:val="00410CF0"/>
    <w:rsid w:val="00410DFB"/>
    <w:rsid w:val="00410FC3"/>
    <w:rsid w:val="004111F1"/>
    <w:rsid w:val="004112A9"/>
    <w:rsid w:val="004112C1"/>
    <w:rsid w:val="00411332"/>
    <w:rsid w:val="00411425"/>
    <w:rsid w:val="00411478"/>
    <w:rsid w:val="00411612"/>
    <w:rsid w:val="00411749"/>
    <w:rsid w:val="0041175C"/>
    <w:rsid w:val="004119E2"/>
    <w:rsid w:val="004119E3"/>
    <w:rsid w:val="00411FB4"/>
    <w:rsid w:val="00411FC7"/>
    <w:rsid w:val="0041202F"/>
    <w:rsid w:val="004121AF"/>
    <w:rsid w:val="00412242"/>
    <w:rsid w:val="004126F2"/>
    <w:rsid w:val="00412888"/>
    <w:rsid w:val="00412BEC"/>
    <w:rsid w:val="00412C69"/>
    <w:rsid w:val="00412D41"/>
    <w:rsid w:val="00412E3F"/>
    <w:rsid w:val="00412F8F"/>
    <w:rsid w:val="0041319F"/>
    <w:rsid w:val="0041321E"/>
    <w:rsid w:val="004132E6"/>
    <w:rsid w:val="00413369"/>
    <w:rsid w:val="0041349B"/>
    <w:rsid w:val="004135C3"/>
    <w:rsid w:val="00413663"/>
    <w:rsid w:val="004137AC"/>
    <w:rsid w:val="004138F5"/>
    <w:rsid w:val="00413915"/>
    <w:rsid w:val="00413918"/>
    <w:rsid w:val="0041397C"/>
    <w:rsid w:val="0041399C"/>
    <w:rsid w:val="0041399E"/>
    <w:rsid w:val="00413A68"/>
    <w:rsid w:val="00413AB2"/>
    <w:rsid w:val="00413AE2"/>
    <w:rsid w:val="00413BAD"/>
    <w:rsid w:val="00413C0B"/>
    <w:rsid w:val="00413C2F"/>
    <w:rsid w:val="00413E16"/>
    <w:rsid w:val="00413E22"/>
    <w:rsid w:val="00413F01"/>
    <w:rsid w:val="004140E4"/>
    <w:rsid w:val="0041423B"/>
    <w:rsid w:val="004143A8"/>
    <w:rsid w:val="004144C0"/>
    <w:rsid w:val="00414545"/>
    <w:rsid w:val="004145A2"/>
    <w:rsid w:val="00414623"/>
    <w:rsid w:val="00414735"/>
    <w:rsid w:val="00414BA8"/>
    <w:rsid w:val="00414D05"/>
    <w:rsid w:val="00414D7F"/>
    <w:rsid w:val="00414E95"/>
    <w:rsid w:val="00414EAA"/>
    <w:rsid w:val="00414F74"/>
    <w:rsid w:val="004150E3"/>
    <w:rsid w:val="00415141"/>
    <w:rsid w:val="00415161"/>
    <w:rsid w:val="004151C1"/>
    <w:rsid w:val="00415549"/>
    <w:rsid w:val="00415679"/>
    <w:rsid w:val="004156B1"/>
    <w:rsid w:val="00415EB4"/>
    <w:rsid w:val="004160A2"/>
    <w:rsid w:val="00416329"/>
    <w:rsid w:val="004163EC"/>
    <w:rsid w:val="0041642B"/>
    <w:rsid w:val="004164BB"/>
    <w:rsid w:val="0041688B"/>
    <w:rsid w:val="00416899"/>
    <w:rsid w:val="004168F2"/>
    <w:rsid w:val="00416A2D"/>
    <w:rsid w:val="00416B8E"/>
    <w:rsid w:val="00416CAF"/>
    <w:rsid w:val="00416CD7"/>
    <w:rsid w:val="00416DCA"/>
    <w:rsid w:val="00417281"/>
    <w:rsid w:val="004173A2"/>
    <w:rsid w:val="00417456"/>
    <w:rsid w:val="0041761F"/>
    <w:rsid w:val="004178B7"/>
    <w:rsid w:val="00417B0C"/>
    <w:rsid w:val="00417CD8"/>
    <w:rsid w:val="00417DC4"/>
    <w:rsid w:val="00417FAE"/>
    <w:rsid w:val="00417FF2"/>
    <w:rsid w:val="004200A0"/>
    <w:rsid w:val="00420240"/>
    <w:rsid w:val="00420642"/>
    <w:rsid w:val="00420683"/>
    <w:rsid w:val="004207BC"/>
    <w:rsid w:val="00420805"/>
    <w:rsid w:val="00420AB4"/>
    <w:rsid w:val="00420C69"/>
    <w:rsid w:val="00420CFA"/>
    <w:rsid w:val="00420D9B"/>
    <w:rsid w:val="00421017"/>
    <w:rsid w:val="00421107"/>
    <w:rsid w:val="00421130"/>
    <w:rsid w:val="0042113B"/>
    <w:rsid w:val="004211B1"/>
    <w:rsid w:val="004211C2"/>
    <w:rsid w:val="00421486"/>
    <w:rsid w:val="004214D5"/>
    <w:rsid w:val="00421555"/>
    <w:rsid w:val="004217EF"/>
    <w:rsid w:val="00421858"/>
    <w:rsid w:val="004218E8"/>
    <w:rsid w:val="0042192F"/>
    <w:rsid w:val="00421A07"/>
    <w:rsid w:val="00421AF1"/>
    <w:rsid w:val="00421B2F"/>
    <w:rsid w:val="00421B87"/>
    <w:rsid w:val="00421E20"/>
    <w:rsid w:val="00421FFB"/>
    <w:rsid w:val="004220F3"/>
    <w:rsid w:val="004221E0"/>
    <w:rsid w:val="004226A4"/>
    <w:rsid w:val="00422B02"/>
    <w:rsid w:val="00422B1D"/>
    <w:rsid w:val="00422BA6"/>
    <w:rsid w:val="00422BD3"/>
    <w:rsid w:val="00422DED"/>
    <w:rsid w:val="00422FD6"/>
    <w:rsid w:val="00423145"/>
    <w:rsid w:val="00423646"/>
    <w:rsid w:val="004236DC"/>
    <w:rsid w:val="00423873"/>
    <w:rsid w:val="00423C08"/>
    <w:rsid w:val="00423C40"/>
    <w:rsid w:val="00423CF0"/>
    <w:rsid w:val="00423E72"/>
    <w:rsid w:val="004241DD"/>
    <w:rsid w:val="0042436F"/>
    <w:rsid w:val="004244ED"/>
    <w:rsid w:val="004245A8"/>
    <w:rsid w:val="00424694"/>
    <w:rsid w:val="004246C2"/>
    <w:rsid w:val="004249FA"/>
    <w:rsid w:val="00424A52"/>
    <w:rsid w:val="00424A66"/>
    <w:rsid w:val="00424AD9"/>
    <w:rsid w:val="00424B05"/>
    <w:rsid w:val="00424C92"/>
    <w:rsid w:val="00424D9C"/>
    <w:rsid w:val="00424EA7"/>
    <w:rsid w:val="00424F3B"/>
    <w:rsid w:val="004250BA"/>
    <w:rsid w:val="004250F0"/>
    <w:rsid w:val="004251AA"/>
    <w:rsid w:val="00425488"/>
    <w:rsid w:val="0042549D"/>
    <w:rsid w:val="004254C4"/>
    <w:rsid w:val="004254DE"/>
    <w:rsid w:val="00425585"/>
    <w:rsid w:val="00425B4A"/>
    <w:rsid w:val="00425C46"/>
    <w:rsid w:val="00425C51"/>
    <w:rsid w:val="00425DED"/>
    <w:rsid w:val="00425E25"/>
    <w:rsid w:val="00425EF3"/>
    <w:rsid w:val="00425FE9"/>
    <w:rsid w:val="0042609D"/>
    <w:rsid w:val="00426670"/>
    <w:rsid w:val="0042699B"/>
    <w:rsid w:val="00426B6D"/>
    <w:rsid w:val="00426BA6"/>
    <w:rsid w:val="00426C76"/>
    <w:rsid w:val="00426CB8"/>
    <w:rsid w:val="00426D5D"/>
    <w:rsid w:val="00426D9A"/>
    <w:rsid w:val="00426E35"/>
    <w:rsid w:val="00426ECB"/>
    <w:rsid w:val="00426F7C"/>
    <w:rsid w:val="00426FD4"/>
    <w:rsid w:val="00427258"/>
    <w:rsid w:val="00427AA5"/>
    <w:rsid w:val="00427ADD"/>
    <w:rsid w:val="00427C2C"/>
    <w:rsid w:val="00427CD2"/>
    <w:rsid w:val="00427E7E"/>
    <w:rsid w:val="0043010D"/>
    <w:rsid w:val="0043010F"/>
    <w:rsid w:val="00430606"/>
    <w:rsid w:val="0043076E"/>
    <w:rsid w:val="00430D94"/>
    <w:rsid w:val="00430DA1"/>
    <w:rsid w:val="00430EEA"/>
    <w:rsid w:val="00431148"/>
    <w:rsid w:val="0043132A"/>
    <w:rsid w:val="00431469"/>
    <w:rsid w:val="0043150F"/>
    <w:rsid w:val="0043154E"/>
    <w:rsid w:val="00431750"/>
    <w:rsid w:val="00431983"/>
    <w:rsid w:val="004319A1"/>
    <w:rsid w:val="00431BDD"/>
    <w:rsid w:val="00431D09"/>
    <w:rsid w:val="00431EE5"/>
    <w:rsid w:val="00431F4F"/>
    <w:rsid w:val="00431F6E"/>
    <w:rsid w:val="00431F9F"/>
    <w:rsid w:val="0043219E"/>
    <w:rsid w:val="0043245C"/>
    <w:rsid w:val="00432589"/>
    <w:rsid w:val="0043278F"/>
    <w:rsid w:val="0043296D"/>
    <w:rsid w:val="00432BDB"/>
    <w:rsid w:val="00432C4B"/>
    <w:rsid w:val="00433024"/>
    <w:rsid w:val="0043317C"/>
    <w:rsid w:val="004331BB"/>
    <w:rsid w:val="004332D2"/>
    <w:rsid w:val="0043352C"/>
    <w:rsid w:val="00433564"/>
    <w:rsid w:val="0043361B"/>
    <w:rsid w:val="004336CA"/>
    <w:rsid w:val="0043396F"/>
    <w:rsid w:val="004339F2"/>
    <w:rsid w:val="00433B7C"/>
    <w:rsid w:val="00433DDD"/>
    <w:rsid w:val="00434035"/>
    <w:rsid w:val="0043413D"/>
    <w:rsid w:val="00434475"/>
    <w:rsid w:val="004344BE"/>
    <w:rsid w:val="00434692"/>
    <w:rsid w:val="004346CB"/>
    <w:rsid w:val="00434936"/>
    <w:rsid w:val="00434949"/>
    <w:rsid w:val="00434CC1"/>
    <w:rsid w:val="00434DE0"/>
    <w:rsid w:val="00435089"/>
    <w:rsid w:val="004350BA"/>
    <w:rsid w:val="0043535F"/>
    <w:rsid w:val="004354D0"/>
    <w:rsid w:val="004357ED"/>
    <w:rsid w:val="00435827"/>
    <w:rsid w:val="004359D5"/>
    <w:rsid w:val="00435ADF"/>
    <w:rsid w:val="00435C3D"/>
    <w:rsid w:val="00435D54"/>
    <w:rsid w:val="00435D6D"/>
    <w:rsid w:val="00435E26"/>
    <w:rsid w:val="00435E74"/>
    <w:rsid w:val="00435F35"/>
    <w:rsid w:val="00435F45"/>
    <w:rsid w:val="00435FC2"/>
    <w:rsid w:val="0043607F"/>
    <w:rsid w:val="004362CA"/>
    <w:rsid w:val="00436364"/>
    <w:rsid w:val="00436430"/>
    <w:rsid w:val="0043663B"/>
    <w:rsid w:val="00436838"/>
    <w:rsid w:val="004369B8"/>
    <w:rsid w:val="00436D2F"/>
    <w:rsid w:val="00436E08"/>
    <w:rsid w:val="00436E2D"/>
    <w:rsid w:val="00436E3E"/>
    <w:rsid w:val="00437259"/>
    <w:rsid w:val="004372E3"/>
    <w:rsid w:val="004373DB"/>
    <w:rsid w:val="00437606"/>
    <w:rsid w:val="00437A63"/>
    <w:rsid w:val="00437F1D"/>
    <w:rsid w:val="00440218"/>
    <w:rsid w:val="004402CD"/>
    <w:rsid w:val="00440449"/>
    <w:rsid w:val="0044054F"/>
    <w:rsid w:val="00440550"/>
    <w:rsid w:val="004405AE"/>
    <w:rsid w:val="004407AD"/>
    <w:rsid w:val="00440830"/>
    <w:rsid w:val="00440859"/>
    <w:rsid w:val="004408CB"/>
    <w:rsid w:val="0044097D"/>
    <w:rsid w:val="004409F3"/>
    <w:rsid w:val="00440C38"/>
    <w:rsid w:val="00440D85"/>
    <w:rsid w:val="00441052"/>
    <w:rsid w:val="00441080"/>
    <w:rsid w:val="00441092"/>
    <w:rsid w:val="00441222"/>
    <w:rsid w:val="00441271"/>
    <w:rsid w:val="004416A3"/>
    <w:rsid w:val="004419D2"/>
    <w:rsid w:val="00441A07"/>
    <w:rsid w:val="00441B56"/>
    <w:rsid w:val="00441BBB"/>
    <w:rsid w:val="00441C77"/>
    <w:rsid w:val="00441D50"/>
    <w:rsid w:val="00441EFE"/>
    <w:rsid w:val="00441F66"/>
    <w:rsid w:val="00441FC1"/>
    <w:rsid w:val="00442052"/>
    <w:rsid w:val="004420D0"/>
    <w:rsid w:val="004423E4"/>
    <w:rsid w:val="004424F4"/>
    <w:rsid w:val="00442866"/>
    <w:rsid w:val="00442A4F"/>
    <w:rsid w:val="00442A55"/>
    <w:rsid w:val="00442C3B"/>
    <w:rsid w:val="00442CDF"/>
    <w:rsid w:val="00442CF1"/>
    <w:rsid w:val="00442FFB"/>
    <w:rsid w:val="00443072"/>
    <w:rsid w:val="004432C3"/>
    <w:rsid w:val="00443432"/>
    <w:rsid w:val="004434A3"/>
    <w:rsid w:val="0044372A"/>
    <w:rsid w:val="0044392C"/>
    <w:rsid w:val="00443A46"/>
    <w:rsid w:val="00443AD5"/>
    <w:rsid w:val="00443D3D"/>
    <w:rsid w:val="00443EB5"/>
    <w:rsid w:val="00443FC6"/>
    <w:rsid w:val="00443FCB"/>
    <w:rsid w:val="00444195"/>
    <w:rsid w:val="00444378"/>
    <w:rsid w:val="00444463"/>
    <w:rsid w:val="00444501"/>
    <w:rsid w:val="004446ED"/>
    <w:rsid w:val="004447F0"/>
    <w:rsid w:val="0044487E"/>
    <w:rsid w:val="004448F7"/>
    <w:rsid w:val="00444A20"/>
    <w:rsid w:val="00444C9F"/>
    <w:rsid w:val="00444D13"/>
    <w:rsid w:val="00444D36"/>
    <w:rsid w:val="00444D3F"/>
    <w:rsid w:val="0044526C"/>
    <w:rsid w:val="0044529D"/>
    <w:rsid w:val="00445327"/>
    <w:rsid w:val="00445482"/>
    <w:rsid w:val="00445626"/>
    <w:rsid w:val="004458BC"/>
    <w:rsid w:val="004459E2"/>
    <w:rsid w:val="00445A05"/>
    <w:rsid w:val="00445A35"/>
    <w:rsid w:val="00445A4B"/>
    <w:rsid w:val="00445D57"/>
    <w:rsid w:val="00445E19"/>
    <w:rsid w:val="00445E63"/>
    <w:rsid w:val="00445ED9"/>
    <w:rsid w:val="00446127"/>
    <w:rsid w:val="0044619C"/>
    <w:rsid w:val="004464EE"/>
    <w:rsid w:val="00446549"/>
    <w:rsid w:val="004469D6"/>
    <w:rsid w:val="00446BAA"/>
    <w:rsid w:val="00446BFA"/>
    <w:rsid w:val="00446E00"/>
    <w:rsid w:val="00446ED2"/>
    <w:rsid w:val="00446F38"/>
    <w:rsid w:val="00447010"/>
    <w:rsid w:val="0044708E"/>
    <w:rsid w:val="0044719B"/>
    <w:rsid w:val="004473F6"/>
    <w:rsid w:val="0044744D"/>
    <w:rsid w:val="00447460"/>
    <w:rsid w:val="00447662"/>
    <w:rsid w:val="0044779A"/>
    <w:rsid w:val="00450131"/>
    <w:rsid w:val="00450290"/>
    <w:rsid w:val="00450574"/>
    <w:rsid w:val="00450629"/>
    <w:rsid w:val="00450BAA"/>
    <w:rsid w:val="00450DDA"/>
    <w:rsid w:val="0045109B"/>
    <w:rsid w:val="00451239"/>
    <w:rsid w:val="00451248"/>
    <w:rsid w:val="004513B2"/>
    <w:rsid w:val="00451454"/>
    <w:rsid w:val="004514FF"/>
    <w:rsid w:val="0045160B"/>
    <w:rsid w:val="00451640"/>
    <w:rsid w:val="004517DE"/>
    <w:rsid w:val="004518A6"/>
    <w:rsid w:val="004518AF"/>
    <w:rsid w:val="00451BA8"/>
    <w:rsid w:val="00451CA7"/>
    <w:rsid w:val="00452347"/>
    <w:rsid w:val="00452415"/>
    <w:rsid w:val="0045245D"/>
    <w:rsid w:val="00452615"/>
    <w:rsid w:val="004527C1"/>
    <w:rsid w:val="0045285F"/>
    <w:rsid w:val="00452866"/>
    <w:rsid w:val="004529BE"/>
    <w:rsid w:val="004529C3"/>
    <w:rsid w:val="00452C00"/>
    <w:rsid w:val="00452E2D"/>
    <w:rsid w:val="00453316"/>
    <w:rsid w:val="00453382"/>
    <w:rsid w:val="004533BE"/>
    <w:rsid w:val="004535FE"/>
    <w:rsid w:val="0045367C"/>
    <w:rsid w:val="0045375E"/>
    <w:rsid w:val="004537FB"/>
    <w:rsid w:val="00453839"/>
    <w:rsid w:val="00453999"/>
    <w:rsid w:val="00453B49"/>
    <w:rsid w:val="00453BE0"/>
    <w:rsid w:val="00453DED"/>
    <w:rsid w:val="0045421D"/>
    <w:rsid w:val="004542C9"/>
    <w:rsid w:val="004543DD"/>
    <w:rsid w:val="0045462C"/>
    <w:rsid w:val="004546B1"/>
    <w:rsid w:val="004548B2"/>
    <w:rsid w:val="004548EA"/>
    <w:rsid w:val="00454986"/>
    <w:rsid w:val="00454A93"/>
    <w:rsid w:val="00454B35"/>
    <w:rsid w:val="00454C8C"/>
    <w:rsid w:val="004550EC"/>
    <w:rsid w:val="00455286"/>
    <w:rsid w:val="0045529D"/>
    <w:rsid w:val="00455428"/>
    <w:rsid w:val="00455544"/>
    <w:rsid w:val="00455675"/>
    <w:rsid w:val="00455807"/>
    <w:rsid w:val="0045584F"/>
    <w:rsid w:val="00455899"/>
    <w:rsid w:val="00455AB6"/>
    <w:rsid w:val="00455AFF"/>
    <w:rsid w:val="00455B61"/>
    <w:rsid w:val="00455D26"/>
    <w:rsid w:val="00455F34"/>
    <w:rsid w:val="00455F39"/>
    <w:rsid w:val="0045627D"/>
    <w:rsid w:val="00456302"/>
    <w:rsid w:val="004565B1"/>
    <w:rsid w:val="00456849"/>
    <w:rsid w:val="00456861"/>
    <w:rsid w:val="00456866"/>
    <w:rsid w:val="004568F0"/>
    <w:rsid w:val="0045698C"/>
    <w:rsid w:val="00456A5E"/>
    <w:rsid w:val="00456ABD"/>
    <w:rsid w:val="00456CF3"/>
    <w:rsid w:val="00456E2A"/>
    <w:rsid w:val="00457128"/>
    <w:rsid w:val="004574D3"/>
    <w:rsid w:val="004574EC"/>
    <w:rsid w:val="004575EE"/>
    <w:rsid w:val="004575F7"/>
    <w:rsid w:val="004576DE"/>
    <w:rsid w:val="00457740"/>
    <w:rsid w:val="00457860"/>
    <w:rsid w:val="00457940"/>
    <w:rsid w:val="004579D3"/>
    <w:rsid w:val="00457A5F"/>
    <w:rsid w:val="00457AEE"/>
    <w:rsid w:val="00457BB6"/>
    <w:rsid w:val="00457C1E"/>
    <w:rsid w:val="00457D89"/>
    <w:rsid w:val="00457DC4"/>
    <w:rsid w:val="00457ECE"/>
    <w:rsid w:val="00460014"/>
    <w:rsid w:val="0046011F"/>
    <w:rsid w:val="00460351"/>
    <w:rsid w:val="004605AD"/>
    <w:rsid w:val="004607C9"/>
    <w:rsid w:val="00460917"/>
    <w:rsid w:val="00460AC6"/>
    <w:rsid w:val="00460BC8"/>
    <w:rsid w:val="00460CA3"/>
    <w:rsid w:val="00460CB5"/>
    <w:rsid w:val="00460CE9"/>
    <w:rsid w:val="00460CEF"/>
    <w:rsid w:val="00460F62"/>
    <w:rsid w:val="00461038"/>
    <w:rsid w:val="00461049"/>
    <w:rsid w:val="00461471"/>
    <w:rsid w:val="00461644"/>
    <w:rsid w:val="0046180A"/>
    <w:rsid w:val="004618A5"/>
    <w:rsid w:val="00461ABB"/>
    <w:rsid w:val="00461CF6"/>
    <w:rsid w:val="00461E64"/>
    <w:rsid w:val="00461F24"/>
    <w:rsid w:val="004625E7"/>
    <w:rsid w:val="004626D9"/>
    <w:rsid w:val="004627B0"/>
    <w:rsid w:val="00462912"/>
    <w:rsid w:val="004629BE"/>
    <w:rsid w:val="00462C4A"/>
    <w:rsid w:val="00462CCB"/>
    <w:rsid w:val="00462F81"/>
    <w:rsid w:val="00463599"/>
    <w:rsid w:val="00463811"/>
    <w:rsid w:val="00463AC4"/>
    <w:rsid w:val="00463AED"/>
    <w:rsid w:val="00463DAB"/>
    <w:rsid w:val="00463E5F"/>
    <w:rsid w:val="00463F4D"/>
    <w:rsid w:val="004641F2"/>
    <w:rsid w:val="0046440B"/>
    <w:rsid w:val="00464753"/>
    <w:rsid w:val="004647A6"/>
    <w:rsid w:val="0046482F"/>
    <w:rsid w:val="004648A2"/>
    <w:rsid w:val="00464D5E"/>
    <w:rsid w:val="00464DF1"/>
    <w:rsid w:val="0046511B"/>
    <w:rsid w:val="0046582F"/>
    <w:rsid w:val="00465864"/>
    <w:rsid w:val="00465AB7"/>
    <w:rsid w:val="00465C83"/>
    <w:rsid w:val="00465E89"/>
    <w:rsid w:val="00465FD8"/>
    <w:rsid w:val="004660D4"/>
    <w:rsid w:val="00466180"/>
    <w:rsid w:val="004663B3"/>
    <w:rsid w:val="004664EA"/>
    <w:rsid w:val="0046652B"/>
    <w:rsid w:val="00466545"/>
    <w:rsid w:val="00466681"/>
    <w:rsid w:val="0046670E"/>
    <w:rsid w:val="00466873"/>
    <w:rsid w:val="00466C20"/>
    <w:rsid w:val="00466D3C"/>
    <w:rsid w:val="00466F5B"/>
    <w:rsid w:val="00466F7C"/>
    <w:rsid w:val="00466F8D"/>
    <w:rsid w:val="004670D9"/>
    <w:rsid w:val="004670ED"/>
    <w:rsid w:val="00467152"/>
    <w:rsid w:val="00467167"/>
    <w:rsid w:val="0046728C"/>
    <w:rsid w:val="0046774C"/>
    <w:rsid w:val="004679D7"/>
    <w:rsid w:val="00467A1B"/>
    <w:rsid w:val="00467C82"/>
    <w:rsid w:val="00467D82"/>
    <w:rsid w:val="00467D8C"/>
    <w:rsid w:val="00467F9B"/>
    <w:rsid w:val="00467FAD"/>
    <w:rsid w:val="00467FDB"/>
    <w:rsid w:val="004700E5"/>
    <w:rsid w:val="00470178"/>
    <w:rsid w:val="00470396"/>
    <w:rsid w:val="004704C8"/>
    <w:rsid w:val="0047059A"/>
    <w:rsid w:val="004705F9"/>
    <w:rsid w:val="0047069F"/>
    <w:rsid w:val="00470798"/>
    <w:rsid w:val="00470919"/>
    <w:rsid w:val="00470949"/>
    <w:rsid w:val="00470986"/>
    <w:rsid w:val="00470ACD"/>
    <w:rsid w:val="00471038"/>
    <w:rsid w:val="004711E6"/>
    <w:rsid w:val="00471546"/>
    <w:rsid w:val="00471651"/>
    <w:rsid w:val="0047168F"/>
    <w:rsid w:val="0047189C"/>
    <w:rsid w:val="004719EC"/>
    <w:rsid w:val="00471A64"/>
    <w:rsid w:val="00471F87"/>
    <w:rsid w:val="00471F9F"/>
    <w:rsid w:val="00472178"/>
    <w:rsid w:val="0047248F"/>
    <w:rsid w:val="004727B5"/>
    <w:rsid w:val="004728BE"/>
    <w:rsid w:val="00472933"/>
    <w:rsid w:val="00472D32"/>
    <w:rsid w:val="00472DCD"/>
    <w:rsid w:val="00472E84"/>
    <w:rsid w:val="00473071"/>
    <w:rsid w:val="0047309D"/>
    <w:rsid w:val="004730BD"/>
    <w:rsid w:val="004731E7"/>
    <w:rsid w:val="0047323E"/>
    <w:rsid w:val="004733E0"/>
    <w:rsid w:val="00473590"/>
    <w:rsid w:val="00473730"/>
    <w:rsid w:val="00473A9A"/>
    <w:rsid w:val="00473AA3"/>
    <w:rsid w:val="00473B57"/>
    <w:rsid w:val="00473BB7"/>
    <w:rsid w:val="00473E8E"/>
    <w:rsid w:val="00474019"/>
    <w:rsid w:val="004741C0"/>
    <w:rsid w:val="0047424D"/>
    <w:rsid w:val="00474264"/>
    <w:rsid w:val="004742DC"/>
    <w:rsid w:val="0047454D"/>
    <w:rsid w:val="0047455D"/>
    <w:rsid w:val="004747C9"/>
    <w:rsid w:val="004747EA"/>
    <w:rsid w:val="004748FB"/>
    <w:rsid w:val="0047494A"/>
    <w:rsid w:val="00474ADF"/>
    <w:rsid w:val="00474BC5"/>
    <w:rsid w:val="00474BCB"/>
    <w:rsid w:val="00474BFB"/>
    <w:rsid w:val="00474CEB"/>
    <w:rsid w:val="00474DE2"/>
    <w:rsid w:val="00474F90"/>
    <w:rsid w:val="004750C4"/>
    <w:rsid w:val="00475107"/>
    <w:rsid w:val="0047527D"/>
    <w:rsid w:val="004752E4"/>
    <w:rsid w:val="00475481"/>
    <w:rsid w:val="0047557C"/>
    <w:rsid w:val="004755DC"/>
    <w:rsid w:val="00475772"/>
    <w:rsid w:val="004758F6"/>
    <w:rsid w:val="00475AAE"/>
    <w:rsid w:val="00475B4E"/>
    <w:rsid w:val="00475BBA"/>
    <w:rsid w:val="00475C6B"/>
    <w:rsid w:val="00475ED3"/>
    <w:rsid w:val="00475FDF"/>
    <w:rsid w:val="00476083"/>
    <w:rsid w:val="004760F1"/>
    <w:rsid w:val="004761D1"/>
    <w:rsid w:val="004763D8"/>
    <w:rsid w:val="00476410"/>
    <w:rsid w:val="00476446"/>
    <w:rsid w:val="0047686A"/>
    <w:rsid w:val="004769C6"/>
    <w:rsid w:val="00476B4F"/>
    <w:rsid w:val="00476D69"/>
    <w:rsid w:val="00477169"/>
    <w:rsid w:val="0047743B"/>
    <w:rsid w:val="00477790"/>
    <w:rsid w:val="00477844"/>
    <w:rsid w:val="0047790D"/>
    <w:rsid w:val="00477A6B"/>
    <w:rsid w:val="00477A77"/>
    <w:rsid w:val="00477ABF"/>
    <w:rsid w:val="00477B57"/>
    <w:rsid w:val="00477CC0"/>
    <w:rsid w:val="00477EBC"/>
    <w:rsid w:val="004800FD"/>
    <w:rsid w:val="00480297"/>
    <w:rsid w:val="0048029B"/>
    <w:rsid w:val="00480590"/>
    <w:rsid w:val="004806DC"/>
    <w:rsid w:val="0048071F"/>
    <w:rsid w:val="004809F2"/>
    <w:rsid w:val="00480A91"/>
    <w:rsid w:val="00480EC4"/>
    <w:rsid w:val="00480EEC"/>
    <w:rsid w:val="0048134D"/>
    <w:rsid w:val="0048135C"/>
    <w:rsid w:val="004813D6"/>
    <w:rsid w:val="004813EB"/>
    <w:rsid w:val="00481536"/>
    <w:rsid w:val="004818C0"/>
    <w:rsid w:val="004819F2"/>
    <w:rsid w:val="00481A56"/>
    <w:rsid w:val="00481A94"/>
    <w:rsid w:val="00481C00"/>
    <w:rsid w:val="00481DD5"/>
    <w:rsid w:val="00481EA1"/>
    <w:rsid w:val="00481EB7"/>
    <w:rsid w:val="004822D7"/>
    <w:rsid w:val="0048237E"/>
    <w:rsid w:val="0048246D"/>
    <w:rsid w:val="00482762"/>
    <w:rsid w:val="00482AAC"/>
    <w:rsid w:val="00482B86"/>
    <w:rsid w:val="00482DEB"/>
    <w:rsid w:val="00482E7C"/>
    <w:rsid w:val="0048326F"/>
    <w:rsid w:val="00483287"/>
    <w:rsid w:val="0048329F"/>
    <w:rsid w:val="004832F3"/>
    <w:rsid w:val="004834B7"/>
    <w:rsid w:val="00483541"/>
    <w:rsid w:val="00483652"/>
    <w:rsid w:val="0048368E"/>
    <w:rsid w:val="00483743"/>
    <w:rsid w:val="00483BF0"/>
    <w:rsid w:val="00483C72"/>
    <w:rsid w:val="00484041"/>
    <w:rsid w:val="00484069"/>
    <w:rsid w:val="00484432"/>
    <w:rsid w:val="0048446E"/>
    <w:rsid w:val="00484573"/>
    <w:rsid w:val="00484937"/>
    <w:rsid w:val="00484996"/>
    <w:rsid w:val="004849FC"/>
    <w:rsid w:val="00484BB0"/>
    <w:rsid w:val="00484D8B"/>
    <w:rsid w:val="00484D9F"/>
    <w:rsid w:val="00484DCC"/>
    <w:rsid w:val="00484E23"/>
    <w:rsid w:val="00484EDC"/>
    <w:rsid w:val="00484F87"/>
    <w:rsid w:val="0048507C"/>
    <w:rsid w:val="00485138"/>
    <w:rsid w:val="00485253"/>
    <w:rsid w:val="00485341"/>
    <w:rsid w:val="00485529"/>
    <w:rsid w:val="004858D9"/>
    <w:rsid w:val="0048595B"/>
    <w:rsid w:val="00485AC6"/>
    <w:rsid w:val="00485CB2"/>
    <w:rsid w:val="00485F1D"/>
    <w:rsid w:val="00485F77"/>
    <w:rsid w:val="004860E8"/>
    <w:rsid w:val="00486173"/>
    <w:rsid w:val="004861CF"/>
    <w:rsid w:val="004861E8"/>
    <w:rsid w:val="00486238"/>
    <w:rsid w:val="0048623A"/>
    <w:rsid w:val="004863A6"/>
    <w:rsid w:val="004863BB"/>
    <w:rsid w:val="004864A2"/>
    <w:rsid w:val="004864A7"/>
    <w:rsid w:val="004865AD"/>
    <w:rsid w:val="00486679"/>
    <w:rsid w:val="0048675E"/>
    <w:rsid w:val="004867A9"/>
    <w:rsid w:val="00486C07"/>
    <w:rsid w:val="00486C0D"/>
    <w:rsid w:val="00486CFD"/>
    <w:rsid w:val="00486D06"/>
    <w:rsid w:val="00486EB6"/>
    <w:rsid w:val="004871FE"/>
    <w:rsid w:val="0048720D"/>
    <w:rsid w:val="00487229"/>
    <w:rsid w:val="00487429"/>
    <w:rsid w:val="004874CB"/>
    <w:rsid w:val="004875ED"/>
    <w:rsid w:val="004877A7"/>
    <w:rsid w:val="004877B0"/>
    <w:rsid w:val="00487884"/>
    <w:rsid w:val="00487A61"/>
    <w:rsid w:val="00487B31"/>
    <w:rsid w:val="00487B49"/>
    <w:rsid w:val="00487BD0"/>
    <w:rsid w:val="00487CEE"/>
    <w:rsid w:val="00487E3C"/>
    <w:rsid w:val="00487F91"/>
    <w:rsid w:val="004902C2"/>
    <w:rsid w:val="00490315"/>
    <w:rsid w:val="00490376"/>
    <w:rsid w:val="004907D9"/>
    <w:rsid w:val="00490837"/>
    <w:rsid w:val="004909BE"/>
    <w:rsid w:val="00490BC3"/>
    <w:rsid w:val="00490F0F"/>
    <w:rsid w:val="0049104E"/>
    <w:rsid w:val="004910F1"/>
    <w:rsid w:val="0049148C"/>
    <w:rsid w:val="004917B2"/>
    <w:rsid w:val="0049198A"/>
    <w:rsid w:val="00491B92"/>
    <w:rsid w:val="00491BE0"/>
    <w:rsid w:val="00491F48"/>
    <w:rsid w:val="00491FD6"/>
    <w:rsid w:val="00492140"/>
    <w:rsid w:val="00492288"/>
    <w:rsid w:val="00492514"/>
    <w:rsid w:val="0049253C"/>
    <w:rsid w:val="00492571"/>
    <w:rsid w:val="00492677"/>
    <w:rsid w:val="004927B2"/>
    <w:rsid w:val="004927CE"/>
    <w:rsid w:val="00492800"/>
    <w:rsid w:val="00492859"/>
    <w:rsid w:val="00492869"/>
    <w:rsid w:val="00492928"/>
    <w:rsid w:val="00492957"/>
    <w:rsid w:val="00492968"/>
    <w:rsid w:val="00492BAD"/>
    <w:rsid w:val="00492C83"/>
    <w:rsid w:val="00492DD0"/>
    <w:rsid w:val="00492DF7"/>
    <w:rsid w:val="00492EC1"/>
    <w:rsid w:val="00493022"/>
    <w:rsid w:val="0049304A"/>
    <w:rsid w:val="00493088"/>
    <w:rsid w:val="004930FD"/>
    <w:rsid w:val="004931BB"/>
    <w:rsid w:val="004934B5"/>
    <w:rsid w:val="00493883"/>
    <w:rsid w:val="00493ADA"/>
    <w:rsid w:val="00493AF9"/>
    <w:rsid w:val="00493C8F"/>
    <w:rsid w:val="00493F8D"/>
    <w:rsid w:val="004941AA"/>
    <w:rsid w:val="00494217"/>
    <w:rsid w:val="0049438C"/>
    <w:rsid w:val="0049471F"/>
    <w:rsid w:val="004947B8"/>
    <w:rsid w:val="004947E7"/>
    <w:rsid w:val="00494800"/>
    <w:rsid w:val="00494854"/>
    <w:rsid w:val="004949D2"/>
    <w:rsid w:val="00494A25"/>
    <w:rsid w:val="00494B01"/>
    <w:rsid w:val="00494B2C"/>
    <w:rsid w:val="00494D53"/>
    <w:rsid w:val="0049503E"/>
    <w:rsid w:val="004951CF"/>
    <w:rsid w:val="00495261"/>
    <w:rsid w:val="004952CE"/>
    <w:rsid w:val="0049537C"/>
    <w:rsid w:val="004954B9"/>
    <w:rsid w:val="004956A5"/>
    <w:rsid w:val="00495725"/>
    <w:rsid w:val="00495936"/>
    <w:rsid w:val="00495AC8"/>
    <w:rsid w:val="00495BA6"/>
    <w:rsid w:val="00495CB7"/>
    <w:rsid w:val="00495D1D"/>
    <w:rsid w:val="00495DA6"/>
    <w:rsid w:val="00495DBC"/>
    <w:rsid w:val="00495ED5"/>
    <w:rsid w:val="00495F2F"/>
    <w:rsid w:val="0049601A"/>
    <w:rsid w:val="00496214"/>
    <w:rsid w:val="004964BB"/>
    <w:rsid w:val="00496D85"/>
    <w:rsid w:val="0049733A"/>
    <w:rsid w:val="00497350"/>
    <w:rsid w:val="0049736F"/>
    <w:rsid w:val="0049739E"/>
    <w:rsid w:val="00497433"/>
    <w:rsid w:val="00497440"/>
    <w:rsid w:val="004975E8"/>
    <w:rsid w:val="00497766"/>
    <w:rsid w:val="00497807"/>
    <w:rsid w:val="00497944"/>
    <w:rsid w:val="0049797D"/>
    <w:rsid w:val="00497A4D"/>
    <w:rsid w:val="00497AB0"/>
    <w:rsid w:val="00497C94"/>
    <w:rsid w:val="00497CDC"/>
    <w:rsid w:val="004A00F9"/>
    <w:rsid w:val="004A0428"/>
    <w:rsid w:val="004A053B"/>
    <w:rsid w:val="004A07C4"/>
    <w:rsid w:val="004A0A17"/>
    <w:rsid w:val="004A0A98"/>
    <w:rsid w:val="004A0E52"/>
    <w:rsid w:val="004A0E87"/>
    <w:rsid w:val="004A0FEF"/>
    <w:rsid w:val="004A10C5"/>
    <w:rsid w:val="004A10FD"/>
    <w:rsid w:val="004A1355"/>
    <w:rsid w:val="004A1543"/>
    <w:rsid w:val="004A164B"/>
    <w:rsid w:val="004A1AB4"/>
    <w:rsid w:val="004A1E52"/>
    <w:rsid w:val="004A1EE6"/>
    <w:rsid w:val="004A239D"/>
    <w:rsid w:val="004A259A"/>
    <w:rsid w:val="004A2AA5"/>
    <w:rsid w:val="004A2B43"/>
    <w:rsid w:val="004A2B88"/>
    <w:rsid w:val="004A2DD5"/>
    <w:rsid w:val="004A2E92"/>
    <w:rsid w:val="004A30D0"/>
    <w:rsid w:val="004A3245"/>
    <w:rsid w:val="004A34A3"/>
    <w:rsid w:val="004A34B5"/>
    <w:rsid w:val="004A34BB"/>
    <w:rsid w:val="004A3560"/>
    <w:rsid w:val="004A3A67"/>
    <w:rsid w:val="004A3AD1"/>
    <w:rsid w:val="004A3C4D"/>
    <w:rsid w:val="004A4306"/>
    <w:rsid w:val="004A433A"/>
    <w:rsid w:val="004A4561"/>
    <w:rsid w:val="004A46C3"/>
    <w:rsid w:val="004A47F1"/>
    <w:rsid w:val="004A494B"/>
    <w:rsid w:val="004A496C"/>
    <w:rsid w:val="004A4AF8"/>
    <w:rsid w:val="004A4B6C"/>
    <w:rsid w:val="004A4CD0"/>
    <w:rsid w:val="004A4D55"/>
    <w:rsid w:val="004A4F6F"/>
    <w:rsid w:val="004A4F87"/>
    <w:rsid w:val="004A4FCD"/>
    <w:rsid w:val="004A5116"/>
    <w:rsid w:val="004A531C"/>
    <w:rsid w:val="004A533B"/>
    <w:rsid w:val="004A5464"/>
    <w:rsid w:val="004A565C"/>
    <w:rsid w:val="004A57C6"/>
    <w:rsid w:val="004A5855"/>
    <w:rsid w:val="004A58DD"/>
    <w:rsid w:val="004A59D6"/>
    <w:rsid w:val="004A5EB9"/>
    <w:rsid w:val="004A5F62"/>
    <w:rsid w:val="004A60CE"/>
    <w:rsid w:val="004A62B5"/>
    <w:rsid w:val="004A6363"/>
    <w:rsid w:val="004A63EF"/>
    <w:rsid w:val="004A65C2"/>
    <w:rsid w:val="004A6643"/>
    <w:rsid w:val="004A670E"/>
    <w:rsid w:val="004A6770"/>
    <w:rsid w:val="004A67CD"/>
    <w:rsid w:val="004A6CAF"/>
    <w:rsid w:val="004A6D0C"/>
    <w:rsid w:val="004A6F48"/>
    <w:rsid w:val="004A7352"/>
    <w:rsid w:val="004A7497"/>
    <w:rsid w:val="004A76CD"/>
    <w:rsid w:val="004A7B3D"/>
    <w:rsid w:val="004A7F42"/>
    <w:rsid w:val="004A7F8C"/>
    <w:rsid w:val="004A7FA6"/>
    <w:rsid w:val="004A7FA8"/>
    <w:rsid w:val="004B0319"/>
    <w:rsid w:val="004B0550"/>
    <w:rsid w:val="004B09E9"/>
    <w:rsid w:val="004B0A5A"/>
    <w:rsid w:val="004B0AC5"/>
    <w:rsid w:val="004B0C00"/>
    <w:rsid w:val="004B0FE1"/>
    <w:rsid w:val="004B1246"/>
    <w:rsid w:val="004B169B"/>
    <w:rsid w:val="004B16D6"/>
    <w:rsid w:val="004B16E1"/>
    <w:rsid w:val="004B16E6"/>
    <w:rsid w:val="004B16F9"/>
    <w:rsid w:val="004B17FC"/>
    <w:rsid w:val="004B184D"/>
    <w:rsid w:val="004B198F"/>
    <w:rsid w:val="004B1B44"/>
    <w:rsid w:val="004B1B76"/>
    <w:rsid w:val="004B1D38"/>
    <w:rsid w:val="004B1DEC"/>
    <w:rsid w:val="004B2317"/>
    <w:rsid w:val="004B2392"/>
    <w:rsid w:val="004B23F4"/>
    <w:rsid w:val="004B2429"/>
    <w:rsid w:val="004B24C0"/>
    <w:rsid w:val="004B2621"/>
    <w:rsid w:val="004B2BEC"/>
    <w:rsid w:val="004B2C00"/>
    <w:rsid w:val="004B2D42"/>
    <w:rsid w:val="004B2FA6"/>
    <w:rsid w:val="004B3011"/>
    <w:rsid w:val="004B3064"/>
    <w:rsid w:val="004B318C"/>
    <w:rsid w:val="004B324B"/>
    <w:rsid w:val="004B332F"/>
    <w:rsid w:val="004B33CF"/>
    <w:rsid w:val="004B3541"/>
    <w:rsid w:val="004B3550"/>
    <w:rsid w:val="004B3887"/>
    <w:rsid w:val="004B38FC"/>
    <w:rsid w:val="004B3A59"/>
    <w:rsid w:val="004B3A99"/>
    <w:rsid w:val="004B3B4B"/>
    <w:rsid w:val="004B3C7C"/>
    <w:rsid w:val="004B3DAE"/>
    <w:rsid w:val="004B3DBA"/>
    <w:rsid w:val="004B3E5D"/>
    <w:rsid w:val="004B47A2"/>
    <w:rsid w:val="004B4804"/>
    <w:rsid w:val="004B4809"/>
    <w:rsid w:val="004B496F"/>
    <w:rsid w:val="004B49E7"/>
    <w:rsid w:val="004B4A40"/>
    <w:rsid w:val="004B4B83"/>
    <w:rsid w:val="004B5070"/>
    <w:rsid w:val="004B528F"/>
    <w:rsid w:val="004B5307"/>
    <w:rsid w:val="004B53F2"/>
    <w:rsid w:val="004B55AC"/>
    <w:rsid w:val="004B57C3"/>
    <w:rsid w:val="004B5898"/>
    <w:rsid w:val="004B5A4F"/>
    <w:rsid w:val="004B5C82"/>
    <w:rsid w:val="004B5C8D"/>
    <w:rsid w:val="004B5E4B"/>
    <w:rsid w:val="004B5F0C"/>
    <w:rsid w:val="004B62AE"/>
    <w:rsid w:val="004B662E"/>
    <w:rsid w:val="004B6696"/>
    <w:rsid w:val="004B67DD"/>
    <w:rsid w:val="004B68C5"/>
    <w:rsid w:val="004B692A"/>
    <w:rsid w:val="004B6AB9"/>
    <w:rsid w:val="004B6CAF"/>
    <w:rsid w:val="004B6F00"/>
    <w:rsid w:val="004B6F88"/>
    <w:rsid w:val="004B6F90"/>
    <w:rsid w:val="004B73D3"/>
    <w:rsid w:val="004B7466"/>
    <w:rsid w:val="004B776B"/>
    <w:rsid w:val="004B7926"/>
    <w:rsid w:val="004B795A"/>
    <w:rsid w:val="004B7983"/>
    <w:rsid w:val="004B7DBD"/>
    <w:rsid w:val="004C01AF"/>
    <w:rsid w:val="004C05C1"/>
    <w:rsid w:val="004C0929"/>
    <w:rsid w:val="004C0AEC"/>
    <w:rsid w:val="004C0B90"/>
    <w:rsid w:val="004C10E3"/>
    <w:rsid w:val="004C1124"/>
    <w:rsid w:val="004C1255"/>
    <w:rsid w:val="004C12A4"/>
    <w:rsid w:val="004C12C0"/>
    <w:rsid w:val="004C13C9"/>
    <w:rsid w:val="004C145F"/>
    <w:rsid w:val="004C16F0"/>
    <w:rsid w:val="004C1844"/>
    <w:rsid w:val="004C18A7"/>
    <w:rsid w:val="004C18D9"/>
    <w:rsid w:val="004C1965"/>
    <w:rsid w:val="004C1C8F"/>
    <w:rsid w:val="004C1F22"/>
    <w:rsid w:val="004C2007"/>
    <w:rsid w:val="004C2193"/>
    <w:rsid w:val="004C21C3"/>
    <w:rsid w:val="004C22A9"/>
    <w:rsid w:val="004C23E7"/>
    <w:rsid w:val="004C243E"/>
    <w:rsid w:val="004C246C"/>
    <w:rsid w:val="004C2599"/>
    <w:rsid w:val="004C25EB"/>
    <w:rsid w:val="004C2638"/>
    <w:rsid w:val="004C27F0"/>
    <w:rsid w:val="004C285C"/>
    <w:rsid w:val="004C28F3"/>
    <w:rsid w:val="004C28FF"/>
    <w:rsid w:val="004C2A80"/>
    <w:rsid w:val="004C2DC4"/>
    <w:rsid w:val="004C2F65"/>
    <w:rsid w:val="004C2FCF"/>
    <w:rsid w:val="004C3046"/>
    <w:rsid w:val="004C31AE"/>
    <w:rsid w:val="004C3213"/>
    <w:rsid w:val="004C3250"/>
    <w:rsid w:val="004C365E"/>
    <w:rsid w:val="004C3C33"/>
    <w:rsid w:val="004C3E23"/>
    <w:rsid w:val="004C4013"/>
    <w:rsid w:val="004C417A"/>
    <w:rsid w:val="004C4240"/>
    <w:rsid w:val="004C4507"/>
    <w:rsid w:val="004C450B"/>
    <w:rsid w:val="004C4536"/>
    <w:rsid w:val="004C4560"/>
    <w:rsid w:val="004C48FF"/>
    <w:rsid w:val="004C492F"/>
    <w:rsid w:val="004C496A"/>
    <w:rsid w:val="004C4AAE"/>
    <w:rsid w:val="004C4AC8"/>
    <w:rsid w:val="004C4C9B"/>
    <w:rsid w:val="004C4D12"/>
    <w:rsid w:val="004C4F72"/>
    <w:rsid w:val="004C4F8E"/>
    <w:rsid w:val="004C5034"/>
    <w:rsid w:val="004C51B4"/>
    <w:rsid w:val="004C5330"/>
    <w:rsid w:val="004C55C4"/>
    <w:rsid w:val="004C56A0"/>
    <w:rsid w:val="004C5762"/>
    <w:rsid w:val="004C57E1"/>
    <w:rsid w:val="004C58E4"/>
    <w:rsid w:val="004C59DA"/>
    <w:rsid w:val="004C5A6A"/>
    <w:rsid w:val="004C5A96"/>
    <w:rsid w:val="004C5B0C"/>
    <w:rsid w:val="004C5C15"/>
    <w:rsid w:val="004C5C73"/>
    <w:rsid w:val="004C5CAE"/>
    <w:rsid w:val="004C5DD5"/>
    <w:rsid w:val="004C5FA1"/>
    <w:rsid w:val="004C60FA"/>
    <w:rsid w:val="004C631F"/>
    <w:rsid w:val="004C635D"/>
    <w:rsid w:val="004C64C8"/>
    <w:rsid w:val="004C652A"/>
    <w:rsid w:val="004C662A"/>
    <w:rsid w:val="004C67B0"/>
    <w:rsid w:val="004C67E2"/>
    <w:rsid w:val="004C67E9"/>
    <w:rsid w:val="004C69A7"/>
    <w:rsid w:val="004C6A7B"/>
    <w:rsid w:val="004C6A88"/>
    <w:rsid w:val="004C6D85"/>
    <w:rsid w:val="004C6EA4"/>
    <w:rsid w:val="004C6F17"/>
    <w:rsid w:val="004C6FA6"/>
    <w:rsid w:val="004C70B2"/>
    <w:rsid w:val="004C7637"/>
    <w:rsid w:val="004C76A4"/>
    <w:rsid w:val="004C76A8"/>
    <w:rsid w:val="004C797B"/>
    <w:rsid w:val="004C7CD4"/>
    <w:rsid w:val="004C7CF3"/>
    <w:rsid w:val="004C7E45"/>
    <w:rsid w:val="004C7FEA"/>
    <w:rsid w:val="004C837A"/>
    <w:rsid w:val="004D0016"/>
    <w:rsid w:val="004D0142"/>
    <w:rsid w:val="004D021D"/>
    <w:rsid w:val="004D0260"/>
    <w:rsid w:val="004D0401"/>
    <w:rsid w:val="004D0827"/>
    <w:rsid w:val="004D0835"/>
    <w:rsid w:val="004D09CF"/>
    <w:rsid w:val="004D0BBF"/>
    <w:rsid w:val="004D0CDD"/>
    <w:rsid w:val="004D0F4D"/>
    <w:rsid w:val="004D115C"/>
    <w:rsid w:val="004D11A2"/>
    <w:rsid w:val="004D11BB"/>
    <w:rsid w:val="004D12A6"/>
    <w:rsid w:val="004D132E"/>
    <w:rsid w:val="004D1610"/>
    <w:rsid w:val="004D1654"/>
    <w:rsid w:val="004D166A"/>
    <w:rsid w:val="004D1683"/>
    <w:rsid w:val="004D1702"/>
    <w:rsid w:val="004D1770"/>
    <w:rsid w:val="004D184B"/>
    <w:rsid w:val="004D18A7"/>
    <w:rsid w:val="004D1A80"/>
    <w:rsid w:val="004D1ABA"/>
    <w:rsid w:val="004D1F27"/>
    <w:rsid w:val="004D1FA1"/>
    <w:rsid w:val="004D20C9"/>
    <w:rsid w:val="004D20D0"/>
    <w:rsid w:val="004D24A7"/>
    <w:rsid w:val="004D251A"/>
    <w:rsid w:val="004D2544"/>
    <w:rsid w:val="004D2598"/>
    <w:rsid w:val="004D2600"/>
    <w:rsid w:val="004D28FE"/>
    <w:rsid w:val="004D2996"/>
    <w:rsid w:val="004D2AC6"/>
    <w:rsid w:val="004D2CCB"/>
    <w:rsid w:val="004D2D72"/>
    <w:rsid w:val="004D2E9D"/>
    <w:rsid w:val="004D2F0B"/>
    <w:rsid w:val="004D3284"/>
    <w:rsid w:val="004D3988"/>
    <w:rsid w:val="004D39B8"/>
    <w:rsid w:val="004D3B8B"/>
    <w:rsid w:val="004D3C21"/>
    <w:rsid w:val="004D3D33"/>
    <w:rsid w:val="004D3D61"/>
    <w:rsid w:val="004D3F03"/>
    <w:rsid w:val="004D4096"/>
    <w:rsid w:val="004D41AB"/>
    <w:rsid w:val="004D41DC"/>
    <w:rsid w:val="004D4893"/>
    <w:rsid w:val="004D4A53"/>
    <w:rsid w:val="004D4A60"/>
    <w:rsid w:val="004D4C5C"/>
    <w:rsid w:val="004D4C6D"/>
    <w:rsid w:val="004D4D20"/>
    <w:rsid w:val="004D4D23"/>
    <w:rsid w:val="004D4E7C"/>
    <w:rsid w:val="004D4F10"/>
    <w:rsid w:val="004D5176"/>
    <w:rsid w:val="004D5491"/>
    <w:rsid w:val="004D54A3"/>
    <w:rsid w:val="004D5707"/>
    <w:rsid w:val="004D5A6C"/>
    <w:rsid w:val="004D5CC8"/>
    <w:rsid w:val="004D5E33"/>
    <w:rsid w:val="004D5EA4"/>
    <w:rsid w:val="004D5F04"/>
    <w:rsid w:val="004D6062"/>
    <w:rsid w:val="004D6467"/>
    <w:rsid w:val="004D64B0"/>
    <w:rsid w:val="004D6599"/>
    <w:rsid w:val="004D6744"/>
    <w:rsid w:val="004D6802"/>
    <w:rsid w:val="004D6894"/>
    <w:rsid w:val="004D6AD0"/>
    <w:rsid w:val="004D6C28"/>
    <w:rsid w:val="004D6C59"/>
    <w:rsid w:val="004D6C65"/>
    <w:rsid w:val="004D6D15"/>
    <w:rsid w:val="004D6F47"/>
    <w:rsid w:val="004D6FCA"/>
    <w:rsid w:val="004D70F4"/>
    <w:rsid w:val="004D711B"/>
    <w:rsid w:val="004D7427"/>
    <w:rsid w:val="004D7472"/>
    <w:rsid w:val="004D75DE"/>
    <w:rsid w:val="004D76CA"/>
    <w:rsid w:val="004D78BE"/>
    <w:rsid w:val="004D7912"/>
    <w:rsid w:val="004D792D"/>
    <w:rsid w:val="004D7AF6"/>
    <w:rsid w:val="004D7B23"/>
    <w:rsid w:val="004D7BFF"/>
    <w:rsid w:val="004D7C68"/>
    <w:rsid w:val="004D7D67"/>
    <w:rsid w:val="004D7E96"/>
    <w:rsid w:val="004E0034"/>
    <w:rsid w:val="004E0087"/>
    <w:rsid w:val="004E00D8"/>
    <w:rsid w:val="004E060F"/>
    <w:rsid w:val="004E06CD"/>
    <w:rsid w:val="004E0758"/>
    <w:rsid w:val="004E0B9F"/>
    <w:rsid w:val="004E11F6"/>
    <w:rsid w:val="004E124E"/>
    <w:rsid w:val="004E1260"/>
    <w:rsid w:val="004E1323"/>
    <w:rsid w:val="004E1439"/>
    <w:rsid w:val="004E1477"/>
    <w:rsid w:val="004E14DA"/>
    <w:rsid w:val="004E17B7"/>
    <w:rsid w:val="004E1984"/>
    <w:rsid w:val="004E1A7D"/>
    <w:rsid w:val="004E1B5D"/>
    <w:rsid w:val="004E215A"/>
    <w:rsid w:val="004E23C3"/>
    <w:rsid w:val="004E24CC"/>
    <w:rsid w:val="004E2563"/>
    <w:rsid w:val="004E2741"/>
    <w:rsid w:val="004E2BB2"/>
    <w:rsid w:val="004E2C8F"/>
    <w:rsid w:val="004E2CB3"/>
    <w:rsid w:val="004E2DE5"/>
    <w:rsid w:val="004E2E48"/>
    <w:rsid w:val="004E307A"/>
    <w:rsid w:val="004E30FD"/>
    <w:rsid w:val="004E314C"/>
    <w:rsid w:val="004E327A"/>
    <w:rsid w:val="004E3425"/>
    <w:rsid w:val="004E3487"/>
    <w:rsid w:val="004E372C"/>
    <w:rsid w:val="004E394D"/>
    <w:rsid w:val="004E3A73"/>
    <w:rsid w:val="004E3B41"/>
    <w:rsid w:val="004E3EEA"/>
    <w:rsid w:val="004E3F04"/>
    <w:rsid w:val="004E405A"/>
    <w:rsid w:val="004E435A"/>
    <w:rsid w:val="004E4940"/>
    <w:rsid w:val="004E4A63"/>
    <w:rsid w:val="004E4CEB"/>
    <w:rsid w:val="004E4E28"/>
    <w:rsid w:val="004E5088"/>
    <w:rsid w:val="004E513C"/>
    <w:rsid w:val="004E53FF"/>
    <w:rsid w:val="004E562E"/>
    <w:rsid w:val="004E56CA"/>
    <w:rsid w:val="004E572E"/>
    <w:rsid w:val="004E5787"/>
    <w:rsid w:val="004E57DE"/>
    <w:rsid w:val="004E581F"/>
    <w:rsid w:val="004E5991"/>
    <w:rsid w:val="004E59F1"/>
    <w:rsid w:val="004E5AB7"/>
    <w:rsid w:val="004E5B8D"/>
    <w:rsid w:val="004E5E78"/>
    <w:rsid w:val="004E6092"/>
    <w:rsid w:val="004E6163"/>
    <w:rsid w:val="004E628B"/>
    <w:rsid w:val="004E64C6"/>
    <w:rsid w:val="004E68C3"/>
    <w:rsid w:val="004E6C0E"/>
    <w:rsid w:val="004E6DE6"/>
    <w:rsid w:val="004E6E65"/>
    <w:rsid w:val="004E6FA6"/>
    <w:rsid w:val="004E7190"/>
    <w:rsid w:val="004E7248"/>
    <w:rsid w:val="004E752A"/>
    <w:rsid w:val="004E75A0"/>
    <w:rsid w:val="004E77C8"/>
    <w:rsid w:val="004E77DD"/>
    <w:rsid w:val="004E7981"/>
    <w:rsid w:val="004E79C7"/>
    <w:rsid w:val="004E7BE8"/>
    <w:rsid w:val="004E7C7A"/>
    <w:rsid w:val="004E7CCF"/>
    <w:rsid w:val="004E7DD2"/>
    <w:rsid w:val="004E7E7B"/>
    <w:rsid w:val="004F00E3"/>
    <w:rsid w:val="004F037F"/>
    <w:rsid w:val="004F03D3"/>
    <w:rsid w:val="004F03D7"/>
    <w:rsid w:val="004F0493"/>
    <w:rsid w:val="004F06D1"/>
    <w:rsid w:val="004F0826"/>
    <w:rsid w:val="004F09F0"/>
    <w:rsid w:val="004F0BDC"/>
    <w:rsid w:val="004F0E7B"/>
    <w:rsid w:val="004F0F90"/>
    <w:rsid w:val="004F0FB4"/>
    <w:rsid w:val="004F12DE"/>
    <w:rsid w:val="004F132B"/>
    <w:rsid w:val="004F13B1"/>
    <w:rsid w:val="004F157F"/>
    <w:rsid w:val="004F170B"/>
    <w:rsid w:val="004F18BD"/>
    <w:rsid w:val="004F1949"/>
    <w:rsid w:val="004F19BB"/>
    <w:rsid w:val="004F1A2B"/>
    <w:rsid w:val="004F1A79"/>
    <w:rsid w:val="004F1C74"/>
    <w:rsid w:val="004F1DAB"/>
    <w:rsid w:val="004F1DB4"/>
    <w:rsid w:val="004F1F21"/>
    <w:rsid w:val="004F1F69"/>
    <w:rsid w:val="004F2205"/>
    <w:rsid w:val="004F244F"/>
    <w:rsid w:val="004F24A3"/>
    <w:rsid w:val="004F261D"/>
    <w:rsid w:val="004F28D7"/>
    <w:rsid w:val="004F2A44"/>
    <w:rsid w:val="004F2BC5"/>
    <w:rsid w:val="004F2C7B"/>
    <w:rsid w:val="004F2CF2"/>
    <w:rsid w:val="004F2D01"/>
    <w:rsid w:val="004F2EB8"/>
    <w:rsid w:val="004F2F00"/>
    <w:rsid w:val="004F2FEA"/>
    <w:rsid w:val="004F3220"/>
    <w:rsid w:val="004F3305"/>
    <w:rsid w:val="004F34A6"/>
    <w:rsid w:val="004F34BB"/>
    <w:rsid w:val="004F356B"/>
    <w:rsid w:val="004F35EC"/>
    <w:rsid w:val="004F36C8"/>
    <w:rsid w:val="004F36CB"/>
    <w:rsid w:val="004F3797"/>
    <w:rsid w:val="004F390E"/>
    <w:rsid w:val="004F391A"/>
    <w:rsid w:val="004F3921"/>
    <w:rsid w:val="004F3DDF"/>
    <w:rsid w:val="004F4121"/>
    <w:rsid w:val="004F443F"/>
    <w:rsid w:val="004F4444"/>
    <w:rsid w:val="004F452A"/>
    <w:rsid w:val="004F4564"/>
    <w:rsid w:val="004F461C"/>
    <w:rsid w:val="004F4632"/>
    <w:rsid w:val="004F46F4"/>
    <w:rsid w:val="004F482F"/>
    <w:rsid w:val="004F483C"/>
    <w:rsid w:val="004F4BD1"/>
    <w:rsid w:val="004F4CCA"/>
    <w:rsid w:val="004F4CDA"/>
    <w:rsid w:val="004F4D47"/>
    <w:rsid w:val="004F512F"/>
    <w:rsid w:val="004F513C"/>
    <w:rsid w:val="004F524F"/>
    <w:rsid w:val="004F5306"/>
    <w:rsid w:val="004F5380"/>
    <w:rsid w:val="004F5512"/>
    <w:rsid w:val="004F569C"/>
    <w:rsid w:val="004F56CB"/>
    <w:rsid w:val="004F575F"/>
    <w:rsid w:val="004F5841"/>
    <w:rsid w:val="004F5868"/>
    <w:rsid w:val="004F5AC8"/>
    <w:rsid w:val="004F5C4E"/>
    <w:rsid w:val="004F5D39"/>
    <w:rsid w:val="004F5EFB"/>
    <w:rsid w:val="004F5F06"/>
    <w:rsid w:val="004F5FC9"/>
    <w:rsid w:val="004F61E2"/>
    <w:rsid w:val="004F6624"/>
    <w:rsid w:val="004F69B0"/>
    <w:rsid w:val="004F69CD"/>
    <w:rsid w:val="004F6A89"/>
    <w:rsid w:val="004F6C64"/>
    <w:rsid w:val="004F6CD8"/>
    <w:rsid w:val="004F6F07"/>
    <w:rsid w:val="004F6F4C"/>
    <w:rsid w:val="004F700E"/>
    <w:rsid w:val="004F705D"/>
    <w:rsid w:val="004F724F"/>
    <w:rsid w:val="004F7714"/>
    <w:rsid w:val="004F776A"/>
    <w:rsid w:val="004F7A9E"/>
    <w:rsid w:val="004F7CF6"/>
    <w:rsid w:val="004F7D8A"/>
    <w:rsid w:val="004F7E69"/>
    <w:rsid w:val="004F7F23"/>
    <w:rsid w:val="004F7F91"/>
    <w:rsid w:val="005000F9"/>
    <w:rsid w:val="00500109"/>
    <w:rsid w:val="005001B9"/>
    <w:rsid w:val="005001DD"/>
    <w:rsid w:val="00500246"/>
    <w:rsid w:val="005002F6"/>
    <w:rsid w:val="005003DF"/>
    <w:rsid w:val="005004FF"/>
    <w:rsid w:val="0050078E"/>
    <w:rsid w:val="005008E3"/>
    <w:rsid w:val="00500A9C"/>
    <w:rsid w:val="00500BBF"/>
    <w:rsid w:val="00500C18"/>
    <w:rsid w:val="00500C63"/>
    <w:rsid w:val="00500D1D"/>
    <w:rsid w:val="00500F2F"/>
    <w:rsid w:val="00501134"/>
    <w:rsid w:val="00501269"/>
    <w:rsid w:val="00501450"/>
    <w:rsid w:val="005016CF"/>
    <w:rsid w:val="00501846"/>
    <w:rsid w:val="005018ED"/>
    <w:rsid w:val="00501A10"/>
    <w:rsid w:val="00501C41"/>
    <w:rsid w:val="00501D19"/>
    <w:rsid w:val="00501D36"/>
    <w:rsid w:val="00501F78"/>
    <w:rsid w:val="00502114"/>
    <w:rsid w:val="00502116"/>
    <w:rsid w:val="0050233A"/>
    <w:rsid w:val="005023A6"/>
    <w:rsid w:val="00502501"/>
    <w:rsid w:val="00502639"/>
    <w:rsid w:val="00502890"/>
    <w:rsid w:val="005028E2"/>
    <w:rsid w:val="005028EC"/>
    <w:rsid w:val="005029AF"/>
    <w:rsid w:val="00502DE1"/>
    <w:rsid w:val="00502E15"/>
    <w:rsid w:val="00502E1C"/>
    <w:rsid w:val="00503421"/>
    <w:rsid w:val="005036A2"/>
    <w:rsid w:val="00503849"/>
    <w:rsid w:val="00503958"/>
    <w:rsid w:val="00503A06"/>
    <w:rsid w:val="00503C88"/>
    <w:rsid w:val="00503D17"/>
    <w:rsid w:val="00503F4F"/>
    <w:rsid w:val="0050407F"/>
    <w:rsid w:val="005041FF"/>
    <w:rsid w:val="00504202"/>
    <w:rsid w:val="00504420"/>
    <w:rsid w:val="0050455E"/>
    <w:rsid w:val="00504921"/>
    <w:rsid w:val="00504980"/>
    <w:rsid w:val="00504A0F"/>
    <w:rsid w:val="00504A6A"/>
    <w:rsid w:val="00504BC0"/>
    <w:rsid w:val="00504F17"/>
    <w:rsid w:val="00505361"/>
    <w:rsid w:val="0050539F"/>
    <w:rsid w:val="005054D0"/>
    <w:rsid w:val="0050552F"/>
    <w:rsid w:val="00505768"/>
    <w:rsid w:val="005059C7"/>
    <w:rsid w:val="00505B24"/>
    <w:rsid w:val="0050615D"/>
    <w:rsid w:val="005061A1"/>
    <w:rsid w:val="0050648B"/>
    <w:rsid w:val="00506627"/>
    <w:rsid w:val="00506AB6"/>
    <w:rsid w:val="00506B9A"/>
    <w:rsid w:val="00506C2E"/>
    <w:rsid w:val="00506DC0"/>
    <w:rsid w:val="00506F18"/>
    <w:rsid w:val="00506F1E"/>
    <w:rsid w:val="00506FF1"/>
    <w:rsid w:val="00507208"/>
    <w:rsid w:val="005072EF"/>
    <w:rsid w:val="00507564"/>
    <w:rsid w:val="005075AC"/>
    <w:rsid w:val="005075B5"/>
    <w:rsid w:val="00507679"/>
    <w:rsid w:val="00507680"/>
    <w:rsid w:val="005077FA"/>
    <w:rsid w:val="0050795C"/>
    <w:rsid w:val="00507A1B"/>
    <w:rsid w:val="00507A22"/>
    <w:rsid w:val="00507B59"/>
    <w:rsid w:val="00507B88"/>
    <w:rsid w:val="00507BFC"/>
    <w:rsid w:val="00507CA8"/>
    <w:rsid w:val="00507FCA"/>
    <w:rsid w:val="00510221"/>
    <w:rsid w:val="0051026F"/>
    <w:rsid w:val="00510274"/>
    <w:rsid w:val="00510362"/>
    <w:rsid w:val="005104B4"/>
    <w:rsid w:val="0051066A"/>
    <w:rsid w:val="00510C1F"/>
    <w:rsid w:val="00510D3E"/>
    <w:rsid w:val="00510E02"/>
    <w:rsid w:val="005110C5"/>
    <w:rsid w:val="00511644"/>
    <w:rsid w:val="00511885"/>
    <w:rsid w:val="00511943"/>
    <w:rsid w:val="005119BC"/>
    <w:rsid w:val="00511A6A"/>
    <w:rsid w:val="00511AFC"/>
    <w:rsid w:val="00511B7C"/>
    <w:rsid w:val="00511BD5"/>
    <w:rsid w:val="00511D45"/>
    <w:rsid w:val="00511DEA"/>
    <w:rsid w:val="00512235"/>
    <w:rsid w:val="005122B0"/>
    <w:rsid w:val="00512309"/>
    <w:rsid w:val="005124D4"/>
    <w:rsid w:val="00512596"/>
    <w:rsid w:val="0051261F"/>
    <w:rsid w:val="005126CB"/>
    <w:rsid w:val="005126FA"/>
    <w:rsid w:val="0051275C"/>
    <w:rsid w:val="0051286F"/>
    <w:rsid w:val="0051288A"/>
    <w:rsid w:val="00512926"/>
    <w:rsid w:val="00512997"/>
    <w:rsid w:val="00512A64"/>
    <w:rsid w:val="00512C59"/>
    <w:rsid w:val="00512D74"/>
    <w:rsid w:val="00512DEB"/>
    <w:rsid w:val="00513338"/>
    <w:rsid w:val="0051343D"/>
    <w:rsid w:val="00513708"/>
    <w:rsid w:val="0051395F"/>
    <w:rsid w:val="00513A66"/>
    <w:rsid w:val="00513F1F"/>
    <w:rsid w:val="00513FC4"/>
    <w:rsid w:val="005140D9"/>
    <w:rsid w:val="00514167"/>
    <w:rsid w:val="0051420F"/>
    <w:rsid w:val="00514263"/>
    <w:rsid w:val="0051435E"/>
    <w:rsid w:val="00514967"/>
    <w:rsid w:val="00514BC4"/>
    <w:rsid w:val="00514D60"/>
    <w:rsid w:val="00514D7F"/>
    <w:rsid w:val="00514DC7"/>
    <w:rsid w:val="00515000"/>
    <w:rsid w:val="00515256"/>
    <w:rsid w:val="0051535D"/>
    <w:rsid w:val="00515556"/>
    <w:rsid w:val="00515653"/>
    <w:rsid w:val="005156FE"/>
    <w:rsid w:val="00515A04"/>
    <w:rsid w:val="00515CF0"/>
    <w:rsid w:val="00515DC3"/>
    <w:rsid w:val="00515EDE"/>
    <w:rsid w:val="00515FFE"/>
    <w:rsid w:val="00516097"/>
    <w:rsid w:val="005160F7"/>
    <w:rsid w:val="005162AC"/>
    <w:rsid w:val="0051631F"/>
    <w:rsid w:val="005163AB"/>
    <w:rsid w:val="005163E8"/>
    <w:rsid w:val="005164BF"/>
    <w:rsid w:val="00516645"/>
    <w:rsid w:val="00516B43"/>
    <w:rsid w:val="00516C17"/>
    <w:rsid w:val="00516DD2"/>
    <w:rsid w:val="00517170"/>
    <w:rsid w:val="00517501"/>
    <w:rsid w:val="005179D8"/>
    <w:rsid w:val="00517B30"/>
    <w:rsid w:val="00517BDF"/>
    <w:rsid w:val="00517DBF"/>
    <w:rsid w:val="00517E2A"/>
    <w:rsid w:val="005200BF"/>
    <w:rsid w:val="005201FE"/>
    <w:rsid w:val="0052022D"/>
    <w:rsid w:val="005202F6"/>
    <w:rsid w:val="0052040C"/>
    <w:rsid w:val="005204FC"/>
    <w:rsid w:val="005205D6"/>
    <w:rsid w:val="00520618"/>
    <w:rsid w:val="00520687"/>
    <w:rsid w:val="00520877"/>
    <w:rsid w:val="00520911"/>
    <w:rsid w:val="00520BDC"/>
    <w:rsid w:val="00520C3A"/>
    <w:rsid w:val="00520C7A"/>
    <w:rsid w:val="00520E33"/>
    <w:rsid w:val="0052114C"/>
    <w:rsid w:val="00521319"/>
    <w:rsid w:val="0052140C"/>
    <w:rsid w:val="00521699"/>
    <w:rsid w:val="005216F0"/>
    <w:rsid w:val="00521740"/>
    <w:rsid w:val="005217E7"/>
    <w:rsid w:val="0052180E"/>
    <w:rsid w:val="0052183B"/>
    <w:rsid w:val="005219FA"/>
    <w:rsid w:val="00521DAB"/>
    <w:rsid w:val="00521FE5"/>
    <w:rsid w:val="00522041"/>
    <w:rsid w:val="0052204E"/>
    <w:rsid w:val="005220FF"/>
    <w:rsid w:val="005221EE"/>
    <w:rsid w:val="0052223B"/>
    <w:rsid w:val="0052226F"/>
    <w:rsid w:val="0052227E"/>
    <w:rsid w:val="005224C7"/>
    <w:rsid w:val="005227FE"/>
    <w:rsid w:val="005229FB"/>
    <w:rsid w:val="00522A6F"/>
    <w:rsid w:val="00522AA6"/>
    <w:rsid w:val="00523006"/>
    <w:rsid w:val="005233E3"/>
    <w:rsid w:val="0052347E"/>
    <w:rsid w:val="005234B0"/>
    <w:rsid w:val="00523602"/>
    <w:rsid w:val="00523824"/>
    <w:rsid w:val="005238E6"/>
    <w:rsid w:val="00523B10"/>
    <w:rsid w:val="00523B61"/>
    <w:rsid w:val="00523C1F"/>
    <w:rsid w:val="00523E95"/>
    <w:rsid w:val="00523EC5"/>
    <w:rsid w:val="00523EF6"/>
    <w:rsid w:val="005240A6"/>
    <w:rsid w:val="005240FC"/>
    <w:rsid w:val="005242FD"/>
    <w:rsid w:val="005243BB"/>
    <w:rsid w:val="00524734"/>
    <w:rsid w:val="005247F9"/>
    <w:rsid w:val="00524A71"/>
    <w:rsid w:val="00524C5D"/>
    <w:rsid w:val="00524CCA"/>
    <w:rsid w:val="00524D03"/>
    <w:rsid w:val="00524D48"/>
    <w:rsid w:val="0052511A"/>
    <w:rsid w:val="00525159"/>
    <w:rsid w:val="0052536C"/>
    <w:rsid w:val="0052591D"/>
    <w:rsid w:val="00525D85"/>
    <w:rsid w:val="00525DFC"/>
    <w:rsid w:val="00525FC3"/>
    <w:rsid w:val="00525FF1"/>
    <w:rsid w:val="0052600F"/>
    <w:rsid w:val="00526141"/>
    <w:rsid w:val="0052636B"/>
    <w:rsid w:val="0052636E"/>
    <w:rsid w:val="005267F4"/>
    <w:rsid w:val="00526861"/>
    <w:rsid w:val="005268DE"/>
    <w:rsid w:val="00526C1E"/>
    <w:rsid w:val="00526E4A"/>
    <w:rsid w:val="0052718B"/>
    <w:rsid w:val="005273FA"/>
    <w:rsid w:val="0052750C"/>
    <w:rsid w:val="005275BD"/>
    <w:rsid w:val="00527670"/>
    <w:rsid w:val="0052773A"/>
    <w:rsid w:val="0052780E"/>
    <w:rsid w:val="0052783C"/>
    <w:rsid w:val="005279D1"/>
    <w:rsid w:val="00527B00"/>
    <w:rsid w:val="00527B23"/>
    <w:rsid w:val="00527B9B"/>
    <w:rsid w:val="00530108"/>
    <w:rsid w:val="0053012A"/>
    <w:rsid w:val="0053020A"/>
    <w:rsid w:val="00530371"/>
    <w:rsid w:val="00530675"/>
    <w:rsid w:val="005306D9"/>
    <w:rsid w:val="005307A1"/>
    <w:rsid w:val="0053084F"/>
    <w:rsid w:val="00530903"/>
    <w:rsid w:val="0053098A"/>
    <w:rsid w:val="00530A23"/>
    <w:rsid w:val="00530CF7"/>
    <w:rsid w:val="00530E79"/>
    <w:rsid w:val="00531001"/>
    <w:rsid w:val="0053112D"/>
    <w:rsid w:val="005313EE"/>
    <w:rsid w:val="00531404"/>
    <w:rsid w:val="005315B9"/>
    <w:rsid w:val="00531649"/>
    <w:rsid w:val="0053187B"/>
    <w:rsid w:val="0053196A"/>
    <w:rsid w:val="00531A78"/>
    <w:rsid w:val="00531FA2"/>
    <w:rsid w:val="00532015"/>
    <w:rsid w:val="00532038"/>
    <w:rsid w:val="00532077"/>
    <w:rsid w:val="005320A1"/>
    <w:rsid w:val="005320D6"/>
    <w:rsid w:val="0053220F"/>
    <w:rsid w:val="00532B32"/>
    <w:rsid w:val="00532C29"/>
    <w:rsid w:val="00532E87"/>
    <w:rsid w:val="00532F0F"/>
    <w:rsid w:val="005331BC"/>
    <w:rsid w:val="005331BF"/>
    <w:rsid w:val="00533401"/>
    <w:rsid w:val="00533560"/>
    <w:rsid w:val="00533A8A"/>
    <w:rsid w:val="00533ADA"/>
    <w:rsid w:val="00533B3C"/>
    <w:rsid w:val="00533D18"/>
    <w:rsid w:val="0053404D"/>
    <w:rsid w:val="00534D0D"/>
    <w:rsid w:val="00534D77"/>
    <w:rsid w:val="00534F12"/>
    <w:rsid w:val="00535141"/>
    <w:rsid w:val="005354DC"/>
    <w:rsid w:val="00535556"/>
    <w:rsid w:val="0053560A"/>
    <w:rsid w:val="0053570B"/>
    <w:rsid w:val="005357C2"/>
    <w:rsid w:val="00535957"/>
    <w:rsid w:val="00535988"/>
    <w:rsid w:val="00535EC8"/>
    <w:rsid w:val="00535F6C"/>
    <w:rsid w:val="00535FDB"/>
    <w:rsid w:val="005361AB"/>
    <w:rsid w:val="0053623E"/>
    <w:rsid w:val="00536474"/>
    <w:rsid w:val="005366BD"/>
    <w:rsid w:val="00536816"/>
    <w:rsid w:val="0053690B"/>
    <w:rsid w:val="00536ACD"/>
    <w:rsid w:val="00536ACF"/>
    <w:rsid w:val="00536DFB"/>
    <w:rsid w:val="00536E33"/>
    <w:rsid w:val="00536ED4"/>
    <w:rsid w:val="00536ED5"/>
    <w:rsid w:val="00536F25"/>
    <w:rsid w:val="00536FA2"/>
    <w:rsid w:val="00536FAB"/>
    <w:rsid w:val="00537028"/>
    <w:rsid w:val="00537065"/>
    <w:rsid w:val="00537148"/>
    <w:rsid w:val="0053734C"/>
    <w:rsid w:val="005373BF"/>
    <w:rsid w:val="00537560"/>
    <w:rsid w:val="0053759D"/>
    <w:rsid w:val="00537679"/>
    <w:rsid w:val="00537824"/>
    <w:rsid w:val="00537875"/>
    <w:rsid w:val="005378BC"/>
    <w:rsid w:val="005378C6"/>
    <w:rsid w:val="00537966"/>
    <w:rsid w:val="00537A42"/>
    <w:rsid w:val="00537D44"/>
    <w:rsid w:val="00537D5A"/>
    <w:rsid w:val="00537E6A"/>
    <w:rsid w:val="00537E70"/>
    <w:rsid w:val="00537F21"/>
    <w:rsid w:val="005400C0"/>
    <w:rsid w:val="0054036F"/>
    <w:rsid w:val="0054061A"/>
    <w:rsid w:val="005406D8"/>
    <w:rsid w:val="005407ED"/>
    <w:rsid w:val="005408BB"/>
    <w:rsid w:val="00540A11"/>
    <w:rsid w:val="00540B6E"/>
    <w:rsid w:val="00540DAC"/>
    <w:rsid w:val="00540F70"/>
    <w:rsid w:val="00540FF2"/>
    <w:rsid w:val="0054104E"/>
    <w:rsid w:val="0054107D"/>
    <w:rsid w:val="00541164"/>
    <w:rsid w:val="005411E2"/>
    <w:rsid w:val="0054124A"/>
    <w:rsid w:val="0054133A"/>
    <w:rsid w:val="00541478"/>
    <w:rsid w:val="005416A1"/>
    <w:rsid w:val="00541CCF"/>
    <w:rsid w:val="00541D5A"/>
    <w:rsid w:val="00541DFE"/>
    <w:rsid w:val="0054200C"/>
    <w:rsid w:val="005421FC"/>
    <w:rsid w:val="0054272B"/>
    <w:rsid w:val="00542CF9"/>
    <w:rsid w:val="00542DA3"/>
    <w:rsid w:val="00543015"/>
    <w:rsid w:val="00543061"/>
    <w:rsid w:val="00543251"/>
    <w:rsid w:val="00543885"/>
    <w:rsid w:val="0054391B"/>
    <w:rsid w:val="00543A17"/>
    <w:rsid w:val="00543A8E"/>
    <w:rsid w:val="005440FB"/>
    <w:rsid w:val="00544133"/>
    <w:rsid w:val="0054427F"/>
    <w:rsid w:val="0054433F"/>
    <w:rsid w:val="005444B1"/>
    <w:rsid w:val="005447FD"/>
    <w:rsid w:val="005448B5"/>
    <w:rsid w:val="00544B1E"/>
    <w:rsid w:val="00544B76"/>
    <w:rsid w:val="00544C41"/>
    <w:rsid w:val="00544E41"/>
    <w:rsid w:val="00544E7E"/>
    <w:rsid w:val="00545064"/>
    <w:rsid w:val="00545121"/>
    <w:rsid w:val="0054526F"/>
    <w:rsid w:val="005452DB"/>
    <w:rsid w:val="005453E4"/>
    <w:rsid w:val="0054569C"/>
    <w:rsid w:val="00545815"/>
    <w:rsid w:val="00545819"/>
    <w:rsid w:val="0054593D"/>
    <w:rsid w:val="005459F2"/>
    <w:rsid w:val="00545B1C"/>
    <w:rsid w:val="00545B68"/>
    <w:rsid w:val="00545C2B"/>
    <w:rsid w:val="00545D71"/>
    <w:rsid w:val="00545DCA"/>
    <w:rsid w:val="00545E4B"/>
    <w:rsid w:val="0054609A"/>
    <w:rsid w:val="00546148"/>
    <w:rsid w:val="00546312"/>
    <w:rsid w:val="00546521"/>
    <w:rsid w:val="00546572"/>
    <w:rsid w:val="00546999"/>
    <w:rsid w:val="00546B23"/>
    <w:rsid w:val="00546B45"/>
    <w:rsid w:val="00546C71"/>
    <w:rsid w:val="00546CF8"/>
    <w:rsid w:val="00546D09"/>
    <w:rsid w:val="00547049"/>
    <w:rsid w:val="00547169"/>
    <w:rsid w:val="00547207"/>
    <w:rsid w:val="0054735D"/>
    <w:rsid w:val="005473A4"/>
    <w:rsid w:val="005473D7"/>
    <w:rsid w:val="005475EE"/>
    <w:rsid w:val="005478A5"/>
    <w:rsid w:val="005479C0"/>
    <w:rsid w:val="00547C1A"/>
    <w:rsid w:val="00547C34"/>
    <w:rsid w:val="00547D95"/>
    <w:rsid w:val="005501BC"/>
    <w:rsid w:val="0055026C"/>
    <w:rsid w:val="005502C9"/>
    <w:rsid w:val="00550357"/>
    <w:rsid w:val="00550551"/>
    <w:rsid w:val="00550779"/>
    <w:rsid w:val="00550900"/>
    <w:rsid w:val="00550997"/>
    <w:rsid w:val="005509A2"/>
    <w:rsid w:val="00550B79"/>
    <w:rsid w:val="00550BCE"/>
    <w:rsid w:val="00550CAD"/>
    <w:rsid w:val="00550D9D"/>
    <w:rsid w:val="00550E74"/>
    <w:rsid w:val="00550EDF"/>
    <w:rsid w:val="00550F30"/>
    <w:rsid w:val="00550F90"/>
    <w:rsid w:val="0055167F"/>
    <w:rsid w:val="0055183D"/>
    <w:rsid w:val="005519BC"/>
    <w:rsid w:val="00551A98"/>
    <w:rsid w:val="00551A9B"/>
    <w:rsid w:val="00551C33"/>
    <w:rsid w:val="00551F6A"/>
    <w:rsid w:val="00552073"/>
    <w:rsid w:val="00552092"/>
    <w:rsid w:val="005521B9"/>
    <w:rsid w:val="0055225C"/>
    <w:rsid w:val="0055235D"/>
    <w:rsid w:val="005523DA"/>
    <w:rsid w:val="0055257C"/>
    <w:rsid w:val="00552613"/>
    <w:rsid w:val="00552CA2"/>
    <w:rsid w:val="00552D72"/>
    <w:rsid w:val="00552E5A"/>
    <w:rsid w:val="00552FF7"/>
    <w:rsid w:val="00553010"/>
    <w:rsid w:val="0055317B"/>
    <w:rsid w:val="00553207"/>
    <w:rsid w:val="00553309"/>
    <w:rsid w:val="00553684"/>
    <w:rsid w:val="00553739"/>
    <w:rsid w:val="005539B5"/>
    <w:rsid w:val="00553D01"/>
    <w:rsid w:val="00553F18"/>
    <w:rsid w:val="00553F71"/>
    <w:rsid w:val="00553FA5"/>
    <w:rsid w:val="0055404F"/>
    <w:rsid w:val="005540D1"/>
    <w:rsid w:val="00554354"/>
    <w:rsid w:val="005543AF"/>
    <w:rsid w:val="0055441A"/>
    <w:rsid w:val="00554425"/>
    <w:rsid w:val="00554599"/>
    <w:rsid w:val="00554612"/>
    <w:rsid w:val="00554660"/>
    <w:rsid w:val="00554692"/>
    <w:rsid w:val="005547A1"/>
    <w:rsid w:val="005549F2"/>
    <w:rsid w:val="00554A3F"/>
    <w:rsid w:val="00554CB0"/>
    <w:rsid w:val="0055509B"/>
    <w:rsid w:val="00555428"/>
    <w:rsid w:val="005555F8"/>
    <w:rsid w:val="0055564E"/>
    <w:rsid w:val="005556B1"/>
    <w:rsid w:val="00555708"/>
    <w:rsid w:val="00555909"/>
    <w:rsid w:val="0055593C"/>
    <w:rsid w:val="00555969"/>
    <w:rsid w:val="00555B38"/>
    <w:rsid w:val="00555F0E"/>
    <w:rsid w:val="00555F4D"/>
    <w:rsid w:val="00556015"/>
    <w:rsid w:val="005562F9"/>
    <w:rsid w:val="005565A8"/>
    <w:rsid w:val="00556853"/>
    <w:rsid w:val="005568E4"/>
    <w:rsid w:val="00556982"/>
    <w:rsid w:val="00556B84"/>
    <w:rsid w:val="00556DC3"/>
    <w:rsid w:val="00556E96"/>
    <w:rsid w:val="00556F25"/>
    <w:rsid w:val="00556F78"/>
    <w:rsid w:val="00557081"/>
    <w:rsid w:val="00557246"/>
    <w:rsid w:val="00557463"/>
    <w:rsid w:val="00557468"/>
    <w:rsid w:val="00557557"/>
    <w:rsid w:val="005575C3"/>
    <w:rsid w:val="0055798A"/>
    <w:rsid w:val="00557BF8"/>
    <w:rsid w:val="00557C1C"/>
    <w:rsid w:val="00557E6F"/>
    <w:rsid w:val="00557F2B"/>
    <w:rsid w:val="00560090"/>
    <w:rsid w:val="00560098"/>
    <w:rsid w:val="005600FF"/>
    <w:rsid w:val="00560632"/>
    <w:rsid w:val="00560795"/>
    <w:rsid w:val="00560940"/>
    <w:rsid w:val="00560966"/>
    <w:rsid w:val="00560B80"/>
    <w:rsid w:val="00560C19"/>
    <w:rsid w:val="00560C8E"/>
    <w:rsid w:val="0056116D"/>
    <w:rsid w:val="005612D8"/>
    <w:rsid w:val="005613FB"/>
    <w:rsid w:val="005614B3"/>
    <w:rsid w:val="0056152C"/>
    <w:rsid w:val="0056155D"/>
    <w:rsid w:val="00561593"/>
    <w:rsid w:val="005615BA"/>
    <w:rsid w:val="0056164F"/>
    <w:rsid w:val="00561786"/>
    <w:rsid w:val="00561A5F"/>
    <w:rsid w:val="00561B07"/>
    <w:rsid w:val="00561CE8"/>
    <w:rsid w:val="00562074"/>
    <w:rsid w:val="00562135"/>
    <w:rsid w:val="00562223"/>
    <w:rsid w:val="005625DC"/>
    <w:rsid w:val="005627CC"/>
    <w:rsid w:val="00562C82"/>
    <w:rsid w:val="00562D8A"/>
    <w:rsid w:val="00562D8D"/>
    <w:rsid w:val="00562E9A"/>
    <w:rsid w:val="005630C1"/>
    <w:rsid w:val="00563149"/>
    <w:rsid w:val="0056363D"/>
    <w:rsid w:val="005636D0"/>
    <w:rsid w:val="005636FC"/>
    <w:rsid w:val="005638CF"/>
    <w:rsid w:val="00563AAA"/>
    <w:rsid w:val="00563B2C"/>
    <w:rsid w:val="00563D2E"/>
    <w:rsid w:val="00563E50"/>
    <w:rsid w:val="00564011"/>
    <w:rsid w:val="00564409"/>
    <w:rsid w:val="0056490F"/>
    <w:rsid w:val="005649A8"/>
    <w:rsid w:val="005649BB"/>
    <w:rsid w:val="00564A77"/>
    <w:rsid w:val="00564D85"/>
    <w:rsid w:val="00565086"/>
    <w:rsid w:val="00565134"/>
    <w:rsid w:val="0056530F"/>
    <w:rsid w:val="005658EA"/>
    <w:rsid w:val="00565A32"/>
    <w:rsid w:val="00565BFE"/>
    <w:rsid w:val="00565EF0"/>
    <w:rsid w:val="00566039"/>
    <w:rsid w:val="005660C9"/>
    <w:rsid w:val="00566162"/>
    <w:rsid w:val="00566535"/>
    <w:rsid w:val="00566830"/>
    <w:rsid w:val="0056691A"/>
    <w:rsid w:val="00566954"/>
    <w:rsid w:val="005669DD"/>
    <w:rsid w:val="00566ED2"/>
    <w:rsid w:val="0056717B"/>
    <w:rsid w:val="005671A6"/>
    <w:rsid w:val="005671AD"/>
    <w:rsid w:val="0056726F"/>
    <w:rsid w:val="005672B6"/>
    <w:rsid w:val="005672E7"/>
    <w:rsid w:val="00567492"/>
    <w:rsid w:val="00567533"/>
    <w:rsid w:val="00567963"/>
    <w:rsid w:val="005679AF"/>
    <w:rsid w:val="00567A33"/>
    <w:rsid w:val="00567CE9"/>
    <w:rsid w:val="00567EC5"/>
    <w:rsid w:val="00567F28"/>
    <w:rsid w:val="00570044"/>
    <w:rsid w:val="00570120"/>
    <w:rsid w:val="00570128"/>
    <w:rsid w:val="005701C2"/>
    <w:rsid w:val="005701E5"/>
    <w:rsid w:val="005704D2"/>
    <w:rsid w:val="00570682"/>
    <w:rsid w:val="00570B97"/>
    <w:rsid w:val="00570D17"/>
    <w:rsid w:val="00570EF2"/>
    <w:rsid w:val="00571086"/>
    <w:rsid w:val="00571146"/>
    <w:rsid w:val="00571235"/>
    <w:rsid w:val="005712C5"/>
    <w:rsid w:val="005718F5"/>
    <w:rsid w:val="00571A51"/>
    <w:rsid w:val="00571ABD"/>
    <w:rsid w:val="00571F27"/>
    <w:rsid w:val="005720B7"/>
    <w:rsid w:val="0057222D"/>
    <w:rsid w:val="005722C2"/>
    <w:rsid w:val="005722C4"/>
    <w:rsid w:val="0057245B"/>
    <w:rsid w:val="005725B9"/>
    <w:rsid w:val="005726FD"/>
    <w:rsid w:val="00572827"/>
    <w:rsid w:val="005728A2"/>
    <w:rsid w:val="00572A8A"/>
    <w:rsid w:val="00572DFD"/>
    <w:rsid w:val="00572E4A"/>
    <w:rsid w:val="00572F54"/>
    <w:rsid w:val="00572F99"/>
    <w:rsid w:val="00573106"/>
    <w:rsid w:val="005731AF"/>
    <w:rsid w:val="00573753"/>
    <w:rsid w:val="00573813"/>
    <w:rsid w:val="005738EF"/>
    <w:rsid w:val="00573D20"/>
    <w:rsid w:val="00573D23"/>
    <w:rsid w:val="00574124"/>
    <w:rsid w:val="005741A5"/>
    <w:rsid w:val="00574219"/>
    <w:rsid w:val="0057441C"/>
    <w:rsid w:val="00574446"/>
    <w:rsid w:val="00574477"/>
    <w:rsid w:val="00574728"/>
    <w:rsid w:val="00574923"/>
    <w:rsid w:val="00574936"/>
    <w:rsid w:val="00574DC7"/>
    <w:rsid w:val="00574E4C"/>
    <w:rsid w:val="00574EE3"/>
    <w:rsid w:val="00575005"/>
    <w:rsid w:val="00575313"/>
    <w:rsid w:val="005753AA"/>
    <w:rsid w:val="00575430"/>
    <w:rsid w:val="005754E4"/>
    <w:rsid w:val="005754E6"/>
    <w:rsid w:val="00575546"/>
    <w:rsid w:val="00575605"/>
    <w:rsid w:val="0057560D"/>
    <w:rsid w:val="0057577A"/>
    <w:rsid w:val="005757D5"/>
    <w:rsid w:val="005757D8"/>
    <w:rsid w:val="005758D2"/>
    <w:rsid w:val="00575965"/>
    <w:rsid w:val="00575AD8"/>
    <w:rsid w:val="00575B00"/>
    <w:rsid w:val="00575C1C"/>
    <w:rsid w:val="00575CA3"/>
    <w:rsid w:val="00576657"/>
    <w:rsid w:val="00576827"/>
    <w:rsid w:val="005769A4"/>
    <w:rsid w:val="00576A02"/>
    <w:rsid w:val="00576A79"/>
    <w:rsid w:val="00576AAF"/>
    <w:rsid w:val="00576E56"/>
    <w:rsid w:val="00576E89"/>
    <w:rsid w:val="0057714A"/>
    <w:rsid w:val="0057716B"/>
    <w:rsid w:val="00577335"/>
    <w:rsid w:val="005774FB"/>
    <w:rsid w:val="00577603"/>
    <w:rsid w:val="005776C2"/>
    <w:rsid w:val="005776DE"/>
    <w:rsid w:val="00577779"/>
    <w:rsid w:val="0057793D"/>
    <w:rsid w:val="00577A5B"/>
    <w:rsid w:val="00577A7B"/>
    <w:rsid w:val="00577A9D"/>
    <w:rsid w:val="00577AFA"/>
    <w:rsid w:val="00577CDD"/>
    <w:rsid w:val="00577D24"/>
    <w:rsid w:val="00577ECA"/>
    <w:rsid w:val="00577FB2"/>
    <w:rsid w:val="0058013E"/>
    <w:rsid w:val="005804ED"/>
    <w:rsid w:val="00580603"/>
    <w:rsid w:val="00580B53"/>
    <w:rsid w:val="00580B9F"/>
    <w:rsid w:val="00580C98"/>
    <w:rsid w:val="00580FDE"/>
    <w:rsid w:val="00581056"/>
    <w:rsid w:val="00581271"/>
    <w:rsid w:val="005812B2"/>
    <w:rsid w:val="00581329"/>
    <w:rsid w:val="00581363"/>
    <w:rsid w:val="00581421"/>
    <w:rsid w:val="0058159C"/>
    <w:rsid w:val="00581775"/>
    <w:rsid w:val="005818D7"/>
    <w:rsid w:val="005818EF"/>
    <w:rsid w:val="0058212F"/>
    <w:rsid w:val="00582576"/>
    <w:rsid w:val="0058259C"/>
    <w:rsid w:val="005825DE"/>
    <w:rsid w:val="00582639"/>
    <w:rsid w:val="005826B6"/>
    <w:rsid w:val="00582829"/>
    <w:rsid w:val="005829F0"/>
    <w:rsid w:val="00582C36"/>
    <w:rsid w:val="00582C8E"/>
    <w:rsid w:val="00582DE2"/>
    <w:rsid w:val="00582FD7"/>
    <w:rsid w:val="005831AC"/>
    <w:rsid w:val="00583413"/>
    <w:rsid w:val="00583621"/>
    <w:rsid w:val="00583697"/>
    <w:rsid w:val="00583748"/>
    <w:rsid w:val="00583A9C"/>
    <w:rsid w:val="00583ED6"/>
    <w:rsid w:val="00583ED9"/>
    <w:rsid w:val="00583F99"/>
    <w:rsid w:val="00584068"/>
    <w:rsid w:val="005840E9"/>
    <w:rsid w:val="005841A3"/>
    <w:rsid w:val="005841CE"/>
    <w:rsid w:val="0058437F"/>
    <w:rsid w:val="0058439D"/>
    <w:rsid w:val="00584514"/>
    <w:rsid w:val="00584591"/>
    <w:rsid w:val="005846AF"/>
    <w:rsid w:val="0058489F"/>
    <w:rsid w:val="005848AC"/>
    <w:rsid w:val="00584C17"/>
    <w:rsid w:val="00584CFE"/>
    <w:rsid w:val="00584EB6"/>
    <w:rsid w:val="0058505C"/>
    <w:rsid w:val="005850D9"/>
    <w:rsid w:val="005850DB"/>
    <w:rsid w:val="005851D0"/>
    <w:rsid w:val="00585240"/>
    <w:rsid w:val="005852DE"/>
    <w:rsid w:val="00585632"/>
    <w:rsid w:val="0058585A"/>
    <w:rsid w:val="00585962"/>
    <w:rsid w:val="00585A2F"/>
    <w:rsid w:val="00585C3A"/>
    <w:rsid w:val="00585E31"/>
    <w:rsid w:val="00585E8E"/>
    <w:rsid w:val="00585F52"/>
    <w:rsid w:val="00585FA2"/>
    <w:rsid w:val="00585FB7"/>
    <w:rsid w:val="005860E3"/>
    <w:rsid w:val="00586179"/>
    <w:rsid w:val="0058624F"/>
    <w:rsid w:val="00586299"/>
    <w:rsid w:val="005864AE"/>
    <w:rsid w:val="0058677E"/>
    <w:rsid w:val="00586822"/>
    <w:rsid w:val="005868B9"/>
    <w:rsid w:val="00586B66"/>
    <w:rsid w:val="00586C09"/>
    <w:rsid w:val="00586D7A"/>
    <w:rsid w:val="00586DAA"/>
    <w:rsid w:val="00586DF2"/>
    <w:rsid w:val="00586FFE"/>
    <w:rsid w:val="00587003"/>
    <w:rsid w:val="00587037"/>
    <w:rsid w:val="005870BE"/>
    <w:rsid w:val="005871DE"/>
    <w:rsid w:val="0058723F"/>
    <w:rsid w:val="005872C6"/>
    <w:rsid w:val="0058732A"/>
    <w:rsid w:val="005875B7"/>
    <w:rsid w:val="00587696"/>
    <w:rsid w:val="00587A92"/>
    <w:rsid w:val="00587CF0"/>
    <w:rsid w:val="00587D8F"/>
    <w:rsid w:val="00590202"/>
    <w:rsid w:val="00590356"/>
    <w:rsid w:val="005904CF"/>
    <w:rsid w:val="005906AB"/>
    <w:rsid w:val="00590722"/>
    <w:rsid w:val="0059079B"/>
    <w:rsid w:val="00590D1C"/>
    <w:rsid w:val="00590EDF"/>
    <w:rsid w:val="00590F2B"/>
    <w:rsid w:val="0059102B"/>
    <w:rsid w:val="00591102"/>
    <w:rsid w:val="005913DF"/>
    <w:rsid w:val="005913FE"/>
    <w:rsid w:val="005918E4"/>
    <w:rsid w:val="00591A1E"/>
    <w:rsid w:val="00591A35"/>
    <w:rsid w:val="00591BAA"/>
    <w:rsid w:val="00591D60"/>
    <w:rsid w:val="00591E61"/>
    <w:rsid w:val="00591F26"/>
    <w:rsid w:val="00591F61"/>
    <w:rsid w:val="005920FB"/>
    <w:rsid w:val="00592896"/>
    <w:rsid w:val="005928C6"/>
    <w:rsid w:val="005928EA"/>
    <w:rsid w:val="00592927"/>
    <w:rsid w:val="00592BC5"/>
    <w:rsid w:val="00592EC6"/>
    <w:rsid w:val="005931BA"/>
    <w:rsid w:val="00593249"/>
    <w:rsid w:val="005935D8"/>
    <w:rsid w:val="005935DF"/>
    <w:rsid w:val="0059360F"/>
    <w:rsid w:val="005936EB"/>
    <w:rsid w:val="0059375F"/>
    <w:rsid w:val="0059379D"/>
    <w:rsid w:val="005937CF"/>
    <w:rsid w:val="0059381D"/>
    <w:rsid w:val="005939A8"/>
    <w:rsid w:val="00593A77"/>
    <w:rsid w:val="00593B1E"/>
    <w:rsid w:val="00593EA7"/>
    <w:rsid w:val="00593F2C"/>
    <w:rsid w:val="005940DD"/>
    <w:rsid w:val="00594130"/>
    <w:rsid w:val="005942BF"/>
    <w:rsid w:val="00594407"/>
    <w:rsid w:val="005946ED"/>
    <w:rsid w:val="00594712"/>
    <w:rsid w:val="00594788"/>
    <w:rsid w:val="00594B13"/>
    <w:rsid w:val="00594DE6"/>
    <w:rsid w:val="00594F52"/>
    <w:rsid w:val="00594F7C"/>
    <w:rsid w:val="00595125"/>
    <w:rsid w:val="005953B1"/>
    <w:rsid w:val="00595470"/>
    <w:rsid w:val="00595561"/>
    <w:rsid w:val="005955FD"/>
    <w:rsid w:val="005959D8"/>
    <w:rsid w:val="00595A54"/>
    <w:rsid w:val="00595AD4"/>
    <w:rsid w:val="00595AD5"/>
    <w:rsid w:val="00595F3D"/>
    <w:rsid w:val="00595F7E"/>
    <w:rsid w:val="00596002"/>
    <w:rsid w:val="0059604C"/>
    <w:rsid w:val="00596272"/>
    <w:rsid w:val="00596390"/>
    <w:rsid w:val="005964D3"/>
    <w:rsid w:val="00596506"/>
    <w:rsid w:val="0059650D"/>
    <w:rsid w:val="005966C1"/>
    <w:rsid w:val="005966D1"/>
    <w:rsid w:val="005967CD"/>
    <w:rsid w:val="005967D4"/>
    <w:rsid w:val="00596867"/>
    <w:rsid w:val="005968D8"/>
    <w:rsid w:val="00596F18"/>
    <w:rsid w:val="00597394"/>
    <w:rsid w:val="005973D3"/>
    <w:rsid w:val="00597423"/>
    <w:rsid w:val="00597480"/>
    <w:rsid w:val="00597481"/>
    <w:rsid w:val="0059789F"/>
    <w:rsid w:val="00597ADB"/>
    <w:rsid w:val="00597C70"/>
    <w:rsid w:val="00597E0C"/>
    <w:rsid w:val="00597E38"/>
    <w:rsid w:val="005A0051"/>
    <w:rsid w:val="005A0133"/>
    <w:rsid w:val="005A02FE"/>
    <w:rsid w:val="005A0349"/>
    <w:rsid w:val="005A0453"/>
    <w:rsid w:val="005A05CA"/>
    <w:rsid w:val="005A0711"/>
    <w:rsid w:val="005A0A05"/>
    <w:rsid w:val="005A0AAB"/>
    <w:rsid w:val="005A0AC8"/>
    <w:rsid w:val="005A0C49"/>
    <w:rsid w:val="005A0DAE"/>
    <w:rsid w:val="005A0E9D"/>
    <w:rsid w:val="005A10C3"/>
    <w:rsid w:val="005A10CD"/>
    <w:rsid w:val="005A13F9"/>
    <w:rsid w:val="005A14D8"/>
    <w:rsid w:val="005A160F"/>
    <w:rsid w:val="005A16D3"/>
    <w:rsid w:val="005A17EE"/>
    <w:rsid w:val="005A193C"/>
    <w:rsid w:val="005A1B56"/>
    <w:rsid w:val="005A2449"/>
    <w:rsid w:val="005A251C"/>
    <w:rsid w:val="005A2599"/>
    <w:rsid w:val="005A2838"/>
    <w:rsid w:val="005A2AFC"/>
    <w:rsid w:val="005A2C50"/>
    <w:rsid w:val="005A2C7B"/>
    <w:rsid w:val="005A2D82"/>
    <w:rsid w:val="005A2E7E"/>
    <w:rsid w:val="005A32A6"/>
    <w:rsid w:val="005A357A"/>
    <w:rsid w:val="005A3640"/>
    <w:rsid w:val="005A37D6"/>
    <w:rsid w:val="005A3C8A"/>
    <w:rsid w:val="005A3D47"/>
    <w:rsid w:val="005A3E4D"/>
    <w:rsid w:val="005A3ECB"/>
    <w:rsid w:val="005A4020"/>
    <w:rsid w:val="005A43AF"/>
    <w:rsid w:val="005A4513"/>
    <w:rsid w:val="005A4537"/>
    <w:rsid w:val="005A4552"/>
    <w:rsid w:val="005A4867"/>
    <w:rsid w:val="005A4BAC"/>
    <w:rsid w:val="005A4BB8"/>
    <w:rsid w:val="005A4D34"/>
    <w:rsid w:val="005A4E03"/>
    <w:rsid w:val="005A4ED3"/>
    <w:rsid w:val="005A4EF4"/>
    <w:rsid w:val="005A4F7F"/>
    <w:rsid w:val="005A51E2"/>
    <w:rsid w:val="005A525B"/>
    <w:rsid w:val="005A53E3"/>
    <w:rsid w:val="005A58D8"/>
    <w:rsid w:val="005A593F"/>
    <w:rsid w:val="005A5D34"/>
    <w:rsid w:val="005A5EEF"/>
    <w:rsid w:val="005A62C2"/>
    <w:rsid w:val="005A62EC"/>
    <w:rsid w:val="005A6318"/>
    <w:rsid w:val="005A6357"/>
    <w:rsid w:val="005A652A"/>
    <w:rsid w:val="005A6575"/>
    <w:rsid w:val="005A6927"/>
    <w:rsid w:val="005A6A8E"/>
    <w:rsid w:val="005A6C62"/>
    <w:rsid w:val="005A71F5"/>
    <w:rsid w:val="005A73F9"/>
    <w:rsid w:val="005A73FD"/>
    <w:rsid w:val="005A74E8"/>
    <w:rsid w:val="005A764E"/>
    <w:rsid w:val="005A775F"/>
    <w:rsid w:val="005A781E"/>
    <w:rsid w:val="005A7A52"/>
    <w:rsid w:val="005A7A8C"/>
    <w:rsid w:val="005A7CF7"/>
    <w:rsid w:val="005A7F2F"/>
    <w:rsid w:val="005B0227"/>
    <w:rsid w:val="005B0359"/>
    <w:rsid w:val="005B047E"/>
    <w:rsid w:val="005B04F1"/>
    <w:rsid w:val="005B05AC"/>
    <w:rsid w:val="005B080E"/>
    <w:rsid w:val="005B087B"/>
    <w:rsid w:val="005B08B4"/>
    <w:rsid w:val="005B0AF4"/>
    <w:rsid w:val="005B0B58"/>
    <w:rsid w:val="005B0C97"/>
    <w:rsid w:val="005B0D4C"/>
    <w:rsid w:val="005B1043"/>
    <w:rsid w:val="005B11F7"/>
    <w:rsid w:val="005B130D"/>
    <w:rsid w:val="005B1458"/>
    <w:rsid w:val="005B14AD"/>
    <w:rsid w:val="005B1798"/>
    <w:rsid w:val="005B1859"/>
    <w:rsid w:val="005B1912"/>
    <w:rsid w:val="005B1C83"/>
    <w:rsid w:val="005B2088"/>
    <w:rsid w:val="005B2144"/>
    <w:rsid w:val="005B21CE"/>
    <w:rsid w:val="005B21E9"/>
    <w:rsid w:val="005B21F2"/>
    <w:rsid w:val="005B225B"/>
    <w:rsid w:val="005B2303"/>
    <w:rsid w:val="005B2370"/>
    <w:rsid w:val="005B2419"/>
    <w:rsid w:val="005B25E4"/>
    <w:rsid w:val="005B2809"/>
    <w:rsid w:val="005B293F"/>
    <w:rsid w:val="005B29CD"/>
    <w:rsid w:val="005B2BC3"/>
    <w:rsid w:val="005B2BC6"/>
    <w:rsid w:val="005B2EC0"/>
    <w:rsid w:val="005B3090"/>
    <w:rsid w:val="005B30D7"/>
    <w:rsid w:val="005B30F0"/>
    <w:rsid w:val="005B335D"/>
    <w:rsid w:val="005B33D7"/>
    <w:rsid w:val="005B341B"/>
    <w:rsid w:val="005B343E"/>
    <w:rsid w:val="005B35BF"/>
    <w:rsid w:val="005B3638"/>
    <w:rsid w:val="005B3762"/>
    <w:rsid w:val="005B3775"/>
    <w:rsid w:val="005B3817"/>
    <w:rsid w:val="005B384D"/>
    <w:rsid w:val="005B38DA"/>
    <w:rsid w:val="005B3A12"/>
    <w:rsid w:val="005B3E6F"/>
    <w:rsid w:val="005B408B"/>
    <w:rsid w:val="005B40CE"/>
    <w:rsid w:val="005B432D"/>
    <w:rsid w:val="005B4349"/>
    <w:rsid w:val="005B44E3"/>
    <w:rsid w:val="005B4532"/>
    <w:rsid w:val="005B4583"/>
    <w:rsid w:val="005B45B7"/>
    <w:rsid w:val="005B47B6"/>
    <w:rsid w:val="005B49C3"/>
    <w:rsid w:val="005B49F8"/>
    <w:rsid w:val="005B4AC1"/>
    <w:rsid w:val="005B4BB1"/>
    <w:rsid w:val="005B4C24"/>
    <w:rsid w:val="005B4CB1"/>
    <w:rsid w:val="005B4DEE"/>
    <w:rsid w:val="005B4DFF"/>
    <w:rsid w:val="005B5002"/>
    <w:rsid w:val="005B52F3"/>
    <w:rsid w:val="005B5345"/>
    <w:rsid w:val="005B5473"/>
    <w:rsid w:val="005B55C1"/>
    <w:rsid w:val="005B59DB"/>
    <w:rsid w:val="005B5A22"/>
    <w:rsid w:val="005B5B57"/>
    <w:rsid w:val="005B5CDB"/>
    <w:rsid w:val="005B5D66"/>
    <w:rsid w:val="005B5E5C"/>
    <w:rsid w:val="005B61F2"/>
    <w:rsid w:val="005B6301"/>
    <w:rsid w:val="005B64C6"/>
    <w:rsid w:val="005B651B"/>
    <w:rsid w:val="005B663B"/>
    <w:rsid w:val="005B66FF"/>
    <w:rsid w:val="005B6937"/>
    <w:rsid w:val="005B6B14"/>
    <w:rsid w:val="005B6D10"/>
    <w:rsid w:val="005B6F65"/>
    <w:rsid w:val="005B70C6"/>
    <w:rsid w:val="005B7108"/>
    <w:rsid w:val="005B720C"/>
    <w:rsid w:val="005B72D4"/>
    <w:rsid w:val="005B7434"/>
    <w:rsid w:val="005B7553"/>
    <w:rsid w:val="005B762A"/>
    <w:rsid w:val="005B76B7"/>
    <w:rsid w:val="005B7C05"/>
    <w:rsid w:val="005B7D9B"/>
    <w:rsid w:val="005C0045"/>
    <w:rsid w:val="005C01A8"/>
    <w:rsid w:val="005C0365"/>
    <w:rsid w:val="005C04BB"/>
    <w:rsid w:val="005C04DC"/>
    <w:rsid w:val="005C0667"/>
    <w:rsid w:val="005C090C"/>
    <w:rsid w:val="005C09FE"/>
    <w:rsid w:val="005C0A4C"/>
    <w:rsid w:val="005C0BBA"/>
    <w:rsid w:val="005C0BEB"/>
    <w:rsid w:val="005C0D25"/>
    <w:rsid w:val="005C0E1B"/>
    <w:rsid w:val="005C0ECA"/>
    <w:rsid w:val="005C106E"/>
    <w:rsid w:val="005C11AB"/>
    <w:rsid w:val="005C1376"/>
    <w:rsid w:val="005C14CA"/>
    <w:rsid w:val="005C1523"/>
    <w:rsid w:val="005C1628"/>
    <w:rsid w:val="005C1681"/>
    <w:rsid w:val="005C183F"/>
    <w:rsid w:val="005C1A72"/>
    <w:rsid w:val="005C1A89"/>
    <w:rsid w:val="005C1CDC"/>
    <w:rsid w:val="005C20BC"/>
    <w:rsid w:val="005C22AE"/>
    <w:rsid w:val="005C231F"/>
    <w:rsid w:val="005C24C4"/>
    <w:rsid w:val="005C262D"/>
    <w:rsid w:val="005C266A"/>
    <w:rsid w:val="005C2799"/>
    <w:rsid w:val="005C2926"/>
    <w:rsid w:val="005C2EA0"/>
    <w:rsid w:val="005C2FC0"/>
    <w:rsid w:val="005C34CD"/>
    <w:rsid w:val="005C3534"/>
    <w:rsid w:val="005C37C3"/>
    <w:rsid w:val="005C3853"/>
    <w:rsid w:val="005C39A0"/>
    <w:rsid w:val="005C3A1A"/>
    <w:rsid w:val="005C3C46"/>
    <w:rsid w:val="005C3DC7"/>
    <w:rsid w:val="005C3F06"/>
    <w:rsid w:val="005C43B7"/>
    <w:rsid w:val="005C43F1"/>
    <w:rsid w:val="005C4424"/>
    <w:rsid w:val="005C44F4"/>
    <w:rsid w:val="005C459C"/>
    <w:rsid w:val="005C471F"/>
    <w:rsid w:val="005C47A5"/>
    <w:rsid w:val="005C47AB"/>
    <w:rsid w:val="005C47B2"/>
    <w:rsid w:val="005C48EA"/>
    <w:rsid w:val="005C4A67"/>
    <w:rsid w:val="005C4B4E"/>
    <w:rsid w:val="005C4E18"/>
    <w:rsid w:val="005C4E83"/>
    <w:rsid w:val="005C4ED7"/>
    <w:rsid w:val="005C4F0E"/>
    <w:rsid w:val="005C4F40"/>
    <w:rsid w:val="005C4F93"/>
    <w:rsid w:val="005C5070"/>
    <w:rsid w:val="005C5071"/>
    <w:rsid w:val="005C5150"/>
    <w:rsid w:val="005C518F"/>
    <w:rsid w:val="005C5267"/>
    <w:rsid w:val="005C52A4"/>
    <w:rsid w:val="005C53C5"/>
    <w:rsid w:val="005C579D"/>
    <w:rsid w:val="005C57DF"/>
    <w:rsid w:val="005C5AD5"/>
    <w:rsid w:val="005C5D07"/>
    <w:rsid w:val="005C5D2B"/>
    <w:rsid w:val="005C5D8D"/>
    <w:rsid w:val="005C6157"/>
    <w:rsid w:val="005C61AC"/>
    <w:rsid w:val="005C6569"/>
    <w:rsid w:val="005C657C"/>
    <w:rsid w:val="005C6771"/>
    <w:rsid w:val="005C6793"/>
    <w:rsid w:val="005C68AF"/>
    <w:rsid w:val="005C691E"/>
    <w:rsid w:val="005C6A67"/>
    <w:rsid w:val="005C6B43"/>
    <w:rsid w:val="005C6D0D"/>
    <w:rsid w:val="005C6D3F"/>
    <w:rsid w:val="005C6EC1"/>
    <w:rsid w:val="005C6F19"/>
    <w:rsid w:val="005C72CF"/>
    <w:rsid w:val="005C75DD"/>
    <w:rsid w:val="005C7654"/>
    <w:rsid w:val="005C78D1"/>
    <w:rsid w:val="005C7A6D"/>
    <w:rsid w:val="005C7FC7"/>
    <w:rsid w:val="005D0017"/>
    <w:rsid w:val="005D0074"/>
    <w:rsid w:val="005D01A4"/>
    <w:rsid w:val="005D02F6"/>
    <w:rsid w:val="005D07A2"/>
    <w:rsid w:val="005D0817"/>
    <w:rsid w:val="005D097C"/>
    <w:rsid w:val="005D099E"/>
    <w:rsid w:val="005D0B80"/>
    <w:rsid w:val="005D0EED"/>
    <w:rsid w:val="005D0FA3"/>
    <w:rsid w:val="005D1049"/>
    <w:rsid w:val="005D1314"/>
    <w:rsid w:val="005D149F"/>
    <w:rsid w:val="005D166B"/>
    <w:rsid w:val="005D1695"/>
    <w:rsid w:val="005D1756"/>
    <w:rsid w:val="005D17C9"/>
    <w:rsid w:val="005D18A5"/>
    <w:rsid w:val="005D1EAC"/>
    <w:rsid w:val="005D1F72"/>
    <w:rsid w:val="005D20F1"/>
    <w:rsid w:val="005D219A"/>
    <w:rsid w:val="005D21EB"/>
    <w:rsid w:val="005D231D"/>
    <w:rsid w:val="005D2410"/>
    <w:rsid w:val="005D265D"/>
    <w:rsid w:val="005D2662"/>
    <w:rsid w:val="005D2873"/>
    <w:rsid w:val="005D28F0"/>
    <w:rsid w:val="005D2952"/>
    <w:rsid w:val="005D2B6F"/>
    <w:rsid w:val="005D2C0A"/>
    <w:rsid w:val="005D2DAC"/>
    <w:rsid w:val="005D2DEA"/>
    <w:rsid w:val="005D2F92"/>
    <w:rsid w:val="005D3417"/>
    <w:rsid w:val="005D3C47"/>
    <w:rsid w:val="005D3E1D"/>
    <w:rsid w:val="005D418D"/>
    <w:rsid w:val="005D428C"/>
    <w:rsid w:val="005D433E"/>
    <w:rsid w:val="005D44C5"/>
    <w:rsid w:val="005D44F2"/>
    <w:rsid w:val="005D4508"/>
    <w:rsid w:val="005D454E"/>
    <w:rsid w:val="005D4606"/>
    <w:rsid w:val="005D46A3"/>
    <w:rsid w:val="005D4BF2"/>
    <w:rsid w:val="005D4C0E"/>
    <w:rsid w:val="005D4CFC"/>
    <w:rsid w:val="005D4DCB"/>
    <w:rsid w:val="005D4DED"/>
    <w:rsid w:val="005D4E53"/>
    <w:rsid w:val="005D54CC"/>
    <w:rsid w:val="005D5549"/>
    <w:rsid w:val="005D5552"/>
    <w:rsid w:val="005D5624"/>
    <w:rsid w:val="005D58E2"/>
    <w:rsid w:val="005D5938"/>
    <w:rsid w:val="005D596E"/>
    <w:rsid w:val="005D59D5"/>
    <w:rsid w:val="005D5C03"/>
    <w:rsid w:val="005D5C2D"/>
    <w:rsid w:val="005D60C7"/>
    <w:rsid w:val="005D60E2"/>
    <w:rsid w:val="005D62F8"/>
    <w:rsid w:val="005D635A"/>
    <w:rsid w:val="005D660F"/>
    <w:rsid w:val="005D6756"/>
    <w:rsid w:val="005D6961"/>
    <w:rsid w:val="005D7108"/>
    <w:rsid w:val="005D746A"/>
    <w:rsid w:val="005D74E1"/>
    <w:rsid w:val="005D787C"/>
    <w:rsid w:val="005D7981"/>
    <w:rsid w:val="005D7D52"/>
    <w:rsid w:val="005D7EA3"/>
    <w:rsid w:val="005D7F7D"/>
    <w:rsid w:val="005E0203"/>
    <w:rsid w:val="005E026D"/>
    <w:rsid w:val="005E04D7"/>
    <w:rsid w:val="005E04E9"/>
    <w:rsid w:val="005E09D0"/>
    <w:rsid w:val="005E09FF"/>
    <w:rsid w:val="005E0A31"/>
    <w:rsid w:val="005E0EFA"/>
    <w:rsid w:val="005E105A"/>
    <w:rsid w:val="005E1076"/>
    <w:rsid w:val="005E1165"/>
    <w:rsid w:val="005E117C"/>
    <w:rsid w:val="005E11D5"/>
    <w:rsid w:val="005E1258"/>
    <w:rsid w:val="005E13AD"/>
    <w:rsid w:val="005E153C"/>
    <w:rsid w:val="005E17EB"/>
    <w:rsid w:val="005E18AB"/>
    <w:rsid w:val="005E19AE"/>
    <w:rsid w:val="005E1A6C"/>
    <w:rsid w:val="005E1D7C"/>
    <w:rsid w:val="005E1EB0"/>
    <w:rsid w:val="005E20AD"/>
    <w:rsid w:val="005E215A"/>
    <w:rsid w:val="005E2172"/>
    <w:rsid w:val="005E21F5"/>
    <w:rsid w:val="005E21FE"/>
    <w:rsid w:val="005E2549"/>
    <w:rsid w:val="005E2597"/>
    <w:rsid w:val="005E27ED"/>
    <w:rsid w:val="005E29A4"/>
    <w:rsid w:val="005E29C5"/>
    <w:rsid w:val="005E2B36"/>
    <w:rsid w:val="005E2BBE"/>
    <w:rsid w:val="005E2D91"/>
    <w:rsid w:val="005E2DD2"/>
    <w:rsid w:val="005E2E0B"/>
    <w:rsid w:val="005E3275"/>
    <w:rsid w:val="005E358D"/>
    <w:rsid w:val="005E35B2"/>
    <w:rsid w:val="005E3787"/>
    <w:rsid w:val="005E398D"/>
    <w:rsid w:val="005E3AFA"/>
    <w:rsid w:val="005E3D0C"/>
    <w:rsid w:val="005E3D1D"/>
    <w:rsid w:val="005E3DC2"/>
    <w:rsid w:val="005E3E03"/>
    <w:rsid w:val="005E3E17"/>
    <w:rsid w:val="005E4151"/>
    <w:rsid w:val="005E48A9"/>
    <w:rsid w:val="005E4AA6"/>
    <w:rsid w:val="005E4BC2"/>
    <w:rsid w:val="005E52D5"/>
    <w:rsid w:val="005E5399"/>
    <w:rsid w:val="005E5494"/>
    <w:rsid w:val="005E57CD"/>
    <w:rsid w:val="005E5A10"/>
    <w:rsid w:val="005E5A8F"/>
    <w:rsid w:val="005E5CAC"/>
    <w:rsid w:val="005E5DD0"/>
    <w:rsid w:val="005E6068"/>
    <w:rsid w:val="005E6076"/>
    <w:rsid w:val="005E6078"/>
    <w:rsid w:val="005E6147"/>
    <w:rsid w:val="005E6237"/>
    <w:rsid w:val="005E648A"/>
    <w:rsid w:val="005E64B9"/>
    <w:rsid w:val="005E64FB"/>
    <w:rsid w:val="005E6BD4"/>
    <w:rsid w:val="005E6D48"/>
    <w:rsid w:val="005E6E0B"/>
    <w:rsid w:val="005E6E32"/>
    <w:rsid w:val="005E70D3"/>
    <w:rsid w:val="005E718E"/>
    <w:rsid w:val="005E72B8"/>
    <w:rsid w:val="005E788D"/>
    <w:rsid w:val="005E78DD"/>
    <w:rsid w:val="005E78F2"/>
    <w:rsid w:val="005E793C"/>
    <w:rsid w:val="005E7AA5"/>
    <w:rsid w:val="005E7E12"/>
    <w:rsid w:val="005E7E1D"/>
    <w:rsid w:val="005E7F4A"/>
    <w:rsid w:val="005E7F5E"/>
    <w:rsid w:val="005E7F84"/>
    <w:rsid w:val="005EA30E"/>
    <w:rsid w:val="005EC768"/>
    <w:rsid w:val="005F030F"/>
    <w:rsid w:val="005F0420"/>
    <w:rsid w:val="005F08A4"/>
    <w:rsid w:val="005F0B65"/>
    <w:rsid w:val="005F0CEB"/>
    <w:rsid w:val="005F0FD1"/>
    <w:rsid w:val="005F1363"/>
    <w:rsid w:val="005F14AA"/>
    <w:rsid w:val="005F16AA"/>
    <w:rsid w:val="005F16EB"/>
    <w:rsid w:val="005F17A5"/>
    <w:rsid w:val="005F18F1"/>
    <w:rsid w:val="005F1905"/>
    <w:rsid w:val="005F1CA8"/>
    <w:rsid w:val="005F1D43"/>
    <w:rsid w:val="005F1D4E"/>
    <w:rsid w:val="005F1E47"/>
    <w:rsid w:val="005F20D5"/>
    <w:rsid w:val="005F245B"/>
    <w:rsid w:val="005F2511"/>
    <w:rsid w:val="005F2537"/>
    <w:rsid w:val="005F287D"/>
    <w:rsid w:val="005F2B16"/>
    <w:rsid w:val="005F2C36"/>
    <w:rsid w:val="005F2E75"/>
    <w:rsid w:val="005F2FA9"/>
    <w:rsid w:val="005F2FB6"/>
    <w:rsid w:val="005F30DB"/>
    <w:rsid w:val="005F313C"/>
    <w:rsid w:val="005F330D"/>
    <w:rsid w:val="005F3316"/>
    <w:rsid w:val="005F3535"/>
    <w:rsid w:val="005F36F1"/>
    <w:rsid w:val="005F389D"/>
    <w:rsid w:val="005F3A05"/>
    <w:rsid w:val="005F401B"/>
    <w:rsid w:val="005F404B"/>
    <w:rsid w:val="005F409D"/>
    <w:rsid w:val="005F4138"/>
    <w:rsid w:val="005F4265"/>
    <w:rsid w:val="005F4280"/>
    <w:rsid w:val="005F42FD"/>
    <w:rsid w:val="005F44C4"/>
    <w:rsid w:val="005F4527"/>
    <w:rsid w:val="005F467F"/>
    <w:rsid w:val="005F46BE"/>
    <w:rsid w:val="005F46C4"/>
    <w:rsid w:val="005F4914"/>
    <w:rsid w:val="005F4A71"/>
    <w:rsid w:val="005F4D7B"/>
    <w:rsid w:val="005F4F3B"/>
    <w:rsid w:val="005F509B"/>
    <w:rsid w:val="005F5415"/>
    <w:rsid w:val="005F542D"/>
    <w:rsid w:val="005F54BD"/>
    <w:rsid w:val="005F56CF"/>
    <w:rsid w:val="005F578A"/>
    <w:rsid w:val="005F5845"/>
    <w:rsid w:val="005F5970"/>
    <w:rsid w:val="005F5A61"/>
    <w:rsid w:val="005F5ABF"/>
    <w:rsid w:val="005F5D27"/>
    <w:rsid w:val="005F5D88"/>
    <w:rsid w:val="005F5DAB"/>
    <w:rsid w:val="005F5DE6"/>
    <w:rsid w:val="005F6095"/>
    <w:rsid w:val="005F61A3"/>
    <w:rsid w:val="005F6351"/>
    <w:rsid w:val="005F647F"/>
    <w:rsid w:val="005F658F"/>
    <w:rsid w:val="005F66A2"/>
    <w:rsid w:val="005F66FA"/>
    <w:rsid w:val="005F6934"/>
    <w:rsid w:val="005F694F"/>
    <w:rsid w:val="005F6964"/>
    <w:rsid w:val="005F6BA4"/>
    <w:rsid w:val="005F6C8E"/>
    <w:rsid w:val="005F6E25"/>
    <w:rsid w:val="005F6E4F"/>
    <w:rsid w:val="005F6E53"/>
    <w:rsid w:val="005F6F08"/>
    <w:rsid w:val="005F6F97"/>
    <w:rsid w:val="005F716E"/>
    <w:rsid w:val="005F7282"/>
    <w:rsid w:val="005F7519"/>
    <w:rsid w:val="005F763B"/>
    <w:rsid w:val="005F77C7"/>
    <w:rsid w:val="005F7B8F"/>
    <w:rsid w:val="005F7F06"/>
    <w:rsid w:val="005F7F44"/>
    <w:rsid w:val="00600011"/>
    <w:rsid w:val="00600042"/>
    <w:rsid w:val="0060007E"/>
    <w:rsid w:val="00600615"/>
    <w:rsid w:val="00600916"/>
    <w:rsid w:val="00600AE2"/>
    <w:rsid w:val="00600B3E"/>
    <w:rsid w:val="00600B7D"/>
    <w:rsid w:val="006012DA"/>
    <w:rsid w:val="00601307"/>
    <w:rsid w:val="00601353"/>
    <w:rsid w:val="00601483"/>
    <w:rsid w:val="00601504"/>
    <w:rsid w:val="006015ED"/>
    <w:rsid w:val="006017B2"/>
    <w:rsid w:val="0060196A"/>
    <w:rsid w:val="00601CFD"/>
    <w:rsid w:val="0060234C"/>
    <w:rsid w:val="00602448"/>
    <w:rsid w:val="0060281D"/>
    <w:rsid w:val="0060293E"/>
    <w:rsid w:val="0060298B"/>
    <w:rsid w:val="00602A22"/>
    <w:rsid w:val="00602A97"/>
    <w:rsid w:val="00602C85"/>
    <w:rsid w:val="00602C94"/>
    <w:rsid w:val="00602CB6"/>
    <w:rsid w:val="00602D9D"/>
    <w:rsid w:val="00603055"/>
    <w:rsid w:val="00603199"/>
    <w:rsid w:val="006031C4"/>
    <w:rsid w:val="006031E6"/>
    <w:rsid w:val="00603273"/>
    <w:rsid w:val="00603742"/>
    <w:rsid w:val="006037D4"/>
    <w:rsid w:val="00603821"/>
    <w:rsid w:val="00603968"/>
    <w:rsid w:val="00603AD4"/>
    <w:rsid w:val="00603B8A"/>
    <w:rsid w:val="00603E01"/>
    <w:rsid w:val="00604177"/>
    <w:rsid w:val="00604189"/>
    <w:rsid w:val="00604242"/>
    <w:rsid w:val="006042BE"/>
    <w:rsid w:val="0060439C"/>
    <w:rsid w:val="006043CF"/>
    <w:rsid w:val="0060442A"/>
    <w:rsid w:val="00604457"/>
    <w:rsid w:val="0060461D"/>
    <w:rsid w:val="00604970"/>
    <w:rsid w:val="00604B93"/>
    <w:rsid w:val="00604F95"/>
    <w:rsid w:val="00604FC7"/>
    <w:rsid w:val="0060503B"/>
    <w:rsid w:val="0060503C"/>
    <w:rsid w:val="00605181"/>
    <w:rsid w:val="00605184"/>
    <w:rsid w:val="006051C1"/>
    <w:rsid w:val="006051CD"/>
    <w:rsid w:val="006051F6"/>
    <w:rsid w:val="006052BB"/>
    <w:rsid w:val="00605316"/>
    <w:rsid w:val="00605476"/>
    <w:rsid w:val="006054F0"/>
    <w:rsid w:val="00605521"/>
    <w:rsid w:val="00605530"/>
    <w:rsid w:val="00605600"/>
    <w:rsid w:val="006058F7"/>
    <w:rsid w:val="00605C6C"/>
    <w:rsid w:val="00605C79"/>
    <w:rsid w:val="00605DA6"/>
    <w:rsid w:val="00605E6E"/>
    <w:rsid w:val="00606001"/>
    <w:rsid w:val="00606010"/>
    <w:rsid w:val="006064F8"/>
    <w:rsid w:val="00606501"/>
    <w:rsid w:val="00606758"/>
    <w:rsid w:val="006069C0"/>
    <w:rsid w:val="00606A43"/>
    <w:rsid w:val="00606ACF"/>
    <w:rsid w:val="00606B89"/>
    <w:rsid w:val="00606C14"/>
    <w:rsid w:val="00606CAC"/>
    <w:rsid w:val="00606D19"/>
    <w:rsid w:val="00606D35"/>
    <w:rsid w:val="00606D8A"/>
    <w:rsid w:val="00606E7D"/>
    <w:rsid w:val="0060721A"/>
    <w:rsid w:val="0060732B"/>
    <w:rsid w:val="0060736C"/>
    <w:rsid w:val="006074BE"/>
    <w:rsid w:val="0060782D"/>
    <w:rsid w:val="00607856"/>
    <w:rsid w:val="006078BE"/>
    <w:rsid w:val="00607BAE"/>
    <w:rsid w:val="00607E43"/>
    <w:rsid w:val="00610276"/>
    <w:rsid w:val="006102FD"/>
    <w:rsid w:val="006104CF"/>
    <w:rsid w:val="0061051E"/>
    <w:rsid w:val="0061078A"/>
    <w:rsid w:val="006107FC"/>
    <w:rsid w:val="00610845"/>
    <w:rsid w:val="00610C78"/>
    <w:rsid w:val="00610CA1"/>
    <w:rsid w:val="00610E0C"/>
    <w:rsid w:val="00610E8D"/>
    <w:rsid w:val="00610E95"/>
    <w:rsid w:val="00610FE5"/>
    <w:rsid w:val="006110D0"/>
    <w:rsid w:val="00611144"/>
    <w:rsid w:val="0061149E"/>
    <w:rsid w:val="0061189A"/>
    <w:rsid w:val="00611972"/>
    <w:rsid w:val="00611A97"/>
    <w:rsid w:val="00611B3B"/>
    <w:rsid w:val="00611D17"/>
    <w:rsid w:val="00611D45"/>
    <w:rsid w:val="00611E38"/>
    <w:rsid w:val="00612102"/>
    <w:rsid w:val="00612446"/>
    <w:rsid w:val="00612517"/>
    <w:rsid w:val="00612525"/>
    <w:rsid w:val="00612717"/>
    <w:rsid w:val="0061271E"/>
    <w:rsid w:val="0061276D"/>
    <w:rsid w:val="006127B7"/>
    <w:rsid w:val="00612822"/>
    <w:rsid w:val="0061298D"/>
    <w:rsid w:val="00612A10"/>
    <w:rsid w:val="00612AA1"/>
    <w:rsid w:val="00612C15"/>
    <w:rsid w:val="00612C17"/>
    <w:rsid w:val="00612C20"/>
    <w:rsid w:val="00612E42"/>
    <w:rsid w:val="00613020"/>
    <w:rsid w:val="00613084"/>
    <w:rsid w:val="0061322F"/>
    <w:rsid w:val="00613338"/>
    <w:rsid w:val="00613598"/>
    <w:rsid w:val="006135EB"/>
    <w:rsid w:val="0061371F"/>
    <w:rsid w:val="00613733"/>
    <w:rsid w:val="006137F3"/>
    <w:rsid w:val="00613850"/>
    <w:rsid w:val="006138F5"/>
    <w:rsid w:val="00613948"/>
    <w:rsid w:val="00613949"/>
    <w:rsid w:val="006139D6"/>
    <w:rsid w:val="00613A21"/>
    <w:rsid w:val="00613D80"/>
    <w:rsid w:val="00613E24"/>
    <w:rsid w:val="00613EB5"/>
    <w:rsid w:val="00613F26"/>
    <w:rsid w:val="006141D7"/>
    <w:rsid w:val="006142F9"/>
    <w:rsid w:val="006143DC"/>
    <w:rsid w:val="0061447B"/>
    <w:rsid w:val="006144E0"/>
    <w:rsid w:val="00614566"/>
    <w:rsid w:val="00614603"/>
    <w:rsid w:val="00614606"/>
    <w:rsid w:val="006146B5"/>
    <w:rsid w:val="00614A78"/>
    <w:rsid w:val="00614D57"/>
    <w:rsid w:val="00614DC8"/>
    <w:rsid w:val="006150C7"/>
    <w:rsid w:val="006155B9"/>
    <w:rsid w:val="0061580F"/>
    <w:rsid w:val="0061582F"/>
    <w:rsid w:val="00615879"/>
    <w:rsid w:val="00615C0E"/>
    <w:rsid w:val="00615CF5"/>
    <w:rsid w:val="00615D76"/>
    <w:rsid w:val="00615DB5"/>
    <w:rsid w:val="00615DD2"/>
    <w:rsid w:val="00615F07"/>
    <w:rsid w:val="006160D4"/>
    <w:rsid w:val="0061629F"/>
    <w:rsid w:val="006164A2"/>
    <w:rsid w:val="0061651A"/>
    <w:rsid w:val="0061671B"/>
    <w:rsid w:val="00616BF0"/>
    <w:rsid w:val="00616C3E"/>
    <w:rsid w:val="00616CBB"/>
    <w:rsid w:val="00616EBE"/>
    <w:rsid w:val="0061703A"/>
    <w:rsid w:val="00617077"/>
    <w:rsid w:val="006171AE"/>
    <w:rsid w:val="0061730D"/>
    <w:rsid w:val="006173C3"/>
    <w:rsid w:val="006173D2"/>
    <w:rsid w:val="006174A7"/>
    <w:rsid w:val="0061751D"/>
    <w:rsid w:val="00617545"/>
    <w:rsid w:val="00617C53"/>
    <w:rsid w:val="00617D0B"/>
    <w:rsid w:val="00617D19"/>
    <w:rsid w:val="00617E90"/>
    <w:rsid w:val="00617EBA"/>
    <w:rsid w:val="00617F5E"/>
    <w:rsid w:val="006201BF"/>
    <w:rsid w:val="00620383"/>
    <w:rsid w:val="00620617"/>
    <w:rsid w:val="00620806"/>
    <w:rsid w:val="00620936"/>
    <w:rsid w:val="00620991"/>
    <w:rsid w:val="00620A19"/>
    <w:rsid w:val="00620AE1"/>
    <w:rsid w:val="00620CE5"/>
    <w:rsid w:val="00620EB8"/>
    <w:rsid w:val="00620F62"/>
    <w:rsid w:val="00621144"/>
    <w:rsid w:val="0062127B"/>
    <w:rsid w:val="006215A3"/>
    <w:rsid w:val="006216ED"/>
    <w:rsid w:val="0062171A"/>
    <w:rsid w:val="00621C6B"/>
    <w:rsid w:val="00621F9A"/>
    <w:rsid w:val="00621FD6"/>
    <w:rsid w:val="00622032"/>
    <w:rsid w:val="00622257"/>
    <w:rsid w:val="006223DD"/>
    <w:rsid w:val="00622447"/>
    <w:rsid w:val="006224CF"/>
    <w:rsid w:val="006225C8"/>
    <w:rsid w:val="00622788"/>
    <w:rsid w:val="006227B6"/>
    <w:rsid w:val="00622ABD"/>
    <w:rsid w:val="00622B4C"/>
    <w:rsid w:val="00622B9B"/>
    <w:rsid w:val="00622C16"/>
    <w:rsid w:val="00622E45"/>
    <w:rsid w:val="006234DB"/>
    <w:rsid w:val="006235B3"/>
    <w:rsid w:val="00623893"/>
    <w:rsid w:val="0062391C"/>
    <w:rsid w:val="00623BDC"/>
    <w:rsid w:val="00623C28"/>
    <w:rsid w:val="00624210"/>
    <w:rsid w:val="00624353"/>
    <w:rsid w:val="0062458C"/>
    <w:rsid w:val="0062474C"/>
    <w:rsid w:val="0062484E"/>
    <w:rsid w:val="006249A6"/>
    <w:rsid w:val="00624BF9"/>
    <w:rsid w:val="00624CDD"/>
    <w:rsid w:val="006251D2"/>
    <w:rsid w:val="0062520B"/>
    <w:rsid w:val="006258E3"/>
    <w:rsid w:val="00625D10"/>
    <w:rsid w:val="00625D2C"/>
    <w:rsid w:val="00625D3D"/>
    <w:rsid w:val="00625D3E"/>
    <w:rsid w:val="00625D63"/>
    <w:rsid w:val="00625F4F"/>
    <w:rsid w:val="00626091"/>
    <w:rsid w:val="00626195"/>
    <w:rsid w:val="0062645F"/>
    <w:rsid w:val="00626598"/>
    <w:rsid w:val="006265B6"/>
    <w:rsid w:val="00626930"/>
    <w:rsid w:val="00626983"/>
    <w:rsid w:val="00626989"/>
    <w:rsid w:val="006269CF"/>
    <w:rsid w:val="00626ACF"/>
    <w:rsid w:val="00626B7F"/>
    <w:rsid w:val="00626C22"/>
    <w:rsid w:val="00626C9B"/>
    <w:rsid w:val="00626DD3"/>
    <w:rsid w:val="00626F34"/>
    <w:rsid w:val="00626F45"/>
    <w:rsid w:val="00626FCA"/>
    <w:rsid w:val="00627061"/>
    <w:rsid w:val="006270DB"/>
    <w:rsid w:val="0062716D"/>
    <w:rsid w:val="0062738D"/>
    <w:rsid w:val="0062739D"/>
    <w:rsid w:val="006273AF"/>
    <w:rsid w:val="00627502"/>
    <w:rsid w:val="0062788E"/>
    <w:rsid w:val="006278EE"/>
    <w:rsid w:val="00627908"/>
    <w:rsid w:val="006279DC"/>
    <w:rsid w:val="00627C65"/>
    <w:rsid w:val="00627CC7"/>
    <w:rsid w:val="00627F34"/>
    <w:rsid w:val="00627FBE"/>
    <w:rsid w:val="00630080"/>
    <w:rsid w:val="00630096"/>
    <w:rsid w:val="00630286"/>
    <w:rsid w:val="00630422"/>
    <w:rsid w:val="006305F6"/>
    <w:rsid w:val="006306E0"/>
    <w:rsid w:val="006307F6"/>
    <w:rsid w:val="00630BEF"/>
    <w:rsid w:val="00630BF1"/>
    <w:rsid w:val="00630CC0"/>
    <w:rsid w:val="00630E4D"/>
    <w:rsid w:val="00630F9C"/>
    <w:rsid w:val="00631074"/>
    <w:rsid w:val="00631180"/>
    <w:rsid w:val="00631377"/>
    <w:rsid w:val="00631721"/>
    <w:rsid w:val="00631735"/>
    <w:rsid w:val="00631808"/>
    <w:rsid w:val="00631820"/>
    <w:rsid w:val="00631B73"/>
    <w:rsid w:val="00631C3C"/>
    <w:rsid w:val="00631D73"/>
    <w:rsid w:val="00631D79"/>
    <w:rsid w:val="0063219D"/>
    <w:rsid w:val="006321C8"/>
    <w:rsid w:val="006321FE"/>
    <w:rsid w:val="006323A0"/>
    <w:rsid w:val="006323B5"/>
    <w:rsid w:val="00632722"/>
    <w:rsid w:val="006327FE"/>
    <w:rsid w:val="006329CC"/>
    <w:rsid w:val="00632C59"/>
    <w:rsid w:val="00632D1F"/>
    <w:rsid w:val="00632F0A"/>
    <w:rsid w:val="0063324A"/>
    <w:rsid w:val="0063350B"/>
    <w:rsid w:val="00633713"/>
    <w:rsid w:val="00633768"/>
    <w:rsid w:val="00633850"/>
    <w:rsid w:val="00633904"/>
    <w:rsid w:val="00633A4A"/>
    <w:rsid w:val="00633A9A"/>
    <w:rsid w:val="00633C14"/>
    <w:rsid w:val="00633C1B"/>
    <w:rsid w:val="00633CF4"/>
    <w:rsid w:val="00633F0E"/>
    <w:rsid w:val="00634548"/>
    <w:rsid w:val="00634618"/>
    <w:rsid w:val="0063478E"/>
    <w:rsid w:val="00634906"/>
    <w:rsid w:val="006349D2"/>
    <w:rsid w:val="00634A26"/>
    <w:rsid w:val="00634CF9"/>
    <w:rsid w:val="00634F7D"/>
    <w:rsid w:val="00634F9C"/>
    <w:rsid w:val="006353CC"/>
    <w:rsid w:val="0063556D"/>
    <w:rsid w:val="00635A9E"/>
    <w:rsid w:val="00635B06"/>
    <w:rsid w:val="00635B58"/>
    <w:rsid w:val="00635D52"/>
    <w:rsid w:val="00635D7C"/>
    <w:rsid w:val="00635DA1"/>
    <w:rsid w:val="00635E56"/>
    <w:rsid w:val="0063611D"/>
    <w:rsid w:val="006361AA"/>
    <w:rsid w:val="0063635B"/>
    <w:rsid w:val="006364A7"/>
    <w:rsid w:val="0063655B"/>
    <w:rsid w:val="006366F2"/>
    <w:rsid w:val="00636710"/>
    <w:rsid w:val="006367AA"/>
    <w:rsid w:val="006367F4"/>
    <w:rsid w:val="00636802"/>
    <w:rsid w:val="0063687A"/>
    <w:rsid w:val="00636884"/>
    <w:rsid w:val="00636D90"/>
    <w:rsid w:val="00636E51"/>
    <w:rsid w:val="00636F1B"/>
    <w:rsid w:val="00636FC6"/>
    <w:rsid w:val="0063713E"/>
    <w:rsid w:val="00637208"/>
    <w:rsid w:val="00637511"/>
    <w:rsid w:val="006377AC"/>
    <w:rsid w:val="006378E8"/>
    <w:rsid w:val="00637DA4"/>
    <w:rsid w:val="00637DD9"/>
    <w:rsid w:val="00637E55"/>
    <w:rsid w:val="00640295"/>
    <w:rsid w:val="00640386"/>
    <w:rsid w:val="00640396"/>
    <w:rsid w:val="00640414"/>
    <w:rsid w:val="0064051D"/>
    <w:rsid w:val="00640703"/>
    <w:rsid w:val="006407A6"/>
    <w:rsid w:val="00640825"/>
    <w:rsid w:val="006409A8"/>
    <w:rsid w:val="00640B79"/>
    <w:rsid w:val="00640BE8"/>
    <w:rsid w:val="00640C42"/>
    <w:rsid w:val="00640DAF"/>
    <w:rsid w:val="00640E09"/>
    <w:rsid w:val="00640EE0"/>
    <w:rsid w:val="006410C3"/>
    <w:rsid w:val="00641284"/>
    <w:rsid w:val="00641811"/>
    <w:rsid w:val="00641B84"/>
    <w:rsid w:val="00641BCD"/>
    <w:rsid w:val="00641D00"/>
    <w:rsid w:val="00641ECF"/>
    <w:rsid w:val="00641FB3"/>
    <w:rsid w:val="00641FC4"/>
    <w:rsid w:val="00641FEE"/>
    <w:rsid w:val="00642174"/>
    <w:rsid w:val="00642396"/>
    <w:rsid w:val="00642504"/>
    <w:rsid w:val="0064262B"/>
    <w:rsid w:val="00642664"/>
    <w:rsid w:val="006428DD"/>
    <w:rsid w:val="00642914"/>
    <w:rsid w:val="00642BAA"/>
    <w:rsid w:val="00642E5B"/>
    <w:rsid w:val="006431B6"/>
    <w:rsid w:val="00643386"/>
    <w:rsid w:val="00643724"/>
    <w:rsid w:val="0064379E"/>
    <w:rsid w:val="006437D2"/>
    <w:rsid w:val="006438C6"/>
    <w:rsid w:val="00643938"/>
    <w:rsid w:val="00643A68"/>
    <w:rsid w:val="00643B5A"/>
    <w:rsid w:val="00643D6A"/>
    <w:rsid w:val="00643E47"/>
    <w:rsid w:val="00643F67"/>
    <w:rsid w:val="00643FBF"/>
    <w:rsid w:val="00644356"/>
    <w:rsid w:val="006443AC"/>
    <w:rsid w:val="00644463"/>
    <w:rsid w:val="00644602"/>
    <w:rsid w:val="00644803"/>
    <w:rsid w:val="00644935"/>
    <w:rsid w:val="00644A08"/>
    <w:rsid w:val="00644B83"/>
    <w:rsid w:val="00644BCB"/>
    <w:rsid w:val="00644D6B"/>
    <w:rsid w:val="00644E11"/>
    <w:rsid w:val="00644E2F"/>
    <w:rsid w:val="00644F9D"/>
    <w:rsid w:val="00645149"/>
    <w:rsid w:val="006451EF"/>
    <w:rsid w:val="00645210"/>
    <w:rsid w:val="00645235"/>
    <w:rsid w:val="00645287"/>
    <w:rsid w:val="006452C2"/>
    <w:rsid w:val="0064543A"/>
    <w:rsid w:val="00645895"/>
    <w:rsid w:val="006458A9"/>
    <w:rsid w:val="006458BD"/>
    <w:rsid w:val="0064595F"/>
    <w:rsid w:val="00645C5E"/>
    <w:rsid w:val="00645CBD"/>
    <w:rsid w:val="00645CFC"/>
    <w:rsid w:val="006461A2"/>
    <w:rsid w:val="00646275"/>
    <w:rsid w:val="006464E8"/>
    <w:rsid w:val="00646569"/>
    <w:rsid w:val="006465EF"/>
    <w:rsid w:val="0064664F"/>
    <w:rsid w:val="00646879"/>
    <w:rsid w:val="00646A1D"/>
    <w:rsid w:val="00646AA6"/>
    <w:rsid w:val="00646C54"/>
    <w:rsid w:val="00646CF8"/>
    <w:rsid w:val="00646DB1"/>
    <w:rsid w:val="00646EF4"/>
    <w:rsid w:val="0064734E"/>
    <w:rsid w:val="006473FF"/>
    <w:rsid w:val="006475E5"/>
    <w:rsid w:val="006475E7"/>
    <w:rsid w:val="006476FF"/>
    <w:rsid w:val="0064782D"/>
    <w:rsid w:val="006479DF"/>
    <w:rsid w:val="006479F7"/>
    <w:rsid w:val="00647A55"/>
    <w:rsid w:val="00647D48"/>
    <w:rsid w:val="00647DA2"/>
    <w:rsid w:val="00647E5D"/>
    <w:rsid w:val="00647ED4"/>
    <w:rsid w:val="006501E5"/>
    <w:rsid w:val="006501E9"/>
    <w:rsid w:val="006502BC"/>
    <w:rsid w:val="0065047C"/>
    <w:rsid w:val="00650834"/>
    <w:rsid w:val="006508B1"/>
    <w:rsid w:val="00650B54"/>
    <w:rsid w:val="00650BB5"/>
    <w:rsid w:val="00650C87"/>
    <w:rsid w:val="00650EF2"/>
    <w:rsid w:val="0065138B"/>
    <w:rsid w:val="006514E0"/>
    <w:rsid w:val="00651646"/>
    <w:rsid w:val="00651D06"/>
    <w:rsid w:val="00651E3C"/>
    <w:rsid w:val="00651EAC"/>
    <w:rsid w:val="00652056"/>
    <w:rsid w:val="00652168"/>
    <w:rsid w:val="0065220B"/>
    <w:rsid w:val="006522B9"/>
    <w:rsid w:val="006523D7"/>
    <w:rsid w:val="006523EE"/>
    <w:rsid w:val="006524A4"/>
    <w:rsid w:val="006524E1"/>
    <w:rsid w:val="00652518"/>
    <w:rsid w:val="00652890"/>
    <w:rsid w:val="0065293A"/>
    <w:rsid w:val="006529E9"/>
    <w:rsid w:val="00652AC0"/>
    <w:rsid w:val="00652D78"/>
    <w:rsid w:val="00652EC4"/>
    <w:rsid w:val="00653101"/>
    <w:rsid w:val="0065326D"/>
    <w:rsid w:val="0065335B"/>
    <w:rsid w:val="006533C1"/>
    <w:rsid w:val="0065354D"/>
    <w:rsid w:val="006539D0"/>
    <w:rsid w:val="00653BA9"/>
    <w:rsid w:val="00653C55"/>
    <w:rsid w:val="00653CAE"/>
    <w:rsid w:val="00653EB9"/>
    <w:rsid w:val="00653F98"/>
    <w:rsid w:val="00654037"/>
    <w:rsid w:val="00654489"/>
    <w:rsid w:val="006544A9"/>
    <w:rsid w:val="006544C4"/>
    <w:rsid w:val="006545B4"/>
    <w:rsid w:val="00654601"/>
    <w:rsid w:val="00654645"/>
    <w:rsid w:val="0065464D"/>
    <w:rsid w:val="00654821"/>
    <w:rsid w:val="006549CF"/>
    <w:rsid w:val="00654AFB"/>
    <w:rsid w:val="00654DDF"/>
    <w:rsid w:val="00654E7B"/>
    <w:rsid w:val="00654F47"/>
    <w:rsid w:val="00654F64"/>
    <w:rsid w:val="006550C1"/>
    <w:rsid w:val="0065544E"/>
    <w:rsid w:val="0065560A"/>
    <w:rsid w:val="00655743"/>
    <w:rsid w:val="0065592E"/>
    <w:rsid w:val="006559AA"/>
    <w:rsid w:val="00655AD7"/>
    <w:rsid w:val="00655CDA"/>
    <w:rsid w:val="00655D1C"/>
    <w:rsid w:val="00655D88"/>
    <w:rsid w:val="006562EA"/>
    <w:rsid w:val="0065635C"/>
    <w:rsid w:val="006564CB"/>
    <w:rsid w:val="006564DC"/>
    <w:rsid w:val="006567EE"/>
    <w:rsid w:val="00656875"/>
    <w:rsid w:val="00656B40"/>
    <w:rsid w:val="00656C05"/>
    <w:rsid w:val="00656C38"/>
    <w:rsid w:val="00656F12"/>
    <w:rsid w:val="00656F78"/>
    <w:rsid w:val="006572D5"/>
    <w:rsid w:val="006574F6"/>
    <w:rsid w:val="0065755A"/>
    <w:rsid w:val="0065759D"/>
    <w:rsid w:val="006575CB"/>
    <w:rsid w:val="006576BF"/>
    <w:rsid w:val="0065775C"/>
    <w:rsid w:val="0065775D"/>
    <w:rsid w:val="006577BB"/>
    <w:rsid w:val="0065789B"/>
    <w:rsid w:val="00657C69"/>
    <w:rsid w:val="00660011"/>
    <w:rsid w:val="00660066"/>
    <w:rsid w:val="00660080"/>
    <w:rsid w:val="00660105"/>
    <w:rsid w:val="00660226"/>
    <w:rsid w:val="00660321"/>
    <w:rsid w:val="006604A4"/>
    <w:rsid w:val="006606FA"/>
    <w:rsid w:val="006608C7"/>
    <w:rsid w:val="006608D4"/>
    <w:rsid w:val="00660995"/>
    <w:rsid w:val="00660A37"/>
    <w:rsid w:val="00660DCC"/>
    <w:rsid w:val="00660F1D"/>
    <w:rsid w:val="0066139D"/>
    <w:rsid w:val="006614FA"/>
    <w:rsid w:val="006619FE"/>
    <w:rsid w:val="00661BB3"/>
    <w:rsid w:val="00661C02"/>
    <w:rsid w:val="00661D48"/>
    <w:rsid w:val="00661F5B"/>
    <w:rsid w:val="0066213A"/>
    <w:rsid w:val="006622C7"/>
    <w:rsid w:val="00662488"/>
    <w:rsid w:val="00662519"/>
    <w:rsid w:val="0066259F"/>
    <w:rsid w:val="0066264C"/>
    <w:rsid w:val="0066265A"/>
    <w:rsid w:val="006626CA"/>
    <w:rsid w:val="0066270C"/>
    <w:rsid w:val="00662719"/>
    <w:rsid w:val="006627E6"/>
    <w:rsid w:val="00662872"/>
    <w:rsid w:val="0066297B"/>
    <w:rsid w:val="0066298E"/>
    <w:rsid w:val="00662A9F"/>
    <w:rsid w:val="00662D6C"/>
    <w:rsid w:val="00662E52"/>
    <w:rsid w:val="00662F30"/>
    <w:rsid w:val="0066301D"/>
    <w:rsid w:val="00663315"/>
    <w:rsid w:val="0066341A"/>
    <w:rsid w:val="006634A6"/>
    <w:rsid w:val="0066362F"/>
    <w:rsid w:val="00663658"/>
    <w:rsid w:val="00663888"/>
    <w:rsid w:val="0066396C"/>
    <w:rsid w:val="00663AD2"/>
    <w:rsid w:val="00663B5B"/>
    <w:rsid w:val="00663B7A"/>
    <w:rsid w:val="00663CA1"/>
    <w:rsid w:val="00663F04"/>
    <w:rsid w:val="00663F26"/>
    <w:rsid w:val="00664056"/>
    <w:rsid w:val="0066425D"/>
    <w:rsid w:val="0066439B"/>
    <w:rsid w:val="006645E6"/>
    <w:rsid w:val="006646A6"/>
    <w:rsid w:val="00664724"/>
    <w:rsid w:val="00664802"/>
    <w:rsid w:val="00664895"/>
    <w:rsid w:val="006648FE"/>
    <w:rsid w:val="00664BCB"/>
    <w:rsid w:val="00664CCE"/>
    <w:rsid w:val="00664EE5"/>
    <w:rsid w:val="00664F5A"/>
    <w:rsid w:val="00665367"/>
    <w:rsid w:val="00665474"/>
    <w:rsid w:val="006655E3"/>
    <w:rsid w:val="006656CC"/>
    <w:rsid w:val="00665735"/>
    <w:rsid w:val="006657FE"/>
    <w:rsid w:val="00665A9D"/>
    <w:rsid w:val="00665D3A"/>
    <w:rsid w:val="00666399"/>
    <w:rsid w:val="00666451"/>
    <w:rsid w:val="00666483"/>
    <w:rsid w:val="00666530"/>
    <w:rsid w:val="006669E5"/>
    <w:rsid w:val="00666BE6"/>
    <w:rsid w:val="00666C10"/>
    <w:rsid w:val="00666CD7"/>
    <w:rsid w:val="00666FE4"/>
    <w:rsid w:val="00666FFC"/>
    <w:rsid w:val="0066705C"/>
    <w:rsid w:val="006670CB"/>
    <w:rsid w:val="0066713D"/>
    <w:rsid w:val="006671B9"/>
    <w:rsid w:val="006677DD"/>
    <w:rsid w:val="00667886"/>
    <w:rsid w:val="0066797E"/>
    <w:rsid w:val="00667A2A"/>
    <w:rsid w:val="00667AC7"/>
    <w:rsid w:val="00667CFB"/>
    <w:rsid w:val="00667D47"/>
    <w:rsid w:val="00667E71"/>
    <w:rsid w:val="00670149"/>
    <w:rsid w:val="0067020F"/>
    <w:rsid w:val="00670284"/>
    <w:rsid w:val="00670446"/>
    <w:rsid w:val="00670BBB"/>
    <w:rsid w:val="00670D09"/>
    <w:rsid w:val="00670E3A"/>
    <w:rsid w:val="00671033"/>
    <w:rsid w:val="006710FE"/>
    <w:rsid w:val="006711D0"/>
    <w:rsid w:val="0067132F"/>
    <w:rsid w:val="00671355"/>
    <w:rsid w:val="0067170F"/>
    <w:rsid w:val="0067183A"/>
    <w:rsid w:val="00671CE6"/>
    <w:rsid w:val="00671D9E"/>
    <w:rsid w:val="00671EA1"/>
    <w:rsid w:val="00671FC4"/>
    <w:rsid w:val="00672009"/>
    <w:rsid w:val="0067201C"/>
    <w:rsid w:val="00672023"/>
    <w:rsid w:val="0067215F"/>
    <w:rsid w:val="006721FD"/>
    <w:rsid w:val="00672519"/>
    <w:rsid w:val="00672632"/>
    <w:rsid w:val="006726EC"/>
    <w:rsid w:val="0067285F"/>
    <w:rsid w:val="00672925"/>
    <w:rsid w:val="006729AD"/>
    <w:rsid w:val="00673213"/>
    <w:rsid w:val="00673316"/>
    <w:rsid w:val="006733B0"/>
    <w:rsid w:val="006733F8"/>
    <w:rsid w:val="006734DA"/>
    <w:rsid w:val="006734FF"/>
    <w:rsid w:val="00673529"/>
    <w:rsid w:val="00673998"/>
    <w:rsid w:val="00673C67"/>
    <w:rsid w:val="00673CC9"/>
    <w:rsid w:val="00673D2F"/>
    <w:rsid w:val="00673D59"/>
    <w:rsid w:val="00673F5F"/>
    <w:rsid w:val="0067442C"/>
    <w:rsid w:val="006744E4"/>
    <w:rsid w:val="00674547"/>
    <w:rsid w:val="00674583"/>
    <w:rsid w:val="0067459E"/>
    <w:rsid w:val="006745CD"/>
    <w:rsid w:val="00674984"/>
    <w:rsid w:val="00674998"/>
    <w:rsid w:val="00674C76"/>
    <w:rsid w:val="00674DD1"/>
    <w:rsid w:val="00674E07"/>
    <w:rsid w:val="00674F0D"/>
    <w:rsid w:val="00674FA6"/>
    <w:rsid w:val="00674FCD"/>
    <w:rsid w:val="00675084"/>
    <w:rsid w:val="0067510E"/>
    <w:rsid w:val="00675224"/>
    <w:rsid w:val="0067545B"/>
    <w:rsid w:val="00675460"/>
    <w:rsid w:val="006756FB"/>
    <w:rsid w:val="0067591D"/>
    <w:rsid w:val="00675930"/>
    <w:rsid w:val="006759FB"/>
    <w:rsid w:val="00675CF4"/>
    <w:rsid w:val="00675D1C"/>
    <w:rsid w:val="00675DDA"/>
    <w:rsid w:val="00675DDC"/>
    <w:rsid w:val="00675EDA"/>
    <w:rsid w:val="00676063"/>
    <w:rsid w:val="006762B0"/>
    <w:rsid w:val="0067630C"/>
    <w:rsid w:val="00676580"/>
    <w:rsid w:val="00676596"/>
    <w:rsid w:val="00676629"/>
    <w:rsid w:val="00676674"/>
    <w:rsid w:val="00676845"/>
    <w:rsid w:val="00676A6A"/>
    <w:rsid w:val="00676AA8"/>
    <w:rsid w:val="00676AB1"/>
    <w:rsid w:val="00676AE7"/>
    <w:rsid w:val="00676D4D"/>
    <w:rsid w:val="00676F7D"/>
    <w:rsid w:val="00677017"/>
    <w:rsid w:val="00677088"/>
    <w:rsid w:val="006770C7"/>
    <w:rsid w:val="006770F0"/>
    <w:rsid w:val="00677208"/>
    <w:rsid w:val="0067733E"/>
    <w:rsid w:val="00677353"/>
    <w:rsid w:val="00677439"/>
    <w:rsid w:val="00677584"/>
    <w:rsid w:val="0067759E"/>
    <w:rsid w:val="006777A6"/>
    <w:rsid w:val="006777FA"/>
    <w:rsid w:val="006778B3"/>
    <w:rsid w:val="006778C0"/>
    <w:rsid w:val="006779C1"/>
    <w:rsid w:val="00677A89"/>
    <w:rsid w:val="00677B86"/>
    <w:rsid w:val="00677CAB"/>
    <w:rsid w:val="00677D7E"/>
    <w:rsid w:val="0067BCAE"/>
    <w:rsid w:val="00680206"/>
    <w:rsid w:val="0068048D"/>
    <w:rsid w:val="006804F7"/>
    <w:rsid w:val="00680571"/>
    <w:rsid w:val="00680638"/>
    <w:rsid w:val="006807A1"/>
    <w:rsid w:val="00680AAC"/>
    <w:rsid w:val="006811F4"/>
    <w:rsid w:val="00681469"/>
    <w:rsid w:val="0068152C"/>
    <w:rsid w:val="006816B2"/>
    <w:rsid w:val="006817B3"/>
    <w:rsid w:val="006819B0"/>
    <w:rsid w:val="006819F1"/>
    <w:rsid w:val="00681B1E"/>
    <w:rsid w:val="00681C4D"/>
    <w:rsid w:val="00681D00"/>
    <w:rsid w:val="0068212F"/>
    <w:rsid w:val="0068219D"/>
    <w:rsid w:val="00682408"/>
    <w:rsid w:val="00682441"/>
    <w:rsid w:val="006826F2"/>
    <w:rsid w:val="006827AE"/>
    <w:rsid w:val="0068284D"/>
    <w:rsid w:val="00682B2D"/>
    <w:rsid w:val="0068322D"/>
    <w:rsid w:val="0068327E"/>
    <w:rsid w:val="00683388"/>
    <w:rsid w:val="006833FF"/>
    <w:rsid w:val="006835DE"/>
    <w:rsid w:val="006835FB"/>
    <w:rsid w:val="006837A4"/>
    <w:rsid w:val="006837DB"/>
    <w:rsid w:val="00683961"/>
    <w:rsid w:val="00683AB3"/>
    <w:rsid w:val="00683E64"/>
    <w:rsid w:val="0068417D"/>
    <w:rsid w:val="00684220"/>
    <w:rsid w:val="006842D2"/>
    <w:rsid w:val="00684508"/>
    <w:rsid w:val="00684835"/>
    <w:rsid w:val="00684AF3"/>
    <w:rsid w:val="00684B61"/>
    <w:rsid w:val="00684C4D"/>
    <w:rsid w:val="00684EA2"/>
    <w:rsid w:val="0068527D"/>
    <w:rsid w:val="006854BC"/>
    <w:rsid w:val="0068558E"/>
    <w:rsid w:val="006855D1"/>
    <w:rsid w:val="006857CE"/>
    <w:rsid w:val="00685912"/>
    <w:rsid w:val="00685922"/>
    <w:rsid w:val="00685A20"/>
    <w:rsid w:val="00685AC1"/>
    <w:rsid w:val="00685BCF"/>
    <w:rsid w:val="00685DA5"/>
    <w:rsid w:val="00685DDB"/>
    <w:rsid w:val="00685DFA"/>
    <w:rsid w:val="00685E97"/>
    <w:rsid w:val="006861CF"/>
    <w:rsid w:val="00686333"/>
    <w:rsid w:val="006865FD"/>
    <w:rsid w:val="006866BE"/>
    <w:rsid w:val="0068695C"/>
    <w:rsid w:val="00686993"/>
    <w:rsid w:val="00686B57"/>
    <w:rsid w:val="00686EF4"/>
    <w:rsid w:val="006873A5"/>
    <w:rsid w:val="0068749F"/>
    <w:rsid w:val="006875AC"/>
    <w:rsid w:val="006877B7"/>
    <w:rsid w:val="00687919"/>
    <w:rsid w:val="006879DC"/>
    <w:rsid w:val="00687B39"/>
    <w:rsid w:val="00687E67"/>
    <w:rsid w:val="00687F76"/>
    <w:rsid w:val="0069059F"/>
    <w:rsid w:val="006905CB"/>
    <w:rsid w:val="0069073B"/>
    <w:rsid w:val="00690A14"/>
    <w:rsid w:val="00690B72"/>
    <w:rsid w:val="00690B74"/>
    <w:rsid w:val="00690BE4"/>
    <w:rsid w:val="00690C10"/>
    <w:rsid w:val="00690C48"/>
    <w:rsid w:val="00690C88"/>
    <w:rsid w:val="00690CB9"/>
    <w:rsid w:val="00690CDA"/>
    <w:rsid w:val="00690F27"/>
    <w:rsid w:val="0069105A"/>
    <w:rsid w:val="006910D0"/>
    <w:rsid w:val="0069127D"/>
    <w:rsid w:val="0069133F"/>
    <w:rsid w:val="0069139F"/>
    <w:rsid w:val="006913A8"/>
    <w:rsid w:val="006913C3"/>
    <w:rsid w:val="006915FD"/>
    <w:rsid w:val="006915FE"/>
    <w:rsid w:val="00691718"/>
    <w:rsid w:val="006917C7"/>
    <w:rsid w:val="006918BA"/>
    <w:rsid w:val="006918FA"/>
    <w:rsid w:val="00691961"/>
    <w:rsid w:val="00691988"/>
    <w:rsid w:val="00691B06"/>
    <w:rsid w:val="00691BA1"/>
    <w:rsid w:val="00691C35"/>
    <w:rsid w:val="00691C45"/>
    <w:rsid w:val="0069205A"/>
    <w:rsid w:val="006921C9"/>
    <w:rsid w:val="006923AF"/>
    <w:rsid w:val="00692534"/>
    <w:rsid w:val="00692757"/>
    <w:rsid w:val="00692793"/>
    <w:rsid w:val="00692D73"/>
    <w:rsid w:val="00693027"/>
    <w:rsid w:val="0069314F"/>
    <w:rsid w:val="00693302"/>
    <w:rsid w:val="006934E0"/>
    <w:rsid w:val="00693622"/>
    <w:rsid w:val="006937B4"/>
    <w:rsid w:val="00693809"/>
    <w:rsid w:val="0069390A"/>
    <w:rsid w:val="00693A9A"/>
    <w:rsid w:val="00693C86"/>
    <w:rsid w:val="00693CD0"/>
    <w:rsid w:val="00693DAF"/>
    <w:rsid w:val="00693DBF"/>
    <w:rsid w:val="00693E8A"/>
    <w:rsid w:val="00694093"/>
    <w:rsid w:val="00694105"/>
    <w:rsid w:val="00694367"/>
    <w:rsid w:val="00694670"/>
    <w:rsid w:val="006946DD"/>
    <w:rsid w:val="00694714"/>
    <w:rsid w:val="006948B4"/>
    <w:rsid w:val="00694982"/>
    <w:rsid w:val="00694A2A"/>
    <w:rsid w:val="00694B0D"/>
    <w:rsid w:val="00694C12"/>
    <w:rsid w:val="00695079"/>
    <w:rsid w:val="00695145"/>
    <w:rsid w:val="00695298"/>
    <w:rsid w:val="006955FB"/>
    <w:rsid w:val="0069576A"/>
    <w:rsid w:val="00695888"/>
    <w:rsid w:val="00695C2C"/>
    <w:rsid w:val="00695C3E"/>
    <w:rsid w:val="006963F0"/>
    <w:rsid w:val="00696463"/>
    <w:rsid w:val="00696498"/>
    <w:rsid w:val="0069651D"/>
    <w:rsid w:val="00696520"/>
    <w:rsid w:val="00696612"/>
    <w:rsid w:val="00696709"/>
    <w:rsid w:val="00696749"/>
    <w:rsid w:val="00696CA9"/>
    <w:rsid w:val="00696CE6"/>
    <w:rsid w:val="00696D7C"/>
    <w:rsid w:val="00697050"/>
    <w:rsid w:val="00697068"/>
    <w:rsid w:val="0069717A"/>
    <w:rsid w:val="00697230"/>
    <w:rsid w:val="00697255"/>
    <w:rsid w:val="00697307"/>
    <w:rsid w:val="00697356"/>
    <w:rsid w:val="00697382"/>
    <w:rsid w:val="006977B2"/>
    <w:rsid w:val="006977EA"/>
    <w:rsid w:val="00697A3F"/>
    <w:rsid w:val="00697C87"/>
    <w:rsid w:val="00697CA4"/>
    <w:rsid w:val="00697D37"/>
    <w:rsid w:val="00697E14"/>
    <w:rsid w:val="006A006D"/>
    <w:rsid w:val="006A059E"/>
    <w:rsid w:val="006A0BB6"/>
    <w:rsid w:val="006A0E25"/>
    <w:rsid w:val="006A0F45"/>
    <w:rsid w:val="006A0F8C"/>
    <w:rsid w:val="006A1061"/>
    <w:rsid w:val="006A123F"/>
    <w:rsid w:val="006A1397"/>
    <w:rsid w:val="006A159C"/>
    <w:rsid w:val="006A18D6"/>
    <w:rsid w:val="006A195E"/>
    <w:rsid w:val="006A1A29"/>
    <w:rsid w:val="006A1AA4"/>
    <w:rsid w:val="006A1C62"/>
    <w:rsid w:val="006A1D91"/>
    <w:rsid w:val="006A1DCD"/>
    <w:rsid w:val="006A1DE5"/>
    <w:rsid w:val="006A1F06"/>
    <w:rsid w:val="006A1F14"/>
    <w:rsid w:val="006A2004"/>
    <w:rsid w:val="006A236C"/>
    <w:rsid w:val="006A23DB"/>
    <w:rsid w:val="006A262A"/>
    <w:rsid w:val="006A2804"/>
    <w:rsid w:val="006A2A53"/>
    <w:rsid w:val="006A2A60"/>
    <w:rsid w:val="006A2ADA"/>
    <w:rsid w:val="006A2B18"/>
    <w:rsid w:val="006A2B4D"/>
    <w:rsid w:val="006A2BA7"/>
    <w:rsid w:val="006A2FB7"/>
    <w:rsid w:val="006A310E"/>
    <w:rsid w:val="006A318B"/>
    <w:rsid w:val="006A31AB"/>
    <w:rsid w:val="006A31D9"/>
    <w:rsid w:val="006A3266"/>
    <w:rsid w:val="006A3316"/>
    <w:rsid w:val="006A33C5"/>
    <w:rsid w:val="006A35F0"/>
    <w:rsid w:val="006A35F9"/>
    <w:rsid w:val="006A3C38"/>
    <w:rsid w:val="006A3E01"/>
    <w:rsid w:val="006A3E0D"/>
    <w:rsid w:val="006A4103"/>
    <w:rsid w:val="006A42E0"/>
    <w:rsid w:val="006A42F6"/>
    <w:rsid w:val="006A4378"/>
    <w:rsid w:val="006A43A3"/>
    <w:rsid w:val="006A44F3"/>
    <w:rsid w:val="006A47EF"/>
    <w:rsid w:val="006A4806"/>
    <w:rsid w:val="006A48A1"/>
    <w:rsid w:val="006A48EC"/>
    <w:rsid w:val="006A4A61"/>
    <w:rsid w:val="006A4B9F"/>
    <w:rsid w:val="006A4C35"/>
    <w:rsid w:val="006A4DB6"/>
    <w:rsid w:val="006A4E23"/>
    <w:rsid w:val="006A5078"/>
    <w:rsid w:val="006A50E5"/>
    <w:rsid w:val="006A5154"/>
    <w:rsid w:val="006A522F"/>
    <w:rsid w:val="006A5303"/>
    <w:rsid w:val="006A531E"/>
    <w:rsid w:val="006A5575"/>
    <w:rsid w:val="006A596A"/>
    <w:rsid w:val="006A5A18"/>
    <w:rsid w:val="006A5AF9"/>
    <w:rsid w:val="006A5C5E"/>
    <w:rsid w:val="006A5F04"/>
    <w:rsid w:val="006A5FC3"/>
    <w:rsid w:val="006A60C0"/>
    <w:rsid w:val="006A6188"/>
    <w:rsid w:val="006A6262"/>
    <w:rsid w:val="006A64C8"/>
    <w:rsid w:val="006A656D"/>
    <w:rsid w:val="006A6950"/>
    <w:rsid w:val="006A6A82"/>
    <w:rsid w:val="006A6C5C"/>
    <w:rsid w:val="006A6CD0"/>
    <w:rsid w:val="006A6EEB"/>
    <w:rsid w:val="006A6F3A"/>
    <w:rsid w:val="006A71B7"/>
    <w:rsid w:val="006A724A"/>
    <w:rsid w:val="006A74C7"/>
    <w:rsid w:val="006A775F"/>
    <w:rsid w:val="006A77DC"/>
    <w:rsid w:val="006A79E3"/>
    <w:rsid w:val="006A7A06"/>
    <w:rsid w:val="006A7A48"/>
    <w:rsid w:val="006A7BDC"/>
    <w:rsid w:val="006A7DCF"/>
    <w:rsid w:val="006B0226"/>
    <w:rsid w:val="006B0289"/>
    <w:rsid w:val="006B0401"/>
    <w:rsid w:val="006B04B4"/>
    <w:rsid w:val="006B0944"/>
    <w:rsid w:val="006B0C27"/>
    <w:rsid w:val="006B0FBE"/>
    <w:rsid w:val="006B107B"/>
    <w:rsid w:val="006B1184"/>
    <w:rsid w:val="006B16AA"/>
    <w:rsid w:val="006B16C7"/>
    <w:rsid w:val="006B173D"/>
    <w:rsid w:val="006B197A"/>
    <w:rsid w:val="006B1C15"/>
    <w:rsid w:val="006B1CB7"/>
    <w:rsid w:val="006B1D3C"/>
    <w:rsid w:val="006B201D"/>
    <w:rsid w:val="006B203F"/>
    <w:rsid w:val="006B2066"/>
    <w:rsid w:val="006B2133"/>
    <w:rsid w:val="006B229B"/>
    <w:rsid w:val="006B282A"/>
    <w:rsid w:val="006B29E4"/>
    <w:rsid w:val="006B2A59"/>
    <w:rsid w:val="006B2E25"/>
    <w:rsid w:val="006B3018"/>
    <w:rsid w:val="006B31AA"/>
    <w:rsid w:val="006B3309"/>
    <w:rsid w:val="006B343B"/>
    <w:rsid w:val="006B3581"/>
    <w:rsid w:val="006B37FD"/>
    <w:rsid w:val="006B3AF5"/>
    <w:rsid w:val="006B3AFD"/>
    <w:rsid w:val="006B3BFE"/>
    <w:rsid w:val="006B3CA8"/>
    <w:rsid w:val="006B3FAA"/>
    <w:rsid w:val="006B4043"/>
    <w:rsid w:val="006B4045"/>
    <w:rsid w:val="006B416F"/>
    <w:rsid w:val="006B42F4"/>
    <w:rsid w:val="006B432E"/>
    <w:rsid w:val="006B4411"/>
    <w:rsid w:val="006B4505"/>
    <w:rsid w:val="006B45F3"/>
    <w:rsid w:val="006B4749"/>
    <w:rsid w:val="006B47F2"/>
    <w:rsid w:val="006B4AC5"/>
    <w:rsid w:val="006B4B9B"/>
    <w:rsid w:val="006B4BD6"/>
    <w:rsid w:val="006B50B7"/>
    <w:rsid w:val="006B53CF"/>
    <w:rsid w:val="006B575A"/>
    <w:rsid w:val="006B5827"/>
    <w:rsid w:val="006B58DB"/>
    <w:rsid w:val="006B5988"/>
    <w:rsid w:val="006B598F"/>
    <w:rsid w:val="006B5A45"/>
    <w:rsid w:val="006B5A8C"/>
    <w:rsid w:val="006B5FA3"/>
    <w:rsid w:val="006B61A3"/>
    <w:rsid w:val="006B63F9"/>
    <w:rsid w:val="006B64A2"/>
    <w:rsid w:val="006B64CB"/>
    <w:rsid w:val="006B65DA"/>
    <w:rsid w:val="006B65E8"/>
    <w:rsid w:val="006B66D0"/>
    <w:rsid w:val="006B6B44"/>
    <w:rsid w:val="006B6CE8"/>
    <w:rsid w:val="006B6D38"/>
    <w:rsid w:val="006B6D8C"/>
    <w:rsid w:val="006B6E75"/>
    <w:rsid w:val="006B6EEC"/>
    <w:rsid w:val="006B6EF4"/>
    <w:rsid w:val="006B6F3B"/>
    <w:rsid w:val="006B711A"/>
    <w:rsid w:val="006B71F3"/>
    <w:rsid w:val="006B7425"/>
    <w:rsid w:val="006B7962"/>
    <w:rsid w:val="006B7990"/>
    <w:rsid w:val="006B7A89"/>
    <w:rsid w:val="006B7BBA"/>
    <w:rsid w:val="006B7BCD"/>
    <w:rsid w:val="006B7C2B"/>
    <w:rsid w:val="006B7CF0"/>
    <w:rsid w:val="006B7FA0"/>
    <w:rsid w:val="006B7FFE"/>
    <w:rsid w:val="006C008A"/>
    <w:rsid w:val="006C0120"/>
    <w:rsid w:val="006C0153"/>
    <w:rsid w:val="006C01BF"/>
    <w:rsid w:val="006C032D"/>
    <w:rsid w:val="006C0463"/>
    <w:rsid w:val="006C0475"/>
    <w:rsid w:val="006C0695"/>
    <w:rsid w:val="006C0CEA"/>
    <w:rsid w:val="006C0F2E"/>
    <w:rsid w:val="006C10A1"/>
    <w:rsid w:val="006C1254"/>
    <w:rsid w:val="006C135E"/>
    <w:rsid w:val="006C18DF"/>
    <w:rsid w:val="006C1925"/>
    <w:rsid w:val="006C1A3A"/>
    <w:rsid w:val="006C1D98"/>
    <w:rsid w:val="006C206F"/>
    <w:rsid w:val="006C2081"/>
    <w:rsid w:val="006C2103"/>
    <w:rsid w:val="006C2495"/>
    <w:rsid w:val="006C2543"/>
    <w:rsid w:val="006C2579"/>
    <w:rsid w:val="006C2699"/>
    <w:rsid w:val="006C279F"/>
    <w:rsid w:val="006C2953"/>
    <w:rsid w:val="006C2BF7"/>
    <w:rsid w:val="006C2C58"/>
    <w:rsid w:val="006C2DC4"/>
    <w:rsid w:val="006C3017"/>
    <w:rsid w:val="006C31FF"/>
    <w:rsid w:val="006C362B"/>
    <w:rsid w:val="006C3C15"/>
    <w:rsid w:val="006C3EDA"/>
    <w:rsid w:val="006C4107"/>
    <w:rsid w:val="006C413A"/>
    <w:rsid w:val="006C4625"/>
    <w:rsid w:val="006C462D"/>
    <w:rsid w:val="006C4735"/>
    <w:rsid w:val="006C4860"/>
    <w:rsid w:val="006C49D7"/>
    <w:rsid w:val="006C4C15"/>
    <w:rsid w:val="006C4D95"/>
    <w:rsid w:val="006C4DCF"/>
    <w:rsid w:val="006C4DE3"/>
    <w:rsid w:val="006C500B"/>
    <w:rsid w:val="006C524C"/>
    <w:rsid w:val="006C52F7"/>
    <w:rsid w:val="006C5436"/>
    <w:rsid w:val="006C554B"/>
    <w:rsid w:val="006C5639"/>
    <w:rsid w:val="006C587F"/>
    <w:rsid w:val="006C5905"/>
    <w:rsid w:val="006C5969"/>
    <w:rsid w:val="006C59C6"/>
    <w:rsid w:val="006C5A29"/>
    <w:rsid w:val="006C5C05"/>
    <w:rsid w:val="006C5D52"/>
    <w:rsid w:val="006C5D8F"/>
    <w:rsid w:val="006C5E9F"/>
    <w:rsid w:val="006C61FA"/>
    <w:rsid w:val="006C622A"/>
    <w:rsid w:val="006C6281"/>
    <w:rsid w:val="006C62AF"/>
    <w:rsid w:val="006C6344"/>
    <w:rsid w:val="006C636F"/>
    <w:rsid w:val="006C664E"/>
    <w:rsid w:val="006C67CD"/>
    <w:rsid w:val="006C69B5"/>
    <w:rsid w:val="006C6AB5"/>
    <w:rsid w:val="006C6BAA"/>
    <w:rsid w:val="006C7055"/>
    <w:rsid w:val="006C7087"/>
    <w:rsid w:val="006C79B9"/>
    <w:rsid w:val="006C79BD"/>
    <w:rsid w:val="006C7D37"/>
    <w:rsid w:val="006D01D2"/>
    <w:rsid w:val="006D0606"/>
    <w:rsid w:val="006D06A6"/>
    <w:rsid w:val="006D07B9"/>
    <w:rsid w:val="006D0B11"/>
    <w:rsid w:val="006D0CA8"/>
    <w:rsid w:val="006D0CC9"/>
    <w:rsid w:val="006D0F83"/>
    <w:rsid w:val="006D1097"/>
    <w:rsid w:val="006D1238"/>
    <w:rsid w:val="006D1804"/>
    <w:rsid w:val="006D1806"/>
    <w:rsid w:val="006D1893"/>
    <w:rsid w:val="006D1DE4"/>
    <w:rsid w:val="006D1E31"/>
    <w:rsid w:val="006D1FC7"/>
    <w:rsid w:val="006D2453"/>
    <w:rsid w:val="006D265A"/>
    <w:rsid w:val="006D2784"/>
    <w:rsid w:val="006D27D9"/>
    <w:rsid w:val="006D2815"/>
    <w:rsid w:val="006D282A"/>
    <w:rsid w:val="006D2A97"/>
    <w:rsid w:val="006D2B80"/>
    <w:rsid w:val="006D2CD1"/>
    <w:rsid w:val="006D2E06"/>
    <w:rsid w:val="006D2F97"/>
    <w:rsid w:val="006D3081"/>
    <w:rsid w:val="006D30CD"/>
    <w:rsid w:val="006D3463"/>
    <w:rsid w:val="006D381E"/>
    <w:rsid w:val="006D3856"/>
    <w:rsid w:val="006D3917"/>
    <w:rsid w:val="006D3A05"/>
    <w:rsid w:val="006D3B6F"/>
    <w:rsid w:val="006D3E6A"/>
    <w:rsid w:val="006D3F3F"/>
    <w:rsid w:val="006D3F76"/>
    <w:rsid w:val="006D3FDB"/>
    <w:rsid w:val="006D400C"/>
    <w:rsid w:val="006D4029"/>
    <w:rsid w:val="006D41A2"/>
    <w:rsid w:val="006D4422"/>
    <w:rsid w:val="006D44F7"/>
    <w:rsid w:val="006D456B"/>
    <w:rsid w:val="006D4696"/>
    <w:rsid w:val="006D474D"/>
    <w:rsid w:val="006D4846"/>
    <w:rsid w:val="006D4AB3"/>
    <w:rsid w:val="006D4AC9"/>
    <w:rsid w:val="006D4C7C"/>
    <w:rsid w:val="006D4D24"/>
    <w:rsid w:val="006D4F9D"/>
    <w:rsid w:val="006D5362"/>
    <w:rsid w:val="006D5456"/>
    <w:rsid w:val="006D545A"/>
    <w:rsid w:val="006D566B"/>
    <w:rsid w:val="006D57A3"/>
    <w:rsid w:val="006D58AD"/>
    <w:rsid w:val="006D59CF"/>
    <w:rsid w:val="006D5A47"/>
    <w:rsid w:val="006D5B96"/>
    <w:rsid w:val="006D5C13"/>
    <w:rsid w:val="006D5F56"/>
    <w:rsid w:val="006D62D0"/>
    <w:rsid w:val="006D6380"/>
    <w:rsid w:val="006D6410"/>
    <w:rsid w:val="006D66EA"/>
    <w:rsid w:val="006D6776"/>
    <w:rsid w:val="006D68E5"/>
    <w:rsid w:val="006D6AF9"/>
    <w:rsid w:val="006D6B0D"/>
    <w:rsid w:val="006D706A"/>
    <w:rsid w:val="006D721A"/>
    <w:rsid w:val="006D7295"/>
    <w:rsid w:val="006D7309"/>
    <w:rsid w:val="006D74CF"/>
    <w:rsid w:val="006D753A"/>
    <w:rsid w:val="006D7998"/>
    <w:rsid w:val="006D7BB8"/>
    <w:rsid w:val="006D7DC7"/>
    <w:rsid w:val="006D7DDD"/>
    <w:rsid w:val="006D7EC4"/>
    <w:rsid w:val="006D7F01"/>
    <w:rsid w:val="006E0032"/>
    <w:rsid w:val="006E018E"/>
    <w:rsid w:val="006E029D"/>
    <w:rsid w:val="006E02AC"/>
    <w:rsid w:val="006E047C"/>
    <w:rsid w:val="006E04ED"/>
    <w:rsid w:val="006E087B"/>
    <w:rsid w:val="006E08C9"/>
    <w:rsid w:val="006E0C6D"/>
    <w:rsid w:val="006E0E5F"/>
    <w:rsid w:val="006E1032"/>
    <w:rsid w:val="006E110F"/>
    <w:rsid w:val="006E114A"/>
    <w:rsid w:val="006E1271"/>
    <w:rsid w:val="006E1725"/>
    <w:rsid w:val="006E1A01"/>
    <w:rsid w:val="006E1BEF"/>
    <w:rsid w:val="006E1E30"/>
    <w:rsid w:val="006E1F5B"/>
    <w:rsid w:val="006E1F93"/>
    <w:rsid w:val="006E213C"/>
    <w:rsid w:val="006E2260"/>
    <w:rsid w:val="006E25B0"/>
    <w:rsid w:val="006E26E0"/>
    <w:rsid w:val="006E273E"/>
    <w:rsid w:val="006E27AA"/>
    <w:rsid w:val="006E29A1"/>
    <w:rsid w:val="006E2B1A"/>
    <w:rsid w:val="006E2B60"/>
    <w:rsid w:val="006E2C51"/>
    <w:rsid w:val="006E2D52"/>
    <w:rsid w:val="006E2DD2"/>
    <w:rsid w:val="006E2EBE"/>
    <w:rsid w:val="006E3216"/>
    <w:rsid w:val="006E3305"/>
    <w:rsid w:val="006E3453"/>
    <w:rsid w:val="006E3588"/>
    <w:rsid w:val="006E3686"/>
    <w:rsid w:val="006E39CC"/>
    <w:rsid w:val="006E3AEB"/>
    <w:rsid w:val="006E3B2A"/>
    <w:rsid w:val="006E3C78"/>
    <w:rsid w:val="006E400C"/>
    <w:rsid w:val="006E4087"/>
    <w:rsid w:val="006E4140"/>
    <w:rsid w:val="006E4248"/>
    <w:rsid w:val="006E4253"/>
    <w:rsid w:val="006E4354"/>
    <w:rsid w:val="006E438C"/>
    <w:rsid w:val="006E4424"/>
    <w:rsid w:val="006E44A1"/>
    <w:rsid w:val="006E486B"/>
    <w:rsid w:val="006E4959"/>
    <w:rsid w:val="006E4B2A"/>
    <w:rsid w:val="006E4B42"/>
    <w:rsid w:val="006E4D15"/>
    <w:rsid w:val="006E4ED6"/>
    <w:rsid w:val="006E4F04"/>
    <w:rsid w:val="006E4FAC"/>
    <w:rsid w:val="006E4FF2"/>
    <w:rsid w:val="006E5309"/>
    <w:rsid w:val="006E5780"/>
    <w:rsid w:val="006E5A52"/>
    <w:rsid w:val="006E5DAA"/>
    <w:rsid w:val="006E5DEC"/>
    <w:rsid w:val="006E5EB0"/>
    <w:rsid w:val="006E62EC"/>
    <w:rsid w:val="006E63CE"/>
    <w:rsid w:val="006E645D"/>
    <w:rsid w:val="006E659F"/>
    <w:rsid w:val="006E65CA"/>
    <w:rsid w:val="006E66C7"/>
    <w:rsid w:val="006E689D"/>
    <w:rsid w:val="006E6A8F"/>
    <w:rsid w:val="006E6C07"/>
    <w:rsid w:val="006E6CEE"/>
    <w:rsid w:val="006E6EDB"/>
    <w:rsid w:val="006E716C"/>
    <w:rsid w:val="006E71DE"/>
    <w:rsid w:val="006E7243"/>
    <w:rsid w:val="006E753C"/>
    <w:rsid w:val="006E7686"/>
    <w:rsid w:val="006E772C"/>
    <w:rsid w:val="006E79A1"/>
    <w:rsid w:val="006E79ED"/>
    <w:rsid w:val="006E7AAB"/>
    <w:rsid w:val="006E7C0E"/>
    <w:rsid w:val="006E7CCF"/>
    <w:rsid w:val="006E7E3A"/>
    <w:rsid w:val="006E7E40"/>
    <w:rsid w:val="006E7E7E"/>
    <w:rsid w:val="006E7EFD"/>
    <w:rsid w:val="006E7F0C"/>
    <w:rsid w:val="006E7F7C"/>
    <w:rsid w:val="006E7FBF"/>
    <w:rsid w:val="006F01B9"/>
    <w:rsid w:val="006F01D9"/>
    <w:rsid w:val="006F03E6"/>
    <w:rsid w:val="006F076E"/>
    <w:rsid w:val="006F08B5"/>
    <w:rsid w:val="006F0910"/>
    <w:rsid w:val="006F09B6"/>
    <w:rsid w:val="006F09D4"/>
    <w:rsid w:val="006F09FC"/>
    <w:rsid w:val="006F0BFD"/>
    <w:rsid w:val="006F0E60"/>
    <w:rsid w:val="006F0E77"/>
    <w:rsid w:val="006F0E7E"/>
    <w:rsid w:val="006F0E8F"/>
    <w:rsid w:val="006F1383"/>
    <w:rsid w:val="006F14E4"/>
    <w:rsid w:val="006F1598"/>
    <w:rsid w:val="006F19E5"/>
    <w:rsid w:val="006F1A4D"/>
    <w:rsid w:val="006F1A9B"/>
    <w:rsid w:val="006F1AF9"/>
    <w:rsid w:val="006F1BE0"/>
    <w:rsid w:val="006F1D53"/>
    <w:rsid w:val="006F1DC7"/>
    <w:rsid w:val="006F227C"/>
    <w:rsid w:val="006F2282"/>
    <w:rsid w:val="006F2302"/>
    <w:rsid w:val="006F25FB"/>
    <w:rsid w:val="006F2924"/>
    <w:rsid w:val="006F2F60"/>
    <w:rsid w:val="006F3002"/>
    <w:rsid w:val="006F3113"/>
    <w:rsid w:val="006F317F"/>
    <w:rsid w:val="006F323A"/>
    <w:rsid w:val="006F34AF"/>
    <w:rsid w:val="006F35ED"/>
    <w:rsid w:val="006F3674"/>
    <w:rsid w:val="006F36B2"/>
    <w:rsid w:val="006F3A4D"/>
    <w:rsid w:val="006F3AAD"/>
    <w:rsid w:val="006F4124"/>
    <w:rsid w:val="006F44A1"/>
    <w:rsid w:val="006F45FB"/>
    <w:rsid w:val="006F462B"/>
    <w:rsid w:val="006F487E"/>
    <w:rsid w:val="006F4C33"/>
    <w:rsid w:val="006F4C57"/>
    <w:rsid w:val="006F4D44"/>
    <w:rsid w:val="006F4ED2"/>
    <w:rsid w:val="006F4F64"/>
    <w:rsid w:val="006F4FF0"/>
    <w:rsid w:val="006F5282"/>
    <w:rsid w:val="006F52EA"/>
    <w:rsid w:val="006F530C"/>
    <w:rsid w:val="006F539A"/>
    <w:rsid w:val="006F555E"/>
    <w:rsid w:val="006F5654"/>
    <w:rsid w:val="006F57C1"/>
    <w:rsid w:val="006F590F"/>
    <w:rsid w:val="006F591B"/>
    <w:rsid w:val="006F5C05"/>
    <w:rsid w:val="006F5D49"/>
    <w:rsid w:val="006F60A4"/>
    <w:rsid w:val="006F619F"/>
    <w:rsid w:val="006F6459"/>
    <w:rsid w:val="006F658B"/>
    <w:rsid w:val="006F664B"/>
    <w:rsid w:val="006F6775"/>
    <w:rsid w:val="006F67FC"/>
    <w:rsid w:val="006F6A36"/>
    <w:rsid w:val="006F6A61"/>
    <w:rsid w:val="006F6BCF"/>
    <w:rsid w:val="006F6CAA"/>
    <w:rsid w:val="006F7062"/>
    <w:rsid w:val="006F7102"/>
    <w:rsid w:val="006F7240"/>
    <w:rsid w:val="006F732C"/>
    <w:rsid w:val="006F7331"/>
    <w:rsid w:val="006F7782"/>
    <w:rsid w:val="006F7810"/>
    <w:rsid w:val="006F796E"/>
    <w:rsid w:val="006F7AD4"/>
    <w:rsid w:val="006F7ADD"/>
    <w:rsid w:val="006F7BEA"/>
    <w:rsid w:val="006F7DDE"/>
    <w:rsid w:val="00700044"/>
    <w:rsid w:val="0070009E"/>
    <w:rsid w:val="0070012A"/>
    <w:rsid w:val="00700267"/>
    <w:rsid w:val="0070037A"/>
    <w:rsid w:val="00700394"/>
    <w:rsid w:val="007004FD"/>
    <w:rsid w:val="0070066C"/>
    <w:rsid w:val="007006B2"/>
    <w:rsid w:val="00700703"/>
    <w:rsid w:val="00700853"/>
    <w:rsid w:val="007009A6"/>
    <w:rsid w:val="00700A1D"/>
    <w:rsid w:val="00700C40"/>
    <w:rsid w:val="00700D85"/>
    <w:rsid w:val="00700DD1"/>
    <w:rsid w:val="00700F4C"/>
    <w:rsid w:val="00701135"/>
    <w:rsid w:val="0070114E"/>
    <w:rsid w:val="007011AA"/>
    <w:rsid w:val="007014D3"/>
    <w:rsid w:val="007015D3"/>
    <w:rsid w:val="007016F1"/>
    <w:rsid w:val="007018DD"/>
    <w:rsid w:val="00701A5F"/>
    <w:rsid w:val="00701B5A"/>
    <w:rsid w:val="00701F6D"/>
    <w:rsid w:val="00702023"/>
    <w:rsid w:val="00702442"/>
    <w:rsid w:val="007029A8"/>
    <w:rsid w:val="00702A0A"/>
    <w:rsid w:val="00702B50"/>
    <w:rsid w:val="00702D27"/>
    <w:rsid w:val="00702E2E"/>
    <w:rsid w:val="00702F05"/>
    <w:rsid w:val="007030AF"/>
    <w:rsid w:val="00703457"/>
    <w:rsid w:val="00703542"/>
    <w:rsid w:val="007036E7"/>
    <w:rsid w:val="0070376A"/>
    <w:rsid w:val="00703776"/>
    <w:rsid w:val="007038A3"/>
    <w:rsid w:val="00703B7F"/>
    <w:rsid w:val="00703D08"/>
    <w:rsid w:val="00703E00"/>
    <w:rsid w:val="00703E7A"/>
    <w:rsid w:val="00704081"/>
    <w:rsid w:val="00704225"/>
    <w:rsid w:val="0070429D"/>
    <w:rsid w:val="00704425"/>
    <w:rsid w:val="00704628"/>
    <w:rsid w:val="007046C4"/>
    <w:rsid w:val="00704958"/>
    <w:rsid w:val="00704995"/>
    <w:rsid w:val="00704A41"/>
    <w:rsid w:val="00704AB9"/>
    <w:rsid w:val="00704B0D"/>
    <w:rsid w:val="00704C40"/>
    <w:rsid w:val="00704D92"/>
    <w:rsid w:val="00704DBC"/>
    <w:rsid w:val="00704EF7"/>
    <w:rsid w:val="00704EFD"/>
    <w:rsid w:val="007051EA"/>
    <w:rsid w:val="0070532B"/>
    <w:rsid w:val="00705330"/>
    <w:rsid w:val="0070551B"/>
    <w:rsid w:val="007055B1"/>
    <w:rsid w:val="007055B5"/>
    <w:rsid w:val="007056A2"/>
    <w:rsid w:val="007058E9"/>
    <w:rsid w:val="007059B6"/>
    <w:rsid w:val="00705BA5"/>
    <w:rsid w:val="00705C82"/>
    <w:rsid w:val="00705D02"/>
    <w:rsid w:val="00705E60"/>
    <w:rsid w:val="00706038"/>
    <w:rsid w:val="00706082"/>
    <w:rsid w:val="007061E5"/>
    <w:rsid w:val="00706773"/>
    <w:rsid w:val="00706AB1"/>
    <w:rsid w:val="00706D5B"/>
    <w:rsid w:val="00706EEC"/>
    <w:rsid w:val="00706F3B"/>
    <w:rsid w:val="0070728F"/>
    <w:rsid w:val="0070742F"/>
    <w:rsid w:val="00707493"/>
    <w:rsid w:val="007078FB"/>
    <w:rsid w:val="007079D9"/>
    <w:rsid w:val="00707A0A"/>
    <w:rsid w:val="00707C2F"/>
    <w:rsid w:val="00707C83"/>
    <w:rsid w:val="00707CD8"/>
    <w:rsid w:val="00707F79"/>
    <w:rsid w:val="00710002"/>
    <w:rsid w:val="007100DE"/>
    <w:rsid w:val="007102A7"/>
    <w:rsid w:val="00710484"/>
    <w:rsid w:val="00710989"/>
    <w:rsid w:val="007109DD"/>
    <w:rsid w:val="00710A78"/>
    <w:rsid w:val="00710AD9"/>
    <w:rsid w:val="00710B9F"/>
    <w:rsid w:val="00710C38"/>
    <w:rsid w:val="00710E05"/>
    <w:rsid w:val="00710FF8"/>
    <w:rsid w:val="007110F0"/>
    <w:rsid w:val="007112D3"/>
    <w:rsid w:val="007112E8"/>
    <w:rsid w:val="00711464"/>
    <w:rsid w:val="007117B3"/>
    <w:rsid w:val="0071199F"/>
    <w:rsid w:val="00711C1A"/>
    <w:rsid w:val="00711C69"/>
    <w:rsid w:val="00711D31"/>
    <w:rsid w:val="00711DAA"/>
    <w:rsid w:val="00711F6C"/>
    <w:rsid w:val="00712037"/>
    <w:rsid w:val="00712045"/>
    <w:rsid w:val="0071214E"/>
    <w:rsid w:val="007123BC"/>
    <w:rsid w:val="007123E0"/>
    <w:rsid w:val="00712599"/>
    <w:rsid w:val="0071265F"/>
    <w:rsid w:val="00712703"/>
    <w:rsid w:val="00712749"/>
    <w:rsid w:val="007127ED"/>
    <w:rsid w:val="00712853"/>
    <w:rsid w:val="00712949"/>
    <w:rsid w:val="00712A6F"/>
    <w:rsid w:val="00712B66"/>
    <w:rsid w:val="00712C18"/>
    <w:rsid w:val="00712C7D"/>
    <w:rsid w:val="00712E4A"/>
    <w:rsid w:val="00712EDA"/>
    <w:rsid w:val="0071310F"/>
    <w:rsid w:val="007132F2"/>
    <w:rsid w:val="0071351E"/>
    <w:rsid w:val="00713B46"/>
    <w:rsid w:val="00713FF3"/>
    <w:rsid w:val="00713FF7"/>
    <w:rsid w:val="0071446F"/>
    <w:rsid w:val="007144A1"/>
    <w:rsid w:val="00714513"/>
    <w:rsid w:val="00714517"/>
    <w:rsid w:val="00714B5E"/>
    <w:rsid w:val="00714BFF"/>
    <w:rsid w:val="00714C19"/>
    <w:rsid w:val="00714D39"/>
    <w:rsid w:val="00714D41"/>
    <w:rsid w:val="00714D5B"/>
    <w:rsid w:val="00714D91"/>
    <w:rsid w:val="00714D9F"/>
    <w:rsid w:val="00714E3D"/>
    <w:rsid w:val="00714F9C"/>
    <w:rsid w:val="0071516B"/>
    <w:rsid w:val="007151F3"/>
    <w:rsid w:val="007152CB"/>
    <w:rsid w:val="00715364"/>
    <w:rsid w:val="00715501"/>
    <w:rsid w:val="00715527"/>
    <w:rsid w:val="00715581"/>
    <w:rsid w:val="007157F4"/>
    <w:rsid w:val="00715A59"/>
    <w:rsid w:val="00715C30"/>
    <w:rsid w:val="00715DC2"/>
    <w:rsid w:val="00715DCE"/>
    <w:rsid w:val="00716121"/>
    <w:rsid w:val="00716274"/>
    <w:rsid w:val="00716392"/>
    <w:rsid w:val="00716594"/>
    <w:rsid w:val="007165DD"/>
    <w:rsid w:val="00716724"/>
    <w:rsid w:val="00716752"/>
    <w:rsid w:val="007168F4"/>
    <w:rsid w:val="00716E66"/>
    <w:rsid w:val="00716F48"/>
    <w:rsid w:val="0071714A"/>
    <w:rsid w:val="007171EC"/>
    <w:rsid w:val="00717316"/>
    <w:rsid w:val="007174DB"/>
    <w:rsid w:val="0071768C"/>
    <w:rsid w:val="007177D7"/>
    <w:rsid w:val="00717A1F"/>
    <w:rsid w:val="00717D5F"/>
    <w:rsid w:val="00717EF4"/>
    <w:rsid w:val="00717F63"/>
    <w:rsid w:val="00720081"/>
    <w:rsid w:val="0072012F"/>
    <w:rsid w:val="00720164"/>
    <w:rsid w:val="007201AB"/>
    <w:rsid w:val="00720258"/>
    <w:rsid w:val="007204C2"/>
    <w:rsid w:val="00720754"/>
    <w:rsid w:val="00720ACE"/>
    <w:rsid w:val="00720F11"/>
    <w:rsid w:val="00721018"/>
    <w:rsid w:val="00721047"/>
    <w:rsid w:val="00721101"/>
    <w:rsid w:val="007214CF"/>
    <w:rsid w:val="007215B0"/>
    <w:rsid w:val="00721681"/>
    <w:rsid w:val="007216F3"/>
    <w:rsid w:val="0072183C"/>
    <w:rsid w:val="007218C3"/>
    <w:rsid w:val="00721947"/>
    <w:rsid w:val="00721B98"/>
    <w:rsid w:val="00721C15"/>
    <w:rsid w:val="00721D24"/>
    <w:rsid w:val="00721D40"/>
    <w:rsid w:val="00721F52"/>
    <w:rsid w:val="00722131"/>
    <w:rsid w:val="0072236B"/>
    <w:rsid w:val="007224B2"/>
    <w:rsid w:val="00722554"/>
    <w:rsid w:val="00722661"/>
    <w:rsid w:val="00722705"/>
    <w:rsid w:val="00722766"/>
    <w:rsid w:val="007228EB"/>
    <w:rsid w:val="00722BDF"/>
    <w:rsid w:val="00722D35"/>
    <w:rsid w:val="00722D9C"/>
    <w:rsid w:val="00722E55"/>
    <w:rsid w:val="007230C4"/>
    <w:rsid w:val="00723105"/>
    <w:rsid w:val="007231D6"/>
    <w:rsid w:val="00723292"/>
    <w:rsid w:val="007232B3"/>
    <w:rsid w:val="00723476"/>
    <w:rsid w:val="007236B0"/>
    <w:rsid w:val="00723CEE"/>
    <w:rsid w:val="00723D6A"/>
    <w:rsid w:val="00723DA4"/>
    <w:rsid w:val="00723E1F"/>
    <w:rsid w:val="00724039"/>
    <w:rsid w:val="00724065"/>
    <w:rsid w:val="007240F9"/>
    <w:rsid w:val="00724132"/>
    <w:rsid w:val="00724382"/>
    <w:rsid w:val="007243FA"/>
    <w:rsid w:val="00724747"/>
    <w:rsid w:val="007248B6"/>
    <w:rsid w:val="00724C5B"/>
    <w:rsid w:val="00724CB9"/>
    <w:rsid w:val="00724D0D"/>
    <w:rsid w:val="0072502B"/>
    <w:rsid w:val="00725049"/>
    <w:rsid w:val="00725075"/>
    <w:rsid w:val="007250C4"/>
    <w:rsid w:val="007254E3"/>
    <w:rsid w:val="007256A6"/>
    <w:rsid w:val="007256C5"/>
    <w:rsid w:val="0072588B"/>
    <w:rsid w:val="00725B31"/>
    <w:rsid w:val="00725DCE"/>
    <w:rsid w:val="00725F05"/>
    <w:rsid w:val="00725F39"/>
    <w:rsid w:val="00725FC4"/>
    <w:rsid w:val="0072614F"/>
    <w:rsid w:val="00726240"/>
    <w:rsid w:val="007269C0"/>
    <w:rsid w:val="00726A12"/>
    <w:rsid w:val="00726B3E"/>
    <w:rsid w:val="00726C4B"/>
    <w:rsid w:val="00726E22"/>
    <w:rsid w:val="00726EA8"/>
    <w:rsid w:val="007271D9"/>
    <w:rsid w:val="00727203"/>
    <w:rsid w:val="00727211"/>
    <w:rsid w:val="007272B4"/>
    <w:rsid w:val="00727464"/>
    <w:rsid w:val="007276C9"/>
    <w:rsid w:val="00727830"/>
    <w:rsid w:val="00727D57"/>
    <w:rsid w:val="00727E51"/>
    <w:rsid w:val="00727E60"/>
    <w:rsid w:val="00730149"/>
    <w:rsid w:val="00730281"/>
    <w:rsid w:val="007305AC"/>
    <w:rsid w:val="0073087F"/>
    <w:rsid w:val="007309AF"/>
    <w:rsid w:val="00730A5C"/>
    <w:rsid w:val="00730A84"/>
    <w:rsid w:val="00730A90"/>
    <w:rsid w:val="00730CDD"/>
    <w:rsid w:val="00730D11"/>
    <w:rsid w:val="00730EBD"/>
    <w:rsid w:val="00730F47"/>
    <w:rsid w:val="00730FAA"/>
    <w:rsid w:val="00731066"/>
    <w:rsid w:val="00731112"/>
    <w:rsid w:val="00731347"/>
    <w:rsid w:val="0073162F"/>
    <w:rsid w:val="0073175C"/>
    <w:rsid w:val="00731BF0"/>
    <w:rsid w:val="00731C77"/>
    <w:rsid w:val="00731D14"/>
    <w:rsid w:val="00731D99"/>
    <w:rsid w:val="0073215A"/>
    <w:rsid w:val="0073233B"/>
    <w:rsid w:val="00732356"/>
    <w:rsid w:val="00732574"/>
    <w:rsid w:val="00732682"/>
    <w:rsid w:val="00732BAA"/>
    <w:rsid w:val="00732E41"/>
    <w:rsid w:val="00732F26"/>
    <w:rsid w:val="00733559"/>
    <w:rsid w:val="00733639"/>
    <w:rsid w:val="00733931"/>
    <w:rsid w:val="00733B18"/>
    <w:rsid w:val="00733CE3"/>
    <w:rsid w:val="00733D78"/>
    <w:rsid w:val="00733F31"/>
    <w:rsid w:val="007341B2"/>
    <w:rsid w:val="0073426F"/>
    <w:rsid w:val="007342EF"/>
    <w:rsid w:val="00734432"/>
    <w:rsid w:val="00734589"/>
    <w:rsid w:val="00734A69"/>
    <w:rsid w:val="00734ACB"/>
    <w:rsid w:val="00734B13"/>
    <w:rsid w:val="00734BC0"/>
    <w:rsid w:val="00734C1C"/>
    <w:rsid w:val="00734D11"/>
    <w:rsid w:val="00734DDE"/>
    <w:rsid w:val="00734E2B"/>
    <w:rsid w:val="00734F2B"/>
    <w:rsid w:val="007352E2"/>
    <w:rsid w:val="007353B9"/>
    <w:rsid w:val="00735547"/>
    <w:rsid w:val="0073557A"/>
    <w:rsid w:val="007355D3"/>
    <w:rsid w:val="007356BC"/>
    <w:rsid w:val="007357C6"/>
    <w:rsid w:val="007357DD"/>
    <w:rsid w:val="00735818"/>
    <w:rsid w:val="0073595D"/>
    <w:rsid w:val="007359DC"/>
    <w:rsid w:val="00735AAA"/>
    <w:rsid w:val="00735ABE"/>
    <w:rsid w:val="00735C07"/>
    <w:rsid w:val="00735C72"/>
    <w:rsid w:val="00735D33"/>
    <w:rsid w:val="00735F35"/>
    <w:rsid w:val="007361DA"/>
    <w:rsid w:val="00736452"/>
    <w:rsid w:val="007364F9"/>
    <w:rsid w:val="0073655D"/>
    <w:rsid w:val="00736612"/>
    <w:rsid w:val="00736755"/>
    <w:rsid w:val="0073679C"/>
    <w:rsid w:val="007368BB"/>
    <w:rsid w:val="00736BD1"/>
    <w:rsid w:val="00736CB6"/>
    <w:rsid w:val="00736E32"/>
    <w:rsid w:val="00736E66"/>
    <w:rsid w:val="00737326"/>
    <w:rsid w:val="00737372"/>
    <w:rsid w:val="0073737F"/>
    <w:rsid w:val="007373A7"/>
    <w:rsid w:val="00737430"/>
    <w:rsid w:val="0073750B"/>
    <w:rsid w:val="00737560"/>
    <w:rsid w:val="007376A9"/>
    <w:rsid w:val="007377E9"/>
    <w:rsid w:val="00737918"/>
    <w:rsid w:val="00737A37"/>
    <w:rsid w:val="00737D02"/>
    <w:rsid w:val="00737E92"/>
    <w:rsid w:val="00740019"/>
    <w:rsid w:val="00740358"/>
    <w:rsid w:val="0074038A"/>
    <w:rsid w:val="0074046C"/>
    <w:rsid w:val="00740478"/>
    <w:rsid w:val="007404EE"/>
    <w:rsid w:val="00740632"/>
    <w:rsid w:val="007406BF"/>
    <w:rsid w:val="00740724"/>
    <w:rsid w:val="0074098D"/>
    <w:rsid w:val="00740AEB"/>
    <w:rsid w:val="00740AF2"/>
    <w:rsid w:val="00740BE5"/>
    <w:rsid w:val="00740BF9"/>
    <w:rsid w:val="00740D02"/>
    <w:rsid w:val="00740F49"/>
    <w:rsid w:val="007411FC"/>
    <w:rsid w:val="0074122B"/>
    <w:rsid w:val="007412E9"/>
    <w:rsid w:val="0074130C"/>
    <w:rsid w:val="0074157A"/>
    <w:rsid w:val="00741612"/>
    <w:rsid w:val="00741689"/>
    <w:rsid w:val="00741A25"/>
    <w:rsid w:val="00741C14"/>
    <w:rsid w:val="00741D9D"/>
    <w:rsid w:val="00741FEB"/>
    <w:rsid w:val="007420BB"/>
    <w:rsid w:val="007420C8"/>
    <w:rsid w:val="0074213E"/>
    <w:rsid w:val="007421EA"/>
    <w:rsid w:val="00742452"/>
    <w:rsid w:val="00742515"/>
    <w:rsid w:val="00742723"/>
    <w:rsid w:val="007428DD"/>
    <w:rsid w:val="00742943"/>
    <w:rsid w:val="007429F8"/>
    <w:rsid w:val="00742A54"/>
    <w:rsid w:val="00742ACE"/>
    <w:rsid w:val="00742B51"/>
    <w:rsid w:val="00742C59"/>
    <w:rsid w:val="00742E9B"/>
    <w:rsid w:val="00743398"/>
    <w:rsid w:val="00743514"/>
    <w:rsid w:val="007436A4"/>
    <w:rsid w:val="007436CA"/>
    <w:rsid w:val="007436F9"/>
    <w:rsid w:val="00743882"/>
    <w:rsid w:val="007439D9"/>
    <w:rsid w:val="00743BD5"/>
    <w:rsid w:val="00743D00"/>
    <w:rsid w:val="00743D72"/>
    <w:rsid w:val="00743DA3"/>
    <w:rsid w:val="00743EA8"/>
    <w:rsid w:val="0074406A"/>
    <w:rsid w:val="007440C5"/>
    <w:rsid w:val="00744636"/>
    <w:rsid w:val="0074479F"/>
    <w:rsid w:val="007447B2"/>
    <w:rsid w:val="007447E7"/>
    <w:rsid w:val="00744885"/>
    <w:rsid w:val="007449D8"/>
    <w:rsid w:val="007449EE"/>
    <w:rsid w:val="00744BC2"/>
    <w:rsid w:val="007450BA"/>
    <w:rsid w:val="00745189"/>
    <w:rsid w:val="007452F9"/>
    <w:rsid w:val="00745379"/>
    <w:rsid w:val="00745428"/>
    <w:rsid w:val="007454AA"/>
    <w:rsid w:val="007457EE"/>
    <w:rsid w:val="00745A3E"/>
    <w:rsid w:val="00745AD3"/>
    <w:rsid w:val="00745E82"/>
    <w:rsid w:val="007462B0"/>
    <w:rsid w:val="007466F6"/>
    <w:rsid w:val="00746701"/>
    <w:rsid w:val="00746888"/>
    <w:rsid w:val="0074688B"/>
    <w:rsid w:val="0074695B"/>
    <w:rsid w:val="007469B4"/>
    <w:rsid w:val="00746AAC"/>
    <w:rsid w:val="00746AEE"/>
    <w:rsid w:val="00746E21"/>
    <w:rsid w:val="00746E27"/>
    <w:rsid w:val="00746E52"/>
    <w:rsid w:val="00746E53"/>
    <w:rsid w:val="0074710C"/>
    <w:rsid w:val="0074713B"/>
    <w:rsid w:val="0074745F"/>
    <w:rsid w:val="00747575"/>
    <w:rsid w:val="00747874"/>
    <w:rsid w:val="0074798E"/>
    <w:rsid w:val="00747A42"/>
    <w:rsid w:val="00747A4F"/>
    <w:rsid w:val="00747AE0"/>
    <w:rsid w:val="00747C54"/>
    <w:rsid w:val="00747C6F"/>
    <w:rsid w:val="00747D9C"/>
    <w:rsid w:val="00747E4E"/>
    <w:rsid w:val="00747E57"/>
    <w:rsid w:val="00747F28"/>
    <w:rsid w:val="00750100"/>
    <w:rsid w:val="00750110"/>
    <w:rsid w:val="00750115"/>
    <w:rsid w:val="007503BC"/>
    <w:rsid w:val="00750682"/>
    <w:rsid w:val="007508F2"/>
    <w:rsid w:val="00750A03"/>
    <w:rsid w:val="00750B64"/>
    <w:rsid w:val="00750CAB"/>
    <w:rsid w:val="00750D6C"/>
    <w:rsid w:val="00750DC0"/>
    <w:rsid w:val="00750DEB"/>
    <w:rsid w:val="00750EBA"/>
    <w:rsid w:val="00750F2A"/>
    <w:rsid w:val="0075102C"/>
    <w:rsid w:val="00751055"/>
    <w:rsid w:val="00751486"/>
    <w:rsid w:val="0075166A"/>
    <w:rsid w:val="007518B9"/>
    <w:rsid w:val="007518D1"/>
    <w:rsid w:val="007518F1"/>
    <w:rsid w:val="00751975"/>
    <w:rsid w:val="00751AC2"/>
    <w:rsid w:val="00751B22"/>
    <w:rsid w:val="00751B50"/>
    <w:rsid w:val="00751DBC"/>
    <w:rsid w:val="00751DDC"/>
    <w:rsid w:val="00751DDF"/>
    <w:rsid w:val="00751E98"/>
    <w:rsid w:val="00751F27"/>
    <w:rsid w:val="007520EE"/>
    <w:rsid w:val="00752109"/>
    <w:rsid w:val="00752318"/>
    <w:rsid w:val="00752347"/>
    <w:rsid w:val="00752371"/>
    <w:rsid w:val="00752373"/>
    <w:rsid w:val="00752467"/>
    <w:rsid w:val="007524D2"/>
    <w:rsid w:val="00752887"/>
    <w:rsid w:val="00752B74"/>
    <w:rsid w:val="00752F28"/>
    <w:rsid w:val="00752F62"/>
    <w:rsid w:val="007531C3"/>
    <w:rsid w:val="007532F4"/>
    <w:rsid w:val="00753367"/>
    <w:rsid w:val="00753376"/>
    <w:rsid w:val="00753548"/>
    <w:rsid w:val="0075356F"/>
    <w:rsid w:val="00753946"/>
    <w:rsid w:val="00753A0B"/>
    <w:rsid w:val="00753CE2"/>
    <w:rsid w:val="00753D2D"/>
    <w:rsid w:val="00754000"/>
    <w:rsid w:val="007542B9"/>
    <w:rsid w:val="007542C5"/>
    <w:rsid w:val="0075453B"/>
    <w:rsid w:val="007547E9"/>
    <w:rsid w:val="00754B82"/>
    <w:rsid w:val="00754C75"/>
    <w:rsid w:val="00754FE6"/>
    <w:rsid w:val="00755595"/>
    <w:rsid w:val="007556AD"/>
    <w:rsid w:val="007558FA"/>
    <w:rsid w:val="00755E52"/>
    <w:rsid w:val="007560C6"/>
    <w:rsid w:val="007560EB"/>
    <w:rsid w:val="007564CC"/>
    <w:rsid w:val="00756875"/>
    <w:rsid w:val="007568B0"/>
    <w:rsid w:val="00757026"/>
    <w:rsid w:val="007570B5"/>
    <w:rsid w:val="00757130"/>
    <w:rsid w:val="007571DF"/>
    <w:rsid w:val="00757373"/>
    <w:rsid w:val="007574BC"/>
    <w:rsid w:val="007575AD"/>
    <w:rsid w:val="007577E4"/>
    <w:rsid w:val="00757837"/>
    <w:rsid w:val="00757843"/>
    <w:rsid w:val="00757CA0"/>
    <w:rsid w:val="00760097"/>
    <w:rsid w:val="007602A5"/>
    <w:rsid w:val="007603C2"/>
    <w:rsid w:val="007605C7"/>
    <w:rsid w:val="00760742"/>
    <w:rsid w:val="0076081F"/>
    <w:rsid w:val="00760860"/>
    <w:rsid w:val="00760EA0"/>
    <w:rsid w:val="00760ECB"/>
    <w:rsid w:val="00761207"/>
    <w:rsid w:val="00761512"/>
    <w:rsid w:val="0076157D"/>
    <w:rsid w:val="00761631"/>
    <w:rsid w:val="00761679"/>
    <w:rsid w:val="007617C8"/>
    <w:rsid w:val="00761813"/>
    <w:rsid w:val="007619AE"/>
    <w:rsid w:val="00761B67"/>
    <w:rsid w:val="00761C16"/>
    <w:rsid w:val="00761C89"/>
    <w:rsid w:val="00762121"/>
    <w:rsid w:val="0076216B"/>
    <w:rsid w:val="0076253E"/>
    <w:rsid w:val="00762655"/>
    <w:rsid w:val="00762807"/>
    <w:rsid w:val="00762817"/>
    <w:rsid w:val="00762850"/>
    <w:rsid w:val="00762860"/>
    <w:rsid w:val="007629EF"/>
    <w:rsid w:val="00762A51"/>
    <w:rsid w:val="00762B19"/>
    <w:rsid w:val="00762E3A"/>
    <w:rsid w:val="00763338"/>
    <w:rsid w:val="007633ED"/>
    <w:rsid w:val="007634FA"/>
    <w:rsid w:val="0076371D"/>
    <w:rsid w:val="007637FF"/>
    <w:rsid w:val="00763920"/>
    <w:rsid w:val="00763A80"/>
    <w:rsid w:val="00763B3D"/>
    <w:rsid w:val="00763D07"/>
    <w:rsid w:val="00763E53"/>
    <w:rsid w:val="00763E93"/>
    <w:rsid w:val="00764198"/>
    <w:rsid w:val="007641F5"/>
    <w:rsid w:val="007642F4"/>
    <w:rsid w:val="0076461E"/>
    <w:rsid w:val="007646B5"/>
    <w:rsid w:val="00764825"/>
    <w:rsid w:val="00764C44"/>
    <w:rsid w:val="00765019"/>
    <w:rsid w:val="0076507A"/>
    <w:rsid w:val="00765191"/>
    <w:rsid w:val="0076542A"/>
    <w:rsid w:val="00765562"/>
    <w:rsid w:val="007656AE"/>
    <w:rsid w:val="007656E1"/>
    <w:rsid w:val="0076571E"/>
    <w:rsid w:val="00765758"/>
    <w:rsid w:val="007658AB"/>
    <w:rsid w:val="00765EC4"/>
    <w:rsid w:val="00765F59"/>
    <w:rsid w:val="00765FC8"/>
    <w:rsid w:val="00765FCC"/>
    <w:rsid w:val="007660F1"/>
    <w:rsid w:val="0076624F"/>
    <w:rsid w:val="007662FD"/>
    <w:rsid w:val="0076637F"/>
    <w:rsid w:val="00766412"/>
    <w:rsid w:val="00766654"/>
    <w:rsid w:val="007667B4"/>
    <w:rsid w:val="0076688E"/>
    <w:rsid w:val="00766A3F"/>
    <w:rsid w:val="00766BFD"/>
    <w:rsid w:val="00767133"/>
    <w:rsid w:val="00767260"/>
    <w:rsid w:val="00767352"/>
    <w:rsid w:val="00767470"/>
    <w:rsid w:val="007675AD"/>
    <w:rsid w:val="0076763B"/>
    <w:rsid w:val="007678FC"/>
    <w:rsid w:val="00767965"/>
    <w:rsid w:val="00767A91"/>
    <w:rsid w:val="00767D22"/>
    <w:rsid w:val="00767ED9"/>
    <w:rsid w:val="00770055"/>
    <w:rsid w:val="0077021D"/>
    <w:rsid w:val="00770614"/>
    <w:rsid w:val="00770709"/>
    <w:rsid w:val="00770998"/>
    <w:rsid w:val="00770D0E"/>
    <w:rsid w:val="00770EB0"/>
    <w:rsid w:val="00770FA0"/>
    <w:rsid w:val="00770FAF"/>
    <w:rsid w:val="007710D7"/>
    <w:rsid w:val="007710E3"/>
    <w:rsid w:val="007711D9"/>
    <w:rsid w:val="00771584"/>
    <w:rsid w:val="007718FF"/>
    <w:rsid w:val="0077191D"/>
    <w:rsid w:val="00771A6C"/>
    <w:rsid w:val="00771ADB"/>
    <w:rsid w:val="00771CAE"/>
    <w:rsid w:val="00771CCA"/>
    <w:rsid w:val="00771CD5"/>
    <w:rsid w:val="00771CE4"/>
    <w:rsid w:val="00771E30"/>
    <w:rsid w:val="00771E8B"/>
    <w:rsid w:val="00771F81"/>
    <w:rsid w:val="00772139"/>
    <w:rsid w:val="0077217C"/>
    <w:rsid w:val="007722B8"/>
    <w:rsid w:val="007725F8"/>
    <w:rsid w:val="007728A6"/>
    <w:rsid w:val="007728AA"/>
    <w:rsid w:val="0077291F"/>
    <w:rsid w:val="00772C33"/>
    <w:rsid w:val="00772D15"/>
    <w:rsid w:val="00772D99"/>
    <w:rsid w:val="00772E7C"/>
    <w:rsid w:val="0077302F"/>
    <w:rsid w:val="0077341C"/>
    <w:rsid w:val="007736AE"/>
    <w:rsid w:val="00773979"/>
    <w:rsid w:val="00773B45"/>
    <w:rsid w:val="00773B5B"/>
    <w:rsid w:val="00773CF0"/>
    <w:rsid w:val="00773E67"/>
    <w:rsid w:val="00773EF5"/>
    <w:rsid w:val="007740DC"/>
    <w:rsid w:val="0077430D"/>
    <w:rsid w:val="00774329"/>
    <w:rsid w:val="007745F0"/>
    <w:rsid w:val="0077470C"/>
    <w:rsid w:val="007747C9"/>
    <w:rsid w:val="00774BD7"/>
    <w:rsid w:val="00774FE5"/>
    <w:rsid w:val="00775218"/>
    <w:rsid w:val="0077533F"/>
    <w:rsid w:val="0077545E"/>
    <w:rsid w:val="00775779"/>
    <w:rsid w:val="007757B5"/>
    <w:rsid w:val="00775D4E"/>
    <w:rsid w:val="00775E9B"/>
    <w:rsid w:val="00775EA4"/>
    <w:rsid w:val="00776013"/>
    <w:rsid w:val="00776095"/>
    <w:rsid w:val="00776181"/>
    <w:rsid w:val="007765BC"/>
    <w:rsid w:val="00776856"/>
    <w:rsid w:val="00776918"/>
    <w:rsid w:val="0077693E"/>
    <w:rsid w:val="00776978"/>
    <w:rsid w:val="00776A80"/>
    <w:rsid w:val="00776D4C"/>
    <w:rsid w:val="00776EAE"/>
    <w:rsid w:val="00776FC1"/>
    <w:rsid w:val="00777003"/>
    <w:rsid w:val="0077709B"/>
    <w:rsid w:val="00777492"/>
    <w:rsid w:val="007775DA"/>
    <w:rsid w:val="0077763E"/>
    <w:rsid w:val="00777661"/>
    <w:rsid w:val="007777DD"/>
    <w:rsid w:val="007777F2"/>
    <w:rsid w:val="00777814"/>
    <w:rsid w:val="00777899"/>
    <w:rsid w:val="00777AA9"/>
    <w:rsid w:val="00777BA8"/>
    <w:rsid w:val="00777C78"/>
    <w:rsid w:val="00777D19"/>
    <w:rsid w:val="00777E06"/>
    <w:rsid w:val="00777E4E"/>
    <w:rsid w:val="00780362"/>
    <w:rsid w:val="00780675"/>
    <w:rsid w:val="00780AB6"/>
    <w:rsid w:val="00780B84"/>
    <w:rsid w:val="00780C1E"/>
    <w:rsid w:val="00780C77"/>
    <w:rsid w:val="00780DC8"/>
    <w:rsid w:val="00780F2E"/>
    <w:rsid w:val="00781287"/>
    <w:rsid w:val="00781393"/>
    <w:rsid w:val="00781408"/>
    <w:rsid w:val="00781444"/>
    <w:rsid w:val="007814C8"/>
    <w:rsid w:val="007814DA"/>
    <w:rsid w:val="0078154D"/>
    <w:rsid w:val="0078159E"/>
    <w:rsid w:val="00781652"/>
    <w:rsid w:val="0078188C"/>
    <w:rsid w:val="00781974"/>
    <w:rsid w:val="00781A54"/>
    <w:rsid w:val="00781B17"/>
    <w:rsid w:val="00781B1B"/>
    <w:rsid w:val="00781D89"/>
    <w:rsid w:val="00781DF4"/>
    <w:rsid w:val="00781F24"/>
    <w:rsid w:val="00781F90"/>
    <w:rsid w:val="0078270D"/>
    <w:rsid w:val="00782722"/>
    <w:rsid w:val="007827EC"/>
    <w:rsid w:val="00782EB9"/>
    <w:rsid w:val="00783113"/>
    <w:rsid w:val="00783290"/>
    <w:rsid w:val="007832C4"/>
    <w:rsid w:val="007832F8"/>
    <w:rsid w:val="00783471"/>
    <w:rsid w:val="00783597"/>
    <w:rsid w:val="007835ED"/>
    <w:rsid w:val="00783618"/>
    <w:rsid w:val="00783653"/>
    <w:rsid w:val="0078365C"/>
    <w:rsid w:val="007836A5"/>
    <w:rsid w:val="007836D5"/>
    <w:rsid w:val="00783826"/>
    <w:rsid w:val="007838BC"/>
    <w:rsid w:val="00783923"/>
    <w:rsid w:val="00783927"/>
    <w:rsid w:val="00783939"/>
    <w:rsid w:val="00783A7E"/>
    <w:rsid w:val="00783D0B"/>
    <w:rsid w:val="00783E20"/>
    <w:rsid w:val="00783E69"/>
    <w:rsid w:val="00783FC0"/>
    <w:rsid w:val="0078414E"/>
    <w:rsid w:val="00784169"/>
    <w:rsid w:val="007841BA"/>
    <w:rsid w:val="007842BB"/>
    <w:rsid w:val="0078471D"/>
    <w:rsid w:val="0078482F"/>
    <w:rsid w:val="0078488C"/>
    <w:rsid w:val="007848E3"/>
    <w:rsid w:val="00784960"/>
    <w:rsid w:val="0078498B"/>
    <w:rsid w:val="00784B37"/>
    <w:rsid w:val="00784C44"/>
    <w:rsid w:val="00784D37"/>
    <w:rsid w:val="00784F26"/>
    <w:rsid w:val="0078511F"/>
    <w:rsid w:val="00785331"/>
    <w:rsid w:val="0078555A"/>
    <w:rsid w:val="00785990"/>
    <w:rsid w:val="00785EC2"/>
    <w:rsid w:val="00785EC6"/>
    <w:rsid w:val="00786445"/>
    <w:rsid w:val="00786483"/>
    <w:rsid w:val="007865C0"/>
    <w:rsid w:val="00786728"/>
    <w:rsid w:val="007868B6"/>
    <w:rsid w:val="00786BC0"/>
    <w:rsid w:val="00786FE2"/>
    <w:rsid w:val="00787319"/>
    <w:rsid w:val="007876B7"/>
    <w:rsid w:val="007876F8"/>
    <w:rsid w:val="007877C9"/>
    <w:rsid w:val="007878A6"/>
    <w:rsid w:val="00787BB7"/>
    <w:rsid w:val="00787BF9"/>
    <w:rsid w:val="00787C45"/>
    <w:rsid w:val="00787E33"/>
    <w:rsid w:val="00787E4C"/>
    <w:rsid w:val="0078F135"/>
    <w:rsid w:val="007903EF"/>
    <w:rsid w:val="0079070C"/>
    <w:rsid w:val="00790711"/>
    <w:rsid w:val="00790D80"/>
    <w:rsid w:val="00790F7B"/>
    <w:rsid w:val="007910B5"/>
    <w:rsid w:val="0079115F"/>
    <w:rsid w:val="0079119B"/>
    <w:rsid w:val="0079129F"/>
    <w:rsid w:val="0079151B"/>
    <w:rsid w:val="007916A7"/>
    <w:rsid w:val="0079178A"/>
    <w:rsid w:val="0079188C"/>
    <w:rsid w:val="00791912"/>
    <w:rsid w:val="007919D7"/>
    <w:rsid w:val="00791E72"/>
    <w:rsid w:val="00791E9B"/>
    <w:rsid w:val="00791F78"/>
    <w:rsid w:val="0079205F"/>
    <w:rsid w:val="0079221C"/>
    <w:rsid w:val="0079229B"/>
    <w:rsid w:val="00792437"/>
    <w:rsid w:val="00792501"/>
    <w:rsid w:val="00792733"/>
    <w:rsid w:val="0079281C"/>
    <w:rsid w:val="00792910"/>
    <w:rsid w:val="00792922"/>
    <w:rsid w:val="00792AB6"/>
    <w:rsid w:val="00792AC3"/>
    <w:rsid w:val="00792EFE"/>
    <w:rsid w:val="00792F68"/>
    <w:rsid w:val="00792FD8"/>
    <w:rsid w:val="00793186"/>
    <w:rsid w:val="007931B1"/>
    <w:rsid w:val="00793393"/>
    <w:rsid w:val="00793473"/>
    <w:rsid w:val="0079391C"/>
    <w:rsid w:val="00793ABA"/>
    <w:rsid w:val="00793B5C"/>
    <w:rsid w:val="00793CD3"/>
    <w:rsid w:val="00793D98"/>
    <w:rsid w:val="00793F04"/>
    <w:rsid w:val="00793FB7"/>
    <w:rsid w:val="0079409C"/>
    <w:rsid w:val="00794255"/>
    <w:rsid w:val="00794300"/>
    <w:rsid w:val="00794463"/>
    <w:rsid w:val="007944E7"/>
    <w:rsid w:val="007944FA"/>
    <w:rsid w:val="0079453B"/>
    <w:rsid w:val="00794679"/>
    <w:rsid w:val="007947DB"/>
    <w:rsid w:val="00794821"/>
    <w:rsid w:val="00794872"/>
    <w:rsid w:val="0079499B"/>
    <w:rsid w:val="00794BD1"/>
    <w:rsid w:val="00794FFF"/>
    <w:rsid w:val="007952C4"/>
    <w:rsid w:val="0079564D"/>
    <w:rsid w:val="0079568C"/>
    <w:rsid w:val="00795881"/>
    <w:rsid w:val="00795D8D"/>
    <w:rsid w:val="00796231"/>
    <w:rsid w:val="0079635F"/>
    <w:rsid w:val="007963CA"/>
    <w:rsid w:val="007964A7"/>
    <w:rsid w:val="00796568"/>
    <w:rsid w:val="007969C0"/>
    <w:rsid w:val="00796AED"/>
    <w:rsid w:val="00796B09"/>
    <w:rsid w:val="00796C13"/>
    <w:rsid w:val="00796CF2"/>
    <w:rsid w:val="00796CFB"/>
    <w:rsid w:val="00796DB5"/>
    <w:rsid w:val="00796F3F"/>
    <w:rsid w:val="00796F9A"/>
    <w:rsid w:val="007970A9"/>
    <w:rsid w:val="00797951"/>
    <w:rsid w:val="00797BA4"/>
    <w:rsid w:val="00797E28"/>
    <w:rsid w:val="00797F89"/>
    <w:rsid w:val="00797FF8"/>
    <w:rsid w:val="007A0071"/>
    <w:rsid w:val="007A03D9"/>
    <w:rsid w:val="007A0517"/>
    <w:rsid w:val="007A06CA"/>
    <w:rsid w:val="007A0875"/>
    <w:rsid w:val="007A09A2"/>
    <w:rsid w:val="007A09E4"/>
    <w:rsid w:val="007A0D79"/>
    <w:rsid w:val="007A0D92"/>
    <w:rsid w:val="007A10A3"/>
    <w:rsid w:val="007A10B1"/>
    <w:rsid w:val="007A119E"/>
    <w:rsid w:val="007A11A2"/>
    <w:rsid w:val="007A11FD"/>
    <w:rsid w:val="007A123A"/>
    <w:rsid w:val="007A1295"/>
    <w:rsid w:val="007A12C8"/>
    <w:rsid w:val="007A1374"/>
    <w:rsid w:val="007A137F"/>
    <w:rsid w:val="007A13C8"/>
    <w:rsid w:val="007A146B"/>
    <w:rsid w:val="007A1D7E"/>
    <w:rsid w:val="007A1DA9"/>
    <w:rsid w:val="007A1DB9"/>
    <w:rsid w:val="007A208F"/>
    <w:rsid w:val="007A22AA"/>
    <w:rsid w:val="007A233D"/>
    <w:rsid w:val="007A233F"/>
    <w:rsid w:val="007A234B"/>
    <w:rsid w:val="007A25BF"/>
    <w:rsid w:val="007A25F3"/>
    <w:rsid w:val="007A2740"/>
    <w:rsid w:val="007A2845"/>
    <w:rsid w:val="007A2916"/>
    <w:rsid w:val="007A29FB"/>
    <w:rsid w:val="007A2B4D"/>
    <w:rsid w:val="007A2C2C"/>
    <w:rsid w:val="007A2CB0"/>
    <w:rsid w:val="007A2D09"/>
    <w:rsid w:val="007A2F44"/>
    <w:rsid w:val="007A314C"/>
    <w:rsid w:val="007A3179"/>
    <w:rsid w:val="007A327F"/>
    <w:rsid w:val="007A330A"/>
    <w:rsid w:val="007A34E7"/>
    <w:rsid w:val="007A358D"/>
    <w:rsid w:val="007A35C2"/>
    <w:rsid w:val="007A37CC"/>
    <w:rsid w:val="007A39C6"/>
    <w:rsid w:val="007A3A1D"/>
    <w:rsid w:val="007A3B94"/>
    <w:rsid w:val="007A3BF1"/>
    <w:rsid w:val="007A3C5E"/>
    <w:rsid w:val="007A3DE5"/>
    <w:rsid w:val="007A3E33"/>
    <w:rsid w:val="007A41F1"/>
    <w:rsid w:val="007A428D"/>
    <w:rsid w:val="007A4423"/>
    <w:rsid w:val="007A452E"/>
    <w:rsid w:val="007A4998"/>
    <w:rsid w:val="007A49D3"/>
    <w:rsid w:val="007A4AE1"/>
    <w:rsid w:val="007A4B3F"/>
    <w:rsid w:val="007A4E85"/>
    <w:rsid w:val="007A54C5"/>
    <w:rsid w:val="007A561C"/>
    <w:rsid w:val="007A56FD"/>
    <w:rsid w:val="007A5737"/>
    <w:rsid w:val="007A5826"/>
    <w:rsid w:val="007A59EB"/>
    <w:rsid w:val="007A5C4A"/>
    <w:rsid w:val="007A5DBE"/>
    <w:rsid w:val="007A5F8A"/>
    <w:rsid w:val="007A5FB6"/>
    <w:rsid w:val="007A613C"/>
    <w:rsid w:val="007A6186"/>
    <w:rsid w:val="007A627C"/>
    <w:rsid w:val="007A63B4"/>
    <w:rsid w:val="007A6456"/>
    <w:rsid w:val="007A65F9"/>
    <w:rsid w:val="007A6653"/>
    <w:rsid w:val="007A6660"/>
    <w:rsid w:val="007A668A"/>
    <w:rsid w:val="007A68B3"/>
    <w:rsid w:val="007A68C5"/>
    <w:rsid w:val="007A6EBD"/>
    <w:rsid w:val="007A6F5C"/>
    <w:rsid w:val="007A7241"/>
    <w:rsid w:val="007A74BD"/>
    <w:rsid w:val="007A75E2"/>
    <w:rsid w:val="007A7942"/>
    <w:rsid w:val="007A7AE9"/>
    <w:rsid w:val="007A7AFD"/>
    <w:rsid w:val="007A7C89"/>
    <w:rsid w:val="007A7E77"/>
    <w:rsid w:val="007A7EF9"/>
    <w:rsid w:val="007A7F80"/>
    <w:rsid w:val="007A9F6E"/>
    <w:rsid w:val="007B0055"/>
    <w:rsid w:val="007B013A"/>
    <w:rsid w:val="007B024F"/>
    <w:rsid w:val="007B0493"/>
    <w:rsid w:val="007B049F"/>
    <w:rsid w:val="007B07AF"/>
    <w:rsid w:val="007B09EC"/>
    <w:rsid w:val="007B0D01"/>
    <w:rsid w:val="007B0DC0"/>
    <w:rsid w:val="007B0DD6"/>
    <w:rsid w:val="007B0DE1"/>
    <w:rsid w:val="007B0E9C"/>
    <w:rsid w:val="007B102E"/>
    <w:rsid w:val="007B1787"/>
    <w:rsid w:val="007B1A6B"/>
    <w:rsid w:val="007B1B32"/>
    <w:rsid w:val="007B1BE5"/>
    <w:rsid w:val="007B1C0E"/>
    <w:rsid w:val="007B21A1"/>
    <w:rsid w:val="007B2222"/>
    <w:rsid w:val="007B258B"/>
    <w:rsid w:val="007B2949"/>
    <w:rsid w:val="007B295F"/>
    <w:rsid w:val="007B2A94"/>
    <w:rsid w:val="007B2B90"/>
    <w:rsid w:val="007B2B98"/>
    <w:rsid w:val="007B2BE6"/>
    <w:rsid w:val="007B2C56"/>
    <w:rsid w:val="007B2C6A"/>
    <w:rsid w:val="007B2F19"/>
    <w:rsid w:val="007B34C1"/>
    <w:rsid w:val="007B382E"/>
    <w:rsid w:val="007B3A6E"/>
    <w:rsid w:val="007B3AA9"/>
    <w:rsid w:val="007B3B11"/>
    <w:rsid w:val="007B3D2C"/>
    <w:rsid w:val="007B446C"/>
    <w:rsid w:val="007B46DC"/>
    <w:rsid w:val="007B486B"/>
    <w:rsid w:val="007B49A1"/>
    <w:rsid w:val="007B4D4A"/>
    <w:rsid w:val="007B5194"/>
    <w:rsid w:val="007B5253"/>
    <w:rsid w:val="007B52A7"/>
    <w:rsid w:val="007B52BD"/>
    <w:rsid w:val="007B5345"/>
    <w:rsid w:val="007B54E1"/>
    <w:rsid w:val="007B5617"/>
    <w:rsid w:val="007B56A7"/>
    <w:rsid w:val="007B56F9"/>
    <w:rsid w:val="007B574D"/>
    <w:rsid w:val="007B5A74"/>
    <w:rsid w:val="007B5E1B"/>
    <w:rsid w:val="007B6080"/>
    <w:rsid w:val="007B60C0"/>
    <w:rsid w:val="007B62D7"/>
    <w:rsid w:val="007B647C"/>
    <w:rsid w:val="007B65BC"/>
    <w:rsid w:val="007B68D7"/>
    <w:rsid w:val="007B6917"/>
    <w:rsid w:val="007B6996"/>
    <w:rsid w:val="007B69FB"/>
    <w:rsid w:val="007B6A94"/>
    <w:rsid w:val="007B6B34"/>
    <w:rsid w:val="007B6BA5"/>
    <w:rsid w:val="007B6CCF"/>
    <w:rsid w:val="007B6CD0"/>
    <w:rsid w:val="007B6DA8"/>
    <w:rsid w:val="007B6F67"/>
    <w:rsid w:val="007B7196"/>
    <w:rsid w:val="007B7251"/>
    <w:rsid w:val="007B752F"/>
    <w:rsid w:val="007B754F"/>
    <w:rsid w:val="007B7673"/>
    <w:rsid w:val="007B7728"/>
    <w:rsid w:val="007B79CE"/>
    <w:rsid w:val="007B7B37"/>
    <w:rsid w:val="007B7C56"/>
    <w:rsid w:val="007B7EED"/>
    <w:rsid w:val="007C000D"/>
    <w:rsid w:val="007C002B"/>
    <w:rsid w:val="007C039B"/>
    <w:rsid w:val="007C03ED"/>
    <w:rsid w:val="007C060F"/>
    <w:rsid w:val="007C07A6"/>
    <w:rsid w:val="007C088C"/>
    <w:rsid w:val="007C08A2"/>
    <w:rsid w:val="007C090E"/>
    <w:rsid w:val="007C0E22"/>
    <w:rsid w:val="007C0EDD"/>
    <w:rsid w:val="007C10A2"/>
    <w:rsid w:val="007C112C"/>
    <w:rsid w:val="007C12C9"/>
    <w:rsid w:val="007C12D2"/>
    <w:rsid w:val="007C1381"/>
    <w:rsid w:val="007C1463"/>
    <w:rsid w:val="007C148C"/>
    <w:rsid w:val="007C16EF"/>
    <w:rsid w:val="007C1818"/>
    <w:rsid w:val="007C184F"/>
    <w:rsid w:val="007C1C64"/>
    <w:rsid w:val="007C2249"/>
    <w:rsid w:val="007C22B9"/>
    <w:rsid w:val="007C233F"/>
    <w:rsid w:val="007C2402"/>
    <w:rsid w:val="007C264C"/>
    <w:rsid w:val="007C265D"/>
    <w:rsid w:val="007C26FA"/>
    <w:rsid w:val="007C2762"/>
    <w:rsid w:val="007C284B"/>
    <w:rsid w:val="007C2931"/>
    <w:rsid w:val="007C2BC8"/>
    <w:rsid w:val="007C2CBA"/>
    <w:rsid w:val="007C2FFC"/>
    <w:rsid w:val="007C32A5"/>
    <w:rsid w:val="007C32BC"/>
    <w:rsid w:val="007C3310"/>
    <w:rsid w:val="007C3463"/>
    <w:rsid w:val="007C3501"/>
    <w:rsid w:val="007C3525"/>
    <w:rsid w:val="007C37E4"/>
    <w:rsid w:val="007C37EF"/>
    <w:rsid w:val="007C389B"/>
    <w:rsid w:val="007C39FB"/>
    <w:rsid w:val="007C3A02"/>
    <w:rsid w:val="007C3BEC"/>
    <w:rsid w:val="007C3C3A"/>
    <w:rsid w:val="007C3CE1"/>
    <w:rsid w:val="007C3F9E"/>
    <w:rsid w:val="007C3FF5"/>
    <w:rsid w:val="007C4231"/>
    <w:rsid w:val="007C4296"/>
    <w:rsid w:val="007C442C"/>
    <w:rsid w:val="007C452A"/>
    <w:rsid w:val="007C454B"/>
    <w:rsid w:val="007C4939"/>
    <w:rsid w:val="007C4BAE"/>
    <w:rsid w:val="007C4C40"/>
    <w:rsid w:val="007C4DD2"/>
    <w:rsid w:val="007C5155"/>
    <w:rsid w:val="007C54ED"/>
    <w:rsid w:val="007C55E7"/>
    <w:rsid w:val="007C56A0"/>
    <w:rsid w:val="007C56F7"/>
    <w:rsid w:val="007C5C48"/>
    <w:rsid w:val="007C5D4E"/>
    <w:rsid w:val="007C5EE3"/>
    <w:rsid w:val="007C6045"/>
    <w:rsid w:val="007C643D"/>
    <w:rsid w:val="007C64B1"/>
    <w:rsid w:val="007C64DF"/>
    <w:rsid w:val="007C65B5"/>
    <w:rsid w:val="007C6718"/>
    <w:rsid w:val="007C67B3"/>
    <w:rsid w:val="007C68B4"/>
    <w:rsid w:val="007C6B53"/>
    <w:rsid w:val="007C6BF0"/>
    <w:rsid w:val="007C6E5C"/>
    <w:rsid w:val="007C6F69"/>
    <w:rsid w:val="007C7070"/>
    <w:rsid w:val="007C72C7"/>
    <w:rsid w:val="007C739A"/>
    <w:rsid w:val="007C753E"/>
    <w:rsid w:val="007C7786"/>
    <w:rsid w:val="007C7B01"/>
    <w:rsid w:val="007C7B2E"/>
    <w:rsid w:val="007C7B62"/>
    <w:rsid w:val="007C7B6C"/>
    <w:rsid w:val="007C7D96"/>
    <w:rsid w:val="007C7F13"/>
    <w:rsid w:val="007C7F61"/>
    <w:rsid w:val="007CA431"/>
    <w:rsid w:val="007D0178"/>
    <w:rsid w:val="007D01B3"/>
    <w:rsid w:val="007D05E3"/>
    <w:rsid w:val="007D0609"/>
    <w:rsid w:val="007D0773"/>
    <w:rsid w:val="007D07C5"/>
    <w:rsid w:val="007D0998"/>
    <w:rsid w:val="007D0AAA"/>
    <w:rsid w:val="007D0B15"/>
    <w:rsid w:val="007D0BBE"/>
    <w:rsid w:val="007D0D7C"/>
    <w:rsid w:val="007D10DC"/>
    <w:rsid w:val="007D11C4"/>
    <w:rsid w:val="007D135D"/>
    <w:rsid w:val="007D151D"/>
    <w:rsid w:val="007D1708"/>
    <w:rsid w:val="007D18AD"/>
    <w:rsid w:val="007D1C19"/>
    <w:rsid w:val="007D1F1B"/>
    <w:rsid w:val="007D2052"/>
    <w:rsid w:val="007D2089"/>
    <w:rsid w:val="007D210D"/>
    <w:rsid w:val="007D2168"/>
    <w:rsid w:val="007D25FA"/>
    <w:rsid w:val="007D268C"/>
    <w:rsid w:val="007D27A0"/>
    <w:rsid w:val="007D27C4"/>
    <w:rsid w:val="007D2B4B"/>
    <w:rsid w:val="007D2E08"/>
    <w:rsid w:val="007D2E24"/>
    <w:rsid w:val="007D32F5"/>
    <w:rsid w:val="007D33D6"/>
    <w:rsid w:val="007D3511"/>
    <w:rsid w:val="007D3515"/>
    <w:rsid w:val="007D352A"/>
    <w:rsid w:val="007D3806"/>
    <w:rsid w:val="007D3934"/>
    <w:rsid w:val="007D39DB"/>
    <w:rsid w:val="007D3AD1"/>
    <w:rsid w:val="007D3B29"/>
    <w:rsid w:val="007D3DC6"/>
    <w:rsid w:val="007D3E3A"/>
    <w:rsid w:val="007D3EF5"/>
    <w:rsid w:val="007D3F85"/>
    <w:rsid w:val="007D4008"/>
    <w:rsid w:val="007D40D3"/>
    <w:rsid w:val="007D4146"/>
    <w:rsid w:val="007D41E0"/>
    <w:rsid w:val="007D446F"/>
    <w:rsid w:val="007D46F0"/>
    <w:rsid w:val="007D488D"/>
    <w:rsid w:val="007D48A9"/>
    <w:rsid w:val="007D4C00"/>
    <w:rsid w:val="007D4C67"/>
    <w:rsid w:val="007D5085"/>
    <w:rsid w:val="007D50D1"/>
    <w:rsid w:val="007D510C"/>
    <w:rsid w:val="007D5344"/>
    <w:rsid w:val="007D5366"/>
    <w:rsid w:val="007D54D7"/>
    <w:rsid w:val="007D5586"/>
    <w:rsid w:val="007D5625"/>
    <w:rsid w:val="007D562D"/>
    <w:rsid w:val="007D5817"/>
    <w:rsid w:val="007D5DC9"/>
    <w:rsid w:val="007D5FB3"/>
    <w:rsid w:val="007D61BF"/>
    <w:rsid w:val="007D647F"/>
    <w:rsid w:val="007D65D6"/>
    <w:rsid w:val="007D67F0"/>
    <w:rsid w:val="007D6811"/>
    <w:rsid w:val="007D6FA3"/>
    <w:rsid w:val="007D73DC"/>
    <w:rsid w:val="007D73E7"/>
    <w:rsid w:val="007D77B9"/>
    <w:rsid w:val="007D7ABA"/>
    <w:rsid w:val="007D7C41"/>
    <w:rsid w:val="007D7CB4"/>
    <w:rsid w:val="007D7D73"/>
    <w:rsid w:val="007D7EAD"/>
    <w:rsid w:val="007D7EE9"/>
    <w:rsid w:val="007E004F"/>
    <w:rsid w:val="007E00E0"/>
    <w:rsid w:val="007E0573"/>
    <w:rsid w:val="007E0634"/>
    <w:rsid w:val="007E065D"/>
    <w:rsid w:val="007E0685"/>
    <w:rsid w:val="007E0D09"/>
    <w:rsid w:val="007E0FF0"/>
    <w:rsid w:val="007E13B0"/>
    <w:rsid w:val="007E1484"/>
    <w:rsid w:val="007E156D"/>
    <w:rsid w:val="007E1598"/>
    <w:rsid w:val="007E15D8"/>
    <w:rsid w:val="007E1656"/>
    <w:rsid w:val="007E169B"/>
    <w:rsid w:val="007E172D"/>
    <w:rsid w:val="007E1C19"/>
    <w:rsid w:val="007E1C80"/>
    <w:rsid w:val="007E1FBA"/>
    <w:rsid w:val="007E20E7"/>
    <w:rsid w:val="007E2215"/>
    <w:rsid w:val="007E221B"/>
    <w:rsid w:val="007E2339"/>
    <w:rsid w:val="007E24B1"/>
    <w:rsid w:val="007E26DF"/>
    <w:rsid w:val="007E278D"/>
    <w:rsid w:val="007E27EB"/>
    <w:rsid w:val="007E2B63"/>
    <w:rsid w:val="007E2C15"/>
    <w:rsid w:val="007E2C9E"/>
    <w:rsid w:val="007E2D74"/>
    <w:rsid w:val="007E30E2"/>
    <w:rsid w:val="007E3377"/>
    <w:rsid w:val="007E3509"/>
    <w:rsid w:val="007E355F"/>
    <w:rsid w:val="007E3B48"/>
    <w:rsid w:val="007E3C07"/>
    <w:rsid w:val="007E3C50"/>
    <w:rsid w:val="007E3C7F"/>
    <w:rsid w:val="007E3D20"/>
    <w:rsid w:val="007E3D87"/>
    <w:rsid w:val="007E4011"/>
    <w:rsid w:val="007E4022"/>
    <w:rsid w:val="007E44C0"/>
    <w:rsid w:val="007E44F0"/>
    <w:rsid w:val="007E467E"/>
    <w:rsid w:val="007E4708"/>
    <w:rsid w:val="007E47C2"/>
    <w:rsid w:val="007E48A2"/>
    <w:rsid w:val="007E48CB"/>
    <w:rsid w:val="007E48DD"/>
    <w:rsid w:val="007E4A32"/>
    <w:rsid w:val="007E4AA4"/>
    <w:rsid w:val="007E4BC9"/>
    <w:rsid w:val="007E4C0C"/>
    <w:rsid w:val="007E4C3E"/>
    <w:rsid w:val="007E4C51"/>
    <w:rsid w:val="007E4DF5"/>
    <w:rsid w:val="007E4E8E"/>
    <w:rsid w:val="007E514A"/>
    <w:rsid w:val="007E51DB"/>
    <w:rsid w:val="007E541F"/>
    <w:rsid w:val="007E56A0"/>
    <w:rsid w:val="007E56E1"/>
    <w:rsid w:val="007E5E3D"/>
    <w:rsid w:val="007E62DB"/>
    <w:rsid w:val="007E62EA"/>
    <w:rsid w:val="007E67B4"/>
    <w:rsid w:val="007E67CD"/>
    <w:rsid w:val="007E6964"/>
    <w:rsid w:val="007E6A68"/>
    <w:rsid w:val="007E6AAF"/>
    <w:rsid w:val="007E6F8D"/>
    <w:rsid w:val="007E71F3"/>
    <w:rsid w:val="007E73A0"/>
    <w:rsid w:val="007E7787"/>
    <w:rsid w:val="007E784C"/>
    <w:rsid w:val="007E7C87"/>
    <w:rsid w:val="007E7C8F"/>
    <w:rsid w:val="007E7D85"/>
    <w:rsid w:val="007E7ECE"/>
    <w:rsid w:val="007F01BD"/>
    <w:rsid w:val="007F01EB"/>
    <w:rsid w:val="007F0201"/>
    <w:rsid w:val="007F037E"/>
    <w:rsid w:val="007F05BC"/>
    <w:rsid w:val="007F05D1"/>
    <w:rsid w:val="007F07D0"/>
    <w:rsid w:val="007F0837"/>
    <w:rsid w:val="007F0979"/>
    <w:rsid w:val="007F09C5"/>
    <w:rsid w:val="007F09F6"/>
    <w:rsid w:val="007F0AB9"/>
    <w:rsid w:val="007F0D08"/>
    <w:rsid w:val="007F0D46"/>
    <w:rsid w:val="007F0F63"/>
    <w:rsid w:val="007F0FC0"/>
    <w:rsid w:val="007F10BB"/>
    <w:rsid w:val="007F1194"/>
    <w:rsid w:val="007F1249"/>
    <w:rsid w:val="007F133C"/>
    <w:rsid w:val="007F1465"/>
    <w:rsid w:val="007F1942"/>
    <w:rsid w:val="007F1D4C"/>
    <w:rsid w:val="007F1E33"/>
    <w:rsid w:val="007F1E47"/>
    <w:rsid w:val="007F2021"/>
    <w:rsid w:val="007F21E2"/>
    <w:rsid w:val="007F2348"/>
    <w:rsid w:val="007F2756"/>
    <w:rsid w:val="007F2838"/>
    <w:rsid w:val="007F2B8D"/>
    <w:rsid w:val="007F2E4F"/>
    <w:rsid w:val="007F2E53"/>
    <w:rsid w:val="007F3044"/>
    <w:rsid w:val="007F3052"/>
    <w:rsid w:val="007F327D"/>
    <w:rsid w:val="007F3501"/>
    <w:rsid w:val="007F3692"/>
    <w:rsid w:val="007F375F"/>
    <w:rsid w:val="007F393F"/>
    <w:rsid w:val="007F3D90"/>
    <w:rsid w:val="007F4003"/>
    <w:rsid w:val="007F425D"/>
    <w:rsid w:val="007F44F4"/>
    <w:rsid w:val="007F46B2"/>
    <w:rsid w:val="007F47D9"/>
    <w:rsid w:val="007F4873"/>
    <w:rsid w:val="007F4ABB"/>
    <w:rsid w:val="007F4AC7"/>
    <w:rsid w:val="007F4BD3"/>
    <w:rsid w:val="007F4C24"/>
    <w:rsid w:val="007F50F7"/>
    <w:rsid w:val="007F5139"/>
    <w:rsid w:val="007F522B"/>
    <w:rsid w:val="007F534C"/>
    <w:rsid w:val="007F545D"/>
    <w:rsid w:val="007F5635"/>
    <w:rsid w:val="007F56E4"/>
    <w:rsid w:val="007F5730"/>
    <w:rsid w:val="007F5779"/>
    <w:rsid w:val="007F57CF"/>
    <w:rsid w:val="007F58A1"/>
    <w:rsid w:val="007F5B0C"/>
    <w:rsid w:val="007F5F07"/>
    <w:rsid w:val="007F5F8F"/>
    <w:rsid w:val="007F60C2"/>
    <w:rsid w:val="007F61E3"/>
    <w:rsid w:val="007F65E5"/>
    <w:rsid w:val="007F6889"/>
    <w:rsid w:val="007F692F"/>
    <w:rsid w:val="007F6B5F"/>
    <w:rsid w:val="007F6C14"/>
    <w:rsid w:val="007F6C96"/>
    <w:rsid w:val="007F6D78"/>
    <w:rsid w:val="007F6F8F"/>
    <w:rsid w:val="007F70DB"/>
    <w:rsid w:val="007F7303"/>
    <w:rsid w:val="007F752B"/>
    <w:rsid w:val="007F7561"/>
    <w:rsid w:val="007F75E4"/>
    <w:rsid w:val="007F7737"/>
    <w:rsid w:val="007F7C77"/>
    <w:rsid w:val="007F7D0D"/>
    <w:rsid w:val="007F7D56"/>
    <w:rsid w:val="007F7E53"/>
    <w:rsid w:val="00800087"/>
    <w:rsid w:val="008001D9"/>
    <w:rsid w:val="008003E1"/>
    <w:rsid w:val="0080046A"/>
    <w:rsid w:val="008005A4"/>
    <w:rsid w:val="008006AA"/>
    <w:rsid w:val="008006AC"/>
    <w:rsid w:val="00800801"/>
    <w:rsid w:val="00800A14"/>
    <w:rsid w:val="00800BFF"/>
    <w:rsid w:val="00800C6D"/>
    <w:rsid w:val="00800CBF"/>
    <w:rsid w:val="00800DA2"/>
    <w:rsid w:val="00800DC2"/>
    <w:rsid w:val="0080121B"/>
    <w:rsid w:val="0080126A"/>
    <w:rsid w:val="00801341"/>
    <w:rsid w:val="008013BF"/>
    <w:rsid w:val="008013E0"/>
    <w:rsid w:val="00801405"/>
    <w:rsid w:val="0080146D"/>
    <w:rsid w:val="008017B8"/>
    <w:rsid w:val="00801A3F"/>
    <w:rsid w:val="00801CA2"/>
    <w:rsid w:val="00801CF8"/>
    <w:rsid w:val="00801E12"/>
    <w:rsid w:val="0080205A"/>
    <w:rsid w:val="008020A3"/>
    <w:rsid w:val="008021F2"/>
    <w:rsid w:val="00802291"/>
    <w:rsid w:val="00802447"/>
    <w:rsid w:val="008026A2"/>
    <w:rsid w:val="00802C70"/>
    <w:rsid w:val="00802D3F"/>
    <w:rsid w:val="00803158"/>
    <w:rsid w:val="008031C6"/>
    <w:rsid w:val="00803355"/>
    <w:rsid w:val="008034BD"/>
    <w:rsid w:val="0080357F"/>
    <w:rsid w:val="00803631"/>
    <w:rsid w:val="00803935"/>
    <w:rsid w:val="00803C9D"/>
    <w:rsid w:val="00803E0C"/>
    <w:rsid w:val="00803F85"/>
    <w:rsid w:val="0080405A"/>
    <w:rsid w:val="00804137"/>
    <w:rsid w:val="00804194"/>
    <w:rsid w:val="008041A5"/>
    <w:rsid w:val="008041DA"/>
    <w:rsid w:val="0080428B"/>
    <w:rsid w:val="0080461B"/>
    <w:rsid w:val="008047B9"/>
    <w:rsid w:val="008047D7"/>
    <w:rsid w:val="00804818"/>
    <w:rsid w:val="00804973"/>
    <w:rsid w:val="00804B14"/>
    <w:rsid w:val="00804CF2"/>
    <w:rsid w:val="00804D15"/>
    <w:rsid w:val="008051DD"/>
    <w:rsid w:val="00805276"/>
    <w:rsid w:val="0080540B"/>
    <w:rsid w:val="00805516"/>
    <w:rsid w:val="0080557D"/>
    <w:rsid w:val="00805592"/>
    <w:rsid w:val="008056C5"/>
    <w:rsid w:val="00805894"/>
    <w:rsid w:val="008059C6"/>
    <w:rsid w:val="00805A7C"/>
    <w:rsid w:val="00805ACE"/>
    <w:rsid w:val="00805B4C"/>
    <w:rsid w:val="00805E3B"/>
    <w:rsid w:val="0080601E"/>
    <w:rsid w:val="008062A1"/>
    <w:rsid w:val="0080635A"/>
    <w:rsid w:val="0080646B"/>
    <w:rsid w:val="008064BD"/>
    <w:rsid w:val="008065DD"/>
    <w:rsid w:val="0080660F"/>
    <w:rsid w:val="00806A50"/>
    <w:rsid w:val="00806B76"/>
    <w:rsid w:val="00806BA0"/>
    <w:rsid w:val="00806C36"/>
    <w:rsid w:val="00806DC4"/>
    <w:rsid w:val="008071F2"/>
    <w:rsid w:val="0080746A"/>
    <w:rsid w:val="008074DF"/>
    <w:rsid w:val="008075F9"/>
    <w:rsid w:val="00807614"/>
    <w:rsid w:val="0080775A"/>
    <w:rsid w:val="00807767"/>
    <w:rsid w:val="008078BF"/>
    <w:rsid w:val="008079DF"/>
    <w:rsid w:val="00807A75"/>
    <w:rsid w:val="00807A82"/>
    <w:rsid w:val="00807ABB"/>
    <w:rsid w:val="00807B73"/>
    <w:rsid w:val="00807BFE"/>
    <w:rsid w:val="00807C02"/>
    <w:rsid w:val="00807C63"/>
    <w:rsid w:val="00807EBF"/>
    <w:rsid w:val="00807F15"/>
    <w:rsid w:val="00807F4A"/>
    <w:rsid w:val="008100C7"/>
    <w:rsid w:val="008100E8"/>
    <w:rsid w:val="0081022E"/>
    <w:rsid w:val="0081034C"/>
    <w:rsid w:val="0081039B"/>
    <w:rsid w:val="008104E8"/>
    <w:rsid w:val="008104ED"/>
    <w:rsid w:val="0081093A"/>
    <w:rsid w:val="00810996"/>
    <w:rsid w:val="00810BFF"/>
    <w:rsid w:val="00810C0D"/>
    <w:rsid w:val="00810D90"/>
    <w:rsid w:val="0081104A"/>
    <w:rsid w:val="0081115E"/>
    <w:rsid w:val="008111D5"/>
    <w:rsid w:val="00811322"/>
    <w:rsid w:val="0081135F"/>
    <w:rsid w:val="00811790"/>
    <w:rsid w:val="008117FF"/>
    <w:rsid w:val="00811922"/>
    <w:rsid w:val="00811B98"/>
    <w:rsid w:val="00811BFE"/>
    <w:rsid w:val="00811CB1"/>
    <w:rsid w:val="00811D67"/>
    <w:rsid w:val="00811F81"/>
    <w:rsid w:val="00811FBA"/>
    <w:rsid w:val="008120B3"/>
    <w:rsid w:val="0081274E"/>
    <w:rsid w:val="008127B1"/>
    <w:rsid w:val="00812B04"/>
    <w:rsid w:val="00812BD7"/>
    <w:rsid w:val="00812D61"/>
    <w:rsid w:val="00812DF5"/>
    <w:rsid w:val="00812FA9"/>
    <w:rsid w:val="00812FAF"/>
    <w:rsid w:val="0081305B"/>
    <w:rsid w:val="008131D1"/>
    <w:rsid w:val="008132E2"/>
    <w:rsid w:val="00813424"/>
    <w:rsid w:val="0081353E"/>
    <w:rsid w:val="00813618"/>
    <w:rsid w:val="0081379C"/>
    <w:rsid w:val="008138DD"/>
    <w:rsid w:val="00813AE2"/>
    <w:rsid w:val="00813B2D"/>
    <w:rsid w:val="00813CDD"/>
    <w:rsid w:val="00813F27"/>
    <w:rsid w:val="00813F64"/>
    <w:rsid w:val="00813FED"/>
    <w:rsid w:val="008140F1"/>
    <w:rsid w:val="00814178"/>
    <w:rsid w:val="00814262"/>
    <w:rsid w:val="0081433E"/>
    <w:rsid w:val="0081434B"/>
    <w:rsid w:val="00814553"/>
    <w:rsid w:val="00814902"/>
    <w:rsid w:val="00814C42"/>
    <w:rsid w:val="0081505F"/>
    <w:rsid w:val="00815148"/>
    <w:rsid w:val="00815306"/>
    <w:rsid w:val="00815539"/>
    <w:rsid w:val="008155E4"/>
    <w:rsid w:val="008159A4"/>
    <w:rsid w:val="008159DA"/>
    <w:rsid w:val="00815A9C"/>
    <w:rsid w:val="00815AD2"/>
    <w:rsid w:val="00815BCD"/>
    <w:rsid w:val="00815BD7"/>
    <w:rsid w:val="00815C9C"/>
    <w:rsid w:val="00815E33"/>
    <w:rsid w:val="00815EA1"/>
    <w:rsid w:val="00815F52"/>
    <w:rsid w:val="008161D4"/>
    <w:rsid w:val="0081620D"/>
    <w:rsid w:val="0081628D"/>
    <w:rsid w:val="00816369"/>
    <w:rsid w:val="0081649C"/>
    <w:rsid w:val="0081658D"/>
    <w:rsid w:val="008165DB"/>
    <w:rsid w:val="00816660"/>
    <w:rsid w:val="00816910"/>
    <w:rsid w:val="00816C8D"/>
    <w:rsid w:val="00816C96"/>
    <w:rsid w:val="00816D52"/>
    <w:rsid w:val="00816EC9"/>
    <w:rsid w:val="0081711B"/>
    <w:rsid w:val="008175AD"/>
    <w:rsid w:val="00817730"/>
    <w:rsid w:val="00817749"/>
    <w:rsid w:val="008178DE"/>
    <w:rsid w:val="00817A4E"/>
    <w:rsid w:val="00817AF7"/>
    <w:rsid w:val="00817B2F"/>
    <w:rsid w:val="00817B6A"/>
    <w:rsid w:val="00817BE1"/>
    <w:rsid w:val="00817BE8"/>
    <w:rsid w:val="00817BFB"/>
    <w:rsid w:val="00817E28"/>
    <w:rsid w:val="00817F3C"/>
    <w:rsid w:val="00817FB2"/>
    <w:rsid w:val="0082014D"/>
    <w:rsid w:val="008201A8"/>
    <w:rsid w:val="008201E7"/>
    <w:rsid w:val="00820385"/>
    <w:rsid w:val="008204CE"/>
    <w:rsid w:val="00820563"/>
    <w:rsid w:val="0082066F"/>
    <w:rsid w:val="00820676"/>
    <w:rsid w:val="008206B7"/>
    <w:rsid w:val="00820956"/>
    <w:rsid w:val="00820B24"/>
    <w:rsid w:val="00820C7B"/>
    <w:rsid w:val="00820CC0"/>
    <w:rsid w:val="00820CD6"/>
    <w:rsid w:val="00820D49"/>
    <w:rsid w:val="00820EBB"/>
    <w:rsid w:val="00820EE5"/>
    <w:rsid w:val="00821052"/>
    <w:rsid w:val="008210D4"/>
    <w:rsid w:val="00821427"/>
    <w:rsid w:val="00821684"/>
    <w:rsid w:val="008217A2"/>
    <w:rsid w:val="00821A4A"/>
    <w:rsid w:val="00821DB8"/>
    <w:rsid w:val="00821DEE"/>
    <w:rsid w:val="00821ED7"/>
    <w:rsid w:val="00822159"/>
    <w:rsid w:val="00822349"/>
    <w:rsid w:val="008223E0"/>
    <w:rsid w:val="0082244C"/>
    <w:rsid w:val="008224A2"/>
    <w:rsid w:val="0082251E"/>
    <w:rsid w:val="00822693"/>
    <w:rsid w:val="008227D2"/>
    <w:rsid w:val="00822C52"/>
    <w:rsid w:val="00822DAF"/>
    <w:rsid w:val="00822EF2"/>
    <w:rsid w:val="00823028"/>
    <w:rsid w:val="008231C7"/>
    <w:rsid w:val="0082348A"/>
    <w:rsid w:val="00823548"/>
    <w:rsid w:val="0082388C"/>
    <w:rsid w:val="00823B88"/>
    <w:rsid w:val="008242F1"/>
    <w:rsid w:val="00824306"/>
    <w:rsid w:val="00824733"/>
    <w:rsid w:val="0082473B"/>
    <w:rsid w:val="00824B07"/>
    <w:rsid w:val="00824B27"/>
    <w:rsid w:val="00824C04"/>
    <w:rsid w:val="00824E5F"/>
    <w:rsid w:val="00824F15"/>
    <w:rsid w:val="00824FD4"/>
    <w:rsid w:val="00825032"/>
    <w:rsid w:val="008251A0"/>
    <w:rsid w:val="008252E2"/>
    <w:rsid w:val="00825391"/>
    <w:rsid w:val="008254BA"/>
    <w:rsid w:val="008254D8"/>
    <w:rsid w:val="008254ED"/>
    <w:rsid w:val="00825551"/>
    <w:rsid w:val="00825AD0"/>
    <w:rsid w:val="00825B24"/>
    <w:rsid w:val="00825D47"/>
    <w:rsid w:val="00825DCA"/>
    <w:rsid w:val="00825E45"/>
    <w:rsid w:val="0082609A"/>
    <w:rsid w:val="0082648C"/>
    <w:rsid w:val="00826680"/>
    <w:rsid w:val="008266D6"/>
    <w:rsid w:val="008267AD"/>
    <w:rsid w:val="00826889"/>
    <w:rsid w:val="0082692C"/>
    <w:rsid w:val="00826B98"/>
    <w:rsid w:val="00826BDC"/>
    <w:rsid w:val="00826CF4"/>
    <w:rsid w:val="00826E01"/>
    <w:rsid w:val="00826FB5"/>
    <w:rsid w:val="0082707B"/>
    <w:rsid w:val="00827111"/>
    <w:rsid w:val="0082723C"/>
    <w:rsid w:val="00827265"/>
    <w:rsid w:val="008272A9"/>
    <w:rsid w:val="008272BE"/>
    <w:rsid w:val="00827315"/>
    <w:rsid w:val="008278BC"/>
    <w:rsid w:val="008279FA"/>
    <w:rsid w:val="00827A67"/>
    <w:rsid w:val="00827FE4"/>
    <w:rsid w:val="0083001F"/>
    <w:rsid w:val="0083007F"/>
    <w:rsid w:val="008302BF"/>
    <w:rsid w:val="00830368"/>
    <w:rsid w:val="00830461"/>
    <w:rsid w:val="0083049E"/>
    <w:rsid w:val="00830698"/>
    <w:rsid w:val="008308DE"/>
    <w:rsid w:val="008309E1"/>
    <w:rsid w:val="008309FC"/>
    <w:rsid w:val="00830BEB"/>
    <w:rsid w:val="00830DB5"/>
    <w:rsid w:val="00830FD3"/>
    <w:rsid w:val="0083136C"/>
    <w:rsid w:val="008313B6"/>
    <w:rsid w:val="008313F6"/>
    <w:rsid w:val="0083141D"/>
    <w:rsid w:val="00831445"/>
    <w:rsid w:val="0083151E"/>
    <w:rsid w:val="0083167B"/>
    <w:rsid w:val="00831832"/>
    <w:rsid w:val="00831B83"/>
    <w:rsid w:val="00831E3B"/>
    <w:rsid w:val="00831E87"/>
    <w:rsid w:val="00831F6A"/>
    <w:rsid w:val="0083223C"/>
    <w:rsid w:val="008323A2"/>
    <w:rsid w:val="00832598"/>
    <w:rsid w:val="008328FB"/>
    <w:rsid w:val="00832CE7"/>
    <w:rsid w:val="00832FD8"/>
    <w:rsid w:val="008331B1"/>
    <w:rsid w:val="00833501"/>
    <w:rsid w:val="00833583"/>
    <w:rsid w:val="00833D4F"/>
    <w:rsid w:val="00833D5D"/>
    <w:rsid w:val="00833D87"/>
    <w:rsid w:val="00833D8F"/>
    <w:rsid w:val="00833E67"/>
    <w:rsid w:val="00833F40"/>
    <w:rsid w:val="00833F74"/>
    <w:rsid w:val="00834278"/>
    <w:rsid w:val="008342C9"/>
    <w:rsid w:val="008343EF"/>
    <w:rsid w:val="00834418"/>
    <w:rsid w:val="00834492"/>
    <w:rsid w:val="008344EE"/>
    <w:rsid w:val="008348B0"/>
    <w:rsid w:val="008348CF"/>
    <w:rsid w:val="008348FD"/>
    <w:rsid w:val="0083494B"/>
    <w:rsid w:val="00834AFE"/>
    <w:rsid w:val="00834BE7"/>
    <w:rsid w:val="00834D1F"/>
    <w:rsid w:val="00834F3C"/>
    <w:rsid w:val="00834FB8"/>
    <w:rsid w:val="00835028"/>
    <w:rsid w:val="00835160"/>
    <w:rsid w:val="00835176"/>
    <w:rsid w:val="008351AA"/>
    <w:rsid w:val="008351F1"/>
    <w:rsid w:val="00835312"/>
    <w:rsid w:val="00835722"/>
    <w:rsid w:val="00835A21"/>
    <w:rsid w:val="00835A5B"/>
    <w:rsid w:val="00835B8E"/>
    <w:rsid w:val="00835CDF"/>
    <w:rsid w:val="00835CE3"/>
    <w:rsid w:val="00835E1B"/>
    <w:rsid w:val="00835E47"/>
    <w:rsid w:val="00835FC9"/>
    <w:rsid w:val="008364EB"/>
    <w:rsid w:val="008364F2"/>
    <w:rsid w:val="00836543"/>
    <w:rsid w:val="0083684B"/>
    <w:rsid w:val="00836A0B"/>
    <w:rsid w:val="00836A33"/>
    <w:rsid w:val="00836C46"/>
    <w:rsid w:val="00836E79"/>
    <w:rsid w:val="00837015"/>
    <w:rsid w:val="0083704E"/>
    <w:rsid w:val="00837089"/>
    <w:rsid w:val="00837143"/>
    <w:rsid w:val="008372AB"/>
    <w:rsid w:val="008372B5"/>
    <w:rsid w:val="00837639"/>
    <w:rsid w:val="00837724"/>
    <w:rsid w:val="008377B3"/>
    <w:rsid w:val="00837A41"/>
    <w:rsid w:val="00837AC2"/>
    <w:rsid w:val="00837C17"/>
    <w:rsid w:val="00837C90"/>
    <w:rsid w:val="00837D7B"/>
    <w:rsid w:val="00837D95"/>
    <w:rsid w:val="00837DE3"/>
    <w:rsid w:val="00837F4C"/>
    <w:rsid w:val="0083945A"/>
    <w:rsid w:val="008401A0"/>
    <w:rsid w:val="008402C9"/>
    <w:rsid w:val="008406A2"/>
    <w:rsid w:val="00840726"/>
    <w:rsid w:val="00840B46"/>
    <w:rsid w:val="00840D28"/>
    <w:rsid w:val="00840E15"/>
    <w:rsid w:val="00841345"/>
    <w:rsid w:val="0084139E"/>
    <w:rsid w:val="008419AA"/>
    <w:rsid w:val="00841D6A"/>
    <w:rsid w:val="00841DA5"/>
    <w:rsid w:val="00841DC7"/>
    <w:rsid w:val="00841DD8"/>
    <w:rsid w:val="00841DD9"/>
    <w:rsid w:val="00841DF5"/>
    <w:rsid w:val="008422D2"/>
    <w:rsid w:val="00842556"/>
    <w:rsid w:val="00842711"/>
    <w:rsid w:val="008429B3"/>
    <w:rsid w:val="00842B03"/>
    <w:rsid w:val="00842B40"/>
    <w:rsid w:val="00842BEF"/>
    <w:rsid w:val="00842BFE"/>
    <w:rsid w:val="00842C1C"/>
    <w:rsid w:val="00842D7F"/>
    <w:rsid w:val="00842EC9"/>
    <w:rsid w:val="00843142"/>
    <w:rsid w:val="008432F2"/>
    <w:rsid w:val="00843465"/>
    <w:rsid w:val="0084349D"/>
    <w:rsid w:val="008434AE"/>
    <w:rsid w:val="008435C8"/>
    <w:rsid w:val="0084360E"/>
    <w:rsid w:val="00843656"/>
    <w:rsid w:val="00843719"/>
    <w:rsid w:val="00843754"/>
    <w:rsid w:val="008438BB"/>
    <w:rsid w:val="008438DB"/>
    <w:rsid w:val="00843982"/>
    <w:rsid w:val="00843ABB"/>
    <w:rsid w:val="00843AC1"/>
    <w:rsid w:val="00843C8C"/>
    <w:rsid w:val="00843D08"/>
    <w:rsid w:val="00843F80"/>
    <w:rsid w:val="00843FF9"/>
    <w:rsid w:val="00844011"/>
    <w:rsid w:val="008444D4"/>
    <w:rsid w:val="008446B5"/>
    <w:rsid w:val="008447D1"/>
    <w:rsid w:val="008448C7"/>
    <w:rsid w:val="00844BDD"/>
    <w:rsid w:val="00844E13"/>
    <w:rsid w:val="0084529A"/>
    <w:rsid w:val="0084530E"/>
    <w:rsid w:val="00845315"/>
    <w:rsid w:val="008455AE"/>
    <w:rsid w:val="008455E4"/>
    <w:rsid w:val="0084587E"/>
    <w:rsid w:val="00845DDD"/>
    <w:rsid w:val="00845EFF"/>
    <w:rsid w:val="00846098"/>
    <w:rsid w:val="0084629B"/>
    <w:rsid w:val="008462E5"/>
    <w:rsid w:val="00846320"/>
    <w:rsid w:val="00846330"/>
    <w:rsid w:val="008463B8"/>
    <w:rsid w:val="0084659A"/>
    <w:rsid w:val="00846632"/>
    <w:rsid w:val="008467DB"/>
    <w:rsid w:val="008468CB"/>
    <w:rsid w:val="00846AEF"/>
    <w:rsid w:val="00846C7F"/>
    <w:rsid w:val="00846D91"/>
    <w:rsid w:val="00846DFB"/>
    <w:rsid w:val="00846ECD"/>
    <w:rsid w:val="00847149"/>
    <w:rsid w:val="008471E3"/>
    <w:rsid w:val="00847358"/>
    <w:rsid w:val="00847392"/>
    <w:rsid w:val="00847AFA"/>
    <w:rsid w:val="00847BAB"/>
    <w:rsid w:val="00847C7E"/>
    <w:rsid w:val="00847EE3"/>
    <w:rsid w:val="00847EE5"/>
    <w:rsid w:val="00850216"/>
    <w:rsid w:val="00850299"/>
    <w:rsid w:val="008503B5"/>
    <w:rsid w:val="008505BF"/>
    <w:rsid w:val="00850718"/>
    <w:rsid w:val="008508A2"/>
    <w:rsid w:val="0085095F"/>
    <w:rsid w:val="00850F10"/>
    <w:rsid w:val="00850F6D"/>
    <w:rsid w:val="0085100F"/>
    <w:rsid w:val="00851041"/>
    <w:rsid w:val="0085127D"/>
    <w:rsid w:val="00851307"/>
    <w:rsid w:val="008514C9"/>
    <w:rsid w:val="00851694"/>
    <w:rsid w:val="008517F6"/>
    <w:rsid w:val="0085189B"/>
    <w:rsid w:val="008518EF"/>
    <w:rsid w:val="008519D5"/>
    <w:rsid w:val="00851A81"/>
    <w:rsid w:val="00851D86"/>
    <w:rsid w:val="00851E6C"/>
    <w:rsid w:val="0085205D"/>
    <w:rsid w:val="00852195"/>
    <w:rsid w:val="00852401"/>
    <w:rsid w:val="008525C7"/>
    <w:rsid w:val="0085269E"/>
    <w:rsid w:val="008527B8"/>
    <w:rsid w:val="008527C5"/>
    <w:rsid w:val="00852961"/>
    <w:rsid w:val="00852A5F"/>
    <w:rsid w:val="00852A74"/>
    <w:rsid w:val="00852C6C"/>
    <w:rsid w:val="00852EAE"/>
    <w:rsid w:val="00853360"/>
    <w:rsid w:val="00853390"/>
    <w:rsid w:val="00853797"/>
    <w:rsid w:val="0085390D"/>
    <w:rsid w:val="00853D2E"/>
    <w:rsid w:val="00853DB4"/>
    <w:rsid w:val="00854174"/>
    <w:rsid w:val="008542F3"/>
    <w:rsid w:val="00854315"/>
    <w:rsid w:val="00854696"/>
    <w:rsid w:val="00854713"/>
    <w:rsid w:val="00854728"/>
    <w:rsid w:val="00854A9E"/>
    <w:rsid w:val="00854DCF"/>
    <w:rsid w:val="008551D5"/>
    <w:rsid w:val="0085531F"/>
    <w:rsid w:val="008553C8"/>
    <w:rsid w:val="0085543E"/>
    <w:rsid w:val="008555A1"/>
    <w:rsid w:val="00855754"/>
    <w:rsid w:val="00855842"/>
    <w:rsid w:val="00855911"/>
    <w:rsid w:val="00855936"/>
    <w:rsid w:val="008559C0"/>
    <w:rsid w:val="008559D4"/>
    <w:rsid w:val="00855C4B"/>
    <w:rsid w:val="00855D8D"/>
    <w:rsid w:val="00855FDF"/>
    <w:rsid w:val="00856140"/>
    <w:rsid w:val="008561B1"/>
    <w:rsid w:val="0085627F"/>
    <w:rsid w:val="00856300"/>
    <w:rsid w:val="00856311"/>
    <w:rsid w:val="00856588"/>
    <w:rsid w:val="008569CD"/>
    <w:rsid w:val="00856F3F"/>
    <w:rsid w:val="00856F4E"/>
    <w:rsid w:val="0085722A"/>
    <w:rsid w:val="008573BD"/>
    <w:rsid w:val="0085778F"/>
    <w:rsid w:val="0085783C"/>
    <w:rsid w:val="008578A8"/>
    <w:rsid w:val="00857A27"/>
    <w:rsid w:val="00857A70"/>
    <w:rsid w:val="00857F63"/>
    <w:rsid w:val="00860050"/>
    <w:rsid w:val="00860176"/>
    <w:rsid w:val="0086053B"/>
    <w:rsid w:val="008606AA"/>
    <w:rsid w:val="00860791"/>
    <w:rsid w:val="00860B1C"/>
    <w:rsid w:val="00860D04"/>
    <w:rsid w:val="00861004"/>
    <w:rsid w:val="008610C2"/>
    <w:rsid w:val="0086114D"/>
    <w:rsid w:val="0086132D"/>
    <w:rsid w:val="00861378"/>
    <w:rsid w:val="00861477"/>
    <w:rsid w:val="0086154A"/>
    <w:rsid w:val="00861807"/>
    <w:rsid w:val="0086189D"/>
    <w:rsid w:val="008618CD"/>
    <w:rsid w:val="00861AEF"/>
    <w:rsid w:val="00861B98"/>
    <w:rsid w:val="00861C41"/>
    <w:rsid w:val="00861CF0"/>
    <w:rsid w:val="008620BF"/>
    <w:rsid w:val="008622BE"/>
    <w:rsid w:val="00862452"/>
    <w:rsid w:val="008624DD"/>
    <w:rsid w:val="00862575"/>
    <w:rsid w:val="00862613"/>
    <w:rsid w:val="00862766"/>
    <w:rsid w:val="00862944"/>
    <w:rsid w:val="00862AF5"/>
    <w:rsid w:val="00862BB2"/>
    <w:rsid w:val="00862C43"/>
    <w:rsid w:val="00862D9B"/>
    <w:rsid w:val="00862FBD"/>
    <w:rsid w:val="0086317F"/>
    <w:rsid w:val="008632A0"/>
    <w:rsid w:val="008632BC"/>
    <w:rsid w:val="00863596"/>
    <w:rsid w:val="0086359B"/>
    <w:rsid w:val="00863766"/>
    <w:rsid w:val="00863780"/>
    <w:rsid w:val="00863909"/>
    <w:rsid w:val="00863AB0"/>
    <w:rsid w:val="00863CA7"/>
    <w:rsid w:val="00863DFC"/>
    <w:rsid w:val="00863F0C"/>
    <w:rsid w:val="00863FC4"/>
    <w:rsid w:val="0086430D"/>
    <w:rsid w:val="0086435C"/>
    <w:rsid w:val="0086441A"/>
    <w:rsid w:val="00864447"/>
    <w:rsid w:val="008647C8"/>
    <w:rsid w:val="00864891"/>
    <w:rsid w:val="00864A0C"/>
    <w:rsid w:val="00864E11"/>
    <w:rsid w:val="00864FF5"/>
    <w:rsid w:val="0086506D"/>
    <w:rsid w:val="0086514D"/>
    <w:rsid w:val="008651D2"/>
    <w:rsid w:val="008653BD"/>
    <w:rsid w:val="008654C7"/>
    <w:rsid w:val="008655C3"/>
    <w:rsid w:val="00865861"/>
    <w:rsid w:val="008658A6"/>
    <w:rsid w:val="008658DF"/>
    <w:rsid w:val="008658F9"/>
    <w:rsid w:val="00865ADA"/>
    <w:rsid w:val="00865EB4"/>
    <w:rsid w:val="008661CC"/>
    <w:rsid w:val="008664B2"/>
    <w:rsid w:val="00866509"/>
    <w:rsid w:val="00866602"/>
    <w:rsid w:val="00866696"/>
    <w:rsid w:val="00866A3A"/>
    <w:rsid w:val="00866CD4"/>
    <w:rsid w:val="00866FF1"/>
    <w:rsid w:val="0086709A"/>
    <w:rsid w:val="008671F5"/>
    <w:rsid w:val="00867222"/>
    <w:rsid w:val="00867272"/>
    <w:rsid w:val="0086757A"/>
    <w:rsid w:val="0086761D"/>
    <w:rsid w:val="008676C5"/>
    <w:rsid w:val="008677C4"/>
    <w:rsid w:val="008677CF"/>
    <w:rsid w:val="0086781B"/>
    <w:rsid w:val="00867862"/>
    <w:rsid w:val="008678DA"/>
    <w:rsid w:val="00867A88"/>
    <w:rsid w:val="00867AFB"/>
    <w:rsid w:val="00867BCE"/>
    <w:rsid w:val="00867E6A"/>
    <w:rsid w:val="00867F54"/>
    <w:rsid w:val="00870009"/>
    <w:rsid w:val="008703EC"/>
    <w:rsid w:val="008706CF"/>
    <w:rsid w:val="00870C94"/>
    <w:rsid w:val="00870CF1"/>
    <w:rsid w:val="00870EE0"/>
    <w:rsid w:val="00871033"/>
    <w:rsid w:val="0087103C"/>
    <w:rsid w:val="00871073"/>
    <w:rsid w:val="008710A7"/>
    <w:rsid w:val="00871384"/>
    <w:rsid w:val="008714E8"/>
    <w:rsid w:val="00871769"/>
    <w:rsid w:val="008719F9"/>
    <w:rsid w:val="00871A53"/>
    <w:rsid w:val="00872074"/>
    <w:rsid w:val="0087252E"/>
    <w:rsid w:val="0087258C"/>
    <w:rsid w:val="00872608"/>
    <w:rsid w:val="00872674"/>
    <w:rsid w:val="008728EC"/>
    <w:rsid w:val="0087298F"/>
    <w:rsid w:val="00872ABE"/>
    <w:rsid w:val="00872C6E"/>
    <w:rsid w:val="00872D5C"/>
    <w:rsid w:val="00873142"/>
    <w:rsid w:val="008734F1"/>
    <w:rsid w:val="00873521"/>
    <w:rsid w:val="008735AD"/>
    <w:rsid w:val="00873765"/>
    <w:rsid w:val="00873A3B"/>
    <w:rsid w:val="00873ABD"/>
    <w:rsid w:val="00873BA3"/>
    <w:rsid w:val="008741B8"/>
    <w:rsid w:val="008743AE"/>
    <w:rsid w:val="008749E1"/>
    <w:rsid w:val="00874BC0"/>
    <w:rsid w:val="00874ED4"/>
    <w:rsid w:val="00875032"/>
    <w:rsid w:val="00875080"/>
    <w:rsid w:val="00875093"/>
    <w:rsid w:val="008750D6"/>
    <w:rsid w:val="008750FB"/>
    <w:rsid w:val="0087523B"/>
    <w:rsid w:val="00875ADD"/>
    <w:rsid w:val="00875B15"/>
    <w:rsid w:val="00875D57"/>
    <w:rsid w:val="00875F65"/>
    <w:rsid w:val="008760B9"/>
    <w:rsid w:val="008764C3"/>
    <w:rsid w:val="008765F9"/>
    <w:rsid w:val="008766E0"/>
    <w:rsid w:val="00876930"/>
    <w:rsid w:val="008769B8"/>
    <w:rsid w:val="00876A13"/>
    <w:rsid w:val="00876E21"/>
    <w:rsid w:val="00876EF9"/>
    <w:rsid w:val="00876EFD"/>
    <w:rsid w:val="00876F58"/>
    <w:rsid w:val="00877087"/>
    <w:rsid w:val="008770C0"/>
    <w:rsid w:val="0087738F"/>
    <w:rsid w:val="00877631"/>
    <w:rsid w:val="00877669"/>
    <w:rsid w:val="008777EB"/>
    <w:rsid w:val="0087781B"/>
    <w:rsid w:val="008779D5"/>
    <w:rsid w:val="00877A19"/>
    <w:rsid w:val="00877AB9"/>
    <w:rsid w:val="00877C9D"/>
    <w:rsid w:val="00877E4D"/>
    <w:rsid w:val="00877EB2"/>
    <w:rsid w:val="00877FC5"/>
    <w:rsid w:val="00878A51"/>
    <w:rsid w:val="0088003F"/>
    <w:rsid w:val="0088045C"/>
    <w:rsid w:val="00880552"/>
    <w:rsid w:val="008805B6"/>
    <w:rsid w:val="008807E3"/>
    <w:rsid w:val="00880C53"/>
    <w:rsid w:val="00880C60"/>
    <w:rsid w:val="008811AD"/>
    <w:rsid w:val="00881766"/>
    <w:rsid w:val="008817BE"/>
    <w:rsid w:val="00881849"/>
    <w:rsid w:val="00881882"/>
    <w:rsid w:val="00881B67"/>
    <w:rsid w:val="00881BA8"/>
    <w:rsid w:val="00881C63"/>
    <w:rsid w:val="00881D48"/>
    <w:rsid w:val="00881E15"/>
    <w:rsid w:val="0088209E"/>
    <w:rsid w:val="00882473"/>
    <w:rsid w:val="00882539"/>
    <w:rsid w:val="00882562"/>
    <w:rsid w:val="00882988"/>
    <w:rsid w:val="00882B74"/>
    <w:rsid w:val="00882C29"/>
    <w:rsid w:val="00882C4B"/>
    <w:rsid w:val="00882EFD"/>
    <w:rsid w:val="00882F22"/>
    <w:rsid w:val="00882F2B"/>
    <w:rsid w:val="00882FA9"/>
    <w:rsid w:val="00883050"/>
    <w:rsid w:val="00883274"/>
    <w:rsid w:val="008832CC"/>
    <w:rsid w:val="0088344F"/>
    <w:rsid w:val="00883629"/>
    <w:rsid w:val="00883783"/>
    <w:rsid w:val="00883A3B"/>
    <w:rsid w:val="00883A43"/>
    <w:rsid w:val="00883B40"/>
    <w:rsid w:val="00883C93"/>
    <w:rsid w:val="00883D0F"/>
    <w:rsid w:val="00883E9B"/>
    <w:rsid w:val="008840F8"/>
    <w:rsid w:val="008840FA"/>
    <w:rsid w:val="008843D5"/>
    <w:rsid w:val="008843EA"/>
    <w:rsid w:val="008845FE"/>
    <w:rsid w:val="008846FF"/>
    <w:rsid w:val="008847C4"/>
    <w:rsid w:val="00884899"/>
    <w:rsid w:val="00884A98"/>
    <w:rsid w:val="00884B1D"/>
    <w:rsid w:val="0088512A"/>
    <w:rsid w:val="0088528D"/>
    <w:rsid w:val="00885593"/>
    <w:rsid w:val="00885C51"/>
    <w:rsid w:val="00885DF4"/>
    <w:rsid w:val="00885F30"/>
    <w:rsid w:val="00885F35"/>
    <w:rsid w:val="00885F96"/>
    <w:rsid w:val="00885FB5"/>
    <w:rsid w:val="00885FE2"/>
    <w:rsid w:val="00885FE9"/>
    <w:rsid w:val="0088604E"/>
    <w:rsid w:val="0088644D"/>
    <w:rsid w:val="00886593"/>
    <w:rsid w:val="00886662"/>
    <w:rsid w:val="00886806"/>
    <w:rsid w:val="00886859"/>
    <w:rsid w:val="0088689A"/>
    <w:rsid w:val="00886900"/>
    <w:rsid w:val="0088692F"/>
    <w:rsid w:val="00886BAB"/>
    <w:rsid w:val="00886C0F"/>
    <w:rsid w:val="00886D2E"/>
    <w:rsid w:val="00886DC9"/>
    <w:rsid w:val="0088710C"/>
    <w:rsid w:val="00887465"/>
    <w:rsid w:val="0088773C"/>
    <w:rsid w:val="00887755"/>
    <w:rsid w:val="008878A6"/>
    <w:rsid w:val="00887A16"/>
    <w:rsid w:val="00887B3F"/>
    <w:rsid w:val="00887B6D"/>
    <w:rsid w:val="00887D8D"/>
    <w:rsid w:val="00887FD1"/>
    <w:rsid w:val="00890401"/>
    <w:rsid w:val="00890546"/>
    <w:rsid w:val="008907D2"/>
    <w:rsid w:val="008908D8"/>
    <w:rsid w:val="0089093D"/>
    <w:rsid w:val="00890BDB"/>
    <w:rsid w:val="00890D62"/>
    <w:rsid w:val="0089125B"/>
    <w:rsid w:val="00891266"/>
    <w:rsid w:val="00891351"/>
    <w:rsid w:val="008914D4"/>
    <w:rsid w:val="00891668"/>
    <w:rsid w:val="00891753"/>
    <w:rsid w:val="00891781"/>
    <w:rsid w:val="00891783"/>
    <w:rsid w:val="00891970"/>
    <w:rsid w:val="00891992"/>
    <w:rsid w:val="00891ACF"/>
    <w:rsid w:val="00891B59"/>
    <w:rsid w:val="00891CE4"/>
    <w:rsid w:val="008923AC"/>
    <w:rsid w:val="00892451"/>
    <w:rsid w:val="008926EE"/>
    <w:rsid w:val="0089271B"/>
    <w:rsid w:val="008927A3"/>
    <w:rsid w:val="00892979"/>
    <w:rsid w:val="00892BC5"/>
    <w:rsid w:val="00892D55"/>
    <w:rsid w:val="00892D71"/>
    <w:rsid w:val="00892DA7"/>
    <w:rsid w:val="00892DE2"/>
    <w:rsid w:val="00892E35"/>
    <w:rsid w:val="00892E36"/>
    <w:rsid w:val="00892F9F"/>
    <w:rsid w:val="00892FD2"/>
    <w:rsid w:val="00893255"/>
    <w:rsid w:val="00893310"/>
    <w:rsid w:val="00893311"/>
    <w:rsid w:val="0089331D"/>
    <w:rsid w:val="008933CD"/>
    <w:rsid w:val="00893672"/>
    <w:rsid w:val="0089392D"/>
    <w:rsid w:val="00893DAA"/>
    <w:rsid w:val="00894242"/>
    <w:rsid w:val="00894449"/>
    <w:rsid w:val="008945FE"/>
    <w:rsid w:val="00894657"/>
    <w:rsid w:val="008946AA"/>
    <w:rsid w:val="008946C8"/>
    <w:rsid w:val="008947AC"/>
    <w:rsid w:val="008949C3"/>
    <w:rsid w:val="00894B60"/>
    <w:rsid w:val="00894B79"/>
    <w:rsid w:val="00894CAD"/>
    <w:rsid w:val="00894CB2"/>
    <w:rsid w:val="00894FA6"/>
    <w:rsid w:val="0089542F"/>
    <w:rsid w:val="00895802"/>
    <w:rsid w:val="00895826"/>
    <w:rsid w:val="0089591A"/>
    <w:rsid w:val="00895BDF"/>
    <w:rsid w:val="00895D6C"/>
    <w:rsid w:val="00895F7C"/>
    <w:rsid w:val="00895FF2"/>
    <w:rsid w:val="00896302"/>
    <w:rsid w:val="00896377"/>
    <w:rsid w:val="00896408"/>
    <w:rsid w:val="00896461"/>
    <w:rsid w:val="0089654A"/>
    <w:rsid w:val="00896574"/>
    <w:rsid w:val="008967BE"/>
    <w:rsid w:val="0089695B"/>
    <w:rsid w:val="00896B13"/>
    <w:rsid w:val="00897432"/>
    <w:rsid w:val="0089754C"/>
    <w:rsid w:val="00897566"/>
    <w:rsid w:val="008975E9"/>
    <w:rsid w:val="00897B25"/>
    <w:rsid w:val="00897B86"/>
    <w:rsid w:val="00897CC1"/>
    <w:rsid w:val="00897F0D"/>
    <w:rsid w:val="008A0541"/>
    <w:rsid w:val="008A0551"/>
    <w:rsid w:val="008A0556"/>
    <w:rsid w:val="008A0866"/>
    <w:rsid w:val="008A08AB"/>
    <w:rsid w:val="008A08C6"/>
    <w:rsid w:val="008A095F"/>
    <w:rsid w:val="008A09AD"/>
    <w:rsid w:val="008A0A81"/>
    <w:rsid w:val="008A0AA2"/>
    <w:rsid w:val="008A0BBF"/>
    <w:rsid w:val="008A0BE9"/>
    <w:rsid w:val="008A0C1F"/>
    <w:rsid w:val="008A0D60"/>
    <w:rsid w:val="008A0E0D"/>
    <w:rsid w:val="008A1222"/>
    <w:rsid w:val="008A132C"/>
    <w:rsid w:val="008A13C1"/>
    <w:rsid w:val="008A148D"/>
    <w:rsid w:val="008A174E"/>
    <w:rsid w:val="008A1A38"/>
    <w:rsid w:val="008A1BD4"/>
    <w:rsid w:val="008A1CB0"/>
    <w:rsid w:val="008A1D04"/>
    <w:rsid w:val="008A1E52"/>
    <w:rsid w:val="008A201E"/>
    <w:rsid w:val="008A2118"/>
    <w:rsid w:val="008A2166"/>
    <w:rsid w:val="008A2189"/>
    <w:rsid w:val="008A21AF"/>
    <w:rsid w:val="008A2253"/>
    <w:rsid w:val="008A23D5"/>
    <w:rsid w:val="008A250D"/>
    <w:rsid w:val="008A256B"/>
    <w:rsid w:val="008A2592"/>
    <w:rsid w:val="008A25F1"/>
    <w:rsid w:val="008A2605"/>
    <w:rsid w:val="008A263A"/>
    <w:rsid w:val="008A2840"/>
    <w:rsid w:val="008A2E7C"/>
    <w:rsid w:val="008A2F47"/>
    <w:rsid w:val="008A304F"/>
    <w:rsid w:val="008A32B7"/>
    <w:rsid w:val="008A3300"/>
    <w:rsid w:val="008A334D"/>
    <w:rsid w:val="008A34CC"/>
    <w:rsid w:val="008A36A0"/>
    <w:rsid w:val="008A3756"/>
    <w:rsid w:val="008A3788"/>
    <w:rsid w:val="008A3833"/>
    <w:rsid w:val="008A3CAC"/>
    <w:rsid w:val="008A3E0F"/>
    <w:rsid w:val="008A3E24"/>
    <w:rsid w:val="008A3E64"/>
    <w:rsid w:val="008A41AB"/>
    <w:rsid w:val="008A429B"/>
    <w:rsid w:val="008A470E"/>
    <w:rsid w:val="008A4750"/>
    <w:rsid w:val="008A47D9"/>
    <w:rsid w:val="008A4852"/>
    <w:rsid w:val="008A4956"/>
    <w:rsid w:val="008A4A6B"/>
    <w:rsid w:val="008A4B3B"/>
    <w:rsid w:val="008A4CB4"/>
    <w:rsid w:val="008A4D1B"/>
    <w:rsid w:val="008A4D20"/>
    <w:rsid w:val="008A4E5F"/>
    <w:rsid w:val="008A4E72"/>
    <w:rsid w:val="008A4E79"/>
    <w:rsid w:val="008A50A0"/>
    <w:rsid w:val="008A50F2"/>
    <w:rsid w:val="008A5297"/>
    <w:rsid w:val="008A5754"/>
    <w:rsid w:val="008A586F"/>
    <w:rsid w:val="008A589E"/>
    <w:rsid w:val="008A59DD"/>
    <w:rsid w:val="008A59F6"/>
    <w:rsid w:val="008A59F8"/>
    <w:rsid w:val="008A5C90"/>
    <w:rsid w:val="008A5CF5"/>
    <w:rsid w:val="008A5CFC"/>
    <w:rsid w:val="008A608F"/>
    <w:rsid w:val="008A61A1"/>
    <w:rsid w:val="008A61C4"/>
    <w:rsid w:val="008A64C8"/>
    <w:rsid w:val="008A6761"/>
    <w:rsid w:val="008A6831"/>
    <w:rsid w:val="008A6CEB"/>
    <w:rsid w:val="008A6DD4"/>
    <w:rsid w:val="008A6F76"/>
    <w:rsid w:val="008A6FEF"/>
    <w:rsid w:val="008A6FFF"/>
    <w:rsid w:val="008A725A"/>
    <w:rsid w:val="008A72EE"/>
    <w:rsid w:val="008A7445"/>
    <w:rsid w:val="008A750A"/>
    <w:rsid w:val="008A757E"/>
    <w:rsid w:val="008A7626"/>
    <w:rsid w:val="008A789A"/>
    <w:rsid w:val="008A7C40"/>
    <w:rsid w:val="008A7E88"/>
    <w:rsid w:val="008A8B51"/>
    <w:rsid w:val="008B0023"/>
    <w:rsid w:val="008B01D2"/>
    <w:rsid w:val="008B02DB"/>
    <w:rsid w:val="008B040A"/>
    <w:rsid w:val="008B0A42"/>
    <w:rsid w:val="008B0A50"/>
    <w:rsid w:val="008B0AC0"/>
    <w:rsid w:val="008B0B2D"/>
    <w:rsid w:val="008B0C2E"/>
    <w:rsid w:val="008B0D6D"/>
    <w:rsid w:val="008B10AB"/>
    <w:rsid w:val="008B11AF"/>
    <w:rsid w:val="008B132D"/>
    <w:rsid w:val="008B1432"/>
    <w:rsid w:val="008B1537"/>
    <w:rsid w:val="008B1566"/>
    <w:rsid w:val="008B1796"/>
    <w:rsid w:val="008B17FE"/>
    <w:rsid w:val="008B1911"/>
    <w:rsid w:val="008B1C04"/>
    <w:rsid w:val="008B1DA5"/>
    <w:rsid w:val="008B2028"/>
    <w:rsid w:val="008B2153"/>
    <w:rsid w:val="008B2182"/>
    <w:rsid w:val="008B243D"/>
    <w:rsid w:val="008B24EA"/>
    <w:rsid w:val="008B26DC"/>
    <w:rsid w:val="008B2C70"/>
    <w:rsid w:val="008B2D70"/>
    <w:rsid w:val="008B2F8E"/>
    <w:rsid w:val="008B31B8"/>
    <w:rsid w:val="008B3230"/>
    <w:rsid w:val="008B340E"/>
    <w:rsid w:val="008B342F"/>
    <w:rsid w:val="008B3574"/>
    <w:rsid w:val="008B3686"/>
    <w:rsid w:val="008B36A3"/>
    <w:rsid w:val="008B37AB"/>
    <w:rsid w:val="008B3BFF"/>
    <w:rsid w:val="008B3C19"/>
    <w:rsid w:val="008B3F49"/>
    <w:rsid w:val="008B410C"/>
    <w:rsid w:val="008B4127"/>
    <w:rsid w:val="008B4252"/>
    <w:rsid w:val="008B4610"/>
    <w:rsid w:val="008B4775"/>
    <w:rsid w:val="008B48D9"/>
    <w:rsid w:val="008B4C7E"/>
    <w:rsid w:val="008B4D1F"/>
    <w:rsid w:val="008B52B6"/>
    <w:rsid w:val="008B5328"/>
    <w:rsid w:val="008B5365"/>
    <w:rsid w:val="008B55A7"/>
    <w:rsid w:val="008B55D0"/>
    <w:rsid w:val="008B55F0"/>
    <w:rsid w:val="008B5757"/>
    <w:rsid w:val="008B5921"/>
    <w:rsid w:val="008B5B25"/>
    <w:rsid w:val="008B5D1E"/>
    <w:rsid w:val="008B5D5A"/>
    <w:rsid w:val="008B5DE0"/>
    <w:rsid w:val="008B5E2F"/>
    <w:rsid w:val="008B5F13"/>
    <w:rsid w:val="008B618B"/>
    <w:rsid w:val="008B6337"/>
    <w:rsid w:val="008B6510"/>
    <w:rsid w:val="008B65FA"/>
    <w:rsid w:val="008B664D"/>
    <w:rsid w:val="008B6958"/>
    <w:rsid w:val="008B6A2F"/>
    <w:rsid w:val="008B6AA5"/>
    <w:rsid w:val="008B6F8B"/>
    <w:rsid w:val="008B7322"/>
    <w:rsid w:val="008B7392"/>
    <w:rsid w:val="008B73DA"/>
    <w:rsid w:val="008B768E"/>
    <w:rsid w:val="008B7D36"/>
    <w:rsid w:val="008C000F"/>
    <w:rsid w:val="008C0452"/>
    <w:rsid w:val="008C0464"/>
    <w:rsid w:val="008C0482"/>
    <w:rsid w:val="008C0553"/>
    <w:rsid w:val="008C05BE"/>
    <w:rsid w:val="008C0673"/>
    <w:rsid w:val="008C0829"/>
    <w:rsid w:val="008C09E0"/>
    <w:rsid w:val="008C0B14"/>
    <w:rsid w:val="008C0E2F"/>
    <w:rsid w:val="008C0FA2"/>
    <w:rsid w:val="008C113B"/>
    <w:rsid w:val="008C1159"/>
    <w:rsid w:val="008C14B5"/>
    <w:rsid w:val="008C165F"/>
    <w:rsid w:val="008C1678"/>
    <w:rsid w:val="008C1754"/>
    <w:rsid w:val="008C1E85"/>
    <w:rsid w:val="008C1EEC"/>
    <w:rsid w:val="008C2102"/>
    <w:rsid w:val="008C2145"/>
    <w:rsid w:val="008C21CA"/>
    <w:rsid w:val="008C22E5"/>
    <w:rsid w:val="008C232B"/>
    <w:rsid w:val="008C2455"/>
    <w:rsid w:val="008C2620"/>
    <w:rsid w:val="008C26E3"/>
    <w:rsid w:val="008C2814"/>
    <w:rsid w:val="008C2907"/>
    <w:rsid w:val="008C2BDB"/>
    <w:rsid w:val="008C3324"/>
    <w:rsid w:val="008C3690"/>
    <w:rsid w:val="008C37AD"/>
    <w:rsid w:val="008C39A3"/>
    <w:rsid w:val="008C3A47"/>
    <w:rsid w:val="008C3D44"/>
    <w:rsid w:val="008C41A6"/>
    <w:rsid w:val="008C42DC"/>
    <w:rsid w:val="008C4380"/>
    <w:rsid w:val="008C4533"/>
    <w:rsid w:val="008C45D2"/>
    <w:rsid w:val="008C4706"/>
    <w:rsid w:val="008C4744"/>
    <w:rsid w:val="008C4B0C"/>
    <w:rsid w:val="008C4B41"/>
    <w:rsid w:val="008C4B45"/>
    <w:rsid w:val="008C4BA1"/>
    <w:rsid w:val="008C4CBF"/>
    <w:rsid w:val="008C4DC2"/>
    <w:rsid w:val="008C5251"/>
    <w:rsid w:val="008C5488"/>
    <w:rsid w:val="008C56C9"/>
    <w:rsid w:val="008C586B"/>
    <w:rsid w:val="008C5D85"/>
    <w:rsid w:val="008C5DA1"/>
    <w:rsid w:val="008C5EA3"/>
    <w:rsid w:val="008C63B5"/>
    <w:rsid w:val="008C6624"/>
    <w:rsid w:val="008C66BD"/>
    <w:rsid w:val="008C66F2"/>
    <w:rsid w:val="008C683C"/>
    <w:rsid w:val="008C697C"/>
    <w:rsid w:val="008C6BB1"/>
    <w:rsid w:val="008C6BDE"/>
    <w:rsid w:val="008C6C3D"/>
    <w:rsid w:val="008C6DBD"/>
    <w:rsid w:val="008C6E43"/>
    <w:rsid w:val="008C6ED9"/>
    <w:rsid w:val="008C6EFD"/>
    <w:rsid w:val="008C6F29"/>
    <w:rsid w:val="008C715B"/>
    <w:rsid w:val="008C7262"/>
    <w:rsid w:val="008C7450"/>
    <w:rsid w:val="008C7552"/>
    <w:rsid w:val="008C762C"/>
    <w:rsid w:val="008C7737"/>
    <w:rsid w:val="008C7829"/>
    <w:rsid w:val="008C7916"/>
    <w:rsid w:val="008C794F"/>
    <w:rsid w:val="008C7A60"/>
    <w:rsid w:val="008C7AB9"/>
    <w:rsid w:val="008C7B93"/>
    <w:rsid w:val="008C7CE2"/>
    <w:rsid w:val="008C7E93"/>
    <w:rsid w:val="008C7F7E"/>
    <w:rsid w:val="008D016D"/>
    <w:rsid w:val="008D0260"/>
    <w:rsid w:val="008D0C99"/>
    <w:rsid w:val="008D0CB0"/>
    <w:rsid w:val="008D0EA4"/>
    <w:rsid w:val="008D0FA4"/>
    <w:rsid w:val="008D0FC1"/>
    <w:rsid w:val="008D13C7"/>
    <w:rsid w:val="008D13D0"/>
    <w:rsid w:val="008D13F7"/>
    <w:rsid w:val="008D14B2"/>
    <w:rsid w:val="008D15F9"/>
    <w:rsid w:val="008D1606"/>
    <w:rsid w:val="008D169C"/>
    <w:rsid w:val="008D1746"/>
    <w:rsid w:val="008D1799"/>
    <w:rsid w:val="008D188B"/>
    <w:rsid w:val="008D1972"/>
    <w:rsid w:val="008D1BCC"/>
    <w:rsid w:val="008D1D0C"/>
    <w:rsid w:val="008D1D29"/>
    <w:rsid w:val="008D1EB8"/>
    <w:rsid w:val="008D2037"/>
    <w:rsid w:val="008D206B"/>
    <w:rsid w:val="008D2538"/>
    <w:rsid w:val="008D2B92"/>
    <w:rsid w:val="008D2D4D"/>
    <w:rsid w:val="008D2DFC"/>
    <w:rsid w:val="008D2EFE"/>
    <w:rsid w:val="008D2F54"/>
    <w:rsid w:val="008D3054"/>
    <w:rsid w:val="008D316A"/>
    <w:rsid w:val="008D31E8"/>
    <w:rsid w:val="008D3512"/>
    <w:rsid w:val="008D353A"/>
    <w:rsid w:val="008D356C"/>
    <w:rsid w:val="008D3595"/>
    <w:rsid w:val="008D36F0"/>
    <w:rsid w:val="008D3752"/>
    <w:rsid w:val="008D3757"/>
    <w:rsid w:val="008D3857"/>
    <w:rsid w:val="008D39C7"/>
    <w:rsid w:val="008D3AC4"/>
    <w:rsid w:val="008D3B47"/>
    <w:rsid w:val="008D3EB2"/>
    <w:rsid w:val="008D3F27"/>
    <w:rsid w:val="008D3F6F"/>
    <w:rsid w:val="008D4078"/>
    <w:rsid w:val="008D40EF"/>
    <w:rsid w:val="008D41FE"/>
    <w:rsid w:val="008D4299"/>
    <w:rsid w:val="008D429D"/>
    <w:rsid w:val="008D42EA"/>
    <w:rsid w:val="008D43CB"/>
    <w:rsid w:val="008D44EF"/>
    <w:rsid w:val="008D44FE"/>
    <w:rsid w:val="008D4675"/>
    <w:rsid w:val="008D471E"/>
    <w:rsid w:val="008D47D1"/>
    <w:rsid w:val="008D49B1"/>
    <w:rsid w:val="008D4E47"/>
    <w:rsid w:val="008D4EA4"/>
    <w:rsid w:val="008D5223"/>
    <w:rsid w:val="008D57D4"/>
    <w:rsid w:val="008D57E5"/>
    <w:rsid w:val="008D58F8"/>
    <w:rsid w:val="008D5A8A"/>
    <w:rsid w:val="008D5B23"/>
    <w:rsid w:val="008D5D0E"/>
    <w:rsid w:val="008D5DA6"/>
    <w:rsid w:val="008D5F15"/>
    <w:rsid w:val="008D5FE7"/>
    <w:rsid w:val="008D615A"/>
    <w:rsid w:val="008D619A"/>
    <w:rsid w:val="008D6228"/>
    <w:rsid w:val="008D622A"/>
    <w:rsid w:val="008D623A"/>
    <w:rsid w:val="008D63A5"/>
    <w:rsid w:val="008D67EF"/>
    <w:rsid w:val="008D683C"/>
    <w:rsid w:val="008D685F"/>
    <w:rsid w:val="008D6A48"/>
    <w:rsid w:val="008D6A6C"/>
    <w:rsid w:val="008D6EEA"/>
    <w:rsid w:val="008D6F2C"/>
    <w:rsid w:val="008D6FE7"/>
    <w:rsid w:val="008D710C"/>
    <w:rsid w:val="008D7145"/>
    <w:rsid w:val="008D714C"/>
    <w:rsid w:val="008D737F"/>
    <w:rsid w:val="008D7399"/>
    <w:rsid w:val="008D73C3"/>
    <w:rsid w:val="008D73E5"/>
    <w:rsid w:val="008D7526"/>
    <w:rsid w:val="008D7564"/>
    <w:rsid w:val="008D77DB"/>
    <w:rsid w:val="008D787B"/>
    <w:rsid w:val="008D7D34"/>
    <w:rsid w:val="008D7DB2"/>
    <w:rsid w:val="008E0013"/>
    <w:rsid w:val="008E03AF"/>
    <w:rsid w:val="008E0438"/>
    <w:rsid w:val="008E0608"/>
    <w:rsid w:val="008E090D"/>
    <w:rsid w:val="008E0B42"/>
    <w:rsid w:val="008E0BA9"/>
    <w:rsid w:val="008E0BAE"/>
    <w:rsid w:val="008E0BD3"/>
    <w:rsid w:val="008E0FFF"/>
    <w:rsid w:val="008E1294"/>
    <w:rsid w:val="008E1365"/>
    <w:rsid w:val="008E1536"/>
    <w:rsid w:val="008E1664"/>
    <w:rsid w:val="008E1669"/>
    <w:rsid w:val="008E17F1"/>
    <w:rsid w:val="008E185E"/>
    <w:rsid w:val="008E1B34"/>
    <w:rsid w:val="008E1DA0"/>
    <w:rsid w:val="008E201E"/>
    <w:rsid w:val="008E2080"/>
    <w:rsid w:val="008E20E6"/>
    <w:rsid w:val="008E23E7"/>
    <w:rsid w:val="008E25FF"/>
    <w:rsid w:val="008E26FB"/>
    <w:rsid w:val="008E2994"/>
    <w:rsid w:val="008E29DA"/>
    <w:rsid w:val="008E29ED"/>
    <w:rsid w:val="008E2B00"/>
    <w:rsid w:val="008E2E75"/>
    <w:rsid w:val="008E2ED5"/>
    <w:rsid w:val="008E30E2"/>
    <w:rsid w:val="008E32C6"/>
    <w:rsid w:val="008E3358"/>
    <w:rsid w:val="008E3578"/>
    <w:rsid w:val="008E37BC"/>
    <w:rsid w:val="008E385B"/>
    <w:rsid w:val="008E3980"/>
    <w:rsid w:val="008E3B4F"/>
    <w:rsid w:val="008E3B9F"/>
    <w:rsid w:val="008E3BC3"/>
    <w:rsid w:val="008E3C71"/>
    <w:rsid w:val="008E3DF2"/>
    <w:rsid w:val="008E3E02"/>
    <w:rsid w:val="008E3EDD"/>
    <w:rsid w:val="008E41D1"/>
    <w:rsid w:val="008E421F"/>
    <w:rsid w:val="008E42AC"/>
    <w:rsid w:val="008E4309"/>
    <w:rsid w:val="008E46F0"/>
    <w:rsid w:val="008E4A5F"/>
    <w:rsid w:val="008E4B62"/>
    <w:rsid w:val="008E4B88"/>
    <w:rsid w:val="008E4F09"/>
    <w:rsid w:val="008E5677"/>
    <w:rsid w:val="008E56C4"/>
    <w:rsid w:val="008E59AC"/>
    <w:rsid w:val="008E5A88"/>
    <w:rsid w:val="008E5B93"/>
    <w:rsid w:val="008E5C0F"/>
    <w:rsid w:val="008E5D21"/>
    <w:rsid w:val="008E5E8D"/>
    <w:rsid w:val="008E6034"/>
    <w:rsid w:val="008E60B2"/>
    <w:rsid w:val="008E62AF"/>
    <w:rsid w:val="008E6610"/>
    <w:rsid w:val="008E6640"/>
    <w:rsid w:val="008E66C6"/>
    <w:rsid w:val="008E6B94"/>
    <w:rsid w:val="008E6CC3"/>
    <w:rsid w:val="008E6DA8"/>
    <w:rsid w:val="008E70D8"/>
    <w:rsid w:val="008E716F"/>
    <w:rsid w:val="008E741A"/>
    <w:rsid w:val="008E742F"/>
    <w:rsid w:val="008E7836"/>
    <w:rsid w:val="008E78DE"/>
    <w:rsid w:val="008E7A54"/>
    <w:rsid w:val="008E7D13"/>
    <w:rsid w:val="008E7FAC"/>
    <w:rsid w:val="008F014B"/>
    <w:rsid w:val="008F0188"/>
    <w:rsid w:val="008F01CD"/>
    <w:rsid w:val="008F023F"/>
    <w:rsid w:val="008F028E"/>
    <w:rsid w:val="008F0299"/>
    <w:rsid w:val="008F042A"/>
    <w:rsid w:val="008F04EC"/>
    <w:rsid w:val="008F0606"/>
    <w:rsid w:val="008F0BEF"/>
    <w:rsid w:val="008F0E2F"/>
    <w:rsid w:val="008F0E73"/>
    <w:rsid w:val="008F0F9D"/>
    <w:rsid w:val="008F135B"/>
    <w:rsid w:val="008F13AD"/>
    <w:rsid w:val="008F1472"/>
    <w:rsid w:val="008F14E4"/>
    <w:rsid w:val="008F1580"/>
    <w:rsid w:val="008F15EE"/>
    <w:rsid w:val="008F16D1"/>
    <w:rsid w:val="008F17D2"/>
    <w:rsid w:val="008F17E0"/>
    <w:rsid w:val="008F181A"/>
    <w:rsid w:val="008F18AB"/>
    <w:rsid w:val="008F1977"/>
    <w:rsid w:val="008F19EF"/>
    <w:rsid w:val="008F1ADB"/>
    <w:rsid w:val="008F1BCE"/>
    <w:rsid w:val="008F1C8B"/>
    <w:rsid w:val="008F1D79"/>
    <w:rsid w:val="008F1D97"/>
    <w:rsid w:val="008F1DE1"/>
    <w:rsid w:val="008F1DF8"/>
    <w:rsid w:val="008F1E3E"/>
    <w:rsid w:val="008F1EA2"/>
    <w:rsid w:val="008F1EA4"/>
    <w:rsid w:val="008F1EBD"/>
    <w:rsid w:val="008F1F5C"/>
    <w:rsid w:val="008F1F80"/>
    <w:rsid w:val="008F20F2"/>
    <w:rsid w:val="008F21E3"/>
    <w:rsid w:val="008F2235"/>
    <w:rsid w:val="008F2385"/>
    <w:rsid w:val="008F238E"/>
    <w:rsid w:val="008F2692"/>
    <w:rsid w:val="008F26BB"/>
    <w:rsid w:val="008F26FF"/>
    <w:rsid w:val="008F270F"/>
    <w:rsid w:val="008F2D5A"/>
    <w:rsid w:val="008F2F2E"/>
    <w:rsid w:val="008F3478"/>
    <w:rsid w:val="008F34AB"/>
    <w:rsid w:val="008F3600"/>
    <w:rsid w:val="008F379A"/>
    <w:rsid w:val="008F380F"/>
    <w:rsid w:val="008F3A10"/>
    <w:rsid w:val="008F3B02"/>
    <w:rsid w:val="008F3B7F"/>
    <w:rsid w:val="008F3CCA"/>
    <w:rsid w:val="008F3F41"/>
    <w:rsid w:val="008F4027"/>
    <w:rsid w:val="008F4100"/>
    <w:rsid w:val="008F4294"/>
    <w:rsid w:val="008F42EB"/>
    <w:rsid w:val="008F42F7"/>
    <w:rsid w:val="008F4472"/>
    <w:rsid w:val="008F4823"/>
    <w:rsid w:val="008F4935"/>
    <w:rsid w:val="008F4AE9"/>
    <w:rsid w:val="008F4B2C"/>
    <w:rsid w:val="008F4C2D"/>
    <w:rsid w:val="008F4D44"/>
    <w:rsid w:val="008F4ED5"/>
    <w:rsid w:val="008F5216"/>
    <w:rsid w:val="008F5245"/>
    <w:rsid w:val="008F541E"/>
    <w:rsid w:val="008F55E1"/>
    <w:rsid w:val="008F5861"/>
    <w:rsid w:val="008F5A3A"/>
    <w:rsid w:val="008F5B94"/>
    <w:rsid w:val="008F5CA2"/>
    <w:rsid w:val="008F5DF4"/>
    <w:rsid w:val="008F5E9F"/>
    <w:rsid w:val="008F5F00"/>
    <w:rsid w:val="008F615B"/>
    <w:rsid w:val="008F62B5"/>
    <w:rsid w:val="008F63C4"/>
    <w:rsid w:val="008F6600"/>
    <w:rsid w:val="008F6795"/>
    <w:rsid w:val="008F6AB8"/>
    <w:rsid w:val="008F6D19"/>
    <w:rsid w:val="008F6D5D"/>
    <w:rsid w:val="008F6E46"/>
    <w:rsid w:val="008F6E94"/>
    <w:rsid w:val="008F70DD"/>
    <w:rsid w:val="008F71E3"/>
    <w:rsid w:val="008F726F"/>
    <w:rsid w:val="008F7321"/>
    <w:rsid w:val="008F73E9"/>
    <w:rsid w:val="008F7471"/>
    <w:rsid w:val="008F7660"/>
    <w:rsid w:val="008F786B"/>
    <w:rsid w:val="008F7D2E"/>
    <w:rsid w:val="008F7D4D"/>
    <w:rsid w:val="00900133"/>
    <w:rsid w:val="00900238"/>
    <w:rsid w:val="00900249"/>
    <w:rsid w:val="00900332"/>
    <w:rsid w:val="009004C5"/>
    <w:rsid w:val="009006AC"/>
    <w:rsid w:val="009006F5"/>
    <w:rsid w:val="0090078F"/>
    <w:rsid w:val="009007DE"/>
    <w:rsid w:val="009008A3"/>
    <w:rsid w:val="009008A6"/>
    <w:rsid w:val="009009DD"/>
    <w:rsid w:val="00900B75"/>
    <w:rsid w:val="00900C89"/>
    <w:rsid w:val="00900CDF"/>
    <w:rsid w:val="00900E17"/>
    <w:rsid w:val="00900ED4"/>
    <w:rsid w:val="00901010"/>
    <w:rsid w:val="009011A2"/>
    <w:rsid w:val="009012E8"/>
    <w:rsid w:val="009013CC"/>
    <w:rsid w:val="00901560"/>
    <w:rsid w:val="00901742"/>
    <w:rsid w:val="009017B6"/>
    <w:rsid w:val="00901A44"/>
    <w:rsid w:val="00901AFC"/>
    <w:rsid w:val="00901B52"/>
    <w:rsid w:val="00901BBD"/>
    <w:rsid w:val="0090206F"/>
    <w:rsid w:val="00902253"/>
    <w:rsid w:val="00902302"/>
    <w:rsid w:val="009023C6"/>
    <w:rsid w:val="009025A3"/>
    <w:rsid w:val="00902701"/>
    <w:rsid w:val="00902729"/>
    <w:rsid w:val="0090286E"/>
    <w:rsid w:val="00902ABC"/>
    <w:rsid w:val="00902AD7"/>
    <w:rsid w:val="00902BF7"/>
    <w:rsid w:val="00902C8A"/>
    <w:rsid w:val="00902D03"/>
    <w:rsid w:val="00903303"/>
    <w:rsid w:val="00903370"/>
    <w:rsid w:val="009033B3"/>
    <w:rsid w:val="00903531"/>
    <w:rsid w:val="00903A42"/>
    <w:rsid w:val="00903A93"/>
    <w:rsid w:val="00903AC6"/>
    <w:rsid w:val="00903AD4"/>
    <w:rsid w:val="00903B20"/>
    <w:rsid w:val="00903C9F"/>
    <w:rsid w:val="00903DC8"/>
    <w:rsid w:val="00903E00"/>
    <w:rsid w:val="00903E4D"/>
    <w:rsid w:val="00903F90"/>
    <w:rsid w:val="00904077"/>
    <w:rsid w:val="00904369"/>
    <w:rsid w:val="00904649"/>
    <w:rsid w:val="0090464D"/>
    <w:rsid w:val="0090465D"/>
    <w:rsid w:val="00904681"/>
    <w:rsid w:val="009048DA"/>
    <w:rsid w:val="00904908"/>
    <w:rsid w:val="00904910"/>
    <w:rsid w:val="00904AEF"/>
    <w:rsid w:val="00904C1A"/>
    <w:rsid w:val="00904D3E"/>
    <w:rsid w:val="00904F33"/>
    <w:rsid w:val="00904FA0"/>
    <w:rsid w:val="00904FFA"/>
    <w:rsid w:val="00905077"/>
    <w:rsid w:val="009054D1"/>
    <w:rsid w:val="009058AF"/>
    <w:rsid w:val="009059F0"/>
    <w:rsid w:val="00905B47"/>
    <w:rsid w:val="00905D51"/>
    <w:rsid w:val="00905F3D"/>
    <w:rsid w:val="009060BF"/>
    <w:rsid w:val="00906249"/>
    <w:rsid w:val="009064B8"/>
    <w:rsid w:val="00906698"/>
    <w:rsid w:val="0090686B"/>
    <w:rsid w:val="00906912"/>
    <w:rsid w:val="00906928"/>
    <w:rsid w:val="00906955"/>
    <w:rsid w:val="00906985"/>
    <w:rsid w:val="009069BD"/>
    <w:rsid w:val="00906A55"/>
    <w:rsid w:val="00906A56"/>
    <w:rsid w:val="00906DB9"/>
    <w:rsid w:val="00906F70"/>
    <w:rsid w:val="0090705F"/>
    <w:rsid w:val="00907314"/>
    <w:rsid w:val="00907613"/>
    <w:rsid w:val="009079E9"/>
    <w:rsid w:val="00907ABB"/>
    <w:rsid w:val="00907B07"/>
    <w:rsid w:val="00907C30"/>
    <w:rsid w:val="00907D19"/>
    <w:rsid w:val="00907DEC"/>
    <w:rsid w:val="00907F21"/>
    <w:rsid w:val="00910071"/>
    <w:rsid w:val="009104BD"/>
    <w:rsid w:val="009104FA"/>
    <w:rsid w:val="009105C0"/>
    <w:rsid w:val="00910611"/>
    <w:rsid w:val="009108F9"/>
    <w:rsid w:val="00910A09"/>
    <w:rsid w:val="00910C6D"/>
    <w:rsid w:val="00910D4D"/>
    <w:rsid w:val="00910DD5"/>
    <w:rsid w:val="00910F75"/>
    <w:rsid w:val="009111DA"/>
    <w:rsid w:val="0091123B"/>
    <w:rsid w:val="0091129E"/>
    <w:rsid w:val="009112B8"/>
    <w:rsid w:val="00911334"/>
    <w:rsid w:val="009113FB"/>
    <w:rsid w:val="009114E8"/>
    <w:rsid w:val="009116E9"/>
    <w:rsid w:val="0091178F"/>
    <w:rsid w:val="0091187F"/>
    <w:rsid w:val="00911B57"/>
    <w:rsid w:val="00911B8E"/>
    <w:rsid w:val="00911CF7"/>
    <w:rsid w:val="00911DD1"/>
    <w:rsid w:val="00912245"/>
    <w:rsid w:val="0091245A"/>
    <w:rsid w:val="009125CC"/>
    <w:rsid w:val="009126B5"/>
    <w:rsid w:val="00912846"/>
    <w:rsid w:val="009128E4"/>
    <w:rsid w:val="00912A36"/>
    <w:rsid w:val="00912F2B"/>
    <w:rsid w:val="00912F78"/>
    <w:rsid w:val="00912F8D"/>
    <w:rsid w:val="00913154"/>
    <w:rsid w:val="0091328D"/>
    <w:rsid w:val="009133E0"/>
    <w:rsid w:val="0091342A"/>
    <w:rsid w:val="0091372A"/>
    <w:rsid w:val="00913828"/>
    <w:rsid w:val="0091391B"/>
    <w:rsid w:val="00913970"/>
    <w:rsid w:val="00913971"/>
    <w:rsid w:val="009139F7"/>
    <w:rsid w:val="00913A43"/>
    <w:rsid w:val="00913A44"/>
    <w:rsid w:val="00913B42"/>
    <w:rsid w:val="00913C7D"/>
    <w:rsid w:val="00913DFF"/>
    <w:rsid w:val="00914038"/>
    <w:rsid w:val="0091426D"/>
    <w:rsid w:val="0091428A"/>
    <w:rsid w:val="00914309"/>
    <w:rsid w:val="0091447C"/>
    <w:rsid w:val="009144B6"/>
    <w:rsid w:val="0091450C"/>
    <w:rsid w:val="009146D3"/>
    <w:rsid w:val="0091473A"/>
    <w:rsid w:val="009147EB"/>
    <w:rsid w:val="009147FA"/>
    <w:rsid w:val="00914835"/>
    <w:rsid w:val="009148EA"/>
    <w:rsid w:val="00914BED"/>
    <w:rsid w:val="00914C45"/>
    <w:rsid w:val="00914C63"/>
    <w:rsid w:val="00914C9B"/>
    <w:rsid w:val="00914CBA"/>
    <w:rsid w:val="00914DF6"/>
    <w:rsid w:val="009150F8"/>
    <w:rsid w:val="0091546E"/>
    <w:rsid w:val="009154D5"/>
    <w:rsid w:val="009154F3"/>
    <w:rsid w:val="00915503"/>
    <w:rsid w:val="009155B6"/>
    <w:rsid w:val="00915607"/>
    <w:rsid w:val="00915697"/>
    <w:rsid w:val="009159B1"/>
    <w:rsid w:val="00915B3A"/>
    <w:rsid w:val="00915B60"/>
    <w:rsid w:val="00915BB9"/>
    <w:rsid w:val="00915C95"/>
    <w:rsid w:val="00915CBE"/>
    <w:rsid w:val="00915F02"/>
    <w:rsid w:val="00916085"/>
    <w:rsid w:val="009161CA"/>
    <w:rsid w:val="00916396"/>
    <w:rsid w:val="009164C4"/>
    <w:rsid w:val="00916503"/>
    <w:rsid w:val="00916722"/>
    <w:rsid w:val="00916973"/>
    <w:rsid w:val="00916BF7"/>
    <w:rsid w:val="00916C92"/>
    <w:rsid w:val="00916F0E"/>
    <w:rsid w:val="00916F68"/>
    <w:rsid w:val="00916FC6"/>
    <w:rsid w:val="00917511"/>
    <w:rsid w:val="00917545"/>
    <w:rsid w:val="0091762B"/>
    <w:rsid w:val="009176E4"/>
    <w:rsid w:val="00917AC9"/>
    <w:rsid w:val="00917C86"/>
    <w:rsid w:val="00917E08"/>
    <w:rsid w:val="00920029"/>
    <w:rsid w:val="009200F8"/>
    <w:rsid w:val="009201BF"/>
    <w:rsid w:val="00920279"/>
    <w:rsid w:val="0092033A"/>
    <w:rsid w:val="0092044B"/>
    <w:rsid w:val="00920600"/>
    <w:rsid w:val="00920739"/>
    <w:rsid w:val="009208DF"/>
    <w:rsid w:val="00920B00"/>
    <w:rsid w:val="00920E02"/>
    <w:rsid w:val="00920F54"/>
    <w:rsid w:val="00921093"/>
    <w:rsid w:val="0092137C"/>
    <w:rsid w:val="0092143D"/>
    <w:rsid w:val="00921520"/>
    <w:rsid w:val="00921625"/>
    <w:rsid w:val="009216B5"/>
    <w:rsid w:val="00921726"/>
    <w:rsid w:val="0092183E"/>
    <w:rsid w:val="00921953"/>
    <w:rsid w:val="00921A32"/>
    <w:rsid w:val="00921C1C"/>
    <w:rsid w:val="00921C76"/>
    <w:rsid w:val="00921CCA"/>
    <w:rsid w:val="00922039"/>
    <w:rsid w:val="00922389"/>
    <w:rsid w:val="009226AD"/>
    <w:rsid w:val="009226F4"/>
    <w:rsid w:val="0092297F"/>
    <w:rsid w:val="00922986"/>
    <w:rsid w:val="00922C74"/>
    <w:rsid w:val="00922E5C"/>
    <w:rsid w:val="009230AA"/>
    <w:rsid w:val="009232E6"/>
    <w:rsid w:val="009234D9"/>
    <w:rsid w:val="0092380A"/>
    <w:rsid w:val="009238E5"/>
    <w:rsid w:val="009238E8"/>
    <w:rsid w:val="00923985"/>
    <w:rsid w:val="009239E0"/>
    <w:rsid w:val="00923B83"/>
    <w:rsid w:val="00923F6A"/>
    <w:rsid w:val="00924295"/>
    <w:rsid w:val="00924371"/>
    <w:rsid w:val="009244D9"/>
    <w:rsid w:val="00924552"/>
    <w:rsid w:val="009248A0"/>
    <w:rsid w:val="00924A6D"/>
    <w:rsid w:val="00924A82"/>
    <w:rsid w:val="00924AFC"/>
    <w:rsid w:val="00924DBA"/>
    <w:rsid w:val="00924F6F"/>
    <w:rsid w:val="009250F3"/>
    <w:rsid w:val="0092513C"/>
    <w:rsid w:val="00925143"/>
    <w:rsid w:val="0092521A"/>
    <w:rsid w:val="0092524F"/>
    <w:rsid w:val="009252AF"/>
    <w:rsid w:val="0092537A"/>
    <w:rsid w:val="00925499"/>
    <w:rsid w:val="009255E3"/>
    <w:rsid w:val="009256BC"/>
    <w:rsid w:val="00925753"/>
    <w:rsid w:val="00925926"/>
    <w:rsid w:val="00925D1F"/>
    <w:rsid w:val="00925D50"/>
    <w:rsid w:val="00925DD9"/>
    <w:rsid w:val="00925DE8"/>
    <w:rsid w:val="00925E34"/>
    <w:rsid w:val="00925F02"/>
    <w:rsid w:val="0092601B"/>
    <w:rsid w:val="0092621B"/>
    <w:rsid w:val="00926235"/>
    <w:rsid w:val="009263D9"/>
    <w:rsid w:val="00926579"/>
    <w:rsid w:val="0092661A"/>
    <w:rsid w:val="0092667E"/>
    <w:rsid w:val="00926695"/>
    <w:rsid w:val="0092673C"/>
    <w:rsid w:val="00926788"/>
    <w:rsid w:val="0092687A"/>
    <w:rsid w:val="00926B27"/>
    <w:rsid w:val="00926B83"/>
    <w:rsid w:val="00926D09"/>
    <w:rsid w:val="00926D88"/>
    <w:rsid w:val="00926E15"/>
    <w:rsid w:val="00926FC7"/>
    <w:rsid w:val="00927087"/>
    <w:rsid w:val="009270D3"/>
    <w:rsid w:val="00927354"/>
    <w:rsid w:val="0092747F"/>
    <w:rsid w:val="009275E4"/>
    <w:rsid w:val="009276E6"/>
    <w:rsid w:val="00927C5E"/>
    <w:rsid w:val="00927EA6"/>
    <w:rsid w:val="00927EFF"/>
    <w:rsid w:val="00927FC4"/>
    <w:rsid w:val="0092C534"/>
    <w:rsid w:val="00930070"/>
    <w:rsid w:val="00930166"/>
    <w:rsid w:val="0093035C"/>
    <w:rsid w:val="00930449"/>
    <w:rsid w:val="009304C6"/>
    <w:rsid w:val="009304F6"/>
    <w:rsid w:val="0093052C"/>
    <w:rsid w:val="00930599"/>
    <w:rsid w:val="0093085B"/>
    <w:rsid w:val="009308AC"/>
    <w:rsid w:val="00930936"/>
    <w:rsid w:val="00930974"/>
    <w:rsid w:val="0093098D"/>
    <w:rsid w:val="009312CD"/>
    <w:rsid w:val="0093144F"/>
    <w:rsid w:val="009316F5"/>
    <w:rsid w:val="00931704"/>
    <w:rsid w:val="00931AF6"/>
    <w:rsid w:val="00931C2B"/>
    <w:rsid w:val="00931CDE"/>
    <w:rsid w:val="00931EB6"/>
    <w:rsid w:val="00931ED9"/>
    <w:rsid w:val="00931F50"/>
    <w:rsid w:val="00931F56"/>
    <w:rsid w:val="00932187"/>
    <w:rsid w:val="009326AB"/>
    <w:rsid w:val="0093282A"/>
    <w:rsid w:val="00932C23"/>
    <w:rsid w:val="00932CCF"/>
    <w:rsid w:val="00932CD1"/>
    <w:rsid w:val="00932E72"/>
    <w:rsid w:val="00932FE0"/>
    <w:rsid w:val="0093310A"/>
    <w:rsid w:val="00933305"/>
    <w:rsid w:val="0093347B"/>
    <w:rsid w:val="00933668"/>
    <w:rsid w:val="009336A1"/>
    <w:rsid w:val="009336EB"/>
    <w:rsid w:val="0093379D"/>
    <w:rsid w:val="009338AE"/>
    <w:rsid w:val="00933932"/>
    <w:rsid w:val="00933B50"/>
    <w:rsid w:val="00933BE4"/>
    <w:rsid w:val="00933CBF"/>
    <w:rsid w:val="00933E66"/>
    <w:rsid w:val="00933F9E"/>
    <w:rsid w:val="009341A4"/>
    <w:rsid w:val="00934243"/>
    <w:rsid w:val="009342EB"/>
    <w:rsid w:val="009343FD"/>
    <w:rsid w:val="00934633"/>
    <w:rsid w:val="0093463E"/>
    <w:rsid w:val="00934706"/>
    <w:rsid w:val="00934713"/>
    <w:rsid w:val="009348A1"/>
    <w:rsid w:val="00934A10"/>
    <w:rsid w:val="00934AFB"/>
    <w:rsid w:val="00934B9A"/>
    <w:rsid w:val="00934C29"/>
    <w:rsid w:val="00934DFB"/>
    <w:rsid w:val="009351C4"/>
    <w:rsid w:val="0093528C"/>
    <w:rsid w:val="009352AD"/>
    <w:rsid w:val="00935320"/>
    <w:rsid w:val="009354DE"/>
    <w:rsid w:val="00935886"/>
    <w:rsid w:val="009358B3"/>
    <w:rsid w:val="009358C5"/>
    <w:rsid w:val="00935929"/>
    <w:rsid w:val="00935BF8"/>
    <w:rsid w:val="00935D61"/>
    <w:rsid w:val="00935D6D"/>
    <w:rsid w:val="00935DF6"/>
    <w:rsid w:val="00935FD9"/>
    <w:rsid w:val="0093608D"/>
    <w:rsid w:val="009362E6"/>
    <w:rsid w:val="0093695E"/>
    <w:rsid w:val="009369B6"/>
    <w:rsid w:val="00936C26"/>
    <w:rsid w:val="00936CA6"/>
    <w:rsid w:val="00936F46"/>
    <w:rsid w:val="00937054"/>
    <w:rsid w:val="0093713A"/>
    <w:rsid w:val="009371B9"/>
    <w:rsid w:val="0093731B"/>
    <w:rsid w:val="00937368"/>
    <w:rsid w:val="00937496"/>
    <w:rsid w:val="009377B0"/>
    <w:rsid w:val="009378AA"/>
    <w:rsid w:val="00937962"/>
    <w:rsid w:val="00937DAB"/>
    <w:rsid w:val="00937E47"/>
    <w:rsid w:val="009401B6"/>
    <w:rsid w:val="00940207"/>
    <w:rsid w:val="009402F1"/>
    <w:rsid w:val="00940351"/>
    <w:rsid w:val="0094056B"/>
    <w:rsid w:val="009405CB"/>
    <w:rsid w:val="00940705"/>
    <w:rsid w:val="00940899"/>
    <w:rsid w:val="00940BC2"/>
    <w:rsid w:val="00940BF9"/>
    <w:rsid w:val="00940C5C"/>
    <w:rsid w:val="00940CBA"/>
    <w:rsid w:val="00940DB6"/>
    <w:rsid w:val="00940DC7"/>
    <w:rsid w:val="00940E2E"/>
    <w:rsid w:val="00941000"/>
    <w:rsid w:val="009410AF"/>
    <w:rsid w:val="0094137A"/>
    <w:rsid w:val="0094157A"/>
    <w:rsid w:val="009415DD"/>
    <w:rsid w:val="00941771"/>
    <w:rsid w:val="009418D8"/>
    <w:rsid w:val="009418E0"/>
    <w:rsid w:val="0094190A"/>
    <w:rsid w:val="00941F30"/>
    <w:rsid w:val="00941F73"/>
    <w:rsid w:val="00941FFE"/>
    <w:rsid w:val="0094201B"/>
    <w:rsid w:val="00942031"/>
    <w:rsid w:val="0094231C"/>
    <w:rsid w:val="00942594"/>
    <w:rsid w:val="009425E0"/>
    <w:rsid w:val="0094264B"/>
    <w:rsid w:val="009426BF"/>
    <w:rsid w:val="00942711"/>
    <w:rsid w:val="00942914"/>
    <w:rsid w:val="009429F8"/>
    <w:rsid w:val="00942CEC"/>
    <w:rsid w:val="00942CF2"/>
    <w:rsid w:val="00942DA3"/>
    <w:rsid w:val="00943317"/>
    <w:rsid w:val="00943420"/>
    <w:rsid w:val="009434DF"/>
    <w:rsid w:val="009435E1"/>
    <w:rsid w:val="00943AA5"/>
    <w:rsid w:val="00943B44"/>
    <w:rsid w:val="00943B5E"/>
    <w:rsid w:val="00943DBE"/>
    <w:rsid w:val="00943DCB"/>
    <w:rsid w:val="00943E92"/>
    <w:rsid w:val="00943EFB"/>
    <w:rsid w:val="00944075"/>
    <w:rsid w:val="00944130"/>
    <w:rsid w:val="00944344"/>
    <w:rsid w:val="00944570"/>
    <w:rsid w:val="00944656"/>
    <w:rsid w:val="00944688"/>
    <w:rsid w:val="009446A1"/>
    <w:rsid w:val="0094473E"/>
    <w:rsid w:val="0094499D"/>
    <w:rsid w:val="00944B83"/>
    <w:rsid w:val="00944BA6"/>
    <w:rsid w:val="00944D18"/>
    <w:rsid w:val="00944EF1"/>
    <w:rsid w:val="009452C1"/>
    <w:rsid w:val="009452D2"/>
    <w:rsid w:val="00945430"/>
    <w:rsid w:val="009454FF"/>
    <w:rsid w:val="0094587C"/>
    <w:rsid w:val="00945A3A"/>
    <w:rsid w:val="00945A6B"/>
    <w:rsid w:val="00945FC2"/>
    <w:rsid w:val="009460F8"/>
    <w:rsid w:val="00946107"/>
    <w:rsid w:val="009461D3"/>
    <w:rsid w:val="009461DA"/>
    <w:rsid w:val="00946204"/>
    <w:rsid w:val="00946324"/>
    <w:rsid w:val="00946350"/>
    <w:rsid w:val="00946B4E"/>
    <w:rsid w:val="00946CBA"/>
    <w:rsid w:val="00946D2C"/>
    <w:rsid w:val="00946DF2"/>
    <w:rsid w:val="00946F3E"/>
    <w:rsid w:val="00947000"/>
    <w:rsid w:val="00947032"/>
    <w:rsid w:val="0094714C"/>
    <w:rsid w:val="00947328"/>
    <w:rsid w:val="00947348"/>
    <w:rsid w:val="0094764B"/>
    <w:rsid w:val="009478BE"/>
    <w:rsid w:val="00947A67"/>
    <w:rsid w:val="00947C4D"/>
    <w:rsid w:val="00948462"/>
    <w:rsid w:val="0095004B"/>
    <w:rsid w:val="0095024A"/>
    <w:rsid w:val="00950359"/>
    <w:rsid w:val="00950590"/>
    <w:rsid w:val="0095066D"/>
    <w:rsid w:val="009506F5"/>
    <w:rsid w:val="009507B8"/>
    <w:rsid w:val="009508C2"/>
    <w:rsid w:val="00950965"/>
    <w:rsid w:val="00950A7B"/>
    <w:rsid w:val="00950AEC"/>
    <w:rsid w:val="00950BD9"/>
    <w:rsid w:val="00950D92"/>
    <w:rsid w:val="00951282"/>
    <w:rsid w:val="00951298"/>
    <w:rsid w:val="00951300"/>
    <w:rsid w:val="00951396"/>
    <w:rsid w:val="009513B3"/>
    <w:rsid w:val="00951432"/>
    <w:rsid w:val="0095155E"/>
    <w:rsid w:val="0095156F"/>
    <w:rsid w:val="0095173C"/>
    <w:rsid w:val="00951A89"/>
    <w:rsid w:val="00951AA0"/>
    <w:rsid w:val="00951AED"/>
    <w:rsid w:val="00951CD7"/>
    <w:rsid w:val="00951DCE"/>
    <w:rsid w:val="0095237A"/>
    <w:rsid w:val="009523EC"/>
    <w:rsid w:val="00952500"/>
    <w:rsid w:val="00952849"/>
    <w:rsid w:val="009528EF"/>
    <w:rsid w:val="00952BD2"/>
    <w:rsid w:val="00952D13"/>
    <w:rsid w:val="00952D72"/>
    <w:rsid w:val="00952EC7"/>
    <w:rsid w:val="00952ED8"/>
    <w:rsid w:val="00952F4B"/>
    <w:rsid w:val="00952FA2"/>
    <w:rsid w:val="009531BC"/>
    <w:rsid w:val="00953283"/>
    <w:rsid w:val="0095329B"/>
    <w:rsid w:val="009533AC"/>
    <w:rsid w:val="00953645"/>
    <w:rsid w:val="00953820"/>
    <w:rsid w:val="00953B06"/>
    <w:rsid w:val="00953B6F"/>
    <w:rsid w:val="00953C28"/>
    <w:rsid w:val="00953CAC"/>
    <w:rsid w:val="00953D06"/>
    <w:rsid w:val="00953D36"/>
    <w:rsid w:val="00953DB3"/>
    <w:rsid w:val="00954063"/>
    <w:rsid w:val="00954183"/>
    <w:rsid w:val="009541F2"/>
    <w:rsid w:val="00954297"/>
    <w:rsid w:val="00954484"/>
    <w:rsid w:val="00954658"/>
    <w:rsid w:val="00954660"/>
    <w:rsid w:val="009546B2"/>
    <w:rsid w:val="00954B8B"/>
    <w:rsid w:val="00954D52"/>
    <w:rsid w:val="00954FBC"/>
    <w:rsid w:val="009553DF"/>
    <w:rsid w:val="0095544B"/>
    <w:rsid w:val="009554AC"/>
    <w:rsid w:val="009556CB"/>
    <w:rsid w:val="00955704"/>
    <w:rsid w:val="009557D5"/>
    <w:rsid w:val="00955A76"/>
    <w:rsid w:val="00955AFE"/>
    <w:rsid w:val="00955B7B"/>
    <w:rsid w:val="00955B93"/>
    <w:rsid w:val="00955C56"/>
    <w:rsid w:val="00955C89"/>
    <w:rsid w:val="00955D35"/>
    <w:rsid w:val="00955EDA"/>
    <w:rsid w:val="00955FC5"/>
    <w:rsid w:val="00956069"/>
    <w:rsid w:val="009568AC"/>
    <w:rsid w:val="0095696C"/>
    <w:rsid w:val="00956A5B"/>
    <w:rsid w:val="00956C01"/>
    <w:rsid w:val="00956C51"/>
    <w:rsid w:val="00956CA9"/>
    <w:rsid w:val="00957714"/>
    <w:rsid w:val="00957794"/>
    <w:rsid w:val="00957950"/>
    <w:rsid w:val="00957A07"/>
    <w:rsid w:val="00957ACD"/>
    <w:rsid w:val="00957DA8"/>
    <w:rsid w:val="00957FE7"/>
    <w:rsid w:val="0096006A"/>
    <w:rsid w:val="0096017B"/>
    <w:rsid w:val="00960447"/>
    <w:rsid w:val="009604EE"/>
    <w:rsid w:val="009606DC"/>
    <w:rsid w:val="009608BA"/>
    <w:rsid w:val="00960927"/>
    <w:rsid w:val="009609BC"/>
    <w:rsid w:val="009609E6"/>
    <w:rsid w:val="00960B03"/>
    <w:rsid w:val="00960C2C"/>
    <w:rsid w:val="00960C3A"/>
    <w:rsid w:val="00960D97"/>
    <w:rsid w:val="00960F23"/>
    <w:rsid w:val="00961114"/>
    <w:rsid w:val="0096111B"/>
    <w:rsid w:val="00961178"/>
    <w:rsid w:val="00961200"/>
    <w:rsid w:val="0096128D"/>
    <w:rsid w:val="00961345"/>
    <w:rsid w:val="00961400"/>
    <w:rsid w:val="00961467"/>
    <w:rsid w:val="0096155A"/>
    <w:rsid w:val="0096188E"/>
    <w:rsid w:val="00961A03"/>
    <w:rsid w:val="00961C8A"/>
    <w:rsid w:val="00961C8B"/>
    <w:rsid w:val="00961CD6"/>
    <w:rsid w:val="00961E16"/>
    <w:rsid w:val="00961E74"/>
    <w:rsid w:val="009621C8"/>
    <w:rsid w:val="00962206"/>
    <w:rsid w:val="0096225B"/>
    <w:rsid w:val="00962302"/>
    <w:rsid w:val="00962339"/>
    <w:rsid w:val="0096240D"/>
    <w:rsid w:val="00962434"/>
    <w:rsid w:val="0096247C"/>
    <w:rsid w:val="009624B6"/>
    <w:rsid w:val="00962880"/>
    <w:rsid w:val="00962897"/>
    <w:rsid w:val="009628A8"/>
    <w:rsid w:val="0096297C"/>
    <w:rsid w:val="009629D0"/>
    <w:rsid w:val="00962A3A"/>
    <w:rsid w:val="00962A5E"/>
    <w:rsid w:val="00962EE0"/>
    <w:rsid w:val="00962EEF"/>
    <w:rsid w:val="009630C7"/>
    <w:rsid w:val="00963250"/>
    <w:rsid w:val="00963297"/>
    <w:rsid w:val="00963970"/>
    <w:rsid w:val="00963B18"/>
    <w:rsid w:val="00963CA0"/>
    <w:rsid w:val="009640EA"/>
    <w:rsid w:val="00964155"/>
    <w:rsid w:val="00964184"/>
    <w:rsid w:val="00964202"/>
    <w:rsid w:val="009643B5"/>
    <w:rsid w:val="00964424"/>
    <w:rsid w:val="0096472F"/>
    <w:rsid w:val="00964766"/>
    <w:rsid w:val="009647B1"/>
    <w:rsid w:val="009647D0"/>
    <w:rsid w:val="009647E2"/>
    <w:rsid w:val="009648D4"/>
    <w:rsid w:val="00964AD3"/>
    <w:rsid w:val="00964B08"/>
    <w:rsid w:val="00964B0D"/>
    <w:rsid w:val="00964B4A"/>
    <w:rsid w:val="00964E12"/>
    <w:rsid w:val="00964F73"/>
    <w:rsid w:val="0096507E"/>
    <w:rsid w:val="00965086"/>
    <w:rsid w:val="009650AB"/>
    <w:rsid w:val="0096537C"/>
    <w:rsid w:val="00965434"/>
    <w:rsid w:val="009654BD"/>
    <w:rsid w:val="009656A2"/>
    <w:rsid w:val="00965A34"/>
    <w:rsid w:val="00965B72"/>
    <w:rsid w:val="00965B88"/>
    <w:rsid w:val="00965EC1"/>
    <w:rsid w:val="00965EF5"/>
    <w:rsid w:val="00965F28"/>
    <w:rsid w:val="0096606C"/>
    <w:rsid w:val="00966254"/>
    <w:rsid w:val="00966426"/>
    <w:rsid w:val="00966488"/>
    <w:rsid w:val="009665F9"/>
    <w:rsid w:val="0096675C"/>
    <w:rsid w:val="00966804"/>
    <w:rsid w:val="00966932"/>
    <w:rsid w:val="009669D6"/>
    <w:rsid w:val="00966A8C"/>
    <w:rsid w:val="00966D54"/>
    <w:rsid w:val="00966E0C"/>
    <w:rsid w:val="00966E98"/>
    <w:rsid w:val="00966FBE"/>
    <w:rsid w:val="0096711A"/>
    <w:rsid w:val="00967122"/>
    <w:rsid w:val="0096723B"/>
    <w:rsid w:val="0096735D"/>
    <w:rsid w:val="0096741A"/>
    <w:rsid w:val="009675AA"/>
    <w:rsid w:val="0096785A"/>
    <w:rsid w:val="009678F8"/>
    <w:rsid w:val="00967A86"/>
    <w:rsid w:val="00967B3F"/>
    <w:rsid w:val="00967B91"/>
    <w:rsid w:val="00967BFC"/>
    <w:rsid w:val="00967DE0"/>
    <w:rsid w:val="00967E01"/>
    <w:rsid w:val="00967E4C"/>
    <w:rsid w:val="00967E4F"/>
    <w:rsid w:val="00967FD6"/>
    <w:rsid w:val="009700CF"/>
    <w:rsid w:val="009701E9"/>
    <w:rsid w:val="00970256"/>
    <w:rsid w:val="009702E2"/>
    <w:rsid w:val="00970430"/>
    <w:rsid w:val="0097046D"/>
    <w:rsid w:val="009705F9"/>
    <w:rsid w:val="0097067D"/>
    <w:rsid w:val="00970A79"/>
    <w:rsid w:val="00970C12"/>
    <w:rsid w:val="00970C85"/>
    <w:rsid w:val="00970CF1"/>
    <w:rsid w:val="00970E8A"/>
    <w:rsid w:val="009710B9"/>
    <w:rsid w:val="0097118A"/>
    <w:rsid w:val="009712E4"/>
    <w:rsid w:val="009712EB"/>
    <w:rsid w:val="00971328"/>
    <w:rsid w:val="009713F5"/>
    <w:rsid w:val="0097156C"/>
    <w:rsid w:val="009715D9"/>
    <w:rsid w:val="009719CD"/>
    <w:rsid w:val="00971A7B"/>
    <w:rsid w:val="00971C80"/>
    <w:rsid w:val="00971EC6"/>
    <w:rsid w:val="00971F1A"/>
    <w:rsid w:val="009722CB"/>
    <w:rsid w:val="0097250D"/>
    <w:rsid w:val="00972875"/>
    <w:rsid w:val="009728C3"/>
    <w:rsid w:val="00972999"/>
    <w:rsid w:val="00972B37"/>
    <w:rsid w:val="00972B62"/>
    <w:rsid w:val="00972C29"/>
    <w:rsid w:val="00972DA0"/>
    <w:rsid w:val="00973188"/>
    <w:rsid w:val="009733D7"/>
    <w:rsid w:val="00973480"/>
    <w:rsid w:val="009734CE"/>
    <w:rsid w:val="00973676"/>
    <w:rsid w:val="009737D2"/>
    <w:rsid w:val="009737ED"/>
    <w:rsid w:val="009739C0"/>
    <w:rsid w:val="009739EB"/>
    <w:rsid w:val="00973B04"/>
    <w:rsid w:val="009740F3"/>
    <w:rsid w:val="00974153"/>
    <w:rsid w:val="00974183"/>
    <w:rsid w:val="00974289"/>
    <w:rsid w:val="0097433A"/>
    <w:rsid w:val="009743F1"/>
    <w:rsid w:val="009746AF"/>
    <w:rsid w:val="00974845"/>
    <w:rsid w:val="009749B0"/>
    <w:rsid w:val="00974B58"/>
    <w:rsid w:val="00974B84"/>
    <w:rsid w:val="00974BB5"/>
    <w:rsid w:val="00974E76"/>
    <w:rsid w:val="00974F34"/>
    <w:rsid w:val="00974FC5"/>
    <w:rsid w:val="00974FEA"/>
    <w:rsid w:val="00975015"/>
    <w:rsid w:val="009756C7"/>
    <w:rsid w:val="00975723"/>
    <w:rsid w:val="00975844"/>
    <w:rsid w:val="00975964"/>
    <w:rsid w:val="00975ABF"/>
    <w:rsid w:val="00975C8F"/>
    <w:rsid w:val="009761B2"/>
    <w:rsid w:val="0097623C"/>
    <w:rsid w:val="00976437"/>
    <w:rsid w:val="00976593"/>
    <w:rsid w:val="009765B6"/>
    <w:rsid w:val="00976619"/>
    <w:rsid w:val="009766B5"/>
    <w:rsid w:val="00976961"/>
    <w:rsid w:val="00976AA5"/>
    <w:rsid w:val="00976B2B"/>
    <w:rsid w:val="00976C64"/>
    <w:rsid w:val="00976CD7"/>
    <w:rsid w:val="00976D4B"/>
    <w:rsid w:val="00976E8E"/>
    <w:rsid w:val="0097716B"/>
    <w:rsid w:val="0097718D"/>
    <w:rsid w:val="0097720F"/>
    <w:rsid w:val="00977349"/>
    <w:rsid w:val="0097737C"/>
    <w:rsid w:val="00977384"/>
    <w:rsid w:val="00977396"/>
    <w:rsid w:val="00977512"/>
    <w:rsid w:val="00977780"/>
    <w:rsid w:val="00977955"/>
    <w:rsid w:val="0097799D"/>
    <w:rsid w:val="009779BB"/>
    <w:rsid w:val="00977BF0"/>
    <w:rsid w:val="00977D05"/>
    <w:rsid w:val="00977D7D"/>
    <w:rsid w:val="00978921"/>
    <w:rsid w:val="009801D9"/>
    <w:rsid w:val="00980307"/>
    <w:rsid w:val="0098032F"/>
    <w:rsid w:val="00980764"/>
    <w:rsid w:val="00980ABE"/>
    <w:rsid w:val="00980B07"/>
    <w:rsid w:val="00980B68"/>
    <w:rsid w:val="00980BCA"/>
    <w:rsid w:val="00980CBC"/>
    <w:rsid w:val="00980EBD"/>
    <w:rsid w:val="0098132E"/>
    <w:rsid w:val="009813A6"/>
    <w:rsid w:val="009814F3"/>
    <w:rsid w:val="00981689"/>
    <w:rsid w:val="009816A5"/>
    <w:rsid w:val="009816F1"/>
    <w:rsid w:val="0098187D"/>
    <w:rsid w:val="00981A53"/>
    <w:rsid w:val="00981A93"/>
    <w:rsid w:val="00981AE1"/>
    <w:rsid w:val="00981D6C"/>
    <w:rsid w:val="00981FBC"/>
    <w:rsid w:val="009821FD"/>
    <w:rsid w:val="00982370"/>
    <w:rsid w:val="009825A2"/>
    <w:rsid w:val="009825AB"/>
    <w:rsid w:val="009825CD"/>
    <w:rsid w:val="00982696"/>
    <w:rsid w:val="00982746"/>
    <w:rsid w:val="0098286F"/>
    <w:rsid w:val="009828B8"/>
    <w:rsid w:val="00982921"/>
    <w:rsid w:val="0098294D"/>
    <w:rsid w:val="00982B42"/>
    <w:rsid w:val="00982D49"/>
    <w:rsid w:val="00982E55"/>
    <w:rsid w:val="00982F22"/>
    <w:rsid w:val="00983053"/>
    <w:rsid w:val="00983196"/>
    <w:rsid w:val="00983384"/>
    <w:rsid w:val="009833E7"/>
    <w:rsid w:val="00983439"/>
    <w:rsid w:val="00983751"/>
    <w:rsid w:val="009837BE"/>
    <w:rsid w:val="009837F9"/>
    <w:rsid w:val="00983886"/>
    <w:rsid w:val="0098395F"/>
    <w:rsid w:val="00983A5E"/>
    <w:rsid w:val="00983A9E"/>
    <w:rsid w:val="00983AFE"/>
    <w:rsid w:val="00983B55"/>
    <w:rsid w:val="00983DDB"/>
    <w:rsid w:val="00983E70"/>
    <w:rsid w:val="00983ED9"/>
    <w:rsid w:val="00983F89"/>
    <w:rsid w:val="00984044"/>
    <w:rsid w:val="009843AA"/>
    <w:rsid w:val="009844A0"/>
    <w:rsid w:val="009845A8"/>
    <w:rsid w:val="00984BBC"/>
    <w:rsid w:val="00984C65"/>
    <w:rsid w:val="00984E93"/>
    <w:rsid w:val="00984EF7"/>
    <w:rsid w:val="00984FAD"/>
    <w:rsid w:val="009851F7"/>
    <w:rsid w:val="0098521A"/>
    <w:rsid w:val="00985257"/>
    <w:rsid w:val="00985576"/>
    <w:rsid w:val="0098560F"/>
    <w:rsid w:val="009856D1"/>
    <w:rsid w:val="00985772"/>
    <w:rsid w:val="00985826"/>
    <w:rsid w:val="00985D4B"/>
    <w:rsid w:val="00985D63"/>
    <w:rsid w:val="00985D97"/>
    <w:rsid w:val="00985FF5"/>
    <w:rsid w:val="00986093"/>
    <w:rsid w:val="009860F3"/>
    <w:rsid w:val="00986282"/>
    <w:rsid w:val="00986329"/>
    <w:rsid w:val="0098663E"/>
    <w:rsid w:val="00986654"/>
    <w:rsid w:val="0098682D"/>
    <w:rsid w:val="00986851"/>
    <w:rsid w:val="0098685E"/>
    <w:rsid w:val="00986966"/>
    <w:rsid w:val="00986AD9"/>
    <w:rsid w:val="00986B20"/>
    <w:rsid w:val="00986B74"/>
    <w:rsid w:val="00986EFF"/>
    <w:rsid w:val="00986F84"/>
    <w:rsid w:val="009871AC"/>
    <w:rsid w:val="009872F5"/>
    <w:rsid w:val="009873CD"/>
    <w:rsid w:val="009876A6"/>
    <w:rsid w:val="009877DE"/>
    <w:rsid w:val="009879C3"/>
    <w:rsid w:val="00987CB0"/>
    <w:rsid w:val="00987EAB"/>
    <w:rsid w:val="009900CE"/>
    <w:rsid w:val="00990177"/>
    <w:rsid w:val="009904C7"/>
    <w:rsid w:val="009904D3"/>
    <w:rsid w:val="00990588"/>
    <w:rsid w:val="009905D8"/>
    <w:rsid w:val="009906DB"/>
    <w:rsid w:val="009907DD"/>
    <w:rsid w:val="00990998"/>
    <w:rsid w:val="00990A5C"/>
    <w:rsid w:val="00990B49"/>
    <w:rsid w:val="00991349"/>
    <w:rsid w:val="009915BF"/>
    <w:rsid w:val="00991747"/>
    <w:rsid w:val="009917B9"/>
    <w:rsid w:val="009918C2"/>
    <w:rsid w:val="00991918"/>
    <w:rsid w:val="00991D69"/>
    <w:rsid w:val="00991DBB"/>
    <w:rsid w:val="00991E9C"/>
    <w:rsid w:val="00992064"/>
    <w:rsid w:val="00992101"/>
    <w:rsid w:val="00992231"/>
    <w:rsid w:val="00992239"/>
    <w:rsid w:val="00992240"/>
    <w:rsid w:val="00992397"/>
    <w:rsid w:val="009926B7"/>
    <w:rsid w:val="009927A2"/>
    <w:rsid w:val="00992F0F"/>
    <w:rsid w:val="00992F85"/>
    <w:rsid w:val="00992F8B"/>
    <w:rsid w:val="0099317B"/>
    <w:rsid w:val="0099326E"/>
    <w:rsid w:val="009933E9"/>
    <w:rsid w:val="00993519"/>
    <w:rsid w:val="0099399E"/>
    <w:rsid w:val="00993BA3"/>
    <w:rsid w:val="00993C08"/>
    <w:rsid w:val="00994114"/>
    <w:rsid w:val="00994217"/>
    <w:rsid w:val="009942E8"/>
    <w:rsid w:val="0099474B"/>
    <w:rsid w:val="009948C7"/>
    <w:rsid w:val="00994A09"/>
    <w:rsid w:val="00994AA0"/>
    <w:rsid w:val="00994C6E"/>
    <w:rsid w:val="009950A0"/>
    <w:rsid w:val="00995334"/>
    <w:rsid w:val="0099549B"/>
    <w:rsid w:val="009955A8"/>
    <w:rsid w:val="00995864"/>
    <w:rsid w:val="00995A74"/>
    <w:rsid w:val="00995B97"/>
    <w:rsid w:val="00995C12"/>
    <w:rsid w:val="009960EC"/>
    <w:rsid w:val="00996125"/>
    <w:rsid w:val="00996391"/>
    <w:rsid w:val="009964CA"/>
    <w:rsid w:val="009966AA"/>
    <w:rsid w:val="009966F0"/>
    <w:rsid w:val="00996A4D"/>
    <w:rsid w:val="00996BF5"/>
    <w:rsid w:val="00996C25"/>
    <w:rsid w:val="00996CA2"/>
    <w:rsid w:val="00996CEB"/>
    <w:rsid w:val="00996D72"/>
    <w:rsid w:val="00996D9D"/>
    <w:rsid w:val="009972C1"/>
    <w:rsid w:val="0099743F"/>
    <w:rsid w:val="0099749E"/>
    <w:rsid w:val="0099767C"/>
    <w:rsid w:val="0099778A"/>
    <w:rsid w:val="009977B6"/>
    <w:rsid w:val="00997898"/>
    <w:rsid w:val="00997B8C"/>
    <w:rsid w:val="00997C04"/>
    <w:rsid w:val="00997E42"/>
    <w:rsid w:val="0099F4F9"/>
    <w:rsid w:val="009A0304"/>
    <w:rsid w:val="009A0370"/>
    <w:rsid w:val="009A05EA"/>
    <w:rsid w:val="009A0799"/>
    <w:rsid w:val="009A07F1"/>
    <w:rsid w:val="009A0CC3"/>
    <w:rsid w:val="009A0E12"/>
    <w:rsid w:val="009A0EF8"/>
    <w:rsid w:val="009A0FCD"/>
    <w:rsid w:val="009A120E"/>
    <w:rsid w:val="009A132A"/>
    <w:rsid w:val="009A143A"/>
    <w:rsid w:val="009A1598"/>
    <w:rsid w:val="009A16A3"/>
    <w:rsid w:val="009A16BC"/>
    <w:rsid w:val="009A16E9"/>
    <w:rsid w:val="009A186C"/>
    <w:rsid w:val="009A1A6C"/>
    <w:rsid w:val="009A1A7F"/>
    <w:rsid w:val="009A1BC5"/>
    <w:rsid w:val="009A1E7A"/>
    <w:rsid w:val="009A1F1A"/>
    <w:rsid w:val="009A24A5"/>
    <w:rsid w:val="009A2860"/>
    <w:rsid w:val="009A2E35"/>
    <w:rsid w:val="009A30C4"/>
    <w:rsid w:val="009A310D"/>
    <w:rsid w:val="009A31AA"/>
    <w:rsid w:val="009A325B"/>
    <w:rsid w:val="009A32B6"/>
    <w:rsid w:val="009A3343"/>
    <w:rsid w:val="009A33AB"/>
    <w:rsid w:val="009A3467"/>
    <w:rsid w:val="009A34F7"/>
    <w:rsid w:val="009A3848"/>
    <w:rsid w:val="009A3A8C"/>
    <w:rsid w:val="009A3ACE"/>
    <w:rsid w:val="009A3CA9"/>
    <w:rsid w:val="009A3CAA"/>
    <w:rsid w:val="009A3D22"/>
    <w:rsid w:val="009A3ECB"/>
    <w:rsid w:val="009A3F63"/>
    <w:rsid w:val="009A41A1"/>
    <w:rsid w:val="009A422E"/>
    <w:rsid w:val="009A4636"/>
    <w:rsid w:val="009A4DAD"/>
    <w:rsid w:val="009A4EA7"/>
    <w:rsid w:val="009A4F0A"/>
    <w:rsid w:val="009A4F40"/>
    <w:rsid w:val="009A4F8F"/>
    <w:rsid w:val="009A4F9A"/>
    <w:rsid w:val="009A54EA"/>
    <w:rsid w:val="009A5694"/>
    <w:rsid w:val="009A5776"/>
    <w:rsid w:val="009A579C"/>
    <w:rsid w:val="009A57AA"/>
    <w:rsid w:val="009A5F94"/>
    <w:rsid w:val="009A62A8"/>
    <w:rsid w:val="009A62C1"/>
    <w:rsid w:val="009A6357"/>
    <w:rsid w:val="009A63BF"/>
    <w:rsid w:val="009A6423"/>
    <w:rsid w:val="009A6446"/>
    <w:rsid w:val="009A6494"/>
    <w:rsid w:val="009A649D"/>
    <w:rsid w:val="009A64ED"/>
    <w:rsid w:val="009A6527"/>
    <w:rsid w:val="009A653F"/>
    <w:rsid w:val="009A66EC"/>
    <w:rsid w:val="009A6730"/>
    <w:rsid w:val="009A67BF"/>
    <w:rsid w:val="009A68F5"/>
    <w:rsid w:val="009A6AD7"/>
    <w:rsid w:val="009A6AFA"/>
    <w:rsid w:val="009A6CF1"/>
    <w:rsid w:val="009A6FA5"/>
    <w:rsid w:val="009A6FE7"/>
    <w:rsid w:val="009A70BB"/>
    <w:rsid w:val="009A71C5"/>
    <w:rsid w:val="009A71FE"/>
    <w:rsid w:val="009A74B3"/>
    <w:rsid w:val="009A74ED"/>
    <w:rsid w:val="009A7575"/>
    <w:rsid w:val="009A75B0"/>
    <w:rsid w:val="009A75F8"/>
    <w:rsid w:val="009A7723"/>
    <w:rsid w:val="009A7731"/>
    <w:rsid w:val="009A7977"/>
    <w:rsid w:val="009A7A69"/>
    <w:rsid w:val="009A7DE0"/>
    <w:rsid w:val="009A7F46"/>
    <w:rsid w:val="009A7F4C"/>
    <w:rsid w:val="009AC707"/>
    <w:rsid w:val="009B02E0"/>
    <w:rsid w:val="009B0333"/>
    <w:rsid w:val="009B0550"/>
    <w:rsid w:val="009B057F"/>
    <w:rsid w:val="009B0C5B"/>
    <w:rsid w:val="009B0E1C"/>
    <w:rsid w:val="009B0F27"/>
    <w:rsid w:val="009B0FE9"/>
    <w:rsid w:val="009B10E4"/>
    <w:rsid w:val="009B1170"/>
    <w:rsid w:val="009B11B5"/>
    <w:rsid w:val="009B11F6"/>
    <w:rsid w:val="009B1273"/>
    <w:rsid w:val="009B14A7"/>
    <w:rsid w:val="009B16D0"/>
    <w:rsid w:val="009B175C"/>
    <w:rsid w:val="009B1828"/>
    <w:rsid w:val="009B19CD"/>
    <w:rsid w:val="009B1B29"/>
    <w:rsid w:val="009B210B"/>
    <w:rsid w:val="009B2238"/>
    <w:rsid w:val="009B22D2"/>
    <w:rsid w:val="009B2346"/>
    <w:rsid w:val="009B2451"/>
    <w:rsid w:val="009B2A81"/>
    <w:rsid w:val="009B2A9D"/>
    <w:rsid w:val="009B2B4F"/>
    <w:rsid w:val="009B2CFE"/>
    <w:rsid w:val="009B3190"/>
    <w:rsid w:val="009B33A6"/>
    <w:rsid w:val="009B363C"/>
    <w:rsid w:val="009B371E"/>
    <w:rsid w:val="009B3777"/>
    <w:rsid w:val="009B387B"/>
    <w:rsid w:val="009B3954"/>
    <w:rsid w:val="009B3B89"/>
    <w:rsid w:val="009B3BDB"/>
    <w:rsid w:val="009B3C94"/>
    <w:rsid w:val="009B3D4C"/>
    <w:rsid w:val="009B407D"/>
    <w:rsid w:val="009B41D0"/>
    <w:rsid w:val="009B4230"/>
    <w:rsid w:val="009B445B"/>
    <w:rsid w:val="009B4528"/>
    <w:rsid w:val="009B46B8"/>
    <w:rsid w:val="009B46BE"/>
    <w:rsid w:val="009B477C"/>
    <w:rsid w:val="009B4790"/>
    <w:rsid w:val="009B480F"/>
    <w:rsid w:val="009B4840"/>
    <w:rsid w:val="009B48B7"/>
    <w:rsid w:val="009B4D9B"/>
    <w:rsid w:val="009B4DE6"/>
    <w:rsid w:val="009B50E4"/>
    <w:rsid w:val="009B51E1"/>
    <w:rsid w:val="009B53AE"/>
    <w:rsid w:val="009B5426"/>
    <w:rsid w:val="009B55D9"/>
    <w:rsid w:val="009B5657"/>
    <w:rsid w:val="009B5686"/>
    <w:rsid w:val="009B57C3"/>
    <w:rsid w:val="009B5922"/>
    <w:rsid w:val="009B5A8F"/>
    <w:rsid w:val="009B5AE2"/>
    <w:rsid w:val="009B5BB6"/>
    <w:rsid w:val="009B5C36"/>
    <w:rsid w:val="009B5C80"/>
    <w:rsid w:val="009B5EAC"/>
    <w:rsid w:val="009B5FA5"/>
    <w:rsid w:val="009B6006"/>
    <w:rsid w:val="009B6056"/>
    <w:rsid w:val="009B64E1"/>
    <w:rsid w:val="009B64EE"/>
    <w:rsid w:val="009B66CE"/>
    <w:rsid w:val="009B66ED"/>
    <w:rsid w:val="009B6704"/>
    <w:rsid w:val="009B6797"/>
    <w:rsid w:val="009B689C"/>
    <w:rsid w:val="009B6EF1"/>
    <w:rsid w:val="009B7060"/>
    <w:rsid w:val="009B70E2"/>
    <w:rsid w:val="009B71D6"/>
    <w:rsid w:val="009B7255"/>
    <w:rsid w:val="009B729F"/>
    <w:rsid w:val="009B72DE"/>
    <w:rsid w:val="009B7356"/>
    <w:rsid w:val="009B74D6"/>
    <w:rsid w:val="009B7785"/>
    <w:rsid w:val="009B779B"/>
    <w:rsid w:val="009B7859"/>
    <w:rsid w:val="009B7AEF"/>
    <w:rsid w:val="009B7CC7"/>
    <w:rsid w:val="009B7CFB"/>
    <w:rsid w:val="009C0244"/>
    <w:rsid w:val="009C0317"/>
    <w:rsid w:val="009C03EA"/>
    <w:rsid w:val="009C0557"/>
    <w:rsid w:val="009C0592"/>
    <w:rsid w:val="009C062F"/>
    <w:rsid w:val="009C066E"/>
    <w:rsid w:val="009C07D7"/>
    <w:rsid w:val="009C092C"/>
    <w:rsid w:val="009C094A"/>
    <w:rsid w:val="009C09B0"/>
    <w:rsid w:val="009C0A15"/>
    <w:rsid w:val="009C0A8C"/>
    <w:rsid w:val="009C0B77"/>
    <w:rsid w:val="009C0BEA"/>
    <w:rsid w:val="009C0CE0"/>
    <w:rsid w:val="009C0D2C"/>
    <w:rsid w:val="009C1041"/>
    <w:rsid w:val="009C1164"/>
    <w:rsid w:val="009C11AF"/>
    <w:rsid w:val="009C11B7"/>
    <w:rsid w:val="009C13F6"/>
    <w:rsid w:val="009C1403"/>
    <w:rsid w:val="009C1569"/>
    <w:rsid w:val="009C15A5"/>
    <w:rsid w:val="009C1940"/>
    <w:rsid w:val="009C1B54"/>
    <w:rsid w:val="009C1E94"/>
    <w:rsid w:val="009C1FE7"/>
    <w:rsid w:val="009C210E"/>
    <w:rsid w:val="009C233C"/>
    <w:rsid w:val="009C2354"/>
    <w:rsid w:val="009C24D6"/>
    <w:rsid w:val="009C25FD"/>
    <w:rsid w:val="009C266C"/>
    <w:rsid w:val="009C289A"/>
    <w:rsid w:val="009C2976"/>
    <w:rsid w:val="009C2AE7"/>
    <w:rsid w:val="009C2DCD"/>
    <w:rsid w:val="009C2EF2"/>
    <w:rsid w:val="009C3133"/>
    <w:rsid w:val="009C31BA"/>
    <w:rsid w:val="009C31F4"/>
    <w:rsid w:val="009C32B0"/>
    <w:rsid w:val="009C337F"/>
    <w:rsid w:val="009C351C"/>
    <w:rsid w:val="009C35A9"/>
    <w:rsid w:val="009C36DA"/>
    <w:rsid w:val="009C3A14"/>
    <w:rsid w:val="009C3A3C"/>
    <w:rsid w:val="009C3B47"/>
    <w:rsid w:val="009C4019"/>
    <w:rsid w:val="009C415E"/>
    <w:rsid w:val="009C4210"/>
    <w:rsid w:val="009C459C"/>
    <w:rsid w:val="009C45C2"/>
    <w:rsid w:val="009C471A"/>
    <w:rsid w:val="009C49E6"/>
    <w:rsid w:val="009C4A0A"/>
    <w:rsid w:val="009C4B08"/>
    <w:rsid w:val="009C4BC2"/>
    <w:rsid w:val="009C4BFD"/>
    <w:rsid w:val="009C4F25"/>
    <w:rsid w:val="009C5192"/>
    <w:rsid w:val="009C54A0"/>
    <w:rsid w:val="009C56E5"/>
    <w:rsid w:val="009C5875"/>
    <w:rsid w:val="009C5E34"/>
    <w:rsid w:val="009C5EF9"/>
    <w:rsid w:val="009C5FE6"/>
    <w:rsid w:val="009C617F"/>
    <w:rsid w:val="009C6269"/>
    <w:rsid w:val="009C62D3"/>
    <w:rsid w:val="009C6A14"/>
    <w:rsid w:val="009C6F21"/>
    <w:rsid w:val="009C73F1"/>
    <w:rsid w:val="009C7534"/>
    <w:rsid w:val="009C76BE"/>
    <w:rsid w:val="009C78B9"/>
    <w:rsid w:val="009C79CD"/>
    <w:rsid w:val="009C7A50"/>
    <w:rsid w:val="009C7AF1"/>
    <w:rsid w:val="009D01AE"/>
    <w:rsid w:val="009D03F1"/>
    <w:rsid w:val="009D0825"/>
    <w:rsid w:val="009D083E"/>
    <w:rsid w:val="009D093E"/>
    <w:rsid w:val="009D0A46"/>
    <w:rsid w:val="009D0E86"/>
    <w:rsid w:val="009D0F16"/>
    <w:rsid w:val="009D0F49"/>
    <w:rsid w:val="009D1107"/>
    <w:rsid w:val="009D17D6"/>
    <w:rsid w:val="009D1A40"/>
    <w:rsid w:val="009D1AF8"/>
    <w:rsid w:val="009D1B27"/>
    <w:rsid w:val="009D1B2C"/>
    <w:rsid w:val="009D1B7E"/>
    <w:rsid w:val="009D1B88"/>
    <w:rsid w:val="009D1BD3"/>
    <w:rsid w:val="009D1CA5"/>
    <w:rsid w:val="009D2013"/>
    <w:rsid w:val="009D20E6"/>
    <w:rsid w:val="009D215A"/>
    <w:rsid w:val="009D21B4"/>
    <w:rsid w:val="009D21E3"/>
    <w:rsid w:val="009D220F"/>
    <w:rsid w:val="009D25F0"/>
    <w:rsid w:val="009D28AE"/>
    <w:rsid w:val="009D28CA"/>
    <w:rsid w:val="009D2F27"/>
    <w:rsid w:val="009D30FA"/>
    <w:rsid w:val="009D3280"/>
    <w:rsid w:val="009D32C8"/>
    <w:rsid w:val="009D3428"/>
    <w:rsid w:val="009D3454"/>
    <w:rsid w:val="009D3A3E"/>
    <w:rsid w:val="009D3A61"/>
    <w:rsid w:val="009D3CA9"/>
    <w:rsid w:val="009D43BB"/>
    <w:rsid w:val="009D4731"/>
    <w:rsid w:val="009D482F"/>
    <w:rsid w:val="009D48BC"/>
    <w:rsid w:val="009D496F"/>
    <w:rsid w:val="009D4A50"/>
    <w:rsid w:val="009D4D14"/>
    <w:rsid w:val="009D4D8C"/>
    <w:rsid w:val="009D4E56"/>
    <w:rsid w:val="009D4E67"/>
    <w:rsid w:val="009D4F8E"/>
    <w:rsid w:val="009D5012"/>
    <w:rsid w:val="009D5143"/>
    <w:rsid w:val="009D53A8"/>
    <w:rsid w:val="009D56B4"/>
    <w:rsid w:val="009D596C"/>
    <w:rsid w:val="009D5A0F"/>
    <w:rsid w:val="009D5A22"/>
    <w:rsid w:val="009D5A63"/>
    <w:rsid w:val="009D5A7A"/>
    <w:rsid w:val="009D5E4F"/>
    <w:rsid w:val="009D629E"/>
    <w:rsid w:val="009D6389"/>
    <w:rsid w:val="009D65F4"/>
    <w:rsid w:val="009D66E0"/>
    <w:rsid w:val="009D6794"/>
    <w:rsid w:val="009D67C2"/>
    <w:rsid w:val="009D6A93"/>
    <w:rsid w:val="009D6B11"/>
    <w:rsid w:val="009D6B8B"/>
    <w:rsid w:val="009D6C2E"/>
    <w:rsid w:val="009D6C77"/>
    <w:rsid w:val="009D6CF0"/>
    <w:rsid w:val="009D7171"/>
    <w:rsid w:val="009D71AB"/>
    <w:rsid w:val="009D71DA"/>
    <w:rsid w:val="009D739B"/>
    <w:rsid w:val="009D7650"/>
    <w:rsid w:val="009D76B0"/>
    <w:rsid w:val="009D77F0"/>
    <w:rsid w:val="009D7814"/>
    <w:rsid w:val="009D7815"/>
    <w:rsid w:val="009D7A60"/>
    <w:rsid w:val="009D7AF8"/>
    <w:rsid w:val="009D7C23"/>
    <w:rsid w:val="009D7C98"/>
    <w:rsid w:val="009D7DC0"/>
    <w:rsid w:val="009D7ED5"/>
    <w:rsid w:val="009E01D0"/>
    <w:rsid w:val="009E02E8"/>
    <w:rsid w:val="009E03B9"/>
    <w:rsid w:val="009E0582"/>
    <w:rsid w:val="009E0583"/>
    <w:rsid w:val="009E0707"/>
    <w:rsid w:val="009E072B"/>
    <w:rsid w:val="009E07CD"/>
    <w:rsid w:val="009E0885"/>
    <w:rsid w:val="009E09DD"/>
    <w:rsid w:val="009E0ACF"/>
    <w:rsid w:val="009E0AF9"/>
    <w:rsid w:val="009E0EE7"/>
    <w:rsid w:val="009E105E"/>
    <w:rsid w:val="009E1227"/>
    <w:rsid w:val="009E1480"/>
    <w:rsid w:val="009E1697"/>
    <w:rsid w:val="009E18A4"/>
    <w:rsid w:val="009E1939"/>
    <w:rsid w:val="009E19A3"/>
    <w:rsid w:val="009E1A25"/>
    <w:rsid w:val="009E1A96"/>
    <w:rsid w:val="009E1F53"/>
    <w:rsid w:val="009E23DD"/>
    <w:rsid w:val="009E2435"/>
    <w:rsid w:val="009E24EC"/>
    <w:rsid w:val="009E2594"/>
    <w:rsid w:val="009E2637"/>
    <w:rsid w:val="009E28A3"/>
    <w:rsid w:val="009E2AE8"/>
    <w:rsid w:val="009E3027"/>
    <w:rsid w:val="009E3097"/>
    <w:rsid w:val="009E3121"/>
    <w:rsid w:val="009E3133"/>
    <w:rsid w:val="009E3176"/>
    <w:rsid w:val="009E318A"/>
    <w:rsid w:val="009E329A"/>
    <w:rsid w:val="009E32B6"/>
    <w:rsid w:val="009E376D"/>
    <w:rsid w:val="009E39A7"/>
    <w:rsid w:val="009E3D35"/>
    <w:rsid w:val="009E3DB0"/>
    <w:rsid w:val="009E40D5"/>
    <w:rsid w:val="009E4378"/>
    <w:rsid w:val="009E43B9"/>
    <w:rsid w:val="009E454C"/>
    <w:rsid w:val="009E4558"/>
    <w:rsid w:val="009E461E"/>
    <w:rsid w:val="009E480F"/>
    <w:rsid w:val="009E4918"/>
    <w:rsid w:val="009E4A92"/>
    <w:rsid w:val="009E4C2D"/>
    <w:rsid w:val="009E4DB0"/>
    <w:rsid w:val="009E4E5F"/>
    <w:rsid w:val="009E4F1B"/>
    <w:rsid w:val="009E4F24"/>
    <w:rsid w:val="009E50EF"/>
    <w:rsid w:val="009E5172"/>
    <w:rsid w:val="009E5229"/>
    <w:rsid w:val="009E525D"/>
    <w:rsid w:val="009E5470"/>
    <w:rsid w:val="009E56E6"/>
    <w:rsid w:val="009E5703"/>
    <w:rsid w:val="009E5803"/>
    <w:rsid w:val="009E5807"/>
    <w:rsid w:val="009E5819"/>
    <w:rsid w:val="009E592F"/>
    <w:rsid w:val="009E594D"/>
    <w:rsid w:val="009E5B26"/>
    <w:rsid w:val="009E5D19"/>
    <w:rsid w:val="009E5DD6"/>
    <w:rsid w:val="009E5DED"/>
    <w:rsid w:val="009E60EB"/>
    <w:rsid w:val="009E611E"/>
    <w:rsid w:val="009E6740"/>
    <w:rsid w:val="009E695B"/>
    <w:rsid w:val="009E6ACF"/>
    <w:rsid w:val="009E709F"/>
    <w:rsid w:val="009E71DE"/>
    <w:rsid w:val="009E725A"/>
    <w:rsid w:val="009E7339"/>
    <w:rsid w:val="009E73C9"/>
    <w:rsid w:val="009E7427"/>
    <w:rsid w:val="009E7447"/>
    <w:rsid w:val="009E745E"/>
    <w:rsid w:val="009E7460"/>
    <w:rsid w:val="009E74C6"/>
    <w:rsid w:val="009E7546"/>
    <w:rsid w:val="009E78F3"/>
    <w:rsid w:val="009E799B"/>
    <w:rsid w:val="009E79D8"/>
    <w:rsid w:val="009E7B39"/>
    <w:rsid w:val="009E7C12"/>
    <w:rsid w:val="009E7E01"/>
    <w:rsid w:val="009E7E1A"/>
    <w:rsid w:val="009E7F06"/>
    <w:rsid w:val="009E7FBA"/>
    <w:rsid w:val="009EB014"/>
    <w:rsid w:val="009F036F"/>
    <w:rsid w:val="009F04EF"/>
    <w:rsid w:val="009F05D7"/>
    <w:rsid w:val="009F0673"/>
    <w:rsid w:val="009F0954"/>
    <w:rsid w:val="009F0B71"/>
    <w:rsid w:val="009F0D62"/>
    <w:rsid w:val="009F15CC"/>
    <w:rsid w:val="009F1622"/>
    <w:rsid w:val="009F1633"/>
    <w:rsid w:val="009F180C"/>
    <w:rsid w:val="009F1A64"/>
    <w:rsid w:val="009F1BB4"/>
    <w:rsid w:val="009F1CA4"/>
    <w:rsid w:val="009F1CB1"/>
    <w:rsid w:val="009F1D19"/>
    <w:rsid w:val="009F1DBA"/>
    <w:rsid w:val="009F1DC8"/>
    <w:rsid w:val="009F1E2F"/>
    <w:rsid w:val="009F21E7"/>
    <w:rsid w:val="009F2490"/>
    <w:rsid w:val="009F24D2"/>
    <w:rsid w:val="009F26B9"/>
    <w:rsid w:val="009F2780"/>
    <w:rsid w:val="009F2819"/>
    <w:rsid w:val="009F2945"/>
    <w:rsid w:val="009F2A1B"/>
    <w:rsid w:val="009F2A2C"/>
    <w:rsid w:val="009F2CD9"/>
    <w:rsid w:val="009F2D8A"/>
    <w:rsid w:val="009F2EB7"/>
    <w:rsid w:val="009F34C4"/>
    <w:rsid w:val="009F3522"/>
    <w:rsid w:val="009F3627"/>
    <w:rsid w:val="009F3849"/>
    <w:rsid w:val="009F38EC"/>
    <w:rsid w:val="009F3B81"/>
    <w:rsid w:val="009F3BC2"/>
    <w:rsid w:val="009F3E9C"/>
    <w:rsid w:val="009F3EF7"/>
    <w:rsid w:val="009F4042"/>
    <w:rsid w:val="009F411C"/>
    <w:rsid w:val="009F425B"/>
    <w:rsid w:val="009F479C"/>
    <w:rsid w:val="009F47A6"/>
    <w:rsid w:val="009F47B7"/>
    <w:rsid w:val="009F47D4"/>
    <w:rsid w:val="009F4918"/>
    <w:rsid w:val="009F4A05"/>
    <w:rsid w:val="009F4B08"/>
    <w:rsid w:val="009F4B7B"/>
    <w:rsid w:val="009F4E86"/>
    <w:rsid w:val="009F4ED5"/>
    <w:rsid w:val="009F4F3C"/>
    <w:rsid w:val="009F50DE"/>
    <w:rsid w:val="009F50FD"/>
    <w:rsid w:val="009F5111"/>
    <w:rsid w:val="009F5633"/>
    <w:rsid w:val="009F5694"/>
    <w:rsid w:val="009F57F5"/>
    <w:rsid w:val="009F5829"/>
    <w:rsid w:val="009F5A2E"/>
    <w:rsid w:val="009F5BAB"/>
    <w:rsid w:val="009F5BF4"/>
    <w:rsid w:val="009F5C88"/>
    <w:rsid w:val="009F5F3E"/>
    <w:rsid w:val="009F60CA"/>
    <w:rsid w:val="009F60EE"/>
    <w:rsid w:val="009F61A1"/>
    <w:rsid w:val="009F62E5"/>
    <w:rsid w:val="009F6422"/>
    <w:rsid w:val="009F6425"/>
    <w:rsid w:val="009F65F3"/>
    <w:rsid w:val="009F65FC"/>
    <w:rsid w:val="009F663F"/>
    <w:rsid w:val="009F676F"/>
    <w:rsid w:val="009F688C"/>
    <w:rsid w:val="009F6957"/>
    <w:rsid w:val="009F6AC3"/>
    <w:rsid w:val="009F6CB4"/>
    <w:rsid w:val="009F6DC7"/>
    <w:rsid w:val="009F6E07"/>
    <w:rsid w:val="009F7054"/>
    <w:rsid w:val="009F72C0"/>
    <w:rsid w:val="009F7324"/>
    <w:rsid w:val="009F7476"/>
    <w:rsid w:val="009F7543"/>
    <w:rsid w:val="009F76D7"/>
    <w:rsid w:val="009F7858"/>
    <w:rsid w:val="009F78B6"/>
    <w:rsid w:val="009F7C19"/>
    <w:rsid w:val="009F7C7A"/>
    <w:rsid w:val="00A0011C"/>
    <w:rsid w:val="00A001E6"/>
    <w:rsid w:val="00A003E2"/>
    <w:rsid w:val="00A003FB"/>
    <w:rsid w:val="00A005FB"/>
    <w:rsid w:val="00A0063D"/>
    <w:rsid w:val="00A006F8"/>
    <w:rsid w:val="00A008A6"/>
    <w:rsid w:val="00A0095E"/>
    <w:rsid w:val="00A00E6B"/>
    <w:rsid w:val="00A00E84"/>
    <w:rsid w:val="00A00FA9"/>
    <w:rsid w:val="00A01372"/>
    <w:rsid w:val="00A013EF"/>
    <w:rsid w:val="00A014CE"/>
    <w:rsid w:val="00A01A2C"/>
    <w:rsid w:val="00A01B7F"/>
    <w:rsid w:val="00A0205D"/>
    <w:rsid w:val="00A0211F"/>
    <w:rsid w:val="00A02452"/>
    <w:rsid w:val="00A0249B"/>
    <w:rsid w:val="00A02628"/>
    <w:rsid w:val="00A02684"/>
    <w:rsid w:val="00A026B9"/>
    <w:rsid w:val="00A02949"/>
    <w:rsid w:val="00A02BCC"/>
    <w:rsid w:val="00A02CD0"/>
    <w:rsid w:val="00A02D8F"/>
    <w:rsid w:val="00A02E7D"/>
    <w:rsid w:val="00A02F67"/>
    <w:rsid w:val="00A030C0"/>
    <w:rsid w:val="00A03159"/>
    <w:rsid w:val="00A03345"/>
    <w:rsid w:val="00A0373D"/>
    <w:rsid w:val="00A03A76"/>
    <w:rsid w:val="00A03D1E"/>
    <w:rsid w:val="00A03D33"/>
    <w:rsid w:val="00A03D9B"/>
    <w:rsid w:val="00A03F30"/>
    <w:rsid w:val="00A03FFD"/>
    <w:rsid w:val="00A042B3"/>
    <w:rsid w:val="00A0432E"/>
    <w:rsid w:val="00A0489C"/>
    <w:rsid w:val="00A048C7"/>
    <w:rsid w:val="00A04A9B"/>
    <w:rsid w:val="00A04D4C"/>
    <w:rsid w:val="00A04EE2"/>
    <w:rsid w:val="00A04FC8"/>
    <w:rsid w:val="00A05225"/>
    <w:rsid w:val="00A05453"/>
    <w:rsid w:val="00A054BB"/>
    <w:rsid w:val="00A056DC"/>
    <w:rsid w:val="00A058E2"/>
    <w:rsid w:val="00A05AC8"/>
    <w:rsid w:val="00A05ED8"/>
    <w:rsid w:val="00A05FF6"/>
    <w:rsid w:val="00A0615B"/>
    <w:rsid w:val="00A061B6"/>
    <w:rsid w:val="00A06207"/>
    <w:rsid w:val="00A06769"/>
    <w:rsid w:val="00A06773"/>
    <w:rsid w:val="00A06792"/>
    <w:rsid w:val="00A068B6"/>
    <w:rsid w:val="00A0694C"/>
    <w:rsid w:val="00A06A58"/>
    <w:rsid w:val="00A06AD9"/>
    <w:rsid w:val="00A06B8E"/>
    <w:rsid w:val="00A06D52"/>
    <w:rsid w:val="00A06F8A"/>
    <w:rsid w:val="00A0739A"/>
    <w:rsid w:val="00A07433"/>
    <w:rsid w:val="00A074FE"/>
    <w:rsid w:val="00A075E4"/>
    <w:rsid w:val="00A077E6"/>
    <w:rsid w:val="00A07930"/>
    <w:rsid w:val="00A07D02"/>
    <w:rsid w:val="00A07D58"/>
    <w:rsid w:val="00A07FA1"/>
    <w:rsid w:val="00A1003A"/>
    <w:rsid w:val="00A1006B"/>
    <w:rsid w:val="00A10137"/>
    <w:rsid w:val="00A101B8"/>
    <w:rsid w:val="00A1027B"/>
    <w:rsid w:val="00A102BA"/>
    <w:rsid w:val="00A10362"/>
    <w:rsid w:val="00A10466"/>
    <w:rsid w:val="00A1046D"/>
    <w:rsid w:val="00A1055A"/>
    <w:rsid w:val="00A10575"/>
    <w:rsid w:val="00A105C9"/>
    <w:rsid w:val="00A105F8"/>
    <w:rsid w:val="00A10710"/>
    <w:rsid w:val="00A10796"/>
    <w:rsid w:val="00A10811"/>
    <w:rsid w:val="00A10AC2"/>
    <w:rsid w:val="00A10B67"/>
    <w:rsid w:val="00A10BB7"/>
    <w:rsid w:val="00A10C4D"/>
    <w:rsid w:val="00A10DD2"/>
    <w:rsid w:val="00A10E63"/>
    <w:rsid w:val="00A10E95"/>
    <w:rsid w:val="00A110BC"/>
    <w:rsid w:val="00A111BF"/>
    <w:rsid w:val="00A111EF"/>
    <w:rsid w:val="00A1139A"/>
    <w:rsid w:val="00A11438"/>
    <w:rsid w:val="00A11452"/>
    <w:rsid w:val="00A1147D"/>
    <w:rsid w:val="00A11536"/>
    <w:rsid w:val="00A1169F"/>
    <w:rsid w:val="00A116A8"/>
    <w:rsid w:val="00A116E3"/>
    <w:rsid w:val="00A11753"/>
    <w:rsid w:val="00A118BB"/>
    <w:rsid w:val="00A11FE6"/>
    <w:rsid w:val="00A12507"/>
    <w:rsid w:val="00A1273E"/>
    <w:rsid w:val="00A127C4"/>
    <w:rsid w:val="00A127C8"/>
    <w:rsid w:val="00A12877"/>
    <w:rsid w:val="00A12956"/>
    <w:rsid w:val="00A12BEC"/>
    <w:rsid w:val="00A12CCE"/>
    <w:rsid w:val="00A12E32"/>
    <w:rsid w:val="00A13011"/>
    <w:rsid w:val="00A1311E"/>
    <w:rsid w:val="00A13323"/>
    <w:rsid w:val="00A134E3"/>
    <w:rsid w:val="00A1351E"/>
    <w:rsid w:val="00A1375A"/>
    <w:rsid w:val="00A13882"/>
    <w:rsid w:val="00A13908"/>
    <w:rsid w:val="00A14047"/>
    <w:rsid w:val="00A140C4"/>
    <w:rsid w:val="00A1416E"/>
    <w:rsid w:val="00A14262"/>
    <w:rsid w:val="00A143D1"/>
    <w:rsid w:val="00A1444F"/>
    <w:rsid w:val="00A1457B"/>
    <w:rsid w:val="00A145AE"/>
    <w:rsid w:val="00A146B7"/>
    <w:rsid w:val="00A14832"/>
    <w:rsid w:val="00A14A74"/>
    <w:rsid w:val="00A14BC0"/>
    <w:rsid w:val="00A14D73"/>
    <w:rsid w:val="00A14D75"/>
    <w:rsid w:val="00A14EEF"/>
    <w:rsid w:val="00A14FA3"/>
    <w:rsid w:val="00A1505D"/>
    <w:rsid w:val="00A15151"/>
    <w:rsid w:val="00A15266"/>
    <w:rsid w:val="00A15290"/>
    <w:rsid w:val="00A157F5"/>
    <w:rsid w:val="00A15A84"/>
    <w:rsid w:val="00A15C2D"/>
    <w:rsid w:val="00A15D0F"/>
    <w:rsid w:val="00A15D31"/>
    <w:rsid w:val="00A15DCF"/>
    <w:rsid w:val="00A15E5A"/>
    <w:rsid w:val="00A15FF0"/>
    <w:rsid w:val="00A1616F"/>
    <w:rsid w:val="00A1620B"/>
    <w:rsid w:val="00A16335"/>
    <w:rsid w:val="00A1662A"/>
    <w:rsid w:val="00A16906"/>
    <w:rsid w:val="00A16A1D"/>
    <w:rsid w:val="00A16A6E"/>
    <w:rsid w:val="00A16AD6"/>
    <w:rsid w:val="00A16B41"/>
    <w:rsid w:val="00A16BD1"/>
    <w:rsid w:val="00A16C87"/>
    <w:rsid w:val="00A16D7B"/>
    <w:rsid w:val="00A16EA7"/>
    <w:rsid w:val="00A16FD5"/>
    <w:rsid w:val="00A170FD"/>
    <w:rsid w:val="00A17272"/>
    <w:rsid w:val="00A173E5"/>
    <w:rsid w:val="00A17B41"/>
    <w:rsid w:val="00A17C23"/>
    <w:rsid w:val="00A17D56"/>
    <w:rsid w:val="00A17DBD"/>
    <w:rsid w:val="00A2017C"/>
    <w:rsid w:val="00A20206"/>
    <w:rsid w:val="00A2026D"/>
    <w:rsid w:val="00A206A3"/>
    <w:rsid w:val="00A206A6"/>
    <w:rsid w:val="00A206FE"/>
    <w:rsid w:val="00A208F7"/>
    <w:rsid w:val="00A20A79"/>
    <w:rsid w:val="00A21588"/>
    <w:rsid w:val="00A216E4"/>
    <w:rsid w:val="00A217CE"/>
    <w:rsid w:val="00A218FE"/>
    <w:rsid w:val="00A21A87"/>
    <w:rsid w:val="00A21DA3"/>
    <w:rsid w:val="00A21EA7"/>
    <w:rsid w:val="00A21EBA"/>
    <w:rsid w:val="00A21FC2"/>
    <w:rsid w:val="00A22175"/>
    <w:rsid w:val="00A221C4"/>
    <w:rsid w:val="00A227B9"/>
    <w:rsid w:val="00A22A5A"/>
    <w:rsid w:val="00A22DC7"/>
    <w:rsid w:val="00A22F94"/>
    <w:rsid w:val="00A23132"/>
    <w:rsid w:val="00A231ED"/>
    <w:rsid w:val="00A23464"/>
    <w:rsid w:val="00A23650"/>
    <w:rsid w:val="00A2377A"/>
    <w:rsid w:val="00A23927"/>
    <w:rsid w:val="00A23946"/>
    <w:rsid w:val="00A23A36"/>
    <w:rsid w:val="00A23C80"/>
    <w:rsid w:val="00A23CCC"/>
    <w:rsid w:val="00A23E27"/>
    <w:rsid w:val="00A24089"/>
    <w:rsid w:val="00A240AA"/>
    <w:rsid w:val="00A240CA"/>
    <w:rsid w:val="00A24243"/>
    <w:rsid w:val="00A2426C"/>
    <w:rsid w:val="00A2427A"/>
    <w:rsid w:val="00A24348"/>
    <w:rsid w:val="00A24429"/>
    <w:rsid w:val="00A24489"/>
    <w:rsid w:val="00A245B3"/>
    <w:rsid w:val="00A245BA"/>
    <w:rsid w:val="00A2480E"/>
    <w:rsid w:val="00A24904"/>
    <w:rsid w:val="00A249B8"/>
    <w:rsid w:val="00A24B8C"/>
    <w:rsid w:val="00A24BA4"/>
    <w:rsid w:val="00A24CA1"/>
    <w:rsid w:val="00A24E26"/>
    <w:rsid w:val="00A25251"/>
    <w:rsid w:val="00A252A9"/>
    <w:rsid w:val="00A252E5"/>
    <w:rsid w:val="00A257FB"/>
    <w:rsid w:val="00A258CE"/>
    <w:rsid w:val="00A25B74"/>
    <w:rsid w:val="00A25D32"/>
    <w:rsid w:val="00A260D2"/>
    <w:rsid w:val="00A26146"/>
    <w:rsid w:val="00A263FB"/>
    <w:rsid w:val="00A2644C"/>
    <w:rsid w:val="00A26450"/>
    <w:rsid w:val="00A266D8"/>
    <w:rsid w:val="00A26712"/>
    <w:rsid w:val="00A2674B"/>
    <w:rsid w:val="00A26772"/>
    <w:rsid w:val="00A26850"/>
    <w:rsid w:val="00A26D53"/>
    <w:rsid w:val="00A26DFC"/>
    <w:rsid w:val="00A26EF2"/>
    <w:rsid w:val="00A27053"/>
    <w:rsid w:val="00A27503"/>
    <w:rsid w:val="00A275C2"/>
    <w:rsid w:val="00A276A0"/>
    <w:rsid w:val="00A27967"/>
    <w:rsid w:val="00A279E7"/>
    <w:rsid w:val="00A27BE7"/>
    <w:rsid w:val="00A27BF1"/>
    <w:rsid w:val="00A27C3B"/>
    <w:rsid w:val="00A27E79"/>
    <w:rsid w:val="00A2CE8C"/>
    <w:rsid w:val="00A3001E"/>
    <w:rsid w:val="00A30656"/>
    <w:rsid w:val="00A306C5"/>
    <w:rsid w:val="00A3084E"/>
    <w:rsid w:val="00A30A60"/>
    <w:rsid w:val="00A30ADA"/>
    <w:rsid w:val="00A30AE0"/>
    <w:rsid w:val="00A30DD7"/>
    <w:rsid w:val="00A30F3C"/>
    <w:rsid w:val="00A30F92"/>
    <w:rsid w:val="00A30FFF"/>
    <w:rsid w:val="00A312E1"/>
    <w:rsid w:val="00A312FA"/>
    <w:rsid w:val="00A3143D"/>
    <w:rsid w:val="00A31470"/>
    <w:rsid w:val="00A315FB"/>
    <w:rsid w:val="00A31A41"/>
    <w:rsid w:val="00A31AD0"/>
    <w:rsid w:val="00A31BED"/>
    <w:rsid w:val="00A31C40"/>
    <w:rsid w:val="00A31CB1"/>
    <w:rsid w:val="00A31DF9"/>
    <w:rsid w:val="00A31E4A"/>
    <w:rsid w:val="00A31EBF"/>
    <w:rsid w:val="00A31F5A"/>
    <w:rsid w:val="00A32088"/>
    <w:rsid w:val="00A320D2"/>
    <w:rsid w:val="00A3212F"/>
    <w:rsid w:val="00A32188"/>
    <w:rsid w:val="00A3219D"/>
    <w:rsid w:val="00A32229"/>
    <w:rsid w:val="00A3223B"/>
    <w:rsid w:val="00A323E7"/>
    <w:rsid w:val="00A3249D"/>
    <w:rsid w:val="00A32795"/>
    <w:rsid w:val="00A328F7"/>
    <w:rsid w:val="00A32906"/>
    <w:rsid w:val="00A32953"/>
    <w:rsid w:val="00A32D21"/>
    <w:rsid w:val="00A32D7E"/>
    <w:rsid w:val="00A32E54"/>
    <w:rsid w:val="00A332A9"/>
    <w:rsid w:val="00A332E3"/>
    <w:rsid w:val="00A334DD"/>
    <w:rsid w:val="00A3371C"/>
    <w:rsid w:val="00A33814"/>
    <w:rsid w:val="00A33A1C"/>
    <w:rsid w:val="00A33A8D"/>
    <w:rsid w:val="00A33D86"/>
    <w:rsid w:val="00A33F5D"/>
    <w:rsid w:val="00A34073"/>
    <w:rsid w:val="00A34085"/>
    <w:rsid w:val="00A340BD"/>
    <w:rsid w:val="00A34131"/>
    <w:rsid w:val="00A3418F"/>
    <w:rsid w:val="00A341F2"/>
    <w:rsid w:val="00A34221"/>
    <w:rsid w:val="00A34297"/>
    <w:rsid w:val="00A34349"/>
    <w:rsid w:val="00A343F9"/>
    <w:rsid w:val="00A346BE"/>
    <w:rsid w:val="00A346E7"/>
    <w:rsid w:val="00A347A3"/>
    <w:rsid w:val="00A349EB"/>
    <w:rsid w:val="00A349FA"/>
    <w:rsid w:val="00A34A31"/>
    <w:rsid w:val="00A3515A"/>
    <w:rsid w:val="00A351A9"/>
    <w:rsid w:val="00A35319"/>
    <w:rsid w:val="00A354A8"/>
    <w:rsid w:val="00A35603"/>
    <w:rsid w:val="00A35661"/>
    <w:rsid w:val="00A35760"/>
    <w:rsid w:val="00A3584C"/>
    <w:rsid w:val="00A3593F"/>
    <w:rsid w:val="00A35E99"/>
    <w:rsid w:val="00A362F3"/>
    <w:rsid w:val="00A364DE"/>
    <w:rsid w:val="00A36574"/>
    <w:rsid w:val="00A36592"/>
    <w:rsid w:val="00A36614"/>
    <w:rsid w:val="00A367D0"/>
    <w:rsid w:val="00A36991"/>
    <w:rsid w:val="00A36C19"/>
    <w:rsid w:val="00A36C37"/>
    <w:rsid w:val="00A36D64"/>
    <w:rsid w:val="00A37282"/>
    <w:rsid w:val="00A3729E"/>
    <w:rsid w:val="00A372C8"/>
    <w:rsid w:val="00A372E9"/>
    <w:rsid w:val="00A373C1"/>
    <w:rsid w:val="00A373C8"/>
    <w:rsid w:val="00A37441"/>
    <w:rsid w:val="00A375DE"/>
    <w:rsid w:val="00A376E9"/>
    <w:rsid w:val="00A37703"/>
    <w:rsid w:val="00A3778A"/>
    <w:rsid w:val="00A377C0"/>
    <w:rsid w:val="00A3794C"/>
    <w:rsid w:val="00A37B3D"/>
    <w:rsid w:val="00A37B6F"/>
    <w:rsid w:val="00A37BE9"/>
    <w:rsid w:val="00A37D26"/>
    <w:rsid w:val="00A37DC2"/>
    <w:rsid w:val="00A40414"/>
    <w:rsid w:val="00A4081B"/>
    <w:rsid w:val="00A408FC"/>
    <w:rsid w:val="00A4092E"/>
    <w:rsid w:val="00A40A85"/>
    <w:rsid w:val="00A40B4A"/>
    <w:rsid w:val="00A40C1B"/>
    <w:rsid w:val="00A40D91"/>
    <w:rsid w:val="00A40EEC"/>
    <w:rsid w:val="00A41088"/>
    <w:rsid w:val="00A41348"/>
    <w:rsid w:val="00A41379"/>
    <w:rsid w:val="00A41511"/>
    <w:rsid w:val="00A41570"/>
    <w:rsid w:val="00A41687"/>
    <w:rsid w:val="00A41821"/>
    <w:rsid w:val="00A419A8"/>
    <w:rsid w:val="00A41A1B"/>
    <w:rsid w:val="00A41C5D"/>
    <w:rsid w:val="00A41C91"/>
    <w:rsid w:val="00A42051"/>
    <w:rsid w:val="00A4216B"/>
    <w:rsid w:val="00A4225B"/>
    <w:rsid w:val="00A422E9"/>
    <w:rsid w:val="00A423CB"/>
    <w:rsid w:val="00A425C4"/>
    <w:rsid w:val="00A4272F"/>
    <w:rsid w:val="00A42815"/>
    <w:rsid w:val="00A42833"/>
    <w:rsid w:val="00A4284B"/>
    <w:rsid w:val="00A42927"/>
    <w:rsid w:val="00A42C5B"/>
    <w:rsid w:val="00A42F45"/>
    <w:rsid w:val="00A42FBA"/>
    <w:rsid w:val="00A436CB"/>
    <w:rsid w:val="00A436E5"/>
    <w:rsid w:val="00A438BA"/>
    <w:rsid w:val="00A43916"/>
    <w:rsid w:val="00A43B4D"/>
    <w:rsid w:val="00A43C17"/>
    <w:rsid w:val="00A43D4D"/>
    <w:rsid w:val="00A43EF3"/>
    <w:rsid w:val="00A43F24"/>
    <w:rsid w:val="00A43F3F"/>
    <w:rsid w:val="00A4434E"/>
    <w:rsid w:val="00A443D4"/>
    <w:rsid w:val="00A444DE"/>
    <w:rsid w:val="00A4465C"/>
    <w:rsid w:val="00A4477A"/>
    <w:rsid w:val="00A44851"/>
    <w:rsid w:val="00A44877"/>
    <w:rsid w:val="00A44A71"/>
    <w:rsid w:val="00A44F08"/>
    <w:rsid w:val="00A44FA6"/>
    <w:rsid w:val="00A44FE9"/>
    <w:rsid w:val="00A45047"/>
    <w:rsid w:val="00A451B5"/>
    <w:rsid w:val="00A45268"/>
    <w:rsid w:val="00A45297"/>
    <w:rsid w:val="00A45306"/>
    <w:rsid w:val="00A4549C"/>
    <w:rsid w:val="00A45520"/>
    <w:rsid w:val="00A455CB"/>
    <w:rsid w:val="00A459FA"/>
    <w:rsid w:val="00A45A0C"/>
    <w:rsid w:val="00A45C10"/>
    <w:rsid w:val="00A45D08"/>
    <w:rsid w:val="00A46000"/>
    <w:rsid w:val="00A4636B"/>
    <w:rsid w:val="00A4638B"/>
    <w:rsid w:val="00A46457"/>
    <w:rsid w:val="00A466FA"/>
    <w:rsid w:val="00A46C1B"/>
    <w:rsid w:val="00A46D7D"/>
    <w:rsid w:val="00A46F49"/>
    <w:rsid w:val="00A47082"/>
    <w:rsid w:val="00A4712A"/>
    <w:rsid w:val="00A47144"/>
    <w:rsid w:val="00A4715A"/>
    <w:rsid w:val="00A471FF"/>
    <w:rsid w:val="00A4722C"/>
    <w:rsid w:val="00A4746D"/>
    <w:rsid w:val="00A475E5"/>
    <w:rsid w:val="00A477BC"/>
    <w:rsid w:val="00A478C9"/>
    <w:rsid w:val="00A47B33"/>
    <w:rsid w:val="00A47B91"/>
    <w:rsid w:val="00A47D52"/>
    <w:rsid w:val="00A47FBD"/>
    <w:rsid w:val="00A500C4"/>
    <w:rsid w:val="00A50248"/>
    <w:rsid w:val="00A50323"/>
    <w:rsid w:val="00A50468"/>
    <w:rsid w:val="00A50501"/>
    <w:rsid w:val="00A50617"/>
    <w:rsid w:val="00A50717"/>
    <w:rsid w:val="00A507A2"/>
    <w:rsid w:val="00A507C1"/>
    <w:rsid w:val="00A507ED"/>
    <w:rsid w:val="00A50B6F"/>
    <w:rsid w:val="00A50B7D"/>
    <w:rsid w:val="00A50E3F"/>
    <w:rsid w:val="00A50F4C"/>
    <w:rsid w:val="00A50F5F"/>
    <w:rsid w:val="00A51172"/>
    <w:rsid w:val="00A5164C"/>
    <w:rsid w:val="00A51677"/>
    <w:rsid w:val="00A51811"/>
    <w:rsid w:val="00A51AAE"/>
    <w:rsid w:val="00A51FEB"/>
    <w:rsid w:val="00A51FFE"/>
    <w:rsid w:val="00A522B5"/>
    <w:rsid w:val="00A522BA"/>
    <w:rsid w:val="00A5246D"/>
    <w:rsid w:val="00A524DF"/>
    <w:rsid w:val="00A5255E"/>
    <w:rsid w:val="00A52746"/>
    <w:rsid w:val="00A52774"/>
    <w:rsid w:val="00A527FD"/>
    <w:rsid w:val="00A52D96"/>
    <w:rsid w:val="00A52E4F"/>
    <w:rsid w:val="00A5330B"/>
    <w:rsid w:val="00A5334B"/>
    <w:rsid w:val="00A53406"/>
    <w:rsid w:val="00A5392A"/>
    <w:rsid w:val="00A53AF1"/>
    <w:rsid w:val="00A53B02"/>
    <w:rsid w:val="00A53BF1"/>
    <w:rsid w:val="00A53D2C"/>
    <w:rsid w:val="00A53D95"/>
    <w:rsid w:val="00A53FE4"/>
    <w:rsid w:val="00A53FFF"/>
    <w:rsid w:val="00A54081"/>
    <w:rsid w:val="00A541DF"/>
    <w:rsid w:val="00A5420A"/>
    <w:rsid w:val="00A542E4"/>
    <w:rsid w:val="00A54475"/>
    <w:rsid w:val="00A546C0"/>
    <w:rsid w:val="00A546E9"/>
    <w:rsid w:val="00A546EB"/>
    <w:rsid w:val="00A547C7"/>
    <w:rsid w:val="00A54827"/>
    <w:rsid w:val="00A54B64"/>
    <w:rsid w:val="00A54C05"/>
    <w:rsid w:val="00A54E9E"/>
    <w:rsid w:val="00A54FCD"/>
    <w:rsid w:val="00A55082"/>
    <w:rsid w:val="00A550F5"/>
    <w:rsid w:val="00A551F0"/>
    <w:rsid w:val="00A552AB"/>
    <w:rsid w:val="00A553B1"/>
    <w:rsid w:val="00A55435"/>
    <w:rsid w:val="00A5564A"/>
    <w:rsid w:val="00A556C9"/>
    <w:rsid w:val="00A557B7"/>
    <w:rsid w:val="00A55824"/>
    <w:rsid w:val="00A5590B"/>
    <w:rsid w:val="00A55B8A"/>
    <w:rsid w:val="00A55B97"/>
    <w:rsid w:val="00A55D2E"/>
    <w:rsid w:val="00A55F80"/>
    <w:rsid w:val="00A56266"/>
    <w:rsid w:val="00A56382"/>
    <w:rsid w:val="00A563FB"/>
    <w:rsid w:val="00A5655C"/>
    <w:rsid w:val="00A56C8A"/>
    <w:rsid w:val="00A56D19"/>
    <w:rsid w:val="00A56D8C"/>
    <w:rsid w:val="00A56DB7"/>
    <w:rsid w:val="00A56E08"/>
    <w:rsid w:val="00A56E4C"/>
    <w:rsid w:val="00A57003"/>
    <w:rsid w:val="00A5701E"/>
    <w:rsid w:val="00A570F6"/>
    <w:rsid w:val="00A57114"/>
    <w:rsid w:val="00A571A7"/>
    <w:rsid w:val="00A57253"/>
    <w:rsid w:val="00A57495"/>
    <w:rsid w:val="00A574A7"/>
    <w:rsid w:val="00A57942"/>
    <w:rsid w:val="00A57A91"/>
    <w:rsid w:val="00A57BD3"/>
    <w:rsid w:val="00A57C9F"/>
    <w:rsid w:val="00A57EB5"/>
    <w:rsid w:val="00A57F15"/>
    <w:rsid w:val="00A5B075"/>
    <w:rsid w:val="00A60022"/>
    <w:rsid w:val="00A6007B"/>
    <w:rsid w:val="00A600AA"/>
    <w:rsid w:val="00A6013D"/>
    <w:rsid w:val="00A602AC"/>
    <w:rsid w:val="00A60389"/>
    <w:rsid w:val="00A60480"/>
    <w:rsid w:val="00A606A5"/>
    <w:rsid w:val="00A6088E"/>
    <w:rsid w:val="00A60AD5"/>
    <w:rsid w:val="00A60D1F"/>
    <w:rsid w:val="00A60F46"/>
    <w:rsid w:val="00A610E9"/>
    <w:rsid w:val="00A611C5"/>
    <w:rsid w:val="00A6135D"/>
    <w:rsid w:val="00A6148C"/>
    <w:rsid w:val="00A61629"/>
    <w:rsid w:val="00A617E5"/>
    <w:rsid w:val="00A61A61"/>
    <w:rsid w:val="00A61C23"/>
    <w:rsid w:val="00A61CEF"/>
    <w:rsid w:val="00A61E75"/>
    <w:rsid w:val="00A62069"/>
    <w:rsid w:val="00A6215E"/>
    <w:rsid w:val="00A623CA"/>
    <w:rsid w:val="00A623D0"/>
    <w:rsid w:val="00A6246F"/>
    <w:rsid w:val="00A62523"/>
    <w:rsid w:val="00A6285D"/>
    <w:rsid w:val="00A62871"/>
    <w:rsid w:val="00A62923"/>
    <w:rsid w:val="00A62A21"/>
    <w:rsid w:val="00A62C43"/>
    <w:rsid w:val="00A62C47"/>
    <w:rsid w:val="00A62E3F"/>
    <w:rsid w:val="00A62EBE"/>
    <w:rsid w:val="00A62F6B"/>
    <w:rsid w:val="00A6304C"/>
    <w:rsid w:val="00A630A8"/>
    <w:rsid w:val="00A63109"/>
    <w:rsid w:val="00A63230"/>
    <w:rsid w:val="00A6344A"/>
    <w:rsid w:val="00A634D1"/>
    <w:rsid w:val="00A6364D"/>
    <w:rsid w:val="00A636CD"/>
    <w:rsid w:val="00A63913"/>
    <w:rsid w:val="00A63A1F"/>
    <w:rsid w:val="00A63A55"/>
    <w:rsid w:val="00A63A94"/>
    <w:rsid w:val="00A63B5F"/>
    <w:rsid w:val="00A64073"/>
    <w:rsid w:val="00A64397"/>
    <w:rsid w:val="00A643AC"/>
    <w:rsid w:val="00A6445C"/>
    <w:rsid w:val="00A645A0"/>
    <w:rsid w:val="00A647D1"/>
    <w:rsid w:val="00A6480A"/>
    <w:rsid w:val="00A6486E"/>
    <w:rsid w:val="00A64C0C"/>
    <w:rsid w:val="00A64E50"/>
    <w:rsid w:val="00A64ECF"/>
    <w:rsid w:val="00A65038"/>
    <w:rsid w:val="00A65142"/>
    <w:rsid w:val="00A65268"/>
    <w:rsid w:val="00A65302"/>
    <w:rsid w:val="00A65311"/>
    <w:rsid w:val="00A65374"/>
    <w:rsid w:val="00A65474"/>
    <w:rsid w:val="00A65545"/>
    <w:rsid w:val="00A655A5"/>
    <w:rsid w:val="00A655AE"/>
    <w:rsid w:val="00A655DB"/>
    <w:rsid w:val="00A656B3"/>
    <w:rsid w:val="00A65CC4"/>
    <w:rsid w:val="00A660EF"/>
    <w:rsid w:val="00A66104"/>
    <w:rsid w:val="00A6621D"/>
    <w:rsid w:val="00A66357"/>
    <w:rsid w:val="00A66442"/>
    <w:rsid w:val="00A665D1"/>
    <w:rsid w:val="00A66651"/>
    <w:rsid w:val="00A6667A"/>
    <w:rsid w:val="00A6680F"/>
    <w:rsid w:val="00A668AD"/>
    <w:rsid w:val="00A66A32"/>
    <w:rsid w:val="00A66D4C"/>
    <w:rsid w:val="00A66DB5"/>
    <w:rsid w:val="00A66E77"/>
    <w:rsid w:val="00A67012"/>
    <w:rsid w:val="00A670AB"/>
    <w:rsid w:val="00A673A1"/>
    <w:rsid w:val="00A67432"/>
    <w:rsid w:val="00A67457"/>
    <w:rsid w:val="00A67642"/>
    <w:rsid w:val="00A67709"/>
    <w:rsid w:val="00A67929"/>
    <w:rsid w:val="00A6792D"/>
    <w:rsid w:val="00A67BBF"/>
    <w:rsid w:val="00A67BCB"/>
    <w:rsid w:val="00A67D62"/>
    <w:rsid w:val="00A7009C"/>
    <w:rsid w:val="00A7081D"/>
    <w:rsid w:val="00A70897"/>
    <w:rsid w:val="00A70A54"/>
    <w:rsid w:val="00A7104C"/>
    <w:rsid w:val="00A7136C"/>
    <w:rsid w:val="00A71496"/>
    <w:rsid w:val="00A714E8"/>
    <w:rsid w:val="00A71586"/>
    <w:rsid w:val="00A71591"/>
    <w:rsid w:val="00A71985"/>
    <w:rsid w:val="00A71A14"/>
    <w:rsid w:val="00A71B53"/>
    <w:rsid w:val="00A71DC7"/>
    <w:rsid w:val="00A71F26"/>
    <w:rsid w:val="00A7230A"/>
    <w:rsid w:val="00A72546"/>
    <w:rsid w:val="00A72578"/>
    <w:rsid w:val="00A727B7"/>
    <w:rsid w:val="00A727BA"/>
    <w:rsid w:val="00A72A72"/>
    <w:rsid w:val="00A72BE1"/>
    <w:rsid w:val="00A72C20"/>
    <w:rsid w:val="00A72CEF"/>
    <w:rsid w:val="00A72EEA"/>
    <w:rsid w:val="00A72FC5"/>
    <w:rsid w:val="00A73191"/>
    <w:rsid w:val="00A733C5"/>
    <w:rsid w:val="00A73698"/>
    <w:rsid w:val="00A7378F"/>
    <w:rsid w:val="00A73A94"/>
    <w:rsid w:val="00A73ABF"/>
    <w:rsid w:val="00A73B87"/>
    <w:rsid w:val="00A73CB4"/>
    <w:rsid w:val="00A73D6E"/>
    <w:rsid w:val="00A73E0A"/>
    <w:rsid w:val="00A73F48"/>
    <w:rsid w:val="00A7414B"/>
    <w:rsid w:val="00A742A1"/>
    <w:rsid w:val="00A742DB"/>
    <w:rsid w:val="00A7441C"/>
    <w:rsid w:val="00A745E2"/>
    <w:rsid w:val="00A745E3"/>
    <w:rsid w:val="00A74622"/>
    <w:rsid w:val="00A747DD"/>
    <w:rsid w:val="00A7494B"/>
    <w:rsid w:val="00A749BA"/>
    <w:rsid w:val="00A74C40"/>
    <w:rsid w:val="00A74E38"/>
    <w:rsid w:val="00A74EFE"/>
    <w:rsid w:val="00A750DB"/>
    <w:rsid w:val="00A75104"/>
    <w:rsid w:val="00A751DF"/>
    <w:rsid w:val="00A751FC"/>
    <w:rsid w:val="00A75203"/>
    <w:rsid w:val="00A753F8"/>
    <w:rsid w:val="00A754E3"/>
    <w:rsid w:val="00A754F1"/>
    <w:rsid w:val="00A7563E"/>
    <w:rsid w:val="00A756CD"/>
    <w:rsid w:val="00A75964"/>
    <w:rsid w:val="00A759DD"/>
    <w:rsid w:val="00A75ACE"/>
    <w:rsid w:val="00A75C41"/>
    <w:rsid w:val="00A76444"/>
    <w:rsid w:val="00A767B8"/>
    <w:rsid w:val="00A76843"/>
    <w:rsid w:val="00A76928"/>
    <w:rsid w:val="00A76B9F"/>
    <w:rsid w:val="00A76C98"/>
    <w:rsid w:val="00A76CA2"/>
    <w:rsid w:val="00A76E9A"/>
    <w:rsid w:val="00A76EFD"/>
    <w:rsid w:val="00A770BD"/>
    <w:rsid w:val="00A772EA"/>
    <w:rsid w:val="00A7730B"/>
    <w:rsid w:val="00A77629"/>
    <w:rsid w:val="00A77A55"/>
    <w:rsid w:val="00A77ADF"/>
    <w:rsid w:val="00A77C09"/>
    <w:rsid w:val="00A77CAE"/>
    <w:rsid w:val="00A77CBF"/>
    <w:rsid w:val="00A77EAA"/>
    <w:rsid w:val="00A800B1"/>
    <w:rsid w:val="00A800BE"/>
    <w:rsid w:val="00A80277"/>
    <w:rsid w:val="00A804F2"/>
    <w:rsid w:val="00A809DD"/>
    <w:rsid w:val="00A80BEC"/>
    <w:rsid w:val="00A80D55"/>
    <w:rsid w:val="00A80DA7"/>
    <w:rsid w:val="00A80E5E"/>
    <w:rsid w:val="00A80E9E"/>
    <w:rsid w:val="00A80EB4"/>
    <w:rsid w:val="00A810DB"/>
    <w:rsid w:val="00A810F5"/>
    <w:rsid w:val="00A811AC"/>
    <w:rsid w:val="00A81481"/>
    <w:rsid w:val="00A8148D"/>
    <w:rsid w:val="00A81620"/>
    <w:rsid w:val="00A81673"/>
    <w:rsid w:val="00A81826"/>
    <w:rsid w:val="00A81939"/>
    <w:rsid w:val="00A819AD"/>
    <w:rsid w:val="00A81A76"/>
    <w:rsid w:val="00A81AE4"/>
    <w:rsid w:val="00A81C93"/>
    <w:rsid w:val="00A81E41"/>
    <w:rsid w:val="00A81EBA"/>
    <w:rsid w:val="00A81F94"/>
    <w:rsid w:val="00A8210F"/>
    <w:rsid w:val="00A82113"/>
    <w:rsid w:val="00A8229F"/>
    <w:rsid w:val="00A82513"/>
    <w:rsid w:val="00A825E0"/>
    <w:rsid w:val="00A82778"/>
    <w:rsid w:val="00A82845"/>
    <w:rsid w:val="00A82859"/>
    <w:rsid w:val="00A82968"/>
    <w:rsid w:val="00A82AFE"/>
    <w:rsid w:val="00A82B54"/>
    <w:rsid w:val="00A82CED"/>
    <w:rsid w:val="00A82E5F"/>
    <w:rsid w:val="00A82EF7"/>
    <w:rsid w:val="00A830AE"/>
    <w:rsid w:val="00A830B9"/>
    <w:rsid w:val="00A83128"/>
    <w:rsid w:val="00A83410"/>
    <w:rsid w:val="00A83462"/>
    <w:rsid w:val="00A836E1"/>
    <w:rsid w:val="00A83729"/>
    <w:rsid w:val="00A8374F"/>
    <w:rsid w:val="00A838FD"/>
    <w:rsid w:val="00A83A94"/>
    <w:rsid w:val="00A83ACF"/>
    <w:rsid w:val="00A83B99"/>
    <w:rsid w:val="00A83BE3"/>
    <w:rsid w:val="00A83BF6"/>
    <w:rsid w:val="00A83C31"/>
    <w:rsid w:val="00A83C34"/>
    <w:rsid w:val="00A83DAC"/>
    <w:rsid w:val="00A83FAD"/>
    <w:rsid w:val="00A8406E"/>
    <w:rsid w:val="00A840A7"/>
    <w:rsid w:val="00A843ED"/>
    <w:rsid w:val="00A8459A"/>
    <w:rsid w:val="00A845D2"/>
    <w:rsid w:val="00A8468A"/>
    <w:rsid w:val="00A846CE"/>
    <w:rsid w:val="00A8471E"/>
    <w:rsid w:val="00A84982"/>
    <w:rsid w:val="00A84B3E"/>
    <w:rsid w:val="00A84B73"/>
    <w:rsid w:val="00A84B96"/>
    <w:rsid w:val="00A84D5F"/>
    <w:rsid w:val="00A84F99"/>
    <w:rsid w:val="00A85018"/>
    <w:rsid w:val="00A85132"/>
    <w:rsid w:val="00A85143"/>
    <w:rsid w:val="00A8521E"/>
    <w:rsid w:val="00A853BA"/>
    <w:rsid w:val="00A85B2D"/>
    <w:rsid w:val="00A85B40"/>
    <w:rsid w:val="00A86536"/>
    <w:rsid w:val="00A865DA"/>
    <w:rsid w:val="00A867A4"/>
    <w:rsid w:val="00A868BD"/>
    <w:rsid w:val="00A869BC"/>
    <w:rsid w:val="00A86A17"/>
    <w:rsid w:val="00A86DEE"/>
    <w:rsid w:val="00A86EB6"/>
    <w:rsid w:val="00A86F1A"/>
    <w:rsid w:val="00A86F2A"/>
    <w:rsid w:val="00A874E4"/>
    <w:rsid w:val="00A8754C"/>
    <w:rsid w:val="00A875AB"/>
    <w:rsid w:val="00A87614"/>
    <w:rsid w:val="00A876DA"/>
    <w:rsid w:val="00A877EC"/>
    <w:rsid w:val="00A878D1"/>
    <w:rsid w:val="00A87AC5"/>
    <w:rsid w:val="00A87B1B"/>
    <w:rsid w:val="00A87B63"/>
    <w:rsid w:val="00A87C1F"/>
    <w:rsid w:val="00A87D43"/>
    <w:rsid w:val="00A901B3"/>
    <w:rsid w:val="00A90314"/>
    <w:rsid w:val="00A9040E"/>
    <w:rsid w:val="00A904EB"/>
    <w:rsid w:val="00A904F8"/>
    <w:rsid w:val="00A906BE"/>
    <w:rsid w:val="00A90819"/>
    <w:rsid w:val="00A9086A"/>
    <w:rsid w:val="00A90933"/>
    <w:rsid w:val="00A90AB8"/>
    <w:rsid w:val="00A90B60"/>
    <w:rsid w:val="00A90D70"/>
    <w:rsid w:val="00A90E77"/>
    <w:rsid w:val="00A9122C"/>
    <w:rsid w:val="00A9122D"/>
    <w:rsid w:val="00A91319"/>
    <w:rsid w:val="00A915D3"/>
    <w:rsid w:val="00A91691"/>
    <w:rsid w:val="00A917A9"/>
    <w:rsid w:val="00A917BD"/>
    <w:rsid w:val="00A918DD"/>
    <w:rsid w:val="00A918F3"/>
    <w:rsid w:val="00A919D0"/>
    <w:rsid w:val="00A91CDF"/>
    <w:rsid w:val="00A91FDE"/>
    <w:rsid w:val="00A92196"/>
    <w:rsid w:val="00A921DA"/>
    <w:rsid w:val="00A924D6"/>
    <w:rsid w:val="00A92515"/>
    <w:rsid w:val="00A92743"/>
    <w:rsid w:val="00A9281C"/>
    <w:rsid w:val="00A92B34"/>
    <w:rsid w:val="00A92B9B"/>
    <w:rsid w:val="00A92CDF"/>
    <w:rsid w:val="00A92D09"/>
    <w:rsid w:val="00A92D4F"/>
    <w:rsid w:val="00A92EE0"/>
    <w:rsid w:val="00A93000"/>
    <w:rsid w:val="00A930C0"/>
    <w:rsid w:val="00A93760"/>
    <w:rsid w:val="00A93778"/>
    <w:rsid w:val="00A937B4"/>
    <w:rsid w:val="00A9386F"/>
    <w:rsid w:val="00A938EF"/>
    <w:rsid w:val="00A93B6D"/>
    <w:rsid w:val="00A93E28"/>
    <w:rsid w:val="00A93E5F"/>
    <w:rsid w:val="00A93E86"/>
    <w:rsid w:val="00A94003"/>
    <w:rsid w:val="00A9402F"/>
    <w:rsid w:val="00A94488"/>
    <w:rsid w:val="00A944C6"/>
    <w:rsid w:val="00A944CB"/>
    <w:rsid w:val="00A94671"/>
    <w:rsid w:val="00A947B5"/>
    <w:rsid w:val="00A9490E"/>
    <w:rsid w:val="00A9494E"/>
    <w:rsid w:val="00A94D4D"/>
    <w:rsid w:val="00A94D5B"/>
    <w:rsid w:val="00A94DF6"/>
    <w:rsid w:val="00A950DA"/>
    <w:rsid w:val="00A9543F"/>
    <w:rsid w:val="00A95509"/>
    <w:rsid w:val="00A95689"/>
    <w:rsid w:val="00A956B2"/>
    <w:rsid w:val="00A956E6"/>
    <w:rsid w:val="00A95D72"/>
    <w:rsid w:val="00A95DAD"/>
    <w:rsid w:val="00A96008"/>
    <w:rsid w:val="00A9625C"/>
    <w:rsid w:val="00A962D4"/>
    <w:rsid w:val="00A96960"/>
    <w:rsid w:val="00A969B1"/>
    <w:rsid w:val="00A96A9D"/>
    <w:rsid w:val="00A96B78"/>
    <w:rsid w:val="00A96C3B"/>
    <w:rsid w:val="00A97002"/>
    <w:rsid w:val="00A971A4"/>
    <w:rsid w:val="00A9745C"/>
    <w:rsid w:val="00A97460"/>
    <w:rsid w:val="00A9776D"/>
    <w:rsid w:val="00A97834"/>
    <w:rsid w:val="00A9786D"/>
    <w:rsid w:val="00A978DB"/>
    <w:rsid w:val="00A978E2"/>
    <w:rsid w:val="00A97CF8"/>
    <w:rsid w:val="00A97E22"/>
    <w:rsid w:val="00A97F05"/>
    <w:rsid w:val="00AA002A"/>
    <w:rsid w:val="00AA0119"/>
    <w:rsid w:val="00AA03A2"/>
    <w:rsid w:val="00AA05FD"/>
    <w:rsid w:val="00AA060F"/>
    <w:rsid w:val="00AA06ED"/>
    <w:rsid w:val="00AA06FC"/>
    <w:rsid w:val="00AA0844"/>
    <w:rsid w:val="00AA0851"/>
    <w:rsid w:val="00AA092A"/>
    <w:rsid w:val="00AA09E2"/>
    <w:rsid w:val="00AA0F96"/>
    <w:rsid w:val="00AA12EB"/>
    <w:rsid w:val="00AA1369"/>
    <w:rsid w:val="00AA145A"/>
    <w:rsid w:val="00AA15FA"/>
    <w:rsid w:val="00AA1654"/>
    <w:rsid w:val="00AA16DA"/>
    <w:rsid w:val="00AA176B"/>
    <w:rsid w:val="00AA17EF"/>
    <w:rsid w:val="00AA18A6"/>
    <w:rsid w:val="00AA1BD9"/>
    <w:rsid w:val="00AA1CB7"/>
    <w:rsid w:val="00AA1EF1"/>
    <w:rsid w:val="00AA210F"/>
    <w:rsid w:val="00AA2131"/>
    <w:rsid w:val="00AA2150"/>
    <w:rsid w:val="00AA21A7"/>
    <w:rsid w:val="00AA2230"/>
    <w:rsid w:val="00AA238F"/>
    <w:rsid w:val="00AA269C"/>
    <w:rsid w:val="00AA2B6A"/>
    <w:rsid w:val="00AA2C4F"/>
    <w:rsid w:val="00AA2CDF"/>
    <w:rsid w:val="00AA2E2B"/>
    <w:rsid w:val="00AA3319"/>
    <w:rsid w:val="00AA37CF"/>
    <w:rsid w:val="00AA3A64"/>
    <w:rsid w:val="00AA3B01"/>
    <w:rsid w:val="00AA4016"/>
    <w:rsid w:val="00AA40EB"/>
    <w:rsid w:val="00AA423D"/>
    <w:rsid w:val="00AA4362"/>
    <w:rsid w:val="00AA4724"/>
    <w:rsid w:val="00AA4B31"/>
    <w:rsid w:val="00AA4C7F"/>
    <w:rsid w:val="00AA517E"/>
    <w:rsid w:val="00AA5183"/>
    <w:rsid w:val="00AA524E"/>
    <w:rsid w:val="00AA52B6"/>
    <w:rsid w:val="00AA531E"/>
    <w:rsid w:val="00AA53D6"/>
    <w:rsid w:val="00AA53F3"/>
    <w:rsid w:val="00AA5528"/>
    <w:rsid w:val="00AA553D"/>
    <w:rsid w:val="00AA5594"/>
    <w:rsid w:val="00AA56EA"/>
    <w:rsid w:val="00AA5853"/>
    <w:rsid w:val="00AA59B7"/>
    <w:rsid w:val="00AA5ADD"/>
    <w:rsid w:val="00AA5BBD"/>
    <w:rsid w:val="00AA5E1D"/>
    <w:rsid w:val="00AA5E2E"/>
    <w:rsid w:val="00AA5E3B"/>
    <w:rsid w:val="00AA5FB0"/>
    <w:rsid w:val="00AA6045"/>
    <w:rsid w:val="00AA604F"/>
    <w:rsid w:val="00AA6084"/>
    <w:rsid w:val="00AA60F7"/>
    <w:rsid w:val="00AA622B"/>
    <w:rsid w:val="00AA6289"/>
    <w:rsid w:val="00AA64E3"/>
    <w:rsid w:val="00AA64F5"/>
    <w:rsid w:val="00AA65D7"/>
    <w:rsid w:val="00AA66CC"/>
    <w:rsid w:val="00AA674D"/>
    <w:rsid w:val="00AA678A"/>
    <w:rsid w:val="00AA6A7E"/>
    <w:rsid w:val="00AA6C1D"/>
    <w:rsid w:val="00AA6C99"/>
    <w:rsid w:val="00AA6C9D"/>
    <w:rsid w:val="00AA6E17"/>
    <w:rsid w:val="00AA6E9F"/>
    <w:rsid w:val="00AA6F2E"/>
    <w:rsid w:val="00AA722B"/>
    <w:rsid w:val="00AA7694"/>
    <w:rsid w:val="00AA7966"/>
    <w:rsid w:val="00AA7ACB"/>
    <w:rsid w:val="00AA7DB6"/>
    <w:rsid w:val="00AA7E74"/>
    <w:rsid w:val="00AA7ED2"/>
    <w:rsid w:val="00AB0250"/>
    <w:rsid w:val="00AB0477"/>
    <w:rsid w:val="00AB04E2"/>
    <w:rsid w:val="00AB06AC"/>
    <w:rsid w:val="00AB08C4"/>
    <w:rsid w:val="00AB09D7"/>
    <w:rsid w:val="00AB0BDC"/>
    <w:rsid w:val="00AB0E10"/>
    <w:rsid w:val="00AB0EBF"/>
    <w:rsid w:val="00AB1206"/>
    <w:rsid w:val="00AB1261"/>
    <w:rsid w:val="00AB1324"/>
    <w:rsid w:val="00AB1449"/>
    <w:rsid w:val="00AB1539"/>
    <w:rsid w:val="00AB1620"/>
    <w:rsid w:val="00AB1A71"/>
    <w:rsid w:val="00AB1A8D"/>
    <w:rsid w:val="00AB1C6F"/>
    <w:rsid w:val="00AB1D51"/>
    <w:rsid w:val="00AB1E09"/>
    <w:rsid w:val="00AB1E0F"/>
    <w:rsid w:val="00AB1EFF"/>
    <w:rsid w:val="00AB1F4B"/>
    <w:rsid w:val="00AB2077"/>
    <w:rsid w:val="00AB20B3"/>
    <w:rsid w:val="00AB21D6"/>
    <w:rsid w:val="00AB226F"/>
    <w:rsid w:val="00AB231E"/>
    <w:rsid w:val="00AB2383"/>
    <w:rsid w:val="00AB23AD"/>
    <w:rsid w:val="00AB2530"/>
    <w:rsid w:val="00AB286A"/>
    <w:rsid w:val="00AB28DB"/>
    <w:rsid w:val="00AB29CC"/>
    <w:rsid w:val="00AB2C65"/>
    <w:rsid w:val="00AB2C84"/>
    <w:rsid w:val="00AB2FCF"/>
    <w:rsid w:val="00AB3264"/>
    <w:rsid w:val="00AB3323"/>
    <w:rsid w:val="00AB3544"/>
    <w:rsid w:val="00AB361F"/>
    <w:rsid w:val="00AB3738"/>
    <w:rsid w:val="00AB377A"/>
    <w:rsid w:val="00AB3858"/>
    <w:rsid w:val="00AB3926"/>
    <w:rsid w:val="00AB3970"/>
    <w:rsid w:val="00AB3AF0"/>
    <w:rsid w:val="00AB3B1E"/>
    <w:rsid w:val="00AB3E52"/>
    <w:rsid w:val="00AB4293"/>
    <w:rsid w:val="00AB4320"/>
    <w:rsid w:val="00AB4374"/>
    <w:rsid w:val="00AB437A"/>
    <w:rsid w:val="00AB4548"/>
    <w:rsid w:val="00AB454B"/>
    <w:rsid w:val="00AB48DA"/>
    <w:rsid w:val="00AB4AEC"/>
    <w:rsid w:val="00AB4C18"/>
    <w:rsid w:val="00AB4CD4"/>
    <w:rsid w:val="00AB4E08"/>
    <w:rsid w:val="00AB4FA9"/>
    <w:rsid w:val="00AB5070"/>
    <w:rsid w:val="00AB5454"/>
    <w:rsid w:val="00AB5AAF"/>
    <w:rsid w:val="00AB5AD7"/>
    <w:rsid w:val="00AB5B69"/>
    <w:rsid w:val="00AB5B9C"/>
    <w:rsid w:val="00AB5D02"/>
    <w:rsid w:val="00AB5D7A"/>
    <w:rsid w:val="00AB5D8B"/>
    <w:rsid w:val="00AB6082"/>
    <w:rsid w:val="00AB60AC"/>
    <w:rsid w:val="00AB62A5"/>
    <w:rsid w:val="00AB64E5"/>
    <w:rsid w:val="00AB6525"/>
    <w:rsid w:val="00AB665E"/>
    <w:rsid w:val="00AB66F5"/>
    <w:rsid w:val="00AB6B24"/>
    <w:rsid w:val="00AB6B25"/>
    <w:rsid w:val="00AB6BCD"/>
    <w:rsid w:val="00AB6E44"/>
    <w:rsid w:val="00AB6E5C"/>
    <w:rsid w:val="00AB6E75"/>
    <w:rsid w:val="00AB6EE0"/>
    <w:rsid w:val="00AB70E0"/>
    <w:rsid w:val="00AB72AF"/>
    <w:rsid w:val="00AB73D5"/>
    <w:rsid w:val="00AB762A"/>
    <w:rsid w:val="00AB7739"/>
    <w:rsid w:val="00AB7884"/>
    <w:rsid w:val="00AB78CF"/>
    <w:rsid w:val="00AB791F"/>
    <w:rsid w:val="00AB7A48"/>
    <w:rsid w:val="00AB7A7C"/>
    <w:rsid w:val="00AB7B45"/>
    <w:rsid w:val="00AB7BBF"/>
    <w:rsid w:val="00AB7C84"/>
    <w:rsid w:val="00AB7CC1"/>
    <w:rsid w:val="00AB7E14"/>
    <w:rsid w:val="00AB7FE4"/>
    <w:rsid w:val="00AC0142"/>
    <w:rsid w:val="00AC01D5"/>
    <w:rsid w:val="00AC0460"/>
    <w:rsid w:val="00AC0478"/>
    <w:rsid w:val="00AC0517"/>
    <w:rsid w:val="00AC05BE"/>
    <w:rsid w:val="00AC05D5"/>
    <w:rsid w:val="00AC05FE"/>
    <w:rsid w:val="00AC0677"/>
    <w:rsid w:val="00AC06C4"/>
    <w:rsid w:val="00AC0A2F"/>
    <w:rsid w:val="00AC0A32"/>
    <w:rsid w:val="00AC0BA8"/>
    <w:rsid w:val="00AC0C71"/>
    <w:rsid w:val="00AC0D2B"/>
    <w:rsid w:val="00AC0F18"/>
    <w:rsid w:val="00AC0F40"/>
    <w:rsid w:val="00AC101C"/>
    <w:rsid w:val="00AC10E5"/>
    <w:rsid w:val="00AC1319"/>
    <w:rsid w:val="00AC134B"/>
    <w:rsid w:val="00AC1376"/>
    <w:rsid w:val="00AC1389"/>
    <w:rsid w:val="00AC1646"/>
    <w:rsid w:val="00AC1672"/>
    <w:rsid w:val="00AC18C0"/>
    <w:rsid w:val="00AC19C6"/>
    <w:rsid w:val="00AC1A97"/>
    <w:rsid w:val="00AC1BAB"/>
    <w:rsid w:val="00AC1C97"/>
    <w:rsid w:val="00AC1CF8"/>
    <w:rsid w:val="00AC1DF3"/>
    <w:rsid w:val="00AC1F1C"/>
    <w:rsid w:val="00AC1F20"/>
    <w:rsid w:val="00AC1F78"/>
    <w:rsid w:val="00AC2075"/>
    <w:rsid w:val="00AC2178"/>
    <w:rsid w:val="00AC217F"/>
    <w:rsid w:val="00AC24A0"/>
    <w:rsid w:val="00AC2546"/>
    <w:rsid w:val="00AC258B"/>
    <w:rsid w:val="00AC25AF"/>
    <w:rsid w:val="00AC2790"/>
    <w:rsid w:val="00AC27E4"/>
    <w:rsid w:val="00AC2801"/>
    <w:rsid w:val="00AC28B9"/>
    <w:rsid w:val="00AC29D7"/>
    <w:rsid w:val="00AC2B3A"/>
    <w:rsid w:val="00AC2B5D"/>
    <w:rsid w:val="00AC2B99"/>
    <w:rsid w:val="00AC2D28"/>
    <w:rsid w:val="00AC2D57"/>
    <w:rsid w:val="00AC2D8E"/>
    <w:rsid w:val="00AC2E60"/>
    <w:rsid w:val="00AC30D5"/>
    <w:rsid w:val="00AC34C5"/>
    <w:rsid w:val="00AC3578"/>
    <w:rsid w:val="00AC3656"/>
    <w:rsid w:val="00AC3970"/>
    <w:rsid w:val="00AC39E6"/>
    <w:rsid w:val="00AC39E7"/>
    <w:rsid w:val="00AC39EB"/>
    <w:rsid w:val="00AC3ABB"/>
    <w:rsid w:val="00AC3BDC"/>
    <w:rsid w:val="00AC3C40"/>
    <w:rsid w:val="00AC3F51"/>
    <w:rsid w:val="00AC4088"/>
    <w:rsid w:val="00AC40F4"/>
    <w:rsid w:val="00AC426F"/>
    <w:rsid w:val="00AC4348"/>
    <w:rsid w:val="00AC4368"/>
    <w:rsid w:val="00AC43F9"/>
    <w:rsid w:val="00AC4506"/>
    <w:rsid w:val="00AC4839"/>
    <w:rsid w:val="00AC4957"/>
    <w:rsid w:val="00AC49DE"/>
    <w:rsid w:val="00AC4A66"/>
    <w:rsid w:val="00AC4AA3"/>
    <w:rsid w:val="00AC4B00"/>
    <w:rsid w:val="00AC4D2E"/>
    <w:rsid w:val="00AC506C"/>
    <w:rsid w:val="00AC51CA"/>
    <w:rsid w:val="00AC5222"/>
    <w:rsid w:val="00AC522F"/>
    <w:rsid w:val="00AC5457"/>
    <w:rsid w:val="00AC55A3"/>
    <w:rsid w:val="00AC5673"/>
    <w:rsid w:val="00AC5712"/>
    <w:rsid w:val="00AC57CA"/>
    <w:rsid w:val="00AC594F"/>
    <w:rsid w:val="00AC5D5E"/>
    <w:rsid w:val="00AC6377"/>
    <w:rsid w:val="00AC67A4"/>
    <w:rsid w:val="00AC67C1"/>
    <w:rsid w:val="00AC68A5"/>
    <w:rsid w:val="00AC6991"/>
    <w:rsid w:val="00AC6A8F"/>
    <w:rsid w:val="00AC6DE5"/>
    <w:rsid w:val="00AC6EC0"/>
    <w:rsid w:val="00AC6F66"/>
    <w:rsid w:val="00AC6FB4"/>
    <w:rsid w:val="00AC7078"/>
    <w:rsid w:val="00AC70C3"/>
    <w:rsid w:val="00AC7147"/>
    <w:rsid w:val="00AC7222"/>
    <w:rsid w:val="00AC7252"/>
    <w:rsid w:val="00AC725C"/>
    <w:rsid w:val="00AC72ED"/>
    <w:rsid w:val="00AC745E"/>
    <w:rsid w:val="00AC74D4"/>
    <w:rsid w:val="00AC77DA"/>
    <w:rsid w:val="00AC78E4"/>
    <w:rsid w:val="00AC7969"/>
    <w:rsid w:val="00AC7A93"/>
    <w:rsid w:val="00AD00A5"/>
    <w:rsid w:val="00AD00C0"/>
    <w:rsid w:val="00AD0309"/>
    <w:rsid w:val="00AD0455"/>
    <w:rsid w:val="00AD064B"/>
    <w:rsid w:val="00AD0678"/>
    <w:rsid w:val="00AD077E"/>
    <w:rsid w:val="00AD0869"/>
    <w:rsid w:val="00AD0884"/>
    <w:rsid w:val="00AD0940"/>
    <w:rsid w:val="00AD0961"/>
    <w:rsid w:val="00AD0B1C"/>
    <w:rsid w:val="00AD0B80"/>
    <w:rsid w:val="00AD0E2A"/>
    <w:rsid w:val="00AD0FFD"/>
    <w:rsid w:val="00AD104A"/>
    <w:rsid w:val="00AD1570"/>
    <w:rsid w:val="00AD172B"/>
    <w:rsid w:val="00AD1831"/>
    <w:rsid w:val="00AD18AE"/>
    <w:rsid w:val="00AD1C9E"/>
    <w:rsid w:val="00AD1CBC"/>
    <w:rsid w:val="00AD1F2D"/>
    <w:rsid w:val="00AD2013"/>
    <w:rsid w:val="00AD24B7"/>
    <w:rsid w:val="00AD253B"/>
    <w:rsid w:val="00AD25D4"/>
    <w:rsid w:val="00AD267E"/>
    <w:rsid w:val="00AD2689"/>
    <w:rsid w:val="00AD27B1"/>
    <w:rsid w:val="00AD297F"/>
    <w:rsid w:val="00AD2A47"/>
    <w:rsid w:val="00AD2DA5"/>
    <w:rsid w:val="00AD2FE5"/>
    <w:rsid w:val="00AD308E"/>
    <w:rsid w:val="00AD31DE"/>
    <w:rsid w:val="00AD31EC"/>
    <w:rsid w:val="00AD322C"/>
    <w:rsid w:val="00AD3392"/>
    <w:rsid w:val="00AD339B"/>
    <w:rsid w:val="00AD343E"/>
    <w:rsid w:val="00AD3653"/>
    <w:rsid w:val="00AD367A"/>
    <w:rsid w:val="00AD3701"/>
    <w:rsid w:val="00AD39AE"/>
    <w:rsid w:val="00AD3A89"/>
    <w:rsid w:val="00AD3AE7"/>
    <w:rsid w:val="00AD3B0B"/>
    <w:rsid w:val="00AD3B2A"/>
    <w:rsid w:val="00AD3B6F"/>
    <w:rsid w:val="00AD3BA0"/>
    <w:rsid w:val="00AD3BF8"/>
    <w:rsid w:val="00AD3C14"/>
    <w:rsid w:val="00AD3CF1"/>
    <w:rsid w:val="00AD3FC4"/>
    <w:rsid w:val="00AD4099"/>
    <w:rsid w:val="00AD4194"/>
    <w:rsid w:val="00AD4334"/>
    <w:rsid w:val="00AD4788"/>
    <w:rsid w:val="00AD499D"/>
    <w:rsid w:val="00AD49E4"/>
    <w:rsid w:val="00AD4DD6"/>
    <w:rsid w:val="00AD51BC"/>
    <w:rsid w:val="00AD525F"/>
    <w:rsid w:val="00AD53F9"/>
    <w:rsid w:val="00AD54E8"/>
    <w:rsid w:val="00AD54EF"/>
    <w:rsid w:val="00AD5599"/>
    <w:rsid w:val="00AD560E"/>
    <w:rsid w:val="00AD5731"/>
    <w:rsid w:val="00AD5799"/>
    <w:rsid w:val="00AD5B88"/>
    <w:rsid w:val="00AD5C4C"/>
    <w:rsid w:val="00AD5D9A"/>
    <w:rsid w:val="00AD5E0F"/>
    <w:rsid w:val="00AD5E13"/>
    <w:rsid w:val="00AD5EFC"/>
    <w:rsid w:val="00AD5F6F"/>
    <w:rsid w:val="00AD5FC5"/>
    <w:rsid w:val="00AD6074"/>
    <w:rsid w:val="00AD6079"/>
    <w:rsid w:val="00AD607B"/>
    <w:rsid w:val="00AD610D"/>
    <w:rsid w:val="00AD61C7"/>
    <w:rsid w:val="00AD626F"/>
    <w:rsid w:val="00AD65E9"/>
    <w:rsid w:val="00AD672B"/>
    <w:rsid w:val="00AD6856"/>
    <w:rsid w:val="00AD68B9"/>
    <w:rsid w:val="00AD6960"/>
    <w:rsid w:val="00AD69F6"/>
    <w:rsid w:val="00AD6CB1"/>
    <w:rsid w:val="00AD70C4"/>
    <w:rsid w:val="00AD71B7"/>
    <w:rsid w:val="00AD7216"/>
    <w:rsid w:val="00AD75FA"/>
    <w:rsid w:val="00AD7684"/>
    <w:rsid w:val="00AD7805"/>
    <w:rsid w:val="00AD7807"/>
    <w:rsid w:val="00AD7B02"/>
    <w:rsid w:val="00AD7C88"/>
    <w:rsid w:val="00AD7D58"/>
    <w:rsid w:val="00AD7DB1"/>
    <w:rsid w:val="00AD7F83"/>
    <w:rsid w:val="00AE0006"/>
    <w:rsid w:val="00AE04CF"/>
    <w:rsid w:val="00AE0628"/>
    <w:rsid w:val="00AE06D6"/>
    <w:rsid w:val="00AE076C"/>
    <w:rsid w:val="00AE080A"/>
    <w:rsid w:val="00AE08DB"/>
    <w:rsid w:val="00AE0A28"/>
    <w:rsid w:val="00AE0AD3"/>
    <w:rsid w:val="00AE0B11"/>
    <w:rsid w:val="00AE0BD3"/>
    <w:rsid w:val="00AE0C81"/>
    <w:rsid w:val="00AE0CD2"/>
    <w:rsid w:val="00AE0D75"/>
    <w:rsid w:val="00AE0E20"/>
    <w:rsid w:val="00AE114E"/>
    <w:rsid w:val="00AE14A7"/>
    <w:rsid w:val="00AE154D"/>
    <w:rsid w:val="00AE1644"/>
    <w:rsid w:val="00AE1654"/>
    <w:rsid w:val="00AE167D"/>
    <w:rsid w:val="00AE1A3B"/>
    <w:rsid w:val="00AE1B7B"/>
    <w:rsid w:val="00AE1D5F"/>
    <w:rsid w:val="00AE237E"/>
    <w:rsid w:val="00AE23EE"/>
    <w:rsid w:val="00AE2457"/>
    <w:rsid w:val="00AE2475"/>
    <w:rsid w:val="00AE24C6"/>
    <w:rsid w:val="00AE257F"/>
    <w:rsid w:val="00AE25F6"/>
    <w:rsid w:val="00AE2928"/>
    <w:rsid w:val="00AE2B0B"/>
    <w:rsid w:val="00AE2BA3"/>
    <w:rsid w:val="00AE2C96"/>
    <w:rsid w:val="00AE2D36"/>
    <w:rsid w:val="00AE2D80"/>
    <w:rsid w:val="00AE2DE4"/>
    <w:rsid w:val="00AE2E06"/>
    <w:rsid w:val="00AE2F41"/>
    <w:rsid w:val="00AE2FBA"/>
    <w:rsid w:val="00AE2FFC"/>
    <w:rsid w:val="00AE32BB"/>
    <w:rsid w:val="00AE345D"/>
    <w:rsid w:val="00AE38E9"/>
    <w:rsid w:val="00AE3997"/>
    <w:rsid w:val="00AE3B9C"/>
    <w:rsid w:val="00AE3BBA"/>
    <w:rsid w:val="00AE3CB4"/>
    <w:rsid w:val="00AE3EF4"/>
    <w:rsid w:val="00AE40E0"/>
    <w:rsid w:val="00AE4172"/>
    <w:rsid w:val="00AE41D5"/>
    <w:rsid w:val="00AE434F"/>
    <w:rsid w:val="00AE4442"/>
    <w:rsid w:val="00AE45AB"/>
    <w:rsid w:val="00AE46B5"/>
    <w:rsid w:val="00AE478E"/>
    <w:rsid w:val="00AE48C2"/>
    <w:rsid w:val="00AE4E11"/>
    <w:rsid w:val="00AE501F"/>
    <w:rsid w:val="00AE50A3"/>
    <w:rsid w:val="00AE52D9"/>
    <w:rsid w:val="00AE53E3"/>
    <w:rsid w:val="00AE5607"/>
    <w:rsid w:val="00AE5678"/>
    <w:rsid w:val="00AE57BB"/>
    <w:rsid w:val="00AE57F2"/>
    <w:rsid w:val="00AE5927"/>
    <w:rsid w:val="00AE5D0F"/>
    <w:rsid w:val="00AE5E2B"/>
    <w:rsid w:val="00AE5EC9"/>
    <w:rsid w:val="00AE5F6A"/>
    <w:rsid w:val="00AE5FED"/>
    <w:rsid w:val="00AE6190"/>
    <w:rsid w:val="00AE61D2"/>
    <w:rsid w:val="00AE62BB"/>
    <w:rsid w:val="00AE6370"/>
    <w:rsid w:val="00AE6448"/>
    <w:rsid w:val="00AE651C"/>
    <w:rsid w:val="00AE6578"/>
    <w:rsid w:val="00AE6596"/>
    <w:rsid w:val="00AE65F0"/>
    <w:rsid w:val="00AE67DB"/>
    <w:rsid w:val="00AE6828"/>
    <w:rsid w:val="00AE6910"/>
    <w:rsid w:val="00AE6977"/>
    <w:rsid w:val="00AE6B19"/>
    <w:rsid w:val="00AE6C10"/>
    <w:rsid w:val="00AE6C47"/>
    <w:rsid w:val="00AE6CEE"/>
    <w:rsid w:val="00AE6F00"/>
    <w:rsid w:val="00AE6F61"/>
    <w:rsid w:val="00AE6F68"/>
    <w:rsid w:val="00AE708A"/>
    <w:rsid w:val="00AE70B2"/>
    <w:rsid w:val="00AE72B9"/>
    <w:rsid w:val="00AE7411"/>
    <w:rsid w:val="00AE77AD"/>
    <w:rsid w:val="00AE78A8"/>
    <w:rsid w:val="00AE792C"/>
    <w:rsid w:val="00AE7A46"/>
    <w:rsid w:val="00AE7C04"/>
    <w:rsid w:val="00AE7ED9"/>
    <w:rsid w:val="00AE7F74"/>
    <w:rsid w:val="00AF008E"/>
    <w:rsid w:val="00AF02D7"/>
    <w:rsid w:val="00AF03C3"/>
    <w:rsid w:val="00AF047A"/>
    <w:rsid w:val="00AF05DE"/>
    <w:rsid w:val="00AF06CA"/>
    <w:rsid w:val="00AF0849"/>
    <w:rsid w:val="00AF0CB1"/>
    <w:rsid w:val="00AF0DD5"/>
    <w:rsid w:val="00AF0DF0"/>
    <w:rsid w:val="00AF0EAC"/>
    <w:rsid w:val="00AF0F15"/>
    <w:rsid w:val="00AF0F18"/>
    <w:rsid w:val="00AF0FE8"/>
    <w:rsid w:val="00AF10F9"/>
    <w:rsid w:val="00AF11F3"/>
    <w:rsid w:val="00AF123F"/>
    <w:rsid w:val="00AF1342"/>
    <w:rsid w:val="00AF1361"/>
    <w:rsid w:val="00AF14BC"/>
    <w:rsid w:val="00AF14E6"/>
    <w:rsid w:val="00AF157A"/>
    <w:rsid w:val="00AF16D7"/>
    <w:rsid w:val="00AF18C7"/>
    <w:rsid w:val="00AF1911"/>
    <w:rsid w:val="00AF1B10"/>
    <w:rsid w:val="00AF1D26"/>
    <w:rsid w:val="00AF1D6F"/>
    <w:rsid w:val="00AF1E66"/>
    <w:rsid w:val="00AF1F36"/>
    <w:rsid w:val="00AF1F99"/>
    <w:rsid w:val="00AF1FBA"/>
    <w:rsid w:val="00AF2231"/>
    <w:rsid w:val="00AF22B0"/>
    <w:rsid w:val="00AF22D2"/>
    <w:rsid w:val="00AF2831"/>
    <w:rsid w:val="00AF2989"/>
    <w:rsid w:val="00AF29C4"/>
    <w:rsid w:val="00AF2A3F"/>
    <w:rsid w:val="00AF2ADB"/>
    <w:rsid w:val="00AF2B19"/>
    <w:rsid w:val="00AF2B99"/>
    <w:rsid w:val="00AF2C3E"/>
    <w:rsid w:val="00AF2CEA"/>
    <w:rsid w:val="00AF2EBC"/>
    <w:rsid w:val="00AF2FF2"/>
    <w:rsid w:val="00AF3202"/>
    <w:rsid w:val="00AF3519"/>
    <w:rsid w:val="00AF366D"/>
    <w:rsid w:val="00AF3697"/>
    <w:rsid w:val="00AF373F"/>
    <w:rsid w:val="00AF37A9"/>
    <w:rsid w:val="00AF3807"/>
    <w:rsid w:val="00AF3C8B"/>
    <w:rsid w:val="00AF40DB"/>
    <w:rsid w:val="00AF410C"/>
    <w:rsid w:val="00AF4336"/>
    <w:rsid w:val="00AF453B"/>
    <w:rsid w:val="00AF463F"/>
    <w:rsid w:val="00AF4722"/>
    <w:rsid w:val="00AF4869"/>
    <w:rsid w:val="00AF4B5E"/>
    <w:rsid w:val="00AF4D66"/>
    <w:rsid w:val="00AF4ED5"/>
    <w:rsid w:val="00AF50BE"/>
    <w:rsid w:val="00AF512D"/>
    <w:rsid w:val="00AF51E2"/>
    <w:rsid w:val="00AF53D1"/>
    <w:rsid w:val="00AF5605"/>
    <w:rsid w:val="00AF5692"/>
    <w:rsid w:val="00AF56AC"/>
    <w:rsid w:val="00AF56F4"/>
    <w:rsid w:val="00AF5982"/>
    <w:rsid w:val="00AF5B40"/>
    <w:rsid w:val="00AF5B9F"/>
    <w:rsid w:val="00AF5C06"/>
    <w:rsid w:val="00AF5D79"/>
    <w:rsid w:val="00AF5E00"/>
    <w:rsid w:val="00AF5E0A"/>
    <w:rsid w:val="00AF5F75"/>
    <w:rsid w:val="00AF61D7"/>
    <w:rsid w:val="00AF62AC"/>
    <w:rsid w:val="00AF653D"/>
    <w:rsid w:val="00AF6551"/>
    <w:rsid w:val="00AF65BA"/>
    <w:rsid w:val="00AF68E9"/>
    <w:rsid w:val="00AF691D"/>
    <w:rsid w:val="00AF6D03"/>
    <w:rsid w:val="00AF6D4D"/>
    <w:rsid w:val="00AF6EB3"/>
    <w:rsid w:val="00AF7156"/>
    <w:rsid w:val="00AF7181"/>
    <w:rsid w:val="00AF7199"/>
    <w:rsid w:val="00AF7454"/>
    <w:rsid w:val="00AF74B0"/>
    <w:rsid w:val="00AF761B"/>
    <w:rsid w:val="00AF76F5"/>
    <w:rsid w:val="00AF7988"/>
    <w:rsid w:val="00AF7B0D"/>
    <w:rsid w:val="00AF7E64"/>
    <w:rsid w:val="00AF7F14"/>
    <w:rsid w:val="00B0008D"/>
    <w:rsid w:val="00B0028D"/>
    <w:rsid w:val="00B006B9"/>
    <w:rsid w:val="00B008B0"/>
    <w:rsid w:val="00B0090D"/>
    <w:rsid w:val="00B00A9B"/>
    <w:rsid w:val="00B00E0B"/>
    <w:rsid w:val="00B0108D"/>
    <w:rsid w:val="00B011DD"/>
    <w:rsid w:val="00B013BC"/>
    <w:rsid w:val="00B0140D"/>
    <w:rsid w:val="00B01437"/>
    <w:rsid w:val="00B0168E"/>
    <w:rsid w:val="00B019E2"/>
    <w:rsid w:val="00B019E5"/>
    <w:rsid w:val="00B01A21"/>
    <w:rsid w:val="00B01AB6"/>
    <w:rsid w:val="00B01BBF"/>
    <w:rsid w:val="00B01BC7"/>
    <w:rsid w:val="00B01D8F"/>
    <w:rsid w:val="00B01DA4"/>
    <w:rsid w:val="00B01DE2"/>
    <w:rsid w:val="00B01E28"/>
    <w:rsid w:val="00B01EDE"/>
    <w:rsid w:val="00B01F0C"/>
    <w:rsid w:val="00B01F7C"/>
    <w:rsid w:val="00B02107"/>
    <w:rsid w:val="00B021BC"/>
    <w:rsid w:val="00B023E6"/>
    <w:rsid w:val="00B0244F"/>
    <w:rsid w:val="00B02459"/>
    <w:rsid w:val="00B024B9"/>
    <w:rsid w:val="00B027A1"/>
    <w:rsid w:val="00B02981"/>
    <w:rsid w:val="00B02994"/>
    <w:rsid w:val="00B02A97"/>
    <w:rsid w:val="00B02B37"/>
    <w:rsid w:val="00B02B93"/>
    <w:rsid w:val="00B02C9E"/>
    <w:rsid w:val="00B02D25"/>
    <w:rsid w:val="00B02FB2"/>
    <w:rsid w:val="00B03263"/>
    <w:rsid w:val="00B03930"/>
    <w:rsid w:val="00B03955"/>
    <w:rsid w:val="00B0399A"/>
    <w:rsid w:val="00B03F74"/>
    <w:rsid w:val="00B040DC"/>
    <w:rsid w:val="00B042BA"/>
    <w:rsid w:val="00B045FC"/>
    <w:rsid w:val="00B04742"/>
    <w:rsid w:val="00B04ACF"/>
    <w:rsid w:val="00B04AE9"/>
    <w:rsid w:val="00B04AEA"/>
    <w:rsid w:val="00B04C86"/>
    <w:rsid w:val="00B04EB8"/>
    <w:rsid w:val="00B050E3"/>
    <w:rsid w:val="00B051B7"/>
    <w:rsid w:val="00B051D6"/>
    <w:rsid w:val="00B05689"/>
    <w:rsid w:val="00B056F0"/>
    <w:rsid w:val="00B05777"/>
    <w:rsid w:val="00B057FD"/>
    <w:rsid w:val="00B05C51"/>
    <w:rsid w:val="00B05D59"/>
    <w:rsid w:val="00B06201"/>
    <w:rsid w:val="00B065EF"/>
    <w:rsid w:val="00B066D5"/>
    <w:rsid w:val="00B06756"/>
    <w:rsid w:val="00B06799"/>
    <w:rsid w:val="00B06844"/>
    <w:rsid w:val="00B06A0B"/>
    <w:rsid w:val="00B06C38"/>
    <w:rsid w:val="00B06FBF"/>
    <w:rsid w:val="00B06FD0"/>
    <w:rsid w:val="00B0700F"/>
    <w:rsid w:val="00B070B7"/>
    <w:rsid w:val="00B07134"/>
    <w:rsid w:val="00B0713E"/>
    <w:rsid w:val="00B071A6"/>
    <w:rsid w:val="00B071E0"/>
    <w:rsid w:val="00B072C8"/>
    <w:rsid w:val="00B072CE"/>
    <w:rsid w:val="00B07332"/>
    <w:rsid w:val="00B07413"/>
    <w:rsid w:val="00B07592"/>
    <w:rsid w:val="00B0779D"/>
    <w:rsid w:val="00B07993"/>
    <w:rsid w:val="00B07A34"/>
    <w:rsid w:val="00B07D20"/>
    <w:rsid w:val="00B07E75"/>
    <w:rsid w:val="00B07F9C"/>
    <w:rsid w:val="00B100B2"/>
    <w:rsid w:val="00B1021F"/>
    <w:rsid w:val="00B1029A"/>
    <w:rsid w:val="00B1044E"/>
    <w:rsid w:val="00B1059F"/>
    <w:rsid w:val="00B108F9"/>
    <w:rsid w:val="00B109CE"/>
    <w:rsid w:val="00B10B2B"/>
    <w:rsid w:val="00B10BCC"/>
    <w:rsid w:val="00B10DC2"/>
    <w:rsid w:val="00B10DD7"/>
    <w:rsid w:val="00B110DA"/>
    <w:rsid w:val="00B1131B"/>
    <w:rsid w:val="00B1161A"/>
    <w:rsid w:val="00B11650"/>
    <w:rsid w:val="00B11A39"/>
    <w:rsid w:val="00B11AA7"/>
    <w:rsid w:val="00B11B3C"/>
    <w:rsid w:val="00B11D4D"/>
    <w:rsid w:val="00B11DB5"/>
    <w:rsid w:val="00B11E62"/>
    <w:rsid w:val="00B11EF6"/>
    <w:rsid w:val="00B120CE"/>
    <w:rsid w:val="00B121CE"/>
    <w:rsid w:val="00B122D0"/>
    <w:rsid w:val="00B1232A"/>
    <w:rsid w:val="00B12512"/>
    <w:rsid w:val="00B1255D"/>
    <w:rsid w:val="00B12644"/>
    <w:rsid w:val="00B12727"/>
    <w:rsid w:val="00B127AC"/>
    <w:rsid w:val="00B1291C"/>
    <w:rsid w:val="00B1295E"/>
    <w:rsid w:val="00B12B16"/>
    <w:rsid w:val="00B12C2B"/>
    <w:rsid w:val="00B12DF4"/>
    <w:rsid w:val="00B13262"/>
    <w:rsid w:val="00B13368"/>
    <w:rsid w:val="00B13550"/>
    <w:rsid w:val="00B13693"/>
    <w:rsid w:val="00B13798"/>
    <w:rsid w:val="00B13953"/>
    <w:rsid w:val="00B139C1"/>
    <w:rsid w:val="00B13B9D"/>
    <w:rsid w:val="00B1417B"/>
    <w:rsid w:val="00B14182"/>
    <w:rsid w:val="00B148F1"/>
    <w:rsid w:val="00B14973"/>
    <w:rsid w:val="00B14995"/>
    <w:rsid w:val="00B14AF6"/>
    <w:rsid w:val="00B14BF0"/>
    <w:rsid w:val="00B14C60"/>
    <w:rsid w:val="00B14CB3"/>
    <w:rsid w:val="00B14E5A"/>
    <w:rsid w:val="00B15053"/>
    <w:rsid w:val="00B150B6"/>
    <w:rsid w:val="00B150CF"/>
    <w:rsid w:val="00B15535"/>
    <w:rsid w:val="00B15612"/>
    <w:rsid w:val="00B1566F"/>
    <w:rsid w:val="00B15685"/>
    <w:rsid w:val="00B15697"/>
    <w:rsid w:val="00B15777"/>
    <w:rsid w:val="00B1581D"/>
    <w:rsid w:val="00B158CC"/>
    <w:rsid w:val="00B15970"/>
    <w:rsid w:val="00B15A9C"/>
    <w:rsid w:val="00B15B9C"/>
    <w:rsid w:val="00B15E45"/>
    <w:rsid w:val="00B15EF9"/>
    <w:rsid w:val="00B16022"/>
    <w:rsid w:val="00B1606A"/>
    <w:rsid w:val="00B164BF"/>
    <w:rsid w:val="00B1678F"/>
    <w:rsid w:val="00B167FA"/>
    <w:rsid w:val="00B1697C"/>
    <w:rsid w:val="00B16A92"/>
    <w:rsid w:val="00B16B42"/>
    <w:rsid w:val="00B16D37"/>
    <w:rsid w:val="00B16DDC"/>
    <w:rsid w:val="00B16E7D"/>
    <w:rsid w:val="00B16EDD"/>
    <w:rsid w:val="00B170CC"/>
    <w:rsid w:val="00B1715B"/>
    <w:rsid w:val="00B1727A"/>
    <w:rsid w:val="00B173AD"/>
    <w:rsid w:val="00B173CD"/>
    <w:rsid w:val="00B17417"/>
    <w:rsid w:val="00B174C1"/>
    <w:rsid w:val="00B17550"/>
    <w:rsid w:val="00B17562"/>
    <w:rsid w:val="00B175DE"/>
    <w:rsid w:val="00B1764C"/>
    <w:rsid w:val="00B1782D"/>
    <w:rsid w:val="00B17F83"/>
    <w:rsid w:val="00B20114"/>
    <w:rsid w:val="00B201F4"/>
    <w:rsid w:val="00B202D5"/>
    <w:rsid w:val="00B20382"/>
    <w:rsid w:val="00B205A4"/>
    <w:rsid w:val="00B2068A"/>
    <w:rsid w:val="00B209EF"/>
    <w:rsid w:val="00B20B28"/>
    <w:rsid w:val="00B20DC1"/>
    <w:rsid w:val="00B20E52"/>
    <w:rsid w:val="00B21092"/>
    <w:rsid w:val="00B21165"/>
    <w:rsid w:val="00B21214"/>
    <w:rsid w:val="00B2125A"/>
    <w:rsid w:val="00B21390"/>
    <w:rsid w:val="00B214E7"/>
    <w:rsid w:val="00B21534"/>
    <w:rsid w:val="00B21636"/>
    <w:rsid w:val="00B2169C"/>
    <w:rsid w:val="00B21AAF"/>
    <w:rsid w:val="00B21D3F"/>
    <w:rsid w:val="00B21DF0"/>
    <w:rsid w:val="00B21F4A"/>
    <w:rsid w:val="00B220C1"/>
    <w:rsid w:val="00B22487"/>
    <w:rsid w:val="00B225FA"/>
    <w:rsid w:val="00B22607"/>
    <w:rsid w:val="00B227BA"/>
    <w:rsid w:val="00B2290A"/>
    <w:rsid w:val="00B22A08"/>
    <w:rsid w:val="00B22A3E"/>
    <w:rsid w:val="00B22AAE"/>
    <w:rsid w:val="00B22CC5"/>
    <w:rsid w:val="00B2302F"/>
    <w:rsid w:val="00B23050"/>
    <w:rsid w:val="00B233C1"/>
    <w:rsid w:val="00B23933"/>
    <w:rsid w:val="00B23B52"/>
    <w:rsid w:val="00B23CE6"/>
    <w:rsid w:val="00B23D1C"/>
    <w:rsid w:val="00B23DA5"/>
    <w:rsid w:val="00B23E4C"/>
    <w:rsid w:val="00B24038"/>
    <w:rsid w:val="00B24045"/>
    <w:rsid w:val="00B2416B"/>
    <w:rsid w:val="00B24227"/>
    <w:rsid w:val="00B243C5"/>
    <w:rsid w:val="00B243D4"/>
    <w:rsid w:val="00B24580"/>
    <w:rsid w:val="00B245DD"/>
    <w:rsid w:val="00B246D7"/>
    <w:rsid w:val="00B2475F"/>
    <w:rsid w:val="00B24841"/>
    <w:rsid w:val="00B2493F"/>
    <w:rsid w:val="00B24952"/>
    <w:rsid w:val="00B24957"/>
    <w:rsid w:val="00B249C5"/>
    <w:rsid w:val="00B249E9"/>
    <w:rsid w:val="00B24AAC"/>
    <w:rsid w:val="00B24B41"/>
    <w:rsid w:val="00B24B64"/>
    <w:rsid w:val="00B24D3A"/>
    <w:rsid w:val="00B24DDB"/>
    <w:rsid w:val="00B24E58"/>
    <w:rsid w:val="00B24EA4"/>
    <w:rsid w:val="00B2518E"/>
    <w:rsid w:val="00B2520B"/>
    <w:rsid w:val="00B2530C"/>
    <w:rsid w:val="00B254B7"/>
    <w:rsid w:val="00B254C9"/>
    <w:rsid w:val="00B257D4"/>
    <w:rsid w:val="00B25894"/>
    <w:rsid w:val="00B25BBA"/>
    <w:rsid w:val="00B25BDD"/>
    <w:rsid w:val="00B25DA7"/>
    <w:rsid w:val="00B25DB2"/>
    <w:rsid w:val="00B25F71"/>
    <w:rsid w:val="00B260CA"/>
    <w:rsid w:val="00B261EA"/>
    <w:rsid w:val="00B26402"/>
    <w:rsid w:val="00B264A1"/>
    <w:rsid w:val="00B26556"/>
    <w:rsid w:val="00B265DB"/>
    <w:rsid w:val="00B26875"/>
    <w:rsid w:val="00B269A1"/>
    <w:rsid w:val="00B26C79"/>
    <w:rsid w:val="00B26CA3"/>
    <w:rsid w:val="00B27051"/>
    <w:rsid w:val="00B27174"/>
    <w:rsid w:val="00B27766"/>
    <w:rsid w:val="00B277CE"/>
    <w:rsid w:val="00B2798E"/>
    <w:rsid w:val="00B27A46"/>
    <w:rsid w:val="00B27E3C"/>
    <w:rsid w:val="00B3022F"/>
    <w:rsid w:val="00B3064B"/>
    <w:rsid w:val="00B30723"/>
    <w:rsid w:val="00B307D4"/>
    <w:rsid w:val="00B30844"/>
    <w:rsid w:val="00B308ED"/>
    <w:rsid w:val="00B30949"/>
    <w:rsid w:val="00B30A51"/>
    <w:rsid w:val="00B30C9B"/>
    <w:rsid w:val="00B30CD7"/>
    <w:rsid w:val="00B30D1B"/>
    <w:rsid w:val="00B30D98"/>
    <w:rsid w:val="00B30DAD"/>
    <w:rsid w:val="00B30EDE"/>
    <w:rsid w:val="00B30FAA"/>
    <w:rsid w:val="00B311C0"/>
    <w:rsid w:val="00B31237"/>
    <w:rsid w:val="00B313B6"/>
    <w:rsid w:val="00B316DB"/>
    <w:rsid w:val="00B317A1"/>
    <w:rsid w:val="00B31852"/>
    <w:rsid w:val="00B319C3"/>
    <w:rsid w:val="00B319E6"/>
    <w:rsid w:val="00B31BF1"/>
    <w:rsid w:val="00B31CD6"/>
    <w:rsid w:val="00B31E04"/>
    <w:rsid w:val="00B31FD4"/>
    <w:rsid w:val="00B321DE"/>
    <w:rsid w:val="00B322DB"/>
    <w:rsid w:val="00B32441"/>
    <w:rsid w:val="00B32544"/>
    <w:rsid w:val="00B326A6"/>
    <w:rsid w:val="00B3279F"/>
    <w:rsid w:val="00B32A44"/>
    <w:rsid w:val="00B32C53"/>
    <w:rsid w:val="00B32D45"/>
    <w:rsid w:val="00B32F52"/>
    <w:rsid w:val="00B33487"/>
    <w:rsid w:val="00B33707"/>
    <w:rsid w:val="00B33932"/>
    <w:rsid w:val="00B33960"/>
    <w:rsid w:val="00B339F1"/>
    <w:rsid w:val="00B33A13"/>
    <w:rsid w:val="00B33B26"/>
    <w:rsid w:val="00B33D1A"/>
    <w:rsid w:val="00B34120"/>
    <w:rsid w:val="00B34297"/>
    <w:rsid w:val="00B3460B"/>
    <w:rsid w:val="00B346FC"/>
    <w:rsid w:val="00B34C27"/>
    <w:rsid w:val="00B34C80"/>
    <w:rsid w:val="00B34F58"/>
    <w:rsid w:val="00B3504F"/>
    <w:rsid w:val="00B35487"/>
    <w:rsid w:val="00B3549C"/>
    <w:rsid w:val="00B354D9"/>
    <w:rsid w:val="00B35523"/>
    <w:rsid w:val="00B35556"/>
    <w:rsid w:val="00B355D1"/>
    <w:rsid w:val="00B35648"/>
    <w:rsid w:val="00B35691"/>
    <w:rsid w:val="00B35768"/>
    <w:rsid w:val="00B35A7E"/>
    <w:rsid w:val="00B35AB4"/>
    <w:rsid w:val="00B35AD2"/>
    <w:rsid w:val="00B35E34"/>
    <w:rsid w:val="00B35F7A"/>
    <w:rsid w:val="00B36799"/>
    <w:rsid w:val="00B367A1"/>
    <w:rsid w:val="00B36804"/>
    <w:rsid w:val="00B368B5"/>
    <w:rsid w:val="00B369B1"/>
    <w:rsid w:val="00B36AE0"/>
    <w:rsid w:val="00B36CFF"/>
    <w:rsid w:val="00B36F06"/>
    <w:rsid w:val="00B37137"/>
    <w:rsid w:val="00B37400"/>
    <w:rsid w:val="00B374A1"/>
    <w:rsid w:val="00B37581"/>
    <w:rsid w:val="00B375C6"/>
    <w:rsid w:val="00B3772F"/>
    <w:rsid w:val="00B37A80"/>
    <w:rsid w:val="00B37BF2"/>
    <w:rsid w:val="00B37BFC"/>
    <w:rsid w:val="00B37CCE"/>
    <w:rsid w:val="00B37E89"/>
    <w:rsid w:val="00B37EEF"/>
    <w:rsid w:val="00B37FA1"/>
    <w:rsid w:val="00B40085"/>
    <w:rsid w:val="00B403DB"/>
    <w:rsid w:val="00B403FA"/>
    <w:rsid w:val="00B4055B"/>
    <w:rsid w:val="00B40607"/>
    <w:rsid w:val="00B40618"/>
    <w:rsid w:val="00B40725"/>
    <w:rsid w:val="00B4092B"/>
    <w:rsid w:val="00B40A18"/>
    <w:rsid w:val="00B40E01"/>
    <w:rsid w:val="00B40F11"/>
    <w:rsid w:val="00B40FC0"/>
    <w:rsid w:val="00B41052"/>
    <w:rsid w:val="00B41307"/>
    <w:rsid w:val="00B4141F"/>
    <w:rsid w:val="00B4144D"/>
    <w:rsid w:val="00B41628"/>
    <w:rsid w:val="00B417A6"/>
    <w:rsid w:val="00B4186D"/>
    <w:rsid w:val="00B418D5"/>
    <w:rsid w:val="00B41AA0"/>
    <w:rsid w:val="00B41C34"/>
    <w:rsid w:val="00B41DBB"/>
    <w:rsid w:val="00B41E3E"/>
    <w:rsid w:val="00B41E9D"/>
    <w:rsid w:val="00B41FF1"/>
    <w:rsid w:val="00B42003"/>
    <w:rsid w:val="00B42090"/>
    <w:rsid w:val="00B42146"/>
    <w:rsid w:val="00B427F1"/>
    <w:rsid w:val="00B42829"/>
    <w:rsid w:val="00B42BF4"/>
    <w:rsid w:val="00B42CBC"/>
    <w:rsid w:val="00B42F5E"/>
    <w:rsid w:val="00B42F92"/>
    <w:rsid w:val="00B42FA4"/>
    <w:rsid w:val="00B42FDB"/>
    <w:rsid w:val="00B4329A"/>
    <w:rsid w:val="00B438B3"/>
    <w:rsid w:val="00B439DC"/>
    <w:rsid w:val="00B43A62"/>
    <w:rsid w:val="00B43B56"/>
    <w:rsid w:val="00B43B62"/>
    <w:rsid w:val="00B43B9A"/>
    <w:rsid w:val="00B43D25"/>
    <w:rsid w:val="00B43E04"/>
    <w:rsid w:val="00B43ECC"/>
    <w:rsid w:val="00B43F59"/>
    <w:rsid w:val="00B43F95"/>
    <w:rsid w:val="00B4416B"/>
    <w:rsid w:val="00B4421E"/>
    <w:rsid w:val="00B442B2"/>
    <w:rsid w:val="00B444A0"/>
    <w:rsid w:val="00B444F6"/>
    <w:rsid w:val="00B44820"/>
    <w:rsid w:val="00B448F2"/>
    <w:rsid w:val="00B44A73"/>
    <w:rsid w:val="00B44DED"/>
    <w:rsid w:val="00B44E3C"/>
    <w:rsid w:val="00B45239"/>
    <w:rsid w:val="00B453EA"/>
    <w:rsid w:val="00B45702"/>
    <w:rsid w:val="00B45829"/>
    <w:rsid w:val="00B459B3"/>
    <w:rsid w:val="00B459CC"/>
    <w:rsid w:val="00B45BC0"/>
    <w:rsid w:val="00B45BCA"/>
    <w:rsid w:val="00B45C0C"/>
    <w:rsid w:val="00B45E60"/>
    <w:rsid w:val="00B45E84"/>
    <w:rsid w:val="00B45EB1"/>
    <w:rsid w:val="00B46080"/>
    <w:rsid w:val="00B460AB"/>
    <w:rsid w:val="00B463B4"/>
    <w:rsid w:val="00B463BD"/>
    <w:rsid w:val="00B468CF"/>
    <w:rsid w:val="00B46A39"/>
    <w:rsid w:val="00B46F34"/>
    <w:rsid w:val="00B4704E"/>
    <w:rsid w:val="00B47093"/>
    <w:rsid w:val="00B47281"/>
    <w:rsid w:val="00B4751F"/>
    <w:rsid w:val="00B47654"/>
    <w:rsid w:val="00B477F1"/>
    <w:rsid w:val="00B47A30"/>
    <w:rsid w:val="00B47AF4"/>
    <w:rsid w:val="00B47B72"/>
    <w:rsid w:val="00B47D97"/>
    <w:rsid w:val="00B47E5D"/>
    <w:rsid w:val="00B5036D"/>
    <w:rsid w:val="00B503C4"/>
    <w:rsid w:val="00B504C6"/>
    <w:rsid w:val="00B504EE"/>
    <w:rsid w:val="00B5060D"/>
    <w:rsid w:val="00B50650"/>
    <w:rsid w:val="00B506DA"/>
    <w:rsid w:val="00B5082F"/>
    <w:rsid w:val="00B50978"/>
    <w:rsid w:val="00B50B8E"/>
    <w:rsid w:val="00B50C33"/>
    <w:rsid w:val="00B50DDC"/>
    <w:rsid w:val="00B50DEA"/>
    <w:rsid w:val="00B50FE2"/>
    <w:rsid w:val="00B511C8"/>
    <w:rsid w:val="00B51201"/>
    <w:rsid w:val="00B5144C"/>
    <w:rsid w:val="00B51731"/>
    <w:rsid w:val="00B51741"/>
    <w:rsid w:val="00B5198B"/>
    <w:rsid w:val="00B5199A"/>
    <w:rsid w:val="00B51B3E"/>
    <w:rsid w:val="00B51B47"/>
    <w:rsid w:val="00B51B7D"/>
    <w:rsid w:val="00B520EF"/>
    <w:rsid w:val="00B522F4"/>
    <w:rsid w:val="00B52394"/>
    <w:rsid w:val="00B52458"/>
    <w:rsid w:val="00B524EB"/>
    <w:rsid w:val="00B525DE"/>
    <w:rsid w:val="00B526BD"/>
    <w:rsid w:val="00B5295C"/>
    <w:rsid w:val="00B52A39"/>
    <w:rsid w:val="00B52CD7"/>
    <w:rsid w:val="00B52E84"/>
    <w:rsid w:val="00B52FD9"/>
    <w:rsid w:val="00B530DA"/>
    <w:rsid w:val="00B530F6"/>
    <w:rsid w:val="00B5324F"/>
    <w:rsid w:val="00B533AE"/>
    <w:rsid w:val="00B53482"/>
    <w:rsid w:val="00B5371B"/>
    <w:rsid w:val="00B53857"/>
    <w:rsid w:val="00B538A2"/>
    <w:rsid w:val="00B53976"/>
    <w:rsid w:val="00B53A44"/>
    <w:rsid w:val="00B54041"/>
    <w:rsid w:val="00B54133"/>
    <w:rsid w:val="00B54206"/>
    <w:rsid w:val="00B54214"/>
    <w:rsid w:val="00B5426F"/>
    <w:rsid w:val="00B5429D"/>
    <w:rsid w:val="00B543E6"/>
    <w:rsid w:val="00B5446D"/>
    <w:rsid w:val="00B546BA"/>
    <w:rsid w:val="00B54B50"/>
    <w:rsid w:val="00B54E27"/>
    <w:rsid w:val="00B55148"/>
    <w:rsid w:val="00B55273"/>
    <w:rsid w:val="00B5532F"/>
    <w:rsid w:val="00B55410"/>
    <w:rsid w:val="00B5546B"/>
    <w:rsid w:val="00B55645"/>
    <w:rsid w:val="00B55706"/>
    <w:rsid w:val="00B5572C"/>
    <w:rsid w:val="00B55749"/>
    <w:rsid w:val="00B55AB3"/>
    <w:rsid w:val="00B55F47"/>
    <w:rsid w:val="00B562AA"/>
    <w:rsid w:val="00B566AC"/>
    <w:rsid w:val="00B566E6"/>
    <w:rsid w:val="00B569C7"/>
    <w:rsid w:val="00B569D9"/>
    <w:rsid w:val="00B56B7F"/>
    <w:rsid w:val="00B56CA8"/>
    <w:rsid w:val="00B56D02"/>
    <w:rsid w:val="00B56D48"/>
    <w:rsid w:val="00B56DC1"/>
    <w:rsid w:val="00B56E2A"/>
    <w:rsid w:val="00B5705F"/>
    <w:rsid w:val="00B57073"/>
    <w:rsid w:val="00B57133"/>
    <w:rsid w:val="00B5739A"/>
    <w:rsid w:val="00B57AA5"/>
    <w:rsid w:val="00B57B5D"/>
    <w:rsid w:val="00B57C95"/>
    <w:rsid w:val="00B57E6C"/>
    <w:rsid w:val="00B57ECA"/>
    <w:rsid w:val="00B57ED4"/>
    <w:rsid w:val="00B60084"/>
    <w:rsid w:val="00B600FF"/>
    <w:rsid w:val="00B6021A"/>
    <w:rsid w:val="00B60260"/>
    <w:rsid w:val="00B6032B"/>
    <w:rsid w:val="00B6057A"/>
    <w:rsid w:val="00B6079F"/>
    <w:rsid w:val="00B607E3"/>
    <w:rsid w:val="00B6091E"/>
    <w:rsid w:val="00B60FCC"/>
    <w:rsid w:val="00B61004"/>
    <w:rsid w:val="00B6102F"/>
    <w:rsid w:val="00B61460"/>
    <w:rsid w:val="00B61483"/>
    <w:rsid w:val="00B61508"/>
    <w:rsid w:val="00B615D5"/>
    <w:rsid w:val="00B616E7"/>
    <w:rsid w:val="00B61A67"/>
    <w:rsid w:val="00B61AC2"/>
    <w:rsid w:val="00B61F2E"/>
    <w:rsid w:val="00B622EE"/>
    <w:rsid w:val="00B623A5"/>
    <w:rsid w:val="00B62409"/>
    <w:rsid w:val="00B624E4"/>
    <w:rsid w:val="00B62505"/>
    <w:rsid w:val="00B62648"/>
    <w:rsid w:val="00B628BD"/>
    <w:rsid w:val="00B629EF"/>
    <w:rsid w:val="00B62B42"/>
    <w:rsid w:val="00B62C60"/>
    <w:rsid w:val="00B62E25"/>
    <w:rsid w:val="00B62E6F"/>
    <w:rsid w:val="00B62E94"/>
    <w:rsid w:val="00B63127"/>
    <w:rsid w:val="00B6314C"/>
    <w:rsid w:val="00B631B5"/>
    <w:rsid w:val="00B6332C"/>
    <w:rsid w:val="00B635E1"/>
    <w:rsid w:val="00B63603"/>
    <w:rsid w:val="00B636C9"/>
    <w:rsid w:val="00B6397C"/>
    <w:rsid w:val="00B63AA8"/>
    <w:rsid w:val="00B63C3C"/>
    <w:rsid w:val="00B63D2E"/>
    <w:rsid w:val="00B63E47"/>
    <w:rsid w:val="00B63E77"/>
    <w:rsid w:val="00B6406F"/>
    <w:rsid w:val="00B64190"/>
    <w:rsid w:val="00B6423E"/>
    <w:rsid w:val="00B6432F"/>
    <w:rsid w:val="00B643CF"/>
    <w:rsid w:val="00B644B2"/>
    <w:rsid w:val="00B648C9"/>
    <w:rsid w:val="00B6492F"/>
    <w:rsid w:val="00B64A46"/>
    <w:rsid w:val="00B64AC1"/>
    <w:rsid w:val="00B64CBA"/>
    <w:rsid w:val="00B64D85"/>
    <w:rsid w:val="00B64DBA"/>
    <w:rsid w:val="00B64E5E"/>
    <w:rsid w:val="00B64F91"/>
    <w:rsid w:val="00B6500D"/>
    <w:rsid w:val="00B65065"/>
    <w:rsid w:val="00B6512A"/>
    <w:rsid w:val="00B65454"/>
    <w:rsid w:val="00B6559C"/>
    <w:rsid w:val="00B65F79"/>
    <w:rsid w:val="00B6628E"/>
    <w:rsid w:val="00B6636D"/>
    <w:rsid w:val="00B666A1"/>
    <w:rsid w:val="00B66E15"/>
    <w:rsid w:val="00B66FCE"/>
    <w:rsid w:val="00B67032"/>
    <w:rsid w:val="00B67173"/>
    <w:rsid w:val="00B672CA"/>
    <w:rsid w:val="00B67341"/>
    <w:rsid w:val="00B67440"/>
    <w:rsid w:val="00B67B2C"/>
    <w:rsid w:val="00B67C21"/>
    <w:rsid w:val="00B67C3A"/>
    <w:rsid w:val="00B67F7A"/>
    <w:rsid w:val="00B70067"/>
    <w:rsid w:val="00B70172"/>
    <w:rsid w:val="00B7017B"/>
    <w:rsid w:val="00B701A8"/>
    <w:rsid w:val="00B7051C"/>
    <w:rsid w:val="00B70CFB"/>
    <w:rsid w:val="00B70E64"/>
    <w:rsid w:val="00B70F85"/>
    <w:rsid w:val="00B7102C"/>
    <w:rsid w:val="00B71055"/>
    <w:rsid w:val="00B71349"/>
    <w:rsid w:val="00B713C3"/>
    <w:rsid w:val="00B7158A"/>
    <w:rsid w:val="00B71893"/>
    <w:rsid w:val="00B718B2"/>
    <w:rsid w:val="00B71A1B"/>
    <w:rsid w:val="00B71B75"/>
    <w:rsid w:val="00B71D69"/>
    <w:rsid w:val="00B71E23"/>
    <w:rsid w:val="00B71E6B"/>
    <w:rsid w:val="00B71FFA"/>
    <w:rsid w:val="00B7219D"/>
    <w:rsid w:val="00B721A3"/>
    <w:rsid w:val="00B721E2"/>
    <w:rsid w:val="00B72251"/>
    <w:rsid w:val="00B722D6"/>
    <w:rsid w:val="00B72741"/>
    <w:rsid w:val="00B7286B"/>
    <w:rsid w:val="00B72A1A"/>
    <w:rsid w:val="00B72A31"/>
    <w:rsid w:val="00B72BCD"/>
    <w:rsid w:val="00B72C28"/>
    <w:rsid w:val="00B72C6C"/>
    <w:rsid w:val="00B72CCD"/>
    <w:rsid w:val="00B72D49"/>
    <w:rsid w:val="00B72D4B"/>
    <w:rsid w:val="00B7319F"/>
    <w:rsid w:val="00B73496"/>
    <w:rsid w:val="00B73765"/>
    <w:rsid w:val="00B737AD"/>
    <w:rsid w:val="00B737FA"/>
    <w:rsid w:val="00B73899"/>
    <w:rsid w:val="00B738B3"/>
    <w:rsid w:val="00B738D6"/>
    <w:rsid w:val="00B738F8"/>
    <w:rsid w:val="00B739D7"/>
    <w:rsid w:val="00B73B76"/>
    <w:rsid w:val="00B73E90"/>
    <w:rsid w:val="00B74171"/>
    <w:rsid w:val="00B74197"/>
    <w:rsid w:val="00B7424D"/>
    <w:rsid w:val="00B74534"/>
    <w:rsid w:val="00B745B3"/>
    <w:rsid w:val="00B749CA"/>
    <w:rsid w:val="00B74BB5"/>
    <w:rsid w:val="00B74C13"/>
    <w:rsid w:val="00B74C63"/>
    <w:rsid w:val="00B74DE4"/>
    <w:rsid w:val="00B7505C"/>
    <w:rsid w:val="00B7506B"/>
    <w:rsid w:val="00B7519D"/>
    <w:rsid w:val="00B751D8"/>
    <w:rsid w:val="00B75231"/>
    <w:rsid w:val="00B75258"/>
    <w:rsid w:val="00B753C8"/>
    <w:rsid w:val="00B755D6"/>
    <w:rsid w:val="00B757DD"/>
    <w:rsid w:val="00B75EDF"/>
    <w:rsid w:val="00B76005"/>
    <w:rsid w:val="00B76112"/>
    <w:rsid w:val="00B7613C"/>
    <w:rsid w:val="00B76140"/>
    <w:rsid w:val="00B761F8"/>
    <w:rsid w:val="00B76200"/>
    <w:rsid w:val="00B76434"/>
    <w:rsid w:val="00B7669B"/>
    <w:rsid w:val="00B766E0"/>
    <w:rsid w:val="00B767DF"/>
    <w:rsid w:val="00B767FA"/>
    <w:rsid w:val="00B76899"/>
    <w:rsid w:val="00B76BD6"/>
    <w:rsid w:val="00B76DC2"/>
    <w:rsid w:val="00B76EC5"/>
    <w:rsid w:val="00B76F98"/>
    <w:rsid w:val="00B77112"/>
    <w:rsid w:val="00B77143"/>
    <w:rsid w:val="00B7717A"/>
    <w:rsid w:val="00B77225"/>
    <w:rsid w:val="00B772A8"/>
    <w:rsid w:val="00B775AE"/>
    <w:rsid w:val="00B77A87"/>
    <w:rsid w:val="00B77BB3"/>
    <w:rsid w:val="00B77E67"/>
    <w:rsid w:val="00B77EA3"/>
    <w:rsid w:val="00B8018B"/>
    <w:rsid w:val="00B80451"/>
    <w:rsid w:val="00B804FA"/>
    <w:rsid w:val="00B80567"/>
    <w:rsid w:val="00B805D7"/>
    <w:rsid w:val="00B80630"/>
    <w:rsid w:val="00B8063C"/>
    <w:rsid w:val="00B80D34"/>
    <w:rsid w:val="00B80D51"/>
    <w:rsid w:val="00B80D99"/>
    <w:rsid w:val="00B81374"/>
    <w:rsid w:val="00B81668"/>
    <w:rsid w:val="00B816A9"/>
    <w:rsid w:val="00B81A0F"/>
    <w:rsid w:val="00B81DE4"/>
    <w:rsid w:val="00B81FB5"/>
    <w:rsid w:val="00B81FCC"/>
    <w:rsid w:val="00B821CA"/>
    <w:rsid w:val="00B822E0"/>
    <w:rsid w:val="00B827E9"/>
    <w:rsid w:val="00B8284B"/>
    <w:rsid w:val="00B8288D"/>
    <w:rsid w:val="00B82928"/>
    <w:rsid w:val="00B82A0C"/>
    <w:rsid w:val="00B82AFB"/>
    <w:rsid w:val="00B82CFE"/>
    <w:rsid w:val="00B82D64"/>
    <w:rsid w:val="00B82DD1"/>
    <w:rsid w:val="00B82EA7"/>
    <w:rsid w:val="00B83123"/>
    <w:rsid w:val="00B83246"/>
    <w:rsid w:val="00B833AA"/>
    <w:rsid w:val="00B8344B"/>
    <w:rsid w:val="00B837E5"/>
    <w:rsid w:val="00B8390D"/>
    <w:rsid w:val="00B83ADF"/>
    <w:rsid w:val="00B83C54"/>
    <w:rsid w:val="00B843F5"/>
    <w:rsid w:val="00B8451D"/>
    <w:rsid w:val="00B8456D"/>
    <w:rsid w:val="00B8478F"/>
    <w:rsid w:val="00B84B4D"/>
    <w:rsid w:val="00B84BC9"/>
    <w:rsid w:val="00B84F94"/>
    <w:rsid w:val="00B85455"/>
    <w:rsid w:val="00B8547F"/>
    <w:rsid w:val="00B854AF"/>
    <w:rsid w:val="00B85606"/>
    <w:rsid w:val="00B856A1"/>
    <w:rsid w:val="00B859AC"/>
    <w:rsid w:val="00B85A50"/>
    <w:rsid w:val="00B85AA6"/>
    <w:rsid w:val="00B85BF2"/>
    <w:rsid w:val="00B85F16"/>
    <w:rsid w:val="00B85F6C"/>
    <w:rsid w:val="00B86008"/>
    <w:rsid w:val="00B86154"/>
    <w:rsid w:val="00B861E8"/>
    <w:rsid w:val="00B8623C"/>
    <w:rsid w:val="00B869A5"/>
    <w:rsid w:val="00B86A8D"/>
    <w:rsid w:val="00B86C27"/>
    <w:rsid w:val="00B8706F"/>
    <w:rsid w:val="00B87172"/>
    <w:rsid w:val="00B8739D"/>
    <w:rsid w:val="00B87529"/>
    <w:rsid w:val="00B875B5"/>
    <w:rsid w:val="00B875F7"/>
    <w:rsid w:val="00B8763D"/>
    <w:rsid w:val="00B8786B"/>
    <w:rsid w:val="00B879B0"/>
    <w:rsid w:val="00B879D5"/>
    <w:rsid w:val="00B87C74"/>
    <w:rsid w:val="00B87CA0"/>
    <w:rsid w:val="00B90121"/>
    <w:rsid w:val="00B9048B"/>
    <w:rsid w:val="00B904E3"/>
    <w:rsid w:val="00B90624"/>
    <w:rsid w:val="00B907A9"/>
    <w:rsid w:val="00B90A05"/>
    <w:rsid w:val="00B90B1E"/>
    <w:rsid w:val="00B90F2C"/>
    <w:rsid w:val="00B90FF1"/>
    <w:rsid w:val="00B91269"/>
    <w:rsid w:val="00B91376"/>
    <w:rsid w:val="00B91414"/>
    <w:rsid w:val="00B91633"/>
    <w:rsid w:val="00B9163D"/>
    <w:rsid w:val="00B91645"/>
    <w:rsid w:val="00B9174B"/>
    <w:rsid w:val="00B91C20"/>
    <w:rsid w:val="00B91EAA"/>
    <w:rsid w:val="00B923E6"/>
    <w:rsid w:val="00B92656"/>
    <w:rsid w:val="00B92833"/>
    <w:rsid w:val="00B928A7"/>
    <w:rsid w:val="00B92905"/>
    <w:rsid w:val="00B92932"/>
    <w:rsid w:val="00B92968"/>
    <w:rsid w:val="00B92A80"/>
    <w:rsid w:val="00B92B74"/>
    <w:rsid w:val="00B92BFC"/>
    <w:rsid w:val="00B92CDE"/>
    <w:rsid w:val="00B92DC4"/>
    <w:rsid w:val="00B92FE2"/>
    <w:rsid w:val="00B9304B"/>
    <w:rsid w:val="00B930A4"/>
    <w:rsid w:val="00B93133"/>
    <w:rsid w:val="00B931BE"/>
    <w:rsid w:val="00B932E5"/>
    <w:rsid w:val="00B93352"/>
    <w:rsid w:val="00B935C3"/>
    <w:rsid w:val="00B938D5"/>
    <w:rsid w:val="00B9390A"/>
    <w:rsid w:val="00B93974"/>
    <w:rsid w:val="00B93AEF"/>
    <w:rsid w:val="00B940D5"/>
    <w:rsid w:val="00B9438E"/>
    <w:rsid w:val="00B943B2"/>
    <w:rsid w:val="00B946CA"/>
    <w:rsid w:val="00B94708"/>
    <w:rsid w:val="00B94A05"/>
    <w:rsid w:val="00B94A90"/>
    <w:rsid w:val="00B94C3B"/>
    <w:rsid w:val="00B94C42"/>
    <w:rsid w:val="00B94D53"/>
    <w:rsid w:val="00B94EEF"/>
    <w:rsid w:val="00B94F6B"/>
    <w:rsid w:val="00B9507D"/>
    <w:rsid w:val="00B950A4"/>
    <w:rsid w:val="00B953FD"/>
    <w:rsid w:val="00B954A1"/>
    <w:rsid w:val="00B954CE"/>
    <w:rsid w:val="00B955FE"/>
    <w:rsid w:val="00B95679"/>
    <w:rsid w:val="00B95AB6"/>
    <w:rsid w:val="00B95BF2"/>
    <w:rsid w:val="00B95F04"/>
    <w:rsid w:val="00B96095"/>
    <w:rsid w:val="00B96117"/>
    <w:rsid w:val="00B96395"/>
    <w:rsid w:val="00B96499"/>
    <w:rsid w:val="00B96577"/>
    <w:rsid w:val="00B968EA"/>
    <w:rsid w:val="00B96964"/>
    <w:rsid w:val="00B96A03"/>
    <w:rsid w:val="00B96A3B"/>
    <w:rsid w:val="00B96B7F"/>
    <w:rsid w:val="00B96C87"/>
    <w:rsid w:val="00B96CC1"/>
    <w:rsid w:val="00B96DA4"/>
    <w:rsid w:val="00B96E6B"/>
    <w:rsid w:val="00B96EEA"/>
    <w:rsid w:val="00B96F9E"/>
    <w:rsid w:val="00B970B9"/>
    <w:rsid w:val="00B970D9"/>
    <w:rsid w:val="00B9760D"/>
    <w:rsid w:val="00B97732"/>
    <w:rsid w:val="00B97743"/>
    <w:rsid w:val="00B978D3"/>
    <w:rsid w:val="00B97ABA"/>
    <w:rsid w:val="00B97C16"/>
    <w:rsid w:val="00B97E35"/>
    <w:rsid w:val="00BA00BB"/>
    <w:rsid w:val="00BA0166"/>
    <w:rsid w:val="00BA031B"/>
    <w:rsid w:val="00BA0361"/>
    <w:rsid w:val="00BA06F7"/>
    <w:rsid w:val="00BA0A47"/>
    <w:rsid w:val="00BA0A6D"/>
    <w:rsid w:val="00BA0B42"/>
    <w:rsid w:val="00BA0D26"/>
    <w:rsid w:val="00BA10C5"/>
    <w:rsid w:val="00BA115C"/>
    <w:rsid w:val="00BA1284"/>
    <w:rsid w:val="00BA146D"/>
    <w:rsid w:val="00BA161F"/>
    <w:rsid w:val="00BA1693"/>
    <w:rsid w:val="00BA1739"/>
    <w:rsid w:val="00BA194C"/>
    <w:rsid w:val="00BA1AA0"/>
    <w:rsid w:val="00BA1AB1"/>
    <w:rsid w:val="00BA1B78"/>
    <w:rsid w:val="00BA1B99"/>
    <w:rsid w:val="00BA1F3B"/>
    <w:rsid w:val="00BA20DC"/>
    <w:rsid w:val="00BA21D1"/>
    <w:rsid w:val="00BA225F"/>
    <w:rsid w:val="00BA22E7"/>
    <w:rsid w:val="00BA2473"/>
    <w:rsid w:val="00BA24F0"/>
    <w:rsid w:val="00BA250E"/>
    <w:rsid w:val="00BA2688"/>
    <w:rsid w:val="00BA26E9"/>
    <w:rsid w:val="00BA2900"/>
    <w:rsid w:val="00BA2915"/>
    <w:rsid w:val="00BA2BFB"/>
    <w:rsid w:val="00BA2C29"/>
    <w:rsid w:val="00BA2E47"/>
    <w:rsid w:val="00BA308E"/>
    <w:rsid w:val="00BA31F4"/>
    <w:rsid w:val="00BA32A8"/>
    <w:rsid w:val="00BA37CE"/>
    <w:rsid w:val="00BA37D6"/>
    <w:rsid w:val="00BA393D"/>
    <w:rsid w:val="00BA3A32"/>
    <w:rsid w:val="00BA3A9A"/>
    <w:rsid w:val="00BA3C17"/>
    <w:rsid w:val="00BA3C7C"/>
    <w:rsid w:val="00BA3DE1"/>
    <w:rsid w:val="00BA4574"/>
    <w:rsid w:val="00BA45BC"/>
    <w:rsid w:val="00BA460F"/>
    <w:rsid w:val="00BA462B"/>
    <w:rsid w:val="00BA46CB"/>
    <w:rsid w:val="00BA48DC"/>
    <w:rsid w:val="00BA48E5"/>
    <w:rsid w:val="00BA4B81"/>
    <w:rsid w:val="00BA4C12"/>
    <w:rsid w:val="00BA4C4B"/>
    <w:rsid w:val="00BA4EA0"/>
    <w:rsid w:val="00BA516A"/>
    <w:rsid w:val="00BA55C2"/>
    <w:rsid w:val="00BA56E7"/>
    <w:rsid w:val="00BA5908"/>
    <w:rsid w:val="00BA592D"/>
    <w:rsid w:val="00BA5932"/>
    <w:rsid w:val="00BA5B26"/>
    <w:rsid w:val="00BA5CC3"/>
    <w:rsid w:val="00BA66E5"/>
    <w:rsid w:val="00BA66F4"/>
    <w:rsid w:val="00BA6720"/>
    <w:rsid w:val="00BA6754"/>
    <w:rsid w:val="00BA69B0"/>
    <w:rsid w:val="00BA69D8"/>
    <w:rsid w:val="00BA6A4C"/>
    <w:rsid w:val="00BA6E02"/>
    <w:rsid w:val="00BA6FD8"/>
    <w:rsid w:val="00BA79E9"/>
    <w:rsid w:val="00BA7BF2"/>
    <w:rsid w:val="00BA7EB1"/>
    <w:rsid w:val="00BA7ECA"/>
    <w:rsid w:val="00BB0129"/>
    <w:rsid w:val="00BB0209"/>
    <w:rsid w:val="00BB034F"/>
    <w:rsid w:val="00BB03D2"/>
    <w:rsid w:val="00BB048E"/>
    <w:rsid w:val="00BB04A9"/>
    <w:rsid w:val="00BB093D"/>
    <w:rsid w:val="00BB0957"/>
    <w:rsid w:val="00BB0F5E"/>
    <w:rsid w:val="00BB1271"/>
    <w:rsid w:val="00BB14B1"/>
    <w:rsid w:val="00BB14EC"/>
    <w:rsid w:val="00BB18B5"/>
    <w:rsid w:val="00BB18FC"/>
    <w:rsid w:val="00BB1A97"/>
    <w:rsid w:val="00BB1C4D"/>
    <w:rsid w:val="00BB1D25"/>
    <w:rsid w:val="00BB20E1"/>
    <w:rsid w:val="00BB22FD"/>
    <w:rsid w:val="00BB28BB"/>
    <w:rsid w:val="00BB2A26"/>
    <w:rsid w:val="00BB2A3E"/>
    <w:rsid w:val="00BB2B8A"/>
    <w:rsid w:val="00BB2E7B"/>
    <w:rsid w:val="00BB2F3A"/>
    <w:rsid w:val="00BB2FA4"/>
    <w:rsid w:val="00BB318C"/>
    <w:rsid w:val="00BB32ED"/>
    <w:rsid w:val="00BB3626"/>
    <w:rsid w:val="00BB3768"/>
    <w:rsid w:val="00BB3942"/>
    <w:rsid w:val="00BB3ACA"/>
    <w:rsid w:val="00BB436F"/>
    <w:rsid w:val="00BB43DD"/>
    <w:rsid w:val="00BB44C9"/>
    <w:rsid w:val="00BB4850"/>
    <w:rsid w:val="00BB485C"/>
    <w:rsid w:val="00BB4B09"/>
    <w:rsid w:val="00BB509D"/>
    <w:rsid w:val="00BB5173"/>
    <w:rsid w:val="00BB5208"/>
    <w:rsid w:val="00BB5287"/>
    <w:rsid w:val="00BB53A1"/>
    <w:rsid w:val="00BB5731"/>
    <w:rsid w:val="00BB586A"/>
    <w:rsid w:val="00BB59AE"/>
    <w:rsid w:val="00BB5A0C"/>
    <w:rsid w:val="00BB5AA8"/>
    <w:rsid w:val="00BB5B34"/>
    <w:rsid w:val="00BB5B40"/>
    <w:rsid w:val="00BB5DCF"/>
    <w:rsid w:val="00BB5DDD"/>
    <w:rsid w:val="00BB5E6D"/>
    <w:rsid w:val="00BB5F2F"/>
    <w:rsid w:val="00BB5F3C"/>
    <w:rsid w:val="00BB5FBF"/>
    <w:rsid w:val="00BB5FEF"/>
    <w:rsid w:val="00BB6052"/>
    <w:rsid w:val="00BB60BA"/>
    <w:rsid w:val="00BB6322"/>
    <w:rsid w:val="00BB658D"/>
    <w:rsid w:val="00BB65FE"/>
    <w:rsid w:val="00BB6AD0"/>
    <w:rsid w:val="00BB6B75"/>
    <w:rsid w:val="00BB6CAF"/>
    <w:rsid w:val="00BB6D4C"/>
    <w:rsid w:val="00BB6D60"/>
    <w:rsid w:val="00BB6DFF"/>
    <w:rsid w:val="00BB6EAD"/>
    <w:rsid w:val="00BB76CA"/>
    <w:rsid w:val="00BB76FE"/>
    <w:rsid w:val="00BB7794"/>
    <w:rsid w:val="00BB7836"/>
    <w:rsid w:val="00BB784A"/>
    <w:rsid w:val="00BB7993"/>
    <w:rsid w:val="00BB79BA"/>
    <w:rsid w:val="00BC0636"/>
    <w:rsid w:val="00BC0852"/>
    <w:rsid w:val="00BC0A78"/>
    <w:rsid w:val="00BC0ADB"/>
    <w:rsid w:val="00BC0EBB"/>
    <w:rsid w:val="00BC1046"/>
    <w:rsid w:val="00BC10B4"/>
    <w:rsid w:val="00BC11D6"/>
    <w:rsid w:val="00BC1398"/>
    <w:rsid w:val="00BC13EF"/>
    <w:rsid w:val="00BC147C"/>
    <w:rsid w:val="00BC15FD"/>
    <w:rsid w:val="00BC166A"/>
    <w:rsid w:val="00BC176F"/>
    <w:rsid w:val="00BC189C"/>
    <w:rsid w:val="00BC1C31"/>
    <w:rsid w:val="00BC1CFB"/>
    <w:rsid w:val="00BC1D70"/>
    <w:rsid w:val="00BC1DD4"/>
    <w:rsid w:val="00BC1ED2"/>
    <w:rsid w:val="00BC21A4"/>
    <w:rsid w:val="00BC229D"/>
    <w:rsid w:val="00BC22EC"/>
    <w:rsid w:val="00BC239F"/>
    <w:rsid w:val="00BC248E"/>
    <w:rsid w:val="00BC24F9"/>
    <w:rsid w:val="00BC253E"/>
    <w:rsid w:val="00BC267F"/>
    <w:rsid w:val="00BC2698"/>
    <w:rsid w:val="00BC2A15"/>
    <w:rsid w:val="00BC2DA4"/>
    <w:rsid w:val="00BC2FF1"/>
    <w:rsid w:val="00BC340E"/>
    <w:rsid w:val="00BC3474"/>
    <w:rsid w:val="00BC3782"/>
    <w:rsid w:val="00BC38E0"/>
    <w:rsid w:val="00BC3934"/>
    <w:rsid w:val="00BC3A3D"/>
    <w:rsid w:val="00BC3B92"/>
    <w:rsid w:val="00BC3C00"/>
    <w:rsid w:val="00BC3D2C"/>
    <w:rsid w:val="00BC3D40"/>
    <w:rsid w:val="00BC3F28"/>
    <w:rsid w:val="00BC4125"/>
    <w:rsid w:val="00BC425F"/>
    <w:rsid w:val="00BC4448"/>
    <w:rsid w:val="00BC446A"/>
    <w:rsid w:val="00BC44C5"/>
    <w:rsid w:val="00BC4721"/>
    <w:rsid w:val="00BC47E0"/>
    <w:rsid w:val="00BC49C8"/>
    <w:rsid w:val="00BC49E3"/>
    <w:rsid w:val="00BC49EB"/>
    <w:rsid w:val="00BC4BD8"/>
    <w:rsid w:val="00BC4C37"/>
    <w:rsid w:val="00BC4D12"/>
    <w:rsid w:val="00BC4D25"/>
    <w:rsid w:val="00BC5494"/>
    <w:rsid w:val="00BC54A2"/>
    <w:rsid w:val="00BC552F"/>
    <w:rsid w:val="00BC59F9"/>
    <w:rsid w:val="00BC5A75"/>
    <w:rsid w:val="00BC5A95"/>
    <w:rsid w:val="00BC5D33"/>
    <w:rsid w:val="00BC5EE7"/>
    <w:rsid w:val="00BC61BF"/>
    <w:rsid w:val="00BC6238"/>
    <w:rsid w:val="00BC633E"/>
    <w:rsid w:val="00BC638D"/>
    <w:rsid w:val="00BC640F"/>
    <w:rsid w:val="00BC6436"/>
    <w:rsid w:val="00BC6463"/>
    <w:rsid w:val="00BC67CA"/>
    <w:rsid w:val="00BC68C3"/>
    <w:rsid w:val="00BC6AA8"/>
    <w:rsid w:val="00BC6BB8"/>
    <w:rsid w:val="00BC6FE3"/>
    <w:rsid w:val="00BC7183"/>
    <w:rsid w:val="00BC727E"/>
    <w:rsid w:val="00BC772E"/>
    <w:rsid w:val="00BC777C"/>
    <w:rsid w:val="00BC784F"/>
    <w:rsid w:val="00BC7FD6"/>
    <w:rsid w:val="00BD00C7"/>
    <w:rsid w:val="00BD0121"/>
    <w:rsid w:val="00BD013B"/>
    <w:rsid w:val="00BD02CE"/>
    <w:rsid w:val="00BD03D5"/>
    <w:rsid w:val="00BD05A1"/>
    <w:rsid w:val="00BD0774"/>
    <w:rsid w:val="00BD0818"/>
    <w:rsid w:val="00BD0CEA"/>
    <w:rsid w:val="00BD0E52"/>
    <w:rsid w:val="00BD0F6A"/>
    <w:rsid w:val="00BD1078"/>
    <w:rsid w:val="00BD11E6"/>
    <w:rsid w:val="00BD14F9"/>
    <w:rsid w:val="00BD15A0"/>
    <w:rsid w:val="00BD17DD"/>
    <w:rsid w:val="00BD1816"/>
    <w:rsid w:val="00BD197F"/>
    <w:rsid w:val="00BD1A69"/>
    <w:rsid w:val="00BD1D45"/>
    <w:rsid w:val="00BD24A3"/>
    <w:rsid w:val="00BD2635"/>
    <w:rsid w:val="00BD281D"/>
    <w:rsid w:val="00BD294C"/>
    <w:rsid w:val="00BD2980"/>
    <w:rsid w:val="00BD2BD8"/>
    <w:rsid w:val="00BD2C27"/>
    <w:rsid w:val="00BD2FB8"/>
    <w:rsid w:val="00BD30AB"/>
    <w:rsid w:val="00BD3199"/>
    <w:rsid w:val="00BD3261"/>
    <w:rsid w:val="00BD328B"/>
    <w:rsid w:val="00BD32B1"/>
    <w:rsid w:val="00BD3312"/>
    <w:rsid w:val="00BD3511"/>
    <w:rsid w:val="00BD35BF"/>
    <w:rsid w:val="00BD3672"/>
    <w:rsid w:val="00BD370F"/>
    <w:rsid w:val="00BD37F7"/>
    <w:rsid w:val="00BD3876"/>
    <w:rsid w:val="00BD3915"/>
    <w:rsid w:val="00BD3963"/>
    <w:rsid w:val="00BD3A00"/>
    <w:rsid w:val="00BD3B26"/>
    <w:rsid w:val="00BD3DEE"/>
    <w:rsid w:val="00BD3F7B"/>
    <w:rsid w:val="00BD3FDC"/>
    <w:rsid w:val="00BD4298"/>
    <w:rsid w:val="00BD42FC"/>
    <w:rsid w:val="00BD432C"/>
    <w:rsid w:val="00BD4350"/>
    <w:rsid w:val="00BD4435"/>
    <w:rsid w:val="00BD455C"/>
    <w:rsid w:val="00BD4585"/>
    <w:rsid w:val="00BD483F"/>
    <w:rsid w:val="00BD494E"/>
    <w:rsid w:val="00BD4BAE"/>
    <w:rsid w:val="00BD4C2B"/>
    <w:rsid w:val="00BD51A6"/>
    <w:rsid w:val="00BD5286"/>
    <w:rsid w:val="00BD5300"/>
    <w:rsid w:val="00BD540A"/>
    <w:rsid w:val="00BD5478"/>
    <w:rsid w:val="00BD5483"/>
    <w:rsid w:val="00BD54B9"/>
    <w:rsid w:val="00BD5604"/>
    <w:rsid w:val="00BD56D5"/>
    <w:rsid w:val="00BD57AA"/>
    <w:rsid w:val="00BD57C1"/>
    <w:rsid w:val="00BD59B1"/>
    <w:rsid w:val="00BD5ABA"/>
    <w:rsid w:val="00BD5B18"/>
    <w:rsid w:val="00BD5B29"/>
    <w:rsid w:val="00BD5C81"/>
    <w:rsid w:val="00BD5E63"/>
    <w:rsid w:val="00BD5F7A"/>
    <w:rsid w:val="00BD5FC0"/>
    <w:rsid w:val="00BD5FE9"/>
    <w:rsid w:val="00BD6154"/>
    <w:rsid w:val="00BD61E5"/>
    <w:rsid w:val="00BD629B"/>
    <w:rsid w:val="00BD630A"/>
    <w:rsid w:val="00BD632B"/>
    <w:rsid w:val="00BD658A"/>
    <w:rsid w:val="00BD65FC"/>
    <w:rsid w:val="00BD6AAB"/>
    <w:rsid w:val="00BD6B08"/>
    <w:rsid w:val="00BD6E0B"/>
    <w:rsid w:val="00BD71DB"/>
    <w:rsid w:val="00BD754A"/>
    <w:rsid w:val="00BD757B"/>
    <w:rsid w:val="00BD7762"/>
    <w:rsid w:val="00BD782E"/>
    <w:rsid w:val="00BD796D"/>
    <w:rsid w:val="00BD7978"/>
    <w:rsid w:val="00BD79C5"/>
    <w:rsid w:val="00BD7E17"/>
    <w:rsid w:val="00BD7E77"/>
    <w:rsid w:val="00BD7EE1"/>
    <w:rsid w:val="00BE01E9"/>
    <w:rsid w:val="00BE030A"/>
    <w:rsid w:val="00BE0321"/>
    <w:rsid w:val="00BE04B2"/>
    <w:rsid w:val="00BE04F6"/>
    <w:rsid w:val="00BE0B40"/>
    <w:rsid w:val="00BE0B6F"/>
    <w:rsid w:val="00BE0BD8"/>
    <w:rsid w:val="00BE0C71"/>
    <w:rsid w:val="00BE0CD0"/>
    <w:rsid w:val="00BE0D2D"/>
    <w:rsid w:val="00BE0ED1"/>
    <w:rsid w:val="00BE1123"/>
    <w:rsid w:val="00BE11D0"/>
    <w:rsid w:val="00BE12A8"/>
    <w:rsid w:val="00BE12FD"/>
    <w:rsid w:val="00BE1497"/>
    <w:rsid w:val="00BE159A"/>
    <w:rsid w:val="00BE1684"/>
    <w:rsid w:val="00BE17FA"/>
    <w:rsid w:val="00BE2039"/>
    <w:rsid w:val="00BE2240"/>
    <w:rsid w:val="00BE2268"/>
    <w:rsid w:val="00BE22EE"/>
    <w:rsid w:val="00BE237B"/>
    <w:rsid w:val="00BE2412"/>
    <w:rsid w:val="00BE26E3"/>
    <w:rsid w:val="00BE2A38"/>
    <w:rsid w:val="00BE2A52"/>
    <w:rsid w:val="00BE2CE9"/>
    <w:rsid w:val="00BE2D33"/>
    <w:rsid w:val="00BE2D4B"/>
    <w:rsid w:val="00BE2ECB"/>
    <w:rsid w:val="00BE2F49"/>
    <w:rsid w:val="00BE2F93"/>
    <w:rsid w:val="00BE2FEC"/>
    <w:rsid w:val="00BE311A"/>
    <w:rsid w:val="00BE3191"/>
    <w:rsid w:val="00BE33A3"/>
    <w:rsid w:val="00BE340F"/>
    <w:rsid w:val="00BE358D"/>
    <w:rsid w:val="00BE370C"/>
    <w:rsid w:val="00BE37B8"/>
    <w:rsid w:val="00BE389D"/>
    <w:rsid w:val="00BE3969"/>
    <w:rsid w:val="00BE396A"/>
    <w:rsid w:val="00BE39C9"/>
    <w:rsid w:val="00BE3AFA"/>
    <w:rsid w:val="00BE3CA8"/>
    <w:rsid w:val="00BE3CE7"/>
    <w:rsid w:val="00BE3E2A"/>
    <w:rsid w:val="00BE3EFD"/>
    <w:rsid w:val="00BE3F96"/>
    <w:rsid w:val="00BE452C"/>
    <w:rsid w:val="00BE456D"/>
    <w:rsid w:val="00BE460E"/>
    <w:rsid w:val="00BE498D"/>
    <w:rsid w:val="00BE4E45"/>
    <w:rsid w:val="00BE4EE6"/>
    <w:rsid w:val="00BE4F1A"/>
    <w:rsid w:val="00BE4F43"/>
    <w:rsid w:val="00BE52B6"/>
    <w:rsid w:val="00BE53D9"/>
    <w:rsid w:val="00BE54E5"/>
    <w:rsid w:val="00BE5688"/>
    <w:rsid w:val="00BE57BD"/>
    <w:rsid w:val="00BE57EA"/>
    <w:rsid w:val="00BE5A01"/>
    <w:rsid w:val="00BE5A34"/>
    <w:rsid w:val="00BE5DB0"/>
    <w:rsid w:val="00BE6020"/>
    <w:rsid w:val="00BE623C"/>
    <w:rsid w:val="00BE6731"/>
    <w:rsid w:val="00BE6976"/>
    <w:rsid w:val="00BE69B7"/>
    <w:rsid w:val="00BE6B6B"/>
    <w:rsid w:val="00BE6C34"/>
    <w:rsid w:val="00BE6C9F"/>
    <w:rsid w:val="00BE6E70"/>
    <w:rsid w:val="00BE6EA5"/>
    <w:rsid w:val="00BE6FFA"/>
    <w:rsid w:val="00BE71D8"/>
    <w:rsid w:val="00BE7267"/>
    <w:rsid w:val="00BE7324"/>
    <w:rsid w:val="00BE7361"/>
    <w:rsid w:val="00BE7551"/>
    <w:rsid w:val="00BE75E9"/>
    <w:rsid w:val="00BE78A9"/>
    <w:rsid w:val="00BE7A1F"/>
    <w:rsid w:val="00BE7E0E"/>
    <w:rsid w:val="00BE7E4B"/>
    <w:rsid w:val="00BE9B29"/>
    <w:rsid w:val="00BF00A8"/>
    <w:rsid w:val="00BF04CE"/>
    <w:rsid w:val="00BF057F"/>
    <w:rsid w:val="00BF0868"/>
    <w:rsid w:val="00BF09E2"/>
    <w:rsid w:val="00BF09F1"/>
    <w:rsid w:val="00BF0FE0"/>
    <w:rsid w:val="00BF1080"/>
    <w:rsid w:val="00BF11AE"/>
    <w:rsid w:val="00BF145F"/>
    <w:rsid w:val="00BF1613"/>
    <w:rsid w:val="00BF1674"/>
    <w:rsid w:val="00BF192E"/>
    <w:rsid w:val="00BF1A7B"/>
    <w:rsid w:val="00BF1B5A"/>
    <w:rsid w:val="00BF1CD4"/>
    <w:rsid w:val="00BF1E4B"/>
    <w:rsid w:val="00BF1FAD"/>
    <w:rsid w:val="00BF20A6"/>
    <w:rsid w:val="00BF20D1"/>
    <w:rsid w:val="00BF2272"/>
    <w:rsid w:val="00BF2385"/>
    <w:rsid w:val="00BF25AE"/>
    <w:rsid w:val="00BF2ADB"/>
    <w:rsid w:val="00BF2BE4"/>
    <w:rsid w:val="00BF2C43"/>
    <w:rsid w:val="00BF2CB5"/>
    <w:rsid w:val="00BF2F4B"/>
    <w:rsid w:val="00BF2F54"/>
    <w:rsid w:val="00BF2FAC"/>
    <w:rsid w:val="00BF304B"/>
    <w:rsid w:val="00BF312B"/>
    <w:rsid w:val="00BF315F"/>
    <w:rsid w:val="00BF3220"/>
    <w:rsid w:val="00BF3351"/>
    <w:rsid w:val="00BF337E"/>
    <w:rsid w:val="00BF33F0"/>
    <w:rsid w:val="00BF3438"/>
    <w:rsid w:val="00BF344A"/>
    <w:rsid w:val="00BF34B3"/>
    <w:rsid w:val="00BF3542"/>
    <w:rsid w:val="00BF3897"/>
    <w:rsid w:val="00BF39FB"/>
    <w:rsid w:val="00BF3C82"/>
    <w:rsid w:val="00BF3D19"/>
    <w:rsid w:val="00BF3DD0"/>
    <w:rsid w:val="00BF3E6D"/>
    <w:rsid w:val="00BF3F32"/>
    <w:rsid w:val="00BF416B"/>
    <w:rsid w:val="00BF418A"/>
    <w:rsid w:val="00BF4393"/>
    <w:rsid w:val="00BF43EE"/>
    <w:rsid w:val="00BF4596"/>
    <w:rsid w:val="00BF46D6"/>
    <w:rsid w:val="00BF4710"/>
    <w:rsid w:val="00BF474E"/>
    <w:rsid w:val="00BF484B"/>
    <w:rsid w:val="00BF495F"/>
    <w:rsid w:val="00BF4D82"/>
    <w:rsid w:val="00BF5064"/>
    <w:rsid w:val="00BF51C2"/>
    <w:rsid w:val="00BF51F1"/>
    <w:rsid w:val="00BF5586"/>
    <w:rsid w:val="00BF59CF"/>
    <w:rsid w:val="00BF59D4"/>
    <w:rsid w:val="00BF59FE"/>
    <w:rsid w:val="00BF5DBB"/>
    <w:rsid w:val="00BF5EF3"/>
    <w:rsid w:val="00BF5EF9"/>
    <w:rsid w:val="00BF60EB"/>
    <w:rsid w:val="00BF6510"/>
    <w:rsid w:val="00BF655E"/>
    <w:rsid w:val="00BF6657"/>
    <w:rsid w:val="00BF6711"/>
    <w:rsid w:val="00BF6718"/>
    <w:rsid w:val="00BF6CD5"/>
    <w:rsid w:val="00BF764C"/>
    <w:rsid w:val="00BF76F3"/>
    <w:rsid w:val="00BF779A"/>
    <w:rsid w:val="00BF78BE"/>
    <w:rsid w:val="00BF7993"/>
    <w:rsid w:val="00BF7D16"/>
    <w:rsid w:val="00BF7F4C"/>
    <w:rsid w:val="00C004AF"/>
    <w:rsid w:val="00C00504"/>
    <w:rsid w:val="00C00586"/>
    <w:rsid w:val="00C008D7"/>
    <w:rsid w:val="00C00D8B"/>
    <w:rsid w:val="00C00E44"/>
    <w:rsid w:val="00C00F21"/>
    <w:rsid w:val="00C0124D"/>
    <w:rsid w:val="00C01294"/>
    <w:rsid w:val="00C012ED"/>
    <w:rsid w:val="00C012F1"/>
    <w:rsid w:val="00C01445"/>
    <w:rsid w:val="00C015A8"/>
    <w:rsid w:val="00C016B1"/>
    <w:rsid w:val="00C01775"/>
    <w:rsid w:val="00C01985"/>
    <w:rsid w:val="00C01A9A"/>
    <w:rsid w:val="00C01B82"/>
    <w:rsid w:val="00C01D59"/>
    <w:rsid w:val="00C01EFA"/>
    <w:rsid w:val="00C0209A"/>
    <w:rsid w:val="00C021DF"/>
    <w:rsid w:val="00C02317"/>
    <w:rsid w:val="00C023F5"/>
    <w:rsid w:val="00C02543"/>
    <w:rsid w:val="00C02646"/>
    <w:rsid w:val="00C02723"/>
    <w:rsid w:val="00C0280B"/>
    <w:rsid w:val="00C02868"/>
    <w:rsid w:val="00C02A1E"/>
    <w:rsid w:val="00C02AA4"/>
    <w:rsid w:val="00C02B83"/>
    <w:rsid w:val="00C02BA3"/>
    <w:rsid w:val="00C0318E"/>
    <w:rsid w:val="00C03431"/>
    <w:rsid w:val="00C034C8"/>
    <w:rsid w:val="00C03576"/>
    <w:rsid w:val="00C03BB9"/>
    <w:rsid w:val="00C03C49"/>
    <w:rsid w:val="00C03DAF"/>
    <w:rsid w:val="00C03E54"/>
    <w:rsid w:val="00C03FD5"/>
    <w:rsid w:val="00C04016"/>
    <w:rsid w:val="00C04372"/>
    <w:rsid w:val="00C044E0"/>
    <w:rsid w:val="00C04760"/>
    <w:rsid w:val="00C04AA6"/>
    <w:rsid w:val="00C04BAE"/>
    <w:rsid w:val="00C04DE0"/>
    <w:rsid w:val="00C050AF"/>
    <w:rsid w:val="00C0512B"/>
    <w:rsid w:val="00C0515E"/>
    <w:rsid w:val="00C054DA"/>
    <w:rsid w:val="00C0558C"/>
    <w:rsid w:val="00C055F6"/>
    <w:rsid w:val="00C05627"/>
    <w:rsid w:val="00C058AF"/>
    <w:rsid w:val="00C05AA2"/>
    <w:rsid w:val="00C05C67"/>
    <w:rsid w:val="00C05C86"/>
    <w:rsid w:val="00C05D8A"/>
    <w:rsid w:val="00C05F9E"/>
    <w:rsid w:val="00C05FB2"/>
    <w:rsid w:val="00C062C5"/>
    <w:rsid w:val="00C065F9"/>
    <w:rsid w:val="00C066B4"/>
    <w:rsid w:val="00C06779"/>
    <w:rsid w:val="00C06919"/>
    <w:rsid w:val="00C06956"/>
    <w:rsid w:val="00C06E78"/>
    <w:rsid w:val="00C06EB4"/>
    <w:rsid w:val="00C07013"/>
    <w:rsid w:val="00C0703A"/>
    <w:rsid w:val="00C0714B"/>
    <w:rsid w:val="00C07196"/>
    <w:rsid w:val="00C07216"/>
    <w:rsid w:val="00C0725F"/>
    <w:rsid w:val="00C073F0"/>
    <w:rsid w:val="00C073FC"/>
    <w:rsid w:val="00C07490"/>
    <w:rsid w:val="00C07718"/>
    <w:rsid w:val="00C07833"/>
    <w:rsid w:val="00C07889"/>
    <w:rsid w:val="00C07BB1"/>
    <w:rsid w:val="00C07E20"/>
    <w:rsid w:val="00C07F0D"/>
    <w:rsid w:val="00C101B2"/>
    <w:rsid w:val="00C10244"/>
    <w:rsid w:val="00C10434"/>
    <w:rsid w:val="00C1051D"/>
    <w:rsid w:val="00C10958"/>
    <w:rsid w:val="00C109B6"/>
    <w:rsid w:val="00C10D4F"/>
    <w:rsid w:val="00C10EBC"/>
    <w:rsid w:val="00C110D6"/>
    <w:rsid w:val="00C11215"/>
    <w:rsid w:val="00C112B7"/>
    <w:rsid w:val="00C114D4"/>
    <w:rsid w:val="00C115C2"/>
    <w:rsid w:val="00C11945"/>
    <w:rsid w:val="00C11A10"/>
    <w:rsid w:val="00C11B81"/>
    <w:rsid w:val="00C11BD8"/>
    <w:rsid w:val="00C11C62"/>
    <w:rsid w:val="00C11CEE"/>
    <w:rsid w:val="00C11EC1"/>
    <w:rsid w:val="00C11F18"/>
    <w:rsid w:val="00C11FA1"/>
    <w:rsid w:val="00C12033"/>
    <w:rsid w:val="00C12258"/>
    <w:rsid w:val="00C1239B"/>
    <w:rsid w:val="00C1293D"/>
    <w:rsid w:val="00C12AD4"/>
    <w:rsid w:val="00C12BFD"/>
    <w:rsid w:val="00C12C43"/>
    <w:rsid w:val="00C12C4F"/>
    <w:rsid w:val="00C12D86"/>
    <w:rsid w:val="00C12E6C"/>
    <w:rsid w:val="00C12F0B"/>
    <w:rsid w:val="00C12FFE"/>
    <w:rsid w:val="00C1300C"/>
    <w:rsid w:val="00C13046"/>
    <w:rsid w:val="00C131CE"/>
    <w:rsid w:val="00C131D2"/>
    <w:rsid w:val="00C13489"/>
    <w:rsid w:val="00C134F0"/>
    <w:rsid w:val="00C13522"/>
    <w:rsid w:val="00C136F7"/>
    <w:rsid w:val="00C13809"/>
    <w:rsid w:val="00C1395F"/>
    <w:rsid w:val="00C13AAD"/>
    <w:rsid w:val="00C13AD7"/>
    <w:rsid w:val="00C13C70"/>
    <w:rsid w:val="00C13D9C"/>
    <w:rsid w:val="00C13DF9"/>
    <w:rsid w:val="00C13E7B"/>
    <w:rsid w:val="00C14321"/>
    <w:rsid w:val="00C14439"/>
    <w:rsid w:val="00C14719"/>
    <w:rsid w:val="00C14849"/>
    <w:rsid w:val="00C14A0A"/>
    <w:rsid w:val="00C14AB2"/>
    <w:rsid w:val="00C14C6C"/>
    <w:rsid w:val="00C14D3D"/>
    <w:rsid w:val="00C15042"/>
    <w:rsid w:val="00C15072"/>
    <w:rsid w:val="00C1508D"/>
    <w:rsid w:val="00C15113"/>
    <w:rsid w:val="00C153A4"/>
    <w:rsid w:val="00C153B3"/>
    <w:rsid w:val="00C1567F"/>
    <w:rsid w:val="00C15714"/>
    <w:rsid w:val="00C15A8C"/>
    <w:rsid w:val="00C15AB3"/>
    <w:rsid w:val="00C15B24"/>
    <w:rsid w:val="00C15B66"/>
    <w:rsid w:val="00C15CE1"/>
    <w:rsid w:val="00C15D16"/>
    <w:rsid w:val="00C15DDB"/>
    <w:rsid w:val="00C15E1E"/>
    <w:rsid w:val="00C15E4B"/>
    <w:rsid w:val="00C15EF2"/>
    <w:rsid w:val="00C1615D"/>
    <w:rsid w:val="00C1618B"/>
    <w:rsid w:val="00C166C3"/>
    <w:rsid w:val="00C168C7"/>
    <w:rsid w:val="00C16CAC"/>
    <w:rsid w:val="00C16CDB"/>
    <w:rsid w:val="00C16F7E"/>
    <w:rsid w:val="00C170DC"/>
    <w:rsid w:val="00C17177"/>
    <w:rsid w:val="00C171F7"/>
    <w:rsid w:val="00C173B7"/>
    <w:rsid w:val="00C1742D"/>
    <w:rsid w:val="00C17523"/>
    <w:rsid w:val="00C17634"/>
    <w:rsid w:val="00C1767B"/>
    <w:rsid w:val="00C1771F"/>
    <w:rsid w:val="00C17772"/>
    <w:rsid w:val="00C17894"/>
    <w:rsid w:val="00C1C7D9"/>
    <w:rsid w:val="00C20032"/>
    <w:rsid w:val="00C2046C"/>
    <w:rsid w:val="00C2065C"/>
    <w:rsid w:val="00C206EF"/>
    <w:rsid w:val="00C20709"/>
    <w:rsid w:val="00C2094A"/>
    <w:rsid w:val="00C209FD"/>
    <w:rsid w:val="00C20A31"/>
    <w:rsid w:val="00C20B6C"/>
    <w:rsid w:val="00C20B89"/>
    <w:rsid w:val="00C20C80"/>
    <w:rsid w:val="00C20DE3"/>
    <w:rsid w:val="00C20FA2"/>
    <w:rsid w:val="00C2116D"/>
    <w:rsid w:val="00C2120D"/>
    <w:rsid w:val="00C212D4"/>
    <w:rsid w:val="00C214C7"/>
    <w:rsid w:val="00C21578"/>
    <w:rsid w:val="00C217A0"/>
    <w:rsid w:val="00C21875"/>
    <w:rsid w:val="00C2189F"/>
    <w:rsid w:val="00C219C9"/>
    <w:rsid w:val="00C21B61"/>
    <w:rsid w:val="00C21B64"/>
    <w:rsid w:val="00C21B98"/>
    <w:rsid w:val="00C21BC1"/>
    <w:rsid w:val="00C21C09"/>
    <w:rsid w:val="00C21C24"/>
    <w:rsid w:val="00C21FE4"/>
    <w:rsid w:val="00C220C8"/>
    <w:rsid w:val="00C22398"/>
    <w:rsid w:val="00C2259F"/>
    <w:rsid w:val="00C225EC"/>
    <w:rsid w:val="00C225FA"/>
    <w:rsid w:val="00C22630"/>
    <w:rsid w:val="00C2283D"/>
    <w:rsid w:val="00C228B1"/>
    <w:rsid w:val="00C229EE"/>
    <w:rsid w:val="00C22A25"/>
    <w:rsid w:val="00C22B68"/>
    <w:rsid w:val="00C22BF2"/>
    <w:rsid w:val="00C22C97"/>
    <w:rsid w:val="00C22FA3"/>
    <w:rsid w:val="00C23224"/>
    <w:rsid w:val="00C2360E"/>
    <w:rsid w:val="00C237D9"/>
    <w:rsid w:val="00C23A35"/>
    <w:rsid w:val="00C23DB3"/>
    <w:rsid w:val="00C23DF7"/>
    <w:rsid w:val="00C23E73"/>
    <w:rsid w:val="00C24134"/>
    <w:rsid w:val="00C24254"/>
    <w:rsid w:val="00C242D4"/>
    <w:rsid w:val="00C247E5"/>
    <w:rsid w:val="00C2493F"/>
    <w:rsid w:val="00C24953"/>
    <w:rsid w:val="00C24AED"/>
    <w:rsid w:val="00C24B8F"/>
    <w:rsid w:val="00C24C08"/>
    <w:rsid w:val="00C24D79"/>
    <w:rsid w:val="00C24D9A"/>
    <w:rsid w:val="00C24E05"/>
    <w:rsid w:val="00C24ECD"/>
    <w:rsid w:val="00C24F03"/>
    <w:rsid w:val="00C24FC9"/>
    <w:rsid w:val="00C250EC"/>
    <w:rsid w:val="00C252B6"/>
    <w:rsid w:val="00C25511"/>
    <w:rsid w:val="00C25591"/>
    <w:rsid w:val="00C2559B"/>
    <w:rsid w:val="00C25843"/>
    <w:rsid w:val="00C258B1"/>
    <w:rsid w:val="00C25AB6"/>
    <w:rsid w:val="00C25D48"/>
    <w:rsid w:val="00C25E92"/>
    <w:rsid w:val="00C25F4E"/>
    <w:rsid w:val="00C26005"/>
    <w:rsid w:val="00C26150"/>
    <w:rsid w:val="00C262E1"/>
    <w:rsid w:val="00C268EB"/>
    <w:rsid w:val="00C269AA"/>
    <w:rsid w:val="00C269AD"/>
    <w:rsid w:val="00C26A4B"/>
    <w:rsid w:val="00C26B27"/>
    <w:rsid w:val="00C26BE1"/>
    <w:rsid w:val="00C26DE6"/>
    <w:rsid w:val="00C2736A"/>
    <w:rsid w:val="00C2744E"/>
    <w:rsid w:val="00C27750"/>
    <w:rsid w:val="00C27882"/>
    <w:rsid w:val="00C2798D"/>
    <w:rsid w:val="00C2799B"/>
    <w:rsid w:val="00C27D00"/>
    <w:rsid w:val="00C27DCF"/>
    <w:rsid w:val="00C2D748"/>
    <w:rsid w:val="00C301D8"/>
    <w:rsid w:val="00C30367"/>
    <w:rsid w:val="00C303D9"/>
    <w:rsid w:val="00C30791"/>
    <w:rsid w:val="00C308FE"/>
    <w:rsid w:val="00C309ED"/>
    <w:rsid w:val="00C309FD"/>
    <w:rsid w:val="00C30A38"/>
    <w:rsid w:val="00C30D05"/>
    <w:rsid w:val="00C30E8D"/>
    <w:rsid w:val="00C310BC"/>
    <w:rsid w:val="00C310DD"/>
    <w:rsid w:val="00C3115D"/>
    <w:rsid w:val="00C311BB"/>
    <w:rsid w:val="00C3132F"/>
    <w:rsid w:val="00C315F5"/>
    <w:rsid w:val="00C316B5"/>
    <w:rsid w:val="00C3170F"/>
    <w:rsid w:val="00C31939"/>
    <w:rsid w:val="00C31ACD"/>
    <w:rsid w:val="00C31E6F"/>
    <w:rsid w:val="00C31F41"/>
    <w:rsid w:val="00C321F0"/>
    <w:rsid w:val="00C32317"/>
    <w:rsid w:val="00C32466"/>
    <w:rsid w:val="00C324D1"/>
    <w:rsid w:val="00C3254F"/>
    <w:rsid w:val="00C32561"/>
    <w:rsid w:val="00C3256C"/>
    <w:rsid w:val="00C3266E"/>
    <w:rsid w:val="00C32924"/>
    <w:rsid w:val="00C32B28"/>
    <w:rsid w:val="00C32D04"/>
    <w:rsid w:val="00C32DFE"/>
    <w:rsid w:val="00C32F06"/>
    <w:rsid w:val="00C33186"/>
    <w:rsid w:val="00C33369"/>
    <w:rsid w:val="00C335BD"/>
    <w:rsid w:val="00C335D0"/>
    <w:rsid w:val="00C33745"/>
    <w:rsid w:val="00C33784"/>
    <w:rsid w:val="00C33804"/>
    <w:rsid w:val="00C33A67"/>
    <w:rsid w:val="00C33BBD"/>
    <w:rsid w:val="00C33D32"/>
    <w:rsid w:val="00C33E73"/>
    <w:rsid w:val="00C33F67"/>
    <w:rsid w:val="00C3400F"/>
    <w:rsid w:val="00C341DD"/>
    <w:rsid w:val="00C34249"/>
    <w:rsid w:val="00C34308"/>
    <w:rsid w:val="00C34396"/>
    <w:rsid w:val="00C343AC"/>
    <w:rsid w:val="00C343FB"/>
    <w:rsid w:val="00C34421"/>
    <w:rsid w:val="00C34442"/>
    <w:rsid w:val="00C34709"/>
    <w:rsid w:val="00C34852"/>
    <w:rsid w:val="00C3492D"/>
    <w:rsid w:val="00C34A21"/>
    <w:rsid w:val="00C34AB2"/>
    <w:rsid w:val="00C34AB5"/>
    <w:rsid w:val="00C34B6B"/>
    <w:rsid w:val="00C34C09"/>
    <w:rsid w:val="00C34C5F"/>
    <w:rsid w:val="00C34C6E"/>
    <w:rsid w:val="00C34F5E"/>
    <w:rsid w:val="00C34F92"/>
    <w:rsid w:val="00C35445"/>
    <w:rsid w:val="00C35741"/>
    <w:rsid w:val="00C35743"/>
    <w:rsid w:val="00C35844"/>
    <w:rsid w:val="00C35AE7"/>
    <w:rsid w:val="00C35AEF"/>
    <w:rsid w:val="00C35C6A"/>
    <w:rsid w:val="00C35C80"/>
    <w:rsid w:val="00C35C8A"/>
    <w:rsid w:val="00C35D7C"/>
    <w:rsid w:val="00C35DA6"/>
    <w:rsid w:val="00C35F30"/>
    <w:rsid w:val="00C35F56"/>
    <w:rsid w:val="00C36633"/>
    <w:rsid w:val="00C36925"/>
    <w:rsid w:val="00C36A1B"/>
    <w:rsid w:val="00C36A58"/>
    <w:rsid w:val="00C36AA8"/>
    <w:rsid w:val="00C36B76"/>
    <w:rsid w:val="00C36F70"/>
    <w:rsid w:val="00C37204"/>
    <w:rsid w:val="00C372EF"/>
    <w:rsid w:val="00C3773B"/>
    <w:rsid w:val="00C378B1"/>
    <w:rsid w:val="00C37A5F"/>
    <w:rsid w:val="00C37C73"/>
    <w:rsid w:val="00C4001F"/>
    <w:rsid w:val="00C4003E"/>
    <w:rsid w:val="00C4008F"/>
    <w:rsid w:val="00C4018A"/>
    <w:rsid w:val="00C404B4"/>
    <w:rsid w:val="00C40534"/>
    <w:rsid w:val="00C40912"/>
    <w:rsid w:val="00C40935"/>
    <w:rsid w:val="00C40BA3"/>
    <w:rsid w:val="00C40C42"/>
    <w:rsid w:val="00C40D1C"/>
    <w:rsid w:val="00C40F3A"/>
    <w:rsid w:val="00C41139"/>
    <w:rsid w:val="00C413D5"/>
    <w:rsid w:val="00C41504"/>
    <w:rsid w:val="00C4187E"/>
    <w:rsid w:val="00C41C07"/>
    <w:rsid w:val="00C41C8A"/>
    <w:rsid w:val="00C41E8F"/>
    <w:rsid w:val="00C420E2"/>
    <w:rsid w:val="00C42185"/>
    <w:rsid w:val="00C42473"/>
    <w:rsid w:val="00C424C6"/>
    <w:rsid w:val="00C424FE"/>
    <w:rsid w:val="00C4251B"/>
    <w:rsid w:val="00C42558"/>
    <w:rsid w:val="00C42587"/>
    <w:rsid w:val="00C42606"/>
    <w:rsid w:val="00C42B27"/>
    <w:rsid w:val="00C42C2C"/>
    <w:rsid w:val="00C42C42"/>
    <w:rsid w:val="00C42C7D"/>
    <w:rsid w:val="00C42EA8"/>
    <w:rsid w:val="00C42FB3"/>
    <w:rsid w:val="00C43041"/>
    <w:rsid w:val="00C430B8"/>
    <w:rsid w:val="00C43106"/>
    <w:rsid w:val="00C43167"/>
    <w:rsid w:val="00C43385"/>
    <w:rsid w:val="00C434AE"/>
    <w:rsid w:val="00C435A9"/>
    <w:rsid w:val="00C43653"/>
    <w:rsid w:val="00C43769"/>
    <w:rsid w:val="00C438B3"/>
    <w:rsid w:val="00C43A8C"/>
    <w:rsid w:val="00C43CFA"/>
    <w:rsid w:val="00C43DAB"/>
    <w:rsid w:val="00C43E03"/>
    <w:rsid w:val="00C44396"/>
    <w:rsid w:val="00C4442B"/>
    <w:rsid w:val="00C444E2"/>
    <w:rsid w:val="00C44763"/>
    <w:rsid w:val="00C447CD"/>
    <w:rsid w:val="00C4487F"/>
    <w:rsid w:val="00C44B79"/>
    <w:rsid w:val="00C44BAD"/>
    <w:rsid w:val="00C44BE3"/>
    <w:rsid w:val="00C44DC4"/>
    <w:rsid w:val="00C44DF6"/>
    <w:rsid w:val="00C4518A"/>
    <w:rsid w:val="00C453EB"/>
    <w:rsid w:val="00C45540"/>
    <w:rsid w:val="00C455E8"/>
    <w:rsid w:val="00C45683"/>
    <w:rsid w:val="00C456DF"/>
    <w:rsid w:val="00C457B2"/>
    <w:rsid w:val="00C4582D"/>
    <w:rsid w:val="00C458E2"/>
    <w:rsid w:val="00C45B2D"/>
    <w:rsid w:val="00C45BEA"/>
    <w:rsid w:val="00C45BF3"/>
    <w:rsid w:val="00C45C0C"/>
    <w:rsid w:val="00C45CF8"/>
    <w:rsid w:val="00C46049"/>
    <w:rsid w:val="00C461CF"/>
    <w:rsid w:val="00C461E3"/>
    <w:rsid w:val="00C46289"/>
    <w:rsid w:val="00C46469"/>
    <w:rsid w:val="00C4656D"/>
    <w:rsid w:val="00C468A1"/>
    <w:rsid w:val="00C46C4C"/>
    <w:rsid w:val="00C46CA9"/>
    <w:rsid w:val="00C46D04"/>
    <w:rsid w:val="00C46F4F"/>
    <w:rsid w:val="00C47297"/>
    <w:rsid w:val="00C4736C"/>
    <w:rsid w:val="00C47489"/>
    <w:rsid w:val="00C47648"/>
    <w:rsid w:val="00C4785B"/>
    <w:rsid w:val="00C478E2"/>
    <w:rsid w:val="00C479F4"/>
    <w:rsid w:val="00C47C8C"/>
    <w:rsid w:val="00C47DE7"/>
    <w:rsid w:val="00C47E16"/>
    <w:rsid w:val="00C500E0"/>
    <w:rsid w:val="00C5024E"/>
    <w:rsid w:val="00C503C6"/>
    <w:rsid w:val="00C5054F"/>
    <w:rsid w:val="00C505E3"/>
    <w:rsid w:val="00C5064B"/>
    <w:rsid w:val="00C5078E"/>
    <w:rsid w:val="00C50847"/>
    <w:rsid w:val="00C50898"/>
    <w:rsid w:val="00C50E4F"/>
    <w:rsid w:val="00C51301"/>
    <w:rsid w:val="00C513CC"/>
    <w:rsid w:val="00C51625"/>
    <w:rsid w:val="00C51860"/>
    <w:rsid w:val="00C51DB9"/>
    <w:rsid w:val="00C51FF1"/>
    <w:rsid w:val="00C522F3"/>
    <w:rsid w:val="00C52301"/>
    <w:rsid w:val="00C524CD"/>
    <w:rsid w:val="00C524E8"/>
    <w:rsid w:val="00C525F6"/>
    <w:rsid w:val="00C52796"/>
    <w:rsid w:val="00C52835"/>
    <w:rsid w:val="00C5284B"/>
    <w:rsid w:val="00C529B2"/>
    <w:rsid w:val="00C529FF"/>
    <w:rsid w:val="00C52A6E"/>
    <w:rsid w:val="00C52E2F"/>
    <w:rsid w:val="00C52ED9"/>
    <w:rsid w:val="00C52EE3"/>
    <w:rsid w:val="00C5303E"/>
    <w:rsid w:val="00C530AA"/>
    <w:rsid w:val="00C53122"/>
    <w:rsid w:val="00C5324D"/>
    <w:rsid w:val="00C534AA"/>
    <w:rsid w:val="00C5377F"/>
    <w:rsid w:val="00C537CF"/>
    <w:rsid w:val="00C53896"/>
    <w:rsid w:val="00C539F4"/>
    <w:rsid w:val="00C53B1B"/>
    <w:rsid w:val="00C53B4D"/>
    <w:rsid w:val="00C53B63"/>
    <w:rsid w:val="00C53B6D"/>
    <w:rsid w:val="00C53CF9"/>
    <w:rsid w:val="00C53E1B"/>
    <w:rsid w:val="00C53F59"/>
    <w:rsid w:val="00C53F70"/>
    <w:rsid w:val="00C54041"/>
    <w:rsid w:val="00C5423A"/>
    <w:rsid w:val="00C5426B"/>
    <w:rsid w:val="00C5438D"/>
    <w:rsid w:val="00C54442"/>
    <w:rsid w:val="00C5453F"/>
    <w:rsid w:val="00C54553"/>
    <w:rsid w:val="00C54605"/>
    <w:rsid w:val="00C5466C"/>
    <w:rsid w:val="00C54907"/>
    <w:rsid w:val="00C54923"/>
    <w:rsid w:val="00C54955"/>
    <w:rsid w:val="00C54B75"/>
    <w:rsid w:val="00C54B9D"/>
    <w:rsid w:val="00C54D02"/>
    <w:rsid w:val="00C54E86"/>
    <w:rsid w:val="00C550F8"/>
    <w:rsid w:val="00C55124"/>
    <w:rsid w:val="00C55488"/>
    <w:rsid w:val="00C555A9"/>
    <w:rsid w:val="00C556CF"/>
    <w:rsid w:val="00C5576A"/>
    <w:rsid w:val="00C557DC"/>
    <w:rsid w:val="00C558EF"/>
    <w:rsid w:val="00C558F4"/>
    <w:rsid w:val="00C55B0D"/>
    <w:rsid w:val="00C55B60"/>
    <w:rsid w:val="00C55C24"/>
    <w:rsid w:val="00C55E70"/>
    <w:rsid w:val="00C561A1"/>
    <w:rsid w:val="00C5622C"/>
    <w:rsid w:val="00C56311"/>
    <w:rsid w:val="00C563B1"/>
    <w:rsid w:val="00C56525"/>
    <w:rsid w:val="00C56685"/>
    <w:rsid w:val="00C56804"/>
    <w:rsid w:val="00C569A0"/>
    <w:rsid w:val="00C56A6E"/>
    <w:rsid w:val="00C56A8E"/>
    <w:rsid w:val="00C56AAD"/>
    <w:rsid w:val="00C56C23"/>
    <w:rsid w:val="00C56CD8"/>
    <w:rsid w:val="00C56EC5"/>
    <w:rsid w:val="00C57093"/>
    <w:rsid w:val="00C5745D"/>
    <w:rsid w:val="00C575B2"/>
    <w:rsid w:val="00C575DC"/>
    <w:rsid w:val="00C578AE"/>
    <w:rsid w:val="00C578D8"/>
    <w:rsid w:val="00C57A25"/>
    <w:rsid w:val="00C57A8F"/>
    <w:rsid w:val="00C57B57"/>
    <w:rsid w:val="00C57F88"/>
    <w:rsid w:val="00C60214"/>
    <w:rsid w:val="00C60334"/>
    <w:rsid w:val="00C60651"/>
    <w:rsid w:val="00C607B1"/>
    <w:rsid w:val="00C6086A"/>
    <w:rsid w:val="00C60980"/>
    <w:rsid w:val="00C60B8F"/>
    <w:rsid w:val="00C60BB7"/>
    <w:rsid w:val="00C60E3C"/>
    <w:rsid w:val="00C61014"/>
    <w:rsid w:val="00C611A6"/>
    <w:rsid w:val="00C6130F"/>
    <w:rsid w:val="00C6133C"/>
    <w:rsid w:val="00C613A1"/>
    <w:rsid w:val="00C618B0"/>
    <w:rsid w:val="00C61986"/>
    <w:rsid w:val="00C61A27"/>
    <w:rsid w:val="00C61B04"/>
    <w:rsid w:val="00C61B1C"/>
    <w:rsid w:val="00C61C26"/>
    <w:rsid w:val="00C61D50"/>
    <w:rsid w:val="00C61E39"/>
    <w:rsid w:val="00C61F21"/>
    <w:rsid w:val="00C6204C"/>
    <w:rsid w:val="00C62224"/>
    <w:rsid w:val="00C6234B"/>
    <w:rsid w:val="00C623F4"/>
    <w:rsid w:val="00C6253C"/>
    <w:rsid w:val="00C626B3"/>
    <w:rsid w:val="00C6284B"/>
    <w:rsid w:val="00C628C0"/>
    <w:rsid w:val="00C62F88"/>
    <w:rsid w:val="00C63058"/>
    <w:rsid w:val="00C63294"/>
    <w:rsid w:val="00C6345E"/>
    <w:rsid w:val="00C635C4"/>
    <w:rsid w:val="00C638A8"/>
    <w:rsid w:val="00C63913"/>
    <w:rsid w:val="00C63B65"/>
    <w:rsid w:val="00C63C0E"/>
    <w:rsid w:val="00C63DC5"/>
    <w:rsid w:val="00C63F8E"/>
    <w:rsid w:val="00C640D7"/>
    <w:rsid w:val="00C64119"/>
    <w:rsid w:val="00C645CC"/>
    <w:rsid w:val="00C64708"/>
    <w:rsid w:val="00C647B6"/>
    <w:rsid w:val="00C648C4"/>
    <w:rsid w:val="00C6490C"/>
    <w:rsid w:val="00C6499D"/>
    <w:rsid w:val="00C64AA8"/>
    <w:rsid w:val="00C64E05"/>
    <w:rsid w:val="00C653A6"/>
    <w:rsid w:val="00C65556"/>
    <w:rsid w:val="00C65671"/>
    <w:rsid w:val="00C656E2"/>
    <w:rsid w:val="00C6583E"/>
    <w:rsid w:val="00C65863"/>
    <w:rsid w:val="00C659B9"/>
    <w:rsid w:val="00C65ADB"/>
    <w:rsid w:val="00C65B32"/>
    <w:rsid w:val="00C65B35"/>
    <w:rsid w:val="00C65CFD"/>
    <w:rsid w:val="00C65D25"/>
    <w:rsid w:val="00C65E5F"/>
    <w:rsid w:val="00C65ED1"/>
    <w:rsid w:val="00C66114"/>
    <w:rsid w:val="00C66253"/>
    <w:rsid w:val="00C6631B"/>
    <w:rsid w:val="00C6637C"/>
    <w:rsid w:val="00C6643F"/>
    <w:rsid w:val="00C664BE"/>
    <w:rsid w:val="00C66568"/>
    <w:rsid w:val="00C666A7"/>
    <w:rsid w:val="00C6671D"/>
    <w:rsid w:val="00C6675B"/>
    <w:rsid w:val="00C66813"/>
    <w:rsid w:val="00C66A70"/>
    <w:rsid w:val="00C66F89"/>
    <w:rsid w:val="00C67106"/>
    <w:rsid w:val="00C6722F"/>
    <w:rsid w:val="00C67336"/>
    <w:rsid w:val="00C67338"/>
    <w:rsid w:val="00C67620"/>
    <w:rsid w:val="00C67621"/>
    <w:rsid w:val="00C67942"/>
    <w:rsid w:val="00C67E57"/>
    <w:rsid w:val="00C67E8B"/>
    <w:rsid w:val="00C6BFE0"/>
    <w:rsid w:val="00C702CA"/>
    <w:rsid w:val="00C703BB"/>
    <w:rsid w:val="00C703C6"/>
    <w:rsid w:val="00C70457"/>
    <w:rsid w:val="00C704D3"/>
    <w:rsid w:val="00C70540"/>
    <w:rsid w:val="00C706FA"/>
    <w:rsid w:val="00C70885"/>
    <w:rsid w:val="00C70C4A"/>
    <w:rsid w:val="00C70C64"/>
    <w:rsid w:val="00C70CCB"/>
    <w:rsid w:val="00C70DEB"/>
    <w:rsid w:val="00C70F87"/>
    <w:rsid w:val="00C711A5"/>
    <w:rsid w:val="00C71367"/>
    <w:rsid w:val="00C713AD"/>
    <w:rsid w:val="00C7143D"/>
    <w:rsid w:val="00C71725"/>
    <w:rsid w:val="00C717FC"/>
    <w:rsid w:val="00C71D10"/>
    <w:rsid w:val="00C71DA6"/>
    <w:rsid w:val="00C71E5D"/>
    <w:rsid w:val="00C72056"/>
    <w:rsid w:val="00C72377"/>
    <w:rsid w:val="00C724C1"/>
    <w:rsid w:val="00C72610"/>
    <w:rsid w:val="00C72AB8"/>
    <w:rsid w:val="00C72BC3"/>
    <w:rsid w:val="00C72CDE"/>
    <w:rsid w:val="00C73108"/>
    <w:rsid w:val="00C734A3"/>
    <w:rsid w:val="00C73550"/>
    <w:rsid w:val="00C73730"/>
    <w:rsid w:val="00C73793"/>
    <w:rsid w:val="00C73CC9"/>
    <w:rsid w:val="00C73D26"/>
    <w:rsid w:val="00C73D5A"/>
    <w:rsid w:val="00C73DDF"/>
    <w:rsid w:val="00C73EA1"/>
    <w:rsid w:val="00C73EA5"/>
    <w:rsid w:val="00C73F9D"/>
    <w:rsid w:val="00C73FCA"/>
    <w:rsid w:val="00C741FC"/>
    <w:rsid w:val="00C743A6"/>
    <w:rsid w:val="00C74438"/>
    <w:rsid w:val="00C744A1"/>
    <w:rsid w:val="00C745AE"/>
    <w:rsid w:val="00C74720"/>
    <w:rsid w:val="00C748CD"/>
    <w:rsid w:val="00C748D3"/>
    <w:rsid w:val="00C748DC"/>
    <w:rsid w:val="00C74934"/>
    <w:rsid w:val="00C74BD6"/>
    <w:rsid w:val="00C74C08"/>
    <w:rsid w:val="00C74C84"/>
    <w:rsid w:val="00C74D1F"/>
    <w:rsid w:val="00C74D97"/>
    <w:rsid w:val="00C74E5B"/>
    <w:rsid w:val="00C7504B"/>
    <w:rsid w:val="00C7504C"/>
    <w:rsid w:val="00C75445"/>
    <w:rsid w:val="00C754DF"/>
    <w:rsid w:val="00C755CF"/>
    <w:rsid w:val="00C75640"/>
    <w:rsid w:val="00C756F2"/>
    <w:rsid w:val="00C75760"/>
    <w:rsid w:val="00C75A85"/>
    <w:rsid w:val="00C75ACF"/>
    <w:rsid w:val="00C75B30"/>
    <w:rsid w:val="00C75CB8"/>
    <w:rsid w:val="00C75ECE"/>
    <w:rsid w:val="00C76189"/>
    <w:rsid w:val="00C76192"/>
    <w:rsid w:val="00C761D0"/>
    <w:rsid w:val="00C7629A"/>
    <w:rsid w:val="00C76424"/>
    <w:rsid w:val="00C76467"/>
    <w:rsid w:val="00C766D5"/>
    <w:rsid w:val="00C76CC3"/>
    <w:rsid w:val="00C76D9E"/>
    <w:rsid w:val="00C7711C"/>
    <w:rsid w:val="00C77163"/>
    <w:rsid w:val="00C7754A"/>
    <w:rsid w:val="00C775C4"/>
    <w:rsid w:val="00C775FD"/>
    <w:rsid w:val="00C77730"/>
    <w:rsid w:val="00C77787"/>
    <w:rsid w:val="00C77831"/>
    <w:rsid w:val="00C8013D"/>
    <w:rsid w:val="00C80416"/>
    <w:rsid w:val="00C8043C"/>
    <w:rsid w:val="00C805A8"/>
    <w:rsid w:val="00C80678"/>
    <w:rsid w:val="00C807C5"/>
    <w:rsid w:val="00C80995"/>
    <w:rsid w:val="00C80B03"/>
    <w:rsid w:val="00C80B73"/>
    <w:rsid w:val="00C80C9E"/>
    <w:rsid w:val="00C80E99"/>
    <w:rsid w:val="00C810B9"/>
    <w:rsid w:val="00C81170"/>
    <w:rsid w:val="00C81324"/>
    <w:rsid w:val="00C813F1"/>
    <w:rsid w:val="00C81562"/>
    <w:rsid w:val="00C81A13"/>
    <w:rsid w:val="00C8210E"/>
    <w:rsid w:val="00C82209"/>
    <w:rsid w:val="00C822B4"/>
    <w:rsid w:val="00C8239A"/>
    <w:rsid w:val="00C823BB"/>
    <w:rsid w:val="00C8251C"/>
    <w:rsid w:val="00C82526"/>
    <w:rsid w:val="00C82732"/>
    <w:rsid w:val="00C828E3"/>
    <w:rsid w:val="00C82C08"/>
    <w:rsid w:val="00C82C87"/>
    <w:rsid w:val="00C82CF0"/>
    <w:rsid w:val="00C82D03"/>
    <w:rsid w:val="00C8327B"/>
    <w:rsid w:val="00C8348A"/>
    <w:rsid w:val="00C83572"/>
    <w:rsid w:val="00C83573"/>
    <w:rsid w:val="00C836F6"/>
    <w:rsid w:val="00C83736"/>
    <w:rsid w:val="00C8379C"/>
    <w:rsid w:val="00C83A02"/>
    <w:rsid w:val="00C83A4E"/>
    <w:rsid w:val="00C83A8B"/>
    <w:rsid w:val="00C83B3C"/>
    <w:rsid w:val="00C83B76"/>
    <w:rsid w:val="00C83C4F"/>
    <w:rsid w:val="00C83DCF"/>
    <w:rsid w:val="00C840F9"/>
    <w:rsid w:val="00C841DB"/>
    <w:rsid w:val="00C8421A"/>
    <w:rsid w:val="00C8443B"/>
    <w:rsid w:val="00C84698"/>
    <w:rsid w:val="00C8473E"/>
    <w:rsid w:val="00C84882"/>
    <w:rsid w:val="00C84AB7"/>
    <w:rsid w:val="00C84C6F"/>
    <w:rsid w:val="00C850B2"/>
    <w:rsid w:val="00C85264"/>
    <w:rsid w:val="00C85367"/>
    <w:rsid w:val="00C853AB"/>
    <w:rsid w:val="00C85621"/>
    <w:rsid w:val="00C85782"/>
    <w:rsid w:val="00C859D5"/>
    <w:rsid w:val="00C85DD3"/>
    <w:rsid w:val="00C85E0B"/>
    <w:rsid w:val="00C85E87"/>
    <w:rsid w:val="00C85ED6"/>
    <w:rsid w:val="00C85FF5"/>
    <w:rsid w:val="00C86006"/>
    <w:rsid w:val="00C8608D"/>
    <w:rsid w:val="00C861CA"/>
    <w:rsid w:val="00C86222"/>
    <w:rsid w:val="00C86346"/>
    <w:rsid w:val="00C864A1"/>
    <w:rsid w:val="00C867F3"/>
    <w:rsid w:val="00C868BA"/>
    <w:rsid w:val="00C868F5"/>
    <w:rsid w:val="00C86997"/>
    <w:rsid w:val="00C869C5"/>
    <w:rsid w:val="00C86A66"/>
    <w:rsid w:val="00C86AFE"/>
    <w:rsid w:val="00C86CAF"/>
    <w:rsid w:val="00C86CB0"/>
    <w:rsid w:val="00C86F54"/>
    <w:rsid w:val="00C870DA"/>
    <w:rsid w:val="00C872E5"/>
    <w:rsid w:val="00C87356"/>
    <w:rsid w:val="00C873EB"/>
    <w:rsid w:val="00C874EB"/>
    <w:rsid w:val="00C876D6"/>
    <w:rsid w:val="00C87732"/>
    <w:rsid w:val="00C87799"/>
    <w:rsid w:val="00C87812"/>
    <w:rsid w:val="00C87C45"/>
    <w:rsid w:val="00C87C57"/>
    <w:rsid w:val="00C87D9B"/>
    <w:rsid w:val="00C87DF4"/>
    <w:rsid w:val="00C9011F"/>
    <w:rsid w:val="00C9030A"/>
    <w:rsid w:val="00C906F6"/>
    <w:rsid w:val="00C90A2F"/>
    <w:rsid w:val="00C90ACE"/>
    <w:rsid w:val="00C90BB5"/>
    <w:rsid w:val="00C90DFA"/>
    <w:rsid w:val="00C90E02"/>
    <w:rsid w:val="00C911AA"/>
    <w:rsid w:val="00C91340"/>
    <w:rsid w:val="00C917A9"/>
    <w:rsid w:val="00C917E0"/>
    <w:rsid w:val="00C919EE"/>
    <w:rsid w:val="00C91B3A"/>
    <w:rsid w:val="00C91B90"/>
    <w:rsid w:val="00C91F2D"/>
    <w:rsid w:val="00C9211F"/>
    <w:rsid w:val="00C92187"/>
    <w:rsid w:val="00C921AA"/>
    <w:rsid w:val="00C921B5"/>
    <w:rsid w:val="00C921E0"/>
    <w:rsid w:val="00C92200"/>
    <w:rsid w:val="00C92216"/>
    <w:rsid w:val="00C922BF"/>
    <w:rsid w:val="00C92517"/>
    <w:rsid w:val="00C92518"/>
    <w:rsid w:val="00C9264C"/>
    <w:rsid w:val="00C92669"/>
    <w:rsid w:val="00C92756"/>
    <w:rsid w:val="00C9309E"/>
    <w:rsid w:val="00C930B6"/>
    <w:rsid w:val="00C930C5"/>
    <w:rsid w:val="00C930D5"/>
    <w:rsid w:val="00C93190"/>
    <w:rsid w:val="00C931A3"/>
    <w:rsid w:val="00C938B7"/>
    <w:rsid w:val="00C93940"/>
    <w:rsid w:val="00C93A5F"/>
    <w:rsid w:val="00C93AC3"/>
    <w:rsid w:val="00C93ADC"/>
    <w:rsid w:val="00C93CE9"/>
    <w:rsid w:val="00C93D02"/>
    <w:rsid w:val="00C94006"/>
    <w:rsid w:val="00C942E0"/>
    <w:rsid w:val="00C9431D"/>
    <w:rsid w:val="00C943A5"/>
    <w:rsid w:val="00C94492"/>
    <w:rsid w:val="00C944BF"/>
    <w:rsid w:val="00C944FC"/>
    <w:rsid w:val="00C94621"/>
    <w:rsid w:val="00C94634"/>
    <w:rsid w:val="00C94679"/>
    <w:rsid w:val="00C946CB"/>
    <w:rsid w:val="00C94921"/>
    <w:rsid w:val="00C94A30"/>
    <w:rsid w:val="00C94A4D"/>
    <w:rsid w:val="00C94BC4"/>
    <w:rsid w:val="00C94CB7"/>
    <w:rsid w:val="00C94CCC"/>
    <w:rsid w:val="00C94EF7"/>
    <w:rsid w:val="00C94EF8"/>
    <w:rsid w:val="00C94F74"/>
    <w:rsid w:val="00C94FFF"/>
    <w:rsid w:val="00C951FD"/>
    <w:rsid w:val="00C9544E"/>
    <w:rsid w:val="00C95555"/>
    <w:rsid w:val="00C95641"/>
    <w:rsid w:val="00C95803"/>
    <w:rsid w:val="00C9580A"/>
    <w:rsid w:val="00C95828"/>
    <w:rsid w:val="00C95983"/>
    <w:rsid w:val="00C95ACF"/>
    <w:rsid w:val="00C95BB2"/>
    <w:rsid w:val="00C95CA5"/>
    <w:rsid w:val="00C95E3D"/>
    <w:rsid w:val="00C96063"/>
    <w:rsid w:val="00C960EE"/>
    <w:rsid w:val="00C9611B"/>
    <w:rsid w:val="00C9645B"/>
    <w:rsid w:val="00C9679D"/>
    <w:rsid w:val="00C96B50"/>
    <w:rsid w:val="00C96FB5"/>
    <w:rsid w:val="00C971CF"/>
    <w:rsid w:val="00C97220"/>
    <w:rsid w:val="00C973E9"/>
    <w:rsid w:val="00C97453"/>
    <w:rsid w:val="00C974B1"/>
    <w:rsid w:val="00C97622"/>
    <w:rsid w:val="00C976D2"/>
    <w:rsid w:val="00C9783A"/>
    <w:rsid w:val="00C978FA"/>
    <w:rsid w:val="00C97945"/>
    <w:rsid w:val="00C97A80"/>
    <w:rsid w:val="00C97ABA"/>
    <w:rsid w:val="00C97E14"/>
    <w:rsid w:val="00C97E56"/>
    <w:rsid w:val="00CA0032"/>
    <w:rsid w:val="00CA013A"/>
    <w:rsid w:val="00CA027F"/>
    <w:rsid w:val="00CA0345"/>
    <w:rsid w:val="00CA04C8"/>
    <w:rsid w:val="00CA0605"/>
    <w:rsid w:val="00CA067C"/>
    <w:rsid w:val="00CA06BB"/>
    <w:rsid w:val="00CA098E"/>
    <w:rsid w:val="00CA0A67"/>
    <w:rsid w:val="00CA0D07"/>
    <w:rsid w:val="00CA0ED6"/>
    <w:rsid w:val="00CA0EE4"/>
    <w:rsid w:val="00CA0EFA"/>
    <w:rsid w:val="00CA0FEF"/>
    <w:rsid w:val="00CA11E4"/>
    <w:rsid w:val="00CA1308"/>
    <w:rsid w:val="00CA1325"/>
    <w:rsid w:val="00CA150D"/>
    <w:rsid w:val="00CA1544"/>
    <w:rsid w:val="00CA1671"/>
    <w:rsid w:val="00CA1816"/>
    <w:rsid w:val="00CA1989"/>
    <w:rsid w:val="00CA1C4B"/>
    <w:rsid w:val="00CA1DC8"/>
    <w:rsid w:val="00CA2141"/>
    <w:rsid w:val="00CA227E"/>
    <w:rsid w:val="00CA22DA"/>
    <w:rsid w:val="00CA248F"/>
    <w:rsid w:val="00CA28A5"/>
    <w:rsid w:val="00CA2A26"/>
    <w:rsid w:val="00CA2B71"/>
    <w:rsid w:val="00CA2D54"/>
    <w:rsid w:val="00CA2F3F"/>
    <w:rsid w:val="00CA308E"/>
    <w:rsid w:val="00CA322F"/>
    <w:rsid w:val="00CA3762"/>
    <w:rsid w:val="00CA38C7"/>
    <w:rsid w:val="00CA3A11"/>
    <w:rsid w:val="00CA3BFC"/>
    <w:rsid w:val="00CA3F9A"/>
    <w:rsid w:val="00CA4257"/>
    <w:rsid w:val="00CA42AD"/>
    <w:rsid w:val="00CA447E"/>
    <w:rsid w:val="00CA4BE3"/>
    <w:rsid w:val="00CA4CC1"/>
    <w:rsid w:val="00CA4E28"/>
    <w:rsid w:val="00CA4FF3"/>
    <w:rsid w:val="00CA519F"/>
    <w:rsid w:val="00CA53F2"/>
    <w:rsid w:val="00CA543C"/>
    <w:rsid w:val="00CA55B9"/>
    <w:rsid w:val="00CA56EB"/>
    <w:rsid w:val="00CA594F"/>
    <w:rsid w:val="00CA5954"/>
    <w:rsid w:val="00CA5A43"/>
    <w:rsid w:val="00CA5C43"/>
    <w:rsid w:val="00CA5C96"/>
    <w:rsid w:val="00CA600A"/>
    <w:rsid w:val="00CA60D3"/>
    <w:rsid w:val="00CA61F2"/>
    <w:rsid w:val="00CA6314"/>
    <w:rsid w:val="00CA653B"/>
    <w:rsid w:val="00CA685F"/>
    <w:rsid w:val="00CA687D"/>
    <w:rsid w:val="00CA69DE"/>
    <w:rsid w:val="00CA6A32"/>
    <w:rsid w:val="00CA6AE9"/>
    <w:rsid w:val="00CA6CB6"/>
    <w:rsid w:val="00CA6DD6"/>
    <w:rsid w:val="00CA701C"/>
    <w:rsid w:val="00CA7029"/>
    <w:rsid w:val="00CA709F"/>
    <w:rsid w:val="00CA735C"/>
    <w:rsid w:val="00CA74CC"/>
    <w:rsid w:val="00CA7517"/>
    <w:rsid w:val="00CA782C"/>
    <w:rsid w:val="00CA7979"/>
    <w:rsid w:val="00CA7A17"/>
    <w:rsid w:val="00CA7AFA"/>
    <w:rsid w:val="00CA7CA9"/>
    <w:rsid w:val="00CB030F"/>
    <w:rsid w:val="00CB0326"/>
    <w:rsid w:val="00CB0330"/>
    <w:rsid w:val="00CB039F"/>
    <w:rsid w:val="00CB05EA"/>
    <w:rsid w:val="00CB0816"/>
    <w:rsid w:val="00CB097D"/>
    <w:rsid w:val="00CB09ED"/>
    <w:rsid w:val="00CB0A27"/>
    <w:rsid w:val="00CB0A8D"/>
    <w:rsid w:val="00CB0BD7"/>
    <w:rsid w:val="00CB0C92"/>
    <w:rsid w:val="00CB0E57"/>
    <w:rsid w:val="00CB0E9F"/>
    <w:rsid w:val="00CB0F5B"/>
    <w:rsid w:val="00CB11F9"/>
    <w:rsid w:val="00CB123F"/>
    <w:rsid w:val="00CB1420"/>
    <w:rsid w:val="00CB1448"/>
    <w:rsid w:val="00CB1817"/>
    <w:rsid w:val="00CB18B8"/>
    <w:rsid w:val="00CB18F8"/>
    <w:rsid w:val="00CB1A2B"/>
    <w:rsid w:val="00CB1D63"/>
    <w:rsid w:val="00CB1DE8"/>
    <w:rsid w:val="00CB1E36"/>
    <w:rsid w:val="00CB218F"/>
    <w:rsid w:val="00CB2279"/>
    <w:rsid w:val="00CB23D8"/>
    <w:rsid w:val="00CB2597"/>
    <w:rsid w:val="00CB25B6"/>
    <w:rsid w:val="00CB2735"/>
    <w:rsid w:val="00CB2903"/>
    <w:rsid w:val="00CB2A83"/>
    <w:rsid w:val="00CB2B02"/>
    <w:rsid w:val="00CB2B1C"/>
    <w:rsid w:val="00CB2DA8"/>
    <w:rsid w:val="00CB2F25"/>
    <w:rsid w:val="00CB2F73"/>
    <w:rsid w:val="00CB3116"/>
    <w:rsid w:val="00CB3158"/>
    <w:rsid w:val="00CB3205"/>
    <w:rsid w:val="00CB332D"/>
    <w:rsid w:val="00CB345A"/>
    <w:rsid w:val="00CB371B"/>
    <w:rsid w:val="00CB3802"/>
    <w:rsid w:val="00CB3BBB"/>
    <w:rsid w:val="00CB4055"/>
    <w:rsid w:val="00CB42C1"/>
    <w:rsid w:val="00CB45DF"/>
    <w:rsid w:val="00CB4669"/>
    <w:rsid w:val="00CB4A8F"/>
    <w:rsid w:val="00CB4B2E"/>
    <w:rsid w:val="00CB4CA8"/>
    <w:rsid w:val="00CB4D65"/>
    <w:rsid w:val="00CB4DC8"/>
    <w:rsid w:val="00CB53ED"/>
    <w:rsid w:val="00CB55AC"/>
    <w:rsid w:val="00CB56F1"/>
    <w:rsid w:val="00CB57BE"/>
    <w:rsid w:val="00CB57F0"/>
    <w:rsid w:val="00CB59CB"/>
    <w:rsid w:val="00CB5A23"/>
    <w:rsid w:val="00CB5CED"/>
    <w:rsid w:val="00CB5CF1"/>
    <w:rsid w:val="00CB611E"/>
    <w:rsid w:val="00CB6208"/>
    <w:rsid w:val="00CB63A8"/>
    <w:rsid w:val="00CB65DC"/>
    <w:rsid w:val="00CB6682"/>
    <w:rsid w:val="00CB685F"/>
    <w:rsid w:val="00CB693F"/>
    <w:rsid w:val="00CB6A47"/>
    <w:rsid w:val="00CB6B47"/>
    <w:rsid w:val="00CB6C52"/>
    <w:rsid w:val="00CB6CDE"/>
    <w:rsid w:val="00CB6E5B"/>
    <w:rsid w:val="00CB70FC"/>
    <w:rsid w:val="00CB7268"/>
    <w:rsid w:val="00CB732F"/>
    <w:rsid w:val="00CB7355"/>
    <w:rsid w:val="00CB739B"/>
    <w:rsid w:val="00CB73BB"/>
    <w:rsid w:val="00CB73ED"/>
    <w:rsid w:val="00CB7530"/>
    <w:rsid w:val="00CB755A"/>
    <w:rsid w:val="00CB759C"/>
    <w:rsid w:val="00CB7AC4"/>
    <w:rsid w:val="00CB7D89"/>
    <w:rsid w:val="00CB7F08"/>
    <w:rsid w:val="00CC0191"/>
    <w:rsid w:val="00CC0263"/>
    <w:rsid w:val="00CC0599"/>
    <w:rsid w:val="00CC0858"/>
    <w:rsid w:val="00CC085F"/>
    <w:rsid w:val="00CC087B"/>
    <w:rsid w:val="00CC0A39"/>
    <w:rsid w:val="00CC0EEE"/>
    <w:rsid w:val="00CC0F1A"/>
    <w:rsid w:val="00CC1038"/>
    <w:rsid w:val="00CC1250"/>
    <w:rsid w:val="00CC1303"/>
    <w:rsid w:val="00CC14CF"/>
    <w:rsid w:val="00CC14F7"/>
    <w:rsid w:val="00CC178C"/>
    <w:rsid w:val="00CC18A3"/>
    <w:rsid w:val="00CC18EA"/>
    <w:rsid w:val="00CC191F"/>
    <w:rsid w:val="00CC1B84"/>
    <w:rsid w:val="00CC1C1E"/>
    <w:rsid w:val="00CC1E61"/>
    <w:rsid w:val="00CC1F88"/>
    <w:rsid w:val="00CC2003"/>
    <w:rsid w:val="00CC2239"/>
    <w:rsid w:val="00CC230B"/>
    <w:rsid w:val="00CC242B"/>
    <w:rsid w:val="00CC246D"/>
    <w:rsid w:val="00CC24AF"/>
    <w:rsid w:val="00CC26A0"/>
    <w:rsid w:val="00CC26B6"/>
    <w:rsid w:val="00CC2704"/>
    <w:rsid w:val="00CC283B"/>
    <w:rsid w:val="00CC28AB"/>
    <w:rsid w:val="00CC299B"/>
    <w:rsid w:val="00CC2A2E"/>
    <w:rsid w:val="00CC2B74"/>
    <w:rsid w:val="00CC2C01"/>
    <w:rsid w:val="00CC2D33"/>
    <w:rsid w:val="00CC2D57"/>
    <w:rsid w:val="00CC30FE"/>
    <w:rsid w:val="00CC31F6"/>
    <w:rsid w:val="00CC34F9"/>
    <w:rsid w:val="00CC3570"/>
    <w:rsid w:val="00CC37D2"/>
    <w:rsid w:val="00CC39B3"/>
    <w:rsid w:val="00CC39F4"/>
    <w:rsid w:val="00CC3A0F"/>
    <w:rsid w:val="00CC3CE0"/>
    <w:rsid w:val="00CC406F"/>
    <w:rsid w:val="00CC4422"/>
    <w:rsid w:val="00CC44ED"/>
    <w:rsid w:val="00CC46B8"/>
    <w:rsid w:val="00CC4746"/>
    <w:rsid w:val="00CC4777"/>
    <w:rsid w:val="00CC47C0"/>
    <w:rsid w:val="00CC47CF"/>
    <w:rsid w:val="00CC48C7"/>
    <w:rsid w:val="00CC4A43"/>
    <w:rsid w:val="00CC4B59"/>
    <w:rsid w:val="00CC4C95"/>
    <w:rsid w:val="00CC4DD5"/>
    <w:rsid w:val="00CC4E35"/>
    <w:rsid w:val="00CC51DB"/>
    <w:rsid w:val="00CC52A5"/>
    <w:rsid w:val="00CC5306"/>
    <w:rsid w:val="00CC538D"/>
    <w:rsid w:val="00CC53CC"/>
    <w:rsid w:val="00CC55E4"/>
    <w:rsid w:val="00CC56EE"/>
    <w:rsid w:val="00CC59C2"/>
    <w:rsid w:val="00CC59CA"/>
    <w:rsid w:val="00CC5A95"/>
    <w:rsid w:val="00CC5F2E"/>
    <w:rsid w:val="00CC5F50"/>
    <w:rsid w:val="00CC5FB7"/>
    <w:rsid w:val="00CC60D6"/>
    <w:rsid w:val="00CC6147"/>
    <w:rsid w:val="00CC6198"/>
    <w:rsid w:val="00CC61D1"/>
    <w:rsid w:val="00CC62B6"/>
    <w:rsid w:val="00CC62F5"/>
    <w:rsid w:val="00CC63AD"/>
    <w:rsid w:val="00CC6754"/>
    <w:rsid w:val="00CC6BFF"/>
    <w:rsid w:val="00CC6F51"/>
    <w:rsid w:val="00CC73A6"/>
    <w:rsid w:val="00CC7459"/>
    <w:rsid w:val="00CC7810"/>
    <w:rsid w:val="00CC7D46"/>
    <w:rsid w:val="00CC7D85"/>
    <w:rsid w:val="00CC7EF6"/>
    <w:rsid w:val="00CC7F13"/>
    <w:rsid w:val="00CC7F21"/>
    <w:rsid w:val="00CC7F8E"/>
    <w:rsid w:val="00CD0013"/>
    <w:rsid w:val="00CD010B"/>
    <w:rsid w:val="00CD03CD"/>
    <w:rsid w:val="00CD06B1"/>
    <w:rsid w:val="00CD081E"/>
    <w:rsid w:val="00CD099B"/>
    <w:rsid w:val="00CD0E49"/>
    <w:rsid w:val="00CD0EEC"/>
    <w:rsid w:val="00CD0F21"/>
    <w:rsid w:val="00CD0F7B"/>
    <w:rsid w:val="00CD1202"/>
    <w:rsid w:val="00CD131E"/>
    <w:rsid w:val="00CD1494"/>
    <w:rsid w:val="00CD166E"/>
    <w:rsid w:val="00CD16D8"/>
    <w:rsid w:val="00CD16F7"/>
    <w:rsid w:val="00CD1724"/>
    <w:rsid w:val="00CD1729"/>
    <w:rsid w:val="00CD1816"/>
    <w:rsid w:val="00CD18A2"/>
    <w:rsid w:val="00CD1D77"/>
    <w:rsid w:val="00CD1EF5"/>
    <w:rsid w:val="00CD1F92"/>
    <w:rsid w:val="00CD20BA"/>
    <w:rsid w:val="00CD20E1"/>
    <w:rsid w:val="00CD2385"/>
    <w:rsid w:val="00CD23C2"/>
    <w:rsid w:val="00CD2699"/>
    <w:rsid w:val="00CD2727"/>
    <w:rsid w:val="00CD2864"/>
    <w:rsid w:val="00CD2B97"/>
    <w:rsid w:val="00CD2C2B"/>
    <w:rsid w:val="00CD2D16"/>
    <w:rsid w:val="00CD2EDF"/>
    <w:rsid w:val="00CD3291"/>
    <w:rsid w:val="00CD3371"/>
    <w:rsid w:val="00CD340E"/>
    <w:rsid w:val="00CD3500"/>
    <w:rsid w:val="00CD373B"/>
    <w:rsid w:val="00CD3A0B"/>
    <w:rsid w:val="00CD3A52"/>
    <w:rsid w:val="00CD3A5F"/>
    <w:rsid w:val="00CD3AF2"/>
    <w:rsid w:val="00CD3B03"/>
    <w:rsid w:val="00CD3C60"/>
    <w:rsid w:val="00CD3CC6"/>
    <w:rsid w:val="00CD3DDD"/>
    <w:rsid w:val="00CD3E87"/>
    <w:rsid w:val="00CD3FD6"/>
    <w:rsid w:val="00CD4069"/>
    <w:rsid w:val="00CD4179"/>
    <w:rsid w:val="00CD42C7"/>
    <w:rsid w:val="00CD4319"/>
    <w:rsid w:val="00CD43DC"/>
    <w:rsid w:val="00CD4573"/>
    <w:rsid w:val="00CD486A"/>
    <w:rsid w:val="00CD4A40"/>
    <w:rsid w:val="00CD4A8F"/>
    <w:rsid w:val="00CD4AFE"/>
    <w:rsid w:val="00CD4CBA"/>
    <w:rsid w:val="00CD4F12"/>
    <w:rsid w:val="00CD5034"/>
    <w:rsid w:val="00CD554A"/>
    <w:rsid w:val="00CD5614"/>
    <w:rsid w:val="00CD58F0"/>
    <w:rsid w:val="00CD58F5"/>
    <w:rsid w:val="00CD5B9B"/>
    <w:rsid w:val="00CD5FF0"/>
    <w:rsid w:val="00CD61D8"/>
    <w:rsid w:val="00CD6325"/>
    <w:rsid w:val="00CD6450"/>
    <w:rsid w:val="00CD6536"/>
    <w:rsid w:val="00CD6551"/>
    <w:rsid w:val="00CD6723"/>
    <w:rsid w:val="00CD69A2"/>
    <w:rsid w:val="00CD6B9B"/>
    <w:rsid w:val="00CD6C35"/>
    <w:rsid w:val="00CD6CA6"/>
    <w:rsid w:val="00CD6D5E"/>
    <w:rsid w:val="00CD6DB8"/>
    <w:rsid w:val="00CD701A"/>
    <w:rsid w:val="00CD713B"/>
    <w:rsid w:val="00CD71D9"/>
    <w:rsid w:val="00CD758B"/>
    <w:rsid w:val="00CD7618"/>
    <w:rsid w:val="00CD7735"/>
    <w:rsid w:val="00CD7767"/>
    <w:rsid w:val="00CD7795"/>
    <w:rsid w:val="00CD7AA6"/>
    <w:rsid w:val="00CD7AF0"/>
    <w:rsid w:val="00CD7EBC"/>
    <w:rsid w:val="00CD7EBD"/>
    <w:rsid w:val="00CD7FD4"/>
    <w:rsid w:val="00CE0086"/>
    <w:rsid w:val="00CE021B"/>
    <w:rsid w:val="00CE02CC"/>
    <w:rsid w:val="00CE02FA"/>
    <w:rsid w:val="00CE047C"/>
    <w:rsid w:val="00CE047F"/>
    <w:rsid w:val="00CE0512"/>
    <w:rsid w:val="00CE0566"/>
    <w:rsid w:val="00CE0638"/>
    <w:rsid w:val="00CE0713"/>
    <w:rsid w:val="00CE07CA"/>
    <w:rsid w:val="00CE080D"/>
    <w:rsid w:val="00CE0999"/>
    <w:rsid w:val="00CE0C05"/>
    <w:rsid w:val="00CE0CC8"/>
    <w:rsid w:val="00CE0D16"/>
    <w:rsid w:val="00CE0F3C"/>
    <w:rsid w:val="00CE0FCE"/>
    <w:rsid w:val="00CE1010"/>
    <w:rsid w:val="00CE1197"/>
    <w:rsid w:val="00CE129B"/>
    <w:rsid w:val="00CE1328"/>
    <w:rsid w:val="00CE13EE"/>
    <w:rsid w:val="00CE1FC8"/>
    <w:rsid w:val="00CE227D"/>
    <w:rsid w:val="00CE2673"/>
    <w:rsid w:val="00CE2802"/>
    <w:rsid w:val="00CE2844"/>
    <w:rsid w:val="00CE28A4"/>
    <w:rsid w:val="00CE2980"/>
    <w:rsid w:val="00CE2981"/>
    <w:rsid w:val="00CE29EC"/>
    <w:rsid w:val="00CE2B0D"/>
    <w:rsid w:val="00CE2B35"/>
    <w:rsid w:val="00CE2CF2"/>
    <w:rsid w:val="00CE2D05"/>
    <w:rsid w:val="00CE2D09"/>
    <w:rsid w:val="00CE2D1C"/>
    <w:rsid w:val="00CE2EA3"/>
    <w:rsid w:val="00CE30E9"/>
    <w:rsid w:val="00CE33A8"/>
    <w:rsid w:val="00CE33C0"/>
    <w:rsid w:val="00CE3423"/>
    <w:rsid w:val="00CE3491"/>
    <w:rsid w:val="00CE368F"/>
    <w:rsid w:val="00CE38D1"/>
    <w:rsid w:val="00CE3AB7"/>
    <w:rsid w:val="00CE3D47"/>
    <w:rsid w:val="00CE3D68"/>
    <w:rsid w:val="00CE3E78"/>
    <w:rsid w:val="00CE3EAD"/>
    <w:rsid w:val="00CE400F"/>
    <w:rsid w:val="00CE4083"/>
    <w:rsid w:val="00CE41EF"/>
    <w:rsid w:val="00CE434E"/>
    <w:rsid w:val="00CE4726"/>
    <w:rsid w:val="00CE48ED"/>
    <w:rsid w:val="00CE4998"/>
    <w:rsid w:val="00CE4A5E"/>
    <w:rsid w:val="00CE4C1E"/>
    <w:rsid w:val="00CE4D08"/>
    <w:rsid w:val="00CE5028"/>
    <w:rsid w:val="00CE51B2"/>
    <w:rsid w:val="00CE529D"/>
    <w:rsid w:val="00CE550D"/>
    <w:rsid w:val="00CE55C9"/>
    <w:rsid w:val="00CE5762"/>
    <w:rsid w:val="00CE5882"/>
    <w:rsid w:val="00CE58BD"/>
    <w:rsid w:val="00CE5D9C"/>
    <w:rsid w:val="00CE60EB"/>
    <w:rsid w:val="00CE65C4"/>
    <w:rsid w:val="00CE6767"/>
    <w:rsid w:val="00CE69A7"/>
    <w:rsid w:val="00CE69BC"/>
    <w:rsid w:val="00CE6C33"/>
    <w:rsid w:val="00CE6D20"/>
    <w:rsid w:val="00CE6F10"/>
    <w:rsid w:val="00CE737A"/>
    <w:rsid w:val="00CE7483"/>
    <w:rsid w:val="00CE74B4"/>
    <w:rsid w:val="00CE7511"/>
    <w:rsid w:val="00CE75AF"/>
    <w:rsid w:val="00CE75FF"/>
    <w:rsid w:val="00CE7634"/>
    <w:rsid w:val="00CE786D"/>
    <w:rsid w:val="00CE78E8"/>
    <w:rsid w:val="00CE795B"/>
    <w:rsid w:val="00CE7AD0"/>
    <w:rsid w:val="00CE7C46"/>
    <w:rsid w:val="00CE7EDC"/>
    <w:rsid w:val="00CE7EF6"/>
    <w:rsid w:val="00CE7FE1"/>
    <w:rsid w:val="00CF01B8"/>
    <w:rsid w:val="00CF03EF"/>
    <w:rsid w:val="00CF047A"/>
    <w:rsid w:val="00CF07C1"/>
    <w:rsid w:val="00CF0A02"/>
    <w:rsid w:val="00CF0A11"/>
    <w:rsid w:val="00CF0A8B"/>
    <w:rsid w:val="00CF0AC3"/>
    <w:rsid w:val="00CF0AE2"/>
    <w:rsid w:val="00CF0B42"/>
    <w:rsid w:val="00CF0B60"/>
    <w:rsid w:val="00CF0C35"/>
    <w:rsid w:val="00CF0D0E"/>
    <w:rsid w:val="00CF0D40"/>
    <w:rsid w:val="00CF0D74"/>
    <w:rsid w:val="00CF0FEE"/>
    <w:rsid w:val="00CF1486"/>
    <w:rsid w:val="00CF14E8"/>
    <w:rsid w:val="00CF15A7"/>
    <w:rsid w:val="00CF15FF"/>
    <w:rsid w:val="00CF1889"/>
    <w:rsid w:val="00CF1A0B"/>
    <w:rsid w:val="00CF1E54"/>
    <w:rsid w:val="00CF1EA1"/>
    <w:rsid w:val="00CF1FCA"/>
    <w:rsid w:val="00CF204F"/>
    <w:rsid w:val="00CF2156"/>
    <w:rsid w:val="00CF2523"/>
    <w:rsid w:val="00CF25B4"/>
    <w:rsid w:val="00CF2702"/>
    <w:rsid w:val="00CF28F8"/>
    <w:rsid w:val="00CF2989"/>
    <w:rsid w:val="00CF29CB"/>
    <w:rsid w:val="00CF2BF1"/>
    <w:rsid w:val="00CF2E65"/>
    <w:rsid w:val="00CF3180"/>
    <w:rsid w:val="00CF318D"/>
    <w:rsid w:val="00CF321B"/>
    <w:rsid w:val="00CF3385"/>
    <w:rsid w:val="00CF34B0"/>
    <w:rsid w:val="00CF375E"/>
    <w:rsid w:val="00CF37EF"/>
    <w:rsid w:val="00CF3D33"/>
    <w:rsid w:val="00CF3DB4"/>
    <w:rsid w:val="00CF3FDD"/>
    <w:rsid w:val="00CF400B"/>
    <w:rsid w:val="00CF4068"/>
    <w:rsid w:val="00CF428A"/>
    <w:rsid w:val="00CF458D"/>
    <w:rsid w:val="00CF4613"/>
    <w:rsid w:val="00CF46AE"/>
    <w:rsid w:val="00CF4728"/>
    <w:rsid w:val="00CF497E"/>
    <w:rsid w:val="00CF4B76"/>
    <w:rsid w:val="00CF4C52"/>
    <w:rsid w:val="00CF4D68"/>
    <w:rsid w:val="00CF4E70"/>
    <w:rsid w:val="00CF4EF7"/>
    <w:rsid w:val="00CF5020"/>
    <w:rsid w:val="00CF50DF"/>
    <w:rsid w:val="00CF5166"/>
    <w:rsid w:val="00CF5340"/>
    <w:rsid w:val="00CF560B"/>
    <w:rsid w:val="00CF5A00"/>
    <w:rsid w:val="00CF5A9C"/>
    <w:rsid w:val="00CF5D3A"/>
    <w:rsid w:val="00CF5D99"/>
    <w:rsid w:val="00CF5F0A"/>
    <w:rsid w:val="00CF5F35"/>
    <w:rsid w:val="00CF5F8A"/>
    <w:rsid w:val="00CF615E"/>
    <w:rsid w:val="00CF6195"/>
    <w:rsid w:val="00CF628F"/>
    <w:rsid w:val="00CF63BF"/>
    <w:rsid w:val="00CF64C7"/>
    <w:rsid w:val="00CF6609"/>
    <w:rsid w:val="00CF67C4"/>
    <w:rsid w:val="00CF68E8"/>
    <w:rsid w:val="00CF6ADC"/>
    <w:rsid w:val="00CF6D87"/>
    <w:rsid w:val="00CF6DC3"/>
    <w:rsid w:val="00CF6EDC"/>
    <w:rsid w:val="00CF7006"/>
    <w:rsid w:val="00CF73FB"/>
    <w:rsid w:val="00CF750F"/>
    <w:rsid w:val="00CF784E"/>
    <w:rsid w:val="00CF78F8"/>
    <w:rsid w:val="00CF7C89"/>
    <w:rsid w:val="00CF7CEB"/>
    <w:rsid w:val="00CF7DE0"/>
    <w:rsid w:val="00D0024C"/>
    <w:rsid w:val="00D0028C"/>
    <w:rsid w:val="00D00404"/>
    <w:rsid w:val="00D008A6"/>
    <w:rsid w:val="00D008ED"/>
    <w:rsid w:val="00D009CC"/>
    <w:rsid w:val="00D00BA1"/>
    <w:rsid w:val="00D00BB4"/>
    <w:rsid w:val="00D00BC9"/>
    <w:rsid w:val="00D00DD6"/>
    <w:rsid w:val="00D00F42"/>
    <w:rsid w:val="00D00FCE"/>
    <w:rsid w:val="00D0109F"/>
    <w:rsid w:val="00D010EE"/>
    <w:rsid w:val="00D01140"/>
    <w:rsid w:val="00D013C7"/>
    <w:rsid w:val="00D01404"/>
    <w:rsid w:val="00D01865"/>
    <w:rsid w:val="00D018D6"/>
    <w:rsid w:val="00D01AE1"/>
    <w:rsid w:val="00D01AE3"/>
    <w:rsid w:val="00D01AE7"/>
    <w:rsid w:val="00D01BC9"/>
    <w:rsid w:val="00D01C22"/>
    <w:rsid w:val="00D01C30"/>
    <w:rsid w:val="00D01D18"/>
    <w:rsid w:val="00D01D7F"/>
    <w:rsid w:val="00D01DBF"/>
    <w:rsid w:val="00D01E46"/>
    <w:rsid w:val="00D02300"/>
    <w:rsid w:val="00D024B4"/>
    <w:rsid w:val="00D0253B"/>
    <w:rsid w:val="00D0256C"/>
    <w:rsid w:val="00D02598"/>
    <w:rsid w:val="00D02A4F"/>
    <w:rsid w:val="00D02AE0"/>
    <w:rsid w:val="00D02B17"/>
    <w:rsid w:val="00D02B88"/>
    <w:rsid w:val="00D02BC9"/>
    <w:rsid w:val="00D02C5E"/>
    <w:rsid w:val="00D02E8D"/>
    <w:rsid w:val="00D03003"/>
    <w:rsid w:val="00D030F6"/>
    <w:rsid w:val="00D031C2"/>
    <w:rsid w:val="00D03466"/>
    <w:rsid w:val="00D034A6"/>
    <w:rsid w:val="00D03628"/>
    <w:rsid w:val="00D0365C"/>
    <w:rsid w:val="00D03871"/>
    <w:rsid w:val="00D03D25"/>
    <w:rsid w:val="00D03D31"/>
    <w:rsid w:val="00D03D40"/>
    <w:rsid w:val="00D03D45"/>
    <w:rsid w:val="00D03E09"/>
    <w:rsid w:val="00D03E47"/>
    <w:rsid w:val="00D03F75"/>
    <w:rsid w:val="00D0403D"/>
    <w:rsid w:val="00D04094"/>
    <w:rsid w:val="00D04135"/>
    <w:rsid w:val="00D0428A"/>
    <w:rsid w:val="00D043B4"/>
    <w:rsid w:val="00D044D6"/>
    <w:rsid w:val="00D044D9"/>
    <w:rsid w:val="00D04736"/>
    <w:rsid w:val="00D04811"/>
    <w:rsid w:val="00D04883"/>
    <w:rsid w:val="00D04939"/>
    <w:rsid w:val="00D04947"/>
    <w:rsid w:val="00D049C0"/>
    <w:rsid w:val="00D049D4"/>
    <w:rsid w:val="00D04AB7"/>
    <w:rsid w:val="00D04B5E"/>
    <w:rsid w:val="00D04E72"/>
    <w:rsid w:val="00D04EDE"/>
    <w:rsid w:val="00D04EF2"/>
    <w:rsid w:val="00D04FE7"/>
    <w:rsid w:val="00D0519B"/>
    <w:rsid w:val="00D053C7"/>
    <w:rsid w:val="00D053CE"/>
    <w:rsid w:val="00D0543D"/>
    <w:rsid w:val="00D05446"/>
    <w:rsid w:val="00D055CE"/>
    <w:rsid w:val="00D05957"/>
    <w:rsid w:val="00D05D5E"/>
    <w:rsid w:val="00D05E09"/>
    <w:rsid w:val="00D05E16"/>
    <w:rsid w:val="00D05E7D"/>
    <w:rsid w:val="00D06046"/>
    <w:rsid w:val="00D060E0"/>
    <w:rsid w:val="00D062C0"/>
    <w:rsid w:val="00D06403"/>
    <w:rsid w:val="00D06483"/>
    <w:rsid w:val="00D06619"/>
    <w:rsid w:val="00D06719"/>
    <w:rsid w:val="00D06843"/>
    <w:rsid w:val="00D06950"/>
    <w:rsid w:val="00D06A5B"/>
    <w:rsid w:val="00D06C5E"/>
    <w:rsid w:val="00D06DDE"/>
    <w:rsid w:val="00D07047"/>
    <w:rsid w:val="00D07237"/>
    <w:rsid w:val="00D077CA"/>
    <w:rsid w:val="00D07904"/>
    <w:rsid w:val="00D079C3"/>
    <w:rsid w:val="00D07A2F"/>
    <w:rsid w:val="00D07A5F"/>
    <w:rsid w:val="00D07C49"/>
    <w:rsid w:val="00D07C70"/>
    <w:rsid w:val="00D07CE0"/>
    <w:rsid w:val="00D07DB9"/>
    <w:rsid w:val="00D07F5C"/>
    <w:rsid w:val="00D07F6E"/>
    <w:rsid w:val="00D0A209"/>
    <w:rsid w:val="00D10042"/>
    <w:rsid w:val="00D101C4"/>
    <w:rsid w:val="00D10373"/>
    <w:rsid w:val="00D1038F"/>
    <w:rsid w:val="00D1040B"/>
    <w:rsid w:val="00D10689"/>
    <w:rsid w:val="00D10A05"/>
    <w:rsid w:val="00D10B01"/>
    <w:rsid w:val="00D10B96"/>
    <w:rsid w:val="00D10BDA"/>
    <w:rsid w:val="00D10C01"/>
    <w:rsid w:val="00D10D41"/>
    <w:rsid w:val="00D10DB7"/>
    <w:rsid w:val="00D10E06"/>
    <w:rsid w:val="00D10F45"/>
    <w:rsid w:val="00D1124F"/>
    <w:rsid w:val="00D1126D"/>
    <w:rsid w:val="00D112B5"/>
    <w:rsid w:val="00D113B9"/>
    <w:rsid w:val="00D11447"/>
    <w:rsid w:val="00D1150A"/>
    <w:rsid w:val="00D1157B"/>
    <w:rsid w:val="00D1199E"/>
    <w:rsid w:val="00D119FE"/>
    <w:rsid w:val="00D11E3B"/>
    <w:rsid w:val="00D12512"/>
    <w:rsid w:val="00D126A1"/>
    <w:rsid w:val="00D12757"/>
    <w:rsid w:val="00D129A8"/>
    <w:rsid w:val="00D12BC0"/>
    <w:rsid w:val="00D12CBD"/>
    <w:rsid w:val="00D12D73"/>
    <w:rsid w:val="00D1302D"/>
    <w:rsid w:val="00D13187"/>
    <w:rsid w:val="00D132A0"/>
    <w:rsid w:val="00D132BA"/>
    <w:rsid w:val="00D134ED"/>
    <w:rsid w:val="00D137EC"/>
    <w:rsid w:val="00D1394A"/>
    <w:rsid w:val="00D13AE4"/>
    <w:rsid w:val="00D13C03"/>
    <w:rsid w:val="00D13C8A"/>
    <w:rsid w:val="00D13CA0"/>
    <w:rsid w:val="00D13F46"/>
    <w:rsid w:val="00D13F89"/>
    <w:rsid w:val="00D140DB"/>
    <w:rsid w:val="00D1426A"/>
    <w:rsid w:val="00D143B8"/>
    <w:rsid w:val="00D144FE"/>
    <w:rsid w:val="00D146B1"/>
    <w:rsid w:val="00D146F3"/>
    <w:rsid w:val="00D1489F"/>
    <w:rsid w:val="00D1499F"/>
    <w:rsid w:val="00D14C79"/>
    <w:rsid w:val="00D14EC1"/>
    <w:rsid w:val="00D14EF0"/>
    <w:rsid w:val="00D14F08"/>
    <w:rsid w:val="00D15028"/>
    <w:rsid w:val="00D1514D"/>
    <w:rsid w:val="00D15351"/>
    <w:rsid w:val="00D1585D"/>
    <w:rsid w:val="00D15A1F"/>
    <w:rsid w:val="00D15A2F"/>
    <w:rsid w:val="00D16030"/>
    <w:rsid w:val="00D160BB"/>
    <w:rsid w:val="00D163BE"/>
    <w:rsid w:val="00D16486"/>
    <w:rsid w:val="00D164F1"/>
    <w:rsid w:val="00D16812"/>
    <w:rsid w:val="00D1683B"/>
    <w:rsid w:val="00D168A5"/>
    <w:rsid w:val="00D16CD6"/>
    <w:rsid w:val="00D17413"/>
    <w:rsid w:val="00D175F8"/>
    <w:rsid w:val="00D17849"/>
    <w:rsid w:val="00D1787B"/>
    <w:rsid w:val="00D17A6C"/>
    <w:rsid w:val="00D17AF9"/>
    <w:rsid w:val="00D17C36"/>
    <w:rsid w:val="00D17C63"/>
    <w:rsid w:val="00D17EEA"/>
    <w:rsid w:val="00D17FA6"/>
    <w:rsid w:val="00D17FC3"/>
    <w:rsid w:val="00D204B5"/>
    <w:rsid w:val="00D20843"/>
    <w:rsid w:val="00D208BF"/>
    <w:rsid w:val="00D20C40"/>
    <w:rsid w:val="00D20E1B"/>
    <w:rsid w:val="00D20E2A"/>
    <w:rsid w:val="00D20EAC"/>
    <w:rsid w:val="00D20F85"/>
    <w:rsid w:val="00D210EB"/>
    <w:rsid w:val="00D211FA"/>
    <w:rsid w:val="00D21216"/>
    <w:rsid w:val="00D21435"/>
    <w:rsid w:val="00D21543"/>
    <w:rsid w:val="00D2173B"/>
    <w:rsid w:val="00D2179E"/>
    <w:rsid w:val="00D2179F"/>
    <w:rsid w:val="00D21854"/>
    <w:rsid w:val="00D21A1E"/>
    <w:rsid w:val="00D21BF0"/>
    <w:rsid w:val="00D21BFF"/>
    <w:rsid w:val="00D22390"/>
    <w:rsid w:val="00D22392"/>
    <w:rsid w:val="00D22416"/>
    <w:rsid w:val="00D2246E"/>
    <w:rsid w:val="00D22554"/>
    <w:rsid w:val="00D2287C"/>
    <w:rsid w:val="00D22902"/>
    <w:rsid w:val="00D22B67"/>
    <w:rsid w:val="00D22F9E"/>
    <w:rsid w:val="00D22FC1"/>
    <w:rsid w:val="00D2314D"/>
    <w:rsid w:val="00D23312"/>
    <w:rsid w:val="00D23439"/>
    <w:rsid w:val="00D23554"/>
    <w:rsid w:val="00D2375D"/>
    <w:rsid w:val="00D238CD"/>
    <w:rsid w:val="00D2399D"/>
    <w:rsid w:val="00D23B5C"/>
    <w:rsid w:val="00D23C04"/>
    <w:rsid w:val="00D23C14"/>
    <w:rsid w:val="00D23C29"/>
    <w:rsid w:val="00D23D50"/>
    <w:rsid w:val="00D23DED"/>
    <w:rsid w:val="00D23E11"/>
    <w:rsid w:val="00D23E81"/>
    <w:rsid w:val="00D23EED"/>
    <w:rsid w:val="00D23FE2"/>
    <w:rsid w:val="00D24203"/>
    <w:rsid w:val="00D243C9"/>
    <w:rsid w:val="00D24486"/>
    <w:rsid w:val="00D245C1"/>
    <w:rsid w:val="00D247AE"/>
    <w:rsid w:val="00D24A2C"/>
    <w:rsid w:val="00D24CD1"/>
    <w:rsid w:val="00D251E4"/>
    <w:rsid w:val="00D25570"/>
    <w:rsid w:val="00D255D9"/>
    <w:rsid w:val="00D257D9"/>
    <w:rsid w:val="00D258F6"/>
    <w:rsid w:val="00D259A6"/>
    <w:rsid w:val="00D25C7E"/>
    <w:rsid w:val="00D25C8E"/>
    <w:rsid w:val="00D2625C"/>
    <w:rsid w:val="00D2628A"/>
    <w:rsid w:val="00D262D2"/>
    <w:rsid w:val="00D2634F"/>
    <w:rsid w:val="00D2646E"/>
    <w:rsid w:val="00D26954"/>
    <w:rsid w:val="00D26A2E"/>
    <w:rsid w:val="00D26AED"/>
    <w:rsid w:val="00D26B02"/>
    <w:rsid w:val="00D26B9E"/>
    <w:rsid w:val="00D26C2E"/>
    <w:rsid w:val="00D26DF9"/>
    <w:rsid w:val="00D2700C"/>
    <w:rsid w:val="00D27080"/>
    <w:rsid w:val="00D27084"/>
    <w:rsid w:val="00D27485"/>
    <w:rsid w:val="00D27840"/>
    <w:rsid w:val="00D27AD9"/>
    <w:rsid w:val="00D27EA5"/>
    <w:rsid w:val="00D3004C"/>
    <w:rsid w:val="00D3009B"/>
    <w:rsid w:val="00D300A1"/>
    <w:rsid w:val="00D3019C"/>
    <w:rsid w:val="00D301DC"/>
    <w:rsid w:val="00D302AC"/>
    <w:rsid w:val="00D302CC"/>
    <w:rsid w:val="00D303CF"/>
    <w:rsid w:val="00D30405"/>
    <w:rsid w:val="00D30591"/>
    <w:rsid w:val="00D30706"/>
    <w:rsid w:val="00D3092B"/>
    <w:rsid w:val="00D30A58"/>
    <w:rsid w:val="00D30C4B"/>
    <w:rsid w:val="00D30C50"/>
    <w:rsid w:val="00D30C8F"/>
    <w:rsid w:val="00D30D49"/>
    <w:rsid w:val="00D30E1E"/>
    <w:rsid w:val="00D31117"/>
    <w:rsid w:val="00D313A7"/>
    <w:rsid w:val="00D314C3"/>
    <w:rsid w:val="00D31917"/>
    <w:rsid w:val="00D31A2C"/>
    <w:rsid w:val="00D320C4"/>
    <w:rsid w:val="00D32303"/>
    <w:rsid w:val="00D32491"/>
    <w:rsid w:val="00D324EF"/>
    <w:rsid w:val="00D3261A"/>
    <w:rsid w:val="00D32B7C"/>
    <w:rsid w:val="00D32C9C"/>
    <w:rsid w:val="00D32D80"/>
    <w:rsid w:val="00D32EF7"/>
    <w:rsid w:val="00D32F59"/>
    <w:rsid w:val="00D32FFA"/>
    <w:rsid w:val="00D33012"/>
    <w:rsid w:val="00D33378"/>
    <w:rsid w:val="00D33393"/>
    <w:rsid w:val="00D33410"/>
    <w:rsid w:val="00D33486"/>
    <w:rsid w:val="00D3385D"/>
    <w:rsid w:val="00D33A9A"/>
    <w:rsid w:val="00D33CEC"/>
    <w:rsid w:val="00D33EC5"/>
    <w:rsid w:val="00D343E3"/>
    <w:rsid w:val="00D348AE"/>
    <w:rsid w:val="00D348C9"/>
    <w:rsid w:val="00D3492A"/>
    <w:rsid w:val="00D34B79"/>
    <w:rsid w:val="00D34B84"/>
    <w:rsid w:val="00D34BFD"/>
    <w:rsid w:val="00D34C03"/>
    <w:rsid w:val="00D34E84"/>
    <w:rsid w:val="00D350A5"/>
    <w:rsid w:val="00D351A0"/>
    <w:rsid w:val="00D353ED"/>
    <w:rsid w:val="00D3547C"/>
    <w:rsid w:val="00D355CB"/>
    <w:rsid w:val="00D35862"/>
    <w:rsid w:val="00D35898"/>
    <w:rsid w:val="00D35960"/>
    <w:rsid w:val="00D35A12"/>
    <w:rsid w:val="00D35BBA"/>
    <w:rsid w:val="00D35D0C"/>
    <w:rsid w:val="00D360E1"/>
    <w:rsid w:val="00D360FB"/>
    <w:rsid w:val="00D361E4"/>
    <w:rsid w:val="00D36323"/>
    <w:rsid w:val="00D36335"/>
    <w:rsid w:val="00D36448"/>
    <w:rsid w:val="00D36590"/>
    <w:rsid w:val="00D3671E"/>
    <w:rsid w:val="00D36742"/>
    <w:rsid w:val="00D36AE1"/>
    <w:rsid w:val="00D36C03"/>
    <w:rsid w:val="00D36C2E"/>
    <w:rsid w:val="00D36D26"/>
    <w:rsid w:val="00D36D59"/>
    <w:rsid w:val="00D36E54"/>
    <w:rsid w:val="00D36FE6"/>
    <w:rsid w:val="00D370C6"/>
    <w:rsid w:val="00D37156"/>
    <w:rsid w:val="00D37163"/>
    <w:rsid w:val="00D3718A"/>
    <w:rsid w:val="00D371CA"/>
    <w:rsid w:val="00D371CC"/>
    <w:rsid w:val="00D3762B"/>
    <w:rsid w:val="00D376F0"/>
    <w:rsid w:val="00D377B3"/>
    <w:rsid w:val="00D3794D"/>
    <w:rsid w:val="00D37953"/>
    <w:rsid w:val="00D3795C"/>
    <w:rsid w:val="00D379CA"/>
    <w:rsid w:val="00D37B93"/>
    <w:rsid w:val="00D37F99"/>
    <w:rsid w:val="00D4017D"/>
    <w:rsid w:val="00D402C6"/>
    <w:rsid w:val="00D405B6"/>
    <w:rsid w:val="00D40763"/>
    <w:rsid w:val="00D408A3"/>
    <w:rsid w:val="00D40A15"/>
    <w:rsid w:val="00D40A1F"/>
    <w:rsid w:val="00D40B6E"/>
    <w:rsid w:val="00D40E76"/>
    <w:rsid w:val="00D41064"/>
    <w:rsid w:val="00D41133"/>
    <w:rsid w:val="00D4117D"/>
    <w:rsid w:val="00D411DC"/>
    <w:rsid w:val="00D41724"/>
    <w:rsid w:val="00D419C1"/>
    <w:rsid w:val="00D419EF"/>
    <w:rsid w:val="00D419F2"/>
    <w:rsid w:val="00D41DFC"/>
    <w:rsid w:val="00D41E98"/>
    <w:rsid w:val="00D4209B"/>
    <w:rsid w:val="00D420C8"/>
    <w:rsid w:val="00D42234"/>
    <w:rsid w:val="00D4245F"/>
    <w:rsid w:val="00D4253D"/>
    <w:rsid w:val="00D42749"/>
    <w:rsid w:val="00D427A3"/>
    <w:rsid w:val="00D428D5"/>
    <w:rsid w:val="00D429D8"/>
    <w:rsid w:val="00D42B5E"/>
    <w:rsid w:val="00D42E23"/>
    <w:rsid w:val="00D42FCC"/>
    <w:rsid w:val="00D42FE4"/>
    <w:rsid w:val="00D431B4"/>
    <w:rsid w:val="00D431DA"/>
    <w:rsid w:val="00D431E4"/>
    <w:rsid w:val="00D43243"/>
    <w:rsid w:val="00D43324"/>
    <w:rsid w:val="00D4377A"/>
    <w:rsid w:val="00D437E6"/>
    <w:rsid w:val="00D43A9C"/>
    <w:rsid w:val="00D43B41"/>
    <w:rsid w:val="00D43C3D"/>
    <w:rsid w:val="00D43C6F"/>
    <w:rsid w:val="00D43F33"/>
    <w:rsid w:val="00D440D0"/>
    <w:rsid w:val="00D443CA"/>
    <w:rsid w:val="00D44576"/>
    <w:rsid w:val="00D4464F"/>
    <w:rsid w:val="00D4468A"/>
    <w:rsid w:val="00D44723"/>
    <w:rsid w:val="00D4479E"/>
    <w:rsid w:val="00D44B4C"/>
    <w:rsid w:val="00D44D54"/>
    <w:rsid w:val="00D44FEB"/>
    <w:rsid w:val="00D4503A"/>
    <w:rsid w:val="00D45079"/>
    <w:rsid w:val="00D453B8"/>
    <w:rsid w:val="00D453CD"/>
    <w:rsid w:val="00D456CC"/>
    <w:rsid w:val="00D45707"/>
    <w:rsid w:val="00D4580B"/>
    <w:rsid w:val="00D459F3"/>
    <w:rsid w:val="00D45C04"/>
    <w:rsid w:val="00D45FD4"/>
    <w:rsid w:val="00D46406"/>
    <w:rsid w:val="00D464AD"/>
    <w:rsid w:val="00D46502"/>
    <w:rsid w:val="00D46505"/>
    <w:rsid w:val="00D46577"/>
    <w:rsid w:val="00D46781"/>
    <w:rsid w:val="00D467C7"/>
    <w:rsid w:val="00D467E6"/>
    <w:rsid w:val="00D4687F"/>
    <w:rsid w:val="00D468C6"/>
    <w:rsid w:val="00D469B2"/>
    <w:rsid w:val="00D46A7F"/>
    <w:rsid w:val="00D46B72"/>
    <w:rsid w:val="00D46E98"/>
    <w:rsid w:val="00D46F05"/>
    <w:rsid w:val="00D47014"/>
    <w:rsid w:val="00D470CF"/>
    <w:rsid w:val="00D470E4"/>
    <w:rsid w:val="00D471C6"/>
    <w:rsid w:val="00D473FB"/>
    <w:rsid w:val="00D4741B"/>
    <w:rsid w:val="00D475F2"/>
    <w:rsid w:val="00D4764F"/>
    <w:rsid w:val="00D4774A"/>
    <w:rsid w:val="00D477F3"/>
    <w:rsid w:val="00D478D0"/>
    <w:rsid w:val="00D478EA"/>
    <w:rsid w:val="00D479BC"/>
    <w:rsid w:val="00D47C32"/>
    <w:rsid w:val="00D47CB5"/>
    <w:rsid w:val="00D47DC9"/>
    <w:rsid w:val="00D47DCB"/>
    <w:rsid w:val="00D5016D"/>
    <w:rsid w:val="00D50381"/>
    <w:rsid w:val="00D503A7"/>
    <w:rsid w:val="00D503CD"/>
    <w:rsid w:val="00D5045F"/>
    <w:rsid w:val="00D50842"/>
    <w:rsid w:val="00D50846"/>
    <w:rsid w:val="00D508C8"/>
    <w:rsid w:val="00D5094F"/>
    <w:rsid w:val="00D50A2C"/>
    <w:rsid w:val="00D50B81"/>
    <w:rsid w:val="00D50C1E"/>
    <w:rsid w:val="00D50C33"/>
    <w:rsid w:val="00D50EE9"/>
    <w:rsid w:val="00D50F49"/>
    <w:rsid w:val="00D50FDB"/>
    <w:rsid w:val="00D510A7"/>
    <w:rsid w:val="00D51323"/>
    <w:rsid w:val="00D513AB"/>
    <w:rsid w:val="00D513AE"/>
    <w:rsid w:val="00D51446"/>
    <w:rsid w:val="00D515B0"/>
    <w:rsid w:val="00D5167A"/>
    <w:rsid w:val="00D516CA"/>
    <w:rsid w:val="00D5174A"/>
    <w:rsid w:val="00D518C6"/>
    <w:rsid w:val="00D51B48"/>
    <w:rsid w:val="00D51C0C"/>
    <w:rsid w:val="00D51F45"/>
    <w:rsid w:val="00D5202C"/>
    <w:rsid w:val="00D5209F"/>
    <w:rsid w:val="00D52144"/>
    <w:rsid w:val="00D521EF"/>
    <w:rsid w:val="00D5221F"/>
    <w:rsid w:val="00D52363"/>
    <w:rsid w:val="00D527EE"/>
    <w:rsid w:val="00D52823"/>
    <w:rsid w:val="00D52918"/>
    <w:rsid w:val="00D52977"/>
    <w:rsid w:val="00D52A0A"/>
    <w:rsid w:val="00D52B01"/>
    <w:rsid w:val="00D52B1A"/>
    <w:rsid w:val="00D52BD6"/>
    <w:rsid w:val="00D52BE1"/>
    <w:rsid w:val="00D52E44"/>
    <w:rsid w:val="00D52F6D"/>
    <w:rsid w:val="00D53194"/>
    <w:rsid w:val="00D5321C"/>
    <w:rsid w:val="00D5324F"/>
    <w:rsid w:val="00D5339B"/>
    <w:rsid w:val="00D536A7"/>
    <w:rsid w:val="00D538AA"/>
    <w:rsid w:val="00D538B4"/>
    <w:rsid w:val="00D53A6C"/>
    <w:rsid w:val="00D53ACA"/>
    <w:rsid w:val="00D53B31"/>
    <w:rsid w:val="00D53BC8"/>
    <w:rsid w:val="00D53BE1"/>
    <w:rsid w:val="00D53DD0"/>
    <w:rsid w:val="00D53F13"/>
    <w:rsid w:val="00D540CF"/>
    <w:rsid w:val="00D5452A"/>
    <w:rsid w:val="00D5470C"/>
    <w:rsid w:val="00D547DE"/>
    <w:rsid w:val="00D54839"/>
    <w:rsid w:val="00D54867"/>
    <w:rsid w:val="00D54BFE"/>
    <w:rsid w:val="00D54D16"/>
    <w:rsid w:val="00D54DFB"/>
    <w:rsid w:val="00D55004"/>
    <w:rsid w:val="00D551B5"/>
    <w:rsid w:val="00D554CD"/>
    <w:rsid w:val="00D5583D"/>
    <w:rsid w:val="00D55992"/>
    <w:rsid w:val="00D55A7C"/>
    <w:rsid w:val="00D55AD4"/>
    <w:rsid w:val="00D55AEA"/>
    <w:rsid w:val="00D55CA9"/>
    <w:rsid w:val="00D55D0F"/>
    <w:rsid w:val="00D55F17"/>
    <w:rsid w:val="00D561CC"/>
    <w:rsid w:val="00D56250"/>
    <w:rsid w:val="00D5630C"/>
    <w:rsid w:val="00D5643B"/>
    <w:rsid w:val="00D56730"/>
    <w:rsid w:val="00D56829"/>
    <w:rsid w:val="00D5684A"/>
    <w:rsid w:val="00D568B4"/>
    <w:rsid w:val="00D568BA"/>
    <w:rsid w:val="00D56938"/>
    <w:rsid w:val="00D56A82"/>
    <w:rsid w:val="00D56D77"/>
    <w:rsid w:val="00D56DD2"/>
    <w:rsid w:val="00D56E79"/>
    <w:rsid w:val="00D56FDF"/>
    <w:rsid w:val="00D570BB"/>
    <w:rsid w:val="00D570C8"/>
    <w:rsid w:val="00D57154"/>
    <w:rsid w:val="00D57284"/>
    <w:rsid w:val="00D572BA"/>
    <w:rsid w:val="00D57383"/>
    <w:rsid w:val="00D573C2"/>
    <w:rsid w:val="00D57496"/>
    <w:rsid w:val="00D57659"/>
    <w:rsid w:val="00D57717"/>
    <w:rsid w:val="00D57A06"/>
    <w:rsid w:val="00D57B3A"/>
    <w:rsid w:val="00D57D77"/>
    <w:rsid w:val="00D57E15"/>
    <w:rsid w:val="00D57F68"/>
    <w:rsid w:val="00D5D032"/>
    <w:rsid w:val="00D60310"/>
    <w:rsid w:val="00D60329"/>
    <w:rsid w:val="00D603B1"/>
    <w:rsid w:val="00D60421"/>
    <w:rsid w:val="00D605B6"/>
    <w:rsid w:val="00D607EA"/>
    <w:rsid w:val="00D60802"/>
    <w:rsid w:val="00D60CDC"/>
    <w:rsid w:val="00D60FDF"/>
    <w:rsid w:val="00D613C3"/>
    <w:rsid w:val="00D61488"/>
    <w:rsid w:val="00D6152B"/>
    <w:rsid w:val="00D61740"/>
    <w:rsid w:val="00D61882"/>
    <w:rsid w:val="00D618C9"/>
    <w:rsid w:val="00D61E4D"/>
    <w:rsid w:val="00D61EC2"/>
    <w:rsid w:val="00D62175"/>
    <w:rsid w:val="00D621EC"/>
    <w:rsid w:val="00D621FF"/>
    <w:rsid w:val="00D623B1"/>
    <w:rsid w:val="00D6247C"/>
    <w:rsid w:val="00D62539"/>
    <w:rsid w:val="00D6283C"/>
    <w:rsid w:val="00D6288F"/>
    <w:rsid w:val="00D62AD3"/>
    <w:rsid w:val="00D62B21"/>
    <w:rsid w:val="00D62CD4"/>
    <w:rsid w:val="00D62CE9"/>
    <w:rsid w:val="00D62DBD"/>
    <w:rsid w:val="00D63398"/>
    <w:rsid w:val="00D6357D"/>
    <w:rsid w:val="00D63775"/>
    <w:rsid w:val="00D638D8"/>
    <w:rsid w:val="00D639BC"/>
    <w:rsid w:val="00D63AF0"/>
    <w:rsid w:val="00D63B18"/>
    <w:rsid w:val="00D63B2F"/>
    <w:rsid w:val="00D63C24"/>
    <w:rsid w:val="00D63C5B"/>
    <w:rsid w:val="00D63D01"/>
    <w:rsid w:val="00D63DA2"/>
    <w:rsid w:val="00D63E76"/>
    <w:rsid w:val="00D63E8E"/>
    <w:rsid w:val="00D63F99"/>
    <w:rsid w:val="00D6419E"/>
    <w:rsid w:val="00D64287"/>
    <w:rsid w:val="00D64492"/>
    <w:rsid w:val="00D644E7"/>
    <w:rsid w:val="00D644EE"/>
    <w:rsid w:val="00D6476E"/>
    <w:rsid w:val="00D64A1D"/>
    <w:rsid w:val="00D64BCC"/>
    <w:rsid w:val="00D64CAE"/>
    <w:rsid w:val="00D64DCC"/>
    <w:rsid w:val="00D64EE9"/>
    <w:rsid w:val="00D6507F"/>
    <w:rsid w:val="00D651C4"/>
    <w:rsid w:val="00D65303"/>
    <w:rsid w:val="00D65448"/>
    <w:rsid w:val="00D654E6"/>
    <w:rsid w:val="00D6551C"/>
    <w:rsid w:val="00D655AC"/>
    <w:rsid w:val="00D65651"/>
    <w:rsid w:val="00D65927"/>
    <w:rsid w:val="00D65A26"/>
    <w:rsid w:val="00D65A93"/>
    <w:rsid w:val="00D65AF3"/>
    <w:rsid w:val="00D65B68"/>
    <w:rsid w:val="00D65C48"/>
    <w:rsid w:val="00D65C79"/>
    <w:rsid w:val="00D65CC1"/>
    <w:rsid w:val="00D65DE1"/>
    <w:rsid w:val="00D65F7A"/>
    <w:rsid w:val="00D65FE7"/>
    <w:rsid w:val="00D660D3"/>
    <w:rsid w:val="00D6612F"/>
    <w:rsid w:val="00D6650A"/>
    <w:rsid w:val="00D666F3"/>
    <w:rsid w:val="00D66775"/>
    <w:rsid w:val="00D66857"/>
    <w:rsid w:val="00D6699F"/>
    <w:rsid w:val="00D66AD5"/>
    <w:rsid w:val="00D66B27"/>
    <w:rsid w:val="00D66B92"/>
    <w:rsid w:val="00D66DEB"/>
    <w:rsid w:val="00D66E9B"/>
    <w:rsid w:val="00D674B4"/>
    <w:rsid w:val="00D675D1"/>
    <w:rsid w:val="00D675F4"/>
    <w:rsid w:val="00D67732"/>
    <w:rsid w:val="00D677E0"/>
    <w:rsid w:val="00D67CF2"/>
    <w:rsid w:val="00D67FD5"/>
    <w:rsid w:val="00D70299"/>
    <w:rsid w:val="00D7083F"/>
    <w:rsid w:val="00D70879"/>
    <w:rsid w:val="00D70A57"/>
    <w:rsid w:val="00D70AD8"/>
    <w:rsid w:val="00D70B27"/>
    <w:rsid w:val="00D70B35"/>
    <w:rsid w:val="00D70D65"/>
    <w:rsid w:val="00D70D72"/>
    <w:rsid w:val="00D711FF"/>
    <w:rsid w:val="00D71274"/>
    <w:rsid w:val="00D7146C"/>
    <w:rsid w:val="00D71987"/>
    <w:rsid w:val="00D71A27"/>
    <w:rsid w:val="00D71A29"/>
    <w:rsid w:val="00D71C56"/>
    <w:rsid w:val="00D71C59"/>
    <w:rsid w:val="00D71C71"/>
    <w:rsid w:val="00D71E07"/>
    <w:rsid w:val="00D721EB"/>
    <w:rsid w:val="00D72494"/>
    <w:rsid w:val="00D726F4"/>
    <w:rsid w:val="00D72924"/>
    <w:rsid w:val="00D729A3"/>
    <w:rsid w:val="00D72B8A"/>
    <w:rsid w:val="00D72B9C"/>
    <w:rsid w:val="00D72D14"/>
    <w:rsid w:val="00D72DBA"/>
    <w:rsid w:val="00D72F9B"/>
    <w:rsid w:val="00D73068"/>
    <w:rsid w:val="00D730BA"/>
    <w:rsid w:val="00D732D2"/>
    <w:rsid w:val="00D736F4"/>
    <w:rsid w:val="00D73756"/>
    <w:rsid w:val="00D739EF"/>
    <w:rsid w:val="00D73A23"/>
    <w:rsid w:val="00D73A8C"/>
    <w:rsid w:val="00D73B1C"/>
    <w:rsid w:val="00D73BA3"/>
    <w:rsid w:val="00D73CAE"/>
    <w:rsid w:val="00D73D02"/>
    <w:rsid w:val="00D73E6D"/>
    <w:rsid w:val="00D73EBE"/>
    <w:rsid w:val="00D74162"/>
    <w:rsid w:val="00D74404"/>
    <w:rsid w:val="00D744D6"/>
    <w:rsid w:val="00D7464D"/>
    <w:rsid w:val="00D74667"/>
    <w:rsid w:val="00D749B7"/>
    <w:rsid w:val="00D74A0B"/>
    <w:rsid w:val="00D74ABD"/>
    <w:rsid w:val="00D74AF3"/>
    <w:rsid w:val="00D74B14"/>
    <w:rsid w:val="00D74C10"/>
    <w:rsid w:val="00D74C89"/>
    <w:rsid w:val="00D74DB5"/>
    <w:rsid w:val="00D74F58"/>
    <w:rsid w:val="00D7504B"/>
    <w:rsid w:val="00D7513A"/>
    <w:rsid w:val="00D75174"/>
    <w:rsid w:val="00D751AE"/>
    <w:rsid w:val="00D751ED"/>
    <w:rsid w:val="00D7521D"/>
    <w:rsid w:val="00D75318"/>
    <w:rsid w:val="00D75322"/>
    <w:rsid w:val="00D7587F"/>
    <w:rsid w:val="00D759AF"/>
    <w:rsid w:val="00D75A93"/>
    <w:rsid w:val="00D75C31"/>
    <w:rsid w:val="00D75DC2"/>
    <w:rsid w:val="00D76237"/>
    <w:rsid w:val="00D762BC"/>
    <w:rsid w:val="00D763DE"/>
    <w:rsid w:val="00D76667"/>
    <w:rsid w:val="00D7674B"/>
    <w:rsid w:val="00D76789"/>
    <w:rsid w:val="00D76815"/>
    <w:rsid w:val="00D76B70"/>
    <w:rsid w:val="00D76D85"/>
    <w:rsid w:val="00D76E49"/>
    <w:rsid w:val="00D77029"/>
    <w:rsid w:val="00D770BF"/>
    <w:rsid w:val="00D772D1"/>
    <w:rsid w:val="00D772DB"/>
    <w:rsid w:val="00D773F6"/>
    <w:rsid w:val="00D775C4"/>
    <w:rsid w:val="00D778DA"/>
    <w:rsid w:val="00D7791B"/>
    <w:rsid w:val="00D77A68"/>
    <w:rsid w:val="00D77BF8"/>
    <w:rsid w:val="00D77EBB"/>
    <w:rsid w:val="00D80247"/>
    <w:rsid w:val="00D802D7"/>
    <w:rsid w:val="00D80306"/>
    <w:rsid w:val="00D80786"/>
    <w:rsid w:val="00D80788"/>
    <w:rsid w:val="00D808FE"/>
    <w:rsid w:val="00D80ADC"/>
    <w:rsid w:val="00D80B70"/>
    <w:rsid w:val="00D80EC0"/>
    <w:rsid w:val="00D80FFB"/>
    <w:rsid w:val="00D81472"/>
    <w:rsid w:val="00D815CB"/>
    <w:rsid w:val="00D81725"/>
    <w:rsid w:val="00D81971"/>
    <w:rsid w:val="00D81BA9"/>
    <w:rsid w:val="00D81BE9"/>
    <w:rsid w:val="00D81C4E"/>
    <w:rsid w:val="00D81CFD"/>
    <w:rsid w:val="00D81D6E"/>
    <w:rsid w:val="00D81DF7"/>
    <w:rsid w:val="00D81F68"/>
    <w:rsid w:val="00D8218E"/>
    <w:rsid w:val="00D821FA"/>
    <w:rsid w:val="00D82351"/>
    <w:rsid w:val="00D824CB"/>
    <w:rsid w:val="00D824FF"/>
    <w:rsid w:val="00D8276F"/>
    <w:rsid w:val="00D827B6"/>
    <w:rsid w:val="00D82B0D"/>
    <w:rsid w:val="00D82C2B"/>
    <w:rsid w:val="00D83172"/>
    <w:rsid w:val="00D8318B"/>
    <w:rsid w:val="00D83362"/>
    <w:rsid w:val="00D83602"/>
    <w:rsid w:val="00D837AB"/>
    <w:rsid w:val="00D83824"/>
    <w:rsid w:val="00D83955"/>
    <w:rsid w:val="00D83B48"/>
    <w:rsid w:val="00D83EEE"/>
    <w:rsid w:val="00D83F98"/>
    <w:rsid w:val="00D841E2"/>
    <w:rsid w:val="00D8428C"/>
    <w:rsid w:val="00D842F9"/>
    <w:rsid w:val="00D8440C"/>
    <w:rsid w:val="00D84496"/>
    <w:rsid w:val="00D84734"/>
    <w:rsid w:val="00D84735"/>
    <w:rsid w:val="00D848BD"/>
    <w:rsid w:val="00D848C4"/>
    <w:rsid w:val="00D84A2B"/>
    <w:rsid w:val="00D84ABE"/>
    <w:rsid w:val="00D84D93"/>
    <w:rsid w:val="00D8516B"/>
    <w:rsid w:val="00D85382"/>
    <w:rsid w:val="00D854AC"/>
    <w:rsid w:val="00D8555E"/>
    <w:rsid w:val="00D85629"/>
    <w:rsid w:val="00D85909"/>
    <w:rsid w:val="00D8595C"/>
    <w:rsid w:val="00D859D8"/>
    <w:rsid w:val="00D85B5A"/>
    <w:rsid w:val="00D85B6E"/>
    <w:rsid w:val="00D85C77"/>
    <w:rsid w:val="00D85D32"/>
    <w:rsid w:val="00D85EA2"/>
    <w:rsid w:val="00D862EC"/>
    <w:rsid w:val="00D86436"/>
    <w:rsid w:val="00D86528"/>
    <w:rsid w:val="00D8654D"/>
    <w:rsid w:val="00D865BE"/>
    <w:rsid w:val="00D865E9"/>
    <w:rsid w:val="00D865EA"/>
    <w:rsid w:val="00D866A7"/>
    <w:rsid w:val="00D86824"/>
    <w:rsid w:val="00D86AEE"/>
    <w:rsid w:val="00D86AF2"/>
    <w:rsid w:val="00D86CC3"/>
    <w:rsid w:val="00D86D07"/>
    <w:rsid w:val="00D86E19"/>
    <w:rsid w:val="00D86EF9"/>
    <w:rsid w:val="00D87155"/>
    <w:rsid w:val="00D87499"/>
    <w:rsid w:val="00D8766D"/>
    <w:rsid w:val="00D876A9"/>
    <w:rsid w:val="00D876B6"/>
    <w:rsid w:val="00D87927"/>
    <w:rsid w:val="00D87B1A"/>
    <w:rsid w:val="00D87BDA"/>
    <w:rsid w:val="00D87BE6"/>
    <w:rsid w:val="00D87E5D"/>
    <w:rsid w:val="00D87FEC"/>
    <w:rsid w:val="00D90011"/>
    <w:rsid w:val="00D902D0"/>
    <w:rsid w:val="00D90522"/>
    <w:rsid w:val="00D9055F"/>
    <w:rsid w:val="00D90AD1"/>
    <w:rsid w:val="00D90D28"/>
    <w:rsid w:val="00D90F65"/>
    <w:rsid w:val="00D90FBD"/>
    <w:rsid w:val="00D911DE"/>
    <w:rsid w:val="00D9127E"/>
    <w:rsid w:val="00D91680"/>
    <w:rsid w:val="00D9183A"/>
    <w:rsid w:val="00D91AD6"/>
    <w:rsid w:val="00D91C2D"/>
    <w:rsid w:val="00D91C36"/>
    <w:rsid w:val="00D91D8D"/>
    <w:rsid w:val="00D91EE5"/>
    <w:rsid w:val="00D9208A"/>
    <w:rsid w:val="00D920FB"/>
    <w:rsid w:val="00D92117"/>
    <w:rsid w:val="00D92312"/>
    <w:rsid w:val="00D92347"/>
    <w:rsid w:val="00D92543"/>
    <w:rsid w:val="00D928C9"/>
    <w:rsid w:val="00D92A3C"/>
    <w:rsid w:val="00D92B3E"/>
    <w:rsid w:val="00D92CAE"/>
    <w:rsid w:val="00D92D21"/>
    <w:rsid w:val="00D92FB7"/>
    <w:rsid w:val="00D931BC"/>
    <w:rsid w:val="00D93345"/>
    <w:rsid w:val="00D934AE"/>
    <w:rsid w:val="00D934E1"/>
    <w:rsid w:val="00D93522"/>
    <w:rsid w:val="00D93602"/>
    <w:rsid w:val="00D93664"/>
    <w:rsid w:val="00D936E3"/>
    <w:rsid w:val="00D936F4"/>
    <w:rsid w:val="00D937FA"/>
    <w:rsid w:val="00D93815"/>
    <w:rsid w:val="00D939FE"/>
    <w:rsid w:val="00D93B18"/>
    <w:rsid w:val="00D93C60"/>
    <w:rsid w:val="00D93D03"/>
    <w:rsid w:val="00D9404F"/>
    <w:rsid w:val="00D942DD"/>
    <w:rsid w:val="00D942DF"/>
    <w:rsid w:val="00D94732"/>
    <w:rsid w:val="00D947D1"/>
    <w:rsid w:val="00D948BC"/>
    <w:rsid w:val="00D94957"/>
    <w:rsid w:val="00D94A37"/>
    <w:rsid w:val="00D9520C"/>
    <w:rsid w:val="00D952E8"/>
    <w:rsid w:val="00D9545A"/>
    <w:rsid w:val="00D9564B"/>
    <w:rsid w:val="00D956EB"/>
    <w:rsid w:val="00D95818"/>
    <w:rsid w:val="00D9581E"/>
    <w:rsid w:val="00D95858"/>
    <w:rsid w:val="00D9594B"/>
    <w:rsid w:val="00D95ACB"/>
    <w:rsid w:val="00D95CC1"/>
    <w:rsid w:val="00D95ED9"/>
    <w:rsid w:val="00D95F13"/>
    <w:rsid w:val="00D96012"/>
    <w:rsid w:val="00D961EE"/>
    <w:rsid w:val="00D963B5"/>
    <w:rsid w:val="00D96401"/>
    <w:rsid w:val="00D965B9"/>
    <w:rsid w:val="00D966CF"/>
    <w:rsid w:val="00D967C2"/>
    <w:rsid w:val="00D968FB"/>
    <w:rsid w:val="00D96948"/>
    <w:rsid w:val="00D96A04"/>
    <w:rsid w:val="00D96AA4"/>
    <w:rsid w:val="00D96BA4"/>
    <w:rsid w:val="00D96D66"/>
    <w:rsid w:val="00D96DDC"/>
    <w:rsid w:val="00D96F0B"/>
    <w:rsid w:val="00D97114"/>
    <w:rsid w:val="00D974CD"/>
    <w:rsid w:val="00D975A6"/>
    <w:rsid w:val="00D976D7"/>
    <w:rsid w:val="00D9773D"/>
    <w:rsid w:val="00D977D0"/>
    <w:rsid w:val="00D9782E"/>
    <w:rsid w:val="00D9788F"/>
    <w:rsid w:val="00D97950"/>
    <w:rsid w:val="00D97BD0"/>
    <w:rsid w:val="00D97C02"/>
    <w:rsid w:val="00D97F93"/>
    <w:rsid w:val="00DA0079"/>
    <w:rsid w:val="00DA051C"/>
    <w:rsid w:val="00DA0828"/>
    <w:rsid w:val="00DA08BE"/>
    <w:rsid w:val="00DA08E6"/>
    <w:rsid w:val="00DA096A"/>
    <w:rsid w:val="00DA0B01"/>
    <w:rsid w:val="00DA0BD6"/>
    <w:rsid w:val="00DA0F5A"/>
    <w:rsid w:val="00DA0FA8"/>
    <w:rsid w:val="00DA1279"/>
    <w:rsid w:val="00DA12DB"/>
    <w:rsid w:val="00DA137C"/>
    <w:rsid w:val="00DA13F1"/>
    <w:rsid w:val="00DA168D"/>
    <w:rsid w:val="00DA19A9"/>
    <w:rsid w:val="00DA1C16"/>
    <w:rsid w:val="00DA1D23"/>
    <w:rsid w:val="00DA236B"/>
    <w:rsid w:val="00DA2382"/>
    <w:rsid w:val="00DA24E0"/>
    <w:rsid w:val="00DA25B6"/>
    <w:rsid w:val="00DA2786"/>
    <w:rsid w:val="00DA28E0"/>
    <w:rsid w:val="00DA28EC"/>
    <w:rsid w:val="00DA2909"/>
    <w:rsid w:val="00DA2949"/>
    <w:rsid w:val="00DA299A"/>
    <w:rsid w:val="00DA2A14"/>
    <w:rsid w:val="00DA2B16"/>
    <w:rsid w:val="00DA2B54"/>
    <w:rsid w:val="00DA2BCF"/>
    <w:rsid w:val="00DA3732"/>
    <w:rsid w:val="00DA3777"/>
    <w:rsid w:val="00DA37CE"/>
    <w:rsid w:val="00DA38F4"/>
    <w:rsid w:val="00DA3907"/>
    <w:rsid w:val="00DA3A2D"/>
    <w:rsid w:val="00DA3BDD"/>
    <w:rsid w:val="00DA3C6D"/>
    <w:rsid w:val="00DA3D46"/>
    <w:rsid w:val="00DA3DF9"/>
    <w:rsid w:val="00DA3E97"/>
    <w:rsid w:val="00DA414C"/>
    <w:rsid w:val="00DA4266"/>
    <w:rsid w:val="00DA42C8"/>
    <w:rsid w:val="00DA449A"/>
    <w:rsid w:val="00DA45AF"/>
    <w:rsid w:val="00DA4722"/>
    <w:rsid w:val="00DA4859"/>
    <w:rsid w:val="00DA48D2"/>
    <w:rsid w:val="00DA4B92"/>
    <w:rsid w:val="00DA4BBF"/>
    <w:rsid w:val="00DA4BF1"/>
    <w:rsid w:val="00DA4C7B"/>
    <w:rsid w:val="00DA4FA5"/>
    <w:rsid w:val="00DA5019"/>
    <w:rsid w:val="00DA5096"/>
    <w:rsid w:val="00DA50C8"/>
    <w:rsid w:val="00DA50F5"/>
    <w:rsid w:val="00DA5223"/>
    <w:rsid w:val="00DA52CC"/>
    <w:rsid w:val="00DA52E8"/>
    <w:rsid w:val="00DA532B"/>
    <w:rsid w:val="00DA556D"/>
    <w:rsid w:val="00DA55A0"/>
    <w:rsid w:val="00DA5901"/>
    <w:rsid w:val="00DA5B4E"/>
    <w:rsid w:val="00DA5B66"/>
    <w:rsid w:val="00DA5BC9"/>
    <w:rsid w:val="00DA61F4"/>
    <w:rsid w:val="00DA655A"/>
    <w:rsid w:val="00DA656E"/>
    <w:rsid w:val="00DA685D"/>
    <w:rsid w:val="00DA6C7C"/>
    <w:rsid w:val="00DA7021"/>
    <w:rsid w:val="00DA7084"/>
    <w:rsid w:val="00DA71E6"/>
    <w:rsid w:val="00DA7233"/>
    <w:rsid w:val="00DA7283"/>
    <w:rsid w:val="00DA7365"/>
    <w:rsid w:val="00DA76B1"/>
    <w:rsid w:val="00DA79A3"/>
    <w:rsid w:val="00DA7C27"/>
    <w:rsid w:val="00DA7D49"/>
    <w:rsid w:val="00DA7D98"/>
    <w:rsid w:val="00DA7F91"/>
    <w:rsid w:val="00DB010D"/>
    <w:rsid w:val="00DB029C"/>
    <w:rsid w:val="00DB0429"/>
    <w:rsid w:val="00DB045A"/>
    <w:rsid w:val="00DB0553"/>
    <w:rsid w:val="00DB06A5"/>
    <w:rsid w:val="00DB088E"/>
    <w:rsid w:val="00DB08B2"/>
    <w:rsid w:val="00DB096B"/>
    <w:rsid w:val="00DB0CC2"/>
    <w:rsid w:val="00DB0D91"/>
    <w:rsid w:val="00DB0E6C"/>
    <w:rsid w:val="00DB10C5"/>
    <w:rsid w:val="00DB10FA"/>
    <w:rsid w:val="00DB1254"/>
    <w:rsid w:val="00DB13F5"/>
    <w:rsid w:val="00DB15D8"/>
    <w:rsid w:val="00DB194D"/>
    <w:rsid w:val="00DB1BF6"/>
    <w:rsid w:val="00DB212C"/>
    <w:rsid w:val="00DB23BD"/>
    <w:rsid w:val="00DB2422"/>
    <w:rsid w:val="00DB2511"/>
    <w:rsid w:val="00DB25E7"/>
    <w:rsid w:val="00DB26A2"/>
    <w:rsid w:val="00DB2814"/>
    <w:rsid w:val="00DB294B"/>
    <w:rsid w:val="00DB2AED"/>
    <w:rsid w:val="00DB2C07"/>
    <w:rsid w:val="00DB2CAA"/>
    <w:rsid w:val="00DB2E7E"/>
    <w:rsid w:val="00DB3112"/>
    <w:rsid w:val="00DB37BF"/>
    <w:rsid w:val="00DB393F"/>
    <w:rsid w:val="00DB3A59"/>
    <w:rsid w:val="00DB3C03"/>
    <w:rsid w:val="00DB3EE2"/>
    <w:rsid w:val="00DB3F11"/>
    <w:rsid w:val="00DB3FB3"/>
    <w:rsid w:val="00DB4043"/>
    <w:rsid w:val="00DB410F"/>
    <w:rsid w:val="00DB4145"/>
    <w:rsid w:val="00DB41D7"/>
    <w:rsid w:val="00DB4325"/>
    <w:rsid w:val="00DB4458"/>
    <w:rsid w:val="00DB454D"/>
    <w:rsid w:val="00DB497F"/>
    <w:rsid w:val="00DB49DE"/>
    <w:rsid w:val="00DB4B6F"/>
    <w:rsid w:val="00DB4BCB"/>
    <w:rsid w:val="00DB4C02"/>
    <w:rsid w:val="00DB4CB8"/>
    <w:rsid w:val="00DB4CC5"/>
    <w:rsid w:val="00DB4CD2"/>
    <w:rsid w:val="00DB4D5C"/>
    <w:rsid w:val="00DB4D63"/>
    <w:rsid w:val="00DB4E87"/>
    <w:rsid w:val="00DB503A"/>
    <w:rsid w:val="00DB5059"/>
    <w:rsid w:val="00DB5117"/>
    <w:rsid w:val="00DB5141"/>
    <w:rsid w:val="00DB5255"/>
    <w:rsid w:val="00DB5273"/>
    <w:rsid w:val="00DB54FC"/>
    <w:rsid w:val="00DB5695"/>
    <w:rsid w:val="00DB5D3E"/>
    <w:rsid w:val="00DB5D51"/>
    <w:rsid w:val="00DB5D82"/>
    <w:rsid w:val="00DB5E6A"/>
    <w:rsid w:val="00DB5E92"/>
    <w:rsid w:val="00DB5EC9"/>
    <w:rsid w:val="00DB5FD8"/>
    <w:rsid w:val="00DB60A6"/>
    <w:rsid w:val="00DB60FB"/>
    <w:rsid w:val="00DB6371"/>
    <w:rsid w:val="00DB644E"/>
    <w:rsid w:val="00DB66E1"/>
    <w:rsid w:val="00DB6882"/>
    <w:rsid w:val="00DB6AC2"/>
    <w:rsid w:val="00DB6AD8"/>
    <w:rsid w:val="00DB6BBB"/>
    <w:rsid w:val="00DB6E48"/>
    <w:rsid w:val="00DB6F05"/>
    <w:rsid w:val="00DB71A6"/>
    <w:rsid w:val="00DB725C"/>
    <w:rsid w:val="00DB72AD"/>
    <w:rsid w:val="00DB73C2"/>
    <w:rsid w:val="00DB7414"/>
    <w:rsid w:val="00DB780C"/>
    <w:rsid w:val="00DB78B3"/>
    <w:rsid w:val="00DB7DEB"/>
    <w:rsid w:val="00DB7E5D"/>
    <w:rsid w:val="00DB7ED9"/>
    <w:rsid w:val="00DB7F10"/>
    <w:rsid w:val="00DC00C3"/>
    <w:rsid w:val="00DC0306"/>
    <w:rsid w:val="00DC0368"/>
    <w:rsid w:val="00DC0410"/>
    <w:rsid w:val="00DC04AA"/>
    <w:rsid w:val="00DC06D4"/>
    <w:rsid w:val="00DC0985"/>
    <w:rsid w:val="00DC0A86"/>
    <w:rsid w:val="00DC0B1E"/>
    <w:rsid w:val="00DC0BFC"/>
    <w:rsid w:val="00DC0CF5"/>
    <w:rsid w:val="00DC0ED0"/>
    <w:rsid w:val="00DC138B"/>
    <w:rsid w:val="00DC138F"/>
    <w:rsid w:val="00DC14B1"/>
    <w:rsid w:val="00DC158E"/>
    <w:rsid w:val="00DC1738"/>
    <w:rsid w:val="00DC178C"/>
    <w:rsid w:val="00DC1797"/>
    <w:rsid w:val="00DC17DD"/>
    <w:rsid w:val="00DC1814"/>
    <w:rsid w:val="00DC19DB"/>
    <w:rsid w:val="00DC1B31"/>
    <w:rsid w:val="00DC1CD5"/>
    <w:rsid w:val="00DC1E75"/>
    <w:rsid w:val="00DC1EA6"/>
    <w:rsid w:val="00DC20B4"/>
    <w:rsid w:val="00DC2103"/>
    <w:rsid w:val="00DC24C4"/>
    <w:rsid w:val="00DC25BA"/>
    <w:rsid w:val="00DC27AC"/>
    <w:rsid w:val="00DC2C28"/>
    <w:rsid w:val="00DC2CD5"/>
    <w:rsid w:val="00DC2DD3"/>
    <w:rsid w:val="00DC2FEF"/>
    <w:rsid w:val="00DC3489"/>
    <w:rsid w:val="00DC37E7"/>
    <w:rsid w:val="00DC384E"/>
    <w:rsid w:val="00DC3894"/>
    <w:rsid w:val="00DC38E4"/>
    <w:rsid w:val="00DC3A14"/>
    <w:rsid w:val="00DC3AB5"/>
    <w:rsid w:val="00DC3B0D"/>
    <w:rsid w:val="00DC3B0E"/>
    <w:rsid w:val="00DC3C7C"/>
    <w:rsid w:val="00DC3D53"/>
    <w:rsid w:val="00DC3EFF"/>
    <w:rsid w:val="00DC3F6B"/>
    <w:rsid w:val="00DC3F87"/>
    <w:rsid w:val="00DC4044"/>
    <w:rsid w:val="00DC432F"/>
    <w:rsid w:val="00DC4490"/>
    <w:rsid w:val="00DC4551"/>
    <w:rsid w:val="00DC4742"/>
    <w:rsid w:val="00DC47A1"/>
    <w:rsid w:val="00DC47A8"/>
    <w:rsid w:val="00DC47D1"/>
    <w:rsid w:val="00DC481B"/>
    <w:rsid w:val="00DC482D"/>
    <w:rsid w:val="00DC4A88"/>
    <w:rsid w:val="00DC4AE2"/>
    <w:rsid w:val="00DC4C4E"/>
    <w:rsid w:val="00DC4CF2"/>
    <w:rsid w:val="00DC4D6F"/>
    <w:rsid w:val="00DC4EE6"/>
    <w:rsid w:val="00DC4EFF"/>
    <w:rsid w:val="00DC4FB4"/>
    <w:rsid w:val="00DC5093"/>
    <w:rsid w:val="00DC5098"/>
    <w:rsid w:val="00DC5415"/>
    <w:rsid w:val="00DC5467"/>
    <w:rsid w:val="00DC5B5B"/>
    <w:rsid w:val="00DC5DC9"/>
    <w:rsid w:val="00DC5EA1"/>
    <w:rsid w:val="00DC6186"/>
    <w:rsid w:val="00DC6545"/>
    <w:rsid w:val="00DC66D6"/>
    <w:rsid w:val="00DC6927"/>
    <w:rsid w:val="00DC6B32"/>
    <w:rsid w:val="00DC6D78"/>
    <w:rsid w:val="00DC6F91"/>
    <w:rsid w:val="00DC6FC3"/>
    <w:rsid w:val="00DC722C"/>
    <w:rsid w:val="00DC74F2"/>
    <w:rsid w:val="00DC770D"/>
    <w:rsid w:val="00DC78E1"/>
    <w:rsid w:val="00DC7929"/>
    <w:rsid w:val="00DC7958"/>
    <w:rsid w:val="00DC79DC"/>
    <w:rsid w:val="00DC7D02"/>
    <w:rsid w:val="00DC7D44"/>
    <w:rsid w:val="00DC7FDA"/>
    <w:rsid w:val="00DD007E"/>
    <w:rsid w:val="00DD02B7"/>
    <w:rsid w:val="00DD02E7"/>
    <w:rsid w:val="00DD045A"/>
    <w:rsid w:val="00DD0553"/>
    <w:rsid w:val="00DD0654"/>
    <w:rsid w:val="00DD06CD"/>
    <w:rsid w:val="00DD07D3"/>
    <w:rsid w:val="00DD0842"/>
    <w:rsid w:val="00DD0AD3"/>
    <w:rsid w:val="00DD0CEF"/>
    <w:rsid w:val="00DD0DA7"/>
    <w:rsid w:val="00DD0E04"/>
    <w:rsid w:val="00DD0ED2"/>
    <w:rsid w:val="00DD0F64"/>
    <w:rsid w:val="00DD0FD9"/>
    <w:rsid w:val="00DD1191"/>
    <w:rsid w:val="00DD14D3"/>
    <w:rsid w:val="00DD15E8"/>
    <w:rsid w:val="00DD167A"/>
    <w:rsid w:val="00DD17D1"/>
    <w:rsid w:val="00DD18E3"/>
    <w:rsid w:val="00DD1A6D"/>
    <w:rsid w:val="00DD1DB2"/>
    <w:rsid w:val="00DD205E"/>
    <w:rsid w:val="00DD2245"/>
    <w:rsid w:val="00DD245D"/>
    <w:rsid w:val="00DD268E"/>
    <w:rsid w:val="00DD2AE0"/>
    <w:rsid w:val="00DD2CD3"/>
    <w:rsid w:val="00DD2D0D"/>
    <w:rsid w:val="00DD2E37"/>
    <w:rsid w:val="00DD3040"/>
    <w:rsid w:val="00DD31F5"/>
    <w:rsid w:val="00DD32FA"/>
    <w:rsid w:val="00DD3376"/>
    <w:rsid w:val="00DD3503"/>
    <w:rsid w:val="00DD357D"/>
    <w:rsid w:val="00DD3586"/>
    <w:rsid w:val="00DD3A7D"/>
    <w:rsid w:val="00DD3EB4"/>
    <w:rsid w:val="00DD3F52"/>
    <w:rsid w:val="00DD40A8"/>
    <w:rsid w:val="00DD42C7"/>
    <w:rsid w:val="00DD435A"/>
    <w:rsid w:val="00DD43AE"/>
    <w:rsid w:val="00DD45EA"/>
    <w:rsid w:val="00DD45F7"/>
    <w:rsid w:val="00DD472F"/>
    <w:rsid w:val="00DD47F7"/>
    <w:rsid w:val="00DD4AF0"/>
    <w:rsid w:val="00DD4B23"/>
    <w:rsid w:val="00DD4ED0"/>
    <w:rsid w:val="00DD5055"/>
    <w:rsid w:val="00DD5164"/>
    <w:rsid w:val="00DD595F"/>
    <w:rsid w:val="00DD5A8B"/>
    <w:rsid w:val="00DD5E17"/>
    <w:rsid w:val="00DD6174"/>
    <w:rsid w:val="00DD63CA"/>
    <w:rsid w:val="00DD64B3"/>
    <w:rsid w:val="00DD64EA"/>
    <w:rsid w:val="00DD6683"/>
    <w:rsid w:val="00DD69C6"/>
    <w:rsid w:val="00DD6B2B"/>
    <w:rsid w:val="00DD6BBC"/>
    <w:rsid w:val="00DD6BDB"/>
    <w:rsid w:val="00DD6CE6"/>
    <w:rsid w:val="00DD6D49"/>
    <w:rsid w:val="00DD6D8E"/>
    <w:rsid w:val="00DD6F45"/>
    <w:rsid w:val="00DD7005"/>
    <w:rsid w:val="00DD7108"/>
    <w:rsid w:val="00DD7162"/>
    <w:rsid w:val="00DD71FC"/>
    <w:rsid w:val="00DD7391"/>
    <w:rsid w:val="00DD742B"/>
    <w:rsid w:val="00DD7567"/>
    <w:rsid w:val="00DD78A7"/>
    <w:rsid w:val="00DD7972"/>
    <w:rsid w:val="00DD7A34"/>
    <w:rsid w:val="00DD7C1F"/>
    <w:rsid w:val="00DD7D86"/>
    <w:rsid w:val="00DD7ECE"/>
    <w:rsid w:val="00DD7F47"/>
    <w:rsid w:val="00DD7FD8"/>
    <w:rsid w:val="00DE01FD"/>
    <w:rsid w:val="00DE0389"/>
    <w:rsid w:val="00DE06D8"/>
    <w:rsid w:val="00DE07F2"/>
    <w:rsid w:val="00DE0877"/>
    <w:rsid w:val="00DE09AE"/>
    <w:rsid w:val="00DE0BA8"/>
    <w:rsid w:val="00DE10C4"/>
    <w:rsid w:val="00DE1170"/>
    <w:rsid w:val="00DE1215"/>
    <w:rsid w:val="00DE12E9"/>
    <w:rsid w:val="00DE1690"/>
    <w:rsid w:val="00DE16FE"/>
    <w:rsid w:val="00DE173A"/>
    <w:rsid w:val="00DE1822"/>
    <w:rsid w:val="00DE183E"/>
    <w:rsid w:val="00DE18C5"/>
    <w:rsid w:val="00DE1CA8"/>
    <w:rsid w:val="00DE1CAA"/>
    <w:rsid w:val="00DE1DC4"/>
    <w:rsid w:val="00DE1ED4"/>
    <w:rsid w:val="00DE1F0B"/>
    <w:rsid w:val="00DE1F1A"/>
    <w:rsid w:val="00DE1FE1"/>
    <w:rsid w:val="00DE2037"/>
    <w:rsid w:val="00DE2444"/>
    <w:rsid w:val="00DE250F"/>
    <w:rsid w:val="00DE2533"/>
    <w:rsid w:val="00DE2548"/>
    <w:rsid w:val="00DE2695"/>
    <w:rsid w:val="00DE2752"/>
    <w:rsid w:val="00DE27F3"/>
    <w:rsid w:val="00DE2852"/>
    <w:rsid w:val="00DE2989"/>
    <w:rsid w:val="00DE29B0"/>
    <w:rsid w:val="00DE2A3C"/>
    <w:rsid w:val="00DE2BF2"/>
    <w:rsid w:val="00DE303A"/>
    <w:rsid w:val="00DE3267"/>
    <w:rsid w:val="00DE32BE"/>
    <w:rsid w:val="00DE333A"/>
    <w:rsid w:val="00DE3344"/>
    <w:rsid w:val="00DE37AD"/>
    <w:rsid w:val="00DE390B"/>
    <w:rsid w:val="00DE3C0E"/>
    <w:rsid w:val="00DE3CA5"/>
    <w:rsid w:val="00DE3E3B"/>
    <w:rsid w:val="00DE4024"/>
    <w:rsid w:val="00DE409D"/>
    <w:rsid w:val="00DE4353"/>
    <w:rsid w:val="00DE444E"/>
    <w:rsid w:val="00DE4460"/>
    <w:rsid w:val="00DE44B9"/>
    <w:rsid w:val="00DE46DD"/>
    <w:rsid w:val="00DE47F2"/>
    <w:rsid w:val="00DE4823"/>
    <w:rsid w:val="00DE488A"/>
    <w:rsid w:val="00DE48E0"/>
    <w:rsid w:val="00DE49DE"/>
    <w:rsid w:val="00DE50A5"/>
    <w:rsid w:val="00DE513E"/>
    <w:rsid w:val="00DE549E"/>
    <w:rsid w:val="00DE55D6"/>
    <w:rsid w:val="00DE573C"/>
    <w:rsid w:val="00DE576A"/>
    <w:rsid w:val="00DE5778"/>
    <w:rsid w:val="00DE58D0"/>
    <w:rsid w:val="00DE5901"/>
    <w:rsid w:val="00DE5959"/>
    <w:rsid w:val="00DE5BE6"/>
    <w:rsid w:val="00DE5C94"/>
    <w:rsid w:val="00DE5DB4"/>
    <w:rsid w:val="00DE5E2A"/>
    <w:rsid w:val="00DE5F64"/>
    <w:rsid w:val="00DE6090"/>
    <w:rsid w:val="00DE60BE"/>
    <w:rsid w:val="00DE631E"/>
    <w:rsid w:val="00DE64F9"/>
    <w:rsid w:val="00DE663A"/>
    <w:rsid w:val="00DE66BA"/>
    <w:rsid w:val="00DE6A42"/>
    <w:rsid w:val="00DE6AB8"/>
    <w:rsid w:val="00DE6E51"/>
    <w:rsid w:val="00DE7142"/>
    <w:rsid w:val="00DE71CB"/>
    <w:rsid w:val="00DE72E2"/>
    <w:rsid w:val="00DE7369"/>
    <w:rsid w:val="00DE73BE"/>
    <w:rsid w:val="00DE752C"/>
    <w:rsid w:val="00DE7583"/>
    <w:rsid w:val="00DE7722"/>
    <w:rsid w:val="00DE780A"/>
    <w:rsid w:val="00DE7BC6"/>
    <w:rsid w:val="00DE7C50"/>
    <w:rsid w:val="00DE7CF8"/>
    <w:rsid w:val="00DE7DC5"/>
    <w:rsid w:val="00DE7FF8"/>
    <w:rsid w:val="00DEE47E"/>
    <w:rsid w:val="00DF0276"/>
    <w:rsid w:val="00DF0347"/>
    <w:rsid w:val="00DF05B9"/>
    <w:rsid w:val="00DF065E"/>
    <w:rsid w:val="00DF0731"/>
    <w:rsid w:val="00DF086A"/>
    <w:rsid w:val="00DF0B83"/>
    <w:rsid w:val="00DF0B9F"/>
    <w:rsid w:val="00DF0E4F"/>
    <w:rsid w:val="00DF0EB7"/>
    <w:rsid w:val="00DF1117"/>
    <w:rsid w:val="00DF11F6"/>
    <w:rsid w:val="00DF12C8"/>
    <w:rsid w:val="00DF1682"/>
    <w:rsid w:val="00DF1876"/>
    <w:rsid w:val="00DF1A0B"/>
    <w:rsid w:val="00DF1ACD"/>
    <w:rsid w:val="00DF1C03"/>
    <w:rsid w:val="00DF1E6B"/>
    <w:rsid w:val="00DF1EEC"/>
    <w:rsid w:val="00DF2153"/>
    <w:rsid w:val="00DF217D"/>
    <w:rsid w:val="00DF21A1"/>
    <w:rsid w:val="00DF2264"/>
    <w:rsid w:val="00DF22EA"/>
    <w:rsid w:val="00DF230B"/>
    <w:rsid w:val="00DF2369"/>
    <w:rsid w:val="00DF26C8"/>
    <w:rsid w:val="00DF27A0"/>
    <w:rsid w:val="00DF2BA4"/>
    <w:rsid w:val="00DF2BAE"/>
    <w:rsid w:val="00DF2C13"/>
    <w:rsid w:val="00DF2D02"/>
    <w:rsid w:val="00DF3035"/>
    <w:rsid w:val="00DF31E9"/>
    <w:rsid w:val="00DF3349"/>
    <w:rsid w:val="00DF337D"/>
    <w:rsid w:val="00DF33DA"/>
    <w:rsid w:val="00DF34F6"/>
    <w:rsid w:val="00DF350A"/>
    <w:rsid w:val="00DF3901"/>
    <w:rsid w:val="00DF39CE"/>
    <w:rsid w:val="00DF3B02"/>
    <w:rsid w:val="00DF3BE3"/>
    <w:rsid w:val="00DF3D1C"/>
    <w:rsid w:val="00DF3D2C"/>
    <w:rsid w:val="00DF4031"/>
    <w:rsid w:val="00DF4205"/>
    <w:rsid w:val="00DF42CE"/>
    <w:rsid w:val="00DF44AE"/>
    <w:rsid w:val="00DF46D4"/>
    <w:rsid w:val="00DF49B5"/>
    <w:rsid w:val="00DF49E0"/>
    <w:rsid w:val="00DF4A79"/>
    <w:rsid w:val="00DF4A82"/>
    <w:rsid w:val="00DF4AF1"/>
    <w:rsid w:val="00DF4B47"/>
    <w:rsid w:val="00DF4BAD"/>
    <w:rsid w:val="00DF4BE1"/>
    <w:rsid w:val="00DF4CD0"/>
    <w:rsid w:val="00DF4F11"/>
    <w:rsid w:val="00DF5008"/>
    <w:rsid w:val="00DF50EA"/>
    <w:rsid w:val="00DF5183"/>
    <w:rsid w:val="00DF5579"/>
    <w:rsid w:val="00DF582B"/>
    <w:rsid w:val="00DF589D"/>
    <w:rsid w:val="00DF5C4A"/>
    <w:rsid w:val="00DF5DB1"/>
    <w:rsid w:val="00DF5E86"/>
    <w:rsid w:val="00DF5FA7"/>
    <w:rsid w:val="00DF5FEA"/>
    <w:rsid w:val="00DF6053"/>
    <w:rsid w:val="00DF60BD"/>
    <w:rsid w:val="00DF6548"/>
    <w:rsid w:val="00DF68E4"/>
    <w:rsid w:val="00DF68FE"/>
    <w:rsid w:val="00DF6BFF"/>
    <w:rsid w:val="00DF7057"/>
    <w:rsid w:val="00DF7075"/>
    <w:rsid w:val="00DF718D"/>
    <w:rsid w:val="00DF76BE"/>
    <w:rsid w:val="00DF76E7"/>
    <w:rsid w:val="00DF777E"/>
    <w:rsid w:val="00DF77C0"/>
    <w:rsid w:val="00DF7831"/>
    <w:rsid w:val="00DF7B7E"/>
    <w:rsid w:val="00DF7D83"/>
    <w:rsid w:val="00E001A8"/>
    <w:rsid w:val="00E001F2"/>
    <w:rsid w:val="00E0029D"/>
    <w:rsid w:val="00E008D6"/>
    <w:rsid w:val="00E009EB"/>
    <w:rsid w:val="00E00B0E"/>
    <w:rsid w:val="00E00C94"/>
    <w:rsid w:val="00E00E90"/>
    <w:rsid w:val="00E00F99"/>
    <w:rsid w:val="00E01118"/>
    <w:rsid w:val="00E0134F"/>
    <w:rsid w:val="00E0147E"/>
    <w:rsid w:val="00E016DB"/>
    <w:rsid w:val="00E01770"/>
    <w:rsid w:val="00E01933"/>
    <w:rsid w:val="00E01A9E"/>
    <w:rsid w:val="00E02107"/>
    <w:rsid w:val="00E0219F"/>
    <w:rsid w:val="00E02388"/>
    <w:rsid w:val="00E02423"/>
    <w:rsid w:val="00E02A65"/>
    <w:rsid w:val="00E02C73"/>
    <w:rsid w:val="00E02C78"/>
    <w:rsid w:val="00E02D24"/>
    <w:rsid w:val="00E02DC2"/>
    <w:rsid w:val="00E02E2A"/>
    <w:rsid w:val="00E02FC5"/>
    <w:rsid w:val="00E02FED"/>
    <w:rsid w:val="00E03433"/>
    <w:rsid w:val="00E03451"/>
    <w:rsid w:val="00E037B0"/>
    <w:rsid w:val="00E039A4"/>
    <w:rsid w:val="00E03B16"/>
    <w:rsid w:val="00E03FAF"/>
    <w:rsid w:val="00E040E3"/>
    <w:rsid w:val="00E04159"/>
    <w:rsid w:val="00E0460C"/>
    <w:rsid w:val="00E04736"/>
    <w:rsid w:val="00E04786"/>
    <w:rsid w:val="00E0481D"/>
    <w:rsid w:val="00E04BA1"/>
    <w:rsid w:val="00E04BDD"/>
    <w:rsid w:val="00E0542B"/>
    <w:rsid w:val="00E0550C"/>
    <w:rsid w:val="00E055F7"/>
    <w:rsid w:val="00E05691"/>
    <w:rsid w:val="00E0580D"/>
    <w:rsid w:val="00E05A6E"/>
    <w:rsid w:val="00E05B6C"/>
    <w:rsid w:val="00E05DB1"/>
    <w:rsid w:val="00E05E67"/>
    <w:rsid w:val="00E05F1D"/>
    <w:rsid w:val="00E05F32"/>
    <w:rsid w:val="00E0664D"/>
    <w:rsid w:val="00E066D3"/>
    <w:rsid w:val="00E067ED"/>
    <w:rsid w:val="00E06AD0"/>
    <w:rsid w:val="00E06BAF"/>
    <w:rsid w:val="00E06D65"/>
    <w:rsid w:val="00E06E90"/>
    <w:rsid w:val="00E06F04"/>
    <w:rsid w:val="00E072F6"/>
    <w:rsid w:val="00E07377"/>
    <w:rsid w:val="00E07514"/>
    <w:rsid w:val="00E075C4"/>
    <w:rsid w:val="00E0769A"/>
    <w:rsid w:val="00E07756"/>
    <w:rsid w:val="00E0794A"/>
    <w:rsid w:val="00E07AE9"/>
    <w:rsid w:val="00E07BFA"/>
    <w:rsid w:val="00E07D7F"/>
    <w:rsid w:val="00E07E47"/>
    <w:rsid w:val="00E07F00"/>
    <w:rsid w:val="00E07FD2"/>
    <w:rsid w:val="00E10314"/>
    <w:rsid w:val="00E103CA"/>
    <w:rsid w:val="00E103E3"/>
    <w:rsid w:val="00E10422"/>
    <w:rsid w:val="00E10456"/>
    <w:rsid w:val="00E104FF"/>
    <w:rsid w:val="00E10546"/>
    <w:rsid w:val="00E10CDC"/>
    <w:rsid w:val="00E10CFB"/>
    <w:rsid w:val="00E10D45"/>
    <w:rsid w:val="00E10E6F"/>
    <w:rsid w:val="00E10F65"/>
    <w:rsid w:val="00E11055"/>
    <w:rsid w:val="00E110FF"/>
    <w:rsid w:val="00E1123C"/>
    <w:rsid w:val="00E11346"/>
    <w:rsid w:val="00E11401"/>
    <w:rsid w:val="00E11526"/>
    <w:rsid w:val="00E11640"/>
    <w:rsid w:val="00E11825"/>
    <w:rsid w:val="00E1183D"/>
    <w:rsid w:val="00E1196D"/>
    <w:rsid w:val="00E119B3"/>
    <w:rsid w:val="00E11A8D"/>
    <w:rsid w:val="00E11AC6"/>
    <w:rsid w:val="00E11BA4"/>
    <w:rsid w:val="00E11C15"/>
    <w:rsid w:val="00E11C99"/>
    <w:rsid w:val="00E11CF3"/>
    <w:rsid w:val="00E11D50"/>
    <w:rsid w:val="00E11DC2"/>
    <w:rsid w:val="00E11FF3"/>
    <w:rsid w:val="00E121ED"/>
    <w:rsid w:val="00E1259A"/>
    <w:rsid w:val="00E1292A"/>
    <w:rsid w:val="00E12BBA"/>
    <w:rsid w:val="00E13395"/>
    <w:rsid w:val="00E1342A"/>
    <w:rsid w:val="00E1349C"/>
    <w:rsid w:val="00E1355F"/>
    <w:rsid w:val="00E138DF"/>
    <w:rsid w:val="00E13A1F"/>
    <w:rsid w:val="00E13AEA"/>
    <w:rsid w:val="00E13B2D"/>
    <w:rsid w:val="00E13CE9"/>
    <w:rsid w:val="00E13EFC"/>
    <w:rsid w:val="00E140A2"/>
    <w:rsid w:val="00E14147"/>
    <w:rsid w:val="00E1426D"/>
    <w:rsid w:val="00E14489"/>
    <w:rsid w:val="00E144C9"/>
    <w:rsid w:val="00E14553"/>
    <w:rsid w:val="00E145C8"/>
    <w:rsid w:val="00E14949"/>
    <w:rsid w:val="00E149AF"/>
    <w:rsid w:val="00E14B1B"/>
    <w:rsid w:val="00E14C8B"/>
    <w:rsid w:val="00E15168"/>
    <w:rsid w:val="00E151ED"/>
    <w:rsid w:val="00E152EF"/>
    <w:rsid w:val="00E15483"/>
    <w:rsid w:val="00E155AE"/>
    <w:rsid w:val="00E15656"/>
    <w:rsid w:val="00E156C9"/>
    <w:rsid w:val="00E157B5"/>
    <w:rsid w:val="00E1581A"/>
    <w:rsid w:val="00E15ACA"/>
    <w:rsid w:val="00E15BBE"/>
    <w:rsid w:val="00E15C2B"/>
    <w:rsid w:val="00E15C74"/>
    <w:rsid w:val="00E15C8F"/>
    <w:rsid w:val="00E15ED1"/>
    <w:rsid w:val="00E15EE4"/>
    <w:rsid w:val="00E16271"/>
    <w:rsid w:val="00E165AA"/>
    <w:rsid w:val="00E16614"/>
    <w:rsid w:val="00E168BB"/>
    <w:rsid w:val="00E16917"/>
    <w:rsid w:val="00E16944"/>
    <w:rsid w:val="00E16A03"/>
    <w:rsid w:val="00E16A69"/>
    <w:rsid w:val="00E16AA1"/>
    <w:rsid w:val="00E16EA1"/>
    <w:rsid w:val="00E16FE7"/>
    <w:rsid w:val="00E170F7"/>
    <w:rsid w:val="00E173DD"/>
    <w:rsid w:val="00E175BB"/>
    <w:rsid w:val="00E17600"/>
    <w:rsid w:val="00E17785"/>
    <w:rsid w:val="00E17847"/>
    <w:rsid w:val="00E17893"/>
    <w:rsid w:val="00E178DC"/>
    <w:rsid w:val="00E17C72"/>
    <w:rsid w:val="00E2003B"/>
    <w:rsid w:val="00E20069"/>
    <w:rsid w:val="00E200B1"/>
    <w:rsid w:val="00E200F3"/>
    <w:rsid w:val="00E20405"/>
    <w:rsid w:val="00E2042A"/>
    <w:rsid w:val="00E20584"/>
    <w:rsid w:val="00E2062E"/>
    <w:rsid w:val="00E2063B"/>
    <w:rsid w:val="00E2069E"/>
    <w:rsid w:val="00E206E1"/>
    <w:rsid w:val="00E20871"/>
    <w:rsid w:val="00E20A33"/>
    <w:rsid w:val="00E20C4E"/>
    <w:rsid w:val="00E20C8E"/>
    <w:rsid w:val="00E20D0C"/>
    <w:rsid w:val="00E20D8C"/>
    <w:rsid w:val="00E20F39"/>
    <w:rsid w:val="00E20F66"/>
    <w:rsid w:val="00E20F94"/>
    <w:rsid w:val="00E2116E"/>
    <w:rsid w:val="00E21474"/>
    <w:rsid w:val="00E214C1"/>
    <w:rsid w:val="00E2169C"/>
    <w:rsid w:val="00E217FB"/>
    <w:rsid w:val="00E21904"/>
    <w:rsid w:val="00E21934"/>
    <w:rsid w:val="00E21A05"/>
    <w:rsid w:val="00E21A7F"/>
    <w:rsid w:val="00E21AF7"/>
    <w:rsid w:val="00E21BBC"/>
    <w:rsid w:val="00E21D50"/>
    <w:rsid w:val="00E22101"/>
    <w:rsid w:val="00E223E1"/>
    <w:rsid w:val="00E22589"/>
    <w:rsid w:val="00E226CA"/>
    <w:rsid w:val="00E2276C"/>
    <w:rsid w:val="00E227C8"/>
    <w:rsid w:val="00E22921"/>
    <w:rsid w:val="00E22988"/>
    <w:rsid w:val="00E22A98"/>
    <w:rsid w:val="00E22C6D"/>
    <w:rsid w:val="00E22CDC"/>
    <w:rsid w:val="00E22D6B"/>
    <w:rsid w:val="00E22DCC"/>
    <w:rsid w:val="00E22FF3"/>
    <w:rsid w:val="00E22FF7"/>
    <w:rsid w:val="00E2313F"/>
    <w:rsid w:val="00E231CB"/>
    <w:rsid w:val="00E231CE"/>
    <w:rsid w:val="00E232DB"/>
    <w:rsid w:val="00E2340C"/>
    <w:rsid w:val="00E23595"/>
    <w:rsid w:val="00E235BB"/>
    <w:rsid w:val="00E23642"/>
    <w:rsid w:val="00E237B3"/>
    <w:rsid w:val="00E23818"/>
    <w:rsid w:val="00E238D3"/>
    <w:rsid w:val="00E23C02"/>
    <w:rsid w:val="00E23DED"/>
    <w:rsid w:val="00E23E9D"/>
    <w:rsid w:val="00E24017"/>
    <w:rsid w:val="00E24029"/>
    <w:rsid w:val="00E2409A"/>
    <w:rsid w:val="00E240B1"/>
    <w:rsid w:val="00E24125"/>
    <w:rsid w:val="00E242FF"/>
    <w:rsid w:val="00E243C3"/>
    <w:rsid w:val="00E2444F"/>
    <w:rsid w:val="00E24461"/>
    <w:rsid w:val="00E24538"/>
    <w:rsid w:val="00E2466A"/>
    <w:rsid w:val="00E24700"/>
    <w:rsid w:val="00E24767"/>
    <w:rsid w:val="00E2476F"/>
    <w:rsid w:val="00E2491A"/>
    <w:rsid w:val="00E24A55"/>
    <w:rsid w:val="00E24AC3"/>
    <w:rsid w:val="00E24AEE"/>
    <w:rsid w:val="00E24DB3"/>
    <w:rsid w:val="00E24FC3"/>
    <w:rsid w:val="00E24FDF"/>
    <w:rsid w:val="00E2515F"/>
    <w:rsid w:val="00E25234"/>
    <w:rsid w:val="00E25242"/>
    <w:rsid w:val="00E25324"/>
    <w:rsid w:val="00E257A3"/>
    <w:rsid w:val="00E2590D"/>
    <w:rsid w:val="00E25CC4"/>
    <w:rsid w:val="00E25E28"/>
    <w:rsid w:val="00E260FA"/>
    <w:rsid w:val="00E26168"/>
    <w:rsid w:val="00E261C5"/>
    <w:rsid w:val="00E261E2"/>
    <w:rsid w:val="00E2621B"/>
    <w:rsid w:val="00E26325"/>
    <w:rsid w:val="00E26534"/>
    <w:rsid w:val="00E26665"/>
    <w:rsid w:val="00E26691"/>
    <w:rsid w:val="00E269C2"/>
    <w:rsid w:val="00E269F1"/>
    <w:rsid w:val="00E26C1F"/>
    <w:rsid w:val="00E26CF0"/>
    <w:rsid w:val="00E26E52"/>
    <w:rsid w:val="00E26E63"/>
    <w:rsid w:val="00E27336"/>
    <w:rsid w:val="00E274AC"/>
    <w:rsid w:val="00E275F6"/>
    <w:rsid w:val="00E276CB"/>
    <w:rsid w:val="00E277F3"/>
    <w:rsid w:val="00E2784C"/>
    <w:rsid w:val="00E279A8"/>
    <w:rsid w:val="00E27EB9"/>
    <w:rsid w:val="00E27F91"/>
    <w:rsid w:val="00E3002B"/>
    <w:rsid w:val="00E3002D"/>
    <w:rsid w:val="00E302D9"/>
    <w:rsid w:val="00E3038C"/>
    <w:rsid w:val="00E30439"/>
    <w:rsid w:val="00E3043C"/>
    <w:rsid w:val="00E307C4"/>
    <w:rsid w:val="00E30874"/>
    <w:rsid w:val="00E30922"/>
    <w:rsid w:val="00E309F1"/>
    <w:rsid w:val="00E30A23"/>
    <w:rsid w:val="00E30AEF"/>
    <w:rsid w:val="00E30BEB"/>
    <w:rsid w:val="00E30D33"/>
    <w:rsid w:val="00E30D6F"/>
    <w:rsid w:val="00E30D9B"/>
    <w:rsid w:val="00E30DA9"/>
    <w:rsid w:val="00E30E0C"/>
    <w:rsid w:val="00E30E58"/>
    <w:rsid w:val="00E31252"/>
    <w:rsid w:val="00E3147E"/>
    <w:rsid w:val="00E314AC"/>
    <w:rsid w:val="00E3195C"/>
    <w:rsid w:val="00E319F1"/>
    <w:rsid w:val="00E31AF0"/>
    <w:rsid w:val="00E31AF3"/>
    <w:rsid w:val="00E31B65"/>
    <w:rsid w:val="00E31B8C"/>
    <w:rsid w:val="00E31B95"/>
    <w:rsid w:val="00E31BA4"/>
    <w:rsid w:val="00E31E0E"/>
    <w:rsid w:val="00E32022"/>
    <w:rsid w:val="00E320EE"/>
    <w:rsid w:val="00E32397"/>
    <w:rsid w:val="00E32403"/>
    <w:rsid w:val="00E3278B"/>
    <w:rsid w:val="00E32ACA"/>
    <w:rsid w:val="00E32CD1"/>
    <w:rsid w:val="00E32E57"/>
    <w:rsid w:val="00E32E91"/>
    <w:rsid w:val="00E32F2E"/>
    <w:rsid w:val="00E32F78"/>
    <w:rsid w:val="00E3335F"/>
    <w:rsid w:val="00E33565"/>
    <w:rsid w:val="00E33B8F"/>
    <w:rsid w:val="00E33BBB"/>
    <w:rsid w:val="00E33F72"/>
    <w:rsid w:val="00E34146"/>
    <w:rsid w:val="00E34473"/>
    <w:rsid w:val="00E34503"/>
    <w:rsid w:val="00E345B7"/>
    <w:rsid w:val="00E346A0"/>
    <w:rsid w:val="00E3485E"/>
    <w:rsid w:val="00E34D9C"/>
    <w:rsid w:val="00E34F46"/>
    <w:rsid w:val="00E34FC2"/>
    <w:rsid w:val="00E351BB"/>
    <w:rsid w:val="00E35389"/>
    <w:rsid w:val="00E357B0"/>
    <w:rsid w:val="00E35857"/>
    <w:rsid w:val="00E35877"/>
    <w:rsid w:val="00E359CB"/>
    <w:rsid w:val="00E35ACF"/>
    <w:rsid w:val="00E35B02"/>
    <w:rsid w:val="00E35C5B"/>
    <w:rsid w:val="00E3629D"/>
    <w:rsid w:val="00E364F2"/>
    <w:rsid w:val="00E36A2D"/>
    <w:rsid w:val="00E36E76"/>
    <w:rsid w:val="00E36EDD"/>
    <w:rsid w:val="00E36F36"/>
    <w:rsid w:val="00E3709C"/>
    <w:rsid w:val="00E370E5"/>
    <w:rsid w:val="00E3724C"/>
    <w:rsid w:val="00E37418"/>
    <w:rsid w:val="00E3763F"/>
    <w:rsid w:val="00E37718"/>
    <w:rsid w:val="00E378A1"/>
    <w:rsid w:val="00E37985"/>
    <w:rsid w:val="00E37A32"/>
    <w:rsid w:val="00E37AD2"/>
    <w:rsid w:val="00E37BAD"/>
    <w:rsid w:val="00E37D97"/>
    <w:rsid w:val="00E37DB4"/>
    <w:rsid w:val="00E400B8"/>
    <w:rsid w:val="00E404D8"/>
    <w:rsid w:val="00E405BF"/>
    <w:rsid w:val="00E409A2"/>
    <w:rsid w:val="00E40A3A"/>
    <w:rsid w:val="00E40A5C"/>
    <w:rsid w:val="00E40A66"/>
    <w:rsid w:val="00E40C0D"/>
    <w:rsid w:val="00E40C75"/>
    <w:rsid w:val="00E40CC3"/>
    <w:rsid w:val="00E40DDE"/>
    <w:rsid w:val="00E41023"/>
    <w:rsid w:val="00E414AD"/>
    <w:rsid w:val="00E41818"/>
    <w:rsid w:val="00E41AA7"/>
    <w:rsid w:val="00E41DEB"/>
    <w:rsid w:val="00E421D6"/>
    <w:rsid w:val="00E4229B"/>
    <w:rsid w:val="00E42B75"/>
    <w:rsid w:val="00E42B7A"/>
    <w:rsid w:val="00E42B7B"/>
    <w:rsid w:val="00E42BCC"/>
    <w:rsid w:val="00E42E21"/>
    <w:rsid w:val="00E42E9D"/>
    <w:rsid w:val="00E42FA7"/>
    <w:rsid w:val="00E43087"/>
    <w:rsid w:val="00E430C4"/>
    <w:rsid w:val="00E43126"/>
    <w:rsid w:val="00E4314E"/>
    <w:rsid w:val="00E432D6"/>
    <w:rsid w:val="00E43418"/>
    <w:rsid w:val="00E4354C"/>
    <w:rsid w:val="00E4354E"/>
    <w:rsid w:val="00E4365F"/>
    <w:rsid w:val="00E436D3"/>
    <w:rsid w:val="00E43812"/>
    <w:rsid w:val="00E43C39"/>
    <w:rsid w:val="00E43D7B"/>
    <w:rsid w:val="00E44011"/>
    <w:rsid w:val="00E4488A"/>
    <w:rsid w:val="00E448B9"/>
    <w:rsid w:val="00E448E4"/>
    <w:rsid w:val="00E44A62"/>
    <w:rsid w:val="00E44CEC"/>
    <w:rsid w:val="00E44D14"/>
    <w:rsid w:val="00E44E0A"/>
    <w:rsid w:val="00E45311"/>
    <w:rsid w:val="00E45328"/>
    <w:rsid w:val="00E45536"/>
    <w:rsid w:val="00E456D6"/>
    <w:rsid w:val="00E457ED"/>
    <w:rsid w:val="00E45816"/>
    <w:rsid w:val="00E459B0"/>
    <w:rsid w:val="00E45A4B"/>
    <w:rsid w:val="00E45D32"/>
    <w:rsid w:val="00E45E2B"/>
    <w:rsid w:val="00E45EB6"/>
    <w:rsid w:val="00E4639F"/>
    <w:rsid w:val="00E46501"/>
    <w:rsid w:val="00E46553"/>
    <w:rsid w:val="00E465EB"/>
    <w:rsid w:val="00E46876"/>
    <w:rsid w:val="00E469C9"/>
    <w:rsid w:val="00E46B8F"/>
    <w:rsid w:val="00E46C22"/>
    <w:rsid w:val="00E46CA9"/>
    <w:rsid w:val="00E46D7E"/>
    <w:rsid w:val="00E46E00"/>
    <w:rsid w:val="00E47195"/>
    <w:rsid w:val="00E472EB"/>
    <w:rsid w:val="00E47311"/>
    <w:rsid w:val="00E4736F"/>
    <w:rsid w:val="00E475DE"/>
    <w:rsid w:val="00E47679"/>
    <w:rsid w:val="00E47803"/>
    <w:rsid w:val="00E4793B"/>
    <w:rsid w:val="00E47C84"/>
    <w:rsid w:val="00E47CFB"/>
    <w:rsid w:val="00E47D0A"/>
    <w:rsid w:val="00E47DE7"/>
    <w:rsid w:val="00E47DE8"/>
    <w:rsid w:val="00E47E0D"/>
    <w:rsid w:val="00E5015A"/>
    <w:rsid w:val="00E5016D"/>
    <w:rsid w:val="00E5040D"/>
    <w:rsid w:val="00E5048B"/>
    <w:rsid w:val="00E504DC"/>
    <w:rsid w:val="00E5056E"/>
    <w:rsid w:val="00E50571"/>
    <w:rsid w:val="00E506F8"/>
    <w:rsid w:val="00E50953"/>
    <w:rsid w:val="00E50BA6"/>
    <w:rsid w:val="00E50C95"/>
    <w:rsid w:val="00E50CB9"/>
    <w:rsid w:val="00E50D30"/>
    <w:rsid w:val="00E50D6D"/>
    <w:rsid w:val="00E51018"/>
    <w:rsid w:val="00E513E7"/>
    <w:rsid w:val="00E51415"/>
    <w:rsid w:val="00E51423"/>
    <w:rsid w:val="00E51951"/>
    <w:rsid w:val="00E51A47"/>
    <w:rsid w:val="00E51C47"/>
    <w:rsid w:val="00E51D1C"/>
    <w:rsid w:val="00E51E03"/>
    <w:rsid w:val="00E51E9D"/>
    <w:rsid w:val="00E520AF"/>
    <w:rsid w:val="00E5218A"/>
    <w:rsid w:val="00E522F3"/>
    <w:rsid w:val="00E52480"/>
    <w:rsid w:val="00E52547"/>
    <w:rsid w:val="00E52580"/>
    <w:rsid w:val="00E5278D"/>
    <w:rsid w:val="00E52959"/>
    <w:rsid w:val="00E52C00"/>
    <w:rsid w:val="00E52CDE"/>
    <w:rsid w:val="00E52DF2"/>
    <w:rsid w:val="00E52EA2"/>
    <w:rsid w:val="00E53033"/>
    <w:rsid w:val="00E5319F"/>
    <w:rsid w:val="00E531DF"/>
    <w:rsid w:val="00E53430"/>
    <w:rsid w:val="00E538AE"/>
    <w:rsid w:val="00E539FF"/>
    <w:rsid w:val="00E53CAB"/>
    <w:rsid w:val="00E53EBF"/>
    <w:rsid w:val="00E53EEC"/>
    <w:rsid w:val="00E54041"/>
    <w:rsid w:val="00E544AE"/>
    <w:rsid w:val="00E5479E"/>
    <w:rsid w:val="00E54A3D"/>
    <w:rsid w:val="00E54A80"/>
    <w:rsid w:val="00E54D36"/>
    <w:rsid w:val="00E54D3F"/>
    <w:rsid w:val="00E54D49"/>
    <w:rsid w:val="00E54DBF"/>
    <w:rsid w:val="00E5522E"/>
    <w:rsid w:val="00E552ED"/>
    <w:rsid w:val="00E553C0"/>
    <w:rsid w:val="00E55595"/>
    <w:rsid w:val="00E55632"/>
    <w:rsid w:val="00E55CF3"/>
    <w:rsid w:val="00E55E5E"/>
    <w:rsid w:val="00E55E83"/>
    <w:rsid w:val="00E56062"/>
    <w:rsid w:val="00E5619D"/>
    <w:rsid w:val="00E565DB"/>
    <w:rsid w:val="00E565DF"/>
    <w:rsid w:val="00E56796"/>
    <w:rsid w:val="00E567C2"/>
    <w:rsid w:val="00E56920"/>
    <w:rsid w:val="00E56960"/>
    <w:rsid w:val="00E56C13"/>
    <w:rsid w:val="00E56D7F"/>
    <w:rsid w:val="00E56DF0"/>
    <w:rsid w:val="00E56FDD"/>
    <w:rsid w:val="00E5727E"/>
    <w:rsid w:val="00E5732C"/>
    <w:rsid w:val="00E57622"/>
    <w:rsid w:val="00E57AAA"/>
    <w:rsid w:val="00E57BED"/>
    <w:rsid w:val="00E57C55"/>
    <w:rsid w:val="00E57D8F"/>
    <w:rsid w:val="00E57DA4"/>
    <w:rsid w:val="00E57DF6"/>
    <w:rsid w:val="00E57E59"/>
    <w:rsid w:val="00E57F45"/>
    <w:rsid w:val="00E57FE1"/>
    <w:rsid w:val="00E600AD"/>
    <w:rsid w:val="00E603D7"/>
    <w:rsid w:val="00E60453"/>
    <w:rsid w:val="00E605F8"/>
    <w:rsid w:val="00E60B6B"/>
    <w:rsid w:val="00E60B74"/>
    <w:rsid w:val="00E61261"/>
    <w:rsid w:val="00E614F5"/>
    <w:rsid w:val="00E616A0"/>
    <w:rsid w:val="00E6172A"/>
    <w:rsid w:val="00E61820"/>
    <w:rsid w:val="00E61E7F"/>
    <w:rsid w:val="00E61EAA"/>
    <w:rsid w:val="00E61F01"/>
    <w:rsid w:val="00E628C0"/>
    <w:rsid w:val="00E62A55"/>
    <w:rsid w:val="00E62A63"/>
    <w:rsid w:val="00E62B84"/>
    <w:rsid w:val="00E62CD3"/>
    <w:rsid w:val="00E62D9B"/>
    <w:rsid w:val="00E62E6D"/>
    <w:rsid w:val="00E6329B"/>
    <w:rsid w:val="00E637D9"/>
    <w:rsid w:val="00E63819"/>
    <w:rsid w:val="00E63918"/>
    <w:rsid w:val="00E639E8"/>
    <w:rsid w:val="00E63A36"/>
    <w:rsid w:val="00E63A60"/>
    <w:rsid w:val="00E63AA2"/>
    <w:rsid w:val="00E63BCB"/>
    <w:rsid w:val="00E63F80"/>
    <w:rsid w:val="00E63F8B"/>
    <w:rsid w:val="00E642B6"/>
    <w:rsid w:val="00E64551"/>
    <w:rsid w:val="00E6477B"/>
    <w:rsid w:val="00E64832"/>
    <w:rsid w:val="00E64A1F"/>
    <w:rsid w:val="00E64BF3"/>
    <w:rsid w:val="00E64EF6"/>
    <w:rsid w:val="00E65137"/>
    <w:rsid w:val="00E651C9"/>
    <w:rsid w:val="00E6537C"/>
    <w:rsid w:val="00E65733"/>
    <w:rsid w:val="00E658D2"/>
    <w:rsid w:val="00E65919"/>
    <w:rsid w:val="00E65BDD"/>
    <w:rsid w:val="00E65DA4"/>
    <w:rsid w:val="00E6618E"/>
    <w:rsid w:val="00E661F6"/>
    <w:rsid w:val="00E663BA"/>
    <w:rsid w:val="00E664A1"/>
    <w:rsid w:val="00E667E2"/>
    <w:rsid w:val="00E667E5"/>
    <w:rsid w:val="00E6699E"/>
    <w:rsid w:val="00E66B2E"/>
    <w:rsid w:val="00E66C88"/>
    <w:rsid w:val="00E67149"/>
    <w:rsid w:val="00E6714D"/>
    <w:rsid w:val="00E6738C"/>
    <w:rsid w:val="00E673B4"/>
    <w:rsid w:val="00E67463"/>
    <w:rsid w:val="00E67531"/>
    <w:rsid w:val="00E6765D"/>
    <w:rsid w:val="00E67661"/>
    <w:rsid w:val="00E677F8"/>
    <w:rsid w:val="00E679DF"/>
    <w:rsid w:val="00E67D02"/>
    <w:rsid w:val="00E67DCA"/>
    <w:rsid w:val="00E67E70"/>
    <w:rsid w:val="00E70094"/>
    <w:rsid w:val="00E70194"/>
    <w:rsid w:val="00E701B0"/>
    <w:rsid w:val="00E70220"/>
    <w:rsid w:val="00E70368"/>
    <w:rsid w:val="00E70861"/>
    <w:rsid w:val="00E70CB0"/>
    <w:rsid w:val="00E71077"/>
    <w:rsid w:val="00E71194"/>
    <w:rsid w:val="00E71360"/>
    <w:rsid w:val="00E713D8"/>
    <w:rsid w:val="00E718D8"/>
    <w:rsid w:val="00E72142"/>
    <w:rsid w:val="00E721AC"/>
    <w:rsid w:val="00E72265"/>
    <w:rsid w:val="00E722CF"/>
    <w:rsid w:val="00E722FE"/>
    <w:rsid w:val="00E724FC"/>
    <w:rsid w:val="00E72644"/>
    <w:rsid w:val="00E72660"/>
    <w:rsid w:val="00E72682"/>
    <w:rsid w:val="00E72691"/>
    <w:rsid w:val="00E7274E"/>
    <w:rsid w:val="00E72915"/>
    <w:rsid w:val="00E72964"/>
    <w:rsid w:val="00E72D0B"/>
    <w:rsid w:val="00E72FAE"/>
    <w:rsid w:val="00E73205"/>
    <w:rsid w:val="00E732D3"/>
    <w:rsid w:val="00E73638"/>
    <w:rsid w:val="00E73984"/>
    <w:rsid w:val="00E73A4D"/>
    <w:rsid w:val="00E73D66"/>
    <w:rsid w:val="00E73D72"/>
    <w:rsid w:val="00E73DA9"/>
    <w:rsid w:val="00E73E2B"/>
    <w:rsid w:val="00E73F4C"/>
    <w:rsid w:val="00E73F81"/>
    <w:rsid w:val="00E73FE5"/>
    <w:rsid w:val="00E740AB"/>
    <w:rsid w:val="00E742A9"/>
    <w:rsid w:val="00E742EC"/>
    <w:rsid w:val="00E7431A"/>
    <w:rsid w:val="00E745C4"/>
    <w:rsid w:val="00E74AF2"/>
    <w:rsid w:val="00E74B21"/>
    <w:rsid w:val="00E74B7A"/>
    <w:rsid w:val="00E74BDA"/>
    <w:rsid w:val="00E74BFB"/>
    <w:rsid w:val="00E74DBA"/>
    <w:rsid w:val="00E74E7C"/>
    <w:rsid w:val="00E74EAF"/>
    <w:rsid w:val="00E750BB"/>
    <w:rsid w:val="00E7534F"/>
    <w:rsid w:val="00E756B6"/>
    <w:rsid w:val="00E756BB"/>
    <w:rsid w:val="00E7572D"/>
    <w:rsid w:val="00E757DE"/>
    <w:rsid w:val="00E75A3C"/>
    <w:rsid w:val="00E75B49"/>
    <w:rsid w:val="00E75EE1"/>
    <w:rsid w:val="00E76039"/>
    <w:rsid w:val="00E760C4"/>
    <w:rsid w:val="00E7613E"/>
    <w:rsid w:val="00E76654"/>
    <w:rsid w:val="00E766D8"/>
    <w:rsid w:val="00E767B0"/>
    <w:rsid w:val="00E767FA"/>
    <w:rsid w:val="00E76A18"/>
    <w:rsid w:val="00E76B06"/>
    <w:rsid w:val="00E76B4E"/>
    <w:rsid w:val="00E76B7C"/>
    <w:rsid w:val="00E76F05"/>
    <w:rsid w:val="00E76F80"/>
    <w:rsid w:val="00E770B8"/>
    <w:rsid w:val="00E772A6"/>
    <w:rsid w:val="00E77315"/>
    <w:rsid w:val="00E77391"/>
    <w:rsid w:val="00E779AC"/>
    <w:rsid w:val="00E77AE7"/>
    <w:rsid w:val="00E77AEF"/>
    <w:rsid w:val="00E77B7C"/>
    <w:rsid w:val="00E77C70"/>
    <w:rsid w:val="00E77CB0"/>
    <w:rsid w:val="00E77DA9"/>
    <w:rsid w:val="00E77F37"/>
    <w:rsid w:val="00E8001D"/>
    <w:rsid w:val="00E8011A"/>
    <w:rsid w:val="00E8013E"/>
    <w:rsid w:val="00E802A3"/>
    <w:rsid w:val="00E80367"/>
    <w:rsid w:val="00E80404"/>
    <w:rsid w:val="00E80426"/>
    <w:rsid w:val="00E805F7"/>
    <w:rsid w:val="00E80613"/>
    <w:rsid w:val="00E80792"/>
    <w:rsid w:val="00E808FB"/>
    <w:rsid w:val="00E8095D"/>
    <w:rsid w:val="00E80BBF"/>
    <w:rsid w:val="00E80F46"/>
    <w:rsid w:val="00E81073"/>
    <w:rsid w:val="00E81156"/>
    <w:rsid w:val="00E8150D"/>
    <w:rsid w:val="00E8151A"/>
    <w:rsid w:val="00E8174E"/>
    <w:rsid w:val="00E8176F"/>
    <w:rsid w:val="00E819B1"/>
    <w:rsid w:val="00E81BC3"/>
    <w:rsid w:val="00E81CC0"/>
    <w:rsid w:val="00E81E54"/>
    <w:rsid w:val="00E81EF1"/>
    <w:rsid w:val="00E8204D"/>
    <w:rsid w:val="00E82060"/>
    <w:rsid w:val="00E821C6"/>
    <w:rsid w:val="00E824E5"/>
    <w:rsid w:val="00E8262E"/>
    <w:rsid w:val="00E8295C"/>
    <w:rsid w:val="00E82AC7"/>
    <w:rsid w:val="00E82ADA"/>
    <w:rsid w:val="00E82ECD"/>
    <w:rsid w:val="00E82ED9"/>
    <w:rsid w:val="00E830D9"/>
    <w:rsid w:val="00E830F5"/>
    <w:rsid w:val="00E831C5"/>
    <w:rsid w:val="00E8320E"/>
    <w:rsid w:val="00E83241"/>
    <w:rsid w:val="00E832EC"/>
    <w:rsid w:val="00E83432"/>
    <w:rsid w:val="00E83469"/>
    <w:rsid w:val="00E834FC"/>
    <w:rsid w:val="00E836BF"/>
    <w:rsid w:val="00E83A13"/>
    <w:rsid w:val="00E83C17"/>
    <w:rsid w:val="00E83C6F"/>
    <w:rsid w:val="00E83E1F"/>
    <w:rsid w:val="00E83FAE"/>
    <w:rsid w:val="00E840E7"/>
    <w:rsid w:val="00E840F1"/>
    <w:rsid w:val="00E842EC"/>
    <w:rsid w:val="00E84343"/>
    <w:rsid w:val="00E8441F"/>
    <w:rsid w:val="00E847FD"/>
    <w:rsid w:val="00E84D23"/>
    <w:rsid w:val="00E84F26"/>
    <w:rsid w:val="00E84F5D"/>
    <w:rsid w:val="00E84FB7"/>
    <w:rsid w:val="00E85114"/>
    <w:rsid w:val="00E8522C"/>
    <w:rsid w:val="00E85270"/>
    <w:rsid w:val="00E854C9"/>
    <w:rsid w:val="00E854DA"/>
    <w:rsid w:val="00E85519"/>
    <w:rsid w:val="00E85560"/>
    <w:rsid w:val="00E85861"/>
    <w:rsid w:val="00E85907"/>
    <w:rsid w:val="00E8595A"/>
    <w:rsid w:val="00E859E7"/>
    <w:rsid w:val="00E85B07"/>
    <w:rsid w:val="00E85BBB"/>
    <w:rsid w:val="00E85C0A"/>
    <w:rsid w:val="00E85D5B"/>
    <w:rsid w:val="00E85D75"/>
    <w:rsid w:val="00E85DAB"/>
    <w:rsid w:val="00E85ECA"/>
    <w:rsid w:val="00E86098"/>
    <w:rsid w:val="00E8613B"/>
    <w:rsid w:val="00E86207"/>
    <w:rsid w:val="00E8628D"/>
    <w:rsid w:val="00E863A0"/>
    <w:rsid w:val="00E865FD"/>
    <w:rsid w:val="00E866CF"/>
    <w:rsid w:val="00E86966"/>
    <w:rsid w:val="00E86A90"/>
    <w:rsid w:val="00E86BF8"/>
    <w:rsid w:val="00E86C0E"/>
    <w:rsid w:val="00E86E65"/>
    <w:rsid w:val="00E86EC3"/>
    <w:rsid w:val="00E87001"/>
    <w:rsid w:val="00E8722C"/>
    <w:rsid w:val="00E8734F"/>
    <w:rsid w:val="00E87422"/>
    <w:rsid w:val="00E8766B"/>
    <w:rsid w:val="00E87891"/>
    <w:rsid w:val="00E87A10"/>
    <w:rsid w:val="00E87BCB"/>
    <w:rsid w:val="00E87BFC"/>
    <w:rsid w:val="00E87C13"/>
    <w:rsid w:val="00E87C9B"/>
    <w:rsid w:val="00E87EB4"/>
    <w:rsid w:val="00E8ECCC"/>
    <w:rsid w:val="00E90154"/>
    <w:rsid w:val="00E90185"/>
    <w:rsid w:val="00E90634"/>
    <w:rsid w:val="00E90699"/>
    <w:rsid w:val="00E909BC"/>
    <w:rsid w:val="00E90AC7"/>
    <w:rsid w:val="00E90D69"/>
    <w:rsid w:val="00E90EBF"/>
    <w:rsid w:val="00E90F3B"/>
    <w:rsid w:val="00E90FD0"/>
    <w:rsid w:val="00E9126D"/>
    <w:rsid w:val="00E91337"/>
    <w:rsid w:val="00E913B6"/>
    <w:rsid w:val="00E9154B"/>
    <w:rsid w:val="00E91858"/>
    <w:rsid w:val="00E91A77"/>
    <w:rsid w:val="00E91C34"/>
    <w:rsid w:val="00E91D4B"/>
    <w:rsid w:val="00E91E70"/>
    <w:rsid w:val="00E91F82"/>
    <w:rsid w:val="00E91FCC"/>
    <w:rsid w:val="00E920C9"/>
    <w:rsid w:val="00E9227B"/>
    <w:rsid w:val="00E92282"/>
    <w:rsid w:val="00E92519"/>
    <w:rsid w:val="00E92523"/>
    <w:rsid w:val="00E92578"/>
    <w:rsid w:val="00E9286A"/>
    <w:rsid w:val="00E92A7D"/>
    <w:rsid w:val="00E93170"/>
    <w:rsid w:val="00E931B0"/>
    <w:rsid w:val="00E9323F"/>
    <w:rsid w:val="00E93462"/>
    <w:rsid w:val="00E93816"/>
    <w:rsid w:val="00E93989"/>
    <w:rsid w:val="00E93CA6"/>
    <w:rsid w:val="00E93DA7"/>
    <w:rsid w:val="00E93E17"/>
    <w:rsid w:val="00E94124"/>
    <w:rsid w:val="00E941A1"/>
    <w:rsid w:val="00E94279"/>
    <w:rsid w:val="00E942E0"/>
    <w:rsid w:val="00E944F3"/>
    <w:rsid w:val="00E946D1"/>
    <w:rsid w:val="00E94F05"/>
    <w:rsid w:val="00E95090"/>
    <w:rsid w:val="00E9509C"/>
    <w:rsid w:val="00E950B9"/>
    <w:rsid w:val="00E95111"/>
    <w:rsid w:val="00E95315"/>
    <w:rsid w:val="00E95393"/>
    <w:rsid w:val="00E95581"/>
    <w:rsid w:val="00E955FD"/>
    <w:rsid w:val="00E95771"/>
    <w:rsid w:val="00E959A8"/>
    <w:rsid w:val="00E95B75"/>
    <w:rsid w:val="00E95C57"/>
    <w:rsid w:val="00E95C7B"/>
    <w:rsid w:val="00E95E72"/>
    <w:rsid w:val="00E95EA3"/>
    <w:rsid w:val="00E95FBC"/>
    <w:rsid w:val="00E96015"/>
    <w:rsid w:val="00E960F9"/>
    <w:rsid w:val="00E961F0"/>
    <w:rsid w:val="00E96302"/>
    <w:rsid w:val="00E9636B"/>
    <w:rsid w:val="00E963DB"/>
    <w:rsid w:val="00E9648B"/>
    <w:rsid w:val="00E96544"/>
    <w:rsid w:val="00E96801"/>
    <w:rsid w:val="00E96A06"/>
    <w:rsid w:val="00E973E7"/>
    <w:rsid w:val="00E9762A"/>
    <w:rsid w:val="00E976AA"/>
    <w:rsid w:val="00E976BE"/>
    <w:rsid w:val="00E9797D"/>
    <w:rsid w:val="00E97AC2"/>
    <w:rsid w:val="00E97C21"/>
    <w:rsid w:val="00E97EF3"/>
    <w:rsid w:val="00E97F1A"/>
    <w:rsid w:val="00E97F2A"/>
    <w:rsid w:val="00E97FAD"/>
    <w:rsid w:val="00E97FCD"/>
    <w:rsid w:val="00EA027E"/>
    <w:rsid w:val="00EA02F2"/>
    <w:rsid w:val="00EA05CE"/>
    <w:rsid w:val="00EA089D"/>
    <w:rsid w:val="00EA09B2"/>
    <w:rsid w:val="00EA0B5E"/>
    <w:rsid w:val="00EA0E2E"/>
    <w:rsid w:val="00EA0E95"/>
    <w:rsid w:val="00EA0EDF"/>
    <w:rsid w:val="00EA1073"/>
    <w:rsid w:val="00EA1427"/>
    <w:rsid w:val="00EA1572"/>
    <w:rsid w:val="00EA15A5"/>
    <w:rsid w:val="00EA16F3"/>
    <w:rsid w:val="00EA18C1"/>
    <w:rsid w:val="00EA199E"/>
    <w:rsid w:val="00EA1AFD"/>
    <w:rsid w:val="00EA1BCE"/>
    <w:rsid w:val="00EA2101"/>
    <w:rsid w:val="00EA2133"/>
    <w:rsid w:val="00EA213D"/>
    <w:rsid w:val="00EA2289"/>
    <w:rsid w:val="00EA230C"/>
    <w:rsid w:val="00EA248C"/>
    <w:rsid w:val="00EA24CF"/>
    <w:rsid w:val="00EA24E1"/>
    <w:rsid w:val="00EA289F"/>
    <w:rsid w:val="00EA2B29"/>
    <w:rsid w:val="00EA2B86"/>
    <w:rsid w:val="00EA2C09"/>
    <w:rsid w:val="00EA2C2C"/>
    <w:rsid w:val="00EA2C48"/>
    <w:rsid w:val="00EA2FAB"/>
    <w:rsid w:val="00EA3063"/>
    <w:rsid w:val="00EA3091"/>
    <w:rsid w:val="00EA31CC"/>
    <w:rsid w:val="00EA337F"/>
    <w:rsid w:val="00EA33B7"/>
    <w:rsid w:val="00EA33E4"/>
    <w:rsid w:val="00EA3936"/>
    <w:rsid w:val="00EA39B0"/>
    <w:rsid w:val="00EA3F0A"/>
    <w:rsid w:val="00EA40C0"/>
    <w:rsid w:val="00EA4462"/>
    <w:rsid w:val="00EA4509"/>
    <w:rsid w:val="00EA463F"/>
    <w:rsid w:val="00EA4669"/>
    <w:rsid w:val="00EA4737"/>
    <w:rsid w:val="00EA473E"/>
    <w:rsid w:val="00EA4ADF"/>
    <w:rsid w:val="00EA4B0D"/>
    <w:rsid w:val="00EA4D4F"/>
    <w:rsid w:val="00EA51CB"/>
    <w:rsid w:val="00EA54CF"/>
    <w:rsid w:val="00EA5622"/>
    <w:rsid w:val="00EA56E1"/>
    <w:rsid w:val="00EA5BE1"/>
    <w:rsid w:val="00EA5C55"/>
    <w:rsid w:val="00EA5F5D"/>
    <w:rsid w:val="00EA61F7"/>
    <w:rsid w:val="00EA632F"/>
    <w:rsid w:val="00EA646D"/>
    <w:rsid w:val="00EA668F"/>
    <w:rsid w:val="00EA6772"/>
    <w:rsid w:val="00EA6985"/>
    <w:rsid w:val="00EA6C63"/>
    <w:rsid w:val="00EA6D8A"/>
    <w:rsid w:val="00EA7052"/>
    <w:rsid w:val="00EA71A1"/>
    <w:rsid w:val="00EA71BC"/>
    <w:rsid w:val="00EA7212"/>
    <w:rsid w:val="00EA737E"/>
    <w:rsid w:val="00EA74CE"/>
    <w:rsid w:val="00EA75F8"/>
    <w:rsid w:val="00EA7866"/>
    <w:rsid w:val="00EA79DA"/>
    <w:rsid w:val="00EA7DD8"/>
    <w:rsid w:val="00EA7ED2"/>
    <w:rsid w:val="00EA7FBC"/>
    <w:rsid w:val="00EAE690"/>
    <w:rsid w:val="00EB0066"/>
    <w:rsid w:val="00EB016D"/>
    <w:rsid w:val="00EB038B"/>
    <w:rsid w:val="00EB0661"/>
    <w:rsid w:val="00EB0842"/>
    <w:rsid w:val="00EB0933"/>
    <w:rsid w:val="00EB0A0D"/>
    <w:rsid w:val="00EB0C28"/>
    <w:rsid w:val="00EB136D"/>
    <w:rsid w:val="00EB1587"/>
    <w:rsid w:val="00EB15FE"/>
    <w:rsid w:val="00EB1B3D"/>
    <w:rsid w:val="00EB1BE8"/>
    <w:rsid w:val="00EB1D73"/>
    <w:rsid w:val="00EB1D83"/>
    <w:rsid w:val="00EB22F5"/>
    <w:rsid w:val="00EB2536"/>
    <w:rsid w:val="00EB268B"/>
    <w:rsid w:val="00EB2804"/>
    <w:rsid w:val="00EB29F0"/>
    <w:rsid w:val="00EB2D00"/>
    <w:rsid w:val="00EB2E65"/>
    <w:rsid w:val="00EB2F31"/>
    <w:rsid w:val="00EB3067"/>
    <w:rsid w:val="00EB3187"/>
    <w:rsid w:val="00EB341F"/>
    <w:rsid w:val="00EB3477"/>
    <w:rsid w:val="00EB3751"/>
    <w:rsid w:val="00EB3753"/>
    <w:rsid w:val="00EB3789"/>
    <w:rsid w:val="00EB37E7"/>
    <w:rsid w:val="00EB39A9"/>
    <w:rsid w:val="00EB3A50"/>
    <w:rsid w:val="00EB3AA3"/>
    <w:rsid w:val="00EB3C09"/>
    <w:rsid w:val="00EB3E73"/>
    <w:rsid w:val="00EB3F94"/>
    <w:rsid w:val="00EB402B"/>
    <w:rsid w:val="00EB4187"/>
    <w:rsid w:val="00EB41D8"/>
    <w:rsid w:val="00EB4236"/>
    <w:rsid w:val="00EB4294"/>
    <w:rsid w:val="00EB42AE"/>
    <w:rsid w:val="00EB42B6"/>
    <w:rsid w:val="00EB45F9"/>
    <w:rsid w:val="00EB4707"/>
    <w:rsid w:val="00EB4846"/>
    <w:rsid w:val="00EB4AAF"/>
    <w:rsid w:val="00EB4B00"/>
    <w:rsid w:val="00EB4DD0"/>
    <w:rsid w:val="00EB4E25"/>
    <w:rsid w:val="00EB4E58"/>
    <w:rsid w:val="00EB503C"/>
    <w:rsid w:val="00EB507D"/>
    <w:rsid w:val="00EB5186"/>
    <w:rsid w:val="00EB5447"/>
    <w:rsid w:val="00EB562B"/>
    <w:rsid w:val="00EB562F"/>
    <w:rsid w:val="00EB57CE"/>
    <w:rsid w:val="00EB5986"/>
    <w:rsid w:val="00EB5AC0"/>
    <w:rsid w:val="00EB5AFD"/>
    <w:rsid w:val="00EB5C3B"/>
    <w:rsid w:val="00EB5CD2"/>
    <w:rsid w:val="00EB5DD7"/>
    <w:rsid w:val="00EB5F78"/>
    <w:rsid w:val="00EB6048"/>
    <w:rsid w:val="00EB62DD"/>
    <w:rsid w:val="00EB632D"/>
    <w:rsid w:val="00EB652A"/>
    <w:rsid w:val="00EB656C"/>
    <w:rsid w:val="00EB65DA"/>
    <w:rsid w:val="00EB6679"/>
    <w:rsid w:val="00EB66B6"/>
    <w:rsid w:val="00EB6819"/>
    <w:rsid w:val="00EB6830"/>
    <w:rsid w:val="00EB684C"/>
    <w:rsid w:val="00EB6865"/>
    <w:rsid w:val="00EB68CB"/>
    <w:rsid w:val="00EB6AD4"/>
    <w:rsid w:val="00EB6BD2"/>
    <w:rsid w:val="00EB6C22"/>
    <w:rsid w:val="00EB6DD6"/>
    <w:rsid w:val="00EB6E49"/>
    <w:rsid w:val="00EB6F6B"/>
    <w:rsid w:val="00EB7098"/>
    <w:rsid w:val="00EB7143"/>
    <w:rsid w:val="00EB71FF"/>
    <w:rsid w:val="00EB73AA"/>
    <w:rsid w:val="00EB7416"/>
    <w:rsid w:val="00EB7418"/>
    <w:rsid w:val="00EB74D9"/>
    <w:rsid w:val="00EB7700"/>
    <w:rsid w:val="00EB7AA1"/>
    <w:rsid w:val="00EB7CCE"/>
    <w:rsid w:val="00EB7CE4"/>
    <w:rsid w:val="00EB7D3B"/>
    <w:rsid w:val="00EB7E35"/>
    <w:rsid w:val="00EB7EC1"/>
    <w:rsid w:val="00EC0576"/>
    <w:rsid w:val="00EC0750"/>
    <w:rsid w:val="00EC0871"/>
    <w:rsid w:val="00EC096B"/>
    <w:rsid w:val="00EC0B3F"/>
    <w:rsid w:val="00EC117F"/>
    <w:rsid w:val="00EC12B0"/>
    <w:rsid w:val="00EC13DD"/>
    <w:rsid w:val="00EC156E"/>
    <w:rsid w:val="00EC16E6"/>
    <w:rsid w:val="00EC1735"/>
    <w:rsid w:val="00EC192A"/>
    <w:rsid w:val="00EC19FE"/>
    <w:rsid w:val="00EC1CCB"/>
    <w:rsid w:val="00EC2006"/>
    <w:rsid w:val="00EC211B"/>
    <w:rsid w:val="00EC222C"/>
    <w:rsid w:val="00EC227F"/>
    <w:rsid w:val="00EC252A"/>
    <w:rsid w:val="00EC2615"/>
    <w:rsid w:val="00EC26BE"/>
    <w:rsid w:val="00EC271E"/>
    <w:rsid w:val="00EC28A8"/>
    <w:rsid w:val="00EC28E5"/>
    <w:rsid w:val="00EC28F3"/>
    <w:rsid w:val="00EC29D5"/>
    <w:rsid w:val="00EC2CA5"/>
    <w:rsid w:val="00EC2CF4"/>
    <w:rsid w:val="00EC2D6C"/>
    <w:rsid w:val="00EC2DED"/>
    <w:rsid w:val="00EC3074"/>
    <w:rsid w:val="00EC30CD"/>
    <w:rsid w:val="00EC30FD"/>
    <w:rsid w:val="00EC3318"/>
    <w:rsid w:val="00EC3759"/>
    <w:rsid w:val="00EC37AE"/>
    <w:rsid w:val="00EC3A1A"/>
    <w:rsid w:val="00EC3CF4"/>
    <w:rsid w:val="00EC3D8A"/>
    <w:rsid w:val="00EC3E7A"/>
    <w:rsid w:val="00EC3EAD"/>
    <w:rsid w:val="00EC4037"/>
    <w:rsid w:val="00EC433A"/>
    <w:rsid w:val="00EC4449"/>
    <w:rsid w:val="00EC4A64"/>
    <w:rsid w:val="00EC4B32"/>
    <w:rsid w:val="00EC4BA9"/>
    <w:rsid w:val="00EC4C86"/>
    <w:rsid w:val="00EC4E78"/>
    <w:rsid w:val="00EC4FEE"/>
    <w:rsid w:val="00EC4FF6"/>
    <w:rsid w:val="00EC51C0"/>
    <w:rsid w:val="00EC531C"/>
    <w:rsid w:val="00EC558D"/>
    <w:rsid w:val="00EC55EA"/>
    <w:rsid w:val="00EC573D"/>
    <w:rsid w:val="00EC5AB5"/>
    <w:rsid w:val="00EC5CB9"/>
    <w:rsid w:val="00EC5F3B"/>
    <w:rsid w:val="00EC6392"/>
    <w:rsid w:val="00EC6714"/>
    <w:rsid w:val="00EC6853"/>
    <w:rsid w:val="00EC68FC"/>
    <w:rsid w:val="00EC6EEE"/>
    <w:rsid w:val="00EC6F9D"/>
    <w:rsid w:val="00EC70D2"/>
    <w:rsid w:val="00EC71AB"/>
    <w:rsid w:val="00EC727E"/>
    <w:rsid w:val="00EC7468"/>
    <w:rsid w:val="00EC7473"/>
    <w:rsid w:val="00EC754A"/>
    <w:rsid w:val="00EC77BB"/>
    <w:rsid w:val="00EC78B7"/>
    <w:rsid w:val="00EC78DF"/>
    <w:rsid w:val="00EC7900"/>
    <w:rsid w:val="00EC794B"/>
    <w:rsid w:val="00EC7978"/>
    <w:rsid w:val="00EC7AFB"/>
    <w:rsid w:val="00EC7C0D"/>
    <w:rsid w:val="00EC7E06"/>
    <w:rsid w:val="00EC7E3C"/>
    <w:rsid w:val="00EC7E77"/>
    <w:rsid w:val="00EC7EC2"/>
    <w:rsid w:val="00EC7FAD"/>
    <w:rsid w:val="00ED07BF"/>
    <w:rsid w:val="00ED0928"/>
    <w:rsid w:val="00ED0D55"/>
    <w:rsid w:val="00ED0EBF"/>
    <w:rsid w:val="00ED127C"/>
    <w:rsid w:val="00ED130D"/>
    <w:rsid w:val="00ED164C"/>
    <w:rsid w:val="00ED1B1C"/>
    <w:rsid w:val="00ED1B5F"/>
    <w:rsid w:val="00ED1C06"/>
    <w:rsid w:val="00ED1C7F"/>
    <w:rsid w:val="00ED1D7D"/>
    <w:rsid w:val="00ED1E9D"/>
    <w:rsid w:val="00ED2035"/>
    <w:rsid w:val="00ED20C8"/>
    <w:rsid w:val="00ED22F0"/>
    <w:rsid w:val="00ED23AD"/>
    <w:rsid w:val="00ED252C"/>
    <w:rsid w:val="00ED26D2"/>
    <w:rsid w:val="00ED279D"/>
    <w:rsid w:val="00ED291F"/>
    <w:rsid w:val="00ED292D"/>
    <w:rsid w:val="00ED2CD0"/>
    <w:rsid w:val="00ED2F32"/>
    <w:rsid w:val="00ED2F66"/>
    <w:rsid w:val="00ED354A"/>
    <w:rsid w:val="00ED3634"/>
    <w:rsid w:val="00ED3767"/>
    <w:rsid w:val="00ED381B"/>
    <w:rsid w:val="00ED38D6"/>
    <w:rsid w:val="00ED38E3"/>
    <w:rsid w:val="00ED3F93"/>
    <w:rsid w:val="00ED40D0"/>
    <w:rsid w:val="00ED40DB"/>
    <w:rsid w:val="00ED4457"/>
    <w:rsid w:val="00ED445C"/>
    <w:rsid w:val="00ED4477"/>
    <w:rsid w:val="00ED4508"/>
    <w:rsid w:val="00ED4510"/>
    <w:rsid w:val="00ED481A"/>
    <w:rsid w:val="00ED4835"/>
    <w:rsid w:val="00ED4B43"/>
    <w:rsid w:val="00ED4C5A"/>
    <w:rsid w:val="00ED4D30"/>
    <w:rsid w:val="00ED4D8D"/>
    <w:rsid w:val="00ED4D95"/>
    <w:rsid w:val="00ED4F3A"/>
    <w:rsid w:val="00ED5399"/>
    <w:rsid w:val="00ED5452"/>
    <w:rsid w:val="00ED55A8"/>
    <w:rsid w:val="00ED561D"/>
    <w:rsid w:val="00ED564A"/>
    <w:rsid w:val="00ED5916"/>
    <w:rsid w:val="00ED5943"/>
    <w:rsid w:val="00ED5BF3"/>
    <w:rsid w:val="00ED5C83"/>
    <w:rsid w:val="00ED5D65"/>
    <w:rsid w:val="00ED5EE5"/>
    <w:rsid w:val="00ED620A"/>
    <w:rsid w:val="00ED6283"/>
    <w:rsid w:val="00ED6427"/>
    <w:rsid w:val="00ED6600"/>
    <w:rsid w:val="00ED67D8"/>
    <w:rsid w:val="00ED69CE"/>
    <w:rsid w:val="00ED6A1C"/>
    <w:rsid w:val="00ED6B44"/>
    <w:rsid w:val="00ED6BC9"/>
    <w:rsid w:val="00ED6D42"/>
    <w:rsid w:val="00ED6ED4"/>
    <w:rsid w:val="00ED6EE8"/>
    <w:rsid w:val="00ED6F10"/>
    <w:rsid w:val="00ED6F6D"/>
    <w:rsid w:val="00ED7014"/>
    <w:rsid w:val="00ED7295"/>
    <w:rsid w:val="00ED72EA"/>
    <w:rsid w:val="00ED7407"/>
    <w:rsid w:val="00ED74F7"/>
    <w:rsid w:val="00ED75C9"/>
    <w:rsid w:val="00ED763A"/>
    <w:rsid w:val="00ED797D"/>
    <w:rsid w:val="00ED79C1"/>
    <w:rsid w:val="00ED7A4D"/>
    <w:rsid w:val="00ED7A89"/>
    <w:rsid w:val="00ED7B58"/>
    <w:rsid w:val="00ED7C00"/>
    <w:rsid w:val="00ED7D56"/>
    <w:rsid w:val="00ED7F4D"/>
    <w:rsid w:val="00ED7F57"/>
    <w:rsid w:val="00EDC718"/>
    <w:rsid w:val="00EE0109"/>
    <w:rsid w:val="00EE01C6"/>
    <w:rsid w:val="00EE022C"/>
    <w:rsid w:val="00EE0428"/>
    <w:rsid w:val="00EE042E"/>
    <w:rsid w:val="00EE04A3"/>
    <w:rsid w:val="00EE057A"/>
    <w:rsid w:val="00EE0585"/>
    <w:rsid w:val="00EE0A5D"/>
    <w:rsid w:val="00EE0A97"/>
    <w:rsid w:val="00EE0BA5"/>
    <w:rsid w:val="00EE0F3E"/>
    <w:rsid w:val="00EE0FA5"/>
    <w:rsid w:val="00EE0FD5"/>
    <w:rsid w:val="00EE116D"/>
    <w:rsid w:val="00EE155F"/>
    <w:rsid w:val="00EE1832"/>
    <w:rsid w:val="00EE198F"/>
    <w:rsid w:val="00EE1C47"/>
    <w:rsid w:val="00EE1C98"/>
    <w:rsid w:val="00EE1F4C"/>
    <w:rsid w:val="00EE1FFC"/>
    <w:rsid w:val="00EE211E"/>
    <w:rsid w:val="00EE243C"/>
    <w:rsid w:val="00EE2790"/>
    <w:rsid w:val="00EE2964"/>
    <w:rsid w:val="00EE2A40"/>
    <w:rsid w:val="00EE2BC2"/>
    <w:rsid w:val="00EE2D39"/>
    <w:rsid w:val="00EE3114"/>
    <w:rsid w:val="00EE3179"/>
    <w:rsid w:val="00EE31A8"/>
    <w:rsid w:val="00EE327E"/>
    <w:rsid w:val="00EE3297"/>
    <w:rsid w:val="00EE3A57"/>
    <w:rsid w:val="00EE3D73"/>
    <w:rsid w:val="00EE3EB5"/>
    <w:rsid w:val="00EE3F6E"/>
    <w:rsid w:val="00EE3F89"/>
    <w:rsid w:val="00EE4097"/>
    <w:rsid w:val="00EE419A"/>
    <w:rsid w:val="00EE41DD"/>
    <w:rsid w:val="00EE42B6"/>
    <w:rsid w:val="00EE4362"/>
    <w:rsid w:val="00EE4423"/>
    <w:rsid w:val="00EE45F4"/>
    <w:rsid w:val="00EE466C"/>
    <w:rsid w:val="00EE471B"/>
    <w:rsid w:val="00EE4A07"/>
    <w:rsid w:val="00EE503F"/>
    <w:rsid w:val="00EE5225"/>
    <w:rsid w:val="00EE5962"/>
    <w:rsid w:val="00EE59C6"/>
    <w:rsid w:val="00EE5A46"/>
    <w:rsid w:val="00EE5AE4"/>
    <w:rsid w:val="00EE5C8E"/>
    <w:rsid w:val="00EE5DD6"/>
    <w:rsid w:val="00EE5E5B"/>
    <w:rsid w:val="00EE6211"/>
    <w:rsid w:val="00EE6294"/>
    <w:rsid w:val="00EE650E"/>
    <w:rsid w:val="00EE651C"/>
    <w:rsid w:val="00EE666C"/>
    <w:rsid w:val="00EE66A5"/>
    <w:rsid w:val="00EE672E"/>
    <w:rsid w:val="00EE6791"/>
    <w:rsid w:val="00EE67B5"/>
    <w:rsid w:val="00EE6A6E"/>
    <w:rsid w:val="00EE6AB0"/>
    <w:rsid w:val="00EE6E55"/>
    <w:rsid w:val="00EE717D"/>
    <w:rsid w:val="00EE728B"/>
    <w:rsid w:val="00EE7440"/>
    <w:rsid w:val="00EE74DE"/>
    <w:rsid w:val="00EE793E"/>
    <w:rsid w:val="00EE7C66"/>
    <w:rsid w:val="00EE7D57"/>
    <w:rsid w:val="00EF0196"/>
    <w:rsid w:val="00EF045F"/>
    <w:rsid w:val="00EF0721"/>
    <w:rsid w:val="00EF0A0E"/>
    <w:rsid w:val="00EF0B37"/>
    <w:rsid w:val="00EF0C4B"/>
    <w:rsid w:val="00EF0E84"/>
    <w:rsid w:val="00EF0FB3"/>
    <w:rsid w:val="00EF10A6"/>
    <w:rsid w:val="00EF10F8"/>
    <w:rsid w:val="00EF119C"/>
    <w:rsid w:val="00EF11AF"/>
    <w:rsid w:val="00EF12E4"/>
    <w:rsid w:val="00EF13A4"/>
    <w:rsid w:val="00EF14BC"/>
    <w:rsid w:val="00EF18BF"/>
    <w:rsid w:val="00EF1D14"/>
    <w:rsid w:val="00EF1E21"/>
    <w:rsid w:val="00EF1F29"/>
    <w:rsid w:val="00EF2061"/>
    <w:rsid w:val="00EF2114"/>
    <w:rsid w:val="00EF2141"/>
    <w:rsid w:val="00EF223B"/>
    <w:rsid w:val="00EF2645"/>
    <w:rsid w:val="00EF27E9"/>
    <w:rsid w:val="00EF2A99"/>
    <w:rsid w:val="00EF2BCE"/>
    <w:rsid w:val="00EF2D8C"/>
    <w:rsid w:val="00EF2DCB"/>
    <w:rsid w:val="00EF2E1D"/>
    <w:rsid w:val="00EF304A"/>
    <w:rsid w:val="00EF32F0"/>
    <w:rsid w:val="00EF33C6"/>
    <w:rsid w:val="00EF3492"/>
    <w:rsid w:val="00EF370C"/>
    <w:rsid w:val="00EF38FA"/>
    <w:rsid w:val="00EF3AF4"/>
    <w:rsid w:val="00EF3B56"/>
    <w:rsid w:val="00EF3BE4"/>
    <w:rsid w:val="00EF3C5C"/>
    <w:rsid w:val="00EF3F64"/>
    <w:rsid w:val="00EF3FB9"/>
    <w:rsid w:val="00EF4266"/>
    <w:rsid w:val="00EF4617"/>
    <w:rsid w:val="00EF4713"/>
    <w:rsid w:val="00EF47D1"/>
    <w:rsid w:val="00EF49C4"/>
    <w:rsid w:val="00EF4AC3"/>
    <w:rsid w:val="00EF4B46"/>
    <w:rsid w:val="00EF4C3E"/>
    <w:rsid w:val="00EF4CD3"/>
    <w:rsid w:val="00EF4D82"/>
    <w:rsid w:val="00EF4DAC"/>
    <w:rsid w:val="00EF4E4E"/>
    <w:rsid w:val="00EF4E6E"/>
    <w:rsid w:val="00EF5174"/>
    <w:rsid w:val="00EF536C"/>
    <w:rsid w:val="00EF54B7"/>
    <w:rsid w:val="00EF54E3"/>
    <w:rsid w:val="00EF553A"/>
    <w:rsid w:val="00EF55EB"/>
    <w:rsid w:val="00EF56E2"/>
    <w:rsid w:val="00EF57A2"/>
    <w:rsid w:val="00EF5ADD"/>
    <w:rsid w:val="00EF5B59"/>
    <w:rsid w:val="00EF5B6C"/>
    <w:rsid w:val="00EF5CE4"/>
    <w:rsid w:val="00EF5D24"/>
    <w:rsid w:val="00EF6243"/>
    <w:rsid w:val="00EF627C"/>
    <w:rsid w:val="00EF62B0"/>
    <w:rsid w:val="00EF64B0"/>
    <w:rsid w:val="00EF682A"/>
    <w:rsid w:val="00EF6906"/>
    <w:rsid w:val="00EF6922"/>
    <w:rsid w:val="00EF6B5C"/>
    <w:rsid w:val="00EF6DB9"/>
    <w:rsid w:val="00EF6EC9"/>
    <w:rsid w:val="00EF6EE5"/>
    <w:rsid w:val="00EF6F03"/>
    <w:rsid w:val="00EF71B6"/>
    <w:rsid w:val="00EF74E7"/>
    <w:rsid w:val="00EF7B28"/>
    <w:rsid w:val="00EF7CFC"/>
    <w:rsid w:val="00EF7DDE"/>
    <w:rsid w:val="00EF7E8C"/>
    <w:rsid w:val="00F00019"/>
    <w:rsid w:val="00F0017B"/>
    <w:rsid w:val="00F004EB"/>
    <w:rsid w:val="00F007E4"/>
    <w:rsid w:val="00F00896"/>
    <w:rsid w:val="00F008D2"/>
    <w:rsid w:val="00F008DA"/>
    <w:rsid w:val="00F00930"/>
    <w:rsid w:val="00F00A89"/>
    <w:rsid w:val="00F00C73"/>
    <w:rsid w:val="00F00C86"/>
    <w:rsid w:val="00F00E55"/>
    <w:rsid w:val="00F00E83"/>
    <w:rsid w:val="00F01024"/>
    <w:rsid w:val="00F010F9"/>
    <w:rsid w:val="00F014EC"/>
    <w:rsid w:val="00F01512"/>
    <w:rsid w:val="00F01521"/>
    <w:rsid w:val="00F015FE"/>
    <w:rsid w:val="00F01693"/>
    <w:rsid w:val="00F016CC"/>
    <w:rsid w:val="00F0170F"/>
    <w:rsid w:val="00F01906"/>
    <w:rsid w:val="00F0191C"/>
    <w:rsid w:val="00F01928"/>
    <w:rsid w:val="00F019C7"/>
    <w:rsid w:val="00F01B0C"/>
    <w:rsid w:val="00F01B90"/>
    <w:rsid w:val="00F01E30"/>
    <w:rsid w:val="00F01ED8"/>
    <w:rsid w:val="00F01F23"/>
    <w:rsid w:val="00F01F8F"/>
    <w:rsid w:val="00F020CE"/>
    <w:rsid w:val="00F02113"/>
    <w:rsid w:val="00F02336"/>
    <w:rsid w:val="00F023AB"/>
    <w:rsid w:val="00F024FB"/>
    <w:rsid w:val="00F025B7"/>
    <w:rsid w:val="00F02602"/>
    <w:rsid w:val="00F027FE"/>
    <w:rsid w:val="00F02A80"/>
    <w:rsid w:val="00F02C20"/>
    <w:rsid w:val="00F02D16"/>
    <w:rsid w:val="00F02DCC"/>
    <w:rsid w:val="00F030C7"/>
    <w:rsid w:val="00F0323C"/>
    <w:rsid w:val="00F0331B"/>
    <w:rsid w:val="00F034E0"/>
    <w:rsid w:val="00F035C3"/>
    <w:rsid w:val="00F037E1"/>
    <w:rsid w:val="00F03956"/>
    <w:rsid w:val="00F03A50"/>
    <w:rsid w:val="00F03A57"/>
    <w:rsid w:val="00F03CC0"/>
    <w:rsid w:val="00F03E29"/>
    <w:rsid w:val="00F03E64"/>
    <w:rsid w:val="00F03F68"/>
    <w:rsid w:val="00F041F5"/>
    <w:rsid w:val="00F043C9"/>
    <w:rsid w:val="00F0494F"/>
    <w:rsid w:val="00F04954"/>
    <w:rsid w:val="00F04E1B"/>
    <w:rsid w:val="00F04EB4"/>
    <w:rsid w:val="00F04FE9"/>
    <w:rsid w:val="00F0509D"/>
    <w:rsid w:val="00F050AA"/>
    <w:rsid w:val="00F051B9"/>
    <w:rsid w:val="00F051FD"/>
    <w:rsid w:val="00F0552D"/>
    <w:rsid w:val="00F05546"/>
    <w:rsid w:val="00F05630"/>
    <w:rsid w:val="00F05955"/>
    <w:rsid w:val="00F059BB"/>
    <w:rsid w:val="00F05AF8"/>
    <w:rsid w:val="00F05CEA"/>
    <w:rsid w:val="00F05DA5"/>
    <w:rsid w:val="00F05DBD"/>
    <w:rsid w:val="00F05E2E"/>
    <w:rsid w:val="00F062B4"/>
    <w:rsid w:val="00F063A2"/>
    <w:rsid w:val="00F065A5"/>
    <w:rsid w:val="00F065AE"/>
    <w:rsid w:val="00F0661F"/>
    <w:rsid w:val="00F06A43"/>
    <w:rsid w:val="00F06E87"/>
    <w:rsid w:val="00F0713D"/>
    <w:rsid w:val="00F07293"/>
    <w:rsid w:val="00F076B4"/>
    <w:rsid w:val="00F076FA"/>
    <w:rsid w:val="00F07745"/>
    <w:rsid w:val="00F07ADC"/>
    <w:rsid w:val="00F07AE1"/>
    <w:rsid w:val="00F07B03"/>
    <w:rsid w:val="00F07B43"/>
    <w:rsid w:val="00F07B49"/>
    <w:rsid w:val="00F07D2E"/>
    <w:rsid w:val="00F1008D"/>
    <w:rsid w:val="00F10163"/>
    <w:rsid w:val="00F10207"/>
    <w:rsid w:val="00F10218"/>
    <w:rsid w:val="00F1038B"/>
    <w:rsid w:val="00F103D3"/>
    <w:rsid w:val="00F104BC"/>
    <w:rsid w:val="00F10913"/>
    <w:rsid w:val="00F10DF2"/>
    <w:rsid w:val="00F1108D"/>
    <w:rsid w:val="00F11582"/>
    <w:rsid w:val="00F11745"/>
    <w:rsid w:val="00F117AF"/>
    <w:rsid w:val="00F117DA"/>
    <w:rsid w:val="00F11892"/>
    <w:rsid w:val="00F11A8B"/>
    <w:rsid w:val="00F12641"/>
    <w:rsid w:val="00F1271E"/>
    <w:rsid w:val="00F127DA"/>
    <w:rsid w:val="00F12A96"/>
    <w:rsid w:val="00F12C3A"/>
    <w:rsid w:val="00F12DD9"/>
    <w:rsid w:val="00F12F8F"/>
    <w:rsid w:val="00F1315C"/>
    <w:rsid w:val="00F1320F"/>
    <w:rsid w:val="00F13281"/>
    <w:rsid w:val="00F13319"/>
    <w:rsid w:val="00F13336"/>
    <w:rsid w:val="00F13420"/>
    <w:rsid w:val="00F13449"/>
    <w:rsid w:val="00F13461"/>
    <w:rsid w:val="00F13713"/>
    <w:rsid w:val="00F138C6"/>
    <w:rsid w:val="00F13B97"/>
    <w:rsid w:val="00F13E48"/>
    <w:rsid w:val="00F13F97"/>
    <w:rsid w:val="00F140CD"/>
    <w:rsid w:val="00F14339"/>
    <w:rsid w:val="00F145B2"/>
    <w:rsid w:val="00F14949"/>
    <w:rsid w:val="00F14B14"/>
    <w:rsid w:val="00F14C79"/>
    <w:rsid w:val="00F14D11"/>
    <w:rsid w:val="00F14EE9"/>
    <w:rsid w:val="00F1507E"/>
    <w:rsid w:val="00F151B5"/>
    <w:rsid w:val="00F155E0"/>
    <w:rsid w:val="00F15614"/>
    <w:rsid w:val="00F159FA"/>
    <w:rsid w:val="00F15AB0"/>
    <w:rsid w:val="00F15AFA"/>
    <w:rsid w:val="00F15D1F"/>
    <w:rsid w:val="00F160A4"/>
    <w:rsid w:val="00F160FD"/>
    <w:rsid w:val="00F16162"/>
    <w:rsid w:val="00F1618B"/>
    <w:rsid w:val="00F163CB"/>
    <w:rsid w:val="00F165F9"/>
    <w:rsid w:val="00F16771"/>
    <w:rsid w:val="00F167B0"/>
    <w:rsid w:val="00F16964"/>
    <w:rsid w:val="00F16B35"/>
    <w:rsid w:val="00F16CAD"/>
    <w:rsid w:val="00F16CD0"/>
    <w:rsid w:val="00F16E40"/>
    <w:rsid w:val="00F17299"/>
    <w:rsid w:val="00F1734D"/>
    <w:rsid w:val="00F17557"/>
    <w:rsid w:val="00F177FE"/>
    <w:rsid w:val="00F17935"/>
    <w:rsid w:val="00F179C2"/>
    <w:rsid w:val="00F17A30"/>
    <w:rsid w:val="00F17A8A"/>
    <w:rsid w:val="00F17B2D"/>
    <w:rsid w:val="00F17B96"/>
    <w:rsid w:val="00F17DEF"/>
    <w:rsid w:val="00F17FD1"/>
    <w:rsid w:val="00F20087"/>
    <w:rsid w:val="00F200D0"/>
    <w:rsid w:val="00F200FC"/>
    <w:rsid w:val="00F20285"/>
    <w:rsid w:val="00F202B6"/>
    <w:rsid w:val="00F203DC"/>
    <w:rsid w:val="00F20618"/>
    <w:rsid w:val="00F20712"/>
    <w:rsid w:val="00F20AC1"/>
    <w:rsid w:val="00F20DED"/>
    <w:rsid w:val="00F20E91"/>
    <w:rsid w:val="00F210AD"/>
    <w:rsid w:val="00F210C2"/>
    <w:rsid w:val="00F21368"/>
    <w:rsid w:val="00F215F4"/>
    <w:rsid w:val="00F216D1"/>
    <w:rsid w:val="00F218A9"/>
    <w:rsid w:val="00F21D14"/>
    <w:rsid w:val="00F21EE7"/>
    <w:rsid w:val="00F21F5E"/>
    <w:rsid w:val="00F22281"/>
    <w:rsid w:val="00F2228C"/>
    <w:rsid w:val="00F222AB"/>
    <w:rsid w:val="00F222AE"/>
    <w:rsid w:val="00F222BD"/>
    <w:rsid w:val="00F22503"/>
    <w:rsid w:val="00F2253A"/>
    <w:rsid w:val="00F2259D"/>
    <w:rsid w:val="00F225EB"/>
    <w:rsid w:val="00F225F7"/>
    <w:rsid w:val="00F22717"/>
    <w:rsid w:val="00F22810"/>
    <w:rsid w:val="00F22F4D"/>
    <w:rsid w:val="00F22FEA"/>
    <w:rsid w:val="00F2307F"/>
    <w:rsid w:val="00F2321C"/>
    <w:rsid w:val="00F23751"/>
    <w:rsid w:val="00F2388F"/>
    <w:rsid w:val="00F23A1A"/>
    <w:rsid w:val="00F23B24"/>
    <w:rsid w:val="00F23C8F"/>
    <w:rsid w:val="00F23D3D"/>
    <w:rsid w:val="00F2403B"/>
    <w:rsid w:val="00F241E6"/>
    <w:rsid w:val="00F2431A"/>
    <w:rsid w:val="00F243CD"/>
    <w:rsid w:val="00F24599"/>
    <w:rsid w:val="00F246DE"/>
    <w:rsid w:val="00F24758"/>
    <w:rsid w:val="00F24B9D"/>
    <w:rsid w:val="00F24CD9"/>
    <w:rsid w:val="00F24CE9"/>
    <w:rsid w:val="00F24E1A"/>
    <w:rsid w:val="00F24E85"/>
    <w:rsid w:val="00F24EF1"/>
    <w:rsid w:val="00F24F73"/>
    <w:rsid w:val="00F2504D"/>
    <w:rsid w:val="00F25933"/>
    <w:rsid w:val="00F259FD"/>
    <w:rsid w:val="00F25C8C"/>
    <w:rsid w:val="00F25D21"/>
    <w:rsid w:val="00F25E56"/>
    <w:rsid w:val="00F25EF7"/>
    <w:rsid w:val="00F26243"/>
    <w:rsid w:val="00F263E7"/>
    <w:rsid w:val="00F26407"/>
    <w:rsid w:val="00F2668D"/>
    <w:rsid w:val="00F26A6B"/>
    <w:rsid w:val="00F26C38"/>
    <w:rsid w:val="00F26CE6"/>
    <w:rsid w:val="00F26CE8"/>
    <w:rsid w:val="00F26E69"/>
    <w:rsid w:val="00F27021"/>
    <w:rsid w:val="00F27138"/>
    <w:rsid w:val="00F27228"/>
    <w:rsid w:val="00F27236"/>
    <w:rsid w:val="00F273EA"/>
    <w:rsid w:val="00F27426"/>
    <w:rsid w:val="00F277AE"/>
    <w:rsid w:val="00F27A69"/>
    <w:rsid w:val="00F27AC7"/>
    <w:rsid w:val="00F27BBF"/>
    <w:rsid w:val="00F27C65"/>
    <w:rsid w:val="00F27CAA"/>
    <w:rsid w:val="00F27CB2"/>
    <w:rsid w:val="00F27ECC"/>
    <w:rsid w:val="00F3003F"/>
    <w:rsid w:val="00F300D1"/>
    <w:rsid w:val="00F3020A"/>
    <w:rsid w:val="00F3034B"/>
    <w:rsid w:val="00F303EA"/>
    <w:rsid w:val="00F303F9"/>
    <w:rsid w:val="00F30442"/>
    <w:rsid w:val="00F306E8"/>
    <w:rsid w:val="00F308D3"/>
    <w:rsid w:val="00F308F2"/>
    <w:rsid w:val="00F30971"/>
    <w:rsid w:val="00F30A13"/>
    <w:rsid w:val="00F30AD5"/>
    <w:rsid w:val="00F30AE7"/>
    <w:rsid w:val="00F30B1A"/>
    <w:rsid w:val="00F30BDD"/>
    <w:rsid w:val="00F30C0B"/>
    <w:rsid w:val="00F30D68"/>
    <w:rsid w:val="00F30D7B"/>
    <w:rsid w:val="00F30EE0"/>
    <w:rsid w:val="00F30FBA"/>
    <w:rsid w:val="00F312D6"/>
    <w:rsid w:val="00F31636"/>
    <w:rsid w:val="00F317EF"/>
    <w:rsid w:val="00F31C0C"/>
    <w:rsid w:val="00F321C8"/>
    <w:rsid w:val="00F32285"/>
    <w:rsid w:val="00F322FF"/>
    <w:rsid w:val="00F32300"/>
    <w:rsid w:val="00F32356"/>
    <w:rsid w:val="00F32A65"/>
    <w:rsid w:val="00F32A8F"/>
    <w:rsid w:val="00F32B89"/>
    <w:rsid w:val="00F32C70"/>
    <w:rsid w:val="00F32ECA"/>
    <w:rsid w:val="00F32F1B"/>
    <w:rsid w:val="00F32F6D"/>
    <w:rsid w:val="00F32F77"/>
    <w:rsid w:val="00F332F3"/>
    <w:rsid w:val="00F33343"/>
    <w:rsid w:val="00F33668"/>
    <w:rsid w:val="00F336DC"/>
    <w:rsid w:val="00F33763"/>
    <w:rsid w:val="00F3384D"/>
    <w:rsid w:val="00F339B1"/>
    <w:rsid w:val="00F33EBD"/>
    <w:rsid w:val="00F33F3D"/>
    <w:rsid w:val="00F33F8E"/>
    <w:rsid w:val="00F34172"/>
    <w:rsid w:val="00F34181"/>
    <w:rsid w:val="00F34483"/>
    <w:rsid w:val="00F344B9"/>
    <w:rsid w:val="00F347E1"/>
    <w:rsid w:val="00F348AC"/>
    <w:rsid w:val="00F34A82"/>
    <w:rsid w:val="00F34EB7"/>
    <w:rsid w:val="00F34FC8"/>
    <w:rsid w:val="00F350EE"/>
    <w:rsid w:val="00F35354"/>
    <w:rsid w:val="00F354AA"/>
    <w:rsid w:val="00F354F6"/>
    <w:rsid w:val="00F35508"/>
    <w:rsid w:val="00F3550F"/>
    <w:rsid w:val="00F35916"/>
    <w:rsid w:val="00F35B0A"/>
    <w:rsid w:val="00F35FCB"/>
    <w:rsid w:val="00F3654D"/>
    <w:rsid w:val="00F366C8"/>
    <w:rsid w:val="00F36753"/>
    <w:rsid w:val="00F36800"/>
    <w:rsid w:val="00F3687F"/>
    <w:rsid w:val="00F36920"/>
    <w:rsid w:val="00F369D7"/>
    <w:rsid w:val="00F36B1F"/>
    <w:rsid w:val="00F36C7F"/>
    <w:rsid w:val="00F36D36"/>
    <w:rsid w:val="00F36E68"/>
    <w:rsid w:val="00F36E80"/>
    <w:rsid w:val="00F37347"/>
    <w:rsid w:val="00F37732"/>
    <w:rsid w:val="00F377C4"/>
    <w:rsid w:val="00F379F4"/>
    <w:rsid w:val="00F37D00"/>
    <w:rsid w:val="00F37F5C"/>
    <w:rsid w:val="00F400D7"/>
    <w:rsid w:val="00F4022E"/>
    <w:rsid w:val="00F403F0"/>
    <w:rsid w:val="00F403F1"/>
    <w:rsid w:val="00F40923"/>
    <w:rsid w:val="00F40B9E"/>
    <w:rsid w:val="00F40C8B"/>
    <w:rsid w:val="00F40FFB"/>
    <w:rsid w:val="00F415F8"/>
    <w:rsid w:val="00F4165D"/>
    <w:rsid w:val="00F418E7"/>
    <w:rsid w:val="00F41B8D"/>
    <w:rsid w:val="00F41E3C"/>
    <w:rsid w:val="00F41EF8"/>
    <w:rsid w:val="00F41EFA"/>
    <w:rsid w:val="00F41F37"/>
    <w:rsid w:val="00F41FD0"/>
    <w:rsid w:val="00F421B8"/>
    <w:rsid w:val="00F4226B"/>
    <w:rsid w:val="00F42306"/>
    <w:rsid w:val="00F4233D"/>
    <w:rsid w:val="00F42609"/>
    <w:rsid w:val="00F42610"/>
    <w:rsid w:val="00F426B3"/>
    <w:rsid w:val="00F42803"/>
    <w:rsid w:val="00F42918"/>
    <w:rsid w:val="00F429BE"/>
    <w:rsid w:val="00F42BD2"/>
    <w:rsid w:val="00F42D14"/>
    <w:rsid w:val="00F43271"/>
    <w:rsid w:val="00F4342E"/>
    <w:rsid w:val="00F43433"/>
    <w:rsid w:val="00F43763"/>
    <w:rsid w:val="00F43AB3"/>
    <w:rsid w:val="00F43C0E"/>
    <w:rsid w:val="00F43C9F"/>
    <w:rsid w:val="00F43CCE"/>
    <w:rsid w:val="00F43DB7"/>
    <w:rsid w:val="00F43E34"/>
    <w:rsid w:val="00F43F87"/>
    <w:rsid w:val="00F440F1"/>
    <w:rsid w:val="00F44157"/>
    <w:rsid w:val="00F441DD"/>
    <w:rsid w:val="00F44233"/>
    <w:rsid w:val="00F442B0"/>
    <w:rsid w:val="00F445A9"/>
    <w:rsid w:val="00F4460D"/>
    <w:rsid w:val="00F44D1A"/>
    <w:rsid w:val="00F44EF9"/>
    <w:rsid w:val="00F44FA0"/>
    <w:rsid w:val="00F452FA"/>
    <w:rsid w:val="00F4573A"/>
    <w:rsid w:val="00F458B6"/>
    <w:rsid w:val="00F45A61"/>
    <w:rsid w:val="00F45C4E"/>
    <w:rsid w:val="00F45CB9"/>
    <w:rsid w:val="00F45F62"/>
    <w:rsid w:val="00F45FB3"/>
    <w:rsid w:val="00F4604B"/>
    <w:rsid w:val="00F46100"/>
    <w:rsid w:val="00F461E7"/>
    <w:rsid w:val="00F462D1"/>
    <w:rsid w:val="00F46558"/>
    <w:rsid w:val="00F46591"/>
    <w:rsid w:val="00F4660C"/>
    <w:rsid w:val="00F4666A"/>
    <w:rsid w:val="00F46718"/>
    <w:rsid w:val="00F46754"/>
    <w:rsid w:val="00F46777"/>
    <w:rsid w:val="00F46CCA"/>
    <w:rsid w:val="00F46DE9"/>
    <w:rsid w:val="00F46E33"/>
    <w:rsid w:val="00F46FA9"/>
    <w:rsid w:val="00F4725C"/>
    <w:rsid w:val="00F47378"/>
    <w:rsid w:val="00F47509"/>
    <w:rsid w:val="00F475E9"/>
    <w:rsid w:val="00F4760B"/>
    <w:rsid w:val="00F47659"/>
    <w:rsid w:val="00F477D7"/>
    <w:rsid w:val="00F47844"/>
    <w:rsid w:val="00F47A74"/>
    <w:rsid w:val="00F47D50"/>
    <w:rsid w:val="00F4C426"/>
    <w:rsid w:val="00F500EB"/>
    <w:rsid w:val="00F50291"/>
    <w:rsid w:val="00F50568"/>
    <w:rsid w:val="00F50631"/>
    <w:rsid w:val="00F509E6"/>
    <w:rsid w:val="00F509EB"/>
    <w:rsid w:val="00F50BB7"/>
    <w:rsid w:val="00F50BC4"/>
    <w:rsid w:val="00F50FD7"/>
    <w:rsid w:val="00F5103E"/>
    <w:rsid w:val="00F510F6"/>
    <w:rsid w:val="00F511CD"/>
    <w:rsid w:val="00F5130A"/>
    <w:rsid w:val="00F5138A"/>
    <w:rsid w:val="00F515BB"/>
    <w:rsid w:val="00F51630"/>
    <w:rsid w:val="00F516BA"/>
    <w:rsid w:val="00F51707"/>
    <w:rsid w:val="00F51723"/>
    <w:rsid w:val="00F517C4"/>
    <w:rsid w:val="00F51995"/>
    <w:rsid w:val="00F51A02"/>
    <w:rsid w:val="00F51C0A"/>
    <w:rsid w:val="00F51CA2"/>
    <w:rsid w:val="00F51D52"/>
    <w:rsid w:val="00F51F9D"/>
    <w:rsid w:val="00F5215B"/>
    <w:rsid w:val="00F5261A"/>
    <w:rsid w:val="00F526E8"/>
    <w:rsid w:val="00F52870"/>
    <w:rsid w:val="00F52904"/>
    <w:rsid w:val="00F52954"/>
    <w:rsid w:val="00F529A5"/>
    <w:rsid w:val="00F52A9A"/>
    <w:rsid w:val="00F52B63"/>
    <w:rsid w:val="00F52B7C"/>
    <w:rsid w:val="00F52B93"/>
    <w:rsid w:val="00F52C8E"/>
    <w:rsid w:val="00F52FA2"/>
    <w:rsid w:val="00F531BC"/>
    <w:rsid w:val="00F53279"/>
    <w:rsid w:val="00F53497"/>
    <w:rsid w:val="00F5358B"/>
    <w:rsid w:val="00F536D1"/>
    <w:rsid w:val="00F53707"/>
    <w:rsid w:val="00F53817"/>
    <w:rsid w:val="00F538A1"/>
    <w:rsid w:val="00F53912"/>
    <w:rsid w:val="00F539F6"/>
    <w:rsid w:val="00F53A6B"/>
    <w:rsid w:val="00F53B87"/>
    <w:rsid w:val="00F53D19"/>
    <w:rsid w:val="00F53D6D"/>
    <w:rsid w:val="00F53E90"/>
    <w:rsid w:val="00F5433E"/>
    <w:rsid w:val="00F546F2"/>
    <w:rsid w:val="00F546FA"/>
    <w:rsid w:val="00F54837"/>
    <w:rsid w:val="00F54A6D"/>
    <w:rsid w:val="00F54E0F"/>
    <w:rsid w:val="00F54EC9"/>
    <w:rsid w:val="00F54FD8"/>
    <w:rsid w:val="00F55027"/>
    <w:rsid w:val="00F550B2"/>
    <w:rsid w:val="00F5518E"/>
    <w:rsid w:val="00F55281"/>
    <w:rsid w:val="00F55689"/>
    <w:rsid w:val="00F5581E"/>
    <w:rsid w:val="00F55846"/>
    <w:rsid w:val="00F55903"/>
    <w:rsid w:val="00F55915"/>
    <w:rsid w:val="00F55978"/>
    <w:rsid w:val="00F55A97"/>
    <w:rsid w:val="00F55CD4"/>
    <w:rsid w:val="00F55D44"/>
    <w:rsid w:val="00F55E12"/>
    <w:rsid w:val="00F55E67"/>
    <w:rsid w:val="00F55FB3"/>
    <w:rsid w:val="00F560B0"/>
    <w:rsid w:val="00F5623A"/>
    <w:rsid w:val="00F56296"/>
    <w:rsid w:val="00F562EC"/>
    <w:rsid w:val="00F564F6"/>
    <w:rsid w:val="00F566C6"/>
    <w:rsid w:val="00F56A76"/>
    <w:rsid w:val="00F56B59"/>
    <w:rsid w:val="00F56B78"/>
    <w:rsid w:val="00F56C4A"/>
    <w:rsid w:val="00F56C92"/>
    <w:rsid w:val="00F56F45"/>
    <w:rsid w:val="00F57121"/>
    <w:rsid w:val="00F571B0"/>
    <w:rsid w:val="00F5723C"/>
    <w:rsid w:val="00F5727A"/>
    <w:rsid w:val="00F57378"/>
    <w:rsid w:val="00F577CE"/>
    <w:rsid w:val="00F57BEB"/>
    <w:rsid w:val="00F57C03"/>
    <w:rsid w:val="00F57E1D"/>
    <w:rsid w:val="00F57E4C"/>
    <w:rsid w:val="00F600A8"/>
    <w:rsid w:val="00F60251"/>
    <w:rsid w:val="00F604BF"/>
    <w:rsid w:val="00F6064B"/>
    <w:rsid w:val="00F60814"/>
    <w:rsid w:val="00F60B79"/>
    <w:rsid w:val="00F61238"/>
    <w:rsid w:val="00F61400"/>
    <w:rsid w:val="00F61422"/>
    <w:rsid w:val="00F61551"/>
    <w:rsid w:val="00F619F8"/>
    <w:rsid w:val="00F61C30"/>
    <w:rsid w:val="00F61C46"/>
    <w:rsid w:val="00F61D64"/>
    <w:rsid w:val="00F61E9E"/>
    <w:rsid w:val="00F621F7"/>
    <w:rsid w:val="00F6237B"/>
    <w:rsid w:val="00F623C7"/>
    <w:rsid w:val="00F62449"/>
    <w:rsid w:val="00F624C0"/>
    <w:rsid w:val="00F624C2"/>
    <w:rsid w:val="00F627F9"/>
    <w:rsid w:val="00F62884"/>
    <w:rsid w:val="00F629C8"/>
    <w:rsid w:val="00F62BA7"/>
    <w:rsid w:val="00F62C75"/>
    <w:rsid w:val="00F62D78"/>
    <w:rsid w:val="00F62EE0"/>
    <w:rsid w:val="00F632A2"/>
    <w:rsid w:val="00F63304"/>
    <w:rsid w:val="00F63375"/>
    <w:rsid w:val="00F63498"/>
    <w:rsid w:val="00F635DF"/>
    <w:rsid w:val="00F636EC"/>
    <w:rsid w:val="00F638BB"/>
    <w:rsid w:val="00F63905"/>
    <w:rsid w:val="00F6398D"/>
    <w:rsid w:val="00F639B9"/>
    <w:rsid w:val="00F63A5A"/>
    <w:rsid w:val="00F63F9B"/>
    <w:rsid w:val="00F6410E"/>
    <w:rsid w:val="00F64581"/>
    <w:rsid w:val="00F6468E"/>
    <w:rsid w:val="00F646AC"/>
    <w:rsid w:val="00F646B7"/>
    <w:rsid w:val="00F6490D"/>
    <w:rsid w:val="00F64AD9"/>
    <w:rsid w:val="00F64B98"/>
    <w:rsid w:val="00F64BB6"/>
    <w:rsid w:val="00F64BDE"/>
    <w:rsid w:val="00F64BF2"/>
    <w:rsid w:val="00F64C97"/>
    <w:rsid w:val="00F64D15"/>
    <w:rsid w:val="00F64DCF"/>
    <w:rsid w:val="00F64F1C"/>
    <w:rsid w:val="00F65156"/>
    <w:rsid w:val="00F65207"/>
    <w:rsid w:val="00F65236"/>
    <w:rsid w:val="00F653BB"/>
    <w:rsid w:val="00F654F8"/>
    <w:rsid w:val="00F6574F"/>
    <w:rsid w:val="00F658C7"/>
    <w:rsid w:val="00F65AE9"/>
    <w:rsid w:val="00F65B42"/>
    <w:rsid w:val="00F65BAF"/>
    <w:rsid w:val="00F65BBA"/>
    <w:rsid w:val="00F65BEB"/>
    <w:rsid w:val="00F66059"/>
    <w:rsid w:val="00F660AD"/>
    <w:rsid w:val="00F660B6"/>
    <w:rsid w:val="00F660F0"/>
    <w:rsid w:val="00F6613A"/>
    <w:rsid w:val="00F661B9"/>
    <w:rsid w:val="00F6661F"/>
    <w:rsid w:val="00F666FE"/>
    <w:rsid w:val="00F668ED"/>
    <w:rsid w:val="00F66A93"/>
    <w:rsid w:val="00F66DF0"/>
    <w:rsid w:val="00F66EA7"/>
    <w:rsid w:val="00F66F1A"/>
    <w:rsid w:val="00F670AF"/>
    <w:rsid w:val="00F671A3"/>
    <w:rsid w:val="00F67523"/>
    <w:rsid w:val="00F67640"/>
    <w:rsid w:val="00F6768F"/>
    <w:rsid w:val="00F67778"/>
    <w:rsid w:val="00F67879"/>
    <w:rsid w:val="00F67B1D"/>
    <w:rsid w:val="00F67B34"/>
    <w:rsid w:val="00F7003E"/>
    <w:rsid w:val="00F7009A"/>
    <w:rsid w:val="00F70385"/>
    <w:rsid w:val="00F703C1"/>
    <w:rsid w:val="00F7051D"/>
    <w:rsid w:val="00F7068C"/>
    <w:rsid w:val="00F708B6"/>
    <w:rsid w:val="00F70975"/>
    <w:rsid w:val="00F70A5F"/>
    <w:rsid w:val="00F70B41"/>
    <w:rsid w:val="00F70C5A"/>
    <w:rsid w:val="00F70CC2"/>
    <w:rsid w:val="00F70CFD"/>
    <w:rsid w:val="00F70D83"/>
    <w:rsid w:val="00F70E30"/>
    <w:rsid w:val="00F712C1"/>
    <w:rsid w:val="00F719F6"/>
    <w:rsid w:val="00F71B42"/>
    <w:rsid w:val="00F71C77"/>
    <w:rsid w:val="00F71E59"/>
    <w:rsid w:val="00F71EDA"/>
    <w:rsid w:val="00F71EE7"/>
    <w:rsid w:val="00F71F5E"/>
    <w:rsid w:val="00F72058"/>
    <w:rsid w:val="00F721BA"/>
    <w:rsid w:val="00F72265"/>
    <w:rsid w:val="00F72290"/>
    <w:rsid w:val="00F7245C"/>
    <w:rsid w:val="00F724CF"/>
    <w:rsid w:val="00F72592"/>
    <w:rsid w:val="00F72636"/>
    <w:rsid w:val="00F726DE"/>
    <w:rsid w:val="00F72783"/>
    <w:rsid w:val="00F72839"/>
    <w:rsid w:val="00F728F9"/>
    <w:rsid w:val="00F72AF6"/>
    <w:rsid w:val="00F72BAA"/>
    <w:rsid w:val="00F72D7E"/>
    <w:rsid w:val="00F7342E"/>
    <w:rsid w:val="00F73442"/>
    <w:rsid w:val="00F736EF"/>
    <w:rsid w:val="00F7384E"/>
    <w:rsid w:val="00F73A9B"/>
    <w:rsid w:val="00F73D33"/>
    <w:rsid w:val="00F73EE7"/>
    <w:rsid w:val="00F741B8"/>
    <w:rsid w:val="00F741BD"/>
    <w:rsid w:val="00F742BD"/>
    <w:rsid w:val="00F74506"/>
    <w:rsid w:val="00F745CA"/>
    <w:rsid w:val="00F746E4"/>
    <w:rsid w:val="00F74731"/>
    <w:rsid w:val="00F74ACA"/>
    <w:rsid w:val="00F74B29"/>
    <w:rsid w:val="00F74BE6"/>
    <w:rsid w:val="00F74FB1"/>
    <w:rsid w:val="00F74FBF"/>
    <w:rsid w:val="00F75132"/>
    <w:rsid w:val="00F75173"/>
    <w:rsid w:val="00F75578"/>
    <w:rsid w:val="00F75703"/>
    <w:rsid w:val="00F75782"/>
    <w:rsid w:val="00F75832"/>
    <w:rsid w:val="00F75930"/>
    <w:rsid w:val="00F75960"/>
    <w:rsid w:val="00F75AB1"/>
    <w:rsid w:val="00F75B77"/>
    <w:rsid w:val="00F75D24"/>
    <w:rsid w:val="00F75F39"/>
    <w:rsid w:val="00F75FAB"/>
    <w:rsid w:val="00F7610C"/>
    <w:rsid w:val="00F7629D"/>
    <w:rsid w:val="00F76542"/>
    <w:rsid w:val="00F76583"/>
    <w:rsid w:val="00F767F8"/>
    <w:rsid w:val="00F7693C"/>
    <w:rsid w:val="00F76A2E"/>
    <w:rsid w:val="00F76A5C"/>
    <w:rsid w:val="00F76AF7"/>
    <w:rsid w:val="00F76D4C"/>
    <w:rsid w:val="00F76F3D"/>
    <w:rsid w:val="00F76F9C"/>
    <w:rsid w:val="00F7700C"/>
    <w:rsid w:val="00F772C5"/>
    <w:rsid w:val="00F7738B"/>
    <w:rsid w:val="00F77458"/>
    <w:rsid w:val="00F77630"/>
    <w:rsid w:val="00F77693"/>
    <w:rsid w:val="00F77791"/>
    <w:rsid w:val="00F77851"/>
    <w:rsid w:val="00F7792A"/>
    <w:rsid w:val="00F77A1B"/>
    <w:rsid w:val="00F77A49"/>
    <w:rsid w:val="00F77B43"/>
    <w:rsid w:val="00F77BED"/>
    <w:rsid w:val="00F77C26"/>
    <w:rsid w:val="00F77CC6"/>
    <w:rsid w:val="00F77F06"/>
    <w:rsid w:val="00F77FBA"/>
    <w:rsid w:val="00F801CF"/>
    <w:rsid w:val="00F80247"/>
    <w:rsid w:val="00F80315"/>
    <w:rsid w:val="00F8036E"/>
    <w:rsid w:val="00F8038D"/>
    <w:rsid w:val="00F804DC"/>
    <w:rsid w:val="00F80622"/>
    <w:rsid w:val="00F80996"/>
    <w:rsid w:val="00F80A85"/>
    <w:rsid w:val="00F80ABC"/>
    <w:rsid w:val="00F80AD5"/>
    <w:rsid w:val="00F80C03"/>
    <w:rsid w:val="00F80CA6"/>
    <w:rsid w:val="00F80CD6"/>
    <w:rsid w:val="00F811C8"/>
    <w:rsid w:val="00F812DE"/>
    <w:rsid w:val="00F8134E"/>
    <w:rsid w:val="00F8162E"/>
    <w:rsid w:val="00F8165F"/>
    <w:rsid w:val="00F81727"/>
    <w:rsid w:val="00F81747"/>
    <w:rsid w:val="00F8175C"/>
    <w:rsid w:val="00F81ABF"/>
    <w:rsid w:val="00F81B97"/>
    <w:rsid w:val="00F81F08"/>
    <w:rsid w:val="00F823E0"/>
    <w:rsid w:val="00F8254D"/>
    <w:rsid w:val="00F827B9"/>
    <w:rsid w:val="00F827E0"/>
    <w:rsid w:val="00F82923"/>
    <w:rsid w:val="00F82BAF"/>
    <w:rsid w:val="00F82EE5"/>
    <w:rsid w:val="00F82F6D"/>
    <w:rsid w:val="00F82F84"/>
    <w:rsid w:val="00F83413"/>
    <w:rsid w:val="00F83431"/>
    <w:rsid w:val="00F83509"/>
    <w:rsid w:val="00F8374F"/>
    <w:rsid w:val="00F8376D"/>
    <w:rsid w:val="00F838E2"/>
    <w:rsid w:val="00F83A4C"/>
    <w:rsid w:val="00F83A9B"/>
    <w:rsid w:val="00F83AEA"/>
    <w:rsid w:val="00F83BC0"/>
    <w:rsid w:val="00F83D96"/>
    <w:rsid w:val="00F83F0D"/>
    <w:rsid w:val="00F8408C"/>
    <w:rsid w:val="00F8409D"/>
    <w:rsid w:val="00F840C0"/>
    <w:rsid w:val="00F84230"/>
    <w:rsid w:val="00F8457B"/>
    <w:rsid w:val="00F848CA"/>
    <w:rsid w:val="00F84A15"/>
    <w:rsid w:val="00F84C31"/>
    <w:rsid w:val="00F84E34"/>
    <w:rsid w:val="00F85166"/>
    <w:rsid w:val="00F8516E"/>
    <w:rsid w:val="00F8520D"/>
    <w:rsid w:val="00F8542B"/>
    <w:rsid w:val="00F856E1"/>
    <w:rsid w:val="00F857B0"/>
    <w:rsid w:val="00F857E5"/>
    <w:rsid w:val="00F85852"/>
    <w:rsid w:val="00F85943"/>
    <w:rsid w:val="00F85AF8"/>
    <w:rsid w:val="00F85B03"/>
    <w:rsid w:val="00F85BB9"/>
    <w:rsid w:val="00F860E6"/>
    <w:rsid w:val="00F86269"/>
    <w:rsid w:val="00F866D7"/>
    <w:rsid w:val="00F8675F"/>
    <w:rsid w:val="00F867E4"/>
    <w:rsid w:val="00F86972"/>
    <w:rsid w:val="00F86A7C"/>
    <w:rsid w:val="00F87094"/>
    <w:rsid w:val="00F8716E"/>
    <w:rsid w:val="00F871C8"/>
    <w:rsid w:val="00F87224"/>
    <w:rsid w:val="00F873A5"/>
    <w:rsid w:val="00F87480"/>
    <w:rsid w:val="00F87574"/>
    <w:rsid w:val="00F87725"/>
    <w:rsid w:val="00F87931"/>
    <w:rsid w:val="00F87AAE"/>
    <w:rsid w:val="00F87D60"/>
    <w:rsid w:val="00F87F71"/>
    <w:rsid w:val="00F87FC6"/>
    <w:rsid w:val="00F903D5"/>
    <w:rsid w:val="00F9061B"/>
    <w:rsid w:val="00F906B8"/>
    <w:rsid w:val="00F90899"/>
    <w:rsid w:val="00F90985"/>
    <w:rsid w:val="00F90A90"/>
    <w:rsid w:val="00F90B20"/>
    <w:rsid w:val="00F90B78"/>
    <w:rsid w:val="00F90C14"/>
    <w:rsid w:val="00F91126"/>
    <w:rsid w:val="00F914BA"/>
    <w:rsid w:val="00F915F5"/>
    <w:rsid w:val="00F91817"/>
    <w:rsid w:val="00F91830"/>
    <w:rsid w:val="00F9190C"/>
    <w:rsid w:val="00F919ED"/>
    <w:rsid w:val="00F91F07"/>
    <w:rsid w:val="00F920FD"/>
    <w:rsid w:val="00F92165"/>
    <w:rsid w:val="00F921C2"/>
    <w:rsid w:val="00F922F0"/>
    <w:rsid w:val="00F92595"/>
    <w:rsid w:val="00F92761"/>
    <w:rsid w:val="00F92847"/>
    <w:rsid w:val="00F928B2"/>
    <w:rsid w:val="00F92934"/>
    <w:rsid w:val="00F92CEE"/>
    <w:rsid w:val="00F92F12"/>
    <w:rsid w:val="00F92F47"/>
    <w:rsid w:val="00F93147"/>
    <w:rsid w:val="00F93237"/>
    <w:rsid w:val="00F93274"/>
    <w:rsid w:val="00F9330A"/>
    <w:rsid w:val="00F9339F"/>
    <w:rsid w:val="00F93471"/>
    <w:rsid w:val="00F934ED"/>
    <w:rsid w:val="00F9359E"/>
    <w:rsid w:val="00F935A0"/>
    <w:rsid w:val="00F93752"/>
    <w:rsid w:val="00F938B9"/>
    <w:rsid w:val="00F93F80"/>
    <w:rsid w:val="00F940F4"/>
    <w:rsid w:val="00F942E7"/>
    <w:rsid w:val="00F94349"/>
    <w:rsid w:val="00F94387"/>
    <w:rsid w:val="00F943BD"/>
    <w:rsid w:val="00F94666"/>
    <w:rsid w:val="00F94706"/>
    <w:rsid w:val="00F94A36"/>
    <w:rsid w:val="00F94B06"/>
    <w:rsid w:val="00F94E22"/>
    <w:rsid w:val="00F9501B"/>
    <w:rsid w:val="00F9560F"/>
    <w:rsid w:val="00F95698"/>
    <w:rsid w:val="00F956DC"/>
    <w:rsid w:val="00F9576B"/>
    <w:rsid w:val="00F95875"/>
    <w:rsid w:val="00F958A7"/>
    <w:rsid w:val="00F958E0"/>
    <w:rsid w:val="00F95AF6"/>
    <w:rsid w:val="00F95BFE"/>
    <w:rsid w:val="00F95E38"/>
    <w:rsid w:val="00F95F39"/>
    <w:rsid w:val="00F9602B"/>
    <w:rsid w:val="00F9607B"/>
    <w:rsid w:val="00F96197"/>
    <w:rsid w:val="00F96210"/>
    <w:rsid w:val="00F9629C"/>
    <w:rsid w:val="00F9637C"/>
    <w:rsid w:val="00F96627"/>
    <w:rsid w:val="00F969CD"/>
    <w:rsid w:val="00F96AF9"/>
    <w:rsid w:val="00F96B72"/>
    <w:rsid w:val="00F96D9E"/>
    <w:rsid w:val="00F96FDF"/>
    <w:rsid w:val="00F974CE"/>
    <w:rsid w:val="00F97542"/>
    <w:rsid w:val="00F978C6"/>
    <w:rsid w:val="00F97B16"/>
    <w:rsid w:val="00F97C6E"/>
    <w:rsid w:val="00F97C9A"/>
    <w:rsid w:val="00F97D61"/>
    <w:rsid w:val="00F97D6B"/>
    <w:rsid w:val="00F97E45"/>
    <w:rsid w:val="00F97E62"/>
    <w:rsid w:val="00FA000A"/>
    <w:rsid w:val="00FA0235"/>
    <w:rsid w:val="00FA024E"/>
    <w:rsid w:val="00FA0302"/>
    <w:rsid w:val="00FA0393"/>
    <w:rsid w:val="00FA0396"/>
    <w:rsid w:val="00FA048E"/>
    <w:rsid w:val="00FA053E"/>
    <w:rsid w:val="00FA0597"/>
    <w:rsid w:val="00FA0ABF"/>
    <w:rsid w:val="00FA0B45"/>
    <w:rsid w:val="00FA0B86"/>
    <w:rsid w:val="00FA0D97"/>
    <w:rsid w:val="00FA10F0"/>
    <w:rsid w:val="00FA11ED"/>
    <w:rsid w:val="00FA141E"/>
    <w:rsid w:val="00FA14B0"/>
    <w:rsid w:val="00FA1507"/>
    <w:rsid w:val="00FA16E7"/>
    <w:rsid w:val="00FA17C4"/>
    <w:rsid w:val="00FA17DF"/>
    <w:rsid w:val="00FA18F1"/>
    <w:rsid w:val="00FA1B08"/>
    <w:rsid w:val="00FA1D4C"/>
    <w:rsid w:val="00FA1E69"/>
    <w:rsid w:val="00FA1F61"/>
    <w:rsid w:val="00FA1F76"/>
    <w:rsid w:val="00FA1FE6"/>
    <w:rsid w:val="00FA1FED"/>
    <w:rsid w:val="00FA20F1"/>
    <w:rsid w:val="00FA2189"/>
    <w:rsid w:val="00FA2237"/>
    <w:rsid w:val="00FA2266"/>
    <w:rsid w:val="00FA227C"/>
    <w:rsid w:val="00FA2304"/>
    <w:rsid w:val="00FA23D7"/>
    <w:rsid w:val="00FA245A"/>
    <w:rsid w:val="00FA25D5"/>
    <w:rsid w:val="00FA27B3"/>
    <w:rsid w:val="00FA28C3"/>
    <w:rsid w:val="00FA29DD"/>
    <w:rsid w:val="00FA2A5E"/>
    <w:rsid w:val="00FA2CC6"/>
    <w:rsid w:val="00FA2E59"/>
    <w:rsid w:val="00FA2ED8"/>
    <w:rsid w:val="00FA317E"/>
    <w:rsid w:val="00FA3186"/>
    <w:rsid w:val="00FA3201"/>
    <w:rsid w:val="00FA339B"/>
    <w:rsid w:val="00FA33C6"/>
    <w:rsid w:val="00FA34A2"/>
    <w:rsid w:val="00FA352D"/>
    <w:rsid w:val="00FA35C0"/>
    <w:rsid w:val="00FA381A"/>
    <w:rsid w:val="00FA397E"/>
    <w:rsid w:val="00FA39E9"/>
    <w:rsid w:val="00FA3CFA"/>
    <w:rsid w:val="00FA3D0E"/>
    <w:rsid w:val="00FA3D4C"/>
    <w:rsid w:val="00FA3EF8"/>
    <w:rsid w:val="00FA40AB"/>
    <w:rsid w:val="00FA41C2"/>
    <w:rsid w:val="00FA424E"/>
    <w:rsid w:val="00FA426C"/>
    <w:rsid w:val="00FA426F"/>
    <w:rsid w:val="00FA43E9"/>
    <w:rsid w:val="00FA4416"/>
    <w:rsid w:val="00FA4508"/>
    <w:rsid w:val="00FA4524"/>
    <w:rsid w:val="00FA4A09"/>
    <w:rsid w:val="00FA4A1E"/>
    <w:rsid w:val="00FA4AC0"/>
    <w:rsid w:val="00FA4B64"/>
    <w:rsid w:val="00FA4C46"/>
    <w:rsid w:val="00FA5299"/>
    <w:rsid w:val="00FA5419"/>
    <w:rsid w:val="00FA57FB"/>
    <w:rsid w:val="00FA5B7C"/>
    <w:rsid w:val="00FA5C62"/>
    <w:rsid w:val="00FA5D4E"/>
    <w:rsid w:val="00FA5DC8"/>
    <w:rsid w:val="00FA5E81"/>
    <w:rsid w:val="00FA5FF9"/>
    <w:rsid w:val="00FA6026"/>
    <w:rsid w:val="00FA62BC"/>
    <w:rsid w:val="00FA68B3"/>
    <w:rsid w:val="00FA6913"/>
    <w:rsid w:val="00FA6928"/>
    <w:rsid w:val="00FA6A6E"/>
    <w:rsid w:val="00FA6A85"/>
    <w:rsid w:val="00FA6ADB"/>
    <w:rsid w:val="00FA6B91"/>
    <w:rsid w:val="00FA6C0F"/>
    <w:rsid w:val="00FA6C82"/>
    <w:rsid w:val="00FA6D22"/>
    <w:rsid w:val="00FA6D6B"/>
    <w:rsid w:val="00FA6EA9"/>
    <w:rsid w:val="00FA6EB8"/>
    <w:rsid w:val="00FA6F27"/>
    <w:rsid w:val="00FA6F58"/>
    <w:rsid w:val="00FA6F84"/>
    <w:rsid w:val="00FA6FAD"/>
    <w:rsid w:val="00FA6FEC"/>
    <w:rsid w:val="00FA7053"/>
    <w:rsid w:val="00FA70B1"/>
    <w:rsid w:val="00FA70BE"/>
    <w:rsid w:val="00FA70FD"/>
    <w:rsid w:val="00FA71EF"/>
    <w:rsid w:val="00FA741A"/>
    <w:rsid w:val="00FA7571"/>
    <w:rsid w:val="00FA774A"/>
    <w:rsid w:val="00FA7A79"/>
    <w:rsid w:val="00FA7B43"/>
    <w:rsid w:val="00FB0296"/>
    <w:rsid w:val="00FB04D1"/>
    <w:rsid w:val="00FB05C7"/>
    <w:rsid w:val="00FB0738"/>
    <w:rsid w:val="00FB07A4"/>
    <w:rsid w:val="00FB0969"/>
    <w:rsid w:val="00FB0B27"/>
    <w:rsid w:val="00FB0C0D"/>
    <w:rsid w:val="00FB1063"/>
    <w:rsid w:val="00FB120D"/>
    <w:rsid w:val="00FB1279"/>
    <w:rsid w:val="00FB16C9"/>
    <w:rsid w:val="00FB17AF"/>
    <w:rsid w:val="00FB1908"/>
    <w:rsid w:val="00FB1A9C"/>
    <w:rsid w:val="00FB1AAF"/>
    <w:rsid w:val="00FB1CF1"/>
    <w:rsid w:val="00FB1EEF"/>
    <w:rsid w:val="00FB2163"/>
    <w:rsid w:val="00FB2272"/>
    <w:rsid w:val="00FB2304"/>
    <w:rsid w:val="00FB25A1"/>
    <w:rsid w:val="00FB26A6"/>
    <w:rsid w:val="00FB270D"/>
    <w:rsid w:val="00FB275E"/>
    <w:rsid w:val="00FB2870"/>
    <w:rsid w:val="00FB2C40"/>
    <w:rsid w:val="00FB2C4E"/>
    <w:rsid w:val="00FB2C8C"/>
    <w:rsid w:val="00FB2D37"/>
    <w:rsid w:val="00FB2D6F"/>
    <w:rsid w:val="00FB2D83"/>
    <w:rsid w:val="00FB2DF6"/>
    <w:rsid w:val="00FB2EE5"/>
    <w:rsid w:val="00FB301D"/>
    <w:rsid w:val="00FB3036"/>
    <w:rsid w:val="00FB31E5"/>
    <w:rsid w:val="00FB3571"/>
    <w:rsid w:val="00FB37C8"/>
    <w:rsid w:val="00FB3872"/>
    <w:rsid w:val="00FB395C"/>
    <w:rsid w:val="00FB3C06"/>
    <w:rsid w:val="00FB3DC7"/>
    <w:rsid w:val="00FB3DDD"/>
    <w:rsid w:val="00FB410A"/>
    <w:rsid w:val="00FB4143"/>
    <w:rsid w:val="00FB4312"/>
    <w:rsid w:val="00FB435D"/>
    <w:rsid w:val="00FB44A0"/>
    <w:rsid w:val="00FB45D9"/>
    <w:rsid w:val="00FB460E"/>
    <w:rsid w:val="00FB465F"/>
    <w:rsid w:val="00FB4727"/>
    <w:rsid w:val="00FB47DC"/>
    <w:rsid w:val="00FB4958"/>
    <w:rsid w:val="00FB49F5"/>
    <w:rsid w:val="00FB4F3D"/>
    <w:rsid w:val="00FB4FF7"/>
    <w:rsid w:val="00FB5034"/>
    <w:rsid w:val="00FB503C"/>
    <w:rsid w:val="00FB51D2"/>
    <w:rsid w:val="00FB5214"/>
    <w:rsid w:val="00FB539F"/>
    <w:rsid w:val="00FB5413"/>
    <w:rsid w:val="00FB54A3"/>
    <w:rsid w:val="00FB56B9"/>
    <w:rsid w:val="00FB5AA8"/>
    <w:rsid w:val="00FB5B31"/>
    <w:rsid w:val="00FB5C7E"/>
    <w:rsid w:val="00FB5CA7"/>
    <w:rsid w:val="00FB5CFA"/>
    <w:rsid w:val="00FB5D0D"/>
    <w:rsid w:val="00FB5E2B"/>
    <w:rsid w:val="00FB5F33"/>
    <w:rsid w:val="00FB604B"/>
    <w:rsid w:val="00FB60BF"/>
    <w:rsid w:val="00FB62A9"/>
    <w:rsid w:val="00FB66A6"/>
    <w:rsid w:val="00FB675D"/>
    <w:rsid w:val="00FB694E"/>
    <w:rsid w:val="00FB695B"/>
    <w:rsid w:val="00FB6977"/>
    <w:rsid w:val="00FB6A8B"/>
    <w:rsid w:val="00FB6BC0"/>
    <w:rsid w:val="00FB6C07"/>
    <w:rsid w:val="00FB6CA9"/>
    <w:rsid w:val="00FB6D7E"/>
    <w:rsid w:val="00FB6DB3"/>
    <w:rsid w:val="00FB6E19"/>
    <w:rsid w:val="00FB6ECC"/>
    <w:rsid w:val="00FB6F3B"/>
    <w:rsid w:val="00FB6FFB"/>
    <w:rsid w:val="00FB7008"/>
    <w:rsid w:val="00FB755C"/>
    <w:rsid w:val="00FB764B"/>
    <w:rsid w:val="00FB76C7"/>
    <w:rsid w:val="00FB7744"/>
    <w:rsid w:val="00FB77EB"/>
    <w:rsid w:val="00FB7974"/>
    <w:rsid w:val="00FB7C9D"/>
    <w:rsid w:val="00FB7D26"/>
    <w:rsid w:val="00FB7E0F"/>
    <w:rsid w:val="00FB7E3F"/>
    <w:rsid w:val="00FC0107"/>
    <w:rsid w:val="00FC01DA"/>
    <w:rsid w:val="00FC03AC"/>
    <w:rsid w:val="00FC04F4"/>
    <w:rsid w:val="00FC054C"/>
    <w:rsid w:val="00FC0A01"/>
    <w:rsid w:val="00FC0F4B"/>
    <w:rsid w:val="00FC113A"/>
    <w:rsid w:val="00FC12B4"/>
    <w:rsid w:val="00FC1395"/>
    <w:rsid w:val="00FC13BC"/>
    <w:rsid w:val="00FC14C0"/>
    <w:rsid w:val="00FC1553"/>
    <w:rsid w:val="00FC167D"/>
    <w:rsid w:val="00FC169A"/>
    <w:rsid w:val="00FC181E"/>
    <w:rsid w:val="00FC1945"/>
    <w:rsid w:val="00FC1B00"/>
    <w:rsid w:val="00FC1BB3"/>
    <w:rsid w:val="00FC1BBF"/>
    <w:rsid w:val="00FC1C5D"/>
    <w:rsid w:val="00FC1F1F"/>
    <w:rsid w:val="00FC2102"/>
    <w:rsid w:val="00FC216A"/>
    <w:rsid w:val="00FC23F8"/>
    <w:rsid w:val="00FC24B8"/>
    <w:rsid w:val="00FC26E7"/>
    <w:rsid w:val="00FC2953"/>
    <w:rsid w:val="00FC29FB"/>
    <w:rsid w:val="00FC2ADB"/>
    <w:rsid w:val="00FC2D9E"/>
    <w:rsid w:val="00FC2E20"/>
    <w:rsid w:val="00FC2E90"/>
    <w:rsid w:val="00FC3123"/>
    <w:rsid w:val="00FC336A"/>
    <w:rsid w:val="00FC34E5"/>
    <w:rsid w:val="00FC350C"/>
    <w:rsid w:val="00FC3543"/>
    <w:rsid w:val="00FC3616"/>
    <w:rsid w:val="00FC3671"/>
    <w:rsid w:val="00FC3688"/>
    <w:rsid w:val="00FC3883"/>
    <w:rsid w:val="00FC38BA"/>
    <w:rsid w:val="00FC3A94"/>
    <w:rsid w:val="00FC3AC7"/>
    <w:rsid w:val="00FC3B16"/>
    <w:rsid w:val="00FC3B74"/>
    <w:rsid w:val="00FC3B90"/>
    <w:rsid w:val="00FC3C24"/>
    <w:rsid w:val="00FC3CB2"/>
    <w:rsid w:val="00FC3FDE"/>
    <w:rsid w:val="00FC421A"/>
    <w:rsid w:val="00FC430B"/>
    <w:rsid w:val="00FC4451"/>
    <w:rsid w:val="00FC44A8"/>
    <w:rsid w:val="00FC4900"/>
    <w:rsid w:val="00FC49F0"/>
    <w:rsid w:val="00FC49FF"/>
    <w:rsid w:val="00FC4A3B"/>
    <w:rsid w:val="00FC4AAE"/>
    <w:rsid w:val="00FC4B3D"/>
    <w:rsid w:val="00FC4BA7"/>
    <w:rsid w:val="00FC4CA5"/>
    <w:rsid w:val="00FC4F45"/>
    <w:rsid w:val="00FC4FC1"/>
    <w:rsid w:val="00FC5072"/>
    <w:rsid w:val="00FC5108"/>
    <w:rsid w:val="00FC516B"/>
    <w:rsid w:val="00FC5374"/>
    <w:rsid w:val="00FC553B"/>
    <w:rsid w:val="00FC56E2"/>
    <w:rsid w:val="00FC56F2"/>
    <w:rsid w:val="00FC5712"/>
    <w:rsid w:val="00FC57AB"/>
    <w:rsid w:val="00FC57D0"/>
    <w:rsid w:val="00FC58BC"/>
    <w:rsid w:val="00FC58E3"/>
    <w:rsid w:val="00FC595B"/>
    <w:rsid w:val="00FC5A75"/>
    <w:rsid w:val="00FC5B42"/>
    <w:rsid w:val="00FC5BF5"/>
    <w:rsid w:val="00FC5D4D"/>
    <w:rsid w:val="00FC6400"/>
    <w:rsid w:val="00FC6453"/>
    <w:rsid w:val="00FC65EF"/>
    <w:rsid w:val="00FC6744"/>
    <w:rsid w:val="00FC6814"/>
    <w:rsid w:val="00FC68B4"/>
    <w:rsid w:val="00FC68F8"/>
    <w:rsid w:val="00FC69FE"/>
    <w:rsid w:val="00FC6A8F"/>
    <w:rsid w:val="00FC6D29"/>
    <w:rsid w:val="00FC6EBB"/>
    <w:rsid w:val="00FC6F46"/>
    <w:rsid w:val="00FC712B"/>
    <w:rsid w:val="00FC72CB"/>
    <w:rsid w:val="00FC74AF"/>
    <w:rsid w:val="00FC79F6"/>
    <w:rsid w:val="00FC7B46"/>
    <w:rsid w:val="00FC7B6F"/>
    <w:rsid w:val="00FC7F2B"/>
    <w:rsid w:val="00FC7F76"/>
    <w:rsid w:val="00FC7FC8"/>
    <w:rsid w:val="00FD0141"/>
    <w:rsid w:val="00FD036B"/>
    <w:rsid w:val="00FD0503"/>
    <w:rsid w:val="00FD0553"/>
    <w:rsid w:val="00FD0580"/>
    <w:rsid w:val="00FD06FA"/>
    <w:rsid w:val="00FD07CC"/>
    <w:rsid w:val="00FD093D"/>
    <w:rsid w:val="00FD0AEE"/>
    <w:rsid w:val="00FD0B92"/>
    <w:rsid w:val="00FD0C69"/>
    <w:rsid w:val="00FD0EAB"/>
    <w:rsid w:val="00FD1878"/>
    <w:rsid w:val="00FD18C3"/>
    <w:rsid w:val="00FD1A3C"/>
    <w:rsid w:val="00FD1E46"/>
    <w:rsid w:val="00FD2158"/>
    <w:rsid w:val="00FD21E5"/>
    <w:rsid w:val="00FD23E6"/>
    <w:rsid w:val="00FD267B"/>
    <w:rsid w:val="00FD26D6"/>
    <w:rsid w:val="00FD2738"/>
    <w:rsid w:val="00FD289A"/>
    <w:rsid w:val="00FD29B5"/>
    <w:rsid w:val="00FD2A26"/>
    <w:rsid w:val="00FD2B20"/>
    <w:rsid w:val="00FD2E06"/>
    <w:rsid w:val="00FD2E69"/>
    <w:rsid w:val="00FD3028"/>
    <w:rsid w:val="00FD30C7"/>
    <w:rsid w:val="00FD3261"/>
    <w:rsid w:val="00FD3861"/>
    <w:rsid w:val="00FD38B1"/>
    <w:rsid w:val="00FD3982"/>
    <w:rsid w:val="00FD3998"/>
    <w:rsid w:val="00FD39CC"/>
    <w:rsid w:val="00FD39F5"/>
    <w:rsid w:val="00FD3A94"/>
    <w:rsid w:val="00FD3C1F"/>
    <w:rsid w:val="00FD3D34"/>
    <w:rsid w:val="00FD3EE2"/>
    <w:rsid w:val="00FD3F72"/>
    <w:rsid w:val="00FD3FDD"/>
    <w:rsid w:val="00FD42F1"/>
    <w:rsid w:val="00FD44D1"/>
    <w:rsid w:val="00FD44D8"/>
    <w:rsid w:val="00FD45CD"/>
    <w:rsid w:val="00FD4709"/>
    <w:rsid w:val="00FD474B"/>
    <w:rsid w:val="00FD474D"/>
    <w:rsid w:val="00FD4892"/>
    <w:rsid w:val="00FD4905"/>
    <w:rsid w:val="00FD4A15"/>
    <w:rsid w:val="00FD4BA7"/>
    <w:rsid w:val="00FD4C6C"/>
    <w:rsid w:val="00FD4E83"/>
    <w:rsid w:val="00FD4ECD"/>
    <w:rsid w:val="00FD52BB"/>
    <w:rsid w:val="00FD5312"/>
    <w:rsid w:val="00FD5426"/>
    <w:rsid w:val="00FD5517"/>
    <w:rsid w:val="00FD55EA"/>
    <w:rsid w:val="00FD566E"/>
    <w:rsid w:val="00FD56B4"/>
    <w:rsid w:val="00FD5708"/>
    <w:rsid w:val="00FD5881"/>
    <w:rsid w:val="00FD5980"/>
    <w:rsid w:val="00FD5B06"/>
    <w:rsid w:val="00FD5E6D"/>
    <w:rsid w:val="00FD6070"/>
    <w:rsid w:val="00FD60DD"/>
    <w:rsid w:val="00FD6372"/>
    <w:rsid w:val="00FD6387"/>
    <w:rsid w:val="00FD639E"/>
    <w:rsid w:val="00FD688C"/>
    <w:rsid w:val="00FD68BF"/>
    <w:rsid w:val="00FD6A96"/>
    <w:rsid w:val="00FD6F35"/>
    <w:rsid w:val="00FD7099"/>
    <w:rsid w:val="00FD748F"/>
    <w:rsid w:val="00FD74D1"/>
    <w:rsid w:val="00FD7612"/>
    <w:rsid w:val="00FD7657"/>
    <w:rsid w:val="00FD76EE"/>
    <w:rsid w:val="00FD780D"/>
    <w:rsid w:val="00FD7893"/>
    <w:rsid w:val="00FD7912"/>
    <w:rsid w:val="00FD7B72"/>
    <w:rsid w:val="00FD7CE6"/>
    <w:rsid w:val="00FD7F27"/>
    <w:rsid w:val="00FE0078"/>
    <w:rsid w:val="00FE01EE"/>
    <w:rsid w:val="00FE02EF"/>
    <w:rsid w:val="00FE04B3"/>
    <w:rsid w:val="00FE04B6"/>
    <w:rsid w:val="00FE0577"/>
    <w:rsid w:val="00FE0587"/>
    <w:rsid w:val="00FE05E3"/>
    <w:rsid w:val="00FE05EA"/>
    <w:rsid w:val="00FE061B"/>
    <w:rsid w:val="00FE0822"/>
    <w:rsid w:val="00FE0849"/>
    <w:rsid w:val="00FE085E"/>
    <w:rsid w:val="00FE0892"/>
    <w:rsid w:val="00FE09B4"/>
    <w:rsid w:val="00FE0BF0"/>
    <w:rsid w:val="00FE0C44"/>
    <w:rsid w:val="00FE11E1"/>
    <w:rsid w:val="00FE120D"/>
    <w:rsid w:val="00FE138C"/>
    <w:rsid w:val="00FE13E1"/>
    <w:rsid w:val="00FE140A"/>
    <w:rsid w:val="00FE15BF"/>
    <w:rsid w:val="00FE1611"/>
    <w:rsid w:val="00FE1743"/>
    <w:rsid w:val="00FE1819"/>
    <w:rsid w:val="00FE18BD"/>
    <w:rsid w:val="00FE1B78"/>
    <w:rsid w:val="00FE1DD8"/>
    <w:rsid w:val="00FE1F17"/>
    <w:rsid w:val="00FE2221"/>
    <w:rsid w:val="00FE250C"/>
    <w:rsid w:val="00FE256C"/>
    <w:rsid w:val="00FE258A"/>
    <w:rsid w:val="00FE26D7"/>
    <w:rsid w:val="00FE26EF"/>
    <w:rsid w:val="00FE2760"/>
    <w:rsid w:val="00FE2B0A"/>
    <w:rsid w:val="00FE2B41"/>
    <w:rsid w:val="00FE2CB9"/>
    <w:rsid w:val="00FE3048"/>
    <w:rsid w:val="00FE3081"/>
    <w:rsid w:val="00FE3528"/>
    <w:rsid w:val="00FE37B9"/>
    <w:rsid w:val="00FE39D1"/>
    <w:rsid w:val="00FE3AEB"/>
    <w:rsid w:val="00FE3B1E"/>
    <w:rsid w:val="00FE3B7A"/>
    <w:rsid w:val="00FE3B93"/>
    <w:rsid w:val="00FE3C16"/>
    <w:rsid w:val="00FE3C8B"/>
    <w:rsid w:val="00FE3E4A"/>
    <w:rsid w:val="00FE3E88"/>
    <w:rsid w:val="00FE4082"/>
    <w:rsid w:val="00FE43EA"/>
    <w:rsid w:val="00FE4547"/>
    <w:rsid w:val="00FE4551"/>
    <w:rsid w:val="00FE4568"/>
    <w:rsid w:val="00FE4690"/>
    <w:rsid w:val="00FE494F"/>
    <w:rsid w:val="00FE4BFE"/>
    <w:rsid w:val="00FE4D43"/>
    <w:rsid w:val="00FE4D99"/>
    <w:rsid w:val="00FE4E39"/>
    <w:rsid w:val="00FE5073"/>
    <w:rsid w:val="00FE5111"/>
    <w:rsid w:val="00FE52D9"/>
    <w:rsid w:val="00FE5464"/>
    <w:rsid w:val="00FE5540"/>
    <w:rsid w:val="00FE5655"/>
    <w:rsid w:val="00FE5748"/>
    <w:rsid w:val="00FE5B1B"/>
    <w:rsid w:val="00FE5BAD"/>
    <w:rsid w:val="00FE5BDF"/>
    <w:rsid w:val="00FE5E1B"/>
    <w:rsid w:val="00FE5EE3"/>
    <w:rsid w:val="00FE60DF"/>
    <w:rsid w:val="00FE6260"/>
    <w:rsid w:val="00FE6277"/>
    <w:rsid w:val="00FE62A4"/>
    <w:rsid w:val="00FE63A8"/>
    <w:rsid w:val="00FE6593"/>
    <w:rsid w:val="00FE677E"/>
    <w:rsid w:val="00FE69CC"/>
    <w:rsid w:val="00FE69D0"/>
    <w:rsid w:val="00FE6A5E"/>
    <w:rsid w:val="00FE6A63"/>
    <w:rsid w:val="00FE6CCE"/>
    <w:rsid w:val="00FE6CFA"/>
    <w:rsid w:val="00FE6E22"/>
    <w:rsid w:val="00FE6FB8"/>
    <w:rsid w:val="00FE70DA"/>
    <w:rsid w:val="00FE7445"/>
    <w:rsid w:val="00FE76A8"/>
    <w:rsid w:val="00FE78D6"/>
    <w:rsid w:val="00FE7ABE"/>
    <w:rsid w:val="00FE7B89"/>
    <w:rsid w:val="00FE7CD1"/>
    <w:rsid w:val="00FE7DF3"/>
    <w:rsid w:val="00FE7E52"/>
    <w:rsid w:val="00FE7F6C"/>
    <w:rsid w:val="00FF01AC"/>
    <w:rsid w:val="00FF01AF"/>
    <w:rsid w:val="00FF03AD"/>
    <w:rsid w:val="00FF0551"/>
    <w:rsid w:val="00FF076F"/>
    <w:rsid w:val="00FF0822"/>
    <w:rsid w:val="00FF0ED9"/>
    <w:rsid w:val="00FF1426"/>
    <w:rsid w:val="00FF15E4"/>
    <w:rsid w:val="00FF1A66"/>
    <w:rsid w:val="00FF1BDD"/>
    <w:rsid w:val="00FF1C30"/>
    <w:rsid w:val="00FF1D8A"/>
    <w:rsid w:val="00FF1ED9"/>
    <w:rsid w:val="00FF20DF"/>
    <w:rsid w:val="00FF21BD"/>
    <w:rsid w:val="00FF234E"/>
    <w:rsid w:val="00FF24F7"/>
    <w:rsid w:val="00FF259E"/>
    <w:rsid w:val="00FF280D"/>
    <w:rsid w:val="00FF297A"/>
    <w:rsid w:val="00FF2C36"/>
    <w:rsid w:val="00FF2D4C"/>
    <w:rsid w:val="00FF2EF8"/>
    <w:rsid w:val="00FF2F0E"/>
    <w:rsid w:val="00FF3072"/>
    <w:rsid w:val="00FF31A5"/>
    <w:rsid w:val="00FF32FE"/>
    <w:rsid w:val="00FF33F3"/>
    <w:rsid w:val="00FF343F"/>
    <w:rsid w:val="00FF35C9"/>
    <w:rsid w:val="00FF399E"/>
    <w:rsid w:val="00FF39E0"/>
    <w:rsid w:val="00FF3A16"/>
    <w:rsid w:val="00FF3A91"/>
    <w:rsid w:val="00FF3D9A"/>
    <w:rsid w:val="00FF40CA"/>
    <w:rsid w:val="00FF41AB"/>
    <w:rsid w:val="00FF4200"/>
    <w:rsid w:val="00FF4282"/>
    <w:rsid w:val="00FF439E"/>
    <w:rsid w:val="00FF44AF"/>
    <w:rsid w:val="00FF4834"/>
    <w:rsid w:val="00FF485A"/>
    <w:rsid w:val="00FF4914"/>
    <w:rsid w:val="00FF4917"/>
    <w:rsid w:val="00FF49AC"/>
    <w:rsid w:val="00FF4BCD"/>
    <w:rsid w:val="00FF4CDF"/>
    <w:rsid w:val="00FF4CE7"/>
    <w:rsid w:val="00FF4DCA"/>
    <w:rsid w:val="00FF4E1E"/>
    <w:rsid w:val="00FF4E92"/>
    <w:rsid w:val="00FF514A"/>
    <w:rsid w:val="00FF5262"/>
    <w:rsid w:val="00FF5429"/>
    <w:rsid w:val="00FF5512"/>
    <w:rsid w:val="00FF5658"/>
    <w:rsid w:val="00FF5672"/>
    <w:rsid w:val="00FF589B"/>
    <w:rsid w:val="00FF59EA"/>
    <w:rsid w:val="00FF5A89"/>
    <w:rsid w:val="00FF5AA4"/>
    <w:rsid w:val="00FF5DB3"/>
    <w:rsid w:val="00FF5DEB"/>
    <w:rsid w:val="00FF5EC2"/>
    <w:rsid w:val="00FF600B"/>
    <w:rsid w:val="00FF60C5"/>
    <w:rsid w:val="00FF6284"/>
    <w:rsid w:val="00FF62E8"/>
    <w:rsid w:val="00FF641D"/>
    <w:rsid w:val="00FF6589"/>
    <w:rsid w:val="00FF664F"/>
    <w:rsid w:val="00FF6697"/>
    <w:rsid w:val="00FF687D"/>
    <w:rsid w:val="00FF6A15"/>
    <w:rsid w:val="00FF6B56"/>
    <w:rsid w:val="00FF6C42"/>
    <w:rsid w:val="00FF6C9F"/>
    <w:rsid w:val="00FF6D5A"/>
    <w:rsid w:val="00FF6DB1"/>
    <w:rsid w:val="00FF6DEE"/>
    <w:rsid w:val="00FF6DFB"/>
    <w:rsid w:val="00FF6FAB"/>
    <w:rsid w:val="00FF7465"/>
    <w:rsid w:val="00FF757C"/>
    <w:rsid w:val="00FF76E2"/>
    <w:rsid w:val="00FF77D0"/>
    <w:rsid w:val="00FF7CA2"/>
    <w:rsid w:val="00FF7E74"/>
    <w:rsid w:val="00FF7F97"/>
    <w:rsid w:val="0107D6D7"/>
    <w:rsid w:val="0107F948"/>
    <w:rsid w:val="01147703"/>
    <w:rsid w:val="0114A552"/>
    <w:rsid w:val="01177672"/>
    <w:rsid w:val="012FB744"/>
    <w:rsid w:val="0130DAC7"/>
    <w:rsid w:val="01364738"/>
    <w:rsid w:val="013705E8"/>
    <w:rsid w:val="013AF016"/>
    <w:rsid w:val="01414B4C"/>
    <w:rsid w:val="01431A64"/>
    <w:rsid w:val="014E0B18"/>
    <w:rsid w:val="015866B0"/>
    <w:rsid w:val="0158A81C"/>
    <w:rsid w:val="01595346"/>
    <w:rsid w:val="01596BFF"/>
    <w:rsid w:val="015E864E"/>
    <w:rsid w:val="015EF6F0"/>
    <w:rsid w:val="01600FF5"/>
    <w:rsid w:val="0162EC92"/>
    <w:rsid w:val="01670689"/>
    <w:rsid w:val="016A5D4B"/>
    <w:rsid w:val="016AA659"/>
    <w:rsid w:val="016AF1E1"/>
    <w:rsid w:val="016FB076"/>
    <w:rsid w:val="0175335B"/>
    <w:rsid w:val="01794F48"/>
    <w:rsid w:val="017C945F"/>
    <w:rsid w:val="017D0B52"/>
    <w:rsid w:val="01845741"/>
    <w:rsid w:val="01849C86"/>
    <w:rsid w:val="0190DCCE"/>
    <w:rsid w:val="0193ADA5"/>
    <w:rsid w:val="019774C7"/>
    <w:rsid w:val="019E2E9A"/>
    <w:rsid w:val="01A739E0"/>
    <w:rsid w:val="01A99D2C"/>
    <w:rsid w:val="01A9B1F8"/>
    <w:rsid w:val="01AAA6BA"/>
    <w:rsid w:val="01AFD28E"/>
    <w:rsid w:val="01B47E5C"/>
    <w:rsid w:val="01B5ED4D"/>
    <w:rsid w:val="01B66293"/>
    <w:rsid w:val="01B6D121"/>
    <w:rsid w:val="01BA53B7"/>
    <w:rsid w:val="01C6FAD1"/>
    <w:rsid w:val="01CB3F77"/>
    <w:rsid w:val="01D74FB8"/>
    <w:rsid w:val="01DBF99A"/>
    <w:rsid w:val="01DD33CF"/>
    <w:rsid w:val="01E54DD3"/>
    <w:rsid w:val="01EBEF9B"/>
    <w:rsid w:val="01F46C4E"/>
    <w:rsid w:val="01F757C6"/>
    <w:rsid w:val="01FB41AD"/>
    <w:rsid w:val="01FB4D38"/>
    <w:rsid w:val="01FF6392"/>
    <w:rsid w:val="020B4F45"/>
    <w:rsid w:val="020C8D1C"/>
    <w:rsid w:val="020E5675"/>
    <w:rsid w:val="021E2BBC"/>
    <w:rsid w:val="021E34A5"/>
    <w:rsid w:val="0223E7C7"/>
    <w:rsid w:val="02253032"/>
    <w:rsid w:val="02257001"/>
    <w:rsid w:val="022609FD"/>
    <w:rsid w:val="022F6220"/>
    <w:rsid w:val="0230CBCB"/>
    <w:rsid w:val="02318286"/>
    <w:rsid w:val="0235F928"/>
    <w:rsid w:val="023A3875"/>
    <w:rsid w:val="023B4AD8"/>
    <w:rsid w:val="023FAABB"/>
    <w:rsid w:val="02442F87"/>
    <w:rsid w:val="024A0703"/>
    <w:rsid w:val="024A8B5E"/>
    <w:rsid w:val="0250561B"/>
    <w:rsid w:val="025887B9"/>
    <w:rsid w:val="025F79FC"/>
    <w:rsid w:val="0260827E"/>
    <w:rsid w:val="02624A9A"/>
    <w:rsid w:val="02644E43"/>
    <w:rsid w:val="026457FF"/>
    <w:rsid w:val="02654E24"/>
    <w:rsid w:val="026D5E7C"/>
    <w:rsid w:val="027572B7"/>
    <w:rsid w:val="027F037D"/>
    <w:rsid w:val="028382E7"/>
    <w:rsid w:val="0286B6D8"/>
    <w:rsid w:val="02897066"/>
    <w:rsid w:val="028D98DE"/>
    <w:rsid w:val="029893FF"/>
    <w:rsid w:val="0299E74E"/>
    <w:rsid w:val="029A9F72"/>
    <w:rsid w:val="029BCA97"/>
    <w:rsid w:val="029CAC81"/>
    <w:rsid w:val="02A09C2A"/>
    <w:rsid w:val="02A20EE9"/>
    <w:rsid w:val="02A2EF3C"/>
    <w:rsid w:val="02AB9F40"/>
    <w:rsid w:val="02AC93E2"/>
    <w:rsid w:val="02B0571B"/>
    <w:rsid w:val="02B2A2CE"/>
    <w:rsid w:val="02B699F1"/>
    <w:rsid w:val="02BCD830"/>
    <w:rsid w:val="02C62C35"/>
    <w:rsid w:val="02C87664"/>
    <w:rsid w:val="02D48A9E"/>
    <w:rsid w:val="02D7D193"/>
    <w:rsid w:val="02E6EDD9"/>
    <w:rsid w:val="02EA5D2C"/>
    <w:rsid w:val="02EF43A2"/>
    <w:rsid w:val="02F28C16"/>
    <w:rsid w:val="02F292B2"/>
    <w:rsid w:val="02F7879A"/>
    <w:rsid w:val="02F7FA70"/>
    <w:rsid w:val="0303252F"/>
    <w:rsid w:val="03058925"/>
    <w:rsid w:val="0308707C"/>
    <w:rsid w:val="0314E46A"/>
    <w:rsid w:val="0317E3A2"/>
    <w:rsid w:val="03190FDC"/>
    <w:rsid w:val="0320DCA8"/>
    <w:rsid w:val="0327D05D"/>
    <w:rsid w:val="0334180A"/>
    <w:rsid w:val="033441A2"/>
    <w:rsid w:val="0335D597"/>
    <w:rsid w:val="0338C053"/>
    <w:rsid w:val="0338CE1D"/>
    <w:rsid w:val="0338FFCE"/>
    <w:rsid w:val="033A4A4C"/>
    <w:rsid w:val="033F2257"/>
    <w:rsid w:val="034E107E"/>
    <w:rsid w:val="034FCABC"/>
    <w:rsid w:val="03531C13"/>
    <w:rsid w:val="0356437C"/>
    <w:rsid w:val="03568D1E"/>
    <w:rsid w:val="0359B834"/>
    <w:rsid w:val="035BC10A"/>
    <w:rsid w:val="03600A86"/>
    <w:rsid w:val="0372FBF1"/>
    <w:rsid w:val="0376D0B3"/>
    <w:rsid w:val="0379AE11"/>
    <w:rsid w:val="0379B6EA"/>
    <w:rsid w:val="037D81A5"/>
    <w:rsid w:val="03825BF9"/>
    <w:rsid w:val="03843DFA"/>
    <w:rsid w:val="03858FA3"/>
    <w:rsid w:val="0386A3CB"/>
    <w:rsid w:val="038798F3"/>
    <w:rsid w:val="0389F770"/>
    <w:rsid w:val="038D472B"/>
    <w:rsid w:val="038E81DD"/>
    <w:rsid w:val="039130E2"/>
    <w:rsid w:val="039A6BC7"/>
    <w:rsid w:val="03A01C5D"/>
    <w:rsid w:val="03A278C6"/>
    <w:rsid w:val="03B7C26D"/>
    <w:rsid w:val="03BBB4E7"/>
    <w:rsid w:val="03C0CF1F"/>
    <w:rsid w:val="03C12128"/>
    <w:rsid w:val="03C13445"/>
    <w:rsid w:val="03C2BDC1"/>
    <w:rsid w:val="03CB92C3"/>
    <w:rsid w:val="03D9FB69"/>
    <w:rsid w:val="03E06939"/>
    <w:rsid w:val="03E24981"/>
    <w:rsid w:val="03E562ED"/>
    <w:rsid w:val="03EAB6F1"/>
    <w:rsid w:val="03EB3A5D"/>
    <w:rsid w:val="03EC0C8A"/>
    <w:rsid w:val="03FA4BC5"/>
    <w:rsid w:val="03FD4EF3"/>
    <w:rsid w:val="04071F24"/>
    <w:rsid w:val="04088ACD"/>
    <w:rsid w:val="04093A71"/>
    <w:rsid w:val="040B55A2"/>
    <w:rsid w:val="04104A8F"/>
    <w:rsid w:val="0414BBEA"/>
    <w:rsid w:val="0414FAEE"/>
    <w:rsid w:val="041D4B35"/>
    <w:rsid w:val="04240C01"/>
    <w:rsid w:val="042A1125"/>
    <w:rsid w:val="042C5624"/>
    <w:rsid w:val="04322974"/>
    <w:rsid w:val="0433B961"/>
    <w:rsid w:val="043A5991"/>
    <w:rsid w:val="043AE53C"/>
    <w:rsid w:val="043EA284"/>
    <w:rsid w:val="044A1C67"/>
    <w:rsid w:val="044CAD47"/>
    <w:rsid w:val="04536E69"/>
    <w:rsid w:val="04541FCF"/>
    <w:rsid w:val="045D9FB4"/>
    <w:rsid w:val="04705070"/>
    <w:rsid w:val="0471BC39"/>
    <w:rsid w:val="0476EA48"/>
    <w:rsid w:val="047832AE"/>
    <w:rsid w:val="047C8466"/>
    <w:rsid w:val="048BFC7A"/>
    <w:rsid w:val="048C20A9"/>
    <w:rsid w:val="048DB050"/>
    <w:rsid w:val="0495B90E"/>
    <w:rsid w:val="049AD0A8"/>
    <w:rsid w:val="049B7425"/>
    <w:rsid w:val="049B777D"/>
    <w:rsid w:val="04A2C051"/>
    <w:rsid w:val="04A4FFF5"/>
    <w:rsid w:val="04B2EAB1"/>
    <w:rsid w:val="04B3C887"/>
    <w:rsid w:val="04B59AED"/>
    <w:rsid w:val="04BA8D86"/>
    <w:rsid w:val="04C1C0FD"/>
    <w:rsid w:val="04C55711"/>
    <w:rsid w:val="04C7F67F"/>
    <w:rsid w:val="04CDF602"/>
    <w:rsid w:val="04D00028"/>
    <w:rsid w:val="04D23053"/>
    <w:rsid w:val="04D2B45E"/>
    <w:rsid w:val="04D6DF88"/>
    <w:rsid w:val="04D84248"/>
    <w:rsid w:val="04DA19EA"/>
    <w:rsid w:val="04DAD336"/>
    <w:rsid w:val="04DC500A"/>
    <w:rsid w:val="04DC79E1"/>
    <w:rsid w:val="04E9CDA6"/>
    <w:rsid w:val="04EA74D1"/>
    <w:rsid w:val="04F3839D"/>
    <w:rsid w:val="04F9158C"/>
    <w:rsid w:val="0503BA0B"/>
    <w:rsid w:val="0506E6CF"/>
    <w:rsid w:val="0508704D"/>
    <w:rsid w:val="050BDC21"/>
    <w:rsid w:val="050DF8C6"/>
    <w:rsid w:val="050DFEB3"/>
    <w:rsid w:val="051B5CA8"/>
    <w:rsid w:val="052E8A8B"/>
    <w:rsid w:val="0534EC87"/>
    <w:rsid w:val="053BF02C"/>
    <w:rsid w:val="0543D592"/>
    <w:rsid w:val="0547E88A"/>
    <w:rsid w:val="054B2B37"/>
    <w:rsid w:val="05531F50"/>
    <w:rsid w:val="05535890"/>
    <w:rsid w:val="0555D5CA"/>
    <w:rsid w:val="056174CB"/>
    <w:rsid w:val="05621691"/>
    <w:rsid w:val="0563337A"/>
    <w:rsid w:val="0565E27E"/>
    <w:rsid w:val="0567EB99"/>
    <w:rsid w:val="0569366D"/>
    <w:rsid w:val="056B8C68"/>
    <w:rsid w:val="056CFC98"/>
    <w:rsid w:val="056F281E"/>
    <w:rsid w:val="05708CAB"/>
    <w:rsid w:val="05728C4A"/>
    <w:rsid w:val="057A8C40"/>
    <w:rsid w:val="05861326"/>
    <w:rsid w:val="058B2446"/>
    <w:rsid w:val="058C95B0"/>
    <w:rsid w:val="059B6E78"/>
    <w:rsid w:val="059ED634"/>
    <w:rsid w:val="05A0834B"/>
    <w:rsid w:val="05A25670"/>
    <w:rsid w:val="05A5E403"/>
    <w:rsid w:val="05A97938"/>
    <w:rsid w:val="05ABABFC"/>
    <w:rsid w:val="05B2D40B"/>
    <w:rsid w:val="05B6EED3"/>
    <w:rsid w:val="05C58849"/>
    <w:rsid w:val="05CAD78F"/>
    <w:rsid w:val="05CDC949"/>
    <w:rsid w:val="05D2EC8F"/>
    <w:rsid w:val="05D3DC67"/>
    <w:rsid w:val="05D8440A"/>
    <w:rsid w:val="05DEA116"/>
    <w:rsid w:val="05E030A0"/>
    <w:rsid w:val="05E5367F"/>
    <w:rsid w:val="05E6104C"/>
    <w:rsid w:val="05E6395E"/>
    <w:rsid w:val="05E7DEC4"/>
    <w:rsid w:val="05E80A93"/>
    <w:rsid w:val="05EF3806"/>
    <w:rsid w:val="05F6A1A0"/>
    <w:rsid w:val="05FA00F8"/>
    <w:rsid w:val="05FBC434"/>
    <w:rsid w:val="06010FB4"/>
    <w:rsid w:val="060236C2"/>
    <w:rsid w:val="0603D600"/>
    <w:rsid w:val="061A5B47"/>
    <w:rsid w:val="061CACDF"/>
    <w:rsid w:val="06217F7D"/>
    <w:rsid w:val="0623F1AE"/>
    <w:rsid w:val="06313115"/>
    <w:rsid w:val="06333E34"/>
    <w:rsid w:val="06348C44"/>
    <w:rsid w:val="063C1059"/>
    <w:rsid w:val="063C9904"/>
    <w:rsid w:val="0649F59E"/>
    <w:rsid w:val="06558D8A"/>
    <w:rsid w:val="06583CE7"/>
    <w:rsid w:val="065A7E72"/>
    <w:rsid w:val="065C4E04"/>
    <w:rsid w:val="065CE783"/>
    <w:rsid w:val="0666A8B4"/>
    <w:rsid w:val="066A3BB1"/>
    <w:rsid w:val="066ACD4F"/>
    <w:rsid w:val="0674BC55"/>
    <w:rsid w:val="06750670"/>
    <w:rsid w:val="067543F9"/>
    <w:rsid w:val="06759E8D"/>
    <w:rsid w:val="067DA5E2"/>
    <w:rsid w:val="068B87D6"/>
    <w:rsid w:val="0690C8CF"/>
    <w:rsid w:val="0691C5EE"/>
    <w:rsid w:val="0693FDB3"/>
    <w:rsid w:val="0694ACCA"/>
    <w:rsid w:val="06966539"/>
    <w:rsid w:val="069AE6C0"/>
    <w:rsid w:val="069F94EA"/>
    <w:rsid w:val="06A0D961"/>
    <w:rsid w:val="06A3DA84"/>
    <w:rsid w:val="06A547F6"/>
    <w:rsid w:val="06A80310"/>
    <w:rsid w:val="06AE11AD"/>
    <w:rsid w:val="06B0FA7F"/>
    <w:rsid w:val="06B462BF"/>
    <w:rsid w:val="06B7F792"/>
    <w:rsid w:val="06BC47C6"/>
    <w:rsid w:val="06C42FC1"/>
    <w:rsid w:val="06C44867"/>
    <w:rsid w:val="06CB9662"/>
    <w:rsid w:val="06D5608F"/>
    <w:rsid w:val="06D61198"/>
    <w:rsid w:val="06DC8CAB"/>
    <w:rsid w:val="06DE7C39"/>
    <w:rsid w:val="06DF6E60"/>
    <w:rsid w:val="06DFA756"/>
    <w:rsid w:val="06E0C6A2"/>
    <w:rsid w:val="06E4BAB3"/>
    <w:rsid w:val="06E78DD7"/>
    <w:rsid w:val="06E86901"/>
    <w:rsid w:val="06EE6481"/>
    <w:rsid w:val="06F436A6"/>
    <w:rsid w:val="06F5C862"/>
    <w:rsid w:val="06F8C733"/>
    <w:rsid w:val="06F8E10B"/>
    <w:rsid w:val="06FC9614"/>
    <w:rsid w:val="07006622"/>
    <w:rsid w:val="070117BE"/>
    <w:rsid w:val="070A9177"/>
    <w:rsid w:val="0715D24C"/>
    <w:rsid w:val="071A5C57"/>
    <w:rsid w:val="0726A6E9"/>
    <w:rsid w:val="0730EDCC"/>
    <w:rsid w:val="073145AB"/>
    <w:rsid w:val="07324D1C"/>
    <w:rsid w:val="0732E933"/>
    <w:rsid w:val="07370F69"/>
    <w:rsid w:val="0739B935"/>
    <w:rsid w:val="073BC8D7"/>
    <w:rsid w:val="073EF6AF"/>
    <w:rsid w:val="0741715B"/>
    <w:rsid w:val="0744DD6D"/>
    <w:rsid w:val="0747880C"/>
    <w:rsid w:val="0755A29D"/>
    <w:rsid w:val="0756C9E5"/>
    <w:rsid w:val="0758A3E8"/>
    <w:rsid w:val="07590DDF"/>
    <w:rsid w:val="0759DCC3"/>
    <w:rsid w:val="07600797"/>
    <w:rsid w:val="0760149C"/>
    <w:rsid w:val="07628047"/>
    <w:rsid w:val="0763C90E"/>
    <w:rsid w:val="0766F959"/>
    <w:rsid w:val="0768A397"/>
    <w:rsid w:val="076F9E2B"/>
    <w:rsid w:val="077234E8"/>
    <w:rsid w:val="078362B4"/>
    <w:rsid w:val="07836F76"/>
    <w:rsid w:val="078847DD"/>
    <w:rsid w:val="0788C4DC"/>
    <w:rsid w:val="078E32FF"/>
    <w:rsid w:val="0790A217"/>
    <w:rsid w:val="0795EEC0"/>
    <w:rsid w:val="079D5071"/>
    <w:rsid w:val="079F3C80"/>
    <w:rsid w:val="07B6D2C3"/>
    <w:rsid w:val="07B79C6D"/>
    <w:rsid w:val="07B7F1E5"/>
    <w:rsid w:val="07B81C6C"/>
    <w:rsid w:val="07B86273"/>
    <w:rsid w:val="07BB7CC6"/>
    <w:rsid w:val="07C178A0"/>
    <w:rsid w:val="07C2B332"/>
    <w:rsid w:val="07CDC903"/>
    <w:rsid w:val="07CEB521"/>
    <w:rsid w:val="07CF42B5"/>
    <w:rsid w:val="07CF5CFE"/>
    <w:rsid w:val="07D06F8E"/>
    <w:rsid w:val="07D1E141"/>
    <w:rsid w:val="07D31149"/>
    <w:rsid w:val="07D6C3ED"/>
    <w:rsid w:val="07D79DDB"/>
    <w:rsid w:val="07E6CCC5"/>
    <w:rsid w:val="07EBEF7B"/>
    <w:rsid w:val="07EC306A"/>
    <w:rsid w:val="07ECC484"/>
    <w:rsid w:val="07EF6278"/>
    <w:rsid w:val="07F02C4A"/>
    <w:rsid w:val="07F34D44"/>
    <w:rsid w:val="0801B30B"/>
    <w:rsid w:val="080D1903"/>
    <w:rsid w:val="080E2D7F"/>
    <w:rsid w:val="08109B77"/>
    <w:rsid w:val="0817F975"/>
    <w:rsid w:val="081C9200"/>
    <w:rsid w:val="082905D2"/>
    <w:rsid w:val="0830072D"/>
    <w:rsid w:val="0833BFB3"/>
    <w:rsid w:val="083C6065"/>
    <w:rsid w:val="083E68E1"/>
    <w:rsid w:val="083E7E05"/>
    <w:rsid w:val="0848122D"/>
    <w:rsid w:val="084F4F59"/>
    <w:rsid w:val="0858AF82"/>
    <w:rsid w:val="085A10BA"/>
    <w:rsid w:val="085DCA83"/>
    <w:rsid w:val="08674899"/>
    <w:rsid w:val="086CD034"/>
    <w:rsid w:val="08740926"/>
    <w:rsid w:val="0875AC63"/>
    <w:rsid w:val="08781AF9"/>
    <w:rsid w:val="087A667D"/>
    <w:rsid w:val="08812781"/>
    <w:rsid w:val="088FBE11"/>
    <w:rsid w:val="089739FD"/>
    <w:rsid w:val="089AE8E7"/>
    <w:rsid w:val="089E17F5"/>
    <w:rsid w:val="08A2C5D6"/>
    <w:rsid w:val="08AB0063"/>
    <w:rsid w:val="08B22900"/>
    <w:rsid w:val="08B88E14"/>
    <w:rsid w:val="08C3033B"/>
    <w:rsid w:val="08C46B70"/>
    <w:rsid w:val="08C841B7"/>
    <w:rsid w:val="08C871B1"/>
    <w:rsid w:val="08D12878"/>
    <w:rsid w:val="08D174B9"/>
    <w:rsid w:val="08D32215"/>
    <w:rsid w:val="08DEBBE3"/>
    <w:rsid w:val="08E34070"/>
    <w:rsid w:val="08E39A56"/>
    <w:rsid w:val="08E50C87"/>
    <w:rsid w:val="08E5D446"/>
    <w:rsid w:val="08EB9023"/>
    <w:rsid w:val="08F854E6"/>
    <w:rsid w:val="08F992B8"/>
    <w:rsid w:val="08FA43A5"/>
    <w:rsid w:val="08FFF21F"/>
    <w:rsid w:val="090CFD8B"/>
    <w:rsid w:val="0911AFAF"/>
    <w:rsid w:val="0914A3F5"/>
    <w:rsid w:val="0917D4D7"/>
    <w:rsid w:val="09193C22"/>
    <w:rsid w:val="091C0034"/>
    <w:rsid w:val="0924CE01"/>
    <w:rsid w:val="0929D4D0"/>
    <w:rsid w:val="0932C83D"/>
    <w:rsid w:val="0934B6DB"/>
    <w:rsid w:val="093C637D"/>
    <w:rsid w:val="09415535"/>
    <w:rsid w:val="09466E0A"/>
    <w:rsid w:val="094C9B54"/>
    <w:rsid w:val="094E3FAC"/>
    <w:rsid w:val="0950A638"/>
    <w:rsid w:val="09516D48"/>
    <w:rsid w:val="0952BDDC"/>
    <w:rsid w:val="095363D3"/>
    <w:rsid w:val="0953F910"/>
    <w:rsid w:val="095FB866"/>
    <w:rsid w:val="0963B7D7"/>
    <w:rsid w:val="096872F9"/>
    <w:rsid w:val="096F08C9"/>
    <w:rsid w:val="098CE2EE"/>
    <w:rsid w:val="098DC8A0"/>
    <w:rsid w:val="09938D4D"/>
    <w:rsid w:val="0993EF43"/>
    <w:rsid w:val="0995403A"/>
    <w:rsid w:val="0996FEDC"/>
    <w:rsid w:val="09974C38"/>
    <w:rsid w:val="099849E6"/>
    <w:rsid w:val="09A2F0D9"/>
    <w:rsid w:val="09AB4FA2"/>
    <w:rsid w:val="09AE3DF6"/>
    <w:rsid w:val="09B10CF9"/>
    <w:rsid w:val="09B44623"/>
    <w:rsid w:val="09B77731"/>
    <w:rsid w:val="09C25BCC"/>
    <w:rsid w:val="09D1F0D7"/>
    <w:rsid w:val="09D8D874"/>
    <w:rsid w:val="09D924B8"/>
    <w:rsid w:val="09E03F61"/>
    <w:rsid w:val="09E6D736"/>
    <w:rsid w:val="09EA74C3"/>
    <w:rsid w:val="09EA8E02"/>
    <w:rsid w:val="09EE777F"/>
    <w:rsid w:val="09F640C2"/>
    <w:rsid w:val="09F86191"/>
    <w:rsid w:val="09F8CDF6"/>
    <w:rsid w:val="09FCCACF"/>
    <w:rsid w:val="0A0B5C1B"/>
    <w:rsid w:val="0A0F87B6"/>
    <w:rsid w:val="0A1362A9"/>
    <w:rsid w:val="0A17E5F2"/>
    <w:rsid w:val="0A188E0A"/>
    <w:rsid w:val="0A190B4F"/>
    <w:rsid w:val="0A21730E"/>
    <w:rsid w:val="0A299C44"/>
    <w:rsid w:val="0A336B50"/>
    <w:rsid w:val="0A3E5F2A"/>
    <w:rsid w:val="0A61C0E3"/>
    <w:rsid w:val="0A664A74"/>
    <w:rsid w:val="0A681235"/>
    <w:rsid w:val="0A6A2EBA"/>
    <w:rsid w:val="0A6DDEB3"/>
    <w:rsid w:val="0A6F66FB"/>
    <w:rsid w:val="0A721F56"/>
    <w:rsid w:val="0A73C3AB"/>
    <w:rsid w:val="0A7B1B83"/>
    <w:rsid w:val="0A7F05C1"/>
    <w:rsid w:val="0A7F2C03"/>
    <w:rsid w:val="0A811884"/>
    <w:rsid w:val="0A8F326F"/>
    <w:rsid w:val="0A914B81"/>
    <w:rsid w:val="0A91C9FE"/>
    <w:rsid w:val="0A98313D"/>
    <w:rsid w:val="0A9C87C9"/>
    <w:rsid w:val="0AA05EF6"/>
    <w:rsid w:val="0AA4BA90"/>
    <w:rsid w:val="0AA5765E"/>
    <w:rsid w:val="0AAA0A7E"/>
    <w:rsid w:val="0AB15948"/>
    <w:rsid w:val="0AB2E322"/>
    <w:rsid w:val="0AB3A5F3"/>
    <w:rsid w:val="0ACEF819"/>
    <w:rsid w:val="0AD57762"/>
    <w:rsid w:val="0AD58C95"/>
    <w:rsid w:val="0ADE9ED0"/>
    <w:rsid w:val="0ADEDED3"/>
    <w:rsid w:val="0AE778B0"/>
    <w:rsid w:val="0AEC5A26"/>
    <w:rsid w:val="0AF1ED6F"/>
    <w:rsid w:val="0AF42030"/>
    <w:rsid w:val="0AF44E59"/>
    <w:rsid w:val="0AF4E424"/>
    <w:rsid w:val="0AFC8722"/>
    <w:rsid w:val="0AFC924C"/>
    <w:rsid w:val="0B01D431"/>
    <w:rsid w:val="0B039C0E"/>
    <w:rsid w:val="0B0646D8"/>
    <w:rsid w:val="0B0D1F3E"/>
    <w:rsid w:val="0B0E20B0"/>
    <w:rsid w:val="0B1148A7"/>
    <w:rsid w:val="0B12C9BE"/>
    <w:rsid w:val="0B1515A1"/>
    <w:rsid w:val="0B27EABA"/>
    <w:rsid w:val="0B2A8C9F"/>
    <w:rsid w:val="0B2FA355"/>
    <w:rsid w:val="0B32FD37"/>
    <w:rsid w:val="0B38F5DD"/>
    <w:rsid w:val="0B3AF106"/>
    <w:rsid w:val="0B4139B9"/>
    <w:rsid w:val="0B4161E3"/>
    <w:rsid w:val="0B45E499"/>
    <w:rsid w:val="0B47B77A"/>
    <w:rsid w:val="0B4CA13F"/>
    <w:rsid w:val="0B4F9851"/>
    <w:rsid w:val="0B5031C8"/>
    <w:rsid w:val="0B50ED43"/>
    <w:rsid w:val="0B5281E2"/>
    <w:rsid w:val="0B532833"/>
    <w:rsid w:val="0B533A4C"/>
    <w:rsid w:val="0B55D9F7"/>
    <w:rsid w:val="0B56A61C"/>
    <w:rsid w:val="0B5FD933"/>
    <w:rsid w:val="0B6128C9"/>
    <w:rsid w:val="0B69940E"/>
    <w:rsid w:val="0B6C05F9"/>
    <w:rsid w:val="0B6DF2B1"/>
    <w:rsid w:val="0B6E2AA4"/>
    <w:rsid w:val="0B6EDEC0"/>
    <w:rsid w:val="0B6F9C13"/>
    <w:rsid w:val="0B785043"/>
    <w:rsid w:val="0B7E481B"/>
    <w:rsid w:val="0B7ECD51"/>
    <w:rsid w:val="0B89E398"/>
    <w:rsid w:val="0B8BBAB6"/>
    <w:rsid w:val="0B973045"/>
    <w:rsid w:val="0B97C1BA"/>
    <w:rsid w:val="0B9C1B69"/>
    <w:rsid w:val="0B9F1271"/>
    <w:rsid w:val="0B9FFC79"/>
    <w:rsid w:val="0BA5CB23"/>
    <w:rsid w:val="0BA6A418"/>
    <w:rsid w:val="0BA78397"/>
    <w:rsid w:val="0BA8DB14"/>
    <w:rsid w:val="0BAAD990"/>
    <w:rsid w:val="0BB3370C"/>
    <w:rsid w:val="0BBA36DB"/>
    <w:rsid w:val="0BBDFD5B"/>
    <w:rsid w:val="0BBF38FA"/>
    <w:rsid w:val="0BC1CA54"/>
    <w:rsid w:val="0BC49ED0"/>
    <w:rsid w:val="0BC6DAE2"/>
    <w:rsid w:val="0BD40876"/>
    <w:rsid w:val="0BD5DCAA"/>
    <w:rsid w:val="0BD8179D"/>
    <w:rsid w:val="0BDA521B"/>
    <w:rsid w:val="0BE6CFB4"/>
    <w:rsid w:val="0BEB9C13"/>
    <w:rsid w:val="0BEDDC64"/>
    <w:rsid w:val="0BF14D38"/>
    <w:rsid w:val="0BF3A737"/>
    <w:rsid w:val="0BF3F68C"/>
    <w:rsid w:val="0BF4D6F5"/>
    <w:rsid w:val="0BFA338D"/>
    <w:rsid w:val="0BFC857D"/>
    <w:rsid w:val="0C05DC60"/>
    <w:rsid w:val="0C078F0E"/>
    <w:rsid w:val="0C0E6A03"/>
    <w:rsid w:val="0C0FB996"/>
    <w:rsid w:val="0C0FF3C2"/>
    <w:rsid w:val="0C1375E4"/>
    <w:rsid w:val="0C1E67B3"/>
    <w:rsid w:val="0C2221D2"/>
    <w:rsid w:val="0C22B145"/>
    <w:rsid w:val="0C25DE9F"/>
    <w:rsid w:val="0C26C976"/>
    <w:rsid w:val="0C2ABD93"/>
    <w:rsid w:val="0C30AE8B"/>
    <w:rsid w:val="0C35B8B5"/>
    <w:rsid w:val="0C3A67EC"/>
    <w:rsid w:val="0C3C515C"/>
    <w:rsid w:val="0C4280D2"/>
    <w:rsid w:val="0C431378"/>
    <w:rsid w:val="0C44FA47"/>
    <w:rsid w:val="0C45BE40"/>
    <w:rsid w:val="0C46165F"/>
    <w:rsid w:val="0C47687A"/>
    <w:rsid w:val="0C48C079"/>
    <w:rsid w:val="0C495A4A"/>
    <w:rsid w:val="0C4A0BEF"/>
    <w:rsid w:val="0C4DE21F"/>
    <w:rsid w:val="0C51A0F8"/>
    <w:rsid w:val="0C588E67"/>
    <w:rsid w:val="0C5C802E"/>
    <w:rsid w:val="0C62E02A"/>
    <w:rsid w:val="0C67710E"/>
    <w:rsid w:val="0C681EB6"/>
    <w:rsid w:val="0C6AA0F3"/>
    <w:rsid w:val="0C6D178F"/>
    <w:rsid w:val="0C83FE7F"/>
    <w:rsid w:val="0C8B1E3D"/>
    <w:rsid w:val="0C8BF003"/>
    <w:rsid w:val="0C8DA333"/>
    <w:rsid w:val="0C8F1967"/>
    <w:rsid w:val="0C90A309"/>
    <w:rsid w:val="0C91DF53"/>
    <w:rsid w:val="0C92300F"/>
    <w:rsid w:val="0C95185E"/>
    <w:rsid w:val="0C95FCB7"/>
    <w:rsid w:val="0C9AC617"/>
    <w:rsid w:val="0C9C2354"/>
    <w:rsid w:val="0C9DB2F5"/>
    <w:rsid w:val="0C9DCA81"/>
    <w:rsid w:val="0CA8B278"/>
    <w:rsid w:val="0CBC428D"/>
    <w:rsid w:val="0CBD7F95"/>
    <w:rsid w:val="0CBE2234"/>
    <w:rsid w:val="0CC5AD90"/>
    <w:rsid w:val="0CC717F7"/>
    <w:rsid w:val="0CD35959"/>
    <w:rsid w:val="0CDE8F35"/>
    <w:rsid w:val="0CE064C1"/>
    <w:rsid w:val="0CED9FD7"/>
    <w:rsid w:val="0CF28C67"/>
    <w:rsid w:val="0CF35CE9"/>
    <w:rsid w:val="0CF8F35D"/>
    <w:rsid w:val="0CF9AC52"/>
    <w:rsid w:val="0D061C8B"/>
    <w:rsid w:val="0D08A137"/>
    <w:rsid w:val="0D0CF472"/>
    <w:rsid w:val="0D16EED1"/>
    <w:rsid w:val="0D1D74E9"/>
    <w:rsid w:val="0D1F6D91"/>
    <w:rsid w:val="0D26FFB3"/>
    <w:rsid w:val="0D27B1C4"/>
    <w:rsid w:val="0D2938BD"/>
    <w:rsid w:val="0D29445A"/>
    <w:rsid w:val="0D2A58A2"/>
    <w:rsid w:val="0D2D7018"/>
    <w:rsid w:val="0D3169CA"/>
    <w:rsid w:val="0D345D1F"/>
    <w:rsid w:val="0D37431A"/>
    <w:rsid w:val="0D3802FF"/>
    <w:rsid w:val="0D38A798"/>
    <w:rsid w:val="0D3FEE5D"/>
    <w:rsid w:val="0D40930D"/>
    <w:rsid w:val="0D4132C4"/>
    <w:rsid w:val="0D56C89B"/>
    <w:rsid w:val="0D5C16AC"/>
    <w:rsid w:val="0D6451CE"/>
    <w:rsid w:val="0D6747DA"/>
    <w:rsid w:val="0D681DDB"/>
    <w:rsid w:val="0D70B256"/>
    <w:rsid w:val="0D74C4E5"/>
    <w:rsid w:val="0D77C865"/>
    <w:rsid w:val="0D7D0262"/>
    <w:rsid w:val="0D7D4DC4"/>
    <w:rsid w:val="0D827E29"/>
    <w:rsid w:val="0D82FC86"/>
    <w:rsid w:val="0D911469"/>
    <w:rsid w:val="0D9860B2"/>
    <w:rsid w:val="0D98D5A5"/>
    <w:rsid w:val="0D9A593E"/>
    <w:rsid w:val="0D9CA078"/>
    <w:rsid w:val="0D9CDB28"/>
    <w:rsid w:val="0DAC5D65"/>
    <w:rsid w:val="0DAE0127"/>
    <w:rsid w:val="0DB0A329"/>
    <w:rsid w:val="0DB7C7C1"/>
    <w:rsid w:val="0DB81BA4"/>
    <w:rsid w:val="0DBB25E6"/>
    <w:rsid w:val="0DC064D7"/>
    <w:rsid w:val="0DC37259"/>
    <w:rsid w:val="0DC85A64"/>
    <w:rsid w:val="0DC9BF23"/>
    <w:rsid w:val="0DCB3BC4"/>
    <w:rsid w:val="0DCF7A23"/>
    <w:rsid w:val="0DD14B42"/>
    <w:rsid w:val="0DD53254"/>
    <w:rsid w:val="0DDC1117"/>
    <w:rsid w:val="0DDF3A90"/>
    <w:rsid w:val="0DEC7198"/>
    <w:rsid w:val="0DF00EFA"/>
    <w:rsid w:val="0DF2270D"/>
    <w:rsid w:val="0DF76F8F"/>
    <w:rsid w:val="0E05D154"/>
    <w:rsid w:val="0E0EA061"/>
    <w:rsid w:val="0E1151E8"/>
    <w:rsid w:val="0E136F0C"/>
    <w:rsid w:val="0E1E0793"/>
    <w:rsid w:val="0E226841"/>
    <w:rsid w:val="0E2A55F1"/>
    <w:rsid w:val="0E2E1AF2"/>
    <w:rsid w:val="0E2EC105"/>
    <w:rsid w:val="0E32F653"/>
    <w:rsid w:val="0E358765"/>
    <w:rsid w:val="0E36388E"/>
    <w:rsid w:val="0E4298AC"/>
    <w:rsid w:val="0E44E066"/>
    <w:rsid w:val="0E46B64D"/>
    <w:rsid w:val="0E476E37"/>
    <w:rsid w:val="0E51DE2C"/>
    <w:rsid w:val="0E53E560"/>
    <w:rsid w:val="0E59C4EC"/>
    <w:rsid w:val="0E5B82F9"/>
    <w:rsid w:val="0E5E4937"/>
    <w:rsid w:val="0E639086"/>
    <w:rsid w:val="0E699D6A"/>
    <w:rsid w:val="0E6C4290"/>
    <w:rsid w:val="0E6DA682"/>
    <w:rsid w:val="0E6FC43A"/>
    <w:rsid w:val="0E73052C"/>
    <w:rsid w:val="0E747453"/>
    <w:rsid w:val="0E75D637"/>
    <w:rsid w:val="0E7610E2"/>
    <w:rsid w:val="0E7ABD1F"/>
    <w:rsid w:val="0E7DEF46"/>
    <w:rsid w:val="0E84272A"/>
    <w:rsid w:val="0E85DDEA"/>
    <w:rsid w:val="0E86FF78"/>
    <w:rsid w:val="0E8A4197"/>
    <w:rsid w:val="0E8A72CB"/>
    <w:rsid w:val="0E8A7640"/>
    <w:rsid w:val="0E8CBB17"/>
    <w:rsid w:val="0E8F392A"/>
    <w:rsid w:val="0E8FE44B"/>
    <w:rsid w:val="0E985ED3"/>
    <w:rsid w:val="0E9C0854"/>
    <w:rsid w:val="0E9E17AB"/>
    <w:rsid w:val="0E9FF336"/>
    <w:rsid w:val="0EA61DB8"/>
    <w:rsid w:val="0EA7BCB7"/>
    <w:rsid w:val="0EA971AA"/>
    <w:rsid w:val="0EB0B525"/>
    <w:rsid w:val="0EBE970C"/>
    <w:rsid w:val="0EBF70A9"/>
    <w:rsid w:val="0EBFAF63"/>
    <w:rsid w:val="0EC4BA5C"/>
    <w:rsid w:val="0EC661C0"/>
    <w:rsid w:val="0EC869E0"/>
    <w:rsid w:val="0ECFA30B"/>
    <w:rsid w:val="0ED80B61"/>
    <w:rsid w:val="0EDBF9D3"/>
    <w:rsid w:val="0EDDF230"/>
    <w:rsid w:val="0EDEC4DB"/>
    <w:rsid w:val="0EE49278"/>
    <w:rsid w:val="0EF5CEC4"/>
    <w:rsid w:val="0EF63DF4"/>
    <w:rsid w:val="0F082874"/>
    <w:rsid w:val="0F0D7922"/>
    <w:rsid w:val="0F1088B3"/>
    <w:rsid w:val="0F110770"/>
    <w:rsid w:val="0F14930C"/>
    <w:rsid w:val="0F1656E2"/>
    <w:rsid w:val="0F198B59"/>
    <w:rsid w:val="0F1ADFD0"/>
    <w:rsid w:val="0F22CBA8"/>
    <w:rsid w:val="0F2A4659"/>
    <w:rsid w:val="0F2DD150"/>
    <w:rsid w:val="0F32EC3B"/>
    <w:rsid w:val="0F3B6C68"/>
    <w:rsid w:val="0F3F0341"/>
    <w:rsid w:val="0F3F11CC"/>
    <w:rsid w:val="0F4307E1"/>
    <w:rsid w:val="0F4548BC"/>
    <w:rsid w:val="0F486786"/>
    <w:rsid w:val="0F49E873"/>
    <w:rsid w:val="0F57CD77"/>
    <w:rsid w:val="0F593D7B"/>
    <w:rsid w:val="0F5ECFA4"/>
    <w:rsid w:val="0F5EE256"/>
    <w:rsid w:val="0F6C742F"/>
    <w:rsid w:val="0F6CA750"/>
    <w:rsid w:val="0F6EC100"/>
    <w:rsid w:val="0F703C7C"/>
    <w:rsid w:val="0F71A7CA"/>
    <w:rsid w:val="0F740356"/>
    <w:rsid w:val="0F766074"/>
    <w:rsid w:val="0F7802D8"/>
    <w:rsid w:val="0F7D06E0"/>
    <w:rsid w:val="0F7E5D58"/>
    <w:rsid w:val="0F7EC04A"/>
    <w:rsid w:val="0F808DDE"/>
    <w:rsid w:val="0F85F393"/>
    <w:rsid w:val="0F877218"/>
    <w:rsid w:val="0F8A30B9"/>
    <w:rsid w:val="0F8DB855"/>
    <w:rsid w:val="0F8EF253"/>
    <w:rsid w:val="0F8FDD30"/>
    <w:rsid w:val="0F94B2B6"/>
    <w:rsid w:val="0F97A2B6"/>
    <w:rsid w:val="0F997450"/>
    <w:rsid w:val="0F99BB9B"/>
    <w:rsid w:val="0F9F1C4C"/>
    <w:rsid w:val="0FA765F9"/>
    <w:rsid w:val="0FADCC13"/>
    <w:rsid w:val="0FAEE583"/>
    <w:rsid w:val="0FB1F27C"/>
    <w:rsid w:val="0FB6244C"/>
    <w:rsid w:val="0FBABF89"/>
    <w:rsid w:val="0FC79BD7"/>
    <w:rsid w:val="0FC88C57"/>
    <w:rsid w:val="0FCC18EC"/>
    <w:rsid w:val="0FCDA437"/>
    <w:rsid w:val="0FD76540"/>
    <w:rsid w:val="0FD94F72"/>
    <w:rsid w:val="0FDBCF84"/>
    <w:rsid w:val="0FE0539E"/>
    <w:rsid w:val="0FE164AB"/>
    <w:rsid w:val="0FE169B1"/>
    <w:rsid w:val="0FE1B480"/>
    <w:rsid w:val="0FE3C200"/>
    <w:rsid w:val="0FE6EA2E"/>
    <w:rsid w:val="0FEA032F"/>
    <w:rsid w:val="0FEFC828"/>
    <w:rsid w:val="0FF5767F"/>
    <w:rsid w:val="0FFA4826"/>
    <w:rsid w:val="0FFB47F3"/>
    <w:rsid w:val="100FF5DC"/>
    <w:rsid w:val="101491D7"/>
    <w:rsid w:val="1015A271"/>
    <w:rsid w:val="1025B82C"/>
    <w:rsid w:val="1028915B"/>
    <w:rsid w:val="102B4487"/>
    <w:rsid w:val="102CA8ED"/>
    <w:rsid w:val="1032087D"/>
    <w:rsid w:val="10354610"/>
    <w:rsid w:val="103574F8"/>
    <w:rsid w:val="1038DA28"/>
    <w:rsid w:val="103949D8"/>
    <w:rsid w:val="103D85B9"/>
    <w:rsid w:val="104005F5"/>
    <w:rsid w:val="10408FBF"/>
    <w:rsid w:val="104BC2BA"/>
    <w:rsid w:val="1052EEB6"/>
    <w:rsid w:val="1056982C"/>
    <w:rsid w:val="10579B3B"/>
    <w:rsid w:val="105E237F"/>
    <w:rsid w:val="106E1A73"/>
    <w:rsid w:val="1070CD43"/>
    <w:rsid w:val="1070FF3C"/>
    <w:rsid w:val="107E9D13"/>
    <w:rsid w:val="107FA36B"/>
    <w:rsid w:val="1081E732"/>
    <w:rsid w:val="10861487"/>
    <w:rsid w:val="10861D71"/>
    <w:rsid w:val="108B17A8"/>
    <w:rsid w:val="1091F900"/>
    <w:rsid w:val="1094A074"/>
    <w:rsid w:val="10964316"/>
    <w:rsid w:val="10987D41"/>
    <w:rsid w:val="109B61A2"/>
    <w:rsid w:val="10A8FCC6"/>
    <w:rsid w:val="10AEE4F2"/>
    <w:rsid w:val="10B43D34"/>
    <w:rsid w:val="10B4801C"/>
    <w:rsid w:val="10B74380"/>
    <w:rsid w:val="10B9C148"/>
    <w:rsid w:val="10BDF6C7"/>
    <w:rsid w:val="10BE6E5B"/>
    <w:rsid w:val="10C09256"/>
    <w:rsid w:val="10C37C54"/>
    <w:rsid w:val="10C403B3"/>
    <w:rsid w:val="10C4086D"/>
    <w:rsid w:val="10C68C2E"/>
    <w:rsid w:val="10CCB727"/>
    <w:rsid w:val="10CE4512"/>
    <w:rsid w:val="10D12442"/>
    <w:rsid w:val="10D570B7"/>
    <w:rsid w:val="10DDE245"/>
    <w:rsid w:val="10E3536B"/>
    <w:rsid w:val="10E61317"/>
    <w:rsid w:val="10E8B009"/>
    <w:rsid w:val="10F40E57"/>
    <w:rsid w:val="10F7BEAA"/>
    <w:rsid w:val="10FD27CB"/>
    <w:rsid w:val="10FF9E0F"/>
    <w:rsid w:val="11018FC0"/>
    <w:rsid w:val="1103FF55"/>
    <w:rsid w:val="1104E180"/>
    <w:rsid w:val="1107F715"/>
    <w:rsid w:val="110A69B1"/>
    <w:rsid w:val="11101903"/>
    <w:rsid w:val="11115AE1"/>
    <w:rsid w:val="1112C33B"/>
    <w:rsid w:val="11154F55"/>
    <w:rsid w:val="1115ADE7"/>
    <w:rsid w:val="11163DA0"/>
    <w:rsid w:val="11186E32"/>
    <w:rsid w:val="111C6A42"/>
    <w:rsid w:val="112C360C"/>
    <w:rsid w:val="112C815A"/>
    <w:rsid w:val="112F0967"/>
    <w:rsid w:val="11303BE6"/>
    <w:rsid w:val="113C9171"/>
    <w:rsid w:val="11416659"/>
    <w:rsid w:val="1145B35E"/>
    <w:rsid w:val="11493C41"/>
    <w:rsid w:val="114A5B28"/>
    <w:rsid w:val="114C1B28"/>
    <w:rsid w:val="11516591"/>
    <w:rsid w:val="11534BD5"/>
    <w:rsid w:val="115881C3"/>
    <w:rsid w:val="115F2CFA"/>
    <w:rsid w:val="1162EEDF"/>
    <w:rsid w:val="116523F0"/>
    <w:rsid w:val="11698460"/>
    <w:rsid w:val="116A25A1"/>
    <w:rsid w:val="116E7D9B"/>
    <w:rsid w:val="1175F1B5"/>
    <w:rsid w:val="1177C062"/>
    <w:rsid w:val="11787497"/>
    <w:rsid w:val="11796571"/>
    <w:rsid w:val="117B927A"/>
    <w:rsid w:val="117B97AF"/>
    <w:rsid w:val="1183C92F"/>
    <w:rsid w:val="118CB1B3"/>
    <w:rsid w:val="118D136A"/>
    <w:rsid w:val="118E712A"/>
    <w:rsid w:val="118FE19D"/>
    <w:rsid w:val="11968438"/>
    <w:rsid w:val="119735AE"/>
    <w:rsid w:val="1197BC92"/>
    <w:rsid w:val="1199D122"/>
    <w:rsid w:val="119D74C8"/>
    <w:rsid w:val="11A30B08"/>
    <w:rsid w:val="11A682D1"/>
    <w:rsid w:val="11B262E5"/>
    <w:rsid w:val="11BB685E"/>
    <w:rsid w:val="11BD9978"/>
    <w:rsid w:val="11C32909"/>
    <w:rsid w:val="11C64069"/>
    <w:rsid w:val="11C90E8C"/>
    <w:rsid w:val="11CAF422"/>
    <w:rsid w:val="11D3E096"/>
    <w:rsid w:val="11DAC5A9"/>
    <w:rsid w:val="11DE9C17"/>
    <w:rsid w:val="11E97880"/>
    <w:rsid w:val="11F19D48"/>
    <w:rsid w:val="11F449B1"/>
    <w:rsid w:val="11F598E7"/>
    <w:rsid w:val="1202CA20"/>
    <w:rsid w:val="12032327"/>
    <w:rsid w:val="120963A9"/>
    <w:rsid w:val="120C3FFC"/>
    <w:rsid w:val="1210E9C0"/>
    <w:rsid w:val="12162153"/>
    <w:rsid w:val="121817E0"/>
    <w:rsid w:val="121DC586"/>
    <w:rsid w:val="12228A17"/>
    <w:rsid w:val="1223E71D"/>
    <w:rsid w:val="12281897"/>
    <w:rsid w:val="122B4D6C"/>
    <w:rsid w:val="122B915E"/>
    <w:rsid w:val="122BE46A"/>
    <w:rsid w:val="122FC62A"/>
    <w:rsid w:val="1230D8EF"/>
    <w:rsid w:val="1232B415"/>
    <w:rsid w:val="123BF837"/>
    <w:rsid w:val="1240FF65"/>
    <w:rsid w:val="125031DA"/>
    <w:rsid w:val="12591D68"/>
    <w:rsid w:val="125BA73C"/>
    <w:rsid w:val="125D4539"/>
    <w:rsid w:val="12607658"/>
    <w:rsid w:val="1261EEDF"/>
    <w:rsid w:val="126393F5"/>
    <w:rsid w:val="12682E29"/>
    <w:rsid w:val="1269A49F"/>
    <w:rsid w:val="1275A2C7"/>
    <w:rsid w:val="12784B75"/>
    <w:rsid w:val="127D29A7"/>
    <w:rsid w:val="1281A564"/>
    <w:rsid w:val="128973A8"/>
    <w:rsid w:val="1290600A"/>
    <w:rsid w:val="129B15CA"/>
    <w:rsid w:val="129DA067"/>
    <w:rsid w:val="12A592F7"/>
    <w:rsid w:val="12ABC1C3"/>
    <w:rsid w:val="12AEDE79"/>
    <w:rsid w:val="12B77D3F"/>
    <w:rsid w:val="12BBD896"/>
    <w:rsid w:val="12BEE4FC"/>
    <w:rsid w:val="12C0C821"/>
    <w:rsid w:val="12C89C91"/>
    <w:rsid w:val="12CAC393"/>
    <w:rsid w:val="12D31088"/>
    <w:rsid w:val="12D581AA"/>
    <w:rsid w:val="12D5CB2E"/>
    <w:rsid w:val="12DDD71F"/>
    <w:rsid w:val="12DE5754"/>
    <w:rsid w:val="12E06526"/>
    <w:rsid w:val="12E477C5"/>
    <w:rsid w:val="12E4A0C0"/>
    <w:rsid w:val="12E8A609"/>
    <w:rsid w:val="12FF45A4"/>
    <w:rsid w:val="1309C07B"/>
    <w:rsid w:val="1309E243"/>
    <w:rsid w:val="130A9517"/>
    <w:rsid w:val="1311EA36"/>
    <w:rsid w:val="1312E0A3"/>
    <w:rsid w:val="13142AD7"/>
    <w:rsid w:val="131AEF8C"/>
    <w:rsid w:val="131BCA69"/>
    <w:rsid w:val="131C6746"/>
    <w:rsid w:val="131CEF0D"/>
    <w:rsid w:val="13210716"/>
    <w:rsid w:val="1321F5F6"/>
    <w:rsid w:val="132454C6"/>
    <w:rsid w:val="13249B68"/>
    <w:rsid w:val="132D7B34"/>
    <w:rsid w:val="13346710"/>
    <w:rsid w:val="13349B1D"/>
    <w:rsid w:val="13429C54"/>
    <w:rsid w:val="1342BE27"/>
    <w:rsid w:val="134BAFD1"/>
    <w:rsid w:val="1356EB24"/>
    <w:rsid w:val="135708CD"/>
    <w:rsid w:val="135A21F0"/>
    <w:rsid w:val="135A3CEB"/>
    <w:rsid w:val="1366F143"/>
    <w:rsid w:val="13720607"/>
    <w:rsid w:val="1376AC7F"/>
    <w:rsid w:val="137EF53B"/>
    <w:rsid w:val="13803010"/>
    <w:rsid w:val="13904A6F"/>
    <w:rsid w:val="1394B8B7"/>
    <w:rsid w:val="139D9581"/>
    <w:rsid w:val="13A87475"/>
    <w:rsid w:val="13ACA4C3"/>
    <w:rsid w:val="13B43F7C"/>
    <w:rsid w:val="13B5674B"/>
    <w:rsid w:val="13B77DF1"/>
    <w:rsid w:val="13D0D31A"/>
    <w:rsid w:val="13D1AB44"/>
    <w:rsid w:val="13DD7A96"/>
    <w:rsid w:val="13EE9984"/>
    <w:rsid w:val="13F3621F"/>
    <w:rsid w:val="13F4805B"/>
    <w:rsid w:val="13F57F1C"/>
    <w:rsid w:val="13F74838"/>
    <w:rsid w:val="140A8BF9"/>
    <w:rsid w:val="141407BC"/>
    <w:rsid w:val="141901D3"/>
    <w:rsid w:val="1420B101"/>
    <w:rsid w:val="142672BF"/>
    <w:rsid w:val="1429BF9F"/>
    <w:rsid w:val="142A93CF"/>
    <w:rsid w:val="142D2C1E"/>
    <w:rsid w:val="142E1942"/>
    <w:rsid w:val="1433D095"/>
    <w:rsid w:val="14363C9D"/>
    <w:rsid w:val="14402721"/>
    <w:rsid w:val="144249AB"/>
    <w:rsid w:val="1445F3E0"/>
    <w:rsid w:val="14495972"/>
    <w:rsid w:val="1450487A"/>
    <w:rsid w:val="14505F6B"/>
    <w:rsid w:val="145255E1"/>
    <w:rsid w:val="14536786"/>
    <w:rsid w:val="14593BB5"/>
    <w:rsid w:val="145ABFEE"/>
    <w:rsid w:val="14608E8D"/>
    <w:rsid w:val="14694ED7"/>
    <w:rsid w:val="146E80E5"/>
    <w:rsid w:val="1470CF87"/>
    <w:rsid w:val="14736410"/>
    <w:rsid w:val="148B5838"/>
    <w:rsid w:val="148CBD46"/>
    <w:rsid w:val="148E2A0F"/>
    <w:rsid w:val="148EE692"/>
    <w:rsid w:val="14955A4D"/>
    <w:rsid w:val="1495EEED"/>
    <w:rsid w:val="1499AC50"/>
    <w:rsid w:val="149B5D8C"/>
    <w:rsid w:val="14A9E010"/>
    <w:rsid w:val="14AD0299"/>
    <w:rsid w:val="14B01D4D"/>
    <w:rsid w:val="14B08EBF"/>
    <w:rsid w:val="14B1178B"/>
    <w:rsid w:val="14B3D07B"/>
    <w:rsid w:val="14BADC6E"/>
    <w:rsid w:val="14BF222B"/>
    <w:rsid w:val="14C25647"/>
    <w:rsid w:val="14C44268"/>
    <w:rsid w:val="14C5F5BB"/>
    <w:rsid w:val="14C62E6B"/>
    <w:rsid w:val="14C65282"/>
    <w:rsid w:val="14C6C284"/>
    <w:rsid w:val="14CBA724"/>
    <w:rsid w:val="14CD741B"/>
    <w:rsid w:val="14D7D1A1"/>
    <w:rsid w:val="14D82944"/>
    <w:rsid w:val="14DDA995"/>
    <w:rsid w:val="14DE5266"/>
    <w:rsid w:val="14F031B9"/>
    <w:rsid w:val="14FCD585"/>
    <w:rsid w:val="14FF0555"/>
    <w:rsid w:val="15097FA3"/>
    <w:rsid w:val="1509CBB4"/>
    <w:rsid w:val="1518637D"/>
    <w:rsid w:val="151A8E04"/>
    <w:rsid w:val="15211C8C"/>
    <w:rsid w:val="15269910"/>
    <w:rsid w:val="1527C53A"/>
    <w:rsid w:val="1528F370"/>
    <w:rsid w:val="1536E3A7"/>
    <w:rsid w:val="153F9455"/>
    <w:rsid w:val="1540814B"/>
    <w:rsid w:val="15411AB8"/>
    <w:rsid w:val="15422B96"/>
    <w:rsid w:val="15441B2C"/>
    <w:rsid w:val="154571EF"/>
    <w:rsid w:val="1547F67A"/>
    <w:rsid w:val="1548364B"/>
    <w:rsid w:val="1551E535"/>
    <w:rsid w:val="1551EFE5"/>
    <w:rsid w:val="15556959"/>
    <w:rsid w:val="155E7C08"/>
    <w:rsid w:val="15609594"/>
    <w:rsid w:val="156145C2"/>
    <w:rsid w:val="15617E90"/>
    <w:rsid w:val="15620926"/>
    <w:rsid w:val="1564D8C3"/>
    <w:rsid w:val="156BE04D"/>
    <w:rsid w:val="156DA89D"/>
    <w:rsid w:val="157068B0"/>
    <w:rsid w:val="1593A275"/>
    <w:rsid w:val="15A894C7"/>
    <w:rsid w:val="15AA2C13"/>
    <w:rsid w:val="15AA5EF4"/>
    <w:rsid w:val="15ACA8B0"/>
    <w:rsid w:val="15B197AC"/>
    <w:rsid w:val="15B1E734"/>
    <w:rsid w:val="15B6C3EE"/>
    <w:rsid w:val="15B9E3A6"/>
    <w:rsid w:val="15BE4F16"/>
    <w:rsid w:val="15BE5467"/>
    <w:rsid w:val="15BE5B16"/>
    <w:rsid w:val="15C54534"/>
    <w:rsid w:val="15C5DAD0"/>
    <w:rsid w:val="15C9CF0D"/>
    <w:rsid w:val="15CA6E42"/>
    <w:rsid w:val="15CC4914"/>
    <w:rsid w:val="15CCCDEE"/>
    <w:rsid w:val="15D051ED"/>
    <w:rsid w:val="15D17909"/>
    <w:rsid w:val="15D651CB"/>
    <w:rsid w:val="15D963F5"/>
    <w:rsid w:val="15DA2EE8"/>
    <w:rsid w:val="15DB4877"/>
    <w:rsid w:val="15E47E1F"/>
    <w:rsid w:val="15E4C043"/>
    <w:rsid w:val="15EB2156"/>
    <w:rsid w:val="15EDCA3F"/>
    <w:rsid w:val="15FDA219"/>
    <w:rsid w:val="15FF6DF3"/>
    <w:rsid w:val="15FFBF5B"/>
    <w:rsid w:val="16003579"/>
    <w:rsid w:val="1609F4F3"/>
    <w:rsid w:val="16111006"/>
    <w:rsid w:val="161571CE"/>
    <w:rsid w:val="161A9973"/>
    <w:rsid w:val="162B36E1"/>
    <w:rsid w:val="1633CCF6"/>
    <w:rsid w:val="163B17CB"/>
    <w:rsid w:val="164118B1"/>
    <w:rsid w:val="164287D1"/>
    <w:rsid w:val="164300D0"/>
    <w:rsid w:val="16433984"/>
    <w:rsid w:val="16460BE5"/>
    <w:rsid w:val="1646749C"/>
    <w:rsid w:val="164C4B66"/>
    <w:rsid w:val="165418F1"/>
    <w:rsid w:val="16612C79"/>
    <w:rsid w:val="1661FBBC"/>
    <w:rsid w:val="16651C74"/>
    <w:rsid w:val="1669CC37"/>
    <w:rsid w:val="1673B436"/>
    <w:rsid w:val="1678E84B"/>
    <w:rsid w:val="1684EB28"/>
    <w:rsid w:val="16856CEC"/>
    <w:rsid w:val="168591DC"/>
    <w:rsid w:val="16878DFE"/>
    <w:rsid w:val="168A482A"/>
    <w:rsid w:val="168FC024"/>
    <w:rsid w:val="169138D5"/>
    <w:rsid w:val="16982DCD"/>
    <w:rsid w:val="16A5E7BA"/>
    <w:rsid w:val="16A7C94B"/>
    <w:rsid w:val="16A7F88F"/>
    <w:rsid w:val="16BA605B"/>
    <w:rsid w:val="16BBB3EA"/>
    <w:rsid w:val="16BDC828"/>
    <w:rsid w:val="16C5C12B"/>
    <w:rsid w:val="16CA9006"/>
    <w:rsid w:val="16CADDBC"/>
    <w:rsid w:val="16D016F8"/>
    <w:rsid w:val="16D1B025"/>
    <w:rsid w:val="16DA1289"/>
    <w:rsid w:val="16DDCF31"/>
    <w:rsid w:val="16E1FBF9"/>
    <w:rsid w:val="16E45095"/>
    <w:rsid w:val="16E56EDD"/>
    <w:rsid w:val="16E6E490"/>
    <w:rsid w:val="16EA3419"/>
    <w:rsid w:val="16EDA452"/>
    <w:rsid w:val="16EDBC3D"/>
    <w:rsid w:val="16F399BC"/>
    <w:rsid w:val="16F742EC"/>
    <w:rsid w:val="16F74D47"/>
    <w:rsid w:val="16FDD1FB"/>
    <w:rsid w:val="17009AD0"/>
    <w:rsid w:val="1703F583"/>
    <w:rsid w:val="17047908"/>
    <w:rsid w:val="170B545C"/>
    <w:rsid w:val="1720723E"/>
    <w:rsid w:val="1725334B"/>
    <w:rsid w:val="17274B97"/>
    <w:rsid w:val="172AA021"/>
    <w:rsid w:val="17368A4E"/>
    <w:rsid w:val="17374848"/>
    <w:rsid w:val="173A6144"/>
    <w:rsid w:val="173FDBC9"/>
    <w:rsid w:val="1740DFBE"/>
    <w:rsid w:val="174341D3"/>
    <w:rsid w:val="174B6229"/>
    <w:rsid w:val="17547C7D"/>
    <w:rsid w:val="17589A48"/>
    <w:rsid w:val="1762170A"/>
    <w:rsid w:val="17672F90"/>
    <w:rsid w:val="17674E7F"/>
    <w:rsid w:val="176D1EEC"/>
    <w:rsid w:val="176EAF26"/>
    <w:rsid w:val="17756B6A"/>
    <w:rsid w:val="1776371B"/>
    <w:rsid w:val="177FC933"/>
    <w:rsid w:val="17839079"/>
    <w:rsid w:val="17872691"/>
    <w:rsid w:val="178AEE66"/>
    <w:rsid w:val="178B0EE0"/>
    <w:rsid w:val="178BD287"/>
    <w:rsid w:val="178DAF20"/>
    <w:rsid w:val="1791833C"/>
    <w:rsid w:val="17977565"/>
    <w:rsid w:val="179B403B"/>
    <w:rsid w:val="179B7C50"/>
    <w:rsid w:val="179BA667"/>
    <w:rsid w:val="179BC70B"/>
    <w:rsid w:val="17A5076F"/>
    <w:rsid w:val="17AE547D"/>
    <w:rsid w:val="17B01969"/>
    <w:rsid w:val="17B03EC2"/>
    <w:rsid w:val="17B055D7"/>
    <w:rsid w:val="17B093DE"/>
    <w:rsid w:val="17BD0BD1"/>
    <w:rsid w:val="17BD7E9F"/>
    <w:rsid w:val="17BFA415"/>
    <w:rsid w:val="17C343BF"/>
    <w:rsid w:val="17CC570E"/>
    <w:rsid w:val="17CE97CF"/>
    <w:rsid w:val="17CFC5B0"/>
    <w:rsid w:val="17D023C2"/>
    <w:rsid w:val="17D3C82B"/>
    <w:rsid w:val="17D83BEB"/>
    <w:rsid w:val="17D9016A"/>
    <w:rsid w:val="17DC3645"/>
    <w:rsid w:val="17DCE68D"/>
    <w:rsid w:val="17E2ED21"/>
    <w:rsid w:val="17E3219E"/>
    <w:rsid w:val="17F05986"/>
    <w:rsid w:val="17F96BE2"/>
    <w:rsid w:val="17FAC912"/>
    <w:rsid w:val="17FBED95"/>
    <w:rsid w:val="17FCB8C8"/>
    <w:rsid w:val="180D5F0D"/>
    <w:rsid w:val="180E8A80"/>
    <w:rsid w:val="18130E5D"/>
    <w:rsid w:val="181DCC02"/>
    <w:rsid w:val="181E9DBB"/>
    <w:rsid w:val="181F455C"/>
    <w:rsid w:val="18226A03"/>
    <w:rsid w:val="182A7D7D"/>
    <w:rsid w:val="185B5979"/>
    <w:rsid w:val="185D904C"/>
    <w:rsid w:val="1867E14F"/>
    <w:rsid w:val="186A3715"/>
    <w:rsid w:val="186DA9A0"/>
    <w:rsid w:val="18772C81"/>
    <w:rsid w:val="1877B344"/>
    <w:rsid w:val="1880C56A"/>
    <w:rsid w:val="188193FE"/>
    <w:rsid w:val="1885E8E2"/>
    <w:rsid w:val="1885F093"/>
    <w:rsid w:val="189A20B1"/>
    <w:rsid w:val="18A0E5EF"/>
    <w:rsid w:val="18A21973"/>
    <w:rsid w:val="18A36E44"/>
    <w:rsid w:val="18A5E752"/>
    <w:rsid w:val="18A91910"/>
    <w:rsid w:val="18AC182A"/>
    <w:rsid w:val="18AFBFAF"/>
    <w:rsid w:val="18B09F48"/>
    <w:rsid w:val="18B435CA"/>
    <w:rsid w:val="18B436E6"/>
    <w:rsid w:val="18B6EDC3"/>
    <w:rsid w:val="18BD5E2C"/>
    <w:rsid w:val="18BD8C16"/>
    <w:rsid w:val="18C02178"/>
    <w:rsid w:val="18C19F63"/>
    <w:rsid w:val="18C35B95"/>
    <w:rsid w:val="18C6F7CD"/>
    <w:rsid w:val="18CEEE5F"/>
    <w:rsid w:val="18CF7864"/>
    <w:rsid w:val="18CFCB2C"/>
    <w:rsid w:val="18D1BC25"/>
    <w:rsid w:val="18D27F0D"/>
    <w:rsid w:val="18D5ADBF"/>
    <w:rsid w:val="18DD99C1"/>
    <w:rsid w:val="18E2CB21"/>
    <w:rsid w:val="18E7E9A5"/>
    <w:rsid w:val="18F612F8"/>
    <w:rsid w:val="18F6D366"/>
    <w:rsid w:val="18F91286"/>
    <w:rsid w:val="18F9CF38"/>
    <w:rsid w:val="19016580"/>
    <w:rsid w:val="19025E9A"/>
    <w:rsid w:val="190F5D66"/>
    <w:rsid w:val="191355A3"/>
    <w:rsid w:val="191DA39F"/>
    <w:rsid w:val="1924FAAB"/>
    <w:rsid w:val="19264159"/>
    <w:rsid w:val="19268162"/>
    <w:rsid w:val="1927E2D2"/>
    <w:rsid w:val="192C21D1"/>
    <w:rsid w:val="19315884"/>
    <w:rsid w:val="1938968C"/>
    <w:rsid w:val="193BBE63"/>
    <w:rsid w:val="193EDA52"/>
    <w:rsid w:val="1940B35F"/>
    <w:rsid w:val="1947CAE0"/>
    <w:rsid w:val="194B4986"/>
    <w:rsid w:val="194BBFD0"/>
    <w:rsid w:val="194CC975"/>
    <w:rsid w:val="195FFBB2"/>
    <w:rsid w:val="196194B9"/>
    <w:rsid w:val="1962E82B"/>
    <w:rsid w:val="19649F25"/>
    <w:rsid w:val="19654D22"/>
    <w:rsid w:val="1968762B"/>
    <w:rsid w:val="196B1C20"/>
    <w:rsid w:val="19746649"/>
    <w:rsid w:val="1976EC24"/>
    <w:rsid w:val="197A5179"/>
    <w:rsid w:val="197B76CC"/>
    <w:rsid w:val="1981DFD7"/>
    <w:rsid w:val="19842EE1"/>
    <w:rsid w:val="1989B6B2"/>
    <w:rsid w:val="198BDB46"/>
    <w:rsid w:val="198EA8DC"/>
    <w:rsid w:val="198F345E"/>
    <w:rsid w:val="19968909"/>
    <w:rsid w:val="199966D5"/>
    <w:rsid w:val="1999A218"/>
    <w:rsid w:val="19A10364"/>
    <w:rsid w:val="19A16595"/>
    <w:rsid w:val="19A2C931"/>
    <w:rsid w:val="19A6F75E"/>
    <w:rsid w:val="19BB2433"/>
    <w:rsid w:val="19BBA6D3"/>
    <w:rsid w:val="19C91F8D"/>
    <w:rsid w:val="19D4F118"/>
    <w:rsid w:val="19D56444"/>
    <w:rsid w:val="19D5A76A"/>
    <w:rsid w:val="19DC3A31"/>
    <w:rsid w:val="19DE0A7F"/>
    <w:rsid w:val="19E0A7AB"/>
    <w:rsid w:val="19E617BC"/>
    <w:rsid w:val="19EE19C6"/>
    <w:rsid w:val="19F073C2"/>
    <w:rsid w:val="19F7E937"/>
    <w:rsid w:val="1A01755E"/>
    <w:rsid w:val="1A05EDC0"/>
    <w:rsid w:val="1A08C455"/>
    <w:rsid w:val="1A09F6BC"/>
    <w:rsid w:val="1A0F0DBE"/>
    <w:rsid w:val="1A106537"/>
    <w:rsid w:val="1A1406B0"/>
    <w:rsid w:val="1A15A105"/>
    <w:rsid w:val="1A179439"/>
    <w:rsid w:val="1A1D817C"/>
    <w:rsid w:val="1A212EFF"/>
    <w:rsid w:val="1A2B7799"/>
    <w:rsid w:val="1A30281C"/>
    <w:rsid w:val="1A317AB2"/>
    <w:rsid w:val="1A34E966"/>
    <w:rsid w:val="1A357EB2"/>
    <w:rsid w:val="1A43504D"/>
    <w:rsid w:val="1A44CBB3"/>
    <w:rsid w:val="1A475540"/>
    <w:rsid w:val="1A483B99"/>
    <w:rsid w:val="1A529746"/>
    <w:rsid w:val="1A5525B4"/>
    <w:rsid w:val="1A5E0858"/>
    <w:rsid w:val="1A5FA5CE"/>
    <w:rsid w:val="1A613979"/>
    <w:rsid w:val="1A61AFC3"/>
    <w:rsid w:val="1A64E26E"/>
    <w:rsid w:val="1A64F053"/>
    <w:rsid w:val="1A6C1345"/>
    <w:rsid w:val="1A6F8B42"/>
    <w:rsid w:val="1A70DCB6"/>
    <w:rsid w:val="1A723E0F"/>
    <w:rsid w:val="1A79AB71"/>
    <w:rsid w:val="1A7D0494"/>
    <w:rsid w:val="1A7DC9FC"/>
    <w:rsid w:val="1A810E5F"/>
    <w:rsid w:val="1A856036"/>
    <w:rsid w:val="1A8737B8"/>
    <w:rsid w:val="1A8A4AFC"/>
    <w:rsid w:val="1A9DE932"/>
    <w:rsid w:val="1A9F02B3"/>
    <w:rsid w:val="1AADCC5C"/>
    <w:rsid w:val="1AAEADA4"/>
    <w:rsid w:val="1AAF30CA"/>
    <w:rsid w:val="1AC342BC"/>
    <w:rsid w:val="1AC5DCFB"/>
    <w:rsid w:val="1AC6C220"/>
    <w:rsid w:val="1ACB3EC4"/>
    <w:rsid w:val="1ACFEB84"/>
    <w:rsid w:val="1AD65921"/>
    <w:rsid w:val="1AD9E42E"/>
    <w:rsid w:val="1AE385BB"/>
    <w:rsid w:val="1AE55320"/>
    <w:rsid w:val="1AE87950"/>
    <w:rsid w:val="1AE9F927"/>
    <w:rsid w:val="1AED39ED"/>
    <w:rsid w:val="1AEFB5FC"/>
    <w:rsid w:val="1AF5631C"/>
    <w:rsid w:val="1AF9C21C"/>
    <w:rsid w:val="1B0CB2FB"/>
    <w:rsid w:val="1B0DAE72"/>
    <w:rsid w:val="1B11897A"/>
    <w:rsid w:val="1B29A87A"/>
    <w:rsid w:val="1B29E517"/>
    <w:rsid w:val="1B2BCEE7"/>
    <w:rsid w:val="1B2EDD48"/>
    <w:rsid w:val="1B304A8F"/>
    <w:rsid w:val="1B36E87D"/>
    <w:rsid w:val="1B40D3AC"/>
    <w:rsid w:val="1B461A3B"/>
    <w:rsid w:val="1B4BAE10"/>
    <w:rsid w:val="1B526D2A"/>
    <w:rsid w:val="1B52D7D6"/>
    <w:rsid w:val="1B57544C"/>
    <w:rsid w:val="1B58DFEC"/>
    <w:rsid w:val="1B5B7405"/>
    <w:rsid w:val="1B5E248A"/>
    <w:rsid w:val="1B5F415D"/>
    <w:rsid w:val="1B6198CF"/>
    <w:rsid w:val="1B649CB2"/>
    <w:rsid w:val="1B65C314"/>
    <w:rsid w:val="1B65E463"/>
    <w:rsid w:val="1B674113"/>
    <w:rsid w:val="1B7A9711"/>
    <w:rsid w:val="1B7C089D"/>
    <w:rsid w:val="1B7CCA86"/>
    <w:rsid w:val="1B848BAB"/>
    <w:rsid w:val="1B856595"/>
    <w:rsid w:val="1B941684"/>
    <w:rsid w:val="1B94A63E"/>
    <w:rsid w:val="1B96A122"/>
    <w:rsid w:val="1B98B4FA"/>
    <w:rsid w:val="1BA6974F"/>
    <w:rsid w:val="1BA6AAA7"/>
    <w:rsid w:val="1BAA6340"/>
    <w:rsid w:val="1BAAB6D6"/>
    <w:rsid w:val="1BAB28C2"/>
    <w:rsid w:val="1BB004F2"/>
    <w:rsid w:val="1BB565E2"/>
    <w:rsid w:val="1BB71D9C"/>
    <w:rsid w:val="1BB748EE"/>
    <w:rsid w:val="1BB7F83D"/>
    <w:rsid w:val="1BBCF2FF"/>
    <w:rsid w:val="1BBF4DB2"/>
    <w:rsid w:val="1BC29579"/>
    <w:rsid w:val="1BC444AF"/>
    <w:rsid w:val="1BCE4EE0"/>
    <w:rsid w:val="1BD131C0"/>
    <w:rsid w:val="1BD4EA00"/>
    <w:rsid w:val="1BD66255"/>
    <w:rsid w:val="1BE54961"/>
    <w:rsid w:val="1BE7C315"/>
    <w:rsid w:val="1BE8CFEB"/>
    <w:rsid w:val="1BE8D60A"/>
    <w:rsid w:val="1BF1630B"/>
    <w:rsid w:val="1BFA4A71"/>
    <w:rsid w:val="1BFB4C72"/>
    <w:rsid w:val="1C015C45"/>
    <w:rsid w:val="1C040922"/>
    <w:rsid w:val="1C0A301A"/>
    <w:rsid w:val="1C10EB37"/>
    <w:rsid w:val="1C1665E4"/>
    <w:rsid w:val="1C259EFA"/>
    <w:rsid w:val="1C3573CF"/>
    <w:rsid w:val="1C46E8C7"/>
    <w:rsid w:val="1C4B3404"/>
    <w:rsid w:val="1C4D35F6"/>
    <w:rsid w:val="1C4EB6C9"/>
    <w:rsid w:val="1C5179E2"/>
    <w:rsid w:val="1C526FC2"/>
    <w:rsid w:val="1C53EBA7"/>
    <w:rsid w:val="1C5F753E"/>
    <w:rsid w:val="1C613C0C"/>
    <w:rsid w:val="1C6C370C"/>
    <w:rsid w:val="1C77F60A"/>
    <w:rsid w:val="1C78D95B"/>
    <w:rsid w:val="1C7AF606"/>
    <w:rsid w:val="1C7E0C31"/>
    <w:rsid w:val="1C84115C"/>
    <w:rsid w:val="1C8555A8"/>
    <w:rsid w:val="1C86ADA3"/>
    <w:rsid w:val="1C87987C"/>
    <w:rsid w:val="1C8B247A"/>
    <w:rsid w:val="1C8F7991"/>
    <w:rsid w:val="1C914519"/>
    <w:rsid w:val="1C95D691"/>
    <w:rsid w:val="1C9BA240"/>
    <w:rsid w:val="1C9E9510"/>
    <w:rsid w:val="1CA264F4"/>
    <w:rsid w:val="1CA369BE"/>
    <w:rsid w:val="1CAB7229"/>
    <w:rsid w:val="1CB2DB84"/>
    <w:rsid w:val="1CC384A7"/>
    <w:rsid w:val="1CCA8353"/>
    <w:rsid w:val="1CCE87C6"/>
    <w:rsid w:val="1CD6C25A"/>
    <w:rsid w:val="1CD6EDEA"/>
    <w:rsid w:val="1CDCAB88"/>
    <w:rsid w:val="1CDF75CB"/>
    <w:rsid w:val="1CE0F6B2"/>
    <w:rsid w:val="1CE126C3"/>
    <w:rsid w:val="1CE2206E"/>
    <w:rsid w:val="1CE6B2CD"/>
    <w:rsid w:val="1CE906CE"/>
    <w:rsid w:val="1CE951A2"/>
    <w:rsid w:val="1CF355D0"/>
    <w:rsid w:val="1CF7C499"/>
    <w:rsid w:val="1CF85E02"/>
    <w:rsid w:val="1CF897DA"/>
    <w:rsid w:val="1CFAE058"/>
    <w:rsid w:val="1CFD9F8D"/>
    <w:rsid w:val="1CFDCEFC"/>
    <w:rsid w:val="1D03698F"/>
    <w:rsid w:val="1D091E1E"/>
    <w:rsid w:val="1D0D26B5"/>
    <w:rsid w:val="1D11B9BF"/>
    <w:rsid w:val="1D182440"/>
    <w:rsid w:val="1D2854B4"/>
    <w:rsid w:val="1D2C0487"/>
    <w:rsid w:val="1D3055C0"/>
    <w:rsid w:val="1D398ECC"/>
    <w:rsid w:val="1D39E443"/>
    <w:rsid w:val="1D39FE22"/>
    <w:rsid w:val="1D3A3312"/>
    <w:rsid w:val="1D3CE3D1"/>
    <w:rsid w:val="1D42681B"/>
    <w:rsid w:val="1D463523"/>
    <w:rsid w:val="1D569054"/>
    <w:rsid w:val="1D58A31B"/>
    <w:rsid w:val="1D59A556"/>
    <w:rsid w:val="1D5B96C2"/>
    <w:rsid w:val="1D675D0E"/>
    <w:rsid w:val="1D6D451C"/>
    <w:rsid w:val="1D7EFDD0"/>
    <w:rsid w:val="1D857BCD"/>
    <w:rsid w:val="1D8C8237"/>
    <w:rsid w:val="1D99192C"/>
    <w:rsid w:val="1D9B5B63"/>
    <w:rsid w:val="1D9B7488"/>
    <w:rsid w:val="1D9D4204"/>
    <w:rsid w:val="1DA13DD0"/>
    <w:rsid w:val="1DA1ED9F"/>
    <w:rsid w:val="1DA569A0"/>
    <w:rsid w:val="1DA8B39D"/>
    <w:rsid w:val="1DAED214"/>
    <w:rsid w:val="1DB0B13D"/>
    <w:rsid w:val="1DB49622"/>
    <w:rsid w:val="1DB53A17"/>
    <w:rsid w:val="1DB77068"/>
    <w:rsid w:val="1DB8842F"/>
    <w:rsid w:val="1DB8BCC7"/>
    <w:rsid w:val="1DC14728"/>
    <w:rsid w:val="1DCBEB31"/>
    <w:rsid w:val="1DD332C4"/>
    <w:rsid w:val="1DD5EDE8"/>
    <w:rsid w:val="1DDB9FFA"/>
    <w:rsid w:val="1DDDE208"/>
    <w:rsid w:val="1DDFB220"/>
    <w:rsid w:val="1DE686A5"/>
    <w:rsid w:val="1DE7FBFF"/>
    <w:rsid w:val="1DE892AC"/>
    <w:rsid w:val="1DE9D06D"/>
    <w:rsid w:val="1DF1DE5D"/>
    <w:rsid w:val="1DF2C52B"/>
    <w:rsid w:val="1DF33A6F"/>
    <w:rsid w:val="1DFAADBF"/>
    <w:rsid w:val="1DFE32D9"/>
    <w:rsid w:val="1E07F14B"/>
    <w:rsid w:val="1E12526D"/>
    <w:rsid w:val="1E157786"/>
    <w:rsid w:val="1E21AB50"/>
    <w:rsid w:val="1E25962E"/>
    <w:rsid w:val="1E2A147D"/>
    <w:rsid w:val="1E40E3E4"/>
    <w:rsid w:val="1E52830C"/>
    <w:rsid w:val="1E5AFEC8"/>
    <w:rsid w:val="1E5D691E"/>
    <w:rsid w:val="1E5F0D9B"/>
    <w:rsid w:val="1E617725"/>
    <w:rsid w:val="1E65AAAE"/>
    <w:rsid w:val="1E6991A2"/>
    <w:rsid w:val="1E6E1A14"/>
    <w:rsid w:val="1E6F06F9"/>
    <w:rsid w:val="1E715C08"/>
    <w:rsid w:val="1E73A781"/>
    <w:rsid w:val="1E775E56"/>
    <w:rsid w:val="1E7BAEDA"/>
    <w:rsid w:val="1E7CCD54"/>
    <w:rsid w:val="1E7EA7A2"/>
    <w:rsid w:val="1E7F4B04"/>
    <w:rsid w:val="1E82CC81"/>
    <w:rsid w:val="1E84B33E"/>
    <w:rsid w:val="1E85C06B"/>
    <w:rsid w:val="1E8A1496"/>
    <w:rsid w:val="1E8A7F69"/>
    <w:rsid w:val="1E8B6403"/>
    <w:rsid w:val="1E8D09EC"/>
    <w:rsid w:val="1E9A9715"/>
    <w:rsid w:val="1E9B0A55"/>
    <w:rsid w:val="1EA33F54"/>
    <w:rsid w:val="1EA4B915"/>
    <w:rsid w:val="1EAD71D1"/>
    <w:rsid w:val="1EADA9EF"/>
    <w:rsid w:val="1EB106FF"/>
    <w:rsid w:val="1EB3945D"/>
    <w:rsid w:val="1EB4AB9A"/>
    <w:rsid w:val="1EB62787"/>
    <w:rsid w:val="1EB6796E"/>
    <w:rsid w:val="1ECC0891"/>
    <w:rsid w:val="1ED79EAB"/>
    <w:rsid w:val="1EDDE22E"/>
    <w:rsid w:val="1EE2621E"/>
    <w:rsid w:val="1EE61EDC"/>
    <w:rsid w:val="1EEC05AD"/>
    <w:rsid w:val="1EEC1876"/>
    <w:rsid w:val="1EEFBA27"/>
    <w:rsid w:val="1EF2812D"/>
    <w:rsid w:val="1EF6C959"/>
    <w:rsid w:val="1EFD3731"/>
    <w:rsid w:val="1EFDC0FB"/>
    <w:rsid w:val="1F001832"/>
    <w:rsid w:val="1F0287A0"/>
    <w:rsid w:val="1F087D06"/>
    <w:rsid w:val="1F0EB603"/>
    <w:rsid w:val="1F1431CF"/>
    <w:rsid w:val="1F188C79"/>
    <w:rsid w:val="1F19136A"/>
    <w:rsid w:val="1F1A330D"/>
    <w:rsid w:val="1F1AACDE"/>
    <w:rsid w:val="1F1C2185"/>
    <w:rsid w:val="1F1F65B5"/>
    <w:rsid w:val="1F23F74F"/>
    <w:rsid w:val="1F269421"/>
    <w:rsid w:val="1F2C1C81"/>
    <w:rsid w:val="1F2C66B6"/>
    <w:rsid w:val="1F2E86BD"/>
    <w:rsid w:val="1F33FEB5"/>
    <w:rsid w:val="1F350655"/>
    <w:rsid w:val="1F3AF66D"/>
    <w:rsid w:val="1F47487A"/>
    <w:rsid w:val="1F4753B9"/>
    <w:rsid w:val="1F4805A5"/>
    <w:rsid w:val="1F4AB7AC"/>
    <w:rsid w:val="1F4FDDD4"/>
    <w:rsid w:val="1F5115B8"/>
    <w:rsid w:val="1F5D4EE6"/>
    <w:rsid w:val="1F6081CE"/>
    <w:rsid w:val="1F6371FD"/>
    <w:rsid w:val="1F64C8BB"/>
    <w:rsid w:val="1F68210B"/>
    <w:rsid w:val="1F69028B"/>
    <w:rsid w:val="1F7C632E"/>
    <w:rsid w:val="1F7E2791"/>
    <w:rsid w:val="1F822BB4"/>
    <w:rsid w:val="1F86251A"/>
    <w:rsid w:val="1F90460D"/>
    <w:rsid w:val="1F954A13"/>
    <w:rsid w:val="1F986F28"/>
    <w:rsid w:val="1F989AED"/>
    <w:rsid w:val="1FA4C102"/>
    <w:rsid w:val="1FB07CD7"/>
    <w:rsid w:val="1FB15ECF"/>
    <w:rsid w:val="1FB3B38F"/>
    <w:rsid w:val="1FB464B0"/>
    <w:rsid w:val="1FB6554D"/>
    <w:rsid w:val="1FB6BAD6"/>
    <w:rsid w:val="1FB8171C"/>
    <w:rsid w:val="1FB9D343"/>
    <w:rsid w:val="1FC17050"/>
    <w:rsid w:val="1FC73237"/>
    <w:rsid w:val="1FC90121"/>
    <w:rsid w:val="1FCB08F4"/>
    <w:rsid w:val="1FCF826B"/>
    <w:rsid w:val="1FD0A34B"/>
    <w:rsid w:val="1FD6C66A"/>
    <w:rsid w:val="1FD83CC4"/>
    <w:rsid w:val="1FDC77E3"/>
    <w:rsid w:val="1FE70AAB"/>
    <w:rsid w:val="1FE7988D"/>
    <w:rsid w:val="1FEB76E1"/>
    <w:rsid w:val="1FEC19E1"/>
    <w:rsid w:val="1FF132F8"/>
    <w:rsid w:val="1FF52E40"/>
    <w:rsid w:val="1FF73D0B"/>
    <w:rsid w:val="1FFA455C"/>
    <w:rsid w:val="1FFC6C95"/>
    <w:rsid w:val="1FFF6A5F"/>
    <w:rsid w:val="20005171"/>
    <w:rsid w:val="2001EEB2"/>
    <w:rsid w:val="200447A1"/>
    <w:rsid w:val="20060479"/>
    <w:rsid w:val="2006C8C5"/>
    <w:rsid w:val="200E1E2F"/>
    <w:rsid w:val="200E75A2"/>
    <w:rsid w:val="20103D1F"/>
    <w:rsid w:val="2011E2FD"/>
    <w:rsid w:val="2013C9BC"/>
    <w:rsid w:val="20146E4E"/>
    <w:rsid w:val="20169057"/>
    <w:rsid w:val="2018E486"/>
    <w:rsid w:val="20270C34"/>
    <w:rsid w:val="202BFEAB"/>
    <w:rsid w:val="202E1528"/>
    <w:rsid w:val="202F6E87"/>
    <w:rsid w:val="2035CA20"/>
    <w:rsid w:val="203651CC"/>
    <w:rsid w:val="2038C644"/>
    <w:rsid w:val="2041433E"/>
    <w:rsid w:val="204B87EA"/>
    <w:rsid w:val="204C1563"/>
    <w:rsid w:val="204FB842"/>
    <w:rsid w:val="20516DBC"/>
    <w:rsid w:val="205637E4"/>
    <w:rsid w:val="205E42E8"/>
    <w:rsid w:val="20645E6D"/>
    <w:rsid w:val="2064EB6E"/>
    <w:rsid w:val="20688B1D"/>
    <w:rsid w:val="206F4548"/>
    <w:rsid w:val="20752B01"/>
    <w:rsid w:val="207628E3"/>
    <w:rsid w:val="207A5081"/>
    <w:rsid w:val="2080889C"/>
    <w:rsid w:val="2081F56C"/>
    <w:rsid w:val="2082B64A"/>
    <w:rsid w:val="20914920"/>
    <w:rsid w:val="20922E2B"/>
    <w:rsid w:val="20A5E6A1"/>
    <w:rsid w:val="20AB59B6"/>
    <w:rsid w:val="20B1C331"/>
    <w:rsid w:val="20B3F99E"/>
    <w:rsid w:val="20B71DCB"/>
    <w:rsid w:val="20B9B52E"/>
    <w:rsid w:val="20BC11F3"/>
    <w:rsid w:val="20C53BA0"/>
    <w:rsid w:val="20C53F25"/>
    <w:rsid w:val="20C60330"/>
    <w:rsid w:val="20C854A6"/>
    <w:rsid w:val="20CD99B6"/>
    <w:rsid w:val="20D0135F"/>
    <w:rsid w:val="20DAD197"/>
    <w:rsid w:val="20DCBAEE"/>
    <w:rsid w:val="20E04270"/>
    <w:rsid w:val="20FB05F8"/>
    <w:rsid w:val="20FBAF45"/>
    <w:rsid w:val="20FE80EF"/>
    <w:rsid w:val="210C7040"/>
    <w:rsid w:val="2114BA93"/>
    <w:rsid w:val="2115D000"/>
    <w:rsid w:val="211A1340"/>
    <w:rsid w:val="211FD9DE"/>
    <w:rsid w:val="212231FA"/>
    <w:rsid w:val="2124CA45"/>
    <w:rsid w:val="21282B85"/>
    <w:rsid w:val="212993D5"/>
    <w:rsid w:val="212B7C33"/>
    <w:rsid w:val="2136C3B0"/>
    <w:rsid w:val="21407D1A"/>
    <w:rsid w:val="214AE4FB"/>
    <w:rsid w:val="214CD963"/>
    <w:rsid w:val="2169D23C"/>
    <w:rsid w:val="216E9608"/>
    <w:rsid w:val="216FA89F"/>
    <w:rsid w:val="216FC047"/>
    <w:rsid w:val="216FEF13"/>
    <w:rsid w:val="2173636E"/>
    <w:rsid w:val="21766960"/>
    <w:rsid w:val="2177FB23"/>
    <w:rsid w:val="217AFD11"/>
    <w:rsid w:val="217E058E"/>
    <w:rsid w:val="217EC907"/>
    <w:rsid w:val="21828792"/>
    <w:rsid w:val="2190EB72"/>
    <w:rsid w:val="2191E683"/>
    <w:rsid w:val="2193764C"/>
    <w:rsid w:val="21A1C378"/>
    <w:rsid w:val="21A21CF7"/>
    <w:rsid w:val="21A34C31"/>
    <w:rsid w:val="21A55A8B"/>
    <w:rsid w:val="21B0A51B"/>
    <w:rsid w:val="21B26C60"/>
    <w:rsid w:val="21B7DF30"/>
    <w:rsid w:val="21BA7806"/>
    <w:rsid w:val="21BB2AC0"/>
    <w:rsid w:val="21BEB215"/>
    <w:rsid w:val="21C3B4A2"/>
    <w:rsid w:val="21C74D2D"/>
    <w:rsid w:val="21CBD726"/>
    <w:rsid w:val="21D06C3C"/>
    <w:rsid w:val="21D2016E"/>
    <w:rsid w:val="21D97C32"/>
    <w:rsid w:val="21D9E61C"/>
    <w:rsid w:val="21DABEAA"/>
    <w:rsid w:val="21E2FBCA"/>
    <w:rsid w:val="21EAEE9A"/>
    <w:rsid w:val="21ECF2B7"/>
    <w:rsid w:val="21EF8B6A"/>
    <w:rsid w:val="21F12D28"/>
    <w:rsid w:val="21F3B296"/>
    <w:rsid w:val="21F5F82F"/>
    <w:rsid w:val="21FC764D"/>
    <w:rsid w:val="21FD4E4C"/>
    <w:rsid w:val="21FD5E40"/>
    <w:rsid w:val="21FD5F07"/>
    <w:rsid w:val="22008910"/>
    <w:rsid w:val="22048DF8"/>
    <w:rsid w:val="220A4E68"/>
    <w:rsid w:val="220B2F74"/>
    <w:rsid w:val="220D4C66"/>
    <w:rsid w:val="2212D332"/>
    <w:rsid w:val="22142493"/>
    <w:rsid w:val="2216430D"/>
    <w:rsid w:val="22166E84"/>
    <w:rsid w:val="2222E5B5"/>
    <w:rsid w:val="2223EC98"/>
    <w:rsid w:val="22293046"/>
    <w:rsid w:val="222A56E5"/>
    <w:rsid w:val="222A653B"/>
    <w:rsid w:val="222B5FE6"/>
    <w:rsid w:val="222BE132"/>
    <w:rsid w:val="222C8533"/>
    <w:rsid w:val="222CB534"/>
    <w:rsid w:val="222D9989"/>
    <w:rsid w:val="222F1DB1"/>
    <w:rsid w:val="2231F5B5"/>
    <w:rsid w:val="22331A49"/>
    <w:rsid w:val="22335461"/>
    <w:rsid w:val="22335D14"/>
    <w:rsid w:val="2234D0B6"/>
    <w:rsid w:val="223A5D5D"/>
    <w:rsid w:val="223AF64B"/>
    <w:rsid w:val="223E7D90"/>
    <w:rsid w:val="223FC21B"/>
    <w:rsid w:val="224447C3"/>
    <w:rsid w:val="22445A74"/>
    <w:rsid w:val="2245D9D5"/>
    <w:rsid w:val="2247A179"/>
    <w:rsid w:val="22486725"/>
    <w:rsid w:val="224EAE9B"/>
    <w:rsid w:val="2258DE56"/>
    <w:rsid w:val="22630B32"/>
    <w:rsid w:val="22675ED8"/>
    <w:rsid w:val="2270F343"/>
    <w:rsid w:val="22712346"/>
    <w:rsid w:val="2276CECC"/>
    <w:rsid w:val="2278FBCB"/>
    <w:rsid w:val="227D979D"/>
    <w:rsid w:val="227EFF7C"/>
    <w:rsid w:val="228132D0"/>
    <w:rsid w:val="2283AB81"/>
    <w:rsid w:val="228A65D5"/>
    <w:rsid w:val="228EE804"/>
    <w:rsid w:val="22927DE5"/>
    <w:rsid w:val="22940340"/>
    <w:rsid w:val="229A140C"/>
    <w:rsid w:val="229B1ACD"/>
    <w:rsid w:val="22A02A92"/>
    <w:rsid w:val="22A6F51F"/>
    <w:rsid w:val="22B1438A"/>
    <w:rsid w:val="22B8A9D0"/>
    <w:rsid w:val="22C22C70"/>
    <w:rsid w:val="22C33325"/>
    <w:rsid w:val="22C41E8F"/>
    <w:rsid w:val="22C45290"/>
    <w:rsid w:val="22C73334"/>
    <w:rsid w:val="22D42700"/>
    <w:rsid w:val="22E08734"/>
    <w:rsid w:val="22E20A3E"/>
    <w:rsid w:val="22E6AF48"/>
    <w:rsid w:val="22E97F1B"/>
    <w:rsid w:val="22F30CBD"/>
    <w:rsid w:val="22F7E792"/>
    <w:rsid w:val="22FAD4DC"/>
    <w:rsid w:val="22FB73FE"/>
    <w:rsid w:val="230A1DC2"/>
    <w:rsid w:val="2310E44E"/>
    <w:rsid w:val="231775D2"/>
    <w:rsid w:val="2317B9B0"/>
    <w:rsid w:val="2317F16E"/>
    <w:rsid w:val="23183049"/>
    <w:rsid w:val="231E1C6F"/>
    <w:rsid w:val="2327A0FA"/>
    <w:rsid w:val="23298ED5"/>
    <w:rsid w:val="232D47BA"/>
    <w:rsid w:val="232F219D"/>
    <w:rsid w:val="233C91A9"/>
    <w:rsid w:val="233D8885"/>
    <w:rsid w:val="233FBF73"/>
    <w:rsid w:val="23421295"/>
    <w:rsid w:val="23485D4A"/>
    <w:rsid w:val="2349F462"/>
    <w:rsid w:val="234A0F86"/>
    <w:rsid w:val="234AC954"/>
    <w:rsid w:val="234B55E7"/>
    <w:rsid w:val="234E9CE3"/>
    <w:rsid w:val="2351C3AA"/>
    <w:rsid w:val="2359B87B"/>
    <w:rsid w:val="235F9716"/>
    <w:rsid w:val="2364CA11"/>
    <w:rsid w:val="2365825A"/>
    <w:rsid w:val="23700499"/>
    <w:rsid w:val="2370DA95"/>
    <w:rsid w:val="237202A4"/>
    <w:rsid w:val="2377BA6C"/>
    <w:rsid w:val="237BBDDE"/>
    <w:rsid w:val="23883807"/>
    <w:rsid w:val="238C7325"/>
    <w:rsid w:val="238CBBC4"/>
    <w:rsid w:val="238E5952"/>
    <w:rsid w:val="23965C15"/>
    <w:rsid w:val="239B3AC7"/>
    <w:rsid w:val="239BC5FB"/>
    <w:rsid w:val="23A0CD3A"/>
    <w:rsid w:val="23A1DB50"/>
    <w:rsid w:val="23A2EF56"/>
    <w:rsid w:val="23AB467C"/>
    <w:rsid w:val="23ABB53F"/>
    <w:rsid w:val="23ACEE1E"/>
    <w:rsid w:val="23ADA065"/>
    <w:rsid w:val="23B3A230"/>
    <w:rsid w:val="23BA2984"/>
    <w:rsid w:val="23C63A95"/>
    <w:rsid w:val="23C7D7F9"/>
    <w:rsid w:val="23CB969E"/>
    <w:rsid w:val="23CE59E3"/>
    <w:rsid w:val="23D5803E"/>
    <w:rsid w:val="23D84263"/>
    <w:rsid w:val="23DD9E19"/>
    <w:rsid w:val="23DFC80A"/>
    <w:rsid w:val="23E2A668"/>
    <w:rsid w:val="23EB4AE1"/>
    <w:rsid w:val="23EDFE1A"/>
    <w:rsid w:val="23EE32CF"/>
    <w:rsid w:val="23F22C63"/>
    <w:rsid w:val="23FD8542"/>
    <w:rsid w:val="23FDC8B6"/>
    <w:rsid w:val="240021A9"/>
    <w:rsid w:val="24013C88"/>
    <w:rsid w:val="24015AF6"/>
    <w:rsid w:val="2410DC95"/>
    <w:rsid w:val="2415DEC2"/>
    <w:rsid w:val="2415FE1D"/>
    <w:rsid w:val="241DB0A8"/>
    <w:rsid w:val="2421BBB5"/>
    <w:rsid w:val="2427E86E"/>
    <w:rsid w:val="242C9121"/>
    <w:rsid w:val="243509E3"/>
    <w:rsid w:val="2438AE1C"/>
    <w:rsid w:val="2438F7D1"/>
    <w:rsid w:val="243BD784"/>
    <w:rsid w:val="24427D51"/>
    <w:rsid w:val="244A7485"/>
    <w:rsid w:val="2458BEF3"/>
    <w:rsid w:val="2459125E"/>
    <w:rsid w:val="2460E615"/>
    <w:rsid w:val="246654D6"/>
    <w:rsid w:val="24669DD0"/>
    <w:rsid w:val="246A7358"/>
    <w:rsid w:val="246B0281"/>
    <w:rsid w:val="246E46C9"/>
    <w:rsid w:val="24756E72"/>
    <w:rsid w:val="24757A35"/>
    <w:rsid w:val="247D4FD4"/>
    <w:rsid w:val="247FC618"/>
    <w:rsid w:val="2484EBEC"/>
    <w:rsid w:val="248AE0E4"/>
    <w:rsid w:val="248D8DDA"/>
    <w:rsid w:val="248DDA1B"/>
    <w:rsid w:val="2491F4C7"/>
    <w:rsid w:val="249E9D8E"/>
    <w:rsid w:val="249ED19A"/>
    <w:rsid w:val="24A3BA49"/>
    <w:rsid w:val="24A4A7B7"/>
    <w:rsid w:val="24A68529"/>
    <w:rsid w:val="24AB1F00"/>
    <w:rsid w:val="24B01582"/>
    <w:rsid w:val="24B3FDD3"/>
    <w:rsid w:val="24B79E7F"/>
    <w:rsid w:val="24C77056"/>
    <w:rsid w:val="24CBE762"/>
    <w:rsid w:val="24CD3378"/>
    <w:rsid w:val="24DC16E2"/>
    <w:rsid w:val="24DFC3D7"/>
    <w:rsid w:val="24E53236"/>
    <w:rsid w:val="24E9BEF6"/>
    <w:rsid w:val="24EAA0BD"/>
    <w:rsid w:val="24F1411A"/>
    <w:rsid w:val="24FC2B04"/>
    <w:rsid w:val="2504F57F"/>
    <w:rsid w:val="250885EA"/>
    <w:rsid w:val="250904AE"/>
    <w:rsid w:val="2509C13E"/>
    <w:rsid w:val="250F17C0"/>
    <w:rsid w:val="250F5DB2"/>
    <w:rsid w:val="25211112"/>
    <w:rsid w:val="2523687F"/>
    <w:rsid w:val="252714D8"/>
    <w:rsid w:val="252A1CA6"/>
    <w:rsid w:val="252C355C"/>
    <w:rsid w:val="252DEB46"/>
    <w:rsid w:val="252E0F43"/>
    <w:rsid w:val="252EB215"/>
    <w:rsid w:val="2530A71F"/>
    <w:rsid w:val="25313A35"/>
    <w:rsid w:val="253286A8"/>
    <w:rsid w:val="2532C1AC"/>
    <w:rsid w:val="25333063"/>
    <w:rsid w:val="253A447C"/>
    <w:rsid w:val="253F1B91"/>
    <w:rsid w:val="2544269B"/>
    <w:rsid w:val="25445BE7"/>
    <w:rsid w:val="2547C85D"/>
    <w:rsid w:val="254AB660"/>
    <w:rsid w:val="254BDEF7"/>
    <w:rsid w:val="2551EB02"/>
    <w:rsid w:val="25576D3F"/>
    <w:rsid w:val="25619BEC"/>
    <w:rsid w:val="2563CEAF"/>
    <w:rsid w:val="2565C105"/>
    <w:rsid w:val="256E6A8B"/>
    <w:rsid w:val="25730D7B"/>
    <w:rsid w:val="2579C175"/>
    <w:rsid w:val="257AB4B7"/>
    <w:rsid w:val="257AC8A6"/>
    <w:rsid w:val="257CC817"/>
    <w:rsid w:val="257FED3F"/>
    <w:rsid w:val="25897941"/>
    <w:rsid w:val="2589CE46"/>
    <w:rsid w:val="258B5C24"/>
    <w:rsid w:val="258EA155"/>
    <w:rsid w:val="25941A8C"/>
    <w:rsid w:val="259DDD88"/>
    <w:rsid w:val="25A03A62"/>
    <w:rsid w:val="25A2452A"/>
    <w:rsid w:val="25A929E7"/>
    <w:rsid w:val="25AC4007"/>
    <w:rsid w:val="25AF0F1A"/>
    <w:rsid w:val="25AF656C"/>
    <w:rsid w:val="25B06A6D"/>
    <w:rsid w:val="25B1231B"/>
    <w:rsid w:val="25B59D35"/>
    <w:rsid w:val="25BF4488"/>
    <w:rsid w:val="25C14C1A"/>
    <w:rsid w:val="25C5FE4B"/>
    <w:rsid w:val="25C9B5B3"/>
    <w:rsid w:val="25D74D3D"/>
    <w:rsid w:val="25E16BA5"/>
    <w:rsid w:val="25E5F63B"/>
    <w:rsid w:val="25F4FF86"/>
    <w:rsid w:val="25FEB852"/>
    <w:rsid w:val="26055BBE"/>
    <w:rsid w:val="261AB73E"/>
    <w:rsid w:val="261DB39E"/>
    <w:rsid w:val="261F8336"/>
    <w:rsid w:val="26251C22"/>
    <w:rsid w:val="26284F0C"/>
    <w:rsid w:val="263FF0BE"/>
    <w:rsid w:val="26474538"/>
    <w:rsid w:val="2647E082"/>
    <w:rsid w:val="264CC064"/>
    <w:rsid w:val="264F0C71"/>
    <w:rsid w:val="264F8B8C"/>
    <w:rsid w:val="265113CF"/>
    <w:rsid w:val="265A5AF5"/>
    <w:rsid w:val="265D42FC"/>
    <w:rsid w:val="265DE786"/>
    <w:rsid w:val="26625638"/>
    <w:rsid w:val="266324E2"/>
    <w:rsid w:val="2667831E"/>
    <w:rsid w:val="2669EB9E"/>
    <w:rsid w:val="266B9E68"/>
    <w:rsid w:val="266F2104"/>
    <w:rsid w:val="266FF1E2"/>
    <w:rsid w:val="26735B7A"/>
    <w:rsid w:val="26738442"/>
    <w:rsid w:val="267AC989"/>
    <w:rsid w:val="2688E827"/>
    <w:rsid w:val="268D99FD"/>
    <w:rsid w:val="26974C75"/>
    <w:rsid w:val="26981A30"/>
    <w:rsid w:val="269AFDC9"/>
    <w:rsid w:val="26A87FA7"/>
    <w:rsid w:val="26B15617"/>
    <w:rsid w:val="26B21AC2"/>
    <w:rsid w:val="26B68377"/>
    <w:rsid w:val="26B9ACE4"/>
    <w:rsid w:val="26B9C2B3"/>
    <w:rsid w:val="26C047E2"/>
    <w:rsid w:val="26C2E8D1"/>
    <w:rsid w:val="26C9B19F"/>
    <w:rsid w:val="26DAFB03"/>
    <w:rsid w:val="26E040AC"/>
    <w:rsid w:val="26E5055B"/>
    <w:rsid w:val="26EED672"/>
    <w:rsid w:val="26F3AE5F"/>
    <w:rsid w:val="26F465A6"/>
    <w:rsid w:val="26FB1FC6"/>
    <w:rsid w:val="26FC3F5F"/>
    <w:rsid w:val="27065447"/>
    <w:rsid w:val="270B9D6C"/>
    <w:rsid w:val="270E452D"/>
    <w:rsid w:val="27102C70"/>
    <w:rsid w:val="27135215"/>
    <w:rsid w:val="271680B4"/>
    <w:rsid w:val="27184808"/>
    <w:rsid w:val="271AF794"/>
    <w:rsid w:val="271D6A30"/>
    <w:rsid w:val="272A81A0"/>
    <w:rsid w:val="272C7505"/>
    <w:rsid w:val="2731C6A5"/>
    <w:rsid w:val="273725AE"/>
    <w:rsid w:val="2738186C"/>
    <w:rsid w:val="273AFF1B"/>
    <w:rsid w:val="273B290C"/>
    <w:rsid w:val="273E64A7"/>
    <w:rsid w:val="2740256A"/>
    <w:rsid w:val="27479041"/>
    <w:rsid w:val="274A9F76"/>
    <w:rsid w:val="274D02BF"/>
    <w:rsid w:val="274FB4EA"/>
    <w:rsid w:val="275CAA6B"/>
    <w:rsid w:val="2762580C"/>
    <w:rsid w:val="27674081"/>
    <w:rsid w:val="2769C55C"/>
    <w:rsid w:val="276BEC1E"/>
    <w:rsid w:val="276EE21D"/>
    <w:rsid w:val="2770881C"/>
    <w:rsid w:val="2776EF91"/>
    <w:rsid w:val="277DF47A"/>
    <w:rsid w:val="27812BEF"/>
    <w:rsid w:val="2783BAEB"/>
    <w:rsid w:val="278B11AA"/>
    <w:rsid w:val="278F2A81"/>
    <w:rsid w:val="27905B6C"/>
    <w:rsid w:val="2794EB46"/>
    <w:rsid w:val="279560A2"/>
    <w:rsid w:val="279AD514"/>
    <w:rsid w:val="279C3B3D"/>
    <w:rsid w:val="27A0D00F"/>
    <w:rsid w:val="27A6598F"/>
    <w:rsid w:val="27AB9DB9"/>
    <w:rsid w:val="27ABF6AC"/>
    <w:rsid w:val="27B2B4B5"/>
    <w:rsid w:val="27B3F6D0"/>
    <w:rsid w:val="27B89314"/>
    <w:rsid w:val="27BF601B"/>
    <w:rsid w:val="27C2E853"/>
    <w:rsid w:val="27CBBD80"/>
    <w:rsid w:val="27D33E4C"/>
    <w:rsid w:val="27D67FE7"/>
    <w:rsid w:val="27D81B0E"/>
    <w:rsid w:val="27D8B8E1"/>
    <w:rsid w:val="27D989F2"/>
    <w:rsid w:val="27DC52C0"/>
    <w:rsid w:val="27DD0D4A"/>
    <w:rsid w:val="27DE134E"/>
    <w:rsid w:val="27E20C94"/>
    <w:rsid w:val="27E2FA2B"/>
    <w:rsid w:val="27E673A8"/>
    <w:rsid w:val="27EF83F6"/>
    <w:rsid w:val="27EF87EA"/>
    <w:rsid w:val="27F14145"/>
    <w:rsid w:val="27FE6E78"/>
    <w:rsid w:val="27FE993A"/>
    <w:rsid w:val="280067D0"/>
    <w:rsid w:val="2806C6F1"/>
    <w:rsid w:val="280AB9F7"/>
    <w:rsid w:val="280D6038"/>
    <w:rsid w:val="280DFB6D"/>
    <w:rsid w:val="2813B729"/>
    <w:rsid w:val="281B9942"/>
    <w:rsid w:val="281C8327"/>
    <w:rsid w:val="281DB674"/>
    <w:rsid w:val="2827E3AD"/>
    <w:rsid w:val="282D0B15"/>
    <w:rsid w:val="282E6D8C"/>
    <w:rsid w:val="28320207"/>
    <w:rsid w:val="2834F958"/>
    <w:rsid w:val="28390AA1"/>
    <w:rsid w:val="283A83DB"/>
    <w:rsid w:val="2840377A"/>
    <w:rsid w:val="2841E7CF"/>
    <w:rsid w:val="2849AB97"/>
    <w:rsid w:val="284AE913"/>
    <w:rsid w:val="284D119D"/>
    <w:rsid w:val="284F6EF3"/>
    <w:rsid w:val="2851E2B3"/>
    <w:rsid w:val="28525E74"/>
    <w:rsid w:val="2854E3B4"/>
    <w:rsid w:val="28550704"/>
    <w:rsid w:val="28635285"/>
    <w:rsid w:val="28663313"/>
    <w:rsid w:val="28687460"/>
    <w:rsid w:val="286BEE39"/>
    <w:rsid w:val="286CBB9D"/>
    <w:rsid w:val="286DE5F1"/>
    <w:rsid w:val="2875FFB8"/>
    <w:rsid w:val="2877D3C7"/>
    <w:rsid w:val="2877E409"/>
    <w:rsid w:val="287B4FCC"/>
    <w:rsid w:val="288013C0"/>
    <w:rsid w:val="2880D69D"/>
    <w:rsid w:val="28870130"/>
    <w:rsid w:val="288A0550"/>
    <w:rsid w:val="288E9688"/>
    <w:rsid w:val="28927399"/>
    <w:rsid w:val="289961FD"/>
    <w:rsid w:val="289A30B1"/>
    <w:rsid w:val="289BC28B"/>
    <w:rsid w:val="28A0057C"/>
    <w:rsid w:val="28A08C63"/>
    <w:rsid w:val="28A626DD"/>
    <w:rsid w:val="28A7DE81"/>
    <w:rsid w:val="28AA41A6"/>
    <w:rsid w:val="28B6DD1A"/>
    <w:rsid w:val="28BA09C4"/>
    <w:rsid w:val="28C1E87F"/>
    <w:rsid w:val="28C37716"/>
    <w:rsid w:val="28C59195"/>
    <w:rsid w:val="28C62884"/>
    <w:rsid w:val="28C6B3AB"/>
    <w:rsid w:val="28C9907A"/>
    <w:rsid w:val="28C9F22A"/>
    <w:rsid w:val="28CB8ADB"/>
    <w:rsid w:val="28CD1271"/>
    <w:rsid w:val="28D03982"/>
    <w:rsid w:val="28D82440"/>
    <w:rsid w:val="28E5EDB1"/>
    <w:rsid w:val="28E8A68D"/>
    <w:rsid w:val="28ECFCF4"/>
    <w:rsid w:val="28F8ABCA"/>
    <w:rsid w:val="28FB26DD"/>
    <w:rsid w:val="28FB63AB"/>
    <w:rsid w:val="2907263F"/>
    <w:rsid w:val="29119F6F"/>
    <w:rsid w:val="291D41F0"/>
    <w:rsid w:val="2921BF09"/>
    <w:rsid w:val="2925474B"/>
    <w:rsid w:val="2925AD9C"/>
    <w:rsid w:val="29262CFE"/>
    <w:rsid w:val="292BB82E"/>
    <w:rsid w:val="292E2DF6"/>
    <w:rsid w:val="293086F5"/>
    <w:rsid w:val="2938FF45"/>
    <w:rsid w:val="293B23EA"/>
    <w:rsid w:val="293DD3CB"/>
    <w:rsid w:val="293EC9D3"/>
    <w:rsid w:val="294223A4"/>
    <w:rsid w:val="29460D61"/>
    <w:rsid w:val="2950AFBA"/>
    <w:rsid w:val="2955E2AD"/>
    <w:rsid w:val="2956E86A"/>
    <w:rsid w:val="2959666E"/>
    <w:rsid w:val="29601ED0"/>
    <w:rsid w:val="2960BFAE"/>
    <w:rsid w:val="2963267F"/>
    <w:rsid w:val="2966C1C7"/>
    <w:rsid w:val="296C10E8"/>
    <w:rsid w:val="2975BEB5"/>
    <w:rsid w:val="2977FD90"/>
    <w:rsid w:val="29793643"/>
    <w:rsid w:val="297A0ABD"/>
    <w:rsid w:val="297DD2B3"/>
    <w:rsid w:val="297E0BDA"/>
    <w:rsid w:val="2989F33A"/>
    <w:rsid w:val="298AD0AF"/>
    <w:rsid w:val="298FFAE2"/>
    <w:rsid w:val="2994DE3F"/>
    <w:rsid w:val="2996281A"/>
    <w:rsid w:val="29A10271"/>
    <w:rsid w:val="29A19B2D"/>
    <w:rsid w:val="29A2FBE2"/>
    <w:rsid w:val="29A4B3EE"/>
    <w:rsid w:val="29A7573D"/>
    <w:rsid w:val="29A94730"/>
    <w:rsid w:val="29AC499B"/>
    <w:rsid w:val="29BF7E8C"/>
    <w:rsid w:val="29BFFC9D"/>
    <w:rsid w:val="29C70A68"/>
    <w:rsid w:val="29CAAAFD"/>
    <w:rsid w:val="29D0A42C"/>
    <w:rsid w:val="29D24835"/>
    <w:rsid w:val="29D2FB95"/>
    <w:rsid w:val="29D695DD"/>
    <w:rsid w:val="29DB24E6"/>
    <w:rsid w:val="29EF1B04"/>
    <w:rsid w:val="29F37BA7"/>
    <w:rsid w:val="29F3852A"/>
    <w:rsid w:val="29FA58B7"/>
    <w:rsid w:val="29FCD14D"/>
    <w:rsid w:val="2A04FD5B"/>
    <w:rsid w:val="2A0553D6"/>
    <w:rsid w:val="2A151700"/>
    <w:rsid w:val="2A1C42A7"/>
    <w:rsid w:val="2A1D0C7A"/>
    <w:rsid w:val="2A1D4A25"/>
    <w:rsid w:val="2A226166"/>
    <w:rsid w:val="2A23F8A5"/>
    <w:rsid w:val="2A2B4A6C"/>
    <w:rsid w:val="2A2E7C2C"/>
    <w:rsid w:val="2A2E8C6C"/>
    <w:rsid w:val="2A2EF072"/>
    <w:rsid w:val="2A2F85AD"/>
    <w:rsid w:val="2A324486"/>
    <w:rsid w:val="2A333632"/>
    <w:rsid w:val="2A357BC8"/>
    <w:rsid w:val="2A368EB3"/>
    <w:rsid w:val="2A3FDD1F"/>
    <w:rsid w:val="2A40EA41"/>
    <w:rsid w:val="2A40F0E4"/>
    <w:rsid w:val="2A43BA94"/>
    <w:rsid w:val="2A4D1644"/>
    <w:rsid w:val="2A4EA7DE"/>
    <w:rsid w:val="2A5465B5"/>
    <w:rsid w:val="2A58DC94"/>
    <w:rsid w:val="2A63E6CD"/>
    <w:rsid w:val="2A668250"/>
    <w:rsid w:val="2A66A18D"/>
    <w:rsid w:val="2A6972AF"/>
    <w:rsid w:val="2A6F6D03"/>
    <w:rsid w:val="2A7A43ED"/>
    <w:rsid w:val="2A894C6D"/>
    <w:rsid w:val="2A8C6A0C"/>
    <w:rsid w:val="2A9076E4"/>
    <w:rsid w:val="2A909B99"/>
    <w:rsid w:val="2A95B910"/>
    <w:rsid w:val="2AA144D0"/>
    <w:rsid w:val="2AA2D9B0"/>
    <w:rsid w:val="2AA39423"/>
    <w:rsid w:val="2AA7CA57"/>
    <w:rsid w:val="2AA7D114"/>
    <w:rsid w:val="2AA8CA1B"/>
    <w:rsid w:val="2AB202C4"/>
    <w:rsid w:val="2AB455B4"/>
    <w:rsid w:val="2AB4D22B"/>
    <w:rsid w:val="2AB64F65"/>
    <w:rsid w:val="2ABA26CD"/>
    <w:rsid w:val="2AD02CF3"/>
    <w:rsid w:val="2AD1AEF9"/>
    <w:rsid w:val="2AD6EABB"/>
    <w:rsid w:val="2AE4784F"/>
    <w:rsid w:val="2AE500E8"/>
    <w:rsid w:val="2AEC192A"/>
    <w:rsid w:val="2AF14C78"/>
    <w:rsid w:val="2AF93B1E"/>
    <w:rsid w:val="2B011B19"/>
    <w:rsid w:val="2B01C9C8"/>
    <w:rsid w:val="2B02BD41"/>
    <w:rsid w:val="2B084613"/>
    <w:rsid w:val="2B0DB8D9"/>
    <w:rsid w:val="2B15838C"/>
    <w:rsid w:val="2B1A0652"/>
    <w:rsid w:val="2B1B901B"/>
    <w:rsid w:val="2B1C2A8A"/>
    <w:rsid w:val="2B20DF7E"/>
    <w:rsid w:val="2B24E2B3"/>
    <w:rsid w:val="2B26777A"/>
    <w:rsid w:val="2B271CDB"/>
    <w:rsid w:val="2B3A7C8F"/>
    <w:rsid w:val="2B3F54E5"/>
    <w:rsid w:val="2B46152A"/>
    <w:rsid w:val="2B499A0F"/>
    <w:rsid w:val="2B4A4F21"/>
    <w:rsid w:val="2B4A60B8"/>
    <w:rsid w:val="2B4D8A0C"/>
    <w:rsid w:val="2B53AEF9"/>
    <w:rsid w:val="2B589DCA"/>
    <w:rsid w:val="2B59D477"/>
    <w:rsid w:val="2B5A3A4C"/>
    <w:rsid w:val="2B5BF48F"/>
    <w:rsid w:val="2B6088A3"/>
    <w:rsid w:val="2B641F1E"/>
    <w:rsid w:val="2B668F00"/>
    <w:rsid w:val="2B741DC8"/>
    <w:rsid w:val="2B76D63A"/>
    <w:rsid w:val="2B79DDC4"/>
    <w:rsid w:val="2B7B7884"/>
    <w:rsid w:val="2B7EA03E"/>
    <w:rsid w:val="2B879F86"/>
    <w:rsid w:val="2B8E033C"/>
    <w:rsid w:val="2B97D07A"/>
    <w:rsid w:val="2BA3BE55"/>
    <w:rsid w:val="2BA750DB"/>
    <w:rsid w:val="2BB8B933"/>
    <w:rsid w:val="2BBF1D21"/>
    <w:rsid w:val="2BC7FE15"/>
    <w:rsid w:val="2BCB3AD1"/>
    <w:rsid w:val="2BCEF11B"/>
    <w:rsid w:val="2BD5FFF8"/>
    <w:rsid w:val="2BD63E1F"/>
    <w:rsid w:val="2BDBBAF9"/>
    <w:rsid w:val="2BDC2671"/>
    <w:rsid w:val="2BDF9035"/>
    <w:rsid w:val="2BE10351"/>
    <w:rsid w:val="2BE354CA"/>
    <w:rsid w:val="2BE4509E"/>
    <w:rsid w:val="2BF41763"/>
    <w:rsid w:val="2BFE71E5"/>
    <w:rsid w:val="2C01165C"/>
    <w:rsid w:val="2C0B5C92"/>
    <w:rsid w:val="2C0C15D4"/>
    <w:rsid w:val="2C0D3D57"/>
    <w:rsid w:val="2C0FA578"/>
    <w:rsid w:val="2C1C235B"/>
    <w:rsid w:val="2C2111D4"/>
    <w:rsid w:val="2C23590D"/>
    <w:rsid w:val="2C26B277"/>
    <w:rsid w:val="2C2850F9"/>
    <w:rsid w:val="2C2B4C41"/>
    <w:rsid w:val="2C2C6FF6"/>
    <w:rsid w:val="2C2D38A9"/>
    <w:rsid w:val="2C2FD8B7"/>
    <w:rsid w:val="2C309722"/>
    <w:rsid w:val="2C3274D7"/>
    <w:rsid w:val="2C34530F"/>
    <w:rsid w:val="2C3E76ED"/>
    <w:rsid w:val="2C3FE573"/>
    <w:rsid w:val="2C4E369E"/>
    <w:rsid w:val="2C54E402"/>
    <w:rsid w:val="2C56575D"/>
    <w:rsid w:val="2C580C00"/>
    <w:rsid w:val="2C5D5516"/>
    <w:rsid w:val="2C647BDB"/>
    <w:rsid w:val="2C64E648"/>
    <w:rsid w:val="2C656A9D"/>
    <w:rsid w:val="2C67A7C8"/>
    <w:rsid w:val="2C70BB63"/>
    <w:rsid w:val="2C736173"/>
    <w:rsid w:val="2C7611A0"/>
    <w:rsid w:val="2C765557"/>
    <w:rsid w:val="2C773308"/>
    <w:rsid w:val="2C87D478"/>
    <w:rsid w:val="2C8946EB"/>
    <w:rsid w:val="2C90FB7C"/>
    <w:rsid w:val="2CA1B90A"/>
    <w:rsid w:val="2CAC799F"/>
    <w:rsid w:val="2CB32EA3"/>
    <w:rsid w:val="2CBFECD8"/>
    <w:rsid w:val="2CC3174C"/>
    <w:rsid w:val="2CC57FA4"/>
    <w:rsid w:val="2CCCEC8C"/>
    <w:rsid w:val="2CCDE660"/>
    <w:rsid w:val="2CD14FE3"/>
    <w:rsid w:val="2CD7A270"/>
    <w:rsid w:val="2CD9B66F"/>
    <w:rsid w:val="2CDB739A"/>
    <w:rsid w:val="2CDE3870"/>
    <w:rsid w:val="2CE046FE"/>
    <w:rsid w:val="2CE6CE03"/>
    <w:rsid w:val="2CE9BF8C"/>
    <w:rsid w:val="2CF55749"/>
    <w:rsid w:val="2CF959FE"/>
    <w:rsid w:val="2CFF7B96"/>
    <w:rsid w:val="2D076F60"/>
    <w:rsid w:val="2D0A570B"/>
    <w:rsid w:val="2D0B1D1E"/>
    <w:rsid w:val="2D0E6237"/>
    <w:rsid w:val="2D17F28C"/>
    <w:rsid w:val="2D184403"/>
    <w:rsid w:val="2D1AD45F"/>
    <w:rsid w:val="2D24C6B2"/>
    <w:rsid w:val="2D24E179"/>
    <w:rsid w:val="2D2B06FB"/>
    <w:rsid w:val="2D2D5851"/>
    <w:rsid w:val="2D31322E"/>
    <w:rsid w:val="2D39959C"/>
    <w:rsid w:val="2D3C8A22"/>
    <w:rsid w:val="2D3DBFA1"/>
    <w:rsid w:val="2D3F648D"/>
    <w:rsid w:val="2D4342F4"/>
    <w:rsid w:val="2D454DB0"/>
    <w:rsid w:val="2D455568"/>
    <w:rsid w:val="2D468F53"/>
    <w:rsid w:val="2D47D902"/>
    <w:rsid w:val="2D4A53C6"/>
    <w:rsid w:val="2D51DFEC"/>
    <w:rsid w:val="2D55345B"/>
    <w:rsid w:val="2D58E130"/>
    <w:rsid w:val="2D679C3E"/>
    <w:rsid w:val="2D6B7972"/>
    <w:rsid w:val="2D72449F"/>
    <w:rsid w:val="2D85C159"/>
    <w:rsid w:val="2D8C40E4"/>
    <w:rsid w:val="2D8DD5A7"/>
    <w:rsid w:val="2D8F2A91"/>
    <w:rsid w:val="2D960F15"/>
    <w:rsid w:val="2D9A0A49"/>
    <w:rsid w:val="2D9BB27F"/>
    <w:rsid w:val="2DA2EA02"/>
    <w:rsid w:val="2DA72E5E"/>
    <w:rsid w:val="2DAF4407"/>
    <w:rsid w:val="2DB76775"/>
    <w:rsid w:val="2DB7726B"/>
    <w:rsid w:val="2DB9A64B"/>
    <w:rsid w:val="2DBE1945"/>
    <w:rsid w:val="2DBEC59E"/>
    <w:rsid w:val="2DC67E0E"/>
    <w:rsid w:val="2DC6E140"/>
    <w:rsid w:val="2DCBE321"/>
    <w:rsid w:val="2DCC55EA"/>
    <w:rsid w:val="2DCEA62F"/>
    <w:rsid w:val="2DCF0F85"/>
    <w:rsid w:val="2DCF64F2"/>
    <w:rsid w:val="2DD50BA1"/>
    <w:rsid w:val="2DDB672A"/>
    <w:rsid w:val="2DDFF75F"/>
    <w:rsid w:val="2DE39D91"/>
    <w:rsid w:val="2DED5AC3"/>
    <w:rsid w:val="2DF75E01"/>
    <w:rsid w:val="2DFB57D5"/>
    <w:rsid w:val="2E0A7681"/>
    <w:rsid w:val="2E0B1AD3"/>
    <w:rsid w:val="2E0F748A"/>
    <w:rsid w:val="2E10195F"/>
    <w:rsid w:val="2E12BA51"/>
    <w:rsid w:val="2E171443"/>
    <w:rsid w:val="2E191729"/>
    <w:rsid w:val="2E213380"/>
    <w:rsid w:val="2E21DAB5"/>
    <w:rsid w:val="2E22F9E9"/>
    <w:rsid w:val="2E2A519A"/>
    <w:rsid w:val="2E2BBA75"/>
    <w:rsid w:val="2E2E3A66"/>
    <w:rsid w:val="2E2E8858"/>
    <w:rsid w:val="2E349063"/>
    <w:rsid w:val="2E35656B"/>
    <w:rsid w:val="2E3EAE64"/>
    <w:rsid w:val="2E3F2214"/>
    <w:rsid w:val="2E3F7ED7"/>
    <w:rsid w:val="2E44FF0D"/>
    <w:rsid w:val="2E4A9EAA"/>
    <w:rsid w:val="2E4CFBD9"/>
    <w:rsid w:val="2E4E0F3F"/>
    <w:rsid w:val="2E4FEFFA"/>
    <w:rsid w:val="2E59588A"/>
    <w:rsid w:val="2E59CFC1"/>
    <w:rsid w:val="2E5F81B8"/>
    <w:rsid w:val="2E61A6EA"/>
    <w:rsid w:val="2E629E1C"/>
    <w:rsid w:val="2E641CE4"/>
    <w:rsid w:val="2E684310"/>
    <w:rsid w:val="2E6F40C3"/>
    <w:rsid w:val="2E6F55BC"/>
    <w:rsid w:val="2E702303"/>
    <w:rsid w:val="2E79605B"/>
    <w:rsid w:val="2E7B161D"/>
    <w:rsid w:val="2E8932DF"/>
    <w:rsid w:val="2E9281A2"/>
    <w:rsid w:val="2E9392C6"/>
    <w:rsid w:val="2E95807B"/>
    <w:rsid w:val="2E9B5D9E"/>
    <w:rsid w:val="2E9B6DDA"/>
    <w:rsid w:val="2E9C4650"/>
    <w:rsid w:val="2E9E98FF"/>
    <w:rsid w:val="2EA0B4EF"/>
    <w:rsid w:val="2EAB862D"/>
    <w:rsid w:val="2EADAF4E"/>
    <w:rsid w:val="2EB0346C"/>
    <w:rsid w:val="2EB0C9EC"/>
    <w:rsid w:val="2EB0EB35"/>
    <w:rsid w:val="2EB1CDFC"/>
    <w:rsid w:val="2EB5901C"/>
    <w:rsid w:val="2EBA2F58"/>
    <w:rsid w:val="2EBD83A4"/>
    <w:rsid w:val="2EBDEA23"/>
    <w:rsid w:val="2EC2A202"/>
    <w:rsid w:val="2EC30635"/>
    <w:rsid w:val="2EC36566"/>
    <w:rsid w:val="2EC37C2A"/>
    <w:rsid w:val="2ECF88EE"/>
    <w:rsid w:val="2ECFC7A1"/>
    <w:rsid w:val="2ED3E91A"/>
    <w:rsid w:val="2ED43450"/>
    <w:rsid w:val="2ED4CB06"/>
    <w:rsid w:val="2ED51755"/>
    <w:rsid w:val="2ED9A133"/>
    <w:rsid w:val="2EE27179"/>
    <w:rsid w:val="2EE48617"/>
    <w:rsid w:val="2EF7C7F2"/>
    <w:rsid w:val="2EFB29CE"/>
    <w:rsid w:val="2EFB781D"/>
    <w:rsid w:val="2EFD4FC3"/>
    <w:rsid w:val="2EFFB6A2"/>
    <w:rsid w:val="2F007B54"/>
    <w:rsid w:val="2F03005D"/>
    <w:rsid w:val="2F05D5DB"/>
    <w:rsid w:val="2F07B2E4"/>
    <w:rsid w:val="2F0BC565"/>
    <w:rsid w:val="2F0E7C61"/>
    <w:rsid w:val="2F0EDE06"/>
    <w:rsid w:val="2F0FAEFB"/>
    <w:rsid w:val="2F116D78"/>
    <w:rsid w:val="2F18E1D2"/>
    <w:rsid w:val="2F1942CE"/>
    <w:rsid w:val="2F1B328E"/>
    <w:rsid w:val="2F1DF770"/>
    <w:rsid w:val="2F1EED17"/>
    <w:rsid w:val="2F212EEB"/>
    <w:rsid w:val="2F27798B"/>
    <w:rsid w:val="2F2B3166"/>
    <w:rsid w:val="2F2E8982"/>
    <w:rsid w:val="2F38287F"/>
    <w:rsid w:val="2F38A62D"/>
    <w:rsid w:val="2F3A74A5"/>
    <w:rsid w:val="2F3B71CA"/>
    <w:rsid w:val="2F49268D"/>
    <w:rsid w:val="2F4935FD"/>
    <w:rsid w:val="2F4C663E"/>
    <w:rsid w:val="2F4E7ACF"/>
    <w:rsid w:val="2F535AB6"/>
    <w:rsid w:val="2F54286C"/>
    <w:rsid w:val="2F560A06"/>
    <w:rsid w:val="2F56D65F"/>
    <w:rsid w:val="2F56DD27"/>
    <w:rsid w:val="2F5940DF"/>
    <w:rsid w:val="2F599FDC"/>
    <w:rsid w:val="2F5B6FF5"/>
    <w:rsid w:val="2F5EF826"/>
    <w:rsid w:val="2F5FBAE4"/>
    <w:rsid w:val="2F604DF3"/>
    <w:rsid w:val="2F613BBB"/>
    <w:rsid w:val="2F628967"/>
    <w:rsid w:val="2F628E31"/>
    <w:rsid w:val="2F65C00D"/>
    <w:rsid w:val="2F6777F3"/>
    <w:rsid w:val="2F77145E"/>
    <w:rsid w:val="2F7908AB"/>
    <w:rsid w:val="2F829D73"/>
    <w:rsid w:val="2F835781"/>
    <w:rsid w:val="2F852516"/>
    <w:rsid w:val="2F8D161C"/>
    <w:rsid w:val="2F91F561"/>
    <w:rsid w:val="2F957068"/>
    <w:rsid w:val="2F97409F"/>
    <w:rsid w:val="2F995C08"/>
    <w:rsid w:val="2F9A30CE"/>
    <w:rsid w:val="2F9EAA35"/>
    <w:rsid w:val="2F9F4152"/>
    <w:rsid w:val="2F9FE840"/>
    <w:rsid w:val="2FA69C49"/>
    <w:rsid w:val="2FAF2BB5"/>
    <w:rsid w:val="2FB1E9B2"/>
    <w:rsid w:val="2FB4E7C5"/>
    <w:rsid w:val="2FB747FE"/>
    <w:rsid w:val="2FBDB95B"/>
    <w:rsid w:val="2FBF36FC"/>
    <w:rsid w:val="2FC46F6D"/>
    <w:rsid w:val="2FC701FE"/>
    <w:rsid w:val="2FC95E46"/>
    <w:rsid w:val="2FD0751A"/>
    <w:rsid w:val="2FD6717F"/>
    <w:rsid w:val="2FDA1484"/>
    <w:rsid w:val="2FDC7611"/>
    <w:rsid w:val="2FDCF69F"/>
    <w:rsid w:val="2FDFD499"/>
    <w:rsid w:val="2FDFD94A"/>
    <w:rsid w:val="2FE51E85"/>
    <w:rsid w:val="2FE8780F"/>
    <w:rsid w:val="2FEF5173"/>
    <w:rsid w:val="2FF0F926"/>
    <w:rsid w:val="2FFA0861"/>
    <w:rsid w:val="2FFAD83A"/>
    <w:rsid w:val="2FFD3BF9"/>
    <w:rsid w:val="2FFDEAB3"/>
    <w:rsid w:val="30027154"/>
    <w:rsid w:val="300335EF"/>
    <w:rsid w:val="30042B54"/>
    <w:rsid w:val="30043D58"/>
    <w:rsid w:val="3008715F"/>
    <w:rsid w:val="300E5581"/>
    <w:rsid w:val="3010BF0B"/>
    <w:rsid w:val="301A2B5E"/>
    <w:rsid w:val="301BFCF4"/>
    <w:rsid w:val="301E6FB8"/>
    <w:rsid w:val="30255605"/>
    <w:rsid w:val="302ACAA0"/>
    <w:rsid w:val="302B441B"/>
    <w:rsid w:val="302EDFCB"/>
    <w:rsid w:val="3035A100"/>
    <w:rsid w:val="303AD616"/>
    <w:rsid w:val="30420D7B"/>
    <w:rsid w:val="30450A28"/>
    <w:rsid w:val="3047F659"/>
    <w:rsid w:val="304879FD"/>
    <w:rsid w:val="30488386"/>
    <w:rsid w:val="30500D6D"/>
    <w:rsid w:val="3055086E"/>
    <w:rsid w:val="305B9F18"/>
    <w:rsid w:val="305E7480"/>
    <w:rsid w:val="30632737"/>
    <w:rsid w:val="306BC17D"/>
    <w:rsid w:val="306CBF9D"/>
    <w:rsid w:val="307A8193"/>
    <w:rsid w:val="30827C8F"/>
    <w:rsid w:val="308314AA"/>
    <w:rsid w:val="3083BAFC"/>
    <w:rsid w:val="308C16AA"/>
    <w:rsid w:val="30934AE8"/>
    <w:rsid w:val="30939784"/>
    <w:rsid w:val="30A75C06"/>
    <w:rsid w:val="30ACC897"/>
    <w:rsid w:val="30ACD8FF"/>
    <w:rsid w:val="30B442A4"/>
    <w:rsid w:val="30BF4ADA"/>
    <w:rsid w:val="30C19205"/>
    <w:rsid w:val="30C44F70"/>
    <w:rsid w:val="30C6EFA1"/>
    <w:rsid w:val="30C98824"/>
    <w:rsid w:val="30D34109"/>
    <w:rsid w:val="30D4DB95"/>
    <w:rsid w:val="30D594EA"/>
    <w:rsid w:val="30D6C825"/>
    <w:rsid w:val="30D86B62"/>
    <w:rsid w:val="30DACB13"/>
    <w:rsid w:val="30EE601F"/>
    <w:rsid w:val="3102FE99"/>
    <w:rsid w:val="31069109"/>
    <w:rsid w:val="31070118"/>
    <w:rsid w:val="31084257"/>
    <w:rsid w:val="3109DF55"/>
    <w:rsid w:val="310ABB31"/>
    <w:rsid w:val="310B5EC6"/>
    <w:rsid w:val="311E811F"/>
    <w:rsid w:val="311F0F2C"/>
    <w:rsid w:val="3128A05A"/>
    <w:rsid w:val="31374C6B"/>
    <w:rsid w:val="313B14FA"/>
    <w:rsid w:val="3144C132"/>
    <w:rsid w:val="31474832"/>
    <w:rsid w:val="31489FB5"/>
    <w:rsid w:val="314A8D32"/>
    <w:rsid w:val="314AA7B9"/>
    <w:rsid w:val="314B373F"/>
    <w:rsid w:val="315034BE"/>
    <w:rsid w:val="3150B4BE"/>
    <w:rsid w:val="3152C896"/>
    <w:rsid w:val="315E70A7"/>
    <w:rsid w:val="316127DE"/>
    <w:rsid w:val="316A69DF"/>
    <w:rsid w:val="316BCFB4"/>
    <w:rsid w:val="316DC586"/>
    <w:rsid w:val="3171AE0B"/>
    <w:rsid w:val="3176742E"/>
    <w:rsid w:val="3180976F"/>
    <w:rsid w:val="318DD508"/>
    <w:rsid w:val="31925836"/>
    <w:rsid w:val="31A00311"/>
    <w:rsid w:val="31A2A49D"/>
    <w:rsid w:val="31A5CD01"/>
    <w:rsid w:val="31A6B1E4"/>
    <w:rsid w:val="31A864C9"/>
    <w:rsid w:val="31A95E39"/>
    <w:rsid w:val="31AB2694"/>
    <w:rsid w:val="31AF75B5"/>
    <w:rsid w:val="31AFA78F"/>
    <w:rsid w:val="31B3861B"/>
    <w:rsid w:val="31BBE4C7"/>
    <w:rsid w:val="31BEC531"/>
    <w:rsid w:val="31C79BA5"/>
    <w:rsid w:val="31C8868C"/>
    <w:rsid w:val="31D9FFCC"/>
    <w:rsid w:val="31DCB738"/>
    <w:rsid w:val="31E349AE"/>
    <w:rsid w:val="31E6B14C"/>
    <w:rsid w:val="31E6E7E9"/>
    <w:rsid w:val="31E8FA74"/>
    <w:rsid w:val="31EE53F3"/>
    <w:rsid w:val="31F2304C"/>
    <w:rsid w:val="31FA012F"/>
    <w:rsid w:val="31FBA5C5"/>
    <w:rsid w:val="31FFE6EA"/>
    <w:rsid w:val="32002DA9"/>
    <w:rsid w:val="3200A761"/>
    <w:rsid w:val="3207482C"/>
    <w:rsid w:val="32174730"/>
    <w:rsid w:val="322C0651"/>
    <w:rsid w:val="322E38B5"/>
    <w:rsid w:val="3232CF01"/>
    <w:rsid w:val="323694F2"/>
    <w:rsid w:val="32383DA8"/>
    <w:rsid w:val="323D1087"/>
    <w:rsid w:val="323D58EF"/>
    <w:rsid w:val="32430BBC"/>
    <w:rsid w:val="324D5B9A"/>
    <w:rsid w:val="324EA9F3"/>
    <w:rsid w:val="324F6BBF"/>
    <w:rsid w:val="32528DC5"/>
    <w:rsid w:val="3253A291"/>
    <w:rsid w:val="32555BCA"/>
    <w:rsid w:val="3255A644"/>
    <w:rsid w:val="325613C7"/>
    <w:rsid w:val="325A4365"/>
    <w:rsid w:val="325D8844"/>
    <w:rsid w:val="3263E04D"/>
    <w:rsid w:val="3263E8D4"/>
    <w:rsid w:val="326AED50"/>
    <w:rsid w:val="326B5910"/>
    <w:rsid w:val="326D22FE"/>
    <w:rsid w:val="326DBC85"/>
    <w:rsid w:val="327DDEE8"/>
    <w:rsid w:val="327FB62B"/>
    <w:rsid w:val="328BDFF9"/>
    <w:rsid w:val="328EAD41"/>
    <w:rsid w:val="328F7A0B"/>
    <w:rsid w:val="329888D0"/>
    <w:rsid w:val="329A533D"/>
    <w:rsid w:val="329A660A"/>
    <w:rsid w:val="329C2895"/>
    <w:rsid w:val="32A1B03E"/>
    <w:rsid w:val="32A6AF1A"/>
    <w:rsid w:val="32A78989"/>
    <w:rsid w:val="32ADEDF1"/>
    <w:rsid w:val="32B30510"/>
    <w:rsid w:val="32B6FDD5"/>
    <w:rsid w:val="32C840D8"/>
    <w:rsid w:val="32CFED69"/>
    <w:rsid w:val="32D07DAD"/>
    <w:rsid w:val="32D2DFAD"/>
    <w:rsid w:val="32D92A38"/>
    <w:rsid w:val="32E4BAA4"/>
    <w:rsid w:val="32F37C9C"/>
    <w:rsid w:val="32F61B8B"/>
    <w:rsid w:val="3300B7A5"/>
    <w:rsid w:val="330763CF"/>
    <w:rsid w:val="330E1B3F"/>
    <w:rsid w:val="3313758E"/>
    <w:rsid w:val="331973B6"/>
    <w:rsid w:val="331A7AC9"/>
    <w:rsid w:val="331ACF05"/>
    <w:rsid w:val="331D72BC"/>
    <w:rsid w:val="331FAD78"/>
    <w:rsid w:val="332649DC"/>
    <w:rsid w:val="3329FB6C"/>
    <w:rsid w:val="332DAB7A"/>
    <w:rsid w:val="3331A15A"/>
    <w:rsid w:val="3333CA45"/>
    <w:rsid w:val="3339D506"/>
    <w:rsid w:val="333F22B7"/>
    <w:rsid w:val="3349E6FB"/>
    <w:rsid w:val="334C5151"/>
    <w:rsid w:val="3351BDE5"/>
    <w:rsid w:val="335621B8"/>
    <w:rsid w:val="3357146F"/>
    <w:rsid w:val="3358DB1C"/>
    <w:rsid w:val="335BED85"/>
    <w:rsid w:val="335E173F"/>
    <w:rsid w:val="33608AA2"/>
    <w:rsid w:val="336675FF"/>
    <w:rsid w:val="336BB201"/>
    <w:rsid w:val="3380A844"/>
    <w:rsid w:val="338348B8"/>
    <w:rsid w:val="3385ED7A"/>
    <w:rsid w:val="33878C29"/>
    <w:rsid w:val="338ACFB3"/>
    <w:rsid w:val="338B800E"/>
    <w:rsid w:val="338C0786"/>
    <w:rsid w:val="338E4092"/>
    <w:rsid w:val="3393F8D6"/>
    <w:rsid w:val="33A653B5"/>
    <w:rsid w:val="33ACDE51"/>
    <w:rsid w:val="33B12361"/>
    <w:rsid w:val="33B18C41"/>
    <w:rsid w:val="33B1AEE0"/>
    <w:rsid w:val="33BB316C"/>
    <w:rsid w:val="33C196E2"/>
    <w:rsid w:val="33C4B218"/>
    <w:rsid w:val="33C6211E"/>
    <w:rsid w:val="33CB700B"/>
    <w:rsid w:val="33CDD7F2"/>
    <w:rsid w:val="33D24BE5"/>
    <w:rsid w:val="33D448BD"/>
    <w:rsid w:val="33D74149"/>
    <w:rsid w:val="33D9A5E9"/>
    <w:rsid w:val="33DC2CDA"/>
    <w:rsid w:val="33E12D18"/>
    <w:rsid w:val="33E1C6F7"/>
    <w:rsid w:val="33E4AD76"/>
    <w:rsid w:val="33E668E6"/>
    <w:rsid w:val="33E77C61"/>
    <w:rsid w:val="33F9F169"/>
    <w:rsid w:val="340755B2"/>
    <w:rsid w:val="340C386A"/>
    <w:rsid w:val="340D817C"/>
    <w:rsid w:val="340D8B72"/>
    <w:rsid w:val="3412E102"/>
    <w:rsid w:val="341B47BD"/>
    <w:rsid w:val="341EB19D"/>
    <w:rsid w:val="34205B9F"/>
    <w:rsid w:val="342991AE"/>
    <w:rsid w:val="342CAD1B"/>
    <w:rsid w:val="342EFD29"/>
    <w:rsid w:val="3434B132"/>
    <w:rsid w:val="34371C3D"/>
    <w:rsid w:val="344B0C04"/>
    <w:rsid w:val="3452E5AF"/>
    <w:rsid w:val="345663C1"/>
    <w:rsid w:val="34659C1E"/>
    <w:rsid w:val="346952CB"/>
    <w:rsid w:val="346EAE62"/>
    <w:rsid w:val="34773267"/>
    <w:rsid w:val="347B284C"/>
    <w:rsid w:val="347B6569"/>
    <w:rsid w:val="347B9430"/>
    <w:rsid w:val="3483C6E8"/>
    <w:rsid w:val="3484CB9B"/>
    <w:rsid w:val="3484D287"/>
    <w:rsid w:val="348F1585"/>
    <w:rsid w:val="3495444B"/>
    <w:rsid w:val="34971E2C"/>
    <w:rsid w:val="349902C3"/>
    <w:rsid w:val="349A7220"/>
    <w:rsid w:val="34A3C54A"/>
    <w:rsid w:val="34A4775C"/>
    <w:rsid w:val="34A6E3F3"/>
    <w:rsid w:val="34A84888"/>
    <w:rsid w:val="34A986B3"/>
    <w:rsid w:val="34AA6A6A"/>
    <w:rsid w:val="34ACEFE6"/>
    <w:rsid w:val="34ADC4C3"/>
    <w:rsid w:val="34B2310E"/>
    <w:rsid w:val="34B5B517"/>
    <w:rsid w:val="34B962A6"/>
    <w:rsid w:val="34C0C8D9"/>
    <w:rsid w:val="34C382E2"/>
    <w:rsid w:val="34C3BB8B"/>
    <w:rsid w:val="34C44F76"/>
    <w:rsid w:val="34C7217F"/>
    <w:rsid w:val="34C84E22"/>
    <w:rsid w:val="34C87252"/>
    <w:rsid w:val="34CC4F83"/>
    <w:rsid w:val="34D3C4BE"/>
    <w:rsid w:val="34D640D7"/>
    <w:rsid w:val="34DE26F4"/>
    <w:rsid w:val="34E7EDCE"/>
    <w:rsid w:val="34EBDF02"/>
    <w:rsid w:val="34FBF53A"/>
    <w:rsid w:val="34FD9711"/>
    <w:rsid w:val="3505E20E"/>
    <w:rsid w:val="3508FD86"/>
    <w:rsid w:val="350DE7A4"/>
    <w:rsid w:val="350E4358"/>
    <w:rsid w:val="350E77FD"/>
    <w:rsid w:val="35106EEC"/>
    <w:rsid w:val="3511580B"/>
    <w:rsid w:val="351444E2"/>
    <w:rsid w:val="351C5479"/>
    <w:rsid w:val="352BB2EA"/>
    <w:rsid w:val="352F40BB"/>
    <w:rsid w:val="3532149D"/>
    <w:rsid w:val="35335F1A"/>
    <w:rsid w:val="3535A375"/>
    <w:rsid w:val="35361F2B"/>
    <w:rsid w:val="35376624"/>
    <w:rsid w:val="353D5957"/>
    <w:rsid w:val="353D8966"/>
    <w:rsid w:val="353F4040"/>
    <w:rsid w:val="354306C2"/>
    <w:rsid w:val="35437F5F"/>
    <w:rsid w:val="3545424E"/>
    <w:rsid w:val="35464A1D"/>
    <w:rsid w:val="3550948B"/>
    <w:rsid w:val="3554CB43"/>
    <w:rsid w:val="355EF8FC"/>
    <w:rsid w:val="3563C0D0"/>
    <w:rsid w:val="35661CAA"/>
    <w:rsid w:val="35676654"/>
    <w:rsid w:val="35678909"/>
    <w:rsid w:val="356F5364"/>
    <w:rsid w:val="356FE725"/>
    <w:rsid w:val="35715578"/>
    <w:rsid w:val="35734793"/>
    <w:rsid w:val="35750AE9"/>
    <w:rsid w:val="3575D854"/>
    <w:rsid w:val="357C4845"/>
    <w:rsid w:val="357DF8ED"/>
    <w:rsid w:val="3581437D"/>
    <w:rsid w:val="3582F6C2"/>
    <w:rsid w:val="358F24DC"/>
    <w:rsid w:val="35A1208F"/>
    <w:rsid w:val="35A2346A"/>
    <w:rsid w:val="35AD2AB2"/>
    <w:rsid w:val="35B05F90"/>
    <w:rsid w:val="35B31814"/>
    <w:rsid w:val="35BCA042"/>
    <w:rsid w:val="35C578AD"/>
    <w:rsid w:val="35CFB9C2"/>
    <w:rsid w:val="35D00BB3"/>
    <w:rsid w:val="35E494B9"/>
    <w:rsid w:val="35E4C4DD"/>
    <w:rsid w:val="35E82CAB"/>
    <w:rsid w:val="35F2D51A"/>
    <w:rsid w:val="35F6F0D2"/>
    <w:rsid w:val="35FBFF73"/>
    <w:rsid w:val="35FC6EA7"/>
    <w:rsid w:val="36051A5C"/>
    <w:rsid w:val="360B669B"/>
    <w:rsid w:val="360C601D"/>
    <w:rsid w:val="360D32CC"/>
    <w:rsid w:val="36109EE8"/>
    <w:rsid w:val="3611BD0D"/>
    <w:rsid w:val="3614AEBD"/>
    <w:rsid w:val="361D05A0"/>
    <w:rsid w:val="362211B0"/>
    <w:rsid w:val="362252A7"/>
    <w:rsid w:val="36231552"/>
    <w:rsid w:val="3623B713"/>
    <w:rsid w:val="36246000"/>
    <w:rsid w:val="36269EF1"/>
    <w:rsid w:val="36287A38"/>
    <w:rsid w:val="362B1DF4"/>
    <w:rsid w:val="362B8DF5"/>
    <w:rsid w:val="362E3B0E"/>
    <w:rsid w:val="362E9713"/>
    <w:rsid w:val="3634FDF2"/>
    <w:rsid w:val="36358913"/>
    <w:rsid w:val="36358D2A"/>
    <w:rsid w:val="36365227"/>
    <w:rsid w:val="36368FF8"/>
    <w:rsid w:val="363FBF08"/>
    <w:rsid w:val="36410675"/>
    <w:rsid w:val="36440AFE"/>
    <w:rsid w:val="3648A123"/>
    <w:rsid w:val="3649152E"/>
    <w:rsid w:val="365AABA7"/>
    <w:rsid w:val="365DF508"/>
    <w:rsid w:val="36608E4C"/>
    <w:rsid w:val="36681BEF"/>
    <w:rsid w:val="366AC3A5"/>
    <w:rsid w:val="366D5CF4"/>
    <w:rsid w:val="366F5AD1"/>
    <w:rsid w:val="36711136"/>
    <w:rsid w:val="3671533B"/>
    <w:rsid w:val="3684FE5C"/>
    <w:rsid w:val="36862079"/>
    <w:rsid w:val="3689A5BB"/>
    <w:rsid w:val="368E7A8C"/>
    <w:rsid w:val="36950C52"/>
    <w:rsid w:val="36999BBD"/>
    <w:rsid w:val="36A1C9B9"/>
    <w:rsid w:val="36A5E242"/>
    <w:rsid w:val="36A90A9A"/>
    <w:rsid w:val="36B112F0"/>
    <w:rsid w:val="36B1C799"/>
    <w:rsid w:val="36B278C6"/>
    <w:rsid w:val="36B63D90"/>
    <w:rsid w:val="36B67256"/>
    <w:rsid w:val="36B9774C"/>
    <w:rsid w:val="36C91047"/>
    <w:rsid w:val="36CC9F82"/>
    <w:rsid w:val="36D1106A"/>
    <w:rsid w:val="36D2A99F"/>
    <w:rsid w:val="36D50940"/>
    <w:rsid w:val="36D6F105"/>
    <w:rsid w:val="36DC46EF"/>
    <w:rsid w:val="36E1104C"/>
    <w:rsid w:val="36E86F2D"/>
    <w:rsid w:val="36EDD7D7"/>
    <w:rsid w:val="36EDFBAE"/>
    <w:rsid w:val="36EE4863"/>
    <w:rsid w:val="36EE7A2E"/>
    <w:rsid w:val="36EED1C4"/>
    <w:rsid w:val="36EF942C"/>
    <w:rsid w:val="36F108D3"/>
    <w:rsid w:val="36F99724"/>
    <w:rsid w:val="37020D20"/>
    <w:rsid w:val="37021BE5"/>
    <w:rsid w:val="37024EFE"/>
    <w:rsid w:val="37040A3E"/>
    <w:rsid w:val="370474EC"/>
    <w:rsid w:val="3708A789"/>
    <w:rsid w:val="370D8AB6"/>
    <w:rsid w:val="37121C2C"/>
    <w:rsid w:val="3717529A"/>
    <w:rsid w:val="3717E847"/>
    <w:rsid w:val="371FA576"/>
    <w:rsid w:val="372423ED"/>
    <w:rsid w:val="3727A40E"/>
    <w:rsid w:val="372C0AC6"/>
    <w:rsid w:val="372DC2F0"/>
    <w:rsid w:val="37302B4C"/>
    <w:rsid w:val="3730FC46"/>
    <w:rsid w:val="373B5E94"/>
    <w:rsid w:val="373C879B"/>
    <w:rsid w:val="373F2E75"/>
    <w:rsid w:val="3741AD39"/>
    <w:rsid w:val="37478145"/>
    <w:rsid w:val="374D34E2"/>
    <w:rsid w:val="374FE20F"/>
    <w:rsid w:val="3756564E"/>
    <w:rsid w:val="3756843C"/>
    <w:rsid w:val="37568A96"/>
    <w:rsid w:val="37572B21"/>
    <w:rsid w:val="375BE540"/>
    <w:rsid w:val="37626BCA"/>
    <w:rsid w:val="37628F9F"/>
    <w:rsid w:val="3767209A"/>
    <w:rsid w:val="37687A13"/>
    <w:rsid w:val="376E2A0D"/>
    <w:rsid w:val="376E710C"/>
    <w:rsid w:val="3772A4E4"/>
    <w:rsid w:val="3773A46C"/>
    <w:rsid w:val="377D1567"/>
    <w:rsid w:val="3781B2C8"/>
    <w:rsid w:val="3784E2E9"/>
    <w:rsid w:val="378753E6"/>
    <w:rsid w:val="37879B9A"/>
    <w:rsid w:val="378ECE91"/>
    <w:rsid w:val="37A41961"/>
    <w:rsid w:val="37AA84CE"/>
    <w:rsid w:val="37ABF3CA"/>
    <w:rsid w:val="37B2B41D"/>
    <w:rsid w:val="37B8ED03"/>
    <w:rsid w:val="37C43809"/>
    <w:rsid w:val="37CB3344"/>
    <w:rsid w:val="37CFE716"/>
    <w:rsid w:val="37D117C3"/>
    <w:rsid w:val="37D402EF"/>
    <w:rsid w:val="37D6C806"/>
    <w:rsid w:val="37D80290"/>
    <w:rsid w:val="37DBB403"/>
    <w:rsid w:val="37E185A1"/>
    <w:rsid w:val="37EC10DD"/>
    <w:rsid w:val="37EE09F4"/>
    <w:rsid w:val="37F2E971"/>
    <w:rsid w:val="37F4A0A4"/>
    <w:rsid w:val="3804D295"/>
    <w:rsid w:val="3808FF4A"/>
    <w:rsid w:val="380A3908"/>
    <w:rsid w:val="380A55E9"/>
    <w:rsid w:val="380AEFC3"/>
    <w:rsid w:val="3816C198"/>
    <w:rsid w:val="381C7E3A"/>
    <w:rsid w:val="381F649C"/>
    <w:rsid w:val="38238494"/>
    <w:rsid w:val="3824D67D"/>
    <w:rsid w:val="3828F8F9"/>
    <w:rsid w:val="383B1D36"/>
    <w:rsid w:val="383BEFCE"/>
    <w:rsid w:val="384C5DE5"/>
    <w:rsid w:val="385043D4"/>
    <w:rsid w:val="3850517A"/>
    <w:rsid w:val="385B0DA4"/>
    <w:rsid w:val="385CCE92"/>
    <w:rsid w:val="385E7A9E"/>
    <w:rsid w:val="3860B01B"/>
    <w:rsid w:val="38681DF6"/>
    <w:rsid w:val="386C5ABB"/>
    <w:rsid w:val="386CB003"/>
    <w:rsid w:val="386ED46A"/>
    <w:rsid w:val="3871E1F6"/>
    <w:rsid w:val="387233A6"/>
    <w:rsid w:val="38745B13"/>
    <w:rsid w:val="38824B0C"/>
    <w:rsid w:val="3882C81E"/>
    <w:rsid w:val="388F49E3"/>
    <w:rsid w:val="3893AD1C"/>
    <w:rsid w:val="38955E0B"/>
    <w:rsid w:val="3896A57F"/>
    <w:rsid w:val="3899DFDB"/>
    <w:rsid w:val="38A2B12F"/>
    <w:rsid w:val="38A54516"/>
    <w:rsid w:val="38A680ED"/>
    <w:rsid w:val="38A7D3FD"/>
    <w:rsid w:val="38B8B2F6"/>
    <w:rsid w:val="38BB6154"/>
    <w:rsid w:val="38BD116A"/>
    <w:rsid w:val="38BE8A97"/>
    <w:rsid w:val="38BF0C39"/>
    <w:rsid w:val="38C00E5B"/>
    <w:rsid w:val="38C442B6"/>
    <w:rsid w:val="38C6CB99"/>
    <w:rsid w:val="38CA2489"/>
    <w:rsid w:val="38CE1F88"/>
    <w:rsid w:val="38D85261"/>
    <w:rsid w:val="38DD11FC"/>
    <w:rsid w:val="38E202DA"/>
    <w:rsid w:val="38E3DB1F"/>
    <w:rsid w:val="38E43E53"/>
    <w:rsid w:val="38E5EB1B"/>
    <w:rsid w:val="38EE073F"/>
    <w:rsid w:val="38FE1EF0"/>
    <w:rsid w:val="38FFC614"/>
    <w:rsid w:val="39008C84"/>
    <w:rsid w:val="39011F98"/>
    <w:rsid w:val="39051BE5"/>
    <w:rsid w:val="390A066C"/>
    <w:rsid w:val="390CD0EA"/>
    <w:rsid w:val="390FAF20"/>
    <w:rsid w:val="3913522C"/>
    <w:rsid w:val="39163EE5"/>
    <w:rsid w:val="391958F1"/>
    <w:rsid w:val="39229706"/>
    <w:rsid w:val="39259B81"/>
    <w:rsid w:val="39354578"/>
    <w:rsid w:val="3939E1D8"/>
    <w:rsid w:val="393CA183"/>
    <w:rsid w:val="393E202E"/>
    <w:rsid w:val="394316C5"/>
    <w:rsid w:val="39437F3E"/>
    <w:rsid w:val="394C5755"/>
    <w:rsid w:val="39566968"/>
    <w:rsid w:val="395B9A2E"/>
    <w:rsid w:val="395E7EE1"/>
    <w:rsid w:val="396932B4"/>
    <w:rsid w:val="396A3631"/>
    <w:rsid w:val="396F3EDD"/>
    <w:rsid w:val="3978F1B8"/>
    <w:rsid w:val="397A0070"/>
    <w:rsid w:val="397D8F5D"/>
    <w:rsid w:val="397F101C"/>
    <w:rsid w:val="39809D98"/>
    <w:rsid w:val="3980E0EC"/>
    <w:rsid w:val="398B699F"/>
    <w:rsid w:val="3993677C"/>
    <w:rsid w:val="399A2841"/>
    <w:rsid w:val="39A3F0F5"/>
    <w:rsid w:val="39A40A20"/>
    <w:rsid w:val="39A5D609"/>
    <w:rsid w:val="39AA7BF0"/>
    <w:rsid w:val="39B2EEE2"/>
    <w:rsid w:val="39B32AA9"/>
    <w:rsid w:val="39B79E6A"/>
    <w:rsid w:val="39BF9F91"/>
    <w:rsid w:val="39C6E3BA"/>
    <w:rsid w:val="39CA77ED"/>
    <w:rsid w:val="39CAA43C"/>
    <w:rsid w:val="39CE111D"/>
    <w:rsid w:val="39D4954D"/>
    <w:rsid w:val="39D970B7"/>
    <w:rsid w:val="39D9A6B1"/>
    <w:rsid w:val="39DD995C"/>
    <w:rsid w:val="39DDB3BA"/>
    <w:rsid w:val="39E0BCE3"/>
    <w:rsid w:val="39E47387"/>
    <w:rsid w:val="39E6095C"/>
    <w:rsid w:val="39E872F7"/>
    <w:rsid w:val="39ECA927"/>
    <w:rsid w:val="39ED1BEC"/>
    <w:rsid w:val="39F54DE8"/>
    <w:rsid w:val="39FC1275"/>
    <w:rsid w:val="39FF9AB1"/>
    <w:rsid w:val="39FFA52F"/>
    <w:rsid w:val="3A01520A"/>
    <w:rsid w:val="3A027630"/>
    <w:rsid w:val="3A034BEF"/>
    <w:rsid w:val="3A11B009"/>
    <w:rsid w:val="3A14AD7F"/>
    <w:rsid w:val="3A162434"/>
    <w:rsid w:val="3A16863C"/>
    <w:rsid w:val="3A19522E"/>
    <w:rsid w:val="3A1F47FE"/>
    <w:rsid w:val="3A1F5D31"/>
    <w:rsid w:val="3A25D666"/>
    <w:rsid w:val="3A29EBEF"/>
    <w:rsid w:val="3A361DEA"/>
    <w:rsid w:val="3A36DDA4"/>
    <w:rsid w:val="3A3DFAB7"/>
    <w:rsid w:val="3A3EC333"/>
    <w:rsid w:val="3A44CACB"/>
    <w:rsid w:val="3A45B43F"/>
    <w:rsid w:val="3A4FA313"/>
    <w:rsid w:val="3A5A790B"/>
    <w:rsid w:val="3A5EB6CD"/>
    <w:rsid w:val="3A663053"/>
    <w:rsid w:val="3A693BFA"/>
    <w:rsid w:val="3A6BD09B"/>
    <w:rsid w:val="3A6C764A"/>
    <w:rsid w:val="3A761242"/>
    <w:rsid w:val="3A7A796B"/>
    <w:rsid w:val="3A7F4F86"/>
    <w:rsid w:val="3A82B612"/>
    <w:rsid w:val="3A83798F"/>
    <w:rsid w:val="3A841AE2"/>
    <w:rsid w:val="3A981FFA"/>
    <w:rsid w:val="3A987FAF"/>
    <w:rsid w:val="3A98DA8F"/>
    <w:rsid w:val="3A9A2B04"/>
    <w:rsid w:val="3A9C0379"/>
    <w:rsid w:val="3A9DA5DD"/>
    <w:rsid w:val="3A9FFD18"/>
    <w:rsid w:val="3AA0733E"/>
    <w:rsid w:val="3AA1E0CD"/>
    <w:rsid w:val="3AA2D2B6"/>
    <w:rsid w:val="3AAC0935"/>
    <w:rsid w:val="3AB1144B"/>
    <w:rsid w:val="3AB1A0B3"/>
    <w:rsid w:val="3AB6C098"/>
    <w:rsid w:val="3ABEEEB6"/>
    <w:rsid w:val="3AC6C33B"/>
    <w:rsid w:val="3AC74C38"/>
    <w:rsid w:val="3ACB6E59"/>
    <w:rsid w:val="3ACFC6E9"/>
    <w:rsid w:val="3AD7820F"/>
    <w:rsid w:val="3ADF9959"/>
    <w:rsid w:val="3AE6C6BD"/>
    <w:rsid w:val="3AEA82FA"/>
    <w:rsid w:val="3AEE5415"/>
    <w:rsid w:val="3AF0A994"/>
    <w:rsid w:val="3AF4288C"/>
    <w:rsid w:val="3AF67E5B"/>
    <w:rsid w:val="3AF80485"/>
    <w:rsid w:val="3AFB92E4"/>
    <w:rsid w:val="3AFE939C"/>
    <w:rsid w:val="3AFF1947"/>
    <w:rsid w:val="3B018CD5"/>
    <w:rsid w:val="3B087215"/>
    <w:rsid w:val="3B13823F"/>
    <w:rsid w:val="3B175030"/>
    <w:rsid w:val="3B19C204"/>
    <w:rsid w:val="3B1AAA94"/>
    <w:rsid w:val="3B1CE14A"/>
    <w:rsid w:val="3B27CC6F"/>
    <w:rsid w:val="3B29F4E1"/>
    <w:rsid w:val="3B32AABE"/>
    <w:rsid w:val="3B336F49"/>
    <w:rsid w:val="3B532886"/>
    <w:rsid w:val="3B58FCB5"/>
    <w:rsid w:val="3B5FA510"/>
    <w:rsid w:val="3B627409"/>
    <w:rsid w:val="3B70209E"/>
    <w:rsid w:val="3B74206B"/>
    <w:rsid w:val="3B76E7DC"/>
    <w:rsid w:val="3B7A8146"/>
    <w:rsid w:val="3B7CB8E8"/>
    <w:rsid w:val="3B7D6DE6"/>
    <w:rsid w:val="3B82C3B8"/>
    <w:rsid w:val="3B86D92A"/>
    <w:rsid w:val="3B8DB769"/>
    <w:rsid w:val="3B909773"/>
    <w:rsid w:val="3B90E3E3"/>
    <w:rsid w:val="3B95D6BE"/>
    <w:rsid w:val="3B980F3B"/>
    <w:rsid w:val="3B9A6376"/>
    <w:rsid w:val="3B9AB0DD"/>
    <w:rsid w:val="3B9C7115"/>
    <w:rsid w:val="3B9E46E4"/>
    <w:rsid w:val="3BA41B91"/>
    <w:rsid w:val="3BAFB270"/>
    <w:rsid w:val="3BB7F194"/>
    <w:rsid w:val="3BB8C606"/>
    <w:rsid w:val="3BBB39C7"/>
    <w:rsid w:val="3BBBB243"/>
    <w:rsid w:val="3BBC5A88"/>
    <w:rsid w:val="3BC32BC3"/>
    <w:rsid w:val="3BD20430"/>
    <w:rsid w:val="3BD864C1"/>
    <w:rsid w:val="3BD9621B"/>
    <w:rsid w:val="3BE31E21"/>
    <w:rsid w:val="3BE7F93D"/>
    <w:rsid w:val="3BF823EF"/>
    <w:rsid w:val="3BF8A44D"/>
    <w:rsid w:val="3BFC8664"/>
    <w:rsid w:val="3BFCE300"/>
    <w:rsid w:val="3C006787"/>
    <w:rsid w:val="3C01F11A"/>
    <w:rsid w:val="3C03AB3F"/>
    <w:rsid w:val="3C072DDA"/>
    <w:rsid w:val="3C0DF7C1"/>
    <w:rsid w:val="3C155DCE"/>
    <w:rsid w:val="3C1B65C1"/>
    <w:rsid w:val="3C23BF39"/>
    <w:rsid w:val="3C245664"/>
    <w:rsid w:val="3C24763F"/>
    <w:rsid w:val="3C24C87B"/>
    <w:rsid w:val="3C2BC9BC"/>
    <w:rsid w:val="3C311C29"/>
    <w:rsid w:val="3C37AF16"/>
    <w:rsid w:val="3C38961B"/>
    <w:rsid w:val="3C3C7A0C"/>
    <w:rsid w:val="3C4434D5"/>
    <w:rsid w:val="3C473AA6"/>
    <w:rsid w:val="3C53739B"/>
    <w:rsid w:val="3C558066"/>
    <w:rsid w:val="3C581829"/>
    <w:rsid w:val="3C587C88"/>
    <w:rsid w:val="3C6010EC"/>
    <w:rsid w:val="3C60F426"/>
    <w:rsid w:val="3C6459B9"/>
    <w:rsid w:val="3C66C37E"/>
    <w:rsid w:val="3C6A05AF"/>
    <w:rsid w:val="3C6A9B4C"/>
    <w:rsid w:val="3C6B11D6"/>
    <w:rsid w:val="3C6EAD28"/>
    <w:rsid w:val="3C6FDA24"/>
    <w:rsid w:val="3C7098BF"/>
    <w:rsid w:val="3C71FF69"/>
    <w:rsid w:val="3C78FD99"/>
    <w:rsid w:val="3C7DA11D"/>
    <w:rsid w:val="3C8058C4"/>
    <w:rsid w:val="3C883CD2"/>
    <w:rsid w:val="3C8AD92E"/>
    <w:rsid w:val="3C955808"/>
    <w:rsid w:val="3C9F4EB5"/>
    <w:rsid w:val="3CA54182"/>
    <w:rsid w:val="3CBE49F9"/>
    <w:rsid w:val="3CBF8EF6"/>
    <w:rsid w:val="3CC7163F"/>
    <w:rsid w:val="3CC73028"/>
    <w:rsid w:val="3CCD6E0F"/>
    <w:rsid w:val="3CD0D06E"/>
    <w:rsid w:val="3CD47311"/>
    <w:rsid w:val="3CD80E97"/>
    <w:rsid w:val="3CE0058E"/>
    <w:rsid w:val="3CE391C8"/>
    <w:rsid w:val="3CEDDF14"/>
    <w:rsid w:val="3CF22DE4"/>
    <w:rsid w:val="3CF7CAAD"/>
    <w:rsid w:val="3CFD516C"/>
    <w:rsid w:val="3D074055"/>
    <w:rsid w:val="3D107ECA"/>
    <w:rsid w:val="3D12B58B"/>
    <w:rsid w:val="3D12FC2A"/>
    <w:rsid w:val="3D1663DA"/>
    <w:rsid w:val="3D1FE1E8"/>
    <w:rsid w:val="3D2166FE"/>
    <w:rsid w:val="3D233879"/>
    <w:rsid w:val="3D2827D2"/>
    <w:rsid w:val="3D29085B"/>
    <w:rsid w:val="3D30098D"/>
    <w:rsid w:val="3D3136F5"/>
    <w:rsid w:val="3D392D68"/>
    <w:rsid w:val="3D3D092D"/>
    <w:rsid w:val="3D3F824F"/>
    <w:rsid w:val="3D456F4F"/>
    <w:rsid w:val="3D4C07E4"/>
    <w:rsid w:val="3D4D5EE4"/>
    <w:rsid w:val="3D5849C7"/>
    <w:rsid w:val="3D58D17A"/>
    <w:rsid w:val="3D5A215C"/>
    <w:rsid w:val="3D5AE84E"/>
    <w:rsid w:val="3D5DE219"/>
    <w:rsid w:val="3D5DE911"/>
    <w:rsid w:val="3D651FF2"/>
    <w:rsid w:val="3D67283F"/>
    <w:rsid w:val="3D686F50"/>
    <w:rsid w:val="3D6EA7A7"/>
    <w:rsid w:val="3D74847D"/>
    <w:rsid w:val="3D76D3B5"/>
    <w:rsid w:val="3D7BB5A0"/>
    <w:rsid w:val="3D7DDD8B"/>
    <w:rsid w:val="3D7DE060"/>
    <w:rsid w:val="3D7E7CDE"/>
    <w:rsid w:val="3D7EDB3F"/>
    <w:rsid w:val="3D8119A7"/>
    <w:rsid w:val="3D85B266"/>
    <w:rsid w:val="3D8B2636"/>
    <w:rsid w:val="3D9016ED"/>
    <w:rsid w:val="3D930FD1"/>
    <w:rsid w:val="3DA96AF6"/>
    <w:rsid w:val="3DADA14C"/>
    <w:rsid w:val="3DB18E0A"/>
    <w:rsid w:val="3DBD6FE7"/>
    <w:rsid w:val="3DBDEF27"/>
    <w:rsid w:val="3DC455D3"/>
    <w:rsid w:val="3DCA5076"/>
    <w:rsid w:val="3DCB27D3"/>
    <w:rsid w:val="3DCE6662"/>
    <w:rsid w:val="3DDBB70A"/>
    <w:rsid w:val="3DDEFF5A"/>
    <w:rsid w:val="3DECDDFC"/>
    <w:rsid w:val="3DEDF38D"/>
    <w:rsid w:val="3DF051C0"/>
    <w:rsid w:val="3DFE530B"/>
    <w:rsid w:val="3E0302B3"/>
    <w:rsid w:val="3E141778"/>
    <w:rsid w:val="3E1A94C0"/>
    <w:rsid w:val="3E1C1572"/>
    <w:rsid w:val="3E1DE547"/>
    <w:rsid w:val="3E240CD9"/>
    <w:rsid w:val="3E24D8E6"/>
    <w:rsid w:val="3E2B431C"/>
    <w:rsid w:val="3E2E74C8"/>
    <w:rsid w:val="3E30F2C3"/>
    <w:rsid w:val="3E38FE6E"/>
    <w:rsid w:val="3E3D5E8A"/>
    <w:rsid w:val="3E3EB24F"/>
    <w:rsid w:val="3E3F2D13"/>
    <w:rsid w:val="3E411AB1"/>
    <w:rsid w:val="3E4C4F1F"/>
    <w:rsid w:val="3E4D7209"/>
    <w:rsid w:val="3E4EE817"/>
    <w:rsid w:val="3E4F0008"/>
    <w:rsid w:val="3E55A433"/>
    <w:rsid w:val="3E5AF7D2"/>
    <w:rsid w:val="3E5B1B23"/>
    <w:rsid w:val="3E5FD1DC"/>
    <w:rsid w:val="3E611FCA"/>
    <w:rsid w:val="3E6417A6"/>
    <w:rsid w:val="3E6C8C40"/>
    <w:rsid w:val="3E6D701B"/>
    <w:rsid w:val="3E6D7E5E"/>
    <w:rsid w:val="3E726A64"/>
    <w:rsid w:val="3E7886FF"/>
    <w:rsid w:val="3E79205D"/>
    <w:rsid w:val="3E7D40CA"/>
    <w:rsid w:val="3E82BF3A"/>
    <w:rsid w:val="3E88BA21"/>
    <w:rsid w:val="3E8A66B8"/>
    <w:rsid w:val="3E97E7C1"/>
    <w:rsid w:val="3E9A8D1C"/>
    <w:rsid w:val="3E9B6A5D"/>
    <w:rsid w:val="3E9C3487"/>
    <w:rsid w:val="3EA3C6DD"/>
    <w:rsid w:val="3EA6A0CD"/>
    <w:rsid w:val="3EA73BF4"/>
    <w:rsid w:val="3EA905B2"/>
    <w:rsid w:val="3EADA285"/>
    <w:rsid w:val="3EB349F6"/>
    <w:rsid w:val="3EC04237"/>
    <w:rsid w:val="3EC12BFC"/>
    <w:rsid w:val="3EC8194C"/>
    <w:rsid w:val="3ECAC13F"/>
    <w:rsid w:val="3ECAF8C9"/>
    <w:rsid w:val="3ECBA403"/>
    <w:rsid w:val="3ECF4F41"/>
    <w:rsid w:val="3ED4A3B0"/>
    <w:rsid w:val="3ED5F91C"/>
    <w:rsid w:val="3ED81E1A"/>
    <w:rsid w:val="3ED8855E"/>
    <w:rsid w:val="3EDF29A1"/>
    <w:rsid w:val="3EDFA3AD"/>
    <w:rsid w:val="3EDFB329"/>
    <w:rsid w:val="3EDFE0E4"/>
    <w:rsid w:val="3EE1AEF6"/>
    <w:rsid w:val="3EE2EB00"/>
    <w:rsid w:val="3EEA24AF"/>
    <w:rsid w:val="3EEC990E"/>
    <w:rsid w:val="3EEDB39A"/>
    <w:rsid w:val="3EEE3BDB"/>
    <w:rsid w:val="3EF95DB6"/>
    <w:rsid w:val="3EFA1612"/>
    <w:rsid w:val="3EFCEF34"/>
    <w:rsid w:val="3EFD89CC"/>
    <w:rsid w:val="3F07D961"/>
    <w:rsid w:val="3F08A31D"/>
    <w:rsid w:val="3F0BB8A2"/>
    <w:rsid w:val="3F0E40BF"/>
    <w:rsid w:val="3F11FCCA"/>
    <w:rsid w:val="3F16DF12"/>
    <w:rsid w:val="3F19BEF2"/>
    <w:rsid w:val="3F19E579"/>
    <w:rsid w:val="3F1B1ECC"/>
    <w:rsid w:val="3F1B29DE"/>
    <w:rsid w:val="3F1CCDD6"/>
    <w:rsid w:val="3F1E2B51"/>
    <w:rsid w:val="3F20ABCA"/>
    <w:rsid w:val="3F25D0A6"/>
    <w:rsid w:val="3F2DC79A"/>
    <w:rsid w:val="3F2F3A7C"/>
    <w:rsid w:val="3F34E622"/>
    <w:rsid w:val="3F35EEDB"/>
    <w:rsid w:val="3F3D680D"/>
    <w:rsid w:val="3F3DF16E"/>
    <w:rsid w:val="3F4085AD"/>
    <w:rsid w:val="3F4275C5"/>
    <w:rsid w:val="3F450B21"/>
    <w:rsid w:val="3F5290C7"/>
    <w:rsid w:val="3F5D3FFC"/>
    <w:rsid w:val="3F5D4968"/>
    <w:rsid w:val="3F5D7893"/>
    <w:rsid w:val="3F652C04"/>
    <w:rsid w:val="3F65F68B"/>
    <w:rsid w:val="3F69AC4B"/>
    <w:rsid w:val="3F6A3502"/>
    <w:rsid w:val="3F6A3C4E"/>
    <w:rsid w:val="3F7138D7"/>
    <w:rsid w:val="3F7290A3"/>
    <w:rsid w:val="3F756345"/>
    <w:rsid w:val="3F766DED"/>
    <w:rsid w:val="3F775D39"/>
    <w:rsid w:val="3F7DDFF0"/>
    <w:rsid w:val="3F7E7C75"/>
    <w:rsid w:val="3F8076FA"/>
    <w:rsid w:val="3F8290EF"/>
    <w:rsid w:val="3F832A3F"/>
    <w:rsid w:val="3F83AD81"/>
    <w:rsid w:val="3F86F612"/>
    <w:rsid w:val="3F941F2E"/>
    <w:rsid w:val="3F9494D0"/>
    <w:rsid w:val="3F98F475"/>
    <w:rsid w:val="3F997CA4"/>
    <w:rsid w:val="3F99F30D"/>
    <w:rsid w:val="3F9B74BA"/>
    <w:rsid w:val="3F9D10EA"/>
    <w:rsid w:val="3F9E568F"/>
    <w:rsid w:val="3FA41808"/>
    <w:rsid w:val="3FA6DC54"/>
    <w:rsid w:val="3FA98E0A"/>
    <w:rsid w:val="3FAA78F2"/>
    <w:rsid w:val="3FAE0B25"/>
    <w:rsid w:val="3FB1C5DE"/>
    <w:rsid w:val="3FB33D47"/>
    <w:rsid w:val="3FB6577D"/>
    <w:rsid w:val="3FBA3E4E"/>
    <w:rsid w:val="3FBB8C90"/>
    <w:rsid w:val="3FBC28C7"/>
    <w:rsid w:val="3FBE43A7"/>
    <w:rsid w:val="3FCAD08C"/>
    <w:rsid w:val="3FD1079C"/>
    <w:rsid w:val="3FD3331D"/>
    <w:rsid w:val="3FD61F6B"/>
    <w:rsid w:val="3FDC7715"/>
    <w:rsid w:val="3FDCC455"/>
    <w:rsid w:val="3FE0DD3D"/>
    <w:rsid w:val="3FE103DC"/>
    <w:rsid w:val="3FEB2FDA"/>
    <w:rsid w:val="3FEBE098"/>
    <w:rsid w:val="3FF09883"/>
    <w:rsid w:val="400F237F"/>
    <w:rsid w:val="4011D024"/>
    <w:rsid w:val="4017F307"/>
    <w:rsid w:val="40194880"/>
    <w:rsid w:val="401BC752"/>
    <w:rsid w:val="4020C8FD"/>
    <w:rsid w:val="40303614"/>
    <w:rsid w:val="4030FC0B"/>
    <w:rsid w:val="40353D88"/>
    <w:rsid w:val="4037E45E"/>
    <w:rsid w:val="403944CA"/>
    <w:rsid w:val="403BA09C"/>
    <w:rsid w:val="403BB658"/>
    <w:rsid w:val="404011A5"/>
    <w:rsid w:val="404ABA2F"/>
    <w:rsid w:val="405084A4"/>
    <w:rsid w:val="40512446"/>
    <w:rsid w:val="4051D947"/>
    <w:rsid w:val="405C844E"/>
    <w:rsid w:val="405C8CE5"/>
    <w:rsid w:val="4066733F"/>
    <w:rsid w:val="40677F94"/>
    <w:rsid w:val="40689C70"/>
    <w:rsid w:val="4068B868"/>
    <w:rsid w:val="40695E97"/>
    <w:rsid w:val="406F27FE"/>
    <w:rsid w:val="40707447"/>
    <w:rsid w:val="40776A31"/>
    <w:rsid w:val="40795DF7"/>
    <w:rsid w:val="407C0FB4"/>
    <w:rsid w:val="407DA8D0"/>
    <w:rsid w:val="407F0B99"/>
    <w:rsid w:val="40843435"/>
    <w:rsid w:val="4093B1BC"/>
    <w:rsid w:val="40966BE3"/>
    <w:rsid w:val="40969322"/>
    <w:rsid w:val="409E6F23"/>
    <w:rsid w:val="40A041E1"/>
    <w:rsid w:val="40A0FCD5"/>
    <w:rsid w:val="40A2C00F"/>
    <w:rsid w:val="40A6134C"/>
    <w:rsid w:val="40A633C4"/>
    <w:rsid w:val="40A74093"/>
    <w:rsid w:val="40A81467"/>
    <w:rsid w:val="40A96D40"/>
    <w:rsid w:val="40A9E2B5"/>
    <w:rsid w:val="40AC4371"/>
    <w:rsid w:val="40AD4D8F"/>
    <w:rsid w:val="40B2CC41"/>
    <w:rsid w:val="40B79974"/>
    <w:rsid w:val="40C18724"/>
    <w:rsid w:val="40C27EE8"/>
    <w:rsid w:val="40D6D44E"/>
    <w:rsid w:val="40D79D35"/>
    <w:rsid w:val="40EF27DD"/>
    <w:rsid w:val="40FA343F"/>
    <w:rsid w:val="40FC397A"/>
    <w:rsid w:val="410130B5"/>
    <w:rsid w:val="41078E97"/>
    <w:rsid w:val="4107CBED"/>
    <w:rsid w:val="410B70EF"/>
    <w:rsid w:val="410E08D5"/>
    <w:rsid w:val="410E2DDC"/>
    <w:rsid w:val="410E2FE8"/>
    <w:rsid w:val="411199BF"/>
    <w:rsid w:val="411AA5ED"/>
    <w:rsid w:val="411B5525"/>
    <w:rsid w:val="411BBA4A"/>
    <w:rsid w:val="412151D1"/>
    <w:rsid w:val="412A044B"/>
    <w:rsid w:val="412B3AC9"/>
    <w:rsid w:val="412D1266"/>
    <w:rsid w:val="41418BB7"/>
    <w:rsid w:val="4141939E"/>
    <w:rsid w:val="4146FF43"/>
    <w:rsid w:val="414B99A0"/>
    <w:rsid w:val="414D8EFE"/>
    <w:rsid w:val="41599E0C"/>
    <w:rsid w:val="4164B9FC"/>
    <w:rsid w:val="416AC087"/>
    <w:rsid w:val="416FF665"/>
    <w:rsid w:val="41787959"/>
    <w:rsid w:val="417CDC40"/>
    <w:rsid w:val="41875DDB"/>
    <w:rsid w:val="41881292"/>
    <w:rsid w:val="41890E83"/>
    <w:rsid w:val="41896C51"/>
    <w:rsid w:val="418BE451"/>
    <w:rsid w:val="418D2140"/>
    <w:rsid w:val="41912F22"/>
    <w:rsid w:val="4193DEFB"/>
    <w:rsid w:val="419624C1"/>
    <w:rsid w:val="419A26B7"/>
    <w:rsid w:val="419F07EE"/>
    <w:rsid w:val="41A3C7BA"/>
    <w:rsid w:val="41A6F174"/>
    <w:rsid w:val="41A751AF"/>
    <w:rsid w:val="41ADE411"/>
    <w:rsid w:val="41AE8D26"/>
    <w:rsid w:val="41AEC547"/>
    <w:rsid w:val="41B09AEE"/>
    <w:rsid w:val="41B9EB54"/>
    <w:rsid w:val="41BC2F60"/>
    <w:rsid w:val="41C12717"/>
    <w:rsid w:val="41C3FD32"/>
    <w:rsid w:val="41C5D2F4"/>
    <w:rsid w:val="41CB1044"/>
    <w:rsid w:val="41CBF6EF"/>
    <w:rsid w:val="41D0272B"/>
    <w:rsid w:val="41D13BBB"/>
    <w:rsid w:val="41D2B831"/>
    <w:rsid w:val="41D2C0F8"/>
    <w:rsid w:val="41D33577"/>
    <w:rsid w:val="41D5FB00"/>
    <w:rsid w:val="41DB49B6"/>
    <w:rsid w:val="41EA7D40"/>
    <w:rsid w:val="41EC4356"/>
    <w:rsid w:val="41ED799D"/>
    <w:rsid w:val="41F06318"/>
    <w:rsid w:val="41F3E662"/>
    <w:rsid w:val="41FB70DD"/>
    <w:rsid w:val="42005CE5"/>
    <w:rsid w:val="4203083A"/>
    <w:rsid w:val="42052DEC"/>
    <w:rsid w:val="420E620A"/>
    <w:rsid w:val="42107496"/>
    <w:rsid w:val="4210AFDB"/>
    <w:rsid w:val="42113915"/>
    <w:rsid w:val="4213E6D7"/>
    <w:rsid w:val="4215BEC8"/>
    <w:rsid w:val="42184784"/>
    <w:rsid w:val="4218D23A"/>
    <w:rsid w:val="4220DCA1"/>
    <w:rsid w:val="42215F4A"/>
    <w:rsid w:val="4223C1B9"/>
    <w:rsid w:val="4224045F"/>
    <w:rsid w:val="42256711"/>
    <w:rsid w:val="422A6A7E"/>
    <w:rsid w:val="422BB0B1"/>
    <w:rsid w:val="422F73CE"/>
    <w:rsid w:val="42311CAE"/>
    <w:rsid w:val="42352ECF"/>
    <w:rsid w:val="423AB371"/>
    <w:rsid w:val="42458F5D"/>
    <w:rsid w:val="42481F33"/>
    <w:rsid w:val="42573D30"/>
    <w:rsid w:val="4257C5FD"/>
    <w:rsid w:val="425C48D3"/>
    <w:rsid w:val="425C5E99"/>
    <w:rsid w:val="425ED1EE"/>
    <w:rsid w:val="42608680"/>
    <w:rsid w:val="42648731"/>
    <w:rsid w:val="4265228E"/>
    <w:rsid w:val="4267471B"/>
    <w:rsid w:val="4269B5DF"/>
    <w:rsid w:val="426C1F7F"/>
    <w:rsid w:val="4271F498"/>
    <w:rsid w:val="4275B10C"/>
    <w:rsid w:val="4275B2C7"/>
    <w:rsid w:val="4277882B"/>
    <w:rsid w:val="42854B9E"/>
    <w:rsid w:val="4295D160"/>
    <w:rsid w:val="42A1903C"/>
    <w:rsid w:val="42A60F47"/>
    <w:rsid w:val="42A907AA"/>
    <w:rsid w:val="42AA9B91"/>
    <w:rsid w:val="42AD9E9F"/>
    <w:rsid w:val="42AF1B9E"/>
    <w:rsid w:val="42B0C4F9"/>
    <w:rsid w:val="42B65590"/>
    <w:rsid w:val="42B909C1"/>
    <w:rsid w:val="42CED020"/>
    <w:rsid w:val="42D8170B"/>
    <w:rsid w:val="42D8D9D3"/>
    <w:rsid w:val="42DB2BBD"/>
    <w:rsid w:val="42E0CD89"/>
    <w:rsid w:val="42E133C2"/>
    <w:rsid w:val="42E145DD"/>
    <w:rsid w:val="42E88AA2"/>
    <w:rsid w:val="42EBC0C6"/>
    <w:rsid w:val="42EC293F"/>
    <w:rsid w:val="42F7D212"/>
    <w:rsid w:val="42F98B52"/>
    <w:rsid w:val="42FBCCAA"/>
    <w:rsid w:val="42FEF6A9"/>
    <w:rsid w:val="430462EC"/>
    <w:rsid w:val="43094F62"/>
    <w:rsid w:val="43151DA0"/>
    <w:rsid w:val="4315B15F"/>
    <w:rsid w:val="4319508F"/>
    <w:rsid w:val="43226C56"/>
    <w:rsid w:val="4324672C"/>
    <w:rsid w:val="4328D27F"/>
    <w:rsid w:val="43318EA5"/>
    <w:rsid w:val="4331CED3"/>
    <w:rsid w:val="43394348"/>
    <w:rsid w:val="433ABF50"/>
    <w:rsid w:val="433ED267"/>
    <w:rsid w:val="433F59FE"/>
    <w:rsid w:val="4344DA71"/>
    <w:rsid w:val="4345AA8B"/>
    <w:rsid w:val="43462C44"/>
    <w:rsid w:val="434B48D6"/>
    <w:rsid w:val="434DACDF"/>
    <w:rsid w:val="4352D03A"/>
    <w:rsid w:val="4357F295"/>
    <w:rsid w:val="43657411"/>
    <w:rsid w:val="436D84CA"/>
    <w:rsid w:val="4371D2BC"/>
    <w:rsid w:val="4374DE50"/>
    <w:rsid w:val="43752C30"/>
    <w:rsid w:val="4375F24C"/>
    <w:rsid w:val="4377FF5E"/>
    <w:rsid w:val="437B61D1"/>
    <w:rsid w:val="437F9300"/>
    <w:rsid w:val="43807663"/>
    <w:rsid w:val="43855EC0"/>
    <w:rsid w:val="4386CDED"/>
    <w:rsid w:val="4386F002"/>
    <w:rsid w:val="438A8FFD"/>
    <w:rsid w:val="438B0129"/>
    <w:rsid w:val="438EC0F5"/>
    <w:rsid w:val="4393AF7A"/>
    <w:rsid w:val="43941587"/>
    <w:rsid w:val="439E00BD"/>
    <w:rsid w:val="43A1B26E"/>
    <w:rsid w:val="43A393F0"/>
    <w:rsid w:val="43AB5E94"/>
    <w:rsid w:val="43AD785D"/>
    <w:rsid w:val="43B0D5E7"/>
    <w:rsid w:val="43B98F8F"/>
    <w:rsid w:val="43BA6469"/>
    <w:rsid w:val="43BDEC5B"/>
    <w:rsid w:val="43C28B15"/>
    <w:rsid w:val="43CEE066"/>
    <w:rsid w:val="43D3B590"/>
    <w:rsid w:val="43E36FB4"/>
    <w:rsid w:val="43E64359"/>
    <w:rsid w:val="43E6FB0C"/>
    <w:rsid w:val="43E803E3"/>
    <w:rsid w:val="43EAA5F4"/>
    <w:rsid w:val="43EC3A7F"/>
    <w:rsid w:val="43F27E85"/>
    <w:rsid w:val="43F89637"/>
    <w:rsid w:val="440ACBCF"/>
    <w:rsid w:val="440DE042"/>
    <w:rsid w:val="440FAF94"/>
    <w:rsid w:val="4414D1C0"/>
    <w:rsid w:val="441D0074"/>
    <w:rsid w:val="44273D3F"/>
    <w:rsid w:val="4430790F"/>
    <w:rsid w:val="4433786A"/>
    <w:rsid w:val="44376175"/>
    <w:rsid w:val="4438997D"/>
    <w:rsid w:val="443FC2DB"/>
    <w:rsid w:val="44414DDB"/>
    <w:rsid w:val="4441676B"/>
    <w:rsid w:val="44427D4E"/>
    <w:rsid w:val="444F7FCE"/>
    <w:rsid w:val="4450362F"/>
    <w:rsid w:val="445398B8"/>
    <w:rsid w:val="44544BEF"/>
    <w:rsid w:val="4457BD5D"/>
    <w:rsid w:val="4457D643"/>
    <w:rsid w:val="44602631"/>
    <w:rsid w:val="4462F801"/>
    <w:rsid w:val="4466EB63"/>
    <w:rsid w:val="44674117"/>
    <w:rsid w:val="4467FEA1"/>
    <w:rsid w:val="446949B6"/>
    <w:rsid w:val="4469E43F"/>
    <w:rsid w:val="44798FA4"/>
    <w:rsid w:val="44799EA8"/>
    <w:rsid w:val="447EC2A3"/>
    <w:rsid w:val="4480CCDA"/>
    <w:rsid w:val="448126AD"/>
    <w:rsid w:val="448272B5"/>
    <w:rsid w:val="44875286"/>
    <w:rsid w:val="4487E778"/>
    <w:rsid w:val="44897F63"/>
    <w:rsid w:val="44947457"/>
    <w:rsid w:val="4495A083"/>
    <w:rsid w:val="4497C0DE"/>
    <w:rsid w:val="4498FDCD"/>
    <w:rsid w:val="449F45FE"/>
    <w:rsid w:val="44A9793D"/>
    <w:rsid w:val="44AA42A1"/>
    <w:rsid w:val="44AEEA1B"/>
    <w:rsid w:val="44B1847E"/>
    <w:rsid w:val="44BBCE3B"/>
    <w:rsid w:val="44BF2A1B"/>
    <w:rsid w:val="44C3354F"/>
    <w:rsid w:val="44C4E96A"/>
    <w:rsid w:val="44C77F2C"/>
    <w:rsid w:val="44C9FE7C"/>
    <w:rsid w:val="44CB8A78"/>
    <w:rsid w:val="44CF9FC5"/>
    <w:rsid w:val="44CFD5B1"/>
    <w:rsid w:val="44D41366"/>
    <w:rsid w:val="44D83F31"/>
    <w:rsid w:val="44E4FD8A"/>
    <w:rsid w:val="44ECE587"/>
    <w:rsid w:val="44ED5709"/>
    <w:rsid w:val="44EF402E"/>
    <w:rsid w:val="44EFA9DA"/>
    <w:rsid w:val="44F06654"/>
    <w:rsid w:val="44F1F3D8"/>
    <w:rsid w:val="44F51A47"/>
    <w:rsid w:val="44F95293"/>
    <w:rsid w:val="44FBF322"/>
    <w:rsid w:val="44FF4234"/>
    <w:rsid w:val="4506E9F2"/>
    <w:rsid w:val="450753D7"/>
    <w:rsid w:val="450A52DE"/>
    <w:rsid w:val="45102120"/>
    <w:rsid w:val="4521CA59"/>
    <w:rsid w:val="452E3C98"/>
    <w:rsid w:val="4533C6A5"/>
    <w:rsid w:val="45347BD7"/>
    <w:rsid w:val="4547DEFB"/>
    <w:rsid w:val="4548474A"/>
    <w:rsid w:val="455068FB"/>
    <w:rsid w:val="455484E5"/>
    <w:rsid w:val="455BA878"/>
    <w:rsid w:val="455FA101"/>
    <w:rsid w:val="4565557E"/>
    <w:rsid w:val="456A885F"/>
    <w:rsid w:val="456B2460"/>
    <w:rsid w:val="456CD137"/>
    <w:rsid w:val="45763E33"/>
    <w:rsid w:val="45777CA8"/>
    <w:rsid w:val="457996C7"/>
    <w:rsid w:val="457A9539"/>
    <w:rsid w:val="457D1A9E"/>
    <w:rsid w:val="4580C3C2"/>
    <w:rsid w:val="45820C45"/>
    <w:rsid w:val="45A1E798"/>
    <w:rsid w:val="45A2DE77"/>
    <w:rsid w:val="45A37D02"/>
    <w:rsid w:val="45AD0A47"/>
    <w:rsid w:val="45ADFBB7"/>
    <w:rsid w:val="45B04AD8"/>
    <w:rsid w:val="45B179D3"/>
    <w:rsid w:val="45C0D5AB"/>
    <w:rsid w:val="45C2F244"/>
    <w:rsid w:val="45C892E7"/>
    <w:rsid w:val="45D59A26"/>
    <w:rsid w:val="45D67450"/>
    <w:rsid w:val="45DA7A2A"/>
    <w:rsid w:val="45DA9E81"/>
    <w:rsid w:val="45DB71A0"/>
    <w:rsid w:val="45DE2A49"/>
    <w:rsid w:val="45E269A7"/>
    <w:rsid w:val="45E54F53"/>
    <w:rsid w:val="45EAFBBF"/>
    <w:rsid w:val="45EC7BE1"/>
    <w:rsid w:val="45ED0116"/>
    <w:rsid w:val="45ED019B"/>
    <w:rsid w:val="45EEBCF5"/>
    <w:rsid w:val="45F044B1"/>
    <w:rsid w:val="45F46133"/>
    <w:rsid w:val="4601B072"/>
    <w:rsid w:val="460285B3"/>
    <w:rsid w:val="4607887C"/>
    <w:rsid w:val="4610B2AC"/>
    <w:rsid w:val="46130A54"/>
    <w:rsid w:val="461BEAD2"/>
    <w:rsid w:val="46201314"/>
    <w:rsid w:val="46222315"/>
    <w:rsid w:val="462248B6"/>
    <w:rsid w:val="4632D276"/>
    <w:rsid w:val="4632E302"/>
    <w:rsid w:val="463729A2"/>
    <w:rsid w:val="463ADC86"/>
    <w:rsid w:val="463CDC18"/>
    <w:rsid w:val="46436234"/>
    <w:rsid w:val="4643862C"/>
    <w:rsid w:val="4647F728"/>
    <w:rsid w:val="46486E4F"/>
    <w:rsid w:val="464C8047"/>
    <w:rsid w:val="4655DBB4"/>
    <w:rsid w:val="465AA33D"/>
    <w:rsid w:val="46638AA9"/>
    <w:rsid w:val="466AC822"/>
    <w:rsid w:val="466C5FA2"/>
    <w:rsid w:val="46704565"/>
    <w:rsid w:val="4679406B"/>
    <w:rsid w:val="467EC78F"/>
    <w:rsid w:val="4686BB50"/>
    <w:rsid w:val="4686D526"/>
    <w:rsid w:val="46873803"/>
    <w:rsid w:val="468EC00A"/>
    <w:rsid w:val="46915766"/>
    <w:rsid w:val="46918E81"/>
    <w:rsid w:val="4691C130"/>
    <w:rsid w:val="469CD92A"/>
    <w:rsid w:val="46AA2D58"/>
    <w:rsid w:val="46BA6B0A"/>
    <w:rsid w:val="46BA9098"/>
    <w:rsid w:val="46C3BC54"/>
    <w:rsid w:val="46C78431"/>
    <w:rsid w:val="46D562AD"/>
    <w:rsid w:val="46D7F832"/>
    <w:rsid w:val="46D9D4EA"/>
    <w:rsid w:val="46DC724F"/>
    <w:rsid w:val="46E62CBE"/>
    <w:rsid w:val="46E6ACB4"/>
    <w:rsid w:val="46E9598B"/>
    <w:rsid w:val="46EB86EC"/>
    <w:rsid w:val="46EEF871"/>
    <w:rsid w:val="46F72BC9"/>
    <w:rsid w:val="470D716A"/>
    <w:rsid w:val="470D7A84"/>
    <w:rsid w:val="47133E71"/>
    <w:rsid w:val="4713534A"/>
    <w:rsid w:val="472334DC"/>
    <w:rsid w:val="4723658E"/>
    <w:rsid w:val="47285270"/>
    <w:rsid w:val="4731D12C"/>
    <w:rsid w:val="47321A7C"/>
    <w:rsid w:val="4732B165"/>
    <w:rsid w:val="47334D3B"/>
    <w:rsid w:val="47359D2A"/>
    <w:rsid w:val="47407FD9"/>
    <w:rsid w:val="4746E8CA"/>
    <w:rsid w:val="474AE4AB"/>
    <w:rsid w:val="474F01F2"/>
    <w:rsid w:val="474FCF78"/>
    <w:rsid w:val="4751E2F5"/>
    <w:rsid w:val="4755B23C"/>
    <w:rsid w:val="475BA62E"/>
    <w:rsid w:val="475CBF45"/>
    <w:rsid w:val="475CEAA8"/>
    <w:rsid w:val="47649A62"/>
    <w:rsid w:val="476CB29A"/>
    <w:rsid w:val="476D4966"/>
    <w:rsid w:val="477A6AC0"/>
    <w:rsid w:val="4780F2A1"/>
    <w:rsid w:val="47848A31"/>
    <w:rsid w:val="478CEE0D"/>
    <w:rsid w:val="478DBCA2"/>
    <w:rsid w:val="4790F6C4"/>
    <w:rsid w:val="4799924D"/>
    <w:rsid w:val="479F6751"/>
    <w:rsid w:val="47A1D79F"/>
    <w:rsid w:val="47A432DB"/>
    <w:rsid w:val="47A5DCFE"/>
    <w:rsid w:val="47A60FE0"/>
    <w:rsid w:val="47A65688"/>
    <w:rsid w:val="47A7850C"/>
    <w:rsid w:val="47ABA49B"/>
    <w:rsid w:val="47AD3E7A"/>
    <w:rsid w:val="47BBF918"/>
    <w:rsid w:val="47BE109D"/>
    <w:rsid w:val="47BE957C"/>
    <w:rsid w:val="47BF3089"/>
    <w:rsid w:val="47C494F8"/>
    <w:rsid w:val="47C552EC"/>
    <w:rsid w:val="47C55C3D"/>
    <w:rsid w:val="47C5940D"/>
    <w:rsid w:val="47CEA0C6"/>
    <w:rsid w:val="47D0C6EE"/>
    <w:rsid w:val="47D2B0FD"/>
    <w:rsid w:val="47D3C6AF"/>
    <w:rsid w:val="47D7705F"/>
    <w:rsid w:val="47DE25D3"/>
    <w:rsid w:val="47DE81EE"/>
    <w:rsid w:val="47E57817"/>
    <w:rsid w:val="47E768E6"/>
    <w:rsid w:val="47E9CCC4"/>
    <w:rsid w:val="47EE3513"/>
    <w:rsid w:val="47F20F6B"/>
    <w:rsid w:val="47FE8F92"/>
    <w:rsid w:val="47FFEA37"/>
    <w:rsid w:val="4807BA64"/>
    <w:rsid w:val="4808A8BD"/>
    <w:rsid w:val="48095D98"/>
    <w:rsid w:val="4809E04C"/>
    <w:rsid w:val="480C9068"/>
    <w:rsid w:val="48138A15"/>
    <w:rsid w:val="4819E4DB"/>
    <w:rsid w:val="481BF18E"/>
    <w:rsid w:val="481F07CB"/>
    <w:rsid w:val="48221EB4"/>
    <w:rsid w:val="48252B2A"/>
    <w:rsid w:val="482684D6"/>
    <w:rsid w:val="482C84F5"/>
    <w:rsid w:val="482FB7C5"/>
    <w:rsid w:val="4831638C"/>
    <w:rsid w:val="4836E32E"/>
    <w:rsid w:val="483F61D4"/>
    <w:rsid w:val="4840520E"/>
    <w:rsid w:val="48484E5C"/>
    <w:rsid w:val="4848E6A4"/>
    <w:rsid w:val="4856BAB7"/>
    <w:rsid w:val="485B276C"/>
    <w:rsid w:val="48622775"/>
    <w:rsid w:val="48654B56"/>
    <w:rsid w:val="48667F46"/>
    <w:rsid w:val="486CA8CF"/>
    <w:rsid w:val="486DEDF3"/>
    <w:rsid w:val="487115F0"/>
    <w:rsid w:val="487415F2"/>
    <w:rsid w:val="487647C9"/>
    <w:rsid w:val="4885DA25"/>
    <w:rsid w:val="488846B9"/>
    <w:rsid w:val="48886C8D"/>
    <w:rsid w:val="488878F6"/>
    <w:rsid w:val="4889CBE8"/>
    <w:rsid w:val="4891D190"/>
    <w:rsid w:val="48921910"/>
    <w:rsid w:val="4897206C"/>
    <w:rsid w:val="48973DC0"/>
    <w:rsid w:val="489C30C6"/>
    <w:rsid w:val="48B04883"/>
    <w:rsid w:val="48B38190"/>
    <w:rsid w:val="48B61B3D"/>
    <w:rsid w:val="48B98C8B"/>
    <w:rsid w:val="48C5A7D5"/>
    <w:rsid w:val="48C778A8"/>
    <w:rsid w:val="48D1D10E"/>
    <w:rsid w:val="48DEDB72"/>
    <w:rsid w:val="48EC111B"/>
    <w:rsid w:val="48EC247D"/>
    <w:rsid w:val="48F08646"/>
    <w:rsid w:val="48F241EC"/>
    <w:rsid w:val="48F75F5F"/>
    <w:rsid w:val="490268DB"/>
    <w:rsid w:val="49075C10"/>
    <w:rsid w:val="490D2B0B"/>
    <w:rsid w:val="490DE5F3"/>
    <w:rsid w:val="4910ECFA"/>
    <w:rsid w:val="491200CE"/>
    <w:rsid w:val="49253B04"/>
    <w:rsid w:val="492608AA"/>
    <w:rsid w:val="492A5660"/>
    <w:rsid w:val="493AD0D6"/>
    <w:rsid w:val="493D8998"/>
    <w:rsid w:val="493FFCCA"/>
    <w:rsid w:val="4943EF80"/>
    <w:rsid w:val="49476CFF"/>
    <w:rsid w:val="4948DFBC"/>
    <w:rsid w:val="494BA45A"/>
    <w:rsid w:val="494EE76A"/>
    <w:rsid w:val="49550EA3"/>
    <w:rsid w:val="495941B8"/>
    <w:rsid w:val="495A6481"/>
    <w:rsid w:val="4965253A"/>
    <w:rsid w:val="4966C26A"/>
    <w:rsid w:val="496891DE"/>
    <w:rsid w:val="496E3145"/>
    <w:rsid w:val="49712BBE"/>
    <w:rsid w:val="49725CCD"/>
    <w:rsid w:val="49736E79"/>
    <w:rsid w:val="49756E63"/>
    <w:rsid w:val="497ADB2D"/>
    <w:rsid w:val="497F3EAE"/>
    <w:rsid w:val="4980106A"/>
    <w:rsid w:val="4982F46D"/>
    <w:rsid w:val="4984D2E2"/>
    <w:rsid w:val="4988AD86"/>
    <w:rsid w:val="498D34B6"/>
    <w:rsid w:val="498F1808"/>
    <w:rsid w:val="4992EDE2"/>
    <w:rsid w:val="49942858"/>
    <w:rsid w:val="499BB34B"/>
    <w:rsid w:val="499D645A"/>
    <w:rsid w:val="49A3EFF6"/>
    <w:rsid w:val="49BCD7D1"/>
    <w:rsid w:val="49C1464D"/>
    <w:rsid w:val="49C1B8A3"/>
    <w:rsid w:val="49C997BD"/>
    <w:rsid w:val="49CFE21D"/>
    <w:rsid w:val="49D6BA4C"/>
    <w:rsid w:val="49E1B962"/>
    <w:rsid w:val="49E3A09A"/>
    <w:rsid w:val="49E9F1FE"/>
    <w:rsid w:val="49EE9FEB"/>
    <w:rsid w:val="4A02E0AE"/>
    <w:rsid w:val="4A02FE01"/>
    <w:rsid w:val="4A03460A"/>
    <w:rsid w:val="4A0448FA"/>
    <w:rsid w:val="4A052C6E"/>
    <w:rsid w:val="4A06DDFC"/>
    <w:rsid w:val="4A094A84"/>
    <w:rsid w:val="4A117543"/>
    <w:rsid w:val="4A15A213"/>
    <w:rsid w:val="4A19AC64"/>
    <w:rsid w:val="4A1B790C"/>
    <w:rsid w:val="4A1D7D66"/>
    <w:rsid w:val="4A2D739B"/>
    <w:rsid w:val="4A3E5081"/>
    <w:rsid w:val="4A3E621A"/>
    <w:rsid w:val="4A473767"/>
    <w:rsid w:val="4A50974E"/>
    <w:rsid w:val="4A5314C6"/>
    <w:rsid w:val="4A54C68F"/>
    <w:rsid w:val="4A562BB6"/>
    <w:rsid w:val="4A5810A4"/>
    <w:rsid w:val="4A58A245"/>
    <w:rsid w:val="4A5C38A8"/>
    <w:rsid w:val="4A5CFEA7"/>
    <w:rsid w:val="4A6DCA4A"/>
    <w:rsid w:val="4A6EDD40"/>
    <w:rsid w:val="4A70CFD6"/>
    <w:rsid w:val="4A7220CC"/>
    <w:rsid w:val="4A730F3E"/>
    <w:rsid w:val="4A765438"/>
    <w:rsid w:val="4A7840B8"/>
    <w:rsid w:val="4A7D8DFC"/>
    <w:rsid w:val="4A7E6B07"/>
    <w:rsid w:val="4A8DE95C"/>
    <w:rsid w:val="4A91714B"/>
    <w:rsid w:val="4A9400D0"/>
    <w:rsid w:val="4A95D998"/>
    <w:rsid w:val="4A9902BF"/>
    <w:rsid w:val="4AA0B413"/>
    <w:rsid w:val="4AA363FF"/>
    <w:rsid w:val="4AA4439C"/>
    <w:rsid w:val="4AADE366"/>
    <w:rsid w:val="4AAE21CB"/>
    <w:rsid w:val="4AAF3236"/>
    <w:rsid w:val="4AB26ED5"/>
    <w:rsid w:val="4AB27D09"/>
    <w:rsid w:val="4AB2EBDD"/>
    <w:rsid w:val="4AB77B5A"/>
    <w:rsid w:val="4AB8009D"/>
    <w:rsid w:val="4AC447E2"/>
    <w:rsid w:val="4AC80CD5"/>
    <w:rsid w:val="4AC8B55C"/>
    <w:rsid w:val="4AD3B305"/>
    <w:rsid w:val="4AD4522F"/>
    <w:rsid w:val="4AD4AE93"/>
    <w:rsid w:val="4AD9EE38"/>
    <w:rsid w:val="4AFBA884"/>
    <w:rsid w:val="4AFFC5A9"/>
    <w:rsid w:val="4AFFFBDE"/>
    <w:rsid w:val="4B04A2E5"/>
    <w:rsid w:val="4B0E310E"/>
    <w:rsid w:val="4B1021B2"/>
    <w:rsid w:val="4B112488"/>
    <w:rsid w:val="4B135550"/>
    <w:rsid w:val="4B1517BA"/>
    <w:rsid w:val="4B1A8B3B"/>
    <w:rsid w:val="4B1D5C09"/>
    <w:rsid w:val="4B213D03"/>
    <w:rsid w:val="4B283323"/>
    <w:rsid w:val="4B2AF7D5"/>
    <w:rsid w:val="4B325855"/>
    <w:rsid w:val="4B3646E6"/>
    <w:rsid w:val="4B436E3B"/>
    <w:rsid w:val="4B458721"/>
    <w:rsid w:val="4B4B06E8"/>
    <w:rsid w:val="4B4B8122"/>
    <w:rsid w:val="4B4FAA32"/>
    <w:rsid w:val="4B50C13D"/>
    <w:rsid w:val="4B51F9E9"/>
    <w:rsid w:val="4B53AE2D"/>
    <w:rsid w:val="4B5ED814"/>
    <w:rsid w:val="4B5F96F6"/>
    <w:rsid w:val="4B61613D"/>
    <w:rsid w:val="4B61D865"/>
    <w:rsid w:val="4B61E33E"/>
    <w:rsid w:val="4B63C423"/>
    <w:rsid w:val="4B646ABB"/>
    <w:rsid w:val="4B661E68"/>
    <w:rsid w:val="4B8B4298"/>
    <w:rsid w:val="4B8BA080"/>
    <w:rsid w:val="4B8C7A5E"/>
    <w:rsid w:val="4B8E415F"/>
    <w:rsid w:val="4B9088AC"/>
    <w:rsid w:val="4B908C1D"/>
    <w:rsid w:val="4B9B5655"/>
    <w:rsid w:val="4B9DDDE8"/>
    <w:rsid w:val="4BACF5E9"/>
    <w:rsid w:val="4BAD340D"/>
    <w:rsid w:val="4BB5747F"/>
    <w:rsid w:val="4BB71FAF"/>
    <w:rsid w:val="4BB758B7"/>
    <w:rsid w:val="4BBF0BCF"/>
    <w:rsid w:val="4BC0239B"/>
    <w:rsid w:val="4BC8BE12"/>
    <w:rsid w:val="4BCF7181"/>
    <w:rsid w:val="4BCF7526"/>
    <w:rsid w:val="4BD94AB0"/>
    <w:rsid w:val="4BDAA4FD"/>
    <w:rsid w:val="4BDCB64C"/>
    <w:rsid w:val="4BDE7345"/>
    <w:rsid w:val="4BE2D251"/>
    <w:rsid w:val="4BE36DE6"/>
    <w:rsid w:val="4BE6EF59"/>
    <w:rsid w:val="4BE74E6E"/>
    <w:rsid w:val="4BEB79C7"/>
    <w:rsid w:val="4BED8957"/>
    <w:rsid w:val="4BEFA26D"/>
    <w:rsid w:val="4BF12E63"/>
    <w:rsid w:val="4BF6284D"/>
    <w:rsid w:val="4BF62A76"/>
    <w:rsid w:val="4BFCE212"/>
    <w:rsid w:val="4C0484C0"/>
    <w:rsid w:val="4C13F7BF"/>
    <w:rsid w:val="4C1A00ED"/>
    <w:rsid w:val="4C1C4451"/>
    <w:rsid w:val="4C2309F8"/>
    <w:rsid w:val="4C2C1C10"/>
    <w:rsid w:val="4C2E1AC5"/>
    <w:rsid w:val="4C33497C"/>
    <w:rsid w:val="4C3B41F4"/>
    <w:rsid w:val="4C3BADA1"/>
    <w:rsid w:val="4C447B9D"/>
    <w:rsid w:val="4C475AD8"/>
    <w:rsid w:val="4C50F754"/>
    <w:rsid w:val="4C51527C"/>
    <w:rsid w:val="4C5500A0"/>
    <w:rsid w:val="4C57D4CA"/>
    <w:rsid w:val="4C594161"/>
    <w:rsid w:val="4C5E5268"/>
    <w:rsid w:val="4C5F732C"/>
    <w:rsid w:val="4C69B689"/>
    <w:rsid w:val="4C6C49A5"/>
    <w:rsid w:val="4C73E71A"/>
    <w:rsid w:val="4C754FC9"/>
    <w:rsid w:val="4C7699ED"/>
    <w:rsid w:val="4C7769E4"/>
    <w:rsid w:val="4C784079"/>
    <w:rsid w:val="4C7A1404"/>
    <w:rsid w:val="4C7CC4C3"/>
    <w:rsid w:val="4C8BB05E"/>
    <w:rsid w:val="4C8C2358"/>
    <w:rsid w:val="4C8D3338"/>
    <w:rsid w:val="4C8D53CE"/>
    <w:rsid w:val="4C8ECE01"/>
    <w:rsid w:val="4C9954C6"/>
    <w:rsid w:val="4C9AD79A"/>
    <w:rsid w:val="4C9B3004"/>
    <w:rsid w:val="4CA4047D"/>
    <w:rsid w:val="4CB1A298"/>
    <w:rsid w:val="4CB66D55"/>
    <w:rsid w:val="4CBB3224"/>
    <w:rsid w:val="4CC4A57E"/>
    <w:rsid w:val="4CCAA6EE"/>
    <w:rsid w:val="4CCB7962"/>
    <w:rsid w:val="4CCDD64E"/>
    <w:rsid w:val="4CDB4B44"/>
    <w:rsid w:val="4CDE98F0"/>
    <w:rsid w:val="4CE12212"/>
    <w:rsid w:val="4CE90E6C"/>
    <w:rsid w:val="4CED2902"/>
    <w:rsid w:val="4CEF90BB"/>
    <w:rsid w:val="4CF3CDBA"/>
    <w:rsid w:val="4CFDCD4E"/>
    <w:rsid w:val="4CFFA78C"/>
    <w:rsid w:val="4D00F8FD"/>
    <w:rsid w:val="4D0A09A5"/>
    <w:rsid w:val="4D0A3D97"/>
    <w:rsid w:val="4D0C7C6F"/>
    <w:rsid w:val="4D197FEF"/>
    <w:rsid w:val="4D1A3448"/>
    <w:rsid w:val="4D1C99E4"/>
    <w:rsid w:val="4D2432CD"/>
    <w:rsid w:val="4D277090"/>
    <w:rsid w:val="4D2A7C00"/>
    <w:rsid w:val="4D2B9CFD"/>
    <w:rsid w:val="4D2EA424"/>
    <w:rsid w:val="4D31E198"/>
    <w:rsid w:val="4D324962"/>
    <w:rsid w:val="4D35251D"/>
    <w:rsid w:val="4D397AE0"/>
    <w:rsid w:val="4D3B933A"/>
    <w:rsid w:val="4D3C92A3"/>
    <w:rsid w:val="4D3EFD87"/>
    <w:rsid w:val="4D407B5F"/>
    <w:rsid w:val="4D440E48"/>
    <w:rsid w:val="4D46C7B0"/>
    <w:rsid w:val="4D4BC84D"/>
    <w:rsid w:val="4D4C9BB0"/>
    <w:rsid w:val="4D5114E8"/>
    <w:rsid w:val="4D554CC6"/>
    <w:rsid w:val="4D5602AC"/>
    <w:rsid w:val="4D656ACF"/>
    <w:rsid w:val="4D6A7050"/>
    <w:rsid w:val="4D6CDAAA"/>
    <w:rsid w:val="4D6F56A4"/>
    <w:rsid w:val="4D6F5E7C"/>
    <w:rsid w:val="4D6F9C0E"/>
    <w:rsid w:val="4D7204A6"/>
    <w:rsid w:val="4D7256AC"/>
    <w:rsid w:val="4D7B4088"/>
    <w:rsid w:val="4D7CCEE3"/>
    <w:rsid w:val="4D7EBFA8"/>
    <w:rsid w:val="4D8562B3"/>
    <w:rsid w:val="4D8B6EC3"/>
    <w:rsid w:val="4D8CB087"/>
    <w:rsid w:val="4D8DA25D"/>
    <w:rsid w:val="4D967A91"/>
    <w:rsid w:val="4D981C0A"/>
    <w:rsid w:val="4D9A60D3"/>
    <w:rsid w:val="4D9AA769"/>
    <w:rsid w:val="4DA0BB0A"/>
    <w:rsid w:val="4DA11CD5"/>
    <w:rsid w:val="4DA19DC0"/>
    <w:rsid w:val="4DA1D8A8"/>
    <w:rsid w:val="4DA2F66F"/>
    <w:rsid w:val="4DA63FC1"/>
    <w:rsid w:val="4DB9E3E5"/>
    <w:rsid w:val="4DC1DB2D"/>
    <w:rsid w:val="4DC31543"/>
    <w:rsid w:val="4DC9EF88"/>
    <w:rsid w:val="4DCDD40D"/>
    <w:rsid w:val="4DD18894"/>
    <w:rsid w:val="4DD514B0"/>
    <w:rsid w:val="4DD7235E"/>
    <w:rsid w:val="4DE49B2E"/>
    <w:rsid w:val="4DEDA37A"/>
    <w:rsid w:val="4DEDB21F"/>
    <w:rsid w:val="4DF5447F"/>
    <w:rsid w:val="4DF69699"/>
    <w:rsid w:val="4DF6B433"/>
    <w:rsid w:val="4DFCDF2D"/>
    <w:rsid w:val="4DFFEC4F"/>
    <w:rsid w:val="4E013352"/>
    <w:rsid w:val="4E074B26"/>
    <w:rsid w:val="4E093E99"/>
    <w:rsid w:val="4E0B9B72"/>
    <w:rsid w:val="4E167792"/>
    <w:rsid w:val="4E1856E1"/>
    <w:rsid w:val="4E2D1F8A"/>
    <w:rsid w:val="4E2E0225"/>
    <w:rsid w:val="4E2E1A28"/>
    <w:rsid w:val="4E2FBD95"/>
    <w:rsid w:val="4E411E3A"/>
    <w:rsid w:val="4E485C18"/>
    <w:rsid w:val="4E4F4F03"/>
    <w:rsid w:val="4E505A19"/>
    <w:rsid w:val="4E5C1E87"/>
    <w:rsid w:val="4E61964E"/>
    <w:rsid w:val="4E64749A"/>
    <w:rsid w:val="4E67B9DA"/>
    <w:rsid w:val="4E6898A8"/>
    <w:rsid w:val="4E6B0858"/>
    <w:rsid w:val="4E7AC767"/>
    <w:rsid w:val="4E7EB29C"/>
    <w:rsid w:val="4E7F167D"/>
    <w:rsid w:val="4E7F9E28"/>
    <w:rsid w:val="4E81D19C"/>
    <w:rsid w:val="4E87362F"/>
    <w:rsid w:val="4E9134D4"/>
    <w:rsid w:val="4E913B03"/>
    <w:rsid w:val="4E9C0937"/>
    <w:rsid w:val="4E9CC637"/>
    <w:rsid w:val="4EAFC381"/>
    <w:rsid w:val="4EB14089"/>
    <w:rsid w:val="4EBAE817"/>
    <w:rsid w:val="4EBCE8F8"/>
    <w:rsid w:val="4EBDC549"/>
    <w:rsid w:val="4EC52E80"/>
    <w:rsid w:val="4EC93E87"/>
    <w:rsid w:val="4EC98A10"/>
    <w:rsid w:val="4ECBE8B2"/>
    <w:rsid w:val="4ECDA5E9"/>
    <w:rsid w:val="4ECDCC9E"/>
    <w:rsid w:val="4ECFD798"/>
    <w:rsid w:val="4ED8AD5D"/>
    <w:rsid w:val="4ED9A8C8"/>
    <w:rsid w:val="4EDB3333"/>
    <w:rsid w:val="4EDC679C"/>
    <w:rsid w:val="4EDCD78C"/>
    <w:rsid w:val="4EE6E19D"/>
    <w:rsid w:val="4EE95A2B"/>
    <w:rsid w:val="4EECF888"/>
    <w:rsid w:val="4EEE1E0C"/>
    <w:rsid w:val="4EF24D20"/>
    <w:rsid w:val="4EF539ED"/>
    <w:rsid w:val="4EF65EC9"/>
    <w:rsid w:val="4EFAA0F2"/>
    <w:rsid w:val="4EFD56E1"/>
    <w:rsid w:val="4EFD784B"/>
    <w:rsid w:val="4EFF8A8C"/>
    <w:rsid w:val="4F02AB89"/>
    <w:rsid w:val="4F02FA56"/>
    <w:rsid w:val="4F03DDD4"/>
    <w:rsid w:val="4F0F8C66"/>
    <w:rsid w:val="4F139972"/>
    <w:rsid w:val="4F142E21"/>
    <w:rsid w:val="4F15A828"/>
    <w:rsid w:val="4F15F3DA"/>
    <w:rsid w:val="4F19A448"/>
    <w:rsid w:val="4F1A1516"/>
    <w:rsid w:val="4F1C9392"/>
    <w:rsid w:val="4F1D95CD"/>
    <w:rsid w:val="4F1D9B42"/>
    <w:rsid w:val="4F1F2B50"/>
    <w:rsid w:val="4F2F23AD"/>
    <w:rsid w:val="4F3C3C71"/>
    <w:rsid w:val="4F3CF257"/>
    <w:rsid w:val="4F3F87F2"/>
    <w:rsid w:val="4F3FE258"/>
    <w:rsid w:val="4F4179F9"/>
    <w:rsid w:val="4F4E0748"/>
    <w:rsid w:val="4F4EED58"/>
    <w:rsid w:val="4F5971D1"/>
    <w:rsid w:val="4F5CF0D8"/>
    <w:rsid w:val="4F6452EF"/>
    <w:rsid w:val="4F6597A2"/>
    <w:rsid w:val="4F66358B"/>
    <w:rsid w:val="4F66F9FB"/>
    <w:rsid w:val="4F7695C2"/>
    <w:rsid w:val="4F8045AE"/>
    <w:rsid w:val="4F83C3FC"/>
    <w:rsid w:val="4F9195A5"/>
    <w:rsid w:val="4F967198"/>
    <w:rsid w:val="4F985322"/>
    <w:rsid w:val="4F988EC8"/>
    <w:rsid w:val="4F9B7413"/>
    <w:rsid w:val="4F9C2E2C"/>
    <w:rsid w:val="4F9D844A"/>
    <w:rsid w:val="4F9FB9A4"/>
    <w:rsid w:val="4FA79EE2"/>
    <w:rsid w:val="4FAA1FD6"/>
    <w:rsid w:val="4FB21DD2"/>
    <w:rsid w:val="4FB70EDB"/>
    <w:rsid w:val="4FB8100B"/>
    <w:rsid w:val="4FB8D908"/>
    <w:rsid w:val="4FB9DC05"/>
    <w:rsid w:val="4FBBD1A7"/>
    <w:rsid w:val="4FBD2A0B"/>
    <w:rsid w:val="4FC408CE"/>
    <w:rsid w:val="4FCABFFB"/>
    <w:rsid w:val="4FD1D9B8"/>
    <w:rsid w:val="4FD4B022"/>
    <w:rsid w:val="4FD7E849"/>
    <w:rsid w:val="4FDC5320"/>
    <w:rsid w:val="4FDDB84A"/>
    <w:rsid w:val="4FDF69E0"/>
    <w:rsid w:val="4FE02110"/>
    <w:rsid w:val="4FE0409E"/>
    <w:rsid w:val="4FE0D614"/>
    <w:rsid w:val="4FE53723"/>
    <w:rsid w:val="4FEB0478"/>
    <w:rsid w:val="4FEF94DC"/>
    <w:rsid w:val="4FFA379E"/>
    <w:rsid w:val="4FFA53BE"/>
    <w:rsid w:val="4FFAB658"/>
    <w:rsid w:val="4FFAD094"/>
    <w:rsid w:val="5005FE20"/>
    <w:rsid w:val="5006DBB3"/>
    <w:rsid w:val="5007D96F"/>
    <w:rsid w:val="5014FBEE"/>
    <w:rsid w:val="5017059E"/>
    <w:rsid w:val="501BD58D"/>
    <w:rsid w:val="502456CB"/>
    <w:rsid w:val="50288669"/>
    <w:rsid w:val="5031FB69"/>
    <w:rsid w:val="503DCFDD"/>
    <w:rsid w:val="5049F202"/>
    <w:rsid w:val="504BBF88"/>
    <w:rsid w:val="504FFB44"/>
    <w:rsid w:val="5052081F"/>
    <w:rsid w:val="5053724E"/>
    <w:rsid w:val="5055C8A9"/>
    <w:rsid w:val="50567DA7"/>
    <w:rsid w:val="5056A1A5"/>
    <w:rsid w:val="505F46E0"/>
    <w:rsid w:val="5061A185"/>
    <w:rsid w:val="5062712D"/>
    <w:rsid w:val="50659D0A"/>
    <w:rsid w:val="5069AE7F"/>
    <w:rsid w:val="50775C00"/>
    <w:rsid w:val="5083977E"/>
    <w:rsid w:val="508FB536"/>
    <w:rsid w:val="5093E1CD"/>
    <w:rsid w:val="50951CDC"/>
    <w:rsid w:val="509BBBE0"/>
    <w:rsid w:val="50A34127"/>
    <w:rsid w:val="50A3D2D6"/>
    <w:rsid w:val="50A7CCFD"/>
    <w:rsid w:val="50AEC75D"/>
    <w:rsid w:val="50B99F87"/>
    <w:rsid w:val="50BAD472"/>
    <w:rsid w:val="50BF6945"/>
    <w:rsid w:val="50C79B44"/>
    <w:rsid w:val="50CDA608"/>
    <w:rsid w:val="50D6AC10"/>
    <w:rsid w:val="50E14E1A"/>
    <w:rsid w:val="50E332CC"/>
    <w:rsid w:val="50E37B43"/>
    <w:rsid w:val="50E42AFB"/>
    <w:rsid w:val="50E7ACE6"/>
    <w:rsid w:val="50E96B4A"/>
    <w:rsid w:val="50EA61BE"/>
    <w:rsid w:val="50F3251B"/>
    <w:rsid w:val="50F5C4C3"/>
    <w:rsid w:val="50F7083E"/>
    <w:rsid w:val="51027FDE"/>
    <w:rsid w:val="51078C32"/>
    <w:rsid w:val="510B1D89"/>
    <w:rsid w:val="510B6560"/>
    <w:rsid w:val="510C692F"/>
    <w:rsid w:val="511A16D5"/>
    <w:rsid w:val="51236CCA"/>
    <w:rsid w:val="51262404"/>
    <w:rsid w:val="512733F4"/>
    <w:rsid w:val="5130F68D"/>
    <w:rsid w:val="5132A19A"/>
    <w:rsid w:val="513A8DD7"/>
    <w:rsid w:val="513C560B"/>
    <w:rsid w:val="514413F3"/>
    <w:rsid w:val="5145B475"/>
    <w:rsid w:val="5146EC41"/>
    <w:rsid w:val="51481EEE"/>
    <w:rsid w:val="5149DC95"/>
    <w:rsid w:val="514BAC1E"/>
    <w:rsid w:val="51516BF4"/>
    <w:rsid w:val="51518977"/>
    <w:rsid w:val="51562D73"/>
    <w:rsid w:val="515FE8A2"/>
    <w:rsid w:val="516341F2"/>
    <w:rsid w:val="5169F6FE"/>
    <w:rsid w:val="5169F91A"/>
    <w:rsid w:val="51740299"/>
    <w:rsid w:val="51797AB3"/>
    <w:rsid w:val="517ABBEF"/>
    <w:rsid w:val="517D9D32"/>
    <w:rsid w:val="5186F668"/>
    <w:rsid w:val="518D87E2"/>
    <w:rsid w:val="518EB9E1"/>
    <w:rsid w:val="519123CE"/>
    <w:rsid w:val="5192E3EF"/>
    <w:rsid w:val="5194807F"/>
    <w:rsid w:val="51981926"/>
    <w:rsid w:val="5199FC6E"/>
    <w:rsid w:val="51A16CD2"/>
    <w:rsid w:val="51A409AA"/>
    <w:rsid w:val="51A71C7C"/>
    <w:rsid w:val="51A72219"/>
    <w:rsid w:val="51AA24BA"/>
    <w:rsid w:val="51AF82D7"/>
    <w:rsid w:val="51B0D420"/>
    <w:rsid w:val="51B2D381"/>
    <w:rsid w:val="51B6B072"/>
    <w:rsid w:val="51BD1114"/>
    <w:rsid w:val="51C6D911"/>
    <w:rsid w:val="51C6F1B6"/>
    <w:rsid w:val="51C9E3C0"/>
    <w:rsid w:val="51CA67D8"/>
    <w:rsid w:val="51CB5B26"/>
    <w:rsid w:val="51CC9727"/>
    <w:rsid w:val="51CEB65B"/>
    <w:rsid w:val="51CEF3C7"/>
    <w:rsid w:val="51D71FE8"/>
    <w:rsid w:val="51D8A62F"/>
    <w:rsid w:val="51DCBEFB"/>
    <w:rsid w:val="51DF7CFC"/>
    <w:rsid w:val="51EA4520"/>
    <w:rsid w:val="51ECD0D1"/>
    <w:rsid w:val="51EE4202"/>
    <w:rsid w:val="51F1E523"/>
    <w:rsid w:val="51F449B8"/>
    <w:rsid w:val="51F5168B"/>
    <w:rsid w:val="51F6007C"/>
    <w:rsid w:val="51FC1E51"/>
    <w:rsid w:val="51FC5FBA"/>
    <w:rsid w:val="5204161E"/>
    <w:rsid w:val="5207D8BE"/>
    <w:rsid w:val="520CE74A"/>
    <w:rsid w:val="521B7091"/>
    <w:rsid w:val="521C8E61"/>
    <w:rsid w:val="521F7595"/>
    <w:rsid w:val="522398A4"/>
    <w:rsid w:val="5226106F"/>
    <w:rsid w:val="522D8F54"/>
    <w:rsid w:val="522DA794"/>
    <w:rsid w:val="523AC4C2"/>
    <w:rsid w:val="523E5EC9"/>
    <w:rsid w:val="52411388"/>
    <w:rsid w:val="52415AA8"/>
    <w:rsid w:val="52465380"/>
    <w:rsid w:val="5247C234"/>
    <w:rsid w:val="524977BC"/>
    <w:rsid w:val="524A1B0D"/>
    <w:rsid w:val="5259CF87"/>
    <w:rsid w:val="52684188"/>
    <w:rsid w:val="526CE01C"/>
    <w:rsid w:val="526D6C70"/>
    <w:rsid w:val="526FFD9C"/>
    <w:rsid w:val="527007F6"/>
    <w:rsid w:val="527122C2"/>
    <w:rsid w:val="5275A8E0"/>
    <w:rsid w:val="527C5A4A"/>
    <w:rsid w:val="5295DA66"/>
    <w:rsid w:val="52970C09"/>
    <w:rsid w:val="529A5362"/>
    <w:rsid w:val="529E579D"/>
    <w:rsid w:val="52A19121"/>
    <w:rsid w:val="52A20B89"/>
    <w:rsid w:val="52A582DC"/>
    <w:rsid w:val="52A8A011"/>
    <w:rsid w:val="52ADBC6B"/>
    <w:rsid w:val="52AFB164"/>
    <w:rsid w:val="52B33AF2"/>
    <w:rsid w:val="52B58D9F"/>
    <w:rsid w:val="52B9B0D0"/>
    <w:rsid w:val="52BE9D32"/>
    <w:rsid w:val="52BF9536"/>
    <w:rsid w:val="52C08F67"/>
    <w:rsid w:val="52C2FF26"/>
    <w:rsid w:val="52C36392"/>
    <w:rsid w:val="52CBFB08"/>
    <w:rsid w:val="52CC83D8"/>
    <w:rsid w:val="52DDBC12"/>
    <w:rsid w:val="52DE2AEF"/>
    <w:rsid w:val="52F04372"/>
    <w:rsid w:val="52F15AE5"/>
    <w:rsid w:val="52F361C5"/>
    <w:rsid w:val="52F67832"/>
    <w:rsid w:val="5308F533"/>
    <w:rsid w:val="530F941F"/>
    <w:rsid w:val="53107F94"/>
    <w:rsid w:val="5313EB4C"/>
    <w:rsid w:val="53197FD6"/>
    <w:rsid w:val="531C26E8"/>
    <w:rsid w:val="531DFF1E"/>
    <w:rsid w:val="5320B6AD"/>
    <w:rsid w:val="5321BBC0"/>
    <w:rsid w:val="53253951"/>
    <w:rsid w:val="53268E0B"/>
    <w:rsid w:val="53274E4B"/>
    <w:rsid w:val="53312EA5"/>
    <w:rsid w:val="533ABCD4"/>
    <w:rsid w:val="533B6FE0"/>
    <w:rsid w:val="534380FE"/>
    <w:rsid w:val="53450AF4"/>
    <w:rsid w:val="5345A053"/>
    <w:rsid w:val="535404A7"/>
    <w:rsid w:val="5361DA99"/>
    <w:rsid w:val="5368009E"/>
    <w:rsid w:val="536C06ED"/>
    <w:rsid w:val="5378DCC2"/>
    <w:rsid w:val="5379365E"/>
    <w:rsid w:val="537B7099"/>
    <w:rsid w:val="537CD96A"/>
    <w:rsid w:val="538118E7"/>
    <w:rsid w:val="53849CB8"/>
    <w:rsid w:val="538901B3"/>
    <w:rsid w:val="538D8D30"/>
    <w:rsid w:val="538E4B2C"/>
    <w:rsid w:val="5392F0EF"/>
    <w:rsid w:val="539B305D"/>
    <w:rsid w:val="53A495C1"/>
    <w:rsid w:val="53A51F8F"/>
    <w:rsid w:val="53A6DDF2"/>
    <w:rsid w:val="53AEA02A"/>
    <w:rsid w:val="53B40545"/>
    <w:rsid w:val="53B7114A"/>
    <w:rsid w:val="53C39D99"/>
    <w:rsid w:val="53C632ED"/>
    <w:rsid w:val="53C6FDED"/>
    <w:rsid w:val="53CDCF07"/>
    <w:rsid w:val="53D1C7A8"/>
    <w:rsid w:val="53D76387"/>
    <w:rsid w:val="53DBA3EA"/>
    <w:rsid w:val="53DCD618"/>
    <w:rsid w:val="53DE51A7"/>
    <w:rsid w:val="53E60C90"/>
    <w:rsid w:val="53E89837"/>
    <w:rsid w:val="53F26AE7"/>
    <w:rsid w:val="540822D2"/>
    <w:rsid w:val="540A766C"/>
    <w:rsid w:val="54185B4A"/>
    <w:rsid w:val="54194145"/>
    <w:rsid w:val="541B1EAB"/>
    <w:rsid w:val="541D48FA"/>
    <w:rsid w:val="541F18EF"/>
    <w:rsid w:val="542B05F4"/>
    <w:rsid w:val="5440394F"/>
    <w:rsid w:val="54406AE0"/>
    <w:rsid w:val="54456F95"/>
    <w:rsid w:val="544B8C7D"/>
    <w:rsid w:val="544DC825"/>
    <w:rsid w:val="54603895"/>
    <w:rsid w:val="54606668"/>
    <w:rsid w:val="5467E3E5"/>
    <w:rsid w:val="5468CB53"/>
    <w:rsid w:val="546D548A"/>
    <w:rsid w:val="547187EA"/>
    <w:rsid w:val="54750BA1"/>
    <w:rsid w:val="5475F141"/>
    <w:rsid w:val="5477B61E"/>
    <w:rsid w:val="547C3D93"/>
    <w:rsid w:val="5480D899"/>
    <w:rsid w:val="5482A8BC"/>
    <w:rsid w:val="5487A827"/>
    <w:rsid w:val="548BC9DF"/>
    <w:rsid w:val="548EBE95"/>
    <w:rsid w:val="54954508"/>
    <w:rsid w:val="549B3AF3"/>
    <w:rsid w:val="549CC8C8"/>
    <w:rsid w:val="54A2B005"/>
    <w:rsid w:val="54A6138D"/>
    <w:rsid w:val="54B60212"/>
    <w:rsid w:val="54B638EE"/>
    <w:rsid w:val="54B7618E"/>
    <w:rsid w:val="54B9FB16"/>
    <w:rsid w:val="54BD6082"/>
    <w:rsid w:val="54C2857B"/>
    <w:rsid w:val="54C5077B"/>
    <w:rsid w:val="54C5652D"/>
    <w:rsid w:val="54CB5046"/>
    <w:rsid w:val="54D138FE"/>
    <w:rsid w:val="54E52DCD"/>
    <w:rsid w:val="54F28B7B"/>
    <w:rsid w:val="54F7204F"/>
    <w:rsid w:val="54FB814D"/>
    <w:rsid w:val="54FC876E"/>
    <w:rsid w:val="550211AB"/>
    <w:rsid w:val="55037CD5"/>
    <w:rsid w:val="5506CF6C"/>
    <w:rsid w:val="550B078D"/>
    <w:rsid w:val="550B6C8C"/>
    <w:rsid w:val="5512D0B3"/>
    <w:rsid w:val="5517B01C"/>
    <w:rsid w:val="551A0DE9"/>
    <w:rsid w:val="551ABEC1"/>
    <w:rsid w:val="55202AA3"/>
    <w:rsid w:val="5520DBED"/>
    <w:rsid w:val="5525DA30"/>
    <w:rsid w:val="552C7AB8"/>
    <w:rsid w:val="5538D27D"/>
    <w:rsid w:val="55398E61"/>
    <w:rsid w:val="553CA986"/>
    <w:rsid w:val="553CAC7D"/>
    <w:rsid w:val="5540791E"/>
    <w:rsid w:val="55434EC3"/>
    <w:rsid w:val="5543D2DA"/>
    <w:rsid w:val="5545ACC6"/>
    <w:rsid w:val="554649D2"/>
    <w:rsid w:val="5550952E"/>
    <w:rsid w:val="5555ECBC"/>
    <w:rsid w:val="5558BBBA"/>
    <w:rsid w:val="5559C28F"/>
    <w:rsid w:val="555AED39"/>
    <w:rsid w:val="555F0485"/>
    <w:rsid w:val="5564DB3E"/>
    <w:rsid w:val="5567BAB3"/>
    <w:rsid w:val="556A83B2"/>
    <w:rsid w:val="556B73C1"/>
    <w:rsid w:val="556C8260"/>
    <w:rsid w:val="5570F5FE"/>
    <w:rsid w:val="5576798D"/>
    <w:rsid w:val="557DC6DE"/>
    <w:rsid w:val="55848EBD"/>
    <w:rsid w:val="558AA50F"/>
    <w:rsid w:val="558B41F5"/>
    <w:rsid w:val="55906C85"/>
    <w:rsid w:val="559301F9"/>
    <w:rsid w:val="55933405"/>
    <w:rsid w:val="5594983C"/>
    <w:rsid w:val="559A09FE"/>
    <w:rsid w:val="559C47C6"/>
    <w:rsid w:val="559FBBFF"/>
    <w:rsid w:val="55A118FB"/>
    <w:rsid w:val="55AA762D"/>
    <w:rsid w:val="55ABD2F9"/>
    <w:rsid w:val="55AC875D"/>
    <w:rsid w:val="55B6E753"/>
    <w:rsid w:val="55B93ECE"/>
    <w:rsid w:val="55BDBFB5"/>
    <w:rsid w:val="55D181BE"/>
    <w:rsid w:val="55D49809"/>
    <w:rsid w:val="55D791C3"/>
    <w:rsid w:val="55DAAD5D"/>
    <w:rsid w:val="55DB07F8"/>
    <w:rsid w:val="55DD1B34"/>
    <w:rsid w:val="55E46BA4"/>
    <w:rsid w:val="55E95D6B"/>
    <w:rsid w:val="55EF2C43"/>
    <w:rsid w:val="55F7725D"/>
    <w:rsid w:val="5603D368"/>
    <w:rsid w:val="56043260"/>
    <w:rsid w:val="5605B1B4"/>
    <w:rsid w:val="560CA9F6"/>
    <w:rsid w:val="560D31CF"/>
    <w:rsid w:val="561A7D70"/>
    <w:rsid w:val="561B5648"/>
    <w:rsid w:val="5620C6BF"/>
    <w:rsid w:val="562AA9E7"/>
    <w:rsid w:val="562B96A8"/>
    <w:rsid w:val="562FE121"/>
    <w:rsid w:val="5631CDF0"/>
    <w:rsid w:val="56331F78"/>
    <w:rsid w:val="563469BF"/>
    <w:rsid w:val="56358161"/>
    <w:rsid w:val="563AF01E"/>
    <w:rsid w:val="563D48FB"/>
    <w:rsid w:val="56519CCA"/>
    <w:rsid w:val="5655489F"/>
    <w:rsid w:val="565F8F69"/>
    <w:rsid w:val="5668DF76"/>
    <w:rsid w:val="566DE97F"/>
    <w:rsid w:val="56706824"/>
    <w:rsid w:val="5673B214"/>
    <w:rsid w:val="5679BFEE"/>
    <w:rsid w:val="567D4348"/>
    <w:rsid w:val="5681D5FB"/>
    <w:rsid w:val="5691E006"/>
    <w:rsid w:val="56A52D69"/>
    <w:rsid w:val="56AA3ADA"/>
    <w:rsid w:val="56AD863B"/>
    <w:rsid w:val="56B2B011"/>
    <w:rsid w:val="56B41FAB"/>
    <w:rsid w:val="56B51D23"/>
    <w:rsid w:val="56C5FE3C"/>
    <w:rsid w:val="56C7B7D3"/>
    <w:rsid w:val="56C8C9A7"/>
    <w:rsid w:val="56CA8B22"/>
    <w:rsid w:val="56CB40D1"/>
    <w:rsid w:val="56D282D2"/>
    <w:rsid w:val="56E11421"/>
    <w:rsid w:val="56E58384"/>
    <w:rsid w:val="56E66831"/>
    <w:rsid w:val="56EB46BD"/>
    <w:rsid w:val="56EC089F"/>
    <w:rsid w:val="56EFE804"/>
    <w:rsid w:val="56F02C01"/>
    <w:rsid w:val="56F7FC0F"/>
    <w:rsid w:val="5700726A"/>
    <w:rsid w:val="57088DBC"/>
    <w:rsid w:val="570CC92D"/>
    <w:rsid w:val="571D5DE3"/>
    <w:rsid w:val="5722FF0F"/>
    <w:rsid w:val="5727A33D"/>
    <w:rsid w:val="572BA6BD"/>
    <w:rsid w:val="5741F5BD"/>
    <w:rsid w:val="57435AF1"/>
    <w:rsid w:val="574364F0"/>
    <w:rsid w:val="5744E1F6"/>
    <w:rsid w:val="5745B346"/>
    <w:rsid w:val="57460C76"/>
    <w:rsid w:val="5746C9C6"/>
    <w:rsid w:val="574DB29B"/>
    <w:rsid w:val="575319DD"/>
    <w:rsid w:val="5755C669"/>
    <w:rsid w:val="5755EE57"/>
    <w:rsid w:val="5756BB86"/>
    <w:rsid w:val="576394C8"/>
    <w:rsid w:val="57664894"/>
    <w:rsid w:val="57665CFC"/>
    <w:rsid w:val="57739743"/>
    <w:rsid w:val="5779BF00"/>
    <w:rsid w:val="577CDA41"/>
    <w:rsid w:val="5783CF03"/>
    <w:rsid w:val="5787689E"/>
    <w:rsid w:val="578B1355"/>
    <w:rsid w:val="578F2B07"/>
    <w:rsid w:val="57A0006A"/>
    <w:rsid w:val="57A04659"/>
    <w:rsid w:val="57A31AB8"/>
    <w:rsid w:val="57A625F2"/>
    <w:rsid w:val="57A77261"/>
    <w:rsid w:val="57A9997B"/>
    <w:rsid w:val="57AEFD1D"/>
    <w:rsid w:val="57B0B546"/>
    <w:rsid w:val="57B14932"/>
    <w:rsid w:val="57BC0D74"/>
    <w:rsid w:val="57BDD4D0"/>
    <w:rsid w:val="57BE8C83"/>
    <w:rsid w:val="57C9770B"/>
    <w:rsid w:val="57DEBEE4"/>
    <w:rsid w:val="57E2D040"/>
    <w:rsid w:val="57E52CE7"/>
    <w:rsid w:val="57E5D7E0"/>
    <w:rsid w:val="57EA07CB"/>
    <w:rsid w:val="57EA978A"/>
    <w:rsid w:val="57EBD107"/>
    <w:rsid w:val="57ED3F4C"/>
    <w:rsid w:val="57F0D0BC"/>
    <w:rsid w:val="57F0DC94"/>
    <w:rsid w:val="57F13054"/>
    <w:rsid w:val="57F5C5DA"/>
    <w:rsid w:val="58213CC8"/>
    <w:rsid w:val="582185B9"/>
    <w:rsid w:val="5825F5A1"/>
    <w:rsid w:val="58275B63"/>
    <w:rsid w:val="582B60BC"/>
    <w:rsid w:val="582C91F8"/>
    <w:rsid w:val="5833C96A"/>
    <w:rsid w:val="58340805"/>
    <w:rsid w:val="5835B2D7"/>
    <w:rsid w:val="583724AE"/>
    <w:rsid w:val="5838A684"/>
    <w:rsid w:val="5842A34A"/>
    <w:rsid w:val="5844235D"/>
    <w:rsid w:val="58457451"/>
    <w:rsid w:val="5849F89F"/>
    <w:rsid w:val="5858A83C"/>
    <w:rsid w:val="585E3CC6"/>
    <w:rsid w:val="5865B5FB"/>
    <w:rsid w:val="586711DB"/>
    <w:rsid w:val="586ADAB8"/>
    <w:rsid w:val="586D7CFA"/>
    <w:rsid w:val="58727809"/>
    <w:rsid w:val="5872AB87"/>
    <w:rsid w:val="5875BAAF"/>
    <w:rsid w:val="58794409"/>
    <w:rsid w:val="587D9A3A"/>
    <w:rsid w:val="587E007C"/>
    <w:rsid w:val="5888DC4D"/>
    <w:rsid w:val="588C22EF"/>
    <w:rsid w:val="588F2D22"/>
    <w:rsid w:val="5890DDC4"/>
    <w:rsid w:val="5897DE86"/>
    <w:rsid w:val="5899C899"/>
    <w:rsid w:val="589A888F"/>
    <w:rsid w:val="589E560B"/>
    <w:rsid w:val="58A003E5"/>
    <w:rsid w:val="58A22622"/>
    <w:rsid w:val="58A6F994"/>
    <w:rsid w:val="58A795C8"/>
    <w:rsid w:val="58AC85C7"/>
    <w:rsid w:val="58B049F2"/>
    <w:rsid w:val="58B0ADBD"/>
    <w:rsid w:val="58B53766"/>
    <w:rsid w:val="58B547B9"/>
    <w:rsid w:val="58B9EE5E"/>
    <w:rsid w:val="58C57467"/>
    <w:rsid w:val="58CA035C"/>
    <w:rsid w:val="58CFC592"/>
    <w:rsid w:val="58D62E93"/>
    <w:rsid w:val="58D68632"/>
    <w:rsid w:val="58DB9881"/>
    <w:rsid w:val="58DEC12F"/>
    <w:rsid w:val="58E75F39"/>
    <w:rsid w:val="58EC7B8E"/>
    <w:rsid w:val="58ED6FA8"/>
    <w:rsid w:val="58F7D98D"/>
    <w:rsid w:val="58F9F54A"/>
    <w:rsid w:val="58FA60BF"/>
    <w:rsid w:val="58FA892D"/>
    <w:rsid w:val="590E20B9"/>
    <w:rsid w:val="59155180"/>
    <w:rsid w:val="59259D96"/>
    <w:rsid w:val="592F16C7"/>
    <w:rsid w:val="592F5EB5"/>
    <w:rsid w:val="5930BFDA"/>
    <w:rsid w:val="5930EF1E"/>
    <w:rsid w:val="59335B7E"/>
    <w:rsid w:val="59370166"/>
    <w:rsid w:val="59377354"/>
    <w:rsid w:val="59388681"/>
    <w:rsid w:val="5947F1A7"/>
    <w:rsid w:val="594E6C37"/>
    <w:rsid w:val="59545A0D"/>
    <w:rsid w:val="595B56EB"/>
    <w:rsid w:val="5963CC4C"/>
    <w:rsid w:val="5965F58D"/>
    <w:rsid w:val="5968E31F"/>
    <w:rsid w:val="596C834C"/>
    <w:rsid w:val="596CD89C"/>
    <w:rsid w:val="5976EF6B"/>
    <w:rsid w:val="597B37A6"/>
    <w:rsid w:val="597FFEFF"/>
    <w:rsid w:val="599947C6"/>
    <w:rsid w:val="599A9EBE"/>
    <w:rsid w:val="599E82F3"/>
    <w:rsid w:val="59A23B64"/>
    <w:rsid w:val="59AB904B"/>
    <w:rsid w:val="59AC93E3"/>
    <w:rsid w:val="59AE9E8B"/>
    <w:rsid w:val="59BA8638"/>
    <w:rsid w:val="59BDF417"/>
    <w:rsid w:val="59BE438C"/>
    <w:rsid w:val="59CCE0CB"/>
    <w:rsid w:val="59CE5BE6"/>
    <w:rsid w:val="59D3E06D"/>
    <w:rsid w:val="59D802C7"/>
    <w:rsid w:val="59DC3680"/>
    <w:rsid w:val="59DCC23B"/>
    <w:rsid w:val="59DFAD17"/>
    <w:rsid w:val="59DFE571"/>
    <w:rsid w:val="59E169D7"/>
    <w:rsid w:val="59E19A37"/>
    <w:rsid w:val="59E1E2CF"/>
    <w:rsid w:val="59E28D27"/>
    <w:rsid w:val="59E75770"/>
    <w:rsid w:val="59F13DEC"/>
    <w:rsid w:val="59FDD971"/>
    <w:rsid w:val="59FF64E7"/>
    <w:rsid w:val="5A009CBF"/>
    <w:rsid w:val="5A036E27"/>
    <w:rsid w:val="5A0482BB"/>
    <w:rsid w:val="5A0E3251"/>
    <w:rsid w:val="5A1982A5"/>
    <w:rsid w:val="5A1FA7D5"/>
    <w:rsid w:val="5A2170D5"/>
    <w:rsid w:val="5A22AA8F"/>
    <w:rsid w:val="5A23E8DE"/>
    <w:rsid w:val="5A240CBC"/>
    <w:rsid w:val="5A27C1EC"/>
    <w:rsid w:val="5A29513F"/>
    <w:rsid w:val="5A2CA4D1"/>
    <w:rsid w:val="5A2D0C37"/>
    <w:rsid w:val="5A2FD036"/>
    <w:rsid w:val="5A302F5F"/>
    <w:rsid w:val="5A3308BC"/>
    <w:rsid w:val="5A365179"/>
    <w:rsid w:val="5A38C2AD"/>
    <w:rsid w:val="5A3B2082"/>
    <w:rsid w:val="5A467100"/>
    <w:rsid w:val="5A4C4063"/>
    <w:rsid w:val="5A4C9871"/>
    <w:rsid w:val="5A4DD8EF"/>
    <w:rsid w:val="5A4E9B29"/>
    <w:rsid w:val="5A50CD57"/>
    <w:rsid w:val="5A575846"/>
    <w:rsid w:val="5A5BDC85"/>
    <w:rsid w:val="5A615209"/>
    <w:rsid w:val="5A6C343D"/>
    <w:rsid w:val="5A6C429A"/>
    <w:rsid w:val="5A6F31D4"/>
    <w:rsid w:val="5A7339D3"/>
    <w:rsid w:val="5A750480"/>
    <w:rsid w:val="5A7C3A14"/>
    <w:rsid w:val="5A8D031B"/>
    <w:rsid w:val="5A922CA8"/>
    <w:rsid w:val="5A95E821"/>
    <w:rsid w:val="5A9E1119"/>
    <w:rsid w:val="5AA173CA"/>
    <w:rsid w:val="5AA36F6F"/>
    <w:rsid w:val="5AA3C39C"/>
    <w:rsid w:val="5AA59530"/>
    <w:rsid w:val="5AA79B1B"/>
    <w:rsid w:val="5AACDF64"/>
    <w:rsid w:val="5AAD6C49"/>
    <w:rsid w:val="5AAFF778"/>
    <w:rsid w:val="5AB57E07"/>
    <w:rsid w:val="5AB67A9D"/>
    <w:rsid w:val="5ABD1D5C"/>
    <w:rsid w:val="5ABF38B7"/>
    <w:rsid w:val="5AC08954"/>
    <w:rsid w:val="5AC33744"/>
    <w:rsid w:val="5ACBF1B7"/>
    <w:rsid w:val="5ACCD920"/>
    <w:rsid w:val="5ACE31EA"/>
    <w:rsid w:val="5AD6F1EC"/>
    <w:rsid w:val="5ADA6443"/>
    <w:rsid w:val="5ADAAA5D"/>
    <w:rsid w:val="5AEB68DA"/>
    <w:rsid w:val="5AEDFEDF"/>
    <w:rsid w:val="5AEE2955"/>
    <w:rsid w:val="5AEEB4CC"/>
    <w:rsid w:val="5AF1961E"/>
    <w:rsid w:val="5AF577A5"/>
    <w:rsid w:val="5AFBA063"/>
    <w:rsid w:val="5AFCA6FA"/>
    <w:rsid w:val="5AFE99E3"/>
    <w:rsid w:val="5B056DF9"/>
    <w:rsid w:val="5B0C91F4"/>
    <w:rsid w:val="5B19E3C0"/>
    <w:rsid w:val="5B1BFBCD"/>
    <w:rsid w:val="5B229737"/>
    <w:rsid w:val="5B25D9FC"/>
    <w:rsid w:val="5B27A4AF"/>
    <w:rsid w:val="5B2B1744"/>
    <w:rsid w:val="5B2CC418"/>
    <w:rsid w:val="5B382708"/>
    <w:rsid w:val="5B3A0B16"/>
    <w:rsid w:val="5B3AEAF6"/>
    <w:rsid w:val="5B3BEEFB"/>
    <w:rsid w:val="5B4C41B2"/>
    <w:rsid w:val="5B4EF663"/>
    <w:rsid w:val="5B52CB0A"/>
    <w:rsid w:val="5B552193"/>
    <w:rsid w:val="5B573475"/>
    <w:rsid w:val="5B59E13C"/>
    <w:rsid w:val="5B5D9E15"/>
    <w:rsid w:val="5B5E2871"/>
    <w:rsid w:val="5B5F5ABB"/>
    <w:rsid w:val="5B5FC703"/>
    <w:rsid w:val="5B64396F"/>
    <w:rsid w:val="5B68176A"/>
    <w:rsid w:val="5B6E4AB2"/>
    <w:rsid w:val="5B6EAF73"/>
    <w:rsid w:val="5B79F89E"/>
    <w:rsid w:val="5B8061BF"/>
    <w:rsid w:val="5B8524C0"/>
    <w:rsid w:val="5B85D80E"/>
    <w:rsid w:val="5B8E8E9B"/>
    <w:rsid w:val="5B8F0116"/>
    <w:rsid w:val="5B9396DD"/>
    <w:rsid w:val="5BA2D6A0"/>
    <w:rsid w:val="5BA8A676"/>
    <w:rsid w:val="5BAF6331"/>
    <w:rsid w:val="5BB0185E"/>
    <w:rsid w:val="5BB5ED84"/>
    <w:rsid w:val="5BBD3D42"/>
    <w:rsid w:val="5BC5F171"/>
    <w:rsid w:val="5BC8673E"/>
    <w:rsid w:val="5BC881EC"/>
    <w:rsid w:val="5BCC0885"/>
    <w:rsid w:val="5BCFAC91"/>
    <w:rsid w:val="5BD090D8"/>
    <w:rsid w:val="5BD799C9"/>
    <w:rsid w:val="5BD9E972"/>
    <w:rsid w:val="5BDA4A43"/>
    <w:rsid w:val="5BE5C0B8"/>
    <w:rsid w:val="5BE6270C"/>
    <w:rsid w:val="5BEC03ED"/>
    <w:rsid w:val="5BEEFD12"/>
    <w:rsid w:val="5BF0F273"/>
    <w:rsid w:val="5BF2F210"/>
    <w:rsid w:val="5BF34DA8"/>
    <w:rsid w:val="5BF65864"/>
    <w:rsid w:val="5BF77730"/>
    <w:rsid w:val="5BFC0168"/>
    <w:rsid w:val="5BFC47C5"/>
    <w:rsid w:val="5BFCE169"/>
    <w:rsid w:val="5BFE0D19"/>
    <w:rsid w:val="5C003A1C"/>
    <w:rsid w:val="5C06B3C3"/>
    <w:rsid w:val="5C070D24"/>
    <w:rsid w:val="5C09817C"/>
    <w:rsid w:val="5C0A3242"/>
    <w:rsid w:val="5C12B43E"/>
    <w:rsid w:val="5C180934"/>
    <w:rsid w:val="5C200F9F"/>
    <w:rsid w:val="5C2931A5"/>
    <w:rsid w:val="5C29C0D0"/>
    <w:rsid w:val="5C2A5A6E"/>
    <w:rsid w:val="5C2FBD4D"/>
    <w:rsid w:val="5C3036D2"/>
    <w:rsid w:val="5C360E6F"/>
    <w:rsid w:val="5C39309F"/>
    <w:rsid w:val="5C3D5A3A"/>
    <w:rsid w:val="5C4AA1DC"/>
    <w:rsid w:val="5C4D67B3"/>
    <w:rsid w:val="5C50E730"/>
    <w:rsid w:val="5C51CC95"/>
    <w:rsid w:val="5C54BB63"/>
    <w:rsid w:val="5C565E8D"/>
    <w:rsid w:val="5C57B09B"/>
    <w:rsid w:val="5C59A378"/>
    <w:rsid w:val="5C5AF4C0"/>
    <w:rsid w:val="5C5B91AB"/>
    <w:rsid w:val="5C5C3F20"/>
    <w:rsid w:val="5C5E2826"/>
    <w:rsid w:val="5C639788"/>
    <w:rsid w:val="5C688C23"/>
    <w:rsid w:val="5C6C9D47"/>
    <w:rsid w:val="5C6EFCC9"/>
    <w:rsid w:val="5C7516B7"/>
    <w:rsid w:val="5C7D89C3"/>
    <w:rsid w:val="5C7E0456"/>
    <w:rsid w:val="5C7FEDFE"/>
    <w:rsid w:val="5C81035B"/>
    <w:rsid w:val="5C828955"/>
    <w:rsid w:val="5C84A7D0"/>
    <w:rsid w:val="5C853A39"/>
    <w:rsid w:val="5C8A02E8"/>
    <w:rsid w:val="5C94BA18"/>
    <w:rsid w:val="5C98F3A0"/>
    <w:rsid w:val="5CAA092D"/>
    <w:rsid w:val="5CAD4B12"/>
    <w:rsid w:val="5CB2325B"/>
    <w:rsid w:val="5CB2B15A"/>
    <w:rsid w:val="5CB3A05D"/>
    <w:rsid w:val="5CB4F904"/>
    <w:rsid w:val="5CB95109"/>
    <w:rsid w:val="5CC03F08"/>
    <w:rsid w:val="5CC09D85"/>
    <w:rsid w:val="5CC7C9AE"/>
    <w:rsid w:val="5CC9BC8C"/>
    <w:rsid w:val="5CCC68BB"/>
    <w:rsid w:val="5CCCCD25"/>
    <w:rsid w:val="5CD3367B"/>
    <w:rsid w:val="5CD3E281"/>
    <w:rsid w:val="5CD46AEC"/>
    <w:rsid w:val="5CD54D77"/>
    <w:rsid w:val="5CDDE8A7"/>
    <w:rsid w:val="5CE3595C"/>
    <w:rsid w:val="5CEA3F29"/>
    <w:rsid w:val="5CEC39CB"/>
    <w:rsid w:val="5CF32E3E"/>
    <w:rsid w:val="5CF390C1"/>
    <w:rsid w:val="5CF482E8"/>
    <w:rsid w:val="5CF7B52C"/>
    <w:rsid w:val="5CF9AA0C"/>
    <w:rsid w:val="5CFAFB01"/>
    <w:rsid w:val="5CFC0D05"/>
    <w:rsid w:val="5CFD925E"/>
    <w:rsid w:val="5D009D17"/>
    <w:rsid w:val="5D02002C"/>
    <w:rsid w:val="5D056D53"/>
    <w:rsid w:val="5D05B211"/>
    <w:rsid w:val="5D05DAC6"/>
    <w:rsid w:val="5D08B97C"/>
    <w:rsid w:val="5D1490D1"/>
    <w:rsid w:val="5D15339C"/>
    <w:rsid w:val="5D17D5E7"/>
    <w:rsid w:val="5D1B1E15"/>
    <w:rsid w:val="5D23C659"/>
    <w:rsid w:val="5D2799E2"/>
    <w:rsid w:val="5D2DE08D"/>
    <w:rsid w:val="5D2E6148"/>
    <w:rsid w:val="5D2F7BE2"/>
    <w:rsid w:val="5D30BB45"/>
    <w:rsid w:val="5D36B4A6"/>
    <w:rsid w:val="5D39D3A1"/>
    <w:rsid w:val="5D3A6B60"/>
    <w:rsid w:val="5D3BE5E5"/>
    <w:rsid w:val="5D3DEE2D"/>
    <w:rsid w:val="5D42CD69"/>
    <w:rsid w:val="5D42E8C4"/>
    <w:rsid w:val="5D448760"/>
    <w:rsid w:val="5D4C377E"/>
    <w:rsid w:val="5D51CDAC"/>
    <w:rsid w:val="5D53E3A4"/>
    <w:rsid w:val="5D564B90"/>
    <w:rsid w:val="5D571785"/>
    <w:rsid w:val="5D5AB8A0"/>
    <w:rsid w:val="5D600073"/>
    <w:rsid w:val="5D608764"/>
    <w:rsid w:val="5D6655F5"/>
    <w:rsid w:val="5D66B4F7"/>
    <w:rsid w:val="5D71A447"/>
    <w:rsid w:val="5D74F449"/>
    <w:rsid w:val="5D8D8669"/>
    <w:rsid w:val="5D93735D"/>
    <w:rsid w:val="5D9503DE"/>
    <w:rsid w:val="5D980915"/>
    <w:rsid w:val="5D9A8705"/>
    <w:rsid w:val="5D9BFDE8"/>
    <w:rsid w:val="5D9D7441"/>
    <w:rsid w:val="5DA08B3F"/>
    <w:rsid w:val="5DA2876F"/>
    <w:rsid w:val="5DAB3AEA"/>
    <w:rsid w:val="5DABE3C9"/>
    <w:rsid w:val="5DAFF3BC"/>
    <w:rsid w:val="5DB2018F"/>
    <w:rsid w:val="5DB53E7E"/>
    <w:rsid w:val="5DB80C45"/>
    <w:rsid w:val="5DC2B238"/>
    <w:rsid w:val="5DC56008"/>
    <w:rsid w:val="5DCAFFDF"/>
    <w:rsid w:val="5DCC7E58"/>
    <w:rsid w:val="5DCE82D3"/>
    <w:rsid w:val="5DD0288C"/>
    <w:rsid w:val="5DD058E1"/>
    <w:rsid w:val="5DD413D2"/>
    <w:rsid w:val="5DE7A4B5"/>
    <w:rsid w:val="5DE7CBD9"/>
    <w:rsid w:val="5DEE583B"/>
    <w:rsid w:val="5DF079CB"/>
    <w:rsid w:val="5DFB39BA"/>
    <w:rsid w:val="5DFB48A7"/>
    <w:rsid w:val="5DFBED2F"/>
    <w:rsid w:val="5E0922F5"/>
    <w:rsid w:val="5E096CC9"/>
    <w:rsid w:val="5E0D6451"/>
    <w:rsid w:val="5E0E4D5C"/>
    <w:rsid w:val="5E10EE5B"/>
    <w:rsid w:val="5E149D7B"/>
    <w:rsid w:val="5E17AAFA"/>
    <w:rsid w:val="5E1A9238"/>
    <w:rsid w:val="5E1D58E9"/>
    <w:rsid w:val="5E224DCB"/>
    <w:rsid w:val="5E26199C"/>
    <w:rsid w:val="5E31AC5C"/>
    <w:rsid w:val="5E359E02"/>
    <w:rsid w:val="5E37269E"/>
    <w:rsid w:val="5E39CD38"/>
    <w:rsid w:val="5E3A631B"/>
    <w:rsid w:val="5E3BE50E"/>
    <w:rsid w:val="5E40EF31"/>
    <w:rsid w:val="5E448E1F"/>
    <w:rsid w:val="5E4AC483"/>
    <w:rsid w:val="5E55A5F7"/>
    <w:rsid w:val="5E5AFAD6"/>
    <w:rsid w:val="5E5D241D"/>
    <w:rsid w:val="5E6D8FC4"/>
    <w:rsid w:val="5E6E9C1D"/>
    <w:rsid w:val="5E6ECD50"/>
    <w:rsid w:val="5E6F8AF2"/>
    <w:rsid w:val="5E715263"/>
    <w:rsid w:val="5E7A15B2"/>
    <w:rsid w:val="5E7BA21F"/>
    <w:rsid w:val="5E8E6BDA"/>
    <w:rsid w:val="5E9102D6"/>
    <w:rsid w:val="5E98EB75"/>
    <w:rsid w:val="5E9B3DD6"/>
    <w:rsid w:val="5E9CC055"/>
    <w:rsid w:val="5E9D37E9"/>
    <w:rsid w:val="5E9F6D7E"/>
    <w:rsid w:val="5EA13731"/>
    <w:rsid w:val="5EACE94F"/>
    <w:rsid w:val="5EB1D8BA"/>
    <w:rsid w:val="5EB318FE"/>
    <w:rsid w:val="5EB8C66E"/>
    <w:rsid w:val="5EB9AA02"/>
    <w:rsid w:val="5EBA8A30"/>
    <w:rsid w:val="5EC05890"/>
    <w:rsid w:val="5ED73C87"/>
    <w:rsid w:val="5EDCAE79"/>
    <w:rsid w:val="5EE1AFE5"/>
    <w:rsid w:val="5EE3A953"/>
    <w:rsid w:val="5EE68D3F"/>
    <w:rsid w:val="5F13DF45"/>
    <w:rsid w:val="5F1638E7"/>
    <w:rsid w:val="5F171530"/>
    <w:rsid w:val="5F173655"/>
    <w:rsid w:val="5F1E8363"/>
    <w:rsid w:val="5F1EE487"/>
    <w:rsid w:val="5F237EB8"/>
    <w:rsid w:val="5F2403BB"/>
    <w:rsid w:val="5F2578ED"/>
    <w:rsid w:val="5F286DC2"/>
    <w:rsid w:val="5F347894"/>
    <w:rsid w:val="5F37CFBB"/>
    <w:rsid w:val="5F3A512E"/>
    <w:rsid w:val="5F3BAD54"/>
    <w:rsid w:val="5F47663A"/>
    <w:rsid w:val="5F4FEB93"/>
    <w:rsid w:val="5F5099A2"/>
    <w:rsid w:val="5F594A99"/>
    <w:rsid w:val="5F5F0E5A"/>
    <w:rsid w:val="5F642023"/>
    <w:rsid w:val="5F668FC6"/>
    <w:rsid w:val="5F674FAA"/>
    <w:rsid w:val="5F683AD7"/>
    <w:rsid w:val="5F685EF2"/>
    <w:rsid w:val="5F68B3BB"/>
    <w:rsid w:val="5F6A685D"/>
    <w:rsid w:val="5F6EF455"/>
    <w:rsid w:val="5F720B98"/>
    <w:rsid w:val="5F75E698"/>
    <w:rsid w:val="5F76F4A8"/>
    <w:rsid w:val="5F7A83CA"/>
    <w:rsid w:val="5F7B2341"/>
    <w:rsid w:val="5F8135D7"/>
    <w:rsid w:val="5F84C609"/>
    <w:rsid w:val="5F863FA4"/>
    <w:rsid w:val="5F8820A9"/>
    <w:rsid w:val="5F88FE7E"/>
    <w:rsid w:val="5F923B9B"/>
    <w:rsid w:val="5F93AD99"/>
    <w:rsid w:val="5F95B7D0"/>
    <w:rsid w:val="5F987F0E"/>
    <w:rsid w:val="5FA3B305"/>
    <w:rsid w:val="5FA72CAE"/>
    <w:rsid w:val="5FAF9F6D"/>
    <w:rsid w:val="5FB7C5E2"/>
    <w:rsid w:val="5FBAFEFB"/>
    <w:rsid w:val="5FBD4498"/>
    <w:rsid w:val="5FCC032E"/>
    <w:rsid w:val="5FD4A483"/>
    <w:rsid w:val="5FD90390"/>
    <w:rsid w:val="5FE509EF"/>
    <w:rsid w:val="5FE88C42"/>
    <w:rsid w:val="5FED6D6D"/>
    <w:rsid w:val="5FEF546C"/>
    <w:rsid w:val="5FF2C15B"/>
    <w:rsid w:val="5FF2EC0F"/>
    <w:rsid w:val="60013476"/>
    <w:rsid w:val="6001C41D"/>
    <w:rsid w:val="6007B4B4"/>
    <w:rsid w:val="6008BD9D"/>
    <w:rsid w:val="600B295B"/>
    <w:rsid w:val="600F2662"/>
    <w:rsid w:val="60166167"/>
    <w:rsid w:val="601668CF"/>
    <w:rsid w:val="60242E47"/>
    <w:rsid w:val="602944A2"/>
    <w:rsid w:val="602B5BC6"/>
    <w:rsid w:val="602D70F1"/>
    <w:rsid w:val="602FA480"/>
    <w:rsid w:val="6033BFCA"/>
    <w:rsid w:val="604641BD"/>
    <w:rsid w:val="6046DCAD"/>
    <w:rsid w:val="604E6BE3"/>
    <w:rsid w:val="6053749C"/>
    <w:rsid w:val="605881C8"/>
    <w:rsid w:val="605A7FEF"/>
    <w:rsid w:val="605C342C"/>
    <w:rsid w:val="6070F150"/>
    <w:rsid w:val="607C279C"/>
    <w:rsid w:val="607EB3E2"/>
    <w:rsid w:val="6080C7E5"/>
    <w:rsid w:val="608106B2"/>
    <w:rsid w:val="60811978"/>
    <w:rsid w:val="6084E21F"/>
    <w:rsid w:val="608A1908"/>
    <w:rsid w:val="608D99C8"/>
    <w:rsid w:val="608EB48D"/>
    <w:rsid w:val="6091E38A"/>
    <w:rsid w:val="609A2E91"/>
    <w:rsid w:val="609A6CBD"/>
    <w:rsid w:val="60A201E4"/>
    <w:rsid w:val="60A2AEF9"/>
    <w:rsid w:val="60A955AC"/>
    <w:rsid w:val="60AE60D7"/>
    <w:rsid w:val="60B4CBE8"/>
    <w:rsid w:val="60B5CA5E"/>
    <w:rsid w:val="60B86E54"/>
    <w:rsid w:val="60BA66C1"/>
    <w:rsid w:val="60BC940D"/>
    <w:rsid w:val="60C9BFA1"/>
    <w:rsid w:val="60CAFFD1"/>
    <w:rsid w:val="60D4AB59"/>
    <w:rsid w:val="60D5C859"/>
    <w:rsid w:val="60D79845"/>
    <w:rsid w:val="60D80264"/>
    <w:rsid w:val="60DA346E"/>
    <w:rsid w:val="60DC2B18"/>
    <w:rsid w:val="60DEA5B2"/>
    <w:rsid w:val="60E09166"/>
    <w:rsid w:val="60E0F20A"/>
    <w:rsid w:val="60EC46D9"/>
    <w:rsid w:val="60EF5D85"/>
    <w:rsid w:val="60EFDD55"/>
    <w:rsid w:val="60F3A30F"/>
    <w:rsid w:val="60F7266C"/>
    <w:rsid w:val="60F7C4FA"/>
    <w:rsid w:val="60FA0420"/>
    <w:rsid w:val="60FBA800"/>
    <w:rsid w:val="60FF0052"/>
    <w:rsid w:val="6102CD70"/>
    <w:rsid w:val="6103582A"/>
    <w:rsid w:val="6107FECF"/>
    <w:rsid w:val="610FDE98"/>
    <w:rsid w:val="6112E32A"/>
    <w:rsid w:val="6112E8F2"/>
    <w:rsid w:val="6113BEEE"/>
    <w:rsid w:val="61148470"/>
    <w:rsid w:val="61159199"/>
    <w:rsid w:val="6116EEBD"/>
    <w:rsid w:val="6118A353"/>
    <w:rsid w:val="611C285C"/>
    <w:rsid w:val="61260163"/>
    <w:rsid w:val="612A163E"/>
    <w:rsid w:val="612CA1EF"/>
    <w:rsid w:val="613418C6"/>
    <w:rsid w:val="61348914"/>
    <w:rsid w:val="6137EFF5"/>
    <w:rsid w:val="613BF80C"/>
    <w:rsid w:val="613F5CE9"/>
    <w:rsid w:val="613F62AD"/>
    <w:rsid w:val="61402147"/>
    <w:rsid w:val="61414892"/>
    <w:rsid w:val="61498A4C"/>
    <w:rsid w:val="614B0139"/>
    <w:rsid w:val="6164E1AF"/>
    <w:rsid w:val="61672528"/>
    <w:rsid w:val="61688588"/>
    <w:rsid w:val="616929CF"/>
    <w:rsid w:val="616DCF3B"/>
    <w:rsid w:val="617A79F2"/>
    <w:rsid w:val="617DD6E0"/>
    <w:rsid w:val="617FC7FC"/>
    <w:rsid w:val="618303B5"/>
    <w:rsid w:val="6184C391"/>
    <w:rsid w:val="61869EE5"/>
    <w:rsid w:val="6188C05C"/>
    <w:rsid w:val="61921EA8"/>
    <w:rsid w:val="61929D98"/>
    <w:rsid w:val="6194D028"/>
    <w:rsid w:val="6196487A"/>
    <w:rsid w:val="619C3256"/>
    <w:rsid w:val="619C95EA"/>
    <w:rsid w:val="61A0C77E"/>
    <w:rsid w:val="61A44BBD"/>
    <w:rsid w:val="61A5C37E"/>
    <w:rsid w:val="61A6DDF9"/>
    <w:rsid w:val="61A9ABA9"/>
    <w:rsid w:val="61AB63D6"/>
    <w:rsid w:val="61B43F82"/>
    <w:rsid w:val="61B6D944"/>
    <w:rsid w:val="61B75A84"/>
    <w:rsid w:val="61B8E6E9"/>
    <w:rsid w:val="61C0E292"/>
    <w:rsid w:val="61D21803"/>
    <w:rsid w:val="61D3BD59"/>
    <w:rsid w:val="61D5C625"/>
    <w:rsid w:val="61D998E8"/>
    <w:rsid w:val="61E3D0F4"/>
    <w:rsid w:val="61E890E9"/>
    <w:rsid w:val="61E8F7D7"/>
    <w:rsid w:val="61E96ECC"/>
    <w:rsid w:val="61ED84B7"/>
    <w:rsid w:val="61FB33F1"/>
    <w:rsid w:val="61FBFDBA"/>
    <w:rsid w:val="620D116D"/>
    <w:rsid w:val="6212CBDA"/>
    <w:rsid w:val="6212F5D7"/>
    <w:rsid w:val="62158446"/>
    <w:rsid w:val="621BF272"/>
    <w:rsid w:val="621D3944"/>
    <w:rsid w:val="621E6011"/>
    <w:rsid w:val="6224BD32"/>
    <w:rsid w:val="62326B88"/>
    <w:rsid w:val="623B28AE"/>
    <w:rsid w:val="624329C3"/>
    <w:rsid w:val="6247AEAA"/>
    <w:rsid w:val="6248F47A"/>
    <w:rsid w:val="62528B87"/>
    <w:rsid w:val="625391FB"/>
    <w:rsid w:val="6254042F"/>
    <w:rsid w:val="62561FE7"/>
    <w:rsid w:val="625C5D30"/>
    <w:rsid w:val="626B8A92"/>
    <w:rsid w:val="626E15FB"/>
    <w:rsid w:val="626ED047"/>
    <w:rsid w:val="62720470"/>
    <w:rsid w:val="62763554"/>
    <w:rsid w:val="62784463"/>
    <w:rsid w:val="627FE7F5"/>
    <w:rsid w:val="628025AB"/>
    <w:rsid w:val="628C38CA"/>
    <w:rsid w:val="628FC98A"/>
    <w:rsid w:val="629FE366"/>
    <w:rsid w:val="62A85E0F"/>
    <w:rsid w:val="62AEF051"/>
    <w:rsid w:val="62B1DD8E"/>
    <w:rsid w:val="62B1DFA1"/>
    <w:rsid w:val="62B3B513"/>
    <w:rsid w:val="62BEEB0F"/>
    <w:rsid w:val="62C178C8"/>
    <w:rsid w:val="62C4D373"/>
    <w:rsid w:val="62C6C9D8"/>
    <w:rsid w:val="62C8B75F"/>
    <w:rsid w:val="62CA18EE"/>
    <w:rsid w:val="62CA8A90"/>
    <w:rsid w:val="62D602FA"/>
    <w:rsid w:val="62E3C89C"/>
    <w:rsid w:val="62E5B13E"/>
    <w:rsid w:val="62EF5FEC"/>
    <w:rsid w:val="62FB9ED0"/>
    <w:rsid w:val="62FC1F2B"/>
    <w:rsid w:val="6300EE6F"/>
    <w:rsid w:val="63051725"/>
    <w:rsid w:val="6306AA33"/>
    <w:rsid w:val="63080E7D"/>
    <w:rsid w:val="630FB148"/>
    <w:rsid w:val="63181229"/>
    <w:rsid w:val="63192A94"/>
    <w:rsid w:val="63217630"/>
    <w:rsid w:val="63239A5C"/>
    <w:rsid w:val="632613C9"/>
    <w:rsid w:val="632DEBFF"/>
    <w:rsid w:val="633027C2"/>
    <w:rsid w:val="6331F2A9"/>
    <w:rsid w:val="6333C81E"/>
    <w:rsid w:val="63355F7F"/>
    <w:rsid w:val="633A6DFD"/>
    <w:rsid w:val="6349E08D"/>
    <w:rsid w:val="634BF208"/>
    <w:rsid w:val="634EA3BA"/>
    <w:rsid w:val="63507091"/>
    <w:rsid w:val="63518B50"/>
    <w:rsid w:val="6351E0D5"/>
    <w:rsid w:val="6356A2B4"/>
    <w:rsid w:val="635D3E06"/>
    <w:rsid w:val="63621245"/>
    <w:rsid w:val="63681CA4"/>
    <w:rsid w:val="636C329B"/>
    <w:rsid w:val="6370688E"/>
    <w:rsid w:val="6371F5F2"/>
    <w:rsid w:val="6374146A"/>
    <w:rsid w:val="637E058C"/>
    <w:rsid w:val="637F351A"/>
    <w:rsid w:val="638A1F09"/>
    <w:rsid w:val="638BF306"/>
    <w:rsid w:val="638F36E0"/>
    <w:rsid w:val="6395FA73"/>
    <w:rsid w:val="639A6DEE"/>
    <w:rsid w:val="639CDA77"/>
    <w:rsid w:val="63A5C518"/>
    <w:rsid w:val="63ADCE15"/>
    <w:rsid w:val="63AFFE41"/>
    <w:rsid w:val="63B1A05B"/>
    <w:rsid w:val="63B80CEE"/>
    <w:rsid w:val="63BDD532"/>
    <w:rsid w:val="63BFB5D2"/>
    <w:rsid w:val="63C1E66B"/>
    <w:rsid w:val="63C2FC20"/>
    <w:rsid w:val="63C7A48F"/>
    <w:rsid w:val="63D4916E"/>
    <w:rsid w:val="63D987FC"/>
    <w:rsid w:val="63DADF2B"/>
    <w:rsid w:val="63DB4231"/>
    <w:rsid w:val="63DBDDAC"/>
    <w:rsid w:val="63E652EF"/>
    <w:rsid w:val="63EB190F"/>
    <w:rsid w:val="63F0B6DF"/>
    <w:rsid w:val="63F29F86"/>
    <w:rsid w:val="63F7DDDF"/>
    <w:rsid w:val="63F9E718"/>
    <w:rsid w:val="63FE69F7"/>
    <w:rsid w:val="64010D74"/>
    <w:rsid w:val="640388E8"/>
    <w:rsid w:val="6404A684"/>
    <w:rsid w:val="64050AB1"/>
    <w:rsid w:val="64094E4E"/>
    <w:rsid w:val="6409BE0D"/>
    <w:rsid w:val="640D0AE4"/>
    <w:rsid w:val="6413F56A"/>
    <w:rsid w:val="641BCFB8"/>
    <w:rsid w:val="641DA0F6"/>
    <w:rsid w:val="64216F51"/>
    <w:rsid w:val="6435771B"/>
    <w:rsid w:val="6441B649"/>
    <w:rsid w:val="6442EF90"/>
    <w:rsid w:val="64465AFB"/>
    <w:rsid w:val="64493591"/>
    <w:rsid w:val="6449625F"/>
    <w:rsid w:val="644A4A0F"/>
    <w:rsid w:val="644C580D"/>
    <w:rsid w:val="6450884C"/>
    <w:rsid w:val="64546A74"/>
    <w:rsid w:val="6454FE33"/>
    <w:rsid w:val="6456A89F"/>
    <w:rsid w:val="6466AF6F"/>
    <w:rsid w:val="646702B9"/>
    <w:rsid w:val="64678DC2"/>
    <w:rsid w:val="6468CEF0"/>
    <w:rsid w:val="64717DB5"/>
    <w:rsid w:val="6476578E"/>
    <w:rsid w:val="6476C08D"/>
    <w:rsid w:val="64812E5F"/>
    <w:rsid w:val="64836507"/>
    <w:rsid w:val="64880143"/>
    <w:rsid w:val="64926761"/>
    <w:rsid w:val="6495237E"/>
    <w:rsid w:val="6496A23C"/>
    <w:rsid w:val="649C1C08"/>
    <w:rsid w:val="649DA480"/>
    <w:rsid w:val="64A51D64"/>
    <w:rsid w:val="64A662C2"/>
    <w:rsid w:val="64AE8775"/>
    <w:rsid w:val="64B1AD23"/>
    <w:rsid w:val="64B4F8BB"/>
    <w:rsid w:val="64B5A54C"/>
    <w:rsid w:val="64B68F44"/>
    <w:rsid w:val="64BC59AB"/>
    <w:rsid w:val="64C7AFDE"/>
    <w:rsid w:val="64CA081D"/>
    <w:rsid w:val="64D14DC2"/>
    <w:rsid w:val="64D41313"/>
    <w:rsid w:val="64DAFC74"/>
    <w:rsid w:val="64DE3593"/>
    <w:rsid w:val="64DE880F"/>
    <w:rsid w:val="64E647E2"/>
    <w:rsid w:val="64F021D2"/>
    <w:rsid w:val="64F5A60B"/>
    <w:rsid w:val="64F7BC65"/>
    <w:rsid w:val="64F8CEDF"/>
    <w:rsid w:val="65002DF8"/>
    <w:rsid w:val="65004AE8"/>
    <w:rsid w:val="6506EDC0"/>
    <w:rsid w:val="650B43CE"/>
    <w:rsid w:val="6513CAD4"/>
    <w:rsid w:val="651463DE"/>
    <w:rsid w:val="65200243"/>
    <w:rsid w:val="65209DFD"/>
    <w:rsid w:val="65222457"/>
    <w:rsid w:val="6529C120"/>
    <w:rsid w:val="652DDD24"/>
    <w:rsid w:val="652F7BB7"/>
    <w:rsid w:val="653374A3"/>
    <w:rsid w:val="6535EA12"/>
    <w:rsid w:val="654149B6"/>
    <w:rsid w:val="654A98A6"/>
    <w:rsid w:val="65504E30"/>
    <w:rsid w:val="655250A6"/>
    <w:rsid w:val="65532D80"/>
    <w:rsid w:val="6554259A"/>
    <w:rsid w:val="65573BC9"/>
    <w:rsid w:val="6565FF9D"/>
    <w:rsid w:val="656B14DC"/>
    <w:rsid w:val="656D59B6"/>
    <w:rsid w:val="656DADF4"/>
    <w:rsid w:val="65736BC6"/>
    <w:rsid w:val="6577CAA0"/>
    <w:rsid w:val="657C4041"/>
    <w:rsid w:val="657F4E38"/>
    <w:rsid w:val="65803F93"/>
    <w:rsid w:val="65814FC0"/>
    <w:rsid w:val="65825619"/>
    <w:rsid w:val="6582CC4F"/>
    <w:rsid w:val="65838032"/>
    <w:rsid w:val="65914021"/>
    <w:rsid w:val="6595B4E8"/>
    <w:rsid w:val="6595D323"/>
    <w:rsid w:val="659C651E"/>
    <w:rsid w:val="65A17FB5"/>
    <w:rsid w:val="65A4CFB2"/>
    <w:rsid w:val="65A4D9AD"/>
    <w:rsid w:val="65AC866D"/>
    <w:rsid w:val="65ADAC69"/>
    <w:rsid w:val="65AF315E"/>
    <w:rsid w:val="65B8FDA4"/>
    <w:rsid w:val="65C6CE0C"/>
    <w:rsid w:val="65CC2A8C"/>
    <w:rsid w:val="65D1015A"/>
    <w:rsid w:val="65D3B69A"/>
    <w:rsid w:val="65D65DEC"/>
    <w:rsid w:val="65D890F2"/>
    <w:rsid w:val="65DD587E"/>
    <w:rsid w:val="65DF91A1"/>
    <w:rsid w:val="65DFD1C2"/>
    <w:rsid w:val="65E12530"/>
    <w:rsid w:val="65E1451D"/>
    <w:rsid w:val="65E62873"/>
    <w:rsid w:val="65E9E113"/>
    <w:rsid w:val="65ED9AC2"/>
    <w:rsid w:val="65F2B8E7"/>
    <w:rsid w:val="65F36CAA"/>
    <w:rsid w:val="65F632E5"/>
    <w:rsid w:val="65F84A56"/>
    <w:rsid w:val="6600A3A4"/>
    <w:rsid w:val="660B79BC"/>
    <w:rsid w:val="660E0286"/>
    <w:rsid w:val="66105E58"/>
    <w:rsid w:val="6611BED7"/>
    <w:rsid w:val="661CA578"/>
    <w:rsid w:val="661DCC03"/>
    <w:rsid w:val="662242DA"/>
    <w:rsid w:val="6630A183"/>
    <w:rsid w:val="663338F2"/>
    <w:rsid w:val="6637BD4E"/>
    <w:rsid w:val="6638DB74"/>
    <w:rsid w:val="663A7F42"/>
    <w:rsid w:val="663E40E9"/>
    <w:rsid w:val="66503937"/>
    <w:rsid w:val="66513156"/>
    <w:rsid w:val="66570040"/>
    <w:rsid w:val="665B43B3"/>
    <w:rsid w:val="665ED203"/>
    <w:rsid w:val="665F296B"/>
    <w:rsid w:val="665F74E5"/>
    <w:rsid w:val="6661C20B"/>
    <w:rsid w:val="666CF11F"/>
    <w:rsid w:val="666E1EA3"/>
    <w:rsid w:val="66717262"/>
    <w:rsid w:val="6675318F"/>
    <w:rsid w:val="6675F1DF"/>
    <w:rsid w:val="667720D5"/>
    <w:rsid w:val="667A9C2E"/>
    <w:rsid w:val="667B7C83"/>
    <w:rsid w:val="667E2C95"/>
    <w:rsid w:val="6682607E"/>
    <w:rsid w:val="6685FD15"/>
    <w:rsid w:val="668AC043"/>
    <w:rsid w:val="668C08EC"/>
    <w:rsid w:val="66931236"/>
    <w:rsid w:val="669376C5"/>
    <w:rsid w:val="6695DA23"/>
    <w:rsid w:val="6696B4B3"/>
    <w:rsid w:val="66996E00"/>
    <w:rsid w:val="6699F894"/>
    <w:rsid w:val="66A4FA03"/>
    <w:rsid w:val="66A7FC8D"/>
    <w:rsid w:val="66AC5D78"/>
    <w:rsid w:val="66ADBF95"/>
    <w:rsid w:val="66B3DF29"/>
    <w:rsid w:val="66B534B6"/>
    <w:rsid w:val="66C181E2"/>
    <w:rsid w:val="66C8BCAD"/>
    <w:rsid w:val="66CD4C6D"/>
    <w:rsid w:val="66CE6411"/>
    <w:rsid w:val="66CEBB01"/>
    <w:rsid w:val="66D25EA2"/>
    <w:rsid w:val="66D500A1"/>
    <w:rsid w:val="66D86A01"/>
    <w:rsid w:val="66E28CB4"/>
    <w:rsid w:val="66E370B1"/>
    <w:rsid w:val="66E6B50E"/>
    <w:rsid w:val="66E6E66C"/>
    <w:rsid w:val="66EACF7B"/>
    <w:rsid w:val="66EDE680"/>
    <w:rsid w:val="66EF33AB"/>
    <w:rsid w:val="66EFF382"/>
    <w:rsid w:val="66F28F00"/>
    <w:rsid w:val="66F77E53"/>
    <w:rsid w:val="670435A1"/>
    <w:rsid w:val="6704D8F9"/>
    <w:rsid w:val="671B6309"/>
    <w:rsid w:val="671BD141"/>
    <w:rsid w:val="672E197F"/>
    <w:rsid w:val="67333687"/>
    <w:rsid w:val="673D4AE5"/>
    <w:rsid w:val="673EF0E1"/>
    <w:rsid w:val="67472A64"/>
    <w:rsid w:val="674CDEF5"/>
    <w:rsid w:val="674CFB5B"/>
    <w:rsid w:val="675617C6"/>
    <w:rsid w:val="675CA470"/>
    <w:rsid w:val="675DE98F"/>
    <w:rsid w:val="67605792"/>
    <w:rsid w:val="6766C303"/>
    <w:rsid w:val="676A6B79"/>
    <w:rsid w:val="6773BF8D"/>
    <w:rsid w:val="6782F00A"/>
    <w:rsid w:val="6784B05D"/>
    <w:rsid w:val="67877A8B"/>
    <w:rsid w:val="6790A6D8"/>
    <w:rsid w:val="6794FB43"/>
    <w:rsid w:val="6795855F"/>
    <w:rsid w:val="679AFF07"/>
    <w:rsid w:val="67A516E3"/>
    <w:rsid w:val="67A679A2"/>
    <w:rsid w:val="67A6FA8A"/>
    <w:rsid w:val="67A7D1AF"/>
    <w:rsid w:val="67AAD73F"/>
    <w:rsid w:val="67AE75E3"/>
    <w:rsid w:val="67AFD288"/>
    <w:rsid w:val="67B2B97D"/>
    <w:rsid w:val="67B6FF63"/>
    <w:rsid w:val="67BE522E"/>
    <w:rsid w:val="67C35D4B"/>
    <w:rsid w:val="67C5AE42"/>
    <w:rsid w:val="67C64E01"/>
    <w:rsid w:val="67CEA781"/>
    <w:rsid w:val="67CF81A3"/>
    <w:rsid w:val="67D61C2B"/>
    <w:rsid w:val="67E1015A"/>
    <w:rsid w:val="67EC3609"/>
    <w:rsid w:val="67EC5315"/>
    <w:rsid w:val="67EC9AA8"/>
    <w:rsid w:val="67F4CE95"/>
    <w:rsid w:val="67FD0597"/>
    <w:rsid w:val="68017588"/>
    <w:rsid w:val="6808E193"/>
    <w:rsid w:val="680B329B"/>
    <w:rsid w:val="6810E326"/>
    <w:rsid w:val="68112F04"/>
    <w:rsid w:val="681710AE"/>
    <w:rsid w:val="6819152D"/>
    <w:rsid w:val="681A5164"/>
    <w:rsid w:val="681C76E7"/>
    <w:rsid w:val="681DF3F1"/>
    <w:rsid w:val="68249CFF"/>
    <w:rsid w:val="6828ECCC"/>
    <w:rsid w:val="6829AED2"/>
    <w:rsid w:val="6836C666"/>
    <w:rsid w:val="683C087F"/>
    <w:rsid w:val="683F3C78"/>
    <w:rsid w:val="683FD075"/>
    <w:rsid w:val="6851B868"/>
    <w:rsid w:val="685A068E"/>
    <w:rsid w:val="686607B5"/>
    <w:rsid w:val="68663D9D"/>
    <w:rsid w:val="686962FD"/>
    <w:rsid w:val="686BD680"/>
    <w:rsid w:val="686CDBED"/>
    <w:rsid w:val="68720153"/>
    <w:rsid w:val="6872307B"/>
    <w:rsid w:val="68751731"/>
    <w:rsid w:val="68787052"/>
    <w:rsid w:val="687D2CB9"/>
    <w:rsid w:val="6882EC7D"/>
    <w:rsid w:val="6885AC95"/>
    <w:rsid w:val="688731BA"/>
    <w:rsid w:val="688E18C7"/>
    <w:rsid w:val="688EDD28"/>
    <w:rsid w:val="688F9909"/>
    <w:rsid w:val="688FB0A5"/>
    <w:rsid w:val="689713F7"/>
    <w:rsid w:val="689D81AD"/>
    <w:rsid w:val="68A0F6F7"/>
    <w:rsid w:val="68A1A309"/>
    <w:rsid w:val="68A2436C"/>
    <w:rsid w:val="68A281D5"/>
    <w:rsid w:val="68A8E852"/>
    <w:rsid w:val="68AAE1AD"/>
    <w:rsid w:val="68AE7137"/>
    <w:rsid w:val="68B3E259"/>
    <w:rsid w:val="68B4DB2B"/>
    <w:rsid w:val="68B5EB84"/>
    <w:rsid w:val="68BA396C"/>
    <w:rsid w:val="68BA43D1"/>
    <w:rsid w:val="68BA5527"/>
    <w:rsid w:val="68BEAAB8"/>
    <w:rsid w:val="68D45980"/>
    <w:rsid w:val="68DBA188"/>
    <w:rsid w:val="68DEB6A9"/>
    <w:rsid w:val="68DF8197"/>
    <w:rsid w:val="68EE4B53"/>
    <w:rsid w:val="68F26E7C"/>
    <w:rsid w:val="68FEBAD8"/>
    <w:rsid w:val="69036684"/>
    <w:rsid w:val="69053948"/>
    <w:rsid w:val="69065AFA"/>
    <w:rsid w:val="69072D1D"/>
    <w:rsid w:val="69094143"/>
    <w:rsid w:val="690A1C65"/>
    <w:rsid w:val="690E1351"/>
    <w:rsid w:val="6911166F"/>
    <w:rsid w:val="69139ACD"/>
    <w:rsid w:val="69179F06"/>
    <w:rsid w:val="69186EFD"/>
    <w:rsid w:val="691D4BF0"/>
    <w:rsid w:val="692068C7"/>
    <w:rsid w:val="692217E7"/>
    <w:rsid w:val="6927B87A"/>
    <w:rsid w:val="69289302"/>
    <w:rsid w:val="6934AE1A"/>
    <w:rsid w:val="693CF816"/>
    <w:rsid w:val="694D6FD1"/>
    <w:rsid w:val="69500658"/>
    <w:rsid w:val="69518EF5"/>
    <w:rsid w:val="695C2414"/>
    <w:rsid w:val="69638C26"/>
    <w:rsid w:val="696AF830"/>
    <w:rsid w:val="696B1DC3"/>
    <w:rsid w:val="696DC95E"/>
    <w:rsid w:val="696EB6C7"/>
    <w:rsid w:val="69794CAB"/>
    <w:rsid w:val="6980E2D3"/>
    <w:rsid w:val="69835FA8"/>
    <w:rsid w:val="69844F38"/>
    <w:rsid w:val="698823DE"/>
    <w:rsid w:val="698B6AE0"/>
    <w:rsid w:val="69916A35"/>
    <w:rsid w:val="6994AD5B"/>
    <w:rsid w:val="6996D6D0"/>
    <w:rsid w:val="69998632"/>
    <w:rsid w:val="699DB871"/>
    <w:rsid w:val="69A2F45D"/>
    <w:rsid w:val="69A5F9D2"/>
    <w:rsid w:val="69A77195"/>
    <w:rsid w:val="69A964DE"/>
    <w:rsid w:val="69B03557"/>
    <w:rsid w:val="69B3BB1E"/>
    <w:rsid w:val="69C29E7E"/>
    <w:rsid w:val="69C2FD5A"/>
    <w:rsid w:val="69C4C11C"/>
    <w:rsid w:val="69C53A46"/>
    <w:rsid w:val="69CF0EC2"/>
    <w:rsid w:val="69D7927A"/>
    <w:rsid w:val="69D992AE"/>
    <w:rsid w:val="69DD5C37"/>
    <w:rsid w:val="69E06E6E"/>
    <w:rsid w:val="69E97C7E"/>
    <w:rsid w:val="69F01097"/>
    <w:rsid w:val="69F0EB42"/>
    <w:rsid w:val="69F1901E"/>
    <w:rsid w:val="69F96711"/>
    <w:rsid w:val="69FA765A"/>
    <w:rsid w:val="69FFE310"/>
    <w:rsid w:val="6A00D452"/>
    <w:rsid w:val="6A03352F"/>
    <w:rsid w:val="6A0A39D2"/>
    <w:rsid w:val="6A0C9A4E"/>
    <w:rsid w:val="6A0DC3A6"/>
    <w:rsid w:val="6A1612BF"/>
    <w:rsid w:val="6A16934E"/>
    <w:rsid w:val="6A18C48E"/>
    <w:rsid w:val="6A192A54"/>
    <w:rsid w:val="6A19E72E"/>
    <w:rsid w:val="6A1AFC4B"/>
    <w:rsid w:val="6A1D17BD"/>
    <w:rsid w:val="6A2001C2"/>
    <w:rsid w:val="6A21EDB2"/>
    <w:rsid w:val="6A28CC64"/>
    <w:rsid w:val="6A2C11DB"/>
    <w:rsid w:val="6A2D75A5"/>
    <w:rsid w:val="6A309ED3"/>
    <w:rsid w:val="6A34C802"/>
    <w:rsid w:val="6A38BE6B"/>
    <w:rsid w:val="6A3B8499"/>
    <w:rsid w:val="6A3E5DBE"/>
    <w:rsid w:val="6A488F5F"/>
    <w:rsid w:val="6A4E3E33"/>
    <w:rsid w:val="6A55C101"/>
    <w:rsid w:val="6A56A1CA"/>
    <w:rsid w:val="6A578C15"/>
    <w:rsid w:val="6A5C5E95"/>
    <w:rsid w:val="6A5CA44C"/>
    <w:rsid w:val="6A5EB07E"/>
    <w:rsid w:val="6A5ED093"/>
    <w:rsid w:val="6A6144CA"/>
    <w:rsid w:val="6A62DEC6"/>
    <w:rsid w:val="6A699FA3"/>
    <w:rsid w:val="6A6D77C1"/>
    <w:rsid w:val="6A7A67F4"/>
    <w:rsid w:val="6A7C553A"/>
    <w:rsid w:val="6A7D00A1"/>
    <w:rsid w:val="6A7D4D08"/>
    <w:rsid w:val="6A7DE78E"/>
    <w:rsid w:val="6A822805"/>
    <w:rsid w:val="6A8B7C04"/>
    <w:rsid w:val="6A8C2143"/>
    <w:rsid w:val="6A9678AD"/>
    <w:rsid w:val="6AA07308"/>
    <w:rsid w:val="6AA38935"/>
    <w:rsid w:val="6AA76A13"/>
    <w:rsid w:val="6AAC6F6C"/>
    <w:rsid w:val="6AB4A22E"/>
    <w:rsid w:val="6AC0AA3F"/>
    <w:rsid w:val="6AD1337B"/>
    <w:rsid w:val="6AD25914"/>
    <w:rsid w:val="6AD31930"/>
    <w:rsid w:val="6AD76B8D"/>
    <w:rsid w:val="6AE070A0"/>
    <w:rsid w:val="6AE65812"/>
    <w:rsid w:val="6AEBB389"/>
    <w:rsid w:val="6AF534DD"/>
    <w:rsid w:val="6AF6BE65"/>
    <w:rsid w:val="6AF71728"/>
    <w:rsid w:val="6B0394BE"/>
    <w:rsid w:val="6B04360F"/>
    <w:rsid w:val="6B0BCA60"/>
    <w:rsid w:val="6B0F19B8"/>
    <w:rsid w:val="6B0FB241"/>
    <w:rsid w:val="6B143CA4"/>
    <w:rsid w:val="6B187C76"/>
    <w:rsid w:val="6B1C7DB4"/>
    <w:rsid w:val="6B1CF2AA"/>
    <w:rsid w:val="6B1D6CBE"/>
    <w:rsid w:val="6B2057FC"/>
    <w:rsid w:val="6B2371A5"/>
    <w:rsid w:val="6B279A45"/>
    <w:rsid w:val="6B31ED84"/>
    <w:rsid w:val="6B33672D"/>
    <w:rsid w:val="6B33E303"/>
    <w:rsid w:val="6B35E902"/>
    <w:rsid w:val="6B364D98"/>
    <w:rsid w:val="6B394C2F"/>
    <w:rsid w:val="6B3C1B0B"/>
    <w:rsid w:val="6B3F39EC"/>
    <w:rsid w:val="6B4CCB55"/>
    <w:rsid w:val="6B4E56A1"/>
    <w:rsid w:val="6B50DB34"/>
    <w:rsid w:val="6B51B5F0"/>
    <w:rsid w:val="6B536DAE"/>
    <w:rsid w:val="6B59B801"/>
    <w:rsid w:val="6B5BC3AE"/>
    <w:rsid w:val="6B5D6895"/>
    <w:rsid w:val="6B5F5681"/>
    <w:rsid w:val="6B64FC93"/>
    <w:rsid w:val="6B663B7A"/>
    <w:rsid w:val="6B6A9D1B"/>
    <w:rsid w:val="6B6AAED1"/>
    <w:rsid w:val="6B6B1E90"/>
    <w:rsid w:val="6B6B232A"/>
    <w:rsid w:val="6B6E817F"/>
    <w:rsid w:val="6B7157F6"/>
    <w:rsid w:val="6B72A386"/>
    <w:rsid w:val="6B778FEE"/>
    <w:rsid w:val="6B7A54CE"/>
    <w:rsid w:val="6B7B379C"/>
    <w:rsid w:val="6B82A896"/>
    <w:rsid w:val="6B856857"/>
    <w:rsid w:val="6B8629F5"/>
    <w:rsid w:val="6B876FB6"/>
    <w:rsid w:val="6B9C859F"/>
    <w:rsid w:val="6BB2903B"/>
    <w:rsid w:val="6BB44409"/>
    <w:rsid w:val="6BB93FF9"/>
    <w:rsid w:val="6BBD4A66"/>
    <w:rsid w:val="6BC54CB2"/>
    <w:rsid w:val="6BC68383"/>
    <w:rsid w:val="6BCA42E1"/>
    <w:rsid w:val="6BCE9678"/>
    <w:rsid w:val="6BD13322"/>
    <w:rsid w:val="6BD672F8"/>
    <w:rsid w:val="6BE18D1C"/>
    <w:rsid w:val="6BE48610"/>
    <w:rsid w:val="6BEB8301"/>
    <w:rsid w:val="6BF53A5C"/>
    <w:rsid w:val="6BF793AF"/>
    <w:rsid w:val="6BF7F3E3"/>
    <w:rsid w:val="6C00BA0D"/>
    <w:rsid w:val="6C017235"/>
    <w:rsid w:val="6C03D0E0"/>
    <w:rsid w:val="6C17074E"/>
    <w:rsid w:val="6C1C01D1"/>
    <w:rsid w:val="6C1D5F71"/>
    <w:rsid w:val="6C278514"/>
    <w:rsid w:val="6C29F58F"/>
    <w:rsid w:val="6C31CA2E"/>
    <w:rsid w:val="6C33CF80"/>
    <w:rsid w:val="6C357B6B"/>
    <w:rsid w:val="6C3CD5EE"/>
    <w:rsid w:val="6C4138C0"/>
    <w:rsid w:val="6C44B418"/>
    <w:rsid w:val="6C498A52"/>
    <w:rsid w:val="6C553173"/>
    <w:rsid w:val="6C5EA0F7"/>
    <w:rsid w:val="6C6DCDE1"/>
    <w:rsid w:val="6C6EC194"/>
    <w:rsid w:val="6C71482F"/>
    <w:rsid w:val="6C83DE8A"/>
    <w:rsid w:val="6C91A488"/>
    <w:rsid w:val="6C9249E4"/>
    <w:rsid w:val="6C94D040"/>
    <w:rsid w:val="6C95E105"/>
    <w:rsid w:val="6C9D4A0A"/>
    <w:rsid w:val="6C9F1345"/>
    <w:rsid w:val="6CA1EE26"/>
    <w:rsid w:val="6CA8C595"/>
    <w:rsid w:val="6CAD26CB"/>
    <w:rsid w:val="6CB0CB34"/>
    <w:rsid w:val="6CB0FFF4"/>
    <w:rsid w:val="6CB49C8D"/>
    <w:rsid w:val="6CB5AEC9"/>
    <w:rsid w:val="6CB810DA"/>
    <w:rsid w:val="6CB9DBB2"/>
    <w:rsid w:val="6CBB57E4"/>
    <w:rsid w:val="6CBDF8D4"/>
    <w:rsid w:val="6CCA7250"/>
    <w:rsid w:val="6CDC67E8"/>
    <w:rsid w:val="6CDC6C9F"/>
    <w:rsid w:val="6CE26D38"/>
    <w:rsid w:val="6CF1A9A9"/>
    <w:rsid w:val="6CF5D125"/>
    <w:rsid w:val="6CF7EDF1"/>
    <w:rsid w:val="6CFD31ED"/>
    <w:rsid w:val="6CFE6C37"/>
    <w:rsid w:val="6D032BBF"/>
    <w:rsid w:val="6D05DF81"/>
    <w:rsid w:val="6D11B4AC"/>
    <w:rsid w:val="6D14B5BD"/>
    <w:rsid w:val="6D17C98F"/>
    <w:rsid w:val="6D182A14"/>
    <w:rsid w:val="6D1CFB3C"/>
    <w:rsid w:val="6D1D692D"/>
    <w:rsid w:val="6D1E46B2"/>
    <w:rsid w:val="6D1EE67D"/>
    <w:rsid w:val="6D217F8F"/>
    <w:rsid w:val="6D21D570"/>
    <w:rsid w:val="6D25869B"/>
    <w:rsid w:val="6D28C0B3"/>
    <w:rsid w:val="6D2F2517"/>
    <w:rsid w:val="6D414803"/>
    <w:rsid w:val="6D44B243"/>
    <w:rsid w:val="6D5A3CEA"/>
    <w:rsid w:val="6D5A8D54"/>
    <w:rsid w:val="6D5C64FA"/>
    <w:rsid w:val="6D5DD8DA"/>
    <w:rsid w:val="6D5F10A1"/>
    <w:rsid w:val="6D616CDF"/>
    <w:rsid w:val="6D654C53"/>
    <w:rsid w:val="6D6660DC"/>
    <w:rsid w:val="6D6C9CE2"/>
    <w:rsid w:val="6D6F140E"/>
    <w:rsid w:val="6D73AE95"/>
    <w:rsid w:val="6D7846BC"/>
    <w:rsid w:val="6D79C32D"/>
    <w:rsid w:val="6D867E68"/>
    <w:rsid w:val="6D8B31E5"/>
    <w:rsid w:val="6DA233BB"/>
    <w:rsid w:val="6DA6E1C1"/>
    <w:rsid w:val="6DA8232B"/>
    <w:rsid w:val="6DAC7215"/>
    <w:rsid w:val="6DAF2083"/>
    <w:rsid w:val="6DB39CE0"/>
    <w:rsid w:val="6DBCB391"/>
    <w:rsid w:val="6DBF642B"/>
    <w:rsid w:val="6DC41471"/>
    <w:rsid w:val="6DC59C2A"/>
    <w:rsid w:val="6DD7F3B9"/>
    <w:rsid w:val="6DE6AC5D"/>
    <w:rsid w:val="6DE9873A"/>
    <w:rsid w:val="6DF3D7B0"/>
    <w:rsid w:val="6DFE32A4"/>
    <w:rsid w:val="6E04D2FF"/>
    <w:rsid w:val="6E052FEA"/>
    <w:rsid w:val="6E0537E9"/>
    <w:rsid w:val="6E08DBF5"/>
    <w:rsid w:val="6E0D07D3"/>
    <w:rsid w:val="6E0D5688"/>
    <w:rsid w:val="6E11BE24"/>
    <w:rsid w:val="6E1E030C"/>
    <w:rsid w:val="6E21D289"/>
    <w:rsid w:val="6E26F8CD"/>
    <w:rsid w:val="6E277014"/>
    <w:rsid w:val="6E2A7E56"/>
    <w:rsid w:val="6E2BFD92"/>
    <w:rsid w:val="6E2F01FA"/>
    <w:rsid w:val="6E325497"/>
    <w:rsid w:val="6E387F8F"/>
    <w:rsid w:val="6E3CB283"/>
    <w:rsid w:val="6E3E2083"/>
    <w:rsid w:val="6E4688A3"/>
    <w:rsid w:val="6E514824"/>
    <w:rsid w:val="6E58DF41"/>
    <w:rsid w:val="6E600C72"/>
    <w:rsid w:val="6E658B5F"/>
    <w:rsid w:val="6E6F06FD"/>
    <w:rsid w:val="6E76106F"/>
    <w:rsid w:val="6E7C00EB"/>
    <w:rsid w:val="6E7C994E"/>
    <w:rsid w:val="6E8141E1"/>
    <w:rsid w:val="6E887EBC"/>
    <w:rsid w:val="6E8E1170"/>
    <w:rsid w:val="6E930B02"/>
    <w:rsid w:val="6E9382A5"/>
    <w:rsid w:val="6E93A69F"/>
    <w:rsid w:val="6E9B0263"/>
    <w:rsid w:val="6E9B4BD4"/>
    <w:rsid w:val="6E9D403F"/>
    <w:rsid w:val="6EA45E76"/>
    <w:rsid w:val="6EAE6CA8"/>
    <w:rsid w:val="6EB01A27"/>
    <w:rsid w:val="6EB1F2C2"/>
    <w:rsid w:val="6EB303E2"/>
    <w:rsid w:val="6EB9A951"/>
    <w:rsid w:val="6EC75D6C"/>
    <w:rsid w:val="6ECA38D5"/>
    <w:rsid w:val="6ECD6EF0"/>
    <w:rsid w:val="6ED2D727"/>
    <w:rsid w:val="6ED9ECF9"/>
    <w:rsid w:val="6EE6739C"/>
    <w:rsid w:val="6EEB6D47"/>
    <w:rsid w:val="6EF1C0A4"/>
    <w:rsid w:val="6EF1C462"/>
    <w:rsid w:val="6EF2CE83"/>
    <w:rsid w:val="6EF69668"/>
    <w:rsid w:val="6EF6EF3F"/>
    <w:rsid w:val="6EFAD2A3"/>
    <w:rsid w:val="6EFE51B5"/>
    <w:rsid w:val="6F045F46"/>
    <w:rsid w:val="6F06175F"/>
    <w:rsid w:val="6F0A51B0"/>
    <w:rsid w:val="6F13F933"/>
    <w:rsid w:val="6F19AA4B"/>
    <w:rsid w:val="6F2A24F4"/>
    <w:rsid w:val="6F2A6364"/>
    <w:rsid w:val="6F2B4A6F"/>
    <w:rsid w:val="6F2BCB4F"/>
    <w:rsid w:val="6F32C64B"/>
    <w:rsid w:val="6F3FE679"/>
    <w:rsid w:val="6F4C0DA3"/>
    <w:rsid w:val="6F560267"/>
    <w:rsid w:val="6F58B860"/>
    <w:rsid w:val="6F685BC5"/>
    <w:rsid w:val="6F73AAA6"/>
    <w:rsid w:val="6F79019F"/>
    <w:rsid w:val="6F81919B"/>
    <w:rsid w:val="6F8561F4"/>
    <w:rsid w:val="6F8716A6"/>
    <w:rsid w:val="6F871FF3"/>
    <w:rsid w:val="6F8B5EBB"/>
    <w:rsid w:val="6F9866BA"/>
    <w:rsid w:val="6F9A1E0B"/>
    <w:rsid w:val="6F9B968C"/>
    <w:rsid w:val="6F9FC4BA"/>
    <w:rsid w:val="6FAAA57C"/>
    <w:rsid w:val="6FB73FD5"/>
    <w:rsid w:val="6FB83D07"/>
    <w:rsid w:val="6FBAEAD9"/>
    <w:rsid w:val="6FBBC472"/>
    <w:rsid w:val="6FBF706E"/>
    <w:rsid w:val="6FC03DD2"/>
    <w:rsid w:val="6FC2717D"/>
    <w:rsid w:val="6FC41467"/>
    <w:rsid w:val="6FCDD732"/>
    <w:rsid w:val="6FD7F64E"/>
    <w:rsid w:val="6FD9A99F"/>
    <w:rsid w:val="6FDCB28D"/>
    <w:rsid w:val="6FDE1EC5"/>
    <w:rsid w:val="6FE4DCCC"/>
    <w:rsid w:val="6FE54D77"/>
    <w:rsid w:val="6FE55562"/>
    <w:rsid w:val="6FEC633A"/>
    <w:rsid w:val="6FEF2F83"/>
    <w:rsid w:val="6FF1B917"/>
    <w:rsid w:val="6FFF8CF9"/>
    <w:rsid w:val="700469A6"/>
    <w:rsid w:val="7004A0AA"/>
    <w:rsid w:val="7005A399"/>
    <w:rsid w:val="70083855"/>
    <w:rsid w:val="700BED87"/>
    <w:rsid w:val="700F42D3"/>
    <w:rsid w:val="7012BBF9"/>
    <w:rsid w:val="7016106B"/>
    <w:rsid w:val="7018DF50"/>
    <w:rsid w:val="70289154"/>
    <w:rsid w:val="702DD221"/>
    <w:rsid w:val="7031D89D"/>
    <w:rsid w:val="7035C1E2"/>
    <w:rsid w:val="703FDCEC"/>
    <w:rsid w:val="70411B1C"/>
    <w:rsid w:val="70495869"/>
    <w:rsid w:val="7058294E"/>
    <w:rsid w:val="705EBEBA"/>
    <w:rsid w:val="7066300B"/>
    <w:rsid w:val="706883F6"/>
    <w:rsid w:val="7069C0E2"/>
    <w:rsid w:val="706AF0CF"/>
    <w:rsid w:val="70732005"/>
    <w:rsid w:val="7078E6DC"/>
    <w:rsid w:val="7078F90E"/>
    <w:rsid w:val="7085D5A5"/>
    <w:rsid w:val="708CE5E2"/>
    <w:rsid w:val="7096614D"/>
    <w:rsid w:val="709FACAA"/>
    <w:rsid w:val="70A07606"/>
    <w:rsid w:val="70A432E5"/>
    <w:rsid w:val="70A71A3E"/>
    <w:rsid w:val="70A9F923"/>
    <w:rsid w:val="70B13472"/>
    <w:rsid w:val="70B56548"/>
    <w:rsid w:val="70B85F43"/>
    <w:rsid w:val="70BDCAB4"/>
    <w:rsid w:val="70BF6388"/>
    <w:rsid w:val="70C2EADD"/>
    <w:rsid w:val="70C52D91"/>
    <w:rsid w:val="70C64C45"/>
    <w:rsid w:val="70CFFB05"/>
    <w:rsid w:val="70D2FCBD"/>
    <w:rsid w:val="70DF0DEE"/>
    <w:rsid w:val="70E1E6B4"/>
    <w:rsid w:val="70E5F590"/>
    <w:rsid w:val="70E62A36"/>
    <w:rsid w:val="70EB5798"/>
    <w:rsid w:val="70F13CB5"/>
    <w:rsid w:val="70F93812"/>
    <w:rsid w:val="710C44E5"/>
    <w:rsid w:val="710D0A26"/>
    <w:rsid w:val="710D5A01"/>
    <w:rsid w:val="7110C7A8"/>
    <w:rsid w:val="71114A7F"/>
    <w:rsid w:val="7111698C"/>
    <w:rsid w:val="7113F82A"/>
    <w:rsid w:val="711402C9"/>
    <w:rsid w:val="7116DD94"/>
    <w:rsid w:val="71175A0B"/>
    <w:rsid w:val="711D5EC2"/>
    <w:rsid w:val="71219B0D"/>
    <w:rsid w:val="712B9FD4"/>
    <w:rsid w:val="712F3F21"/>
    <w:rsid w:val="7130476A"/>
    <w:rsid w:val="71372825"/>
    <w:rsid w:val="713A0839"/>
    <w:rsid w:val="713A7266"/>
    <w:rsid w:val="713D20DB"/>
    <w:rsid w:val="714A1BDF"/>
    <w:rsid w:val="7150CBA5"/>
    <w:rsid w:val="7159C523"/>
    <w:rsid w:val="715D63C1"/>
    <w:rsid w:val="7169BA56"/>
    <w:rsid w:val="716E5BAF"/>
    <w:rsid w:val="716F7171"/>
    <w:rsid w:val="71700E18"/>
    <w:rsid w:val="71710461"/>
    <w:rsid w:val="7174B9BD"/>
    <w:rsid w:val="71792948"/>
    <w:rsid w:val="717A6755"/>
    <w:rsid w:val="7184C192"/>
    <w:rsid w:val="7184CEF6"/>
    <w:rsid w:val="7187EE19"/>
    <w:rsid w:val="71893F8E"/>
    <w:rsid w:val="718E8C04"/>
    <w:rsid w:val="71911EA1"/>
    <w:rsid w:val="71929DC4"/>
    <w:rsid w:val="719444BA"/>
    <w:rsid w:val="7195AF67"/>
    <w:rsid w:val="7198ADA3"/>
    <w:rsid w:val="719C63E9"/>
    <w:rsid w:val="719DB100"/>
    <w:rsid w:val="71A066F0"/>
    <w:rsid w:val="71A0BAC2"/>
    <w:rsid w:val="71A1D488"/>
    <w:rsid w:val="71A207B4"/>
    <w:rsid w:val="71A38C0D"/>
    <w:rsid w:val="71A415E1"/>
    <w:rsid w:val="71A6EF1A"/>
    <w:rsid w:val="71BE664F"/>
    <w:rsid w:val="71C63725"/>
    <w:rsid w:val="71C67F29"/>
    <w:rsid w:val="71C6BF8D"/>
    <w:rsid w:val="71C7B4D4"/>
    <w:rsid w:val="71D6226D"/>
    <w:rsid w:val="71D6CF8C"/>
    <w:rsid w:val="71D7740B"/>
    <w:rsid w:val="71DD4C67"/>
    <w:rsid w:val="71DF2C3C"/>
    <w:rsid w:val="71E72E39"/>
    <w:rsid w:val="71E8B4B4"/>
    <w:rsid w:val="71EB9B3C"/>
    <w:rsid w:val="71EC9CBF"/>
    <w:rsid w:val="71F7A9D5"/>
    <w:rsid w:val="71FC6CC7"/>
    <w:rsid w:val="71FE5B8B"/>
    <w:rsid w:val="7205DE9F"/>
    <w:rsid w:val="720CADAE"/>
    <w:rsid w:val="72198C6A"/>
    <w:rsid w:val="721C357E"/>
    <w:rsid w:val="721F3F3D"/>
    <w:rsid w:val="721FFC10"/>
    <w:rsid w:val="72260A50"/>
    <w:rsid w:val="722E4154"/>
    <w:rsid w:val="723003B8"/>
    <w:rsid w:val="72314570"/>
    <w:rsid w:val="7231CC00"/>
    <w:rsid w:val="72342E02"/>
    <w:rsid w:val="723BE3E4"/>
    <w:rsid w:val="723D0E87"/>
    <w:rsid w:val="723ED873"/>
    <w:rsid w:val="72413297"/>
    <w:rsid w:val="724D8113"/>
    <w:rsid w:val="725790AF"/>
    <w:rsid w:val="7259C432"/>
    <w:rsid w:val="7262C607"/>
    <w:rsid w:val="7265F3BA"/>
    <w:rsid w:val="72664B51"/>
    <w:rsid w:val="726994A1"/>
    <w:rsid w:val="726F1ADF"/>
    <w:rsid w:val="727613AD"/>
    <w:rsid w:val="727B3461"/>
    <w:rsid w:val="72827FB6"/>
    <w:rsid w:val="72836F35"/>
    <w:rsid w:val="72852212"/>
    <w:rsid w:val="7289848C"/>
    <w:rsid w:val="728AEC8D"/>
    <w:rsid w:val="72940744"/>
    <w:rsid w:val="729874BB"/>
    <w:rsid w:val="7298C997"/>
    <w:rsid w:val="7298D076"/>
    <w:rsid w:val="729D94F8"/>
    <w:rsid w:val="729FF9DC"/>
    <w:rsid w:val="72A61B11"/>
    <w:rsid w:val="72B14C79"/>
    <w:rsid w:val="72B784E1"/>
    <w:rsid w:val="72B8D7B5"/>
    <w:rsid w:val="72C5DE22"/>
    <w:rsid w:val="72C7CC7D"/>
    <w:rsid w:val="72CCB53F"/>
    <w:rsid w:val="72CEE559"/>
    <w:rsid w:val="72D12C7B"/>
    <w:rsid w:val="72D3BA7C"/>
    <w:rsid w:val="72D4A4F9"/>
    <w:rsid w:val="72D57BA9"/>
    <w:rsid w:val="72D8AEF6"/>
    <w:rsid w:val="72DA9A3F"/>
    <w:rsid w:val="72DE3E31"/>
    <w:rsid w:val="72E37712"/>
    <w:rsid w:val="72E6C7C1"/>
    <w:rsid w:val="72E70EA9"/>
    <w:rsid w:val="72EA3E99"/>
    <w:rsid w:val="72ECDA52"/>
    <w:rsid w:val="72EEDD88"/>
    <w:rsid w:val="72F34370"/>
    <w:rsid w:val="72FBAD4B"/>
    <w:rsid w:val="730013C0"/>
    <w:rsid w:val="73011FCF"/>
    <w:rsid w:val="7307C246"/>
    <w:rsid w:val="731665A5"/>
    <w:rsid w:val="73187031"/>
    <w:rsid w:val="73195ED3"/>
    <w:rsid w:val="731977CA"/>
    <w:rsid w:val="731A8E6C"/>
    <w:rsid w:val="731BE05D"/>
    <w:rsid w:val="7322B2B5"/>
    <w:rsid w:val="73263874"/>
    <w:rsid w:val="732B77E4"/>
    <w:rsid w:val="732F08B7"/>
    <w:rsid w:val="73320DEF"/>
    <w:rsid w:val="73346C33"/>
    <w:rsid w:val="73431096"/>
    <w:rsid w:val="7349858F"/>
    <w:rsid w:val="7349F21D"/>
    <w:rsid w:val="734A3CBF"/>
    <w:rsid w:val="7351D76D"/>
    <w:rsid w:val="73536148"/>
    <w:rsid w:val="7356FFA8"/>
    <w:rsid w:val="735945CC"/>
    <w:rsid w:val="735E6E22"/>
    <w:rsid w:val="736BDBEB"/>
    <w:rsid w:val="7374DBED"/>
    <w:rsid w:val="73787BF7"/>
    <w:rsid w:val="7385FE45"/>
    <w:rsid w:val="73894F4A"/>
    <w:rsid w:val="738B7C84"/>
    <w:rsid w:val="7394DE55"/>
    <w:rsid w:val="7397D91A"/>
    <w:rsid w:val="73983667"/>
    <w:rsid w:val="739B546F"/>
    <w:rsid w:val="73A10149"/>
    <w:rsid w:val="73AB3BE0"/>
    <w:rsid w:val="73AF98CF"/>
    <w:rsid w:val="73B0FC9A"/>
    <w:rsid w:val="73B4E004"/>
    <w:rsid w:val="73BC9CA8"/>
    <w:rsid w:val="73BE8192"/>
    <w:rsid w:val="73BE9A6E"/>
    <w:rsid w:val="73C3B5FE"/>
    <w:rsid w:val="73C7EF7E"/>
    <w:rsid w:val="73C9F48F"/>
    <w:rsid w:val="73CB8F9D"/>
    <w:rsid w:val="73D39E07"/>
    <w:rsid w:val="73D58CD5"/>
    <w:rsid w:val="73D89968"/>
    <w:rsid w:val="73DDA454"/>
    <w:rsid w:val="73E87C55"/>
    <w:rsid w:val="73EEB0ED"/>
    <w:rsid w:val="73F70609"/>
    <w:rsid w:val="73FE095C"/>
    <w:rsid w:val="73FEFBCC"/>
    <w:rsid w:val="73FF7DE5"/>
    <w:rsid w:val="74047332"/>
    <w:rsid w:val="74084ED3"/>
    <w:rsid w:val="7408F9E1"/>
    <w:rsid w:val="740CC3A4"/>
    <w:rsid w:val="7410528C"/>
    <w:rsid w:val="7419AF9D"/>
    <w:rsid w:val="741F3D2E"/>
    <w:rsid w:val="742259C9"/>
    <w:rsid w:val="742ABE60"/>
    <w:rsid w:val="742B6EF6"/>
    <w:rsid w:val="742C85B7"/>
    <w:rsid w:val="742CEFF5"/>
    <w:rsid w:val="74304C0B"/>
    <w:rsid w:val="74308B37"/>
    <w:rsid w:val="7438A7E9"/>
    <w:rsid w:val="743D8B36"/>
    <w:rsid w:val="74474F8D"/>
    <w:rsid w:val="7448B07B"/>
    <w:rsid w:val="744A30DC"/>
    <w:rsid w:val="745986D4"/>
    <w:rsid w:val="745A6D7F"/>
    <w:rsid w:val="745E86A2"/>
    <w:rsid w:val="7461A2F7"/>
    <w:rsid w:val="7461D085"/>
    <w:rsid w:val="74671E9F"/>
    <w:rsid w:val="746C49E2"/>
    <w:rsid w:val="746D0B15"/>
    <w:rsid w:val="74753020"/>
    <w:rsid w:val="747A4ABA"/>
    <w:rsid w:val="7483086F"/>
    <w:rsid w:val="7487825D"/>
    <w:rsid w:val="7488399F"/>
    <w:rsid w:val="748F554A"/>
    <w:rsid w:val="74928776"/>
    <w:rsid w:val="74982EC6"/>
    <w:rsid w:val="74A5C6B7"/>
    <w:rsid w:val="74A6CA28"/>
    <w:rsid w:val="74AD71BA"/>
    <w:rsid w:val="74B9904D"/>
    <w:rsid w:val="74C4FC1F"/>
    <w:rsid w:val="74C59D76"/>
    <w:rsid w:val="74C7EDC6"/>
    <w:rsid w:val="74CD2215"/>
    <w:rsid w:val="74D554B0"/>
    <w:rsid w:val="74D8DD6B"/>
    <w:rsid w:val="74DCF7FE"/>
    <w:rsid w:val="74E7AD82"/>
    <w:rsid w:val="74E96209"/>
    <w:rsid w:val="74E98F93"/>
    <w:rsid w:val="74ED25BA"/>
    <w:rsid w:val="74F188D0"/>
    <w:rsid w:val="74F61B76"/>
    <w:rsid w:val="74FF956D"/>
    <w:rsid w:val="7500D191"/>
    <w:rsid w:val="7500D549"/>
    <w:rsid w:val="7502D6B3"/>
    <w:rsid w:val="75060CB8"/>
    <w:rsid w:val="75081802"/>
    <w:rsid w:val="750F5BD3"/>
    <w:rsid w:val="75137F64"/>
    <w:rsid w:val="75259F0D"/>
    <w:rsid w:val="7528A77B"/>
    <w:rsid w:val="75296579"/>
    <w:rsid w:val="7531E5B9"/>
    <w:rsid w:val="75337450"/>
    <w:rsid w:val="7533B461"/>
    <w:rsid w:val="754058F3"/>
    <w:rsid w:val="7542EEBF"/>
    <w:rsid w:val="7543E5D8"/>
    <w:rsid w:val="75448E70"/>
    <w:rsid w:val="75467FAF"/>
    <w:rsid w:val="754CA7BA"/>
    <w:rsid w:val="755A3F0D"/>
    <w:rsid w:val="755BD7D1"/>
    <w:rsid w:val="755F3CD5"/>
    <w:rsid w:val="756470B9"/>
    <w:rsid w:val="75733EE6"/>
    <w:rsid w:val="757A864B"/>
    <w:rsid w:val="757F183B"/>
    <w:rsid w:val="758003CF"/>
    <w:rsid w:val="75814195"/>
    <w:rsid w:val="7583301C"/>
    <w:rsid w:val="7583C0C8"/>
    <w:rsid w:val="758AA105"/>
    <w:rsid w:val="758C67B3"/>
    <w:rsid w:val="758FC9B0"/>
    <w:rsid w:val="7594BC23"/>
    <w:rsid w:val="75958262"/>
    <w:rsid w:val="759C9155"/>
    <w:rsid w:val="759D24F4"/>
    <w:rsid w:val="759E0A98"/>
    <w:rsid w:val="759FDA9B"/>
    <w:rsid w:val="75A1850F"/>
    <w:rsid w:val="75AE82A6"/>
    <w:rsid w:val="75AFAAB0"/>
    <w:rsid w:val="75B0A280"/>
    <w:rsid w:val="75B2BAA0"/>
    <w:rsid w:val="75B5D954"/>
    <w:rsid w:val="75BCB05F"/>
    <w:rsid w:val="75BFC923"/>
    <w:rsid w:val="75C1A383"/>
    <w:rsid w:val="75C7890B"/>
    <w:rsid w:val="75C7F86A"/>
    <w:rsid w:val="75CA24F9"/>
    <w:rsid w:val="75CA78DC"/>
    <w:rsid w:val="75CCBF9B"/>
    <w:rsid w:val="75D4617C"/>
    <w:rsid w:val="75DA9B62"/>
    <w:rsid w:val="75DC3396"/>
    <w:rsid w:val="75DCE560"/>
    <w:rsid w:val="75DECF8B"/>
    <w:rsid w:val="75DF2269"/>
    <w:rsid w:val="75DF73FB"/>
    <w:rsid w:val="75E5C6A0"/>
    <w:rsid w:val="75E9F65A"/>
    <w:rsid w:val="75EBE2D1"/>
    <w:rsid w:val="75F1F76E"/>
    <w:rsid w:val="75F2C2AA"/>
    <w:rsid w:val="75F33AEB"/>
    <w:rsid w:val="75FA28A7"/>
    <w:rsid w:val="76039A47"/>
    <w:rsid w:val="76054C6B"/>
    <w:rsid w:val="760B501D"/>
    <w:rsid w:val="760F5D8E"/>
    <w:rsid w:val="76118A67"/>
    <w:rsid w:val="7611A76A"/>
    <w:rsid w:val="763071ED"/>
    <w:rsid w:val="76345983"/>
    <w:rsid w:val="7634C435"/>
    <w:rsid w:val="763F1C1E"/>
    <w:rsid w:val="76418E3D"/>
    <w:rsid w:val="764338E9"/>
    <w:rsid w:val="7648594E"/>
    <w:rsid w:val="7657115D"/>
    <w:rsid w:val="765A94E9"/>
    <w:rsid w:val="765E363C"/>
    <w:rsid w:val="765EA02B"/>
    <w:rsid w:val="76617469"/>
    <w:rsid w:val="7663EB7C"/>
    <w:rsid w:val="76653D7F"/>
    <w:rsid w:val="76669989"/>
    <w:rsid w:val="7668CA40"/>
    <w:rsid w:val="76693693"/>
    <w:rsid w:val="766D55E3"/>
    <w:rsid w:val="7677460F"/>
    <w:rsid w:val="76774814"/>
    <w:rsid w:val="767A3DC6"/>
    <w:rsid w:val="767A503F"/>
    <w:rsid w:val="767BF699"/>
    <w:rsid w:val="767C9DD3"/>
    <w:rsid w:val="768072A3"/>
    <w:rsid w:val="7688BFC4"/>
    <w:rsid w:val="768AF4D8"/>
    <w:rsid w:val="768D15FF"/>
    <w:rsid w:val="76918FA1"/>
    <w:rsid w:val="76919F35"/>
    <w:rsid w:val="76926FFF"/>
    <w:rsid w:val="7693AC9F"/>
    <w:rsid w:val="76A43209"/>
    <w:rsid w:val="76A49768"/>
    <w:rsid w:val="76ABD596"/>
    <w:rsid w:val="76B19565"/>
    <w:rsid w:val="76B516B2"/>
    <w:rsid w:val="76C434BD"/>
    <w:rsid w:val="76C84868"/>
    <w:rsid w:val="76CB65C4"/>
    <w:rsid w:val="76D20BEE"/>
    <w:rsid w:val="76D7E8C2"/>
    <w:rsid w:val="76E373AE"/>
    <w:rsid w:val="76E62A60"/>
    <w:rsid w:val="76E7DE29"/>
    <w:rsid w:val="76EAF89F"/>
    <w:rsid w:val="76EF785F"/>
    <w:rsid w:val="76F04F22"/>
    <w:rsid w:val="76F1E0D8"/>
    <w:rsid w:val="76F8FED8"/>
    <w:rsid w:val="76FB75C6"/>
    <w:rsid w:val="76FF12BE"/>
    <w:rsid w:val="77052E7F"/>
    <w:rsid w:val="77079345"/>
    <w:rsid w:val="770BDDE9"/>
    <w:rsid w:val="770EE6F1"/>
    <w:rsid w:val="770FF279"/>
    <w:rsid w:val="77136F27"/>
    <w:rsid w:val="7713866D"/>
    <w:rsid w:val="77177BA1"/>
    <w:rsid w:val="771D61BF"/>
    <w:rsid w:val="771D6AB9"/>
    <w:rsid w:val="77225C69"/>
    <w:rsid w:val="7725E298"/>
    <w:rsid w:val="772DA5BC"/>
    <w:rsid w:val="7732E9F8"/>
    <w:rsid w:val="773331D6"/>
    <w:rsid w:val="7734C2B7"/>
    <w:rsid w:val="773CCC18"/>
    <w:rsid w:val="773FB1EB"/>
    <w:rsid w:val="7741A0DA"/>
    <w:rsid w:val="774D0A57"/>
    <w:rsid w:val="77501AE3"/>
    <w:rsid w:val="775D012C"/>
    <w:rsid w:val="775E62BE"/>
    <w:rsid w:val="77655C93"/>
    <w:rsid w:val="776AB75B"/>
    <w:rsid w:val="776DCF74"/>
    <w:rsid w:val="7781B883"/>
    <w:rsid w:val="77850E30"/>
    <w:rsid w:val="7786246B"/>
    <w:rsid w:val="778A348D"/>
    <w:rsid w:val="7794DC06"/>
    <w:rsid w:val="7799D1BE"/>
    <w:rsid w:val="779C3701"/>
    <w:rsid w:val="77B9A4BB"/>
    <w:rsid w:val="77BE23D5"/>
    <w:rsid w:val="77C12CE8"/>
    <w:rsid w:val="77C63C52"/>
    <w:rsid w:val="77CD1A1F"/>
    <w:rsid w:val="77CD2029"/>
    <w:rsid w:val="77CF3A69"/>
    <w:rsid w:val="77D4C9E3"/>
    <w:rsid w:val="77D98F96"/>
    <w:rsid w:val="77D9BE90"/>
    <w:rsid w:val="77DCF129"/>
    <w:rsid w:val="77DE7737"/>
    <w:rsid w:val="77DEA8F5"/>
    <w:rsid w:val="77E42CF0"/>
    <w:rsid w:val="77EFE803"/>
    <w:rsid w:val="77F4DEDC"/>
    <w:rsid w:val="77FA62EF"/>
    <w:rsid w:val="780271A2"/>
    <w:rsid w:val="78044621"/>
    <w:rsid w:val="780BECCE"/>
    <w:rsid w:val="780D81A1"/>
    <w:rsid w:val="780F2E1C"/>
    <w:rsid w:val="781091F8"/>
    <w:rsid w:val="7811EA1E"/>
    <w:rsid w:val="781240E7"/>
    <w:rsid w:val="781A3D88"/>
    <w:rsid w:val="781DAE86"/>
    <w:rsid w:val="782AEC39"/>
    <w:rsid w:val="7830E8F5"/>
    <w:rsid w:val="7831E990"/>
    <w:rsid w:val="78384FE9"/>
    <w:rsid w:val="7839CBF6"/>
    <w:rsid w:val="783B85A4"/>
    <w:rsid w:val="783C702D"/>
    <w:rsid w:val="783C7F5C"/>
    <w:rsid w:val="78410A5E"/>
    <w:rsid w:val="78411CAF"/>
    <w:rsid w:val="784384C0"/>
    <w:rsid w:val="784AA78F"/>
    <w:rsid w:val="784AA8BF"/>
    <w:rsid w:val="7856756E"/>
    <w:rsid w:val="785A34ED"/>
    <w:rsid w:val="785F2916"/>
    <w:rsid w:val="786342DA"/>
    <w:rsid w:val="7863EBE6"/>
    <w:rsid w:val="7864B62E"/>
    <w:rsid w:val="7865470F"/>
    <w:rsid w:val="786FB15C"/>
    <w:rsid w:val="78788448"/>
    <w:rsid w:val="787B5F18"/>
    <w:rsid w:val="7882819D"/>
    <w:rsid w:val="7883D4CB"/>
    <w:rsid w:val="78853389"/>
    <w:rsid w:val="788DE555"/>
    <w:rsid w:val="788FA276"/>
    <w:rsid w:val="78972F1B"/>
    <w:rsid w:val="789B258B"/>
    <w:rsid w:val="789B3998"/>
    <w:rsid w:val="789B739A"/>
    <w:rsid w:val="789CC5B0"/>
    <w:rsid w:val="78A25B6B"/>
    <w:rsid w:val="78A90DC2"/>
    <w:rsid w:val="78AB01D8"/>
    <w:rsid w:val="78B1F440"/>
    <w:rsid w:val="78B34AC9"/>
    <w:rsid w:val="78B8364A"/>
    <w:rsid w:val="78BA6299"/>
    <w:rsid w:val="78BEF3EA"/>
    <w:rsid w:val="78BFC5B2"/>
    <w:rsid w:val="78BFEDD8"/>
    <w:rsid w:val="78C6836B"/>
    <w:rsid w:val="78CA0D02"/>
    <w:rsid w:val="78CEBFB3"/>
    <w:rsid w:val="78D3037C"/>
    <w:rsid w:val="78D4BACD"/>
    <w:rsid w:val="78D9CC2B"/>
    <w:rsid w:val="78DFBCAF"/>
    <w:rsid w:val="78E42B05"/>
    <w:rsid w:val="78E883B9"/>
    <w:rsid w:val="78ED68F2"/>
    <w:rsid w:val="78F1E3BF"/>
    <w:rsid w:val="78F9CF31"/>
    <w:rsid w:val="78FA7C9C"/>
    <w:rsid w:val="79023981"/>
    <w:rsid w:val="790364DF"/>
    <w:rsid w:val="79039E87"/>
    <w:rsid w:val="79049A3F"/>
    <w:rsid w:val="790546D4"/>
    <w:rsid w:val="790DE60F"/>
    <w:rsid w:val="79153D71"/>
    <w:rsid w:val="791800CD"/>
    <w:rsid w:val="79206C14"/>
    <w:rsid w:val="79262204"/>
    <w:rsid w:val="792A56F2"/>
    <w:rsid w:val="792BF742"/>
    <w:rsid w:val="792E4310"/>
    <w:rsid w:val="79334A30"/>
    <w:rsid w:val="79392B8F"/>
    <w:rsid w:val="793AB35C"/>
    <w:rsid w:val="793DC713"/>
    <w:rsid w:val="7948BC1B"/>
    <w:rsid w:val="794D59AD"/>
    <w:rsid w:val="79522CB2"/>
    <w:rsid w:val="79534A2A"/>
    <w:rsid w:val="79555A08"/>
    <w:rsid w:val="79607FFA"/>
    <w:rsid w:val="7960AFF7"/>
    <w:rsid w:val="796860FC"/>
    <w:rsid w:val="796988D0"/>
    <w:rsid w:val="79859F27"/>
    <w:rsid w:val="798B2C88"/>
    <w:rsid w:val="799003B9"/>
    <w:rsid w:val="799A0719"/>
    <w:rsid w:val="799B72BB"/>
    <w:rsid w:val="799FC243"/>
    <w:rsid w:val="79A16E9B"/>
    <w:rsid w:val="79A44DAD"/>
    <w:rsid w:val="79A6C09B"/>
    <w:rsid w:val="79A6E2F2"/>
    <w:rsid w:val="79A88DB8"/>
    <w:rsid w:val="79ADB692"/>
    <w:rsid w:val="79B31E9F"/>
    <w:rsid w:val="79B3F9B3"/>
    <w:rsid w:val="79BB400C"/>
    <w:rsid w:val="79C78A18"/>
    <w:rsid w:val="79C9A75D"/>
    <w:rsid w:val="79CC0969"/>
    <w:rsid w:val="79D0AC8D"/>
    <w:rsid w:val="79D10A45"/>
    <w:rsid w:val="79DF563E"/>
    <w:rsid w:val="79E33CEE"/>
    <w:rsid w:val="79E5AEA9"/>
    <w:rsid w:val="79ECF265"/>
    <w:rsid w:val="79F1C9BF"/>
    <w:rsid w:val="79F3CEA2"/>
    <w:rsid w:val="79F72318"/>
    <w:rsid w:val="79F76C09"/>
    <w:rsid w:val="7A032C33"/>
    <w:rsid w:val="7A03A9F4"/>
    <w:rsid w:val="7A0609FA"/>
    <w:rsid w:val="7A0D133A"/>
    <w:rsid w:val="7A0D7EB7"/>
    <w:rsid w:val="7A0E3B67"/>
    <w:rsid w:val="7A0F0978"/>
    <w:rsid w:val="7A0FB898"/>
    <w:rsid w:val="7A103552"/>
    <w:rsid w:val="7A2426E2"/>
    <w:rsid w:val="7A273129"/>
    <w:rsid w:val="7A286ABC"/>
    <w:rsid w:val="7A2ADCA6"/>
    <w:rsid w:val="7A339F95"/>
    <w:rsid w:val="7A353D86"/>
    <w:rsid w:val="7A359B88"/>
    <w:rsid w:val="7A3D2568"/>
    <w:rsid w:val="7A3FD081"/>
    <w:rsid w:val="7A3FDD0A"/>
    <w:rsid w:val="7A4BD635"/>
    <w:rsid w:val="7A5E39F2"/>
    <w:rsid w:val="7A65DD56"/>
    <w:rsid w:val="7A676DB7"/>
    <w:rsid w:val="7A6A5709"/>
    <w:rsid w:val="7A6C855D"/>
    <w:rsid w:val="7A6EA795"/>
    <w:rsid w:val="7A741237"/>
    <w:rsid w:val="7A75D833"/>
    <w:rsid w:val="7A792DC4"/>
    <w:rsid w:val="7A7C147D"/>
    <w:rsid w:val="7A873D10"/>
    <w:rsid w:val="7A897CE0"/>
    <w:rsid w:val="7A8C92B6"/>
    <w:rsid w:val="7A90C1CF"/>
    <w:rsid w:val="7A96CCA8"/>
    <w:rsid w:val="7A9BEA6D"/>
    <w:rsid w:val="7A9CFA7C"/>
    <w:rsid w:val="7A9FB3FE"/>
    <w:rsid w:val="7AA687B2"/>
    <w:rsid w:val="7AAC29A1"/>
    <w:rsid w:val="7AAD4EFF"/>
    <w:rsid w:val="7AB46D09"/>
    <w:rsid w:val="7AB54E3C"/>
    <w:rsid w:val="7AB6EB6D"/>
    <w:rsid w:val="7AB9C9CF"/>
    <w:rsid w:val="7ACA702A"/>
    <w:rsid w:val="7AD10757"/>
    <w:rsid w:val="7ADA53DF"/>
    <w:rsid w:val="7AE43FE9"/>
    <w:rsid w:val="7AE712C4"/>
    <w:rsid w:val="7AEA2718"/>
    <w:rsid w:val="7AECAE7E"/>
    <w:rsid w:val="7AF22CE3"/>
    <w:rsid w:val="7AF85E6B"/>
    <w:rsid w:val="7AFDD03B"/>
    <w:rsid w:val="7AFF72EC"/>
    <w:rsid w:val="7B01B428"/>
    <w:rsid w:val="7B058705"/>
    <w:rsid w:val="7B05CC4F"/>
    <w:rsid w:val="7B0F1E6A"/>
    <w:rsid w:val="7B124877"/>
    <w:rsid w:val="7B12FD55"/>
    <w:rsid w:val="7B13BDF7"/>
    <w:rsid w:val="7B1B7004"/>
    <w:rsid w:val="7B1C79B6"/>
    <w:rsid w:val="7B20EEEA"/>
    <w:rsid w:val="7B21D02E"/>
    <w:rsid w:val="7B28C214"/>
    <w:rsid w:val="7B32930C"/>
    <w:rsid w:val="7B41844D"/>
    <w:rsid w:val="7B449A70"/>
    <w:rsid w:val="7B48A4A1"/>
    <w:rsid w:val="7B4DAF1D"/>
    <w:rsid w:val="7B4FBC8D"/>
    <w:rsid w:val="7B514586"/>
    <w:rsid w:val="7B524932"/>
    <w:rsid w:val="7B52E7BD"/>
    <w:rsid w:val="7B57292A"/>
    <w:rsid w:val="7B588680"/>
    <w:rsid w:val="7B5D8AFA"/>
    <w:rsid w:val="7B6595DF"/>
    <w:rsid w:val="7B6B22F1"/>
    <w:rsid w:val="7B7099AD"/>
    <w:rsid w:val="7B7BF030"/>
    <w:rsid w:val="7B7E9180"/>
    <w:rsid w:val="7B81A837"/>
    <w:rsid w:val="7B8416B6"/>
    <w:rsid w:val="7B876DCD"/>
    <w:rsid w:val="7B87B61A"/>
    <w:rsid w:val="7B98A2C2"/>
    <w:rsid w:val="7B9FB3C5"/>
    <w:rsid w:val="7BA39DBD"/>
    <w:rsid w:val="7BA4D50E"/>
    <w:rsid w:val="7BAAFCE7"/>
    <w:rsid w:val="7BAB43C6"/>
    <w:rsid w:val="7BB0B9D2"/>
    <w:rsid w:val="7BB1F6B0"/>
    <w:rsid w:val="7BB5D535"/>
    <w:rsid w:val="7BB8F0F7"/>
    <w:rsid w:val="7BBCAB1F"/>
    <w:rsid w:val="7BBD3EA0"/>
    <w:rsid w:val="7BBE32AE"/>
    <w:rsid w:val="7BC2DE86"/>
    <w:rsid w:val="7BCC3C4A"/>
    <w:rsid w:val="7BCCC3A8"/>
    <w:rsid w:val="7BCD3401"/>
    <w:rsid w:val="7BD39CC8"/>
    <w:rsid w:val="7BD935E1"/>
    <w:rsid w:val="7BDE0D51"/>
    <w:rsid w:val="7BE036DD"/>
    <w:rsid w:val="7BE4C5E0"/>
    <w:rsid w:val="7BEF49C6"/>
    <w:rsid w:val="7BF3EC53"/>
    <w:rsid w:val="7BF5AED6"/>
    <w:rsid w:val="7BF73BEE"/>
    <w:rsid w:val="7BFAB4D1"/>
    <w:rsid w:val="7BFB4819"/>
    <w:rsid w:val="7BFC1F73"/>
    <w:rsid w:val="7C03A1EF"/>
    <w:rsid w:val="7C05FEEE"/>
    <w:rsid w:val="7C0D65C0"/>
    <w:rsid w:val="7C151F7D"/>
    <w:rsid w:val="7C15C3AA"/>
    <w:rsid w:val="7C175138"/>
    <w:rsid w:val="7C175EFF"/>
    <w:rsid w:val="7C17A1FE"/>
    <w:rsid w:val="7C1A6356"/>
    <w:rsid w:val="7C1DCCF3"/>
    <w:rsid w:val="7C1FABC9"/>
    <w:rsid w:val="7C2D662A"/>
    <w:rsid w:val="7C30C7E1"/>
    <w:rsid w:val="7C30F7D3"/>
    <w:rsid w:val="7C3CB5AD"/>
    <w:rsid w:val="7C3F0C2F"/>
    <w:rsid w:val="7C4E708A"/>
    <w:rsid w:val="7C55A693"/>
    <w:rsid w:val="7C5A1A1E"/>
    <w:rsid w:val="7C5C1A47"/>
    <w:rsid w:val="7C5CA993"/>
    <w:rsid w:val="7C5F777D"/>
    <w:rsid w:val="7C651DDF"/>
    <w:rsid w:val="7C68AEC6"/>
    <w:rsid w:val="7C6C08D4"/>
    <w:rsid w:val="7C745714"/>
    <w:rsid w:val="7C74C809"/>
    <w:rsid w:val="7C76E0AF"/>
    <w:rsid w:val="7C7A5197"/>
    <w:rsid w:val="7C8D438F"/>
    <w:rsid w:val="7C90A35B"/>
    <w:rsid w:val="7C941984"/>
    <w:rsid w:val="7C95D774"/>
    <w:rsid w:val="7C9958B4"/>
    <w:rsid w:val="7C9E238F"/>
    <w:rsid w:val="7C9E2B07"/>
    <w:rsid w:val="7CA560FC"/>
    <w:rsid w:val="7CA9DC06"/>
    <w:rsid w:val="7CAB7EBC"/>
    <w:rsid w:val="7CAD9E8A"/>
    <w:rsid w:val="7CAF9CA3"/>
    <w:rsid w:val="7CB241E4"/>
    <w:rsid w:val="7CB79644"/>
    <w:rsid w:val="7CC035D3"/>
    <w:rsid w:val="7CC43172"/>
    <w:rsid w:val="7CC7DF11"/>
    <w:rsid w:val="7CC8EA7C"/>
    <w:rsid w:val="7CC95AFB"/>
    <w:rsid w:val="7CCB4B51"/>
    <w:rsid w:val="7CCECBA4"/>
    <w:rsid w:val="7CD21B20"/>
    <w:rsid w:val="7CD95771"/>
    <w:rsid w:val="7CDFF561"/>
    <w:rsid w:val="7CE0B7EF"/>
    <w:rsid w:val="7CE4AA3C"/>
    <w:rsid w:val="7CE564F4"/>
    <w:rsid w:val="7CEF0DBA"/>
    <w:rsid w:val="7CF0AC51"/>
    <w:rsid w:val="7CF0B1B9"/>
    <w:rsid w:val="7D014926"/>
    <w:rsid w:val="7D039897"/>
    <w:rsid w:val="7D05CE9D"/>
    <w:rsid w:val="7D061139"/>
    <w:rsid w:val="7D078F52"/>
    <w:rsid w:val="7D0D5D9A"/>
    <w:rsid w:val="7D156BE9"/>
    <w:rsid w:val="7D1B2425"/>
    <w:rsid w:val="7D1B2477"/>
    <w:rsid w:val="7D1D624E"/>
    <w:rsid w:val="7D277CEE"/>
    <w:rsid w:val="7D2CCFF5"/>
    <w:rsid w:val="7D2FE673"/>
    <w:rsid w:val="7D39ACEB"/>
    <w:rsid w:val="7D3CF045"/>
    <w:rsid w:val="7D3EA64E"/>
    <w:rsid w:val="7D3F6F61"/>
    <w:rsid w:val="7D43E824"/>
    <w:rsid w:val="7D4E4780"/>
    <w:rsid w:val="7D4F7078"/>
    <w:rsid w:val="7D510B08"/>
    <w:rsid w:val="7D5227B6"/>
    <w:rsid w:val="7D560DD0"/>
    <w:rsid w:val="7D5BB2AD"/>
    <w:rsid w:val="7D5D4C96"/>
    <w:rsid w:val="7D620602"/>
    <w:rsid w:val="7D651614"/>
    <w:rsid w:val="7D651F1F"/>
    <w:rsid w:val="7D66960C"/>
    <w:rsid w:val="7D66B27F"/>
    <w:rsid w:val="7D721BF4"/>
    <w:rsid w:val="7D809364"/>
    <w:rsid w:val="7D8FBBCA"/>
    <w:rsid w:val="7D90F81B"/>
    <w:rsid w:val="7D91BC01"/>
    <w:rsid w:val="7D965005"/>
    <w:rsid w:val="7D9B25A1"/>
    <w:rsid w:val="7DA028DC"/>
    <w:rsid w:val="7DA2F805"/>
    <w:rsid w:val="7DAA76BD"/>
    <w:rsid w:val="7DAB3774"/>
    <w:rsid w:val="7DACAFA1"/>
    <w:rsid w:val="7DB1CEDC"/>
    <w:rsid w:val="7DB7E626"/>
    <w:rsid w:val="7DBD4FB9"/>
    <w:rsid w:val="7DBE24DE"/>
    <w:rsid w:val="7DBE6B78"/>
    <w:rsid w:val="7DC049CA"/>
    <w:rsid w:val="7DCA344F"/>
    <w:rsid w:val="7DCB09C5"/>
    <w:rsid w:val="7DCDECAA"/>
    <w:rsid w:val="7DCE4E9A"/>
    <w:rsid w:val="7DD249F0"/>
    <w:rsid w:val="7DD538C8"/>
    <w:rsid w:val="7DE0DB7F"/>
    <w:rsid w:val="7DE4082E"/>
    <w:rsid w:val="7DE5C084"/>
    <w:rsid w:val="7DE5DCD3"/>
    <w:rsid w:val="7DE5F7CE"/>
    <w:rsid w:val="7DE64CA6"/>
    <w:rsid w:val="7DE8B0A8"/>
    <w:rsid w:val="7DE98B00"/>
    <w:rsid w:val="7DEED393"/>
    <w:rsid w:val="7DEEF8A0"/>
    <w:rsid w:val="7DF2E748"/>
    <w:rsid w:val="7DF97EE1"/>
    <w:rsid w:val="7E0B1F28"/>
    <w:rsid w:val="7E106A34"/>
    <w:rsid w:val="7E13398D"/>
    <w:rsid w:val="7E13626E"/>
    <w:rsid w:val="7E19B037"/>
    <w:rsid w:val="7E231AE6"/>
    <w:rsid w:val="7E288933"/>
    <w:rsid w:val="7E292FE0"/>
    <w:rsid w:val="7E2A0A80"/>
    <w:rsid w:val="7E2B43B6"/>
    <w:rsid w:val="7E34BCA6"/>
    <w:rsid w:val="7E390444"/>
    <w:rsid w:val="7E3C5F86"/>
    <w:rsid w:val="7E3E77F7"/>
    <w:rsid w:val="7E48367A"/>
    <w:rsid w:val="7E484C11"/>
    <w:rsid w:val="7E495C0A"/>
    <w:rsid w:val="7E4B1A6A"/>
    <w:rsid w:val="7E4C7B27"/>
    <w:rsid w:val="7E512D00"/>
    <w:rsid w:val="7E5451F6"/>
    <w:rsid w:val="7E579FD9"/>
    <w:rsid w:val="7E58977B"/>
    <w:rsid w:val="7E592A4B"/>
    <w:rsid w:val="7E64EED6"/>
    <w:rsid w:val="7E662181"/>
    <w:rsid w:val="7E745838"/>
    <w:rsid w:val="7E74AE15"/>
    <w:rsid w:val="7E75B7E8"/>
    <w:rsid w:val="7E779F51"/>
    <w:rsid w:val="7E823332"/>
    <w:rsid w:val="7E82C78C"/>
    <w:rsid w:val="7E832013"/>
    <w:rsid w:val="7E9A3AB5"/>
    <w:rsid w:val="7E9F241F"/>
    <w:rsid w:val="7EB3CF07"/>
    <w:rsid w:val="7EB5626D"/>
    <w:rsid w:val="7EB59024"/>
    <w:rsid w:val="7EB6D230"/>
    <w:rsid w:val="7EB89573"/>
    <w:rsid w:val="7EBD5B0B"/>
    <w:rsid w:val="7EBFA60D"/>
    <w:rsid w:val="7EBFD5C8"/>
    <w:rsid w:val="7EC128E4"/>
    <w:rsid w:val="7EC694BD"/>
    <w:rsid w:val="7ECB5EAB"/>
    <w:rsid w:val="7ECDE6E0"/>
    <w:rsid w:val="7ED3D22D"/>
    <w:rsid w:val="7EDC46C4"/>
    <w:rsid w:val="7EDEA1D3"/>
    <w:rsid w:val="7EDF7E2F"/>
    <w:rsid w:val="7EEA2D54"/>
    <w:rsid w:val="7EEC2237"/>
    <w:rsid w:val="7EECD4AC"/>
    <w:rsid w:val="7EED7C13"/>
    <w:rsid w:val="7EEE1D65"/>
    <w:rsid w:val="7EF0B8E2"/>
    <w:rsid w:val="7EF57235"/>
    <w:rsid w:val="7F012DA0"/>
    <w:rsid w:val="7F047D8C"/>
    <w:rsid w:val="7F04A7ED"/>
    <w:rsid w:val="7F070F1C"/>
    <w:rsid w:val="7F0858AB"/>
    <w:rsid w:val="7F0F0ACE"/>
    <w:rsid w:val="7F2240DF"/>
    <w:rsid w:val="7F22FC75"/>
    <w:rsid w:val="7F236E0F"/>
    <w:rsid w:val="7F249351"/>
    <w:rsid w:val="7F29A6A8"/>
    <w:rsid w:val="7F30EB63"/>
    <w:rsid w:val="7F35D846"/>
    <w:rsid w:val="7F37ED28"/>
    <w:rsid w:val="7F394D9E"/>
    <w:rsid w:val="7F3DDF74"/>
    <w:rsid w:val="7F3EA3AB"/>
    <w:rsid w:val="7F421E81"/>
    <w:rsid w:val="7F428F0E"/>
    <w:rsid w:val="7F441EF4"/>
    <w:rsid w:val="7F484204"/>
    <w:rsid w:val="7F4AD935"/>
    <w:rsid w:val="7F4C9255"/>
    <w:rsid w:val="7F52ECD2"/>
    <w:rsid w:val="7F739A7C"/>
    <w:rsid w:val="7F763D35"/>
    <w:rsid w:val="7F7796DF"/>
    <w:rsid w:val="7F8F3460"/>
    <w:rsid w:val="7F92C958"/>
    <w:rsid w:val="7F95528D"/>
    <w:rsid w:val="7F994B27"/>
    <w:rsid w:val="7F9965DE"/>
    <w:rsid w:val="7F9F32C5"/>
    <w:rsid w:val="7FA0231A"/>
    <w:rsid w:val="7FA39E13"/>
    <w:rsid w:val="7FA3D381"/>
    <w:rsid w:val="7FA715D9"/>
    <w:rsid w:val="7FAA366E"/>
    <w:rsid w:val="7FB4D8EE"/>
    <w:rsid w:val="7FB52E96"/>
    <w:rsid w:val="7FB623E3"/>
    <w:rsid w:val="7FB80E86"/>
    <w:rsid w:val="7FB95A21"/>
    <w:rsid w:val="7FBC570D"/>
    <w:rsid w:val="7FC069F3"/>
    <w:rsid w:val="7FC1FE1A"/>
    <w:rsid w:val="7FC3088D"/>
    <w:rsid w:val="7FCCF1DF"/>
    <w:rsid w:val="7FD4FC54"/>
    <w:rsid w:val="7FD659B7"/>
    <w:rsid w:val="7FDF7338"/>
    <w:rsid w:val="7FDFB4E4"/>
    <w:rsid w:val="7FE55137"/>
    <w:rsid w:val="7FE5DF63"/>
    <w:rsid w:val="7FECCBB4"/>
    <w:rsid w:val="7FF075F2"/>
    <w:rsid w:val="7FF18168"/>
    <w:rsid w:val="7FF637D6"/>
    <w:rsid w:val="7FF743ED"/>
    <w:rsid w:val="7FFB7417"/>
    <w:rsid w:val="7FFF7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E1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10" w:qFormat="1"/>
    <w:lsdException w:name="Closing" w:semiHidden="1"/>
    <w:lsdException w:name="Signature" w:semiHidden="1"/>
    <w:lsdException w:name="Default Paragraph Font" w:semiHidden="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tabs>
        <w:tab w:val="clear" w:pos="1570"/>
        <w:tab w:val="num" w:pos="862"/>
      </w:tabs>
      <w:ind w:left="862"/>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47C8C"/>
    <w:rPr>
      <w:color w:val="0000FF"/>
      <w:shd w:val="clear" w:color="auto" w:fill="auto"/>
    </w:rPr>
  </w:style>
  <w:style w:type="paragraph" w:customStyle="1" w:styleId="Pagedecouverture">
    <w:name w:val="Page de couverture"/>
    <w:basedOn w:val="Normal"/>
    <w:next w:val="Normal"/>
    <w:rsid w:val="00C47C8C"/>
    <w:pPr>
      <w:spacing w:after="0"/>
    </w:pPr>
    <w:rPr>
      <w:rFonts w:eastAsiaTheme="minorHAnsi"/>
      <w:szCs w:val="22"/>
      <w:lang w:eastAsia="en-GB"/>
    </w:rPr>
  </w:style>
  <w:style w:type="paragraph" w:customStyle="1" w:styleId="FooterCoverPage">
    <w:name w:val="Footer Cover Page"/>
    <w:basedOn w:val="Normal"/>
    <w:link w:val="FooterCoverPageChar"/>
    <w:rsid w:val="00C47C8C"/>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47C8C"/>
  </w:style>
  <w:style w:type="paragraph" w:customStyle="1" w:styleId="FooterSensitivity">
    <w:name w:val="Footer Sensitivity"/>
    <w:basedOn w:val="Normal"/>
    <w:link w:val="FooterSensitivityChar"/>
    <w:rsid w:val="00C47C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47C8C"/>
    <w:rPr>
      <w:b/>
      <w:sz w:val="32"/>
    </w:rPr>
  </w:style>
  <w:style w:type="paragraph" w:customStyle="1" w:styleId="HeaderCoverPage">
    <w:name w:val="Header Cover Page"/>
    <w:basedOn w:val="Normal"/>
    <w:link w:val="HeaderCoverPageChar"/>
    <w:rsid w:val="00C47C8C"/>
    <w:pPr>
      <w:tabs>
        <w:tab w:val="center" w:pos="4535"/>
        <w:tab w:val="right" w:pos="9071"/>
      </w:tabs>
      <w:spacing w:after="120"/>
    </w:pPr>
  </w:style>
  <w:style w:type="character" w:customStyle="1" w:styleId="HeaderCoverPageChar">
    <w:name w:val="Header Cover Page Char"/>
    <w:basedOn w:val="DefaultParagraphFont"/>
    <w:link w:val="HeaderCoverPage"/>
    <w:rsid w:val="00C47C8C"/>
  </w:style>
  <w:style w:type="paragraph" w:customStyle="1" w:styleId="HeaderSensitivity">
    <w:name w:val="Header Sensitivity"/>
    <w:basedOn w:val="Normal"/>
    <w:link w:val="HeaderSensitivityChar"/>
    <w:rsid w:val="00C47C8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47C8C"/>
    <w:rPr>
      <w:b/>
      <w:sz w:val="32"/>
    </w:rPr>
  </w:style>
  <w:style w:type="paragraph" w:customStyle="1" w:styleId="HeaderSensitivityRight">
    <w:name w:val="Header Sensitivity Right"/>
    <w:basedOn w:val="Normal"/>
    <w:link w:val="HeaderSensitivityRightChar"/>
    <w:rsid w:val="00C745AE"/>
    <w:pPr>
      <w:spacing w:after="120"/>
      <w:jc w:val="right"/>
    </w:pPr>
    <w:rPr>
      <w:sz w:val="28"/>
    </w:rPr>
  </w:style>
  <w:style w:type="character" w:customStyle="1" w:styleId="HeaderSensitivityRightChar">
    <w:name w:val="Header Sensitivity Right Char"/>
    <w:basedOn w:val="DefaultParagraphFont"/>
    <w:link w:val="HeaderSensitivityRight"/>
    <w:rsid w:val="00C47C8C"/>
    <w:rPr>
      <w:sz w:val="28"/>
    </w:rPr>
  </w:style>
  <w:style w:type="paragraph" w:styleId="BodyText">
    <w:name w:val="Body Text"/>
    <w:basedOn w:val="Normal"/>
    <w:link w:val="BodyTextChar"/>
    <w:uiPriority w:val="1"/>
    <w:qFormat/>
    <w:rsid w:val="009650AB"/>
    <w:pPr>
      <w:widowControl w:val="0"/>
      <w:autoSpaceDE w:val="0"/>
      <w:autoSpaceDN w:val="0"/>
      <w:spacing w:after="120" w:line="276" w:lineRule="auto"/>
      <w:ind w:left="1015" w:right="856"/>
    </w:pPr>
    <w:rPr>
      <w:rFonts w:eastAsia="Calibri"/>
      <w:szCs w:val="24"/>
      <w:lang w:eastAsia="en-GB"/>
    </w:rPr>
  </w:style>
  <w:style w:type="character" w:customStyle="1" w:styleId="BodyTextChar">
    <w:name w:val="Body Text Char"/>
    <w:basedOn w:val="DefaultParagraphFont"/>
    <w:link w:val="BodyText"/>
    <w:uiPriority w:val="1"/>
    <w:rsid w:val="009650AB"/>
    <w:rPr>
      <w:rFonts w:eastAsia="Calibri"/>
      <w:szCs w:val="24"/>
      <w:lang w:val="fr-FR" w:eastAsia="en-GB"/>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rsid w:val="009650AB"/>
    <w:pPr>
      <w:widowControl w:val="0"/>
      <w:autoSpaceDE w:val="0"/>
      <w:autoSpaceDN w:val="0"/>
      <w:spacing w:after="120" w:line="276" w:lineRule="auto"/>
      <w:ind w:left="1802" w:right="856" w:hanging="429"/>
      <w:jc w:val="left"/>
    </w:pPr>
    <w:rPr>
      <w:rFonts w:eastAsia="Calibri"/>
      <w:szCs w:val="24"/>
      <w:lang w:eastAsia="en-GB"/>
    </w:rPr>
  </w:style>
  <w:style w:type="paragraph" w:customStyle="1" w:styleId="TableParagraph">
    <w:name w:val="Table Paragraph"/>
    <w:basedOn w:val="Normal"/>
    <w:uiPriority w:val="1"/>
    <w:qFormat/>
    <w:rsid w:val="009650AB"/>
    <w:pPr>
      <w:widowControl w:val="0"/>
      <w:autoSpaceDE w:val="0"/>
      <w:autoSpaceDN w:val="0"/>
      <w:spacing w:after="120" w:line="276" w:lineRule="auto"/>
      <w:ind w:left="107" w:right="856"/>
      <w:jc w:val="left"/>
    </w:pPr>
    <w:rPr>
      <w:rFonts w:eastAsia="Calibri"/>
      <w:szCs w:val="24"/>
      <w:lang w:eastAsia="en-GB"/>
    </w:rPr>
  </w:style>
  <w:style w:type="character" w:customStyle="1" w:styleId="FootnoteTextChar">
    <w:name w:val="Footnote Text Char"/>
    <w:basedOn w:val="DefaultParagraphFont"/>
    <w:uiPriority w:val="99"/>
    <w:rsid w:val="009650AB"/>
    <w:rPr>
      <w:sz w:val="20"/>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9650AB"/>
    <w:rPr>
      <w:rFonts w:eastAsia="Calibri"/>
      <w:szCs w:val="24"/>
      <w:lang w:val="fr-FR" w:eastAsia="en-GB"/>
    </w:rPr>
  </w:style>
  <w:style w:type="character" w:styleId="Hyperlink">
    <w:name w:val="Hyperlink"/>
    <w:basedOn w:val="DefaultParagraphFont"/>
    <w:uiPriority w:val="99"/>
    <w:unhideWhenUsed/>
    <w:rsid w:val="009650AB"/>
    <w:rPr>
      <w:color w:val="0563C1"/>
      <w:u w:val="single"/>
    </w:rPr>
  </w:style>
  <w:style w:type="character" w:styleId="CommentReference">
    <w:name w:val="annotation reference"/>
    <w:basedOn w:val="DefaultParagraphFont"/>
    <w:uiPriority w:val="99"/>
    <w:semiHidden/>
    <w:unhideWhenUsed/>
    <w:rsid w:val="009650AB"/>
    <w:rPr>
      <w:sz w:val="16"/>
      <w:szCs w:val="16"/>
    </w:rPr>
  </w:style>
  <w:style w:type="paragraph" w:styleId="CommentText">
    <w:name w:val="annotation text"/>
    <w:basedOn w:val="Normal"/>
    <w:link w:val="CommentTextChar"/>
    <w:uiPriority w:val="99"/>
    <w:unhideWhenUsed/>
    <w:rsid w:val="009650AB"/>
    <w:pPr>
      <w:widowControl w:val="0"/>
      <w:autoSpaceDE w:val="0"/>
      <w:autoSpaceDN w:val="0"/>
      <w:spacing w:after="120" w:line="276" w:lineRule="auto"/>
      <w:ind w:left="992" w:right="856"/>
      <w:jc w:val="left"/>
    </w:pPr>
    <w:rPr>
      <w:rFonts w:eastAsia="Calibri"/>
      <w:sz w:val="20"/>
      <w:lang w:eastAsia="en-GB"/>
    </w:rPr>
  </w:style>
  <w:style w:type="character" w:customStyle="1" w:styleId="CommentTextChar">
    <w:name w:val="Comment Text Char"/>
    <w:basedOn w:val="DefaultParagraphFont"/>
    <w:link w:val="CommentText"/>
    <w:uiPriority w:val="99"/>
    <w:rsid w:val="009650AB"/>
    <w:rPr>
      <w:rFonts w:eastAsia="Calibri"/>
      <w:sz w:val="20"/>
      <w:lang w:val="fr-FR" w:eastAsia="en-GB"/>
    </w:rPr>
  </w:style>
  <w:style w:type="paragraph" w:styleId="CommentSubject">
    <w:name w:val="annotation subject"/>
    <w:basedOn w:val="CommentText"/>
    <w:next w:val="CommentText"/>
    <w:link w:val="CommentSubjectChar"/>
    <w:uiPriority w:val="99"/>
    <w:semiHidden/>
    <w:unhideWhenUsed/>
    <w:rsid w:val="009650AB"/>
    <w:rPr>
      <w:b/>
      <w:bCs/>
    </w:rPr>
  </w:style>
  <w:style w:type="character" w:customStyle="1" w:styleId="CommentSubjectChar">
    <w:name w:val="Comment Subject Char"/>
    <w:basedOn w:val="CommentTextChar"/>
    <w:link w:val="CommentSubject"/>
    <w:uiPriority w:val="99"/>
    <w:semiHidden/>
    <w:rsid w:val="009650AB"/>
    <w:rPr>
      <w:rFonts w:eastAsia="Calibri"/>
      <w:b/>
      <w:bCs/>
      <w:sz w:val="20"/>
      <w:lang w:val="fr-FR" w:eastAsia="en-GB"/>
    </w:rPr>
  </w:style>
  <w:style w:type="character" w:customStyle="1" w:styleId="FooterChar">
    <w:name w:val="Footer Char"/>
    <w:basedOn w:val="DefaultParagraphFont"/>
    <w:uiPriority w:val="99"/>
    <w:rsid w:val="00A610E9"/>
    <w:rPr>
      <w:vertAlign w:val="superscript"/>
    </w:rPr>
  </w:style>
  <w:style w:type="paragraph" w:customStyle="1" w:styleId="whitespace-pre-wrap">
    <w:name w:val="whitespace-pre-wrap"/>
    <w:basedOn w:val="Normal"/>
    <w:rsid w:val="009650AB"/>
    <w:pPr>
      <w:spacing w:before="100" w:beforeAutospacing="1" w:after="100" w:afterAutospacing="1" w:line="276" w:lineRule="auto"/>
      <w:ind w:left="992" w:right="856"/>
      <w:jc w:val="left"/>
    </w:pPr>
    <w:rPr>
      <w:rFonts w:eastAsia="Calibri"/>
      <w:szCs w:val="24"/>
      <w:lang w:eastAsia="en-GB"/>
    </w:rPr>
  </w:style>
  <w:style w:type="paragraph" w:styleId="Revision">
    <w:name w:val="Revision"/>
    <w:hidden/>
    <w:uiPriority w:val="99"/>
    <w:semiHidden/>
    <w:rsid w:val="009650AB"/>
    <w:rPr>
      <w:sz w:val="22"/>
      <w:szCs w:val="22"/>
      <w:lang w:eastAsia="en-GB"/>
    </w:rPr>
  </w:style>
  <w:style w:type="character" w:customStyle="1" w:styleId="UnresolvedMention">
    <w:name w:val="Unresolved Mention"/>
    <w:basedOn w:val="DefaultParagraphFont"/>
    <w:uiPriority w:val="99"/>
    <w:semiHidden/>
    <w:unhideWhenUsed/>
    <w:rsid w:val="009650AB"/>
    <w:rPr>
      <w:color w:val="605E5C"/>
      <w:shd w:val="clear" w:color="auto" w:fill="E1DFDD"/>
    </w:rPr>
  </w:style>
  <w:style w:type="character" w:styleId="FollowedHyperlink">
    <w:name w:val="FollowedHyperlink"/>
    <w:basedOn w:val="DefaultParagraphFont"/>
    <w:uiPriority w:val="99"/>
    <w:semiHidden/>
    <w:unhideWhenUsed/>
    <w:rsid w:val="009650AB"/>
    <w:rPr>
      <w:color w:val="96607D" w:themeColor="followedHyperlink"/>
      <w:u w:val="single"/>
    </w:rPr>
  </w:style>
  <w:style w:type="character" w:customStyle="1" w:styleId="Heading2Char">
    <w:name w:val="Heading 2 Char"/>
    <w:basedOn w:val="DefaultParagraphFont"/>
    <w:uiPriority w:val="10"/>
    <w:rsid w:val="009650AB"/>
    <w:rPr>
      <w:b/>
    </w:rPr>
  </w:style>
  <w:style w:type="character" w:customStyle="1" w:styleId="Heading3Char">
    <w:name w:val="Heading 3 Char"/>
    <w:basedOn w:val="DefaultParagraphFont"/>
    <w:uiPriority w:val="9"/>
    <w:rsid w:val="009650AB"/>
    <w:rPr>
      <w:i/>
    </w:rPr>
  </w:style>
  <w:style w:type="character" w:customStyle="1" w:styleId="Heading4Char">
    <w:name w:val="Heading 4 Char"/>
    <w:basedOn w:val="DefaultParagraphFont"/>
    <w:uiPriority w:val="9"/>
    <w:rsid w:val="009650AB"/>
  </w:style>
  <w:style w:type="character" w:customStyle="1" w:styleId="Heading5Char">
    <w:name w:val="Heading 5 Char"/>
    <w:basedOn w:val="DefaultParagraphFont"/>
    <w:uiPriority w:val="9"/>
    <w:semiHidden/>
    <w:rsid w:val="009650AB"/>
  </w:style>
  <w:style w:type="character" w:customStyle="1" w:styleId="Heading6Char">
    <w:name w:val="Heading 6 Char"/>
    <w:basedOn w:val="DefaultParagraphFont"/>
    <w:uiPriority w:val="9"/>
    <w:semiHidden/>
    <w:rsid w:val="009650AB"/>
  </w:style>
  <w:style w:type="character" w:customStyle="1" w:styleId="Heading7Char">
    <w:name w:val="Heading 7 Char"/>
    <w:basedOn w:val="DefaultParagraphFont"/>
    <w:uiPriority w:val="9"/>
    <w:semiHidden/>
    <w:rsid w:val="009650AB"/>
  </w:style>
  <w:style w:type="character" w:customStyle="1" w:styleId="Heading8Char">
    <w:name w:val="Heading 8 Char"/>
    <w:basedOn w:val="DefaultParagraphFont"/>
    <w:uiPriority w:val="9"/>
    <w:semiHidden/>
    <w:rsid w:val="009650AB"/>
  </w:style>
  <w:style w:type="character" w:customStyle="1" w:styleId="Heading9Char">
    <w:name w:val="Heading 9 Char"/>
    <w:basedOn w:val="DefaultParagraphFont"/>
    <w:uiPriority w:val="9"/>
    <w:semiHidden/>
    <w:rsid w:val="009650AB"/>
  </w:style>
  <w:style w:type="character" w:customStyle="1" w:styleId="Mention">
    <w:name w:val="Mention"/>
    <w:basedOn w:val="DefaultParagraphFont"/>
    <w:uiPriority w:val="99"/>
    <w:unhideWhenUsed/>
    <w:rsid w:val="009650AB"/>
    <w:rPr>
      <w:color w:val="2B579A"/>
      <w:shd w:val="clear" w:color="auto" w:fill="E1DFDD"/>
    </w:rPr>
  </w:style>
  <w:style w:type="paragraph" w:styleId="NormalWeb">
    <w:name w:val="Normal (Web)"/>
    <w:basedOn w:val="Normal"/>
    <w:uiPriority w:val="99"/>
    <w:semiHidden/>
    <w:unhideWhenUsed/>
    <w:rsid w:val="009650AB"/>
    <w:pPr>
      <w:widowControl w:val="0"/>
      <w:autoSpaceDE w:val="0"/>
      <w:autoSpaceDN w:val="0"/>
      <w:spacing w:after="120" w:line="276" w:lineRule="auto"/>
      <w:ind w:left="992" w:right="856"/>
      <w:jc w:val="left"/>
    </w:pPr>
    <w:rPr>
      <w:rFonts w:eastAsia="Calibri"/>
      <w:szCs w:val="24"/>
      <w:lang w:eastAsia="en-GB"/>
    </w:rPr>
  </w:style>
  <w:style w:type="character" w:customStyle="1" w:styleId="EndnoteTextChar">
    <w:name w:val="Endnote Text Char"/>
    <w:basedOn w:val="DefaultParagraphFont"/>
    <w:uiPriority w:val="99"/>
    <w:semiHidden/>
    <w:rsid w:val="009650AB"/>
    <w:rPr>
      <w:sz w:val="20"/>
    </w:rPr>
  </w:style>
  <w:style w:type="character" w:styleId="EndnoteReference">
    <w:name w:val="endnote reference"/>
    <w:basedOn w:val="DefaultParagraphFont"/>
    <w:uiPriority w:val="99"/>
    <w:semiHidden/>
    <w:unhideWhenUsed/>
    <w:rsid w:val="009650AB"/>
    <w:rPr>
      <w:vertAlign w:val="superscript"/>
    </w:rPr>
  </w:style>
  <w:style w:type="character" w:styleId="Strong">
    <w:name w:val="Strong"/>
    <w:basedOn w:val="DefaultParagraphFont"/>
    <w:uiPriority w:val="22"/>
    <w:qFormat/>
    <w:rsid w:val="009650AB"/>
    <w:rPr>
      <w:b/>
      <w:bCs/>
    </w:rPr>
  </w:style>
  <w:style w:type="character" w:customStyle="1" w:styleId="Text1Char">
    <w:name w:val="Text 1 Char"/>
    <w:basedOn w:val="DefaultParagraphFont"/>
    <w:rsid w:val="009650AB"/>
  </w:style>
  <w:style w:type="character" w:customStyle="1" w:styleId="whitespace-normal">
    <w:name w:val="whitespace-normal"/>
    <w:basedOn w:val="DefaultParagraphFont"/>
    <w:rsid w:val="00D300A1"/>
  </w:style>
  <w:style w:type="paragraph" w:customStyle="1" w:styleId="Disclaimer">
    <w:name w:val="Disclaimer"/>
    <w:basedOn w:val="Normal"/>
    <w:rsid w:val="00FA33C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GB"/>
    </w:rPr>
  </w:style>
  <w:style w:type="paragraph" w:customStyle="1" w:styleId="SecurityMarking">
    <w:name w:val="SecurityMarking"/>
    <w:basedOn w:val="Normal"/>
    <w:rsid w:val="00C745AE"/>
    <w:pPr>
      <w:spacing w:after="0" w:line="276" w:lineRule="auto"/>
      <w:ind w:left="5103"/>
      <w:jc w:val="left"/>
    </w:pPr>
    <w:rPr>
      <w:rFonts w:eastAsiaTheme="minorHAnsi"/>
      <w:sz w:val="28"/>
      <w:szCs w:val="22"/>
    </w:rPr>
  </w:style>
  <w:style w:type="paragraph" w:customStyle="1" w:styleId="DateMarking">
    <w:name w:val="DateMarking"/>
    <w:basedOn w:val="Normal"/>
    <w:rsid w:val="00C745AE"/>
    <w:pPr>
      <w:spacing w:after="0" w:line="276" w:lineRule="auto"/>
      <w:ind w:left="5103"/>
      <w:jc w:val="left"/>
    </w:pPr>
    <w:rPr>
      <w:rFonts w:eastAsiaTheme="minorHAnsi"/>
      <w:i/>
      <w:sz w:val="28"/>
      <w:szCs w:val="22"/>
    </w:rPr>
  </w:style>
  <w:style w:type="paragraph" w:customStyle="1" w:styleId="ReleasableTo">
    <w:name w:val="ReleasableTo"/>
    <w:basedOn w:val="Normal"/>
    <w:rsid w:val="00C745AE"/>
    <w:pPr>
      <w:spacing w:after="0" w:line="276" w:lineRule="auto"/>
      <w:ind w:left="5103"/>
      <w:jc w:val="left"/>
    </w:pPr>
    <w:rPr>
      <w:rFonts w:eastAsiaTheme="minorHAnsi"/>
      <w:i/>
      <w:sz w:val="28"/>
      <w:szCs w:val="22"/>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Times 10 Point,Exposant 3 Point,EN Footnote Reference,note TESI,Footnotes refss,Fussnota,texto nota a pie,ftref,BVI fnr,Footnote Reference Number,fr,E...,Footnote,N,Знак сноски-FN,callout,vnv"/>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2">
    <w:name w:val="Eurolook Classic Blue 2"/>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3">
    <w:name w:val="Eurolook Classic Blue 3"/>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4">
    <w:name w:val="Eurolook Classic Blue 4"/>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2">
    <w:name w:val="Eurolook Classic Grey 2"/>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pPr>
      <w:spacing w:after="240"/>
    </w:p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style>
  <w:style w:type="table" w:customStyle="1" w:styleId="TableLetterhead">
    <w:name w:val="Table Letterhead"/>
    <w:basedOn w:val="TableNormal"/>
    <w:semiHidden/>
    <w:tblPr/>
  </w:style>
  <w:style w:type="character" w:customStyle="1" w:styleId="normaltextrun">
    <w:name w:val="normaltextrun"/>
    <w:basedOn w:val="DefaultParagraphFont"/>
    <w:rsid w:val="00714D91"/>
  </w:style>
  <w:style w:type="character" w:customStyle="1" w:styleId="eop">
    <w:name w:val="eop"/>
    <w:basedOn w:val="DefaultParagraphFont"/>
    <w:rsid w:val="00714D91"/>
  </w:style>
  <w:style w:type="character" w:customStyle="1" w:styleId="superscript">
    <w:name w:val="superscript"/>
    <w:basedOn w:val="DefaultParagraphFont"/>
    <w:rsid w:val="00BE6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0208">
      <w:bodyDiv w:val="1"/>
      <w:marLeft w:val="0"/>
      <w:marRight w:val="0"/>
      <w:marTop w:val="0"/>
      <w:marBottom w:val="0"/>
      <w:divBdr>
        <w:top w:val="none" w:sz="0" w:space="0" w:color="auto"/>
        <w:left w:val="none" w:sz="0" w:space="0" w:color="auto"/>
        <w:bottom w:val="none" w:sz="0" w:space="0" w:color="auto"/>
        <w:right w:val="none" w:sz="0" w:space="0" w:color="auto"/>
      </w:divBdr>
    </w:div>
    <w:div w:id="34818625">
      <w:bodyDiv w:val="1"/>
      <w:marLeft w:val="0"/>
      <w:marRight w:val="0"/>
      <w:marTop w:val="0"/>
      <w:marBottom w:val="0"/>
      <w:divBdr>
        <w:top w:val="none" w:sz="0" w:space="0" w:color="auto"/>
        <w:left w:val="none" w:sz="0" w:space="0" w:color="auto"/>
        <w:bottom w:val="none" w:sz="0" w:space="0" w:color="auto"/>
        <w:right w:val="none" w:sz="0" w:space="0" w:color="auto"/>
      </w:divBdr>
    </w:div>
    <w:div w:id="42098730">
      <w:bodyDiv w:val="1"/>
      <w:marLeft w:val="0"/>
      <w:marRight w:val="0"/>
      <w:marTop w:val="0"/>
      <w:marBottom w:val="0"/>
      <w:divBdr>
        <w:top w:val="none" w:sz="0" w:space="0" w:color="auto"/>
        <w:left w:val="none" w:sz="0" w:space="0" w:color="auto"/>
        <w:bottom w:val="none" w:sz="0" w:space="0" w:color="auto"/>
        <w:right w:val="none" w:sz="0" w:space="0" w:color="auto"/>
      </w:divBdr>
    </w:div>
    <w:div w:id="44451255">
      <w:bodyDiv w:val="1"/>
      <w:marLeft w:val="0"/>
      <w:marRight w:val="0"/>
      <w:marTop w:val="0"/>
      <w:marBottom w:val="0"/>
      <w:divBdr>
        <w:top w:val="none" w:sz="0" w:space="0" w:color="auto"/>
        <w:left w:val="none" w:sz="0" w:space="0" w:color="auto"/>
        <w:bottom w:val="none" w:sz="0" w:space="0" w:color="auto"/>
        <w:right w:val="none" w:sz="0" w:space="0" w:color="auto"/>
      </w:divBdr>
    </w:div>
    <w:div w:id="45111266">
      <w:bodyDiv w:val="1"/>
      <w:marLeft w:val="0"/>
      <w:marRight w:val="0"/>
      <w:marTop w:val="0"/>
      <w:marBottom w:val="0"/>
      <w:divBdr>
        <w:top w:val="none" w:sz="0" w:space="0" w:color="auto"/>
        <w:left w:val="none" w:sz="0" w:space="0" w:color="auto"/>
        <w:bottom w:val="none" w:sz="0" w:space="0" w:color="auto"/>
        <w:right w:val="none" w:sz="0" w:space="0" w:color="auto"/>
      </w:divBdr>
    </w:div>
    <w:div w:id="69430334">
      <w:bodyDiv w:val="1"/>
      <w:marLeft w:val="0"/>
      <w:marRight w:val="0"/>
      <w:marTop w:val="0"/>
      <w:marBottom w:val="0"/>
      <w:divBdr>
        <w:top w:val="none" w:sz="0" w:space="0" w:color="auto"/>
        <w:left w:val="none" w:sz="0" w:space="0" w:color="auto"/>
        <w:bottom w:val="none" w:sz="0" w:space="0" w:color="auto"/>
        <w:right w:val="none" w:sz="0" w:space="0" w:color="auto"/>
      </w:divBdr>
    </w:div>
    <w:div w:id="77680687">
      <w:bodyDiv w:val="1"/>
      <w:marLeft w:val="0"/>
      <w:marRight w:val="0"/>
      <w:marTop w:val="0"/>
      <w:marBottom w:val="0"/>
      <w:divBdr>
        <w:top w:val="none" w:sz="0" w:space="0" w:color="auto"/>
        <w:left w:val="none" w:sz="0" w:space="0" w:color="auto"/>
        <w:bottom w:val="none" w:sz="0" w:space="0" w:color="auto"/>
        <w:right w:val="none" w:sz="0" w:space="0" w:color="auto"/>
      </w:divBdr>
    </w:div>
    <w:div w:id="78718185">
      <w:bodyDiv w:val="1"/>
      <w:marLeft w:val="0"/>
      <w:marRight w:val="0"/>
      <w:marTop w:val="0"/>
      <w:marBottom w:val="0"/>
      <w:divBdr>
        <w:top w:val="none" w:sz="0" w:space="0" w:color="auto"/>
        <w:left w:val="none" w:sz="0" w:space="0" w:color="auto"/>
        <w:bottom w:val="none" w:sz="0" w:space="0" w:color="auto"/>
        <w:right w:val="none" w:sz="0" w:space="0" w:color="auto"/>
      </w:divBdr>
    </w:div>
    <w:div w:id="139155599">
      <w:bodyDiv w:val="1"/>
      <w:marLeft w:val="0"/>
      <w:marRight w:val="0"/>
      <w:marTop w:val="0"/>
      <w:marBottom w:val="0"/>
      <w:divBdr>
        <w:top w:val="none" w:sz="0" w:space="0" w:color="auto"/>
        <w:left w:val="none" w:sz="0" w:space="0" w:color="auto"/>
        <w:bottom w:val="none" w:sz="0" w:space="0" w:color="auto"/>
        <w:right w:val="none" w:sz="0" w:space="0" w:color="auto"/>
      </w:divBdr>
    </w:div>
    <w:div w:id="147406137">
      <w:bodyDiv w:val="1"/>
      <w:marLeft w:val="0"/>
      <w:marRight w:val="0"/>
      <w:marTop w:val="0"/>
      <w:marBottom w:val="0"/>
      <w:divBdr>
        <w:top w:val="none" w:sz="0" w:space="0" w:color="auto"/>
        <w:left w:val="none" w:sz="0" w:space="0" w:color="auto"/>
        <w:bottom w:val="none" w:sz="0" w:space="0" w:color="auto"/>
        <w:right w:val="none" w:sz="0" w:space="0" w:color="auto"/>
      </w:divBdr>
    </w:div>
    <w:div w:id="165175901">
      <w:bodyDiv w:val="1"/>
      <w:marLeft w:val="0"/>
      <w:marRight w:val="0"/>
      <w:marTop w:val="0"/>
      <w:marBottom w:val="0"/>
      <w:divBdr>
        <w:top w:val="none" w:sz="0" w:space="0" w:color="auto"/>
        <w:left w:val="none" w:sz="0" w:space="0" w:color="auto"/>
        <w:bottom w:val="none" w:sz="0" w:space="0" w:color="auto"/>
        <w:right w:val="none" w:sz="0" w:space="0" w:color="auto"/>
      </w:divBdr>
    </w:div>
    <w:div w:id="176695042">
      <w:bodyDiv w:val="1"/>
      <w:marLeft w:val="0"/>
      <w:marRight w:val="0"/>
      <w:marTop w:val="0"/>
      <w:marBottom w:val="0"/>
      <w:divBdr>
        <w:top w:val="none" w:sz="0" w:space="0" w:color="auto"/>
        <w:left w:val="none" w:sz="0" w:space="0" w:color="auto"/>
        <w:bottom w:val="none" w:sz="0" w:space="0" w:color="auto"/>
        <w:right w:val="none" w:sz="0" w:space="0" w:color="auto"/>
      </w:divBdr>
      <w:divsChild>
        <w:div w:id="50542014">
          <w:marLeft w:val="0"/>
          <w:marRight w:val="0"/>
          <w:marTop w:val="0"/>
          <w:marBottom w:val="0"/>
          <w:divBdr>
            <w:top w:val="none" w:sz="0" w:space="0" w:color="auto"/>
            <w:left w:val="none" w:sz="0" w:space="0" w:color="auto"/>
            <w:bottom w:val="none" w:sz="0" w:space="0" w:color="auto"/>
            <w:right w:val="none" w:sz="0" w:space="0" w:color="auto"/>
          </w:divBdr>
          <w:divsChild>
            <w:div w:id="8102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8157">
      <w:bodyDiv w:val="1"/>
      <w:marLeft w:val="0"/>
      <w:marRight w:val="0"/>
      <w:marTop w:val="0"/>
      <w:marBottom w:val="0"/>
      <w:divBdr>
        <w:top w:val="none" w:sz="0" w:space="0" w:color="auto"/>
        <w:left w:val="none" w:sz="0" w:space="0" w:color="auto"/>
        <w:bottom w:val="none" w:sz="0" w:space="0" w:color="auto"/>
        <w:right w:val="none" w:sz="0" w:space="0" w:color="auto"/>
      </w:divBdr>
    </w:div>
    <w:div w:id="281956537">
      <w:bodyDiv w:val="1"/>
      <w:marLeft w:val="0"/>
      <w:marRight w:val="0"/>
      <w:marTop w:val="0"/>
      <w:marBottom w:val="0"/>
      <w:divBdr>
        <w:top w:val="none" w:sz="0" w:space="0" w:color="auto"/>
        <w:left w:val="none" w:sz="0" w:space="0" w:color="auto"/>
        <w:bottom w:val="none" w:sz="0" w:space="0" w:color="auto"/>
        <w:right w:val="none" w:sz="0" w:space="0" w:color="auto"/>
      </w:divBdr>
    </w:div>
    <w:div w:id="319427052">
      <w:bodyDiv w:val="1"/>
      <w:marLeft w:val="0"/>
      <w:marRight w:val="0"/>
      <w:marTop w:val="0"/>
      <w:marBottom w:val="0"/>
      <w:divBdr>
        <w:top w:val="none" w:sz="0" w:space="0" w:color="auto"/>
        <w:left w:val="none" w:sz="0" w:space="0" w:color="auto"/>
        <w:bottom w:val="none" w:sz="0" w:space="0" w:color="auto"/>
        <w:right w:val="none" w:sz="0" w:space="0" w:color="auto"/>
      </w:divBdr>
    </w:div>
    <w:div w:id="320890015">
      <w:bodyDiv w:val="1"/>
      <w:marLeft w:val="0"/>
      <w:marRight w:val="0"/>
      <w:marTop w:val="0"/>
      <w:marBottom w:val="0"/>
      <w:divBdr>
        <w:top w:val="none" w:sz="0" w:space="0" w:color="auto"/>
        <w:left w:val="none" w:sz="0" w:space="0" w:color="auto"/>
        <w:bottom w:val="none" w:sz="0" w:space="0" w:color="auto"/>
        <w:right w:val="none" w:sz="0" w:space="0" w:color="auto"/>
      </w:divBdr>
    </w:div>
    <w:div w:id="335812826">
      <w:bodyDiv w:val="1"/>
      <w:marLeft w:val="0"/>
      <w:marRight w:val="0"/>
      <w:marTop w:val="0"/>
      <w:marBottom w:val="0"/>
      <w:divBdr>
        <w:top w:val="none" w:sz="0" w:space="0" w:color="auto"/>
        <w:left w:val="none" w:sz="0" w:space="0" w:color="auto"/>
        <w:bottom w:val="none" w:sz="0" w:space="0" w:color="auto"/>
        <w:right w:val="none" w:sz="0" w:space="0" w:color="auto"/>
      </w:divBdr>
    </w:div>
    <w:div w:id="346566822">
      <w:bodyDiv w:val="1"/>
      <w:marLeft w:val="0"/>
      <w:marRight w:val="0"/>
      <w:marTop w:val="0"/>
      <w:marBottom w:val="0"/>
      <w:divBdr>
        <w:top w:val="none" w:sz="0" w:space="0" w:color="auto"/>
        <w:left w:val="none" w:sz="0" w:space="0" w:color="auto"/>
        <w:bottom w:val="none" w:sz="0" w:space="0" w:color="auto"/>
        <w:right w:val="none" w:sz="0" w:space="0" w:color="auto"/>
      </w:divBdr>
    </w:div>
    <w:div w:id="379133519">
      <w:bodyDiv w:val="1"/>
      <w:marLeft w:val="0"/>
      <w:marRight w:val="0"/>
      <w:marTop w:val="0"/>
      <w:marBottom w:val="0"/>
      <w:divBdr>
        <w:top w:val="none" w:sz="0" w:space="0" w:color="auto"/>
        <w:left w:val="none" w:sz="0" w:space="0" w:color="auto"/>
        <w:bottom w:val="none" w:sz="0" w:space="0" w:color="auto"/>
        <w:right w:val="none" w:sz="0" w:space="0" w:color="auto"/>
      </w:divBdr>
    </w:div>
    <w:div w:id="382871108">
      <w:bodyDiv w:val="1"/>
      <w:marLeft w:val="0"/>
      <w:marRight w:val="0"/>
      <w:marTop w:val="0"/>
      <w:marBottom w:val="0"/>
      <w:divBdr>
        <w:top w:val="none" w:sz="0" w:space="0" w:color="auto"/>
        <w:left w:val="none" w:sz="0" w:space="0" w:color="auto"/>
        <w:bottom w:val="none" w:sz="0" w:space="0" w:color="auto"/>
        <w:right w:val="none" w:sz="0" w:space="0" w:color="auto"/>
      </w:divBdr>
    </w:div>
    <w:div w:id="383910349">
      <w:bodyDiv w:val="1"/>
      <w:marLeft w:val="0"/>
      <w:marRight w:val="0"/>
      <w:marTop w:val="0"/>
      <w:marBottom w:val="0"/>
      <w:divBdr>
        <w:top w:val="none" w:sz="0" w:space="0" w:color="auto"/>
        <w:left w:val="none" w:sz="0" w:space="0" w:color="auto"/>
        <w:bottom w:val="none" w:sz="0" w:space="0" w:color="auto"/>
        <w:right w:val="none" w:sz="0" w:space="0" w:color="auto"/>
      </w:divBdr>
      <w:divsChild>
        <w:div w:id="1451513538">
          <w:marLeft w:val="0"/>
          <w:marRight w:val="0"/>
          <w:marTop w:val="0"/>
          <w:marBottom w:val="0"/>
          <w:divBdr>
            <w:top w:val="none" w:sz="0" w:space="0" w:color="auto"/>
            <w:left w:val="none" w:sz="0" w:space="0" w:color="auto"/>
            <w:bottom w:val="none" w:sz="0" w:space="0" w:color="auto"/>
            <w:right w:val="none" w:sz="0" w:space="0" w:color="auto"/>
          </w:divBdr>
          <w:divsChild>
            <w:div w:id="5576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3334">
      <w:bodyDiv w:val="1"/>
      <w:marLeft w:val="0"/>
      <w:marRight w:val="0"/>
      <w:marTop w:val="0"/>
      <w:marBottom w:val="0"/>
      <w:divBdr>
        <w:top w:val="none" w:sz="0" w:space="0" w:color="auto"/>
        <w:left w:val="none" w:sz="0" w:space="0" w:color="auto"/>
        <w:bottom w:val="none" w:sz="0" w:space="0" w:color="auto"/>
        <w:right w:val="none" w:sz="0" w:space="0" w:color="auto"/>
      </w:divBdr>
    </w:div>
    <w:div w:id="405422491">
      <w:bodyDiv w:val="1"/>
      <w:marLeft w:val="0"/>
      <w:marRight w:val="0"/>
      <w:marTop w:val="0"/>
      <w:marBottom w:val="0"/>
      <w:divBdr>
        <w:top w:val="none" w:sz="0" w:space="0" w:color="auto"/>
        <w:left w:val="none" w:sz="0" w:space="0" w:color="auto"/>
        <w:bottom w:val="none" w:sz="0" w:space="0" w:color="auto"/>
        <w:right w:val="none" w:sz="0" w:space="0" w:color="auto"/>
      </w:divBdr>
    </w:div>
    <w:div w:id="469638972">
      <w:bodyDiv w:val="1"/>
      <w:marLeft w:val="0"/>
      <w:marRight w:val="0"/>
      <w:marTop w:val="0"/>
      <w:marBottom w:val="0"/>
      <w:divBdr>
        <w:top w:val="none" w:sz="0" w:space="0" w:color="auto"/>
        <w:left w:val="none" w:sz="0" w:space="0" w:color="auto"/>
        <w:bottom w:val="none" w:sz="0" w:space="0" w:color="auto"/>
        <w:right w:val="none" w:sz="0" w:space="0" w:color="auto"/>
      </w:divBdr>
    </w:div>
    <w:div w:id="494344769">
      <w:bodyDiv w:val="1"/>
      <w:marLeft w:val="0"/>
      <w:marRight w:val="0"/>
      <w:marTop w:val="0"/>
      <w:marBottom w:val="0"/>
      <w:divBdr>
        <w:top w:val="none" w:sz="0" w:space="0" w:color="auto"/>
        <w:left w:val="none" w:sz="0" w:space="0" w:color="auto"/>
        <w:bottom w:val="none" w:sz="0" w:space="0" w:color="auto"/>
        <w:right w:val="none" w:sz="0" w:space="0" w:color="auto"/>
      </w:divBdr>
    </w:div>
    <w:div w:id="512652247">
      <w:bodyDiv w:val="1"/>
      <w:marLeft w:val="0"/>
      <w:marRight w:val="0"/>
      <w:marTop w:val="0"/>
      <w:marBottom w:val="0"/>
      <w:divBdr>
        <w:top w:val="none" w:sz="0" w:space="0" w:color="auto"/>
        <w:left w:val="none" w:sz="0" w:space="0" w:color="auto"/>
        <w:bottom w:val="none" w:sz="0" w:space="0" w:color="auto"/>
        <w:right w:val="none" w:sz="0" w:space="0" w:color="auto"/>
      </w:divBdr>
    </w:div>
    <w:div w:id="516623915">
      <w:bodyDiv w:val="1"/>
      <w:marLeft w:val="0"/>
      <w:marRight w:val="0"/>
      <w:marTop w:val="0"/>
      <w:marBottom w:val="0"/>
      <w:divBdr>
        <w:top w:val="none" w:sz="0" w:space="0" w:color="auto"/>
        <w:left w:val="none" w:sz="0" w:space="0" w:color="auto"/>
        <w:bottom w:val="none" w:sz="0" w:space="0" w:color="auto"/>
        <w:right w:val="none" w:sz="0" w:space="0" w:color="auto"/>
      </w:divBdr>
    </w:div>
    <w:div w:id="521747081">
      <w:bodyDiv w:val="1"/>
      <w:marLeft w:val="0"/>
      <w:marRight w:val="0"/>
      <w:marTop w:val="0"/>
      <w:marBottom w:val="0"/>
      <w:divBdr>
        <w:top w:val="none" w:sz="0" w:space="0" w:color="auto"/>
        <w:left w:val="none" w:sz="0" w:space="0" w:color="auto"/>
        <w:bottom w:val="none" w:sz="0" w:space="0" w:color="auto"/>
        <w:right w:val="none" w:sz="0" w:space="0" w:color="auto"/>
      </w:divBdr>
    </w:div>
    <w:div w:id="534121137">
      <w:bodyDiv w:val="1"/>
      <w:marLeft w:val="0"/>
      <w:marRight w:val="0"/>
      <w:marTop w:val="0"/>
      <w:marBottom w:val="0"/>
      <w:divBdr>
        <w:top w:val="none" w:sz="0" w:space="0" w:color="auto"/>
        <w:left w:val="none" w:sz="0" w:space="0" w:color="auto"/>
        <w:bottom w:val="none" w:sz="0" w:space="0" w:color="auto"/>
        <w:right w:val="none" w:sz="0" w:space="0" w:color="auto"/>
      </w:divBdr>
    </w:div>
    <w:div w:id="581642863">
      <w:bodyDiv w:val="1"/>
      <w:marLeft w:val="0"/>
      <w:marRight w:val="0"/>
      <w:marTop w:val="0"/>
      <w:marBottom w:val="0"/>
      <w:divBdr>
        <w:top w:val="none" w:sz="0" w:space="0" w:color="auto"/>
        <w:left w:val="none" w:sz="0" w:space="0" w:color="auto"/>
        <w:bottom w:val="none" w:sz="0" w:space="0" w:color="auto"/>
        <w:right w:val="none" w:sz="0" w:space="0" w:color="auto"/>
      </w:divBdr>
    </w:div>
    <w:div w:id="582033976">
      <w:bodyDiv w:val="1"/>
      <w:marLeft w:val="0"/>
      <w:marRight w:val="0"/>
      <w:marTop w:val="0"/>
      <w:marBottom w:val="0"/>
      <w:divBdr>
        <w:top w:val="none" w:sz="0" w:space="0" w:color="auto"/>
        <w:left w:val="none" w:sz="0" w:space="0" w:color="auto"/>
        <w:bottom w:val="none" w:sz="0" w:space="0" w:color="auto"/>
        <w:right w:val="none" w:sz="0" w:space="0" w:color="auto"/>
      </w:divBdr>
    </w:div>
    <w:div w:id="582955573">
      <w:bodyDiv w:val="1"/>
      <w:marLeft w:val="0"/>
      <w:marRight w:val="0"/>
      <w:marTop w:val="0"/>
      <w:marBottom w:val="0"/>
      <w:divBdr>
        <w:top w:val="none" w:sz="0" w:space="0" w:color="auto"/>
        <w:left w:val="none" w:sz="0" w:space="0" w:color="auto"/>
        <w:bottom w:val="none" w:sz="0" w:space="0" w:color="auto"/>
        <w:right w:val="none" w:sz="0" w:space="0" w:color="auto"/>
      </w:divBdr>
    </w:div>
    <w:div w:id="597451465">
      <w:bodyDiv w:val="1"/>
      <w:marLeft w:val="0"/>
      <w:marRight w:val="0"/>
      <w:marTop w:val="0"/>
      <w:marBottom w:val="0"/>
      <w:divBdr>
        <w:top w:val="none" w:sz="0" w:space="0" w:color="auto"/>
        <w:left w:val="none" w:sz="0" w:space="0" w:color="auto"/>
        <w:bottom w:val="none" w:sz="0" w:space="0" w:color="auto"/>
        <w:right w:val="none" w:sz="0" w:space="0" w:color="auto"/>
      </w:divBdr>
    </w:div>
    <w:div w:id="637223711">
      <w:bodyDiv w:val="1"/>
      <w:marLeft w:val="0"/>
      <w:marRight w:val="0"/>
      <w:marTop w:val="0"/>
      <w:marBottom w:val="0"/>
      <w:divBdr>
        <w:top w:val="none" w:sz="0" w:space="0" w:color="auto"/>
        <w:left w:val="none" w:sz="0" w:space="0" w:color="auto"/>
        <w:bottom w:val="none" w:sz="0" w:space="0" w:color="auto"/>
        <w:right w:val="none" w:sz="0" w:space="0" w:color="auto"/>
      </w:divBdr>
    </w:div>
    <w:div w:id="645862317">
      <w:bodyDiv w:val="1"/>
      <w:marLeft w:val="0"/>
      <w:marRight w:val="0"/>
      <w:marTop w:val="0"/>
      <w:marBottom w:val="0"/>
      <w:divBdr>
        <w:top w:val="none" w:sz="0" w:space="0" w:color="auto"/>
        <w:left w:val="none" w:sz="0" w:space="0" w:color="auto"/>
        <w:bottom w:val="none" w:sz="0" w:space="0" w:color="auto"/>
        <w:right w:val="none" w:sz="0" w:space="0" w:color="auto"/>
      </w:divBdr>
    </w:div>
    <w:div w:id="660239216">
      <w:bodyDiv w:val="1"/>
      <w:marLeft w:val="0"/>
      <w:marRight w:val="0"/>
      <w:marTop w:val="0"/>
      <w:marBottom w:val="0"/>
      <w:divBdr>
        <w:top w:val="none" w:sz="0" w:space="0" w:color="auto"/>
        <w:left w:val="none" w:sz="0" w:space="0" w:color="auto"/>
        <w:bottom w:val="none" w:sz="0" w:space="0" w:color="auto"/>
        <w:right w:val="none" w:sz="0" w:space="0" w:color="auto"/>
      </w:divBdr>
    </w:div>
    <w:div w:id="684405511">
      <w:bodyDiv w:val="1"/>
      <w:marLeft w:val="0"/>
      <w:marRight w:val="0"/>
      <w:marTop w:val="0"/>
      <w:marBottom w:val="0"/>
      <w:divBdr>
        <w:top w:val="none" w:sz="0" w:space="0" w:color="auto"/>
        <w:left w:val="none" w:sz="0" w:space="0" w:color="auto"/>
        <w:bottom w:val="none" w:sz="0" w:space="0" w:color="auto"/>
        <w:right w:val="none" w:sz="0" w:space="0" w:color="auto"/>
      </w:divBdr>
    </w:div>
    <w:div w:id="705905537">
      <w:bodyDiv w:val="1"/>
      <w:marLeft w:val="0"/>
      <w:marRight w:val="0"/>
      <w:marTop w:val="0"/>
      <w:marBottom w:val="0"/>
      <w:divBdr>
        <w:top w:val="none" w:sz="0" w:space="0" w:color="auto"/>
        <w:left w:val="none" w:sz="0" w:space="0" w:color="auto"/>
        <w:bottom w:val="none" w:sz="0" w:space="0" w:color="auto"/>
        <w:right w:val="none" w:sz="0" w:space="0" w:color="auto"/>
      </w:divBdr>
    </w:div>
    <w:div w:id="713314250">
      <w:bodyDiv w:val="1"/>
      <w:marLeft w:val="0"/>
      <w:marRight w:val="0"/>
      <w:marTop w:val="0"/>
      <w:marBottom w:val="0"/>
      <w:divBdr>
        <w:top w:val="none" w:sz="0" w:space="0" w:color="auto"/>
        <w:left w:val="none" w:sz="0" w:space="0" w:color="auto"/>
        <w:bottom w:val="none" w:sz="0" w:space="0" w:color="auto"/>
        <w:right w:val="none" w:sz="0" w:space="0" w:color="auto"/>
      </w:divBdr>
    </w:div>
    <w:div w:id="713388295">
      <w:bodyDiv w:val="1"/>
      <w:marLeft w:val="0"/>
      <w:marRight w:val="0"/>
      <w:marTop w:val="0"/>
      <w:marBottom w:val="0"/>
      <w:divBdr>
        <w:top w:val="none" w:sz="0" w:space="0" w:color="auto"/>
        <w:left w:val="none" w:sz="0" w:space="0" w:color="auto"/>
        <w:bottom w:val="none" w:sz="0" w:space="0" w:color="auto"/>
        <w:right w:val="none" w:sz="0" w:space="0" w:color="auto"/>
      </w:divBdr>
    </w:div>
    <w:div w:id="721631824">
      <w:bodyDiv w:val="1"/>
      <w:marLeft w:val="0"/>
      <w:marRight w:val="0"/>
      <w:marTop w:val="0"/>
      <w:marBottom w:val="0"/>
      <w:divBdr>
        <w:top w:val="none" w:sz="0" w:space="0" w:color="auto"/>
        <w:left w:val="none" w:sz="0" w:space="0" w:color="auto"/>
        <w:bottom w:val="none" w:sz="0" w:space="0" w:color="auto"/>
        <w:right w:val="none" w:sz="0" w:space="0" w:color="auto"/>
      </w:divBdr>
    </w:div>
    <w:div w:id="744454828">
      <w:bodyDiv w:val="1"/>
      <w:marLeft w:val="0"/>
      <w:marRight w:val="0"/>
      <w:marTop w:val="0"/>
      <w:marBottom w:val="0"/>
      <w:divBdr>
        <w:top w:val="none" w:sz="0" w:space="0" w:color="auto"/>
        <w:left w:val="none" w:sz="0" w:space="0" w:color="auto"/>
        <w:bottom w:val="none" w:sz="0" w:space="0" w:color="auto"/>
        <w:right w:val="none" w:sz="0" w:space="0" w:color="auto"/>
      </w:divBdr>
    </w:div>
    <w:div w:id="766732543">
      <w:bodyDiv w:val="1"/>
      <w:marLeft w:val="0"/>
      <w:marRight w:val="0"/>
      <w:marTop w:val="0"/>
      <w:marBottom w:val="0"/>
      <w:divBdr>
        <w:top w:val="none" w:sz="0" w:space="0" w:color="auto"/>
        <w:left w:val="none" w:sz="0" w:space="0" w:color="auto"/>
        <w:bottom w:val="none" w:sz="0" w:space="0" w:color="auto"/>
        <w:right w:val="none" w:sz="0" w:space="0" w:color="auto"/>
      </w:divBdr>
    </w:div>
    <w:div w:id="788741350">
      <w:bodyDiv w:val="1"/>
      <w:marLeft w:val="0"/>
      <w:marRight w:val="0"/>
      <w:marTop w:val="0"/>
      <w:marBottom w:val="0"/>
      <w:divBdr>
        <w:top w:val="none" w:sz="0" w:space="0" w:color="auto"/>
        <w:left w:val="none" w:sz="0" w:space="0" w:color="auto"/>
        <w:bottom w:val="none" w:sz="0" w:space="0" w:color="auto"/>
        <w:right w:val="none" w:sz="0" w:space="0" w:color="auto"/>
      </w:divBdr>
    </w:div>
    <w:div w:id="791244567">
      <w:bodyDiv w:val="1"/>
      <w:marLeft w:val="0"/>
      <w:marRight w:val="0"/>
      <w:marTop w:val="0"/>
      <w:marBottom w:val="0"/>
      <w:divBdr>
        <w:top w:val="none" w:sz="0" w:space="0" w:color="auto"/>
        <w:left w:val="none" w:sz="0" w:space="0" w:color="auto"/>
        <w:bottom w:val="none" w:sz="0" w:space="0" w:color="auto"/>
        <w:right w:val="none" w:sz="0" w:space="0" w:color="auto"/>
      </w:divBdr>
    </w:div>
    <w:div w:id="793906612">
      <w:bodyDiv w:val="1"/>
      <w:marLeft w:val="0"/>
      <w:marRight w:val="0"/>
      <w:marTop w:val="0"/>
      <w:marBottom w:val="0"/>
      <w:divBdr>
        <w:top w:val="none" w:sz="0" w:space="0" w:color="auto"/>
        <w:left w:val="none" w:sz="0" w:space="0" w:color="auto"/>
        <w:bottom w:val="none" w:sz="0" w:space="0" w:color="auto"/>
        <w:right w:val="none" w:sz="0" w:space="0" w:color="auto"/>
      </w:divBdr>
    </w:div>
    <w:div w:id="798769274">
      <w:bodyDiv w:val="1"/>
      <w:marLeft w:val="0"/>
      <w:marRight w:val="0"/>
      <w:marTop w:val="0"/>
      <w:marBottom w:val="0"/>
      <w:divBdr>
        <w:top w:val="none" w:sz="0" w:space="0" w:color="auto"/>
        <w:left w:val="none" w:sz="0" w:space="0" w:color="auto"/>
        <w:bottom w:val="none" w:sz="0" w:space="0" w:color="auto"/>
        <w:right w:val="none" w:sz="0" w:space="0" w:color="auto"/>
      </w:divBdr>
    </w:div>
    <w:div w:id="832725504">
      <w:bodyDiv w:val="1"/>
      <w:marLeft w:val="0"/>
      <w:marRight w:val="0"/>
      <w:marTop w:val="0"/>
      <w:marBottom w:val="0"/>
      <w:divBdr>
        <w:top w:val="none" w:sz="0" w:space="0" w:color="auto"/>
        <w:left w:val="none" w:sz="0" w:space="0" w:color="auto"/>
        <w:bottom w:val="none" w:sz="0" w:space="0" w:color="auto"/>
        <w:right w:val="none" w:sz="0" w:space="0" w:color="auto"/>
      </w:divBdr>
    </w:div>
    <w:div w:id="842622888">
      <w:bodyDiv w:val="1"/>
      <w:marLeft w:val="0"/>
      <w:marRight w:val="0"/>
      <w:marTop w:val="0"/>
      <w:marBottom w:val="0"/>
      <w:divBdr>
        <w:top w:val="none" w:sz="0" w:space="0" w:color="auto"/>
        <w:left w:val="none" w:sz="0" w:space="0" w:color="auto"/>
        <w:bottom w:val="none" w:sz="0" w:space="0" w:color="auto"/>
        <w:right w:val="none" w:sz="0" w:space="0" w:color="auto"/>
      </w:divBdr>
    </w:div>
    <w:div w:id="843206289">
      <w:bodyDiv w:val="1"/>
      <w:marLeft w:val="0"/>
      <w:marRight w:val="0"/>
      <w:marTop w:val="0"/>
      <w:marBottom w:val="0"/>
      <w:divBdr>
        <w:top w:val="none" w:sz="0" w:space="0" w:color="auto"/>
        <w:left w:val="none" w:sz="0" w:space="0" w:color="auto"/>
        <w:bottom w:val="none" w:sz="0" w:space="0" w:color="auto"/>
        <w:right w:val="none" w:sz="0" w:space="0" w:color="auto"/>
      </w:divBdr>
    </w:div>
    <w:div w:id="850798034">
      <w:bodyDiv w:val="1"/>
      <w:marLeft w:val="0"/>
      <w:marRight w:val="0"/>
      <w:marTop w:val="0"/>
      <w:marBottom w:val="0"/>
      <w:divBdr>
        <w:top w:val="none" w:sz="0" w:space="0" w:color="auto"/>
        <w:left w:val="none" w:sz="0" w:space="0" w:color="auto"/>
        <w:bottom w:val="none" w:sz="0" w:space="0" w:color="auto"/>
        <w:right w:val="none" w:sz="0" w:space="0" w:color="auto"/>
      </w:divBdr>
    </w:div>
    <w:div w:id="851070700">
      <w:bodyDiv w:val="1"/>
      <w:marLeft w:val="0"/>
      <w:marRight w:val="0"/>
      <w:marTop w:val="0"/>
      <w:marBottom w:val="0"/>
      <w:divBdr>
        <w:top w:val="none" w:sz="0" w:space="0" w:color="auto"/>
        <w:left w:val="none" w:sz="0" w:space="0" w:color="auto"/>
        <w:bottom w:val="none" w:sz="0" w:space="0" w:color="auto"/>
        <w:right w:val="none" w:sz="0" w:space="0" w:color="auto"/>
      </w:divBdr>
    </w:div>
    <w:div w:id="851534111">
      <w:bodyDiv w:val="1"/>
      <w:marLeft w:val="0"/>
      <w:marRight w:val="0"/>
      <w:marTop w:val="0"/>
      <w:marBottom w:val="0"/>
      <w:divBdr>
        <w:top w:val="none" w:sz="0" w:space="0" w:color="auto"/>
        <w:left w:val="none" w:sz="0" w:space="0" w:color="auto"/>
        <w:bottom w:val="none" w:sz="0" w:space="0" w:color="auto"/>
        <w:right w:val="none" w:sz="0" w:space="0" w:color="auto"/>
      </w:divBdr>
    </w:div>
    <w:div w:id="867645868">
      <w:bodyDiv w:val="1"/>
      <w:marLeft w:val="0"/>
      <w:marRight w:val="0"/>
      <w:marTop w:val="0"/>
      <w:marBottom w:val="0"/>
      <w:divBdr>
        <w:top w:val="none" w:sz="0" w:space="0" w:color="auto"/>
        <w:left w:val="none" w:sz="0" w:space="0" w:color="auto"/>
        <w:bottom w:val="none" w:sz="0" w:space="0" w:color="auto"/>
        <w:right w:val="none" w:sz="0" w:space="0" w:color="auto"/>
      </w:divBdr>
    </w:div>
    <w:div w:id="869412191">
      <w:bodyDiv w:val="1"/>
      <w:marLeft w:val="0"/>
      <w:marRight w:val="0"/>
      <w:marTop w:val="0"/>
      <w:marBottom w:val="0"/>
      <w:divBdr>
        <w:top w:val="none" w:sz="0" w:space="0" w:color="auto"/>
        <w:left w:val="none" w:sz="0" w:space="0" w:color="auto"/>
        <w:bottom w:val="none" w:sz="0" w:space="0" w:color="auto"/>
        <w:right w:val="none" w:sz="0" w:space="0" w:color="auto"/>
      </w:divBdr>
    </w:div>
    <w:div w:id="886183130">
      <w:bodyDiv w:val="1"/>
      <w:marLeft w:val="0"/>
      <w:marRight w:val="0"/>
      <w:marTop w:val="0"/>
      <w:marBottom w:val="0"/>
      <w:divBdr>
        <w:top w:val="none" w:sz="0" w:space="0" w:color="auto"/>
        <w:left w:val="none" w:sz="0" w:space="0" w:color="auto"/>
        <w:bottom w:val="none" w:sz="0" w:space="0" w:color="auto"/>
        <w:right w:val="none" w:sz="0" w:space="0" w:color="auto"/>
      </w:divBdr>
    </w:div>
    <w:div w:id="886188682">
      <w:bodyDiv w:val="1"/>
      <w:marLeft w:val="0"/>
      <w:marRight w:val="0"/>
      <w:marTop w:val="0"/>
      <w:marBottom w:val="0"/>
      <w:divBdr>
        <w:top w:val="none" w:sz="0" w:space="0" w:color="auto"/>
        <w:left w:val="none" w:sz="0" w:space="0" w:color="auto"/>
        <w:bottom w:val="none" w:sz="0" w:space="0" w:color="auto"/>
        <w:right w:val="none" w:sz="0" w:space="0" w:color="auto"/>
      </w:divBdr>
    </w:div>
    <w:div w:id="888221016">
      <w:bodyDiv w:val="1"/>
      <w:marLeft w:val="0"/>
      <w:marRight w:val="0"/>
      <w:marTop w:val="0"/>
      <w:marBottom w:val="0"/>
      <w:divBdr>
        <w:top w:val="none" w:sz="0" w:space="0" w:color="auto"/>
        <w:left w:val="none" w:sz="0" w:space="0" w:color="auto"/>
        <w:bottom w:val="none" w:sz="0" w:space="0" w:color="auto"/>
        <w:right w:val="none" w:sz="0" w:space="0" w:color="auto"/>
      </w:divBdr>
    </w:div>
    <w:div w:id="907031040">
      <w:bodyDiv w:val="1"/>
      <w:marLeft w:val="0"/>
      <w:marRight w:val="0"/>
      <w:marTop w:val="0"/>
      <w:marBottom w:val="0"/>
      <w:divBdr>
        <w:top w:val="none" w:sz="0" w:space="0" w:color="auto"/>
        <w:left w:val="none" w:sz="0" w:space="0" w:color="auto"/>
        <w:bottom w:val="none" w:sz="0" w:space="0" w:color="auto"/>
        <w:right w:val="none" w:sz="0" w:space="0" w:color="auto"/>
      </w:divBdr>
    </w:div>
    <w:div w:id="907618113">
      <w:bodyDiv w:val="1"/>
      <w:marLeft w:val="0"/>
      <w:marRight w:val="0"/>
      <w:marTop w:val="0"/>
      <w:marBottom w:val="0"/>
      <w:divBdr>
        <w:top w:val="none" w:sz="0" w:space="0" w:color="auto"/>
        <w:left w:val="none" w:sz="0" w:space="0" w:color="auto"/>
        <w:bottom w:val="none" w:sz="0" w:space="0" w:color="auto"/>
        <w:right w:val="none" w:sz="0" w:space="0" w:color="auto"/>
      </w:divBdr>
    </w:div>
    <w:div w:id="913005341">
      <w:bodyDiv w:val="1"/>
      <w:marLeft w:val="0"/>
      <w:marRight w:val="0"/>
      <w:marTop w:val="0"/>
      <w:marBottom w:val="0"/>
      <w:divBdr>
        <w:top w:val="none" w:sz="0" w:space="0" w:color="auto"/>
        <w:left w:val="none" w:sz="0" w:space="0" w:color="auto"/>
        <w:bottom w:val="none" w:sz="0" w:space="0" w:color="auto"/>
        <w:right w:val="none" w:sz="0" w:space="0" w:color="auto"/>
      </w:divBdr>
    </w:div>
    <w:div w:id="961612029">
      <w:bodyDiv w:val="1"/>
      <w:marLeft w:val="0"/>
      <w:marRight w:val="0"/>
      <w:marTop w:val="0"/>
      <w:marBottom w:val="0"/>
      <w:divBdr>
        <w:top w:val="none" w:sz="0" w:space="0" w:color="auto"/>
        <w:left w:val="none" w:sz="0" w:space="0" w:color="auto"/>
        <w:bottom w:val="none" w:sz="0" w:space="0" w:color="auto"/>
        <w:right w:val="none" w:sz="0" w:space="0" w:color="auto"/>
      </w:divBdr>
    </w:div>
    <w:div w:id="965234032">
      <w:bodyDiv w:val="1"/>
      <w:marLeft w:val="0"/>
      <w:marRight w:val="0"/>
      <w:marTop w:val="0"/>
      <w:marBottom w:val="0"/>
      <w:divBdr>
        <w:top w:val="none" w:sz="0" w:space="0" w:color="auto"/>
        <w:left w:val="none" w:sz="0" w:space="0" w:color="auto"/>
        <w:bottom w:val="none" w:sz="0" w:space="0" w:color="auto"/>
        <w:right w:val="none" w:sz="0" w:space="0" w:color="auto"/>
      </w:divBdr>
    </w:div>
    <w:div w:id="967200711">
      <w:bodyDiv w:val="1"/>
      <w:marLeft w:val="0"/>
      <w:marRight w:val="0"/>
      <w:marTop w:val="0"/>
      <w:marBottom w:val="0"/>
      <w:divBdr>
        <w:top w:val="none" w:sz="0" w:space="0" w:color="auto"/>
        <w:left w:val="none" w:sz="0" w:space="0" w:color="auto"/>
        <w:bottom w:val="none" w:sz="0" w:space="0" w:color="auto"/>
        <w:right w:val="none" w:sz="0" w:space="0" w:color="auto"/>
      </w:divBdr>
      <w:divsChild>
        <w:div w:id="271909385">
          <w:marLeft w:val="0"/>
          <w:marRight w:val="0"/>
          <w:marTop w:val="0"/>
          <w:marBottom w:val="0"/>
          <w:divBdr>
            <w:top w:val="none" w:sz="0" w:space="0" w:color="auto"/>
            <w:left w:val="none" w:sz="0" w:space="0" w:color="auto"/>
            <w:bottom w:val="none" w:sz="0" w:space="0" w:color="auto"/>
            <w:right w:val="none" w:sz="0" w:space="0" w:color="auto"/>
          </w:divBdr>
        </w:div>
        <w:div w:id="468323187">
          <w:marLeft w:val="0"/>
          <w:marRight w:val="0"/>
          <w:marTop w:val="0"/>
          <w:marBottom w:val="0"/>
          <w:divBdr>
            <w:top w:val="none" w:sz="0" w:space="0" w:color="auto"/>
            <w:left w:val="none" w:sz="0" w:space="0" w:color="auto"/>
            <w:bottom w:val="none" w:sz="0" w:space="0" w:color="auto"/>
            <w:right w:val="none" w:sz="0" w:space="0" w:color="auto"/>
          </w:divBdr>
        </w:div>
      </w:divsChild>
    </w:div>
    <w:div w:id="989480756">
      <w:bodyDiv w:val="1"/>
      <w:marLeft w:val="0"/>
      <w:marRight w:val="0"/>
      <w:marTop w:val="0"/>
      <w:marBottom w:val="0"/>
      <w:divBdr>
        <w:top w:val="none" w:sz="0" w:space="0" w:color="auto"/>
        <w:left w:val="none" w:sz="0" w:space="0" w:color="auto"/>
        <w:bottom w:val="none" w:sz="0" w:space="0" w:color="auto"/>
        <w:right w:val="none" w:sz="0" w:space="0" w:color="auto"/>
      </w:divBdr>
    </w:div>
    <w:div w:id="1004892722">
      <w:bodyDiv w:val="1"/>
      <w:marLeft w:val="0"/>
      <w:marRight w:val="0"/>
      <w:marTop w:val="0"/>
      <w:marBottom w:val="0"/>
      <w:divBdr>
        <w:top w:val="none" w:sz="0" w:space="0" w:color="auto"/>
        <w:left w:val="none" w:sz="0" w:space="0" w:color="auto"/>
        <w:bottom w:val="none" w:sz="0" w:space="0" w:color="auto"/>
        <w:right w:val="none" w:sz="0" w:space="0" w:color="auto"/>
      </w:divBdr>
    </w:div>
    <w:div w:id="1010639117">
      <w:bodyDiv w:val="1"/>
      <w:marLeft w:val="0"/>
      <w:marRight w:val="0"/>
      <w:marTop w:val="0"/>
      <w:marBottom w:val="0"/>
      <w:divBdr>
        <w:top w:val="none" w:sz="0" w:space="0" w:color="auto"/>
        <w:left w:val="none" w:sz="0" w:space="0" w:color="auto"/>
        <w:bottom w:val="none" w:sz="0" w:space="0" w:color="auto"/>
        <w:right w:val="none" w:sz="0" w:space="0" w:color="auto"/>
      </w:divBdr>
    </w:div>
    <w:div w:id="1050180393">
      <w:bodyDiv w:val="1"/>
      <w:marLeft w:val="0"/>
      <w:marRight w:val="0"/>
      <w:marTop w:val="0"/>
      <w:marBottom w:val="0"/>
      <w:divBdr>
        <w:top w:val="none" w:sz="0" w:space="0" w:color="auto"/>
        <w:left w:val="none" w:sz="0" w:space="0" w:color="auto"/>
        <w:bottom w:val="none" w:sz="0" w:space="0" w:color="auto"/>
        <w:right w:val="none" w:sz="0" w:space="0" w:color="auto"/>
      </w:divBdr>
    </w:div>
    <w:div w:id="1051154645">
      <w:bodyDiv w:val="1"/>
      <w:marLeft w:val="0"/>
      <w:marRight w:val="0"/>
      <w:marTop w:val="0"/>
      <w:marBottom w:val="0"/>
      <w:divBdr>
        <w:top w:val="none" w:sz="0" w:space="0" w:color="auto"/>
        <w:left w:val="none" w:sz="0" w:space="0" w:color="auto"/>
        <w:bottom w:val="none" w:sz="0" w:space="0" w:color="auto"/>
        <w:right w:val="none" w:sz="0" w:space="0" w:color="auto"/>
      </w:divBdr>
    </w:div>
    <w:div w:id="1056390418">
      <w:bodyDiv w:val="1"/>
      <w:marLeft w:val="0"/>
      <w:marRight w:val="0"/>
      <w:marTop w:val="0"/>
      <w:marBottom w:val="0"/>
      <w:divBdr>
        <w:top w:val="none" w:sz="0" w:space="0" w:color="auto"/>
        <w:left w:val="none" w:sz="0" w:space="0" w:color="auto"/>
        <w:bottom w:val="none" w:sz="0" w:space="0" w:color="auto"/>
        <w:right w:val="none" w:sz="0" w:space="0" w:color="auto"/>
      </w:divBdr>
    </w:div>
    <w:div w:id="1062170025">
      <w:bodyDiv w:val="1"/>
      <w:marLeft w:val="0"/>
      <w:marRight w:val="0"/>
      <w:marTop w:val="0"/>
      <w:marBottom w:val="0"/>
      <w:divBdr>
        <w:top w:val="none" w:sz="0" w:space="0" w:color="auto"/>
        <w:left w:val="none" w:sz="0" w:space="0" w:color="auto"/>
        <w:bottom w:val="none" w:sz="0" w:space="0" w:color="auto"/>
        <w:right w:val="none" w:sz="0" w:space="0" w:color="auto"/>
      </w:divBdr>
    </w:div>
    <w:div w:id="1098791603">
      <w:bodyDiv w:val="1"/>
      <w:marLeft w:val="0"/>
      <w:marRight w:val="0"/>
      <w:marTop w:val="0"/>
      <w:marBottom w:val="0"/>
      <w:divBdr>
        <w:top w:val="none" w:sz="0" w:space="0" w:color="auto"/>
        <w:left w:val="none" w:sz="0" w:space="0" w:color="auto"/>
        <w:bottom w:val="none" w:sz="0" w:space="0" w:color="auto"/>
        <w:right w:val="none" w:sz="0" w:space="0" w:color="auto"/>
      </w:divBdr>
    </w:div>
    <w:div w:id="1111974433">
      <w:bodyDiv w:val="1"/>
      <w:marLeft w:val="0"/>
      <w:marRight w:val="0"/>
      <w:marTop w:val="0"/>
      <w:marBottom w:val="0"/>
      <w:divBdr>
        <w:top w:val="none" w:sz="0" w:space="0" w:color="auto"/>
        <w:left w:val="none" w:sz="0" w:space="0" w:color="auto"/>
        <w:bottom w:val="none" w:sz="0" w:space="0" w:color="auto"/>
        <w:right w:val="none" w:sz="0" w:space="0" w:color="auto"/>
      </w:divBdr>
    </w:div>
    <w:div w:id="1112624625">
      <w:bodyDiv w:val="1"/>
      <w:marLeft w:val="0"/>
      <w:marRight w:val="0"/>
      <w:marTop w:val="0"/>
      <w:marBottom w:val="0"/>
      <w:divBdr>
        <w:top w:val="none" w:sz="0" w:space="0" w:color="auto"/>
        <w:left w:val="none" w:sz="0" w:space="0" w:color="auto"/>
        <w:bottom w:val="none" w:sz="0" w:space="0" w:color="auto"/>
        <w:right w:val="none" w:sz="0" w:space="0" w:color="auto"/>
      </w:divBdr>
    </w:div>
    <w:div w:id="1123426782">
      <w:bodyDiv w:val="1"/>
      <w:marLeft w:val="0"/>
      <w:marRight w:val="0"/>
      <w:marTop w:val="0"/>
      <w:marBottom w:val="0"/>
      <w:divBdr>
        <w:top w:val="none" w:sz="0" w:space="0" w:color="auto"/>
        <w:left w:val="none" w:sz="0" w:space="0" w:color="auto"/>
        <w:bottom w:val="none" w:sz="0" w:space="0" w:color="auto"/>
        <w:right w:val="none" w:sz="0" w:space="0" w:color="auto"/>
      </w:divBdr>
    </w:div>
    <w:div w:id="1136336163">
      <w:bodyDiv w:val="1"/>
      <w:marLeft w:val="0"/>
      <w:marRight w:val="0"/>
      <w:marTop w:val="0"/>
      <w:marBottom w:val="0"/>
      <w:divBdr>
        <w:top w:val="none" w:sz="0" w:space="0" w:color="auto"/>
        <w:left w:val="none" w:sz="0" w:space="0" w:color="auto"/>
        <w:bottom w:val="none" w:sz="0" w:space="0" w:color="auto"/>
        <w:right w:val="none" w:sz="0" w:space="0" w:color="auto"/>
      </w:divBdr>
      <w:divsChild>
        <w:div w:id="1449542268">
          <w:marLeft w:val="0"/>
          <w:marRight w:val="0"/>
          <w:marTop w:val="0"/>
          <w:marBottom w:val="0"/>
          <w:divBdr>
            <w:top w:val="none" w:sz="0" w:space="0" w:color="auto"/>
            <w:left w:val="none" w:sz="0" w:space="0" w:color="auto"/>
            <w:bottom w:val="none" w:sz="0" w:space="0" w:color="auto"/>
            <w:right w:val="none" w:sz="0" w:space="0" w:color="auto"/>
          </w:divBdr>
        </w:div>
      </w:divsChild>
    </w:div>
    <w:div w:id="1158306717">
      <w:bodyDiv w:val="1"/>
      <w:marLeft w:val="0"/>
      <w:marRight w:val="0"/>
      <w:marTop w:val="0"/>
      <w:marBottom w:val="0"/>
      <w:divBdr>
        <w:top w:val="none" w:sz="0" w:space="0" w:color="auto"/>
        <w:left w:val="none" w:sz="0" w:space="0" w:color="auto"/>
        <w:bottom w:val="none" w:sz="0" w:space="0" w:color="auto"/>
        <w:right w:val="none" w:sz="0" w:space="0" w:color="auto"/>
      </w:divBdr>
      <w:divsChild>
        <w:div w:id="1496148781">
          <w:marLeft w:val="0"/>
          <w:marRight w:val="0"/>
          <w:marTop w:val="0"/>
          <w:marBottom w:val="0"/>
          <w:divBdr>
            <w:top w:val="none" w:sz="0" w:space="0" w:color="auto"/>
            <w:left w:val="none" w:sz="0" w:space="0" w:color="auto"/>
            <w:bottom w:val="none" w:sz="0" w:space="0" w:color="auto"/>
            <w:right w:val="none" w:sz="0" w:space="0" w:color="auto"/>
          </w:divBdr>
        </w:div>
      </w:divsChild>
    </w:div>
    <w:div w:id="1173183815">
      <w:bodyDiv w:val="1"/>
      <w:marLeft w:val="0"/>
      <w:marRight w:val="0"/>
      <w:marTop w:val="0"/>
      <w:marBottom w:val="0"/>
      <w:divBdr>
        <w:top w:val="none" w:sz="0" w:space="0" w:color="auto"/>
        <w:left w:val="none" w:sz="0" w:space="0" w:color="auto"/>
        <w:bottom w:val="none" w:sz="0" w:space="0" w:color="auto"/>
        <w:right w:val="none" w:sz="0" w:space="0" w:color="auto"/>
      </w:divBdr>
    </w:div>
    <w:div w:id="1212039757">
      <w:bodyDiv w:val="1"/>
      <w:marLeft w:val="0"/>
      <w:marRight w:val="0"/>
      <w:marTop w:val="0"/>
      <w:marBottom w:val="0"/>
      <w:divBdr>
        <w:top w:val="none" w:sz="0" w:space="0" w:color="auto"/>
        <w:left w:val="none" w:sz="0" w:space="0" w:color="auto"/>
        <w:bottom w:val="none" w:sz="0" w:space="0" w:color="auto"/>
        <w:right w:val="none" w:sz="0" w:space="0" w:color="auto"/>
      </w:divBdr>
    </w:div>
    <w:div w:id="1242444076">
      <w:bodyDiv w:val="1"/>
      <w:marLeft w:val="0"/>
      <w:marRight w:val="0"/>
      <w:marTop w:val="0"/>
      <w:marBottom w:val="0"/>
      <w:divBdr>
        <w:top w:val="none" w:sz="0" w:space="0" w:color="auto"/>
        <w:left w:val="none" w:sz="0" w:space="0" w:color="auto"/>
        <w:bottom w:val="none" w:sz="0" w:space="0" w:color="auto"/>
        <w:right w:val="none" w:sz="0" w:space="0" w:color="auto"/>
      </w:divBdr>
    </w:div>
    <w:div w:id="1256209843">
      <w:bodyDiv w:val="1"/>
      <w:marLeft w:val="0"/>
      <w:marRight w:val="0"/>
      <w:marTop w:val="0"/>
      <w:marBottom w:val="0"/>
      <w:divBdr>
        <w:top w:val="none" w:sz="0" w:space="0" w:color="auto"/>
        <w:left w:val="none" w:sz="0" w:space="0" w:color="auto"/>
        <w:bottom w:val="none" w:sz="0" w:space="0" w:color="auto"/>
        <w:right w:val="none" w:sz="0" w:space="0" w:color="auto"/>
      </w:divBdr>
    </w:div>
    <w:div w:id="1259213523">
      <w:bodyDiv w:val="1"/>
      <w:marLeft w:val="0"/>
      <w:marRight w:val="0"/>
      <w:marTop w:val="0"/>
      <w:marBottom w:val="0"/>
      <w:divBdr>
        <w:top w:val="none" w:sz="0" w:space="0" w:color="auto"/>
        <w:left w:val="none" w:sz="0" w:space="0" w:color="auto"/>
        <w:bottom w:val="none" w:sz="0" w:space="0" w:color="auto"/>
        <w:right w:val="none" w:sz="0" w:space="0" w:color="auto"/>
      </w:divBdr>
    </w:div>
    <w:div w:id="1264845414">
      <w:bodyDiv w:val="1"/>
      <w:marLeft w:val="0"/>
      <w:marRight w:val="0"/>
      <w:marTop w:val="0"/>
      <w:marBottom w:val="0"/>
      <w:divBdr>
        <w:top w:val="none" w:sz="0" w:space="0" w:color="auto"/>
        <w:left w:val="none" w:sz="0" w:space="0" w:color="auto"/>
        <w:bottom w:val="none" w:sz="0" w:space="0" w:color="auto"/>
        <w:right w:val="none" w:sz="0" w:space="0" w:color="auto"/>
      </w:divBdr>
    </w:div>
    <w:div w:id="1270044605">
      <w:bodyDiv w:val="1"/>
      <w:marLeft w:val="0"/>
      <w:marRight w:val="0"/>
      <w:marTop w:val="0"/>
      <w:marBottom w:val="0"/>
      <w:divBdr>
        <w:top w:val="none" w:sz="0" w:space="0" w:color="auto"/>
        <w:left w:val="none" w:sz="0" w:space="0" w:color="auto"/>
        <w:bottom w:val="none" w:sz="0" w:space="0" w:color="auto"/>
        <w:right w:val="none" w:sz="0" w:space="0" w:color="auto"/>
      </w:divBdr>
      <w:divsChild>
        <w:div w:id="1274052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857923">
      <w:bodyDiv w:val="1"/>
      <w:marLeft w:val="0"/>
      <w:marRight w:val="0"/>
      <w:marTop w:val="0"/>
      <w:marBottom w:val="0"/>
      <w:divBdr>
        <w:top w:val="none" w:sz="0" w:space="0" w:color="auto"/>
        <w:left w:val="none" w:sz="0" w:space="0" w:color="auto"/>
        <w:bottom w:val="none" w:sz="0" w:space="0" w:color="auto"/>
        <w:right w:val="none" w:sz="0" w:space="0" w:color="auto"/>
      </w:divBdr>
    </w:div>
    <w:div w:id="1295600919">
      <w:bodyDiv w:val="1"/>
      <w:marLeft w:val="0"/>
      <w:marRight w:val="0"/>
      <w:marTop w:val="0"/>
      <w:marBottom w:val="0"/>
      <w:divBdr>
        <w:top w:val="none" w:sz="0" w:space="0" w:color="auto"/>
        <w:left w:val="none" w:sz="0" w:space="0" w:color="auto"/>
        <w:bottom w:val="none" w:sz="0" w:space="0" w:color="auto"/>
        <w:right w:val="none" w:sz="0" w:space="0" w:color="auto"/>
      </w:divBdr>
    </w:div>
    <w:div w:id="1338119991">
      <w:bodyDiv w:val="1"/>
      <w:marLeft w:val="0"/>
      <w:marRight w:val="0"/>
      <w:marTop w:val="0"/>
      <w:marBottom w:val="0"/>
      <w:divBdr>
        <w:top w:val="none" w:sz="0" w:space="0" w:color="auto"/>
        <w:left w:val="none" w:sz="0" w:space="0" w:color="auto"/>
        <w:bottom w:val="none" w:sz="0" w:space="0" w:color="auto"/>
        <w:right w:val="none" w:sz="0" w:space="0" w:color="auto"/>
      </w:divBdr>
    </w:div>
    <w:div w:id="1342077572">
      <w:bodyDiv w:val="1"/>
      <w:marLeft w:val="0"/>
      <w:marRight w:val="0"/>
      <w:marTop w:val="0"/>
      <w:marBottom w:val="0"/>
      <w:divBdr>
        <w:top w:val="none" w:sz="0" w:space="0" w:color="auto"/>
        <w:left w:val="none" w:sz="0" w:space="0" w:color="auto"/>
        <w:bottom w:val="none" w:sz="0" w:space="0" w:color="auto"/>
        <w:right w:val="none" w:sz="0" w:space="0" w:color="auto"/>
      </w:divBdr>
    </w:div>
    <w:div w:id="1375960037">
      <w:bodyDiv w:val="1"/>
      <w:marLeft w:val="0"/>
      <w:marRight w:val="0"/>
      <w:marTop w:val="0"/>
      <w:marBottom w:val="0"/>
      <w:divBdr>
        <w:top w:val="none" w:sz="0" w:space="0" w:color="auto"/>
        <w:left w:val="none" w:sz="0" w:space="0" w:color="auto"/>
        <w:bottom w:val="none" w:sz="0" w:space="0" w:color="auto"/>
        <w:right w:val="none" w:sz="0" w:space="0" w:color="auto"/>
      </w:divBdr>
    </w:div>
    <w:div w:id="1393238729">
      <w:bodyDiv w:val="1"/>
      <w:marLeft w:val="0"/>
      <w:marRight w:val="0"/>
      <w:marTop w:val="0"/>
      <w:marBottom w:val="0"/>
      <w:divBdr>
        <w:top w:val="none" w:sz="0" w:space="0" w:color="auto"/>
        <w:left w:val="none" w:sz="0" w:space="0" w:color="auto"/>
        <w:bottom w:val="none" w:sz="0" w:space="0" w:color="auto"/>
        <w:right w:val="none" w:sz="0" w:space="0" w:color="auto"/>
      </w:divBdr>
    </w:div>
    <w:div w:id="1424910291">
      <w:bodyDiv w:val="1"/>
      <w:marLeft w:val="0"/>
      <w:marRight w:val="0"/>
      <w:marTop w:val="0"/>
      <w:marBottom w:val="0"/>
      <w:divBdr>
        <w:top w:val="none" w:sz="0" w:space="0" w:color="auto"/>
        <w:left w:val="none" w:sz="0" w:space="0" w:color="auto"/>
        <w:bottom w:val="none" w:sz="0" w:space="0" w:color="auto"/>
        <w:right w:val="none" w:sz="0" w:space="0" w:color="auto"/>
      </w:divBdr>
    </w:div>
    <w:div w:id="1437746542">
      <w:bodyDiv w:val="1"/>
      <w:marLeft w:val="0"/>
      <w:marRight w:val="0"/>
      <w:marTop w:val="0"/>
      <w:marBottom w:val="0"/>
      <w:divBdr>
        <w:top w:val="none" w:sz="0" w:space="0" w:color="auto"/>
        <w:left w:val="none" w:sz="0" w:space="0" w:color="auto"/>
        <w:bottom w:val="none" w:sz="0" w:space="0" w:color="auto"/>
        <w:right w:val="none" w:sz="0" w:space="0" w:color="auto"/>
      </w:divBdr>
    </w:div>
    <w:div w:id="1440028663">
      <w:bodyDiv w:val="1"/>
      <w:marLeft w:val="0"/>
      <w:marRight w:val="0"/>
      <w:marTop w:val="0"/>
      <w:marBottom w:val="0"/>
      <w:divBdr>
        <w:top w:val="none" w:sz="0" w:space="0" w:color="auto"/>
        <w:left w:val="none" w:sz="0" w:space="0" w:color="auto"/>
        <w:bottom w:val="none" w:sz="0" w:space="0" w:color="auto"/>
        <w:right w:val="none" w:sz="0" w:space="0" w:color="auto"/>
      </w:divBdr>
      <w:divsChild>
        <w:div w:id="110980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1990477">
      <w:bodyDiv w:val="1"/>
      <w:marLeft w:val="0"/>
      <w:marRight w:val="0"/>
      <w:marTop w:val="0"/>
      <w:marBottom w:val="0"/>
      <w:divBdr>
        <w:top w:val="none" w:sz="0" w:space="0" w:color="auto"/>
        <w:left w:val="none" w:sz="0" w:space="0" w:color="auto"/>
        <w:bottom w:val="none" w:sz="0" w:space="0" w:color="auto"/>
        <w:right w:val="none" w:sz="0" w:space="0" w:color="auto"/>
      </w:divBdr>
    </w:div>
    <w:div w:id="1450390729">
      <w:bodyDiv w:val="1"/>
      <w:marLeft w:val="0"/>
      <w:marRight w:val="0"/>
      <w:marTop w:val="0"/>
      <w:marBottom w:val="0"/>
      <w:divBdr>
        <w:top w:val="none" w:sz="0" w:space="0" w:color="auto"/>
        <w:left w:val="none" w:sz="0" w:space="0" w:color="auto"/>
        <w:bottom w:val="none" w:sz="0" w:space="0" w:color="auto"/>
        <w:right w:val="none" w:sz="0" w:space="0" w:color="auto"/>
      </w:divBdr>
    </w:div>
    <w:div w:id="1462840890">
      <w:bodyDiv w:val="1"/>
      <w:marLeft w:val="0"/>
      <w:marRight w:val="0"/>
      <w:marTop w:val="0"/>
      <w:marBottom w:val="0"/>
      <w:divBdr>
        <w:top w:val="none" w:sz="0" w:space="0" w:color="auto"/>
        <w:left w:val="none" w:sz="0" w:space="0" w:color="auto"/>
        <w:bottom w:val="none" w:sz="0" w:space="0" w:color="auto"/>
        <w:right w:val="none" w:sz="0" w:space="0" w:color="auto"/>
      </w:divBdr>
    </w:div>
    <w:div w:id="1494100403">
      <w:bodyDiv w:val="1"/>
      <w:marLeft w:val="0"/>
      <w:marRight w:val="0"/>
      <w:marTop w:val="0"/>
      <w:marBottom w:val="0"/>
      <w:divBdr>
        <w:top w:val="none" w:sz="0" w:space="0" w:color="auto"/>
        <w:left w:val="none" w:sz="0" w:space="0" w:color="auto"/>
        <w:bottom w:val="none" w:sz="0" w:space="0" w:color="auto"/>
        <w:right w:val="none" w:sz="0" w:space="0" w:color="auto"/>
      </w:divBdr>
    </w:div>
    <w:div w:id="1544634512">
      <w:bodyDiv w:val="1"/>
      <w:marLeft w:val="0"/>
      <w:marRight w:val="0"/>
      <w:marTop w:val="0"/>
      <w:marBottom w:val="0"/>
      <w:divBdr>
        <w:top w:val="none" w:sz="0" w:space="0" w:color="auto"/>
        <w:left w:val="none" w:sz="0" w:space="0" w:color="auto"/>
        <w:bottom w:val="none" w:sz="0" w:space="0" w:color="auto"/>
        <w:right w:val="none" w:sz="0" w:space="0" w:color="auto"/>
      </w:divBdr>
    </w:div>
    <w:div w:id="1551185142">
      <w:bodyDiv w:val="1"/>
      <w:marLeft w:val="0"/>
      <w:marRight w:val="0"/>
      <w:marTop w:val="0"/>
      <w:marBottom w:val="0"/>
      <w:divBdr>
        <w:top w:val="none" w:sz="0" w:space="0" w:color="auto"/>
        <w:left w:val="none" w:sz="0" w:space="0" w:color="auto"/>
        <w:bottom w:val="none" w:sz="0" w:space="0" w:color="auto"/>
        <w:right w:val="none" w:sz="0" w:space="0" w:color="auto"/>
      </w:divBdr>
    </w:div>
    <w:div w:id="1564441410">
      <w:bodyDiv w:val="1"/>
      <w:marLeft w:val="0"/>
      <w:marRight w:val="0"/>
      <w:marTop w:val="0"/>
      <w:marBottom w:val="0"/>
      <w:divBdr>
        <w:top w:val="none" w:sz="0" w:space="0" w:color="auto"/>
        <w:left w:val="none" w:sz="0" w:space="0" w:color="auto"/>
        <w:bottom w:val="none" w:sz="0" w:space="0" w:color="auto"/>
        <w:right w:val="none" w:sz="0" w:space="0" w:color="auto"/>
      </w:divBdr>
    </w:div>
    <w:div w:id="1589920248">
      <w:bodyDiv w:val="1"/>
      <w:marLeft w:val="0"/>
      <w:marRight w:val="0"/>
      <w:marTop w:val="0"/>
      <w:marBottom w:val="0"/>
      <w:divBdr>
        <w:top w:val="none" w:sz="0" w:space="0" w:color="auto"/>
        <w:left w:val="none" w:sz="0" w:space="0" w:color="auto"/>
        <w:bottom w:val="none" w:sz="0" w:space="0" w:color="auto"/>
        <w:right w:val="none" w:sz="0" w:space="0" w:color="auto"/>
      </w:divBdr>
    </w:div>
    <w:div w:id="1609309633">
      <w:bodyDiv w:val="1"/>
      <w:marLeft w:val="0"/>
      <w:marRight w:val="0"/>
      <w:marTop w:val="0"/>
      <w:marBottom w:val="0"/>
      <w:divBdr>
        <w:top w:val="none" w:sz="0" w:space="0" w:color="auto"/>
        <w:left w:val="none" w:sz="0" w:space="0" w:color="auto"/>
        <w:bottom w:val="none" w:sz="0" w:space="0" w:color="auto"/>
        <w:right w:val="none" w:sz="0" w:space="0" w:color="auto"/>
      </w:divBdr>
    </w:div>
    <w:div w:id="1642882710">
      <w:bodyDiv w:val="1"/>
      <w:marLeft w:val="0"/>
      <w:marRight w:val="0"/>
      <w:marTop w:val="0"/>
      <w:marBottom w:val="0"/>
      <w:divBdr>
        <w:top w:val="none" w:sz="0" w:space="0" w:color="auto"/>
        <w:left w:val="none" w:sz="0" w:space="0" w:color="auto"/>
        <w:bottom w:val="none" w:sz="0" w:space="0" w:color="auto"/>
        <w:right w:val="none" w:sz="0" w:space="0" w:color="auto"/>
      </w:divBdr>
    </w:div>
    <w:div w:id="1665738838">
      <w:bodyDiv w:val="1"/>
      <w:marLeft w:val="0"/>
      <w:marRight w:val="0"/>
      <w:marTop w:val="0"/>
      <w:marBottom w:val="0"/>
      <w:divBdr>
        <w:top w:val="none" w:sz="0" w:space="0" w:color="auto"/>
        <w:left w:val="none" w:sz="0" w:space="0" w:color="auto"/>
        <w:bottom w:val="none" w:sz="0" w:space="0" w:color="auto"/>
        <w:right w:val="none" w:sz="0" w:space="0" w:color="auto"/>
      </w:divBdr>
    </w:div>
    <w:div w:id="1685011398">
      <w:bodyDiv w:val="1"/>
      <w:marLeft w:val="0"/>
      <w:marRight w:val="0"/>
      <w:marTop w:val="0"/>
      <w:marBottom w:val="0"/>
      <w:divBdr>
        <w:top w:val="none" w:sz="0" w:space="0" w:color="auto"/>
        <w:left w:val="none" w:sz="0" w:space="0" w:color="auto"/>
        <w:bottom w:val="none" w:sz="0" w:space="0" w:color="auto"/>
        <w:right w:val="none" w:sz="0" w:space="0" w:color="auto"/>
      </w:divBdr>
    </w:div>
    <w:div w:id="1692217063">
      <w:bodyDiv w:val="1"/>
      <w:marLeft w:val="0"/>
      <w:marRight w:val="0"/>
      <w:marTop w:val="0"/>
      <w:marBottom w:val="0"/>
      <w:divBdr>
        <w:top w:val="none" w:sz="0" w:space="0" w:color="auto"/>
        <w:left w:val="none" w:sz="0" w:space="0" w:color="auto"/>
        <w:bottom w:val="none" w:sz="0" w:space="0" w:color="auto"/>
        <w:right w:val="none" w:sz="0" w:space="0" w:color="auto"/>
      </w:divBdr>
    </w:div>
    <w:div w:id="1695185635">
      <w:bodyDiv w:val="1"/>
      <w:marLeft w:val="0"/>
      <w:marRight w:val="0"/>
      <w:marTop w:val="0"/>
      <w:marBottom w:val="0"/>
      <w:divBdr>
        <w:top w:val="none" w:sz="0" w:space="0" w:color="auto"/>
        <w:left w:val="none" w:sz="0" w:space="0" w:color="auto"/>
        <w:bottom w:val="none" w:sz="0" w:space="0" w:color="auto"/>
        <w:right w:val="none" w:sz="0" w:space="0" w:color="auto"/>
      </w:divBdr>
    </w:div>
    <w:div w:id="1722095540">
      <w:bodyDiv w:val="1"/>
      <w:marLeft w:val="0"/>
      <w:marRight w:val="0"/>
      <w:marTop w:val="0"/>
      <w:marBottom w:val="0"/>
      <w:divBdr>
        <w:top w:val="none" w:sz="0" w:space="0" w:color="auto"/>
        <w:left w:val="none" w:sz="0" w:space="0" w:color="auto"/>
        <w:bottom w:val="none" w:sz="0" w:space="0" w:color="auto"/>
        <w:right w:val="none" w:sz="0" w:space="0" w:color="auto"/>
      </w:divBdr>
    </w:div>
    <w:div w:id="1729769039">
      <w:bodyDiv w:val="1"/>
      <w:marLeft w:val="0"/>
      <w:marRight w:val="0"/>
      <w:marTop w:val="0"/>
      <w:marBottom w:val="0"/>
      <w:divBdr>
        <w:top w:val="none" w:sz="0" w:space="0" w:color="auto"/>
        <w:left w:val="none" w:sz="0" w:space="0" w:color="auto"/>
        <w:bottom w:val="none" w:sz="0" w:space="0" w:color="auto"/>
        <w:right w:val="none" w:sz="0" w:space="0" w:color="auto"/>
      </w:divBdr>
    </w:div>
    <w:div w:id="1751852823">
      <w:bodyDiv w:val="1"/>
      <w:marLeft w:val="0"/>
      <w:marRight w:val="0"/>
      <w:marTop w:val="0"/>
      <w:marBottom w:val="0"/>
      <w:divBdr>
        <w:top w:val="none" w:sz="0" w:space="0" w:color="auto"/>
        <w:left w:val="none" w:sz="0" w:space="0" w:color="auto"/>
        <w:bottom w:val="none" w:sz="0" w:space="0" w:color="auto"/>
        <w:right w:val="none" w:sz="0" w:space="0" w:color="auto"/>
      </w:divBdr>
    </w:div>
    <w:div w:id="1766000741">
      <w:bodyDiv w:val="1"/>
      <w:marLeft w:val="0"/>
      <w:marRight w:val="0"/>
      <w:marTop w:val="0"/>
      <w:marBottom w:val="0"/>
      <w:divBdr>
        <w:top w:val="none" w:sz="0" w:space="0" w:color="auto"/>
        <w:left w:val="none" w:sz="0" w:space="0" w:color="auto"/>
        <w:bottom w:val="none" w:sz="0" w:space="0" w:color="auto"/>
        <w:right w:val="none" w:sz="0" w:space="0" w:color="auto"/>
      </w:divBdr>
    </w:div>
    <w:div w:id="1771310755">
      <w:bodyDiv w:val="1"/>
      <w:marLeft w:val="0"/>
      <w:marRight w:val="0"/>
      <w:marTop w:val="0"/>
      <w:marBottom w:val="0"/>
      <w:divBdr>
        <w:top w:val="none" w:sz="0" w:space="0" w:color="auto"/>
        <w:left w:val="none" w:sz="0" w:space="0" w:color="auto"/>
        <w:bottom w:val="none" w:sz="0" w:space="0" w:color="auto"/>
        <w:right w:val="none" w:sz="0" w:space="0" w:color="auto"/>
      </w:divBdr>
    </w:div>
    <w:div w:id="1774788853">
      <w:bodyDiv w:val="1"/>
      <w:marLeft w:val="0"/>
      <w:marRight w:val="0"/>
      <w:marTop w:val="0"/>
      <w:marBottom w:val="0"/>
      <w:divBdr>
        <w:top w:val="none" w:sz="0" w:space="0" w:color="auto"/>
        <w:left w:val="none" w:sz="0" w:space="0" w:color="auto"/>
        <w:bottom w:val="none" w:sz="0" w:space="0" w:color="auto"/>
        <w:right w:val="none" w:sz="0" w:space="0" w:color="auto"/>
      </w:divBdr>
    </w:div>
    <w:div w:id="1792245136">
      <w:bodyDiv w:val="1"/>
      <w:marLeft w:val="0"/>
      <w:marRight w:val="0"/>
      <w:marTop w:val="0"/>
      <w:marBottom w:val="0"/>
      <w:divBdr>
        <w:top w:val="none" w:sz="0" w:space="0" w:color="auto"/>
        <w:left w:val="none" w:sz="0" w:space="0" w:color="auto"/>
        <w:bottom w:val="none" w:sz="0" w:space="0" w:color="auto"/>
        <w:right w:val="none" w:sz="0" w:space="0" w:color="auto"/>
      </w:divBdr>
    </w:div>
    <w:div w:id="1815835413">
      <w:bodyDiv w:val="1"/>
      <w:marLeft w:val="0"/>
      <w:marRight w:val="0"/>
      <w:marTop w:val="0"/>
      <w:marBottom w:val="0"/>
      <w:divBdr>
        <w:top w:val="none" w:sz="0" w:space="0" w:color="auto"/>
        <w:left w:val="none" w:sz="0" w:space="0" w:color="auto"/>
        <w:bottom w:val="none" w:sz="0" w:space="0" w:color="auto"/>
        <w:right w:val="none" w:sz="0" w:space="0" w:color="auto"/>
      </w:divBdr>
    </w:div>
    <w:div w:id="1842039971">
      <w:bodyDiv w:val="1"/>
      <w:marLeft w:val="0"/>
      <w:marRight w:val="0"/>
      <w:marTop w:val="0"/>
      <w:marBottom w:val="0"/>
      <w:divBdr>
        <w:top w:val="none" w:sz="0" w:space="0" w:color="auto"/>
        <w:left w:val="none" w:sz="0" w:space="0" w:color="auto"/>
        <w:bottom w:val="none" w:sz="0" w:space="0" w:color="auto"/>
        <w:right w:val="none" w:sz="0" w:space="0" w:color="auto"/>
      </w:divBdr>
    </w:div>
    <w:div w:id="1877893038">
      <w:bodyDiv w:val="1"/>
      <w:marLeft w:val="0"/>
      <w:marRight w:val="0"/>
      <w:marTop w:val="0"/>
      <w:marBottom w:val="0"/>
      <w:divBdr>
        <w:top w:val="none" w:sz="0" w:space="0" w:color="auto"/>
        <w:left w:val="none" w:sz="0" w:space="0" w:color="auto"/>
        <w:bottom w:val="none" w:sz="0" w:space="0" w:color="auto"/>
        <w:right w:val="none" w:sz="0" w:space="0" w:color="auto"/>
      </w:divBdr>
    </w:div>
    <w:div w:id="1887645039">
      <w:bodyDiv w:val="1"/>
      <w:marLeft w:val="0"/>
      <w:marRight w:val="0"/>
      <w:marTop w:val="0"/>
      <w:marBottom w:val="0"/>
      <w:divBdr>
        <w:top w:val="none" w:sz="0" w:space="0" w:color="auto"/>
        <w:left w:val="none" w:sz="0" w:space="0" w:color="auto"/>
        <w:bottom w:val="none" w:sz="0" w:space="0" w:color="auto"/>
        <w:right w:val="none" w:sz="0" w:space="0" w:color="auto"/>
      </w:divBdr>
    </w:div>
    <w:div w:id="1890417791">
      <w:bodyDiv w:val="1"/>
      <w:marLeft w:val="0"/>
      <w:marRight w:val="0"/>
      <w:marTop w:val="0"/>
      <w:marBottom w:val="0"/>
      <w:divBdr>
        <w:top w:val="none" w:sz="0" w:space="0" w:color="auto"/>
        <w:left w:val="none" w:sz="0" w:space="0" w:color="auto"/>
        <w:bottom w:val="none" w:sz="0" w:space="0" w:color="auto"/>
        <w:right w:val="none" w:sz="0" w:space="0" w:color="auto"/>
      </w:divBdr>
    </w:div>
    <w:div w:id="1931502698">
      <w:bodyDiv w:val="1"/>
      <w:marLeft w:val="0"/>
      <w:marRight w:val="0"/>
      <w:marTop w:val="0"/>
      <w:marBottom w:val="0"/>
      <w:divBdr>
        <w:top w:val="none" w:sz="0" w:space="0" w:color="auto"/>
        <w:left w:val="none" w:sz="0" w:space="0" w:color="auto"/>
        <w:bottom w:val="none" w:sz="0" w:space="0" w:color="auto"/>
        <w:right w:val="none" w:sz="0" w:space="0" w:color="auto"/>
      </w:divBdr>
    </w:div>
    <w:div w:id="1989437726">
      <w:bodyDiv w:val="1"/>
      <w:marLeft w:val="0"/>
      <w:marRight w:val="0"/>
      <w:marTop w:val="0"/>
      <w:marBottom w:val="0"/>
      <w:divBdr>
        <w:top w:val="none" w:sz="0" w:space="0" w:color="auto"/>
        <w:left w:val="none" w:sz="0" w:space="0" w:color="auto"/>
        <w:bottom w:val="none" w:sz="0" w:space="0" w:color="auto"/>
        <w:right w:val="none" w:sz="0" w:space="0" w:color="auto"/>
      </w:divBdr>
    </w:div>
    <w:div w:id="1993680908">
      <w:bodyDiv w:val="1"/>
      <w:marLeft w:val="0"/>
      <w:marRight w:val="0"/>
      <w:marTop w:val="0"/>
      <w:marBottom w:val="0"/>
      <w:divBdr>
        <w:top w:val="none" w:sz="0" w:space="0" w:color="auto"/>
        <w:left w:val="none" w:sz="0" w:space="0" w:color="auto"/>
        <w:bottom w:val="none" w:sz="0" w:space="0" w:color="auto"/>
        <w:right w:val="none" w:sz="0" w:space="0" w:color="auto"/>
      </w:divBdr>
    </w:div>
    <w:div w:id="2012218646">
      <w:bodyDiv w:val="1"/>
      <w:marLeft w:val="0"/>
      <w:marRight w:val="0"/>
      <w:marTop w:val="0"/>
      <w:marBottom w:val="0"/>
      <w:divBdr>
        <w:top w:val="none" w:sz="0" w:space="0" w:color="auto"/>
        <w:left w:val="none" w:sz="0" w:space="0" w:color="auto"/>
        <w:bottom w:val="none" w:sz="0" w:space="0" w:color="auto"/>
        <w:right w:val="none" w:sz="0" w:space="0" w:color="auto"/>
      </w:divBdr>
    </w:div>
    <w:div w:id="2033144123">
      <w:bodyDiv w:val="1"/>
      <w:marLeft w:val="0"/>
      <w:marRight w:val="0"/>
      <w:marTop w:val="0"/>
      <w:marBottom w:val="0"/>
      <w:divBdr>
        <w:top w:val="none" w:sz="0" w:space="0" w:color="auto"/>
        <w:left w:val="none" w:sz="0" w:space="0" w:color="auto"/>
        <w:bottom w:val="none" w:sz="0" w:space="0" w:color="auto"/>
        <w:right w:val="none" w:sz="0" w:space="0" w:color="auto"/>
      </w:divBdr>
    </w:div>
    <w:div w:id="2037538610">
      <w:bodyDiv w:val="1"/>
      <w:marLeft w:val="0"/>
      <w:marRight w:val="0"/>
      <w:marTop w:val="0"/>
      <w:marBottom w:val="0"/>
      <w:divBdr>
        <w:top w:val="none" w:sz="0" w:space="0" w:color="auto"/>
        <w:left w:val="none" w:sz="0" w:space="0" w:color="auto"/>
        <w:bottom w:val="none" w:sz="0" w:space="0" w:color="auto"/>
        <w:right w:val="none" w:sz="0" w:space="0" w:color="auto"/>
      </w:divBdr>
    </w:div>
    <w:div w:id="2049714952">
      <w:bodyDiv w:val="1"/>
      <w:marLeft w:val="0"/>
      <w:marRight w:val="0"/>
      <w:marTop w:val="0"/>
      <w:marBottom w:val="0"/>
      <w:divBdr>
        <w:top w:val="none" w:sz="0" w:space="0" w:color="auto"/>
        <w:left w:val="none" w:sz="0" w:space="0" w:color="auto"/>
        <w:bottom w:val="none" w:sz="0" w:space="0" w:color="auto"/>
        <w:right w:val="none" w:sz="0" w:space="0" w:color="auto"/>
      </w:divBdr>
    </w:div>
    <w:div w:id="2069567206">
      <w:bodyDiv w:val="1"/>
      <w:marLeft w:val="0"/>
      <w:marRight w:val="0"/>
      <w:marTop w:val="0"/>
      <w:marBottom w:val="0"/>
      <w:divBdr>
        <w:top w:val="none" w:sz="0" w:space="0" w:color="auto"/>
        <w:left w:val="none" w:sz="0" w:space="0" w:color="auto"/>
        <w:bottom w:val="none" w:sz="0" w:space="0" w:color="auto"/>
        <w:right w:val="none" w:sz="0" w:space="0" w:color="auto"/>
      </w:divBdr>
    </w:div>
    <w:div w:id="2094012354">
      <w:bodyDiv w:val="1"/>
      <w:marLeft w:val="0"/>
      <w:marRight w:val="0"/>
      <w:marTop w:val="0"/>
      <w:marBottom w:val="0"/>
      <w:divBdr>
        <w:top w:val="none" w:sz="0" w:space="0" w:color="auto"/>
        <w:left w:val="none" w:sz="0" w:space="0" w:color="auto"/>
        <w:bottom w:val="none" w:sz="0" w:space="0" w:color="auto"/>
        <w:right w:val="none" w:sz="0" w:space="0" w:color="auto"/>
      </w:divBdr>
    </w:div>
    <w:div w:id="2101872673">
      <w:bodyDiv w:val="1"/>
      <w:marLeft w:val="0"/>
      <w:marRight w:val="0"/>
      <w:marTop w:val="0"/>
      <w:marBottom w:val="0"/>
      <w:divBdr>
        <w:top w:val="none" w:sz="0" w:space="0" w:color="auto"/>
        <w:left w:val="none" w:sz="0" w:space="0" w:color="auto"/>
        <w:bottom w:val="none" w:sz="0" w:space="0" w:color="auto"/>
        <w:right w:val="none" w:sz="0" w:space="0" w:color="auto"/>
      </w:divBdr>
    </w:div>
    <w:div w:id="2103528561">
      <w:bodyDiv w:val="1"/>
      <w:marLeft w:val="0"/>
      <w:marRight w:val="0"/>
      <w:marTop w:val="0"/>
      <w:marBottom w:val="0"/>
      <w:divBdr>
        <w:top w:val="none" w:sz="0" w:space="0" w:color="auto"/>
        <w:left w:val="none" w:sz="0" w:space="0" w:color="auto"/>
        <w:bottom w:val="none" w:sz="0" w:space="0" w:color="auto"/>
        <w:right w:val="none" w:sz="0" w:space="0" w:color="auto"/>
      </w:divBdr>
    </w:div>
    <w:div w:id="2104916678">
      <w:bodyDiv w:val="1"/>
      <w:marLeft w:val="0"/>
      <w:marRight w:val="0"/>
      <w:marTop w:val="0"/>
      <w:marBottom w:val="0"/>
      <w:divBdr>
        <w:top w:val="none" w:sz="0" w:space="0" w:color="auto"/>
        <w:left w:val="none" w:sz="0" w:space="0" w:color="auto"/>
        <w:bottom w:val="none" w:sz="0" w:space="0" w:color="auto"/>
        <w:right w:val="none" w:sz="0" w:space="0" w:color="auto"/>
      </w:divBdr>
    </w:div>
    <w:div w:id="2130470133">
      <w:bodyDiv w:val="1"/>
      <w:marLeft w:val="0"/>
      <w:marRight w:val="0"/>
      <w:marTop w:val="0"/>
      <w:marBottom w:val="0"/>
      <w:divBdr>
        <w:top w:val="none" w:sz="0" w:space="0" w:color="auto"/>
        <w:left w:val="none" w:sz="0" w:space="0" w:color="auto"/>
        <w:bottom w:val="none" w:sz="0" w:space="0" w:color="auto"/>
        <w:right w:val="none" w:sz="0" w:space="0" w:color="auto"/>
      </w:divBdr>
    </w:div>
    <w:div w:id="2139181960">
      <w:bodyDiv w:val="1"/>
      <w:marLeft w:val="0"/>
      <w:marRight w:val="0"/>
      <w:marTop w:val="0"/>
      <w:marBottom w:val="0"/>
      <w:divBdr>
        <w:top w:val="none" w:sz="0" w:space="0" w:color="auto"/>
        <w:left w:val="none" w:sz="0" w:space="0" w:color="auto"/>
        <w:bottom w:val="none" w:sz="0" w:space="0" w:color="auto"/>
        <w:right w:val="none" w:sz="0" w:space="0" w:color="auto"/>
      </w:divBdr>
    </w:div>
    <w:div w:id="2142989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2667041023000083?via%3Dihub." TargetMode="External"/><Relationship Id="rId13" Type="http://schemas.openxmlformats.org/officeDocument/2006/relationships/hyperlink" Target="https://circulareconomy.europa.eu/platform/en." TargetMode="External"/><Relationship Id="rId3" Type="http://schemas.openxmlformats.org/officeDocument/2006/relationships/hyperlink" Target="https://single-market-economy.ec.europa.eu/industry/sustainability/buildings-and-construction_en." TargetMode="External"/><Relationship Id="rId7" Type="http://schemas.openxmlformats.org/officeDocument/2006/relationships/hyperlink" Target="https://ec.europa.eu/eurostat/web/circular-economy/monitoring-framework." TargetMode="External"/><Relationship Id="rId12" Type="http://schemas.openxmlformats.org/officeDocument/2006/relationships/hyperlink" Target="https://research-and-innovation.ec.europa.eu/research-area/environment/bioeconomy/european-bioeconomy-policy-forum_en." TargetMode="External"/><Relationship Id="rId2" Type="http://schemas.openxmlformats.org/officeDocument/2006/relationships/hyperlink" Target="https://www.tno.nl/en/sustainable/industry/sustainable-materials/circular-plastics/biopolymer-design." TargetMode="External"/><Relationship Id="rId16" Type="http://schemas.openxmlformats.org/officeDocument/2006/relationships/hyperlink" Target="https://publications.jrc.ec.europa.eu/repository/handle/JRC140285." TargetMode="External"/><Relationship Id="rId1" Type="http://schemas.openxmlformats.org/officeDocument/2006/relationships/hyperlink" Target="https://www.tno.nl/en/sustainable/industry/sustainable-materials/circular-plastics/biopolymer-design." TargetMode="External"/><Relationship Id="rId6" Type="http://schemas.openxmlformats.org/officeDocument/2006/relationships/hyperlink" Target="https://bio-build.eu/." TargetMode="External"/><Relationship Id="rId11" Type="http://schemas.openxmlformats.org/officeDocument/2006/relationships/hyperlink" Target="https://atpsnet.org/wp-content/uploads/2021/10/Final-Summary-EAC-BIOECONOMY-STRATEGY.pdf." TargetMode="External"/><Relationship Id="rId5" Type="http://schemas.openxmlformats.org/officeDocument/2006/relationships/hyperlink" Target="https://link.springer.com/article/10.1007/s10098-024-03023-6?utm." TargetMode="External"/><Relationship Id="rId15" Type="http://schemas.openxmlformats.org/officeDocument/2006/relationships/hyperlink" Target="https://research-and-innovation.ec.europa.eu/research-area/environment/bioeconomy/bioeconomy-youth-ambassadors_en." TargetMode="External"/><Relationship Id="rId10" Type="http://schemas.openxmlformats.org/officeDocument/2006/relationships/hyperlink" Target="https://au.int/sites/default/files/documents/45336-doc-GIZ-AU_Continental_Circular_Action_V11.pdf." TargetMode="External"/><Relationship Id="rId4" Type="http://schemas.openxmlformats.org/officeDocument/2006/relationships/hyperlink" Target="https://link.springer.com/article/10.1007/s10098-024-03023-6?utm." TargetMode="External"/><Relationship Id="rId9" Type="http://schemas.openxmlformats.org/officeDocument/2006/relationships/hyperlink" Target="https://www.sciencedirect.com/science/article/pii/S2667041023000083?via%3Dihub." TargetMode="External"/><Relationship Id="rId14" Type="http://schemas.openxmlformats.org/officeDocument/2006/relationships/hyperlink" Target="https://circulareconomy.europa.eu/platfor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DisplayName="Writer" AuthorRoleId="a4fbaff4-b07c-48b4-a21e-e7b9eedf3796">
  <Id>ef2f7686-9793-4f89-8175-ed60deaaeef0</Id>
  <Names>
    <Latin>
      <FirstName>Duncan</FirstName>
      <LastName>JOHNSTONE</LastName>
    </Latin>
    <Greek>
      <FirstName/>
      <LastName/>
    </Greek>
    <Cyrillic>
      <FirstName/>
      <LastName/>
    </Cyrillic>
    <DocumentScript>
      <FirstName>Duncan</FirstName>
      <LastName>JOHNSTONE</LastName>
      <FullName>Duncan JOHNSTONE</FullName>
    </DocumentScript>
  </Names>
  <Initials>DJ</Initials>
  <Gender>m</Gender>
  <Email>Duncan.JOHNSTONE@ec.europa.eu</Email>
  <Service>ENV.01</Service>
  <Function ADCode="87" ShowInSignature="true" ShowInHeader="false" HeaderText="">Senior Expert</Function>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OrgaEntity3>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+32 229-66702</Phone>
    <Office>BRE2 10/DCS</Office>
  </MainWorkplace>
  <Workplaces>
    <Workplace IsMain="true">
      <AddressId>f03b5801-04c9-4931-aa17-c6d6c70bc579</AddressId>
      <Fax/>
      <Phone>+32 229-66702</Phone>
      <Office>BRE2 10/DCS</Office>
    </Workplace>
  </Workplaces>
</Author>
</file>

<file path=customXml/item2.xml><?xml version="1.0" encoding="utf-8"?>
<EurolookProperties>
  <ProductCustomizationId>EC</ProductCustomizationId>
  <Created>
    <Version>10.0.47847.0</Version>
    <Date>2025-09-10T08:00:14</Date>
    <Language>EN</Language>
    <Note/>
  </Created>
  <Edited>
    <Version/>
    <Date/>
  </Edited>
  <DocumentModel>
    <Id>6cbda13a-4db2-46c6-876a-ef72275827ef</Id>
    <Name>Report</Name>
  </DocumentModel>
  <CustomTemplate>
    <Id/>
    <Name/>
  </CustomTemplate>
  <DocumentDate>2025-09-10T08:00:14</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8BF8D-338A-428D-BFDC-E685F7D131C1}">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BCCDC5C3-EE10-4FB6-93EA-FCAC4741E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11140</Words>
  <Characters>63500</Characters>
  <Application>Microsoft Office Word</Application>
  <DocSecurity>0</DocSecurity>
  <PresentationFormat>Microsoft Word 14.0</PresentationFormat>
  <Lines>529</Lines>
  <Paragraphs>148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74492</CharactersWithSpaces>
  <SharedDoc>false</SharedDoc>
  <HLinks>
    <vt:vector size="78" baseType="variant">
      <vt:variant>
        <vt:i4>720967</vt:i4>
      </vt:variant>
      <vt:variant>
        <vt:i4>39</vt:i4>
      </vt:variant>
      <vt:variant>
        <vt:i4>0</vt:i4>
      </vt:variant>
      <vt:variant>
        <vt:i4>5</vt:i4>
      </vt:variant>
      <vt:variant>
        <vt:lpwstr>https://publications.jrc.ec.europa.eu/repository/handle/JRC140285</vt:lpwstr>
      </vt:variant>
      <vt:variant>
        <vt:lpwstr/>
      </vt:variant>
      <vt:variant>
        <vt:i4>6684698</vt:i4>
      </vt:variant>
      <vt:variant>
        <vt:i4>36</vt:i4>
      </vt:variant>
      <vt:variant>
        <vt:i4>0</vt:i4>
      </vt:variant>
      <vt:variant>
        <vt:i4>5</vt:i4>
      </vt:variant>
      <vt:variant>
        <vt:lpwstr>https://research-and-innovation.ec.europa.eu/research-area/environment/bioeconomy/bioeconomy-youth-ambassadors_en</vt:lpwstr>
      </vt:variant>
      <vt:variant>
        <vt:lpwstr>:~:text=The%20EU%20Bioeconomy%20Youth%20Ambassador%20programme%20gives%20Europe%E2%80%99s,highlight%20the%20bioeconomy%E2%80%99s%20relevance%20in%20our%20daily%20life.</vt:lpwstr>
      </vt:variant>
      <vt:variant>
        <vt:i4>327759</vt:i4>
      </vt:variant>
      <vt:variant>
        <vt:i4>33</vt:i4>
      </vt:variant>
      <vt:variant>
        <vt:i4>0</vt:i4>
      </vt:variant>
      <vt:variant>
        <vt:i4>5</vt:i4>
      </vt:variant>
      <vt:variant>
        <vt:lpwstr>https://circulareconomy.europa.eu/platform/en</vt:lpwstr>
      </vt:variant>
      <vt:variant>
        <vt:lpwstr/>
      </vt:variant>
      <vt:variant>
        <vt:i4>4587641</vt:i4>
      </vt:variant>
      <vt:variant>
        <vt:i4>30</vt:i4>
      </vt:variant>
      <vt:variant>
        <vt:i4>0</vt:i4>
      </vt:variant>
      <vt:variant>
        <vt:i4>5</vt:i4>
      </vt:variant>
      <vt:variant>
        <vt:lpwstr>https://research-and-innovation.ec.europa.eu/research-area/environment/bioeconomy/european-bioeconomy-policy-forum_en</vt:lpwstr>
      </vt:variant>
      <vt:variant>
        <vt:lpwstr/>
      </vt:variant>
      <vt:variant>
        <vt:i4>4390923</vt:i4>
      </vt:variant>
      <vt:variant>
        <vt:i4>27</vt:i4>
      </vt:variant>
      <vt:variant>
        <vt:i4>0</vt:i4>
      </vt:variant>
      <vt:variant>
        <vt:i4>5</vt:i4>
      </vt:variant>
      <vt:variant>
        <vt:lpwstr>https://atpsnet.org/wp-content/uploads/2021/10/Final-Summary-EAC-BIOECONOMY-STRATEGY.pdf</vt:lpwstr>
      </vt:variant>
      <vt:variant>
        <vt:lpwstr/>
      </vt:variant>
      <vt:variant>
        <vt:i4>7995493</vt:i4>
      </vt:variant>
      <vt:variant>
        <vt:i4>24</vt:i4>
      </vt:variant>
      <vt:variant>
        <vt:i4>0</vt:i4>
      </vt:variant>
      <vt:variant>
        <vt:i4>5</vt:i4>
      </vt:variant>
      <vt:variant>
        <vt:lpwstr>https://au.int/sites/default/files/documents/45336-doc-GIZ-AU_Continental_Circular_Action_V11.pdf</vt:lpwstr>
      </vt:variant>
      <vt:variant>
        <vt:lpwstr/>
      </vt:variant>
      <vt:variant>
        <vt:i4>7340146</vt:i4>
      </vt:variant>
      <vt:variant>
        <vt:i4>21</vt:i4>
      </vt:variant>
      <vt:variant>
        <vt:i4>0</vt:i4>
      </vt:variant>
      <vt:variant>
        <vt:i4>5</vt:i4>
      </vt:variant>
      <vt:variant>
        <vt:lpwstr>https://www.sciencedirect.com/science/article/pii/S2667041023000083?via%3Dihub</vt:lpwstr>
      </vt:variant>
      <vt:variant>
        <vt:lpwstr/>
      </vt:variant>
      <vt:variant>
        <vt:i4>7995448</vt:i4>
      </vt:variant>
      <vt:variant>
        <vt:i4>18</vt:i4>
      </vt:variant>
      <vt:variant>
        <vt:i4>0</vt:i4>
      </vt:variant>
      <vt:variant>
        <vt:i4>5</vt:i4>
      </vt:variant>
      <vt:variant>
        <vt:lpwstr>https://ec.europa.eu/eurostat/web/circular-economy/monitoring-framework</vt:lpwstr>
      </vt:variant>
      <vt:variant>
        <vt:lpwstr/>
      </vt:variant>
      <vt:variant>
        <vt:i4>1114186</vt:i4>
      </vt:variant>
      <vt:variant>
        <vt:i4>15</vt:i4>
      </vt:variant>
      <vt:variant>
        <vt:i4>0</vt:i4>
      </vt:variant>
      <vt:variant>
        <vt:i4>5</vt:i4>
      </vt:variant>
      <vt:variant>
        <vt:lpwstr>https://link.springer.com/article/10.1007/s10098-024-03023-6?utm</vt:lpwstr>
      </vt:variant>
      <vt:variant>
        <vt:lpwstr/>
      </vt:variant>
      <vt:variant>
        <vt:i4>1507399</vt:i4>
      </vt:variant>
      <vt:variant>
        <vt:i4>12</vt:i4>
      </vt:variant>
      <vt:variant>
        <vt:i4>0</vt:i4>
      </vt:variant>
      <vt:variant>
        <vt:i4>5</vt:i4>
      </vt:variant>
      <vt:variant>
        <vt:lpwstr>https://bio-build.eu/</vt:lpwstr>
      </vt:variant>
      <vt:variant>
        <vt:lpwstr/>
      </vt:variant>
      <vt:variant>
        <vt:i4>4063326</vt:i4>
      </vt:variant>
      <vt:variant>
        <vt:i4>9</vt:i4>
      </vt:variant>
      <vt:variant>
        <vt:i4>0</vt:i4>
      </vt:variant>
      <vt:variant>
        <vt:i4>5</vt:i4>
      </vt:variant>
      <vt:variant>
        <vt:lpwstr>https://single-market-economy.ec.europa.eu/industry/sustainability/buildings-and-construction_en</vt:lpwstr>
      </vt:variant>
      <vt:variant>
        <vt:lpwstr/>
      </vt:variant>
      <vt:variant>
        <vt:i4>2031646</vt:i4>
      </vt:variant>
      <vt:variant>
        <vt:i4>6</vt:i4>
      </vt:variant>
      <vt:variant>
        <vt:i4>0</vt:i4>
      </vt:variant>
      <vt:variant>
        <vt:i4>5</vt:i4>
      </vt:variant>
      <vt:variant>
        <vt:lpwstr>https://www.tno.nl/en/sustainable/industry/sustainable-materials/circular-plastics/biopolymer-design</vt:lpwstr>
      </vt:variant>
      <vt:variant>
        <vt:lpwstr/>
      </vt:variant>
      <vt:variant>
        <vt:i4>2359415</vt:i4>
      </vt:variant>
      <vt:variant>
        <vt:i4>3</vt:i4>
      </vt:variant>
      <vt:variant>
        <vt:i4>0</vt:i4>
      </vt:variant>
      <vt:variant>
        <vt:i4>5</vt:i4>
      </vt:variant>
      <vt:variant>
        <vt:lpwstr>https://www.eea.europa.eu/en/analysis/publications/the-european-biomass-puzzle</vt:lpwstr>
      </vt:variant>
      <vt:variant>
        <vt:lpwstr>:~:text=This%20report%20looks%20at%20how%20biomass%20can%20help,the%20use%20of%20biomass%20for%20different%20policy%20objectives.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2025-11-25T16:52:00Z</dcterms:created>
  <dcterms:modified xsi:type="dcterms:W3CDTF">2025-12-15T10:31:00Z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2025-11-22T16:16:07Z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fda0ec5a-fded-415a-8d0a-2ada67ba7dfa</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