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FBC161" w14:textId="64585A64" w:rsidR="00D431DA" w:rsidRDefault="00421D6B" w:rsidP="00421D6B">
      <w:pPr>
        <w:pStyle w:val="Pagedecouverture"/>
        <w:rPr>
          <w:noProof/>
        </w:rPr>
      </w:pPr>
      <w:bookmarkStart w:id="0" w:name="LW_BM_COVERPAGE"/>
      <w:r>
        <w:rPr>
          <w:noProof/>
        </w:rPr>
        <w:pict w14:anchorId="23367E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460D17E-1375-4FA6-ADCD-C20AFA09B45E" style="width:455.25pt;height:327.75pt">
            <v:imagedata r:id="rId11" o:title=""/>
          </v:shape>
        </w:pict>
      </w:r>
    </w:p>
    <w:bookmarkEnd w:id="0"/>
    <w:p w14:paraId="0E975AAD" w14:textId="77777777" w:rsidR="00D431DA" w:rsidRDefault="00D431DA" w:rsidP="00D431DA">
      <w:pPr>
        <w:rPr>
          <w:noProof/>
          <w:lang w:val="en-IE"/>
        </w:rPr>
        <w:sectPr w:rsidR="00D431DA" w:rsidSect="00421D6B">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1"/>
          <w:cols w:space="720"/>
          <w:docGrid w:linePitch="326"/>
        </w:sectPr>
      </w:pPr>
    </w:p>
    <w:p w14:paraId="7B90FB1B" w14:textId="77777777" w:rsidR="007D27A0" w:rsidRPr="00CE41EF" w:rsidRDefault="00725DCE" w:rsidP="005B1798">
      <w:pPr>
        <w:pStyle w:val="Heading1"/>
        <w:numPr>
          <w:ilvl w:val="0"/>
          <w:numId w:val="0"/>
        </w:numPr>
        <w:ind w:left="482" w:hanging="482"/>
        <w:rPr>
          <w:noProof/>
          <w:szCs w:val="24"/>
        </w:rPr>
      </w:pPr>
      <w:bookmarkStart w:id="1" w:name="_GoBack"/>
      <w:bookmarkEnd w:id="1"/>
      <w:r>
        <w:rPr>
          <w:noProof/>
        </w:rPr>
        <w:lastRenderedPageBreak/>
        <w:t>Introducere</w:t>
      </w:r>
    </w:p>
    <w:p w14:paraId="03FE2D01" w14:textId="2EA1F3B2" w:rsidR="009650AB" w:rsidRPr="00CE41EF" w:rsidRDefault="4D324962" w:rsidP="47E57817">
      <w:pPr>
        <w:rPr>
          <w:noProof/>
        </w:rPr>
      </w:pPr>
      <w:r>
        <w:rPr>
          <w:b/>
          <w:noProof/>
        </w:rPr>
        <w:t>Bioeconomia reprezintă o oportunitate strategică pentru secolul 21</w:t>
      </w:r>
      <w:r>
        <w:rPr>
          <w:noProof/>
        </w:rPr>
        <w:t xml:space="preserve">, fiind un motor al creșterii verzi, al competitivității și al rezilienței. Bioeconomia valorifică mai bine resursele biologice ale Europei, excelența științifică și baza industrială pentru a decarboniza economia și a înlocui materialele și produsele pe bază de combustibili fosili. Mai mult, aceasta dezvoltă soluții practice care susțin prosperitatea economică și consolidează comunitățile rurale și costiere, sprijinind totodată industria în vederea trecerii la modele de producție mai circulare. De asemenea, ea contribuie la autonomia strategică a UE prin reducerea dependenței de produsele pe bază de combustibili fosili importate și poate avea o contribuție semnificativă la obiectivele climatice și de mediu, cum ar fi utilizarea eficientă a resurselor, reducerea emisiilor de gaze cu efect de seră, reziliența în domeniul apei, reducerea la zero a poluării și biodiversitatea. </w:t>
      </w:r>
    </w:p>
    <w:p w14:paraId="49112BF2" w14:textId="1750CD2D" w:rsidR="009650AB" w:rsidRPr="00CE41EF" w:rsidRDefault="009761B2" w:rsidP="1CFD9F8D">
      <w:pPr>
        <w:rPr>
          <w:noProof/>
        </w:rPr>
      </w:pPr>
      <w:r>
        <w:rPr>
          <w:noProof/>
        </w:rPr>
        <w:t xml:space="preserve">Bioeconomia este definită ca ansamblul activităților care oferă soluții durabile bazate pe </w:t>
      </w:r>
      <w:r>
        <w:rPr>
          <w:b/>
          <w:noProof/>
        </w:rPr>
        <w:t>resurse biologice pentru a crea valoare adăugată</w:t>
      </w:r>
      <w:r>
        <w:rPr>
          <w:noProof/>
        </w:rPr>
        <w:t>. Printre acestea se numără produse, servicii, știință și tehnologii de care beneficiază sectoare precum agricultura, silvicultura, pescuitul și acvacultura, lanțurile valorice bazate pe prelucrarea biomasei, producția biotehnologică și biotehnologiile, inclusiv din domeniul alimentar</w:t>
      </w:r>
      <w:r>
        <w:rPr>
          <w:rStyle w:val="FootnoteReference"/>
          <w:noProof/>
          <w:lang w:val="en-IE"/>
        </w:rPr>
        <w:footnoteReference w:id="2"/>
      </w:r>
      <w:r>
        <w:rPr>
          <w:noProof/>
        </w:rPr>
        <w:t>, al sănătății, al energiei, al industriei, al ecosistemelor și al altor servicii. Resursele biologice</w:t>
      </w:r>
      <w:r>
        <w:rPr>
          <w:noProof/>
          <w:vertAlign w:val="superscript"/>
          <w:lang w:val="en-IE"/>
        </w:rPr>
        <w:footnoteReference w:id="3"/>
      </w:r>
      <w:r>
        <w:rPr>
          <w:noProof/>
        </w:rPr>
        <w:t xml:space="preserve"> includ resursele genetice, biomasa primară și secundară, de exemplu subprodusele și reziduurile, precum și carbonul biogenic</w:t>
      </w:r>
      <w:r>
        <w:rPr>
          <w:rStyle w:val="FootnoteReference"/>
          <w:noProof/>
          <w:lang w:val="en-IE"/>
        </w:rPr>
        <w:footnoteReference w:id="4"/>
      </w:r>
      <w:r>
        <w:rPr>
          <w:noProof/>
        </w:rPr>
        <w:t xml:space="preserve"> captat prin tehnologii inovatoare. </w:t>
      </w:r>
    </w:p>
    <w:p w14:paraId="4CB6DC28" w14:textId="7915C236" w:rsidR="00421AF1" w:rsidRDefault="00D008ED" w:rsidP="1CFD9F8D">
      <w:pPr>
        <w:rPr>
          <w:noProof/>
        </w:rPr>
      </w:pPr>
      <w:r>
        <w:rPr>
          <w:noProof/>
        </w:rPr>
        <w:t xml:space="preserve">Bioeconomia Europei are </w:t>
      </w:r>
      <w:r>
        <w:rPr>
          <w:b/>
          <w:noProof/>
        </w:rPr>
        <w:t>baze solide</w:t>
      </w:r>
      <w:r>
        <w:rPr>
          <w:noProof/>
        </w:rPr>
        <w:t>: știință de talie mondială, tehnologii de vârf, o bază industrială competitivă, o piață unică de 26 de milioane de întreprinderi și 450 de milioane de consumatori</w:t>
      </w:r>
      <w:r>
        <w:rPr>
          <w:noProof/>
          <w:vertAlign w:val="superscript"/>
        </w:rPr>
        <w:footnoteReference w:id="5"/>
      </w:r>
      <w:r>
        <w:rPr>
          <w:noProof/>
        </w:rPr>
        <w:t xml:space="preserve"> și o producție semnificativă de biomasă</w:t>
      </w:r>
      <w:r>
        <w:rPr>
          <w:noProof/>
          <w:vertAlign w:val="superscript"/>
        </w:rPr>
        <w:footnoteReference w:id="6"/>
      </w:r>
      <w:r>
        <w:rPr>
          <w:noProof/>
        </w:rPr>
        <w:t xml:space="preserve"> gestionată de fermierii, silvicultorii și pescarii din UE.</w:t>
      </w:r>
    </w:p>
    <w:p w14:paraId="1410A3BD" w14:textId="267CB03A" w:rsidR="004F1F21" w:rsidRDefault="2D9BB27F" w:rsidP="00195A2C">
      <w:pPr>
        <w:rPr>
          <w:noProof/>
        </w:rPr>
      </w:pPr>
      <w:r>
        <w:rPr>
          <w:noProof/>
        </w:rPr>
        <w:t xml:space="preserve">Cu o valoare de până la </w:t>
      </w:r>
      <w:r>
        <w:rPr>
          <w:b/>
          <w:noProof/>
        </w:rPr>
        <w:t>2,7 mii de miliarde EUR în 2023</w:t>
      </w:r>
      <w:r>
        <w:rPr>
          <w:noProof/>
          <w:vertAlign w:val="superscript"/>
        </w:rPr>
        <w:footnoteReference w:id="7"/>
      </w:r>
      <w:r>
        <w:rPr>
          <w:rStyle w:val="FootnoteReference"/>
          <w:noProof/>
        </w:rPr>
        <w:footnoteReference w:id="8"/>
      </w:r>
      <w:r>
        <w:rPr>
          <w:noProof/>
        </w:rPr>
        <w:t xml:space="preserve">, bioeconomia UE este un </w:t>
      </w:r>
      <w:r>
        <w:rPr>
          <w:b/>
          <w:noProof/>
        </w:rPr>
        <w:t>motor dinamic al competitivității</w:t>
      </w:r>
      <w:r>
        <w:rPr>
          <w:noProof/>
        </w:rPr>
        <w:t xml:space="preserve"> și are o importanță strategică pentru o gamă largă de sectoare economice</w:t>
      </w:r>
      <w:r>
        <w:rPr>
          <w:noProof/>
          <w:vertAlign w:val="superscript"/>
        </w:rPr>
        <w:footnoteReference w:id="9"/>
      </w:r>
      <w:r>
        <w:rPr>
          <w:noProof/>
        </w:rPr>
        <w:t>. În 2023, activitățile de producție și conversie a biomasei desfășurate în UE au implicat 17,1 milioane de persoane (8 % din locurile de muncă din UE) și au generat o valoare adăugată de 863 de miliarde EUR (5 % din PIB-ul UE)</w:t>
      </w:r>
      <w:r>
        <w:rPr>
          <w:noProof/>
          <w:vertAlign w:val="superscript"/>
        </w:rPr>
        <w:footnoteReference w:id="10"/>
      </w:r>
      <w:r>
        <w:rPr>
          <w:noProof/>
        </w:rPr>
        <w:t>. Investițiile în cercetare și dezvoltare în sectoarele legate de bioeconomie au ajuns la 23,2 miliarde EUR (9 % din totalul investițiilor în cercetare și dezvoltare) în 2023</w:t>
      </w:r>
      <w:r>
        <w:rPr>
          <w:rStyle w:val="FootnoteReference"/>
          <w:noProof/>
        </w:rPr>
        <w:footnoteReference w:id="11"/>
      </w:r>
      <w:r>
        <w:rPr>
          <w:noProof/>
        </w:rPr>
        <w:t>, în timp ce brevetele în aceste domenii au reprezentat 5 % din totalul brevetelor depuse în UE în perioada 2008-2020</w:t>
      </w:r>
      <w:r>
        <w:rPr>
          <w:noProof/>
          <w:vertAlign w:val="superscript"/>
        </w:rPr>
        <w:footnoteReference w:id="12"/>
      </w:r>
      <w:r>
        <w:rPr>
          <w:noProof/>
        </w:rPr>
        <w:t>. În ultimul deceniu, sectoarele bioeconomiei au înregistrat o creștere mai rapidă decât economia în ansamblu</w:t>
      </w:r>
      <w:r>
        <w:rPr>
          <w:rStyle w:val="FootnoteReference"/>
          <w:noProof/>
        </w:rPr>
        <w:footnoteReference w:id="13"/>
      </w:r>
      <w:r>
        <w:rPr>
          <w:noProof/>
        </w:rPr>
        <w:t>. Estimările sugerează că, pentru fiecare loc de muncă apărut în industria europeană a bioeconomiei, se creează încă 2,9 locuri de muncă indirecte în UE</w:t>
      </w:r>
      <w:r>
        <w:rPr>
          <w:rStyle w:val="FootnoteReference"/>
          <w:noProof/>
        </w:rPr>
        <w:footnoteReference w:id="14"/>
      </w:r>
      <w:r>
        <w:rPr>
          <w:noProof/>
        </w:rPr>
        <w:t>.</w:t>
      </w:r>
    </w:p>
    <w:p w14:paraId="0A22F761" w14:textId="0E130373" w:rsidR="42B65590" w:rsidRPr="00422BD3" w:rsidRDefault="75137F64" w:rsidP="42B65590">
      <w:pPr>
        <w:rPr>
          <w:noProof/>
          <w:sz w:val="18"/>
          <w:szCs w:val="18"/>
        </w:rPr>
      </w:pPr>
      <w:r>
        <w:rPr>
          <w:noProof/>
          <w:sz w:val="18"/>
        </w:rPr>
        <w:t>Figura 1 – Evoluția valorii adăugate în sectoarele care produc și transformă biomasă (UE-27)</w:t>
      </w:r>
      <w:r>
        <w:rPr>
          <w:noProof/>
          <w:sz w:val="18"/>
          <w:szCs w:val="18"/>
          <w:vertAlign w:val="superscript"/>
          <w:lang w:val="en-IE"/>
        </w:rPr>
        <w:footnoteReference w:id="15"/>
      </w:r>
    </w:p>
    <w:p w14:paraId="2369FA5A" w14:textId="5B2981AF" w:rsidR="00E155AE" w:rsidRDefault="00E5107F" w:rsidP="005C2FC0">
      <w:pPr>
        <w:jc w:val="center"/>
        <w:rPr>
          <w:noProof/>
        </w:rPr>
      </w:pPr>
      <w:r w:rsidRPr="00E5107F">
        <w:rPr>
          <w:noProof/>
          <w:lang w:val="en-GB" w:eastAsia="en-GB"/>
        </w:rPr>
        <w:drawing>
          <wp:inline distT="0" distB="0" distL="0" distR="0" wp14:anchorId="62610A1D" wp14:editId="3C506601">
            <wp:extent cx="5472430" cy="2209800"/>
            <wp:effectExtent l="0" t="0" r="0" b="0"/>
            <wp:docPr id="967482678" name="Picture 1" descr="A graph with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482678" name="Picture 1" descr="A graph with different colored bars&#10;&#10;AI-generated content may be incorrect."/>
                    <pic:cNvPicPr/>
                  </pic:nvPicPr>
                  <pic:blipFill>
                    <a:blip r:embed="rId18"/>
                    <a:stretch>
                      <a:fillRect/>
                    </a:stretch>
                  </pic:blipFill>
                  <pic:spPr>
                    <a:xfrm>
                      <a:off x="0" y="0"/>
                      <a:ext cx="5472430" cy="2209800"/>
                    </a:xfrm>
                    <a:prstGeom prst="rect">
                      <a:avLst/>
                    </a:prstGeom>
                  </pic:spPr>
                </pic:pic>
              </a:graphicData>
            </a:graphic>
          </wp:inline>
        </w:drawing>
      </w:r>
    </w:p>
    <w:p w14:paraId="255FAB20" w14:textId="3E8CE750" w:rsidR="00315884" w:rsidRPr="00422BD3" w:rsidRDefault="005C2FC0" w:rsidP="003D738A">
      <w:pPr>
        <w:pStyle w:val="FootnoteText"/>
        <w:spacing w:after="0"/>
        <w:ind w:left="0" w:firstLine="0"/>
        <w:rPr>
          <w:noProof/>
          <w:sz w:val="18"/>
          <w:szCs w:val="18"/>
        </w:rPr>
      </w:pPr>
      <w:r>
        <w:rPr>
          <w:noProof/>
          <w:sz w:val="18"/>
        </w:rPr>
        <w:t>Sursa: Lasarte-López, J., M’barek, R. (2025). „</w:t>
      </w:r>
      <w:r>
        <w:rPr>
          <w:i/>
          <w:noProof/>
          <w:sz w:val="18"/>
        </w:rPr>
        <w:t>The EU bioeconomy at a glance:</w:t>
      </w:r>
      <w:r>
        <w:rPr>
          <w:noProof/>
          <w:sz w:val="18"/>
        </w:rPr>
        <w:t xml:space="preserve"> </w:t>
      </w:r>
      <w:r>
        <w:rPr>
          <w:i/>
          <w:noProof/>
          <w:sz w:val="18"/>
        </w:rPr>
        <w:t>Focus on economic value added,</w:t>
      </w:r>
      <w:r w:rsidR="0033371E">
        <w:rPr>
          <w:i/>
          <w:noProof/>
          <w:sz w:val="18"/>
        </w:rPr>
        <w:t>employment and innovation</w:t>
      </w:r>
      <w:r w:rsidR="0033371E">
        <w:rPr>
          <w:noProof/>
          <w:sz w:val="18"/>
        </w:rPr>
        <w:t>” (Bioeconomia UE pe scurt: axarea pe valoarea adăugată economică, ocuparea forței de muncă și inovare). Comisia Europeană, Sevilla, 2025. JRC143759.</w:t>
      </w:r>
    </w:p>
    <w:p w14:paraId="78194D76" w14:textId="77777777" w:rsidR="00315884" w:rsidRDefault="00315884" w:rsidP="00195A2C">
      <w:pPr>
        <w:rPr>
          <w:noProof/>
          <w:sz w:val="20"/>
        </w:rPr>
      </w:pPr>
      <w:bookmarkStart w:id="2" w:name="_Hlk214198311"/>
    </w:p>
    <w:p w14:paraId="70BA4D72" w14:textId="624FB490" w:rsidR="00195A2C" w:rsidRPr="00CE41EF" w:rsidRDefault="00370D75" w:rsidP="00195A2C">
      <w:pPr>
        <w:rPr>
          <w:noProof/>
        </w:rPr>
      </w:pPr>
      <w:r>
        <w:rPr>
          <w:noProof/>
        </w:rPr>
        <w:t xml:space="preserve">Bioeconomia are un imens potențial care încă nu a fost exploatat. Aceasta se datorează în special lipsei investițiilor: </w:t>
      </w:r>
      <w:r>
        <w:rPr>
          <w:b/>
          <w:noProof/>
        </w:rPr>
        <w:t>Grupul Băncii Europene de Investiții</w:t>
      </w:r>
      <w:r>
        <w:rPr>
          <w:noProof/>
        </w:rPr>
        <w:t xml:space="preserve"> (Grupul BEI) a cartografiat nevoile de investiții</w:t>
      </w:r>
      <w:r>
        <w:rPr>
          <w:rStyle w:val="FootnoteReference"/>
          <w:noProof/>
        </w:rPr>
        <w:footnoteReference w:id="16"/>
      </w:r>
      <w:r>
        <w:rPr>
          <w:noProof/>
        </w:rPr>
        <w:t xml:space="preserve"> în nouă sectoare ale bioeconomiei, identificând domeniile în care UE trebuie să acționeze pentru a elimina deficitele de finanțare și pentru a accelera tranziția către durabilitate. Analiza lor arată deficite de finanțare considerabile de-a lungul lanțului valoric, în special în ceea ce privește extinderea producției biotehnologice, a materialelor avansate din bioresurse și a infrastructurii bioeconomiei circulare, care împiedică în prezent pătrunderea pe piață a inovațiilor promițătoare.</w:t>
      </w:r>
    </w:p>
    <w:bookmarkEnd w:id="2"/>
    <w:p w14:paraId="7F035F24" w14:textId="7410D737" w:rsidR="00A57A91" w:rsidRPr="00CE41EF" w:rsidRDefault="7BCCC3A8" w:rsidP="0D40930D">
      <w:pPr>
        <w:rPr>
          <w:noProof/>
        </w:rPr>
      </w:pPr>
      <w:r>
        <w:rPr>
          <w:noProof/>
        </w:rPr>
        <w:t xml:space="preserve">Totodată, bioeconomia </w:t>
      </w:r>
      <w:r>
        <w:rPr>
          <w:noProof/>
          <w:color w:val="000000" w:themeColor="text1"/>
        </w:rPr>
        <w:t>este constrânsă de limitele planetare, de efectele schimbărilor climatice și de durabilitatea biomasei</w:t>
      </w:r>
      <w:r>
        <w:rPr>
          <w:rStyle w:val="FootnoteReference"/>
          <w:noProof/>
          <w:color w:val="000000" w:themeColor="text1"/>
        </w:rPr>
        <w:footnoteReference w:id="17"/>
      </w:r>
      <w:r>
        <w:rPr>
          <w:rStyle w:val="FootnoteReference"/>
          <w:noProof/>
          <w:color w:val="000000" w:themeColor="text1"/>
        </w:rPr>
        <w:footnoteReference w:id="18"/>
      </w:r>
      <w:r>
        <w:rPr>
          <w:noProof/>
          <w:color w:val="000000" w:themeColor="text1"/>
        </w:rPr>
        <w:t xml:space="preserve">. </w:t>
      </w:r>
      <w:r>
        <w:rPr>
          <w:noProof/>
        </w:rPr>
        <w:t xml:space="preserve">Utilizarea responsabilă și eficientă a biomasei rămâne esențială pentru </w:t>
      </w:r>
      <w:r>
        <w:rPr>
          <w:b/>
          <w:noProof/>
        </w:rPr>
        <w:t xml:space="preserve">competitivitatea pe termen lung, stabilitatea aprovizionării </w:t>
      </w:r>
      <w:r>
        <w:rPr>
          <w:noProof/>
        </w:rPr>
        <w:t>și</w:t>
      </w:r>
      <w:r>
        <w:rPr>
          <w:b/>
          <w:noProof/>
        </w:rPr>
        <w:t xml:space="preserve"> sănătatea ecosistemelor. </w:t>
      </w:r>
    </w:p>
    <w:p w14:paraId="3238ED1E" w14:textId="0ABD82FC" w:rsidR="00421AF1" w:rsidRDefault="00C96063" w:rsidP="009650AB">
      <w:pPr>
        <w:rPr>
          <w:noProof/>
        </w:rPr>
      </w:pPr>
      <w:r>
        <w:rPr>
          <w:noProof/>
        </w:rPr>
        <w:t>Pe baza contribuțiilor ample obținute în urma mai multor consultări</w:t>
      </w:r>
      <w:r>
        <w:rPr>
          <w:noProof/>
          <w:vertAlign w:val="superscript"/>
          <w:lang w:val="en-IE"/>
        </w:rPr>
        <w:footnoteReference w:id="19"/>
      </w:r>
      <w:r>
        <w:rPr>
          <w:noProof/>
        </w:rPr>
        <w:t xml:space="preserve">, prezenta strategie </w:t>
      </w:r>
      <w:r>
        <w:rPr>
          <w:b/>
          <w:noProof/>
        </w:rPr>
        <w:t>trasează o cale de urmat pentru construirea unei bioeconomii durabile și cu impact pozitiv asupra naturii prin:</w:t>
      </w:r>
      <w:r>
        <w:rPr>
          <w:noProof/>
        </w:rPr>
        <w:t xml:space="preserve"> </w:t>
      </w:r>
    </w:p>
    <w:p w14:paraId="3BB7D9FC" w14:textId="17325CE2" w:rsidR="00421AF1" w:rsidRPr="00421AF1" w:rsidRDefault="00C96063" w:rsidP="003F29A7">
      <w:pPr>
        <w:pStyle w:val="ListParagraph"/>
        <w:numPr>
          <w:ilvl w:val="0"/>
          <w:numId w:val="45"/>
        </w:numPr>
        <w:spacing w:after="0" w:line="240" w:lineRule="auto"/>
        <w:ind w:left="714" w:hanging="357"/>
        <w:rPr>
          <w:noProof/>
        </w:rPr>
      </w:pPr>
      <w:r>
        <w:rPr>
          <w:b/>
          <w:noProof/>
        </w:rPr>
        <w:t>intensificarea inovării</w:t>
      </w:r>
      <w:r>
        <w:rPr>
          <w:noProof/>
        </w:rPr>
        <w:t xml:space="preserve"> </w:t>
      </w:r>
      <w:r>
        <w:rPr>
          <w:b/>
          <w:noProof/>
        </w:rPr>
        <w:t>și a investițiilor</w:t>
      </w:r>
      <w:r>
        <w:rPr>
          <w:noProof/>
        </w:rPr>
        <w:t xml:space="preserve">; </w:t>
      </w:r>
    </w:p>
    <w:p w14:paraId="64C63015" w14:textId="3F10DDAF" w:rsidR="00421AF1" w:rsidRPr="00421AF1" w:rsidRDefault="00C96063" w:rsidP="003F29A7">
      <w:pPr>
        <w:pStyle w:val="ListParagraph"/>
        <w:numPr>
          <w:ilvl w:val="0"/>
          <w:numId w:val="45"/>
        </w:numPr>
        <w:spacing w:after="0" w:line="240" w:lineRule="auto"/>
        <w:ind w:left="714" w:hanging="357"/>
        <w:rPr>
          <w:noProof/>
        </w:rPr>
      </w:pPr>
      <w:r>
        <w:rPr>
          <w:b/>
          <w:noProof/>
        </w:rPr>
        <w:t>crearea de noi piețe-lider pentru materiale din bioresurse și biotehnologii;</w:t>
      </w:r>
    </w:p>
    <w:p w14:paraId="1884473E" w14:textId="2356BA17" w:rsidR="00421AF1" w:rsidRPr="00421AF1" w:rsidRDefault="00C96063" w:rsidP="003F29A7">
      <w:pPr>
        <w:pStyle w:val="ListParagraph"/>
        <w:numPr>
          <w:ilvl w:val="0"/>
          <w:numId w:val="45"/>
        </w:numPr>
        <w:spacing w:after="0" w:line="240" w:lineRule="auto"/>
        <w:ind w:left="714" w:hanging="357"/>
        <w:rPr>
          <w:noProof/>
        </w:rPr>
      </w:pPr>
      <w:r>
        <w:rPr>
          <w:b/>
          <w:noProof/>
        </w:rPr>
        <w:t>asigurarea aprovizionării durabile cu biomasă de-a lungul lanțurilor valorice</w:t>
      </w:r>
      <w:r>
        <w:rPr>
          <w:noProof/>
        </w:rPr>
        <w:t xml:space="preserve"> și</w:t>
      </w:r>
    </w:p>
    <w:p w14:paraId="09979EF4" w14:textId="77777777" w:rsidR="00421AF1" w:rsidRPr="00421AF1" w:rsidRDefault="00C96063" w:rsidP="003F29A7">
      <w:pPr>
        <w:pStyle w:val="ListParagraph"/>
        <w:numPr>
          <w:ilvl w:val="0"/>
          <w:numId w:val="45"/>
        </w:numPr>
        <w:spacing w:after="0" w:line="240" w:lineRule="auto"/>
        <w:ind w:left="714" w:hanging="357"/>
        <w:rPr>
          <w:noProof/>
        </w:rPr>
      </w:pPr>
      <w:r>
        <w:rPr>
          <w:b/>
          <w:noProof/>
        </w:rPr>
        <w:t>valorificarea oportunităților globale</w:t>
      </w:r>
      <w:r>
        <w:rPr>
          <w:noProof/>
        </w:rPr>
        <w:t xml:space="preserve">. </w:t>
      </w:r>
    </w:p>
    <w:p w14:paraId="305E1499" w14:textId="77777777" w:rsidR="00421AF1" w:rsidRPr="00421AF1" w:rsidRDefault="00421AF1" w:rsidP="00421AF1">
      <w:pPr>
        <w:pStyle w:val="ListParagraph"/>
        <w:spacing w:after="0" w:line="240" w:lineRule="auto"/>
        <w:ind w:left="714" w:firstLine="0"/>
        <w:rPr>
          <w:noProof/>
        </w:rPr>
      </w:pPr>
    </w:p>
    <w:p w14:paraId="322E7DC0" w14:textId="7B1912F0" w:rsidR="001E0C0F" w:rsidRPr="006E08C9" w:rsidRDefault="00C96063" w:rsidP="45E269A7">
      <w:pPr>
        <w:rPr>
          <w:noProof/>
        </w:rPr>
      </w:pPr>
      <w:r>
        <w:rPr>
          <w:noProof/>
        </w:rPr>
        <w:t>Prezenta strategie se bazează pe Strategia din 2012</w:t>
      </w:r>
      <w:r>
        <w:rPr>
          <w:noProof/>
          <w:vertAlign w:val="superscript"/>
          <w:lang w:val="en-IE"/>
        </w:rPr>
        <w:footnoteReference w:id="20"/>
      </w:r>
      <w:r>
        <w:rPr>
          <w:noProof/>
        </w:rPr>
        <w:t xml:space="preserve"> în domeniul bioeconomiei și pe revizuirile efectuate în 2018</w:t>
      </w:r>
      <w:r>
        <w:rPr>
          <w:noProof/>
          <w:vertAlign w:val="superscript"/>
          <w:lang w:val="en-IE"/>
        </w:rPr>
        <w:footnoteReference w:id="21"/>
      </w:r>
      <w:r>
        <w:rPr>
          <w:noProof/>
        </w:rPr>
        <w:t xml:space="preserve"> și 2022</w:t>
      </w:r>
      <w:r>
        <w:rPr>
          <w:rStyle w:val="FootnoteReference"/>
          <w:noProof/>
          <w:lang w:val="en-IE"/>
        </w:rPr>
        <w:footnoteReference w:id="22"/>
      </w:r>
      <w:r>
        <w:rPr>
          <w:noProof/>
        </w:rPr>
        <w:t>, punând accentul pe implementarea industrială, extinderea pieței, competitivitate și reziliență. Strategia răspunde concluziilor Consiliului din 2023 și 2024</w:t>
      </w:r>
      <w:r>
        <w:rPr>
          <w:noProof/>
          <w:vertAlign w:val="superscript"/>
          <w:lang w:val="en-IE"/>
        </w:rPr>
        <w:footnoteReference w:id="23"/>
      </w:r>
      <w:r>
        <w:rPr>
          <w:noProof/>
        </w:rPr>
        <w:t xml:space="preserve"> și Agendei strategice pentru perioada 2024-2029</w:t>
      </w:r>
      <w:r>
        <w:rPr>
          <w:noProof/>
          <w:vertAlign w:val="superscript"/>
          <w:lang w:val="en-IE"/>
        </w:rPr>
        <w:footnoteReference w:id="24"/>
      </w:r>
      <w:r>
        <w:rPr>
          <w:noProof/>
        </w:rPr>
        <w:t>. De asemenea, aceasta ia în considerare Rezoluția Parlamentului European privind viitorul biotehnologiei și al producției biotehnologice în UE, adoptată în iulie 2025</w:t>
      </w:r>
      <w:r>
        <w:rPr>
          <w:noProof/>
          <w:vertAlign w:val="superscript"/>
          <w:lang w:val="en-IE"/>
        </w:rPr>
        <w:footnoteReference w:id="25"/>
      </w:r>
      <w:r>
        <w:rPr>
          <w:noProof/>
        </w:rPr>
        <w:t>.</w:t>
      </w:r>
    </w:p>
    <w:p w14:paraId="64D42B49" w14:textId="6659055A" w:rsidR="038E81DD" w:rsidRPr="00CE41EF" w:rsidRDefault="52BE9D32" w:rsidP="45E269A7">
      <w:pPr>
        <w:rPr>
          <w:rFonts w:eastAsia="Aptos"/>
          <w:b/>
          <w:i/>
          <w:noProof/>
        </w:rPr>
      </w:pPr>
      <w:r>
        <w:rPr>
          <w:b/>
          <w:i/>
          <w:noProof/>
        </w:rPr>
        <w:t>Viziune: Bioeconomia europeană în 2040</w:t>
      </w:r>
    </w:p>
    <w:p w14:paraId="0AF347A1" w14:textId="1094FA2D" w:rsidR="005B0359" w:rsidRDefault="4462F801" w:rsidP="47E57817">
      <w:pPr>
        <w:pBdr>
          <w:top w:val="single" w:sz="4" w:space="1" w:color="auto"/>
          <w:left w:val="single" w:sz="4" w:space="1" w:color="auto"/>
          <w:bottom w:val="single" w:sz="4" w:space="1" w:color="auto"/>
          <w:right w:val="single" w:sz="4" w:space="1" w:color="auto"/>
        </w:pBdr>
        <w:spacing w:after="0"/>
        <w:rPr>
          <w:rFonts w:eastAsia="Aptos"/>
          <w:i/>
          <w:iCs/>
          <w:noProof/>
        </w:rPr>
      </w:pPr>
      <w:r>
        <w:rPr>
          <w:i/>
          <w:noProof/>
        </w:rPr>
        <w:t xml:space="preserve">Până în 2040, materialele din bioresurse și bioprodusele durabile, cum ar fi materialele de construcții, produsele biochimice, textilele, îngrășămintele, produsele de protecție a plantelor și materialele plastice, vor fi utilizate pe scară largă în UE. Acestea oferă alternative care nu utilizează combustibili fosili și creează noi fluxuri stabile de venituri în regiunile rurale, costiere și industriale din întreaga Europă. Creșterea producției durabile sprijină sistemele agricole și alimentare reziliente, bazate pe o gestionare fundamentată pe cunoștințe. Biorafinăriile integrate și instalațiile avansate de fermentație funcționează pe întreg continentul, transformând materii prime diverse în produse cu valoare ridicată. </w:t>
      </w:r>
    </w:p>
    <w:p w14:paraId="34C55EEE" w14:textId="77777777" w:rsidR="00640E09" w:rsidRPr="004951A2" w:rsidRDefault="00640E09" w:rsidP="47E57817">
      <w:pPr>
        <w:pBdr>
          <w:top w:val="single" w:sz="4" w:space="1" w:color="auto"/>
          <w:left w:val="single" w:sz="4" w:space="1" w:color="auto"/>
          <w:bottom w:val="single" w:sz="4" w:space="1" w:color="auto"/>
          <w:right w:val="single" w:sz="4" w:space="1" w:color="auto"/>
        </w:pBdr>
        <w:spacing w:after="0"/>
        <w:rPr>
          <w:rFonts w:eastAsia="Aptos"/>
          <w:i/>
          <w:iCs/>
          <w:noProof/>
        </w:rPr>
      </w:pPr>
    </w:p>
    <w:p w14:paraId="6A633A99" w14:textId="3CA71402" w:rsidR="00640E09" w:rsidRDefault="00640E09" w:rsidP="47E57817">
      <w:pPr>
        <w:pBdr>
          <w:top w:val="single" w:sz="4" w:space="1" w:color="auto"/>
          <w:left w:val="single" w:sz="4" w:space="1" w:color="auto"/>
          <w:bottom w:val="single" w:sz="4" w:space="1" w:color="auto"/>
          <w:right w:val="single" w:sz="4" w:space="1" w:color="auto"/>
        </w:pBdr>
        <w:spacing w:after="0"/>
        <w:rPr>
          <w:rFonts w:eastAsia="Aptos"/>
          <w:i/>
          <w:iCs/>
          <w:noProof/>
        </w:rPr>
      </w:pPr>
      <w:r>
        <w:rPr>
          <w:i/>
          <w:noProof/>
        </w:rPr>
        <w:t>Bioeconomia Europei ajunge la această scară deoarece biotehnologia, impulsionată de actele legislative europene privind biotehnologiile (Biotech Acts), devine motorul care face ca soluțiile bazate pe bioresurse să fie accesibile ca preț, competitive și pot fi implementate la scară industrială.</w:t>
      </w:r>
    </w:p>
    <w:p w14:paraId="58CC2982" w14:textId="77777777" w:rsidR="009845A8" w:rsidRPr="004951A2" w:rsidRDefault="009845A8" w:rsidP="45E269A7">
      <w:pPr>
        <w:pBdr>
          <w:top w:val="single" w:sz="4" w:space="1" w:color="auto"/>
          <w:left w:val="single" w:sz="4" w:space="1" w:color="auto"/>
          <w:bottom w:val="single" w:sz="4" w:space="1" w:color="auto"/>
          <w:right w:val="single" w:sz="4" w:space="1" w:color="auto"/>
        </w:pBdr>
        <w:spacing w:after="0"/>
        <w:rPr>
          <w:rFonts w:eastAsia="Aptos"/>
          <w:i/>
          <w:iCs/>
          <w:noProof/>
          <w:szCs w:val="24"/>
        </w:rPr>
      </w:pPr>
    </w:p>
    <w:p w14:paraId="3A8D805D" w14:textId="5326C319" w:rsidR="00BE3CE7" w:rsidRPr="00CE41EF" w:rsidRDefault="66EFF382" w:rsidP="56E11421">
      <w:pPr>
        <w:pBdr>
          <w:top w:val="single" w:sz="4" w:space="1" w:color="auto"/>
          <w:left w:val="single" w:sz="4" w:space="1" w:color="auto"/>
          <w:bottom w:val="single" w:sz="4" w:space="1" w:color="auto"/>
          <w:right w:val="single" w:sz="4" w:space="1" w:color="auto"/>
        </w:pBdr>
        <w:spacing w:after="0"/>
        <w:rPr>
          <w:rFonts w:eastAsia="Aptos"/>
          <w:b/>
          <w:bCs/>
          <w:i/>
          <w:iCs/>
          <w:noProof/>
        </w:rPr>
      </w:pPr>
      <w:r>
        <w:rPr>
          <w:i/>
          <w:noProof/>
        </w:rPr>
        <w:t xml:space="preserve">Progresele în domeniul biotehnologiei și al producției biotehnologice fac ca soluțiile bazate pe bioresurse să fie competitive din punctul de vedere al costurilor și scalabile. Competențele, predictibilitatea investițiilor și aprovizionarea fiabilă cu biomasă susțin implementarea industrială. </w:t>
      </w:r>
    </w:p>
    <w:p w14:paraId="61823864" w14:textId="77777777" w:rsidR="004B1D38" w:rsidRPr="004951A2" w:rsidRDefault="004B1D38" w:rsidP="45E269A7">
      <w:pPr>
        <w:pBdr>
          <w:top w:val="single" w:sz="4" w:space="1" w:color="auto"/>
          <w:left w:val="single" w:sz="4" w:space="1" w:color="auto"/>
          <w:bottom w:val="single" w:sz="4" w:space="1" w:color="auto"/>
          <w:right w:val="single" w:sz="4" w:space="1" w:color="auto"/>
        </w:pBdr>
        <w:spacing w:after="0"/>
        <w:rPr>
          <w:rFonts w:eastAsia="Aptos"/>
          <w:i/>
          <w:iCs/>
          <w:noProof/>
          <w:szCs w:val="24"/>
        </w:rPr>
      </w:pPr>
    </w:p>
    <w:p w14:paraId="5BBA2E8A" w14:textId="43F69716" w:rsidR="00BE3CE7" w:rsidRPr="00CE41EF" w:rsidRDefault="6374146A" w:rsidP="47E57817">
      <w:pPr>
        <w:pBdr>
          <w:top w:val="single" w:sz="4" w:space="1" w:color="auto"/>
          <w:left w:val="single" w:sz="4" w:space="1" w:color="auto"/>
          <w:bottom w:val="single" w:sz="4" w:space="1" w:color="auto"/>
          <w:right w:val="single" w:sz="4" w:space="1" w:color="auto"/>
        </w:pBdr>
        <w:spacing w:after="0"/>
        <w:rPr>
          <w:rFonts w:eastAsia="Aptos"/>
          <w:i/>
          <w:iCs/>
          <w:noProof/>
        </w:rPr>
      </w:pPr>
      <w:r>
        <w:rPr>
          <w:i/>
          <w:noProof/>
        </w:rPr>
        <w:t>Bioeconomia permite Europei să își mobilizeze propriile atuuri – terenuri agricole productive, păduri gestionate în mod durabil și oceane sănătoase – pentru a asigura prosperitate, securitate economică și alimentară și reziliență. Agricultura și silvicultura, combinate cu o utilizare mai inteligentă a resurselor marine, permit Europei să își acopere majoritatea nevoilor de biomasă prin producție internă durabilă. Utilizarea strategică a subproduselor și a reziduurilor sporește eficiența utilizării resurselor, consolidând totodată poziția UE pe piețele mondiale.</w:t>
      </w:r>
    </w:p>
    <w:p w14:paraId="109858A6" w14:textId="77777777" w:rsidR="007B2222" w:rsidRPr="004951A2" w:rsidRDefault="007B2222" w:rsidP="45E269A7">
      <w:pPr>
        <w:pBdr>
          <w:top w:val="single" w:sz="4" w:space="1" w:color="auto"/>
          <w:left w:val="single" w:sz="4" w:space="1" w:color="auto"/>
          <w:bottom w:val="single" w:sz="4" w:space="1" w:color="auto"/>
          <w:right w:val="single" w:sz="4" w:space="1" w:color="auto"/>
        </w:pBdr>
        <w:spacing w:after="0"/>
        <w:rPr>
          <w:rFonts w:eastAsia="Aptos"/>
          <w:i/>
          <w:iCs/>
          <w:noProof/>
          <w:szCs w:val="24"/>
        </w:rPr>
      </w:pPr>
    </w:p>
    <w:p w14:paraId="6FEB81A5" w14:textId="05154B7C" w:rsidR="00BE3CE7" w:rsidRPr="00CE41EF" w:rsidRDefault="11C64069" w:rsidP="00FF0551">
      <w:pPr>
        <w:pBdr>
          <w:top w:val="single" w:sz="4" w:space="1" w:color="auto"/>
          <w:left w:val="single" w:sz="4" w:space="1" w:color="auto"/>
          <w:bottom w:val="single" w:sz="4" w:space="1" w:color="auto"/>
          <w:right w:val="single" w:sz="4" w:space="1" w:color="auto"/>
        </w:pBdr>
        <w:spacing w:after="0" w:line="259" w:lineRule="auto"/>
        <w:rPr>
          <w:rFonts w:eastAsia="Aptos"/>
          <w:i/>
          <w:iCs/>
          <w:noProof/>
        </w:rPr>
      </w:pPr>
      <w:r>
        <w:rPr>
          <w:i/>
          <w:noProof/>
        </w:rPr>
        <w:t>La nivel global, Europa acționează ca partener principal și exportator de biotehnologii și materiale din bioresurse durabile, precum și de know-how. Prin parteneriate strategice și acorduri comerciale echitabile și durabile, UE pătrunde pe noi piețe. UE acționează activ în cadrul forurilor internaționale, cum ar fi Organizația Națiunilor Unite pentru Alimentație și Agricultură (FAO) și Organizația Mondială a Comerțului (OMC), promovând o bioeconomie mondială echitabilă și bazată pe norme.</w:t>
      </w:r>
    </w:p>
    <w:p w14:paraId="38D99559" w14:textId="77777777" w:rsidR="000B4DDB" w:rsidRPr="004951A2" w:rsidRDefault="000B4DDB" w:rsidP="000B4DDB">
      <w:pPr>
        <w:spacing w:after="0"/>
        <w:rPr>
          <w:rFonts w:eastAsia="Aptos"/>
          <w:noProof/>
          <w:szCs w:val="24"/>
        </w:rPr>
      </w:pPr>
    </w:p>
    <w:p w14:paraId="0E433B4C" w14:textId="3F194AAA" w:rsidR="009650AB" w:rsidRPr="00CE41EF" w:rsidRDefault="00150231" w:rsidP="003F29A7">
      <w:pPr>
        <w:pStyle w:val="Heading1"/>
        <w:numPr>
          <w:ilvl w:val="0"/>
          <w:numId w:val="23"/>
        </w:numPr>
        <w:rPr>
          <w:noProof/>
          <w:szCs w:val="24"/>
        </w:rPr>
      </w:pPr>
      <w:r>
        <w:rPr>
          <w:noProof/>
        </w:rPr>
        <w:t>Intensificarea inovării și a investițiilor: de la laborator la implementare</w:t>
      </w:r>
    </w:p>
    <w:p w14:paraId="2C0FD549" w14:textId="3FA1DCA6" w:rsidR="008F4823" w:rsidRDefault="5540791E" w:rsidP="008F4823">
      <w:pPr>
        <w:rPr>
          <w:noProof/>
          <w:szCs w:val="24"/>
        </w:rPr>
      </w:pPr>
      <w:r>
        <w:rPr>
          <w:noProof/>
        </w:rPr>
        <w:t xml:space="preserve">Ultimul deceniu a demonstrat potențialul </w:t>
      </w:r>
      <w:r>
        <w:rPr>
          <w:b/>
          <w:noProof/>
        </w:rPr>
        <w:t>inovării în domeniul bioeconomiei la scară largă</w:t>
      </w:r>
      <w:r>
        <w:rPr>
          <w:noProof/>
        </w:rPr>
        <w:t>. Valoarea adăugată a noilor materiale din bioresurse crește rapid în sectoare precum cele ale produselor chimice, produselor farmaceutice, materialelor plastice, construcțiilor și produselor textile</w:t>
      </w:r>
      <w:r>
        <w:rPr>
          <w:noProof/>
          <w:vertAlign w:val="superscript"/>
        </w:rPr>
        <w:footnoteReference w:id="26"/>
      </w:r>
      <w:r>
        <w:rPr>
          <w:noProof/>
        </w:rPr>
        <w:t>. Totuși, concurența internațională, în special din partea Statelor Unite și a Chinei, precum și barierele persistente de pe piața unică încetinesc implementarea și riscă să deturneze inovarea către piețele din afara UE.</w:t>
      </w:r>
      <w:r w:rsidR="004951A2">
        <w:rPr>
          <w:noProof/>
        </w:rPr>
        <w:t xml:space="preserve"> </w:t>
      </w:r>
    </w:p>
    <w:p w14:paraId="3E7BC39A" w14:textId="5FF67380" w:rsidR="001E0C0F" w:rsidRDefault="00F40923" w:rsidP="00587696">
      <w:pPr>
        <w:rPr>
          <w:noProof/>
        </w:rPr>
      </w:pPr>
      <w:r>
        <w:rPr>
          <w:b/>
          <w:noProof/>
        </w:rPr>
        <w:t>Pentru a accelera trecerea de la potențial la implementare, este necesară eliminarea barierelor existente și intensificarea investițiilor și a sprijinului pentru utilizarea acestor tehnologii, capabile să genereze cea mai mare valoare adăugată din resurse limitate</w:t>
      </w:r>
      <w:r>
        <w:rPr>
          <w:noProof/>
        </w:rPr>
        <w:t xml:space="preserve">. </w:t>
      </w:r>
    </w:p>
    <w:p w14:paraId="44467C6B" w14:textId="48522723" w:rsidR="00E33B8F" w:rsidRPr="001E0C0F" w:rsidRDefault="001E0C0F" w:rsidP="00422BD3">
      <w:pPr>
        <w:pStyle w:val="Heading2"/>
        <w:rPr>
          <w:noProof/>
        </w:rPr>
      </w:pPr>
      <w:r>
        <w:rPr>
          <w:noProof/>
        </w:rPr>
        <w:t>Eliminarea barierelor</w:t>
      </w:r>
    </w:p>
    <w:p w14:paraId="26FC9FE0" w14:textId="4D20A60E" w:rsidR="009650AB" w:rsidRPr="00CE41EF" w:rsidRDefault="6164E1AF" w:rsidP="74ED25BA">
      <w:pPr>
        <w:spacing w:after="120"/>
        <w:rPr>
          <w:noProof/>
        </w:rPr>
      </w:pPr>
      <w:r>
        <w:rPr>
          <w:i/>
          <w:noProof/>
        </w:rPr>
        <w:t xml:space="preserve">Raționalizarea cerințelor și facilitarea intrării pe piață </w:t>
      </w:r>
    </w:p>
    <w:p w14:paraId="448E1A0F" w14:textId="28246ACD" w:rsidR="009650AB" w:rsidRPr="00CE41EF" w:rsidRDefault="39FF9AB1" w:rsidP="00D36D26">
      <w:pPr>
        <w:rPr>
          <w:noProof/>
        </w:rPr>
      </w:pPr>
      <w:r>
        <w:rPr>
          <w:b/>
          <w:noProof/>
        </w:rPr>
        <w:t>Complexitatea reglementărilor</w:t>
      </w:r>
      <w:r>
        <w:rPr>
          <w:noProof/>
        </w:rPr>
        <w:t xml:space="preserve"> rămâne o provocare majoră pentru bioeconomie. Intrarea pe piață este adesea întârziată din cauza incertitudinii cu privire la clasificarea bioproduselor noi</w:t>
      </w:r>
      <w:r w:rsidR="004951A2">
        <w:rPr>
          <w:noProof/>
        </w:rPr>
        <w:t xml:space="preserve"> </w:t>
      </w:r>
      <w:r>
        <w:rPr>
          <w:noProof/>
        </w:rPr>
        <w:t>care nu se încadrează clar în categoriile existente recunoscute din punct de vedere juridic</w:t>
      </w:r>
      <w:r>
        <w:rPr>
          <w:noProof/>
          <w:vertAlign w:val="superscript"/>
        </w:rPr>
        <w:footnoteReference w:id="27"/>
      </w:r>
      <w:r>
        <w:rPr>
          <w:noProof/>
        </w:rPr>
        <w:t xml:space="preserve">. Agravată de normele și interpretările naționale divergente de la un stat membru la altul, această complexitate duce la fragmentarea pieței, crescând costurile de desfășurare a activităților economice, în special pentru IMM-uri. </w:t>
      </w:r>
    </w:p>
    <w:p w14:paraId="582BB220" w14:textId="7917830D" w:rsidR="00F13F97" w:rsidRDefault="001E0C0F" w:rsidP="00CC4422">
      <w:pPr>
        <w:rPr>
          <w:noProof/>
        </w:rPr>
      </w:pPr>
      <w:r>
        <w:rPr>
          <w:noProof/>
        </w:rPr>
        <w:t xml:space="preserve">Pentru a se asigura că UE oferă un mediu previzibil și favorabil bioinovării, protejând în același timp standardele de siguranță ale UE, Comisia intenționează să simplifice cerințele de reglementare și să accelereze autorizarea produselor prin intermediul </w:t>
      </w:r>
      <w:r>
        <w:rPr>
          <w:b/>
          <w:noProof/>
        </w:rPr>
        <w:t>actelor legislative ale UE privind biotehnologiile</w:t>
      </w:r>
      <w:r>
        <w:rPr>
          <w:noProof/>
        </w:rPr>
        <w:t>. Actele legislative privind biotehnologiile vor introduce catalizatori sectoriali și orizontali, cum ar fi spațiile de testare în materie de reglementare, procedurile accelerate de autorizare pentru soluțiile microbiene de uz industrial în bioeconomie și procedurile simplificate de autorizare pentru proiectele de producție biotehnologică.</w:t>
      </w:r>
    </w:p>
    <w:p w14:paraId="57E213AB" w14:textId="6A75A0A5" w:rsidR="008F4823" w:rsidRDefault="785F2916" w:rsidP="47E57817">
      <w:pPr>
        <w:rPr>
          <w:noProof/>
        </w:rPr>
      </w:pPr>
      <w:r>
        <w:rPr>
          <w:noProof/>
        </w:rPr>
        <w:t>Evaluările rapide și proporționale ale riscurilor asociate soluțiilor noi bazate pe bioresurse sunt esențiale. În prezent, astfel de evaluări sunt realizate de Autoritatea Europeană pentru Siguranța Alimentară, Agenția Europeană pentru Produse Chimice și Agenția Europeană pentru Medicamente. Expertiza acestora este indispensabilă, însă inovatorii se confruntă adesea cu proceduri fragmentate și îndelungate, în special atunci când soluțiile noi bazate pe bioresurse nu se încadrează clar în categoriile de reglementare existente.</w:t>
      </w:r>
      <w:r w:rsidR="004951A2">
        <w:rPr>
          <w:noProof/>
        </w:rPr>
        <w:t xml:space="preserve"> </w:t>
      </w:r>
    </w:p>
    <w:p w14:paraId="04612326" w14:textId="552451C5" w:rsidR="00A507C1" w:rsidRDefault="2CC3174C" w:rsidP="47E57817">
      <w:pPr>
        <w:rPr>
          <w:noProof/>
        </w:rPr>
      </w:pPr>
      <w:r>
        <w:rPr>
          <w:noProof/>
        </w:rPr>
        <w:t xml:space="preserve">Comisia va institui </w:t>
      </w:r>
      <w:r>
        <w:rPr>
          <w:b/>
          <w:noProof/>
        </w:rPr>
        <w:t>Forumul european al autorităților de reglementare și al inovatorilor din bioeconomie</w:t>
      </w:r>
      <w:r>
        <w:rPr>
          <w:noProof/>
        </w:rPr>
        <w:t xml:space="preserve"> (</w:t>
      </w:r>
      <w:r>
        <w:rPr>
          <w:i/>
          <w:noProof/>
        </w:rPr>
        <w:t>European Bioeconomy Regulators and Innovators’ Forum</w:t>
      </w:r>
      <w:r>
        <w:rPr>
          <w:noProof/>
        </w:rPr>
        <w:t xml:space="preserve">) ca spațiu structurat pentru schimbul de bune practici privind evaluările riscurilor asociate soluțiilor noi bazate pe bioresurse, va monitoriza progresele înregistrate și se va angaja într-un dialog timpuriu cu întreprinderile care dezvoltă astfel de soluții. Comisia va coordona acțiunile naționale, precum și pe cele ale UE, pentru a accelera autorizarea noilor operatori și pentru a elimina barierele. </w:t>
      </w:r>
    </w:p>
    <w:p w14:paraId="4FC6D627" w14:textId="79DF3D3B" w:rsidR="001E0C0F" w:rsidRDefault="006D4846" w:rsidP="002D507D">
      <w:pPr>
        <w:rPr>
          <w:noProof/>
        </w:rPr>
      </w:pPr>
      <w:bookmarkStart w:id="3" w:name="_Hlk214198623"/>
      <w:r>
        <w:rPr>
          <w:noProof/>
        </w:rPr>
        <w:t xml:space="preserve">În afară de crearea acestui forum, este necesar să se ia măsuri pentru ca </w:t>
      </w:r>
      <w:r>
        <w:rPr>
          <w:b/>
          <w:noProof/>
        </w:rPr>
        <w:t>aprobările să fie mai rapide, mai clare și mai simple</w:t>
      </w:r>
      <w:r>
        <w:rPr>
          <w:noProof/>
        </w:rPr>
        <w:t xml:space="preserve">. Comisia va oferi orientări privind clasificarea noilor bioproduse și va crea un punct unic de contact online, astfel încât întreprinderile să nu trebuiască să transmită informații decât o singură dată. Evaluările riscurilor vor fi mai bine coordonate între agențiile UE pentru a se evita suprapunerile și pentru a se reduce timpul de așteptare. </w:t>
      </w:r>
      <w:bookmarkStart w:id="4" w:name="_Hlk214198685"/>
      <w:bookmarkEnd w:id="3"/>
    </w:p>
    <w:bookmarkEnd w:id="4"/>
    <w:p w14:paraId="5624468C" w14:textId="12B43938" w:rsidR="009F4042" w:rsidRDefault="009F4042" w:rsidP="009F4042">
      <w:pPr>
        <w:spacing w:after="120"/>
        <w:rPr>
          <w:noProof/>
        </w:rPr>
      </w:pPr>
      <w:r>
        <w:rPr>
          <w:noProof/>
        </w:rPr>
        <w:t xml:space="preserve">Comisia va pune la dispoziție </w:t>
      </w:r>
      <w:r>
        <w:rPr>
          <w:b/>
          <w:noProof/>
        </w:rPr>
        <w:t>sprijin tehnic pentru IMM-urile care dezvoltă bioproduse, pentru a accelera procesul de autorizare, menținând în același timp standarde ridicate de siguranță</w:t>
      </w:r>
      <w:r>
        <w:rPr>
          <w:noProof/>
        </w:rPr>
        <w:t xml:space="preserve">. În special, Comisia va sprijini IMM-urile care dezvoltă produse inovatoare bazate pe fermentație avansată, inclusiv pentru produse alimente și hrană pentru animale. </w:t>
      </w:r>
    </w:p>
    <w:p w14:paraId="6972EE24" w14:textId="59D2E92E" w:rsidR="001E0C0F" w:rsidRDefault="4203083A" w:rsidP="00EA40C0">
      <w:pPr>
        <w:spacing w:after="120"/>
        <w:rPr>
          <w:noProof/>
        </w:rPr>
      </w:pPr>
      <w:r>
        <w:rPr>
          <w:noProof/>
        </w:rPr>
        <w:t xml:space="preserve">Pentru a spori flexibilitatea în materie de reglementare și a permite inovatorilor din domeniul bioeconomiei să dezvolte și să testeze idei noi, să colecteze dovezi și să se asigure că reglementarea rămâne favorabilă inovării, Comisia va </w:t>
      </w:r>
      <w:r>
        <w:rPr>
          <w:b/>
          <w:noProof/>
        </w:rPr>
        <w:t>promova utilizarea mediilor de testare</w:t>
      </w:r>
      <w:r>
        <w:rPr>
          <w:noProof/>
        </w:rPr>
        <w:t>, cum ar fi spațiile de testare în materie de reglementare în bioeconomie, inclusiv în contextul viitorului Act legislativ al UE privind inovarea.</w:t>
      </w:r>
      <w:r w:rsidR="004951A2">
        <w:rPr>
          <w:noProof/>
        </w:rPr>
        <w:t xml:space="preserve"> </w:t>
      </w:r>
    </w:p>
    <w:p w14:paraId="75132B64" w14:textId="5BEF22CD" w:rsidR="00D808FE" w:rsidRDefault="007256C5" w:rsidP="007256C5">
      <w:pPr>
        <w:spacing w:after="120"/>
        <w:rPr>
          <w:noProof/>
        </w:rPr>
      </w:pPr>
      <w:r>
        <w:rPr>
          <w:noProof/>
        </w:rPr>
        <w:t>Biotehnologia și producția biotehnologică vor beneficia, de asemenea, de standarde mai clare și mai coerente care să sprijine adoptarea pe piață. Pentru a rămâne competitivă în aceste domenii complexe și cu evoluție rapidă, Comisia va accelera dezvoltarea standardelor în domeniul bioeconomiei, precum și a metrologiei. Comisia își va consolida investițiile în cadrul actualului CFM în activități</w:t>
      </w:r>
      <w:r>
        <w:rPr>
          <w:b/>
          <w:noProof/>
        </w:rPr>
        <w:t xml:space="preserve"> </w:t>
      </w:r>
      <w:r>
        <w:rPr>
          <w:noProof/>
        </w:rPr>
        <w:t xml:space="preserve">prenormative, prin elaborarea, testarea și validarea unor standarde strategice prealabile, inclusiv privind datele, în condiții reale. </w:t>
      </w:r>
    </w:p>
    <w:p w14:paraId="270D1290" w14:textId="25B392CB" w:rsidR="007256C5" w:rsidRPr="00A4406A" w:rsidRDefault="007256C5" w:rsidP="007256C5">
      <w:pPr>
        <w:spacing w:after="120"/>
        <w:rPr>
          <w:noProof/>
        </w:rPr>
      </w:pPr>
      <w:r>
        <w:rPr>
          <w:noProof/>
        </w:rPr>
        <w:t xml:space="preserve">În temeiul </w:t>
      </w:r>
      <w:r>
        <w:rPr>
          <w:b/>
          <w:noProof/>
        </w:rPr>
        <w:t>Regulamentului privind produsele pentru construcții</w:t>
      </w:r>
      <w:r>
        <w:rPr>
          <w:noProof/>
        </w:rPr>
        <w:t>, caracteristicile esențiale legate de comportamentul la foc și rezistența la foc se aplică deja tuturor produselor pentru construcții, după caz, iar producătorii trebuie să prezinte în consecință declarații privind performanța. Până în prezent, practicile naționale divergente continuă să genereze suprapuneri pentru bioprodusele pentru construcții care nu sunt încă armonizate. În vederea abordării acestor inconsecvențe, Comisia va colabora cu statele membre, cu industria și cu organismele de standardizare pentru a acorda prioritate elaborării și revizuirii standardelor armonizate relevante care alcătuiesc cadrul Regulamentului privind produsele pentru construcții (prin adoptarea în 2026 a cererilor de standardizare pentru uși și ferestre, produse/elemente din lemn pentru construcții și accesorii, panouri și elemente pe bază de lemn, produse de izolare termică). Această activitate va garanta faptul că metodele de testare și abordările în materie de clasificare existente la nivelul UE pot fi aplicate în mod armonizat pentru lemn și pentru alte bioproduse, respectându-se totodată pe deplin faptul că cerințele de protecție împotriva incendiilor la nivel de clădire rămân o competență națională.</w:t>
      </w:r>
    </w:p>
    <w:p w14:paraId="00FCE4FF" w14:textId="77777777" w:rsidR="007256C5" w:rsidRDefault="007256C5" w:rsidP="00EA40C0">
      <w:pPr>
        <w:spacing w:after="120"/>
        <w:rPr>
          <w:noProof/>
        </w:rPr>
      </w:pPr>
    </w:p>
    <w:p w14:paraId="0BDAD43E" w14:textId="566AF22A" w:rsidR="009650AB" w:rsidRPr="00CE41EF" w:rsidRDefault="00364161" w:rsidP="00EA40C0">
      <w:pPr>
        <w:spacing w:after="120"/>
        <w:rPr>
          <w:i/>
          <w:iCs/>
          <w:noProof/>
          <w:szCs w:val="24"/>
        </w:rPr>
      </w:pPr>
      <w:r>
        <w:rPr>
          <w:i/>
          <w:noProof/>
        </w:rPr>
        <w:t>Bariere nereglementare</w:t>
      </w:r>
    </w:p>
    <w:p w14:paraId="20388828" w14:textId="51B20C71" w:rsidR="0065326D" w:rsidRDefault="10987D41" w:rsidP="47E57817">
      <w:pPr>
        <w:rPr>
          <w:noProof/>
          <w:szCs w:val="24"/>
        </w:rPr>
      </w:pPr>
      <w:r>
        <w:rPr>
          <w:b/>
          <w:noProof/>
        </w:rPr>
        <w:t>În comparație cu alternativele pe bază de combustibili fosili, bioprodusele pot genera beneficii pentru mediu care nu sunt întotdeauna vizibile pentru consumatori</w:t>
      </w:r>
      <w:r>
        <w:rPr>
          <w:noProof/>
        </w:rPr>
        <w:t xml:space="preserve">. Revizuirea în curs a metodelor privind </w:t>
      </w:r>
      <w:r>
        <w:rPr>
          <w:b/>
          <w:noProof/>
        </w:rPr>
        <w:t xml:space="preserve">amprenta de mediu a produselor </w:t>
      </w:r>
      <w:r>
        <w:rPr>
          <w:noProof/>
        </w:rPr>
        <w:t>(</w:t>
      </w:r>
      <w:r>
        <w:rPr>
          <w:i/>
          <w:noProof/>
        </w:rPr>
        <w:t>Product Environmental Footprint</w:t>
      </w:r>
      <w:r>
        <w:rPr>
          <w:noProof/>
        </w:rPr>
        <w:t xml:space="preserve"> - PEF) va îmbunătăți modul în care sunt evaluate și comparate materialele din bioresurse, bioprodusele chimice și bioprodusele. Aceasta include consolidarea contabilizării carbonului biogenic, adăugarea de indicatori privind biodiversitatea și microplasticele și rafinarea metodelor de evaluare a circularității. Totodată, această revizuire va furniza date de calitate superioară care să sprijine evaluări transparente și credibile. </w:t>
      </w:r>
    </w:p>
    <w:p w14:paraId="41711062" w14:textId="73DAA281" w:rsidR="009650AB" w:rsidRPr="00CE41EF" w:rsidRDefault="000827BC" w:rsidP="000827BC">
      <w:pPr>
        <w:pStyle w:val="Heading2"/>
        <w:numPr>
          <w:ilvl w:val="0"/>
          <w:numId w:val="0"/>
        </w:numPr>
        <w:rPr>
          <w:noProof/>
          <w:szCs w:val="24"/>
        </w:rPr>
      </w:pPr>
      <w:r>
        <w:rPr>
          <w:noProof/>
        </w:rPr>
        <w:t xml:space="preserve">1.2. </w:t>
      </w:r>
      <w:r>
        <w:rPr>
          <w:noProof/>
        </w:rPr>
        <w:tab/>
        <w:t>Stimularea inovării și a investițiilor</w:t>
      </w:r>
    </w:p>
    <w:p w14:paraId="1E761DE4" w14:textId="77777777" w:rsidR="001E0C0F" w:rsidRDefault="3A82B612" w:rsidP="001E0C0F">
      <w:pPr>
        <w:spacing w:after="200"/>
        <w:rPr>
          <w:noProof/>
        </w:rPr>
      </w:pPr>
      <w:r>
        <w:rPr>
          <w:noProof/>
        </w:rPr>
        <w:t xml:space="preserve">Biotehnologiile și biotehnologia industrială sunt sectoare cu utilizare intensivă a capitalului, necesitând investiții inițiale substanțiale în infrastructura de cercetare și inovare, demonstrativă și de producție. În pofida sprijinului din partea fondurilor și a instrumentelor UE pentru a reduce riscurile asociate inovării și investițiilor, oportunitățile de finanțare rămân insuficiente pentru a susține start-upurile și întreprinderile în fază de extindere din domeniul bioeconomiei din etapa descoperirii în laborator până la introducerea pe piață. Aceste întreprinderi se confruntă cu </w:t>
      </w:r>
      <w:r>
        <w:rPr>
          <w:b/>
          <w:noProof/>
        </w:rPr>
        <w:t>două „văi ale morții”</w:t>
      </w:r>
      <w:r>
        <w:rPr>
          <w:noProof/>
        </w:rPr>
        <w:t xml:space="preserve">: </w:t>
      </w:r>
    </w:p>
    <w:p w14:paraId="35E557C4" w14:textId="3A43BC6B" w:rsidR="00E976BE" w:rsidRPr="001E0C0F" w:rsidRDefault="7B7E9180" w:rsidP="001E0C0F">
      <w:pPr>
        <w:spacing w:after="200"/>
        <w:rPr>
          <w:noProof/>
        </w:rPr>
      </w:pPr>
      <w:r>
        <w:rPr>
          <w:noProof/>
        </w:rPr>
        <w:t>Prima apare între stadiul de demonstrație și prima producție comercială, atunci când tehnologiile trebuie să își dovedească viabilitatea tehnică și economică.</w:t>
      </w:r>
      <w:r w:rsidR="004951A2">
        <w:rPr>
          <w:noProof/>
        </w:rPr>
        <w:t xml:space="preserve"> </w:t>
      </w:r>
      <w:r>
        <w:rPr>
          <w:noProof/>
        </w:rPr>
        <w:t>Nevoile ridicate de capital și riscurile de piață percepute pot descuraja finanțarea privată în această etapă. A doua „vale a morții” apare după intrarea inițială pe piață, când întreprinderile urmăresc să se extindă pentru a ajunge în stadiul de producție industrială.</w:t>
      </w:r>
      <w:r w:rsidR="004951A2">
        <w:rPr>
          <w:noProof/>
        </w:rPr>
        <w:t xml:space="preserve"> </w:t>
      </w:r>
      <w:r>
        <w:rPr>
          <w:noProof/>
        </w:rPr>
        <w:t>În acest caz, provocarea constă în trecerea la scara industrială, care necesită capital de creștere substanțial și certitudinea achiziționării producției pe termen lung.</w:t>
      </w:r>
    </w:p>
    <w:p w14:paraId="0663DE9D" w14:textId="716134AE" w:rsidR="00C711A5" w:rsidRPr="00422BD3" w:rsidRDefault="00C711A5" w:rsidP="00116C33">
      <w:pPr>
        <w:pageBreakBefore/>
        <w:rPr>
          <w:noProof/>
          <w:sz w:val="18"/>
          <w:szCs w:val="18"/>
        </w:rPr>
      </w:pPr>
      <w:r>
        <w:rPr>
          <w:noProof/>
          <w:sz w:val="18"/>
        </w:rPr>
        <w:t>Figura 2: Două văi ale morții în procesul de expansiune a bioeconomiei în Europa</w:t>
      </w:r>
    </w:p>
    <w:p w14:paraId="405FEB00" w14:textId="2E12A6E7" w:rsidR="00C711A5" w:rsidRPr="00CE41EF" w:rsidRDefault="00116C33" w:rsidP="00C711A5">
      <w:pPr>
        <w:rPr>
          <w:noProof/>
          <w:szCs w:val="24"/>
        </w:rPr>
      </w:pPr>
      <w:r w:rsidRPr="00116C33">
        <w:rPr>
          <w:noProof/>
          <w:szCs w:val="24"/>
          <w:lang w:val="en-GB" w:eastAsia="en-GB"/>
        </w:rPr>
        <w:drawing>
          <wp:inline distT="0" distB="0" distL="0" distR="0" wp14:anchorId="1C99B25A" wp14:editId="3158D0D7">
            <wp:extent cx="5472430" cy="2973070"/>
            <wp:effectExtent l="0" t="0" r="0" b="0"/>
            <wp:docPr id="1444780090" name="Picture 1" descr="A diagram of a medical proced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780090" name="Picture 1" descr="A diagram of a medical procedure&#10;&#10;AI-generated content may be incorrect."/>
                    <pic:cNvPicPr/>
                  </pic:nvPicPr>
                  <pic:blipFill>
                    <a:blip r:embed="rId19"/>
                    <a:stretch>
                      <a:fillRect/>
                    </a:stretch>
                  </pic:blipFill>
                  <pic:spPr>
                    <a:xfrm>
                      <a:off x="0" y="0"/>
                      <a:ext cx="5472430" cy="2973070"/>
                    </a:xfrm>
                    <a:prstGeom prst="rect">
                      <a:avLst/>
                    </a:prstGeom>
                  </pic:spPr>
                </pic:pic>
              </a:graphicData>
            </a:graphic>
          </wp:inline>
        </w:drawing>
      </w:r>
    </w:p>
    <w:p w14:paraId="73E4FEEA" w14:textId="3389125E" w:rsidR="003E1287" w:rsidRPr="00422BD3" w:rsidDel="00A66A32" w:rsidRDefault="00C711A5" w:rsidP="00315884">
      <w:pPr>
        <w:jc w:val="center"/>
        <w:rPr>
          <w:noProof/>
          <w:sz w:val="18"/>
          <w:szCs w:val="18"/>
        </w:rPr>
      </w:pPr>
      <w:r>
        <w:rPr>
          <w:noProof/>
          <w:sz w:val="18"/>
        </w:rPr>
        <w:t>Sursa: Grafic al Comisiei Europene bazat pe rezultatele consultării publice și pe propria analiză.</w:t>
      </w:r>
    </w:p>
    <w:p w14:paraId="48E3039A" w14:textId="6B248F20" w:rsidR="001E72AC" w:rsidRPr="00C66253" w:rsidRDefault="00511885" w:rsidP="45E269A7">
      <w:pPr>
        <w:spacing w:after="120"/>
        <w:rPr>
          <w:noProof/>
          <w:szCs w:val="24"/>
        </w:rPr>
      </w:pPr>
      <w:r>
        <w:rPr>
          <w:b/>
          <w:noProof/>
        </w:rPr>
        <w:t>Strategia în domeniul științelor vieții din Europa</w:t>
      </w:r>
      <w:r>
        <w:rPr>
          <w:noProof/>
        </w:rPr>
        <w:t xml:space="preserve"> și </w:t>
      </w:r>
      <w:r>
        <w:rPr>
          <w:b/>
          <w:noProof/>
        </w:rPr>
        <w:t>Strategia UE privind start-upurile și întreprinderile în faza de extindere</w:t>
      </w:r>
      <w:r>
        <w:rPr>
          <w:noProof/>
        </w:rPr>
        <w:t xml:space="preserve"> oferă cadrul pentru accelerarea inovării, îmbunătățirea accesului pe piață și sprijinirea extinderii întreprinderilor, asigurând faptul că durabilitatea și competitivitatea avansează împreună. Acest cadru ar trebui completată de o serie de măsuri care să vizez în mod specific investițiile și inovarea în bioeconomie, concentrându-se în special pe etapele ulterioare ale procesului de extindere.</w:t>
      </w:r>
    </w:p>
    <w:p w14:paraId="64F90630" w14:textId="7BDC2E24" w:rsidR="009650AB" w:rsidRPr="00CE41EF" w:rsidRDefault="0F877218" w:rsidP="45E269A7">
      <w:pPr>
        <w:spacing w:after="120"/>
        <w:rPr>
          <w:i/>
          <w:iCs/>
          <w:noProof/>
          <w:szCs w:val="24"/>
        </w:rPr>
      </w:pPr>
      <w:r>
        <w:rPr>
          <w:i/>
          <w:noProof/>
        </w:rPr>
        <w:t>Reducerea riscurilor asociate investițiilor pentru intensificarea inovării</w:t>
      </w:r>
    </w:p>
    <w:p w14:paraId="581472AA" w14:textId="36917D87" w:rsidR="00B50978" w:rsidRDefault="00A43EF3" w:rsidP="009650AB">
      <w:pPr>
        <w:rPr>
          <w:noProof/>
        </w:rPr>
      </w:pPr>
      <w:r>
        <w:rPr>
          <w:noProof/>
        </w:rPr>
        <w:t>Pentru a crea condiții favorabile pentru ca întreprinderile să investească în intensificarea inovării, este esențial să se reducă riscurile asociate investițiilor, să se mobilizeze forme de finanțare mixtă și să se consolideze viabilitatea financiară a soluțiilor revoluționare. Accesul atât la finanțarea de risc în stadiu incipient, cât și la cea în stadiu avansat ar trebui facilitat la nivelul UE și la nivel național deopotrivă, cu un accent special pe atragerea investitorilor axați pe bioeconomie și a fondurilor orientate spre impact, capabile să sprijine proiecte pe termen lung, cu investiții de capital substanțiale, în conformitate cu normele aplicabile privind ajutoarele de stat. Ar trebui acordată o atenție deosebită adaptării finanțării la nevoile IMM-urilor și abordării nivelurilor de maturitate tehnologică.</w:t>
      </w:r>
    </w:p>
    <w:p w14:paraId="086AAE25" w14:textId="3AA0693A" w:rsidR="63D987FC" w:rsidRPr="00CE41EF" w:rsidRDefault="4ECDCC9E" w:rsidP="47E57817">
      <w:pPr>
        <w:rPr>
          <w:noProof/>
        </w:rPr>
      </w:pPr>
      <w:r>
        <w:rPr>
          <w:noProof/>
        </w:rPr>
        <w:t xml:space="preserve">Propunerea Comisiei pentru </w:t>
      </w:r>
      <w:r>
        <w:rPr>
          <w:b/>
          <w:noProof/>
        </w:rPr>
        <w:t xml:space="preserve">următorul cadru financiar multianual </w:t>
      </w:r>
      <w:r>
        <w:rPr>
          <w:noProof/>
        </w:rPr>
        <w:t xml:space="preserve">(CFM 2028-2034) mărește finanțarea pentru bioeconomie prin intermediul </w:t>
      </w:r>
      <w:r>
        <w:rPr>
          <w:b/>
          <w:noProof/>
        </w:rPr>
        <w:t>Fondului european pentru competitivitate</w:t>
      </w:r>
      <w:r>
        <w:rPr>
          <w:noProof/>
        </w:rPr>
        <w:t xml:space="preserve"> (FEC) și al componentei de politică în domeniul sănătății, biotehnologiei, agriculturii și bioeconomiei din programul-cadru </w:t>
      </w:r>
      <w:r>
        <w:rPr>
          <w:b/>
          <w:noProof/>
        </w:rPr>
        <w:t>Orizont Europa</w:t>
      </w:r>
      <w:r>
        <w:rPr>
          <w:noProof/>
        </w:rPr>
        <w:t>. Acest lucru va permite mobilizarea de finanțare pentru cercetare și inovare, precum și investiții la scară largă de</w:t>
      </w:r>
      <w:r w:rsidR="004951A2">
        <w:rPr>
          <w:noProof/>
        </w:rPr>
        <w:t>­</w:t>
      </w:r>
      <w:r>
        <w:rPr>
          <w:noProof/>
        </w:rPr>
        <w:t xml:space="preserve">a lungul întregului lanț valoric – inclusiv gestionarea durabilă a terenurilor – și va reduce riscurile asociate implementării industriale, eliminând decalajele dintre cercetare, inovare și expansiunea pieței. </w:t>
      </w:r>
    </w:p>
    <w:p w14:paraId="00B8EEA5" w14:textId="410206C0" w:rsidR="000A65F9" w:rsidRDefault="0924CE01" w:rsidP="000A65F9">
      <w:pPr>
        <w:rPr>
          <w:noProof/>
        </w:rPr>
      </w:pPr>
      <w:r>
        <w:rPr>
          <w:noProof/>
        </w:rPr>
        <w:t>Între timp, programele din actualul CFM rămân disponibile pentru a răspunde nevoilor bioeconomiei. Acestea trebuie puse în aplicare pe deplin, ținând seama, de asemenea, de recomandările Grupului BEI, care includ dezvoltarea unui program de stimulare a bioeconomiei, valorificarea cererilor de granturi emblematice din cadrul întreprinderii comune pentru bioeconomia circulară în Europa (CBE-JU) și creșterea flexibilității în sprijinirea proiectelor (de exemplu, investiții cu risc ridicat în întreprinderi aflate în fază incipientă)</w:t>
      </w:r>
      <w:r>
        <w:rPr>
          <w:rStyle w:val="FootnoteReference"/>
          <w:noProof/>
        </w:rPr>
        <w:footnoteReference w:id="28"/>
      </w:r>
      <w:r>
        <w:rPr>
          <w:noProof/>
        </w:rPr>
        <w:t xml:space="preserve">. </w:t>
      </w:r>
      <w:r>
        <w:rPr>
          <w:b/>
          <w:noProof/>
        </w:rPr>
        <w:t>Politica agricolă comună</w:t>
      </w:r>
      <w:r>
        <w:rPr>
          <w:noProof/>
        </w:rPr>
        <w:t xml:space="preserve"> (PAC) oferă diverse modele de investiții realizate prin cooperare în procesarea ascendentă și comercializarea</w:t>
      </w:r>
      <w:r w:rsidR="004951A2">
        <w:rPr>
          <w:noProof/>
        </w:rPr>
        <w:t xml:space="preserve"> </w:t>
      </w:r>
      <w:r>
        <w:rPr>
          <w:noProof/>
        </w:rPr>
        <w:t>noilor lanțuri valorice, creând valoare din biomasa neexploatată și corelând producția primară cu investițiile industriale, contribuind astfel la creșterea rurală și la ocuparea forței de muncă. HERA Invest sprijină IMM-urile și start-upurile care investesc în contramăsuri medicale (MCM)</w:t>
      </w:r>
      <w:r>
        <w:rPr>
          <w:rStyle w:val="FootnoteReference"/>
          <w:noProof/>
          <w:lang w:val="en-IE"/>
        </w:rPr>
        <w:footnoteReference w:id="29"/>
      </w:r>
      <w:r>
        <w:rPr>
          <w:noProof/>
        </w:rPr>
        <w:t xml:space="preserve"> pentru soluții de reducere și prevenire a riscurilor pentru sănătate, care, după caz, ar putea utiliza bioresurse și biotehnologie. </w:t>
      </w:r>
      <w:r>
        <w:rPr>
          <w:b/>
          <w:noProof/>
        </w:rPr>
        <w:t>InvestEU pentru economia albastră</w:t>
      </w:r>
      <w:r>
        <w:rPr>
          <w:noProof/>
        </w:rPr>
        <w:t>, un instrument de finanțare mixtă, sprijină capitalul de risc și investițiile private în bioeconomia albastră.</w:t>
      </w:r>
    </w:p>
    <w:p w14:paraId="7FA786AC" w14:textId="0B976244" w:rsidR="0048326F" w:rsidRDefault="604E6BE3" w:rsidP="0048326F">
      <w:pPr>
        <w:rPr>
          <w:noProof/>
        </w:rPr>
      </w:pPr>
      <w:r>
        <w:rPr>
          <w:noProof/>
        </w:rPr>
        <w:t xml:space="preserve">Începând din 2026, Comisia va îmbunătăți accesul la finanțare și la servicii conexe pentru start-upurile și întreprinderile în fază de extindere din bioeconomie prin intermediul </w:t>
      </w:r>
      <w:r>
        <w:rPr>
          <w:b/>
          <w:noProof/>
        </w:rPr>
        <w:t>Fondului „</w:t>
      </w:r>
      <w:r>
        <w:rPr>
          <w:b/>
          <w:i/>
          <w:noProof/>
        </w:rPr>
        <w:t>Scale-up Europe</w:t>
      </w:r>
      <w:r>
        <w:rPr>
          <w:b/>
          <w:noProof/>
        </w:rPr>
        <w:t xml:space="preserve">” </w:t>
      </w:r>
      <w:r>
        <w:rPr>
          <w:noProof/>
        </w:rPr>
        <w:t>(Fondul pentru extinderea întreprinderilor din Europa) și al altor</w:t>
      </w:r>
      <w:r>
        <w:rPr>
          <w:b/>
          <w:noProof/>
        </w:rPr>
        <w:t xml:space="preserve"> instrumente ale Consiliului European pentru Inovare</w:t>
      </w:r>
      <w:r>
        <w:rPr>
          <w:noProof/>
        </w:rPr>
        <w:t>, în strânsă cooperare cu BEI, cu alți actori financiari și cu părțile interesate de la nivel național și regional.</w:t>
      </w:r>
    </w:p>
    <w:p w14:paraId="037C9FF8" w14:textId="013EB662" w:rsidR="00894CAD" w:rsidRDefault="2EAB862D" w:rsidP="47E57817">
      <w:pPr>
        <w:rPr>
          <w:noProof/>
        </w:rPr>
      </w:pPr>
      <w:r>
        <w:rPr>
          <w:noProof/>
        </w:rPr>
        <w:t xml:space="preserve">Tot din 2026, Comisia va colabora cu industria și părțile interesate pentru a revizui </w:t>
      </w:r>
      <w:r>
        <w:rPr>
          <w:b/>
          <w:noProof/>
        </w:rPr>
        <w:t xml:space="preserve">întreprinderea comună pentru bioeconomia circulară în Europa (CBE-JU) </w:t>
      </w:r>
      <w:r>
        <w:rPr>
          <w:noProof/>
        </w:rPr>
        <w:t>și a stabili cel mai eficace format de colaborare pentru următorul CFM, asigurând impactul acestuia și un raportul optim calitate-preț.</w:t>
      </w:r>
    </w:p>
    <w:p w14:paraId="1B25E08D" w14:textId="642ABEE6" w:rsidR="009650AB" w:rsidRDefault="3A19522E" w:rsidP="00FF0551">
      <w:pPr>
        <w:spacing w:line="259" w:lineRule="auto"/>
        <w:rPr>
          <w:noProof/>
        </w:rPr>
      </w:pPr>
      <w:r>
        <w:rPr>
          <w:noProof/>
        </w:rPr>
        <w:t xml:space="preserve">Pentru a </w:t>
      </w:r>
      <w:r>
        <w:rPr>
          <w:b/>
          <w:noProof/>
        </w:rPr>
        <w:t>atrage investitori privați</w:t>
      </w:r>
      <w:r>
        <w:rPr>
          <w:noProof/>
        </w:rPr>
        <w:t xml:space="preserve">, Comisia va identifica instrumente financiare care îi vor permite să se bazeze pe practicile care s-au dovedit de succes, cum ar fi </w:t>
      </w:r>
      <w:r>
        <w:rPr>
          <w:b/>
          <w:noProof/>
        </w:rPr>
        <w:t>Fondul european pentru bioeconomia circulară</w:t>
      </w:r>
      <w:r>
        <w:rPr>
          <w:noProof/>
        </w:rPr>
        <w:t xml:space="preserve"> (ECBF), prin intermediul BEI, și băncile naționale de promovare. De asemenea, Comisia va depune eforturi pentru a se asigura că producția biotehnologică durabilă și alte activități bazate pe bioresurse sunt recunoscute în mod corespunzător în cadrul viitoarelor revizuiri ale actelor delegate privind taxonomia UE, în vederea îmbunătățirii securității investițiilor.</w:t>
      </w:r>
    </w:p>
    <w:p w14:paraId="3362E66F" w14:textId="2B819481" w:rsidR="00E2466A" w:rsidRDefault="3B95D6BE" w:rsidP="2FDA1484">
      <w:pPr>
        <w:rPr>
          <w:noProof/>
        </w:rPr>
      </w:pPr>
      <w:r>
        <w:rPr>
          <w:noProof/>
        </w:rPr>
        <w:t xml:space="preserve">Pentru a reuni toate aceste instrumente, Comisia va convoca un </w:t>
      </w:r>
      <w:r>
        <w:rPr>
          <w:b/>
          <w:noProof/>
        </w:rPr>
        <w:t>Grup pentru implementarea investițiilor în bioeconomie</w:t>
      </w:r>
      <w:r>
        <w:rPr>
          <w:noProof/>
        </w:rPr>
        <w:t xml:space="preserve">, axat pe finanțare și investiții, care va combina finanțarea pentru cercetare, demonstrație și extindere la nivelul UE și la nivel național. Acest grup, care reunește Comisia, Grupul BEI, băncile naționale de promovare și investitorii privați, va crea o rezervă de proiecte eligibile pentru finanțare, va partaja riscurile într-un mod mai eficace și va atrage capital privat. Această abordare coordonată ar trebui să contribuie la mobilizarea investițiilor publice și private în următorul deceniu, în special pentru </w:t>
      </w:r>
      <w:r>
        <w:rPr>
          <w:b/>
          <w:noProof/>
        </w:rPr>
        <w:t>biorafinăriile de pionierat, instalațiile de fermentație avansată și producția de materiale din bioresurse</w:t>
      </w:r>
      <w:r>
        <w:rPr>
          <w:noProof/>
        </w:rPr>
        <w:t>.</w:t>
      </w:r>
    </w:p>
    <w:p w14:paraId="62FEC7C8" w14:textId="77777777" w:rsidR="00E2466A" w:rsidRPr="00CE41EF" w:rsidRDefault="00E2466A" w:rsidP="00E2466A">
      <w:pPr>
        <w:spacing w:after="120"/>
        <w:rPr>
          <w:i/>
          <w:iCs/>
          <w:noProof/>
          <w:szCs w:val="24"/>
        </w:rPr>
      </w:pPr>
      <w:r>
        <w:rPr>
          <w:i/>
          <w:noProof/>
        </w:rPr>
        <w:t>Sprijin pentru diseminarea tehnologiilor, a proiectelor-pilot și a demonstrațiilor</w:t>
      </w:r>
    </w:p>
    <w:p w14:paraId="63433193" w14:textId="4173AF84" w:rsidR="00E2466A" w:rsidRDefault="3B95D6BE" w:rsidP="00E2466A">
      <w:pPr>
        <w:rPr>
          <w:noProof/>
        </w:rPr>
      </w:pPr>
      <w:r>
        <w:rPr>
          <w:noProof/>
        </w:rPr>
        <w:t xml:space="preserve">Accesul limitat la infrastructura de proiecte-pilot și de extindere reprezintă un alt obstacol important pentru start-upurile și întreprinderile în fază de extindere din domeniul bioeconomiei. Comisia va sprijini îmbunătățirea accesului la astfel de infrastructuri, valorificând sinergiile existente între programele UE, cum ar fi parteneriatele dintre </w:t>
      </w:r>
      <w:r>
        <w:rPr>
          <w:b/>
          <w:noProof/>
        </w:rPr>
        <w:t>Green Assist</w:t>
      </w:r>
      <w:r>
        <w:rPr>
          <w:noProof/>
        </w:rPr>
        <w:t xml:space="preserve"> și </w:t>
      </w:r>
      <w:r>
        <w:rPr>
          <w:b/>
          <w:noProof/>
        </w:rPr>
        <w:t>Rețeaua întreprinderilor europene</w:t>
      </w:r>
      <w:r>
        <w:rPr>
          <w:noProof/>
        </w:rPr>
        <w:t xml:space="preserve">. </w:t>
      </w:r>
    </w:p>
    <w:p w14:paraId="1BB405B0" w14:textId="0E212895" w:rsidR="00E2466A" w:rsidRPr="00CE41EF" w:rsidRDefault="003F0254" w:rsidP="2FDA1484">
      <w:pPr>
        <w:rPr>
          <w:noProof/>
        </w:rPr>
      </w:pPr>
      <w:r>
        <w:rPr>
          <w:noProof/>
        </w:rPr>
        <w:t xml:space="preserve">Comisia colaborează cu statele membre pentru a alinia prioritățile de investiții în bioeconomie și pentru a orienta coordonarea mecanismelor de sprijin ale UE cu proiectele naționale, inclusiv în ceea ce privește proiectele importante de interes european comun (PIIEC). </w:t>
      </w:r>
      <w:r>
        <w:rPr>
          <w:b/>
          <w:noProof/>
        </w:rPr>
        <w:t>Forumul european comun pentru proiecte importante de interes european comun</w:t>
      </w:r>
      <w:r>
        <w:rPr>
          <w:noProof/>
        </w:rPr>
        <w:t xml:space="preserve"> (FEC-PIIEC) examinează lanțul valoric al biotehnologiei și al producției biotehnologice în vederea identificării proiectelor potențiale. Statele membre pot concepe măsuri de ajutor în sprijinul PIIEC pentru cercetarea și dezvoltarea unor inovații majore și pentru prima implementare industrială a tehnologiilor esențiale pentru tranziția curată, precum și pentru proiecte importante de infrastructură. </w:t>
      </w:r>
    </w:p>
    <w:p w14:paraId="42C82595" w14:textId="121F52AC" w:rsidR="009650AB" w:rsidRPr="00CE41EF" w:rsidRDefault="75958262" w:rsidP="62CA18EE">
      <w:pPr>
        <w:pStyle w:val="Heading1"/>
        <w:rPr>
          <w:noProof/>
        </w:rPr>
      </w:pPr>
      <w:r>
        <w:rPr>
          <w:noProof/>
        </w:rPr>
        <w:t>Dezvoltarea unor piețe-lider pentru materiale și tehnologii</w:t>
      </w:r>
    </w:p>
    <w:p w14:paraId="58E6D128" w14:textId="25550DA0" w:rsidR="00C75ACF" w:rsidRDefault="77EFE803" w:rsidP="00223A81">
      <w:pPr>
        <w:spacing w:after="0"/>
        <w:rPr>
          <w:noProof/>
        </w:rPr>
      </w:pPr>
      <w:r>
        <w:rPr>
          <w:b/>
          <w:noProof/>
        </w:rPr>
        <w:t>Identificarea și consolidarea piețelor-lider</w:t>
      </w:r>
      <w:r>
        <w:rPr>
          <w:noProof/>
        </w:rPr>
        <w:t>, în care soluțiile bazate pe bioresurse beneficiază de condiții previzibile ale cererii, pot debloca investițiile private și pot permite extinderea. Ar trebui acordată prioritate sectoarelor în care soluțiile bazate pe bioresurse oferă cea mai mare valoare adăugată și sunt apropiate de introducerea pe piață sau au atins deja maturitatea industrială, bazându-se pe lanțurile valorice existente pentru a asigura o utilizare mai eficientă a resurselor, o adoptare mai rapidă pe piață și un impact economic vizibil, valorificând la maximum resursele de biomasă ale Europei ca bază pentru piețele bioeconomiei. În 2022, biomasa din Europa a fost utilizată în principal pentru: hrană pentru animale (38 %), energie (29 %), materiale (24 %) și alimente (9 %). În ultimii zece ani, utilizarea biomasei pentru energie a crescut cu 14 %, în timp ce utilizarea materialelor a crescut cu 11 %</w:t>
      </w:r>
      <w:r>
        <w:rPr>
          <w:rStyle w:val="FootnoteReference"/>
          <w:noProof/>
          <w:lang w:val="en-IE"/>
        </w:rPr>
        <w:footnoteReference w:id="30"/>
      </w:r>
      <w:bookmarkStart w:id="5" w:name="_Hlk213941109"/>
      <w:r>
        <w:rPr>
          <w:noProof/>
        </w:rPr>
        <w:t>. Bioenergia continuă să joace un rol important în securitatea energetică, în special atunci când utilizează reziduuri, nu sporește poluarea apei și a aerului și completează alte surse regenerabile de energie.</w:t>
      </w:r>
      <w:bookmarkEnd w:id="5"/>
    </w:p>
    <w:p w14:paraId="083F9566" w14:textId="77777777" w:rsidR="002D507D" w:rsidRDefault="002D507D" w:rsidP="00223A81">
      <w:pPr>
        <w:spacing w:after="0"/>
        <w:rPr>
          <w:noProof/>
        </w:rPr>
      </w:pPr>
    </w:p>
    <w:p w14:paraId="35EA93B3" w14:textId="56B33C17" w:rsidR="002D507D" w:rsidRPr="006E08C9" w:rsidRDefault="006E08C9" w:rsidP="00422BD3">
      <w:pPr>
        <w:pStyle w:val="Heading2"/>
        <w:rPr>
          <w:noProof/>
        </w:rPr>
      </w:pPr>
      <w:r>
        <w:rPr>
          <w:noProof/>
        </w:rPr>
        <w:tab/>
        <w:t xml:space="preserve">Utilizarea eficientă a biomasei </w:t>
      </w:r>
    </w:p>
    <w:p w14:paraId="7DCD2311" w14:textId="6545D27A" w:rsidR="00C75ACF" w:rsidRDefault="00C75ACF" w:rsidP="00D468C6">
      <w:pPr>
        <w:rPr>
          <w:noProof/>
        </w:rPr>
      </w:pPr>
      <w:r>
        <w:rPr>
          <w:b/>
          <w:noProof/>
        </w:rPr>
        <w:t>Utilizarea eficientă a biomasei</w:t>
      </w:r>
      <w:r>
        <w:rPr>
          <w:noProof/>
        </w:rPr>
        <w:t xml:space="preserve"> înseamnă direcționarea acesteia către aplicații cu valoare mai mare și reducerea presiunilor asupra ecosistemelor, reflectând totodată condițiile locale și realitățile pieței:</w:t>
      </w:r>
    </w:p>
    <w:p w14:paraId="1ECBA085" w14:textId="0EE40AF9" w:rsidR="00223A81" w:rsidRDefault="00223A81" w:rsidP="00C66253">
      <w:pPr>
        <w:pStyle w:val="ListParagraph"/>
        <w:numPr>
          <w:ilvl w:val="0"/>
          <w:numId w:val="47"/>
        </w:numPr>
        <w:spacing w:after="0"/>
        <w:jc w:val="both"/>
        <w:rPr>
          <w:noProof/>
        </w:rPr>
      </w:pPr>
      <w:r>
        <w:rPr>
          <w:noProof/>
        </w:rPr>
        <w:t>securitatea alimentară și nutrițională, concomitent cu menținerea și îmbunătățirea serviciilor ecosistemice;</w:t>
      </w:r>
    </w:p>
    <w:p w14:paraId="2446306A" w14:textId="029485C3" w:rsidR="00223A81" w:rsidRDefault="00223A81" w:rsidP="00C66253">
      <w:pPr>
        <w:pStyle w:val="ListParagraph"/>
        <w:numPr>
          <w:ilvl w:val="0"/>
          <w:numId w:val="47"/>
        </w:numPr>
        <w:spacing w:after="0"/>
        <w:ind w:right="-22"/>
        <w:jc w:val="both"/>
        <w:rPr>
          <w:noProof/>
        </w:rPr>
      </w:pPr>
      <w:r>
        <w:rPr>
          <w:noProof/>
        </w:rPr>
        <w:t>acolo unde este fezabil, biomasa ar trebui utilizată pentru produse și materiale cu valoare mai mare care stochează carbonul mai mult timp și înlocuiesc materialele pe bază de combustibili fosili;</w:t>
      </w:r>
    </w:p>
    <w:p w14:paraId="0E9479F9" w14:textId="291EA423" w:rsidR="00F23A1A" w:rsidRDefault="00223A81" w:rsidP="00C66253">
      <w:pPr>
        <w:pStyle w:val="ListParagraph"/>
        <w:numPr>
          <w:ilvl w:val="0"/>
          <w:numId w:val="47"/>
        </w:numPr>
        <w:spacing w:after="0"/>
        <w:ind w:right="-22"/>
        <w:jc w:val="both"/>
        <w:rPr>
          <w:noProof/>
        </w:rPr>
      </w:pPr>
      <w:bookmarkStart w:id="6" w:name="_Hlk214467726"/>
      <w:r>
        <w:rPr>
          <w:noProof/>
        </w:rPr>
        <w:t>fluxurile reziduale și secundare pot fi utilizate pentru energie, în special în cazul în care nu există soluții alternative de decarbonizare sau atunci când acestea asigură securitatea energetică și accesibilitatea prețurilor energiei.</w:t>
      </w:r>
    </w:p>
    <w:bookmarkEnd w:id="6"/>
    <w:p w14:paraId="2C316067" w14:textId="77777777" w:rsidR="00223A81" w:rsidRDefault="00223A81" w:rsidP="00C66253">
      <w:pPr>
        <w:pStyle w:val="ListParagraph"/>
        <w:spacing w:after="0" w:line="240" w:lineRule="auto"/>
        <w:ind w:left="714" w:firstLine="0"/>
        <w:jc w:val="both"/>
        <w:rPr>
          <w:noProof/>
        </w:rPr>
      </w:pPr>
    </w:p>
    <w:p w14:paraId="3DDE90AF" w14:textId="2965B530" w:rsidR="00223A81" w:rsidRPr="00223A81" w:rsidRDefault="00C75ACF" w:rsidP="00C66253">
      <w:pPr>
        <w:rPr>
          <w:noProof/>
        </w:rPr>
      </w:pPr>
      <w:r>
        <w:rPr>
          <w:noProof/>
        </w:rPr>
        <w:t>Atunci când se evaluează cea mai eficientă modalitate de utilizare în deciziile de politică și de investiții, printre factorii relevanți care trebuie avuți în vedere se numără calitatea biomasei; tipul de materie primă (primară/secundară); disponibilitatea biomasei în timp; modalități alternative de furnizare a aceluiași serviciu, ținând seama de durabilitate, impactul asupra mediului și circularitate; infrastructura și capacitatea de procesare; și contextul local.</w:t>
      </w:r>
    </w:p>
    <w:p w14:paraId="67703B3F" w14:textId="3515339F" w:rsidR="00C75ACF" w:rsidRPr="00CC230B" w:rsidRDefault="326AED50" w:rsidP="00731D14">
      <w:pPr>
        <w:rPr>
          <w:noProof/>
        </w:rPr>
      </w:pPr>
      <w:bookmarkStart w:id="7" w:name="_Hlk214470052"/>
      <w:r>
        <w:rPr>
          <w:noProof/>
        </w:rPr>
        <w:t xml:space="preserve">În viitor, </w:t>
      </w:r>
      <w:r>
        <w:rPr>
          <w:b/>
          <w:noProof/>
        </w:rPr>
        <w:t>planurile strategice PAC</w:t>
      </w:r>
      <w:r>
        <w:rPr>
          <w:noProof/>
        </w:rPr>
        <w:t xml:space="preserve">, </w:t>
      </w:r>
      <w:r>
        <w:rPr>
          <w:b/>
          <w:noProof/>
        </w:rPr>
        <w:t>planurile naționale privind energia și clima</w:t>
      </w:r>
      <w:r>
        <w:rPr>
          <w:noProof/>
        </w:rPr>
        <w:t xml:space="preserve">, </w:t>
      </w:r>
      <w:r>
        <w:rPr>
          <w:b/>
          <w:noProof/>
        </w:rPr>
        <w:t>politica de coeziune</w:t>
      </w:r>
      <w:r>
        <w:rPr>
          <w:noProof/>
        </w:rPr>
        <w:t xml:space="preserve"> și </w:t>
      </w:r>
      <w:r>
        <w:rPr>
          <w:b/>
          <w:noProof/>
        </w:rPr>
        <w:t>strategiile naționale sau regionale în domeniul bioeconomiei</w:t>
      </w:r>
      <w:r>
        <w:rPr>
          <w:noProof/>
        </w:rPr>
        <w:t xml:space="preserve"> ar trebui să sprijine utilizarea eficientă și adecvată a biomasei. Această abordare este pe deplin conformă cu </w:t>
      </w:r>
      <w:r>
        <w:rPr>
          <w:b/>
          <w:noProof/>
        </w:rPr>
        <w:t>Cadrul privind ajutoarele de stat în contextul Pactului pentru o industrie curată</w:t>
      </w:r>
      <w:r>
        <w:rPr>
          <w:noProof/>
        </w:rPr>
        <w:t>, care încurajează statele membre să se asigure că proiectele și activitățile sprijinite prin ajutoare de stat contribuie, în cea mai mare măsură posibilă, la economia circulară</w:t>
      </w:r>
      <w:r>
        <w:rPr>
          <w:b/>
          <w:noProof/>
        </w:rPr>
        <w:t>.</w:t>
      </w:r>
      <w:r>
        <w:rPr>
          <w:noProof/>
        </w:rPr>
        <w:t xml:space="preserve"> </w:t>
      </w:r>
      <w:bookmarkStart w:id="8" w:name="_Hlk214472076"/>
      <w:r>
        <w:rPr>
          <w:noProof/>
        </w:rPr>
        <w:t xml:space="preserve">Pentru a sprijini statele membre și actorii de pe piață, Comisia va îmbunătăți transparența fluxurilor de biomasă în cadrul mecanismelor existente de raportare și monitorizare și va face schimb de exemple și abordări practice prin intermediul </w:t>
      </w:r>
      <w:r>
        <w:rPr>
          <w:b/>
          <w:noProof/>
        </w:rPr>
        <w:t>Centrului de cunoștințe pentru bioeconomie</w:t>
      </w:r>
      <w:r>
        <w:rPr>
          <w:noProof/>
        </w:rPr>
        <w:t>. Această activitate va include o evaluare coerentă și cuprinzătoare a impactului asupra mediului și a compromisurilor de mediu din perspectiva ciclului de viață</w:t>
      </w:r>
      <w:r>
        <w:rPr>
          <w:rStyle w:val="FootnoteReference"/>
          <w:noProof/>
        </w:rPr>
        <w:footnoteReference w:id="31"/>
      </w:r>
      <w:r>
        <w:rPr>
          <w:noProof/>
        </w:rPr>
        <w:t>, precum și a potențialului economic într-o abordare la nivelul întregului sistem, de exemplu prin modelare economică.</w:t>
      </w:r>
      <w:bookmarkEnd w:id="8"/>
    </w:p>
    <w:bookmarkEnd w:id="7"/>
    <w:p w14:paraId="0B141F68" w14:textId="7CFCA61E" w:rsidR="00223A81" w:rsidRPr="00126533" w:rsidRDefault="00126533" w:rsidP="47E57817">
      <w:pPr>
        <w:rPr>
          <w:rFonts w:eastAsiaTheme="minorHAnsi"/>
          <w:noProof/>
          <w:szCs w:val="24"/>
          <w14:ligatures w14:val="standardContextual"/>
        </w:rPr>
      </w:pPr>
      <w:r>
        <w:rPr>
          <w:noProof/>
        </w:rPr>
        <w:t xml:space="preserve">În 2026, Comisia va elabora pachetul privind uniunea energetică pentru deceniul următor și va ține seama de experiența dobândită în cursul punerii în aplicare a </w:t>
      </w:r>
      <w:r>
        <w:rPr>
          <w:b/>
          <w:noProof/>
        </w:rPr>
        <w:t>Directivei privind energia din surse regenerabile</w:t>
      </w:r>
      <w:r>
        <w:rPr>
          <w:noProof/>
        </w:rPr>
        <w:t xml:space="preserve"> (RED), inclusiv a criteriilor sale de durabilitate și de reducere a emisiilor de gaze cu efect de seră, precum și de evoluțiile tehnologice în domeniul energiei din surse regenerabile. În plus, până în 2027, Comisia va publica un raport, în conformitate cu articolul 3 alineatul (3) din Directiva privind energia din surse regenerabile, referitor la impactul schemelor de sprijin pentru biomasă ale statelor membre, inclusiv asupra biodiversității, a climei și a mediului, precum și la posibilele denaturări ale pieței.</w:t>
      </w:r>
    </w:p>
    <w:p w14:paraId="6D128F56" w14:textId="037DD5F2" w:rsidR="003F2A44" w:rsidRPr="003F2A44" w:rsidRDefault="003C2BF8" w:rsidP="47E57817">
      <w:pPr>
        <w:rPr>
          <w:noProof/>
        </w:rPr>
      </w:pPr>
      <w:r>
        <w:rPr>
          <w:noProof/>
        </w:rPr>
        <w:t>Biocombustibilii vor continua să joace un rol important în decarbonizarea sectorului transporturilor, în special în aviație și în sectorul maritim, precum și pentru transportul pe distanțe lungi cu vehicule grele în tranziția către electrificare. Se preconizează că cererea va crește începând din 2025, parțial ca urmare a inițiativei ReFuelEU în domeniul aviației și a inițiativei FuelEU în domeniul maritim. Cu toate acestea, disponibilitatea biomasei durabile rămâne limitată, iar utilizarea sa este cea mai eficace în sectoarele greu de decarbonizat. Astfel cum s-a subliniat în Planul de investiții în transporturi durabile, prezenta strategie va sprijini un lanț valoric coerent, circular și durabil în aceste scopuri.</w:t>
      </w:r>
    </w:p>
    <w:p w14:paraId="417E2E06" w14:textId="2845DE06" w:rsidR="00D70299" w:rsidRPr="006E08C9" w:rsidRDefault="006E08C9" w:rsidP="00422BD3">
      <w:pPr>
        <w:pStyle w:val="Heading2"/>
        <w:rPr>
          <w:rFonts w:eastAsia="Calibri"/>
          <w:noProof/>
        </w:rPr>
      </w:pPr>
      <w:r>
        <w:rPr>
          <w:noProof/>
        </w:rPr>
        <w:tab/>
        <w:t>Catalizatori ai piețelor-lider din bioeconomie în toate sectoarele:</w:t>
      </w:r>
      <w:r w:rsidR="004951A2">
        <w:rPr>
          <w:noProof/>
        </w:rPr>
        <w:t xml:space="preserve"> </w:t>
      </w:r>
      <w:r>
        <w:rPr>
          <w:noProof/>
        </w:rPr>
        <w:t>Achiziții publice și alianțe voluntare ale industriei</w:t>
      </w:r>
    </w:p>
    <w:p w14:paraId="20B87FFD" w14:textId="48D51418" w:rsidR="00D70299" w:rsidRDefault="00D70299" w:rsidP="00D70299">
      <w:pPr>
        <w:rPr>
          <w:noProof/>
        </w:rPr>
      </w:pPr>
      <w:r>
        <w:rPr>
          <w:noProof/>
        </w:rPr>
        <w:t xml:space="preserve">Achizițiile publice pot contribui la crearea unei cereri timpurii de materiale și soluții inovatoare. Viitoarea revizuire a Directivelor privind achizițiile publice va urmări, printre altele, să promoveze și să faciliteze în continuare achizițiile publice de soluții bazate pe bioresurse. În plus, Comisia va </w:t>
      </w:r>
      <w:r>
        <w:rPr>
          <w:b/>
          <w:noProof/>
        </w:rPr>
        <w:t>sprijini achizitorii publici care doresc să aibă în vedere soluții bazate pe bioresurse în procesele de achiziții publice relevante.</w:t>
      </w:r>
      <w:r>
        <w:rPr>
          <w:noProof/>
        </w:rPr>
        <w:t xml:space="preserve"> </w:t>
      </w:r>
    </w:p>
    <w:p w14:paraId="65AA9589" w14:textId="3DA10329" w:rsidR="00766412" w:rsidRDefault="00766412" w:rsidP="00766412">
      <w:pPr>
        <w:rPr>
          <w:noProof/>
        </w:rPr>
      </w:pPr>
      <w:r>
        <w:rPr>
          <w:noProof/>
        </w:rPr>
        <w:t>Inițiativele voluntare ale industriei pot contribui la crearea unor semnale mai clare privind cererea și la reducerea incertitudinii în materie de investiții, în special pentru instalațiile de producție de pionierat. Acestea completează instrumentele de simplificare a reglementărilor și de finanțare prin alinierea așteptărilor pieței și îmbunătățirea coordonării de-a lungul lanțului valoric.</w:t>
      </w:r>
    </w:p>
    <w:p w14:paraId="59DF3DBB" w14:textId="697EBB82" w:rsidR="00766412" w:rsidRDefault="170B545C" w:rsidP="00766412">
      <w:pPr>
        <w:rPr>
          <w:noProof/>
        </w:rPr>
      </w:pPr>
      <w:r>
        <w:rPr>
          <w:noProof/>
        </w:rPr>
        <w:t xml:space="preserve">Comisia va elabora un </w:t>
      </w:r>
      <w:r>
        <w:rPr>
          <w:b/>
          <w:noProof/>
        </w:rPr>
        <w:t xml:space="preserve">proiect-pilot privind bioeconomia în cadrul Instrumentului de coordonare a competitivității, </w:t>
      </w:r>
      <w:r>
        <w:rPr>
          <w:noProof/>
        </w:rPr>
        <w:t xml:space="preserve">în conformitate cu Busola pentru competitivitate. Acest proiect privind CCT urmărește să </w:t>
      </w:r>
      <w:r>
        <w:rPr>
          <w:b/>
          <w:noProof/>
        </w:rPr>
        <w:t xml:space="preserve">creeze cererea necesară </w:t>
      </w:r>
      <w:r>
        <w:rPr>
          <w:noProof/>
        </w:rPr>
        <w:t xml:space="preserve">care va accelera pregătirea industrială a materialelor din bioresurse, ținând seama, totodată, de rolul producătorilor de biomasă primară în lanțul valoric și asigurând faptul că </w:t>
      </w:r>
      <w:r>
        <w:rPr>
          <w:b/>
          <w:noProof/>
        </w:rPr>
        <w:t>start-upurile au acces la instalațiile demonstrative necesare</w:t>
      </w:r>
      <w:r>
        <w:rPr>
          <w:noProof/>
        </w:rPr>
        <w:t xml:space="preserve"> pentru a-și testa noile produse. În acest scop, proiectul va sprijini crearea „Alianței pentru bioeconomie în Europa” (</w:t>
      </w:r>
      <w:r>
        <w:rPr>
          <w:i/>
          <w:noProof/>
        </w:rPr>
        <w:t>Bio-based Europe Alliance</w:t>
      </w:r>
      <w:r>
        <w:rPr>
          <w:noProof/>
        </w:rPr>
        <w:t xml:space="preserve"> – BEA), o </w:t>
      </w:r>
      <w:r>
        <w:rPr>
          <w:b/>
          <w:noProof/>
        </w:rPr>
        <w:t>alianță voluntară de corporații</w:t>
      </w:r>
      <w:r>
        <w:rPr>
          <w:noProof/>
        </w:rPr>
        <w:t xml:space="preserve"> care ar putea asigura o cerere fiabilă și previzibilă de materiale din bioresurse și de bioproduse, oferind investitorilor privați siguranță cu privire la investițiile lor în instalații cu utilizare intensivă a cheltuielilor de capital (CAPEX), precum și garantând </w:t>
      </w:r>
      <w:r>
        <w:rPr>
          <w:b/>
          <w:noProof/>
        </w:rPr>
        <w:t xml:space="preserve">acordurile necesare de achiziționare a producției. </w:t>
      </w:r>
      <w:r>
        <w:rPr>
          <w:noProof/>
        </w:rPr>
        <w:t xml:space="preserve">Proiectul-pilot privind bioeconomia din cadrul CCT ar urma să încurajeze, de asemenea, crearea de </w:t>
      </w:r>
      <w:r>
        <w:rPr>
          <w:b/>
          <w:noProof/>
        </w:rPr>
        <w:t>noi instalații demonstrative de producție biotehnologică</w:t>
      </w:r>
      <w:r>
        <w:rPr>
          <w:noProof/>
        </w:rPr>
        <w:t xml:space="preserve"> (nivelul de maturitate tehnologică 5–7), permițând start-upurilor și întreprinderilor inovatoare să testeze viabilitatea noilor prototipuri și produse. </w:t>
      </w:r>
      <w:r>
        <w:rPr>
          <w:b/>
          <w:noProof/>
          <w:color w:val="000000" w:themeColor="text1"/>
        </w:rPr>
        <w:t>Alianța pentru bioeconomie în Europa</w:t>
      </w:r>
      <w:r>
        <w:rPr>
          <w:i/>
          <w:noProof/>
        </w:rPr>
        <w:t>(BEA)</w:t>
      </w:r>
      <w:r>
        <w:rPr>
          <w:noProof/>
        </w:rPr>
        <w:t xml:space="preserve"> va reuni întreprinderi din UE care s-au angajat să achiziționeze în mod colectiv materiale din bioresurse, bioproduse și aplicații bazate pe biotehnologie în valoare de 10 miliarde EUR până în 2030. Prin dezvoltarea unor instrumente practice de finanțare mixtă, adaptate la particularitățile diferitelor sectoare ale bioeconomiei, UE poate contribui la îmbunătățirea încrederii investitorilor în etapele de extindere, inclusiv pentru IMM-uri și producătorii regionali. </w:t>
      </w:r>
    </w:p>
    <w:p w14:paraId="489F3BA6" w14:textId="564AAEF1" w:rsidR="00766412" w:rsidRPr="006E08C9" w:rsidRDefault="00766412" w:rsidP="4EDC679C">
      <w:pPr>
        <w:rPr>
          <w:b/>
          <w:bCs/>
          <w:noProof/>
        </w:rPr>
      </w:pPr>
      <w:r>
        <w:rPr>
          <w:noProof/>
        </w:rPr>
        <w:t xml:space="preserve">Orientările </w:t>
      </w:r>
      <w:r>
        <w:rPr>
          <w:b/>
          <w:noProof/>
        </w:rPr>
        <w:t>Comisiei privind acordurile de cooperare orizontală</w:t>
      </w:r>
      <w:r>
        <w:rPr>
          <w:noProof/>
        </w:rPr>
        <w:t xml:space="preserve"> oferă principii generale și exemple concrete ale modului în care acordurile de durabilitate pot respecta normele UE în materie de concurență. Atunci când întreprinderile solicită clarificări privind modelele de cooperare, Comisia le poate oferi orientări suplimentare adaptate, în conformitate cu condițiile specificate în </w:t>
      </w:r>
      <w:r>
        <w:rPr>
          <w:b/>
          <w:noProof/>
        </w:rPr>
        <w:t>Comunicarea privind îndrumările informale</w:t>
      </w:r>
      <w:r>
        <w:rPr>
          <w:noProof/>
        </w:rPr>
        <w:t>.</w:t>
      </w:r>
    </w:p>
    <w:p w14:paraId="777B7022" w14:textId="493DCCAB" w:rsidR="00766412" w:rsidRPr="006E08C9" w:rsidRDefault="006E08C9" w:rsidP="00422BD3">
      <w:pPr>
        <w:pStyle w:val="Heading2"/>
        <w:rPr>
          <w:noProof/>
        </w:rPr>
      </w:pPr>
      <w:r>
        <w:rPr>
          <w:noProof/>
        </w:rPr>
        <w:tab/>
        <w:t>Piețele-pilot pentru materiale</w:t>
      </w:r>
    </w:p>
    <w:p w14:paraId="1FAF3554" w14:textId="68CC37E9" w:rsidR="00407B41" w:rsidRDefault="5D600073" w:rsidP="0EA7BCB7">
      <w:pPr>
        <w:rPr>
          <w:noProof/>
        </w:rPr>
      </w:pPr>
      <w:r>
        <w:rPr>
          <w:noProof/>
        </w:rPr>
        <w:t>Materialele din bioresurse întâmpină adesea dificultăți în a realiza economii de scară, ceea ce duce la costuri de producție mai mari și, în consecință, la o cerere mai scăzută, care, la rândul său, limitează creșterea și investițiile. Provocări similare se întâlnesc pe majoritatea piețelor de biomateriale și tehnologii: concurența în materie de costuri cu alternativele bazate pe combustibilii fosili, riscurile legate de aprovizionarea cu materii prime, cererea slabă de pe piață, economiile de scară reduse și procedurile de autorizare mai lungi.</w:t>
      </w:r>
    </w:p>
    <w:p w14:paraId="5F1394C5" w14:textId="4BD75A47" w:rsidR="00503849" w:rsidRPr="00CE41EF" w:rsidRDefault="4D397AE0" w:rsidP="0EA7BCB7">
      <w:pPr>
        <w:rPr>
          <w:noProof/>
        </w:rPr>
      </w:pPr>
      <w:r>
        <w:rPr>
          <w:noProof/>
        </w:rPr>
        <w:t xml:space="preserve">Următoarele piețe-lider au fost identificate ca având un potențial ridicat de a depăși aceste provocări prin inițiative specifice și de a contribui la </w:t>
      </w:r>
      <w:r>
        <w:rPr>
          <w:b/>
          <w:noProof/>
        </w:rPr>
        <w:t>expansiunea bioeconomiei</w:t>
      </w:r>
      <w:r>
        <w:rPr>
          <w:noProof/>
        </w:rPr>
        <w:t>.</w:t>
      </w:r>
    </w:p>
    <w:p w14:paraId="7520609C" w14:textId="4B906A8E" w:rsidR="005357C2" w:rsidRPr="00E976BE" w:rsidRDefault="13D1AB44">
      <w:pPr>
        <w:pStyle w:val="ListBullet1"/>
        <w:numPr>
          <w:ilvl w:val="0"/>
          <w:numId w:val="0"/>
        </w:numPr>
        <w:spacing w:line="259" w:lineRule="auto"/>
        <w:rPr>
          <w:noProof/>
        </w:rPr>
      </w:pPr>
      <w:r>
        <w:rPr>
          <w:b/>
          <w:noProof/>
          <w:u w:val="single"/>
        </w:rPr>
        <w:t xml:space="preserve">Materialele plastice de origine biologică și polimerii bazați pe bioproduse, </w:t>
      </w:r>
      <w:r>
        <w:rPr>
          <w:noProof/>
          <w:u w:val="single"/>
        </w:rPr>
        <w:t>precum și materialele de ambalare pe bază de biofibre, pot</w:t>
      </w:r>
      <w:r>
        <w:rPr>
          <w:noProof/>
        </w:rPr>
        <w:t xml:space="preserve"> înlocui materialele pe bază de combustibili fosili cu alternative fabricate din surse regenerabile de biomasă (de exemplu, amidon, lignină sau alge).</w:t>
      </w:r>
      <w:r w:rsidR="004951A2">
        <w:rPr>
          <w:noProof/>
        </w:rPr>
        <w:t xml:space="preserve"> </w:t>
      </w:r>
      <w:r>
        <w:rPr>
          <w:noProof/>
        </w:rPr>
        <w:t>Acestea sunt utilizate din ce în ce mai mult în ambalaje, în componente auto și în aplicații industriale, iar performanța lor este îmbunătățită prin cercetare și inovare continuă, inclusiv prin proiectarea digitală și asistată de inteligență artificială a materialelor</w:t>
      </w:r>
      <w:r>
        <w:rPr>
          <w:noProof/>
          <w:vertAlign w:val="superscript"/>
        </w:rPr>
        <w:footnoteReference w:id="32"/>
      </w:r>
      <w:r>
        <w:rPr>
          <w:noProof/>
        </w:rPr>
        <w:t>.</w:t>
      </w:r>
    </w:p>
    <w:p w14:paraId="5F93A05E" w14:textId="0AFFBB62" w:rsidR="00E14B1B" w:rsidRPr="00223A81" w:rsidRDefault="00E14B1B" w:rsidP="003A6C62">
      <w:pPr>
        <w:pStyle w:val="ListBullet1"/>
        <w:numPr>
          <w:ilvl w:val="0"/>
          <w:numId w:val="0"/>
        </w:numPr>
        <w:pBdr>
          <w:top w:val="single" w:sz="4" w:space="1" w:color="auto"/>
          <w:left w:val="single" w:sz="4" w:space="4" w:color="auto"/>
          <w:bottom w:val="single" w:sz="4" w:space="1" w:color="auto"/>
          <w:right w:val="single" w:sz="4" w:space="4" w:color="auto"/>
        </w:pBdr>
        <w:spacing w:line="259" w:lineRule="auto"/>
        <w:rPr>
          <w:i/>
          <w:iCs/>
          <w:noProof/>
          <w:szCs w:val="24"/>
        </w:rPr>
      </w:pPr>
      <w:r>
        <w:rPr>
          <w:i/>
          <w:noProof/>
        </w:rPr>
        <w:t xml:space="preserve">Beneficii: </w:t>
      </w:r>
    </w:p>
    <w:p w14:paraId="5F2B16F0" w14:textId="2CBBE582" w:rsidR="00E14B1B" w:rsidRPr="004F12DE" w:rsidRDefault="00E14B1B" w:rsidP="003A6C62">
      <w:pPr>
        <w:pStyle w:val="ListBullet1"/>
        <w:numPr>
          <w:ilvl w:val="0"/>
          <w:numId w:val="51"/>
        </w:numPr>
        <w:pBdr>
          <w:top w:val="single" w:sz="4" w:space="1" w:color="auto"/>
          <w:left w:val="single" w:sz="4" w:space="4" w:color="auto"/>
          <w:bottom w:val="single" w:sz="4" w:space="1" w:color="auto"/>
          <w:right w:val="single" w:sz="4" w:space="4" w:color="auto"/>
        </w:pBdr>
        <w:spacing w:after="0"/>
        <w:rPr>
          <w:noProof/>
        </w:rPr>
      </w:pPr>
      <w:r>
        <w:rPr>
          <w:b/>
          <w:noProof/>
        </w:rPr>
        <w:t>o amprentă de carbon mai scăzută</w:t>
      </w:r>
      <w:r>
        <w:rPr>
          <w:noProof/>
        </w:rPr>
        <w:t xml:space="preserve"> în comparație cu materialele plastice convenționale (în funcție de polimer);</w:t>
      </w:r>
    </w:p>
    <w:p w14:paraId="131BD134" w14:textId="73E538A8" w:rsidR="00E14B1B" w:rsidRPr="00E14B1B" w:rsidRDefault="00E14B1B" w:rsidP="003A6C62">
      <w:pPr>
        <w:pStyle w:val="ListBullet1"/>
        <w:numPr>
          <w:ilvl w:val="0"/>
          <w:numId w:val="51"/>
        </w:numPr>
        <w:pBdr>
          <w:top w:val="single" w:sz="4" w:space="1" w:color="auto"/>
          <w:left w:val="single" w:sz="4" w:space="4" w:color="auto"/>
          <w:bottom w:val="single" w:sz="4" w:space="1" w:color="auto"/>
          <w:right w:val="single" w:sz="4" w:space="4" w:color="auto"/>
        </w:pBdr>
        <w:spacing w:after="0"/>
        <w:rPr>
          <w:noProof/>
        </w:rPr>
      </w:pPr>
      <w:r>
        <w:rPr>
          <w:noProof/>
        </w:rPr>
        <w:t xml:space="preserve">potențial de </w:t>
      </w:r>
      <w:r>
        <w:rPr>
          <w:b/>
          <w:noProof/>
        </w:rPr>
        <w:t>reducere a dependenței de importuri</w:t>
      </w:r>
      <w:r>
        <w:rPr>
          <w:noProof/>
        </w:rPr>
        <w:t xml:space="preserve"> pentru principalele materii prime chimice;</w:t>
      </w:r>
    </w:p>
    <w:p w14:paraId="2D356D77" w14:textId="3F6082B2" w:rsidR="00E14B1B" w:rsidRDefault="00E14B1B" w:rsidP="003A6C62">
      <w:pPr>
        <w:pStyle w:val="ListBullet1"/>
        <w:numPr>
          <w:ilvl w:val="0"/>
          <w:numId w:val="51"/>
        </w:numPr>
        <w:pBdr>
          <w:top w:val="single" w:sz="4" w:space="1" w:color="auto"/>
          <w:left w:val="single" w:sz="4" w:space="4" w:color="auto"/>
          <w:bottom w:val="single" w:sz="4" w:space="1" w:color="auto"/>
          <w:right w:val="single" w:sz="4" w:space="4" w:color="auto"/>
        </w:pBdr>
        <w:spacing w:after="0"/>
        <w:rPr>
          <w:noProof/>
        </w:rPr>
      </w:pPr>
      <w:r>
        <w:rPr>
          <w:noProof/>
        </w:rPr>
        <w:t xml:space="preserve">sprijinirea </w:t>
      </w:r>
      <w:r>
        <w:rPr>
          <w:b/>
          <w:noProof/>
        </w:rPr>
        <w:t>creării de valoare</w:t>
      </w:r>
      <w:r>
        <w:rPr>
          <w:noProof/>
        </w:rPr>
        <w:t xml:space="preserve"> atunci când se utilizează biomasă de origine locală;</w:t>
      </w:r>
    </w:p>
    <w:p w14:paraId="108EDF47" w14:textId="62E19C67" w:rsidR="0035440E" w:rsidRPr="003F2A44" w:rsidRDefault="0035440E" w:rsidP="003F2A44">
      <w:pPr>
        <w:pStyle w:val="ListBullet1"/>
        <w:numPr>
          <w:ilvl w:val="0"/>
          <w:numId w:val="51"/>
        </w:numPr>
        <w:pBdr>
          <w:top w:val="single" w:sz="4" w:space="1" w:color="auto"/>
          <w:left w:val="single" w:sz="4" w:space="4" w:color="auto"/>
          <w:bottom w:val="single" w:sz="4" w:space="1" w:color="auto"/>
          <w:right w:val="single" w:sz="4" w:space="4" w:color="auto"/>
        </w:pBdr>
        <w:spacing w:after="0"/>
        <w:rPr>
          <w:noProof/>
        </w:rPr>
      </w:pPr>
      <w:r>
        <w:rPr>
          <w:noProof/>
        </w:rPr>
        <w:t xml:space="preserve">dezvoltarea de noi aplicații pentru </w:t>
      </w:r>
      <w:r>
        <w:rPr>
          <w:b/>
          <w:noProof/>
        </w:rPr>
        <w:t>materialele plastice biodegradabile</w:t>
      </w:r>
      <w:r>
        <w:rPr>
          <w:noProof/>
        </w:rPr>
        <w:t>.</w:t>
      </w:r>
    </w:p>
    <w:p w14:paraId="3ACD9301" w14:textId="77777777" w:rsidR="00223A81" w:rsidRPr="004951A2" w:rsidRDefault="00223A81" w:rsidP="00223A81">
      <w:pPr>
        <w:pStyle w:val="ListBullet1"/>
        <w:numPr>
          <w:ilvl w:val="0"/>
          <w:numId w:val="0"/>
        </w:numPr>
        <w:spacing w:after="0"/>
        <w:ind w:left="284"/>
        <w:rPr>
          <w:i/>
          <w:iCs/>
          <w:noProof/>
          <w:lang w:val="fr-FR"/>
        </w:rPr>
      </w:pPr>
    </w:p>
    <w:p w14:paraId="02BD5582" w14:textId="77777777" w:rsidR="003F2A44" w:rsidRPr="004951A2" w:rsidRDefault="003F2A44" w:rsidP="00223A81">
      <w:pPr>
        <w:pStyle w:val="ListBullet1"/>
        <w:numPr>
          <w:ilvl w:val="0"/>
          <w:numId w:val="0"/>
        </w:numPr>
        <w:spacing w:after="0"/>
        <w:ind w:left="284"/>
        <w:rPr>
          <w:i/>
          <w:iCs/>
          <w:noProof/>
          <w:lang w:val="fr-FR"/>
        </w:rPr>
      </w:pPr>
    </w:p>
    <w:p w14:paraId="35FCDFCD" w14:textId="460A8455" w:rsidR="00E14B1B" w:rsidRPr="00223A81" w:rsidRDefault="00C220C8" w:rsidP="00FF0551">
      <w:pPr>
        <w:pStyle w:val="ListBullet1"/>
        <w:numPr>
          <w:ilvl w:val="0"/>
          <w:numId w:val="0"/>
        </w:numPr>
        <w:spacing w:line="259" w:lineRule="auto"/>
        <w:rPr>
          <w:i/>
          <w:iCs/>
          <w:noProof/>
        </w:rPr>
      </w:pPr>
      <w:r>
        <w:rPr>
          <w:i/>
          <w:noProof/>
        </w:rPr>
        <w:t>Măsuri de sprijinire a cererii și a investițiilor:</w:t>
      </w:r>
    </w:p>
    <w:p w14:paraId="41229D2E" w14:textId="57289657" w:rsidR="00E14B1B" w:rsidRDefault="00E14B1B" w:rsidP="00C66253">
      <w:pPr>
        <w:pStyle w:val="ListBullet1"/>
        <w:numPr>
          <w:ilvl w:val="0"/>
          <w:numId w:val="0"/>
        </w:numPr>
        <w:spacing w:after="0"/>
        <w:ind w:left="288" w:hanging="288"/>
        <w:rPr>
          <w:noProof/>
        </w:rPr>
      </w:pPr>
      <w:r>
        <w:rPr>
          <w:noProof/>
        </w:rPr>
        <w:t xml:space="preserve">În temeiul </w:t>
      </w:r>
      <w:r>
        <w:rPr>
          <w:b/>
          <w:noProof/>
        </w:rPr>
        <w:t>Regulamentului privind ambalajele și deșeurile de ambalaje</w:t>
      </w:r>
      <w:r>
        <w:rPr>
          <w:noProof/>
        </w:rPr>
        <w:t>, Comisia va:</w:t>
      </w:r>
    </w:p>
    <w:p w14:paraId="7E4F9812" w14:textId="1479F6DE" w:rsidR="00223A81" w:rsidRPr="00323554" w:rsidRDefault="00223A81" w:rsidP="00C66253">
      <w:pPr>
        <w:pStyle w:val="ListBullet1"/>
        <w:numPr>
          <w:ilvl w:val="0"/>
          <w:numId w:val="50"/>
        </w:numPr>
        <w:spacing w:after="0"/>
        <w:rPr>
          <w:noProof/>
        </w:rPr>
      </w:pPr>
      <w:r>
        <w:rPr>
          <w:noProof/>
        </w:rPr>
        <w:t xml:space="preserve">sprijini recunoașterea și adoptarea pe piață a </w:t>
      </w:r>
      <w:r>
        <w:rPr>
          <w:b/>
          <w:noProof/>
        </w:rPr>
        <w:t>materialelor plastice de origine biologică și a materialelor noi din bioresurse</w:t>
      </w:r>
      <w:r>
        <w:rPr>
          <w:noProof/>
        </w:rPr>
        <w:t xml:space="preserve">, în complementaritate cu </w:t>
      </w:r>
      <w:r>
        <w:rPr>
          <w:b/>
          <w:noProof/>
        </w:rPr>
        <w:t>obiectivele privind conținutul reciclat</w:t>
      </w:r>
      <w:r>
        <w:rPr>
          <w:noProof/>
        </w:rPr>
        <w:t>, asigurând o abordare coerentă la nivelul tuturor aplicațiilor;</w:t>
      </w:r>
    </w:p>
    <w:p w14:paraId="70427A86" w14:textId="5E04C3AA" w:rsidR="00E14B1B" w:rsidRPr="004F12DE" w:rsidRDefault="00E14B1B" w:rsidP="003F29A7">
      <w:pPr>
        <w:pStyle w:val="ListBullet1"/>
        <w:numPr>
          <w:ilvl w:val="0"/>
          <w:numId w:val="48"/>
        </w:numPr>
        <w:spacing w:after="0"/>
        <w:rPr>
          <w:b/>
          <w:bCs/>
          <w:noProof/>
        </w:rPr>
      </w:pPr>
      <w:r>
        <w:rPr>
          <w:noProof/>
        </w:rPr>
        <w:t xml:space="preserve">evalua dacă definițiile la nivelul UE ar putea sprijini </w:t>
      </w:r>
      <w:r>
        <w:rPr>
          <w:b/>
          <w:noProof/>
        </w:rPr>
        <w:t>certificarea și extinderea polimerilor bazați pe bioproduse</w:t>
      </w:r>
      <w:r>
        <w:rPr>
          <w:noProof/>
        </w:rPr>
        <w:t>.</w:t>
      </w:r>
    </w:p>
    <w:p w14:paraId="04EFE429" w14:textId="77777777" w:rsidR="0001031B" w:rsidRPr="00CE41EF" w:rsidRDefault="0001031B" w:rsidP="00C66253">
      <w:pPr>
        <w:pStyle w:val="ListBullet1"/>
        <w:numPr>
          <w:ilvl w:val="0"/>
          <w:numId w:val="0"/>
        </w:numPr>
        <w:spacing w:after="0"/>
        <w:ind w:left="360"/>
        <w:rPr>
          <w:noProof/>
        </w:rPr>
      </w:pPr>
    </w:p>
    <w:p w14:paraId="5A18D12F" w14:textId="4EE26D62" w:rsidR="009650AB" w:rsidRDefault="1145B35E" w:rsidP="00E14B1B">
      <w:pPr>
        <w:rPr>
          <w:noProof/>
        </w:rPr>
      </w:pPr>
      <w:r>
        <w:rPr>
          <w:b/>
          <w:noProof/>
          <w:u w:val="single"/>
        </w:rPr>
        <w:t>Textilele din biofibre și țesături de origine biologică</w:t>
      </w:r>
      <w:r>
        <w:rPr>
          <w:noProof/>
        </w:rPr>
        <w:t xml:space="preserve"> includ fibre naturale (bumbac, in, cânepă și lână) și fibre celulozice artificiale (</w:t>
      </w:r>
      <w:r>
        <w:rPr>
          <w:i/>
          <w:noProof/>
        </w:rPr>
        <w:t>man-made cellulosic fibres</w:t>
      </w:r>
      <w:r>
        <w:rPr>
          <w:noProof/>
        </w:rPr>
        <w:t xml:space="preserve"> - MMCF) provenite din păduri gestionate în mod durabil, putând asigura o sursă fiabilă și trasabilă de celuloză pentru aceste fibre și sprijinind lanțurile valorice regionale. </w:t>
      </w:r>
    </w:p>
    <w:p w14:paraId="6B14AC1B" w14:textId="77777777" w:rsidR="00664802" w:rsidRDefault="00664802" w:rsidP="00E14B1B">
      <w:pPr>
        <w:rPr>
          <w:noProof/>
        </w:rPr>
      </w:pPr>
    </w:p>
    <w:p w14:paraId="6FFD0E68" w14:textId="24E7FCFE" w:rsidR="00E14B1B" w:rsidRPr="00223A81" w:rsidRDefault="00E14B1B" w:rsidP="003A6C62">
      <w:pPr>
        <w:pBdr>
          <w:top w:val="single" w:sz="4" w:space="1" w:color="auto"/>
          <w:left w:val="single" w:sz="4" w:space="4" w:color="auto"/>
          <w:bottom w:val="single" w:sz="4" w:space="1" w:color="auto"/>
          <w:right w:val="single" w:sz="4" w:space="4" w:color="auto"/>
        </w:pBdr>
        <w:rPr>
          <w:i/>
          <w:iCs/>
          <w:noProof/>
        </w:rPr>
      </w:pPr>
      <w:r>
        <w:rPr>
          <w:i/>
          <w:noProof/>
        </w:rPr>
        <w:t xml:space="preserve">Beneficii: </w:t>
      </w:r>
    </w:p>
    <w:p w14:paraId="1DD5E86A" w14:textId="735ACBAF" w:rsidR="00E14B1B" w:rsidRPr="004F12DE" w:rsidRDefault="00E14B1B"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rPr>
      </w:pPr>
      <w:r>
        <w:rPr>
          <w:b/>
          <w:noProof/>
        </w:rPr>
        <w:t>materii prime regenerabile</w:t>
      </w:r>
      <w:r>
        <w:rPr>
          <w:noProof/>
        </w:rPr>
        <w:t>, cu o capacitate de producție europeană consacrată;</w:t>
      </w:r>
    </w:p>
    <w:p w14:paraId="3241F0B7" w14:textId="2DCC7F26" w:rsidR="00E14B1B" w:rsidRDefault="00E14B1B"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rPr>
      </w:pPr>
      <w:r>
        <w:rPr>
          <w:noProof/>
        </w:rPr>
        <w:t xml:space="preserve">pot sprijini </w:t>
      </w:r>
      <w:r>
        <w:rPr>
          <w:b/>
          <w:noProof/>
        </w:rPr>
        <w:t>lanțuri de aprovizionare trasabile și ancorate la nivel regional</w:t>
      </w:r>
      <w:r>
        <w:rPr>
          <w:noProof/>
        </w:rPr>
        <w:t>;</w:t>
      </w:r>
    </w:p>
    <w:p w14:paraId="6863A1E9" w14:textId="0614F3DB" w:rsidR="0035440E" w:rsidRPr="004F12DE" w:rsidRDefault="0035440E"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rPr>
      </w:pPr>
      <w:r>
        <w:rPr>
          <w:noProof/>
        </w:rPr>
        <w:t xml:space="preserve">evită eliberarea de microplastice în mediu; </w:t>
      </w:r>
    </w:p>
    <w:p w14:paraId="26BC7DE4" w14:textId="7B1013C8" w:rsidR="00E14B1B" w:rsidRPr="004F12DE" w:rsidRDefault="00E14B1B"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rPr>
      </w:pPr>
      <w:r>
        <w:rPr>
          <w:noProof/>
        </w:rPr>
        <w:t>susțin cererea de fibre textile cu impact mai redus;</w:t>
      </w:r>
    </w:p>
    <w:p w14:paraId="28364C67" w14:textId="683F4C15" w:rsidR="00E14B1B" w:rsidRPr="004F12DE" w:rsidRDefault="00E14B1B" w:rsidP="003A6C62">
      <w:pPr>
        <w:pStyle w:val="ListParagraph"/>
        <w:numPr>
          <w:ilvl w:val="0"/>
          <w:numId w:val="48"/>
        </w:numPr>
        <w:pBdr>
          <w:top w:val="single" w:sz="4" w:space="1" w:color="auto"/>
          <w:left w:val="single" w:sz="4" w:space="4" w:color="auto"/>
          <w:bottom w:val="single" w:sz="4" w:space="1" w:color="auto"/>
          <w:right w:val="single" w:sz="4" w:space="4" w:color="auto"/>
        </w:pBdr>
        <w:ind w:right="0"/>
        <w:rPr>
          <w:noProof/>
        </w:rPr>
      </w:pPr>
      <w:r>
        <w:rPr>
          <w:noProof/>
        </w:rPr>
        <w:t xml:space="preserve">au un potențial de </w:t>
      </w:r>
      <w:r>
        <w:rPr>
          <w:b/>
          <w:noProof/>
        </w:rPr>
        <w:t>menținere a unei valori mai mari</w:t>
      </w:r>
      <w:r>
        <w:rPr>
          <w:noProof/>
        </w:rPr>
        <w:t>, inclusiv</w:t>
      </w:r>
      <w:r>
        <w:rPr>
          <w:b/>
          <w:noProof/>
        </w:rPr>
        <w:t xml:space="preserve"> în regiunile rurale</w:t>
      </w:r>
      <w:r>
        <w:rPr>
          <w:noProof/>
        </w:rPr>
        <w:t>.</w:t>
      </w:r>
    </w:p>
    <w:p w14:paraId="4420593C" w14:textId="4E88BF79" w:rsidR="008A250D" w:rsidRDefault="00F27BBF" w:rsidP="008A250D">
      <w:pPr>
        <w:spacing w:after="0"/>
        <w:rPr>
          <w:i/>
          <w:iCs/>
          <w:noProof/>
        </w:rPr>
      </w:pPr>
      <w:r>
        <w:rPr>
          <w:i/>
          <w:noProof/>
        </w:rPr>
        <w:t>Măsuri de sprijinire a cererii și a investițiilor:</w:t>
      </w:r>
    </w:p>
    <w:p w14:paraId="75D0B99C" w14:textId="77777777" w:rsidR="008A250D" w:rsidRPr="004951A2" w:rsidRDefault="008A250D" w:rsidP="00422BD3">
      <w:pPr>
        <w:spacing w:after="0"/>
        <w:rPr>
          <w:noProof/>
          <w:lang w:val="fr-FR"/>
        </w:rPr>
      </w:pPr>
    </w:p>
    <w:p w14:paraId="08235EDF" w14:textId="2882FC93" w:rsidR="00223A81" w:rsidRPr="00E976BE" w:rsidRDefault="007C4BAE" w:rsidP="00422BD3">
      <w:pPr>
        <w:pStyle w:val="ListParagraph"/>
        <w:numPr>
          <w:ilvl w:val="0"/>
          <w:numId w:val="48"/>
        </w:numPr>
        <w:spacing w:after="0"/>
        <w:ind w:right="0"/>
        <w:jc w:val="both"/>
        <w:rPr>
          <w:noProof/>
        </w:rPr>
      </w:pPr>
      <w:r>
        <w:rPr>
          <w:b/>
          <w:noProof/>
        </w:rPr>
        <w:t>Regulamentul privind proiectarea ecologică a produselor sustenabile</w:t>
      </w:r>
      <w:r>
        <w:rPr>
          <w:noProof/>
        </w:rPr>
        <w:t xml:space="preserve"> (ESPR) va stabili </w:t>
      </w:r>
      <w:r>
        <w:rPr>
          <w:b/>
          <w:noProof/>
        </w:rPr>
        <w:t>cerințe de performanță și de durabilitate pentru textile</w:t>
      </w:r>
      <w:r>
        <w:rPr>
          <w:noProof/>
        </w:rPr>
        <w:t>, inclusiv pentru cele fabricate din biofibre.</w:t>
      </w:r>
    </w:p>
    <w:p w14:paraId="7FEE3663" w14:textId="2B6565CB" w:rsidR="00C66253" w:rsidRPr="00E976BE" w:rsidRDefault="007C4BAE" w:rsidP="00422BD3">
      <w:pPr>
        <w:pStyle w:val="ListParagraph"/>
        <w:numPr>
          <w:ilvl w:val="0"/>
          <w:numId w:val="48"/>
        </w:numPr>
        <w:spacing w:after="0"/>
        <w:ind w:right="0"/>
        <w:jc w:val="both"/>
        <w:rPr>
          <w:noProof/>
        </w:rPr>
      </w:pPr>
      <w:r>
        <w:rPr>
          <w:noProof/>
        </w:rPr>
        <w:t xml:space="preserve">Revizuirea metodelor privind </w:t>
      </w:r>
      <w:r>
        <w:rPr>
          <w:b/>
          <w:noProof/>
        </w:rPr>
        <w:t>amprenta de mediu a produselor</w:t>
      </w:r>
      <w:r>
        <w:rPr>
          <w:noProof/>
        </w:rPr>
        <w:t xml:space="preserve"> (AMP) va lua în considerare </w:t>
      </w:r>
      <w:r>
        <w:rPr>
          <w:b/>
          <w:noProof/>
        </w:rPr>
        <w:t>indicatori</w:t>
      </w:r>
      <w:r>
        <w:rPr>
          <w:noProof/>
        </w:rPr>
        <w:t xml:space="preserve"> relevanți pentru performanța fibrelor, eliberarea de microfibre și amprenta de mediu, facilitând astfel înțelegerea de către consumatori a avantajelor unor materiale precum biotextilele.</w:t>
      </w:r>
    </w:p>
    <w:p w14:paraId="565833A8" w14:textId="76ED8F1F" w:rsidR="00B477F1" w:rsidRPr="007C4BAE" w:rsidRDefault="007C4BAE" w:rsidP="00422BD3">
      <w:pPr>
        <w:pStyle w:val="ListParagraph"/>
        <w:numPr>
          <w:ilvl w:val="0"/>
          <w:numId w:val="48"/>
        </w:numPr>
        <w:spacing w:after="0" w:line="240" w:lineRule="auto"/>
        <w:ind w:right="0"/>
        <w:jc w:val="both"/>
        <w:rPr>
          <w:noProof/>
          <w:szCs w:val="20"/>
        </w:rPr>
      </w:pPr>
      <w:r>
        <w:rPr>
          <w:noProof/>
        </w:rPr>
        <w:t xml:space="preserve">Un grup </w:t>
      </w:r>
      <w:r>
        <w:rPr>
          <w:b/>
          <w:noProof/>
        </w:rPr>
        <w:t>tematic al Rețelei PAC</w:t>
      </w:r>
      <w:r>
        <w:rPr>
          <w:noProof/>
        </w:rPr>
        <w:t xml:space="preserve"> va analiza modalitățile de consolidare a capacității UE de prelucrare a lânii și de diversificare a veniturilor fermierilor.</w:t>
      </w:r>
    </w:p>
    <w:p w14:paraId="49F20B50" w14:textId="77777777" w:rsidR="00343D27" w:rsidRDefault="00343D27" w:rsidP="00C66253">
      <w:pPr>
        <w:pStyle w:val="ListBullet1"/>
        <w:numPr>
          <w:ilvl w:val="0"/>
          <w:numId w:val="0"/>
        </w:numPr>
        <w:spacing w:after="0"/>
        <w:rPr>
          <w:b/>
          <w:bCs/>
          <w:noProof/>
          <w:u w:val="single"/>
        </w:rPr>
      </w:pPr>
    </w:p>
    <w:p w14:paraId="73DD67B3" w14:textId="167963B0" w:rsidR="204FB842" w:rsidRDefault="36410675" w:rsidP="002A18B1">
      <w:pPr>
        <w:pStyle w:val="ListBullet1"/>
        <w:numPr>
          <w:ilvl w:val="0"/>
          <w:numId w:val="0"/>
        </w:numPr>
        <w:spacing w:line="259" w:lineRule="auto"/>
        <w:rPr>
          <w:noProof/>
        </w:rPr>
      </w:pPr>
      <w:r>
        <w:rPr>
          <w:b/>
          <w:noProof/>
          <w:u w:val="single"/>
        </w:rPr>
        <w:t>Bioprodusele chimice</w:t>
      </w:r>
      <w:r>
        <w:rPr>
          <w:noProof/>
        </w:rPr>
        <w:t xml:space="preserve"> sunt derivate din </w:t>
      </w:r>
      <w:r>
        <w:rPr>
          <w:b/>
          <w:noProof/>
        </w:rPr>
        <w:t>resurse biologice regenerabile</w:t>
      </w:r>
      <w:r>
        <w:rPr>
          <w:noProof/>
        </w:rPr>
        <w:t xml:space="preserve">, cum ar fi plantele, lemnul, algele și reziduurile agricole, fiind utilizate în diverse sectoare, inclusiv în sectorul farmaceutic, al alimentelor și băuturilor, al textilelor, al produselor de îngrijire personală și al aplicațiilor industriale. </w:t>
      </w:r>
    </w:p>
    <w:p w14:paraId="29F06AA0" w14:textId="404C3619" w:rsidR="002A18B1" w:rsidRPr="004F12DE" w:rsidRDefault="002A18B1" w:rsidP="003A6C62">
      <w:pPr>
        <w:pStyle w:val="ListBullet1"/>
        <w:numPr>
          <w:ilvl w:val="0"/>
          <w:numId w:val="0"/>
        </w:numPr>
        <w:pBdr>
          <w:top w:val="single" w:sz="4" w:space="1" w:color="auto"/>
          <w:left w:val="single" w:sz="4" w:space="4" w:color="auto"/>
          <w:bottom w:val="single" w:sz="4" w:space="1" w:color="auto"/>
          <w:right w:val="single" w:sz="4" w:space="4" w:color="auto"/>
        </w:pBdr>
        <w:spacing w:line="259" w:lineRule="auto"/>
        <w:rPr>
          <w:i/>
          <w:iCs/>
          <w:noProof/>
        </w:rPr>
      </w:pPr>
      <w:r>
        <w:rPr>
          <w:i/>
          <w:noProof/>
        </w:rPr>
        <w:t>Beneficii:</w:t>
      </w:r>
    </w:p>
    <w:p w14:paraId="6E7432B9" w14:textId="06072C24" w:rsidR="002A18B1" w:rsidRPr="00FF0551" w:rsidRDefault="002A18B1" w:rsidP="003A6C62">
      <w:pPr>
        <w:pStyle w:val="ListBullet1"/>
        <w:numPr>
          <w:ilvl w:val="0"/>
          <w:numId w:val="48"/>
        </w:numPr>
        <w:pBdr>
          <w:top w:val="single" w:sz="4" w:space="1" w:color="auto"/>
          <w:left w:val="single" w:sz="4" w:space="4" w:color="auto"/>
          <w:bottom w:val="single" w:sz="4" w:space="1" w:color="auto"/>
          <w:right w:val="single" w:sz="4" w:space="4" w:color="auto"/>
        </w:pBdr>
        <w:spacing w:after="0"/>
        <w:rPr>
          <w:noProof/>
        </w:rPr>
      </w:pPr>
      <w:r>
        <w:rPr>
          <w:b/>
          <w:noProof/>
        </w:rPr>
        <w:t>emisii de proces cu 30-50 % mai mici</w:t>
      </w:r>
      <w:r>
        <w:rPr>
          <w:noProof/>
        </w:rPr>
        <w:t xml:space="preserve"> (în funcție de filieră);</w:t>
      </w:r>
    </w:p>
    <w:p w14:paraId="51B7452B" w14:textId="072411F1" w:rsidR="002A18B1" w:rsidRPr="00FF0551" w:rsidRDefault="002A18B1" w:rsidP="003A6C62">
      <w:pPr>
        <w:pStyle w:val="ListBullet1"/>
        <w:numPr>
          <w:ilvl w:val="0"/>
          <w:numId w:val="48"/>
        </w:numPr>
        <w:pBdr>
          <w:top w:val="single" w:sz="4" w:space="1" w:color="auto"/>
          <w:left w:val="single" w:sz="4" w:space="4" w:color="auto"/>
          <w:bottom w:val="single" w:sz="4" w:space="1" w:color="auto"/>
          <w:right w:val="single" w:sz="4" w:space="4" w:color="auto"/>
        </w:pBdr>
        <w:spacing w:after="0"/>
        <w:rPr>
          <w:noProof/>
        </w:rPr>
      </w:pPr>
      <w:r>
        <w:rPr>
          <w:b/>
          <w:noProof/>
        </w:rPr>
        <w:t>procesele microbiene și enzimatice</w:t>
      </w:r>
      <w:r>
        <w:rPr>
          <w:noProof/>
        </w:rPr>
        <w:t xml:space="preserve"> pot sprijini producția cu un consum energetic mai redus;</w:t>
      </w:r>
    </w:p>
    <w:p w14:paraId="077E9882" w14:textId="323EA208" w:rsidR="004F12DE" w:rsidRDefault="002A18B1" w:rsidP="003A6C62">
      <w:pPr>
        <w:pStyle w:val="ListBullet1"/>
        <w:numPr>
          <w:ilvl w:val="0"/>
          <w:numId w:val="48"/>
        </w:numPr>
        <w:pBdr>
          <w:top w:val="single" w:sz="4" w:space="1" w:color="auto"/>
          <w:left w:val="single" w:sz="4" w:space="4" w:color="auto"/>
          <w:bottom w:val="single" w:sz="4" w:space="1" w:color="auto"/>
          <w:right w:val="single" w:sz="4" w:space="4" w:color="auto"/>
        </w:pBdr>
        <w:spacing w:after="0"/>
        <w:rPr>
          <w:noProof/>
        </w:rPr>
      </w:pPr>
      <w:r>
        <w:rPr>
          <w:noProof/>
        </w:rPr>
        <w:t xml:space="preserve">oportunități de </w:t>
      </w:r>
      <w:r>
        <w:rPr>
          <w:b/>
          <w:noProof/>
        </w:rPr>
        <w:t>înlocuire a materiilor prime petrochimice</w:t>
      </w:r>
      <w:r>
        <w:rPr>
          <w:noProof/>
        </w:rPr>
        <w:t xml:space="preserve"> și de </w:t>
      </w:r>
      <w:r>
        <w:rPr>
          <w:b/>
          <w:noProof/>
        </w:rPr>
        <w:t>reducere a dependenței de importuri</w:t>
      </w:r>
      <w:r>
        <w:rPr>
          <w:noProof/>
        </w:rPr>
        <w:t>.</w:t>
      </w:r>
    </w:p>
    <w:p w14:paraId="312C76D5" w14:textId="77777777" w:rsidR="004F12DE" w:rsidRDefault="004F12DE" w:rsidP="004F12DE">
      <w:pPr>
        <w:pStyle w:val="ListBullet1"/>
        <w:numPr>
          <w:ilvl w:val="0"/>
          <w:numId w:val="0"/>
        </w:numPr>
        <w:spacing w:after="0"/>
        <w:ind w:left="284" w:hanging="284"/>
        <w:rPr>
          <w:noProof/>
        </w:rPr>
      </w:pPr>
    </w:p>
    <w:p w14:paraId="7CDBB075" w14:textId="74AACBB6" w:rsidR="002A18B1" w:rsidRPr="004F12DE" w:rsidRDefault="007C4BAE" w:rsidP="00FF0551">
      <w:pPr>
        <w:pStyle w:val="ListBullet1"/>
        <w:numPr>
          <w:ilvl w:val="0"/>
          <w:numId w:val="0"/>
        </w:numPr>
        <w:spacing w:line="259" w:lineRule="auto"/>
        <w:rPr>
          <w:i/>
          <w:iCs/>
          <w:noProof/>
        </w:rPr>
      </w:pPr>
      <w:r>
        <w:rPr>
          <w:i/>
          <w:noProof/>
        </w:rPr>
        <w:t>Măsuri de sprijinire a cererii și a investițiilor:</w:t>
      </w:r>
    </w:p>
    <w:p w14:paraId="08FC1524" w14:textId="6A5C8E8B" w:rsidR="00123C95" w:rsidRPr="00C66253" w:rsidRDefault="002A18B1" w:rsidP="00C66253">
      <w:pPr>
        <w:pStyle w:val="ListBullet1"/>
        <w:numPr>
          <w:ilvl w:val="0"/>
          <w:numId w:val="0"/>
        </w:numPr>
        <w:spacing w:after="0"/>
        <w:rPr>
          <w:b/>
          <w:bCs/>
          <w:noProof/>
        </w:rPr>
      </w:pPr>
      <w:r>
        <w:rPr>
          <w:noProof/>
        </w:rPr>
        <w:t>Comisia va:</w:t>
      </w:r>
    </w:p>
    <w:p w14:paraId="7DA8E056" w14:textId="05B74BE6" w:rsidR="002A18B1" w:rsidRPr="00FF0551" w:rsidRDefault="002A18B1" w:rsidP="003A6C62">
      <w:pPr>
        <w:pStyle w:val="ListBullet1"/>
        <w:numPr>
          <w:ilvl w:val="0"/>
          <w:numId w:val="0"/>
        </w:numPr>
        <w:spacing w:after="0"/>
        <w:ind w:left="283" w:hanging="283"/>
        <w:rPr>
          <w:noProof/>
        </w:rPr>
      </w:pPr>
    </w:p>
    <w:p w14:paraId="41F5F857" w14:textId="5812AF2C" w:rsidR="004F12DE" w:rsidRPr="00E976BE" w:rsidRDefault="00320795" w:rsidP="00E976BE">
      <w:pPr>
        <w:pStyle w:val="ListBullet1"/>
        <w:numPr>
          <w:ilvl w:val="0"/>
          <w:numId w:val="48"/>
        </w:numPr>
        <w:spacing w:after="0"/>
        <w:rPr>
          <w:noProof/>
        </w:rPr>
      </w:pPr>
      <w:r>
        <w:rPr>
          <w:noProof/>
        </w:rPr>
        <w:t xml:space="preserve">sprijini extinderea biotehnologiei industriale pentru producția de bioproduse chimice; </w:t>
      </w:r>
    </w:p>
    <w:p w14:paraId="012C5467" w14:textId="62FFD0B4" w:rsidR="00FB66A6" w:rsidRPr="00E976BE" w:rsidRDefault="00534D77" w:rsidP="00E976BE">
      <w:pPr>
        <w:pStyle w:val="ListBullet1"/>
        <w:numPr>
          <w:ilvl w:val="0"/>
          <w:numId w:val="48"/>
        </w:numPr>
        <w:rPr>
          <w:noProof/>
        </w:rPr>
      </w:pPr>
      <w:r>
        <w:rPr>
          <w:noProof/>
        </w:rPr>
        <w:t>stimula cererea și producția de bioproduse chimice, inclusiv prin posibila introducere a cerințelor privind conținutul de origine biologică pentru anumite produse introduse pe piața unică a UE.</w:t>
      </w:r>
    </w:p>
    <w:p w14:paraId="06631C27" w14:textId="6CFEB5DF" w:rsidR="00C214C7" w:rsidRDefault="13D1AB44" w:rsidP="002A18B1">
      <w:pPr>
        <w:rPr>
          <w:noProof/>
        </w:rPr>
      </w:pPr>
      <w:r>
        <w:rPr>
          <w:b/>
          <w:noProof/>
          <w:u w:val="single"/>
        </w:rPr>
        <w:t>Bioprodusele pentru construcții</w:t>
      </w:r>
      <w:r>
        <w:rPr>
          <w:noProof/>
        </w:rPr>
        <w:t xml:space="preserve"> includ lemnul și alte materiale regenerabile, cum ar fi cânepa, paiele, miceliul și materialele compozite pe bază de fibre. Sectorul construcțiilor este responsabil pentru </w:t>
      </w:r>
      <w:r>
        <w:rPr>
          <w:b/>
          <w:noProof/>
        </w:rPr>
        <w:t xml:space="preserve">peste 35 % </w:t>
      </w:r>
      <w:r>
        <w:rPr>
          <w:noProof/>
        </w:rPr>
        <w:t xml:space="preserve">din producția de deșeuri în UE și pentru </w:t>
      </w:r>
      <w:r>
        <w:rPr>
          <w:b/>
          <w:noProof/>
        </w:rPr>
        <w:t>5-12 %</w:t>
      </w:r>
      <w:r>
        <w:rPr>
          <w:noProof/>
        </w:rPr>
        <w:t xml:space="preserve"> din totalul emisiilor naționale de GES</w:t>
      </w:r>
      <w:r>
        <w:rPr>
          <w:rStyle w:val="FootnoteReference"/>
          <w:noProof/>
        </w:rPr>
        <w:footnoteReference w:id="33"/>
      </w:r>
      <w:r>
        <w:rPr>
          <w:noProof/>
        </w:rPr>
        <w:t>. Utilizarea bioproduselor poate contribui la reducerea carbonului încorporat și a cererii de energie</w:t>
      </w:r>
      <w:r>
        <w:rPr>
          <w:rStyle w:val="FootnoteReference"/>
          <w:noProof/>
        </w:rPr>
        <w:footnoteReference w:id="34"/>
      </w:r>
      <w:r>
        <w:rPr>
          <w:noProof/>
        </w:rPr>
        <w:t xml:space="preserve"> în clădiri cu </w:t>
      </w:r>
      <w:r>
        <w:rPr>
          <w:b/>
          <w:noProof/>
        </w:rPr>
        <w:t>aproximativ 40 %</w:t>
      </w:r>
      <w:r>
        <w:rPr>
          <w:rStyle w:val="FootnoteReference"/>
          <w:noProof/>
        </w:rPr>
        <w:footnoteReference w:id="35"/>
      </w:r>
      <w:r>
        <w:rPr>
          <w:noProof/>
        </w:rPr>
        <w:t xml:space="preserve">. </w:t>
      </w:r>
    </w:p>
    <w:p w14:paraId="007EFE69" w14:textId="77777777" w:rsidR="002A18B1" w:rsidRPr="004F12DE" w:rsidRDefault="002A18B1" w:rsidP="003A6C62">
      <w:pPr>
        <w:pBdr>
          <w:top w:val="single" w:sz="4" w:space="1" w:color="auto"/>
          <w:left w:val="single" w:sz="4" w:space="4" w:color="auto"/>
          <w:bottom w:val="single" w:sz="4" w:space="1" w:color="auto"/>
          <w:right w:val="single" w:sz="4" w:space="4" w:color="auto"/>
        </w:pBdr>
        <w:rPr>
          <w:i/>
          <w:iCs/>
          <w:noProof/>
        </w:rPr>
      </w:pPr>
      <w:r>
        <w:rPr>
          <w:i/>
          <w:noProof/>
        </w:rPr>
        <w:t>Beneficii:</w:t>
      </w:r>
    </w:p>
    <w:p w14:paraId="22F2B46C" w14:textId="68C2EFC6" w:rsidR="002A18B1" w:rsidRPr="004F12DE" w:rsidRDefault="002A18B1"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rPr>
      </w:pPr>
      <w:r>
        <w:rPr>
          <w:b/>
          <w:noProof/>
        </w:rPr>
        <w:t>o amprentă mai scăzută de carbon încorporat și o cerere de energie mai redusă</w:t>
      </w:r>
      <w:r>
        <w:rPr>
          <w:noProof/>
        </w:rPr>
        <w:t>;</w:t>
      </w:r>
    </w:p>
    <w:p w14:paraId="54006881" w14:textId="35D41624" w:rsidR="002A18B1" w:rsidRPr="004F12DE" w:rsidRDefault="002A18B1"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rPr>
      </w:pPr>
      <w:r>
        <w:rPr>
          <w:b/>
          <w:noProof/>
        </w:rPr>
        <w:t>stocarea pe termen lung a carbonului</w:t>
      </w:r>
      <w:r>
        <w:rPr>
          <w:noProof/>
        </w:rPr>
        <w:t xml:space="preserve"> în clădiri;</w:t>
      </w:r>
    </w:p>
    <w:p w14:paraId="2EB5F6F7" w14:textId="2A07BA15" w:rsidR="002A18B1" w:rsidRPr="004F12DE" w:rsidRDefault="002A18B1"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rPr>
      </w:pPr>
      <w:r>
        <w:rPr>
          <w:b/>
          <w:noProof/>
        </w:rPr>
        <w:t>diversificarea</w:t>
      </w:r>
      <w:r>
        <w:rPr>
          <w:noProof/>
        </w:rPr>
        <w:t xml:space="preserve"> lanțurilor de aprovizionare cu materiale;</w:t>
      </w:r>
    </w:p>
    <w:p w14:paraId="15D038A6" w14:textId="45DB2CB3" w:rsidR="002A18B1" w:rsidRPr="004F12DE" w:rsidRDefault="002A18B1"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rPr>
      </w:pPr>
      <w:r>
        <w:rPr>
          <w:noProof/>
        </w:rPr>
        <w:t xml:space="preserve">sprijinirea ecosistemelor </w:t>
      </w:r>
      <w:r>
        <w:rPr>
          <w:b/>
          <w:noProof/>
        </w:rPr>
        <w:t xml:space="preserve">regionale </w:t>
      </w:r>
      <w:r>
        <w:rPr>
          <w:noProof/>
        </w:rPr>
        <w:t>de prelucrare.</w:t>
      </w:r>
    </w:p>
    <w:p w14:paraId="679B439D" w14:textId="77777777" w:rsidR="004F12DE" w:rsidRDefault="004F12DE" w:rsidP="00610E0C">
      <w:pPr>
        <w:spacing w:after="0"/>
        <w:rPr>
          <w:i/>
          <w:iCs/>
          <w:noProof/>
          <w:lang w:val="en-IE"/>
        </w:rPr>
      </w:pPr>
    </w:p>
    <w:p w14:paraId="20119F3F" w14:textId="3134AF5F" w:rsidR="002A18B1" w:rsidRPr="004F12DE" w:rsidRDefault="00FB66A6" w:rsidP="00610E0C">
      <w:pPr>
        <w:tabs>
          <w:tab w:val="num" w:pos="360"/>
        </w:tabs>
        <w:rPr>
          <w:i/>
          <w:iCs/>
          <w:noProof/>
        </w:rPr>
      </w:pPr>
      <w:r>
        <w:rPr>
          <w:i/>
          <w:noProof/>
        </w:rPr>
        <w:t>Măsuri de sprijinire a cererii și a investițiilor:</w:t>
      </w:r>
    </w:p>
    <w:p w14:paraId="44704A53" w14:textId="4644AA6C" w:rsidR="001D7577" w:rsidRPr="002A18B1" w:rsidRDefault="002A18B1" w:rsidP="00C66253">
      <w:pPr>
        <w:spacing w:after="0"/>
        <w:rPr>
          <w:noProof/>
        </w:rPr>
      </w:pPr>
      <w:r>
        <w:rPr>
          <w:noProof/>
        </w:rPr>
        <w:t xml:space="preserve">În temeiul </w:t>
      </w:r>
      <w:r>
        <w:rPr>
          <w:b/>
          <w:noProof/>
        </w:rPr>
        <w:t>Regulamentului revizuit privind produsele pentru construcții</w:t>
      </w:r>
      <w:r>
        <w:rPr>
          <w:noProof/>
        </w:rPr>
        <w:t xml:space="preserve"> (RPC), Comisia va:</w:t>
      </w:r>
    </w:p>
    <w:p w14:paraId="60A9CEA6" w14:textId="24DDBEFC" w:rsidR="008A47D9" w:rsidRPr="004951A2" w:rsidRDefault="008A47D9" w:rsidP="003A6C62">
      <w:pPr>
        <w:spacing w:after="0"/>
        <w:rPr>
          <w:noProof/>
          <w:lang w:val="fr-FR"/>
        </w:rPr>
      </w:pPr>
    </w:p>
    <w:p w14:paraId="369D74BC" w14:textId="02941225" w:rsidR="002A18B1" w:rsidRPr="00E976BE" w:rsidRDefault="00C214C7" w:rsidP="00792501">
      <w:pPr>
        <w:pStyle w:val="ListParagraph"/>
        <w:numPr>
          <w:ilvl w:val="0"/>
          <w:numId w:val="48"/>
        </w:numPr>
        <w:spacing w:after="0"/>
        <w:ind w:right="0"/>
        <w:jc w:val="both"/>
        <w:rPr>
          <w:noProof/>
        </w:rPr>
      </w:pPr>
      <w:r>
        <w:rPr>
          <w:noProof/>
        </w:rPr>
        <w:t xml:space="preserve">continua activitatea de </w:t>
      </w:r>
      <w:r>
        <w:rPr>
          <w:b/>
          <w:noProof/>
        </w:rPr>
        <w:t>standardizare</w:t>
      </w:r>
      <w:r>
        <w:rPr>
          <w:noProof/>
        </w:rPr>
        <w:t xml:space="preserve"> pentru bioprodusele pentru construcții și va asigura existența unor </w:t>
      </w:r>
      <w:r>
        <w:rPr>
          <w:b/>
          <w:noProof/>
        </w:rPr>
        <w:t>standarde</w:t>
      </w:r>
      <w:r>
        <w:rPr>
          <w:noProof/>
        </w:rPr>
        <w:t xml:space="preserve"> care să permită o comparație echitabilă între materialele convenționale și cele inovatoare, deschizând și extinzând piața UE pentru bioprodusele pentru construcții;</w:t>
      </w:r>
    </w:p>
    <w:p w14:paraId="6220A23D" w14:textId="2C30DFFD" w:rsidR="00EF3C5C" w:rsidRPr="00E976BE" w:rsidRDefault="00EF3C5C" w:rsidP="00792501">
      <w:pPr>
        <w:pStyle w:val="ListParagraph"/>
        <w:numPr>
          <w:ilvl w:val="0"/>
          <w:numId w:val="48"/>
        </w:numPr>
        <w:spacing w:after="0"/>
        <w:ind w:right="0"/>
        <w:jc w:val="both"/>
        <w:rPr>
          <w:noProof/>
        </w:rPr>
      </w:pPr>
      <w:r>
        <w:rPr>
          <w:noProof/>
        </w:rPr>
        <w:t>pentru noile bioproduse pentru construcții care nu sunt încă armonizate, viitoarele standarde vor asigura faptul că performanța acestora, inclusiv comportamentul lor la foc, poate fi comparată direct cu cea a unor produse similare fabricate din alte materiale, îmbunătățindu-le astfel competitivitatea și circulația în cadrul pieței unice.</w:t>
      </w:r>
    </w:p>
    <w:p w14:paraId="72FD9E52" w14:textId="77777777" w:rsidR="004F12DE" w:rsidRPr="004951A2" w:rsidRDefault="004F12DE" w:rsidP="00E976BE">
      <w:pPr>
        <w:spacing w:after="0"/>
        <w:ind w:left="360"/>
        <w:jc w:val="left"/>
        <w:rPr>
          <w:noProof/>
          <w:highlight w:val="yellow"/>
        </w:rPr>
      </w:pPr>
    </w:p>
    <w:p w14:paraId="19A3FB9E" w14:textId="62BB02EA" w:rsidR="004F12DE" w:rsidRDefault="002A18B1" w:rsidP="00610E0C">
      <w:pPr>
        <w:spacing w:after="0"/>
        <w:rPr>
          <w:noProof/>
        </w:rPr>
      </w:pPr>
      <w:bookmarkStart w:id="9" w:name="_Hlk213941304"/>
      <w:r>
        <w:rPr>
          <w:noProof/>
        </w:rPr>
        <w:t>Pentru a stimula adoptarea pe piață, Comisia va:</w:t>
      </w:r>
    </w:p>
    <w:p w14:paraId="74F89627" w14:textId="77777777" w:rsidR="001D7577" w:rsidRDefault="001D7577" w:rsidP="00610E0C">
      <w:pPr>
        <w:spacing w:after="0"/>
        <w:rPr>
          <w:noProof/>
          <w:lang w:val="en-IE"/>
        </w:rPr>
      </w:pPr>
    </w:p>
    <w:p w14:paraId="39C2CDAD" w14:textId="043A04EC" w:rsidR="002A18B1" w:rsidRPr="004F12DE" w:rsidRDefault="00A73D6E" w:rsidP="00C66253">
      <w:pPr>
        <w:pStyle w:val="ListParagraph"/>
        <w:numPr>
          <w:ilvl w:val="0"/>
          <w:numId w:val="48"/>
        </w:numPr>
        <w:spacing w:after="0"/>
        <w:ind w:right="0"/>
        <w:jc w:val="both"/>
        <w:rPr>
          <w:noProof/>
        </w:rPr>
      </w:pPr>
      <w:r>
        <w:rPr>
          <w:noProof/>
        </w:rPr>
        <w:t>sprijini construcțiile industrializate și modulare care utilizează materiale durabile din bioresurse, prin contribuții la activitatea de standardizare, la modelele de achiziții publice și la proiectele de referință din cadrul Strategiei pentru construcții (2026);</w:t>
      </w:r>
    </w:p>
    <w:p w14:paraId="0159326E" w14:textId="40DB7B9F" w:rsidR="002A18B1" w:rsidRPr="004F12DE" w:rsidRDefault="00E56DF0" w:rsidP="00C66253">
      <w:pPr>
        <w:pStyle w:val="ListParagraph"/>
        <w:numPr>
          <w:ilvl w:val="0"/>
          <w:numId w:val="48"/>
        </w:numPr>
        <w:spacing w:after="0"/>
        <w:ind w:right="0"/>
        <w:jc w:val="both"/>
        <w:rPr>
          <w:noProof/>
        </w:rPr>
      </w:pPr>
      <w:r>
        <w:rPr>
          <w:noProof/>
        </w:rPr>
        <w:t xml:space="preserve">sprijini evaluarea întregului ciclu de viață al emisiilor de gaze cu efect de seră ale clădirilor, în temeiul </w:t>
      </w:r>
      <w:r>
        <w:rPr>
          <w:b/>
          <w:noProof/>
        </w:rPr>
        <w:t>Directivei privind performanța energetică a clădirilor</w:t>
      </w:r>
      <w:r>
        <w:rPr>
          <w:noProof/>
        </w:rPr>
        <w:t>;</w:t>
      </w:r>
    </w:p>
    <w:bookmarkEnd w:id="9"/>
    <w:p w14:paraId="55F04B80" w14:textId="09356B96" w:rsidR="002A18B1" w:rsidRPr="00F065AE" w:rsidRDefault="73AF98CF" w:rsidP="62CA18EE">
      <w:pPr>
        <w:pStyle w:val="ListParagraph"/>
        <w:numPr>
          <w:ilvl w:val="0"/>
          <w:numId w:val="48"/>
        </w:numPr>
        <w:spacing w:after="0"/>
        <w:ind w:right="0"/>
        <w:jc w:val="both"/>
        <w:rPr>
          <w:noProof/>
        </w:rPr>
      </w:pPr>
      <w:r>
        <w:rPr>
          <w:noProof/>
        </w:rPr>
        <w:t xml:space="preserve">elabora o metodologie pentru certificarea captării emisiilor biogene cu stocare de dioxid de carbon pe termen lung în clădiri, în temeiul </w:t>
      </w:r>
      <w:r>
        <w:rPr>
          <w:b/>
          <w:noProof/>
        </w:rPr>
        <w:t>Cadrului de certificare pentru absorbțiile de carbon și agricultura carbonului (CRCF)</w:t>
      </w:r>
      <w:r>
        <w:rPr>
          <w:noProof/>
        </w:rPr>
        <w:t>.</w:t>
      </w:r>
    </w:p>
    <w:p w14:paraId="0B5C2120" w14:textId="77777777" w:rsidR="004F12DE" w:rsidRDefault="004F12DE" w:rsidP="00610E0C">
      <w:pPr>
        <w:spacing w:after="0"/>
        <w:rPr>
          <w:noProof/>
        </w:rPr>
      </w:pPr>
      <w:bookmarkStart w:id="10" w:name="_Hlk213941964"/>
    </w:p>
    <w:p w14:paraId="4D39805B" w14:textId="699852A6" w:rsidR="000827BC" w:rsidRPr="002A18B1" w:rsidRDefault="00042A68" w:rsidP="00610E0C">
      <w:pPr>
        <w:spacing w:after="0"/>
        <w:rPr>
          <w:noProof/>
        </w:rPr>
      </w:pPr>
      <w:r>
        <w:rPr>
          <w:noProof/>
        </w:rPr>
        <w:t>Noul Bauhaus european (NBE) va continua să:</w:t>
      </w:r>
    </w:p>
    <w:p w14:paraId="7AC231C5" w14:textId="42D8A144" w:rsidR="002A18B1" w:rsidRPr="004F12DE" w:rsidRDefault="002A18B1" w:rsidP="00422BD3">
      <w:pPr>
        <w:pStyle w:val="ListParagraph"/>
        <w:numPr>
          <w:ilvl w:val="0"/>
          <w:numId w:val="48"/>
        </w:numPr>
        <w:spacing w:after="0"/>
        <w:ind w:right="0"/>
        <w:jc w:val="both"/>
        <w:rPr>
          <w:noProof/>
        </w:rPr>
      </w:pPr>
      <w:r>
        <w:rPr>
          <w:b/>
          <w:noProof/>
        </w:rPr>
        <w:t>sprijine proiectele demonstrative</w:t>
      </w:r>
      <w:r>
        <w:rPr>
          <w:noProof/>
        </w:rPr>
        <w:t xml:space="preserve"> (de exemplu, renovări de școli, locuințe sociale, interioare publice);</w:t>
      </w:r>
    </w:p>
    <w:p w14:paraId="06FC541F" w14:textId="06AE25E6" w:rsidR="002A18B1" w:rsidRPr="004F12DE" w:rsidRDefault="002A18B1" w:rsidP="00422BD3">
      <w:pPr>
        <w:pStyle w:val="ListParagraph"/>
        <w:numPr>
          <w:ilvl w:val="0"/>
          <w:numId w:val="48"/>
        </w:numPr>
        <w:spacing w:after="0"/>
        <w:ind w:right="0"/>
        <w:jc w:val="both"/>
        <w:rPr>
          <w:noProof/>
        </w:rPr>
      </w:pPr>
      <w:r>
        <w:rPr>
          <w:b/>
          <w:noProof/>
        </w:rPr>
        <w:t>faciliteze legăturile între proiectanți, arhitecți, producători, constructori, orașe și autoritățile care gestionează fonduri UE, naționale și regionale</w:t>
      </w:r>
      <w:r>
        <w:rPr>
          <w:noProof/>
        </w:rPr>
        <w:t>;</w:t>
      </w:r>
    </w:p>
    <w:p w14:paraId="5F7E6255" w14:textId="77777777" w:rsidR="00507BFC" w:rsidRDefault="002A18B1" w:rsidP="00422BD3">
      <w:pPr>
        <w:pStyle w:val="ListParagraph"/>
        <w:numPr>
          <w:ilvl w:val="0"/>
          <w:numId w:val="48"/>
        </w:numPr>
        <w:spacing w:after="0"/>
        <w:ind w:right="0"/>
        <w:jc w:val="both"/>
        <w:rPr>
          <w:noProof/>
        </w:rPr>
      </w:pPr>
      <w:r>
        <w:rPr>
          <w:noProof/>
        </w:rPr>
        <w:t xml:space="preserve">îmbunătățească </w:t>
      </w:r>
      <w:r>
        <w:rPr>
          <w:b/>
          <w:noProof/>
        </w:rPr>
        <w:t>acceptarea pe piață și vizibilitatea</w:t>
      </w:r>
      <w:r>
        <w:rPr>
          <w:noProof/>
        </w:rPr>
        <w:t xml:space="preserve">. </w:t>
      </w:r>
    </w:p>
    <w:p w14:paraId="5F86406C" w14:textId="77777777" w:rsidR="00507BFC" w:rsidRPr="004951A2" w:rsidRDefault="00507BFC" w:rsidP="00507BFC">
      <w:pPr>
        <w:spacing w:after="0"/>
        <w:rPr>
          <w:noProof/>
        </w:rPr>
      </w:pPr>
    </w:p>
    <w:p w14:paraId="78E720CA" w14:textId="77777777" w:rsidR="00507BFC" w:rsidRDefault="002A18B1" w:rsidP="00507BFC">
      <w:pPr>
        <w:spacing w:after="0"/>
        <w:rPr>
          <w:noProof/>
        </w:rPr>
      </w:pPr>
      <w:r>
        <w:rPr>
          <w:noProof/>
        </w:rPr>
        <w:t>Academia NBE va:</w:t>
      </w:r>
    </w:p>
    <w:p w14:paraId="63F2DFC4" w14:textId="3E5C0D0B" w:rsidR="00507BFC" w:rsidRDefault="002A18B1" w:rsidP="00422BD3">
      <w:pPr>
        <w:pStyle w:val="ListParagraph"/>
        <w:numPr>
          <w:ilvl w:val="0"/>
          <w:numId w:val="48"/>
        </w:numPr>
        <w:spacing w:after="0"/>
        <w:jc w:val="both"/>
        <w:rPr>
          <w:noProof/>
        </w:rPr>
      </w:pPr>
      <w:r>
        <w:rPr>
          <w:noProof/>
        </w:rPr>
        <w:t xml:space="preserve">sprijini </w:t>
      </w:r>
      <w:r>
        <w:rPr>
          <w:b/>
          <w:noProof/>
        </w:rPr>
        <w:t>formarea și dezvoltarea competențelor</w:t>
      </w:r>
      <w:r>
        <w:rPr>
          <w:noProof/>
        </w:rPr>
        <w:t xml:space="preserve"> pentru construcții din bioresurse și construcții bazate pe natură; </w:t>
      </w:r>
    </w:p>
    <w:p w14:paraId="2CD3611D" w14:textId="6C6D267A" w:rsidR="003F1ADD" w:rsidRPr="00507BFC" w:rsidRDefault="00507BFC" w:rsidP="00422BD3">
      <w:pPr>
        <w:pStyle w:val="ListParagraph"/>
        <w:numPr>
          <w:ilvl w:val="0"/>
          <w:numId w:val="48"/>
        </w:numPr>
        <w:spacing w:after="0"/>
        <w:jc w:val="both"/>
        <w:rPr>
          <w:noProof/>
        </w:rPr>
      </w:pPr>
      <w:r>
        <w:rPr>
          <w:noProof/>
        </w:rPr>
        <w:t xml:space="preserve">oferi </w:t>
      </w:r>
      <w:r>
        <w:rPr>
          <w:b/>
          <w:noProof/>
        </w:rPr>
        <w:t>sprijin specific IMM-urilor și ecosistemelor de inovare</w:t>
      </w:r>
      <w:r>
        <w:rPr>
          <w:noProof/>
        </w:rPr>
        <w:t xml:space="preserve">; </w:t>
      </w:r>
    </w:p>
    <w:p w14:paraId="7B4F0311" w14:textId="59367868" w:rsidR="00766412" w:rsidRPr="00A42F45" w:rsidRDefault="00766412" w:rsidP="00422BD3">
      <w:pPr>
        <w:pStyle w:val="ListParagraph"/>
        <w:numPr>
          <w:ilvl w:val="0"/>
          <w:numId w:val="48"/>
        </w:numPr>
        <w:spacing w:after="0"/>
        <w:ind w:right="0"/>
        <w:jc w:val="both"/>
        <w:rPr>
          <w:noProof/>
        </w:rPr>
      </w:pPr>
      <w:r>
        <w:rPr>
          <w:noProof/>
        </w:rPr>
        <w:t xml:space="preserve">sprijini </w:t>
      </w:r>
      <w:r>
        <w:rPr>
          <w:b/>
          <w:noProof/>
        </w:rPr>
        <w:t>cercetarea și inovarea</w:t>
      </w:r>
      <w:r>
        <w:rPr>
          <w:noProof/>
        </w:rPr>
        <w:t xml:space="preserve">. </w:t>
      </w:r>
    </w:p>
    <w:bookmarkEnd w:id="10"/>
    <w:p w14:paraId="36D6BBB1" w14:textId="77777777" w:rsidR="003F1ADD" w:rsidRDefault="003F1ADD" w:rsidP="00C66253">
      <w:pPr>
        <w:spacing w:after="0"/>
        <w:rPr>
          <w:b/>
          <w:bCs/>
          <w:noProof/>
          <w:u w:val="single"/>
        </w:rPr>
      </w:pPr>
    </w:p>
    <w:p w14:paraId="02C76007" w14:textId="407041EE" w:rsidR="009650AB" w:rsidRDefault="79039E87" w:rsidP="004F12DE">
      <w:pPr>
        <w:rPr>
          <w:noProof/>
        </w:rPr>
      </w:pPr>
      <w:r>
        <w:rPr>
          <w:b/>
          <w:noProof/>
          <w:u w:val="single"/>
        </w:rPr>
        <w:t>Biofertilizanți și bioproduse de protecție a plantelor</w:t>
      </w:r>
      <w:r>
        <w:rPr>
          <w:b/>
          <w:noProof/>
        </w:rPr>
        <w:t xml:space="preserve">. </w:t>
      </w:r>
      <w:r>
        <w:rPr>
          <w:noProof/>
        </w:rPr>
        <w:t xml:space="preserve">Biofertilizanții includ microorganisme, nutrienți reciclați și biocompuși care îmbunătățesc fertilitatea solului și disponibilitatea nutrienților. Bioprodusele de protecție a plantelor includ microorganisme și substanțe naturale (cum ar fi extracte din plante și alte biosubstanțe) care contribuie la menținerea sănătății plantelor. Biofertilizanții pot reduce dependența de importuri și amprenta de carbon, transformând reziduurile agricole și deșeurile organice locale în valoare economică. </w:t>
      </w:r>
    </w:p>
    <w:p w14:paraId="599850A2" w14:textId="77777777" w:rsidR="001F7458" w:rsidRPr="00223A81" w:rsidRDefault="001F7458" w:rsidP="003A6C62">
      <w:pPr>
        <w:pStyle w:val="ListBullet1"/>
        <w:numPr>
          <w:ilvl w:val="0"/>
          <w:numId w:val="0"/>
        </w:numPr>
        <w:pBdr>
          <w:top w:val="single" w:sz="4" w:space="1" w:color="auto"/>
          <w:left w:val="single" w:sz="4" w:space="4" w:color="auto"/>
          <w:bottom w:val="single" w:sz="4" w:space="1" w:color="auto"/>
          <w:right w:val="single" w:sz="4" w:space="4" w:color="auto"/>
        </w:pBdr>
        <w:spacing w:line="259" w:lineRule="auto"/>
        <w:rPr>
          <w:i/>
          <w:iCs/>
          <w:noProof/>
          <w:szCs w:val="24"/>
        </w:rPr>
      </w:pPr>
      <w:r>
        <w:rPr>
          <w:i/>
          <w:noProof/>
        </w:rPr>
        <w:t xml:space="preserve">Beneficii: </w:t>
      </w:r>
    </w:p>
    <w:p w14:paraId="4B4CB6FF" w14:textId="17CB6D82" w:rsidR="00052CC6" w:rsidRPr="00052CC6" w:rsidRDefault="002E5CFF"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rPr>
      </w:pPr>
      <w:r>
        <w:rPr>
          <w:b/>
          <w:noProof/>
        </w:rPr>
        <w:t>reducerea dependenței</w:t>
      </w:r>
      <w:r>
        <w:rPr>
          <w:noProof/>
        </w:rPr>
        <w:t xml:space="preserve"> de </w:t>
      </w:r>
      <w:r>
        <w:rPr>
          <w:b/>
          <w:noProof/>
        </w:rPr>
        <w:t>factorii de producție sintetici</w:t>
      </w:r>
      <w:r>
        <w:rPr>
          <w:noProof/>
        </w:rPr>
        <w:t xml:space="preserve">; </w:t>
      </w:r>
    </w:p>
    <w:p w14:paraId="6170B463" w14:textId="77777777" w:rsidR="00052CC6" w:rsidRPr="00052CC6" w:rsidRDefault="002E5CFF"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rPr>
      </w:pPr>
      <w:r>
        <w:rPr>
          <w:noProof/>
        </w:rPr>
        <w:t xml:space="preserve">sprijinirea </w:t>
      </w:r>
      <w:r>
        <w:rPr>
          <w:b/>
          <w:noProof/>
        </w:rPr>
        <w:t>funcțiilor solului</w:t>
      </w:r>
      <w:r>
        <w:rPr>
          <w:noProof/>
        </w:rPr>
        <w:t xml:space="preserve"> și a </w:t>
      </w:r>
      <w:r>
        <w:rPr>
          <w:b/>
          <w:noProof/>
        </w:rPr>
        <w:t>eficienței utilizării resurselor</w:t>
      </w:r>
      <w:r>
        <w:rPr>
          <w:noProof/>
        </w:rPr>
        <w:t xml:space="preserve">; </w:t>
      </w:r>
    </w:p>
    <w:p w14:paraId="18C7E444" w14:textId="7234C527" w:rsidR="00052CC6" w:rsidRPr="00052CC6" w:rsidRDefault="002E5CFF"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rPr>
      </w:pPr>
      <w:r>
        <w:rPr>
          <w:noProof/>
        </w:rPr>
        <w:t xml:space="preserve">facilitarea </w:t>
      </w:r>
      <w:r>
        <w:rPr>
          <w:b/>
          <w:noProof/>
        </w:rPr>
        <w:t>lanțurilor valorice circulare</w:t>
      </w:r>
      <w:r>
        <w:rPr>
          <w:noProof/>
        </w:rPr>
        <w:t xml:space="preserve"> prin utilizarea subproduselor agricole și de procesare; </w:t>
      </w:r>
    </w:p>
    <w:p w14:paraId="7873D813" w14:textId="33309C10" w:rsidR="00052CC6" w:rsidRPr="00052CC6" w:rsidRDefault="002E5CFF"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rPr>
      </w:pPr>
      <w:r>
        <w:rPr>
          <w:b/>
          <w:noProof/>
        </w:rPr>
        <w:t>reducerea dependenței de importuri</w:t>
      </w:r>
      <w:r>
        <w:rPr>
          <w:noProof/>
        </w:rPr>
        <w:t xml:space="preserve"> pentru principalii factori de producție agricolă; și </w:t>
      </w:r>
    </w:p>
    <w:p w14:paraId="79579752" w14:textId="00848F23" w:rsidR="004F12DE" w:rsidRPr="00052CC6" w:rsidRDefault="002E5CFF" w:rsidP="003A6C62">
      <w:pPr>
        <w:pStyle w:val="ListParagraph"/>
        <w:numPr>
          <w:ilvl w:val="0"/>
          <w:numId w:val="48"/>
        </w:numPr>
        <w:pBdr>
          <w:top w:val="single" w:sz="4" w:space="1" w:color="auto"/>
          <w:left w:val="single" w:sz="4" w:space="4" w:color="auto"/>
          <w:bottom w:val="single" w:sz="4" w:space="1" w:color="auto"/>
          <w:right w:val="single" w:sz="4" w:space="4" w:color="auto"/>
        </w:pBdr>
        <w:spacing w:after="0"/>
        <w:ind w:right="0"/>
        <w:rPr>
          <w:noProof/>
        </w:rPr>
      </w:pPr>
      <w:r>
        <w:rPr>
          <w:noProof/>
        </w:rPr>
        <w:t xml:space="preserve">oferirea de </w:t>
      </w:r>
      <w:r>
        <w:rPr>
          <w:b/>
          <w:noProof/>
        </w:rPr>
        <w:t>opțiuni practice și adaptabile pentru ferme</w:t>
      </w:r>
      <w:r>
        <w:rPr>
          <w:noProof/>
        </w:rPr>
        <w:t xml:space="preserve"> de diferite dimensiuni.</w:t>
      </w:r>
    </w:p>
    <w:p w14:paraId="336636A9" w14:textId="77777777" w:rsidR="006E08C9" w:rsidRPr="004951A2" w:rsidRDefault="006E08C9" w:rsidP="004F12DE">
      <w:pPr>
        <w:spacing w:after="0"/>
        <w:rPr>
          <w:noProof/>
          <w:lang w:val="fr-FR"/>
        </w:rPr>
      </w:pPr>
    </w:p>
    <w:p w14:paraId="79E6A79D" w14:textId="2ECE8618" w:rsidR="002E5CFF" w:rsidRPr="004F12DE" w:rsidRDefault="003F1ADD" w:rsidP="00CA3F9A">
      <w:pPr>
        <w:rPr>
          <w:i/>
          <w:iCs/>
          <w:noProof/>
        </w:rPr>
      </w:pPr>
      <w:r>
        <w:rPr>
          <w:i/>
          <w:noProof/>
        </w:rPr>
        <w:t>Măsuri de sprijinire a cererii și a investițiilor:</w:t>
      </w:r>
    </w:p>
    <w:p w14:paraId="35183B81" w14:textId="361EC4C0" w:rsidR="00940E2E" w:rsidRDefault="00455AFF" w:rsidP="00CA3F9A">
      <w:pPr>
        <w:spacing w:after="0"/>
        <w:rPr>
          <w:noProof/>
        </w:rPr>
      </w:pPr>
      <w:r>
        <w:rPr>
          <w:noProof/>
        </w:rPr>
        <w:t xml:space="preserve">Cu procese de autorizare mai clare și o vizibilitate mai bună pe piață, gradul de adoptare pe piață ar putea crește semnificativ până în 2040. </w:t>
      </w:r>
    </w:p>
    <w:p w14:paraId="61532A86" w14:textId="77777777" w:rsidR="003C2BF8" w:rsidRPr="004951A2" w:rsidRDefault="003C2BF8" w:rsidP="00C66253">
      <w:pPr>
        <w:spacing w:after="0"/>
        <w:rPr>
          <w:noProof/>
          <w:lang w:val="fr-FR"/>
        </w:rPr>
      </w:pPr>
    </w:p>
    <w:p w14:paraId="51077762" w14:textId="1543B755" w:rsidR="00031C8A" w:rsidRPr="00031C8A" w:rsidDel="00D00BA1" w:rsidRDefault="003C2BF8" w:rsidP="00984BBC">
      <w:pPr>
        <w:spacing w:after="0"/>
        <w:rPr>
          <w:noProof/>
        </w:rPr>
      </w:pPr>
      <w:r>
        <w:rPr>
          <w:b/>
          <w:noProof/>
        </w:rPr>
        <w:t>Pachetul omnibus de simplificare pentru substanțele chimice</w:t>
      </w:r>
      <w:r>
        <w:rPr>
          <w:noProof/>
        </w:rPr>
        <w:t xml:space="preserve"> va raționaliza procedurile de evaluare pentru anumite microorganisme din produsele fertilizante. În viitorul pachet de simplificare privind siguranța alimentelor și a hranei pentru animale, Comisia va propune măsuri pentru accelerarea accesului pe piață al biopesticidelor. </w:t>
      </w:r>
    </w:p>
    <w:p w14:paraId="7DC64AA7" w14:textId="77777777" w:rsidR="003F29A7" w:rsidRPr="004951A2" w:rsidRDefault="003F29A7" w:rsidP="00422BD3">
      <w:pPr>
        <w:spacing w:after="0"/>
        <w:rPr>
          <w:noProof/>
          <w:lang w:val="fr-FR"/>
        </w:rPr>
      </w:pPr>
    </w:p>
    <w:p w14:paraId="3086FD79" w14:textId="4B62E665" w:rsidR="002E5CFF" w:rsidRPr="00E57C55" w:rsidRDefault="00951300" w:rsidP="00C66253">
      <w:pPr>
        <w:spacing w:after="0"/>
        <w:rPr>
          <w:noProof/>
        </w:rPr>
      </w:pPr>
      <w:r>
        <w:rPr>
          <w:noProof/>
        </w:rPr>
        <w:t xml:space="preserve">La evaluarea </w:t>
      </w:r>
      <w:r>
        <w:rPr>
          <w:b/>
          <w:noProof/>
        </w:rPr>
        <w:t>Regulamentului privind produsele fertilizante</w:t>
      </w:r>
      <w:r>
        <w:rPr>
          <w:noProof/>
        </w:rPr>
        <w:t xml:space="preserve"> (care trebuie finalizată până în iulie 2026), Comisia va examina dacă acesta își îndeplinește obiectivul de promovare a utilizării materialelor organice și recuperate. Pe baza evaluării, Comisia ar putea propune măsuri specifice (de exemplu, orientări specifice, platforme comune de date sau evaluări simplificate ale riscurilor pentru tulpinile microbiene).</w:t>
      </w:r>
    </w:p>
    <w:p w14:paraId="178DAB5E" w14:textId="77777777" w:rsidR="001D7577" w:rsidRPr="004951A2" w:rsidRDefault="001D7577" w:rsidP="00C66253">
      <w:pPr>
        <w:pStyle w:val="ListParagraph"/>
        <w:spacing w:after="0" w:line="240" w:lineRule="auto"/>
        <w:ind w:left="720" w:right="0" w:firstLine="0"/>
        <w:jc w:val="both"/>
        <w:rPr>
          <w:noProof/>
          <w:lang w:val="fr-FR"/>
        </w:rPr>
      </w:pPr>
    </w:p>
    <w:p w14:paraId="771AB8A9" w14:textId="3E4BDC3E" w:rsidR="001D7577" w:rsidRDefault="002E5CFF">
      <w:pPr>
        <w:spacing w:after="0"/>
        <w:rPr>
          <w:noProof/>
        </w:rPr>
      </w:pPr>
      <w:r>
        <w:rPr>
          <w:noProof/>
        </w:rPr>
        <w:t xml:space="preserve">Prin intermediul </w:t>
      </w:r>
      <w:r>
        <w:rPr>
          <w:b/>
          <w:noProof/>
        </w:rPr>
        <w:t>Rețelei PAC a UE</w:t>
      </w:r>
      <w:r>
        <w:rPr>
          <w:noProof/>
        </w:rPr>
        <w:t xml:space="preserve">, Comisia va sprijini schimburile de cunoștințe și utilizarea circulară a nutrienților, precum și sporirea </w:t>
      </w:r>
      <w:r>
        <w:rPr>
          <w:b/>
          <w:noProof/>
        </w:rPr>
        <w:t>cunostințelor pe acest subiect și a adoptării practice</w:t>
      </w:r>
      <w:r>
        <w:rPr>
          <w:noProof/>
        </w:rPr>
        <w:t xml:space="preserve"> în rândul fermierilor și al consilierilor. În plus, Actul delegat privind </w:t>
      </w:r>
      <w:r>
        <w:rPr>
          <w:b/>
          <w:noProof/>
        </w:rPr>
        <w:t xml:space="preserve">RENURE </w:t>
      </w:r>
      <w:r>
        <w:rPr>
          <w:noProof/>
        </w:rPr>
        <w:t xml:space="preserve">(azotul recuperat din dejecțiile animaliere) oferă posibilitatea utilizării </w:t>
      </w:r>
      <w:r>
        <w:rPr>
          <w:b/>
          <w:noProof/>
        </w:rPr>
        <w:t>dejecțiile animaliere procesate</w:t>
      </w:r>
      <w:r>
        <w:rPr>
          <w:noProof/>
        </w:rPr>
        <w:t xml:space="preserve"> în condiții definite.</w:t>
      </w:r>
    </w:p>
    <w:p w14:paraId="5B7ED79E" w14:textId="77777777" w:rsidR="000B3EC4" w:rsidRDefault="000B3EC4" w:rsidP="00B61004">
      <w:pPr>
        <w:spacing w:after="120"/>
        <w:rPr>
          <w:i/>
          <w:iCs/>
          <w:noProof/>
          <w:szCs w:val="24"/>
        </w:rPr>
      </w:pPr>
    </w:p>
    <w:p w14:paraId="4B305701" w14:textId="29D9764B" w:rsidR="009650AB" w:rsidRPr="006E08C9" w:rsidRDefault="00766412" w:rsidP="00B61004">
      <w:pPr>
        <w:spacing w:after="120"/>
        <w:rPr>
          <w:noProof/>
          <w:szCs w:val="24"/>
        </w:rPr>
      </w:pPr>
      <w:r>
        <w:rPr>
          <w:b/>
          <w:noProof/>
        </w:rPr>
        <w:t xml:space="preserve">2.4 </w:t>
      </w:r>
      <w:r>
        <w:rPr>
          <w:noProof/>
        </w:rPr>
        <w:tab/>
      </w:r>
      <w:r>
        <w:rPr>
          <w:b/>
          <w:noProof/>
        </w:rPr>
        <w:t>Piețe-pilot pentru tehnologii</w:t>
      </w:r>
      <w:r>
        <w:rPr>
          <w:noProof/>
        </w:rPr>
        <w:t xml:space="preserve"> </w:t>
      </w:r>
    </w:p>
    <w:p w14:paraId="1886AA0B" w14:textId="4F94E64A" w:rsidR="005D5549" w:rsidRDefault="00441D50" w:rsidP="00B61004">
      <w:pPr>
        <w:spacing w:after="120"/>
        <w:rPr>
          <w:noProof/>
        </w:rPr>
      </w:pPr>
      <w:r>
        <w:rPr>
          <w:noProof/>
        </w:rPr>
        <w:t>Biotehnologiile sunt esențiale pentru expansiunea bioeconomiei și a bazei industriale a Europei. Acestea permit conversia biomasei primare și secundare în materiale, produse chimice, combustibili și alte aplicații cu valoare ridicată.</w:t>
      </w:r>
    </w:p>
    <w:p w14:paraId="72F41804" w14:textId="7F4D0A5D" w:rsidR="00335A96" w:rsidRPr="003F29A7" w:rsidRDefault="0CF35CE9" w:rsidP="00C66253">
      <w:pPr>
        <w:spacing w:line="259" w:lineRule="auto"/>
        <w:rPr>
          <w:noProof/>
        </w:rPr>
      </w:pPr>
      <w:r>
        <w:rPr>
          <w:b/>
          <w:noProof/>
        </w:rPr>
        <w:t>Biorafinăriile</w:t>
      </w:r>
      <w:r>
        <w:rPr>
          <w:noProof/>
        </w:rPr>
        <w:t xml:space="preserve"> transformă biomasa – inclusiv biomasa lemnoasă, reziduurile agricole, deșeurile biologice și fluxurile secundare de procesare – într-o gamă largă de produse, precum ingredientele alimentare, hrana pentru animale, biocombustibilii, substanțele biochimice și biomateriale</w:t>
      </w:r>
      <w:r>
        <w:rPr>
          <w:noProof/>
          <w:vertAlign w:val="superscript"/>
        </w:rPr>
        <w:footnoteReference w:id="36"/>
      </w:r>
      <w:r>
        <w:rPr>
          <w:noProof/>
        </w:rPr>
        <w:t xml:space="preserve">. Biorafinăriile pot produce, de asemenea, alternative la materiile prime critice, cum ar fi bioanozii utilizați în baterii. Acestea necesită adesea investiții de capital semnificative și o planificare coordonată pentru materiile prime și infrastructură. O simbioză industrială sporită poate optimiza utilizarea materiilor prime la nivelul tuturor sectoarelor, poate stabiliza aprovizionarea cu factori de producție, poate reduce deșeurile și costurile de producție și poate sprijini clusterele industriale. </w:t>
      </w:r>
    </w:p>
    <w:p w14:paraId="1C22F5F2" w14:textId="4F617503" w:rsidR="009F4042" w:rsidRDefault="009F4042" w:rsidP="009F4042">
      <w:pPr>
        <w:spacing w:after="0"/>
        <w:rPr>
          <w:noProof/>
        </w:rPr>
      </w:pPr>
      <w:r>
        <w:rPr>
          <w:b/>
          <w:noProof/>
        </w:rPr>
        <w:t>Fermentația avansată</w:t>
      </w:r>
      <w:r>
        <w:rPr>
          <w:noProof/>
        </w:rPr>
        <w:t xml:space="preserve"> utilizează microorganisme inovatoare, de înaltă performanță, pentru a transforma sursele de carbon, cum ar fi reziduurile de zahăr și alte tipuri de biomasă secundară, în compuși cu valoare ridicată. </w:t>
      </w:r>
    </w:p>
    <w:p w14:paraId="3BBC4354" w14:textId="77777777" w:rsidR="00603055" w:rsidRDefault="00603055" w:rsidP="00F728F9">
      <w:pPr>
        <w:spacing w:after="0"/>
        <w:rPr>
          <w:noProof/>
        </w:rPr>
      </w:pPr>
    </w:p>
    <w:p w14:paraId="450FC50D" w14:textId="76633292" w:rsidR="00611972" w:rsidRPr="00611972" w:rsidRDefault="00611972" w:rsidP="00F728F9">
      <w:pPr>
        <w:spacing w:after="0"/>
        <w:rPr>
          <w:noProof/>
        </w:rPr>
      </w:pPr>
      <w:r>
        <w:rPr>
          <w:noProof/>
        </w:rPr>
        <w:t xml:space="preserve">Dezvoltarea </w:t>
      </w:r>
      <w:r>
        <w:rPr>
          <w:b/>
          <w:noProof/>
        </w:rPr>
        <w:t>stocării permanente a carbonului biogenic</w:t>
      </w:r>
      <w:r>
        <w:rPr>
          <w:noProof/>
        </w:rPr>
        <w:t xml:space="preserve"> poate sprijini poziția de lider a Europei în materie de tehnologii industriale compatibile cu obiectivul zero emisii nete; poate completa lanțul valoric al materialelor din bioresurse prin stocarea pe termen lung a carbonului; poate furniza CO₂ ca materie primă pentru procese industriale în care este necesar carbonul. </w:t>
      </w:r>
    </w:p>
    <w:p w14:paraId="2BBBBABF" w14:textId="77777777" w:rsidR="00F065AE" w:rsidRPr="004951A2" w:rsidRDefault="00F065AE" w:rsidP="009E1697">
      <w:pPr>
        <w:tabs>
          <w:tab w:val="num" w:pos="360"/>
        </w:tabs>
        <w:spacing w:after="0"/>
        <w:jc w:val="left"/>
        <w:rPr>
          <w:i/>
          <w:iCs/>
          <w:noProof/>
        </w:rPr>
      </w:pPr>
    </w:p>
    <w:p w14:paraId="09076A28" w14:textId="2395D6CE" w:rsidR="00611972" w:rsidRDefault="003635E0" w:rsidP="00E5107F">
      <w:pPr>
        <w:pageBreakBefore/>
        <w:tabs>
          <w:tab w:val="num" w:pos="360"/>
        </w:tabs>
        <w:spacing w:after="0"/>
        <w:jc w:val="left"/>
        <w:rPr>
          <w:i/>
          <w:iCs/>
          <w:noProof/>
        </w:rPr>
      </w:pPr>
      <w:r>
        <w:rPr>
          <w:i/>
          <w:noProof/>
        </w:rPr>
        <w:t>Măsuri de sprijinire a cererii și a investițiilor:</w:t>
      </w:r>
    </w:p>
    <w:p w14:paraId="20217E53" w14:textId="77777777" w:rsidR="004D11A2" w:rsidRPr="004951A2" w:rsidRDefault="004D11A2" w:rsidP="009E1697">
      <w:pPr>
        <w:tabs>
          <w:tab w:val="num" w:pos="360"/>
        </w:tabs>
        <w:spacing w:after="0"/>
        <w:jc w:val="left"/>
        <w:rPr>
          <w:i/>
          <w:iCs/>
          <w:noProof/>
          <w:lang w:val="fr-FR"/>
        </w:rPr>
      </w:pPr>
    </w:p>
    <w:p w14:paraId="75E55398" w14:textId="77777777" w:rsidR="00F065AE" w:rsidRDefault="7A2426E2" w:rsidP="00F065AE">
      <w:pPr>
        <w:spacing w:after="0"/>
        <w:rPr>
          <w:noProof/>
          <w:szCs w:val="24"/>
        </w:rPr>
      </w:pPr>
      <w:r>
        <w:rPr>
          <w:noProof/>
        </w:rPr>
        <w:t>Comisia și Grupul BEI vor continua să utilizeze instrumente de finanțare mixtă pentru a accelera dezvoltarea biorafinăriilor de pionierat și vor consolida abordările de reducere a riscurilor pentru a atrage mai mult capital privat. Pentru a sprijini apariția unor clustere regionale puternice, Comisia va facilita dezvoltarea văilor de simbioză industrială, care coordonează planificarea materiilor prime, a infrastructurii și a investițiilor la nivel teritorial.</w:t>
      </w:r>
    </w:p>
    <w:p w14:paraId="689E917F" w14:textId="77777777" w:rsidR="00F065AE" w:rsidRPr="004951A2" w:rsidRDefault="00F065AE" w:rsidP="00F065AE">
      <w:pPr>
        <w:spacing w:after="0"/>
        <w:rPr>
          <w:noProof/>
          <w:szCs w:val="24"/>
        </w:rPr>
      </w:pPr>
    </w:p>
    <w:p w14:paraId="4EE4C34F" w14:textId="50AC1D1A" w:rsidR="7A2426E2" w:rsidRDefault="7A2426E2" w:rsidP="00F065AE">
      <w:pPr>
        <w:spacing w:after="0"/>
        <w:rPr>
          <w:noProof/>
          <w:szCs w:val="24"/>
        </w:rPr>
      </w:pPr>
      <w:r>
        <w:rPr>
          <w:noProof/>
        </w:rPr>
        <w:t>Pentru a sprijini extinderea întreprinderilor bazate pe fermentație, Comisia va îmbunătăți accesul IMM-urilor și al întreprinderilor în curs de extindere la infrastructura pilot și demonstrativă și va consolida coordonarea proceselor de autorizare, după caz.</w:t>
      </w:r>
    </w:p>
    <w:p w14:paraId="1A65A8B2" w14:textId="77777777" w:rsidR="00F065AE" w:rsidRPr="004951A2" w:rsidRDefault="00F065AE" w:rsidP="00F065AE">
      <w:pPr>
        <w:spacing w:after="0"/>
        <w:rPr>
          <w:noProof/>
          <w:szCs w:val="24"/>
        </w:rPr>
      </w:pPr>
    </w:p>
    <w:p w14:paraId="02CB2893" w14:textId="135853C1" w:rsidR="7A2426E2" w:rsidRDefault="7A2426E2" w:rsidP="00F065AE">
      <w:pPr>
        <w:spacing w:after="0"/>
        <w:rPr>
          <w:noProof/>
          <w:szCs w:val="24"/>
        </w:rPr>
      </w:pPr>
      <w:r>
        <w:rPr>
          <w:noProof/>
        </w:rPr>
        <w:t>În ceea ce privește captarea, utilizarea și stocarea carbonului biogenic, revizuirea schemei de comercializare a certificatelor de emisii de gaze cu efect de seră în cadrul Uniunii (EU ETS) va explora modalitățile prin care ar putea fi recunoscute absorbțiile permanente de carbon biogen certificate în temeiul Regulamentului CRCF, în timp ce Fondul pentru inovare va continua să sprijine proiectele scalabile de bioenergie cu captarea, utilizarea și stocarea dioxidului de carbon (Bio-CUSC).</w:t>
      </w:r>
    </w:p>
    <w:p w14:paraId="67F88ED6" w14:textId="53043E73" w:rsidR="000827BC" w:rsidRPr="004951A2" w:rsidRDefault="000827BC" w:rsidP="00F728F9">
      <w:pPr>
        <w:spacing w:after="0"/>
        <w:ind w:left="714"/>
        <w:rPr>
          <w:noProof/>
        </w:rPr>
      </w:pPr>
    </w:p>
    <w:p w14:paraId="79BF746F" w14:textId="4FCA1744" w:rsidR="009650AB" w:rsidRPr="00CE41EF" w:rsidRDefault="00C63058" w:rsidP="00734F2B">
      <w:pPr>
        <w:pStyle w:val="Heading1"/>
        <w:rPr>
          <w:noProof/>
        </w:rPr>
      </w:pPr>
      <w:r>
        <w:rPr>
          <w:noProof/>
        </w:rPr>
        <w:t>Asigurarea unor perspective pe termen lung pentru bioeconomie: Biomasă provenită din surse durabile</w:t>
      </w:r>
    </w:p>
    <w:p w14:paraId="40E2C4CE" w14:textId="3C0233F0" w:rsidR="009650AB" w:rsidRPr="00CE41EF" w:rsidRDefault="5D36B4A6" w:rsidP="043AE53C">
      <w:pPr>
        <w:rPr>
          <w:noProof/>
        </w:rPr>
      </w:pPr>
      <w:r>
        <w:rPr>
          <w:noProof/>
        </w:rPr>
        <w:t>UE este, în mare măsură, autonomă în ceea ce privește aprovizionarea cu biomasă (aproximativ 90 %)</w:t>
      </w:r>
      <w:r>
        <w:rPr>
          <w:noProof/>
          <w:vertAlign w:val="superscript"/>
          <w:lang w:val="en-IE"/>
        </w:rPr>
        <w:footnoteReference w:id="37"/>
      </w:r>
      <w:r>
        <w:rPr>
          <w:noProof/>
        </w:rPr>
        <w:t xml:space="preserve">. Aceasta dispune de mijloacele necesare pentru a rămâne astfel, cu condiția implementării unor măsuri coerente pe termen lung care să mențină capacitatea de producție, sănătatea ecosistemelor și reziliența resurselor în timp. </w:t>
      </w:r>
    </w:p>
    <w:p w14:paraId="56A4DDB0" w14:textId="2F6F0EF7" w:rsidR="04B3C887" w:rsidRPr="00CE41EF" w:rsidRDefault="078847DD" w:rsidP="0EA7BCB7">
      <w:pPr>
        <w:pStyle w:val="Heading2"/>
        <w:rPr>
          <w:noProof/>
        </w:rPr>
      </w:pPr>
      <w:r>
        <w:rPr>
          <w:noProof/>
        </w:rPr>
        <w:t xml:space="preserve">Reducerea necesității de biomasă primară: utilizarea materiilor prime secundare și circularitatea </w:t>
      </w:r>
    </w:p>
    <w:p w14:paraId="2A99B8EC" w14:textId="0B758087" w:rsidR="00E75EE1" w:rsidRDefault="28BA09C4" w:rsidP="00832FD8">
      <w:pPr>
        <w:rPr>
          <w:noProof/>
        </w:rPr>
      </w:pPr>
      <w:r>
        <w:rPr>
          <w:noProof/>
        </w:rPr>
        <w:t>Circularitatea trebuie să devină un principiu de bază al bioeconomiei europene. Prin menținerea materialelor în uz productiv pentru mai mult timp și prin valorificarea mai eficientă a reziduurilor și a subproduselor, UE poate sprijini utilizarea eficientă a resurselor și poate reduce presiunea asupra sistemelor de producție primară. În condițiile în care rata de circularitate este de 11,8 % din 2015</w:t>
      </w:r>
      <w:r>
        <w:rPr>
          <w:noProof/>
          <w:vertAlign w:val="superscript"/>
        </w:rPr>
        <w:footnoteReference w:id="38"/>
      </w:r>
      <w:r>
        <w:rPr>
          <w:noProof/>
        </w:rPr>
        <w:t xml:space="preserve">, o utilizare sporită a fluxurilor de biomasă secundară oferă oportunități pentru noi modele de afaceri circulare. </w:t>
      </w:r>
      <w:r>
        <w:rPr>
          <w:b/>
          <w:noProof/>
        </w:rPr>
        <w:t>O bioeconomie mai circulară începe la nivel local</w:t>
      </w:r>
      <w:r>
        <w:rPr>
          <w:noProof/>
        </w:rPr>
        <w:t xml:space="preserve">. Atunci când subprodusele și reziduurile sunt transformate în noi resurse, acestea generează valoare aproape de locul de proveniență și ajută comunitățile să devină mai autonome. Numeroase regiuni demonstrează deja modul în care întreprinderile și industriile, inclusiv IMM-urile și producătorii primari, transformă deșeurile în materii prime, căldură sau îngrășăminte. Totuși, </w:t>
      </w:r>
      <w:r>
        <w:rPr>
          <w:b/>
          <w:noProof/>
        </w:rPr>
        <w:t>buna funcționare a pieței unice a UE pentru biomasa secundară</w:t>
      </w:r>
      <w:r>
        <w:rPr>
          <w:noProof/>
          <w:vertAlign w:val="superscript"/>
        </w:rPr>
        <w:footnoteReference w:id="39"/>
      </w:r>
      <w:r>
        <w:rPr>
          <w:noProof/>
        </w:rPr>
        <w:t xml:space="preserve"> este esențială. Semnalele mai clare ale pieței și capacitatea de prelucrare pot îmbunătăți competitivitatea fluxurilor secundare. Măsurile privind piețele-lider pe care Comisia le va adopta în temeiul Regulamentului privind proiectarea ecologică a produselor sustenabile (ESPR) pentru textile și mobilier (a se vedea secțiunea 2) vor stabili, de asemenea, cerințe de performanță și de informare pentru </w:t>
      </w:r>
      <w:r>
        <w:rPr>
          <w:b/>
          <w:noProof/>
        </w:rPr>
        <w:t>a spori durata de viață mai lungă și potențialul de reutilizare și posibilitatea de reciclare</w:t>
      </w:r>
      <w:r>
        <w:rPr>
          <w:noProof/>
        </w:rPr>
        <w:t xml:space="preserve"> a produselor, inclusiv a produselor fabricate din resurse biologice. O abordare similară va fi adoptată și în ceea ce privește Eticheta ecologică a UE.</w:t>
      </w:r>
    </w:p>
    <w:p w14:paraId="78A9FB84" w14:textId="0EACCE2E" w:rsidR="009F4042" w:rsidRDefault="009F4042" w:rsidP="009F4042">
      <w:pPr>
        <w:rPr>
          <w:noProof/>
        </w:rPr>
      </w:pPr>
      <w:r>
        <w:rPr>
          <w:b/>
          <w:noProof/>
        </w:rPr>
        <w:t>Biodeșeurile</w:t>
      </w:r>
      <w:r>
        <w:rPr>
          <w:noProof/>
        </w:rPr>
        <w:t xml:space="preserve"> </w:t>
      </w:r>
      <w:r>
        <w:rPr>
          <w:b/>
          <w:noProof/>
        </w:rPr>
        <w:t>sunt în continuare insuficient valorificate</w:t>
      </w:r>
      <w:r>
        <w:rPr>
          <w:noProof/>
        </w:rPr>
        <w:t>. Comisia va sprijini colectarea și valorificarea acestora, inclusiv prin viitorul act legislativ privind economia circulară, prin producerea de biogaz și biometan și prin utilizarea digestatului ca biofertilizant, în cadrul unui acord tripartit. După caz, captarea și utilizarea CO₂ biogenic vor fi încurajate pentru a îmbunătăți utilizarea eficientă a resurselor.</w:t>
      </w:r>
      <w:r w:rsidR="004951A2">
        <w:rPr>
          <w:noProof/>
        </w:rPr>
        <w:t xml:space="preserve"> </w:t>
      </w:r>
    </w:p>
    <w:p w14:paraId="2187496A" w14:textId="04944EBC" w:rsidR="003F2A44" w:rsidRDefault="004B16F9" w:rsidP="00422BD3">
      <w:pPr>
        <w:rPr>
          <w:noProof/>
        </w:rPr>
      </w:pPr>
      <w:r>
        <w:rPr>
          <w:b/>
          <w:noProof/>
        </w:rPr>
        <w:t xml:space="preserve">Închiderea ciclului nutrienților este esențială pentru reziliența de mediu și economică. </w:t>
      </w:r>
      <w:r>
        <w:rPr>
          <w:noProof/>
        </w:rPr>
        <w:t>Utilizarea circulară a dejecțiilor animaliere, inclusiv prin intermediul RENURE, poate reduce dependența de îngrășămintele minerale. Comisia va promova eficiența utilizării azotului în sistemele bioeconomice și va acționa în direcția stabilirii unor obiective minime de reciclare și reutilizare a fosforului recuperat din apele uzate și nămoluri.</w:t>
      </w:r>
    </w:p>
    <w:p w14:paraId="4A75DCE1" w14:textId="77777777" w:rsidR="003F2A44" w:rsidRPr="004951A2" w:rsidRDefault="003F2A44" w:rsidP="00422BD3">
      <w:pPr>
        <w:spacing w:after="0"/>
        <w:rPr>
          <w:noProof/>
        </w:rPr>
      </w:pPr>
    </w:p>
    <w:p w14:paraId="63C61ADC" w14:textId="56BFE822" w:rsidR="003D4E1F" w:rsidRDefault="30C98824" w:rsidP="003D4E1F">
      <w:pPr>
        <w:pStyle w:val="Heading2"/>
        <w:rPr>
          <w:noProof/>
          <w:szCs w:val="24"/>
        </w:rPr>
      </w:pPr>
      <w:r>
        <w:rPr>
          <w:noProof/>
        </w:rPr>
        <w:t>Către ecosisteme și lanțuri valorice reziliente și durabile</w:t>
      </w:r>
    </w:p>
    <w:p w14:paraId="1F43D314" w14:textId="0A1A9C1D" w:rsidR="0069105A" w:rsidRPr="0069105A" w:rsidRDefault="0069105A" w:rsidP="0069105A">
      <w:pPr>
        <w:spacing w:beforeAutospacing="1" w:afterAutospacing="1"/>
        <w:rPr>
          <w:noProof/>
        </w:rPr>
      </w:pPr>
      <w:r>
        <w:rPr>
          <w:b/>
          <w:noProof/>
        </w:rPr>
        <w:t>Forța bioeconomiei Europei depinde de sănătatea și reziliența mediului său natural</w:t>
      </w:r>
      <w:r>
        <w:rPr>
          <w:noProof/>
        </w:rPr>
        <w:t xml:space="preserve">. </w:t>
      </w:r>
    </w:p>
    <w:p w14:paraId="7405CA95" w14:textId="56485282" w:rsidR="00133EF5" w:rsidRPr="004B16F9" w:rsidRDefault="0069105A" w:rsidP="003A6C62">
      <w:pPr>
        <w:spacing w:beforeAutospacing="1" w:afterAutospacing="1"/>
        <w:rPr>
          <w:noProof/>
        </w:rPr>
      </w:pPr>
      <w:r>
        <w:rPr>
          <w:noProof/>
        </w:rPr>
        <w:t xml:space="preserve">Înțelegerea cantității de biomasă care poate fi produsă și extrasă concomitent cu refacerea ecosistemelor și menținerea unui absorbant de carbon rezilient în sectorul terenurilor contribuie la asigurarea faptului că orice creștere este menținută în limitele planetei, cu respectarea obiectivelor sectorului LULUCF (exploatarea terenurilor, schimbarea destinației terenurilor și silvicultura). Comisia va continua să se bazeze pe dovezi științifice, pe experiența practică și pe dialogul cu producătorii și comunitățile pentru a sprijini un echilibru între producție, refacere și protecție. Este necesară o imagine mai clară a potențialului durabil al biomasei. În consecință, Comisia va consolida modelarea și datele prin intermediul </w:t>
      </w:r>
      <w:r>
        <w:rPr>
          <w:b/>
          <w:noProof/>
        </w:rPr>
        <w:t>Centrului de cunoștințe pentru bioeconomie</w:t>
      </w:r>
      <w:r>
        <w:rPr>
          <w:noProof/>
        </w:rPr>
        <w:t xml:space="preserve"> și va utiliza dovezile astfel colectate pentru a </w:t>
      </w:r>
      <w:r>
        <w:rPr>
          <w:b/>
          <w:noProof/>
        </w:rPr>
        <w:t>orienta măsurile legate de cerere</w:t>
      </w:r>
      <w:r>
        <w:rPr>
          <w:noProof/>
        </w:rPr>
        <w:t>.</w:t>
      </w:r>
    </w:p>
    <w:p w14:paraId="0DF2EED6" w14:textId="52165F3F" w:rsidR="006E08C9" w:rsidRPr="00C170DC" w:rsidRDefault="0069105A" w:rsidP="00797951">
      <w:pPr>
        <w:spacing w:beforeAutospacing="1" w:afterAutospacing="1"/>
        <w:rPr>
          <w:noProof/>
        </w:rPr>
      </w:pPr>
      <w:r>
        <w:rPr>
          <w:noProof/>
        </w:rPr>
        <w:t xml:space="preserve">Multe regiuni combină deja utilizarea economică și îngrijirea ecologică — reumidificând terenurile drenate, reducând riscurile de incendiu sau transformând lemnul cu valoare scăzută în produse noi. Partajarea acestor experiențe la nivel transfrontalier accelerează învățarea în rândul tuturor actorilor implicați. Având în vedere că multe sectoare se bazează pe materii prime comune, Comisia va </w:t>
      </w:r>
      <w:r>
        <w:rPr>
          <w:b/>
          <w:noProof/>
        </w:rPr>
        <w:t>convoca producători, prelucrători și utilizatori industriali pentru a discuta despre perspectivele de aprovizionare, inclusiv despre culturile flexibile cu dublă utilizare</w:t>
      </w:r>
      <w:r>
        <w:rPr>
          <w:noProof/>
        </w:rPr>
        <w:t xml:space="preserve">, precum și pentru a facilita extinderea abordărilor care combină producția cu refacerea mediului, inclusiv paludicultura în zonele umede sau valorificarea lemnului cu valoare scăzută în vederea creării de noi surse de venit și a prevenirii incendiilor forestiere. Totodată, Comisia va promova ajungerea la un consens prin abordări voluntare, ascendente, inclusiv printr-un sistem voluntar de evaluare comparativă a durabilității în cadrul fermelor și prin cooperarea cu statele membre și cu parteneri precum Forest Europe, FAO și IFAD, pentru a consolida gestionarea durabilă a pădurilor într-un mod care să recunoască diversitatea regională și practicile îndelung consacrate. Consolidarea consensului va fi sprijinită prin </w:t>
      </w:r>
      <w:r>
        <w:rPr>
          <w:b/>
          <w:noProof/>
        </w:rPr>
        <w:t>cooperarea continuă cu statele membre, cu</w:t>
      </w:r>
      <w:r>
        <w:rPr>
          <w:noProof/>
        </w:rPr>
        <w:t xml:space="preserve"> </w:t>
      </w:r>
      <w:r>
        <w:rPr>
          <w:b/>
          <w:noProof/>
        </w:rPr>
        <w:t>cercetătorii</w:t>
      </w:r>
      <w:r>
        <w:rPr>
          <w:noProof/>
        </w:rPr>
        <w:t xml:space="preserve"> și cu </w:t>
      </w:r>
      <w:r>
        <w:rPr>
          <w:b/>
          <w:noProof/>
        </w:rPr>
        <w:t>părțile interesate</w:t>
      </w:r>
      <w:r>
        <w:rPr>
          <w:noProof/>
        </w:rPr>
        <w:t xml:space="preserve">, inclusiv prin procesul paneuropean </w:t>
      </w:r>
      <w:r>
        <w:rPr>
          <w:b/>
          <w:noProof/>
        </w:rPr>
        <w:t>Forest Europe</w:t>
      </w:r>
      <w:r>
        <w:rPr>
          <w:noProof/>
        </w:rPr>
        <w:t xml:space="preserve">. Bioeconomia se va baza, de asemenea, pe </w:t>
      </w:r>
      <w:r>
        <w:rPr>
          <w:b/>
          <w:noProof/>
        </w:rPr>
        <w:t>analiza prospectivă</w:t>
      </w:r>
      <w:r>
        <w:rPr>
          <w:noProof/>
        </w:rPr>
        <w:t xml:space="preserve">. O mai bună monitorizare, anticiparea riscurilor climatice și de piață și disponibilitatea de adaptare vor contribui la menținerea stabilității lanțurilor valorice ale Europei chiar și în perioade de incertitudine. Pentru a spori reziliența, Comisia va efectua o </w:t>
      </w:r>
      <w:r>
        <w:rPr>
          <w:b/>
          <w:noProof/>
        </w:rPr>
        <w:t>analiză a riscurilor asociate lanțurilor de aprovizionare cu biomasă</w:t>
      </w:r>
      <w:r>
        <w:rPr>
          <w:noProof/>
        </w:rPr>
        <w:t xml:space="preserve"> și va sprijini utilizarea datelor deschise de monitorizare </w:t>
      </w:r>
      <w:r>
        <w:rPr>
          <w:b/>
          <w:noProof/>
        </w:rPr>
        <w:t>Copernicus</w:t>
      </w:r>
      <w:r>
        <w:rPr>
          <w:noProof/>
        </w:rPr>
        <w:t xml:space="preserve"> pentru evaluarea aprovizionării cu biomasă.</w:t>
      </w:r>
    </w:p>
    <w:p w14:paraId="60A86F14" w14:textId="77777777" w:rsidR="00664802" w:rsidRPr="004951A2" w:rsidRDefault="00664802" w:rsidP="003E4E2F">
      <w:pPr>
        <w:spacing w:after="0"/>
        <w:ind w:left="720"/>
        <w:rPr>
          <w:noProof/>
          <w:lang w:eastAsia="en-IE"/>
        </w:rPr>
      </w:pPr>
    </w:p>
    <w:p w14:paraId="767CDA49" w14:textId="1D2F89C5" w:rsidR="00D01AE7" w:rsidRPr="00CE41EF" w:rsidRDefault="72A61B11" w:rsidP="00C170DC">
      <w:pPr>
        <w:pStyle w:val="Heading2"/>
        <w:spacing w:after="0"/>
        <w:rPr>
          <w:noProof/>
          <w:szCs w:val="24"/>
        </w:rPr>
      </w:pPr>
      <w:r>
        <w:rPr>
          <w:noProof/>
        </w:rPr>
        <w:t>Aprovizionarea cu biomasă primară</w:t>
      </w:r>
    </w:p>
    <w:p w14:paraId="67962209" w14:textId="77777777" w:rsidR="00C170DC" w:rsidRDefault="00C170DC" w:rsidP="00C170DC">
      <w:pPr>
        <w:spacing w:after="0"/>
        <w:rPr>
          <w:noProof/>
          <w:lang w:val="en-IE" w:eastAsia="en-IE"/>
        </w:rPr>
      </w:pPr>
    </w:p>
    <w:p w14:paraId="3561CA1D" w14:textId="17B77165" w:rsidR="0069105A" w:rsidRDefault="0069105A" w:rsidP="0069105A">
      <w:pPr>
        <w:spacing w:after="0"/>
        <w:rPr>
          <w:noProof/>
        </w:rPr>
      </w:pPr>
      <w:r>
        <w:rPr>
          <w:noProof/>
        </w:rPr>
        <w:t>Producția primară este punctul în care începe bioeconomia, iar durabilitatea și competitivitatea pot merge mână în mână. Fermierii, silvicultorii și pescarii gestionează resursele vii ale Europei, asigurând echilibrul între productivitate și grija pentru terenuri și apă. Activitatea lor zilnică stă la baza securității alimentare, a materialelor regenerabile și a mijloacelor de trai din mediul rural.</w:t>
      </w:r>
    </w:p>
    <w:p w14:paraId="225023F5" w14:textId="01D239A9" w:rsidR="00FF1C30" w:rsidRPr="004951A2" w:rsidRDefault="00FF1C30" w:rsidP="0069105A">
      <w:pPr>
        <w:spacing w:after="0"/>
        <w:rPr>
          <w:noProof/>
          <w:lang w:eastAsia="en-IE"/>
        </w:rPr>
      </w:pPr>
    </w:p>
    <w:p w14:paraId="579A1E02" w14:textId="40BED2D8" w:rsidR="00FF1C30" w:rsidRDefault="0069105A" w:rsidP="0069105A">
      <w:pPr>
        <w:spacing w:after="0"/>
        <w:rPr>
          <w:noProof/>
        </w:rPr>
      </w:pPr>
      <w:r>
        <w:rPr>
          <w:noProof/>
        </w:rPr>
        <w:t xml:space="preserve">La nivelul </w:t>
      </w:r>
      <w:r>
        <w:rPr>
          <w:b/>
          <w:noProof/>
        </w:rPr>
        <w:t>pădurilor</w:t>
      </w:r>
      <w:r>
        <w:rPr>
          <w:noProof/>
        </w:rPr>
        <w:t xml:space="preserve">, gestionarea durabilă adaptată local poate asigura o aprovizionare pe termen lung a industriei, menținând, în același timp, rolul pădurilor de absorbție rezilientă a carbonului. </w:t>
      </w:r>
    </w:p>
    <w:p w14:paraId="771C77A5" w14:textId="77777777" w:rsidR="00FF1C30" w:rsidRPr="004951A2" w:rsidRDefault="00FF1C30" w:rsidP="0069105A">
      <w:pPr>
        <w:spacing w:after="0"/>
        <w:rPr>
          <w:noProof/>
          <w:lang w:eastAsia="en-IE"/>
        </w:rPr>
      </w:pPr>
    </w:p>
    <w:p w14:paraId="039387A4" w14:textId="4B467967" w:rsidR="0069105A" w:rsidRDefault="0069105A" w:rsidP="0069105A">
      <w:pPr>
        <w:spacing w:after="0"/>
        <w:rPr>
          <w:noProof/>
        </w:rPr>
      </w:pPr>
      <w:r>
        <w:rPr>
          <w:noProof/>
        </w:rPr>
        <w:t xml:space="preserve">În </w:t>
      </w:r>
      <w:r>
        <w:rPr>
          <w:b/>
          <w:noProof/>
        </w:rPr>
        <w:t>agricultură</w:t>
      </w:r>
      <w:r>
        <w:rPr>
          <w:noProof/>
        </w:rPr>
        <w:t>, abordările circulare</w:t>
      </w:r>
      <w:r>
        <w:rPr>
          <w:i/>
          <w:noProof/>
          <w:color w:val="FF0000"/>
        </w:rPr>
        <w:t xml:space="preserve"> </w:t>
      </w:r>
      <w:r>
        <w:rPr>
          <w:noProof/>
        </w:rPr>
        <w:t>și durabile consolidează fertilitatea solului și reduc costurile. Politica agricolă comună (PAC) actuală și viitoare îi va sprijini pe fermierii care adoptă inovarea în domeniul bioeconomiei, precum și practicile durabile și regenerative, care își diversifică sursele de venit și cooperează în cadrul lanțurilor valorice emergente.</w:t>
      </w:r>
    </w:p>
    <w:p w14:paraId="768C7A7A" w14:textId="77777777" w:rsidR="0069105A" w:rsidRPr="004951A2" w:rsidRDefault="0069105A" w:rsidP="0069105A">
      <w:pPr>
        <w:spacing w:after="0"/>
        <w:rPr>
          <w:noProof/>
          <w:lang w:eastAsia="en-IE"/>
        </w:rPr>
      </w:pPr>
    </w:p>
    <w:p w14:paraId="4DC74E88" w14:textId="69AC3018" w:rsidR="0069105A" w:rsidRDefault="0069105A" w:rsidP="0069105A">
      <w:pPr>
        <w:spacing w:after="0"/>
        <w:rPr>
          <w:noProof/>
        </w:rPr>
      </w:pPr>
      <w:r>
        <w:rPr>
          <w:b/>
          <w:noProof/>
        </w:rPr>
        <w:t>Resursele acvatice</w:t>
      </w:r>
      <w:r>
        <w:rPr>
          <w:noProof/>
        </w:rPr>
        <w:t xml:space="preserve"> pot contribui, de asemenea, la o aprovizionare cu biomasă mai diversificată și mai rezilientă, protejând în același timp ecosistemele vulnerabile. Orientările UE privind acvacultura și inițiativa „Bioeconomia albastră – către un sector european al algelor puternic și durabil” sprijină producția și valorificarea algelor și a moluștelor bivalve, iar Pactul privind oceanele va lansa o inițiativă a UE privind inovarea în domeniul bioeconomiei albastre pentru a debloca fluxurile secundare de biomasă acvatică insuficient utilizate și pentru a dezvolta lanțuri valorice marine, inclusiv prin valorificarea fluxurilor secundare precum resturile sau cochiliile de pește. </w:t>
      </w:r>
    </w:p>
    <w:p w14:paraId="1E6F5801" w14:textId="77777777" w:rsidR="0069105A" w:rsidRPr="004951A2" w:rsidRDefault="0069105A" w:rsidP="0069105A">
      <w:pPr>
        <w:spacing w:after="0"/>
        <w:rPr>
          <w:noProof/>
          <w:lang w:eastAsia="en-IE"/>
        </w:rPr>
      </w:pPr>
    </w:p>
    <w:p w14:paraId="721C9AD5" w14:textId="0DBDF418" w:rsidR="0069105A" w:rsidRDefault="0069105A" w:rsidP="0069105A">
      <w:pPr>
        <w:spacing w:after="0"/>
        <w:rPr>
          <w:noProof/>
        </w:rPr>
      </w:pPr>
      <w:r>
        <w:rPr>
          <w:b/>
          <w:noProof/>
        </w:rPr>
        <w:t>Reziliența în domeniul apei</w:t>
      </w:r>
      <w:r>
        <w:rPr>
          <w:noProof/>
        </w:rPr>
        <w:t xml:space="preserve"> este esențială pentru bioeconomie. Gestionarea integrată a apei, măsurile de eficiență și evaluările riscurilor climatice ar trebui să facă parte din deciziile de investiții, în conformitate cu abordarea stabilită în Strategia pentru reziliența în domeniul apei. Solurile sănătoase și ciclurile echilibrate ale apei sunt fundamentele nevăzute ale productivității pe termen lung și ale stabilității climatice.</w:t>
      </w:r>
    </w:p>
    <w:p w14:paraId="7918B21D" w14:textId="77777777" w:rsidR="0069105A" w:rsidRPr="004951A2" w:rsidRDefault="0069105A" w:rsidP="0069105A">
      <w:pPr>
        <w:spacing w:after="0"/>
        <w:rPr>
          <w:noProof/>
          <w:lang w:val="fr-FR" w:eastAsia="en-IE"/>
        </w:rPr>
      </w:pPr>
    </w:p>
    <w:p w14:paraId="1E167623" w14:textId="26B0EBA9" w:rsidR="0069105A" w:rsidRPr="0069105A" w:rsidRDefault="0069105A" w:rsidP="0069105A">
      <w:pPr>
        <w:spacing w:after="0"/>
        <w:rPr>
          <w:noProof/>
        </w:rPr>
      </w:pPr>
      <w:r>
        <w:rPr>
          <w:b/>
          <w:noProof/>
        </w:rPr>
        <w:t>Natura</w:t>
      </w:r>
      <w:r>
        <w:rPr>
          <w:noProof/>
        </w:rPr>
        <w:t xml:space="preserve"> însăși poate deveni parte a competitivității Europei. Piețele emergente ale creditelor de carbon și ale creditelor pentru biodiversitate îi pot recompensa pe cei care refac și protejează capitalul natural, generând noi venituri pentru zonele rurale. În acest scop, Comisia adoptă metodologii cu privire la </w:t>
      </w:r>
      <w:r>
        <w:rPr>
          <w:b/>
          <w:noProof/>
        </w:rPr>
        <w:t>agricultura carbonului</w:t>
      </w:r>
      <w:r>
        <w:rPr>
          <w:noProof/>
        </w:rPr>
        <w:t xml:space="preserve"> și instituie un registru al UE în temeiul Regulamentului CRCF. În plus, Comisia pune în aplicare </w:t>
      </w:r>
      <w:r>
        <w:rPr>
          <w:b/>
          <w:noProof/>
        </w:rPr>
        <w:t>Foaia de parcurs privind creditele pentru natură</w:t>
      </w:r>
      <w:r>
        <w:rPr>
          <w:noProof/>
        </w:rPr>
        <w:t xml:space="preserve"> pentru a orienta piețele voluntare, de înaltă integritate, care completează agricultura carbonului. </w:t>
      </w:r>
      <w:bookmarkStart w:id="11" w:name="_Hlk213929620"/>
      <w:r>
        <w:rPr>
          <w:noProof/>
        </w:rPr>
        <w:t xml:space="preserve">În vederea creării unei cereri previzibile de scheme bazate pe rezultate și a stimulării investițiilor private, Comisia va înființa </w:t>
      </w:r>
      <w:r>
        <w:rPr>
          <w:b/>
          <w:noProof/>
        </w:rPr>
        <w:t>Clubul cumpărătorilor din UE</w:t>
      </w:r>
      <w:r>
        <w:rPr>
          <w:noProof/>
        </w:rPr>
        <w:t>, asigurând oportunități echitabile și un mediu concurențial pentru producători.</w:t>
      </w:r>
      <w:bookmarkEnd w:id="11"/>
      <w:r>
        <w:rPr>
          <w:noProof/>
        </w:rPr>
        <w:t xml:space="preserve"> Această inițiativă voluntară va transmite un semnal clar privind cererea pentru agricultura carbonului și pentru absorbțiile permanente de carbon în temeiul Regulamentului CRCF. Prin punerea în comun a cererii voluntare din partea întreprinderilor private, inițiativa va contribui la generarea de noi fluxuri de venituri pentru fermierii și silvicultorii europeni, va sprijini lanțurile valorice reziliente ale biomasei și va consolida angajamentele întreprinderilor. Pentru a simplifica și mai mult participarea fermierilor și a silvicultorilor la piața voluntară a agriculturii carbonului, Comisia va crea o bază de date a UE privind agricultura carbonului, care va include modele, factori de emisie, produse de teledetecție și seturi de date de referință, reducând astfel costurile administrative și de monitorizare.</w:t>
      </w:r>
      <w:r w:rsidR="004951A2">
        <w:rPr>
          <w:noProof/>
        </w:rPr>
        <w:t xml:space="preserve"> </w:t>
      </w:r>
    </w:p>
    <w:p w14:paraId="39FF0F15" w14:textId="77777777" w:rsidR="003F2A44" w:rsidRPr="004951A2" w:rsidRDefault="003F2A44" w:rsidP="0069105A">
      <w:pPr>
        <w:spacing w:after="0"/>
        <w:rPr>
          <w:noProof/>
          <w:lang w:val="fr-FR" w:eastAsia="en-IE"/>
        </w:rPr>
      </w:pPr>
    </w:p>
    <w:p w14:paraId="41B40C7E" w14:textId="50DC99A4" w:rsidR="0069105A" w:rsidRPr="0069105A" w:rsidRDefault="0069105A" w:rsidP="0069105A">
      <w:pPr>
        <w:spacing w:after="0"/>
        <w:rPr>
          <w:noProof/>
        </w:rPr>
      </w:pPr>
      <w:r>
        <w:rPr>
          <w:noProof/>
        </w:rPr>
        <w:t xml:space="preserve">În cele din urmă, cunoștințele rămân puntea dintre știință, politică și practică. Comisia va crea un </w:t>
      </w:r>
      <w:r>
        <w:rPr>
          <w:b/>
          <w:noProof/>
        </w:rPr>
        <w:t>registru de cunoștințe la nivelul UE</w:t>
      </w:r>
      <w:r>
        <w:rPr>
          <w:noProof/>
        </w:rPr>
        <w:t>, care va oferi orientări practice, adaptate la nivel local, pentru fermieri, silvicultori și administratorii de terenuri, în vederea îmbunătățirii productivității, a rezilienței și a furnizării de servicii ecosistemice.</w:t>
      </w:r>
    </w:p>
    <w:p w14:paraId="146239D9" w14:textId="054983BE" w:rsidR="009650AB" w:rsidRPr="004951A2" w:rsidRDefault="009650AB" w:rsidP="00C66253">
      <w:pPr>
        <w:spacing w:after="0"/>
        <w:rPr>
          <w:noProof/>
        </w:rPr>
      </w:pPr>
    </w:p>
    <w:p w14:paraId="5621840D" w14:textId="4468007C" w:rsidR="009650AB" w:rsidRPr="00CE41EF" w:rsidRDefault="00346A7D" w:rsidP="00FF49AC">
      <w:pPr>
        <w:pStyle w:val="Heading1"/>
        <w:rPr>
          <w:noProof/>
          <w:szCs w:val="24"/>
        </w:rPr>
      </w:pPr>
      <w:r>
        <w:rPr>
          <w:noProof/>
        </w:rPr>
        <w:t xml:space="preserve">Valorificarea parteneriatelor și a oportunităților globale </w:t>
      </w:r>
    </w:p>
    <w:p w14:paraId="0FC1A95B" w14:textId="5DF4251F" w:rsidR="00C170DC" w:rsidRPr="000F05AF" w:rsidRDefault="770FF279" w:rsidP="000F05AF">
      <w:pPr>
        <w:spacing w:line="259" w:lineRule="auto"/>
        <w:rPr>
          <w:noProof/>
          <w:szCs w:val="24"/>
        </w:rPr>
      </w:pPr>
      <w:r>
        <w:rPr>
          <w:noProof/>
        </w:rPr>
        <w:t>La nivel mondial, bioeconomia câștigă teren. Peste 50 de țări au adoptat strategii în domeniul bioeconomiei</w:t>
      </w:r>
      <w:r>
        <w:rPr>
          <w:noProof/>
          <w:vertAlign w:val="superscript"/>
          <w:lang w:val="en-IE"/>
        </w:rPr>
        <w:footnoteReference w:id="40"/>
      </w:r>
      <w:r>
        <w:rPr>
          <w:noProof/>
        </w:rPr>
        <w:t>. În contextul schimbărilor climatice, al creșterii presiunii asupra resurselor naturale și al intensificării concurenței pentru biomasă, este important să existe o înțelegere globală coerentă asupra a ceea ce constituie o bioeconomie durabilă. Parteneriatele strategice ar trebui, de asemenea, să promoveze accesul deschis și previzibil pe piață al bioproduselor provenite din UE, sprijinit de cooperarea în materie de standarde și reducerea barierelor inutile în calea comerțului. UE intenționează să încheie parteneriate strategice privind bioeconomia, inclusiv cu principalii furnizori mondiali de biomasă. Scopul este de a sprijini continuitatea comerțului cu biomasă, cu materiale din bioresurse și cu soluții bazate pe bioresurse, într-un mod previzibil pentru operatori și care respectă condițiile locale.</w:t>
      </w:r>
    </w:p>
    <w:p w14:paraId="0655E520" w14:textId="5E19D6E3" w:rsidR="009650AB" w:rsidRPr="00CE41EF" w:rsidRDefault="0F877218" w:rsidP="00FF0551">
      <w:pPr>
        <w:pStyle w:val="Heading2"/>
        <w:rPr>
          <w:noProof/>
        </w:rPr>
      </w:pPr>
      <w:r>
        <w:rPr>
          <w:noProof/>
        </w:rPr>
        <w:t>Facilitarea unui acces mai larg pe piețele mondiale pentru biotehnologii, bioinovații, biomateriale și aplicațiile bazate pe biotehnologie din UE</w:t>
      </w:r>
    </w:p>
    <w:p w14:paraId="48B927C0" w14:textId="4CF51CEE" w:rsidR="009650AB" w:rsidRPr="00CB0E9F" w:rsidRDefault="68787052" w:rsidP="00CB0E9F">
      <w:pPr>
        <w:tabs>
          <w:tab w:val="num" w:pos="360"/>
        </w:tabs>
        <w:spacing w:line="259" w:lineRule="auto"/>
        <w:rPr>
          <w:b/>
          <w:bCs/>
          <w:noProof/>
        </w:rPr>
      </w:pPr>
      <w:r>
        <w:rPr>
          <w:noProof/>
        </w:rPr>
        <w:t>Europa poate să își mărească exporturile de biotehnologii, biomateriale, bioproduse, aplicații bazate pe biotehnologie și inovații circulare. În acest scop, industria UE are nevoie de condiții echitabile de acces pe piață, iar în paralel exporturile trebuie monitorizate pentru a se evita penuria de biomasă și efectele negative asupra ecosistemelor.</w:t>
      </w:r>
      <w:r>
        <w:rPr>
          <w:b/>
          <w:noProof/>
        </w:rPr>
        <w:t xml:space="preserve"> </w:t>
      </w:r>
      <w:r>
        <w:rPr>
          <w:noProof/>
        </w:rPr>
        <w:t xml:space="preserve">UE concurează la nivel mondial pentru biomasă durabilă. Diversificarea surselor, concomitent cu menținerea unei aprovizionări interne solide, va fi esențială pentru a se evita dependența excesivă de furnizori unici și expunerea la volatilitate. </w:t>
      </w:r>
    </w:p>
    <w:p w14:paraId="77070338" w14:textId="02389F3E" w:rsidR="04071F24" w:rsidRPr="00CB0E9F" w:rsidRDefault="001268E3" w:rsidP="04071F24">
      <w:pPr>
        <w:spacing w:after="0"/>
        <w:rPr>
          <w:noProof/>
        </w:rPr>
      </w:pPr>
      <w:r>
        <w:rPr>
          <w:noProof/>
        </w:rPr>
        <w:t>Acordurile comerciale, parteneriatele și dialogurile în materie de reglementare vor fi utilizate pentru a sprijini un acces echilibrat pe piață al bioproduselor și al biotehnologiilor. Totodată, cererea tot mai mare de biomasă și extinderea piețelor mondiale de bioproduse trebuie gestionate astfel încât să fie evitate efectele negative de mediu sau sociale în afara UE. Comerțul cu biomasă și bioproduse ar trebui să fie aliniat la obiectivele mai ample de mediu și de dezvoltare. Acestea urmează să fie consolidate prin sisteme coerente și transparente de informare care sprijină trasabilitatea și încrederea pieței, cum ar fi cele prevăzute de legislația europeană privind defrișările.</w:t>
      </w:r>
    </w:p>
    <w:p w14:paraId="3837944C" w14:textId="77777777" w:rsidR="00CB0E9F" w:rsidRDefault="00CB0E9F" w:rsidP="04071F24">
      <w:pPr>
        <w:spacing w:after="0"/>
        <w:rPr>
          <w:rFonts w:eastAsia="Aptos"/>
          <w:noProof/>
        </w:rPr>
      </w:pPr>
    </w:p>
    <w:p w14:paraId="0BDFDACE" w14:textId="2C110564" w:rsidR="009650AB" w:rsidRPr="00CE41EF" w:rsidRDefault="4C5E5268" w:rsidP="1CFD9F8D">
      <w:pPr>
        <w:rPr>
          <w:noProof/>
        </w:rPr>
      </w:pPr>
      <w:r>
        <w:rPr>
          <w:noProof/>
        </w:rPr>
        <w:t>Strategia „Global Gateway” oferă un cadru pentru corelarea investițiilor în lanțuri de aprovizionare reziliente cu schimbul de cunoștințe și cooperarea în materie de inovare, pentru a sprijini țările partenere să își dezvolte prin forțe proprii sectoare ale bioeconomiei robuste și durabile și să își îmbunătățească accesul la piețele mondiale în calitate de furnizori potențiali. Parteneriatele se vor concentra pe crearea de valoare adăugată la nivel local, pe dezvoltarea competențelor și consolidarea unor sisteme de aprovizionare reziliente în țările partenere. În Africa, unde Planul de acțiune al CAE privind economia circulară</w:t>
      </w:r>
      <w:r>
        <w:rPr>
          <w:noProof/>
          <w:vertAlign w:val="superscript"/>
          <w:lang w:val="en-IE"/>
        </w:rPr>
        <w:footnoteReference w:id="41"/>
      </w:r>
      <w:r>
        <w:rPr>
          <w:noProof/>
        </w:rPr>
        <w:t xml:space="preserve"> și Strategia regională a CAE în domeniul bioeconomiei</w:t>
      </w:r>
      <w:r>
        <w:rPr>
          <w:noProof/>
          <w:vertAlign w:val="superscript"/>
          <w:lang w:val="en-IE"/>
        </w:rPr>
        <w:footnoteReference w:id="42"/>
      </w:r>
      <w:r>
        <w:rPr>
          <w:noProof/>
        </w:rPr>
        <w:t xml:space="preserve"> au fost adoptate recent, strategia „Global Gateway” sprijină deja proiecte de consolidare a capacităților locale, de creare de locuri de muncă și de promovare a utilizării responsabile a resurselor. Platforme precum Forumul internațional privind bioeconomie și Dialogul politic la nivel înalt Uniunea Africană – Uniunea Europeană (UA-UE) privind știința, tehnologia și inovarea vor continua să sprijine schimburile și cooperarea în domeniul cercetării și inovării. UE va sprijini dezvoltarea la nivel mondial, inclusiv în anumite țări africane, a lanțurilor valorice bioeconomice, într-o manieră adaptată la condițiile locale.</w:t>
      </w:r>
      <w:r w:rsidR="005471C7">
        <w:rPr>
          <w:noProof/>
        </w:rPr>
        <w:t xml:space="preserve"> </w:t>
      </w:r>
    </w:p>
    <w:p w14:paraId="25D9C31E" w14:textId="63095927" w:rsidR="009650AB" w:rsidRPr="00CE41EF" w:rsidRDefault="1E8D09EC" w:rsidP="45E269A7">
      <w:pPr>
        <w:pStyle w:val="Heading2"/>
        <w:numPr>
          <w:ilvl w:val="1"/>
          <w:numId w:val="0"/>
        </w:numPr>
        <w:rPr>
          <w:noProof/>
          <w:szCs w:val="24"/>
        </w:rPr>
      </w:pPr>
      <w:r>
        <w:rPr>
          <w:noProof/>
        </w:rPr>
        <w:t>4.2.</w:t>
      </w:r>
      <w:r>
        <w:rPr>
          <w:noProof/>
        </w:rPr>
        <w:tab/>
        <w:t xml:space="preserve">Definirea agendei globale privind bioeconomia durabilă </w:t>
      </w:r>
    </w:p>
    <w:p w14:paraId="1A78BED8" w14:textId="1E487E6F" w:rsidR="00FA000A" w:rsidRPr="00F065AE" w:rsidRDefault="0F877218" w:rsidP="009650AB">
      <w:pPr>
        <w:rPr>
          <w:rFonts w:eastAsia="Aptos"/>
          <w:noProof/>
        </w:rPr>
      </w:pPr>
      <w:r>
        <w:rPr>
          <w:noProof/>
        </w:rPr>
        <w:t>O înțelegere comună între UE și principalii săi parteneri internaționali și comerciali este importantă pentru facilitarea investițiilor private, a dialogurilor într-un stadiu incipient, a cooperării în materie de cercetare și inovare, a convergenței în materie de reglementare și a atingerii obiectivelor de durabilitate, de exemplu în domeniile agriculturii, pescuitului, acvaculturii și silviculturii durabile. UE va continua să participe în principalele foruri internaționale în cadrul cărora sunt definite condițiile de concurență internaționale pentru bioeconomie și va continua să pledeze și să acționeze pentru realizarea obiectivelor și a țintelor conexe din Agenda 2030 pentru dezvoltare durabilă, din Cadrul pentru biodiversitate de la Kunming–Montreal, din Acordul de la Paris și din alte acorduri multilaterale de mediu.</w:t>
      </w:r>
    </w:p>
    <w:p w14:paraId="1356EEE5" w14:textId="456AD511" w:rsidR="00C35C80" w:rsidRDefault="00CB6E5B" w:rsidP="00FF0551">
      <w:pPr>
        <w:spacing w:line="259" w:lineRule="auto"/>
        <w:rPr>
          <w:rFonts w:eastAsia="Arial"/>
          <w:noProof/>
          <w:color w:val="000000" w:themeColor="text1"/>
          <w:u w:val="single"/>
        </w:rPr>
      </w:pPr>
      <w:r>
        <w:rPr>
          <w:noProof/>
        </w:rPr>
        <w:t>UE își va consolida rolul de parteneriat în definirea agendei internaționale în domeniul bioeconomiei, inclusiv prin colaborarea cu organizațiile internaționale (cum ar fi FAO). UE va construi parteneriate mai puternice cu țările din afara UE pentru a discuta despre beneficii și compromisuri, pentru a acționa în direcția interoperabilității și pentru a facilita proiectele comune</w:t>
      </w:r>
      <w:r>
        <w:rPr>
          <w:rStyle w:val="FootnoteReference"/>
          <w:noProof/>
        </w:rPr>
        <w:footnoteReference w:id="43"/>
      </w:r>
      <w:r>
        <w:rPr>
          <w:noProof/>
        </w:rPr>
        <w:t xml:space="preserve">. UE se va baza pe activitățile existente, cum ar fi Principiile la nivel înalt ale G20 privind bioeconomia, elaborate în timpul președinției G20 a Braziliei, sau </w:t>
      </w:r>
      <w:r>
        <w:rPr>
          <w:noProof/>
          <w:color w:val="000000" w:themeColor="text1"/>
        </w:rPr>
        <w:t>Principiile și criteriile orientative pentru o bioeconomie durabilă</w:t>
      </w:r>
      <w:r>
        <w:rPr>
          <w:rStyle w:val="FootnoteReference"/>
          <w:rFonts w:eastAsia="Arial"/>
          <w:noProof/>
          <w:color w:val="000000" w:themeColor="text1"/>
        </w:rPr>
        <w:footnoteReference w:id="44"/>
      </w:r>
      <w:r>
        <w:rPr>
          <w:noProof/>
          <w:color w:val="000000" w:themeColor="text1"/>
        </w:rPr>
        <w:t>, elaborate în cadrul FAO, pentru a colabora cu partenerii săi în vederea asigurării convergenței în materie de date, bune practici, parametri și standarde pentru a promova comerțul durabil.</w:t>
      </w:r>
      <w:r>
        <w:rPr>
          <w:noProof/>
          <w:color w:val="000000" w:themeColor="text1"/>
          <w:u w:val="single"/>
        </w:rPr>
        <w:t xml:space="preserve"> </w:t>
      </w:r>
    </w:p>
    <w:p w14:paraId="2E84914E" w14:textId="2258AF6D" w:rsidR="00494854" w:rsidRPr="003F2A44" w:rsidRDefault="00257A88" w:rsidP="00494854">
      <w:pPr>
        <w:rPr>
          <w:noProof/>
          <w:color w:val="000000" w:themeColor="text1"/>
        </w:rPr>
      </w:pPr>
      <w:r>
        <w:rPr>
          <w:noProof/>
          <w:color w:val="000000" w:themeColor="text1"/>
        </w:rPr>
        <w:t xml:space="preserve">Țările candidate la UE și cele din imediata vecinătate sunt parteneri de importanță strategică pentru Uniune, iar integrarea lor în lanțurile valorice bioeconomice ale UE contribuie la crearea unor centre regionale ale bioeconomiei, reducând dependența de materiile prime externe și consolidând autonomia strategică a Uniunii. </w:t>
      </w:r>
    </w:p>
    <w:p w14:paraId="7843CBB0" w14:textId="426B11C9" w:rsidR="000F05AF" w:rsidRPr="00CE41EF" w:rsidRDefault="00FA000A" w:rsidP="00FA000A">
      <w:pPr>
        <w:rPr>
          <w:noProof/>
        </w:rPr>
      </w:pPr>
      <w:r>
        <w:rPr>
          <w:noProof/>
        </w:rPr>
        <w:t xml:space="preserve">UE va lansa o inițiativă de cercetare și inovare pentru dezvoltarea și implementarea de soluții durabile în domeniul bioeconomiei în regiuni cu potențial ridicat de biomasă, inclusiv în țările BIOEAST, Moldova, Ucraina și Balcanii de Vest. Inițiativa va mobiliza capital și va consolida ecosistemele industriale dincolo de frontierele UE, în beneficiul statelor membre și al statelor în curs de aderare la UE, asigurând totodată faptul că toate eforturile au la bază garanții sociale și de mediu solide. </w:t>
      </w:r>
    </w:p>
    <w:p w14:paraId="29B5D13D" w14:textId="741F5008" w:rsidR="009650AB" w:rsidRPr="00CE41EF" w:rsidRDefault="009650AB" w:rsidP="00FF49AC">
      <w:pPr>
        <w:pStyle w:val="Heading1"/>
        <w:rPr>
          <w:noProof/>
          <w:szCs w:val="24"/>
        </w:rPr>
      </w:pPr>
      <w:r>
        <w:rPr>
          <w:noProof/>
        </w:rPr>
        <w:t xml:space="preserve">Conjugarea eforturilor pentru o acțiune eficace: statele membre, industria, investitorii și societatea civilă </w:t>
      </w:r>
    </w:p>
    <w:p w14:paraId="3F28DB90" w14:textId="774920A9" w:rsidR="00943317" w:rsidRPr="00CE41EF" w:rsidDel="00943317" w:rsidRDefault="759E0A98" w:rsidP="47E57817">
      <w:pPr>
        <w:rPr>
          <w:noProof/>
        </w:rPr>
      </w:pPr>
      <w:r>
        <w:rPr>
          <w:noProof/>
        </w:rPr>
        <w:t>Statele membre și părțile interesate sunt parteneri-cheie în transpunerea în practică a Strategiei UE în domeniul bioeconomiei și în crearea de sinergii cu strategiile regionale și naționale. Regiunile și municipalitățile joacă un rol central în implementare, întrucât multe soluții bioeconomice se dezvoltă prin lanțuri valorice locale și achiziții publice municipale. Fermierii, silvicultorii, pescarii, industria, investitorii – atât privați, cât și publici – autoritățile publice locale și regionale, precum și societatea civilă se vor implica îndeaproape în implementarea acestei strategii.</w:t>
      </w:r>
    </w:p>
    <w:p w14:paraId="0DC619DF" w14:textId="20CAB993" w:rsidR="006458A9" w:rsidRDefault="25941A8C" w:rsidP="1CFD9F8D">
      <w:pPr>
        <w:spacing w:line="259" w:lineRule="auto"/>
        <w:rPr>
          <w:noProof/>
        </w:rPr>
      </w:pPr>
      <w:r>
        <w:rPr>
          <w:noProof/>
        </w:rPr>
        <w:t>Dezvoltarea bioeconomiei UE trebuie să valorifice punctele forte existente ale Europei în acest sector și să recunoască diferențele regionale. Există diferențe considerabile între statele membre în ceea ce privește disponibilitatea biomasei, sănătatea ecosistemelor, capacitatea industrială, ecosistemele de inovare și maturitatea pieței. Statele membre vor fi, de asemenea, încurajate să definească profiluri strategice naționale în domeniul bioeconomiei, de exemplu ca producători de biomasă primară, prelucrători cu valoare ridicată, lideri în domeniul bioeconomiei albastre sau centre de bioinovare și să le integreze în planurile lor de parteneriat național și regional, precum și în planurile naționale în materie de energie și climă. Dialogurile UE cu statele membre privind bioeconomia se vor baza pe Forumul european pentru politica în domeniul bioeconomiei</w:t>
      </w:r>
      <w:r>
        <w:rPr>
          <w:noProof/>
          <w:vertAlign w:val="superscript"/>
          <w:lang w:val="en-IE"/>
        </w:rPr>
        <w:footnoteReference w:id="45"/>
      </w:r>
      <w:r>
        <w:rPr>
          <w:noProof/>
        </w:rPr>
        <w:t>, care va fi asistat, începând cu 2027, de un Centru de sprijin pentru politicile bioeconomice</w:t>
      </w:r>
      <w:r>
        <w:rPr>
          <w:noProof/>
          <w:vertAlign w:val="superscript"/>
          <w:lang w:val="en-IE"/>
        </w:rPr>
        <w:footnoteReference w:id="46"/>
      </w:r>
      <w:r>
        <w:rPr>
          <w:noProof/>
        </w:rPr>
        <w:t xml:space="preserve"> și de contribuțiile Comitetului european pentru agricultură și sectorul alimentar (EBAF). </w:t>
      </w:r>
    </w:p>
    <w:p w14:paraId="3ACADA66" w14:textId="1DD26105" w:rsidR="00E82060" w:rsidRPr="00CE41EF" w:rsidRDefault="2F0BC565" w:rsidP="1CFD9F8D">
      <w:pPr>
        <w:spacing w:line="259" w:lineRule="auto"/>
        <w:rPr>
          <w:noProof/>
        </w:rPr>
      </w:pPr>
      <w:r>
        <w:rPr>
          <w:noProof/>
        </w:rPr>
        <w:t>Pentru a-și pregăti forța de muncă în domeniul bioeconomiei și a alinia nevoile pieței muncii la oportunitățile emergente, statele membre și regiunile sunt încurajate să promoveze programe de educație, formare și recalificare/perfecționare legate de bioeconomie, destinate atât lucrătorilor, cât și persoanelor aflate în căutarea unui loc de muncă. Platforma părților interesate din economia circulară</w:t>
      </w:r>
      <w:r>
        <w:rPr>
          <w:noProof/>
          <w:vertAlign w:val="superscript"/>
          <w:lang w:val="en-IE"/>
        </w:rPr>
        <w:footnoteReference w:id="47"/>
      </w:r>
      <w:r>
        <w:rPr>
          <w:noProof/>
        </w:rPr>
        <w:t xml:space="preserve"> și viitoarea Rețea a părților interesate din domeniul bioeconomiei își vor uni forțele pentru a aduce împreună producătorii primari, industria, investitorii și societatea civilă și pentru a cultiva legături cu inițiative precum Rețeaua investitorilor de încredere a Consiliului European pentru Inovare</w:t>
      </w:r>
      <w:bookmarkStart w:id="12" w:name="_bookmark31"/>
      <w:bookmarkEnd w:id="12"/>
      <w:r>
        <w:rPr>
          <w:noProof/>
        </w:rPr>
        <w:t xml:space="preserve"> și dialogul cu tinerii prin intermediul programului UE „Ambasadorii UE pentru tineret în domeniul bioeconomiei”</w:t>
      </w:r>
      <w:r>
        <w:rPr>
          <w:noProof/>
          <w:vertAlign w:val="superscript"/>
        </w:rPr>
        <w:footnoteReference w:id="48"/>
      </w:r>
      <w:r>
        <w:rPr>
          <w:noProof/>
        </w:rPr>
        <w:t xml:space="preserve">. Totodată, vor fi consolidate legăturile cu inițiative specifice ale UE în domeniul educației relevante pentru bioeconomie, precum European Bioeconomy University (universități partenere europene în domeniul bioeconomiei), BIOEAST Uninet, Global Bioeconomy Alliance (Alianța mondială pentru bioeconomie) și Global Bioeconomy Youth Champions (Rețeaua mondială a tinerilor promotori ai bioeconomiei). </w:t>
      </w:r>
    </w:p>
    <w:p w14:paraId="46DADAFE" w14:textId="3AD0A83B" w:rsidR="00FE0577" w:rsidRPr="006E08C9" w:rsidRDefault="0158A81C" w:rsidP="006E08C9">
      <w:pPr>
        <w:spacing w:line="259" w:lineRule="auto"/>
        <w:rPr>
          <w:noProof/>
        </w:rPr>
      </w:pPr>
      <w:r>
        <w:rPr>
          <w:noProof/>
        </w:rPr>
        <w:t>Comisia Europeană va continua să îmbunătățească monitorizarea bioeconomiei UE prin intermediul Sistemului UE de monitorizare a bioeconomiei</w:t>
      </w:r>
      <w:r>
        <w:rPr>
          <w:noProof/>
          <w:vertAlign w:val="superscript"/>
        </w:rPr>
        <w:footnoteReference w:id="49"/>
      </w:r>
      <w:r>
        <w:rPr>
          <w:noProof/>
        </w:rPr>
        <w:t xml:space="preserve"> și să coopereze cu țările și regiunile atât din UE, cât și de la nivel internațional.</w:t>
      </w:r>
    </w:p>
    <w:p w14:paraId="7A7CD909" w14:textId="3062D6DD" w:rsidR="00035B1A" w:rsidRPr="006E08C9" w:rsidRDefault="0013773B" w:rsidP="006E08C9">
      <w:pPr>
        <w:pStyle w:val="Heading1"/>
        <w:rPr>
          <w:rFonts w:eastAsia="Aptos"/>
          <w:noProof/>
        </w:rPr>
      </w:pPr>
      <w:r>
        <w:rPr>
          <w:noProof/>
        </w:rPr>
        <w:t>Concluzii</w:t>
      </w:r>
    </w:p>
    <w:p w14:paraId="70C640BB" w14:textId="725D9F26" w:rsidR="00DA5096" w:rsidRPr="00DA5096" w:rsidRDefault="00DA5096" w:rsidP="56E11421">
      <w:pPr>
        <w:spacing w:after="0"/>
        <w:rPr>
          <w:rFonts w:eastAsia="Aptos"/>
          <w:noProof/>
        </w:rPr>
      </w:pPr>
      <w:r>
        <w:rPr>
          <w:noProof/>
        </w:rPr>
        <w:t>Europa dispune de cunoștințele, baza industrială și resursele umane necesare pentru a conduce tranziția globală către o bioeconomie durabilă și competitivă. Prin reducerea dependențelor strategice de materiile prime pe bază de combustibili fosili și importate și prin diversificarea lanțurilor de aprovizionare bazate pe resurse regenerabile și circulare, bioeconomia va consolida, de asemenea, securitatea economică și a resurselor Europei într</w:t>
      </w:r>
      <w:r w:rsidR="004951A2">
        <w:rPr>
          <w:noProof/>
        </w:rPr>
        <w:t>­</w:t>
      </w:r>
      <w:r>
        <w:rPr>
          <w:noProof/>
        </w:rPr>
        <w:t>o lume tot mai plină de incertitudine.</w:t>
      </w:r>
    </w:p>
    <w:p w14:paraId="3825E8CA" w14:textId="77777777" w:rsidR="00DA5096" w:rsidRPr="004951A2" w:rsidRDefault="00DA5096" w:rsidP="00DA5096">
      <w:pPr>
        <w:spacing w:after="0"/>
        <w:rPr>
          <w:rFonts w:eastAsia="Aptos"/>
          <w:noProof/>
          <w:szCs w:val="24"/>
        </w:rPr>
      </w:pPr>
    </w:p>
    <w:p w14:paraId="00AE2E17" w14:textId="45F07BBE" w:rsidR="00DA5096" w:rsidRPr="00DA5096" w:rsidRDefault="00DA5096" w:rsidP="00DA5096">
      <w:pPr>
        <w:spacing w:after="0"/>
        <w:rPr>
          <w:rFonts w:eastAsia="Aptos"/>
          <w:noProof/>
          <w:szCs w:val="24"/>
        </w:rPr>
      </w:pPr>
      <w:r>
        <w:rPr>
          <w:noProof/>
        </w:rPr>
        <w:t>Realizarea acestei viziuni va necesita o acțiune coordonată la nivelul UE, precum și la nivel național și regional. Prin colaborare, putem transforma resursele biologice ale Europei în motoare ale creșterii și rezilienței, putem sprijini autonomia strategică și putem construi o tranziție echitabilă care să nu lase nicio regiune în urmă. Comisia va prezenta un raport privind implementarea strategiei până în 2028.</w:t>
      </w:r>
    </w:p>
    <w:p w14:paraId="3ABD2447" w14:textId="77777777" w:rsidR="00DA5096" w:rsidRPr="004951A2" w:rsidRDefault="00DA5096" w:rsidP="00DA5096">
      <w:pPr>
        <w:spacing w:after="0"/>
        <w:rPr>
          <w:rFonts w:eastAsia="Aptos"/>
          <w:noProof/>
          <w:szCs w:val="24"/>
        </w:rPr>
      </w:pPr>
    </w:p>
    <w:p w14:paraId="352AC80D" w14:textId="5E9395FD" w:rsidR="00DA5096" w:rsidRPr="00DA5096" w:rsidRDefault="00DA5096" w:rsidP="62CA18EE">
      <w:pPr>
        <w:spacing w:after="0"/>
        <w:rPr>
          <w:rFonts w:eastAsia="Aptos"/>
          <w:noProof/>
        </w:rPr>
      </w:pPr>
      <w:r>
        <w:rPr>
          <w:noProof/>
        </w:rPr>
        <w:t>O bioeconomie europeană solidă nu reprezintă doar un imperativ de mediu, ci este și o investiție strategică în prosperitatea, reziliența și securitatea pe termen lung ale Europei.</w:t>
      </w:r>
    </w:p>
    <w:p w14:paraId="17474ECC" w14:textId="56343854" w:rsidR="62CA18EE" w:rsidRDefault="62CA18EE">
      <w:pPr>
        <w:rPr>
          <w:noProof/>
        </w:rPr>
      </w:pPr>
      <w:r>
        <w:rPr>
          <w:noProof/>
        </w:rPr>
        <w:br w:type="page"/>
      </w:r>
    </w:p>
    <w:p w14:paraId="33DF8679" w14:textId="704E28F5" w:rsidR="00CE7634" w:rsidRDefault="1199D122" w:rsidP="62CA18EE">
      <w:pPr>
        <w:spacing w:after="0"/>
        <w:rPr>
          <w:rFonts w:eastAsia="Aptos"/>
          <w:b/>
          <w:bCs/>
          <w:noProof/>
        </w:rPr>
      </w:pPr>
      <w:r>
        <w:rPr>
          <w:b/>
          <w:noProof/>
        </w:rPr>
        <w:t>ANEXĂ: Acțiuni-cheie și calendar</w:t>
      </w:r>
    </w:p>
    <w:p w14:paraId="6010A7E8" w14:textId="52E63B6F" w:rsidR="003C08C0" w:rsidRDefault="00CE7634" w:rsidP="00422BD3">
      <w:pPr>
        <w:pStyle w:val="Heading1"/>
        <w:numPr>
          <w:ilvl w:val="0"/>
          <w:numId w:val="0"/>
        </w:numPr>
        <w:rPr>
          <w:rFonts w:eastAsia="Aptos"/>
          <w:noProof/>
        </w:rPr>
      </w:pPr>
      <w:r>
        <w:rPr>
          <w:noProof/>
        </w:rPr>
        <w:t>Intensificarea inovării și a investițiilor: de la laborator la implementare</w:t>
      </w:r>
    </w:p>
    <w:tbl>
      <w:tblPr>
        <w:tblStyle w:val="TableGrid"/>
        <w:tblW w:w="8969" w:type="dxa"/>
        <w:tblInd w:w="-8" w:type="dxa"/>
        <w:tblBorders>
          <w:top w:val="single" w:sz="6" w:space="0" w:color="auto"/>
          <w:left w:val="single" w:sz="6" w:space="0" w:color="auto"/>
          <w:bottom w:val="single" w:sz="6" w:space="0" w:color="auto"/>
          <w:right w:val="single" w:sz="6" w:space="0" w:color="auto"/>
        </w:tblBorders>
        <w:tblLayout w:type="fixed"/>
        <w:tblCellMar>
          <w:top w:w="57" w:type="dxa"/>
          <w:bottom w:w="57" w:type="dxa"/>
        </w:tblCellMar>
        <w:tblLook w:val="01E0" w:firstRow="1" w:lastRow="1" w:firstColumn="1" w:lastColumn="1" w:noHBand="0" w:noVBand="0"/>
      </w:tblPr>
      <w:tblGrid>
        <w:gridCol w:w="7513"/>
        <w:gridCol w:w="1456"/>
      </w:tblGrid>
      <w:tr w:rsidR="00CE7634" w:rsidRPr="00CE41EF" w14:paraId="38453331" w14:textId="77777777" w:rsidTr="00422BD3">
        <w:trPr>
          <w:trHeight w:val="333"/>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BF7"/>
            <w:tcMar>
              <w:left w:w="105" w:type="dxa"/>
              <w:right w:w="105" w:type="dxa"/>
            </w:tcMar>
          </w:tcPr>
          <w:p w14:paraId="5359D040" w14:textId="77777777" w:rsidR="00CE7634" w:rsidRPr="00CE41EF" w:rsidRDefault="00CE7634" w:rsidP="00422BD3">
            <w:pPr>
              <w:spacing w:after="0"/>
              <w:jc w:val="center"/>
              <w:rPr>
                <w:b/>
                <w:bCs/>
                <w:noProof/>
              </w:rPr>
            </w:pPr>
            <w:bookmarkStart w:id="13" w:name="_Hlk198557170"/>
            <w:r>
              <w:rPr>
                <w:b/>
                <w:noProof/>
              </w:rPr>
              <w:t>Acțiuni</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1EBF7"/>
            <w:tcMar>
              <w:left w:w="105" w:type="dxa"/>
              <w:right w:w="105" w:type="dxa"/>
            </w:tcMar>
          </w:tcPr>
          <w:p w14:paraId="3797091B" w14:textId="77777777" w:rsidR="00CE7634" w:rsidRPr="00CE41EF" w:rsidRDefault="00CE7634" w:rsidP="00422BD3">
            <w:pPr>
              <w:spacing w:after="0"/>
              <w:rPr>
                <w:b/>
                <w:bCs/>
                <w:noProof/>
              </w:rPr>
            </w:pPr>
            <w:r>
              <w:rPr>
                <w:b/>
                <w:noProof/>
              </w:rPr>
              <w:t>Calendar</w:t>
            </w:r>
          </w:p>
        </w:tc>
      </w:tr>
      <w:tr w:rsidR="00CE7634" w:rsidRPr="00CE41EF" w14:paraId="5FA677F5" w14:textId="77777777" w:rsidTr="00422BD3">
        <w:trPr>
          <w:trHeight w:val="439"/>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C9A53C" w14:textId="5141D022" w:rsidR="00CE7634" w:rsidRPr="00070E77" w:rsidRDefault="00CE7634" w:rsidP="00160ED0">
            <w:pPr>
              <w:spacing w:after="0"/>
              <w:rPr>
                <w:noProof/>
              </w:rPr>
            </w:pPr>
            <w:r>
              <w:rPr>
                <w:noProof/>
              </w:rPr>
              <w:t xml:space="preserve">Adoptarea actelor legislative europene privind biotehnologiile </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D9530EF" w14:textId="64DA948C" w:rsidR="00640E09" w:rsidRDefault="00640E09" w:rsidP="001425A5">
            <w:pPr>
              <w:spacing w:after="0"/>
              <w:jc w:val="center"/>
              <w:rPr>
                <w:noProof/>
              </w:rPr>
            </w:pPr>
            <w:r>
              <w:rPr>
                <w:noProof/>
              </w:rPr>
              <w:t xml:space="preserve"> 2025</w:t>
            </w:r>
          </w:p>
          <w:p w14:paraId="3FD4BEBF" w14:textId="581FEF8A" w:rsidR="00640E09" w:rsidRPr="006F6E8F" w:rsidRDefault="00640E09" w:rsidP="001425A5">
            <w:pPr>
              <w:spacing w:after="0"/>
              <w:jc w:val="center"/>
              <w:rPr>
                <w:noProof/>
              </w:rPr>
            </w:pPr>
            <w:r>
              <w:rPr>
                <w:noProof/>
              </w:rPr>
              <w:t>T3 2026</w:t>
            </w:r>
          </w:p>
        </w:tc>
      </w:tr>
      <w:tr w:rsidR="00CE7634" w:rsidRPr="00CE41EF" w14:paraId="1CB6A411"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054D24A" w14:textId="77777777" w:rsidR="00CE7634" w:rsidRPr="00FF0551" w:rsidRDefault="00CE7634" w:rsidP="00160ED0">
            <w:pPr>
              <w:spacing w:after="0"/>
              <w:rPr>
                <w:noProof/>
              </w:rPr>
            </w:pPr>
            <w:r>
              <w:rPr>
                <w:noProof/>
              </w:rPr>
              <w:t>Instituirea unui Forum european al autorităților de reglementare și al inovatorilor în domeniul bioeconomiei</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1142405" w14:textId="77777777" w:rsidR="00CE7634" w:rsidRPr="00FF0551" w:rsidRDefault="00CE7634" w:rsidP="001425A5">
            <w:pPr>
              <w:spacing w:after="0"/>
              <w:jc w:val="center"/>
              <w:rPr>
                <w:noProof/>
              </w:rPr>
            </w:pPr>
            <w:r>
              <w:rPr>
                <w:noProof/>
              </w:rPr>
              <w:t>T1 2026</w:t>
            </w:r>
          </w:p>
        </w:tc>
      </w:tr>
      <w:tr w:rsidR="00CE7634" w:rsidRPr="00CE41EF" w14:paraId="78B9C5ED"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C0E842" w14:textId="6D7B59C9" w:rsidR="00CE7634" w:rsidRPr="001D3F21" w:rsidRDefault="00257A88" w:rsidP="00160ED0">
            <w:pPr>
              <w:spacing w:after="0"/>
              <w:rPr>
                <w:noProof/>
              </w:rPr>
            </w:pPr>
            <w:r>
              <w:rPr>
                <w:noProof/>
              </w:rPr>
              <w:t>Adoptarea solicitărilor de standardizare pentru uși și ferestre, produse/elemente de structură din lemn pentru construcții și accesorii, panouri și elemente pe bază de lemn, produse de izolare termică, în temeiul Regulamentului privind produsele pentru construcții</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49AFBC6" w14:textId="0504CCAC" w:rsidR="00CE7634" w:rsidRPr="00FF0551" w:rsidRDefault="00391266" w:rsidP="001425A5">
            <w:pPr>
              <w:spacing w:after="0"/>
              <w:jc w:val="center"/>
              <w:rPr>
                <w:noProof/>
              </w:rPr>
            </w:pPr>
            <w:r>
              <w:rPr>
                <w:noProof/>
              </w:rPr>
              <w:t>2026</w:t>
            </w:r>
          </w:p>
        </w:tc>
      </w:tr>
      <w:tr w:rsidR="00CE7634" w14:paraId="36F337EC"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9EAFDA0" w14:textId="77777777" w:rsidR="00CE7634" w:rsidRDefault="00CE7634" w:rsidP="00160ED0">
            <w:pPr>
              <w:spacing w:after="0"/>
              <w:rPr>
                <w:noProof/>
              </w:rPr>
            </w:pPr>
            <w:bookmarkStart w:id="14" w:name="_Hlk213847804"/>
            <w:r>
              <w:rPr>
                <w:noProof/>
              </w:rPr>
              <w:t xml:space="preserve">Sprijinirea cooperării între producătorii primari pentru a impulsiona investițiile comune în lanțuri valorice bioeconomice inovatoare, prin sprijin pentru investiții oferit de PAC, prin intervenții sectoriale și Parteneriatul european pentru inovare </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710A597" w14:textId="77777777" w:rsidR="00CE7634" w:rsidRDefault="00CE7634" w:rsidP="001425A5">
            <w:pPr>
              <w:spacing w:after="0"/>
              <w:jc w:val="center"/>
              <w:rPr>
                <w:noProof/>
              </w:rPr>
            </w:pPr>
            <w:r>
              <w:rPr>
                <w:noProof/>
              </w:rPr>
              <w:t>2026</w:t>
            </w:r>
          </w:p>
          <w:p w14:paraId="74AD49C0" w14:textId="77777777" w:rsidR="00CE7634" w:rsidRDefault="00CE7634" w:rsidP="001425A5">
            <w:pPr>
              <w:spacing w:after="0"/>
              <w:jc w:val="center"/>
              <w:rPr>
                <w:noProof/>
              </w:rPr>
            </w:pPr>
          </w:p>
        </w:tc>
      </w:tr>
      <w:tr w:rsidR="00CE7634" w14:paraId="08534C62" w14:textId="77777777" w:rsidTr="00422BD3">
        <w:trPr>
          <w:trHeight w:val="449"/>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BB5253D" w14:textId="303065FD" w:rsidR="00CE7634" w:rsidRPr="00E976BE" w:rsidRDefault="00CE7634" w:rsidP="00422BD3">
            <w:pPr>
              <w:spacing w:after="0"/>
              <w:rPr>
                <w:b/>
                <w:bCs/>
                <w:noProof/>
              </w:rPr>
            </w:pPr>
            <w:r>
              <w:rPr>
                <w:noProof/>
              </w:rPr>
              <w:t xml:space="preserve">Lansarea unui Grup european pentru implementarea investițiilor în bioeconomie </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B2728C1" w14:textId="7509268E" w:rsidR="00CE7634" w:rsidRPr="006E08C9" w:rsidRDefault="00CE7634" w:rsidP="00422BD3">
            <w:pPr>
              <w:spacing w:after="0"/>
              <w:jc w:val="center"/>
              <w:rPr>
                <w:noProof/>
              </w:rPr>
            </w:pPr>
            <w:r>
              <w:rPr>
                <w:noProof/>
              </w:rPr>
              <w:t>2026-2028</w:t>
            </w:r>
          </w:p>
        </w:tc>
      </w:tr>
      <w:bookmarkEnd w:id="14"/>
      <w:tr w:rsidR="00CE7634" w:rsidRPr="00CE41EF" w14:paraId="7F8DCD1B"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EA5FE06" w14:textId="77777777" w:rsidR="00CE7634" w:rsidRPr="00422BD3" w:rsidRDefault="00CE7634" w:rsidP="00160ED0">
            <w:pPr>
              <w:spacing w:after="0"/>
              <w:rPr>
                <w:noProof/>
                <w:szCs w:val="24"/>
              </w:rPr>
            </w:pPr>
            <w:r>
              <w:rPr>
                <w:noProof/>
              </w:rPr>
              <w:t>Revizuirea actualului acord de parteneriat privind întreprinderea comună pentru bioeconomia circulară în Europa (CBE-JU) și identificarea opțiunilor de colaborare viitoare care să fie cele mai eficace și cu cel mai mare impact în cadrul următorului cadru financiar multianual</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10F35C0" w14:textId="77777777" w:rsidR="00CE7634" w:rsidRDefault="00CE7634" w:rsidP="001425A5">
            <w:pPr>
              <w:jc w:val="center"/>
              <w:rPr>
                <w:noProof/>
                <w:sz w:val="22"/>
                <w:szCs w:val="22"/>
              </w:rPr>
            </w:pPr>
            <w:r>
              <w:rPr>
                <w:noProof/>
              </w:rPr>
              <w:t>2026-2028</w:t>
            </w:r>
          </w:p>
        </w:tc>
      </w:tr>
      <w:tr w:rsidR="00CE7634" w:rsidRPr="00CE41EF" w14:paraId="0261E1A7"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E027426" w14:textId="29253F3A" w:rsidR="00CE7634" w:rsidRPr="00FF0551" w:rsidRDefault="00FD2A26" w:rsidP="00160ED0">
            <w:pPr>
              <w:spacing w:after="0"/>
              <w:rPr>
                <w:noProof/>
              </w:rPr>
            </w:pPr>
            <w:bookmarkStart w:id="15" w:name="_Hlk213933864"/>
            <w:r>
              <w:rPr>
                <w:noProof/>
              </w:rPr>
              <w:t>Asigurarea unei recunoașteri corespunzătoare a producției biotehnologice durabile și a altor activități economice bazate pe bioresurse în cadrul viitoarelor revizuiri ale actelor delegate privind taxonomia UE</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F2ED303" w14:textId="5E50C6BA" w:rsidR="00CE7634" w:rsidRPr="00FF0551" w:rsidRDefault="00CE7634" w:rsidP="001425A5">
            <w:pPr>
              <w:spacing w:after="0"/>
              <w:jc w:val="center"/>
              <w:rPr>
                <w:noProof/>
              </w:rPr>
            </w:pPr>
            <w:r>
              <w:rPr>
                <w:noProof/>
              </w:rPr>
              <w:t>2026-2028</w:t>
            </w:r>
          </w:p>
        </w:tc>
      </w:tr>
      <w:bookmarkEnd w:id="15"/>
      <w:tr w:rsidR="00CE7634" w:rsidRPr="00CE41EF" w14:paraId="791694C5"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01A62B1" w14:textId="77777777" w:rsidR="00CE7634" w:rsidRPr="00FF0551" w:rsidRDefault="00CE7634" w:rsidP="00160ED0">
            <w:pPr>
              <w:spacing w:after="0"/>
              <w:rPr>
                <w:noProof/>
              </w:rPr>
            </w:pPr>
            <w:r>
              <w:rPr>
                <w:noProof/>
              </w:rPr>
              <w:t>Revizuirea Recomandării privind utilizarea unor metode referitoare la amprenta de mediu și furnizarea de date</w:t>
            </w:r>
          </w:p>
        </w:tc>
        <w:tc>
          <w:tcPr>
            <w:tcW w:w="145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F48DB6D" w14:textId="77777777" w:rsidR="00CE7634" w:rsidRPr="00FF0551" w:rsidRDefault="00CE7634" w:rsidP="001425A5">
            <w:pPr>
              <w:spacing w:after="0"/>
              <w:jc w:val="center"/>
              <w:rPr>
                <w:noProof/>
              </w:rPr>
            </w:pPr>
            <w:r>
              <w:rPr>
                <w:noProof/>
              </w:rPr>
              <w:t>T4 2026</w:t>
            </w:r>
          </w:p>
        </w:tc>
      </w:tr>
    </w:tbl>
    <w:bookmarkEnd w:id="13"/>
    <w:p w14:paraId="1309B197" w14:textId="6D62D180" w:rsidR="00CE7634" w:rsidRPr="00CE41EF" w:rsidRDefault="00CE7634" w:rsidP="00CE7634">
      <w:pPr>
        <w:pStyle w:val="Heading1"/>
        <w:numPr>
          <w:ilvl w:val="0"/>
          <w:numId w:val="0"/>
        </w:numPr>
        <w:rPr>
          <w:noProof/>
        </w:rPr>
      </w:pPr>
      <w:r>
        <w:rPr>
          <w:noProof/>
        </w:rPr>
        <w:t>Dezvoltarea unor piețe-lider pentru materiale și tehnologii</w:t>
      </w:r>
    </w:p>
    <w:tbl>
      <w:tblPr>
        <w:tblStyle w:val="TableGrid"/>
        <w:tblW w:w="9000" w:type="dxa"/>
        <w:tblInd w:w="-8" w:type="dxa"/>
        <w:tblBorders>
          <w:top w:val="single" w:sz="6" w:space="0" w:color="auto"/>
          <w:left w:val="single" w:sz="6" w:space="0" w:color="auto"/>
          <w:bottom w:val="single" w:sz="6" w:space="0" w:color="auto"/>
          <w:right w:val="single" w:sz="6" w:space="0" w:color="auto"/>
        </w:tblBorders>
        <w:tblCellMar>
          <w:top w:w="28" w:type="dxa"/>
          <w:bottom w:w="28" w:type="dxa"/>
        </w:tblCellMar>
        <w:tblLook w:val="01E0" w:firstRow="1" w:lastRow="1" w:firstColumn="1" w:lastColumn="1" w:noHBand="0" w:noVBand="0"/>
      </w:tblPr>
      <w:tblGrid>
        <w:gridCol w:w="7513"/>
        <w:gridCol w:w="1487"/>
      </w:tblGrid>
      <w:tr w:rsidR="00F531BC" w:rsidRPr="00CE41EF" w14:paraId="05AB2CDD" w14:textId="77777777" w:rsidTr="00A6391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8F8"/>
            <w:tcMar>
              <w:left w:w="105" w:type="dxa"/>
              <w:right w:w="105" w:type="dxa"/>
            </w:tcMar>
          </w:tcPr>
          <w:p w14:paraId="0FE944D4" w14:textId="77777777" w:rsidR="00CE7634" w:rsidRPr="00FF0551" w:rsidRDefault="00CE7634" w:rsidP="00160ED0">
            <w:pPr>
              <w:spacing w:after="0"/>
              <w:jc w:val="center"/>
              <w:rPr>
                <w:b/>
                <w:bCs/>
                <w:noProof/>
                <w:color w:val="000000" w:themeColor="text1"/>
              </w:rPr>
            </w:pPr>
            <w:r>
              <w:rPr>
                <w:b/>
                <w:noProof/>
                <w:color w:val="000000" w:themeColor="text1"/>
              </w:rPr>
              <w:t>Acțiuni</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8F8"/>
            <w:tcMar>
              <w:left w:w="105" w:type="dxa"/>
              <w:right w:w="105" w:type="dxa"/>
            </w:tcMar>
          </w:tcPr>
          <w:p w14:paraId="03022DFE" w14:textId="77777777" w:rsidR="00CE7634" w:rsidRPr="00FF0551" w:rsidRDefault="00CE7634" w:rsidP="00160ED0">
            <w:pPr>
              <w:spacing w:after="0"/>
              <w:jc w:val="center"/>
              <w:rPr>
                <w:b/>
                <w:bCs/>
                <w:noProof/>
                <w:color w:val="000000" w:themeColor="text1"/>
              </w:rPr>
            </w:pPr>
            <w:r>
              <w:rPr>
                <w:b/>
                <w:noProof/>
                <w:color w:val="000000" w:themeColor="text1"/>
              </w:rPr>
              <w:t>Calendar</w:t>
            </w:r>
          </w:p>
        </w:tc>
      </w:tr>
      <w:tr w:rsidR="00CE7634" w:rsidRPr="00070E77" w14:paraId="1BC44345"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2E4C79F" w14:textId="77777777" w:rsidR="00CE7634" w:rsidRPr="00070E77" w:rsidRDefault="00CE7634" w:rsidP="00160ED0">
            <w:pPr>
              <w:spacing w:after="0"/>
              <w:rPr>
                <w:noProof/>
              </w:rPr>
            </w:pPr>
            <w:r>
              <w:rPr>
                <w:noProof/>
              </w:rPr>
              <w:t>Analiza și schimbul de bune practici privind utilizarea în cascadă cu o comunitate de practicieni din cadrul Centrului de cunoștințe pentru bioeconomie al CE</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DCAE51C" w14:textId="77777777" w:rsidR="00CE7634" w:rsidRPr="00070E77" w:rsidRDefault="00CE7634" w:rsidP="00C55B60">
            <w:pPr>
              <w:spacing w:after="0"/>
              <w:jc w:val="center"/>
              <w:rPr>
                <w:noProof/>
              </w:rPr>
            </w:pPr>
            <w:r>
              <w:rPr>
                <w:noProof/>
              </w:rPr>
              <w:t>2026-2027</w:t>
            </w:r>
          </w:p>
        </w:tc>
      </w:tr>
      <w:tr w:rsidR="00F531BC" w:rsidRPr="00070E77" w14:paraId="185F0AC4" w14:textId="77777777" w:rsidTr="00A63913">
        <w:trPr>
          <w:trHeight w:val="1125"/>
        </w:trPr>
        <w:tc>
          <w:tcPr>
            <w:tcW w:w="7513" w:type="dxa"/>
            <w:tcBorders>
              <w:top w:val="single" w:sz="6" w:space="0" w:color="000000" w:themeColor="text1"/>
              <w:left w:val="single" w:sz="6" w:space="0" w:color="000000" w:themeColor="text1"/>
              <w:bottom w:val="single" w:sz="4" w:space="0" w:color="auto"/>
              <w:right w:val="single" w:sz="6" w:space="0" w:color="000000" w:themeColor="text1"/>
            </w:tcBorders>
            <w:tcMar>
              <w:left w:w="105" w:type="dxa"/>
              <w:right w:w="105" w:type="dxa"/>
            </w:tcMar>
          </w:tcPr>
          <w:p w14:paraId="53557313" w14:textId="030C1FD4" w:rsidR="00CE7634" w:rsidRPr="00E976BE" w:rsidRDefault="00CE7634" w:rsidP="00160ED0">
            <w:pPr>
              <w:spacing w:after="0"/>
              <w:rPr>
                <w:noProof/>
              </w:rPr>
            </w:pPr>
            <w:bookmarkStart w:id="16" w:name="_Hlk213332173"/>
            <w:bookmarkStart w:id="17" w:name="_Hlk213941462"/>
            <w:r>
              <w:rPr>
                <w:noProof/>
              </w:rPr>
              <w:t>Pachetul privind uniunea energetică pentru deceniul următor va ține seama de experiența dobândită în urma punerii în aplicare a Directivei privind energia din surse regenerabile, inclusiv a criteriilor sale de durabilitate și de reducere a emisiilor de gaze cu efect de seră, precum și de evoluțiile tehnologice în domeniul energiei din surse regenerabile.</w:t>
            </w:r>
            <w:bookmarkEnd w:id="16"/>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02C84E9" w14:textId="73DFE8AB" w:rsidR="00CE7634" w:rsidRPr="00E976BE" w:rsidRDefault="00CE7634" w:rsidP="00C55B60">
            <w:pPr>
              <w:spacing w:after="0"/>
              <w:jc w:val="center"/>
              <w:rPr>
                <w:noProof/>
              </w:rPr>
            </w:pPr>
            <w:r>
              <w:rPr>
                <w:noProof/>
              </w:rPr>
              <w:t>2026</w:t>
            </w:r>
          </w:p>
          <w:p w14:paraId="16F38C6E" w14:textId="0DC74392" w:rsidR="00CE7634" w:rsidRPr="00E976BE" w:rsidRDefault="00CE7634" w:rsidP="00C55B60">
            <w:pPr>
              <w:spacing w:after="0"/>
              <w:jc w:val="center"/>
              <w:rPr>
                <w:noProof/>
              </w:rPr>
            </w:pPr>
          </w:p>
        </w:tc>
      </w:tr>
      <w:tr w:rsidR="00F531BC" w:rsidRPr="00070E77" w14:paraId="209922F7" w14:textId="77777777" w:rsidTr="00A63913">
        <w:trPr>
          <w:trHeight w:val="300"/>
        </w:trPr>
        <w:tc>
          <w:tcPr>
            <w:tcW w:w="7513" w:type="dxa"/>
            <w:tcBorders>
              <w:top w:val="single" w:sz="4" w:space="0" w:color="auto"/>
              <w:left w:val="single" w:sz="6" w:space="0" w:color="000000" w:themeColor="text1"/>
              <w:bottom w:val="single" w:sz="6" w:space="0" w:color="000000" w:themeColor="text1"/>
              <w:right w:val="single" w:sz="6" w:space="0" w:color="000000" w:themeColor="text1"/>
            </w:tcBorders>
            <w:tcMar>
              <w:left w:w="105" w:type="dxa"/>
              <w:right w:w="105" w:type="dxa"/>
            </w:tcMar>
          </w:tcPr>
          <w:p w14:paraId="112CBA87" w14:textId="325C8C0C" w:rsidR="005156FE" w:rsidRPr="00070E77" w:rsidRDefault="005156FE" w:rsidP="00160ED0">
            <w:pPr>
              <w:spacing w:after="0"/>
              <w:rPr>
                <w:noProof/>
              </w:rPr>
            </w:pPr>
            <w:bookmarkStart w:id="18" w:name="_Hlk213941474"/>
            <w:bookmarkEnd w:id="17"/>
            <w:r>
              <w:rPr>
                <w:noProof/>
              </w:rPr>
              <w:t>Publicarea unui raport, în conformitate cu articolul 3 alineatul (3) din Directiva privind energia din surse regenerabile, referitor la impactul schemelor de sprijin pentru biomasă ale statelor membre, inclusiv asupra biodiversității, a climei și a mediului, precum și la posibilele denaturări ale pieței.</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BFC7ECB" w14:textId="131C3F51" w:rsidR="00CE7634" w:rsidRPr="00070E77" w:rsidRDefault="005156FE" w:rsidP="00C55B60">
            <w:pPr>
              <w:spacing w:after="0"/>
              <w:jc w:val="center"/>
              <w:rPr>
                <w:noProof/>
              </w:rPr>
            </w:pPr>
            <w:r>
              <w:rPr>
                <w:noProof/>
              </w:rPr>
              <w:t>2027</w:t>
            </w:r>
          </w:p>
        </w:tc>
      </w:tr>
      <w:bookmarkEnd w:id="18"/>
      <w:tr w:rsidR="00CE7634" w:rsidRPr="00CE41EF" w14:paraId="1221CEB0"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DDF22E4" w14:textId="77777777" w:rsidR="00CE7634" w:rsidRPr="00FF0551" w:rsidRDefault="00CE7634" w:rsidP="00160ED0">
            <w:pPr>
              <w:spacing w:after="0"/>
              <w:rPr>
                <w:noProof/>
              </w:rPr>
            </w:pPr>
            <w:r>
              <w:rPr>
                <w:noProof/>
              </w:rPr>
              <w:t>Adoptarea de criterii și obiective pentru materialele plastice de origine biologică în temeiul Regulamentului privind ambalajele și deșeurile de ambalaje</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44A5167" w14:textId="77777777" w:rsidR="00CE7634" w:rsidRPr="00FF0551" w:rsidDel="00934C29" w:rsidRDefault="00CE7634" w:rsidP="001425A5">
            <w:pPr>
              <w:spacing w:after="0"/>
              <w:jc w:val="center"/>
              <w:rPr>
                <w:noProof/>
              </w:rPr>
            </w:pPr>
            <w:r>
              <w:rPr>
                <w:noProof/>
              </w:rPr>
              <w:t>2027</w:t>
            </w:r>
          </w:p>
        </w:tc>
      </w:tr>
      <w:tr w:rsidR="00CE7634" w:rsidRPr="00CE41EF" w14:paraId="0ACD7CFF"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02E97D" w14:textId="77777777" w:rsidR="00CE7634" w:rsidRPr="00FF0551" w:rsidRDefault="00CE7634" w:rsidP="00160ED0">
            <w:pPr>
              <w:spacing w:after="0"/>
              <w:rPr>
                <w:rStyle w:val="FootnoteReference"/>
                <w:noProof/>
              </w:rPr>
            </w:pPr>
            <w:r>
              <w:rPr>
                <w:noProof/>
              </w:rPr>
              <w:t>Acte delegate în conformitate cu Regulamentul privind proiectarea ecologică a produselor sustenabile (ESPR), referitoare la cerințele de proiectare ecologică pentru textile și mobilier, astfel cum se anunță în primul plan de lucru al ESPR</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C4390D" w14:textId="77777777" w:rsidR="00CE7634" w:rsidRPr="00FF0551" w:rsidRDefault="00CE7634" w:rsidP="001425A5">
            <w:pPr>
              <w:spacing w:after="0"/>
              <w:jc w:val="center"/>
              <w:rPr>
                <w:noProof/>
              </w:rPr>
            </w:pPr>
            <w:r>
              <w:rPr>
                <w:noProof/>
              </w:rPr>
              <w:t>2027-2028</w:t>
            </w:r>
          </w:p>
        </w:tc>
      </w:tr>
      <w:tr w:rsidR="00CE7634" w:rsidRPr="00070E77" w14:paraId="59EA270B"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840EAE0" w14:textId="593DE219" w:rsidR="00CE7634" w:rsidRPr="00070E77" w:rsidRDefault="00F02C20" w:rsidP="00160ED0">
            <w:pPr>
              <w:spacing w:after="0"/>
              <w:rPr>
                <w:noProof/>
              </w:rPr>
            </w:pPr>
            <w:r>
              <w:rPr>
                <w:noProof/>
              </w:rPr>
              <w:t>Continuarea activității de standardizare pentru bioprodusele pentru construcții în temeiul Regulamentului privind produsele pentru construcții</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D7F5B9B" w14:textId="77777777" w:rsidR="00CE7634" w:rsidRPr="00070E77" w:rsidRDefault="00CE7634" w:rsidP="001425A5">
            <w:pPr>
              <w:spacing w:after="0"/>
              <w:jc w:val="center"/>
              <w:rPr>
                <w:noProof/>
              </w:rPr>
            </w:pPr>
            <w:r>
              <w:rPr>
                <w:noProof/>
              </w:rPr>
              <w:t>2026</w:t>
            </w:r>
          </w:p>
        </w:tc>
      </w:tr>
      <w:tr w:rsidR="00CE7634" w:rsidRPr="00CE41EF" w14:paraId="6F07E5E2"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6E8B3C1" w14:textId="77777777" w:rsidR="00CE7634" w:rsidRPr="00070E77" w:rsidRDefault="00CE7634" w:rsidP="00160ED0">
            <w:pPr>
              <w:spacing w:after="0"/>
              <w:rPr>
                <w:noProof/>
              </w:rPr>
            </w:pPr>
            <w:r>
              <w:rPr>
                <w:noProof/>
              </w:rPr>
              <w:t>Sprijinirea dezvoltării văilor de simbioză industrială și a centrelor bioeconomiei</w:t>
            </w:r>
            <w:r>
              <w:rPr>
                <w:noProof/>
              </w:rPr>
              <w:tab/>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844B607" w14:textId="77777777" w:rsidR="00CE7634" w:rsidRPr="00070E77" w:rsidRDefault="00CE7634" w:rsidP="001425A5">
            <w:pPr>
              <w:spacing w:after="0"/>
              <w:jc w:val="center"/>
              <w:rPr>
                <w:noProof/>
              </w:rPr>
            </w:pPr>
            <w:r>
              <w:rPr>
                <w:noProof/>
              </w:rPr>
              <w:t>Începând cu 2026</w:t>
            </w:r>
          </w:p>
        </w:tc>
      </w:tr>
      <w:tr w:rsidR="00CE7634" w:rsidRPr="00CE41EF" w14:paraId="3B373EDC"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D0B09E9" w14:textId="15C62491" w:rsidR="00CE7634" w:rsidRPr="00070E77" w:rsidRDefault="00CE7634" w:rsidP="00160ED0">
            <w:pPr>
              <w:spacing w:after="0"/>
              <w:rPr>
                <w:noProof/>
              </w:rPr>
            </w:pPr>
            <w:r>
              <w:rPr>
                <w:noProof/>
              </w:rPr>
              <w:t>Lansarea Instrumentului de coordonare a competitivității, inclusiv a „Alianței pentru bioeconomie în Europa”</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B87FE65" w14:textId="77777777" w:rsidR="00CE7634" w:rsidRPr="00FF0551" w:rsidRDefault="00CE7634" w:rsidP="001425A5">
            <w:pPr>
              <w:spacing w:after="0"/>
              <w:jc w:val="center"/>
              <w:rPr>
                <w:noProof/>
              </w:rPr>
            </w:pPr>
            <w:r>
              <w:rPr>
                <w:noProof/>
              </w:rPr>
              <w:t>T4 2026</w:t>
            </w:r>
          </w:p>
        </w:tc>
      </w:tr>
      <w:tr w:rsidR="00CE7634" w:rsidRPr="00CE41EF" w14:paraId="3EB86E52"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73536A" w14:textId="77777777" w:rsidR="00CE7634" w:rsidDel="003D0F48" w:rsidRDefault="00CE7634" w:rsidP="00160ED0">
            <w:pPr>
              <w:spacing w:after="0"/>
              <w:rPr>
                <w:noProof/>
              </w:rPr>
            </w:pPr>
            <w:r>
              <w:rPr>
                <w:noProof/>
              </w:rPr>
              <w:t>Metodologia de certificare pentru stocarea dioxidului de carbon pe termen lung în clădiri, în temeiul Regulamentului privind absorbțiile de carbon și agricultura carbonului (CRCF)</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053ED03" w14:textId="77777777" w:rsidR="00CE7634" w:rsidDel="003D0F48" w:rsidRDefault="00CE7634" w:rsidP="001425A5">
            <w:pPr>
              <w:spacing w:after="0"/>
              <w:jc w:val="center"/>
              <w:rPr>
                <w:noProof/>
              </w:rPr>
            </w:pPr>
            <w:r>
              <w:rPr>
                <w:noProof/>
              </w:rPr>
              <w:t>2026</w:t>
            </w:r>
          </w:p>
        </w:tc>
      </w:tr>
      <w:tr w:rsidR="00CE7634" w:rsidRPr="00CE41EF" w14:paraId="3BF63FF6"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46D1EA6" w14:textId="77777777" w:rsidR="00CE7634" w:rsidRPr="00CE41EF" w:rsidRDefault="00CE7634" w:rsidP="00160ED0">
            <w:pPr>
              <w:rPr>
                <w:noProof/>
              </w:rPr>
            </w:pPr>
            <w:r>
              <w:rPr>
                <w:noProof/>
              </w:rPr>
              <w:t>Îmbunătățirea cerințelor privind achizițiile publice verzi și crearea de piețe-lider pentru materialele din bioresurse și tehnologiile strategice curate prin revizuirea legislației UE privind achizițiile publice</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93D9E7F" w14:textId="77777777" w:rsidR="00CE7634" w:rsidRPr="00FF0551" w:rsidRDefault="00CE7634" w:rsidP="001425A5">
            <w:pPr>
              <w:jc w:val="center"/>
              <w:rPr>
                <w:noProof/>
              </w:rPr>
            </w:pPr>
            <w:r>
              <w:rPr>
                <w:noProof/>
              </w:rPr>
              <w:t>Pe bază continuă</w:t>
            </w:r>
          </w:p>
        </w:tc>
      </w:tr>
    </w:tbl>
    <w:p w14:paraId="0D41EDE4" w14:textId="0A8B7F14" w:rsidR="00CE7634" w:rsidRDefault="00CE7634" w:rsidP="00CE7634">
      <w:pPr>
        <w:pStyle w:val="Heading1"/>
        <w:numPr>
          <w:ilvl w:val="0"/>
          <w:numId w:val="0"/>
        </w:numPr>
        <w:rPr>
          <w:noProof/>
        </w:rPr>
      </w:pPr>
      <w:r>
        <w:rPr>
          <w:noProof/>
        </w:rPr>
        <w:t>Asigurarea unor perspective pe termen lung pentru bioeconomie: Biomasă provenită din surse durabile</w:t>
      </w:r>
    </w:p>
    <w:tbl>
      <w:tblPr>
        <w:tblStyle w:val="TableGrid"/>
        <w:tblW w:w="9000" w:type="dxa"/>
        <w:tblInd w:w="-8" w:type="dxa"/>
        <w:tblBorders>
          <w:top w:val="single" w:sz="6" w:space="0" w:color="auto"/>
          <w:left w:val="single" w:sz="6" w:space="0" w:color="auto"/>
          <w:bottom w:val="single" w:sz="6" w:space="0" w:color="auto"/>
          <w:right w:val="single" w:sz="6" w:space="0" w:color="auto"/>
        </w:tblBorders>
        <w:tblLayout w:type="fixed"/>
        <w:tblCellMar>
          <w:top w:w="28" w:type="dxa"/>
          <w:bottom w:w="28" w:type="dxa"/>
        </w:tblCellMar>
        <w:tblLook w:val="01E0" w:firstRow="1" w:lastRow="1" w:firstColumn="1" w:lastColumn="1" w:noHBand="0" w:noVBand="0"/>
      </w:tblPr>
      <w:tblGrid>
        <w:gridCol w:w="7513"/>
        <w:gridCol w:w="1487"/>
      </w:tblGrid>
      <w:tr w:rsidR="00CE7634" w:rsidRPr="00CE41EF" w14:paraId="4CBB0675" w14:textId="77777777" w:rsidTr="00A6391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tcPr>
          <w:p w14:paraId="7360C799" w14:textId="77777777" w:rsidR="00CE7634" w:rsidRPr="00FF0551" w:rsidRDefault="00CE7634" w:rsidP="00160ED0">
            <w:pPr>
              <w:spacing w:after="0"/>
              <w:jc w:val="center"/>
              <w:rPr>
                <w:b/>
                <w:bCs/>
                <w:noProof/>
              </w:rPr>
            </w:pPr>
            <w:r>
              <w:rPr>
                <w:b/>
                <w:noProof/>
              </w:rPr>
              <w:t>Acțiuni</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tcPr>
          <w:p w14:paraId="62D627A0" w14:textId="77777777" w:rsidR="00CE7634" w:rsidRPr="00FF0551" w:rsidRDefault="00CE7634" w:rsidP="00160ED0">
            <w:pPr>
              <w:spacing w:after="0"/>
              <w:jc w:val="center"/>
              <w:rPr>
                <w:b/>
                <w:bCs/>
                <w:noProof/>
              </w:rPr>
            </w:pPr>
            <w:r>
              <w:rPr>
                <w:b/>
                <w:noProof/>
              </w:rPr>
              <w:t>Calendar</w:t>
            </w:r>
          </w:p>
        </w:tc>
      </w:tr>
      <w:tr w:rsidR="00CE7634" w14:paraId="706982B3"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F38E78" w14:textId="77777777" w:rsidR="00CE7634" w:rsidRPr="386CB003" w:rsidRDefault="00CE7634" w:rsidP="00160ED0">
            <w:pPr>
              <w:spacing w:after="0"/>
              <w:rPr>
                <w:noProof/>
              </w:rPr>
            </w:pPr>
            <w:r>
              <w:rPr>
                <w:noProof/>
              </w:rPr>
              <w:t>Schimbul de bune practici pentru utilizările circulare locale ale subproduselor de origine animală sprijinite în cadrul rețelei PAC</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AD74E0" w14:textId="77777777" w:rsidR="00CE7634" w:rsidRDefault="00CE7634" w:rsidP="001425A5">
            <w:pPr>
              <w:spacing w:after="0"/>
              <w:jc w:val="center"/>
              <w:rPr>
                <w:noProof/>
              </w:rPr>
            </w:pPr>
            <w:r>
              <w:rPr>
                <w:noProof/>
              </w:rPr>
              <w:t>2027</w:t>
            </w:r>
          </w:p>
        </w:tc>
      </w:tr>
      <w:tr w:rsidR="00CE7634" w:rsidRPr="00CE41EF" w14:paraId="77AF8DAE"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C7F841" w14:textId="75B5ED78" w:rsidR="00CE7634" w:rsidRPr="00FF0551" w:rsidRDefault="00CE7634" w:rsidP="00160ED0">
            <w:pPr>
              <w:spacing w:after="0"/>
              <w:rPr>
                <w:noProof/>
              </w:rPr>
            </w:pPr>
            <w:r>
              <w:rPr>
                <w:noProof/>
              </w:rPr>
              <w:t>Sprijinirea producției de biogaz și biometan care valorifică deșeurile și reziduurile biologice și care permite utilizarea digestatului coprodus ca produse biofertilizante, printr-un acord tripartit</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8B8665" w14:textId="77777777" w:rsidR="00CE7634" w:rsidRPr="00FF0551" w:rsidRDefault="00CE7634" w:rsidP="001425A5">
            <w:pPr>
              <w:spacing w:after="0"/>
              <w:jc w:val="center"/>
              <w:rPr>
                <w:noProof/>
              </w:rPr>
            </w:pPr>
            <w:r>
              <w:rPr>
                <w:noProof/>
              </w:rPr>
              <w:t>2026</w:t>
            </w:r>
          </w:p>
        </w:tc>
      </w:tr>
      <w:tr w:rsidR="00CE7634" w14:paraId="622C120F"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DB46DF" w14:textId="77777777" w:rsidR="00CE7634" w:rsidRDefault="00CE7634" w:rsidP="00160ED0">
            <w:pPr>
              <w:spacing w:after="0"/>
              <w:rPr>
                <w:b/>
                <w:bCs/>
                <w:noProof/>
              </w:rPr>
            </w:pPr>
            <w:r>
              <w:rPr>
                <w:noProof/>
              </w:rPr>
              <w:t>Evaluarea celor mai bune practici și inovații în domeniul bioeconomiei pentru a spori eficiența utilizării azotului în sistemele bioeconomiei și în rețelele de valori</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3A99D4" w14:textId="77777777" w:rsidR="00CE7634" w:rsidRDefault="00CE7634" w:rsidP="001425A5">
            <w:pPr>
              <w:spacing w:after="0"/>
              <w:jc w:val="center"/>
              <w:rPr>
                <w:noProof/>
              </w:rPr>
            </w:pPr>
            <w:r>
              <w:rPr>
                <w:noProof/>
              </w:rPr>
              <w:t>Începând cu 2026</w:t>
            </w:r>
          </w:p>
        </w:tc>
      </w:tr>
      <w:tr w:rsidR="00CE7634" w14:paraId="7B9D0B6D"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BDC48E" w14:textId="77777777" w:rsidR="00CE7634" w:rsidRDefault="00CE7634" w:rsidP="00160ED0">
            <w:pPr>
              <w:spacing w:after="0"/>
              <w:rPr>
                <w:noProof/>
              </w:rPr>
            </w:pPr>
            <w:r>
              <w:rPr>
                <w:noProof/>
              </w:rPr>
              <w:t>Emiterea de orientări privind modelele de afaceri circulare</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2A6622" w14:textId="77777777" w:rsidR="00CE7634" w:rsidRDefault="00CE7634" w:rsidP="001425A5">
            <w:pPr>
              <w:spacing w:after="0"/>
              <w:jc w:val="center"/>
              <w:rPr>
                <w:noProof/>
              </w:rPr>
            </w:pPr>
            <w:r>
              <w:rPr>
                <w:noProof/>
              </w:rPr>
              <w:t>2027</w:t>
            </w:r>
          </w:p>
        </w:tc>
      </w:tr>
      <w:tr w:rsidR="00CE7634" w:rsidRPr="00CE41EF" w14:paraId="4B7E82F9"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CC5613" w14:textId="58EE470B" w:rsidR="00CE7634" w:rsidRPr="00FF0551" w:rsidRDefault="00CE7634" w:rsidP="00160ED0">
            <w:pPr>
              <w:spacing w:after="0"/>
              <w:rPr>
                <w:noProof/>
              </w:rPr>
            </w:pPr>
            <w:r>
              <w:rPr>
                <w:noProof/>
              </w:rPr>
              <w:t>Îmbunătățirea datelor și a modelării pentru monitorizarea disponibilității biomasei (valorificând cunoștințele Centrului de cunoștințe pentru bioeconomie al Comisiei)</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0EEBF3" w14:textId="77777777" w:rsidR="00CE7634" w:rsidRPr="00FF0551" w:rsidRDefault="00CE7634" w:rsidP="001425A5">
            <w:pPr>
              <w:spacing w:after="0"/>
              <w:jc w:val="center"/>
              <w:rPr>
                <w:noProof/>
              </w:rPr>
            </w:pPr>
            <w:r>
              <w:rPr>
                <w:noProof/>
              </w:rPr>
              <w:t>Începând cu 2026</w:t>
            </w:r>
          </w:p>
        </w:tc>
      </w:tr>
      <w:tr w:rsidR="00CE7634" w14:paraId="11ED7434"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735F0D" w14:textId="294ED929" w:rsidR="00CE7634" w:rsidRDefault="00CE7634" w:rsidP="00160ED0">
            <w:pPr>
              <w:spacing w:after="0"/>
              <w:rPr>
                <w:noProof/>
              </w:rPr>
            </w:pPr>
            <w:r>
              <w:rPr>
                <w:noProof/>
              </w:rPr>
              <w:t>Lansarea inițiativei pentru inovare în domeniul bioeconomiei albastre și finanțarea aferentă prin programul Orizont Europa</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125256" w14:textId="77777777" w:rsidR="00CE7634" w:rsidRDefault="00CE7634" w:rsidP="001425A5">
            <w:pPr>
              <w:spacing w:after="0"/>
              <w:jc w:val="center"/>
              <w:rPr>
                <w:noProof/>
              </w:rPr>
            </w:pPr>
            <w:r>
              <w:rPr>
                <w:noProof/>
              </w:rPr>
              <w:t>2026-2027</w:t>
            </w:r>
          </w:p>
        </w:tc>
      </w:tr>
      <w:tr w:rsidR="00CE7634" w:rsidRPr="00CE41EF" w14:paraId="548953EA"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8FA2E4" w14:textId="3CF0025B" w:rsidR="00CE7634" w:rsidRDefault="00CE7634" w:rsidP="00160ED0">
            <w:pPr>
              <w:spacing w:after="0"/>
              <w:rPr>
                <w:noProof/>
              </w:rPr>
            </w:pPr>
            <w:r>
              <w:rPr>
                <w:noProof/>
              </w:rPr>
              <w:t xml:space="preserve">Stimularea abordărilor bazate pe date pentru dezvoltarea unei bioeconomii durabile: integrarea datelor de observare a Pământului pentru monitorizarea disponibilității biomasei durabile și a schimbărilor legate de utilizarea terenurilor, precum și a preocupărilor legate de biodiversitate. </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68E0EA" w14:textId="77777777" w:rsidR="00CE7634" w:rsidRDefault="00CE7634" w:rsidP="001425A5">
            <w:pPr>
              <w:spacing w:after="0"/>
              <w:jc w:val="center"/>
              <w:rPr>
                <w:noProof/>
              </w:rPr>
            </w:pPr>
            <w:r>
              <w:rPr>
                <w:noProof/>
              </w:rPr>
              <w:t>2027</w:t>
            </w:r>
          </w:p>
        </w:tc>
      </w:tr>
      <w:tr w:rsidR="00CE7634" w:rsidRPr="00CE41EF" w14:paraId="2B422260"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6508DB" w14:textId="77777777" w:rsidR="00CE7634" w:rsidRPr="00FF0551" w:rsidRDefault="00CE7634" w:rsidP="00160ED0">
            <w:pPr>
              <w:spacing w:after="0"/>
              <w:rPr>
                <w:noProof/>
              </w:rPr>
            </w:pPr>
            <w:r>
              <w:rPr>
                <w:noProof/>
              </w:rPr>
              <w:t xml:space="preserve">Dezvoltarea unui registru de cunoștințe la nivelul UE, cu orientări practice, adaptate la nivel local, pentru a sprijini fermierii, silvicultorii și administratorii de terenuri să îmbunătățească productivitatea biomasei, reziliența la fenomene meteorologice extreme și furnizarea de servicii ecosistemice, inclusiv în cadrul Pactului solului pentru Europa </w:t>
            </w:r>
          </w:p>
        </w:tc>
        <w:tc>
          <w:tcPr>
            <w:tcW w:w="148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6119306" w14:textId="3D0854E2" w:rsidR="00CE7634" w:rsidRPr="00FF0551" w:rsidDel="00931931" w:rsidRDefault="001425A5" w:rsidP="001425A5">
            <w:pPr>
              <w:spacing w:after="0"/>
              <w:jc w:val="center"/>
              <w:rPr>
                <w:noProof/>
              </w:rPr>
            </w:pPr>
            <w:r>
              <w:rPr>
                <w:noProof/>
              </w:rPr>
              <w:t>Până în 2030</w:t>
            </w:r>
          </w:p>
        </w:tc>
      </w:tr>
    </w:tbl>
    <w:p w14:paraId="4FF88208" w14:textId="77777777" w:rsidR="00CE7634" w:rsidRPr="00CE41EF" w:rsidRDefault="00CE7634" w:rsidP="00CE7634">
      <w:pPr>
        <w:pStyle w:val="Heading1"/>
        <w:numPr>
          <w:ilvl w:val="0"/>
          <w:numId w:val="0"/>
        </w:numPr>
        <w:rPr>
          <w:noProof/>
          <w:szCs w:val="24"/>
        </w:rPr>
      </w:pPr>
      <w:r>
        <w:rPr>
          <w:noProof/>
        </w:rPr>
        <w:t xml:space="preserve">Valorificarea parteneriatelor și a oportunităților globale </w:t>
      </w:r>
    </w:p>
    <w:tbl>
      <w:tblPr>
        <w:tblStyle w:val="TableGrid"/>
        <w:tblW w:w="9090" w:type="dxa"/>
        <w:tblInd w:w="-8" w:type="dxa"/>
        <w:tblBorders>
          <w:top w:val="outset" w:sz="6" w:space="0" w:color="auto"/>
          <w:left w:val="outset" w:sz="6" w:space="0" w:color="auto"/>
          <w:bottom w:val="outset" w:sz="6" w:space="0" w:color="auto"/>
          <w:right w:val="outset" w:sz="6" w:space="0" w:color="auto"/>
        </w:tblBorders>
        <w:tblLayout w:type="fixed"/>
        <w:tblCellMar>
          <w:top w:w="28" w:type="dxa"/>
          <w:left w:w="85" w:type="dxa"/>
          <w:bottom w:w="28" w:type="dxa"/>
          <w:right w:w="85" w:type="dxa"/>
        </w:tblCellMar>
        <w:tblLook w:val="04A0" w:firstRow="1" w:lastRow="0" w:firstColumn="1" w:lastColumn="0" w:noHBand="0" w:noVBand="1"/>
      </w:tblPr>
      <w:tblGrid>
        <w:gridCol w:w="7513"/>
        <w:gridCol w:w="1577"/>
      </w:tblGrid>
      <w:tr w:rsidR="00CE7634" w:rsidRPr="00CE41EF" w14:paraId="2E88B594"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hideMark/>
          </w:tcPr>
          <w:p w14:paraId="6D7606BE" w14:textId="77777777" w:rsidR="00CE7634" w:rsidRPr="00FF0551" w:rsidRDefault="00CE7634" w:rsidP="00160ED0">
            <w:pPr>
              <w:spacing w:after="0"/>
              <w:jc w:val="center"/>
              <w:rPr>
                <w:b/>
                <w:bCs/>
                <w:noProof/>
              </w:rPr>
            </w:pPr>
            <w:r>
              <w:rPr>
                <w:b/>
                <w:noProof/>
              </w:rPr>
              <w:t>Acțiuni</w:t>
            </w:r>
          </w:p>
        </w:tc>
        <w:tc>
          <w:tcPr>
            <w:tcW w:w="157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9F7" w:themeFill="text2" w:themeFillTint="1A"/>
          </w:tcPr>
          <w:p w14:paraId="63EDA2BA" w14:textId="77777777" w:rsidR="00CE7634" w:rsidRPr="00FF0551" w:rsidRDefault="00CE7634" w:rsidP="00160ED0">
            <w:pPr>
              <w:spacing w:after="0"/>
              <w:jc w:val="center"/>
              <w:rPr>
                <w:b/>
                <w:bCs/>
                <w:noProof/>
              </w:rPr>
            </w:pPr>
            <w:r>
              <w:rPr>
                <w:b/>
                <w:noProof/>
              </w:rPr>
              <w:t>Calendar</w:t>
            </w:r>
          </w:p>
        </w:tc>
      </w:tr>
      <w:tr w:rsidR="00CE7634" w:rsidRPr="00CE41EF" w14:paraId="3D7C011D"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DAAB9D8" w14:textId="5F64080F" w:rsidR="00CE7634" w:rsidRPr="00FF0551" w:rsidRDefault="00CE7634" w:rsidP="00160ED0">
            <w:pPr>
              <w:spacing w:after="0"/>
              <w:rPr>
                <w:noProof/>
              </w:rPr>
            </w:pPr>
            <w:r>
              <w:rPr>
                <w:noProof/>
              </w:rPr>
              <w:t>Utilizarea acordurilor de liber schimb ale UE și a altor parteneriate și foruri internaționale pentru a promova cooperarea în vederea extinderii accesului pe piață al soluțiilor durabile în domeniul bioeconomiei. Identificarea și eliminarea barierelor tehnice și de reglementare din calea comerțului, în vederea sprijinirii investițiilor în sectoarele bioeconomiei</w:t>
            </w:r>
          </w:p>
        </w:tc>
        <w:tc>
          <w:tcPr>
            <w:tcW w:w="15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A86D76" w14:textId="2F17D051" w:rsidR="00CE7634" w:rsidRPr="00FF0551" w:rsidRDefault="001425A5" w:rsidP="001425A5">
            <w:pPr>
              <w:spacing w:after="0"/>
              <w:jc w:val="center"/>
              <w:rPr>
                <w:noProof/>
              </w:rPr>
            </w:pPr>
            <w:r>
              <w:rPr>
                <w:noProof/>
              </w:rPr>
              <w:t>Pe bază continuă</w:t>
            </w:r>
          </w:p>
        </w:tc>
      </w:tr>
      <w:tr w:rsidR="00CE7634" w:rsidRPr="00CE41EF" w14:paraId="2D7203EF"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94386AE" w14:textId="2496E002" w:rsidR="00CE7634" w:rsidRPr="00FF0551" w:rsidRDefault="00CE7634" w:rsidP="00160ED0">
            <w:pPr>
              <w:spacing w:after="0"/>
              <w:rPr>
                <w:noProof/>
              </w:rPr>
            </w:pPr>
            <w:r>
              <w:rPr>
                <w:noProof/>
              </w:rPr>
              <w:t>Colaborarea cu anumite țări partenere pentru a promova inovarea europeană, a construi parteneriate strategice și a facilita investițiile, inclusiv prin parteneriate pentru comerț și investiții curate și prin strategia „Global Gateway”.</w:t>
            </w:r>
          </w:p>
        </w:tc>
        <w:tc>
          <w:tcPr>
            <w:tcW w:w="15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92B68D" w14:textId="77777777" w:rsidR="00CE7634" w:rsidRPr="00FF0551" w:rsidRDefault="00CE7634" w:rsidP="001425A5">
            <w:pPr>
              <w:spacing w:after="0"/>
              <w:jc w:val="center"/>
              <w:rPr>
                <w:noProof/>
              </w:rPr>
            </w:pPr>
            <w:r>
              <w:rPr>
                <w:noProof/>
              </w:rPr>
              <w:t>2026-2027</w:t>
            </w:r>
          </w:p>
        </w:tc>
      </w:tr>
      <w:tr w:rsidR="00CE7634" w:rsidRPr="00CE41EF" w14:paraId="7F62F6B3" w14:textId="77777777" w:rsidTr="00422BD3">
        <w:trPr>
          <w:trHeight w:val="300"/>
        </w:trPr>
        <w:tc>
          <w:tcPr>
            <w:tcW w:w="7513"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A4A6545" w14:textId="754D6DF3" w:rsidR="00CE7634" w:rsidRPr="00FF0551" w:rsidRDefault="00CE7634" w:rsidP="00160ED0">
            <w:pPr>
              <w:spacing w:after="0"/>
              <w:rPr>
                <w:noProof/>
              </w:rPr>
            </w:pPr>
            <w:r>
              <w:rPr>
                <w:noProof/>
              </w:rPr>
              <w:t xml:space="preserve">Promovarea cooperării internaționale și simplificarea guvernanței globale în materie de bioeconomie durabilă și circulară; </w:t>
            </w:r>
          </w:p>
        </w:tc>
        <w:tc>
          <w:tcPr>
            <w:tcW w:w="157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1BDFBC" w14:textId="77777777" w:rsidR="00CE7634" w:rsidRPr="00FF0551" w:rsidRDefault="00CE7634" w:rsidP="001425A5">
            <w:pPr>
              <w:spacing w:after="0"/>
              <w:jc w:val="center"/>
              <w:rPr>
                <w:noProof/>
              </w:rPr>
            </w:pPr>
            <w:r>
              <w:rPr>
                <w:noProof/>
              </w:rPr>
              <w:t>Pe bază continuă</w:t>
            </w:r>
          </w:p>
        </w:tc>
      </w:tr>
    </w:tbl>
    <w:p w14:paraId="2CCB50C8" w14:textId="45B41300" w:rsidR="00CE7634" w:rsidRDefault="00CE7634" w:rsidP="00CE7634">
      <w:pPr>
        <w:pStyle w:val="Heading1"/>
        <w:numPr>
          <w:ilvl w:val="0"/>
          <w:numId w:val="0"/>
        </w:numPr>
        <w:rPr>
          <w:noProof/>
          <w:szCs w:val="24"/>
        </w:rPr>
      </w:pPr>
      <w:r>
        <w:rPr>
          <w:noProof/>
        </w:rPr>
        <w:t xml:space="preserve">Conjugarea eforturilor pentru o acțiune eficace: statele membre, industria, investitorii și societatea civilă </w:t>
      </w:r>
    </w:p>
    <w:tbl>
      <w:tblPr>
        <w:tblStyle w:val="TableGrid"/>
        <w:tblW w:w="9090" w:type="dxa"/>
        <w:tblInd w:w="-10" w:type="dxa"/>
        <w:tblBorders>
          <w:top w:val="single" w:sz="6" w:space="0" w:color="auto"/>
          <w:left w:val="single" w:sz="6" w:space="0" w:color="auto"/>
          <w:bottom w:val="single" w:sz="6" w:space="0" w:color="auto"/>
          <w:right w:val="single" w:sz="6" w:space="0" w:color="auto"/>
        </w:tblBorders>
        <w:tblLayout w:type="fixed"/>
        <w:tblCellMar>
          <w:top w:w="28" w:type="dxa"/>
          <w:bottom w:w="28" w:type="dxa"/>
        </w:tblCellMar>
        <w:tblLook w:val="04A0" w:firstRow="1" w:lastRow="0" w:firstColumn="1" w:lastColumn="0" w:noHBand="0" w:noVBand="1"/>
      </w:tblPr>
      <w:tblGrid>
        <w:gridCol w:w="7513"/>
        <w:gridCol w:w="1577"/>
      </w:tblGrid>
      <w:tr w:rsidR="00CE7634" w:rsidRPr="00CE41EF" w14:paraId="69D5A7D9" w14:textId="77777777" w:rsidTr="00422BD3">
        <w:trPr>
          <w:trHeight w:val="300"/>
        </w:trPr>
        <w:tc>
          <w:tcPr>
            <w:tcW w:w="751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9F7" w:themeFill="text2" w:themeFillTint="1A"/>
          </w:tcPr>
          <w:p w14:paraId="2B649D04" w14:textId="77777777" w:rsidR="00CE7634" w:rsidRPr="00FF0551" w:rsidRDefault="00CE7634" w:rsidP="00160ED0">
            <w:pPr>
              <w:spacing w:after="0"/>
              <w:jc w:val="center"/>
              <w:rPr>
                <w:b/>
                <w:bCs/>
                <w:noProof/>
              </w:rPr>
            </w:pPr>
            <w:r>
              <w:rPr>
                <w:b/>
                <w:noProof/>
              </w:rPr>
              <w:t>Acțiuni</w:t>
            </w:r>
          </w:p>
        </w:tc>
        <w:tc>
          <w:tcPr>
            <w:tcW w:w="157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AE9F7" w:themeFill="text2" w:themeFillTint="1A"/>
          </w:tcPr>
          <w:p w14:paraId="4DE874CC" w14:textId="77777777" w:rsidR="00CE7634" w:rsidRPr="00FF0551" w:rsidRDefault="00CE7634" w:rsidP="00160ED0">
            <w:pPr>
              <w:spacing w:after="0"/>
              <w:jc w:val="center"/>
              <w:rPr>
                <w:b/>
                <w:bCs/>
                <w:noProof/>
              </w:rPr>
            </w:pPr>
            <w:r>
              <w:rPr>
                <w:b/>
                <w:noProof/>
              </w:rPr>
              <w:t>Calendar</w:t>
            </w:r>
          </w:p>
        </w:tc>
      </w:tr>
      <w:tr w:rsidR="00CE7634" w:rsidRPr="00CE41EF" w14:paraId="652FD407" w14:textId="77777777" w:rsidTr="00422BD3">
        <w:trPr>
          <w:trHeight w:val="300"/>
        </w:trPr>
        <w:tc>
          <w:tcPr>
            <w:tcW w:w="7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9525B2" w14:textId="77777777" w:rsidR="00CE7634" w:rsidRPr="00FF0551" w:rsidDel="007206D1" w:rsidRDefault="00CE7634" w:rsidP="00160ED0">
            <w:pPr>
              <w:spacing w:after="0"/>
              <w:rPr>
                <w:noProof/>
              </w:rPr>
            </w:pPr>
            <w:r>
              <w:rPr>
                <w:noProof/>
              </w:rPr>
              <w:t xml:space="preserve">Dialogurile UE în domeniul bioeconomiei cu statele membre privind punerea în aplicare a Strategiei UE în domeniul bioeconomiei, mobilizarea platformelor părților interesate din domeniul economiei circulare și al bioeconomiei, a Comitetului european pentru agricultură și sectorul alimentar (EBAF) și a programului „Ambasadorii UE pentru tineret în domeniul bioeconomiei”. </w:t>
            </w:r>
          </w:p>
        </w:tc>
        <w:tc>
          <w:tcPr>
            <w:tcW w:w="15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D3ECCA" w14:textId="77777777" w:rsidR="00CE7634" w:rsidRPr="00FF0551" w:rsidRDefault="00CE7634" w:rsidP="001425A5">
            <w:pPr>
              <w:spacing w:after="0"/>
              <w:jc w:val="center"/>
              <w:rPr>
                <w:noProof/>
              </w:rPr>
            </w:pPr>
            <w:r>
              <w:rPr>
                <w:noProof/>
              </w:rPr>
              <w:t>Începând cu T1 2026</w:t>
            </w:r>
          </w:p>
        </w:tc>
      </w:tr>
      <w:tr w:rsidR="00CE7634" w14:paraId="52BDF852" w14:textId="77777777" w:rsidTr="00422BD3">
        <w:trPr>
          <w:trHeight w:val="300"/>
        </w:trPr>
        <w:tc>
          <w:tcPr>
            <w:tcW w:w="751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E5F7CB" w14:textId="7F8D6FA2" w:rsidR="00CE7634" w:rsidRPr="009F47D4" w:rsidRDefault="00CE7634" w:rsidP="00160ED0">
            <w:pPr>
              <w:rPr>
                <w:noProof/>
              </w:rPr>
            </w:pPr>
            <w:r>
              <w:rPr>
                <w:noProof/>
              </w:rPr>
              <w:t>Monitorizarea bioeconomiei UE prin intermediul Sistemului UE de monitorizare a bioeconomiei, care acoperă aspectele economice și de mediu.</w:t>
            </w:r>
          </w:p>
        </w:tc>
        <w:tc>
          <w:tcPr>
            <w:tcW w:w="157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600C1F" w14:textId="77777777" w:rsidR="00CE7634" w:rsidRPr="009F47D4" w:rsidRDefault="00CE7634" w:rsidP="001425A5">
            <w:pPr>
              <w:jc w:val="center"/>
              <w:rPr>
                <w:noProof/>
              </w:rPr>
            </w:pPr>
            <w:r>
              <w:rPr>
                <w:noProof/>
              </w:rPr>
              <w:t>Începând cu 2026</w:t>
            </w:r>
          </w:p>
        </w:tc>
      </w:tr>
    </w:tbl>
    <w:p w14:paraId="5D64E6EC" w14:textId="77777777" w:rsidR="00CE7634" w:rsidRPr="00CE7634" w:rsidRDefault="00CE7634" w:rsidP="00CE7634">
      <w:pPr>
        <w:pStyle w:val="Text1"/>
        <w:ind w:left="0"/>
        <w:rPr>
          <w:noProof/>
        </w:rPr>
      </w:pPr>
    </w:p>
    <w:p w14:paraId="3F3BEC03" w14:textId="77777777" w:rsidR="00CE7634" w:rsidRDefault="00CE7634" w:rsidP="62CA18EE">
      <w:pPr>
        <w:spacing w:after="0"/>
        <w:rPr>
          <w:rFonts w:eastAsia="Aptos"/>
          <w:b/>
          <w:bCs/>
          <w:noProof/>
          <w:lang w:val="en-IE"/>
        </w:rPr>
      </w:pPr>
    </w:p>
    <w:sectPr w:rsidR="00CE7634" w:rsidSect="007038A3">
      <w:headerReference w:type="even" r:id="rId20"/>
      <w:headerReference w:type="default" r:id="rId21"/>
      <w:footerReference w:type="even" r:id="rId22"/>
      <w:footerReference w:type="default" r:id="rId23"/>
      <w:headerReference w:type="first" r:id="rId24"/>
      <w:footerReference w:type="first" r:id="rId25"/>
      <w:endnotePr>
        <w:numFmt w:val="lowerLetter"/>
      </w:endnotePr>
      <w:pgSz w:w="11906" w:h="16838"/>
      <w:pgMar w:top="1020" w:right="1701" w:bottom="1020" w:left="1587" w:header="601" w:footer="107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264C3D" w14:textId="77777777" w:rsidR="000F4699" w:rsidRDefault="000F4699">
      <w:pPr>
        <w:spacing w:after="0"/>
      </w:pPr>
      <w:r>
        <w:separator/>
      </w:r>
    </w:p>
  </w:endnote>
  <w:endnote w:type="continuationSeparator" w:id="0">
    <w:p w14:paraId="3709306B" w14:textId="77777777" w:rsidR="000F4699" w:rsidRDefault="000F4699">
      <w:pPr>
        <w:spacing w:after="0"/>
      </w:pPr>
      <w:r>
        <w:continuationSeparator/>
      </w:r>
    </w:p>
  </w:endnote>
  <w:endnote w:type="continuationNotice" w:id="1">
    <w:p w14:paraId="0DBED772" w14:textId="77777777" w:rsidR="000F4699" w:rsidRDefault="000F469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25DC1" w14:textId="09B57BDF" w:rsidR="00421D6B" w:rsidRPr="00421D6B" w:rsidRDefault="00421D6B" w:rsidP="00421D6B">
    <w:pPr>
      <w:pStyle w:val="FooterCoverPage"/>
      <w:rPr>
        <w:rFonts w:ascii="Arial" w:hAnsi="Arial" w:cs="Arial"/>
        <w:b/>
        <w:sz w:val="48"/>
      </w:rPr>
    </w:pPr>
    <w:r w:rsidRPr="00421D6B">
      <w:rPr>
        <w:rFonts w:ascii="Arial" w:hAnsi="Arial" w:cs="Arial"/>
        <w:b/>
        <w:sz w:val="48"/>
      </w:rPr>
      <w:t>RO</w:t>
    </w:r>
    <w:r w:rsidRPr="00421D6B">
      <w:rPr>
        <w:rFonts w:ascii="Arial" w:hAnsi="Arial" w:cs="Arial"/>
        <w:b/>
        <w:sz w:val="48"/>
      </w:rPr>
      <w:tab/>
    </w:r>
    <w:r w:rsidRPr="00421D6B">
      <w:rPr>
        <w:rFonts w:ascii="Arial" w:hAnsi="Arial" w:cs="Arial"/>
        <w:b/>
        <w:sz w:val="48"/>
      </w:rPr>
      <w:tab/>
    </w:r>
    <w:r w:rsidRPr="00421D6B">
      <w:tab/>
    </w:r>
    <w:r w:rsidRPr="00421D6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4E067" w14:textId="32ED6469" w:rsidR="00421D6B" w:rsidRPr="00421D6B" w:rsidRDefault="00421D6B" w:rsidP="00421D6B">
    <w:pPr>
      <w:pStyle w:val="FooterCoverPage"/>
      <w:rPr>
        <w:rFonts w:ascii="Arial" w:hAnsi="Arial" w:cs="Arial"/>
        <w:b/>
        <w:sz w:val="48"/>
      </w:rPr>
    </w:pPr>
    <w:r w:rsidRPr="00421D6B">
      <w:rPr>
        <w:rFonts w:ascii="Arial" w:hAnsi="Arial" w:cs="Arial"/>
        <w:b/>
        <w:sz w:val="48"/>
      </w:rPr>
      <w:t>RO</w:t>
    </w:r>
    <w:r w:rsidRPr="00421D6B">
      <w:rPr>
        <w:rFonts w:ascii="Arial" w:hAnsi="Arial" w:cs="Arial"/>
        <w:b/>
        <w:sz w:val="48"/>
      </w:rPr>
      <w:tab/>
    </w:r>
    <w:r w:rsidRPr="00421D6B">
      <w:rPr>
        <w:rFonts w:ascii="Arial" w:hAnsi="Arial" w:cs="Arial"/>
        <w:b/>
        <w:sz w:val="48"/>
      </w:rPr>
      <w:tab/>
    </w:r>
    <w:r w:rsidRPr="00421D6B">
      <w:tab/>
    </w:r>
    <w:r w:rsidRPr="00421D6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BE1CA" w14:textId="77777777" w:rsidR="00421D6B" w:rsidRPr="00421D6B" w:rsidRDefault="00421D6B" w:rsidP="00421D6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A26D5" w14:textId="77777777" w:rsidR="00C47C8C" w:rsidRDefault="00C47C8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3596577"/>
      <w:docPartObj>
        <w:docPartGallery w:val="Page Numbers (Bottom of Page)"/>
        <w:docPartUnique/>
      </w:docPartObj>
    </w:sdtPr>
    <w:sdtEndPr>
      <w:rPr>
        <w:noProof/>
      </w:rPr>
    </w:sdtEndPr>
    <w:sdtContent>
      <w:p w14:paraId="0D8E5916" w14:textId="48029E15" w:rsidR="006E4B2A" w:rsidRDefault="006E4B2A">
        <w:pPr>
          <w:pStyle w:val="Footer"/>
          <w:jc w:val="right"/>
        </w:pPr>
        <w:r>
          <w:fldChar w:fldCharType="begin"/>
        </w:r>
        <w:r>
          <w:instrText xml:space="preserve"> PAGE   \* MERGEFORMAT </w:instrText>
        </w:r>
        <w:r>
          <w:fldChar w:fldCharType="separate"/>
        </w:r>
        <w:r w:rsidR="00421D6B">
          <w:rPr>
            <w:noProof/>
          </w:rPr>
          <w:t>9</w:t>
        </w:r>
        <w:r>
          <w:fldChar w:fldCharType="end"/>
        </w:r>
      </w:p>
    </w:sdtContent>
  </w:sdt>
  <w:p w14:paraId="2F5C7CE8" w14:textId="77777777" w:rsidR="00C47C8C" w:rsidRDefault="00C47C8C" w:rsidP="30C6EFA1">
    <w:pPr>
      <w:pStyle w:val="Footer"/>
      <w:rPr>
        <w:sz w:val="20"/>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3797014"/>
      <w:docPartObj>
        <w:docPartGallery w:val="Page Numbers (Bottom of Page)"/>
        <w:docPartUnique/>
      </w:docPartObj>
    </w:sdtPr>
    <w:sdtEndPr>
      <w:rPr>
        <w:noProof/>
      </w:rPr>
    </w:sdtEndPr>
    <w:sdtContent>
      <w:p w14:paraId="122D09CA" w14:textId="31B32698" w:rsidR="005473A4" w:rsidRDefault="005473A4">
        <w:pPr>
          <w:pStyle w:val="Footer"/>
          <w:jc w:val="right"/>
        </w:pPr>
        <w:r>
          <w:fldChar w:fldCharType="begin"/>
        </w:r>
        <w:r>
          <w:instrText xml:space="preserve"> PAGE   \* MERGEFORMAT </w:instrText>
        </w:r>
        <w:r>
          <w:fldChar w:fldCharType="separate"/>
        </w:r>
        <w:r w:rsidR="00421D6B">
          <w:rPr>
            <w:noProof/>
          </w:rPr>
          <w:t>1</w:t>
        </w:r>
        <w:r>
          <w:fldChar w:fldCharType="end"/>
        </w:r>
      </w:p>
    </w:sdtContent>
  </w:sdt>
  <w:p w14:paraId="51776832" w14:textId="77777777" w:rsidR="00C47C8C" w:rsidRDefault="00C47C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62773D" w14:textId="77777777" w:rsidR="000F4699" w:rsidRDefault="000F4699">
      <w:pPr>
        <w:spacing w:after="0"/>
      </w:pPr>
      <w:r>
        <w:separator/>
      </w:r>
    </w:p>
  </w:footnote>
  <w:footnote w:type="continuationSeparator" w:id="0">
    <w:p w14:paraId="738C33CA" w14:textId="77777777" w:rsidR="000F4699" w:rsidRDefault="000F4699">
      <w:pPr>
        <w:spacing w:after="0"/>
      </w:pPr>
      <w:r>
        <w:continuationSeparator/>
      </w:r>
    </w:p>
  </w:footnote>
  <w:footnote w:type="continuationNotice" w:id="1">
    <w:p w14:paraId="29D51648" w14:textId="77777777" w:rsidR="000F4699" w:rsidRDefault="000F4699">
      <w:pPr>
        <w:spacing w:after="0"/>
      </w:pPr>
    </w:p>
  </w:footnote>
  <w:footnote w:id="2">
    <w:p w14:paraId="73F1447B" w14:textId="566A3D65" w:rsidR="00FC4FC1" w:rsidRPr="00F63C4A" w:rsidRDefault="00FC4FC1" w:rsidP="00FC4FC1">
      <w:pPr>
        <w:pStyle w:val="FootnoteText"/>
        <w:spacing w:after="0"/>
        <w:rPr>
          <w:sz w:val="18"/>
          <w:szCs w:val="18"/>
        </w:rPr>
      </w:pPr>
      <w:r>
        <w:rPr>
          <w:rStyle w:val="FootnoteReference"/>
          <w:sz w:val="18"/>
          <w:szCs w:val="18"/>
        </w:rPr>
        <w:footnoteRef/>
      </w:r>
      <w:r>
        <w:tab/>
      </w:r>
      <w:r>
        <w:rPr>
          <w:sz w:val="18"/>
        </w:rPr>
        <w:t xml:space="preserve">Alimentația reprezintă o componentă esențială a bioeconomiei și se află în centrul Viziunii pentru agricultură și sectorul alimentar. Deși aceasta nu constituie obiectivul principal al acestei strategii, o serie dintre acțiunile sale sprijină inovarea în sectorul alimentar și completează politicile UE privind sistemele alimentare durabile. </w:t>
      </w:r>
    </w:p>
  </w:footnote>
  <w:footnote w:id="3">
    <w:p w14:paraId="0EC449B1" w14:textId="4584ADF9" w:rsidR="009650AB" w:rsidRPr="00E309F1" w:rsidRDefault="009650AB" w:rsidP="00FF0551">
      <w:pPr>
        <w:pStyle w:val="FootnoteText"/>
        <w:widowControl w:val="0"/>
        <w:spacing w:after="0"/>
        <w:rPr>
          <w:sz w:val="18"/>
          <w:szCs w:val="18"/>
        </w:rPr>
      </w:pPr>
      <w:r>
        <w:rPr>
          <w:rStyle w:val="FootnoteReference"/>
          <w:sz w:val="18"/>
          <w:szCs w:val="18"/>
        </w:rPr>
        <w:footnoteRef/>
      </w:r>
      <w:r>
        <w:tab/>
      </w:r>
      <w:r>
        <w:rPr>
          <w:sz w:val="18"/>
        </w:rPr>
        <w:t>Strategia utilizează următorii termeni: (1) „Resursele biologice” includ resursele genetice, organismele sau părțile acestora, populațiile sau orice alte componente biotice ale ecosistemelor având o utilizare sau o valoare efectivă sau potențială pentru umanitate (Convenția privind biodiversitatea). (2) Resursele biologice includ, de asemenea, „biomasa”: „«biomasă» înseamnă fracțiunea biodegradabilă a produselor, a deșeurilor și a reziduurilor de origine biologică din agricultură, inclusiv substanțele vegetale și animale, din silvicultură și din industriile conexe, inclusiv pescuitul și acvacultura, precum și fracțiunea biodegradabilă a deșeurilor, inclusiv a deșeurilor industriale și municipale de origine biologică.” (considerentul 24 din Directiva privind energia din surse regenerabile) (3) „din bioresurse = derivat din biomasă. Este posibil ca biomasa să fi fost supusă unui (unor) tratament(e) fizic(e), chimic(e) sau biologic(e).” [Comitetul European de Standardizare (punctul 2.1)].</w:t>
      </w:r>
    </w:p>
  </w:footnote>
  <w:footnote w:id="4">
    <w:p w14:paraId="1B4BC6B9" w14:textId="56C395D6" w:rsidR="00202881" w:rsidRPr="00E309F1" w:rsidRDefault="00202881" w:rsidP="00E309F1">
      <w:pPr>
        <w:pStyle w:val="FootnoteText"/>
        <w:spacing w:after="0"/>
        <w:rPr>
          <w:sz w:val="18"/>
          <w:szCs w:val="18"/>
        </w:rPr>
      </w:pPr>
      <w:r>
        <w:rPr>
          <w:rStyle w:val="FootnoteReference"/>
          <w:sz w:val="18"/>
          <w:szCs w:val="18"/>
        </w:rPr>
        <w:footnoteRef/>
      </w:r>
      <w:r>
        <w:tab/>
      </w:r>
      <w:r>
        <w:rPr>
          <w:sz w:val="18"/>
        </w:rPr>
        <w:t>Prezenta strategie utilizează termenul „defosilizare” ca o recunoaștere a faptului că materialele sunt constituite din carbon.</w:t>
      </w:r>
    </w:p>
  </w:footnote>
  <w:footnote w:id="5">
    <w:p w14:paraId="45135C42" w14:textId="4DE0D628" w:rsidR="009650AB" w:rsidRPr="00E309F1" w:rsidRDefault="009650AB" w:rsidP="00E309F1">
      <w:pPr>
        <w:pStyle w:val="FootnoteText"/>
        <w:widowControl w:val="0"/>
        <w:spacing w:after="0"/>
        <w:rPr>
          <w:sz w:val="18"/>
          <w:szCs w:val="18"/>
        </w:rPr>
      </w:pPr>
      <w:r>
        <w:rPr>
          <w:sz w:val="18"/>
          <w:szCs w:val="18"/>
          <w:vertAlign w:val="superscript"/>
        </w:rPr>
        <w:footnoteRef/>
      </w:r>
      <w:r>
        <w:rPr>
          <w:sz w:val="18"/>
          <w:vertAlign w:val="superscript"/>
        </w:rPr>
        <w:t xml:space="preserve"> </w:t>
      </w:r>
      <w:r>
        <w:tab/>
      </w:r>
      <w:r>
        <w:rPr>
          <w:sz w:val="18"/>
        </w:rPr>
        <w:t xml:space="preserve">COM(2025) 500 final, O strategie pentru crearea unei piețe unice simple, solide și pe deplin integrate. </w:t>
      </w:r>
    </w:p>
  </w:footnote>
  <w:footnote w:id="6">
    <w:p w14:paraId="12C71A89" w14:textId="72DDB7D5" w:rsidR="009650AB" w:rsidRPr="00E309F1" w:rsidRDefault="009650AB" w:rsidP="1CFD9F8D">
      <w:pPr>
        <w:pStyle w:val="FootnoteText"/>
        <w:widowControl w:val="0"/>
        <w:spacing w:after="0"/>
        <w:rPr>
          <w:sz w:val="18"/>
          <w:szCs w:val="18"/>
          <w:highlight w:val="yellow"/>
        </w:rPr>
      </w:pPr>
      <w:r>
        <w:rPr>
          <w:sz w:val="18"/>
          <w:szCs w:val="18"/>
          <w:vertAlign w:val="superscript"/>
        </w:rPr>
        <w:footnoteRef/>
      </w:r>
      <w:r>
        <w:tab/>
      </w:r>
      <w:r>
        <w:rPr>
          <w:sz w:val="18"/>
        </w:rPr>
        <w:t>Mubareka, S.B. și Renner A. (editori), „</w:t>
      </w:r>
      <w:r>
        <w:rPr>
          <w:i/>
          <w:sz w:val="18"/>
        </w:rPr>
        <w:t>EU Biomass supply, uses, governance and regenerative actions – 10 years anniversary edition</w:t>
      </w:r>
      <w:r>
        <w:rPr>
          <w:sz w:val="18"/>
        </w:rPr>
        <w:t>” (Aprovizionarea cu biomasă în UE, utilizări, guvernanță și acțiuni regenerative – a 10-a aniversare), Oficiul pentru Publicații al Uniunii Europene, Luxemburg, 2025</w:t>
      </w:r>
      <w:r>
        <w:t>.</w:t>
      </w:r>
      <w:r>
        <w:rPr>
          <w:sz w:val="18"/>
        </w:rPr>
        <w:t xml:space="preserve"> </w:t>
      </w:r>
    </w:p>
  </w:footnote>
  <w:footnote w:id="7">
    <w:p w14:paraId="7B51A2FA" w14:textId="6FEC4923" w:rsidR="69F01097" w:rsidRPr="00E309F1" w:rsidRDefault="69F01097" w:rsidP="00E309F1">
      <w:pPr>
        <w:pStyle w:val="FootnoteText"/>
        <w:widowControl w:val="0"/>
        <w:spacing w:after="0"/>
        <w:rPr>
          <w:sz w:val="18"/>
          <w:szCs w:val="18"/>
        </w:rPr>
      </w:pPr>
      <w:r>
        <w:rPr>
          <w:sz w:val="18"/>
          <w:szCs w:val="18"/>
          <w:vertAlign w:val="superscript"/>
        </w:rPr>
        <w:footnoteRef/>
      </w:r>
      <w:r>
        <w:rPr>
          <w:sz w:val="18"/>
        </w:rPr>
        <w:t xml:space="preserve"> </w:t>
      </w:r>
      <w:r>
        <w:tab/>
      </w:r>
      <w:r>
        <w:rPr>
          <w:sz w:val="18"/>
        </w:rPr>
        <w:t>Lasarte-López, J., M’barek, R. (2025). „</w:t>
      </w:r>
      <w:r>
        <w:rPr>
          <w:i/>
          <w:sz w:val="18"/>
        </w:rPr>
        <w:t>The EU bioeconomy at a glance:</w:t>
      </w:r>
      <w:r>
        <w:rPr>
          <w:sz w:val="18"/>
        </w:rPr>
        <w:t xml:space="preserve"> </w:t>
      </w:r>
      <w:r>
        <w:rPr>
          <w:i/>
          <w:sz w:val="18"/>
        </w:rPr>
        <w:t>Focus on economic value added, employment and innovation</w:t>
      </w:r>
      <w:r>
        <w:rPr>
          <w:sz w:val="18"/>
        </w:rPr>
        <w:t>” (Bioeconomia UE pe scurt: axarea pe valoarea adăugată economică, ocuparea forței de muncă și inovare). Comisia Europeană, Sevilla, 2025. JRC143759.</w:t>
      </w:r>
    </w:p>
  </w:footnote>
  <w:footnote w:id="8">
    <w:p w14:paraId="2E2564CA" w14:textId="665562B6" w:rsidR="00145002" w:rsidRPr="00C66253" w:rsidRDefault="00145002" w:rsidP="005C2FC0">
      <w:pPr>
        <w:pStyle w:val="FootnoteText"/>
        <w:spacing w:after="0"/>
      </w:pPr>
      <w:r>
        <w:rPr>
          <w:rStyle w:val="FootnoteReference"/>
        </w:rPr>
        <w:footnoteRef/>
      </w:r>
      <w:r>
        <w:tab/>
      </w:r>
      <w:r>
        <w:rPr>
          <w:sz w:val="18"/>
        </w:rPr>
        <w:t>Atunci când sunt luate în considerare și activitățile de servicii, dimensiunea tuturor sectoarelor relevante pentru bioeconomie crește substanțial. Potrivit estimărilor JRC, sectoarele relevante pentru bioeconomie au creat între 42 și 60 de milioane de locuri de muncă în 2023 (19-28 % din totalul locurilor de muncă) și au generat o valoare adăugată cuprinsă între 1,9 și 2,7 mii de miliarde EUR (aproximativ 11-16 % din PIB-ul UE).</w:t>
      </w:r>
    </w:p>
  </w:footnote>
  <w:footnote w:id="9">
    <w:p w14:paraId="05E64D48" w14:textId="135A4ED8" w:rsidR="009650AB" w:rsidRPr="00E309F1" w:rsidRDefault="009650AB" w:rsidP="00E309F1">
      <w:pPr>
        <w:pStyle w:val="FootnoteText"/>
        <w:widowControl w:val="0"/>
        <w:spacing w:after="0"/>
        <w:rPr>
          <w:sz w:val="18"/>
          <w:szCs w:val="18"/>
        </w:rPr>
      </w:pPr>
      <w:r>
        <w:rPr>
          <w:sz w:val="18"/>
          <w:szCs w:val="18"/>
          <w:vertAlign w:val="superscript"/>
        </w:rPr>
        <w:footnoteRef/>
      </w:r>
      <w:r>
        <w:rPr>
          <w:sz w:val="18"/>
        </w:rPr>
        <w:t xml:space="preserve"> </w:t>
      </w:r>
      <w:r>
        <w:tab/>
      </w:r>
      <w:r>
        <w:rPr>
          <w:sz w:val="18"/>
        </w:rPr>
        <w:t>Conform IRP, Global Resources Outlook, 2024, cererea globală de biomasă a crescut de la 12,6 miliarde de tone în 1970 la 24,8 miliarde de tone în 2020.</w:t>
      </w:r>
    </w:p>
  </w:footnote>
  <w:footnote w:id="10">
    <w:p w14:paraId="6F2F6B64" w14:textId="4D05BD06" w:rsidR="009650AB" w:rsidRPr="00E309F1" w:rsidRDefault="009650AB" w:rsidP="00E309F1">
      <w:pPr>
        <w:pStyle w:val="FootnoteText"/>
        <w:widowControl w:val="0"/>
        <w:spacing w:after="0"/>
        <w:rPr>
          <w:sz w:val="18"/>
          <w:szCs w:val="18"/>
        </w:rPr>
      </w:pPr>
      <w:r>
        <w:rPr>
          <w:sz w:val="18"/>
          <w:szCs w:val="18"/>
          <w:vertAlign w:val="superscript"/>
        </w:rPr>
        <w:footnoteRef/>
      </w:r>
      <w:r>
        <w:tab/>
      </w:r>
      <w:r>
        <w:rPr>
          <w:sz w:val="18"/>
        </w:rPr>
        <w:t>Pe baza Lasarte-López, M’barek (2025)</w:t>
      </w:r>
      <w:r>
        <w:t>.</w:t>
      </w:r>
      <w:r>
        <w:rPr>
          <w:sz w:val="18"/>
        </w:rPr>
        <w:fldChar w:fldCharType="begin"/>
      </w:r>
      <w:r>
        <w:rPr>
          <w:sz w:val="18"/>
        </w:rPr>
        <w:instrText>https://knowledge4policy.ec.europa.eu/sites/default/files/bioeconomics_infographic_update_2022_0.pdf</w:instrText>
      </w:r>
      <w:r>
        <w:rPr>
          <w:sz w:val="18"/>
        </w:rPr>
        <w:fldChar w:fldCharType="separate"/>
      </w:r>
      <w:r>
        <w:rPr>
          <w:sz w:val="18"/>
        </w:rPr>
        <w:t>bioeconomy_infographic_update_updated with 2019 numbers-2</w:t>
      </w:r>
      <w:r>
        <w:rPr>
          <w:sz w:val="18"/>
        </w:rPr>
        <w:fldChar w:fldCharType="end"/>
      </w:r>
    </w:p>
  </w:footnote>
  <w:footnote w:id="11">
    <w:p w14:paraId="23E432F7" w14:textId="328837D7" w:rsidR="003D3EC4" w:rsidRPr="00EA19A8" w:rsidRDefault="003D3EC4" w:rsidP="003D3EC4">
      <w:pPr>
        <w:pStyle w:val="FootnoteText"/>
      </w:pPr>
      <w:r>
        <w:rPr>
          <w:rStyle w:val="FootnoteReference"/>
        </w:rPr>
        <w:footnoteRef/>
      </w:r>
      <w:r>
        <w:tab/>
      </w:r>
      <w:r>
        <w:rPr>
          <w:sz w:val="18"/>
        </w:rPr>
        <w:t>Pe baza Lasarte-López, M’barek (2025)</w:t>
      </w:r>
      <w:r>
        <w:t>.</w:t>
      </w:r>
    </w:p>
  </w:footnote>
  <w:footnote w:id="12">
    <w:p w14:paraId="05CAB248" w14:textId="56BEB8D4" w:rsidR="00F7009A" w:rsidRPr="00E309F1" w:rsidRDefault="00F7009A" w:rsidP="00E976BE">
      <w:pPr>
        <w:pStyle w:val="FootnoteText"/>
        <w:widowControl w:val="0"/>
        <w:spacing w:after="0"/>
        <w:contextualSpacing/>
        <w:rPr>
          <w:sz w:val="18"/>
          <w:szCs w:val="18"/>
        </w:rPr>
      </w:pPr>
      <w:r>
        <w:rPr>
          <w:sz w:val="18"/>
          <w:szCs w:val="18"/>
          <w:vertAlign w:val="superscript"/>
        </w:rPr>
        <w:footnoteRef/>
      </w:r>
      <w:r>
        <w:rPr>
          <w:sz w:val="18"/>
        </w:rPr>
        <w:t xml:space="preserve"> </w:t>
      </w:r>
      <w:r>
        <w:tab/>
      </w:r>
      <w:r>
        <w:rPr>
          <w:sz w:val="18"/>
        </w:rPr>
        <w:t>Grassano, N., M’Barek, R. și Gonzales Hermoso, H., „</w:t>
      </w:r>
      <w:r>
        <w:rPr>
          <w:i/>
          <w:sz w:val="18"/>
        </w:rPr>
        <w:t>Patenting in the Bioeconomy:</w:t>
      </w:r>
      <w:r>
        <w:rPr>
          <w:sz w:val="18"/>
        </w:rPr>
        <w:t xml:space="preserve"> </w:t>
      </w:r>
      <w:r>
        <w:rPr>
          <w:i/>
          <w:sz w:val="18"/>
        </w:rPr>
        <w:t>An Analysis of Trends and Patterns in the EU</w:t>
      </w:r>
      <w:r>
        <w:rPr>
          <w:sz w:val="18"/>
        </w:rPr>
        <w:t>” (Brevete în bioeconomie: o analiză a tendințelor și a modelelor în UE), Oficiul pentru Publicații al Uniunii Europene, Luxemburg, 2025.</w:t>
      </w:r>
    </w:p>
  </w:footnote>
  <w:footnote w:id="13">
    <w:p w14:paraId="155C742D" w14:textId="1BA26A92" w:rsidR="00A12877" w:rsidRPr="00DD0CEF" w:rsidRDefault="00DD0CEF" w:rsidP="00DD0CEF">
      <w:pPr>
        <w:pStyle w:val="FootnoteText"/>
        <w:spacing w:after="0"/>
        <w:contextualSpacing/>
        <w:rPr>
          <w:sz w:val="18"/>
          <w:szCs w:val="18"/>
        </w:rPr>
      </w:pPr>
      <w:r>
        <w:rPr>
          <w:rStyle w:val="FootnoteReference"/>
          <w:sz w:val="18"/>
          <w:szCs w:val="18"/>
        </w:rPr>
        <w:footnoteRef/>
      </w:r>
      <w:r>
        <w:rPr>
          <w:sz w:val="18"/>
        </w:rPr>
        <w:t xml:space="preserve">  </w:t>
      </w:r>
      <w:r>
        <w:tab/>
      </w:r>
      <w:r>
        <w:rPr>
          <w:sz w:val="18"/>
        </w:rPr>
        <w:t>Lasarte-López, J., M’barek, R. (2025). „</w:t>
      </w:r>
      <w:r>
        <w:rPr>
          <w:i/>
          <w:sz w:val="18"/>
        </w:rPr>
        <w:t>The EU bioeconomy at a glance:</w:t>
      </w:r>
      <w:r>
        <w:rPr>
          <w:sz w:val="18"/>
        </w:rPr>
        <w:t xml:space="preserve"> </w:t>
      </w:r>
      <w:r>
        <w:rPr>
          <w:i/>
          <w:sz w:val="18"/>
        </w:rPr>
        <w:t>Focus on economic value added, employment and innovation</w:t>
      </w:r>
      <w:r>
        <w:rPr>
          <w:sz w:val="18"/>
        </w:rPr>
        <w:t>” (Bioeconomia UE pe scurt: axarea pe valoarea adăugată economică, ocuparea forței de muncă și inovare). Comisia Europeană, Sevilla, 2025. JRC143759.</w:t>
      </w:r>
    </w:p>
  </w:footnote>
  <w:footnote w:id="14">
    <w:p w14:paraId="1AAB15FF" w14:textId="031691E4" w:rsidR="00861477" w:rsidRPr="00315884" w:rsidRDefault="00861477" w:rsidP="00E976BE">
      <w:pPr>
        <w:pStyle w:val="FootnoteText"/>
        <w:spacing w:after="0"/>
        <w:rPr>
          <w:sz w:val="18"/>
          <w:szCs w:val="18"/>
        </w:rPr>
      </w:pPr>
      <w:r>
        <w:rPr>
          <w:rStyle w:val="FootnoteReference"/>
          <w:sz w:val="18"/>
          <w:szCs w:val="18"/>
        </w:rPr>
        <w:footnoteRef/>
      </w:r>
      <w:r>
        <w:tab/>
      </w:r>
      <w:r>
        <w:rPr>
          <w:sz w:val="18"/>
        </w:rPr>
        <w:t>Amsterdam Data Collective, 2025, „</w:t>
      </w:r>
      <w:r>
        <w:rPr>
          <w:i/>
          <w:sz w:val="18"/>
        </w:rPr>
        <w:t>The Value of Biosolutions:</w:t>
      </w:r>
      <w:r>
        <w:rPr>
          <w:sz w:val="18"/>
        </w:rPr>
        <w:t xml:space="preserve"> </w:t>
      </w:r>
      <w:r>
        <w:rPr>
          <w:i/>
          <w:sz w:val="18"/>
        </w:rPr>
        <w:t>Growth and Prosperity to 2035 – Europe edition</w:t>
      </w:r>
      <w:r>
        <w:rPr>
          <w:sz w:val="18"/>
        </w:rPr>
        <w:t>” (Valoarea biosoluțiilor: creștere și prosperitate până în 2035 – ediția Europa).</w:t>
      </w:r>
    </w:p>
  </w:footnote>
  <w:footnote w:id="15">
    <w:p w14:paraId="7DA9EC94" w14:textId="19F113E0" w:rsidR="7C95D774" w:rsidRPr="00315884" w:rsidRDefault="7C95D774" w:rsidP="00E976BE">
      <w:pPr>
        <w:pStyle w:val="FootnoteText"/>
        <w:spacing w:after="0"/>
        <w:rPr>
          <w:sz w:val="18"/>
          <w:szCs w:val="18"/>
        </w:rPr>
      </w:pPr>
      <w:r>
        <w:rPr>
          <w:rStyle w:val="FootnoteReference"/>
        </w:rPr>
        <w:footnoteRef/>
      </w:r>
      <w:r>
        <w:rPr>
          <w:rStyle w:val="FootnoteReference"/>
        </w:rPr>
        <w:t xml:space="preserve"> </w:t>
      </w:r>
      <w:r>
        <w:rPr>
          <w:sz w:val="18"/>
        </w:rPr>
        <w:t xml:space="preserve"> JRC, 2025 „</w:t>
      </w:r>
      <w:r>
        <w:rPr>
          <w:i/>
          <w:sz w:val="18"/>
        </w:rPr>
        <w:t>The EU bioeconomy at a glance:</w:t>
      </w:r>
      <w:r>
        <w:rPr>
          <w:sz w:val="18"/>
        </w:rPr>
        <w:t xml:space="preserve"> </w:t>
      </w:r>
      <w:r>
        <w:rPr>
          <w:i/>
          <w:sz w:val="18"/>
        </w:rPr>
        <w:t>Focus on economic value added, employment and innovation</w:t>
      </w:r>
      <w:r>
        <w:rPr>
          <w:sz w:val="18"/>
        </w:rPr>
        <w:t>” (Bioeconomia UE pe scurt: axarea pe valoarea adăugată economică, ocuparea forței de muncă și inovare).</w:t>
      </w:r>
    </w:p>
  </w:footnote>
  <w:footnote w:id="16">
    <w:p w14:paraId="51567045" w14:textId="6583896E" w:rsidR="00F55FB3" w:rsidRPr="00315884" w:rsidRDefault="00F55FB3" w:rsidP="00E976BE">
      <w:pPr>
        <w:pStyle w:val="FootnoteText"/>
        <w:spacing w:after="0"/>
        <w:rPr>
          <w:sz w:val="18"/>
          <w:szCs w:val="18"/>
        </w:rPr>
      </w:pPr>
      <w:r>
        <w:rPr>
          <w:rStyle w:val="FootnoteReference"/>
          <w:sz w:val="18"/>
          <w:szCs w:val="18"/>
        </w:rPr>
        <w:footnoteRef/>
      </w:r>
      <w:r>
        <w:tab/>
      </w:r>
      <w:r>
        <w:rPr>
          <w:sz w:val="18"/>
        </w:rPr>
        <w:t>Grupul BEI, „</w:t>
      </w:r>
      <w:r>
        <w:rPr>
          <w:i/>
          <w:sz w:val="18"/>
        </w:rPr>
        <w:t>Investment gaps to achieve sustainable targets in the bioeconomy</w:t>
      </w:r>
      <w:r>
        <w:rPr>
          <w:sz w:val="18"/>
        </w:rPr>
        <w:t>” (Deficitele de investiții pentru atingerea obiectivelor durabile în bioeconomie), 2025.</w:t>
      </w:r>
    </w:p>
  </w:footnote>
  <w:footnote w:id="17">
    <w:p w14:paraId="4B970A58" w14:textId="77777777" w:rsidR="00086107" w:rsidRPr="00E309F1" w:rsidRDefault="00086107" w:rsidP="00E976BE">
      <w:pPr>
        <w:pStyle w:val="FootnoteText"/>
        <w:spacing w:after="0"/>
        <w:rPr>
          <w:sz w:val="18"/>
          <w:szCs w:val="18"/>
        </w:rPr>
      </w:pPr>
      <w:r>
        <w:rPr>
          <w:rStyle w:val="FootnoteReference"/>
          <w:sz w:val="18"/>
          <w:szCs w:val="18"/>
        </w:rPr>
        <w:footnoteRef/>
      </w:r>
      <w:r>
        <w:tab/>
      </w:r>
      <w:r>
        <w:rPr>
          <w:sz w:val="18"/>
        </w:rPr>
        <w:t>AEM, „</w:t>
      </w:r>
      <w:r>
        <w:rPr>
          <w:i/>
          <w:sz w:val="18"/>
        </w:rPr>
        <w:t>The European Biomass Puzzle</w:t>
      </w:r>
      <w:r>
        <w:rPr>
          <w:sz w:val="18"/>
        </w:rPr>
        <w:t xml:space="preserve">” (Puzzle-ul european al biomasei), 2023, </w:t>
      </w:r>
      <w:hyperlink w:anchor=":~:text=This%20report%20looks%20at%20how%20biomass%20can%20help,the%20use%20of%20biomass%20for%20different%20policy%20objectives." w:history="1">
        <w:r>
          <w:rPr>
            <w:rStyle w:val="Hyperlink"/>
            <w:i/>
            <w:sz w:val="18"/>
          </w:rPr>
          <w:t>The European Biomass Puzzle</w:t>
        </w:r>
        <w:r>
          <w:rPr>
            <w:rStyle w:val="Hyperlink"/>
            <w:sz w:val="18"/>
          </w:rPr>
          <w:t xml:space="preserve"> |</w:t>
        </w:r>
      </w:hyperlink>
      <w:hyperlink w:anchor=":~:text=This%20report%20looks%20at%20how%20biomass%20can%20help,the%20use%20of%20biomass%20for%20different%20policy%20objectives." w:history="1">
        <w:r>
          <w:rPr>
            <w:rStyle w:val="Hyperlink"/>
            <w:sz w:val="18"/>
          </w:rPr>
          <w:t xml:space="preserve"> Publicații |</w:t>
        </w:r>
      </w:hyperlink>
      <w:hyperlink w:anchor=":~:text=This%20report%20looks%20at%20how%20biomass%20can%20help,the%20use%20of%20biomass%20for%20different%20policy%20objectives." w:history="1">
        <w:r>
          <w:rPr>
            <w:rStyle w:val="Hyperlink"/>
            <w:sz w:val="18"/>
          </w:rPr>
          <w:t>Agenția Europeană de Mediu (AEM)</w:t>
        </w:r>
      </w:hyperlink>
      <w:r>
        <w:t>.</w:t>
      </w:r>
    </w:p>
  </w:footnote>
  <w:footnote w:id="18">
    <w:p w14:paraId="44CA1AA8" w14:textId="4A752446" w:rsidR="00861477" w:rsidRPr="00315884" w:rsidRDefault="00861477" w:rsidP="00E976BE">
      <w:pPr>
        <w:pStyle w:val="FootnoteText"/>
        <w:spacing w:after="0"/>
        <w:rPr>
          <w:sz w:val="18"/>
          <w:szCs w:val="18"/>
        </w:rPr>
      </w:pPr>
      <w:r>
        <w:rPr>
          <w:rStyle w:val="FootnoteReference"/>
          <w:sz w:val="18"/>
          <w:szCs w:val="18"/>
        </w:rPr>
        <w:footnoteRef/>
      </w:r>
      <w:r>
        <w:rPr>
          <w:sz w:val="18"/>
        </w:rPr>
        <w:t xml:space="preserve"> AEM, „</w:t>
      </w:r>
      <w:r>
        <w:rPr>
          <w:i/>
          <w:sz w:val="18"/>
        </w:rPr>
        <w:t>Europe’s Environment 2025 – Main Report:</w:t>
      </w:r>
      <w:r>
        <w:rPr>
          <w:sz w:val="18"/>
        </w:rPr>
        <w:t xml:space="preserve"> </w:t>
      </w:r>
      <w:r>
        <w:rPr>
          <w:i/>
          <w:sz w:val="18"/>
        </w:rPr>
        <w:t>Europe’s Environment and Climate:</w:t>
      </w:r>
      <w:r>
        <w:rPr>
          <w:sz w:val="18"/>
        </w:rPr>
        <w:t xml:space="preserve"> </w:t>
      </w:r>
      <w:r>
        <w:rPr>
          <w:i/>
          <w:sz w:val="18"/>
        </w:rPr>
        <w:t>knowledge for resilience, prosperity and sustainability</w:t>
      </w:r>
      <w:r>
        <w:rPr>
          <w:sz w:val="18"/>
        </w:rPr>
        <w:t xml:space="preserve">” (Mediul Europei 2025 – Raport principal: Mediul și clima în Europa: cunoștințe pentru reziliență, prosperitate și durabilitate). </w:t>
      </w:r>
    </w:p>
  </w:footnote>
  <w:footnote w:id="19">
    <w:p w14:paraId="4DFBE4B1" w14:textId="77777777" w:rsidR="00C96063" w:rsidRPr="00E309F1" w:rsidRDefault="00C96063" w:rsidP="00C96063">
      <w:pPr>
        <w:pStyle w:val="FootnoteText"/>
        <w:widowControl w:val="0"/>
        <w:spacing w:after="0"/>
        <w:rPr>
          <w:rFonts w:eastAsia="Aptos"/>
          <w:sz w:val="18"/>
          <w:szCs w:val="18"/>
        </w:rPr>
      </w:pPr>
      <w:r>
        <w:rPr>
          <w:rStyle w:val="FootnoteReference"/>
          <w:sz w:val="18"/>
          <w:szCs w:val="18"/>
        </w:rPr>
        <w:footnoteRef/>
      </w:r>
      <w:r>
        <w:rPr>
          <w:sz w:val="18"/>
        </w:rPr>
        <w:t xml:space="preserve"> </w:t>
      </w:r>
      <w:r>
        <w:tab/>
      </w:r>
      <w:r>
        <w:rPr>
          <w:sz w:val="18"/>
        </w:rPr>
        <w:t>Document de lucru al serviciilor Comisiei – „</w:t>
      </w:r>
      <w:r>
        <w:rPr>
          <w:i/>
          <w:sz w:val="18"/>
        </w:rPr>
        <w:t>Stakeholders consultation’s synopsis report and the public Consultation results on the</w:t>
      </w:r>
      <w:r>
        <w:rPr>
          <w:sz w:val="18"/>
        </w:rPr>
        <w:t xml:space="preserve"> </w:t>
      </w:r>
      <w:r>
        <w:rPr>
          <w:i/>
          <w:sz w:val="18"/>
        </w:rPr>
        <w:t>EU Have your Say</w:t>
      </w:r>
      <w:r>
        <w:rPr>
          <w:sz w:val="18"/>
        </w:rPr>
        <w:t xml:space="preserve"> </w:t>
      </w:r>
      <w:r>
        <w:rPr>
          <w:i/>
          <w:sz w:val="18"/>
        </w:rPr>
        <w:t>portal</w:t>
      </w:r>
      <w:r>
        <w:rPr>
          <w:sz w:val="18"/>
        </w:rPr>
        <w:t xml:space="preserve">” (Raportul de sinteză al consultării părților interesate și rezultatele consultării publice pe portalul UE «Exprimați-vă părerea»). </w:t>
      </w:r>
    </w:p>
  </w:footnote>
  <w:footnote w:id="20">
    <w:p w14:paraId="1143168B" w14:textId="794E0838" w:rsidR="00C96063" w:rsidRPr="00E309F1" w:rsidRDefault="00C96063" w:rsidP="00C96063">
      <w:pPr>
        <w:pStyle w:val="FootnoteText"/>
        <w:widowControl w:val="0"/>
        <w:spacing w:after="0"/>
        <w:rPr>
          <w:b/>
          <w:bCs/>
          <w:sz w:val="18"/>
          <w:szCs w:val="18"/>
        </w:rPr>
      </w:pPr>
      <w:r>
        <w:rPr>
          <w:rStyle w:val="FootnoteReference"/>
          <w:sz w:val="18"/>
          <w:szCs w:val="18"/>
        </w:rPr>
        <w:footnoteRef/>
      </w:r>
      <w:r>
        <w:tab/>
      </w:r>
      <w:r>
        <w:rPr>
          <w:sz w:val="18"/>
        </w:rPr>
        <w:t xml:space="preserve">COM(2012) 060 final Inovarea în scopul creșterii durabile: o bioeconomie pentru Europa. </w:t>
      </w:r>
    </w:p>
  </w:footnote>
  <w:footnote w:id="21">
    <w:p w14:paraId="55C48496" w14:textId="624DA00C" w:rsidR="00C96063" w:rsidRPr="00E309F1" w:rsidRDefault="00C96063" w:rsidP="00C96063">
      <w:pPr>
        <w:pStyle w:val="FootnoteText"/>
        <w:widowControl w:val="0"/>
        <w:spacing w:after="0"/>
        <w:rPr>
          <w:sz w:val="18"/>
          <w:szCs w:val="18"/>
        </w:rPr>
      </w:pPr>
      <w:r>
        <w:rPr>
          <w:rStyle w:val="FootnoteReference"/>
          <w:sz w:val="18"/>
          <w:szCs w:val="18"/>
        </w:rPr>
        <w:footnoteRef/>
      </w:r>
      <w:r>
        <w:tab/>
      </w:r>
      <w:r>
        <w:rPr>
          <w:sz w:val="18"/>
        </w:rPr>
        <w:t>COM(2018) 673 final O bioeconomie durabilă pentru Europa: consolidarea legăturii dintre economie, societate și mediu. Strategia actualizată a UE în domeniul bioeconomiei.</w:t>
      </w:r>
    </w:p>
  </w:footnote>
  <w:footnote w:id="22">
    <w:p w14:paraId="6F1F4585" w14:textId="77777777" w:rsidR="00C96063" w:rsidRPr="006F6E8F" w:rsidRDefault="00C96063" w:rsidP="00C96063">
      <w:pPr>
        <w:pStyle w:val="FootnoteText"/>
        <w:spacing w:after="0"/>
        <w:rPr>
          <w:sz w:val="18"/>
          <w:szCs w:val="18"/>
        </w:rPr>
      </w:pPr>
      <w:r>
        <w:rPr>
          <w:rStyle w:val="FootnoteReference"/>
          <w:sz w:val="18"/>
          <w:szCs w:val="18"/>
        </w:rPr>
        <w:footnoteRef/>
      </w:r>
      <w:r>
        <w:tab/>
      </w:r>
      <w:r>
        <w:rPr>
          <w:sz w:val="18"/>
        </w:rPr>
        <w:t>COM(2022) 283 final Bilanțul politicilor europene în domeniul bioeconomiei și evoluții viitoare</w:t>
      </w:r>
      <w:r>
        <w:t>.</w:t>
      </w:r>
      <w:r>
        <w:rPr>
          <w:sz w:val="18"/>
        </w:rPr>
        <w:t xml:space="preserve"> </w:t>
      </w:r>
    </w:p>
  </w:footnote>
  <w:footnote w:id="23">
    <w:p w14:paraId="47F86D3F" w14:textId="320542A1" w:rsidR="307A8193" w:rsidRPr="00E309F1" w:rsidRDefault="307A8193" w:rsidP="00E309F1">
      <w:pPr>
        <w:pStyle w:val="FootnoteText"/>
        <w:widowControl w:val="0"/>
        <w:spacing w:after="0"/>
        <w:rPr>
          <w:sz w:val="18"/>
          <w:szCs w:val="18"/>
        </w:rPr>
      </w:pPr>
      <w:r>
        <w:rPr>
          <w:rStyle w:val="FootnoteReference"/>
          <w:sz w:val="18"/>
          <w:szCs w:val="18"/>
        </w:rPr>
        <w:footnoteRef/>
      </w:r>
      <w:r>
        <w:rPr>
          <w:sz w:val="18"/>
        </w:rPr>
        <w:t xml:space="preserve"> </w:t>
      </w:r>
      <w:r>
        <w:tab/>
      </w:r>
      <w:r>
        <w:rPr>
          <w:sz w:val="18"/>
        </w:rPr>
        <w:t>Consiliul Uniunii Europene, „</w:t>
      </w:r>
      <w:r>
        <w:rPr>
          <w:i/>
          <w:sz w:val="18"/>
        </w:rPr>
        <w:t>Conclusions on the opportunities of the bioeconomy in the light of current challenges with special emphasis on rural areas</w:t>
      </w:r>
      <w:r>
        <w:rPr>
          <w:sz w:val="18"/>
        </w:rPr>
        <w:t xml:space="preserve">” (Concluzii privind oportunitățile bioeconomiei în lumina provocărilor actuale, cu un accent special pe zonele rurale), 2023. </w:t>
      </w:r>
    </w:p>
  </w:footnote>
  <w:footnote w:id="24">
    <w:p w14:paraId="2083E274" w14:textId="4CB580D3" w:rsidR="7CDFF561" w:rsidRPr="00E309F1" w:rsidRDefault="7CDFF561" w:rsidP="00E309F1">
      <w:pPr>
        <w:pStyle w:val="FootnoteText"/>
        <w:widowControl w:val="0"/>
        <w:spacing w:after="0"/>
        <w:rPr>
          <w:sz w:val="18"/>
          <w:szCs w:val="18"/>
        </w:rPr>
      </w:pPr>
      <w:r>
        <w:rPr>
          <w:sz w:val="18"/>
          <w:szCs w:val="18"/>
          <w:vertAlign w:val="superscript"/>
        </w:rPr>
        <w:footnoteRef/>
      </w:r>
      <w:r>
        <w:rPr>
          <w:sz w:val="18"/>
          <w:vertAlign w:val="superscript"/>
        </w:rPr>
        <w:t xml:space="preserve"> </w:t>
      </w:r>
      <w:r>
        <w:tab/>
      </w:r>
      <w:r>
        <w:rPr>
          <w:i/>
          <w:sz w:val="18"/>
        </w:rPr>
        <w:t>Jurnalul Oficial</w:t>
      </w:r>
      <w:r>
        <w:rPr>
          <w:sz w:val="18"/>
        </w:rPr>
        <w:t xml:space="preserve">, JO C 2024 400 I, p. 1. </w:t>
      </w:r>
    </w:p>
  </w:footnote>
  <w:footnote w:id="25">
    <w:p w14:paraId="7E934A70" w14:textId="08957B1A" w:rsidR="0CF9AC52" w:rsidRPr="00E309F1" w:rsidRDefault="0CF9AC52" w:rsidP="00E309F1">
      <w:pPr>
        <w:pStyle w:val="FootnoteText"/>
        <w:widowControl w:val="0"/>
        <w:spacing w:after="0"/>
        <w:rPr>
          <w:rFonts w:eastAsia="Aptos"/>
          <w:sz w:val="18"/>
          <w:szCs w:val="18"/>
        </w:rPr>
      </w:pPr>
      <w:r>
        <w:rPr>
          <w:sz w:val="18"/>
          <w:szCs w:val="18"/>
          <w:vertAlign w:val="superscript"/>
        </w:rPr>
        <w:footnoteRef/>
      </w:r>
      <w:r>
        <w:rPr>
          <w:sz w:val="18"/>
          <w:vertAlign w:val="superscript"/>
        </w:rPr>
        <w:t xml:space="preserve"> </w:t>
      </w:r>
      <w:r>
        <w:tab/>
      </w:r>
      <w:r>
        <w:rPr>
          <w:sz w:val="18"/>
        </w:rPr>
        <w:t>Parlamentul European, Rezoluția referitoare la viitorul sectorului biotehnologiei și al producției biotehnologice: valorificarea cercetării, stimularea inovării și creșterea competitivității, 2025. Comitetul Regiunilor și Comitetul Economic și Social European au emis, de asemenea, avize privind bioeconomia.</w:t>
      </w:r>
    </w:p>
  </w:footnote>
  <w:footnote w:id="26">
    <w:p w14:paraId="4306A552" w14:textId="4BF65A87" w:rsidR="009650AB" w:rsidRPr="00E309F1" w:rsidRDefault="009650AB" w:rsidP="1CFD9F8D">
      <w:pPr>
        <w:pStyle w:val="FootnoteText"/>
        <w:spacing w:after="0"/>
        <w:rPr>
          <w:sz w:val="18"/>
          <w:szCs w:val="18"/>
        </w:rPr>
      </w:pPr>
      <w:r>
        <w:rPr>
          <w:rStyle w:val="FootnoteReference"/>
          <w:sz w:val="18"/>
          <w:szCs w:val="18"/>
        </w:rPr>
        <w:footnoteRef/>
      </w:r>
      <w:r>
        <w:rPr>
          <w:rStyle w:val="FootnoteReference"/>
          <w:sz w:val="18"/>
        </w:rPr>
        <w:t xml:space="preserve"> </w:t>
      </w:r>
      <w:r>
        <w:tab/>
      </w:r>
      <w:r>
        <w:rPr>
          <w:sz w:val="18"/>
        </w:rPr>
        <w:t>Lasarte-López, J., M’barek, R. (2025). „</w:t>
      </w:r>
      <w:r>
        <w:rPr>
          <w:i/>
          <w:sz w:val="18"/>
        </w:rPr>
        <w:t>The EU bioeconomy at a glance:</w:t>
      </w:r>
      <w:r>
        <w:rPr>
          <w:sz w:val="18"/>
        </w:rPr>
        <w:t xml:space="preserve"> </w:t>
      </w:r>
      <w:r>
        <w:rPr>
          <w:i/>
          <w:sz w:val="18"/>
        </w:rPr>
        <w:t>Focus on economic value added, employment and innovation</w:t>
      </w:r>
      <w:r>
        <w:rPr>
          <w:sz w:val="18"/>
        </w:rPr>
        <w:t>” (Bioeconomia UE pe scurt: axarea pe valoarea adăugată economică, ocuparea forței de muncă și inovare). Comisia Europeană, Sevilla, 2025. JRC143759.</w:t>
      </w:r>
    </w:p>
  </w:footnote>
  <w:footnote w:id="27">
    <w:p w14:paraId="3FC32C66" w14:textId="77777777" w:rsidR="00CE0CC8" w:rsidRPr="00E309F1" w:rsidRDefault="00CE0CC8" w:rsidP="00CE0CC8">
      <w:pPr>
        <w:pStyle w:val="FootnoteText"/>
        <w:widowControl w:val="0"/>
        <w:spacing w:after="0"/>
        <w:rPr>
          <w:sz w:val="18"/>
          <w:szCs w:val="18"/>
        </w:rPr>
      </w:pPr>
      <w:r>
        <w:rPr>
          <w:rStyle w:val="FootnoteReference"/>
          <w:sz w:val="18"/>
          <w:szCs w:val="18"/>
        </w:rPr>
        <w:footnoteRef/>
      </w:r>
      <w:r>
        <w:rPr>
          <w:rStyle w:val="FootnoteReference"/>
          <w:sz w:val="18"/>
        </w:rPr>
        <w:t xml:space="preserve"> </w:t>
      </w:r>
      <w:r>
        <w:tab/>
      </w:r>
      <w:r>
        <w:rPr>
          <w:sz w:val="18"/>
        </w:rPr>
        <w:t>Agenția Europeană pentru Produse Chimice (ECHA), „</w:t>
      </w:r>
      <w:r>
        <w:rPr>
          <w:i/>
          <w:sz w:val="18"/>
        </w:rPr>
        <w:t>Bio-Based Chemicals in REACH</w:t>
      </w:r>
      <w:r>
        <w:rPr>
          <w:sz w:val="18"/>
        </w:rPr>
        <w:t>” (Bioproduse chimice în cadrul REACH), 2023.</w:t>
      </w:r>
    </w:p>
  </w:footnote>
  <w:footnote w:id="28">
    <w:p w14:paraId="5443AC69" w14:textId="64380B80" w:rsidR="00385034" w:rsidRPr="006F6E8F" w:rsidRDefault="00385034" w:rsidP="003F2A44">
      <w:pPr>
        <w:pStyle w:val="FootnoteText"/>
        <w:spacing w:after="0"/>
        <w:rPr>
          <w:sz w:val="18"/>
          <w:szCs w:val="18"/>
        </w:rPr>
      </w:pPr>
      <w:r>
        <w:rPr>
          <w:rStyle w:val="FootnoteReference"/>
          <w:sz w:val="18"/>
          <w:szCs w:val="18"/>
        </w:rPr>
        <w:footnoteRef/>
      </w:r>
      <w:r>
        <w:tab/>
      </w:r>
      <w:r>
        <w:rPr>
          <w:sz w:val="18"/>
        </w:rPr>
        <w:t>Grupul BEI, „</w:t>
      </w:r>
      <w:r>
        <w:rPr>
          <w:i/>
          <w:sz w:val="18"/>
        </w:rPr>
        <w:t>Scaling up Europe’s Bio-based industries</w:t>
      </w:r>
      <w:r>
        <w:rPr>
          <w:sz w:val="18"/>
        </w:rPr>
        <w:t>” (Extinderea industriilor Europei bazate pe conceptul bio), 2025</w:t>
      </w:r>
      <w:r>
        <w:t>.</w:t>
      </w:r>
    </w:p>
  </w:footnote>
  <w:footnote w:id="29">
    <w:p w14:paraId="01E3C632" w14:textId="44FBBFEA" w:rsidR="00015D32" w:rsidRDefault="00015D32" w:rsidP="00015D32">
      <w:pPr>
        <w:pStyle w:val="FootnoteText"/>
      </w:pPr>
      <w:r>
        <w:rPr>
          <w:rStyle w:val="FootnoteReference"/>
        </w:rPr>
        <w:footnoteRef/>
      </w:r>
      <w:r>
        <w:tab/>
        <w:t>Contramăsuri medicale (MCM).</w:t>
      </w:r>
    </w:p>
  </w:footnote>
  <w:footnote w:id="30">
    <w:p w14:paraId="2E53A9A1" w14:textId="095B9219" w:rsidR="00B32C53" w:rsidRPr="00C66253" w:rsidRDefault="00B32C53">
      <w:pPr>
        <w:pStyle w:val="FootnoteText"/>
      </w:pPr>
      <w:r>
        <w:rPr>
          <w:rStyle w:val="FootnoteReference"/>
        </w:rPr>
        <w:footnoteRef/>
      </w:r>
      <w:r>
        <w:tab/>
        <w:t>Sinteză politică a JRC, „</w:t>
      </w:r>
      <w:r>
        <w:rPr>
          <w:i/>
        </w:rPr>
        <w:t>Biomass supply and demand in the EU 2012-2022</w:t>
      </w:r>
      <w:r>
        <w:t>” (Oferta și cererea de biomasă în UE 2012-2022).</w:t>
      </w:r>
    </w:p>
  </w:footnote>
  <w:footnote w:id="31">
    <w:p w14:paraId="48C7C7B0" w14:textId="60A88A0B" w:rsidR="00937368" w:rsidRPr="00EA19A8" w:rsidRDefault="00937368" w:rsidP="00937368">
      <w:pPr>
        <w:pStyle w:val="FootnoteText"/>
      </w:pPr>
      <w:r>
        <w:rPr>
          <w:rStyle w:val="FootnoteReference"/>
        </w:rPr>
        <w:footnoteRef/>
      </w:r>
      <w:r>
        <w:tab/>
      </w:r>
      <w:r>
        <w:rPr>
          <w:sz w:val="18"/>
        </w:rPr>
        <w:t>SINKKO, T., CASONATO, C., VALENZANO, A., WIERZGALA, P. și LISTORTI, G., „</w:t>
      </w:r>
      <w:r>
        <w:rPr>
          <w:i/>
          <w:sz w:val="18"/>
        </w:rPr>
        <w:t>Substituting conventional products with bioeconomy innovations:</w:t>
      </w:r>
      <w:r>
        <w:rPr>
          <w:sz w:val="18"/>
        </w:rPr>
        <w:t xml:space="preserve"> </w:t>
      </w:r>
      <w:r>
        <w:rPr>
          <w:i/>
          <w:sz w:val="18"/>
        </w:rPr>
        <w:t>analysis of potential environmental impacts using a Life Cycle Assessment perspective</w:t>
      </w:r>
      <w:r>
        <w:rPr>
          <w:sz w:val="18"/>
        </w:rPr>
        <w:t>” (Înlocuirea produselor convenționale cu inovații din bioeconomie: analiza impacturilor potențiale asupra mediului utilizând o perspectivă de evaluare a ciclului de viață), Oficiul pentru Publicații al Uniunii Europene, Luxemburg, 2025, JRC142832.</w:t>
      </w:r>
    </w:p>
  </w:footnote>
  <w:footnote w:id="32">
    <w:p w14:paraId="636283C5" w14:textId="0F5FFFF9" w:rsidR="009650AB" w:rsidRPr="00E309F1" w:rsidRDefault="009650AB" w:rsidP="00E309F1">
      <w:pPr>
        <w:pStyle w:val="FootnoteText"/>
        <w:widowControl w:val="0"/>
        <w:spacing w:after="0"/>
        <w:rPr>
          <w:sz w:val="18"/>
          <w:szCs w:val="18"/>
        </w:rPr>
      </w:pPr>
      <w:r>
        <w:rPr>
          <w:rStyle w:val="FootnoteReference"/>
          <w:sz w:val="18"/>
          <w:szCs w:val="18"/>
        </w:rPr>
        <w:footnoteRef/>
      </w:r>
      <w:r>
        <w:rPr>
          <w:sz w:val="18"/>
        </w:rPr>
        <w:t xml:space="preserve"> </w:t>
      </w:r>
      <w:r>
        <w:tab/>
      </w:r>
      <w:hyperlink r:id="rId1" w:history="1">
        <w:r>
          <w:rPr>
            <w:rStyle w:val="Hyperlink"/>
            <w:sz w:val="18"/>
          </w:rPr>
          <w:t>Spre o economie circulară:</w:t>
        </w:r>
      </w:hyperlink>
      <w:hyperlink r:id="rId2" w:history="1">
        <w:r>
          <w:rPr>
            <w:rStyle w:val="Hyperlink"/>
            <w:sz w:val="18"/>
          </w:rPr>
          <w:t xml:space="preserve"> proiectarea biopolimerilor prin învățare automată</w:t>
        </w:r>
      </w:hyperlink>
      <w:r>
        <w:rPr>
          <w:sz w:val="18"/>
        </w:rPr>
        <w:t>, extras: 18.10.2025.</w:t>
      </w:r>
    </w:p>
  </w:footnote>
  <w:footnote w:id="33">
    <w:p w14:paraId="3BD66DB4" w14:textId="7F0A88EE" w:rsidR="008F4027" w:rsidRPr="00315884" w:rsidRDefault="008F4027" w:rsidP="00315884">
      <w:pPr>
        <w:pStyle w:val="FootnoteText"/>
        <w:spacing w:after="0"/>
        <w:rPr>
          <w:sz w:val="18"/>
          <w:szCs w:val="18"/>
        </w:rPr>
      </w:pPr>
      <w:r>
        <w:rPr>
          <w:rStyle w:val="FootnoteReference"/>
          <w:sz w:val="18"/>
          <w:szCs w:val="18"/>
        </w:rPr>
        <w:footnoteRef/>
      </w:r>
      <w:r>
        <w:tab/>
      </w:r>
      <w:hyperlink r:id="rId3" w:history="1">
        <w:r>
          <w:rPr>
            <w:rStyle w:val="Hyperlink"/>
            <w:sz w:val="18"/>
          </w:rPr>
          <w:t>Clădiri și construcții – Piață internă, industrie, antreprenoriat și IMM-uri</w:t>
        </w:r>
      </w:hyperlink>
      <w:r>
        <w:t>.</w:t>
      </w:r>
    </w:p>
  </w:footnote>
  <w:footnote w:id="34">
    <w:p w14:paraId="50DB455A" w14:textId="31ABC1B8" w:rsidR="00DF77C0" w:rsidRPr="00315884" w:rsidRDefault="00DF77C0" w:rsidP="00315884">
      <w:pPr>
        <w:pStyle w:val="FootnoteText"/>
        <w:spacing w:after="0"/>
        <w:rPr>
          <w:sz w:val="18"/>
          <w:szCs w:val="18"/>
        </w:rPr>
      </w:pPr>
      <w:r>
        <w:rPr>
          <w:rStyle w:val="FootnoteReference"/>
          <w:sz w:val="18"/>
          <w:szCs w:val="18"/>
        </w:rPr>
        <w:footnoteRef/>
      </w:r>
      <w:r>
        <w:tab/>
      </w:r>
      <w:hyperlink r:id="rId4" w:history="1">
        <w:r>
          <w:rPr>
            <w:rStyle w:val="Hyperlink"/>
            <w:sz w:val="18"/>
          </w:rPr>
          <w:t>Proiectul BIOBUILD – Soluții termice pentru clădirile verzi</w:t>
        </w:r>
      </w:hyperlink>
      <w:r>
        <w:t>.</w:t>
      </w:r>
    </w:p>
  </w:footnote>
  <w:footnote w:id="35">
    <w:p w14:paraId="72F75EA8" w14:textId="43417087" w:rsidR="004D0835" w:rsidRPr="00FF0551" w:rsidRDefault="004D0835" w:rsidP="00315884">
      <w:pPr>
        <w:pStyle w:val="FootnoteText"/>
        <w:spacing w:after="0"/>
      </w:pPr>
      <w:r>
        <w:rPr>
          <w:rStyle w:val="FootnoteReference"/>
          <w:sz w:val="18"/>
          <w:szCs w:val="18"/>
        </w:rPr>
        <w:footnoteRef/>
      </w:r>
      <w:r>
        <w:tab/>
      </w:r>
      <w:hyperlink r:id="rId5" w:history="1">
        <w:r>
          <w:rPr>
            <w:rStyle w:val="Hyperlink"/>
            <w:i/>
            <w:sz w:val="18"/>
          </w:rPr>
          <w:t>Paving the way for lowering embodied carbon emissions in the building and construction sector</w:t>
        </w:r>
        <w:r>
          <w:rPr>
            <w:rStyle w:val="Hyperlink"/>
            <w:sz w:val="18"/>
          </w:rPr>
          <w:t xml:space="preserve"> |</w:t>
        </w:r>
      </w:hyperlink>
      <w:hyperlink r:id="rId6" w:history="1">
        <w:r>
          <w:rPr>
            <w:rStyle w:val="Hyperlink"/>
            <w:sz w:val="18"/>
          </w:rPr>
          <w:t xml:space="preserve"> </w:t>
        </w:r>
        <w:r>
          <w:rPr>
            <w:rStyle w:val="Hyperlink"/>
            <w:i/>
            <w:sz w:val="18"/>
          </w:rPr>
          <w:t>Clean Technologies and Environmental Policy</w:t>
        </w:r>
        <w:r>
          <w:rPr>
            <w:rStyle w:val="Hyperlink"/>
            <w:sz w:val="18"/>
          </w:rPr>
          <w:t xml:space="preserve"> (Pregătirea terenului pentru reducerea emisiilor de carbon încorporate în sectorul construcțiilor | Tehnologii curate și politică de mediu)</w:t>
        </w:r>
      </w:hyperlink>
      <w:r>
        <w:t>.</w:t>
      </w:r>
    </w:p>
  </w:footnote>
  <w:footnote w:id="36">
    <w:p w14:paraId="5231F044" w14:textId="0388528C" w:rsidR="00257A88" w:rsidRPr="003F2A44" w:rsidRDefault="00257A88" w:rsidP="00422BD3">
      <w:pPr>
        <w:pStyle w:val="FootnoteText"/>
        <w:spacing w:after="0"/>
        <w:rPr>
          <w:sz w:val="18"/>
          <w:szCs w:val="18"/>
        </w:rPr>
      </w:pPr>
      <w:r>
        <w:rPr>
          <w:rStyle w:val="FootnoteReference"/>
        </w:rPr>
        <w:footnoteRef/>
      </w:r>
      <w:r>
        <w:rPr>
          <w:rStyle w:val="FootnoteReference"/>
        </w:rPr>
        <w:t xml:space="preserve"> </w:t>
      </w:r>
      <w:r>
        <w:tab/>
      </w:r>
      <w:r>
        <w:rPr>
          <w:sz w:val="18"/>
        </w:rPr>
        <w:t>Perspectivele biorafinăriilor din UE până în 2030 – Oficiul pentru Publicații al UE.</w:t>
      </w:r>
    </w:p>
  </w:footnote>
  <w:footnote w:id="37">
    <w:p w14:paraId="56BD863B" w14:textId="08FE49CE" w:rsidR="009650AB" w:rsidRPr="00315884" w:rsidRDefault="009650AB" w:rsidP="00315884">
      <w:pPr>
        <w:pStyle w:val="FootnoteText"/>
        <w:widowControl w:val="0"/>
        <w:spacing w:after="0"/>
        <w:rPr>
          <w:sz w:val="18"/>
          <w:szCs w:val="18"/>
        </w:rPr>
      </w:pPr>
      <w:r>
        <w:rPr>
          <w:rStyle w:val="FootnoteReference"/>
          <w:sz w:val="18"/>
          <w:szCs w:val="18"/>
        </w:rPr>
        <w:footnoteRef/>
      </w:r>
      <w:r>
        <w:rPr>
          <w:sz w:val="18"/>
        </w:rPr>
        <w:t xml:space="preserve"> </w:t>
      </w:r>
      <w:r>
        <w:tab/>
      </w:r>
      <w:r>
        <w:rPr>
          <w:sz w:val="18"/>
        </w:rPr>
        <w:t>JRC, „</w:t>
      </w:r>
      <w:r>
        <w:rPr>
          <w:i/>
          <w:sz w:val="18"/>
        </w:rPr>
        <w:t>EU Biomass supply, uses, governance and regenerative actions</w:t>
      </w:r>
      <w:r>
        <w:rPr>
          <w:sz w:val="18"/>
        </w:rPr>
        <w:t>” (Aprovizionarea cu biomasă a UE, utilizări, guvernanță și acțiuni regenerative), 2025.</w:t>
      </w:r>
    </w:p>
  </w:footnote>
  <w:footnote w:id="38">
    <w:p w14:paraId="6DA65CA4" w14:textId="5EBEDB33" w:rsidR="4980106A" w:rsidRPr="00315884" w:rsidRDefault="4980106A" w:rsidP="00315884">
      <w:pPr>
        <w:pStyle w:val="FootnoteText"/>
        <w:widowControl w:val="0"/>
        <w:spacing w:after="0"/>
        <w:rPr>
          <w:rFonts w:eastAsia="Aptos"/>
          <w:color w:val="0000FF"/>
          <w:sz w:val="18"/>
          <w:szCs w:val="18"/>
        </w:rPr>
      </w:pPr>
      <w:r>
        <w:rPr>
          <w:sz w:val="18"/>
          <w:szCs w:val="18"/>
          <w:vertAlign w:val="superscript"/>
        </w:rPr>
        <w:footnoteRef/>
      </w:r>
      <w:r>
        <w:rPr>
          <w:sz w:val="18"/>
        </w:rPr>
        <w:t xml:space="preserve"> </w:t>
      </w:r>
      <w:r>
        <w:tab/>
      </w:r>
      <w:hyperlink r:id="rId7" w:history="1">
        <w:r>
          <w:rPr>
            <w:rStyle w:val="Hyperlink"/>
            <w:sz w:val="18"/>
          </w:rPr>
          <w:t>Cadru de monitorizare – Economia circulară – Eurostat</w:t>
        </w:r>
      </w:hyperlink>
      <w:r>
        <w:t>.</w:t>
      </w:r>
      <w:r w:rsidR="004951A2">
        <w:rPr>
          <w:sz w:val="18"/>
        </w:rPr>
        <w:t xml:space="preserve">  </w:t>
      </w:r>
    </w:p>
  </w:footnote>
  <w:footnote w:id="39">
    <w:p w14:paraId="40FDC59C" w14:textId="346966F6" w:rsidR="5EB1D8BA" w:rsidRPr="00315884" w:rsidRDefault="5EB1D8BA" w:rsidP="00315884">
      <w:pPr>
        <w:pStyle w:val="FootnoteText"/>
        <w:spacing w:after="0"/>
        <w:rPr>
          <w:sz w:val="18"/>
          <w:szCs w:val="18"/>
        </w:rPr>
      </w:pPr>
      <w:r>
        <w:rPr>
          <w:sz w:val="18"/>
          <w:szCs w:val="18"/>
          <w:vertAlign w:val="superscript"/>
        </w:rPr>
        <w:footnoteRef/>
      </w:r>
      <w:r>
        <w:rPr>
          <w:sz w:val="18"/>
          <w:vertAlign w:val="superscript"/>
        </w:rPr>
        <w:t xml:space="preserve">   </w:t>
      </w:r>
      <w:r>
        <w:rPr>
          <w:sz w:val="18"/>
        </w:rPr>
        <w:t>Biomasa secundară include biomasa provenită din subproduse sau fluxuri secundare rezultate din procesele de fabricare a produselor, biodeșeurile, deșeurile rezultate din activitățile de creștere a animalelor, lemnul, hârtia și cartonul recuperate după consum, precum și orice altă biomasă recuperată din bioproduse ajunse la finalul ciclului de viață.</w:t>
      </w:r>
    </w:p>
    <w:p w14:paraId="6416A905" w14:textId="41394CF8" w:rsidR="5EB1D8BA" w:rsidRDefault="5EB1D8BA" w:rsidP="5EB1D8BA">
      <w:pPr>
        <w:pStyle w:val="FootnoteText"/>
      </w:pPr>
    </w:p>
  </w:footnote>
  <w:footnote w:id="40">
    <w:p w14:paraId="7D2520EA" w14:textId="3C23589C" w:rsidR="009650AB" w:rsidRPr="00E309F1" w:rsidRDefault="009650AB" w:rsidP="1CFD9F8D">
      <w:pPr>
        <w:pStyle w:val="FootnoteText"/>
        <w:widowControl w:val="0"/>
        <w:spacing w:after="0"/>
        <w:ind w:left="284" w:hanging="284"/>
        <w:rPr>
          <w:sz w:val="18"/>
          <w:szCs w:val="18"/>
        </w:rPr>
      </w:pPr>
      <w:r>
        <w:rPr>
          <w:rStyle w:val="FootnoteReference"/>
          <w:sz w:val="18"/>
          <w:szCs w:val="18"/>
        </w:rPr>
        <w:footnoteRef/>
      </w:r>
      <w:r>
        <w:rPr>
          <w:rStyle w:val="FootnoteReference"/>
          <w:sz w:val="18"/>
        </w:rPr>
        <w:t xml:space="preserve"> </w:t>
      </w:r>
      <w:r>
        <w:tab/>
      </w:r>
      <w:r>
        <w:rPr>
          <w:sz w:val="18"/>
        </w:rPr>
        <w:t xml:space="preserve">Gardossi et al., </w:t>
      </w:r>
      <w:hyperlink r:id="rId8">
        <w:r>
          <w:rPr>
            <w:sz w:val="18"/>
          </w:rPr>
          <w:t>„</w:t>
        </w:r>
        <w:r>
          <w:rPr>
            <w:i/>
            <w:sz w:val="18"/>
          </w:rPr>
          <w:t>Bioeconomy national strategies in the G20 and OECD countries:</w:t>
        </w:r>
      </w:hyperlink>
      <w:hyperlink r:id="rId9">
        <w:r>
          <w:rPr>
            <w:sz w:val="18"/>
          </w:rPr>
          <w:t xml:space="preserve"> </w:t>
        </w:r>
        <w:r>
          <w:rPr>
            <w:i/>
            <w:sz w:val="18"/>
          </w:rPr>
          <w:t>Sharing experiences and comparing existing policies</w:t>
        </w:r>
        <w:r>
          <w:rPr>
            <w:sz w:val="18"/>
          </w:rPr>
          <w:t xml:space="preserve">” (Strategii naționale în domeniul bioeconomiei în țările G20 și OCDE: schimbul de experiență și compararea politicilor existente), </w:t>
        </w:r>
      </w:hyperlink>
      <w:r>
        <w:rPr>
          <w:sz w:val="18"/>
        </w:rPr>
        <w:t xml:space="preserve"> 2023</w:t>
      </w:r>
      <w:r>
        <w:t>.</w:t>
      </w:r>
      <w:r>
        <w:rPr>
          <w:sz w:val="18"/>
        </w:rPr>
        <w:t xml:space="preserve"> </w:t>
      </w:r>
    </w:p>
  </w:footnote>
  <w:footnote w:id="41">
    <w:p w14:paraId="70F8220A" w14:textId="4F0A8E81" w:rsidR="45E269A7" w:rsidRPr="00FF0551" w:rsidRDefault="45E269A7" w:rsidP="00E309F1">
      <w:pPr>
        <w:pStyle w:val="FootnoteText"/>
        <w:widowControl w:val="0"/>
        <w:spacing w:after="0"/>
        <w:rPr>
          <w:sz w:val="18"/>
          <w:szCs w:val="18"/>
        </w:rPr>
      </w:pPr>
      <w:r>
        <w:rPr>
          <w:sz w:val="18"/>
          <w:szCs w:val="18"/>
          <w:vertAlign w:val="superscript"/>
        </w:rPr>
        <w:footnoteRef/>
      </w:r>
      <w:r>
        <w:rPr>
          <w:sz w:val="18"/>
        </w:rPr>
        <w:t xml:space="preserve"> </w:t>
      </w:r>
      <w:r>
        <w:tab/>
      </w:r>
      <w:hyperlink r:id="rId10" w:history="1">
        <w:r>
          <w:rPr>
            <w:rStyle w:val="Hyperlink"/>
            <w:sz w:val="18"/>
          </w:rPr>
          <w:t>https://au.int/sites/default/files/documents/45336-doc-GIZ-AU_Continental_Circular_Action_V11.pdf</w:t>
        </w:r>
      </w:hyperlink>
      <w:r>
        <w:rPr>
          <w:sz w:val="18"/>
        </w:rPr>
        <w:t xml:space="preserve"> </w:t>
      </w:r>
    </w:p>
  </w:footnote>
  <w:footnote w:id="42">
    <w:p w14:paraId="7A3EBD36" w14:textId="1116451C" w:rsidR="45E269A7" w:rsidRPr="00E309F1" w:rsidRDefault="45E269A7" w:rsidP="00E309F1">
      <w:pPr>
        <w:pStyle w:val="FootnoteText"/>
        <w:widowControl w:val="0"/>
        <w:spacing w:after="0"/>
        <w:rPr>
          <w:sz w:val="18"/>
          <w:szCs w:val="18"/>
        </w:rPr>
      </w:pPr>
      <w:r>
        <w:rPr>
          <w:sz w:val="18"/>
          <w:szCs w:val="18"/>
          <w:vertAlign w:val="superscript"/>
        </w:rPr>
        <w:footnoteRef/>
      </w:r>
      <w:r>
        <w:rPr>
          <w:sz w:val="18"/>
          <w:vertAlign w:val="superscript"/>
        </w:rPr>
        <w:t xml:space="preserve"> </w:t>
      </w:r>
      <w:r>
        <w:tab/>
      </w:r>
      <w:hyperlink r:id="rId11" w:history="1">
        <w:r>
          <w:rPr>
            <w:rStyle w:val="Hyperlink"/>
            <w:sz w:val="18"/>
          </w:rPr>
          <w:t>Final-Summary-EAC-BIOECONOMY-STRATEGY.pdf</w:t>
        </w:r>
      </w:hyperlink>
      <w:r>
        <w:t>.</w:t>
      </w:r>
      <w:r>
        <w:rPr>
          <w:sz w:val="18"/>
          <w:highlight w:val="yellow"/>
          <w:vertAlign w:val="superscript"/>
        </w:rPr>
        <w:t xml:space="preserve">  </w:t>
      </w:r>
    </w:p>
  </w:footnote>
  <w:footnote w:id="43">
    <w:p w14:paraId="2ACD8A9A" w14:textId="60799588" w:rsidR="00C35C80" w:rsidRPr="00315884" w:rsidRDefault="00C35C80" w:rsidP="00315884">
      <w:pPr>
        <w:pStyle w:val="FootnoteText"/>
        <w:spacing w:after="0"/>
        <w:rPr>
          <w:sz w:val="18"/>
          <w:szCs w:val="18"/>
        </w:rPr>
      </w:pPr>
      <w:r>
        <w:rPr>
          <w:rStyle w:val="FootnoteReference"/>
          <w:sz w:val="18"/>
          <w:szCs w:val="18"/>
        </w:rPr>
        <w:footnoteRef/>
      </w:r>
      <w:r>
        <w:rPr>
          <w:sz w:val="18"/>
        </w:rPr>
        <w:t xml:space="preserve">  De exemplu, în cadrul FAO, UE a lansat, la 17 octombrie 2025, împreună cu Brazilia, un grup de prieteni ai bioeconomiei (</w:t>
      </w:r>
      <w:r>
        <w:rPr>
          <w:i/>
          <w:sz w:val="18"/>
        </w:rPr>
        <w:t>Group of Friends of the Bioeconomy</w:t>
      </w:r>
      <w:r>
        <w:rPr>
          <w:sz w:val="18"/>
        </w:rPr>
        <w:t>).</w:t>
      </w:r>
    </w:p>
  </w:footnote>
  <w:footnote w:id="44">
    <w:p w14:paraId="2A4B0AD7" w14:textId="056A39D2" w:rsidR="00C35C80" w:rsidRPr="00315884" w:rsidRDefault="00C35C80" w:rsidP="00315884">
      <w:pPr>
        <w:pStyle w:val="FootnoteText"/>
        <w:spacing w:after="0"/>
        <w:rPr>
          <w:sz w:val="18"/>
          <w:szCs w:val="18"/>
        </w:rPr>
      </w:pPr>
      <w:r>
        <w:rPr>
          <w:rStyle w:val="FootnoteReference"/>
          <w:sz w:val="18"/>
          <w:szCs w:val="18"/>
        </w:rPr>
        <w:footnoteRef/>
      </w:r>
      <w:r>
        <w:rPr>
          <w:sz w:val="18"/>
        </w:rPr>
        <w:t xml:space="preserve"> https://openknowledge.fao.org/server/api/core/bitstreams/92d6ae7c-2257-427f-a5a1-1f1223c89a47/content</w:t>
      </w:r>
      <w:r>
        <w:t>.</w:t>
      </w:r>
    </w:p>
  </w:footnote>
  <w:footnote w:id="45">
    <w:p w14:paraId="5F9B719C" w14:textId="3AF7674F" w:rsidR="009650AB" w:rsidRPr="00315884" w:rsidRDefault="009650AB" w:rsidP="00315884">
      <w:pPr>
        <w:pStyle w:val="FootnoteText"/>
        <w:widowControl w:val="0"/>
        <w:spacing w:after="0"/>
        <w:rPr>
          <w:sz w:val="18"/>
          <w:szCs w:val="18"/>
        </w:rPr>
      </w:pPr>
      <w:r>
        <w:rPr>
          <w:rStyle w:val="FootnoteReference"/>
          <w:sz w:val="18"/>
          <w:szCs w:val="18"/>
        </w:rPr>
        <w:footnoteRef/>
      </w:r>
      <w:r>
        <w:rPr>
          <w:sz w:val="18"/>
        </w:rPr>
        <w:t xml:space="preserve"> </w:t>
      </w:r>
      <w:r>
        <w:tab/>
      </w:r>
      <w:hyperlink r:id="rId12" w:history="1">
        <w:r>
          <w:rPr>
            <w:rStyle w:val="Hyperlink"/>
            <w:sz w:val="18"/>
          </w:rPr>
          <w:t>Forumul european pentru politica în domeniul bioeconomiei – Cercetare și inovare</w:t>
        </w:r>
      </w:hyperlink>
      <w:r>
        <w:t>.</w:t>
      </w:r>
      <w:r>
        <w:rPr>
          <w:sz w:val="18"/>
        </w:rPr>
        <w:t xml:space="preserve"> </w:t>
      </w:r>
    </w:p>
  </w:footnote>
  <w:footnote w:id="46">
    <w:p w14:paraId="69624915" w14:textId="212DA849" w:rsidR="009650AB" w:rsidRPr="00315884" w:rsidRDefault="009650AB" w:rsidP="00315884">
      <w:pPr>
        <w:pStyle w:val="FootnoteText"/>
        <w:widowControl w:val="0"/>
        <w:spacing w:after="0"/>
        <w:rPr>
          <w:sz w:val="18"/>
          <w:szCs w:val="18"/>
        </w:rPr>
      </w:pPr>
      <w:r>
        <w:rPr>
          <w:sz w:val="18"/>
          <w:szCs w:val="18"/>
          <w:vertAlign w:val="superscript"/>
        </w:rPr>
        <w:footnoteRef/>
      </w:r>
      <w:r>
        <w:rPr>
          <w:sz w:val="18"/>
        </w:rPr>
        <w:t xml:space="preserve"> </w:t>
      </w:r>
      <w:r>
        <w:tab/>
      </w:r>
      <w:r>
        <w:rPr>
          <w:sz w:val="18"/>
        </w:rPr>
        <w:t>Centrul de sprijin pentru politicile bioeconomice își va începe activitatea în 2027, bazându-se pe programul de lucru Orizont pentru 2026.</w:t>
      </w:r>
    </w:p>
  </w:footnote>
  <w:footnote w:id="47">
    <w:p w14:paraId="7A9A9B8B" w14:textId="323ECCA6" w:rsidR="009650AB" w:rsidRPr="00E309F1" w:rsidRDefault="009650AB" w:rsidP="00315884">
      <w:pPr>
        <w:pStyle w:val="FootnoteText"/>
        <w:widowControl w:val="0"/>
        <w:spacing w:after="0"/>
        <w:rPr>
          <w:sz w:val="18"/>
          <w:szCs w:val="18"/>
        </w:rPr>
      </w:pPr>
      <w:r>
        <w:rPr>
          <w:rStyle w:val="FootnoteReference"/>
          <w:sz w:val="18"/>
          <w:szCs w:val="18"/>
        </w:rPr>
        <w:footnoteRef/>
      </w:r>
      <w:r>
        <w:rPr>
          <w:sz w:val="18"/>
        </w:rPr>
        <w:t xml:space="preserve"> </w:t>
      </w:r>
      <w:r>
        <w:tab/>
      </w:r>
      <w:hyperlink r:id="rId13" w:history="1">
        <w:r>
          <w:rPr>
            <w:rStyle w:val="Hyperlink"/>
            <w:sz w:val="18"/>
          </w:rPr>
          <w:t>Pagina principală |</w:t>
        </w:r>
      </w:hyperlink>
      <w:hyperlink r:id="rId14" w:history="1">
        <w:r>
          <w:rPr>
            <w:rStyle w:val="Hyperlink"/>
            <w:sz w:val="18"/>
          </w:rPr>
          <w:t xml:space="preserve"> Platforma europeană a părților interesate privind economia circulară</w:t>
        </w:r>
      </w:hyperlink>
      <w:r>
        <w:t xml:space="preserve">. </w:t>
      </w:r>
    </w:p>
  </w:footnote>
  <w:footnote w:id="48">
    <w:p w14:paraId="07328D92" w14:textId="18E0BBCB" w:rsidR="009650AB" w:rsidRPr="00E309F1" w:rsidRDefault="009650AB" w:rsidP="1CFD9F8D">
      <w:pPr>
        <w:pStyle w:val="FootnoteText"/>
        <w:widowControl w:val="0"/>
        <w:spacing w:after="0"/>
        <w:ind w:left="0" w:firstLine="0"/>
        <w:rPr>
          <w:sz w:val="18"/>
          <w:szCs w:val="18"/>
        </w:rPr>
      </w:pPr>
      <w:r>
        <w:rPr>
          <w:rStyle w:val="FootnoteReference"/>
          <w:sz w:val="18"/>
          <w:szCs w:val="18"/>
        </w:rPr>
        <w:footnoteRef/>
      </w:r>
      <w:r>
        <w:rPr>
          <w:sz w:val="18"/>
        </w:rPr>
        <w:t xml:space="preserve">  </w:t>
      </w:r>
      <w:hyperlink r:id="rId15" w:anchor=":~:text=The%20EU%20Bioeconomy%20Youth%20Ambassador%20programme%20gives%20Europe%E2%80%99s,highlight%20the%20bioeconomy%E2%80%99s%20relevance%20in%20our%20daily%20life." w:history="1">
        <w:r>
          <w:rPr>
            <w:rStyle w:val="Hyperlink"/>
            <w:sz w:val="18"/>
          </w:rPr>
          <w:t>Ambasadorii UE pentru tineret în domeniul bioeconomiei – Cercetare și inovare</w:t>
        </w:r>
      </w:hyperlink>
      <w:r>
        <w:t>.</w:t>
      </w:r>
    </w:p>
  </w:footnote>
  <w:footnote w:id="49">
    <w:p w14:paraId="5208C889" w14:textId="46FC0867" w:rsidR="3358DB1C" w:rsidRDefault="007F07D0" w:rsidP="007F07D0">
      <w:pPr>
        <w:pStyle w:val="FootnoteText"/>
        <w:jc w:val="left"/>
      </w:pPr>
      <w:r>
        <w:rPr>
          <w:rStyle w:val="FootnoteReference"/>
          <w:sz w:val="18"/>
          <w:szCs w:val="18"/>
        </w:rPr>
        <w:footnoteRef/>
      </w:r>
      <w:r>
        <w:rPr>
          <w:sz w:val="18"/>
        </w:rPr>
        <w:t xml:space="preserve"> </w:t>
      </w:r>
      <w:r>
        <w:t xml:space="preserve"> „</w:t>
      </w:r>
      <w:r>
        <w:rPr>
          <w:i/>
        </w:rPr>
        <w:t>Trends in the EU bioeconomy - update 2024</w:t>
      </w:r>
      <w:r>
        <w:t xml:space="preserve">” (Tendințe în bioeconomia UE – versiune actualizată pentru 2024). </w:t>
      </w:r>
      <w:hyperlink r:id="rId16" w:history="1">
        <w:r>
          <w:rPr>
            <w:rStyle w:val="Hyperlink"/>
          </w:rPr>
          <w:t>Registrul publicațiilor JRC - „Trends in the EU bioeconomy - update 2024” (Tendințe în bioeconomia UE – versiune actualizată pentru 2024)</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F005B" w14:textId="77777777" w:rsidR="00421D6B" w:rsidRPr="00421D6B" w:rsidRDefault="00421D6B" w:rsidP="00421D6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A7FC3" w14:textId="77777777" w:rsidR="00421D6B" w:rsidRPr="00421D6B" w:rsidRDefault="00421D6B" w:rsidP="00421D6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08795" w14:textId="77777777" w:rsidR="00421D6B" w:rsidRPr="00421D6B" w:rsidRDefault="00421D6B" w:rsidP="00421D6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4FD04" w14:textId="77777777" w:rsidR="00C47C8C" w:rsidRDefault="00C47C8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06436" w14:textId="77777777" w:rsidR="00C47C8C" w:rsidRDefault="00C47C8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1CC14" w14:textId="77777777" w:rsidR="00C47C8C" w:rsidRDefault="00C47C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317DE"/>
    <w:multiLevelType w:val="multilevel"/>
    <w:tmpl w:val="C338D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74D92"/>
    <w:multiLevelType w:val="multilevel"/>
    <w:tmpl w:val="603A1108"/>
    <w:lvl w:ilvl="0">
      <w:start w:val="1"/>
      <w:numFmt w:val="bullet"/>
      <w:lvlText w:val="-"/>
      <w:lvlJc w:val="left"/>
      <w:pPr>
        <w:tabs>
          <w:tab w:val="num" w:pos="720"/>
        </w:tabs>
        <w:ind w:left="720" w:hanging="360"/>
      </w:pPr>
      <w:rPr>
        <w:rFonts w:ascii="Times New Roman" w:eastAsia="Times New Roman" w:hAnsi="Times New Roman" w:cs="Times New Roman" w:hint="default"/>
        <w:b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900F7"/>
    <w:multiLevelType w:val="multilevel"/>
    <w:tmpl w:val="8C60E220"/>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B3A5B03"/>
    <w:multiLevelType w:val="multilevel"/>
    <w:tmpl w:val="B2840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FB7115"/>
    <w:multiLevelType w:val="multilevel"/>
    <w:tmpl w:val="BF5E0B38"/>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1E07BBA"/>
    <w:multiLevelType w:val="multilevel"/>
    <w:tmpl w:val="A420D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F80787"/>
    <w:multiLevelType w:val="hybridMultilevel"/>
    <w:tmpl w:val="AE407EDA"/>
    <w:lvl w:ilvl="0" w:tplc="D1B49474">
      <w:start w:val="1"/>
      <w:numFmt w:val="bullet"/>
      <w:lvlText w:val="-"/>
      <w:lvlJc w:val="left"/>
      <w:pPr>
        <w:ind w:left="360" w:hanging="360"/>
      </w:pPr>
      <w:rPr>
        <w:rFonts w:ascii="Times New Roman" w:eastAsia="Times New Roman" w:hAnsi="Times New Roman" w:cs="Times New Roman" w:hint="default"/>
        <w:b/>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20B7201"/>
    <w:multiLevelType w:val="multilevel"/>
    <w:tmpl w:val="84DEA7FA"/>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20B8345"/>
    <w:multiLevelType w:val="multilevel"/>
    <w:tmpl w:val="21D0909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262685D"/>
    <w:multiLevelType w:val="multilevel"/>
    <w:tmpl w:val="D8D869D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2BD7FC1"/>
    <w:multiLevelType w:val="multilevel"/>
    <w:tmpl w:val="D3700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3D0A16"/>
    <w:multiLevelType w:val="multilevel"/>
    <w:tmpl w:val="4456EF58"/>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4F06EC9"/>
    <w:multiLevelType w:val="hybridMultilevel"/>
    <w:tmpl w:val="AFE0D0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6A3D10"/>
    <w:multiLevelType w:val="multilevel"/>
    <w:tmpl w:val="BC8E4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FD12F1"/>
    <w:multiLevelType w:val="hybridMultilevel"/>
    <w:tmpl w:val="A6547154"/>
    <w:lvl w:ilvl="0" w:tplc="D0167DE2">
      <w:start w:val="1"/>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172F0AC5"/>
    <w:multiLevelType w:val="multilevel"/>
    <w:tmpl w:val="950A4340"/>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1C7B624F"/>
    <w:multiLevelType w:val="multilevel"/>
    <w:tmpl w:val="67DCFB9E"/>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16B3A0E"/>
    <w:multiLevelType w:val="hybridMultilevel"/>
    <w:tmpl w:val="D98427D8"/>
    <w:lvl w:ilvl="0" w:tplc="71F8BA4E">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23CB6A93"/>
    <w:multiLevelType w:val="multilevel"/>
    <w:tmpl w:val="D3DA0AC6"/>
    <w:lvl w:ilvl="0">
      <w:start w:val="1"/>
      <w:numFmt w:val="bullet"/>
      <w:lvlText w:val="-"/>
      <w:lvlJc w:val="left"/>
      <w:pPr>
        <w:tabs>
          <w:tab w:val="num" w:pos="6"/>
        </w:tabs>
        <w:ind w:left="6" w:hanging="360"/>
      </w:pPr>
      <w:rPr>
        <w:rFonts w:ascii="Times New Roman" w:eastAsia="Times New Roman" w:hAnsi="Times New Roman" w:cs="Times New Roman" w:hint="default"/>
        <w:b w:val="0"/>
        <w:sz w:val="20"/>
      </w:rPr>
    </w:lvl>
    <w:lvl w:ilvl="1" w:tentative="1">
      <w:start w:val="1"/>
      <w:numFmt w:val="bullet"/>
      <w:lvlText w:val="o"/>
      <w:lvlJc w:val="left"/>
      <w:pPr>
        <w:tabs>
          <w:tab w:val="num" w:pos="726"/>
        </w:tabs>
        <w:ind w:left="726" w:hanging="360"/>
      </w:pPr>
      <w:rPr>
        <w:rFonts w:ascii="Courier New" w:hAnsi="Courier New" w:hint="default"/>
        <w:sz w:val="20"/>
      </w:rPr>
    </w:lvl>
    <w:lvl w:ilvl="2" w:tentative="1">
      <w:start w:val="1"/>
      <w:numFmt w:val="bullet"/>
      <w:lvlText w:val=""/>
      <w:lvlJc w:val="left"/>
      <w:pPr>
        <w:tabs>
          <w:tab w:val="num" w:pos="1446"/>
        </w:tabs>
        <w:ind w:left="1446" w:hanging="360"/>
      </w:pPr>
      <w:rPr>
        <w:rFonts w:ascii="Wingdings" w:hAnsi="Wingdings" w:hint="default"/>
        <w:sz w:val="20"/>
      </w:rPr>
    </w:lvl>
    <w:lvl w:ilvl="3" w:tentative="1">
      <w:start w:val="1"/>
      <w:numFmt w:val="bullet"/>
      <w:lvlText w:val=""/>
      <w:lvlJc w:val="left"/>
      <w:pPr>
        <w:tabs>
          <w:tab w:val="num" w:pos="2166"/>
        </w:tabs>
        <w:ind w:left="2166" w:hanging="360"/>
      </w:pPr>
      <w:rPr>
        <w:rFonts w:ascii="Wingdings" w:hAnsi="Wingdings" w:hint="default"/>
        <w:sz w:val="20"/>
      </w:rPr>
    </w:lvl>
    <w:lvl w:ilvl="4" w:tentative="1">
      <w:start w:val="1"/>
      <w:numFmt w:val="bullet"/>
      <w:lvlText w:val=""/>
      <w:lvlJc w:val="left"/>
      <w:pPr>
        <w:tabs>
          <w:tab w:val="num" w:pos="2886"/>
        </w:tabs>
        <w:ind w:left="2886" w:hanging="360"/>
      </w:pPr>
      <w:rPr>
        <w:rFonts w:ascii="Wingdings" w:hAnsi="Wingdings" w:hint="default"/>
        <w:sz w:val="20"/>
      </w:rPr>
    </w:lvl>
    <w:lvl w:ilvl="5" w:tentative="1">
      <w:start w:val="1"/>
      <w:numFmt w:val="bullet"/>
      <w:lvlText w:val=""/>
      <w:lvlJc w:val="left"/>
      <w:pPr>
        <w:tabs>
          <w:tab w:val="num" w:pos="3606"/>
        </w:tabs>
        <w:ind w:left="3606" w:hanging="360"/>
      </w:pPr>
      <w:rPr>
        <w:rFonts w:ascii="Wingdings" w:hAnsi="Wingdings" w:hint="default"/>
        <w:sz w:val="20"/>
      </w:rPr>
    </w:lvl>
    <w:lvl w:ilvl="6" w:tentative="1">
      <w:start w:val="1"/>
      <w:numFmt w:val="bullet"/>
      <w:lvlText w:val=""/>
      <w:lvlJc w:val="left"/>
      <w:pPr>
        <w:tabs>
          <w:tab w:val="num" w:pos="4326"/>
        </w:tabs>
        <w:ind w:left="4326" w:hanging="360"/>
      </w:pPr>
      <w:rPr>
        <w:rFonts w:ascii="Wingdings" w:hAnsi="Wingdings" w:hint="default"/>
        <w:sz w:val="20"/>
      </w:rPr>
    </w:lvl>
    <w:lvl w:ilvl="7" w:tentative="1">
      <w:start w:val="1"/>
      <w:numFmt w:val="bullet"/>
      <w:lvlText w:val=""/>
      <w:lvlJc w:val="left"/>
      <w:pPr>
        <w:tabs>
          <w:tab w:val="num" w:pos="5046"/>
        </w:tabs>
        <w:ind w:left="5046" w:hanging="360"/>
      </w:pPr>
      <w:rPr>
        <w:rFonts w:ascii="Wingdings" w:hAnsi="Wingdings" w:hint="default"/>
        <w:sz w:val="20"/>
      </w:rPr>
    </w:lvl>
    <w:lvl w:ilvl="8" w:tentative="1">
      <w:start w:val="1"/>
      <w:numFmt w:val="bullet"/>
      <w:lvlText w:val=""/>
      <w:lvlJc w:val="left"/>
      <w:pPr>
        <w:tabs>
          <w:tab w:val="num" w:pos="5766"/>
        </w:tabs>
        <w:ind w:left="5766" w:hanging="360"/>
      </w:pPr>
      <w:rPr>
        <w:rFonts w:ascii="Wingdings" w:hAnsi="Wingdings" w:hint="default"/>
        <w:sz w:val="20"/>
      </w:rPr>
    </w:lvl>
  </w:abstractNum>
  <w:abstractNum w:abstractNumId="19" w15:restartNumberingAfterBreak="0">
    <w:nsid w:val="2C8DFDF8"/>
    <w:multiLevelType w:val="multilevel"/>
    <w:tmpl w:val="6DE454FC"/>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2D293CE3"/>
    <w:multiLevelType w:val="multilevel"/>
    <w:tmpl w:val="B6544D2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2D293CF4"/>
    <w:multiLevelType w:val="multilevel"/>
    <w:tmpl w:val="6F26743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166418B"/>
    <w:multiLevelType w:val="multilevel"/>
    <w:tmpl w:val="C382CF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3A209A"/>
    <w:multiLevelType w:val="hybridMultilevel"/>
    <w:tmpl w:val="46A46C04"/>
    <w:lvl w:ilvl="0" w:tplc="4CF22E44">
      <w:start w:val="1"/>
      <w:numFmt w:val="bullet"/>
      <w:lvlText w:val="-"/>
      <w:lvlJc w:val="left"/>
      <w:pPr>
        <w:ind w:left="360" w:hanging="360"/>
      </w:pPr>
      <w:rPr>
        <w:rFonts w:ascii="Times New Roman" w:eastAsia="Times New Roman" w:hAnsi="Times New Roman" w:cs="Times New Roman" w:hint="default"/>
        <w:b w:val="0"/>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36324F1E"/>
    <w:multiLevelType w:val="multilevel"/>
    <w:tmpl w:val="40E0624E"/>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37CB1E1C"/>
    <w:multiLevelType w:val="multilevel"/>
    <w:tmpl w:val="4CE2DACA"/>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393C6DBF"/>
    <w:multiLevelType w:val="multilevel"/>
    <w:tmpl w:val="12E43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9412F60"/>
    <w:multiLevelType w:val="hybridMultilevel"/>
    <w:tmpl w:val="99A4AC64"/>
    <w:lvl w:ilvl="0" w:tplc="E8E43A08">
      <w:start w:val="1"/>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8" w15:restartNumberingAfterBreak="0">
    <w:nsid w:val="3A7730C4"/>
    <w:multiLevelType w:val="multilevel"/>
    <w:tmpl w:val="7796161C"/>
    <w:name w:val="ListBullet1Numbering"/>
    <w:lvl w:ilvl="0">
      <w:start w:val="1"/>
      <w:numFmt w:val="bullet"/>
      <w:pStyle w:val="ListBullet1"/>
      <w:lvlText w:val=""/>
      <w:lvlJc w:val="left"/>
      <w:pPr>
        <w:tabs>
          <w:tab w:val="num" w:pos="765"/>
        </w:tabs>
        <w:ind w:left="283" w:hanging="283"/>
      </w:pPr>
      <w:rPr>
        <w:rFonts w:ascii="Symbol" w:hAnsi="Symbol" w:hint="default"/>
      </w:rPr>
    </w:lvl>
    <w:lvl w:ilvl="1">
      <w:start w:val="1"/>
      <w:numFmt w:val="bullet"/>
      <w:pStyle w:val="ListBullet1Level2"/>
      <w:lvlText w:val=""/>
      <w:lvlJc w:val="left"/>
      <w:pPr>
        <w:tabs>
          <w:tab w:val="num" w:pos="1049"/>
        </w:tabs>
        <w:ind w:left="567" w:hanging="284"/>
      </w:pPr>
      <w:rPr>
        <w:rFonts w:ascii="Symbol" w:hAnsi="Symbol" w:hint="default"/>
      </w:rPr>
    </w:lvl>
    <w:lvl w:ilvl="2">
      <w:start w:val="1"/>
      <w:numFmt w:val="bullet"/>
      <w:pStyle w:val="ListBullet1Level3"/>
      <w:lvlText w:val=""/>
      <w:lvlJc w:val="left"/>
      <w:pPr>
        <w:tabs>
          <w:tab w:val="num" w:pos="1332"/>
        </w:tabs>
        <w:ind w:left="850" w:hanging="283"/>
      </w:pPr>
      <w:rPr>
        <w:rFonts w:ascii="Symbol" w:hAnsi="Symbol" w:hint="default"/>
      </w:rPr>
    </w:lvl>
    <w:lvl w:ilvl="3">
      <w:start w:val="1"/>
      <w:numFmt w:val="bullet"/>
      <w:pStyle w:val="ListBullet1Level4"/>
      <w:lvlText w:val=""/>
      <w:lvlJc w:val="left"/>
      <w:pPr>
        <w:tabs>
          <w:tab w:val="num" w:pos="1616"/>
        </w:tabs>
        <w:ind w:left="1134" w:hanging="284"/>
      </w:pPr>
      <w:rPr>
        <w:rFonts w:ascii="Symbol" w:hAnsi="Symbol"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3E9D5001"/>
    <w:multiLevelType w:val="multilevel"/>
    <w:tmpl w:val="D94A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0467A82"/>
    <w:multiLevelType w:val="hybridMultilevel"/>
    <w:tmpl w:val="B10EDE5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19A6E14"/>
    <w:multiLevelType w:val="multilevel"/>
    <w:tmpl w:val="82C68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29E662A"/>
    <w:multiLevelType w:val="multilevel"/>
    <w:tmpl w:val="9A0092C4"/>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447C0B2A"/>
    <w:multiLevelType w:val="multilevel"/>
    <w:tmpl w:val="01A0A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51E4A14"/>
    <w:multiLevelType w:val="multilevel"/>
    <w:tmpl w:val="5E5EB4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6322FED"/>
    <w:multiLevelType w:val="multilevel"/>
    <w:tmpl w:val="B754B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8B74826"/>
    <w:multiLevelType w:val="multilevel"/>
    <w:tmpl w:val="59F44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A5C7ABF"/>
    <w:multiLevelType w:val="multilevel"/>
    <w:tmpl w:val="6F1E7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B61066F"/>
    <w:multiLevelType w:val="hybridMultilevel"/>
    <w:tmpl w:val="1E76DBD4"/>
    <w:lvl w:ilvl="0" w:tplc="1809000D">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9" w15:restartNumberingAfterBreak="0">
    <w:nsid w:val="4E1A63DF"/>
    <w:multiLevelType w:val="multilevel"/>
    <w:tmpl w:val="FC5293BA"/>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0" w15:restartNumberingAfterBreak="0">
    <w:nsid w:val="4E1A982C"/>
    <w:multiLevelType w:val="multilevel"/>
    <w:tmpl w:val="7CAAF018"/>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1" w15:restartNumberingAfterBreak="0">
    <w:nsid w:val="4E305853"/>
    <w:multiLevelType w:val="multilevel"/>
    <w:tmpl w:val="63866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E7B1263"/>
    <w:multiLevelType w:val="multilevel"/>
    <w:tmpl w:val="4A4E0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072619B"/>
    <w:multiLevelType w:val="multilevel"/>
    <w:tmpl w:val="96F83B5A"/>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4" w15:restartNumberingAfterBreak="0">
    <w:nsid w:val="50729B52"/>
    <w:multiLevelType w:val="multilevel"/>
    <w:tmpl w:val="B41415B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5" w15:restartNumberingAfterBreak="0">
    <w:nsid w:val="5E0B0622"/>
    <w:multiLevelType w:val="multilevel"/>
    <w:tmpl w:val="E794D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5F6487F"/>
    <w:multiLevelType w:val="hybridMultilevel"/>
    <w:tmpl w:val="8B7804C0"/>
    <w:lvl w:ilvl="0" w:tplc="D94256AC">
      <w:start w:val="1"/>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7" w15:restartNumberingAfterBreak="0">
    <w:nsid w:val="6977472E"/>
    <w:multiLevelType w:val="multilevel"/>
    <w:tmpl w:val="71B6DF00"/>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8" w15:restartNumberingAfterBreak="0">
    <w:nsid w:val="6FA7274E"/>
    <w:multiLevelType w:val="hybridMultilevel"/>
    <w:tmpl w:val="25963792"/>
    <w:lvl w:ilvl="0" w:tplc="4CF22E44">
      <w:start w:val="1"/>
      <w:numFmt w:val="bullet"/>
      <w:lvlText w:val="-"/>
      <w:lvlJc w:val="left"/>
      <w:pPr>
        <w:ind w:left="720" w:hanging="360"/>
      </w:pPr>
      <w:rPr>
        <w:rFonts w:ascii="Times New Roman" w:eastAsia="Times New Roman" w:hAnsi="Times New Roman" w:cs="Times New Roman"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7176099B"/>
    <w:multiLevelType w:val="hybridMultilevel"/>
    <w:tmpl w:val="AA00444A"/>
    <w:lvl w:ilvl="0" w:tplc="4CF22E44">
      <w:start w:val="1"/>
      <w:numFmt w:val="bullet"/>
      <w:lvlText w:val="-"/>
      <w:lvlJc w:val="left"/>
      <w:pPr>
        <w:ind w:left="360" w:hanging="360"/>
      </w:pPr>
      <w:rPr>
        <w:rFonts w:ascii="Times New Roman" w:eastAsia="Times New Roman" w:hAnsi="Times New Roman" w:cs="Times New Roman" w:hint="default"/>
        <w:b w:val="0"/>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0" w15:restartNumberingAfterBreak="0">
    <w:nsid w:val="71FF214D"/>
    <w:multiLevelType w:val="multilevel"/>
    <w:tmpl w:val="5B705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2406410"/>
    <w:multiLevelType w:val="multilevel"/>
    <w:tmpl w:val="E85800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C65145E"/>
    <w:multiLevelType w:val="multilevel"/>
    <w:tmpl w:val="33F00F1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570"/>
        </w:tabs>
        <w:ind w:left="1570"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5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
  </w:num>
  <w:num w:numId="2">
    <w:abstractNumId w:val="24"/>
  </w:num>
  <w:num w:numId="3">
    <w:abstractNumId w:val="16"/>
  </w:num>
  <w:num w:numId="4">
    <w:abstractNumId w:val="25"/>
  </w:num>
  <w:num w:numId="5">
    <w:abstractNumId w:val="43"/>
  </w:num>
  <w:num w:numId="6">
    <w:abstractNumId w:val="47"/>
  </w:num>
  <w:num w:numId="7">
    <w:abstractNumId w:val="4"/>
  </w:num>
  <w:num w:numId="8">
    <w:abstractNumId w:val="15"/>
  </w:num>
  <w:num w:numId="9">
    <w:abstractNumId w:val="32"/>
  </w:num>
  <w:num w:numId="10">
    <w:abstractNumId w:val="7"/>
  </w:num>
  <w:num w:numId="11">
    <w:abstractNumId w:val="9"/>
  </w:num>
  <w:num w:numId="12">
    <w:abstractNumId w:val="11"/>
  </w:num>
  <w:num w:numId="13">
    <w:abstractNumId w:val="19"/>
  </w:num>
  <w:num w:numId="14">
    <w:abstractNumId w:val="28"/>
  </w:num>
  <w:num w:numId="15">
    <w:abstractNumId w:val="40"/>
  </w:num>
  <w:num w:numId="16">
    <w:abstractNumId w:val="52"/>
  </w:num>
  <w:num w:numId="17">
    <w:abstractNumId w:val="20"/>
  </w:num>
  <w:num w:numId="18">
    <w:abstractNumId w:val="21"/>
  </w:num>
  <w:num w:numId="19">
    <w:abstractNumId w:val="53"/>
  </w:num>
  <w:num w:numId="20">
    <w:abstractNumId w:val="39"/>
  </w:num>
  <w:num w:numId="21">
    <w:abstractNumId w:val="44"/>
  </w:num>
  <w:num w:numId="22">
    <w:abstractNumId w:val="8"/>
  </w:num>
  <w:num w:numId="2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18"/>
  </w:num>
  <w:num w:numId="26">
    <w:abstractNumId w:val="48"/>
  </w:num>
  <w:num w:numId="27">
    <w:abstractNumId w:val="5"/>
  </w:num>
  <w:num w:numId="28">
    <w:abstractNumId w:val="29"/>
  </w:num>
  <w:num w:numId="29">
    <w:abstractNumId w:val="0"/>
  </w:num>
  <w:num w:numId="30">
    <w:abstractNumId w:val="36"/>
  </w:num>
  <w:num w:numId="31">
    <w:abstractNumId w:val="41"/>
  </w:num>
  <w:num w:numId="32">
    <w:abstractNumId w:val="3"/>
  </w:num>
  <w:num w:numId="33">
    <w:abstractNumId w:val="10"/>
  </w:num>
  <w:num w:numId="34">
    <w:abstractNumId w:val="45"/>
  </w:num>
  <w:num w:numId="35">
    <w:abstractNumId w:val="31"/>
  </w:num>
  <w:num w:numId="36">
    <w:abstractNumId w:val="50"/>
  </w:num>
  <w:num w:numId="37">
    <w:abstractNumId w:val="33"/>
  </w:num>
  <w:num w:numId="38">
    <w:abstractNumId w:val="13"/>
  </w:num>
  <w:num w:numId="39">
    <w:abstractNumId w:val="35"/>
  </w:num>
  <w:num w:numId="40">
    <w:abstractNumId w:val="12"/>
  </w:num>
  <w:num w:numId="41">
    <w:abstractNumId w:val="37"/>
  </w:num>
  <w:num w:numId="42">
    <w:abstractNumId w:val="42"/>
  </w:num>
  <w:num w:numId="43">
    <w:abstractNumId w:val="22"/>
  </w:num>
  <w:num w:numId="44">
    <w:abstractNumId w:val="26"/>
  </w:num>
  <w:num w:numId="45">
    <w:abstractNumId w:val="30"/>
  </w:num>
  <w:num w:numId="46">
    <w:abstractNumId w:val="34"/>
  </w:num>
  <w:num w:numId="47">
    <w:abstractNumId w:val="49"/>
  </w:num>
  <w:num w:numId="48">
    <w:abstractNumId w:val="23"/>
  </w:num>
  <w:num w:numId="49">
    <w:abstractNumId w:val="6"/>
  </w:num>
  <w:num w:numId="50">
    <w:abstractNumId w:val="14"/>
  </w:num>
  <w:num w:numId="51">
    <w:abstractNumId w:val="27"/>
  </w:num>
  <w:num w:numId="52">
    <w:abstractNumId w:val="38"/>
  </w:num>
  <w:num w:numId="53">
    <w:abstractNumId w:val="17"/>
  </w:num>
  <w:num w:numId="54">
    <w:abstractNumId w:val="46"/>
  </w:num>
  <w:num w:numId="55">
    <w:abstractNumId w:val="5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460D17E-1375-4FA6-ADCD-C20AFA09B45E"/>
    <w:docVar w:name="LW_COVERPAGE_TYPE" w:val="1"/>
    <w:docVar w:name="LW_CROSSREFERENCE" w:val="{SWD(2025) 895 final}"/>
    <w:docVar w:name="LW_DocType" w:val="99A10D1568B24978994F84D3B7A389D7"/>
    <w:docVar w:name="LW_EMISSION" w:val="27.11.2025"/>
    <w:docVar w:name="LW_EMISSION_ISODATE" w:val="2025-11-27"/>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9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_x000d__x000b__x000d_Un cadru strategic pentru o bioeconomie a UE competitiv\u259? \u537?i durabil\u259?_x000d_"/>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C47C8C"/>
    <w:rsid w:val="000001C2"/>
    <w:rsid w:val="00000205"/>
    <w:rsid w:val="00000622"/>
    <w:rsid w:val="00000714"/>
    <w:rsid w:val="00000A0F"/>
    <w:rsid w:val="00000B8A"/>
    <w:rsid w:val="00000D4F"/>
    <w:rsid w:val="00000DE2"/>
    <w:rsid w:val="00001043"/>
    <w:rsid w:val="00001090"/>
    <w:rsid w:val="00001107"/>
    <w:rsid w:val="00001258"/>
    <w:rsid w:val="000014A5"/>
    <w:rsid w:val="000014BC"/>
    <w:rsid w:val="0000179E"/>
    <w:rsid w:val="000017AE"/>
    <w:rsid w:val="00001916"/>
    <w:rsid w:val="00001A89"/>
    <w:rsid w:val="00001C3E"/>
    <w:rsid w:val="00001D02"/>
    <w:rsid w:val="00001D1B"/>
    <w:rsid w:val="00001FD2"/>
    <w:rsid w:val="00002046"/>
    <w:rsid w:val="0000213E"/>
    <w:rsid w:val="00002214"/>
    <w:rsid w:val="00002508"/>
    <w:rsid w:val="0000276E"/>
    <w:rsid w:val="00002787"/>
    <w:rsid w:val="00002A28"/>
    <w:rsid w:val="00002C36"/>
    <w:rsid w:val="00002E42"/>
    <w:rsid w:val="00002E9B"/>
    <w:rsid w:val="00002F3E"/>
    <w:rsid w:val="00003005"/>
    <w:rsid w:val="00003105"/>
    <w:rsid w:val="000031D7"/>
    <w:rsid w:val="000032E7"/>
    <w:rsid w:val="00003511"/>
    <w:rsid w:val="00003521"/>
    <w:rsid w:val="00003555"/>
    <w:rsid w:val="00003904"/>
    <w:rsid w:val="00003AD1"/>
    <w:rsid w:val="00003BE8"/>
    <w:rsid w:val="00003D45"/>
    <w:rsid w:val="00003D5B"/>
    <w:rsid w:val="00004030"/>
    <w:rsid w:val="000043AC"/>
    <w:rsid w:val="00004681"/>
    <w:rsid w:val="000046F5"/>
    <w:rsid w:val="00004894"/>
    <w:rsid w:val="00004C71"/>
    <w:rsid w:val="00004D7D"/>
    <w:rsid w:val="00005117"/>
    <w:rsid w:val="0000514B"/>
    <w:rsid w:val="00005252"/>
    <w:rsid w:val="00005611"/>
    <w:rsid w:val="000057B8"/>
    <w:rsid w:val="0000591A"/>
    <w:rsid w:val="00005B76"/>
    <w:rsid w:val="00005BCC"/>
    <w:rsid w:val="00005CB2"/>
    <w:rsid w:val="00005E63"/>
    <w:rsid w:val="00006209"/>
    <w:rsid w:val="0000664C"/>
    <w:rsid w:val="00006905"/>
    <w:rsid w:val="000069A8"/>
    <w:rsid w:val="00006A40"/>
    <w:rsid w:val="00006A9A"/>
    <w:rsid w:val="00006CE6"/>
    <w:rsid w:val="00006D50"/>
    <w:rsid w:val="00006E3A"/>
    <w:rsid w:val="00006E4E"/>
    <w:rsid w:val="00006F35"/>
    <w:rsid w:val="00006FDF"/>
    <w:rsid w:val="000070DE"/>
    <w:rsid w:val="00007126"/>
    <w:rsid w:val="0000726C"/>
    <w:rsid w:val="0000733E"/>
    <w:rsid w:val="00007467"/>
    <w:rsid w:val="00007B27"/>
    <w:rsid w:val="00007BF2"/>
    <w:rsid w:val="00007C99"/>
    <w:rsid w:val="00007CB6"/>
    <w:rsid w:val="00007E30"/>
    <w:rsid w:val="00007E4E"/>
    <w:rsid w:val="00007F56"/>
    <w:rsid w:val="0001000B"/>
    <w:rsid w:val="00010064"/>
    <w:rsid w:val="0001014E"/>
    <w:rsid w:val="000101A8"/>
    <w:rsid w:val="0001031B"/>
    <w:rsid w:val="00010333"/>
    <w:rsid w:val="00010337"/>
    <w:rsid w:val="000104F4"/>
    <w:rsid w:val="00010674"/>
    <w:rsid w:val="00010BBA"/>
    <w:rsid w:val="00010BBD"/>
    <w:rsid w:val="00010CE8"/>
    <w:rsid w:val="00010E33"/>
    <w:rsid w:val="00010E49"/>
    <w:rsid w:val="000114C7"/>
    <w:rsid w:val="00011512"/>
    <w:rsid w:val="00011623"/>
    <w:rsid w:val="000116B1"/>
    <w:rsid w:val="00011815"/>
    <w:rsid w:val="000118E7"/>
    <w:rsid w:val="00011DD5"/>
    <w:rsid w:val="00011F45"/>
    <w:rsid w:val="00011FCF"/>
    <w:rsid w:val="000120ED"/>
    <w:rsid w:val="000120F9"/>
    <w:rsid w:val="000122F7"/>
    <w:rsid w:val="00012483"/>
    <w:rsid w:val="0001249D"/>
    <w:rsid w:val="000124F7"/>
    <w:rsid w:val="0001260B"/>
    <w:rsid w:val="00012698"/>
    <w:rsid w:val="00012704"/>
    <w:rsid w:val="000128BE"/>
    <w:rsid w:val="00012E19"/>
    <w:rsid w:val="00012EA7"/>
    <w:rsid w:val="00012EFE"/>
    <w:rsid w:val="000130FC"/>
    <w:rsid w:val="0001335B"/>
    <w:rsid w:val="000135CA"/>
    <w:rsid w:val="00013665"/>
    <w:rsid w:val="00013760"/>
    <w:rsid w:val="000138E3"/>
    <w:rsid w:val="0001397D"/>
    <w:rsid w:val="00013A4A"/>
    <w:rsid w:val="00013B0B"/>
    <w:rsid w:val="00013B73"/>
    <w:rsid w:val="00013BC7"/>
    <w:rsid w:val="00013D38"/>
    <w:rsid w:val="00013E20"/>
    <w:rsid w:val="000140F9"/>
    <w:rsid w:val="00014390"/>
    <w:rsid w:val="00014493"/>
    <w:rsid w:val="0001487A"/>
    <w:rsid w:val="00014992"/>
    <w:rsid w:val="00014A15"/>
    <w:rsid w:val="00014B9F"/>
    <w:rsid w:val="00014F14"/>
    <w:rsid w:val="000151DB"/>
    <w:rsid w:val="00015298"/>
    <w:rsid w:val="00015517"/>
    <w:rsid w:val="000155AC"/>
    <w:rsid w:val="000155DC"/>
    <w:rsid w:val="000157E5"/>
    <w:rsid w:val="00015854"/>
    <w:rsid w:val="000158B2"/>
    <w:rsid w:val="00015A0E"/>
    <w:rsid w:val="00015B56"/>
    <w:rsid w:val="00015BD7"/>
    <w:rsid w:val="00015D32"/>
    <w:rsid w:val="00015D44"/>
    <w:rsid w:val="00015E53"/>
    <w:rsid w:val="00015EF1"/>
    <w:rsid w:val="00016049"/>
    <w:rsid w:val="00016A55"/>
    <w:rsid w:val="00016C6B"/>
    <w:rsid w:val="00016D0B"/>
    <w:rsid w:val="000170DE"/>
    <w:rsid w:val="000171B2"/>
    <w:rsid w:val="000171B6"/>
    <w:rsid w:val="000171E2"/>
    <w:rsid w:val="00017465"/>
    <w:rsid w:val="0001748F"/>
    <w:rsid w:val="000174A2"/>
    <w:rsid w:val="0001775B"/>
    <w:rsid w:val="0001784A"/>
    <w:rsid w:val="00017AA8"/>
    <w:rsid w:val="00017C23"/>
    <w:rsid w:val="00017D47"/>
    <w:rsid w:val="00020168"/>
    <w:rsid w:val="00020246"/>
    <w:rsid w:val="000202EB"/>
    <w:rsid w:val="0002042E"/>
    <w:rsid w:val="0002048F"/>
    <w:rsid w:val="0002061D"/>
    <w:rsid w:val="0002066C"/>
    <w:rsid w:val="00020817"/>
    <w:rsid w:val="00020900"/>
    <w:rsid w:val="00020986"/>
    <w:rsid w:val="00020DF0"/>
    <w:rsid w:val="00020EB4"/>
    <w:rsid w:val="00020ECE"/>
    <w:rsid w:val="00020FE6"/>
    <w:rsid w:val="0002113B"/>
    <w:rsid w:val="00021283"/>
    <w:rsid w:val="0002144B"/>
    <w:rsid w:val="0002163B"/>
    <w:rsid w:val="0002184C"/>
    <w:rsid w:val="00021DF4"/>
    <w:rsid w:val="00021FF4"/>
    <w:rsid w:val="00021FFF"/>
    <w:rsid w:val="000220A8"/>
    <w:rsid w:val="000221E3"/>
    <w:rsid w:val="00022210"/>
    <w:rsid w:val="000222FD"/>
    <w:rsid w:val="0002235E"/>
    <w:rsid w:val="00022776"/>
    <w:rsid w:val="00022B18"/>
    <w:rsid w:val="00022B4A"/>
    <w:rsid w:val="00022DB4"/>
    <w:rsid w:val="00022E25"/>
    <w:rsid w:val="00022E5F"/>
    <w:rsid w:val="00023100"/>
    <w:rsid w:val="00023245"/>
    <w:rsid w:val="000232D8"/>
    <w:rsid w:val="000232F5"/>
    <w:rsid w:val="0002339A"/>
    <w:rsid w:val="00023414"/>
    <w:rsid w:val="000236E3"/>
    <w:rsid w:val="00023B0B"/>
    <w:rsid w:val="00023BD6"/>
    <w:rsid w:val="00023C9E"/>
    <w:rsid w:val="00023D65"/>
    <w:rsid w:val="00023E67"/>
    <w:rsid w:val="000240E2"/>
    <w:rsid w:val="00024694"/>
    <w:rsid w:val="000246EF"/>
    <w:rsid w:val="0002481E"/>
    <w:rsid w:val="00024C86"/>
    <w:rsid w:val="00025009"/>
    <w:rsid w:val="000250B5"/>
    <w:rsid w:val="000254AC"/>
    <w:rsid w:val="0002591A"/>
    <w:rsid w:val="00025CC7"/>
    <w:rsid w:val="00025D04"/>
    <w:rsid w:val="00025DA5"/>
    <w:rsid w:val="00025EA8"/>
    <w:rsid w:val="00025FB9"/>
    <w:rsid w:val="0002606A"/>
    <w:rsid w:val="0002612D"/>
    <w:rsid w:val="000263AC"/>
    <w:rsid w:val="0002674F"/>
    <w:rsid w:val="0002694C"/>
    <w:rsid w:val="00026BBF"/>
    <w:rsid w:val="00026BE1"/>
    <w:rsid w:val="00026CB7"/>
    <w:rsid w:val="00026D05"/>
    <w:rsid w:val="00026D62"/>
    <w:rsid w:val="00026E0D"/>
    <w:rsid w:val="00027076"/>
    <w:rsid w:val="0002707E"/>
    <w:rsid w:val="0002709B"/>
    <w:rsid w:val="000271EF"/>
    <w:rsid w:val="0002728E"/>
    <w:rsid w:val="00027408"/>
    <w:rsid w:val="000274B9"/>
    <w:rsid w:val="000274FD"/>
    <w:rsid w:val="0002751F"/>
    <w:rsid w:val="0002778E"/>
    <w:rsid w:val="00027988"/>
    <w:rsid w:val="00027C84"/>
    <w:rsid w:val="00027CBE"/>
    <w:rsid w:val="00027DD7"/>
    <w:rsid w:val="00027FC2"/>
    <w:rsid w:val="00027FEA"/>
    <w:rsid w:val="0003030A"/>
    <w:rsid w:val="000303D4"/>
    <w:rsid w:val="00030499"/>
    <w:rsid w:val="00030942"/>
    <w:rsid w:val="00030C23"/>
    <w:rsid w:val="00030C90"/>
    <w:rsid w:val="00030D80"/>
    <w:rsid w:val="00030DC1"/>
    <w:rsid w:val="00030EB0"/>
    <w:rsid w:val="00030F0F"/>
    <w:rsid w:val="00030F29"/>
    <w:rsid w:val="000314A6"/>
    <w:rsid w:val="00031640"/>
    <w:rsid w:val="00031759"/>
    <w:rsid w:val="000319EE"/>
    <w:rsid w:val="00031C39"/>
    <w:rsid w:val="00031C8A"/>
    <w:rsid w:val="00031E8A"/>
    <w:rsid w:val="00031F7D"/>
    <w:rsid w:val="00031F9B"/>
    <w:rsid w:val="00032228"/>
    <w:rsid w:val="000322D7"/>
    <w:rsid w:val="00032380"/>
    <w:rsid w:val="000323AC"/>
    <w:rsid w:val="000324DE"/>
    <w:rsid w:val="0003259B"/>
    <w:rsid w:val="00032961"/>
    <w:rsid w:val="00032A10"/>
    <w:rsid w:val="00032A8F"/>
    <w:rsid w:val="00032CEC"/>
    <w:rsid w:val="00032DAE"/>
    <w:rsid w:val="00032DB5"/>
    <w:rsid w:val="00032DF9"/>
    <w:rsid w:val="000331D2"/>
    <w:rsid w:val="000333FE"/>
    <w:rsid w:val="00033422"/>
    <w:rsid w:val="000334DA"/>
    <w:rsid w:val="000334F9"/>
    <w:rsid w:val="000335BE"/>
    <w:rsid w:val="00033764"/>
    <w:rsid w:val="000337D6"/>
    <w:rsid w:val="0003380E"/>
    <w:rsid w:val="00033BFB"/>
    <w:rsid w:val="00033D91"/>
    <w:rsid w:val="00033E0D"/>
    <w:rsid w:val="00033E9A"/>
    <w:rsid w:val="00033FE1"/>
    <w:rsid w:val="00034029"/>
    <w:rsid w:val="000340B7"/>
    <w:rsid w:val="0003415F"/>
    <w:rsid w:val="000341E9"/>
    <w:rsid w:val="0003456C"/>
    <w:rsid w:val="000345AE"/>
    <w:rsid w:val="000345E4"/>
    <w:rsid w:val="0003469B"/>
    <w:rsid w:val="000347B3"/>
    <w:rsid w:val="000347F4"/>
    <w:rsid w:val="000348FE"/>
    <w:rsid w:val="00034CA9"/>
    <w:rsid w:val="00034E7E"/>
    <w:rsid w:val="000351C7"/>
    <w:rsid w:val="000352A0"/>
    <w:rsid w:val="00035412"/>
    <w:rsid w:val="0003542D"/>
    <w:rsid w:val="00035498"/>
    <w:rsid w:val="000357C5"/>
    <w:rsid w:val="00035B1A"/>
    <w:rsid w:val="00035C05"/>
    <w:rsid w:val="00035C22"/>
    <w:rsid w:val="00035DF8"/>
    <w:rsid w:val="00035E3D"/>
    <w:rsid w:val="00035FD0"/>
    <w:rsid w:val="00035FD3"/>
    <w:rsid w:val="000361C7"/>
    <w:rsid w:val="000361E3"/>
    <w:rsid w:val="0003624A"/>
    <w:rsid w:val="00036510"/>
    <w:rsid w:val="0003677D"/>
    <w:rsid w:val="00036A61"/>
    <w:rsid w:val="00036BD5"/>
    <w:rsid w:val="00036CA6"/>
    <w:rsid w:val="00036CC6"/>
    <w:rsid w:val="00036CF0"/>
    <w:rsid w:val="00036CFC"/>
    <w:rsid w:val="00036D75"/>
    <w:rsid w:val="00036E89"/>
    <w:rsid w:val="00036E8C"/>
    <w:rsid w:val="000370F7"/>
    <w:rsid w:val="00037135"/>
    <w:rsid w:val="00037280"/>
    <w:rsid w:val="000373B8"/>
    <w:rsid w:val="00037437"/>
    <w:rsid w:val="00037479"/>
    <w:rsid w:val="000374F2"/>
    <w:rsid w:val="00037544"/>
    <w:rsid w:val="0003756B"/>
    <w:rsid w:val="00037608"/>
    <w:rsid w:val="00037975"/>
    <w:rsid w:val="00037CB9"/>
    <w:rsid w:val="00037FE1"/>
    <w:rsid w:val="000401EB"/>
    <w:rsid w:val="00040331"/>
    <w:rsid w:val="000405FB"/>
    <w:rsid w:val="0004065B"/>
    <w:rsid w:val="00040849"/>
    <w:rsid w:val="000408B5"/>
    <w:rsid w:val="00040956"/>
    <w:rsid w:val="00040AB0"/>
    <w:rsid w:val="00040B1F"/>
    <w:rsid w:val="00040BBF"/>
    <w:rsid w:val="00040C24"/>
    <w:rsid w:val="00041300"/>
    <w:rsid w:val="00041381"/>
    <w:rsid w:val="0004144A"/>
    <w:rsid w:val="000414B2"/>
    <w:rsid w:val="000414E7"/>
    <w:rsid w:val="000415D7"/>
    <w:rsid w:val="00041705"/>
    <w:rsid w:val="00041721"/>
    <w:rsid w:val="000417E2"/>
    <w:rsid w:val="000418F2"/>
    <w:rsid w:val="00041AF0"/>
    <w:rsid w:val="00041D3C"/>
    <w:rsid w:val="00041EB0"/>
    <w:rsid w:val="00041F38"/>
    <w:rsid w:val="00041F4D"/>
    <w:rsid w:val="00041FD2"/>
    <w:rsid w:val="00041FF1"/>
    <w:rsid w:val="0004225F"/>
    <w:rsid w:val="00042459"/>
    <w:rsid w:val="00042461"/>
    <w:rsid w:val="00042547"/>
    <w:rsid w:val="000426CB"/>
    <w:rsid w:val="0004296F"/>
    <w:rsid w:val="00042A68"/>
    <w:rsid w:val="00042B5D"/>
    <w:rsid w:val="00042DAC"/>
    <w:rsid w:val="0004308A"/>
    <w:rsid w:val="00043188"/>
    <w:rsid w:val="000431C2"/>
    <w:rsid w:val="000432EC"/>
    <w:rsid w:val="000434C3"/>
    <w:rsid w:val="000434CC"/>
    <w:rsid w:val="000434E9"/>
    <w:rsid w:val="00043634"/>
    <w:rsid w:val="0004369F"/>
    <w:rsid w:val="00043970"/>
    <w:rsid w:val="000439A4"/>
    <w:rsid w:val="00043AD8"/>
    <w:rsid w:val="00043BA2"/>
    <w:rsid w:val="00043C2C"/>
    <w:rsid w:val="00043CC8"/>
    <w:rsid w:val="00043DBB"/>
    <w:rsid w:val="00043FEF"/>
    <w:rsid w:val="0004406D"/>
    <w:rsid w:val="00044088"/>
    <w:rsid w:val="00044135"/>
    <w:rsid w:val="00044324"/>
    <w:rsid w:val="00044372"/>
    <w:rsid w:val="0004439A"/>
    <w:rsid w:val="00044409"/>
    <w:rsid w:val="000444FC"/>
    <w:rsid w:val="0004454A"/>
    <w:rsid w:val="00044719"/>
    <w:rsid w:val="00044E70"/>
    <w:rsid w:val="00044FDC"/>
    <w:rsid w:val="00045033"/>
    <w:rsid w:val="0004503F"/>
    <w:rsid w:val="000450CE"/>
    <w:rsid w:val="00045115"/>
    <w:rsid w:val="000453BE"/>
    <w:rsid w:val="00045440"/>
    <w:rsid w:val="000455A9"/>
    <w:rsid w:val="000455DD"/>
    <w:rsid w:val="00045732"/>
    <w:rsid w:val="000457AA"/>
    <w:rsid w:val="00045A39"/>
    <w:rsid w:val="00045AD3"/>
    <w:rsid w:val="00045BCE"/>
    <w:rsid w:val="00045FD8"/>
    <w:rsid w:val="000460ED"/>
    <w:rsid w:val="00046138"/>
    <w:rsid w:val="000462F6"/>
    <w:rsid w:val="00046357"/>
    <w:rsid w:val="00046381"/>
    <w:rsid w:val="000463F7"/>
    <w:rsid w:val="000466E2"/>
    <w:rsid w:val="000466E5"/>
    <w:rsid w:val="000469AA"/>
    <w:rsid w:val="00046B25"/>
    <w:rsid w:val="00046F48"/>
    <w:rsid w:val="00047198"/>
    <w:rsid w:val="0004721A"/>
    <w:rsid w:val="000472A0"/>
    <w:rsid w:val="000475BE"/>
    <w:rsid w:val="000477BA"/>
    <w:rsid w:val="00047837"/>
    <w:rsid w:val="0004783A"/>
    <w:rsid w:val="00047A5E"/>
    <w:rsid w:val="00047ADF"/>
    <w:rsid w:val="00047C52"/>
    <w:rsid w:val="00047D0A"/>
    <w:rsid w:val="00047DC0"/>
    <w:rsid w:val="00047E3C"/>
    <w:rsid w:val="00047F9A"/>
    <w:rsid w:val="00050384"/>
    <w:rsid w:val="00050572"/>
    <w:rsid w:val="00050601"/>
    <w:rsid w:val="000508C9"/>
    <w:rsid w:val="00050B2D"/>
    <w:rsid w:val="00050C84"/>
    <w:rsid w:val="00051053"/>
    <w:rsid w:val="000510DF"/>
    <w:rsid w:val="000512A8"/>
    <w:rsid w:val="0005155F"/>
    <w:rsid w:val="000516FB"/>
    <w:rsid w:val="00051829"/>
    <w:rsid w:val="000519EB"/>
    <w:rsid w:val="00051B08"/>
    <w:rsid w:val="00051BEB"/>
    <w:rsid w:val="00051D2B"/>
    <w:rsid w:val="00051D3A"/>
    <w:rsid w:val="00051E24"/>
    <w:rsid w:val="00051FF6"/>
    <w:rsid w:val="0005212E"/>
    <w:rsid w:val="00052265"/>
    <w:rsid w:val="000526DD"/>
    <w:rsid w:val="00052803"/>
    <w:rsid w:val="00052885"/>
    <w:rsid w:val="00052B46"/>
    <w:rsid w:val="00052CC6"/>
    <w:rsid w:val="00052DEC"/>
    <w:rsid w:val="00052FBB"/>
    <w:rsid w:val="000530CF"/>
    <w:rsid w:val="000531B1"/>
    <w:rsid w:val="0005320E"/>
    <w:rsid w:val="000532BF"/>
    <w:rsid w:val="000532DE"/>
    <w:rsid w:val="000532F4"/>
    <w:rsid w:val="00053320"/>
    <w:rsid w:val="0005355F"/>
    <w:rsid w:val="0005366B"/>
    <w:rsid w:val="0005376F"/>
    <w:rsid w:val="0005381F"/>
    <w:rsid w:val="00053831"/>
    <w:rsid w:val="00053924"/>
    <w:rsid w:val="00053A0E"/>
    <w:rsid w:val="00053B5A"/>
    <w:rsid w:val="00053C17"/>
    <w:rsid w:val="00053D6E"/>
    <w:rsid w:val="000543F6"/>
    <w:rsid w:val="0005441D"/>
    <w:rsid w:val="00054436"/>
    <w:rsid w:val="0005447F"/>
    <w:rsid w:val="00054715"/>
    <w:rsid w:val="00054E40"/>
    <w:rsid w:val="00055197"/>
    <w:rsid w:val="000551A8"/>
    <w:rsid w:val="000552D4"/>
    <w:rsid w:val="000554FF"/>
    <w:rsid w:val="0005550F"/>
    <w:rsid w:val="00055532"/>
    <w:rsid w:val="00055765"/>
    <w:rsid w:val="00055EB7"/>
    <w:rsid w:val="00055F8A"/>
    <w:rsid w:val="00056226"/>
    <w:rsid w:val="0005623B"/>
    <w:rsid w:val="00056729"/>
    <w:rsid w:val="000567A6"/>
    <w:rsid w:val="000567FC"/>
    <w:rsid w:val="00056A06"/>
    <w:rsid w:val="00056B1E"/>
    <w:rsid w:val="00056BAB"/>
    <w:rsid w:val="00056F9E"/>
    <w:rsid w:val="0005706E"/>
    <w:rsid w:val="000570C5"/>
    <w:rsid w:val="00057122"/>
    <w:rsid w:val="0005754D"/>
    <w:rsid w:val="0005757A"/>
    <w:rsid w:val="000575C6"/>
    <w:rsid w:val="0005789D"/>
    <w:rsid w:val="00057950"/>
    <w:rsid w:val="00057B18"/>
    <w:rsid w:val="00057BFD"/>
    <w:rsid w:val="00057C8F"/>
    <w:rsid w:val="00057E0B"/>
    <w:rsid w:val="00057F25"/>
    <w:rsid w:val="00057FB8"/>
    <w:rsid w:val="0006008A"/>
    <w:rsid w:val="0006018B"/>
    <w:rsid w:val="00060281"/>
    <w:rsid w:val="0006046D"/>
    <w:rsid w:val="0006053B"/>
    <w:rsid w:val="0006055A"/>
    <w:rsid w:val="00060597"/>
    <w:rsid w:val="00060716"/>
    <w:rsid w:val="00060999"/>
    <w:rsid w:val="00060B6A"/>
    <w:rsid w:val="00060CC9"/>
    <w:rsid w:val="00060DDB"/>
    <w:rsid w:val="000612A0"/>
    <w:rsid w:val="000612CB"/>
    <w:rsid w:val="00061346"/>
    <w:rsid w:val="0006138F"/>
    <w:rsid w:val="0006151E"/>
    <w:rsid w:val="0006166D"/>
    <w:rsid w:val="00061677"/>
    <w:rsid w:val="000616A3"/>
    <w:rsid w:val="000616BC"/>
    <w:rsid w:val="00061C99"/>
    <w:rsid w:val="00061F96"/>
    <w:rsid w:val="0006222C"/>
    <w:rsid w:val="0006223C"/>
    <w:rsid w:val="000622D1"/>
    <w:rsid w:val="00062351"/>
    <w:rsid w:val="0006265B"/>
    <w:rsid w:val="000626AA"/>
    <w:rsid w:val="00062704"/>
    <w:rsid w:val="00062708"/>
    <w:rsid w:val="000628BA"/>
    <w:rsid w:val="0006293D"/>
    <w:rsid w:val="00062ACF"/>
    <w:rsid w:val="00062C15"/>
    <w:rsid w:val="00062E11"/>
    <w:rsid w:val="0006300F"/>
    <w:rsid w:val="000631B5"/>
    <w:rsid w:val="00063263"/>
    <w:rsid w:val="00063387"/>
    <w:rsid w:val="000636A9"/>
    <w:rsid w:val="000638C8"/>
    <w:rsid w:val="00063C6A"/>
    <w:rsid w:val="00063DF3"/>
    <w:rsid w:val="00064351"/>
    <w:rsid w:val="0006444F"/>
    <w:rsid w:val="000644FB"/>
    <w:rsid w:val="00064671"/>
    <w:rsid w:val="00064A31"/>
    <w:rsid w:val="00064D1A"/>
    <w:rsid w:val="000650EB"/>
    <w:rsid w:val="00065362"/>
    <w:rsid w:val="0006555B"/>
    <w:rsid w:val="000656E6"/>
    <w:rsid w:val="00065A26"/>
    <w:rsid w:val="00065C32"/>
    <w:rsid w:val="00065D13"/>
    <w:rsid w:val="00065DBF"/>
    <w:rsid w:val="000663AD"/>
    <w:rsid w:val="00066725"/>
    <w:rsid w:val="000668AA"/>
    <w:rsid w:val="00066980"/>
    <w:rsid w:val="00066B31"/>
    <w:rsid w:val="00066C43"/>
    <w:rsid w:val="00066E6E"/>
    <w:rsid w:val="000671C9"/>
    <w:rsid w:val="000672A6"/>
    <w:rsid w:val="00067477"/>
    <w:rsid w:val="00067599"/>
    <w:rsid w:val="00067B4F"/>
    <w:rsid w:val="00067B5B"/>
    <w:rsid w:val="00067CA3"/>
    <w:rsid w:val="00070089"/>
    <w:rsid w:val="00070125"/>
    <w:rsid w:val="000702C1"/>
    <w:rsid w:val="00070390"/>
    <w:rsid w:val="000703E3"/>
    <w:rsid w:val="000705DE"/>
    <w:rsid w:val="00070775"/>
    <w:rsid w:val="000707F7"/>
    <w:rsid w:val="0007085A"/>
    <w:rsid w:val="00070B37"/>
    <w:rsid w:val="00070B74"/>
    <w:rsid w:val="00070CCF"/>
    <w:rsid w:val="00070E77"/>
    <w:rsid w:val="00071096"/>
    <w:rsid w:val="00071279"/>
    <w:rsid w:val="000712D3"/>
    <w:rsid w:val="000713F9"/>
    <w:rsid w:val="00071463"/>
    <w:rsid w:val="00071466"/>
    <w:rsid w:val="00071DA3"/>
    <w:rsid w:val="00071E59"/>
    <w:rsid w:val="00072079"/>
    <w:rsid w:val="000723EB"/>
    <w:rsid w:val="000724B7"/>
    <w:rsid w:val="000725C2"/>
    <w:rsid w:val="000725F9"/>
    <w:rsid w:val="000727E6"/>
    <w:rsid w:val="000728E6"/>
    <w:rsid w:val="0007291A"/>
    <w:rsid w:val="00072B8C"/>
    <w:rsid w:val="00072BE8"/>
    <w:rsid w:val="00072E59"/>
    <w:rsid w:val="00072E97"/>
    <w:rsid w:val="0007310D"/>
    <w:rsid w:val="000731AA"/>
    <w:rsid w:val="0007332C"/>
    <w:rsid w:val="0007340A"/>
    <w:rsid w:val="00073527"/>
    <w:rsid w:val="0007352A"/>
    <w:rsid w:val="000736DA"/>
    <w:rsid w:val="000738BC"/>
    <w:rsid w:val="00073915"/>
    <w:rsid w:val="00073A88"/>
    <w:rsid w:val="00073B83"/>
    <w:rsid w:val="00073DF8"/>
    <w:rsid w:val="00073FAC"/>
    <w:rsid w:val="0007404D"/>
    <w:rsid w:val="00074088"/>
    <w:rsid w:val="000742A2"/>
    <w:rsid w:val="00074371"/>
    <w:rsid w:val="0007440F"/>
    <w:rsid w:val="00074416"/>
    <w:rsid w:val="000744DB"/>
    <w:rsid w:val="00074593"/>
    <w:rsid w:val="000746C7"/>
    <w:rsid w:val="00074718"/>
    <w:rsid w:val="000747A8"/>
    <w:rsid w:val="00074862"/>
    <w:rsid w:val="000749B3"/>
    <w:rsid w:val="00074BAA"/>
    <w:rsid w:val="00074DDC"/>
    <w:rsid w:val="00074E0C"/>
    <w:rsid w:val="00074F8B"/>
    <w:rsid w:val="0007522B"/>
    <w:rsid w:val="0007527D"/>
    <w:rsid w:val="00075456"/>
    <w:rsid w:val="0007565D"/>
    <w:rsid w:val="00075748"/>
    <w:rsid w:val="00075769"/>
    <w:rsid w:val="000757A2"/>
    <w:rsid w:val="00075A24"/>
    <w:rsid w:val="00075A50"/>
    <w:rsid w:val="00075E47"/>
    <w:rsid w:val="000761D7"/>
    <w:rsid w:val="00076429"/>
    <w:rsid w:val="0007669A"/>
    <w:rsid w:val="0007681B"/>
    <w:rsid w:val="000769A0"/>
    <w:rsid w:val="000769C6"/>
    <w:rsid w:val="00076C0D"/>
    <w:rsid w:val="00076C4A"/>
    <w:rsid w:val="00076CED"/>
    <w:rsid w:val="00076FD7"/>
    <w:rsid w:val="000771DD"/>
    <w:rsid w:val="00077246"/>
    <w:rsid w:val="00077787"/>
    <w:rsid w:val="000777ED"/>
    <w:rsid w:val="000778EE"/>
    <w:rsid w:val="00077C0A"/>
    <w:rsid w:val="00077E84"/>
    <w:rsid w:val="00077E8F"/>
    <w:rsid w:val="00077FFE"/>
    <w:rsid w:val="00080232"/>
    <w:rsid w:val="00080447"/>
    <w:rsid w:val="000804F8"/>
    <w:rsid w:val="0008051A"/>
    <w:rsid w:val="0008059D"/>
    <w:rsid w:val="000805CB"/>
    <w:rsid w:val="00080959"/>
    <w:rsid w:val="00080B6B"/>
    <w:rsid w:val="00080C0F"/>
    <w:rsid w:val="00080C37"/>
    <w:rsid w:val="00080C8E"/>
    <w:rsid w:val="00080F3B"/>
    <w:rsid w:val="000811E6"/>
    <w:rsid w:val="0008126E"/>
    <w:rsid w:val="00081272"/>
    <w:rsid w:val="00081405"/>
    <w:rsid w:val="0008143D"/>
    <w:rsid w:val="00081487"/>
    <w:rsid w:val="000815F2"/>
    <w:rsid w:val="000815F3"/>
    <w:rsid w:val="0008171D"/>
    <w:rsid w:val="0008185E"/>
    <w:rsid w:val="0008186D"/>
    <w:rsid w:val="000819E2"/>
    <w:rsid w:val="00081AD6"/>
    <w:rsid w:val="000821EF"/>
    <w:rsid w:val="00082284"/>
    <w:rsid w:val="000823A4"/>
    <w:rsid w:val="000824E4"/>
    <w:rsid w:val="000827BC"/>
    <w:rsid w:val="00082807"/>
    <w:rsid w:val="000829D7"/>
    <w:rsid w:val="00082BF5"/>
    <w:rsid w:val="00082C7C"/>
    <w:rsid w:val="00082D0A"/>
    <w:rsid w:val="0008315D"/>
    <w:rsid w:val="0008327F"/>
    <w:rsid w:val="00083484"/>
    <w:rsid w:val="00083688"/>
    <w:rsid w:val="000837BA"/>
    <w:rsid w:val="00083A36"/>
    <w:rsid w:val="00083A8C"/>
    <w:rsid w:val="00083B15"/>
    <w:rsid w:val="00083EBE"/>
    <w:rsid w:val="0008419A"/>
    <w:rsid w:val="00084241"/>
    <w:rsid w:val="000844C3"/>
    <w:rsid w:val="00084531"/>
    <w:rsid w:val="0008494E"/>
    <w:rsid w:val="00084A3E"/>
    <w:rsid w:val="00084CA2"/>
    <w:rsid w:val="00084FB1"/>
    <w:rsid w:val="00085053"/>
    <w:rsid w:val="0008523F"/>
    <w:rsid w:val="0008534A"/>
    <w:rsid w:val="000853CD"/>
    <w:rsid w:val="000854B8"/>
    <w:rsid w:val="00085523"/>
    <w:rsid w:val="000855A7"/>
    <w:rsid w:val="00085627"/>
    <w:rsid w:val="0008567D"/>
    <w:rsid w:val="000857EF"/>
    <w:rsid w:val="000857F6"/>
    <w:rsid w:val="000857FD"/>
    <w:rsid w:val="0008584B"/>
    <w:rsid w:val="00085873"/>
    <w:rsid w:val="000858FD"/>
    <w:rsid w:val="00085917"/>
    <w:rsid w:val="0008592B"/>
    <w:rsid w:val="00085A20"/>
    <w:rsid w:val="00085BD8"/>
    <w:rsid w:val="00085C16"/>
    <w:rsid w:val="00086069"/>
    <w:rsid w:val="00086107"/>
    <w:rsid w:val="00086877"/>
    <w:rsid w:val="00086882"/>
    <w:rsid w:val="00086944"/>
    <w:rsid w:val="00086CB9"/>
    <w:rsid w:val="00086CC7"/>
    <w:rsid w:val="00086D1F"/>
    <w:rsid w:val="00086F43"/>
    <w:rsid w:val="0008702A"/>
    <w:rsid w:val="000871DE"/>
    <w:rsid w:val="00087392"/>
    <w:rsid w:val="0008743D"/>
    <w:rsid w:val="00087467"/>
    <w:rsid w:val="0008764C"/>
    <w:rsid w:val="0008772F"/>
    <w:rsid w:val="00087869"/>
    <w:rsid w:val="0008798E"/>
    <w:rsid w:val="00087C2A"/>
    <w:rsid w:val="00087CC5"/>
    <w:rsid w:val="00087CEF"/>
    <w:rsid w:val="00087D7F"/>
    <w:rsid w:val="00087DF0"/>
    <w:rsid w:val="00087EBB"/>
    <w:rsid w:val="00087FBB"/>
    <w:rsid w:val="00090019"/>
    <w:rsid w:val="0009024F"/>
    <w:rsid w:val="0009030E"/>
    <w:rsid w:val="000905ED"/>
    <w:rsid w:val="00090743"/>
    <w:rsid w:val="00090B55"/>
    <w:rsid w:val="00090CCE"/>
    <w:rsid w:val="00090DB6"/>
    <w:rsid w:val="00091319"/>
    <w:rsid w:val="00091390"/>
    <w:rsid w:val="0009151E"/>
    <w:rsid w:val="000915B5"/>
    <w:rsid w:val="0009177C"/>
    <w:rsid w:val="0009182F"/>
    <w:rsid w:val="00091885"/>
    <w:rsid w:val="00091952"/>
    <w:rsid w:val="00091B90"/>
    <w:rsid w:val="00091C3C"/>
    <w:rsid w:val="00091D10"/>
    <w:rsid w:val="00091D95"/>
    <w:rsid w:val="0009234C"/>
    <w:rsid w:val="000924E8"/>
    <w:rsid w:val="0009260D"/>
    <w:rsid w:val="000926CC"/>
    <w:rsid w:val="000926DD"/>
    <w:rsid w:val="000927B0"/>
    <w:rsid w:val="00092857"/>
    <w:rsid w:val="00092963"/>
    <w:rsid w:val="00092E4D"/>
    <w:rsid w:val="00092EB7"/>
    <w:rsid w:val="0009313D"/>
    <w:rsid w:val="0009337E"/>
    <w:rsid w:val="000934B6"/>
    <w:rsid w:val="000935CD"/>
    <w:rsid w:val="000936D1"/>
    <w:rsid w:val="000937D3"/>
    <w:rsid w:val="00093C39"/>
    <w:rsid w:val="00093F2D"/>
    <w:rsid w:val="00093F3A"/>
    <w:rsid w:val="00093F3F"/>
    <w:rsid w:val="000940D2"/>
    <w:rsid w:val="000940F2"/>
    <w:rsid w:val="00094154"/>
    <w:rsid w:val="00094491"/>
    <w:rsid w:val="000945A2"/>
    <w:rsid w:val="000945C5"/>
    <w:rsid w:val="00094771"/>
    <w:rsid w:val="000947B4"/>
    <w:rsid w:val="000948C5"/>
    <w:rsid w:val="0009491E"/>
    <w:rsid w:val="00094A03"/>
    <w:rsid w:val="00094B50"/>
    <w:rsid w:val="00094C31"/>
    <w:rsid w:val="00094C93"/>
    <w:rsid w:val="00094CC4"/>
    <w:rsid w:val="00094DCB"/>
    <w:rsid w:val="00094E9D"/>
    <w:rsid w:val="00095266"/>
    <w:rsid w:val="00095374"/>
    <w:rsid w:val="00095385"/>
    <w:rsid w:val="000953E3"/>
    <w:rsid w:val="0009552E"/>
    <w:rsid w:val="00095546"/>
    <w:rsid w:val="00095569"/>
    <w:rsid w:val="000955C1"/>
    <w:rsid w:val="00095654"/>
    <w:rsid w:val="00095DD5"/>
    <w:rsid w:val="00095E16"/>
    <w:rsid w:val="00095EA8"/>
    <w:rsid w:val="000960EF"/>
    <w:rsid w:val="00096218"/>
    <w:rsid w:val="0009634E"/>
    <w:rsid w:val="000966AD"/>
    <w:rsid w:val="000967DB"/>
    <w:rsid w:val="00096AC8"/>
    <w:rsid w:val="00096C0E"/>
    <w:rsid w:val="00096D82"/>
    <w:rsid w:val="00096D8C"/>
    <w:rsid w:val="00097249"/>
    <w:rsid w:val="000972B8"/>
    <w:rsid w:val="000973DC"/>
    <w:rsid w:val="000975DE"/>
    <w:rsid w:val="00097781"/>
    <w:rsid w:val="00097904"/>
    <w:rsid w:val="0009791B"/>
    <w:rsid w:val="00097977"/>
    <w:rsid w:val="000A0030"/>
    <w:rsid w:val="000A05D1"/>
    <w:rsid w:val="000A0635"/>
    <w:rsid w:val="000A09B8"/>
    <w:rsid w:val="000A0B8E"/>
    <w:rsid w:val="000A0CC9"/>
    <w:rsid w:val="000A0E16"/>
    <w:rsid w:val="000A0F54"/>
    <w:rsid w:val="000A1285"/>
    <w:rsid w:val="000A12BE"/>
    <w:rsid w:val="000A141C"/>
    <w:rsid w:val="000A18B3"/>
    <w:rsid w:val="000A1990"/>
    <w:rsid w:val="000A1BF0"/>
    <w:rsid w:val="000A1FB5"/>
    <w:rsid w:val="000A1FBF"/>
    <w:rsid w:val="000A1FEB"/>
    <w:rsid w:val="000A237F"/>
    <w:rsid w:val="000A2533"/>
    <w:rsid w:val="000A25A0"/>
    <w:rsid w:val="000A26B3"/>
    <w:rsid w:val="000A27CC"/>
    <w:rsid w:val="000A2926"/>
    <w:rsid w:val="000A297A"/>
    <w:rsid w:val="000A29D2"/>
    <w:rsid w:val="000A2A7C"/>
    <w:rsid w:val="000A2D43"/>
    <w:rsid w:val="000A2D55"/>
    <w:rsid w:val="000A2EDE"/>
    <w:rsid w:val="000A2FC5"/>
    <w:rsid w:val="000A2FE4"/>
    <w:rsid w:val="000A3021"/>
    <w:rsid w:val="000A3137"/>
    <w:rsid w:val="000A33B0"/>
    <w:rsid w:val="000A3529"/>
    <w:rsid w:val="000A356A"/>
    <w:rsid w:val="000A37EA"/>
    <w:rsid w:val="000A382A"/>
    <w:rsid w:val="000A389D"/>
    <w:rsid w:val="000A3BAA"/>
    <w:rsid w:val="000A3CBF"/>
    <w:rsid w:val="000A4020"/>
    <w:rsid w:val="000A420A"/>
    <w:rsid w:val="000A42F9"/>
    <w:rsid w:val="000A436E"/>
    <w:rsid w:val="000A43B3"/>
    <w:rsid w:val="000A4555"/>
    <w:rsid w:val="000A45B3"/>
    <w:rsid w:val="000A49B6"/>
    <w:rsid w:val="000A4BA9"/>
    <w:rsid w:val="000A4BF1"/>
    <w:rsid w:val="000A4D9D"/>
    <w:rsid w:val="000A5060"/>
    <w:rsid w:val="000A5527"/>
    <w:rsid w:val="000A576E"/>
    <w:rsid w:val="000A57CE"/>
    <w:rsid w:val="000A5AC0"/>
    <w:rsid w:val="000A5CA4"/>
    <w:rsid w:val="000A5D20"/>
    <w:rsid w:val="000A5DC4"/>
    <w:rsid w:val="000A63CD"/>
    <w:rsid w:val="000A65F9"/>
    <w:rsid w:val="000A6658"/>
    <w:rsid w:val="000A6690"/>
    <w:rsid w:val="000A6857"/>
    <w:rsid w:val="000A6939"/>
    <w:rsid w:val="000A6B15"/>
    <w:rsid w:val="000A6B25"/>
    <w:rsid w:val="000A6C10"/>
    <w:rsid w:val="000A6C9A"/>
    <w:rsid w:val="000A726E"/>
    <w:rsid w:val="000A7360"/>
    <w:rsid w:val="000A736C"/>
    <w:rsid w:val="000A737D"/>
    <w:rsid w:val="000A7383"/>
    <w:rsid w:val="000A74FC"/>
    <w:rsid w:val="000A76AC"/>
    <w:rsid w:val="000A77A3"/>
    <w:rsid w:val="000A77FA"/>
    <w:rsid w:val="000A78C7"/>
    <w:rsid w:val="000A78F9"/>
    <w:rsid w:val="000A7949"/>
    <w:rsid w:val="000A7AB8"/>
    <w:rsid w:val="000A7C89"/>
    <w:rsid w:val="000A7EC7"/>
    <w:rsid w:val="000A7FA1"/>
    <w:rsid w:val="000B0175"/>
    <w:rsid w:val="000B02B9"/>
    <w:rsid w:val="000B02E6"/>
    <w:rsid w:val="000B05DF"/>
    <w:rsid w:val="000B0680"/>
    <w:rsid w:val="000B084D"/>
    <w:rsid w:val="000B0925"/>
    <w:rsid w:val="000B0AB8"/>
    <w:rsid w:val="000B0BF4"/>
    <w:rsid w:val="000B0D86"/>
    <w:rsid w:val="000B10BD"/>
    <w:rsid w:val="000B1414"/>
    <w:rsid w:val="000B153D"/>
    <w:rsid w:val="000B1598"/>
    <w:rsid w:val="000B1685"/>
    <w:rsid w:val="000B1691"/>
    <w:rsid w:val="000B16A6"/>
    <w:rsid w:val="000B16C8"/>
    <w:rsid w:val="000B1813"/>
    <w:rsid w:val="000B1912"/>
    <w:rsid w:val="000B1C1B"/>
    <w:rsid w:val="000B1D79"/>
    <w:rsid w:val="000B203A"/>
    <w:rsid w:val="000B209F"/>
    <w:rsid w:val="000B214E"/>
    <w:rsid w:val="000B2238"/>
    <w:rsid w:val="000B2271"/>
    <w:rsid w:val="000B243F"/>
    <w:rsid w:val="000B2615"/>
    <w:rsid w:val="000B28EB"/>
    <w:rsid w:val="000B2A49"/>
    <w:rsid w:val="000B2F69"/>
    <w:rsid w:val="000B2FC0"/>
    <w:rsid w:val="000B3047"/>
    <w:rsid w:val="000B3055"/>
    <w:rsid w:val="000B325A"/>
    <w:rsid w:val="000B349F"/>
    <w:rsid w:val="000B3839"/>
    <w:rsid w:val="000B386C"/>
    <w:rsid w:val="000B3D5B"/>
    <w:rsid w:val="000B3D62"/>
    <w:rsid w:val="000B3EC4"/>
    <w:rsid w:val="000B41E7"/>
    <w:rsid w:val="000B4295"/>
    <w:rsid w:val="000B42EC"/>
    <w:rsid w:val="000B43FB"/>
    <w:rsid w:val="000B44FC"/>
    <w:rsid w:val="000B46AF"/>
    <w:rsid w:val="000B46F5"/>
    <w:rsid w:val="000B4727"/>
    <w:rsid w:val="000B4811"/>
    <w:rsid w:val="000B4948"/>
    <w:rsid w:val="000B4DDB"/>
    <w:rsid w:val="000B4DEE"/>
    <w:rsid w:val="000B52F5"/>
    <w:rsid w:val="000B53A9"/>
    <w:rsid w:val="000B5997"/>
    <w:rsid w:val="000B59BA"/>
    <w:rsid w:val="000B5A87"/>
    <w:rsid w:val="000B5B3F"/>
    <w:rsid w:val="000B5D36"/>
    <w:rsid w:val="000B5D46"/>
    <w:rsid w:val="000B5D5D"/>
    <w:rsid w:val="000B5E45"/>
    <w:rsid w:val="000B5E55"/>
    <w:rsid w:val="000B5EB2"/>
    <w:rsid w:val="000B5ECD"/>
    <w:rsid w:val="000B5F3F"/>
    <w:rsid w:val="000B61DD"/>
    <w:rsid w:val="000B61E8"/>
    <w:rsid w:val="000B6288"/>
    <w:rsid w:val="000B63D6"/>
    <w:rsid w:val="000B63F5"/>
    <w:rsid w:val="000B68DD"/>
    <w:rsid w:val="000B6A5A"/>
    <w:rsid w:val="000B6A96"/>
    <w:rsid w:val="000B6C70"/>
    <w:rsid w:val="000B6D08"/>
    <w:rsid w:val="000B6D66"/>
    <w:rsid w:val="000B6D9F"/>
    <w:rsid w:val="000B6E15"/>
    <w:rsid w:val="000B6E3B"/>
    <w:rsid w:val="000B6EAF"/>
    <w:rsid w:val="000B6F4D"/>
    <w:rsid w:val="000B7152"/>
    <w:rsid w:val="000B7221"/>
    <w:rsid w:val="000B73BC"/>
    <w:rsid w:val="000B740C"/>
    <w:rsid w:val="000B7566"/>
    <w:rsid w:val="000B7659"/>
    <w:rsid w:val="000B77EA"/>
    <w:rsid w:val="000B796F"/>
    <w:rsid w:val="000B7CF1"/>
    <w:rsid w:val="000C0171"/>
    <w:rsid w:val="000C01B0"/>
    <w:rsid w:val="000C0234"/>
    <w:rsid w:val="000C02BE"/>
    <w:rsid w:val="000C03AF"/>
    <w:rsid w:val="000C0612"/>
    <w:rsid w:val="000C0750"/>
    <w:rsid w:val="000C0790"/>
    <w:rsid w:val="000C07FD"/>
    <w:rsid w:val="000C090B"/>
    <w:rsid w:val="000C0937"/>
    <w:rsid w:val="000C09EF"/>
    <w:rsid w:val="000C0B1D"/>
    <w:rsid w:val="000C0DA5"/>
    <w:rsid w:val="000C1042"/>
    <w:rsid w:val="000C1053"/>
    <w:rsid w:val="000C13C4"/>
    <w:rsid w:val="000C143E"/>
    <w:rsid w:val="000C14F4"/>
    <w:rsid w:val="000C1930"/>
    <w:rsid w:val="000C1B6D"/>
    <w:rsid w:val="000C1D5F"/>
    <w:rsid w:val="000C1F48"/>
    <w:rsid w:val="000C240E"/>
    <w:rsid w:val="000C24B6"/>
    <w:rsid w:val="000C25D5"/>
    <w:rsid w:val="000C2A36"/>
    <w:rsid w:val="000C2FBD"/>
    <w:rsid w:val="000C301E"/>
    <w:rsid w:val="000C316B"/>
    <w:rsid w:val="000C32AB"/>
    <w:rsid w:val="000C33A2"/>
    <w:rsid w:val="000C3427"/>
    <w:rsid w:val="000C359E"/>
    <w:rsid w:val="000C36AB"/>
    <w:rsid w:val="000C39EA"/>
    <w:rsid w:val="000C3AB6"/>
    <w:rsid w:val="000C3BFB"/>
    <w:rsid w:val="000C3CC8"/>
    <w:rsid w:val="000C3D2E"/>
    <w:rsid w:val="000C3DFC"/>
    <w:rsid w:val="000C3E22"/>
    <w:rsid w:val="000C3ED1"/>
    <w:rsid w:val="000C3F6F"/>
    <w:rsid w:val="000C40AA"/>
    <w:rsid w:val="000C4363"/>
    <w:rsid w:val="000C441E"/>
    <w:rsid w:val="000C4471"/>
    <w:rsid w:val="000C45FE"/>
    <w:rsid w:val="000C4626"/>
    <w:rsid w:val="000C46BC"/>
    <w:rsid w:val="000C4787"/>
    <w:rsid w:val="000C47BF"/>
    <w:rsid w:val="000C4A6F"/>
    <w:rsid w:val="000C4ADF"/>
    <w:rsid w:val="000C4BCC"/>
    <w:rsid w:val="000C4C5A"/>
    <w:rsid w:val="000C4C63"/>
    <w:rsid w:val="000C567F"/>
    <w:rsid w:val="000C57D5"/>
    <w:rsid w:val="000C58D5"/>
    <w:rsid w:val="000C5B39"/>
    <w:rsid w:val="000C5C50"/>
    <w:rsid w:val="000C5D41"/>
    <w:rsid w:val="000C5ED2"/>
    <w:rsid w:val="000C60CA"/>
    <w:rsid w:val="000C6317"/>
    <w:rsid w:val="000C63D1"/>
    <w:rsid w:val="000C63FC"/>
    <w:rsid w:val="000C640D"/>
    <w:rsid w:val="000C65E4"/>
    <w:rsid w:val="000C65F8"/>
    <w:rsid w:val="000C6741"/>
    <w:rsid w:val="000C68A7"/>
    <w:rsid w:val="000C6A08"/>
    <w:rsid w:val="000C6E31"/>
    <w:rsid w:val="000C6F4F"/>
    <w:rsid w:val="000C704A"/>
    <w:rsid w:val="000C72CE"/>
    <w:rsid w:val="000C7671"/>
    <w:rsid w:val="000C7873"/>
    <w:rsid w:val="000C793A"/>
    <w:rsid w:val="000C7A4E"/>
    <w:rsid w:val="000C7A5F"/>
    <w:rsid w:val="000C7BB7"/>
    <w:rsid w:val="000C7E86"/>
    <w:rsid w:val="000D02BD"/>
    <w:rsid w:val="000D0346"/>
    <w:rsid w:val="000D06F7"/>
    <w:rsid w:val="000D0794"/>
    <w:rsid w:val="000D083C"/>
    <w:rsid w:val="000D08A4"/>
    <w:rsid w:val="000D0933"/>
    <w:rsid w:val="000D0983"/>
    <w:rsid w:val="000D0A68"/>
    <w:rsid w:val="000D0AFA"/>
    <w:rsid w:val="000D0C59"/>
    <w:rsid w:val="000D0C65"/>
    <w:rsid w:val="000D0CDA"/>
    <w:rsid w:val="000D0D75"/>
    <w:rsid w:val="000D0D76"/>
    <w:rsid w:val="000D0D82"/>
    <w:rsid w:val="000D12CC"/>
    <w:rsid w:val="000D132D"/>
    <w:rsid w:val="000D14E4"/>
    <w:rsid w:val="000D16C6"/>
    <w:rsid w:val="000D1778"/>
    <w:rsid w:val="000D179F"/>
    <w:rsid w:val="000D1948"/>
    <w:rsid w:val="000D1A4F"/>
    <w:rsid w:val="000D1A8F"/>
    <w:rsid w:val="000D1BCF"/>
    <w:rsid w:val="000D1D2B"/>
    <w:rsid w:val="000D1D45"/>
    <w:rsid w:val="000D1F93"/>
    <w:rsid w:val="000D204A"/>
    <w:rsid w:val="000D228E"/>
    <w:rsid w:val="000D2475"/>
    <w:rsid w:val="000D2600"/>
    <w:rsid w:val="000D26A4"/>
    <w:rsid w:val="000D26B7"/>
    <w:rsid w:val="000D27E3"/>
    <w:rsid w:val="000D28AC"/>
    <w:rsid w:val="000D2A51"/>
    <w:rsid w:val="000D2C06"/>
    <w:rsid w:val="000D2C25"/>
    <w:rsid w:val="000D2E15"/>
    <w:rsid w:val="000D30C9"/>
    <w:rsid w:val="000D3196"/>
    <w:rsid w:val="000D34FE"/>
    <w:rsid w:val="000D353E"/>
    <w:rsid w:val="000D37AF"/>
    <w:rsid w:val="000D3890"/>
    <w:rsid w:val="000D3970"/>
    <w:rsid w:val="000D3B56"/>
    <w:rsid w:val="000D3ED1"/>
    <w:rsid w:val="000D4089"/>
    <w:rsid w:val="000D41A4"/>
    <w:rsid w:val="000D445A"/>
    <w:rsid w:val="000D487C"/>
    <w:rsid w:val="000D4976"/>
    <w:rsid w:val="000D49C6"/>
    <w:rsid w:val="000D4D26"/>
    <w:rsid w:val="000D4F89"/>
    <w:rsid w:val="000D4FB8"/>
    <w:rsid w:val="000D5357"/>
    <w:rsid w:val="000D5647"/>
    <w:rsid w:val="000D573B"/>
    <w:rsid w:val="000D574A"/>
    <w:rsid w:val="000D59BD"/>
    <w:rsid w:val="000D5A3D"/>
    <w:rsid w:val="000D5AFE"/>
    <w:rsid w:val="000D5D02"/>
    <w:rsid w:val="000D5D0C"/>
    <w:rsid w:val="000D5F9A"/>
    <w:rsid w:val="000D607A"/>
    <w:rsid w:val="000D6217"/>
    <w:rsid w:val="000D62B1"/>
    <w:rsid w:val="000D6625"/>
    <w:rsid w:val="000D6711"/>
    <w:rsid w:val="000D682A"/>
    <w:rsid w:val="000D68A9"/>
    <w:rsid w:val="000D6924"/>
    <w:rsid w:val="000D6A2D"/>
    <w:rsid w:val="000D6A53"/>
    <w:rsid w:val="000D6E7A"/>
    <w:rsid w:val="000D6E83"/>
    <w:rsid w:val="000D6EF8"/>
    <w:rsid w:val="000D6FE0"/>
    <w:rsid w:val="000D6FFC"/>
    <w:rsid w:val="000D7235"/>
    <w:rsid w:val="000D72A7"/>
    <w:rsid w:val="000D749E"/>
    <w:rsid w:val="000D752F"/>
    <w:rsid w:val="000D7647"/>
    <w:rsid w:val="000D777A"/>
    <w:rsid w:val="000D791C"/>
    <w:rsid w:val="000D79E4"/>
    <w:rsid w:val="000D7A8A"/>
    <w:rsid w:val="000D7CBC"/>
    <w:rsid w:val="000D7DAD"/>
    <w:rsid w:val="000D7DB9"/>
    <w:rsid w:val="000D7E51"/>
    <w:rsid w:val="000D7F5E"/>
    <w:rsid w:val="000D7F62"/>
    <w:rsid w:val="000E003B"/>
    <w:rsid w:val="000E0425"/>
    <w:rsid w:val="000E05B1"/>
    <w:rsid w:val="000E0738"/>
    <w:rsid w:val="000E0745"/>
    <w:rsid w:val="000E0C57"/>
    <w:rsid w:val="000E0CDE"/>
    <w:rsid w:val="000E0D33"/>
    <w:rsid w:val="000E1265"/>
    <w:rsid w:val="000E16CD"/>
    <w:rsid w:val="000E16D8"/>
    <w:rsid w:val="000E1C46"/>
    <w:rsid w:val="000E1E1C"/>
    <w:rsid w:val="000E2017"/>
    <w:rsid w:val="000E2055"/>
    <w:rsid w:val="000E20EE"/>
    <w:rsid w:val="000E231D"/>
    <w:rsid w:val="000E2388"/>
    <w:rsid w:val="000E23E4"/>
    <w:rsid w:val="000E2535"/>
    <w:rsid w:val="000E25F5"/>
    <w:rsid w:val="000E26EE"/>
    <w:rsid w:val="000E27B3"/>
    <w:rsid w:val="000E29D5"/>
    <w:rsid w:val="000E2ABB"/>
    <w:rsid w:val="000E2AE6"/>
    <w:rsid w:val="000E2F18"/>
    <w:rsid w:val="000E2FA0"/>
    <w:rsid w:val="000E332D"/>
    <w:rsid w:val="000E33FC"/>
    <w:rsid w:val="000E3517"/>
    <w:rsid w:val="000E354D"/>
    <w:rsid w:val="000E35E6"/>
    <w:rsid w:val="000E3621"/>
    <w:rsid w:val="000E37A9"/>
    <w:rsid w:val="000E38F9"/>
    <w:rsid w:val="000E3996"/>
    <w:rsid w:val="000E3D54"/>
    <w:rsid w:val="000E3E1F"/>
    <w:rsid w:val="000E3FB6"/>
    <w:rsid w:val="000E3FB9"/>
    <w:rsid w:val="000E4168"/>
    <w:rsid w:val="000E4271"/>
    <w:rsid w:val="000E429C"/>
    <w:rsid w:val="000E433B"/>
    <w:rsid w:val="000E441E"/>
    <w:rsid w:val="000E445F"/>
    <w:rsid w:val="000E47F4"/>
    <w:rsid w:val="000E49F8"/>
    <w:rsid w:val="000E4A7D"/>
    <w:rsid w:val="000E4B04"/>
    <w:rsid w:val="000E4B61"/>
    <w:rsid w:val="000E4CC5"/>
    <w:rsid w:val="000E4DAD"/>
    <w:rsid w:val="000E4DF4"/>
    <w:rsid w:val="000E4F23"/>
    <w:rsid w:val="000E4F2B"/>
    <w:rsid w:val="000E50BF"/>
    <w:rsid w:val="000E5143"/>
    <w:rsid w:val="000E518A"/>
    <w:rsid w:val="000E528C"/>
    <w:rsid w:val="000E5374"/>
    <w:rsid w:val="000E53F4"/>
    <w:rsid w:val="000E58B4"/>
    <w:rsid w:val="000E592E"/>
    <w:rsid w:val="000E59A6"/>
    <w:rsid w:val="000E5A78"/>
    <w:rsid w:val="000E5B68"/>
    <w:rsid w:val="000E5D17"/>
    <w:rsid w:val="000E60A5"/>
    <w:rsid w:val="000E60C7"/>
    <w:rsid w:val="000E617F"/>
    <w:rsid w:val="000E62AB"/>
    <w:rsid w:val="000E63BD"/>
    <w:rsid w:val="000E652D"/>
    <w:rsid w:val="000E65F7"/>
    <w:rsid w:val="000E66F3"/>
    <w:rsid w:val="000E675B"/>
    <w:rsid w:val="000E6972"/>
    <w:rsid w:val="000E6AE3"/>
    <w:rsid w:val="000E6B6B"/>
    <w:rsid w:val="000E6BE4"/>
    <w:rsid w:val="000E6D33"/>
    <w:rsid w:val="000E6D80"/>
    <w:rsid w:val="000E6EAE"/>
    <w:rsid w:val="000E7297"/>
    <w:rsid w:val="000E7483"/>
    <w:rsid w:val="000E754E"/>
    <w:rsid w:val="000E76FF"/>
    <w:rsid w:val="000E77D1"/>
    <w:rsid w:val="000E7919"/>
    <w:rsid w:val="000E7D15"/>
    <w:rsid w:val="000E7D6F"/>
    <w:rsid w:val="000E7DF8"/>
    <w:rsid w:val="000E7E3F"/>
    <w:rsid w:val="000E7FC0"/>
    <w:rsid w:val="000F00C3"/>
    <w:rsid w:val="000F00F6"/>
    <w:rsid w:val="000F02BF"/>
    <w:rsid w:val="000F03AF"/>
    <w:rsid w:val="000F05AF"/>
    <w:rsid w:val="000F0820"/>
    <w:rsid w:val="000F0A5A"/>
    <w:rsid w:val="000F0B4C"/>
    <w:rsid w:val="000F0BC1"/>
    <w:rsid w:val="000F0E1C"/>
    <w:rsid w:val="000F0EE5"/>
    <w:rsid w:val="000F0FA0"/>
    <w:rsid w:val="000F0FF5"/>
    <w:rsid w:val="000F1091"/>
    <w:rsid w:val="000F11F3"/>
    <w:rsid w:val="000F1234"/>
    <w:rsid w:val="000F1694"/>
    <w:rsid w:val="000F1784"/>
    <w:rsid w:val="000F17E9"/>
    <w:rsid w:val="000F187A"/>
    <w:rsid w:val="000F18B8"/>
    <w:rsid w:val="000F1ABB"/>
    <w:rsid w:val="000F1C2E"/>
    <w:rsid w:val="000F1C94"/>
    <w:rsid w:val="000F1D67"/>
    <w:rsid w:val="000F1DA1"/>
    <w:rsid w:val="000F1FE3"/>
    <w:rsid w:val="000F2074"/>
    <w:rsid w:val="000F208C"/>
    <w:rsid w:val="000F2232"/>
    <w:rsid w:val="000F22E0"/>
    <w:rsid w:val="000F2456"/>
    <w:rsid w:val="000F255E"/>
    <w:rsid w:val="000F287F"/>
    <w:rsid w:val="000F2A4C"/>
    <w:rsid w:val="000F2AF0"/>
    <w:rsid w:val="000F2B23"/>
    <w:rsid w:val="000F2D40"/>
    <w:rsid w:val="000F31F1"/>
    <w:rsid w:val="000F33F2"/>
    <w:rsid w:val="000F342C"/>
    <w:rsid w:val="000F3B19"/>
    <w:rsid w:val="000F3B91"/>
    <w:rsid w:val="000F3CDB"/>
    <w:rsid w:val="000F3D53"/>
    <w:rsid w:val="000F3D98"/>
    <w:rsid w:val="000F4036"/>
    <w:rsid w:val="000F40DA"/>
    <w:rsid w:val="000F4300"/>
    <w:rsid w:val="000F444E"/>
    <w:rsid w:val="000F4679"/>
    <w:rsid w:val="000F4699"/>
    <w:rsid w:val="000F46D8"/>
    <w:rsid w:val="000F4716"/>
    <w:rsid w:val="000F474A"/>
    <w:rsid w:val="000F490C"/>
    <w:rsid w:val="000F4973"/>
    <w:rsid w:val="000F4A3E"/>
    <w:rsid w:val="000F4A8C"/>
    <w:rsid w:val="000F4B0A"/>
    <w:rsid w:val="000F4B84"/>
    <w:rsid w:val="000F4F78"/>
    <w:rsid w:val="000F50B3"/>
    <w:rsid w:val="000F53DD"/>
    <w:rsid w:val="000F5624"/>
    <w:rsid w:val="000F5659"/>
    <w:rsid w:val="000F5760"/>
    <w:rsid w:val="000F586E"/>
    <w:rsid w:val="000F5928"/>
    <w:rsid w:val="000F5A83"/>
    <w:rsid w:val="000F5B31"/>
    <w:rsid w:val="000F6028"/>
    <w:rsid w:val="000F6066"/>
    <w:rsid w:val="000F6146"/>
    <w:rsid w:val="000F61C8"/>
    <w:rsid w:val="000F6233"/>
    <w:rsid w:val="000F638A"/>
    <w:rsid w:val="000F63C4"/>
    <w:rsid w:val="000F674F"/>
    <w:rsid w:val="000F67E7"/>
    <w:rsid w:val="000F6923"/>
    <w:rsid w:val="000F6A77"/>
    <w:rsid w:val="000F6B95"/>
    <w:rsid w:val="000F6BE4"/>
    <w:rsid w:val="000F6F42"/>
    <w:rsid w:val="000F7080"/>
    <w:rsid w:val="000F70FF"/>
    <w:rsid w:val="000F7327"/>
    <w:rsid w:val="000F7684"/>
    <w:rsid w:val="000F7852"/>
    <w:rsid w:val="000F7871"/>
    <w:rsid w:val="000F7890"/>
    <w:rsid w:val="000F79AF"/>
    <w:rsid w:val="000F7A6F"/>
    <w:rsid w:val="000F7DCF"/>
    <w:rsid w:val="000F7F4F"/>
    <w:rsid w:val="000F7F55"/>
    <w:rsid w:val="000F7FF3"/>
    <w:rsid w:val="000FB558"/>
    <w:rsid w:val="00100048"/>
    <w:rsid w:val="00100356"/>
    <w:rsid w:val="001003AC"/>
    <w:rsid w:val="00100632"/>
    <w:rsid w:val="001007FB"/>
    <w:rsid w:val="00100839"/>
    <w:rsid w:val="00100AAE"/>
    <w:rsid w:val="00100B72"/>
    <w:rsid w:val="00100BEA"/>
    <w:rsid w:val="00100DBF"/>
    <w:rsid w:val="00100F69"/>
    <w:rsid w:val="00101075"/>
    <w:rsid w:val="001010FD"/>
    <w:rsid w:val="0010125D"/>
    <w:rsid w:val="001012A9"/>
    <w:rsid w:val="00101578"/>
    <w:rsid w:val="0010168D"/>
    <w:rsid w:val="00101A99"/>
    <w:rsid w:val="00101B33"/>
    <w:rsid w:val="00101C8A"/>
    <w:rsid w:val="00101E01"/>
    <w:rsid w:val="0010201A"/>
    <w:rsid w:val="0010215E"/>
    <w:rsid w:val="00102398"/>
    <w:rsid w:val="001024BC"/>
    <w:rsid w:val="00102588"/>
    <w:rsid w:val="0010265B"/>
    <w:rsid w:val="001026B8"/>
    <w:rsid w:val="0010274C"/>
    <w:rsid w:val="00102856"/>
    <w:rsid w:val="00102A53"/>
    <w:rsid w:val="00102B05"/>
    <w:rsid w:val="00102E76"/>
    <w:rsid w:val="0010304B"/>
    <w:rsid w:val="00103313"/>
    <w:rsid w:val="0010352D"/>
    <w:rsid w:val="001036DB"/>
    <w:rsid w:val="001037EA"/>
    <w:rsid w:val="00103A11"/>
    <w:rsid w:val="00103BB9"/>
    <w:rsid w:val="001040E2"/>
    <w:rsid w:val="00104102"/>
    <w:rsid w:val="001044AE"/>
    <w:rsid w:val="00104569"/>
    <w:rsid w:val="0010459D"/>
    <w:rsid w:val="00104A98"/>
    <w:rsid w:val="00104AD4"/>
    <w:rsid w:val="00104C46"/>
    <w:rsid w:val="00104CD9"/>
    <w:rsid w:val="00104D3F"/>
    <w:rsid w:val="00104FC9"/>
    <w:rsid w:val="00104FF5"/>
    <w:rsid w:val="0010512C"/>
    <w:rsid w:val="00105247"/>
    <w:rsid w:val="0010537B"/>
    <w:rsid w:val="001054A1"/>
    <w:rsid w:val="001056F6"/>
    <w:rsid w:val="001057EB"/>
    <w:rsid w:val="00105899"/>
    <w:rsid w:val="001059BC"/>
    <w:rsid w:val="00105D21"/>
    <w:rsid w:val="00105D7F"/>
    <w:rsid w:val="00105DB2"/>
    <w:rsid w:val="00105E3E"/>
    <w:rsid w:val="00105F3F"/>
    <w:rsid w:val="00105F61"/>
    <w:rsid w:val="00106777"/>
    <w:rsid w:val="00106B2A"/>
    <w:rsid w:val="00106CB3"/>
    <w:rsid w:val="00106FE1"/>
    <w:rsid w:val="001070C4"/>
    <w:rsid w:val="001072A9"/>
    <w:rsid w:val="001072D6"/>
    <w:rsid w:val="0010736F"/>
    <w:rsid w:val="0010737F"/>
    <w:rsid w:val="0010763D"/>
    <w:rsid w:val="0010787F"/>
    <w:rsid w:val="0010795F"/>
    <w:rsid w:val="00107AE0"/>
    <w:rsid w:val="00107D7A"/>
    <w:rsid w:val="00107F45"/>
    <w:rsid w:val="00110048"/>
    <w:rsid w:val="00110516"/>
    <w:rsid w:val="00110576"/>
    <w:rsid w:val="001106ED"/>
    <w:rsid w:val="001107F9"/>
    <w:rsid w:val="0011098A"/>
    <w:rsid w:val="00110BA5"/>
    <w:rsid w:val="00110FD3"/>
    <w:rsid w:val="00111059"/>
    <w:rsid w:val="00111270"/>
    <w:rsid w:val="00111284"/>
    <w:rsid w:val="00111297"/>
    <w:rsid w:val="00111669"/>
    <w:rsid w:val="001117BD"/>
    <w:rsid w:val="00111922"/>
    <w:rsid w:val="00111A16"/>
    <w:rsid w:val="00111C67"/>
    <w:rsid w:val="00111D11"/>
    <w:rsid w:val="00111F5B"/>
    <w:rsid w:val="001121F3"/>
    <w:rsid w:val="00112217"/>
    <w:rsid w:val="00112233"/>
    <w:rsid w:val="001124E2"/>
    <w:rsid w:val="001125FB"/>
    <w:rsid w:val="0011289E"/>
    <w:rsid w:val="001128A8"/>
    <w:rsid w:val="00112A3F"/>
    <w:rsid w:val="00112B4B"/>
    <w:rsid w:val="00112CFB"/>
    <w:rsid w:val="00112E5A"/>
    <w:rsid w:val="00112F75"/>
    <w:rsid w:val="0011313F"/>
    <w:rsid w:val="0011319F"/>
    <w:rsid w:val="001132EF"/>
    <w:rsid w:val="0011360E"/>
    <w:rsid w:val="001136C6"/>
    <w:rsid w:val="001137E9"/>
    <w:rsid w:val="00113820"/>
    <w:rsid w:val="00113A07"/>
    <w:rsid w:val="00113A63"/>
    <w:rsid w:val="00113B0D"/>
    <w:rsid w:val="00113C1D"/>
    <w:rsid w:val="0011413D"/>
    <w:rsid w:val="00114286"/>
    <w:rsid w:val="0011468D"/>
    <w:rsid w:val="001148CA"/>
    <w:rsid w:val="00114AFF"/>
    <w:rsid w:val="00114CA5"/>
    <w:rsid w:val="00114CC3"/>
    <w:rsid w:val="00114E1C"/>
    <w:rsid w:val="00114F43"/>
    <w:rsid w:val="00115007"/>
    <w:rsid w:val="001151E1"/>
    <w:rsid w:val="00115213"/>
    <w:rsid w:val="00115370"/>
    <w:rsid w:val="00115465"/>
    <w:rsid w:val="00115492"/>
    <w:rsid w:val="001154D0"/>
    <w:rsid w:val="001156CA"/>
    <w:rsid w:val="00115B72"/>
    <w:rsid w:val="00115BA0"/>
    <w:rsid w:val="00115D3F"/>
    <w:rsid w:val="00115E59"/>
    <w:rsid w:val="00115FEA"/>
    <w:rsid w:val="00116231"/>
    <w:rsid w:val="00116459"/>
    <w:rsid w:val="001164F7"/>
    <w:rsid w:val="00116521"/>
    <w:rsid w:val="0011679A"/>
    <w:rsid w:val="001167DB"/>
    <w:rsid w:val="001168C8"/>
    <w:rsid w:val="00116BC2"/>
    <w:rsid w:val="00116C33"/>
    <w:rsid w:val="00116E97"/>
    <w:rsid w:val="00116FED"/>
    <w:rsid w:val="00117028"/>
    <w:rsid w:val="0011712E"/>
    <w:rsid w:val="00117240"/>
    <w:rsid w:val="0011726E"/>
    <w:rsid w:val="001175F4"/>
    <w:rsid w:val="001176E3"/>
    <w:rsid w:val="001177EC"/>
    <w:rsid w:val="0011783B"/>
    <w:rsid w:val="001178C4"/>
    <w:rsid w:val="001179FB"/>
    <w:rsid w:val="00117AFE"/>
    <w:rsid w:val="00117B01"/>
    <w:rsid w:val="00117B29"/>
    <w:rsid w:val="00117BAD"/>
    <w:rsid w:val="00117ED1"/>
    <w:rsid w:val="00117F56"/>
    <w:rsid w:val="0012008D"/>
    <w:rsid w:val="00120181"/>
    <w:rsid w:val="001201A3"/>
    <w:rsid w:val="00120738"/>
    <w:rsid w:val="00120918"/>
    <w:rsid w:val="00120BEF"/>
    <w:rsid w:val="00121104"/>
    <w:rsid w:val="00121134"/>
    <w:rsid w:val="00121192"/>
    <w:rsid w:val="001213C8"/>
    <w:rsid w:val="00121512"/>
    <w:rsid w:val="001218A9"/>
    <w:rsid w:val="001219F6"/>
    <w:rsid w:val="00121EBB"/>
    <w:rsid w:val="00121EE8"/>
    <w:rsid w:val="00121F21"/>
    <w:rsid w:val="0012211A"/>
    <w:rsid w:val="0012233A"/>
    <w:rsid w:val="00122550"/>
    <w:rsid w:val="001225DC"/>
    <w:rsid w:val="00122635"/>
    <w:rsid w:val="00122ACB"/>
    <w:rsid w:val="00122BC0"/>
    <w:rsid w:val="00122DED"/>
    <w:rsid w:val="00122F36"/>
    <w:rsid w:val="00123030"/>
    <w:rsid w:val="001231AA"/>
    <w:rsid w:val="001231F9"/>
    <w:rsid w:val="00123535"/>
    <w:rsid w:val="00123838"/>
    <w:rsid w:val="00123894"/>
    <w:rsid w:val="001239E3"/>
    <w:rsid w:val="00123B8C"/>
    <w:rsid w:val="00123C95"/>
    <w:rsid w:val="00123D15"/>
    <w:rsid w:val="00123D1D"/>
    <w:rsid w:val="00123ED7"/>
    <w:rsid w:val="00123F89"/>
    <w:rsid w:val="001242FD"/>
    <w:rsid w:val="00124373"/>
    <w:rsid w:val="00124381"/>
    <w:rsid w:val="00124390"/>
    <w:rsid w:val="00124426"/>
    <w:rsid w:val="001244A0"/>
    <w:rsid w:val="00124531"/>
    <w:rsid w:val="001245A2"/>
    <w:rsid w:val="001245AF"/>
    <w:rsid w:val="0012462F"/>
    <w:rsid w:val="001246A1"/>
    <w:rsid w:val="001247E5"/>
    <w:rsid w:val="0012489D"/>
    <w:rsid w:val="001248D9"/>
    <w:rsid w:val="00124951"/>
    <w:rsid w:val="0012496F"/>
    <w:rsid w:val="00124C36"/>
    <w:rsid w:val="00124EAF"/>
    <w:rsid w:val="00124EE5"/>
    <w:rsid w:val="00124F27"/>
    <w:rsid w:val="00124FFA"/>
    <w:rsid w:val="00125005"/>
    <w:rsid w:val="00125042"/>
    <w:rsid w:val="00125103"/>
    <w:rsid w:val="001252A9"/>
    <w:rsid w:val="0012534F"/>
    <w:rsid w:val="00125583"/>
    <w:rsid w:val="001257C0"/>
    <w:rsid w:val="0012595A"/>
    <w:rsid w:val="00125A5C"/>
    <w:rsid w:val="00125C46"/>
    <w:rsid w:val="00125D25"/>
    <w:rsid w:val="00125E0F"/>
    <w:rsid w:val="00125F34"/>
    <w:rsid w:val="00125F5E"/>
    <w:rsid w:val="00126069"/>
    <w:rsid w:val="0012617B"/>
    <w:rsid w:val="00126426"/>
    <w:rsid w:val="00126533"/>
    <w:rsid w:val="00126724"/>
    <w:rsid w:val="001268E3"/>
    <w:rsid w:val="001268FC"/>
    <w:rsid w:val="0012690D"/>
    <w:rsid w:val="001269A0"/>
    <w:rsid w:val="00126B0F"/>
    <w:rsid w:val="00126C05"/>
    <w:rsid w:val="00126CCC"/>
    <w:rsid w:val="00126E4C"/>
    <w:rsid w:val="00126EF3"/>
    <w:rsid w:val="00126FCA"/>
    <w:rsid w:val="00126FED"/>
    <w:rsid w:val="00127071"/>
    <w:rsid w:val="001273F8"/>
    <w:rsid w:val="00127514"/>
    <w:rsid w:val="0012758E"/>
    <w:rsid w:val="0012776E"/>
    <w:rsid w:val="00127823"/>
    <w:rsid w:val="0012784D"/>
    <w:rsid w:val="00127897"/>
    <w:rsid w:val="001278C9"/>
    <w:rsid w:val="001278F4"/>
    <w:rsid w:val="0012793D"/>
    <w:rsid w:val="00127BD2"/>
    <w:rsid w:val="00127DA7"/>
    <w:rsid w:val="00127E32"/>
    <w:rsid w:val="0012FD37"/>
    <w:rsid w:val="001300E2"/>
    <w:rsid w:val="0013020A"/>
    <w:rsid w:val="001302BE"/>
    <w:rsid w:val="00130524"/>
    <w:rsid w:val="0013052F"/>
    <w:rsid w:val="00130A4A"/>
    <w:rsid w:val="00130BBA"/>
    <w:rsid w:val="00131043"/>
    <w:rsid w:val="001312AB"/>
    <w:rsid w:val="001315E4"/>
    <w:rsid w:val="0013166B"/>
    <w:rsid w:val="00131758"/>
    <w:rsid w:val="0013194D"/>
    <w:rsid w:val="00131B84"/>
    <w:rsid w:val="00131D20"/>
    <w:rsid w:val="00131ECF"/>
    <w:rsid w:val="00131F64"/>
    <w:rsid w:val="0013217B"/>
    <w:rsid w:val="0013241B"/>
    <w:rsid w:val="00132591"/>
    <w:rsid w:val="0013262E"/>
    <w:rsid w:val="001326B7"/>
    <w:rsid w:val="0013272C"/>
    <w:rsid w:val="001327AD"/>
    <w:rsid w:val="00132810"/>
    <w:rsid w:val="001329CE"/>
    <w:rsid w:val="00132A54"/>
    <w:rsid w:val="00132B27"/>
    <w:rsid w:val="00132C0D"/>
    <w:rsid w:val="00132E94"/>
    <w:rsid w:val="0013302A"/>
    <w:rsid w:val="0013312C"/>
    <w:rsid w:val="00133140"/>
    <w:rsid w:val="001332B5"/>
    <w:rsid w:val="0013351F"/>
    <w:rsid w:val="001335CC"/>
    <w:rsid w:val="0013369D"/>
    <w:rsid w:val="001338B9"/>
    <w:rsid w:val="00133AE3"/>
    <w:rsid w:val="00133EF5"/>
    <w:rsid w:val="0013401E"/>
    <w:rsid w:val="00134073"/>
    <w:rsid w:val="00134213"/>
    <w:rsid w:val="0013449F"/>
    <w:rsid w:val="001346B5"/>
    <w:rsid w:val="00134700"/>
    <w:rsid w:val="0013473B"/>
    <w:rsid w:val="0013477B"/>
    <w:rsid w:val="001348E6"/>
    <w:rsid w:val="001348EF"/>
    <w:rsid w:val="00134A11"/>
    <w:rsid w:val="00134AF7"/>
    <w:rsid w:val="00134B0C"/>
    <w:rsid w:val="00134DE8"/>
    <w:rsid w:val="0013523C"/>
    <w:rsid w:val="001352DC"/>
    <w:rsid w:val="00135394"/>
    <w:rsid w:val="001353A4"/>
    <w:rsid w:val="0013544E"/>
    <w:rsid w:val="00135470"/>
    <w:rsid w:val="0013557D"/>
    <w:rsid w:val="001355AE"/>
    <w:rsid w:val="00135676"/>
    <w:rsid w:val="001357A1"/>
    <w:rsid w:val="00135A6B"/>
    <w:rsid w:val="00135B41"/>
    <w:rsid w:val="00135B90"/>
    <w:rsid w:val="00135B9C"/>
    <w:rsid w:val="00135F30"/>
    <w:rsid w:val="0013605A"/>
    <w:rsid w:val="00136548"/>
    <w:rsid w:val="00136616"/>
    <w:rsid w:val="001366AC"/>
    <w:rsid w:val="001367CB"/>
    <w:rsid w:val="00136833"/>
    <w:rsid w:val="00136B0E"/>
    <w:rsid w:val="00136B65"/>
    <w:rsid w:val="00136BF5"/>
    <w:rsid w:val="00136CC4"/>
    <w:rsid w:val="00136CCD"/>
    <w:rsid w:val="00136D36"/>
    <w:rsid w:val="00136D66"/>
    <w:rsid w:val="00136EE4"/>
    <w:rsid w:val="00137089"/>
    <w:rsid w:val="0013727E"/>
    <w:rsid w:val="001375F7"/>
    <w:rsid w:val="001376D4"/>
    <w:rsid w:val="0013773B"/>
    <w:rsid w:val="00137A27"/>
    <w:rsid w:val="00137A9A"/>
    <w:rsid w:val="00137B42"/>
    <w:rsid w:val="00137D5A"/>
    <w:rsid w:val="00137DA8"/>
    <w:rsid w:val="00137DC9"/>
    <w:rsid w:val="00140098"/>
    <w:rsid w:val="00140650"/>
    <w:rsid w:val="001406DA"/>
    <w:rsid w:val="00140A7D"/>
    <w:rsid w:val="00140C68"/>
    <w:rsid w:val="00140CA4"/>
    <w:rsid w:val="00140CB8"/>
    <w:rsid w:val="00140D0F"/>
    <w:rsid w:val="00140F21"/>
    <w:rsid w:val="0014105E"/>
    <w:rsid w:val="0014120B"/>
    <w:rsid w:val="0014132D"/>
    <w:rsid w:val="00141654"/>
    <w:rsid w:val="001417DA"/>
    <w:rsid w:val="00141817"/>
    <w:rsid w:val="00141964"/>
    <w:rsid w:val="00141D8E"/>
    <w:rsid w:val="00141D9D"/>
    <w:rsid w:val="00141DC3"/>
    <w:rsid w:val="00141F64"/>
    <w:rsid w:val="0014233F"/>
    <w:rsid w:val="00142486"/>
    <w:rsid w:val="0014253A"/>
    <w:rsid w:val="001425A5"/>
    <w:rsid w:val="001425AC"/>
    <w:rsid w:val="001427D7"/>
    <w:rsid w:val="001427EC"/>
    <w:rsid w:val="0014289E"/>
    <w:rsid w:val="00142A8E"/>
    <w:rsid w:val="00142B86"/>
    <w:rsid w:val="00142CCC"/>
    <w:rsid w:val="00142CE5"/>
    <w:rsid w:val="00142D0C"/>
    <w:rsid w:val="00142D2B"/>
    <w:rsid w:val="00142D58"/>
    <w:rsid w:val="00142DF1"/>
    <w:rsid w:val="00142E2D"/>
    <w:rsid w:val="0014314E"/>
    <w:rsid w:val="0014320F"/>
    <w:rsid w:val="001433E5"/>
    <w:rsid w:val="00143449"/>
    <w:rsid w:val="001434C4"/>
    <w:rsid w:val="00143889"/>
    <w:rsid w:val="00143A18"/>
    <w:rsid w:val="00143A70"/>
    <w:rsid w:val="00143B32"/>
    <w:rsid w:val="00143B9A"/>
    <w:rsid w:val="00143BE5"/>
    <w:rsid w:val="00143F2D"/>
    <w:rsid w:val="00143F9F"/>
    <w:rsid w:val="00144218"/>
    <w:rsid w:val="001442A1"/>
    <w:rsid w:val="0014437F"/>
    <w:rsid w:val="001444AC"/>
    <w:rsid w:val="00144553"/>
    <w:rsid w:val="00144731"/>
    <w:rsid w:val="00144B8A"/>
    <w:rsid w:val="00144C1F"/>
    <w:rsid w:val="00144D85"/>
    <w:rsid w:val="00144E9D"/>
    <w:rsid w:val="00144EBD"/>
    <w:rsid w:val="00144EFC"/>
    <w:rsid w:val="00144F23"/>
    <w:rsid w:val="00144FDC"/>
    <w:rsid w:val="00145002"/>
    <w:rsid w:val="00145166"/>
    <w:rsid w:val="001451B3"/>
    <w:rsid w:val="001455EE"/>
    <w:rsid w:val="0014565E"/>
    <w:rsid w:val="001456CA"/>
    <w:rsid w:val="0014575E"/>
    <w:rsid w:val="001457B6"/>
    <w:rsid w:val="001457F3"/>
    <w:rsid w:val="0014588F"/>
    <w:rsid w:val="00145C26"/>
    <w:rsid w:val="00145C9F"/>
    <w:rsid w:val="00145D1A"/>
    <w:rsid w:val="00145D5D"/>
    <w:rsid w:val="00145D85"/>
    <w:rsid w:val="00145DA1"/>
    <w:rsid w:val="00145EB2"/>
    <w:rsid w:val="00145F42"/>
    <w:rsid w:val="001462C9"/>
    <w:rsid w:val="001462FB"/>
    <w:rsid w:val="0014633D"/>
    <w:rsid w:val="00146770"/>
    <w:rsid w:val="00146A25"/>
    <w:rsid w:val="00146A7F"/>
    <w:rsid w:val="00146C1A"/>
    <w:rsid w:val="00146CCB"/>
    <w:rsid w:val="00146D9A"/>
    <w:rsid w:val="0014717A"/>
    <w:rsid w:val="0014724F"/>
    <w:rsid w:val="00147351"/>
    <w:rsid w:val="001473A4"/>
    <w:rsid w:val="001474B8"/>
    <w:rsid w:val="00147585"/>
    <w:rsid w:val="001476F7"/>
    <w:rsid w:val="00147905"/>
    <w:rsid w:val="0014799B"/>
    <w:rsid w:val="00147AB9"/>
    <w:rsid w:val="00147B90"/>
    <w:rsid w:val="00147C37"/>
    <w:rsid w:val="00147D61"/>
    <w:rsid w:val="00147E93"/>
    <w:rsid w:val="00150000"/>
    <w:rsid w:val="001500E0"/>
    <w:rsid w:val="001500F7"/>
    <w:rsid w:val="00150231"/>
    <w:rsid w:val="001503C6"/>
    <w:rsid w:val="001506BC"/>
    <w:rsid w:val="00150A3E"/>
    <w:rsid w:val="00150A93"/>
    <w:rsid w:val="00150B8B"/>
    <w:rsid w:val="00150BBC"/>
    <w:rsid w:val="00150E95"/>
    <w:rsid w:val="00150ECF"/>
    <w:rsid w:val="00150ED9"/>
    <w:rsid w:val="001510AD"/>
    <w:rsid w:val="0015115F"/>
    <w:rsid w:val="001511C0"/>
    <w:rsid w:val="0015126F"/>
    <w:rsid w:val="00151419"/>
    <w:rsid w:val="0015171B"/>
    <w:rsid w:val="001518EB"/>
    <w:rsid w:val="0015199A"/>
    <w:rsid w:val="00151BAD"/>
    <w:rsid w:val="00151DEB"/>
    <w:rsid w:val="00151EBC"/>
    <w:rsid w:val="00151F4F"/>
    <w:rsid w:val="0015213B"/>
    <w:rsid w:val="00152247"/>
    <w:rsid w:val="0015229E"/>
    <w:rsid w:val="001522D1"/>
    <w:rsid w:val="001523C3"/>
    <w:rsid w:val="00152638"/>
    <w:rsid w:val="0015265B"/>
    <w:rsid w:val="00152775"/>
    <w:rsid w:val="00152AD7"/>
    <w:rsid w:val="00152C70"/>
    <w:rsid w:val="00152CD5"/>
    <w:rsid w:val="00152ED1"/>
    <w:rsid w:val="00152F29"/>
    <w:rsid w:val="001531B7"/>
    <w:rsid w:val="0015332B"/>
    <w:rsid w:val="001533CB"/>
    <w:rsid w:val="0015385A"/>
    <w:rsid w:val="001539B4"/>
    <w:rsid w:val="00153CF2"/>
    <w:rsid w:val="00154087"/>
    <w:rsid w:val="001541EB"/>
    <w:rsid w:val="0015424C"/>
    <w:rsid w:val="00154255"/>
    <w:rsid w:val="001544C0"/>
    <w:rsid w:val="00154541"/>
    <w:rsid w:val="00154549"/>
    <w:rsid w:val="00154682"/>
    <w:rsid w:val="001547ED"/>
    <w:rsid w:val="0015489E"/>
    <w:rsid w:val="00154E3A"/>
    <w:rsid w:val="00154F59"/>
    <w:rsid w:val="00154FAF"/>
    <w:rsid w:val="00154FD3"/>
    <w:rsid w:val="0015509A"/>
    <w:rsid w:val="001550E8"/>
    <w:rsid w:val="00155169"/>
    <w:rsid w:val="0015516D"/>
    <w:rsid w:val="0015523E"/>
    <w:rsid w:val="001552D9"/>
    <w:rsid w:val="001552F7"/>
    <w:rsid w:val="00155845"/>
    <w:rsid w:val="0015584C"/>
    <w:rsid w:val="00155A9B"/>
    <w:rsid w:val="00155E15"/>
    <w:rsid w:val="00155F33"/>
    <w:rsid w:val="0015606F"/>
    <w:rsid w:val="001560C9"/>
    <w:rsid w:val="0015617F"/>
    <w:rsid w:val="0015622E"/>
    <w:rsid w:val="001562D4"/>
    <w:rsid w:val="00156447"/>
    <w:rsid w:val="001565EF"/>
    <w:rsid w:val="001568DE"/>
    <w:rsid w:val="00156964"/>
    <w:rsid w:val="001569BF"/>
    <w:rsid w:val="00156B2E"/>
    <w:rsid w:val="00156C39"/>
    <w:rsid w:val="00156F8D"/>
    <w:rsid w:val="0015701B"/>
    <w:rsid w:val="00157331"/>
    <w:rsid w:val="00157481"/>
    <w:rsid w:val="00157709"/>
    <w:rsid w:val="00157899"/>
    <w:rsid w:val="00157A5D"/>
    <w:rsid w:val="00160544"/>
    <w:rsid w:val="00160835"/>
    <w:rsid w:val="0016095F"/>
    <w:rsid w:val="00160BCD"/>
    <w:rsid w:val="00160D15"/>
    <w:rsid w:val="00160EA4"/>
    <w:rsid w:val="00160FB2"/>
    <w:rsid w:val="00160FE1"/>
    <w:rsid w:val="001610A1"/>
    <w:rsid w:val="001610BB"/>
    <w:rsid w:val="0016121A"/>
    <w:rsid w:val="00161284"/>
    <w:rsid w:val="00161336"/>
    <w:rsid w:val="001617BF"/>
    <w:rsid w:val="001618EE"/>
    <w:rsid w:val="001618F5"/>
    <w:rsid w:val="0016190E"/>
    <w:rsid w:val="00161949"/>
    <w:rsid w:val="00161969"/>
    <w:rsid w:val="00161B41"/>
    <w:rsid w:val="00161DBF"/>
    <w:rsid w:val="00161E52"/>
    <w:rsid w:val="00161F67"/>
    <w:rsid w:val="001621BE"/>
    <w:rsid w:val="00162226"/>
    <w:rsid w:val="00162286"/>
    <w:rsid w:val="001622E3"/>
    <w:rsid w:val="00162C26"/>
    <w:rsid w:val="00162C50"/>
    <w:rsid w:val="00162F08"/>
    <w:rsid w:val="00163266"/>
    <w:rsid w:val="0016332B"/>
    <w:rsid w:val="00163497"/>
    <w:rsid w:val="0016372B"/>
    <w:rsid w:val="0016377B"/>
    <w:rsid w:val="001639C4"/>
    <w:rsid w:val="00163AD3"/>
    <w:rsid w:val="00163B2E"/>
    <w:rsid w:val="00163D82"/>
    <w:rsid w:val="00163F4B"/>
    <w:rsid w:val="00163F93"/>
    <w:rsid w:val="00163FF9"/>
    <w:rsid w:val="00164045"/>
    <w:rsid w:val="00164092"/>
    <w:rsid w:val="001641AC"/>
    <w:rsid w:val="001641D9"/>
    <w:rsid w:val="00164274"/>
    <w:rsid w:val="0016449C"/>
    <w:rsid w:val="00164536"/>
    <w:rsid w:val="001645DF"/>
    <w:rsid w:val="0016468F"/>
    <w:rsid w:val="00164AEF"/>
    <w:rsid w:val="00164DFA"/>
    <w:rsid w:val="00164E8F"/>
    <w:rsid w:val="00165129"/>
    <w:rsid w:val="001651BA"/>
    <w:rsid w:val="001651BB"/>
    <w:rsid w:val="00165319"/>
    <w:rsid w:val="001654CB"/>
    <w:rsid w:val="001655F6"/>
    <w:rsid w:val="00165777"/>
    <w:rsid w:val="001658CD"/>
    <w:rsid w:val="00165952"/>
    <w:rsid w:val="00165A6C"/>
    <w:rsid w:val="00165CCA"/>
    <w:rsid w:val="00165D52"/>
    <w:rsid w:val="00165E9B"/>
    <w:rsid w:val="001660FC"/>
    <w:rsid w:val="001662A9"/>
    <w:rsid w:val="0016641F"/>
    <w:rsid w:val="001664AF"/>
    <w:rsid w:val="001665D4"/>
    <w:rsid w:val="001665D6"/>
    <w:rsid w:val="00166847"/>
    <w:rsid w:val="00166906"/>
    <w:rsid w:val="00166951"/>
    <w:rsid w:val="00166FD2"/>
    <w:rsid w:val="00167367"/>
    <w:rsid w:val="0016741A"/>
    <w:rsid w:val="00167437"/>
    <w:rsid w:val="00167587"/>
    <w:rsid w:val="001675C5"/>
    <w:rsid w:val="0016763B"/>
    <w:rsid w:val="001676EB"/>
    <w:rsid w:val="00167775"/>
    <w:rsid w:val="001678F7"/>
    <w:rsid w:val="0016790F"/>
    <w:rsid w:val="00167991"/>
    <w:rsid w:val="00167A21"/>
    <w:rsid w:val="00167C00"/>
    <w:rsid w:val="00167C06"/>
    <w:rsid w:val="00167C12"/>
    <w:rsid w:val="00167C4D"/>
    <w:rsid w:val="00167C75"/>
    <w:rsid w:val="00167CE0"/>
    <w:rsid w:val="00167D41"/>
    <w:rsid w:val="00167D9A"/>
    <w:rsid w:val="00167F38"/>
    <w:rsid w:val="00167F92"/>
    <w:rsid w:val="0017004D"/>
    <w:rsid w:val="00170340"/>
    <w:rsid w:val="001703E8"/>
    <w:rsid w:val="00170749"/>
    <w:rsid w:val="0017077C"/>
    <w:rsid w:val="00170872"/>
    <w:rsid w:val="00170ADD"/>
    <w:rsid w:val="00170E47"/>
    <w:rsid w:val="00170ED9"/>
    <w:rsid w:val="00170F2A"/>
    <w:rsid w:val="0017105E"/>
    <w:rsid w:val="00171107"/>
    <w:rsid w:val="00171363"/>
    <w:rsid w:val="001715A3"/>
    <w:rsid w:val="00171A41"/>
    <w:rsid w:val="00171A89"/>
    <w:rsid w:val="00171AE1"/>
    <w:rsid w:val="00171CA3"/>
    <w:rsid w:val="00171DE5"/>
    <w:rsid w:val="00171E96"/>
    <w:rsid w:val="00171F74"/>
    <w:rsid w:val="001721BC"/>
    <w:rsid w:val="00172217"/>
    <w:rsid w:val="0017239A"/>
    <w:rsid w:val="001726A1"/>
    <w:rsid w:val="001726E1"/>
    <w:rsid w:val="00172723"/>
    <w:rsid w:val="00172760"/>
    <w:rsid w:val="001727B1"/>
    <w:rsid w:val="0017284A"/>
    <w:rsid w:val="00172922"/>
    <w:rsid w:val="00172A4B"/>
    <w:rsid w:val="00172C5B"/>
    <w:rsid w:val="00172DAF"/>
    <w:rsid w:val="00172DC1"/>
    <w:rsid w:val="00173162"/>
    <w:rsid w:val="00173262"/>
    <w:rsid w:val="001733C7"/>
    <w:rsid w:val="00173401"/>
    <w:rsid w:val="0017354C"/>
    <w:rsid w:val="00173597"/>
    <w:rsid w:val="0017363D"/>
    <w:rsid w:val="001736E4"/>
    <w:rsid w:val="001738C7"/>
    <w:rsid w:val="00173986"/>
    <w:rsid w:val="00173A63"/>
    <w:rsid w:val="00173AD9"/>
    <w:rsid w:val="00173F24"/>
    <w:rsid w:val="00174120"/>
    <w:rsid w:val="00174327"/>
    <w:rsid w:val="001746B2"/>
    <w:rsid w:val="00174BAB"/>
    <w:rsid w:val="00174DC9"/>
    <w:rsid w:val="00174F41"/>
    <w:rsid w:val="0017514D"/>
    <w:rsid w:val="00175252"/>
    <w:rsid w:val="001752F5"/>
    <w:rsid w:val="00175303"/>
    <w:rsid w:val="00175600"/>
    <w:rsid w:val="00175637"/>
    <w:rsid w:val="0017584F"/>
    <w:rsid w:val="00175A82"/>
    <w:rsid w:val="00175CC0"/>
    <w:rsid w:val="00175CC7"/>
    <w:rsid w:val="00175DDA"/>
    <w:rsid w:val="00175F65"/>
    <w:rsid w:val="00176070"/>
    <w:rsid w:val="001761E7"/>
    <w:rsid w:val="00176295"/>
    <w:rsid w:val="00176432"/>
    <w:rsid w:val="00176477"/>
    <w:rsid w:val="00176504"/>
    <w:rsid w:val="00176663"/>
    <w:rsid w:val="00176689"/>
    <w:rsid w:val="001769DC"/>
    <w:rsid w:val="00176ACF"/>
    <w:rsid w:val="00176BF1"/>
    <w:rsid w:val="00176C17"/>
    <w:rsid w:val="00176E2F"/>
    <w:rsid w:val="00176E5D"/>
    <w:rsid w:val="00176FC5"/>
    <w:rsid w:val="00176FFB"/>
    <w:rsid w:val="0017706A"/>
    <w:rsid w:val="001771F7"/>
    <w:rsid w:val="00177499"/>
    <w:rsid w:val="0017773E"/>
    <w:rsid w:val="001778CA"/>
    <w:rsid w:val="00177C4F"/>
    <w:rsid w:val="0017F3F6"/>
    <w:rsid w:val="001804A1"/>
    <w:rsid w:val="0018072E"/>
    <w:rsid w:val="00180A23"/>
    <w:rsid w:val="00180A95"/>
    <w:rsid w:val="00180ACD"/>
    <w:rsid w:val="00180C5A"/>
    <w:rsid w:val="00180D66"/>
    <w:rsid w:val="00180E2F"/>
    <w:rsid w:val="00180EC4"/>
    <w:rsid w:val="00180EF8"/>
    <w:rsid w:val="00180F31"/>
    <w:rsid w:val="001813EB"/>
    <w:rsid w:val="0018150D"/>
    <w:rsid w:val="0018151A"/>
    <w:rsid w:val="001815A5"/>
    <w:rsid w:val="00181622"/>
    <w:rsid w:val="00181629"/>
    <w:rsid w:val="001816BD"/>
    <w:rsid w:val="001816DC"/>
    <w:rsid w:val="00181862"/>
    <w:rsid w:val="001818E8"/>
    <w:rsid w:val="00181B7A"/>
    <w:rsid w:val="00181BA7"/>
    <w:rsid w:val="00181C85"/>
    <w:rsid w:val="00181E28"/>
    <w:rsid w:val="001820B2"/>
    <w:rsid w:val="001820CA"/>
    <w:rsid w:val="00182122"/>
    <w:rsid w:val="001823A6"/>
    <w:rsid w:val="0018248F"/>
    <w:rsid w:val="00182633"/>
    <w:rsid w:val="00182665"/>
    <w:rsid w:val="001828D1"/>
    <w:rsid w:val="00182B00"/>
    <w:rsid w:val="00182DE0"/>
    <w:rsid w:val="00182ED5"/>
    <w:rsid w:val="00182F10"/>
    <w:rsid w:val="00182FE0"/>
    <w:rsid w:val="00183094"/>
    <w:rsid w:val="00183180"/>
    <w:rsid w:val="001835BB"/>
    <w:rsid w:val="00183661"/>
    <w:rsid w:val="0018392E"/>
    <w:rsid w:val="00183A96"/>
    <w:rsid w:val="00183BB9"/>
    <w:rsid w:val="00183DDA"/>
    <w:rsid w:val="00183DE2"/>
    <w:rsid w:val="00183F6F"/>
    <w:rsid w:val="00184011"/>
    <w:rsid w:val="00184013"/>
    <w:rsid w:val="0018413B"/>
    <w:rsid w:val="001841E8"/>
    <w:rsid w:val="001843FE"/>
    <w:rsid w:val="001846C1"/>
    <w:rsid w:val="001848C0"/>
    <w:rsid w:val="00184AE2"/>
    <w:rsid w:val="00184B07"/>
    <w:rsid w:val="00184B6A"/>
    <w:rsid w:val="00184CDB"/>
    <w:rsid w:val="00184E41"/>
    <w:rsid w:val="00184FCB"/>
    <w:rsid w:val="0018506E"/>
    <w:rsid w:val="0018508D"/>
    <w:rsid w:val="001850EB"/>
    <w:rsid w:val="001850F4"/>
    <w:rsid w:val="001852AD"/>
    <w:rsid w:val="0018552E"/>
    <w:rsid w:val="00185549"/>
    <w:rsid w:val="001856B0"/>
    <w:rsid w:val="0018592A"/>
    <w:rsid w:val="00185976"/>
    <w:rsid w:val="00185A4C"/>
    <w:rsid w:val="00185BD5"/>
    <w:rsid w:val="00185E0D"/>
    <w:rsid w:val="00185E60"/>
    <w:rsid w:val="00185F15"/>
    <w:rsid w:val="00185F4B"/>
    <w:rsid w:val="00185FC8"/>
    <w:rsid w:val="001860AA"/>
    <w:rsid w:val="001865DA"/>
    <w:rsid w:val="00186723"/>
    <w:rsid w:val="0018677C"/>
    <w:rsid w:val="00186847"/>
    <w:rsid w:val="001868B9"/>
    <w:rsid w:val="00186CDD"/>
    <w:rsid w:val="00186DF2"/>
    <w:rsid w:val="00186FC7"/>
    <w:rsid w:val="001870B7"/>
    <w:rsid w:val="00187321"/>
    <w:rsid w:val="001873C3"/>
    <w:rsid w:val="00187557"/>
    <w:rsid w:val="001876BA"/>
    <w:rsid w:val="001877F8"/>
    <w:rsid w:val="00187910"/>
    <w:rsid w:val="00187C01"/>
    <w:rsid w:val="00187C1D"/>
    <w:rsid w:val="00187C70"/>
    <w:rsid w:val="00187D2A"/>
    <w:rsid w:val="00187EDC"/>
    <w:rsid w:val="001900AA"/>
    <w:rsid w:val="00190291"/>
    <w:rsid w:val="00190555"/>
    <w:rsid w:val="001905CC"/>
    <w:rsid w:val="00190757"/>
    <w:rsid w:val="00190884"/>
    <w:rsid w:val="00190DE6"/>
    <w:rsid w:val="00190F25"/>
    <w:rsid w:val="00191139"/>
    <w:rsid w:val="00191414"/>
    <w:rsid w:val="001914D9"/>
    <w:rsid w:val="001915B9"/>
    <w:rsid w:val="001915E6"/>
    <w:rsid w:val="001916BC"/>
    <w:rsid w:val="0019175C"/>
    <w:rsid w:val="001918B6"/>
    <w:rsid w:val="00191C0D"/>
    <w:rsid w:val="00191CAD"/>
    <w:rsid w:val="00191E0D"/>
    <w:rsid w:val="00192045"/>
    <w:rsid w:val="00192055"/>
    <w:rsid w:val="001922A9"/>
    <w:rsid w:val="001923BA"/>
    <w:rsid w:val="0019274D"/>
    <w:rsid w:val="00192907"/>
    <w:rsid w:val="001929CF"/>
    <w:rsid w:val="00192B28"/>
    <w:rsid w:val="00192C69"/>
    <w:rsid w:val="00192D02"/>
    <w:rsid w:val="00192EDE"/>
    <w:rsid w:val="00192F84"/>
    <w:rsid w:val="00192FD0"/>
    <w:rsid w:val="00193045"/>
    <w:rsid w:val="0019312E"/>
    <w:rsid w:val="00193181"/>
    <w:rsid w:val="001932C5"/>
    <w:rsid w:val="0019340C"/>
    <w:rsid w:val="0019356C"/>
    <w:rsid w:val="00193598"/>
    <w:rsid w:val="001935CE"/>
    <w:rsid w:val="00193674"/>
    <w:rsid w:val="001937ED"/>
    <w:rsid w:val="001939DB"/>
    <w:rsid w:val="00193AB1"/>
    <w:rsid w:val="00193C01"/>
    <w:rsid w:val="00193C4D"/>
    <w:rsid w:val="00193CAA"/>
    <w:rsid w:val="00193F53"/>
    <w:rsid w:val="0019402D"/>
    <w:rsid w:val="00194451"/>
    <w:rsid w:val="00194591"/>
    <w:rsid w:val="00194760"/>
    <w:rsid w:val="001947FD"/>
    <w:rsid w:val="00194841"/>
    <w:rsid w:val="001948BC"/>
    <w:rsid w:val="00194968"/>
    <w:rsid w:val="00194A24"/>
    <w:rsid w:val="00194AB0"/>
    <w:rsid w:val="00194C45"/>
    <w:rsid w:val="00195130"/>
    <w:rsid w:val="001951A0"/>
    <w:rsid w:val="001953DA"/>
    <w:rsid w:val="0019548E"/>
    <w:rsid w:val="001954E7"/>
    <w:rsid w:val="001954F9"/>
    <w:rsid w:val="00195678"/>
    <w:rsid w:val="0019572B"/>
    <w:rsid w:val="00195846"/>
    <w:rsid w:val="00195A2C"/>
    <w:rsid w:val="00195A7E"/>
    <w:rsid w:val="00195A8E"/>
    <w:rsid w:val="00195B1A"/>
    <w:rsid w:val="00195B56"/>
    <w:rsid w:val="00195C7F"/>
    <w:rsid w:val="00195CB8"/>
    <w:rsid w:val="00195D0D"/>
    <w:rsid w:val="00195E7E"/>
    <w:rsid w:val="00196070"/>
    <w:rsid w:val="00196479"/>
    <w:rsid w:val="00196526"/>
    <w:rsid w:val="0019653A"/>
    <w:rsid w:val="00196658"/>
    <w:rsid w:val="0019668C"/>
    <w:rsid w:val="001966DE"/>
    <w:rsid w:val="00196774"/>
    <w:rsid w:val="0019677D"/>
    <w:rsid w:val="001967D3"/>
    <w:rsid w:val="00196AD3"/>
    <w:rsid w:val="00196B1C"/>
    <w:rsid w:val="00196DCB"/>
    <w:rsid w:val="00196DD7"/>
    <w:rsid w:val="00196EA5"/>
    <w:rsid w:val="00196EE2"/>
    <w:rsid w:val="00196F14"/>
    <w:rsid w:val="00196F9E"/>
    <w:rsid w:val="001970D5"/>
    <w:rsid w:val="00197119"/>
    <w:rsid w:val="0019715B"/>
    <w:rsid w:val="0019740E"/>
    <w:rsid w:val="00197563"/>
    <w:rsid w:val="00197845"/>
    <w:rsid w:val="00197990"/>
    <w:rsid w:val="00197AD9"/>
    <w:rsid w:val="00197B29"/>
    <w:rsid w:val="00197C43"/>
    <w:rsid w:val="00197C7D"/>
    <w:rsid w:val="00197E4D"/>
    <w:rsid w:val="00197E61"/>
    <w:rsid w:val="00197F84"/>
    <w:rsid w:val="001A00B6"/>
    <w:rsid w:val="001A04B1"/>
    <w:rsid w:val="001A051B"/>
    <w:rsid w:val="001A05A1"/>
    <w:rsid w:val="001A0E32"/>
    <w:rsid w:val="001A12D8"/>
    <w:rsid w:val="001A1320"/>
    <w:rsid w:val="001A14F4"/>
    <w:rsid w:val="001A15D2"/>
    <w:rsid w:val="001A15E4"/>
    <w:rsid w:val="001A164B"/>
    <w:rsid w:val="001A1734"/>
    <w:rsid w:val="001A1BBC"/>
    <w:rsid w:val="001A1BD2"/>
    <w:rsid w:val="001A1E83"/>
    <w:rsid w:val="001A1E84"/>
    <w:rsid w:val="001A1F4F"/>
    <w:rsid w:val="001A1FCA"/>
    <w:rsid w:val="001A211C"/>
    <w:rsid w:val="001A2549"/>
    <w:rsid w:val="001A2720"/>
    <w:rsid w:val="001A2733"/>
    <w:rsid w:val="001A2785"/>
    <w:rsid w:val="001A2821"/>
    <w:rsid w:val="001A28DC"/>
    <w:rsid w:val="001A2BE5"/>
    <w:rsid w:val="001A2BFE"/>
    <w:rsid w:val="001A2D61"/>
    <w:rsid w:val="001A2F5F"/>
    <w:rsid w:val="001A30A9"/>
    <w:rsid w:val="001A30C1"/>
    <w:rsid w:val="001A31A4"/>
    <w:rsid w:val="001A3231"/>
    <w:rsid w:val="001A323F"/>
    <w:rsid w:val="001A33A2"/>
    <w:rsid w:val="001A33F6"/>
    <w:rsid w:val="001A39F2"/>
    <w:rsid w:val="001A3AD6"/>
    <w:rsid w:val="001A3BF4"/>
    <w:rsid w:val="001A3C1E"/>
    <w:rsid w:val="001A3D2E"/>
    <w:rsid w:val="001A3FEC"/>
    <w:rsid w:val="001A4071"/>
    <w:rsid w:val="001A4091"/>
    <w:rsid w:val="001A4102"/>
    <w:rsid w:val="001A414E"/>
    <w:rsid w:val="001A45EF"/>
    <w:rsid w:val="001A460F"/>
    <w:rsid w:val="001A46B4"/>
    <w:rsid w:val="001A48DF"/>
    <w:rsid w:val="001A48E2"/>
    <w:rsid w:val="001A4BB8"/>
    <w:rsid w:val="001A4CA3"/>
    <w:rsid w:val="001A4D7B"/>
    <w:rsid w:val="001A4DD0"/>
    <w:rsid w:val="001A4DD1"/>
    <w:rsid w:val="001A4E1B"/>
    <w:rsid w:val="001A4E8B"/>
    <w:rsid w:val="001A4FEE"/>
    <w:rsid w:val="001A509E"/>
    <w:rsid w:val="001A5274"/>
    <w:rsid w:val="001A5348"/>
    <w:rsid w:val="001A536A"/>
    <w:rsid w:val="001A5471"/>
    <w:rsid w:val="001A5722"/>
    <w:rsid w:val="001A5870"/>
    <w:rsid w:val="001A58D5"/>
    <w:rsid w:val="001A5A0E"/>
    <w:rsid w:val="001A5AA5"/>
    <w:rsid w:val="001A5CE8"/>
    <w:rsid w:val="001A5EEC"/>
    <w:rsid w:val="001A60F4"/>
    <w:rsid w:val="001A61BB"/>
    <w:rsid w:val="001A6347"/>
    <w:rsid w:val="001A644B"/>
    <w:rsid w:val="001A6574"/>
    <w:rsid w:val="001A66F0"/>
    <w:rsid w:val="001A6862"/>
    <w:rsid w:val="001A6869"/>
    <w:rsid w:val="001A69C7"/>
    <w:rsid w:val="001A6BFD"/>
    <w:rsid w:val="001A6D35"/>
    <w:rsid w:val="001A6DCD"/>
    <w:rsid w:val="001A6E51"/>
    <w:rsid w:val="001A72EA"/>
    <w:rsid w:val="001A739C"/>
    <w:rsid w:val="001A75D8"/>
    <w:rsid w:val="001A76B5"/>
    <w:rsid w:val="001A780F"/>
    <w:rsid w:val="001A7A1F"/>
    <w:rsid w:val="001A7A27"/>
    <w:rsid w:val="001A7AC8"/>
    <w:rsid w:val="001A7C11"/>
    <w:rsid w:val="001A7F6A"/>
    <w:rsid w:val="001B012F"/>
    <w:rsid w:val="001B039D"/>
    <w:rsid w:val="001B0429"/>
    <w:rsid w:val="001B04D4"/>
    <w:rsid w:val="001B070C"/>
    <w:rsid w:val="001B07BF"/>
    <w:rsid w:val="001B08FA"/>
    <w:rsid w:val="001B098B"/>
    <w:rsid w:val="001B0F8E"/>
    <w:rsid w:val="001B117B"/>
    <w:rsid w:val="001B12B2"/>
    <w:rsid w:val="001B1385"/>
    <w:rsid w:val="001B13A9"/>
    <w:rsid w:val="001B13ED"/>
    <w:rsid w:val="001B1431"/>
    <w:rsid w:val="001B15FD"/>
    <w:rsid w:val="001B179C"/>
    <w:rsid w:val="001B17EE"/>
    <w:rsid w:val="001B197C"/>
    <w:rsid w:val="001B1FB3"/>
    <w:rsid w:val="001B1FCC"/>
    <w:rsid w:val="001B20AC"/>
    <w:rsid w:val="001B21B3"/>
    <w:rsid w:val="001B2363"/>
    <w:rsid w:val="001B24DF"/>
    <w:rsid w:val="001B2779"/>
    <w:rsid w:val="001B2A14"/>
    <w:rsid w:val="001B2B1B"/>
    <w:rsid w:val="001B2D3A"/>
    <w:rsid w:val="001B2F4B"/>
    <w:rsid w:val="001B3253"/>
    <w:rsid w:val="001B333D"/>
    <w:rsid w:val="001B352F"/>
    <w:rsid w:val="001B37B3"/>
    <w:rsid w:val="001B37FD"/>
    <w:rsid w:val="001B3863"/>
    <w:rsid w:val="001B3973"/>
    <w:rsid w:val="001B3D2A"/>
    <w:rsid w:val="001B3E97"/>
    <w:rsid w:val="001B3EC0"/>
    <w:rsid w:val="001B417D"/>
    <w:rsid w:val="001B4226"/>
    <w:rsid w:val="001B423D"/>
    <w:rsid w:val="001B4316"/>
    <w:rsid w:val="001B461C"/>
    <w:rsid w:val="001B4B3A"/>
    <w:rsid w:val="001B4B4E"/>
    <w:rsid w:val="001B4B7C"/>
    <w:rsid w:val="001B4C08"/>
    <w:rsid w:val="001B4C97"/>
    <w:rsid w:val="001B4D99"/>
    <w:rsid w:val="001B4F70"/>
    <w:rsid w:val="001B516D"/>
    <w:rsid w:val="001B51A8"/>
    <w:rsid w:val="001B53A5"/>
    <w:rsid w:val="001B5423"/>
    <w:rsid w:val="001B54B7"/>
    <w:rsid w:val="001B5646"/>
    <w:rsid w:val="001B571A"/>
    <w:rsid w:val="001B573E"/>
    <w:rsid w:val="001B5ADD"/>
    <w:rsid w:val="001B5CCC"/>
    <w:rsid w:val="001B5FCD"/>
    <w:rsid w:val="001B60A2"/>
    <w:rsid w:val="001B6221"/>
    <w:rsid w:val="001B63DD"/>
    <w:rsid w:val="001B6634"/>
    <w:rsid w:val="001B6764"/>
    <w:rsid w:val="001B67B1"/>
    <w:rsid w:val="001B6A9F"/>
    <w:rsid w:val="001B6E96"/>
    <w:rsid w:val="001B6FAB"/>
    <w:rsid w:val="001B6FAC"/>
    <w:rsid w:val="001B7048"/>
    <w:rsid w:val="001B71CF"/>
    <w:rsid w:val="001B71FB"/>
    <w:rsid w:val="001B720F"/>
    <w:rsid w:val="001B7322"/>
    <w:rsid w:val="001B73B3"/>
    <w:rsid w:val="001B7468"/>
    <w:rsid w:val="001B758F"/>
    <w:rsid w:val="001B7C03"/>
    <w:rsid w:val="001B7C4E"/>
    <w:rsid w:val="001B7C55"/>
    <w:rsid w:val="001C0465"/>
    <w:rsid w:val="001C047C"/>
    <w:rsid w:val="001C0486"/>
    <w:rsid w:val="001C0771"/>
    <w:rsid w:val="001C08F9"/>
    <w:rsid w:val="001C096C"/>
    <w:rsid w:val="001C0BE4"/>
    <w:rsid w:val="001C1042"/>
    <w:rsid w:val="001C10CE"/>
    <w:rsid w:val="001C12B1"/>
    <w:rsid w:val="001C12C3"/>
    <w:rsid w:val="001C1310"/>
    <w:rsid w:val="001C1336"/>
    <w:rsid w:val="001C13C2"/>
    <w:rsid w:val="001C13D1"/>
    <w:rsid w:val="001C172E"/>
    <w:rsid w:val="001C1876"/>
    <w:rsid w:val="001C1A6A"/>
    <w:rsid w:val="001C1AC6"/>
    <w:rsid w:val="001C1DD2"/>
    <w:rsid w:val="001C2219"/>
    <w:rsid w:val="001C22E0"/>
    <w:rsid w:val="001C238F"/>
    <w:rsid w:val="001C25AC"/>
    <w:rsid w:val="001C260E"/>
    <w:rsid w:val="001C265E"/>
    <w:rsid w:val="001C26C0"/>
    <w:rsid w:val="001C2C8B"/>
    <w:rsid w:val="001C2DA3"/>
    <w:rsid w:val="001C2E2E"/>
    <w:rsid w:val="001C2E97"/>
    <w:rsid w:val="001C319D"/>
    <w:rsid w:val="001C31CD"/>
    <w:rsid w:val="001C323B"/>
    <w:rsid w:val="001C330E"/>
    <w:rsid w:val="001C3520"/>
    <w:rsid w:val="001C39CF"/>
    <w:rsid w:val="001C3A9D"/>
    <w:rsid w:val="001C3C23"/>
    <w:rsid w:val="001C3C4A"/>
    <w:rsid w:val="001C3C97"/>
    <w:rsid w:val="001C3DD7"/>
    <w:rsid w:val="001C3E44"/>
    <w:rsid w:val="001C4149"/>
    <w:rsid w:val="001C41CA"/>
    <w:rsid w:val="001C424F"/>
    <w:rsid w:val="001C43A9"/>
    <w:rsid w:val="001C474D"/>
    <w:rsid w:val="001C4785"/>
    <w:rsid w:val="001C48C8"/>
    <w:rsid w:val="001C4FD2"/>
    <w:rsid w:val="001C500E"/>
    <w:rsid w:val="001C50E0"/>
    <w:rsid w:val="001C51DC"/>
    <w:rsid w:val="001C538C"/>
    <w:rsid w:val="001C54BF"/>
    <w:rsid w:val="001C550B"/>
    <w:rsid w:val="001C5674"/>
    <w:rsid w:val="001C568C"/>
    <w:rsid w:val="001C5A69"/>
    <w:rsid w:val="001C5A9A"/>
    <w:rsid w:val="001C5C4B"/>
    <w:rsid w:val="001C5D19"/>
    <w:rsid w:val="001C5FA1"/>
    <w:rsid w:val="001C607D"/>
    <w:rsid w:val="001C617E"/>
    <w:rsid w:val="001C61D7"/>
    <w:rsid w:val="001C6565"/>
    <w:rsid w:val="001C66BC"/>
    <w:rsid w:val="001C6804"/>
    <w:rsid w:val="001C6B01"/>
    <w:rsid w:val="001C6D53"/>
    <w:rsid w:val="001C6EEB"/>
    <w:rsid w:val="001C6FD6"/>
    <w:rsid w:val="001C7279"/>
    <w:rsid w:val="001C7422"/>
    <w:rsid w:val="001C74FC"/>
    <w:rsid w:val="001C7596"/>
    <w:rsid w:val="001C7CCD"/>
    <w:rsid w:val="001C7DD8"/>
    <w:rsid w:val="001D00C0"/>
    <w:rsid w:val="001D032E"/>
    <w:rsid w:val="001D034A"/>
    <w:rsid w:val="001D0361"/>
    <w:rsid w:val="001D05BB"/>
    <w:rsid w:val="001D0692"/>
    <w:rsid w:val="001D09E5"/>
    <w:rsid w:val="001D09F9"/>
    <w:rsid w:val="001D0A81"/>
    <w:rsid w:val="001D0B02"/>
    <w:rsid w:val="001D0B70"/>
    <w:rsid w:val="001D0BCA"/>
    <w:rsid w:val="001D0BCD"/>
    <w:rsid w:val="001D0BFB"/>
    <w:rsid w:val="001D0BFD"/>
    <w:rsid w:val="001D0CB3"/>
    <w:rsid w:val="001D0E31"/>
    <w:rsid w:val="001D0EA6"/>
    <w:rsid w:val="001D0F74"/>
    <w:rsid w:val="001D0F83"/>
    <w:rsid w:val="001D0F91"/>
    <w:rsid w:val="001D1605"/>
    <w:rsid w:val="001D17B3"/>
    <w:rsid w:val="001D1CC6"/>
    <w:rsid w:val="001D1DCF"/>
    <w:rsid w:val="001D1E5F"/>
    <w:rsid w:val="001D2109"/>
    <w:rsid w:val="001D22A1"/>
    <w:rsid w:val="001D237F"/>
    <w:rsid w:val="001D253D"/>
    <w:rsid w:val="001D2580"/>
    <w:rsid w:val="001D275A"/>
    <w:rsid w:val="001D281B"/>
    <w:rsid w:val="001D2EA5"/>
    <w:rsid w:val="001D2EA6"/>
    <w:rsid w:val="001D323F"/>
    <w:rsid w:val="001D3251"/>
    <w:rsid w:val="001D3269"/>
    <w:rsid w:val="001D33C1"/>
    <w:rsid w:val="001D3621"/>
    <w:rsid w:val="001D3649"/>
    <w:rsid w:val="001D3692"/>
    <w:rsid w:val="001D36A4"/>
    <w:rsid w:val="001D39BE"/>
    <w:rsid w:val="001D3C55"/>
    <w:rsid w:val="001D3C64"/>
    <w:rsid w:val="001D3D08"/>
    <w:rsid w:val="001D3D1D"/>
    <w:rsid w:val="001D3F21"/>
    <w:rsid w:val="001D405A"/>
    <w:rsid w:val="001D40B0"/>
    <w:rsid w:val="001D40D5"/>
    <w:rsid w:val="001D40F5"/>
    <w:rsid w:val="001D4122"/>
    <w:rsid w:val="001D438D"/>
    <w:rsid w:val="001D4490"/>
    <w:rsid w:val="001D4527"/>
    <w:rsid w:val="001D4705"/>
    <w:rsid w:val="001D4746"/>
    <w:rsid w:val="001D48CD"/>
    <w:rsid w:val="001D4A09"/>
    <w:rsid w:val="001D4A99"/>
    <w:rsid w:val="001D4C5E"/>
    <w:rsid w:val="001D4C6C"/>
    <w:rsid w:val="001D4DDB"/>
    <w:rsid w:val="001D4F1D"/>
    <w:rsid w:val="001D5128"/>
    <w:rsid w:val="001D51A9"/>
    <w:rsid w:val="001D54CE"/>
    <w:rsid w:val="001D55C2"/>
    <w:rsid w:val="001D57EB"/>
    <w:rsid w:val="001D5897"/>
    <w:rsid w:val="001D58A8"/>
    <w:rsid w:val="001D5A13"/>
    <w:rsid w:val="001D5C57"/>
    <w:rsid w:val="001D5CE1"/>
    <w:rsid w:val="001D5E92"/>
    <w:rsid w:val="001D5F47"/>
    <w:rsid w:val="001D5F77"/>
    <w:rsid w:val="001D6006"/>
    <w:rsid w:val="001D62E5"/>
    <w:rsid w:val="001D64BF"/>
    <w:rsid w:val="001D64CE"/>
    <w:rsid w:val="001D66E7"/>
    <w:rsid w:val="001D6966"/>
    <w:rsid w:val="001D69FF"/>
    <w:rsid w:val="001D6A30"/>
    <w:rsid w:val="001D6A64"/>
    <w:rsid w:val="001D6C7A"/>
    <w:rsid w:val="001D6D8C"/>
    <w:rsid w:val="001D7108"/>
    <w:rsid w:val="001D7230"/>
    <w:rsid w:val="001D7577"/>
    <w:rsid w:val="001D7692"/>
    <w:rsid w:val="001D7733"/>
    <w:rsid w:val="001D7757"/>
    <w:rsid w:val="001D780B"/>
    <w:rsid w:val="001D78BE"/>
    <w:rsid w:val="001D79D0"/>
    <w:rsid w:val="001D7B69"/>
    <w:rsid w:val="001D7B8C"/>
    <w:rsid w:val="001D7CB8"/>
    <w:rsid w:val="001D7E8E"/>
    <w:rsid w:val="001D7F85"/>
    <w:rsid w:val="001E0010"/>
    <w:rsid w:val="001E01EF"/>
    <w:rsid w:val="001E021E"/>
    <w:rsid w:val="001E0282"/>
    <w:rsid w:val="001E042B"/>
    <w:rsid w:val="001E042F"/>
    <w:rsid w:val="001E04CF"/>
    <w:rsid w:val="001E052F"/>
    <w:rsid w:val="001E05C9"/>
    <w:rsid w:val="001E0687"/>
    <w:rsid w:val="001E07C0"/>
    <w:rsid w:val="001E09D7"/>
    <w:rsid w:val="001E0C0F"/>
    <w:rsid w:val="001E0C6B"/>
    <w:rsid w:val="001E0D39"/>
    <w:rsid w:val="001E0E86"/>
    <w:rsid w:val="001E0EB3"/>
    <w:rsid w:val="001E0F7E"/>
    <w:rsid w:val="001E1236"/>
    <w:rsid w:val="001E1476"/>
    <w:rsid w:val="001E18B5"/>
    <w:rsid w:val="001E1911"/>
    <w:rsid w:val="001E19D7"/>
    <w:rsid w:val="001E1AED"/>
    <w:rsid w:val="001E1B00"/>
    <w:rsid w:val="001E1BAF"/>
    <w:rsid w:val="001E1C1C"/>
    <w:rsid w:val="001E2487"/>
    <w:rsid w:val="001E24F8"/>
    <w:rsid w:val="001E27C0"/>
    <w:rsid w:val="001E29AA"/>
    <w:rsid w:val="001E2AF6"/>
    <w:rsid w:val="001E2B21"/>
    <w:rsid w:val="001E2BAC"/>
    <w:rsid w:val="001E2E49"/>
    <w:rsid w:val="001E2F00"/>
    <w:rsid w:val="001E2FC5"/>
    <w:rsid w:val="001E3113"/>
    <w:rsid w:val="001E311B"/>
    <w:rsid w:val="001E326F"/>
    <w:rsid w:val="001E32D7"/>
    <w:rsid w:val="001E3368"/>
    <w:rsid w:val="001E3443"/>
    <w:rsid w:val="001E35A7"/>
    <w:rsid w:val="001E3729"/>
    <w:rsid w:val="001E37D8"/>
    <w:rsid w:val="001E3897"/>
    <w:rsid w:val="001E3925"/>
    <w:rsid w:val="001E3942"/>
    <w:rsid w:val="001E3995"/>
    <w:rsid w:val="001E3D37"/>
    <w:rsid w:val="001E3E0C"/>
    <w:rsid w:val="001E3FE8"/>
    <w:rsid w:val="001E40A3"/>
    <w:rsid w:val="001E4215"/>
    <w:rsid w:val="001E4456"/>
    <w:rsid w:val="001E467A"/>
    <w:rsid w:val="001E4916"/>
    <w:rsid w:val="001E4B0A"/>
    <w:rsid w:val="001E4BF7"/>
    <w:rsid w:val="001E5024"/>
    <w:rsid w:val="001E5396"/>
    <w:rsid w:val="001E53AB"/>
    <w:rsid w:val="001E549F"/>
    <w:rsid w:val="001E5AEB"/>
    <w:rsid w:val="001E5C15"/>
    <w:rsid w:val="001E5F09"/>
    <w:rsid w:val="001E5F7A"/>
    <w:rsid w:val="001E5F9A"/>
    <w:rsid w:val="001E63F2"/>
    <w:rsid w:val="001E64AF"/>
    <w:rsid w:val="001E6523"/>
    <w:rsid w:val="001E663B"/>
    <w:rsid w:val="001E6654"/>
    <w:rsid w:val="001E670B"/>
    <w:rsid w:val="001E6A2C"/>
    <w:rsid w:val="001E6DE5"/>
    <w:rsid w:val="001E6E6D"/>
    <w:rsid w:val="001E709E"/>
    <w:rsid w:val="001E70D3"/>
    <w:rsid w:val="001E72AC"/>
    <w:rsid w:val="001E72AD"/>
    <w:rsid w:val="001E730F"/>
    <w:rsid w:val="001E735D"/>
    <w:rsid w:val="001E738D"/>
    <w:rsid w:val="001E7442"/>
    <w:rsid w:val="001E74F1"/>
    <w:rsid w:val="001E75BA"/>
    <w:rsid w:val="001E761B"/>
    <w:rsid w:val="001E7A47"/>
    <w:rsid w:val="001E7BF8"/>
    <w:rsid w:val="001E7C40"/>
    <w:rsid w:val="001E7DB2"/>
    <w:rsid w:val="001E7DC0"/>
    <w:rsid w:val="001E7DD0"/>
    <w:rsid w:val="001E7F16"/>
    <w:rsid w:val="001F007B"/>
    <w:rsid w:val="001F017C"/>
    <w:rsid w:val="001F01AD"/>
    <w:rsid w:val="001F0211"/>
    <w:rsid w:val="001F024E"/>
    <w:rsid w:val="001F02E1"/>
    <w:rsid w:val="001F0546"/>
    <w:rsid w:val="001F05D8"/>
    <w:rsid w:val="001F05E8"/>
    <w:rsid w:val="001F0737"/>
    <w:rsid w:val="001F0862"/>
    <w:rsid w:val="001F097B"/>
    <w:rsid w:val="001F0981"/>
    <w:rsid w:val="001F0A11"/>
    <w:rsid w:val="001F0A5D"/>
    <w:rsid w:val="001F0A78"/>
    <w:rsid w:val="001F0D22"/>
    <w:rsid w:val="001F0F1D"/>
    <w:rsid w:val="001F1088"/>
    <w:rsid w:val="001F124D"/>
    <w:rsid w:val="001F128C"/>
    <w:rsid w:val="001F13CC"/>
    <w:rsid w:val="001F1429"/>
    <w:rsid w:val="001F163E"/>
    <w:rsid w:val="001F17A3"/>
    <w:rsid w:val="001F1951"/>
    <w:rsid w:val="001F1D83"/>
    <w:rsid w:val="001F1F8A"/>
    <w:rsid w:val="001F20BA"/>
    <w:rsid w:val="001F2125"/>
    <w:rsid w:val="001F2443"/>
    <w:rsid w:val="001F2486"/>
    <w:rsid w:val="001F256D"/>
    <w:rsid w:val="001F284B"/>
    <w:rsid w:val="001F28DF"/>
    <w:rsid w:val="001F2EEC"/>
    <w:rsid w:val="001F314E"/>
    <w:rsid w:val="001F32D3"/>
    <w:rsid w:val="001F35B2"/>
    <w:rsid w:val="001F36A3"/>
    <w:rsid w:val="001F36A5"/>
    <w:rsid w:val="001F383A"/>
    <w:rsid w:val="001F391F"/>
    <w:rsid w:val="001F3AD5"/>
    <w:rsid w:val="001F3CE7"/>
    <w:rsid w:val="001F3D9C"/>
    <w:rsid w:val="001F3F50"/>
    <w:rsid w:val="001F4003"/>
    <w:rsid w:val="001F4019"/>
    <w:rsid w:val="001F43A9"/>
    <w:rsid w:val="001F4484"/>
    <w:rsid w:val="001F4577"/>
    <w:rsid w:val="001F4705"/>
    <w:rsid w:val="001F471B"/>
    <w:rsid w:val="001F478B"/>
    <w:rsid w:val="001F4812"/>
    <w:rsid w:val="001F4AF7"/>
    <w:rsid w:val="001F4B8E"/>
    <w:rsid w:val="001F4CB9"/>
    <w:rsid w:val="001F4F83"/>
    <w:rsid w:val="001F5061"/>
    <w:rsid w:val="001F50F8"/>
    <w:rsid w:val="001F5500"/>
    <w:rsid w:val="001F5618"/>
    <w:rsid w:val="001F59C4"/>
    <w:rsid w:val="001F5B6B"/>
    <w:rsid w:val="001F5C98"/>
    <w:rsid w:val="001F5D14"/>
    <w:rsid w:val="001F5D6C"/>
    <w:rsid w:val="001F5E04"/>
    <w:rsid w:val="001F5E60"/>
    <w:rsid w:val="001F5E81"/>
    <w:rsid w:val="001F5E8F"/>
    <w:rsid w:val="001F5EE5"/>
    <w:rsid w:val="001F632F"/>
    <w:rsid w:val="001F6353"/>
    <w:rsid w:val="001F6411"/>
    <w:rsid w:val="001F646E"/>
    <w:rsid w:val="001F6473"/>
    <w:rsid w:val="001F64EA"/>
    <w:rsid w:val="001F6971"/>
    <w:rsid w:val="001F69CA"/>
    <w:rsid w:val="001F6B27"/>
    <w:rsid w:val="001F6B93"/>
    <w:rsid w:val="001F6C4E"/>
    <w:rsid w:val="001F6DB5"/>
    <w:rsid w:val="001F6E2F"/>
    <w:rsid w:val="001F702F"/>
    <w:rsid w:val="001F7202"/>
    <w:rsid w:val="001F7208"/>
    <w:rsid w:val="001F7416"/>
    <w:rsid w:val="001F7458"/>
    <w:rsid w:val="001F7892"/>
    <w:rsid w:val="001F78F8"/>
    <w:rsid w:val="001F7A27"/>
    <w:rsid w:val="001F7AD9"/>
    <w:rsid w:val="001F7B68"/>
    <w:rsid w:val="001F7C01"/>
    <w:rsid w:val="001F7FA9"/>
    <w:rsid w:val="001F7FE1"/>
    <w:rsid w:val="002003BB"/>
    <w:rsid w:val="00200722"/>
    <w:rsid w:val="002009AA"/>
    <w:rsid w:val="00200B3B"/>
    <w:rsid w:val="00200B97"/>
    <w:rsid w:val="00200C99"/>
    <w:rsid w:val="00200DB2"/>
    <w:rsid w:val="0020104C"/>
    <w:rsid w:val="0020105F"/>
    <w:rsid w:val="00201234"/>
    <w:rsid w:val="00201329"/>
    <w:rsid w:val="0020173F"/>
    <w:rsid w:val="002017B8"/>
    <w:rsid w:val="00201C23"/>
    <w:rsid w:val="00201C85"/>
    <w:rsid w:val="00201CFF"/>
    <w:rsid w:val="00201D68"/>
    <w:rsid w:val="00201DCB"/>
    <w:rsid w:val="00202011"/>
    <w:rsid w:val="00202106"/>
    <w:rsid w:val="00202175"/>
    <w:rsid w:val="0020250D"/>
    <w:rsid w:val="00202599"/>
    <w:rsid w:val="0020265B"/>
    <w:rsid w:val="00202692"/>
    <w:rsid w:val="002027ED"/>
    <w:rsid w:val="00202837"/>
    <w:rsid w:val="0020284C"/>
    <w:rsid w:val="0020287A"/>
    <w:rsid w:val="00202881"/>
    <w:rsid w:val="00202943"/>
    <w:rsid w:val="00202989"/>
    <w:rsid w:val="00202AAE"/>
    <w:rsid w:val="00202B73"/>
    <w:rsid w:val="00202F22"/>
    <w:rsid w:val="00202F4A"/>
    <w:rsid w:val="002030B1"/>
    <w:rsid w:val="0020319B"/>
    <w:rsid w:val="002032F1"/>
    <w:rsid w:val="002033C0"/>
    <w:rsid w:val="00203519"/>
    <w:rsid w:val="0020356F"/>
    <w:rsid w:val="00203670"/>
    <w:rsid w:val="0020371A"/>
    <w:rsid w:val="002037E3"/>
    <w:rsid w:val="002037F5"/>
    <w:rsid w:val="00203814"/>
    <w:rsid w:val="002039DD"/>
    <w:rsid w:val="002039E9"/>
    <w:rsid w:val="00203C94"/>
    <w:rsid w:val="00203EB8"/>
    <w:rsid w:val="00203F58"/>
    <w:rsid w:val="002042FA"/>
    <w:rsid w:val="00204488"/>
    <w:rsid w:val="002045A0"/>
    <w:rsid w:val="00204989"/>
    <w:rsid w:val="00204A39"/>
    <w:rsid w:val="00204A6F"/>
    <w:rsid w:val="00204B5D"/>
    <w:rsid w:val="00204CB1"/>
    <w:rsid w:val="00204CFE"/>
    <w:rsid w:val="00204DBA"/>
    <w:rsid w:val="00204DBE"/>
    <w:rsid w:val="00205082"/>
    <w:rsid w:val="00205513"/>
    <w:rsid w:val="002055AC"/>
    <w:rsid w:val="002057F1"/>
    <w:rsid w:val="00205A91"/>
    <w:rsid w:val="00205C37"/>
    <w:rsid w:val="00205C67"/>
    <w:rsid w:val="00205D89"/>
    <w:rsid w:val="00205EA7"/>
    <w:rsid w:val="00206086"/>
    <w:rsid w:val="0020612A"/>
    <w:rsid w:val="0020625B"/>
    <w:rsid w:val="002063F5"/>
    <w:rsid w:val="00206477"/>
    <w:rsid w:val="002064FA"/>
    <w:rsid w:val="0020651F"/>
    <w:rsid w:val="00206604"/>
    <w:rsid w:val="0020681C"/>
    <w:rsid w:val="002069DB"/>
    <w:rsid w:val="00206B70"/>
    <w:rsid w:val="00206B93"/>
    <w:rsid w:val="00206B9D"/>
    <w:rsid w:val="00206D0E"/>
    <w:rsid w:val="00206F1E"/>
    <w:rsid w:val="00207153"/>
    <w:rsid w:val="00207467"/>
    <w:rsid w:val="00207C76"/>
    <w:rsid w:val="00207F3C"/>
    <w:rsid w:val="00210064"/>
    <w:rsid w:val="002101DD"/>
    <w:rsid w:val="00210573"/>
    <w:rsid w:val="002105B6"/>
    <w:rsid w:val="002109CF"/>
    <w:rsid w:val="00210A83"/>
    <w:rsid w:val="00210C41"/>
    <w:rsid w:val="00210C61"/>
    <w:rsid w:val="00210E3F"/>
    <w:rsid w:val="00211481"/>
    <w:rsid w:val="0021178F"/>
    <w:rsid w:val="002117FC"/>
    <w:rsid w:val="0021188E"/>
    <w:rsid w:val="002119B5"/>
    <w:rsid w:val="00211A6D"/>
    <w:rsid w:val="00211ABD"/>
    <w:rsid w:val="00211B9F"/>
    <w:rsid w:val="00211BEE"/>
    <w:rsid w:val="00211C1A"/>
    <w:rsid w:val="00211CBD"/>
    <w:rsid w:val="00211CE7"/>
    <w:rsid w:val="00211E0C"/>
    <w:rsid w:val="00211F01"/>
    <w:rsid w:val="00212010"/>
    <w:rsid w:val="002124B3"/>
    <w:rsid w:val="002124E4"/>
    <w:rsid w:val="00212682"/>
    <w:rsid w:val="00212752"/>
    <w:rsid w:val="00212770"/>
    <w:rsid w:val="0021286E"/>
    <w:rsid w:val="00212A66"/>
    <w:rsid w:val="00212B9C"/>
    <w:rsid w:val="0021305A"/>
    <w:rsid w:val="0021308D"/>
    <w:rsid w:val="002130C7"/>
    <w:rsid w:val="00213162"/>
    <w:rsid w:val="002137D4"/>
    <w:rsid w:val="0021388B"/>
    <w:rsid w:val="00213AEA"/>
    <w:rsid w:val="00213B71"/>
    <w:rsid w:val="00213D75"/>
    <w:rsid w:val="00214076"/>
    <w:rsid w:val="00214140"/>
    <w:rsid w:val="00214207"/>
    <w:rsid w:val="002142E3"/>
    <w:rsid w:val="002142E8"/>
    <w:rsid w:val="00214322"/>
    <w:rsid w:val="002143B2"/>
    <w:rsid w:val="0021476E"/>
    <w:rsid w:val="00214892"/>
    <w:rsid w:val="00214A3B"/>
    <w:rsid w:val="00214AAE"/>
    <w:rsid w:val="00214B46"/>
    <w:rsid w:val="00214B6B"/>
    <w:rsid w:val="00214E89"/>
    <w:rsid w:val="00214F6E"/>
    <w:rsid w:val="002150FB"/>
    <w:rsid w:val="002153A8"/>
    <w:rsid w:val="002154A4"/>
    <w:rsid w:val="0021554A"/>
    <w:rsid w:val="00215553"/>
    <w:rsid w:val="0021559A"/>
    <w:rsid w:val="0021579E"/>
    <w:rsid w:val="002157E4"/>
    <w:rsid w:val="0021592E"/>
    <w:rsid w:val="00215961"/>
    <w:rsid w:val="0021599B"/>
    <w:rsid w:val="002159DE"/>
    <w:rsid w:val="00215ACA"/>
    <w:rsid w:val="00215C3F"/>
    <w:rsid w:val="00215D1B"/>
    <w:rsid w:val="002160D2"/>
    <w:rsid w:val="00216215"/>
    <w:rsid w:val="00216557"/>
    <w:rsid w:val="00216657"/>
    <w:rsid w:val="002166CE"/>
    <w:rsid w:val="00216724"/>
    <w:rsid w:val="00216816"/>
    <w:rsid w:val="00216A55"/>
    <w:rsid w:val="00216AD2"/>
    <w:rsid w:val="00216B4D"/>
    <w:rsid w:val="00217037"/>
    <w:rsid w:val="0021713B"/>
    <w:rsid w:val="0021725F"/>
    <w:rsid w:val="002172D7"/>
    <w:rsid w:val="002173C1"/>
    <w:rsid w:val="002174F9"/>
    <w:rsid w:val="00217518"/>
    <w:rsid w:val="002177B3"/>
    <w:rsid w:val="002178F1"/>
    <w:rsid w:val="002178FE"/>
    <w:rsid w:val="00217930"/>
    <w:rsid w:val="00217997"/>
    <w:rsid w:val="002179A6"/>
    <w:rsid w:val="00217B31"/>
    <w:rsid w:val="00217B57"/>
    <w:rsid w:val="00217BFE"/>
    <w:rsid w:val="00217D07"/>
    <w:rsid w:val="00217F4F"/>
    <w:rsid w:val="002200A8"/>
    <w:rsid w:val="002200E3"/>
    <w:rsid w:val="002203A8"/>
    <w:rsid w:val="00220428"/>
    <w:rsid w:val="00220642"/>
    <w:rsid w:val="002207EF"/>
    <w:rsid w:val="00220823"/>
    <w:rsid w:val="00220883"/>
    <w:rsid w:val="002208A8"/>
    <w:rsid w:val="002209F3"/>
    <w:rsid w:val="00220AE6"/>
    <w:rsid w:val="00220AFF"/>
    <w:rsid w:val="00220E4E"/>
    <w:rsid w:val="00220F30"/>
    <w:rsid w:val="002212D3"/>
    <w:rsid w:val="0022144A"/>
    <w:rsid w:val="00221748"/>
    <w:rsid w:val="0022184B"/>
    <w:rsid w:val="00221A5B"/>
    <w:rsid w:val="00221B44"/>
    <w:rsid w:val="00221BBD"/>
    <w:rsid w:val="00221CD1"/>
    <w:rsid w:val="00221CF2"/>
    <w:rsid w:val="00221DD0"/>
    <w:rsid w:val="002220EC"/>
    <w:rsid w:val="002224F4"/>
    <w:rsid w:val="00222524"/>
    <w:rsid w:val="002225D7"/>
    <w:rsid w:val="00222A28"/>
    <w:rsid w:val="00222B04"/>
    <w:rsid w:val="00222BC6"/>
    <w:rsid w:val="00222C0E"/>
    <w:rsid w:val="00222D50"/>
    <w:rsid w:val="00222DDB"/>
    <w:rsid w:val="0022310C"/>
    <w:rsid w:val="002233BC"/>
    <w:rsid w:val="0022355B"/>
    <w:rsid w:val="0022357E"/>
    <w:rsid w:val="00223676"/>
    <w:rsid w:val="002236A2"/>
    <w:rsid w:val="0022396D"/>
    <w:rsid w:val="00223A81"/>
    <w:rsid w:val="00223A9C"/>
    <w:rsid w:val="00223AC1"/>
    <w:rsid w:val="00223EB8"/>
    <w:rsid w:val="002241AE"/>
    <w:rsid w:val="00224297"/>
    <w:rsid w:val="002242C6"/>
    <w:rsid w:val="00224417"/>
    <w:rsid w:val="0022444F"/>
    <w:rsid w:val="0022456E"/>
    <w:rsid w:val="00224630"/>
    <w:rsid w:val="00224655"/>
    <w:rsid w:val="002246C4"/>
    <w:rsid w:val="002246DF"/>
    <w:rsid w:val="00224725"/>
    <w:rsid w:val="0022489B"/>
    <w:rsid w:val="00224D79"/>
    <w:rsid w:val="00224E06"/>
    <w:rsid w:val="00224E4A"/>
    <w:rsid w:val="00224F01"/>
    <w:rsid w:val="00225370"/>
    <w:rsid w:val="0022547A"/>
    <w:rsid w:val="00225C35"/>
    <w:rsid w:val="00225D71"/>
    <w:rsid w:val="00225EDE"/>
    <w:rsid w:val="00226087"/>
    <w:rsid w:val="0022616D"/>
    <w:rsid w:val="0022640C"/>
    <w:rsid w:val="0022645D"/>
    <w:rsid w:val="00226480"/>
    <w:rsid w:val="0022668B"/>
    <w:rsid w:val="00226BEC"/>
    <w:rsid w:val="00226D77"/>
    <w:rsid w:val="00226F28"/>
    <w:rsid w:val="00226F9B"/>
    <w:rsid w:val="00227007"/>
    <w:rsid w:val="002271E0"/>
    <w:rsid w:val="00227296"/>
    <w:rsid w:val="002273C9"/>
    <w:rsid w:val="00227560"/>
    <w:rsid w:val="00227568"/>
    <w:rsid w:val="00227630"/>
    <w:rsid w:val="00227792"/>
    <w:rsid w:val="002278E4"/>
    <w:rsid w:val="00227993"/>
    <w:rsid w:val="002279EC"/>
    <w:rsid w:val="00227C5C"/>
    <w:rsid w:val="00230049"/>
    <w:rsid w:val="002300CF"/>
    <w:rsid w:val="0023082C"/>
    <w:rsid w:val="002309E1"/>
    <w:rsid w:val="00230A1F"/>
    <w:rsid w:val="00230AFC"/>
    <w:rsid w:val="00230D7B"/>
    <w:rsid w:val="0023108C"/>
    <w:rsid w:val="0023126E"/>
    <w:rsid w:val="002312E1"/>
    <w:rsid w:val="00231711"/>
    <w:rsid w:val="00231770"/>
    <w:rsid w:val="002317D7"/>
    <w:rsid w:val="002319AF"/>
    <w:rsid w:val="00231EB0"/>
    <w:rsid w:val="00231F0C"/>
    <w:rsid w:val="00231F3E"/>
    <w:rsid w:val="0023201D"/>
    <w:rsid w:val="002320E3"/>
    <w:rsid w:val="0023224D"/>
    <w:rsid w:val="00232305"/>
    <w:rsid w:val="002325E9"/>
    <w:rsid w:val="00232767"/>
    <w:rsid w:val="00232795"/>
    <w:rsid w:val="00232A57"/>
    <w:rsid w:val="00232B3F"/>
    <w:rsid w:val="00232B66"/>
    <w:rsid w:val="00232CC0"/>
    <w:rsid w:val="00232D8E"/>
    <w:rsid w:val="00232DBB"/>
    <w:rsid w:val="00232FA4"/>
    <w:rsid w:val="0023322C"/>
    <w:rsid w:val="0023338D"/>
    <w:rsid w:val="002333A9"/>
    <w:rsid w:val="00233620"/>
    <w:rsid w:val="00233644"/>
    <w:rsid w:val="0023401F"/>
    <w:rsid w:val="0023421E"/>
    <w:rsid w:val="0023435C"/>
    <w:rsid w:val="002345BF"/>
    <w:rsid w:val="002346F8"/>
    <w:rsid w:val="002348D7"/>
    <w:rsid w:val="00234998"/>
    <w:rsid w:val="002349F5"/>
    <w:rsid w:val="00234A03"/>
    <w:rsid w:val="00234A57"/>
    <w:rsid w:val="00234BF4"/>
    <w:rsid w:val="00234C3A"/>
    <w:rsid w:val="00234C89"/>
    <w:rsid w:val="00234CE1"/>
    <w:rsid w:val="00234FC2"/>
    <w:rsid w:val="00234FD9"/>
    <w:rsid w:val="0023521E"/>
    <w:rsid w:val="00235293"/>
    <w:rsid w:val="002352FD"/>
    <w:rsid w:val="0023552E"/>
    <w:rsid w:val="002356CB"/>
    <w:rsid w:val="00235767"/>
    <w:rsid w:val="00235802"/>
    <w:rsid w:val="002358DC"/>
    <w:rsid w:val="002359E5"/>
    <w:rsid w:val="00235B6B"/>
    <w:rsid w:val="00235C78"/>
    <w:rsid w:val="00235CDC"/>
    <w:rsid w:val="00235D08"/>
    <w:rsid w:val="00235E3A"/>
    <w:rsid w:val="00235F20"/>
    <w:rsid w:val="0023605C"/>
    <w:rsid w:val="00236326"/>
    <w:rsid w:val="00236348"/>
    <w:rsid w:val="002364B8"/>
    <w:rsid w:val="0023665C"/>
    <w:rsid w:val="00236665"/>
    <w:rsid w:val="00236754"/>
    <w:rsid w:val="002367B6"/>
    <w:rsid w:val="0023688B"/>
    <w:rsid w:val="00236AF1"/>
    <w:rsid w:val="00236AF3"/>
    <w:rsid w:val="00236B72"/>
    <w:rsid w:val="00236B7F"/>
    <w:rsid w:val="00236C81"/>
    <w:rsid w:val="00236CB7"/>
    <w:rsid w:val="00236CC7"/>
    <w:rsid w:val="00236D2B"/>
    <w:rsid w:val="0023726D"/>
    <w:rsid w:val="00237274"/>
    <w:rsid w:val="00237609"/>
    <w:rsid w:val="00237752"/>
    <w:rsid w:val="00237A27"/>
    <w:rsid w:val="00237B19"/>
    <w:rsid w:val="00237E38"/>
    <w:rsid w:val="00237E40"/>
    <w:rsid w:val="002400BF"/>
    <w:rsid w:val="00240146"/>
    <w:rsid w:val="002403F5"/>
    <w:rsid w:val="002404D9"/>
    <w:rsid w:val="0024059F"/>
    <w:rsid w:val="0024080C"/>
    <w:rsid w:val="00240911"/>
    <w:rsid w:val="00240A84"/>
    <w:rsid w:val="00240ABE"/>
    <w:rsid w:val="00240C29"/>
    <w:rsid w:val="00240D08"/>
    <w:rsid w:val="00241408"/>
    <w:rsid w:val="002414A3"/>
    <w:rsid w:val="002414FE"/>
    <w:rsid w:val="00241691"/>
    <w:rsid w:val="002416DA"/>
    <w:rsid w:val="00241B55"/>
    <w:rsid w:val="00241C60"/>
    <w:rsid w:val="00241C80"/>
    <w:rsid w:val="00241DC9"/>
    <w:rsid w:val="00241DE3"/>
    <w:rsid w:val="00241E15"/>
    <w:rsid w:val="00241F46"/>
    <w:rsid w:val="00241F4E"/>
    <w:rsid w:val="00241F8B"/>
    <w:rsid w:val="00242064"/>
    <w:rsid w:val="002421B4"/>
    <w:rsid w:val="00242209"/>
    <w:rsid w:val="0024225D"/>
    <w:rsid w:val="002423A3"/>
    <w:rsid w:val="002424AB"/>
    <w:rsid w:val="0024258C"/>
    <w:rsid w:val="002425FD"/>
    <w:rsid w:val="00242631"/>
    <w:rsid w:val="00242660"/>
    <w:rsid w:val="00242762"/>
    <w:rsid w:val="0024280E"/>
    <w:rsid w:val="00242950"/>
    <w:rsid w:val="00242A56"/>
    <w:rsid w:val="00242FA8"/>
    <w:rsid w:val="002432E6"/>
    <w:rsid w:val="002432F0"/>
    <w:rsid w:val="00243445"/>
    <w:rsid w:val="00243659"/>
    <w:rsid w:val="002436A6"/>
    <w:rsid w:val="00243723"/>
    <w:rsid w:val="00243729"/>
    <w:rsid w:val="00243754"/>
    <w:rsid w:val="002438FC"/>
    <w:rsid w:val="00243973"/>
    <w:rsid w:val="00243D0C"/>
    <w:rsid w:val="00243D60"/>
    <w:rsid w:val="002440F1"/>
    <w:rsid w:val="00244196"/>
    <w:rsid w:val="00244319"/>
    <w:rsid w:val="00244378"/>
    <w:rsid w:val="002443DE"/>
    <w:rsid w:val="00244473"/>
    <w:rsid w:val="002444E3"/>
    <w:rsid w:val="00244684"/>
    <w:rsid w:val="00244781"/>
    <w:rsid w:val="00244B7D"/>
    <w:rsid w:val="00244E9E"/>
    <w:rsid w:val="00244F4A"/>
    <w:rsid w:val="002450AA"/>
    <w:rsid w:val="002450EB"/>
    <w:rsid w:val="00245306"/>
    <w:rsid w:val="00245491"/>
    <w:rsid w:val="0024570E"/>
    <w:rsid w:val="002457EA"/>
    <w:rsid w:val="002458C4"/>
    <w:rsid w:val="00245989"/>
    <w:rsid w:val="00245B67"/>
    <w:rsid w:val="00245D40"/>
    <w:rsid w:val="00245DA8"/>
    <w:rsid w:val="00245FEB"/>
    <w:rsid w:val="002460E8"/>
    <w:rsid w:val="002462AA"/>
    <w:rsid w:val="00246424"/>
    <w:rsid w:val="00246684"/>
    <w:rsid w:val="00246953"/>
    <w:rsid w:val="00246C2E"/>
    <w:rsid w:val="00246F06"/>
    <w:rsid w:val="00246F3E"/>
    <w:rsid w:val="00246F6B"/>
    <w:rsid w:val="00246FFC"/>
    <w:rsid w:val="0024713D"/>
    <w:rsid w:val="002471E0"/>
    <w:rsid w:val="002472E0"/>
    <w:rsid w:val="0024742A"/>
    <w:rsid w:val="002474BD"/>
    <w:rsid w:val="002475A9"/>
    <w:rsid w:val="00247757"/>
    <w:rsid w:val="002477D7"/>
    <w:rsid w:val="00247918"/>
    <w:rsid w:val="00247AD0"/>
    <w:rsid w:val="00247C00"/>
    <w:rsid w:val="00247C40"/>
    <w:rsid w:val="00247C41"/>
    <w:rsid w:val="0024BB77"/>
    <w:rsid w:val="00250515"/>
    <w:rsid w:val="0025056E"/>
    <w:rsid w:val="002507EC"/>
    <w:rsid w:val="00250884"/>
    <w:rsid w:val="00250CB7"/>
    <w:rsid w:val="00250D4E"/>
    <w:rsid w:val="00251034"/>
    <w:rsid w:val="0025107C"/>
    <w:rsid w:val="00251085"/>
    <w:rsid w:val="00251334"/>
    <w:rsid w:val="00251551"/>
    <w:rsid w:val="002516BD"/>
    <w:rsid w:val="0025182E"/>
    <w:rsid w:val="002518DC"/>
    <w:rsid w:val="00251913"/>
    <w:rsid w:val="00251980"/>
    <w:rsid w:val="00251BD6"/>
    <w:rsid w:val="00251C8F"/>
    <w:rsid w:val="00251E58"/>
    <w:rsid w:val="00251FCB"/>
    <w:rsid w:val="002520DF"/>
    <w:rsid w:val="0025224C"/>
    <w:rsid w:val="002522F9"/>
    <w:rsid w:val="00252678"/>
    <w:rsid w:val="002526CF"/>
    <w:rsid w:val="0025270C"/>
    <w:rsid w:val="0025291A"/>
    <w:rsid w:val="002529AF"/>
    <w:rsid w:val="00252B9B"/>
    <w:rsid w:val="00252CED"/>
    <w:rsid w:val="00252D38"/>
    <w:rsid w:val="00252D65"/>
    <w:rsid w:val="00252E91"/>
    <w:rsid w:val="00253048"/>
    <w:rsid w:val="0025324B"/>
    <w:rsid w:val="00253404"/>
    <w:rsid w:val="00253451"/>
    <w:rsid w:val="00253624"/>
    <w:rsid w:val="002538C6"/>
    <w:rsid w:val="002538CA"/>
    <w:rsid w:val="00253978"/>
    <w:rsid w:val="00253ABD"/>
    <w:rsid w:val="00253AD4"/>
    <w:rsid w:val="00253BC9"/>
    <w:rsid w:val="00253D15"/>
    <w:rsid w:val="00253FD1"/>
    <w:rsid w:val="002540F1"/>
    <w:rsid w:val="002541D5"/>
    <w:rsid w:val="00254305"/>
    <w:rsid w:val="0025459B"/>
    <w:rsid w:val="00254A1A"/>
    <w:rsid w:val="00254C67"/>
    <w:rsid w:val="00254F5C"/>
    <w:rsid w:val="00255323"/>
    <w:rsid w:val="00255353"/>
    <w:rsid w:val="002553F1"/>
    <w:rsid w:val="00255722"/>
    <w:rsid w:val="00255807"/>
    <w:rsid w:val="0025584B"/>
    <w:rsid w:val="00255CFE"/>
    <w:rsid w:val="00255D6C"/>
    <w:rsid w:val="00255E89"/>
    <w:rsid w:val="00255F70"/>
    <w:rsid w:val="0025609B"/>
    <w:rsid w:val="00256217"/>
    <w:rsid w:val="002566D1"/>
    <w:rsid w:val="0025674C"/>
    <w:rsid w:val="00256C2B"/>
    <w:rsid w:val="00256C6A"/>
    <w:rsid w:val="00256CE8"/>
    <w:rsid w:val="00256D9C"/>
    <w:rsid w:val="00257214"/>
    <w:rsid w:val="0025735B"/>
    <w:rsid w:val="00257482"/>
    <w:rsid w:val="00257535"/>
    <w:rsid w:val="00257636"/>
    <w:rsid w:val="00257658"/>
    <w:rsid w:val="002576E9"/>
    <w:rsid w:val="00257708"/>
    <w:rsid w:val="0025783D"/>
    <w:rsid w:val="00257956"/>
    <w:rsid w:val="00257A5C"/>
    <w:rsid w:val="00257A88"/>
    <w:rsid w:val="00257F8D"/>
    <w:rsid w:val="002600D1"/>
    <w:rsid w:val="0026014F"/>
    <w:rsid w:val="0026023F"/>
    <w:rsid w:val="00260430"/>
    <w:rsid w:val="002604CA"/>
    <w:rsid w:val="00260587"/>
    <w:rsid w:val="002606EB"/>
    <w:rsid w:val="00260859"/>
    <w:rsid w:val="0026091C"/>
    <w:rsid w:val="00260A14"/>
    <w:rsid w:val="00260A34"/>
    <w:rsid w:val="00260A3E"/>
    <w:rsid w:val="00260D84"/>
    <w:rsid w:val="00260EE9"/>
    <w:rsid w:val="0026104F"/>
    <w:rsid w:val="0026130A"/>
    <w:rsid w:val="002619AF"/>
    <w:rsid w:val="00261AFC"/>
    <w:rsid w:val="00261CEE"/>
    <w:rsid w:val="00261DDA"/>
    <w:rsid w:val="00261E1A"/>
    <w:rsid w:val="002621F7"/>
    <w:rsid w:val="002622E7"/>
    <w:rsid w:val="00262495"/>
    <w:rsid w:val="00262E48"/>
    <w:rsid w:val="00262EFA"/>
    <w:rsid w:val="002631EA"/>
    <w:rsid w:val="00263200"/>
    <w:rsid w:val="0026352F"/>
    <w:rsid w:val="00263715"/>
    <w:rsid w:val="00263A62"/>
    <w:rsid w:val="00263D13"/>
    <w:rsid w:val="00263E89"/>
    <w:rsid w:val="00264300"/>
    <w:rsid w:val="0026433A"/>
    <w:rsid w:val="002643B9"/>
    <w:rsid w:val="0026441C"/>
    <w:rsid w:val="00264745"/>
    <w:rsid w:val="00264DC3"/>
    <w:rsid w:val="00264DF8"/>
    <w:rsid w:val="00264F5D"/>
    <w:rsid w:val="00265124"/>
    <w:rsid w:val="002651E7"/>
    <w:rsid w:val="0026538E"/>
    <w:rsid w:val="0026542E"/>
    <w:rsid w:val="0026572C"/>
    <w:rsid w:val="0026580B"/>
    <w:rsid w:val="002659A1"/>
    <w:rsid w:val="002659D6"/>
    <w:rsid w:val="00265AA2"/>
    <w:rsid w:val="002661AA"/>
    <w:rsid w:val="0026622D"/>
    <w:rsid w:val="002663F8"/>
    <w:rsid w:val="002664AC"/>
    <w:rsid w:val="002665A4"/>
    <w:rsid w:val="00266742"/>
    <w:rsid w:val="00266850"/>
    <w:rsid w:val="00266A3C"/>
    <w:rsid w:val="00266B59"/>
    <w:rsid w:val="00266D92"/>
    <w:rsid w:val="00267330"/>
    <w:rsid w:val="00267384"/>
    <w:rsid w:val="00267438"/>
    <w:rsid w:val="002674A1"/>
    <w:rsid w:val="0026754E"/>
    <w:rsid w:val="002675D4"/>
    <w:rsid w:val="0026789F"/>
    <w:rsid w:val="00267912"/>
    <w:rsid w:val="00267916"/>
    <w:rsid w:val="00267B07"/>
    <w:rsid w:val="00267BAD"/>
    <w:rsid w:val="00267BC9"/>
    <w:rsid w:val="00267C4A"/>
    <w:rsid w:val="00267F8B"/>
    <w:rsid w:val="00267FAA"/>
    <w:rsid w:val="00267FD5"/>
    <w:rsid w:val="00267FFE"/>
    <w:rsid w:val="00270163"/>
    <w:rsid w:val="002701EE"/>
    <w:rsid w:val="0027021C"/>
    <w:rsid w:val="0027027C"/>
    <w:rsid w:val="0027035D"/>
    <w:rsid w:val="00270455"/>
    <w:rsid w:val="00270642"/>
    <w:rsid w:val="00270951"/>
    <w:rsid w:val="00270F7E"/>
    <w:rsid w:val="00271097"/>
    <w:rsid w:val="002710D0"/>
    <w:rsid w:val="002710FF"/>
    <w:rsid w:val="0027134B"/>
    <w:rsid w:val="0027141A"/>
    <w:rsid w:val="0027173F"/>
    <w:rsid w:val="00271ADF"/>
    <w:rsid w:val="00271CAD"/>
    <w:rsid w:val="0027203C"/>
    <w:rsid w:val="0027209D"/>
    <w:rsid w:val="00272214"/>
    <w:rsid w:val="00272233"/>
    <w:rsid w:val="002722F2"/>
    <w:rsid w:val="00272314"/>
    <w:rsid w:val="00272347"/>
    <w:rsid w:val="002723FB"/>
    <w:rsid w:val="00272802"/>
    <w:rsid w:val="00272AE4"/>
    <w:rsid w:val="00272CBE"/>
    <w:rsid w:val="00272D57"/>
    <w:rsid w:val="00272E00"/>
    <w:rsid w:val="00272E9F"/>
    <w:rsid w:val="002730C9"/>
    <w:rsid w:val="00273452"/>
    <w:rsid w:val="002735A2"/>
    <w:rsid w:val="002736A7"/>
    <w:rsid w:val="00273921"/>
    <w:rsid w:val="00273928"/>
    <w:rsid w:val="00273DCB"/>
    <w:rsid w:val="0027407F"/>
    <w:rsid w:val="002740B3"/>
    <w:rsid w:val="00274233"/>
    <w:rsid w:val="00274264"/>
    <w:rsid w:val="00274350"/>
    <w:rsid w:val="0027481B"/>
    <w:rsid w:val="00274931"/>
    <w:rsid w:val="00274946"/>
    <w:rsid w:val="00274954"/>
    <w:rsid w:val="00274A55"/>
    <w:rsid w:val="00274F13"/>
    <w:rsid w:val="00275069"/>
    <w:rsid w:val="00275317"/>
    <w:rsid w:val="002753EB"/>
    <w:rsid w:val="002754EC"/>
    <w:rsid w:val="00275706"/>
    <w:rsid w:val="0027588F"/>
    <w:rsid w:val="002759CA"/>
    <w:rsid w:val="00275A69"/>
    <w:rsid w:val="00275A92"/>
    <w:rsid w:val="00275B71"/>
    <w:rsid w:val="00275C3A"/>
    <w:rsid w:val="0027616F"/>
    <w:rsid w:val="0027641C"/>
    <w:rsid w:val="00276479"/>
    <w:rsid w:val="002767C1"/>
    <w:rsid w:val="002767F0"/>
    <w:rsid w:val="002767FD"/>
    <w:rsid w:val="002769E0"/>
    <w:rsid w:val="00276AF2"/>
    <w:rsid w:val="00276D78"/>
    <w:rsid w:val="00277068"/>
    <w:rsid w:val="002770F2"/>
    <w:rsid w:val="00277263"/>
    <w:rsid w:val="0027734C"/>
    <w:rsid w:val="002773EF"/>
    <w:rsid w:val="00277404"/>
    <w:rsid w:val="0027740C"/>
    <w:rsid w:val="00277456"/>
    <w:rsid w:val="0027756B"/>
    <w:rsid w:val="002775AF"/>
    <w:rsid w:val="002775C4"/>
    <w:rsid w:val="00277818"/>
    <w:rsid w:val="0027790D"/>
    <w:rsid w:val="0027796F"/>
    <w:rsid w:val="00277999"/>
    <w:rsid w:val="00277B0E"/>
    <w:rsid w:val="00277E08"/>
    <w:rsid w:val="00277E95"/>
    <w:rsid w:val="00277F27"/>
    <w:rsid w:val="00280350"/>
    <w:rsid w:val="002803B2"/>
    <w:rsid w:val="002805FB"/>
    <w:rsid w:val="002805FD"/>
    <w:rsid w:val="00280828"/>
    <w:rsid w:val="00280ACB"/>
    <w:rsid w:val="00280B3D"/>
    <w:rsid w:val="00280C07"/>
    <w:rsid w:val="00280C69"/>
    <w:rsid w:val="00280E0E"/>
    <w:rsid w:val="00280FB5"/>
    <w:rsid w:val="00281138"/>
    <w:rsid w:val="002812AB"/>
    <w:rsid w:val="00281387"/>
    <w:rsid w:val="002813EB"/>
    <w:rsid w:val="0028147A"/>
    <w:rsid w:val="002814E8"/>
    <w:rsid w:val="00281532"/>
    <w:rsid w:val="00281593"/>
    <w:rsid w:val="002815E5"/>
    <w:rsid w:val="002817E0"/>
    <w:rsid w:val="002818D0"/>
    <w:rsid w:val="00281E8F"/>
    <w:rsid w:val="00281EE2"/>
    <w:rsid w:val="00281F63"/>
    <w:rsid w:val="002820BB"/>
    <w:rsid w:val="002821D6"/>
    <w:rsid w:val="002822E5"/>
    <w:rsid w:val="00282382"/>
    <w:rsid w:val="0028258A"/>
    <w:rsid w:val="00282832"/>
    <w:rsid w:val="0028295E"/>
    <w:rsid w:val="00282A5F"/>
    <w:rsid w:val="00282B01"/>
    <w:rsid w:val="00282C62"/>
    <w:rsid w:val="00282D1F"/>
    <w:rsid w:val="00282D35"/>
    <w:rsid w:val="00282D88"/>
    <w:rsid w:val="00282DC2"/>
    <w:rsid w:val="00282F82"/>
    <w:rsid w:val="002830D8"/>
    <w:rsid w:val="00283170"/>
    <w:rsid w:val="00283197"/>
    <w:rsid w:val="00283276"/>
    <w:rsid w:val="002835A6"/>
    <w:rsid w:val="00283740"/>
    <w:rsid w:val="00283753"/>
    <w:rsid w:val="00283821"/>
    <w:rsid w:val="002838EE"/>
    <w:rsid w:val="00283932"/>
    <w:rsid w:val="00283BF3"/>
    <w:rsid w:val="00283D69"/>
    <w:rsid w:val="00283E1C"/>
    <w:rsid w:val="0028406F"/>
    <w:rsid w:val="00284570"/>
    <w:rsid w:val="0028458F"/>
    <w:rsid w:val="0028486F"/>
    <w:rsid w:val="0028490A"/>
    <w:rsid w:val="00284AAA"/>
    <w:rsid w:val="00284AFD"/>
    <w:rsid w:val="00284BA8"/>
    <w:rsid w:val="00284BB3"/>
    <w:rsid w:val="00284E9D"/>
    <w:rsid w:val="00284EAF"/>
    <w:rsid w:val="00284EB7"/>
    <w:rsid w:val="00285261"/>
    <w:rsid w:val="002853DE"/>
    <w:rsid w:val="00285671"/>
    <w:rsid w:val="002856F9"/>
    <w:rsid w:val="002857A4"/>
    <w:rsid w:val="00285881"/>
    <w:rsid w:val="002859D0"/>
    <w:rsid w:val="00285C51"/>
    <w:rsid w:val="00285D78"/>
    <w:rsid w:val="00285EB1"/>
    <w:rsid w:val="00285EEC"/>
    <w:rsid w:val="0028606D"/>
    <w:rsid w:val="00286153"/>
    <w:rsid w:val="0028615B"/>
    <w:rsid w:val="002861DE"/>
    <w:rsid w:val="0028626B"/>
    <w:rsid w:val="00286376"/>
    <w:rsid w:val="00286387"/>
    <w:rsid w:val="0028638C"/>
    <w:rsid w:val="00286B1B"/>
    <w:rsid w:val="00286B45"/>
    <w:rsid w:val="00286BC5"/>
    <w:rsid w:val="00286D8B"/>
    <w:rsid w:val="00286DB1"/>
    <w:rsid w:val="00286F0E"/>
    <w:rsid w:val="0028708E"/>
    <w:rsid w:val="002870FC"/>
    <w:rsid w:val="0028723C"/>
    <w:rsid w:val="00287401"/>
    <w:rsid w:val="0028775B"/>
    <w:rsid w:val="002878A0"/>
    <w:rsid w:val="002878AB"/>
    <w:rsid w:val="00287947"/>
    <w:rsid w:val="00287A7C"/>
    <w:rsid w:val="00287BC6"/>
    <w:rsid w:val="00287C21"/>
    <w:rsid w:val="00287C75"/>
    <w:rsid w:val="00287CCA"/>
    <w:rsid w:val="00287F36"/>
    <w:rsid w:val="00290183"/>
    <w:rsid w:val="00290412"/>
    <w:rsid w:val="002904F9"/>
    <w:rsid w:val="00290599"/>
    <w:rsid w:val="00290719"/>
    <w:rsid w:val="00290994"/>
    <w:rsid w:val="00290B4E"/>
    <w:rsid w:val="00290BDD"/>
    <w:rsid w:val="00290CE2"/>
    <w:rsid w:val="00290DCA"/>
    <w:rsid w:val="0029105F"/>
    <w:rsid w:val="002910F2"/>
    <w:rsid w:val="002912C7"/>
    <w:rsid w:val="00291349"/>
    <w:rsid w:val="00291AD0"/>
    <w:rsid w:val="00291BDF"/>
    <w:rsid w:val="00291D8D"/>
    <w:rsid w:val="00291EC9"/>
    <w:rsid w:val="00291F4F"/>
    <w:rsid w:val="00291F69"/>
    <w:rsid w:val="0029219F"/>
    <w:rsid w:val="0029229B"/>
    <w:rsid w:val="00292309"/>
    <w:rsid w:val="00292471"/>
    <w:rsid w:val="002925F1"/>
    <w:rsid w:val="002925FC"/>
    <w:rsid w:val="0029262F"/>
    <w:rsid w:val="00292669"/>
    <w:rsid w:val="002926A2"/>
    <w:rsid w:val="00292C6F"/>
    <w:rsid w:val="00292D95"/>
    <w:rsid w:val="00292DBC"/>
    <w:rsid w:val="00292E58"/>
    <w:rsid w:val="00292EAB"/>
    <w:rsid w:val="00292F46"/>
    <w:rsid w:val="00292FDC"/>
    <w:rsid w:val="0029342C"/>
    <w:rsid w:val="00293525"/>
    <w:rsid w:val="00293628"/>
    <w:rsid w:val="002936A1"/>
    <w:rsid w:val="002936F7"/>
    <w:rsid w:val="0029373D"/>
    <w:rsid w:val="00293747"/>
    <w:rsid w:val="00293780"/>
    <w:rsid w:val="00293B40"/>
    <w:rsid w:val="00293B73"/>
    <w:rsid w:val="00293B79"/>
    <w:rsid w:val="00293CFD"/>
    <w:rsid w:val="00293D91"/>
    <w:rsid w:val="00293EE3"/>
    <w:rsid w:val="00293F00"/>
    <w:rsid w:val="00294141"/>
    <w:rsid w:val="0029414D"/>
    <w:rsid w:val="0029430A"/>
    <w:rsid w:val="002943D8"/>
    <w:rsid w:val="00294579"/>
    <w:rsid w:val="0029474B"/>
    <w:rsid w:val="00294865"/>
    <w:rsid w:val="002948F7"/>
    <w:rsid w:val="00294950"/>
    <w:rsid w:val="00294DE6"/>
    <w:rsid w:val="00294F71"/>
    <w:rsid w:val="00295028"/>
    <w:rsid w:val="002950A8"/>
    <w:rsid w:val="00295102"/>
    <w:rsid w:val="002953F9"/>
    <w:rsid w:val="00295493"/>
    <w:rsid w:val="00295511"/>
    <w:rsid w:val="002955ED"/>
    <w:rsid w:val="002955FF"/>
    <w:rsid w:val="002957F8"/>
    <w:rsid w:val="002958CD"/>
    <w:rsid w:val="00295BA1"/>
    <w:rsid w:val="00295CD4"/>
    <w:rsid w:val="00295D91"/>
    <w:rsid w:val="00295FD8"/>
    <w:rsid w:val="002961FE"/>
    <w:rsid w:val="0029623C"/>
    <w:rsid w:val="0029644A"/>
    <w:rsid w:val="00296619"/>
    <w:rsid w:val="00296766"/>
    <w:rsid w:val="0029690F"/>
    <w:rsid w:val="00297143"/>
    <w:rsid w:val="0029729A"/>
    <w:rsid w:val="00297397"/>
    <w:rsid w:val="00297A2C"/>
    <w:rsid w:val="00297DBD"/>
    <w:rsid w:val="002A0156"/>
    <w:rsid w:val="002A0385"/>
    <w:rsid w:val="002A046F"/>
    <w:rsid w:val="002A04E6"/>
    <w:rsid w:val="002A04F1"/>
    <w:rsid w:val="002A056B"/>
    <w:rsid w:val="002A0AE5"/>
    <w:rsid w:val="002A0B80"/>
    <w:rsid w:val="002A0D46"/>
    <w:rsid w:val="002A0E44"/>
    <w:rsid w:val="002A11A0"/>
    <w:rsid w:val="002A1232"/>
    <w:rsid w:val="002A144B"/>
    <w:rsid w:val="002A17BB"/>
    <w:rsid w:val="002A17CD"/>
    <w:rsid w:val="002A181E"/>
    <w:rsid w:val="002A18B1"/>
    <w:rsid w:val="002A195F"/>
    <w:rsid w:val="002A1B54"/>
    <w:rsid w:val="002A1BA3"/>
    <w:rsid w:val="002A21D0"/>
    <w:rsid w:val="002A21D6"/>
    <w:rsid w:val="002A223D"/>
    <w:rsid w:val="002A22C2"/>
    <w:rsid w:val="002A22E8"/>
    <w:rsid w:val="002A23E0"/>
    <w:rsid w:val="002A24AF"/>
    <w:rsid w:val="002A25FE"/>
    <w:rsid w:val="002A2617"/>
    <w:rsid w:val="002A26AC"/>
    <w:rsid w:val="002A271C"/>
    <w:rsid w:val="002A274D"/>
    <w:rsid w:val="002A27A5"/>
    <w:rsid w:val="002A281D"/>
    <w:rsid w:val="002A2D83"/>
    <w:rsid w:val="002A31AD"/>
    <w:rsid w:val="002A31FA"/>
    <w:rsid w:val="002A342E"/>
    <w:rsid w:val="002A3446"/>
    <w:rsid w:val="002A34A0"/>
    <w:rsid w:val="002A3781"/>
    <w:rsid w:val="002A39D9"/>
    <w:rsid w:val="002A3A29"/>
    <w:rsid w:val="002A3B0D"/>
    <w:rsid w:val="002A3D50"/>
    <w:rsid w:val="002A3DFA"/>
    <w:rsid w:val="002A3E36"/>
    <w:rsid w:val="002A40D3"/>
    <w:rsid w:val="002A4275"/>
    <w:rsid w:val="002A4290"/>
    <w:rsid w:val="002A43AA"/>
    <w:rsid w:val="002A4583"/>
    <w:rsid w:val="002A45C1"/>
    <w:rsid w:val="002A48DB"/>
    <w:rsid w:val="002A4953"/>
    <w:rsid w:val="002A49F6"/>
    <w:rsid w:val="002A4B09"/>
    <w:rsid w:val="002A505B"/>
    <w:rsid w:val="002A53B4"/>
    <w:rsid w:val="002A5463"/>
    <w:rsid w:val="002A54EA"/>
    <w:rsid w:val="002A5672"/>
    <w:rsid w:val="002A5697"/>
    <w:rsid w:val="002A571F"/>
    <w:rsid w:val="002A5AE3"/>
    <w:rsid w:val="002A5B35"/>
    <w:rsid w:val="002A5D31"/>
    <w:rsid w:val="002A5EEE"/>
    <w:rsid w:val="002A5FD9"/>
    <w:rsid w:val="002A6077"/>
    <w:rsid w:val="002A6234"/>
    <w:rsid w:val="002A62DD"/>
    <w:rsid w:val="002A6383"/>
    <w:rsid w:val="002A6458"/>
    <w:rsid w:val="002A65DC"/>
    <w:rsid w:val="002A6611"/>
    <w:rsid w:val="002A66F5"/>
    <w:rsid w:val="002A66FA"/>
    <w:rsid w:val="002A67FC"/>
    <w:rsid w:val="002A6808"/>
    <w:rsid w:val="002A6903"/>
    <w:rsid w:val="002A6966"/>
    <w:rsid w:val="002A69BC"/>
    <w:rsid w:val="002A6A4E"/>
    <w:rsid w:val="002A6B39"/>
    <w:rsid w:val="002A6B83"/>
    <w:rsid w:val="002A6C41"/>
    <w:rsid w:val="002A70FF"/>
    <w:rsid w:val="002A7259"/>
    <w:rsid w:val="002A7354"/>
    <w:rsid w:val="002A74AE"/>
    <w:rsid w:val="002A74E0"/>
    <w:rsid w:val="002A757F"/>
    <w:rsid w:val="002A7624"/>
    <w:rsid w:val="002A778C"/>
    <w:rsid w:val="002A77C3"/>
    <w:rsid w:val="002A7BF2"/>
    <w:rsid w:val="002A7F4F"/>
    <w:rsid w:val="002B005C"/>
    <w:rsid w:val="002B01BF"/>
    <w:rsid w:val="002B024E"/>
    <w:rsid w:val="002B0590"/>
    <w:rsid w:val="002B05F9"/>
    <w:rsid w:val="002B0D78"/>
    <w:rsid w:val="002B0DE3"/>
    <w:rsid w:val="002B0F15"/>
    <w:rsid w:val="002B0F16"/>
    <w:rsid w:val="002B1099"/>
    <w:rsid w:val="002B1380"/>
    <w:rsid w:val="002B13DF"/>
    <w:rsid w:val="002B14F0"/>
    <w:rsid w:val="002B16C0"/>
    <w:rsid w:val="002B16C9"/>
    <w:rsid w:val="002B1891"/>
    <w:rsid w:val="002B1A12"/>
    <w:rsid w:val="002B1BF0"/>
    <w:rsid w:val="002B1E23"/>
    <w:rsid w:val="002B22EC"/>
    <w:rsid w:val="002B24B3"/>
    <w:rsid w:val="002B24BA"/>
    <w:rsid w:val="002B2585"/>
    <w:rsid w:val="002B2C8A"/>
    <w:rsid w:val="002B2E7F"/>
    <w:rsid w:val="002B2F0B"/>
    <w:rsid w:val="002B2FF2"/>
    <w:rsid w:val="002B30DB"/>
    <w:rsid w:val="002B3351"/>
    <w:rsid w:val="002B344E"/>
    <w:rsid w:val="002B3535"/>
    <w:rsid w:val="002B355C"/>
    <w:rsid w:val="002B356F"/>
    <w:rsid w:val="002B36B7"/>
    <w:rsid w:val="002B370C"/>
    <w:rsid w:val="002B3744"/>
    <w:rsid w:val="002B381D"/>
    <w:rsid w:val="002B3B48"/>
    <w:rsid w:val="002B3BAC"/>
    <w:rsid w:val="002B3ECF"/>
    <w:rsid w:val="002B404C"/>
    <w:rsid w:val="002B404D"/>
    <w:rsid w:val="002B4106"/>
    <w:rsid w:val="002B41A6"/>
    <w:rsid w:val="002B41B4"/>
    <w:rsid w:val="002B41C5"/>
    <w:rsid w:val="002B479E"/>
    <w:rsid w:val="002B47DD"/>
    <w:rsid w:val="002B4818"/>
    <w:rsid w:val="002B488E"/>
    <w:rsid w:val="002B48DD"/>
    <w:rsid w:val="002B4913"/>
    <w:rsid w:val="002B4927"/>
    <w:rsid w:val="002B49E2"/>
    <w:rsid w:val="002B4A0D"/>
    <w:rsid w:val="002B4A7E"/>
    <w:rsid w:val="002B4C5E"/>
    <w:rsid w:val="002B4CDF"/>
    <w:rsid w:val="002B4F70"/>
    <w:rsid w:val="002B5408"/>
    <w:rsid w:val="002B5579"/>
    <w:rsid w:val="002B565E"/>
    <w:rsid w:val="002B5798"/>
    <w:rsid w:val="002B5804"/>
    <w:rsid w:val="002B5909"/>
    <w:rsid w:val="002B5B0B"/>
    <w:rsid w:val="002B5CAE"/>
    <w:rsid w:val="002B5D56"/>
    <w:rsid w:val="002B5DCD"/>
    <w:rsid w:val="002B6073"/>
    <w:rsid w:val="002B610E"/>
    <w:rsid w:val="002B634E"/>
    <w:rsid w:val="002B64C9"/>
    <w:rsid w:val="002B653B"/>
    <w:rsid w:val="002B659E"/>
    <w:rsid w:val="002B6862"/>
    <w:rsid w:val="002B68A3"/>
    <w:rsid w:val="002B68C9"/>
    <w:rsid w:val="002B68E8"/>
    <w:rsid w:val="002B68F5"/>
    <w:rsid w:val="002B6A38"/>
    <w:rsid w:val="002B6B07"/>
    <w:rsid w:val="002B6E00"/>
    <w:rsid w:val="002B6E03"/>
    <w:rsid w:val="002B6F1D"/>
    <w:rsid w:val="002B706F"/>
    <w:rsid w:val="002B7194"/>
    <w:rsid w:val="002B72DA"/>
    <w:rsid w:val="002B742A"/>
    <w:rsid w:val="002B7444"/>
    <w:rsid w:val="002B74C5"/>
    <w:rsid w:val="002B76F6"/>
    <w:rsid w:val="002B7B03"/>
    <w:rsid w:val="002B7DA1"/>
    <w:rsid w:val="002C0129"/>
    <w:rsid w:val="002C016F"/>
    <w:rsid w:val="002C020A"/>
    <w:rsid w:val="002C04F8"/>
    <w:rsid w:val="002C0994"/>
    <w:rsid w:val="002C0AF1"/>
    <w:rsid w:val="002C0AFD"/>
    <w:rsid w:val="002C0B22"/>
    <w:rsid w:val="002C0EF3"/>
    <w:rsid w:val="002C0F58"/>
    <w:rsid w:val="002C0F7C"/>
    <w:rsid w:val="002C124A"/>
    <w:rsid w:val="002C13C8"/>
    <w:rsid w:val="002C13E2"/>
    <w:rsid w:val="002C13E9"/>
    <w:rsid w:val="002C147A"/>
    <w:rsid w:val="002C18EC"/>
    <w:rsid w:val="002C1A68"/>
    <w:rsid w:val="002C1AF6"/>
    <w:rsid w:val="002C1B01"/>
    <w:rsid w:val="002C1BE1"/>
    <w:rsid w:val="002C1CAF"/>
    <w:rsid w:val="002C1DEB"/>
    <w:rsid w:val="002C20AA"/>
    <w:rsid w:val="002C2229"/>
    <w:rsid w:val="002C2270"/>
    <w:rsid w:val="002C2302"/>
    <w:rsid w:val="002C231D"/>
    <w:rsid w:val="002C23C0"/>
    <w:rsid w:val="002C2505"/>
    <w:rsid w:val="002C256E"/>
    <w:rsid w:val="002C2726"/>
    <w:rsid w:val="002C2907"/>
    <w:rsid w:val="002C2BDB"/>
    <w:rsid w:val="002C2C49"/>
    <w:rsid w:val="002C2F9C"/>
    <w:rsid w:val="002C2FD8"/>
    <w:rsid w:val="002C3057"/>
    <w:rsid w:val="002C363F"/>
    <w:rsid w:val="002C3A87"/>
    <w:rsid w:val="002C3C82"/>
    <w:rsid w:val="002C3EC1"/>
    <w:rsid w:val="002C4025"/>
    <w:rsid w:val="002C4048"/>
    <w:rsid w:val="002C487A"/>
    <w:rsid w:val="002C4A5F"/>
    <w:rsid w:val="002C4C8A"/>
    <w:rsid w:val="002C51F5"/>
    <w:rsid w:val="002C53DE"/>
    <w:rsid w:val="002C55A8"/>
    <w:rsid w:val="002C563C"/>
    <w:rsid w:val="002C56CD"/>
    <w:rsid w:val="002C57D8"/>
    <w:rsid w:val="002C57F3"/>
    <w:rsid w:val="002C5810"/>
    <w:rsid w:val="002C5923"/>
    <w:rsid w:val="002C5A0B"/>
    <w:rsid w:val="002C5A48"/>
    <w:rsid w:val="002C5C93"/>
    <w:rsid w:val="002C5EFB"/>
    <w:rsid w:val="002C5F59"/>
    <w:rsid w:val="002C6011"/>
    <w:rsid w:val="002C6044"/>
    <w:rsid w:val="002C612D"/>
    <w:rsid w:val="002C6229"/>
    <w:rsid w:val="002C6466"/>
    <w:rsid w:val="002C64E1"/>
    <w:rsid w:val="002C6636"/>
    <w:rsid w:val="002C6771"/>
    <w:rsid w:val="002C67A9"/>
    <w:rsid w:val="002C6801"/>
    <w:rsid w:val="002C6BC9"/>
    <w:rsid w:val="002C6E39"/>
    <w:rsid w:val="002C6FE1"/>
    <w:rsid w:val="002C71AB"/>
    <w:rsid w:val="002C7242"/>
    <w:rsid w:val="002C73E5"/>
    <w:rsid w:val="002C7421"/>
    <w:rsid w:val="002C74E4"/>
    <w:rsid w:val="002C757B"/>
    <w:rsid w:val="002C7621"/>
    <w:rsid w:val="002C7819"/>
    <w:rsid w:val="002C7C38"/>
    <w:rsid w:val="002C7C83"/>
    <w:rsid w:val="002C7D6C"/>
    <w:rsid w:val="002C7DC2"/>
    <w:rsid w:val="002C7E0A"/>
    <w:rsid w:val="002C7F14"/>
    <w:rsid w:val="002D0060"/>
    <w:rsid w:val="002D00E2"/>
    <w:rsid w:val="002D0109"/>
    <w:rsid w:val="002D033E"/>
    <w:rsid w:val="002D0421"/>
    <w:rsid w:val="002D04C2"/>
    <w:rsid w:val="002D0881"/>
    <w:rsid w:val="002D08AD"/>
    <w:rsid w:val="002D09A4"/>
    <w:rsid w:val="002D0AAF"/>
    <w:rsid w:val="002D0B5D"/>
    <w:rsid w:val="002D0B82"/>
    <w:rsid w:val="002D0CA9"/>
    <w:rsid w:val="002D0E81"/>
    <w:rsid w:val="002D0EB0"/>
    <w:rsid w:val="002D0F24"/>
    <w:rsid w:val="002D10F2"/>
    <w:rsid w:val="002D12B9"/>
    <w:rsid w:val="002D1675"/>
    <w:rsid w:val="002D16D8"/>
    <w:rsid w:val="002D193F"/>
    <w:rsid w:val="002D19D3"/>
    <w:rsid w:val="002D1C69"/>
    <w:rsid w:val="002D1CE6"/>
    <w:rsid w:val="002D1E55"/>
    <w:rsid w:val="002D2016"/>
    <w:rsid w:val="002D2089"/>
    <w:rsid w:val="002D21C2"/>
    <w:rsid w:val="002D22DD"/>
    <w:rsid w:val="002D2399"/>
    <w:rsid w:val="002D274E"/>
    <w:rsid w:val="002D2755"/>
    <w:rsid w:val="002D281B"/>
    <w:rsid w:val="002D2954"/>
    <w:rsid w:val="002D2A07"/>
    <w:rsid w:val="002D2A38"/>
    <w:rsid w:val="002D2A43"/>
    <w:rsid w:val="002D2B14"/>
    <w:rsid w:val="002D2F52"/>
    <w:rsid w:val="002D327B"/>
    <w:rsid w:val="002D3558"/>
    <w:rsid w:val="002D3643"/>
    <w:rsid w:val="002D365B"/>
    <w:rsid w:val="002D3668"/>
    <w:rsid w:val="002D3A32"/>
    <w:rsid w:val="002D3B68"/>
    <w:rsid w:val="002D3D4E"/>
    <w:rsid w:val="002D3DFE"/>
    <w:rsid w:val="002D408B"/>
    <w:rsid w:val="002D4288"/>
    <w:rsid w:val="002D4306"/>
    <w:rsid w:val="002D43A0"/>
    <w:rsid w:val="002D4A28"/>
    <w:rsid w:val="002D4A97"/>
    <w:rsid w:val="002D4AD6"/>
    <w:rsid w:val="002D4C99"/>
    <w:rsid w:val="002D4D8D"/>
    <w:rsid w:val="002D507D"/>
    <w:rsid w:val="002D51F0"/>
    <w:rsid w:val="002D52A9"/>
    <w:rsid w:val="002D559E"/>
    <w:rsid w:val="002D5793"/>
    <w:rsid w:val="002D57E5"/>
    <w:rsid w:val="002D598D"/>
    <w:rsid w:val="002D5BAA"/>
    <w:rsid w:val="002D5C7F"/>
    <w:rsid w:val="002D5E18"/>
    <w:rsid w:val="002D6021"/>
    <w:rsid w:val="002D631D"/>
    <w:rsid w:val="002D63BD"/>
    <w:rsid w:val="002D6530"/>
    <w:rsid w:val="002D6620"/>
    <w:rsid w:val="002D678A"/>
    <w:rsid w:val="002D6807"/>
    <w:rsid w:val="002D6865"/>
    <w:rsid w:val="002D693D"/>
    <w:rsid w:val="002D69B2"/>
    <w:rsid w:val="002D6BCB"/>
    <w:rsid w:val="002D6E67"/>
    <w:rsid w:val="002D6F0B"/>
    <w:rsid w:val="002D6FAE"/>
    <w:rsid w:val="002D71B8"/>
    <w:rsid w:val="002D7590"/>
    <w:rsid w:val="002D7CF1"/>
    <w:rsid w:val="002D7D09"/>
    <w:rsid w:val="002D7E7A"/>
    <w:rsid w:val="002D7E9D"/>
    <w:rsid w:val="002E0136"/>
    <w:rsid w:val="002E014A"/>
    <w:rsid w:val="002E0236"/>
    <w:rsid w:val="002E02C0"/>
    <w:rsid w:val="002E059B"/>
    <w:rsid w:val="002E084C"/>
    <w:rsid w:val="002E087F"/>
    <w:rsid w:val="002E08DA"/>
    <w:rsid w:val="002E094B"/>
    <w:rsid w:val="002E0C50"/>
    <w:rsid w:val="002E0CE1"/>
    <w:rsid w:val="002E0D1D"/>
    <w:rsid w:val="002E0D83"/>
    <w:rsid w:val="002E0E9A"/>
    <w:rsid w:val="002E0ECB"/>
    <w:rsid w:val="002E0F4F"/>
    <w:rsid w:val="002E1048"/>
    <w:rsid w:val="002E106B"/>
    <w:rsid w:val="002E1071"/>
    <w:rsid w:val="002E10C2"/>
    <w:rsid w:val="002E10F8"/>
    <w:rsid w:val="002E1141"/>
    <w:rsid w:val="002E1142"/>
    <w:rsid w:val="002E1317"/>
    <w:rsid w:val="002E1342"/>
    <w:rsid w:val="002E1458"/>
    <w:rsid w:val="002E1633"/>
    <w:rsid w:val="002E1819"/>
    <w:rsid w:val="002E19CB"/>
    <w:rsid w:val="002E1A6E"/>
    <w:rsid w:val="002E1BB9"/>
    <w:rsid w:val="002E1C13"/>
    <w:rsid w:val="002E1DAA"/>
    <w:rsid w:val="002E1E69"/>
    <w:rsid w:val="002E1FE6"/>
    <w:rsid w:val="002E2114"/>
    <w:rsid w:val="002E228C"/>
    <w:rsid w:val="002E23A3"/>
    <w:rsid w:val="002E2506"/>
    <w:rsid w:val="002E2718"/>
    <w:rsid w:val="002E27AF"/>
    <w:rsid w:val="002E2A4A"/>
    <w:rsid w:val="002E2E46"/>
    <w:rsid w:val="002E2EF7"/>
    <w:rsid w:val="002E31C1"/>
    <w:rsid w:val="002E3421"/>
    <w:rsid w:val="002E34CD"/>
    <w:rsid w:val="002E373C"/>
    <w:rsid w:val="002E37EA"/>
    <w:rsid w:val="002E38AC"/>
    <w:rsid w:val="002E3A75"/>
    <w:rsid w:val="002E3F78"/>
    <w:rsid w:val="002E4151"/>
    <w:rsid w:val="002E41AA"/>
    <w:rsid w:val="002E42CF"/>
    <w:rsid w:val="002E4363"/>
    <w:rsid w:val="002E44B0"/>
    <w:rsid w:val="002E484E"/>
    <w:rsid w:val="002E487D"/>
    <w:rsid w:val="002E4982"/>
    <w:rsid w:val="002E4B89"/>
    <w:rsid w:val="002E4CBE"/>
    <w:rsid w:val="002E50F9"/>
    <w:rsid w:val="002E5226"/>
    <w:rsid w:val="002E5496"/>
    <w:rsid w:val="002E5524"/>
    <w:rsid w:val="002E562E"/>
    <w:rsid w:val="002E5795"/>
    <w:rsid w:val="002E5881"/>
    <w:rsid w:val="002E5CB3"/>
    <w:rsid w:val="002E5CFF"/>
    <w:rsid w:val="002E5E51"/>
    <w:rsid w:val="002E64AA"/>
    <w:rsid w:val="002E6648"/>
    <w:rsid w:val="002E665D"/>
    <w:rsid w:val="002E66EE"/>
    <w:rsid w:val="002E670A"/>
    <w:rsid w:val="002E673A"/>
    <w:rsid w:val="002E6AC0"/>
    <w:rsid w:val="002E6C1B"/>
    <w:rsid w:val="002E6F0F"/>
    <w:rsid w:val="002E6F38"/>
    <w:rsid w:val="002E707F"/>
    <w:rsid w:val="002E7269"/>
    <w:rsid w:val="002E72EE"/>
    <w:rsid w:val="002E72FC"/>
    <w:rsid w:val="002E75D1"/>
    <w:rsid w:val="002E7996"/>
    <w:rsid w:val="002E79CA"/>
    <w:rsid w:val="002E7B31"/>
    <w:rsid w:val="002E7E6D"/>
    <w:rsid w:val="002E7F20"/>
    <w:rsid w:val="002E7FB0"/>
    <w:rsid w:val="002F031F"/>
    <w:rsid w:val="002F04ED"/>
    <w:rsid w:val="002F0680"/>
    <w:rsid w:val="002F08FA"/>
    <w:rsid w:val="002F090C"/>
    <w:rsid w:val="002F0A4B"/>
    <w:rsid w:val="002F0AEC"/>
    <w:rsid w:val="002F0B91"/>
    <w:rsid w:val="002F0BE1"/>
    <w:rsid w:val="002F0E0E"/>
    <w:rsid w:val="002F0EC9"/>
    <w:rsid w:val="002F0F55"/>
    <w:rsid w:val="002F1162"/>
    <w:rsid w:val="002F127B"/>
    <w:rsid w:val="002F129F"/>
    <w:rsid w:val="002F12BE"/>
    <w:rsid w:val="002F12DE"/>
    <w:rsid w:val="002F13BA"/>
    <w:rsid w:val="002F1403"/>
    <w:rsid w:val="002F14D4"/>
    <w:rsid w:val="002F1538"/>
    <w:rsid w:val="002F16E9"/>
    <w:rsid w:val="002F1789"/>
    <w:rsid w:val="002F180E"/>
    <w:rsid w:val="002F1889"/>
    <w:rsid w:val="002F1A0D"/>
    <w:rsid w:val="002F1AFD"/>
    <w:rsid w:val="002F1D19"/>
    <w:rsid w:val="002F2314"/>
    <w:rsid w:val="002F23E8"/>
    <w:rsid w:val="002F25C4"/>
    <w:rsid w:val="002F275F"/>
    <w:rsid w:val="002F283B"/>
    <w:rsid w:val="002F284A"/>
    <w:rsid w:val="002F2995"/>
    <w:rsid w:val="002F2996"/>
    <w:rsid w:val="002F2B17"/>
    <w:rsid w:val="002F2C8E"/>
    <w:rsid w:val="002F2E19"/>
    <w:rsid w:val="002F2F6B"/>
    <w:rsid w:val="002F319A"/>
    <w:rsid w:val="002F3302"/>
    <w:rsid w:val="002F33D1"/>
    <w:rsid w:val="002F369B"/>
    <w:rsid w:val="002F3832"/>
    <w:rsid w:val="002F390A"/>
    <w:rsid w:val="002F3AA1"/>
    <w:rsid w:val="002F3C1B"/>
    <w:rsid w:val="002F3CCC"/>
    <w:rsid w:val="002F3F1C"/>
    <w:rsid w:val="002F4060"/>
    <w:rsid w:val="002F4075"/>
    <w:rsid w:val="002F4761"/>
    <w:rsid w:val="002F4892"/>
    <w:rsid w:val="002F48BF"/>
    <w:rsid w:val="002F495E"/>
    <w:rsid w:val="002F49D1"/>
    <w:rsid w:val="002F49E0"/>
    <w:rsid w:val="002F4BDB"/>
    <w:rsid w:val="002F4C88"/>
    <w:rsid w:val="002F4CDB"/>
    <w:rsid w:val="002F4D3F"/>
    <w:rsid w:val="002F4EA8"/>
    <w:rsid w:val="002F5053"/>
    <w:rsid w:val="002F5174"/>
    <w:rsid w:val="002F52A3"/>
    <w:rsid w:val="002F54CC"/>
    <w:rsid w:val="002F57C6"/>
    <w:rsid w:val="002F5881"/>
    <w:rsid w:val="002F58C8"/>
    <w:rsid w:val="002F58CE"/>
    <w:rsid w:val="002F58EE"/>
    <w:rsid w:val="002F59DE"/>
    <w:rsid w:val="002F5B00"/>
    <w:rsid w:val="002F5BE8"/>
    <w:rsid w:val="002F5E8C"/>
    <w:rsid w:val="002F5F6D"/>
    <w:rsid w:val="002F609D"/>
    <w:rsid w:val="002F62C7"/>
    <w:rsid w:val="002F644B"/>
    <w:rsid w:val="002F6BF6"/>
    <w:rsid w:val="002F6D3C"/>
    <w:rsid w:val="002F6DAC"/>
    <w:rsid w:val="002F6E58"/>
    <w:rsid w:val="002F6F29"/>
    <w:rsid w:val="002F6FA0"/>
    <w:rsid w:val="002F741C"/>
    <w:rsid w:val="002F7562"/>
    <w:rsid w:val="002F766B"/>
    <w:rsid w:val="002F7688"/>
    <w:rsid w:val="002F7946"/>
    <w:rsid w:val="002F796F"/>
    <w:rsid w:val="002F7A21"/>
    <w:rsid w:val="002F7AD9"/>
    <w:rsid w:val="002F7E9D"/>
    <w:rsid w:val="002F7EC7"/>
    <w:rsid w:val="002F7F75"/>
    <w:rsid w:val="002FA992"/>
    <w:rsid w:val="0030008C"/>
    <w:rsid w:val="003000A8"/>
    <w:rsid w:val="003001F4"/>
    <w:rsid w:val="003002CC"/>
    <w:rsid w:val="003002ED"/>
    <w:rsid w:val="00300378"/>
    <w:rsid w:val="00300634"/>
    <w:rsid w:val="003007DF"/>
    <w:rsid w:val="0030083B"/>
    <w:rsid w:val="0030087A"/>
    <w:rsid w:val="003009E8"/>
    <w:rsid w:val="00300A1D"/>
    <w:rsid w:val="00300ACE"/>
    <w:rsid w:val="00300CE2"/>
    <w:rsid w:val="00301153"/>
    <w:rsid w:val="00301212"/>
    <w:rsid w:val="00301240"/>
    <w:rsid w:val="0030136A"/>
    <w:rsid w:val="00301493"/>
    <w:rsid w:val="00301574"/>
    <w:rsid w:val="003015C2"/>
    <w:rsid w:val="003015C5"/>
    <w:rsid w:val="003016D5"/>
    <w:rsid w:val="00301BBE"/>
    <w:rsid w:val="00301C85"/>
    <w:rsid w:val="00301D15"/>
    <w:rsid w:val="00301DB2"/>
    <w:rsid w:val="00301E2A"/>
    <w:rsid w:val="0030200C"/>
    <w:rsid w:val="00302075"/>
    <w:rsid w:val="0030218D"/>
    <w:rsid w:val="003024D7"/>
    <w:rsid w:val="003024DD"/>
    <w:rsid w:val="0030277B"/>
    <w:rsid w:val="00302B91"/>
    <w:rsid w:val="00302C41"/>
    <w:rsid w:val="00302E23"/>
    <w:rsid w:val="00302F20"/>
    <w:rsid w:val="0030301F"/>
    <w:rsid w:val="00303050"/>
    <w:rsid w:val="00303058"/>
    <w:rsid w:val="0030327E"/>
    <w:rsid w:val="00303328"/>
    <w:rsid w:val="00303572"/>
    <w:rsid w:val="003035B0"/>
    <w:rsid w:val="00303703"/>
    <w:rsid w:val="0030382A"/>
    <w:rsid w:val="003039D7"/>
    <w:rsid w:val="00303A47"/>
    <w:rsid w:val="00303C38"/>
    <w:rsid w:val="00303DAA"/>
    <w:rsid w:val="00303DE9"/>
    <w:rsid w:val="00303F7A"/>
    <w:rsid w:val="0030404C"/>
    <w:rsid w:val="00304077"/>
    <w:rsid w:val="00304103"/>
    <w:rsid w:val="0030415D"/>
    <w:rsid w:val="003042D4"/>
    <w:rsid w:val="00304616"/>
    <w:rsid w:val="003048CC"/>
    <w:rsid w:val="00304CC8"/>
    <w:rsid w:val="00304E70"/>
    <w:rsid w:val="00304F38"/>
    <w:rsid w:val="00304FC2"/>
    <w:rsid w:val="00305039"/>
    <w:rsid w:val="0030508B"/>
    <w:rsid w:val="00305609"/>
    <w:rsid w:val="00305683"/>
    <w:rsid w:val="00305745"/>
    <w:rsid w:val="003057EB"/>
    <w:rsid w:val="003059E6"/>
    <w:rsid w:val="00305B2F"/>
    <w:rsid w:val="00305DEC"/>
    <w:rsid w:val="003064FB"/>
    <w:rsid w:val="00306828"/>
    <w:rsid w:val="0030698E"/>
    <w:rsid w:val="003069A0"/>
    <w:rsid w:val="00306B00"/>
    <w:rsid w:val="00306B0B"/>
    <w:rsid w:val="00306B97"/>
    <w:rsid w:val="00306B99"/>
    <w:rsid w:val="00306DA0"/>
    <w:rsid w:val="00306E4F"/>
    <w:rsid w:val="003071E8"/>
    <w:rsid w:val="003073A8"/>
    <w:rsid w:val="0030748D"/>
    <w:rsid w:val="00307667"/>
    <w:rsid w:val="00307824"/>
    <w:rsid w:val="0030784E"/>
    <w:rsid w:val="003078D2"/>
    <w:rsid w:val="003079E6"/>
    <w:rsid w:val="00307A8C"/>
    <w:rsid w:val="00307FAD"/>
    <w:rsid w:val="00307FAE"/>
    <w:rsid w:val="00307FCF"/>
    <w:rsid w:val="00310329"/>
    <w:rsid w:val="003105B2"/>
    <w:rsid w:val="003107A9"/>
    <w:rsid w:val="00310D5C"/>
    <w:rsid w:val="00310DA1"/>
    <w:rsid w:val="00310DAB"/>
    <w:rsid w:val="00310DB4"/>
    <w:rsid w:val="00310F49"/>
    <w:rsid w:val="0031106E"/>
    <w:rsid w:val="00311093"/>
    <w:rsid w:val="003111F9"/>
    <w:rsid w:val="0031122E"/>
    <w:rsid w:val="0031150D"/>
    <w:rsid w:val="00311569"/>
    <w:rsid w:val="00311866"/>
    <w:rsid w:val="00311A7F"/>
    <w:rsid w:val="00311B94"/>
    <w:rsid w:val="00311C32"/>
    <w:rsid w:val="00311C66"/>
    <w:rsid w:val="00311CC6"/>
    <w:rsid w:val="00311DF2"/>
    <w:rsid w:val="00311E5F"/>
    <w:rsid w:val="003122C9"/>
    <w:rsid w:val="003123CC"/>
    <w:rsid w:val="00312483"/>
    <w:rsid w:val="00312562"/>
    <w:rsid w:val="00312641"/>
    <w:rsid w:val="00312672"/>
    <w:rsid w:val="0031279D"/>
    <w:rsid w:val="0031283D"/>
    <w:rsid w:val="003128A4"/>
    <w:rsid w:val="003128E2"/>
    <w:rsid w:val="00312979"/>
    <w:rsid w:val="00312B0D"/>
    <w:rsid w:val="00312B68"/>
    <w:rsid w:val="00312BCC"/>
    <w:rsid w:val="00312F3A"/>
    <w:rsid w:val="00313007"/>
    <w:rsid w:val="0031330D"/>
    <w:rsid w:val="003134EB"/>
    <w:rsid w:val="00313542"/>
    <w:rsid w:val="00313577"/>
    <w:rsid w:val="003135CB"/>
    <w:rsid w:val="00313690"/>
    <w:rsid w:val="0031377B"/>
    <w:rsid w:val="003139AD"/>
    <w:rsid w:val="00313AE9"/>
    <w:rsid w:val="0031412B"/>
    <w:rsid w:val="003141F8"/>
    <w:rsid w:val="0031434B"/>
    <w:rsid w:val="003148BB"/>
    <w:rsid w:val="003149B5"/>
    <w:rsid w:val="00314BD8"/>
    <w:rsid w:val="00314C49"/>
    <w:rsid w:val="00314D34"/>
    <w:rsid w:val="00314D3F"/>
    <w:rsid w:val="00315015"/>
    <w:rsid w:val="00315123"/>
    <w:rsid w:val="00315124"/>
    <w:rsid w:val="003151B3"/>
    <w:rsid w:val="003151BC"/>
    <w:rsid w:val="003151E1"/>
    <w:rsid w:val="003152C8"/>
    <w:rsid w:val="00315348"/>
    <w:rsid w:val="0031539E"/>
    <w:rsid w:val="003153B3"/>
    <w:rsid w:val="003154FB"/>
    <w:rsid w:val="003157F3"/>
    <w:rsid w:val="00315884"/>
    <w:rsid w:val="00315946"/>
    <w:rsid w:val="00315F47"/>
    <w:rsid w:val="0031605C"/>
    <w:rsid w:val="003163D7"/>
    <w:rsid w:val="0031653A"/>
    <w:rsid w:val="003165A4"/>
    <w:rsid w:val="003165B5"/>
    <w:rsid w:val="0031686D"/>
    <w:rsid w:val="00316940"/>
    <w:rsid w:val="00316956"/>
    <w:rsid w:val="0031696C"/>
    <w:rsid w:val="0031697A"/>
    <w:rsid w:val="00316AE6"/>
    <w:rsid w:val="00316B91"/>
    <w:rsid w:val="00316D4B"/>
    <w:rsid w:val="00316F51"/>
    <w:rsid w:val="003170C4"/>
    <w:rsid w:val="00317422"/>
    <w:rsid w:val="0031761C"/>
    <w:rsid w:val="0031762F"/>
    <w:rsid w:val="00317730"/>
    <w:rsid w:val="0031776D"/>
    <w:rsid w:val="003177C3"/>
    <w:rsid w:val="00317807"/>
    <w:rsid w:val="00317830"/>
    <w:rsid w:val="0031795C"/>
    <w:rsid w:val="00317983"/>
    <w:rsid w:val="00317F35"/>
    <w:rsid w:val="00320061"/>
    <w:rsid w:val="0032007C"/>
    <w:rsid w:val="00320148"/>
    <w:rsid w:val="003201FA"/>
    <w:rsid w:val="003203B8"/>
    <w:rsid w:val="003204B9"/>
    <w:rsid w:val="0032053F"/>
    <w:rsid w:val="003205C2"/>
    <w:rsid w:val="003205DB"/>
    <w:rsid w:val="00320795"/>
    <w:rsid w:val="00320B00"/>
    <w:rsid w:val="00320B1D"/>
    <w:rsid w:val="00320BB9"/>
    <w:rsid w:val="00320BDC"/>
    <w:rsid w:val="00320E20"/>
    <w:rsid w:val="003210FC"/>
    <w:rsid w:val="003211B2"/>
    <w:rsid w:val="00321278"/>
    <w:rsid w:val="00321290"/>
    <w:rsid w:val="003212B6"/>
    <w:rsid w:val="00321496"/>
    <w:rsid w:val="00321524"/>
    <w:rsid w:val="00321624"/>
    <w:rsid w:val="003218BA"/>
    <w:rsid w:val="00321988"/>
    <w:rsid w:val="00321BB3"/>
    <w:rsid w:val="00321BB4"/>
    <w:rsid w:val="00321BD1"/>
    <w:rsid w:val="00321C65"/>
    <w:rsid w:val="00321DFD"/>
    <w:rsid w:val="00321E92"/>
    <w:rsid w:val="0032208F"/>
    <w:rsid w:val="003220CF"/>
    <w:rsid w:val="00322176"/>
    <w:rsid w:val="003226AA"/>
    <w:rsid w:val="003226F6"/>
    <w:rsid w:val="0032272F"/>
    <w:rsid w:val="0032286B"/>
    <w:rsid w:val="0032294A"/>
    <w:rsid w:val="003229D9"/>
    <w:rsid w:val="003229F7"/>
    <w:rsid w:val="00322CFE"/>
    <w:rsid w:val="00322E8F"/>
    <w:rsid w:val="00322EF6"/>
    <w:rsid w:val="00322F12"/>
    <w:rsid w:val="00322F42"/>
    <w:rsid w:val="0032301B"/>
    <w:rsid w:val="003231A7"/>
    <w:rsid w:val="00323554"/>
    <w:rsid w:val="003237CE"/>
    <w:rsid w:val="00323FD3"/>
    <w:rsid w:val="00324010"/>
    <w:rsid w:val="003240C4"/>
    <w:rsid w:val="0032420F"/>
    <w:rsid w:val="0032464D"/>
    <w:rsid w:val="00324708"/>
    <w:rsid w:val="00324ACA"/>
    <w:rsid w:val="00324B85"/>
    <w:rsid w:val="00324D3A"/>
    <w:rsid w:val="00324D9A"/>
    <w:rsid w:val="003251C4"/>
    <w:rsid w:val="0032538A"/>
    <w:rsid w:val="00325430"/>
    <w:rsid w:val="003254F3"/>
    <w:rsid w:val="003256D4"/>
    <w:rsid w:val="003257F1"/>
    <w:rsid w:val="00325919"/>
    <w:rsid w:val="00325F32"/>
    <w:rsid w:val="00325FBE"/>
    <w:rsid w:val="003265FD"/>
    <w:rsid w:val="00326614"/>
    <w:rsid w:val="0032663F"/>
    <w:rsid w:val="0032665D"/>
    <w:rsid w:val="003268AF"/>
    <w:rsid w:val="00326B71"/>
    <w:rsid w:val="00326CA8"/>
    <w:rsid w:val="00326DC1"/>
    <w:rsid w:val="00326DDE"/>
    <w:rsid w:val="0032702A"/>
    <w:rsid w:val="0032717D"/>
    <w:rsid w:val="003272E0"/>
    <w:rsid w:val="003276D9"/>
    <w:rsid w:val="0032787B"/>
    <w:rsid w:val="00327E21"/>
    <w:rsid w:val="00327EA8"/>
    <w:rsid w:val="00327F9C"/>
    <w:rsid w:val="00330184"/>
    <w:rsid w:val="0033030E"/>
    <w:rsid w:val="003305CF"/>
    <w:rsid w:val="003306B6"/>
    <w:rsid w:val="0033079C"/>
    <w:rsid w:val="003308F8"/>
    <w:rsid w:val="00330A7B"/>
    <w:rsid w:val="00330EAC"/>
    <w:rsid w:val="00330FAD"/>
    <w:rsid w:val="00330FE3"/>
    <w:rsid w:val="0033104F"/>
    <w:rsid w:val="003310B8"/>
    <w:rsid w:val="003311D5"/>
    <w:rsid w:val="0033142D"/>
    <w:rsid w:val="0033148B"/>
    <w:rsid w:val="00331529"/>
    <w:rsid w:val="00331643"/>
    <w:rsid w:val="00331650"/>
    <w:rsid w:val="00331760"/>
    <w:rsid w:val="003317BA"/>
    <w:rsid w:val="00331871"/>
    <w:rsid w:val="00331942"/>
    <w:rsid w:val="00331BF8"/>
    <w:rsid w:val="00331C8D"/>
    <w:rsid w:val="00331CD0"/>
    <w:rsid w:val="00331E28"/>
    <w:rsid w:val="00331E5F"/>
    <w:rsid w:val="0033212D"/>
    <w:rsid w:val="003321E1"/>
    <w:rsid w:val="00332447"/>
    <w:rsid w:val="003324B2"/>
    <w:rsid w:val="00332663"/>
    <w:rsid w:val="003327C1"/>
    <w:rsid w:val="0033288D"/>
    <w:rsid w:val="003328FE"/>
    <w:rsid w:val="00332BFE"/>
    <w:rsid w:val="00332C9D"/>
    <w:rsid w:val="00332CEE"/>
    <w:rsid w:val="00332D14"/>
    <w:rsid w:val="00333023"/>
    <w:rsid w:val="0033323B"/>
    <w:rsid w:val="0033345A"/>
    <w:rsid w:val="0033355B"/>
    <w:rsid w:val="0033371E"/>
    <w:rsid w:val="003338B3"/>
    <w:rsid w:val="00333A93"/>
    <w:rsid w:val="00333AA5"/>
    <w:rsid w:val="00333C8C"/>
    <w:rsid w:val="00333FEA"/>
    <w:rsid w:val="00334170"/>
    <w:rsid w:val="003341BB"/>
    <w:rsid w:val="0033422B"/>
    <w:rsid w:val="003342FD"/>
    <w:rsid w:val="00334786"/>
    <w:rsid w:val="00334815"/>
    <w:rsid w:val="00334876"/>
    <w:rsid w:val="00334A0C"/>
    <w:rsid w:val="00334CEE"/>
    <w:rsid w:val="00334D1E"/>
    <w:rsid w:val="00334E4F"/>
    <w:rsid w:val="00334EE6"/>
    <w:rsid w:val="00335078"/>
    <w:rsid w:val="003353BF"/>
    <w:rsid w:val="00335446"/>
    <w:rsid w:val="003354C5"/>
    <w:rsid w:val="0033558D"/>
    <w:rsid w:val="003356B2"/>
    <w:rsid w:val="00335701"/>
    <w:rsid w:val="003357D9"/>
    <w:rsid w:val="003357EB"/>
    <w:rsid w:val="003359EC"/>
    <w:rsid w:val="00335A96"/>
    <w:rsid w:val="00335AA9"/>
    <w:rsid w:val="00335D2D"/>
    <w:rsid w:val="00335E99"/>
    <w:rsid w:val="0033605C"/>
    <w:rsid w:val="003360EA"/>
    <w:rsid w:val="0033628F"/>
    <w:rsid w:val="00336363"/>
    <w:rsid w:val="00336574"/>
    <w:rsid w:val="003365AA"/>
    <w:rsid w:val="003365DC"/>
    <w:rsid w:val="00336698"/>
    <w:rsid w:val="0033671F"/>
    <w:rsid w:val="00337035"/>
    <w:rsid w:val="00337265"/>
    <w:rsid w:val="00337504"/>
    <w:rsid w:val="00337537"/>
    <w:rsid w:val="00337703"/>
    <w:rsid w:val="00337817"/>
    <w:rsid w:val="0033788E"/>
    <w:rsid w:val="003378B2"/>
    <w:rsid w:val="003379C0"/>
    <w:rsid w:val="003379E3"/>
    <w:rsid w:val="00337C1E"/>
    <w:rsid w:val="00337E14"/>
    <w:rsid w:val="00337EFE"/>
    <w:rsid w:val="00337F92"/>
    <w:rsid w:val="00340293"/>
    <w:rsid w:val="003405BD"/>
    <w:rsid w:val="00340619"/>
    <w:rsid w:val="003406D4"/>
    <w:rsid w:val="003406D6"/>
    <w:rsid w:val="003406DD"/>
    <w:rsid w:val="00340709"/>
    <w:rsid w:val="0034096E"/>
    <w:rsid w:val="003409E1"/>
    <w:rsid w:val="00340D9A"/>
    <w:rsid w:val="00340DD5"/>
    <w:rsid w:val="00340F77"/>
    <w:rsid w:val="00340FD1"/>
    <w:rsid w:val="00341156"/>
    <w:rsid w:val="003411D7"/>
    <w:rsid w:val="00341385"/>
    <w:rsid w:val="00341692"/>
    <w:rsid w:val="0034181C"/>
    <w:rsid w:val="0034214D"/>
    <w:rsid w:val="003421D6"/>
    <w:rsid w:val="00342248"/>
    <w:rsid w:val="003423F0"/>
    <w:rsid w:val="00342545"/>
    <w:rsid w:val="0034258F"/>
    <w:rsid w:val="00342602"/>
    <w:rsid w:val="0034290E"/>
    <w:rsid w:val="00342A43"/>
    <w:rsid w:val="00342D75"/>
    <w:rsid w:val="00342DE6"/>
    <w:rsid w:val="00342F35"/>
    <w:rsid w:val="00342F54"/>
    <w:rsid w:val="00342FA6"/>
    <w:rsid w:val="00342FF5"/>
    <w:rsid w:val="00343003"/>
    <w:rsid w:val="003430EE"/>
    <w:rsid w:val="0034321D"/>
    <w:rsid w:val="003433BC"/>
    <w:rsid w:val="003433BF"/>
    <w:rsid w:val="00343560"/>
    <w:rsid w:val="0034358C"/>
    <w:rsid w:val="00343607"/>
    <w:rsid w:val="00343AEC"/>
    <w:rsid w:val="00343D27"/>
    <w:rsid w:val="00343DD6"/>
    <w:rsid w:val="00343E54"/>
    <w:rsid w:val="00343E9B"/>
    <w:rsid w:val="003442A8"/>
    <w:rsid w:val="00344480"/>
    <w:rsid w:val="003444DB"/>
    <w:rsid w:val="003444F7"/>
    <w:rsid w:val="003444FA"/>
    <w:rsid w:val="003446BA"/>
    <w:rsid w:val="00344A3D"/>
    <w:rsid w:val="00344D32"/>
    <w:rsid w:val="00344E85"/>
    <w:rsid w:val="00345105"/>
    <w:rsid w:val="0034552A"/>
    <w:rsid w:val="00345576"/>
    <w:rsid w:val="003455A3"/>
    <w:rsid w:val="00345784"/>
    <w:rsid w:val="003457B5"/>
    <w:rsid w:val="00345B15"/>
    <w:rsid w:val="00345B69"/>
    <w:rsid w:val="00345C81"/>
    <w:rsid w:val="00346166"/>
    <w:rsid w:val="00346397"/>
    <w:rsid w:val="00346412"/>
    <w:rsid w:val="00346434"/>
    <w:rsid w:val="00346604"/>
    <w:rsid w:val="0034662C"/>
    <w:rsid w:val="0034673D"/>
    <w:rsid w:val="00346780"/>
    <w:rsid w:val="003469AD"/>
    <w:rsid w:val="00346A0B"/>
    <w:rsid w:val="00346A60"/>
    <w:rsid w:val="00346A7D"/>
    <w:rsid w:val="00346AD1"/>
    <w:rsid w:val="00346AEA"/>
    <w:rsid w:val="00346B5C"/>
    <w:rsid w:val="00346E24"/>
    <w:rsid w:val="00347212"/>
    <w:rsid w:val="00347281"/>
    <w:rsid w:val="0034754B"/>
    <w:rsid w:val="00347564"/>
    <w:rsid w:val="00347751"/>
    <w:rsid w:val="003477CF"/>
    <w:rsid w:val="0034783D"/>
    <w:rsid w:val="0034784D"/>
    <w:rsid w:val="00347C1E"/>
    <w:rsid w:val="00347C41"/>
    <w:rsid w:val="00347CA5"/>
    <w:rsid w:val="00347D10"/>
    <w:rsid w:val="00347D5E"/>
    <w:rsid w:val="00347D9F"/>
    <w:rsid w:val="00347E03"/>
    <w:rsid w:val="003502EB"/>
    <w:rsid w:val="00350336"/>
    <w:rsid w:val="00350620"/>
    <w:rsid w:val="00350733"/>
    <w:rsid w:val="003509CA"/>
    <w:rsid w:val="00350DA3"/>
    <w:rsid w:val="00350E80"/>
    <w:rsid w:val="00350E88"/>
    <w:rsid w:val="00350F90"/>
    <w:rsid w:val="00350FFE"/>
    <w:rsid w:val="00351032"/>
    <w:rsid w:val="00351095"/>
    <w:rsid w:val="003510B9"/>
    <w:rsid w:val="00351261"/>
    <w:rsid w:val="00351697"/>
    <w:rsid w:val="00351920"/>
    <w:rsid w:val="00351929"/>
    <w:rsid w:val="00351B52"/>
    <w:rsid w:val="00351BC3"/>
    <w:rsid w:val="00351CDA"/>
    <w:rsid w:val="00352030"/>
    <w:rsid w:val="00352124"/>
    <w:rsid w:val="003522CB"/>
    <w:rsid w:val="003522D0"/>
    <w:rsid w:val="003525CD"/>
    <w:rsid w:val="003525FF"/>
    <w:rsid w:val="00352822"/>
    <w:rsid w:val="00352884"/>
    <w:rsid w:val="00352899"/>
    <w:rsid w:val="003528E5"/>
    <w:rsid w:val="003528F6"/>
    <w:rsid w:val="003529D8"/>
    <w:rsid w:val="00352B7F"/>
    <w:rsid w:val="00352DF7"/>
    <w:rsid w:val="00352E90"/>
    <w:rsid w:val="00352F3D"/>
    <w:rsid w:val="00353211"/>
    <w:rsid w:val="0035340B"/>
    <w:rsid w:val="003535A8"/>
    <w:rsid w:val="00353618"/>
    <w:rsid w:val="00353642"/>
    <w:rsid w:val="0035368F"/>
    <w:rsid w:val="00353764"/>
    <w:rsid w:val="00353923"/>
    <w:rsid w:val="00353B2F"/>
    <w:rsid w:val="00353B70"/>
    <w:rsid w:val="00353D1A"/>
    <w:rsid w:val="00353E45"/>
    <w:rsid w:val="00353F24"/>
    <w:rsid w:val="00354314"/>
    <w:rsid w:val="00354324"/>
    <w:rsid w:val="00354349"/>
    <w:rsid w:val="0035440E"/>
    <w:rsid w:val="00354464"/>
    <w:rsid w:val="003544CE"/>
    <w:rsid w:val="003546DC"/>
    <w:rsid w:val="003546E7"/>
    <w:rsid w:val="0035474E"/>
    <w:rsid w:val="0035499F"/>
    <w:rsid w:val="00354B02"/>
    <w:rsid w:val="00354D14"/>
    <w:rsid w:val="003551F0"/>
    <w:rsid w:val="003552AE"/>
    <w:rsid w:val="00355445"/>
    <w:rsid w:val="003554BA"/>
    <w:rsid w:val="003556DA"/>
    <w:rsid w:val="00355AB0"/>
    <w:rsid w:val="00355BF7"/>
    <w:rsid w:val="00355E3C"/>
    <w:rsid w:val="00355E74"/>
    <w:rsid w:val="003562DF"/>
    <w:rsid w:val="0035658F"/>
    <w:rsid w:val="003566B3"/>
    <w:rsid w:val="00356AFB"/>
    <w:rsid w:val="00356B42"/>
    <w:rsid w:val="00356C1C"/>
    <w:rsid w:val="00356C6D"/>
    <w:rsid w:val="00356E32"/>
    <w:rsid w:val="00357575"/>
    <w:rsid w:val="00357687"/>
    <w:rsid w:val="003576CA"/>
    <w:rsid w:val="00357B24"/>
    <w:rsid w:val="00357DD3"/>
    <w:rsid w:val="00357ED6"/>
    <w:rsid w:val="00357F6F"/>
    <w:rsid w:val="00357FA3"/>
    <w:rsid w:val="0036009F"/>
    <w:rsid w:val="003600FD"/>
    <w:rsid w:val="003603A8"/>
    <w:rsid w:val="00360441"/>
    <w:rsid w:val="0036054D"/>
    <w:rsid w:val="003609B2"/>
    <w:rsid w:val="003609F0"/>
    <w:rsid w:val="00360BB5"/>
    <w:rsid w:val="00360C86"/>
    <w:rsid w:val="00360E3E"/>
    <w:rsid w:val="00360F26"/>
    <w:rsid w:val="00360F36"/>
    <w:rsid w:val="0036115E"/>
    <w:rsid w:val="00361480"/>
    <w:rsid w:val="003614D1"/>
    <w:rsid w:val="003614FD"/>
    <w:rsid w:val="003615AE"/>
    <w:rsid w:val="00361992"/>
    <w:rsid w:val="00361A43"/>
    <w:rsid w:val="00361A93"/>
    <w:rsid w:val="00361D4B"/>
    <w:rsid w:val="00361DD5"/>
    <w:rsid w:val="0036204F"/>
    <w:rsid w:val="0036207A"/>
    <w:rsid w:val="0036207E"/>
    <w:rsid w:val="0036216A"/>
    <w:rsid w:val="00362341"/>
    <w:rsid w:val="00362344"/>
    <w:rsid w:val="0036235C"/>
    <w:rsid w:val="00362398"/>
    <w:rsid w:val="003623C4"/>
    <w:rsid w:val="0036246C"/>
    <w:rsid w:val="003624C7"/>
    <w:rsid w:val="003626B2"/>
    <w:rsid w:val="003627AD"/>
    <w:rsid w:val="00362861"/>
    <w:rsid w:val="00362924"/>
    <w:rsid w:val="00362954"/>
    <w:rsid w:val="003629D5"/>
    <w:rsid w:val="00362C73"/>
    <w:rsid w:val="00362D2E"/>
    <w:rsid w:val="00363179"/>
    <w:rsid w:val="00363180"/>
    <w:rsid w:val="003631AC"/>
    <w:rsid w:val="0036331C"/>
    <w:rsid w:val="003634AB"/>
    <w:rsid w:val="003634B5"/>
    <w:rsid w:val="003635E0"/>
    <w:rsid w:val="003638F3"/>
    <w:rsid w:val="00363A52"/>
    <w:rsid w:val="00363A61"/>
    <w:rsid w:val="00363A82"/>
    <w:rsid w:val="00363AD2"/>
    <w:rsid w:val="00363F5C"/>
    <w:rsid w:val="00364048"/>
    <w:rsid w:val="00364161"/>
    <w:rsid w:val="003641E1"/>
    <w:rsid w:val="00364486"/>
    <w:rsid w:val="003646CD"/>
    <w:rsid w:val="003646E2"/>
    <w:rsid w:val="00364874"/>
    <w:rsid w:val="00364935"/>
    <w:rsid w:val="00364A31"/>
    <w:rsid w:val="00364BDF"/>
    <w:rsid w:val="00364C36"/>
    <w:rsid w:val="00364C45"/>
    <w:rsid w:val="00364CE8"/>
    <w:rsid w:val="00365058"/>
    <w:rsid w:val="0036509D"/>
    <w:rsid w:val="0036511B"/>
    <w:rsid w:val="00365487"/>
    <w:rsid w:val="003658B6"/>
    <w:rsid w:val="00365966"/>
    <w:rsid w:val="00365E35"/>
    <w:rsid w:val="00365EDA"/>
    <w:rsid w:val="00365FDB"/>
    <w:rsid w:val="003662F0"/>
    <w:rsid w:val="003663A8"/>
    <w:rsid w:val="00366419"/>
    <w:rsid w:val="00366786"/>
    <w:rsid w:val="003667BD"/>
    <w:rsid w:val="00366A58"/>
    <w:rsid w:val="00366B37"/>
    <w:rsid w:val="00366BF9"/>
    <w:rsid w:val="00366C25"/>
    <w:rsid w:val="00366DDA"/>
    <w:rsid w:val="00366E91"/>
    <w:rsid w:val="00366EA5"/>
    <w:rsid w:val="00366F15"/>
    <w:rsid w:val="00366F55"/>
    <w:rsid w:val="0036708C"/>
    <w:rsid w:val="00367117"/>
    <w:rsid w:val="00367192"/>
    <w:rsid w:val="00367197"/>
    <w:rsid w:val="003672F7"/>
    <w:rsid w:val="00367360"/>
    <w:rsid w:val="0036736D"/>
    <w:rsid w:val="0036755F"/>
    <w:rsid w:val="00367744"/>
    <w:rsid w:val="00367ACB"/>
    <w:rsid w:val="00367D9D"/>
    <w:rsid w:val="003703D6"/>
    <w:rsid w:val="003704D2"/>
    <w:rsid w:val="003704EB"/>
    <w:rsid w:val="00370787"/>
    <w:rsid w:val="0037085E"/>
    <w:rsid w:val="0037088C"/>
    <w:rsid w:val="00370AED"/>
    <w:rsid w:val="00370D75"/>
    <w:rsid w:val="00370DC3"/>
    <w:rsid w:val="00370DF5"/>
    <w:rsid w:val="0037101C"/>
    <w:rsid w:val="003712B9"/>
    <w:rsid w:val="003712DC"/>
    <w:rsid w:val="003712FC"/>
    <w:rsid w:val="00371430"/>
    <w:rsid w:val="00371471"/>
    <w:rsid w:val="0037148A"/>
    <w:rsid w:val="0037155D"/>
    <w:rsid w:val="00371707"/>
    <w:rsid w:val="0037173C"/>
    <w:rsid w:val="003719B4"/>
    <w:rsid w:val="00371BF0"/>
    <w:rsid w:val="00371CC0"/>
    <w:rsid w:val="00371D7A"/>
    <w:rsid w:val="00371F79"/>
    <w:rsid w:val="003722B0"/>
    <w:rsid w:val="00372300"/>
    <w:rsid w:val="003723DB"/>
    <w:rsid w:val="0037240A"/>
    <w:rsid w:val="00372646"/>
    <w:rsid w:val="003727C5"/>
    <w:rsid w:val="0037286F"/>
    <w:rsid w:val="00372875"/>
    <w:rsid w:val="003728BE"/>
    <w:rsid w:val="00372966"/>
    <w:rsid w:val="00372A48"/>
    <w:rsid w:val="00372C66"/>
    <w:rsid w:val="00372DD0"/>
    <w:rsid w:val="00372E0B"/>
    <w:rsid w:val="00373045"/>
    <w:rsid w:val="003731A7"/>
    <w:rsid w:val="00373292"/>
    <w:rsid w:val="003732DC"/>
    <w:rsid w:val="00373339"/>
    <w:rsid w:val="00373378"/>
    <w:rsid w:val="00373512"/>
    <w:rsid w:val="00373643"/>
    <w:rsid w:val="00373716"/>
    <w:rsid w:val="0037390B"/>
    <w:rsid w:val="00373A11"/>
    <w:rsid w:val="00373B23"/>
    <w:rsid w:val="00373B48"/>
    <w:rsid w:val="00373CA0"/>
    <w:rsid w:val="00373EDE"/>
    <w:rsid w:val="00373EE6"/>
    <w:rsid w:val="00374018"/>
    <w:rsid w:val="0037401C"/>
    <w:rsid w:val="0037409A"/>
    <w:rsid w:val="003740CA"/>
    <w:rsid w:val="00374270"/>
    <w:rsid w:val="00374331"/>
    <w:rsid w:val="0037444E"/>
    <w:rsid w:val="00374594"/>
    <w:rsid w:val="0037468C"/>
    <w:rsid w:val="003747B6"/>
    <w:rsid w:val="003747FF"/>
    <w:rsid w:val="00374806"/>
    <w:rsid w:val="003749AD"/>
    <w:rsid w:val="003749AF"/>
    <w:rsid w:val="00374DAF"/>
    <w:rsid w:val="00374DE5"/>
    <w:rsid w:val="00374E5E"/>
    <w:rsid w:val="00374EFE"/>
    <w:rsid w:val="00374F32"/>
    <w:rsid w:val="00374F38"/>
    <w:rsid w:val="00375214"/>
    <w:rsid w:val="00375244"/>
    <w:rsid w:val="00375347"/>
    <w:rsid w:val="0037545F"/>
    <w:rsid w:val="00375482"/>
    <w:rsid w:val="0037554D"/>
    <w:rsid w:val="00375673"/>
    <w:rsid w:val="00375747"/>
    <w:rsid w:val="003759E2"/>
    <w:rsid w:val="00375AD3"/>
    <w:rsid w:val="00375B08"/>
    <w:rsid w:val="00375B8C"/>
    <w:rsid w:val="00375BC6"/>
    <w:rsid w:val="00375D1C"/>
    <w:rsid w:val="00375E93"/>
    <w:rsid w:val="00376086"/>
    <w:rsid w:val="00376264"/>
    <w:rsid w:val="003764F9"/>
    <w:rsid w:val="00376575"/>
    <w:rsid w:val="00376702"/>
    <w:rsid w:val="0037682B"/>
    <w:rsid w:val="00376844"/>
    <w:rsid w:val="0037690B"/>
    <w:rsid w:val="00376926"/>
    <w:rsid w:val="00376E11"/>
    <w:rsid w:val="00376F54"/>
    <w:rsid w:val="0037725B"/>
    <w:rsid w:val="00377375"/>
    <w:rsid w:val="0037739D"/>
    <w:rsid w:val="00377463"/>
    <w:rsid w:val="003775A1"/>
    <w:rsid w:val="00377622"/>
    <w:rsid w:val="00377632"/>
    <w:rsid w:val="00377799"/>
    <w:rsid w:val="003778F7"/>
    <w:rsid w:val="003779C2"/>
    <w:rsid w:val="00377A0E"/>
    <w:rsid w:val="00377B6E"/>
    <w:rsid w:val="00377D48"/>
    <w:rsid w:val="00380020"/>
    <w:rsid w:val="003800D7"/>
    <w:rsid w:val="00380175"/>
    <w:rsid w:val="003803A0"/>
    <w:rsid w:val="00380493"/>
    <w:rsid w:val="003806B4"/>
    <w:rsid w:val="00380C37"/>
    <w:rsid w:val="00380E45"/>
    <w:rsid w:val="003810C0"/>
    <w:rsid w:val="0038115B"/>
    <w:rsid w:val="00381517"/>
    <w:rsid w:val="003815AD"/>
    <w:rsid w:val="003818EF"/>
    <w:rsid w:val="00381928"/>
    <w:rsid w:val="00381941"/>
    <w:rsid w:val="0038198C"/>
    <w:rsid w:val="003819B5"/>
    <w:rsid w:val="00381A45"/>
    <w:rsid w:val="00381B26"/>
    <w:rsid w:val="00381DCB"/>
    <w:rsid w:val="00381F28"/>
    <w:rsid w:val="00381F85"/>
    <w:rsid w:val="0038211B"/>
    <w:rsid w:val="003823B4"/>
    <w:rsid w:val="003824C4"/>
    <w:rsid w:val="00382616"/>
    <w:rsid w:val="003826C2"/>
    <w:rsid w:val="003827B0"/>
    <w:rsid w:val="00382836"/>
    <w:rsid w:val="00382B66"/>
    <w:rsid w:val="00382E48"/>
    <w:rsid w:val="00383049"/>
    <w:rsid w:val="00383075"/>
    <w:rsid w:val="00383084"/>
    <w:rsid w:val="003830A4"/>
    <w:rsid w:val="0038316B"/>
    <w:rsid w:val="00383180"/>
    <w:rsid w:val="0038336E"/>
    <w:rsid w:val="003833C3"/>
    <w:rsid w:val="00383645"/>
    <w:rsid w:val="003836FE"/>
    <w:rsid w:val="0038370E"/>
    <w:rsid w:val="003837CB"/>
    <w:rsid w:val="003838E7"/>
    <w:rsid w:val="00383B5D"/>
    <w:rsid w:val="00383BF2"/>
    <w:rsid w:val="00383CF5"/>
    <w:rsid w:val="00383D94"/>
    <w:rsid w:val="00383F43"/>
    <w:rsid w:val="00383F71"/>
    <w:rsid w:val="00383FAC"/>
    <w:rsid w:val="00384250"/>
    <w:rsid w:val="0038425B"/>
    <w:rsid w:val="00384342"/>
    <w:rsid w:val="00384368"/>
    <w:rsid w:val="0038439D"/>
    <w:rsid w:val="00384480"/>
    <w:rsid w:val="003847BC"/>
    <w:rsid w:val="00384C9E"/>
    <w:rsid w:val="00384CC4"/>
    <w:rsid w:val="00384E4C"/>
    <w:rsid w:val="00385034"/>
    <w:rsid w:val="003852CE"/>
    <w:rsid w:val="00385364"/>
    <w:rsid w:val="0038568E"/>
    <w:rsid w:val="00385745"/>
    <w:rsid w:val="00385B60"/>
    <w:rsid w:val="00385BDB"/>
    <w:rsid w:val="00385E69"/>
    <w:rsid w:val="00385F6F"/>
    <w:rsid w:val="003861AA"/>
    <w:rsid w:val="0038621D"/>
    <w:rsid w:val="0038671C"/>
    <w:rsid w:val="003868BE"/>
    <w:rsid w:val="003869C2"/>
    <w:rsid w:val="003869F8"/>
    <w:rsid w:val="00386BBE"/>
    <w:rsid w:val="00386C6E"/>
    <w:rsid w:val="00386F0B"/>
    <w:rsid w:val="00386F2F"/>
    <w:rsid w:val="00386F56"/>
    <w:rsid w:val="00387358"/>
    <w:rsid w:val="003874B1"/>
    <w:rsid w:val="003876D4"/>
    <w:rsid w:val="003876D8"/>
    <w:rsid w:val="0038773F"/>
    <w:rsid w:val="00387983"/>
    <w:rsid w:val="00387B20"/>
    <w:rsid w:val="00387DC6"/>
    <w:rsid w:val="00387FB1"/>
    <w:rsid w:val="003900EE"/>
    <w:rsid w:val="003902F0"/>
    <w:rsid w:val="00390380"/>
    <w:rsid w:val="00390470"/>
    <w:rsid w:val="003904BB"/>
    <w:rsid w:val="003904E8"/>
    <w:rsid w:val="00390611"/>
    <w:rsid w:val="003906E1"/>
    <w:rsid w:val="00390716"/>
    <w:rsid w:val="003909DE"/>
    <w:rsid w:val="003909E1"/>
    <w:rsid w:val="00390A50"/>
    <w:rsid w:val="00390B30"/>
    <w:rsid w:val="00390D36"/>
    <w:rsid w:val="00390D3E"/>
    <w:rsid w:val="00390D41"/>
    <w:rsid w:val="00390DB7"/>
    <w:rsid w:val="00390E73"/>
    <w:rsid w:val="00391004"/>
    <w:rsid w:val="003910EE"/>
    <w:rsid w:val="0039125B"/>
    <w:rsid w:val="00391266"/>
    <w:rsid w:val="0039127E"/>
    <w:rsid w:val="003916C4"/>
    <w:rsid w:val="0039185E"/>
    <w:rsid w:val="00391866"/>
    <w:rsid w:val="00391997"/>
    <w:rsid w:val="00391A55"/>
    <w:rsid w:val="00391C79"/>
    <w:rsid w:val="00391F6C"/>
    <w:rsid w:val="00392151"/>
    <w:rsid w:val="00392342"/>
    <w:rsid w:val="00392D46"/>
    <w:rsid w:val="00392E5C"/>
    <w:rsid w:val="00393349"/>
    <w:rsid w:val="00393382"/>
    <w:rsid w:val="0039340F"/>
    <w:rsid w:val="00393437"/>
    <w:rsid w:val="003934DC"/>
    <w:rsid w:val="003935AB"/>
    <w:rsid w:val="00393734"/>
    <w:rsid w:val="0039383A"/>
    <w:rsid w:val="00393B85"/>
    <w:rsid w:val="00393C3E"/>
    <w:rsid w:val="00393C4A"/>
    <w:rsid w:val="00393C73"/>
    <w:rsid w:val="00393E0C"/>
    <w:rsid w:val="00393E10"/>
    <w:rsid w:val="00393E64"/>
    <w:rsid w:val="00393E70"/>
    <w:rsid w:val="00393EDA"/>
    <w:rsid w:val="003941C6"/>
    <w:rsid w:val="0039427C"/>
    <w:rsid w:val="003942A7"/>
    <w:rsid w:val="00394513"/>
    <w:rsid w:val="0039454A"/>
    <w:rsid w:val="003947F1"/>
    <w:rsid w:val="0039484E"/>
    <w:rsid w:val="00394980"/>
    <w:rsid w:val="00394C27"/>
    <w:rsid w:val="00394D2D"/>
    <w:rsid w:val="00394E17"/>
    <w:rsid w:val="00394EAC"/>
    <w:rsid w:val="003951E8"/>
    <w:rsid w:val="003952A9"/>
    <w:rsid w:val="003952C8"/>
    <w:rsid w:val="0039537F"/>
    <w:rsid w:val="003953FA"/>
    <w:rsid w:val="00395437"/>
    <w:rsid w:val="0039554A"/>
    <w:rsid w:val="00395898"/>
    <w:rsid w:val="00395A22"/>
    <w:rsid w:val="00395C74"/>
    <w:rsid w:val="00395E79"/>
    <w:rsid w:val="00395F13"/>
    <w:rsid w:val="00395FA9"/>
    <w:rsid w:val="00396079"/>
    <w:rsid w:val="003961C1"/>
    <w:rsid w:val="0039625E"/>
    <w:rsid w:val="003964EB"/>
    <w:rsid w:val="00396572"/>
    <w:rsid w:val="0039685C"/>
    <w:rsid w:val="00396ACA"/>
    <w:rsid w:val="00396BD0"/>
    <w:rsid w:val="00396EC0"/>
    <w:rsid w:val="0039713F"/>
    <w:rsid w:val="00397351"/>
    <w:rsid w:val="00397515"/>
    <w:rsid w:val="00397958"/>
    <w:rsid w:val="00397A32"/>
    <w:rsid w:val="00397A35"/>
    <w:rsid w:val="00397A5F"/>
    <w:rsid w:val="00397B75"/>
    <w:rsid w:val="00397F93"/>
    <w:rsid w:val="00397FD6"/>
    <w:rsid w:val="003A007E"/>
    <w:rsid w:val="003A008A"/>
    <w:rsid w:val="003A02DD"/>
    <w:rsid w:val="003A03D2"/>
    <w:rsid w:val="003A03FC"/>
    <w:rsid w:val="003A0443"/>
    <w:rsid w:val="003A0DEF"/>
    <w:rsid w:val="003A0E33"/>
    <w:rsid w:val="003A0F82"/>
    <w:rsid w:val="003A1079"/>
    <w:rsid w:val="003A1698"/>
    <w:rsid w:val="003A1729"/>
    <w:rsid w:val="003A1825"/>
    <w:rsid w:val="003A1830"/>
    <w:rsid w:val="003A18B7"/>
    <w:rsid w:val="003A1AF0"/>
    <w:rsid w:val="003A1D84"/>
    <w:rsid w:val="003A1DFD"/>
    <w:rsid w:val="003A20BF"/>
    <w:rsid w:val="003A2141"/>
    <w:rsid w:val="003A2243"/>
    <w:rsid w:val="003A2477"/>
    <w:rsid w:val="003A2583"/>
    <w:rsid w:val="003A2656"/>
    <w:rsid w:val="003A271F"/>
    <w:rsid w:val="003A27A5"/>
    <w:rsid w:val="003A2A1D"/>
    <w:rsid w:val="003A2ADB"/>
    <w:rsid w:val="003A2CF9"/>
    <w:rsid w:val="003A2DC4"/>
    <w:rsid w:val="003A2DF8"/>
    <w:rsid w:val="003A2E0B"/>
    <w:rsid w:val="003A2E45"/>
    <w:rsid w:val="003A2FDE"/>
    <w:rsid w:val="003A3013"/>
    <w:rsid w:val="003A3256"/>
    <w:rsid w:val="003A33B3"/>
    <w:rsid w:val="003A3444"/>
    <w:rsid w:val="003A3649"/>
    <w:rsid w:val="003A368D"/>
    <w:rsid w:val="003A36D2"/>
    <w:rsid w:val="003A3837"/>
    <w:rsid w:val="003A3960"/>
    <w:rsid w:val="003A39F6"/>
    <w:rsid w:val="003A3B7C"/>
    <w:rsid w:val="003A3C49"/>
    <w:rsid w:val="003A3FBE"/>
    <w:rsid w:val="003A41DA"/>
    <w:rsid w:val="003A424E"/>
    <w:rsid w:val="003A44A4"/>
    <w:rsid w:val="003A4526"/>
    <w:rsid w:val="003A47CA"/>
    <w:rsid w:val="003A4B7B"/>
    <w:rsid w:val="003A4C2E"/>
    <w:rsid w:val="003A4CC5"/>
    <w:rsid w:val="003A4DA6"/>
    <w:rsid w:val="003A4FAF"/>
    <w:rsid w:val="003A5094"/>
    <w:rsid w:val="003A509F"/>
    <w:rsid w:val="003A57E4"/>
    <w:rsid w:val="003A5A2F"/>
    <w:rsid w:val="003A5BD2"/>
    <w:rsid w:val="003A5C04"/>
    <w:rsid w:val="003A5CD4"/>
    <w:rsid w:val="003A5E61"/>
    <w:rsid w:val="003A5EB4"/>
    <w:rsid w:val="003A635E"/>
    <w:rsid w:val="003A66E3"/>
    <w:rsid w:val="003A672F"/>
    <w:rsid w:val="003A6790"/>
    <w:rsid w:val="003A687B"/>
    <w:rsid w:val="003A68B8"/>
    <w:rsid w:val="003A69CD"/>
    <w:rsid w:val="003A6ACC"/>
    <w:rsid w:val="003A6B96"/>
    <w:rsid w:val="003A6BED"/>
    <w:rsid w:val="003A6C62"/>
    <w:rsid w:val="003A6CEF"/>
    <w:rsid w:val="003A6DC3"/>
    <w:rsid w:val="003A6EB9"/>
    <w:rsid w:val="003A6F7C"/>
    <w:rsid w:val="003A709B"/>
    <w:rsid w:val="003A75E4"/>
    <w:rsid w:val="003A7736"/>
    <w:rsid w:val="003A790F"/>
    <w:rsid w:val="003A7916"/>
    <w:rsid w:val="003A7979"/>
    <w:rsid w:val="003A7C60"/>
    <w:rsid w:val="003A7C7B"/>
    <w:rsid w:val="003A7D71"/>
    <w:rsid w:val="003A7E54"/>
    <w:rsid w:val="003A7FBF"/>
    <w:rsid w:val="003B01E7"/>
    <w:rsid w:val="003B02CE"/>
    <w:rsid w:val="003B0340"/>
    <w:rsid w:val="003B04D2"/>
    <w:rsid w:val="003B0590"/>
    <w:rsid w:val="003B066A"/>
    <w:rsid w:val="003B084A"/>
    <w:rsid w:val="003B0A04"/>
    <w:rsid w:val="003B0A0A"/>
    <w:rsid w:val="003B0A47"/>
    <w:rsid w:val="003B0A71"/>
    <w:rsid w:val="003B0AB2"/>
    <w:rsid w:val="003B0C23"/>
    <w:rsid w:val="003B0F50"/>
    <w:rsid w:val="003B0FB1"/>
    <w:rsid w:val="003B110B"/>
    <w:rsid w:val="003B110F"/>
    <w:rsid w:val="003B1658"/>
    <w:rsid w:val="003B16C9"/>
    <w:rsid w:val="003B17B3"/>
    <w:rsid w:val="003B2140"/>
    <w:rsid w:val="003B21AE"/>
    <w:rsid w:val="003B2209"/>
    <w:rsid w:val="003B2261"/>
    <w:rsid w:val="003B2263"/>
    <w:rsid w:val="003B2562"/>
    <w:rsid w:val="003B29D3"/>
    <w:rsid w:val="003B2A5D"/>
    <w:rsid w:val="003B2C89"/>
    <w:rsid w:val="003B2CD4"/>
    <w:rsid w:val="003B2E7B"/>
    <w:rsid w:val="003B2F9B"/>
    <w:rsid w:val="003B2FAF"/>
    <w:rsid w:val="003B2FB6"/>
    <w:rsid w:val="003B3110"/>
    <w:rsid w:val="003B31A4"/>
    <w:rsid w:val="003B320A"/>
    <w:rsid w:val="003B33B7"/>
    <w:rsid w:val="003B344E"/>
    <w:rsid w:val="003B3576"/>
    <w:rsid w:val="003B37B6"/>
    <w:rsid w:val="003B389A"/>
    <w:rsid w:val="003B3953"/>
    <w:rsid w:val="003B39AC"/>
    <w:rsid w:val="003B3B41"/>
    <w:rsid w:val="003B3B65"/>
    <w:rsid w:val="003B3B70"/>
    <w:rsid w:val="003B3B81"/>
    <w:rsid w:val="003B41C7"/>
    <w:rsid w:val="003B4243"/>
    <w:rsid w:val="003B4381"/>
    <w:rsid w:val="003B43FE"/>
    <w:rsid w:val="003B4646"/>
    <w:rsid w:val="003B46C3"/>
    <w:rsid w:val="003B48BA"/>
    <w:rsid w:val="003B4AD3"/>
    <w:rsid w:val="003B4C72"/>
    <w:rsid w:val="003B4C7D"/>
    <w:rsid w:val="003B4DF6"/>
    <w:rsid w:val="003B4E74"/>
    <w:rsid w:val="003B4EDC"/>
    <w:rsid w:val="003B4F04"/>
    <w:rsid w:val="003B4F12"/>
    <w:rsid w:val="003B4F3E"/>
    <w:rsid w:val="003B501C"/>
    <w:rsid w:val="003B502C"/>
    <w:rsid w:val="003B50E1"/>
    <w:rsid w:val="003B545B"/>
    <w:rsid w:val="003B548A"/>
    <w:rsid w:val="003B5694"/>
    <w:rsid w:val="003B57A4"/>
    <w:rsid w:val="003B5988"/>
    <w:rsid w:val="003B5B9D"/>
    <w:rsid w:val="003B5BC6"/>
    <w:rsid w:val="003B5D19"/>
    <w:rsid w:val="003B5D24"/>
    <w:rsid w:val="003B5DBC"/>
    <w:rsid w:val="003B5F47"/>
    <w:rsid w:val="003B605E"/>
    <w:rsid w:val="003B6145"/>
    <w:rsid w:val="003B6163"/>
    <w:rsid w:val="003B61CA"/>
    <w:rsid w:val="003B6228"/>
    <w:rsid w:val="003B62A9"/>
    <w:rsid w:val="003B64BD"/>
    <w:rsid w:val="003B6594"/>
    <w:rsid w:val="003B66C6"/>
    <w:rsid w:val="003B688F"/>
    <w:rsid w:val="003B68BC"/>
    <w:rsid w:val="003B6938"/>
    <w:rsid w:val="003B6B0C"/>
    <w:rsid w:val="003B6E86"/>
    <w:rsid w:val="003B6F73"/>
    <w:rsid w:val="003B7528"/>
    <w:rsid w:val="003B7EFE"/>
    <w:rsid w:val="003B7F66"/>
    <w:rsid w:val="003C000E"/>
    <w:rsid w:val="003C00C7"/>
    <w:rsid w:val="003C00E9"/>
    <w:rsid w:val="003C01BA"/>
    <w:rsid w:val="003C0439"/>
    <w:rsid w:val="003C0698"/>
    <w:rsid w:val="003C072E"/>
    <w:rsid w:val="003C08C0"/>
    <w:rsid w:val="003C0AE8"/>
    <w:rsid w:val="003C0E37"/>
    <w:rsid w:val="003C0F1F"/>
    <w:rsid w:val="003C1259"/>
    <w:rsid w:val="003C1270"/>
    <w:rsid w:val="003C134D"/>
    <w:rsid w:val="003C13B7"/>
    <w:rsid w:val="003C1690"/>
    <w:rsid w:val="003C1754"/>
    <w:rsid w:val="003C17DD"/>
    <w:rsid w:val="003C1875"/>
    <w:rsid w:val="003C1ACA"/>
    <w:rsid w:val="003C1C3C"/>
    <w:rsid w:val="003C1EE7"/>
    <w:rsid w:val="003C20A3"/>
    <w:rsid w:val="003C20D0"/>
    <w:rsid w:val="003C240D"/>
    <w:rsid w:val="003C259F"/>
    <w:rsid w:val="003C2764"/>
    <w:rsid w:val="003C2812"/>
    <w:rsid w:val="003C29A8"/>
    <w:rsid w:val="003C29C4"/>
    <w:rsid w:val="003C2BF8"/>
    <w:rsid w:val="003C2D0A"/>
    <w:rsid w:val="003C2DDF"/>
    <w:rsid w:val="003C2E59"/>
    <w:rsid w:val="003C2EE4"/>
    <w:rsid w:val="003C3007"/>
    <w:rsid w:val="003C310C"/>
    <w:rsid w:val="003C3279"/>
    <w:rsid w:val="003C33F9"/>
    <w:rsid w:val="003C368F"/>
    <w:rsid w:val="003C38B2"/>
    <w:rsid w:val="003C390C"/>
    <w:rsid w:val="003C3924"/>
    <w:rsid w:val="003C3B63"/>
    <w:rsid w:val="003C3D29"/>
    <w:rsid w:val="003C3E7F"/>
    <w:rsid w:val="003C3FE2"/>
    <w:rsid w:val="003C427D"/>
    <w:rsid w:val="003C462A"/>
    <w:rsid w:val="003C493A"/>
    <w:rsid w:val="003C4AB2"/>
    <w:rsid w:val="003C4AC3"/>
    <w:rsid w:val="003C4B9E"/>
    <w:rsid w:val="003C4E0A"/>
    <w:rsid w:val="003C51A6"/>
    <w:rsid w:val="003C52F9"/>
    <w:rsid w:val="003C531D"/>
    <w:rsid w:val="003C5416"/>
    <w:rsid w:val="003C5647"/>
    <w:rsid w:val="003C56C2"/>
    <w:rsid w:val="003C56C7"/>
    <w:rsid w:val="003C5775"/>
    <w:rsid w:val="003C5AEE"/>
    <w:rsid w:val="003C608F"/>
    <w:rsid w:val="003C61F7"/>
    <w:rsid w:val="003C631B"/>
    <w:rsid w:val="003C6388"/>
    <w:rsid w:val="003C6563"/>
    <w:rsid w:val="003C660B"/>
    <w:rsid w:val="003C665F"/>
    <w:rsid w:val="003C66AE"/>
    <w:rsid w:val="003C66BD"/>
    <w:rsid w:val="003C676A"/>
    <w:rsid w:val="003C6866"/>
    <w:rsid w:val="003C6908"/>
    <w:rsid w:val="003C6A38"/>
    <w:rsid w:val="003C6B49"/>
    <w:rsid w:val="003C70A5"/>
    <w:rsid w:val="003C713F"/>
    <w:rsid w:val="003C753B"/>
    <w:rsid w:val="003C799F"/>
    <w:rsid w:val="003C7A8B"/>
    <w:rsid w:val="003C7BB8"/>
    <w:rsid w:val="003D0167"/>
    <w:rsid w:val="003D028A"/>
    <w:rsid w:val="003D036A"/>
    <w:rsid w:val="003D03B8"/>
    <w:rsid w:val="003D0482"/>
    <w:rsid w:val="003D056C"/>
    <w:rsid w:val="003D0729"/>
    <w:rsid w:val="003D093C"/>
    <w:rsid w:val="003D09CE"/>
    <w:rsid w:val="003D0D3A"/>
    <w:rsid w:val="003D0D85"/>
    <w:rsid w:val="003D0E27"/>
    <w:rsid w:val="003D0F48"/>
    <w:rsid w:val="003D0F8C"/>
    <w:rsid w:val="003D106B"/>
    <w:rsid w:val="003D120E"/>
    <w:rsid w:val="003D1222"/>
    <w:rsid w:val="003D154B"/>
    <w:rsid w:val="003D199A"/>
    <w:rsid w:val="003D1A71"/>
    <w:rsid w:val="003D1BC4"/>
    <w:rsid w:val="003D1DEE"/>
    <w:rsid w:val="003D1EF0"/>
    <w:rsid w:val="003D2056"/>
    <w:rsid w:val="003D213B"/>
    <w:rsid w:val="003D229A"/>
    <w:rsid w:val="003D2431"/>
    <w:rsid w:val="003D2962"/>
    <w:rsid w:val="003D31D9"/>
    <w:rsid w:val="003D333D"/>
    <w:rsid w:val="003D353B"/>
    <w:rsid w:val="003D3622"/>
    <w:rsid w:val="003D3850"/>
    <w:rsid w:val="003D3908"/>
    <w:rsid w:val="003D399A"/>
    <w:rsid w:val="003D3B3C"/>
    <w:rsid w:val="003D3BB4"/>
    <w:rsid w:val="003D3BB6"/>
    <w:rsid w:val="003D3DA4"/>
    <w:rsid w:val="003D3EC4"/>
    <w:rsid w:val="003D406F"/>
    <w:rsid w:val="003D410A"/>
    <w:rsid w:val="003D4241"/>
    <w:rsid w:val="003D43C3"/>
    <w:rsid w:val="003D446B"/>
    <w:rsid w:val="003D450E"/>
    <w:rsid w:val="003D460D"/>
    <w:rsid w:val="003D4A44"/>
    <w:rsid w:val="003D4B15"/>
    <w:rsid w:val="003D4BD1"/>
    <w:rsid w:val="003D4BDC"/>
    <w:rsid w:val="003D4E1F"/>
    <w:rsid w:val="003D4E6E"/>
    <w:rsid w:val="003D519D"/>
    <w:rsid w:val="003D5481"/>
    <w:rsid w:val="003D551A"/>
    <w:rsid w:val="003D5721"/>
    <w:rsid w:val="003D59F4"/>
    <w:rsid w:val="003D5A00"/>
    <w:rsid w:val="003D5AB3"/>
    <w:rsid w:val="003D5C40"/>
    <w:rsid w:val="003D5D3D"/>
    <w:rsid w:val="003D5DC8"/>
    <w:rsid w:val="003D5DCF"/>
    <w:rsid w:val="003D5E26"/>
    <w:rsid w:val="003D5E32"/>
    <w:rsid w:val="003D5EE3"/>
    <w:rsid w:val="003D609B"/>
    <w:rsid w:val="003D63C5"/>
    <w:rsid w:val="003D6437"/>
    <w:rsid w:val="003D6494"/>
    <w:rsid w:val="003D6532"/>
    <w:rsid w:val="003D665A"/>
    <w:rsid w:val="003D66B5"/>
    <w:rsid w:val="003D66BA"/>
    <w:rsid w:val="003D678F"/>
    <w:rsid w:val="003D6793"/>
    <w:rsid w:val="003D698B"/>
    <w:rsid w:val="003D6A1F"/>
    <w:rsid w:val="003D6A2A"/>
    <w:rsid w:val="003D6E89"/>
    <w:rsid w:val="003D6ECC"/>
    <w:rsid w:val="003D700C"/>
    <w:rsid w:val="003D71DF"/>
    <w:rsid w:val="003D738A"/>
    <w:rsid w:val="003D74E2"/>
    <w:rsid w:val="003D7640"/>
    <w:rsid w:val="003D770F"/>
    <w:rsid w:val="003D77D5"/>
    <w:rsid w:val="003D7899"/>
    <w:rsid w:val="003D7904"/>
    <w:rsid w:val="003D791E"/>
    <w:rsid w:val="003D79FD"/>
    <w:rsid w:val="003D7DC0"/>
    <w:rsid w:val="003D7E4C"/>
    <w:rsid w:val="003D7F4E"/>
    <w:rsid w:val="003DA927"/>
    <w:rsid w:val="003E0262"/>
    <w:rsid w:val="003E0395"/>
    <w:rsid w:val="003E03CC"/>
    <w:rsid w:val="003E0C16"/>
    <w:rsid w:val="003E1287"/>
    <w:rsid w:val="003E1306"/>
    <w:rsid w:val="003E14AE"/>
    <w:rsid w:val="003E15C5"/>
    <w:rsid w:val="003E1639"/>
    <w:rsid w:val="003E16CB"/>
    <w:rsid w:val="003E17A3"/>
    <w:rsid w:val="003E18BA"/>
    <w:rsid w:val="003E19F6"/>
    <w:rsid w:val="003E2202"/>
    <w:rsid w:val="003E24E8"/>
    <w:rsid w:val="003E28A2"/>
    <w:rsid w:val="003E2A31"/>
    <w:rsid w:val="003E2C92"/>
    <w:rsid w:val="003E2D58"/>
    <w:rsid w:val="003E2F8B"/>
    <w:rsid w:val="003E3089"/>
    <w:rsid w:val="003E33C1"/>
    <w:rsid w:val="003E366E"/>
    <w:rsid w:val="003E3918"/>
    <w:rsid w:val="003E3931"/>
    <w:rsid w:val="003E39FC"/>
    <w:rsid w:val="003E3A0E"/>
    <w:rsid w:val="003E3B83"/>
    <w:rsid w:val="003E3BD3"/>
    <w:rsid w:val="003E3C5C"/>
    <w:rsid w:val="003E3E8D"/>
    <w:rsid w:val="003E4054"/>
    <w:rsid w:val="003E41B5"/>
    <w:rsid w:val="003E4234"/>
    <w:rsid w:val="003E47B0"/>
    <w:rsid w:val="003E49DC"/>
    <w:rsid w:val="003E4B38"/>
    <w:rsid w:val="003E4B7F"/>
    <w:rsid w:val="003E4DD5"/>
    <w:rsid w:val="003E4E2F"/>
    <w:rsid w:val="003E4EC9"/>
    <w:rsid w:val="003E4ED0"/>
    <w:rsid w:val="003E4EE2"/>
    <w:rsid w:val="003E4F0A"/>
    <w:rsid w:val="003E4F4D"/>
    <w:rsid w:val="003E5138"/>
    <w:rsid w:val="003E5163"/>
    <w:rsid w:val="003E51CC"/>
    <w:rsid w:val="003E51F1"/>
    <w:rsid w:val="003E52D4"/>
    <w:rsid w:val="003E53E0"/>
    <w:rsid w:val="003E5576"/>
    <w:rsid w:val="003E559C"/>
    <w:rsid w:val="003E5799"/>
    <w:rsid w:val="003E58A7"/>
    <w:rsid w:val="003E5951"/>
    <w:rsid w:val="003E5BBB"/>
    <w:rsid w:val="003E6045"/>
    <w:rsid w:val="003E606C"/>
    <w:rsid w:val="003E607E"/>
    <w:rsid w:val="003E6151"/>
    <w:rsid w:val="003E62FD"/>
    <w:rsid w:val="003E64E9"/>
    <w:rsid w:val="003E6580"/>
    <w:rsid w:val="003E65C2"/>
    <w:rsid w:val="003E65E1"/>
    <w:rsid w:val="003E6673"/>
    <w:rsid w:val="003E66BB"/>
    <w:rsid w:val="003E6779"/>
    <w:rsid w:val="003E67F6"/>
    <w:rsid w:val="003E6968"/>
    <w:rsid w:val="003E6B08"/>
    <w:rsid w:val="003E6D13"/>
    <w:rsid w:val="003E7049"/>
    <w:rsid w:val="003E717D"/>
    <w:rsid w:val="003E71DA"/>
    <w:rsid w:val="003E71F9"/>
    <w:rsid w:val="003E753E"/>
    <w:rsid w:val="003E7568"/>
    <w:rsid w:val="003E7650"/>
    <w:rsid w:val="003E7657"/>
    <w:rsid w:val="003E7678"/>
    <w:rsid w:val="003E7D1A"/>
    <w:rsid w:val="003E7D50"/>
    <w:rsid w:val="003E7E8D"/>
    <w:rsid w:val="003E7F06"/>
    <w:rsid w:val="003E7F8D"/>
    <w:rsid w:val="003F0104"/>
    <w:rsid w:val="003F01E7"/>
    <w:rsid w:val="003F0233"/>
    <w:rsid w:val="003F0254"/>
    <w:rsid w:val="003F033F"/>
    <w:rsid w:val="003F07A3"/>
    <w:rsid w:val="003F093A"/>
    <w:rsid w:val="003F09B8"/>
    <w:rsid w:val="003F0CE2"/>
    <w:rsid w:val="003F0DFB"/>
    <w:rsid w:val="003F0E80"/>
    <w:rsid w:val="003F0F55"/>
    <w:rsid w:val="003F0F66"/>
    <w:rsid w:val="003F0F89"/>
    <w:rsid w:val="003F1290"/>
    <w:rsid w:val="003F1361"/>
    <w:rsid w:val="003F149E"/>
    <w:rsid w:val="003F155B"/>
    <w:rsid w:val="003F17BC"/>
    <w:rsid w:val="003F1A7F"/>
    <w:rsid w:val="003F1A96"/>
    <w:rsid w:val="003F1ADD"/>
    <w:rsid w:val="003F1B55"/>
    <w:rsid w:val="003F1C61"/>
    <w:rsid w:val="003F1E7A"/>
    <w:rsid w:val="003F1ECD"/>
    <w:rsid w:val="003F20D1"/>
    <w:rsid w:val="003F211F"/>
    <w:rsid w:val="003F21A0"/>
    <w:rsid w:val="003F2510"/>
    <w:rsid w:val="003F253E"/>
    <w:rsid w:val="003F27D1"/>
    <w:rsid w:val="003F283A"/>
    <w:rsid w:val="003F29A7"/>
    <w:rsid w:val="003F2A44"/>
    <w:rsid w:val="003F2B76"/>
    <w:rsid w:val="003F2DD2"/>
    <w:rsid w:val="003F2FCE"/>
    <w:rsid w:val="003F308A"/>
    <w:rsid w:val="003F30B1"/>
    <w:rsid w:val="003F30C8"/>
    <w:rsid w:val="003F332D"/>
    <w:rsid w:val="003F3696"/>
    <w:rsid w:val="003F3759"/>
    <w:rsid w:val="003F375B"/>
    <w:rsid w:val="003F3761"/>
    <w:rsid w:val="003F3A83"/>
    <w:rsid w:val="003F3B19"/>
    <w:rsid w:val="003F3C1C"/>
    <w:rsid w:val="003F3E2D"/>
    <w:rsid w:val="003F3EEB"/>
    <w:rsid w:val="003F40B6"/>
    <w:rsid w:val="003F4421"/>
    <w:rsid w:val="003F4585"/>
    <w:rsid w:val="003F4676"/>
    <w:rsid w:val="003F4817"/>
    <w:rsid w:val="003F4939"/>
    <w:rsid w:val="003F4B13"/>
    <w:rsid w:val="003F4C27"/>
    <w:rsid w:val="003F4C5B"/>
    <w:rsid w:val="003F50F1"/>
    <w:rsid w:val="003F5186"/>
    <w:rsid w:val="003F5211"/>
    <w:rsid w:val="003F548F"/>
    <w:rsid w:val="003F5BCD"/>
    <w:rsid w:val="003F5D6A"/>
    <w:rsid w:val="003F5DF2"/>
    <w:rsid w:val="003F6119"/>
    <w:rsid w:val="003F62D2"/>
    <w:rsid w:val="003F62E5"/>
    <w:rsid w:val="003F62F7"/>
    <w:rsid w:val="003F62FC"/>
    <w:rsid w:val="003F63F2"/>
    <w:rsid w:val="003F64C7"/>
    <w:rsid w:val="003F6986"/>
    <w:rsid w:val="003F6C48"/>
    <w:rsid w:val="003F6F70"/>
    <w:rsid w:val="003F6FE3"/>
    <w:rsid w:val="003F70DD"/>
    <w:rsid w:val="003F742E"/>
    <w:rsid w:val="003F7692"/>
    <w:rsid w:val="003F79AE"/>
    <w:rsid w:val="003F7C9A"/>
    <w:rsid w:val="003F7DB2"/>
    <w:rsid w:val="003F7E25"/>
    <w:rsid w:val="00400043"/>
    <w:rsid w:val="004000E1"/>
    <w:rsid w:val="00400251"/>
    <w:rsid w:val="004002E1"/>
    <w:rsid w:val="004002EF"/>
    <w:rsid w:val="004005A5"/>
    <w:rsid w:val="004006DE"/>
    <w:rsid w:val="004008D9"/>
    <w:rsid w:val="00400A16"/>
    <w:rsid w:val="00400A71"/>
    <w:rsid w:val="00400B85"/>
    <w:rsid w:val="00400BA2"/>
    <w:rsid w:val="00400BEF"/>
    <w:rsid w:val="00400C40"/>
    <w:rsid w:val="00400D36"/>
    <w:rsid w:val="00401198"/>
    <w:rsid w:val="004014CD"/>
    <w:rsid w:val="00401501"/>
    <w:rsid w:val="00401635"/>
    <w:rsid w:val="00401664"/>
    <w:rsid w:val="00401704"/>
    <w:rsid w:val="004017A4"/>
    <w:rsid w:val="004019DF"/>
    <w:rsid w:val="00401A49"/>
    <w:rsid w:val="00401C12"/>
    <w:rsid w:val="00401D8B"/>
    <w:rsid w:val="00401EF4"/>
    <w:rsid w:val="00401F0A"/>
    <w:rsid w:val="00401FBD"/>
    <w:rsid w:val="00402139"/>
    <w:rsid w:val="00402150"/>
    <w:rsid w:val="0040238F"/>
    <w:rsid w:val="004023D1"/>
    <w:rsid w:val="0040281C"/>
    <w:rsid w:val="004028D1"/>
    <w:rsid w:val="00402933"/>
    <w:rsid w:val="00402AD6"/>
    <w:rsid w:val="00402C98"/>
    <w:rsid w:val="00402E42"/>
    <w:rsid w:val="004030EB"/>
    <w:rsid w:val="004032A8"/>
    <w:rsid w:val="004033F6"/>
    <w:rsid w:val="004034B4"/>
    <w:rsid w:val="00403507"/>
    <w:rsid w:val="004035F3"/>
    <w:rsid w:val="00403832"/>
    <w:rsid w:val="00403AAA"/>
    <w:rsid w:val="00403B7F"/>
    <w:rsid w:val="00403CFF"/>
    <w:rsid w:val="00404008"/>
    <w:rsid w:val="004042D1"/>
    <w:rsid w:val="0040446A"/>
    <w:rsid w:val="004045C6"/>
    <w:rsid w:val="00404797"/>
    <w:rsid w:val="00404801"/>
    <w:rsid w:val="00404805"/>
    <w:rsid w:val="00404AB8"/>
    <w:rsid w:val="00404B94"/>
    <w:rsid w:val="00404BE2"/>
    <w:rsid w:val="00404E45"/>
    <w:rsid w:val="0040502B"/>
    <w:rsid w:val="004050BE"/>
    <w:rsid w:val="004050CF"/>
    <w:rsid w:val="004051B3"/>
    <w:rsid w:val="00405246"/>
    <w:rsid w:val="00405336"/>
    <w:rsid w:val="00405362"/>
    <w:rsid w:val="004053EA"/>
    <w:rsid w:val="004054CB"/>
    <w:rsid w:val="00405543"/>
    <w:rsid w:val="004057F6"/>
    <w:rsid w:val="004058EA"/>
    <w:rsid w:val="00405B6F"/>
    <w:rsid w:val="00405CC3"/>
    <w:rsid w:val="004060E2"/>
    <w:rsid w:val="00406210"/>
    <w:rsid w:val="00406339"/>
    <w:rsid w:val="0040647A"/>
    <w:rsid w:val="00406649"/>
    <w:rsid w:val="004068EB"/>
    <w:rsid w:val="00406A26"/>
    <w:rsid w:val="00407065"/>
    <w:rsid w:val="0040759A"/>
    <w:rsid w:val="00407637"/>
    <w:rsid w:val="0040763A"/>
    <w:rsid w:val="00407663"/>
    <w:rsid w:val="00407758"/>
    <w:rsid w:val="00407975"/>
    <w:rsid w:val="00407ADA"/>
    <w:rsid w:val="00407B41"/>
    <w:rsid w:val="00407CE1"/>
    <w:rsid w:val="00407D7C"/>
    <w:rsid w:val="00407E5B"/>
    <w:rsid w:val="00407E70"/>
    <w:rsid w:val="00407F25"/>
    <w:rsid w:val="00407FC9"/>
    <w:rsid w:val="00410353"/>
    <w:rsid w:val="00410426"/>
    <w:rsid w:val="0041049C"/>
    <w:rsid w:val="0041052C"/>
    <w:rsid w:val="00410578"/>
    <w:rsid w:val="00410607"/>
    <w:rsid w:val="0041061E"/>
    <w:rsid w:val="00410683"/>
    <w:rsid w:val="00410836"/>
    <w:rsid w:val="004108E4"/>
    <w:rsid w:val="00410A14"/>
    <w:rsid w:val="00410A42"/>
    <w:rsid w:val="00410CF0"/>
    <w:rsid w:val="00410DFB"/>
    <w:rsid w:val="00410FC3"/>
    <w:rsid w:val="004111F1"/>
    <w:rsid w:val="004112A9"/>
    <w:rsid w:val="004112C1"/>
    <w:rsid w:val="00411332"/>
    <w:rsid w:val="00411425"/>
    <w:rsid w:val="00411478"/>
    <w:rsid w:val="00411612"/>
    <w:rsid w:val="00411749"/>
    <w:rsid w:val="0041175C"/>
    <w:rsid w:val="004119E2"/>
    <w:rsid w:val="004119E3"/>
    <w:rsid w:val="00411FB4"/>
    <w:rsid w:val="00411FC7"/>
    <w:rsid w:val="0041202F"/>
    <w:rsid w:val="004121AF"/>
    <w:rsid w:val="00412242"/>
    <w:rsid w:val="004126F2"/>
    <w:rsid w:val="00412888"/>
    <w:rsid w:val="00412BEC"/>
    <w:rsid w:val="00412C69"/>
    <w:rsid w:val="00412D41"/>
    <w:rsid w:val="00412E3F"/>
    <w:rsid w:val="00412F8F"/>
    <w:rsid w:val="0041319F"/>
    <w:rsid w:val="0041321E"/>
    <w:rsid w:val="004132E6"/>
    <w:rsid w:val="00413369"/>
    <w:rsid w:val="0041349B"/>
    <w:rsid w:val="004135C3"/>
    <w:rsid w:val="00413663"/>
    <w:rsid w:val="004137AC"/>
    <w:rsid w:val="004138F5"/>
    <w:rsid w:val="00413915"/>
    <w:rsid w:val="00413918"/>
    <w:rsid w:val="0041397C"/>
    <w:rsid w:val="0041399C"/>
    <w:rsid w:val="0041399E"/>
    <w:rsid w:val="00413A68"/>
    <w:rsid w:val="00413AB2"/>
    <w:rsid w:val="00413AE2"/>
    <w:rsid w:val="00413BAD"/>
    <w:rsid w:val="00413C0B"/>
    <w:rsid w:val="00413C2F"/>
    <w:rsid w:val="00413E16"/>
    <w:rsid w:val="00413E22"/>
    <w:rsid w:val="00413F01"/>
    <w:rsid w:val="004140E4"/>
    <w:rsid w:val="0041423B"/>
    <w:rsid w:val="004143A8"/>
    <w:rsid w:val="004144C0"/>
    <w:rsid w:val="00414545"/>
    <w:rsid w:val="004145A2"/>
    <w:rsid w:val="00414623"/>
    <w:rsid w:val="00414735"/>
    <w:rsid w:val="00414BA8"/>
    <w:rsid w:val="00414D05"/>
    <w:rsid w:val="00414D7F"/>
    <w:rsid w:val="00414E95"/>
    <w:rsid w:val="00414EAA"/>
    <w:rsid w:val="00414F74"/>
    <w:rsid w:val="004150E3"/>
    <w:rsid w:val="00415141"/>
    <w:rsid w:val="00415161"/>
    <w:rsid w:val="004151C1"/>
    <w:rsid w:val="00415549"/>
    <w:rsid w:val="00415679"/>
    <w:rsid w:val="004156B1"/>
    <w:rsid w:val="00415EB4"/>
    <w:rsid w:val="004160A2"/>
    <w:rsid w:val="00416329"/>
    <w:rsid w:val="004163EC"/>
    <w:rsid w:val="0041642B"/>
    <w:rsid w:val="004164BB"/>
    <w:rsid w:val="0041688B"/>
    <w:rsid w:val="00416899"/>
    <w:rsid w:val="004168F2"/>
    <w:rsid w:val="00416A2D"/>
    <w:rsid w:val="00416B8E"/>
    <w:rsid w:val="00416CAF"/>
    <w:rsid w:val="00416CD7"/>
    <w:rsid w:val="00416DCA"/>
    <w:rsid w:val="00417281"/>
    <w:rsid w:val="004173A2"/>
    <w:rsid w:val="00417456"/>
    <w:rsid w:val="0041761F"/>
    <w:rsid w:val="004178B7"/>
    <w:rsid w:val="00417B0C"/>
    <w:rsid w:val="00417CD8"/>
    <w:rsid w:val="00417DC4"/>
    <w:rsid w:val="00417FAE"/>
    <w:rsid w:val="00417FF2"/>
    <w:rsid w:val="004200A0"/>
    <w:rsid w:val="00420240"/>
    <w:rsid w:val="00420642"/>
    <w:rsid w:val="00420683"/>
    <w:rsid w:val="004207BC"/>
    <w:rsid w:val="00420805"/>
    <w:rsid w:val="00420AB4"/>
    <w:rsid w:val="00420C69"/>
    <w:rsid w:val="00420CFA"/>
    <w:rsid w:val="00420D9B"/>
    <w:rsid w:val="00421017"/>
    <w:rsid w:val="00421107"/>
    <w:rsid w:val="00421130"/>
    <w:rsid w:val="0042113B"/>
    <w:rsid w:val="004211B1"/>
    <w:rsid w:val="004211C2"/>
    <w:rsid w:val="00421486"/>
    <w:rsid w:val="004214D5"/>
    <w:rsid w:val="00421555"/>
    <w:rsid w:val="004217EF"/>
    <w:rsid w:val="00421858"/>
    <w:rsid w:val="004218E8"/>
    <w:rsid w:val="0042192F"/>
    <w:rsid w:val="00421A07"/>
    <w:rsid w:val="00421AF1"/>
    <w:rsid w:val="00421B2F"/>
    <w:rsid w:val="00421B87"/>
    <w:rsid w:val="00421D6B"/>
    <w:rsid w:val="00421E20"/>
    <w:rsid w:val="00421FFB"/>
    <w:rsid w:val="004220F3"/>
    <w:rsid w:val="004221E0"/>
    <w:rsid w:val="004226A4"/>
    <w:rsid w:val="00422B02"/>
    <w:rsid w:val="00422B1D"/>
    <w:rsid w:val="00422BA6"/>
    <w:rsid w:val="00422BD3"/>
    <w:rsid w:val="00422DED"/>
    <w:rsid w:val="00422FD6"/>
    <w:rsid w:val="00423145"/>
    <w:rsid w:val="00423646"/>
    <w:rsid w:val="004236DC"/>
    <w:rsid w:val="00423873"/>
    <w:rsid w:val="00423C08"/>
    <w:rsid w:val="00423C40"/>
    <w:rsid w:val="00423CF0"/>
    <w:rsid w:val="00423E72"/>
    <w:rsid w:val="004241DD"/>
    <w:rsid w:val="0042436F"/>
    <w:rsid w:val="004244ED"/>
    <w:rsid w:val="004245A8"/>
    <w:rsid w:val="00424694"/>
    <w:rsid w:val="004246C2"/>
    <w:rsid w:val="004249FA"/>
    <w:rsid w:val="00424A52"/>
    <w:rsid w:val="00424A66"/>
    <w:rsid w:val="00424AD9"/>
    <w:rsid w:val="00424B05"/>
    <w:rsid w:val="00424C92"/>
    <w:rsid w:val="00424D9C"/>
    <w:rsid w:val="00424EA7"/>
    <w:rsid w:val="00424F3B"/>
    <w:rsid w:val="004250BA"/>
    <w:rsid w:val="004250F0"/>
    <w:rsid w:val="004251AA"/>
    <w:rsid w:val="00425488"/>
    <w:rsid w:val="0042549D"/>
    <w:rsid w:val="004254C4"/>
    <w:rsid w:val="004254DE"/>
    <w:rsid w:val="00425585"/>
    <w:rsid w:val="00425B4A"/>
    <w:rsid w:val="00425C46"/>
    <w:rsid w:val="00425C51"/>
    <w:rsid w:val="00425DED"/>
    <w:rsid w:val="00425E25"/>
    <w:rsid w:val="00425EF3"/>
    <w:rsid w:val="00425FE9"/>
    <w:rsid w:val="0042609D"/>
    <w:rsid w:val="00426670"/>
    <w:rsid w:val="0042699B"/>
    <w:rsid w:val="00426B6D"/>
    <w:rsid w:val="00426BA6"/>
    <w:rsid w:val="00426C76"/>
    <w:rsid w:val="00426CB8"/>
    <w:rsid w:val="00426D5D"/>
    <w:rsid w:val="00426D9A"/>
    <w:rsid w:val="00426E35"/>
    <w:rsid w:val="00426ECB"/>
    <w:rsid w:val="00426F7C"/>
    <w:rsid w:val="00426FD4"/>
    <w:rsid w:val="00427258"/>
    <w:rsid w:val="00427AA5"/>
    <w:rsid w:val="00427ADD"/>
    <w:rsid w:val="00427C2C"/>
    <w:rsid w:val="00427CD2"/>
    <w:rsid w:val="00427E7E"/>
    <w:rsid w:val="0043010D"/>
    <w:rsid w:val="0043010F"/>
    <w:rsid w:val="00430606"/>
    <w:rsid w:val="0043076E"/>
    <w:rsid w:val="00430D94"/>
    <w:rsid w:val="00430DA1"/>
    <w:rsid w:val="00430EEA"/>
    <w:rsid w:val="00431148"/>
    <w:rsid w:val="0043132A"/>
    <w:rsid w:val="00431469"/>
    <w:rsid w:val="0043150F"/>
    <w:rsid w:val="0043154E"/>
    <w:rsid w:val="00431750"/>
    <w:rsid w:val="00431983"/>
    <w:rsid w:val="004319A1"/>
    <w:rsid w:val="00431BDD"/>
    <w:rsid w:val="00431D09"/>
    <w:rsid w:val="00431EE5"/>
    <w:rsid w:val="00431F4F"/>
    <w:rsid w:val="00431F6E"/>
    <w:rsid w:val="00431F9F"/>
    <w:rsid w:val="0043219E"/>
    <w:rsid w:val="0043245C"/>
    <w:rsid w:val="00432589"/>
    <w:rsid w:val="0043278F"/>
    <w:rsid w:val="0043296D"/>
    <w:rsid w:val="00432BDB"/>
    <w:rsid w:val="00432C4B"/>
    <w:rsid w:val="00433024"/>
    <w:rsid w:val="0043317C"/>
    <w:rsid w:val="004331BB"/>
    <w:rsid w:val="004332D2"/>
    <w:rsid w:val="0043352C"/>
    <w:rsid w:val="00433564"/>
    <w:rsid w:val="0043361B"/>
    <w:rsid w:val="004336CA"/>
    <w:rsid w:val="0043396F"/>
    <w:rsid w:val="004339F2"/>
    <w:rsid w:val="00433B7C"/>
    <w:rsid w:val="00433DDD"/>
    <w:rsid w:val="00434035"/>
    <w:rsid w:val="0043413D"/>
    <w:rsid w:val="00434475"/>
    <w:rsid w:val="004344BE"/>
    <w:rsid w:val="00434692"/>
    <w:rsid w:val="004346CB"/>
    <w:rsid w:val="00434936"/>
    <w:rsid w:val="00434949"/>
    <w:rsid w:val="00434CC1"/>
    <w:rsid w:val="00434DE0"/>
    <w:rsid w:val="00435089"/>
    <w:rsid w:val="004350BA"/>
    <w:rsid w:val="0043535F"/>
    <w:rsid w:val="004354D0"/>
    <w:rsid w:val="004357ED"/>
    <w:rsid w:val="00435827"/>
    <w:rsid w:val="004359D5"/>
    <w:rsid w:val="00435ADF"/>
    <w:rsid w:val="00435C3D"/>
    <w:rsid w:val="00435D54"/>
    <w:rsid w:val="00435D6D"/>
    <w:rsid w:val="00435E26"/>
    <w:rsid w:val="00435E74"/>
    <w:rsid w:val="00435F35"/>
    <w:rsid w:val="00435F45"/>
    <w:rsid w:val="00435FC2"/>
    <w:rsid w:val="0043607F"/>
    <w:rsid w:val="004362CA"/>
    <w:rsid w:val="00436364"/>
    <w:rsid w:val="00436430"/>
    <w:rsid w:val="0043663B"/>
    <w:rsid w:val="00436838"/>
    <w:rsid w:val="004369B8"/>
    <w:rsid w:val="00436D2F"/>
    <w:rsid w:val="00436E08"/>
    <w:rsid w:val="00436E2D"/>
    <w:rsid w:val="00436E3E"/>
    <w:rsid w:val="00437259"/>
    <w:rsid w:val="004372E3"/>
    <w:rsid w:val="004373DB"/>
    <w:rsid w:val="00437606"/>
    <w:rsid w:val="00437A63"/>
    <w:rsid w:val="00437F1D"/>
    <w:rsid w:val="00440218"/>
    <w:rsid w:val="004402CD"/>
    <w:rsid w:val="00440449"/>
    <w:rsid w:val="0044054F"/>
    <w:rsid w:val="00440550"/>
    <w:rsid w:val="004405AE"/>
    <w:rsid w:val="004407AD"/>
    <w:rsid w:val="00440830"/>
    <w:rsid w:val="00440859"/>
    <w:rsid w:val="004408CB"/>
    <w:rsid w:val="0044097D"/>
    <w:rsid w:val="004409F3"/>
    <w:rsid w:val="00440C38"/>
    <w:rsid w:val="00440D85"/>
    <w:rsid w:val="00441052"/>
    <w:rsid w:val="00441080"/>
    <w:rsid w:val="00441092"/>
    <w:rsid w:val="00441222"/>
    <w:rsid w:val="00441271"/>
    <w:rsid w:val="004416A3"/>
    <w:rsid w:val="004419D2"/>
    <w:rsid w:val="00441A07"/>
    <w:rsid w:val="00441B56"/>
    <w:rsid w:val="00441BBB"/>
    <w:rsid w:val="00441C77"/>
    <w:rsid w:val="00441D50"/>
    <w:rsid w:val="00441EFE"/>
    <w:rsid w:val="00441F66"/>
    <w:rsid w:val="00441FC1"/>
    <w:rsid w:val="00442052"/>
    <w:rsid w:val="004420D0"/>
    <w:rsid w:val="004423E4"/>
    <w:rsid w:val="004424F4"/>
    <w:rsid w:val="00442866"/>
    <w:rsid w:val="00442A4F"/>
    <w:rsid w:val="00442A55"/>
    <w:rsid w:val="00442C3B"/>
    <w:rsid w:val="00442CDF"/>
    <w:rsid w:val="00442CF1"/>
    <w:rsid w:val="00442FFB"/>
    <w:rsid w:val="00443072"/>
    <w:rsid w:val="004432C3"/>
    <w:rsid w:val="00443432"/>
    <w:rsid w:val="004434A3"/>
    <w:rsid w:val="0044372A"/>
    <w:rsid w:val="0044392C"/>
    <w:rsid w:val="00443A46"/>
    <w:rsid w:val="00443AD5"/>
    <w:rsid w:val="00443D3D"/>
    <w:rsid w:val="00443EB5"/>
    <w:rsid w:val="00443FC6"/>
    <w:rsid w:val="00443FCB"/>
    <w:rsid w:val="00444195"/>
    <w:rsid w:val="00444378"/>
    <w:rsid w:val="00444463"/>
    <w:rsid w:val="00444501"/>
    <w:rsid w:val="004446ED"/>
    <w:rsid w:val="004447F0"/>
    <w:rsid w:val="0044487E"/>
    <w:rsid w:val="004448F7"/>
    <w:rsid w:val="00444A20"/>
    <w:rsid w:val="00444C9F"/>
    <w:rsid w:val="00444D13"/>
    <w:rsid w:val="00444D36"/>
    <w:rsid w:val="00444D3F"/>
    <w:rsid w:val="0044526C"/>
    <w:rsid w:val="0044529D"/>
    <w:rsid w:val="00445327"/>
    <w:rsid w:val="00445482"/>
    <w:rsid w:val="00445626"/>
    <w:rsid w:val="004458BC"/>
    <w:rsid w:val="004459E2"/>
    <w:rsid w:val="00445A05"/>
    <w:rsid w:val="00445A35"/>
    <w:rsid w:val="00445A4B"/>
    <w:rsid w:val="00445D57"/>
    <w:rsid w:val="00445E19"/>
    <w:rsid w:val="00445E63"/>
    <w:rsid w:val="00445ED9"/>
    <w:rsid w:val="00446127"/>
    <w:rsid w:val="0044619C"/>
    <w:rsid w:val="004464EE"/>
    <w:rsid w:val="00446549"/>
    <w:rsid w:val="004469D6"/>
    <w:rsid w:val="00446BAA"/>
    <w:rsid w:val="00446BFA"/>
    <w:rsid w:val="00446E00"/>
    <w:rsid w:val="00446ED2"/>
    <w:rsid w:val="00446F38"/>
    <w:rsid w:val="00447010"/>
    <w:rsid w:val="0044708E"/>
    <w:rsid w:val="0044719B"/>
    <w:rsid w:val="004473F6"/>
    <w:rsid w:val="0044744D"/>
    <w:rsid w:val="00447460"/>
    <w:rsid w:val="00447662"/>
    <w:rsid w:val="0044779A"/>
    <w:rsid w:val="00450131"/>
    <w:rsid w:val="00450290"/>
    <w:rsid w:val="00450574"/>
    <w:rsid w:val="00450629"/>
    <w:rsid w:val="00450BAA"/>
    <w:rsid w:val="00450DDA"/>
    <w:rsid w:val="0045109B"/>
    <w:rsid w:val="00451239"/>
    <w:rsid w:val="00451248"/>
    <w:rsid w:val="004513B2"/>
    <w:rsid w:val="00451454"/>
    <w:rsid w:val="004514FF"/>
    <w:rsid w:val="0045160B"/>
    <w:rsid w:val="00451640"/>
    <w:rsid w:val="004517DE"/>
    <w:rsid w:val="004518A6"/>
    <w:rsid w:val="004518AF"/>
    <w:rsid w:val="00451BA8"/>
    <w:rsid w:val="00451CA7"/>
    <w:rsid w:val="00452347"/>
    <w:rsid w:val="00452415"/>
    <w:rsid w:val="0045245D"/>
    <w:rsid w:val="00452615"/>
    <w:rsid w:val="004527C1"/>
    <w:rsid w:val="0045285F"/>
    <w:rsid w:val="00452866"/>
    <w:rsid w:val="004529BE"/>
    <w:rsid w:val="004529C3"/>
    <w:rsid w:val="00452C00"/>
    <w:rsid w:val="00452E2D"/>
    <w:rsid w:val="00453316"/>
    <w:rsid w:val="00453382"/>
    <w:rsid w:val="004533BE"/>
    <w:rsid w:val="004535FE"/>
    <w:rsid w:val="0045367C"/>
    <w:rsid w:val="0045375E"/>
    <w:rsid w:val="004537FB"/>
    <w:rsid w:val="00453839"/>
    <w:rsid w:val="00453999"/>
    <w:rsid w:val="00453B49"/>
    <w:rsid w:val="00453BE0"/>
    <w:rsid w:val="00453DED"/>
    <w:rsid w:val="0045421D"/>
    <w:rsid w:val="004542C9"/>
    <w:rsid w:val="004543DD"/>
    <w:rsid w:val="0045462C"/>
    <w:rsid w:val="004546B1"/>
    <w:rsid w:val="004548B2"/>
    <w:rsid w:val="004548EA"/>
    <w:rsid w:val="00454986"/>
    <w:rsid w:val="00454A93"/>
    <w:rsid w:val="00454B35"/>
    <w:rsid w:val="00454C8C"/>
    <w:rsid w:val="004550EC"/>
    <w:rsid w:val="00455286"/>
    <w:rsid w:val="0045529D"/>
    <w:rsid w:val="00455428"/>
    <w:rsid w:val="00455544"/>
    <w:rsid w:val="00455675"/>
    <w:rsid w:val="00455807"/>
    <w:rsid w:val="0045584F"/>
    <w:rsid w:val="00455899"/>
    <w:rsid w:val="00455AB6"/>
    <w:rsid w:val="00455AFF"/>
    <w:rsid w:val="00455B61"/>
    <w:rsid w:val="00455D26"/>
    <w:rsid w:val="00455F34"/>
    <w:rsid w:val="00455F39"/>
    <w:rsid w:val="0045627D"/>
    <w:rsid w:val="00456302"/>
    <w:rsid w:val="004565B1"/>
    <w:rsid w:val="00456849"/>
    <w:rsid w:val="00456861"/>
    <w:rsid w:val="00456866"/>
    <w:rsid w:val="004568F0"/>
    <w:rsid w:val="0045698C"/>
    <w:rsid w:val="00456A5E"/>
    <w:rsid w:val="00456ABD"/>
    <w:rsid w:val="00456CF3"/>
    <w:rsid w:val="00456E2A"/>
    <w:rsid w:val="00457128"/>
    <w:rsid w:val="004574D3"/>
    <w:rsid w:val="004574EC"/>
    <w:rsid w:val="004575EE"/>
    <w:rsid w:val="004575F7"/>
    <w:rsid w:val="004576DE"/>
    <w:rsid w:val="00457740"/>
    <w:rsid w:val="00457860"/>
    <w:rsid w:val="00457940"/>
    <w:rsid w:val="004579D3"/>
    <w:rsid w:val="00457A5F"/>
    <w:rsid w:val="00457AEE"/>
    <w:rsid w:val="00457BB6"/>
    <w:rsid w:val="00457C1E"/>
    <w:rsid w:val="00457D89"/>
    <w:rsid w:val="00457DC4"/>
    <w:rsid w:val="00457ECE"/>
    <w:rsid w:val="00460014"/>
    <w:rsid w:val="0046011F"/>
    <w:rsid w:val="00460351"/>
    <w:rsid w:val="004605AD"/>
    <w:rsid w:val="004607C9"/>
    <w:rsid w:val="00460917"/>
    <w:rsid w:val="00460AC6"/>
    <w:rsid w:val="00460BC8"/>
    <w:rsid w:val="00460CA3"/>
    <w:rsid w:val="00460CB5"/>
    <w:rsid w:val="00460CE9"/>
    <w:rsid w:val="00460CEF"/>
    <w:rsid w:val="00460F62"/>
    <w:rsid w:val="00461038"/>
    <w:rsid w:val="00461049"/>
    <w:rsid w:val="00461471"/>
    <w:rsid w:val="00461644"/>
    <w:rsid w:val="0046180A"/>
    <w:rsid w:val="004618A5"/>
    <w:rsid w:val="00461ABB"/>
    <w:rsid w:val="00461CF6"/>
    <w:rsid w:val="00461E64"/>
    <w:rsid w:val="00461F24"/>
    <w:rsid w:val="004625E7"/>
    <w:rsid w:val="004626D9"/>
    <w:rsid w:val="004627B0"/>
    <w:rsid w:val="00462912"/>
    <w:rsid w:val="004629BE"/>
    <w:rsid w:val="00462C4A"/>
    <w:rsid w:val="00462CCB"/>
    <w:rsid w:val="00462F81"/>
    <w:rsid w:val="00463599"/>
    <w:rsid w:val="00463811"/>
    <w:rsid w:val="00463AC4"/>
    <w:rsid w:val="00463AED"/>
    <w:rsid w:val="00463DAB"/>
    <w:rsid w:val="00463E5F"/>
    <w:rsid w:val="00463F4D"/>
    <w:rsid w:val="004641F2"/>
    <w:rsid w:val="0046440B"/>
    <w:rsid w:val="00464753"/>
    <w:rsid w:val="004647A6"/>
    <w:rsid w:val="0046482F"/>
    <w:rsid w:val="004648A2"/>
    <w:rsid w:val="00464D5E"/>
    <w:rsid w:val="00464DF1"/>
    <w:rsid w:val="0046511B"/>
    <w:rsid w:val="0046582F"/>
    <w:rsid w:val="00465864"/>
    <w:rsid w:val="00465AB7"/>
    <w:rsid w:val="00465C83"/>
    <w:rsid w:val="00465E89"/>
    <w:rsid w:val="00465FD8"/>
    <w:rsid w:val="004660D4"/>
    <w:rsid w:val="00466180"/>
    <w:rsid w:val="004663B3"/>
    <w:rsid w:val="004664EA"/>
    <w:rsid w:val="0046652B"/>
    <w:rsid w:val="00466545"/>
    <w:rsid w:val="00466681"/>
    <w:rsid w:val="0046670E"/>
    <w:rsid w:val="00466873"/>
    <w:rsid w:val="00466C20"/>
    <w:rsid w:val="00466D3C"/>
    <w:rsid w:val="00466F5B"/>
    <w:rsid w:val="00466F7C"/>
    <w:rsid w:val="00466F8D"/>
    <w:rsid w:val="004670D9"/>
    <w:rsid w:val="004670ED"/>
    <w:rsid w:val="00467152"/>
    <w:rsid w:val="00467167"/>
    <w:rsid w:val="0046728C"/>
    <w:rsid w:val="0046774C"/>
    <w:rsid w:val="004679D7"/>
    <w:rsid w:val="00467A1B"/>
    <w:rsid w:val="00467C82"/>
    <w:rsid w:val="00467D82"/>
    <w:rsid w:val="00467D8C"/>
    <w:rsid w:val="00467F9B"/>
    <w:rsid w:val="00467FAD"/>
    <w:rsid w:val="00467FDB"/>
    <w:rsid w:val="004700E5"/>
    <w:rsid w:val="00470178"/>
    <w:rsid w:val="00470396"/>
    <w:rsid w:val="004704C8"/>
    <w:rsid w:val="0047059A"/>
    <w:rsid w:val="004705F9"/>
    <w:rsid w:val="0047069F"/>
    <w:rsid w:val="00470798"/>
    <w:rsid w:val="00470919"/>
    <w:rsid w:val="00470949"/>
    <w:rsid w:val="00470986"/>
    <w:rsid w:val="00470ACD"/>
    <w:rsid w:val="00471038"/>
    <w:rsid w:val="004711E6"/>
    <w:rsid w:val="00471546"/>
    <w:rsid w:val="00471651"/>
    <w:rsid w:val="0047168F"/>
    <w:rsid w:val="0047189C"/>
    <w:rsid w:val="004719EC"/>
    <w:rsid w:val="00471A64"/>
    <w:rsid w:val="00471F87"/>
    <w:rsid w:val="00471F9F"/>
    <w:rsid w:val="00472178"/>
    <w:rsid w:val="0047248F"/>
    <w:rsid w:val="004727B5"/>
    <w:rsid w:val="004728BE"/>
    <w:rsid w:val="00472933"/>
    <w:rsid w:val="00472D32"/>
    <w:rsid w:val="00472DCD"/>
    <w:rsid w:val="00472E84"/>
    <w:rsid w:val="00473071"/>
    <w:rsid w:val="0047309D"/>
    <w:rsid w:val="004730BD"/>
    <w:rsid w:val="004731E7"/>
    <w:rsid w:val="0047323E"/>
    <w:rsid w:val="004733E0"/>
    <w:rsid w:val="00473590"/>
    <w:rsid w:val="00473730"/>
    <w:rsid w:val="00473A9A"/>
    <w:rsid w:val="00473AA3"/>
    <w:rsid w:val="00473B57"/>
    <w:rsid w:val="00473BB7"/>
    <w:rsid w:val="00473E8E"/>
    <w:rsid w:val="00474019"/>
    <w:rsid w:val="004741C0"/>
    <w:rsid w:val="0047424D"/>
    <w:rsid w:val="00474264"/>
    <w:rsid w:val="004742DC"/>
    <w:rsid w:val="0047454D"/>
    <w:rsid w:val="0047455D"/>
    <w:rsid w:val="004747C9"/>
    <w:rsid w:val="004747EA"/>
    <w:rsid w:val="004748FB"/>
    <w:rsid w:val="0047494A"/>
    <w:rsid w:val="00474ADF"/>
    <w:rsid w:val="00474BC5"/>
    <w:rsid w:val="00474BCB"/>
    <w:rsid w:val="00474BFB"/>
    <w:rsid w:val="00474CEB"/>
    <w:rsid w:val="00474DE2"/>
    <w:rsid w:val="00474F90"/>
    <w:rsid w:val="004750C4"/>
    <w:rsid w:val="00475107"/>
    <w:rsid w:val="0047527D"/>
    <w:rsid w:val="004752E4"/>
    <w:rsid w:val="00475481"/>
    <w:rsid w:val="0047557C"/>
    <w:rsid w:val="004755DC"/>
    <w:rsid w:val="00475772"/>
    <w:rsid w:val="004758F6"/>
    <w:rsid w:val="00475AAE"/>
    <w:rsid w:val="00475B4E"/>
    <w:rsid w:val="00475BBA"/>
    <w:rsid w:val="00475C6B"/>
    <w:rsid w:val="00475ED3"/>
    <w:rsid w:val="00475FDF"/>
    <w:rsid w:val="00476083"/>
    <w:rsid w:val="004760F1"/>
    <w:rsid w:val="004761D1"/>
    <w:rsid w:val="004763D8"/>
    <w:rsid w:val="00476410"/>
    <w:rsid w:val="00476446"/>
    <w:rsid w:val="0047686A"/>
    <w:rsid w:val="004769C6"/>
    <w:rsid w:val="00476B4F"/>
    <w:rsid w:val="00476D69"/>
    <w:rsid w:val="00477169"/>
    <w:rsid w:val="0047743B"/>
    <w:rsid w:val="00477790"/>
    <w:rsid w:val="00477844"/>
    <w:rsid w:val="0047790D"/>
    <w:rsid w:val="00477A6B"/>
    <w:rsid w:val="00477A77"/>
    <w:rsid w:val="00477ABF"/>
    <w:rsid w:val="00477B57"/>
    <w:rsid w:val="00477CC0"/>
    <w:rsid w:val="00477EBC"/>
    <w:rsid w:val="004800FD"/>
    <w:rsid w:val="00480297"/>
    <w:rsid w:val="0048029B"/>
    <w:rsid w:val="00480590"/>
    <w:rsid w:val="004806DC"/>
    <w:rsid w:val="0048071F"/>
    <w:rsid w:val="004809F2"/>
    <w:rsid w:val="00480A91"/>
    <w:rsid w:val="00480EC4"/>
    <w:rsid w:val="00480EEC"/>
    <w:rsid w:val="0048134D"/>
    <w:rsid w:val="0048135C"/>
    <w:rsid w:val="004813D6"/>
    <w:rsid w:val="004813EB"/>
    <w:rsid w:val="00481536"/>
    <w:rsid w:val="004818C0"/>
    <w:rsid w:val="004819F2"/>
    <w:rsid w:val="00481A56"/>
    <w:rsid w:val="00481A94"/>
    <w:rsid w:val="00481C00"/>
    <w:rsid w:val="00481DD5"/>
    <w:rsid w:val="00481EA1"/>
    <w:rsid w:val="00481EB7"/>
    <w:rsid w:val="004822D7"/>
    <w:rsid w:val="0048237E"/>
    <w:rsid w:val="0048246D"/>
    <w:rsid w:val="00482762"/>
    <w:rsid w:val="00482AAC"/>
    <w:rsid w:val="00482B86"/>
    <w:rsid w:val="00482DEB"/>
    <w:rsid w:val="00482E7C"/>
    <w:rsid w:val="0048326F"/>
    <w:rsid w:val="00483287"/>
    <w:rsid w:val="0048329F"/>
    <w:rsid w:val="004832F3"/>
    <w:rsid w:val="004834B7"/>
    <w:rsid w:val="00483541"/>
    <w:rsid w:val="00483652"/>
    <w:rsid w:val="0048368E"/>
    <w:rsid w:val="00483743"/>
    <w:rsid w:val="00483BF0"/>
    <w:rsid w:val="00483C72"/>
    <w:rsid w:val="00484041"/>
    <w:rsid w:val="00484069"/>
    <w:rsid w:val="00484432"/>
    <w:rsid w:val="0048446E"/>
    <w:rsid w:val="00484573"/>
    <w:rsid w:val="00484937"/>
    <w:rsid w:val="00484996"/>
    <w:rsid w:val="004849FC"/>
    <w:rsid w:val="00484BB0"/>
    <w:rsid w:val="00484D8B"/>
    <w:rsid w:val="00484D9F"/>
    <w:rsid w:val="00484DCC"/>
    <w:rsid w:val="00484E23"/>
    <w:rsid w:val="00484EDC"/>
    <w:rsid w:val="00484F87"/>
    <w:rsid w:val="0048507C"/>
    <w:rsid w:val="00485138"/>
    <w:rsid w:val="00485253"/>
    <w:rsid w:val="00485341"/>
    <w:rsid w:val="00485529"/>
    <w:rsid w:val="004858D9"/>
    <w:rsid w:val="0048595B"/>
    <w:rsid w:val="00485AC6"/>
    <w:rsid w:val="00485CB2"/>
    <w:rsid w:val="00485F1D"/>
    <w:rsid w:val="00485F77"/>
    <w:rsid w:val="004860E8"/>
    <w:rsid w:val="00486173"/>
    <w:rsid w:val="004861CF"/>
    <w:rsid w:val="004861E8"/>
    <w:rsid w:val="00486238"/>
    <w:rsid w:val="0048623A"/>
    <w:rsid w:val="004863A6"/>
    <w:rsid w:val="004863BB"/>
    <w:rsid w:val="004864A2"/>
    <w:rsid w:val="004864A7"/>
    <w:rsid w:val="004865AD"/>
    <w:rsid w:val="00486679"/>
    <w:rsid w:val="0048675E"/>
    <w:rsid w:val="004867A9"/>
    <w:rsid w:val="00486C07"/>
    <w:rsid w:val="00486C0D"/>
    <w:rsid w:val="00486CFD"/>
    <w:rsid w:val="00486D06"/>
    <w:rsid w:val="00486EB6"/>
    <w:rsid w:val="004871FE"/>
    <w:rsid w:val="0048720D"/>
    <w:rsid w:val="00487229"/>
    <w:rsid w:val="00487429"/>
    <w:rsid w:val="004874CB"/>
    <w:rsid w:val="004875ED"/>
    <w:rsid w:val="004877A7"/>
    <w:rsid w:val="004877B0"/>
    <w:rsid w:val="00487884"/>
    <w:rsid w:val="00487A61"/>
    <w:rsid w:val="00487B31"/>
    <w:rsid w:val="00487B49"/>
    <w:rsid w:val="00487BD0"/>
    <w:rsid w:val="00487CEE"/>
    <w:rsid w:val="00487E3C"/>
    <w:rsid w:val="00487F91"/>
    <w:rsid w:val="004902C2"/>
    <w:rsid w:val="00490315"/>
    <w:rsid w:val="00490376"/>
    <w:rsid w:val="004907D9"/>
    <w:rsid w:val="00490837"/>
    <w:rsid w:val="004909BE"/>
    <w:rsid w:val="00490BC3"/>
    <w:rsid w:val="00490F0F"/>
    <w:rsid w:val="0049104E"/>
    <w:rsid w:val="004910F1"/>
    <w:rsid w:val="0049148C"/>
    <w:rsid w:val="004917B2"/>
    <w:rsid w:val="0049198A"/>
    <w:rsid w:val="00491B92"/>
    <w:rsid w:val="00491BE0"/>
    <w:rsid w:val="00491F48"/>
    <w:rsid w:val="00491FD6"/>
    <w:rsid w:val="00492140"/>
    <w:rsid w:val="00492288"/>
    <w:rsid w:val="00492514"/>
    <w:rsid w:val="0049253C"/>
    <w:rsid w:val="00492571"/>
    <w:rsid w:val="00492677"/>
    <w:rsid w:val="004927B2"/>
    <w:rsid w:val="004927CE"/>
    <w:rsid w:val="00492800"/>
    <w:rsid w:val="00492859"/>
    <w:rsid w:val="00492869"/>
    <w:rsid w:val="00492928"/>
    <w:rsid w:val="00492957"/>
    <w:rsid w:val="00492968"/>
    <w:rsid w:val="00492BAD"/>
    <w:rsid w:val="00492C83"/>
    <w:rsid w:val="00492DD0"/>
    <w:rsid w:val="00492DF7"/>
    <w:rsid w:val="00492EC1"/>
    <w:rsid w:val="00493022"/>
    <w:rsid w:val="0049304A"/>
    <w:rsid w:val="00493088"/>
    <w:rsid w:val="004930FD"/>
    <w:rsid w:val="004931BB"/>
    <w:rsid w:val="004934B5"/>
    <w:rsid w:val="00493883"/>
    <w:rsid w:val="00493ADA"/>
    <w:rsid w:val="00493AF9"/>
    <w:rsid w:val="00493C8F"/>
    <w:rsid w:val="00493F8D"/>
    <w:rsid w:val="004941AA"/>
    <w:rsid w:val="00494217"/>
    <w:rsid w:val="0049438C"/>
    <w:rsid w:val="0049471F"/>
    <w:rsid w:val="004947B8"/>
    <w:rsid w:val="004947E7"/>
    <w:rsid w:val="00494800"/>
    <w:rsid w:val="00494854"/>
    <w:rsid w:val="004949D2"/>
    <w:rsid w:val="00494A25"/>
    <w:rsid w:val="00494B01"/>
    <w:rsid w:val="00494B2C"/>
    <w:rsid w:val="00494D53"/>
    <w:rsid w:val="0049503E"/>
    <w:rsid w:val="004951A2"/>
    <w:rsid w:val="004951CF"/>
    <w:rsid w:val="00495261"/>
    <w:rsid w:val="004952CE"/>
    <w:rsid w:val="0049537C"/>
    <w:rsid w:val="004954B9"/>
    <w:rsid w:val="004956A5"/>
    <w:rsid w:val="00495725"/>
    <w:rsid w:val="00495936"/>
    <w:rsid w:val="00495AC8"/>
    <w:rsid w:val="00495BA6"/>
    <w:rsid w:val="00495CB7"/>
    <w:rsid w:val="00495D1D"/>
    <w:rsid w:val="00495DA6"/>
    <w:rsid w:val="00495DBC"/>
    <w:rsid w:val="00495ED5"/>
    <w:rsid w:val="00495F2F"/>
    <w:rsid w:val="0049601A"/>
    <w:rsid w:val="00496214"/>
    <w:rsid w:val="004964BB"/>
    <w:rsid w:val="00496D85"/>
    <w:rsid w:val="0049733A"/>
    <w:rsid w:val="00497350"/>
    <w:rsid w:val="0049736F"/>
    <w:rsid w:val="0049739E"/>
    <w:rsid w:val="00497433"/>
    <w:rsid w:val="00497440"/>
    <w:rsid w:val="004975E8"/>
    <w:rsid w:val="00497766"/>
    <w:rsid w:val="00497807"/>
    <w:rsid w:val="00497944"/>
    <w:rsid w:val="0049797D"/>
    <w:rsid w:val="00497A4D"/>
    <w:rsid w:val="00497AB0"/>
    <w:rsid w:val="00497C94"/>
    <w:rsid w:val="00497CDC"/>
    <w:rsid w:val="004A00F9"/>
    <w:rsid w:val="004A0428"/>
    <w:rsid w:val="004A053B"/>
    <w:rsid w:val="004A07C4"/>
    <w:rsid w:val="004A0A17"/>
    <w:rsid w:val="004A0A98"/>
    <w:rsid w:val="004A0E52"/>
    <w:rsid w:val="004A0E87"/>
    <w:rsid w:val="004A0FEF"/>
    <w:rsid w:val="004A10C5"/>
    <w:rsid w:val="004A10FD"/>
    <w:rsid w:val="004A1355"/>
    <w:rsid w:val="004A1543"/>
    <w:rsid w:val="004A164B"/>
    <w:rsid w:val="004A1AB4"/>
    <w:rsid w:val="004A1E52"/>
    <w:rsid w:val="004A1EE6"/>
    <w:rsid w:val="004A239D"/>
    <w:rsid w:val="004A259A"/>
    <w:rsid w:val="004A2AA5"/>
    <w:rsid w:val="004A2B43"/>
    <w:rsid w:val="004A2B88"/>
    <w:rsid w:val="004A2DD5"/>
    <w:rsid w:val="004A2E92"/>
    <w:rsid w:val="004A30D0"/>
    <w:rsid w:val="004A3245"/>
    <w:rsid w:val="004A34A3"/>
    <w:rsid w:val="004A34B5"/>
    <w:rsid w:val="004A34BB"/>
    <w:rsid w:val="004A3560"/>
    <w:rsid w:val="004A3A67"/>
    <w:rsid w:val="004A3AD1"/>
    <w:rsid w:val="004A3C4D"/>
    <w:rsid w:val="004A4306"/>
    <w:rsid w:val="004A433A"/>
    <w:rsid w:val="004A4561"/>
    <w:rsid w:val="004A46C3"/>
    <w:rsid w:val="004A47F1"/>
    <w:rsid w:val="004A494B"/>
    <w:rsid w:val="004A496C"/>
    <w:rsid w:val="004A4AF8"/>
    <w:rsid w:val="004A4B6C"/>
    <w:rsid w:val="004A4CD0"/>
    <w:rsid w:val="004A4D55"/>
    <w:rsid w:val="004A4F6F"/>
    <w:rsid w:val="004A4F87"/>
    <w:rsid w:val="004A4FCD"/>
    <w:rsid w:val="004A5116"/>
    <w:rsid w:val="004A531C"/>
    <w:rsid w:val="004A533B"/>
    <w:rsid w:val="004A5464"/>
    <w:rsid w:val="004A565C"/>
    <w:rsid w:val="004A57C6"/>
    <w:rsid w:val="004A5855"/>
    <w:rsid w:val="004A58DD"/>
    <w:rsid w:val="004A59D6"/>
    <w:rsid w:val="004A5EB9"/>
    <w:rsid w:val="004A5F62"/>
    <w:rsid w:val="004A60CE"/>
    <w:rsid w:val="004A62B5"/>
    <w:rsid w:val="004A6363"/>
    <w:rsid w:val="004A63EF"/>
    <w:rsid w:val="004A65C2"/>
    <w:rsid w:val="004A6643"/>
    <w:rsid w:val="004A670E"/>
    <w:rsid w:val="004A6770"/>
    <w:rsid w:val="004A67CD"/>
    <w:rsid w:val="004A6CAF"/>
    <w:rsid w:val="004A6D0C"/>
    <w:rsid w:val="004A6F48"/>
    <w:rsid w:val="004A7352"/>
    <w:rsid w:val="004A7497"/>
    <w:rsid w:val="004A76CD"/>
    <w:rsid w:val="004A7B3D"/>
    <w:rsid w:val="004A7F42"/>
    <w:rsid w:val="004A7F8C"/>
    <w:rsid w:val="004A7FA6"/>
    <w:rsid w:val="004A7FA8"/>
    <w:rsid w:val="004B0319"/>
    <w:rsid w:val="004B0550"/>
    <w:rsid w:val="004B09E9"/>
    <w:rsid w:val="004B0A5A"/>
    <w:rsid w:val="004B0AC5"/>
    <w:rsid w:val="004B0C00"/>
    <w:rsid w:val="004B0FE1"/>
    <w:rsid w:val="004B1246"/>
    <w:rsid w:val="004B169B"/>
    <w:rsid w:val="004B16D6"/>
    <w:rsid w:val="004B16E1"/>
    <w:rsid w:val="004B16E6"/>
    <w:rsid w:val="004B16F9"/>
    <w:rsid w:val="004B17FC"/>
    <w:rsid w:val="004B184D"/>
    <w:rsid w:val="004B198F"/>
    <w:rsid w:val="004B1B44"/>
    <w:rsid w:val="004B1B76"/>
    <w:rsid w:val="004B1D38"/>
    <w:rsid w:val="004B1DEC"/>
    <w:rsid w:val="004B2317"/>
    <w:rsid w:val="004B2392"/>
    <w:rsid w:val="004B23F4"/>
    <w:rsid w:val="004B2429"/>
    <w:rsid w:val="004B24C0"/>
    <w:rsid w:val="004B2621"/>
    <w:rsid w:val="004B2BEC"/>
    <w:rsid w:val="004B2C00"/>
    <w:rsid w:val="004B2D42"/>
    <w:rsid w:val="004B2FA6"/>
    <w:rsid w:val="004B3011"/>
    <w:rsid w:val="004B3064"/>
    <w:rsid w:val="004B318C"/>
    <w:rsid w:val="004B324B"/>
    <w:rsid w:val="004B332F"/>
    <w:rsid w:val="004B33CF"/>
    <w:rsid w:val="004B3541"/>
    <w:rsid w:val="004B3550"/>
    <w:rsid w:val="004B3887"/>
    <w:rsid w:val="004B38FC"/>
    <w:rsid w:val="004B3A59"/>
    <w:rsid w:val="004B3A99"/>
    <w:rsid w:val="004B3B4B"/>
    <w:rsid w:val="004B3C7C"/>
    <w:rsid w:val="004B3DAE"/>
    <w:rsid w:val="004B3DBA"/>
    <w:rsid w:val="004B3E5D"/>
    <w:rsid w:val="004B47A2"/>
    <w:rsid w:val="004B4804"/>
    <w:rsid w:val="004B4809"/>
    <w:rsid w:val="004B496F"/>
    <w:rsid w:val="004B49E7"/>
    <w:rsid w:val="004B4A40"/>
    <w:rsid w:val="004B4B83"/>
    <w:rsid w:val="004B5070"/>
    <w:rsid w:val="004B528F"/>
    <w:rsid w:val="004B5307"/>
    <w:rsid w:val="004B53F2"/>
    <w:rsid w:val="004B55AC"/>
    <w:rsid w:val="004B57C3"/>
    <w:rsid w:val="004B5898"/>
    <w:rsid w:val="004B5A4F"/>
    <w:rsid w:val="004B5C82"/>
    <w:rsid w:val="004B5C8D"/>
    <w:rsid w:val="004B5E4B"/>
    <w:rsid w:val="004B5F0C"/>
    <w:rsid w:val="004B62AE"/>
    <w:rsid w:val="004B662E"/>
    <w:rsid w:val="004B6696"/>
    <w:rsid w:val="004B67DD"/>
    <w:rsid w:val="004B68C5"/>
    <w:rsid w:val="004B692A"/>
    <w:rsid w:val="004B6AB9"/>
    <w:rsid w:val="004B6CAF"/>
    <w:rsid w:val="004B6F00"/>
    <w:rsid w:val="004B6F88"/>
    <w:rsid w:val="004B6F90"/>
    <w:rsid w:val="004B73D3"/>
    <w:rsid w:val="004B7466"/>
    <w:rsid w:val="004B776B"/>
    <w:rsid w:val="004B7926"/>
    <w:rsid w:val="004B795A"/>
    <w:rsid w:val="004B7983"/>
    <w:rsid w:val="004B7DBD"/>
    <w:rsid w:val="004C01AF"/>
    <w:rsid w:val="004C05C1"/>
    <w:rsid w:val="004C0929"/>
    <w:rsid w:val="004C0AEC"/>
    <w:rsid w:val="004C0B90"/>
    <w:rsid w:val="004C10E3"/>
    <w:rsid w:val="004C1124"/>
    <w:rsid w:val="004C1255"/>
    <w:rsid w:val="004C12A4"/>
    <w:rsid w:val="004C12C0"/>
    <w:rsid w:val="004C13C9"/>
    <w:rsid w:val="004C145F"/>
    <w:rsid w:val="004C16F0"/>
    <w:rsid w:val="004C1844"/>
    <w:rsid w:val="004C18A7"/>
    <w:rsid w:val="004C18D9"/>
    <w:rsid w:val="004C1965"/>
    <w:rsid w:val="004C1C8F"/>
    <w:rsid w:val="004C1F22"/>
    <w:rsid w:val="004C2007"/>
    <w:rsid w:val="004C2193"/>
    <w:rsid w:val="004C21C3"/>
    <w:rsid w:val="004C22A9"/>
    <w:rsid w:val="004C23E7"/>
    <w:rsid w:val="004C243E"/>
    <w:rsid w:val="004C246C"/>
    <w:rsid w:val="004C2599"/>
    <w:rsid w:val="004C25EB"/>
    <w:rsid w:val="004C2638"/>
    <w:rsid w:val="004C27F0"/>
    <w:rsid w:val="004C285C"/>
    <w:rsid w:val="004C28F3"/>
    <w:rsid w:val="004C28FF"/>
    <w:rsid w:val="004C2A80"/>
    <w:rsid w:val="004C2DC4"/>
    <w:rsid w:val="004C2F65"/>
    <w:rsid w:val="004C2FCF"/>
    <w:rsid w:val="004C3046"/>
    <w:rsid w:val="004C31AE"/>
    <w:rsid w:val="004C3213"/>
    <w:rsid w:val="004C3250"/>
    <w:rsid w:val="004C365E"/>
    <w:rsid w:val="004C3C33"/>
    <w:rsid w:val="004C3E23"/>
    <w:rsid w:val="004C4013"/>
    <w:rsid w:val="004C417A"/>
    <w:rsid w:val="004C4240"/>
    <w:rsid w:val="004C4507"/>
    <w:rsid w:val="004C450B"/>
    <w:rsid w:val="004C4536"/>
    <w:rsid w:val="004C4560"/>
    <w:rsid w:val="004C48FF"/>
    <w:rsid w:val="004C492F"/>
    <w:rsid w:val="004C496A"/>
    <w:rsid w:val="004C4AAE"/>
    <w:rsid w:val="004C4AC8"/>
    <w:rsid w:val="004C4C9B"/>
    <w:rsid w:val="004C4D12"/>
    <w:rsid w:val="004C4F72"/>
    <w:rsid w:val="004C4F8E"/>
    <w:rsid w:val="004C5034"/>
    <w:rsid w:val="004C51B4"/>
    <w:rsid w:val="004C5330"/>
    <w:rsid w:val="004C55C4"/>
    <w:rsid w:val="004C56A0"/>
    <w:rsid w:val="004C5762"/>
    <w:rsid w:val="004C57E1"/>
    <w:rsid w:val="004C58E4"/>
    <w:rsid w:val="004C59DA"/>
    <w:rsid w:val="004C5A6A"/>
    <w:rsid w:val="004C5A96"/>
    <w:rsid w:val="004C5B0C"/>
    <w:rsid w:val="004C5C15"/>
    <w:rsid w:val="004C5C73"/>
    <w:rsid w:val="004C5CAE"/>
    <w:rsid w:val="004C5DD5"/>
    <w:rsid w:val="004C5FA1"/>
    <w:rsid w:val="004C60FA"/>
    <w:rsid w:val="004C631F"/>
    <w:rsid w:val="004C635D"/>
    <w:rsid w:val="004C64C8"/>
    <w:rsid w:val="004C652A"/>
    <w:rsid w:val="004C662A"/>
    <w:rsid w:val="004C67B0"/>
    <w:rsid w:val="004C67E2"/>
    <w:rsid w:val="004C67E9"/>
    <w:rsid w:val="004C69A7"/>
    <w:rsid w:val="004C6A7B"/>
    <w:rsid w:val="004C6A88"/>
    <w:rsid w:val="004C6D85"/>
    <w:rsid w:val="004C6EA4"/>
    <w:rsid w:val="004C6F17"/>
    <w:rsid w:val="004C6FA6"/>
    <w:rsid w:val="004C70B2"/>
    <w:rsid w:val="004C7637"/>
    <w:rsid w:val="004C76A4"/>
    <w:rsid w:val="004C76A8"/>
    <w:rsid w:val="004C797B"/>
    <w:rsid w:val="004C7CD4"/>
    <w:rsid w:val="004C7CF3"/>
    <w:rsid w:val="004C7E45"/>
    <w:rsid w:val="004C7FEA"/>
    <w:rsid w:val="004C837A"/>
    <w:rsid w:val="004D0016"/>
    <w:rsid w:val="004D0142"/>
    <w:rsid w:val="004D021D"/>
    <w:rsid w:val="004D0260"/>
    <w:rsid w:val="004D0401"/>
    <w:rsid w:val="004D0827"/>
    <w:rsid w:val="004D0835"/>
    <w:rsid w:val="004D09CF"/>
    <w:rsid w:val="004D0BBF"/>
    <w:rsid w:val="004D0CDD"/>
    <w:rsid w:val="004D0F4D"/>
    <w:rsid w:val="004D115C"/>
    <w:rsid w:val="004D11A2"/>
    <w:rsid w:val="004D11BB"/>
    <w:rsid w:val="004D12A6"/>
    <w:rsid w:val="004D132E"/>
    <w:rsid w:val="004D1610"/>
    <w:rsid w:val="004D1654"/>
    <w:rsid w:val="004D166A"/>
    <w:rsid w:val="004D1683"/>
    <w:rsid w:val="004D1702"/>
    <w:rsid w:val="004D1770"/>
    <w:rsid w:val="004D184B"/>
    <w:rsid w:val="004D18A7"/>
    <w:rsid w:val="004D1A80"/>
    <w:rsid w:val="004D1ABA"/>
    <w:rsid w:val="004D1F27"/>
    <w:rsid w:val="004D1FA1"/>
    <w:rsid w:val="004D20C9"/>
    <w:rsid w:val="004D20D0"/>
    <w:rsid w:val="004D24A7"/>
    <w:rsid w:val="004D251A"/>
    <w:rsid w:val="004D2544"/>
    <w:rsid w:val="004D2598"/>
    <w:rsid w:val="004D2600"/>
    <w:rsid w:val="004D28FE"/>
    <w:rsid w:val="004D2996"/>
    <w:rsid w:val="004D2AC6"/>
    <w:rsid w:val="004D2CCB"/>
    <w:rsid w:val="004D2D72"/>
    <w:rsid w:val="004D2E9D"/>
    <w:rsid w:val="004D2F0B"/>
    <w:rsid w:val="004D3284"/>
    <w:rsid w:val="004D3988"/>
    <w:rsid w:val="004D39B8"/>
    <w:rsid w:val="004D3B8B"/>
    <w:rsid w:val="004D3C21"/>
    <w:rsid w:val="004D3D33"/>
    <w:rsid w:val="004D3D61"/>
    <w:rsid w:val="004D3F03"/>
    <w:rsid w:val="004D4096"/>
    <w:rsid w:val="004D41AB"/>
    <w:rsid w:val="004D41DC"/>
    <w:rsid w:val="004D4893"/>
    <w:rsid w:val="004D4A53"/>
    <w:rsid w:val="004D4A60"/>
    <w:rsid w:val="004D4C5C"/>
    <w:rsid w:val="004D4C6D"/>
    <w:rsid w:val="004D4D20"/>
    <w:rsid w:val="004D4D23"/>
    <w:rsid w:val="004D4E7C"/>
    <w:rsid w:val="004D4F10"/>
    <w:rsid w:val="004D5176"/>
    <w:rsid w:val="004D5491"/>
    <w:rsid w:val="004D54A3"/>
    <w:rsid w:val="004D5707"/>
    <w:rsid w:val="004D5A6C"/>
    <w:rsid w:val="004D5CC8"/>
    <w:rsid w:val="004D5E33"/>
    <w:rsid w:val="004D5EA4"/>
    <w:rsid w:val="004D5F04"/>
    <w:rsid w:val="004D6062"/>
    <w:rsid w:val="004D6467"/>
    <w:rsid w:val="004D64B0"/>
    <w:rsid w:val="004D6599"/>
    <w:rsid w:val="004D6744"/>
    <w:rsid w:val="004D6802"/>
    <w:rsid w:val="004D6894"/>
    <w:rsid w:val="004D6AD0"/>
    <w:rsid w:val="004D6C28"/>
    <w:rsid w:val="004D6C59"/>
    <w:rsid w:val="004D6C65"/>
    <w:rsid w:val="004D6D15"/>
    <w:rsid w:val="004D6F47"/>
    <w:rsid w:val="004D6FCA"/>
    <w:rsid w:val="004D70F4"/>
    <w:rsid w:val="004D711B"/>
    <w:rsid w:val="004D7427"/>
    <w:rsid w:val="004D7472"/>
    <w:rsid w:val="004D75DE"/>
    <w:rsid w:val="004D76CA"/>
    <w:rsid w:val="004D78BE"/>
    <w:rsid w:val="004D7912"/>
    <w:rsid w:val="004D792D"/>
    <w:rsid w:val="004D7AF6"/>
    <w:rsid w:val="004D7B23"/>
    <w:rsid w:val="004D7BFF"/>
    <w:rsid w:val="004D7C68"/>
    <w:rsid w:val="004D7D67"/>
    <w:rsid w:val="004D7E96"/>
    <w:rsid w:val="004E0034"/>
    <w:rsid w:val="004E0087"/>
    <w:rsid w:val="004E00D8"/>
    <w:rsid w:val="004E060F"/>
    <w:rsid w:val="004E06CD"/>
    <w:rsid w:val="004E0758"/>
    <w:rsid w:val="004E0B9F"/>
    <w:rsid w:val="004E11F6"/>
    <w:rsid w:val="004E124E"/>
    <w:rsid w:val="004E1260"/>
    <w:rsid w:val="004E1323"/>
    <w:rsid w:val="004E1439"/>
    <w:rsid w:val="004E1477"/>
    <w:rsid w:val="004E14DA"/>
    <w:rsid w:val="004E17B7"/>
    <w:rsid w:val="004E1984"/>
    <w:rsid w:val="004E1A7D"/>
    <w:rsid w:val="004E1B5D"/>
    <w:rsid w:val="004E215A"/>
    <w:rsid w:val="004E23C3"/>
    <w:rsid w:val="004E24CC"/>
    <w:rsid w:val="004E2563"/>
    <w:rsid w:val="004E2741"/>
    <w:rsid w:val="004E2BB2"/>
    <w:rsid w:val="004E2C8F"/>
    <w:rsid w:val="004E2CB3"/>
    <w:rsid w:val="004E2DE5"/>
    <w:rsid w:val="004E2E48"/>
    <w:rsid w:val="004E307A"/>
    <w:rsid w:val="004E30FD"/>
    <w:rsid w:val="004E314C"/>
    <w:rsid w:val="004E327A"/>
    <w:rsid w:val="004E3425"/>
    <w:rsid w:val="004E3487"/>
    <w:rsid w:val="004E372C"/>
    <w:rsid w:val="004E394D"/>
    <w:rsid w:val="004E3A73"/>
    <w:rsid w:val="004E3B41"/>
    <w:rsid w:val="004E3EEA"/>
    <w:rsid w:val="004E3F04"/>
    <w:rsid w:val="004E405A"/>
    <w:rsid w:val="004E435A"/>
    <w:rsid w:val="004E4940"/>
    <w:rsid w:val="004E4A63"/>
    <w:rsid w:val="004E4CEB"/>
    <w:rsid w:val="004E4E28"/>
    <w:rsid w:val="004E5088"/>
    <w:rsid w:val="004E513C"/>
    <w:rsid w:val="004E53FF"/>
    <w:rsid w:val="004E562E"/>
    <w:rsid w:val="004E56CA"/>
    <w:rsid w:val="004E572E"/>
    <w:rsid w:val="004E5787"/>
    <w:rsid w:val="004E57DE"/>
    <w:rsid w:val="004E581F"/>
    <w:rsid w:val="004E5991"/>
    <w:rsid w:val="004E59F1"/>
    <w:rsid w:val="004E5AB7"/>
    <w:rsid w:val="004E5B8D"/>
    <w:rsid w:val="004E5E78"/>
    <w:rsid w:val="004E6092"/>
    <w:rsid w:val="004E6163"/>
    <w:rsid w:val="004E628B"/>
    <w:rsid w:val="004E64C6"/>
    <w:rsid w:val="004E68C3"/>
    <w:rsid w:val="004E6C0E"/>
    <w:rsid w:val="004E6DE6"/>
    <w:rsid w:val="004E6E65"/>
    <w:rsid w:val="004E6FA6"/>
    <w:rsid w:val="004E7190"/>
    <w:rsid w:val="004E7248"/>
    <w:rsid w:val="004E752A"/>
    <w:rsid w:val="004E75A0"/>
    <w:rsid w:val="004E77C8"/>
    <w:rsid w:val="004E77DD"/>
    <w:rsid w:val="004E7981"/>
    <w:rsid w:val="004E79C7"/>
    <w:rsid w:val="004E7BE8"/>
    <w:rsid w:val="004E7C7A"/>
    <w:rsid w:val="004E7CCF"/>
    <w:rsid w:val="004E7DD2"/>
    <w:rsid w:val="004E7E7B"/>
    <w:rsid w:val="004F00E3"/>
    <w:rsid w:val="004F037F"/>
    <w:rsid w:val="004F03D3"/>
    <w:rsid w:val="004F03D7"/>
    <w:rsid w:val="004F0493"/>
    <w:rsid w:val="004F06D1"/>
    <w:rsid w:val="004F0826"/>
    <w:rsid w:val="004F09F0"/>
    <w:rsid w:val="004F0BDC"/>
    <w:rsid w:val="004F0E7B"/>
    <w:rsid w:val="004F0F90"/>
    <w:rsid w:val="004F0FB4"/>
    <w:rsid w:val="004F12DE"/>
    <w:rsid w:val="004F132B"/>
    <w:rsid w:val="004F13B1"/>
    <w:rsid w:val="004F157F"/>
    <w:rsid w:val="004F170B"/>
    <w:rsid w:val="004F18BD"/>
    <w:rsid w:val="004F1949"/>
    <w:rsid w:val="004F19BB"/>
    <w:rsid w:val="004F1A2B"/>
    <w:rsid w:val="004F1A79"/>
    <w:rsid w:val="004F1C74"/>
    <w:rsid w:val="004F1DAB"/>
    <w:rsid w:val="004F1DB4"/>
    <w:rsid w:val="004F1F21"/>
    <w:rsid w:val="004F1F69"/>
    <w:rsid w:val="004F2205"/>
    <w:rsid w:val="004F244F"/>
    <w:rsid w:val="004F24A3"/>
    <w:rsid w:val="004F261D"/>
    <w:rsid w:val="004F28D7"/>
    <w:rsid w:val="004F2A44"/>
    <w:rsid w:val="004F2BC5"/>
    <w:rsid w:val="004F2C7B"/>
    <w:rsid w:val="004F2CF2"/>
    <w:rsid w:val="004F2D01"/>
    <w:rsid w:val="004F2EB8"/>
    <w:rsid w:val="004F2F00"/>
    <w:rsid w:val="004F2FEA"/>
    <w:rsid w:val="004F3220"/>
    <w:rsid w:val="004F3305"/>
    <w:rsid w:val="004F34A6"/>
    <w:rsid w:val="004F34BB"/>
    <w:rsid w:val="004F356B"/>
    <w:rsid w:val="004F35EC"/>
    <w:rsid w:val="004F36C8"/>
    <w:rsid w:val="004F36CB"/>
    <w:rsid w:val="004F3797"/>
    <w:rsid w:val="004F390E"/>
    <w:rsid w:val="004F391A"/>
    <w:rsid w:val="004F3921"/>
    <w:rsid w:val="004F3DDF"/>
    <w:rsid w:val="004F4121"/>
    <w:rsid w:val="004F443F"/>
    <w:rsid w:val="004F4444"/>
    <w:rsid w:val="004F452A"/>
    <w:rsid w:val="004F4564"/>
    <w:rsid w:val="004F461C"/>
    <w:rsid w:val="004F4632"/>
    <w:rsid w:val="004F46F4"/>
    <w:rsid w:val="004F482F"/>
    <w:rsid w:val="004F483C"/>
    <w:rsid w:val="004F4BD1"/>
    <w:rsid w:val="004F4CCA"/>
    <w:rsid w:val="004F4CDA"/>
    <w:rsid w:val="004F4D47"/>
    <w:rsid w:val="004F512F"/>
    <w:rsid w:val="004F513C"/>
    <w:rsid w:val="004F524F"/>
    <w:rsid w:val="004F5306"/>
    <w:rsid w:val="004F5380"/>
    <w:rsid w:val="004F5512"/>
    <w:rsid w:val="004F569C"/>
    <w:rsid w:val="004F56CB"/>
    <w:rsid w:val="004F575F"/>
    <w:rsid w:val="004F5841"/>
    <w:rsid w:val="004F5868"/>
    <w:rsid w:val="004F5AC8"/>
    <w:rsid w:val="004F5C4E"/>
    <w:rsid w:val="004F5D39"/>
    <w:rsid w:val="004F5EFB"/>
    <w:rsid w:val="004F5F06"/>
    <w:rsid w:val="004F5FC9"/>
    <w:rsid w:val="004F61E2"/>
    <w:rsid w:val="004F6624"/>
    <w:rsid w:val="004F69B0"/>
    <w:rsid w:val="004F69CD"/>
    <w:rsid w:val="004F6A89"/>
    <w:rsid w:val="004F6C64"/>
    <w:rsid w:val="004F6CD8"/>
    <w:rsid w:val="004F6F07"/>
    <w:rsid w:val="004F6F4C"/>
    <w:rsid w:val="004F700E"/>
    <w:rsid w:val="004F705D"/>
    <w:rsid w:val="004F724F"/>
    <w:rsid w:val="004F7714"/>
    <w:rsid w:val="004F776A"/>
    <w:rsid w:val="004F7A9E"/>
    <w:rsid w:val="004F7CF6"/>
    <w:rsid w:val="004F7D8A"/>
    <w:rsid w:val="004F7E69"/>
    <w:rsid w:val="004F7F23"/>
    <w:rsid w:val="004F7F91"/>
    <w:rsid w:val="005000F9"/>
    <w:rsid w:val="00500109"/>
    <w:rsid w:val="005001B9"/>
    <w:rsid w:val="005001DD"/>
    <w:rsid w:val="00500246"/>
    <w:rsid w:val="005002F6"/>
    <w:rsid w:val="005003DF"/>
    <w:rsid w:val="005004FF"/>
    <w:rsid w:val="0050078E"/>
    <w:rsid w:val="005008E3"/>
    <w:rsid w:val="00500A9C"/>
    <w:rsid w:val="00500BBF"/>
    <w:rsid w:val="00500C18"/>
    <w:rsid w:val="00500C63"/>
    <w:rsid w:val="00500D1D"/>
    <w:rsid w:val="00500F2F"/>
    <w:rsid w:val="00501134"/>
    <w:rsid w:val="00501269"/>
    <w:rsid w:val="00501450"/>
    <w:rsid w:val="005016CF"/>
    <w:rsid w:val="00501846"/>
    <w:rsid w:val="005018ED"/>
    <w:rsid w:val="00501A10"/>
    <w:rsid w:val="00501C41"/>
    <w:rsid w:val="00501D19"/>
    <w:rsid w:val="00501D36"/>
    <w:rsid w:val="00501F78"/>
    <w:rsid w:val="00502114"/>
    <w:rsid w:val="00502116"/>
    <w:rsid w:val="0050233A"/>
    <w:rsid w:val="005023A6"/>
    <w:rsid w:val="00502501"/>
    <w:rsid w:val="00502639"/>
    <w:rsid w:val="00502890"/>
    <w:rsid w:val="005028E2"/>
    <w:rsid w:val="005028EC"/>
    <w:rsid w:val="005029AF"/>
    <w:rsid w:val="00502DE1"/>
    <w:rsid w:val="00502E15"/>
    <w:rsid w:val="00502E1C"/>
    <w:rsid w:val="00503421"/>
    <w:rsid w:val="005036A2"/>
    <w:rsid w:val="00503849"/>
    <w:rsid w:val="00503958"/>
    <w:rsid w:val="00503A06"/>
    <w:rsid w:val="00503C88"/>
    <w:rsid w:val="00503D17"/>
    <w:rsid w:val="00503F4F"/>
    <w:rsid w:val="0050407F"/>
    <w:rsid w:val="005041FF"/>
    <w:rsid w:val="00504202"/>
    <w:rsid w:val="00504420"/>
    <w:rsid w:val="0050455E"/>
    <w:rsid w:val="00504921"/>
    <w:rsid w:val="00504980"/>
    <w:rsid w:val="00504A0F"/>
    <w:rsid w:val="00504A6A"/>
    <w:rsid w:val="00504BC0"/>
    <w:rsid w:val="00504F17"/>
    <w:rsid w:val="00505361"/>
    <w:rsid w:val="0050539F"/>
    <w:rsid w:val="005054D0"/>
    <w:rsid w:val="0050552F"/>
    <w:rsid w:val="00505768"/>
    <w:rsid w:val="005059C7"/>
    <w:rsid w:val="00505B24"/>
    <w:rsid w:val="0050615D"/>
    <w:rsid w:val="005061A1"/>
    <w:rsid w:val="0050648B"/>
    <w:rsid w:val="00506627"/>
    <w:rsid w:val="005066CF"/>
    <w:rsid w:val="00506AB6"/>
    <w:rsid w:val="00506B9A"/>
    <w:rsid w:val="00506C2E"/>
    <w:rsid w:val="00506DC0"/>
    <w:rsid w:val="00506F18"/>
    <w:rsid w:val="00506F1E"/>
    <w:rsid w:val="00506FF1"/>
    <w:rsid w:val="00507208"/>
    <w:rsid w:val="005072EF"/>
    <w:rsid w:val="00507564"/>
    <w:rsid w:val="005075AC"/>
    <w:rsid w:val="005075B5"/>
    <w:rsid w:val="00507679"/>
    <w:rsid w:val="00507680"/>
    <w:rsid w:val="005077FA"/>
    <w:rsid w:val="0050795C"/>
    <w:rsid w:val="00507A1B"/>
    <w:rsid w:val="00507A22"/>
    <w:rsid w:val="00507B59"/>
    <w:rsid w:val="00507B88"/>
    <w:rsid w:val="00507BFC"/>
    <w:rsid w:val="00507CA8"/>
    <w:rsid w:val="00507FCA"/>
    <w:rsid w:val="00510221"/>
    <w:rsid w:val="0051026F"/>
    <w:rsid w:val="00510274"/>
    <w:rsid w:val="00510362"/>
    <w:rsid w:val="005104B4"/>
    <w:rsid w:val="0051066A"/>
    <w:rsid w:val="00510C1F"/>
    <w:rsid w:val="00510D3E"/>
    <w:rsid w:val="00510E02"/>
    <w:rsid w:val="005110C5"/>
    <w:rsid w:val="00511644"/>
    <w:rsid w:val="00511885"/>
    <w:rsid w:val="00511943"/>
    <w:rsid w:val="005119BC"/>
    <w:rsid w:val="00511A6A"/>
    <w:rsid w:val="00511AFC"/>
    <w:rsid w:val="00511B7C"/>
    <w:rsid w:val="00511BD5"/>
    <w:rsid w:val="00511D45"/>
    <w:rsid w:val="00511DEA"/>
    <w:rsid w:val="00512235"/>
    <w:rsid w:val="005122B0"/>
    <w:rsid w:val="00512309"/>
    <w:rsid w:val="005124D4"/>
    <w:rsid w:val="00512596"/>
    <w:rsid w:val="0051261F"/>
    <w:rsid w:val="005126CB"/>
    <w:rsid w:val="005126FA"/>
    <w:rsid w:val="0051275C"/>
    <w:rsid w:val="0051286F"/>
    <w:rsid w:val="0051288A"/>
    <w:rsid w:val="00512926"/>
    <w:rsid w:val="00512997"/>
    <w:rsid w:val="00512A64"/>
    <w:rsid w:val="00512C59"/>
    <w:rsid w:val="00512D74"/>
    <w:rsid w:val="00512DEB"/>
    <w:rsid w:val="00513338"/>
    <w:rsid w:val="0051343D"/>
    <w:rsid w:val="00513708"/>
    <w:rsid w:val="0051395F"/>
    <w:rsid w:val="00513A66"/>
    <w:rsid w:val="00513F1F"/>
    <w:rsid w:val="00513FC4"/>
    <w:rsid w:val="005140D9"/>
    <w:rsid w:val="00514167"/>
    <w:rsid w:val="0051420F"/>
    <w:rsid w:val="00514263"/>
    <w:rsid w:val="0051435E"/>
    <w:rsid w:val="00514967"/>
    <w:rsid w:val="00514BC4"/>
    <w:rsid w:val="00514D60"/>
    <w:rsid w:val="00514D7F"/>
    <w:rsid w:val="00514DC7"/>
    <w:rsid w:val="00515000"/>
    <w:rsid w:val="00515256"/>
    <w:rsid w:val="0051535D"/>
    <w:rsid w:val="00515556"/>
    <w:rsid w:val="00515653"/>
    <w:rsid w:val="005156FE"/>
    <w:rsid w:val="00515A04"/>
    <w:rsid w:val="00515CF0"/>
    <w:rsid w:val="00515DC3"/>
    <w:rsid w:val="00515EDE"/>
    <w:rsid w:val="00515FFE"/>
    <w:rsid w:val="00516097"/>
    <w:rsid w:val="005160F7"/>
    <w:rsid w:val="005162AC"/>
    <w:rsid w:val="0051631F"/>
    <w:rsid w:val="005163AB"/>
    <w:rsid w:val="005163E8"/>
    <w:rsid w:val="005164BF"/>
    <w:rsid w:val="00516645"/>
    <w:rsid w:val="00516B43"/>
    <w:rsid w:val="00516C17"/>
    <w:rsid w:val="00516DD2"/>
    <w:rsid w:val="00517170"/>
    <w:rsid w:val="00517501"/>
    <w:rsid w:val="005179D8"/>
    <w:rsid w:val="00517B30"/>
    <w:rsid w:val="00517BDF"/>
    <w:rsid w:val="00517DBF"/>
    <w:rsid w:val="00517E2A"/>
    <w:rsid w:val="005200BF"/>
    <w:rsid w:val="005201FE"/>
    <w:rsid w:val="0052022D"/>
    <w:rsid w:val="005202F6"/>
    <w:rsid w:val="0052040C"/>
    <w:rsid w:val="005204FC"/>
    <w:rsid w:val="005205D6"/>
    <w:rsid w:val="00520618"/>
    <w:rsid w:val="00520687"/>
    <w:rsid w:val="00520877"/>
    <w:rsid w:val="00520911"/>
    <w:rsid w:val="00520BDC"/>
    <w:rsid w:val="00520C3A"/>
    <w:rsid w:val="00520C7A"/>
    <w:rsid w:val="00520E33"/>
    <w:rsid w:val="0052114C"/>
    <w:rsid w:val="00521319"/>
    <w:rsid w:val="0052140C"/>
    <w:rsid w:val="00521699"/>
    <w:rsid w:val="005216F0"/>
    <w:rsid w:val="00521740"/>
    <w:rsid w:val="005217E7"/>
    <w:rsid w:val="0052180E"/>
    <w:rsid w:val="0052183B"/>
    <w:rsid w:val="005219FA"/>
    <w:rsid w:val="00521DAB"/>
    <w:rsid w:val="00521FE5"/>
    <w:rsid w:val="00522041"/>
    <w:rsid w:val="0052204E"/>
    <w:rsid w:val="005220FF"/>
    <w:rsid w:val="005221EE"/>
    <w:rsid w:val="0052223B"/>
    <w:rsid w:val="0052226F"/>
    <w:rsid w:val="0052227E"/>
    <w:rsid w:val="005224C7"/>
    <w:rsid w:val="005227FE"/>
    <w:rsid w:val="005229FB"/>
    <w:rsid w:val="00522A6F"/>
    <w:rsid w:val="00522AA6"/>
    <w:rsid w:val="00523006"/>
    <w:rsid w:val="005233E3"/>
    <w:rsid w:val="0052347E"/>
    <w:rsid w:val="005234B0"/>
    <w:rsid w:val="00523602"/>
    <w:rsid w:val="00523824"/>
    <w:rsid w:val="005238E6"/>
    <w:rsid w:val="00523B10"/>
    <w:rsid w:val="00523B61"/>
    <w:rsid w:val="00523C1F"/>
    <w:rsid w:val="00523E95"/>
    <w:rsid w:val="00523EC5"/>
    <w:rsid w:val="00523EF6"/>
    <w:rsid w:val="005240A6"/>
    <w:rsid w:val="005240FC"/>
    <w:rsid w:val="005242FD"/>
    <w:rsid w:val="005243BB"/>
    <w:rsid w:val="00524734"/>
    <w:rsid w:val="005247F9"/>
    <w:rsid w:val="00524A71"/>
    <w:rsid w:val="00524C5D"/>
    <w:rsid w:val="00524CCA"/>
    <w:rsid w:val="00524D03"/>
    <w:rsid w:val="00524D48"/>
    <w:rsid w:val="0052511A"/>
    <w:rsid w:val="00525159"/>
    <w:rsid w:val="0052536C"/>
    <w:rsid w:val="0052591D"/>
    <w:rsid w:val="00525D85"/>
    <w:rsid w:val="00525DFC"/>
    <w:rsid w:val="00525FC3"/>
    <w:rsid w:val="00525FF1"/>
    <w:rsid w:val="0052600F"/>
    <w:rsid w:val="00526141"/>
    <w:rsid w:val="0052636B"/>
    <w:rsid w:val="0052636E"/>
    <w:rsid w:val="005267F4"/>
    <w:rsid w:val="00526861"/>
    <w:rsid w:val="005268DE"/>
    <w:rsid w:val="00526C1E"/>
    <w:rsid w:val="00526E4A"/>
    <w:rsid w:val="0052718B"/>
    <w:rsid w:val="005273FA"/>
    <w:rsid w:val="0052750C"/>
    <w:rsid w:val="005275BD"/>
    <w:rsid w:val="00527670"/>
    <w:rsid w:val="0052773A"/>
    <w:rsid w:val="0052780E"/>
    <w:rsid w:val="0052783C"/>
    <w:rsid w:val="005279D1"/>
    <w:rsid w:val="00527B00"/>
    <w:rsid w:val="00527B23"/>
    <w:rsid w:val="00527B9B"/>
    <w:rsid w:val="00530108"/>
    <w:rsid w:val="0053012A"/>
    <w:rsid w:val="0053020A"/>
    <w:rsid w:val="00530371"/>
    <w:rsid w:val="00530675"/>
    <w:rsid w:val="005306D9"/>
    <w:rsid w:val="005307A1"/>
    <w:rsid w:val="0053084F"/>
    <w:rsid w:val="00530903"/>
    <w:rsid w:val="0053098A"/>
    <w:rsid w:val="00530A23"/>
    <w:rsid w:val="00530CF7"/>
    <w:rsid w:val="00530E79"/>
    <w:rsid w:val="00531001"/>
    <w:rsid w:val="0053112D"/>
    <w:rsid w:val="005313EE"/>
    <w:rsid w:val="00531404"/>
    <w:rsid w:val="005315B9"/>
    <w:rsid w:val="00531649"/>
    <w:rsid w:val="0053187B"/>
    <w:rsid w:val="0053196A"/>
    <w:rsid w:val="00531A78"/>
    <w:rsid w:val="00531FA2"/>
    <w:rsid w:val="00532015"/>
    <w:rsid w:val="00532038"/>
    <w:rsid w:val="00532077"/>
    <w:rsid w:val="005320A1"/>
    <w:rsid w:val="005320D6"/>
    <w:rsid w:val="0053220F"/>
    <w:rsid w:val="00532B32"/>
    <w:rsid w:val="00532C29"/>
    <w:rsid w:val="00532E87"/>
    <w:rsid w:val="00532F0F"/>
    <w:rsid w:val="005331BC"/>
    <w:rsid w:val="005331BF"/>
    <w:rsid w:val="00533401"/>
    <w:rsid w:val="00533560"/>
    <w:rsid w:val="00533A8A"/>
    <w:rsid w:val="00533ADA"/>
    <w:rsid w:val="00533B3C"/>
    <w:rsid w:val="00533D18"/>
    <w:rsid w:val="0053404D"/>
    <w:rsid w:val="00534D0D"/>
    <w:rsid w:val="00534D77"/>
    <w:rsid w:val="00534F12"/>
    <w:rsid w:val="00535141"/>
    <w:rsid w:val="005354DC"/>
    <w:rsid w:val="00535556"/>
    <w:rsid w:val="0053560A"/>
    <w:rsid w:val="0053570B"/>
    <w:rsid w:val="005357C2"/>
    <w:rsid w:val="00535957"/>
    <w:rsid w:val="00535988"/>
    <w:rsid w:val="00535EC8"/>
    <w:rsid w:val="00535F6C"/>
    <w:rsid w:val="00535FDB"/>
    <w:rsid w:val="005361AB"/>
    <w:rsid w:val="0053623E"/>
    <w:rsid w:val="00536474"/>
    <w:rsid w:val="005366BD"/>
    <w:rsid w:val="00536816"/>
    <w:rsid w:val="0053690B"/>
    <w:rsid w:val="00536ACD"/>
    <w:rsid w:val="00536ACF"/>
    <w:rsid w:val="00536DFB"/>
    <w:rsid w:val="00536E33"/>
    <w:rsid w:val="00536ED4"/>
    <w:rsid w:val="00536ED5"/>
    <w:rsid w:val="00536F25"/>
    <w:rsid w:val="00536FA2"/>
    <w:rsid w:val="00536FAB"/>
    <w:rsid w:val="00537028"/>
    <w:rsid w:val="00537065"/>
    <w:rsid w:val="00537148"/>
    <w:rsid w:val="0053734C"/>
    <w:rsid w:val="005373BF"/>
    <w:rsid w:val="00537560"/>
    <w:rsid w:val="0053759D"/>
    <w:rsid w:val="00537679"/>
    <w:rsid w:val="00537824"/>
    <w:rsid w:val="00537875"/>
    <w:rsid w:val="005378BC"/>
    <w:rsid w:val="005378C6"/>
    <w:rsid w:val="00537966"/>
    <w:rsid w:val="00537A42"/>
    <w:rsid w:val="00537D44"/>
    <w:rsid w:val="00537D5A"/>
    <w:rsid w:val="00537E6A"/>
    <w:rsid w:val="00537E70"/>
    <w:rsid w:val="00537F21"/>
    <w:rsid w:val="005400C0"/>
    <w:rsid w:val="0054036F"/>
    <w:rsid w:val="0054061A"/>
    <w:rsid w:val="005406D8"/>
    <w:rsid w:val="005407ED"/>
    <w:rsid w:val="005408BB"/>
    <w:rsid w:val="00540A11"/>
    <w:rsid w:val="00540B6E"/>
    <w:rsid w:val="00540DAC"/>
    <w:rsid w:val="00540F70"/>
    <w:rsid w:val="00540FF2"/>
    <w:rsid w:val="0054104E"/>
    <w:rsid w:val="0054107D"/>
    <w:rsid w:val="00541164"/>
    <w:rsid w:val="005411E2"/>
    <w:rsid w:val="0054124A"/>
    <w:rsid w:val="0054133A"/>
    <w:rsid w:val="00541478"/>
    <w:rsid w:val="005416A1"/>
    <w:rsid w:val="00541CCF"/>
    <w:rsid w:val="00541D5A"/>
    <w:rsid w:val="00541DFE"/>
    <w:rsid w:val="0054200C"/>
    <w:rsid w:val="005421FC"/>
    <w:rsid w:val="0054272B"/>
    <w:rsid w:val="00542CF9"/>
    <w:rsid w:val="00542DA3"/>
    <w:rsid w:val="00543015"/>
    <w:rsid w:val="00543061"/>
    <w:rsid w:val="00543251"/>
    <w:rsid w:val="00543885"/>
    <w:rsid w:val="0054391B"/>
    <w:rsid w:val="00543A17"/>
    <w:rsid w:val="00543A8E"/>
    <w:rsid w:val="005440FB"/>
    <w:rsid w:val="00544133"/>
    <w:rsid w:val="0054427F"/>
    <w:rsid w:val="0054433F"/>
    <w:rsid w:val="005444B1"/>
    <w:rsid w:val="005447FD"/>
    <w:rsid w:val="005448B5"/>
    <w:rsid w:val="00544B1E"/>
    <w:rsid w:val="00544B76"/>
    <w:rsid w:val="00544C41"/>
    <w:rsid w:val="00544E41"/>
    <w:rsid w:val="00544E7E"/>
    <w:rsid w:val="00545064"/>
    <w:rsid w:val="00545121"/>
    <w:rsid w:val="0054526F"/>
    <w:rsid w:val="005452DB"/>
    <w:rsid w:val="005453E4"/>
    <w:rsid w:val="0054569C"/>
    <w:rsid w:val="00545815"/>
    <w:rsid w:val="00545819"/>
    <w:rsid w:val="0054593D"/>
    <w:rsid w:val="005459F2"/>
    <w:rsid w:val="00545B1C"/>
    <w:rsid w:val="00545B68"/>
    <w:rsid w:val="00545C2B"/>
    <w:rsid w:val="00545D71"/>
    <w:rsid w:val="00545DCA"/>
    <w:rsid w:val="00545E4B"/>
    <w:rsid w:val="0054609A"/>
    <w:rsid w:val="00546148"/>
    <w:rsid w:val="00546312"/>
    <w:rsid w:val="00546521"/>
    <w:rsid w:val="00546572"/>
    <w:rsid w:val="00546999"/>
    <w:rsid w:val="00546B23"/>
    <w:rsid w:val="00546B45"/>
    <w:rsid w:val="00546C71"/>
    <w:rsid w:val="00546CF8"/>
    <w:rsid w:val="00546D09"/>
    <w:rsid w:val="00547049"/>
    <w:rsid w:val="00547169"/>
    <w:rsid w:val="005471C7"/>
    <w:rsid w:val="00547207"/>
    <w:rsid w:val="0054735D"/>
    <w:rsid w:val="005473A4"/>
    <w:rsid w:val="005473D7"/>
    <w:rsid w:val="005475EE"/>
    <w:rsid w:val="005478A5"/>
    <w:rsid w:val="005479C0"/>
    <w:rsid w:val="00547C1A"/>
    <w:rsid w:val="00547C34"/>
    <w:rsid w:val="00547D95"/>
    <w:rsid w:val="005501BC"/>
    <w:rsid w:val="0055026C"/>
    <w:rsid w:val="005502C9"/>
    <w:rsid w:val="00550357"/>
    <w:rsid w:val="00550551"/>
    <w:rsid w:val="00550779"/>
    <w:rsid w:val="00550900"/>
    <w:rsid w:val="00550997"/>
    <w:rsid w:val="005509A2"/>
    <w:rsid w:val="00550B79"/>
    <w:rsid w:val="00550BCE"/>
    <w:rsid w:val="00550CAD"/>
    <w:rsid w:val="00550D9D"/>
    <w:rsid w:val="00550E74"/>
    <w:rsid w:val="00550EDF"/>
    <w:rsid w:val="00550F30"/>
    <w:rsid w:val="00550F90"/>
    <w:rsid w:val="0055167F"/>
    <w:rsid w:val="0055183D"/>
    <w:rsid w:val="005519BC"/>
    <w:rsid w:val="00551A98"/>
    <w:rsid w:val="00551A9B"/>
    <w:rsid w:val="00551C33"/>
    <w:rsid w:val="00551F6A"/>
    <w:rsid w:val="00552073"/>
    <w:rsid w:val="00552092"/>
    <w:rsid w:val="005521B9"/>
    <w:rsid w:val="0055225C"/>
    <w:rsid w:val="0055235D"/>
    <w:rsid w:val="005523DA"/>
    <w:rsid w:val="0055257C"/>
    <w:rsid w:val="00552613"/>
    <w:rsid w:val="00552CA2"/>
    <w:rsid w:val="00552D72"/>
    <w:rsid w:val="00552E5A"/>
    <w:rsid w:val="00552FF7"/>
    <w:rsid w:val="00553010"/>
    <w:rsid w:val="0055317B"/>
    <w:rsid w:val="00553207"/>
    <w:rsid w:val="00553309"/>
    <w:rsid w:val="00553684"/>
    <w:rsid w:val="00553739"/>
    <w:rsid w:val="005539B5"/>
    <w:rsid w:val="00553D01"/>
    <w:rsid w:val="00553F18"/>
    <w:rsid w:val="00553F71"/>
    <w:rsid w:val="00553FA5"/>
    <w:rsid w:val="0055404F"/>
    <w:rsid w:val="005540D1"/>
    <w:rsid w:val="00554354"/>
    <w:rsid w:val="005543AF"/>
    <w:rsid w:val="0055441A"/>
    <w:rsid w:val="00554425"/>
    <w:rsid w:val="00554599"/>
    <w:rsid w:val="00554612"/>
    <w:rsid w:val="00554660"/>
    <w:rsid w:val="00554692"/>
    <w:rsid w:val="005547A1"/>
    <w:rsid w:val="005549F2"/>
    <w:rsid w:val="00554A3F"/>
    <w:rsid w:val="00554CB0"/>
    <w:rsid w:val="0055509B"/>
    <w:rsid w:val="00555428"/>
    <w:rsid w:val="005555F8"/>
    <w:rsid w:val="0055564E"/>
    <w:rsid w:val="005556B1"/>
    <w:rsid w:val="00555708"/>
    <w:rsid w:val="00555909"/>
    <w:rsid w:val="0055593C"/>
    <w:rsid w:val="00555969"/>
    <w:rsid w:val="00555B38"/>
    <w:rsid w:val="00555F0E"/>
    <w:rsid w:val="00555F4D"/>
    <w:rsid w:val="00556015"/>
    <w:rsid w:val="005562F9"/>
    <w:rsid w:val="005565A8"/>
    <w:rsid w:val="00556853"/>
    <w:rsid w:val="005568E4"/>
    <w:rsid w:val="00556982"/>
    <w:rsid w:val="00556B84"/>
    <w:rsid w:val="00556DC3"/>
    <w:rsid w:val="00556E96"/>
    <w:rsid w:val="00556F25"/>
    <w:rsid w:val="00556F78"/>
    <w:rsid w:val="00557081"/>
    <w:rsid w:val="00557246"/>
    <w:rsid w:val="00557463"/>
    <w:rsid w:val="00557468"/>
    <w:rsid w:val="00557557"/>
    <w:rsid w:val="005575C3"/>
    <w:rsid w:val="0055798A"/>
    <w:rsid w:val="00557BF8"/>
    <w:rsid w:val="00557C1C"/>
    <w:rsid w:val="00557E6F"/>
    <w:rsid w:val="00557F2B"/>
    <w:rsid w:val="00560090"/>
    <w:rsid w:val="00560098"/>
    <w:rsid w:val="005600FF"/>
    <w:rsid w:val="00560632"/>
    <w:rsid w:val="00560795"/>
    <w:rsid w:val="00560940"/>
    <w:rsid w:val="00560966"/>
    <w:rsid w:val="00560B80"/>
    <w:rsid w:val="00560C19"/>
    <w:rsid w:val="00560C8E"/>
    <w:rsid w:val="0056116D"/>
    <w:rsid w:val="005612D8"/>
    <w:rsid w:val="005613FB"/>
    <w:rsid w:val="005614B3"/>
    <w:rsid w:val="0056152C"/>
    <w:rsid w:val="0056155D"/>
    <w:rsid w:val="00561593"/>
    <w:rsid w:val="005615BA"/>
    <w:rsid w:val="0056164F"/>
    <w:rsid w:val="00561786"/>
    <w:rsid w:val="00561A5F"/>
    <w:rsid w:val="00561B07"/>
    <w:rsid w:val="00561CE8"/>
    <w:rsid w:val="00562074"/>
    <w:rsid w:val="00562135"/>
    <w:rsid w:val="00562223"/>
    <w:rsid w:val="005625DC"/>
    <w:rsid w:val="005627CC"/>
    <w:rsid w:val="00562C82"/>
    <w:rsid w:val="00562D8A"/>
    <w:rsid w:val="00562D8D"/>
    <w:rsid w:val="00562E9A"/>
    <w:rsid w:val="005630C1"/>
    <w:rsid w:val="00563149"/>
    <w:rsid w:val="0056363D"/>
    <w:rsid w:val="005636D0"/>
    <w:rsid w:val="005636FC"/>
    <w:rsid w:val="005638CF"/>
    <w:rsid w:val="00563AAA"/>
    <w:rsid w:val="00563B2C"/>
    <w:rsid w:val="00563D2E"/>
    <w:rsid w:val="00563E50"/>
    <w:rsid w:val="00564011"/>
    <w:rsid w:val="00564409"/>
    <w:rsid w:val="0056490F"/>
    <w:rsid w:val="005649A8"/>
    <w:rsid w:val="005649BB"/>
    <w:rsid w:val="00564A77"/>
    <w:rsid w:val="00564D85"/>
    <w:rsid w:val="00565086"/>
    <w:rsid w:val="00565134"/>
    <w:rsid w:val="0056530F"/>
    <w:rsid w:val="005658EA"/>
    <w:rsid w:val="00565A32"/>
    <w:rsid w:val="00565BFE"/>
    <w:rsid w:val="00565EF0"/>
    <w:rsid w:val="00566039"/>
    <w:rsid w:val="005660C9"/>
    <w:rsid w:val="00566162"/>
    <w:rsid w:val="00566535"/>
    <w:rsid w:val="00566830"/>
    <w:rsid w:val="0056691A"/>
    <w:rsid w:val="00566954"/>
    <w:rsid w:val="005669DD"/>
    <w:rsid w:val="00566ED2"/>
    <w:rsid w:val="0056717B"/>
    <w:rsid w:val="005671A6"/>
    <w:rsid w:val="005671AD"/>
    <w:rsid w:val="0056726F"/>
    <w:rsid w:val="005672B6"/>
    <w:rsid w:val="005672E7"/>
    <w:rsid w:val="00567492"/>
    <w:rsid w:val="00567533"/>
    <w:rsid w:val="00567963"/>
    <w:rsid w:val="005679AF"/>
    <w:rsid w:val="00567A33"/>
    <w:rsid w:val="00567CE9"/>
    <w:rsid w:val="00567EC5"/>
    <w:rsid w:val="00567F28"/>
    <w:rsid w:val="00570044"/>
    <w:rsid w:val="00570120"/>
    <w:rsid w:val="00570128"/>
    <w:rsid w:val="005701C2"/>
    <w:rsid w:val="005701E5"/>
    <w:rsid w:val="005704D2"/>
    <w:rsid w:val="00570682"/>
    <w:rsid w:val="00570B97"/>
    <w:rsid w:val="00570D17"/>
    <w:rsid w:val="00570EF2"/>
    <w:rsid w:val="00571086"/>
    <w:rsid w:val="00571146"/>
    <w:rsid w:val="00571235"/>
    <w:rsid w:val="005712C5"/>
    <w:rsid w:val="005718F5"/>
    <w:rsid w:val="00571A51"/>
    <w:rsid w:val="00571ABD"/>
    <w:rsid w:val="00571F27"/>
    <w:rsid w:val="005720B7"/>
    <w:rsid w:val="0057222D"/>
    <w:rsid w:val="005722C2"/>
    <w:rsid w:val="005722C4"/>
    <w:rsid w:val="0057245B"/>
    <w:rsid w:val="005725B9"/>
    <w:rsid w:val="005726FD"/>
    <w:rsid w:val="00572827"/>
    <w:rsid w:val="005728A2"/>
    <w:rsid w:val="00572A8A"/>
    <w:rsid w:val="00572DFD"/>
    <w:rsid w:val="00572E4A"/>
    <w:rsid w:val="00572F54"/>
    <w:rsid w:val="00572F99"/>
    <w:rsid w:val="00573106"/>
    <w:rsid w:val="005731AF"/>
    <w:rsid w:val="00573753"/>
    <w:rsid w:val="00573813"/>
    <w:rsid w:val="005738EF"/>
    <w:rsid w:val="00573D20"/>
    <w:rsid w:val="00573D23"/>
    <w:rsid w:val="00574124"/>
    <w:rsid w:val="005741A5"/>
    <w:rsid w:val="00574219"/>
    <w:rsid w:val="0057441C"/>
    <w:rsid w:val="00574446"/>
    <w:rsid w:val="00574477"/>
    <w:rsid w:val="00574728"/>
    <w:rsid w:val="00574923"/>
    <w:rsid w:val="00574936"/>
    <w:rsid w:val="00574DC7"/>
    <w:rsid w:val="00574E4C"/>
    <w:rsid w:val="00574EE3"/>
    <w:rsid w:val="00575005"/>
    <w:rsid w:val="00575313"/>
    <w:rsid w:val="005753AA"/>
    <w:rsid w:val="00575430"/>
    <w:rsid w:val="005754E4"/>
    <w:rsid w:val="005754E6"/>
    <w:rsid w:val="00575546"/>
    <w:rsid w:val="00575605"/>
    <w:rsid w:val="0057560D"/>
    <w:rsid w:val="0057577A"/>
    <w:rsid w:val="005757D5"/>
    <w:rsid w:val="005757D8"/>
    <w:rsid w:val="005758D2"/>
    <w:rsid w:val="00575965"/>
    <w:rsid w:val="00575AD8"/>
    <w:rsid w:val="00575B00"/>
    <w:rsid w:val="00575C1C"/>
    <w:rsid w:val="00575CA3"/>
    <w:rsid w:val="00576657"/>
    <w:rsid w:val="00576827"/>
    <w:rsid w:val="005769A4"/>
    <w:rsid w:val="00576A02"/>
    <w:rsid w:val="00576A79"/>
    <w:rsid w:val="00576AAF"/>
    <w:rsid w:val="00576E56"/>
    <w:rsid w:val="00576E89"/>
    <w:rsid w:val="0057714A"/>
    <w:rsid w:val="0057716B"/>
    <w:rsid w:val="00577335"/>
    <w:rsid w:val="005774FB"/>
    <w:rsid w:val="00577603"/>
    <w:rsid w:val="005776C2"/>
    <w:rsid w:val="005776DE"/>
    <w:rsid w:val="00577779"/>
    <w:rsid w:val="0057793D"/>
    <w:rsid w:val="00577A5B"/>
    <w:rsid w:val="00577A7B"/>
    <w:rsid w:val="00577A9D"/>
    <w:rsid w:val="00577AFA"/>
    <w:rsid w:val="00577CDD"/>
    <w:rsid w:val="00577D24"/>
    <w:rsid w:val="00577ECA"/>
    <w:rsid w:val="00577FB2"/>
    <w:rsid w:val="0058013E"/>
    <w:rsid w:val="005804ED"/>
    <w:rsid w:val="00580603"/>
    <w:rsid w:val="00580B53"/>
    <w:rsid w:val="00580B9F"/>
    <w:rsid w:val="00580C98"/>
    <w:rsid w:val="00580FDE"/>
    <w:rsid w:val="00581056"/>
    <w:rsid w:val="00581271"/>
    <w:rsid w:val="005812B2"/>
    <w:rsid w:val="00581329"/>
    <w:rsid w:val="00581363"/>
    <w:rsid w:val="00581421"/>
    <w:rsid w:val="0058159C"/>
    <w:rsid w:val="00581775"/>
    <w:rsid w:val="005818D7"/>
    <w:rsid w:val="005818EF"/>
    <w:rsid w:val="0058212F"/>
    <w:rsid w:val="00582576"/>
    <w:rsid w:val="0058259C"/>
    <w:rsid w:val="005825DE"/>
    <w:rsid w:val="00582639"/>
    <w:rsid w:val="005826B6"/>
    <w:rsid w:val="00582829"/>
    <w:rsid w:val="005829F0"/>
    <w:rsid w:val="00582C36"/>
    <w:rsid w:val="00582C8E"/>
    <w:rsid w:val="00582DE2"/>
    <w:rsid w:val="00582FD7"/>
    <w:rsid w:val="005831AC"/>
    <w:rsid w:val="00583413"/>
    <w:rsid w:val="00583621"/>
    <w:rsid w:val="00583697"/>
    <w:rsid w:val="00583748"/>
    <w:rsid w:val="00583A9C"/>
    <w:rsid w:val="00583ED6"/>
    <w:rsid w:val="00583ED9"/>
    <w:rsid w:val="00583F99"/>
    <w:rsid w:val="00584068"/>
    <w:rsid w:val="005840E9"/>
    <w:rsid w:val="005841A3"/>
    <w:rsid w:val="005841CE"/>
    <w:rsid w:val="0058437F"/>
    <w:rsid w:val="0058439D"/>
    <w:rsid w:val="00584514"/>
    <w:rsid w:val="00584591"/>
    <w:rsid w:val="005846AF"/>
    <w:rsid w:val="0058489F"/>
    <w:rsid w:val="005848AC"/>
    <w:rsid w:val="00584C17"/>
    <w:rsid w:val="00584CFE"/>
    <w:rsid w:val="00584EB6"/>
    <w:rsid w:val="0058505C"/>
    <w:rsid w:val="005850D9"/>
    <w:rsid w:val="005850DB"/>
    <w:rsid w:val="005851D0"/>
    <w:rsid w:val="00585240"/>
    <w:rsid w:val="005852DE"/>
    <w:rsid w:val="00585632"/>
    <w:rsid w:val="0058585A"/>
    <w:rsid w:val="00585962"/>
    <w:rsid w:val="00585A2F"/>
    <w:rsid w:val="00585C3A"/>
    <w:rsid w:val="00585E31"/>
    <w:rsid w:val="00585E8E"/>
    <w:rsid w:val="00585F52"/>
    <w:rsid w:val="00585FA2"/>
    <w:rsid w:val="00585FB7"/>
    <w:rsid w:val="005860E3"/>
    <w:rsid w:val="00586179"/>
    <w:rsid w:val="0058624F"/>
    <w:rsid w:val="00586299"/>
    <w:rsid w:val="005864AE"/>
    <w:rsid w:val="0058677E"/>
    <w:rsid w:val="00586822"/>
    <w:rsid w:val="005868B9"/>
    <w:rsid w:val="00586B66"/>
    <w:rsid w:val="00586C09"/>
    <w:rsid w:val="00586D7A"/>
    <w:rsid w:val="00586DAA"/>
    <w:rsid w:val="00586DF2"/>
    <w:rsid w:val="00586FFE"/>
    <w:rsid w:val="00587003"/>
    <w:rsid w:val="00587037"/>
    <w:rsid w:val="005870BE"/>
    <w:rsid w:val="005871DE"/>
    <w:rsid w:val="0058723F"/>
    <w:rsid w:val="005872C6"/>
    <w:rsid w:val="0058732A"/>
    <w:rsid w:val="005875B7"/>
    <w:rsid w:val="00587696"/>
    <w:rsid w:val="00587A92"/>
    <w:rsid w:val="00587CF0"/>
    <w:rsid w:val="00587D8F"/>
    <w:rsid w:val="00590202"/>
    <w:rsid w:val="00590356"/>
    <w:rsid w:val="005904CF"/>
    <w:rsid w:val="005906AB"/>
    <w:rsid w:val="00590722"/>
    <w:rsid w:val="0059079B"/>
    <w:rsid w:val="00590D1C"/>
    <w:rsid w:val="00590EDF"/>
    <w:rsid w:val="00590F2B"/>
    <w:rsid w:val="0059102B"/>
    <w:rsid w:val="00591102"/>
    <w:rsid w:val="005913DF"/>
    <w:rsid w:val="005913FE"/>
    <w:rsid w:val="005918E4"/>
    <w:rsid w:val="00591A1E"/>
    <w:rsid w:val="00591A35"/>
    <w:rsid w:val="00591BAA"/>
    <w:rsid w:val="00591D60"/>
    <w:rsid w:val="00591E61"/>
    <w:rsid w:val="00591F26"/>
    <w:rsid w:val="00591F61"/>
    <w:rsid w:val="005920FB"/>
    <w:rsid w:val="00592896"/>
    <w:rsid w:val="005928C6"/>
    <w:rsid w:val="005928EA"/>
    <w:rsid w:val="00592927"/>
    <w:rsid w:val="00592BC5"/>
    <w:rsid w:val="00592EC6"/>
    <w:rsid w:val="005931BA"/>
    <w:rsid w:val="00593249"/>
    <w:rsid w:val="005935D8"/>
    <w:rsid w:val="005935DF"/>
    <w:rsid w:val="0059360F"/>
    <w:rsid w:val="005936EB"/>
    <w:rsid w:val="0059375F"/>
    <w:rsid w:val="0059379D"/>
    <w:rsid w:val="005937CF"/>
    <w:rsid w:val="0059381D"/>
    <w:rsid w:val="005939A8"/>
    <w:rsid w:val="00593A77"/>
    <w:rsid w:val="00593B1E"/>
    <w:rsid w:val="00593EA7"/>
    <w:rsid w:val="00593F2C"/>
    <w:rsid w:val="005940DD"/>
    <w:rsid w:val="00594130"/>
    <w:rsid w:val="005942BF"/>
    <w:rsid w:val="00594407"/>
    <w:rsid w:val="005946ED"/>
    <w:rsid w:val="00594712"/>
    <w:rsid w:val="00594788"/>
    <w:rsid w:val="00594B13"/>
    <w:rsid w:val="00594DE6"/>
    <w:rsid w:val="00594F52"/>
    <w:rsid w:val="00594F7C"/>
    <w:rsid w:val="00595125"/>
    <w:rsid w:val="005953B1"/>
    <w:rsid w:val="00595470"/>
    <w:rsid w:val="00595561"/>
    <w:rsid w:val="005955FD"/>
    <w:rsid w:val="005959D8"/>
    <w:rsid w:val="00595A54"/>
    <w:rsid w:val="00595AD4"/>
    <w:rsid w:val="00595AD5"/>
    <w:rsid w:val="00595F3D"/>
    <w:rsid w:val="00595F7E"/>
    <w:rsid w:val="00596002"/>
    <w:rsid w:val="0059604C"/>
    <w:rsid w:val="00596272"/>
    <w:rsid w:val="00596390"/>
    <w:rsid w:val="005964D3"/>
    <w:rsid w:val="00596506"/>
    <w:rsid w:val="0059650D"/>
    <w:rsid w:val="005966C1"/>
    <w:rsid w:val="005966D1"/>
    <w:rsid w:val="005967CD"/>
    <w:rsid w:val="005967D4"/>
    <w:rsid w:val="00596867"/>
    <w:rsid w:val="005968D8"/>
    <w:rsid w:val="00596F18"/>
    <w:rsid w:val="00597394"/>
    <w:rsid w:val="005973D3"/>
    <w:rsid w:val="00597423"/>
    <w:rsid w:val="00597480"/>
    <w:rsid w:val="00597481"/>
    <w:rsid w:val="0059789F"/>
    <w:rsid w:val="00597ADB"/>
    <w:rsid w:val="00597C70"/>
    <w:rsid w:val="00597E0C"/>
    <w:rsid w:val="00597E38"/>
    <w:rsid w:val="005A0051"/>
    <w:rsid w:val="005A0133"/>
    <w:rsid w:val="005A02FE"/>
    <w:rsid w:val="005A0349"/>
    <w:rsid w:val="005A0453"/>
    <w:rsid w:val="005A05CA"/>
    <w:rsid w:val="005A0711"/>
    <w:rsid w:val="005A0A05"/>
    <w:rsid w:val="005A0AAB"/>
    <w:rsid w:val="005A0AC8"/>
    <w:rsid w:val="005A0C49"/>
    <w:rsid w:val="005A0DAE"/>
    <w:rsid w:val="005A0E9D"/>
    <w:rsid w:val="005A10C3"/>
    <w:rsid w:val="005A10CD"/>
    <w:rsid w:val="005A13F9"/>
    <w:rsid w:val="005A14D8"/>
    <w:rsid w:val="005A160F"/>
    <w:rsid w:val="005A16D3"/>
    <w:rsid w:val="005A17EE"/>
    <w:rsid w:val="005A193C"/>
    <w:rsid w:val="005A1B56"/>
    <w:rsid w:val="005A2449"/>
    <w:rsid w:val="005A251C"/>
    <w:rsid w:val="005A2599"/>
    <w:rsid w:val="005A2838"/>
    <w:rsid w:val="005A2AFC"/>
    <w:rsid w:val="005A2C50"/>
    <w:rsid w:val="005A2C7B"/>
    <w:rsid w:val="005A2D82"/>
    <w:rsid w:val="005A2E7E"/>
    <w:rsid w:val="005A32A6"/>
    <w:rsid w:val="005A357A"/>
    <w:rsid w:val="005A3640"/>
    <w:rsid w:val="005A37D6"/>
    <w:rsid w:val="005A3C8A"/>
    <w:rsid w:val="005A3D47"/>
    <w:rsid w:val="005A3E4D"/>
    <w:rsid w:val="005A3ECB"/>
    <w:rsid w:val="005A4020"/>
    <w:rsid w:val="005A43AF"/>
    <w:rsid w:val="005A4513"/>
    <w:rsid w:val="005A4537"/>
    <w:rsid w:val="005A4552"/>
    <w:rsid w:val="005A4867"/>
    <w:rsid w:val="005A4BAC"/>
    <w:rsid w:val="005A4BB8"/>
    <w:rsid w:val="005A4D34"/>
    <w:rsid w:val="005A4E03"/>
    <w:rsid w:val="005A4ED3"/>
    <w:rsid w:val="005A4EF4"/>
    <w:rsid w:val="005A4F7F"/>
    <w:rsid w:val="005A51E2"/>
    <w:rsid w:val="005A525B"/>
    <w:rsid w:val="005A53E3"/>
    <w:rsid w:val="005A58D8"/>
    <w:rsid w:val="005A593F"/>
    <w:rsid w:val="005A5D34"/>
    <w:rsid w:val="005A5EEF"/>
    <w:rsid w:val="005A62C2"/>
    <w:rsid w:val="005A62EC"/>
    <w:rsid w:val="005A6318"/>
    <w:rsid w:val="005A6357"/>
    <w:rsid w:val="005A652A"/>
    <w:rsid w:val="005A6575"/>
    <w:rsid w:val="005A6927"/>
    <w:rsid w:val="005A6A8E"/>
    <w:rsid w:val="005A6C62"/>
    <w:rsid w:val="005A71F5"/>
    <w:rsid w:val="005A73F9"/>
    <w:rsid w:val="005A73FD"/>
    <w:rsid w:val="005A74E8"/>
    <w:rsid w:val="005A764E"/>
    <w:rsid w:val="005A775F"/>
    <w:rsid w:val="005A781E"/>
    <w:rsid w:val="005A7A52"/>
    <w:rsid w:val="005A7A8C"/>
    <w:rsid w:val="005A7CF7"/>
    <w:rsid w:val="005A7F2F"/>
    <w:rsid w:val="005B0227"/>
    <w:rsid w:val="005B0359"/>
    <w:rsid w:val="005B047E"/>
    <w:rsid w:val="005B04F1"/>
    <w:rsid w:val="005B05AC"/>
    <w:rsid w:val="005B080E"/>
    <w:rsid w:val="005B087B"/>
    <w:rsid w:val="005B08B4"/>
    <w:rsid w:val="005B0AF4"/>
    <w:rsid w:val="005B0B58"/>
    <w:rsid w:val="005B0C97"/>
    <w:rsid w:val="005B0D4C"/>
    <w:rsid w:val="005B1043"/>
    <w:rsid w:val="005B11F7"/>
    <w:rsid w:val="005B130D"/>
    <w:rsid w:val="005B1458"/>
    <w:rsid w:val="005B14AD"/>
    <w:rsid w:val="005B1798"/>
    <w:rsid w:val="005B1859"/>
    <w:rsid w:val="005B1912"/>
    <w:rsid w:val="005B1C83"/>
    <w:rsid w:val="005B2088"/>
    <w:rsid w:val="005B2144"/>
    <w:rsid w:val="005B21CE"/>
    <w:rsid w:val="005B21E9"/>
    <w:rsid w:val="005B21F2"/>
    <w:rsid w:val="005B225B"/>
    <w:rsid w:val="005B2303"/>
    <w:rsid w:val="005B2370"/>
    <w:rsid w:val="005B2419"/>
    <w:rsid w:val="005B25E4"/>
    <w:rsid w:val="005B2809"/>
    <w:rsid w:val="005B293F"/>
    <w:rsid w:val="005B29CD"/>
    <w:rsid w:val="005B2BC3"/>
    <w:rsid w:val="005B2BC6"/>
    <w:rsid w:val="005B2EC0"/>
    <w:rsid w:val="005B3090"/>
    <w:rsid w:val="005B30D7"/>
    <w:rsid w:val="005B30F0"/>
    <w:rsid w:val="005B335D"/>
    <w:rsid w:val="005B33D7"/>
    <w:rsid w:val="005B341B"/>
    <w:rsid w:val="005B343E"/>
    <w:rsid w:val="005B35BF"/>
    <w:rsid w:val="005B3638"/>
    <w:rsid w:val="005B3762"/>
    <w:rsid w:val="005B3775"/>
    <w:rsid w:val="005B3817"/>
    <w:rsid w:val="005B384D"/>
    <w:rsid w:val="005B38DA"/>
    <w:rsid w:val="005B3A12"/>
    <w:rsid w:val="005B3E6F"/>
    <w:rsid w:val="005B408B"/>
    <w:rsid w:val="005B40CE"/>
    <w:rsid w:val="005B432D"/>
    <w:rsid w:val="005B4349"/>
    <w:rsid w:val="005B44E3"/>
    <w:rsid w:val="005B4532"/>
    <w:rsid w:val="005B4583"/>
    <w:rsid w:val="005B45B7"/>
    <w:rsid w:val="005B47B6"/>
    <w:rsid w:val="005B49C3"/>
    <w:rsid w:val="005B49F8"/>
    <w:rsid w:val="005B4AC1"/>
    <w:rsid w:val="005B4BB1"/>
    <w:rsid w:val="005B4C24"/>
    <w:rsid w:val="005B4CB1"/>
    <w:rsid w:val="005B4DEE"/>
    <w:rsid w:val="005B4DFF"/>
    <w:rsid w:val="005B5002"/>
    <w:rsid w:val="005B52F3"/>
    <w:rsid w:val="005B5345"/>
    <w:rsid w:val="005B5473"/>
    <w:rsid w:val="005B55C1"/>
    <w:rsid w:val="005B59DB"/>
    <w:rsid w:val="005B5A22"/>
    <w:rsid w:val="005B5B57"/>
    <w:rsid w:val="005B5CDB"/>
    <w:rsid w:val="005B5D66"/>
    <w:rsid w:val="005B5E5C"/>
    <w:rsid w:val="005B61F2"/>
    <w:rsid w:val="005B6301"/>
    <w:rsid w:val="005B64C6"/>
    <w:rsid w:val="005B651B"/>
    <w:rsid w:val="005B663B"/>
    <w:rsid w:val="005B66FF"/>
    <w:rsid w:val="005B6937"/>
    <w:rsid w:val="005B6B14"/>
    <w:rsid w:val="005B6D10"/>
    <w:rsid w:val="005B6F65"/>
    <w:rsid w:val="005B70C6"/>
    <w:rsid w:val="005B7108"/>
    <w:rsid w:val="005B720C"/>
    <w:rsid w:val="005B72D4"/>
    <w:rsid w:val="005B7434"/>
    <w:rsid w:val="005B7553"/>
    <w:rsid w:val="005B762A"/>
    <w:rsid w:val="005B76B7"/>
    <w:rsid w:val="005B7C05"/>
    <w:rsid w:val="005B7D9B"/>
    <w:rsid w:val="005C0045"/>
    <w:rsid w:val="005C01A8"/>
    <w:rsid w:val="005C0365"/>
    <w:rsid w:val="005C04BB"/>
    <w:rsid w:val="005C04DC"/>
    <w:rsid w:val="005C0667"/>
    <w:rsid w:val="005C090C"/>
    <w:rsid w:val="005C09FE"/>
    <w:rsid w:val="005C0A4C"/>
    <w:rsid w:val="005C0BBA"/>
    <w:rsid w:val="005C0BEB"/>
    <w:rsid w:val="005C0D25"/>
    <w:rsid w:val="005C0E1B"/>
    <w:rsid w:val="005C0ECA"/>
    <w:rsid w:val="005C106E"/>
    <w:rsid w:val="005C11AB"/>
    <w:rsid w:val="005C1376"/>
    <w:rsid w:val="005C14CA"/>
    <w:rsid w:val="005C1523"/>
    <w:rsid w:val="005C1628"/>
    <w:rsid w:val="005C1681"/>
    <w:rsid w:val="005C183F"/>
    <w:rsid w:val="005C1A72"/>
    <w:rsid w:val="005C1A89"/>
    <w:rsid w:val="005C1CDC"/>
    <w:rsid w:val="005C20BC"/>
    <w:rsid w:val="005C22AE"/>
    <w:rsid w:val="005C231F"/>
    <w:rsid w:val="005C24C4"/>
    <w:rsid w:val="005C262D"/>
    <w:rsid w:val="005C266A"/>
    <w:rsid w:val="005C2799"/>
    <w:rsid w:val="005C2926"/>
    <w:rsid w:val="005C2EA0"/>
    <w:rsid w:val="005C2FC0"/>
    <w:rsid w:val="005C34CD"/>
    <w:rsid w:val="005C3534"/>
    <w:rsid w:val="005C37C3"/>
    <w:rsid w:val="005C3853"/>
    <w:rsid w:val="005C39A0"/>
    <w:rsid w:val="005C3A1A"/>
    <w:rsid w:val="005C3C46"/>
    <w:rsid w:val="005C3DC7"/>
    <w:rsid w:val="005C3F06"/>
    <w:rsid w:val="005C43B7"/>
    <w:rsid w:val="005C43F1"/>
    <w:rsid w:val="005C4424"/>
    <w:rsid w:val="005C44F4"/>
    <w:rsid w:val="005C459C"/>
    <w:rsid w:val="005C471F"/>
    <w:rsid w:val="005C47A5"/>
    <w:rsid w:val="005C47AB"/>
    <w:rsid w:val="005C47B2"/>
    <w:rsid w:val="005C48EA"/>
    <w:rsid w:val="005C4A67"/>
    <w:rsid w:val="005C4B4E"/>
    <w:rsid w:val="005C4E18"/>
    <w:rsid w:val="005C4E83"/>
    <w:rsid w:val="005C4ED7"/>
    <w:rsid w:val="005C4F0E"/>
    <w:rsid w:val="005C4F40"/>
    <w:rsid w:val="005C4F93"/>
    <w:rsid w:val="005C5070"/>
    <w:rsid w:val="005C5071"/>
    <w:rsid w:val="005C5150"/>
    <w:rsid w:val="005C518F"/>
    <w:rsid w:val="005C5267"/>
    <w:rsid w:val="005C52A4"/>
    <w:rsid w:val="005C53C5"/>
    <w:rsid w:val="005C579D"/>
    <w:rsid w:val="005C57DF"/>
    <w:rsid w:val="005C5AD5"/>
    <w:rsid w:val="005C5D07"/>
    <w:rsid w:val="005C5D2B"/>
    <w:rsid w:val="005C5D8D"/>
    <w:rsid w:val="005C6157"/>
    <w:rsid w:val="005C61AC"/>
    <w:rsid w:val="005C6569"/>
    <w:rsid w:val="005C657C"/>
    <w:rsid w:val="005C6771"/>
    <w:rsid w:val="005C6793"/>
    <w:rsid w:val="005C68AF"/>
    <w:rsid w:val="005C691E"/>
    <w:rsid w:val="005C6A67"/>
    <w:rsid w:val="005C6B43"/>
    <w:rsid w:val="005C6D0D"/>
    <w:rsid w:val="005C6D3F"/>
    <w:rsid w:val="005C6EC1"/>
    <w:rsid w:val="005C6F19"/>
    <w:rsid w:val="005C72CF"/>
    <w:rsid w:val="005C75DD"/>
    <w:rsid w:val="005C7654"/>
    <w:rsid w:val="005C78D1"/>
    <w:rsid w:val="005C7A6D"/>
    <w:rsid w:val="005C7FC7"/>
    <w:rsid w:val="005D0017"/>
    <w:rsid w:val="005D0074"/>
    <w:rsid w:val="005D01A4"/>
    <w:rsid w:val="005D02F6"/>
    <w:rsid w:val="005D07A2"/>
    <w:rsid w:val="005D0817"/>
    <w:rsid w:val="005D097C"/>
    <w:rsid w:val="005D099E"/>
    <w:rsid w:val="005D0B80"/>
    <w:rsid w:val="005D0EED"/>
    <w:rsid w:val="005D0FA3"/>
    <w:rsid w:val="005D1049"/>
    <w:rsid w:val="005D1314"/>
    <w:rsid w:val="005D149F"/>
    <w:rsid w:val="005D166B"/>
    <w:rsid w:val="005D1695"/>
    <w:rsid w:val="005D1756"/>
    <w:rsid w:val="005D17C9"/>
    <w:rsid w:val="005D18A5"/>
    <w:rsid w:val="005D1EAC"/>
    <w:rsid w:val="005D1F72"/>
    <w:rsid w:val="005D20F1"/>
    <w:rsid w:val="005D219A"/>
    <w:rsid w:val="005D21EB"/>
    <w:rsid w:val="005D231D"/>
    <w:rsid w:val="005D2410"/>
    <w:rsid w:val="005D265D"/>
    <w:rsid w:val="005D2662"/>
    <w:rsid w:val="005D2873"/>
    <w:rsid w:val="005D28F0"/>
    <w:rsid w:val="005D2952"/>
    <w:rsid w:val="005D2B6F"/>
    <w:rsid w:val="005D2C0A"/>
    <w:rsid w:val="005D2DAC"/>
    <w:rsid w:val="005D2DEA"/>
    <w:rsid w:val="005D2F92"/>
    <w:rsid w:val="005D3417"/>
    <w:rsid w:val="005D3C47"/>
    <w:rsid w:val="005D3E1D"/>
    <w:rsid w:val="005D418D"/>
    <w:rsid w:val="005D428C"/>
    <w:rsid w:val="005D433E"/>
    <w:rsid w:val="005D44C5"/>
    <w:rsid w:val="005D44F2"/>
    <w:rsid w:val="005D4508"/>
    <w:rsid w:val="005D454E"/>
    <w:rsid w:val="005D4606"/>
    <w:rsid w:val="005D46A3"/>
    <w:rsid w:val="005D4BF2"/>
    <w:rsid w:val="005D4C0E"/>
    <w:rsid w:val="005D4CFC"/>
    <w:rsid w:val="005D4DCB"/>
    <w:rsid w:val="005D4DED"/>
    <w:rsid w:val="005D4E53"/>
    <w:rsid w:val="005D54CC"/>
    <w:rsid w:val="005D5549"/>
    <w:rsid w:val="005D5552"/>
    <w:rsid w:val="005D5624"/>
    <w:rsid w:val="005D58E2"/>
    <w:rsid w:val="005D5938"/>
    <w:rsid w:val="005D596E"/>
    <w:rsid w:val="005D59D5"/>
    <w:rsid w:val="005D5C03"/>
    <w:rsid w:val="005D5C2D"/>
    <w:rsid w:val="005D60C7"/>
    <w:rsid w:val="005D60E2"/>
    <w:rsid w:val="005D62F8"/>
    <w:rsid w:val="005D635A"/>
    <w:rsid w:val="005D660F"/>
    <w:rsid w:val="005D6756"/>
    <w:rsid w:val="005D6961"/>
    <w:rsid w:val="005D7108"/>
    <w:rsid w:val="005D746A"/>
    <w:rsid w:val="005D74E1"/>
    <w:rsid w:val="005D787C"/>
    <w:rsid w:val="005D7981"/>
    <w:rsid w:val="005D7D52"/>
    <w:rsid w:val="005D7EA3"/>
    <w:rsid w:val="005D7F7D"/>
    <w:rsid w:val="005E0203"/>
    <w:rsid w:val="005E026D"/>
    <w:rsid w:val="005E04D7"/>
    <w:rsid w:val="005E04E9"/>
    <w:rsid w:val="005E09D0"/>
    <w:rsid w:val="005E09FF"/>
    <w:rsid w:val="005E0A31"/>
    <w:rsid w:val="005E0EFA"/>
    <w:rsid w:val="005E105A"/>
    <w:rsid w:val="005E1076"/>
    <w:rsid w:val="005E1165"/>
    <w:rsid w:val="005E117C"/>
    <w:rsid w:val="005E11D5"/>
    <w:rsid w:val="005E1258"/>
    <w:rsid w:val="005E13AD"/>
    <w:rsid w:val="005E153C"/>
    <w:rsid w:val="005E17EB"/>
    <w:rsid w:val="005E18AB"/>
    <w:rsid w:val="005E19AE"/>
    <w:rsid w:val="005E1A6C"/>
    <w:rsid w:val="005E1D7C"/>
    <w:rsid w:val="005E1EB0"/>
    <w:rsid w:val="005E20AD"/>
    <w:rsid w:val="005E215A"/>
    <w:rsid w:val="005E2172"/>
    <w:rsid w:val="005E21F5"/>
    <w:rsid w:val="005E21FE"/>
    <w:rsid w:val="005E2549"/>
    <w:rsid w:val="005E2597"/>
    <w:rsid w:val="005E27ED"/>
    <w:rsid w:val="005E29A4"/>
    <w:rsid w:val="005E29C5"/>
    <w:rsid w:val="005E2B36"/>
    <w:rsid w:val="005E2BBE"/>
    <w:rsid w:val="005E2D91"/>
    <w:rsid w:val="005E2DD2"/>
    <w:rsid w:val="005E2E0B"/>
    <w:rsid w:val="005E3275"/>
    <w:rsid w:val="005E358D"/>
    <w:rsid w:val="005E35B2"/>
    <w:rsid w:val="005E3787"/>
    <w:rsid w:val="005E398D"/>
    <w:rsid w:val="005E3AFA"/>
    <w:rsid w:val="005E3D0C"/>
    <w:rsid w:val="005E3D1D"/>
    <w:rsid w:val="005E3DC2"/>
    <w:rsid w:val="005E3E03"/>
    <w:rsid w:val="005E3E17"/>
    <w:rsid w:val="005E4151"/>
    <w:rsid w:val="005E48A9"/>
    <w:rsid w:val="005E4AA6"/>
    <w:rsid w:val="005E4BC2"/>
    <w:rsid w:val="005E52D5"/>
    <w:rsid w:val="005E5399"/>
    <w:rsid w:val="005E5494"/>
    <w:rsid w:val="005E57CD"/>
    <w:rsid w:val="005E5A10"/>
    <w:rsid w:val="005E5A8F"/>
    <w:rsid w:val="005E5CAC"/>
    <w:rsid w:val="005E5DD0"/>
    <w:rsid w:val="005E6068"/>
    <w:rsid w:val="005E6076"/>
    <w:rsid w:val="005E6078"/>
    <w:rsid w:val="005E6147"/>
    <w:rsid w:val="005E6237"/>
    <w:rsid w:val="005E648A"/>
    <w:rsid w:val="005E64B9"/>
    <w:rsid w:val="005E64FB"/>
    <w:rsid w:val="005E6BD4"/>
    <w:rsid w:val="005E6D48"/>
    <w:rsid w:val="005E6E0B"/>
    <w:rsid w:val="005E6E32"/>
    <w:rsid w:val="005E70D3"/>
    <w:rsid w:val="005E718E"/>
    <w:rsid w:val="005E72B8"/>
    <w:rsid w:val="005E788D"/>
    <w:rsid w:val="005E78DD"/>
    <w:rsid w:val="005E78F2"/>
    <w:rsid w:val="005E793C"/>
    <w:rsid w:val="005E7AA5"/>
    <w:rsid w:val="005E7E12"/>
    <w:rsid w:val="005E7E1D"/>
    <w:rsid w:val="005E7F4A"/>
    <w:rsid w:val="005E7F5E"/>
    <w:rsid w:val="005E7F84"/>
    <w:rsid w:val="005EA30E"/>
    <w:rsid w:val="005EC768"/>
    <w:rsid w:val="005F030F"/>
    <w:rsid w:val="005F0420"/>
    <w:rsid w:val="005F08A4"/>
    <w:rsid w:val="005F0B65"/>
    <w:rsid w:val="005F0CEB"/>
    <w:rsid w:val="005F0FD1"/>
    <w:rsid w:val="005F1363"/>
    <w:rsid w:val="005F14AA"/>
    <w:rsid w:val="005F16AA"/>
    <w:rsid w:val="005F16EB"/>
    <w:rsid w:val="005F17A5"/>
    <w:rsid w:val="005F18F1"/>
    <w:rsid w:val="005F1905"/>
    <w:rsid w:val="005F1CA8"/>
    <w:rsid w:val="005F1D43"/>
    <w:rsid w:val="005F1D4E"/>
    <w:rsid w:val="005F1E47"/>
    <w:rsid w:val="005F20D5"/>
    <w:rsid w:val="005F245B"/>
    <w:rsid w:val="005F2511"/>
    <w:rsid w:val="005F2537"/>
    <w:rsid w:val="005F287D"/>
    <w:rsid w:val="005F2B16"/>
    <w:rsid w:val="005F2C36"/>
    <w:rsid w:val="005F2E75"/>
    <w:rsid w:val="005F2FA9"/>
    <w:rsid w:val="005F2FB6"/>
    <w:rsid w:val="005F30DB"/>
    <w:rsid w:val="005F313C"/>
    <w:rsid w:val="005F330D"/>
    <w:rsid w:val="005F3316"/>
    <w:rsid w:val="005F3535"/>
    <w:rsid w:val="005F36F1"/>
    <w:rsid w:val="005F389D"/>
    <w:rsid w:val="005F3A05"/>
    <w:rsid w:val="005F401B"/>
    <w:rsid w:val="005F404B"/>
    <w:rsid w:val="005F409D"/>
    <w:rsid w:val="005F4138"/>
    <w:rsid w:val="005F4265"/>
    <w:rsid w:val="005F4280"/>
    <w:rsid w:val="005F42FD"/>
    <w:rsid w:val="005F44C4"/>
    <w:rsid w:val="005F4527"/>
    <w:rsid w:val="005F467F"/>
    <w:rsid w:val="005F46BE"/>
    <w:rsid w:val="005F46C4"/>
    <w:rsid w:val="005F4914"/>
    <w:rsid w:val="005F4A71"/>
    <w:rsid w:val="005F4D7B"/>
    <w:rsid w:val="005F4F3B"/>
    <w:rsid w:val="005F509B"/>
    <w:rsid w:val="005F5415"/>
    <w:rsid w:val="005F542D"/>
    <w:rsid w:val="005F54BD"/>
    <w:rsid w:val="005F56CF"/>
    <w:rsid w:val="005F578A"/>
    <w:rsid w:val="005F5845"/>
    <w:rsid w:val="005F5970"/>
    <w:rsid w:val="005F5A61"/>
    <w:rsid w:val="005F5ABF"/>
    <w:rsid w:val="005F5D27"/>
    <w:rsid w:val="005F5D88"/>
    <w:rsid w:val="005F5DAB"/>
    <w:rsid w:val="005F5DE6"/>
    <w:rsid w:val="005F6095"/>
    <w:rsid w:val="005F61A3"/>
    <w:rsid w:val="005F6351"/>
    <w:rsid w:val="005F647F"/>
    <w:rsid w:val="005F658F"/>
    <w:rsid w:val="005F66A2"/>
    <w:rsid w:val="005F66FA"/>
    <w:rsid w:val="005F6934"/>
    <w:rsid w:val="005F694F"/>
    <w:rsid w:val="005F6964"/>
    <w:rsid w:val="005F6BA4"/>
    <w:rsid w:val="005F6C8E"/>
    <w:rsid w:val="005F6E25"/>
    <w:rsid w:val="005F6E4F"/>
    <w:rsid w:val="005F6E53"/>
    <w:rsid w:val="005F6F08"/>
    <w:rsid w:val="005F6F97"/>
    <w:rsid w:val="005F716E"/>
    <w:rsid w:val="005F7282"/>
    <w:rsid w:val="005F7519"/>
    <w:rsid w:val="005F763B"/>
    <w:rsid w:val="005F77C7"/>
    <w:rsid w:val="005F7B8F"/>
    <w:rsid w:val="005F7F06"/>
    <w:rsid w:val="005F7F44"/>
    <w:rsid w:val="00600011"/>
    <w:rsid w:val="00600042"/>
    <w:rsid w:val="0060007E"/>
    <w:rsid w:val="00600615"/>
    <w:rsid w:val="00600916"/>
    <w:rsid w:val="00600AE2"/>
    <w:rsid w:val="00600B3E"/>
    <w:rsid w:val="00600B7D"/>
    <w:rsid w:val="006012DA"/>
    <w:rsid w:val="00601307"/>
    <w:rsid w:val="00601353"/>
    <w:rsid w:val="00601483"/>
    <w:rsid w:val="00601504"/>
    <w:rsid w:val="006015ED"/>
    <w:rsid w:val="006017B2"/>
    <w:rsid w:val="0060196A"/>
    <w:rsid w:val="00601CFD"/>
    <w:rsid w:val="0060234C"/>
    <w:rsid w:val="00602448"/>
    <w:rsid w:val="0060281D"/>
    <w:rsid w:val="0060293E"/>
    <w:rsid w:val="0060298B"/>
    <w:rsid w:val="00602A22"/>
    <w:rsid w:val="00602A97"/>
    <w:rsid w:val="00602C85"/>
    <w:rsid w:val="00602C94"/>
    <w:rsid w:val="00602CB6"/>
    <w:rsid w:val="00602D9D"/>
    <w:rsid w:val="00603055"/>
    <w:rsid w:val="00603199"/>
    <w:rsid w:val="006031C4"/>
    <w:rsid w:val="006031E6"/>
    <w:rsid w:val="00603273"/>
    <w:rsid w:val="00603742"/>
    <w:rsid w:val="006037D4"/>
    <w:rsid w:val="00603821"/>
    <w:rsid w:val="00603968"/>
    <w:rsid w:val="00603AD4"/>
    <w:rsid w:val="00603B8A"/>
    <w:rsid w:val="00603E01"/>
    <w:rsid w:val="00604177"/>
    <w:rsid w:val="00604189"/>
    <w:rsid w:val="00604242"/>
    <w:rsid w:val="006042BE"/>
    <w:rsid w:val="0060439C"/>
    <w:rsid w:val="006043CF"/>
    <w:rsid w:val="0060442A"/>
    <w:rsid w:val="00604457"/>
    <w:rsid w:val="0060461D"/>
    <w:rsid w:val="00604970"/>
    <w:rsid w:val="00604B93"/>
    <w:rsid w:val="00604F95"/>
    <w:rsid w:val="00604FC7"/>
    <w:rsid w:val="0060503B"/>
    <w:rsid w:val="0060503C"/>
    <w:rsid w:val="00605181"/>
    <w:rsid w:val="00605184"/>
    <w:rsid w:val="006051C1"/>
    <w:rsid w:val="006051CD"/>
    <w:rsid w:val="006051F6"/>
    <w:rsid w:val="006052BB"/>
    <w:rsid w:val="00605316"/>
    <w:rsid w:val="00605476"/>
    <w:rsid w:val="006054F0"/>
    <w:rsid w:val="00605521"/>
    <w:rsid w:val="00605530"/>
    <w:rsid w:val="00605600"/>
    <w:rsid w:val="006058F7"/>
    <w:rsid w:val="00605C6C"/>
    <w:rsid w:val="00605C79"/>
    <w:rsid w:val="00605DA6"/>
    <w:rsid w:val="00605E6E"/>
    <w:rsid w:val="00606001"/>
    <w:rsid w:val="00606010"/>
    <w:rsid w:val="006064F8"/>
    <w:rsid w:val="00606501"/>
    <w:rsid w:val="00606758"/>
    <w:rsid w:val="006069C0"/>
    <w:rsid w:val="00606A43"/>
    <w:rsid w:val="00606ACF"/>
    <w:rsid w:val="00606B89"/>
    <w:rsid w:val="00606C14"/>
    <w:rsid w:val="00606CAC"/>
    <w:rsid w:val="00606D19"/>
    <w:rsid w:val="00606D35"/>
    <w:rsid w:val="00606D8A"/>
    <w:rsid w:val="00606E7D"/>
    <w:rsid w:val="0060721A"/>
    <w:rsid w:val="0060732B"/>
    <w:rsid w:val="0060736C"/>
    <w:rsid w:val="006074BE"/>
    <w:rsid w:val="0060782D"/>
    <w:rsid w:val="00607856"/>
    <w:rsid w:val="006078BE"/>
    <w:rsid w:val="00607BAE"/>
    <w:rsid w:val="00607E43"/>
    <w:rsid w:val="00610276"/>
    <w:rsid w:val="006102FD"/>
    <w:rsid w:val="006104CF"/>
    <w:rsid w:val="0061051E"/>
    <w:rsid w:val="0061078A"/>
    <w:rsid w:val="006107FC"/>
    <w:rsid w:val="00610845"/>
    <w:rsid w:val="00610C78"/>
    <w:rsid w:val="00610CA1"/>
    <w:rsid w:val="00610E0C"/>
    <w:rsid w:val="00610E8D"/>
    <w:rsid w:val="00610E95"/>
    <w:rsid w:val="00610FE5"/>
    <w:rsid w:val="006110D0"/>
    <w:rsid w:val="00611144"/>
    <w:rsid w:val="0061149E"/>
    <w:rsid w:val="0061189A"/>
    <w:rsid w:val="00611972"/>
    <w:rsid w:val="00611A97"/>
    <w:rsid w:val="00611B3B"/>
    <w:rsid w:val="00611D17"/>
    <w:rsid w:val="00611D45"/>
    <w:rsid w:val="00611E38"/>
    <w:rsid w:val="00612102"/>
    <w:rsid w:val="00612446"/>
    <w:rsid w:val="00612517"/>
    <w:rsid w:val="00612525"/>
    <w:rsid w:val="00612717"/>
    <w:rsid w:val="0061271E"/>
    <w:rsid w:val="0061276D"/>
    <w:rsid w:val="006127B7"/>
    <w:rsid w:val="00612822"/>
    <w:rsid w:val="0061298D"/>
    <w:rsid w:val="00612A10"/>
    <w:rsid w:val="00612AA1"/>
    <w:rsid w:val="00612C15"/>
    <w:rsid w:val="00612C17"/>
    <w:rsid w:val="00612C20"/>
    <w:rsid w:val="00612E42"/>
    <w:rsid w:val="00613020"/>
    <w:rsid w:val="00613084"/>
    <w:rsid w:val="0061322F"/>
    <w:rsid w:val="00613338"/>
    <w:rsid w:val="00613598"/>
    <w:rsid w:val="006135EB"/>
    <w:rsid w:val="0061371F"/>
    <w:rsid w:val="00613733"/>
    <w:rsid w:val="006137F3"/>
    <w:rsid w:val="00613850"/>
    <w:rsid w:val="006138F5"/>
    <w:rsid w:val="00613948"/>
    <w:rsid w:val="00613949"/>
    <w:rsid w:val="006139D6"/>
    <w:rsid w:val="00613A21"/>
    <w:rsid w:val="00613D80"/>
    <w:rsid w:val="00613E24"/>
    <w:rsid w:val="00613EB5"/>
    <w:rsid w:val="00613F26"/>
    <w:rsid w:val="006141D7"/>
    <w:rsid w:val="006142F9"/>
    <w:rsid w:val="006143DC"/>
    <w:rsid w:val="0061447B"/>
    <w:rsid w:val="006144E0"/>
    <w:rsid w:val="00614566"/>
    <w:rsid w:val="00614603"/>
    <w:rsid w:val="00614606"/>
    <w:rsid w:val="006146B5"/>
    <w:rsid w:val="00614A78"/>
    <w:rsid w:val="00614D57"/>
    <w:rsid w:val="00614DC8"/>
    <w:rsid w:val="006150C7"/>
    <w:rsid w:val="006155B9"/>
    <w:rsid w:val="0061580F"/>
    <w:rsid w:val="0061582F"/>
    <w:rsid w:val="00615879"/>
    <w:rsid w:val="00615C0E"/>
    <w:rsid w:val="00615CF5"/>
    <w:rsid w:val="00615D76"/>
    <w:rsid w:val="00615DB5"/>
    <w:rsid w:val="00615DD2"/>
    <w:rsid w:val="00615F07"/>
    <w:rsid w:val="006160D4"/>
    <w:rsid w:val="0061629F"/>
    <w:rsid w:val="006164A2"/>
    <w:rsid w:val="0061651A"/>
    <w:rsid w:val="0061671B"/>
    <w:rsid w:val="00616BF0"/>
    <w:rsid w:val="00616C3E"/>
    <w:rsid w:val="00616CBB"/>
    <w:rsid w:val="00616EBE"/>
    <w:rsid w:val="0061703A"/>
    <w:rsid w:val="00617077"/>
    <w:rsid w:val="006171AE"/>
    <w:rsid w:val="0061730D"/>
    <w:rsid w:val="006173C3"/>
    <w:rsid w:val="006173D2"/>
    <w:rsid w:val="006174A7"/>
    <w:rsid w:val="0061751D"/>
    <w:rsid w:val="00617545"/>
    <w:rsid w:val="00617C53"/>
    <w:rsid w:val="00617D0B"/>
    <w:rsid w:val="00617D19"/>
    <w:rsid w:val="00617E90"/>
    <w:rsid w:val="00617EBA"/>
    <w:rsid w:val="00617F5E"/>
    <w:rsid w:val="006201BF"/>
    <w:rsid w:val="00620383"/>
    <w:rsid w:val="00620617"/>
    <w:rsid w:val="00620806"/>
    <w:rsid w:val="00620936"/>
    <w:rsid w:val="00620991"/>
    <w:rsid w:val="00620A19"/>
    <w:rsid w:val="00620AE1"/>
    <w:rsid w:val="00620CE5"/>
    <w:rsid w:val="00620EB8"/>
    <w:rsid w:val="00620F62"/>
    <w:rsid w:val="00621144"/>
    <w:rsid w:val="0062127B"/>
    <w:rsid w:val="006215A3"/>
    <w:rsid w:val="006216ED"/>
    <w:rsid w:val="0062171A"/>
    <w:rsid w:val="00621C6B"/>
    <w:rsid w:val="00621F9A"/>
    <w:rsid w:val="00621FD6"/>
    <w:rsid w:val="00622032"/>
    <w:rsid w:val="00622257"/>
    <w:rsid w:val="006223DD"/>
    <w:rsid w:val="00622447"/>
    <w:rsid w:val="006224CF"/>
    <w:rsid w:val="006225C8"/>
    <w:rsid w:val="00622788"/>
    <w:rsid w:val="006227B6"/>
    <w:rsid w:val="00622ABD"/>
    <w:rsid w:val="00622B4C"/>
    <w:rsid w:val="00622B9B"/>
    <w:rsid w:val="00622C16"/>
    <w:rsid w:val="00622E45"/>
    <w:rsid w:val="006234DB"/>
    <w:rsid w:val="006235B3"/>
    <w:rsid w:val="00623893"/>
    <w:rsid w:val="0062391C"/>
    <w:rsid w:val="00623BDC"/>
    <w:rsid w:val="00623C28"/>
    <w:rsid w:val="00624210"/>
    <w:rsid w:val="00624353"/>
    <w:rsid w:val="0062458C"/>
    <w:rsid w:val="0062474C"/>
    <w:rsid w:val="0062484E"/>
    <w:rsid w:val="006249A6"/>
    <w:rsid w:val="00624BF9"/>
    <w:rsid w:val="00624CDD"/>
    <w:rsid w:val="006251D2"/>
    <w:rsid w:val="0062520B"/>
    <w:rsid w:val="006258E3"/>
    <w:rsid w:val="00625D10"/>
    <w:rsid w:val="00625D2C"/>
    <w:rsid w:val="00625D3D"/>
    <w:rsid w:val="00625D3E"/>
    <w:rsid w:val="00625D63"/>
    <w:rsid w:val="00625F4F"/>
    <w:rsid w:val="00626091"/>
    <w:rsid w:val="00626195"/>
    <w:rsid w:val="0062645F"/>
    <w:rsid w:val="00626598"/>
    <w:rsid w:val="006265B6"/>
    <w:rsid w:val="00626930"/>
    <w:rsid w:val="00626983"/>
    <w:rsid w:val="00626989"/>
    <w:rsid w:val="006269CF"/>
    <w:rsid w:val="00626ACF"/>
    <w:rsid w:val="00626B7F"/>
    <w:rsid w:val="00626C22"/>
    <w:rsid w:val="00626C9B"/>
    <w:rsid w:val="00626DD3"/>
    <w:rsid w:val="00626F34"/>
    <w:rsid w:val="00626F45"/>
    <w:rsid w:val="00626FCA"/>
    <w:rsid w:val="00627061"/>
    <w:rsid w:val="006270DB"/>
    <w:rsid w:val="0062716D"/>
    <w:rsid w:val="0062738D"/>
    <w:rsid w:val="0062739D"/>
    <w:rsid w:val="006273AF"/>
    <w:rsid w:val="00627502"/>
    <w:rsid w:val="0062788E"/>
    <w:rsid w:val="006278EE"/>
    <w:rsid w:val="00627908"/>
    <w:rsid w:val="006279DC"/>
    <w:rsid w:val="00627C65"/>
    <w:rsid w:val="00627CC7"/>
    <w:rsid w:val="00627F34"/>
    <w:rsid w:val="00627FBE"/>
    <w:rsid w:val="00630080"/>
    <w:rsid w:val="00630096"/>
    <w:rsid w:val="00630286"/>
    <w:rsid w:val="00630422"/>
    <w:rsid w:val="006305F6"/>
    <w:rsid w:val="006306E0"/>
    <w:rsid w:val="006307F6"/>
    <w:rsid w:val="00630BEF"/>
    <w:rsid w:val="00630BF1"/>
    <w:rsid w:val="00630CC0"/>
    <w:rsid w:val="00630E4D"/>
    <w:rsid w:val="00630F9C"/>
    <w:rsid w:val="00631074"/>
    <w:rsid w:val="00631180"/>
    <w:rsid w:val="00631377"/>
    <w:rsid w:val="00631721"/>
    <w:rsid w:val="00631735"/>
    <w:rsid w:val="00631808"/>
    <w:rsid w:val="00631820"/>
    <w:rsid w:val="00631B73"/>
    <w:rsid w:val="00631C3C"/>
    <w:rsid w:val="00631D73"/>
    <w:rsid w:val="00631D79"/>
    <w:rsid w:val="0063219D"/>
    <w:rsid w:val="006321C8"/>
    <w:rsid w:val="006321FE"/>
    <w:rsid w:val="006323A0"/>
    <w:rsid w:val="006323B5"/>
    <w:rsid w:val="00632722"/>
    <w:rsid w:val="006327FE"/>
    <w:rsid w:val="006329CC"/>
    <w:rsid w:val="00632C59"/>
    <w:rsid w:val="00632D1F"/>
    <w:rsid w:val="00632F0A"/>
    <w:rsid w:val="0063324A"/>
    <w:rsid w:val="0063350B"/>
    <w:rsid w:val="00633713"/>
    <w:rsid w:val="00633768"/>
    <w:rsid w:val="00633850"/>
    <w:rsid w:val="00633904"/>
    <w:rsid w:val="00633A4A"/>
    <w:rsid w:val="00633A9A"/>
    <w:rsid w:val="00633C14"/>
    <w:rsid w:val="00633C1B"/>
    <w:rsid w:val="00633CF4"/>
    <w:rsid w:val="00633F0E"/>
    <w:rsid w:val="00634548"/>
    <w:rsid w:val="00634618"/>
    <w:rsid w:val="0063478E"/>
    <w:rsid w:val="00634906"/>
    <w:rsid w:val="006349D2"/>
    <w:rsid w:val="00634A26"/>
    <w:rsid w:val="00634CF9"/>
    <w:rsid w:val="00634F7D"/>
    <w:rsid w:val="00634F9C"/>
    <w:rsid w:val="006353CC"/>
    <w:rsid w:val="0063556D"/>
    <w:rsid w:val="00635A9E"/>
    <w:rsid w:val="00635B06"/>
    <w:rsid w:val="00635B58"/>
    <w:rsid w:val="00635D52"/>
    <w:rsid w:val="00635D7C"/>
    <w:rsid w:val="00635DA1"/>
    <w:rsid w:val="00635E56"/>
    <w:rsid w:val="0063611D"/>
    <w:rsid w:val="006361AA"/>
    <w:rsid w:val="0063635B"/>
    <w:rsid w:val="006364A7"/>
    <w:rsid w:val="0063655B"/>
    <w:rsid w:val="006366F2"/>
    <w:rsid w:val="00636710"/>
    <w:rsid w:val="006367AA"/>
    <w:rsid w:val="006367F4"/>
    <w:rsid w:val="00636802"/>
    <w:rsid w:val="0063687A"/>
    <w:rsid w:val="00636884"/>
    <w:rsid w:val="00636D90"/>
    <w:rsid w:val="00636E51"/>
    <w:rsid w:val="00636F1B"/>
    <w:rsid w:val="00636FC6"/>
    <w:rsid w:val="0063713E"/>
    <w:rsid w:val="00637208"/>
    <w:rsid w:val="00637511"/>
    <w:rsid w:val="006377AC"/>
    <w:rsid w:val="006378E8"/>
    <w:rsid w:val="00637DA4"/>
    <w:rsid w:val="00637DD9"/>
    <w:rsid w:val="00637E55"/>
    <w:rsid w:val="00640295"/>
    <w:rsid w:val="00640386"/>
    <w:rsid w:val="00640396"/>
    <w:rsid w:val="00640414"/>
    <w:rsid w:val="0064051D"/>
    <w:rsid w:val="00640703"/>
    <w:rsid w:val="006407A6"/>
    <w:rsid w:val="00640825"/>
    <w:rsid w:val="006409A8"/>
    <w:rsid w:val="00640B79"/>
    <w:rsid w:val="00640BE8"/>
    <w:rsid w:val="00640C42"/>
    <w:rsid w:val="00640DAF"/>
    <w:rsid w:val="00640E09"/>
    <w:rsid w:val="00640EE0"/>
    <w:rsid w:val="006410C3"/>
    <w:rsid w:val="00641284"/>
    <w:rsid w:val="00641811"/>
    <w:rsid w:val="00641B84"/>
    <w:rsid w:val="00641BCD"/>
    <w:rsid w:val="00641D00"/>
    <w:rsid w:val="00641ECF"/>
    <w:rsid w:val="00641FB3"/>
    <w:rsid w:val="00641FC4"/>
    <w:rsid w:val="00641FEE"/>
    <w:rsid w:val="00642174"/>
    <w:rsid w:val="00642396"/>
    <w:rsid w:val="00642504"/>
    <w:rsid w:val="0064262B"/>
    <w:rsid w:val="00642664"/>
    <w:rsid w:val="006428DD"/>
    <w:rsid w:val="00642914"/>
    <w:rsid w:val="00642BAA"/>
    <w:rsid w:val="00642E5B"/>
    <w:rsid w:val="006431B6"/>
    <w:rsid w:val="00643386"/>
    <w:rsid w:val="00643724"/>
    <w:rsid w:val="0064379E"/>
    <w:rsid w:val="006437D2"/>
    <w:rsid w:val="006438C6"/>
    <w:rsid w:val="00643938"/>
    <w:rsid w:val="00643A68"/>
    <w:rsid w:val="00643B5A"/>
    <w:rsid w:val="00643D6A"/>
    <w:rsid w:val="00643E47"/>
    <w:rsid w:val="00643F67"/>
    <w:rsid w:val="00643FBF"/>
    <w:rsid w:val="00644356"/>
    <w:rsid w:val="006443AC"/>
    <w:rsid w:val="00644463"/>
    <w:rsid w:val="00644602"/>
    <w:rsid w:val="00644803"/>
    <w:rsid w:val="00644935"/>
    <w:rsid w:val="00644A08"/>
    <w:rsid w:val="00644B83"/>
    <w:rsid w:val="00644BCB"/>
    <w:rsid w:val="00644D6B"/>
    <w:rsid w:val="00644E11"/>
    <w:rsid w:val="00644E2F"/>
    <w:rsid w:val="00644F9D"/>
    <w:rsid w:val="00645149"/>
    <w:rsid w:val="006451EF"/>
    <w:rsid w:val="00645210"/>
    <w:rsid w:val="00645235"/>
    <w:rsid w:val="00645287"/>
    <w:rsid w:val="006452C2"/>
    <w:rsid w:val="0064543A"/>
    <w:rsid w:val="00645895"/>
    <w:rsid w:val="006458A9"/>
    <w:rsid w:val="006458BD"/>
    <w:rsid w:val="0064595F"/>
    <w:rsid w:val="00645C5E"/>
    <w:rsid w:val="00645CBD"/>
    <w:rsid w:val="00645CFC"/>
    <w:rsid w:val="006461A2"/>
    <w:rsid w:val="00646275"/>
    <w:rsid w:val="006464E8"/>
    <w:rsid w:val="00646569"/>
    <w:rsid w:val="006465EF"/>
    <w:rsid w:val="0064664F"/>
    <w:rsid w:val="00646879"/>
    <w:rsid w:val="00646A1D"/>
    <w:rsid w:val="00646AA6"/>
    <w:rsid w:val="00646C54"/>
    <w:rsid w:val="00646CF8"/>
    <w:rsid w:val="00646DB1"/>
    <w:rsid w:val="00646EF4"/>
    <w:rsid w:val="0064734E"/>
    <w:rsid w:val="006473FF"/>
    <w:rsid w:val="006475E5"/>
    <w:rsid w:val="006475E7"/>
    <w:rsid w:val="006476FF"/>
    <w:rsid w:val="0064782D"/>
    <w:rsid w:val="006479DF"/>
    <w:rsid w:val="006479F7"/>
    <w:rsid w:val="00647A55"/>
    <w:rsid w:val="00647D48"/>
    <w:rsid w:val="00647DA2"/>
    <w:rsid w:val="00647E5D"/>
    <w:rsid w:val="00647ED4"/>
    <w:rsid w:val="006501E5"/>
    <w:rsid w:val="006501E9"/>
    <w:rsid w:val="006502BC"/>
    <w:rsid w:val="0065047C"/>
    <w:rsid w:val="00650834"/>
    <w:rsid w:val="006508B1"/>
    <w:rsid w:val="00650B54"/>
    <w:rsid w:val="00650BB5"/>
    <w:rsid w:val="00650C87"/>
    <w:rsid w:val="00650EF2"/>
    <w:rsid w:val="0065138B"/>
    <w:rsid w:val="006514E0"/>
    <w:rsid w:val="00651646"/>
    <w:rsid w:val="00651D06"/>
    <w:rsid w:val="00651E3C"/>
    <w:rsid w:val="00651EAC"/>
    <w:rsid w:val="00652056"/>
    <w:rsid w:val="00652168"/>
    <w:rsid w:val="0065220B"/>
    <w:rsid w:val="006522B9"/>
    <w:rsid w:val="006523D7"/>
    <w:rsid w:val="006523EE"/>
    <w:rsid w:val="006524A4"/>
    <w:rsid w:val="006524E1"/>
    <w:rsid w:val="00652518"/>
    <w:rsid w:val="00652890"/>
    <w:rsid w:val="0065293A"/>
    <w:rsid w:val="006529E9"/>
    <w:rsid w:val="00652AC0"/>
    <w:rsid w:val="00652D78"/>
    <w:rsid w:val="00652EC4"/>
    <w:rsid w:val="00653101"/>
    <w:rsid w:val="0065326D"/>
    <w:rsid w:val="0065335B"/>
    <w:rsid w:val="006533C1"/>
    <w:rsid w:val="0065354D"/>
    <w:rsid w:val="006539D0"/>
    <w:rsid w:val="00653BA9"/>
    <w:rsid w:val="00653C55"/>
    <w:rsid w:val="00653CAE"/>
    <w:rsid w:val="00653EB9"/>
    <w:rsid w:val="00653F98"/>
    <w:rsid w:val="00654037"/>
    <w:rsid w:val="00654489"/>
    <w:rsid w:val="006544A9"/>
    <w:rsid w:val="006544C4"/>
    <w:rsid w:val="006545B4"/>
    <w:rsid w:val="00654601"/>
    <w:rsid w:val="00654645"/>
    <w:rsid w:val="0065464D"/>
    <w:rsid w:val="00654821"/>
    <w:rsid w:val="006549CF"/>
    <w:rsid w:val="00654AFB"/>
    <w:rsid w:val="00654DDF"/>
    <w:rsid w:val="00654E7B"/>
    <w:rsid w:val="00654F47"/>
    <w:rsid w:val="00654F64"/>
    <w:rsid w:val="006550C1"/>
    <w:rsid w:val="0065544E"/>
    <w:rsid w:val="0065560A"/>
    <w:rsid w:val="00655743"/>
    <w:rsid w:val="0065592E"/>
    <w:rsid w:val="006559AA"/>
    <w:rsid w:val="00655AD7"/>
    <w:rsid w:val="00655CDA"/>
    <w:rsid w:val="00655D1C"/>
    <w:rsid w:val="00655D88"/>
    <w:rsid w:val="006562EA"/>
    <w:rsid w:val="0065635C"/>
    <w:rsid w:val="006564CB"/>
    <w:rsid w:val="006564DC"/>
    <w:rsid w:val="006567EE"/>
    <w:rsid w:val="00656875"/>
    <w:rsid w:val="00656B40"/>
    <w:rsid w:val="00656C05"/>
    <w:rsid w:val="00656C38"/>
    <w:rsid w:val="00656F12"/>
    <w:rsid w:val="00656F78"/>
    <w:rsid w:val="006572D5"/>
    <w:rsid w:val="006574F6"/>
    <w:rsid w:val="0065755A"/>
    <w:rsid w:val="0065759D"/>
    <w:rsid w:val="006575CB"/>
    <w:rsid w:val="006576BF"/>
    <w:rsid w:val="0065775C"/>
    <w:rsid w:val="0065775D"/>
    <w:rsid w:val="006577BB"/>
    <w:rsid w:val="0065789B"/>
    <w:rsid w:val="00657C69"/>
    <w:rsid w:val="00660011"/>
    <w:rsid w:val="00660066"/>
    <w:rsid w:val="00660080"/>
    <w:rsid w:val="00660105"/>
    <w:rsid w:val="00660226"/>
    <w:rsid w:val="00660321"/>
    <w:rsid w:val="006604A4"/>
    <w:rsid w:val="006606FA"/>
    <w:rsid w:val="006608C7"/>
    <w:rsid w:val="006608D4"/>
    <w:rsid w:val="00660995"/>
    <w:rsid w:val="00660A37"/>
    <w:rsid w:val="00660DCC"/>
    <w:rsid w:val="00660F1D"/>
    <w:rsid w:val="0066139D"/>
    <w:rsid w:val="006614FA"/>
    <w:rsid w:val="006619FE"/>
    <w:rsid w:val="00661BB3"/>
    <w:rsid w:val="00661C02"/>
    <w:rsid w:val="00661D48"/>
    <w:rsid w:val="00661F5B"/>
    <w:rsid w:val="0066213A"/>
    <w:rsid w:val="006622C7"/>
    <w:rsid w:val="00662488"/>
    <w:rsid w:val="00662519"/>
    <w:rsid w:val="0066259F"/>
    <w:rsid w:val="0066264C"/>
    <w:rsid w:val="0066265A"/>
    <w:rsid w:val="006626CA"/>
    <w:rsid w:val="0066270C"/>
    <w:rsid w:val="00662719"/>
    <w:rsid w:val="006627E6"/>
    <w:rsid w:val="00662872"/>
    <w:rsid w:val="0066297B"/>
    <w:rsid w:val="0066298E"/>
    <w:rsid w:val="00662A9F"/>
    <w:rsid w:val="00662D6C"/>
    <w:rsid w:val="00662E52"/>
    <w:rsid w:val="00662F30"/>
    <w:rsid w:val="0066301D"/>
    <w:rsid w:val="00663315"/>
    <w:rsid w:val="0066341A"/>
    <w:rsid w:val="006634A6"/>
    <w:rsid w:val="0066362F"/>
    <w:rsid w:val="00663658"/>
    <w:rsid w:val="00663888"/>
    <w:rsid w:val="0066396C"/>
    <w:rsid w:val="00663AD2"/>
    <w:rsid w:val="00663B5B"/>
    <w:rsid w:val="00663B7A"/>
    <w:rsid w:val="00663CA1"/>
    <w:rsid w:val="00663F04"/>
    <w:rsid w:val="00663F26"/>
    <w:rsid w:val="00664056"/>
    <w:rsid w:val="0066425D"/>
    <w:rsid w:val="0066439B"/>
    <w:rsid w:val="006645E6"/>
    <w:rsid w:val="006646A6"/>
    <w:rsid w:val="00664724"/>
    <w:rsid w:val="00664802"/>
    <w:rsid w:val="00664895"/>
    <w:rsid w:val="006648FE"/>
    <w:rsid w:val="00664BCB"/>
    <w:rsid w:val="00664CCE"/>
    <w:rsid w:val="00664EE5"/>
    <w:rsid w:val="00664F5A"/>
    <w:rsid w:val="00665367"/>
    <w:rsid w:val="00665474"/>
    <w:rsid w:val="006655E3"/>
    <w:rsid w:val="006656CC"/>
    <w:rsid w:val="00665735"/>
    <w:rsid w:val="006657FE"/>
    <w:rsid w:val="00665A9D"/>
    <w:rsid w:val="00665D3A"/>
    <w:rsid w:val="00666399"/>
    <w:rsid w:val="00666451"/>
    <w:rsid w:val="00666483"/>
    <w:rsid w:val="00666530"/>
    <w:rsid w:val="006669E5"/>
    <w:rsid w:val="00666BE6"/>
    <w:rsid w:val="00666C10"/>
    <w:rsid w:val="00666CD7"/>
    <w:rsid w:val="00666FE4"/>
    <w:rsid w:val="00666FFC"/>
    <w:rsid w:val="0066705C"/>
    <w:rsid w:val="006670CB"/>
    <w:rsid w:val="0066713D"/>
    <w:rsid w:val="006671B9"/>
    <w:rsid w:val="006677DD"/>
    <w:rsid w:val="00667886"/>
    <w:rsid w:val="0066797E"/>
    <w:rsid w:val="00667A2A"/>
    <w:rsid w:val="00667AC7"/>
    <w:rsid w:val="00667CFB"/>
    <w:rsid w:val="00667D47"/>
    <w:rsid w:val="00667E71"/>
    <w:rsid w:val="00670149"/>
    <w:rsid w:val="0067020F"/>
    <w:rsid w:val="00670284"/>
    <w:rsid w:val="00670446"/>
    <w:rsid w:val="00670BBB"/>
    <w:rsid w:val="00670D09"/>
    <w:rsid w:val="00670E3A"/>
    <w:rsid w:val="00671033"/>
    <w:rsid w:val="006710FE"/>
    <w:rsid w:val="006711D0"/>
    <w:rsid w:val="0067132F"/>
    <w:rsid w:val="00671355"/>
    <w:rsid w:val="0067170F"/>
    <w:rsid w:val="0067183A"/>
    <w:rsid w:val="00671CE6"/>
    <w:rsid w:val="00671D9E"/>
    <w:rsid w:val="00671EA1"/>
    <w:rsid w:val="00671FC4"/>
    <w:rsid w:val="00672009"/>
    <w:rsid w:val="0067201C"/>
    <w:rsid w:val="00672023"/>
    <w:rsid w:val="0067215F"/>
    <w:rsid w:val="006721FD"/>
    <w:rsid w:val="00672519"/>
    <w:rsid w:val="00672632"/>
    <w:rsid w:val="006726EC"/>
    <w:rsid w:val="0067285F"/>
    <w:rsid w:val="00672925"/>
    <w:rsid w:val="006729AD"/>
    <w:rsid w:val="00673213"/>
    <w:rsid w:val="00673316"/>
    <w:rsid w:val="006733B0"/>
    <w:rsid w:val="006733F8"/>
    <w:rsid w:val="006734DA"/>
    <w:rsid w:val="006734FF"/>
    <w:rsid w:val="00673529"/>
    <w:rsid w:val="00673998"/>
    <w:rsid w:val="00673C67"/>
    <w:rsid w:val="00673CC9"/>
    <w:rsid w:val="00673D2F"/>
    <w:rsid w:val="00673D59"/>
    <w:rsid w:val="00673F5F"/>
    <w:rsid w:val="0067442C"/>
    <w:rsid w:val="006744E4"/>
    <w:rsid w:val="00674547"/>
    <w:rsid w:val="00674583"/>
    <w:rsid w:val="0067459E"/>
    <w:rsid w:val="006745CD"/>
    <w:rsid w:val="00674984"/>
    <w:rsid w:val="00674998"/>
    <w:rsid w:val="00674C76"/>
    <w:rsid w:val="00674DD1"/>
    <w:rsid w:val="00674E07"/>
    <w:rsid w:val="00674F0D"/>
    <w:rsid w:val="00674FA6"/>
    <w:rsid w:val="00674FCD"/>
    <w:rsid w:val="00675084"/>
    <w:rsid w:val="0067510E"/>
    <w:rsid w:val="00675224"/>
    <w:rsid w:val="0067545B"/>
    <w:rsid w:val="00675460"/>
    <w:rsid w:val="006756FB"/>
    <w:rsid w:val="0067591D"/>
    <w:rsid w:val="00675930"/>
    <w:rsid w:val="006759FB"/>
    <w:rsid w:val="00675CF4"/>
    <w:rsid w:val="00675D1C"/>
    <w:rsid w:val="00675DDA"/>
    <w:rsid w:val="00675DDC"/>
    <w:rsid w:val="00675EDA"/>
    <w:rsid w:val="00676063"/>
    <w:rsid w:val="006762B0"/>
    <w:rsid w:val="0067630C"/>
    <w:rsid w:val="00676580"/>
    <w:rsid w:val="00676596"/>
    <w:rsid w:val="00676629"/>
    <w:rsid w:val="00676674"/>
    <w:rsid w:val="00676845"/>
    <w:rsid w:val="00676A6A"/>
    <w:rsid w:val="00676AA8"/>
    <w:rsid w:val="00676AB1"/>
    <w:rsid w:val="00676AE7"/>
    <w:rsid w:val="00676D4D"/>
    <w:rsid w:val="00676F7D"/>
    <w:rsid w:val="00677017"/>
    <w:rsid w:val="00677088"/>
    <w:rsid w:val="006770C7"/>
    <w:rsid w:val="006770F0"/>
    <w:rsid w:val="00677208"/>
    <w:rsid w:val="0067733E"/>
    <w:rsid w:val="00677353"/>
    <w:rsid w:val="00677439"/>
    <w:rsid w:val="00677584"/>
    <w:rsid w:val="0067759E"/>
    <w:rsid w:val="006777A6"/>
    <w:rsid w:val="006777FA"/>
    <w:rsid w:val="006778B3"/>
    <w:rsid w:val="006778C0"/>
    <w:rsid w:val="006779C1"/>
    <w:rsid w:val="00677A89"/>
    <w:rsid w:val="00677B86"/>
    <w:rsid w:val="00677CAB"/>
    <w:rsid w:val="00677D7E"/>
    <w:rsid w:val="0067BCAE"/>
    <w:rsid w:val="00680206"/>
    <w:rsid w:val="0068048D"/>
    <w:rsid w:val="006804F7"/>
    <w:rsid w:val="00680571"/>
    <w:rsid w:val="00680638"/>
    <w:rsid w:val="006807A1"/>
    <w:rsid w:val="00680AAC"/>
    <w:rsid w:val="006811F4"/>
    <w:rsid w:val="00681469"/>
    <w:rsid w:val="0068152C"/>
    <w:rsid w:val="006816B2"/>
    <w:rsid w:val="006817B3"/>
    <w:rsid w:val="006819B0"/>
    <w:rsid w:val="006819F1"/>
    <w:rsid w:val="00681B1E"/>
    <w:rsid w:val="00681C4D"/>
    <w:rsid w:val="00681D00"/>
    <w:rsid w:val="0068212F"/>
    <w:rsid w:val="0068219D"/>
    <w:rsid w:val="00682408"/>
    <w:rsid w:val="00682441"/>
    <w:rsid w:val="006826F2"/>
    <w:rsid w:val="006827AE"/>
    <w:rsid w:val="0068284D"/>
    <w:rsid w:val="00682AB1"/>
    <w:rsid w:val="00682B2D"/>
    <w:rsid w:val="0068322D"/>
    <w:rsid w:val="0068327E"/>
    <w:rsid w:val="00683388"/>
    <w:rsid w:val="006833FF"/>
    <w:rsid w:val="006835DE"/>
    <w:rsid w:val="006835FB"/>
    <w:rsid w:val="006837A4"/>
    <w:rsid w:val="006837DB"/>
    <w:rsid w:val="00683961"/>
    <w:rsid w:val="00683AB3"/>
    <w:rsid w:val="00683E64"/>
    <w:rsid w:val="0068417D"/>
    <w:rsid w:val="00684220"/>
    <w:rsid w:val="006842D2"/>
    <w:rsid w:val="00684508"/>
    <w:rsid w:val="00684835"/>
    <w:rsid w:val="00684AF3"/>
    <w:rsid w:val="00684B61"/>
    <w:rsid w:val="00684C4D"/>
    <w:rsid w:val="00684EA2"/>
    <w:rsid w:val="0068527D"/>
    <w:rsid w:val="006854BC"/>
    <w:rsid w:val="0068558E"/>
    <w:rsid w:val="006855D1"/>
    <w:rsid w:val="006857CE"/>
    <w:rsid w:val="00685912"/>
    <w:rsid w:val="00685922"/>
    <w:rsid w:val="00685A20"/>
    <w:rsid w:val="00685AC1"/>
    <w:rsid w:val="00685BCF"/>
    <w:rsid w:val="00685DA5"/>
    <w:rsid w:val="00685DDB"/>
    <w:rsid w:val="00685DFA"/>
    <w:rsid w:val="00685E97"/>
    <w:rsid w:val="006861CF"/>
    <w:rsid w:val="00686333"/>
    <w:rsid w:val="006865FD"/>
    <w:rsid w:val="006866BE"/>
    <w:rsid w:val="0068695C"/>
    <w:rsid w:val="00686993"/>
    <w:rsid w:val="00686B57"/>
    <w:rsid w:val="00686EF4"/>
    <w:rsid w:val="006873A5"/>
    <w:rsid w:val="0068749F"/>
    <w:rsid w:val="006875AC"/>
    <w:rsid w:val="006877B7"/>
    <w:rsid w:val="00687919"/>
    <w:rsid w:val="006879DC"/>
    <w:rsid w:val="00687B39"/>
    <w:rsid w:val="00687E67"/>
    <w:rsid w:val="00687F76"/>
    <w:rsid w:val="0069059F"/>
    <w:rsid w:val="006905CB"/>
    <w:rsid w:val="0069073B"/>
    <w:rsid w:val="00690A14"/>
    <w:rsid w:val="00690B72"/>
    <w:rsid w:val="00690B74"/>
    <w:rsid w:val="00690BE4"/>
    <w:rsid w:val="00690C10"/>
    <w:rsid w:val="00690C48"/>
    <w:rsid w:val="00690C88"/>
    <w:rsid w:val="00690CB9"/>
    <w:rsid w:val="00690CDA"/>
    <w:rsid w:val="00690F27"/>
    <w:rsid w:val="0069105A"/>
    <w:rsid w:val="006910D0"/>
    <w:rsid w:val="0069127D"/>
    <w:rsid w:val="0069133F"/>
    <w:rsid w:val="0069139F"/>
    <w:rsid w:val="006913A8"/>
    <w:rsid w:val="006913C3"/>
    <w:rsid w:val="006915FD"/>
    <w:rsid w:val="006915FE"/>
    <w:rsid w:val="00691718"/>
    <w:rsid w:val="006917C7"/>
    <w:rsid w:val="006918BA"/>
    <w:rsid w:val="006918FA"/>
    <w:rsid w:val="00691961"/>
    <w:rsid w:val="00691988"/>
    <w:rsid w:val="00691B06"/>
    <w:rsid w:val="00691BA1"/>
    <w:rsid w:val="00691C35"/>
    <w:rsid w:val="00691C45"/>
    <w:rsid w:val="0069205A"/>
    <w:rsid w:val="006921C9"/>
    <w:rsid w:val="006923AF"/>
    <w:rsid w:val="00692534"/>
    <w:rsid w:val="00692757"/>
    <w:rsid w:val="00692793"/>
    <w:rsid w:val="00692D73"/>
    <w:rsid w:val="00693027"/>
    <w:rsid w:val="0069314F"/>
    <w:rsid w:val="00693302"/>
    <w:rsid w:val="006934E0"/>
    <w:rsid w:val="00693622"/>
    <w:rsid w:val="006937B4"/>
    <w:rsid w:val="00693809"/>
    <w:rsid w:val="0069390A"/>
    <w:rsid w:val="00693A9A"/>
    <w:rsid w:val="00693C86"/>
    <w:rsid w:val="00693CD0"/>
    <w:rsid w:val="00693DAF"/>
    <w:rsid w:val="00693DBF"/>
    <w:rsid w:val="00693E8A"/>
    <w:rsid w:val="00694093"/>
    <w:rsid w:val="00694105"/>
    <w:rsid w:val="00694367"/>
    <w:rsid w:val="00694670"/>
    <w:rsid w:val="006946DD"/>
    <w:rsid w:val="00694714"/>
    <w:rsid w:val="006948B4"/>
    <w:rsid w:val="00694982"/>
    <w:rsid w:val="00694A2A"/>
    <w:rsid w:val="00694B0D"/>
    <w:rsid w:val="00694C12"/>
    <w:rsid w:val="00695079"/>
    <w:rsid w:val="00695145"/>
    <w:rsid w:val="00695298"/>
    <w:rsid w:val="006955FB"/>
    <w:rsid w:val="0069576A"/>
    <w:rsid w:val="00695888"/>
    <w:rsid w:val="00695C2C"/>
    <w:rsid w:val="00695C3E"/>
    <w:rsid w:val="006963F0"/>
    <w:rsid w:val="00696463"/>
    <w:rsid w:val="00696498"/>
    <w:rsid w:val="0069651D"/>
    <w:rsid w:val="00696520"/>
    <w:rsid w:val="00696612"/>
    <w:rsid w:val="00696709"/>
    <w:rsid w:val="00696749"/>
    <w:rsid w:val="00696CA9"/>
    <w:rsid w:val="00696CE6"/>
    <w:rsid w:val="00696D7C"/>
    <w:rsid w:val="00697050"/>
    <w:rsid w:val="00697068"/>
    <w:rsid w:val="0069717A"/>
    <w:rsid w:val="00697230"/>
    <w:rsid w:val="00697255"/>
    <w:rsid w:val="00697307"/>
    <w:rsid w:val="00697356"/>
    <w:rsid w:val="00697382"/>
    <w:rsid w:val="006977B2"/>
    <w:rsid w:val="006977EA"/>
    <w:rsid w:val="00697A3F"/>
    <w:rsid w:val="00697C87"/>
    <w:rsid w:val="00697CA4"/>
    <w:rsid w:val="00697D37"/>
    <w:rsid w:val="00697E14"/>
    <w:rsid w:val="006A006D"/>
    <w:rsid w:val="006A059E"/>
    <w:rsid w:val="006A0BB6"/>
    <w:rsid w:val="006A0E25"/>
    <w:rsid w:val="006A0F45"/>
    <w:rsid w:val="006A0F8C"/>
    <w:rsid w:val="006A1061"/>
    <w:rsid w:val="006A123F"/>
    <w:rsid w:val="006A1397"/>
    <w:rsid w:val="006A159C"/>
    <w:rsid w:val="006A18D6"/>
    <w:rsid w:val="006A195E"/>
    <w:rsid w:val="006A1A29"/>
    <w:rsid w:val="006A1AA4"/>
    <w:rsid w:val="006A1C62"/>
    <w:rsid w:val="006A1D91"/>
    <w:rsid w:val="006A1DCD"/>
    <w:rsid w:val="006A1DE5"/>
    <w:rsid w:val="006A1F06"/>
    <w:rsid w:val="006A1F14"/>
    <w:rsid w:val="006A2004"/>
    <w:rsid w:val="006A236C"/>
    <w:rsid w:val="006A23DB"/>
    <w:rsid w:val="006A262A"/>
    <w:rsid w:val="006A2804"/>
    <w:rsid w:val="006A2A53"/>
    <w:rsid w:val="006A2A60"/>
    <w:rsid w:val="006A2ADA"/>
    <w:rsid w:val="006A2B18"/>
    <w:rsid w:val="006A2B4D"/>
    <w:rsid w:val="006A2BA7"/>
    <w:rsid w:val="006A2FB7"/>
    <w:rsid w:val="006A310E"/>
    <w:rsid w:val="006A318B"/>
    <w:rsid w:val="006A31AB"/>
    <w:rsid w:val="006A31D9"/>
    <w:rsid w:val="006A3266"/>
    <w:rsid w:val="006A3316"/>
    <w:rsid w:val="006A33C5"/>
    <w:rsid w:val="006A35F0"/>
    <w:rsid w:val="006A35F9"/>
    <w:rsid w:val="006A3C38"/>
    <w:rsid w:val="006A3E01"/>
    <w:rsid w:val="006A3E0D"/>
    <w:rsid w:val="006A4103"/>
    <w:rsid w:val="006A42E0"/>
    <w:rsid w:val="006A42F6"/>
    <w:rsid w:val="006A4378"/>
    <w:rsid w:val="006A43A3"/>
    <w:rsid w:val="006A44F3"/>
    <w:rsid w:val="006A47EF"/>
    <w:rsid w:val="006A4806"/>
    <w:rsid w:val="006A48A1"/>
    <w:rsid w:val="006A48EC"/>
    <w:rsid w:val="006A4A61"/>
    <w:rsid w:val="006A4B9F"/>
    <w:rsid w:val="006A4C35"/>
    <w:rsid w:val="006A4DB6"/>
    <w:rsid w:val="006A4E23"/>
    <w:rsid w:val="006A5078"/>
    <w:rsid w:val="006A50E5"/>
    <w:rsid w:val="006A5154"/>
    <w:rsid w:val="006A522F"/>
    <w:rsid w:val="006A5303"/>
    <w:rsid w:val="006A531E"/>
    <w:rsid w:val="006A5575"/>
    <w:rsid w:val="006A596A"/>
    <w:rsid w:val="006A5A18"/>
    <w:rsid w:val="006A5AF9"/>
    <w:rsid w:val="006A5C5E"/>
    <w:rsid w:val="006A5F04"/>
    <w:rsid w:val="006A5FC3"/>
    <w:rsid w:val="006A60C0"/>
    <w:rsid w:val="006A6188"/>
    <w:rsid w:val="006A6262"/>
    <w:rsid w:val="006A64C8"/>
    <w:rsid w:val="006A656D"/>
    <w:rsid w:val="006A6950"/>
    <w:rsid w:val="006A6A82"/>
    <w:rsid w:val="006A6C5C"/>
    <w:rsid w:val="006A6CD0"/>
    <w:rsid w:val="006A6EEB"/>
    <w:rsid w:val="006A6F3A"/>
    <w:rsid w:val="006A71B7"/>
    <w:rsid w:val="006A724A"/>
    <w:rsid w:val="006A74C7"/>
    <w:rsid w:val="006A775F"/>
    <w:rsid w:val="006A77DC"/>
    <w:rsid w:val="006A79E3"/>
    <w:rsid w:val="006A7A06"/>
    <w:rsid w:val="006A7A48"/>
    <w:rsid w:val="006A7BDC"/>
    <w:rsid w:val="006A7DCF"/>
    <w:rsid w:val="006B0226"/>
    <w:rsid w:val="006B0289"/>
    <w:rsid w:val="006B0401"/>
    <w:rsid w:val="006B04B4"/>
    <w:rsid w:val="006B0944"/>
    <w:rsid w:val="006B0C27"/>
    <w:rsid w:val="006B0FBE"/>
    <w:rsid w:val="006B107B"/>
    <w:rsid w:val="006B1184"/>
    <w:rsid w:val="006B16AA"/>
    <w:rsid w:val="006B16C7"/>
    <w:rsid w:val="006B173D"/>
    <w:rsid w:val="006B197A"/>
    <w:rsid w:val="006B1C15"/>
    <w:rsid w:val="006B1CB7"/>
    <w:rsid w:val="006B1D3C"/>
    <w:rsid w:val="006B201D"/>
    <w:rsid w:val="006B203F"/>
    <w:rsid w:val="006B2066"/>
    <w:rsid w:val="006B2133"/>
    <w:rsid w:val="006B229B"/>
    <w:rsid w:val="006B282A"/>
    <w:rsid w:val="006B29E4"/>
    <w:rsid w:val="006B2A59"/>
    <w:rsid w:val="006B2E25"/>
    <w:rsid w:val="006B3018"/>
    <w:rsid w:val="006B31AA"/>
    <w:rsid w:val="006B3309"/>
    <w:rsid w:val="006B343B"/>
    <w:rsid w:val="006B3581"/>
    <w:rsid w:val="006B37FD"/>
    <w:rsid w:val="006B3AF5"/>
    <w:rsid w:val="006B3AFD"/>
    <w:rsid w:val="006B3BFE"/>
    <w:rsid w:val="006B3CA8"/>
    <w:rsid w:val="006B3FAA"/>
    <w:rsid w:val="006B4043"/>
    <w:rsid w:val="006B4045"/>
    <w:rsid w:val="006B416F"/>
    <w:rsid w:val="006B42F4"/>
    <w:rsid w:val="006B432E"/>
    <w:rsid w:val="006B4411"/>
    <w:rsid w:val="006B4505"/>
    <w:rsid w:val="006B45F3"/>
    <w:rsid w:val="006B4749"/>
    <w:rsid w:val="006B47F2"/>
    <w:rsid w:val="006B4AC5"/>
    <w:rsid w:val="006B4B9B"/>
    <w:rsid w:val="006B4BD6"/>
    <w:rsid w:val="006B50B7"/>
    <w:rsid w:val="006B53CF"/>
    <w:rsid w:val="006B575A"/>
    <w:rsid w:val="006B5827"/>
    <w:rsid w:val="006B58DB"/>
    <w:rsid w:val="006B5988"/>
    <w:rsid w:val="006B598F"/>
    <w:rsid w:val="006B5A45"/>
    <w:rsid w:val="006B5A8C"/>
    <w:rsid w:val="006B5FA3"/>
    <w:rsid w:val="006B61A3"/>
    <w:rsid w:val="006B63F9"/>
    <w:rsid w:val="006B64A2"/>
    <w:rsid w:val="006B64CB"/>
    <w:rsid w:val="006B65DA"/>
    <w:rsid w:val="006B65E8"/>
    <w:rsid w:val="006B66D0"/>
    <w:rsid w:val="006B6B44"/>
    <w:rsid w:val="006B6CE8"/>
    <w:rsid w:val="006B6D38"/>
    <w:rsid w:val="006B6D8C"/>
    <w:rsid w:val="006B6E75"/>
    <w:rsid w:val="006B6EEC"/>
    <w:rsid w:val="006B6EF4"/>
    <w:rsid w:val="006B6F3B"/>
    <w:rsid w:val="006B711A"/>
    <w:rsid w:val="006B71F3"/>
    <w:rsid w:val="006B7425"/>
    <w:rsid w:val="006B7962"/>
    <w:rsid w:val="006B7990"/>
    <w:rsid w:val="006B7A89"/>
    <w:rsid w:val="006B7BBA"/>
    <w:rsid w:val="006B7BCD"/>
    <w:rsid w:val="006B7C2B"/>
    <w:rsid w:val="006B7CF0"/>
    <w:rsid w:val="006B7FA0"/>
    <w:rsid w:val="006B7FFE"/>
    <w:rsid w:val="006C008A"/>
    <w:rsid w:val="006C0120"/>
    <w:rsid w:val="006C0153"/>
    <w:rsid w:val="006C01BF"/>
    <w:rsid w:val="006C032D"/>
    <w:rsid w:val="006C0463"/>
    <w:rsid w:val="006C0475"/>
    <w:rsid w:val="006C0695"/>
    <w:rsid w:val="006C0CEA"/>
    <w:rsid w:val="006C0F2E"/>
    <w:rsid w:val="006C10A1"/>
    <w:rsid w:val="006C1254"/>
    <w:rsid w:val="006C135E"/>
    <w:rsid w:val="006C18DF"/>
    <w:rsid w:val="006C1925"/>
    <w:rsid w:val="006C1A3A"/>
    <w:rsid w:val="006C1D98"/>
    <w:rsid w:val="006C206F"/>
    <w:rsid w:val="006C2081"/>
    <w:rsid w:val="006C2103"/>
    <w:rsid w:val="006C2495"/>
    <w:rsid w:val="006C2543"/>
    <w:rsid w:val="006C2579"/>
    <w:rsid w:val="006C2699"/>
    <w:rsid w:val="006C279F"/>
    <w:rsid w:val="006C2953"/>
    <w:rsid w:val="006C2BF7"/>
    <w:rsid w:val="006C2C58"/>
    <w:rsid w:val="006C2DC4"/>
    <w:rsid w:val="006C3017"/>
    <w:rsid w:val="006C31FF"/>
    <w:rsid w:val="006C362B"/>
    <w:rsid w:val="006C3C15"/>
    <w:rsid w:val="006C3EDA"/>
    <w:rsid w:val="006C4107"/>
    <w:rsid w:val="006C413A"/>
    <w:rsid w:val="006C4625"/>
    <w:rsid w:val="006C462D"/>
    <w:rsid w:val="006C4735"/>
    <w:rsid w:val="006C4860"/>
    <w:rsid w:val="006C49D7"/>
    <w:rsid w:val="006C4C15"/>
    <w:rsid w:val="006C4D95"/>
    <w:rsid w:val="006C4DCF"/>
    <w:rsid w:val="006C4DE3"/>
    <w:rsid w:val="006C500B"/>
    <w:rsid w:val="006C524C"/>
    <w:rsid w:val="006C52F7"/>
    <w:rsid w:val="006C5436"/>
    <w:rsid w:val="006C554B"/>
    <w:rsid w:val="006C5639"/>
    <w:rsid w:val="006C587F"/>
    <w:rsid w:val="006C5905"/>
    <w:rsid w:val="006C5969"/>
    <w:rsid w:val="006C59C6"/>
    <w:rsid w:val="006C5A29"/>
    <w:rsid w:val="006C5C05"/>
    <w:rsid w:val="006C5D52"/>
    <w:rsid w:val="006C5D8F"/>
    <w:rsid w:val="006C5E9F"/>
    <w:rsid w:val="006C61FA"/>
    <w:rsid w:val="006C622A"/>
    <w:rsid w:val="006C6281"/>
    <w:rsid w:val="006C62AF"/>
    <w:rsid w:val="006C6344"/>
    <w:rsid w:val="006C636F"/>
    <w:rsid w:val="006C664E"/>
    <w:rsid w:val="006C67CD"/>
    <w:rsid w:val="006C69B5"/>
    <w:rsid w:val="006C6AB5"/>
    <w:rsid w:val="006C6BAA"/>
    <w:rsid w:val="006C7055"/>
    <w:rsid w:val="006C7087"/>
    <w:rsid w:val="006C79B9"/>
    <w:rsid w:val="006C79BD"/>
    <w:rsid w:val="006C7D37"/>
    <w:rsid w:val="006D01D2"/>
    <w:rsid w:val="006D0606"/>
    <w:rsid w:val="006D06A6"/>
    <w:rsid w:val="006D07B9"/>
    <w:rsid w:val="006D0B11"/>
    <w:rsid w:val="006D0CA8"/>
    <w:rsid w:val="006D0CC9"/>
    <w:rsid w:val="006D0F83"/>
    <w:rsid w:val="006D1097"/>
    <w:rsid w:val="006D1238"/>
    <w:rsid w:val="006D1804"/>
    <w:rsid w:val="006D1806"/>
    <w:rsid w:val="006D1893"/>
    <w:rsid w:val="006D1DE4"/>
    <w:rsid w:val="006D1E31"/>
    <w:rsid w:val="006D1FC7"/>
    <w:rsid w:val="006D2453"/>
    <w:rsid w:val="006D265A"/>
    <w:rsid w:val="006D2784"/>
    <w:rsid w:val="006D27D9"/>
    <w:rsid w:val="006D2815"/>
    <w:rsid w:val="006D282A"/>
    <w:rsid w:val="006D2A97"/>
    <w:rsid w:val="006D2B80"/>
    <w:rsid w:val="006D2CD1"/>
    <w:rsid w:val="006D2E06"/>
    <w:rsid w:val="006D2F97"/>
    <w:rsid w:val="006D3081"/>
    <w:rsid w:val="006D30CD"/>
    <w:rsid w:val="006D3463"/>
    <w:rsid w:val="006D381E"/>
    <w:rsid w:val="006D3856"/>
    <w:rsid w:val="006D3917"/>
    <w:rsid w:val="006D3A05"/>
    <w:rsid w:val="006D3B6F"/>
    <w:rsid w:val="006D3E6A"/>
    <w:rsid w:val="006D3F3F"/>
    <w:rsid w:val="006D3F76"/>
    <w:rsid w:val="006D3FDB"/>
    <w:rsid w:val="006D400C"/>
    <w:rsid w:val="006D4029"/>
    <w:rsid w:val="006D41A2"/>
    <w:rsid w:val="006D4422"/>
    <w:rsid w:val="006D44F7"/>
    <w:rsid w:val="006D456B"/>
    <w:rsid w:val="006D4696"/>
    <w:rsid w:val="006D474D"/>
    <w:rsid w:val="006D4846"/>
    <w:rsid w:val="006D4AB3"/>
    <w:rsid w:val="006D4AC9"/>
    <w:rsid w:val="006D4C7C"/>
    <w:rsid w:val="006D4D24"/>
    <w:rsid w:val="006D4F9D"/>
    <w:rsid w:val="006D5362"/>
    <w:rsid w:val="006D5456"/>
    <w:rsid w:val="006D545A"/>
    <w:rsid w:val="006D566B"/>
    <w:rsid w:val="006D57A3"/>
    <w:rsid w:val="006D58AD"/>
    <w:rsid w:val="006D59CF"/>
    <w:rsid w:val="006D5A47"/>
    <w:rsid w:val="006D5B96"/>
    <w:rsid w:val="006D5C13"/>
    <w:rsid w:val="006D5F56"/>
    <w:rsid w:val="006D62D0"/>
    <w:rsid w:val="006D6380"/>
    <w:rsid w:val="006D6410"/>
    <w:rsid w:val="006D66EA"/>
    <w:rsid w:val="006D6776"/>
    <w:rsid w:val="006D68E5"/>
    <w:rsid w:val="006D6AF9"/>
    <w:rsid w:val="006D6B0D"/>
    <w:rsid w:val="006D706A"/>
    <w:rsid w:val="006D721A"/>
    <w:rsid w:val="006D7295"/>
    <w:rsid w:val="006D7309"/>
    <w:rsid w:val="006D74CF"/>
    <w:rsid w:val="006D753A"/>
    <w:rsid w:val="006D7998"/>
    <w:rsid w:val="006D7BB8"/>
    <w:rsid w:val="006D7DC7"/>
    <w:rsid w:val="006D7DDD"/>
    <w:rsid w:val="006D7EC4"/>
    <w:rsid w:val="006D7F01"/>
    <w:rsid w:val="006E0032"/>
    <w:rsid w:val="006E018E"/>
    <w:rsid w:val="006E029D"/>
    <w:rsid w:val="006E02AC"/>
    <w:rsid w:val="006E047C"/>
    <w:rsid w:val="006E04ED"/>
    <w:rsid w:val="006E087B"/>
    <w:rsid w:val="006E08C9"/>
    <w:rsid w:val="006E0C6D"/>
    <w:rsid w:val="006E0E5F"/>
    <w:rsid w:val="006E1032"/>
    <w:rsid w:val="006E110F"/>
    <w:rsid w:val="006E114A"/>
    <w:rsid w:val="006E1271"/>
    <w:rsid w:val="006E1725"/>
    <w:rsid w:val="006E1A01"/>
    <w:rsid w:val="006E1BEF"/>
    <w:rsid w:val="006E1E30"/>
    <w:rsid w:val="006E1F5B"/>
    <w:rsid w:val="006E1F93"/>
    <w:rsid w:val="006E213C"/>
    <w:rsid w:val="006E2260"/>
    <w:rsid w:val="006E25B0"/>
    <w:rsid w:val="006E26E0"/>
    <w:rsid w:val="006E273E"/>
    <w:rsid w:val="006E27AA"/>
    <w:rsid w:val="006E29A1"/>
    <w:rsid w:val="006E2B1A"/>
    <w:rsid w:val="006E2B60"/>
    <w:rsid w:val="006E2C51"/>
    <w:rsid w:val="006E2D52"/>
    <w:rsid w:val="006E2DD2"/>
    <w:rsid w:val="006E2EBE"/>
    <w:rsid w:val="006E3216"/>
    <w:rsid w:val="006E3305"/>
    <w:rsid w:val="006E3453"/>
    <w:rsid w:val="006E3588"/>
    <w:rsid w:val="006E3686"/>
    <w:rsid w:val="006E39CC"/>
    <w:rsid w:val="006E3AEB"/>
    <w:rsid w:val="006E3B2A"/>
    <w:rsid w:val="006E3C78"/>
    <w:rsid w:val="006E400C"/>
    <w:rsid w:val="006E4087"/>
    <w:rsid w:val="006E4140"/>
    <w:rsid w:val="006E4248"/>
    <w:rsid w:val="006E4253"/>
    <w:rsid w:val="006E4354"/>
    <w:rsid w:val="006E438C"/>
    <w:rsid w:val="006E4424"/>
    <w:rsid w:val="006E44A1"/>
    <w:rsid w:val="006E486B"/>
    <w:rsid w:val="006E4959"/>
    <w:rsid w:val="006E4B2A"/>
    <w:rsid w:val="006E4B42"/>
    <w:rsid w:val="006E4D15"/>
    <w:rsid w:val="006E4ED6"/>
    <w:rsid w:val="006E4F04"/>
    <w:rsid w:val="006E4FAC"/>
    <w:rsid w:val="006E4FF2"/>
    <w:rsid w:val="006E5309"/>
    <w:rsid w:val="006E5780"/>
    <w:rsid w:val="006E5A52"/>
    <w:rsid w:val="006E5DAA"/>
    <w:rsid w:val="006E5DEC"/>
    <w:rsid w:val="006E5EB0"/>
    <w:rsid w:val="006E62EC"/>
    <w:rsid w:val="006E63CE"/>
    <w:rsid w:val="006E645D"/>
    <w:rsid w:val="006E659F"/>
    <w:rsid w:val="006E65CA"/>
    <w:rsid w:val="006E66C7"/>
    <w:rsid w:val="006E689D"/>
    <w:rsid w:val="006E6A8F"/>
    <w:rsid w:val="006E6C07"/>
    <w:rsid w:val="006E6CEE"/>
    <w:rsid w:val="006E6EDB"/>
    <w:rsid w:val="006E716C"/>
    <w:rsid w:val="006E71DE"/>
    <w:rsid w:val="006E7243"/>
    <w:rsid w:val="006E753C"/>
    <w:rsid w:val="006E7686"/>
    <w:rsid w:val="006E772C"/>
    <w:rsid w:val="006E79A1"/>
    <w:rsid w:val="006E79ED"/>
    <w:rsid w:val="006E7AAB"/>
    <w:rsid w:val="006E7C0E"/>
    <w:rsid w:val="006E7CCF"/>
    <w:rsid w:val="006E7E3A"/>
    <w:rsid w:val="006E7E40"/>
    <w:rsid w:val="006E7E7E"/>
    <w:rsid w:val="006E7EFD"/>
    <w:rsid w:val="006E7F0C"/>
    <w:rsid w:val="006E7F7C"/>
    <w:rsid w:val="006E7FBF"/>
    <w:rsid w:val="006F01B9"/>
    <w:rsid w:val="006F01D9"/>
    <w:rsid w:val="006F03E6"/>
    <w:rsid w:val="006F076E"/>
    <w:rsid w:val="006F08B5"/>
    <w:rsid w:val="006F0910"/>
    <w:rsid w:val="006F09B6"/>
    <w:rsid w:val="006F09D4"/>
    <w:rsid w:val="006F09FC"/>
    <w:rsid w:val="006F0BFD"/>
    <w:rsid w:val="006F0E60"/>
    <w:rsid w:val="006F0E77"/>
    <w:rsid w:val="006F0E7E"/>
    <w:rsid w:val="006F0E8F"/>
    <w:rsid w:val="006F1383"/>
    <w:rsid w:val="006F14E4"/>
    <w:rsid w:val="006F1598"/>
    <w:rsid w:val="006F19E5"/>
    <w:rsid w:val="006F1A4D"/>
    <w:rsid w:val="006F1A9B"/>
    <w:rsid w:val="006F1AF9"/>
    <w:rsid w:val="006F1BE0"/>
    <w:rsid w:val="006F1D53"/>
    <w:rsid w:val="006F1DC7"/>
    <w:rsid w:val="006F227C"/>
    <w:rsid w:val="006F2282"/>
    <w:rsid w:val="006F2302"/>
    <w:rsid w:val="006F25FB"/>
    <w:rsid w:val="006F2924"/>
    <w:rsid w:val="006F2F60"/>
    <w:rsid w:val="006F3002"/>
    <w:rsid w:val="006F3113"/>
    <w:rsid w:val="006F317F"/>
    <w:rsid w:val="006F323A"/>
    <w:rsid w:val="006F34AF"/>
    <w:rsid w:val="006F35ED"/>
    <w:rsid w:val="006F3674"/>
    <w:rsid w:val="006F36B2"/>
    <w:rsid w:val="006F3A4D"/>
    <w:rsid w:val="006F3AAD"/>
    <w:rsid w:val="006F4124"/>
    <w:rsid w:val="006F44A1"/>
    <w:rsid w:val="006F45FB"/>
    <w:rsid w:val="006F462B"/>
    <w:rsid w:val="006F487E"/>
    <w:rsid w:val="006F4C33"/>
    <w:rsid w:val="006F4C57"/>
    <w:rsid w:val="006F4D44"/>
    <w:rsid w:val="006F4ED2"/>
    <w:rsid w:val="006F4F64"/>
    <w:rsid w:val="006F4FF0"/>
    <w:rsid w:val="006F5282"/>
    <w:rsid w:val="006F52EA"/>
    <w:rsid w:val="006F530C"/>
    <w:rsid w:val="006F539A"/>
    <w:rsid w:val="006F555E"/>
    <w:rsid w:val="006F5654"/>
    <w:rsid w:val="006F57C1"/>
    <w:rsid w:val="006F590F"/>
    <w:rsid w:val="006F591B"/>
    <w:rsid w:val="006F5C05"/>
    <w:rsid w:val="006F5D49"/>
    <w:rsid w:val="006F60A4"/>
    <w:rsid w:val="006F619F"/>
    <w:rsid w:val="006F6459"/>
    <w:rsid w:val="006F658B"/>
    <w:rsid w:val="006F664B"/>
    <w:rsid w:val="006F6775"/>
    <w:rsid w:val="006F67FC"/>
    <w:rsid w:val="006F6A36"/>
    <w:rsid w:val="006F6A61"/>
    <w:rsid w:val="006F6BCF"/>
    <w:rsid w:val="006F6CAA"/>
    <w:rsid w:val="006F7062"/>
    <w:rsid w:val="006F7102"/>
    <w:rsid w:val="006F7240"/>
    <w:rsid w:val="006F732C"/>
    <w:rsid w:val="006F7331"/>
    <w:rsid w:val="006F7782"/>
    <w:rsid w:val="006F7810"/>
    <w:rsid w:val="006F796E"/>
    <w:rsid w:val="006F7AD4"/>
    <w:rsid w:val="006F7ADD"/>
    <w:rsid w:val="006F7BEA"/>
    <w:rsid w:val="006F7DDE"/>
    <w:rsid w:val="00700044"/>
    <w:rsid w:val="0070009E"/>
    <w:rsid w:val="0070012A"/>
    <w:rsid w:val="00700267"/>
    <w:rsid w:val="0070037A"/>
    <w:rsid w:val="00700394"/>
    <w:rsid w:val="007004FD"/>
    <w:rsid w:val="0070066C"/>
    <w:rsid w:val="007006B2"/>
    <w:rsid w:val="00700703"/>
    <w:rsid w:val="00700853"/>
    <w:rsid w:val="007009A6"/>
    <w:rsid w:val="00700A1D"/>
    <w:rsid w:val="00700C40"/>
    <w:rsid w:val="00700D85"/>
    <w:rsid w:val="00700DD1"/>
    <w:rsid w:val="00700F4C"/>
    <w:rsid w:val="00701135"/>
    <w:rsid w:val="0070114E"/>
    <w:rsid w:val="007011AA"/>
    <w:rsid w:val="007014D3"/>
    <w:rsid w:val="007015D3"/>
    <w:rsid w:val="007016F1"/>
    <w:rsid w:val="007018DD"/>
    <w:rsid w:val="00701A5F"/>
    <w:rsid w:val="00701B5A"/>
    <w:rsid w:val="00701F6D"/>
    <w:rsid w:val="00702023"/>
    <w:rsid w:val="00702442"/>
    <w:rsid w:val="007029A8"/>
    <w:rsid w:val="00702A0A"/>
    <w:rsid w:val="00702B50"/>
    <w:rsid w:val="00702D27"/>
    <w:rsid w:val="00702E2E"/>
    <w:rsid w:val="00702F05"/>
    <w:rsid w:val="007030AF"/>
    <w:rsid w:val="00703457"/>
    <w:rsid w:val="00703542"/>
    <w:rsid w:val="007036E7"/>
    <w:rsid w:val="0070376A"/>
    <w:rsid w:val="00703776"/>
    <w:rsid w:val="007038A3"/>
    <w:rsid w:val="00703B7F"/>
    <w:rsid w:val="00703D08"/>
    <w:rsid w:val="00703E00"/>
    <w:rsid w:val="00703E7A"/>
    <w:rsid w:val="00704081"/>
    <w:rsid w:val="00704225"/>
    <w:rsid w:val="0070429D"/>
    <w:rsid w:val="00704425"/>
    <w:rsid w:val="00704628"/>
    <w:rsid w:val="007046C4"/>
    <w:rsid w:val="00704958"/>
    <w:rsid w:val="00704995"/>
    <w:rsid w:val="00704A41"/>
    <w:rsid w:val="00704AB9"/>
    <w:rsid w:val="00704B0D"/>
    <w:rsid w:val="00704C40"/>
    <w:rsid w:val="00704D92"/>
    <w:rsid w:val="00704DBC"/>
    <w:rsid w:val="00704EF7"/>
    <w:rsid w:val="00704EFD"/>
    <w:rsid w:val="007051EA"/>
    <w:rsid w:val="0070532B"/>
    <w:rsid w:val="00705330"/>
    <w:rsid w:val="0070551B"/>
    <w:rsid w:val="007055B1"/>
    <w:rsid w:val="007055B5"/>
    <w:rsid w:val="007056A2"/>
    <w:rsid w:val="007058E9"/>
    <w:rsid w:val="007059B6"/>
    <w:rsid w:val="00705BA5"/>
    <w:rsid w:val="00705C82"/>
    <w:rsid w:val="00705D02"/>
    <w:rsid w:val="00705E60"/>
    <w:rsid w:val="00706038"/>
    <w:rsid w:val="00706082"/>
    <w:rsid w:val="007061E5"/>
    <w:rsid w:val="00706773"/>
    <w:rsid w:val="00706AB1"/>
    <w:rsid w:val="00706D5B"/>
    <w:rsid w:val="00706EEC"/>
    <w:rsid w:val="00706F3B"/>
    <w:rsid w:val="0070728F"/>
    <w:rsid w:val="0070742F"/>
    <w:rsid w:val="00707493"/>
    <w:rsid w:val="007078FB"/>
    <w:rsid w:val="007079D9"/>
    <w:rsid w:val="00707A0A"/>
    <w:rsid w:val="00707C2F"/>
    <w:rsid w:val="00707C83"/>
    <w:rsid w:val="00707CD8"/>
    <w:rsid w:val="00707F79"/>
    <w:rsid w:val="00710002"/>
    <w:rsid w:val="007100DE"/>
    <w:rsid w:val="007102A7"/>
    <w:rsid w:val="00710484"/>
    <w:rsid w:val="00710989"/>
    <w:rsid w:val="007109DD"/>
    <w:rsid w:val="00710A78"/>
    <w:rsid w:val="00710AD9"/>
    <w:rsid w:val="00710B9F"/>
    <w:rsid w:val="00710C38"/>
    <w:rsid w:val="00710E05"/>
    <w:rsid w:val="00710FF8"/>
    <w:rsid w:val="007110F0"/>
    <w:rsid w:val="007112D3"/>
    <w:rsid w:val="007112E8"/>
    <w:rsid w:val="00711464"/>
    <w:rsid w:val="007117B3"/>
    <w:rsid w:val="0071199F"/>
    <w:rsid w:val="00711C1A"/>
    <w:rsid w:val="00711C69"/>
    <w:rsid w:val="00711D31"/>
    <w:rsid w:val="00711DAA"/>
    <w:rsid w:val="00711F6C"/>
    <w:rsid w:val="00712037"/>
    <w:rsid w:val="00712045"/>
    <w:rsid w:val="0071214E"/>
    <w:rsid w:val="007123BC"/>
    <w:rsid w:val="007123E0"/>
    <w:rsid w:val="00712599"/>
    <w:rsid w:val="0071265F"/>
    <w:rsid w:val="00712703"/>
    <w:rsid w:val="00712749"/>
    <w:rsid w:val="007127ED"/>
    <w:rsid w:val="00712853"/>
    <w:rsid w:val="00712949"/>
    <w:rsid w:val="00712A6F"/>
    <w:rsid w:val="00712B66"/>
    <w:rsid w:val="00712C18"/>
    <w:rsid w:val="00712C7D"/>
    <w:rsid w:val="00712E4A"/>
    <w:rsid w:val="00712EDA"/>
    <w:rsid w:val="0071310F"/>
    <w:rsid w:val="007132F2"/>
    <w:rsid w:val="0071351E"/>
    <w:rsid w:val="00713B46"/>
    <w:rsid w:val="00713FF3"/>
    <w:rsid w:val="00713FF7"/>
    <w:rsid w:val="007140E9"/>
    <w:rsid w:val="0071446F"/>
    <w:rsid w:val="007144A1"/>
    <w:rsid w:val="00714513"/>
    <w:rsid w:val="00714517"/>
    <w:rsid w:val="00714B5E"/>
    <w:rsid w:val="00714BFF"/>
    <w:rsid w:val="00714C19"/>
    <w:rsid w:val="00714D39"/>
    <w:rsid w:val="00714D41"/>
    <w:rsid w:val="00714D5B"/>
    <w:rsid w:val="00714D91"/>
    <w:rsid w:val="00714D9F"/>
    <w:rsid w:val="00714E3D"/>
    <w:rsid w:val="00714F9C"/>
    <w:rsid w:val="0071516B"/>
    <w:rsid w:val="007151F3"/>
    <w:rsid w:val="007152CB"/>
    <w:rsid w:val="00715364"/>
    <w:rsid w:val="00715501"/>
    <w:rsid w:val="00715527"/>
    <w:rsid w:val="00715581"/>
    <w:rsid w:val="007157F4"/>
    <w:rsid w:val="00715A59"/>
    <w:rsid w:val="00715C30"/>
    <w:rsid w:val="00715DC2"/>
    <w:rsid w:val="00715DCE"/>
    <w:rsid w:val="00716121"/>
    <w:rsid w:val="00716274"/>
    <w:rsid w:val="00716392"/>
    <w:rsid w:val="00716594"/>
    <w:rsid w:val="007165DD"/>
    <w:rsid w:val="00716724"/>
    <w:rsid w:val="00716752"/>
    <w:rsid w:val="007168F4"/>
    <w:rsid w:val="00716E66"/>
    <w:rsid w:val="00716F48"/>
    <w:rsid w:val="0071714A"/>
    <w:rsid w:val="007171EC"/>
    <w:rsid w:val="00717316"/>
    <w:rsid w:val="007174DB"/>
    <w:rsid w:val="0071768C"/>
    <w:rsid w:val="007177D7"/>
    <w:rsid w:val="00717A1F"/>
    <w:rsid w:val="00717D5F"/>
    <w:rsid w:val="00717EF4"/>
    <w:rsid w:val="00717F63"/>
    <w:rsid w:val="00720081"/>
    <w:rsid w:val="0072012F"/>
    <w:rsid w:val="00720164"/>
    <w:rsid w:val="007201AB"/>
    <w:rsid w:val="00720258"/>
    <w:rsid w:val="007204C2"/>
    <w:rsid w:val="00720754"/>
    <w:rsid w:val="00720ACE"/>
    <w:rsid w:val="00720F11"/>
    <w:rsid w:val="00721018"/>
    <w:rsid w:val="00721047"/>
    <w:rsid w:val="00721101"/>
    <w:rsid w:val="007214CF"/>
    <w:rsid w:val="007215B0"/>
    <w:rsid w:val="00721681"/>
    <w:rsid w:val="007216F3"/>
    <w:rsid w:val="0072183C"/>
    <w:rsid w:val="007218C3"/>
    <w:rsid w:val="00721947"/>
    <w:rsid w:val="00721B98"/>
    <w:rsid w:val="00721C15"/>
    <w:rsid w:val="00721D24"/>
    <w:rsid w:val="00721D40"/>
    <w:rsid w:val="00721F52"/>
    <w:rsid w:val="00722131"/>
    <w:rsid w:val="0072236B"/>
    <w:rsid w:val="007224B2"/>
    <w:rsid w:val="00722554"/>
    <w:rsid w:val="00722661"/>
    <w:rsid w:val="00722705"/>
    <w:rsid w:val="00722766"/>
    <w:rsid w:val="007228EB"/>
    <w:rsid w:val="00722BDF"/>
    <w:rsid w:val="00722D35"/>
    <w:rsid w:val="00722D9C"/>
    <w:rsid w:val="00722E55"/>
    <w:rsid w:val="007230C4"/>
    <w:rsid w:val="00723105"/>
    <w:rsid w:val="007231D6"/>
    <w:rsid w:val="00723292"/>
    <w:rsid w:val="007232B3"/>
    <w:rsid w:val="00723476"/>
    <w:rsid w:val="007236B0"/>
    <w:rsid w:val="00723CEE"/>
    <w:rsid w:val="00723D6A"/>
    <w:rsid w:val="00723DA4"/>
    <w:rsid w:val="00723E1F"/>
    <w:rsid w:val="00724039"/>
    <w:rsid w:val="00724065"/>
    <w:rsid w:val="007240F9"/>
    <w:rsid w:val="00724132"/>
    <w:rsid w:val="00724382"/>
    <w:rsid w:val="007243FA"/>
    <w:rsid w:val="00724747"/>
    <w:rsid w:val="007248B6"/>
    <w:rsid w:val="00724C5B"/>
    <w:rsid w:val="00724CB9"/>
    <w:rsid w:val="00724D0D"/>
    <w:rsid w:val="0072502B"/>
    <w:rsid w:val="00725049"/>
    <w:rsid w:val="00725075"/>
    <w:rsid w:val="007250C4"/>
    <w:rsid w:val="007254E3"/>
    <w:rsid w:val="007256A6"/>
    <w:rsid w:val="007256C5"/>
    <w:rsid w:val="0072588B"/>
    <w:rsid w:val="00725B31"/>
    <w:rsid w:val="00725DCE"/>
    <w:rsid w:val="00725F05"/>
    <w:rsid w:val="00725F39"/>
    <w:rsid w:val="00725FC4"/>
    <w:rsid w:val="0072614F"/>
    <w:rsid w:val="00726240"/>
    <w:rsid w:val="007269C0"/>
    <w:rsid w:val="00726A12"/>
    <w:rsid w:val="00726B3E"/>
    <w:rsid w:val="00726C4B"/>
    <w:rsid w:val="00726E22"/>
    <w:rsid w:val="00726EA8"/>
    <w:rsid w:val="007271D9"/>
    <w:rsid w:val="00727203"/>
    <w:rsid w:val="00727211"/>
    <w:rsid w:val="007272B4"/>
    <w:rsid w:val="00727464"/>
    <w:rsid w:val="007276C9"/>
    <w:rsid w:val="00727830"/>
    <w:rsid w:val="00727D57"/>
    <w:rsid w:val="00727E51"/>
    <w:rsid w:val="00727E60"/>
    <w:rsid w:val="00730149"/>
    <w:rsid w:val="00730281"/>
    <w:rsid w:val="007305AC"/>
    <w:rsid w:val="0073087F"/>
    <w:rsid w:val="007309AF"/>
    <w:rsid w:val="00730A5C"/>
    <w:rsid w:val="00730A84"/>
    <w:rsid w:val="00730A90"/>
    <w:rsid w:val="00730CDD"/>
    <w:rsid w:val="00730D11"/>
    <w:rsid w:val="00730EBD"/>
    <w:rsid w:val="00730F47"/>
    <w:rsid w:val="00730FAA"/>
    <w:rsid w:val="00731066"/>
    <w:rsid w:val="00731112"/>
    <w:rsid w:val="00731347"/>
    <w:rsid w:val="0073162F"/>
    <w:rsid w:val="0073175C"/>
    <w:rsid w:val="00731BF0"/>
    <w:rsid w:val="00731C77"/>
    <w:rsid w:val="00731D14"/>
    <w:rsid w:val="00731D99"/>
    <w:rsid w:val="0073215A"/>
    <w:rsid w:val="0073233B"/>
    <w:rsid w:val="00732356"/>
    <w:rsid w:val="00732574"/>
    <w:rsid w:val="00732682"/>
    <w:rsid w:val="00732BAA"/>
    <w:rsid w:val="00732E41"/>
    <w:rsid w:val="00732F26"/>
    <w:rsid w:val="00733559"/>
    <w:rsid w:val="00733639"/>
    <w:rsid w:val="00733931"/>
    <w:rsid w:val="00733B18"/>
    <w:rsid w:val="00733CE3"/>
    <w:rsid w:val="00733D78"/>
    <w:rsid w:val="00733F31"/>
    <w:rsid w:val="007341B2"/>
    <w:rsid w:val="0073426F"/>
    <w:rsid w:val="007342EF"/>
    <w:rsid w:val="00734432"/>
    <w:rsid w:val="00734589"/>
    <w:rsid w:val="00734A69"/>
    <w:rsid w:val="00734ACB"/>
    <w:rsid w:val="00734B13"/>
    <w:rsid w:val="00734BC0"/>
    <w:rsid w:val="00734C1C"/>
    <w:rsid w:val="00734D11"/>
    <w:rsid w:val="00734DDE"/>
    <w:rsid w:val="00734E2B"/>
    <w:rsid w:val="00734F2B"/>
    <w:rsid w:val="007352E2"/>
    <w:rsid w:val="007353B9"/>
    <w:rsid w:val="00735547"/>
    <w:rsid w:val="0073557A"/>
    <w:rsid w:val="007355D3"/>
    <w:rsid w:val="007356BC"/>
    <w:rsid w:val="007357C6"/>
    <w:rsid w:val="007357DD"/>
    <w:rsid w:val="00735818"/>
    <w:rsid w:val="0073595D"/>
    <w:rsid w:val="007359DC"/>
    <w:rsid w:val="00735AAA"/>
    <w:rsid w:val="00735ABE"/>
    <w:rsid w:val="00735C07"/>
    <w:rsid w:val="00735C72"/>
    <w:rsid w:val="00735D33"/>
    <w:rsid w:val="00735F35"/>
    <w:rsid w:val="007361DA"/>
    <w:rsid w:val="00736452"/>
    <w:rsid w:val="007364F9"/>
    <w:rsid w:val="0073655D"/>
    <w:rsid w:val="00736612"/>
    <w:rsid w:val="00736755"/>
    <w:rsid w:val="0073679C"/>
    <w:rsid w:val="007368BB"/>
    <w:rsid w:val="00736BD1"/>
    <w:rsid w:val="00736CB6"/>
    <w:rsid w:val="00736E32"/>
    <w:rsid w:val="00736E66"/>
    <w:rsid w:val="00737326"/>
    <w:rsid w:val="00737372"/>
    <w:rsid w:val="0073737F"/>
    <w:rsid w:val="007373A7"/>
    <w:rsid w:val="00737430"/>
    <w:rsid w:val="0073750B"/>
    <w:rsid w:val="00737560"/>
    <w:rsid w:val="007376A9"/>
    <w:rsid w:val="007377E9"/>
    <w:rsid w:val="00737918"/>
    <w:rsid w:val="00737A37"/>
    <w:rsid w:val="00737D02"/>
    <w:rsid w:val="00737E92"/>
    <w:rsid w:val="00740019"/>
    <w:rsid w:val="00740358"/>
    <w:rsid w:val="0074038A"/>
    <w:rsid w:val="0074046C"/>
    <w:rsid w:val="00740478"/>
    <w:rsid w:val="007404EE"/>
    <w:rsid w:val="00740632"/>
    <w:rsid w:val="007406BF"/>
    <w:rsid w:val="00740724"/>
    <w:rsid w:val="0074098D"/>
    <w:rsid w:val="00740AEB"/>
    <w:rsid w:val="00740AF2"/>
    <w:rsid w:val="00740BE5"/>
    <w:rsid w:val="00740BF9"/>
    <w:rsid w:val="00740D02"/>
    <w:rsid w:val="00740F49"/>
    <w:rsid w:val="007411FC"/>
    <w:rsid w:val="0074122B"/>
    <w:rsid w:val="007412E9"/>
    <w:rsid w:val="0074130C"/>
    <w:rsid w:val="0074157A"/>
    <w:rsid w:val="00741612"/>
    <w:rsid w:val="00741689"/>
    <w:rsid w:val="00741A25"/>
    <w:rsid w:val="00741C14"/>
    <w:rsid w:val="00741D9D"/>
    <w:rsid w:val="00741FEB"/>
    <w:rsid w:val="007420BB"/>
    <w:rsid w:val="007420C8"/>
    <w:rsid w:val="0074213E"/>
    <w:rsid w:val="007421EA"/>
    <w:rsid w:val="00742452"/>
    <w:rsid w:val="00742515"/>
    <w:rsid w:val="00742723"/>
    <w:rsid w:val="007428DD"/>
    <w:rsid w:val="00742943"/>
    <w:rsid w:val="007429F8"/>
    <w:rsid w:val="00742A54"/>
    <w:rsid w:val="00742ACE"/>
    <w:rsid w:val="00742B51"/>
    <w:rsid w:val="00742C59"/>
    <w:rsid w:val="00742E9B"/>
    <w:rsid w:val="00743398"/>
    <w:rsid w:val="00743514"/>
    <w:rsid w:val="007436A4"/>
    <w:rsid w:val="007436CA"/>
    <w:rsid w:val="007436F9"/>
    <w:rsid w:val="00743882"/>
    <w:rsid w:val="007439D9"/>
    <w:rsid w:val="00743BD5"/>
    <w:rsid w:val="00743D00"/>
    <w:rsid w:val="00743D72"/>
    <w:rsid w:val="00743DA3"/>
    <w:rsid w:val="00743EA8"/>
    <w:rsid w:val="0074406A"/>
    <w:rsid w:val="007440C5"/>
    <w:rsid w:val="00744636"/>
    <w:rsid w:val="0074479F"/>
    <w:rsid w:val="007447B2"/>
    <w:rsid w:val="007447E7"/>
    <w:rsid w:val="00744885"/>
    <w:rsid w:val="007449D8"/>
    <w:rsid w:val="007449EE"/>
    <w:rsid w:val="00744BC2"/>
    <w:rsid w:val="007450BA"/>
    <w:rsid w:val="00745189"/>
    <w:rsid w:val="007452F9"/>
    <w:rsid w:val="00745379"/>
    <w:rsid w:val="00745428"/>
    <w:rsid w:val="007454AA"/>
    <w:rsid w:val="007457EE"/>
    <w:rsid w:val="00745A3E"/>
    <w:rsid w:val="00745AD3"/>
    <w:rsid w:val="00745E82"/>
    <w:rsid w:val="007462B0"/>
    <w:rsid w:val="007466F6"/>
    <w:rsid w:val="00746701"/>
    <w:rsid w:val="00746888"/>
    <w:rsid w:val="0074688B"/>
    <w:rsid w:val="0074695B"/>
    <w:rsid w:val="007469B4"/>
    <w:rsid w:val="00746AAC"/>
    <w:rsid w:val="00746AEE"/>
    <w:rsid w:val="00746E21"/>
    <w:rsid w:val="00746E27"/>
    <w:rsid w:val="00746E52"/>
    <w:rsid w:val="00746E53"/>
    <w:rsid w:val="0074710C"/>
    <w:rsid w:val="0074713B"/>
    <w:rsid w:val="0074745F"/>
    <w:rsid w:val="00747575"/>
    <w:rsid w:val="00747874"/>
    <w:rsid w:val="0074798E"/>
    <w:rsid w:val="00747A42"/>
    <w:rsid w:val="00747A4F"/>
    <w:rsid w:val="00747AE0"/>
    <w:rsid w:val="00747C54"/>
    <w:rsid w:val="00747C6F"/>
    <w:rsid w:val="00747D9C"/>
    <w:rsid w:val="00747E4E"/>
    <w:rsid w:val="00747E57"/>
    <w:rsid w:val="00747F28"/>
    <w:rsid w:val="00750100"/>
    <w:rsid w:val="00750110"/>
    <w:rsid w:val="00750115"/>
    <w:rsid w:val="007503BC"/>
    <w:rsid w:val="00750682"/>
    <w:rsid w:val="007508F2"/>
    <w:rsid w:val="00750A03"/>
    <w:rsid w:val="00750B64"/>
    <w:rsid w:val="00750CAB"/>
    <w:rsid w:val="00750D6C"/>
    <w:rsid w:val="00750DC0"/>
    <w:rsid w:val="00750DEB"/>
    <w:rsid w:val="00750EBA"/>
    <w:rsid w:val="00750F2A"/>
    <w:rsid w:val="0075102C"/>
    <w:rsid w:val="00751055"/>
    <w:rsid w:val="00751486"/>
    <w:rsid w:val="0075166A"/>
    <w:rsid w:val="007518B9"/>
    <w:rsid w:val="007518D1"/>
    <w:rsid w:val="007518F1"/>
    <w:rsid w:val="00751975"/>
    <w:rsid w:val="00751AC2"/>
    <w:rsid w:val="00751B22"/>
    <w:rsid w:val="00751B50"/>
    <w:rsid w:val="00751DBC"/>
    <w:rsid w:val="00751DDC"/>
    <w:rsid w:val="00751DDF"/>
    <w:rsid w:val="00751E98"/>
    <w:rsid w:val="00751F27"/>
    <w:rsid w:val="007520EE"/>
    <w:rsid w:val="00752109"/>
    <w:rsid w:val="00752318"/>
    <w:rsid w:val="00752347"/>
    <w:rsid w:val="00752371"/>
    <w:rsid w:val="00752373"/>
    <w:rsid w:val="00752467"/>
    <w:rsid w:val="007524D2"/>
    <w:rsid w:val="00752887"/>
    <w:rsid w:val="00752B74"/>
    <w:rsid w:val="00752F28"/>
    <w:rsid w:val="00752F62"/>
    <w:rsid w:val="007531C3"/>
    <w:rsid w:val="007532F4"/>
    <w:rsid w:val="00753367"/>
    <w:rsid w:val="00753376"/>
    <w:rsid w:val="00753548"/>
    <w:rsid w:val="0075356F"/>
    <w:rsid w:val="00753946"/>
    <w:rsid w:val="00753A0B"/>
    <w:rsid w:val="00753CE2"/>
    <w:rsid w:val="00753D2D"/>
    <w:rsid w:val="00754000"/>
    <w:rsid w:val="007542B9"/>
    <w:rsid w:val="007542C5"/>
    <w:rsid w:val="0075453B"/>
    <w:rsid w:val="007547E9"/>
    <w:rsid w:val="00754B82"/>
    <w:rsid w:val="00754C75"/>
    <w:rsid w:val="00754FE6"/>
    <w:rsid w:val="00755595"/>
    <w:rsid w:val="007556AD"/>
    <w:rsid w:val="007558FA"/>
    <w:rsid w:val="00755E52"/>
    <w:rsid w:val="007560C6"/>
    <w:rsid w:val="007560EB"/>
    <w:rsid w:val="007564CC"/>
    <w:rsid w:val="00756875"/>
    <w:rsid w:val="007568B0"/>
    <w:rsid w:val="00757026"/>
    <w:rsid w:val="007570B5"/>
    <w:rsid w:val="00757130"/>
    <w:rsid w:val="007571DF"/>
    <w:rsid w:val="00757373"/>
    <w:rsid w:val="007574BC"/>
    <w:rsid w:val="007575AD"/>
    <w:rsid w:val="007577E4"/>
    <w:rsid w:val="00757837"/>
    <w:rsid w:val="00757843"/>
    <w:rsid w:val="00757CA0"/>
    <w:rsid w:val="00760097"/>
    <w:rsid w:val="007602A5"/>
    <w:rsid w:val="007603C2"/>
    <w:rsid w:val="007605C7"/>
    <w:rsid w:val="00760742"/>
    <w:rsid w:val="0076081F"/>
    <w:rsid w:val="00760860"/>
    <w:rsid w:val="00760EA0"/>
    <w:rsid w:val="00760ECB"/>
    <w:rsid w:val="00761207"/>
    <w:rsid w:val="00761512"/>
    <w:rsid w:val="0076157D"/>
    <w:rsid w:val="00761631"/>
    <w:rsid w:val="00761679"/>
    <w:rsid w:val="007617C8"/>
    <w:rsid w:val="00761813"/>
    <w:rsid w:val="007619AE"/>
    <w:rsid w:val="00761B67"/>
    <w:rsid w:val="00761C16"/>
    <w:rsid w:val="00761C89"/>
    <w:rsid w:val="00762121"/>
    <w:rsid w:val="0076216B"/>
    <w:rsid w:val="0076253E"/>
    <w:rsid w:val="00762655"/>
    <w:rsid w:val="00762807"/>
    <w:rsid w:val="00762817"/>
    <w:rsid w:val="00762850"/>
    <w:rsid w:val="00762860"/>
    <w:rsid w:val="007629EF"/>
    <w:rsid w:val="00762A51"/>
    <w:rsid w:val="00762B19"/>
    <w:rsid w:val="00762E3A"/>
    <w:rsid w:val="00763338"/>
    <w:rsid w:val="007633ED"/>
    <w:rsid w:val="007634FA"/>
    <w:rsid w:val="0076371D"/>
    <w:rsid w:val="007637FF"/>
    <w:rsid w:val="00763920"/>
    <w:rsid w:val="00763A80"/>
    <w:rsid w:val="00763B3D"/>
    <w:rsid w:val="00763D07"/>
    <w:rsid w:val="00763E53"/>
    <w:rsid w:val="00763E93"/>
    <w:rsid w:val="00764198"/>
    <w:rsid w:val="007641F5"/>
    <w:rsid w:val="007642F4"/>
    <w:rsid w:val="0076461E"/>
    <w:rsid w:val="007646B5"/>
    <w:rsid w:val="00764825"/>
    <w:rsid w:val="00764C44"/>
    <w:rsid w:val="00765019"/>
    <w:rsid w:val="0076507A"/>
    <w:rsid w:val="00765191"/>
    <w:rsid w:val="0076542A"/>
    <w:rsid w:val="00765562"/>
    <w:rsid w:val="007656AE"/>
    <w:rsid w:val="007656E1"/>
    <w:rsid w:val="0076571E"/>
    <w:rsid w:val="00765758"/>
    <w:rsid w:val="007658AB"/>
    <w:rsid w:val="00765EC4"/>
    <w:rsid w:val="00765F59"/>
    <w:rsid w:val="00765FC8"/>
    <w:rsid w:val="00765FCC"/>
    <w:rsid w:val="007660F1"/>
    <w:rsid w:val="0076624F"/>
    <w:rsid w:val="007662FD"/>
    <w:rsid w:val="0076637F"/>
    <w:rsid w:val="00766412"/>
    <w:rsid w:val="00766654"/>
    <w:rsid w:val="007667B4"/>
    <w:rsid w:val="0076688E"/>
    <w:rsid w:val="00766A3F"/>
    <w:rsid w:val="00766BFD"/>
    <w:rsid w:val="00767133"/>
    <w:rsid w:val="00767260"/>
    <w:rsid w:val="00767352"/>
    <w:rsid w:val="00767470"/>
    <w:rsid w:val="007675AD"/>
    <w:rsid w:val="0076763B"/>
    <w:rsid w:val="007678FC"/>
    <w:rsid w:val="00767965"/>
    <w:rsid w:val="00767A91"/>
    <w:rsid w:val="00767D22"/>
    <w:rsid w:val="00767ED9"/>
    <w:rsid w:val="00770055"/>
    <w:rsid w:val="0077021D"/>
    <w:rsid w:val="00770614"/>
    <w:rsid w:val="00770709"/>
    <w:rsid w:val="00770998"/>
    <w:rsid w:val="00770D0E"/>
    <w:rsid w:val="00770EB0"/>
    <w:rsid w:val="00770FA0"/>
    <w:rsid w:val="00770FAF"/>
    <w:rsid w:val="007710D7"/>
    <w:rsid w:val="007710E3"/>
    <w:rsid w:val="007711D9"/>
    <w:rsid w:val="00771584"/>
    <w:rsid w:val="007718FF"/>
    <w:rsid w:val="0077191D"/>
    <w:rsid w:val="00771A6C"/>
    <w:rsid w:val="00771ADB"/>
    <w:rsid w:val="00771CAE"/>
    <w:rsid w:val="00771CCA"/>
    <w:rsid w:val="00771CD5"/>
    <w:rsid w:val="00771CE4"/>
    <w:rsid w:val="00771E30"/>
    <w:rsid w:val="00771E8B"/>
    <w:rsid w:val="00771F81"/>
    <w:rsid w:val="00772139"/>
    <w:rsid w:val="0077217C"/>
    <w:rsid w:val="007722B8"/>
    <w:rsid w:val="007725F8"/>
    <w:rsid w:val="007728A6"/>
    <w:rsid w:val="007728AA"/>
    <w:rsid w:val="0077291F"/>
    <w:rsid w:val="00772C33"/>
    <w:rsid w:val="00772D15"/>
    <w:rsid w:val="00772D99"/>
    <w:rsid w:val="00772E7C"/>
    <w:rsid w:val="0077302F"/>
    <w:rsid w:val="0077341C"/>
    <w:rsid w:val="007736AE"/>
    <w:rsid w:val="00773979"/>
    <w:rsid w:val="00773B45"/>
    <w:rsid w:val="00773B5B"/>
    <w:rsid w:val="00773CF0"/>
    <w:rsid w:val="00773E67"/>
    <w:rsid w:val="00773EF5"/>
    <w:rsid w:val="007740DC"/>
    <w:rsid w:val="0077430D"/>
    <w:rsid w:val="00774329"/>
    <w:rsid w:val="007745F0"/>
    <w:rsid w:val="0077470C"/>
    <w:rsid w:val="007747C9"/>
    <w:rsid w:val="00774BD7"/>
    <w:rsid w:val="00774FE5"/>
    <w:rsid w:val="00775218"/>
    <w:rsid w:val="0077533F"/>
    <w:rsid w:val="0077545E"/>
    <w:rsid w:val="00775779"/>
    <w:rsid w:val="007757B5"/>
    <w:rsid w:val="00775D4E"/>
    <w:rsid w:val="00775E9B"/>
    <w:rsid w:val="00775EA4"/>
    <w:rsid w:val="00776013"/>
    <w:rsid w:val="00776095"/>
    <w:rsid w:val="00776181"/>
    <w:rsid w:val="007765BC"/>
    <w:rsid w:val="00776856"/>
    <w:rsid w:val="00776918"/>
    <w:rsid w:val="0077693E"/>
    <w:rsid w:val="00776978"/>
    <w:rsid w:val="00776A80"/>
    <w:rsid w:val="00776D4C"/>
    <w:rsid w:val="00776EAE"/>
    <w:rsid w:val="00776FC1"/>
    <w:rsid w:val="00777003"/>
    <w:rsid w:val="0077709B"/>
    <w:rsid w:val="00777492"/>
    <w:rsid w:val="007775DA"/>
    <w:rsid w:val="0077763E"/>
    <w:rsid w:val="00777661"/>
    <w:rsid w:val="007777DD"/>
    <w:rsid w:val="007777F2"/>
    <w:rsid w:val="00777814"/>
    <w:rsid w:val="00777899"/>
    <w:rsid w:val="00777AA9"/>
    <w:rsid w:val="00777BA8"/>
    <w:rsid w:val="00777C78"/>
    <w:rsid w:val="00777D19"/>
    <w:rsid w:val="00777E06"/>
    <w:rsid w:val="00777E4E"/>
    <w:rsid w:val="00780362"/>
    <w:rsid w:val="00780675"/>
    <w:rsid w:val="00780AB6"/>
    <w:rsid w:val="00780B84"/>
    <w:rsid w:val="00780C1E"/>
    <w:rsid w:val="00780C77"/>
    <w:rsid w:val="00780DC8"/>
    <w:rsid w:val="00780F2E"/>
    <w:rsid w:val="00781287"/>
    <w:rsid w:val="00781393"/>
    <w:rsid w:val="00781408"/>
    <w:rsid w:val="00781444"/>
    <w:rsid w:val="007814C8"/>
    <w:rsid w:val="007814DA"/>
    <w:rsid w:val="0078154D"/>
    <w:rsid w:val="0078159E"/>
    <w:rsid w:val="00781652"/>
    <w:rsid w:val="0078188C"/>
    <w:rsid w:val="00781974"/>
    <w:rsid w:val="00781A54"/>
    <w:rsid w:val="00781B17"/>
    <w:rsid w:val="00781B1B"/>
    <w:rsid w:val="00781D89"/>
    <w:rsid w:val="00781DF4"/>
    <w:rsid w:val="00781F24"/>
    <w:rsid w:val="00781F90"/>
    <w:rsid w:val="0078270D"/>
    <w:rsid w:val="00782722"/>
    <w:rsid w:val="007827EC"/>
    <w:rsid w:val="00782EB9"/>
    <w:rsid w:val="00783113"/>
    <w:rsid w:val="00783290"/>
    <w:rsid w:val="007832C4"/>
    <w:rsid w:val="007832F8"/>
    <w:rsid w:val="00783471"/>
    <w:rsid w:val="00783597"/>
    <w:rsid w:val="007835ED"/>
    <w:rsid w:val="00783618"/>
    <w:rsid w:val="00783653"/>
    <w:rsid w:val="0078365C"/>
    <w:rsid w:val="007836A5"/>
    <w:rsid w:val="007836D5"/>
    <w:rsid w:val="00783826"/>
    <w:rsid w:val="007838BC"/>
    <w:rsid w:val="00783923"/>
    <w:rsid w:val="00783927"/>
    <w:rsid w:val="00783939"/>
    <w:rsid w:val="00783A7E"/>
    <w:rsid w:val="00783D0B"/>
    <w:rsid w:val="00783E20"/>
    <w:rsid w:val="00783E69"/>
    <w:rsid w:val="00783FC0"/>
    <w:rsid w:val="0078414E"/>
    <w:rsid w:val="00784169"/>
    <w:rsid w:val="007841BA"/>
    <w:rsid w:val="007842BB"/>
    <w:rsid w:val="0078471D"/>
    <w:rsid w:val="0078482F"/>
    <w:rsid w:val="0078488C"/>
    <w:rsid w:val="007848E3"/>
    <w:rsid w:val="00784960"/>
    <w:rsid w:val="0078498B"/>
    <w:rsid w:val="00784B37"/>
    <w:rsid w:val="00784C44"/>
    <w:rsid w:val="00784D37"/>
    <w:rsid w:val="00784F26"/>
    <w:rsid w:val="0078511F"/>
    <w:rsid w:val="00785331"/>
    <w:rsid w:val="0078555A"/>
    <w:rsid w:val="00785990"/>
    <w:rsid w:val="00785EC2"/>
    <w:rsid w:val="00785EC6"/>
    <w:rsid w:val="00786445"/>
    <w:rsid w:val="00786483"/>
    <w:rsid w:val="007865C0"/>
    <w:rsid w:val="00786728"/>
    <w:rsid w:val="007868B6"/>
    <w:rsid w:val="00786BC0"/>
    <w:rsid w:val="00786FE2"/>
    <w:rsid w:val="00787319"/>
    <w:rsid w:val="007876B7"/>
    <w:rsid w:val="007876F8"/>
    <w:rsid w:val="007877C9"/>
    <w:rsid w:val="007878A6"/>
    <w:rsid w:val="00787BB7"/>
    <w:rsid w:val="00787BF9"/>
    <w:rsid w:val="00787C45"/>
    <w:rsid w:val="00787E33"/>
    <w:rsid w:val="00787E4C"/>
    <w:rsid w:val="0078F135"/>
    <w:rsid w:val="007903EF"/>
    <w:rsid w:val="0079070C"/>
    <w:rsid w:val="00790711"/>
    <w:rsid w:val="00790D80"/>
    <w:rsid w:val="00790F7B"/>
    <w:rsid w:val="007910B5"/>
    <w:rsid w:val="0079115F"/>
    <w:rsid w:val="0079119B"/>
    <w:rsid w:val="0079129F"/>
    <w:rsid w:val="0079151B"/>
    <w:rsid w:val="007916A7"/>
    <w:rsid w:val="0079178A"/>
    <w:rsid w:val="0079188C"/>
    <w:rsid w:val="00791912"/>
    <w:rsid w:val="007919D7"/>
    <w:rsid w:val="00791E72"/>
    <w:rsid w:val="00791E9B"/>
    <w:rsid w:val="00791F78"/>
    <w:rsid w:val="0079205F"/>
    <w:rsid w:val="0079221C"/>
    <w:rsid w:val="0079229B"/>
    <w:rsid w:val="00792437"/>
    <w:rsid w:val="00792501"/>
    <w:rsid w:val="00792733"/>
    <w:rsid w:val="0079281C"/>
    <w:rsid w:val="00792910"/>
    <w:rsid w:val="00792922"/>
    <w:rsid w:val="00792AB6"/>
    <w:rsid w:val="00792AC3"/>
    <w:rsid w:val="00792EFE"/>
    <w:rsid w:val="00792F68"/>
    <w:rsid w:val="00792FD8"/>
    <w:rsid w:val="00793186"/>
    <w:rsid w:val="007931B1"/>
    <w:rsid w:val="00793393"/>
    <w:rsid w:val="00793473"/>
    <w:rsid w:val="0079391C"/>
    <w:rsid w:val="00793ABA"/>
    <w:rsid w:val="00793B5C"/>
    <w:rsid w:val="00793CD3"/>
    <w:rsid w:val="00793D98"/>
    <w:rsid w:val="00793F04"/>
    <w:rsid w:val="00793FB7"/>
    <w:rsid w:val="0079409C"/>
    <w:rsid w:val="00794255"/>
    <w:rsid w:val="00794300"/>
    <w:rsid w:val="00794463"/>
    <w:rsid w:val="007944E7"/>
    <w:rsid w:val="007944FA"/>
    <w:rsid w:val="0079453B"/>
    <w:rsid w:val="00794679"/>
    <w:rsid w:val="007947DB"/>
    <w:rsid w:val="00794821"/>
    <w:rsid w:val="00794872"/>
    <w:rsid w:val="0079499B"/>
    <w:rsid w:val="00794BD1"/>
    <w:rsid w:val="00794FFF"/>
    <w:rsid w:val="007952C4"/>
    <w:rsid w:val="0079564D"/>
    <w:rsid w:val="0079568C"/>
    <w:rsid w:val="00795881"/>
    <w:rsid w:val="00795D8D"/>
    <w:rsid w:val="00796231"/>
    <w:rsid w:val="0079635F"/>
    <w:rsid w:val="007963CA"/>
    <w:rsid w:val="007964A7"/>
    <w:rsid w:val="00796568"/>
    <w:rsid w:val="007969C0"/>
    <w:rsid w:val="00796AED"/>
    <w:rsid w:val="00796B09"/>
    <w:rsid w:val="00796C13"/>
    <w:rsid w:val="00796CF2"/>
    <w:rsid w:val="00796CFB"/>
    <w:rsid w:val="00796DB5"/>
    <w:rsid w:val="00796F3F"/>
    <w:rsid w:val="00796F9A"/>
    <w:rsid w:val="007970A9"/>
    <w:rsid w:val="00797951"/>
    <w:rsid w:val="00797BA4"/>
    <w:rsid w:val="00797E28"/>
    <w:rsid w:val="00797F89"/>
    <w:rsid w:val="00797FF8"/>
    <w:rsid w:val="007A0071"/>
    <w:rsid w:val="007A03D9"/>
    <w:rsid w:val="007A0517"/>
    <w:rsid w:val="007A06CA"/>
    <w:rsid w:val="007A0875"/>
    <w:rsid w:val="007A09A2"/>
    <w:rsid w:val="007A09E4"/>
    <w:rsid w:val="007A0D79"/>
    <w:rsid w:val="007A0D92"/>
    <w:rsid w:val="007A10A3"/>
    <w:rsid w:val="007A10B1"/>
    <w:rsid w:val="007A119E"/>
    <w:rsid w:val="007A11A2"/>
    <w:rsid w:val="007A11FD"/>
    <w:rsid w:val="007A123A"/>
    <w:rsid w:val="007A1295"/>
    <w:rsid w:val="007A12C8"/>
    <w:rsid w:val="007A1374"/>
    <w:rsid w:val="007A137F"/>
    <w:rsid w:val="007A13C8"/>
    <w:rsid w:val="007A146B"/>
    <w:rsid w:val="007A1D7E"/>
    <w:rsid w:val="007A1DA9"/>
    <w:rsid w:val="007A1DB9"/>
    <w:rsid w:val="007A208F"/>
    <w:rsid w:val="007A22AA"/>
    <w:rsid w:val="007A233D"/>
    <w:rsid w:val="007A233F"/>
    <w:rsid w:val="007A234B"/>
    <w:rsid w:val="007A25BF"/>
    <w:rsid w:val="007A25F3"/>
    <w:rsid w:val="007A2740"/>
    <w:rsid w:val="007A2845"/>
    <w:rsid w:val="007A2916"/>
    <w:rsid w:val="007A29FB"/>
    <w:rsid w:val="007A2B4D"/>
    <w:rsid w:val="007A2C2C"/>
    <w:rsid w:val="007A2CB0"/>
    <w:rsid w:val="007A2D09"/>
    <w:rsid w:val="007A2F44"/>
    <w:rsid w:val="007A314C"/>
    <w:rsid w:val="007A3179"/>
    <w:rsid w:val="007A327F"/>
    <w:rsid w:val="007A330A"/>
    <w:rsid w:val="007A34E7"/>
    <w:rsid w:val="007A358D"/>
    <w:rsid w:val="007A35C2"/>
    <w:rsid w:val="007A37CC"/>
    <w:rsid w:val="007A39C6"/>
    <w:rsid w:val="007A3A1D"/>
    <w:rsid w:val="007A3B94"/>
    <w:rsid w:val="007A3BF1"/>
    <w:rsid w:val="007A3C5E"/>
    <w:rsid w:val="007A3DE5"/>
    <w:rsid w:val="007A3E33"/>
    <w:rsid w:val="007A41F1"/>
    <w:rsid w:val="007A428D"/>
    <w:rsid w:val="007A4423"/>
    <w:rsid w:val="007A452E"/>
    <w:rsid w:val="007A4998"/>
    <w:rsid w:val="007A49D3"/>
    <w:rsid w:val="007A4AE1"/>
    <w:rsid w:val="007A4B3F"/>
    <w:rsid w:val="007A4E85"/>
    <w:rsid w:val="007A54C5"/>
    <w:rsid w:val="007A561C"/>
    <w:rsid w:val="007A56FD"/>
    <w:rsid w:val="007A5737"/>
    <w:rsid w:val="007A5826"/>
    <w:rsid w:val="007A59EB"/>
    <w:rsid w:val="007A5C4A"/>
    <w:rsid w:val="007A5DBE"/>
    <w:rsid w:val="007A5F8A"/>
    <w:rsid w:val="007A5FB6"/>
    <w:rsid w:val="007A613C"/>
    <w:rsid w:val="007A6186"/>
    <w:rsid w:val="007A627C"/>
    <w:rsid w:val="007A63B4"/>
    <w:rsid w:val="007A6456"/>
    <w:rsid w:val="007A65F9"/>
    <w:rsid w:val="007A6653"/>
    <w:rsid w:val="007A6660"/>
    <w:rsid w:val="007A668A"/>
    <w:rsid w:val="007A68B3"/>
    <w:rsid w:val="007A68C5"/>
    <w:rsid w:val="007A6EBD"/>
    <w:rsid w:val="007A6F5C"/>
    <w:rsid w:val="007A7241"/>
    <w:rsid w:val="007A74BD"/>
    <w:rsid w:val="007A75E2"/>
    <w:rsid w:val="007A7942"/>
    <w:rsid w:val="007A7AE9"/>
    <w:rsid w:val="007A7AFD"/>
    <w:rsid w:val="007A7C89"/>
    <w:rsid w:val="007A7E77"/>
    <w:rsid w:val="007A7EF9"/>
    <w:rsid w:val="007A7F80"/>
    <w:rsid w:val="007A7F9B"/>
    <w:rsid w:val="007A9F6E"/>
    <w:rsid w:val="007B0055"/>
    <w:rsid w:val="007B013A"/>
    <w:rsid w:val="007B024F"/>
    <w:rsid w:val="007B0493"/>
    <w:rsid w:val="007B049F"/>
    <w:rsid w:val="007B07AF"/>
    <w:rsid w:val="007B09EC"/>
    <w:rsid w:val="007B0D01"/>
    <w:rsid w:val="007B0DC0"/>
    <w:rsid w:val="007B0DD6"/>
    <w:rsid w:val="007B0DE1"/>
    <w:rsid w:val="007B0E9C"/>
    <w:rsid w:val="007B102E"/>
    <w:rsid w:val="007B1787"/>
    <w:rsid w:val="007B1A6B"/>
    <w:rsid w:val="007B1B32"/>
    <w:rsid w:val="007B1BE5"/>
    <w:rsid w:val="007B1C0E"/>
    <w:rsid w:val="007B21A1"/>
    <w:rsid w:val="007B2222"/>
    <w:rsid w:val="007B258B"/>
    <w:rsid w:val="007B2949"/>
    <w:rsid w:val="007B295F"/>
    <w:rsid w:val="007B2A94"/>
    <w:rsid w:val="007B2B90"/>
    <w:rsid w:val="007B2B98"/>
    <w:rsid w:val="007B2BE6"/>
    <w:rsid w:val="007B2C56"/>
    <w:rsid w:val="007B2F19"/>
    <w:rsid w:val="007B34C1"/>
    <w:rsid w:val="007B382E"/>
    <w:rsid w:val="007B3A6E"/>
    <w:rsid w:val="007B3AA9"/>
    <w:rsid w:val="007B3B11"/>
    <w:rsid w:val="007B3D2C"/>
    <w:rsid w:val="007B446C"/>
    <w:rsid w:val="007B46DC"/>
    <w:rsid w:val="007B486B"/>
    <w:rsid w:val="007B49A1"/>
    <w:rsid w:val="007B4D4A"/>
    <w:rsid w:val="007B5194"/>
    <w:rsid w:val="007B5253"/>
    <w:rsid w:val="007B52A7"/>
    <w:rsid w:val="007B52BD"/>
    <w:rsid w:val="007B5345"/>
    <w:rsid w:val="007B54E1"/>
    <w:rsid w:val="007B5617"/>
    <w:rsid w:val="007B56A7"/>
    <w:rsid w:val="007B56F9"/>
    <w:rsid w:val="007B574D"/>
    <w:rsid w:val="007B5A74"/>
    <w:rsid w:val="007B5E1B"/>
    <w:rsid w:val="007B6080"/>
    <w:rsid w:val="007B60C0"/>
    <w:rsid w:val="007B62D7"/>
    <w:rsid w:val="007B647C"/>
    <w:rsid w:val="007B65BC"/>
    <w:rsid w:val="007B68D7"/>
    <w:rsid w:val="007B6917"/>
    <w:rsid w:val="007B6996"/>
    <w:rsid w:val="007B69FB"/>
    <w:rsid w:val="007B6A94"/>
    <w:rsid w:val="007B6B34"/>
    <w:rsid w:val="007B6BA5"/>
    <w:rsid w:val="007B6CCF"/>
    <w:rsid w:val="007B6CD0"/>
    <w:rsid w:val="007B6DA8"/>
    <w:rsid w:val="007B6F67"/>
    <w:rsid w:val="007B7196"/>
    <w:rsid w:val="007B7251"/>
    <w:rsid w:val="007B752F"/>
    <w:rsid w:val="007B754F"/>
    <w:rsid w:val="007B7673"/>
    <w:rsid w:val="007B7728"/>
    <w:rsid w:val="007B79CE"/>
    <w:rsid w:val="007B7B37"/>
    <w:rsid w:val="007B7C56"/>
    <w:rsid w:val="007B7EED"/>
    <w:rsid w:val="007C000D"/>
    <w:rsid w:val="007C002B"/>
    <w:rsid w:val="007C039B"/>
    <w:rsid w:val="007C03ED"/>
    <w:rsid w:val="007C060F"/>
    <w:rsid w:val="007C07A6"/>
    <w:rsid w:val="007C088C"/>
    <w:rsid w:val="007C08A2"/>
    <w:rsid w:val="007C090E"/>
    <w:rsid w:val="007C0E22"/>
    <w:rsid w:val="007C0EDD"/>
    <w:rsid w:val="007C10A2"/>
    <w:rsid w:val="007C112C"/>
    <w:rsid w:val="007C12C9"/>
    <w:rsid w:val="007C12D2"/>
    <w:rsid w:val="007C1381"/>
    <w:rsid w:val="007C1463"/>
    <w:rsid w:val="007C148C"/>
    <w:rsid w:val="007C16EF"/>
    <w:rsid w:val="007C1818"/>
    <w:rsid w:val="007C184F"/>
    <w:rsid w:val="007C1C64"/>
    <w:rsid w:val="007C2249"/>
    <w:rsid w:val="007C22B9"/>
    <w:rsid w:val="007C233F"/>
    <w:rsid w:val="007C2402"/>
    <w:rsid w:val="007C264C"/>
    <w:rsid w:val="007C265D"/>
    <w:rsid w:val="007C26FA"/>
    <w:rsid w:val="007C2762"/>
    <w:rsid w:val="007C284B"/>
    <w:rsid w:val="007C2931"/>
    <w:rsid w:val="007C2BC8"/>
    <w:rsid w:val="007C2CBA"/>
    <w:rsid w:val="007C2FFC"/>
    <w:rsid w:val="007C32A5"/>
    <w:rsid w:val="007C32BC"/>
    <w:rsid w:val="007C3310"/>
    <w:rsid w:val="007C3463"/>
    <w:rsid w:val="007C3501"/>
    <w:rsid w:val="007C3525"/>
    <w:rsid w:val="007C37E4"/>
    <w:rsid w:val="007C37EF"/>
    <w:rsid w:val="007C389B"/>
    <w:rsid w:val="007C39FB"/>
    <w:rsid w:val="007C3A02"/>
    <w:rsid w:val="007C3BEC"/>
    <w:rsid w:val="007C3C3A"/>
    <w:rsid w:val="007C3CE1"/>
    <w:rsid w:val="007C3F9E"/>
    <w:rsid w:val="007C3FF5"/>
    <w:rsid w:val="007C4231"/>
    <w:rsid w:val="007C4296"/>
    <w:rsid w:val="007C442C"/>
    <w:rsid w:val="007C452A"/>
    <w:rsid w:val="007C454B"/>
    <w:rsid w:val="007C4939"/>
    <w:rsid w:val="007C4BAE"/>
    <w:rsid w:val="007C4C40"/>
    <w:rsid w:val="007C4DD2"/>
    <w:rsid w:val="007C5155"/>
    <w:rsid w:val="007C54ED"/>
    <w:rsid w:val="007C55E7"/>
    <w:rsid w:val="007C56A0"/>
    <w:rsid w:val="007C56F7"/>
    <w:rsid w:val="007C5C48"/>
    <w:rsid w:val="007C5D4E"/>
    <w:rsid w:val="007C5EE3"/>
    <w:rsid w:val="007C6045"/>
    <w:rsid w:val="007C643D"/>
    <w:rsid w:val="007C64B1"/>
    <w:rsid w:val="007C64DF"/>
    <w:rsid w:val="007C65B5"/>
    <w:rsid w:val="007C6718"/>
    <w:rsid w:val="007C67B3"/>
    <w:rsid w:val="007C68B4"/>
    <w:rsid w:val="007C6B53"/>
    <w:rsid w:val="007C6BF0"/>
    <w:rsid w:val="007C6E5C"/>
    <w:rsid w:val="007C6F69"/>
    <w:rsid w:val="007C7070"/>
    <w:rsid w:val="007C72C7"/>
    <w:rsid w:val="007C739A"/>
    <w:rsid w:val="007C753E"/>
    <w:rsid w:val="007C7786"/>
    <w:rsid w:val="007C7B01"/>
    <w:rsid w:val="007C7B2E"/>
    <w:rsid w:val="007C7B62"/>
    <w:rsid w:val="007C7B6C"/>
    <w:rsid w:val="007C7D96"/>
    <w:rsid w:val="007C7F13"/>
    <w:rsid w:val="007C7F61"/>
    <w:rsid w:val="007CA431"/>
    <w:rsid w:val="007D0178"/>
    <w:rsid w:val="007D01B3"/>
    <w:rsid w:val="007D05E3"/>
    <w:rsid w:val="007D0609"/>
    <w:rsid w:val="007D0773"/>
    <w:rsid w:val="007D07C5"/>
    <w:rsid w:val="007D0998"/>
    <w:rsid w:val="007D0AAA"/>
    <w:rsid w:val="007D0B15"/>
    <w:rsid w:val="007D0BBE"/>
    <w:rsid w:val="007D0D7C"/>
    <w:rsid w:val="007D10DC"/>
    <w:rsid w:val="007D11C4"/>
    <w:rsid w:val="007D135D"/>
    <w:rsid w:val="007D151D"/>
    <w:rsid w:val="007D1708"/>
    <w:rsid w:val="007D18AD"/>
    <w:rsid w:val="007D1C19"/>
    <w:rsid w:val="007D1F1B"/>
    <w:rsid w:val="007D2052"/>
    <w:rsid w:val="007D2089"/>
    <w:rsid w:val="007D210D"/>
    <w:rsid w:val="007D2168"/>
    <w:rsid w:val="007D25FA"/>
    <w:rsid w:val="007D268C"/>
    <w:rsid w:val="007D27A0"/>
    <w:rsid w:val="007D27C4"/>
    <w:rsid w:val="007D2B4B"/>
    <w:rsid w:val="007D2E08"/>
    <w:rsid w:val="007D2E24"/>
    <w:rsid w:val="007D32F5"/>
    <w:rsid w:val="007D33D6"/>
    <w:rsid w:val="007D3511"/>
    <w:rsid w:val="007D3515"/>
    <w:rsid w:val="007D352A"/>
    <w:rsid w:val="007D3806"/>
    <w:rsid w:val="007D3934"/>
    <w:rsid w:val="007D39DB"/>
    <w:rsid w:val="007D3AD1"/>
    <w:rsid w:val="007D3B29"/>
    <w:rsid w:val="007D3DC6"/>
    <w:rsid w:val="007D3E3A"/>
    <w:rsid w:val="007D3EF5"/>
    <w:rsid w:val="007D3F85"/>
    <w:rsid w:val="007D4008"/>
    <w:rsid w:val="007D40D3"/>
    <w:rsid w:val="007D4146"/>
    <w:rsid w:val="007D41E0"/>
    <w:rsid w:val="007D446F"/>
    <w:rsid w:val="007D46F0"/>
    <w:rsid w:val="007D488D"/>
    <w:rsid w:val="007D48A9"/>
    <w:rsid w:val="007D4C00"/>
    <w:rsid w:val="007D4C67"/>
    <w:rsid w:val="007D5085"/>
    <w:rsid w:val="007D50D1"/>
    <w:rsid w:val="007D510C"/>
    <w:rsid w:val="007D5344"/>
    <w:rsid w:val="007D5366"/>
    <w:rsid w:val="007D54D7"/>
    <w:rsid w:val="007D5586"/>
    <w:rsid w:val="007D5625"/>
    <w:rsid w:val="007D562D"/>
    <w:rsid w:val="007D5817"/>
    <w:rsid w:val="007D5DC9"/>
    <w:rsid w:val="007D5FB3"/>
    <w:rsid w:val="007D61BF"/>
    <w:rsid w:val="007D647F"/>
    <w:rsid w:val="007D65D6"/>
    <w:rsid w:val="007D67F0"/>
    <w:rsid w:val="007D6811"/>
    <w:rsid w:val="007D6FA3"/>
    <w:rsid w:val="007D73DC"/>
    <w:rsid w:val="007D73E7"/>
    <w:rsid w:val="007D77B9"/>
    <w:rsid w:val="007D7ABA"/>
    <w:rsid w:val="007D7C41"/>
    <w:rsid w:val="007D7CB4"/>
    <w:rsid w:val="007D7D73"/>
    <w:rsid w:val="007D7EAD"/>
    <w:rsid w:val="007D7EE9"/>
    <w:rsid w:val="007E004F"/>
    <w:rsid w:val="007E00E0"/>
    <w:rsid w:val="007E0573"/>
    <w:rsid w:val="007E0634"/>
    <w:rsid w:val="007E065D"/>
    <w:rsid w:val="007E0685"/>
    <w:rsid w:val="007E0D09"/>
    <w:rsid w:val="007E0FF0"/>
    <w:rsid w:val="007E13B0"/>
    <w:rsid w:val="007E1484"/>
    <w:rsid w:val="007E156D"/>
    <w:rsid w:val="007E1598"/>
    <w:rsid w:val="007E15D8"/>
    <w:rsid w:val="007E1656"/>
    <w:rsid w:val="007E169B"/>
    <w:rsid w:val="007E172D"/>
    <w:rsid w:val="007E1C19"/>
    <w:rsid w:val="007E1C80"/>
    <w:rsid w:val="007E1FBA"/>
    <w:rsid w:val="007E20E7"/>
    <w:rsid w:val="007E2215"/>
    <w:rsid w:val="007E221B"/>
    <w:rsid w:val="007E2339"/>
    <w:rsid w:val="007E24B1"/>
    <w:rsid w:val="007E26DF"/>
    <w:rsid w:val="007E278D"/>
    <w:rsid w:val="007E27EB"/>
    <w:rsid w:val="007E2B63"/>
    <w:rsid w:val="007E2C15"/>
    <w:rsid w:val="007E2C9E"/>
    <w:rsid w:val="007E2D74"/>
    <w:rsid w:val="007E30E2"/>
    <w:rsid w:val="007E3377"/>
    <w:rsid w:val="007E3509"/>
    <w:rsid w:val="007E355F"/>
    <w:rsid w:val="007E3B48"/>
    <w:rsid w:val="007E3C07"/>
    <w:rsid w:val="007E3C50"/>
    <w:rsid w:val="007E3C7F"/>
    <w:rsid w:val="007E3D20"/>
    <w:rsid w:val="007E3D87"/>
    <w:rsid w:val="007E4011"/>
    <w:rsid w:val="007E4022"/>
    <w:rsid w:val="007E44C0"/>
    <w:rsid w:val="007E44F0"/>
    <w:rsid w:val="007E467E"/>
    <w:rsid w:val="007E4708"/>
    <w:rsid w:val="007E47C2"/>
    <w:rsid w:val="007E48A2"/>
    <w:rsid w:val="007E48CB"/>
    <w:rsid w:val="007E48DD"/>
    <w:rsid w:val="007E4A32"/>
    <w:rsid w:val="007E4AA4"/>
    <w:rsid w:val="007E4BC9"/>
    <w:rsid w:val="007E4C0C"/>
    <w:rsid w:val="007E4C3E"/>
    <w:rsid w:val="007E4C51"/>
    <w:rsid w:val="007E4DF5"/>
    <w:rsid w:val="007E4E8E"/>
    <w:rsid w:val="007E514A"/>
    <w:rsid w:val="007E51DB"/>
    <w:rsid w:val="007E541F"/>
    <w:rsid w:val="007E56A0"/>
    <w:rsid w:val="007E56E1"/>
    <w:rsid w:val="007E5E3D"/>
    <w:rsid w:val="007E62DB"/>
    <w:rsid w:val="007E62EA"/>
    <w:rsid w:val="007E67B4"/>
    <w:rsid w:val="007E67CD"/>
    <w:rsid w:val="007E6964"/>
    <w:rsid w:val="007E6A68"/>
    <w:rsid w:val="007E6AAF"/>
    <w:rsid w:val="007E6F8D"/>
    <w:rsid w:val="007E71F3"/>
    <w:rsid w:val="007E73A0"/>
    <w:rsid w:val="007E7787"/>
    <w:rsid w:val="007E784C"/>
    <w:rsid w:val="007E7C87"/>
    <w:rsid w:val="007E7C8F"/>
    <w:rsid w:val="007E7D85"/>
    <w:rsid w:val="007E7ECE"/>
    <w:rsid w:val="007F01BD"/>
    <w:rsid w:val="007F01EB"/>
    <w:rsid w:val="007F0201"/>
    <w:rsid w:val="007F037E"/>
    <w:rsid w:val="007F05BC"/>
    <w:rsid w:val="007F05D1"/>
    <w:rsid w:val="007F07D0"/>
    <w:rsid w:val="007F0837"/>
    <w:rsid w:val="007F0979"/>
    <w:rsid w:val="007F09C5"/>
    <w:rsid w:val="007F09F6"/>
    <w:rsid w:val="007F0AB9"/>
    <w:rsid w:val="007F0D08"/>
    <w:rsid w:val="007F0D46"/>
    <w:rsid w:val="007F0F63"/>
    <w:rsid w:val="007F0FC0"/>
    <w:rsid w:val="007F10BB"/>
    <w:rsid w:val="007F1194"/>
    <w:rsid w:val="007F1249"/>
    <w:rsid w:val="007F133C"/>
    <w:rsid w:val="007F1465"/>
    <w:rsid w:val="007F1942"/>
    <w:rsid w:val="007F1D4C"/>
    <w:rsid w:val="007F1E33"/>
    <w:rsid w:val="007F1E47"/>
    <w:rsid w:val="007F2021"/>
    <w:rsid w:val="007F21E2"/>
    <w:rsid w:val="007F2348"/>
    <w:rsid w:val="007F2756"/>
    <w:rsid w:val="007F2838"/>
    <w:rsid w:val="007F2B8D"/>
    <w:rsid w:val="007F2E4F"/>
    <w:rsid w:val="007F2E53"/>
    <w:rsid w:val="007F3044"/>
    <w:rsid w:val="007F3052"/>
    <w:rsid w:val="007F327D"/>
    <w:rsid w:val="007F3501"/>
    <w:rsid w:val="007F3692"/>
    <w:rsid w:val="007F375F"/>
    <w:rsid w:val="007F393F"/>
    <w:rsid w:val="007F3D90"/>
    <w:rsid w:val="007F4003"/>
    <w:rsid w:val="007F425D"/>
    <w:rsid w:val="007F44F4"/>
    <w:rsid w:val="007F46B2"/>
    <w:rsid w:val="007F47D9"/>
    <w:rsid w:val="007F4873"/>
    <w:rsid w:val="007F4ABB"/>
    <w:rsid w:val="007F4AC7"/>
    <w:rsid w:val="007F4BD3"/>
    <w:rsid w:val="007F4C24"/>
    <w:rsid w:val="007F50F7"/>
    <w:rsid w:val="007F5139"/>
    <w:rsid w:val="007F522B"/>
    <w:rsid w:val="007F534C"/>
    <w:rsid w:val="007F545D"/>
    <w:rsid w:val="007F5635"/>
    <w:rsid w:val="007F56E4"/>
    <w:rsid w:val="007F5730"/>
    <w:rsid w:val="007F5779"/>
    <w:rsid w:val="007F57CF"/>
    <w:rsid w:val="007F58A1"/>
    <w:rsid w:val="007F5B0C"/>
    <w:rsid w:val="007F5F07"/>
    <w:rsid w:val="007F5F8F"/>
    <w:rsid w:val="007F60C2"/>
    <w:rsid w:val="007F61E3"/>
    <w:rsid w:val="007F65E5"/>
    <w:rsid w:val="007F6889"/>
    <w:rsid w:val="007F692F"/>
    <w:rsid w:val="007F6B5F"/>
    <w:rsid w:val="007F6C14"/>
    <w:rsid w:val="007F6C96"/>
    <w:rsid w:val="007F6D78"/>
    <w:rsid w:val="007F6F8F"/>
    <w:rsid w:val="007F70DB"/>
    <w:rsid w:val="007F7303"/>
    <w:rsid w:val="007F752B"/>
    <w:rsid w:val="007F7561"/>
    <w:rsid w:val="007F75E4"/>
    <w:rsid w:val="007F7737"/>
    <w:rsid w:val="007F7C77"/>
    <w:rsid w:val="007F7D0D"/>
    <w:rsid w:val="007F7D56"/>
    <w:rsid w:val="007F7E53"/>
    <w:rsid w:val="00800087"/>
    <w:rsid w:val="008001D9"/>
    <w:rsid w:val="008003E1"/>
    <w:rsid w:val="0080046A"/>
    <w:rsid w:val="008005A4"/>
    <w:rsid w:val="008006AA"/>
    <w:rsid w:val="008006AC"/>
    <w:rsid w:val="00800801"/>
    <w:rsid w:val="00800A14"/>
    <w:rsid w:val="00800BFF"/>
    <w:rsid w:val="00800C6D"/>
    <w:rsid w:val="00800CBF"/>
    <w:rsid w:val="00800DA2"/>
    <w:rsid w:val="00800DC2"/>
    <w:rsid w:val="0080121B"/>
    <w:rsid w:val="0080126A"/>
    <w:rsid w:val="00801341"/>
    <w:rsid w:val="008013BF"/>
    <w:rsid w:val="008013E0"/>
    <w:rsid w:val="00801405"/>
    <w:rsid w:val="0080146D"/>
    <w:rsid w:val="008017B8"/>
    <w:rsid w:val="00801A3F"/>
    <w:rsid w:val="00801CA2"/>
    <w:rsid w:val="00801CF8"/>
    <w:rsid w:val="00801E12"/>
    <w:rsid w:val="0080205A"/>
    <w:rsid w:val="008020A3"/>
    <w:rsid w:val="008021F2"/>
    <w:rsid w:val="00802291"/>
    <w:rsid w:val="00802447"/>
    <w:rsid w:val="008026A2"/>
    <w:rsid w:val="00802C70"/>
    <w:rsid w:val="00802D3F"/>
    <w:rsid w:val="00803158"/>
    <w:rsid w:val="008031C6"/>
    <w:rsid w:val="00803355"/>
    <w:rsid w:val="008034BD"/>
    <w:rsid w:val="0080357F"/>
    <w:rsid w:val="00803631"/>
    <w:rsid w:val="00803935"/>
    <w:rsid w:val="00803C9D"/>
    <w:rsid w:val="00803E0C"/>
    <w:rsid w:val="00803F85"/>
    <w:rsid w:val="0080405A"/>
    <w:rsid w:val="00804137"/>
    <w:rsid w:val="00804194"/>
    <w:rsid w:val="008041A5"/>
    <w:rsid w:val="008041DA"/>
    <w:rsid w:val="0080428B"/>
    <w:rsid w:val="0080461B"/>
    <w:rsid w:val="008047B9"/>
    <w:rsid w:val="008047D7"/>
    <w:rsid w:val="00804818"/>
    <w:rsid w:val="00804973"/>
    <w:rsid w:val="00804B14"/>
    <w:rsid w:val="00804CF2"/>
    <w:rsid w:val="00804D15"/>
    <w:rsid w:val="008051DD"/>
    <w:rsid w:val="00805276"/>
    <w:rsid w:val="0080540B"/>
    <w:rsid w:val="00805516"/>
    <w:rsid w:val="0080557D"/>
    <w:rsid w:val="00805592"/>
    <w:rsid w:val="008056C5"/>
    <w:rsid w:val="00805894"/>
    <w:rsid w:val="008059C6"/>
    <w:rsid w:val="00805A7C"/>
    <w:rsid w:val="00805ACE"/>
    <w:rsid w:val="00805B4C"/>
    <w:rsid w:val="00805E3B"/>
    <w:rsid w:val="0080601E"/>
    <w:rsid w:val="008062A1"/>
    <w:rsid w:val="0080635A"/>
    <w:rsid w:val="0080646B"/>
    <w:rsid w:val="008064BD"/>
    <w:rsid w:val="008065DD"/>
    <w:rsid w:val="0080660F"/>
    <w:rsid w:val="00806A50"/>
    <w:rsid w:val="00806B76"/>
    <w:rsid w:val="00806BA0"/>
    <w:rsid w:val="00806C36"/>
    <w:rsid w:val="00806DC4"/>
    <w:rsid w:val="008071F2"/>
    <w:rsid w:val="0080746A"/>
    <w:rsid w:val="008074DF"/>
    <w:rsid w:val="008075F9"/>
    <w:rsid w:val="00807614"/>
    <w:rsid w:val="0080775A"/>
    <w:rsid w:val="00807767"/>
    <w:rsid w:val="008078BF"/>
    <w:rsid w:val="008079DF"/>
    <w:rsid w:val="00807A75"/>
    <w:rsid w:val="00807A82"/>
    <w:rsid w:val="00807ABB"/>
    <w:rsid w:val="00807B73"/>
    <w:rsid w:val="00807BFE"/>
    <w:rsid w:val="00807C02"/>
    <w:rsid w:val="00807C63"/>
    <w:rsid w:val="00807EBF"/>
    <w:rsid w:val="00807F15"/>
    <w:rsid w:val="00807F4A"/>
    <w:rsid w:val="008100C7"/>
    <w:rsid w:val="008100E8"/>
    <w:rsid w:val="0081022E"/>
    <w:rsid w:val="0081034C"/>
    <w:rsid w:val="0081039B"/>
    <w:rsid w:val="008104E8"/>
    <w:rsid w:val="008104ED"/>
    <w:rsid w:val="0081093A"/>
    <w:rsid w:val="00810996"/>
    <w:rsid w:val="00810BFF"/>
    <w:rsid w:val="00810C0D"/>
    <w:rsid w:val="00810D90"/>
    <w:rsid w:val="0081104A"/>
    <w:rsid w:val="0081115E"/>
    <w:rsid w:val="008111D5"/>
    <w:rsid w:val="00811322"/>
    <w:rsid w:val="0081135F"/>
    <w:rsid w:val="00811790"/>
    <w:rsid w:val="008117FF"/>
    <w:rsid w:val="00811922"/>
    <w:rsid w:val="00811B98"/>
    <w:rsid w:val="00811BFE"/>
    <w:rsid w:val="00811CB1"/>
    <w:rsid w:val="00811D67"/>
    <w:rsid w:val="00811F81"/>
    <w:rsid w:val="00811FBA"/>
    <w:rsid w:val="008120B3"/>
    <w:rsid w:val="0081274E"/>
    <w:rsid w:val="008127B1"/>
    <w:rsid w:val="00812B04"/>
    <w:rsid w:val="00812BD7"/>
    <w:rsid w:val="00812D61"/>
    <w:rsid w:val="00812DF5"/>
    <w:rsid w:val="00812FA9"/>
    <w:rsid w:val="00812FAF"/>
    <w:rsid w:val="0081305B"/>
    <w:rsid w:val="008131D1"/>
    <w:rsid w:val="008132E2"/>
    <w:rsid w:val="00813424"/>
    <w:rsid w:val="0081353E"/>
    <w:rsid w:val="00813618"/>
    <w:rsid w:val="0081379C"/>
    <w:rsid w:val="008138DD"/>
    <w:rsid w:val="00813AE2"/>
    <w:rsid w:val="00813B2D"/>
    <w:rsid w:val="00813CDD"/>
    <w:rsid w:val="00813F27"/>
    <w:rsid w:val="00813F64"/>
    <w:rsid w:val="00813FED"/>
    <w:rsid w:val="008140F1"/>
    <w:rsid w:val="00814178"/>
    <w:rsid w:val="00814262"/>
    <w:rsid w:val="0081433E"/>
    <w:rsid w:val="0081434B"/>
    <w:rsid w:val="00814553"/>
    <w:rsid w:val="00814902"/>
    <w:rsid w:val="00814C42"/>
    <w:rsid w:val="0081505F"/>
    <w:rsid w:val="00815148"/>
    <w:rsid w:val="00815306"/>
    <w:rsid w:val="00815539"/>
    <w:rsid w:val="008155E4"/>
    <w:rsid w:val="008159A4"/>
    <w:rsid w:val="008159DA"/>
    <w:rsid w:val="00815A9C"/>
    <w:rsid w:val="00815AD2"/>
    <w:rsid w:val="00815BCD"/>
    <w:rsid w:val="00815BD7"/>
    <w:rsid w:val="00815C9C"/>
    <w:rsid w:val="00815E33"/>
    <w:rsid w:val="00815EA1"/>
    <w:rsid w:val="00815F52"/>
    <w:rsid w:val="008161D4"/>
    <w:rsid w:val="0081620D"/>
    <w:rsid w:val="0081628D"/>
    <w:rsid w:val="00816369"/>
    <w:rsid w:val="0081649C"/>
    <w:rsid w:val="0081658D"/>
    <w:rsid w:val="008165DB"/>
    <w:rsid w:val="00816660"/>
    <w:rsid w:val="00816910"/>
    <w:rsid w:val="00816C8D"/>
    <w:rsid w:val="00816C96"/>
    <w:rsid w:val="00816D52"/>
    <w:rsid w:val="00816EC9"/>
    <w:rsid w:val="0081711B"/>
    <w:rsid w:val="008175AD"/>
    <w:rsid w:val="00817730"/>
    <w:rsid w:val="00817749"/>
    <w:rsid w:val="008178DE"/>
    <w:rsid w:val="00817A4E"/>
    <w:rsid w:val="00817AF7"/>
    <w:rsid w:val="00817B2F"/>
    <w:rsid w:val="00817B6A"/>
    <w:rsid w:val="00817BE1"/>
    <w:rsid w:val="00817BE8"/>
    <w:rsid w:val="00817BFB"/>
    <w:rsid w:val="00817E28"/>
    <w:rsid w:val="00817F3C"/>
    <w:rsid w:val="00817FB2"/>
    <w:rsid w:val="0082014D"/>
    <w:rsid w:val="008201A8"/>
    <w:rsid w:val="008201E7"/>
    <w:rsid w:val="00820385"/>
    <w:rsid w:val="008204CE"/>
    <w:rsid w:val="00820563"/>
    <w:rsid w:val="0082066F"/>
    <w:rsid w:val="00820676"/>
    <w:rsid w:val="008206B7"/>
    <w:rsid w:val="00820956"/>
    <w:rsid w:val="00820B24"/>
    <w:rsid w:val="00820C7B"/>
    <w:rsid w:val="00820CC0"/>
    <w:rsid w:val="00820CD6"/>
    <w:rsid w:val="00820D49"/>
    <w:rsid w:val="00820EBB"/>
    <w:rsid w:val="00820EE5"/>
    <w:rsid w:val="00821052"/>
    <w:rsid w:val="008210D4"/>
    <w:rsid w:val="00821427"/>
    <w:rsid w:val="00821684"/>
    <w:rsid w:val="008217A2"/>
    <w:rsid w:val="00821A4A"/>
    <w:rsid w:val="00821DB8"/>
    <w:rsid w:val="00821DEE"/>
    <w:rsid w:val="00821ED7"/>
    <w:rsid w:val="00822159"/>
    <w:rsid w:val="00822349"/>
    <w:rsid w:val="008223E0"/>
    <w:rsid w:val="0082244C"/>
    <w:rsid w:val="008224A2"/>
    <w:rsid w:val="0082251E"/>
    <w:rsid w:val="00822693"/>
    <w:rsid w:val="008227D2"/>
    <w:rsid w:val="00822C52"/>
    <w:rsid w:val="00822DAF"/>
    <w:rsid w:val="00822EF2"/>
    <w:rsid w:val="00823028"/>
    <w:rsid w:val="008231C7"/>
    <w:rsid w:val="0082348A"/>
    <w:rsid w:val="00823548"/>
    <w:rsid w:val="0082388C"/>
    <w:rsid w:val="00823B88"/>
    <w:rsid w:val="008242F1"/>
    <w:rsid w:val="00824306"/>
    <w:rsid w:val="00824733"/>
    <w:rsid w:val="0082473B"/>
    <w:rsid w:val="00824B07"/>
    <w:rsid w:val="00824B27"/>
    <w:rsid w:val="00824C04"/>
    <w:rsid w:val="00824E5F"/>
    <w:rsid w:val="00824F15"/>
    <w:rsid w:val="00824FD4"/>
    <w:rsid w:val="00825032"/>
    <w:rsid w:val="008251A0"/>
    <w:rsid w:val="00825223"/>
    <w:rsid w:val="008252E2"/>
    <w:rsid w:val="00825391"/>
    <w:rsid w:val="008254BA"/>
    <w:rsid w:val="008254D8"/>
    <w:rsid w:val="008254ED"/>
    <w:rsid w:val="00825551"/>
    <w:rsid w:val="00825AD0"/>
    <w:rsid w:val="00825B24"/>
    <w:rsid w:val="00825D47"/>
    <w:rsid w:val="00825DCA"/>
    <w:rsid w:val="00825E45"/>
    <w:rsid w:val="0082609A"/>
    <w:rsid w:val="0082648C"/>
    <w:rsid w:val="00826680"/>
    <w:rsid w:val="008266D6"/>
    <w:rsid w:val="008267AD"/>
    <w:rsid w:val="00826889"/>
    <w:rsid w:val="0082692C"/>
    <w:rsid w:val="00826B98"/>
    <w:rsid w:val="00826BDC"/>
    <w:rsid w:val="00826CF4"/>
    <w:rsid w:val="00826E01"/>
    <w:rsid w:val="00826FB5"/>
    <w:rsid w:val="0082707B"/>
    <w:rsid w:val="00827111"/>
    <w:rsid w:val="0082723C"/>
    <w:rsid w:val="00827265"/>
    <w:rsid w:val="008272A9"/>
    <w:rsid w:val="008272BE"/>
    <w:rsid w:val="00827315"/>
    <w:rsid w:val="008278BC"/>
    <w:rsid w:val="008279FA"/>
    <w:rsid w:val="00827A67"/>
    <w:rsid w:val="00827FE4"/>
    <w:rsid w:val="0083001F"/>
    <w:rsid w:val="0083007F"/>
    <w:rsid w:val="008302BF"/>
    <w:rsid w:val="00830368"/>
    <w:rsid w:val="00830461"/>
    <w:rsid w:val="0083049E"/>
    <w:rsid w:val="00830698"/>
    <w:rsid w:val="008308DE"/>
    <w:rsid w:val="008309E1"/>
    <w:rsid w:val="008309FC"/>
    <w:rsid w:val="00830BEB"/>
    <w:rsid w:val="00830DB5"/>
    <w:rsid w:val="00830FD3"/>
    <w:rsid w:val="0083136C"/>
    <w:rsid w:val="008313B6"/>
    <w:rsid w:val="008313F6"/>
    <w:rsid w:val="0083141D"/>
    <w:rsid w:val="00831445"/>
    <w:rsid w:val="0083151E"/>
    <w:rsid w:val="0083167B"/>
    <w:rsid w:val="00831832"/>
    <w:rsid w:val="00831B83"/>
    <w:rsid w:val="00831E3B"/>
    <w:rsid w:val="00831E87"/>
    <w:rsid w:val="00831F6A"/>
    <w:rsid w:val="0083223C"/>
    <w:rsid w:val="008323A2"/>
    <w:rsid w:val="00832598"/>
    <w:rsid w:val="008328FB"/>
    <w:rsid w:val="00832CE7"/>
    <w:rsid w:val="00832FD8"/>
    <w:rsid w:val="008331B1"/>
    <w:rsid w:val="00833501"/>
    <w:rsid w:val="00833583"/>
    <w:rsid w:val="00833D4F"/>
    <w:rsid w:val="00833D5D"/>
    <w:rsid w:val="00833D87"/>
    <w:rsid w:val="00833D8F"/>
    <w:rsid w:val="00833E67"/>
    <w:rsid w:val="00833F40"/>
    <w:rsid w:val="00833F74"/>
    <w:rsid w:val="00834278"/>
    <w:rsid w:val="008342C9"/>
    <w:rsid w:val="008343EF"/>
    <w:rsid w:val="00834418"/>
    <w:rsid w:val="00834492"/>
    <w:rsid w:val="008344EE"/>
    <w:rsid w:val="008348B0"/>
    <w:rsid w:val="008348CF"/>
    <w:rsid w:val="008348FD"/>
    <w:rsid w:val="0083494B"/>
    <w:rsid w:val="00834AFE"/>
    <w:rsid w:val="00834BE7"/>
    <w:rsid w:val="00834D1F"/>
    <w:rsid w:val="00834F3C"/>
    <w:rsid w:val="00834FB8"/>
    <w:rsid w:val="00835028"/>
    <w:rsid w:val="00835160"/>
    <w:rsid w:val="00835176"/>
    <w:rsid w:val="008351AA"/>
    <w:rsid w:val="008351F1"/>
    <w:rsid w:val="00835312"/>
    <w:rsid w:val="00835722"/>
    <w:rsid w:val="00835A21"/>
    <w:rsid w:val="00835A5B"/>
    <w:rsid w:val="00835B8E"/>
    <w:rsid w:val="00835CDF"/>
    <w:rsid w:val="00835CE3"/>
    <w:rsid w:val="00835E1B"/>
    <w:rsid w:val="00835E47"/>
    <w:rsid w:val="00835FC9"/>
    <w:rsid w:val="008364EB"/>
    <w:rsid w:val="008364F2"/>
    <w:rsid w:val="00836543"/>
    <w:rsid w:val="0083684B"/>
    <w:rsid w:val="00836A0B"/>
    <w:rsid w:val="00836A33"/>
    <w:rsid w:val="00836C46"/>
    <w:rsid w:val="00836E79"/>
    <w:rsid w:val="00837015"/>
    <w:rsid w:val="0083704E"/>
    <w:rsid w:val="00837089"/>
    <w:rsid w:val="00837143"/>
    <w:rsid w:val="008372AB"/>
    <w:rsid w:val="008372B5"/>
    <w:rsid w:val="00837639"/>
    <w:rsid w:val="00837724"/>
    <w:rsid w:val="008377B3"/>
    <w:rsid w:val="00837A41"/>
    <w:rsid w:val="00837AC2"/>
    <w:rsid w:val="00837C17"/>
    <w:rsid w:val="00837C90"/>
    <w:rsid w:val="00837D7B"/>
    <w:rsid w:val="00837D95"/>
    <w:rsid w:val="00837DE3"/>
    <w:rsid w:val="00837F4C"/>
    <w:rsid w:val="0083945A"/>
    <w:rsid w:val="008401A0"/>
    <w:rsid w:val="008402C9"/>
    <w:rsid w:val="008406A2"/>
    <w:rsid w:val="00840726"/>
    <w:rsid w:val="00840B46"/>
    <w:rsid w:val="00840D28"/>
    <w:rsid w:val="00840E15"/>
    <w:rsid w:val="00841345"/>
    <w:rsid w:val="0084139E"/>
    <w:rsid w:val="008419AA"/>
    <w:rsid w:val="00841D6A"/>
    <w:rsid w:val="00841DA5"/>
    <w:rsid w:val="00841DC7"/>
    <w:rsid w:val="00841DD8"/>
    <w:rsid w:val="00841DD9"/>
    <w:rsid w:val="00841DF5"/>
    <w:rsid w:val="008422D2"/>
    <w:rsid w:val="00842556"/>
    <w:rsid w:val="00842711"/>
    <w:rsid w:val="008429B3"/>
    <w:rsid w:val="00842B03"/>
    <w:rsid w:val="00842B40"/>
    <w:rsid w:val="00842BEF"/>
    <w:rsid w:val="00842BFE"/>
    <w:rsid w:val="00842C1C"/>
    <w:rsid w:val="00842D7F"/>
    <w:rsid w:val="00842EC9"/>
    <w:rsid w:val="00843142"/>
    <w:rsid w:val="008432F2"/>
    <w:rsid w:val="00843465"/>
    <w:rsid w:val="0084349D"/>
    <w:rsid w:val="008434AE"/>
    <w:rsid w:val="008435C8"/>
    <w:rsid w:val="0084360E"/>
    <w:rsid w:val="00843656"/>
    <w:rsid w:val="00843719"/>
    <w:rsid w:val="00843754"/>
    <w:rsid w:val="008438BB"/>
    <w:rsid w:val="008438DB"/>
    <w:rsid w:val="00843982"/>
    <w:rsid w:val="00843ABB"/>
    <w:rsid w:val="00843AC1"/>
    <w:rsid w:val="00843C8C"/>
    <w:rsid w:val="00843D08"/>
    <w:rsid w:val="00843F80"/>
    <w:rsid w:val="00843FF9"/>
    <w:rsid w:val="00844011"/>
    <w:rsid w:val="008444D4"/>
    <w:rsid w:val="008446B5"/>
    <w:rsid w:val="008447D1"/>
    <w:rsid w:val="008448C7"/>
    <w:rsid w:val="00844BDD"/>
    <w:rsid w:val="00844E13"/>
    <w:rsid w:val="0084529A"/>
    <w:rsid w:val="0084530E"/>
    <w:rsid w:val="00845315"/>
    <w:rsid w:val="008455AE"/>
    <w:rsid w:val="008455E4"/>
    <w:rsid w:val="0084587E"/>
    <w:rsid w:val="00845DDD"/>
    <w:rsid w:val="00845EFF"/>
    <w:rsid w:val="00846098"/>
    <w:rsid w:val="0084629B"/>
    <w:rsid w:val="008462E5"/>
    <w:rsid w:val="00846320"/>
    <w:rsid w:val="00846330"/>
    <w:rsid w:val="008463B8"/>
    <w:rsid w:val="0084659A"/>
    <w:rsid w:val="00846632"/>
    <w:rsid w:val="008467DB"/>
    <w:rsid w:val="008468CB"/>
    <w:rsid w:val="00846AEF"/>
    <w:rsid w:val="00846C7F"/>
    <w:rsid w:val="00846D91"/>
    <w:rsid w:val="00846DFB"/>
    <w:rsid w:val="00846ECD"/>
    <w:rsid w:val="00847149"/>
    <w:rsid w:val="008471E3"/>
    <w:rsid w:val="00847358"/>
    <w:rsid w:val="00847392"/>
    <w:rsid w:val="00847AFA"/>
    <w:rsid w:val="00847BAB"/>
    <w:rsid w:val="00847C7E"/>
    <w:rsid w:val="00847EE3"/>
    <w:rsid w:val="00847EE5"/>
    <w:rsid w:val="00850216"/>
    <w:rsid w:val="00850299"/>
    <w:rsid w:val="008503B5"/>
    <w:rsid w:val="008505BF"/>
    <w:rsid w:val="00850718"/>
    <w:rsid w:val="008508A2"/>
    <w:rsid w:val="0085095F"/>
    <w:rsid w:val="00850F10"/>
    <w:rsid w:val="00850F6D"/>
    <w:rsid w:val="0085100F"/>
    <w:rsid w:val="00851041"/>
    <w:rsid w:val="0085127D"/>
    <w:rsid w:val="00851307"/>
    <w:rsid w:val="008514C9"/>
    <w:rsid w:val="00851694"/>
    <w:rsid w:val="008517F6"/>
    <w:rsid w:val="0085189B"/>
    <w:rsid w:val="008518EF"/>
    <w:rsid w:val="008519D5"/>
    <w:rsid w:val="00851A81"/>
    <w:rsid w:val="00851D86"/>
    <w:rsid w:val="00851E6C"/>
    <w:rsid w:val="0085205D"/>
    <w:rsid w:val="00852195"/>
    <w:rsid w:val="00852401"/>
    <w:rsid w:val="008525C7"/>
    <w:rsid w:val="0085269E"/>
    <w:rsid w:val="008527B8"/>
    <w:rsid w:val="008527C5"/>
    <w:rsid w:val="00852961"/>
    <w:rsid w:val="00852A5F"/>
    <w:rsid w:val="00852A74"/>
    <w:rsid w:val="00852C6C"/>
    <w:rsid w:val="00852EAE"/>
    <w:rsid w:val="00853360"/>
    <w:rsid w:val="00853390"/>
    <w:rsid w:val="00853797"/>
    <w:rsid w:val="0085390D"/>
    <w:rsid w:val="00853D2E"/>
    <w:rsid w:val="00853DB4"/>
    <w:rsid w:val="00854174"/>
    <w:rsid w:val="008542F3"/>
    <w:rsid w:val="00854315"/>
    <w:rsid w:val="00854696"/>
    <w:rsid w:val="00854713"/>
    <w:rsid w:val="00854728"/>
    <w:rsid w:val="00854A9E"/>
    <w:rsid w:val="00854DCF"/>
    <w:rsid w:val="008551D5"/>
    <w:rsid w:val="0085531F"/>
    <w:rsid w:val="008553C8"/>
    <w:rsid w:val="0085543E"/>
    <w:rsid w:val="008555A1"/>
    <w:rsid w:val="00855754"/>
    <w:rsid w:val="00855842"/>
    <w:rsid w:val="00855911"/>
    <w:rsid w:val="00855936"/>
    <w:rsid w:val="008559C0"/>
    <w:rsid w:val="008559D4"/>
    <w:rsid w:val="00855C4B"/>
    <w:rsid w:val="00855D8D"/>
    <w:rsid w:val="00855FDF"/>
    <w:rsid w:val="00856140"/>
    <w:rsid w:val="008561B1"/>
    <w:rsid w:val="0085627F"/>
    <w:rsid w:val="00856300"/>
    <w:rsid w:val="00856311"/>
    <w:rsid w:val="00856588"/>
    <w:rsid w:val="008569CD"/>
    <w:rsid w:val="00856F3F"/>
    <w:rsid w:val="00856F4E"/>
    <w:rsid w:val="0085722A"/>
    <w:rsid w:val="008573BD"/>
    <w:rsid w:val="0085778F"/>
    <w:rsid w:val="0085783C"/>
    <w:rsid w:val="008578A8"/>
    <w:rsid w:val="00857A27"/>
    <w:rsid w:val="00857A70"/>
    <w:rsid w:val="00857F63"/>
    <w:rsid w:val="00860050"/>
    <w:rsid w:val="00860176"/>
    <w:rsid w:val="0086053B"/>
    <w:rsid w:val="008606AA"/>
    <w:rsid w:val="00860791"/>
    <w:rsid w:val="00860B1C"/>
    <w:rsid w:val="00860D04"/>
    <w:rsid w:val="00861004"/>
    <w:rsid w:val="008610C2"/>
    <w:rsid w:val="0086114D"/>
    <w:rsid w:val="0086132D"/>
    <w:rsid w:val="00861378"/>
    <w:rsid w:val="00861477"/>
    <w:rsid w:val="0086154A"/>
    <w:rsid w:val="00861807"/>
    <w:rsid w:val="0086189D"/>
    <w:rsid w:val="008618CD"/>
    <w:rsid w:val="00861AEF"/>
    <w:rsid w:val="00861B98"/>
    <w:rsid w:val="00861C41"/>
    <w:rsid w:val="00861CF0"/>
    <w:rsid w:val="008620BF"/>
    <w:rsid w:val="008622BE"/>
    <w:rsid w:val="00862452"/>
    <w:rsid w:val="008624DD"/>
    <w:rsid w:val="00862575"/>
    <w:rsid w:val="00862613"/>
    <w:rsid w:val="00862766"/>
    <w:rsid w:val="00862944"/>
    <w:rsid w:val="00862AF5"/>
    <w:rsid w:val="00862BB2"/>
    <w:rsid w:val="00862C43"/>
    <w:rsid w:val="00862D9B"/>
    <w:rsid w:val="00862FBD"/>
    <w:rsid w:val="0086317F"/>
    <w:rsid w:val="008632A0"/>
    <w:rsid w:val="008632BC"/>
    <w:rsid w:val="00863596"/>
    <w:rsid w:val="0086359B"/>
    <w:rsid w:val="00863766"/>
    <w:rsid w:val="00863780"/>
    <w:rsid w:val="00863909"/>
    <w:rsid w:val="00863AB0"/>
    <w:rsid w:val="00863CA7"/>
    <w:rsid w:val="00863DFC"/>
    <w:rsid w:val="00863F0C"/>
    <w:rsid w:val="00863FC4"/>
    <w:rsid w:val="0086430D"/>
    <w:rsid w:val="0086435C"/>
    <w:rsid w:val="0086441A"/>
    <w:rsid w:val="00864447"/>
    <w:rsid w:val="008647C8"/>
    <w:rsid w:val="00864891"/>
    <w:rsid w:val="00864A0C"/>
    <w:rsid w:val="00864E11"/>
    <w:rsid w:val="00864FF5"/>
    <w:rsid w:val="0086506D"/>
    <w:rsid w:val="0086514D"/>
    <w:rsid w:val="008651D2"/>
    <w:rsid w:val="008653BD"/>
    <w:rsid w:val="008654C7"/>
    <w:rsid w:val="008655C3"/>
    <w:rsid w:val="00865861"/>
    <w:rsid w:val="008658A6"/>
    <w:rsid w:val="008658DF"/>
    <w:rsid w:val="008658F9"/>
    <w:rsid w:val="00865ADA"/>
    <w:rsid w:val="00865EB4"/>
    <w:rsid w:val="008661CC"/>
    <w:rsid w:val="008664B2"/>
    <w:rsid w:val="00866509"/>
    <w:rsid w:val="00866602"/>
    <w:rsid w:val="00866696"/>
    <w:rsid w:val="00866A3A"/>
    <w:rsid w:val="00866CD4"/>
    <w:rsid w:val="00866FF1"/>
    <w:rsid w:val="0086709A"/>
    <w:rsid w:val="008671F5"/>
    <w:rsid w:val="00867222"/>
    <w:rsid w:val="00867272"/>
    <w:rsid w:val="0086757A"/>
    <w:rsid w:val="0086761D"/>
    <w:rsid w:val="008676C5"/>
    <w:rsid w:val="008677C4"/>
    <w:rsid w:val="008677CF"/>
    <w:rsid w:val="0086781B"/>
    <w:rsid w:val="00867862"/>
    <w:rsid w:val="008678DA"/>
    <w:rsid w:val="00867A88"/>
    <w:rsid w:val="00867AFB"/>
    <w:rsid w:val="00867BCE"/>
    <w:rsid w:val="00867E6A"/>
    <w:rsid w:val="00867F54"/>
    <w:rsid w:val="00870009"/>
    <w:rsid w:val="008703EC"/>
    <w:rsid w:val="008706CF"/>
    <w:rsid w:val="00870C94"/>
    <w:rsid w:val="00870CF1"/>
    <w:rsid w:val="00870EE0"/>
    <w:rsid w:val="00871033"/>
    <w:rsid w:val="0087103C"/>
    <w:rsid w:val="00871073"/>
    <w:rsid w:val="008710A7"/>
    <w:rsid w:val="00871384"/>
    <w:rsid w:val="008714E8"/>
    <w:rsid w:val="00871769"/>
    <w:rsid w:val="008719F9"/>
    <w:rsid w:val="00871A53"/>
    <w:rsid w:val="00872074"/>
    <w:rsid w:val="0087223C"/>
    <w:rsid w:val="0087252E"/>
    <w:rsid w:val="0087258C"/>
    <w:rsid w:val="00872608"/>
    <w:rsid w:val="00872674"/>
    <w:rsid w:val="008728EC"/>
    <w:rsid w:val="0087298F"/>
    <w:rsid w:val="00872ABE"/>
    <w:rsid w:val="00872C6E"/>
    <w:rsid w:val="00872D5C"/>
    <w:rsid w:val="00873142"/>
    <w:rsid w:val="008734F1"/>
    <w:rsid w:val="00873521"/>
    <w:rsid w:val="008735AD"/>
    <w:rsid w:val="00873765"/>
    <w:rsid w:val="00873A3B"/>
    <w:rsid w:val="00873ABD"/>
    <w:rsid w:val="00873BA3"/>
    <w:rsid w:val="008741B8"/>
    <w:rsid w:val="008743AE"/>
    <w:rsid w:val="008749E1"/>
    <w:rsid w:val="00874BC0"/>
    <w:rsid w:val="00874ED4"/>
    <w:rsid w:val="00875032"/>
    <w:rsid w:val="00875080"/>
    <w:rsid w:val="00875093"/>
    <w:rsid w:val="008750D6"/>
    <w:rsid w:val="008750FB"/>
    <w:rsid w:val="0087523B"/>
    <w:rsid w:val="00875ADD"/>
    <w:rsid w:val="00875B15"/>
    <w:rsid w:val="00875D57"/>
    <w:rsid w:val="00875F65"/>
    <w:rsid w:val="008760B9"/>
    <w:rsid w:val="008764C3"/>
    <w:rsid w:val="008765F9"/>
    <w:rsid w:val="008766E0"/>
    <w:rsid w:val="00876930"/>
    <w:rsid w:val="008769B8"/>
    <w:rsid w:val="00876A13"/>
    <w:rsid w:val="00876E21"/>
    <w:rsid w:val="00876EF9"/>
    <w:rsid w:val="00876EFD"/>
    <w:rsid w:val="00876F58"/>
    <w:rsid w:val="00877087"/>
    <w:rsid w:val="008770C0"/>
    <w:rsid w:val="0087738F"/>
    <w:rsid w:val="00877631"/>
    <w:rsid w:val="00877669"/>
    <w:rsid w:val="008777EB"/>
    <w:rsid w:val="0087781B"/>
    <w:rsid w:val="008779D5"/>
    <w:rsid w:val="00877A19"/>
    <w:rsid w:val="00877AB9"/>
    <w:rsid w:val="00877C9D"/>
    <w:rsid w:val="00877E4D"/>
    <w:rsid w:val="00877EB2"/>
    <w:rsid w:val="00877FC5"/>
    <w:rsid w:val="00878A51"/>
    <w:rsid w:val="0088003F"/>
    <w:rsid w:val="0088045C"/>
    <w:rsid w:val="00880552"/>
    <w:rsid w:val="008805B6"/>
    <w:rsid w:val="008807E3"/>
    <w:rsid w:val="00880C53"/>
    <w:rsid w:val="00880C60"/>
    <w:rsid w:val="008811AD"/>
    <w:rsid w:val="00881766"/>
    <w:rsid w:val="008817BE"/>
    <w:rsid w:val="00881849"/>
    <w:rsid w:val="00881882"/>
    <w:rsid w:val="00881B67"/>
    <w:rsid w:val="00881BA8"/>
    <w:rsid w:val="00881C63"/>
    <w:rsid w:val="00881D48"/>
    <w:rsid w:val="00881E15"/>
    <w:rsid w:val="0088209E"/>
    <w:rsid w:val="00882473"/>
    <w:rsid w:val="00882539"/>
    <w:rsid w:val="00882562"/>
    <w:rsid w:val="00882988"/>
    <w:rsid w:val="00882B74"/>
    <w:rsid w:val="00882C29"/>
    <w:rsid w:val="00882C4B"/>
    <w:rsid w:val="00882EFD"/>
    <w:rsid w:val="00882F22"/>
    <w:rsid w:val="00882F2B"/>
    <w:rsid w:val="00882FA9"/>
    <w:rsid w:val="00883050"/>
    <w:rsid w:val="00883274"/>
    <w:rsid w:val="008832CC"/>
    <w:rsid w:val="0088344F"/>
    <w:rsid w:val="00883629"/>
    <w:rsid w:val="00883783"/>
    <w:rsid w:val="00883A3B"/>
    <w:rsid w:val="00883A43"/>
    <w:rsid w:val="00883B40"/>
    <w:rsid w:val="00883C93"/>
    <w:rsid w:val="00883D0F"/>
    <w:rsid w:val="00883E9B"/>
    <w:rsid w:val="008840F8"/>
    <w:rsid w:val="008840FA"/>
    <w:rsid w:val="008843D5"/>
    <w:rsid w:val="008843EA"/>
    <w:rsid w:val="008845FE"/>
    <w:rsid w:val="008846FF"/>
    <w:rsid w:val="008847C4"/>
    <w:rsid w:val="00884899"/>
    <w:rsid w:val="00884A98"/>
    <w:rsid w:val="00884B1D"/>
    <w:rsid w:val="0088512A"/>
    <w:rsid w:val="0088528D"/>
    <w:rsid w:val="00885593"/>
    <w:rsid w:val="00885C51"/>
    <w:rsid w:val="00885DF4"/>
    <w:rsid w:val="00885F30"/>
    <w:rsid w:val="00885F35"/>
    <w:rsid w:val="00885F96"/>
    <w:rsid w:val="00885FB5"/>
    <w:rsid w:val="00885FE2"/>
    <w:rsid w:val="00885FE9"/>
    <w:rsid w:val="0088604E"/>
    <w:rsid w:val="0088644D"/>
    <w:rsid w:val="00886593"/>
    <w:rsid w:val="00886662"/>
    <w:rsid w:val="00886806"/>
    <w:rsid w:val="00886859"/>
    <w:rsid w:val="0088689A"/>
    <w:rsid w:val="00886900"/>
    <w:rsid w:val="0088692F"/>
    <w:rsid w:val="00886BAB"/>
    <w:rsid w:val="00886C0F"/>
    <w:rsid w:val="00886D2E"/>
    <w:rsid w:val="00886DC9"/>
    <w:rsid w:val="0088710C"/>
    <w:rsid w:val="00887465"/>
    <w:rsid w:val="0088773C"/>
    <w:rsid w:val="00887755"/>
    <w:rsid w:val="008878A6"/>
    <w:rsid w:val="00887A16"/>
    <w:rsid w:val="00887B3F"/>
    <w:rsid w:val="00887B6D"/>
    <w:rsid w:val="00887D8D"/>
    <w:rsid w:val="00887FD1"/>
    <w:rsid w:val="00890401"/>
    <w:rsid w:val="00890546"/>
    <w:rsid w:val="008907D2"/>
    <w:rsid w:val="008908D8"/>
    <w:rsid w:val="0089093D"/>
    <w:rsid w:val="00890BDB"/>
    <w:rsid w:val="00890D62"/>
    <w:rsid w:val="0089125B"/>
    <w:rsid w:val="00891266"/>
    <w:rsid w:val="00891351"/>
    <w:rsid w:val="008914D4"/>
    <w:rsid w:val="00891668"/>
    <w:rsid w:val="00891753"/>
    <w:rsid w:val="00891781"/>
    <w:rsid w:val="00891783"/>
    <w:rsid w:val="00891970"/>
    <w:rsid w:val="00891992"/>
    <w:rsid w:val="00891ACF"/>
    <w:rsid w:val="00891B59"/>
    <w:rsid w:val="00891CE4"/>
    <w:rsid w:val="008923AC"/>
    <w:rsid w:val="00892451"/>
    <w:rsid w:val="008926EE"/>
    <w:rsid w:val="0089271B"/>
    <w:rsid w:val="008927A3"/>
    <w:rsid w:val="00892979"/>
    <w:rsid w:val="00892BC5"/>
    <w:rsid w:val="00892D55"/>
    <w:rsid w:val="00892D71"/>
    <w:rsid w:val="00892DA7"/>
    <w:rsid w:val="00892DE2"/>
    <w:rsid w:val="00892E35"/>
    <w:rsid w:val="00892E36"/>
    <w:rsid w:val="00892F9F"/>
    <w:rsid w:val="00892FD2"/>
    <w:rsid w:val="00893255"/>
    <w:rsid w:val="00893310"/>
    <w:rsid w:val="00893311"/>
    <w:rsid w:val="0089331D"/>
    <w:rsid w:val="008933CD"/>
    <w:rsid w:val="00893672"/>
    <w:rsid w:val="0089392D"/>
    <w:rsid w:val="00893DAA"/>
    <w:rsid w:val="00894242"/>
    <w:rsid w:val="00894449"/>
    <w:rsid w:val="008945FE"/>
    <w:rsid w:val="00894657"/>
    <w:rsid w:val="008946AA"/>
    <w:rsid w:val="008946C8"/>
    <w:rsid w:val="008947AC"/>
    <w:rsid w:val="008949C3"/>
    <w:rsid w:val="00894B60"/>
    <w:rsid w:val="00894B79"/>
    <w:rsid w:val="00894CAD"/>
    <w:rsid w:val="00894CB2"/>
    <w:rsid w:val="00894FA6"/>
    <w:rsid w:val="0089542F"/>
    <w:rsid w:val="00895802"/>
    <w:rsid w:val="00895826"/>
    <w:rsid w:val="0089591A"/>
    <w:rsid w:val="00895BDF"/>
    <w:rsid w:val="00895D6C"/>
    <w:rsid w:val="00895F7C"/>
    <w:rsid w:val="00895FF2"/>
    <w:rsid w:val="00896302"/>
    <w:rsid w:val="00896377"/>
    <w:rsid w:val="00896408"/>
    <w:rsid w:val="00896461"/>
    <w:rsid w:val="0089654A"/>
    <w:rsid w:val="00896574"/>
    <w:rsid w:val="008967BE"/>
    <w:rsid w:val="0089695B"/>
    <w:rsid w:val="00896B13"/>
    <w:rsid w:val="00897432"/>
    <w:rsid w:val="0089754C"/>
    <w:rsid w:val="00897566"/>
    <w:rsid w:val="008975E9"/>
    <w:rsid w:val="00897B25"/>
    <w:rsid w:val="00897B86"/>
    <w:rsid w:val="00897CC1"/>
    <w:rsid w:val="00897F0D"/>
    <w:rsid w:val="008A0541"/>
    <w:rsid w:val="008A0551"/>
    <w:rsid w:val="008A0556"/>
    <w:rsid w:val="008A0866"/>
    <w:rsid w:val="008A08AB"/>
    <w:rsid w:val="008A08C6"/>
    <w:rsid w:val="008A095F"/>
    <w:rsid w:val="008A09AD"/>
    <w:rsid w:val="008A0A81"/>
    <w:rsid w:val="008A0AA2"/>
    <w:rsid w:val="008A0BBF"/>
    <w:rsid w:val="008A0BE9"/>
    <w:rsid w:val="008A0C1F"/>
    <w:rsid w:val="008A0D60"/>
    <w:rsid w:val="008A0E0D"/>
    <w:rsid w:val="008A1222"/>
    <w:rsid w:val="008A132C"/>
    <w:rsid w:val="008A13C1"/>
    <w:rsid w:val="008A148D"/>
    <w:rsid w:val="008A174E"/>
    <w:rsid w:val="008A1A38"/>
    <w:rsid w:val="008A1BD4"/>
    <w:rsid w:val="008A1CB0"/>
    <w:rsid w:val="008A1D04"/>
    <w:rsid w:val="008A1E52"/>
    <w:rsid w:val="008A201E"/>
    <w:rsid w:val="008A2118"/>
    <w:rsid w:val="008A2166"/>
    <w:rsid w:val="008A2189"/>
    <w:rsid w:val="008A21AF"/>
    <w:rsid w:val="008A2253"/>
    <w:rsid w:val="008A23D5"/>
    <w:rsid w:val="008A250D"/>
    <w:rsid w:val="008A256B"/>
    <w:rsid w:val="008A2592"/>
    <w:rsid w:val="008A25F1"/>
    <w:rsid w:val="008A2605"/>
    <w:rsid w:val="008A263A"/>
    <w:rsid w:val="008A2840"/>
    <w:rsid w:val="008A2E7C"/>
    <w:rsid w:val="008A2F47"/>
    <w:rsid w:val="008A304F"/>
    <w:rsid w:val="008A32B7"/>
    <w:rsid w:val="008A3300"/>
    <w:rsid w:val="008A334D"/>
    <w:rsid w:val="008A34CC"/>
    <w:rsid w:val="008A36A0"/>
    <w:rsid w:val="008A3756"/>
    <w:rsid w:val="008A3788"/>
    <w:rsid w:val="008A3833"/>
    <w:rsid w:val="008A3CAC"/>
    <w:rsid w:val="008A3E0F"/>
    <w:rsid w:val="008A3E24"/>
    <w:rsid w:val="008A3E64"/>
    <w:rsid w:val="008A41AB"/>
    <w:rsid w:val="008A429B"/>
    <w:rsid w:val="008A470E"/>
    <w:rsid w:val="008A4750"/>
    <w:rsid w:val="008A47D9"/>
    <w:rsid w:val="008A4852"/>
    <w:rsid w:val="008A4956"/>
    <w:rsid w:val="008A4A6B"/>
    <w:rsid w:val="008A4B3B"/>
    <w:rsid w:val="008A4CB4"/>
    <w:rsid w:val="008A4D1B"/>
    <w:rsid w:val="008A4D20"/>
    <w:rsid w:val="008A4E5F"/>
    <w:rsid w:val="008A4E72"/>
    <w:rsid w:val="008A4E79"/>
    <w:rsid w:val="008A50A0"/>
    <w:rsid w:val="008A50F2"/>
    <w:rsid w:val="008A5297"/>
    <w:rsid w:val="008A5754"/>
    <w:rsid w:val="008A586F"/>
    <w:rsid w:val="008A589E"/>
    <w:rsid w:val="008A59DD"/>
    <w:rsid w:val="008A59F6"/>
    <w:rsid w:val="008A59F8"/>
    <w:rsid w:val="008A5C90"/>
    <w:rsid w:val="008A5CF5"/>
    <w:rsid w:val="008A5CFC"/>
    <w:rsid w:val="008A608F"/>
    <w:rsid w:val="008A61A1"/>
    <w:rsid w:val="008A61C4"/>
    <w:rsid w:val="008A64C8"/>
    <w:rsid w:val="008A6761"/>
    <w:rsid w:val="008A6831"/>
    <w:rsid w:val="008A6CEB"/>
    <w:rsid w:val="008A6DD4"/>
    <w:rsid w:val="008A6F76"/>
    <w:rsid w:val="008A6FEF"/>
    <w:rsid w:val="008A6FFF"/>
    <w:rsid w:val="008A725A"/>
    <w:rsid w:val="008A72EE"/>
    <w:rsid w:val="008A7445"/>
    <w:rsid w:val="008A750A"/>
    <w:rsid w:val="008A757E"/>
    <w:rsid w:val="008A7626"/>
    <w:rsid w:val="008A789A"/>
    <w:rsid w:val="008A7C40"/>
    <w:rsid w:val="008A7E88"/>
    <w:rsid w:val="008A8B51"/>
    <w:rsid w:val="008B0023"/>
    <w:rsid w:val="008B01D2"/>
    <w:rsid w:val="008B02DB"/>
    <w:rsid w:val="008B040A"/>
    <w:rsid w:val="008B0A42"/>
    <w:rsid w:val="008B0A50"/>
    <w:rsid w:val="008B0AC0"/>
    <w:rsid w:val="008B0B2D"/>
    <w:rsid w:val="008B0C2E"/>
    <w:rsid w:val="008B0D6D"/>
    <w:rsid w:val="008B10AB"/>
    <w:rsid w:val="008B11AF"/>
    <w:rsid w:val="008B132D"/>
    <w:rsid w:val="008B1432"/>
    <w:rsid w:val="008B1537"/>
    <w:rsid w:val="008B1566"/>
    <w:rsid w:val="008B1796"/>
    <w:rsid w:val="008B17FE"/>
    <w:rsid w:val="008B1911"/>
    <w:rsid w:val="008B1C04"/>
    <w:rsid w:val="008B1DA5"/>
    <w:rsid w:val="008B2028"/>
    <w:rsid w:val="008B2153"/>
    <w:rsid w:val="008B2182"/>
    <w:rsid w:val="008B243D"/>
    <w:rsid w:val="008B24EA"/>
    <w:rsid w:val="008B26DC"/>
    <w:rsid w:val="008B2C70"/>
    <w:rsid w:val="008B2D70"/>
    <w:rsid w:val="008B2F8E"/>
    <w:rsid w:val="008B31B8"/>
    <w:rsid w:val="008B3230"/>
    <w:rsid w:val="008B340E"/>
    <w:rsid w:val="008B342F"/>
    <w:rsid w:val="008B3574"/>
    <w:rsid w:val="008B3686"/>
    <w:rsid w:val="008B36A3"/>
    <w:rsid w:val="008B37AB"/>
    <w:rsid w:val="008B3BFF"/>
    <w:rsid w:val="008B3C19"/>
    <w:rsid w:val="008B3F49"/>
    <w:rsid w:val="008B410C"/>
    <w:rsid w:val="008B4127"/>
    <w:rsid w:val="008B4252"/>
    <w:rsid w:val="008B4610"/>
    <w:rsid w:val="008B4775"/>
    <w:rsid w:val="008B48D9"/>
    <w:rsid w:val="008B4C7E"/>
    <w:rsid w:val="008B4D1F"/>
    <w:rsid w:val="008B52B6"/>
    <w:rsid w:val="008B5328"/>
    <w:rsid w:val="008B5365"/>
    <w:rsid w:val="008B55A7"/>
    <w:rsid w:val="008B55D0"/>
    <w:rsid w:val="008B55F0"/>
    <w:rsid w:val="008B5757"/>
    <w:rsid w:val="008B5921"/>
    <w:rsid w:val="008B5B25"/>
    <w:rsid w:val="008B5D1E"/>
    <w:rsid w:val="008B5D5A"/>
    <w:rsid w:val="008B5DE0"/>
    <w:rsid w:val="008B5E2F"/>
    <w:rsid w:val="008B5F13"/>
    <w:rsid w:val="008B618B"/>
    <w:rsid w:val="008B6337"/>
    <w:rsid w:val="008B6510"/>
    <w:rsid w:val="008B65FA"/>
    <w:rsid w:val="008B664D"/>
    <w:rsid w:val="008B6958"/>
    <w:rsid w:val="008B6A2F"/>
    <w:rsid w:val="008B6AA5"/>
    <w:rsid w:val="008B6F8B"/>
    <w:rsid w:val="008B7322"/>
    <w:rsid w:val="008B7392"/>
    <w:rsid w:val="008B73DA"/>
    <w:rsid w:val="008B768E"/>
    <w:rsid w:val="008B7D36"/>
    <w:rsid w:val="008C000F"/>
    <w:rsid w:val="008C0452"/>
    <w:rsid w:val="008C0464"/>
    <w:rsid w:val="008C0482"/>
    <w:rsid w:val="008C0553"/>
    <w:rsid w:val="008C05BE"/>
    <w:rsid w:val="008C0673"/>
    <w:rsid w:val="008C0829"/>
    <w:rsid w:val="008C09E0"/>
    <w:rsid w:val="008C0B14"/>
    <w:rsid w:val="008C0E2F"/>
    <w:rsid w:val="008C0FA2"/>
    <w:rsid w:val="008C113B"/>
    <w:rsid w:val="008C1159"/>
    <w:rsid w:val="008C14B5"/>
    <w:rsid w:val="008C165F"/>
    <w:rsid w:val="008C1678"/>
    <w:rsid w:val="008C1754"/>
    <w:rsid w:val="008C1E85"/>
    <w:rsid w:val="008C1EEC"/>
    <w:rsid w:val="008C2102"/>
    <w:rsid w:val="008C2145"/>
    <w:rsid w:val="008C21CA"/>
    <w:rsid w:val="008C22E5"/>
    <w:rsid w:val="008C232B"/>
    <w:rsid w:val="008C2455"/>
    <w:rsid w:val="008C2620"/>
    <w:rsid w:val="008C26E3"/>
    <w:rsid w:val="008C2814"/>
    <w:rsid w:val="008C2907"/>
    <w:rsid w:val="008C2BDB"/>
    <w:rsid w:val="008C3324"/>
    <w:rsid w:val="008C3690"/>
    <w:rsid w:val="008C37AD"/>
    <w:rsid w:val="008C39A3"/>
    <w:rsid w:val="008C3A47"/>
    <w:rsid w:val="008C3D44"/>
    <w:rsid w:val="008C41A6"/>
    <w:rsid w:val="008C42DC"/>
    <w:rsid w:val="008C4380"/>
    <w:rsid w:val="008C4533"/>
    <w:rsid w:val="008C45D2"/>
    <w:rsid w:val="008C4706"/>
    <w:rsid w:val="008C4744"/>
    <w:rsid w:val="008C4B0C"/>
    <w:rsid w:val="008C4B41"/>
    <w:rsid w:val="008C4B45"/>
    <w:rsid w:val="008C4BA1"/>
    <w:rsid w:val="008C4CBF"/>
    <w:rsid w:val="008C4DC2"/>
    <w:rsid w:val="008C5251"/>
    <w:rsid w:val="008C5488"/>
    <w:rsid w:val="008C56C9"/>
    <w:rsid w:val="008C586B"/>
    <w:rsid w:val="008C5D85"/>
    <w:rsid w:val="008C5DA1"/>
    <w:rsid w:val="008C5EA3"/>
    <w:rsid w:val="008C63B5"/>
    <w:rsid w:val="008C6624"/>
    <w:rsid w:val="008C66BD"/>
    <w:rsid w:val="008C66F2"/>
    <w:rsid w:val="008C683C"/>
    <w:rsid w:val="008C697C"/>
    <w:rsid w:val="008C6BB1"/>
    <w:rsid w:val="008C6BDE"/>
    <w:rsid w:val="008C6C3D"/>
    <w:rsid w:val="008C6DBD"/>
    <w:rsid w:val="008C6E43"/>
    <w:rsid w:val="008C6ED9"/>
    <w:rsid w:val="008C6EFD"/>
    <w:rsid w:val="008C6F29"/>
    <w:rsid w:val="008C715B"/>
    <w:rsid w:val="008C7262"/>
    <w:rsid w:val="008C7450"/>
    <w:rsid w:val="008C7552"/>
    <w:rsid w:val="008C762C"/>
    <w:rsid w:val="008C7737"/>
    <w:rsid w:val="008C7829"/>
    <w:rsid w:val="008C7916"/>
    <w:rsid w:val="008C794F"/>
    <w:rsid w:val="008C7A60"/>
    <w:rsid w:val="008C7AB9"/>
    <w:rsid w:val="008C7B93"/>
    <w:rsid w:val="008C7CE2"/>
    <w:rsid w:val="008C7E93"/>
    <w:rsid w:val="008C7F7E"/>
    <w:rsid w:val="008D016D"/>
    <w:rsid w:val="008D0260"/>
    <w:rsid w:val="008D0C99"/>
    <w:rsid w:val="008D0CB0"/>
    <w:rsid w:val="008D0EA4"/>
    <w:rsid w:val="008D0FA4"/>
    <w:rsid w:val="008D0FC1"/>
    <w:rsid w:val="008D13C7"/>
    <w:rsid w:val="008D13D0"/>
    <w:rsid w:val="008D13F7"/>
    <w:rsid w:val="008D14B2"/>
    <w:rsid w:val="008D15F9"/>
    <w:rsid w:val="008D1606"/>
    <w:rsid w:val="008D169C"/>
    <w:rsid w:val="008D1746"/>
    <w:rsid w:val="008D1799"/>
    <w:rsid w:val="008D188B"/>
    <w:rsid w:val="008D1972"/>
    <w:rsid w:val="008D1BCC"/>
    <w:rsid w:val="008D1D0C"/>
    <w:rsid w:val="008D1D29"/>
    <w:rsid w:val="008D1EB8"/>
    <w:rsid w:val="008D2037"/>
    <w:rsid w:val="008D206B"/>
    <w:rsid w:val="008D2538"/>
    <w:rsid w:val="008D2B92"/>
    <w:rsid w:val="008D2D4D"/>
    <w:rsid w:val="008D2DFC"/>
    <w:rsid w:val="008D2EFE"/>
    <w:rsid w:val="008D2F54"/>
    <w:rsid w:val="008D3054"/>
    <w:rsid w:val="008D316A"/>
    <w:rsid w:val="008D31E8"/>
    <w:rsid w:val="008D3512"/>
    <w:rsid w:val="008D353A"/>
    <w:rsid w:val="008D356C"/>
    <w:rsid w:val="008D3595"/>
    <w:rsid w:val="008D36F0"/>
    <w:rsid w:val="008D3752"/>
    <w:rsid w:val="008D3757"/>
    <w:rsid w:val="008D3857"/>
    <w:rsid w:val="008D39C7"/>
    <w:rsid w:val="008D3AC4"/>
    <w:rsid w:val="008D3B47"/>
    <w:rsid w:val="008D3EB2"/>
    <w:rsid w:val="008D3F27"/>
    <w:rsid w:val="008D3F6F"/>
    <w:rsid w:val="008D4078"/>
    <w:rsid w:val="008D40EF"/>
    <w:rsid w:val="008D41FE"/>
    <w:rsid w:val="008D4299"/>
    <w:rsid w:val="008D429D"/>
    <w:rsid w:val="008D42EA"/>
    <w:rsid w:val="008D43CB"/>
    <w:rsid w:val="008D44EF"/>
    <w:rsid w:val="008D44FE"/>
    <w:rsid w:val="008D4675"/>
    <w:rsid w:val="008D471E"/>
    <w:rsid w:val="008D47D1"/>
    <w:rsid w:val="008D49B1"/>
    <w:rsid w:val="008D4E47"/>
    <w:rsid w:val="008D4EA4"/>
    <w:rsid w:val="008D5223"/>
    <w:rsid w:val="008D57D4"/>
    <w:rsid w:val="008D57E5"/>
    <w:rsid w:val="008D58F8"/>
    <w:rsid w:val="008D5A8A"/>
    <w:rsid w:val="008D5B23"/>
    <w:rsid w:val="008D5D0E"/>
    <w:rsid w:val="008D5DA6"/>
    <w:rsid w:val="008D5F15"/>
    <w:rsid w:val="008D5FE7"/>
    <w:rsid w:val="008D615A"/>
    <w:rsid w:val="008D619A"/>
    <w:rsid w:val="008D6228"/>
    <w:rsid w:val="008D622A"/>
    <w:rsid w:val="008D623A"/>
    <w:rsid w:val="008D63A5"/>
    <w:rsid w:val="008D67EF"/>
    <w:rsid w:val="008D683C"/>
    <w:rsid w:val="008D685F"/>
    <w:rsid w:val="008D6A48"/>
    <w:rsid w:val="008D6A6C"/>
    <w:rsid w:val="008D6EEA"/>
    <w:rsid w:val="008D6F2C"/>
    <w:rsid w:val="008D6FE7"/>
    <w:rsid w:val="008D710C"/>
    <w:rsid w:val="008D7145"/>
    <w:rsid w:val="008D714C"/>
    <w:rsid w:val="008D737F"/>
    <w:rsid w:val="008D7399"/>
    <w:rsid w:val="008D73C3"/>
    <w:rsid w:val="008D73E5"/>
    <w:rsid w:val="008D7526"/>
    <w:rsid w:val="008D7564"/>
    <w:rsid w:val="008D77DB"/>
    <w:rsid w:val="008D787B"/>
    <w:rsid w:val="008D7D34"/>
    <w:rsid w:val="008D7DB2"/>
    <w:rsid w:val="008E0013"/>
    <w:rsid w:val="008E03AF"/>
    <w:rsid w:val="008E0438"/>
    <w:rsid w:val="008E0608"/>
    <w:rsid w:val="008E090D"/>
    <w:rsid w:val="008E0B42"/>
    <w:rsid w:val="008E0BA9"/>
    <w:rsid w:val="008E0BAE"/>
    <w:rsid w:val="008E0BD3"/>
    <w:rsid w:val="008E0FFF"/>
    <w:rsid w:val="008E1294"/>
    <w:rsid w:val="008E1365"/>
    <w:rsid w:val="008E1536"/>
    <w:rsid w:val="008E1664"/>
    <w:rsid w:val="008E1669"/>
    <w:rsid w:val="008E17F1"/>
    <w:rsid w:val="008E185E"/>
    <w:rsid w:val="008E1B34"/>
    <w:rsid w:val="008E1DA0"/>
    <w:rsid w:val="008E201E"/>
    <w:rsid w:val="008E2080"/>
    <w:rsid w:val="008E20E6"/>
    <w:rsid w:val="008E23E7"/>
    <w:rsid w:val="008E25FF"/>
    <w:rsid w:val="008E26FB"/>
    <w:rsid w:val="008E2994"/>
    <w:rsid w:val="008E29DA"/>
    <w:rsid w:val="008E29ED"/>
    <w:rsid w:val="008E2B00"/>
    <w:rsid w:val="008E2E75"/>
    <w:rsid w:val="008E2ED5"/>
    <w:rsid w:val="008E30E2"/>
    <w:rsid w:val="008E32C6"/>
    <w:rsid w:val="008E3358"/>
    <w:rsid w:val="008E3578"/>
    <w:rsid w:val="008E37BC"/>
    <w:rsid w:val="008E385B"/>
    <w:rsid w:val="008E3980"/>
    <w:rsid w:val="008E3B4F"/>
    <w:rsid w:val="008E3B9F"/>
    <w:rsid w:val="008E3BC3"/>
    <w:rsid w:val="008E3C71"/>
    <w:rsid w:val="008E3DF2"/>
    <w:rsid w:val="008E3E02"/>
    <w:rsid w:val="008E3EDD"/>
    <w:rsid w:val="008E41D1"/>
    <w:rsid w:val="008E421F"/>
    <w:rsid w:val="008E42AC"/>
    <w:rsid w:val="008E4309"/>
    <w:rsid w:val="008E46F0"/>
    <w:rsid w:val="008E4A5F"/>
    <w:rsid w:val="008E4B62"/>
    <w:rsid w:val="008E4B88"/>
    <w:rsid w:val="008E4F09"/>
    <w:rsid w:val="008E5677"/>
    <w:rsid w:val="008E56C4"/>
    <w:rsid w:val="008E59AC"/>
    <w:rsid w:val="008E5A88"/>
    <w:rsid w:val="008E5B93"/>
    <w:rsid w:val="008E5C0F"/>
    <w:rsid w:val="008E5D21"/>
    <w:rsid w:val="008E5E8D"/>
    <w:rsid w:val="008E6034"/>
    <w:rsid w:val="008E60B2"/>
    <w:rsid w:val="008E62AF"/>
    <w:rsid w:val="008E6610"/>
    <w:rsid w:val="008E6640"/>
    <w:rsid w:val="008E66C6"/>
    <w:rsid w:val="008E6B94"/>
    <w:rsid w:val="008E6CC3"/>
    <w:rsid w:val="008E6DA8"/>
    <w:rsid w:val="008E70D8"/>
    <w:rsid w:val="008E716F"/>
    <w:rsid w:val="008E741A"/>
    <w:rsid w:val="008E742F"/>
    <w:rsid w:val="008E7836"/>
    <w:rsid w:val="008E78DE"/>
    <w:rsid w:val="008E7A54"/>
    <w:rsid w:val="008E7D13"/>
    <w:rsid w:val="008E7FAC"/>
    <w:rsid w:val="008F014B"/>
    <w:rsid w:val="008F0188"/>
    <w:rsid w:val="008F01CD"/>
    <w:rsid w:val="008F023F"/>
    <w:rsid w:val="008F028E"/>
    <w:rsid w:val="008F0299"/>
    <w:rsid w:val="008F042A"/>
    <w:rsid w:val="008F04EC"/>
    <w:rsid w:val="008F0606"/>
    <w:rsid w:val="008F0BEF"/>
    <w:rsid w:val="008F0E2F"/>
    <w:rsid w:val="008F0E73"/>
    <w:rsid w:val="008F0F9D"/>
    <w:rsid w:val="008F135B"/>
    <w:rsid w:val="008F13AD"/>
    <w:rsid w:val="008F1472"/>
    <w:rsid w:val="008F14E4"/>
    <w:rsid w:val="008F1580"/>
    <w:rsid w:val="008F15EE"/>
    <w:rsid w:val="008F16D1"/>
    <w:rsid w:val="008F17D2"/>
    <w:rsid w:val="008F17E0"/>
    <w:rsid w:val="008F181A"/>
    <w:rsid w:val="008F18AB"/>
    <w:rsid w:val="008F1977"/>
    <w:rsid w:val="008F19EF"/>
    <w:rsid w:val="008F1ADB"/>
    <w:rsid w:val="008F1BCE"/>
    <w:rsid w:val="008F1C8B"/>
    <w:rsid w:val="008F1D79"/>
    <w:rsid w:val="008F1D97"/>
    <w:rsid w:val="008F1DE1"/>
    <w:rsid w:val="008F1DF8"/>
    <w:rsid w:val="008F1E3E"/>
    <w:rsid w:val="008F1EA2"/>
    <w:rsid w:val="008F1EA4"/>
    <w:rsid w:val="008F1EBD"/>
    <w:rsid w:val="008F1F5C"/>
    <w:rsid w:val="008F1F80"/>
    <w:rsid w:val="008F20F2"/>
    <w:rsid w:val="008F21E3"/>
    <w:rsid w:val="008F2235"/>
    <w:rsid w:val="008F2385"/>
    <w:rsid w:val="008F238E"/>
    <w:rsid w:val="008F2692"/>
    <w:rsid w:val="008F26BB"/>
    <w:rsid w:val="008F26FF"/>
    <w:rsid w:val="008F270F"/>
    <w:rsid w:val="008F2D5A"/>
    <w:rsid w:val="008F2F2E"/>
    <w:rsid w:val="008F3478"/>
    <w:rsid w:val="008F34AB"/>
    <w:rsid w:val="008F3600"/>
    <w:rsid w:val="008F379A"/>
    <w:rsid w:val="008F380F"/>
    <w:rsid w:val="008F3A10"/>
    <w:rsid w:val="008F3B02"/>
    <w:rsid w:val="008F3B7F"/>
    <w:rsid w:val="008F3CCA"/>
    <w:rsid w:val="008F3F41"/>
    <w:rsid w:val="008F4027"/>
    <w:rsid w:val="008F4100"/>
    <w:rsid w:val="008F4294"/>
    <w:rsid w:val="008F42EB"/>
    <w:rsid w:val="008F42F7"/>
    <w:rsid w:val="008F4472"/>
    <w:rsid w:val="008F4823"/>
    <w:rsid w:val="008F4935"/>
    <w:rsid w:val="008F4AE9"/>
    <w:rsid w:val="008F4B2C"/>
    <w:rsid w:val="008F4C2D"/>
    <w:rsid w:val="008F4D44"/>
    <w:rsid w:val="008F4ED5"/>
    <w:rsid w:val="008F5216"/>
    <w:rsid w:val="008F5245"/>
    <w:rsid w:val="008F541E"/>
    <w:rsid w:val="008F55E1"/>
    <w:rsid w:val="008F5861"/>
    <w:rsid w:val="008F5A3A"/>
    <w:rsid w:val="008F5B94"/>
    <w:rsid w:val="008F5CA2"/>
    <w:rsid w:val="008F5DF4"/>
    <w:rsid w:val="008F5E9F"/>
    <w:rsid w:val="008F5F00"/>
    <w:rsid w:val="008F615B"/>
    <w:rsid w:val="008F62B5"/>
    <w:rsid w:val="008F63C4"/>
    <w:rsid w:val="008F6600"/>
    <w:rsid w:val="008F6795"/>
    <w:rsid w:val="008F6AB8"/>
    <w:rsid w:val="008F6D19"/>
    <w:rsid w:val="008F6D5D"/>
    <w:rsid w:val="008F6E46"/>
    <w:rsid w:val="008F6E94"/>
    <w:rsid w:val="008F70DD"/>
    <w:rsid w:val="008F71E3"/>
    <w:rsid w:val="008F726F"/>
    <w:rsid w:val="008F7321"/>
    <w:rsid w:val="008F73E9"/>
    <w:rsid w:val="008F7471"/>
    <w:rsid w:val="008F7660"/>
    <w:rsid w:val="008F786B"/>
    <w:rsid w:val="008F7D2E"/>
    <w:rsid w:val="008F7D4D"/>
    <w:rsid w:val="00900133"/>
    <w:rsid w:val="00900238"/>
    <w:rsid w:val="00900249"/>
    <w:rsid w:val="00900332"/>
    <w:rsid w:val="009004C5"/>
    <w:rsid w:val="009006AC"/>
    <w:rsid w:val="009006F5"/>
    <w:rsid w:val="0090078F"/>
    <w:rsid w:val="009007DE"/>
    <w:rsid w:val="009008A3"/>
    <w:rsid w:val="009008A6"/>
    <w:rsid w:val="009009DD"/>
    <w:rsid w:val="00900B75"/>
    <w:rsid w:val="00900C89"/>
    <w:rsid w:val="00900CDF"/>
    <w:rsid w:val="00900E17"/>
    <w:rsid w:val="00900ED4"/>
    <w:rsid w:val="00901010"/>
    <w:rsid w:val="009011A2"/>
    <w:rsid w:val="009012E8"/>
    <w:rsid w:val="009013CC"/>
    <w:rsid w:val="00901560"/>
    <w:rsid w:val="00901742"/>
    <w:rsid w:val="009017B6"/>
    <w:rsid w:val="00901A44"/>
    <w:rsid w:val="00901AFC"/>
    <w:rsid w:val="00901B52"/>
    <w:rsid w:val="00901BBD"/>
    <w:rsid w:val="0090206F"/>
    <w:rsid w:val="00902253"/>
    <w:rsid w:val="00902302"/>
    <w:rsid w:val="009023C6"/>
    <w:rsid w:val="009025A3"/>
    <w:rsid w:val="00902701"/>
    <w:rsid w:val="00902729"/>
    <w:rsid w:val="0090286E"/>
    <w:rsid w:val="00902ABC"/>
    <w:rsid w:val="00902AD7"/>
    <w:rsid w:val="00902BF7"/>
    <w:rsid w:val="00902C8A"/>
    <w:rsid w:val="00902D03"/>
    <w:rsid w:val="00903303"/>
    <w:rsid w:val="00903370"/>
    <w:rsid w:val="009033B3"/>
    <w:rsid w:val="00903531"/>
    <w:rsid w:val="00903A42"/>
    <w:rsid w:val="00903A93"/>
    <w:rsid w:val="00903AC6"/>
    <w:rsid w:val="00903AD4"/>
    <w:rsid w:val="00903B20"/>
    <w:rsid w:val="00903C9F"/>
    <w:rsid w:val="00903DC8"/>
    <w:rsid w:val="00903E00"/>
    <w:rsid w:val="00903E4D"/>
    <w:rsid w:val="00903F90"/>
    <w:rsid w:val="00904077"/>
    <w:rsid w:val="00904369"/>
    <w:rsid w:val="00904649"/>
    <w:rsid w:val="0090464D"/>
    <w:rsid w:val="0090465D"/>
    <w:rsid w:val="00904681"/>
    <w:rsid w:val="009048DA"/>
    <w:rsid w:val="00904908"/>
    <w:rsid w:val="00904910"/>
    <w:rsid w:val="00904AEF"/>
    <w:rsid w:val="00904C1A"/>
    <w:rsid w:val="00904D3E"/>
    <w:rsid w:val="00904F33"/>
    <w:rsid w:val="00904FA0"/>
    <w:rsid w:val="00904FFA"/>
    <w:rsid w:val="00905077"/>
    <w:rsid w:val="009054D1"/>
    <w:rsid w:val="009058AF"/>
    <w:rsid w:val="009059F0"/>
    <w:rsid w:val="00905B47"/>
    <w:rsid w:val="00905D51"/>
    <w:rsid w:val="00905F3D"/>
    <w:rsid w:val="009060BF"/>
    <w:rsid w:val="00906249"/>
    <w:rsid w:val="009064B8"/>
    <w:rsid w:val="00906698"/>
    <w:rsid w:val="0090686B"/>
    <w:rsid w:val="00906912"/>
    <w:rsid w:val="00906928"/>
    <w:rsid w:val="00906955"/>
    <w:rsid w:val="00906985"/>
    <w:rsid w:val="009069BD"/>
    <w:rsid w:val="00906A55"/>
    <w:rsid w:val="00906A56"/>
    <w:rsid w:val="00906DB9"/>
    <w:rsid w:val="00906F70"/>
    <w:rsid w:val="0090705F"/>
    <w:rsid w:val="00907314"/>
    <w:rsid w:val="00907613"/>
    <w:rsid w:val="009079E9"/>
    <w:rsid w:val="00907ABB"/>
    <w:rsid w:val="00907B07"/>
    <w:rsid w:val="00907C30"/>
    <w:rsid w:val="00907D19"/>
    <w:rsid w:val="00907DEC"/>
    <w:rsid w:val="00907F21"/>
    <w:rsid w:val="00910071"/>
    <w:rsid w:val="009104BD"/>
    <w:rsid w:val="009104FA"/>
    <w:rsid w:val="009105C0"/>
    <w:rsid w:val="00910611"/>
    <w:rsid w:val="009108F9"/>
    <w:rsid w:val="00910A09"/>
    <w:rsid w:val="00910C6D"/>
    <w:rsid w:val="00910D4D"/>
    <w:rsid w:val="00910DD5"/>
    <w:rsid w:val="00910F75"/>
    <w:rsid w:val="009111DA"/>
    <w:rsid w:val="0091123B"/>
    <w:rsid w:val="0091129E"/>
    <w:rsid w:val="009112B8"/>
    <w:rsid w:val="00911334"/>
    <w:rsid w:val="009113FB"/>
    <w:rsid w:val="009114E8"/>
    <w:rsid w:val="009116E9"/>
    <w:rsid w:val="0091178F"/>
    <w:rsid w:val="0091187F"/>
    <w:rsid w:val="00911B57"/>
    <w:rsid w:val="00911B8E"/>
    <w:rsid w:val="00911CF7"/>
    <w:rsid w:val="00911DD1"/>
    <w:rsid w:val="00912245"/>
    <w:rsid w:val="0091245A"/>
    <w:rsid w:val="009125CC"/>
    <w:rsid w:val="009126B5"/>
    <w:rsid w:val="00912846"/>
    <w:rsid w:val="009128E4"/>
    <w:rsid w:val="00912A36"/>
    <w:rsid w:val="00912F2B"/>
    <w:rsid w:val="00912F78"/>
    <w:rsid w:val="00912F8D"/>
    <w:rsid w:val="00913154"/>
    <w:rsid w:val="0091328D"/>
    <w:rsid w:val="009133E0"/>
    <w:rsid w:val="0091342A"/>
    <w:rsid w:val="0091372A"/>
    <w:rsid w:val="00913828"/>
    <w:rsid w:val="0091391B"/>
    <w:rsid w:val="00913970"/>
    <w:rsid w:val="00913971"/>
    <w:rsid w:val="009139F7"/>
    <w:rsid w:val="00913A43"/>
    <w:rsid w:val="00913A44"/>
    <w:rsid w:val="00913B42"/>
    <w:rsid w:val="00913C7D"/>
    <w:rsid w:val="00913DFF"/>
    <w:rsid w:val="00914038"/>
    <w:rsid w:val="0091426D"/>
    <w:rsid w:val="0091428A"/>
    <w:rsid w:val="00914309"/>
    <w:rsid w:val="0091447C"/>
    <w:rsid w:val="009144B6"/>
    <w:rsid w:val="0091450C"/>
    <w:rsid w:val="009146D3"/>
    <w:rsid w:val="0091473A"/>
    <w:rsid w:val="009147EB"/>
    <w:rsid w:val="009147FA"/>
    <w:rsid w:val="00914835"/>
    <w:rsid w:val="009148EA"/>
    <w:rsid w:val="00914BED"/>
    <w:rsid w:val="00914C45"/>
    <w:rsid w:val="00914C63"/>
    <w:rsid w:val="00914C9B"/>
    <w:rsid w:val="00914CBA"/>
    <w:rsid w:val="00914DF6"/>
    <w:rsid w:val="009150F8"/>
    <w:rsid w:val="0091546E"/>
    <w:rsid w:val="009154D5"/>
    <w:rsid w:val="009154F3"/>
    <w:rsid w:val="00915503"/>
    <w:rsid w:val="009155B6"/>
    <w:rsid w:val="00915607"/>
    <w:rsid w:val="00915697"/>
    <w:rsid w:val="009159B1"/>
    <w:rsid w:val="00915B3A"/>
    <w:rsid w:val="00915B60"/>
    <w:rsid w:val="00915BB9"/>
    <w:rsid w:val="00915C95"/>
    <w:rsid w:val="00915CBE"/>
    <w:rsid w:val="00915F02"/>
    <w:rsid w:val="00916085"/>
    <w:rsid w:val="009161CA"/>
    <w:rsid w:val="00916396"/>
    <w:rsid w:val="009164C4"/>
    <w:rsid w:val="00916503"/>
    <w:rsid w:val="00916722"/>
    <w:rsid w:val="00916973"/>
    <w:rsid w:val="00916BF7"/>
    <w:rsid w:val="00916C92"/>
    <w:rsid w:val="00916F0E"/>
    <w:rsid w:val="00916F68"/>
    <w:rsid w:val="00916FC6"/>
    <w:rsid w:val="00917511"/>
    <w:rsid w:val="00917545"/>
    <w:rsid w:val="0091762B"/>
    <w:rsid w:val="009176E4"/>
    <w:rsid w:val="00917AC9"/>
    <w:rsid w:val="00917C86"/>
    <w:rsid w:val="00917E08"/>
    <w:rsid w:val="00920029"/>
    <w:rsid w:val="009200F8"/>
    <w:rsid w:val="009201BF"/>
    <w:rsid w:val="00920279"/>
    <w:rsid w:val="0092033A"/>
    <w:rsid w:val="0092044B"/>
    <w:rsid w:val="00920600"/>
    <w:rsid w:val="00920739"/>
    <w:rsid w:val="009208DF"/>
    <w:rsid w:val="00920B00"/>
    <w:rsid w:val="00920E02"/>
    <w:rsid w:val="00920F54"/>
    <w:rsid w:val="00921093"/>
    <w:rsid w:val="0092137C"/>
    <w:rsid w:val="0092143D"/>
    <w:rsid w:val="00921520"/>
    <w:rsid w:val="00921625"/>
    <w:rsid w:val="009216B5"/>
    <w:rsid w:val="00921726"/>
    <w:rsid w:val="0092183E"/>
    <w:rsid w:val="00921953"/>
    <w:rsid w:val="00921A32"/>
    <w:rsid w:val="00921C1C"/>
    <w:rsid w:val="00921C76"/>
    <w:rsid w:val="00921CCA"/>
    <w:rsid w:val="00922039"/>
    <w:rsid w:val="00922389"/>
    <w:rsid w:val="009226AD"/>
    <w:rsid w:val="009226F4"/>
    <w:rsid w:val="0092297F"/>
    <w:rsid w:val="00922986"/>
    <w:rsid w:val="00922C74"/>
    <w:rsid w:val="00922E5C"/>
    <w:rsid w:val="009230AA"/>
    <w:rsid w:val="009232E6"/>
    <w:rsid w:val="009234D9"/>
    <w:rsid w:val="0092380A"/>
    <w:rsid w:val="009238E5"/>
    <w:rsid w:val="009238E8"/>
    <w:rsid w:val="00923985"/>
    <w:rsid w:val="009239E0"/>
    <w:rsid w:val="00923B83"/>
    <w:rsid w:val="00923F6A"/>
    <w:rsid w:val="00924295"/>
    <w:rsid w:val="00924371"/>
    <w:rsid w:val="009244D9"/>
    <w:rsid w:val="00924552"/>
    <w:rsid w:val="009248A0"/>
    <w:rsid w:val="00924A6D"/>
    <w:rsid w:val="00924A82"/>
    <w:rsid w:val="00924AFC"/>
    <w:rsid w:val="00924DBA"/>
    <w:rsid w:val="00924F6F"/>
    <w:rsid w:val="009250F3"/>
    <w:rsid w:val="0092513C"/>
    <w:rsid w:val="00925143"/>
    <w:rsid w:val="0092521A"/>
    <w:rsid w:val="0092524F"/>
    <w:rsid w:val="009252AF"/>
    <w:rsid w:val="0092537A"/>
    <w:rsid w:val="00925499"/>
    <w:rsid w:val="009255E3"/>
    <w:rsid w:val="009256BC"/>
    <w:rsid w:val="00925753"/>
    <w:rsid w:val="00925926"/>
    <w:rsid w:val="00925D1F"/>
    <w:rsid w:val="00925D50"/>
    <w:rsid w:val="00925DD9"/>
    <w:rsid w:val="00925DE8"/>
    <w:rsid w:val="00925E34"/>
    <w:rsid w:val="00925F02"/>
    <w:rsid w:val="0092601B"/>
    <w:rsid w:val="0092621B"/>
    <w:rsid w:val="00926235"/>
    <w:rsid w:val="009263D9"/>
    <w:rsid w:val="00926579"/>
    <w:rsid w:val="0092661A"/>
    <w:rsid w:val="0092667E"/>
    <w:rsid w:val="00926695"/>
    <w:rsid w:val="0092673C"/>
    <w:rsid w:val="00926788"/>
    <w:rsid w:val="0092687A"/>
    <w:rsid w:val="00926B27"/>
    <w:rsid w:val="00926B83"/>
    <w:rsid w:val="00926D09"/>
    <w:rsid w:val="00926D88"/>
    <w:rsid w:val="00926E15"/>
    <w:rsid w:val="00926FC7"/>
    <w:rsid w:val="00927087"/>
    <w:rsid w:val="009270D3"/>
    <w:rsid w:val="00927354"/>
    <w:rsid w:val="0092747F"/>
    <w:rsid w:val="009275E4"/>
    <w:rsid w:val="009276E6"/>
    <w:rsid w:val="00927C5E"/>
    <w:rsid w:val="00927EA6"/>
    <w:rsid w:val="00927EFF"/>
    <w:rsid w:val="00927FC4"/>
    <w:rsid w:val="0092C534"/>
    <w:rsid w:val="00930070"/>
    <w:rsid w:val="00930166"/>
    <w:rsid w:val="0093035C"/>
    <w:rsid w:val="00930449"/>
    <w:rsid w:val="009304C6"/>
    <w:rsid w:val="009304F6"/>
    <w:rsid w:val="0093052C"/>
    <w:rsid w:val="00930599"/>
    <w:rsid w:val="0093085B"/>
    <w:rsid w:val="009308AC"/>
    <w:rsid w:val="00930936"/>
    <w:rsid w:val="00930974"/>
    <w:rsid w:val="0093098D"/>
    <w:rsid w:val="009312CD"/>
    <w:rsid w:val="0093144F"/>
    <w:rsid w:val="009316F5"/>
    <w:rsid w:val="00931704"/>
    <w:rsid w:val="00931AF6"/>
    <w:rsid w:val="00931C2B"/>
    <w:rsid w:val="00931CDE"/>
    <w:rsid w:val="00931EB6"/>
    <w:rsid w:val="00931ED9"/>
    <w:rsid w:val="00931F50"/>
    <w:rsid w:val="00931F56"/>
    <w:rsid w:val="00932187"/>
    <w:rsid w:val="009326AB"/>
    <w:rsid w:val="0093282A"/>
    <w:rsid w:val="00932C23"/>
    <w:rsid w:val="00932CCF"/>
    <w:rsid w:val="00932CD1"/>
    <w:rsid w:val="00932E72"/>
    <w:rsid w:val="00932FE0"/>
    <w:rsid w:val="0093310A"/>
    <w:rsid w:val="00933305"/>
    <w:rsid w:val="0093347B"/>
    <w:rsid w:val="00933668"/>
    <w:rsid w:val="009336A1"/>
    <w:rsid w:val="009336EB"/>
    <w:rsid w:val="0093379D"/>
    <w:rsid w:val="009338AE"/>
    <w:rsid w:val="00933932"/>
    <w:rsid w:val="00933B50"/>
    <w:rsid w:val="00933BE4"/>
    <w:rsid w:val="00933CBF"/>
    <w:rsid w:val="00933E66"/>
    <w:rsid w:val="00933F9E"/>
    <w:rsid w:val="009341A4"/>
    <w:rsid w:val="00934243"/>
    <w:rsid w:val="009342EB"/>
    <w:rsid w:val="009343FD"/>
    <w:rsid w:val="00934633"/>
    <w:rsid w:val="0093463E"/>
    <w:rsid w:val="00934706"/>
    <w:rsid w:val="00934713"/>
    <w:rsid w:val="009348A1"/>
    <w:rsid w:val="00934A10"/>
    <w:rsid w:val="00934AFB"/>
    <w:rsid w:val="00934B9A"/>
    <w:rsid w:val="00934C29"/>
    <w:rsid w:val="00934DFB"/>
    <w:rsid w:val="009351C4"/>
    <w:rsid w:val="0093528C"/>
    <w:rsid w:val="009352AD"/>
    <w:rsid w:val="00935320"/>
    <w:rsid w:val="009354DE"/>
    <w:rsid w:val="00935886"/>
    <w:rsid w:val="009358B3"/>
    <w:rsid w:val="009358C5"/>
    <w:rsid w:val="00935929"/>
    <w:rsid w:val="00935BF8"/>
    <w:rsid w:val="00935D61"/>
    <w:rsid w:val="00935D6D"/>
    <w:rsid w:val="00935DF6"/>
    <w:rsid w:val="00935FD9"/>
    <w:rsid w:val="0093608D"/>
    <w:rsid w:val="009362E6"/>
    <w:rsid w:val="0093695E"/>
    <w:rsid w:val="009369B6"/>
    <w:rsid w:val="00936C26"/>
    <w:rsid w:val="00936CA6"/>
    <w:rsid w:val="00936F46"/>
    <w:rsid w:val="00937054"/>
    <w:rsid w:val="0093713A"/>
    <w:rsid w:val="009371B9"/>
    <w:rsid w:val="0093731B"/>
    <w:rsid w:val="00937368"/>
    <w:rsid w:val="00937496"/>
    <w:rsid w:val="009377B0"/>
    <w:rsid w:val="009378AA"/>
    <w:rsid w:val="00937962"/>
    <w:rsid w:val="00937DAB"/>
    <w:rsid w:val="00937E47"/>
    <w:rsid w:val="009401B6"/>
    <w:rsid w:val="00940207"/>
    <w:rsid w:val="009402F1"/>
    <w:rsid w:val="00940351"/>
    <w:rsid w:val="0094056B"/>
    <w:rsid w:val="009405CB"/>
    <w:rsid w:val="00940705"/>
    <w:rsid w:val="00940899"/>
    <w:rsid w:val="00940BC2"/>
    <w:rsid w:val="00940BF9"/>
    <w:rsid w:val="00940C5C"/>
    <w:rsid w:val="00940CBA"/>
    <w:rsid w:val="00940DB6"/>
    <w:rsid w:val="00940DC7"/>
    <w:rsid w:val="00940E2E"/>
    <w:rsid w:val="00941000"/>
    <w:rsid w:val="009410AF"/>
    <w:rsid w:val="0094137A"/>
    <w:rsid w:val="0094157A"/>
    <w:rsid w:val="009415DD"/>
    <w:rsid w:val="00941771"/>
    <w:rsid w:val="009418D8"/>
    <w:rsid w:val="009418E0"/>
    <w:rsid w:val="0094190A"/>
    <w:rsid w:val="00941F30"/>
    <w:rsid w:val="00941F73"/>
    <w:rsid w:val="00941FFE"/>
    <w:rsid w:val="0094201B"/>
    <w:rsid w:val="00942031"/>
    <w:rsid w:val="0094231C"/>
    <w:rsid w:val="00942594"/>
    <w:rsid w:val="009425E0"/>
    <w:rsid w:val="0094264B"/>
    <w:rsid w:val="009426BF"/>
    <w:rsid w:val="00942711"/>
    <w:rsid w:val="00942914"/>
    <w:rsid w:val="009429F8"/>
    <w:rsid w:val="00942CEC"/>
    <w:rsid w:val="00942CF2"/>
    <w:rsid w:val="00942DA3"/>
    <w:rsid w:val="00943317"/>
    <w:rsid w:val="00943420"/>
    <w:rsid w:val="009434DF"/>
    <w:rsid w:val="009435E1"/>
    <w:rsid w:val="00943AA5"/>
    <w:rsid w:val="00943B44"/>
    <w:rsid w:val="00943B5E"/>
    <w:rsid w:val="00943DBE"/>
    <w:rsid w:val="00943DCB"/>
    <w:rsid w:val="00943E92"/>
    <w:rsid w:val="00943EFB"/>
    <w:rsid w:val="00944075"/>
    <w:rsid w:val="00944130"/>
    <w:rsid w:val="00944344"/>
    <w:rsid w:val="00944570"/>
    <w:rsid w:val="00944656"/>
    <w:rsid w:val="00944688"/>
    <w:rsid w:val="009446A1"/>
    <w:rsid w:val="0094473E"/>
    <w:rsid w:val="0094499D"/>
    <w:rsid w:val="00944B83"/>
    <w:rsid w:val="00944BA6"/>
    <w:rsid w:val="00944D18"/>
    <w:rsid w:val="00944EF1"/>
    <w:rsid w:val="009452C1"/>
    <w:rsid w:val="009452D2"/>
    <w:rsid w:val="00945430"/>
    <w:rsid w:val="009454FF"/>
    <w:rsid w:val="0094587C"/>
    <w:rsid w:val="00945A3A"/>
    <w:rsid w:val="00945A6B"/>
    <w:rsid w:val="00945FC2"/>
    <w:rsid w:val="009460F8"/>
    <w:rsid w:val="00946107"/>
    <w:rsid w:val="009461D3"/>
    <w:rsid w:val="009461DA"/>
    <w:rsid w:val="00946204"/>
    <w:rsid w:val="00946324"/>
    <w:rsid w:val="00946350"/>
    <w:rsid w:val="00946B4E"/>
    <w:rsid w:val="00946CBA"/>
    <w:rsid w:val="00946D2C"/>
    <w:rsid w:val="00946DF2"/>
    <w:rsid w:val="00946F3E"/>
    <w:rsid w:val="00947000"/>
    <w:rsid w:val="00947032"/>
    <w:rsid w:val="0094714C"/>
    <w:rsid w:val="00947328"/>
    <w:rsid w:val="00947348"/>
    <w:rsid w:val="0094764B"/>
    <w:rsid w:val="009478BE"/>
    <w:rsid w:val="00947A67"/>
    <w:rsid w:val="00947C4D"/>
    <w:rsid w:val="00948462"/>
    <w:rsid w:val="0095004B"/>
    <w:rsid w:val="0095024A"/>
    <w:rsid w:val="00950359"/>
    <w:rsid w:val="00950590"/>
    <w:rsid w:val="0095066D"/>
    <w:rsid w:val="009506F5"/>
    <w:rsid w:val="009507B8"/>
    <w:rsid w:val="009508C2"/>
    <w:rsid w:val="00950965"/>
    <w:rsid w:val="00950A7B"/>
    <w:rsid w:val="00950AEC"/>
    <w:rsid w:val="00950BD9"/>
    <w:rsid w:val="00950D92"/>
    <w:rsid w:val="00951282"/>
    <w:rsid w:val="00951298"/>
    <w:rsid w:val="00951300"/>
    <w:rsid w:val="00951396"/>
    <w:rsid w:val="009513B3"/>
    <w:rsid w:val="00951432"/>
    <w:rsid w:val="0095155E"/>
    <w:rsid w:val="0095156F"/>
    <w:rsid w:val="0095173C"/>
    <w:rsid w:val="00951A89"/>
    <w:rsid w:val="00951AA0"/>
    <w:rsid w:val="00951AED"/>
    <w:rsid w:val="00951CD7"/>
    <w:rsid w:val="00951DCE"/>
    <w:rsid w:val="0095237A"/>
    <w:rsid w:val="009523EC"/>
    <w:rsid w:val="00952500"/>
    <w:rsid w:val="00952849"/>
    <w:rsid w:val="009528EF"/>
    <w:rsid w:val="00952BD2"/>
    <w:rsid w:val="00952D13"/>
    <w:rsid w:val="00952D72"/>
    <w:rsid w:val="00952EC7"/>
    <w:rsid w:val="00952ED8"/>
    <w:rsid w:val="00952F4B"/>
    <w:rsid w:val="00952FA2"/>
    <w:rsid w:val="009531BC"/>
    <w:rsid w:val="00953283"/>
    <w:rsid w:val="0095329B"/>
    <w:rsid w:val="009533AC"/>
    <w:rsid w:val="00953645"/>
    <w:rsid w:val="00953820"/>
    <w:rsid w:val="00953B06"/>
    <w:rsid w:val="00953B6F"/>
    <w:rsid w:val="00953C28"/>
    <w:rsid w:val="00953CAC"/>
    <w:rsid w:val="00953D06"/>
    <w:rsid w:val="00953D36"/>
    <w:rsid w:val="00953DB3"/>
    <w:rsid w:val="00954063"/>
    <w:rsid w:val="00954183"/>
    <w:rsid w:val="009541F2"/>
    <w:rsid w:val="00954297"/>
    <w:rsid w:val="00954484"/>
    <w:rsid w:val="00954658"/>
    <w:rsid w:val="00954660"/>
    <w:rsid w:val="009546B2"/>
    <w:rsid w:val="00954B8B"/>
    <w:rsid w:val="00954D52"/>
    <w:rsid w:val="00954FBC"/>
    <w:rsid w:val="009553DF"/>
    <w:rsid w:val="0095544B"/>
    <w:rsid w:val="009554AC"/>
    <w:rsid w:val="009556CB"/>
    <w:rsid w:val="00955704"/>
    <w:rsid w:val="009557D5"/>
    <w:rsid w:val="00955A76"/>
    <w:rsid w:val="00955AFE"/>
    <w:rsid w:val="00955B7B"/>
    <w:rsid w:val="00955B93"/>
    <w:rsid w:val="00955C56"/>
    <w:rsid w:val="00955C89"/>
    <w:rsid w:val="00955D35"/>
    <w:rsid w:val="00955EDA"/>
    <w:rsid w:val="00955FC5"/>
    <w:rsid w:val="00956069"/>
    <w:rsid w:val="009568AC"/>
    <w:rsid w:val="0095696C"/>
    <w:rsid w:val="00956A5B"/>
    <w:rsid w:val="00956C01"/>
    <w:rsid w:val="00956C51"/>
    <w:rsid w:val="00956CA9"/>
    <w:rsid w:val="00957714"/>
    <w:rsid w:val="00957794"/>
    <w:rsid w:val="00957950"/>
    <w:rsid w:val="00957A07"/>
    <w:rsid w:val="00957ACD"/>
    <w:rsid w:val="00957DA8"/>
    <w:rsid w:val="00957FE7"/>
    <w:rsid w:val="0096006A"/>
    <w:rsid w:val="0096017B"/>
    <w:rsid w:val="00960447"/>
    <w:rsid w:val="009604EE"/>
    <w:rsid w:val="009606DC"/>
    <w:rsid w:val="009608BA"/>
    <w:rsid w:val="00960927"/>
    <w:rsid w:val="009609BC"/>
    <w:rsid w:val="009609E6"/>
    <w:rsid w:val="00960B03"/>
    <w:rsid w:val="00960C2C"/>
    <w:rsid w:val="00960C3A"/>
    <w:rsid w:val="00960D97"/>
    <w:rsid w:val="00960F23"/>
    <w:rsid w:val="00961114"/>
    <w:rsid w:val="0096111B"/>
    <w:rsid w:val="00961178"/>
    <w:rsid w:val="00961200"/>
    <w:rsid w:val="0096128D"/>
    <w:rsid w:val="00961345"/>
    <w:rsid w:val="00961400"/>
    <w:rsid w:val="00961467"/>
    <w:rsid w:val="0096155A"/>
    <w:rsid w:val="0096188E"/>
    <w:rsid w:val="00961A03"/>
    <w:rsid w:val="00961C8A"/>
    <w:rsid w:val="00961C8B"/>
    <w:rsid w:val="00961CD6"/>
    <w:rsid w:val="00961E16"/>
    <w:rsid w:val="00961E74"/>
    <w:rsid w:val="009621C8"/>
    <w:rsid w:val="00962206"/>
    <w:rsid w:val="0096225B"/>
    <w:rsid w:val="00962302"/>
    <w:rsid w:val="00962339"/>
    <w:rsid w:val="0096240D"/>
    <w:rsid w:val="00962434"/>
    <w:rsid w:val="0096247C"/>
    <w:rsid w:val="009624B6"/>
    <w:rsid w:val="00962880"/>
    <w:rsid w:val="00962897"/>
    <w:rsid w:val="009628A8"/>
    <w:rsid w:val="0096297C"/>
    <w:rsid w:val="009629D0"/>
    <w:rsid w:val="00962A3A"/>
    <w:rsid w:val="00962A5E"/>
    <w:rsid w:val="00962EE0"/>
    <w:rsid w:val="00962EEF"/>
    <w:rsid w:val="009630C7"/>
    <w:rsid w:val="00963250"/>
    <w:rsid w:val="00963297"/>
    <w:rsid w:val="00963970"/>
    <w:rsid w:val="00963B18"/>
    <w:rsid w:val="00963CA0"/>
    <w:rsid w:val="009640EA"/>
    <w:rsid w:val="00964155"/>
    <w:rsid w:val="00964184"/>
    <w:rsid w:val="00964202"/>
    <w:rsid w:val="009643B5"/>
    <w:rsid w:val="00964424"/>
    <w:rsid w:val="0096472F"/>
    <w:rsid w:val="00964766"/>
    <w:rsid w:val="009647B1"/>
    <w:rsid w:val="009647D0"/>
    <w:rsid w:val="009647E2"/>
    <w:rsid w:val="009648D4"/>
    <w:rsid w:val="00964AD3"/>
    <w:rsid w:val="00964B08"/>
    <w:rsid w:val="00964B0D"/>
    <w:rsid w:val="00964B4A"/>
    <w:rsid w:val="00964E12"/>
    <w:rsid w:val="00964F73"/>
    <w:rsid w:val="0096507E"/>
    <w:rsid w:val="00965086"/>
    <w:rsid w:val="009650AB"/>
    <w:rsid w:val="0096537C"/>
    <w:rsid w:val="00965434"/>
    <w:rsid w:val="009654BD"/>
    <w:rsid w:val="009656A2"/>
    <w:rsid w:val="00965A34"/>
    <w:rsid w:val="00965B72"/>
    <w:rsid w:val="00965B88"/>
    <w:rsid w:val="00965EC1"/>
    <w:rsid w:val="00965EF5"/>
    <w:rsid w:val="00965F28"/>
    <w:rsid w:val="0096606C"/>
    <w:rsid w:val="00966254"/>
    <w:rsid w:val="00966426"/>
    <w:rsid w:val="00966488"/>
    <w:rsid w:val="009665F9"/>
    <w:rsid w:val="0096675C"/>
    <w:rsid w:val="00966804"/>
    <w:rsid w:val="00966932"/>
    <w:rsid w:val="009669D6"/>
    <w:rsid w:val="00966A8C"/>
    <w:rsid w:val="00966D54"/>
    <w:rsid w:val="00966E0C"/>
    <w:rsid w:val="00966E98"/>
    <w:rsid w:val="00966FBE"/>
    <w:rsid w:val="0096711A"/>
    <w:rsid w:val="00967122"/>
    <w:rsid w:val="0096723B"/>
    <w:rsid w:val="0096735D"/>
    <w:rsid w:val="0096741A"/>
    <w:rsid w:val="009675AA"/>
    <w:rsid w:val="0096785A"/>
    <w:rsid w:val="009678F8"/>
    <w:rsid w:val="00967A86"/>
    <w:rsid w:val="00967B3F"/>
    <w:rsid w:val="00967B91"/>
    <w:rsid w:val="00967BFC"/>
    <w:rsid w:val="00967DE0"/>
    <w:rsid w:val="00967E01"/>
    <w:rsid w:val="00967E4C"/>
    <w:rsid w:val="00967E4F"/>
    <w:rsid w:val="00967FD6"/>
    <w:rsid w:val="009700CF"/>
    <w:rsid w:val="009701E9"/>
    <w:rsid w:val="00970256"/>
    <w:rsid w:val="009702E2"/>
    <w:rsid w:val="00970430"/>
    <w:rsid w:val="0097046D"/>
    <w:rsid w:val="009705F9"/>
    <w:rsid w:val="0097067D"/>
    <w:rsid w:val="00970A79"/>
    <w:rsid w:val="00970C12"/>
    <w:rsid w:val="00970C85"/>
    <w:rsid w:val="00970CF1"/>
    <w:rsid w:val="00970E8A"/>
    <w:rsid w:val="009710B9"/>
    <w:rsid w:val="0097118A"/>
    <w:rsid w:val="009712E4"/>
    <w:rsid w:val="009712EB"/>
    <w:rsid w:val="00971328"/>
    <w:rsid w:val="009713F5"/>
    <w:rsid w:val="0097156C"/>
    <w:rsid w:val="009715D9"/>
    <w:rsid w:val="009719CD"/>
    <w:rsid w:val="00971A7B"/>
    <w:rsid w:val="00971C80"/>
    <w:rsid w:val="00971EC6"/>
    <w:rsid w:val="00971F1A"/>
    <w:rsid w:val="009722CB"/>
    <w:rsid w:val="0097250D"/>
    <w:rsid w:val="00972875"/>
    <w:rsid w:val="009728C3"/>
    <w:rsid w:val="00972999"/>
    <w:rsid w:val="00972B37"/>
    <w:rsid w:val="00972B62"/>
    <w:rsid w:val="00972C29"/>
    <w:rsid w:val="00972DA0"/>
    <w:rsid w:val="00973188"/>
    <w:rsid w:val="009733D7"/>
    <w:rsid w:val="00973480"/>
    <w:rsid w:val="009734CE"/>
    <w:rsid w:val="00973676"/>
    <w:rsid w:val="009737D2"/>
    <w:rsid w:val="009737ED"/>
    <w:rsid w:val="009739C0"/>
    <w:rsid w:val="009739EB"/>
    <w:rsid w:val="00973B04"/>
    <w:rsid w:val="009740F3"/>
    <w:rsid w:val="00974153"/>
    <w:rsid w:val="00974183"/>
    <w:rsid w:val="00974289"/>
    <w:rsid w:val="0097433A"/>
    <w:rsid w:val="009743F1"/>
    <w:rsid w:val="009746AF"/>
    <w:rsid w:val="00974845"/>
    <w:rsid w:val="009749B0"/>
    <w:rsid w:val="00974B58"/>
    <w:rsid w:val="00974B84"/>
    <w:rsid w:val="00974BB5"/>
    <w:rsid w:val="00974E76"/>
    <w:rsid w:val="00974F34"/>
    <w:rsid w:val="00974FC5"/>
    <w:rsid w:val="00974FEA"/>
    <w:rsid w:val="00975015"/>
    <w:rsid w:val="009756C7"/>
    <w:rsid w:val="00975723"/>
    <w:rsid w:val="00975844"/>
    <w:rsid w:val="00975964"/>
    <w:rsid w:val="00975ABF"/>
    <w:rsid w:val="00975C8F"/>
    <w:rsid w:val="009761B2"/>
    <w:rsid w:val="0097623C"/>
    <w:rsid w:val="00976437"/>
    <w:rsid w:val="00976593"/>
    <w:rsid w:val="009765B6"/>
    <w:rsid w:val="00976619"/>
    <w:rsid w:val="009766B5"/>
    <w:rsid w:val="00976961"/>
    <w:rsid w:val="00976AA5"/>
    <w:rsid w:val="00976B2B"/>
    <w:rsid w:val="00976C64"/>
    <w:rsid w:val="00976CD7"/>
    <w:rsid w:val="00976D4B"/>
    <w:rsid w:val="00976E8E"/>
    <w:rsid w:val="0097716B"/>
    <w:rsid w:val="0097718D"/>
    <w:rsid w:val="0097720F"/>
    <w:rsid w:val="00977349"/>
    <w:rsid w:val="0097737C"/>
    <w:rsid w:val="00977384"/>
    <w:rsid w:val="00977396"/>
    <w:rsid w:val="00977512"/>
    <w:rsid w:val="00977780"/>
    <w:rsid w:val="00977955"/>
    <w:rsid w:val="0097799D"/>
    <w:rsid w:val="009779BB"/>
    <w:rsid w:val="00977BF0"/>
    <w:rsid w:val="00977D05"/>
    <w:rsid w:val="00977D7D"/>
    <w:rsid w:val="00978921"/>
    <w:rsid w:val="009801D9"/>
    <w:rsid w:val="00980307"/>
    <w:rsid w:val="0098032F"/>
    <w:rsid w:val="00980764"/>
    <w:rsid w:val="00980ABE"/>
    <w:rsid w:val="00980B07"/>
    <w:rsid w:val="00980B68"/>
    <w:rsid w:val="00980BCA"/>
    <w:rsid w:val="00980CBC"/>
    <w:rsid w:val="00980EBD"/>
    <w:rsid w:val="0098132E"/>
    <w:rsid w:val="009813A6"/>
    <w:rsid w:val="009814F3"/>
    <w:rsid w:val="00981689"/>
    <w:rsid w:val="009816A5"/>
    <w:rsid w:val="009816F1"/>
    <w:rsid w:val="0098187D"/>
    <w:rsid w:val="00981A53"/>
    <w:rsid w:val="00981A93"/>
    <w:rsid w:val="00981AE1"/>
    <w:rsid w:val="00981D6C"/>
    <w:rsid w:val="00981FBC"/>
    <w:rsid w:val="009821FD"/>
    <w:rsid w:val="00982370"/>
    <w:rsid w:val="009825A2"/>
    <w:rsid w:val="009825AB"/>
    <w:rsid w:val="009825CD"/>
    <w:rsid w:val="00982696"/>
    <w:rsid w:val="00982746"/>
    <w:rsid w:val="0098286F"/>
    <w:rsid w:val="009828B8"/>
    <w:rsid w:val="00982921"/>
    <w:rsid w:val="0098294D"/>
    <w:rsid w:val="00982B42"/>
    <w:rsid w:val="00982D49"/>
    <w:rsid w:val="00982E55"/>
    <w:rsid w:val="00982F22"/>
    <w:rsid w:val="00983053"/>
    <w:rsid w:val="00983196"/>
    <w:rsid w:val="00983384"/>
    <w:rsid w:val="009833E7"/>
    <w:rsid w:val="00983439"/>
    <w:rsid w:val="00983751"/>
    <w:rsid w:val="009837BE"/>
    <w:rsid w:val="009837F9"/>
    <w:rsid w:val="00983886"/>
    <w:rsid w:val="0098395F"/>
    <w:rsid w:val="00983A5E"/>
    <w:rsid w:val="00983A9E"/>
    <w:rsid w:val="00983AFE"/>
    <w:rsid w:val="00983B55"/>
    <w:rsid w:val="00983DDB"/>
    <w:rsid w:val="00983E70"/>
    <w:rsid w:val="00983ED9"/>
    <w:rsid w:val="00983F89"/>
    <w:rsid w:val="00984044"/>
    <w:rsid w:val="009843AA"/>
    <w:rsid w:val="009844A0"/>
    <w:rsid w:val="009845A8"/>
    <w:rsid w:val="00984BBC"/>
    <w:rsid w:val="00984C65"/>
    <w:rsid w:val="00984E93"/>
    <w:rsid w:val="00984EF7"/>
    <w:rsid w:val="00984FAD"/>
    <w:rsid w:val="009851F7"/>
    <w:rsid w:val="0098521A"/>
    <w:rsid w:val="00985257"/>
    <w:rsid w:val="00985576"/>
    <w:rsid w:val="0098560F"/>
    <w:rsid w:val="009856D1"/>
    <w:rsid w:val="00985772"/>
    <w:rsid w:val="00985826"/>
    <w:rsid w:val="00985D4B"/>
    <w:rsid w:val="00985D63"/>
    <w:rsid w:val="00985D97"/>
    <w:rsid w:val="00985FF5"/>
    <w:rsid w:val="00986093"/>
    <w:rsid w:val="009860F3"/>
    <w:rsid w:val="00986282"/>
    <w:rsid w:val="00986329"/>
    <w:rsid w:val="0098663E"/>
    <w:rsid w:val="00986654"/>
    <w:rsid w:val="0098682D"/>
    <w:rsid w:val="00986851"/>
    <w:rsid w:val="0098685E"/>
    <w:rsid w:val="00986966"/>
    <w:rsid w:val="00986AD9"/>
    <w:rsid w:val="00986B20"/>
    <w:rsid w:val="00986B74"/>
    <w:rsid w:val="00986EFF"/>
    <w:rsid w:val="00986F84"/>
    <w:rsid w:val="009871AC"/>
    <w:rsid w:val="009872F5"/>
    <w:rsid w:val="009873CD"/>
    <w:rsid w:val="009876A6"/>
    <w:rsid w:val="009877DE"/>
    <w:rsid w:val="009879C3"/>
    <w:rsid w:val="00987CB0"/>
    <w:rsid w:val="00987EAB"/>
    <w:rsid w:val="009900CE"/>
    <w:rsid w:val="00990177"/>
    <w:rsid w:val="009904C7"/>
    <w:rsid w:val="009904D3"/>
    <w:rsid w:val="00990588"/>
    <w:rsid w:val="009905D8"/>
    <w:rsid w:val="009906DB"/>
    <w:rsid w:val="009907DD"/>
    <w:rsid w:val="00990998"/>
    <w:rsid w:val="00990A5C"/>
    <w:rsid w:val="00990B49"/>
    <w:rsid w:val="00991349"/>
    <w:rsid w:val="009915BF"/>
    <w:rsid w:val="00991747"/>
    <w:rsid w:val="009917B9"/>
    <w:rsid w:val="009918C2"/>
    <w:rsid w:val="00991918"/>
    <w:rsid w:val="00991D69"/>
    <w:rsid w:val="00991DBB"/>
    <w:rsid w:val="00991E9C"/>
    <w:rsid w:val="00992064"/>
    <w:rsid w:val="00992101"/>
    <w:rsid w:val="00992231"/>
    <w:rsid w:val="00992239"/>
    <w:rsid w:val="00992240"/>
    <w:rsid w:val="00992397"/>
    <w:rsid w:val="009926B7"/>
    <w:rsid w:val="009927A2"/>
    <w:rsid w:val="00992F0F"/>
    <w:rsid w:val="00992F85"/>
    <w:rsid w:val="00992F8B"/>
    <w:rsid w:val="0099317B"/>
    <w:rsid w:val="0099326E"/>
    <w:rsid w:val="009933E9"/>
    <w:rsid w:val="00993519"/>
    <w:rsid w:val="0099399E"/>
    <w:rsid w:val="00993BA3"/>
    <w:rsid w:val="00993C08"/>
    <w:rsid w:val="00994114"/>
    <w:rsid w:val="00994217"/>
    <w:rsid w:val="009942E8"/>
    <w:rsid w:val="009942F3"/>
    <w:rsid w:val="0099474B"/>
    <w:rsid w:val="009948C7"/>
    <w:rsid w:val="00994A09"/>
    <w:rsid w:val="00994AA0"/>
    <w:rsid w:val="00994C6E"/>
    <w:rsid w:val="009950A0"/>
    <w:rsid w:val="00995334"/>
    <w:rsid w:val="0099549B"/>
    <w:rsid w:val="009955A8"/>
    <w:rsid w:val="00995864"/>
    <w:rsid w:val="00995A74"/>
    <w:rsid w:val="00995B97"/>
    <w:rsid w:val="00995C12"/>
    <w:rsid w:val="009960EC"/>
    <w:rsid w:val="00996125"/>
    <w:rsid w:val="00996391"/>
    <w:rsid w:val="009964CA"/>
    <w:rsid w:val="009966AA"/>
    <w:rsid w:val="009966F0"/>
    <w:rsid w:val="00996A4D"/>
    <w:rsid w:val="00996BF5"/>
    <w:rsid w:val="00996C25"/>
    <w:rsid w:val="00996CA2"/>
    <w:rsid w:val="00996CEB"/>
    <w:rsid w:val="00996D72"/>
    <w:rsid w:val="00996D9D"/>
    <w:rsid w:val="009972C1"/>
    <w:rsid w:val="0099743F"/>
    <w:rsid w:val="0099749E"/>
    <w:rsid w:val="0099767C"/>
    <w:rsid w:val="0099778A"/>
    <w:rsid w:val="009977B6"/>
    <w:rsid w:val="00997898"/>
    <w:rsid w:val="00997B8C"/>
    <w:rsid w:val="00997C04"/>
    <w:rsid w:val="00997E42"/>
    <w:rsid w:val="0099F4F9"/>
    <w:rsid w:val="009A0304"/>
    <w:rsid w:val="009A0370"/>
    <w:rsid w:val="009A05EA"/>
    <w:rsid w:val="009A0799"/>
    <w:rsid w:val="009A07F1"/>
    <w:rsid w:val="009A0CC3"/>
    <w:rsid w:val="009A0E12"/>
    <w:rsid w:val="009A0EF8"/>
    <w:rsid w:val="009A0FCD"/>
    <w:rsid w:val="009A120E"/>
    <w:rsid w:val="009A132A"/>
    <w:rsid w:val="009A143A"/>
    <w:rsid w:val="009A1598"/>
    <w:rsid w:val="009A16A3"/>
    <w:rsid w:val="009A16BC"/>
    <w:rsid w:val="009A16E9"/>
    <w:rsid w:val="009A186C"/>
    <w:rsid w:val="009A1A6C"/>
    <w:rsid w:val="009A1A7F"/>
    <w:rsid w:val="009A1BC5"/>
    <w:rsid w:val="009A1E7A"/>
    <w:rsid w:val="009A1F1A"/>
    <w:rsid w:val="009A24A5"/>
    <w:rsid w:val="009A2860"/>
    <w:rsid w:val="009A2E35"/>
    <w:rsid w:val="009A30C4"/>
    <w:rsid w:val="009A310D"/>
    <w:rsid w:val="009A31AA"/>
    <w:rsid w:val="009A325B"/>
    <w:rsid w:val="009A32B6"/>
    <w:rsid w:val="009A3343"/>
    <w:rsid w:val="009A33AB"/>
    <w:rsid w:val="009A3467"/>
    <w:rsid w:val="009A34F7"/>
    <w:rsid w:val="009A3848"/>
    <w:rsid w:val="009A3A8C"/>
    <w:rsid w:val="009A3ACE"/>
    <w:rsid w:val="009A3CA9"/>
    <w:rsid w:val="009A3CAA"/>
    <w:rsid w:val="009A3D22"/>
    <w:rsid w:val="009A3ECB"/>
    <w:rsid w:val="009A3F63"/>
    <w:rsid w:val="009A41A1"/>
    <w:rsid w:val="009A422E"/>
    <w:rsid w:val="009A4636"/>
    <w:rsid w:val="009A4DAD"/>
    <w:rsid w:val="009A4EA7"/>
    <w:rsid w:val="009A4F0A"/>
    <w:rsid w:val="009A4F40"/>
    <w:rsid w:val="009A4F8F"/>
    <w:rsid w:val="009A4F9A"/>
    <w:rsid w:val="009A54EA"/>
    <w:rsid w:val="009A5694"/>
    <w:rsid w:val="009A5776"/>
    <w:rsid w:val="009A579C"/>
    <w:rsid w:val="009A57AA"/>
    <w:rsid w:val="009A5F94"/>
    <w:rsid w:val="009A62A8"/>
    <w:rsid w:val="009A62C1"/>
    <w:rsid w:val="009A6357"/>
    <w:rsid w:val="009A63BF"/>
    <w:rsid w:val="009A6423"/>
    <w:rsid w:val="009A6446"/>
    <w:rsid w:val="009A6494"/>
    <w:rsid w:val="009A649D"/>
    <w:rsid w:val="009A64ED"/>
    <w:rsid w:val="009A6527"/>
    <w:rsid w:val="009A653F"/>
    <w:rsid w:val="009A66EC"/>
    <w:rsid w:val="009A6730"/>
    <w:rsid w:val="009A67BF"/>
    <w:rsid w:val="009A68F5"/>
    <w:rsid w:val="009A6AD7"/>
    <w:rsid w:val="009A6AFA"/>
    <w:rsid w:val="009A6CF1"/>
    <w:rsid w:val="009A6FA5"/>
    <w:rsid w:val="009A6FE7"/>
    <w:rsid w:val="009A70BB"/>
    <w:rsid w:val="009A71C5"/>
    <w:rsid w:val="009A71FE"/>
    <w:rsid w:val="009A74B3"/>
    <w:rsid w:val="009A74ED"/>
    <w:rsid w:val="009A7575"/>
    <w:rsid w:val="009A75B0"/>
    <w:rsid w:val="009A75F8"/>
    <w:rsid w:val="009A7723"/>
    <w:rsid w:val="009A7731"/>
    <w:rsid w:val="009A7977"/>
    <w:rsid w:val="009A7A69"/>
    <w:rsid w:val="009A7DE0"/>
    <w:rsid w:val="009A7F46"/>
    <w:rsid w:val="009A7F4C"/>
    <w:rsid w:val="009AC707"/>
    <w:rsid w:val="009B02E0"/>
    <w:rsid w:val="009B0333"/>
    <w:rsid w:val="009B0550"/>
    <w:rsid w:val="009B057F"/>
    <w:rsid w:val="009B0C5B"/>
    <w:rsid w:val="009B0E1C"/>
    <w:rsid w:val="009B0F27"/>
    <w:rsid w:val="009B0FE9"/>
    <w:rsid w:val="009B10E4"/>
    <w:rsid w:val="009B1170"/>
    <w:rsid w:val="009B11B5"/>
    <w:rsid w:val="009B11F6"/>
    <w:rsid w:val="009B1273"/>
    <w:rsid w:val="009B14A7"/>
    <w:rsid w:val="009B16D0"/>
    <w:rsid w:val="009B175C"/>
    <w:rsid w:val="009B1828"/>
    <w:rsid w:val="009B19CD"/>
    <w:rsid w:val="009B1B29"/>
    <w:rsid w:val="009B210B"/>
    <w:rsid w:val="009B2238"/>
    <w:rsid w:val="009B22D2"/>
    <w:rsid w:val="009B2346"/>
    <w:rsid w:val="009B2451"/>
    <w:rsid w:val="009B2A81"/>
    <w:rsid w:val="009B2A9D"/>
    <w:rsid w:val="009B2B4F"/>
    <w:rsid w:val="009B2CFE"/>
    <w:rsid w:val="009B3190"/>
    <w:rsid w:val="009B33A6"/>
    <w:rsid w:val="009B363C"/>
    <w:rsid w:val="009B371E"/>
    <w:rsid w:val="009B3777"/>
    <w:rsid w:val="009B387B"/>
    <w:rsid w:val="009B3954"/>
    <w:rsid w:val="009B3B89"/>
    <w:rsid w:val="009B3BDB"/>
    <w:rsid w:val="009B3C94"/>
    <w:rsid w:val="009B3D4C"/>
    <w:rsid w:val="009B407D"/>
    <w:rsid w:val="009B41D0"/>
    <w:rsid w:val="009B4230"/>
    <w:rsid w:val="009B445B"/>
    <w:rsid w:val="009B4528"/>
    <w:rsid w:val="009B46B8"/>
    <w:rsid w:val="009B46BE"/>
    <w:rsid w:val="009B477C"/>
    <w:rsid w:val="009B4790"/>
    <w:rsid w:val="009B480F"/>
    <w:rsid w:val="009B4840"/>
    <w:rsid w:val="009B48B7"/>
    <w:rsid w:val="009B4D9B"/>
    <w:rsid w:val="009B4DE6"/>
    <w:rsid w:val="009B50E4"/>
    <w:rsid w:val="009B51E1"/>
    <w:rsid w:val="009B53AE"/>
    <w:rsid w:val="009B5426"/>
    <w:rsid w:val="009B55D9"/>
    <w:rsid w:val="009B5657"/>
    <w:rsid w:val="009B5686"/>
    <w:rsid w:val="009B57C3"/>
    <w:rsid w:val="009B5922"/>
    <w:rsid w:val="009B5A8F"/>
    <w:rsid w:val="009B5AE2"/>
    <w:rsid w:val="009B5BB6"/>
    <w:rsid w:val="009B5C36"/>
    <w:rsid w:val="009B5C80"/>
    <w:rsid w:val="009B5EAC"/>
    <w:rsid w:val="009B5FA5"/>
    <w:rsid w:val="009B6006"/>
    <w:rsid w:val="009B6056"/>
    <w:rsid w:val="009B64E1"/>
    <w:rsid w:val="009B64EE"/>
    <w:rsid w:val="009B66CE"/>
    <w:rsid w:val="009B66ED"/>
    <w:rsid w:val="009B6704"/>
    <w:rsid w:val="009B6797"/>
    <w:rsid w:val="009B689C"/>
    <w:rsid w:val="009B6EF1"/>
    <w:rsid w:val="009B7060"/>
    <w:rsid w:val="009B70E2"/>
    <w:rsid w:val="009B71D6"/>
    <w:rsid w:val="009B7255"/>
    <w:rsid w:val="009B729F"/>
    <w:rsid w:val="009B72DE"/>
    <w:rsid w:val="009B7356"/>
    <w:rsid w:val="009B74D6"/>
    <w:rsid w:val="009B7785"/>
    <w:rsid w:val="009B779B"/>
    <w:rsid w:val="009B7859"/>
    <w:rsid w:val="009B7AEF"/>
    <w:rsid w:val="009B7CC7"/>
    <w:rsid w:val="009B7CFB"/>
    <w:rsid w:val="009C0244"/>
    <w:rsid w:val="009C0317"/>
    <w:rsid w:val="009C03EA"/>
    <w:rsid w:val="009C0557"/>
    <w:rsid w:val="009C0592"/>
    <w:rsid w:val="009C062F"/>
    <w:rsid w:val="009C066E"/>
    <w:rsid w:val="009C07D7"/>
    <w:rsid w:val="009C092C"/>
    <w:rsid w:val="009C094A"/>
    <w:rsid w:val="009C09B0"/>
    <w:rsid w:val="009C0A15"/>
    <w:rsid w:val="009C0A8C"/>
    <w:rsid w:val="009C0B77"/>
    <w:rsid w:val="009C0BEA"/>
    <w:rsid w:val="009C0CE0"/>
    <w:rsid w:val="009C0D2C"/>
    <w:rsid w:val="009C1041"/>
    <w:rsid w:val="009C1164"/>
    <w:rsid w:val="009C11AF"/>
    <w:rsid w:val="009C11B7"/>
    <w:rsid w:val="009C13F6"/>
    <w:rsid w:val="009C1403"/>
    <w:rsid w:val="009C1569"/>
    <w:rsid w:val="009C15A5"/>
    <w:rsid w:val="009C1940"/>
    <w:rsid w:val="009C1B54"/>
    <w:rsid w:val="009C1E94"/>
    <w:rsid w:val="009C1FE7"/>
    <w:rsid w:val="009C210E"/>
    <w:rsid w:val="009C233C"/>
    <w:rsid w:val="009C2354"/>
    <w:rsid w:val="009C24D6"/>
    <w:rsid w:val="009C25FD"/>
    <w:rsid w:val="009C266C"/>
    <w:rsid w:val="009C289A"/>
    <w:rsid w:val="009C2976"/>
    <w:rsid w:val="009C2AE7"/>
    <w:rsid w:val="009C2DCD"/>
    <w:rsid w:val="009C2EF2"/>
    <w:rsid w:val="009C3133"/>
    <w:rsid w:val="009C31BA"/>
    <w:rsid w:val="009C31F4"/>
    <w:rsid w:val="009C32B0"/>
    <w:rsid w:val="009C337F"/>
    <w:rsid w:val="009C351C"/>
    <w:rsid w:val="009C35A9"/>
    <w:rsid w:val="009C36DA"/>
    <w:rsid w:val="009C3A14"/>
    <w:rsid w:val="009C3A3C"/>
    <w:rsid w:val="009C3B47"/>
    <w:rsid w:val="009C4019"/>
    <w:rsid w:val="009C415E"/>
    <w:rsid w:val="009C4210"/>
    <w:rsid w:val="009C459C"/>
    <w:rsid w:val="009C45C2"/>
    <w:rsid w:val="009C471A"/>
    <w:rsid w:val="009C49E6"/>
    <w:rsid w:val="009C4A0A"/>
    <w:rsid w:val="009C4B08"/>
    <w:rsid w:val="009C4BC2"/>
    <w:rsid w:val="009C4BFD"/>
    <w:rsid w:val="009C4F25"/>
    <w:rsid w:val="009C5192"/>
    <w:rsid w:val="009C54A0"/>
    <w:rsid w:val="009C56E5"/>
    <w:rsid w:val="009C5875"/>
    <w:rsid w:val="009C5E34"/>
    <w:rsid w:val="009C5EF9"/>
    <w:rsid w:val="009C5FE6"/>
    <w:rsid w:val="009C617F"/>
    <w:rsid w:val="009C6269"/>
    <w:rsid w:val="009C62D3"/>
    <w:rsid w:val="009C6A14"/>
    <w:rsid w:val="009C6F21"/>
    <w:rsid w:val="009C73F1"/>
    <w:rsid w:val="009C7534"/>
    <w:rsid w:val="009C76BE"/>
    <w:rsid w:val="009C78B9"/>
    <w:rsid w:val="009C79CD"/>
    <w:rsid w:val="009C7A50"/>
    <w:rsid w:val="009C7AF1"/>
    <w:rsid w:val="009D01AE"/>
    <w:rsid w:val="009D03F1"/>
    <w:rsid w:val="009D083E"/>
    <w:rsid w:val="009D093E"/>
    <w:rsid w:val="009D0A46"/>
    <w:rsid w:val="009D0E86"/>
    <w:rsid w:val="009D0F16"/>
    <w:rsid w:val="009D0F49"/>
    <w:rsid w:val="009D1107"/>
    <w:rsid w:val="009D17D6"/>
    <w:rsid w:val="009D1A40"/>
    <w:rsid w:val="009D1AF8"/>
    <w:rsid w:val="009D1B27"/>
    <w:rsid w:val="009D1B2C"/>
    <w:rsid w:val="009D1B7E"/>
    <w:rsid w:val="009D1B88"/>
    <w:rsid w:val="009D1BD3"/>
    <w:rsid w:val="009D1CA5"/>
    <w:rsid w:val="009D2013"/>
    <w:rsid w:val="009D20E6"/>
    <w:rsid w:val="009D215A"/>
    <w:rsid w:val="009D21B4"/>
    <w:rsid w:val="009D21E3"/>
    <w:rsid w:val="009D220F"/>
    <w:rsid w:val="009D25F0"/>
    <w:rsid w:val="009D28AE"/>
    <w:rsid w:val="009D28CA"/>
    <w:rsid w:val="009D2F27"/>
    <w:rsid w:val="009D30FA"/>
    <w:rsid w:val="009D3280"/>
    <w:rsid w:val="009D32C8"/>
    <w:rsid w:val="009D3428"/>
    <w:rsid w:val="009D3454"/>
    <w:rsid w:val="009D3A3E"/>
    <w:rsid w:val="009D3A61"/>
    <w:rsid w:val="009D3CA9"/>
    <w:rsid w:val="009D43BB"/>
    <w:rsid w:val="009D4731"/>
    <w:rsid w:val="009D482F"/>
    <w:rsid w:val="009D48BC"/>
    <w:rsid w:val="009D496F"/>
    <w:rsid w:val="009D4A50"/>
    <w:rsid w:val="009D4D14"/>
    <w:rsid w:val="009D4D8C"/>
    <w:rsid w:val="009D4E56"/>
    <w:rsid w:val="009D4E67"/>
    <w:rsid w:val="009D4F8E"/>
    <w:rsid w:val="009D5012"/>
    <w:rsid w:val="009D5143"/>
    <w:rsid w:val="009D53A8"/>
    <w:rsid w:val="009D56B4"/>
    <w:rsid w:val="009D596C"/>
    <w:rsid w:val="009D5A0F"/>
    <w:rsid w:val="009D5A22"/>
    <w:rsid w:val="009D5A63"/>
    <w:rsid w:val="009D5A7A"/>
    <w:rsid w:val="009D5E4F"/>
    <w:rsid w:val="009D629E"/>
    <w:rsid w:val="009D6389"/>
    <w:rsid w:val="009D65F4"/>
    <w:rsid w:val="009D66E0"/>
    <w:rsid w:val="009D6794"/>
    <w:rsid w:val="009D67C2"/>
    <w:rsid w:val="009D6A93"/>
    <w:rsid w:val="009D6B11"/>
    <w:rsid w:val="009D6B8B"/>
    <w:rsid w:val="009D6C2E"/>
    <w:rsid w:val="009D6C77"/>
    <w:rsid w:val="009D6CF0"/>
    <w:rsid w:val="009D7171"/>
    <w:rsid w:val="009D71AB"/>
    <w:rsid w:val="009D71DA"/>
    <w:rsid w:val="009D739B"/>
    <w:rsid w:val="009D7650"/>
    <w:rsid w:val="009D76B0"/>
    <w:rsid w:val="009D77F0"/>
    <w:rsid w:val="009D7814"/>
    <w:rsid w:val="009D7815"/>
    <w:rsid w:val="009D7A60"/>
    <w:rsid w:val="009D7AF8"/>
    <w:rsid w:val="009D7C23"/>
    <w:rsid w:val="009D7C98"/>
    <w:rsid w:val="009D7DC0"/>
    <w:rsid w:val="009D7ED5"/>
    <w:rsid w:val="009E01D0"/>
    <w:rsid w:val="009E02E8"/>
    <w:rsid w:val="009E03B9"/>
    <w:rsid w:val="009E0582"/>
    <w:rsid w:val="009E0583"/>
    <w:rsid w:val="009E0707"/>
    <w:rsid w:val="009E072B"/>
    <w:rsid w:val="009E07CD"/>
    <w:rsid w:val="009E0885"/>
    <w:rsid w:val="009E09DD"/>
    <w:rsid w:val="009E0ACF"/>
    <w:rsid w:val="009E0AF9"/>
    <w:rsid w:val="009E0EE7"/>
    <w:rsid w:val="009E105E"/>
    <w:rsid w:val="009E1227"/>
    <w:rsid w:val="009E1480"/>
    <w:rsid w:val="009E1697"/>
    <w:rsid w:val="009E18A4"/>
    <w:rsid w:val="009E1939"/>
    <w:rsid w:val="009E19A3"/>
    <w:rsid w:val="009E1A25"/>
    <w:rsid w:val="009E1A96"/>
    <w:rsid w:val="009E1F53"/>
    <w:rsid w:val="009E23DD"/>
    <w:rsid w:val="009E2435"/>
    <w:rsid w:val="009E24EC"/>
    <w:rsid w:val="009E2594"/>
    <w:rsid w:val="009E2637"/>
    <w:rsid w:val="009E28A3"/>
    <w:rsid w:val="009E2AE8"/>
    <w:rsid w:val="009E3027"/>
    <w:rsid w:val="009E3097"/>
    <w:rsid w:val="009E3121"/>
    <w:rsid w:val="009E3133"/>
    <w:rsid w:val="009E3176"/>
    <w:rsid w:val="009E318A"/>
    <w:rsid w:val="009E329A"/>
    <w:rsid w:val="009E32B6"/>
    <w:rsid w:val="009E376D"/>
    <w:rsid w:val="009E39A7"/>
    <w:rsid w:val="009E3D35"/>
    <w:rsid w:val="009E3DB0"/>
    <w:rsid w:val="009E40D5"/>
    <w:rsid w:val="009E4378"/>
    <w:rsid w:val="009E43B9"/>
    <w:rsid w:val="009E454C"/>
    <w:rsid w:val="009E4558"/>
    <w:rsid w:val="009E461E"/>
    <w:rsid w:val="009E480F"/>
    <w:rsid w:val="009E4918"/>
    <w:rsid w:val="009E4A92"/>
    <w:rsid w:val="009E4C2D"/>
    <w:rsid w:val="009E4DB0"/>
    <w:rsid w:val="009E4E5F"/>
    <w:rsid w:val="009E4F1B"/>
    <w:rsid w:val="009E4F24"/>
    <w:rsid w:val="009E50EF"/>
    <w:rsid w:val="009E5172"/>
    <w:rsid w:val="009E5229"/>
    <w:rsid w:val="009E525D"/>
    <w:rsid w:val="009E5470"/>
    <w:rsid w:val="009E56E6"/>
    <w:rsid w:val="009E5703"/>
    <w:rsid w:val="009E5803"/>
    <w:rsid w:val="009E5807"/>
    <w:rsid w:val="009E5819"/>
    <w:rsid w:val="009E592F"/>
    <w:rsid w:val="009E594D"/>
    <w:rsid w:val="009E5B26"/>
    <w:rsid w:val="009E5D19"/>
    <w:rsid w:val="009E5DD6"/>
    <w:rsid w:val="009E5DED"/>
    <w:rsid w:val="009E60EB"/>
    <w:rsid w:val="009E611E"/>
    <w:rsid w:val="009E6740"/>
    <w:rsid w:val="009E695B"/>
    <w:rsid w:val="009E6ACF"/>
    <w:rsid w:val="009E709F"/>
    <w:rsid w:val="009E71DE"/>
    <w:rsid w:val="009E725A"/>
    <w:rsid w:val="009E7339"/>
    <w:rsid w:val="009E73C9"/>
    <w:rsid w:val="009E7427"/>
    <w:rsid w:val="009E7447"/>
    <w:rsid w:val="009E745E"/>
    <w:rsid w:val="009E7460"/>
    <w:rsid w:val="009E74C6"/>
    <w:rsid w:val="009E7546"/>
    <w:rsid w:val="009E78F3"/>
    <w:rsid w:val="009E799B"/>
    <w:rsid w:val="009E79D8"/>
    <w:rsid w:val="009E7B39"/>
    <w:rsid w:val="009E7C12"/>
    <w:rsid w:val="009E7E01"/>
    <w:rsid w:val="009E7E1A"/>
    <w:rsid w:val="009E7F06"/>
    <w:rsid w:val="009E7FBA"/>
    <w:rsid w:val="009EB014"/>
    <w:rsid w:val="009F036F"/>
    <w:rsid w:val="009F04EF"/>
    <w:rsid w:val="009F05D7"/>
    <w:rsid w:val="009F0673"/>
    <w:rsid w:val="009F0954"/>
    <w:rsid w:val="009F0B71"/>
    <w:rsid w:val="009F0D62"/>
    <w:rsid w:val="009F15CC"/>
    <w:rsid w:val="009F1622"/>
    <w:rsid w:val="009F1633"/>
    <w:rsid w:val="009F180C"/>
    <w:rsid w:val="009F1A64"/>
    <w:rsid w:val="009F1BB4"/>
    <w:rsid w:val="009F1CA4"/>
    <w:rsid w:val="009F1CB1"/>
    <w:rsid w:val="009F1D19"/>
    <w:rsid w:val="009F1DBA"/>
    <w:rsid w:val="009F1DC8"/>
    <w:rsid w:val="009F1E2F"/>
    <w:rsid w:val="009F21E7"/>
    <w:rsid w:val="009F2490"/>
    <w:rsid w:val="009F24D2"/>
    <w:rsid w:val="009F26B9"/>
    <w:rsid w:val="009F2780"/>
    <w:rsid w:val="009F2819"/>
    <w:rsid w:val="009F2945"/>
    <w:rsid w:val="009F2A1B"/>
    <w:rsid w:val="009F2A2C"/>
    <w:rsid w:val="009F2CD9"/>
    <w:rsid w:val="009F2D8A"/>
    <w:rsid w:val="009F2EB7"/>
    <w:rsid w:val="009F34C4"/>
    <w:rsid w:val="009F3522"/>
    <w:rsid w:val="009F3627"/>
    <w:rsid w:val="009F3849"/>
    <w:rsid w:val="009F38EC"/>
    <w:rsid w:val="009F3B81"/>
    <w:rsid w:val="009F3BC2"/>
    <w:rsid w:val="009F3E9C"/>
    <w:rsid w:val="009F3EF7"/>
    <w:rsid w:val="009F4042"/>
    <w:rsid w:val="009F411C"/>
    <w:rsid w:val="009F425B"/>
    <w:rsid w:val="009F479C"/>
    <w:rsid w:val="009F47A6"/>
    <w:rsid w:val="009F47B7"/>
    <w:rsid w:val="009F47D4"/>
    <w:rsid w:val="009F4918"/>
    <w:rsid w:val="009F4A05"/>
    <w:rsid w:val="009F4B08"/>
    <w:rsid w:val="009F4B7B"/>
    <w:rsid w:val="009F4E86"/>
    <w:rsid w:val="009F4ED5"/>
    <w:rsid w:val="009F4F3C"/>
    <w:rsid w:val="009F50DE"/>
    <w:rsid w:val="009F50FD"/>
    <w:rsid w:val="009F5111"/>
    <w:rsid w:val="009F5633"/>
    <w:rsid w:val="009F5694"/>
    <w:rsid w:val="009F57F5"/>
    <w:rsid w:val="009F5829"/>
    <w:rsid w:val="009F5A2E"/>
    <w:rsid w:val="009F5BAB"/>
    <w:rsid w:val="009F5BF4"/>
    <w:rsid w:val="009F5C88"/>
    <w:rsid w:val="009F5F3E"/>
    <w:rsid w:val="009F60CA"/>
    <w:rsid w:val="009F60EE"/>
    <w:rsid w:val="009F61A1"/>
    <w:rsid w:val="009F62E5"/>
    <w:rsid w:val="009F6422"/>
    <w:rsid w:val="009F6425"/>
    <w:rsid w:val="009F65F3"/>
    <w:rsid w:val="009F65FC"/>
    <w:rsid w:val="009F663F"/>
    <w:rsid w:val="009F676F"/>
    <w:rsid w:val="009F688C"/>
    <w:rsid w:val="009F6957"/>
    <w:rsid w:val="009F6AC3"/>
    <w:rsid w:val="009F6CB4"/>
    <w:rsid w:val="009F6DC7"/>
    <w:rsid w:val="009F6E07"/>
    <w:rsid w:val="009F7054"/>
    <w:rsid w:val="009F72C0"/>
    <w:rsid w:val="009F7324"/>
    <w:rsid w:val="009F7476"/>
    <w:rsid w:val="009F7543"/>
    <w:rsid w:val="009F76D7"/>
    <w:rsid w:val="009F7858"/>
    <w:rsid w:val="009F78B6"/>
    <w:rsid w:val="009F7C19"/>
    <w:rsid w:val="009F7C7A"/>
    <w:rsid w:val="00A0011C"/>
    <w:rsid w:val="00A001E6"/>
    <w:rsid w:val="00A003E2"/>
    <w:rsid w:val="00A003FB"/>
    <w:rsid w:val="00A005FB"/>
    <w:rsid w:val="00A0063D"/>
    <w:rsid w:val="00A006F8"/>
    <w:rsid w:val="00A008A6"/>
    <w:rsid w:val="00A0095E"/>
    <w:rsid w:val="00A00E6B"/>
    <w:rsid w:val="00A00E84"/>
    <w:rsid w:val="00A00FA9"/>
    <w:rsid w:val="00A01372"/>
    <w:rsid w:val="00A013EF"/>
    <w:rsid w:val="00A014CE"/>
    <w:rsid w:val="00A01A2C"/>
    <w:rsid w:val="00A01B7F"/>
    <w:rsid w:val="00A0205D"/>
    <w:rsid w:val="00A0211F"/>
    <w:rsid w:val="00A02452"/>
    <w:rsid w:val="00A0249B"/>
    <w:rsid w:val="00A02628"/>
    <w:rsid w:val="00A02684"/>
    <w:rsid w:val="00A026B9"/>
    <w:rsid w:val="00A02949"/>
    <w:rsid w:val="00A02BCC"/>
    <w:rsid w:val="00A02CD0"/>
    <w:rsid w:val="00A02D8F"/>
    <w:rsid w:val="00A02E7D"/>
    <w:rsid w:val="00A02F67"/>
    <w:rsid w:val="00A030C0"/>
    <w:rsid w:val="00A03159"/>
    <w:rsid w:val="00A03345"/>
    <w:rsid w:val="00A0373D"/>
    <w:rsid w:val="00A03A76"/>
    <w:rsid w:val="00A03D1E"/>
    <w:rsid w:val="00A03D33"/>
    <w:rsid w:val="00A03D9B"/>
    <w:rsid w:val="00A03F30"/>
    <w:rsid w:val="00A03FFD"/>
    <w:rsid w:val="00A042B3"/>
    <w:rsid w:val="00A0432E"/>
    <w:rsid w:val="00A0489C"/>
    <w:rsid w:val="00A048C7"/>
    <w:rsid w:val="00A04A9B"/>
    <w:rsid w:val="00A04D4C"/>
    <w:rsid w:val="00A04EE2"/>
    <w:rsid w:val="00A04FC8"/>
    <w:rsid w:val="00A05225"/>
    <w:rsid w:val="00A05453"/>
    <w:rsid w:val="00A054BB"/>
    <w:rsid w:val="00A056DC"/>
    <w:rsid w:val="00A058E2"/>
    <w:rsid w:val="00A05AC8"/>
    <w:rsid w:val="00A05ED8"/>
    <w:rsid w:val="00A05FF6"/>
    <w:rsid w:val="00A0615B"/>
    <w:rsid w:val="00A061B6"/>
    <w:rsid w:val="00A06207"/>
    <w:rsid w:val="00A06769"/>
    <w:rsid w:val="00A06773"/>
    <w:rsid w:val="00A06792"/>
    <w:rsid w:val="00A068B6"/>
    <w:rsid w:val="00A0694C"/>
    <w:rsid w:val="00A06A58"/>
    <w:rsid w:val="00A06AD9"/>
    <w:rsid w:val="00A06B8E"/>
    <w:rsid w:val="00A06D52"/>
    <w:rsid w:val="00A06F8A"/>
    <w:rsid w:val="00A0739A"/>
    <w:rsid w:val="00A07433"/>
    <w:rsid w:val="00A074FE"/>
    <w:rsid w:val="00A075E4"/>
    <w:rsid w:val="00A077E6"/>
    <w:rsid w:val="00A07930"/>
    <w:rsid w:val="00A07D02"/>
    <w:rsid w:val="00A07D58"/>
    <w:rsid w:val="00A07FA1"/>
    <w:rsid w:val="00A1003A"/>
    <w:rsid w:val="00A1006B"/>
    <w:rsid w:val="00A10137"/>
    <w:rsid w:val="00A101B8"/>
    <w:rsid w:val="00A1027B"/>
    <w:rsid w:val="00A102BA"/>
    <w:rsid w:val="00A10362"/>
    <w:rsid w:val="00A10466"/>
    <w:rsid w:val="00A1046D"/>
    <w:rsid w:val="00A1055A"/>
    <w:rsid w:val="00A10575"/>
    <w:rsid w:val="00A105C9"/>
    <w:rsid w:val="00A105F8"/>
    <w:rsid w:val="00A10710"/>
    <w:rsid w:val="00A10796"/>
    <w:rsid w:val="00A10811"/>
    <w:rsid w:val="00A10AC2"/>
    <w:rsid w:val="00A10B67"/>
    <w:rsid w:val="00A10BB7"/>
    <w:rsid w:val="00A10C4D"/>
    <w:rsid w:val="00A10DD2"/>
    <w:rsid w:val="00A10E63"/>
    <w:rsid w:val="00A10E95"/>
    <w:rsid w:val="00A110BC"/>
    <w:rsid w:val="00A111BF"/>
    <w:rsid w:val="00A111EF"/>
    <w:rsid w:val="00A1139A"/>
    <w:rsid w:val="00A11438"/>
    <w:rsid w:val="00A11452"/>
    <w:rsid w:val="00A1147D"/>
    <w:rsid w:val="00A11536"/>
    <w:rsid w:val="00A1169F"/>
    <w:rsid w:val="00A116A8"/>
    <w:rsid w:val="00A116E3"/>
    <w:rsid w:val="00A11753"/>
    <w:rsid w:val="00A118BB"/>
    <w:rsid w:val="00A11FE6"/>
    <w:rsid w:val="00A12507"/>
    <w:rsid w:val="00A1273E"/>
    <w:rsid w:val="00A127C4"/>
    <w:rsid w:val="00A127C8"/>
    <w:rsid w:val="00A12877"/>
    <w:rsid w:val="00A12956"/>
    <w:rsid w:val="00A12BEC"/>
    <w:rsid w:val="00A12CCE"/>
    <w:rsid w:val="00A12E32"/>
    <w:rsid w:val="00A13011"/>
    <w:rsid w:val="00A1311E"/>
    <w:rsid w:val="00A13323"/>
    <w:rsid w:val="00A134E3"/>
    <w:rsid w:val="00A1351E"/>
    <w:rsid w:val="00A1375A"/>
    <w:rsid w:val="00A13882"/>
    <w:rsid w:val="00A13908"/>
    <w:rsid w:val="00A14047"/>
    <w:rsid w:val="00A140C4"/>
    <w:rsid w:val="00A1416E"/>
    <w:rsid w:val="00A14262"/>
    <w:rsid w:val="00A143D1"/>
    <w:rsid w:val="00A1444F"/>
    <w:rsid w:val="00A1457B"/>
    <w:rsid w:val="00A145AE"/>
    <w:rsid w:val="00A146B7"/>
    <w:rsid w:val="00A14832"/>
    <w:rsid w:val="00A14A74"/>
    <w:rsid w:val="00A14BC0"/>
    <w:rsid w:val="00A14D73"/>
    <w:rsid w:val="00A14D75"/>
    <w:rsid w:val="00A14EEF"/>
    <w:rsid w:val="00A14FA3"/>
    <w:rsid w:val="00A1505D"/>
    <w:rsid w:val="00A15151"/>
    <w:rsid w:val="00A15266"/>
    <w:rsid w:val="00A15290"/>
    <w:rsid w:val="00A157F5"/>
    <w:rsid w:val="00A15A84"/>
    <w:rsid w:val="00A15C2D"/>
    <w:rsid w:val="00A15D0F"/>
    <w:rsid w:val="00A15D31"/>
    <w:rsid w:val="00A15DCF"/>
    <w:rsid w:val="00A15E5A"/>
    <w:rsid w:val="00A15FF0"/>
    <w:rsid w:val="00A1616F"/>
    <w:rsid w:val="00A1620B"/>
    <w:rsid w:val="00A16335"/>
    <w:rsid w:val="00A1662A"/>
    <w:rsid w:val="00A16906"/>
    <w:rsid w:val="00A16A1D"/>
    <w:rsid w:val="00A16A6E"/>
    <w:rsid w:val="00A16AD6"/>
    <w:rsid w:val="00A16B41"/>
    <w:rsid w:val="00A16BD1"/>
    <w:rsid w:val="00A16C87"/>
    <w:rsid w:val="00A16D7B"/>
    <w:rsid w:val="00A16EA7"/>
    <w:rsid w:val="00A16FD5"/>
    <w:rsid w:val="00A170FD"/>
    <w:rsid w:val="00A17272"/>
    <w:rsid w:val="00A173E5"/>
    <w:rsid w:val="00A17B41"/>
    <w:rsid w:val="00A17C23"/>
    <w:rsid w:val="00A17D56"/>
    <w:rsid w:val="00A17DBD"/>
    <w:rsid w:val="00A2017C"/>
    <w:rsid w:val="00A20206"/>
    <w:rsid w:val="00A2026D"/>
    <w:rsid w:val="00A206A3"/>
    <w:rsid w:val="00A206A6"/>
    <w:rsid w:val="00A206FE"/>
    <w:rsid w:val="00A208F7"/>
    <w:rsid w:val="00A20A79"/>
    <w:rsid w:val="00A21588"/>
    <w:rsid w:val="00A216E4"/>
    <w:rsid w:val="00A217CE"/>
    <w:rsid w:val="00A218FE"/>
    <w:rsid w:val="00A21A87"/>
    <w:rsid w:val="00A21DA3"/>
    <w:rsid w:val="00A21EA7"/>
    <w:rsid w:val="00A21EBA"/>
    <w:rsid w:val="00A21FC2"/>
    <w:rsid w:val="00A22175"/>
    <w:rsid w:val="00A221C4"/>
    <w:rsid w:val="00A227B9"/>
    <w:rsid w:val="00A22A5A"/>
    <w:rsid w:val="00A22DC7"/>
    <w:rsid w:val="00A22F94"/>
    <w:rsid w:val="00A23132"/>
    <w:rsid w:val="00A231ED"/>
    <w:rsid w:val="00A23464"/>
    <w:rsid w:val="00A23650"/>
    <w:rsid w:val="00A2377A"/>
    <w:rsid w:val="00A23927"/>
    <w:rsid w:val="00A23946"/>
    <w:rsid w:val="00A23A36"/>
    <w:rsid w:val="00A23C80"/>
    <w:rsid w:val="00A23CCC"/>
    <w:rsid w:val="00A23E27"/>
    <w:rsid w:val="00A24089"/>
    <w:rsid w:val="00A240AA"/>
    <w:rsid w:val="00A240CA"/>
    <w:rsid w:val="00A24243"/>
    <w:rsid w:val="00A2426C"/>
    <w:rsid w:val="00A2427A"/>
    <w:rsid w:val="00A24348"/>
    <w:rsid w:val="00A24429"/>
    <w:rsid w:val="00A24489"/>
    <w:rsid w:val="00A245B3"/>
    <w:rsid w:val="00A245BA"/>
    <w:rsid w:val="00A2480E"/>
    <w:rsid w:val="00A24904"/>
    <w:rsid w:val="00A249B8"/>
    <w:rsid w:val="00A24B8C"/>
    <w:rsid w:val="00A24BA4"/>
    <w:rsid w:val="00A24CA1"/>
    <w:rsid w:val="00A24E26"/>
    <w:rsid w:val="00A25251"/>
    <w:rsid w:val="00A252A9"/>
    <w:rsid w:val="00A252E5"/>
    <w:rsid w:val="00A257FB"/>
    <w:rsid w:val="00A258CE"/>
    <w:rsid w:val="00A25B74"/>
    <w:rsid w:val="00A25D32"/>
    <w:rsid w:val="00A260D2"/>
    <w:rsid w:val="00A26146"/>
    <w:rsid w:val="00A263FB"/>
    <w:rsid w:val="00A2644C"/>
    <w:rsid w:val="00A26450"/>
    <w:rsid w:val="00A266D8"/>
    <w:rsid w:val="00A26712"/>
    <w:rsid w:val="00A2674B"/>
    <w:rsid w:val="00A26772"/>
    <w:rsid w:val="00A26850"/>
    <w:rsid w:val="00A26D53"/>
    <w:rsid w:val="00A26DFC"/>
    <w:rsid w:val="00A26EF2"/>
    <w:rsid w:val="00A27053"/>
    <w:rsid w:val="00A27503"/>
    <w:rsid w:val="00A275C2"/>
    <w:rsid w:val="00A276A0"/>
    <w:rsid w:val="00A27967"/>
    <w:rsid w:val="00A279E7"/>
    <w:rsid w:val="00A27BE7"/>
    <w:rsid w:val="00A27BF1"/>
    <w:rsid w:val="00A27C3B"/>
    <w:rsid w:val="00A27E79"/>
    <w:rsid w:val="00A2CE8C"/>
    <w:rsid w:val="00A3001E"/>
    <w:rsid w:val="00A30656"/>
    <w:rsid w:val="00A306C5"/>
    <w:rsid w:val="00A3084E"/>
    <w:rsid w:val="00A30A60"/>
    <w:rsid w:val="00A30ADA"/>
    <w:rsid w:val="00A30AE0"/>
    <w:rsid w:val="00A30DD7"/>
    <w:rsid w:val="00A30F3C"/>
    <w:rsid w:val="00A30F92"/>
    <w:rsid w:val="00A30FFF"/>
    <w:rsid w:val="00A312E1"/>
    <w:rsid w:val="00A312FA"/>
    <w:rsid w:val="00A3143D"/>
    <w:rsid w:val="00A31470"/>
    <w:rsid w:val="00A315FB"/>
    <w:rsid w:val="00A31A41"/>
    <w:rsid w:val="00A31AD0"/>
    <w:rsid w:val="00A31BED"/>
    <w:rsid w:val="00A31C40"/>
    <w:rsid w:val="00A31CB1"/>
    <w:rsid w:val="00A31DF9"/>
    <w:rsid w:val="00A31E4A"/>
    <w:rsid w:val="00A31EBF"/>
    <w:rsid w:val="00A31F5A"/>
    <w:rsid w:val="00A32088"/>
    <w:rsid w:val="00A320D2"/>
    <w:rsid w:val="00A3212F"/>
    <w:rsid w:val="00A32188"/>
    <w:rsid w:val="00A3219D"/>
    <w:rsid w:val="00A32229"/>
    <w:rsid w:val="00A3223B"/>
    <w:rsid w:val="00A323E7"/>
    <w:rsid w:val="00A3249D"/>
    <w:rsid w:val="00A32795"/>
    <w:rsid w:val="00A328F7"/>
    <w:rsid w:val="00A32906"/>
    <w:rsid w:val="00A32953"/>
    <w:rsid w:val="00A32D21"/>
    <w:rsid w:val="00A32D7E"/>
    <w:rsid w:val="00A32E54"/>
    <w:rsid w:val="00A332A9"/>
    <w:rsid w:val="00A332E3"/>
    <w:rsid w:val="00A334DD"/>
    <w:rsid w:val="00A3371C"/>
    <w:rsid w:val="00A33814"/>
    <w:rsid w:val="00A33A1C"/>
    <w:rsid w:val="00A33A8D"/>
    <w:rsid w:val="00A33D86"/>
    <w:rsid w:val="00A33F5D"/>
    <w:rsid w:val="00A34073"/>
    <w:rsid w:val="00A34085"/>
    <w:rsid w:val="00A340BD"/>
    <w:rsid w:val="00A34131"/>
    <w:rsid w:val="00A3418F"/>
    <w:rsid w:val="00A341F2"/>
    <w:rsid w:val="00A34221"/>
    <w:rsid w:val="00A34297"/>
    <w:rsid w:val="00A34349"/>
    <w:rsid w:val="00A343F9"/>
    <w:rsid w:val="00A346BE"/>
    <w:rsid w:val="00A346E7"/>
    <w:rsid w:val="00A347A3"/>
    <w:rsid w:val="00A349EB"/>
    <w:rsid w:val="00A349FA"/>
    <w:rsid w:val="00A34A31"/>
    <w:rsid w:val="00A3515A"/>
    <w:rsid w:val="00A351A9"/>
    <w:rsid w:val="00A35319"/>
    <w:rsid w:val="00A354A8"/>
    <w:rsid w:val="00A35603"/>
    <w:rsid w:val="00A35661"/>
    <w:rsid w:val="00A35760"/>
    <w:rsid w:val="00A3584C"/>
    <w:rsid w:val="00A3593F"/>
    <w:rsid w:val="00A35E99"/>
    <w:rsid w:val="00A362F3"/>
    <w:rsid w:val="00A364DE"/>
    <w:rsid w:val="00A36574"/>
    <w:rsid w:val="00A36592"/>
    <w:rsid w:val="00A36614"/>
    <w:rsid w:val="00A367D0"/>
    <w:rsid w:val="00A36991"/>
    <w:rsid w:val="00A36C19"/>
    <w:rsid w:val="00A36C37"/>
    <w:rsid w:val="00A36D64"/>
    <w:rsid w:val="00A37282"/>
    <w:rsid w:val="00A3729E"/>
    <w:rsid w:val="00A372C8"/>
    <w:rsid w:val="00A372E9"/>
    <w:rsid w:val="00A373C1"/>
    <w:rsid w:val="00A373C8"/>
    <w:rsid w:val="00A37441"/>
    <w:rsid w:val="00A375DE"/>
    <w:rsid w:val="00A376E9"/>
    <w:rsid w:val="00A37703"/>
    <w:rsid w:val="00A3778A"/>
    <w:rsid w:val="00A377C0"/>
    <w:rsid w:val="00A3794C"/>
    <w:rsid w:val="00A37B3D"/>
    <w:rsid w:val="00A37B6F"/>
    <w:rsid w:val="00A37BE9"/>
    <w:rsid w:val="00A37D26"/>
    <w:rsid w:val="00A37DC2"/>
    <w:rsid w:val="00A40414"/>
    <w:rsid w:val="00A4081B"/>
    <w:rsid w:val="00A408FC"/>
    <w:rsid w:val="00A4092E"/>
    <w:rsid w:val="00A40A85"/>
    <w:rsid w:val="00A40B4A"/>
    <w:rsid w:val="00A40C1B"/>
    <w:rsid w:val="00A40D91"/>
    <w:rsid w:val="00A40EEC"/>
    <w:rsid w:val="00A41088"/>
    <w:rsid w:val="00A41348"/>
    <w:rsid w:val="00A41379"/>
    <w:rsid w:val="00A41511"/>
    <w:rsid w:val="00A41570"/>
    <w:rsid w:val="00A41687"/>
    <w:rsid w:val="00A41821"/>
    <w:rsid w:val="00A419A8"/>
    <w:rsid w:val="00A41A1B"/>
    <w:rsid w:val="00A41C5D"/>
    <w:rsid w:val="00A41C91"/>
    <w:rsid w:val="00A42051"/>
    <w:rsid w:val="00A4216B"/>
    <w:rsid w:val="00A4225B"/>
    <w:rsid w:val="00A422E9"/>
    <w:rsid w:val="00A423CB"/>
    <w:rsid w:val="00A425C4"/>
    <w:rsid w:val="00A4272F"/>
    <w:rsid w:val="00A42815"/>
    <w:rsid w:val="00A42833"/>
    <w:rsid w:val="00A4284B"/>
    <w:rsid w:val="00A42927"/>
    <w:rsid w:val="00A42C5B"/>
    <w:rsid w:val="00A42F45"/>
    <w:rsid w:val="00A42FBA"/>
    <w:rsid w:val="00A436CB"/>
    <w:rsid w:val="00A436E5"/>
    <w:rsid w:val="00A438BA"/>
    <w:rsid w:val="00A43916"/>
    <w:rsid w:val="00A43B4D"/>
    <w:rsid w:val="00A43C17"/>
    <w:rsid w:val="00A43D4D"/>
    <w:rsid w:val="00A43EF3"/>
    <w:rsid w:val="00A43F24"/>
    <w:rsid w:val="00A43F3F"/>
    <w:rsid w:val="00A4434E"/>
    <w:rsid w:val="00A443D4"/>
    <w:rsid w:val="00A444DE"/>
    <w:rsid w:val="00A4465C"/>
    <w:rsid w:val="00A4477A"/>
    <w:rsid w:val="00A44851"/>
    <w:rsid w:val="00A44877"/>
    <w:rsid w:val="00A44A71"/>
    <w:rsid w:val="00A44F08"/>
    <w:rsid w:val="00A44FA6"/>
    <w:rsid w:val="00A44FE9"/>
    <w:rsid w:val="00A45047"/>
    <w:rsid w:val="00A451B5"/>
    <w:rsid w:val="00A45268"/>
    <w:rsid w:val="00A45297"/>
    <w:rsid w:val="00A45306"/>
    <w:rsid w:val="00A4549C"/>
    <w:rsid w:val="00A45520"/>
    <w:rsid w:val="00A455CB"/>
    <w:rsid w:val="00A459FA"/>
    <w:rsid w:val="00A45A0C"/>
    <w:rsid w:val="00A45C10"/>
    <w:rsid w:val="00A45D08"/>
    <w:rsid w:val="00A46000"/>
    <w:rsid w:val="00A4636B"/>
    <w:rsid w:val="00A4638B"/>
    <w:rsid w:val="00A46457"/>
    <w:rsid w:val="00A466FA"/>
    <w:rsid w:val="00A46C1B"/>
    <w:rsid w:val="00A46D7D"/>
    <w:rsid w:val="00A46F49"/>
    <w:rsid w:val="00A47082"/>
    <w:rsid w:val="00A4712A"/>
    <w:rsid w:val="00A47144"/>
    <w:rsid w:val="00A4715A"/>
    <w:rsid w:val="00A471FF"/>
    <w:rsid w:val="00A4722C"/>
    <w:rsid w:val="00A4746D"/>
    <w:rsid w:val="00A475E5"/>
    <w:rsid w:val="00A477BC"/>
    <w:rsid w:val="00A478C9"/>
    <w:rsid w:val="00A47B33"/>
    <w:rsid w:val="00A47B91"/>
    <w:rsid w:val="00A47D52"/>
    <w:rsid w:val="00A47FBD"/>
    <w:rsid w:val="00A500C4"/>
    <w:rsid w:val="00A50248"/>
    <w:rsid w:val="00A50323"/>
    <w:rsid w:val="00A50468"/>
    <w:rsid w:val="00A50501"/>
    <w:rsid w:val="00A50617"/>
    <w:rsid w:val="00A50717"/>
    <w:rsid w:val="00A507A2"/>
    <w:rsid w:val="00A507C1"/>
    <w:rsid w:val="00A507ED"/>
    <w:rsid w:val="00A50B6F"/>
    <w:rsid w:val="00A50B7D"/>
    <w:rsid w:val="00A50E3F"/>
    <w:rsid w:val="00A50F4C"/>
    <w:rsid w:val="00A50F5F"/>
    <w:rsid w:val="00A51172"/>
    <w:rsid w:val="00A5164C"/>
    <w:rsid w:val="00A51677"/>
    <w:rsid w:val="00A51811"/>
    <w:rsid w:val="00A51AAE"/>
    <w:rsid w:val="00A51FEB"/>
    <w:rsid w:val="00A51FFE"/>
    <w:rsid w:val="00A522B5"/>
    <w:rsid w:val="00A522BA"/>
    <w:rsid w:val="00A5246D"/>
    <w:rsid w:val="00A524DF"/>
    <w:rsid w:val="00A5255E"/>
    <w:rsid w:val="00A52746"/>
    <w:rsid w:val="00A52774"/>
    <w:rsid w:val="00A527FD"/>
    <w:rsid w:val="00A52D96"/>
    <w:rsid w:val="00A52E4F"/>
    <w:rsid w:val="00A5330B"/>
    <w:rsid w:val="00A5334B"/>
    <w:rsid w:val="00A53406"/>
    <w:rsid w:val="00A5392A"/>
    <w:rsid w:val="00A53AF1"/>
    <w:rsid w:val="00A53B02"/>
    <w:rsid w:val="00A53BF1"/>
    <w:rsid w:val="00A53D2C"/>
    <w:rsid w:val="00A53D95"/>
    <w:rsid w:val="00A53FE4"/>
    <w:rsid w:val="00A53FFF"/>
    <w:rsid w:val="00A54081"/>
    <w:rsid w:val="00A541DF"/>
    <w:rsid w:val="00A5420A"/>
    <w:rsid w:val="00A542E4"/>
    <w:rsid w:val="00A54475"/>
    <w:rsid w:val="00A546C0"/>
    <w:rsid w:val="00A546E9"/>
    <w:rsid w:val="00A546EB"/>
    <w:rsid w:val="00A547C7"/>
    <w:rsid w:val="00A54827"/>
    <w:rsid w:val="00A54B64"/>
    <w:rsid w:val="00A54C05"/>
    <w:rsid w:val="00A54E9E"/>
    <w:rsid w:val="00A54FCD"/>
    <w:rsid w:val="00A55082"/>
    <w:rsid w:val="00A550F5"/>
    <w:rsid w:val="00A551F0"/>
    <w:rsid w:val="00A552AB"/>
    <w:rsid w:val="00A553B1"/>
    <w:rsid w:val="00A55435"/>
    <w:rsid w:val="00A5564A"/>
    <w:rsid w:val="00A556C9"/>
    <w:rsid w:val="00A557B7"/>
    <w:rsid w:val="00A55824"/>
    <w:rsid w:val="00A5590B"/>
    <w:rsid w:val="00A55B8A"/>
    <w:rsid w:val="00A55B97"/>
    <w:rsid w:val="00A55D2E"/>
    <w:rsid w:val="00A55F80"/>
    <w:rsid w:val="00A56266"/>
    <w:rsid w:val="00A56382"/>
    <w:rsid w:val="00A563FB"/>
    <w:rsid w:val="00A5655C"/>
    <w:rsid w:val="00A56C8A"/>
    <w:rsid w:val="00A56D19"/>
    <w:rsid w:val="00A56D8C"/>
    <w:rsid w:val="00A56DB7"/>
    <w:rsid w:val="00A56E08"/>
    <w:rsid w:val="00A56E4C"/>
    <w:rsid w:val="00A57003"/>
    <w:rsid w:val="00A5701E"/>
    <w:rsid w:val="00A570F6"/>
    <w:rsid w:val="00A57114"/>
    <w:rsid w:val="00A571A7"/>
    <w:rsid w:val="00A57253"/>
    <w:rsid w:val="00A57495"/>
    <w:rsid w:val="00A574A7"/>
    <w:rsid w:val="00A57942"/>
    <w:rsid w:val="00A57A91"/>
    <w:rsid w:val="00A57BD3"/>
    <w:rsid w:val="00A57C9F"/>
    <w:rsid w:val="00A57EB5"/>
    <w:rsid w:val="00A57F15"/>
    <w:rsid w:val="00A5B075"/>
    <w:rsid w:val="00A60022"/>
    <w:rsid w:val="00A6007B"/>
    <w:rsid w:val="00A600AA"/>
    <w:rsid w:val="00A6013D"/>
    <w:rsid w:val="00A602AC"/>
    <w:rsid w:val="00A60389"/>
    <w:rsid w:val="00A60480"/>
    <w:rsid w:val="00A606A5"/>
    <w:rsid w:val="00A6088E"/>
    <w:rsid w:val="00A60AD5"/>
    <w:rsid w:val="00A60D1F"/>
    <w:rsid w:val="00A60F46"/>
    <w:rsid w:val="00A610E9"/>
    <w:rsid w:val="00A611C5"/>
    <w:rsid w:val="00A6135D"/>
    <w:rsid w:val="00A6148C"/>
    <w:rsid w:val="00A61629"/>
    <w:rsid w:val="00A617E5"/>
    <w:rsid w:val="00A61A61"/>
    <w:rsid w:val="00A61C23"/>
    <w:rsid w:val="00A61CEF"/>
    <w:rsid w:val="00A61E75"/>
    <w:rsid w:val="00A62069"/>
    <w:rsid w:val="00A6215E"/>
    <w:rsid w:val="00A623CA"/>
    <w:rsid w:val="00A623D0"/>
    <w:rsid w:val="00A6246F"/>
    <w:rsid w:val="00A62523"/>
    <w:rsid w:val="00A6285D"/>
    <w:rsid w:val="00A62871"/>
    <w:rsid w:val="00A62923"/>
    <w:rsid w:val="00A62A21"/>
    <w:rsid w:val="00A62C43"/>
    <w:rsid w:val="00A62C47"/>
    <w:rsid w:val="00A62E3F"/>
    <w:rsid w:val="00A62EBE"/>
    <w:rsid w:val="00A62F6B"/>
    <w:rsid w:val="00A6304C"/>
    <w:rsid w:val="00A630A8"/>
    <w:rsid w:val="00A63109"/>
    <w:rsid w:val="00A63230"/>
    <w:rsid w:val="00A6344A"/>
    <w:rsid w:val="00A634D1"/>
    <w:rsid w:val="00A6364D"/>
    <w:rsid w:val="00A636CD"/>
    <w:rsid w:val="00A63913"/>
    <w:rsid w:val="00A63A1F"/>
    <w:rsid w:val="00A63A55"/>
    <w:rsid w:val="00A63A94"/>
    <w:rsid w:val="00A63B5F"/>
    <w:rsid w:val="00A64073"/>
    <w:rsid w:val="00A64397"/>
    <w:rsid w:val="00A643AC"/>
    <w:rsid w:val="00A6445C"/>
    <w:rsid w:val="00A645A0"/>
    <w:rsid w:val="00A647D1"/>
    <w:rsid w:val="00A6480A"/>
    <w:rsid w:val="00A6486E"/>
    <w:rsid w:val="00A64C0C"/>
    <w:rsid w:val="00A64E50"/>
    <w:rsid w:val="00A64ECF"/>
    <w:rsid w:val="00A65038"/>
    <w:rsid w:val="00A65142"/>
    <w:rsid w:val="00A65268"/>
    <w:rsid w:val="00A65302"/>
    <w:rsid w:val="00A65311"/>
    <w:rsid w:val="00A65374"/>
    <w:rsid w:val="00A65474"/>
    <w:rsid w:val="00A65545"/>
    <w:rsid w:val="00A655A5"/>
    <w:rsid w:val="00A655AE"/>
    <w:rsid w:val="00A655DB"/>
    <w:rsid w:val="00A656B3"/>
    <w:rsid w:val="00A65CC4"/>
    <w:rsid w:val="00A660EF"/>
    <w:rsid w:val="00A66104"/>
    <w:rsid w:val="00A6621D"/>
    <w:rsid w:val="00A66357"/>
    <w:rsid w:val="00A66442"/>
    <w:rsid w:val="00A665D1"/>
    <w:rsid w:val="00A66651"/>
    <w:rsid w:val="00A6667A"/>
    <w:rsid w:val="00A6680F"/>
    <w:rsid w:val="00A668AD"/>
    <w:rsid w:val="00A66A32"/>
    <w:rsid w:val="00A66D4C"/>
    <w:rsid w:val="00A66DB5"/>
    <w:rsid w:val="00A66E77"/>
    <w:rsid w:val="00A67012"/>
    <w:rsid w:val="00A670AB"/>
    <w:rsid w:val="00A673A1"/>
    <w:rsid w:val="00A67432"/>
    <w:rsid w:val="00A67457"/>
    <w:rsid w:val="00A67642"/>
    <w:rsid w:val="00A67709"/>
    <w:rsid w:val="00A67929"/>
    <w:rsid w:val="00A6792D"/>
    <w:rsid w:val="00A67BBF"/>
    <w:rsid w:val="00A67BCB"/>
    <w:rsid w:val="00A67D62"/>
    <w:rsid w:val="00A7009C"/>
    <w:rsid w:val="00A7081D"/>
    <w:rsid w:val="00A70897"/>
    <w:rsid w:val="00A70A54"/>
    <w:rsid w:val="00A7104C"/>
    <w:rsid w:val="00A7136C"/>
    <w:rsid w:val="00A71496"/>
    <w:rsid w:val="00A714E8"/>
    <w:rsid w:val="00A71586"/>
    <w:rsid w:val="00A71591"/>
    <w:rsid w:val="00A71985"/>
    <w:rsid w:val="00A71A14"/>
    <w:rsid w:val="00A71B53"/>
    <w:rsid w:val="00A71DC7"/>
    <w:rsid w:val="00A71F26"/>
    <w:rsid w:val="00A7230A"/>
    <w:rsid w:val="00A72546"/>
    <w:rsid w:val="00A72578"/>
    <w:rsid w:val="00A727B7"/>
    <w:rsid w:val="00A727BA"/>
    <w:rsid w:val="00A72A72"/>
    <w:rsid w:val="00A72BE1"/>
    <w:rsid w:val="00A72C20"/>
    <w:rsid w:val="00A72CEF"/>
    <w:rsid w:val="00A72EEA"/>
    <w:rsid w:val="00A72FC5"/>
    <w:rsid w:val="00A73191"/>
    <w:rsid w:val="00A733C5"/>
    <w:rsid w:val="00A73698"/>
    <w:rsid w:val="00A7378F"/>
    <w:rsid w:val="00A73A94"/>
    <w:rsid w:val="00A73ABF"/>
    <w:rsid w:val="00A73B87"/>
    <w:rsid w:val="00A73CB4"/>
    <w:rsid w:val="00A73D6E"/>
    <w:rsid w:val="00A73E0A"/>
    <w:rsid w:val="00A73F48"/>
    <w:rsid w:val="00A7414B"/>
    <w:rsid w:val="00A742A1"/>
    <w:rsid w:val="00A742DB"/>
    <w:rsid w:val="00A7441C"/>
    <w:rsid w:val="00A745E2"/>
    <w:rsid w:val="00A745E3"/>
    <w:rsid w:val="00A74622"/>
    <w:rsid w:val="00A747DD"/>
    <w:rsid w:val="00A7494B"/>
    <w:rsid w:val="00A749BA"/>
    <w:rsid w:val="00A74C40"/>
    <w:rsid w:val="00A74E38"/>
    <w:rsid w:val="00A74EFE"/>
    <w:rsid w:val="00A750DB"/>
    <w:rsid w:val="00A75104"/>
    <w:rsid w:val="00A751DF"/>
    <w:rsid w:val="00A751FC"/>
    <w:rsid w:val="00A75203"/>
    <w:rsid w:val="00A753F8"/>
    <w:rsid w:val="00A754E3"/>
    <w:rsid w:val="00A754F1"/>
    <w:rsid w:val="00A7563E"/>
    <w:rsid w:val="00A756CD"/>
    <w:rsid w:val="00A75964"/>
    <w:rsid w:val="00A759DD"/>
    <w:rsid w:val="00A75ACE"/>
    <w:rsid w:val="00A75C41"/>
    <w:rsid w:val="00A76444"/>
    <w:rsid w:val="00A767B8"/>
    <w:rsid w:val="00A76843"/>
    <w:rsid w:val="00A76928"/>
    <w:rsid w:val="00A76B9F"/>
    <w:rsid w:val="00A76C98"/>
    <w:rsid w:val="00A76CA2"/>
    <w:rsid w:val="00A76E9A"/>
    <w:rsid w:val="00A76EFD"/>
    <w:rsid w:val="00A770BD"/>
    <w:rsid w:val="00A772EA"/>
    <w:rsid w:val="00A7730B"/>
    <w:rsid w:val="00A77629"/>
    <w:rsid w:val="00A77A55"/>
    <w:rsid w:val="00A77ADF"/>
    <w:rsid w:val="00A77C09"/>
    <w:rsid w:val="00A77CAE"/>
    <w:rsid w:val="00A77CBF"/>
    <w:rsid w:val="00A77EAA"/>
    <w:rsid w:val="00A800B1"/>
    <w:rsid w:val="00A800BE"/>
    <w:rsid w:val="00A80277"/>
    <w:rsid w:val="00A804F2"/>
    <w:rsid w:val="00A809DD"/>
    <w:rsid w:val="00A80BEC"/>
    <w:rsid w:val="00A80D55"/>
    <w:rsid w:val="00A80DA7"/>
    <w:rsid w:val="00A80E5E"/>
    <w:rsid w:val="00A80E9E"/>
    <w:rsid w:val="00A80EB4"/>
    <w:rsid w:val="00A810DB"/>
    <w:rsid w:val="00A810F5"/>
    <w:rsid w:val="00A811AC"/>
    <w:rsid w:val="00A81481"/>
    <w:rsid w:val="00A8148D"/>
    <w:rsid w:val="00A81620"/>
    <w:rsid w:val="00A81673"/>
    <w:rsid w:val="00A81826"/>
    <w:rsid w:val="00A81939"/>
    <w:rsid w:val="00A819AD"/>
    <w:rsid w:val="00A81A76"/>
    <w:rsid w:val="00A81AE4"/>
    <w:rsid w:val="00A81C93"/>
    <w:rsid w:val="00A81E41"/>
    <w:rsid w:val="00A81EBA"/>
    <w:rsid w:val="00A81F94"/>
    <w:rsid w:val="00A8210F"/>
    <w:rsid w:val="00A82113"/>
    <w:rsid w:val="00A8229F"/>
    <w:rsid w:val="00A82513"/>
    <w:rsid w:val="00A825E0"/>
    <w:rsid w:val="00A82778"/>
    <w:rsid w:val="00A82845"/>
    <w:rsid w:val="00A82859"/>
    <w:rsid w:val="00A82968"/>
    <w:rsid w:val="00A82AFE"/>
    <w:rsid w:val="00A82B54"/>
    <w:rsid w:val="00A82CED"/>
    <w:rsid w:val="00A82E5F"/>
    <w:rsid w:val="00A82EF7"/>
    <w:rsid w:val="00A830AE"/>
    <w:rsid w:val="00A830B9"/>
    <w:rsid w:val="00A83128"/>
    <w:rsid w:val="00A83410"/>
    <w:rsid w:val="00A83462"/>
    <w:rsid w:val="00A836E1"/>
    <w:rsid w:val="00A83729"/>
    <w:rsid w:val="00A8374F"/>
    <w:rsid w:val="00A838FD"/>
    <w:rsid w:val="00A83A94"/>
    <w:rsid w:val="00A83ACF"/>
    <w:rsid w:val="00A83B99"/>
    <w:rsid w:val="00A83BE3"/>
    <w:rsid w:val="00A83BF6"/>
    <w:rsid w:val="00A83C31"/>
    <w:rsid w:val="00A83C34"/>
    <w:rsid w:val="00A83DAC"/>
    <w:rsid w:val="00A83FAD"/>
    <w:rsid w:val="00A8406E"/>
    <w:rsid w:val="00A840A7"/>
    <w:rsid w:val="00A843ED"/>
    <w:rsid w:val="00A8459A"/>
    <w:rsid w:val="00A845D2"/>
    <w:rsid w:val="00A8468A"/>
    <w:rsid w:val="00A846CE"/>
    <w:rsid w:val="00A8471E"/>
    <w:rsid w:val="00A84982"/>
    <w:rsid w:val="00A84B3E"/>
    <w:rsid w:val="00A84B73"/>
    <w:rsid w:val="00A84B96"/>
    <w:rsid w:val="00A84D5F"/>
    <w:rsid w:val="00A84F99"/>
    <w:rsid w:val="00A85018"/>
    <w:rsid w:val="00A85132"/>
    <w:rsid w:val="00A85143"/>
    <w:rsid w:val="00A8521E"/>
    <w:rsid w:val="00A853BA"/>
    <w:rsid w:val="00A85B2D"/>
    <w:rsid w:val="00A85B40"/>
    <w:rsid w:val="00A86536"/>
    <w:rsid w:val="00A865DA"/>
    <w:rsid w:val="00A867A4"/>
    <w:rsid w:val="00A868BD"/>
    <w:rsid w:val="00A869BC"/>
    <w:rsid w:val="00A86A17"/>
    <w:rsid w:val="00A86DEE"/>
    <w:rsid w:val="00A86EB6"/>
    <w:rsid w:val="00A86F1A"/>
    <w:rsid w:val="00A86F2A"/>
    <w:rsid w:val="00A874E4"/>
    <w:rsid w:val="00A8754C"/>
    <w:rsid w:val="00A875AB"/>
    <w:rsid w:val="00A87614"/>
    <w:rsid w:val="00A876DA"/>
    <w:rsid w:val="00A877EC"/>
    <w:rsid w:val="00A878D1"/>
    <w:rsid w:val="00A87AC5"/>
    <w:rsid w:val="00A87B1B"/>
    <w:rsid w:val="00A87B63"/>
    <w:rsid w:val="00A87C1F"/>
    <w:rsid w:val="00A87D43"/>
    <w:rsid w:val="00A901B3"/>
    <w:rsid w:val="00A90314"/>
    <w:rsid w:val="00A9040E"/>
    <w:rsid w:val="00A904EB"/>
    <w:rsid w:val="00A904F8"/>
    <w:rsid w:val="00A906BE"/>
    <w:rsid w:val="00A90819"/>
    <w:rsid w:val="00A9086A"/>
    <w:rsid w:val="00A90933"/>
    <w:rsid w:val="00A90AB8"/>
    <w:rsid w:val="00A90B60"/>
    <w:rsid w:val="00A90D70"/>
    <w:rsid w:val="00A90E77"/>
    <w:rsid w:val="00A9122C"/>
    <w:rsid w:val="00A9122D"/>
    <w:rsid w:val="00A91319"/>
    <w:rsid w:val="00A915D3"/>
    <w:rsid w:val="00A91691"/>
    <w:rsid w:val="00A917A9"/>
    <w:rsid w:val="00A917BD"/>
    <w:rsid w:val="00A918DD"/>
    <w:rsid w:val="00A918F3"/>
    <w:rsid w:val="00A919D0"/>
    <w:rsid w:val="00A91CDF"/>
    <w:rsid w:val="00A91FDE"/>
    <w:rsid w:val="00A92196"/>
    <w:rsid w:val="00A921DA"/>
    <w:rsid w:val="00A924D6"/>
    <w:rsid w:val="00A92515"/>
    <w:rsid w:val="00A92743"/>
    <w:rsid w:val="00A9281C"/>
    <w:rsid w:val="00A92B34"/>
    <w:rsid w:val="00A92B9B"/>
    <w:rsid w:val="00A92CDF"/>
    <w:rsid w:val="00A92D09"/>
    <w:rsid w:val="00A92D4F"/>
    <w:rsid w:val="00A92EE0"/>
    <w:rsid w:val="00A93000"/>
    <w:rsid w:val="00A930C0"/>
    <w:rsid w:val="00A93760"/>
    <w:rsid w:val="00A93778"/>
    <w:rsid w:val="00A937B4"/>
    <w:rsid w:val="00A9386F"/>
    <w:rsid w:val="00A938EF"/>
    <w:rsid w:val="00A93B6D"/>
    <w:rsid w:val="00A93E28"/>
    <w:rsid w:val="00A93E5F"/>
    <w:rsid w:val="00A93E86"/>
    <w:rsid w:val="00A94003"/>
    <w:rsid w:val="00A9402F"/>
    <w:rsid w:val="00A94488"/>
    <w:rsid w:val="00A944C6"/>
    <w:rsid w:val="00A944CB"/>
    <w:rsid w:val="00A94671"/>
    <w:rsid w:val="00A947B5"/>
    <w:rsid w:val="00A9490E"/>
    <w:rsid w:val="00A9494E"/>
    <w:rsid w:val="00A94D4D"/>
    <w:rsid w:val="00A94D5B"/>
    <w:rsid w:val="00A94DF6"/>
    <w:rsid w:val="00A950DA"/>
    <w:rsid w:val="00A9543F"/>
    <w:rsid w:val="00A95509"/>
    <w:rsid w:val="00A95689"/>
    <w:rsid w:val="00A956B2"/>
    <w:rsid w:val="00A956E6"/>
    <w:rsid w:val="00A95D72"/>
    <w:rsid w:val="00A95DAD"/>
    <w:rsid w:val="00A96008"/>
    <w:rsid w:val="00A9625C"/>
    <w:rsid w:val="00A962D4"/>
    <w:rsid w:val="00A96960"/>
    <w:rsid w:val="00A969B1"/>
    <w:rsid w:val="00A96A9D"/>
    <w:rsid w:val="00A96B78"/>
    <w:rsid w:val="00A96C3B"/>
    <w:rsid w:val="00A97002"/>
    <w:rsid w:val="00A971A4"/>
    <w:rsid w:val="00A9745C"/>
    <w:rsid w:val="00A97460"/>
    <w:rsid w:val="00A9776D"/>
    <w:rsid w:val="00A97834"/>
    <w:rsid w:val="00A9786D"/>
    <w:rsid w:val="00A978DB"/>
    <w:rsid w:val="00A978E2"/>
    <w:rsid w:val="00A97CF8"/>
    <w:rsid w:val="00A97E22"/>
    <w:rsid w:val="00A97F05"/>
    <w:rsid w:val="00AA002A"/>
    <w:rsid w:val="00AA0119"/>
    <w:rsid w:val="00AA03A2"/>
    <w:rsid w:val="00AA05FD"/>
    <w:rsid w:val="00AA060F"/>
    <w:rsid w:val="00AA06ED"/>
    <w:rsid w:val="00AA06FC"/>
    <w:rsid w:val="00AA0844"/>
    <w:rsid w:val="00AA0851"/>
    <w:rsid w:val="00AA092A"/>
    <w:rsid w:val="00AA09E2"/>
    <w:rsid w:val="00AA0F96"/>
    <w:rsid w:val="00AA12EB"/>
    <w:rsid w:val="00AA1369"/>
    <w:rsid w:val="00AA145A"/>
    <w:rsid w:val="00AA15FA"/>
    <w:rsid w:val="00AA1654"/>
    <w:rsid w:val="00AA16DA"/>
    <w:rsid w:val="00AA176B"/>
    <w:rsid w:val="00AA17EF"/>
    <w:rsid w:val="00AA18A6"/>
    <w:rsid w:val="00AA1BD9"/>
    <w:rsid w:val="00AA1CB7"/>
    <w:rsid w:val="00AA1EF1"/>
    <w:rsid w:val="00AA210F"/>
    <w:rsid w:val="00AA2131"/>
    <w:rsid w:val="00AA2150"/>
    <w:rsid w:val="00AA21A7"/>
    <w:rsid w:val="00AA2230"/>
    <w:rsid w:val="00AA238F"/>
    <w:rsid w:val="00AA269C"/>
    <w:rsid w:val="00AA2B6A"/>
    <w:rsid w:val="00AA2C4F"/>
    <w:rsid w:val="00AA2CDF"/>
    <w:rsid w:val="00AA2E2B"/>
    <w:rsid w:val="00AA3319"/>
    <w:rsid w:val="00AA37CF"/>
    <w:rsid w:val="00AA3A64"/>
    <w:rsid w:val="00AA3B01"/>
    <w:rsid w:val="00AA4016"/>
    <w:rsid w:val="00AA40EB"/>
    <w:rsid w:val="00AA423D"/>
    <w:rsid w:val="00AA4362"/>
    <w:rsid w:val="00AA4724"/>
    <w:rsid w:val="00AA4B31"/>
    <w:rsid w:val="00AA4C7F"/>
    <w:rsid w:val="00AA517E"/>
    <w:rsid w:val="00AA5183"/>
    <w:rsid w:val="00AA524E"/>
    <w:rsid w:val="00AA52B6"/>
    <w:rsid w:val="00AA531E"/>
    <w:rsid w:val="00AA53D6"/>
    <w:rsid w:val="00AA53F3"/>
    <w:rsid w:val="00AA5528"/>
    <w:rsid w:val="00AA553D"/>
    <w:rsid w:val="00AA5594"/>
    <w:rsid w:val="00AA56EA"/>
    <w:rsid w:val="00AA5853"/>
    <w:rsid w:val="00AA59B7"/>
    <w:rsid w:val="00AA5ADD"/>
    <w:rsid w:val="00AA5BBD"/>
    <w:rsid w:val="00AA5E1D"/>
    <w:rsid w:val="00AA5E2E"/>
    <w:rsid w:val="00AA5E3B"/>
    <w:rsid w:val="00AA5FB0"/>
    <w:rsid w:val="00AA6045"/>
    <w:rsid w:val="00AA604F"/>
    <w:rsid w:val="00AA6084"/>
    <w:rsid w:val="00AA60F7"/>
    <w:rsid w:val="00AA622B"/>
    <w:rsid w:val="00AA6289"/>
    <w:rsid w:val="00AA64E3"/>
    <w:rsid w:val="00AA64F5"/>
    <w:rsid w:val="00AA65D7"/>
    <w:rsid w:val="00AA66CC"/>
    <w:rsid w:val="00AA674D"/>
    <w:rsid w:val="00AA678A"/>
    <w:rsid w:val="00AA6A7E"/>
    <w:rsid w:val="00AA6C1D"/>
    <w:rsid w:val="00AA6C99"/>
    <w:rsid w:val="00AA6C9D"/>
    <w:rsid w:val="00AA6E17"/>
    <w:rsid w:val="00AA6E9F"/>
    <w:rsid w:val="00AA6F2E"/>
    <w:rsid w:val="00AA722B"/>
    <w:rsid w:val="00AA7694"/>
    <w:rsid w:val="00AA7966"/>
    <w:rsid w:val="00AA7ACB"/>
    <w:rsid w:val="00AA7DB6"/>
    <w:rsid w:val="00AA7E74"/>
    <w:rsid w:val="00AA7ED2"/>
    <w:rsid w:val="00AB0250"/>
    <w:rsid w:val="00AB0477"/>
    <w:rsid w:val="00AB04E2"/>
    <w:rsid w:val="00AB06AC"/>
    <w:rsid w:val="00AB08C4"/>
    <w:rsid w:val="00AB09D7"/>
    <w:rsid w:val="00AB0BDC"/>
    <w:rsid w:val="00AB0E10"/>
    <w:rsid w:val="00AB0EBF"/>
    <w:rsid w:val="00AB1206"/>
    <w:rsid w:val="00AB1261"/>
    <w:rsid w:val="00AB1324"/>
    <w:rsid w:val="00AB1449"/>
    <w:rsid w:val="00AB1539"/>
    <w:rsid w:val="00AB1620"/>
    <w:rsid w:val="00AB1A71"/>
    <w:rsid w:val="00AB1A8D"/>
    <w:rsid w:val="00AB1C6F"/>
    <w:rsid w:val="00AB1D51"/>
    <w:rsid w:val="00AB1E09"/>
    <w:rsid w:val="00AB1E0F"/>
    <w:rsid w:val="00AB1EFF"/>
    <w:rsid w:val="00AB1F4B"/>
    <w:rsid w:val="00AB2077"/>
    <w:rsid w:val="00AB20B3"/>
    <w:rsid w:val="00AB21D6"/>
    <w:rsid w:val="00AB226F"/>
    <w:rsid w:val="00AB231E"/>
    <w:rsid w:val="00AB2383"/>
    <w:rsid w:val="00AB23AD"/>
    <w:rsid w:val="00AB2530"/>
    <w:rsid w:val="00AB286A"/>
    <w:rsid w:val="00AB28DB"/>
    <w:rsid w:val="00AB29CC"/>
    <w:rsid w:val="00AB2C65"/>
    <w:rsid w:val="00AB2C84"/>
    <w:rsid w:val="00AB2FCF"/>
    <w:rsid w:val="00AB3264"/>
    <w:rsid w:val="00AB3323"/>
    <w:rsid w:val="00AB3544"/>
    <w:rsid w:val="00AB361F"/>
    <w:rsid w:val="00AB3738"/>
    <w:rsid w:val="00AB377A"/>
    <w:rsid w:val="00AB3858"/>
    <w:rsid w:val="00AB3926"/>
    <w:rsid w:val="00AB3970"/>
    <w:rsid w:val="00AB3AF0"/>
    <w:rsid w:val="00AB3B1E"/>
    <w:rsid w:val="00AB3E52"/>
    <w:rsid w:val="00AB4293"/>
    <w:rsid w:val="00AB4320"/>
    <w:rsid w:val="00AB4374"/>
    <w:rsid w:val="00AB437A"/>
    <w:rsid w:val="00AB4548"/>
    <w:rsid w:val="00AB454B"/>
    <w:rsid w:val="00AB48DA"/>
    <w:rsid w:val="00AB4AEC"/>
    <w:rsid w:val="00AB4C18"/>
    <w:rsid w:val="00AB4CD4"/>
    <w:rsid w:val="00AB4E08"/>
    <w:rsid w:val="00AB4FA9"/>
    <w:rsid w:val="00AB5070"/>
    <w:rsid w:val="00AB5454"/>
    <w:rsid w:val="00AB5AAF"/>
    <w:rsid w:val="00AB5AD7"/>
    <w:rsid w:val="00AB5B69"/>
    <w:rsid w:val="00AB5B9C"/>
    <w:rsid w:val="00AB5D02"/>
    <w:rsid w:val="00AB5D7A"/>
    <w:rsid w:val="00AB5D8B"/>
    <w:rsid w:val="00AB6082"/>
    <w:rsid w:val="00AB60AC"/>
    <w:rsid w:val="00AB62A5"/>
    <w:rsid w:val="00AB64E5"/>
    <w:rsid w:val="00AB6525"/>
    <w:rsid w:val="00AB665E"/>
    <w:rsid w:val="00AB66F5"/>
    <w:rsid w:val="00AB6B24"/>
    <w:rsid w:val="00AB6B25"/>
    <w:rsid w:val="00AB6BCD"/>
    <w:rsid w:val="00AB6E44"/>
    <w:rsid w:val="00AB6E5C"/>
    <w:rsid w:val="00AB6E75"/>
    <w:rsid w:val="00AB6EE0"/>
    <w:rsid w:val="00AB70E0"/>
    <w:rsid w:val="00AB72AF"/>
    <w:rsid w:val="00AB73D5"/>
    <w:rsid w:val="00AB762A"/>
    <w:rsid w:val="00AB7739"/>
    <w:rsid w:val="00AB7884"/>
    <w:rsid w:val="00AB78CF"/>
    <w:rsid w:val="00AB791F"/>
    <w:rsid w:val="00AB7A48"/>
    <w:rsid w:val="00AB7A7C"/>
    <w:rsid w:val="00AB7B45"/>
    <w:rsid w:val="00AB7BBF"/>
    <w:rsid w:val="00AB7C84"/>
    <w:rsid w:val="00AB7CC1"/>
    <w:rsid w:val="00AB7E14"/>
    <w:rsid w:val="00AB7FE4"/>
    <w:rsid w:val="00AC0142"/>
    <w:rsid w:val="00AC01D5"/>
    <w:rsid w:val="00AC0460"/>
    <w:rsid w:val="00AC0478"/>
    <w:rsid w:val="00AC0517"/>
    <w:rsid w:val="00AC05BE"/>
    <w:rsid w:val="00AC05D5"/>
    <w:rsid w:val="00AC05FE"/>
    <w:rsid w:val="00AC0677"/>
    <w:rsid w:val="00AC06C4"/>
    <w:rsid w:val="00AC0A2F"/>
    <w:rsid w:val="00AC0A32"/>
    <w:rsid w:val="00AC0BA8"/>
    <w:rsid w:val="00AC0C71"/>
    <w:rsid w:val="00AC0D2B"/>
    <w:rsid w:val="00AC0F18"/>
    <w:rsid w:val="00AC0F40"/>
    <w:rsid w:val="00AC101C"/>
    <w:rsid w:val="00AC10E5"/>
    <w:rsid w:val="00AC1319"/>
    <w:rsid w:val="00AC134B"/>
    <w:rsid w:val="00AC1376"/>
    <w:rsid w:val="00AC1389"/>
    <w:rsid w:val="00AC1646"/>
    <w:rsid w:val="00AC1672"/>
    <w:rsid w:val="00AC18C0"/>
    <w:rsid w:val="00AC19C6"/>
    <w:rsid w:val="00AC1A97"/>
    <w:rsid w:val="00AC1BAB"/>
    <w:rsid w:val="00AC1C97"/>
    <w:rsid w:val="00AC1CF8"/>
    <w:rsid w:val="00AC1DF3"/>
    <w:rsid w:val="00AC1F1C"/>
    <w:rsid w:val="00AC1F20"/>
    <w:rsid w:val="00AC1F78"/>
    <w:rsid w:val="00AC2075"/>
    <w:rsid w:val="00AC2178"/>
    <w:rsid w:val="00AC217F"/>
    <w:rsid w:val="00AC24A0"/>
    <w:rsid w:val="00AC2546"/>
    <w:rsid w:val="00AC258B"/>
    <w:rsid w:val="00AC25AF"/>
    <w:rsid w:val="00AC2790"/>
    <w:rsid w:val="00AC27E4"/>
    <w:rsid w:val="00AC2801"/>
    <w:rsid w:val="00AC28B9"/>
    <w:rsid w:val="00AC29D7"/>
    <w:rsid w:val="00AC2B3A"/>
    <w:rsid w:val="00AC2B5D"/>
    <w:rsid w:val="00AC2B99"/>
    <w:rsid w:val="00AC2D28"/>
    <w:rsid w:val="00AC2D57"/>
    <w:rsid w:val="00AC2D8E"/>
    <w:rsid w:val="00AC2E60"/>
    <w:rsid w:val="00AC30D5"/>
    <w:rsid w:val="00AC34C5"/>
    <w:rsid w:val="00AC3578"/>
    <w:rsid w:val="00AC3656"/>
    <w:rsid w:val="00AC3970"/>
    <w:rsid w:val="00AC39E6"/>
    <w:rsid w:val="00AC39E7"/>
    <w:rsid w:val="00AC39EB"/>
    <w:rsid w:val="00AC3ABB"/>
    <w:rsid w:val="00AC3BDC"/>
    <w:rsid w:val="00AC3C40"/>
    <w:rsid w:val="00AC3F51"/>
    <w:rsid w:val="00AC4088"/>
    <w:rsid w:val="00AC40F4"/>
    <w:rsid w:val="00AC426F"/>
    <w:rsid w:val="00AC4348"/>
    <w:rsid w:val="00AC4368"/>
    <w:rsid w:val="00AC43F9"/>
    <w:rsid w:val="00AC4506"/>
    <w:rsid w:val="00AC4839"/>
    <w:rsid w:val="00AC4957"/>
    <w:rsid w:val="00AC49DE"/>
    <w:rsid w:val="00AC4A66"/>
    <w:rsid w:val="00AC4AA3"/>
    <w:rsid w:val="00AC4B00"/>
    <w:rsid w:val="00AC4D2E"/>
    <w:rsid w:val="00AC506C"/>
    <w:rsid w:val="00AC51CA"/>
    <w:rsid w:val="00AC5222"/>
    <w:rsid w:val="00AC522F"/>
    <w:rsid w:val="00AC5457"/>
    <w:rsid w:val="00AC55A3"/>
    <w:rsid w:val="00AC5673"/>
    <w:rsid w:val="00AC5712"/>
    <w:rsid w:val="00AC57CA"/>
    <w:rsid w:val="00AC594F"/>
    <w:rsid w:val="00AC5D5E"/>
    <w:rsid w:val="00AC6377"/>
    <w:rsid w:val="00AC67A4"/>
    <w:rsid w:val="00AC67C1"/>
    <w:rsid w:val="00AC68A5"/>
    <w:rsid w:val="00AC6991"/>
    <w:rsid w:val="00AC6A8F"/>
    <w:rsid w:val="00AC6DE5"/>
    <w:rsid w:val="00AC6EC0"/>
    <w:rsid w:val="00AC6F66"/>
    <w:rsid w:val="00AC6FB4"/>
    <w:rsid w:val="00AC7078"/>
    <w:rsid w:val="00AC70C3"/>
    <w:rsid w:val="00AC7147"/>
    <w:rsid w:val="00AC7222"/>
    <w:rsid w:val="00AC7252"/>
    <w:rsid w:val="00AC725C"/>
    <w:rsid w:val="00AC72ED"/>
    <w:rsid w:val="00AC745E"/>
    <w:rsid w:val="00AC74D4"/>
    <w:rsid w:val="00AC77DA"/>
    <w:rsid w:val="00AC78E4"/>
    <w:rsid w:val="00AC7969"/>
    <w:rsid w:val="00AC7A93"/>
    <w:rsid w:val="00AD00A5"/>
    <w:rsid w:val="00AD00C0"/>
    <w:rsid w:val="00AD0309"/>
    <w:rsid w:val="00AD0455"/>
    <w:rsid w:val="00AD064B"/>
    <w:rsid w:val="00AD0678"/>
    <w:rsid w:val="00AD077E"/>
    <w:rsid w:val="00AD0869"/>
    <w:rsid w:val="00AD0884"/>
    <w:rsid w:val="00AD0940"/>
    <w:rsid w:val="00AD0961"/>
    <w:rsid w:val="00AD0B1C"/>
    <w:rsid w:val="00AD0B80"/>
    <w:rsid w:val="00AD0E2A"/>
    <w:rsid w:val="00AD0FFD"/>
    <w:rsid w:val="00AD104A"/>
    <w:rsid w:val="00AD1570"/>
    <w:rsid w:val="00AD172B"/>
    <w:rsid w:val="00AD1831"/>
    <w:rsid w:val="00AD18AE"/>
    <w:rsid w:val="00AD1C9E"/>
    <w:rsid w:val="00AD1CBC"/>
    <w:rsid w:val="00AD1F2D"/>
    <w:rsid w:val="00AD2013"/>
    <w:rsid w:val="00AD24B7"/>
    <w:rsid w:val="00AD253B"/>
    <w:rsid w:val="00AD25D4"/>
    <w:rsid w:val="00AD267E"/>
    <w:rsid w:val="00AD2689"/>
    <w:rsid w:val="00AD27B1"/>
    <w:rsid w:val="00AD297F"/>
    <w:rsid w:val="00AD2A47"/>
    <w:rsid w:val="00AD2DA5"/>
    <w:rsid w:val="00AD2FE5"/>
    <w:rsid w:val="00AD308E"/>
    <w:rsid w:val="00AD31DE"/>
    <w:rsid w:val="00AD31EC"/>
    <w:rsid w:val="00AD322C"/>
    <w:rsid w:val="00AD3392"/>
    <w:rsid w:val="00AD339B"/>
    <w:rsid w:val="00AD343E"/>
    <w:rsid w:val="00AD3653"/>
    <w:rsid w:val="00AD367A"/>
    <w:rsid w:val="00AD3701"/>
    <w:rsid w:val="00AD39AE"/>
    <w:rsid w:val="00AD3A89"/>
    <w:rsid w:val="00AD3AE7"/>
    <w:rsid w:val="00AD3B0B"/>
    <w:rsid w:val="00AD3B2A"/>
    <w:rsid w:val="00AD3B6F"/>
    <w:rsid w:val="00AD3BA0"/>
    <w:rsid w:val="00AD3BF8"/>
    <w:rsid w:val="00AD3C14"/>
    <w:rsid w:val="00AD3CF1"/>
    <w:rsid w:val="00AD3FC4"/>
    <w:rsid w:val="00AD4099"/>
    <w:rsid w:val="00AD4194"/>
    <w:rsid w:val="00AD4334"/>
    <w:rsid w:val="00AD4788"/>
    <w:rsid w:val="00AD499D"/>
    <w:rsid w:val="00AD49E4"/>
    <w:rsid w:val="00AD4DD6"/>
    <w:rsid w:val="00AD51BC"/>
    <w:rsid w:val="00AD525F"/>
    <w:rsid w:val="00AD53F9"/>
    <w:rsid w:val="00AD54E8"/>
    <w:rsid w:val="00AD54EF"/>
    <w:rsid w:val="00AD5599"/>
    <w:rsid w:val="00AD560E"/>
    <w:rsid w:val="00AD5731"/>
    <w:rsid w:val="00AD5799"/>
    <w:rsid w:val="00AD5B88"/>
    <w:rsid w:val="00AD5C4C"/>
    <w:rsid w:val="00AD5D9A"/>
    <w:rsid w:val="00AD5E0F"/>
    <w:rsid w:val="00AD5E13"/>
    <w:rsid w:val="00AD5EFC"/>
    <w:rsid w:val="00AD5F6F"/>
    <w:rsid w:val="00AD5FC5"/>
    <w:rsid w:val="00AD6074"/>
    <w:rsid w:val="00AD6079"/>
    <w:rsid w:val="00AD607B"/>
    <w:rsid w:val="00AD610D"/>
    <w:rsid w:val="00AD61C7"/>
    <w:rsid w:val="00AD626F"/>
    <w:rsid w:val="00AD65E9"/>
    <w:rsid w:val="00AD672B"/>
    <w:rsid w:val="00AD6856"/>
    <w:rsid w:val="00AD68B9"/>
    <w:rsid w:val="00AD6960"/>
    <w:rsid w:val="00AD69F6"/>
    <w:rsid w:val="00AD6CB1"/>
    <w:rsid w:val="00AD70C4"/>
    <w:rsid w:val="00AD71B7"/>
    <w:rsid w:val="00AD7216"/>
    <w:rsid w:val="00AD75FA"/>
    <w:rsid w:val="00AD7684"/>
    <w:rsid w:val="00AD7805"/>
    <w:rsid w:val="00AD7807"/>
    <w:rsid w:val="00AD7B02"/>
    <w:rsid w:val="00AD7C88"/>
    <w:rsid w:val="00AD7D58"/>
    <w:rsid w:val="00AD7DB1"/>
    <w:rsid w:val="00AD7F83"/>
    <w:rsid w:val="00AE0006"/>
    <w:rsid w:val="00AE04CF"/>
    <w:rsid w:val="00AE0628"/>
    <w:rsid w:val="00AE06D6"/>
    <w:rsid w:val="00AE076C"/>
    <w:rsid w:val="00AE080A"/>
    <w:rsid w:val="00AE08DB"/>
    <w:rsid w:val="00AE0A28"/>
    <w:rsid w:val="00AE0AD3"/>
    <w:rsid w:val="00AE0B11"/>
    <w:rsid w:val="00AE0BD3"/>
    <w:rsid w:val="00AE0C81"/>
    <w:rsid w:val="00AE0CD2"/>
    <w:rsid w:val="00AE0D75"/>
    <w:rsid w:val="00AE0E20"/>
    <w:rsid w:val="00AE114E"/>
    <w:rsid w:val="00AE14A7"/>
    <w:rsid w:val="00AE154D"/>
    <w:rsid w:val="00AE1644"/>
    <w:rsid w:val="00AE1654"/>
    <w:rsid w:val="00AE167D"/>
    <w:rsid w:val="00AE1A3B"/>
    <w:rsid w:val="00AE1B7B"/>
    <w:rsid w:val="00AE1D5F"/>
    <w:rsid w:val="00AE237E"/>
    <w:rsid w:val="00AE23EE"/>
    <w:rsid w:val="00AE2457"/>
    <w:rsid w:val="00AE2475"/>
    <w:rsid w:val="00AE24C6"/>
    <w:rsid w:val="00AE257F"/>
    <w:rsid w:val="00AE25F6"/>
    <w:rsid w:val="00AE2928"/>
    <w:rsid w:val="00AE2B0B"/>
    <w:rsid w:val="00AE2BA3"/>
    <w:rsid w:val="00AE2C96"/>
    <w:rsid w:val="00AE2D36"/>
    <w:rsid w:val="00AE2D80"/>
    <w:rsid w:val="00AE2DE4"/>
    <w:rsid w:val="00AE2E06"/>
    <w:rsid w:val="00AE2F41"/>
    <w:rsid w:val="00AE2FBA"/>
    <w:rsid w:val="00AE2FFC"/>
    <w:rsid w:val="00AE32BB"/>
    <w:rsid w:val="00AE345D"/>
    <w:rsid w:val="00AE38E9"/>
    <w:rsid w:val="00AE3997"/>
    <w:rsid w:val="00AE3B9C"/>
    <w:rsid w:val="00AE3BBA"/>
    <w:rsid w:val="00AE3CB4"/>
    <w:rsid w:val="00AE3EF4"/>
    <w:rsid w:val="00AE40E0"/>
    <w:rsid w:val="00AE4172"/>
    <w:rsid w:val="00AE41D5"/>
    <w:rsid w:val="00AE434F"/>
    <w:rsid w:val="00AE4442"/>
    <w:rsid w:val="00AE45AB"/>
    <w:rsid w:val="00AE46B5"/>
    <w:rsid w:val="00AE478E"/>
    <w:rsid w:val="00AE48C2"/>
    <w:rsid w:val="00AE4E11"/>
    <w:rsid w:val="00AE501F"/>
    <w:rsid w:val="00AE50A3"/>
    <w:rsid w:val="00AE52D9"/>
    <w:rsid w:val="00AE53E3"/>
    <w:rsid w:val="00AE5607"/>
    <w:rsid w:val="00AE5678"/>
    <w:rsid w:val="00AE57BB"/>
    <w:rsid w:val="00AE57F2"/>
    <w:rsid w:val="00AE5927"/>
    <w:rsid w:val="00AE5D0F"/>
    <w:rsid w:val="00AE5E2B"/>
    <w:rsid w:val="00AE5EC9"/>
    <w:rsid w:val="00AE5F6A"/>
    <w:rsid w:val="00AE5FED"/>
    <w:rsid w:val="00AE6190"/>
    <w:rsid w:val="00AE61D2"/>
    <w:rsid w:val="00AE62BB"/>
    <w:rsid w:val="00AE6370"/>
    <w:rsid w:val="00AE6448"/>
    <w:rsid w:val="00AE651C"/>
    <w:rsid w:val="00AE6578"/>
    <w:rsid w:val="00AE6596"/>
    <w:rsid w:val="00AE65F0"/>
    <w:rsid w:val="00AE67DB"/>
    <w:rsid w:val="00AE6828"/>
    <w:rsid w:val="00AE6910"/>
    <w:rsid w:val="00AE6977"/>
    <w:rsid w:val="00AE6B19"/>
    <w:rsid w:val="00AE6C10"/>
    <w:rsid w:val="00AE6C47"/>
    <w:rsid w:val="00AE6CEE"/>
    <w:rsid w:val="00AE6F00"/>
    <w:rsid w:val="00AE6F61"/>
    <w:rsid w:val="00AE6F68"/>
    <w:rsid w:val="00AE708A"/>
    <w:rsid w:val="00AE70B2"/>
    <w:rsid w:val="00AE72B9"/>
    <w:rsid w:val="00AE7411"/>
    <w:rsid w:val="00AE77AD"/>
    <w:rsid w:val="00AE78A8"/>
    <w:rsid w:val="00AE792C"/>
    <w:rsid w:val="00AE7A46"/>
    <w:rsid w:val="00AE7C04"/>
    <w:rsid w:val="00AE7ED9"/>
    <w:rsid w:val="00AE7F74"/>
    <w:rsid w:val="00AF008E"/>
    <w:rsid w:val="00AF02D7"/>
    <w:rsid w:val="00AF03C3"/>
    <w:rsid w:val="00AF047A"/>
    <w:rsid w:val="00AF05DE"/>
    <w:rsid w:val="00AF06CA"/>
    <w:rsid w:val="00AF0849"/>
    <w:rsid w:val="00AF0CB1"/>
    <w:rsid w:val="00AF0DD5"/>
    <w:rsid w:val="00AF0DF0"/>
    <w:rsid w:val="00AF0EAC"/>
    <w:rsid w:val="00AF0F15"/>
    <w:rsid w:val="00AF0F18"/>
    <w:rsid w:val="00AF0FE8"/>
    <w:rsid w:val="00AF10F9"/>
    <w:rsid w:val="00AF11F3"/>
    <w:rsid w:val="00AF123F"/>
    <w:rsid w:val="00AF1342"/>
    <w:rsid w:val="00AF1361"/>
    <w:rsid w:val="00AF14BC"/>
    <w:rsid w:val="00AF14E6"/>
    <w:rsid w:val="00AF157A"/>
    <w:rsid w:val="00AF16D7"/>
    <w:rsid w:val="00AF18C7"/>
    <w:rsid w:val="00AF1911"/>
    <w:rsid w:val="00AF1B10"/>
    <w:rsid w:val="00AF1D26"/>
    <w:rsid w:val="00AF1D6F"/>
    <w:rsid w:val="00AF1E66"/>
    <w:rsid w:val="00AF1F36"/>
    <w:rsid w:val="00AF1F99"/>
    <w:rsid w:val="00AF1FBA"/>
    <w:rsid w:val="00AF2231"/>
    <w:rsid w:val="00AF22B0"/>
    <w:rsid w:val="00AF22D2"/>
    <w:rsid w:val="00AF2831"/>
    <w:rsid w:val="00AF2989"/>
    <w:rsid w:val="00AF29C4"/>
    <w:rsid w:val="00AF2A3F"/>
    <w:rsid w:val="00AF2ADB"/>
    <w:rsid w:val="00AF2B19"/>
    <w:rsid w:val="00AF2B99"/>
    <w:rsid w:val="00AF2C3E"/>
    <w:rsid w:val="00AF2CEA"/>
    <w:rsid w:val="00AF2EBC"/>
    <w:rsid w:val="00AF2FF2"/>
    <w:rsid w:val="00AF3202"/>
    <w:rsid w:val="00AF3519"/>
    <w:rsid w:val="00AF366D"/>
    <w:rsid w:val="00AF3697"/>
    <w:rsid w:val="00AF373F"/>
    <w:rsid w:val="00AF37A9"/>
    <w:rsid w:val="00AF3807"/>
    <w:rsid w:val="00AF3C8B"/>
    <w:rsid w:val="00AF40DB"/>
    <w:rsid w:val="00AF410C"/>
    <w:rsid w:val="00AF4336"/>
    <w:rsid w:val="00AF453B"/>
    <w:rsid w:val="00AF463F"/>
    <w:rsid w:val="00AF4722"/>
    <w:rsid w:val="00AF4869"/>
    <w:rsid w:val="00AF4B5E"/>
    <w:rsid w:val="00AF4D66"/>
    <w:rsid w:val="00AF4ED5"/>
    <w:rsid w:val="00AF50BE"/>
    <w:rsid w:val="00AF512D"/>
    <w:rsid w:val="00AF51E2"/>
    <w:rsid w:val="00AF53D1"/>
    <w:rsid w:val="00AF5605"/>
    <w:rsid w:val="00AF5692"/>
    <w:rsid w:val="00AF56AC"/>
    <w:rsid w:val="00AF56F4"/>
    <w:rsid w:val="00AF5982"/>
    <w:rsid w:val="00AF5B40"/>
    <w:rsid w:val="00AF5B9F"/>
    <w:rsid w:val="00AF5C06"/>
    <w:rsid w:val="00AF5D79"/>
    <w:rsid w:val="00AF5E00"/>
    <w:rsid w:val="00AF5E0A"/>
    <w:rsid w:val="00AF5F75"/>
    <w:rsid w:val="00AF61D7"/>
    <w:rsid w:val="00AF62AC"/>
    <w:rsid w:val="00AF653D"/>
    <w:rsid w:val="00AF6551"/>
    <w:rsid w:val="00AF65BA"/>
    <w:rsid w:val="00AF68E9"/>
    <w:rsid w:val="00AF691D"/>
    <w:rsid w:val="00AF6D03"/>
    <w:rsid w:val="00AF6D4D"/>
    <w:rsid w:val="00AF6EB3"/>
    <w:rsid w:val="00AF7156"/>
    <w:rsid w:val="00AF7181"/>
    <w:rsid w:val="00AF7199"/>
    <w:rsid w:val="00AF7454"/>
    <w:rsid w:val="00AF74B0"/>
    <w:rsid w:val="00AF761B"/>
    <w:rsid w:val="00AF76F5"/>
    <w:rsid w:val="00AF7988"/>
    <w:rsid w:val="00AF7B0D"/>
    <w:rsid w:val="00AF7E64"/>
    <w:rsid w:val="00AF7F14"/>
    <w:rsid w:val="00B0008D"/>
    <w:rsid w:val="00B0028D"/>
    <w:rsid w:val="00B006B9"/>
    <w:rsid w:val="00B008B0"/>
    <w:rsid w:val="00B0090D"/>
    <w:rsid w:val="00B00A9B"/>
    <w:rsid w:val="00B00E0B"/>
    <w:rsid w:val="00B0108D"/>
    <w:rsid w:val="00B011DD"/>
    <w:rsid w:val="00B013BC"/>
    <w:rsid w:val="00B0140D"/>
    <w:rsid w:val="00B01437"/>
    <w:rsid w:val="00B0168E"/>
    <w:rsid w:val="00B019E2"/>
    <w:rsid w:val="00B019E5"/>
    <w:rsid w:val="00B01A21"/>
    <w:rsid w:val="00B01AB6"/>
    <w:rsid w:val="00B01BBF"/>
    <w:rsid w:val="00B01BC7"/>
    <w:rsid w:val="00B01D8F"/>
    <w:rsid w:val="00B01DA4"/>
    <w:rsid w:val="00B01DE2"/>
    <w:rsid w:val="00B01E28"/>
    <w:rsid w:val="00B01EDE"/>
    <w:rsid w:val="00B01F0C"/>
    <w:rsid w:val="00B01F7C"/>
    <w:rsid w:val="00B02107"/>
    <w:rsid w:val="00B021BC"/>
    <w:rsid w:val="00B023E6"/>
    <w:rsid w:val="00B0244F"/>
    <w:rsid w:val="00B02459"/>
    <w:rsid w:val="00B024B9"/>
    <w:rsid w:val="00B027A1"/>
    <w:rsid w:val="00B02981"/>
    <w:rsid w:val="00B02994"/>
    <w:rsid w:val="00B02A97"/>
    <w:rsid w:val="00B02B37"/>
    <w:rsid w:val="00B02B93"/>
    <w:rsid w:val="00B02C9E"/>
    <w:rsid w:val="00B02D25"/>
    <w:rsid w:val="00B02FB2"/>
    <w:rsid w:val="00B03263"/>
    <w:rsid w:val="00B03930"/>
    <w:rsid w:val="00B03955"/>
    <w:rsid w:val="00B0399A"/>
    <w:rsid w:val="00B03F74"/>
    <w:rsid w:val="00B040DC"/>
    <w:rsid w:val="00B042BA"/>
    <w:rsid w:val="00B045FC"/>
    <w:rsid w:val="00B04742"/>
    <w:rsid w:val="00B04ACF"/>
    <w:rsid w:val="00B04AE9"/>
    <w:rsid w:val="00B04AEA"/>
    <w:rsid w:val="00B04C86"/>
    <w:rsid w:val="00B04EB8"/>
    <w:rsid w:val="00B050E3"/>
    <w:rsid w:val="00B051B7"/>
    <w:rsid w:val="00B051D6"/>
    <w:rsid w:val="00B05689"/>
    <w:rsid w:val="00B056F0"/>
    <w:rsid w:val="00B05777"/>
    <w:rsid w:val="00B057FD"/>
    <w:rsid w:val="00B05C51"/>
    <w:rsid w:val="00B05D59"/>
    <w:rsid w:val="00B06201"/>
    <w:rsid w:val="00B065EF"/>
    <w:rsid w:val="00B066D5"/>
    <w:rsid w:val="00B06756"/>
    <w:rsid w:val="00B06799"/>
    <w:rsid w:val="00B06844"/>
    <w:rsid w:val="00B06A0B"/>
    <w:rsid w:val="00B06C38"/>
    <w:rsid w:val="00B06FBF"/>
    <w:rsid w:val="00B06FD0"/>
    <w:rsid w:val="00B0700F"/>
    <w:rsid w:val="00B070B7"/>
    <w:rsid w:val="00B07134"/>
    <w:rsid w:val="00B0713E"/>
    <w:rsid w:val="00B071A6"/>
    <w:rsid w:val="00B071E0"/>
    <w:rsid w:val="00B072C8"/>
    <w:rsid w:val="00B072CE"/>
    <w:rsid w:val="00B07332"/>
    <w:rsid w:val="00B07413"/>
    <w:rsid w:val="00B07592"/>
    <w:rsid w:val="00B0779D"/>
    <w:rsid w:val="00B07993"/>
    <w:rsid w:val="00B07A34"/>
    <w:rsid w:val="00B07D20"/>
    <w:rsid w:val="00B07E75"/>
    <w:rsid w:val="00B07F9C"/>
    <w:rsid w:val="00B100B2"/>
    <w:rsid w:val="00B1021F"/>
    <w:rsid w:val="00B1029A"/>
    <w:rsid w:val="00B1044E"/>
    <w:rsid w:val="00B1059F"/>
    <w:rsid w:val="00B108F9"/>
    <w:rsid w:val="00B109CE"/>
    <w:rsid w:val="00B10B2B"/>
    <w:rsid w:val="00B10BCC"/>
    <w:rsid w:val="00B10DC2"/>
    <w:rsid w:val="00B10DD7"/>
    <w:rsid w:val="00B110DA"/>
    <w:rsid w:val="00B1131B"/>
    <w:rsid w:val="00B1161A"/>
    <w:rsid w:val="00B11650"/>
    <w:rsid w:val="00B11A39"/>
    <w:rsid w:val="00B11AA7"/>
    <w:rsid w:val="00B11B3C"/>
    <w:rsid w:val="00B11D4D"/>
    <w:rsid w:val="00B11DB5"/>
    <w:rsid w:val="00B11E62"/>
    <w:rsid w:val="00B11EF6"/>
    <w:rsid w:val="00B120CE"/>
    <w:rsid w:val="00B121CE"/>
    <w:rsid w:val="00B122D0"/>
    <w:rsid w:val="00B1232A"/>
    <w:rsid w:val="00B12512"/>
    <w:rsid w:val="00B1255D"/>
    <w:rsid w:val="00B12644"/>
    <w:rsid w:val="00B12727"/>
    <w:rsid w:val="00B127AC"/>
    <w:rsid w:val="00B1291C"/>
    <w:rsid w:val="00B1295E"/>
    <w:rsid w:val="00B12B16"/>
    <w:rsid w:val="00B12C2B"/>
    <w:rsid w:val="00B12DF4"/>
    <w:rsid w:val="00B13262"/>
    <w:rsid w:val="00B13368"/>
    <w:rsid w:val="00B13550"/>
    <w:rsid w:val="00B13693"/>
    <w:rsid w:val="00B13798"/>
    <w:rsid w:val="00B13953"/>
    <w:rsid w:val="00B139C1"/>
    <w:rsid w:val="00B13B9D"/>
    <w:rsid w:val="00B1417B"/>
    <w:rsid w:val="00B14182"/>
    <w:rsid w:val="00B148F1"/>
    <w:rsid w:val="00B14973"/>
    <w:rsid w:val="00B14995"/>
    <w:rsid w:val="00B14AF6"/>
    <w:rsid w:val="00B14BF0"/>
    <w:rsid w:val="00B14C60"/>
    <w:rsid w:val="00B14CB3"/>
    <w:rsid w:val="00B14E5A"/>
    <w:rsid w:val="00B15053"/>
    <w:rsid w:val="00B150B6"/>
    <w:rsid w:val="00B150CF"/>
    <w:rsid w:val="00B15535"/>
    <w:rsid w:val="00B15612"/>
    <w:rsid w:val="00B1566F"/>
    <w:rsid w:val="00B15685"/>
    <w:rsid w:val="00B15697"/>
    <w:rsid w:val="00B15777"/>
    <w:rsid w:val="00B1581D"/>
    <w:rsid w:val="00B158CC"/>
    <w:rsid w:val="00B15970"/>
    <w:rsid w:val="00B15A9C"/>
    <w:rsid w:val="00B15B9C"/>
    <w:rsid w:val="00B15E45"/>
    <w:rsid w:val="00B15EF9"/>
    <w:rsid w:val="00B16022"/>
    <w:rsid w:val="00B1606A"/>
    <w:rsid w:val="00B164BF"/>
    <w:rsid w:val="00B1678F"/>
    <w:rsid w:val="00B167FA"/>
    <w:rsid w:val="00B1697C"/>
    <w:rsid w:val="00B16A92"/>
    <w:rsid w:val="00B16B42"/>
    <w:rsid w:val="00B16D37"/>
    <w:rsid w:val="00B16DDC"/>
    <w:rsid w:val="00B16E7D"/>
    <w:rsid w:val="00B16EDD"/>
    <w:rsid w:val="00B170CC"/>
    <w:rsid w:val="00B1715B"/>
    <w:rsid w:val="00B1727A"/>
    <w:rsid w:val="00B173AD"/>
    <w:rsid w:val="00B173CD"/>
    <w:rsid w:val="00B17417"/>
    <w:rsid w:val="00B174C1"/>
    <w:rsid w:val="00B17550"/>
    <w:rsid w:val="00B17562"/>
    <w:rsid w:val="00B175DE"/>
    <w:rsid w:val="00B1764C"/>
    <w:rsid w:val="00B1782D"/>
    <w:rsid w:val="00B17F83"/>
    <w:rsid w:val="00B20114"/>
    <w:rsid w:val="00B201F4"/>
    <w:rsid w:val="00B202D5"/>
    <w:rsid w:val="00B20382"/>
    <w:rsid w:val="00B205A4"/>
    <w:rsid w:val="00B2068A"/>
    <w:rsid w:val="00B209EF"/>
    <w:rsid w:val="00B20B28"/>
    <w:rsid w:val="00B20DC1"/>
    <w:rsid w:val="00B20E52"/>
    <w:rsid w:val="00B21092"/>
    <w:rsid w:val="00B21165"/>
    <w:rsid w:val="00B21214"/>
    <w:rsid w:val="00B2125A"/>
    <w:rsid w:val="00B21390"/>
    <w:rsid w:val="00B214E7"/>
    <w:rsid w:val="00B21534"/>
    <w:rsid w:val="00B21636"/>
    <w:rsid w:val="00B2169C"/>
    <w:rsid w:val="00B21AAF"/>
    <w:rsid w:val="00B21D3F"/>
    <w:rsid w:val="00B21DF0"/>
    <w:rsid w:val="00B21F4A"/>
    <w:rsid w:val="00B220C1"/>
    <w:rsid w:val="00B22487"/>
    <w:rsid w:val="00B225FA"/>
    <w:rsid w:val="00B22607"/>
    <w:rsid w:val="00B227BA"/>
    <w:rsid w:val="00B2290A"/>
    <w:rsid w:val="00B22A08"/>
    <w:rsid w:val="00B22A3E"/>
    <w:rsid w:val="00B22AAE"/>
    <w:rsid w:val="00B22CC5"/>
    <w:rsid w:val="00B2302F"/>
    <w:rsid w:val="00B23050"/>
    <w:rsid w:val="00B233C1"/>
    <w:rsid w:val="00B23933"/>
    <w:rsid w:val="00B23B52"/>
    <w:rsid w:val="00B23CE6"/>
    <w:rsid w:val="00B23D1C"/>
    <w:rsid w:val="00B23DA5"/>
    <w:rsid w:val="00B23E4C"/>
    <w:rsid w:val="00B24038"/>
    <w:rsid w:val="00B24045"/>
    <w:rsid w:val="00B2416B"/>
    <w:rsid w:val="00B24227"/>
    <w:rsid w:val="00B243C5"/>
    <w:rsid w:val="00B243D4"/>
    <w:rsid w:val="00B24580"/>
    <w:rsid w:val="00B245DD"/>
    <w:rsid w:val="00B246D7"/>
    <w:rsid w:val="00B2475F"/>
    <w:rsid w:val="00B24841"/>
    <w:rsid w:val="00B2493F"/>
    <w:rsid w:val="00B24952"/>
    <w:rsid w:val="00B24957"/>
    <w:rsid w:val="00B249C5"/>
    <w:rsid w:val="00B249E9"/>
    <w:rsid w:val="00B24AAC"/>
    <w:rsid w:val="00B24B41"/>
    <w:rsid w:val="00B24B64"/>
    <w:rsid w:val="00B24D3A"/>
    <w:rsid w:val="00B24DDB"/>
    <w:rsid w:val="00B24E58"/>
    <w:rsid w:val="00B24EA4"/>
    <w:rsid w:val="00B2518E"/>
    <w:rsid w:val="00B2520B"/>
    <w:rsid w:val="00B2530C"/>
    <w:rsid w:val="00B254B7"/>
    <w:rsid w:val="00B254C9"/>
    <w:rsid w:val="00B257D4"/>
    <w:rsid w:val="00B25894"/>
    <w:rsid w:val="00B25BBA"/>
    <w:rsid w:val="00B25BDD"/>
    <w:rsid w:val="00B25DA7"/>
    <w:rsid w:val="00B25DB2"/>
    <w:rsid w:val="00B25F71"/>
    <w:rsid w:val="00B260CA"/>
    <w:rsid w:val="00B261EA"/>
    <w:rsid w:val="00B26402"/>
    <w:rsid w:val="00B264A1"/>
    <w:rsid w:val="00B26556"/>
    <w:rsid w:val="00B265DB"/>
    <w:rsid w:val="00B26875"/>
    <w:rsid w:val="00B269A1"/>
    <w:rsid w:val="00B26C79"/>
    <w:rsid w:val="00B26CA3"/>
    <w:rsid w:val="00B27051"/>
    <w:rsid w:val="00B27174"/>
    <w:rsid w:val="00B27766"/>
    <w:rsid w:val="00B277CE"/>
    <w:rsid w:val="00B2798E"/>
    <w:rsid w:val="00B27A46"/>
    <w:rsid w:val="00B27E3C"/>
    <w:rsid w:val="00B3022F"/>
    <w:rsid w:val="00B3064B"/>
    <w:rsid w:val="00B30723"/>
    <w:rsid w:val="00B307D4"/>
    <w:rsid w:val="00B30844"/>
    <w:rsid w:val="00B308ED"/>
    <w:rsid w:val="00B30949"/>
    <w:rsid w:val="00B30A51"/>
    <w:rsid w:val="00B30C9B"/>
    <w:rsid w:val="00B30CD7"/>
    <w:rsid w:val="00B30D1B"/>
    <w:rsid w:val="00B30D98"/>
    <w:rsid w:val="00B30DAD"/>
    <w:rsid w:val="00B30EDE"/>
    <w:rsid w:val="00B30FAA"/>
    <w:rsid w:val="00B311C0"/>
    <w:rsid w:val="00B31237"/>
    <w:rsid w:val="00B313B6"/>
    <w:rsid w:val="00B316DB"/>
    <w:rsid w:val="00B317A1"/>
    <w:rsid w:val="00B31852"/>
    <w:rsid w:val="00B319C3"/>
    <w:rsid w:val="00B319E6"/>
    <w:rsid w:val="00B31BF1"/>
    <w:rsid w:val="00B31CD6"/>
    <w:rsid w:val="00B31E04"/>
    <w:rsid w:val="00B31FD4"/>
    <w:rsid w:val="00B321DE"/>
    <w:rsid w:val="00B322DB"/>
    <w:rsid w:val="00B32441"/>
    <w:rsid w:val="00B32544"/>
    <w:rsid w:val="00B326A6"/>
    <w:rsid w:val="00B3279F"/>
    <w:rsid w:val="00B32A44"/>
    <w:rsid w:val="00B32C53"/>
    <w:rsid w:val="00B32D45"/>
    <w:rsid w:val="00B32F52"/>
    <w:rsid w:val="00B33487"/>
    <w:rsid w:val="00B33707"/>
    <w:rsid w:val="00B33932"/>
    <w:rsid w:val="00B33960"/>
    <w:rsid w:val="00B339F1"/>
    <w:rsid w:val="00B33A13"/>
    <w:rsid w:val="00B33B26"/>
    <w:rsid w:val="00B33D1A"/>
    <w:rsid w:val="00B34120"/>
    <w:rsid w:val="00B34297"/>
    <w:rsid w:val="00B3460B"/>
    <w:rsid w:val="00B346FC"/>
    <w:rsid w:val="00B34C27"/>
    <w:rsid w:val="00B34C80"/>
    <w:rsid w:val="00B34F58"/>
    <w:rsid w:val="00B3504F"/>
    <w:rsid w:val="00B35487"/>
    <w:rsid w:val="00B3549C"/>
    <w:rsid w:val="00B354D9"/>
    <w:rsid w:val="00B35523"/>
    <w:rsid w:val="00B35556"/>
    <w:rsid w:val="00B355D1"/>
    <w:rsid w:val="00B35648"/>
    <w:rsid w:val="00B35691"/>
    <w:rsid w:val="00B35768"/>
    <w:rsid w:val="00B35A7E"/>
    <w:rsid w:val="00B35AB4"/>
    <w:rsid w:val="00B35AD2"/>
    <w:rsid w:val="00B35E34"/>
    <w:rsid w:val="00B35F7A"/>
    <w:rsid w:val="00B36799"/>
    <w:rsid w:val="00B367A1"/>
    <w:rsid w:val="00B36804"/>
    <w:rsid w:val="00B368B5"/>
    <w:rsid w:val="00B369B1"/>
    <w:rsid w:val="00B36AE0"/>
    <w:rsid w:val="00B36CFF"/>
    <w:rsid w:val="00B36F06"/>
    <w:rsid w:val="00B37137"/>
    <w:rsid w:val="00B37400"/>
    <w:rsid w:val="00B374A1"/>
    <w:rsid w:val="00B37581"/>
    <w:rsid w:val="00B375C6"/>
    <w:rsid w:val="00B3772F"/>
    <w:rsid w:val="00B37A80"/>
    <w:rsid w:val="00B37BF2"/>
    <w:rsid w:val="00B37BFC"/>
    <w:rsid w:val="00B37CCE"/>
    <w:rsid w:val="00B37E89"/>
    <w:rsid w:val="00B37EEF"/>
    <w:rsid w:val="00B37FA1"/>
    <w:rsid w:val="00B40085"/>
    <w:rsid w:val="00B403DB"/>
    <w:rsid w:val="00B403FA"/>
    <w:rsid w:val="00B4055B"/>
    <w:rsid w:val="00B40607"/>
    <w:rsid w:val="00B40618"/>
    <w:rsid w:val="00B40725"/>
    <w:rsid w:val="00B4092B"/>
    <w:rsid w:val="00B40A18"/>
    <w:rsid w:val="00B40E01"/>
    <w:rsid w:val="00B40F11"/>
    <w:rsid w:val="00B40FC0"/>
    <w:rsid w:val="00B41052"/>
    <w:rsid w:val="00B41307"/>
    <w:rsid w:val="00B4141F"/>
    <w:rsid w:val="00B4144D"/>
    <w:rsid w:val="00B41628"/>
    <w:rsid w:val="00B417A6"/>
    <w:rsid w:val="00B4186D"/>
    <w:rsid w:val="00B418D5"/>
    <w:rsid w:val="00B41AA0"/>
    <w:rsid w:val="00B41C34"/>
    <w:rsid w:val="00B41DBB"/>
    <w:rsid w:val="00B41E3E"/>
    <w:rsid w:val="00B41E9D"/>
    <w:rsid w:val="00B41FF1"/>
    <w:rsid w:val="00B42003"/>
    <w:rsid w:val="00B42090"/>
    <w:rsid w:val="00B42146"/>
    <w:rsid w:val="00B427F1"/>
    <w:rsid w:val="00B42829"/>
    <w:rsid w:val="00B42BF4"/>
    <w:rsid w:val="00B42CBC"/>
    <w:rsid w:val="00B42F5E"/>
    <w:rsid w:val="00B42F92"/>
    <w:rsid w:val="00B42FA4"/>
    <w:rsid w:val="00B42FDB"/>
    <w:rsid w:val="00B4329A"/>
    <w:rsid w:val="00B438B3"/>
    <w:rsid w:val="00B439DC"/>
    <w:rsid w:val="00B43A62"/>
    <w:rsid w:val="00B43B56"/>
    <w:rsid w:val="00B43B62"/>
    <w:rsid w:val="00B43B9A"/>
    <w:rsid w:val="00B43D25"/>
    <w:rsid w:val="00B43E04"/>
    <w:rsid w:val="00B43ECC"/>
    <w:rsid w:val="00B43F59"/>
    <w:rsid w:val="00B43F95"/>
    <w:rsid w:val="00B4416B"/>
    <w:rsid w:val="00B4421E"/>
    <w:rsid w:val="00B442B2"/>
    <w:rsid w:val="00B444A0"/>
    <w:rsid w:val="00B444F6"/>
    <w:rsid w:val="00B44820"/>
    <w:rsid w:val="00B448F2"/>
    <w:rsid w:val="00B44A73"/>
    <w:rsid w:val="00B44DED"/>
    <w:rsid w:val="00B44E3C"/>
    <w:rsid w:val="00B45239"/>
    <w:rsid w:val="00B453EA"/>
    <w:rsid w:val="00B45702"/>
    <w:rsid w:val="00B45829"/>
    <w:rsid w:val="00B459B3"/>
    <w:rsid w:val="00B459CC"/>
    <w:rsid w:val="00B45BC0"/>
    <w:rsid w:val="00B45BCA"/>
    <w:rsid w:val="00B45C0C"/>
    <w:rsid w:val="00B45E60"/>
    <w:rsid w:val="00B45E84"/>
    <w:rsid w:val="00B45EB1"/>
    <w:rsid w:val="00B46080"/>
    <w:rsid w:val="00B460AB"/>
    <w:rsid w:val="00B463B4"/>
    <w:rsid w:val="00B463BD"/>
    <w:rsid w:val="00B468CF"/>
    <w:rsid w:val="00B46A39"/>
    <w:rsid w:val="00B46F34"/>
    <w:rsid w:val="00B4704E"/>
    <w:rsid w:val="00B47093"/>
    <w:rsid w:val="00B47281"/>
    <w:rsid w:val="00B4751F"/>
    <w:rsid w:val="00B47654"/>
    <w:rsid w:val="00B477F1"/>
    <w:rsid w:val="00B47A30"/>
    <w:rsid w:val="00B47AF4"/>
    <w:rsid w:val="00B47B72"/>
    <w:rsid w:val="00B47D97"/>
    <w:rsid w:val="00B47E5D"/>
    <w:rsid w:val="00B5036D"/>
    <w:rsid w:val="00B503C4"/>
    <w:rsid w:val="00B504C6"/>
    <w:rsid w:val="00B504EE"/>
    <w:rsid w:val="00B5060D"/>
    <w:rsid w:val="00B50650"/>
    <w:rsid w:val="00B506DA"/>
    <w:rsid w:val="00B5082F"/>
    <w:rsid w:val="00B50978"/>
    <w:rsid w:val="00B50B8E"/>
    <w:rsid w:val="00B50C33"/>
    <w:rsid w:val="00B50DDC"/>
    <w:rsid w:val="00B50DEA"/>
    <w:rsid w:val="00B50FE2"/>
    <w:rsid w:val="00B511C8"/>
    <w:rsid w:val="00B51201"/>
    <w:rsid w:val="00B5144C"/>
    <w:rsid w:val="00B51731"/>
    <w:rsid w:val="00B51741"/>
    <w:rsid w:val="00B5198B"/>
    <w:rsid w:val="00B5199A"/>
    <w:rsid w:val="00B51B3E"/>
    <w:rsid w:val="00B51B47"/>
    <w:rsid w:val="00B51B7D"/>
    <w:rsid w:val="00B520EF"/>
    <w:rsid w:val="00B522F4"/>
    <w:rsid w:val="00B52394"/>
    <w:rsid w:val="00B52458"/>
    <w:rsid w:val="00B524EB"/>
    <w:rsid w:val="00B525DE"/>
    <w:rsid w:val="00B526BD"/>
    <w:rsid w:val="00B5295C"/>
    <w:rsid w:val="00B52A39"/>
    <w:rsid w:val="00B52CD7"/>
    <w:rsid w:val="00B52E84"/>
    <w:rsid w:val="00B52FD9"/>
    <w:rsid w:val="00B530DA"/>
    <w:rsid w:val="00B530F6"/>
    <w:rsid w:val="00B5324F"/>
    <w:rsid w:val="00B533AE"/>
    <w:rsid w:val="00B53482"/>
    <w:rsid w:val="00B5371B"/>
    <w:rsid w:val="00B53857"/>
    <w:rsid w:val="00B538A2"/>
    <w:rsid w:val="00B53976"/>
    <w:rsid w:val="00B53A44"/>
    <w:rsid w:val="00B54041"/>
    <w:rsid w:val="00B54133"/>
    <w:rsid w:val="00B54206"/>
    <w:rsid w:val="00B54214"/>
    <w:rsid w:val="00B5426F"/>
    <w:rsid w:val="00B5429D"/>
    <w:rsid w:val="00B543E6"/>
    <w:rsid w:val="00B5446D"/>
    <w:rsid w:val="00B546BA"/>
    <w:rsid w:val="00B54B50"/>
    <w:rsid w:val="00B54E27"/>
    <w:rsid w:val="00B55148"/>
    <w:rsid w:val="00B55273"/>
    <w:rsid w:val="00B5532F"/>
    <w:rsid w:val="00B55410"/>
    <w:rsid w:val="00B5546B"/>
    <w:rsid w:val="00B55645"/>
    <w:rsid w:val="00B55706"/>
    <w:rsid w:val="00B5572C"/>
    <w:rsid w:val="00B55749"/>
    <w:rsid w:val="00B55AB3"/>
    <w:rsid w:val="00B55F47"/>
    <w:rsid w:val="00B562AA"/>
    <w:rsid w:val="00B566AC"/>
    <w:rsid w:val="00B566E6"/>
    <w:rsid w:val="00B569C7"/>
    <w:rsid w:val="00B569D9"/>
    <w:rsid w:val="00B56B7F"/>
    <w:rsid w:val="00B56CA8"/>
    <w:rsid w:val="00B56D02"/>
    <w:rsid w:val="00B56D48"/>
    <w:rsid w:val="00B56DC1"/>
    <w:rsid w:val="00B56E2A"/>
    <w:rsid w:val="00B5705F"/>
    <w:rsid w:val="00B57073"/>
    <w:rsid w:val="00B57133"/>
    <w:rsid w:val="00B5739A"/>
    <w:rsid w:val="00B57AA5"/>
    <w:rsid w:val="00B57B5D"/>
    <w:rsid w:val="00B57C95"/>
    <w:rsid w:val="00B57E6C"/>
    <w:rsid w:val="00B57ECA"/>
    <w:rsid w:val="00B57ED4"/>
    <w:rsid w:val="00B60084"/>
    <w:rsid w:val="00B600FF"/>
    <w:rsid w:val="00B6021A"/>
    <w:rsid w:val="00B60260"/>
    <w:rsid w:val="00B6032B"/>
    <w:rsid w:val="00B6057A"/>
    <w:rsid w:val="00B6079F"/>
    <w:rsid w:val="00B607E3"/>
    <w:rsid w:val="00B6091E"/>
    <w:rsid w:val="00B60FCC"/>
    <w:rsid w:val="00B61004"/>
    <w:rsid w:val="00B6102F"/>
    <w:rsid w:val="00B61460"/>
    <w:rsid w:val="00B61483"/>
    <w:rsid w:val="00B61508"/>
    <w:rsid w:val="00B615D5"/>
    <w:rsid w:val="00B616E7"/>
    <w:rsid w:val="00B61A67"/>
    <w:rsid w:val="00B61AC2"/>
    <w:rsid w:val="00B61F2E"/>
    <w:rsid w:val="00B622EE"/>
    <w:rsid w:val="00B623A5"/>
    <w:rsid w:val="00B62409"/>
    <w:rsid w:val="00B624E4"/>
    <w:rsid w:val="00B62505"/>
    <w:rsid w:val="00B62648"/>
    <w:rsid w:val="00B628BD"/>
    <w:rsid w:val="00B629EF"/>
    <w:rsid w:val="00B62B42"/>
    <w:rsid w:val="00B62C60"/>
    <w:rsid w:val="00B62E25"/>
    <w:rsid w:val="00B62E6F"/>
    <w:rsid w:val="00B62E94"/>
    <w:rsid w:val="00B63127"/>
    <w:rsid w:val="00B6314C"/>
    <w:rsid w:val="00B631B5"/>
    <w:rsid w:val="00B6332C"/>
    <w:rsid w:val="00B635E1"/>
    <w:rsid w:val="00B63603"/>
    <w:rsid w:val="00B636C9"/>
    <w:rsid w:val="00B6397C"/>
    <w:rsid w:val="00B63AA8"/>
    <w:rsid w:val="00B63C3C"/>
    <w:rsid w:val="00B63D2E"/>
    <w:rsid w:val="00B63E47"/>
    <w:rsid w:val="00B63E77"/>
    <w:rsid w:val="00B6406F"/>
    <w:rsid w:val="00B64190"/>
    <w:rsid w:val="00B6423E"/>
    <w:rsid w:val="00B6432F"/>
    <w:rsid w:val="00B643CF"/>
    <w:rsid w:val="00B644B2"/>
    <w:rsid w:val="00B648C9"/>
    <w:rsid w:val="00B6492F"/>
    <w:rsid w:val="00B64A46"/>
    <w:rsid w:val="00B64AC1"/>
    <w:rsid w:val="00B64CBA"/>
    <w:rsid w:val="00B64D85"/>
    <w:rsid w:val="00B64DBA"/>
    <w:rsid w:val="00B64E5E"/>
    <w:rsid w:val="00B64F91"/>
    <w:rsid w:val="00B6500D"/>
    <w:rsid w:val="00B65065"/>
    <w:rsid w:val="00B6512A"/>
    <w:rsid w:val="00B65454"/>
    <w:rsid w:val="00B6559C"/>
    <w:rsid w:val="00B65F79"/>
    <w:rsid w:val="00B6628E"/>
    <w:rsid w:val="00B6636D"/>
    <w:rsid w:val="00B666A1"/>
    <w:rsid w:val="00B66E15"/>
    <w:rsid w:val="00B66FCE"/>
    <w:rsid w:val="00B67032"/>
    <w:rsid w:val="00B67173"/>
    <w:rsid w:val="00B672CA"/>
    <w:rsid w:val="00B67341"/>
    <w:rsid w:val="00B67440"/>
    <w:rsid w:val="00B67B2C"/>
    <w:rsid w:val="00B67C21"/>
    <w:rsid w:val="00B67C3A"/>
    <w:rsid w:val="00B67F7A"/>
    <w:rsid w:val="00B70067"/>
    <w:rsid w:val="00B70172"/>
    <w:rsid w:val="00B7017B"/>
    <w:rsid w:val="00B701A8"/>
    <w:rsid w:val="00B7051C"/>
    <w:rsid w:val="00B70CFB"/>
    <w:rsid w:val="00B70E64"/>
    <w:rsid w:val="00B70F85"/>
    <w:rsid w:val="00B7102C"/>
    <w:rsid w:val="00B71055"/>
    <w:rsid w:val="00B71349"/>
    <w:rsid w:val="00B713C3"/>
    <w:rsid w:val="00B7158A"/>
    <w:rsid w:val="00B71893"/>
    <w:rsid w:val="00B718B2"/>
    <w:rsid w:val="00B71A1B"/>
    <w:rsid w:val="00B71B75"/>
    <w:rsid w:val="00B71D69"/>
    <w:rsid w:val="00B71E23"/>
    <w:rsid w:val="00B71E6B"/>
    <w:rsid w:val="00B71FFA"/>
    <w:rsid w:val="00B7219D"/>
    <w:rsid w:val="00B721A3"/>
    <w:rsid w:val="00B721E2"/>
    <w:rsid w:val="00B72251"/>
    <w:rsid w:val="00B722D6"/>
    <w:rsid w:val="00B72741"/>
    <w:rsid w:val="00B7286B"/>
    <w:rsid w:val="00B72A1A"/>
    <w:rsid w:val="00B72A31"/>
    <w:rsid w:val="00B72BCD"/>
    <w:rsid w:val="00B72C28"/>
    <w:rsid w:val="00B72C6C"/>
    <w:rsid w:val="00B72CCD"/>
    <w:rsid w:val="00B72D49"/>
    <w:rsid w:val="00B72D4B"/>
    <w:rsid w:val="00B7319F"/>
    <w:rsid w:val="00B73496"/>
    <w:rsid w:val="00B73765"/>
    <w:rsid w:val="00B737AD"/>
    <w:rsid w:val="00B737FA"/>
    <w:rsid w:val="00B73899"/>
    <w:rsid w:val="00B738B3"/>
    <w:rsid w:val="00B738D6"/>
    <w:rsid w:val="00B738F8"/>
    <w:rsid w:val="00B739D7"/>
    <w:rsid w:val="00B73B76"/>
    <w:rsid w:val="00B73E90"/>
    <w:rsid w:val="00B74171"/>
    <w:rsid w:val="00B74197"/>
    <w:rsid w:val="00B7424D"/>
    <w:rsid w:val="00B74534"/>
    <w:rsid w:val="00B745B3"/>
    <w:rsid w:val="00B749CA"/>
    <w:rsid w:val="00B74BB5"/>
    <w:rsid w:val="00B74C13"/>
    <w:rsid w:val="00B74C63"/>
    <w:rsid w:val="00B74DE4"/>
    <w:rsid w:val="00B7505C"/>
    <w:rsid w:val="00B7506B"/>
    <w:rsid w:val="00B7519D"/>
    <w:rsid w:val="00B751D8"/>
    <w:rsid w:val="00B75231"/>
    <w:rsid w:val="00B75258"/>
    <w:rsid w:val="00B753C8"/>
    <w:rsid w:val="00B755D6"/>
    <w:rsid w:val="00B757DD"/>
    <w:rsid w:val="00B75EDF"/>
    <w:rsid w:val="00B76005"/>
    <w:rsid w:val="00B76112"/>
    <w:rsid w:val="00B7613C"/>
    <w:rsid w:val="00B76140"/>
    <w:rsid w:val="00B761F8"/>
    <w:rsid w:val="00B76200"/>
    <w:rsid w:val="00B76434"/>
    <w:rsid w:val="00B7669B"/>
    <w:rsid w:val="00B766E0"/>
    <w:rsid w:val="00B767DF"/>
    <w:rsid w:val="00B767FA"/>
    <w:rsid w:val="00B76899"/>
    <w:rsid w:val="00B76BD6"/>
    <w:rsid w:val="00B76DC2"/>
    <w:rsid w:val="00B76EC5"/>
    <w:rsid w:val="00B76F98"/>
    <w:rsid w:val="00B77112"/>
    <w:rsid w:val="00B77143"/>
    <w:rsid w:val="00B7717A"/>
    <w:rsid w:val="00B77225"/>
    <w:rsid w:val="00B772A8"/>
    <w:rsid w:val="00B775AE"/>
    <w:rsid w:val="00B77A87"/>
    <w:rsid w:val="00B77BB3"/>
    <w:rsid w:val="00B77E67"/>
    <w:rsid w:val="00B77EA3"/>
    <w:rsid w:val="00B8018B"/>
    <w:rsid w:val="00B80451"/>
    <w:rsid w:val="00B804FA"/>
    <w:rsid w:val="00B80567"/>
    <w:rsid w:val="00B805D7"/>
    <w:rsid w:val="00B80630"/>
    <w:rsid w:val="00B8063C"/>
    <w:rsid w:val="00B80D34"/>
    <w:rsid w:val="00B80D51"/>
    <w:rsid w:val="00B80D99"/>
    <w:rsid w:val="00B81374"/>
    <w:rsid w:val="00B81668"/>
    <w:rsid w:val="00B816A9"/>
    <w:rsid w:val="00B81A0F"/>
    <w:rsid w:val="00B81DE4"/>
    <w:rsid w:val="00B81FB5"/>
    <w:rsid w:val="00B81FCC"/>
    <w:rsid w:val="00B821CA"/>
    <w:rsid w:val="00B822E0"/>
    <w:rsid w:val="00B827E9"/>
    <w:rsid w:val="00B8284B"/>
    <w:rsid w:val="00B8288D"/>
    <w:rsid w:val="00B82928"/>
    <w:rsid w:val="00B82A0C"/>
    <w:rsid w:val="00B82AFB"/>
    <w:rsid w:val="00B82CFE"/>
    <w:rsid w:val="00B82D64"/>
    <w:rsid w:val="00B82DD1"/>
    <w:rsid w:val="00B82EA7"/>
    <w:rsid w:val="00B83123"/>
    <w:rsid w:val="00B83246"/>
    <w:rsid w:val="00B833AA"/>
    <w:rsid w:val="00B8344B"/>
    <w:rsid w:val="00B837E5"/>
    <w:rsid w:val="00B8390D"/>
    <w:rsid w:val="00B83ADF"/>
    <w:rsid w:val="00B83C54"/>
    <w:rsid w:val="00B843F5"/>
    <w:rsid w:val="00B8451D"/>
    <w:rsid w:val="00B8456D"/>
    <w:rsid w:val="00B8478F"/>
    <w:rsid w:val="00B84B4D"/>
    <w:rsid w:val="00B84BC9"/>
    <w:rsid w:val="00B84F94"/>
    <w:rsid w:val="00B85455"/>
    <w:rsid w:val="00B8547F"/>
    <w:rsid w:val="00B854AF"/>
    <w:rsid w:val="00B85606"/>
    <w:rsid w:val="00B856A1"/>
    <w:rsid w:val="00B859AC"/>
    <w:rsid w:val="00B85A50"/>
    <w:rsid w:val="00B85AA6"/>
    <w:rsid w:val="00B85BF2"/>
    <w:rsid w:val="00B85F16"/>
    <w:rsid w:val="00B85F6C"/>
    <w:rsid w:val="00B86008"/>
    <w:rsid w:val="00B86154"/>
    <w:rsid w:val="00B861E8"/>
    <w:rsid w:val="00B8623C"/>
    <w:rsid w:val="00B869A5"/>
    <w:rsid w:val="00B86A8D"/>
    <w:rsid w:val="00B86C27"/>
    <w:rsid w:val="00B8706F"/>
    <w:rsid w:val="00B87172"/>
    <w:rsid w:val="00B8739D"/>
    <w:rsid w:val="00B87529"/>
    <w:rsid w:val="00B875B5"/>
    <w:rsid w:val="00B875F7"/>
    <w:rsid w:val="00B8763D"/>
    <w:rsid w:val="00B8786B"/>
    <w:rsid w:val="00B879B0"/>
    <w:rsid w:val="00B879D5"/>
    <w:rsid w:val="00B87C74"/>
    <w:rsid w:val="00B87CA0"/>
    <w:rsid w:val="00B90121"/>
    <w:rsid w:val="00B9048B"/>
    <w:rsid w:val="00B904E3"/>
    <w:rsid w:val="00B90624"/>
    <w:rsid w:val="00B907A9"/>
    <w:rsid w:val="00B90A05"/>
    <w:rsid w:val="00B90B1E"/>
    <w:rsid w:val="00B90F2C"/>
    <w:rsid w:val="00B90FF1"/>
    <w:rsid w:val="00B91269"/>
    <w:rsid w:val="00B91376"/>
    <w:rsid w:val="00B91414"/>
    <w:rsid w:val="00B91633"/>
    <w:rsid w:val="00B9163D"/>
    <w:rsid w:val="00B91645"/>
    <w:rsid w:val="00B9174B"/>
    <w:rsid w:val="00B91C20"/>
    <w:rsid w:val="00B91EAA"/>
    <w:rsid w:val="00B923E6"/>
    <w:rsid w:val="00B92656"/>
    <w:rsid w:val="00B92833"/>
    <w:rsid w:val="00B928A7"/>
    <w:rsid w:val="00B92905"/>
    <w:rsid w:val="00B92932"/>
    <w:rsid w:val="00B92968"/>
    <w:rsid w:val="00B92A80"/>
    <w:rsid w:val="00B92B74"/>
    <w:rsid w:val="00B92BFC"/>
    <w:rsid w:val="00B92CDE"/>
    <w:rsid w:val="00B92DC4"/>
    <w:rsid w:val="00B92FE2"/>
    <w:rsid w:val="00B9304B"/>
    <w:rsid w:val="00B930A4"/>
    <w:rsid w:val="00B93133"/>
    <w:rsid w:val="00B931BE"/>
    <w:rsid w:val="00B932E5"/>
    <w:rsid w:val="00B93352"/>
    <w:rsid w:val="00B935C3"/>
    <w:rsid w:val="00B938D5"/>
    <w:rsid w:val="00B9390A"/>
    <w:rsid w:val="00B93974"/>
    <w:rsid w:val="00B93AEF"/>
    <w:rsid w:val="00B940D5"/>
    <w:rsid w:val="00B9438E"/>
    <w:rsid w:val="00B943B2"/>
    <w:rsid w:val="00B946CA"/>
    <w:rsid w:val="00B94708"/>
    <w:rsid w:val="00B94A05"/>
    <w:rsid w:val="00B94A90"/>
    <w:rsid w:val="00B94C3B"/>
    <w:rsid w:val="00B94C42"/>
    <w:rsid w:val="00B94D53"/>
    <w:rsid w:val="00B94EEF"/>
    <w:rsid w:val="00B94F6B"/>
    <w:rsid w:val="00B9507D"/>
    <w:rsid w:val="00B950A4"/>
    <w:rsid w:val="00B953FD"/>
    <w:rsid w:val="00B954A1"/>
    <w:rsid w:val="00B954CE"/>
    <w:rsid w:val="00B955FE"/>
    <w:rsid w:val="00B95679"/>
    <w:rsid w:val="00B95AB6"/>
    <w:rsid w:val="00B95BF2"/>
    <w:rsid w:val="00B95F04"/>
    <w:rsid w:val="00B96095"/>
    <w:rsid w:val="00B96117"/>
    <w:rsid w:val="00B96395"/>
    <w:rsid w:val="00B96499"/>
    <w:rsid w:val="00B96577"/>
    <w:rsid w:val="00B968EA"/>
    <w:rsid w:val="00B96964"/>
    <w:rsid w:val="00B96A03"/>
    <w:rsid w:val="00B96A3B"/>
    <w:rsid w:val="00B96B7F"/>
    <w:rsid w:val="00B96C87"/>
    <w:rsid w:val="00B96CC1"/>
    <w:rsid w:val="00B96DA4"/>
    <w:rsid w:val="00B96E6B"/>
    <w:rsid w:val="00B96EEA"/>
    <w:rsid w:val="00B96F9E"/>
    <w:rsid w:val="00B970B9"/>
    <w:rsid w:val="00B970D9"/>
    <w:rsid w:val="00B9760D"/>
    <w:rsid w:val="00B97732"/>
    <w:rsid w:val="00B97743"/>
    <w:rsid w:val="00B978D3"/>
    <w:rsid w:val="00B97ABA"/>
    <w:rsid w:val="00B97C16"/>
    <w:rsid w:val="00B97E35"/>
    <w:rsid w:val="00BA00BB"/>
    <w:rsid w:val="00BA0166"/>
    <w:rsid w:val="00BA031B"/>
    <w:rsid w:val="00BA0361"/>
    <w:rsid w:val="00BA06F7"/>
    <w:rsid w:val="00BA0A47"/>
    <w:rsid w:val="00BA0A6D"/>
    <w:rsid w:val="00BA0B42"/>
    <w:rsid w:val="00BA0D26"/>
    <w:rsid w:val="00BA10C5"/>
    <w:rsid w:val="00BA115C"/>
    <w:rsid w:val="00BA1284"/>
    <w:rsid w:val="00BA146D"/>
    <w:rsid w:val="00BA161F"/>
    <w:rsid w:val="00BA1693"/>
    <w:rsid w:val="00BA1739"/>
    <w:rsid w:val="00BA194C"/>
    <w:rsid w:val="00BA1AA0"/>
    <w:rsid w:val="00BA1AB1"/>
    <w:rsid w:val="00BA1B78"/>
    <w:rsid w:val="00BA1B99"/>
    <w:rsid w:val="00BA1F3B"/>
    <w:rsid w:val="00BA20DC"/>
    <w:rsid w:val="00BA21D1"/>
    <w:rsid w:val="00BA225F"/>
    <w:rsid w:val="00BA22E7"/>
    <w:rsid w:val="00BA2473"/>
    <w:rsid w:val="00BA24F0"/>
    <w:rsid w:val="00BA250E"/>
    <w:rsid w:val="00BA2688"/>
    <w:rsid w:val="00BA26E9"/>
    <w:rsid w:val="00BA2900"/>
    <w:rsid w:val="00BA2915"/>
    <w:rsid w:val="00BA2BFB"/>
    <w:rsid w:val="00BA2C29"/>
    <w:rsid w:val="00BA2E47"/>
    <w:rsid w:val="00BA308E"/>
    <w:rsid w:val="00BA31F4"/>
    <w:rsid w:val="00BA32A8"/>
    <w:rsid w:val="00BA37CE"/>
    <w:rsid w:val="00BA37D6"/>
    <w:rsid w:val="00BA393D"/>
    <w:rsid w:val="00BA3A32"/>
    <w:rsid w:val="00BA3A9A"/>
    <w:rsid w:val="00BA3C17"/>
    <w:rsid w:val="00BA3C7C"/>
    <w:rsid w:val="00BA3DE1"/>
    <w:rsid w:val="00BA4574"/>
    <w:rsid w:val="00BA45BC"/>
    <w:rsid w:val="00BA460F"/>
    <w:rsid w:val="00BA462B"/>
    <w:rsid w:val="00BA46CB"/>
    <w:rsid w:val="00BA48DC"/>
    <w:rsid w:val="00BA48E5"/>
    <w:rsid w:val="00BA4B81"/>
    <w:rsid w:val="00BA4C12"/>
    <w:rsid w:val="00BA4C4B"/>
    <w:rsid w:val="00BA4EA0"/>
    <w:rsid w:val="00BA516A"/>
    <w:rsid w:val="00BA55C2"/>
    <w:rsid w:val="00BA56E7"/>
    <w:rsid w:val="00BA5908"/>
    <w:rsid w:val="00BA592D"/>
    <w:rsid w:val="00BA5932"/>
    <w:rsid w:val="00BA5B26"/>
    <w:rsid w:val="00BA5CC3"/>
    <w:rsid w:val="00BA66E5"/>
    <w:rsid w:val="00BA66F4"/>
    <w:rsid w:val="00BA6720"/>
    <w:rsid w:val="00BA6754"/>
    <w:rsid w:val="00BA69B0"/>
    <w:rsid w:val="00BA69D8"/>
    <w:rsid w:val="00BA6A4C"/>
    <w:rsid w:val="00BA6E02"/>
    <w:rsid w:val="00BA6FD8"/>
    <w:rsid w:val="00BA79E9"/>
    <w:rsid w:val="00BA7BF2"/>
    <w:rsid w:val="00BA7EB1"/>
    <w:rsid w:val="00BA7ECA"/>
    <w:rsid w:val="00BB0129"/>
    <w:rsid w:val="00BB0209"/>
    <w:rsid w:val="00BB034F"/>
    <w:rsid w:val="00BB03D2"/>
    <w:rsid w:val="00BB048E"/>
    <w:rsid w:val="00BB04A9"/>
    <w:rsid w:val="00BB093D"/>
    <w:rsid w:val="00BB0957"/>
    <w:rsid w:val="00BB0F5E"/>
    <w:rsid w:val="00BB1271"/>
    <w:rsid w:val="00BB14B1"/>
    <w:rsid w:val="00BB14EC"/>
    <w:rsid w:val="00BB18B5"/>
    <w:rsid w:val="00BB18FC"/>
    <w:rsid w:val="00BB1A97"/>
    <w:rsid w:val="00BB1C4D"/>
    <w:rsid w:val="00BB1D25"/>
    <w:rsid w:val="00BB20E1"/>
    <w:rsid w:val="00BB22FD"/>
    <w:rsid w:val="00BB28BB"/>
    <w:rsid w:val="00BB2A26"/>
    <w:rsid w:val="00BB2A3E"/>
    <w:rsid w:val="00BB2B8A"/>
    <w:rsid w:val="00BB2E7B"/>
    <w:rsid w:val="00BB2F3A"/>
    <w:rsid w:val="00BB2FA4"/>
    <w:rsid w:val="00BB318C"/>
    <w:rsid w:val="00BB32ED"/>
    <w:rsid w:val="00BB3626"/>
    <w:rsid w:val="00BB3768"/>
    <w:rsid w:val="00BB3942"/>
    <w:rsid w:val="00BB3ACA"/>
    <w:rsid w:val="00BB436F"/>
    <w:rsid w:val="00BB43DD"/>
    <w:rsid w:val="00BB44C9"/>
    <w:rsid w:val="00BB4850"/>
    <w:rsid w:val="00BB485C"/>
    <w:rsid w:val="00BB4B09"/>
    <w:rsid w:val="00BB509D"/>
    <w:rsid w:val="00BB5173"/>
    <w:rsid w:val="00BB5208"/>
    <w:rsid w:val="00BB5287"/>
    <w:rsid w:val="00BB53A1"/>
    <w:rsid w:val="00BB5731"/>
    <w:rsid w:val="00BB586A"/>
    <w:rsid w:val="00BB59AE"/>
    <w:rsid w:val="00BB5A0C"/>
    <w:rsid w:val="00BB5AA8"/>
    <w:rsid w:val="00BB5B34"/>
    <w:rsid w:val="00BB5B40"/>
    <w:rsid w:val="00BB5DCF"/>
    <w:rsid w:val="00BB5DDD"/>
    <w:rsid w:val="00BB5E6D"/>
    <w:rsid w:val="00BB5F2F"/>
    <w:rsid w:val="00BB5F3C"/>
    <w:rsid w:val="00BB5FBF"/>
    <w:rsid w:val="00BB5FEF"/>
    <w:rsid w:val="00BB6052"/>
    <w:rsid w:val="00BB60BA"/>
    <w:rsid w:val="00BB6322"/>
    <w:rsid w:val="00BB658D"/>
    <w:rsid w:val="00BB65FE"/>
    <w:rsid w:val="00BB6AD0"/>
    <w:rsid w:val="00BB6B75"/>
    <w:rsid w:val="00BB6CAF"/>
    <w:rsid w:val="00BB6D4C"/>
    <w:rsid w:val="00BB6D60"/>
    <w:rsid w:val="00BB6DFF"/>
    <w:rsid w:val="00BB6EAD"/>
    <w:rsid w:val="00BB76CA"/>
    <w:rsid w:val="00BB76FE"/>
    <w:rsid w:val="00BB7794"/>
    <w:rsid w:val="00BB7836"/>
    <w:rsid w:val="00BB784A"/>
    <w:rsid w:val="00BB7993"/>
    <w:rsid w:val="00BB79BA"/>
    <w:rsid w:val="00BC0636"/>
    <w:rsid w:val="00BC0852"/>
    <w:rsid w:val="00BC0A78"/>
    <w:rsid w:val="00BC0ADB"/>
    <w:rsid w:val="00BC0EBB"/>
    <w:rsid w:val="00BC1046"/>
    <w:rsid w:val="00BC10B4"/>
    <w:rsid w:val="00BC11D6"/>
    <w:rsid w:val="00BC1398"/>
    <w:rsid w:val="00BC13EF"/>
    <w:rsid w:val="00BC147C"/>
    <w:rsid w:val="00BC15FD"/>
    <w:rsid w:val="00BC166A"/>
    <w:rsid w:val="00BC176F"/>
    <w:rsid w:val="00BC189C"/>
    <w:rsid w:val="00BC1C31"/>
    <w:rsid w:val="00BC1CFB"/>
    <w:rsid w:val="00BC1D70"/>
    <w:rsid w:val="00BC1DD4"/>
    <w:rsid w:val="00BC1ED2"/>
    <w:rsid w:val="00BC21A4"/>
    <w:rsid w:val="00BC229D"/>
    <w:rsid w:val="00BC22EC"/>
    <w:rsid w:val="00BC239F"/>
    <w:rsid w:val="00BC248E"/>
    <w:rsid w:val="00BC24F9"/>
    <w:rsid w:val="00BC253E"/>
    <w:rsid w:val="00BC267F"/>
    <w:rsid w:val="00BC2698"/>
    <w:rsid w:val="00BC2A15"/>
    <w:rsid w:val="00BC2DA4"/>
    <w:rsid w:val="00BC2FF1"/>
    <w:rsid w:val="00BC340E"/>
    <w:rsid w:val="00BC3474"/>
    <w:rsid w:val="00BC3782"/>
    <w:rsid w:val="00BC38E0"/>
    <w:rsid w:val="00BC3934"/>
    <w:rsid w:val="00BC3A3D"/>
    <w:rsid w:val="00BC3B92"/>
    <w:rsid w:val="00BC3C00"/>
    <w:rsid w:val="00BC3D2C"/>
    <w:rsid w:val="00BC3D40"/>
    <w:rsid w:val="00BC3F28"/>
    <w:rsid w:val="00BC4125"/>
    <w:rsid w:val="00BC425F"/>
    <w:rsid w:val="00BC4448"/>
    <w:rsid w:val="00BC446A"/>
    <w:rsid w:val="00BC44C5"/>
    <w:rsid w:val="00BC4721"/>
    <w:rsid w:val="00BC47E0"/>
    <w:rsid w:val="00BC49C8"/>
    <w:rsid w:val="00BC49E3"/>
    <w:rsid w:val="00BC49EB"/>
    <w:rsid w:val="00BC4BD8"/>
    <w:rsid w:val="00BC4C37"/>
    <w:rsid w:val="00BC4D12"/>
    <w:rsid w:val="00BC4D25"/>
    <w:rsid w:val="00BC5494"/>
    <w:rsid w:val="00BC54A2"/>
    <w:rsid w:val="00BC552F"/>
    <w:rsid w:val="00BC59F9"/>
    <w:rsid w:val="00BC5A75"/>
    <w:rsid w:val="00BC5A95"/>
    <w:rsid w:val="00BC5D33"/>
    <w:rsid w:val="00BC5EE7"/>
    <w:rsid w:val="00BC61BF"/>
    <w:rsid w:val="00BC6238"/>
    <w:rsid w:val="00BC633E"/>
    <w:rsid w:val="00BC638D"/>
    <w:rsid w:val="00BC640F"/>
    <w:rsid w:val="00BC6436"/>
    <w:rsid w:val="00BC6463"/>
    <w:rsid w:val="00BC67CA"/>
    <w:rsid w:val="00BC68C3"/>
    <w:rsid w:val="00BC6AA8"/>
    <w:rsid w:val="00BC6BB8"/>
    <w:rsid w:val="00BC6FE3"/>
    <w:rsid w:val="00BC7183"/>
    <w:rsid w:val="00BC727E"/>
    <w:rsid w:val="00BC772E"/>
    <w:rsid w:val="00BC777C"/>
    <w:rsid w:val="00BC784F"/>
    <w:rsid w:val="00BC7FD6"/>
    <w:rsid w:val="00BD00C7"/>
    <w:rsid w:val="00BD0121"/>
    <w:rsid w:val="00BD013B"/>
    <w:rsid w:val="00BD02CE"/>
    <w:rsid w:val="00BD03D5"/>
    <w:rsid w:val="00BD05A1"/>
    <w:rsid w:val="00BD0774"/>
    <w:rsid w:val="00BD0818"/>
    <w:rsid w:val="00BD0CEA"/>
    <w:rsid w:val="00BD0E52"/>
    <w:rsid w:val="00BD0F6A"/>
    <w:rsid w:val="00BD1078"/>
    <w:rsid w:val="00BD11E6"/>
    <w:rsid w:val="00BD14F9"/>
    <w:rsid w:val="00BD15A0"/>
    <w:rsid w:val="00BD17DD"/>
    <w:rsid w:val="00BD1816"/>
    <w:rsid w:val="00BD197F"/>
    <w:rsid w:val="00BD1A69"/>
    <w:rsid w:val="00BD1D45"/>
    <w:rsid w:val="00BD24A3"/>
    <w:rsid w:val="00BD2635"/>
    <w:rsid w:val="00BD281D"/>
    <w:rsid w:val="00BD294C"/>
    <w:rsid w:val="00BD2980"/>
    <w:rsid w:val="00BD2BD8"/>
    <w:rsid w:val="00BD2C27"/>
    <w:rsid w:val="00BD2FB8"/>
    <w:rsid w:val="00BD30AB"/>
    <w:rsid w:val="00BD3199"/>
    <w:rsid w:val="00BD3261"/>
    <w:rsid w:val="00BD328B"/>
    <w:rsid w:val="00BD32B1"/>
    <w:rsid w:val="00BD3312"/>
    <w:rsid w:val="00BD3511"/>
    <w:rsid w:val="00BD35BF"/>
    <w:rsid w:val="00BD3672"/>
    <w:rsid w:val="00BD370F"/>
    <w:rsid w:val="00BD37F7"/>
    <w:rsid w:val="00BD3876"/>
    <w:rsid w:val="00BD3915"/>
    <w:rsid w:val="00BD3963"/>
    <w:rsid w:val="00BD3A00"/>
    <w:rsid w:val="00BD3B26"/>
    <w:rsid w:val="00BD3DEE"/>
    <w:rsid w:val="00BD3F7B"/>
    <w:rsid w:val="00BD3FDC"/>
    <w:rsid w:val="00BD4298"/>
    <w:rsid w:val="00BD42FC"/>
    <w:rsid w:val="00BD432C"/>
    <w:rsid w:val="00BD4350"/>
    <w:rsid w:val="00BD4435"/>
    <w:rsid w:val="00BD455C"/>
    <w:rsid w:val="00BD4585"/>
    <w:rsid w:val="00BD483F"/>
    <w:rsid w:val="00BD494E"/>
    <w:rsid w:val="00BD4BAE"/>
    <w:rsid w:val="00BD4C2B"/>
    <w:rsid w:val="00BD51A6"/>
    <w:rsid w:val="00BD5286"/>
    <w:rsid w:val="00BD5300"/>
    <w:rsid w:val="00BD540A"/>
    <w:rsid w:val="00BD5478"/>
    <w:rsid w:val="00BD5483"/>
    <w:rsid w:val="00BD54B9"/>
    <w:rsid w:val="00BD5604"/>
    <w:rsid w:val="00BD56D5"/>
    <w:rsid w:val="00BD57AA"/>
    <w:rsid w:val="00BD57C1"/>
    <w:rsid w:val="00BD59B1"/>
    <w:rsid w:val="00BD5ABA"/>
    <w:rsid w:val="00BD5B18"/>
    <w:rsid w:val="00BD5B29"/>
    <w:rsid w:val="00BD5C81"/>
    <w:rsid w:val="00BD5E63"/>
    <w:rsid w:val="00BD5F7A"/>
    <w:rsid w:val="00BD5FC0"/>
    <w:rsid w:val="00BD5FE9"/>
    <w:rsid w:val="00BD6154"/>
    <w:rsid w:val="00BD61E5"/>
    <w:rsid w:val="00BD629B"/>
    <w:rsid w:val="00BD630A"/>
    <w:rsid w:val="00BD632B"/>
    <w:rsid w:val="00BD658A"/>
    <w:rsid w:val="00BD65FC"/>
    <w:rsid w:val="00BD6AAB"/>
    <w:rsid w:val="00BD6B08"/>
    <w:rsid w:val="00BD6E0B"/>
    <w:rsid w:val="00BD71DB"/>
    <w:rsid w:val="00BD754A"/>
    <w:rsid w:val="00BD757B"/>
    <w:rsid w:val="00BD7762"/>
    <w:rsid w:val="00BD782E"/>
    <w:rsid w:val="00BD796D"/>
    <w:rsid w:val="00BD7978"/>
    <w:rsid w:val="00BD79C5"/>
    <w:rsid w:val="00BD7E17"/>
    <w:rsid w:val="00BD7E77"/>
    <w:rsid w:val="00BD7EE1"/>
    <w:rsid w:val="00BE01E9"/>
    <w:rsid w:val="00BE030A"/>
    <w:rsid w:val="00BE0321"/>
    <w:rsid w:val="00BE04B2"/>
    <w:rsid w:val="00BE04F6"/>
    <w:rsid w:val="00BE0B40"/>
    <w:rsid w:val="00BE0B6F"/>
    <w:rsid w:val="00BE0BD8"/>
    <w:rsid w:val="00BE0C71"/>
    <w:rsid w:val="00BE0CD0"/>
    <w:rsid w:val="00BE0D2D"/>
    <w:rsid w:val="00BE0ED1"/>
    <w:rsid w:val="00BE1123"/>
    <w:rsid w:val="00BE11D0"/>
    <w:rsid w:val="00BE12A8"/>
    <w:rsid w:val="00BE12FD"/>
    <w:rsid w:val="00BE1497"/>
    <w:rsid w:val="00BE159A"/>
    <w:rsid w:val="00BE1684"/>
    <w:rsid w:val="00BE17FA"/>
    <w:rsid w:val="00BE2039"/>
    <w:rsid w:val="00BE2240"/>
    <w:rsid w:val="00BE2268"/>
    <w:rsid w:val="00BE22EE"/>
    <w:rsid w:val="00BE237B"/>
    <w:rsid w:val="00BE2412"/>
    <w:rsid w:val="00BE26E3"/>
    <w:rsid w:val="00BE2A38"/>
    <w:rsid w:val="00BE2A52"/>
    <w:rsid w:val="00BE2CE9"/>
    <w:rsid w:val="00BE2D33"/>
    <w:rsid w:val="00BE2D4B"/>
    <w:rsid w:val="00BE2ECB"/>
    <w:rsid w:val="00BE2F49"/>
    <w:rsid w:val="00BE2F93"/>
    <w:rsid w:val="00BE2FEC"/>
    <w:rsid w:val="00BE311A"/>
    <w:rsid w:val="00BE3191"/>
    <w:rsid w:val="00BE33A3"/>
    <w:rsid w:val="00BE340F"/>
    <w:rsid w:val="00BE358D"/>
    <w:rsid w:val="00BE370C"/>
    <w:rsid w:val="00BE37B8"/>
    <w:rsid w:val="00BE389D"/>
    <w:rsid w:val="00BE3969"/>
    <w:rsid w:val="00BE396A"/>
    <w:rsid w:val="00BE39C9"/>
    <w:rsid w:val="00BE3AFA"/>
    <w:rsid w:val="00BE3CA8"/>
    <w:rsid w:val="00BE3CE7"/>
    <w:rsid w:val="00BE3E2A"/>
    <w:rsid w:val="00BE3EFD"/>
    <w:rsid w:val="00BE3F96"/>
    <w:rsid w:val="00BE452C"/>
    <w:rsid w:val="00BE456D"/>
    <w:rsid w:val="00BE460E"/>
    <w:rsid w:val="00BE498D"/>
    <w:rsid w:val="00BE4E45"/>
    <w:rsid w:val="00BE4EE6"/>
    <w:rsid w:val="00BE4F1A"/>
    <w:rsid w:val="00BE4F43"/>
    <w:rsid w:val="00BE52B6"/>
    <w:rsid w:val="00BE53D9"/>
    <w:rsid w:val="00BE54E5"/>
    <w:rsid w:val="00BE5688"/>
    <w:rsid w:val="00BE57BD"/>
    <w:rsid w:val="00BE57EA"/>
    <w:rsid w:val="00BE5A01"/>
    <w:rsid w:val="00BE5A34"/>
    <w:rsid w:val="00BE5DB0"/>
    <w:rsid w:val="00BE6020"/>
    <w:rsid w:val="00BE623C"/>
    <w:rsid w:val="00BE6731"/>
    <w:rsid w:val="00BE6976"/>
    <w:rsid w:val="00BE69B7"/>
    <w:rsid w:val="00BE6B6B"/>
    <w:rsid w:val="00BE6C34"/>
    <w:rsid w:val="00BE6C9F"/>
    <w:rsid w:val="00BE6E70"/>
    <w:rsid w:val="00BE6EA5"/>
    <w:rsid w:val="00BE6FFA"/>
    <w:rsid w:val="00BE71D8"/>
    <w:rsid w:val="00BE7267"/>
    <w:rsid w:val="00BE7324"/>
    <w:rsid w:val="00BE7361"/>
    <w:rsid w:val="00BE7551"/>
    <w:rsid w:val="00BE75E9"/>
    <w:rsid w:val="00BE78A9"/>
    <w:rsid w:val="00BE7A1F"/>
    <w:rsid w:val="00BE7E0E"/>
    <w:rsid w:val="00BE7E4B"/>
    <w:rsid w:val="00BE9B29"/>
    <w:rsid w:val="00BF00A8"/>
    <w:rsid w:val="00BF04CE"/>
    <w:rsid w:val="00BF057F"/>
    <w:rsid w:val="00BF0868"/>
    <w:rsid w:val="00BF09E2"/>
    <w:rsid w:val="00BF09F1"/>
    <w:rsid w:val="00BF0FE0"/>
    <w:rsid w:val="00BF1080"/>
    <w:rsid w:val="00BF11AE"/>
    <w:rsid w:val="00BF145F"/>
    <w:rsid w:val="00BF1613"/>
    <w:rsid w:val="00BF1674"/>
    <w:rsid w:val="00BF192E"/>
    <w:rsid w:val="00BF1A7B"/>
    <w:rsid w:val="00BF1B5A"/>
    <w:rsid w:val="00BF1CD4"/>
    <w:rsid w:val="00BF1E4B"/>
    <w:rsid w:val="00BF1FAD"/>
    <w:rsid w:val="00BF20A6"/>
    <w:rsid w:val="00BF20D1"/>
    <w:rsid w:val="00BF2272"/>
    <w:rsid w:val="00BF2385"/>
    <w:rsid w:val="00BF25AE"/>
    <w:rsid w:val="00BF2ADB"/>
    <w:rsid w:val="00BF2BE4"/>
    <w:rsid w:val="00BF2C43"/>
    <w:rsid w:val="00BF2CB5"/>
    <w:rsid w:val="00BF2F4B"/>
    <w:rsid w:val="00BF2F54"/>
    <w:rsid w:val="00BF2FAC"/>
    <w:rsid w:val="00BF304B"/>
    <w:rsid w:val="00BF312B"/>
    <w:rsid w:val="00BF315F"/>
    <w:rsid w:val="00BF3220"/>
    <w:rsid w:val="00BF3351"/>
    <w:rsid w:val="00BF337E"/>
    <w:rsid w:val="00BF33F0"/>
    <w:rsid w:val="00BF3438"/>
    <w:rsid w:val="00BF344A"/>
    <w:rsid w:val="00BF34B3"/>
    <w:rsid w:val="00BF3542"/>
    <w:rsid w:val="00BF3897"/>
    <w:rsid w:val="00BF39FB"/>
    <w:rsid w:val="00BF3C82"/>
    <w:rsid w:val="00BF3D19"/>
    <w:rsid w:val="00BF3DD0"/>
    <w:rsid w:val="00BF3E6D"/>
    <w:rsid w:val="00BF3F32"/>
    <w:rsid w:val="00BF416B"/>
    <w:rsid w:val="00BF418A"/>
    <w:rsid w:val="00BF4393"/>
    <w:rsid w:val="00BF43EE"/>
    <w:rsid w:val="00BF4596"/>
    <w:rsid w:val="00BF46D6"/>
    <w:rsid w:val="00BF4710"/>
    <w:rsid w:val="00BF474E"/>
    <w:rsid w:val="00BF484B"/>
    <w:rsid w:val="00BF495F"/>
    <w:rsid w:val="00BF4D82"/>
    <w:rsid w:val="00BF5064"/>
    <w:rsid w:val="00BF51C2"/>
    <w:rsid w:val="00BF51F1"/>
    <w:rsid w:val="00BF5586"/>
    <w:rsid w:val="00BF59CF"/>
    <w:rsid w:val="00BF59D4"/>
    <w:rsid w:val="00BF59FE"/>
    <w:rsid w:val="00BF5DBB"/>
    <w:rsid w:val="00BF5EF3"/>
    <w:rsid w:val="00BF5EF9"/>
    <w:rsid w:val="00BF60EB"/>
    <w:rsid w:val="00BF6510"/>
    <w:rsid w:val="00BF655E"/>
    <w:rsid w:val="00BF6657"/>
    <w:rsid w:val="00BF6711"/>
    <w:rsid w:val="00BF6718"/>
    <w:rsid w:val="00BF6CD5"/>
    <w:rsid w:val="00BF764C"/>
    <w:rsid w:val="00BF76F3"/>
    <w:rsid w:val="00BF779A"/>
    <w:rsid w:val="00BF78BE"/>
    <w:rsid w:val="00BF7993"/>
    <w:rsid w:val="00BF7D16"/>
    <w:rsid w:val="00BF7F4C"/>
    <w:rsid w:val="00C004AF"/>
    <w:rsid w:val="00C00504"/>
    <w:rsid w:val="00C00586"/>
    <w:rsid w:val="00C008D7"/>
    <w:rsid w:val="00C00D8B"/>
    <w:rsid w:val="00C00E44"/>
    <w:rsid w:val="00C00F21"/>
    <w:rsid w:val="00C0124D"/>
    <w:rsid w:val="00C01294"/>
    <w:rsid w:val="00C012ED"/>
    <w:rsid w:val="00C012F1"/>
    <w:rsid w:val="00C01445"/>
    <w:rsid w:val="00C015A8"/>
    <w:rsid w:val="00C016B1"/>
    <w:rsid w:val="00C01775"/>
    <w:rsid w:val="00C01985"/>
    <w:rsid w:val="00C01A9A"/>
    <w:rsid w:val="00C01B82"/>
    <w:rsid w:val="00C01D59"/>
    <w:rsid w:val="00C01EFA"/>
    <w:rsid w:val="00C0209A"/>
    <w:rsid w:val="00C021DF"/>
    <w:rsid w:val="00C02317"/>
    <w:rsid w:val="00C023F5"/>
    <w:rsid w:val="00C02543"/>
    <w:rsid w:val="00C02646"/>
    <w:rsid w:val="00C02723"/>
    <w:rsid w:val="00C0280B"/>
    <w:rsid w:val="00C02868"/>
    <w:rsid w:val="00C02A1E"/>
    <w:rsid w:val="00C02AA4"/>
    <w:rsid w:val="00C02B83"/>
    <w:rsid w:val="00C02BA3"/>
    <w:rsid w:val="00C0318E"/>
    <w:rsid w:val="00C03431"/>
    <w:rsid w:val="00C034C8"/>
    <w:rsid w:val="00C03576"/>
    <w:rsid w:val="00C03BB9"/>
    <w:rsid w:val="00C03C49"/>
    <w:rsid w:val="00C03DAF"/>
    <w:rsid w:val="00C03E54"/>
    <w:rsid w:val="00C03FD5"/>
    <w:rsid w:val="00C04016"/>
    <w:rsid w:val="00C04372"/>
    <w:rsid w:val="00C044E0"/>
    <w:rsid w:val="00C04760"/>
    <w:rsid w:val="00C04AA6"/>
    <w:rsid w:val="00C04BAE"/>
    <w:rsid w:val="00C04DE0"/>
    <w:rsid w:val="00C050AF"/>
    <w:rsid w:val="00C0512B"/>
    <w:rsid w:val="00C0515E"/>
    <w:rsid w:val="00C054DA"/>
    <w:rsid w:val="00C0558C"/>
    <w:rsid w:val="00C055F6"/>
    <w:rsid w:val="00C05627"/>
    <w:rsid w:val="00C058AF"/>
    <w:rsid w:val="00C05AA2"/>
    <w:rsid w:val="00C05C67"/>
    <w:rsid w:val="00C05C86"/>
    <w:rsid w:val="00C05D8A"/>
    <w:rsid w:val="00C05F9E"/>
    <w:rsid w:val="00C05FB2"/>
    <w:rsid w:val="00C062C5"/>
    <w:rsid w:val="00C065F9"/>
    <w:rsid w:val="00C066B4"/>
    <w:rsid w:val="00C06779"/>
    <w:rsid w:val="00C06919"/>
    <w:rsid w:val="00C06956"/>
    <w:rsid w:val="00C06E78"/>
    <w:rsid w:val="00C06EB4"/>
    <w:rsid w:val="00C07013"/>
    <w:rsid w:val="00C0703A"/>
    <w:rsid w:val="00C0714B"/>
    <w:rsid w:val="00C07196"/>
    <w:rsid w:val="00C07216"/>
    <w:rsid w:val="00C0725F"/>
    <w:rsid w:val="00C073F0"/>
    <w:rsid w:val="00C073FC"/>
    <w:rsid w:val="00C07490"/>
    <w:rsid w:val="00C07718"/>
    <w:rsid w:val="00C07833"/>
    <w:rsid w:val="00C07889"/>
    <w:rsid w:val="00C07BB1"/>
    <w:rsid w:val="00C07E20"/>
    <w:rsid w:val="00C07F0D"/>
    <w:rsid w:val="00C101B2"/>
    <w:rsid w:val="00C10244"/>
    <w:rsid w:val="00C10434"/>
    <w:rsid w:val="00C1051D"/>
    <w:rsid w:val="00C10958"/>
    <w:rsid w:val="00C109B6"/>
    <w:rsid w:val="00C10D4F"/>
    <w:rsid w:val="00C10EBC"/>
    <w:rsid w:val="00C110D6"/>
    <w:rsid w:val="00C11215"/>
    <w:rsid w:val="00C112B7"/>
    <w:rsid w:val="00C114D4"/>
    <w:rsid w:val="00C115C2"/>
    <w:rsid w:val="00C11945"/>
    <w:rsid w:val="00C11A10"/>
    <w:rsid w:val="00C11B81"/>
    <w:rsid w:val="00C11BD8"/>
    <w:rsid w:val="00C11C62"/>
    <w:rsid w:val="00C11CEE"/>
    <w:rsid w:val="00C11EC1"/>
    <w:rsid w:val="00C11F18"/>
    <w:rsid w:val="00C11FA1"/>
    <w:rsid w:val="00C12033"/>
    <w:rsid w:val="00C12258"/>
    <w:rsid w:val="00C1239B"/>
    <w:rsid w:val="00C1293D"/>
    <w:rsid w:val="00C12AD4"/>
    <w:rsid w:val="00C12BFD"/>
    <w:rsid w:val="00C12C43"/>
    <w:rsid w:val="00C12C4F"/>
    <w:rsid w:val="00C12D86"/>
    <w:rsid w:val="00C12E6C"/>
    <w:rsid w:val="00C12F0B"/>
    <w:rsid w:val="00C12FFE"/>
    <w:rsid w:val="00C1300C"/>
    <w:rsid w:val="00C13046"/>
    <w:rsid w:val="00C131CE"/>
    <w:rsid w:val="00C131D2"/>
    <w:rsid w:val="00C13489"/>
    <w:rsid w:val="00C134F0"/>
    <w:rsid w:val="00C13522"/>
    <w:rsid w:val="00C136F7"/>
    <w:rsid w:val="00C13809"/>
    <w:rsid w:val="00C1395F"/>
    <w:rsid w:val="00C13AAD"/>
    <w:rsid w:val="00C13AD7"/>
    <w:rsid w:val="00C13C70"/>
    <w:rsid w:val="00C13D9C"/>
    <w:rsid w:val="00C13DF9"/>
    <w:rsid w:val="00C13E7B"/>
    <w:rsid w:val="00C14321"/>
    <w:rsid w:val="00C14439"/>
    <w:rsid w:val="00C14719"/>
    <w:rsid w:val="00C14849"/>
    <w:rsid w:val="00C14A0A"/>
    <w:rsid w:val="00C14AB2"/>
    <w:rsid w:val="00C14C6C"/>
    <w:rsid w:val="00C14D3D"/>
    <w:rsid w:val="00C15042"/>
    <w:rsid w:val="00C15072"/>
    <w:rsid w:val="00C1508D"/>
    <w:rsid w:val="00C15113"/>
    <w:rsid w:val="00C153A4"/>
    <w:rsid w:val="00C153B3"/>
    <w:rsid w:val="00C1567F"/>
    <w:rsid w:val="00C15714"/>
    <w:rsid w:val="00C15A8C"/>
    <w:rsid w:val="00C15AB3"/>
    <w:rsid w:val="00C15B24"/>
    <w:rsid w:val="00C15B66"/>
    <w:rsid w:val="00C15CE1"/>
    <w:rsid w:val="00C15D16"/>
    <w:rsid w:val="00C15DDB"/>
    <w:rsid w:val="00C15E1E"/>
    <w:rsid w:val="00C15E4B"/>
    <w:rsid w:val="00C15EF2"/>
    <w:rsid w:val="00C1615D"/>
    <w:rsid w:val="00C1618B"/>
    <w:rsid w:val="00C166C3"/>
    <w:rsid w:val="00C168C7"/>
    <w:rsid w:val="00C16CAC"/>
    <w:rsid w:val="00C16CDB"/>
    <w:rsid w:val="00C16F7E"/>
    <w:rsid w:val="00C170DC"/>
    <w:rsid w:val="00C17177"/>
    <w:rsid w:val="00C171F7"/>
    <w:rsid w:val="00C173B7"/>
    <w:rsid w:val="00C1742D"/>
    <w:rsid w:val="00C17523"/>
    <w:rsid w:val="00C17634"/>
    <w:rsid w:val="00C1767B"/>
    <w:rsid w:val="00C1771F"/>
    <w:rsid w:val="00C17772"/>
    <w:rsid w:val="00C17894"/>
    <w:rsid w:val="00C1C7D9"/>
    <w:rsid w:val="00C20032"/>
    <w:rsid w:val="00C2046C"/>
    <w:rsid w:val="00C2065C"/>
    <w:rsid w:val="00C206EF"/>
    <w:rsid w:val="00C20709"/>
    <w:rsid w:val="00C2094A"/>
    <w:rsid w:val="00C209FD"/>
    <w:rsid w:val="00C20A31"/>
    <w:rsid w:val="00C20B6C"/>
    <w:rsid w:val="00C20B89"/>
    <w:rsid w:val="00C20C80"/>
    <w:rsid w:val="00C20DE3"/>
    <w:rsid w:val="00C20FA2"/>
    <w:rsid w:val="00C2116D"/>
    <w:rsid w:val="00C2120D"/>
    <w:rsid w:val="00C212D4"/>
    <w:rsid w:val="00C214C7"/>
    <w:rsid w:val="00C21578"/>
    <w:rsid w:val="00C217A0"/>
    <w:rsid w:val="00C21875"/>
    <w:rsid w:val="00C2189F"/>
    <w:rsid w:val="00C219C9"/>
    <w:rsid w:val="00C21B61"/>
    <w:rsid w:val="00C21B64"/>
    <w:rsid w:val="00C21B98"/>
    <w:rsid w:val="00C21BC1"/>
    <w:rsid w:val="00C21C09"/>
    <w:rsid w:val="00C21C24"/>
    <w:rsid w:val="00C21FE4"/>
    <w:rsid w:val="00C220C8"/>
    <w:rsid w:val="00C22398"/>
    <w:rsid w:val="00C2259F"/>
    <w:rsid w:val="00C225EC"/>
    <w:rsid w:val="00C225FA"/>
    <w:rsid w:val="00C22630"/>
    <w:rsid w:val="00C2283D"/>
    <w:rsid w:val="00C228B1"/>
    <w:rsid w:val="00C229EE"/>
    <w:rsid w:val="00C22A25"/>
    <w:rsid w:val="00C22B68"/>
    <w:rsid w:val="00C22BF2"/>
    <w:rsid w:val="00C22C97"/>
    <w:rsid w:val="00C22FA3"/>
    <w:rsid w:val="00C23224"/>
    <w:rsid w:val="00C2360E"/>
    <w:rsid w:val="00C237D9"/>
    <w:rsid w:val="00C23A35"/>
    <w:rsid w:val="00C23DB3"/>
    <w:rsid w:val="00C23DF7"/>
    <w:rsid w:val="00C23E73"/>
    <w:rsid w:val="00C24134"/>
    <w:rsid w:val="00C24254"/>
    <w:rsid w:val="00C242D4"/>
    <w:rsid w:val="00C247E5"/>
    <w:rsid w:val="00C2493F"/>
    <w:rsid w:val="00C24953"/>
    <w:rsid w:val="00C24AED"/>
    <w:rsid w:val="00C24B8F"/>
    <w:rsid w:val="00C24C08"/>
    <w:rsid w:val="00C24D79"/>
    <w:rsid w:val="00C24D9A"/>
    <w:rsid w:val="00C24E05"/>
    <w:rsid w:val="00C24ECD"/>
    <w:rsid w:val="00C24F03"/>
    <w:rsid w:val="00C24FC9"/>
    <w:rsid w:val="00C250EC"/>
    <w:rsid w:val="00C252B6"/>
    <w:rsid w:val="00C25511"/>
    <w:rsid w:val="00C25591"/>
    <w:rsid w:val="00C2559B"/>
    <w:rsid w:val="00C25843"/>
    <w:rsid w:val="00C258B1"/>
    <w:rsid w:val="00C25AB6"/>
    <w:rsid w:val="00C25D48"/>
    <w:rsid w:val="00C25E92"/>
    <w:rsid w:val="00C25F4E"/>
    <w:rsid w:val="00C26005"/>
    <w:rsid w:val="00C26150"/>
    <w:rsid w:val="00C262E1"/>
    <w:rsid w:val="00C268EB"/>
    <w:rsid w:val="00C269AA"/>
    <w:rsid w:val="00C269AD"/>
    <w:rsid w:val="00C26A4B"/>
    <w:rsid w:val="00C26B27"/>
    <w:rsid w:val="00C26BE1"/>
    <w:rsid w:val="00C26DE6"/>
    <w:rsid w:val="00C2736A"/>
    <w:rsid w:val="00C2744E"/>
    <w:rsid w:val="00C27750"/>
    <w:rsid w:val="00C27882"/>
    <w:rsid w:val="00C2798D"/>
    <w:rsid w:val="00C2799B"/>
    <w:rsid w:val="00C27D00"/>
    <w:rsid w:val="00C27DCF"/>
    <w:rsid w:val="00C2D748"/>
    <w:rsid w:val="00C301D8"/>
    <w:rsid w:val="00C30367"/>
    <w:rsid w:val="00C303D9"/>
    <w:rsid w:val="00C30791"/>
    <w:rsid w:val="00C308FE"/>
    <w:rsid w:val="00C309ED"/>
    <w:rsid w:val="00C309FD"/>
    <w:rsid w:val="00C30A38"/>
    <w:rsid w:val="00C30D05"/>
    <w:rsid w:val="00C30E8D"/>
    <w:rsid w:val="00C310BC"/>
    <w:rsid w:val="00C310DD"/>
    <w:rsid w:val="00C3115D"/>
    <w:rsid w:val="00C311BB"/>
    <w:rsid w:val="00C3132F"/>
    <w:rsid w:val="00C315F5"/>
    <w:rsid w:val="00C316B5"/>
    <w:rsid w:val="00C3170F"/>
    <w:rsid w:val="00C31939"/>
    <w:rsid w:val="00C31ACD"/>
    <w:rsid w:val="00C31E6F"/>
    <w:rsid w:val="00C31F41"/>
    <w:rsid w:val="00C321F0"/>
    <w:rsid w:val="00C32317"/>
    <w:rsid w:val="00C32466"/>
    <w:rsid w:val="00C324D1"/>
    <w:rsid w:val="00C3254F"/>
    <w:rsid w:val="00C32561"/>
    <w:rsid w:val="00C3256C"/>
    <w:rsid w:val="00C3266E"/>
    <w:rsid w:val="00C32924"/>
    <w:rsid w:val="00C32B28"/>
    <w:rsid w:val="00C32D04"/>
    <w:rsid w:val="00C32DFE"/>
    <w:rsid w:val="00C32F06"/>
    <w:rsid w:val="00C33186"/>
    <w:rsid w:val="00C33369"/>
    <w:rsid w:val="00C335BD"/>
    <w:rsid w:val="00C335D0"/>
    <w:rsid w:val="00C33745"/>
    <w:rsid w:val="00C33784"/>
    <w:rsid w:val="00C33804"/>
    <w:rsid w:val="00C33A67"/>
    <w:rsid w:val="00C33BBD"/>
    <w:rsid w:val="00C33D32"/>
    <w:rsid w:val="00C33E73"/>
    <w:rsid w:val="00C33F67"/>
    <w:rsid w:val="00C3400F"/>
    <w:rsid w:val="00C341DD"/>
    <w:rsid w:val="00C34249"/>
    <w:rsid w:val="00C34308"/>
    <w:rsid w:val="00C34396"/>
    <w:rsid w:val="00C343AC"/>
    <w:rsid w:val="00C343FB"/>
    <w:rsid w:val="00C34421"/>
    <w:rsid w:val="00C34442"/>
    <w:rsid w:val="00C34709"/>
    <w:rsid w:val="00C34852"/>
    <w:rsid w:val="00C3492D"/>
    <w:rsid w:val="00C34A21"/>
    <w:rsid w:val="00C34AB2"/>
    <w:rsid w:val="00C34AB5"/>
    <w:rsid w:val="00C34B6B"/>
    <w:rsid w:val="00C34C09"/>
    <w:rsid w:val="00C34C5F"/>
    <w:rsid w:val="00C34C6E"/>
    <w:rsid w:val="00C34F5E"/>
    <w:rsid w:val="00C34F92"/>
    <w:rsid w:val="00C35445"/>
    <w:rsid w:val="00C35741"/>
    <w:rsid w:val="00C35743"/>
    <w:rsid w:val="00C35844"/>
    <w:rsid w:val="00C35AE7"/>
    <w:rsid w:val="00C35AEF"/>
    <w:rsid w:val="00C35C6A"/>
    <w:rsid w:val="00C35C80"/>
    <w:rsid w:val="00C35C8A"/>
    <w:rsid w:val="00C35D7C"/>
    <w:rsid w:val="00C35DA6"/>
    <w:rsid w:val="00C35F30"/>
    <w:rsid w:val="00C35F56"/>
    <w:rsid w:val="00C36633"/>
    <w:rsid w:val="00C36925"/>
    <w:rsid w:val="00C36A1B"/>
    <w:rsid w:val="00C36A58"/>
    <w:rsid w:val="00C36AA8"/>
    <w:rsid w:val="00C36B76"/>
    <w:rsid w:val="00C36F70"/>
    <w:rsid w:val="00C37204"/>
    <w:rsid w:val="00C372EF"/>
    <w:rsid w:val="00C3773B"/>
    <w:rsid w:val="00C378B1"/>
    <w:rsid w:val="00C37A5F"/>
    <w:rsid w:val="00C37C73"/>
    <w:rsid w:val="00C4001F"/>
    <w:rsid w:val="00C4003E"/>
    <w:rsid w:val="00C4008F"/>
    <w:rsid w:val="00C4018A"/>
    <w:rsid w:val="00C404B4"/>
    <w:rsid w:val="00C40534"/>
    <w:rsid w:val="00C40912"/>
    <w:rsid w:val="00C40935"/>
    <w:rsid w:val="00C40BA3"/>
    <w:rsid w:val="00C40C42"/>
    <w:rsid w:val="00C40D1C"/>
    <w:rsid w:val="00C40F3A"/>
    <w:rsid w:val="00C41139"/>
    <w:rsid w:val="00C413D5"/>
    <w:rsid w:val="00C41504"/>
    <w:rsid w:val="00C4187E"/>
    <w:rsid w:val="00C41C07"/>
    <w:rsid w:val="00C41C8A"/>
    <w:rsid w:val="00C41E8F"/>
    <w:rsid w:val="00C420E2"/>
    <w:rsid w:val="00C42185"/>
    <w:rsid w:val="00C42473"/>
    <w:rsid w:val="00C424C6"/>
    <w:rsid w:val="00C424FE"/>
    <w:rsid w:val="00C4251B"/>
    <w:rsid w:val="00C42558"/>
    <w:rsid w:val="00C42587"/>
    <w:rsid w:val="00C42606"/>
    <w:rsid w:val="00C42B27"/>
    <w:rsid w:val="00C42C2C"/>
    <w:rsid w:val="00C42C42"/>
    <w:rsid w:val="00C42C7D"/>
    <w:rsid w:val="00C42EA8"/>
    <w:rsid w:val="00C42FB3"/>
    <w:rsid w:val="00C43041"/>
    <w:rsid w:val="00C430B8"/>
    <w:rsid w:val="00C43106"/>
    <w:rsid w:val="00C43167"/>
    <w:rsid w:val="00C43385"/>
    <w:rsid w:val="00C434AE"/>
    <w:rsid w:val="00C435A9"/>
    <w:rsid w:val="00C43653"/>
    <w:rsid w:val="00C43769"/>
    <w:rsid w:val="00C438B3"/>
    <w:rsid w:val="00C43A8C"/>
    <w:rsid w:val="00C43CFA"/>
    <w:rsid w:val="00C43DAB"/>
    <w:rsid w:val="00C43E03"/>
    <w:rsid w:val="00C44396"/>
    <w:rsid w:val="00C4442B"/>
    <w:rsid w:val="00C444E2"/>
    <w:rsid w:val="00C44763"/>
    <w:rsid w:val="00C447CD"/>
    <w:rsid w:val="00C4487F"/>
    <w:rsid w:val="00C44B79"/>
    <w:rsid w:val="00C44BAD"/>
    <w:rsid w:val="00C44BE3"/>
    <w:rsid w:val="00C44DC4"/>
    <w:rsid w:val="00C44DF6"/>
    <w:rsid w:val="00C4518A"/>
    <w:rsid w:val="00C453EB"/>
    <w:rsid w:val="00C45540"/>
    <w:rsid w:val="00C455E8"/>
    <w:rsid w:val="00C45683"/>
    <w:rsid w:val="00C456DF"/>
    <w:rsid w:val="00C457B2"/>
    <w:rsid w:val="00C4582D"/>
    <w:rsid w:val="00C458E2"/>
    <w:rsid w:val="00C45B2D"/>
    <w:rsid w:val="00C45BEA"/>
    <w:rsid w:val="00C45BF3"/>
    <w:rsid w:val="00C45C0C"/>
    <w:rsid w:val="00C45CF8"/>
    <w:rsid w:val="00C46049"/>
    <w:rsid w:val="00C461CF"/>
    <w:rsid w:val="00C461E3"/>
    <w:rsid w:val="00C46289"/>
    <w:rsid w:val="00C46469"/>
    <w:rsid w:val="00C4656D"/>
    <w:rsid w:val="00C468A1"/>
    <w:rsid w:val="00C46C4C"/>
    <w:rsid w:val="00C46CA9"/>
    <w:rsid w:val="00C46D04"/>
    <w:rsid w:val="00C46F4F"/>
    <w:rsid w:val="00C47297"/>
    <w:rsid w:val="00C4736C"/>
    <w:rsid w:val="00C47489"/>
    <w:rsid w:val="00C47648"/>
    <w:rsid w:val="00C4785B"/>
    <w:rsid w:val="00C478E2"/>
    <w:rsid w:val="00C479F4"/>
    <w:rsid w:val="00C47C8C"/>
    <w:rsid w:val="00C47DE7"/>
    <w:rsid w:val="00C47E16"/>
    <w:rsid w:val="00C500E0"/>
    <w:rsid w:val="00C5024E"/>
    <w:rsid w:val="00C503C6"/>
    <w:rsid w:val="00C5054F"/>
    <w:rsid w:val="00C505E3"/>
    <w:rsid w:val="00C5064B"/>
    <w:rsid w:val="00C5078E"/>
    <w:rsid w:val="00C50847"/>
    <w:rsid w:val="00C50898"/>
    <w:rsid w:val="00C50E4F"/>
    <w:rsid w:val="00C51301"/>
    <w:rsid w:val="00C513CC"/>
    <w:rsid w:val="00C51625"/>
    <w:rsid w:val="00C51860"/>
    <w:rsid w:val="00C51DB9"/>
    <w:rsid w:val="00C51FF1"/>
    <w:rsid w:val="00C522F3"/>
    <w:rsid w:val="00C52301"/>
    <w:rsid w:val="00C524CD"/>
    <w:rsid w:val="00C524E8"/>
    <w:rsid w:val="00C525F6"/>
    <w:rsid w:val="00C52796"/>
    <w:rsid w:val="00C52835"/>
    <w:rsid w:val="00C5284B"/>
    <w:rsid w:val="00C529B2"/>
    <w:rsid w:val="00C529FF"/>
    <w:rsid w:val="00C52A6E"/>
    <w:rsid w:val="00C52E2F"/>
    <w:rsid w:val="00C52ED9"/>
    <w:rsid w:val="00C52EE3"/>
    <w:rsid w:val="00C5303E"/>
    <w:rsid w:val="00C530AA"/>
    <w:rsid w:val="00C53122"/>
    <w:rsid w:val="00C5324D"/>
    <w:rsid w:val="00C534AA"/>
    <w:rsid w:val="00C5377F"/>
    <w:rsid w:val="00C537CF"/>
    <w:rsid w:val="00C53896"/>
    <w:rsid w:val="00C539F4"/>
    <w:rsid w:val="00C53B1B"/>
    <w:rsid w:val="00C53B4D"/>
    <w:rsid w:val="00C53B63"/>
    <w:rsid w:val="00C53B6D"/>
    <w:rsid w:val="00C53CF9"/>
    <w:rsid w:val="00C53E1B"/>
    <w:rsid w:val="00C53F59"/>
    <w:rsid w:val="00C53F70"/>
    <w:rsid w:val="00C54041"/>
    <w:rsid w:val="00C5423A"/>
    <w:rsid w:val="00C5426B"/>
    <w:rsid w:val="00C5438D"/>
    <w:rsid w:val="00C54442"/>
    <w:rsid w:val="00C5453F"/>
    <w:rsid w:val="00C54553"/>
    <w:rsid w:val="00C54605"/>
    <w:rsid w:val="00C5466C"/>
    <w:rsid w:val="00C54907"/>
    <w:rsid w:val="00C54923"/>
    <w:rsid w:val="00C54955"/>
    <w:rsid w:val="00C54B75"/>
    <w:rsid w:val="00C54B9D"/>
    <w:rsid w:val="00C54D02"/>
    <w:rsid w:val="00C54E86"/>
    <w:rsid w:val="00C550F8"/>
    <w:rsid w:val="00C55124"/>
    <w:rsid w:val="00C55488"/>
    <w:rsid w:val="00C555A9"/>
    <w:rsid w:val="00C556CF"/>
    <w:rsid w:val="00C5576A"/>
    <w:rsid w:val="00C557DC"/>
    <w:rsid w:val="00C558EF"/>
    <w:rsid w:val="00C558F4"/>
    <w:rsid w:val="00C55B0D"/>
    <w:rsid w:val="00C55B60"/>
    <w:rsid w:val="00C55C24"/>
    <w:rsid w:val="00C55E70"/>
    <w:rsid w:val="00C561A1"/>
    <w:rsid w:val="00C5622C"/>
    <w:rsid w:val="00C56311"/>
    <w:rsid w:val="00C563B1"/>
    <w:rsid w:val="00C56525"/>
    <w:rsid w:val="00C56685"/>
    <w:rsid w:val="00C56804"/>
    <w:rsid w:val="00C569A0"/>
    <w:rsid w:val="00C56A6E"/>
    <w:rsid w:val="00C56A8E"/>
    <w:rsid w:val="00C56AAD"/>
    <w:rsid w:val="00C56C23"/>
    <w:rsid w:val="00C56CD8"/>
    <w:rsid w:val="00C56EC5"/>
    <w:rsid w:val="00C57093"/>
    <w:rsid w:val="00C5745D"/>
    <w:rsid w:val="00C575B2"/>
    <w:rsid w:val="00C575DC"/>
    <w:rsid w:val="00C578AE"/>
    <w:rsid w:val="00C578D8"/>
    <w:rsid w:val="00C57A25"/>
    <w:rsid w:val="00C57A8F"/>
    <w:rsid w:val="00C57B57"/>
    <w:rsid w:val="00C57F88"/>
    <w:rsid w:val="00C60214"/>
    <w:rsid w:val="00C60334"/>
    <w:rsid w:val="00C60651"/>
    <w:rsid w:val="00C607B1"/>
    <w:rsid w:val="00C6086A"/>
    <w:rsid w:val="00C60980"/>
    <w:rsid w:val="00C60B8F"/>
    <w:rsid w:val="00C60BB7"/>
    <w:rsid w:val="00C60E3C"/>
    <w:rsid w:val="00C61014"/>
    <w:rsid w:val="00C611A6"/>
    <w:rsid w:val="00C6130F"/>
    <w:rsid w:val="00C6133C"/>
    <w:rsid w:val="00C613A1"/>
    <w:rsid w:val="00C618B0"/>
    <w:rsid w:val="00C61986"/>
    <w:rsid w:val="00C61A27"/>
    <w:rsid w:val="00C61B04"/>
    <w:rsid w:val="00C61B1C"/>
    <w:rsid w:val="00C61C26"/>
    <w:rsid w:val="00C61D50"/>
    <w:rsid w:val="00C61E39"/>
    <w:rsid w:val="00C61F21"/>
    <w:rsid w:val="00C6204C"/>
    <w:rsid w:val="00C62224"/>
    <w:rsid w:val="00C6234B"/>
    <w:rsid w:val="00C623F4"/>
    <w:rsid w:val="00C6253C"/>
    <w:rsid w:val="00C626B3"/>
    <w:rsid w:val="00C6284B"/>
    <w:rsid w:val="00C628C0"/>
    <w:rsid w:val="00C62F88"/>
    <w:rsid w:val="00C63058"/>
    <w:rsid w:val="00C63294"/>
    <w:rsid w:val="00C6345E"/>
    <w:rsid w:val="00C635C4"/>
    <w:rsid w:val="00C638A8"/>
    <w:rsid w:val="00C63913"/>
    <w:rsid w:val="00C63B65"/>
    <w:rsid w:val="00C63C0E"/>
    <w:rsid w:val="00C63DC5"/>
    <w:rsid w:val="00C63F8E"/>
    <w:rsid w:val="00C640D7"/>
    <w:rsid w:val="00C64119"/>
    <w:rsid w:val="00C645CC"/>
    <w:rsid w:val="00C64708"/>
    <w:rsid w:val="00C647B6"/>
    <w:rsid w:val="00C648C4"/>
    <w:rsid w:val="00C6490C"/>
    <w:rsid w:val="00C6499D"/>
    <w:rsid w:val="00C64AA8"/>
    <w:rsid w:val="00C64E05"/>
    <w:rsid w:val="00C653A6"/>
    <w:rsid w:val="00C65556"/>
    <w:rsid w:val="00C65671"/>
    <w:rsid w:val="00C656E2"/>
    <w:rsid w:val="00C6583E"/>
    <w:rsid w:val="00C65863"/>
    <w:rsid w:val="00C659B9"/>
    <w:rsid w:val="00C65ADB"/>
    <w:rsid w:val="00C65B32"/>
    <w:rsid w:val="00C65B35"/>
    <w:rsid w:val="00C65CFD"/>
    <w:rsid w:val="00C65D25"/>
    <w:rsid w:val="00C65E5F"/>
    <w:rsid w:val="00C65ED1"/>
    <w:rsid w:val="00C66114"/>
    <w:rsid w:val="00C66253"/>
    <w:rsid w:val="00C6631B"/>
    <w:rsid w:val="00C6637C"/>
    <w:rsid w:val="00C6643F"/>
    <w:rsid w:val="00C664BE"/>
    <w:rsid w:val="00C66568"/>
    <w:rsid w:val="00C666A7"/>
    <w:rsid w:val="00C6671D"/>
    <w:rsid w:val="00C6675B"/>
    <w:rsid w:val="00C66813"/>
    <w:rsid w:val="00C66A70"/>
    <w:rsid w:val="00C66F89"/>
    <w:rsid w:val="00C67106"/>
    <w:rsid w:val="00C6722F"/>
    <w:rsid w:val="00C67336"/>
    <w:rsid w:val="00C67338"/>
    <w:rsid w:val="00C67620"/>
    <w:rsid w:val="00C67621"/>
    <w:rsid w:val="00C67942"/>
    <w:rsid w:val="00C67E57"/>
    <w:rsid w:val="00C67E8B"/>
    <w:rsid w:val="00C6BFE0"/>
    <w:rsid w:val="00C702CA"/>
    <w:rsid w:val="00C703BB"/>
    <w:rsid w:val="00C703C6"/>
    <w:rsid w:val="00C70457"/>
    <w:rsid w:val="00C704D3"/>
    <w:rsid w:val="00C70540"/>
    <w:rsid w:val="00C706FA"/>
    <w:rsid w:val="00C70885"/>
    <w:rsid w:val="00C70C4A"/>
    <w:rsid w:val="00C70C64"/>
    <w:rsid w:val="00C70CCB"/>
    <w:rsid w:val="00C70DEB"/>
    <w:rsid w:val="00C70F87"/>
    <w:rsid w:val="00C711A5"/>
    <w:rsid w:val="00C71367"/>
    <w:rsid w:val="00C713AD"/>
    <w:rsid w:val="00C7143D"/>
    <w:rsid w:val="00C71725"/>
    <w:rsid w:val="00C717FC"/>
    <w:rsid w:val="00C71D10"/>
    <w:rsid w:val="00C71DA6"/>
    <w:rsid w:val="00C71E5D"/>
    <w:rsid w:val="00C72056"/>
    <w:rsid w:val="00C72377"/>
    <w:rsid w:val="00C724C1"/>
    <w:rsid w:val="00C72610"/>
    <w:rsid w:val="00C72AB8"/>
    <w:rsid w:val="00C72BC3"/>
    <w:rsid w:val="00C72CDE"/>
    <w:rsid w:val="00C73108"/>
    <w:rsid w:val="00C734A3"/>
    <w:rsid w:val="00C73550"/>
    <w:rsid w:val="00C73730"/>
    <w:rsid w:val="00C73793"/>
    <w:rsid w:val="00C73CC9"/>
    <w:rsid w:val="00C73D26"/>
    <w:rsid w:val="00C73D5A"/>
    <w:rsid w:val="00C73DDF"/>
    <w:rsid w:val="00C73EA1"/>
    <w:rsid w:val="00C73EA5"/>
    <w:rsid w:val="00C73F9D"/>
    <w:rsid w:val="00C73FCA"/>
    <w:rsid w:val="00C741FC"/>
    <w:rsid w:val="00C743A6"/>
    <w:rsid w:val="00C74438"/>
    <w:rsid w:val="00C744A1"/>
    <w:rsid w:val="00C745AE"/>
    <w:rsid w:val="00C74720"/>
    <w:rsid w:val="00C748CD"/>
    <w:rsid w:val="00C748D3"/>
    <w:rsid w:val="00C748DC"/>
    <w:rsid w:val="00C74934"/>
    <w:rsid w:val="00C74BD6"/>
    <w:rsid w:val="00C74C08"/>
    <w:rsid w:val="00C74C84"/>
    <w:rsid w:val="00C74D1F"/>
    <w:rsid w:val="00C74D97"/>
    <w:rsid w:val="00C74E5B"/>
    <w:rsid w:val="00C7504B"/>
    <w:rsid w:val="00C7504C"/>
    <w:rsid w:val="00C75445"/>
    <w:rsid w:val="00C754DF"/>
    <w:rsid w:val="00C755CF"/>
    <w:rsid w:val="00C75640"/>
    <w:rsid w:val="00C756F2"/>
    <w:rsid w:val="00C75760"/>
    <w:rsid w:val="00C75A85"/>
    <w:rsid w:val="00C75ACF"/>
    <w:rsid w:val="00C75B30"/>
    <w:rsid w:val="00C75CB8"/>
    <w:rsid w:val="00C75ECE"/>
    <w:rsid w:val="00C76189"/>
    <w:rsid w:val="00C76192"/>
    <w:rsid w:val="00C761D0"/>
    <w:rsid w:val="00C7629A"/>
    <w:rsid w:val="00C76424"/>
    <w:rsid w:val="00C76467"/>
    <w:rsid w:val="00C766D5"/>
    <w:rsid w:val="00C76CC3"/>
    <w:rsid w:val="00C76D9E"/>
    <w:rsid w:val="00C7711C"/>
    <w:rsid w:val="00C77163"/>
    <w:rsid w:val="00C7754A"/>
    <w:rsid w:val="00C775C4"/>
    <w:rsid w:val="00C775FD"/>
    <w:rsid w:val="00C77730"/>
    <w:rsid w:val="00C77787"/>
    <w:rsid w:val="00C77831"/>
    <w:rsid w:val="00C8013D"/>
    <w:rsid w:val="00C80416"/>
    <w:rsid w:val="00C8043C"/>
    <w:rsid w:val="00C805A8"/>
    <w:rsid w:val="00C80678"/>
    <w:rsid w:val="00C807C5"/>
    <w:rsid w:val="00C80995"/>
    <w:rsid w:val="00C80B03"/>
    <w:rsid w:val="00C80B73"/>
    <w:rsid w:val="00C80C9E"/>
    <w:rsid w:val="00C80E99"/>
    <w:rsid w:val="00C810B9"/>
    <w:rsid w:val="00C81170"/>
    <w:rsid w:val="00C81324"/>
    <w:rsid w:val="00C813F1"/>
    <w:rsid w:val="00C81562"/>
    <w:rsid w:val="00C81A13"/>
    <w:rsid w:val="00C8210E"/>
    <w:rsid w:val="00C82209"/>
    <w:rsid w:val="00C822B4"/>
    <w:rsid w:val="00C8239A"/>
    <w:rsid w:val="00C823BB"/>
    <w:rsid w:val="00C8251C"/>
    <w:rsid w:val="00C82526"/>
    <w:rsid w:val="00C82732"/>
    <w:rsid w:val="00C828E3"/>
    <w:rsid w:val="00C82C08"/>
    <w:rsid w:val="00C82C87"/>
    <w:rsid w:val="00C82CF0"/>
    <w:rsid w:val="00C82D03"/>
    <w:rsid w:val="00C8327B"/>
    <w:rsid w:val="00C8348A"/>
    <w:rsid w:val="00C83572"/>
    <w:rsid w:val="00C83573"/>
    <w:rsid w:val="00C836F6"/>
    <w:rsid w:val="00C83736"/>
    <w:rsid w:val="00C8379C"/>
    <w:rsid w:val="00C83A02"/>
    <w:rsid w:val="00C83A4E"/>
    <w:rsid w:val="00C83A8B"/>
    <w:rsid w:val="00C83B3C"/>
    <w:rsid w:val="00C83B76"/>
    <w:rsid w:val="00C83C4F"/>
    <w:rsid w:val="00C83DCF"/>
    <w:rsid w:val="00C840F9"/>
    <w:rsid w:val="00C841DB"/>
    <w:rsid w:val="00C8421A"/>
    <w:rsid w:val="00C8443B"/>
    <w:rsid w:val="00C84698"/>
    <w:rsid w:val="00C8473E"/>
    <w:rsid w:val="00C84882"/>
    <w:rsid w:val="00C84AB7"/>
    <w:rsid w:val="00C84C6F"/>
    <w:rsid w:val="00C850B2"/>
    <w:rsid w:val="00C85264"/>
    <w:rsid w:val="00C85367"/>
    <w:rsid w:val="00C853AB"/>
    <w:rsid w:val="00C85621"/>
    <w:rsid w:val="00C85782"/>
    <w:rsid w:val="00C859D5"/>
    <w:rsid w:val="00C85DD3"/>
    <w:rsid w:val="00C85E0B"/>
    <w:rsid w:val="00C85E87"/>
    <w:rsid w:val="00C85ED6"/>
    <w:rsid w:val="00C85FF5"/>
    <w:rsid w:val="00C86006"/>
    <w:rsid w:val="00C8608D"/>
    <w:rsid w:val="00C861CA"/>
    <w:rsid w:val="00C86222"/>
    <w:rsid w:val="00C86346"/>
    <w:rsid w:val="00C864A1"/>
    <w:rsid w:val="00C867F3"/>
    <w:rsid w:val="00C868BA"/>
    <w:rsid w:val="00C868F5"/>
    <w:rsid w:val="00C86997"/>
    <w:rsid w:val="00C869C5"/>
    <w:rsid w:val="00C86A66"/>
    <w:rsid w:val="00C86AFE"/>
    <w:rsid w:val="00C86CAF"/>
    <w:rsid w:val="00C86CB0"/>
    <w:rsid w:val="00C86F54"/>
    <w:rsid w:val="00C870DA"/>
    <w:rsid w:val="00C872E5"/>
    <w:rsid w:val="00C87356"/>
    <w:rsid w:val="00C873EB"/>
    <w:rsid w:val="00C874EB"/>
    <w:rsid w:val="00C876D6"/>
    <w:rsid w:val="00C87732"/>
    <w:rsid w:val="00C87799"/>
    <w:rsid w:val="00C87812"/>
    <w:rsid w:val="00C87C45"/>
    <w:rsid w:val="00C87C57"/>
    <w:rsid w:val="00C87D9B"/>
    <w:rsid w:val="00C87DF4"/>
    <w:rsid w:val="00C9011F"/>
    <w:rsid w:val="00C9030A"/>
    <w:rsid w:val="00C906F6"/>
    <w:rsid w:val="00C90A2F"/>
    <w:rsid w:val="00C90ACE"/>
    <w:rsid w:val="00C90BB5"/>
    <w:rsid w:val="00C90DFA"/>
    <w:rsid w:val="00C90E02"/>
    <w:rsid w:val="00C911AA"/>
    <w:rsid w:val="00C91340"/>
    <w:rsid w:val="00C917A9"/>
    <w:rsid w:val="00C917E0"/>
    <w:rsid w:val="00C919EE"/>
    <w:rsid w:val="00C91B3A"/>
    <w:rsid w:val="00C91B90"/>
    <w:rsid w:val="00C91F2D"/>
    <w:rsid w:val="00C9211F"/>
    <w:rsid w:val="00C92187"/>
    <w:rsid w:val="00C921AA"/>
    <w:rsid w:val="00C921B5"/>
    <w:rsid w:val="00C921E0"/>
    <w:rsid w:val="00C92200"/>
    <w:rsid w:val="00C92216"/>
    <w:rsid w:val="00C922BF"/>
    <w:rsid w:val="00C92517"/>
    <w:rsid w:val="00C92518"/>
    <w:rsid w:val="00C9264C"/>
    <w:rsid w:val="00C92669"/>
    <w:rsid w:val="00C92756"/>
    <w:rsid w:val="00C9309E"/>
    <w:rsid w:val="00C930B6"/>
    <w:rsid w:val="00C930C5"/>
    <w:rsid w:val="00C930D5"/>
    <w:rsid w:val="00C93190"/>
    <w:rsid w:val="00C931A3"/>
    <w:rsid w:val="00C938B7"/>
    <w:rsid w:val="00C93940"/>
    <w:rsid w:val="00C93A5F"/>
    <w:rsid w:val="00C93AC3"/>
    <w:rsid w:val="00C93ADC"/>
    <w:rsid w:val="00C93CE9"/>
    <w:rsid w:val="00C93D02"/>
    <w:rsid w:val="00C94006"/>
    <w:rsid w:val="00C942E0"/>
    <w:rsid w:val="00C9431D"/>
    <w:rsid w:val="00C943A5"/>
    <w:rsid w:val="00C94492"/>
    <w:rsid w:val="00C944BF"/>
    <w:rsid w:val="00C944FC"/>
    <w:rsid w:val="00C94621"/>
    <w:rsid w:val="00C94634"/>
    <w:rsid w:val="00C94679"/>
    <w:rsid w:val="00C946CB"/>
    <w:rsid w:val="00C94921"/>
    <w:rsid w:val="00C94A30"/>
    <w:rsid w:val="00C94A4D"/>
    <w:rsid w:val="00C94BC4"/>
    <w:rsid w:val="00C94CB7"/>
    <w:rsid w:val="00C94CCC"/>
    <w:rsid w:val="00C94EF7"/>
    <w:rsid w:val="00C94EF8"/>
    <w:rsid w:val="00C94F74"/>
    <w:rsid w:val="00C94FFF"/>
    <w:rsid w:val="00C951FD"/>
    <w:rsid w:val="00C9544E"/>
    <w:rsid w:val="00C95555"/>
    <w:rsid w:val="00C95641"/>
    <w:rsid w:val="00C95803"/>
    <w:rsid w:val="00C9580A"/>
    <w:rsid w:val="00C95828"/>
    <w:rsid w:val="00C95983"/>
    <w:rsid w:val="00C95ACF"/>
    <w:rsid w:val="00C95BB2"/>
    <w:rsid w:val="00C95CA5"/>
    <w:rsid w:val="00C95E3D"/>
    <w:rsid w:val="00C96063"/>
    <w:rsid w:val="00C960EE"/>
    <w:rsid w:val="00C9611B"/>
    <w:rsid w:val="00C9645B"/>
    <w:rsid w:val="00C9679D"/>
    <w:rsid w:val="00C96B50"/>
    <w:rsid w:val="00C96FB5"/>
    <w:rsid w:val="00C971CF"/>
    <w:rsid w:val="00C97220"/>
    <w:rsid w:val="00C973E9"/>
    <w:rsid w:val="00C97453"/>
    <w:rsid w:val="00C974B1"/>
    <w:rsid w:val="00C97622"/>
    <w:rsid w:val="00C976D2"/>
    <w:rsid w:val="00C9783A"/>
    <w:rsid w:val="00C978FA"/>
    <w:rsid w:val="00C97945"/>
    <w:rsid w:val="00C97A80"/>
    <w:rsid w:val="00C97ABA"/>
    <w:rsid w:val="00C97E14"/>
    <w:rsid w:val="00C97E56"/>
    <w:rsid w:val="00CA0032"/>
    <w:rsid w:val="00CA013A"/>
    <w:rsid w:val="00CA027F"/>
    <w:rsid w:val="00CA0345"/>
    <w:rsid w:val="00CA04C8"/>
    <w:rsid w:val="00CA0605"/>
    <w:rsid w:val="00CA067C"/>
    <w:rsid w:val="00CA06BB"/>
    <w:rsid w:val="00CA098E"/>
    <w:rsid w:val="00CA0A67"/>
    <w:rsid w:val="00CA0D07"/>
    <w:rsid w:val="00CA0ED6"/>
    <w:rsid w:val="00CA0EE4"/>
    <w:rsid w:val="00CA0EFA"/>
    <w:rsid w:val="00CA0FEF"/>
    <w:rsid w:val="00CA11E4"/>
    <w:rsid w:val="00CA1308"/>
    <w:rsid w:val="00CA1325"/>
    <w:rsid w:val="00CA150D"/>
    <w:rsid w:val="00CA1544"/>
    <w:rsid w:val="00CA1671"/>
    <w:rsid w:val="00CA1816"/>
    <w:rsid w:val="00CA1989"/>
    <w:rsid w:val="00CA1C4B"/>
    <w:rsid w:val="00CA1DC8"/>
    <w:rsid w:val="00CA2141"/>
    <w:rsid w:val="00CA227E"/>
    <w:rsid w:val="00CA22DA"/>
    <w:rsid w:val="00CA248F"/>
    <w:rsid w:val="00CA28A5"/>
    <w:rsid w:val="00CA2A26"/>
    <w:rsid w:val="00CA2B71"/>
    <w:rsid w:val="00CA2D54"/>
    <w:rsid w:val="00CA2F3F"/>
    <w:rsid w:val="00CA308E"/>
    <w:rsid w:val="00CA322F"/>
    <w:rsid w:val="00CA3762"/>
    <w:rsid w:val="00CA38C7"/>
    <w:rsid w:val="00CA3A11"/>
    <w:rsid w:val="00CA3BFC"/>
    <w:rsid w:val="00CA3F9A"/>
    <w:rsid w:val="00CA4257"/>
    <w:rsid w:val="00CA42AD"/>
    <w:rsid w:val="00CA447E"/>
    <w:rsid w:val="00CA4BE3"/>
    <w:rsid w:val="00CA4CC1"/>
    <w:rsid w:val="00CA4E28"/>
    <w:rsid w:val="00CA4FF3"/>
    <w:rsid w:val="00CA519F"/>
    <w:rsid w:val="00CA53F2"/>
    <w:rsid w:val="00CA543C"/>
    <w:rsid w:val="00CA55B9"/>
    <w:rsid w:val="00CA56EB"/>
    <w:rsid w:val="00CA594F"/>
    <w:rsid w:val="00CA5954"/>
    <w:rsid w:val="00CA5A43"/>
    <w:rsid w:val="00CA5C43"/>
    <w:rsid w:val="00CA5C96"/>
    <w:rsid w:val="00CA600A"/>
    <w:rsid w:val="00CA60D3"/>
    <w:rsid w:val="00CA61F2"/>
    <w:rsid w:val="00CA6314"/>
    <w:rsid w:val="00CA653B"/>
    <w:rsid w:val="00CA685F"/>
    <w:rsid w:val="00CA687D"/>
    <w:rsid w:val="00CA69DE"/>
    <w:rsid w:val="00CA6A32"/>
    <w:rsid w:val="00CA6AE9"/>
    <w:rsid w:val="00CA6CB6"/>
    <w:rsid w:val="00CA6DD6"/>
    <w:rsid w:val="00CA701C"/>
    <w:rsid w:val="00CA7029"/>
    <w:rsid w:val="00CA709F"/>
    <w:rsid w:val="00CA735C"/>
    <w:rsid w:val="00CA74CC"/>
    <w:rsid w:val="00CA7517"/>
    <w:rsid w:val="00CA782C"/>
    <w:rsid w:val="00CA7979"/>
    <w:rsid w:val="00CA7A17"/>
    <w:rsid w:val="00CA7AFA"/>
    <w:rsid w:val="00CA7CA9"/>
    <w:rsid w:val="00CB030F"/>
    <w:rsid w:val="00CB0326"/>
    <w:rsid w:val="00CB0330"/>
    <w:rsid w:val="00CB039F"/>
    <w:rsid w:val="00CB05EA"/>
    <w:rsid w:val="00CB0816"/>
    <w:rsid w:val="00CB097D"/>
    <w:rsid w:val="00CB09ED"/>
    <w:rsid w:val="00CB0A27"/>
    <w:rsid w:val="00CB0A8D"/>
    <w:rsid w:val="00CB0BD7"/>
    <w:rsid w:val="00CB0C92"/>
    <w:rsid w:val="00CB0E57"/>
    <w:rsid w:val="00CB0E9F"/>
    <w:rsid w:val="00CB0F5B"/>
    <w:rsid w:val="00CB11F9"/>
    <w:rsid w:val="00CB123F"/>
    <w:rsid w:val="00CB1420"/>
    <w:rsid w:val="00CB1448"/>
    <w:rsid w:val="00CB1817"/>
    <w:rsid w:val="00CB18B8"/>
    <w:rsid w:val="00CB18F8"/>
    <w:rsid w:val="00CB1A2B"/>
    <w:rsid w:val="00CB1D63"/>
    <w:rsid w:val="00CB1DE8"/>
    <w:rsid w:val="00CB1E36"/>
    <w:rsid w:val="00CB218F"/>
    <w:rsid w:val="00CB2279"/>
    <w:rsid w:val="00CB23D8"/>
    <w:rsid w:val="00CB2597"/>
    <w:rsid w:val="00CB25B6"/>
    <w:rsid w:val="00CB2735"/>
    <w:rsid w:val="00CB2903"/>
    <w:rsid w:val="00CB2A83"/>
    <w:rsid w:val="00CB2B02"/>
    <w:rsid w:val="00CB2B1C"/>
    <w:rsid w:val="00CB2DA8"/>
    <w:rsid w:val="00CB2F25"/>
    <w:rsid w:val="00CB2F73"/>
    <w:rsid w:val="00CB3116"/>
    <w:rsid w:val="00CB3158"/>
    <w:rsid w:val="00CB3205"/>
    <w:rsid w:val="00CB332D"/>
    <w:rsid w:val="00CB345A"/>
    <w:rsid w:val="00CB371B"/>
    <w:rsid w:val="00CB3802"/>
    <w:rsid w:val="00CB3BBB"/>
    <w:rsid w:val="00CB4055"/>
    <w:rsid w:val="00CB42C1"/>
    <w:rsid w:val="00CB45DF"/>
    <w:rsid w:val="00CB4669"/>
    <w:rsid w:val="00CB4A8F"/>
    <w:rsid w:val="00CB4B2E"/>
    <w:rsid w:val="00CB4CA8"/>
    <w:rsid w:val="00CB4D65"/>
    <w:rsid w:val="00CB4DC8"/>
    <w:rsid w:val="00CB53ED"/>
    <w:rsid w:val="00CB55AC"/>
    <w:rsid w:val="00CB56F1"/>
    <w:rsid w:val="00CB57BE"/>
    <w:rsid w:val="00CB57F0"/>
    <w:rsid w:val="00CB59CB"/>
    <w:rsid w:val="00CB5A23"/>
    <w:rsid w:val="00CB5CED"/>
    <w:rsid w:val="00CB5CF1"/>
    <w:rsid w:val="00CB611E"/>
    <w:rsid w:val="00CB6208"/>
    <w:rsid w:val="00CB63A8"/>
    <w:rsid w:val="00CB65DC"/>
    <w:rsid w:val="00CB6682"/>
    <w:rsid w:val="00CB685F"/>
    <w:rsid w:val="00CB693F"/>
    <w:rsid w:val="00CB6A47"/>
    <w:rsid w:val="00CB6B47"/>
    <w:rsid w:val="00CB6C52"/>
    <w:rsid w:val="00CB6CDE"/>
    <w:rsid w:val="00CB6E5B"/>
    <w:rsid w:val="00CB70FC"/>
    <w:rsid w:val="00CB7268"/>
    <w:rsid w:val="00CB732F"/>
    <w:rsid w:val="00CB7355"/>
    <w:rsid w:val="00CB739B"/>
    <w:rsid w:val="00CB73BB"/>
    <w:rsid w:val="00CB73ED"/>
    <w:rsid w:val="00CB7530"/>
    <w:rsid w:val="00CB755A"/>
    <w:rsid w:val="00CB759C"/>
    <w:rsid w:val="00CB7AC4"/>
    <w:rsid w:val="00CB7D89"/>
    <w:rsid w:val="00CB7F08"/>
    <w:rsid w:val="00CC0191"/>
    <w:rsid w:val="00CC0263"/>
    <w:rsid w:val="00CC0599"/>
    <w:rsid w:val="00CC0858"/>
    <w:rsid w:val="00CC085F"/>
    <w:rsid w:val="00CC087B"/>
    <w:rsid w:val="00CC0A39"/>
    <w:rsid w:val="00CC0EEE"/>
    <w:rsid w:val="00CC0F1A"/>
    <w:rsid w:val="00CC1038"/>
    <w:rsid w:val="00CC1250"/>
    <w:rsid w:val="00CC1303"/>
    <w:rsid w:val="00CC14CF"/>
    <w:rsid w:val="00CC14F7"/>
    <w:rsid w:val="00CC178C"/>
    <w:rsid w:val="00CC18A3"/>
    <w:rsid w:val="00CC18EA"/>
    <w:rsid w:val="00CC191F"/>
    <w:rsid w:val="00CC1B84"/>
    <w:rsid w:val="00CC1C1E"/>
    <w:rsid w:val="00CC1E61"/>
    <w:rsid w:val="00CC1F88"/>
    <w:rsid w:val="00CC2003"/>
    <w:rsid w:val="00CC2239"/>
    <w:rsid w:val="00CC230B"/>
    <w:rsid w:val="00CC242B"/>
    <w:rsid w:val="00CC246D"/>
    <w:rsid w:val="00CC24AF"/>
    <w:rsid w:val="00CC26A0"/>
    <w:rsid w:val="00CC26B6"/>
    <w:rsid w:val="00CC2704"/>
    <w:rsid w:val="00CC283B"/>
    <w:rsid w:val="00CC28AB"/>
    <w:rsid w:val="00CC299B"/>
    <w:rsid w:val="00CC2A2E"/>
    <w:rsid w:val="00CC2B74"/>
    <w:rsid w:val="00CC2C01"/>
    <w:rsid w:val="00CC2D33"/>
    <w:rsid w:val="00CC2D57"/>
    <w:rsid w:val="00CC30FE"/>
    <w:rsid w:val="00CC31F6"/>
    <w:rsid w:val="00CC34F9"/>
    <w:rsid w:val="00CC3570"/>
    <w:rsid w:val="00CC37D2"/>
    <w:rsid w:val="00CC39B3"/>
    <w:rsid w:val="00CC39F4"/>
    <w:rsid w:val="00CC3A0F"/>
    <w:rsid w:val="00CC3CE0"/>
    <w:rsid w:val="00CC406F"/>
    <w:rsid w:val="00CC4422"/>
    <w:rsid w:val="00CC44ED"/>
    <w:rsid w:val="00CC46B8"/>
    <w:rsid w:val="00CC4746"/>
    <w:rsid w:val="00CC4777"/>
    <w:rsid w:val="00CC47C0"/>
    <w:rsid w:val="00CC47CF"/>
    <w:rsid w:val="00CC48C7"/>
    <w:rsid w:val="00CC4A43"/>
    <w:rsid w:val="00CC4B59"/>
    <w:rsid w:val="00CC4C95"/>
    <w:rsid w:val="00CC4DD5"/>
    <w:rsid w:val="00CC4E35"/>
    <w:rsid w:val="00CC51DB"/>
    <w:rsid w:val="00CC52A5"/>
    <w:rsid w:val="00CC5306"/>
    <w:rsid w:val="00CC538D"/>
    <w:rsid w:val="00CC53CC"/>
    <w:rsid w:val="00CC55E4"/>
    <w:rsid w:val="00CC56EE"/>
    <w:rsid w:val="00CC59C2"/>
    <w:rsid w:val="00CC59CA"/>
    <w:rsid w:val="00CC5A95"/>
    <w:rsid w:val="00CC5F2E"/>
    <w:rsid w:val="00CC5F50"/>
    <w:rsid w:val="00CC5FB7"/>
    <w:rsid w:val="00CC60D6"/>
    <w:rsid w:val="00CC6147"/>
    <w:rsid w:val="00CC6198"/>
    <w:rsid w:val="00CC61D1"/>
    <w:rsid w:val="00CC62B6"/>
    <w:rsid w:val="00CC62F5"/>
    <w:rsid w:val="00CC63AD"/>
    <w:rsid w:val="00CC6754"/>
    <w:rsid w:val="00CC6BFF"/>
    <w:rsid w:val="00CC6F51"/>
    <w:rsid w:val="00CC73A6"/>
    <w:rsid w:val="00CC7459"/>
    <w:rsid w:val="00CC7810"/>
    <w:rsid w:val="00CC7D46"/>
    <w:rsid w:val="00CC7D85"/>
    <w:rsid w:val="00CC7EF6"/>
    <w:rsid w:val="00CC7F13"/>
    <w:rsid w:val="00CC7F21"/>
    <w:rsid w:val="00CC7F8E"/>
    <w:rsid w:val="00CD0013"/>
    <w:rsid w:val="00CD010B"/>
    <w:rsid w:val="00CD03CD"/>
    <w:rsid w:val="00CD06B1"/>
    <w:rsid w:val="00CD081E"/>
    <w:rsid w:val="00CD099B"/>
    <w:rsid w:val="00CD0E49"/>
    <w:rsid w:val="00CD0EEC"/>
    <w:rsid w:val="00CD0F21"/>
    <w:rsid w:val="00CD0F7B"/>
    <w:rsid w:val="00CD1202"/>
    <w:rsid w:val="00CD131E"/>
    <w:rsid w:val="00CD1494"/>
    <w:rsid w:val="00CD166E"/>
    <w:rsid w:val="00CD16D8"/>
    <w:rsid w:val="00CD16F7"/>
    <w:rsid w:val="00CD1724"/>
    <w:rsid w:val="00CD1729"/>
    <w:rsid w:val="00CD1816"/>
    <w:rsid w:val="00CD18A2"/>
    <w:rsid w:val="00CD1D77"/>
    <w:rsid w:val="00CD1EF5"/>
    <w:rsid w:val="00CD1F92"/>
    <w:rsid w:val="00CD20BA"/>
    <w:rsid w:val="00CD20E1"/>
    <w:rsid w:val="00CD2385"/>
    <w:rsid w:val="00CD23C2"/>
    <w:rsid w:val="00CD2699"/>
    <w:rsid w:val="00CD2727"/>
    <w:rsid w:val="00CD2864"/>
    <w:rsid w:val="00CD2B97"/>
    <w:rsid w:val="00CD2C2B"/>
    <w:rsid w:val="00CD2D16"/>
    <w:rsid w:val="00CD2EDF"/>
    <w:rsid w:val="00CD3291"/>
    <w:rsid w:val="00CD3371"/>
    <w:rsid w:val="00CD340E"/>
    <w:rsid w:val="00CD3500"/>
    <w:rsid w:val="00CD373B"/>
    <w:rsid w:val="00CD3A0B"/>
    <w:rsid w:val="00CD3A52"/>
    <w:rsid w:val="00CD3A5F"/>
    <w:rsid w:val="00CD3AF2"/>
    <w:rsid w:val="00CD3B03"/>
    <w:rsid w:val="00CD3C60"/>
    <w:rsid w:val="00CD3CC6"/>
    <w:rsid w:val="00CD3DDD"/>
    <w:rsid w:val="00CD3E87"/>
    <w:rsid w:val="00CD3FD6"/>
    <w:rsid w:val="00CD4069"/>
    <w:rsid w:val="00CD4179"/>
    <w:rsid w:val="00CD42C7"/>
    <w:rsid w:val="00CD4319"/>
    <w:rsid w:val="00CD43DC"/>
    <w:rsid w:val="00CD4573"/>
    <w:rsid w:val="00CD486A"/>
    <w:rsid w:val="00CD4A40"/>
    <w:rsid w:val="00CD4A8F"/>
    <w:rsid w:val="00CD4AFE"/>
    <w:rsid w:val="00CD4CBA"/>
    <w:rsid w:val="00CD4F12"/>
    <w:rsid w:val="00CD5034"/>
    <w:rsid w:val="00CD554A"/>
    <w:rsid w:val="00CD5614"/>
    <w:rsid w:val="00CD58F0"/>
    <w:rsid w:val="00CD58F5"/>
    <w:rsid w:val="00CD5B9B"/>
    <w:rsid w:val="00CD5FF0"/>
    <w:rsid w:val="00CD61D8"/>
    <w:rsid w:val="00CD6325"/>
    <w:rsid w:val="00CD6450"/>
    <w:rsid w:val="00CD6536"/>
    <w:rsid w:val="00CD6551"/>
    <w:rsid w:val="00CD6723"/>
    <w:rsid w:val="00CD69A2"/>
    <w:rsid w:val="00CD6B9B"/>
    <w:rsid w:val="00CD6C35"/>
    <w:rsid w:val="00CD6CA6"/>
    <w:rsid w:val="00CD6D5E"/>
    <w:rsid w:val="00CD6DB8"/>
    <w:rsid w:val="00CD701A"/>
    <w:rsid w:val="00CD713B"/>
    <w:rsid w:val="00CD71D9"/>
    <w:rsid w:val="00CD758B"/>
    <w:rsid w:val="00CD7618"/>
    <w:rsid w:val="00CD7735"/>
    <w:rsid w:val="00CD7767"/>
    <w:rsid w:val="00CD7795"/>
    <w:rsid w:val="00CD7AA6"/>
    <w:rsid w:val="00CD7AF0"/>
    <w:rsid w:val="00CD7EBC"/>
    <w:rsid w:val="00CD7EBD"/>
    <w:rsid w:val="00CD7FD4"/>
    <w:rsid w:val="00CE0086"/>
    <w:rsid w:val="00CE021B"/>
    <w:rsid w:val="00CE02CC"/>
    <w:rsid w:val="00CE02FA"/>
    <w:rsid w:val="00CE047C"/>
    <w:rsid w:val="00CE047F"/>
    <w:rsid w:val="00CE0512"/>
    <w:rsid w:val="00CE0566"/>
    <w:rsid w:val="00CE0638"/>
    <w:rsid w:val="00CE0713"/>
    <w:rsid w:val="00CE07CA"/>
    <w:rsid w:val="00CE080D"/>
    <w:rsid w:val="00CE0999"/>
    <w:rsid w:val="00CE0C05"/>
    <w:rsid w:val="00CE0CC8"/>
    <w:rsid w:val="00CE0D16"/>
    <w:rsid w:val="00CE0F3C"/>
    <w:rsid w:val="00CE0FCE"/>
    <w:rsid w:val="00CE1010"/>
    <w:rsid w:val="00CE1197"/>
    <w:rsid w:val="00CE129B"/>
    <w:rsid w:val="00CE1328"/>
    <w:rsid w:val="00CE13EE"/>
    <w:rsid w:val="00CE1FC8"/>
    <w:rsid w:val="00CE227D"/>
    <w:rsid w:val="00CE2673"/>
    <w:rsid w:val="00CE2802"/>
    <w:rsid w:val="00CE2844"/>
    <w:rsid w:val="00CE28A4"/>
    <w:rsid w:val="00CE2980"/>
    <w:rsid w:val="00CE2981"/>
    <w:rsid w:val="00CE29EC"/>
    <w:rsid w:val="00CE2B0D"/>
    <w:rsid w:val="00CE2B35"/>
    <w:rsid w:val="00CE2CF2"/>
    <w:rsid w:val="00CE2D05"/>
    <w:rsid w:val="00CE2D09"/>
    <w:rsid w:val="00CE2D1C"/>
    <w:rsid w:val="00CE2EA3"/>
    <w:rsid w:val="00CE30E9"/>
    <w:rsid w:val="00CE33A8"/>
    <w:rsid w:val="00CE33C0"/>
    <w:rsid w:val="00CE3423"/>
    <w:rsid w:val="00CE3491"/>
    <w:rsid w:val="00CE368F"/>
    <w:rsid w:val="00CE38D1"/>
    <w:rsid w:val="00CE3AB7"/>
    <w:rsid w:val="00CE3D47"/>
    <w:rsid w:val="00CE3D68"/>
    <w:rsid w:val="00CE3E78"/>
    <w:rsid w:val="00CE3EAD"/>
    <w:rsid w:val="00CE400F"/>
    <w:rsid w:val="00CE4083"/>
    <w:rsid w:val="00CE41EF"/>
    <w:rsid w:val="00CE434E"/>
    <w:rsid w:val="00CE4726"/>
    <w:rsid w:val="00CE48ED"/>
    <w:rsid w:val="00CE4998"/>
    <w:rsid w:val="00CE4A5E"/>
    <w:rsid w:val="00CE4C1E"/>
    <w:rsid w:val="00CE4D08"/>
    <w:rsid w:val="00CE5028"/>
    <w:rsid w:val="00CE51B2"/>
    <w:rsid w:val="00CE529D"/>
    <w:rsid w:val="00CE550D"/>
    <w:rsid w:val="00CE55C9"/>
    <w:rsid w:val="00CE5762"/>
    <w:rsid w:val="00CE5882"/>
    <w:rsid w:val="00CE58BD"/>
    <w:rsid w:val="00CE5D9C"/>
    <w:rsid w:val="00CE60EB"/>
    <w:rsid w:val="00CE65C4"/>
    <w:rsid w:val="00CE6767"/>
    <w:rsid w:val="00CE69A7"/>
    <w:rsid w:val="00CE69BC"/>
    <w:rsid w:val="00CE6C33"/>
    <w:rsid w:val="00CE6D20"/>
    <w:rsid w:val="00CE6F10"/>
    <w:rsid w:val="00CE737A"/>
    <w:rsid w:val="00CE7483"/>
    <w:rsid w:val="00CE74B4"/>
    <w:rsid w:val="00CE7511"/>
    <w:rsid w:val="00CE75AF"/>
    <w:rsid w:val="00CE75FF"/>
    <w:rsid w:val="00CE7634"/>
    <w:rsid w:val="00CE786D"/>
    <w:rsid w:val="00CE78E8"/>
    <w:rsid w:val="00CE795B"/>
    <w:rsid w:val="00CE7AD0"/>
    <w:rsid w:val="00CE7C46"/>
    <w:rsid w:val="00CE7EDC"/>
    <w:rsid w:val="00CE7EF6"/>
    <w:rsid w:val="00CE7FE1"/>
    <w:rsid w:val="00CF01B8"/>
    <w:rsid w:val="00CF03EF"/>
    <w:rsid w:val="00CF047A"/>
    <w:rsid w:val="00CF07C1"/>
    <w:rsid w:val="00CF0A02"/>
    <w:rsid w:val="00CF0A11"/>
    <w:rsid w:val="00CF0A8B"/>
    <w:rsid w:val="00CF0AC3"/>
    <w:rsid w:val="00CF0AE2"/>
    <w:rsid w:val="00CF0B42"/>
    <w:rsid w:val="00CF0B60"/>
    <w:rsid w:val="00CF0C35"/>
    <w:rsid w:val="00CF0D0E"/>
    <w:rsid w:val="00CF0D40"/>
    <w:rsid w:val="00CF0D74"/>
    <w:rsid w:val="00CF0FEE"/>
    <w:rsid w:val="00CF1486"/>
    <w:rsid w:val="00CF14E8"/>
    <w:rsid w:val="00CF15A7"/>
    <w:rsid w:val="00CF15FF"/>
    <w:rsid w:val="00CF1889"/>
    <w:rsid w:val="00CF1A0B"/>
    <w:rsid w:val="00CF1E54"/>
    <w:rsid w:val="00CF1EA1"/>
    <w:rsid w:val="00CF1FCA"/>
    <w:rsid w:val="00CF204F"/>
    <w:rsid w:val="00CF2156"/>
    <w:rsid w:val="00CF2523"/>
    <w:rsid w:val="00CF25B4"/>
    <w:rsid w:val="00CF2702"/>
    <w:rsid w:val="00CF28F8"/>
    <w:rsid w:val="00CF2989"/>
    <w:rsid w:val="00CF29CB"/>
    <w:rsid w:val="00CF2BF1"/>
    <w:rsid w:val="00CF2E65"/>
    <w:rsid w:val="00CF3180"/>
    <w:rsid w:val="00CF318D"/>
    <w:rsid w:val="00CF321B"/>
    <w:rsid w:val="00CF3385"/>
    <w:rsid w:val="00CF34B0"/>
    <w:rsid w:val="00CF375E"/>
    <w:rsid w:val="00CF37EF"/>
    <w:rsid w:val="00CF3D33"/>
    <w:rsid w:val="00CF3DB4"/>
    <w:rsid w:val="00CF3FDD"/>
    <w:rsid w:val="00CF400B"/>
    <w:rsid w:val="00CF4068"/>
    <w:rsid w:val="00CF428A"/>
    <w:rsid w:val="00CF458D"/>
    <w:rsid w:val="00CF4613"/>
    <w:rsid w:val="00CF46AE"/>
    <w:rsid w:val="00CF4728"/>
    <w:rsid w:val="00CF497E"/>
    <w:rsid w:val="00CF4B76"/>
    <w:rsid w:val="00CF4C52"/>
    <w:rsid w:val="00CF4D68"/>
    <w:rsid w:val="00CF4E70"/>
    <w:rsid w:val="00CF4EF7"/>
    <w:rsid w:val="00CF5020"/>
    <w:rsid w:val="00CF50DF"/>
    <w:rsid w:val="00CF5166"/>
    <w:rsid w:val="00CF5340"/>
    <w:rsid w:val="00CF560B"/>
    <w:rsid w:val="00CF5A00"/>
    <w:rsid w:val="00CF5A9C"/>
    <w:rsid w:val="00CF5D3A"/>
    <w:rsid w:val="00CF5D99"/>
    <w:rsid w:val="00CF5F0A"/>
    <w:rsid w:val="00CF5F35"/>
    <w:rsid w:val="00CF5F8A"/>
    <w:rsid w:val="00CF615E"/>
    <w:rsid w:val="00CF6195"/>
    <w:rsid w:val="00CF628F"/>
    <w:rsid w:val="00CF63BF"/>
    <w:rsid w:val="00CF64C7"/>
    <w:rsid w:val="00CF6609"/>
    <w:rsid w:val="00CF67C4"/>
    <w:rsid w:val="00CF68E8"/>
    <w:rsid w:val="00CF6ADC"/>
    <w:rsid w:val="00CF6D87"/>
    <w:rsid w:val="00CF6DC3"/>
    <w:rsid w:val="00CF6EDC"/>
    <w:rsid w:val="00CF7006"/>
    <w:rsid w:val="00CF73FB"/>
    <w:rsid w:val="00CF750F"/>
    <w:rsid w:val="00CF784E"/>
    <w:rsid w:val="00CF78F8"/>
    <w:rsid w:val="00CF7C89"/>
    <w:rsid w:val="00CF7CEB"/>
    <w:rsid w:val="00CF7DE0"/>
    <w:rsid w:val="00D0024C"/>
    <w:rsid w:val="00D0028C"/>
    <w:rsid w:val="00D00404"/>
    <w:rsid w:val="00D008A6"/>
    <w:rsid w:val="00D008ED"/>
    <w:rsid w:val="00D009CC"/>
    <w:rsid w:val="00D00BA1"/>
    <w:rsid w:val="00D00BB4"/>
    <w:rsid w:val="00D00BC9"/>
    <w:rsid w:val="00D00DD6"/>
    <w:rsid w:val="00D00F42"/>
    <w:rsid w:val="00D00FCE"/>
    <w:rsid w:val="00D0109F"/>
    <w:rsid w:val="00D010EE"/>
    <w:rsid w:val="00D01140"/>
    <w:rsid w:val="00D013C7"/>
    <w:rsid w:val="00D01404"/>
    <w:rsid w:val="00D01865"/>
    <w:rsid w:val="00D018D6"/>
    <w:rsid w:val="00D01AE1"/>
    <w:rsid w:val="00D01AE3"/>
    <w:rsid w:val="00D01AE7"/>
    <w:rsid w:val="00D01BC9"/>
    <w:rsid w:val="00D01C22"/>
    <w:rsid w:val="00D01C30"/>
    <w:rsid w:val="00D01D18"/>
    <w:rsid w:val="00D01DBF"/>
    <w:rsid w:val="00D01E46"/>
    <w:rsid w:val="00D02300"/>
    <w:rsid w:val="00D024B4"/>
    <w:rsid w:val="00D0253B"/>
    <w:rsid w:val="00D0256C"/>
    <w:rsid w:val="00D02598"/>
    <w:rsid w:val="00D02A4F"/>
    <w:rsid w:val="00D02AE0"/>
    <w:rsid w:val="00D02B17"/>
    <w:rsid w:val="00D02B88"/>
    <w:rsid w:val="00D02BC9"/>
    <w:rsid w:val="00D02C5E"/>
    <w:rsid w:val="00D02E8D"/>
    <w:rsid w:val="00D03003"/>
    <w:rsid w:val="00D030F6"/>
    <w:rsid w:val="00D031C2"/>
    <w:rsid w:val="00D03466"/>
    <w:rsid w:val="00D034A6"/>
    <w:rsid w:val="00D03628"/>
    <w:rsid w:val="00D0365C"/>
    <w:rsid w:val="00D03871"/>
    <w:rsid w:val="00D03D25"/>
    <w:rsid w:val="00D03D31"/>
    <w:rsid w:val="00D03D40"/>
    <w:rsid w:val="00D03D45"/>
    <w:rsid w:val="00D03E09"/>
    <w:rsid w:val="00D03E47"/>
    <w:rsid w:val="00D03F75"/>
    <w:rsid w:val="00D0403D"/>
    <w:rsid w:val="00D04094"/>
    <w:rsid w:val="00D04135"/>
    <w:rsid w:val="00D0428A"/>
    <w:rsid w:val="00D043B4"/>
    <w:rsid w:val="00D044D6"/>
    <w:rsid w:val="00D044D9"/>
    <w:rsid w:val="00D04736"/>
    <w:rsid w:val="00D04811"/>
    <w:rsid w:val="00D04883"/>
    <w:rsid w:val="00D04939"/>
    <w:rsid w:val="00D04947"/>
    <w:rsid w:val="00D049C0"/>
    <w:rsid w:val="00D049D4"/>
    <w:rsid w:val="00D04AB7"/>
    <w:rsid w:val="00D04B5E"/>
    <w:rsid w:val="00D04E72"/>
    <w:rsid w:val="00D04EDE"/>
    <w:rsid w:val="00D04EF2"/>
    <w:rsid w:val="00D04FE7"/>
    <w:rsid w:val="00D0519B"/>
    <w:rsid w:val="00D053C7"/>
    <w:rsid w:val="00D053CE"/>
    <w:rsid w:val="00D0543D"/>
    <w:rsid w:val="00D05446"/>
    <w:rsid w:val="00D055CE"/>
    <w:rsid w:val="00D05957"/>
    <w:rsid w:val="00D05D5E"/>
    <w:rsid w:val="00D05E09"/>
    <w:rsid w:val="00D05E16"/>
    <w:rsid w:val="00D05E7D"/>
    <w:rsid w:val="00D06046"/>
    <w:rsid w:val="00D060E0"/>
    <w:rsid w:val="00D062C0"/>
    <w:rsid w:val="00D06403"/>
    <w:rsid w:val="00D06483"/>
    <w:rsid w:val="00D06619"/>
    <w:rsid w:val="00D06719"/>
    <w:rsid w:val="00D06843"/>
    <w:rsid w:val="00D06950"/>
    <w:rsid w:val="00D06A5B"/>
    <w:rsid w:val="00D06C5E"/>
    <w:rsid w:val="00D06DDE"/>
    <w:rsid w:val="00D07047"/>
    <w:rsid w:val="00D07237"/>
    <w:rsid w:val="00D077CA"/>
    <w:rsid w:val="00D07904"/>
    <w:rsid w:val="00D079C3"/>
    <w:rsid w:val="00D07A2F"/>
    <w:rsid w:val="00D07A5F"/>
    <w:rsid w:val="00D07C49"/>
    <w:rsid w:val="00D07C70"/>
    <w:rsid w:val="00D07CE0"/>
    <w:rsid w:val="00D07DB9"/>
    <w:rsid w:val="00D07F5C"/>
    <w:rsid w:val="00D07F6E"/>
    <w:rsid w:val="00D0A209"/>
    <w:rsid w:val="00D10042"/>
    <w:rsid w:val="00D101C4"/>
    <w:rsid w:val="00D10373"/>
    <w:rsid w:val="00D1038F"/>
    <w:rsid w:val="00D1040B"/>
    <w:rsid w:val="00D10689"/>
    <w:rsid w:val="00D10A05"/>
    <w:rsid w:val="00D10B01"/>
    <w:rsid w:val="00D10B96"/>
    <w:rsid w:val="00D10BDA"/>
    <w:rsid w:val="00D10C01"/>
    <w:rsid w:val="00D10D41"/>
    <w:rsid w:val="00D10DB7"/>
    <w:rsid w:val="00D10E06"/>
    <w:rsid w:val="00D10F45"/>
    <w:rsid w:val="00D1124F"/>
    <w:rsid w:val="00D1126D"/>
    <w:rsid w:val="00D112B5"/>
    <w:rsid w:val="00D113B9"/>
    <w:rsid w:val="00D11447"/>
    <w:rsid w:val="00D1150A"/>
    <w:rsid w:val="00D1157B"/>
    <w:rsid w:val="00D1199E"/>
    <w:rsid w:val="00D119FE"/>
    <w:rsid w:val="00D11E3B"/>
    <w:rsid w:val="00D12512"/>
    <w:rsid w:val="00D126A1"/>
    <w:rsid w:val="00D12757"/>
    <w:rsid w:val="00D129A8"/>
    <w:rsid w:val="00D12BC0"/>
    <w:rsid w:val="00D12CBD"/>
    <w:rsid w:val="00D12D73"/>
    <w:rsid w:val="00D1302D"/>
    <w:rsid w:val="00D13187"/>
    <w:rsid w:val="00D132A0"/>
    <w:rsid w:val="00D132BA"/>
    <w:rsid w:val="00D134ED"/>
    <w:rsid w:val="00D137EC"/>
    <w:rsid w:val="00D1394A"/>
    <w:rsid w:val="00D13AE4"/>
    <w:rsid w:val="00D13C03"/>
    <w:rsid w:val="00D13C8A"/>
    <w:rsid w:val="00D13CA0"/>
    <w:rsid w:val="00D13F46"/>
    <w:rsid w:val="00D13F89"/>
    <w:rsid w:val="00D140DB"/>
    <w:rsid w:val="00D1426A"/>
    <w:rsid w:val="00D143B8"/>
    <w:rsid w:val="00D144FE"/>
    <w:rsid w:val="00D146B1"/>
    <w:rsid w:val="00D146F3"/>
    <w:rsid w:val="00D1489F"/>
    <w:rsid w:val="00D1499F"/>
    <w:rsid w:val="00D14C79"/>
    <w:rsid w:val="00D14EC1"/>
    <w:rsid w:val="00D14EF0"/>
    <w:rsid w:val="00D14F08"/>
    <w:rsid w:val="00D15028"/>
    <w:rsid w:val="00D1514D"/>
    <w:rsid w:val="00D15351"/>
    <w:rsid w:val="00D1585D"/>
    <w:rsid w:val="00D15A1F"/>
    <w:rsid w:val="00D15A2F"/>
    <w:rsid w:val="00D16030"/>
    <w:rsid w:val="00D160BB"/>
    <w:rsid w:val="00D163BE"/>
    <w:rsid w:val="00D16486"/>
    <w:rsid w:val="00D164F1"/>
    <w:rsid w:val="00D16812"/>
    <w:rsid w:val="00D1683B"/>
    <w:rsid w:val="00D168A5"/>
    <w:rsid w:val="00D16CD6"/>
    <w:rsid w:val="00D17413"/>
    <w:rsid w:val="00D175F8"/>
    <w:rsid w:val="00D17849"/>
    <w:rsid w:val="00D1787B"/>
    <w:rsid w:val="00D17A6C"/>
    <w:rsid w:val="00D17AF9"/>
    <w:rsid w:val="00D17C36"/>
    <w:rsid w:val="00D17C63"/>
    <w:rsid w:val="00D17EEA"/>
    <w:rsid w:val="00D17FA6"/>
    <w:rsid w:val="00D17FC3"/>
    <w:rsid w:val="00D204B5"/>
    <w:rsid w:val="00D20843"/>
    <w:rsid w:val="00D208BF"/>
    <w:rsid w:val="00D20C40"/>
    <w:rsid w:val="00D20E1B"/>
    <w:rsid w:val="00D20E2A"/>
    <w:rsid w:val="00D20EAC"/>
    <w:rsid w:val="00D20F85"/>
    <w:rsid w:val="00D210EB"/>
    <w:rsid w:val="00D211FA"/>
    <w:rsid w:val="00D21216"/>
    <w:rsid w:val="00D21435"/>
    <w:rsid w:val="00D21543"/>
    <w:rsid w:val="00D2173B"/>
    <w:rsid w:val="00D2179E"/>
    <w:rsid w:val="00D2179F"/>
    <w:rsid w:val="00D21854"/>
    <w:rsid w:val="00D21A1E"/>
    <w:rsid w:val="00D21BF0"/>
    <w:rsid w:val="00D21BFF"/>
    <w:rsid w:val="00D22390"/>
    <w:rsid w:val="00D22392"/>
    <w:rsid w:val="00D22416"/>
    <w:rsid w:val="00D2246E"/>
    <w:rsid w:val="00D22554"/>
    <w:rsid w:val="00D2287C"/>
    <w:rsid w:val="00D22902"/>
    <w:rsid w:val="00D22B67"/>
    <w:rsid w:val="00D22F9E"/>
    <w:rsid w:val="00D22FC1"/>
    <w:rsid w:val="00D2314D"/>
    <w:rsid w:val="00D23312"/>
    <w:rsid w:val="00D23439"/>
    <w:rsid w:val="00D23554"/>
    <w:rsid w:val="00D2375D"/>
    <w:rsid w:val="00D238CD"/>
    <w:rsid w:val="00D2399D"/>
    <w:rsid w:val="00D23B5C"/>
    <w:rsid w:val="00D23C04"/>
    <w:rsid w:val="00D23C14"/>
    <w:rsid w:val="00D23C29"/>
    <w:rsid w:val="00D23D50"/>
    <w:rsid w:val="00D23DED"/>
    <w:rsid w:val="00D23E11"/>
    <w:rsid w:val="00D23E81"/>
    <w:rsid w:val="00D23EED"/>
    <w:rsid w:val="00D23FE2"/>
    <w:rsid w:val="00D24203"/>
    <w:rsid w:val="00D243C9"/>
    <w:rsid w:val="00D24486"/>
    <w:rsid w:val="00D245C1"/>
    <w:rsid w:val="00D247AE"/>
    <w:rsid w:val="00D24A2C"/>
    <w:rsid w:val="00D24CD1"/>
    <w:rsid w:val="00D251E4"/>
    <w:rsid w:val="00D25570"/>
    <w:rsid w:val="00D255D9"/>
    <w:rsid w:val="00D257D9"/>
    <w:rsid w:val="00D258F6"/>
    <w:rsid w:val="00D259A6"/>
    <w:rsid w:val="00D25C7E"/>
    <w:rsid w:val="00D25C8E"/>
    <w:rsid w:val="00D2625C"/>
    <w:rsid w:val="00D2628A"/>
    <w:rsid w:val="00D262D2"/>
    <w:rsid w:val="00D2634F"/>
    <w:rsid w:val="00D2646E"/>
    <w:rsid w:val="00D26954"/>
    <w:rsid w:val="00D26A2E"/>
    <w:rsid w:val="00D26AED"/>
    <w:rsid w:val="00D26B02"/>
    <w:rsid w:val="00D26B9E"/>
    <w:rsid w:val="00D26C2E"/>
    <w:rsid w:val="00D26DF9"/>
    <w:rsid w:val="00D2700C"/>
    <w:rsid w:val="00D27080"/>
    <w:rsid w:val="00D27084"/>
    <w:rsid w:val="00D27485"/>
    <w:rsid w:val="00D27840"/>
    <w:rsid w:val="00D27AD9"/>
    <w:rsid w:val="00D27EA5"/>
    <w:rsid w:val="00D3004C"/>
    <w:rsid w:val="00D3009B"/>
    <w:rsid w:val="00D300A1"/>
    <w:rsid w:val="00D3019C"/>
    <w:rsid w:val="00D301DC"/>
    <w:rsid w:val="00D302AC"/>
    <w:rsid w:val="00D302CC"/>
    <w:rsid w:val="00D303CF"/>
    <w:rsid w:val="00D30405"/>
    <w:rsid w:val="00D30591"/>
    <w:rsid w:val="00D30706"/>
    <w:rsid w:val="00D3092B"/>
    <w:rsid w:val="00D30A58"/>
    <w:rsid w:val="00D30C4B"/>
    <w:rsid w:val="00D30C50"/>
    <w:rsid w:val="00D30C8F"/>
    <w:rsid w:val="00D30D49"/>
    <w:rsid w:val="00D30E1E"/>
    <w:rsid w:val="00D31117"/>
    <w:rsid w:val="00D313A7"/>
    <w:rsid w:val="00D314C3"/>
    <w:rsid w:val="00D31917"/>
    <w:rsid w:val="00D31A2C"/>
    <w:rsid w:val="00D320C4"/>
    <w:rsid w:val="00D32303"/>
    <w:rsid w:val="00D32491"/>
    <w:rsid w:val="00D324EF"/>
    <w:rsid w:val="00D3261A"/>
    <w:rsid w:val="00D32B7C"/>
    <w:rsid w:val="00D32C9C"/>
    <w:rsid w:val="00D32D80"/>
    <w:rsid w:val="00D32EF7"/>
    <w:rsid w:val="00D32F59"/>
    <w:rsid w:val="00D32FFA"/>
    <w:rsid w:val="00D33012"/>
    <w:rsid w:val="00D33378"/>
    <w:rsid w:val="00D33393"/>
    <w:rsid w:val="00D33410"/>
    <w:rsid w:val="00D33486"/>
    <w:rsid w:val="00D3385D"/>
    <w:rsid w:val="00D33A9A"/>
    <w:rsid w:val="00D33CEC"/>
    <w:rsid w:val="00D33EC5"/>
    <w:rsid w:val="00D343E3"/>
    <w:rsid w:val="00D348AE"/>
    <w:rsid w:val="00D348C9"/>
    <w:rsid w:val="00D3492A"/>
    <w:rsid w:val="00D34B79"/>
    <w:rsid w:val="00D34B84"/>
    <w:rsid w:val="00D34BFD"/>
    <w:rsid w:val="00D34C03"/>
    <w:rsid w:val="00D34E84"/>
    <w:rsid w:val="00D350A5"/>
    <w:rsid w:val="00D351A0"/>
    <w:rsid w:val="00D353ED"/>
    <w:rsid w:val="00D3547C"/>
    <w:rsid w:val="00D355CB"/>
    <w:rsid w:val="00D35862"/>
    <w:rsid w:val="00D35898"/>
    <w:rsid w:val="00D35960"/>
    <w:rsid w:val="00D35A12"/>
    <w:rsid w:val="00D35BBA"/>
    <w:rsid w:val="00D35D0C"/>
    <w:rsid w:val="00D360E1"/>
    <w:rsid w:val="00D360FB"/>
    <w:rsid w:val="00D361E4"/>
    <w:rsid w:val="00D36323"/>
    <w:rsid w:val="00D36335"/>
    <w:rsid w:val="00D36448"/>
    <w:rsid w:val="00D36590"/>
    <w:rsid w:val="00D3671E"/>
    <w:rsid w:val="00D36742"/>
    <w:rsid w:val="00D36AE1"/>
    <w:rsid w:val="00D36C03"/>
    <w:rsid w:val="00D36C2E"/>
    <w:rsid w:val="00D36D26"/>
    <w:rsid w:val="00D36D59"/>
    <w:rsid w:val="00D36E54"/>
    <w:rsid w:val="00D36FE6"/>
    <w:rsid w:val="00D370C6"/>
    <w:rsid w:val="00D37156"/>
    <w:rsid w:val="00D37163"/>
    <w:rsid w:val="00D3718A"/>
    <w:rsid w:val="00D371CA"/>
    <w:rsid w:val="00D371CC"/>
    <w:rsid w:val="00D3762B"/>
    <w:rsid w:val="00D376F0"/>
    <w:rsid w:val="00D377B3"/>
    <w:rsid w:val="00D3794D"/>
    <w:rsid w:val="00D37953"/>
    <w:rsid w:val="00D3795C"/>
    <w:rsid w:val="00D379CA"/>
    <w:rsid w:val="00D37B93"/>
    <w:rsid w:val="00D37F99"/>
    <w:rsid w:val="00D4017D"/>
    <w:rsid w:val="00D402C6"/>
    <w:rsid w:val="00D405B6"/>
    <w:rsid w:val="00D40763"/>
    <w:rsid w:val="00D408A3"/>
    <w:rsid w:val="00D40A15"/>
    <w:rsid w:val="00D40A1F"/>
    <w:rsid w:val="00D40B6E"/>
    <w:rsid w:val="00D40E76"/>
    <w:rsid w:val="00D41064"/>
    <w:rsid w:val="00D41133"/>
    <w:rsid w:val="00D4117D"/>
    <w:rsid w:val="00D411DC"/>
    <w:rsid w:val="00D41724"/>
    <w:rsid w:val="00D419C1"/>
    <w:rsid w:val="00D419EF"/>
    <w:rsid w:val="00D419F2"/>
    <w:rsid w:val="00D41DFC"/>
    <w:rsid w:val="00D41E98"/>
    <w:rsid w:val="00D4209B"/>
    <w:rsid w:val="00D420C8"/>
    <w:rsid w:val="00D42234"/>
    <w:rsid w:val="00D4245F"/>
    <w:rsid w:val="00D4253D"/>
    <w:rsid w:val="00D42749"/>
    <w:rsid w:val="00D427A3"/>
    <w:rsid w:val="00D428D5"/>
    <w:rsid w:val="00D429D8"/>
    <w:rsid w:val="00D42B5E"/>
    <w:rsid w:val="00D42E23"/>
    <w:rsid w:val="00D42FCC"/>
    <w:rsid w:val="00D42FE4"/>
    <w:rsid w:val="00D431B4"/>
    <w:rsid w:val="00D431DA"/>
    <w:rsid w:val="00D431E4"/>
    <w:rsid w:val="00D43243"/>
    <w:rsid w:val="00D43324"/>
    <w:rsid w:val="00D4377A"/>
    <w:rsid w:val="00D437E6"/>
    <w:rsid w:val="00D43A9C"/>
    <w:rsid w:val="00D43B41"/>
    <w:rsid w:val="00D43C3D"/>
    <w:rsid w:val="00D43C6F"/>
    <w:rsid w:val="00D43F33"/>
    <w:rsid w:val="00D440D0"/>
    <w:rsid w:val="00D443CA"/>
    <w:rsid w:val="00D44576"/>
    <w:rsid w:val="00D4464F"/>
    <w:rsid w:val="00D4468A"/>
    <w:rsid w:val="00D44723"/>
    <w:rsid w:val="00D4479E"/>
    <w:rsid w:val="00D44B4C"/>
    <w:rsid w:val="00D44D54"/>
    <w:rsid w:val="00D44FEB"/>
    <w:rsid w:val="00D4503A"/>
    <w:rsid w:val="00D45079"/>
    <w:rsid w:val="00D453B8"/>
    <w:rsid w:val="00D453CD"/>
    <w:rsid w:val="00D456CC"/>
    <w:rsid w:val="00D45707"/>
    <w:rsid w:val="00D4580B"/>
    <w:rsid w:val="00D459F3"/>
    <w:rsid w:val="00D45C04"/>
    <w:rsid w:val="00D45FD4"/>
    <w:rsid w:val="00D46406"/>
    <w:rsid w:val="00D464AD"/>
    <w:rsid w:val="00D46502"/>
    <w:rsid w:val="00D46505"/>
    <w:rsid w:val="00D46577"/>
    <w:rsid w:val="00D46781"/>
    <w:rsid w:val="00D467C7"/>
    <w:rsid w:val="00D467E6"/>
    <w:rsid w:val="00D4687F"/>
    <w:rsid w:val="00D468C6"/>
    <w:rsid w:val="00D469B2"/>
    <w:rsid w:val="00D46A7F"/>
    <w:rsid w:val="00D46B72"/>
    <w:rsid w:val="00D46E98"/>
    <w:rsid w:val="00D46F05"/>
    <w:rsid w:val="00D47014"/>
    <w:rsid w:val="00D470CF"/>
    <w:rsid w:val="00D470E4"/>
    <w:rsid w:val="00D471C6"/>
    <w:rsid w:val="00D473FB"/>
    <w:rsid w:val="00D4741B"/>
    <w:rsid w:val="00D475F2"/>
    <w:rsid w:val="00D4764F"/>
    <w:rsid w:val="00D4774A"/>
    <w:rsid w:val="00D477F3"/>
    <w:rsid w:val="00D478D0"/>
    <w:rsid w:val="00D478EA"/>
    <w:rsid w:val="00D479BC"/>
    <w:rsid w:val="00D47C32"/>
    <w:rsid w:val="00D47CB5"/>
    <w:rsid w:val="00D47DC9"/>
    <w:rsid w:val="00D47DCB"/>
    <w:rsid w:val="00D5016D"/>
    <w:rsid w:val="00D50381"/>
    <w:rsid w:val="00D503A7"/>
    <w:rsid w:val="00D503CD"/>
    <w:rsid w:val="00D5045F"/>
    <w:rsid w:val="00D50842"/>
    <w:rsid w:val="00D50846"/>
    <w:rsid w:val="00D508C8"/>
    <w:rsid w:val="00D5094F"/>
    <w:rsid w:val="00D50A2C"/>
    <w:rsid w:val="00D50B81"/>
    <w:rsid w:val="00D50C1E"/>
    <w:rsid w:val="00D50C33"/>
    <w:rsid w:val="00D50EE9"/>
    <w:rsid w:val="00D50F49"/>
    <w:rsid w:val="00D50FDB"/>
    <w:rsid w:val="00D510A7"/>
    <w:rsid w:val="00D51323"/>
    <w:rsid w:val="00D513AB"/>
    <w:rsid w:val="00D513AE"/>
    <w:rsid w:val="00D51446"/>
    <w:rsid w:val="00D515B0"/>
    <w:rsid w:val="00D5167A"/>
    <w:rsid w:val="00D516CA"/>
    <w:rsid w:val="00D5174A"/>
    <w:rsid w:val="00D518C6"/>
    <w:rsid w:val="00D51B48"/>
    <w:rsid w:val="00D51C0C"/>
    <w:rsid w:val="00D51F45"/>
    <w:rsid w:val="00D5202C"/>
    <w:rsid w:val="00D5209F"/>
    <w:rsid w:val="00D52144"/>
    <w:rsid w:val="00D521EF"/>
    <w:rsid w:val="00D5221F"/>
    <w:rsid w:val="00D52363"/>
    <w:rsid w:val="00D527EE"/>
    <w:rsid w:val="00D52823"/>
    <w:rsid w:val="00D52918"/>
    <w:rsid w:val="00D52977"/>
    <w:rsid w:val="00D52A0A"/>
    <w:rsid w:val="00D52B01"/>
    <w:rsid w:val="00D52B1A"/>
    <w:rsid w:val="00D52BD6"/>
    <w:rsid w:val="00D52BE1"/>
    <w:rsid w:val="00D52E44"/>
    <w:rsid w:val="00D52F6D"/>
    <w:rsid w:val="00D53194"/>
    <w:rsid w:val="00D5321C"/>
    <w:rsid w:val="00D5324F"/>
    <w:rsid w:val="00D5339B"/>
    <w:rsid w:val="00D536A7"/>
    <w:rsid w:val="00D538AA"/>
    <w:rsid w:val="00D538B4"/>
    <w:rsid w:val="00D53A6C"/>
    <w:rsid w:val="00D53ACA"/>
    <w:rsid w:val="00D53B31"/>
    <w:rsid w:val="00D53BC8"/>
    <w:rsid w:val="00D53BE1"/>
    <w:rsid w:val="00D53DD0"/>
    <w:rsid w:val="00D53F13"/>
    <w:rsid w:val="00D540CF"/>
    <w:rsid w:val="00D5452A"/>
    <w:rsid w:val="00D5470C"/>
    <w:rsid w:val="00D547DE"/>
    <w:rsid w:val="00D54839"/>
    <w:rsid w:val="00D54867"/>
    <w:rsid w:val="00D54BFE"/>
    <w:rsid w:val="00D54D16"/>
    <w:rsid w:val="00D54DFB"/>
    <w:rsid w:val="00D55004"/>
    <w:rsid w:val="00D551B5"/>
    <w:rsid w:val="00D554CD"/>
    <w:rsid w:val="00D5583D"/>
    <w:rsid w:val="00D55992"/>
    <w:rsid w:val="00D55A7C"/>
    <w:rsid w:val="00D55AD4"/>
    <w:rsid w:val="00D55AEA"/>
    <w:rsid w:val="00D55CA9"/>
    <w:rsid w:val="00D55D0F"/>
    <w:rsid w:val="00D55F17"/>
    <w:rsid w:val="00D561CC"/>
    <w:rsid w:val="00D56250"/>
    <w:rsid w:val="00D5630C"/>
    <w:rsid w:val="00D5643B"/>
    <w:rsid w:val="00D56730"/>
    <w:rsid w:val="00D56829"/>
    <w:rsid w:val="00D5684A"/>
    <w:rsid w:val="00D568B4"/>
    <w:rsid w:val="00D568BA"/>
    <w:rsid w:val="00D56938"/>
    <w:rsid w:val="00D56A82"/>
    <w:rsid w:val="00D56D77"/>
    <w:rsid w:val="00D56DD2"/>
    <w:rsid w:val="00D56E79"/>
    <w:rsid w:val="00D56FDF"/>
    <w:rsid w:val="00D570BB"/>
    <w:rsid w:val="00D570C8"/>
    <w:rsid w:val="00D57154"/>
    <w:rsid w:val="00D57284"/>
    <w:rsid w:val="00D572BA"/>
    <w:rsid w:val="00D57383"/>
    <w:rsid w:val="00D573C2"/>
    <w:rsid w:val="00D57496"/>
    <w:rsid w:val="00D57659"/>
    <w:rsid w:val="00D57717"/>
    <w:rsid w:val="00D57A06"/>
    <w:rsid w:val="00D57B3A"/>
    <w:rsid w:val="00D57D77"/>
    <w:rsid w:val="00D57E15"/>
    <w:rsid w:val="00D57F68"/>
    <w:rsid w:val="00D5D032"/>
    <w:rsid w:val="00D60310"/>
    <w:rsid w:val="00D60329"/>
    <w:rsid w:val="00D603B1"/>
    <w:rsid w:val="00D60421"/>
    <w:rsid w:val="00D605B6"/>
    <w:rsid w:val="00D607EA"/>
    <w:rsid w:val="00D60802"/>
    <w:rsid w:val="00D60CDC"/>
    <w:rsid w:val="00D60FDF"/>
    <w:rsid w:val="00D613C3"/>
    <w:rsid w:val="00D61488"/>
    <w:rsid w:val="00D6152B"/>
    <w:rsid w:val="00D61740"/>
    <w:rsid w:val="00D61882"/>
    <w:rsid w:val="00D618C9"/>
    <w:rsid w:val="00D61E4D"/>
    <w:rsid w:val="00D61EC2"/>
    <w:rsid w:val="00D62175"/>
    <w:rsid w:val="00D621EC"/>
    <w:rsid w:val="00D621FF"/>
    <w:rsid w:val="00D623B1"/>
    <w:rsid w:val="00D6247C"/>
    <w:rsid w:val="00D62539"/>
    <w:rsid w:val="00D6283C"/>
    <w:rsid w:val="00D6288F"/>
    <w:rsid w:val="00D62AD3"/>
    <w:rsid w:val="00D62B21"/>
    <w:rsid w:val="00D62CD4"/>
    <w:rsid w:val="00D62CE9"/>
    <w:rsid w:val="00D62DBD"/>
    <w:rsid w:val="00D63398"/>
    <w:rsid w:val="00D6357D"/>
    <w:rsid w:val="00D63775"/>
    <w:rsid w:val="00D638D8"/>
    <w:rsid w:val="00D639BC"/>
    <w:rsid w:val="00D63AF0"/>
    <w:rsid w:val="00D63B18"/>
    <w:rsid w:val="00D63B2F"/>
    <w:rsid w:val="00D63C24"/>
    <w:rsid w:val="00D63C5B"/>
    <w:rsid w:val="00D63D01"/>
    <w:rsid w:val="00D63DA2"/>
    <w:rsid w:val="00D63E76"/>
    <w:rsid w:val="00D63E8E"/>
    <w:rsid w:val="00D63F99"/>
    <w:rsid w:val="00D6419E"/>
    <w:rsid w:val="00D64287"/>
    <w:rsid w:val="00D64492"/>
    <w:rsid w:val="00D644E7"/>
    <w:rsid w:val="00D644EE"/>
    <w:rsid w:val="00D6476E"/>
    <w:rsid w:val="00D64A1D"/>
    <w:rsid w:val="00D64BCC"/>
    <w:rsid w:val="00D64CAE"/>
    <w:rsid w:val="00D64DCC"/>
    <w:rsid w:val="00D64EE9"/>
    <w:rsid w:val="00D6507F"/>
    <w:rsid w:val="00D651C4"/>
    <w:rsid w:val="00D65303"/>
    <w:rsid w:val="00D65448"/>
    <w:rsid w:val="00D654E6"/>
    <w:rsid w:val="00D6551C"/>
    <w:rsid w:val="00D655AC"/>
    <w:rsid w:val="00D65651"/>
    <w:rsid w:val="00D65927"/>
    <w:rsid w:val="00D65A26"/>
    <w:rsid w:val="00D65A93"/>
    <w:rsid w:val="00D65AF3"/>
    <w:rsid w:val="00D65B68"/>
    <w:rsid w:val="00D65C48"/>
    <w:rsid w:val="00D65C79"/>
    <w:rsid w:val="00D65CC1"/>
    <w:rsid w:val="00D65DE1"/>
    <w:rsid w:val="00D65F7A"/>
    <w:rsid w:val="00D65FE7"/>
    <w:rsid w:val="00D660D3"/>
    <w:rsid w:val="00D6612F"/>
    <w:rsid w:val="00D6650A"/>
    <w:rsid w:val="00D666F3"/>
    <w:rsid w:val="00D66775"/>
    <w:rsid w:val="00D66857"/>
    <w:rsid w:val="00D6699F"/>
    <w:rsid w:val="00D66AD5"/>
    <w:rsid w:val="00D66B27"/>
    <w:rsid w:val="00D66B92"/>
    <w:rsid w:val="00D66DEB"/>
    <w:rsid w:val="00D66E9B"/>
    <w:rsid w:val="00D674B4"/>
    <w:rsid w:val="00D675D1"/>
    <w:rsid w:val="00D675F4"/>
    <w:rsid w:val="00D67732"/>
    <w:rsid w:val="00D677E0"/>
    <w:rsid w:val="00D67CF2"/>
    <w:rsid w:val="00D67FD5"/>
    <w:rsid w:val="00D70299"/>
    <w:rsid w:val="00D7083F"/>
    <w:rsid w:val="00D70879"/>
    <w:rsid w:val="00D70A57"/>
    <w:rsid w:val="00D70AD8"/>
    <w:rsid w:val="00D70B27"/>
    <w:rsid w:val="00D70B35"/>
    <w:rsid w:val="00D70D65"/>
    <w:rsid w:val="00D70D72"/>
    <w:rsid w:val="00D711FF"/>
    <w:rsid w:val="00D71274"/>
    <w:rsid w:val="00D7146C"/>
    <w:rsid w:val="00D71987"/>
    <w:rsid w:val="00D71A27"/>
    <w:rsid w:val="00D71A29"/>
    <w:rsid w:val="00D71C56"/>
    <w:rsid w:val="00D71C59"/>
    <w:rsid w:val="00D71C71"/>
    <w:rsid w:val="00D71E07"/>
    <w:rsid w:val="00D721EB"/>
    <w:rsid w:val="00D72494"/>
    <w:rsid w:val="00D726F4"/>
    <w:rsid w:val="00D72924"/>
    <w:rsid w:val="00D729A3"/>
    <w:rsid w:val="00D72B8A"/>
    <w:rsid w:val="00D72B9C"/>
    <w:rsid w:val="00D72D14"/>
    <w:rsid w:val="00D72DBA"/>
    <w:rsid w:val="00D72F9B"/>
    <w:rsid w:val="00D73068"/>
    <w:rsid w:val="00D730BA"/>
    <w:rsid w:val="00D732D2"/>
    <w:rsid w:val="00D736F4"/>
    <w:rsid w:val="00D73756"/>
    <w:rsid w:val="00D739EF"/>
    <w:rsid w:val="00D73A23"/>
    <w:rsid w:val="00D73A8C"/>
    <w:rsid w:val="00D73B1C"/>
    <w:rsid w:val="00D73BA3"/>
    <w:rsid w:val="00D73CAE"/>
    <w:rsid w:val="00D73D02"/>
    <w:rsid w:val="00D73E6D"/>
    <w:rsid w:val="00D73EBE"/>
    <w:rsid w:val="00D74162"/>
    <w:rsid w:val="00D74404"/>
    <w:rsid w:val="00D744D6"/>
    <w:rsid w:val="00D7464D"/>
    <w:rsid w:val="00D74667"/>
    <w:rsid w:val="00D749B7"/>
    <w:rsid w:val="00D74A0B"/>
    <w:rsid w:val="00D74ABD"/>
    <w:rsid w:val="00D74AF3"/>
    <w:rsid w:val="00D74B14"/>
    <w:rsid w:val="00D74C10"/>
    <w:rsid w:val="00D74C89"/>
    <w:rsid w:val="00D74DB5"/>
    <w:rsid w:val="00D74F58"/>
    <w:rsid w:val="00D7504B"/>
    <w:rsid w:val="00D7513A"/>
    <w:rsid w:val="00D75174"/>
    <w:rsid w:val="00D751AE"/>
    <w:rsid w:val="00D751ED"/>
    <w:rsid w:val="00D7521D"/>
    <w:rsid w:val="00D75318"/>
    <w:rsid w:val="00D75322"/>
    <w:rsid w:val="00D7587F"/>
    <w:rsid w:val="00D759AF"/>
    <w:rsid w:val="00D75A93"/>
    <w:rsid w:val="00D75C31"/>
    <w:rsid w:val="00D75DC2"/>
    <w:rsid w:val="00D76237"/>
    <w:rsid w:val="00D762BC"/>
    <w:rsid w:val="00D763DE"/>
    <w:rsid w:val="00D76667"/>
    <w:rsid w:val="00D7674B"/>
    <w:rsid w:val="00D76789"/>
    <w:rsid w:val="00D76815"/>
    <w:rsid w:val="00D76B70"/>
    <w:rsid w:val="00D76D85"/>
    <w:rsid w:val="00D76E49"/>
    <w:rsid w:val="00D77029"/>
    <w:rsid w:val="00D770BF"/>
    <w:rsid w:val="00D772D1"/>
    <w:rsid w:val="00D772DB"/>
    <w:rsid w:val="00D773F6"/>
    <w:rsid w:val="00D775C4"/>
    <w:rsid w:val="00D778DA"/>
    <w:rsid w:val="00D7791B"/>
    <w:rsid w:val="00D77A68"/>
    <w:rsid w:val="00D77BF8"/>
    <w:rsid w:val="00D77EBB"/>
    <w:rsid w:val="00D80247"/>
    <w:rsid w:val="00D802D7"/>
    <w:rsid w:val="00D80306"/>
    <w:rsid w:val="00D80786"/>
    <w:rsid w:val="00D80788"/>
    <w:rsid w:val="00D808FE"/>
    <w:rsid w:val="00D80ADC"/>
    <w:rsid w:val="00D80B70"/>
    <w:rsid w:val="00D80EC0"/>
    <w:rsid w:val="00D80FFB"/>
    <w:rsid w:val="00D81472"/>
    <w:rsid w:val="00D815CB"/>
    <w:rsid w:val="00D81725"/>
    <w:rsid w:val="00D81971"/>
    <w:rsid w:val="00D81BA9"/>
    <w:rsid w:val="00D81BE9"/>
    <w:rsid w:val="00D81C4E"/>
    <w:rsid w:val="00D81CFD"/>
    <w:rsid w:val="00D81D6E"/>
    <w:rsid w:val="00D81DF7"/>
    <w:rsid w:val="00D81F68"/>
    <w:rsid w:val="00D8218E"/>
    <w:rsid w:val="00D821FA"/>
    <w:rsid w:val="00D82351"/>
    <w:rsid w:val="00D824CB"/>
    <w:rsid w:val="00D824FF"/>
    <w:rsid w:val="00D8276F"/>
    <w:rsid w:val="00D827B6"/>
    <w:rsid w:val="00D82B0D"/>
    <w:rsid w:val="00D82C2B"/>
    <w:rsid w:val="00D83172"/>
    <w:rsid w:val="00D8318B"/>
    <w:rsid w:val="00D83362"/>
    <w:rsid w:val="00D83602"/>
    <w:rsid w:val="00D837AB"/>
    <w:rsid w:val="00D83824"/>
    <w:rsid w:val="00D83955"/>
    <w:rsid w:val="00D83B48"/>
    <w:rsid w:val="00D83EEE"/>
    <w:rsid w:val="00D83F98"/>
    <w:rsid w:val="00D841E2"/>
    <w:rsid w:val="00D8428C"/>
    <w:rsid w:val="00D842F9"/>
    <w:rsid w:val="00D8440C"/>
    <w:rsid w:val="00D84496"/>
    <w:rsid w:val="00D84734"/>
    <w:rsid w:val="00D84735"/>
    <w:rsid w:val="00D848BD"/>
    <w:rsid w:val="00D848C4"/>
    <w:rsid w:val="00D84A2B"/>
    <w:rsid w:val="00D84ABE"/>
    <w:rsid w:val="00D84D93"/>
    <w:rsid w:val="00D8516B"/>
    <w:rsid w:val="00D85382"/>
    <w:rsid w:val="00D854AC"/>
    <w:rsid w:val="00D8555E"/>
    <w:rsid w:val="00D85629"/>
    <w:rsid w:val="00D85909"/>
    <w:rsid w:val="00D8595C"/>
    <w:rsid w:val="00D859D8"/>
    <w:rsid w:val="00D85B5A"/>
    <w:rsid w:val="00D85B6E"/>
    <w:rsid w:val="00D85C77"/>
    <w:rsid w:val="00D85D32"/>
    <w:rsid w:val="00D85EA2"/>
    <w:rsid w:val="00D862EC"/>
    <w:rsid w:val="00D86436"/>
    <w:rsid w:val="00D86528"/>
    <w:rsid w:val="00D8654D"/>
    <w:rsid w:val="00D865BE"/>
    <w:rsid w:val="00D865E9"/>
    <w:rsid w:val="00D865EA"/>
    <w:rsid w:val="00D866A7"/>
    <w:rsid w:val="00D86824"/>
    <w:rsid w:val="00D86AEE"/>
    <w:rsid w:val="00D86AF2"/>
    <w:rsid w:val="00D86CC3"/>
    <w:rsid w:val="00D86D07"/>
    <w:rsid w:val="00D86E19"/>
    <w:rsid w:val="00D86EF9"/>
    <w:rsid w:val="00D87155"/>
    <w:rsid w:val="00D87499"/>
    <w:rsid w:val="00D8766D"/>
    <w:rsid w:val="00D876A9"/>
    <w:rsid w:val="00D876B6"/>
    <w:rsid w:val="00D87927"/>
    <w:rsid w:val="00D87B1A"/>
    <w:rsid w:val="00D87BDA"/>
    <w:rsid w:val="00D87BE6"/>
    <w:rsid w:val="00D87E5D"/>
    <w:rsid w:val="00D87FEC"/>
    <w:rsid w:val="00D90011"/>
    <w:rsid w:val="00D902D0"/>
    <w:rsid w:val="00D90522"/>
    <w:rsid w:val="00D9055F"/>
    <w:rsid w:val="00D90AD1"/>
    <w:rsid w:val="00D90D28"/>
    <w:rsid w:val="00D90F65"/>
    <w:rsid w:val="00D90FBD"/>
    <w:rsid w:val="00D911DE"/>
    <w:rsid w:val="00D9127E"/>
    <w:rsid w:val="00D91680"/>
    <w:rsid w:val="00D9183A"/>
    <w:rsid w:val="00D91AD6"/>
    <w:rsid w:val="00D91C2D"/>
    <w:rsid w:val="00D91C36"/>
    <w:rsid w:val="00D91D8D"/>
    <w:rsid w:val="00D91EE5"/>
    <w:rsid w:val="00D9208A"/>
    <w:rsid w:val="00D920FB"/>
    <w:rsid w:val="00D92117"/>
    <w:rsid w:val="00D92312"/>
    <w:rsid w:val="00D92347"/>
    <w:rsid w:val="00D92543"/>
    <w:rsid w:val="00D928C9"/>
    <w:rsid w:val="00D92A3C"/>
    <w:rsid w:val="00D92B3E"/>
    <w:rsid w:val="00D92CAE"/>
    <w:rsid w:val="00D92D21"/>
    <w:rsid w:val="00D92FB7"/>
    <w:rsid w:val="00D931BC"/>
    <w:rsid w:val="00D93345"/>
    <w:rsid w:val="00D934AE"/>
    <w:rsid w:val="00D934E1"/>
    <w:rsid w:val="00D93522"/>
    <w:rsid w:val="00D93602"/>
    <w:rsid w:val="00D93664"/>
    <w:rsid w:val="00D936E3"/>
    <w:rsid w:val="00D936F4"/>
    <w:rsid w:val="00D937FA"/>
    <w:rsid w:val="00D93815"/>
    <w:rsid w:val="00D939FE"/>
    <w:rsid w:val="00D93B18"/>
    <w:rsid w:val="00D93C60"/>
    <w:rsid w:val="00D93D03"/>
    <w:rsid w:val="00D9404F"/>
    <w:rsid w:val="00D942DD"/>
    <w:rsid w:val="00D942DF"/>
    <w:rsid w:val="00D94732"/>
    <w:rsid w:val="00D947D1"/>
    <w:rsid w:val="00D948BC"/>
    <w:rsid w:val="00D94957"/>
    <w:rsid w:val="00D94A37"/>
    <w:rsid w:val="00D9520C"/>
    <w:rsid w:val="00D952E8"/>
    <w:rsid w:val="00D9545A"/>
    <w:rsid w:val="00D9564B"/>
    <w:rsid w:val="00D956EB"/>
    <w:rsid w:val="00D95818"/>
    <w:rsid w:val="00D9581E"/>
    <w:rsid w:val="00D95858"/>
    <w:rsid w:val="00D9594B"/>
    <w:rsid w:val="00D95ACB"/>
    <w:rsid w:val="00D95CC1"/>
    <w:rsid w:val="00D95ED9"/>
    <w:rsid w:val="00D95F13"/>
    <w:rsid w:val="00D96012"/>
    <w:rsid w:val="00D961EE"/>
    <w:rsid w:val="00D963B5"/>
    <w:rsid w:val="00D96401"/>
    <w:rsid w:val="00D965B9"/>
    <w:rsid w:val="00D966CF"/>
    <w:rsid w:val="00D967C2"/>
    <w:rsid w:val="00D968FB"/>
    <w:rsid w:val="00D96948"/>
    <w:rsid w:val="00D96A04"/>
    <w:rsid w:val="00D96AA4"/>
    <w:rsid w:val="00D96BA4"/>
    <w:rsid w:val="00D96D66"/>
    <w:rsid w:val="00D96DDC"/>
    <w:rsid w:val="00D96F0B"/>
    <w:rsid w:val="00D97114"/>
    <w:rsid w:val="00D974CD"/>
    <w:rsid w:val="00D975A6"/>
    <w:rsid w:val="00D976D7"/>
    <w:rsid w:val="00D9773D"/>
    <w:rsid w:val="00D977D0"/>
    <w:rsid w:val="00D9782E"/>
    <w:rsid w:val="00D9788F"/>
    <w:rsid w:val="00D97950"/>
    <w:rsid w:val="00D97BD0"/>
    <w:rsid w:val="00D97C02"/>
    <w:rsid w:val="00D97F93"/>
    <w:rsid w:val="00DA0079"/>
    <w:rsid w:val="00DA051C"/>
    <w:rsid w:val="00DA0828"/>
    <w:rsid w:val="00DA08BE"/>
    <w:rsid w:val="00DA08E6"/>
    <w:rsid w:val="00DA096A"/>
    <w:rsid w:val="00DA0B01"/>
    <w:rsid w:val="00DA0BD6"/>
    <w:rsid w:val="00DA0F5A"/>
    <w:rsid w:val="00DA0FA8"/>
    <w:rsid w:val="00DA1279"/>
    <w:rsid w:val="00DA12DB"/>
    <w:rsid w:val="00DA137C"/>
    <w:rsid w:val="00DA13F1"/>
    <w:rsid w:val="00DA168D"/>
    <w:rsid w:val="00DA19A9"/>
    <w:rsid w:val="00DA1C16"/>
    <w:rsid w:val="00DA1D23"/>
    <w:rsid w:val="00DA236B"/>
    <w:rsid w:val="00DA2382"/>
    <w:rsid w:val="00DA24E0"/>
    <w:rsid w:val="00DA25B6"/>
    <w:rsid w:val="00DA2786"/>
    <w:rsid w:val="00DA28E0"/>
    <w:rsid w:val="00DA28EC"/>
    <w:rsid w:val="00DA2909"/>
    <w:rsid w:val="00DA2949"/>
    <w:rsid w:val="00DA299A"/>
    <w:rsid w:val="00DA2A14"/>
    <w:rsid w:val="00DA2B16"/>
    <w:rsid w:val="00DA2B54"/>
    <w:rsid w:val="00DA2BCF"/>
    <w:rsid w:val="00DA3732"/>
    <w:rsid w:val="00DA3777"/>
    <w:rsid w:val="00DA37CE"/>
    <w:rsid w:val="00DA38F4"/>
    <w:rsid w:val="00DA3907"/>
    <w:rsid w:val="00DA3A2D"/>
    <w:rsid w:val="00DA3BDD"/>
    <w:rsid w:val="00DA3C6D"/>
    <w:rsid w:val="00DA3D46"/>
    <w:rsid w:val="00DA3DF9"/>
    <w:rsid w:val="00DA3E97"/>
    <w:rsid w:val="00DA414C"/>
    <w:rsid w:val="00DA4266"/>
    <w:rsid w:val="00DA42C8"/>
    <w:rsid w:val="00DA449A"/>
    <w:rsid w:val="00DA45AF"/>
    <w:rsid w:val="00DA4722"/>
    <w:rsid w:val="00DA4859"/>
    <w:rsid w:val="00DA48D2"/>
    <w:rsid w:val="00DA4B92"/>
    <w:rsid w:val="00DA4BBF"/>
    <w:rsid w:val="00DA4BF1"/>
    <w:rsid w:val="00DA4C7B"/>
    <w:rsid w:val="00DA4FA5"/>
    <w:rsid w:val="00DA5019"/>
    <w:rsid w:val="00DA5096"/>
    <w:rsid w:val="00DA50C8"/>
    <w:rsid w:val="00DA50F5"/>
    <w:rsid w:val="00DA5223"/>
    <w:rsid w:val="00DA52CC"/>
    <w:rsid w:val="00DA52E8"/>
    <w:rsid w:val="00DA532B"/>
    <w:rsid w:val="00DA556D"/>
    <w:rsid w:val="00DA55A0"/>
    <w:rsid w:val="00DA5901"/>
    <w:rsid w:val="00DA5B4E"/>
    <w:rsid w:val="00DA5B66"/>
    <w:rsid w:val="00DA5BC9"/>
    <w:rsid w:val="00DA61F4"/>
    <w:rsid w:val="00DA655A"/>
    <w:rsid w:val="00DA656E"/>
    <w:rsid w:val="00DA685D"/>
    <w:rsid w:val="00DA6C7C"/>
    <w:rsid w:val="00DA7021"/>
    <w:rsid w:val="00DA7084"/>
    <w:rsid w:val="00DA71E6"/>
    <w:rsid w:val="00DA7233"/>
    <w:rsid w:val="00DA7283"/>
    <w:rsid w:val="00DA7365"/>
    <w:rsid w:val="00DA76B1"/>
    <w:rsid w:val="00DA79A3"/>
    <w:rsid w:val="00DA7C27"/>
    <w:rsid w:val="00DA7D49"/>
    <w:rsid w:val="00DA7D98"/>
    <w:rsid w:val="00DA7F91"/>
    <w:rsid w:val="00DB010D"/>
    <w:rsid w:val="00DB029C"/>
    <w:rsid w:val="00DB0429"/>
    <w:rsid w:val="00DB045A"/>
    <w:rsid w:val="00DB0553"/>
    <w:rsid w:val="00DB06A5"/>
    <w:rsid w:val="00DB088E"/>
    <w:rsid w:val="00DB08B2"/>
    <w:rsid w:val="00DB096B"/>
    <w:rsid w:val="00DB0CC2"/>
    <w:rsid w:val="00DB0D91"/>
    <w:rsid w:val="00DB0E6C"/>
    <w:rsid w:val="00DB10C5"/>
    <w:rsid w:val="00DB10FA"/>
    <w:rsid w:val="00DB1254"/>
    <w:rsid w:val="00DB13F5"/>
    <w:rsid w:val="00DB15D8"/>
    <w:rsid w:val="00DB194D"/>
    <w:rsid w:val="00DB1BF6"/>
    <w:rsid w:val="00DB212C"/>
    <w:rsid w:val="00DB23BD"/>
    <w:rsid w:val="00DB2422"/>
    <w:rsid w:val="00DB2511"/>
    <w:rsid w:val="00DB25E7"/>
    <w:rsid w:val="00DB26A2"/>
    <w:rsid w:val="00DB2814"/>
    <w:rsid w:val="00DB294B"/>
    <w:rsid w:val="00DB2AED"/>
    <w:rsid w:val="00DB2C07"/>
    <w:rsid w:val="00DB2CAA"/>
    <w:rsid w:val="00DB2E7E"/>
    <w:rsid w:val="00DB3112"/>
    <w:rsid w:val="00DB37BF"/>
    <w:rsid w:val="00DB393F"/>
    <w:rsid w:val="00DB3A59"/>
    <w:rsid w:val="00DB3C03"/>
    <w:rsid w:val="00DB3EE2"/>
    <w:rsid w:val="00DB3F11"/>
    <w:rsid w:val="00DB3FB3"/>
    <w:rsid w:val="00DB4043"/>
    <w:rsid w:val="00DB410F"/>
    <w:rsid w:val="00DB4145"/>
    <w:rsid w:val="00DB41D7"/>
    <w:rsid w:val="00DB4325"/>
    <w:rsid w:val="00DB4458"/>
    <w:rsid w:val="00DB454D"/>
    <w:rsid w:val="00DB497F"/>
    <w:rsid w:val="00DB49DE"/>
    <w:rsid w:val="00DB4B6F"/>
    <w:rsid w:val="00DB4BCB"/>
    <w:rsid w:val="00DB4C02"/>
    <w:rsid w:val="00DB4CB8"/>
    <w:rsid w:val="00DB4CC5"/>
    <w:rsid w:val="00DB4CD2"/>
    <w:rsid w:val="00DB4D5C"/>
    <w:rsid w:val="00DB4D63"/>
    <w:rsid w:val="00DB4E87"/>
    <w:rsid w:val="00DB503A"/>
    <w:rsid w:val="00DB5059"/>
    <w:rsid w:val="00DB5117"/>
    <w:rsid w:val="00DB5141"/>
    <w:rsid w:val="00DB5255"/>
    <w:rsid w:val="00DB5273"/>
    <w:rsid w:val="00DB54FC"/>
    <w:rsid w:val="00DB5695"/>
    <w:rsid w:val="00DB5D3E"/>
    <w:rsid w:val="00DB5D51"/>
    <w:rsid w:val="00DB5D82"/>
    <w:rsid w:val="00DB5E6A"/>
    <w:rsid w:val="00DB5E92"/>
    <w:rsid w:val="00DB5EC9"/>
    <w:rsid w:val="00DB5FD8"/>
    <w:rsid w:val="00DB60A6"/>
    <w:rsid w:val="00DB60FB"/>
    <w:rsid w:val="00DB6371"/>
    <w:rsid w:val="00DB644E"/>
    <w:rsid w:val="00DB66E1"/>
    <w:rsid w:val="00DB6882"/>
    <w:rsid w:val="00DB6AC2"/>
    <w:rsid w:val="00DB6AD8"/>
    <w:rsid w:val="00DB6BBB"/>
    <w:rsid w:val="00DB6E48"/>
    <w:rsid w:val="00DB6F05"/>
    <w:rsid w:val="00DB71A6"/>
    <w:rsid w:val="00DB725C"/>
    <w:rsid w:val="00DB72AD"/>
    <w:rsid w:val="00DB73C2"/>
    <w:rsid w:val="00DB7414"/>
    <w:rsid w:val="00DB780C"/>
    <w:rsid w:val="00DB78B3"/>
    <w:rsid w:val="00DB7DEB"/>
    <w:rsid w:val="00DB7E5D"/>
    <w:rsid w:val="00DB7ED9"/>
    <w:rsid w:val="00DB7F10"/>
    <w:rsid w:val="00DC00C3"/>
    <w:rsid w:val="00DC0306"/>
    <w:rsid w:val="00DC0368"/>
    <w:rsid w:val="00DC0410"/>
    <w:rsid w:val="00DC04AA"/>
    <w:rsid w:val="00DC06D4"/>
    <w:rsid w:val="00DC0985"/>
    <w:rsid w:val="00DC0A86"/>
    <w:rsid w:val="00DC0B1E"/>
    <w:rsid w:val="00DC0BFC"/>
    <w:rsid w:val="00DC0CF5"/>
    <w:rsid w:val="00DC0ED0"/>
    <w:rsid w:val="00DC138B"/>
    <w:rsid w:val="00DC138F"/>
    <w:rsid w:val="00DC14B1"/>
    <w:rsid w:val="00DC158E"/>
    <w:rsid w:val="00DC1738"/>
    <w:rsid w:val="00DC178C"/>
    <w:rsid w:val="00DC1797"/>
    <w:rsid w:val="00DC17DD"/>
    <w:rsid w:val="00DC1814"/>
    <w:rsid w:val="00DC19DB"/>
    <w:rsid w:val="00DC1B31"/>
    <w:rsid w:val="00DC1CD5"/>
    <w:rsid w:val="00DC1E75"/>
    <w:rsid w:val="00DC1EA6"/>
    <w:rsid w:val="00DC20B4"/>
    <w:rsid w:val="00DC2103"/>
    <w:rsid w:val="00DC24C4"/>
    <w:rsid w:val="00DC25BA"/>
    <w:rsid w:val="00DC27AC"/>
    <w:rsid w:val="00DC2C28"/>
    <w:rsid w:val="00DC2CD5"/>
    <w:rsid w:val="00DC2DD3"/>
    <w:rsid w:val="00DC2FEF"/>
    <w:rsid w:val="00DC3489"/>
    <w:rsid w:val="00DC37E7"/>
    <w:rsid w:val="00DC384E"/>
    <w:rsid w:val="00DC3894"/>
    <w:rsid w:val="00DC38E4"/>
    <w:rsid w:val="00DC3A14"/>
    <w:rsid w:val="00DC3AB5"/>
    <w:rsid w:val="00DC3B0D"/>
    <w:rsid w:val="00DC3B0E"/>
    <w:rsid w:val="00DC3C7C"/>
    <w:rsid w:val="00DC3D53"/>
    <w:rsid w:val="00DC3EFF"/>
    <w:rsid w:val="00DC3F6B"/>
    <w:rsid w:val="00DC3F87"/>
    <w:rsid w:val="00DC4044"/>
    <w:rsid w:val="00DC432F"/>
    <w:rsid w:val="00DC4490"/>
    <w:rsid w:val="00DC4551"/>
    <w:rsid w:val="00DC4742"/>
    <w:rsid w:val="00DC47A1"/>
    <w:rsid w:val="00DC47A8"/>
    <w:rsid w:val="00DC47D1"/>
    <w:rsid w:val="00DC481B"/>
    <w:rsid w:val="00DC482D"/>
    <w:rsid w:val="00DC4A88"/>
    <w:rsid w:val="00DC4AE2"/>
    <w:rsid w:val="00DC4C4E"/>
    <w:rsid w:val="00DC4CF2"/>
    <w:rsid w:val="00DC4D6F"/>
    <w:rsid w:val="00DC4EE6"/>
    <w:rsid w:val="00DC4EFF"/>
    <w:rsid w:val="00DC4FB4"/>
    <w:rsid w:val="00DC5093"/>
    <w:rsid w:val="00DC5098"/>
    <w:rsid w:val="00DC5415"/>
    <w:rsid w:val="00DC5467"/>
    <w:rsid w:val="00DC5B5B"/>
    <w:rsid w:val="00DC5DC9"/>
    <w:rsid w:val="00DC5EA1"/>
    <w:rsid w:val="00DC6186"/>
    <w:rsid w:val="00DC6545"/>
    <w:rsid w:val="00DC66D6"/>
    <w:rsid w:val="00DC6927"/>
    <w:rsid w:val="00DC6B32"/>
    <w:rsid w:val="00DC6D78"/>
    <w:rsid w:val="00DC6F91"/>
    <w:rsid w:val="00DC6FC3"/>
    <w:rsid w:val="00DC722C"/>
    <w:rsid w:val="00DC74F2"/>
    <w:rsid w:val="00DC770D"/>
    <w:rsid w:val="00DC78E1"/>
    <w:rsid w:val="00DC7929"/>
    <w:rsid w:val="00DC7958"/>
    <w:rsid w:val="00DC79DC"/>
    <w:rsid w:val="00DC7D02"/>
    <w:rsid w:val="00DC7D44"/>
    <w:rsid w:val="00DC7FDA"/>
    <w:rsid w:val="00DD007E"/>
    <w:rsid w:val="00DD02B7"/>
    <w:rsid w:val="00DD02E7"/>
    <w:rsid w:val="00DD045A"/>
    <w:rsid w:val="00DD0553"/>
    <w:rsid w:val="00DD0654"/>
    <w:rsid w:val="00DD06CD"/>
    <w:rsid w:val="00DD07D3"/>
    <w:rsid w:val="00DD0842"/>
    <w:rsid w:val="00DD0AD3"/>
    <w:rsid w:val="00DD0CEF"/>
    <w:rsid w:val="00DD0DA7"/>
    <w:rsid w:val="00DD0E04"/>
    <w:rsid w:val="00DD0ED2"/>
    <w:rsid w:val="00DD0F64"/>
    <w:rsid w:val="00DD0FD9"/>
    <w:rsid w:val="00DD1191"/>
    <w:rsid w:val="00DD14D3"/>
    <w:rsid w:val="00DD15E8"/>
    <w:rsid w:val="00DD167A"/>
    <w:rsid w:val="00DD17D1"/>
    <w:rsid w:val="00DD18E3"/>
    <w:rsid w:val="00DD1A6D"/>
    <w:rsid w:val="00DD1DB2"/>
    <w:rsid w:val="00DD205E"/>
    <w:rsid w:val="00DD2245"/>
    <w:rsid w:val="00DD245D"/>
    <w:rsid w:val="00DD268E"/>
    <w:rsid w:val="00DD2AE0"/>
    <w:rsid w:val="00DD2D0D"/>
    <w:rsid w:val="00DD2E37"/>
    <w:rsid w:val="00DD3040"/>
    <w:rsid w:val="00DD31F5"/>
    <w:rsid w:val="00DD32FA"/>
    <w:rsid w:val="00DD3376"/>
    <w:rsid w:val="00DD3503"/>
    <w:rsid w:val="00DD357D"/>
    <w:rsid w:val="00DD3586"/>
    <w:rsid w:val="00DD3A7D"/>
    <w:rsid w:val="00DD3EB4"/>
    <w:rsid w:val="00DD3F52"/>
    <w:rsid w:val="00DD40A8"/>
    <w:rsid w:val="00DD42C7"/>
    <w:rsid w:val="00DD435A"/>
    <w:rsid w:val="00DD43AE"/>
    <w:rsid w:val="00DD45EA"/>
    <w:rsid w:val="00DD45F7"/>
    <w:rsid w:val="00DD472F"/>
    <w:rsid w:val="00DD47F7"/>
    <w:rsid w:val="00DD4AF0"/>
    <w:rsid w:val="00DD4B23"/>
    <w:rsid w:val="00DD4ED0"/>
    <w:rsid w:val="00DD5055"/>
    <w:rsid w:val="00DD5164"/>
    <w:rsid w:val="00DD595F"/>
    <w:rsid w:val="00DD5A8B"/>
    <w:rsid w:val="00DD5E17"/>
    <w:rsid w:val="00DD6174"/>
    <w:rsid w:val="00DD63CA"/>
    <w:rsid w:val="00DD64B3"/>
    <w:rsid w:val="00DD64EA"/>
    <w:rsid w:val="00DD6683"/>
    <w:rsid w:val="00DD69C6"/>
    <w:rsid w:val="00DD6B2B"/>
    <w:rsid w:val="00DD6BBC"/>
    <w:rsid w:val="00DD6BDB"/>
    <w:rsid w:val="00DD6CE6"/>
    <w:rsid w:val="00DD6D49"/>
    <w:rsid w:val="00DD6D8E"/>
    <w:rsid w:val="00DD6F45"/>
    <w:rsid w:val="00DD7005"/>
    <w:rsid w:val="00DD7108"/>
    <w:rsid w:val="00DD7162"/>
    <w:rsid w:val="00DD71FC"/>
    <w:rsid w:val="00DD7391"/>
    <w:rsid w:val="00DD742B"/>
    <w:rsid w:val="00DD7567"/>
    <w:rsid w:val="00DD78A7"/>
    <w:rsid w:val="00DD7972"/>
    <w:rsid w:val="00DD7A34"/>
    <w:rsid w:val="00DD7C1F"/>
    <w:rsid w:val="00DD7D86"/>
    <w:rsid w:val="00DD7ECE"/>
    <w:rsid w:val="00DD7F47"/>
    <w:rsid w:val="00DD7FD8"/>
    <w:rsid w:val="00DE01FD"/>
    <w:rsid w:val="00DE0389"/>
    <w:rsid w:val="00DE06D8"/>
    <w:rsid w:val="00DE07F2"/>
    <w:rsid w:val="00DE0877"/>
    <w:rsid w:val="00DE09AE"/>
    <w:rsid w:val="00DE0BA8"/>
    <w:rsid w:val="00DE10C4"/>
    <w:rsid w:val="00DE1170"/>
    <w:rsid w:val="00DE1215"/>
    <w:rsid w:val="00DE12E9"/>
    <w:rsid w:val="00DE1690"/>
    <w:rsid w:val="00DE16FE"/>
    <w:rsid w:val="00DE173A"/>
    <w:rsid w:val="00DE1822"/>
    <w:rsid w:val="00DE183E"/>
    <w:rsid w:val="00DE18C5"/>
    <w:rsid w:val="00DE1CA8"/>
    <w:rsid w:val="00DE1CAA"/>
    <w:rsid w:val="00DE1DC4"/>
    <w:rsid w:val="00DE1ED4"/>
    <w:rsid w:val="00DE1F0B"/>
    <w:rsid w:val="00DE1F1A"/>
    <w:rsid w:val="00DE1FE1"/>
    <w:rsid w:val="00DE2037"/>
    <w:rsid w:val="00DE2444"/>
    <w:rsid w:val="00DE250F"/>
    <w:rsid w:val="00DE2533"/>
    <w:rsid w:val="00DE2548"/>
    <w:rsid w:val="00DE2695"/>
    <w:rsid w:val="00DE2752"/>
    <w:rsid w:val="00DE27F3"/>
    <w:rsid w:val="00DE2852"/>
    <w:rsid w:val="00DE2989"/>
    <w:rsid w:val="00DE29B0"/>
    <w:rsid w:val="00DE2A3C"/>
    <w:rsid w:val="00DE2BF2"/>
    <w:rsid w:val="00DE303A"/>
    <w:rsid w:val="00DE3267"/>
    <w:rsid w:val="00DE32BE"/>
    <w:rsid w:val="00DE333A"/>
    <w:rsid w:val="00DE3344"/>
    <w:rsid w:val="00DE37AD"/>
    <w:rsid w:val="00DE390B"/>
    <w:rsid w:val="00DE3C0E"/>
    <w:rsid w:val="00DE3CA5"/>
    <w:rsid w:val="00DE3E3B"/>
    <w:rsid w:val="00DE4024"/>
    <w:rsid w:val="00DE409D"/>
    <w:rsid w:val="00DE4353"/>
    <w:rsid w:val="00DE444E"/>
    <w:rsid w:val="00DE4460"/>
    <w:rsid w:val="00DE44B9"/>
    <w:rsid w:val="00DE46DD"/>
    <w:rsid w:val="00DE47F2"/>
    <w:rsid w:val="00DE4823"/>
    <w:rsid w:val="00DE488A"/>
    <w:rsid w:val="00DE48E0"/>
    <w:rsid w:val="00DE49DE"/>
    <w:rsid w:val="00DE50A5"/>
    <w:rsid w:val="00DE513E"/>
    <w:rsid w:val="00DE549E"/>
    <w:rsid w:val="00DE55D6"/>
    <w:rsid w:val="00DE573C"/>
    <w:rsid w:val="00DE576A"/>
    <w:rsid w:val="00DE5778"/>
    <w:rsid w:val="00DE58D0"/>
    <w:rsid w:val="00DE5901"/>
    <w:rsid w:val="00DE5959"/>
    <w:rsid w:val="00DE5BE6"/>
    <w:rsid w:val="00DE5C94"/>
    <w:rsid w:val="00DE5DB4"/>
    <w:rsid w:val="00DE5E2A"/>
    <w:rsid w:val="00DE5F64"/>
    <w:rsid w:val="00DE6090"/>
    <w:rsid w:val="00DE60BE"/>
    <w:rsid w:val="00DE631E"/>
    <w:rsid w:val="00DE64F9"/>
    <w:rsid w:val="00DE663A"/>
    <w:rsid w:val="00DE66BA"/>
    <w:rsid w:val="00DE6A42"/>
    <w:rsid w:val="00DE6AB8"/>
    <w:rsid w:val="00DE6E51"/>
    <w:rsid w:val="00DE7142"/>
    <w:rsid w:val="00DE71CB"/>
    <w:rsid w:val="00DE72E2"/>
    <w:rsid w:val="00DE7369"/>
    <w:rsid w:val="00DE73BE"/>
    <w:rsid w:val="00DE752C"/>
    <w:rsid w:val="00DE7583"/>
    <w:rsid w:val="00DE7722"/>
    <w:rsid w:val="00DE780A"/>
    <w:rsid w:val="00DE7BC6"/>
    <w:rsid w:val="00DE7C50"/>
    <w:rsid w:val="00DE7CF8"/>
    <w:rsid w:val="00DE7DC5"/>
    <w:rsid w:val="00DE7FF8"/>
    <w:rsid w:val="00DEE47E"/>
    <w:rsid w:val="00DF0276"/>
    <w:rsid w:val="00DF0347"/>
    <w:rsid w:val="00DF05B9"/>
    <w:rsid w:val="00DF065E"/>
    <w:rsid w:val="00DF0731"/>
    <w:rsid w:val="00DF086A"/>
    <w:rsid w:val="00DF0B83"/>
    <w:rsid w:val="00DF0B9F"/>
    <w:rsid w:val="00DF0E4F"/>
    <w:rsid w:val="00DF0EB7"/>
    <w:rsid w:val="00DF1117"/>
    <w:rsid w:val="00DF11F6"/>
    <w:rsid w:val="00DF12C8"/>
    <w:rsid w:val="00DF1682"/>
    <w:rsid w:val="00DF1876"/>
    <w:rsid w:val="00DF1A0B"/>
    <w:rsid w:val="00DF1ACD"/>
    <w:rsid w:val="00DF1C03"/>
    <w:rsid w:val="00DF1E6B"/>
    <w:rsid w:val="00DF1EEC"/>
    <w:rsid w:val="00DF2153"/>
    <w:rsid w:val="00DF217D"/>
    <w:rsid w:val="00DF21A1"/>
    <w:rsid w:val="00DF2264"/>
    <w:rsid w:val="00DF22EA"/>
    <w:rsid w:val="00DF230B"/>
    <w:rsid w:val="00DF2369"/>
    <w:rsid w:val="00DF26C8"/>
    <w:rsid w:val="00DF27A0"/>
    <w:rsid w:val="00DF2BA4"/>
    <w:rsid w:val="00DF2BAE"/>
    <w:rsid w:val="00DF2C13"/>
    <w:rsid w:val="00DF2D02"/>
    <w:rsid w:val="00DF3035"/>
    <w:rsid w:val="00DF31E9"/>
    <w:rsid w:val="00DF3349"/>
    <w:rsid w:val="00DF337D"/>
    <w:rsid w:val="00DF33DA"/>
    <w:rsid w:val="00DF34F6"/>
    <w:rsid w:val="00DF350A"/>
    <w:rsid w:val="00DF3901"/>
    <w:rsid w:val="00DF39CE"/>
    <w:rsid w:val="00DF3B02"/>
    <w:rsid w:val="00DF3BE3"/>
    <w:rsid w:val="00DF3D1C"/>
    <w:rsid w:val="00DF3D2C"/>
    <w:rsid w:val="00DF4031"/>
    <w:rsid w:val="00DF4205"/>
    <w:rsid w:val="00DF42CE"/>
    <w:rsid w:val="00DF44AE"/>
    <w:rsid w:val="00DF46D4"/>
    <w:rsid w:val="00DF49B5"/>
    <w:rsid w:val="00DF49E0"/>
    <w:rsid w:val="00DF4A79"/>
    <w:rsid w:val="00DF4A82"/>
    <w:rsid w:val="00DF4AF1"/>
    <w:rsid w:val="00DF4B47"/>
    <w:rsid w:val="00DF4BAD"/>
    <w:rsid w:val="00DF4BE1"/>
    <w:rsid w:val="00DF4CD0"/>
    <w:rsid w:val="00DF4F11"/>
    <w:rsid w:val="00DF5008"/>
    <w:rsid w:val="00DF50EA"/>
    <w:rsid w:val="00DF5183"/>
    <w:rsid w:val="00DF5579"/>
    <w:rsid w:val="00DF582B"/>
    <w:rsid w:val="00DF589D"/>
    <w:rsid w:val="00DF5C4A"/>
    <w:rsid w:val="00DF5DB1"/>
    <w:rsid w:val="00DF5E86"/>
    <w:rsid w:val="00DF5FA7"/>
    <w:rsid w:val="00DF5FEA"/>
    <w:rsid w:val="00DF6053"/>
    <w:rsid w:val="00DF60BD"/>
    <w:rsid w:val="00DF6548"/>
    <w:rsid w:val="00DF68E4"/>
    <w:rsid w:val="00DF68FE"/>
    <w:rsid w:val="00DF6BFF"/>
    <w:rsid w:val="00DF7057"/>
    <w:rsid w:val="00DF7075"/>
    <w:rsid w:val="00DF718D"/>
    <w:rsid w:val="00DF76BE"/>
    <w:rsid w:val="00DF76E7"/>
    <w:rsid w:val="00DF777E"/>
    <w:rsid w:val="00DF77C0"/>
    <w:rsid w:val="00DF7831"/>
    <w:rsid w:val="00DF7B7E"/>
    <w:rsid w:val="00DF7D83"/>
    <w:rsid w:val="00E001A8"/>
    <w:rsid w:val="00E001F2"/>
    <w:rsid w:val="00E0029D"/>
    <w:rsid w:val="00E008D6"/>
    <w:rsid w:val="00E009EB"/>
    <w:rsid w:val="00E00B0E"/>
    <w:rsid w:val="00E00C94"/>
    <w:rsid w:val="00E00E90"/>
    <w:rsid w:val="00E00F99"/>
    <w:rsid w:val="00E01118"/>
    <w:rsid w:val="00E0134F"/>
    <w:rsid w:val="00E0147E"/>
    <w:rsid w:val="00E016DB"/>
    <w:rsid w:val="00E01770"/>
    <w:rsid w:val="00E01933"/>
    <w:rsid w:val="00E01A9E"/>
    <w:rsid w:val="00E02107"/>
    <w:rsid w:val="00E0219F"/>
    <w:rsid w:val="00E02388"/>
    <w:rsid w:val="00E02423"/>
    <w:rsid w:val="00E02A65"/>
    <w:rsid w:val="00E02C73"/>
    <w:rsid w:val="00E02C78"/>
    <w:rsid w:val="00E02D24"/>
    <w:rsid w:val="00E02DC2"/>
    <w:rsid w:val="00E02E2A"/>
    <w:rsid w:val="00E02FC5"/>
    <w:rsid w:val="00E02FED"/>
    <w:rsid w:val="00E03433"/>
    <w:rsid w:val="00E03451"/>
    <w:rsid w:val="00E037B0"/>
    <w:rsid w:val="00E039A4"/>
    <w:rsid w:val="00E03B16"/>
    <w:rsid w:val="00E03FAF"/>
    <w:rsid w:val="00E040E3"/>
    <w:rsid w:val="00E04159"/>
    <w:rsid w:val="00E0460C"/>
    <w:rsid w:val="00E04736"/>
    <w:rsid w:val="00E04786"/>
    <w:rsid w:val="00E0481D"/>
    <w:rsid w:val="00E04BA1"/>
    <w:rsid w:val="00E04BDD"/>
    <w:rsid w:val="00E0542B"/>
    <w:rsid w:val="00E0550C"/>
    <w:rsid w:val="00E055F7"/>
    <w:rsid w:val="00E05691"/>
    <w:rsid w:val="00E0580D"/>
    <w:rsid w:val="00E05A6E"/>
    <w:rsid w:val="00E05B6C"/>
    <w:rsid w:val="00E05DB1"/>
    <w:rsid w:val="00E05E67"/>
    <w:rsid w:val="00E05F1D"/>
    <w:rsid w:val="00E05F32"/>
    <w:rsid w:val="00E0664D"/>
    <w:rsid w:val="00E066D3"/>
    <w:rsid w:val="00E067ED"/>
    <w:rsid w:val="00E06AD0"/>
    <w:rsid w:val="00E06BAF"/>
    <w:rsid w:val="00E06D65"/>
    <w:rsid w:val="00E06E90"/>
    <w:rsid w:val="00E06F04"/>
    <w:rsid w:val="00E072F6"/>
    <w:rsid w:val="00E07377"/>
    <w:rsid w:val="00E07514"/>
    <w:rsid w:val="00E075C4"/>
    <w:rsid w:val="00E0769A"/>
    <w:rsid w:val="00E07756"/>
    <w:rsid w:val="00E0794A"/>
    <w:rsid w:val="00E07AE9"/>
    <w:rsid w:val="00E07BFA"/>
    <w:rsid w:val="00E07D7F"/>
    <w:rsid w:val="00E07E47"/>
    <w:rsid w:val="00E07F00"/>
    <w:rsid w:val="00E07FD2"/>
    <w:rsid w:val="00E10314"/>
    <w:rsid w:val="00E103CA"/>
    <w:rsid w:val="00E103E3"/>
    <w:rsid w:val="00E10422"/>
    <w:rsid w:val="00E10456"/>
    <w:rsid w:val="00E104FF"/>
    <w:rsid w:val="00E10546"/>
    <w:rsid w:val="00E10CDC"/>
    <w:rsid w:val="00E10CFB"/>
    <w:rsid w:val="00E10D45"/>
    <w:rsid w:val="00E10E6F"/>
    <w:rsid w:val="00E10F65"/>
    <w:rsid w:val="00E11055"/>
    <w:rsid w:val="00E110FF"/>
    <w:rsid w:val="00E1123C"/>
    <w:rsid w:val="00E11346"/>
    <w:rsid w:val="00E11401"/>
    <w:rsid w:val="00E11526"/>
    <w:rsid w:val="00E11640"/>
    <w:rsid w:val="00E11825"/>
    <w:rsid w:val="00E1183D"/>
    <w:rsid w:val="00E1196D"/>
    <w:rsid w:val="00E119B3"/>
    <w:rsid w:val="00E11A8D"/>
    <w:rsid w:val="00E11AC6"/>
    <w:rsid w:val="00E11BA4"/>
    <w:rsid w:val="00E11C15"/>
    <w:rsid w:val="00E11C99"/>
    <w:rsid w:val="00E11CF3"/>
    <w:rsid w:val="00E11D50"/>
    <w:rsid w:val="00E11DC2"/>
    <w:rsid w:val="00E11FF3"/>
    <w:rsid w:val="00E121ED"/>
    <w:rsid w:val="00E1259A"/>
    <w:rsid w:val="00E1292A"/>
    <w:rsid w:val="00E12BBA"/>
    <w:rsid w:val="00E13395"/>
    <w:rsid w:val="00E1342A"/>
    <w:rsid w:val="00E1349C"/>
    <w:rsid w:val="00E1355F"/>
    <w:rsid w:val="00E138DF"/>
    <w:rsid w:val="00E13A1F"/>
    <w:rsid w:val="00E13AEA"/>
    <w:rsid w:val="00E13B2D"/>
    <w:rsid w:val="00E13CE9"/>
    <w:rsid w:val="00E13EFC"/>
    <w:rsid w:val="00E140A2"/>
    <w:rsid w:val="00E14147"/>
    <w:rsid w:val="00E1426D"/>
    <w:rsid w:val="00E14489"/>
    <w:rsid w:val="00E144C9"/>
    <w:rsid w:val="00E14553"/>
    <w:rsid w:val="00E145C8"/>
    <w:rsid w:val="00E14949"/>
    <w:rsid w:val="00E149AF"/>
    <w:rsid w:val="00E14B1B"/>
    <w:rsid w:val="00E14C8B"/>
    <w:rsid w:val="00E15168"/>
    <w:rsid w:val="00E151ED"/>
    <w:rsid w:val="00E152EF"/>
    <w:rsid w:val="00E15483"/>
    <w:rsid w:val="00E155AE"/>
    <w:rsid w:val="00E15656"/>
    <w:rsid w:val="00E156C9"/>
    <w:rsid w:val="00E157B5"/>
    <w:rsid w:val="00E1581A"/>
    <w:rsid w:val="00E15ACA"/>
    <w:rsid w:val="00E15BBE"/>
    <w:rsid w:val="00E15C2B"/>
    <w:rsid w:val="00E15C74"/>
    <w:rsid w:val="00E15C8F"/>
    <w:rsid w:val="00E15ED1"/>
    <w:rsid w:val="00E15EE4"/>
    <w:rsid w:val="00E16271"/>
    <w:rsid w:val="00E165AA"/>
    <w:rsid w:val="00E16614"/>
    <w:rsid w:val="00E168BB"/>
    <w:rsid w:val="00E16917"/>
    <w:rsid w:val="00E16944"/>
    <w:rsid w:val="00E16A03"/>
    <w:rsid w:val="00E16A69"/>
    <w:rsid w:val="00E16AA1"/>
    <w:rsid w:val="00E16EA1"/>
    <w:rsid w:val="00E16FE7"/>
    <w:rsid w:val="00E170F7"/>
    <w:rsid w:val="00E173DD"/>
    <w:rsid w:val="00E175BB"/>
    <w:rsid w:val="00E17600"/>
    <w:rsid w:val="00E17785"/>
    <w:rsid w:val="00E17847"/>
    <w:rsid w:val="00E17893"/>
    <w:rsid w:val="00E178DC"/>
    <w:rsid w:val="00E17C72"/>
    <w:rsid w:val="00E2003B"/>
    <w:rsid w:val="00E20069"/>
    <w:rsid w:val="00E200B1"/>
    <w:rsid w:val="00E200F3"/>
    <w:rsid w:val="00E20405"/>
    <w:rsid w:val="00E2042A"/>
    <w:rsid w:val="00E20584"/>
    <w:rsid w:val="00E2062E"/>
    <w:rsid w:val="00E2063B"/>
    <w:rsid w:val="00E2069E"/>
    <w:rsid w:val="00E206E1"/>
    <w:rsid w:val="00E20871"/>
    <w:rsid w:val="00E20A33"/>
    <w:rsid w:val="00E20C4E"/>
    <w:rsid w:val="00E20C8E"/>
    <w:rsid w:val="00E20D0C"/>
    <w:rsid w:val="00E20D8C"/>
    <w:rsid w:val="00E20F39"/>
    <w:rsid w:val="00E20F66"/>
    <w:rsid w:val="00E20F94"/>
    <w:rsid w:val="00E2116E"/>
    <w:rsid w:val="00E21474"/>
    <w:rsid w:val="00E214C1"/>
    <w:rsid w:val="00E2169C"/>
    <w:rsid w:val="00E217FB"/>
    <w:rsid w:val="00E21904"/>
    <w:rsid w:val="00E21934"/>
    <w:rsid w:val="00E21A05"/>
    <w:rsid w:val="00E21A7F"/>
    <w:rsid w:val="00E21AF7"/>
    <w:rsid w:val="00E21BBC"/>
    <w:rsid w:val="00E21D50"/>
    <w:rsid w:val="00E22101"/>
    <w:rsid w:val="00E223E1"/>
    <w:rsid w:val="00E22589"/>
    <w:rsid w:val="00E226CA"/>
    <w:rsid w:val="00E2276C"/>
    <w:rsid w:val="00E227C8"/>
    <w:rsid w:val="00E22921"/>
    <w:rsid w:val="00E22988"/>
    <w:rsid w:val="00E22A98"/>
    <w:rsid w:val="00E22C6D"/>
    <w:rsid w:val="00E22CDC"/>
    <w:rsid w:val="00E22D6B"/>
    <w:rsid w:val="00E22DCC"/>
    <w:rsid w:val="00E22FF3"/>
    <w:rsid w:val="00E22FF7"/>
    <w:rsid w:val="00E2313F"/>
    <w:rsid w:val="00E231CB"/>
    <w:rsid w:val="00E231CE"/>
    <w:rsid w:val="00E232DB"/>
    <w:rsid w:val="00E2340C"/>
    <w:rsid w:val="00E23595"/>
    <w:rsid w:val="00E235BB"/>
    <w:rsid w:val="00E23642"/>
    <w:rsid w:val="00E237B3"/>
    <w:rsid w:val="00E23818"/>
    <w:rsid w:val="00E238D3"/>
    <w:rsid w:val="00E23C02"/>
    <w:rsid w:val="00E23DED"/>
    <w:rsid w:val="00E23E9D"/>
    <w:rsid w:val="00E24017"/>
    <w:rsid w:val="00E24029"/>
    <w:rsid w:val="00E2409A"/>
    <w:rsid w:val="00E240B1"/>
    <w:rsid w:val="00E24125"/>
    <w:rsid w:val="00E242FF"/>
    <w:rsid w:val="00E243C3"/>
    <w:rsid w:val="00E2444F"/>
    <w:rsid w:val="00E24461"/>
    <w:rsid w:val="00E24538"/>
    <w:rsid w:val="00E2466A"/>
    <w:rsid w:val="00E24700"/>
    <w:rsid w:val="00E24767"/>
    <w:rsid w:val="00E2476F"/>
    <w:rsid w:val="00E2491A"/>
    <w:rsid w:val="00E24A55"/>
    <w:rsid w:val="00E24AC3"/>
    <w:rsid w:val="00E24AEE"/>
    <w:rsid w:val="00E24DB3"/>
    <w:rsid w:val="00E24FC3"/>
    <w:rsid w:val="00E24FDF"/>
    <w:rsid w:val="00E2515F"/>
    <w:rsid w:val="00E25234"/>
    <w:rsid w:val="00E25242"/>
    <w:rsid w:val="00E25324"/>
    <w:rsid w:val="00E257A3"/>
    <w:rsid w:val="00E2590D"/>
    <w:rsid w:val="00E25CC4"/>
    <w:rsid w:val="00E25E28"/>
    <w:rsid w:val="00E260FA"/>
    <w:rsid w:val="00E26168"/>
    <w:rsid w:val="00E261C5"/>
    <w:rsid w:val="00E261E2"/>
    <w:rsid w:val="00E2621B"/>
    <w:rsid w:val="00E26325"/>
    <w:rsid w:val="00E26534"/>
    <w:rsid w:val="00E26665"/>
    <w:rsid w:val="00E26691"/>
    <w:rsid w:val="00E269C2"/>
    <w:rsid w:val="00E269F1"/>
    <w:rsid w:val="00E26C1F"/>
    <w:rsid w:val="00E26CF0"/>
    <w:rsid w:val="00E26E52"/>
    <w:rsid w:val="00E26E63"/>
    <w:rsid w:val="00E27336"/>
    <w:rsid w:val="00E274AC"/>
    <w:rsid w:val="00E275F6"/>
    <w:rsid w:val="00E276CB"/>
    <w:rsid w:val="00E277F3"/>
    <w:rsid w:val="00E2784C"/>
    <w:rsid w:val="00E279A8"/>
    <w:rsid w:val="00E27EB9"/>
    <w:rsid w:val="00E27F91"/>
    <w:rsid w:val="00E3002B"/>
    <w:rsid w:val="00E3002D"/>
    <w:rsid w:val="00E302D9"/>
    <w:rsid w:val="00E3038C"/>
    <w:rsid w:val="00E30439"/>
    <w:rsid w:val="00E3043C"/>
    <w:rsid w:val="00E307C4"/>
    <w:rsid w:val="00E30874"/>
    <w:rsid w:val="00E30922"/>
    <w:rsid w:val="00E309F1"/>
    <w:rsid w:val="00E30A23"/>
    <w:rsid w:val="00E30AEF"/>
    <w:rsid w:val="00E30BEB"/>
    <w:rsid w:val="00E30D33"/>
    <w:rsid w:val="00E30D6F"/>
    <w:rsid w:val="00E30D9B"/>
    <w:rsid w:val="00E30DA9"/>
    <w:rsid w:val="00E30E0C"/>
    <w:rsid w:val="00E30E58"/>
    <w:rsid w:val="00E31252"/>
    <w:rsid w:val="00E3147E"/>
    <w:rsid w:val="00E314AC"/>
    <w:rsid w:val="00E3195C"/>
    <w:rsid w:val="00E319F1"/>
    <w:rsid w:val="00E31AF0"/>
    <w:rsid w:val="00E31AF3"/>
    <w:rsid w:val="00E31B65"/>
    <w:rsid w:val="00E31B8C"/>
    <w:rsid w:val="00E31B95"/>
    <w:rsid w:val="00E31BA4"/>
    <w:rsid w:val="00E31E0E"/>
    <w:rsid w:val="00E32022"/>
    <w:rsid w:val="00E320EE"/>
    <w:rsid w:val="00E32397"/>
    <w:rsid w:val="00E32403"/>
    <w:rsid w:val="00E3278B"/>
    <w:rsid w:val="00E32ACA"/>
    <w:rsid w:val="00E32CD1"/>
    <w:rsid w:val="00E32E57"/>
    <w:rsid w:val="00E32E91"/>
    <w:rsid w:val="00E32F2E"/>
    <w:rsid w:val="00E32F78"/>
    <w:rsid w:val="00E3335F"/>
    <w:rsid w:val="00E33565"/>
    <w:rsid w:val="00E33B8F"/>
    <w:rsid w:val="00E33BBB"/>
    <w:rsid w:val="00E33F72"/>
    <w:rsid w:val="00E34146"/>
    <w:rsid w:val="00E34473"/>
    <w:rsid w:val="00E34503"/>
    <w:rsid w:val="00E345B7"/>
    <w:rsid w:val="00E346A0"/>
    <w:rsid w:val="00E3485E"/>
    <w:rsid w:val="00E34D9C"/>
    <w:rsid w:val="00E34F46"/>
    <w:rsid w:val="00E34FC2"/>
    <w:rsid w:val="00E351BB"/>
    <w:rsid w:val="00E35389"/>
    <w:rsid w:val="00E357B0"/>
    <w:rsid w:val="00E35857"/>
    <w:rsid w:val="00E35877"/>
    <w:rsid w:val="00E359CB"/>
    <w:rsid w:val="00E35ACF"/>
    <w:rsid w:val="00E35B02"/>
    <w:rsid w:val="00E35C5B"/>
    <w:rsid w:val="00E3629D"/>
    <w:rsid w:val="00E364F2"/>
    <w:rsid w:val="00E36A2D"/>
    <w:rsid w:val="00E36E76"/>
    <w:rsid w:val="00E36EDD"/>
    <w:rsid w:val="00E36F36"/>
    <w:rsid w:val="00E3709C"/>
    <w:rsid w:val="00E370E5"/>
    <w:rsid w:val="00E3724C"/>
    <w:rsid w:val="00E37418"/>
    <w:rsid w:val="00E3763F"/>
    <w:rsid w:val="00E37718"/>
    <w:rsid w:val="00E378A1"/>
    <w:rsid w:val="00E37985"/>
    <w:rsid w:val="00E37A32"/>
    <w:rsid w:val="00E37AD2"/>
    <w:rsid w:val="00E37BAD"/>
    <w:rsid w:val="00E37D97"/>
    <w:rsid w:val="00E37DB4"/>
    <w:rsid w:val="00E400B8"/>
    <w:rsid w:val="00E404D8"/>
    <w:rsid w:val="00E405BF"/>
    <w:rsid w:val="00E409A2"/>
    <w:rsid w:val="00E40A3A"/>
    <w:rsid w:val="00E40A5C"/>
    <w:rsid w:val="00E40A66"/>
    <w:rsid w:val="00E40C0D"/>
    <w:rsid w:val="00E40C75"/>
    <w:rsid w:val="00E40CC3"/>
    <w:rsid w:val="00E40DDE"/>
    <w:rsid w:val="00E41023"/>
    <w:rsid w:val="00E414AD"/>
    <w:rsid w:val="00E41818"/>
    <w:rsid w:val="00E41AA7"/>
    <w:rsid w:val="00E41DEB"/>
    <w:rsid w:val="00E421D6"/>
    <w:rsid w:val="00E4229B"/>
    <w:rsid w:val="00E42B75"/>
    <w:rsid w:val="00E42B7A"/>
    <w:rsid w:val="00E42B7B"/>
    <w:rsid w:val="00E42BCC"/>
    <w:rsid w:val="00E42E21"/>
    <w:rsid w:val="00E42E9D"/>
    <w:rsid w:val="00E42FA7"/>
    <w:rsid w:val="00E43087"/>
    <w:rsid w:val="00E430C4"/>
    <w:rsid w:val="00E43126"/>
    <w:rsid w:val="00E4314E"/>
    <w:rsid w:val="00E432D6"/>
    <w:rsid w:val="00E43418"/>
    <w:rsid w:val="00E4354C"/>
    <w:rsid w:val="00E4354E"/>
    <w:rsid w:val="00E4365F"/>
    <w:rsid w:val="00E436D3"/>
    <w:rsid w:val="00E43812"/>
    <w:rsid w:val="00E43C39"/>
    <w:rsid w:val="00E43D7B"/>
    <w:rsid w:val="00E44011"/>
    <w:rsid w:val="00E4488A"/>
    <w:rsid w:val="00E448B9"/>
    <w:rsid w:val="00E448E4"/>
    <w:rsid w:val="00E44A62"/>
    <w:rsid w:val="00E44CEC"/>
    <w:rsid w:val="00E44D14"/>
    <w:rsid w:val="00E44E0A"/>
    <w:rsid w:val="00E45311"/>
    <w:rsid w:val="00E45328"/>
    <w:rsid w:val="00E45536"/>
    <w:rsid w:val="00E456D6"/>
    <w:rsid w:val="00E457ED"/>
    <w:rsid w:val="00E45816"/>
    <w:rsid w:val="00E459B0"/>
    <w:rsid w:val="00E45A4B"/>
    <w:rsid w:val="00E45D32"/>
    <w:rsid w:val="00E45E2B"/>
    <w:rsid w:val="00E45EB6"/>
    <w:rsid w:val="00E4639F"/>
    <w:rsid w:val="00E46501"/>
    <w:rsid w:val="00E46553"/>
    <w:rsid w:val="00E465EB"/>
    <w:rsid w:val="00E46876"/>
    <w:rsid w:val="00E469C9"/>
    <w:rsid w:val="00E46B8F"/>
    <w:rsid w:val="00E46C22"/>
    <w:rsid w:val="00E46CA9"/>
    <w:rsid w:val="00E46D7E"/>
    <w:rsid w:val="00E46E00"/>
    <w:rsid w:val="00E47195"/>
    <w:rsid w:val="00E472EB"/>
    <w:rsid w:val="00E47311"/>
    <w:rsid w:val="00E4736F"/>
    <w:rsid w:val="00E475DE"/>
    <w:rsid w:val="00E47679"/>
    <w:rsid w:val="00E47803"/>
    <w:rsid w:val="00E4793B"/>
    <w:rsid w:val="00E47C84"/>
    <w:rsid w:val="00E47CFB"/>
    <w:rsid w:val="00E47D0A"/>
    <w:rsid w:val="00E47DE7"/>
    <w:rsid w:val="00E47DE8"/>
    <w:rsid w:val="00E47E0D"/>
    <w:rsid w:val="00E5015A"/>
    <w:rsid w:val="00E5016D"/>
    <w:rsid w:val="00E5040D"/>
    <w:rsid w:val="00E5048B"/>
    <w:rsid w:val="00E504DC"/>
    <w:rsid w:val="00E5056E"/>
    <w:rsid w:val="00E50571"/>
    <w:rsid w:val="00E506F8"/>
    <w:rsid w:val="00E50953"/>
    <w:rsid w:val="00E50BA6"/>
    <w:rsid w:val="00E50C95"/>
    <w:rsid w:val="00E50CB9"/>
    <w:rsid w:val="00E50D30"/>
    <w:rsid w:val="00E50D6D"/>
    <w:rsid w:val="00E51018"/>
    <w:rsid w:val="00E5107F"/>
    <w:rsid w:val="00E513E7"/>
    <w:rsid w:val="00E51415"/>
    <w:rsid w:val="00E51423"/>
    <w:rsid w:val="00E51951"/>
    <w:rsid w:val="00E51A47"/>
    <w:rsid w:val="00E51C47"/>
    <w:rsid w:val="00E51D1C"/>
    <w:rsid w:val="00E51E03"/>
    <w:rsid w:val="00E51E9D"/>
    <w:rsid w:val="00E520AF"/>
    <w:rsid w:val="00E5218A"/>
    <w:rsid w:val="00E522F3"/>
    <w:rsid w:val="00E52480"/>
    <w:rsid w:val="00E52547"/>
    <w:rsid w:val="00E52580"/>
    <w:rsid w:val="00E5278D"/>
    <w:rsid w:val="00E52959"/>
    <w:rsid w:val="00E52C00"/>
    <w:rsid w:val="00E52CDE"/>
    <w:rsid w:val="00E52DF2"/>
    <w:rsid w:val="00E52EA2"/>
    <w:rsid w:val="00E53033"/>
    <w:rsid w:val="00E5319F"/>
    <w:rsid w:val="00E531DF"/>
    <w:rsid w:val="00E53430"/>
    <w:rsid w:val="00E538AE"/>
    <w:rsid w:val="00E539FF"/>
    <w:rsid w:val="00E53CAB"/>
    <w:rsid w:val="00E53EBF"/>
    <w:rsid w:val="00E53EEC"/>
    <w:rsid w:val="00E54041"/>
    <w:rsid w:val="00E544AE"/>
    <w:rsid w:val="00E5479E"/>
    <w:rsid w:val="00E54A3D"/>
    <w:rsid w:val="00E54A80"/>
    <w:rsid w:val="00E54D36"/>
    <w:rsid w:val="00E54D3F"/>
    <w:rsid w:val="00E54D49"/>
    <w:rsid w:val="00E54DBF"/>
    <w:rsid w:val="00E5522E"/>
    <w:rsid w:val="00E552ED"/>
    <w:rsid w:val="00E553C0"/>
    <w:rsid w:val="00E55595"/>
    <w:rsid w:val="00E55632"/>
    <w:rsid w:val="00E55CF3"/>
    <w:rsid w:val="00E55E5E"/>
    <w:rsid w:val="00E55E83"/>
    <w:rsid w:val="00E56062"/>
    <w:rsid w:val="00E5619D"/>
    <w:rsid w:val="00E565DB"/>
    <w:rsid w:val="00E565DF"/>
    <w:rsid w:val="00E56796"/>
    <w:rsid w:val="00E567C2"/>
    <w:rsid w:val="00E56920"/>
    <w:rsid w:val="00E56960"/>
    <w:rsid w:val="00E56C13"/>
    <w:rsid w:val="00E56D7F"/>
    <w:rsid w:val="00E56DF0"/>
    <w:rsid w:val="00E56FDD"/>
    <w:rsid w:val="00E5727E"/>
    <w:rsid w:val="00E5732C"/>
    <w:rsid w:val="00E57622"/>
    <w:rsid w:val="00E57AAA"/>
    <w:rsid w:val="00E57BED"/>
    <w:rsid w:val="00E57C55"/>
    <w:rsid w:val="00E57D8F"/>
    <w:rsid w:val="00E57DA4"/>
    <w:rsid w:val="00E57DF6"/>
    <w:rsid w:val="00E57E59"/>
    <w:rsid w:val="00E57F45"/>
    <w:rsid w:val="00E57FE1"/>
    <w:rsid w:val="00E600AD"/>
    <w:rsid w:val="00E603D7"/>
    <w:rsid w:val="00E60453"/>
    <w:rsid w:val="00E605F8"/>
    <w:rsid w:val="00E60B6B"/>
    <w:rsid w:val="00E60B74"/>
    <w:rsid w:val="00E61261"/>
    <w:rsid w:val="00E614F5"/>
    <w:rsid w:val="00E616A0"/>
    <w:rsid w:val="00E6172A"/>
    <w:rsid w:val="00E61820"/>
    <w:rsid w:val="00E61E7F"/>
    <w:rsid w:val="00E61EAA"/>
    <w:rsid w:val="00E61F01"/>
    <w:rsid w:val="00E628C0"/>
    <w:rsid w:val="00E62A55"/>
    <w:rsid w:val="00E62A63"/>
    <w:rsid w:val="00E62B84"/>
    <w:rsid w:val="00E62CD3"/>
    <w:rsid w:val="00E62D9B"/>
    <w:rsid w:val="00E62E6D"/>
    <w:rsid w:val="00E6329B"/>
    <w:rsid w:val="00E637D9"/>
    <w:rsid w:val="00E63819"/>
    <w:rsid w:val="00E63918"/>
    <w:rsid w:val="00E639E8"/>
    <w:rsid w:val="00E63A36"/>
    <w:rsid w:val="00E63A60"/>
    <w:rsid w:val="00E63AA2"/>
    <w:rsid w:val="00E63BCB"/>
    <w:rsid w:val="00E63F80"/>
    <w:rsid w:val="00E63F8B"/>
    <w:rsid w:val="00E642B6"/>
    <w:rsid w:val="00E64551"/>
    <w:rsid w:val="00E6477B"/>
    <w:rsid w:val="00E64832"/>
    <w:rsid w:val="00E64A1F"/>
    <w:rsid w:val="00E64BF3"/>
    <w:rsid w:val="00E64EF6"/>
    <w:rsid w:val="00E65137"/>
    <w:rsid w:val="00E651C9"/>
    <w:rsid w:val="00E6537C"/>
    <w:rsid w:val="00E65733"/>
    <w:rsid w:val="00E658D2"/>
    <w:rsid w:val="00E65919"/>
    <w:rsid w:val="00E65BDD"/>
    <w:rsid w:val="00E65DA4"/>
    <w:rsid w:val="00E6618E"/>
    <w:rsid w:val="00E661F6"/>
    <w:rsid w:val="00E663BA"/>
    <w:rsid w:val="00E664A1"/>
    <w:rsid w:val="00E667E2"/>
    <w:rsid w:val="00E667E5"/>
    <w:rsid w:val="00E6699E"/>
    <w:rsid w:val="00E66B2E"/>
    <w:rsid w:val="00E66C88"/>
    <w:rsid w:val="00E67149"/>
    <w:rsid w:val="00E6714D"/>
    <w:rsid w:val="00E6738C"/>
    <w:rsid w:val="00E673B4"/>
    <w:rsid w:val="00E67463"/>
    <w:rsid w:val="00E67531"/>
    <w:rsid w:val="00E6765D"/>
    <w:rsid w:val="00E67661"/>
    <w:rsid w:val="00E677F8"/>
    <w:rsid w:val="00E679DF"/>
    <w:rsid w:val="00E67D02"/>
    <w:rsid w:val="00E67DCA"/>
    <w:rsid w:val="00E67E70"/>
    <w:rsid w:val="00E70094"/>
    <w:rsid w:val="00E70194"/>
    <w:rsid w:val="00E701B0"/>
    <w:rsid w:val="00E70220"/>
    <w:rsid w:val="00E70368"/>
    <w:rsid w:val="00E70861"/>
    <w:rsid w:val="00E70CB0"/>
    <w:rsid w:val="00E71077"/>
    <w:rsid w:val="00E71194"/>
    <w:rsid w:val="00E71360"/>
    <w:rsid w:val="00E713D8"/>
    <w:rsid w:val="00E718D8"/>
    <w:rsid w:val="00E72142"/>
    <w:rsid w:val="00E721AC"/>
    <w:rsid w:val="00E72265"/>
    <w:rsid w:val="00E722CF"/>
    <w:rsid w:val="00E722FE"/>
    <w:rsid w:val="00E724FC"/>
    <w:rsid w:val="00E72644"/>
    <w:rsid w:val="00E72660"/>
    <w:rsid w:val="00E72682"/>
    <w:rsid w:val="00E72691"/>
    <w:rsid w:val="00E7274E"/>
    <w:rsid w:val="00E72915"/>
    <w:rsid w:val="00E72964"/>
    <w:rsid w:val="00E72D0B"/>
    <w:rsid w:val="00E72FAE"/>
    <w:rsid w:val="00E73205"/>
    <w:rsid w:val="00E732D3"/>
    <w:rsid w:val="00E73638"/>
    <w:rsid w:val="00E73984"/>
    <w:rsid w:val="00E73A4D"/>
    <w:rsid w:val="00E73D66"/>
    <w:rsid w:val="00E73D72"/>
    <w:rsid w:val="00E73DA9"/>
    <w:rsid w:val="00E73E2B"/>
    <w:rsid w:val="00E73F4C"/>
    <w:rsid w:val="00E73F81"/>
    <w:rsid w:val="00E73FE5"/>
    <w:rsid w:val="00E740AB"/>
    <w:rsid w:val="00E742A9"/>
    <w:rsid w:val="00E742EC"/>
    <w:rsid w:val="00E7431A"/>
    <w:rsid w:val="00E745C4"/>
    <w:rsid w:val="00E74AF2"/>
    <w:rsid w:val="00E74B21"/>
    <w:rsid w:val="00E74B7A"/>
    <w:rsid w:val="00E74BDA"/>
    <w:rsid w:val="00E74BFB"/>
    <w:rsid w:val="00E74DBA"/>
    <w:rsid w:val="00E74E7C"/>
    <w:rsid w:val="00E74EAF"/>
    <w:rsid w:val="00E750BB"/>
    <w:rsid w:val="00E7534F"/>
    <w:rsid w:val="00E756B6"/>
    <w:rsid w:val="00E756BB"/>
    <w:rsid w:val="00E7572D"/>
    <w:rsid w:val="00E757DE"/>
    <w:rsid w:val="00E75A3C"/>
    <w:rsid w:val="00E75B49"/>
    <w:rsid w:val="00E75EE1"/>
    <w:rsid w:val="00E76039"/>
    <w:rsid w:val="00E760C4"/>
    <w:rsid w:val="00E7613E"/>
    <w:rsid w:val="00E76654"/>
    <w:rsid w:val="00E766D8"/>
    <w:rsid w:val="00E767B0"/>
    <w:rsid w:val="00E767FA"/>
    <w:rsid w:val="00E76A18"/>
    <w:rsid w:val="00E76B06"/>
    <w:rsid w:val="00E76B4E"/>
    <w:rsid w:val="00E76B7C"/>
    <w:rsid w:val="00E76F05"/>
    <w:rsid w:val="00E76F80"/>
    <w:rsid w:val="00E770B8"/>
    <w:rsid w:val="00E772A6"/>
    <w:rsid w:val="00E77315"/>
    <w:rsid w:val="00E77391"/>
    <w:rsid w:val="00E779AC"/>
    <w:rsid w:val="00E77AE7"/>
    <w:rsid w:val="00E77AEF"/>
    <w:rsid w:val="00E77B7C"/>
    <w:rsid w:val="00E77C70"/>
    <w:rsid w:val="00E77CB0"/>
    <w:rsid w:val="00E77DA9"/>
    <w:rsid w:val="00E77F37"/>
    <w:rsid w:val="00E8001D"/>
    <w:rsid w:val="00E8011A"/>
    <w:rsid w:val="00E8013E"/>
    <w:rsid w:val="00E802A3"/>
    <w:rsid w:val="00E80367"/>
    <w:rsid w:val="00E80404"/>
    <w:rsid w:val="00E80426"/>
    <w:rsid w:val="00E805F7"/>
    <w:rsid w:val="00E80613"/>
    <w:rsid w:val="00E80792"/>
    <w:rsid w:val="00E808FB"/>
    <w:rsid w:val="00E8095D"/>
    <w:rsid w:val="00E80BBF"/>
    <w:rsid w:val="00E80F46"/>
    <w:rsid w:val="00E81073"/>
    <w:rsid w:val="00E81156"/>
    <w:rsid w:val="00E8150D"/>
    <w:rsid w:val="00E8151A"/>
    <w:rsid w:val="00E8174E"/>
    <w:rsid w:val="00E8176F"/>
    <w:rsid w:val="00E819B1"/>
    <w:rsid w:val="00E81BC3"/>
    <w:rsid w:val="00E81CC0"/>
    <w:rsid w:val="00E81E54"/>
    <w:rsid w:val="00E81EF1"/>
    <w:rsid w:val="00E8204D"/>
    <w:rsid w:val="00E82060"/>
    <w:rsid w:val="00E821C6"/>
    <w:rsid w:val="00E824E5"/>
    <w:rsid w:val="00E8262E"/>
    <w:rsid w:val="00E8295C"/>
    <w:rsid w:val="00E82AC7"/>
    <w:rsid w:val="00E82ADA"/>
    <w:rsid w:val="00E82ECD"/>
    <w:rsid w:val="00E82ED9"/>
    <w:rsid w:val="00E830D9"/>
    <w:rsid w:val="00E830F5"/>
    <w:rsid w:val="00E831C5"/>
    <w:rsid w:val="00E8320E"/>
    <w:rsid w:val="00E83241"/>
    <w:rsid w:val="00E832EC"/>
    <w:rsid w:val="00E83432"/>
    <w:rsid w:val="00E83469"/>
    <w:rsid w:val="00E834FC"/>
    <w:rsid w:val="00E836BF"/>
    <w:rsid w:val="00E83A13"/>
    <w:rsid w:val="00E83C17"/>
    <w:rsid w:val="00E83C6F"/>
    <w:rsid w:val="00E83E1F"/>
    <w:rsid w:val="00E83FAE"/>
    <w:rsid w:val="00E840E7"/>
    <w:rsid w:val="00E840F1"/>
    <w:rsid w:val="00E842EC"/>
    <w:rsid w:val="00E84343"/>
    <w:rsid w:val="00E8441F"/>
    <w:rsid w:val="00E847FD"/>
    <w:rsid w:val="00E84D23"/>
    <w:rsid w:val="00E84F26"/>
    <w:rsid w:val="00E84F5D"/>
    <w:rsid w:val="00E84FB7"/>
    <w:rsid w:val="00E85114"/>
    <w:rsid w:val="00E8522C"/>
    <w:rsid w:val="00E85270"/>
    <w:rsid w:val="00E854C9"/>
    <w:rsid w:val="00E854DA"/>
    <w:rsid w:val="00E85519"/>
    <w:rsid w:val="00E85560"/>
    <w:rsid w:val="00E85861"/>
    <w:rsid w:val="00E85907"/>
    <w:rsid w:val="00E8595A"/>
    <w:rsid w:val="00E859E7"/>
    <w:rsid w:val="00E85B07"/>
    <w:rsid w:val="00E85BBB"/>
    <w:rsid w:val="00E85C0A"/>
    <w:rsid w:val="00E85D5B"/>
    <w:rsid w:val="00E85D75"/>
    <w:rsid w:val="00E85DAB"/>
    <w:rsid w:val="00E85ECA"/>
    <w:rsid w:val="00E86098"/>
    <w:rsid w:val="00E8613B"/>
    <w:rsid w:val="00E86207"/>
    <w:rsid w:val="00E8628D"/>
    <w:rsid w:val="00E863A0"/>
    <w:rsid w:val="00E865FD"/>
    <w:rsid w:val="00E866CF"/>
    <w:rsid w:val="00E86966"/>
    <w:rsid w:val="00E86A90"/>
    <w:rsid w:val="00E86BF8"/>
    <w:rsid w:val="00E86C0E"/>
    <w:rsid w:val="00E86E65"/>
    <w:rsid w:val="00E86EC3"/>
    <w:rsid w:val="00E87001"/>
    <w:rsid w:val="00E8722C"/>
    <w:rsid w:val="00E8734F"/>
    <w:rsid w:val="00E87422"/>
    <w:rsid w:val="00E8766B"/>
    <w:rsid w:val="00E87891"/>
    <w:rsid w:val="00E87A10"/>
    <w:rsid w:val="00E87BCB"/>
    <w:rsid w:val="00E87BFC"/>
    <w:rsid w:val="00E87C13"/>
    <w:rsid w:val="00E87C9B"/>
    <w:rsid w:val="00E87EB4"/>
    <w:rsid w:val="00E8ECCC"/>
    <w:rsid w:val="00E90154"/>
    <w:rsid w:val="00E90185"/>
    <w:rsid w:val="00E90634"/>
    <w:rsid w:val="00E90699"/>
    <w:rsid w:val="00E909BC"/>
    <w:rsid w:val="00E90AC7"/>
    <w:rsid w:val="00E90D69"/>
    <w:rsid w:val="00E90EBF"/>
    <w:rsid w:val="00E90F3B"/>
    <w:rsid w:val="00E90FD0"/>
    <w:rsid w:val="00E9126D"/>
    <w:rsid w:val="00E91337"/>
    <w:rsid w:val="00E913B6"/>
    <w:rsid w:val="00E9154B"/>
    <w:rsid w:val="00E91858"/>
    <w:rsid w:val="00E91A77"/>
    <w:rsid w:val="00E91C34"/>
    <w:rsid w:val="00E91D4B"/>
    <w:rsid w:val="00E91E70"/>
    <w:rsid w:val="00E91F82"/>
    <w:rsid w:val="00E91FCC"/>
    <w:rsid w:val="00E920C9"/>
    <w:rsid w:val="00E9227B"/>
    <w:rsid w:val="00E92282"/>
    <w:rsid w:val="00E92519"/>
    <w:rsid w:val="00E92523"/>
    <w:rsid w:val="00E92578"/>
    <w:rsid w:val="00E9286A"/>
    <w:rsid w:val="00E92A7D"/>
    <w:rsid w:val="00E93170"/>
    <w:rsid w:val="00E931B0"/>
    <w:rsid w:val="00E9323F"/>
    <w:rsid w:val="00E93462"/>
    <w:rsid w:val="00E93816"/>
    <w:rsid w:val="00E93989"/>
    <w:rsid w:val="00E93CA6"/>
    <w:rsid w:val="00E93DA7"/>
    <w:rsid w:val="00E93E17"/>
    <w:rsid w:val="00E94124"/>
    <w:rsid w:val="00E941A1"/>
    <w:rsid w:val="00E94279"/>
    <w:rsid w:val="00E942E0"/>
    <w:rsid w:val="00E944F3"/>
    <w:rsid w:val="00E946D1"/>
    <w:rsid w:val="00E94F05"/>
    <w:rsid w:val="00E95090"/>
    <w:rsid w:val="00E9509C"/>
    <w:rsid w:val="00E950B9"/>
    <w:rsid w:val="00E95111"/>
    <w:rsid w:val="00E95315"/>
    <w:rsid w:val="00E95393"/>
    <w:rsid w:val="00E95581"/>
    <w:rsid w:val="00E955FD"/>
    <w:rsid w:val="00E95771"/>
    <w:rsid w:val="00E959A8"/>
    <w:rsid w:val="00E95B75"/>
    <w:rsid w:val="00E95C57"/>
    <w:rsid w:val="00E95C7B"/>
    <w:rsid w:val="00E95E72"/>
    <w:rsid w:val="00E95EA3"/>
    <w:rsid w:val="00E95FBC"/>
    <w:rsid w:val="00E96015"/>
    <w:rsid w:val="00E960F9"/>
    <w:rsid w:val="00E961F0"/>
    <w:rsid w:val="00E96302"/>
    <w:rsid w:val="00E9636B"/>
    <w:rsid w:val="00E963DB"/>
    <w:rsid w:val="00E9648B"/>
    <w:rsid w:val="00E96544"/>
    <w:rsid w:val="00E96801"/>
    <w:rsid w:val="00E96A06"/>
    <w:rsid w:val="00E973E7"/>
    <w:rsid w:val="00E9762A"/>
    <w:rsid w:val="00E976AA"/>
    <w:rsid w:val="00E976BE"/>
    <w:rsid w:val="00E9797D"/>
    <w:rsid w:val="00E97AC2"/>
    <w:rsid w:val="00E97C21"/>
    <w:rsid w:val="00E97EF3"/>
    <w:rsid w:val="00E97F1A"/>
    <w:rsid w:val="00E97F2A"/>
    <w:rsid w:val="00E97FAD"/>
    <w:rsid w:val="00E97FCD"/>
    <w:rsid w:val="00EA027E"/>
    <w:rsid w:val="00EA02F2"/>
    <w:rsid w:val="00EA05CE"/>
    <w:rsid w:val="00EA089D"/>
    <w:rsid w:val="00EA09B2"/>
    <w:rsid w:val="00EA0B5E"/>
    <w:rsid w:val="00EA0E2E"/>
    <w:rsid w:val="00EA0E95"/>
    <w:rsid w:val="00EA0EDF"/>
    <w:rsid w:val="00EA1073"/>
    <w:rsid w:val="00EA1427"/>
    <w:rsid w:val="00EA1572"/>
    <w:rsid w:val="00EA15A5"/>
    <w:rsid w:val="00EA16F3"/>
    <w:rsid w:val="00EA18C1"/>
    <w:rsid w:val="00EA199E"/>
    <w:rsid w:val="00EA1AFD"/>
    <w:rsid w:val="00EA1BCE"/>
    <w:rsid w:val="00EA2101"/>
    <w:rsid w:val="00EA2133"/>
    <w:rsid w:val="00EA213D"/>
    <w:rsid w:val="00EA2289"/>
    <w:rsid w:val="00EA230C"/>
    <w:rsid w:val="00EA248C"/>
    <w:rsid w:val="00EA24CF"/>
    <w:rsid w:val="00EA24E1"/>
    <w:rsid w:val="00EA289F"/>
    <w:rsid w:val="00EA2B29"/>
    <w:rsid w:val="00EA2B86"/>
    <w:rsid w:val="00EA2C09"/>
    <w:rsid w:val="00EA2C2C"/>
    <w:rsid w:val="00EA2C48"/>
    <w:rsid w:val="00EA2FAB"/>
    <w:rsid w:val="00EA3063"/>
    <w:rsid w:val="00EA3091"/>
    <w:rsid w:val="00EA31CC"/>
    <w:rsid w:val="00EA337F"/>
    <w:rsid w:val="00EA33B7"/>
    <w:rsid w:val="00EA33E4"/>
    <w:rsid w:val="00EA3936"/>
    <w:rsid w:val="00EA39B0"/>
    <w:rsid w:val="00EA3F0A"/>
    <w:rsid w:val="00EA40C0"/>
    <w:rsid w:val="00EA4462"/>
    <w:rsid w:val="00EA4509"/>
    <w:rsid w:val="00EA463F"/>
    <w:rsid w:val="00EA4669"/>
    <w:rsid w:val="00EA4737"/>
    <w:rsid w:val="00EA473E"/>
    <w:rsid w:val="00EA4ADF"/>
    <w:rsid w:val="00EA4B0D"/>
    <w:rsid w:val="00EA4D4F"/>
    <w:rsid w:val="00EA51CB"/>
    <w:rsid w:val="00EA54CF"/>
    <w:rsid w:val="00EA5622"/>
    <w:rsid w:val="00EA56E1"/>
    <w:rsid w:val="00EA5BE1"/>
    <w:rsid w:val="00EA5C55"/>
    <w:rsid w:val="00EA5F5D"/>
    <w:rsid w:val="00EA61F7"/>
    <w:rsid w:val="00EA632F"/>
    <w:rsid w:val="00EA646D"/>
    <w:rsid w:val="00EA668F"/>
    <w:rsid w:val="00EA6772"/>
    <w:rsid w:val="00EA6985"/>
    <w:rsid w:val="00EA6C63"/>
    <w:rsid w:val="00EA6D8A"/>
    <w:rsid w:val="00EA7052"/>
    <w:rsid w:val="00EA71A1"/>
    <w:rsid w:val="00EA71BC"/>
    <w:rsid w:val="00EA7212"/>
    <w:rsid w:val="00EA737E"/>
    <w:rsid w:val="00EA74CE"/>
    <w:rsid w:val="00EA75F8"/>
    <w:rsid w:val="00EA7866"/>
    <w:rsid w:val="00EA79DA"/>
    <w:rsid w:val="00EA7DD8"/>
    <w:rsid w:val="00EA7ED2"/>
    <w:rsid w:val="00EA7FBC"/>
    <w:rsid w:val="00EAE690"/>
    <w:rsid w:val="00EB0066"/>
    <w:rsid w:val="00EB016D"/>
    <w:rsid w:val="00EB038B"/>
    <w:rsid w:val="00EB0661"/>
    <w:rsid w:val="00EB0842"/>
    <w:rsid w:val="00EB0933"/>
    <w:rsid w:val="00EB0A0D"/>
    <w:rsid w:val="00EB0C28"/>
    <w:rsid w:val="00EB136D"/>
    <w:rsid w:val="00EB1587"/>
    <w:rsid w:val="00EB15FE"/>
    <w:rsid w:val="00EB1B3D"/>
    <w:rsid w:val="00EB1BE8"/>
    <w:rsid w:val="00EB1D73"/>
    <w:rsid w:val="00EB1D83"/>
    <w:rsid w:val="00EB22F5"/>
    <w:rsid w:val="00EB2536"/>
    <w:rsid w:val="00EB268B"/>
    <w:rsid w:val="00EB2804"/>
    <w:rsid w:val="00EB29F0"/>
    <w:rsid w:val="00EB2D00"/>
    <w:rsid w:val="00EB2E65"/>
    <w:rsid w:val="00EB2F31"/>
    <w:rsid w:val="00EB3067"/>
    <w:rsid w:val="00EB3187"/>
    <w:rsid w:val="00EB341F"/>
    <w:rsid w:val="00EB3477"/>
    <w:rsid w:val="00EB3751"/>
    <w:rsid w:val="00EB3753"/>
    <w:rsid w:val="00EB3789"/>
    <w:rsid w:val="00EB37E7"/>
    <w:rsid w:val="00EB39A9"/>
    <w:rsid w:val="00EB3A50"/>
    <w:rsid w:val="00EB3AA3"/>
    <w:rsid w:val="00EB3C09"/>
    <w:rsid w:val="00EB3E73"/>
    <w:rsid w:val="00EB3F94"/>
    <w:rsid w:val="00EB402B"/>
    <w:rsid w:val="00EB4187"/>
    <w:rsid w:val="00EB41D8"/>
    <w:rsid w:val="00EB4236"/>
    <w:rsid w:val="00EB4294"/>
    <w:rsid w:val="00EB42AE"/>
    <w:rsid w:val="00EB42B6"/>
    <w:rsid w:val="00EB45F9"/>
    <w:rsid w:val="00EB4707"/>
    <w:rsid w:val="00EB4846"/>
    <w:rsid w:val="00EB4AAF"/>
    <w:rsid w:val="00EB4B00"/>
    <w:rsid w:val="00EB4DD0"/>
    <w:rsid w:val="00EB4E25"/>
    <w:rsid w:val="00EB4E58"/>
    <w:rsid w:val="00EB503C"/>
    <w:rsid w:val="00EB507D"/>
    <w:rsid w:val="00EB5186"/>
    <w:rsid w:val="00EB5447"/>
    <w:rsid w:val="00EB562B"/>
    <w:rsid w:val="00EB562F"/>
    <w:rsid w:val="00EB57CE"/>
    <w:rsid w:val="00EB5986"/>
    <w:rsid w:val="00EB5AC0"/>
    <w:rsid w:val="00EB5AFD"/>
    <w:rsid w:val="00EB5C3B"/>
    <w:rsid w:val="00EB5CD2"/>
    <w:rsid w:val="00EB5DD7"/>
    <w:rsid w:val="00EB5F78"/>
    <w:rsid w:val="00EB6048"/>
    <w:rsid w:val="00EB62DD"/>
    <w:rsid w:val="00EB632D"/>
    <w:rsid w:val="00EB652A"/>
    <w:rsid w:val="00EB656C"/>
    <w:rsid w:val="00EB65DA"/>
    <w:rsid w:val="00EB6679"/>
    <w:rsid w:val="00EB66B6"/>
    <w:rsid w:val="00EB6819"/>
    <w:rsid w:val="00EB6830"/>
    <w:rsid w:val="00EB684C"/>
    <w:rsid w:val="00EB6865"/>
    <w:rsid w:val="00EB68CB"/>
    <w:rsid w:val="00EB6AD4"/>
    <w:rsid w:val="00EB6BD2"/>
    <w:rsid w:val="00EB6C22"/>
    <w:rsid w:val="00EB6DD6"/>
    <w:rsid w:val="00EB6E49"/>
    <w:rsid w:val="00EB6F6B"/>
    <w:rsid w:val="00EB7098"/>
    <w:rsid w:val="00EB7143"/>
    <w:rsid w:val="00EB71FF"/>
    <w:rsid w:val="00EB73AA"/>
    <w:rsid w:val="00EB7416"/>
    <w:rsid w:val="00EB7418"/>
    <w:rsid w:val="00EB74D9"/>
    <w:rsid w:val="00EB7700"/>
    <w:rsid w:val="00EB7AA1"/>
    <w:rsid w:val="00EB7CCE"/>
    <w:rsid w:val="00EB7CE4"/>
    <w:rsid w:val="00EB7D3B"/>
    <w:rsid w:val="00EB7E35"/>
    <w:rsid w:val="00EB7EC1"/>
    <w:rsid w:val="00EC0576"/>
    <w:rsid w:val="00EC0750"/>
    <w:rsid w:val="00EC0871"/>
    <w:rsid w:val="00EC096B"/>
    <w:rsid w:val="00EC0B3F"/>
    <w:rsid w:val="00EC117F"/>
    <w:rsid w:val="00EC12B0"/>
    <w:rsid w:val="00EC13DD"/>
    <w:rsid w:val="00EC156E"/>
    <w:rsid w:val="00EC16E6"/>
    <w:rsid w:val="00EC1735"/>
    <w:rsid w:val="00EC192A"/>
    <w:rsid w:val="00EC19FE"/>
    <w:rsid w:val="00EC1CCB"/>
    <w:rsid w:val="00EC2006"/>
    <w:rsid w:val="00EC211B"/>
    <w:rsid w:val="00EC222C"/>
    <w:rsid w:val="00EC227F"/>
    <w:rsid w:val="00EC252A"/>
    <w:rsid w:val="00EC2615"/>
    <w:rsid w:val="00EC26BE"/>
    <w:rsid w:val="00EC271E"/>
    <w:rsid w:val="00EC28A8"/>
    <w:rsid w:val="00EC28E5"/>
    <w:rsid w:val="00EC28F3"/>
    <w:rsid w:val="00EC29D5"/>
    <w:rsid w:val="00EC2CA5"/>
    <w:rsid w:val="00EC2CF4"/>
    <w:rsid w:val="00EC2D6C"/>
    <w:rsid w:val="00EC2DED"/>
    <w:rsid w:val="00EC3074"/>
    <w:rsid w:val="00EC30CD"/>
    <w:rsid w:val="00EC30FD"/>
    <w:rsid w:val="00EC3318"/>
    <w:rsid w:val="00EC3759"/>
    <w:rsid w:val="00EC37AE"/>
    <w:rsid w:val="00EC3A1A"/>
    <w:rsid w:val="00EC3CF4"/>
    <w:rsid w:val="00EC3D8A"/>
    <w:rsid w:val="00EC3E7A"/>
    <w:rsid w:val="00EC3EAD"/>
    <w:rsid w:val="00EC4037"/>
    <w:rsid w:val="00EC433A"/>
    <w:rsid w:val="00EC4449"/>
    <w:rsid w:val="00EC4A64"/>
    <w:rsid w:val="00EC4B32"/>
    <w:rsid w:val="00EC4BA9"/>
    <w:rsid w:val="00EC4C86"/>
    <w:rsid w:val="00EC4E78"/>
    <w:rsid w:val="00EC4FEE"/>
    <w:rsid w:val="00EC4FF6"/>
    <w:rsid w:val="00EC51C0"/>
    <w:rsid w:val="00EC531C"/>
    <w:rsid w:val="00EC558D"/>
    <w:rsid w:val="00EC55EA"/>
    <w:rsid w:val="00EC573D"/>
    <w:rsid w:val="00EC5AB5"/>
    <w:rsid w:val="00EC5CB9"/>
    <w:rsid w:val="00EC5F3B"/>
    <w:rsid w:val="00EC6392"/>
    <w:rsid w:val="00EC6714"/>
    <w:rsid w:val="00EC6853"/>
    <w:rsid w:val="00EC68FC"/>
    <w:rsid w:val="00EC6EEE"/>
    <w:rsid w:val="00EC6F9D"/>
    <w:rsid w:val="00EC70D2"/>
    <w:rsid w:val="00EC71AB"/>
    <w:rsid w:val="00EC727E"/>
    <w:rsid w:val="00EC7468"/>
    <w:rsid w:val="00EC7473"/>
    <w:rsid w:val="00EC754A"/>
    <w:rsid w:val="00EC77BB"/>
    <w:rsid w:val="00EC78B7"/>
    <w:rsid w:val="00EC78DF"/>
    <w:rsid w:val="00EC7900"/>
    <w:rsid w:val="00EC794B"/>
    <w:rsid w:val="00EC7978"/>
    <w:rsid w:val="00EC7AFB"/>
    <w:rsid w:val="00EC7C0D"/>
    <w:rsid w:val="00EC7E06"/>
    <w:rsid w:val="00EC7E3C"/>
    <w:rsid w:val="00EC7E77"/>
    <w:rsid w:val="00EC7EC2"/>
    <w:rsid w:val="00EC7FAD"/>
    <w:rsid w:val="00ED07BF"/>
    <w:rsid w:val="00ED0928"/>
    <w:rsid w:val="00ED0D55"/>
    <w:rsid w:val="00ED0EBF"/>
    <w:rsid w:val="00ED127C"/>
    <w:rsid w:val="00ED130D"/>
    <w:rsid w:val="00ED164C"/>
    <w:rsid w:val="00ED1B1C"/>
    <w:rsid w:val="00ED1B5F"/>
    <w:rsid w:val="00ED1C06"/>
    <w:rsid w:val="00ED1C7F"/>
    <w:rsid w:val="00ED1D7D"/>
    <w:rsid w:val="00ED1E9D"/>
    <w:rsid w:val="00ED2035"/>
    <w:rsid w:val="00ED20C8"/>
    <w:rsid w:val="00ED22F0"/>
    <w:rsid w:val="00ED23AD"/>
    <w:rsid w:val="00ED252C"/>
    <w:rsid w:val="00ED26D2"/>
    <w:rsid w:val="00ED279D"/>
    <w:rsid w:val="00ED291F"/>
    <w:rsid w:val="00ED292D"/>
    <w:rsid w:val="00ED2CD0"/>
    <w:rsid w:val="00ED2F32"/>
    <w:rsid w:val="00ED2F66"/>
    <w:rsid w:val="00ED354A"/>
    <w:rsid w:val="00ED3634"/>
    <w:rsid w:val="00ED3767"/>
    <w:rsid w:val="00ED381B"/>
    <w:rsid w:val="00ED38D6"/>
    <w:rsid w:val="00ED38E3"/>
    <w:rsid w:val="00ED3F93"/>
    <w:rsid w:val="00ED40D0"/>
    <w:rsid w:val="00ED40DB"/>
    <w:rsid w:val="00ED4457"/>
    <w:rsid w:val="00ED445C"/>
    <w:rsid w:val="00ED4477"/>
    <w:rsid w:val="00ED4508"/>
    <w:rsid w:val="00ED4510"/>
    <w:rsid w:val="00ED481A"/>
    <w:rsid w:val="00ED4835"/>
    <w:rsid w:val="00ED4B43"/>
    <w:rsid w:val="00ED4C5A"/>
    <w:rsid w:val="00ED4D30"/>
    <w:rsid w:val="00ED4D8D"/>
    <w:rsid w:val="00ED4D95"/>
    <w:rsid w:val="00ED4F3A"/>
    <w:rsid w:val="00ED5399"/>
    <w:rsid w:val="00ED5452"/>
    <w:rsid w:val="00ED55A8"/>
    <w:rsid w:val="00ED561D"/>
    <w:rsid w:val="00ED564A"/>
    <w:rsid w:val="00ED5916"/>
    <w:rsid w:val="00ED5943"/>
    <w:rsid w:val="00ED5BF3"/>
    <w:rsid w:val="00ED5C83"/>
    <w:rsid w:val="00ED5D65"/>
    <w:rsid w:val="00ED5EE5"/>
    <w:rsid w:val="00ED620A"/>
    <w:rsid w:val="00ED6283"/>
    <w:rsid w:val="00ED6427"/>
    <w:rsid w:val="00ED6600"/>
    <w:rsid w:val="00ED67D8"/>
    <w:rsid w:val="00ED69CE"/>
    <w:rsid w:val="00ED6A1C"/>
    <w:rsid w:val="00ED6B44"/>
    <w:rsid w:val="00ED6BC9"/>
    <w:rsid w:val="00ED6D42"/>
    <w:rsid w:val="00ED6ED4"/>
    <w:rsid w:val="00ED6EE8"/>
    <w:rsid w:val="00ED6F10"/>
    <w:rsid w:val="00ED6F6D"/>
    <w:rsid w:val="00ED7014"/>
    <w:rsid w:val="00ED7295"/>
    <w:rsid w:val="00ED72EA"/>
    <w:rsid w:val="00ED7407"/>
    <w:rsid w:val="00ED74F7"/>
    <w:rsid w:val="00ED75C9"/>
    <w:rsid w:val="00ED763A"/>
    <w:rsid w:val="00ED797D"/>
    <w:rsid w:val="00ED79C1"/>
    <w:rsid w:val="00ED7A4D"/>
    <w:rsid w:val="00ED7A89"/>
    <w:rsid w:val="00ED7B58"/>
    <w:rsid w:val="00ED7C00"/>
    <w:rsid w:val="00ED7D56"/>
    <w:rsid w:val="00ED7F4D"/>
    <w:rsid w:val="00ED7F57"/>
    <w:rsid w:val="00EDC718"/>
    <w:rsid w:val="00EE0109"/>
    <w:rsid w:val="00EE01C6"/>
    <w:rsid w:val="00EE022C"/>
    <w:rsid w:val="00EE0428"/>
    <w:rsid w:val="00EE042E"/>
    <w:rsid w:val="00EE04A3"/>
    <w:rsid w:val="00EE057A"/>
    <w:rsid w:val="00EE0585"/>
    <w:rsid w:val="00EE0A5D"/>
    <w:rsid w:val="00EE0A97"/>
    <w:rsid w:val="00EE0BA5"/>
    <w:rsid w:val="00EE0F3E"/>
    <w:rsid w:val="00EE0FA5"/>
    <w:rsid w:val="00EE0FD5"/>
    <w:rsid w:val="00EE116D"/>
    <w:rsid w:val="00EE155F"/>
    <w:rsid w:val="00EE1832"/>
    <w:rsid w:val="00EE198F"/>
    <w:rsid w:val="00EE1C47"/>
    <w:rsid w:val="00EE1C98"/>
    <w:rsid w:val="00EE1F4C"/>
    <w:rsid w:val="00EE1FFC"/>
    <w:rsid w:val="00EE211E"/>
    <w:rsid w:val="00EE243C"/>
    <w:rsid w:val="00EE2790"/>
    <w:rsid w:val="00EE2964"/>
    <w:rsid w:val="00EE2A40"/>
    <w:rsid w:val="00EE2BC2"/>
    <w:rsid w:val="00EE2D39"/>
    <w:rsid w:val="00EE3114"/>
    <w:rsid w:val="00EE3179"/>
    <w:rsid w:val="00EE31A8"/>
    <w:rsid w:val="00EE327E"/>
    <w:rsid w:val="00EE3297"/>
    <w:rsid w:val="00EE3A57"/>
    <w:rsid w:val="00EE3D73"/>
    <w:rsid w:val="00EE3EB5"/>
    <w:rsid w:val="00EE3F6E"/>
    <w:rsid w:val="00EE3F89"/>
    <w:rsid w:val="00EE4097"/>
    <w:rsid w:val="00EE419A"/>
    <w:rsid w:val="00EE41DD"/>
    <w:rsid w:val="00EE42B6"/>
    <w:rsid w:val="00EE4362"/>
    <w:rsid w:val="00EE4423"/>
    <w:rsid w:val="00EE45F4"/>
    <w:rsid w:val="00EE466C"/>
    <w:rsid w:val="00EE471B"/>
    <w:rsid w:val="00EE4A07"/>
    <w:rsid w:val="00EE503F"/>
    <w:rsid w:val="00EE5225"/>
    <w:rsid w:val="00EE5962"/>
    <w:rsid w:val="00EE59C6"/>
    <w:rsid w:val="00EE5A46"/>
    <w:rsid w:val="00EE5AE4"/>
    <w:rsid w:val="00EE5C8E"/>
    <w:rsid w:val="00EE5DD6"/>
    <w:rsid w:val="00EE5E5B"/>
    <w:rsid w:val="00EE6211"/>
    <w:rsid w:val="00EE6294"/>
    <w:rsid w:val="00EE650E"/>
    <w:rsid w:val="00EE651C"/>
    <w:rsid w:val="00EE666C"/>
    <w:rsid w:val="00EE66A5"/>
    <w:rsid w:val="00EE672E"/>
    <w:rsid w:val="00EE6791"/>
    <w:rsid w:val="00EE67B5"/>
    <w:rsid w:val="00EE6A6E"/>
    <w:rsid w:val="00EE6AB0"/>
    <w:rsid w:val="00EE6E55"/>
    <w:rsid w:val="00EE717D"/>
    <w:rsid w:val="00EE728B"/>
    <w:rsid w:val="00EE7440"/>
    <w:rsid w:val="00EE74DE"/>
    <w:rsid w:val="00EE793E"/>
    <w:rsid w:val="00EE7C66"/>
    <w:rsid w:val="00EE7D57"/>
    <w:rsid w:val="00EF0196"/>
    <w:rsid w:val="00EF045F"/>
    <w:rsid w:val="00EF0721"/>
    <w:rsid w:val="00EF0A0E"/>
    <w:rsid w:val="00EF0B37"/>
    <w:rsid w:val="00EF0C4B"/>
    <w:rsid w:val="00EF0E84"/>
    <w:rsid w:val="00EF0FB3"/>
    <w:rsid w:val="00EF10A6"/>
    <w:rsid w:val="00EF10F8"/>
    <w:rsid w:val="00EF119C"/>
    <w:rsid w:val="00EF11AF"/>
    <w:rsid w:val="00EF12E4"/>
    <w:rsid w:val="00EF13A4"/>
    <w:rsid w:val="00EF14BC"/>
    <w:rsid w:val="00EF18BF"/>
    <w:rsid w:val="00EF1D14"/>
    <w:rsid w:val="00EF1E21"/>
    <w:rsid w:val="00EF1F29"/>
    <w:rsid w:val="00EF2061"/>
    <w:rsid w:val="00EF2114"/>
    <w:rsid w:val="00EF2141"/>
    <w:rsid w:val="00EF223B"/>
    <w:rsid w:val="00EF2645"/>
    <w:rsid w:val="00EF27E9"/>
    <w:rsid w:val="00EF2A99"/>
    <w:rsid w:val="00EF2BCE"/>
    <w:rsid w:val="00EF2D8C"/>
    <w:rsid w:val="00EF2DCB"/>
    <w:rsid w:val="00EF2E1D"/>
    <w:rsid w:val="00EF304A"/>
    <w:rsid w:val="00EF32F0"/>
    <w:rsid w:val="00EF33C6"/>
    <w:rsid w:val="00EF3492"/>
    <w:rsid w:val="00EF370C"/>
    <w:rsid w:val="00EF38FA"/>
    <w:rsid w:val="00EF3AF4"/>
    <w:rsid w:val="00EF3B56"/>
    <w:rsid w:val="00EF3BE4"/>
    <w:rsid w:val="00EF3C5C"/>
    <w:rsid w:val="00EF3F64"/>
    <w:rsid w:val="00EF3FB9"/>
    <w:rsid w:val="00EF4266"/>
    <w:rsid w:val="00EF4617"/>
    <w:rsid w:val="00EF4713"/>
    <w:rsid w:val="00EF47D1"/>
    <w:rsid w:val="00EF49C4"/>
    <w:rsid w:val="00EF4AC3"/>
    <w:rsid w:val="00EF4B46"/>
    <w:rsid w:val="00EF4C3E"/>
    <w:rsid w:val="00EF4CD3"/>
    <w:rsid w:val="00EF4D82"/>
    <w:rsid w:val="00EF4DAC"/>
    <w:rsid w:val="00EF4E4E"/>
    <w:rsid w:val="00EF4E6E"/>
    <w:rsid w:val="00EF5174"/>
    <w:rsid w:val="00EF536C"/>
    <w:rsid w:val="00EF54B7"/>
    <w:rsid w:val="00EF54E3"/>
    <w:rsid w:val="00EF553A"/>
    <w:rsid w:val="00EF55EB"/>
    <w:rsid w:val="00EF56E2"/>
    <w:rsid w:val="00EF57A2"/>
    <w:rsid w:val="00EF5ADD"/>
    <w:rsid w:val="00EF5B59"/>
    <w:rsid w:val="00EF5B6C"/>
    <w:rsid w:val="00EF5CE4"/>
    <w:rsid w:val="00EF5D24"/>
    <w:rsid w:val="00EF6243"/>
    <w:rsid w:val="00EF627C"/>
    <w:rsid w:val="00EF62B0"/>
    <w:rsid w:val="00EF64B0"/>
    <w:rsid w:val="00EF682A"/>
    <w:rsid w:val="00EF6906"/>
    <w:rsid w:val="00EF6922"/>
    <w:rsid w:val="00EF6B5C"/>
    <w:rsid w:val="00EF6DB9"/>
    <w:rsid w:val="00EF6EC9"/>
    <w:rsid w:val="00EF6EE5"/>
    <w:rsid w:val="00EF6F03"/>
    <w:rsid w:val="00EF71B6"/>
    <w:rsid w:val="00EF74E7"/>
    <w:rsid w:val="00EF7B28"/>
    <w:rsid w:val="00EF7CFC"/>
    <w:rsid w:val="00EF7DDE"/>
    <w:rsid w:val="00EF7E8C"/>
    <w:rsid w:val="00F00019"/>
    <w:rsid w:val="00F0017B"/>
    <w:rsid w:val="00F004EB"/>
    <w:rsid w:val="00F007E4"/>
    <w:rsid w:val="00F00896"/>
    <w:rsid w:val="00F008D2"/>
    <w:rsid w:val="00F008DA"/>
    <w:rsid w:val="00F00930"/>
    <w:rsid w:val="00F00A89"/>
    <w:rsid w:val="00F00C73"/>
    <w:rsid w:val="00F00C86"/>
    <w:rsid w:val="00F00E55"/>
    <w:rsid w:val="00F00E83"/>
    <w:rsid w:val="00F01024"/>
    <w:rsid w:val="00F010F9"/>
    <w:rsid w:val="00F014EC"/>
    <w:rsid w:val="00F01512"/>
    <w:rsid w:val="00F01521"/>
    <w:rsid w:val="00F015FE"/>
    <w:rsid w:val="00F01693"/>
    <w:rsid w:val="00F016CC"/>
    <w:rsid w:val="00F0170F"/>
    <w:rsid w:val="00F01906"/>
    <w:rsid w:val="00F0191C"/>
    <w:rsid w:val="00F01928"/>
    <w:rsid w:val="00F019C7"/>
    <w:rsid w:val="00F01B0C"/>
    <w:rsid w:val="00F01B90"/>
    <w:rsid w:val="00F01E30"/>
    <w:rsid w:val="00F01ED8"/>
    <w:rsid w:val="00F01F23"/>
    <w:rsid w:val="00F01F8F"/>
    <w:rsid w:val="00F020CE"/>
    <w:rsid w:val="00F02113"/>
    <w:rsid w:val="00F02336"/>
    <w:rsid w:val="00F023AB"/>
    <w:rsid w:val="00F024FB"/>
    <w:rsid w:val="00F025B7"/>
    <w:rsid w:val="00F02602"/>
    <w:rsid w:val="00F027FE"/>
    <w:rsid w:val="00F02A80"/>
    <w:rsid w:val="00F02C20"/>
    <w:rsid w:val="00F02D16"/>
    <w:rsid w:val="00F02DCC"/>
    <w:rsid w:val="00F030C7"/>
    <w:rsid w:val="00F0323C"/>
    <w:rsid w:val="00F0331B"/>
    <w:rsid w:val="00F034E0"/>
    <w:rsid w:val="00F035C3"/>
    <w:rsid w:val="00F037E1"/>
    <w:rsid w:val="00F03956"/>
    <w:rsid w:val="00F03A50"/>
    <w:rsid w:val="00F03A57"/>
    <w:rsid w:val="00F03CC0"/>
    <w:rsid w:val="00F03E29"/>
    <w:rsid w:val="00F03E64"/>
    <w:rsid w:val="00F03F68"/>
    <w:rsid w:val="00F041F5"/>
    <w:rsid w:val="00F043C9"/>
    <w:rsid w:val="00F0494F"/>
    <w:rsid w:val="00F04954"/>
    <w:rsid w:val="00F04E1B"/>
    <w:rsid w:val="00F04EB4"/>
    <w:rsid w:val="00F04FE9"/>
    <w:rsid w:val="00F0509D"/>
    <w:rsid w:val="00F050AA"/>
    <w:rsid w:val="00F051B9"/>
    <w:rsid w:val="00F051FD"/>
    <w:rsid w:val="00F0552D"/>
    <w:rsid w:val="00F05546"/>
    <w:rsid w:val="00F05630"/>
    <w:rsid w:val="00F05955"/>
    <w:rsid w:val="00F059BB"/>
    <w:rsid w:val="00F05AF8"/>
    <w:rsid w:val="00F05CEA"/>
    <w:rsid w:val="00F05DA5"/>
    <w:rsid w:val="00F05DBD"/>
    <w:rsid w:val="00F05E2E"/>
    <w:rsid w:val="00F062B4"/>
    <w:rsid w:val="00F063A2"/>
    <w:rsid w:val="00F065A5"/>
    <w:rsid w:val="00F065AE"/>
    <w:rsid w:val="00F0661F"/>
    <w:rsid w:val="00F06A43"/>
    <w:rsid w:val="00F06E87"/>
    <w:rsid w:val="00F0713D"/>
    <w:rsid w:val="00F07293"/>
    <w:rsid w:val="00F076B4"/>
    <w:rsid w:val="00F076FA"/>
    <w:rsid w:val="00F07745"/>
    <w:rsid w:val="00F07ADC"/>
    <w:rsid w:val="00F07AE1"/>
    <w:rsid w:val="00F07B03"/>
    <w:rsid w:val="00F07B43"/>
    <w:rsid w:val="00F07B49"/>
    <w:rsid w:val="00F07D2E"/>
    <w:rsid w:val="00F1008D"/>
    <w:rsid w:val="00F10163"/>
    <w:rsid w:val="00F10207"/>
    <w:rsid w:val="00F10218"/>
    <w:rsid w:val="00F1038B"/>
    <w:rsid w:val="00F103D3"/>
    <w:rsid w:val="00F104BC"/>
    <w:rsid w:val="00F10913"/>
    <w:rsid w:val="00F10DF2"/>
    <w:rsid w:val="00F1108D"/>
    <w:rsid w:val="00F11582"/>
    <w:rsid w:val="00F11745"/>
    <w:rsid w:val="00F117AF"/>
    <w:rsid w:val="00F117DA"/>
    <w:rsid w:val="00F11892"/>
    <w:rsid w:val="00F11A8B"/>
    <w:rsid w:val="00F12641"/>
    <w:rsid w:val="00F1271E"/>
    <w:rsid w:val="00F127DA"/>
    <w:rsid w:val="00F12A96"/>
    <w:rsid w:val="00F12C3A"/>
    <w:rsid w:val="00F12DD9"/>
    <w:rsid w:val="00F12F8F"/>
    <w:rsid w:val="00F1315C"/>
    <w:rsid w:val="00F1320F"/>
    <w:rsid w:val="00F13281"/>
    <w:rsid w:val="00F13319"/>
    <w:rsid w:val="00F13336"/>
    <w:rsid w:val="00F13420"/>
    <w:rsid w:val="00F13449"/>
    <w:rsid w:val="00F13461"/>
    <w:rsid w:val="00F13713"/>
    <w:rsid w:val="00F138C6"/>
    <w:rsid w:val="00F13B97"/>
    <w:rsid w:val="00F13E48"/>
    <w:rsid w:val="00F13F97"/>
    <w:rsid w:val="00F140CD"/>
    <w:rsid w:val="00F14339"/>
    <w:rsid w:val="00F145B2"/>
    <w:rsid w:val="00F14949"/>
    <w:rsid w:val="00F14B14"/>
    <w:rsid w:val="00F14C79"/>
    <w:rsid w:val="00F14D11"/>
    <w:rsid w:val="00F14EE9"/>
    <w:rsid w:val="00F1507E"/>
    <w:rsid w:val="00F151B5"/>
    <w:rsid w:val="00F155E0"/>
    <w:rsid w:val="00F15614"/>
    <w:rsid w:val="00F159FA"/>
    <w:rsid w:val="00F15AB0"/>
    <w:rsid w:val="00F15AFA"/>
    <w:rsid w:val="00F15D1F"/>
    <w:rsid w:val="00F160A4"/>
    <w:rsid w:val="00F160FD"/>
    <w:rsid w:val="00F16162"/>
    <w:rsid w:val="00F1618B"/>
    <w:rsid w:val="00F163CB"/>
    <w:rsid w:val="00F165F9"/>
    <w:rsid w:val="00F16771"/>
    <w:rsid w:val="00F167B0"/>
    <w:rsid w:val="00F16964"/>
    <w:rsid w:val="00F16B35"/>
    <w:rsid w:val="00F16CAD"/>
    <w:rsid w:val="00F16CD0"/>
    <w:rsid w:val="00F16E40"/>
    <w:rsid w:val="00F17299"/>
    <w:rsid w:val="00F1734D"/>
    <w:rsid w:val="00F17557"/>
    <w:rsid w:val="00F177FE"/>
    <w:rsid w:val="00F17935"/>
    <w:rsid w:val="00F179C2"/>
    <w:rsid w:val="00F17A30"/>
    <w:rsid w:val="00F17A8A"/>
    <w:rsid w:val="00F17B2D"/>
    <w:rsid w:val="00F17B96"/>
    <w:rsid w:val="00F17DEF"/>
    <w:rsid w:val="00F17FD1"/>
    <w:rsid w:val="00F20087"/>
    <w:rsid w:val="00F200D0"/>
    <w:rsid w:val="00F200FC"/>
    <w:rsid w:val="00F20285"/>
    <w:rsid w:val="00F202B6"/>
    <w:rsid w:val="00F203DC"/>
    <w:rsid w:val="00F20618"/>
    <w:rsid w:val="00F20712"/>
    <w:rsid w:val="00F20AC1"/>
    <w:rsid w:val="00F20DED"/>
    <w:rsid w:val="00F20E91"/>
    <w:rsid w:val="00F210AD"/>
    <w:rsid w:val="00F210C2"/>
    <w:rsid w:val="00F21368"/>
    <w:rsid w:val="00F215F4"/>
    <w:rsid w:val="00F216D1"/>
    <w:rsid w:val="00F218A9"/>
    <w:rsid w:val="00F21D14"/>
    <w:rsid w:val="00F21EE7"/>
    <w:rsid w:val="00F21F5E"/>
    <w:rsid w:val="00F22281"/>
    <w:rsid w:val="00F2228C"/>
    <w:rsid w:val="00F222AB"/>
    <w:rsid w:val="00F222AE"/>
    <w:rsid w:val="00F222BD"/>
    <w:rsid w:val="00F22503"/>
    <w:rsid w:val="00F2253A"/>
    <w:rsid w:val="00F2259D"/>
    <w:rsid w:val="00F225EB"/>
    <w:rsid w:val="00F225F7"/>
    <w:rsid w:val="00F22717"/>
    <w:rsid w:val="00F22810"/>
    <w:rsid w:val="00F22F4D"/>
    <w:rsid w:val="00F22FEA"/>
    <w:rsid w:val="00F2307F"/>
    <w:rsid w:val="00F2321C"/>
    <w:rsid w:val="00F23751"/>
    <w:rsid w:val="00F2388F"/>
    <w:rsid w:val="00F23A1A"/>
    <w:rsid w:val="00F23B24"/>
    <w:rsid w:val="00F23C8F"/>
    <w:rsid w:val="00F23D3D"/>
    <w:rsid w:val="00F2403B"/>
    <w:rsid w:val="00F241E6"/>
    <w:rsid w:val="00F2431A"/>
    <w:rsid w:val="00F243CD"/>
    <w:rsid w:val="00F24599"/>
    <w:rsid w:val="00F246DE"/>
    <w:rsid w:val="00F24758"/>
    <w:rsid w:val="00F24B9D"/>
    <w:rsid w:val="00F24CD9"/>
    <w:rsid w:val="00F24CE9"/>
    <w:rsid w:val="00F24E1A"/>
    <w:rsid w:val="00F24E85"/>
    <w:rsid w:val="00F24EF1"/>
    <w:rsid w:val="00F24F73"/>
    <w:rsid w:val="00F2504D"/>
    <w:rsid w:val="00F25933"/>
    <w:rsid w:val="00F259FD"/>
    <w:rsid w:val="00F25C8C"/>
    <w:rsid w:val="00F25D21"/>
    <w:rsid w:val="00F25E56"/>
    <w:rsid w:val="00F25EF7"/>
    <w:rsid w:val="00F26243"/>
    <w:rsid w:val="00F263E7"/>
    <w:rsid w:val="00F26407"/>
    <w:rsid w:val="00F2668D"/>
    <w:rsid w:val="00F26A6B"/>
    <w:rsid w:val="00F26C38"/>
    <w:rsid w:val="00F26CE6"/>
    <w:rsid w:val="00F26CE8"/>
    <w:rsid w:val="00F26E69"/>
    <w:rsid w:val="00F27021"/>
    <w:rsid w:val="00F27138"/>
    <w:rsid w:val="00F27228"/>
    <w:rsid w:val="00F27236"/>
    <w:rsid w:val="00F273EA"/>
    <w:rsid w:val="00F27426"/>
    <w:rsid w:val="00F277AE"/>
    <w:rsid w:val="00F27A69"/>
    <w:rsid w:val="00F27AC7"/>
    <w:rsid w:val="00F27BBF"/>
    <w:rsid w:val="00F27C65"/>
    <w:rsid w:val="00F27CAA"/>
    <w:rsid w:val="00F27CB2"/>
    <w:rsid w:val="00F27ECC"/>
    <w:rsid w:val="00F3003F"/>
    <w:rsid w:val="00F300D1"/>
    <w:rsid w:val="00F3020A"/>
    <w:rsid w:val="00F3034B"/>
    <w:rsid w:val="00F303EA"/>
    <w:rsid w:val="00F303F9"/>
    <w:rsid w:val="00F30442"/>
    <w:rsid w:val="00F306E8"/>
    <w:rsid w:val="00F308D3"/>
    <w:rsid w:val="00F308F2"/>
    <w:rsid w:val="00F30971"/>
    <w:rsid w:val="00F30A13"/>
    <w:rsid w:val="00F30AD5"/>
    <w:rsid w:val="00F30AE7"/>
    <w:rsid w:val="00F30B1A"/>
    <w:rsid w:val="00F30BDD"/>
    <w:rsid w:val="00F30C0B"/>
    <w:rsid w:val="00F30D68"/>
    <w:rsid w:val="00F30D7B"/>
    <w:rsid w:val="00F30EE0"/>
    <w:rsid w:val="00F30FBA"/>
    <w:rsid w:val="00F312D6"/>
    <w:rsid w:val="00F31636"/>
    <w:rsid w:val="00F317EF"/>
    <w:rsid w:val="00F31C0C"/>
    <w:rsid w:val="00F321C8"/>
    <w:rsid w:val="00F32285"/>
    <w:rsid w:val="00F322FF"/>
    <w:rsid w:val="00F32300"/>
    <w:rsid w:val="00F32356"/>
    <w:rsid w:val="00F32A65"/>
    <w:rsid w:val="00F32A8F"/>
    <w:rsid w:val="00F32B89"/>
    <w:rsid w:val="00F32C70"/>
    <w:rsid w:val="00F32ECA"/>
    <w:rsid w:val="00F32F1B"/>
    <w:rsid w:val="00F32F6D"/>
    <w:rsid w:val="00F32F77"/>
    <w:rsid w:val="00F332F3"/>
    <w:rsid w:val="00F33343"/>
    <w:rsid w:val="00F33668"/>
    <w:rsid w:val="00F336DC"/>
    <w:rsid w:val="00F33763"/>
    <w:rsid w:val="00F3384D"/>
    <w:rsid w:val="00F339B1"/>
    <w:rsid w:val="00F33EBD"/>
    <w:rsid w:val="00F33F3D"/>
    <w:rsid w:val="00F33F8E"/>
    <w:rsid w:val="00F34172"/>
    <w:rsid w:val="00F34181"/>
    <w:rsid w:val="00F34483"/>
    <w:rsid w:val="00F344B9"/>
    <w:rsid w:val="00F347E1"/>
    <w:rsid w:val="00F348AC"/>
    <w:rsid w:val="00F34A82"/>
    <w:rsid w:val="00F34EB7"/>
    <w:rsid w:val="00F34FC8"/>
    <w:rsid w:val="00F350EE"/>
    <w:rsid w:val="00F35354"/>
    <w:rsid w:val="00F354AA"/>
    <w:rsid w:val="00F354F6"/>
    <w:rsid w:val="00F35508"/>
    <w:rsid w:val="00F3550F"/>
    <w:rsid w:val="00F35916"/>
    <w:rsid w:val="00F35B0A"/>
    <w:rsid w:val="00F35FCB"/>
    <w:rsid w:val="00F3654D"/>
    <w:rsid w:val="00F366C8"/>
    <w:rsid w:val="00F36753"/>
    <w:rsid w:val="00F36800"/>
    <w:rsid w:val="00F3687F"/>
    <w:rsid w:val="00F36920"/>
    <w:rsid w:val="00F369D7"/>
    <w:rsid w:val="00F36B1F"/>
    <w:rsid w:val="00F36C7F"/>
    <w:rsid w:val="00F36D36"/>
    <w:rsid w:val="00F36E68"/>
    <w:rsid w:val="00F36E80"/>
    <w:rsid w:val="00F37347"/>
    <w:rsid w:val="00F37732"/>
    <w:rsid w:val="00F377C4"/>
    <w:rsid w:val="00F379F4"/>
    <w:rsid w:val="00F37D00"/>
    <w:rsid w:val="00F37F5C"/>
    <w:rsid w:val="00F400D7"/>
    <w:rsid w:val="00F4022E"/>
    <w:rsid w:val="00F403F0"/>
    <w:rsid w:val="00F403F1"/>
    <w:rsid w:val="00F40923"/>
    <w:rsid w:val="00F40B9E"/>
    <w:rsid w:val="00F40C8B"/>
    <w:rsid w:val="00F40FFB"/>
    <w:rsid w:val="00F415F8"/>
    <w:rsid w:val="00F4165D"/>
    <w:rsid w:val="00F418E7"/>
    <w:rsid w:val="00F41B8D"/>
    <w:rsid w:val="00F41E3C"/>
    <w:rsid w:val="00F41EF8"/>
    <w:rsid w:val="00F41EFA"/>
    <w:rsid w:val="00F41F37"/>
    <w:rsid w:val="00F41FD0"/>
    <w:rsid w:val="00F421B8"/>
    <w:rsid w:val="00F4226B"/>
    <w:rsid w:val="00F42306"/>
    <w:rsid w:val="00F4233D"/>
    <w:rsid w:val="00F42609"/>
    <w:rsid w:val="00F42610"/>
    <w:rsid w:val="00F426B3"/>
    <w:rsid w:val="00F42803"/>
    <w:rsid w:val="00F42918"/>
    <w:rsid w:val="00F429BE"/>
    <w:rsid w:val="00F42BD2"/>
    <w:rsid w:val="00F42D14"/>
    <w:rsid w:val="00F43271"/>
    <w:rsid w:val="00F4342E"/>
    <w:rsid w:val="00F43433"/>
    <w:rsid w:val="00F43763"/>
    <w:rsid w:val="00F43AB3"/>
    <w:rsid w:val="00F43C0E"/>
    <w:rsid w:val="00F43C9F"/>
    <w:rsid w:val="00F43CCE"/>
    <w:rsid w:val="00F43DB7"/>
    <w:rsid w:val="00F43E34"/>
    <w:rsid w:val="00F43F87"/>
    <w:rsid w:val="00F440F1"/>
    <w:rsid w:val="00F44157"/>
    <w:rsid w:val="00F441DD"/>
    <w:rsid w:val="00F44233"/>
    <w:rsid w:val="00F442B0"/>
    <w:rsid w:val="00F445A9"/>
    <w:rsid w:val="00F4460D"/>
    <w:rsid w:val="00F44D1A"/>
    <w:rsid w:val="00F44EF9"/>
    <w:rsid w:val="00F44FA0"/>
    <w:rsid w:val="00F452FA"/>
    <w:rsid w:val="00F4573A"/>
    <w:rsid w:val="00F458B6"/>
    <w:rsid w:val="00F45A61"/>
    <w:rsid w:val="00F45C4E"/>
    <w:rsid w:val="00F45CB9"/>
    <w:rsid w:val="00F45F62"/>
    <w:rsid w:val="00F45FB3"/>
    <w:rsid w:val="00F4604B"/>
    <w:rsid w:val="00F46100"/>
    <w:rsid w:val="00F461E7"/>
    <w:rsid w:val="00F462D1"/>
    <w:rsid w:val="00F46558"/>
    <w:rsid w:val="00F46591"/>
    <w:rsid w:val="00F4660C"/>
    <w:rsid w:val="00F4666A"/>
    <w:rsid w:val="00F46718"/>
    <w:rsid w:val="00F46754"/>
    <w:rsid w:val="00F46777"/>
    <w:rsid w:val="00F46CCA"/>
    <w:rsid w:val="00F46DE9"/>
    <w:rsid w:val="00F46E33"/>
    <w:rsid w:val="00F46FA9"/>
    <w:rsid w:val="00F4725C"/>
    <w:rsid w:val="00F47378"/>
    <w:rsid w:val="00F47509"/>
    <w:rsid w:val="00F475E9"/>
    <w:rsid w:val="00F4760B"/>
    <w:rsid w:val="00F47659"/>
    <w:rsid w:val="00F477D7"/>
    <w:rsid w:val="00F47844"/>
    <w:rsid w:val="00F47A74"/>
    <w:rsid w:val="00F47D50"/>
    <w:rsid w:val="00F4C426"/>
    <w:rsid w:val="00F500EB"/>
    <w:rsid w:val="00F50291"/>
    <w:rsid w:val="00F50568"/>
    <w:rsid w:val="00F50631"/>
    <w:rsid w:val="00F509E6"/>
    <w:rsid w:val="00F509EB"/>
    <w:rsid w:val="00F50BB7"/>
    <w:rsid w:val="00F50BC4"/>
    <w:rsid w:val="00F50FD7"/>
    <w:rsid w:val="00F5103E"/>
    <w:rsid w:val="00F510F6"/>
    <w:rsid w:val="00F511CD"/>
    <w:rsid w:val="00F5130A"/>
    <w:rsid w:val="00F5138A"/>
    <w:rsid w:val="00F515BB"/>
    <w:rsid w:val="00F51630"/>
    <w:rsid w:val="00F516BA"/>
    <w:rsid w:val="00F51707"/>
    <w:rsid w:val="00F51723"/>
    <w:rsid w:val="00F517C4"/>
    <w:rsid w:val="00F51995"/>
    <w:rsid w:val="00F51A02"/>
    <w:rsid w:val="00F51C0A"/>
    <w:rsid w:val="00F51CA2"/>
    <w:rsid w:val="00F51D52"/>
    <w:rsid w:val="00F51F9D"/>
    <w:rsid w:val="00F5215B"/>
    <w:rsid w:val="00F5261A"/>
    <w:rsid w:val="00F526E8"/>
    <w:rsid w:val="00F52870"/>
    <w:rsid w:val="00F52904"/>
    <w:rsid w:val="00F52954"/>
    <w:rsid w:val="00F529A5"/>
    <w:rsid w:val="00F52A9A"/>
    <w:rsid w:val="00F52B63"/>
    <w:rsid w:val="00F52B7C"/>
    <w:rsid w:val="00F52B93"/>
    <w:rsid w:val="00F52C8E"/>
    <w:rsid w:val="00F52FA2"/>
    <w:rsid w:val="00F531BC"/>
    <w:rsid w:val="00F53279"/>
    <w:rsid w:val="00F53497"/>
    <w:rsid w:val="00F5358B"/>
    <w:rsid w:val="00F536D1"/>
    <w:rsid w:val="00F53707"/>
    <w:rsid w:val="00F53817"/>
    <w:rsid w:val="00F538A1"/>
    <w:rsid w:val="00F53912"/>
    <w:rsid w:val="00F539F6"/>
    <w:rsid w:val="00F53A6B"/>
    <w:rsid w:val="00F53B87"/>
    <w:rsid w:val="00F53D19"/>
    <w:rsid w:val="00F53D6D"/>
    <w:rsid w:val="00F53E90"/>
    <w:rsid w:val="00F5433E"/>
    <w:rsid w:val="00F546F2"/>
    <w:rsid w:val="00F546FA"/>
    <w:rsid w:val="00F54837"/>
    <w:rsid w:val="00F54A6D"/>
    <w:rsid w:val="00F54E0F"/>
    <w:rsid w:val="00F54EC9"/>
    <w:rsid w:val="00F54FD8"/>
    <w:rsid w:val="00F55027"/>
    <w:rsid w:val="00F550B2"/>
    <w:rsid w:val="00F5518E"/>
    <w:rsid w:val="00F55281"/>
    <w:rsid w:val="00F55689"/>
    <w:rsid w:val="00F5581E"/>
    <w:rsid w:val="00F55846"/>
    <w:rsid w:val="00F55903"/>
    <w:rsid w:val="00F55915"/>
    <w:rsid w:val="00F55978"/>
    <w:rsid w:val="00F55A97"/>
    <w:rsid w:val="00F55CD4"/>
    <w:rsid w:val="00F55D44"/>
    <w:rsid w:val="00F55E12"/>
    <w:rsid w:val="00F55E67"/>
    <w:rsid w:val="00F55FB3"/>
    <w:rsid w:val="00F560B0"/>
    <w:rsid w:val="00F5623A"/>
    <w:rsid w:val="00F56296"/>
    <w:rsid w:val="00F562EC"/>
    <w:rsid w:val="00F564F6"/>
    <w:rsid w:val="00F566C6"/>
    <w:rsid w:val="00F56A76"/>
    <w:rsid w:val="00F56B59"/>
    <w:rsid w:val="00F56B78"/>
    <w:rsid w:val="00F56C4A"/>
    <w:rsid w:val="00F56C92"/>
    <w:rsid w:val="00F56F45"/>
    <w:rsid w:val="00F57121"/>
    <w:rsid w:val="00F571B0"/>
    <w:rsid w:val="00F5723C"/>
    <w:rsid w:val="00F5727A"/>
    <w:rsid w:val="00F57378"/>
    <w:rsid w:val="00F577CE"/>
    <w:rsid w:val="00F57BEB"/>
    <w:rsid w:val="00F57C03"/>
    <w:rsid w:val="00F57E1D"/>
    <w:rsid w:val="00F57E4C"/>
    <w:rsid w:val="00F600A8"/>
    <w:rsid w:val="00F60251"/>
    <w:rsid w:val="00F604BF"/>
    <w:rsid w:val="00F6064B"/>
    <w:rsid w:val="00F60814"/>
    <w:rsid w:val="00F60B79"/>
    <w:rsid w:val="00F61238"/>
    <w:rsid w:val="00F61400"/>
    <w:rsid w:val="00F61422"/>
    <w:rsid w:val="00F61551"/>
    <w:rsid w:val="00F619F8"/>
    <w:rsid w:val="00F61C30"/>
    <w:rsid w:val="00F61C46"/>
    <w:rsid w:val="00F61D64"/>
    <w:rsid w:val="00F61E9E"/>
    <w:rsid w:val="00F621F7"/>
    <w:rsid w:val="00F6237B"/>
    <w:rsid w:val="00F623C7"/>
    <w:rsid w:val="00F62449"/>
    <w:rsid w:val="00F624C0"/>
    <w:rsid w:val="00F624C2"/>
    <w:rsid w:val="00F627F9"/>
    <w:rsid w:val="00F62884"/>
    <w:rsid w:val="00F629C8"/>
    <w:rsid w:val="00F62BA7"/>
    <w:rsid w:val="00F62C75"/>
    <w:rsid w:val="00F62D78"/>
    <w:rsid w:val="00F62EE0"/>
    <w:rsid w:val="00F632A2"/>
    <w:rsid w:val="00F63304"/>
    <w:rsid w:val="00F63375"/>
    <w:rsid w:val="00F63498"/>
    <w:rsid w:val="00F635DF"/>
    <w:rsid w:val="00F636EC"/>
    <w:rsid w:val="00F638BB"/>
    <w:rsid w:val="00F63905"/>
    <w:rsid w:val="00F6398D"/>
    <w:rsid w:val="00F639B9"/>
    <w:rsid w:val="00F63A5A"/>
    <w:rsid w:val="00F63F9B"/>
    <w:rsid w:val="00F6410E"/>
    <w:rsid w:val="00F64581"/>
    <w:rsid w:val="00F6468E"/>
    <w:rsid w:val="00F646AC"/>
    <w:rsid w:val="00F646B7"/>
    <w:rsid w:val="00F6490D"/>
    <w:rsid w:val="00F64AD9"/>
    <w:rsid w:val="00F64B98"/>
    <w:rsid w:val="00F64BB6"/>
    <w:rsid w:val="00F64BDE"/>
    <w:rsid w:val="00F64BF2"/>
    <w:rsid w:val="00F64C97"/>
    <w:rsid w:val="00F64D15"/>
    <w:rsid w:val="00F64DCF"/>
    <w:rsid w:val="00F64F1C"/>
    <w:rsid w:val="00F65156"/>
    <w:rsid w:val="00F65207"/>
    <w:rsid w:val="00F65236"/>
    <w:rsid w:val="00F653BB"/>
    <w:rsid w:val="00F654F8"/>
    <w:rsid w:val="00F6574F"/>
    <w:rsid w:val="00F658C7"/>
    <w:rsid w:val="00F65AE9"/>
    <w:rsid w:val="00F65B42"/>
    <w:rsid w:val="00F65BAF"/>
    <w:rsid w:val="00F65BBA"/>
    <w:rsid w:val="00F65BEB"/>
    <w:rsid w:val="00F66059"/>
    <w:rsid w:val="00F660AD"/>
    <w:rsid w:val="00F660B6"/>
    <w:rsid w:val="00F660F0"/>
    <w:rsid w:val="00F6613A"/>
    <w:rsid w:val="00F661B9"/>
    <w:rsid w:val="00F6661F"/>
    <w:rsid w:val="00F666FE"/>
    <w:rsid w:val="00F668ED"/>
    <w:rsid w:val="00F66A93"/>
    <w:rsid w:val="00F66DF0"/>
    <w:rsid w:val="00F66EA7"/>
    <w:rsid w:val="00F66F1A"/>
    <w:rsid w:val="00F670AF"/>
    <w:rsid w:val="00F671A3"/>
    <w:rsid w:val="00F67523"/>
    <w:rsid w:val="00F67640"/>
    <w:rsid w:val="00F6768F"/>
    <w:rsid w:val="00F67778"/>
    <w:rsid w:val="00F67879"/>
    <w:rsid w:val="00F67B1D"/>
    <w:rsid w:val="00F67B34"/>
    <w:rsid w:val="00F7003E"/>
    <w:rsid w:val="00F7009A"/>
    <w:rsid w:val="00F70385"/>
    <w:rsid w:val="00F703C1"/>
    <w:rsid w:val="00F7051D"/>
    <w:rsid w:val="00F7068C"/>
    <w:rsid w:val="00F708B6"/>
    <w:rsid w:val="00F70975"/>
    <w:rsid w:val="00F70A5F"/>
    <w:rsid w:val="00F70B41"/>
    <w:rsid w:val="00F70C5A"/>
    <w:rsid w:val="00F70CC2"/>
    <w:rsid w:val="00F70CFD"/>
    <w:rsid w:val="00F70D83"/>
    <w:rsid w:val="00F70E30"/>
    <w:rsid w:val="00F712C1"/>
    <w:rsid w:val="00F719F6"/>
    <w:rsid w:val="00F71B42"/>
    <w:rsid w:val="00F71C77"/>
    <w:rsid w:val="00F71E59"/>
    <w:rsid w:val="00F71EDA"/>
    <w:rsid w:val="00F71EE7"/>
    <w:rsid w:val="00F71F5E"/>
    <w:rsid w:val="00F72058"/>
    <w:rsid w:val="00F721BA"/>
    <w:rsid w:val="00F72265"/>
    <w:rsid w:val="00F72290"/>
    <w:rsid w:val="00F7245C"/>
    <w:rsid w:val="00F724CF"/>
    <w:rsid w:val="00F72592"/>
    <w:rsid w:val="00F72636"/>
    <w:rsid w:val="00F726DE"/>
    <w:rsid w:val="00F72783"/>
    <w:rsid w:val="00F72839"/>
    <w:rsid w:val="00F728F9"/>
    <w:rsid w:val="00F72AF6"/>
    <w:rsid w:val="00F72BAA"/>
    <w:rsid w:val="00F72D7E"/>
    <w:rsid w:val="00F7342E"/>
    <w:rsid w:val="00F73442"/>
    <w:rsid w:val="00F736EF"/>
    <w:rsid w:val="00F7384E"/>
    <w:rsid w:val="00F73A9B"/>
    <w:rsid w:val="00F73D33"/>
    <w:rsid w:val="00F73EE7"/>
    <w:rsid w:val="00F741B8"/>
    <w:rsid w:val="00F741BD"/>
    <w:rsid w:val="00F742BD"/>
    <w:rsid w:val="00F74506"/>
    <w:rsid w:val="00F745CA"/>
    <w:rsid w:val="00F746E4"/>
    <w:rsid w:val="00F74731"/>
    <w:rsid w:val="00F74ACA"/>
    <w:rsid w:val="00F74B29"/>
    <w:rsid w:val="00F74BE6"/>
    <w:rsid w:val="00F74FB1"/>
    <w:rsid w:val="00F74FBF"/>
    <w:rsid w:val="00F75132"/>
    <w:rsid w:val="00F75173"/>
    <w:rsid w:val="00F75578"/>
    <w:rsid w:val="00F75703"/>
    <w:rsid w:val="00F75782"/>
    <w:rsid w:val="00F75832"/>
    <w:rsid w:val="00F75930"/>
    <w:rsid w:val="00F75960"/>
    <w:rsid w:val="00F75AB1"/>
    <w:rsid w:val="00F75B77"/>
    <w:rsid w:val="00F75D24"/>
    <w:rsid w:val="00F75F39"/>
    <w:rsid w:val="00F75FAB"/>
    <w:rsid w:val="00F7610C"/>
    <w:rsid w:val="00F7629D"/>
    <w:rsid w:val="00F76542"/>
    <w:rsid w:val="00F76583"/>
    <w:rsid w:val="00F767F8"/>
    <w:rsid w:val="00F7693C"/>
    <w:rsid w:val="00F76A2E"/>
    <w:rsid w:val="00F76A5C"/>
    <w:rsid w:val="00F76AF7"/>
    <w:rsid w:val="00F76D4C"/>
    <w:rsid w:val="00F76F3D"/>
    <w:rsid w:val="00F76F9C"/>
    <w:rsid w:val="00F7700C"/>
    <w:rsid w:val="00F772C5"/>
    <w:rsid w:val="00F7738B"/>
    <w:rsid w:val="00F77458"/>
    <w:rsid w:val="00F77630"/>
    <w:rsid w:val="00F77693"/>
    <w:rsid w:val="00F77791"/>
    <w:rsid w:val="00F77851"/>
    <w:rsid w:val="00F7792A"/>
    <w:rsid w:val="00F77A1B"/>
    <w:rsid w:val="00F77A49"/>
    <w:rsid w:val="00F77B43"/>
    <w:rsid w:val="00F77BED"/>
    <w:rsid w:val="00F77C26"/>
    <w:rsid w:val="00F77CC6"/>
    <w:rsid w:val="00F77F06"/>
    <w:rsid w:val="00F77FBA"/>
    <w:rsid w:val="00F801CF"/>
    <w:rsid w:val="00F80247"/>
    <w:rsid w:val="00F80315"/>
    <w:rsid w:val="00F8036E"/>
    <w:rsid w:val="00F8038D"/>
    <w:rsid w:val="00F804DC"/>
    <w:rsid w:val="00F80622"/>
    <w:rsid w:val="00F80996"/>
    <w:rsid w:val="00F80A85"/>
    <w:rsid w:val="00F80ABC"/>
    <w:rsid w:val="00F80AD5"/>
    <w:rsid w:val="00F80C03"/>
    <w:rsid w:val="00F80CA6"/>
    <w:rsid w:val="00F80CD6"/>
    <w:rsid w:val="00F811C8"/>
    <w:rsid w:val="00F812DE"/>
    <w:rsid w:val="00F8134E"/>
    <w:rsid w:val="00F8162E"/>
    <w:rsid w:val="00F8165F"/>
    <w:rsid w:val="00F81727"/>
    <w:rsid w:val="00F81747"/>
    <w:rsid w:val="00F8175C"/>
    <w:rsid w:val="00F81ABF"/>
    <w:rsid w:val="00F81B97"/>
    <w:rsid w:val="00F81F08"/>
    <w:rsid w:val="00F823E0"/>
    <w:rsid w:val="00F8254D"/>
    <w:rsid w:val="00F827B9"/>
    <w:rsid w:val="00F827E0"/>
    <w:rsid w:val="00F82923"/>
    <w:rsid w:val="00F82BAF"/>
    <w:rsid w:val="00F82EE5"/>
    <w:rsid w:val="00F82F6D"/>
    <w:rsid w:val="00F82F84"/>
    <w:rsid w:val="00F83413"/>
    <w:rsid w:val="00F83431"/>
    <w:rsid w:val="00F83509"/>
    <w:rsid w:val="00F8374F"/>
    <w:rsid w:val="00F8376D"/>
    <w:rsid w:val="00F838E2"/>
    <w:rsid w:val="00F83A4C"/>
    <w:rsid w:val="00F83A9B"/>
    <w:rsid w:val="00F83AEA"/>
    <w:rsid w:val="00F83BC0"/>
    <w:rsid w:val="00F83D96"/>
    <w:rsid w:val="00F83F0D"/>
    <w:rsid w:val="00F8408C"/>
    <w:rsid w:val="00F8409D"/>
    <w:rsid w:val="00F840C0"/>
    <w:rsid w:val="00F84230"/>
    <w:rsid w:val="00F8457B"/>
    <w:rsid w:val="00F848CA"/>
    <w:rsid w:val="00F84A15"/>
    <w:rsid w:val="00F84C31"/>
    <w:rsid w:val="00F84E34"/>
    <w:rsid w:val="00F85166"/>
    <w:rsid w:val="00F8516E"/>
    <w:rsid w:val="00F8520D"/>
    <w:rsid w:val="00F8542B"/>
    <w:rsid w:val="00F856E1"/>
    <w:rsid w:val="00F857B0"/>
    <w:rsid w:val="00F857E5"/>
    <w:rsid w:val="00F85852"/>
    <w:rsid w:val="00F85943"/>
    <w:rsid w:val="00F85AF8"/>
    <w:rsid w:val="00F85B03"/>
    <w:rsid w:val="00F85BB9"/>
    <w:rsid w:val="00F860E6"/>
    <w:rsid w:val="00F86269"/>
    <w:rsid w:val="00F866D7"/>
    <w:rsid w:val="00F8675F"/>
    <w:rsid w:val="00F867E4"/>
    <w:rsid w:val="00F86972"/>
    <w:rsid w:val="00F86A7C"/>
    <w:rsid w:val="00F87094"/>
    <w:rsid w:val="00F8716E"/>
    <w:rsid w:val="00F871C8"/>
    <w:rsid w:val="00F87224"/>
    <w:rsid w:val="00F873A5"/>
    <w:rsid w:val="00F87480"/>
    <w:rsid w:val="00F87574"/>
    <w:rsid w:val="00F87725"/>
    <w:rsid w:val="00F87931"/>
    <w:rsid w:val="00F87AAE"/>
    <w:rsid w:val="00F87D60"/>
    <w:rsid w:val="00F87F71"/>
    <w:rsid w:val="00F87FC6"/>
    <w:rsid w:val="00F903D5"/>
    <w:rsid w:val="00F9061B"/>
    <w:rsid w:val="00F906B8"/>
    <w:rsid w:val="00F90899"/>
    <w:rsid w:val="00F90985"/>
    <w:rsid w:val="00F90A90"/>
    <w:rsid w:val="00F90B20"/>
    <w:rsid w:val="00F90B78"/>
    <w:rsid w:val="00F90C14"/>
    <w:rsid w:val="00F91126"/>
    <w:rsid w:val="00F914BA"/>
    <w:rsid w:val="00F915F5"/>
    <w:rsid w:val="00F91817"/>
    <w:rsid w:val="00F91830"/>
    <w:rsid w:val="00F9190C"/>
    <w:rsid w:val="00F919ED"/>
    <w:rsid w:val="00F91F07"/>
    <w:rsid w:val="00F920FD"/>
    <w:rsid w:val="00F92165"/>
    <w:rsid w:val="00F921C2"/>
    <w:rsid w:val="00F922F0"/>
    <w:rsid w:val="00F92595"/>
    <w:rsid w:val="00F92761"/>
    <w:rsid w:val="00F92847"/>
    <w:rsid w:val="00F928B2"/>
    <w:rsid w:val="00F92934"/>
    <w:rsid w:val="00F92CEE"/>
    <w:rsid w:val="00F92F12"/>
    <w:rsid w:val="00F92F47"/>
    <w:rsid w:val="00F93147"/>
    <w:rsid w:val="00F93237"/>
    <w:rsid w:val="00F93274"/>
    <w:rsid w:val="00F9330A"/>
    <w:rsid w:val="00F9339F"/>
    <w:rsid w:val="00F93471"/>
    <w:rsid w:val="00F934ED"/>
    <w:rsid w:val="00F9359E"/>
    <w:rsid w:val="00F935A0"/>
    <w:rsid w:val="00F93752"/>
    <w:rsid w:val="00F938B9"/>
    <w:rsid w:val="00F93F80"/>
    <w:rsid w:val="00F940F4"/>
    <w:rsid w:val="00F942E7"/>
    <w:rsid w:val="00F94349"/>
    <w:rsid w:val="00F94387"/>
    <w:rsid w:val="00F943BD"/>
    <w:rsid w:val="00F94666"/>
    <w:rsid w:val="00F94706"/>
    <w:rsid w:val="00F94A36"/>
    <w:rsid w:val="00F94B06"/>
    <w:rsid w:val="00F94E22"/>
    <w:rsid w:val="00F9501B"/>
    <w:rsid w:val="00F9560F"/>
    <w:rsid w:val="00F95698"/>
    <w:rsid w:val="00F956DC"/>
    <w:rsid w:val="00F9576B"/>
    <w:rsid w:val="00F95875"/>
    <w:rsid w:val="00F958A7"/>
    <w:rsid w:val="00F958E0"/>
    <w:rsid w:val="00F95AF6"/>
    <w:rsid w:val="00F95BFE"/>
    <w:rsid w:val="00F95E38"/>
    <w:rsid w:val="00F95F39"/>
    <w:rsid w:val="00F9602B"/>
    <w:rsid w:val="00F9607B"/>
    <w:rsid w:val="00F96197"/>
    <w:rsid w:val="00F96210"/>
    <w:rsid w:val="00F9629C"/>
    <w:rsid w:val="00F9637C"/>
    <w:rsid w:val="00F96627"/>
    <w:rsid w:val="00F969CD"/>
    <w:rsid w:val="00F96AF9"/>
    <w:rsid w:val="00F96B72"/>
    <w:rsid w:val="00F96D9E"/>
    <w:rsid w:val="00F96FDF"/>
    <w:rsid w:val="00F974CE"/>
    <w:rsid w:val="00F97542"/>
    <w:rsid w:val="00F978C6"/>
    <w:rsid w:val="00F97B16"/>
    <w:rsid w:val="00F97C6E"/>
    <w:rsid w:val="00F97C9A"/>
    <w:rsid w:val="00F97D61"/>
    <w:rsid w:val="00F97D6B"/>
    <w:rsid w:val="00F97E45"/>
    <w:rsid w:val="00F97E62"/>
    <w:rsid w:val="00FA000A"/>
    <w:rsid w:val="00FA0235"/>
    <w:rsid w:val="00FA024E"/>
    <w:rsid w:val="00FA0302"/>
    <w:rsid w:val="00FA0393"/>
    <w:rsid w:val="00FA0396"/>
    <w:rsid w:val="00FA048E"/>
    <w:rsid w:val="00FA053E"/>
    <w:rsid w:val="00FA0597"/>
    <w:rsid w:val="00FA0ABF"/>
    <w:rsid w:val="00FA0B45"/>
    <w:rsid w:val="00FA0B86"/>
    <w:rsid w:val="00FA0D97"/>
    <w:rsid w:val="00FA10F0"/>
    <w:rsid w:val="00FA11ED"/>
    <w:rsid w:val="00FA141E"/>
    <w:rsid w:val="00FA14B0"/>
    <w:rsid w:val="00FA1507"/>
    <w:rsid w:val="00FA16E7"/>
    <w:rsid w:val="00FA17C4"/>
    <w:rsid w:val="00FA17DF"/>
    <w:rsid w:val="00FA18F1"/>
    <w:rsid w:val="00FA1B08"/>
    <w:rsid w:val="00FA1D4C"/>
    <w:rsid w:val="00FA1E69"/>
    <w:rsid w:val="00FA1F61"/>
    <w:rsid w:val="00FA1F76"/>
    <w:rsid w:val="00FA1FE6"/>
    <w:rsid w:val="00FA1FED"/>
    <w:rsid w:val="00FA20F1"/>
    <w:rsid w:val="00FA2189"/>
    <w:rsid w:val="00FA2237"/>
    <w:rsid w:val="00FA2266"/>
    <w:rsid w:val="00FA227C"/>
    <w:rsid w:val="00FA2304"/>
    <w:rsid w:val="00FA23D7"/>
    <w:rsid w:val="00FA245A"/>
    <w:rsid w:val="00FA25D5"/>
    <w:rsid w:val="00FA27B3"/>
    <w:rsid w:val="00FA28C3"/>
    <w:rsid w:val="00FA29DD"/>
    <w:rsid w:val="00FA2A5E"/>
    <w:rsid w:val="00FA2CC6"/>
    <w:rsid w:val="00FA2E59"/>
    <w:rsid w:val="00FA2ED8"/>
    <w:rsid w:val="00FA317E"/>
    <w:rsid w:val="00FA3186"/>
    <w:rsid w:val="00FA3201"/>
    <w:rsid w:val="00FA339B"/>
    <w:rsid w:val="00FA33C6"/>
    <w:rsid w:val="00FA34A2"/>
    <w:rsid w:val="00FA352D"/>
    <w:rsid w:val="00FA35C0"/>
    <w:rsid w:val="00FA381A"/>
    <w:rsid w:val="00FA397E"/>
    <w:rsid w:val="00FA39E9"/>
    <w:rsid w:val="00FA3CFA"/>
    <w:rsid w:val="00FA3D0E"/>
    <w:rsid w:val="00FA3D4C"/>
    <w:rsid w:val="00FA3EF8"/>
    <w:rsid w:val="00FA40AB"/>
    <w:rsid w:val="00FA41C2"/>
    <w:rsid w:val="00FA424E"/>
    <w:rsid w:val="00FA426C"/>
    <w:rsid w:val="00FA426F"/>
    <w:rsid w:val="00FA43E9"/>
    <w:rsid w:val="00FA4416"/>
    <w:rsid w:val="00FA4508"/>
    <w:rsid w:val="00FA4524"/>
    <w:rsid w:val="00FA4A09"/>
    <w:rsid w:val="00FA4A1E"/>
    <w:rsid w:val="00FA4AC0"/>
    <w:rsid w:val="00FA4B64"/>
    <w:rsid w:val="00FA4C46"/>
    <w:rsid w:val="00FA5299"/>
    <w:rsid w:val="00FA5419"/>
    <w:rsid w:val="00FA57FB"/>
    <w:rsid w:val="00FA5B7C"/>
    <w:rsid w:val="00FA5C62"/>
    <w:rsid w:val="00FA5D4E"/>
    <w:rsid w:val="00FA5DC8"/>
    <w:rsid w:val="00FA5E81"/>
    <w:rsid w:val="00FA5FF9"/>
    <w:rsid w:val="00FA6026"/>
    <w:rsid w:val="00FA62BC"/>
    <w:rsid w:val="00FA68B3"/>
    <w:rsid w:val="00FA6913"/>
    <w:rsid w:val="00FA6928"/>
    <w:rsid w:val="00FA6A6E"/>
    <w:rsid w:val="00FA6A85"/>
    <w:rsid w:val="00FA6ADB"/>
    <w:rsid w:val="00FA6B91"/>
    <w:rsid w:val="00FA6C0F"/>
    <w:rsid w:val="00FA6C82"/>
    <w:rsid w:val="00FA6D22"/>
    <w:rsid w:val="00FA6D6B"/>
    <w:rsid w:val="00FA6EA9"/>
    <w:rsid w:val="00FA6EB8"/>
    <w:rsid w:val="00FA6F27"/>
    <w:rsid w:val="00FA6F58"/>
    <w:rsid w:val="00FA6F84"/>
    <w:rsid w:val="00FA6FAD"/>
    <w:rsid w:val="00FA6FEC"/>
    <w:rsid w:val="00FA7053"/>
    <w:rsid w:val="00FA70B1"/>
    <w:rsid w:val="00FA70BE"/>
    <w:rsid w:val="00FA70FD"/>
    <w:rsid w:val="00FA71EF"/>
    <w:rsid w:val="00FA741A"/>
    <w:rsid w:val="00FA7571"/>
    <w:rsid w:val="00FA774A"/>
    <w:rsid w:val="00FA7A79"/>
    <w:rsid w:val="00FA7B43"/>
    <w:rsid w:val="00FB0296"/>
    <w:rsid w:val="00FB04D1"/>
    <w:rsid w:val="00FB05C7"/>
    <w:rsid w:val="00FB0738"/>
    <w:rsid w:val="00FB07A4"/>
    <w:rsid w:val="00FB0969"/>
    <w:rsid w:val="00FB0B27"/>
    <w:rsid w:val="00FB0C0D"/>
    <w:rsid w:val="00FB1063"/>
    <w:rsid w:val="00FB120D"/>
    <w:rsid w:val="00FB1279"/>
    <w:rsid w:val="00FB16C9"/>
    <w:rsid w:val="00FB17AF"/>
    <w:rsid w:val="00FB1908"/>
    <w:rsid w:val="00FB1A9C"/>
    <w:rsid w:val="00FB1AAF"/>
    <w:rsid w:val="00FB1CF1"/>
    <w:rsid w:val="00FB1EEF"/>
    <w:rsid w:val="00FB2163"/>
    <w:rsid w:val="00FB2272"/>
    <w:rsid w:val="00FB2304"/>
    <w:rsid w:val="00FB25A1"/>
    <w:rsid w:val="00FB26A6"/>
    <w:rsid w:val="00FB270D"/>
    <w:rsid w:val="00FB275E"/>
    <w:rsid w:val="00FB2870"/>
    <w:rsid w:val="00FB2C40"/>
    <w:rsid w:val="00FB2C4E"/>
    <w:rsid w:val="00FB2C8C"/>
    <w:rsid w:val="00FB2D37"/>
    <w:rsid w:val="00FB2D6F"/>
    <w:rsid w:val="00FB2D83"/>
    <w:rsid w:val="00FB2DF6"/>
    <w:rsid w:val="00FB301D"/>
    <w:rsid w:val="00FB3036"/>
    <w:rsid w:val="00FB31E5"/>
    <w:rsid w:val="00FB3571"/>
    <w:rsid w:val="00FB37C8"/>
    <w:rsid w:val="00FB3872"/>
    <w:rsid w:val="00FB395C"/>
    <w:rsid w:val="00FB3C06"/>
    <w:rsid w:val="00FB3DC7"/>
    <w:rsid w:val="00FB3DDD"/>
    <w:rsid w:val="00FB410A"/>
    <w:rsid w:val="00FB4143"/>
    <w:rsid w:val="00FB422E"/>
    <w:rsid w:val="00FB4312"/>
    <w:rsid w:val="00FB435D"/>
    <w:rsid w:val="00FB44A0"/>
    <w:rsid w:val="00FB45D9"/>
    <w:rsid w:val="00FB460E"/>
    <w:rsid w:val="00FB465F"/>
    <w:rsid w:val="00FB4727"/>
    <w:rsid w:val="00FB47DC"/>
    <w:rsid w:val="00FB4958"/>
    <w:rsid w:val="00FB49F5"/>
    <w:rsid w:val="00FB4F3D"/>
    <w:rsid w:val="00FB4FF7"/>
    <w:rsid w:val="00FB5034"/>
    <w:rsid w:val="00FB503C"/>
    <w:rsid w:val="00FB51D2"/>
    <w:rsid w:val="00FB5214"/>
    <w:rsid w:val="00FB539F"/>
    <w:rsid w:val="00FB5413"/>
    <w:rsid w:val="00FB54A3"/>
    <w:rsid w:val="00FB56B9"/>
    <w:rsid w:val="00FB5AA8"/>
    <w:rsid w:val="00FB5B31"/>
    <w:rsid w:val="00FB5C7E"/>
    <w:rsid w:val="00FB5CA7"/>
    <w:rsid w:val="00FB5CFA"/>
    <w:rsid w:val="00FB5D0D"/>
    <w:rsid w:val="00FB5E2B"/>
    <w:rsid w:val="00FB5F33"/>
    <w:rsid w:val="00FB604B"/>
    <w:rsid w:val="00FB60BF"/>
    <w:rsid w:val="00FB62A9"/>
    <w:rsid w:val="00FB66A6"/>
    <w:rsid w:val="00FB675D"/>
    <w:rsid w:val="00FB694E"/>
    <w:rsid w:val="00FB695B"/>
    <w:rsid w:val="00FB6977"/>
    <w:rsid w:val="00FB6A8B"/>
    <w:rsid w:val="00FB6BC0"/>
    <w:rsid w:val="00FB6C07"/>
    <w:rsid w:val="00FB6CA9"/>
    <w:rsid w:val="00FB6D7E"/>
    <w:rsid w:val="00FB6DB3"/>
    <w:rsid w:val="00FB6E19"/>
    <w:rsid w:val="00FB6ECC"/>
    <w:rsid w:val="00FB6F3B"/>
    <w:rsid w:val="00FB6FFB"/>
    <w:rsid w:val="00FB7008"/>
    <w:rsid w:val="00FB755C"/>
    <w:rsid w:val="00FB764B"/>
    <w:rsid w:val="00FB76C7"/>
    <w:rsid w:val="00FB7744"/>
    <w:rsid w:val="00FB77EB"/>
    <w:rsid w:val="00FB7974"/>
    <w:rsid w:val="00FB7C9D"/>
    <w:rsid w:val="00FB7D26"/>
    <w:rsid w:val="00FB7E0F"/>
    <w:rsid w:val="00FB7E3F"/>
    <w:rsid w:val="00FC0107"/>
    <w:rsid w:val="00FC01DA"/>
    <w:rsid w:val="00FC03AC"/>
    <w:rsid w:val="00FC04F4"/>
    <w:rsid w:val="00FC054C"/>
    <w:rsid w:val="00FC0A01"/>
    <w:rsid w:val="00FC0F4B"/>
    <w:rsid w:val="00FC113A"/>
    <w:rsid w:val="00FC12B4"/>
    <w:rsid w:val="00FC1395"/>
    <w:rsid w:val="00FC13BC"/>
    <w:rsid w:val="00FC14C0"/>
    <w:rsid w:val="00FC1553"/>
    <w:rsid w:val="00FC167D"/>
    <w:rsid w:val="00FC169A"/>
    <w:rsid w:val="00FC181E"/>
    <w:rsid w:val="00FC1945"/>
    <w:rsid w:val="00FC1B00"/>
    <w:rsid w:val="00FC1BB3"/>
    <w:rsid w:val="00FC1BBF"/>
    <w:rsid w:val="00FC1C5D"/>
    <w:rsid w:val="00FC1F1F"/>
    <w:rsid w:val="00FC2102"/>
    <w:rsid w:val="00FC216A"/>
    <w:rsid w:val="00FC23F8"/>
    <w:rsid w:val="00FC24B8"/>
    <w:rsid w:val="00FC26E7"/>
    <w:rsid w:val="00FC2953"/>
    <w:rsid w:val="00FC29FB"/>
    <w:rsid w:val="00FC2ADB"/>
    <w:rsid w:val="00FC2D9E"/>
    <w:rsid w:val="00FC2E20"/>
    <w:rsid w:val="00FC2E90"/>
    <w:rsid w:val="00FC3123"/>
    <w:rsid w:val="00FC336A"/>
    <w:rsid w:val="00FC34E5"/>
    <w:rsid w:val="00FC350C"/>
    <w:rsid w:val="00FC3543"/>
    <w:rsid w:val="00FC3616"/>
    <w:rsid w:val="00FC3671"/>
    <w:rsid w:val="00FC3688"/>
    <w:rsid w:val="00FC3883"/>
    <w:rsid w:val="00FC38BA"/>
    <w:rsid w:val="00FC3A94"/>
    <w:rsid w:val="00FC3AC7"/>
    <w:rsid w:val="00FC3B16"/>
    <w:rsid w:val="00FC3B74"/>
    <w:rsid w:val="00FC3B90"/>
    <w:rsid w:val="00FC3C24"/>
    <w:rsid w:val="00FC3CB2"/>
    <w:rsid w:val="00FC3FDE"/>
    <w:rsid w:val="00FC421A"/>
    <w:rsid w:val="00FC430B"/>
    <w:rsid w:val="00FC4451"/>
    <w:rsid w:val="00FC44A8"/>
    <w:rsid w:val="00FC4900"/>
    <w:rsid w:val="00FC49F0"/>
    <w:rsid w:val="00FC49FF"/>
    <w:rsid w:val="00FC4A3B"/>
    <w:rsid w:val="00FC4AAE"/>
    <w:rsid w:val="00FC4B3D"/>
    <w:rsid w:val="00FC4BA7"/>
    <w:rsid w:val="00FC4CA5"/>
    <w:rsid w:val="00FC4F45"/>
    <w:rsid w:val="00FC4FC1"/>
    <w:rsid w:val="00FC5072"/>
    <w:rsid w:val="00FC5108"/>
    <w:rsid w:val="00FC516B"/>
    <w:rsid w:val="00FC5374"/>
    <w:rsid w:val="00FC553B"/>
    <w:rsid w:val="00FC56E2"/>
    <w:rsid w:val="00FC56F2"/>
    <w:rsid w:val="00FC5712"/>
    <w:rsid w:val="00FC57AB"/>
    <w:rsid w:val="00FC57D0"/>
    <w:rsid w:val="00FC58BC"/>
    <w:rsid w:val="00FC58E3"/>
    <w:rsid w:val="00FC595B"/>
    <w:rsid w:val="00FC5A75"/>
    <w:rsid w:val="00FC5B42"/>
    <w:rsid w:val="00FC5BF5"/>
    <w:rsid w:val="00FC5D4D"/>
    <w:rsid w:val="00FC6400"/>
    <w:rsid w:val="00FC6453"/>
    <w:rsid w:val="00FC65EF"/>
    <w:rsid w:val="00FC6744"/>
    <w:rsid w:val="00FC6814"/>
    <w:rsid w:val="00FC68B4"/>
    <w:rsid w:val="00FC68F8"/>
    <w:rsid w:val="00FC69FE"/>
    <w:rsid w:val="00FC6A8F"/>
    <w:rsid w:val="00FC6D29"/>
    <w:rsid w:val="00FC6EBB"/>
    <w:rsid w:val="00FC6F46"/>
    <w:rsid w:val="00FC712B"/>
    <w:rsid w:val="00FC72CB"/>
    <w:rsid w:val="00FC74AF"/>
    <w:rsid w:val="00FC79F6"/>
    <w:rsid w:val="00FC7B46"/>
    <w:rsid w:val="00FC7B6F"/>
    <w:rsid w:val="00FC7F2B"/>
    <w:rsid w:val="00FC7F76"/>
    <w:rsid w:val="00FC7FC8"/>
    <w:rsid w:val="00FD0141"/>
    <w:rsid w:val="00FD036B"/>
    <w:rsid w:val="00FD0503"/>
    <w:rsid w:val="00FD0553"/>
    <w:rsid w:val="00FD0580"/>
    <w:rsid w:val="00FD06FA"/>
    <w:rsid w:val="00FD07CC"/>
    <w:rsid w:val="00FD093D"/>
    <w:rsid w:val="00FD0AEE"/>
    <w:rsid w:val="00FD0B92"/>
    <w:rsid w:val="00FD0C69"/>
    <w:rsid w:val="00FD0EAB"/>
    <w:rsid w:val="00FD1878"/>
    <w:rsid w:val="00FD18C3"/>
    <w:rsid w:val="00FD1A3C"/>
    <w:rsid w:val="00FD1E46"/>
    <w:rsid w:val="00FD2158"/>
    <w:rsid w:val="00FD21E5"/>
    <w:rsid w:val="00FD23E6"/>
    <w:rsid w:val="00FD267B"/>
    <w:rsid w:val="00FD26D6"/>
    <w:rsid w:val="00FD2738"/>
    <w:rsid w:val="00FD289A"/>
    <w:rsid w:val="00FD29B5"/>
    <w:rsid w:val="00FD2A26"/>
    <w:rsid w:val="00FD2B20"/>
    <w:rsid w:val="00FD2E06"/>
    <w:rsid w:val="00FD2E69"/>
    <w:rsid w:val="00FD3028"/>
    <w:rsid w:val="00FD30C7"/>
    <w:rsid w:val="00FD3261"/>
    <w:rsid w:val="00FD3861"/>
    <w:rsid w:val="00FD38B1"/>
    <w:rsid w:val="00FD3982"/>
    <w:rsid w:val="00FD3998"/>
    <w:rsid w:val="00FD39CC"/>
    <w:rsid w:val="00FD39F5"/>
    <w:rsid w:val="00FD3A94"/>
    <w:rsid w:val="00FD3C1F"/>
    <w:rsid w:val="00FD3D34"/>
    <w:rsid w:val="00FD3EE2"/>
    <w:rsid w:val="00FD3F72"/>
    <w:rsid w:val="00FD3FDD"/>
    <w:rsid w:val="00FD42F1"/>
    <w:rsid w:val="00FD44D1"/>
    <w:rsid w:val="00FD44D8"/>
    <w:rsid w:val="00FD45CD"/>
    <w:rsid w:val="00FD4709"/>
    <w:rsid w:val="00FD474B"/>
    <w:rsid w:val="00FD474D"/>
    <w:rsid w:val="00FD4892"/>
    <w:rsid w:val="00FD4905"/>
    <w:rsid w:val="00FD4A15"/>
    <w:rsid w:val="00FD4BA7"/>
    <w:rsid w:val="00FD4C6C"/>
    <w:rsid w:val="00FD4E83"/>
    <w:rsid w:val="00FD4ECD"/>
    <w:rsid w:val="00FD52BB"/>
    <w:rsid w:val="00FD5312"/>
    <w:rsid w:val="00FD5426"/>
    <w:rsid w:val="00FD5517"/>
    <w:rsid w:val="00FD55EA"/>
    <w:rsid w:val="00FD566E"/>
    <w:rsid w:val="00FD56B4"/>
    <w:rsid w:val="00FD5708"/>
    <w:rsid w:val="00FD5881"/>
    <w:rsid w:val="00FD5980"/>
    <w:rsid w:val="00FD5B06"/>
    <w:rsid w:val="00FD5E6D"/>
    <w:rsid w:val="00FD6070"/>
    <w:rsid w:val="00FD60DD"/>
    <w:rsid w:val="00FD6372"/>
    <w:rsid w:val="00FD6387"/>
    <w:rsid w:val="00FD639E"/>
    <w:rsid w:val="00FD688C"/>
    <w:rsid w:val="00FD68BF"/>
    <w:rsid w:val="00FD6A96"/>
    <w:rsid w:val="00FD6F35"/>
    <w:rsid w:val="00FD7099"/>
    <w:rsid w:val="00FD748F"/>
    <w:rsid w:val="00FD74D1"/>
    <w:rsid w:val="00FD7612"/>
    <w:rsid w:val="00FD7657"/>
    <w:rsid w:val="00FD76EE"/>
    <w:rsid w:val="00FD780D"/>
    <w:rsid w:val="00FD7893"/>
    <w:rsid w:val="00FD7912"/>
    <w:rsid w:val="00FD7B72"/>
    <w:rsid w:val="00FD7CE6"/>
    <w:rsid w:val="00FD7F27"/>
    <w:rsid w:val="00FE0078"/>
    <w:rsid w:val="00FE01EE"/>
    <w:rsid w:val="00FE02EF"/>
    <w:rsid w:val="00FE04B3"/>
    <w:rsid w:val="00FE04B6"/>
    <w:rsid w:val="00FE0577"/>
    <w:rsid w:val="00FE0587"/>
    <w:rsid w:val="00FE05E3"/>
    <w:rsid w:val="00FE05EA"/>
    <w:rsid w:val="00FE061B"/>
    <w:rsid w:val="00FE0822"/>
    <w:rsid w:val="00FE0849"/>
    <w:rsid w:val="00FE085E"/>
    <w:rsid w:val="00FE0892"/>
    <w:rsid w:val="00FE09B4"/>
    <w:rsid w:val="00FE0BF0"/>
    <w:rsid w:val="00FE0C44"/>
    <w:rsid w:val="00FE11E1"/>
    <w:rsid w:val="00FE120D"/>
    <w:rsid w:val="00FE138C"/>
    <w:rsid w:val="00FE13E1"/>
    <w:rsid w:val="00FE140A"/>
    <w:rsid w:val="00FE15BF"/>
    <w:rsid w:val="00FE1611"/>
    <w:rsid w:val="00FE1743"/>
    <w:rsid w:val="00FE1819"/>
    <w:rsid w:val="00FE18BD"/>
    <w:rsid w:val="00FE1B78"/>
    <w:rsid w:val="00FE1DD8"/>
    <w:rsid w:val="00FE1F17"/>
    <w:rsid w:val="00FE2221"/>
    <w:rsid w:val="00FE250C"/>
    <w:rsid w:val="00FE256C"/>
    <w:rsid w:val="00FE258A"/>
    <w:rsid w:val="00FE26D7"/>
    <w:rsid w:val="00FE26EF"/>
    <w:rsid w:val="00FE2760"/>
    <w:rsid w:val="00FE2B0A"/>
    <w:rsid w:val="00FE2B41"/>
    <w:rsid w:val="00FE2CB9"/>
    <w:rsid w:val="00FE3048"/>
    <w:rsid w:val="00FE3081"/>
    <w:rsid w:val="00FE3528"/>
    <w:rsid w:val="00FE37B9"/>
    <w:rsid w:val="00FE39D1"/>
    <w:rsid w:val="00FE3AEB"/>
    <w:rsid w:val="00FE3B1E"/>
    <w:rsid w:val="00FE3B7A"/>
    <w:rsid w:val="00FE3B93"/>
    <w:rsid w:val="00FE3C16"/>
    <w:rsid w:val="00FE3C8B"/>
    <w:rsid w:val="00FE3E4A"/>
    <w:rsid w:val="00FE3E88"/>
    <w:rsid w:val="00FE4082"/>
    <w:rsid w:val="00FE43EA"/>
    <w:rsid w:val="00FE4547"/>
    <w:rsid w:val="00FE4551"/>
    <w:rsid w:val="00FE4568"/>
    <w:rsid w:val="00FE4690"/>
    <w:rsid w:val="00FE494F"/>
    <w:rsid w:val="00FE4BFE"/>
    <w:rsid w:val="00FE4D43"/>
    <w:rsid w:val="00FE4D99"/>
    <w:rsid w:val="00FE4E39"/>
    <w:rsid w:val="00FE5073"/>
    <w:rsid w:val="00FE5111"/>
    <w:rsid w:val="00FE52D9"/>
    <w:rsid w:val="00FE5464"/>
    <w:rsid w:val="00FE5540"/>
    <w:rsid w:val="00FE5655"/>
    <w:rsid w:val="00FE5748"/>
    <w:rsid w:val="00FE5B1B"/>
    <w:rsid w:val="00FE5BAD"/>
    <w:rsid w:val="00FE5BDF"/>
    <w:rsid w:val="00FE5E1B"/>
    <w:rsid w:val="00FE5EE3"/>
    <w:rsid w:val="00FE60DF"/>
    <w:rsid w:val="00FE6260"/>
    <w:rsid w:val="00FE6277"/>
    <w:rsid w:val="00FE62A4"/>
    <w:rsid w:val="00FE63A8"/>
    <w:rsid w:val="00FE6593"/>
    <w:rsid w:val="00FE677E"/>
    <w:rsid w:val="00FE69CC"/>
    <w:rsid w:val="00FE69D0"/>
    <w:rsid w:val="00FE6A5E"/>
    <w:rsid w:val="00FE6A63"/>
    <w:rsid w:val="00FE6CCE"/>
    <w:rsid w:val="00FE6CFA"/>
    <w:rsid w:val="00FE6E22"/>
    <w:rsid w:val="00FE6FB8"/>
    <w:rsid w:val="00FE70DA"/>
    <w:rsid w:val="00FE7445"/>
    <w:rsid w:val="00FE76A8"/>
    <w:rsid w:val="00FE78D6"/>
    <w:rsid w:val="00FE7ABE"/>
    <w:rsid w:val="00FE7B89"/>
    <w:rsid w:val="00FE7CD1"/>
    <w:rsid w:val="00FE7DF3"/>
    <w:rsid w:val="00FE7E52"/>
    <w:rsid w:val="00FE7F6C"/>
    <w:rsid w:val="00FF01AC"/>
    <w:rsid w:val="00FF01AF"/>
    <w:rsid w:val="00FF03AD"/>
    <w:rsid w:val="00FF0551"/>
    <w:rsid w:val="00FF076F"/>
    <w:rsid w:val="00FF0822"/>
    <w:rsid w:val="00FF0ED9"/>
    <w:rsid w:val="00FF1426"/>
    <w:rsid w:val="00FF15E4"/>
    <w:rsid w:val="00FF1A66"/>
    <w:rsid w:val="00FF1BDD"/>
    <w:rsid w:val="00FF1C30"/>
    <w:rsid w:val="00FF1D8A"/>
    <w:rsid w:val="00FF1ED9"/>
    <w:rsid w:val="00FF20DF"/>
    <w:rsid w:val="00FF21BD"/>
    <w:rsid w:val="00FF234E"/>
    <w:rsid w:val="00FF24F7"/>
    <w:rsid w:val="00FF259E"/>
    <w:rsid w:val="00FF280D"/>
    <w:rsid w:val="00FF297A"/>
    <w:rsid w:val="00FF2C36"/>
    <w:rsid w:val="00FF2D4C"/>
    <w:rsid w:val="00FF2EF8"/>
    <w:rsid w:val="00FF2F0E"/>
    <w:rsid w:val="00FF3072"/>
    <w:rsid w:val="00FF31A5"/>
    <w:rsid w:val="00FF32FE"/>
    <w:rsid w:val="00FF33F3"/>
    <w:rsid w:val="00FF343F"/>
    <w:rsid w:val="00FF35C9"/>
    <w:rsid w:val="00FF399E"/>
    <w:rsid w:val="00FF39E0"/>
    <w:rsid w:val="00FF3A16"/>
    <w:rsid w:val="00FF3A91"/>
    <w:rsid w:val="00FF3D9A"/>
    <w:rsid w:val="00FF40CA"/>
    <w:rsid w:val="00FF41AB"/>
    <w:rsid w:val="00FF4200"/>
    <w:rsid w:val="00FF4282"/>
    <w:rsid w:val="00FF439E"/>
    <w:rsid w:val="00FF44AF"/>
    <w:rsid w:val="00FF4834"/>
    <w:rsid w:val="00FF485A"/>
    <w:rsid w:val="00FF4914"/>
    <w:rsid w:val="00FF4917"/>
    <w:rsid w:val="00FF49AC"/>
    <w:rsid w:val="00FF4BCD"/>
    <w:rsid w:val="00FF4CDF"/>
    <w:rsid w:val="00FF4CE7"/>
    <w:rsid w:val="00FF4DCA"/>
    <w:rsid w:val="00FF4E1E"/>
    <w:rsid w:val="00FF4E92"/>
    <w:rsid w:val="00FF514A"/>
    <w:rsid w:val="00FF5262"/>
    <w:rsid w:val="00FF5429"/>
    <w:rsid w:val="00FF5512"/>
    <w:rsid w:val="00FF5658"/>
    <w:rsid w:val="00FF5672"/>
    <w:rsid w:val="00FF589B"/>
    <w:rsid w:val="00FF59EA"/>
    <w:rsid w:val="00FF5A89"/>
    <w:rsid w:val="00FF5AA4"/>
    <w:rsid w:val="00FF5DB3"/>
    <w:rsid w:val="00FF5DEB"/>
    <w:rsid w:val="00FF5EC2"/>
    <w:rsid w:val="00FF600B"/>
    <w:rsid w:val="00FF60C5"/>
    <w:rsid w:val="00FF6284"/>
    <w:rsid w:val="00FF62E8"/>
    <w:rsid w:val="00FF641D"/>
    <w:rsid w:val="00FF6589"/>
    <w:rsid w:val="00FF664F"/>
    <w:rsid w:val="00FF6697"/>
    <w:rsid w:val="00FF687D"/>
    <w:rsid w:val="00FF6A15"/>
    <w:rsid w:val="00FF6B56"/>
    <w:rsid w:val="00FF6C42"/>
    <w:rsid w:val="00FF6C9F"/>
    <w:rsid w:val="00FF6D5A"/>
    <w:rsid w:val="00FF6DB1"/>
    <w:rsid w:val="00FF6DEE"/>
    <w:rsid w:val="00FF6DFB"/>
    <w:rsid w:val="00FF6FAB"/>
    <w:rsid w:val="00FF7465"/>
    <w:rsid w:val="00FF757C"/>
    <w:rsid w:val="00FF76E2"/>
    <w:rsid w:val="00FF77D0"/>
    <w:rsid w:val="00FF7CA2"/>
    <w:rsid w:val="00FF7E74"/>
    <w:rsid w:val="00FF7F97"/>
    <w:rsid w:val="0107D6D7"/>
    <w:rsid w:val="0107F948"/>
    <w:rsid w:val="01147703"/>
    <w:rsid w:val="0114A552"/>
    <w:rsid w:val="01177672"/>
    <w:rsid w:val="012FB744"/>
    <w:rsid w:val="0130DAC7"/>
    <w:rsid w:val="01364738"/>
    <w:rsid w:val="013705E8"/>
    <w:rsid w:val="013AF016"/>
    <w:rsid w:val="01414B4C"/>
    <w:rsid w:val="01431A64"/>
    <w:rsid w:val="014E0B18"/>
    <w:rsid w:val="015866B0"/>
    <w:rsid w:val="0158A81C"/>
    <w:rsid w:val="01595346"/>
    <w:rsid w:val="01596BFF"/>
    <w:rsid w:val="015E864E"/>
    <w:rsid w:val="015EF6F0"/>
    <w:rsid w:val="01600FF5"/>
    <w:rsid w:val="0162EC92"/>
    <w:rsid w:val="01670689"/>
    <w:rsid w:val="016A5D4B"/>
    <w:rsid w:val="016AA659"/>
    <w:rsid w:val="016AF1E1"/>
    <w:rsid w:val="016FB076"/>
    <w:rsid w:val="0175335B"/>
    <w:rsid w:val="01794F48"/>
    <w:rsid w:val="017C945F"/>
    <w:rsid w:val="017D0B52"/>
    <w:rsid w:val="01845741"/>
    <w:rsid w:val="01849C86"/>
    <w:rsid w:val="0190DCCE"/>
    <w:rsid w:val="0193ADA5"/>
    <w:rsid w:val="019774C7"/>
    <w:rsid w:val="019E2E9A"/>
    <w:rsid w:val="01A739E0"/>
    <w:rsid w:val="01A99D2C"/>
    <w:rsid w:val="01A9B1F8"/>
    <w:rsid w:val="01AAA6BA"/>
    <w:rsid w:val="01AFD28E"/>
    <w:rsid w:val="01B47E5C"/>
    <w:rsid w:val="01B5ED4D"/>
    <w:rsid w:val="01B66293"/>
    <w:rsid w:val="01B6D121"/>
    <w:rsid w:val="01BA53B7"/>
    <w:rsid w:val="01C6FAD1"/>
    <w:rsid w:val="01CB3F77"/>
    <w:rsid w:val="01D74FB8"/>
    <w:rsid w:val="01DBF99A"/>
    <w:rsid w:val="01DD33CF"/>
    <w:rsid w:val="01E54DD3"/>
    <w:rsid w:val="01EBEF9B"/>
    <w:rsid w:val="01F46C4E"/>
    <w:rsid w:val="01F757C6"/>
    <w:rsid w:val="01FB41AD"/>
    <w:rsid w:val="01FB4D38"/>
    <w:rsid w:val="01FF6392"/>
    <w:rsid w:val="020B4F45"/>
    <w:rsid w:val="020C8D1C"/>
    <w:rsid w:val="020E5675"/>
    <w:rsid w:val="021E2BBC"/>
    <w:rsid w:val="021E34A5"/>
    <w:rsid w:val="0223E7C7"/>
    <w:rsid w:val="02253032"/>
    <w:rsid w:val="02257001"/>
    <w:rsid w:val="022609FD"/>
    <w:rsid w:val="022F6220"/>
    <w:rsid w:val="0230CBCB"/>
    <w:rsid w:val="02318286"/>
    <w:rsid w:val="0235F928"/>
    <w:rsid w:val="023A3875"/>
    <w:rsid w:val="023B4AD8"/>
    <w:rsid w:val="023FAABB"/>
    <w:rsid w:val="02442F87"/>
    <w:rsid w:val="024A0703"/>
    <w:rsid w:val="024A8B5E"/>
    <w:rsid w:val="0250561B"/>
    <w:rsid w:val="025887B9"/>
    <w:rsid w:val="025F79FC"/>
    <w:rsid w:val="0260827E"/>
    <w:rsid w:val="02624A9A"/>
    <w:rsid w:val="02644E43"/>
    <w:rsid w:val="026457FF"/>
    <w:rsid w:val="02654E24"/>
    <w:rsid w:val="026D5E7C"/>
    <w:rsid w:val="027572B7"/>
    <w:rsid w:val="027F037D"/>
    <w:rsid w:val="028382E7"/>
    <w:rsid w:val="0286B6D8"/>
    <w:rsid w:val="02897066"/>
    <w:rsid w:val="028D98DE"/>
    <w:rsid w:val="029893FF"/>
    <w:rsid w:val="0299E74E"/>
    <w:rsid w:val="029A9F72"/>
    <w:rsid w:val="029BCA97"/>
    <w:rsid w:val="029CAC81"/>
    <w:rsid w:val="02A09C2A"/>
    <w:rsid w:val="02A20EE9"/>
    <w:rsid w:val="02A2EF3C"/>
    <w:rsid w:val="02AB9F40"/>
    <w:rsid w:val="02AC93E2"/>
    <w:rsid w:val="02B0571B"/>
    <w:rsid w:val="02B2A2CE"/>
    <w:rsid w:val="02B699F1"/>
    <w:rsid w:val="02BCD830"/>
    <w:rsid w:val="02C62C35"/>
    <w:rsid w:val="02C87664"/>
    <w:rsid w:val="02D48A9E"/>
    <w:rsid w:val="02D7D193"/>
    <w:rsid w:val="02E6EDD9"/>
    <w:rsid w:val="02EA5D2C"/>
    <w:rsid w:val="02EF43A2"/>
    <w:rsid w:val="02F28C16"/>
    <w:rsid w:val="02F292B2"/>
    <w:rsid w:val="02F7879A"/>
    <w:rsid w:val="02F7FA70"/>
    <w:rsid w:val="0303252F"/>
    <w:rsid w:val="03058925"/>
    <w:rsid w:val="0308707C"/>
    <w:rsid w:val="0314E46A"/>
    <w:rsid w:val="0317E3A2"/>
    <w:rsid w:val="03190FDC"/>
    <w:rsid w:val="0320DCA8"/>
    <w:rsid w:val="0327D05D"/>
    <w:rsid w:val="0334180A"/>
    <w:rsid w:val="033441A2"/>
    <w:rsid w:val="0335D597"/>
    <w:rsid w:val="0338C053"/>
    <w:rsid w:val="0338CE1D"/>
    <w:rsid w:val="0338FFCE"/>
    <w:rsid w:val="033A4A4C"/>
    <w:rsid w:val="033F2257"/>
    <w:rsid w:val="034E107E"/>
    <w:rsid w:val="034FCABC"/>
    <w:rsid w:val="03531C13"/>
    <w:rsid w:val="0356437C"/>
    <w:rsid w:val="03568D1E"/>
    <w:rsid w:val="0359B834"/>
    <w:rsid w:val="035BC10A"/>
    <w:rsid w:val="03600A86"/>
    <w:rsid w:val="0372FBF1"/>
    <w:rsid w:val="0376D0B3"/>
    <w:rsid w:val="0379AE11"/>
    <w:rsid w:val="0379B6EA"/>
    <w:rsid w:val="037D81A5"/>
    <w:rsid w:val="03825BF9"/>
    <w:rsid w:val="03843DFA"/>
    <w:rsid w:val="03858FA3"/>
    <w:rsid w:val="0386A3CB"/>
    <w:rsid w:val="038798F3"/>
    <w:rsid w:val="0389F770"/>
    <w:rsid w:val="038D472B"/>
    <w:rsid w:val="038E81DD"/>
    <w:rsid w:val="039130E2"/>
    <w:rsid w:val="039A6BC7"/>
    <w:rsid w:val="03A01C5D"/>
    <w:rsid w:val="03A278C6"/>
    <w:rsid w:val="03B7C26D"/>
    <w:rsid w:val="03BBB4E7"/>
    <w:rsid w:val="03C0CF1F"/>
    <w:rsid w:val="03C12128"/>
    <w:rsid w:val="03C13445"/>
    <w:rsid w:val="03C2BDC1"/>
    <w:rsid w:val="03CB92C3"/>
    <w:rsid w:val="03D9FB69"/>
    <w:rsid w:val="03E06939"/>
    <w:rsid w:val="03E24981"/>
    <w:rsid w:val="03E562ED"/>
    <w:rsid w:val="03EAB6F1"/>
    <w:rsid w:val="03EB3A5D"/>
    <w:rsid w:val="03EC0C8A"/>
    <w:rsid w:val="03FA4BC5"/>
    <w:rsid w:val="03FD4EF3"/>
    <w:rsid w:val="04071F24"/>
    <w:rsid w:val="04088ACD"/>
    <w:rsid w:val="04093A71"/>
    <w:rsid w:val="040B55A2"/>
    <w:rsid w:val="04104A8F"/>
    <w:rsid w:val="0414BBEA"/>
    <w:rsid w:val="0414FAEE"/>
    <w:rsid w:val="041D4B35"/>
    <w:rsid w:val="04240C01"/>
    <w:rsid w:val="042A1125"/>
    <w:rsid w:val="042C5624"/>
    <w:rsid w:val="04322974"/>
    <w:rsid w:val="0433B961"/>
    <w:rsid w:val="043A5991"/>
    <w:rsid w:val="043AE53C"/>
    <w:rsid w:val="043EA284"/>
    <w:rsid w:val="044A1C67"/>
    <w:rsid w:val="044CAD47"/>
    <w:rsid w:val="04536E69"/>
    <w:rsid w:val="04541FCF"/>
    <w:rsid w:val="045D9FB4"/>
    <w:rsid w:val="04705070"/>
    <w:rsid w:val="0471BC39"/>
    <w:rsid w:val="0476EA48"/>
    <w:rsid w:val="047832AE"/>
    <w:rsid w:val="047C8466"/>
    <w:rsid w:val="048BFC7A"/>
    <w:rsid w:val="048C20A9"/>
    <w:rsid w:val="048DB050"/>
    <w:rsid w:val="0495B90E"/>
    <w:rsid w:val="049AD0A8"/>
    <w:rsid w:val="049B7425"/>
    <w:rsid w:val="049B777D"/>
    <w:rsid w:val="04A2C051"/>
    <w:rsid w:val="04A4FFF5"/>
    <w:rsid w:val="04B2EAB1"/>
    <w:rsid w:val="04B3C887"/>
    <w:rsid w:val="04B59AED"/>
    <w:rsid w:val="04BA8D86"/>
    <w:rsid w:val="04C1C0FD"/>
    <w:rsid w:val="04C55711"/>
    <w:rsid w:val="04C7F67F"/>
    <w:rsid w:val="04CDF602"/>
    <w:rsid w:val="04D00028"/>
    <w:rsid w:val="04D23053"/>
    <w:rsid w:val="04D2B45E"/>
    <w:rsid w:val="04D6DF88"/>
    <w:rsid w:val="04D84248"/>
    <w:rsid w:val="04DA19EA"/>
    <w:rsid w:val="04DAD336"/>
    <w:rsid w:val="04DC500A"/>
    <w:rsid w:val="04DC79E1"/>
    <w:rsid w:val="04E9CDA6"/>
    <w:rsid w:val="04EA74D1"/>
    <w:rsid w:val="04F3839D"/>
    <w:rsid w:val="04F9158C"/>
    <w:rsid w:val="0503BA0B"/>
    <w:rsid w:val="0506E6CF"/>
    <w:rsid w:val="0508704D"/>
    <w:rsid w:val="050BDC21"/>
    <w:rsid w:val="050DF8C6"/>
    <w:rsid w:val="050DFEB3"/>
    <w:rsid w:val="051B5CA8"/>
    <w:rsid w:val="052E8A8B"/>
    <w:rsid w:val="0534EC87"/>
    <w:rsid w:val="053BF02C"/>
    <w:rsid w:val="0543D592"/>
    <w:rsid w:val="0547E88A"/>
    <w:rsid w:val="054B2B37"/>
    <w:rsid w:val="05531F50"/>
    <w:rsid w:val="05535890"/>
    <w:rsid w:val="0555D5CA"/>
    <w:rsid w:val="056174CB"/>
    <w:rsid w:val="05621691"/>
    <w:rsid w:val="0563337A"/>
    <w:rsid w:val="0565E27E"/>
    <w:rsid w:val="0567EB99"/>
    <w:rsid w:val="0569366D"/>
    <w:rsid w:val="056B8C68"/>
    <w:rsid w:val="056CFC98"/>
    <w:rsid w:val="056F281E"/>
    <w:rsid w:val="05708CAB"/>
    <w:rsid w:val="05728C4A"/>
    <w:rsid w:val="057A8C40"/>
    <w:rsid w:val="05861326"/>
    <w:rsid w:val="058B2446"/>
    <w:rsid w:val="058C95B0"/>
    <w:rsid w:val="059B6E78"/>
    <w:rsid w:val="059ED634"/>
    <w:rsid w:val="05A0834B"/>
    <w:rsid w:val="05A25670"/>
    <w:rsid w:val="05A5E403"/>
    <w:rsid w:val="05A97938"/>
    <w:rsid w:val="05ABABFC"/>
    <w:rsid w:val="05B2D40B"/>
    <w:rsid w:val="05B6EED3"/>
    <w:rsid w:val="05C58849"/>
    <w:rsid w:val="05CAD78F"/>
    <w:rsid w:val="05CDC949"/>
    <w:rsid w:val="05D2EC8F"/>
    <w:rsid w:val="05D3DC67"/>
    <w:rsid w:val="05D8440A"/>
    <w:rsid w:val="05DEA116"/>
    <w:rsid w:val="05E030A0"/>
    <w:rsid w:val="05E5367F"/>
    <w:rsid w:val="05E6104C"/>
    <w:rsid w:val="05E6395E"/>
    <w:rsid w:val="05E7DEC4"/>
    <w:rsid w:val="05E80A93"/>
    <w:rsid w:val="05EF3806"/>
    <w:rsid w:val="05F6A1A0"/>
    <w:rsid w:val="05FA00F8"/>
    <w:rsid w:val="05FBC434"/>
    <w:rsid w:val="06010FB4"/>
    <w:rsid w:val="060236C2"/>
    <w:rsid w:val="0603D600"/>
    <w:rsid w:val="061A5B47"/>
    <w:rsid w:val="061CACDF"/>
    <w:rsid w:val="06217F7D"/>
    <w:rsid w:val="0623F1AE"/>
    <w:rsid w:val="06313115"/>
    <w:rsid w:val="06333E34"/>
    <w:rsid w:val="06348C44"/>
    <w:rsid w:val="063C1059"/>
    <w:rsid w:val="063C9904"/>
    <w:rsid w:val="0649F59E"/>
    <w:rsid w:val="06558D8A"/>
    <w:rsid w:val="06583CE7"/>
    <w:rsid w:val="065A7E72"/>
    <w:rsid w:val="065C4E04"/>
    <w:rsid w:val="065CE783"/>
    <w:rsid w:val="0666A8B4"/>
    <w:rsid w:val="066A3BB1"/>
    <w:rsid w:val="066ACD4F"/>
    <w:rsid w:val="0674BC55"/>
    <w:rsid w:val="06750670"/>
    <w:rsid w:val="067543F9"/>
    <w:rsid w:val="06759E8D"/>
    <w:rsid w:val="067DA5E2"/>
    <w:rsid w:val="068B87D6"/>
    <w:rsid w:val="0690C8CF"/>
    <w:rsid w:val="0691C5EE"/>
    <w:rsid w:val="0693FDB3"/>
    <w:rsid w:val="0694ACCA"/>
    <w:rsid w:val="06966539"/>
    <w:rsid w:val="069AE6C0"/>
    <w:rsid w:val="069F94EA"/>
    <w:rsid w:val="06A0D961"/>
    <w:rsid w:val="06A3DA84"/>
    <w:rsid w:val="06A547F6"/>
    <w:rsid w:val="06A80310"/>
    <w:rsid w:val="06AE11AD"/>
    <w:rsid w:val="06B0FA7F"/>
    <w:rsid w:val="06B462BF"/>
    <w:rsid w:val="06B7F792"/>
    <w:rsid w:val="06BC47C6"/>
    <w:rsid w:val="06C42FC1"/>
    <w:rsid w:val="06C44867"/>
    <w:rsid w:val="06CB9662"/>
    <w:rsid w:val="06D5608F"/>
    <w:rsid w:val="06D61198"/>
    <w:rsid w:val="06DC8CAB"/>
    <w:rsid w:val="06DE7C39"/>
    <w:rsid w:val="06DF6E60"/>
    <w:rsid w:val="06DFA756"/>
    <w:rsid w:val="06E0C6A2"/>
    <w:rsid w:val="06E4BAB3"/>
    <w:rsid w:val="06E78DD7"/>
    <w:rsid w:val="06E86901"/>
    <w:rsid w:val="06EE6481"/>
    <w:rsid w:val="06F436A6"/>
    <w:rsid w:val="06F5C862"/>
    <w:rsid w:val="06F8C733"/>
    <w:rsid w:val="06F8E10B"/>
    <w:rsid w:val="06FC9614"/>
    <w:rsid w:val="07006622"/>
    <w:rsid w:val="070117BE"/>
    <w:rsid w:val="070A9177"/>
    <w:rsid w:val="0715D24C"/>
    <w:rsid w:val="071A5C57"/>
    <w:rsid w:val="0726A6E9"/>
    <w:rsid w:val="0730EDCC"/>
    <w:rsid w:val="073145AB"/>
    <w:rsid w:val="07324D1C"/>
    <w:rsid w:val="0732E933"/>
    <w:rsid w:val="07370F69"/>
    <w:rsid w:val="0739B935"/>
    <w:rsid w:val="073BC8D7"/>
    <w:rsid w:val="073EF6AF"/>
    <w:rsid w:val="0741715B"/>
    <w:rsid w:val="0744DD6D"/>
    <w:rsid w:val="0747880C"/>
    <w:rsid w:val="0755A29D"/>
    <w:rsid w:val="0756C9E5"/>
    <w:rsid w:val="0758A3E8"/>
    <w:rsid w:val="07590DDF"/>
    <w:rsid w:val="0759DCC3"/>
    <w:rsid w:val="07600797"/>
    <w:rsid w:val="0760149C"/>
    <w:rsid w:val="07628047"/>
    <w:rsid w:val="0763C90E"/>
    <w:rsid w:val="0766F959"/>
    <w:rsid w:val="0768A397"/>
    <w:rsid w:val="076F9E2B"/>
    <w:rsid w:val="077234E8"/>
    <w:rsid w:val="078362B4"/>
    <w:rsid w:val="07836F76"/>
    <w:rsid w:val="078847DD"/>
    <w:rsid w:val="0788C4DC"/>
    <w:rsid w:val="078E32FF"/>
    <w:rsid w:val="0790A217"/>
    <w:rsid w:val="0795EEC0"/>
    <w:rsid w:val="079D5071"/>
    <w:rsid w:val="079F3C80"/>
    <w:rsid w:val="07B6D2C3"/>
    <w:rsid w:val="07B79C6D"/>
    <w:rsid w:val="07B7F1E5"/>
    <w:rsid w:val="07B81C6C"/>
    <w:rsid w:val="07B86273"/>
    <w:rsid w:val="07BB7CC6"/>
    <w:rsid w:val="07C178A0"/>
    <w:rsid w:val="07C2B332"/>
    <w:rsid w:val="07CDC903"/>
    <w:rsid w:val="07CEB521"/>
    <w:rsid w:val="07CF42B5"/>
    <w:rsid w:val="07CF5CFE"/>
    <w:rsid w:val="07D06F8E"/>
    <w:rsid w:val="07D1E141"/>
    <w:rsid w:val="07D31149"/>
    <w:rsid w:val="07D6C3ED"/>
    <w:rsid w:val="07D79DDB"/>
    <w:rsid w:val="07E6CCC5"/>
    <w:rsid w:val="07EBEF7B"/>
    <w:rsid w:val="07EC306A"/>
    <w:rsid w:val="07ECC484"/>
    <w:rsid w:val="07EF6278"/>
    <w:rsid w:val="07F02C4A"/>
    <w:rsid w:val="07F34D44"/>
    <w:rsid w:val="0801B30B"/>
    <w:rsid w:val="080D1903"/>
    <w:rsid w:val="080E2D7F"/>
    <w:rsid w:val="08109B77"/>
    <w:rsid w:val="0817F975"/>
    <w:rsid w:val="081C9200"/>
    <w:rsid w:val="082905D2"/>
    <w:rsid w:val="0830072D"/>
    <w:rsid w:val="0833BFB3"/>
    <w:rsid w:val="083C6065"/>
    <w:rsid w:val="083E68E1"/>
    <w:rsid w:val="083E7E05"/>
    <w:rsid w:val="0848122D"/>
    <w:rsid w:val="084F4F59"/>
    <w:rsid w:val="0858AF82"/>
    <w:rsid w:val="085A10BA"/>
    <w:rsid w:val="085DCA83"/>
    <w:rsid w:val="08674899"/>
    <w:rsid w:val="086CD034"/>
    <w:rsid w:val="08740926"/>
    <w:rsid w:val="0875AC63"/>
    <w:rsid w:val="08781AF9"/>
    <w:rsid w:val="087A667D"/>
    <w:rsid w:val="08812781"/>
    <w:rsid w:val="088FBE11"/>
    <w:rsid w:val="089739FD"/>
    <w:rsid w:val="089AE8E7"/>
    <w:rsid w:val="089E17F5"/>
    <w:rsid w:val="08A2C5D6"/>
    <w:rsid w:val="08AB0063"/>
    <w:rsid w:val="08B22900"/>
    <w:rsid w:val="08B88E14"/>
    <w:rsid w:val="08C3033B"/>
    <w:rsid w:val="08C46B70"/>
    <w:rsid w:val="08C841B7"/>
    <w:rsid w:val="08C871B1"/>
    <w:rsid w:val="08D12878"/>
    <w:rsid w:val="08D174B9"/>
    <w:rsid w:val="08D32215"/>
    <w:rsid w:val="08DEBBE3"/>
    <w:rsid w:val="08E34070"/>
    <w:rsid w:val="08E39A56"/>
    <w:rsid w:val="08E50C87"/>
    <w:rsid w:val="08E5D446"/>
    <w:rsid w:val="08EB9023"/>
    <w:rsid w:val="08F854E6"/>
    <w:rsid w:val="08F992B8"/>
    <w:rsid w:val="08FA43A5"/>
    <w:rsid w:val="08FFF21F"/>
    <w:rsid w:val="090CFD8B"/>
    <w:rsid w:val="0911AFAF"/>
    <w:rsid w:val="0914A3F5"/>
    <w:rsid w:val="0917D4D7"/>
    <w:rsid w:val="09193C22"/>
    <w:rsid w:val="091C0034"/>
    <w:rsid w:val="0924CE01"/>
    <w:rsid w:val="0929D4D0"/>
    <w:rsid w:val="0932C83D"/>
    <w:rsid w:val="0934B6DB"/>
    <w:rsid w:val="093C637D"/>
    <w:rsid w:val="09415535"/>
    <w:rsid w:val="09466E0A"/>
    <w:rsid w:val="094C9B54"/>
    <w:rsid w:val="094E3FAC"/>
    <w:rsid w:val="0950A638"/>
    <w:rsid w:val="09516D48"/>
    <w:rsid w:val="0952BDDC"/>
    <w:rsid w:val="095363D3"/>
    <w:rsid w:val="0953F910"/>
    <w:rsid w:val="095FB866"/>
    <w:rsid w:val="0963B7D7"/>
    <w:rsid w:val="096872F9"/>
    <w:rsid w:val="096F08C9"/>
    <w:rsid w:val="098CE2EE"/>
    <w:rsid w:val="098DC8A0"/>
    <w:rsid w:val="09938D4D"/>
    <w:rsid w:val="0993EF43"/>
    <w:rsid w:val="0995403A"/>
    <w:rsid w:val="0996FEDC"/>
    <w:rsid w:val="09974C38"/>
    <w:rsid w:val="099849E6"/>
    <w:rsid w:val="09A2F0D9"/>
    <w:rsid w:val="09AB4FA2"/>
    <w:rsid w:val="09AE3DF6"/>
    <w:rsid w:val="09B10CF9"/>
    <w:rsid w:val="09B44623"/>
    <w:rsid w:val="09B77731"/>
    <w:rsid w:val="09C25BCC"/>
    <w:rsid w:val="09D1F0D7"/>
    <w:rsid w:val="09D8D874"/>
    <w:rsid w:val="09D924B8"/>
    <w:rsid w:val="09E03F61"/>
    <w:rsid w:val="09E6D736"/>
    <w:rsid w:val="09EA74C3"/>
    <w:rsid w:val="09EA8E02"/>
    <w:rsid w:val="09EE777F"/>
    <w:rsid w:val="09F640C2"/>
    <w:rsid w:val="09F86191"/>
    <w:rsid w:val="09F8CDF6"/>
    <w:rsid w:val="09FCCACF"/>
    <w:rsid w:val="0A0B5C1B"/>
    <w:rsid w:val="0A0F87B6"/>
    <w:rsid w:val="0A1362A9"/>
    <w:rsid w:val="0A17E5F2"/>
    <w:rsid w:val="0A188E0A"/>
    <w:rsid w:val="0A190B4F"/>
    <w:rsid w:val="0A21730E"/>
    <w:rsid w:val="0A299C44"/>
    <w:rsid w:val="0A336B50"/>
    <w:rsid w:val="0A3E5F2A"/>
    <w:rsid w:val="0A61C0E3"/>
    <w:rsid w:val="0A664A74"/>
    <w:rsid w:val="0A681235"/>
    <w:rsid w:val="0A6A2EBA"/>
    <w:rsid w:val="0A6DDEB3"/>
    <w:rsid w:val="0A6F66FB"/>
    <w:rsid w:val="0A721F56"/>
    <w:rsid w:val="0A73C3AB"/>
    <w:rsid w:val="0A7B1B83"/>
    <w:rsid w:val="0A7F05C1"/>
    <w:rsid w:val="0A7F2C03"/>
    <w:rsid w:val="0A811884"/>
    <w:rsid w:val="0A8F326F"/>
    <w:rsid w:val="0A914B81"/>
    <w:rsid w:val="0A91C9FE"/>
    <w:rsid w:val="0A98313D"/>
    <w:rsid w:val="0A9C87C9"/>
    <w:rsid w:val="0AA05EF6"/>
    <w:rsid w:val="0AA4BA90"/>
    <w:rsid w:val="0AA5765E"/>
    <w:rsid w:val="0AAA0A7E"/>
    <w:rsid w:val="0AB15948"/>
    <w:rsid w:val="0AB2E322"/>
    <w:rsid w:val="0AB3A5F3"/>
    <w:rsid w:val="0ACEF819"/>
    <w:rsid w:val="0AD57762"/>
    <w:rsid w:val="0AD58C95"/>
    <w:rsid w:val="0ADE9ED0"/>
    <w:rsid w:val="0ADEDED3"/>
    <w:rsid w:val="0AE778B0"/>
    <w:rsid w:val="0AEC5A26"/>
    <w:rsid w:val="0AF1ED6F"/>
    <w:rsid w:val="0AF42030"/>
    <w:rsid w:val="0AF44E59"/>
    <w:rsid w:val="0AF4E424"/>
    <w:rsid w:val="0AFC8722"/>
    <w:rsid w:val="0AFC924C"/>
    <w:rsid w:val="0B01D431"/>
    <w:rsid w:val="0B039C0E"/>
    <w:rsid w:val="0B0646D8"/>
    <w:rsid w:val="0B0D1F3E"/>
    <w:rsid w:val="0B0E20B0"/>
    <w:rsid w:val="0B1148A7"/>
    <w:rsid w:val="0B12C9BE"/>
    <w:rsid w:val="0B1515A1"/>
    <w:rsid w:val="0B27EABA"/>
    <w:rsid w:val="0B2A8C9F"/>
    <w:rsid w:val="0B2FA355"/>
    <w:rsid w:val="0B32FD37"/>
    <w:rsid w:val="0B38F5DD"/>
    <w:rsid w:val="0B3AF106"/>
    <w:rsid w:val="0B4139B9"/>
    <w:rsid w:val="0B4161E3"/>
    <w:rsid w:val="0B45E499"/>
    <w:rsid w:val="0B47B77A"/>
    <w:rsid w:val="0B4CA13F"/>
    <w:rsid w:val="0B4F9851"/>
    <w:rsid w:val="0B5031C8"/>
    <w:rsid w:val="0B50ED43"/>
    <w:rsid w:val="0B5281E2"/>
    <w:rsid w:val="0B532833"/>
    <w:rsid w:val="0B533A4C"/>
    <w:rsid w:val="0B55D9F7"/>
    <w:rsid w:val="0B56A61C"/>
    <w:rsid w:val="0B5FD933"/>
    <w:rsid w:val="0B6128C9"/>
    <w:rsid w:val="0B69940E"/>
    <w:rsid w:val="0B6C05F9"/>
    <w:rsid w:val="0B6DF2B1"/>
    <w:rsid w:val="0B6E2AA4"/>
    <w:rsid w:val="0B6EDEC0"/>
    <w:rsid w:val="0B6F9C13"/>
    <w:rsid w:val="0B785043"/>
    <w:rsid w:val="0B7E481B"/>
    <w:rsid w:val="0B7ECD51"/>
    <w:rsid w:val="0B89E398"/>
    <w:rsid w:val="0B8BBAB6"/>
    <w:rsid w:val="0B973045"/>
    <w:rsid w:val="0B97C1BA"/>
    <w:rsid w:val="0B9C1B69"/>
    <w:rsid w:val="0B9F1271"/>
    <w:rsid w:val="0B9FFC79"/>
    <w:rsid w:val="0BA5CB23"/>
    <w:rsid w:val="0BA6A418"/>
    <w:rsid w:val="0BA78397"/>
    <w:rsid w:val="0BA8DB14"/>
    <w:rsid w:val="0BAAD990"/>
    <w:rsid w:val="0BB3370C"/>
    <w:rsid w:val="0BBA36DB"/>
    <w:rsid w:val="0BBDFD5B"/>
    <w:rsid w:val="0BBF38FA"/>
    <w:rsid w:val="0BC1CA54"/>
    <w:rsid w:val="0BC49ED0"/>
    <w:rsid w:val="0BC6DAE2"/>
    <w:rsid w:val="0BD40876"/>
    <w:rsid w:val="0BD5DCAA"/>
    <w:rsid w:val="0BD8179D"/>
    <w:rsid w:val="0BDA521B"/>
    <w:rsid w:val="0BE6CFB4"/>
    <w:rsid w:val="0BEB9C13"/>
    <w:rsid w:val="0BEDDC64"/>
    <w:rsid w:val="0BF14D38"/>
    <w:rsid w:val="0BF3A737"/>
    <w:rsid w:val="0BF3F68C"/>
    <w:rsid w:val="0BF4D6F5"/>
    <w:rsid w:val="0BFA338D"/>
    <w:rsid w:val="0BFC857D"/>
    <w:rsid w:val="0C05DC60"/>
    <w:rsid w:val="0C078F0E"/>
    <w:rsid w:val="0C0E6A03"/>
    <w:rsid w:val="0C0FB996"/>
    <w:rsid w:val="0C0FF3C2"/>
    <w:rsid w:val="0C1375E4"/>
    <w:rsid w:val="0C1E67B3"/>
    <w:rsid w:val="0C2221D2"/>
    <w:rsid w:val="0C22B145"/>
    <w:rsid w:val="0C25DE9F"/>
    <w:rsid w:val="0C26C976"/>
    <w:rsid w:val="0C2ABD93"/>
    <w:rsid w:val="0C30AE8B"/>
    <w:rsid w:val="0C35B8B5"/>
    <w:rsid w:val="0C3A67EC"/>
    <w:rsid w:val="0C3C515C"/>
    <w:rsid w:val="0C4280D2"/>
    <w:rsid w:val="0C431378"/>
    <w:rsid w:val="0C44FA47"/>
    <w:rsid w:val="0C45BE40"/>
    <w:rsid w:val="0C46165F"/>
    <w:rsid w:val="0C47687A"/>
    <w:rsid w:val="0C48C079"/>
    <w:rsid w:val="0C495A4A"/>
    <w:rsid w:val="0C4A0BEF"/>
    <w:rsid w:val="0C4DE21F"/>
    <w:rsid w:val="0C51A0F8"/>
    <w:rsid w:val="0C588E67"/>
    <w:rsid w:val="0C5C802E"/>
    <w:rsid w:val="0C62E02A"/>
    <w:rsid w:val="0C67710E"/>
    <w:rsid w:val="0C681EB6"/>
    <w:rsid w:val="0C6AA0F3"/>
    <w:rsid w:val="0C6D178F"/>
    <w:rsid w:val="0C83FE7F"/>
    <w:rsid w:val="0C8B1E3D"/>
    <w:rsid w:val="0C8BF003"/>
    <w:rsid w:val="0C8DA333"/>
    <w:rsid w:val="0C8F1967"/>
    <w:rsid w:val="0C90A309"/>
    <w:rsid w:val="0C91DF53"/>
    <w:rsid w:val="0C92300F"/>
    <w:rsid w:val="0C95185E"/>
    <w:rsid w:val="0C95FCB7"/>
    <w:rsid w:val="0C9AC617"/>
    <w:rsid w:val="0C9C2354"/>
    <w:rsid w:val="0C9DB2F5"/>
    <w:rsid w:val="0C9DCA81"/>
    <w:rsid w:val="0CA8B278"/>
    <w:rsid w:val="0CBC428D"/>
    <w:rsid w:val="0CBD7F95"/>
    <w:rsid w:val="0CBE2234"/>
    <w:rsid w:val="0CC5AD90"/>
    <w:rsid w:val="0CC717F7"/>
    <w:rsid w:val="0CD35959"/>
    <w:rsid w:val="0CDE8F35"/>
    <w:rsid w:val="0CE064C1"/>
    <w:rsid w:val="0CED9FD7"/>
    <w:rsid w:val="0CF28C67"/>
    <w:rsid w:val="0CF35CE9"/>
    <w:rsid w:val="0CF8F35D"/>
    <w:rsid w:val="0CF9AC52"/>
    <w:rsid w:val="0D061C8B"/>
    <w:rsid w:val="0D08A137"/>
    <w:rsid w:val="0D0CF472"/>
    <w:rsid w:val="0D16EED1"/>
    <w:rsid w:val="0D1D74E9"/>
    <w:rsid w:val="0D1F6D91"/>
    <w:rsid w:val="0D26FFB3"/>
    <w:rsid w:val="0D27B1C4"/>
    <w:rsid w:val="0D2938BD"/>
    <w:rsid w:val="0D29445A"/>
    <w:rsid w:val="0D2A58A2"/>
    <w:rsid w:val="0D2D7018"/>
    <w:rsid w:val="0D3169CA"/>
    <w:rsid w:val="0D345D1F"/>
    <w:rsid w:val="0D37431A"/>
    <w:rsid w:val="0D3802FF"/>
    <w:rsid w:val="0D38A798"/>
    <w:rsid w:val="0D3FEE5D"/>
    <w:rsid w:val="0D40930D"/>
    <w:rsid w:val="0D4132C4"/>
    <w:rsid w:val="0D56C89B"/>
    <w:rsid w:val="0D5C16AC"/>
    <w:rsid w:val="0D6451CE"/>
    <w:rsid w:val="0D6747DA"/>
    <w:rsid w:val="0D681DDB"/>
    <w:rsid w:val="0D70B256"/>
    <w:rsid w:val="0D74C4E5"/>
    <w:rsid w:val="0D77C865"/>
    <w:rsid w:val="0D7D0262"/>
    <w:rsid w:val="0D7D4DC4"/>
    <w:rsid w:val="0D827E29"/>
    <w:rsid w:val="0D82FC86"/>
    <w:rsid w:val="0D911469"/>
    <w:rsid w:val="0D9860B2"/>
    <w:rsid w:val="0D98D5A5"/>
    <w:rsid w:val="0D9A593E"/>
    <w:rsid w:val="0D9CA078"/>
    <w:rsid w:val="0D9CDB28"/>
    <w:rsid w:val="0DAC5D65"/>
    <w:rsid w:val="0DAE0127"/>
    <w:rsid w:val="0DB0A329"/>
    <w:rsid w:val="0DB7C7C1"/>
    <w:rsid w:val="0DB81BA4"/>
    <w:rsid w:val="0DBB25E6"/>
    <w:rsid w:val="0DC064D7"/>
    <w:rsid w:val="0DC37259"/>
    <w:rsid w:val="0DC85A64"/>
    <w:rsid w:val="0DC9BF23"/>
    <w:rsid w:val="0DCB3BC4"/>
    <w:rsid w:val="0DCF7A23"/>
    <w:rsid w:val="0DD14B42"/>
    <w:rsid w:val="0DD53254"/>
    <w:rsid w:val="0DDC1117"/>
    <w:rsid w:val="0DDF3A90"/>
    <w:rsid w:val="0DEC7198"/>
    <w:rsid w:val="0DF00EFA"/>
    <w:rsid w:val="0DF2270D"/>
    <w:rsid w:val="0DF76F8F"/>
    <w:rsid w:val="0E05D154"/>
    <w:rsid w:val="0E0EA061"/>
    <w:rsid w:val="0E1151E8"/>
    <w:rsid w:val="0E136F0C"/>
    <w:rsid w:val="0E1E0793"/>
    <w:rsid w:val="0E226841"/>
    <w:rsid w:val="0E2A55F1"/>
    <w:rsid w:val="0E2E1AF2"/>
    <w:rsid w:val="0E2EC105"/>
    <w:rsid w:val="0E32F653"/>
    <w:rsid w:val="0E358765"/>
    <w:rsid w:val="0E36388E"/>
    <w:rsid w:val="0E4298AC"/>
    <w:rsid w:val="0E44E066"/>
    <w:rsid w:val="0E46B64D"/>
    <w:rsid w:val="0E476E37"/>
    <w:rsid w:val="0E51DE2C"/>
    <w:rsid w:val="0E53E560"/>
    <w:rsid w:val="0E59C4EC"/>
    <w:rsid w:val="0E5B82F9"/>
    <w:rsid w:val="0E5E4937"/>
    <w:rsid w:val="0E639086"/>
    <w:rsid w:val="0E699D6A"/>
    <w:rsid w:val="0E6C4290"/>
    <w:rsid w:val="0E6DA682"/>
    <w:rsid w:val="0E6FC43A"/>
    <w:rsid w:val="0E73052C"/>
    <w:rsid w:val="0E747453"/>
    <w:rsid w:val="0E75D637"/>
    <w:rsid w:val="0E7610E2"/>
    <w:rsid w:val="0E7ABD1F"/>
    <w:rsid w:val="0E7DEF46"/>
    <w:rsid w:val="0E84272A"/>
    <w:rsid w:val="0E85DDEA"/>
    <w:rsid w:val="0E86FF78"/>
    <w:rsid w:val="0E8A4197"/>
    <w:rsid w:val="0E8A72CB"/>
    <w:rsid w:val="0E8A7640"/>
    <w:rsid w:val="0E8CBB17"/>
    <w:rsid w:val="0E8F392A"/>
    <w:rsid w:val="0E8FE44B"/>
    <w:rsid w:val="0E985ED3"/>
    <w:rsid w:val="0E9C0854"/>
    <w:rsid w:val="0E9E17AB"/>
    <w:rsid w:val="0E9FF336"/>
    <w:rsid w:val="0EA61DB8"/>
    <w:rsid w:val="0EA7BCB7"/>
    <w:rsid w:val="0EA971AA"/>
    <w:rsid w:val="0EB0B525"/>
    <w:rsid w:val="0EBE970C"/>
    <w:rsid w:val="0EBF70A9"/>
    <w:rsid w:val="0EBFAF63"/>
    <w:rsid w:val="0EC4BA5C"/>
    <w:rsid w:val="0EC661C0"/>
    <w:rsid w:val="0EC869E0"/>
    <w:rsid w:val="0ECFA30B"/>
    <w:rsid w:val="0ED80B61"/>
    <w:rsid w:val="0EDBF9D3"/>
    <w:rsid w:val="0EDDF230"/>
    <w:rsid w:val="0EDEC4DB"/>
    <w:rsid w:val="0EE49278"/>
    <w:rsid w:val="0EF5CEC4"/>
    <w:rsid w:val="0EF63DF4"/>
    <w:rsid w:val="0F082874"/>
    <w:rsid w:val="0F0D7922"/>
    <w:rsid w:val="0F1088B3"/>
    <w:rsid w:val="0F110770"/>
    <w:rsid w:val="0F14930C"/>
    <w:rsid w:val="0F1656E2"/>
    <w:rsid w:val="0F198B59"/>
    <w:rsid w:val="0F1ADFD0"/>
    <w:rsid w:val="0F22CBA8"/>
    <w:rsid w:val="0F2A4659"/>
    <w:rsid w:val="0F2DD150"/>
    <w:rsid w:val="0F32EC3B"/>
    <w:rsid w:val="0F3B6C68"/>
    <w:rsid w:val="0F3F0341"/>
    <w:rsid w:val="0F3F11CC"/>
    <w:rsid w:val="0F4307E1"/>
    <w:rsid w:val="0F4548BC"/>
    <w:rsid w:val="0F486786"/>
    <w:rsid w:val="0F49E873"/>
    <w:rsid w:val="0F57CD77"/>
    <w:rsid w:val="0F593D7B"/>
    <w:rsid w:val="0F5ECFA4"/>
    <w:rsid w:val="0F5EE256"/>
    <w:rsid w:val="0F6C742F"/>
    <w:rsid w:val="0F6CA750"/>
    <w:rsid w:val="0F6EC100"/>
    <w:rsid w:val="0F703C7C"/>
    <w:rsid w:val="0F71A7CA"/>
    <w:rsid w:val="0F740356"/>
    <w:rsid w:val="0F766074"/>
    <w:rsid w:val="0F7802D8"/>
    <w:rsid w:val="0F7D06E0"/>
    <w:rsid w:val="0F7E5D58"/>
    <w:rsid w:val="0F7EC04A"/>
    <w:rsid w:val="0F808DDE"/>
    <w:rsid w:val="0F85F393"/>
    <w:rsid w:val="0F877218"/>
    <w:rsid w:val="0F8A30B9"/>
    <w:rsid w:val="0F8DB855"/>
    <w:rsid w:val="0F8EF253"/>
    <w:rsid w:val="0F8FDD30"/>
    <w:rsid w:val="0F94B2B6"/>
    <w:rsid w:val="0F97A2B6"/>
    <w:rsid w:val="0F997450"/>
    <w:rsid w:val="0F99BB9B"/>
    <w:rsid w:val="0F9F1C4C"/>
    <w:rsid w:val="0FA765F9"/>
    <w:rsid w:val="0FADCC13"/>
    <w:rsid w:val="0FAEE583"/>
    <w:rsid w:val="0FB1F27C"/>
    <w:rsid w:val="0FB6244C"/>
    <w:rsid w:val="0FBABF89"/>
    <w:rsid w:val="0FC79BD7"/>
    <w:rsid w:val="0FC88C57"/>
    <w:rsid w:val="0FCC18EC"/>
    <w:rsid w:val="0FCDA437"/>
    <w:rsid w:val="0FD76540"/>
    <w:rsid w:val="0FD94F72"/>
    <w:rsid w:val="0FDBCF84"/>
    <w:rsid w:val="0FE0539E"/>
    <w:rsid w:val="0FE164AB"/>
    <w:rsid w:val="0FE169B1"/>
    <w:rsid w:val="0FE1B480"/>
    <w:rsid w:val="0FE3C200"/>
    <w:rsid w:val="0FE6EA2E"/>
    <w:rsid w:val="0FEA032F"/>
    <w:rsid w:val="0FEFC828"/>
    <w:rsid w:val="0FF5767F"/>
    <w:rsid w:val="0FFA4826"/>
    <w:rsid w:val="0FFB47F3"/>
    <w:rsid w:val="100FF5DC"/>
    <w:rsid w:val="101491D7"/>
    <w:rsid w:val="1015A271"/>
    <w:rsid w:val="1025B82C"/>
    <w:rsid w:val="1028915B"/>
    <w:rsid w:val="102B4487"/>
    <w:rsid w:val="102CA8ED"/>
    <w:rsid w:val="1032087D"/>
    <w:rsid w:val="10354610"/>
    <w:rsid w:val="103574F8"/>
    <w:rsid w:val="1038DA28"/>
    <w:rsid w:val="103949D8"/>
    <w:rsid w:val="103D85B9"/>
    <w:rsid w:val="104005F5"/>
    <w:rsid w:val="10408FBF"/>
    <w:rsid w:val="104BC2BA"/>
    <w:rsid w:val="1052EEB6"/>
    <w:rsid w:val="1056982C"/>
    <w:rsid w:val="10579B3B"/>
    <w:rsid w:val="105E237F"/>
    <w:rsid w:val="106E1A73"/>
    <w:rsid w:val="1070CD43"/>
    <w:rsid w:val="1070FF3C"/>
    <w:rsid w:val="107E9D13"/>
    <w:rsid w:val="107FA36B"/>
    <w:rsid w:val="1081E732"/>
    <w:rsid w:val="10861487"/>
    <w:rsid w:val="10861D71"/>
    <w:rsid w:val="108B17A8"/>
    <w:rsid w:val="1091F900"/>
    <w:rsid w:val="1094A074"/>
    <w:rsid w:val="10964316"/>
    <w:rsid w:val="10987D41"/>
    <w:rsid w:val="109B61A2"/>
    <w:rsid w:val="10A8FCC6"/>
    <w:rsid w:val="10AEE4F2"/>
    <w:rsid w:val="10B43D34"/>
    <w:rsid w:val="10B4801C"/>
    <w:rsid w:val="10B74380"/>
    <w:rsid w:val="10B9C148"/>
    <w:rsid w:val="10BDF6C7"/>
    <w:rsid w:val="10BE6E5B"/>
    <w:rsid w:val="10C09256"/>
    <w:rsid w:val="10C37C54"/>
    <w:rsid w:val="10C403B3"/>
    <w:rsid w:val="10C4086D"/>
    <w:rsid w:val="10C68C2E"/>
    <w:rsid w:val="10CCB727"/>
    <w:rsid w:val="10CE4512"/>
    <w:rsid w:val="10D12442"/>
    <w:rsid w:val="10D570B7"/>
    <w:rsid w:val="10DDE245"/>
    <w:rsid w:val="10E3536B"/>
    <w:rsid w:val="10E61317"/>
    <w:rsid w:val="10E8B009"/>
    <w:rsid w:val="10F40E57"/>
    <w:rsid w:val="10F7BEAA"/>
    <w:rsid w:val="10FD27CB"/>
    <w:rsid w:val="10FF9E0F"/>
    <w:rsid w:val="11018FC0"/>
    <w:rsid w:val="1103FF55"/>
    <w:rsid w:val="1104E180"/>
    <w:rsid w:val="1107F715"/>
    <w:rsid w:val="110A69B1"/>
    <w:rsid w:val="11101903"/>
    <w:rsid w:val="11115AE1"/>
    <w:rsid w:val="1112C33B"/>
    <w:rsid w:val="11154F55"/>
    <w:rsid w:val="1115ADE7"/>
    <w:rsid w:val="11163DA0"/>
    <w:rsid w:val="11186E32"/>
    <w:rsid w:val="111C6A42"/>
    <w:rsid w:val="112C360C"/>
    <w:rsid w:val="112C815A"/>
    <w:rsid w:val="112F0967"/>
    <w:rsid w:val="11303BE6"/>
    <w:rsid w:val="113C9171"/>
    <w:rsid w:val="11416659"/>
    <w:rsid w:val="1145B35E"/>
    <w:rsid w:val="11493C41"/>
    <w:rsid w:val="114A5B28"/>
    <w:rsid w:val="114C1B28"/>
    <w:rsid w:val="11516591"/>
    <w:rsid w:val="11534BD5"/>
    <w:rsid w:val="115881C3"/>
    <w:rsid w:val="115F2CFA"/>
    <w:rsid w:val="1162EEDF"/>
    <w:rsid w:val="116523F0"/>
    <w:rsid w:val="11698460"/>
    <w:rsid w:val="116A25A1"/>
    <w:rsid w:val="116E7D9B"/>
    <w:rsid w:val="1175F1B5"/>
    <w:rsid w:val="1177C062"/>
    <w:rsid w:val="11787497"/>
    <w:rsid w:val="11796571"/>
    <w:rsid w:val="117B927A"/>
    <w:rsid w:val="117B97AF"/>
    <w:rsid w:val="1183C92F"/>
    <w:rsid w:val="118CB1B3"/>
    <w:rsid w:val="118D136A"/>
    <w:rsid w:val="118E712A"/>
    <w:rsid w:val="118FE19D"/>
    <w:rsid w:val="11968438"/>
    <w:rsid w:val="119735AE"/>
    <w:rsid w:val="1197BC92"/>
    <w:rsid w:val="1199D122"/>
    <w:rsid w:val="119D74C8"/>
    <w:rsid w:val="11A30B08"/>
    <w:rsid w:val="11A682D1"/>
    <w:rsid w:val="11B262E5"/>
    <w:rsid w:val="11BB685E"/>
    <w:rsid w:val="11BD9978"/>
    <w:rsid w:val="11C32909"/>
    <w:rsid w:val="11C64069"/>
    <w:rsid w:val="11C90E8C"/>
    <w:rsid w:val="11CAF422"/>
    <w:rsid w:val="11D3E096"/>
    <w:rsid w:val="11DAC5A9"/>
    <w:rsid w:val="11DE9C17"/>
    <w:rsid w:val="11E97880"/>
    <w:rsid w:val="11F19D48"/>
    <w:rsid w:val="11F449B1"/>
    <w:rsid w:val="11F598E7"/>
    <w:rsid w:val="1202CA20"/>
    <w:rsid w:val="12032327"/>
    <w:rsid w:val="120963A9"/>
    <w:rsid w:val="120C3FFC"/>
    <w:rsid w:val="1210E9C0"/>
    <w:rsid w:val="12162153"/>
    <w:rsid w:val="121817E0"/>
    <w:rsid w:val="121DC586"/>
    <w:rsid w:val="12228A17"/>
    <w:rsid w:val="1223E71D"/>
    <w:rsid w:val="12281897"/>
    <w:rsid w:val="122B4D6C"/>
    <w:rsid w:val="122B915E"/>
    <w:rsid w:val="122BE46A"/>
    <w:rsid w:val="122FC62A"/>
    <w:rsid w:val="1230D8EF"/>
    <w:rsid w:val="1232B415"/>
    <w:rsid w:val="123BF837"/>
    <w:rsid w:val="1240FF65"/>
    <w:rsid w:val="125031DA"/>
    <w:rsid w:val="12591D68"/>
    <w:rsid w:val="125BA73C"/>
    <w:rsid w:val="125D4539"/>
    <w:rsid w:val="12607658"/>
    <w:rsid w:val="1261EEDF"/>
    <w:rsid w:val="126393F5"/>
    <w:rsid w:val="12682E29"/>
    <w:rsid w:val="1269A49F"/>
    <w:rsid w:val="1275A2C7"/>
    <w:rsid w:val="12784B75"/>
    <w:rsid w:val="127D29A7"/>
    <w:rsid w:val="1281A564"/>
    <w:rsid w:val="128973A8"/>
    <w:rsid w:val="1290600A"/>
    <w:rsid w:val="129B15CA"/>
    <w:rsid w:val="129DA067"/>
    <w:rsid w:val="12A592F7"/>
    <w:rsid w:val="12ABC1C3"/>
    <w:rsid w:val="12AEDE79"/>
    <w:rsid w:val="12B77D3F"/>
    <w:rsid w:val="12BBD896"/>
    <w:rsid w:val="12BEE4FC"/>
    <w:rsid w:val="12C0C821"/>
    <w:rsid w:val="12C89C91"/>
    <w:rsid w:val="12CAC393"/>
    <w:rsid w:val="12D31088"/>
    <w:rsid w:val="12D581AA"/>
    <w:rsid w:val="12D5CB2E"/>
    <w:rsid w:val="12DDD71F"/>
    <w:rsid w:val="12DE5754"/>
    <w:rsid w:val="12E06526"/>
    <w:rsid w:val="12E477C5"/>
    <w:rsid w:val="12E4A0C0"/>
    <w:rsid w:val="12E8A609"/>
    <w:rsid w:val="12FF45A4"/>
    <w:rsid w:val="1309C07B"/>
    <w:rsid w:val="1309E243"/>
    <w:rsid w:val="130A9517"/>
    <w:rsid w:val="1311EA36"/>
    <w:rsid w:val="1312E0A3"/>
    <w:rsid w:val="13142AD7"/>
    <w:rsid w:val="131AEF8C"/>
    <w:rsid w:val="131BCA69"/>
    <w:rsid w:val="131C6746"/>
    <w:rsid w:val="131CEF0D"/>
    <w:rsid w:val="13210716"/>
    <w:rsid w:val="1321F5F6"/>
    <w:rsid w:val="132454C6"/>
    <w:rsid w:val="13249B68"/>
    <w:rsid w:val="132D7B34"/>
    <w:rsid w:val="13346710"/>
    <w:rsid w:val="13349B1D"/>
    <w:rsid w:val="13429C54"/>
    <w:rsid w:val="1342BE27"/>
    <w:rsid w:val="134BAFD1"/>
    <w:rsid w:val="1356EB24"/>
    <w:rsid w:val="135708CD"/>
    <w:rsid w:val="135A21F0"/>
    <w:rsid w:val="135A3CEB"/>
    <w:rsid w:val="1366F143"/>
    <w:rsid w:val="13720607"/>
    <w:rsid w:val="1376AC7F"/>
    <w:rsid w:val="137EF53B"/>
    <w:rsid w:val="13803010"/>
    <w:rsid w:val="13904A6F"/>
    <w:rsid w:val="1394B8B7"/>
    <w:rsid w:val="139D9581"/>
    <w:rsid w:val="13A87475"/>
    <w:rsid w:val="13ACA4C3"/>
    <w:rsid w:val="13B43F7C"/>
    <w:rsid w:val="13B5674B"/>
    <w:rsid w:val="13B77DF1"/>
    <w:rsid w:val="13D0D31A"/>
    <w:rsid w:val="13D1AB44"/>
    <w:rsid w:val="13DD7A96"/>
    <w:rsid w:val="13EE9984"/>
    <w:rsid w:val="13F3621F"/>
    <w:rsid w:val="13F4805B"/>
    <w:rsid w:val="13F57F1C"/>
    <w:rsid w:val="13F74838"/>
    <w:rsid w:val="140A8BF9"/>
    <w:rsid w:val="141407BC"/>
    <w:rsid w:val="141901D3"/>
    <w:rsid w:val="1420B101"/>
    <w:rsid w:val="142672BF"/>
    <w:rsid w:val="1429BF9F"/>
    <w:rsid w:val="142A93CF"/>
    <w:rsid w:val="142D2C1E"/>
    <w:rsid w:val="142E1942"/>
    <w:rsid w:val="1433D095"/>
    <w:rsid w:val="14363C9D"/>
    <w:rsid w:val="14402721"/>
    <w:rsid w:val="144249AB"/>
    <w:rsid w:val="1445F3E0"/>
    <w:rsid w:val="14495972"/>
    <w:rsid w:val="1450487A"/>
    <w:rsid w:val="14505F6B"/>
    <w:rsid w:val="145255E1"/>
    <w:rsid w:val="14536786"/>
    <w:rsid w:val="14593BB5"/>
    <w:rsid w:val="145ABFEE"/>
    <w:rsid w:val="14608E8D"/>
    <w:rsid w:val="14694ED7"/>
    <w:rsid w:val="146E80E5"/>
    <w:rsid w:val="1470CF87"/>
    <w:rsid w:val="14736410"/>
    <w:rsid w:val="148B5838"/>
    <w:rsid w:val="148CBD46"/>
    <w:rsid w:val="148E2A0F"/>
    <w:rsid w:val="148EE692"/>
    <w:rsid w:val="14955A4D"/>
    <w:rsid w:val="1495EEED"/>
    <w:rsid w:val="1499AC50"/>
    <w:rsid w:val="149B5D8C"/>
    <w:rsid w:val="14A9E010"/>
    <w:rsid w:val="14AD0299"/>
    <w:rsid w:val="14B01D4D"/>
    <w:rsid w:val="14B08EBF"/>
    <w:rsid w:val="14B1178B"/>
    <w:rsid w:val="14B3D07B"/>
    <w:rsid w:val="14BADC6E"/>
    <w:rsid w:val="14BF222B"/>
    <w:rsid w:val="14C25647"/>
    <w:rsid w:val="14C44268"/>
    <w:rsid w:val="14C5F5BB"/>
    <w:rsid w:val="14C62E6B"/>
    <w:rsid w:val="14C65282"/>
    <w:rsid w:val="14C6C284"/>
    <w:rsid w:val="14CBA724"/>
    <w:rsid w:val="14CD741B"/>
    <w:rsid w:val="14D7D1A1"/>
    <w:rsid w:val="14D82944"/>
    <w:rsid w:val="14DDA995"/>
    <w:rsid w:val="14DE5266"/>
    <w:rsid w:val="14F031B9"/>
    <w:rsid w:val="14FCD585"/>
    <w:rsid w:val="14FF0555"/>
    <w:rsid w:val="15097FA3"/>
    <w:rsid w:val="1509CBB4"/>
    <w:rsid w:val="1518637D"/>
    <w:rsid w:val="151A8E04"/>
    <w:rsid w:val="15211C8C"/>
    <w:rsid w:val="15269910"/>
    <w:rsid w:val="1527C53A"/>
    <w:rsid w:val="1528F370"/>
    <w:rsid w:val="1536E3A7"/>
    <w:rsid w:val="153F9455"/>
    <w:rsid w:val="1540814B"/>
    <w:rsid w:val="15411AB8"/>
    <w:rsid w:val="15422B96"/>
    <w:rsid w:val="15441B2C"/>
    <w:rsid w:val="154571EF"/>
    <w:rsid w:val="1547F67A"/>
    <w:rsid w:val="1548364B"/>
    <w:rsid w:val="1551E535"/>
    <w:rsid w:val="1551EFE5"/>
    <w:rsid w:val="15556959"/>
    <w:rsid w:val="155E7C08"/>
    <w:rsid w:val="15609594"/>
    <w:rsid w:val="156145C2"/>
    <w:rsid w:val="15617E90"/>
    <w:rsid w:val="15620926"/>
    <w:rsid w:val="1564D8C3"/>
    <w:rsid w:val="156BE04D"/>
    <w:rsid w:val="156DA89D"/>
    <w:rsid w:val="157068B0"/>
    <w:rsid w:val="1593A275"/>
    <w:rsid w:val="15A894C7"/>
    <w:rsid w:val="15AA2C13"/>
    <w:rsid w:val="15AA5EF4"/>
    <w:rsid w:val="15ACA8B0"/>
    <w:rsid w:val="15B197AC"/>
    <w:rsid w:val="15B1E734"/>
    <w:rsid w:val="15B6C3EE"/>
    <w:rsid w:val="15B9E3A6"/>
    <w:rsid w:val="15BE4F16"/>
    <w:rsid w:val="15BE5467"/>
    <w:rsid w:val="15BE5B16"/>
    <w:rsid w:val="15C54534"/>
    <w:rsid w:val="15C5DAD0"/>
    <w:rsid w:val="15C9CF0D"/>
    <w:rsid w:val="15CA6E42"/>
    <w:rsid w:val="15CC4914"/>
    <w:rsid w:val="15CCCDEE"/>
    <w:rsid w:val="15D051ED"/>
    <w:rsid w:val="15D17909"/>
    <w:rsid w:val="15D651CB"/>
    <w:rsid w:val="15D963F5"/>
    <w:rsid w:val="15DA2EE8"/>
    <w:rsid w:val="15DB4877"/>
    <w:rsid w:val="15E47E1F"/>
    <w:rsid w:val="15E4C043"/>
    <w:rsid w:val="15EB2156"/>
    <w:rsid w:val="15EDCA3F"/>
    <w:rsid w:val="15FDA219"/>
    <w:rsid w:val="15FF6DF3"/>
    <w:rsid w:val="15FFBF5B"/>
    <w:rsid w:val="16003579"/>
    <w:rsid w:val="1609F4F3"/>
    <w:rsid w:val="16111006"/>
    <w:rsid w:val="161571CE"/>
    <w:rsid w:val="161A9973"/>
    <w:rsid w:val="162B36E1"/>
    <w:rsid w:val="1633CCF6"/>
    <w:rsid w:val="163B17CB"/>
    <w:rsid w:val="164118B1"/>
    <w:rsid w:val="164287D1"/>
    <w:rsid w:val="164300D0"/>
    <w:rsid w:val="16433984"/>
    <w:rsid w:val="16460BE5"/>
    <w:rsid w:val="1646749C"/>
    <w:rsid w:val="164C4B66"/>
    <w:rsid w:val="165418F1"/>
    <w:rsid w:val="16612C79"/>
    <w:rsid w:val="1661FBBC"/>
    <w:rsid w:val="16651C74"/>
    <w:rsid w:val="1669CC37"/>
    <w:rsid w:val="1673B436"/>
    <w:rsid w:val="1678E84B"/>
    <w:rsid w:val="1684EB28"/>
    <w:rsid w:val="16856CEC"/>
    <w:rsid w:val="168591DC"/>
    <w:rsid w:val="16878DFE"/>
    <w:rsid w:val="168A482A"/>
    <w:rsid w:val="168FC024"/>
    <w:rsid w:val="169138D5"/>
    <w:rsid w:val="16982DCD"/>
    <w:rsid w:val="16A5E7BA"/>
    <w:rsid w:val="16A7C94B"/>
    <w:rsid w:val="16A7F88F"/>
    <w:rsid w:val="16BA605B"/>
    <w:rsid w:val="16BBB3EA"/>
    <w:rsid w:val="16BDC828"/>
    <w:rsid w:val="16C5C12B"/>
    <w:rsid w:val="16CA9006"/>
    <w:rsid w:val="16CADDBC"/>
    <w:rsid w:val="16D016F8"/>
    <w:rsid w:val="16D1B025"/>
    <w:rsid w:val="16DA1289"/>
    <w:rsid w:val="16DDCF31"/>
    <w:rsid w:val="16E1FBF9"/>
    <w:rsid w:val="16E45095"/>
    <w:rsid w:val="16E56EDD"/>
    <w:rsid w:val="16E6E490"/>
    <w:rsid w:val="16EA3419"/>
    <w:rsid w:val="16EDA452"/>
    <w:rsid w:val="16EDBC3D"/>
    <w:rsid w:val="16F399BC"/>
    <w:rsid w:val="16F742EC"/>
    <w:rsid w:val="16F74D47"/>
    <w:rsid w:val="16FDD1FB"/>
    <w:rsid w:val="17009AD0"/>
    <w:rsid w:val="1703F583"/>
    <w:rsid w:val="17047908"/>
    <w:rsid w:val="170B545C"/>
    <w:rsid w:val="1720723E"/>
    <w:rsid w:val="1725334B"/>
    <w:rsid w:val="17274B97"/>
    <w:rsid w:val="172AA021"/>
    <w:rsid w:val="17368A4E"/>
    <w:rsid w:val="17374848"/>
    <w:rsid w:val="173A6144"/>
    <w:rsid w:val="173FDBC9"/>
    <w:rsid w:val="1740DFBE"/>
    <w:rsid w:val="174341D3"/>
    <w:rsid w:val="174B6229"/>
    <w:rsid w:val="17547C7D"/>
    <w:rsid w:val="17589A48"/>
    <w:rsid w:val="1762170A"/>
    <w:rsid w:val="17672F90"/>
    <w:rsid w:val="17674E7F"/>
    <w:rsid w:val="176D1EEC"/>
    <w:rsid w:val="176EAF26"/>
    <w:rsid w:val="17756B6A"/>
    <w:rsid w:val="1776371B"/>
    <w:rsid w:val="177FC933"/>
    <w:rsid w:val="17839079"/>
    <w:rsid w:val="17872691"/>
    <w:rsid w:val="178AEE66"/>
    <w:rsid w:val="178B0EE0"/>
    <w:rsid w:val="178BD287"/>
    <w:rsid w:val="178DAF20"/>
    <w:rsid w:val="1791833C"/>
    <w:rsid w:val="17977565"/>
    <w:rsid w:val="179B403B"/>
    <w:rsid w:val="179B7C50"/>
    <w:rsid w:val="179BA667"/>
    <w:rsid w:val="179BC70B"/>
    <w:rsid w:val="17A5076F"/>
    <w:rsid w:val="17AE547D"/>
    <w:rsid w:val="17B01969"/>
    <w:rsid w:val="17B03EC2"/>
    <w:rsid w:val="17B055D7"/>
    <w:rsid w:val="17B093DE"/>
    <w:rsid w:val="17BD0BD1"/>
    <w:rsid w:val="17BD7E9F"/>
    <w:rsid w:val="17BFA415"/>
    <w:rsid w:val="17C343BF"/>
    <w:rsid w:val="17CC570E"/>
    <w:rsid w:val="17CE97CF"/>
    <w:rsid w:val="17CFC5B0"/>
    <w:rsid w:val="17D023C2"/>
    <w:rsid w:val="17D3C82B"/>
    <w:rsid w:val="17D83BEB"/>
    <w:rsid w:val="17D9016A"/>
    <w:rsid w:val="17DC3645"/>
    <w:rsid w:val="17DCE68D"/>
    <w:rsid w:val="17E2ED21"/>
    <w:rsid w:val="17E3219E"/>
    <w:rsid w:val="17F05986"/>
    <w:rsid w:val="17F96BE2"/>
    <w:rsid w:val="17FAC912"/>
    <w:rsid w:val="17FBED95"/>
    <w:rsid w:val="17FCB8C8"/>
    <w:rsid w:val="180D5F0D"/>
    <w:rsid w:val="180E8A80"/>
    <w:rsid w:val="18130E5D"/>
    <w:rsid w:val="181DCC02"/>
    <w:rsid w:val="181E9DBB"/>
    <w:rsid w:val="181F455C"/>
    <w:rsid w:val="18226A03"/>
    <w:rsid w:val="182A7D7D"/>
    <w:rsid w:val="185B5979"/>
    <w:rsid w:val="185D904C"/>
    <w:rsid w:val="1867E14F"/>
    <w:rsid w:val="186A3715"/>
    <w:rsid w:val="186DA9A0"/>
    <w:rsid w:val="18772C81"/>
    <w:rsid w:val="1877B344"/>
    <w:rsid w:val="1880C56A"/>
    <w:rsid w:val="188193FE"/>
    <w:rsid w:val="1885E8E2"/>
    <w:rsid w:val="1885F093"/>
    <w:rsid w:val="189A20B1"/>
    <w:rsid w:val="18A0E5EF"/>
    <w:rsid w:val="18A21973"/>
    <w:rsid w:val="18A36E44"/>
    <w:rsid w:val="18A5E752"/>
    <w:rsid w:val="18A91910"/>
    <w:rsid w:val="18AC182A"/>
    <w:rsid w:val="18AFBFAF"/>
    <w:rsid w:val="18B09F48"/>
    <w:rsid w:val="18B435CA"/>
    <w:rsid w:val="18B436E6"/>
    <w:rsid w:val="18B6EDC3"/>
    <w:rsid w:val="18BD5E2C"/>
    <w:rsid w:val="18BD8C16"/>
    <w:rsid w:val="18C02178"/>
    <w:rsid w:val="18C19F63"/>
    <w:rsid w:val="18C35B95"/>
    <w:rsid w:val="18C6F7CD"/>
    <w:rsid w:val="18CEEE5F"/>
    <w:rsid w:val="18CF7864"/>
    <w:rsid w:val="18CFCB2C"/>
    <w:rsid w:val="18D1BC25"/>
    <w:rsid w:val="18D27F0D"/>
    <w:rsid w:val="18D5ADBF"/>
    <w:rsid w:val="18DD99C1"/>
    <w:rsid w:val="18E2CB21"/>
    <w:rsid w:val="18E7E9A5"/>
    <w:rsid w:val="18F612F8"/>
    <w:rsid w:val="18F6D366"/>
    <w:rsid w:val="18F91286"/>
    <w:rsid w:val="18F9CF38"/>
    <w:rsid w:val="19016580"/>
    <w:rsid w:val="19025E9A"/>
    <w:rsid w:val="190F5D66"/>
    <w:rsid w:val="191355A3"/>
    <w:rsid w:val="191DA39F"/>
    <w:rsid w:val="1924FAAB"/>
    <w:rsid w:val="19264159"/>
    <w:rsid w:val="19268162"/>
    <w:rsid w:val="1927E2D2"/>
    <w:rsid w:val="192C21D1"/>
    <w:rsid w:val="19315884"/>
    <w:rsid w:val="1938968C"/>
    <w:rsid w:val="193BBE63"/>
    <w:rsid w:val="193EDA52"/>
    <w:rsid w:val="1940B35F"/>
    <w:rsid w:val="1947CAE0"/>
    <w:rsid w:val="194B4986"/>
    <w:rsid w:val="194BBFD0"/>
    <w:rsid w:val="194CC975"/>
    <w:rsid w:val="195FFBB2"/>
    <w:rsid w:val="196194B9"/>
    <w:rsid w:val="1962E82B"/>
    <w:rsid w:val="19649F25"/>
    <w:rsid w:val="19654D22"/>
    <w:rsid w:val="1968762B"/>
    <w:rsid w:val="196B1C20"/>
    <w:rsid w:val="19746649"/>
    <w:rsid w:val="1976EC24"/>
    <w:rsid w:val="197A5179"/>
    <w:rsid w:val="197B76CC"/>
    <w:rsid w:val="1981DFD7"/>
    <w:rsid w:val="19842EE1"/>
    <w:rsid w:val="1989B6B2"/>
    <w:rsid w:val="198BDB46"/>
    <w:rsid w:val="198EA8DC"/>
    <w:rsid w:val="198F345E"/>
    <w:rsid w:val="19968909"/>
    <w:rsid w:val="199966D5"/>
    <w:rsid w:val="1999A218"/>
    <w:rsid w:val="19A10364"/>
    <w:rsid w:val="19A16595"/>
    <w:rsid w:val="19A2C931"/>
    <w:rsid w:val="19A6F75E"/>
    <w:rsid w:val="19BB2433"/>
    <w:rsid w:val="19BBA6D3"/>
    <w:rsid w:val="19C91F8D"/>
    <w:rsid w:val="19D4F118"/>
    <w:rsid w:val="19D56444"/>
    <w:rsid w:val="19D5A76A"/>
    <w:rsid w:val="19DC3A31"/>
    <w:rsid w:val="19DE0A7F"/>
    <w:rsid w:val="19E0A7AB"/>
    <w:rsid w:val="19E617BC"/>
    <w:rsid w:val="19EE19C6"/>
    <w:rsid w:val="19F073C2"/>
    <w:rsid w:val="19F7E937"/>
    <w:rsid w:val="1A01755E"/>
    <w:rsid w:val="1A05EDC0"/>
    <w:rsid w:val="1A08C455"/>
    <w:rsid w:val="1A09F6BC"/>
    <w:rsid w:val="1A0F0DBE"/>
    <w:rsid w:val="1A106537"/>
    <w:rsid w:val="1A1406B0"/>
    <w:rsid w:val="1A15A105"/>
    <w:rsid w:val="1A179439"/>
    <w:rsid w:val="1A1D817C"/>
    <w:rsid w:val="1A212EFF"/>
    <w:rsid w:val="1A2B7799"/>
    <w:rsid w:val="1A30281C"/>
    <w:rsid w:val="1A317AB2"/>
    <w:rsid w:val="1A34E966"/>
    <w:rsid w:val="1A357EB2"/>
    <w:rsid w:val="1A43504D"/>
    <w:rsid w:val="1A44CBB3"/>
    <w:rsid w:val="1A475540"/>
    <w:rsid w:val="1A483B99"/>
    <w:rsid w:val="1A529746"/>
    <w:rsid w:val="1A5525B4"/>
    <w:rsid w:val="1A5E0858"/>
    <w:rsid w:val="1A5FA5CE"/>
    <w:rsid w:val="1A613979"/>
    <w:rsid w:val="1A61AFC3"/>
    <w:rsid w:val="1A64E26E"/>
    <w:rsid w:val="1A64F053"/>
    <w:rsid w:val="1A6C1345"/>
    <w:rsid w:val="1A6F8B42"/>
    <w:rsid w:val="1A70DCB6"/>
    <w:rsid w:val="1A723E0F"/>
    <w:rsid w:val="1A79AB71"/>
    <w:rsid w:val="1A7D0494"/>
    <w:rsid w:val="1A7DC9FC"/>
    <w:rsid w:val="1A810E5F"/>
    <w:rsid w:val="1A856036"/>
    <w:rsid w:val="1A8737B8"/>
    <w:rsid w:val="1A8A4AFC"/>
    <w:rsid w:val="1A9DE932"/>
    <w:rsid w:val="1A9F02B3"/>
    <w:rsid w:val="1AADCC5C"/>
    <w:rsid w:val="1AAEADA4"/>
    <w:rsid w:val="1AAF30CA"/>
    <w:rsid w:val="1AC342BC"/>
    <w:rsid w:val="1AC5DCFB"/>
    <w:rsid w:val="1AC6C220"/>
    <w:rsid w:val="1ACB3EC4"/>
    <w:rsid w:val="1ACFEB84"/>
    <w:rsid w:val="1AD65921"/>
    <w:rsid w:val="1AD9E42E"/>
    <w:rsid w:val="1AE385BB"/>
    <w:rsid w:val="1AE55320"/>
    <w:rsid w:val="1AE87950"/>
    <w:rsid w:val="1AE9F927"/>
    <w:rsid w:val="1AED39ED"/>
    <w:rsid w:val="1AEFB5FC"/>
    <w:rsid w:val="1AF5631C"/>
    <w:rsid w:val="1AF9C21C"/>
    <w:rsid w:val="1B0CB2FB"/>
    <w:rsid w:val="1B0DAE72"/>
    <w:rsid w:val="1B11897A"/>
    <w:rsid w:val="1B29A87A"/>
    <w:rsid w:val="1B29E517"/>
    <w:rsid w:val="1B2BCEE7"/>
    <w:rsid w:val="1B2EDD48"/>
    <w:rsid w:val="1B304A8F"/>
    <w:rsid w:val="1B36E87D"/>
    <w:rsid w:val="1B40D3AC"/>
    <w:rsid w:val="1B461A3B"/>
    <w:rsid w:val="1B4BAE10"/>
    <w:rsid w:val="1B526D2A"/>
    <w:rsid w:val="1B52D7D6"/>
    <w:rsid w:val="1B57544C"/>
    <w:rsid w:val="1B58DFEC"/>
    <w:rsid w:val="1B5B7405"/>
    <w:rsid w:val="1B5E248A"/>
    <w:rsid w:val="1B5F415D"/>
    <w:rsid w:val="1B6198CF"/>
    <w:rsid w:val="1B649CB2"/>
    <w:rsid w:val="1B65C314"/>
    <w:rsid w:val="1B65E463"/>
    <w:rsid w:val="1B674113"/>
    <w:rsid w:val="1B7A9711"/>
    <w:rsid w:val="1B7C089D"/>
    <w:rsid w:val="1B7CCA86"/>
    <w:rsid w:val="1B848BAB"/>
    <w:rsid w:val="1B856595"/>
    <w:rsid w:val="1B941684"/>
    <w:rsid w:val="1B94A63E"/>
    <w:rsid w:val="1B96A122"/>
    <w:rsid w:val="1B98B4FA"/>
    <w:rsid w:val="1BA6974F"/>
    <w:rsid w:val="1BA6AAA7"/>
    <w:rsid w:val="1BAA6340"/>
    <w:rsid w:val="1BAAB6D6"/>
    <w:rsid w:val="1BAB28C2"/>
    <w:rsid w:val="1BB004F2"/>
    <w:rsid w:val="1BB565E2"/>
    <w:rsid w:val="1BB71D9C"/>
    <w:rsid w:val="1BB748EE"/>
    <w:rsid w:val="1BB7F83D"/>
    <w:rsid w:val="1BBCF2FF"/>
    <w:rsid w:val="1BBF4DB2"/>
    <w:rsid w:val="1BC29579"/>
    <w:rsid w:val="1BC444AF"/>
    <w:rsid w:val="1BCE4EE0"/>
    <w:rsid w:val="1BD131C0"/>
    <w:rsid w:val="1BD4EA00"/>
    <w:rsid w:val="1BD66255"/>
    <w:rsid w:val="1BE54961"/>
    <w:rsid w:val="1BE7C315"/>
    <w:rsid w:val="1BE8CFEB"/>
    <w:rsid w:val="1BE8D60A"/>
    <w:rsid w:val="1BF1630B"/>
    <w:rsid w:val="1BFA4A71"/>
    <w:rsid w:val="1BFB4C72"/>
    <w:rsid w:val="1C015C45"/>
    <w:rsid w:val="1C040922"/>
    <w:rsid w:val="1C0A301A"/>
    <w:rsid w:val="1C10EB37"/>
    <w:rsid w:val="1C1665E4"/>
    <w:rsid w:val="1C259EFA"/>
    <w:rsid w:val="1C3573CF"/>
    <w:rsid w:val="1C46E8C7"/>
    <w:rsid w:val="1C4B3404"/>
    <w:rsid w:val="1C4D35F6"/>
    <w:rsid w:val="1C4EB6C9"/>
    <w:rsid w:val="1C5179E2"/>
    <w:rsid w:val="1C526FC2"/>
    <w:rsid w:val="1C53EBA7"/>
    <w:rsid w:val="1C5F753E"/>
    <w:rsid w:val="1C613C0C"/>
    <w:rsid w:val="1C6C370C"/>
    <w:rsid w:val="1C77F60A"/>
    <w:rsid w:val="1C78D95B"/>
    <w:rsid w:val="1C7AF606"/>
    <w:rsid w:val="1C7E0C31"/>
    <w:rsid w:val="1C84115C"/>
    <w:rsid w:val="1C8555A8"/>
    <w:rsid w:val="1C86ADA3"/>
    <w:rsid w:val="1C87987C"/>
    <w:rsid w:val="1C8B247A"/>
    <w:rsid w:val="1C8F7991"/>
    <w:rsid w:val="1C914519"/>
    <w:rsid w:val="1C95D691"/>
    <w:rsid w:val="1C9BA240"/>
    <w:rsid w:val="1C9E9510"/>
    <w:rsid w:val="1CA264F4"/>
    <w:rsid w:val="1CA369BE"/>
    <w:rsid w:val="1CAB7229"/>
    <w:rsid w:val="1CB2DB84"/>
    <w:rsid w:val="1CC384A7"/>
    <w:rsid w:val="1CCA8353"/>
    <w:rsid w:val="1CCE87C6"/>
    <w:rsid w:val="1CD6C25A"/>
    <w:rsid w:val="1CD6EDEA"/>
    <w:rsid w:val="1CDCAB88"/>
    <w:rsid w:val="1CDF75CB"/>
    <w:rsid w:val="1CE0F6B2"/>
    <w:rsid w:val="1CE126C3"/>
    <w:rsid w:val="1CE2206E"/>
    <w:rsid w:val="1CE6B2CD"/>
    <w:rsid w:val="1CE906CE"/>
    <w:rsid w:val="1CE951A2"/>
    <w:rsid w:val="1CF355D0"/>
    <w:rsid w:val="1CF7C499"/>
    <w:rsid w:val="1CF85E02"/>
    <w:rsid w:val="1CF897DA"/>
    <w:rsid w:val="1CFAE058"/>
    <w:rsid w:val="1CFD9F8D"/>
    <w:rsid w:val="1CFDCEFC"/>
    <w:rsid w:val="1D03698F"/>
    <w:rsid w:val="1D091E1E"/>
    <w:rsid w:val="1D0D26B5"/>
    <w:rsid w:val="1D11B9BF"/>
    <w:rsid w:val="1D182440"/>
    <w:rsid w:val="1D2854B4"/>
    <w:rsid w:val="1D2C0487"/>
    <w:rsid w:val="1D3055C0"/>
    <w:rsid w:val="1D398ECC"/>
    <w:rsid w:val="1D39E443"/>
    <w:rsid w:val="1D39FE22"/>
    <w:rsid w:val="1D3A3312"/>
    <w:rsid w:val="1D3CE3D1"/>
    <w:rsid w:val="1D42681B"/>
    <w:rsid w:val="1D463523"/>
    <w:rsid w:val="1D569054"/>
    <w:rsid w:val="1D58A31B"/>
    <w:rsid w:val="1D59A556"/>
    <w:rsid w:val="1D5B96C2"/>
    <w:rsid w:val="1D675D0E"/>
    <w:rsid w:val="1D6D451C"/>
    <w:rsid w:val="1D7EFDD0"/>
    <w:rsid w:val="1D857BCD"/>
    <w:rsid w:val="1D8C8237"/>
    <w:rsid w:val="1D99192C"/>
    <w:rsid w:val="1D9B5B63"/>
    <w:rsid w:val="1D9B7488"/>
    <w:rsid w:val="1D9D4204"/>
    <w:rsid w:val="1DA13DD0"/>
    <w:rsid w:val="1DA1ED9F"/>
    <w:rsid w:val="1DA569A0"/>
    <w:rsid w:val="1DA8B39D"/>
    <w:rsid w:val="1DAED214"/>
    <w:rsid w:val="1DB0B13D"/>
    <w:rsid w:val="1DB49622"/>
    <w:rsid w:val="1DB53A17"/>
    <w:rsid w:val="1DB77068"/>
    <w:rsid w:val="1DB8842F"/>
    <w:rsid w:val="1DB8BCC7"/>
    <w:rsid w:val="1DC14728"/>
    <w:rsid w:val="1DCBEB31"/>
    <w:rsid w:val="1DD332C4"/>
    <w:rsid w:val="1DD5EDE8"/>
    <w:rsid w:val="1DDB9FFA"/>
    <w:rsid w:val="1DDDE208"/>
    <w:rsid w:val="1DDFB220"/>
    <w:rsid w:val="1DE686A5"/>
    <w:rsid w:val="1DE7FBFF"/>
    <w:rsid w:val="1DE892AC"/>
    <w:rsid w:val="1DE9D06D"/>
    <w:rsid w:val="1DF1DE5D"/>
    <w:rsid w:val="1DF2C52B"/>
    <w:rsid w:val="1DF33A6F"/>
    <w:rsid w:val="1DFAADBF"/>
    <w:rsid w:val="1DFE32D9"/>
    <w:rsid w:val="1E07F14B"/>
    <w:rsid w:val="1E12526D"/>
    <w:rsid w:val="1E157786"/>
    <w:rsid w:val="1E21AB50"/>
    <w:rsid w:val="1E25962E"/>
    <w:rsid w:val="1E2A147D"/>
    <w:rsid w:val="1E40E3E4"/>
    <w:rsid w:val="1E52830C"/>
    <w:rsid w:val="1E5AFEC8"/>
    <w:rsid w:val="1E5D691E"/>
    <w:rsid w:val="1E5F0D9B"/>
    <w:rsid w:val="1E617725"/>
    <w:rsid w:val="1E65AAAE"/>
    <w:rsid w:val="1E6991A2"/>
    <w:rsid w:val="1E6E1A14"/>
    <w:rsid w:val="1E6F06F9"/>
    <w:rsid w:val="1E715C08"/>
    <w:rsid w:val="1E73A781"/>
    <w:rsid w:val="1E775E56"/>
    <w:rsid w:val="1E7BAEDA"/>
    <w:rsid w:val="1E7CCD54"/>
    <w:rsid w:val="1E7EA7A2"/>
    <w:rsid w:val="1E7F4B04"/>
    <w:rsid w:val="1E82CC81"/>
    <w:rsid w:val="1E84B33E"/>
    <w:rsid w:val="1E85C06B"/>
    <w:rsid w:val="1E8A1496"/>
    <w:rsid w:val="1E8A7F69"/>
    <w:rsid w:val="1E8B6403"/>
    <w:rsid w:val="1E8D09EC"/>
    <w:rsid w:val="1E9A9715"/>
    <w:rsid w:val="1E9B0A55"/>
    <w:rsid w:val="1EA33F54"/>
    <w:rsid w:val="1EA4B915"/>
    <w:rsid w:val="1EAD71D1"/>
    <w:rsid w:val="1EADA9EF"/>
    <w:rsid w:val="1EB106FF"/>
    <w:rsid w:val="1EB3945D"/>
    <w:rsid w:val="1EB4AB9A"/>
    <w:rsid w:val="1EB62787"/>
    <w:rsid w:val="1EB6796E"/>
    <w:rsid w:val="1ECC0891"/>
    <w:rsid w:val="1ED79EAB"/>
    <w:rsid w:val="1EDDE22E"/>
    <w:rsid w:val="1EE2621E"/>
    <w:rsid w:val="1EE61EDC"/>
    <w:rsid w:val="1EEC05AD"/>
    <w:rsid w:val="1EEC1876"/>
    <w:rsid w:val="1EEFBA27"/>
    <w:rsid w:val="1EF2812D"/>
    <w:rsid w:val="1EF6C959"/>
    <w:rsid w:val="1EFD3731"/>
    <w:rsid w:val="1EFDC0FB"/>
    <w:rsid w:val="1F001832"/>
    <w:rsid w:val="1F0287A0"/>
    <w:rsid w:val="1F087D06"/>
    <w:rsid w:val="1F0EB603"/>
    <w:rsid w:val="1F1431CF"/>
    <w:rsid w:val="1F188C79"/>
    <w:rsid w:val="1F19136A"/>
    <w:rsid w:val="1F1A330D"/>
    <w:rsid w:val="1F1AACDE"/>
    <w:rsid w:val="1F1C2185"/>
    <w:rsid w:val="1F1F65B5"/>
    <w:rsid w:val="1F23F74F"/>
    <w:rsid w:val="1F269421"/>
    <w:rsid w:val="1F2C1C81"/>
    <w:rsid w:val="1F2C66B6"/>
    <w:rsid w:val="1F2E86BD"/>
    <w:rsid w:val="1F33FEB5"/>
    <w:rsid w:val="1F350655"/>
    <w:rsid w:val="1F3AF66D"/>
    <w:rsid w:val="1F47487A"/>
    <w:rsid w:val="1F4753B9"/>
    <w:rsid w:val="1F4805A5"/>
    <w:rsid w:val="1F4AB7AC"/>
    <w:rsid w:val="1F4FDDD4"/>
    <w:rsid w:val="1F5115B8"/>
    <w:rsid w:val="1F5D4EE6"/>
    <w:rsid w:val="1F6081CE"/>
    <w:rsid w:val="1F6371FD"/>
    <w:rsid w:val="1F64C8BB"/>
    <w:rsid w:val="1F68210B"/>
    <w:rsid w:val="1F69028B"/>
    <w:rsid w:val="1F7C632E"/>
    <w:rsid w:val="1F7E2791"/>
    <w:rsid w:val="1F822BB4"/>
    <w:rsid w:val="1F86251A"/>
    <w:rsid w:val="1F90460D"/>
    <w:rsid w:val="1F954A13"/>
    <w:rsid w:val="1F986F28"/>
    <w:rsid w:val="1F989AED"/>
    <w:rsid w:val="1FA4C102"/>
    <w:rsid w:val="1FB07CD7"/>
    <w:rsid w:val="1FB15ECF"/>
    <w:rsid w:val="1FB3B38F"/>
    <w:rsid w:val="1FB464B0"/>
    <w:rsid w:val="1FB6554D"/>
    <w:rsid w:val="1FB6BAD6"/>
    <w:rsid w:val="1FB8171C"/>
    <w:rsid w:val="1FB9D343"/>
    <w:rsid w:val="1FC17050"/>
    <w:rsid w:val="1FC73237"/>
    <w:rsid w:val="1FC90121"/>
    <w:rsid w:val="1FCB08F4"/>
    <w:rsid w:val="1FCF826B"/>
    <w:rsid w:val="1FD0A34B"/>
    <w:rsid w:val="1FD6C66A"/>
    <w:rsid w:val="1FD83CC4"/>
    <w:rsid w:val="1FDC77E3"/>
    <w:rsid w:val="1FE70AAB"/>
    <w:rsid w:val="1FE7988D"/>
    <w:rsid w:val="1FEB76E1"/>
    <w:rsid w:val="1FEC19E1"/>
    <w:rsid w:val="1FF132F8"/>
    <w:rsid w:val="1FF52E40"/>
    <w:rsid w:val="1FF73D0B"/>
    <w:rsid w:val="1FFA455C"/>
    <w:rsid w:val="1FFC6C95"/>
    <w:rsid w:val="1FFF6A5F"/>
    <w:rsid w:val="20005171"/>
    <w:rsid w:val="2001EEB2"/>
    <w:rsid w:val="200447A1"/>
    <w:rsid w:val="20060479"/>
    <w:rsid w:val="2006C8C5"/>
    <w:rsid w:val="200E1E2F"/>
    <w:rsid w:val="200E75A2"/>
    <w:rsid w:val="20103D1F"/>
    <w:rsid w:val="2011E2FD"/>
    <w:rsid w:val="2013C9BC"/>
    <w:rsid w:val="20146E4E"/>
    <w:rsid w:val="20169057"/>
    <w:rsid w:val="2018E486"/>
    <w:rsid w:val="20270C34"/>
    <w:rsid w:val="202BFEAB"/>
    <w:rsid w:val="202E1528"/>
    <w:rsid w:val="202F6E87"/>
    <w:rsid w:val="2035CA20"/>
    <w:rsid w:val="203651CC"/>
    <w:rsid w:val="2038C644"/>
    <w:rsid w:val="2041433E"/>
    <w:rsid w:val="204B87EA"/>
    <w:rsid w:val="204C1563"/>
    <w:rsid w:val="204FB842"/>
    <w:rsid w:val="20516DBC"/>
    <w:rsid w:val="205637E4"/>
    <w:rsid w:val="205E42E8"/>
    <w:rsid w:val="20645E6D"/>
    <w:rsid w:val="2064EB6E"/>
    <w:rsid w:val="20688B1D"/>
    <w:rsid w:val="206F4548"/>
    <w:rsid w:val="20752B01"/>
    <w:rsid w:val="207628E3"/>
    <w:rsid w:val="207A5081"/>
    <w:rsid w:val="2080889C"/>
    <w:rsid w:val="2081F56C"/>
    <w:rsid w:val="2082B64A"/>
    <w:rsid w:val="20914920"/>
    <w:rsid w:val="20922E2B"/>
    <w:rsid w:val="20A5E6A1"/>
    <w:rsid w:val="20AB59B6"/>
    <w:rsid w:val="20B1C331"/>
    <w:rsid w:val="20B3F99E"/>
    <w:rsid w:val="20B71DCB"/>
    <w:rsid w:val="20B9B52E"/>
    <w:rsid w:val="20BC11F3"/>
    <w:rsid w:val="20C53BA0"/>
    <w:rsid w:val="20C53F25"/>
    <w:rsid w:val="20C60330"/>
    <w:rsid w:val="20C854A6"/>
    <w:rsid w:val="20CD99B6"/>
    <w:rsid w:val="20D0135F"/>
    <w:rsid w:val="20DAD197"/>
    <w:rsid w:val="20DCBAEE"/>
    <w:rsid w:val="20E04270"/>
    <w:rsid w:val="20FB05F8"/>
    <w:rsid w:val="20FBAF45"/>
    <w:rsid w:val="20FE80EF"/>
    <w:rsid w:val="210C7040"/>
    <w:rsid w:val="2114BA93"/>
    <w:rsid w:val="2115D000"/>
    <w:rsid w:val="211A1340"/>
    <w:rsid w:val="211FD9DE"/>
    <w:rsid w:val="212231FA"/>
    <w:rsid w:val="2124CA45"/>
    <w:rsid w:val="21282B85"/>
    <w:rsid w:val="212993D5"/>
    <w:rsid w:val="212B7C33"/>
    <w:rsid w:val="2136C3B0"/>
    <w:rsid w:val="21407D1A"/>
    <w:rsid w:val="214AE4FB"/>
    <w:rsid w:val="214CD963"/>
    <w:rsid w:val="2169D23C"/>
    <w:rsid w:val="216E9608"/>
    <w:rsid w:val="216FA89F"/>
    <w:rsid w:val="216FC047"/>
    <w:rsid w:val="216FEF13"/>
    <w:rsid w:val="2173636E"/>
    <w:rsid w:val="21766960"/>
    <w:rsid w:val="2177FB23"/>
    <w:rsid w:val="217AFD11"/>
    <w:rsid w:val="217E058E"/>
    <w:rsid w:val="217EC907"/>
    <w:rsid w:val="21828792"/>
    <w:rsid w:val="2190EB72"/>
    <w:rsid w:val="2191E683"/>
    <w:rsid w:val="2193764C"/>
    <w:rsid w:val="21A1C378"/>
    <w:rsid w:val="21A21CF7"/>
    <w:rsid w:val="21A34C31"/>
    <w:rsid w:val="21A55A8B"/>
    <w:rsid w:val="21B0A51B"/>
    <w:rsid w:val="21B26C60"/>
    <w:rsid w:val="21B7DF30"/>
    <w:rsid w:val="21BA7806"/>
    <w:rsid w:val="21BB2AC0"/>
    <w:rsid w:val="21BEB215"/>
    <w:rsid w:val="21C3B4A2"/>
    <w:rsid w:val="21C74D2D"/>
    <w:rsid w:val="21CBD726"/>
    <w:rsid w:val="21D06C3C"/>
    <w:rsid w:val="21D2016E"/>
    <w:rsid w:val="21D97C32"/>
    <w:rsid w:val="21D9E61C"/>
    <w:rsid w:val="21DABEAA"/>
    <w:rsid w:val="21E2FBCA"/>
    <w:rsid w:val="21EAEE9A"/>
    <w:rsid w:val="21ECF2B7"/>
    <w:rsid w:val="21EF8B6A"/>
    <w:rsid w:val="21F12D28"/>
    <w:rsid w:val="21F3B296"/>
    <w:rsid w:val="21F5F82F"/>
    <w:rsid w:val="21FC764D"/>
    <w:rsid w:val="21FD4E4C"/>
    <w:rsid w:val="21FD5E40"/>
    <w:rsid w:val="21FD5F07"/>
    <w:rsid w:val="22008910"/>
    <w:rsid w:val="22048DF8"/>
    <w:rsid w:val="220A4E68"/>
    <w:rsid w:val="220B2F74"/>
    <w:rsid w:val="220D4C66"/>
    <w:rsid w:val="2212D332"/>
    <w:rsid w:val="22142493"/>
    <w:rsid w:val="2216430D"/>
    <w:rsid w:val="22166E84"/>
    <w:rsid w:val="2222E5B5"/>
    <w:rsid w:val="2223EC98"/>
    <w:rsid w:val="22293046"/>
    <w:rsid w:val="222A56E5"/>
    <w:rsid w:val="222A653B"/>
    <w:rsid w:val="222B5FE6"/>
    <w:rsid w:val="222BE132"/>
    <w:rsid w:val="222C8533"/>
    <w:rsid w:val="222CB534"/>
    <w:rsid w:val="222D9989"/>
    <w:rsid w:val="222F1DB1"/>
    <w:rsid w:val="2231F5B5"/>
    <w:rsid w:val="22331A49"/>
    <w:rsid w:val="22335461"/>
    <w:rsid w:val="22335D14"/>
    <w:rsid w:val="2234D0B6"/>
    <w:rsid w:val="223A5D5D"/>
    <w:rsid w:val="223AF64B"/>
    <w:rsid w:val="223E7D90"/>
    <w:rsid w:val="223FC21B"/>
    <w:rsid w:val="224447C3"/>
    <w:rsid w:val="22445A74"/>
    <w:rsid w:val="2245D9D5"/>
    <w:rsid w:val="2247A179"/>
    <w:rsid w:val="22486725"/>
    <w:rsid w:val="224EAE9B"/>
    <w:rsid w:val="2258DE56"/>
    <w:rsid w:val="22630B32"/>
    <w:rsid w:val="22675ED8"/>
    <w:rsid w:val="2270F343"/>
    <w:rsid w:val="22712346"/>
    <w:rsid w:val="2276CECC"/>
    <w:rsid w:val="2278FBCB"/>
    <w:rsid w:val="227D979D"/>
    <w:rsid w:val="227EFF7C"/>
    <w:rsid w:val="228132D0"/>
    <w:rsid w:val="2283AB81"/>
    <w:rsid w:val="228A65D5"/>
    <w:rsid w:val="228EE804"/>
    <w:rsid w:val="22927DE5"/>
    <w:rsid w:val="22940340"/>
    <w:rsid w:val="229A140C"/>
    <w:rsid w:val="229B1ACD"/>
    <w:rsid w:val="22A02A92"/>
    <w:rsid w:val="22A6F51F"/>
    <w:rsid w:val="22B1438A"/>
    <w:rsid w:val="22B8A9D0"/>
    <w:rsid w:val="22C22C70"/>
    <w:rsid w:val="22C33325"/>
    <w:rsid w:val="22C41E8F"/>
    <w:rsid w:val="22C45290"/>
    <w:rsid w:val="22C73334"/>
    <w:rsid w:val="22D42700"/>
    <w:rsid w:val="22E08734"/>
    <w:rsid w:val="22E20A3E"/>
    <w:rsid w:val="22E6AF48"/>
    <w:rsid w:val="22E97F1B"/>
    <w:rsid w:val="22F30CBD"/>
    <w:rsid w:val="22F7E792"/>
    <w:rsid w:val="22FAD4DC"/>
    <w:rsid w:val="22FB73FE"/>
    <w:rsid w:val="230A1DC2"/>
    <w:rsid w:val="2310E44E"/>
    <w:rsid w:val="231775D2"/>
    <w:rsid w:val="2317B9B0"/>
    <w:rsid w:val="2317F16E"/>
    <w:rsid w:val="23183049"/>
    <w:rsid w:val="231E1C6F"/>
    <w:rsid w:val="2327A0FA"/>
    <w:rsid w:val="23298ED5"/>
    <w:rsid w:val="232D47BA"/>
    <w:rsid w:val="232F219D"/>
    <w:rsid w:val="233C91A9"/>
    <w:rsid w:val="233D8885"/>
    <w:rsid w:val="233FBF73"/>
    <w:rsid w:val="23421295"/>
    <w:rsid w:val="23485D4A"/>
    <w:rsid w:val="2349F462"/>
    <w:rsid w:val="234A0F86"/>
    <w:rsid w:val="234AC954"/>
    <w:rsid w:val="234B55E7"/>
    <w:rsid w:val="234E9CE3"/>
    <w:rsid w:val="2351C3AA"/>
    <w:rsid w:val="2359B87B"/>
    <w:rsid w:val="235F9716"/>
    <w:rsid w:val="2364CA11"/>
    <w:rsid w:val="2365825A"/>
    <w:rsid w:val="23700499"/>
    <w:rsid w:val="2370DA95"/>
    <w:rsid w:val="237202A4"/>
    <w:rsid w:val="2377BA6C"/>
    <w:rsid w:val="237BBDDE"/>
    <w:rsid w:val="23883807"/>
    <w:rsid w:val="238C7325"/>
    <w:rsid w:val="238CBBC4"/>
    <w:rsid w:val="238E5952"/>
    <w:rsid w:val="23965C15"/>
    <w:rsid w:val="239B3AC7"/>
    <w:rsid w:val="239BC5FB"/>
    <w:rsid w:val="23A0CD3A"/>
    <w:rsid w:val="23A1DB50"/>
    <w:rsid w:val="23A2EF56"/>
    <w:rsid w:val="23AB467C"/>
    <w:rsid w:val="23ABB53F"/>
    <w:rsid w:val="23ACEE1E"/>
    <w:rsid w:val="23ADA065"/>
    <w:rsid w:val="23B3A230"/>
    <w:rsid w:val="23BA2984"/>
    <w:rsid w:val="23C63A95"/>
    <w:rsid w:val="23C7D7F9"/>
    <w:rsid w:val="23CB969E"/>
    <w:rsid w:val="23CE59E3"/>
    <w:rsid w:val="23D5803E"/>
    <w:rsid w:val="23D84263"/>
    <w:rsid w:val="23DD9E19"/>
    <w:rsid w:val="23DFC80A"/>
    <w:rsid w:val="23E2A668"/>
    <w:rsid w:val="23EB4AE1"/>
    <w:rsid w:val="23EDFE1A"/>
    <w:rsid w:val="23EE32CF"/>
    <w:rsid w:val="23F22C63"/>
    <w:rsid w:val="23FD8542"/>
    <w:rsid w:val="23FDC8B6"/>
    <w:rsid w:val="240021A9"/>
    <w:rsid w:val="24013C88"/>
    <w:rsid w:val="24015AF6"/>
    <w:rsid w:val="2410DC95"/>
    <w:rsid w:val="2415DEC2"/>
    <w:rsid w:val="2415FE1D"/>
    <w:rsid w:val="241DB0A8"/>
    <w:rsid w:val="2421BBB5"/>
    <w:rsid w:val="2427E86E"/>
    <w:rsid w:val="242C9121"/>
    <w:rsid w:val="243509E3"/>
    <w:rsid w:val="2438AE1C"/>
    <w:rsid w:val="2438F7D1"/>
    <w:rsid w:val="243BD784"/>
    <w:rsid w:val="24427D51"/>
    <w:rsid w:val="244A7485"/>
    <w:rsid w:val="2458BEF3"/>
    <w:rsid w:val="2459125E"/>
    <w:rsid w:val="2460E615"/>
    <w:rsid w:val="246654D6"/>
    <w:rsid w:val="24669DD0"/>
    <w:rsid w:val="246A7358"/>
    <w:rsid w:val="246B0281"/>
    <w:rsid w:val="246E46C9"/>
    <w:rsid w:val="24756E72"/>
    <w:rsid w:val="24757A35"/>
    <w:rsid w:val="247D4FD4"/>
    <w:rsid w:val="247FC618"/>
    <w:rsid w:val="2484EBEC"/>
    <w:rsid w:val="248AE0E4"/>
    <w:rsid w:val="248D8DDA"/>
    <w:rsid w:val="248DDA1B"/>
    <w:rsid w:val="2491F4C7"/>
    <w:rsid w:val="249E9D8E"/>
    <w:rsid w:val="249ED19A"/>
    <w:rsid w:val="24A3BA49"/>
    <w:rsid w:val="24A4A7B7"/>
    <w:rsid w:val="24A68529"/>
    <w:rsid w:val="24AB1F00"/>
    <w:rsid w:val="24B01582"/>
    <w:rsid w:val="24B3FDD3"/>
    <w:rsid w:val="24B79E7F"/>
    <w:rsid w:val="24C77056"/>
    <w:rsid w:val="24CBE762"/>
    <w:rsid w:val="24CD3378"/>
    <w:rsid w:val="24DC16E2"/>
    <w:rsid w:val="24DFC3D7"/>
    <w:rsid w:val="24E53236"/>
    <w:rsid w:val="24E9BEF6"/>
    <w:rsid w:val="24EAA0BD"/>
    <w:rsid w:val="24F1411A"/>
    <w:rsid w:val="24FC2B04"/>
    <w:rsid w:val="2504F57F"/>
    <w:rsid w:val="250885EA"/>
    <w:rsid w:val="250904AE"/>
    <w:rsid w:val="2509C13E"/>
    <w:rsid w:val="250F17C0"/>
    <w:rsid w:val="250F5DB2"/>
    <w:rsid w:val="25211112"/>
    <w:rsid w:val="2523687F"/>
    <w:rsid w:val="252714D8"/>
    <w:rsid w:val="252A1CA6"/>
    <w:rsid w:val="252C355C"/>
    <w:rsid w:val="252DEB46"/>
    <w:rsid w:val="252E0F43"/>
    <w:rsid w:val="252EB215"/>
    <w:rsid w:val="2530A71F"/>
    <w:rsid w:val="25313A35"/>
    <w:rsid w:val="253286A8"/>
    <w:rsid w:val="2532C1AC"/>
    <w:rsid w:val="25333063"/>
    <w:rsid w:val="253A447C"/>
    <w:rsid w:val="253F1B91"/>
    <w:rsid w:val="2544269B"/>
    <w:rsid w:val="25445BE7"/>
    <w:rsid w:val="2547C85D"/>
    <w:rsid w:val="254AB660"/>
    <w:rsid w:val="254BDEF7"/>
    <w:rsid w:val="2551EB02"/>
    <w:rsid w:val="25576D3F"/>
    <w:rsid w:val="25619BEC"/>
    <w:rsid w:val="2563CEAF"/>
    <w:rsid w:val="2565C105"/>
    <w:rsid w:val="256E6A8B"/>
    <w:rsid w:val="25730D7B"/>
    <w:rsid w:val="2579C175"/>
    <w:rsid w:val="257AB4B7"/>
    <w:rsid w:val="257AC8A6"/>
    <w:rsid w:val="257CC817"/>
    <w:rsid w:val="257FED3F"/>
    <w:rsid w:val="25897941"/>
    <w:rsid w:val="2589CE46"/>
    <w:rsid w:val="258B5C24"/>
    <w:rsid w:val="258EA155"/>
    <w:rsid w:val="25941A8C"/>
    <w:rsid w:val="259DDD88"/>
    <w:rsid w:val="25A03A62"/>
    <w:rsid w:val="25A2452A"/>
    <w:rsid w:val="25A929E7"/>
    <w:rsid w:val="25AC4007"/>
    <w:rsid w:val="25AF0F1A"/>
    <w:rsid w:val="25AF656C"/>
    <w:rsid w:val="25B06A6D"/>
    <w:rsid w:val="25B1231B"/>
    <w:rsid w:val="25B59D35"/>
    <w:rsid w:val="25BF4488"/>
    <w:rsid w:val="25C14C1A"/>
    <w:rsid w:val="25C5FE4B"/>
    <w:rsid w:val="25C9B5B3"/>
    <w:rsid w:val="25D74D3D"/>
    <w:rsid w:val="25E16BA5"/>
    <w:rsid w:val="25E5F63B"/>
    <w:rsid w:val="25F4FF86"/>
    <w:rsid w:val="25FEB852"/>
    <w:rsid w:val="26055BBE"/>
    <w:rsid w:val="261AB73E"/>
    <w:rsid w:val="261DB39E"/>
    <w:rsid w:val="261F8336"/>
    <w:rsid w:val="26251C22"/>
    <w:rsid w:val="26284F0C"/>
    <w:rsid w:val="263FF0BE"/>
    <w:rsid w:val="26474538"/>
    <w:rsid w:val="2647E082"/>
    <w:rsid w:val="264CC064"/>
    <w:rsid w:val="264F0C71"/>
    <w:rsid w:val="264F8B8C"/>
    <w:rsid w:val="265113CF"/>
    <w:rsid w:val="265A5AF5"/>
    <w:rsid w:val="265D42FC"/>
    <w:rsid w:val="265DE786"/>
    <w:rsid w:val="26625638"/>
    <w:rsid w:val="266324E2"/>
    <w:rsid w:val="2667831E"/>
    <w:rsid w:val="2669EB9E"/>
    <w:rsid w:val="266B9E68"/>
    <w:rsid w:val="266F2104"/>
    <w:rsid w:val="266FF1E2"/>
    <w:rsid w:val="26735B7A"/>
    <w:rsid w:val="26738442"/>
    <w:rsid w:val="267AC989"/>
    <w:rsid w:val="2688E827"/>
    <w:rsid w:val="268D99FD"/>
    <w:rsid w:val="26974C75"/>
    <w:rsid w:val="26981A30"/>
    <w:rsid w:val="269AFDC9"/>
    <w:rsid w:val="26A87FA7"/>
    <w:rsid w:val="26B15617"/>
    <w:rsid w:val="26B21AC2"/>
    <w:rsid w:val="26B68377"/>
    <w:rsid w:val="26B9ACE4"/>
    <w:rsid w:val="26B9C2B3"/>
    <w:rsid w:val="26C047E2"/>
    <w:rsid w:val="26C2E8D1"/>
    <w:rsid w:val="26C9B19F"/>
    <w:rsid w:val="26DAFB03"/>
    <w:rsid w:val="26E040AC"/>
    <w:rsid w:val="26E5055B"/>
    <w:rsid w:val="26EED672"/>
    <w:rsid w:val="26F3AE5F"/>
    <w:rsid w:val="26F465A6"/>
    <w:rsid w:val="26FB1FC6"/>
    <w:rsid w:val="26FC3F5F"/>
    <w:rsid w:val="27065447"/>
    <w:rsid w:val="270B9D6C"/>
    <w:rsid w:val="270E452D"/>
    <w:rsid w:val="27102C70"/>
    <w:rsid w:val="27135215"/>
    <w:rsid w:val="271680B4"/>
    <w:rsid w:val="27184808"/>
    <w:rsid w:val="271AF794"/>
    <w:rsid w:val="271D6A30"/>
    <w:rsid w:val="272A81A0"/>
    <w:rsid w:val="272C7505"/>
    <w:rsid w:val="2731C6A5"/>
    <w:rsid w:val="273725AE"/>
    <w:rsid w:val="2738186C"/>
    <w:rsid w:val="273AFF1B"/>
    <w:rsid w:val="273B290C"/>
    <w:rsid w:val="273E64A7"/>
    <w:rsid w:val="2740256A"/>
    <w:rsid w:val="27479041"/>
    <w:rsid w:val="274A9F76"/>
    <w:rsid w:val="274D02BF"/>
    <w:rsid w:val="274FB4EA"/>
    <w:rsid w:val="275CAA6B"/>
    <w:rsid w:val="2762580C"/>
    <w:rsid w:val="27674081"/>
    <w:rsid w:val="2769C55C"/>
    <w:rsid w:val="276BEC1E"/>
    <w:rsid w:val="276EE21D"/>
    <w:rsid w:val="2770881C"/>
    <w:rsid w:val="2776EF91"/>
    <w:rsid w:val="277DF47A"/>
    <w:rsid w:val="27812BEF"/>
    <w:rsid w:val="2783BAEB"/>
    <w:rsid w:val="278B11AA"/>
    <w:rsid w:val="278F2A81"/>
    <w:rsid w:val="27905B6C"/>
    <w:rsid w:val="2794EB46"/>
    <w:rsid w:val="279560A2"/>
    <w:rsid w:val="279AD514"/>
    <w:rsid w:val="279C3B3D"/>
    <w:rsid w:val="27A0D00F"/>
    <w:rsid w:val="27A6598F"/>
    <w:rsid w:val="27AB9DB9"/>
    <w:rsid w:val="27ABF6AC"/>
    <w:rsid w:val="27B2B4B5"/>
    <w:rsid w:val="27B3F6D0"/>
    <w:rsid w:val="27B89314"/>
    <w:rsid w:val="27BF601B"/>
    <w:rsid w:val="27C2E853"/>
    <w:rsid w:val="27CBBD80"/>
    <w:rsid w:val="27D33E4C"/>
    <w:rsid w:val="27D67FE7"/>
    <w:rsid w:val="27D81B0E"/>
    <w:rsid w:val="27D8B8E1"/>
    <w:rsid w:val="27D989F2"/>
    <w:rsid w:val="27DC52C0"/>
    <w:rsid w:val="27DD0D4A"/>
    <w:rsid w:val="27DE134E"/>
    <w:rsid w:val="27E20C94"/>
    <w:rsid w:val="27E2FA2B"/>
    <w:rsid w:val="27E673A8"/>
    <w:rsid w:val="27EF83F6"/>
    <w:rsid w:val="27EF87EA"/>
    <w:rsid w:val="27F14145"/>
    <w:rsid w:val="27FE6E78"/>
    <w:rsid w:val="27FE993A"/>
    <w:rsid w:val="280067D0"/>
    <w:rsid w:val="2806C6F1"/>
    <w:rsid w:val="280AB9F7"/>
    <w:rsid w:val="280D6038"/>
    <w:rsid w:val="280DFB6D"/>
    <w:rsid w:val="2813B729"/>
    <w:rsid w:val="281B9942"/>
    <w:rsid w:val="281C8327"/>
    <w:rsid w:val="281DB674"/>
    <w:rsid w:val="2827E3AD"/>
    <w:rsid w:val="282D0B15"/>
    <w:rsid w:val="282E6D8C"/>
    <w:rsid w:val="28320207"/>
    <w:rsid w:val="2834F958"/>
    <w:rsid w:val="28390AA1"/>
    <w:rsid w:val="283A83DB"/>
    <w:rsid w:val="2840377A"/>
    <w:rsid w:val="2841E7CF"/>
    <w:rsid w:val="2849AB97"/>
    <w:rsid w:val="284AE913"/>
    <w:rsid w:val="284D119D"/>
    <w:rsid w:val="284F6EF3"/>
    <w:rsid w:val="2851E2B3"/>
    <w:rsid w:val="28525E74"/>
    <w:rsid w:val="2854E3B4"/>
    <w:rsid w:val="28550704"/>
    <w:rsid w:val="28635285"/>
    <w:rsid w:val="28663313"/>
    <w:rsid w:val="28687460"/>
    <w:rsid w:val="286BEE39"/>
    <w:rsid w:val="286CBB9D"/>
    <w:rsid w:val="286DE5F1"/>
    <w:rsid w:val="2875FFB8"/>
    <w:rsid w:val="2877D3C7"/>
    <w:rsid w:val="2877E409"/>
    <w:rsid w:val="287B4FCC"/>
    <w:rsid w:val="288013C0"/>
    <w:rsid w:val="2880D69D"/>
    <w:rsid w:val="28870130"/>
    <w:rsid w:val="288A0550"/>
    <w:rsid w:val="288E9688"/>
    <w:rsid w:val="28927399"/>
    <w:rsid w:val="289961FD"/>
    <w:rsid w:val="289A30B1"/>
    <w:rsid w:val="289BC28B"/>
    <w:rsid w:val="28A0057C"/>
    <w:rsid w:val="28A08C63"/>
    <w:rsid w:val="28A626DD"/>
    <w:rsid w:val="28A7DE81"/>
    <w:rsid w:val="28AA41A6"/>
    <w:rsid w:val="28B6DD1A"/>
    <w:rsid w:val="28BA09C4"/>
    <w:rsid w:val="28C1E87F"/>
    <w:rsid w:val="28C37716"/>
    <w:rsid w:val="28C59195"/>
    <w:rsid w:val="28C62884"/>
    <w:rsid w:val="28C6B3AB"/>
    <w:rsid w:val="28C9907A"/>
    <w:rsid w:val="28C9F22A"/>
    <w:rsid w:val="28CB8ADB"/>
    <w:rsid w:val="28CD1271"/>
    <w:rsid w:val="28D03982"/>
    <w:rsid w:val="28D82440"/>
    <w:rsid w:val="28E5EDB1"/>
    <w:rsid w:val="28E8A68D"/>
    <w:rsid w:val="28ECFCF4"/>
    <w:rsid w:val="28F8ABCA"/>
    <w:rsid w:val="28FB26DD"/>
    <w:rsid w:val="28FB63AB"/>
    <w:rsid w:val="2907263F"/>
    <w:rsid w:val="29119F6F"/>
    <w:rsid w:val="291D41F0"/>
    <w:rsid w:val="2921BF09"/>
    <w:rsid w:val="2925474B"/>
    <w:rsid w:val="2925AD9C"/>
    <w:rsid w:val="29262CFE"/>
    <w:rsid w:val="292BB82E"/>
    <w:rsid w:val="292E2DF6"/>
    <w:rsid w:val="293086F5"/>
    <w:rsid w:val="2938FF45"/>
    <w:rsid w:val="293B23EA"/>
    <w:rsid w:val="293DD3CB"/>
    <w:rsid w:val="293EC9D3"/>
    <w:rsid w:val="294223A4"/>
    <w:rsid w:val="29460D61"/>
    <w:rsid w:val="2950AFBA"/>
    <w:rsid w:val="2955E2AD"/>
    <w:rsid w:val="2956E86A"/>
    <w:rsid w:val="2959666E"/>
    <w:rsid w:val="29601ED0"/>
    <w:rsid w:val="2960BFAE"/>
    <w:rsid w:val="2963267F"/>
    <w:rsid w:val="2966C1C7"/>
    <w:rsid w:val="296C10E8"/>
    <w:rsid w:val="2975BEB5"/>
    <w:rsid w:val="2977FD90"/>
    <w:rsid w:val="29793643"/>
    <w:rsid w:val="297A0ABD"/>
    <w:rsid w:val="297DD2B3"/>
    <w:rsid w:val="297E0BDA"/>
    <w:rsid w:val="2989F33A"/>
    <w:rsid w:val="298AD0AF"/>
    <w:rsid w:val="298FFAE2"/>
    <w:rsid w:val="2994DE3F"/>
    <w:rsid w:val="2996281A"/>
    <w:rsid w:val="29A10271"/>
    <w:rsid w:val="29A19B2D"/>
    <w:rsid w:val="29A2FBE2"/>
    <w:rsid w:val="29A4B3EE"/>
    <w:rsid w:val="29A7573D"/>
    <w:rsid w:val="29A94730"/>
    <w:rsid w:val="29AC499B"/>
    <w:rsid w:val="29BF7E8C"/>
    <w:rsid w:val="29BFFC9D"/>
    <w:rsid w:val="29C70A68"/>
    <w:rsid w:val="29CAAAFD"/>
    <w:rsid w:val="29D0A42C"/>
    <w:rsid w:val="29D24835"/>
    <w:rsid w:val="29D2FB95"/>
    <w:rsid w:val="29D695DD"/>
    <w:rsid w:val="29DB24E6"/>
    <w:rsid w:val="29EF1B04"/>
    <w:rsid w:val="29F37BA7"/>
    <w:rsid w:val="29F3852A"/>
    <w:rsid w:val="29FA58B7"/>
    <w:rsid w:val="29FCD14D"/>
    <w:rsid w:val="2A04FD5B"/>
    <w:rsid w:val="2A0553D6"/>
    <w:rsid w:val="2A151700"/>
    <w:rsid w:val="2A1C42A7"/>
    <w:rsid w:val="2A1D0C7A"/>
    <w:rsid w:val="2A1D4A25"/>
    <w:rsid w:val="2A226166"/>
    <w:rsid w:val="2A23F8A5"/>
    <w:rsid w:val="2A2B4A6C"/>
    <w:rsid w:val="2A2E7C2C"/>
    <w:rsid w:val="2A2E8C6C"/>
    <w:rsid w:val="2A2EF072"/>
    <w:rsid w:val="2A2F85AD"/>
    <w:rsid w:val="2A324486"/>
    <w:rsid w:val="2A333632"/>
    <w:rsid w:val="2A357BC8"/>
    <w:rsid w:val="2A368EB3"/>
    <w:rsid w:val="2A3FDD1F"/>
    <w:rsid w:val="2A40EA41"/>
    <w:rsid w:val="2A40F0E4"/>
    <w:rsid w:val="2A43BA94"/>
    <w:rsid w:val="2A4D1644"/>
    <w:rsid w:val="2A4EA7DE"/>
    <w:rsid w:val="2A5465B5"/>
    <w:rsid w:val="2A58DC94"/>
    <w:rsid w:val="2A63E6CD"/>
    <w:rsid w:val="2A668250"/>
    <w:rsid w:val="2A66A18D"/>
    <w:rsid w:val="2A6972AF"/>
    <w:rsid w:val="2A6F6D03"/>
    <w:rsid w:val="2A7A43ED"/>
    <w:rsid w:val="2A894C6D"/>
    <w:rsid w:val="2A8C6A0C"/>
    <w:rsid w:val="2A9076E4"/>
    <w:rsid w:val="2A909B99"/>
    <w:rsid w:val="2A95B910"/>
    <w:rsid w:val="2AA144D0"/>
    <w:rsid w:val="2AA2D9B0"/>
    <w:rsid w:val="2AA39423"/>
    <w:rsid w:val="2AA7CA57"/>
    <w:rsid w:val="2AA7D114"/>
    <w:rsid w:val="2AA8CA1B"/>
    <w:rsid w:val="2AB202C4"/>
    <w:rsid w:val="2AB455B4"/>
    <w:rsid w:val="2AB4D22B"/>
    <w:rsid w:val="2AB64F65"/>
    <w:rsid w:val="2ABA26CD"/>
    <w:rsid w:val="2AD02CF3"/>
    <w:rsid w:val="2AD1AEF9"/>
    <w:rsid w:val="2AD6EABB"/>
    <w:rsid w:val="2AE4784F"/>
    <w:rsid w:val="2AE500E8"/>
    <w:rsid w:val="2AEC192A"/>
    <w:rsid w:val="2AF14C78"/>
    <w:rsid w:val="2AF93B1E"/>
    <w:rsid w:val="2B011B19"/>
    <w:rsid w:val="2B01C9C8"/>
    <w:rsid w:val="2B02BD41"/>
    <w:rsid w:val="2B084613"/>
    <w:rsid w:val="2B0DB8D9"/>
    <w:rsid w:val="2B15838C"/>
    <w:rsid w:val="2B1A0652"/>
    <w:rsid w:val="2B1B901B"/>
    <w:rsid w:val="2B1C2A8A"/>
    <w:rsid w:val="2B20DF7E"/>
    <w:rsid w:val="2B24E2B3"/>
    <w:rsid w:val="2B26777A"/>
    <w:rsid w:val="2B271CDB"/>
    <w:rsid w:val="2B3A7C8F"/>
    <w:rsid w:val="2B3F54E5"/>
    <w:rsid w:val="2B46152A"/>
    <w:rsid w:val="2B499A0F"/>
    <w:rsid w:val="2B4A4F21"/>
    <w:rsid w:val="2B4A60B8"/>
    <w:rsid w:val="2B4D8A0C"/>
    <w:rsid w:val="2B53AEF9"/>
    <w:rsid w:val="2B589DCA"/>
    <w:rsid w:val="2B59D477"/>
    <w:rsid w:val="2B5A3A4C"/>
    <w:rsid w:val="2B5BF48F"/>
    <w:rsid w:val="2B6088A3"/>
    <w:rsid w:val="2B641F1E"/>
    <w:rsid w:val="2B668F00"/>
    <w:rsid w:val="2B741DC8"/>
    <w:rsid w:val="2B76D63A"/>
    <w:rsid w:val="2B79DDC4"/>
    <w:rsid w:val="2B7B7884"/>
    <w:rsid w:val="2B7EA03E"/>
    <w:rsid w:val="2B879F86"/>
    <w:rsid w:val="2B8E033C"/>
    <w:rsid w:val="2B97D07A"/>
    <w:rsid w:val="2BA3BE55"/>
    <w:rsid w:val="2BA750DB"/>
    <w:rsid w:val="2BB8B933"/>
    <w:rsid w:val="2BBF1D21"/>
    <w:rsid w:val="2BC7FE15"/>
    <w:rsid w:val="2BCB3AD1"/>
    <w:rsid w:val="2BCEF11B"/>
    <w:rsid w:val="2BD5FFF8"/>
    <w:rsid w:val="2BD63E1F"/>
    <w:rsid w:val="2BDBBAF9"/>
    <w:rsid w:val="2BDC2671"/>
    <w:rsid w:val="2BDF9035"/>
    <w:rsid w:val="2BE10351"/>
    <w:rsid w:val="2BE354CA"/>
    <w:rsid w:val="2BE4509E"/>
    <w:rsid w:val="2BF41763"/>
    <w:rsid w:val="2BFE71E5"/>
    <w:rsid w:val="2C01165C"/>
    <w:rsid w:val="2C0B5C92"/>
    <w:rsid w:val="2C0C15D4"/>
    <w:rsid w:val="2C0D3D57"/>
    <w:rsid w:val="2C0FA578"/>
    <w:rsid w:val="2C1C235B"/>
    <w:rsid w:val="2C2111D4"/>
    <w:rsid w:val="2C23590D"/>
    <w:rsid w:val="2C26B277"/>
    <w:rsid w:val="2C2850F9"/>
    <w:rsid w:val="2C2B4C41"/>
    <w:rsid w:val="2C2C6FF6"/>
    <w:rsid w:val="2C2D38A9"/>
    <w:rsid w:val="2C2FD8B7"/>
    <w:rsid w:val="2C309722"/>
    <w:rsid w:val="2C3274D7"/>
    <w:rsid w:val="2C34530F"/>
    <w:rsid w:val="2C3E76ED"/>
    <w:rsid w:val="2C3FE573"/>
    <w:rsid w:val="2C4E369E"/>
    <w:rsid w:val="2C54E402"/>
    <w:rsid w:val="2C56575D"/>
    <w:rsid w:val="2C580C00"/>
    <w:rsid w:val="2C5D5516"/>
    <w:rsid w:val="2C647BDB"/>
    <w:rsid w:val="2C64E648"/>
    <w:rsid w:val="2C656A9D"/>
    <w:rsid w:val="2C67A7C8"/>
    <w:rsid w:val="2C70BB63"/>
    <w:rsid w:val="2C736173"/>
    <w:rsid w:val="2C7611A0"/>
    <w:rsid w:val="2C765557"/>
    <w:rsid w:val="2C773308"/>
    <w:rsid w:val="2C87D478"/>
    <w:rsid w:val="2C8946EB"/>
    <w:rsid w:val="2C90FB7C"/>
    <w:rsid w:val="2CA1B90A"/>
    <w:rsid w:val="2CAC799F"/>
    <w:rsid w:val="2CB32EA3"/>
    <w:rsid w:val="2CBFECD8"/>
    <w:rsid w:val="2CC3174C"/>
    <w:rsid w:val="2CC57FA4"/>
    <w:rsid w:val="2CCCEC8C"/>
    <w:rsid w:val="2CCDE660"/>
    <w:rsid w:val="2CD14FE3"/>
    <w:rsid w:val="2CD7A270"/>
    <w:rsid w:val="2CD9B66F"/>
    <w:rsid w:val="2CDB739A"/>
    <w:rsid w:val="2CDE3870"/>
    <w:rsid w:val="2CE046FE"/>
    <w:rsid w:val="2CE6CE03"/>
    <w:rsid w:val="2CE9BF8C"/>
    <w:rsid w:val="2CF55749"/>
    <w:rsid w:val="2CF959FE"/>
    <w:rsid w:val="2CFF7B96"/>
    <w:rsid w:val="2D076F60"/>
    <w:rsid w:val="2D0A570B"/>
    <w:rsid w:val="2D0B1D1E"/>
    <w:rsid w:val="2D0E6237"/>
    <w:rsid w:val="2D17F28C"/>
    <w:rsid w:val="2D184403"/>
    <w:rsid w:val="2D1AD45F"/>
    <w:rsid w:val="2D24C6B2"/>
    <w:rsid w:val="2D24E179"/>
    <w:rsid w:val="2D2B06FB"/>
    <w:rsid w:val="2D2D5851"/>
    <w:rsid w:val="2D31322E"/>
    <w:rsid w:val="2D39959C"/>
    <w:rsid w:val="2D3C8A22"/>
    <w:rsid w:val="2D3DBFA1"/>
    <w:rsid w:val="2D3F648D"/>
    <w:rsid w:val="2D4342F4"/>
    <w:rsid w:val="2D454DB0"/>
    <w:rsid w:val="2D455568"/>
    <w:rsid w:val="2D468F53"/>
    <w:rsid w:val="2D47D902"/>
    <w:rsid w:val="2D4A53C6"/>
    <w:rsid w:val="2D51DFEC"/>
    <w:rsid w:val="2D55345B"/>
    <w:rsid w:val="2D58E130"/>
    <w:rsid w:val="2D679C3E"/>
    <w:rsid w:val="2D6B7972"/>
    <w:rsid w:val="2D72449F"/>
    <w:rsid w:val="2D85C159"/>
    <w:rsid w:val="2D8C40E4"/>
    <w:rsid w:val="2D8DD5A7"/>
    <w:rsid w:val="2D8F2A91"/>
    <w:rsid w:val="2D960F15"/>
    <w:rsid w:val="2D9A0A49"/>
    <w:rsid w:val="2D9BB27F"/>
    <w:rsid w:val="2DA2EA02"/>
    <w:rsid w:val="2DA72E5E"/>
    <w:rsid w:val="2DAF4407"/>
    <w:rsid w:val="2DB76775"/>
    <w:rsid w:val="2DB7726B"/>
    <w:rsid w:val="2DB9A64B"/>
    <w:rsid w:val="2DBE1945"/>
    <w:rsid w:val="2DBEC59E"/>
    <w:rsid w:val="2DC67E0E"/>
    <w:rsid w:val="2DC6E140"/>
    <w:rsid w:val="2DCBE321"/>
    <w:rsid w:val="2DCC55EA"/>
    <w:rsid w:val="2DCEA62F"/>
    <w:rsid w:val="2DCF0F85"/>
    <w:rsid w:val="2DCF64F2"/>
    <w:rsid w:val="2DD50BA1"/>
    <w:rsid w:val="2DDB672A"/>
    <w:rsid w:val="2DDFF75F"/>
    <w:rsid w:val="2DE39D91"/>
    <w:rsid w:val="2DED5AC3"/>
    <w:rsid w:val="2DF75E01"/>
    <w:rsid w:val="2DFB57D5"/>
    <w:rsid w:val="2E0A7681"/>
    <w:rsid w:val="2E0B1AD3"/>
    <w:rsid w:val="2E0F748A"/>
    <w:rsid w:val="2E10195F"/>
    <w:rsid w:val="2E12BA51"/>
    <w:rsid w:val="2E171443"/>
    <w:rsid w:val="2E191729"/>
    <w:rsid w:val="2E213380"/>
    <w:rsid w:val="2E21DAB5"/>
    <w:rsid w:val="2E22F9E9"/>
    <w:rsid w:val="2E2A519A"/>
    <w:rsid w:val="2E2BBA75"/>
    <w:rsid w:val="2E2E3A66"/>
    <w:rsid w:val="2E2E8858"/>
    <w:rsid w:val="2E349063"/>
    <w:rsid w:val="2E35656B"/>
    <w:rsid w:val="2E3EAE64"/>
    <w:rsid w:val="2E3F2214"/>
    <w:rsid w:val="2E3F7ED7"/>
    <w:rsid w:val="2E44FF0D"/>
    <w:rsid w:val="2E4A9EAA"/>
    <w:rsid w:val="2E4CFBD9"/>
    <w:rsid w:val="2E4E0F3F"/>
    <w:rsid w:val="2E4FEFFA"/>
    <w:rsid w:val="2E59588A"/>
    <w:rsid w:val="2E59CFC1"/>
    <w:rsid w:val="2E5F81B8"/>
    <w:rsid w:val="2E61A6EA"/>
    <w:rsid w:val="2E629E1C"/>
    <w:rsid w:val="2E641CE4"/>
    <w:rsid w:val="2E684310"/>
    <w:rsid w:val="2E6F40C3"/>
    <w:rsid w:val="2E6F55BC"/>
    <w:rsid w:val="2E702303"/>
    <w:rsid w:val="2E79605B"/>
    <w:rsid w:val="2E7B161D"/>
    <w:rsid w:val="2E8932DF"/>
    <w:rsid w:val="2E9281A2"/>
    <w:rsid w:val="2E9392C6"/>
    <w:rsid w:val="2E95807B"/>
    <w:rsid w:val="2E9B5D9E"/>
    <w:rsid w:val="2E9B6DDA"/>
    <w:rsid w:val="2E9C4650"/>
    <w:rsid w:val="2E9E98FF"/>
    <w:rsid w:val="2EA0B4EF"/>
    <w:rsid w:val="2EAB862D"/>
    <w:rsid w:val="2EADAF4E"/>
    <w:rsid w:val="2EB0346C"/>
    <w:rsid w:val="2EB0C9EC"/>
    <w:rsid w:val="2EB0EB35"/>
    <w:rsid w:val="2EB1CDFC"/>
    <w:rsid w:val="2EB5901C"/>
    <w:rsid w:val="2EBA2F58"/>
    <w:rsid w:val="2EBD83A4"/>
    <w:rsid w:val="2EBDEA23"/>
    <w:rsid w:val="2EC2A202"/>
    <w:rsid w:val="2EC30635"/>
    <w:rsid w:val="2EC36566"/>
    <w:rsid w:val="2EC37C2A"/>
    <w:rsid w:val="2ECF88EE"/>
    <w:rsid w:val="2ECFC7A1"/>
    <w:rsid w:val="2ED3E91A"/>
    <w:rsid w:val="2ED43450"/>
    <w:rsid w:val="2ED4CB06"/>
    <w:rsid w:val="2ED51755"/>
    <w:rsid w:val="2ED9A133"/>
    <w:rsid w:val="2EE27179"/>
    <w:rsid w:val="2EE48617"/>
    <w:rsid w:val="2EF7C7F2"/>
    <w:rsid w:val="2EFB29CE"/>
    <w:rsid w:val="2EFB781D"/>
    <w:rsid w:val="2EFD4FC3"/>
    <w:rsid w:val="2EFFB6A2"/>
    <w:rsid w:val="2F007B54"/>
    <w:rsid w:val="2F03005D"/>
    <w:rsid w:val="2F05D5DB"/>
    <w:rsid w:val="2F07B2E4"/>
    <w:rsid w:val="2F0BC565"/>
    <w:rsid w:val="2F0E7C61"/>
    <w:rsid w:val="2F0EDE06"/>
    <w:rsid w:val="2F0FAEFB"/>
    <w:rsid w:val="2F116D78"/>
    <w:rsid w:val="2F18E1D2"/>
    <w:rsid w:val="2F1942CE"/>
    <w:rsid w:val="2F1B328E"/>
    <w:rsid w:val="2F1DF770"/>
    <w:rsid w:val="2F1EED17"/>
    <w:rsid w:val="2F212EEB"/>
    <w:rsid w:val="2F27798B"/>
    <w:rsid w:val="2F2B3166"/>
    <w:rsid w:val="2F2E8982"/>
    <w:rsid w:val="2F38287F"/>
    <w:rsid w:val="2F38A62D"/>
    <w:rsid w:val="2F3A74A5"/>
    <w:rsid w:val="2F3B71CA"/>
    <w:rsid w:val="2F49268D"/>
    <w:rsid w:val="2F4935FD"/>
    <w:rsid w:val="2F4C663E"/>
    <w:rsid w:val="2F4E7ACF"/>
    <w:rsid w:val="2F535AB6"/>
    <w:rsid w:val="2F54286C"/>
    <w:rsid w:val="2F560A06"/>
    <w:rsid w:val="2F56D65F"/>
    <w:rsid w:val="2F56DD27"/>
    <w:rsid w:val="2F5940DF"/>
    <w:rsid w:val="2F599FDC"/>
    <w:rsid w:val="2F5B6FF5"/>
    <w:rsid w:val="2F5EF826"/>
    <w:rsid w:val="2F5FBAE4"/>
    <w:rsid w:val="2F604DF3"/>
    <w:rsid w:val="2F613BBB"/>
    <w:rsid w:val="2F628967"/>
    <w:rsid w:val="2F628E31"/>
    <w:rsid w:val="2F65C00D"/>
    <w:rsid w:val="2F6777F3"/>
    <w:rsid w:val="2F77145E"/>
    <w:rsid w:val="2F7908AB"/>
    <w:rsid w:val="2F829D73"/>
    <w:rsid w:val="2F835781"/>
    <w:rsid w:val="2F852516"/>
    <w:rsid w:val="2F8D161C"/>
    <w:rsid w:val="2F91F561"/>
    <w:rsid w:val="2F957068"/>
    <w:rsid w:val="2F97409F"/>
    <w:rsid w:val="2F995C08"/>
    <w:rsid w:val="2F9A30CE"/>
    <w:rsid w:val="2F9EAA35"/>
    <w:rsid w:val="2F9F4152"/>
    <w:rsid w:val="2F9FE840"/>
    <w:rsid w:val="2FA69C49"/>
    <w:rsid w:val="2FAF2BB5"/>
    <w:rsid w:val="2FB1E9B2"/>
    <w:rsid w:val="2FB4E7C5"/>
    <w:rsid w:val="2FB747FE"/>
    <w:rsid w:val="2FBDB95B"/>
    <w:rsid w:val="2FBF36FC"/>
    <w:rsid w:val="2FC46F6D"/>
    <w:rsid w:val="2FC701FE"/>
    <w:rsid w:val="2FC95E46"/>
    <w:rsid w:val="2FD0751A"/>
    <w:rsid w:val="2FD6717F"/>
    <w:rsid w:val="2FDA1484"/>
    <w:rsid w:val="2FDC7611"/>
    <w:rsid w:val="2FDCF69F"/>
    <w:rsid w:val="2FDFD499"/>
    <w:rsid w:val="2FDFD94A"/>
    <w:rsid w:val="2FE51E85"/>
    <w:rsid w:val="2FE8780F"/>
    <w:rsid w:val="2FEF5173"/>
    <w:rsid w:val="2FF0F926"/>
    <w:rsid w:val="2FFA0861"/>
    <w:rsid w:val="2FFAD83A"/>
    <w:rsid w:val="2FFD3BF9"/>
    <w:rsid w:val="2FFDEAB3"/>
    <w:rsid w:val="30027154"/>
    <w:rsid w:val="300335EF"/>
    <w:rsid w:val="30042B54"/>
    <w:rsid w:val="30043D58"/>
    <w:rsid w:val="3008715F"/>
    <w:rsid w:val="300E5581"/>
    <w:rsid w:val="3010BF0B"/>
    <w:rsid w:val="301A2B5E"/>
    <w:rsid w:val="301BFCF4"/>
    <w:rsid w:val="301E6FB8"/>
    <w:rsid w:val="30255605"/>
    <w:rsid w:val="302ACAA0"/>
    <w:rsid w:val="302B441B"/>
    <w:rsid w:val="302EDFCB"/>
    <w:rsid w:val="3035A100"/>
    <w:rsid w:val="303AD616"/>
    <w:rsid w:val="30420D7B"/>
    <w:rsid w:val="30450A28"/>
    <w:rsid w:val="3047F659"/>
    <w:rsid w:val="304879FD"/>
    <w:rsid w:val="30488386"/>
    <w:rsid w:val="30500D6D"/>
    <w:rsid w:val="3055086E"/>
    <w:rsid w:val="305B9F18"/>
    <w:rsid w:val="305E7480"/>
    <w:rsid w:val="30632737"/>
    <w:rsid w:val="306BC17D"/>
    <w:rsid w:val="306CBF9D"/>
    <w:rsid w:val="307A8193"/>
    <w:rsid w:val="30827C8F"/>
    <w:rsid w:val="308314AA"/>
    <w:rsid w:val="3083BAFC"/>
    <w:rsid w:val="308C16AA"/>
    <w:rsid w:val="30934AE8"/>
    <w:rsid w:val="30939784"/>
    <w:rsid w:val="30A75C06"/>
    <w:rsid w:val="30ACC897"/>
    <w:rsid w:val="30ACD8FF"/>
    <w:rsid w:val="30B442A4"/>
    <w:rsid w:val="30BF4ADA"/>
    <w:rsid w:val="30C19205"/>
    <w:rsid w:val="30C44F70"/>
    <w:rsid w:val="30C6EFA1"/>
    <w:rsid w:val="30C98824"/>
    <w:rsid w:val="30D34109"/>
    <w:rsid w:val="30D4DB95"/>
    <w:rsid w:val="30D594EA"/>
    <w:rsid w:val="30D6C825"/>
    <w:rsid w:val="30D86B62"/>
    <w:rsid w:val="30DACB13"/>
    <w:rsid w:val="30EE601F"/>
    <w:rsid w:val="3102FE99"/>
    <w:rsid w:val="31069109"/>
    <w:rsid w:val="31070118"/>
    <w:rsid w:val="31084257"/>
    <w:rsid w:val="3109DF55"/>
    <w:rsid w:val="310ABB31"/>
    <w:rsid w:val="310B5EC6"/>
    <w:rsid w:val="311E811F"/>
    <w:rsid w:val="311F0F2C"/>
    <w:rsid w:val="3128A05A"/>
    <w:rsid w:val="31374C6B"/>
    <w:rsid w:val="313B14FA"/>
    <w:rsid w:val="3144C132"/>
    <w:rsid w:val="31474832"/>
    <w:rsid w:val="31489FB5"/>
    <w:rsid w:val="314A8D32"/>
    <w:rsid w:val="314AA7B9"/>
    <w:rsid w:val="314B373F"/>
    <w:rsid w:val="315034BE"/>
    <w:rsid w:val="3150B4BE"/>
    <w:rsid w:val="3152C896"/>
    <w:rsid w:val="315E70A7"/>
    <w:rsid w:val="316127DE"/>
    <w:rsid w:val="316A69DF"/>
    <w:rsid w:val="316BCFB4"/>
    <w:rsid w:val="316DC586"/>
    <w:rsid w:val="3171AE0B"/>
    <w:rsid w:val="3176742E"/>
    <w:rsid w:val="3180976F"/>
    <w:rsid w:val="318DD508"/>
    <w:rsid w:val="31925836"/>
    <w:rsid w:val="31A00311"/>
    <w:rsid w:val="31A2A49D"/>
    <w:rsid w:val="31A5CD01"/>
    <w:rsid w:val="31A6B1E4"/>
    <w:rsid w:val="31A864C9"/>
    <w:rsid w:val="31A95E39"/>
    <w:rsid w:val="31AB2694"/>
    <w:rsid w:val="31AF75B5"/>
    <w:rsid w:val="31AFA78F"/>
    <w:rsid w:val="31B3861B"/>
    <w:rsid w:val="31BBE4C7"/>
    <w:rsid w:val="31BEC531"/>
    <w:rsid w:val="31C79BA5"/>
    <w:rsid w:val="31C8868C"/>
    <w:rsid w:val="31D9FFCC"/>
    <w:rsid w:val="31DCB738"/>
    <w:rsid w:val="31E349AE"/>
    <w:rsid w:val="31E6B14C"/>
    <w:rsid w:val="31E6E7E9"/>
    <w:rsid w:val="31E8FA74"/>
    <w:rsid w:val="31EE53F3"/>
    <w:rsid w:val="31F2304C"/>
    <w:rsid w:val="31FA012F"/>
    <w:rsid w:val="31FBA5C5"/>
    <w:rsid w:val="31FFE6EA"/>
    <w:rsid w:val="32002DA9"/>
    <w:rsid w:val="3200A761"/>
    <w:rsid w:val="3207482C"/>
    <w:rsid w:val="32174730"/>
    <w:rsid w:val="322C0651"/>
    <w:rsid w:val="322E38B5"/>
    <w:rsid w:val="3232CF01"/>
    <w:rsid w:val="323694F2"/>
    <w:rsid w:val="32383DA8"/>
    <w:rsid w:val="323D1087"/>
    <w:rsid w:val="323D58EF"/>
    <w:rsid w:val="32430BBC"/>
    <w:rsid w:val="324D5B9A"/>
    <w:rsid w:val="324EA9F3"/>
    <w:rsid w:val="324F6BBF"/>
    <w:rsid w:val="32528DC5"/>
    <w:rsid w:val="3253A291"/>
    <w:rsid w:val="32555BCA"/>
    <w:rsid w:val="3255A644"/>
    <w:rsid w:val="325613C7"/>
    <w:rsid w:val="325A4365"/>
    <w:rsid w:val="325D8844"/>
    <w:rsid w:val="3263E04D"/>
    <w:rsid w:val="3263E8D4"/>
    <w:rsid w:val="326AED50"/>
    <w:rsid w:val="326B5910"/>
    <w:rsid w:val="326D22FE"/>
    <w:rsid w:val="326DBC85"/>
    <w:rsid w:val="327DDEE8"/>
    <w:rsid w:val="327FB62B"/>
    <w:rsid w:val="328BDFF9"/>
    <w:rsid w:val="328EAD41"/>
    <w:rsid w:val="328F7A0B"/>
    <w:rsid w:val="329888D0"/>
    <w:rsid w:val="329A533D"/>
    <w:rsid w:val="329A660A"/>
    <w:rsid w:val="329C2895"/>
    <w:rsid w:val="32A1B03E"/>
    <w:rsid w:val="32A6AF1A"/>
    <w:rsid w:val="32A78989"/>
    <w:rsid w:val="32ADEDF1"/>
    <w:rsid w:val="32B30510"/>
    <w:rsid w:val="32B6FDD5"/>
    <w:rsid w:val="32C840D8"/>
    <w:rsid w:val="32CFED69"/>
    <w:rsid w:val="32D07DAD"/>
    <w:rsid w:val="32D2DFAD"/>
    <w:rsid w:val="32D92A38"/>
    <w:rsid w:val="32E4BAA4"/>
    <w:rsid w:val="32F37C9C"/>
    <w:rsid w:val="32F61B8B"/>
    <w:rsid w:val="3300B7A5"/>
    <w:rsid w:val="330763CF"/>
    <w:rsid w:val="330E1B3F"/>
    <w:rsid w:val="3313758E"/>
    <w:rsid w:val="331973B6"/>
    <w:rsid w:val="331A7AC9"/>
    <w:rsid w:val="331ACF05"/>
    <w:rsid w:val="331D72BC"/>
    <w:rsid w:val="331FAD78"/>
    <w:rsid w:val="332649DC"/>
    <w:rsid w:val="3329FB6C"/>
    <w:rsid w:val="332DAB7A"/>
    <w:rsid w:val="3331A15A"/>
    <w:rsid w:val="3333CA45"/>
    <w:rsid w:val="3339D506"/>
    <w:rsid w:val="333F22B7"/>
    <w:rsid w:val="3349E6FB"/>
    <w:rsid w:val="334C5151"/>
    <w:rsid w:val="3351BDE5"/>
    <w:rsid w:val="335621B8"/>
    <w:rsid w:val="3357146F"/>
    <w:rsid w:val="3358DB1C"/>
    <w:rsid w:val="335BED85"/>
    <w:rsid w:val="335E173F"/>
    <w:rsid w:val="33608AA2"/>
    <w:rsid w:val="336675FF"/>
    <w:rsid w:val="336BB201"/>
    <w:rsid w:val="3380A844"/>
    <w:rsid w:val="338348B8"/>
    <w:rsid w:val="3385ED7A"/>
    <w:rsid w:val="33878C29"/>
    <w:rsid w:val="338ACFB3"/>
    <w:rsid w:val="338B800E"/>
    <w:rsid w:val="338C0786"/>
    <w:rsid w:val="338E4092"/>
    <w:rsid w:val="3393F8D6"/>
    <w:rsid w:val="33A653B5"/>
    <w:rsid w:val="33ACDE51"/>
    <w:rsid w:val="33B12361"/>
    <w:rsid w:val="33B18C41"/>
    <w:rsid w:val="33B1AEE0"/>
    <w:rsid w:val="33BB316C"/>
    <w:rsid w:val="33C196E2"/>
    <w:rsid w:val="33C4B218"/>
    <w:rsid w:val="33C6211E"/>
    <w:rsid w:val="33CB700B"/>
    <w:rsid w:val="33CDD7F2"/>
    <w:rsid w:val="33D24BE5"/>
    <w:rsid w:val="33D448BD"/>
    <w:rsid w:val="33D74149"/>
    <w:rsid w:val="33D9A5E9"/>
    <w:rsid w:val="33DC2CDA"/>
    <w:rsid w:val="33E12D18"/>
    <w:rsid w:val="33E1C6F7"/>
    <w:rsid w:val="33E4AD76"/>
    <w:rsid w:val="33E668E6"/>
    <w:rsid w:val="33E77C61"/>
    <w:rsid w:val="33F9F169"/>
    <w:rsid w:val="340755B2"/>
    <w:rsid w:val="340C386A"/>
    <w:rsid w:val="340D817C"/>
    <w:rsid w:val="340D8B72"/>
    <w:rsid w:val="3412E102"/>
    <w:rsid w:val="341B47BD"/>
    <w:rsid w:val="341EB19D"/>
    <w:rsid w:val="34205B9F"/>
    <w:rsid w:val="342991AE"/>
    <w:rsid w:val="342CAD1B"/>
    <w:rsid w:val="342EFD29"/>
    <w:rsid w:val="3434B132"/>
    <w:rsid w:val="34371C3D"/>
    <w:rsid w:val="344B0C04"/>
    <w:rsid w:val="3452E5AF"/>
    <w:rsid w:val="345663C1"/>
    <w:rsid w:val="34659C1E"/>
    <w:rsid w:val="346952CB"/>
    <w:rsid w:val="346EAE62"/>
    <w:rsid w:val="34773267"/>
    <w:rsid w:val="347B284C"/>
    <w:rsid w:val="347B6569"/>
    <w:rsid w:val="347B9430"/>
    <w:rsid w:val="3483C6E8"/>
    <w:rsid w:val="3484CB9B"/>
    <w:rsid w:val="3484D287"/>
    <w:rsid w:val="348F1585"/>
    <w:rsid w:val="3495444B"/>
    <w:rsid w:val="34971E2C"/>
    <w:rsid w:val="349902C3"/>
    <w:rsid w:val="349A7220"/>
    <w:rsid w:val="34A3C54A"/>
    <w:rsid w:val="34A4775C"/>
    <w:rsid w:val="34A6E3F3"/>
    <w:rsid w:val="34A84888"/>
    <w:rsid w:val="34A986B3"/>
    <w:rsid w:val="34AA6A6A"/>
    <w:rsid w:val="34ACEFE6"/>
    <w:rsid w:val="34ADC4C3"/>
    <w:rsid w:val="34B2310E"/>
    <w:rsid w:val="34B5B517"/>
    <w:rsid w:val="34B962A6"/>
    <w:rsid w:val="34C0C8D9"/>
    <w:rsid w:val="34C382E2"/>
    <w:rsid w:val="34C3BB8B"/>
    <w:rsid w:val="34C44F76"/>
    <w:rsid w:val="34C7217F"/>
    <w:rsid w:val="34C84E22"/>
    <w:rsid w:val="34C87252"/>
    <w:rsid w:val="34CC4F83"/>
    <w:rsid w:val="34D3C4BE"/>
    <w:rsid w:val="34D640D7"/>
    <w:rsid w:val="34DE26F4"/>
    <w:rsid w:val="34E7EDCE"/>
    <w:rsid w:val="34EBDF02"/>
    <w:rsid w:val="34FBF53A"/>
    <w:rsid w:val="34FD9711"/>
    <w:rsid w:val="3505E20E"/>
    <w:rsid w:val="3508FD86"/>
    <w:rsid w:val="350DE7A4"/>
    <w:rsid w:val="350E4358"/>
    <w:rsid w:val="350E77FD"/>
    <w:rsid w:val="35106EEC"/>
    <w:rsid w:val="3511580B"/>
    <w:rsid w:val="351444E2"/>
    <w:rsid w:val="351C5479"/>
    <w:rsid w:val="352BB2EA"/>
    <w:rsid w:val="352F40BB"/>
    <w:rsid w:val="3532149D"/>
    <w:rsid w:val="35335F1A"/>
    <w:rsid w:val="3535A375"/>
    <w:rsid w:val="35361F2B"/>
    <w:rsid w:val="35376624"/>
    <w:rsid w:val="353D5957"/>
    <w:rsid w:val="353D8966"/>
    <w:rsid w:val="353F4040"/>
    <w:rsid w:val="354306C2"/>
    <w:rsid w:val="35437F5F"/>
    <w:rsid w:val="3545424E"/>
    <w:rsid w:val="35464A1D"/>
    <w:rsid w:val="3550948B"/>
    <w:rsid w:val="3554CB43"/>
    <w:rsid w:val="355EF8FC"/>
    <w:rsid w:val="3563C0D0"/>
    <w:rsid w:val="35661CAA"/>
    <w:rsid w:val="35676654"/>
    <w:rsid w:val="35678909"/>
    <w:rsid w:val="356F5364"/>
    <w:rsid w:val="356FE725"/>
    <w:rsid w:val="35715578"/>
    <w:rsid w:val="35734793"/>
    <w:rsid w:val="35750AE9"/>
    <w:rsid w:val="3575D854"/>
    <w:rsid w:val="357C4845"/>
    <w:rsid w:val="357DF8ED"/>
    <w:rsid w:val="3581437D"/>
    <w:rsid w:val="3582F6C2"/>
    <w:rsid w:val="358F24DC"/>
    <w:rsid w:val="35A1208F"/>
    <w:rsid w:val="35A2346A"/>
    <w:rsid w:val="35AD2AB2"/>
    <w:rsid w:val="35B05F90"/>
    <w:rsid w:val="35B31814"/>
    <w:rsid w:val="35BCA042"/>
    <w:rsid w:val="35C578AD"/>
    <w:rsid w:val="35CFB9C2"/>
    <w:rsid w:val="35D00BB3"/>
    <w:rsid w:val="35E494B9"/>
    <w:rsid w:val="35E4C4DD"/>
    <w:rsid w:val="35E82CAB"/>
    <w:rsid w:val="35F2D51A"/>
    <w:rsid w:val="35F6F0D2"/>
    <w:rsid w:val="35FBFF73"/>
    <w:rsid w:val="35FC6EA7"/>
    <w:rsid w:val="36051A5C"/>
    <w:rsid w:val="360B669B"/>
    <w:rsid w:val="360C601D"/>
    <w:rsid w:val="360D32CC"/>
    <w:rsid w:val="36109EE8"/>
    <w:rsid w:val="3611BD0D"/>
    <w:rsid w:val="3614AEBD"/>
    <w:rsid w:val="361D05A0"/>
    <w:rsid w:val="362211B0"/>
    <w:rsid w:val="362252A7"/>
    <w:rsid w:val="36231552"/>
    <w:rsid w:val="3623B713"/>
    <w:rsid w:val="36246000"/>
    <w:rsid w:val="36269EF1"/>
    <w:rsid w:val="36287A38"/>
    <w:rsid w:val="362B1DF4"/>
    <w:rsid w:val="362B8DF5"/>
    <w:rsid w:val="362E3B0E"/>
    <w:rsid w:val="362E9713"/>
    <w:rsid w:val="3634FDF2"/>
    <w:rsid w:val="36358913"/>
    <w:rsid w:val="36358D2A"/>
    <w:rsid w:val="36365227"/>
    <w:rsid w:val="36368FF8"/>
    <w:rsid w:val="363FBF08"/>
    <w:rsid w:val="36410675"/>
    <w:rsid w:val="36440AFE"/>
    <w:rsid w:val="3648A123"/>
    <w:rsid w:val="3649152E"/>
    <w:rsid w:val="365AABA7"/>
    <w:rsid w:val="365DF508"/>
    <w:rsid w:val="36608E4C"/>
    <w:rsid w:val="36681BEF"/>
    <w:rsid w:val="366AC3A5"/>
    <w:rsid w:val="366D5CF4"/>
    <w:rsid w:val="366F5AD1"/>
    <w:rsid w:val="36711136"/>
    <w:rsid w:val="3671533B"/>
    <w:rsid w:val="3684FE5C"/>
    <w:rsid w:val="36862079"/>
    <w:rsid w:val="3689A5BB"/>
    <w:rsid w:val="368E7A8C"/>
    <w:rsid w:val="36950C52"/>
    <w:rsid w:val="36999BBD"/>
    <w:rsid w:val="36A1C9B9"/>
    <w:rsid w:val="36A5E242"/>
    <w:rsid w:val="36A90A9A"/>
    <w:rsid w:val="36B112F0"/>
    <w:rsid w:val="36B1C799"/>
    <w:rsid w:val="36B278C6"/>
    <w:rsid w:val="36B63D90"/>
    <w:rsid w:val="36B67256"/>
    <w:rsid w:val="36B9774C"/>
    <w:rsid w:val="36C91047"/>
    <w:rsid w:val="36CC9F82"/>
    <w:rsid w:val="36D1106A"/>
    <w:rsid w:val="36D2A99F"/>
    <w:rsid w:val="36D50940"/>
    <w:rsid w:val="36D6F105"/>
    <w:rsid w:val="36DC46EF"/>
    <w:rsid w:val="36E1104C"/>
    <w:rsid w:val="36E86F2D"/>
    <w:rsid w:val="36EDD7D7"/>
    <w:rsid w:val="36EDFBAE"/>
    <w:rsid w:val="36EE4863"/>
    <w:rsid w:val="36EE7A2E"/>
    <w:rsid w:val="36EED1C4"/>
    <w:rsid w:val="36EF942C"/>
    <w:rsid w:val="36F108D3"/>
    <w:rsid w:val="36F99724"/>
    <w:rsid w:val="37020D20"/>
    <w:rsid w:val="37021BE5"/>
    <w:rsid w:val="37024EFE"/>
    <w:rsid w:val="37040A3E"/>
    <w:rsid w:val="370474EC"/>
    <w:rsid w:val="3708A789"/>
    <w:rsid w:val="370D8AB6"/>
    <w:rsid w:val="37121C2C"/>
    <w:rsid w:val="3717529A"/>
    <w:rsid w:val="3717E847"/>
    <w:rsid w:val="371FA576"/>
    <w:rsid w:val="372423ED"/>
    <w:rsid w:val="3727A40E"/>
    <w:rsid w:val="372C0AC6"/>
    <w:rsid w:val="372DC2F0"/>
    <w:rsid w:val="37302B4C"/>
    <w:rsid w:val="3730FC46"/>
    <w:rsid w:val="373B5E94"/>
    <w:rsid w:val="373C879B"/>
    <w:rsid w:val="373F2E75"/>
    <w:rsid w:val="3741AD39"/>
    <w:rsid w:val="37478145"/>
    <w:rsid w:val="374D34E2"/>
    <w:rsid w:val="374FE20F"/>
    <w:rsid w:val="3756564E"/>
    <w:rsid w:val="3756843C"/>
    <w:rsid w:val="37568A96"/>
    <w:rsid w:val="37572B21"/>
    <w:rsid w:val="375BE540"/>
    <w:rsid w:val="37626BCA"/>
    <w:rsid w:val="37628F9F"/>
    <w:rsid w:val="3767209A"/>
    <w:rsid w:val="37687A13"/>
    <w:rsid w:val="376E2A0D"/>
    <w:rsid w:val="376E710C"/>
    <w:rsid w:val="3772A4E4"/>
    <w:rsid w:val="3773A46C"/>
    <w:rsid w:val="377D1567"/>
    <w:rsid w:val="3781B2C8"/>
    <w:rsid w:val="3784E2E9"/>
    <w:rsid w:val="378753E6"/>
    <w:rsid w:val="37879B9A"/>
    <w:rsid w:val="378ECE91"/>
    <w:rsid w:val="37A41961"/>
    <w:rsid w:val="37AA84CE"/>
    <w:rsid w:val="37ABF3CA"/>
    <w:rsid w:val="37B2B41D"/>
    <w:rsid w:val="37B8ED03"/>
    <w:rsid w:val="37C43809"/>
    <w:rsid w:val="37CB3344"/>
    <w:rsid w:val="37CFE716"/>
    <w:rsid w:val="37D117C3"/>
    <w:rsid w:val="37D402EF"/>
    <w:rsid w:val="37D6C806"/>
    <w:rsid w:val="37D80290"/>
    <w:rsid w:val="37DBB403"/>
    <w:rsid w:val="37E185A1"/>
    <w:rsid w:val="37EC10DD"/>
    <w:rsid w:val="37EE09F4"/>
    <w:rsid w:val="37F2E971"/>
    <w:rsid w:val="37F4A0A4"/>
    <w:rsid w:val="3804D295"/>
    <w:rsid w:val="3808FF4A"/>
    <w:rsid w:val="380A3908"/>
    <w:rsid w:val="380A55E9"/>
    <w:rsid w:val="380AEFC3"/>
    <w:rsid w:val="3816C198"/>
    <w:rsid w:val="381C7E3A"/>
    <w:rsid w:val="381F649C"/>
    <w:rsid w:val="38238494"/>
    <w:rsid w:val="3824D67D"/>
    <w:rsid w:val="3828F8F9"/>
    <w:rsid w:val="383B1D36"/>
    <w:rsid w:val="383BEFCE"/>
    <w:rsid w:val="384C5DE5"/>
    <w:rsid w:val="385043D4"/>
    <w:rsid w:val="3850517A"/>
    <w:rsid w:val="385B0DA4"/>
    <w:rsid w:val="385CCE92"/>
    <w:rsid w:val="385E7A9E"/>
    <w:rsid w:val="3860B01B"/>
    <w:rsid w:val="38681DF6"/>
    <w:rsid w:val="386C5ABB"/>
    <w:rsid w:val="386CB003"/>
    <w:rsid w:val="386ED46A"/>
    <w:rsid w:val="3871E1F6"/>
    <w:rsid w:val="387233A6"/>
    <w:rsid w:val="38745B13"/>
    <w:rsid w:val="38824B0C"/>
    <w:rsid w:val="3882C81E"/>
    <w:rsid w:val="388F49E3"/>
    <w:rsid w:val="3893AD1C"/>
    <w:rsid w:val="38955E0B"/>
    <w:rsid w:val="3896A57F"/>
    <w:rsid w:val="3899DFDB"/>
    <w:rsid w:val="38A2B12F"/>
    <w:rsid w:val="38A54516"/>
    <w:rsid w:val="38A680ED"/>
    <w:rsid w:val="38A7D3FD"/>
    <w:rsid w:val="38B8B2F6"/>
    <w:rsid w:val="38BB6154"/>
    <w:rsid w:val="38BD116A"/>
    <w:rsid w:val="38BE8A97"/>
    <w:rsid w:val="38BF0C39"/>
    <w:rsid w:val="38C00E5B"/>
    <w:rsid w:val="38C442B6"/>
    <w:rsid w:val="38C6CB99"/>
    <w:rsid w:val="38CA2489"/>
    <w:rsid w:val="38CE1F88"/>
    <w:rsid w:val="38D85261"/>
    <w:rsid w:val="38DD11FC"/>
    <w:rsid w:val="38E202DA"/>
    <w:rsid w:val="38E3DB1F"/>
    <w:rsid w:val="38E43E53"/>
    <w:rsid w:val="38E5EB1B"/>
    <w:rsid w:val="38EE073F"/>
    <w:rsid w:val="38FE1EF0"/>
    <w:rsid w:val="38FFC614"/>
    <w:rsid w:val="39008C84"/>
    <w:rsid w:val="39011F98"/>
    <w:rsid w:val="39051BE5"/>
    <w:rsid w:val="390A066C"/>
    <w:rsid w:val="390CD0EA"/>
    <w:rsid w:val="390FAF20"/>
    <w:rsid w:val="3913522C"/>
    <w:rsid w:val="39163EE5"/>
    <w:rsid w:val="391958F1"/>
    <w:rsid w:val="39229706"/>
    <w:rsid w:val="39259B81"/>
    <w:rsid w:val="39354578"/>
    <w:rsid w:val="3939E1D8"/>
    <w:rsid w:val="393CA183"/>
    <w:rsid w:val="393E202E"/>
    <w:rsid w:val="394316C5"/>
    <w:rsid w:val="39437F3E"/>
    <w:rsid w:val="394C5755"/>
    <w:rsid w:val="39566968"/>
    <w:rsid w:val="395B9A2E"/>
    <w:rsid w:val="395E7EE1"/>
    <w:rsid w:val="396932B4"/>
    <w:rsid w:val="396A3631"/>
    <w:rsid w:val="396F3EDD"/>
    <w:rsid w:val="3978F1B8"/>
    <w:rsid w:val="397A0070"/>
    <w:rsid w:val="397D8F5D"/>
    <w:rsid w:val="397F101C"/>
    <w:rsid w:val="39809D98"/>
    <w:rsid w:val="3980E0EC"/>
    <w:rsid w:val="398B699F"/>
    <w:rsid w:val="3993677C"/>
    <w:rsid w:val="399A2841"/>
    <w:rsid w:val="39A3F0F5"/>
    <w:rsid w:val="39A40A20"/>
    <w:rsid w:val="39A5D609"/>
    <w:rsid w:val="39AA7BF0"/>
    <w:rsid w:val="39B2EEE2"/>
    <w:rsid w:val="39B32AA9"/>
    <w:rsid w:val="39B79E6A"/>
    <w:rsid w:val="39BF9F91"/>
    <w:rsid w:val="39C6E3BA"/>
    <w:rsid w:val="39CA77ED"/>
    <w:rsid w:val="39CAA43C"/>
    <w:rsid w:val="39CE111D"/>
    <w:rsid w:val="39D4954D"/>
    <w:rsid w:val="39D970B7"/>
    <w:rsid w:val="39D9A6B1"/>
    <w:rsid w:val="39DD995C"/>
    <w:rsid w:val="39DDB3BA"/>
    <w:rsid w:val="39E0BCE3"/>
    <w:rsid w:val="39E47387"/>
    <w:rsid w:val="39E6095C"/>
    <w:rsid w:val="39E872F7"/>
    <w:rsid w:val="39ECA927"/>
    <w:rsid w:val="39ED1BEC"/>
    <w:rsid w:val="39F54DE8"/>
    <w:rsid w:val="39FC1275"/>
    <w:rsid w:val="39FF9AB1"/>
    <w:rsid w:val="39FFA52F"/>
    <w:rsid w:val="3A01520A"/>
    <w:rsid w:val="3A027630"/>
    <w:rsid w:val="3A034BEF"/>
    <w:rsid w:val="3A11B009"/>
    <w:rsid w:val="3A14AD7F"/>
    <w:rsid w:val="3A162434"/>
    <w:rsid w:val="3A16863C"/>
    <w:rsid w:val="3A19522E"/>
    <w:rsid w:val="3A1F47FE"/>
    <w:rsid w:val="3A1F5D31"/>
    <w:rsid w:val="3A25D666"/>
    <w:rsid w:val="3A29EBEF"/>
    <w:rsid w:val="3A361DEA"/>
    <w:rsid w:val="3A36DDA4"/>
    <w:rsid w:val="3A3DFAB7"/>
    <w:rsid w:val="3A3EC333"/>
    <w:rsid w:val="3A44CACB"/>
    <w:rsid w:val="3A45B43F"/>
    <w:rsid w:val="3A4FA313"/>
    <w:rsid w:val="3A5A790B"/>
    <w:rsid w:val="3A5EB6CD"/>
    <w:rsid w:val="3A663053"/>
    <w:rsid w:val="3A693BFA"/>
    <w:rsid w:val="3A6BD09B"/>
    <w:rsid w:val="3A6C764A"/>
    <w:rsid w:val="3A761242"/>
    <w:rsid w:val="3A7A796B"/>
    <w:rsid w:val="3A7F4F86"/>
    <w:rsid w:val="3A82B612"/>
    <w:rsid w:val="3A83798F"/>
    <w:rsid w:val="3A841AE2"/>
    <w:rsid w:val="3A981FFA"/>
    <w:rsid w:val="3A987FAF"/>
    <w:rsid w:val="3A98DA8F"/>
    <w:rsid w:val="3A9A2B04"/>
    <w:rsid w:val="3A9C0379"/>
    <w:rsid w:val="3A9DA5DD"/>
    <w:rsid w:val="3A9FFD18"/>
    <w:rsid w:val="3AA0733E"/>
    <w:rsid w:val="3AA1E0CD"/>
    <w:rsid w:val="3AA2D2B6"/>
    <w:rsid w:val="3AAC0935"/>
    <w:rsid w:val="3AB1144B"/>
    <w:rsid w:val="3AB1A0B3"/>
    <w:rsid w:val="3AB6C098"/>
    <w:rsid w:val="3ABEEEB6"/>
    <w:rsid w:val="3AC6C33B"/>
    <w:rsid w:val="3AC74C38"/>
    <w:rsid w:val="3ACB6E59"/>
    <w:rsid w:val="3ACFC6E9"/>
    <w:rsid w:val="3AD7820F"/>
    <w:rsid w:val="3ADF9959"/>
    <w:rsid w:val="3AE6C6BD"/>
    <w:rsid w:val="3AEA82FA"/>
    <w:rsid w:val="3AEE5415"/>
    <w:rsid w:val="3AF0A994"/>
    <w:rsid w:val="3AF4288C"/>
    <w:rsid w:val="3AF67E5B"/>
    <w:rsid w:val="3AF80485"/>
    <w:rsid w:val="3AFB92E4"/>
    <w:rsid w:val="3AFE939C"/>
    <w:rsid w:val="3AFF1947"/>
    <w:rsid w:val="3B018CD5"/>
    <w:rsid w:val="3B087215"/>
    <w:rsid w:val="3B13823F"/>
    <w:rsid w:val="3B175030"/>
    <w:rsid w:val="3B19C204"/>
    <w:rsid w:val="3B1AAA94"/>
    <w:rsid w:val="3B1CE14A"/>
    <w:rsid w:val="3B27CC6F"/>
    <w:rsid w:val="3B29F4E1"/>
    <w:rsid w:val="3B32AABE"/>
    <w:rsid w:val="3B336F49"/>
    <w:rsid w:val="3B532886"/>
    <w:rsid w:val="3B58FCB5"/>
    <w:rsid w:val="3B5FA510"/>
    <w:rsid w:val="3B627409"/>
    <w:rsid w:val="3B70209E"/>
    <w:rsid w:val="3B74206B"/>
    <w:rsid w:val="3B76E7DC"/>
    <w:rsid w:val="3B7A8146"/>
    <w:rsid w:val="3B7CB8E8"/>
    <w:rsid w:val="3B7D6DE6"/>
    <w:rsid w:val="3B82C3B8"/>
    <w:rsid w:val="3B86D92A"/>
    <w:rsid w:val="3B8DB769"/>
    <w:rsid w:val="3B909773"/>
    <w:rsid w:val="3B90E3E3"/>
    <w:rsid w:val="3B95D6BE"/>
    <w:rsid w:val="3B980F3B"/>
    <w:rsid w:val="3B9A6376"/>
    <w:rsid w:val="3B9AB0DD"/>
    <w:rsid w:val="3B9C7115"/>
    <w:rsid w:val="3B9E46E4"/>
    <w:rsid w:val="3BA41B91"/>
    <w:rsid w:val="3BAFB270"/>
    <w:rsid w:val="3BB7F194"/>
    <w:rsid w:val="3BB8C606"/>
    <w:rsid w:val="3BBB39C7"/>
    <w:rsid w:val="3BBBB243"/>
    <w:rsid w:val="3BBC5A88"/>
    <w:rsid w:val="3BC32BC3"/>
    <w:rsid w:val="3BD20430"/>
    <w:rsid w:val="3BD864C1"/>
    <w:rsid w:val="3BD9621B"/>
    <w:rsid w:val="3BE31E21"/>
    <w:rsid w:val="3BE7F93D"/>
    <w:rsid w:val="3BF823EF"/>
    <w:rsid w:val="3BF8A44D"/>
    <w:rsid w:val="3BFC8664"/>
    <w:rsid w:val="3BFCE300"/>
    <w:rsid w:val="3C006787"/>
    <w:rsid w:val="3C01F11A"/>
    <w:rsid w:val="3C03AB3F"/>
    <w:rsid w:val="3C072DDA"/>
    <w:rsid w:val="3C0DF7C1"/>
    <w:rsid w:val="3C155DCE"/>
    <w:rsid w:val="3C1B65C1"/>
    <w:rsid w:val="3C23BF39"/>
    <w:rsid w:val="3C245664"/>
    <w:rsid w:val="3C24763F"/>
    <w:rsid w:val="3C24C87B"/>
    <w:rsid w:val="3C2BC9BC"/>
    <w:rsid w:val="3C311C29"/>
    <w:rsid w:val="3C37AF16"/>
    <w:rsid w:val="3C38961B"/>
    <w:rsid w:val="3C3C7A0C"/>
    <w:rsid w:val="3C4434D5"/>
    <w:rsid w:val="3C473AA6"/>
    <w:rsid w:val="3C53739B"/>
    <w:rsid w:val="3C558066"/>
    <w:rsid w:val="3C581829"/>
    <w:rsid w:val="3C587C88"/>
    <w:rsid w:val="3C6010EC"/>
    <w:rsid w:val="3C60F426"/>
    <w:rsid w:val="3C6459B9"/>
    <w:rsid w:val="3C66C37E"/>
    <w:rsid w:val="3C6A05AF"/>
    <w:rsid w:val="3C6A9B4C"/>
    <w:rsid w:val="3C6B11D6"/>
    <w:rsid w:val="3C6EAD28"/>
    <w:rsid w:val="3C6FDA24"/>
    <w:rsid w:val="3C7098BF"/>
    <w:rsid w:val="3C71FF69"/>
    <w:rsid w:val="3C78FD99"/>
    <w:rsid w:val="3C7DA11D"/>
    <w:rsid w:val="3C8058C4"/>
    <w:rsid w:val="3C883CD2"/>
    <w:rsid w:val="3C8AD92E"/>
    <w:rsid w:val="3C955808"/>
    <w:rsid w:val="3C9F4EB5"/>
    <w:rsid w:val="3CA54182"/>
    <w:rsid w:val="3CBE49F9"/>
    <w:rsid w:val="3CBF8EF6"/>
    <w:rsid w:val="3CC7163F"/>
    <w:rsid w:val="3CC73028"/>
    <w:rsid w:val="3CCD6E0F"/>
    <w:rsid w:val="3CD0D06E"/>
    <w:rsid w:val="3CD47311"/>
    <w:rsid w:val="3CD80E97"/>
    <w:rsid w:val="3CE0058E"/>
    <w:rsid w:val="3CE391C8"/>
    <w:rsid w:val="3CEDDF14"/>
    <w:rsid w:val="3CF22DE4"/>
    <w:rsid w:val="3CF7CAAD"/>
    <w:rsid w:val="3CFD516C"/>
    <w:rsid w:val="3D074055"/>
    <w:rsid w:val="3D107ECA"/>
    <w:rsid w:val="3D12B58B"/>
    <w:rsid w:val="3D12FC2A"/>
    <w:rsid w:val="3D1663DA"/>
    <w:rsid w:val="3D1FE1E8"/>
    <w:rsid w:val="3D2166FE"/>
    <w:rsid w:val="3D233879"/>
    <w:rsid w:val="3D2827D2"/>
    <w:rsid w:val="3D29085B"/>
    <w:rsid w:val="3D30098D"/>
    <w:rsid w:val="3D3136F5"/>
    <w:rsid w:val="3D392D68"/>
    <w:rsid w:val="3D3D092D"/>
    <w:rsid w:val="3D3F824F"/>
    <w:rsid w:val="3D456F4F"/>
    <w:rsid w:val="3D4C07E4"/>
    <w:rsid w:val="3D4D5EE4"/>
    <w:rsid w:val="3D5849C7"/>
    <w:rsid w:val="3D58D17A"/>
    <w:rsid w:val="3D5A215C"/>
    <w:rsid w:val="3D5AE84E"/>
    <w:rsid w:val="3D5DE219"/>
    <w:rsid w:val="3D5DE911"/>
    <w:rsid w:val="3D651FF2"/>
    <w:rsid w:val="3D67283F"/>
    <w:rsid w:val="3D686F50"/>
    <w:rsid w:val="3D6EA7A7"/>
    <w:rsid w:val="3D74847D"/>
    <w:rsid w:val="3D76D3B5"/>
    <w:rsid w:val="3D7BB5A0"/>
    <w:rsid w:val="3D7DDD8B"/>
    <w:rsid w:val="3D7DE060"/>
    <w:rsid w:val="3D7E7CDE"/>
    <w:rsid w:val="3D7EDB3F"/>
    <w:rsid w:val="3D8119A7"/>
    <w:rsid w:val="3D85B266"/>
    <w:rsid w:val="3D8B2636"/>
    <w:rsid w:val="3D9016ED"/>
    <w:rsid w:val="3D930FD1"/>
    <w:rsid w:val="3DA96AF6"/>
    <w:rsid w:val="3DADA14C"/>
    <w:rsid w:val="3DB18E0A"/>
    <w:rsid w:val="3DBD6FE7"/>
    <w:rsid w:val="3DBDEF27"/>
    <w:rsid w:val="3DC455D3"/>
    <w:rsid w:val="3DCA5076"/>
    <w:rsid w:val="3DCB27D3"/>
    <w:rsid w:val="3DCE6662"/>
    <w:rsid w:val="3DDBB70A"/>
    <w:rsid w:val="3DDEFF5A"/>
    <w:rsid w:val="3DECDDFC"/>
    <w:rsid w:val="3DEDF38D"/>
    <w:rsid w:val="3DF051C0"/>
    <w:rsid w:val="3DFE530B"/>
    <w:rsid w:val="3E0302B3"/>
    <w:rsid w:val="3E141778"/>
    <w:rsid w:val="3E1A94C0"/>
    <w:rsid w:val="3E1C1572"/>
    <w:rsid w:val="3E1DE547"/>
    <w:rsid w:val="3E240CD9"/>
    <w:rsid w:val="3E24D8E6"/>
    <w:rsid w:val="3E2B431C"/>
    <w:rsid w:val="3E2E74C8"/>
    <w:rsid w:val="3E30F2C3"/>
    <w:rsid w:val="3E38FE6E"/>
    <w:rsid w:val="3E3D5E8A"/>
    <w:rsid w:val="3E3EB24F"/>
    <w:rsid w:val="3E3F2D13"/>
    <w:rsid w:val="3E411AB1"/>
    <w:rsid w:val="3E4C4F1F"/>
    <w:rsid w:val="3E4D7209"/>
    <w:rsid w:val="3E4EE817"/>
    <w:rsid w:val="3E4F0008"/>
    <w:rsid w:val="3E55A433"/>
    <w:rsid w:val="3E5AF7D2"/>
    <w:rsid w:val="3E5B1B23"/>
    <w:rsid w:val="3E5FD1DC"/>
    <w:rsid w:val="3E611FCA"/>
    <w:rsid w:val="3E6417A6"/>
    <w:rsid w:val="3E6C8C40"/>
    <w:rsid w:val="3E6D701B"/>
    <w:rsid w:val="3E6D7E5E"/>
    <w:rsid w:val="3E726A64"/>
    <w:rsid w:val="3E7886FF"/>
    <w:rsid w:val="3E79205D"/>
    <w:rsid w:val="3E7D40CA"/>
    <w:rsid w:val="3E82BF3A"/>
    <w:rsid w:val="3E88BA21"/>
    <w:rsid w:val="3E8A66B8"/>
    <w:rsid w:val="3E97E7C1"/>
    <w:rsid w:val="3E9A8D1C"/>
    <w:rsid w:val="3E9B6A5D"/>
    <w:rsid w:val="3E9C3487"/>
    <w:rsid w:val="3EA3C6DD"/>
    <w:rsid w:val="3EA6A0CD"/>
    <w:rsid w:val="3EA73BF4"/>
    <w:rsid w:val="3EA905B2"/>
    <w:rsid w:val="3EADA285"/>
    <w:rsid w:val="3EB349F6"/>
    <w:rsid w:val="3EC04237"/>
    <w:rsid w:val="3EC12BFC"/>
    <w:rsid w:val="3EC8194C"/>
    <w:rsid w:val="3ECAC13F"/>
    <w:rsid w:val="3ECAF8C9"/>
    <w:rsid w:val="3ECBA403"/>
    <w:rsid w:val="3ECF4F41"/>
    <w:rsid w:val="3ED4A3B0"/>
    <w:rsid w:val="3ED5F91C"/>
    <w:rsid w:val="3ED81E1A"/>
    <w:rsid w:val="3ED8855E"/>
    <w:rsid w:val="3EDF29A1"/>
    <w:rsid w:val="3EDFA3AD"/>
    <w:rsid w:val="3EDFB329"/>
    <w:rsid w:val="3EDFE0E4"/>
    <w:rsid w:val="3EE1AEF6"/>
    <w:rsid w:val="3EE2EB00"/>
    <w:rsid w:val="3EEA24AF"/>
    <w:rsid w:val="3EEC990E"/>
    <w:rsid w:val="3EEDB39A"/>
    <w:rsid w:val="3EEE3BDB"/>
    <w:rsid w:val="3EF95DB6"/>
    <w:rsid w:val="3EFA1612"/>
    <w:rsid w:val="3EFCEF34"/>
    <w:rsid w:val="3EFD89CC"/>
    <w:rsid w:val="3F07D961"/>
    <w:rsid w:val="3F08A31D"/>
    <w:rsid w:val="3F0BB8A2"/>
    <w:rsid w:val="3F0E40BF"/>
    <w:rsid w:val="3F11FCCA"/>
    <w:rsid w:val="3F16DF12"/>
    <w:rsid w:val="3F19BEF2"/>
    <w:rsid w:val="3F19E579"/>
    <w:rsid w:val="3F1B1ECC"/>
    <w:rsid w:val="3F1B29DE"/>
    <w:rsid w:val="3F1CCDD6"/>
    <w:rsid w:val="3F1E2B51"/>
    <w:rsid w:val="3F20ABCA"/>
    <w:rsid w:val="3F25D0A6"/>
    <w:rsid w:val="3F2DC79A"/>
    <w:rsid w:val="3F2F3A7C"/>
    <w:rsid w:val="3F34E622"/>
    <w:rsid w:val="3F35EEDB"/>
    <w:rsid w:val="3F3D680D"/>
    <w:rsid w:val="3F3DF16E"/>
    <w:rsid w:val="3F4085AD"/>
    <w:rsid w:val="3F4275C5"/>
    <w:rsid w:val="3F450B21"/>
    <w:rsid w:val="3F5290C7"/>
    <w:rsid w:val="3F5D3FFC"/>
    <w:rsid w:val="3F5D4968"/>
    <w:rsid w:val="3F5D7893"/>
    <w:rsid w:val="3F652C04"/>
    <w:rsid w:val="3F65F68B"/>
    <w:rsid w:val="3F69AC4B"/>
    <w:rsid w:val="3F6A3502"/>
    <w:rsid w:val="3F6A3C4E"/>
    <w:rsid w:val="3F7138D7"/>
    <w:rsid w:val="3F7290A3"/>
    <w:rsid w:val="3F756345"/>
    <w:rsid w:val="3F766DED"/>
    <w:rsid w:val="3F775D39"/>
    <w:rsid w:val="3F7DDFF0"/>
    <w:rsid w:val="3F7E7C75"/>
    <w:rsid w:val="3F8076FA"/>
    <w:rsid w:val="3F8290EF"/>
    <w:rsid w:val="3F832A3F"/>
    <w:rsid w:val="3F83AD81"/>
    <w:rsid w:val="3F86F612"/>
    <w:rsid w:val="3F941F2E"/>
    <w:rsid w:val="3F9494D0"/>
    <w:rsid w:val="3F98F475"/>
    <w:rsid w:val="3F997CA4"/>
    <w:rsid w:val="3F99F30D"/>
    <w:rsid w:val="3F9B74BA"/>
    <w:rsid w:val="3F9D10EA"/>
    <w:rsid w:val="3F9E568F"/>
    <w:rsid w:val="3FA41808"/>
    <w:rsid w:val="3FA6DC54"/>
    <w:rsid w:val="3FA98E0A"/>
    <w:rsid w:val="3FAA78F2"/>
    <w:rsid w:val="3FAE0B25"/>
    <w:rsid w:val="3FB1C5DE"/>
    <w:rsid w:val="3FB33D47"/>
    <w:rsid w:val="3FB6577D"/>
    <w:rsid w:val="3FBA3E4E"/>
    <w:rsid w:val="3FBB8C90"/>
    <w:rsid w:val="3FBC28C7"/>
    <w:rsid w:val="3FBE43A7"/>
    <w:rsid w:val="3FCAD08C"/>
    <w:rsid w:val="3FD1079C"/>
    <w:rsid w:val="3FD3331D"/>
    <w:rsid w:val="3FD61F6B"/>
    <w:rsid w:val="3FDC7715"/>
    <w:rsid w:val="3FDCC455"/>
    <w:rsid w:val="3FE0DD3D"/>
    <w:rsid w:val="3FE103DC"/>
    <w:rsid w:val="3FEB2FDA"/>
    <w:rsid w:val="3FEBE098"/>
    <w:rsid w:val="3FF09883"/>
    <w:rsid w:val="400F237F"/>
    <w:rsid w:val="4011D024"/>
    <w:rsid w:val="4017F307"/>
    <w:rsid w:val="40194880"/>
    <w:rsid w:val="401BC752"/>
    <w:rsid w:val="4020C8FD"/>
    <w:rsid w:val="40303614"/>
    <w:rsid w:val="4030FC0B"/>
    <w:rsid w:val="40353D88"/>
    <w:rsid w:val="4037E45E"/>
    <w:rsid w:val="403944CA"/>
    <w:rsid w:val="403BA09C"/>
    <w:rsid w:val="403BB658"/>
    <w:rsid w:val="404011A5"/>
    <w:rsid w:val="404ABA2F"/>
    <w:rsid w:val="405084A4"/>
    <w:rsid w:val="40512446"/>
    <w:rsid w:val="4051D947"/>
    <w:rsid w:val="405C844E"/>
    <w:rsid w:val="405C8CE5"/>
    <w:rsid w:val="4066733F"/>
    <w:rsid w:val="40677F94"/>
    <w:rsid w:val="40689C70"/>
    <w:rsid w:val="4068B868"/>
    <w:rsid w:val="40695E97"/>
    <w:rsid w:val="406F27FE"/>
    <w:rsid w:val="40707447"/>
    <w:rsid w:val="40776A31"/>
    <w:rsid w:val="40795DF7"/>
    <w:rsid w:val="407C0FB4"/>
    <w:rsid w:val="407DA8D0"/>
    <w:rsid w:val="407F0B99"/>
    <w:rsid w:val="40843435"/>
    <w:rsid w:val="4093B1BC"/>
    <w:rsid w:val="40966BE3"/>
    <w:rsid w:val="40969322"/>
    <w:rsid w:val="409E6F23"/>
    <w:rsid w:val="40A041E1"/>
    <w:rsid w:val="40A0FCD5"/>
    <w:rsid w:val="40A2C00F"/>
    <w:rsid w:val="40A6134C"/>
    <w:rsid w:val="40A633C4"/>
    <w:rsid w:val="40A74093"/>
    <w:rsid w:val="40A81467"/>
    <w:rsid w:val="40A96D40"/>
    <w:rsid w:val="40A9E2B5"/>
    <w:rsid w:val="40AC4371"/>
    <w:rsid w:val="40AD4D8F"/>
    <w:rsid w:val="40B2CC41"/>
    <w:rsid w:val="40B79974"/>
    <w:rsid w:val="40C18724"/>
    <w:rsid w:val="40C27EE8"/>
    <w:rsid w:val="40D6D44E"/>
    <w:rsid w:val="40D79D35"/>
    <w:rsid w:val="40EF27DD"/>
    <w:rsid w:val="40FA343F"/>
    <w:rsid w:val="40FC397A"/>
    <w:rsid w:val="410130B5"/>
    <w:rsid w:val="41078E97"/>
    <w:rsid w:val="4107CBED"/>
    <w:rsid w:val="410B70EF"/>
    <w:rsid w:val="410E08D5"/>
    <w:rsid w:val="410E2DDC"/>
    <w:rsid w:val="410E2FE8"/>
    <w:rsid w:val="411199BF"/>
    <w:rsid w:val="411AA5ED"/>
    <w:rsid w:val="411B5525"/>
    <w:rsid w:val="411BBA4A"/>
    <w:rsid w:val="412151D1"/>
    <w:rsid w:val="412A044B"/>
    <w:rsid w:val="412B3AC9"/>
    <w:rsid w:val="412D1266"/>
    <w:rsid w:val="41418BB7"/>
    <w:rsid w:val="4141939E"/>
    <w:rsid w:val="4146FF43"/>
    <w:rsid w:val="414B99A0"/>
    <w:rsid w:val="414D8EFE"/>
    <w:rsid w:val="41599E0C"/>
    <w:rsid w:val="4164B9FC"/>
    <w:rsid w:val="416AC087"/>
    <w:rsid w:val="416FF665"/>
    <w:rsid w:val="41787959"/>
    <w:rsid w:val="417CDC40"/>
    <w:rsid w:val="41875DDB"/>
    <w:rsid w:val="41881292"/>
    <w:rsid w:val="41890E83"/>
    <w:rsid w:val="41896C51"/>
    <w:rsid w:val="418BE451"/>
    <w:rsid w:val="418D2140"/>
    <w:rsid w:val="41912F22"/>
    <w:rsid w:val="4193DEFB"/>
    <w:rsid w:val="419624C1"/>
    <w:rsid w:val="419A26B7"/>
    <w:rsid w:val="419F07EE"/>
    <w:rsid w:val="41A3C7BA"/>
    <w:rsid w:val="41A6F174"/>
    <w:rsid w:val="41A751AF"/>
    <w:rsid w:val="41ADE411"/>
    <w:rsid w:val="41AE8D26"/>
    <w:rsid w:val="41AEC547"/>
    <w:rsid w:val="41B09AEE"/>
    <w:rsid w:val="41B9EB54"/>
    <w:rsid w:val="41BC2F60"/>
    <w:rsid w:val="41C12717"/>
    <w:rsid w:val="41C3FD32"/>
    <w:rsid w:val="41C5D2F4"/>
    <w:rsid w:val="41CB1044"/>
    <w:rsid w:val="41CBF6EF"/>
    <w:rsid w:val="41D0272B"/>
    <w:rsid w:val="41D13BBB"/>
    <w:rsid w:val="41D2B831"/>
    <w:rsid w:val="41D2C0F8"/>
    <w:rsid w:val="41D33577"/>
    <w:rsid w:val="41D5FB00"/>
    <w:rsid w:val="41DB49B6"/>
    <w:rsid w:val="41EA7D40"/>
    <w:rsid w:val="41EC4356"/>
    <w:rsid w:val="41ED799D"/>
    <w:rsid w:val="41F06318"/>
    <w:rsid w:val="41F3E662"/>
    <w:rsid w:val="41FB70DD"/>
    <w:rsid w:val="42005CE5"/>
    <w:rsid w:val="4203083A"/>
    <w:rsid w:val="42052DEC"/>
    <w:rsid w:val="420E620A"/>
    <w:rsid w:val="42107496"/>
    <w:rsid w:val="4210AFDB"/>
    <w:rsid w:val="42113915"/>
    <w:rsid w:val="4213E6D7"/>
    <w:rsid w:val="4215BEC8"/>
    <w:rsid w:val="42184784"/>
    <w:rsid w:val="4218D23A"/>
    <w:rsid w:val="4220DCA1"/>
    <w:rsid w:val="42215F4A"/>
    <w:rsid w:val="4223C1B9"/>
    <w:rsid w:val="4224045F"/>
    <w:rsid w:val="42256711"/>
    <w:rsid w:val="422A6A7E"/>
    <w:rsid w:val="422BB0B1"/>
    <w:rsid w:val="422F73CE"/>
    <w:rsid w:val="42311CAE"/>
    <w:rsid w:val="42352ECF"/>
    <w:rsid w:val="423AB371"/>
    <w:rsid w:val="42458F5D"/>
    <w:rsid w:val="42481F33"/>
    <w:rsid w:val="42573D30"/>
    <w:rsid w:val="4257C5FD"/>
    <w:rsid w:val="425C48D3"/>
    <w:rsid w:val="425C5E99"/>
    <w:rsid w:val="425ED1EE"/>
    <w:rsid w:val="42608680"/>
    <w:rsid w:val="42648731"/>
    <w:rsid w:val="4265228E"/>
    <w:rsid w:val="4267471B"/>
    <w:rsid w:val="4269B5DF"/>
    <w:rsid w:val="426C1F7F"/>
    <w:rsid w:val="4271F498"/>
    <w:rsid w:val="4275B10C"/>
    <w:rsid w:val="4275B2C7"/>
    <w:rsid w:val="4277882B"/>
    <w:rsid w:val="42854B9E"/>
    <w:rsid w:val="4295D160"/>
    <w:rsid w:val="42A1903C"/>
    <w:rsid w:val="42A60F47"/>
    <w:rsid w:val="42A907AA"/>
    <w:rsid w:val="42AA9B91"/>
    <w:rsid w:val="42AD9E9F"/>
    <w:rsid w:val="42AF1B9E"/>
    <w:rsid w:val="42B0C4F9"/>
    <w:rsid w:val="42B65590"/>
    <w:rsid w:val="42B909C1"/>
    <w:rsid w:val="42CED020"/>
    <w:rsid w:val="42D8170B"/>
    <w:rsid w:val="42D8D9D3"/>
    <w:rsid w:val="42DB2BBD"/>
    <w:rsid w:val="42E0CD89"/>
    <w:rsid w:val="42E133C2"/>
    <w:rsid w:val="42E145DD"/>
    <w:rsid w:val="42E88AA2"/>
    <w:rsid w:val="42EBC0C6"/>
    <w:rsid w:val="42EC293F"/>
    <w:rsid w:val="42F7D212"/>
    <w:rsid w:val="42F98B52"/>
    <w:rsid w:val="42FBCCAA"/>
    <w:rsid w:val="42FEF6A9"/>
    <w:rsid w:val="430462EC"/>
    <w:rsid w:val="43094F62"/>
    <w:rsid w:val="43151DA0"/>
    <w:rsid w:val="4315B15F"/>
    <w:rsid w:val="4319508F"/>
    <w:rsid w:val="43226C56"/>
    <w:rsid w:val="4324672C"/>
    <w:rsid w:val="4328D27F"/>
    <w:rsid w:val="43318EA5"/>
    <w:rsid w:val="4331CED3"/>
    <w:rsid w:val="43394348"/>
    <w:rsid w:val="433ABF50"/>
    <w:rsid w:val="433ED267"/>
    <w:rsid w:val="433F59FE"/>
    <w:rsid w:val="4344DA71"/>
    <w:rsid w:val="4345AA8B"/>
    <w:rsid w:val="43462C44"/>
    <w:rsid w:val="434B48D6"/>
    <w:rsid w:val="434DACDF"/>
    <w:rsid w:val="4352D03A"/>
    <w:rsid w:val="4357F295"/>
    <w:rsid w:val="43657411"/>
    <w:rsid w:val="436D84CA"/>
    <w:rsid w:val="4371D2BC"/>
    <w:rsid w:val="4374DE50"/>
    <w:rsid w:val="43752C30"/>
    <w:rsid w:val="4375F24C"/>
    <w:rsid w:val="4377FF5E"/>
    <w:rsid w:val="437B61D1"/>
    <w:rsid w:val="437F9300"/>
    <w:rsid w:val="43807663"/>
    <w:rsid w:val="43855EC0"/>
    <w:rsid w:val="4386CDED"/>
    <w:rsid w:val="4386F002"/>
    <w:rsid w:val="438A8FFD"/>
    <w:rsid w:val="438B0129"/>
    <w:rsid w:val="438EC0F5"/>
    <w:rsid w:val="4393AF7A"/>
    <w:rsid w:val="43941587"/>
    <w:rsid w:val="439E00BD"/>
    <w:rsid w:val="43A1B26E"/>
    <w:rsid w:val="43A393F0"/>
    <w:rsid w:val="43AB5E94"/>
    <w:rsid w:val="43AD785D"/>
    <w:rsid w:val="43B0D5E7"/>
    <w:rsid w:val="43B98F8F"/>
    <w:rsid w:val="43BA6469"/>
    <w:rsid w:val="43BDEC5B"/>
    <w:rsid w:val="43C28B15"/>
    <w:rsid w:val="43CEE066"/>
    <w:rsid w:val="43D3B590"/>
    <w:rsid w:val="43E36FB4"/>
    <w:rsid w:val="43E64359"/>
    <w:rsid w:val="43E6FB0C"/>
    <w:rsid w:val="43E803E3"/>
    <w:rsid w:val="43EAA5F4"/>
    <w:rsid w:val="43EC3A7F"/>
    <w:rsid w:val="43F27E85"/>
    <w:rsid w:val="43F89637"/>
    <w:rsid w:val="440ACBCF"/>
    <w:rsid w:val="440DE042"/>
    <w:rsid w:val="440FAF94"/>
    <w:rsid w:val="4414D1C0"/>
    <w:rsid w:val="441D0074"/>
    <w:rsid w:val="44273D3F"/>
    <w:rsid w:val="4430790F"/>
    <w:rsid w:val="4433786A"/>
    <w:rsid w:val="44376175"/>
    <w:rsid w:val="4438997D"/>
    <w:rsid w:val="443FC2DB"/>
    <w:rsid w:val="44414DDB"/>
    <w:rsid w:val="4441676B"/>
    <w:rsid w:val="44427D4E"/>
    <w:rsid w:val="444F7FCE"/>
    <w:rsid w:val="4450362F"/>
    <w:rsid w:val="445398B8"/>
    <w:rsid w:val="44544BEF"/>
    <w:rsid w:val="4457BD5D"/>
    <w:rsid w:val="4457D643"/>
    <w:rsid w:val="44602631"/>
    <w:rsid w:val="4462F801"/>
    <w:rsid w:val="4466EB63"/>
    <w:rsid w:val="44674117"/>
    <w:rsid w:val="4467FEA1"/>
    <w:rsid w:val="446949B6"/>
    <w:rsid w:val="4469E43F"/>
    <w:rsid w:val="44798FA4"/>
    <w:rsid w:val="44799EA8"/>
    <w:rsid w:val="447EC2A3"/>
    <w:rsid w:val="4480CCDA"/>
    <w:rsid w:val="448126AD"/>
    <w:rsid w:val="448272B5"/>
    <w:rsid w:val="44875286"/>
    <w:rsid w:val="4487E778"/>
    <w:rsid w:val="44897F63"/>
    <w:rsid w:val="44947457"/>
    <w:rsid w:val="4495A083"/>
    <w:rsid w:val="4497C0DE"/>
    <w:rsid w:val="4498FDCD"/>
    <w:rsid w:val="449F45FE"/>
    <w:rsid w:val="44A9793D"/>
    <w:rsid w:val="44AA42A1"/>
    <w:rsid w:val="44AEEA1B"/>
    <w:rsid w:val="44B1847E"/>
    <w:rsid w:val="44BBCE3B"/>
    <w:rsid w:val="44BF2A1B"/>
    <w:rsid w:val="44C3354F"/>
    <w:rsid w:val="44C4E96A"/>
    <w:rsid w:val="44C77F2C"/>
    <w:rsid w:val="44C9FE7C"/>
    <w:rsid w:val="44CB8A78"/>
    <w:rsid w:val="44CF9FC5"/>
    <w:rsid w:val="44CFD5B1"/>
    <w:rsid w:val="44D41366"/>
    <w:rsid w:val="44D83F31"/>
    <w:rsid w:val="44E4FD8A"/>
    <w:rsid w:val="44ECE587"/>
    <w:rsid w:val="44ED5709"/>
    <w:rsid w:val="44EF402E"/>
    <w:rsid w:val="44EFA9DA"/>
    <w:rsid w:val="44F06654"/>
    <w:rsid w:val="44F1F3D8"/>
    <w:rsid w:val="44F51A47"/>
    <w:rsid w:val="44F95293"/>
    <w:rsid w:val="44FBF322"/>
    <w:rsid w:val="44FF4234"/>
    <w:rsid w:val="4506E9F2"/>
    <w:rsid w:val="450753D7"/>
    <w:rsid w:val="450A52DE"/>
    <w:rsid w:val="45102120"/>
    <w:rsid w:val="4521CA59"/>
    <w:rsid w:val="452E3C98"/>
    <w:rsid w:val="4533C6A5"/>
    <w:rsid w:val="45347BD7"/>
    <w:rsid w:val="4547DEFB"/>
    <w:rsid w:val="4548474A"/>
    <w:rsid w:val="455068FB"/>
    <w:rsid w:val="455484E5"/>
    <w:rsid w:val="455BA878"/>
    <w:rsid w:val="455FA101"/>
    <w:rsid w:val="4565557E"/>
    <w:rsid w:val="456A885F"/>
    <w:rsid w:val="456B2460"/>
    <w:rsid w:val="456CD137"/>
    <w:rsid w:val="45763E33"/>
    <w:rsid w:val="45777CA8"/>
    <w:rsid w:val="457996C7"/>
    <w:rsid w:val="457A9539"/>
    <w:rsid w:val="457D1A9E"/>
    <w:rsid w:val="4580C3C2"/>
    <w:rsid w:val="45820C45"/>
    <w:rsid w:val="45A1E798"/>
    <w:rsid w:val="45A2DE77"/>
    <w:rsid w:val="45A37D02"/>
    <w:rsid w:val="45AD0A47"/>
    <w:rsid w:val="45ADFBB7"/>
    <w:rsid w:val="45B04AD8"/>
    <w:rsid w:val="45B179D3"/>
    <w:rsid w:val="45C0D5AB"/>
    <w:rsid w:val="45C2F244"/>
    <w:rsid w:val="45C892E7"/>
    <w:rsid w:val="45D59A26"/>
    <w:rsid w:val="45D67450"/>
    <w:rsid w:val="45DA7A2A"/>
    <w:rsid w:val="45DA9E81"/>
    <w:rsid w:val="45DB71A0"/>
    <w:rsid w:val="45DE2A49"/>
    <w:rsid w:val="45E269A7"/>
    <w:rsid w:val="45E54F53"/>
    <w:rsid w:val="45EAFBBF"/>
    <w:rsid w:val="45EC7BE1"/>
    <w:rsid w:val="45ED0116"/>
    <w:rsid w:val="45ED019B"/>
    <w:rsid w:val="45EEBCF5"/>
    <w:rsid w:val="45F044B1"/>
    <w:rsid w:val="45F46133"/>
    <w:rsid w:val="4601B072"/>
    <w:rsid w:val="460285B3"/>
    <w:rsid w:val="4607887C"/>
    <w:rsid w:val="4610B2AC"/>
    <w:rsid w:val="46130A54"/>
    <w:rsid w:val="461BEAD2"/>
    <w:rsid w:val="46201314"/>
    <w:rsid w:val="46222315"/>
    <w:rsid w:val="462248B6"/>
    <w:rsid w:val="4632D276"/>
    <w:rsid w:val="4632E302"/>
    <w:rsid w:val="463729A2"/>
    <w:rsid w:val="463ADC86"/>
    <w:rsid w:val="463CDC18"/>
    <w:rsid w:val="46436234"/>
    <w:rsid w:val="4643862C"/>
    <w:rsid w:val="4647F728"/>
    <w:rsid w:val="46486E4F"/>
    <w:rsid w:val="464C8047"/>
    <w:rsid w:val="4655DBB4"/>
    <w:rsid w:val="465AA33D"/>
    <w:rsid w:val="46638AA9"/>
    <w:rsid w:val="466AC822"/>
    <w:rsid w:val="466C5FA2"/>
    <w:rsid w:val="46704565"/>
    <w:rsid w:val="4679406B"/>
    <w:rsid w:val="467EC78F"/>
    <w:rsid w:val="4686BB50"/>
    <w:rsid w:val="4686D526"/>
    <w:rsid w:val="46873803"/>
    <w:rsid w:val="468EC00A"/>
    <w:rsid w:val="46915766"/>
    <w:rsid w:val="46918E81"/>
    <w:rsid w:val="4691C130"/>
    <w:rsid w:val="469CD92A"/>
    <w:rsid w:val="46AA2D58"/>
    <w:rsid w:val="46BA6B0A"/>
    <w:rsid w:val="46BA9098"/>
    <w:rsid w:val="46C3BC54"/>
    <w:rsid w:val="46C78431"/>
    <w:rsid w:val="46D562AD"/>
    <w:rsid w:val="46D7F832"/>
    <w:rsid w:val="46D9D4EA"/>
    <w:rsid w:val="46DC724F"/>
    <w:rsid w:val="46E62CBE"/>
    <w:rsid w:val="46E6ACB4"/>
    <w:rsid w:val="46E9598B"/>
    <w:rsid w:val="46EB86EC"/>
    <w:rsid w:val="46EEF871"/>
    <w:rsid w:val="46F72BC9"/>
    <w:rsid w:val="470D716A"/>
    <w:rsid w:val="470D7A84"/>
    <w:rsid w:val="47133E71"/>
    <w:rsid w:val="4713534A"/>
    <w:rsid w:val="472334DC"/>
    <w:rsid w:val="4723658E"/>
    <w:rsid w:val="47285270"/>
    <w:rsid w:val="4731D12C"/>
    <w:rsid w:val="47321A7C"/>
    <w:rsid w:val="4732B165"/>
    <w:rsid w:val="47334D3B"/>
    <w:rsid w:val="47359D2A"/>
    <w:rsid w:val="47407FD9"/>
    <w:rsid w:val="4746E8CA"/>
    <w:rsid w:val="474AE4AB"/>
    <w:rsid w:val="474F01F2"/>
    <w:rsid w:val="474FCF78"/>
    <w:rsid w:val="4751E2F5"/>
    <w:rsid w:val="4755B23C"/>
    <w:rsid w:val="475BA62E"/>
    <w:rsid w:val="475CBF45"/>
    <w:rsid w:val="475CEAA8"/>
    <w:rsid w:val="47649A62"/>
    <w:rsid w:val="476CB29A"/>
    <w:rsid w:val="476D4966"/>
    <w:rsid w:val="477A6AC0"/>
    <w:rsid w:val="4780F2A1"/>
    <w:rsid w:val="47848A31"/>
    <w:rsid w:val="478CEE0D"/>
    <w:rsid w:val="478DBCA2"/>
    <w:rsid w:val="4790F6C4"/>
    <w:rsid w:val="4799924D"/>
    <w:rsid w:val="479F6751"/>
    <w:rsid w:val="47A1D79F"/>
    <w:rsid w:val="47A432DB"/>
    <w:rsid w:val="47A5DCFE"/>
    <w:rsid w:val="47A60FE0"/>
    <w:rsid w:val="47A65688"/>
    <w:rsid w:val="47A7850C"/>
    <w:rsid w:val="47ABA49B"/>
    <w:rsid w:val="47AD3E7A"/>
    <w:rsid w:val="47BBF918"/>
    <w:rsid w:val="47BE109D"/>
    <w:rsid w:val="47BE957C"/>
    <w:rsid w:val="47BF3089"/>
    <w:rsid w:val="47C494F8"/>
    <w:rsid w:val="47C552EC"/>
    <w:rsid w:val="47C55C3D"/>
    <w:rsid w:val="47C5940D"/>
    <w:rsid w:val="47CEA0C6"/>
    <w:rsid w:val="47D0C6EE"/>
    <w:rsid w:val="47D2B0FD"/>
    <w:rsid w:val="47D3C6AF"/>
    <w:rsid w:val="47D7705F"/>
    <w:rsid w:val="47DE25D3"/>
    <w:rsid w:val="47DE81EE"/>
    <w:rsid w:val="47E57817"/>
    <w:rsid w:val="47E768E6"/>
    <w:rsid w:val="47E9CCC4"/>
    <w:rsid w:val="47EE3513"/>
    <w:rsid w:val="47F20F6B"/>
    <w:rsid w:val="47FE8F92"/>
    <w:rsid w:val="47FFEA37"/>
    <w:rsid w:val="4807BA64"/>
    <w:rsid w:val="4808A8BD"/>
    <w:rsid w:val="48095D98"/>
    <w:rsid w:val="4809E04C"/>
    <w:rsid w:val="480C9068"/>
    <w:rsid w:val="48138A15"/>
    <w:rsid w:val="4819E4DB"/>
    <w:rsid w:val="481BF18E"/>
    <w:rsid w:val="481F07CB"/>
    <w:rsid w:val="48221EB4"/>
    <w:rsid w:val="48252B2A"/>
    <w:rsid w:val="482684D6"/>
    <w:rsid w:val="482C84F5"/>
    <w:rsid w:val="482FB7C5"/>
    <w:rsid w:val="4831638C"/>
    <w:rsid w:val="4836E32E"/>
    <w:rsid w:val="483F61D4"/>
    <w:rsid w:val="4840520E"/>
    <w:rsid w:val="48484E5C"/>
    <w:rsid w:val="4848E6A4"/>
    <w:rsid w:val="4856BAB7"/>
    <w:rsid w:val="485B276C"/>
    <w:rsid w:val="48622775"/>
    <w:rsid w:val="48654B56"/>
    <w:rsid w:val="48667F46"/>
    <w:rsid w:val="486CA8CF"/>
    <w:rsid w:val="486DEDF3"/>
    <w:rsid w:val="487115F0"/>
    <w:rsid w:val="487415F2"/>
    <w:rsid w:val="487647C9"/>
    <w:rsid w:val="4885DA25"/>
    <w:rsid w:val="488846B9"/>
    <w:rsid w:val="48886C8D"/>
    <w:rsid w:val="488878F6"/>
    <w:rsid w:val="4889CBE8"/>
    <w:rsid w:val="4891D190"/>
    <w:rsid w:val="48921910"/>
    <w:rsid w:val="4897206C"/>
    <w:rsid w:val="48973DC0"/>
    <w:rsid w:val="489C30C6"/>
    <w:rsid w:val="48B04883"/>
    <w:rsid w:val="48B38190"/>
    <w:rsid w:val="48B61B3D"/>
    <w:rsid w:val="48B98C8B"/>
    <w:rsid w:val="48C5A7D5"/>
    <w:rsid w:val="48C778A8"/>
    <w:rsid w:val="48D1D10E"/>
    <w:rsid w:val="48DEDB72"/>
    <w:rsid w:val="48EC111B"/>
    <w:rsid w:val="48EC247D"/>
    <w:rsid w:val="48F08646"/>
    <w:rsid w:val="48F241EC"/>
    <w:rsid w:val="48F75F5F"/>
    <w:rsid w:val="490268DB"/>
    <w:rsid w:val="49075C10"/>
    <w:rsid w:val="490D2B0B"/>
    <w:rsid w:val="490DE5F3"/>
    <w:rsid w:val="4910ECFA"/>
    <w:rsid w:val="491200CE"/>
    <w:rsid w:val="49253B04"/>
    <w:rsid w:val="492608AA"/>
    <w:rsid w:val="492A5660"/>
    <w:rsid w:val="493AD0D6"/>
    <w:rsid w:val="493D8998"/>
    <w:rsid w:val="493FFCCA"/>
    <w:rsid w:val="4943EF80"/>
    <w:rsid w:val="49476CFF"/>
    <w:rsid w:val="4948DFBC"/>
    <w:rsid w:val="494BA45A"/>
    <w:rsid w:val="494EE76A"/>
    <w:rsid w:val="49550EA3"/>
    <w:rsid w:val="495941B8"/>
    <w:rsid w:val="495A6481"/>
    <w:rsid w:val="4965253A"/>
    <w:rsid w:val="4966C26A"/>
    <w:rsid w:val="496891DE"/>
    <w:rsid w:val="496E3145"/>
    <w:rsid w:val="49712BBE"/>
    <w:rsid w:val="49725CCD"/>
    <w:rsid w:val="49736E79"/>
    <w:rsid w:val="49756E63"/>
    <w:rsid w:val="497ADB2D"/>
    <w:rsid w:val="497F3EAE"/>
    <w:rsid w:val="4980106A"/>
    <w:rsid w:val="4982F46D"/>
    <w:rsid w:val="4984D2E2"/>
    <w:rsid w:val="4988AD86"/>
    <w:rsid w:val="498D34B6"/>
    <w:rsid w:val="498F1808"/>
    <w:rsid w:val="4992EDE2"/>
    <w:rsid w:val="49942858"/>
    <w:rsid w:val="499BB34B"/>
    <w:rsid w:val="499D645A"/>
    <w:rsid w:val="49A3EFF6"/>
    <w:rsid w:val="49BCD7D1"/>
    <w:rsid w:val="49C1464D"/>
    <w:rsid w:val="49C1B8A3"/>
    <w:rsid w:val="49C997BD"/>
    <w:rsid w:val="49CFE21D"/>
    <w:rsid w:val="49D6BA4C"/>
    <w:rsid w:val="49E1B962"/>
    <w:rsid w:val="49E3A09A"/>
    <w:rsid w:val="49E9F1FE"/>
    <w:rsid w:val="49EE9FEB"/>
    <w:rsid w:val="4A02E0AE"/>
    <w:rsid w:val="4A02FE01"/>
    <w:rsid w:val="4A03460A"/>
    <w:rsid w:val="4A0448FA"/>
    <w:rsid w:val="4A052C6E"/>
    <w:rsid w:val="4A06DDFC"/>
    <w:rsid w:val="4A094A84"/>
    <w:rsid w:val="4A117543"/>
    <w:rsid w:val="4A15A213"/>
    <w:rsid w:val="4A19AC64"/>
    <w:rsid w:val="4A1B790C"/>
    <w:rsid w:val="4A1D7D66"/>
    <w:rsid w:val="4A2D739B"/>
    <w:rsid w:val="4A3E5081"/>
    <w:rsid w:val="4A3E621A"/>
    <w:rsid w:val="4A473767"/>
    <w:rsid w:val="4A50974E"/>
    <w:rsid w:val="4A5314C6"/>
    <w:rsid w:val="4A54C68F"/>
    <w:rsid w:val="4A562BB6"/>
    <w:rsid w:val="4A5810A4"/>
    <w:rsid w:val="4A58A245"/>
    <w:rsid w:val="4A5C38A8"/>
    <w:rsid w:val="4A5CFEA7"/>
    <w:rsid w:val="4A6DCA4A"/>
    <w:rsid w:val="4A6EDD40"/>
    <w:rsid w:val="4A70CFD6"/>
    <w:rsid w:val="4A7220CC"/>
    <w:rsid w:val="4A730F3E"/>
    <w:rsid w:val="4A765438"/>
    <w:rsid w:val="4A7840B8"/>
    <w:rsid w:val="4A7D8DFC"/>
    <w:rsid w:val="4A7E6B07"/>
    <w:rsid w:val="4A8DE95C"/>
    <w:rsid w:val="4A91714B"/>
    <w:rsid w:val="4A9400D0"/>
    <w:rsid w:val="4A95D998"/>
    <w:rsid w:val="4A9902BF"/>
    <w:rsid w:val="4AA0B413"/>
    <w:rsid w:val="4AA363FF"/>
    <w:rsid w:val="4AA4439C"/>
    <w:rsid w:val="4AADE366"/>
    <w:rsid w:val="4AAE21CB"/>
    <w:rsid w:val="4AAF3236"/>
    <w:rsid w:val="4AB26ED5"/>
    <w:rsid w:val="4AB27D09"/>
    <w:rsid w:val="4AB2EBDD"/>
    <w:rsid w:val="4AB77B5A"/>
    <w:rsid w:val="4AB8009D"/>
    <w:rsid w:val="4AC447E2"/>
    <w:rsid w:val="4AC80CD5"/>
    <w:rsid w:val="4AC8B55C"/>
    <w:rsid w:val="4AD3B305"/>
    <w:rsid w:val="4AD4522F"/>
    <w:rsid w:val="4AD4AE93"/>
    <w:rsid w:val="4AD9EE38"/>
    <w:rsid w:val="4AFBA884"/>
    <w:rsid w:val="4AFFC5A9"/>
    <w:rsid w:val="4AFFFBDE"/>
    <w:rsid w:val="4B04A2E5"/>
    <w:rsid w:val="4B0E310E"/>
    <w:rsid w:val="4B1021B2"/>
    <w:rsid w:val="4B112488"/>
    <w:rsid w:val="4B135550"/>
    <w:rsid w:val="4B1517BA"/>
    <w:rsid w:val="4B1A8B3B"/>
    <w:rsid w:val="4B1D5C09"/>
    <w:rsid w:val="4B213D03"/>
    <w:rsid w:val="4B283323"/>
    <w:rsid w:val="4B2AF7D5"/>
    <w:rsid w:val="4B325855"/>
    <w:rsid w:val="4B3646E6"/>
    <w:rsid w:val="4B436E3B"/>
    <w:rsid w:val="4B458721"/>
    <w:rsid w:val="4B4B06E8"/>
    <w:rsid w:val="4B4B8122"/>
    <w:rsid w:val="4B4FAA32"/>
    <w:rsid w:val="4B50C13D"/>
    <w:rsid w:val="4B51F9E9"/>
    <w:rsid w:val="4B53AE2D"/>
    <w:rsid w:val="4B5ED814"/>
    <w:rsid w:val="4B5F96F6"/>
    <w:rsid w:val="4B61613D"/>
    <w:rsid w:val="4B61D865"/>
    <w:rsid w:val="4B61E33E"/>
    <w:rsid w:val="4B63C423"/>
    <w:rsid w:val="4B646ABB"/>
    <w:rsid w:val="4B661E68"/>
    <w:rsid w:val="4B8B4298"/>
    <w:rsid w:val="4B8BA080"/>
    <w:rsid w:val="4B8C7A5E"/>
    <w:rsid w:val="4B8E415F"/>
    <w:rsid w:val="4B9088AC"/>
    <w:rsid w:val="4B908C1D"/>
    <w:rsid w:val="4B9B5655"/>
    <w:rsid w:val="4B9DDDE8"/>
    <w:rsid w:val="4BACF5E9"/>
    <w:rsid w:val="4BAD340D"/>
    <w:rsid w:val="4BB5747F"/>
    <w:rsid w:val="4BB71FAF"/>
    <w:rsid w:val="4BB758B7"/>
    <w:rsid w:val="4BBF0BCF"/>
    <w:rsid w:val="4BC0239B"/>
    <w:rsid w:val="4BC8BE12"/>
    <w:rsid w:val="4BCF7181"/>
    <w:rsid w:val="4BCF7526"/>
    <w:rsid w:val="4BD94AB0"/>
    <w:rsid w:val="4BDAA4FD"/>
    <w:rsid w:val="4BDCB64C"/>
    <w:rsid w:val="4BDE7345"/>
    <w:rsid w:val="4BE2D251"/>
    <w:rsid w:val="4BE36DE6"/>
    <w:rsid w:val="4BE6EF59"/>
    <w:rsid w:val="4BE74E6E"/>
    <w:rsid w:val="4BEB79C7"/>
    <w:rsid w:val="4BED8957"/>
    <w:rsid w:val="4BEFA26D"/>
    <w:rsid w:val="4BF12E63"/>
    <w:rsid w:val="4BF6284D"/>
    <w:rsid w:val="4BF62A76"/>
    <w:rsid w:val="4BFCE212"/>
    <w:rsid w:val="4C0484C0"/>
    <w:rsid w:val="4C13F7BF"/>
    <w:rsid w:val="4C1A00ED"/>
    <w:rsid w:val="4C1C4451"/>
    <w:rsid w:val="4C2309F8"/>
    <w:rsid w:val="4C2C1C10"/>
    <w:rsid w:val="4C2E1AC5"/>
    <w:rsid w:val="4C33497C"/>
    <w:rsid w:val="4C3B41F4"/>
    <w:rsid w:val="4C3BADA1"/>
    <w:rsid w:val="4C447B9D"/>
    <w:rsid w:val="4C475AD8"/>
    <w:rsid w:val="4C50F754"/>
    <w:rsid w:val="4C51527C"/>
    <w:rsid w:val="4C5500A0"/>
    <w:rsid w:val="4C57D4CA"/>
    <w:rsid w:val="4C594161"/>
    <w:rsid w:val="4C5E5268"/>
    <w:rsid w:val="4C5F732C"/>
    <w:rsid w:val="4C69B689"/>
    <w:rsid w:val="4C6C49A5"/>
    <w:rsid w:val="4C73E71A"/>
    <w:rsid w:val="4C754FC9"/>
    <w:rsid w:val="4C7699ED"/>
    <w:rsid w:val="4C7769E4"/>
    <w:rsid w:val="4C784079"/>
    <w:rsid w:val="4C7A1404"/>
    <w:rsid w:val="4C7CC4C3"/>
    <w:rsid w:val="4C8BB05E"/>
    <w:rsid w:val="4C8C2358"/>
    <w:rsid w:val="4C8D3338"/>
    <w:rsid w:val="4C8D53CE"/>
    <w:rsid w:val="4C8ECE01"/>
    <w:rsid w:val="4C9954C6"/>
    <w:rsid w:val="4C9AD79A"/>
    <w:rsid w:val="4C9B3004"/>
    <w:rsid w:val="4CA4047D"/>
    <w:rsid w:val="4CB1A298"/>
    <w:rsid w:val="4CB66D55"/>
    <w:rsid w:val="4CBB3224"/>
    <w:rsid w:val="4CC4A57E"/>
    <w:rsid w:val="4CCAA6EE"/>
    <w:rsid w:val="4CCB7962"/>
    <w:rsid w:val="4CCDD64E"/>
    <w:rsid w:val="4CDB4B44"/>
    <w:rsid w:val="4CDE98F0"/>
    <w:rsid w:val="4CE12212"/>
    <w:rsid w:val="4CE90E6C"/>
    <w:rsid w:val="4CED2902"/>
    <w:rsid w:val="4CEF90BB"/>
    <w:rsid w:val="4CF3CDBA"/>
    <w:rsid w:val="4CFDCD4E"/>
    <w:rsid w:val="4CFFA78C"/>
    <w:rsid w:val="4D00F8FD"/>
    <w:rsid w:val="4D0A09A5"/>
    <w:rsid w:val="4D0A3D97"/>
    <w:rsid w:val="4D0C7C6F"/>
    <w:rsid w:val="4D197FEF"/>
    <w:rsid w:val="4D1A3448"/>
    <w:rsid w:val="4D1C99E4"/>
    <w:rsid w:val="4D2432CD"/>
    <w:rsid w:val="4D277090"/>
    <w:rsid w:val="4D2A7C00"/>
    <w:rsid w:val="4D2B9CFD"/>
    <w:rsid w:val="4D2EA424"/>
    <w:rsid w:val="4D31E198"/>
    <w:rsid w:val="4D324962"/>
    <w:rsid w:val="4D35251D"/>
    <w:rsid w:val="4D397AE0"/>
    <w:rsid w:val="4D3B933A"/>
    <w:rsid w:val="4D3C92A3"/>
    <w:rsid w:val="4D3EFD87"/>
    <w:rsid w:val="4D407B5F"/>
    <w:rsid w:val="4D440E48"/>
    <w:rsid w:val="4D46C7B0"/>
    <w:rsid w:val="4D4BC84D"/>
    <w:rsid w:val="4D4C9BB0"/>
    <w:rsid w:val="4D5114E8"/>
    <w:rsid w:val="4D554CC6"/>
    <w:rsid w:val="4D5602AC"/>
    <w:rsid w:val="4D656ACF"/>
    <w:rsid w:val="4D6A7050"/>
    <w:rsid w:val="4D6CDAAA"/>
    <w:rsid w:val="4D6F56A4"/>
    <w:rsid w:val="4D6F5E7C"/>
    <w:rsid w:val="4D6F9C0E"/>
    <w:rsid w:val="4D7204A6"/>
    <w:rsid w:val="4D7256AC"/>
    <w:rsid w:val="4D7B4088"/>
    <w:rsid w:val="4D7CCEE3"/>
    <w:rsid w:val="4D7EBFA8"/>
    <w:rsid w:val="4D8562B3"/>
    <w:rsid w:val="4D8B6EC3"/>
    <w:rsid w:val="4D8CB087"/>
    <w:rsid w:val="4D8DA25D"/>
    <w:rsid w:val="4D967A91"/>
    <w:rsid w:val="4D981C0A"/>
    <w:rsid w:val="4D9A60D3"/>
    <w:rsid w:val="4D9AA769"/>
    <w:rsid w:val="4DA0BB0A"/>
    <w:rsid w:val="4DA11CD5"/>
    <w:rsid w:val="4DA19DC0"/>
    <w:rsid w:val="4DA1D8A8"/>
    <w:rsid w:val="4DA2F66F"/>
    <w:rsid w:val="4DA63FC1"/>
    <w:rsid w:val="4DB9E3E5"/>
    <w:rsid w:val="4DC1DB2D"/>
    <w:rsid w:val="4DC31543"/>
    <w:rsid w:val="4DC9EF88"/>
    <w:rsid w:val="4DCDD40D"/>
    <w:rsid w:val="4DD18894"/>
    <w:rsid w:val="4DD514B0"/>
    <w:rsid w:val="4DD7235E"/>
    <w:rsid w:val="4DE49B2E"/>
    <w:rsid w:val="4DEDA37A"/>
    <w:rsid w:val="4DEDB21F"/>
    <w:rsid w:val="4DF5447F"/>
    <w:rsid w:val="4DF69699"/>
    <w:rsid w:val="4DF6B433"/>
    <w:rsid w:val="4DFCDF2D"/>
    <w:rsid w:val="4DFFEC4F"/>
    <w:rsid w:val="4E013352"/>
    <w:rsid w:val="4E074B26"/>
    <w:rsid w:val="4E093E99"/>
    <w:rsid w:val="4E0B9B72"/>
    <w:rsid w:val="4E167792"/>
    <w:rsid w:val="4E1856E1"/>
    <w:rsid w:val="4E2D1F8A"/>
    <w:rsid w:val="4E2E0225"/>
    <w:rsid w:val="4E2E1A28"/>
    <w:rsid w:val="4E2FBD95"/>
    <w:rsid w:val="4E411E3A"/>
    <w:rsid w:val="4E485C18"/>
    <w:rsid w:val="4E4F4F03"/>
    <w:rsid w:val="4E505A19"/>
    <w:rsid w:val="4E5C1E87"/>
    <w:rsid w:val="4E61964E"/>
    <w:rsid w:val="4E64749A"/>
    <w:rsid w:val="4E67B9DA"/>
    <w:rsid w:val="4E6898A8"/>
    <w:rsid w:val="4E6B0858"/>
    <w:rsid w:val="4E7AC767"/>
    <w:rsid w:val="4E7EB29C"/>
    <w:rsid w:val="4E7F167D"/>
    <w:rsid w:val="4E7F9E28"/>
    <w:rsid w:val="4E81D19C"/>
    <w:rsid w:val="4E87362F"/>
    <w:rsid w:val="4E9134D4"/>
    <w:rsid w:val="4E913B03"/>
    <w:rsid w:val="4E9C0937"/>
    <w:rsid w:val="4E9CC637"/>
    <w:rsid w:val="4EAFC381"/>
    <w:rsid w:val="4EB14089"/>
    <w:rsid w:val="4EBAE817"/>
    <w:rsid w:val="4EBCE8F8"/>
    <w:rsid w:val="4EBDC549"/>
    <w:rsid w:val="4EC52E80"/>
    <w:rsid w:val="4EC93E87"/>
    <w:rsid w:val="4EC98A10"/>
    <w:rsid w:val="4ECBE8B2"/>
    <w:rsid w:val="4ECDA5E9"/>
    <w:rsid w:val="4ECDCC9E"/>
    <w:rsid w:val="4ECFD798"/>
    <w:rsid w:val="4ED8AD5D"/>
    <w:rsid w:val="4ED9A8C8"/>
    <w:rsid w:val="4EDB3333"/>
    <w:rsid w:val="4EDC679C"/>
    <w:rsid w:val="4EDCD78C"/>
    <w:rsid w:val="4EE6E19D"/>
    <w:rsid w:val="4EE95A2B"/>
    <w:rsid w:val="4EECF888"/>
    <w:rsid w:val="4EEE1E0C"/>
    <w:rsid w:val="4EF24D20"/>
    <w:rsid w:val="4EF539ED"/>
    <w:rsid w:val="4EF65EC9"/>
    <w:rsid w:val="4EFAA0F2"/>
    <w:rsid w:val="4EFD56E1"/>
    <w:rsid w:val="4EFD784B"/>
    <w:rsid w:val="4EFF8A8C"/>
    <w:rsid w:val="4F02AB89"/>
    <w:rsid w:val="4F02FA56"/>
    <w:rsid w:val="4F03DDD4"/>
    <w:rsid w:val="4F0F8C66"/>
    <w:rsid w:val="4F139972"/>
    <w:rsid w:val="4F142E21"/>
    <w:rsid w:val="4F15A828"/>
    <w:rsid w:val="4F15F3DA"/>
    <w:rsid w:val="4F19A448"/>
    <w:rsid w:val="4F1A1516"/>
    <w:rsid w:val="4F1C9392"/>
    <w:rsid w:val="4F1D95CD"/>
    <w:rsid w:val="4F1D9B42"/>
    <w:rsid w:val="4F1F2B50"/>
    <w:rsid w:val="4F2F23AD"/>
    <w:rsid w:val="4F3C3C71"/>
    <w:rsid w:val="4F3CF257"/>
    <w:rsid w:val="4F3F87F2"/>
    <w:rsid w:val="4F3FE258"/>
    <w:rsid w:val="4F4179F9"/>
    <w:rsid w:val="4F4E0748"/>
    <w:rsid w:val="4F4EED58"/>
    <w:rsid w:val="4F5971D1"/>
    <w:rsid w:val="4F5CF0D8"/>
    <w:rsid w:val="4F6452EF"/>
    <w:rsid w:val="4F6597A2"/>
    <w:rsid w:val="4F66358B"/>
    <w:rsid w:val="4F66F9FB"/>
    <w:rsid w:val="4F7695C2"/>
    <w:rsid w:val="4F8045AE"/>
    <w:rsid w:val="4F83C3FC"/>
    <w:rsid w:val="4F9195A5"/>
    <w:rsid w:val="4F967198"/>
    <w:rsid w:val="4F985322"/>
    <w:rsid w:val="4F988EC8"/>
    <w:rsid w:val="4F9B7413"/>
    <w:rsid w:val="4F9C2E2C"/>
    <w:rsid w:val="4F9D844A"/>
    <w:rsid w:val="4F9FB9A4"/>
    <w:rsid w:val="4FA79EE2"/>
    <w:rsid w:val="4FAA1FD6"/>
    <w:rsid w:val="4FB21DD2"/>
    <w:rsid w:val="4FB70EDB"/>
    <w:rsid w:val="4FB8100B"/>
    <w:rsid w:val="4FB8D908"/>
    <w:rsid w:val="4FB9DC05"/>
    <w:rsid w:val="4FBBD1A7"/>
    <w:rsid w:val="4FBD2A0B"/>
    <w:rsid w:val="4FC408CE"/>
    <w:rsid w:val="4FCABFFB"/>
    <w:rsid w:val="4FD1D9B8"/>
    <w:rsid w:val="4FD4B022"/>
    <w:rsid w:val="4FD7E849"/>
    <w:rsid w:val="4FDC5320"/>
    <w:rsid w:val="4FDDB84A"/>
    <w:rsid w:val="4FDF69E0"/>
    <w:rsid w:val="4FE02110"/>
    <w:rsid w:val="4FE0409E"/>
    <w:rsid w:val="4FE0D614"/>
    <w:rsid w:val="4FE53723"/>
    <w:rsid w:val="4FEB0478"/>
    <w:rsid w:val="4FEF94DC"/>
    <w:rsid w:val="4FFA379E"/>
    <w:rsid w:val="4FFA53BE"/>
    <w:rsid w:val="4FFAB658"/>
    <w:rsid w:val="4FFAD094"/>
    <w:rsid w:val="5005FE20"/>
    <w:rsid w:val="5006DBB3"/>
    <w:rsid w:val="5007D96F"/>
    <w:rsid w:val="5014FBEE"/>
    <w:rsid w:val="5017059E"/>
    <w:rsid w:val="501BD58D"/>
    <w:rsid w:val="502456CB"/>
    <w:rsid w:val="50288669"/>
    <w:rsid w:val="5031FB69"/>
    <w:rsid w:val="503DCFDD"/>
    <w:rsid w:val="5049F202"/>
    <w:rsid w:val="504BBF88"/>
    <w:rsid w:val="504FFB44"/>
    <w:rsid w:val="5052081F"/>
    <w:rsid w:val="5053724E"/>
    <w:rsid w:val="5055C8A9"/>
    <w:rsid w:val="50567DA7"/>
    <w:rsid w:val="5056A1A5"/>
    <w:rsid w:val="505F46E0"/>
    <w:rsid w:val="5061A185"/>
    <w:rsid w:val="5062712D"/>
    <w:rsid w:val="50659D0A"/>
    <w:rsid w:val="5069AE7F"/>
    <w:rsid w:val="50775C00"/>
    <w:rsid w:val="5083977E"/>
    <w:rsid w:val="508FB536"/>
    <w:rsid w:val="5093E1CD"/>
    <w:rsid w:val="50951CDC"/>
    <w:rsid w:val="509BBBE0"/>
    <w:rsid w:val="50A34127"/>
    <w:rsid w:val="50A3D2D6"/>
    <w:rsid w:val="50A7CCFD"/>
    <w:rsid w:val="50AEC75D"/>
    <w:rsid w:val="50B99F87"/>
    <w:rsid w:val="50BAD472"/>
    <w:rsid w:val="50BF6945"/>
    <w:rsid w:val="50C79B44"/>
    <w:rsid w:val="50CDA608"/>
    <w:rsid w:val="50D6AC10"/>
    <w:rsid w:val="50E14E1A"/>
    <w:rsid w:val="50E332CC"/>
    <w:rsid w:val="50E37B43"/>
    <w:rsid w:val="50E42AFB"/>
    <w:rsid w:val="50E7ACE6"/>
    <w:rsid w:val="50E96B4A"/>
    <w:rsid w:val="50EA61BE"/>
    <w:rsid w:val="50F3251B"/>
    <w:rsid w:val="50F5C4C3"/>
    <w:rsid w:val="50F7083E"/>
    <w:rsid w:val="51027FDE"/>
    <w:rsid w:val="51078C32"/>
    <w:rsid w:val="510B1D89"/>
    <w:rsid w:val="510B6560"/>
    <w:rsid w:val="510C692F"/>
    <w:rsid w:val="511A16D5"/>
    <w:rsid w:val="51236CCA"/>
    <w:rsid w:val="51262404"/>
    <w:rsid w:val="512733F4"/>
    <w:rsid w:val="5130F68D"/>
    <w:rsid w:val="5132A19A"/>
    <w:rsid w:val="513A8DD7"/>
    <w:rsid w:val="513C560B"/>
    <w:rsid w:val="514413F3"/>
    <w:rsid w:val="5145B475"/>
    <w:rsid w:val="5146EC41"/>
    <w:rsid w:val="51481EEE"/>
    <w:rsid w:val="5149DC95"/>
    <w:rsid w:val="514BAC1E"/>
    <w:rsid w:val="51516BF4"/>
    <w:rsid w:val="51518977"/>
    <w:rsid w:val="51562D73"/>
    <w:rsid w:val="515FE8A2"/>
    <w:rsid w:val="516341F2"/>
    <w:rsid w:val="5169F6FE"/>
    <w:rsid w:val="5169F91A"/>
    <w:rsid w:val="51740299"/>
    <w:rsid w:val="51797AB3"/>
    <w:rsid w:val="517ABBEF"/>
    <w:rsid w:val="517D9D32"/>
    <w:rsid w:val="5186F668"/>
    <w:rsid w:val="518D87E2"/>
    <w:rsid w:val="518EB9E1"/>
    <w:rsid w:val="519123CE"/>
    <w:rsid w:val="5192E3EF"/>
    <w:rsid w:val="5194807F"/>
    <w:rsid w:val="51981926"/>
    <w:rsid w:val="5199FC6E"/>
    <w:rsid w:val="51A16CD2"/>
    <w:rsid w:val="51A409AA"/>
    <w:rsid w:val="51A71C7C"/>
    <w:rsid w:val="51A72219"/>
    <w:rsid w:val="51AA24BA"/>
    <w:rsid w:val="51AF82D7"/>
    <w:rsid w:val="51B0D420"/>
    <w:rsid w:val="51B2D381"/>
    <w:rsid w:val="51B6B072"/>
    <w:rsid w:val="51BD1114"/>
    <w:rsid w:val="51C6D911"/>
    <w:rsid w:val="51C6F1B6"/>
    <w:rsid w:val="51C9E3C0"/>
    <w:rsid w:val="51CA67D8"/>
    <w:rsid w:val="51CB5B26"/>
    <w:rsid w:val="51CC9727"/>
    <w:rsid w:val="51CEB65B"/>
    <w:rsid w:val="51CEF3C7"/>
    <w:rsid w:val="51D71FE8"/>
    <w:rsid w:val="51D8A62F"/>
    <w:rsid w:val="51DCBEFB"/>
    <w:rsid w:val="51DF7CFC"/>
    <w:rsid w:val="51EA4520"/>
    <w:rsid w:val="51ECD0D1"/>
    <w:rsid w:val="51EE4202"/>
    <w:rsid w:val="51F1E523"/>
    <w:rsid w:val="51F449B8"/>
    <w:rsid w:val="51F5168B"/>
    <w:rsid w:val="51F6007C"/>
    <w:rsid w:val="51FC1E51"/>
    <w:rsid w:val="51FC5FBA"/>
    <w:rsid w:val="5204161E"/>
    <w:rsid w:val="5207D8BE"/>
    <w:rsid w:val="520CE74A"/>
    <w:rsid w:val="521B7091"/>
    <w:rsid w:val="521C8E61"/>
    <w:rsid w:val="521F7595"/>
    <w:rsid w:val="522398A4"/>
    <w:rsid w:val="5226106F"/>
    <w:rsid w:val="522D8F54"/>
    <w:rsid w:val="522DA794"/>
    <w:rsid w:val="523AC4C2"/>
    <w:rsid w:val="523E5EC9"/>
    <w:rsid w:val="52411388"/>
    <w:rsid w:val="52415AA8"/>
    <w:rsid w:val="52465380"/>
    <w:rsid w:val="5247C234"/>
    <w:rsid w:val="524977BC"/>
    <w:rsid w:val="524A1B0D"/>
    <w:rsid w:val="5259CF87"/>
    <w:rsid w:val="52684188"/>
    <w:rsid w:val="526CE01C"/>
    <w:rsid w:val="526D6C70"/>
    <w:rsid w:val="526FFD9C"/>
    <w:rsid w:val="527007F6"/>
    <w:rsid w:val="527122C2"/>
    <w:rsid w:val="5275A8E0"/>
    <w:rsid w:val="527C5A4A"/>
    <w:rsid w:val="5295DA66"/>
    <w:rsid w:val="52970C09"/>
    <w:rsid w:val="529A5362"/>
    <w:rsid w:val="529E579D"/>
    <w:rsid w:val="52A19121"/>
    <w:rsid w:val="52A20B89"/>
    <w:rsid w:val="52A582DC"/>
    <w:rsid w:val="52A8A011"/>
    <w:rsid w:val="52ADBC6B"/>
    <w:rsid w:val="52AFB164"/>
    <w:rsid w:val="52B33AF2"/>
    <w:rsid w:val="52B58D9F"/>
    <w:rsid w:val="52B9B0D0"/>
    <w:rsid w:val="52BE9D32"/>
    <w:rsid w:val="52BF9536"/>
    <w:rsid w:val="52C08F67"/>
    <w:rsid w:val="52C2FF26"/>
    <w:rsid w:val="52C36392"/>
    <w:rsid w:val="52CBFB08"/>
    <w:rsid w:val="52CC83D8"/>
    <w:rsid w:val="52DDBC12"/>
    <w:rsid w:val="52DE2AEF"/>
    <w:rsid w:val="52F04372"/>
    <w:rsid w:val="52F15AE5"/>
    <w:rsid w:val="52F361C5"/>
    <w:rsid w:val="52F67832"/>
    <w:rsid w:val="5308F533"/>
    <w:rsid w:val="530F941F"/>
    <w:rsid w:val="53107F94"/>
    <w:rsid w:val="5313EB4C"/>
    <w:rsid w:val="53197FD6"/>
    <w:rsid w:val="531C26E8"/>
    <w:rsid w:val="531DFF1E"/>
    <w:rsid w:val="5320B6AD"/>
    <w:rsid w:val="5321BBC0"/>
    <w:rsid w:val="53253951"/>
    <w:rsid w:val="53268E0B"/>
    <w:rsid w:val="53274E4B"/>
    <w:rsid w:val="53312EA5"/>
    <w:rsid w:val="533ABCD4"/>
    <w:rsid w:val="533B6FE0"/>
    <w:rsid w:val="534380FE"/>
    <w:rsid w:val="53450AF4"/>
    <w:rsid w:val="5345A053"/>
    <w:rsid w:val="535404A7"/>
    <w:rsid w:val="5361DA99"/>
    <w:rsid w:val="5368009E"/>
    <w:rsid w:val="536C06ED"/>
    <w:rsid w:val="5378DCC2"/>
    <w:rsid w:val="5379365E"/>
    <w:rsid w:val="537B7099"/>
    <w:rsid w:val="537CD96A"/>
    <w:rsid w:val="538118E7"/>
    <w:rsid w:val="53849CB8"/>
    <w:rsid w:val="538901B3"/>
    <w:rsid w:val="538D8D30"/>
    <w:rsid w:val="538E4B2C"/>
    <w:rsid w:val="5392F0EF"/>
    <w:rsid w:val="539B305D"/>
    <w:rsid w:val="53A495C1"/>
    <w:rsid w:val="53A51F8F"/>
    <w:rsid w:val="53A6DDF2"/>
    <w:rsid w:val="53AEA02A"/>
    <w:rsid w:val="53B40545"/>
    <w:rsid w:val="53B7114A"/>
    <w:rsid w:val="53C39D99"/>
    <w:rsid w:val="53C632ED"/>
    <w:rsid w:val="53C6FDED"/>
    <w:rsid w:val="53CDCF07"/>
    <w:rsid w:val="53D1C7A8"/>
    <w:rsid w:val="53D76387"/>
    <w:rsid w:val="53DBA3EA"/>
    <w:rsid w:val="53DCD618"/>
    <w:rsid w:val="53DE51A7"/>
    <w:rsid w:val="53E60C90"/>
    <w:rsid w:val="53E89837"/>
    <w:rsid w:val="53F26AE7"/>
    <w:rsid w:val="540822D2"/>
    <w:rsid w:val="540A766C"/>
    <w:rsid w:val="54185B4A"/>
    <w:rsid w:val="54194145"/>
    <w:rsid w:val="541B1EAB"/>
    <w:rsid w:val="541D48FA"/>
    <w:rsid w:val="541F18EF"/>
    <w:rsid w:val="542B05F4"/>
    <w:rsid w:val="5440394F"/>
    <w:rsid w:val="54406AE0"/>
    <w:rsid w:val="54456F95"/>
    <w:rsid w:val="544B8C7D"/>
    <w:rsid w:val="544DC825"/>
    <w:rsid w:val="54603895"/>
    <w:rsid w:val="54606668"/>
    <w:rsid w:val="5467E3E5"/>
    <w:rsid w:val="5468CB53"/>
    <w:rsid w:val="546D548A"/>
    <w:rsid w:val="547187EA"/>
    <w:rsid w:val="54750BA1"/>
    <w:rsid w:val="5475F141"/>
    <w:rsid w:val="5477B61E"/>
    <w:rsid w:val="547C3D93"/>
    <w:rsid w:val="5480D899"/>
    <w:rsid w:val="5482A8BC"/>
    <w:rsid w:val="5487A827"/>
    <w:rsid w:val="548BC9DF"/>
    <w:rsid w:val="548EBE95"/>
    <w:rsid w:val="54954508"/>
    <w:rsid w:val="549B3AF3"/>
    <w:rsid w:val="549CC8C8"/>
    <w:rsid w:val="54A2B005"/>
    <w:rsid w:val="54A6138D"/>
    <w:rsid w:val="54B60212"/>
    <w:rsid w:val="54B638EE"/>
    <w:rsid w:val="54B7618E"/>
    <w:rsid w:val="54B9FB16"/>
    <w:rsid w:val="54BD6082"/>
    <w:rsid w:val="54C2857B"/>
    <w:rsid w:val="54C5077B"/>
    <w:rsid w:val="54C5652D"/>
    <w:rsid w:val="54CB5046"/>
    <w:rsid w:val="54D138FE"/>
    <w:rsid w:val="54E52DCD"/>
    <w:rsid w:val="54F28B7B"/>
    <w:rsid w:val="54F7204F"/>
    <w:rsid w:val="54FB814D"/>
    <w:rsid w:val="54FC876E"/>
    <w:rsid w:val="550211AB"/>
    <w:rsid w:val="55037CD5"/>
    <w:rsid w:val="5506CF6C"/>
    <w:rsid w:val="550B078D"/>
    <w:rsid w:val="550B6C8C"/>
    <w:rsid w:val="5512D0B3"/>
    <w:rsid w:val="5517B01C"/>
    <w:rsid w:val="551A0DE9"/>
    <w:rsid w:val="551ABEC1"/>
    <w:rsid w:val="55202AA3"/>
    <w:rsid w:val="5520DBED"/>
    <w:rsid w:val="5525DA30"/>
    <w:rsid w:val="552C7AB8"/>
    <w:rsid w:val="5538D27D"/>
    <w:rsid w:val="55398E61"/>
    <w:rsid w:val="553CA986"/>
    <w:rsid w:val="553CAC7D"/>
    <w:rsid w:val="5540791E"/>
    <w:rsid w:val="55434EC3"/>
    <w:rsid w:val="5543D2DA"/>
    <w:rsid w:val="5545ACC6"/>
    <w:rsid w:val="554649D2"/>
    <w:rsid w:val="5550952E"/>
    <w:rsid w:val="5555ECBC"/>
    <w:rsid w:val="5558BBBA"/>
    <w:rsid w:val="5559C28F"/>
    <w:rsid w:val="555AED39"/>
    <w:rsid w:val="555F0485"/>
    <w:rsid w:val="5564DB3E"/>
    <w:rsid w:val="5567BAB3"/>
    <w:rsid w:val="556A83B2"/>
    <w:rsid w:val="556B73C1"/>
    <w:rsid w:val="556C8260"/>
    <w:rsid w:val="5570F5FE"/>
    <w:rsid w:val="5576798D"/>
    <w:rsid w:val="557DC6DE"/>
    <w:rsid w:val="55848EBD"/>
    <w:rsid w:val="558AA50F"/>
    <w:rsid w:val="558B41F5"/>
    <w:rsid w:val="55906C85"/>
    <w:rsid w:val="559301F9"/>
    <w:rsid w:val="55933405"/>
    <w:rsid w:val="5594983C"/>
    <w:rsid w:val="559A09FE"/>
    <w:rsid w:val="559C47C6"/>
    <w:rsid w:val="559FBBFF"/>
    <w:rsid w:val="55A118FB"/>
    <w:rsid w:val="55AA762D"/>
    <w:rsid w:val="55ABD2F9"/>
    <w:rsid w:val="55AC875D"/>
    <w:rsid w:val="55B6E753"/>
    <w:rsid w:val="55B93ECE"/>
    <w:rsid w:val="55BDBFB5"/>
    <w:rsid w:val="55D181BE"/>
    <w:rsid w:val="55D49809"/>
    <w:rsid w:val="55D791C3"/>
    <w:rsid w:val="55DAAD5D"/>
    <w:rsid w:val="55DB07F8"/>
    <w:rsid w:val="55DD1B34"/>
    <w:rsid w:val="55E46BA4"/>
    <w:rsid w:val="55E95D6B"/>
    <w:rsid w:val="55EF2C43"/>
    <w:rsid w:val="55F7725D"/>
    <w:rsid w:val="5603D368"/>
    <w:rsid w:val="56043260"/>
    <w:rsid w:val="5605B1B4"/>
    <w:rsid w:val="560CA9F6"/>
    <w:rsid w:val="560D31CF"/>
    <w:rsid w:val="561A7D70"/>
    <w:rsid w:val="561B5648"/>
    <w:rsid w:val="5620C6BF"/>
    <w:rsid w:val="562AA9E7"/>
    <w:rsid w:val="562B96A8"/>
    <w:rsid w:val="562FE121"/>
    <w:rsid w:val="5631CDF0"/>
    <w:rsid w:val="56331F78"/>
    <w:rsid w:val="563469BF"/>
    <w:rsid w:val="56358161"/>
    <w:rsid w:val="563AF01E"/>
    <w:rsid w:val="563D48FB"/>
    <w:rsid w:val="56519CCA"/>
    <w:rsid w:val="5655489F"/>
    <w:rsid w:val="565F8F69"/>
    <w:rsid w:val="5668DF76"/>
    <w:rsid w:val="566DE97F"/>
    <w:rsid w:val="56706824"/>
    <w:rsid w:val="5673B214"/>
    <w:rsid w:val="5679BFEE"/>
    <w:rsid w:val="567D4348"/>
    <w:rsid w:val="5681D5FB"/>
    <w:rsid w:val="5691E006"/>
    <w:rsid w:val="56A52D69"/>
    <w:rsid w:val="56AA3ADA"/>
    <w:rsid w:val="56AD863B"/>
    <w:rsid w:val="56B2B011"/>
    <w:rsid w:val="56B41FAB"/>
    <w:rsid w:val="56B51D23"/>
    <w:rsid w:val="56C5FE3C"/>
    <w:rsid w:val="56C7B7D3"/>
    <w:rsid w:val="56C8C9A7"/>
    <w:rsid w:val="56CA8B22"/>
    <w:rsid w:val="56CB40D1"/>
    <w:rsid w:val="56D282D2"/>
    <w:rsid w:val="56E11421"/>
    <w:rsid w:val="56E58384"/>
    <w:rsid w:val="56E66831"/>
    <w:rsid w:val="56EB46BD"/>
    <w:rsid w:val="56EC089F"/>
    <w:rsid w:val="56EFE804"/>
    <w:rsid w:val="56F02C01"/>
    <w:rsid w:val="56F7FC0F"/>
    <w:rsid w:val="5700726A"/>
    <w:rsid w:val="57088DBC"/>
    <w:rsid w:val="570CC92D"/>
    <w:rsid w:val="571D5DE3"/>
    <w:rsid w:val="5722FF0F"/>
    <w:rsid w:val="5727A33D"/>
    <w:rsid w:val="572BA6BD"/>
    <w:rsid w:val="5741F5BD"/>
    <w:rsid w:val="57435AF1"/>
    <w:rsid w:val="574364F0"/>
    <w:rsid w:val="5744E1F6"/>
    <w:rsid w:val="5745B346"/>
    <w:rsid w:val="57460C76"/>
    <w:rsid w:val="5746C9C6"/>
    <w:rsid w:val="574DB29B"/>
    <w:rsid w:val="575319DD"/>
    <w:rsid w:val="5755C669"/>
    <w:rsid w:val="5755EE57"/>
    <w:rsid w:val="5756BB86"/>
    <w:rsid w:val="576394C8"/>
    <w:rsid w:val="57664894"/>
    <w:rsid w:val="57665CFC"/>
    <w:rsid w:val="57739743"/>
    <w:rsid w:val="5779BF00"/>
    <w:rsid w:val="577CDA41"/>
    <w:rsid w:val="5783CF03"/>
    <w:rsid w:val="5787689E"/>
    <w:rsid w:val="578B1355"/>
    <w:rsid w:val="578F2B07"/>
    <w:rsid w:val="57A0006A"/>
    <w:rsid w:val="57A04659"/>
    <w:rsid w:val="57A31AB8"/>
    <w:rsid w:val="57A625F2"/>
    <w:rsid w:val="57A77261"/>
    <w:rsid w:val="57A9997B"/>
    <w:rsid w:val="57AEFD1D"/>
    <w:rsid w:val="57B0B546"/>
    <w:rsid w:val="57B14932"/>
    <w:rsid w:val="57BC0D74"/>
    <w:rsid w:val="57BDD4D0"/>
    <w:rsid w:val="57BE8C83"/>
    <w:rsid w:val="57C9770B"/>
    <w:rsid w:val="57DEBEE4"/>
    <w:rsid w:val="57E2D040"/>
    <w:rsid w:val="57E52CE7"/>
    <w:rsid w:val="57E5D7E0"/>
    <w:rsid w:val="57EA07CB"/>
    <w:rsid w:val="57EA978A"/>
    <w:rsid w:val="57EBD107"/>
    <w:rsid w:val="57ED3F4C"/>
    <w:rsid w:val="57F0D0BC"/>
    <w:rsid w:val="57F0DC94"/>
    <w:rsid w:val="57F13054"/>
    <w:rsid w:val="57F5C5DA"/>
    <w:rsid w:val="58213CC8"/>
    <w:rsid w:val="582185B9"/>
    <w:rsid w:val="5825F5A1"/>
    <w:rsid w:val="58275B63"/>
    <w:rsid w:val="582B60BC"/>
    <w:rsid w:val="582C91F8"/>
    <w:rsid w:val="5833C96A"/>
    <w:rsid w:val="58340805"/>
    <w:rsid w:val="5835B2D7"/>
    <w:rsid w:val="583724AE"/>
    <w:rsid w:val="5838A684"/>
    <w:rsid w:val="5842A34A"/>
    <w:rsid w:val="5844235D"/>
    <w:rsid w:val="58457451"/>
    <w:rsid w:val="5849F89F"/>
    <w:rsid w:val="5858A83C"/>
    <w:rsid w:val="585E3CC6"/>
    <w:rsid w:val="5865B5FB"/>
    <w:rsid w:val="586711DB"/>
    <w:rsid w:val="586ADAB8"/>
    <w:rsid w:val="586D7CFA"/>
    <w:rsid w:val="58727809"/>
    <w:rsid w:val="5872AB87"/>
    <w:rsid w:val="5875BAAF"/>
    <w:rsid w:val="58794409"/>
    <w:rsid w:val="587D9A3A"/>
    <w:rsid w:val="587E007C"/>
    <w:rsid w:val="5888DC4D"/>
    <w:rsid w:val="588C22EF"/>
    <w:rsid w:val="588F2D22"/>
    <w:rsid w:val="5890DDC4"/>
    <w:rsid w:val="5897DE86"/>
    <w:rsid w:val="5899C899"/>
    <w:rsid w:val="589A888F"/>
    <w:rsid w:val="589E560B"/>
    <w:rsid w:val="58A003E5"/>
    <w:rsid w:val="58A22622"/>
    <w:rsid w:val="58A6F994"/>
    <w:rsid w:val="58A795C8"/>
    <w:rsid w:val="58AC85C7"/>
    <w:rsid w:val="58B049F2"/>
    <w:rsid w:val="58B0ADBD"/>
    <w:rsid w:val="58B53766"/>
    <w:rsid w:val="58B547B9"/>
    <w:rsid w:val="58B9EE5E"/>
    <w:rsid w:val="58C57467"/>
    <w:rsid w:val="58CA035C"/>
    <w:rsid w:val="58CFC592"/>
    <w:rsid w:val="58D62E93"/>
    <w:rsid w:val="58D68632"/>
    <w:rsid w:val="58DB9881"/>
    <w:rsid w:val="58DEC12F"/>
    <w:rsid w:val="58E75F39"/>
    <w:rsid w:val="58EC7B8E"/>
    <w:rsid w:val="58ED6FA8"/>
    <w:rsid w:val="58F7D98D"/>
    <w:rsid w:val="58F9F54A"/>
    <w:rsid w:val="58FA60BF"/>
    <w:rsid w:val="58FA892D"/>
    <w:rsid w:val="590E20B9"/>
    <w:rsid w:val="59155180"/>
    <w:rsid w:val="59259D96"/>
    <w:rsid w:val="592F16C7"/>
    <w:rsid w:val="592F5EB5"/>
    <w:rsid w:val="5930BFDA"/>
    <w:rsid w:val="5930EF1E"/>
    <w:rsid w:val="59335B7E"/>
    <w:rsid w:val="59370166"/>
    <w:rsid w:val="59377354"/>
    <w:rsid w:val="59388681"/>
    <w:rsid w:val="5947F1A7"/>
    <w:rsid w:val="594E6C37"/>
    <w:rsid w:val="59545A0D"/>
    <w:rsid w:val="595B56EB"/>
    <w:rsid w:val="5963CC4C"/>
    <w:rsid w:val="5965F58D"/>
    <w:rsid w:val="5968E31F"/>
    <w:rsid w:val="596C834C"/>
    <w:rsid w:val="596CD89C"/>
    <w:rsid w:val="5976EF6B"/>
    <w:rsid w:val="597B37A6"/>
    <w:rsid w:val="597FFEFF"/>
    <w:rsid w:val="599947C6"/>
    <w:rsid w:val="599A9EBE"/>
    <w:rsid w:val="599E82F3"/>
    <w:rsid w:val="59A23B64"/>
    <w:rsid w:val="59AB904B"/>
    <w:rsid w:val="59AC93E3"/>
    <w:rsid w:val="59AE9E8B"/>
    <w:rsid w:val="59BA8638"/>
    <w:rsid w:val="59BDF417"/>
    <w:rsid w:val="59BE438C"/>
    <w:rsid w:val="59CCE0CB"/>
    <w:rsid w:val="59CE5BE6"/>
    <w:rsid w:val="59D3E06D"/>
    <w:rsid w:val="59D802C7"/>
    <w:rsid w:val="59DC3680"/>
    <w:rsid w:val="59DCC23B"/>
    <w:rsid w:val="59DFAD17"/>
    <w:rsid w:val="59DFE571"/>
    <w:rsid w:val="59E169D7"/>
    <w:rsid w:val="59E19A37"/>
    <w:rsid w:val="59E1E2CF"/>
    <w:rsid w:val="59E28D27"/>
    <w:rsid w:val="59E75770"/>
    <w:rsid w:val="59F13DEC"/>
    <w:rsid w:val="59FDD971"/>
    <w:rsid w:val="59FF64E7"/>
    <w:rsid w:val="5A009CBF"/>
    <w:rsid w:val="5A036E27"/>
    <w:rsid w:val="5A0482BB"/>
    <w:rsid w:val="5A0E3251"/>
    <w:rsid w:val="5A1982A5"/>
    <w:rsid w:val="5A1FA7D5"/>
    <w:rsid w:val="5A2170D5"/>
    <w:rsid w:val="5A22AA8F"/>
    <w:rsid w:val="5A23E8DE"/>
    <w:rsid w:val="5A240CBC"/>
    <w:rsid w:val="5A27C1EC"/>
    <w:rsid w:val="5A29513F"/>
    <w:rsid w:val="5A2CA4D1"/>
    <w:rsid w:val="5A2D0C37"/>
    <w:rsid w:val="5A2FD036"/>
    <w:rsid w:val="5A302F5F"/>
    <w:rsid w:val="5A3308BC"/>
    <w:rsid w:val="5A365179"/>
    <w:rsid w:val="5A38C2AD"/>
    <w:rsid w:val="5A3B2082"/>
    <w:rsid w:val="5A467100"/>
    <w:rsid w:val="5A4C4063"/>
    <w:rsid w:val="5A4C9871"/>
    <w:rsid w:val="5A4DD8EF"/>
    <w:rsid w:val="5A4E9B29"/>
    <w:rsid w:val="5A50CD57"/>
    <w:rsid w:val="5A575846"/>
    <w:rsid w:val="5A5BDC85"/>
    <w:rsid w:val="5A615209"/>
    <w:rsid w:val="5A6C343D"/>
    <w:rsid w:val="5A6C429A"/>
    <w:rsid w:val="5A6F31D4"/>
    <w:rsid w:val="5A7339D3"/>
    <w:rsid w:val="5A750480"/>
    <w:rsid w:val="5A7C3A14"/>
    <w:rsid w:val="5A8D031B"/>
    <w:rsid w:val="5A922CA8"/>
    <w:rsid w:val="5A95E821"/>
    <w:rsid w:val="5A9E1119"/>
    <w:rsid w:val="5AA173CA"/>
    <w:rsid w:val="5AA36F6F"/>
    <w:rsid w:val="5AA3C39C"/>
    <w:rsid w:val="5AA59530"/>
    <w:rsid w:val="5AA79B1B"/>
    <w:rsid w:val="5AACDF64"/>
    <w:rsid w:val="5AAD6C49"/>
    <w:rsid w:val="5AAFF778"/>
    <w:rsid w:val="5AB57E07"/>
    <w:rsid w:val="5AB67A9D"/>
    <w:rsid w:val="5ABD1D5C"/>
    <w:rsid w:val="5ABF38B7"/>
    <w:rsid w:val="5AC08954"/>
    <w:rsid w:val="5AC33744"/>
    <w:rsid w:val="5ACBF1B7"/>
    <w:rsid w:val="5ACCD920"/>
    <w:rsid w:val="5ACE31EA"/>
    <w:rsid w:val="5AD6F1EC"/>
    <w:rsid w:val="5ADA6443"/>
    <w:rsid w:val="5ADAAA5D"/>
    <w:rsid w:val="5AEB68DA"/>
    <w:rsid w:val="5AEDFEDF"/>
    <w:rsid w:val="5AEE2955"/>
    <w:rsid w:val="5AEEB4CC"/>
    <w:rsid w:val="5AF1961E"/>
    <w:rsid w:val="5AF577A5"/>
    <w:rsid w:val="5AFBA063"/>
    <w:rsid w:val="5AFCA6FA"/>
    <w:rsid w:val="5AFE99E3"/>
    <w:rsid w:val="5B056DF9"/>
    <w:rsid w:val="5B0C91F4"/>
    <w:rsid w:val="5B19E3C0"/>
    <w:rsid w:val="5B1BFBCD"/>
    <w:rsid w:val="5B229737"/>
    <w:rsid w:val="5B25D9FC"/>
    <w:rsid w:val="5B27A4AF"/>
    <w:rsid w:val="5B2B1744"/>
    <w:rsid w:val="5B2CC418"/>
    <w:rsid w:val="5B382708"/>
    <w:rsid w:val="5B3A0B16"/>
    <w:rsid w:val="5B3AEAF6"/>
    <w:rsid w:val="5B3BEEFB"/>
    <w:rsid w:val="5B4C41B2"/>
    <w:rsid w:val="5B4EF663"/>
    <w:rsid w:val="5B52CB0A"/>
    <w:rsid w:val="5B552193"/>
    <w:rsid w:val="5B573475"/>
    <w:rsid w:val="5B59E13C"/>
    <w:rsid w:val="5B5D9E15"/>
    <w:rsid w:val="5B5E2871"/>
    <w:rsid w:val="5B5F5ABB"/>
    <w:rsid w:val="5B5FC703"/>
    <w:rsid w:val="5B64396F"/>
    <w:rsid w:val="5B68176A"/>
    <w:rsid w:val="5B6E4AB2"/>
    <w:rsid w:val="5B6EAF73"/>
    <w:rsid w:val="5B79F89E"/>
    <w:rsid w:val="5B8061BF"/>
    <w:rsid w:val="5B8524C0"/>
    <w:rsid w:val="5B85D80E"/>
    <w:rsid w:val="5B8E8E9B"/>
    <w:rsid w:val="5B8F0116"/>
    <w:rsid w:val="5B9396DD"/>
    <w:rsid w:val="5BA2D6A0"/>
    <w:rsid w:val="5BA8A676"/>
    <w:rsid w:val="5BAF6331"/>
    <w:rsid w:val="5BB0185E"/>
    <w:rsid w:val="5BB5ED84"/>
    <w:rsid w:val="5BBD3D42"/>
    <w:rsid w:val="5BC5F171"/>
    <w:rsid w:val="5BC8673E"/>
    <w:rsid w:val="5BC881EC"/>
    <w:rsid w:val="5BCC0885"/>
    <w:rsid w:val="5BCFAC91"/>
    <w:rsid w:val="5BD090D8"/>
    <w:rsid w:val="5BD799C9"/>
    <w:rsid w:val="5BD9E972"/>
    <w:rsid w:val="5BDA4A43"/>
    <w:rsid w:val="5BE5C0B8"/>
    <w:rsid w:val="5BE6270C"/>
    <w:rsid w:val="5BEC03ED"/>
    <w:rsid w:val="5BEEFD12"/>
    <w:rsid w:val="5BF0F273"/>
    <w:rsid w:val="5BF2F210"/>
    <w:rsid w:val="5BF34DA8"/>
    <w:rsid w:val="5BF65864"/>
    <w:rsid w:val="5BF77730"/>
    <w:rsid w:val="5BFC0168"/>
    <w:rsid w:val="5BFC47C5"/>
    <w:rsid w:val="5BFCE169"/>
    <w:rsid w:val="5BFE0D19"/>
    <w:rsid w:val="5C003A1C"/>
    <w:rsid w:val="5C06B3C3"/>
    <w:rsid w:val="5C070D24"/>
    <w:rsid w:val="5C09817C"/>
    <w:rsid w:val="5C0A3242"/>
    <w:rsid w:val="5C12B43E"/>
    <w:rsid w:val="5C180934"/>
    <w:rsid w:val="5C200F9F"/>
    <w:rsid w:val="5C2931A5"/>
    <w:rsid w:val="5C29C0D0"/>
    <w:rsid w:val="5C2A5A6E"/>
    <w:rsid w:val="5C2FBD4D"/>
    <w:rsid w:val="5C3036D2"/>
    <w:rsid w:val="5C360E6F"/>
    <w:rsid w:val="5C39309F"/>
    <w:rsid w:val="5C3D5A3A"/>
    <w:rsid w:val="5C4AA1DC"/>
    <w:rsid w:val="5C4D67B3"/>
    <w:rsid w:val="5C50E730"/>
    <w:rsid w:val="5C51CC95"/>
    <w:rsid w:val="5C54BB63"/>
    <w:rsid w:val="5C565E8D"/>
    <w:rsid w:val="5C57B09B"/>
    <w:rsid w:val="5C59A378"/>
    <w:rsid w:val="5C5AF4C0"/>
    <w:rsid w:val="5C5B91AB"/>
    <w:rsid w:val="5C5C3F20"/>
    <w:rsid w:val="5C5E2826"/>
    <w:rsid w:val="5C639788"/>
    <w:rsid w:val="5C688C23"/>
    <w:rsid w:val="5C6C9D47"/>
    <w:rsid w:val="5C6EFCC9"/>
    <w:rsid w:val="5C7516B7"/>
    <w:rsid w:val="5C7D89C3"/>
    <w:rsid w:val="5C7E0456"/>
    <w:rsid w:val="5C7FEDFE"/>
    <w:rsid w:val="5C81035B"/>
    <w:rsid w:val="5C828955"/>
    <w:rsid w:val="5C84A7D0"/>
    <w:rsid w:val="5C853A39"/>
    <w:rsid w:val="5C8A02E8"/>
    <w:rsid w:val="5C94BA18"/>
    <w:rsid w:val="5C98F3A0"/>
    <w:rsid w:val="5CAA092D"/>
    <w:rsid w:val="5CAD4B12"/>
    <w:rsid w:val="5CB2325B"/>
    <w:rsid w:val="5CB2B15A"/>
    <w:rsid w:val="5CB3A05D"/>
    <w:rsid w:val="5CB4F904"/>
    <w:rsid w:val="5CB95109"/>
    <w:rsid w:val="5CC03F08"/>
    <w:rsid w:val="5CC09D85"/>
    <w:rsid w:val="5CC7C9AE"/>
    <w:rsid w:val="5CC9BC8C"/>
    <w:rsid w:val="5CCC68BB"/>
    <w:rsid w:val="5CCCCD25"/>
    <w:rsid w:val="5CD3367B"/>
    <w:rsid w:val="5CD3E281"/>
    <w:rsid w:val="5CD46AEC"/>
    <w:rsid w:val="5CD54D77"/>
    <w:rsid w:val="5CDDE8A7"/>
    <w:rsid w:val="5CE3595C"/>
    <w:rsid w:val="5CEA3F29"/>
    <w:rsid w:val="5CEC39CB"/>
    <w:rsid w:val="5CF32E3E"/>
    <w:rsid w:val="5CF390C1"/>
    <w:rsid w:val="5CF482E8"/>
    <w:rsid w:val="5CF7B52C"/>
    <w:rsid w:val="5CF9AA0C"/>
    <w:rsid w:val="5CFAFB01"/>
    <w:rsid w:val="5CFC0D05"/>
    <w:rsid w:val="5CFD925E"/>
    <w:rsid w:val="5D009D17"/>
    <w:rsid w:val="5D02002C"/>
    <w:rsid w:val="5D056D53"/>
    <w:rsid w:val="5D05B211"/>
    <w:rsid w:val="5D05DAC6"/>
    <w:rsid w:val="5D08B97C"/>
    <w:rsid w:val="5D1490D1"/>
    <w:rsid w:val="5D15339C"/>
    <w:rsid w:val="5D17D5E7"/>
    <w:rsid w:val="5D1B1E15"/>
    <w:rsid w:val="5D23C659"/>
    <w:rsid w:val="5D2799E2"/>
    <w:rsid w:val="5D2DE08D"/>
    <w:rsid w:val="5D2E6148"/>
    <w:rsid w:val="5D2F7BE2"/>
    <w:rsid w:val="5D30BB45"/>
    <w:rsid w:val="5D36B4A6"/>
    <w:rsid w:val="5D39D3A1"/>
    <w:rsid w:val="5D3A6B60"/>
    <w:rsid w:val="5D3BE5E5"/>
    <w:rsid w:val="5D3DEE2D"/>
    <w:rsid w:val="5D42CD69"/>
    <w:rsid w:val="5D42E8C4"/>
    <w:rsid w:val="5D448760"/>
    <w:rsid w:val="5D4C377E"/>
    <w:rsid w:val="5D51CDAC"/>
    <w:rsid w:val="5D53E3A4"/>
    <w:rsid w:val="5D564B90"/>
    <w:rsid w:val="5D571785"/>
    <w:rsid w:val="5D5AB8A0"/>
    <w:rsid w:val="5D600073"/>
    <w:rsid w:val="5D608764"/>
    <w:rsid w:val="5D6655F5"/>
    <w:rsid w:val="5D66B4F7"/>
    <w:rsid w:val="5D71A447"/>
    <w:rsid w:val="5D74F449"/>
    <w:rsid w:val="5D8D8669"/>
    <w:rsid w:val="5D93735D"/>
    <w:rsid w:val="5D9503DE"/>
    <w:rsid w:val="5D980915"/>
    <w:rsid w:val="5D9A8705"/>
    <w:rsid w:val="5D9BFDE8"/>
    <w:rsid w:val="5D9D7441"/>
    <w:rsid w:val="5DA08B3F"/>
    <w:rsid w:val="5DA2876F"/>
    <w:rsid w:val="5DAB3AEA"/>
    <w:rsid w:val="5DABE3C9"/>
    <w:rsid w:val="5DAFF3BC"/>
    <w:rsid w:val="5DB2018F"/>
    <w:rsid w:val="5DB53E7E"/>
    <w:rsid w:val="5DB80C45"/>
    <w:rsid w:val="5DC2B238"/>
    <w:rsid w:val="5DC56008"/>
    <w:rsid w:val="5DCAFFDF"/>
    <w:rsid w:val="5DCC7E58"/>
    <w:rsid w:val="5DCE82D3"/>
    <w:rsid w:val="5DD0288C"/>
    <w:rsid w:val="5DD058E1"/>
    <w:rsid w:val="5DD413D2"/>
    <w:rsid w:val="5DE7A4B5"/>
    <w:rsid w:val="5DE7CBD9"/>
    <w:rsid w:val="5DEE583B"/>
    <w:rsid w:val="5DF079CB"/>
    <w:rsid w:val="5DFB39BA"/>
    <w:rsid w:val="5DFB48A7"/>
    <w:rsid w:val="5DFBED2F"/>
    <w:rsid w:val="5E0922F5"/>
    <w:rsid w:val="5E096CC9"/>
    <w:rsid w:val="5E0D6451"/>
    <w:rsid w:val="5E0E4D5C"/>
    <w:rsid w:val="5E10EE5B"/>
    <w:rsid w:val="5E149D7B"/>
    <w:rsid w:val="5E17AAFA"/>
    <w:rsid w:val="5E1A9238"/>
    <w:rsid w:val="5E1D58E9"/>
    <w:rsid w:val="5E224DCB"/>
    <w:rsid w:val="5E26199C"/>
    <w:rsid w:val="5E31AC5C"/>
    <w:rsid w:val="5E359E02"/>
    <w:rsid w:val="5E37269E"/>
    <w:rsid w:val="5E39CD38"/>
    <w:rsid w:val="5E3A631B"/>
    <w:rsid w:val="5E3BE50E"/>
    <w:rsid w:val="5E40EF31"/>
    <w:rsid w:val="5E448E1F"/>
    <w:rsid w:val="5E4AC483"/>
    <w:rsid w:val="5E55A5F7"/>
    <w:rsid w:val="5E5AFAD6"/>
    <w:rsid w:val="5E5D241D"/>
    <w:rsid w:val="5E6D8FC4"/>
    <w:rsid w:val="5E6E9C1D"/>
    <w:rsid w:val="5E6ECD50"/>
    <w:rsid w:val="5E6F8AF2"/>
    <w:rsid w:val="5E715263"/>
    <w:rsid w:val="5E7A15B2"/>
    <w:rsid w:val="5E7BA21F"/>
    <w:rsid w:val="5E8E6BDA"/>
    <w:rsid w:val="5E9102D6"/>
    <w:rsid w:val="5E98EB75"/>
    <w:rsid w:val="5E9B3DD6"/>
    <w:rsid w:val="5E9CC055"/>
    <w:rsid w:val="5E9D37E9"/>
    <w:rsid w:val="5E9F6D7E"/>
    <w:rsid w:val="5EA13731"/>
    <w:rsid w:val="5EACE94F"/>
    <w:rsid w:val="5EB1D8BA"/>
    <w:rsid w:val="5EB318FE"/>
    <w:rsid w:val="5EB8C66E"/>
    <w:rsid w:val="5EB9AA02"/>
    <w:rsid w:val="5EBA8A30"/>
    <w:rsid w:val="5EC05890"/>
    <w:rsid w:val="5ED73C87"/>
    <w:rsid w:val="5EDCAE79"/>
    <w:rsid w:val="5EE1AFE5"/>
    <w:rsid w:val="5EE3A953"/>
    <w:rsid w:val="5EE68D3F"/>
    <w:rsid w:val="5F13DF45"/>
    <w:rsid w:val="5F1638E7"/>
    <w:rsid w:val="5F171530"/>
    <w:rsid w:val="5F173655"/>
    <w:rsid w:val="5F1E8363"/>
    <w:rsid w:val="5F1EE487"/>
    <w:rsid w:val="5F237EB8"/>
    <w:rsid w:val="5F2403BB"/>
    <w:rsid w:val="5F2578ED"/>
    <w:rsid w:val="5F286DC2"/>
    <w:rsid w:val="5F347894"/>
    <w:rsid w:val="5F37CFBB"/>
    <w:rsid w:val="5F3A512E"/>
    <w:rsid w:val="5F3BAD54"/>
    <w:rsid w:val="5F47663A"/>
    <w:rsid w:val="5F4FEB93"/>
    <w:rsid w:val="5F5099A2"/>
    <w:rsid w:val="5F594A99"/>
    <w:rsid w:val="5F5F0E5A"/>
    <w:rsid w:val="5F642023"/>
    <w:rsid w:val="5F668FC6"/>
    <w:rsid w:val="5F674FAA"/>
    <w:rsid w:val="5F683AD7"/>
    <w:rsid w:val="5F685EF2"/>
    <w:rsid w:val="5F68B3BB"/>
    <w:rsid w:val="5F6A685D"/>
    <w:rsid w:val="5F6EF455"/>
    <w:rsid w:val="5F720B98"/>
    <w:rsid w:val="5F75E698"/>
    <w:rsid w:val="5F76F4A8"/>
    <w:rsid w:val="5F7A83CA"/>
    <w:rsid w:val="5F7B2341"/>
    <w:rsid w:val="5F8135D7"/>
    <w:rsid w:val="5F84C609"/>
    <w:rsid w:val="5F863FA4"/>
    <w:rsid w:val="5F8820A9"/>
    <w:rsid w:val="5F88FE7E"/>
    <w:rsid w:val="5F923B9B"/>
    <w:rsid w:val="5F93AD99"/>
    <w:rsid w:val="5F95B7D0"/>
    <w:rsid w:val="5F987F0E"/>
    <w:rsid w:val="5FA3B305"/>
    <w:rsid w:val="5FA72CAE"/>
    <w:rsid w:val="5FAF9F6D"/>
    <w:rsid w:val="5FB7C5E2"/>
    <w:rsid w:val="5FBAFEFB"/>
    <w:rsid w:val="5FBD4498"/>
    <w:rsid w:val="5FCC032E"/>
    <w:rsid w:val="5FD4A483"/>
    <w:rsid w:val="5FD90390"/>
    <w:rsid w:val="5FE509EF"/>
    <w:rsid w:val="5FE88C42"/>
    <w:rsid w:val="5FED6D6D"/>
    <w:rsid w:val="5FEF546C"/>
    <w:rsid w:val="5FF2C15B"/>
    <w:rsid w:val="5FF2EC0F"/>
    <w:rsid w:val="60013476"/>
    <w:rsid w:val="6001C41D"/>
    <w:rsid w:val="6007B4B4"/>
    <w:rsid w:val="6008BD9D"/>
    <w:rsid w:val="600B295B"/>
    <w:rsid w:val="600F2662"/>
    <w:rsid w:val="60166167"/>
    <w:rsid w:val="601668CF"/>
    <w:rsid w:val="60242E47"/>
    <w:rsid w:val="602944A2"/>
    <w:rsid w:val="602B5BC6"/>
    <w:rsid w:val="602D70F1"/>
    <w:rsid w:val="602FA480"/>
    <w:rsid w:val="6033BFCA"/>
    <w:rsid w:val="604641BD"/>
    <w:rsid w:val="6046DCAD"/>
    <w:rsid w:val="604E6BE3"/>
    <w:rsid w:val="6053749C"/>
    <w:rsid w:val="605881C8"/>
    <w:rsid w:val="605A7FEF"/>
    <w:rsid w:val="605C342C"/>
    <w:rsid w:val="6070F150"/>
    <w:rsid w:val="607C279C"/>
    <w:rsid w:val="607EB3E2"/>
    <w:rsid w:val="6080C7E5"/>
    <w:rsid w:val="608106B2"/>
    <w:rsid w:val="60811978"/>
    <w:rsid w:val="6084E21F"/>
    <w:rsid w:val="608A1908"/>
    <w:rsid w:val="608D99C8"/>
    <w:rsid w:val="608EB48D"/>
    <w:rsid w:val="6091E38A"/>
    <w:rsid w:val="609A2E91"/>
    <w:rsid w:val="609A6CBD"/>
    <w:rsid w:val="60A201E4"/>
    <w:rsid w:val="60A2AEF9"/>
    <w:rsid w:val="60A955AC"/>
    <w:rsid w:val="60AE60D7"/>
    <w:rsid w:val="60B4CBE8"/>
    <w:rsid w:val="60B5CA5E"/>
    <w:rsid w:val="60B86E54"/>
    <w:rsid w:val="60BA66C1"/>
    <w:rsid w:val="60BC940D"/>
    <w:rsid w:val="60C9BFA1"/>
    <w:rsid w:val="60CAFFD1"/>
    <w:rsid w:val="60D4AB59"/>
    <w:rsid w:val="60D5C859"/>
    <w:rsid w:val="60D79845"/>
    <w:rsid w:val="60D80264"/>
    <w:rsid w:val="60DA346E"/>
    <w:rsid w:val="60DC2B18"/>
    <w:rsid w:val="60DEA5B2"/>
    <w:rsid w:val="60E09166"/>
    <w:rsid w:val="60E0F20A"/>
    <w:rsid w:val="60EC46D9"/>
    <w:rsid w:val="60EF5D85"/>
    <w:rsid w:val="60EFDD55"/>
    <w:rsid w:val="60F3A30F"/>
    <w:rsid w:val="60F7266C"/>
    <w:rsid w:val="60F7C4FA"/>
    <w:rsid w:val="60FA0420"/>
    <w:rsid w:val="60FBA800"/>
    <w:rsid w:val="60FF0052"/>
    <w:rsid w:val="6102CD70"/>
    <w:rsid w:val="6103582A"/>
    <w:rsid w:val="6107FECF"/>
    <w:rsid w:val="610FDE98"/>
    <w:rsid w:val="6112E32A"/>
    <w:rsid w:val="6112E8F2"/>
    <w:rsid w:val="6113BEEE"/>
    <w:rsid w:val="61148470"/>
    <w:rsid w:val="61159199"/>
    <w:rsid w:val="6116EEBD"/>
    <w:rsid w:val="6118A353"/>
    <w:rsid w:val="611C285C"/>
    <w:rsid w:val="61260163"/>
    <w:rsid w:val="612A163E"/>
    <w:rsid w:val="612CA1EF"/>
    <w:rsid w:val="613418C6"/>
    <w:rsid w:val="61348914"/>
    <w:rsid w:val="6137EFF5"/>
    <w:rsid w:val="613BF80C"/>
    <w:rsid w:val="613F5CE9"/>
    <w:rsid w:val="613F62AD"/>
    <w:rsid w:val="61402147"/>
    <w:rsid w:val="61414892"/>
    <w:rsid w:val="61498A4C"/>
    <w:rsid w:val="614B0139"/>
    <w:rsid w:val="6164E1AF"/>
    <w:rsid w:val="61672528"/>
    <w:rsid w:val="61688588"/>
    <w:rsid w:val="616929CF"/>
    <w:rsid w:val="616DCF3B"/>
    <w:rsid w:val="617A79F2"/>
    <w:rsid w:val="617DD6E0"/>
    <w:rsid w:val="617FC7FC"/>
    <w:rsid w:val="618303B5"/>
    <w:rsid w:val="6184C391"/>
    <w:rsid w:val="61869EE5"/>
    <w:rsid w:val="6188C05C"/>
    <w:rsid w:val="61921EA8"/>
    <w:rsid w:val="61929D98"/>
    <w:rsid w:val="6194D028"/>
    <w:rsid w:val="6196487A"/>
    <w:rsid w:val="619C3256"/>
    <w:rsid w:val="619C95EA"/>
    <w:rsid w:val="61A0C77E"/>
    <w:rsid w:val="61A44BBD"/>
    <w:rsid w:val="61A5C37E"/>
    <w:rsid w:val="61A6DDF9"/>
    <w:rsid w:val="61A9ABA9"/>
    <w:rsid w:val="61AB63D6"/>
    <w:rsid w:val="61B43F82"/>
    <w:rsid w:val="61B6D944"/>
    <w:rsid w:val="61B75A84"/>
    <w:rsid w:val="61B8E6E9"/>
    <w:rsid w:val="61C0E292"/>
    <w:rsid w:val="61D21803"/>
    <w:rsid w:val="61D3BD59"/>
    <w:rsid w:val="61D5C625"/>
    <w:rsid w:val="61D998E8"/>
    <w:rsid w:val="61E3D0F4"/>
    <w:rsid w:val="61E890E9"/>
    <w:rsid w:val="61E8F7D7"/>
    <w:rsid w:val="61E96ECC"/>
    <w:rsid w:val="61ED84B7"/>
    <w:rsid w:val="61FB33F1"/>
    <w:rsid w:val="61FBFDBA"/>
    <w:rsid w:val="620D116D"/>
    <w:rsid w:val="6212CBDA"/>
    <w:rsid w:val="6212F5D7"/>
    <w:rsid w:val="62158446"/>
    <w:rsid w:val="621BF272"/>
    <w:rsid w:val="621D3944"/>
    <w:rsid w:val="621E6011"/>
    <w:rsid w:val="6224BD32"/>
    <w:rsid w:val="62326B88"/>
    <w:rsid w:val="623B28AE"/>
    <w:rsid w:val="624329C3"/>
    <w:rsid w:val="6247AEAA"/>
    <w:rsid w:val="6248F47A"/>
    <w:rsid w:val="62528B87"/>
    <w:rsid w:val="625391FB"/>
    <w:rsid w:val="6254042F"/>
    <w:rsid w:val="62561FE7"/>
    <w:rsid w:val="625C5D30"/>
    <w:rsid w:val="626B8A92"/>
    <w:rsid w:val="626E15FB"/>
    <w:rsid w:val="626ED047"/>
    <w:rsid w:val="62720470"/>
    <w:rsid w:val="62763554"/>
    <w:rsid w:val="62784463"/>
    <w:rsid w:val="627FE7F5"/>
    <w:rsid w:val="628025AB"/>
    <w:rsid w:val="628C38CA"/>
    <w:rsid w:val="628FC98A"/>
    <w:rsid w:val="629FE366"/>
    <w:rsid w:val="62A85E0F"/>
    <w:rsid w:val="62AEF051"/>
    <w:rsid w:val="62B1DD8E"/>
    <w:rsid w:val="62B1DFA1"/>
    <w:rsid w:val="62B3B513"/>
    <w:rsid w:val="62BEEB0F"/>
    <w:rsid w:val="62C178C8"/>
    <w:rsid w:val="62C4D373"/>
    <w:rsid w:val="62C6C9D8"/>
    <w:rsid w:val="62C8B75F"/>
    <w:rsid w:val="62CA18EE"/>
    <w:rsid w:val="62CA8A90"/>
    <w:rsid w:val="62D602FA"/>
    <w:rsid w:val="62E3C89C"/>
    <w:rsid w:val="62E5B13E"/>
    <w:rsid w:val="62EF5FEC"/>
    <w:rsid w:val="62FB9ED0"/>
    <w:rsid w:val="62FC1F2B"/>
    <w:rsid w:val="6300EE6F"/>
    <w:rsid w:val="63051725"/>
    <w:rsid w:val="6306AA33"/>
    <w:rsid w:val="63080E7D"/>
    <w:rsid w:val="630FB148"/>
    <w:rsid w:val="63181229"/>
    <w:rsid w:val="63192A94"/>
    <w:rsid w:val="63217630"/>
    <w:rsid w:val="63239A5C"/>
    <w:rsid w:val="632613C9"/>
    <w:rsid w:val="632DEBFF"/>
    <w:rsid w:val="633027C2"/>
    <w:rsid w:val="6331F2A9"/>
    <w:rsid w:val="6333C81E"/>
    <w:rsid w:val="63355F7F"/>
    <w:rsid w:val="633A6DFD"/>
    <w:rsid w:val="6349E08D"/>
    <w:rsid w:val="634BF208"/>
    <w:rsid w:val="634EA3BA"/>
    <w:rsid w:val="63507091"/>
    <w:rsid w:val="63518B50"/>
    <w:rsid w:val="6351E0D5"/>
    <w:rsid w:val="6356A2B4"/>
    <w:rsid w:val="635D3E06"/>
    <w:rsid w:val="63621245"/>
    <w:rsid w:val="63681CA4"/>
    <w:rsid w:val="636C329B"/>
    <w:rsid w:val="6370688E"/>
    <w:rsid w:val="6371F5F2"/>
    <w:rsid w:val="6374146A"/>
    <w:rsid w:val="637E058C"/>
    <w:rsid w:val="637F351A"/>
    <w:rsid w:val="638A1F09"/>
    <w:rsid w:val="638BF306"/>
    <w:rsid w:val="638F36E0"/>
    <w:rsid w:val="6395FA73"/>
    <w:rsid w:val="639A6DEE"/>
    <w:rsid w:val="639CDA77"/>
    <w:rsid w:val="63A5C518"/>
    <w:rsid w:val="63ADCE15"/>
    <w:rsid w:val="63AFFE41"/>
    <w:rsid w:val="63B1A05B"/>
    <w:rsid w:val="63B80CEE"/>
    <w:rsid w:val="63BDD532"/>
    <w:rsid w:val="63BFB5D2"/>
    <w:rsid w:val="63C1E66B"/>
    <w:rsid w:val="63C2FC20"/>
    <w:rsid w:val="63C7A48F"/>
    <w:rsid w:val="63D4916E"/>
    <w:rsid w:val="63D987FC"/>
    <w:rsid w:val="63DADF2B"/>
    <w:rsid w:val="63DB4231"/>
    <w:rsid w:val="63DBDDAC"/>
    <w:rsid w:val="63E652EF"/>
    <w:rsid w:val="63EB190F"/>
    <w:rsid w:val="63F0B6DF"/>
    <w:rsid w:val="63F29F86"/>
    <w:rsid w:val="63F7DDDF"/>
    <w:rsid w:val="63F9E718"/>
    <w:rsid w:val="63FE69F7"/>
    <w:rsid w:val="64010D74"/>
    <w:rsid w:val="640388E8"/>
    <w:rsid w:val="6404A684"/>
    <w:rsid w:val="64050AB1"/>
    <w:rsid w:val="64094E4E"/>
    <w:rsid w:val="6409BE0D"/>
    <w:rsid w:val="640D0AE4"/>
    <w:rsid w:val="6413F56A"/>
    <w:rsid w:val="641BCFB8"/>
    <w:rsid w:val="641DA0F6"/>
    <w:rsid w:val="64216F51"/>
    <w:rsid w:val="6435771B"/>
    <w:rsid w:val="6441B649"/>
    <w:rsid w:val="6442EF90"/>
    <w:rsid w:val="64465AFB"/>
    <w:rsid w:val="64493591"/>
    <w:rsid w:val="6449625F"/>
    <w:rsid w:val="644A4A0F"/>
    <w:rsid w:val="644C580D"/>
    <w:rsid w:val="6450884C"/>
    <w:rsid w:val="64546A74"/>
    <w:rsid w:val="6454FE33"/>
    <w:rsid w:val="6456A89F"/>
    <w:rsid w:val="6466AF6F"/>
    <w:rsid w:val="646702B9"/>
    <w:rsid w:val="64678DC2"/>
    <w:rsid w:val="6468CEF0"/>
    <w:rsid w:val="64717DB5"/>
    <w:rsid w:val="6476578E"/>
    <w:rsid w:val="6476C08D"/>
    <w:rsid w:val="64812E5F"/>
    <w:rsid w:val="64836507"/>
    <w:rsid w:val="64880143"/>
    <w:rsid w:val="64926761"/>
    <w:rsid w:val="6495237E"/>
    <w:rsid w:val="6496A23C"/>
    <w:rsid w:val="649C1C08"/>
    <w:rsid w:val="649DA480"/>
    <w:rsid w:val="64A51D64"/>
    <w:rsid w:val="64A662C2"/>
    <w:rsid w:val="64AE8775"/>
    <w:rsid w:val="64B1AD23"/>
    <w:rsid w:val="64B4F8BB"/>
    <w:rsid w:val="64B5A54C"/>
    <w:rsid w:val="64B68F44"/>
    <w:rsid w:val="64BC59AB"/>
    <w:rsid w:val="64C7AFDE"/>
    <w:rsid w:val="64CA081D"/>
    <w:rsid w:val="64D14DC2"/>
    <w:rsid w:val="64D41313"/>
    <w:rsid w:val="64DAFC74"/>
    <w:rsid w:val="64DE3593"/>
    <w:rsid w:val="64DE880F"/>
    <w:rsid w:val="64E647E2"/>
    <w:rsid w:val="64F021D2"/>
    <w:rsid w:val="64F5A60B"/>
    <w:rsid w:val="64F7BC65"/>
    <w:rsid w:val="64F8CEDF"/>
    <w:rsid w:val="65002DF8"/>
    <w:rsid w:val="65004AE8"/>
    <w:rsid w:val="6506EDC0"/>
    <w:rsid w:val="650B43CE"/>
    <w:rsid w:val="6513CAD4"/>
    <w:rsid w:val="651463DE"/>
    <w:rsid w:val="65200243"/>
    <w:rsid w:val="65209DFD"/>
    <w:rsid w:val="65222457"/>
    <w:rsid w:val="6529C120"/>
    <w:rsid w:val="652DDD24"/>
    <w:rsid w:val="652F7BB7"/>
    <w:rsid w:val="653374A3"/>
    <w:rsid w:val="6535EA12"/>
    <w:rsid w:val="654149B6"/>
    <w:rsid w:val="654A98A6"/>
    <w:rsid w:val="65504E30"/>
    <w:rsid w:val="655250A6"/>
    <w:rsid w:val="65532D80"/>
    <w:rsid w:val="6554259A"/>
    <w:rsid w:val="65573BC9"/>
    <w:rsid w:val="6565FF9D"/>
    <w:rsid w:val="656B14DC"/>
    <w:rsid w:val="656D59B6"/>
    <w:rsid w:val="656DADF4"/>
    <w:rsid w:val="65736BC6"/>
    <w:rsid w:val="6577CAA0"/>
    <w:rsid w:val="657C4041"/>
    <w:rsid w:val="657F4E38"/>
    <w:rsid w:val="65803F93"/>
    <w:rsid w:val="65814FC0"/>
    <w:rsid w:val="65825619"/>
    <w:rsid w:val="6582CC4F"/>
    <w:rsid w:val="65838032"/>
    <w:rsid w:val="65914021"/>
    <w:rsid w:val="6595B4E8"/>
    <w:rsid w:val="6595D323"/>
    <w:rsid w:val="659C651E"/>
    <w:rsid w:val="65A17FB5"/>
    <w:rsid w:val="65A4CFB2"/>
    <w:rsid w:val="65A4D9AD"/>
    <w:rsid w:val="65AC866D"/>
    <w:rsid w:val="65ADAC69"/>
    <w:rsid w:val="65AF315E"/>
    <w:rsid w:val="65B8FDA4"/>
    <w:rsid w:val="65C6CE0C"/>
    <w:rsid w:val="65CC2A8C"/>
    <w:rsid w:val="65D1015A"/>
    <w:rsid w:val="65D3B69A"/>
    <w:rsid w:val="65D65DEC"/>
    <w:rsid w:val="65D890F2"/>
    <w:rsid w:val="65DD587E"/>
    <w:rsid w:val="65DF91A1"/>
    <w:rsid w:val="65DFD1C2"/>
    <w:rsid w:val="65E12530"/>
    <w:rsid w:val="65E1451D"/>
    <w:rsid w:val="65E62873"/>
    <w:rsid w:val="65E9E113"/>
    <w:rsid w:val="65ED9AC2"/>
    <w:rsid w:val="65F2B8E7"/>
    <w:rsid w:val="65F36CAA"/>
    <w:rsid w:val="65F632E5"/>
    <w:rsid w:val="65F84A56"/>
    <w:rsid w:val="6600A3A4"/>
    <w:rsid w:val="660B79BC"/>
    <w:rsid w:val="660E0286"/>
    <w:rsid w:val="66105E58"/>
    <w:rsid w:val="6611BED7"/>
    <w:rsid w:val="661CA578"/>
    <w:rsid w:val="661DCC03"/>
    <w:rsid w:val="662242DA"/>
    <w:rsid w:val="6630A183"/>
    <w:rsid w:val="663338F2"/>
    <w:rsid w:val="6637BD4E"/>
    <w:rsid w:val="6638DB74"/>
    <w:rsid w:val="663A7F42"/>
    <w:rsid w:val="663E40E9"/>
    <w:rsid w:val="66503937"/>
    <w:rsid w:val="66513156"/>
    <w:rsid w:val="66570040"/>
    <w:rsid w:val="665B43B3"/>
    <w:rsid w:val="665ED203"/>
    <w:rsid w:val="665F296B"/>
    <w:rsid w:val="665F74E5"/>
    <w:rsid w:val="6661C20B"/>
    <w:rsid w:val="666CF11F"/>
    <w:rsid w:val="666E1EA3"/>
    <w:rsid w:val="66717262"/>
    <w:rsid w:val="6675318F"/>
    <w:rsid w:val="6675F1DF"/>
    <w:rsid w:val="667720D5"/>
    <w:rsid w:val="667A9C2E"/>
    <w:rsid w:val="667B7C83"/>
    <w:rsid w:val="667E2C95"/>
    <w:rsid w:val="6682607E"/>
    <w:rsid w:val="6685FD15"/>
    <w:rsid w:val="668AC043"/>
    <w:rsid w:val="668C08EC"/>
    <w:rsid w:val="66931236"/>
    <w:rsid w:val="669376C5"/>
    <w:rsid w:val="6695DA23"/>
    <w:rsid w:val="6696B4B3"/>
    <w:rsid w:val="66996E00"/>
    <w:rsid w:val="6699F894"/>
    <w:rsid w:val="66A4FA03"/>
    <w:rsid w:val="66A7FC8D"/>
    <w:rsid w:val="66AC5D78"/>
    <w:rsid w:val="66ADBF95"/>
    <w:rsid w:val="66B3DF29"/>
    <w:rsid w:val="66B534B6"/>
    <w:rsid w:val="66C181E2"/>
    <w:rsid w:val="66C8BCAD"/>
    <w:rsid w:val="66CD4C6D"/>
    <w:rsid w:val="66CE6411"/>
    <w:rsid w:val="66CEBB01"/>
    <w:rsid w:val="66D25EA2"/>
    <w:rsid w:val="66D500A1"/>
    <w:rsid w:val="66D86A01"/>
    <w:rsid w:val="66E28CB4"/>
    <w:rsid w:val="66E370B1"/>
    <w:rsid w:val="66E6B50E"/>
    <w:rsid w:val="66E6E66C"/>
    <w:rsid w:val="66EACF7B"/>
    <w:rsid w:val="66EDE680"/>
    <w:rsid w:val="66EF33AB"/>
    <w:rsid w:val="66EFF382"/>
    <w:rsid w:val="66F28F00"/>
    <w:rsid w:val="66F77E53"/>
    <w:rsid w:val="670435A1"/>
    <w:rsid w:val="6704D8F9"/>
    <w:rsid w:val="671B6309"/>
    <w:rsid w:val="671BD141"/>
    <w:rsid w:val="672E197F"/>
    <w:rsid w:val="67333687"/>
    <w:rsid w:val="673D4AE5"/>
    <w:rsid w:val="673EF0E1"/>
    <w:rsid w:val="67472A64"/>
    <w:rsid w:val="674CDEF5"/>
    <w:rsid w:val="674CFB5B"/>
    <w:rsid w:val="675617C6"/>
    <w:rsid w:val="675CA470"/>
    <w:rsid w:val="675DE98F"/>
    <w:rsid w:val="67605792"/>
    <w:rsid w:val="6766C303"/>
    <w:rsid w:val="676A6B79"/>
    <w:rsid w:val="6773BF8D"/>
    <w:rsid w:val="6782F00A"/>
    <w:rsid w:val="6784B05D"/>
    <w:rsid w:val="67877A8B"/>
    <w:rsid w:val="6790A6D8"/>
    <w:rsid w:val="6794FB43"/>
    <w:rsid w:val="6795855F"/>
    <w:rsid w:val="679AFF07"/>
    <w:rsid w:val="67A516E3"/>
    <w:rsid w:val="67A679A2"/>
    <w:rsid w:val="67A6FA8A"/>
    <w:rsid w:val="67A7D1AF"/>
    <w:rsid w:val="67AAD73F"/>
    <w:rsid w:val="67AE75E3"/>
    <w:rsid w:val="67AFD288"/>
    <w:rsid w:val="67B2B97D"/>
    <w:rsid w:val="67B6FF63"/>
    <w:rsid w:val="67BE522E"/>
    <w:rsid w:val="67C35D4B"/>
    <w:rsid w:val="67C5AE42"/>
    <w:rsid w:val="67C64E01"/>
    <w:rsid w:val="67CEA781"/>
    <w:rsid w:val="67CF81A3"/>
    <w:rsid w:val="67D61C2B"/>
    <w:rsid w:val="67E1015A"/>
    <w:rsid w:val="67EC3609"/>
    <w:rsid w:val="67EC5315"/>
    <w:rsid w:val="67EC9AA8"/>
    <w:rsid w:val="67F4CE95"/>
    <w:rsid w:val="67FD0597"/>
    <w:rsid w:val="68017588"/>
    <w:rsid w:val="6808E193"/>
    <w:rsid w:val="680B329B"/>
    <w:rsid w:val="6810E326"/>
    <w:rsid w:val="68112F04"/>
    <w:rsid w:val="681710AE"/>
    <w:rsid w:val="6819152D"/>
    <w:rsid w:val="681A5164"/>
    <w:rsid w:val="681C76E7"/>
    <w:rsid w:val="681DF3F1"/>
    <w:rsid w:val="68249CFF"/>
    <w:rsid w:val="6828ECCC"/>
    <w:rsid w:val="6829AED2"/>
    <w:rsid w:val="6836C666"/>
    <w:rsid w:val="683C087F"/>
    <w:rsid w:val="683F3C78"/>
    <w:rsid w:val="683FD075"/>
    <w:rsid w:val="6851B868"/>
    <w:rsid w:val="685A068E"/>
    <w:rsid w:val="686607B5"/>
    <w:rsid w:val="68663D9D"/>
    <w:rsid w:val="686962FD"/>
    <w:rsid w:val="686BD680"/>
    <w:rsid w:val="686CDBED"/>
    <w:rsid w:val="68720153"/>
    <w:rsid w:val="6872307B"/>
    <w:rsid w:val="68751731"/>
    <w:rsid w:val="68787052"/>
    <w:rsid w:val="687D2CB9"/>
    <w:rsid w:val="6882EC7D"/>
    <w:rsid w:val="6885AC95"/>
    <w:rsid w:val="688731BA"/>
    <w:rsid w:val="688E18C7"/>
    <w:rsid w:val="688EDD28"/>
    <w:rsid w:val="688F9909"/>
    <w:rsid w:val="688FB0A5"/>
    <w:rsid w:val="689713F7"/>
    <w:rsid w:val="689D81AD"/>
    <w:rsid w:val="68A0F6F7"/>
    <w:rsid w:val="68A1A309"/>
    <w:rsid w:val="68A2436C"/>
    <w:rsid w:val="68A281D5"/>
    <w:rsid w:val="68A8E852"/>
    <w:rsid w:val="68AAE1AD"/>
    <w:rsid w:val="68AE7137"/>
    <w:rsid w:val="68B3E259"/>
    <w:rsid w:val="68B4DB2B"/>
    <w:rsid w:val="68B5EB84"/>
    <w:rsid w:val="68BA396C"/>
    <w:rsid w:val="68BA43D1"/>
    <w:rsid w:val="68BA5527"/>
    <w:rsid w:val="68BEAAB8"/>
    <w:rsid w:val="68D45980"/>
    <w:rsid w:val="68DBA188"/>
    <w:rsid w:val="68DEB6A9"/>
    <w:rsid w:val="68DF8197"/>
    <w:rsid w:val="68EE4B53"/>
    <w:rsid w:val="68F26E7C"/>
    <w:rsid w:val="68FEBAD8"/>
    <w:rsid w:val="69036684"/>
    <w:rsid w:val="69053948"/>
    <w:rsid w:val="69065AFA"/>
    <w:rsid w:val="69072D1D"/>
    <w:rsid w:val="69094143"/>
    <w:rsid w:val="690A1C65"/>
    <w:rsid w:val="690E1351"/>
    <w:rsid w:val="6911166F"/>
    <w:rsid w:val="69139ACD"/>
    <w:rsid w:val="69179F06"/>
    <w:rsid w:val="69186EFD"/>
    <w:rsid w:val="691D4BF0"/>
    <w:rsid w:val="692068C7"/>
    <w:rsid w:val="692217E7"/>
    <w:rsid w:val="6927B87A"/>
    <w:rsid w:val="69289302"/>
    <w:rsid w:val="6934AE1A"/>
    <w:rsid w:val="693CF816"/>
    <w:rsid w:val="694D6FD1"/>
    <w:rsid w:val="69500658"/>
    <w:rsid w:val="69518EF5"/>
    <w:rsid w:val="695C2414"/>
    <w:rsid w:val="69638C26"/>
    <w:rsid w:val="696AF830"/>
    <w:rsid w:val="696B1DC3"/>
    <w:rsid w:val="696DC95E"/>
    <w:rsid w:val="696EB6C7"/>
    <w:rsid w:val="69794CAB"/>
    <w:rsid w:val="6980E2D3"/>
    <w:rsid w:val="69835FA8"/>
    <w:rsid w:val="69844F38"/>
    <w:rsid w:val="698823DE"/>
    <w:rsid w:val="698B6AE0"/>
    <w:rsid w:val="69916A35"/>
    <w:rsid w:val="6994AD5B"/>
    <w:rsid w:val="6996D6D0"/>
    <w:rsid w:val="69998632"/>
    <w:rsid w:val="699DB871"/>
    <w:rsid w:val="69A2F45D"/>
    <w:rsid w:val="69A5F9D2"/>
    <w:rsid w:val="69A77195"/>
    <w:rsid w:val="69A964DE"/>
    <w:rsid w:val="69B03557"/>
    <w:rsid w:val="69B3BB1E"/>
    <w:rsid w:val="69C29E7E"/>
    <w:rsid w:val="69C2FD5A"/>
    <w:rsid w:val="69C4C11C"/>
    <w:rsid w:val="69C53A46"/>
    <w:rsid w:val="69CF0EC2"/>
    <w:rsid w:val="69D7927A"/>
    <w:rsid w:val="69D992AE"/>
    <w:rsid w:val="69DD5C37"/>
    <w:rsid w:val="69E06E6E"/>
    <w:rsid w:val="69E97C7E"/>
    <w:rsid w:val="69F01097"/>
    <w:rsid w:val="69F0EB42"/>
    <w:rsid w:val="69F1901E"/>
    <w:rsid w:val="69F96711"/>
    <w:rsid w:val="69FA765A"/>
    <w:rsid w:val="69FFE310"/>
    <w:rsid w:val="6A00D452"/>
    <w:rsid w:val="6A03352F"/>
    <w:rsid w:val="6A0A39D2"/>
    <w:rsid w:val="6A0C9A4E"/>
    <w:rsid w:val="6A0DC3A6"/>
    <w:rsid w:val="6A1612BF"/>
    <w:rsid w:val="6A16934E"/>
    <w:rsid w:val="6A18C48E"/>
    <w:rsid w:val="6A192A54"/>
    <w:rsid w:val="6A19E72E"/>
    <w:rsid w:val="6A1AFC4B"/>
    <w:rsid w:val="6A1D17BD"/>
    <w:rsid w:val="6A2001C2"/>
    <w:rsid w:val="6A21EDB2"/>
    <w:rsid w:val="6A28CC64"/>
    <w:rsid w:val="6A2C11DB"/>
    <w:rsid w:val="6A2D75A5"/>
    <w:rsid w:val="6A309ED3"/>
    <w:rsid w:val="6A34C802"/>
    <w:rsid w:val="6A38BE6B"/>
    <w:rsid w:val="6A3B8499"/>
    <w:rsid w:val="6A3E5DBE"/>
    <w:rsid w:val="6A488F5F"/>
    <w:rsid w:val="6A4E3E33"/>
    <w:rsid w:val="6A55C101"/>
    <w:rsid w:val="6A56A1CA"/>
    <w:rsid w:val="6A578C15"/>
    <w:rsid w:val="6A5C5E95"/>
    <w:rsid w:val="6A5CA44C"/>
    <w:rsid w:val="6A5EB07E"/>
    <w:rsid w:val="6A5ED093"/>
    <w:rsid w:val="6A6144CA"/>
    <w:rsid w:val="6A62DEC6"/>
    <w:rsid w:val="6A699FA3"/>
    <w:rsid w:val="6A6D77C1"/>
    <w:rsid w:val="6A7A67F4"/>
    <w:rsid w:val="6A7C553A"/>
    <w:rsid w:val="6A7D00A1"/>
    <w:rsid w:val="6A7D4D08"/>
    <w:rsid w:val="6A7DE78E"/>
    <w:rsid w:val="6A822805"/>
    <w:rsid w:val="6A8B7C04"/>
    <w:rsid w:val="6A8C2143"/>
    <w:rsid w:val="6A9678AD"/>
    <w:rsid w:val="6AA07308"/>
    <w:rsid w:val="6AA38935"/>
    <w:rsid w:val="6AA76A13"/>
    <w:rsid w:val="6AAC6F6C"/>
    <w:rsid w:val="6AB4A22E"/>
    <w:rsid w:val="6AC0AA3F"/>
    <w:rsid w:val="6AD1337B"/>
    <w:rsid w:val="6AD25914"/>
    <w:rsid w:val="6AD31930"/>
    <w:rsid w:val="6AD76B8D"/>
    <w:rsid w:val="6AE070A0"/>
    <w:rsid w:val="6AE65812"/>
    <w:rsid w:val="6AEBB389"/>
    <w:rsid w:val="6AF534DD"/>
    <w:rsid w:val="6AF6BE65"/>
    <w:rsid w:val="6AF71728"/>
    <w:rsid w:val="6B0394BE"/>
    <w:rsid w:val="6B04360F"/>
    <w:rsid w:val="6B0BCA60"/>
    <w:rsid w:val="6B0F19B8"/>
    <w:rsid w:val="6B0FB241"/>
    <w:rsid w:val="6B143CA4"/>
    <w:rsid w:val="6B187C76"/>
    <w:rsid w:val="6B1C7DB4"/>
    <w:rsid w:val="6B1CF2AA"/>
    <w:rsid w:val="6B1D6CBE"/>
    <w:rsid w:val="6B2057FC"/>
    <w:rsid w:val="6B2371A5"/>
    <w:rsid w:val="6B279A45"/>
    <w:rsid w:val="6B31ED84"/>
    <w:rsid w:val="6B33672D"/>
    <w:rsid w:val="6B33E303"/>
    <w:rsid w:val="6B35E902"/>
    <w:rsid w:val="6B364D98"/>
    <w:rsid w:val="6B394C2F"/>
    <w:rsid w:val="6B3C1B0B"/>
    <w:rsid w:val="6B3F39EC"/>
    <w:rsid w:val="6B4CCB55"/>
    <w:rsid w:val="6B4E56A1"/>
    <w:rsid w:val="6B50DB34"/>
    <w:rsid w:val="6B51B5F0"/>
    <w:rsid w:val="6B536DAE"/>
    <w:rsid w:val="6B59B801"/>
    <w:rsid w:val="6B5BC3AE"/>
    <w:rsid w:val="6B5D6895"/>
    <w:rsid w:val="6B5F5681"/>
    <w:rsid w:val="6B64FC93"/>
    <w:rsid w:val="6B663B7A"/>
    <w:rsid w:val="6B6A9D1B"/>
    <w:rsid w:val="6B6AAED1"/>
    <w:rsid w:val="6B6B1E90"/>
    <w:rsid w:val="6B6B232A"/>
    <w:rsid w:val="6B6E817F"/>
    <w:rsid w:val="6B7157F6"/>
    <w:rsid w:val="6B72A386"/>
    <w:rsid w:val="6B778FEE"/>
    <w:rsid w:val="6B7A54CE"/>
    <w:rsid w:val="6B7B379C"/>
    <w:rsid w:val="6B82A896"/>
    <w:rsid w:val="6B856857"/>
    <w:rsid w:val="6B8629F5"/>
    <w:rsid w:val="6B876FB6"/>
    <w:rsid w:val="6B9C859F"/>
    <w:rsid w:val="6BB2903B"/>
    <w:rsid w:val="6BB44409"/>
    <w:rsid w:val="6BB93FF9"/>
    <w:rsid w:val="6BBD4A66"/>
    <w:rsid w:val="6BC54CB2"/>
    <w:rsid w:val="6BC68383"/>
    <w:rsid w:val="6BCA42E1"/>
    <w:rsid w:val="6BCE9678"/>
    <w:rsid w:val="6BD13322"/>
    <w:rsid w:val="6BD672F8"/>
    <w:rsid w:val="6BE18D1C"/>
    <w:rsid w:val="6BE48610"/>
    <w:rsid w:val="6BEB8301"/>
    <w:rsid w:val="6BF53A5C"/>
    <w:rsid w:val="6BF793AF"/>
    <w:rsid w:val="6BF7F3E3"/>
    <w:rsid w:val="6C00BA0D"/>
    <w:rsid w:val="6C017235"/>
    <w:rsid w:val="6C03D0E0"/>
    <w:rsid w:val="6C17074E"/>
    <w:rsid w:val="6C1C01D1"/>
    <w:rsid w:val="6C1D5F71"/>
    <w:rsid w:val="6C278514"/>
    <w:rsid w:val="6C29F58F"/>
    <w:rsid w:val="6C31CA2E"/>
    <w:rsid w:val="6C33CF80"/>
    <w:rsid w:val="6C357B6B"/>
    <w:rsid w:val="6C3CD5EE"/>
    <w:rsid w:val="6C4138C0"/>
    <w:rsid w:val="6C44B418"/>
    <w:rsid w:val="6C498A52"/>
    <w:rsid w:val="6C553173"/>
    <w:rsid w:val="6C5EA0F7"/>
    <w:rsid w:val="6C6DCDE1"/>
    <w:rsid w:val="6C6EC194"/>
    <w:rsid w:val="6C71482F"/>
    <w:rsid w:val="6C83DE8A"/>
    <w:rsid w:val="6C91A488"/>
    <w:rsid w:val="6C9249E4"/>
    <w:rsid w:val="6C94D040"/>
    <w:rsid w:val="6C95E105"/>
    <w:rsid w:val="6C9D4A0A"/>
    <w:rsid w:val="6C9F1345"/>
    <w:rsid w:val="6CA1EE26"/>
    <w:rsid w:val="6CA8C595"/>
    <w:rsid w:val="6CAD26CB"/>
    <w:rsid w:val="6CB0CB34"/>
    <w:rsid w:val="6CB0FFF4"/>
    <w:rsid w:val="6CB49C8D"/>
    <w:rsid w:val="6CB5AEC9"/>
    <w:rsid w:val="6CB810DA"/>
    <w:rsid w:val="6CB9DBB2"/>
    <w:rsid w:val="6CBB57E4"/>
    <w:rsid w:val="6CBDF8D4"/>
    <w:rsid w:val="6CCA7250"/>
    <w:rsid w:val="6CDC67E8"/>
    <w:rsid w:val="6CDC6C9F"/>
    <w:rsid w:val="6CE26D38"/>
    <w:rsid w:val="6CF1A9A9"/>
    <w:rsid w:val="6CF5D125"/>
    <w:rsid w:val="6CF7EDF1"/>
    <w:rsid w:val="6CFD31ED"/>
    <w:rsid w:val="6CFE6C37"/>
    <w:rsid w:val="6D032BBF"/>
    <w:rsid w:val="6D05DF81"/>
    <w:rsid w:val="6D11B4AC"/>
    <w:rsid w:val="6D14B5BD"/>
    <w:rsid w:val="6D17C98F"/>
    <w:rsid w:val="6D182A14"/>
    <w:rsid w:val="6D1CFB3C"/>
    <w:rsid w:val="6D1D692D"/>
    <w:rsid w:val="6D1E46B2"/>
    <w:rsid w:val="6D1EE67D"/>
    <w:rsid w:val="6D217F8F"/>
    <w:rsid w:val="6D21D570"/>
    <w:rsid w:val="6D25869B"/>
    <w:rsid w:val="6D28C0B3"/>
    <w:rsid w:val="6D2F2517"/>
    <w:rsid w:val="6D414803"/>
    <w:rsid w:val="6D44B243"/>
    <w:rsid w:val="6D5A3CEA"/>
    <w:rsid w:val="6D5A8D54"/>
    <w:rsid w:val="6D5C64FA"/>
    <w:rsid w:val="6D5DD8DA"/>
    <w:rsid w:val="6D5F10A1"/>
    <w:rsid w:val="6D616CDF"/>
    <w:rsid w:val="6D654C53"/>
    <w:rsid w:val="6D6660DC"/>
    <w:rsid w:val="6D6C9CE2"/>
    <w:rsid w:val="6D6F140E"/>
    <w:rsid w:val="6D73AE95"/>
    <w:rsid w:val="6D7846BC"/>
    <w:rsid w:val="6D79C32D"/>
    <w:rsid w:val="6D867E68"/>
    <w:rsid w:val="6D8B31E5"/>
    <w:rsid w:val="6DA233BB"/>
    <w:rsid w:val="6DA6E1C1"/>
    <w:rsid w:val="6DA8232B"/>
    <w:rsid w:val="6DAC7215"/>
    <w:rsid w:val="6DAF2083"/>
    <w:rsid w:val="6DB39CE0"/>
    <w:rsid w:val="6DBCB391"/>
    <w:rsid w:val="6DBF642B"/>
    <w:rsid w:val="6DC41471"/>
    <w:rsid w:val="6DC59C2A"/>
    <w:rsid w:val="6DD7F3B9"/>
    <w:rsid w:val="6DE6AC5D"/>
    <w:rsid w:val="6DE9873A"/>
    <w:rsid w:val="6DF3D7B0"/>
    <w:rsid w:val="6DFE32A4"/>
    <w:rsid w:val="6E04D2FF"/>
    <w:rsid w:val="6E052FEA"/>
    <w:rsid w:val="6E0537E9"/>
    <w:rsid w:val="6E08DBF5"/>
    <w:rsid w:val="6E0D07D3"/>
    <w:rsid w:val="6E0D5688"/>
    <w:rsid w:val="6E11BE24"/>
    <w:rsid w:val="6E1E030C"/>
    <w:rsid w:val="6E21D289"/>
    <w:rsid w:val="6E26F8CD"/>
    <w:rsid w:val="6E277014"/>
    <w:rsid w:val="6E2A7E56"/>
    <w:rsid w:val="6E2BFD92"/>
    <w:rsid w:val="6E2F01FA"/>
    <w:rsid w:val="6E325497"/>
    <w:rsid w:val="6E387F8F"/>
    <w:rsid w:val="6E3CB283"/>
    <w:rsid w:val="6E3E2083"/>
    <w:rsid w:val="6E4688A3"/>
    <w:rsid w:val="6E514824"/>
    <w:rsid w:val="6E58DF41"/>
    <w:rsid w:val="6E600C72"/>
    <w:rsid w:val="6E658B5F"/>
    <w:rsid w:val="6E6F06FD"/>
    <w:rsid w:val="6E76106F"/>
    <w:rsid w:val="6E7C00EB"/>
    <w:rsid w:val="6E7C994E"/>
    <w:rsid w:val="6E8141E1"/>
    <w:rsid w:val="6E887EBC"/>
    <w:rsid w:val="6E8E1170"/>
    <w:rsid w:val="6E930B02"/>
    <w:rsid w:val="6E9382A5"/>
    <w:rsid w:val="6E93A69F"/>
    <w:rsid w:val="6E9B0263"/>
    <w:rsid w:val="6E9B4BD4"/>
    <w:rsid w:val="6E9D403F"/>
    <w:rsid w:val="6EA45E76"/>
    <w:rsid w:val="6EAE6CA8"/>
    <w:rsid w:val="6EB01A27"/>
    <w:rsid w:val="6EB1F2C2"/>
    <w:rsid w:val="6EB303E2"/>
    <w:rsid w:val="6EB9A951"/>
    <w:rsid w:val="6EC75D6C"/>
    <w:rsid w:val="6ECA38D5"/>
    <w:rsid w:val="6ECD6EF0"/>
    <w:rsid w:val="6ED2D727"/>
    <w:rsid w:val="6ED9ECF9"/>
    <w:rsid w:val="6EE6739C"/>
    <w:rsid w:val="6EEB6D47"/>
    <w:rsid w:val="6EF1C0A4"/>
    <w:rsid w:val="6EF1C462"/>
    <w:rsid w:val="6EF2CE83"/>
    <w:rsid w:val="6EF69668"/>
    <w:rsid w:val="6EF6EF3F"/>
    <w:rsid w:val="6EFAD2A3"/>
    <w:rsid w:val="6EFE51B5"/>
    <w:rsid w:val="6F045F46"/>
    <w:rsid w:val="6F06175F"/>
    <w:rsid w:val="6F0A51B0"/>
    <w:rsid w:val="6F13F933"/>
    <w:rsid w:val="6F19AA4B"/>
    <w:rsid w:val="6F2A24F4"/>
    <w:rsid w:val="6F2A6364"/>
    <w:rsid w:val="6F2B4A6F"/>
    <w:rsid w:val="6F2BCB4F"/>
    <w:rsid w:val="6F32C64B"/>
    <w:rsid w:val="6F3FE679"/>
    <w:rsid w:val="6F4C0DA3"/>
    <w:rsid w:val="6F560267"/>
    <w:rsid w:val="6F58B860"/>
    <w:rsid w:val="6F685BC5"/>
    <w:rsid w:val="6F73AAA6"/>
    <w:rsid w:val="6F79019F"/>
    <w:rsid w:val="6F81919B"/>
    <w:rsid w:val="6F8561F4"/>
    <w:rsid w:val="6F8716A6"/>
    <w:rsid w:val="6F871FF3"/>
    <w:rsid w:val="6F8B5EBB"/>
    <w:rsid w:val="6F9866BA"/>
    <w:rsid w:val="6F9A1E0B"/>
    <w:rsid w:val="6F9B968C"/>
    <w:rsid w:val="6F9FC4BA"/>
    <w:rsid w:val="6FAAA57C"/>
    <w:rsid w:val="6FB73FD5"/>
    <w:rsid w:val="6FB83D07"/>
    <w:rsid w:val="6FBAEAD9"/>
    <w:rsid w:val="6FBBC472"/>
    <w:rsid w:val="6FBF706E"/>
    <w:rsid w:val="6FC03DD2"/>
    <w:rsid w:val="6FC2717D"/>
    <w:rsid w:val="6FC41467"/>
    <w:rsid w:val="6FCDD732"/>
    <w:rsid w:val="6FD7F64E"/>
    <w:rsid w:val="6FD9A99F"/>
    <w:rsid w:val="6FDCB28D"/>
    <w:rsid w:val="6FDE1EC5"/>
    <w:rsid w:val="6FE4DCCC"/>
    <w:rsid w:val="6FE54D77"/>
    <w:rsid w:val="6FE55562"/>
    <w:rsid w:val="6FEC633A"/>
    <w:rsid w:val="6FEF2F83"/>
    <w:rsid w:val="6FF1B917"/>
    <w:rsid w:val="6FFF8CF9"/>
    <w:rsid w:val="700469A6"/>
    <w:rsid w:val="7004A0AA"/>
    <w:rsid w:val="7005A399"/>
    <w:rsid w:val="70083855"/>
    <w:rsid w:val="700BED87"/>
    <w:rsid w:val="700F42D3"/>
    <w:rsid w:val="7012BBF9"/>
    <w:rsid w:val="7016106B"/>
    <w:rsid w:val="7018DF50"/>
    <w:rsid w:val="70289154"/>
    <w:rsid w:val="702DD221"/>
    <w:rsid w:val="7031D89D"/>
    <w:rsid w:val="7035C1E2"/>
    <w:rsid w:val="703FDCEC"/>
    <w:rsid w:val="70411B1C"/>
    <w:rsid w:val="70495869"/>
    <w:rsid w:val="7058294E"/>
    <w:rsid w:val="705EBEBA"/>
    <w:rsid w:val="7066300B"/>
    <w:rsid w:val="706883F6"/>
    <w:rsid w:val="7069C0E2"/>
    <w:rsid w:val="706AF0CF"/>
    <w:rsid w:val="70732005"/>
    <w:rsid w:val="7078E6DC"/>
    <w:rsid w:val="7078F90E"/>
    <w:rsid w:val="7085D5A5"/>
    <w:rsid w:val="708CE5E2"/>
    <w:rsid w:val="7096614D"/>
    <w:rsid w:val="709FACAA"/>
    <w:rsid w:val="70A07606"/>
    <w:rsid w:val="70A432E5"/>
    <w:rsid w:val="70A71A3E"/>
    <w:rsid w:val="70A9F923"/>
    <w:rsid w:val="70B13472"/>
    <w:rsid w:val="70B56548"/>
    <w:rsid w:val="70B85F43"/>
    <w:rsid w:val="70BDCAB4"/>
    <w:rsid w:val="70BF6388"/>
    <w:rsid w:val="70C2EADD"/>
    <w:rsid w:val="70C52D91"/>
    <w:rsid w:val="70C64C45"/>
    <w:rsid w:val="70CFFB05"/>
    <w:rsid w:val="70D2FCBD"/>
    <w:rsid w:val="70DF0DEE"/>
    <w:rsid w:val="70E1E6B4"/>
    <w:rsid w:val="70E5F590"/>
    <w:rsid w:val="70E62A36"/>
    <w:rsid w:val="70EB5798"/>
    <w:rsid w:val="70F13CB5"/>
    <w:rsid w:val="70F93812"/>
    <w:rsid w:val="710C44E5"/>
    <w:rsid w:val="710D0A26"/>
    <w:rsid w:val="710D5A01"/>
    <w:rsid w:val="7110C7A8"/>
    <w:rsid w:val="71114A7F"/>
    <w:rsid w:val="7111698C"/>
    <w:rsid w:val="7113F82A"/>
    <w:rsid w:val="711402C9"/>
    <w:rsid w:val="7116DD94"/>
    <w:rsid w:val="71175A0B"/>
    <w:rsid w:val="711D5EC2"/>
    <w:rsid w:val="71219B0D"/>
    <w:rsid w:val="712B9FD4"/>
    <w:rsid w:val="712F3F21"/>
    <w:rsid w:val="7130476A"/>
    <w:rsid w:val="71372825"/>
    <w:rsid w:val="713A0839"/>
    <w:rsid w:val="713A7266"/>
    <w:rsid w:val="713D20DB"/>
    <w:rsid w:val="714A1BDF"/>
    <w:rsid w:val="7150CBA5"/>
    <w:rsid w:val="7159C523"/>
    <w:rsid w:val="715D63C1"/>
    <w:rsid w:val="7169BA56"/>
    <w:rsid w:val="716E5BAF"/>
    <w:rsid w:val="716F7171"/>
    <w:rsid w:val="71700E18"/>
    <w:rsid w:val="71710461"/>
    <w:rsid w:val="7174B9BD"/>
    <w:rsid w:val="71792948"/>
    <w:rsid w:val="717A6755"/>
    <w:rsid w:val="7184C192"/>
    <w:rsid w:val="7184CEF6"/>
    <w:rsid w:val="7187EE19"/>
    <w:rsid w:val="71893F8E"/>
    <w:rsid w:val="718E8C04"/>
    <w:rsid w:val="71911EA1"/>
    <w:rsid w:val="71929DC4"/>
    <w:rsid w:val="719444BA"/>
    <w:rsid w:val="7195AF67"/>
    <w:rsid w:val="7198ADA3"/>
    <w:rsid w:val="719C63E9"/>
    <w:rsid w:val="719DB100"/>
    <w:rsid w:val="71A066F0"/>
    <w:rsid w:val="71A0BAC2"/>
    <w:rsid w:val="71A1D488"/>
    <w:rsid w:val="71A207B4"/>
    <w:rsid w:val="71A38C0D"/>
    <w:rsid w:val="71A415E1"/>
    <w:rsid w:val="71A6EF1A"/>
    <w:rsid w:val="71BE664F"/>
    <w:rsid w:val="71C63725"/>
    <w:rsid w:val="71C67F29"/>
    <w:rsid w:val="71C6BF8D"/>
    <w:rsid w:val="71C7B4D4"/>
    <w:rsid w:val="71D6226D"/>
    <w:rsid w:val="71D6CF8C"/>
    <w:rsid w:val="71D7740B"/>
    <w:rsid w:val="71DD4C67"/>
    <w:rsid w:val="71DF2C3C"/>
    <w:rsid w:val="71E72E39"/>
    <w:rsid w:val="71E8B4B4"/>
    <w:rsid w:val="71EB9B3C"/>
    <w:rsid w:val="71EC9CBF"/>
    <w:rsid w:val="71F7A9D5"/>
    <w:rsid w:val="71FC6CC7"/>
    <w:rsid w:val="71FE5B8B"/>
    <w:rsid w:val="7205DE9F"/>
    <w:rsid w:val="720CADAE"/>
    <w:rsid w:val="72198C6A"/>
    <w:rsid w:val="721C357E"/>
    <w:rsid w:val="721F3F3D"/>
    <w:rsid w:val="721FFC10"/>
    <w:rsid w:val="72260A50"/>
    <w:rsid w:val="722E4154"/>
    <w:rsid w:val="723003B8"/>
    <w:rsid w:val="72314570"/>
    <w:rsid w:val="7231CC00"/>
    <w:rsid w:val="72342E02"/>
    <w:rsid w:val="723BE3E4"/>
    <w:rsid w:val="723D0E87"/>
    <w:rsid w:val="723ED873"/>
    <w:rsid w:val="72413297"/>
    <w:rsid w:val="724D8113"/>
    <w:rsid w:val="725790AF"/>
    <w:rsid w:val="7259C432"/>
    <w:rsid w:val="7262C607"/>
    <w:rsid w:val="7265F3BA"/>
    <w:rsid w:val="72664B51"/>
    <w:rsid w:val="726994A1"/>
    <w:rsid w:val="726F1ADF"/>
    <w:rsid w:val="727613AD"/>
    <w:rsid w:val="727B3461"/>
    <w:rsid w:val="72827FB6"/>
    <w:rsid w:val="72836F35"/>
    <w:rsid w:val="72852212"/>
    <w:rsid w:val="7289848C"/>
    <w:rsid w:val="728AEC8D"/>
    <w:rsid w:val="72940744"/>
    <w:rsid w:val="729874BB"/>
    <w:rsid w:val="7298C997"/>
    <w:rsid w:val="7298D076"/>
    <w:rsid w:val="729D94F8"/>
    <w:rsid w:val="729FF9DC"/>
    <w:rsid w:val="72A61B11"/>
    <w:rsid w:val="72B14C79"/>
    <w:rsid w:val="72B784E1"/>
    <w:rsid w:val="72B8D7B5"/>
    <w:rsid w:val="72C5DE22"/>
    <w:rsid w:val="72C7CC7D"/>
    <w:rsid w:val="72CCB53F"/>
    <w:rsid w:val="72CEE559"/>
    <w:rsid w:val="72D12C7B"/>
    <w:rsid w:val="72D3BA7C"/>
    <w:rsid w:val="72D4A4F9"/>
    <w:rsid w:val="72D57BA9"/>
    <w:rsid w:val="72D8AEF6"/>
    <w:rsid w:val="72DA9A3F"/>
    <w:rsid w:val="72DE3E31"/>
    <w:rsid w:val="72E37712"/>
    <w:rsid w:val="72E6C7C1"/>
    <w:rsid w:val="72E70EA9"/>
    <w:rsid w:val="72EA3E99"/>
    <w:rsid w:val="72ECDA52"/>
    <w:rsid w:val="72EEDD88"/>
    <w:rsid w:val="72F34370"/>
    <w:rsid w:val="72FBAD4B"/>
    <w:rsid w:val="730013C0"/>
    <w:rsid w:val="73011FCF"/>
    <w:rsid w:val="7307C246"/>
    <w:rsid w:val="731665A5"/>
    <w:rsid w:val="73187031"/>
    <w:rsid w:val="73195ED3"/>
    <w:rsid w:val="731977CA"/>
    <w:rsid w:val="731A8E6C"/>
    <w:rsid w:val="731BE05D"/>
    <w:rsid w:val="7322B2B5"/>
    <w:rsid w:val="73263874"/>
    <w:rsid w:val="732B77E4"/>
    <w:rsid w:val="732F08B7"/>
    <w:rsid w:val="73320DEF"/>
    <w:rsid w:val="73346C33"/>
    <w:rsid w:val="73431096"/>
    <w:rsid w:val="7349858F"/>
    <w:rsid w:val="7349F21D"/>
    <w:rsid w:val="734A3CBF"/>
    <w:rsid w:val="7351D76D"/>
    <w:rsid w:val="73536148"/>
    <w:rsid w:val="7356FFA8"/>
    <w:rsid w:val="735945CC"/>
    <w:rsid w:val="735E6E22"/>
    <w:rsid w:val="736BDBEB"/>
    <w:rsid w:val="7374DBED"/>
    <w:rsid w:val="73787BF7"/>
    <w:rsid w:val="7385FE45"/>
    <w:rsid w:val="73894F4A"/>
    <w:rsid w:val="738B7C84"/>
    <w:rsid w:val="7394DE55"/>
    <w:rsid w:val="7397D91A"/>
    <w:rsid w:val="73983667"/>
    <w:rsid w:val="739B546F"/>
    <w:rsid w:val="73A10149"/>
    <w:rsid w:val="73AB3BE0"/>
    <w:rsid w:val="73AF98CF"/>
    <w:rsid w:val="73B0FC9A"/>
    <w:rsid w:val="73B4E004"/>
    <w:rsid w:val="73BC9CA8"/>
    <w:rsid w:val="73BE8192"/>
    <w:rsid w:val="73BE9A6E"/>
    <w:rsid w:val="73C3B5FE"/>
    <w:rsid w:val="73C7EF7E"/>
    <w:rsid w:val="73C9F48F"/>
    <w:rsid w:val="73CB8F9D"/>
    <w:rsid w:val="73D39E07"/>
    <w:rsid w:val="73D58CD5"/>
    <w:rsid w:val="73D89968"/>
    <w:rsid w:val="73DDA454"/>
    <w:rsid w:val="73E87C55"/>
    <w:rsid w:val="73EEB0ED"/>
    <w:rsid w:val="73F70609"/>
    <w:rsid w:val="73FE095C"/>
    <w:rsid w:val="73FEFBCC"/>
    <w:rsid w:val="73FF7DE5"/>
    <w:rsid w:val="74047332"/>
    <w:rsid w:val="74084ED3"/>
    <w:rsid w:val="7408F9E1"/>
    <w:rsid w:val="740CC3A4"/>
    <w:rsid w:val="7410528C"/>
    <w:rsid w:val="7419AF9D"/>
    <w:rsid w:val="741F3D2E"/>
    <w:rsid w:val="742259C9"/>
    <w:rsid w:val="742ABE60"/>
    <w:rsid w:val="742B6EF6"/>
    <w:rsid w:val="742C85B7"/>
    <w:rsid w:val="742CEFF5"/>
    <w:rsid w:val="74304C0B"/>
    <w:rsid w:val="74308B37"/>
    <w:rsid w:val="7438A7E9"/>
    <w:rsid w:val="743D8B36"/>
    <w:rsid w:val="74474F8D"/>
    <w:rsid w:val="7448B07B"/>
    <w:rsid w:val="744A30DC"/>
    <w:rsid w:val="745986D4"/>
    <w:rsid w:val="745A6D7F"/>
    <w:rsid w:val="745E86A2"/>
    <w:rsid w:val="7461A2F7"/>
    <w:rsid w:val="7461D085"/>
    <w:rsid w:val="74671E9F"/>
    <w:rsid w:val="746C49E2"/>
    <w:rsid w:val="746D0B15"/>
    <w:rsid w:val="74753020"/>
    <w:rsid w:val="747A4ABA"/>
    <w:rsid w:val="7483086F"/>
    <w:rsid w:val="7487825D"/>
    <w:rsid w:val="7488399F"/>
    <w:rsid w:val="748F554A"/>
    <w:rsid w:val="74928776"/>
    <w:rsid w:val="74982EC6"/>
    <w:rsid w:val="74A5C6B7"/>
    <w:rsid w:val="74A6CA28"/>
    <w:rsid w:val="74AD71BA"/>
    <w:rsid w:val="74B9904D"/>
    <w:rsid w:val="74C4FC1F"/>
    <w:rsid w:val="74C59D76"/>
    <w:rsid w:val="74C7EDC6"/>
    <w:rsid w:val="74CD2215"/>
    <w:rsid w:val="74D554B0"/>
    <w:rsid w:val="74D8DD6B"/>
    <w:rsid w:val="74DCF7FE"/>
    <w:rsid w:val="74E7AD82"/>
    <w:rsid w:val="74E96209"/>
    <w:rsid w:val="74E98F93"/>
    <w:rsid w:val="74ED25BA"/>
    <w:rsid w:val="74F188D0"/>
    <w:rsid w:val="74F61B76"/>
    <w:rsid w:val="74FF956D"/>
    <w:rsid w:val="7500D191"/>
    <w:rsid w:val="7500D549"/>
    <w:rsid w:val="7502D6B3"/>
    <w:rsid w:val="75060CB8"/>
    <w:rsid w:val="75081802"/>
    <w:rsid w:val="750F5BD3"/>
    <w:rsid w:val="75137F64"/>
    <w:rsid w:val="75259F0D"/>
    <w:rsid w:val="7528A77B"/>
    <w:rsid w:val="75296579"/>
    <w:rsid w:val="7531E5B9"/>
    <w:rsid w:val="75337450"/>
    <w:rsid w:val="7533B461"/>
    <w:rsid w:val="754058F3"/>
    <w:rsid w:val="7542EEBF"/>
    <w:rsid w:val="7543E5D8"/>
    <w:rsid w:val="75448E70"/>
    <w:rsid w:val="75467FAF"/>
    <w:rsid w:val="754CA7BA"/>
    <w:rsid w:val="755A3F0D"/>
    <w:rsid w:val="755BD7D1"/>
    <w:rsid w:val="755F3CD5"/>
    <w:rsid w:val="756470B9"/>
    <w:rsid w:val="75733EE6"/>
    <w:rsid w:val="757A864B"/>
    <w:rsid w:val="757F183B"/>
    <w:rsid w:val="758003CF"/>
    <w:rsid w:val="75814195"/>
    <w:rsid w:val="7583301C"/>
    <w:rsid w:val="7583C0C8"/>
    <w:rsid w:val="758AA105"/>
    <w:rsid w:val="758C67B3"/>
    <w:rsid w:val="758FC9B0"/>
    <w:rsid w:val="7594BC23"/>
    <w:rsid w:val="75958262"/>
    <w:rsid w:val="759C9155"/>
    <w:rsid w:val="759D24F4"/>
    <w:rsid w:val="759E0A98"/>
    <w:rsid w:val="759FDA9B"/>
    <w:rsid w:val="75A1850F"/>
    <w:rsid w:val="75AE82A6"/>
    <w:rsid w:val="75AFAAB0"/>
    <w:rsid w:val="75B0A280"/>
    <w:rsid w:val="75B2BAA0"/>
    <w:rsid w:val="75B5D954"/>
    <w:rsid w:val="75BCB05F"/>
    <w:rsid w:val="75BFC923"/>
    <w:rsid w:val="75C1A383"/>
    <w:rsid w:val="75C7890B"/>
    <w:rsid w:val="75C7F86A"/>
    <w:rsid w:val="75CA24F9"/>
    <w:rsid w:val="75CA78DC"/>
    <w:rsid w:val="75CCBF9B"/>
    <w:rsid w:val="75D4617C"/>
    <w:rsid w:val="75DA9B62"/>
    <w:rsid w:val="75DC3396"/>
    <w:rsid w:val="75DCE560"/>
    <w:rsid w:val="75DECF8B"/>
    <w:rsid w:val="75DF2269"/>
    <w:rsid w:val="75DF73FB"/>
    <w:rsid w:val="75E5C6A0"/>
    <w:rsid w:val="75E9F65A"/>
    <w:rsid w:val="75EBE2D1"/>
    <w:rsid w:val="75F1F76E"/>
    <w:rsid w:val="75F2C2AA"/>
    <w:rsid w:val="75F33AEB"/>
    <w:rsid w:val="75FA28A7"/>
    <w:rsid w:val="76039A47"/>
    <w:rsid w:val="76054C6B"/>
    <w:rsid w:val="760B501D"/>
    <w:rsid w:val="760F5D8E"/>
    <w:rsid w:val="76118A67"/>
    <w:rsid w:val="7611A76A"/>
    <w:rsid w:val="763071ED"/>
    <w:rsid w:val="76345983"/>
    <w:rsid w:val="7634C435"/>
    <w:rsid w:val="763F1C1E"/>
    <w:rsid w:val="76418E3D"/>
    <w:rsid w:val="764338E9"/>
    <w:rsid w:val="7648594E"/>
    <w:rsid w:val="7657115D"/>
    <w:rsid w:val="765A94E9"/>
    <w:rsid w:val="765E363C"/>
    <w:rsid w:val="765EA02B"/>
    <w:rsid w:val="76617469"/>
    <w:rsid w:val="7663EB7C"/>
    <w:rsid w:val="76653D7F"/>
    <w:rsid w:val="76669989"/>
    <w:rsid w:val="7668CA40"/>
    <w:rsid w:val="76693693"/>
    <w:rsid w:val="766D55E3"/>
    <w:rsid w:val="7677460F"/>
    <w:rsid w:val="76774814"/>
    <w:rsid w:val="767A3DC6"/>
    <w:rsid w:val="767A503F"/>
    <w:rsid w:val="767BF699"/>
    <w:rsid w:val="767C9DD3"/>
    <w:rsid w:val="768072A3"/>
    <w:rsid w:val="7688BFC4"/>
    <w:rsid w:val="768AF4D8"/>
    <w:rsid w:val="768D15FF"/>
    <w:rsid w:val="76918FA1"/>
    <w:rsid w:val="76919F35"/>
    <w:rsid w:val="76926FFF"/>
    <w:rsid w:val="7693AC9F"/>
    <w:rsid w:val="76A43209"/>
    <w:rsid w:val="76A49768"/>
    <w:rsid w:val="76ABD596"/>
    <w:rsid w:val="76B19565"/>
    <w:rsid w:val="76B516B2"/>
    <w:rsid w:val="76C434BD"/>
    <w:rsid w:val="76C84868"/>
    <w:rsid w:val="76CB65C4"/>
    <w:rsid w:val="76D20BEE"/>
    <w:rsid w:val="76D7E8C2"/>
    <w:rsid w:val="76E373AE"/>
    <w:rsid w:val="76E62A60"/>
    <w:rsid w:val="76E7DE29"/>
    <w:rsid w:val="76EAF89F"/>
    <w:rsid w:val="76EF785F"/>
    <w:rsid w:val="76F04F22"/>
    <w:rsid w:val="76F1E0D8"/>
    <w:rsid w:val="76F8FED8"/>
    <w:rsid w:val="76FB75C6"/>
    <w:rsid w:val="76FF12BE"/>
    <w:rsid w:val="77052E7F"/>
    <w:rsid w:val="77079345"/>
    <w:rsid w:val="770BDDE9"/>
    <w:rsid w:val="770EE6F1"/>
    <w:rsid w:val="770FF279"/>
    <w:rsid w:val="77136F27"/>
    <w:rsid w:val="7713866D"/>
    <w:rsid w:val="77177BA1"/>
    <w:rsid w:val="771D61BF"/>
    <w:rsid w:val="771D6AB9"/>
    <w:rsid w:val="77225C69"/>
    <w:rsid w:val="7725E298"/>
    <w:rsid w:val="772DA5BC"/>
    <w:rsid w:val="7732E9F8"/>
    <w:rsid w:val="773331D6"/>
    <w:rsid w:val="7734C2B7"/>
    <w:rsid w:val="773CCC18"/>
    <w:rsid w:val="773FB1EB"/>
    <w:rsid w:val="7741A0DA"/>
    <w:rsid w:val="774D0A57"/>
    <w:rsid w:val="77501AE3"/>
    <w:rsid w:val="775D012C"/>
    <w:rsid w:val="775E62BE"/>
    <w:rsid w:val="77655C93"/>
    <w:rsid w:val="776AB75B"/>
    <w:rsid w:val="776DCF74"/>
    <w:rsid w:val="7781B883"/>
    <w:rsid w:val="77850E30"/>
    <w:rsid w:val="7786246B"/>
    <w:rsid w:val="778A348D"/>
    <w:rsid w:val="7794DC06"/>
    <w:rsid w:val="7799D1BE"/>
    <w:rsid w:val="779C3701"/>
    <w:rsid w:val="77B9A4BB"/>
    <w:rsid w:val="77BE23D5"/>
    <w:rsid w:val="77C12CE8"/>
    <w:rsid w:val="77C63C52"/>
    <w:rsid w:val="77CD1A1F"/>
    <w:rsid w:val="77CD2029"/>
    <w:rsid w:val="77CF3A69"/>
    <w:rsid w:val="77D4C9E3"/>
    <w:rsid w:val="77D98F96"/>
    <w:rsid w:val="77D9BE90"/>
    <w:rsid w:val="77DCF129"/>
    <w:rsid w:val="77DE7737"/>
    <w:rsid w:val="77DEA8F5"/>
    <w:rsid w:val="77E42CF0"/>
    <w:rsid w:val="77EFE803"/>
    <w:rsid w:val="77F4DEDC"/>
    <w:rsid w:val="77FA62EF"/>
    <w:rsid w:val="780271A2"/>
    <w:rsid w:val="78044621"/>
    <w:rsid w:val="780BECCE"/>
    <w:rsid w:val="780D81A1"/>
    <w:rsid w:val="780F2E1C"/>
    <w:rsid w:val="781091F8"/>
    <w:rsid w:val="7811EA1E"/>
    <w:rsid w:val="781240E7"/>
    <w:rsid w:val="781A3D88"/>
    <w:rsid w:val="781DAE86"/>
    <w:rsid w:val="782AEC39"/>
    <w:rsid w:val="7830E8F5"/>
    <w:rsid w:val="7831E990"/>
    <w:rsid w:val="78384FE9"/>
    <w:rsid w:val="7839CBF6"/>
    <w:rsid w:val="783B85A4"/>
    <w:rsid w:val="783C702D"/>
    <w:rsid w:val="783C7F5C"/>
    <w:rsid w:val="78410A5E"/>
    <w:rsid w:val="78411CAF"/>
    <w:rsid w:val="784384C0"/>
    <w:rsid w:val="784AA78F"/>
    <w:rsid w:val="784AA8BF"/>
    <w:rsid w:val="7856756E"/>
    <w:rsid w:val="785A34ED"/>
    <w:rsid w:val="785F2916"/>
    <w:rsid w:val="786342DA"/>
    <w:rsid w:val="7863EBE6"/>
    <w:rsid w:val="7864B62E"/>
    <w:rsid w:val="7865470F"/>
    <w:rsid w:val="786FB15C"/>
    <w:rsid w:val="78788448"/>
    <w:rsid w:val="787B5F18"/>
    <w:rsid w:val="7882819D"/>
    <w:rsid w:val="7883D4CB"/>
    <w:rsid w:val="78853389"/>
    <w:rsid w:val="788DE555"/>
    <w:rsid w:val="788FA276"/>
    <w:rsid w:val="78972F1B"/>
    <w:rsid w:val="789B258B"/>
    <w:rsid w:val="789B3998"/>
    <w:rsid w:val="789B739A"/>
    <w:rsid w:val="789CC5B0"/>
    <w:rsid w:val="78A25B6B"/>
    <w:rsid w:val="78A90DC2"/>
    <w:rsid w:val="78AB01D8"/>
    <w:rsid w:val="78B1F440"/>
    <w:rsid w:val="78B34AC9"/>
    <w:rsid w:val="78B8364A"/>
    <w:rsid w:val="78BA6299"/>
    <w:rsid w:val="78BEF3EA"/>
    <w:rsid w:val="78BFC5B2"/>
    <w:rsid w:val="78BFEDD8"/>
    <w:rsid w:val="78C6836B"/>
    <w:rsid w:val="78CA0D02"/>
    <w:rsid w:val="78CEBFB3"/>
    <w:rsid w:val="78D3037C"/>
    <w:rsid w:val="78D4BACD"/>
    <w:rsid w:val="78D9CC2B"/>
    <w:rsid w:val="78DFBCAF"/>
    <w:rsid w:val="78E42B05"/>
    <w:rsid w:val="78E883B9"/>
    <w:rsid w:val="78ED68F2"/>
    <w:rsid w:val="78F1E3BF"/>
    <w:rsid w:val="78F9CF31"/>
    <w:rsid w:val="78FA7C9C"/>
    <w:rsid w:val="79023981"/>
    <w:rsid w:val="790364DF"/>
    <w:rsid w:val="79039E87"/>
    <w:rsid w:val="79049A3F"/>
    <w:rsid w:val="790546D4"/>
    <w:rsid w:val="790DE60F"/>
    <w:rsid w:val="79153D71"/>
    <w:rsid w:val="791800CD"/>
    <w:rsid w:val="79206C14"/>
    <w:rsid w:val="79262204"/>
    <w:rsid w:val="792A56F2"/>
    <w:rsid w:val="792BF742"/>
    <w:rsid w:val="792E4310"/>
    <w:rsid w:val="79334A30"/>
    <w:rsid w:val="79392B8F"/>
    <w:rsid w:val="793AB35C"/>
    <w:rsid w:val="793DC713"/>
    <w:rsid w:val="7948BC1B"/>
    <w:rsid w:val="794D59AD"/>
    <w:rsid w:val="79522CB2"/>
    <w:rsid w:val="79534A2A"/>
    <w:rsid w:val="79555A08"/>
    <w:rsid w:val="79607FFA"/>
    <w:rsid w:val="7960AFF7"/>
    <w:rsid w:val="796860FC"/>
    <w:rsid w:val="796988D0"/>
    <w:rsid w:val="79859F27"/>
    <w:rsid w:val="798B2C88"/>
    <w:rsid w:val="799003B9"/>
    <w:rsid w:val="799A0719"/>
    <w:rsid w:val="799B72BB"/>
    <w:rsid w:val="799FC243"/>
    <w:rsid w:val="79A16E9B"/>
    <w:rsid w:val="79A44DAD"/>
    <w:rsid w:val="79A6C09B"/>
    <w:rsid w:val="79A6E2F2"/>
    <w:rsid w:val="79A88DB8"/>
    <w:rsid w:val="79ADB692"/>
    <w:rsid w:val="79B31E9F"/>
    <w:rsid w:val="79B3F9B3"/>
    <w:rsid w:val="79BB400C"/>
    <w:rsid w:val="79C78A18"/>
    <w:rsid w:val="79C9A75D"/>
    <w:rsid w:val="79CC0969"/>
    <w:rsid w:val="79D0AC8D"/>
    <w:rsid w:val="79D10A45"/>
    <w:rsid w:val="79DF563E"/>
    <w:rsid w:val="79E33CEE"/>
    <w:rsid w:val="79E5AEA9"/>
    <w:rsid w:val="79ECF265"/>
    <w:rsid w:val="79F1C9BF"/>
    <w:rsid w:val="79F3CEA2"/>
    <w:rsid w:val="79F72318"/>
    <w:rsid w:val="79F76C09"/>
    <w:rsid w:val="7A032C33"/>
    <w:rsid w:val="7A03A9F4"/>
    <w:rsid w:val="7A0609FA"/>
    <w:rsid w:val="7A0D133A"/>
    <w:rsid w:val="7A0D7EB7"/>
    <w:rsid w:val="7A0E3B67"/>
    <w:rsid w:val="7A0F0978"/>
    <w:rsid w:val="7A0FB898"/>
    <w:rsid w:val="7A103552"/>
    <w:rsid w:val="7A2426E2"/>
    <w:rsid w:val="7A273129"/>
    <w:rsid w:val="7A286ABC"/>
    <w:rsid w:val="7A2ADCA6"/>
    <w:rsid w:val="7A339F95"/>
    <w:rsid w:val="7A353D86"/>
    <w:rsid w:val="7A359B88"/>
    <w:rsid w:val="7A3D2568"/>
    <w:rsid w:val="7A3FD081"/>
    <w:rsid w:val="7A3FDD0A"/>
    <w:rsid w:val="7A4BD635"/>
    <w:rsid w:val="7A5E39F2"/>
    <w:rsid w:val="7A65DD56"/>
    <w:rsid w:val="7A676DB7"/>
    <w:rsid w:val="7A6A5709"/>
    <w:rsid w:val="7A6C855D"/>
    <w:rsid w:val="7A6EA795"/>
    <w:rsid w:val="7A741237"/>
    <w:rsid w:val="7A75D833"/>
    <w:rsid w:val="7A792DC4"/>
    <w:rsid w:val="7A7C147D"/>
    <w:rsid w:val="7A873D10"/>
    <w:rsid w:val="7A897CE0"/>
    <w:rsid w:val="7A8C92B6"/>
    <w:rsid w:val="7A90C1CF"/>
    <w:rsid w:val="7A96CCA8"/>
    <w:rsid w:val="7A9BEA6D"/>
    <w:rsid w:val="7A9CFA7C"/>
    <w:rsid w:val="7A9FB3FE"/>
    <w:rsid w:val="7AA687B2"/>
    <w:rsid w:val="7AAC29A1"/>
    <w:rsid w:val="7AAD4EFF"/>
    <w:rsid w:val="7AB46D09"/>
    <w:rsid w:val="7AB54E3C"/>
    <w:rsid w:val="7AB6EB6D"/>
    <w:rsid w:val="7AB9C9CF"/>
    <w:rsid w:val="7ACA702A"/>
    <w:rsid w:val="7AD10757"/>
    <w:rsid w:val="7ADA53DF"/>
    <w:rsid w:val="7AE43FE9"/>
    <w:rsid w:val="7AE712C4"/>
    <w:rsid w:val="7AEA2718"/>
    <w:rsid w:val="7AECAE7E"/>
    <w:rsid w:val="7AF22CE3"/>
    <w:rsid w:val="7AF85E6B"/>
    <w:rsid w:val="7AFDD03B"/>
    <w:rsid w:val="7AFF72EC"/>
    <w:rsid w:val="7B01B428"/>
    <w:rsid w:val="7B058705"/>
    <w:rsid w:val="7B05CC4F"/>
    <w:rsid w:val="7B0F1E6A"/>
    <w:rsid w:val="7B124877"/>
    <w:rsid w:val="7B12FD55"/>
    <w:rsid w:val="7B13BDF7"/>
    <w:rsid w:val="7B1B7004"/>
    <w:rsid w:val="7B1C79B6"/>
    <w:rsid w:val="7B20EEEA"/>
    <w:rsid w:val="7B21D02E"/>
    <w:rsid w:val="7B28C214"/>
    <w:rsid w:val="7B32930C"/>
    <w:rsid w:val="7B41844D"/>
    <w:rsid w:val="7B449A70"/>
    <w:rsid w:val="7B48A4A1"/>
    <w:rsid w:val="7B4DAF1D"/>
    <w:rsid w:val="7B4FBC8D"/>
    <w:rsid w:val="7B514586"/>
    <w:rsid w:val="7B524932"/>
    <w:rsid w:val="7B52E7BD"/>
    <w:rsid w:val="7B57292A"/>
    <w:rsid w:val="7B588680"/>
    <w:rsid w:val="7B5D8AFA"/>
    <w:rsid w:val="7B6595DF"/>
    <w:rsid w:val="7B6B22F1"/>
    <w:rsid w:val="7B7099AD"/>
    <w:rsid w:val="7B7BF030"/>
    <w:rsid w:val="7B7E9180"/>
    <w:rsid w:val="7B81A837"/>
    <w:rsid w:val="7B8416B6"/>
    <w:rsid w:val="7B876DCD"/>
    <w:rsid w:val="7B87B61A"/>
    <w:rsid w:val="7B98A2C2"/>
    <w:rsid w:val="7B9FB3C5"/>
    <w:rsid w:val="7BA39DBD"/>
    <w:rsid w:val="7BA4D50E"/>
    <w:rsid w:val="7BAAFCE7"/>
    <w:rsid w:val="7BAB43C6"/>
    <w:rsid w:val="7BB0B9D2"/>
    <w:rsid w:val="7BB1F6B0"/>
    <w:rsid w:val="7BB5D535"/>
    <w:rsid w:val="7BB8F0F7"/>
    <w:rsid w:val="7BBCAB1F"/>
    <w:rsid w:val="7BBD3EA0"/>
    <w:rsid w:val="7BBE32AE"/>
    <w:rsid w:val="7BC2DE86"/>
    <w:rsid w:val="7BCC3C4A"/>
    <w:rsid w:val="7BCCC3A8"/>
    <w:rsid w:val="7BCD3401"/>
    <w:rsid w:val="7BD39CC8"/>
    <w:rsid w:val="7BD935E1"/>
    <w:rsid w:val="7BDE0D51"/>
    <w:rsid w:val="7BE036DD"/>
    <w:rsid w:val="7BE4C5E0"/>
    <w:rsid w:val="7BEF49C6"/>
    <w:rsid w:val="7BF3EC53"/>
    <w:rsid w:val="7BF5AED6"/>
    <w:rsid w:val="7BF73BEE"/>
    <w:rsid w:val="7BFAB4D1"/>
    <w:rsid w:val="7BFB4819"/>
    <w:rsid w:val="7BFC1F73"/>
    <w:rsid w:val="7C03A1EF"/>
    <w:rsid w:val="7C05FEEE"/>
    <w:rsid w:val="7C0D65C0"/>
    <w:rsid w:val="7C151F7D"/>
    <w:rsid w:val="7C15C3AA"/>
    <w:rsid w:val="7C175138"/>
    <w:rsid w:val="7C175EFF"/>
    <w:rsid w:val="7C17A1FE"/>
    <w:rsid w:val="7C1A6356"/>
    <w:rsid w:val="7C1DCCF3"/>
    <w:rsid w:val="7C1FABC9"/>
    <w:rsid w:val="7C2D662A"/>
    <w:rsid w:val="7C30C7E1"/>
    <w:rsid w:val="7C30F7D3"/>
    <w:rsid w:val="7C3CB5AD"/>
    <w:rsid w:val="7C3F0C2F"/>
    <w:rsid w:val="7C4E708A"/>
    <w:rsid w:val="7C55A693"/>
    <w:rsid w:val="7C5A1A1E"/>
    <w:rsid w:val="7C5C1A47"/>
    <w:rsid w:val="7C5CA993"/>
    <w:rsid w:val="7C5F777D"/>
    <w:rsid w:val="7C651DDF"/>
    <w:rsid w:val="7C68AEC6"/>
    <w:rsid w:val="7C6C08D4"/>
    <w:rsid w:val="7C745714"/>
    <w:rsid w:val="7C74C809"/>
    <w:rsid w:val="7C76E0AF"/>
    <w:rsid w:val="7C7A5197"/>
    <w:rsid w:val="7C8D438F"/>
    <w:rsid w:val="7C90A35B"/>
    <w:rsid w:val="7C941984"/>
    <w:rsid w:val="7C95D774"/>
    <w:rsid w:val="7C9958B4"/>
    <w:rsid w:val="7C9E238F"/>
    <w:rsid w:val="7C9E2B07"/>
    <w:rsid w:val="7CA560FC"/>
    <w:rsid w:val="7CA9DC06"/>
    <w:rsid w:val="7CAB7EBC"/>
    <w:rsid w:val="7CAD9E8A"/>
    <w:rsid w:val="7CAF9CA3"/>
    <w:rsid w:val="7CB241E4"/>
    <w:rsid w:val="7CB79644"/>
    <w:rsid w:val="7CC035D3"/>
    <w:rsid w:val="7CC43172"/>
    <w:rsid w:val="7CC7DF11"/>
    <w:rsid w:val="7CC8EA7C"/>
    <w:rsid w:val="7CC95AFB"/>
    <w:rsid w:val="7CCB4B51"/>
    <w:rsid w:val="7CCECBA4"/>
    <w:rsid w:val="7CD21B20"/>
    <w:rsid w:val="7CD95771"/>
    <w:rsid w:val="7CDFF561"/>
    <w:rsid w:val="7CE0B7EF"/>
    <w:rsid w:val="7CE4AA3C"/>
    <w:rsid w:val="7CE564F4"/>
    <w:rsid w:val="7CEF0DBA"/>
    <w:rsid w:val="7CF0AC51"/>
    <w:rsid w:val="7CF0B1B9"/>
    <w:rsid w:val="7D014926"/>
    <w:rsid w:val="7D039897"/>
    <w:rsid w:val="7D05CE9D"/>
    <w:rsid w:val="7D061139"/>
    <w:rsid w:val="7D078F52"/>
    <w:rsid w:val="7D0D5D9A"/>
    <w:rsid w:val="7D156BE9"/>
    <w:rsid w:val="7D1B2425"/>
    <w:rsid w:val="7D1B2477"/>
    <w:rsid w:val="7D1D624E"/>
    <w:rsid w:val="7D277CEE"/>
    <w:rsid w:val="7D2CCFF5"/>
    <w:rsid w:val="7D2FE673"/>
    <w:rsid w:val="7D39ACEB"/>
    <w:rsid w:val="7D3CF045"/>
    <w:rsid w:val="7D3EA64E"/>
    <w:rsid w:val="7D3F6F61"/>
    <w:rsid w:val="7D43E824"/>
    <w:rsid w:val="7D4E4780"/>
    <w:rsid w:val="7D4F7078"/>
    <w:rsid w:val="7D510B08"/>
    <w:rsid w:val="7D5227B6"/>
    <w:rsid w:val="7D560DD0"/>
    <w:rsid w:val="7D5BB2AD"/>
    <w:rsid w:val="7D5D4C96"/>
    <w:rsid w:val="7D620602"/>
    <w:rsid w:val="7D651614"/>
    <w:rsid w:val="7D651F1F"/>
    <w:rsid w:val="7D66960C"/>
    <w:rsid w:val="7D66B27F"/>
    <w:rsid w:val="7D721BF4"/>
    <w:rsid w:val="7D809364"/>
    <w:rsid w:val="7D8FBBCA"/>
    <w:rsid w:val="7D90F81B"/>
    <w:rsid w:val="7D91BC01"/>
    <w:rsid w:val="7D965005"/>
    <w:rsid w:val="7D9B25A1"/>
    <w:rsid w:val="7DA028DC"/>
    <w:rsid w:val="7DA2F805"/>
    <w:rsid w:val="7DAA76BD"/>
    <w:rsid w:val="7DAB3774"/>
    <w:rsid w:val="7DACAFA1"/>
    <w:rsid w:val="7DB1CEDC"/>
    <w:rsid w:val="7DB7E626"/>
    <w:rsid w:val="7DBD4FB9"/>
    <w:rsid w:val="7DBE24DE"/>
    <w:rsid w:val="7DBE6B78"/>
    <w:rsid w:val="7DC049CA"/>
    <w:rsid w:val="7DCA344F"/>
    <w:rsid w:val="7DCB09C5"/>
    <w:rsid w:val="7DCDECAA"/>
    <w:rsid w:val="7DCE4E9A"/>
    <w:rsid w:val="7DD249F0"/>
    <w:rsid w:val="7DD538C8"/>
    <w:rsid w:val="7DE0DB7F"/>
    <w:rsid w:val="7DE4082E"/>
    <w:rsid w:val="7DE5C084"/>
    <w:rsid w:val="7DE5DCD3"/>
    <w:rsid w:val="7DE5F7CE"/>
    <w:rsid w:val="7DE64CA6"/>
    <w:rsid w:val="7DE8B0A8"/>
    <w:rsid w:val="7DE98B00"/>
    <w:rsid w:val="7DEED393"/>
    <w:rsid w:val="7DEEF8A0"/>
    <w:rsid w:val="7DF2E748"/>
    <w:rsid w:val="7DF97EE1"/>
    <w:rsid w:val="7E0B1F28"/>
    <w:rsid w:val="7E106A34"/>
    <w:rsid w:val="7E13398D"/>
    <w:rsid w:val="7E13626E"/>
    <w:rsid w:val="7E19B037"/>
    <w:rsid w:val="7E231AE6"/>
    <w:rsid w:val="7E288933"/>
    <w:rsid w:val="7E292FE0"/>
    <w:rsid w:val="7E2A0A80"/>
    <w:rsid w:val="7E2B43B6"/>
    <w:rsid w:val="7E34BCA6"/>
    <w:rsid w:val="7E390444"/>
    <w:rsid w:val="7E3C5F86"/>
    <w:rsid w:val="7E3E77F7"/>
    <w:rsid w:val="7E48367A"/>
    <w:rsid w:val="7E484C11"/>
    <w:rsid w:val="7E495C0A"/>
    <w:rsid w:val="7E4B1A6A"/>
    <w:rsid w:val="7E4C7B27"/>
    <w:rsid w:val="7E512D00"/>
    <w:rsid w:val="7E5451F6"/>
    <w:rsid w:val="7E579FD9"/>
    <w:rsid w:val="7E58977B"/>
    <w:rsid w:val="7E592A4B"/>
    <w:rsid w:val="7E64EED6"/>
    <w:rsid w:val="7E662181"/>
    <w:rsid w:val="7E745838"/>
    <w:rsid w:val="7E74AE15"/>
    <w:rsid w:val="7E75B7E8"/>
    <w:rsid w:val="7E779F51"/>
    <w:rsid w:val="7E823332"/>
    <w:rsid w:val="7E82C78C"/>
    <w:rsid w:val="7E832013"/>
    <w:rsid w:val="7E9A3AB5"/>
    <w:rsid w:val="7E9F241F"/>
    <w:rsid w:val="7EB3CF07"/>
    <w:rsid w:val="7EB5626D"/>
    <w:rsid w:val="7EB59024"/>
    <w:rsid w:val="7EB6D230"/>
    <w:rsid w:val="7EB89573"/>
    <w:rsid w:val="7EBD5B0B"/>
    <w:rsid w:val="7EBFA60D"/>
    <w:rsid w:val="7EBFD5C8"/>
    <w:rsid w:val="7EC128E4"/>
    <w:rsid w:val="7EC694BD"/>
    <w:rsid w:val="7ECB5EAB"/>
    <w:rsid w:val="7ECDE6E0"/>
    <w:rsid w:val="7ED3D22D"/>
    <w:rsid w:val="7EDC46C4"/>
    <w:rsid w:val="7EDEA1D3"/>
    <w:rsid w:val="7EDF7E2F"/>
    <w:rsid w:val="7EEA2D54"/>
    <w:rsid w:val="7EEC2237"/>
    <w:rsid w:val="7EECD4AC"/>
    <w:rsid w:val="7EED7C13"/>
    <w:rsid w:val="7EEE1D65"/>
    <w:rsid w:val="7EF0B8E2"/>
    <w:rsid w:val="7EF57235"/>
    <w:rsid w:val="7F012DA0"/>
    <w:rsid w:val="7F047D8C"/>
    <w:rsid w:val="7F04A7ED"/>
    <w:rsid w:val="7F070F1C"/>
    <w:rsid w:val="7F0858AB"/>
    <w:rsid w:val="7F0F0ACE"/>
    <w:rsid w:val="7F2240DF"/>
    <w:rsid w:val="7F22FC75"/>
    <w:rsid w:val="7F236E0F"/>
    <w:rsid w:val="7F249351"/>
    <w:rsid w:val="7F29A6A8"/>
    <w:rsid w:val="7F30EB63"/>
    <w:rsid w:val="7F35D846"/>
    <w:rsid w:val="7F37ED28"/>
    <w:rsid w:val="7F394D9E"/>
    <w:rsid w:val="7F3DDF74"/>
    <w:rsid w:val="7F3EA3AB"/>
    <w:rsid w:val="7F421E81"/>
    <w:rsid w:val="7F428F0E"/>
    <w:rsid w:val="7F441EF4"/>
    <w:rsid w:val="7F484204"/>
    <w:rsid w:val="7F4AD935"/>
    <w:rsid w:val="7F4C9255"/>
    <w:rsid w:val="7F52ECD2"/>
    <w:rsid w:val="7F739A7C"/>
    <w:rsid w:val="7F763D35"/>
    <w:rsid w:val="7F7796DF"/>
    <w:rsid w:val="7F8F3460"/>
    <w:rsid w:val="7F92C958"/>
    <w:rsid w:val="7F95528D"/>
    <w:rsid w:val="7F994B27"/>
    <w:rsid w:val="7F9965DE"/>
    <w:rsid w:val="7F9F32C5"/>
    <w:rsid w:val="7FA0231A"/>
    <w:rsid w:val="7FA39E13"/>
    <w:rsid w:val="7FA3D381"/>
    <w:rsid w:val="7FA715D9"/>
    <w:rsid w:val="7FAA366E"/>
    <w:rsid w:val="7FB4D8EE"/>
    <w:rsid w:val="7FB52E96"/>
    <w:rsid w:val="7FB623E3"/>
    <w:rsid w:val="7FB80E86"/>
    <w:rsid w:val="7FB95A21"/>
    <w:rsid w:val="7FBC570D"/>
    <w:rsid w:val="7FC069F3"/>
    <w:rsid w:val="7FC1FE1A"/>
    <w:rsid w:val="7FC3088D"/>
    <w:rsid w:val="7FCCF1DF"/>
    <w:rsid w:val="7FD4FC54"/>
    <w:rsid w:val="7FD659B7"/>
    <w:rsid w:val="7FDF7338"/>
    <w:rsid w:val="7FDFB4E4"/>
    <w:rsid w:val="7FE55137"/>
    <w:rsid w:val="7FE5DF63"/>
    <w:rsid w:val="7FECCBB4"/>
    <w:rsid w:val="7FF075F2"/>
    <w:rsid w:val="7FF18168"/>
    <w:rsid w:val="7FF637D6"/>
    <w:rsid w:val="7FF743ED"/>
    <w:rsid w:val="7FFB7417"/>
    <w:rsid w:val="7FFF7A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AE1D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ro-R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10" w:qFormat="1"/>
    <w:lsdException w:name="Closing" w:semiHidden="1"/>
    <w:lsdException w:name="Signature" w:semiHidden="1"/>
    <w:lsdException w:name="Default Paragraph Font" w:semiHidden="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tabs>
        <w:tab w:val="clear" w:pos="1570"/>
        <w:tab w:val="num" w:pos="862"/>
      </w:tabs>
      <w:ind w:left="862"/>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C47C8C"/>
    <w:rPr>
      <w:color w:val="0000FF"/>
      <w:shd w:val="clear" w:color="auto" w:fill="auto"/>
    </w:rPr>
  </w:style>
  <w:style w:type="paragraph" w:customStyle="1" w:styleId="Pagedecouverture">
    <w:name w:val="Page de couverture"/>
    <w:basedOn w:val="Normal"/>
    <w:next w:val="Normal"/>
    <w:rsid w:val="00C47C8C"/>
    <w:pPr>
      <w:spacing w:after="0"/>
    </w:pPr>
    <w:rPr>
      <w:rFonts w:eastAsiaTheme="minorHAnsi"/>
      <w:szCs w:val="22"/>
      <w:lang w:eastAsia="en-GB"/>
    </w:rPr>
  </w:style>
  <w:style w:type="paragraph" w:customStyle="1" w:styleId="FooterCoverPage">
    <w:name w:val="Footer Cover Page"/>
    <w:basedOn w:val="Normal"/>
    <w:link w:val="FooterCoverPageChar"/>
    <w:rsid w:val="00C47C8C"/>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C47C8C"/>
  </w:style>
  <w:style w:type="paragraph" w:customStyle="1" w:styleId="FooterSensitivity">
    <w:name w:val="Footer Sensitivity"/>
    <w:basedOn w:val="Normal"/>
    <w:link w:val="FooterSensitivityChar"/>
    <w:rsid w:val="00C47C8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C47C8C"/>
    <w:rPr>
      <w:b/>
      <w:sz w:val="32"/>
    </w:rPr>
  </w:style>
  <w:style w:type="paragraph" w:customStyle="1" w:styleId="HeaderCoverPage">
    <w:name w:val="Header Cover Page"/>
    <w:basedOn w:val="Normal"/>
    <w:link w:val="HeaderCoverPageChar"/>
    <w:rsid w:val="00C47C8C"/>
    <w:pPr>
      <w:tabs>
        <w:tab w:val="center" w:pos="4535"/>
        <w:tab w:val="right" w:pos="9071"/>
      </w:tabs>
      <w:spacing w:after="120"/>
    </w:pPr>
  </w:style>
  <w:style w:type="character" w:customStyle="1" w:styleId="HeaderCoverPageChar">
    <w:name w:val="Header Cover Page Char"/>
    <w:basedOn w:val="DefaultParagraphFont"/>
    <w:link w:val="HeaderCoverPage"/>
    <w:rsid w:val="00C47C8C"/>
  </w:style>
  <w:style w:type="paragraph" w:customStyle="1" w:styleId="HeaderSensitivity">
    <w:name w:val="Header Sensitivity"/>
    <w:basedOn w:val="Normal"/>
    <w:link w:val="HeaderSensitivityChar"/>
    <w:rsid w:val="00C47C8C"/>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C47C8C"/>
    <w:rPr>
      <w:b/>
      <w:sz w:val="32"/>
    </w:rPr>
  </w:style>
  <w:style w:type="paragraph" w:customStyle="1" w:styleId="HeaderSensitivityRight">
    <w:name w:val="Header Sensitivity Right"/>
    <w:basedOn w:val="Normal"/>
    <w:link w:val="HeaderSensitivityRightChar"/>
    <w:rsid w:val="00C745AE"/>
    <w:pPr>
      <w:spacing w:after="120"/>
      <w:jc w:val="right"/>
    </w:pPr>
    <w:rPr>
      <w:sz w:val="28"/>
    </w:rPr>
  </w:style>
  <w:style w:type="character" w:customStyle="1" w:styleId="HeaderSensitivityRightChar">
    <w:name w:val="Header Sensitivity Right Char"/>
    <w:basedOn w:val="DefaultParagraphFont"/>
    <w:link w:val="HeaderSensitivityRight"/>
    <w:rsid w:val="00C47C8C"/>
    <w:rPr>
      <w:sz w:val="28"/>
    </w:rPr>
  </w:style>
  <w:style w:type="paragraph" w:styleId="BodyText">
    <w:name w:val="Body Text"/>
    <w:basedOn w:val="Normal"/>
    <w:link w:val="BodyTextChar"/>
    <w:uiPriority w:val="1"/>
    <w:qFormat/>
    <w:rsid w:val="009650AB"/>
    <w:pPr>
      <w:widowControl w:val="0"/>
      <w:autoSpaceDE w:val="0"/>
      <w:autoSpaceDN w:val="0"/>
      <w:spacing w:after="120" w:line="276" w:lineRule="auto"/>
      <w:ind w:left="1015" w:right="856"/>
    </w:pPr>
    <w:rPr>
      <w:rFonts w:eastAsia="Calibri"/>
      <w:szCs w:val="24"/>
      <w:lang w:eastAsia="en-GB"/>
    </w:rPr>
  </w:style>
  <w:style w:type="character" w:customStyle="1" w:styleId="BodyTextChar">
    <w:name w:val="Body Text Char"/>
    <w:basedOn w:val="DefaultParagraphFont"/>
    <w:link w:val="BodyText"/>
    <w:uiPriority w:val="1"/>
    <w:rsid w:val="009650AB"/>
    <w:rPr>
      <w:rFonts w:eastAsia="Calibri"/>
      <w:szCs w:val="24"/>
      <w:lang w:val="ro-RO" w:eastAsia="en-GB"/>
    </w:rPr>
  </w:style>
  <w:style w:type="paragraph" w:styleId="ListParagraph">
    <w:name w:val="List Paragraph"/>
    <w:aliases w:val="Fiche List Paragraph,OBC Bullet,Dot pt,F5 List Paragraph,List Paragraph1,No Spacing1,List Paragraph Char Char Char,Indicator Text,Colorful List - Accent 11,Numbered Para 1,Bullet 1,Bullet Points,MAIN CONTENT,List Paragraph11,2,Bullet St,3"/>
    <w:basedOn w:val="Normal"/>
    <w:link w:val="ListParagraphChar"/>
    <w:uiPriority w:val="34"/>
    <w:qFormat/>
    <w:rsid w:val="009650AB"/>
    <w:pPr>
      <w:widowControl w:val="0"/>
      <w:autoSpaceDE w:val="0"/>
      <w:autoSpaceDN w:val="0"/>
      <w:spacing w:after="120" w:line="276" w:lineRule="auto"/>
      <w:ind w:left="1802" w:right="856" w:hanging="429"/>
      <w:jc w:val="left"/>
    </w:pPr>
    <w:rPr>
      <w:rFonts w:eastAsia="Calibri"/>
      <w:szCs w:val="24"/>
      <w:lang w:eastAsia="en-GB"/>
    </w:rPr>
  </w:style>
  <w:style w:type="paragraph" w:customStyle="1" w:styleId="TableParagraph">
    <w:name w:val="Table Paragraph"/>
    <w:basedOn w:val="Normal"/>
    <w:uiPriority w:val="1"/>
    <w:qFormat/>
    <w:rsid w:val="009650AB"/>
    <w:pPr>
      <w:widowControl w:val="0"/>
      <w:autoSpaceDE w:val="0"/>
      <w:autoSpaceDN w:val="0"/>
      <w:spacing w:after="120" w:line="276" w:lineRule="auto"/>
      <w:ind w:left="107" w:right="856"/>
      <w:jc w:val="left"/>
    </w:pPr>
    <w:rPr>
      <w:rFonts w:eastAsia="Calibri"/>
      <w:szCs w:val="24"/>
      <w:lang w:eastAsia="en-GB"/>
    </w:rPr>
  </w:style>
  <w:style w:type="character" w:customStyle="1" w:styleId="FootnoteTextChar">
    <w:name w:val="Footnote Text Char"/>
    <w:basedOn w:val="DefaultParagraphFont"/>
    <w:uiPriority w:val="99"/>
    <w:rsid w:val="009650AB"/>
    <w:rPr>
      <w:sz w:val="20"/>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link w:val="ListParagraph"/>
    <w:uiPriority w:val="34"/>
    <w:qFormat/>
    <w:locked/>
    <w:rsid w:val="009650AB"/>
    <w:rPr>
      <w:rFonts w:eastAsia="Calibri"/>
      <w:szCs w:val="24"/>
      <w:lang w:val="ro-RO" w:eastAsia="en-GB"/>
    </w:rPr>
  </w:style>
  <w:style w:type="character" w:styleId="Hyperlink">
    <w:name w:val="Hyperlink"/>
    <w:basedOn w:val="DefaultParagraphFont"/>
    <w:uiPriority w:val="99"/>
    <w:unhideWhenUsed/>
    <w:rsid w:val="009650AB"/>
    <w:rPr>
      <w:color w:val="0563C1"/>
      <w:u w:val="single"/>
    </w:rPr>
  </w:style>
  <w:style w:type="character" w:styleId="CommentReference">
    <w:name w:val="annotation reference"/>
    <w:basedOn w:val="DefaultParagraphFont"/>
    <w:uiPriority w:val="99"/>
    <w:semiHidden/>
    <w:unhideWhenUsed/>
    <w:rsid w:val="009650AB"/>
    <w:rPr>
      <w:sz w:val="16"/>
      <w:szCs w:val="16"/>
    </w:rPr>
  </w:style>
  <w:style w:type="paragraph" w:styleId="CommentText">
    <w:name w:val="annotation text"/>
    <w:basedOn w:val="Normal"/>
    <w:link w:val="CommentTextChar"/>
    <w:uiPriority w:val="99"/>
    <w:unhideWhenUsed/>
    <w:rsid w:val="009650AB"/>
    <w:pPr>
      <w:widowControl w:val="0"/>
      <w:autoSpaceDE w:val="0"/>
      <w:autoSpaceDN w:val="0"/>
      <w:spacing w:after="120" w:line="276" w:lineRule="auto"/>
      <w:ind w:left="992" w:right="856"/>
      <w:jc w:val="left"/>
    </w:pPr>
    <w:rPr>
      <w:rFonts w:eastAsia="Calibri"/>
      <w:sz w:val="20"/>
      <w:lang w:eastAsia="en-GB"/>
    </w:rPr>
  </w:style>
  <w:style w:type="character" w:customStyle="1" w:styleId="CommentTextChar">
    <w:name w:val="Comment Text Char"/>
    <w:basedOn w:val="DefaultParagraphFont"/>
    <w:link w:val="CommentText"/>
    <w:uiPriority w:val="99"/>
    <w:rsid w:val="009650AB"/>
    <w:rPr>
      <w:rFonts w:eastAsia="Calibri"/>
      <w:sz w:val="20"/>
      <w:lang w:val="ro-RO" w:eastAsia="en-GB"/>
    </w:rPr>
  </w:style>
  <w:style w:type="paragraph" w:styleId="CommentSubject">
    <w:name w:val="annotation subject"/>
    <w:basedOn w:val="CommentText"/>
    <w:next w:val="CommentText"/>
    <w:link w:val="CommentSubjectChar"/>
    <w:uiPriority w:val="99"/>
    <w:semiHidden/>
    <w:unhideWhenUsed/>
    <w:rsid w:val="009650AB"/>
    <w:rPr>
      <w:b/>
      <w:bCs/>
    </w:rPr>
  </w:style>
  <w:style w:type="character" w:customStyle="1" w:styleId="CommentSubjectChar">
    <w:name w:val="Comment Subject Char"/>
    <w:basedOn w:val="CommentTextChar"/>
    <w:link w:val="CommentSubject"/>
    <w:uiPriority w:val="99"/>
    <w:semiHidden/>
    <w:rsid w:val="009650AB"/>
    <w:rPr>
      <w:rFonts w:eastAsia="Calibri"/>
      <w:b/>
      <w:bCs/>
      <w:sz w:val="20"/>
      <w:lang w:val="ro-RO" w:eastAsia="en-GB"/>
    </w:rPr>
  </w:style>
  <w:style w:type="character" w:customStyle="1" w:styleId="FooterChar">
    <w:name w:val="Footer Char"/>
    <w:basedOn w:val="DefaultParagraphFont"/>
    <w:uiPriority w:val="99"/>
    <w:rsid w:val="00A610E9"/>
    <w:rPr>
      <w:vertAlign w:val="superscript"/>
    </w:rPr>
  </w:style>
  <w:style w:type="paragraph" w:customStyle="1" w:styleId="whitespace-pre-wrap">
    <w:name w:val="whitespace-pre-wrap"/>
    <w:basedOn w:val="Normal"/>
    <w:rsid w:val="009650AB"/>
    <w:pPr>
      <w:spacing w:before="100" w:beforeAutospacing="1" w:after="100" w:afterAutospacing="1" w:line="276" w:lineRule="auto"/>
      <w:ind w:left="992" w:right="856"/>
      <w:jc w:val="left"/>
    </w:pPr>
    <w:rPr>
      <w:rFonts w:eastAsia="Calibri"/>
      <w:szCs w:val="24"/>
      <w:lang w:eastAsia="en-GB"/>
    </w:rPr>
  </w:style>
  <w:style w:type="paragraph" w:styleId="Revision">
    <w:name w:val="Revision"/>
    <w:hidden/>
    <w:uiPriority w:val="99"/>
    <w:semiHidden/>
    <w:rsid w:val="009650AB"/>
    <w:rPr>
      <w:sz w:val="22"/>
      <w:szCs w:val="22"/>
      <w:lang w:eastAsia="en-GB"/>
    </w:rPr>
  </w:style>
  <w:style w:type="character" w:customStyle="1" w:styleId="UnresolvedMention">
    <w:name w:val="Unresolved Mention"/>
    <w:basedOn w:val="DefaultParagraphFont"/>
    <w:uiPriority w:val="99"/>
    <w:semiHidden/>
    <w:unhideWhenUsed/>
    <w:rsid w:val="009650AB"/>
    <w:rPr>
      <w:color w:val="605E5C"/>
      <w:shd w:val="clear" w:color="auto" w:fill="E1DFDD"/>
    </w:rPr>
  </w:style>
  <w:style w:type="character" w:styleId="FollowedHyperlink">
    <w:name w:val="FollowedHyperlink"/>
    <w:basedOn w:val="DefaultParagraphFont"/>
    <w:uiPriority w:val="99"/>
    <w:semiHidden/>
    <w:unhideWhenUsed/>
    <w:rsid w:val="009650AB"/>
    <w:rPr>
      <w:color w:val="96607D" w:themeColor="followedHyperlink"/>
      <w:u w:val="single"/>
    </w:rPr>
  </w:style>
  <w:style w:type="character" w:customStyle="1" w:styleId="Heading2Char">
    <w:name w:val="Heading 2 Char"/>
    <w:basedOn w:val="DefaultParagraphFont"/>
    <w:uiPriority w:val="10"/>
    <w:rsid w:val="009650AB"/>
    <w:rPr>
      <w:b/>
    </w:rPr>
  </w:style>
  <w:style w:type="character" w:customStyle="1" w:styleId="Heading3Char">
    <w:name w:val="Heading 3 Char"/>
    <w:basedOn w:val="DefaultParagraphFont"/>
    <w:uiPriority w:val="9"/>
    <w:rsid w:val="009650AB"/>
    <w:rPr>
      <w:i/>
    </w:rPr>
  </w:style>
  <w:style w:type="character" w:customStyle="1" w:styleId="Heading4Char">
    <w:name w:val="Heading 4 Char"/>
    <w:basedOn w:val="DefaultParagraphFont"/>
    <w:uiPriority w:val="9"/>
    <w:rsid w:val="009650AB"/>
  </w:style>
  <w:style w:type="character" w:customStyle="1" w:styleId="Heading5Char">
    <w:name w:val="Heading 5 Char"/>
    <w:basedOn w:val="DefaultParagraphFont"/>
    <w:uiPriority w:val="9"/>
    <w:semiHidden/>
    <w:rsid w:val="009650AB"/>
  </w:style>
  <w:style w:type="character" w:customStyle="1" w:styleId="Heading6Char">
    <w:name w:val="Heading 6 Char"/>
    <w:basedOn w:val="DefaultParagraphFont"/>
    <w:uiPriority w:val="9"/>
    <w:semiHidden/>
    <w:rsid w:val="009650AB"/>
  </w:style>
  <w:style w:type="character" w:customStyle="1" w:styleId="Heading7Char">
    <w:name w:val="Heading 7 Char"/>
    <w:basedOn w:val="DefaultParagraphFont"/>
    <w:uiPriority w:val="9"/>
    <w:semiHidden/>
    <w:rsid w:val="009650AB"/>
  </w:style>
  <w:style w:type="character" w:customStyle="1" w:styleId="Heading8Char">
    <w:name w:val="Heading 8 Char"/>
    <w:basedOn w:val="DefaultParagraphFont"/>
    <w:uiPriority w:val="9"/>
    <w:semiHidden/>
    <w:rsid w:val="009650AB"/>
  </w:style>
  <w:style w:type="character" w:customStyle="1" w:styleId="Heading9Char">
    <w:name w:val="Heading 9 Char"/>
    <w:basedOn w:val="DefaultParagraphFont"/>
    <w:uiPriority w:val="9"/>
    <w:semiHidden/>
    <w:rsid w:val="009650AB"/>
  </w:style>
  <w:style w:type="character" w:customStyle="1" w:styleId="Mention">
    <w:name w:val="Mention"/>
    <w:basedOn w:val="DefaultParagraphFont"/>
    <w:uiPriority w:val="99"/>
    <w:unhideWhenUsed/>
    <w:rsid w:val="009650AB"/>
    <w:rPr>
      <w:color w:val="2B579A"/>
      <w:shd w:val="clear" w:color="auto" w:fill="E1DFDD"/>
    </w:rPr>
  </w:style>
  <w:style w:type="paragraph" w:styleId="NormalWeb">
    <w:name w:val="Normal (Web)"/>
    <w:basedOn w:val="Normal"/>
    <w:uiPriority w:val="99"/>
    <w:semiHidden/>
    <w:unhideWhenUsed/>
    <w:rsid w:val="009650AB"/>
    <w:pPr>
      <w:widowControl w:val="0"/>
      <w:autoSpaceDE w:val="0"/>
      <w:autoSpaceDN w:val="0"/>
      <w:spacing w:after="120" w:line="276" w:lineRule="auto"/>
      <w:ind w:left="992" w:right="856"/>
      <w:jc w:val="left"/>
    </w:pPr>
    <w:rPr>
      <w:rFonts w:eastAsia="Calibri"/>
      <w:szCs w:val="24"/>
      <w:lang w:eastAsia="en-GB"/>
    </w:rPr>
  </w:style>
  <w:style w:type="character" w:customStyle="1" w:styleId="EndnoteTextChar">
    <w:name w:val="Endnote Text Char"/>
    <w:basedOn w:val="DefaultParagraphFont"/>
    <w:uiPriority w:val="99"/>
    <w:semiHidden/>
    <w:rsid w:val="009650AB"/>
    <w:rPr>
      <w:sz w:val="20"/>
    </w:rPr>
  </w:style>
  <w:style w:type="character" w:styleId="EndnoteReference">
    <w:name w:val="endnote reference"/>
    <w:basedOn w:val="DefaultParagraphFont"/>
    <w:uiPriority w:val="99"/>
    <w:semiHidden/>
    <w:unhideWhenUsed/>
    <w:rsid w:val="009650AB"/>
    <w:rPr>
      <w:vertAlign w:val="superscript"/>
    </w:rPr>
  </w:style>
  <w:style w:type="character" w:styleId="Strong">
    <w:name w:val="Strong"/>
    <w:basedOn w:val="DefaultParagraphFont"/>
    <w:uiPriority w:val="22"/>
    <w:qFormat/>
    <w:rsid w:val="009650AB"/>
    <w:rPr>
      <w:b/>
      <w:bCs/>
    </w:rPr>
  </w:style>
  <w:style w:type="character" w:customStyle="1" w:styleId="Text1Char">
    <w:name w:val="Text 1 Char"/>
    <w:basedOn w:val="DefaultParagraphFont"/>
    <w:rsid w:val="009650AB"/>
  </w:style>
  <w:style w:type="character" w:customStyle="1" w:styleId="whitespace-normal">
    <w:name w:val="whitespace-normal"/>
    <w:basedOn w:val="DefaultParagraphFont"/>
    <w:rsid w:val="00D300A1"/>
  </w:style>
  <w:style w:type="paragraph" w:customStyle="1" w:styleId="Disclaimer">
    <w:name w:val="Disclaimer"/>
    <w:basedOn w:val="Normal"/>
    <w:rsid w:val="00FA33C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GB"/>
    </w:rPr>
  </w:style>
  <w:style w:type="paragraph" w:customStyle="1" w:styleId="SecurityMarking">
    <w:name w:val="SecurityMarking"/>
    <w:basedOn w:val="Normal"/>
    <w:rsid w:val="00C745AE"/>
    <w:pPr>
      <w:spacing w:after="0" w:line="276" w:lineRule="auto"/>
      <w:ind w:left="5103"/>
      <w:jc w:val="left"/>
    </w:pPr>
    <w:rPr>
      <w:rFonts w:eastAsiaTheme="minorHAnsi"/>
      <w:sz w:val="28"/>
      <w:szCs w:val="22"/>
    </w:rPr>
  </w:style>
  <w:style w:type="paragraph" w:customStyle="1" w:styleId="DateMarking">
    <w:name w:val="DateMarking"/>
    <w:basedOn w:val="Normal"/>
    <w:rsid w:val="00C745AE"/>
    <w:pPr>
      <w:spacing w:after="0" w:line="276" w:lineRule="auto"/>
      <w:ind w:left="5103"/>
      <w:jc w:val="left"/>
    </w:pPr>
    <w:rPr>
      <w:rFonts w:eastAsiaTheme="minorHAnsi"/>
      <w:i/>
      <w:sz w:val="28"/>
      <w:szCs w:val="22"/>
    </w:rPr>
  </w:style>
  <w:style w:type="paragraph" w:customStyle="1" w:styleId="ReleasableTo">
    <w:name w:val="ReleasableTo"/>
    <w:basedOn w:val="Normal"/>
    <w:rsid w:val="00C745AE"/>
    <w:pPr>
      <w:spacing w:after="0" w:line="276" w:lineRule="auto"/>
      <w:ind w:left="5103"/>
      <w:jc w:val="left"/>
    </w:pPr>
    <w:rPr>
      <w:rFonts w:eastAsiaTheme="minorHAnsi"/>
      <w:i/>
      <w:sz w:val="28"/>
      <w:szCs w:val="22"/>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symbol,Footnote reference number,Times 10 Point,Exposant 3 Point,EN Footnote Reference,note TESI,Footnotes refss,Fussnota,texto nota a pie,ftref,BVI fnr,Footnote Reference Number,fr,E...,Footnote,N,Знак сноски-FN,callout,vnv"/>
    <w:uiPriority w:val="99"/>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uiPriority w:val="99"/>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Pr w:type="firstRow">
      <w:rPr>
        <w:color w:val="FFFFFF"/>
      </w:rPr>
    </w:tblStylePr>
    <w:tblStylePr w:type="firstCol">
      <w:rPr>
        <w:color w:val="004494"/>
      </w:rPr>
    </w:tblStylePr>
  </w:style>
  <w:style w:type="table" w:customStyle="1" w:styleId="EurolookClassicBlue1">
    <w:name w:val="Eurolook Classic Blue 1"/>
    <w:basedOn w:val="TableNormal"/>
    <w:semiHidden/>
    <w:unhideWhenUsed/>
    <w:pPr>
      <w:spacing w:after="240"/>
    </w:pPr>
    <w:tblPr/>
    <w:tblStylePr w:type="firstRow">
      <w:rPr>
        <w:color w:val="FFFFFF"/>
      </w:rPr>
    </w:tblStylePr>
    <w:tblStylePr w:type="firstCol">
      <w:rPr>
        <w:color w:val="004494"/>
      </w:rPr>
    </w:tblStylePr>
  </w:style>
  <w:style w:type="table" w:customStyle="1" w:styleId="EurolookClassicBlue2">
    <w:name w:val="Eurolook Classic Blue 2"/>
    <w:basedOn w:val="TableNormal"/>
    <w:semiHidden/>
    <w:unhideWhenUsed/>
    <w:pPr>
      <w:spacing w:after="240"/>
    </w:pPr>
    <w:tblPr/>
    <w:tblStylePr w:type="firstRow">
      <w:rPr>
        <w:color w:val="FFFFFF"/>
      </w:rPr>
    </w:tblStylePr>
    <w:tblStylePr w:type="firstCol">
      <w:rPr>
        <w:color w:val="004494"/>
      </w:rPr>
    </w:tblStylePr>
  </w:style>
  <w:style w:type="table" w:customStyle="1" w:styleId="EurolookClassicBlue3">
    <w:name w:val="Eurolook Classic Blue 3"/>
    <w:basedOn w:val="TableNormal"/>
    <w:semiHidden/>
    <w:unhideWhenUsed/>
    <w:pPr>
      <w:spacing w:after="240"/>
    </w:pPr>
    <w:tblPr/>
    <w:tblStylePr w:type="firstRow">
      <w:rPr>
        <w:color w:val="FFFFFF"/>
      </w:rPr>
    </w:tblStylePr>
    <w:tblStylePr w:type="firstCol">
      <w:rPr>
        <w:color w:val="004494"/>
      </w:rPr>
    </w:tblStylePr>
  </w:style>
  <w:style w:type="table" w:customStyle="1" w:styleId="EurolookClassicBlue4">
    <w:name w:val="Eurolook Classic Blue 4"/>
    <w:basedOn w:val="TableNormal"/>
    <w:semiHidden/>
    <w:unhideWhenUsed/>
    <w:pPr>
      <w:spacing w:after="240"/>
    </w:pPr>
    <w:tblPr/>
    <w:tblStylePr w:type="firstRow">
      <w:rPr>
        <w:color w:val="FFFFFF"/>
      </w:rPr>
    </w:tblStylePr>
    <w:tblStylePr w:type="firstCol">
      <w:rPr>
        <w:color w:val="004494"/>
      </w:rPr>
    </w:tblStylePr>
  </w:style>
  <w:style w:type="table" w:customStyle="1" w:styleId="EurolookClassicGrey">
    <w:name w:val="Eurolook Classic Grey"/>
    <w:basedOn w:val="TableNormal"/>
    <w:uiPriority w:val="80"/>
    <w:pPr>
      <w:spacing w:after="240"/>
    </w:pPr>
    <w:tblPr/>
    <w:tblStylePr w:type="firstRow">
      <w:rPr>
        <w:color w:val="FFFFFF"/>
      </w:rPr>
    </w:tblStylePr>
    <w:tblStylePr w:type="firstCol">
      <w:rPr>
        <w:color w:val="646567"/>
      </w:rPr>
    </w:tblStylePr>
  </w:style>
  <w:style w:type="table" w:customStyle="1" w:styleId="EurolookClassicGrey1">
    <w:name w:val="Eurolook Classic Grey 1"/>
    <w:basedOn w:val="TableNormal"/>
    <w:semiHidden/>
    <w:unhideWhenUsed/>
    <w:pPr>
      <w:spacing w:after="240"/>
    </w:pPr>
    <w:tblPr/>
    <w:tblStylePr w:type="firstRow">
      <w:rPr>
        <w:color w:val="FFFFFF"/>
      </w:rPr>
    </w:tblStylePr>
    <w:tblStylePr w:type="firstCol">
      <w:rPr>
        <w:color w:val="646567"/>
      </w:rPr>
    </w:tblStylePr>
  </w:style>
  <w:style w:type="table" w:customStyle="1" w:styleId="EurolookClassicGrey2">
    <w:name w:val="Eurolook Classic Grey 2"/>
    <w:basedOn w:val="TableNormal"/>
    <w:semiHidden/>
    <w:unhideWhenUsed/>
    <w:pPr>
      <w:spacing w:after="240"/>
    </w:pPr>
    <w:tblPr/>
    <w:tblStylePr w:type="firstRow">
      <w:rPr>
        <w:color w:val="FFFFFF"/>
      </w:rPr>
    </w:tblStylePr>
    <w:tblStylePr w:type="firstCol">
      <w:rPr>
        <w:color w:val="646567"/>
      </w:rPr>
    </w:tblStylePr>
  </w:style>
  <w:style w:type="table" w:customStyle="1" w:styleId="EurolookClassicGrey3">
    <w:name w:val="Eurolook Classic Grey 3"/>
    <w:basedOn w:val="TableNormal"/>
    <w:semiHidden/>
    <w:unhideWhenUsed/>
    <w:pPr>
      <w:spacing w:after="240"/>
    </w:pPr>
    <w:tblPr/>
    <w:tblStylePr w:type="firstRow">
      <w:rPr>
        <w:color w:val="FFFFFF"/>
      </w:rPr>
    </w:tblStylePr>
    <w:tblStylePr w:type="firstCol">
      <w:rPr>
        <w:color w:val="646567"/>
      </w:rPr>
    </w:tblStylePr>
  </w:style>
  <w:style w:type="table" w:customStyle="1" w:styleId="EurolookClassicGrey4">
    <w:name w:val="Eurolook Classic Grey 4"/>
    <w:basedOn w:val="TableNormal"/>
    <w:semiHidden/>
    <w:unhideWhenUsed/>
    <w:pPr>
      <w:spacing w:after="240"/>
    </w:pPr>
    <w:tblPr/>
    <w:tblStylePr w:type="firstRow">
      <w:rPr>
        <w:color w:val="FFFFFF"/>
      </w:rPr>
    </w:tblStylePr>
    <w:tblStylePr w:type="firstCol">
      <w:rPr>
        <w:color w:val="646567"/>
      </w:rPr>
    </w:tblStylePr>
  </w:style>
  <w:style w:type="table" w:customStyle="1" w:styleId="EurolookClassicOlive">
    <w:name w:val="Eurolook Classic Olive"/>
    <w:basedOn w:val="TableNormal"/>
    <w:uiPriority w:val="80"/>
    <w:pPr>
      <w:spacing w:after="240"/>
    </w:pPr>
    <w:tblPr/>
    <w:tblStylePr w:type="firstRow">
      <w:rPr>
        <w:color w:val="FFFFFF"/>
      </w:rPr>
    </w:tblStylePr>
    <w:tblStylePr w:type="firstCol">
      <w:rPr>
        <w:color w:val="4E7849"/>
      </w:rPr>
    </w:tblStylePr>
  </w:style>
  <w:style w:type="table" w:customStyle="1" w:styleId="EurolookClassicOlive1">
    <w:name w:val="Eurolook Classic Olive 1"/>
    <w:basedOn w:val="TableNormal"/>
    <w:semiHidden/>
    <w:unhideWhenUsed/>
    <w:pPr>
      <w:spacing w:after="240"/>
    </w:pPr>
    <w:tblPr/>
    <w:tblStylePr w:type="firstRow">
      <w:rPr>
        <w:color w:val="FFFFFF"/>
      </w:rPr>
    </w:tblStylePr>
    <w:tblStylePr w:type="firstCol">
      <w:rPr>
        <w:color w:val="4E7849"/>
      </w:rPr>
    </w:tblStylePr>
  </w:style>
  <w:style w:type="table" w:customStyle="1" w:styleId="EurolookClassicOlive2">
    <w:name w:val="Eurolook Classic Olive 2"/>
    <w:basedOn w:val="TableNormal"/>
    <w:semiHidden/>
    <w:unhideWhenUsed/>
    <w:pPr>
      <w:spacing w:after="240"/>
    </w:pPr>
    <w:tblPr/>
    <w:tblStylePr w:type="firstRow">
      <w:rPr>
        <w:color w:val="FFFFFF"/>
      </w:rPr>
    </w:tblStylePr>
    <w:tblStylePr w:type="firstCol">
      <w:rPr>
        <w:color w:val="4E7849"/>
      </w:rPr>
    </w:tblStylePr>
  </w:style>
  <w:style w:type="table" w:customStyle="1" w:styleId="EurolookClassicOlive3">
    <w:name w:val="Eurolook Classic Olive 3"/>
    <w:basedOn w:val="TableNormal"/>
    <w:semiHidden/>
    <w:unhideWhenUsed/>
    <w:pPr>
      <w:spacing w:after="240"/>
    </w:pPr>
    <w:tblPr/>
    <w:tblStylePr w:type="firstRow">
      <w:rPr>
        <w:color w:val="FFFFFF"/>
      </w:rPr>
    </w:tblStylePr>
    <w:tblStylePr w:type="firstCol">
      <w:rPr>
        <w:color w:val="4E7849"/>
      </w:rPr>
    </w:tblStylePr>
  </w:style>
  <w:style w:type="table" w:customStyle="1" w:styleId="EurolookClassicOlive4">
    <w:name w:val="Eurolook Classic Olive 4"/>
    <w:basedOn w:val="TableNormal"/>
    <w:semiHidden/>
    <w:unhideWhenUsed/>
    <w:pPr>
      <w:spacing w:after="240"/>
    </w:pPr>
    <w:tblPr/>
    <w:tblStylePr w:type="firstRow">
      <w:rPr>
        <w:color w:val="FFFFFF"/>
      </w:rPr>
    </w:tblStylePr>
    <w:tblStylePr w:type="firstCol">
      <w:rPr>
        <w:color w:val="4E7849"/>
      </w:rPr>
    </w:tblStylePr>
  </w:style>
  <w:style w:type="table" w:customStyle="1" w:styleId="EurolookClassicPetrol">
    <w:name w:val="Eurolook Classic Petrol"/>
    <w:basedOn w:val="TableNormal"/>
    <w:uiPriority w:val="80"/>
    <w:pPr>
      <w:spacing w:after="240"/>
    </w:pPr>
    <w:tblPr/>
    <w:tblStylePr w:type="firstRow">
      <w:rPr>
        <w:color w:val="FFFFFF"/>
      </w:rPr>
    </w:tblStylePr>
    <w:tblStylePr w:type="firstCol">
      <w:rPr>
        <w:color w:val="007D98"/>
      </w:rPr>
    </w:tblStylePr>
  </w:style>
  <w:style w:type="table" w:customStyle="1" w:styleId="EurolookClassicPetrol1">
    <w:name w:val="Eurolook Classic Petrol 1"/>
    <w:basedOn w:val="TableNormal"/>
    <w:semiHidden/>
    <w:unhideWhenUsed/>
    <w:pPr>
      <w:spacing w:after="240"/>
    </w:pPr>
    <w:tblPr/>
    <w:tblStylePr w:type="firstRow">
      <w:rPr>
        <w:color w:val="FFFFFF"/>
      </w:rPr>
    </w:tblStylePr>
    <w:tblStylePr w:type="firstCol">
      <w:rPr>
        <w:color w:val="007D98"/>
      </w:rPr>
    </w:tblStylePr>
  </w:style>
  <w:style w:type="table" w:customStyle="1" w:styleId="EurolookClassicPetrol2">
    <w:name w:val="Eurolook Classic Petrol 2"/>
    <w:basedOn w:val="TableNormal"/>
    <w:semiHidden/>
    <w:unhideWhenUsed/>
    <w:pPr>
      <w:spacing w:after="240"/>
    </w:pPr>
    <w:tblPr/>
    <w:tblStylePr w:type="firstRow">
      <w:rPr>
        <w:color w:val="FFFFFF"/>
      </w:rPr>
    </w:tblStylePr>
    <w:tblStylePr w:type="firstCol">
      <w:rPr>
        <w:color w:val="007D98"/>
      </w:rPr>
    </w:tblStylePr>
  </w:style>
  <w:style w:type="table" w:customStyle="1" w:styleId="EurolookClassicPetrol3">
    <w:name w:val="Eurolook Classic Petrol 3"/>
    <w:basedOn w:val="TableNormal"/>
    <w:semiHidden/>
    <w:unhideWhenUsed/>
    <w:pPr>
      <w:spacing w:after="240"/>
    </w:pPr>
    <w:tblPr/>
    <w:tblStylePr w:type="firstRow">
      <w:rPr>
        <w:color w:val="FFFFFF"/>
      </w:rPr>
    </w:tblStylePr>
    <w:tblStylePr w:type="firstCol">
      <w:rPr>
        <w:color w:val="007D98"/>
      </w:rPr>
    </w:tblStylePr>
  </w:style>
  <w:style w:type="table" w:customStyle="1" w:styleId="EurolookClassicPetrol4">
    <w:name w:val="Eurolook Classic Petrol 4"/>
    <w:basedOn w:val="TableNormal"/>
    <w:semiHidden/>
    <w:unhideWhenUsed/>
    <w:pPr>
      <w:spacing w:after="240"/>
    </w:pPr>
    <w:tblPr/>
    <w:tblStylePr w:type="firstRow">
      <w:rPr>
        <w:color w:val="FFFFFF"/>
      </w:rPr>
    </w:tblStylePr>
    <w:tblStylePr w:type="firstCol">
      <w:rPr>
        <w:color w:val="007D98"/>
      </w:rPr>
    </w:tblStylePr>
  </w:style>
  <w:style w:type="table" w:customStyle="1" w:styleId="EurolookClassicPurple">
    <w:name w:val="Eurolook Classic Purple"/>
    <w:basedOn w:val="TableNormal"/>
    <w:uiPriority w:val="80"/>
    <w:pPr>
      <w:spacing w:after="240"/>
    </w:pPr>
    <w:tblPr/>
    <w:tblStylePr w:type="firstRow">
      <w:rPr>
        <w:color w:val="FFFFFF"/>
      </w:rPr>
    </w:tblStylePr>
    <w:tblStylePr w:type="firstCol">
      <w:rPr>
        <w:color w:val="771D7B"/>
      </w:rPr>
    </w:tblStylePr>
  </w:style>
  <w:style w:type="table" w:customStyle="1" w:styleId="EurolookClassicPurple1">
    <w:name w:val="Eurolook Classic Purple 1"/>
    <w:basedOn w:val="TableNormal"/>
    <w:semiHidden/>
    <w:unhideWhenUsed/>
    <w:pPr>
      <w:spacing w:after="240"/>
    </w:pPr>
    <w:tblPr/>
    <w:tblStylePr w:type="firstRow">
      <w:rPr>
        <w:color w:val="FFFFFF"/>
      </w:rPr>
    </w:tblStylePr>
    <w:tblStylePr w:type="firstCol">
      <w:rPr>
        <w:color w:val="771D7B"/>
      </w:rPr>
    </w:tblStylePr>
  </w:style>
  <w:style w:type="table" w:customStyle="1" w:styleId="EurolookClassicPurple2">
    <w:name w:val="Eurolook Classic Purple 2"/>
    <w:basedOn w:val="TableNormal"/>
    <w:semiHidden/>
    <w:unhideWhenUsed/>
    <w:pPr>
      <w:spacing w:after="240"/>
    </w:pPr>
    <w:tblPr/>
    <w:tblStylePr w:type="firstRow">
      <w:rPr>
        <w:color w:val="FFFFFF"/>
      </w:rPr>
    </w:tblStylePr>
    <w:tblStylePr w:type="firstCol">
      <w:rPr>
        <w:color w:val="771D7B"/>
      </w:rPr>
    </w:tblStylePr>
  </w:style>
  <w:style w:type="table" w:customStyle="1" w:styleId="EurolookClassicPurple3">
    <w:name w:val="Eurolook Classic Purple 3"/>
    <w:basedOn w:val="TableNormal"/>
    <w:semiHidden/>
    <w:unhideWhenUsed/>
    <w:pPr>
      <w:spacing w:after="240"/>
    </w:pPr>
    <w:tblPr/>
    <w:tblStylePr w:type="firstRow">
      <w:rPr>
        <w:color w:val="FFFFFF"/>
      </w:rPr>
    </w:tblStylePr>
    <w:tblStylePr w:type="firstCol">
      <w:rPr>
        <w:color w:val="771D7B"/>
      </w:rPr>
    </w:tblStylePr>
  </w:style>
  <w:style w:type="table" w:customStyle="1" w:styleId="EurolookClassicPurple4">
    <w:name w:val="Eurolook Classic Purple 4"/>
    <w:basedOn w:val="TableNormal"/>
    <w:semiHidden/>
    <w:unhideWhenUsed/>
    <w:pPr>
      <w:spacing w:after="240"/>
    </w:pPr>
    <w:tblPr/>
    <w:tblStylePr w:type="firstRow">
      <w:rPr>
        <w:color w:val="FFFFFF"/>
      </w:rPr>
    </w:tblStylePr>
    <w:tblStylePr w:type="firstCol">
      <w:rPr>
        <w:color w:val="771D7B"/>
      </w:rPr>
    </w:tblStylePr>
  </w:style>
  <w:style w:type="table" w:customStyle="1" w:styleId="EurolookClassicRust">
    <w:name w:val="Eurolook Classic Rust"/>
    <w:basedOn w:val="TableNormal"/>
    <w:uiPriority w:val="80"/>
    <w:pPr>
      <w:spacing w:after="240"/>
    </w:pPr>
    <w:tblPr/>
    <w:tblStylePr w:type="firstRow">
      <w:rPr>
        <w:color w:val="FFFFFF"/>
      </w:rPr>
    </w:tblStylePr>
    <w:tblStylePr w:type="firstCol">
      <w:rPr>
        <w:color w:val="BF4B36"/>
      </w:rPr>
    </w:tblStylePr>
  </w:style>
  <w:style w:type="table" w:customStyle="1" w:styleId="EurolookClassicRust1">
    <w:name w:val="Eurolook Classic Rust 1"/>
    <w:basedOn w:val="TableNormal"/>
    <w:semiHidden/>
    <w:unhideWhenUsed/>
    <w:pPr>
      <w:spacing w:after="240"/>
    </w:pPr>
    <w:tblPr/>
    <w:tblStylePr w:type="firstRow">
      <w:rPr>
        <w:color w:val="FFFFFF"/>
      </w:rPr>
    </w:tblStylePr>
    <w:tblStylePr w:type="firstCol">
      <w:rPr>
        <w:color w:val="BF4B36"/>
      </w:rPr>
    </w:tblStylePr>
  </w:style>
  <w:style w:type="table" w:customStyle="1" w:styleId="EurolookClassicRust2">
    <w:name w:val="Eurolook Classic Rust 2"/>
    <w:basedOn w:val="TableNormal"/>
    <w:semiHidden/>
    <w:unhideWhenUsed/>
    <w:pPr>
      <w:spacing w:after="240"/>
    </w:pPr>
    <w:tblPr/>
    <w:tblStylePr w:type="firstRow">
      <w:rPr>
        <w:color w:val="FFFFFF"/>
      </w:rPr>
    </w:tblStylePr>
    <w:tblStylePr w:type="firstCol">
      <w:rPr>
        <w:color w:val="BF4B36"/>
      </w:r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Pr w:type="firstRow">
      <w:rPr>
        <w:b w:val="0"/>
        <w:smallCaps/>
        <w:color w:val="646567"/>
      </w:rPr>
    </w:tblStylePr>
    <w:tblStylePr w:type="lastRow">
      <w:rPr>
        <w:b w:val="0"/>
      </w:rPr>
    </w:tblStylePr>
    <w:tblStylePr w:type="firstCol">
      <w:rPr>
        <w:color w:val="000000"/>
      </w:r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Pr w:type="firstRow">
      <w:rPr>
        <w:b w:val="0"/>
        <w:smallCaps/>
        <w:color w:val="4E7849"/>
      </w:rPr>
    </w:tblStylePr>
    <w:tblStylePr w:type="lastRow">
      <w:rPr>
        <w:b w:val="0"/>
      </w:rPr>
    </w:tblStylePr>
    <w:tblStylePr w:type="firstCol">
      <w:rPr>
        <w:color w:val="000000"/>
      </w:r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Pr w:type="firstRow">
      <w:rPr>
        <w:b w:val="0"/>
        <w:smallCaps/>
        <w:color w:val="007D98"/>
      </w:rPr>
    </w:tblStylePr>
    <w:tblStylePr w:type="lastRow">
      <w:rPr>
        <w:b w:val="0"/>
      </w:rPr>
    </w:tblStylePr>
    <w:tblStylePr w:type="firstCol">
      <w:rPr>
        <w:color w:val="000000"/>
      </w:r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Pr w:type="firstRow">
      <w:rPr>
        <w:b w:val="0"/>
        <w:smallCaps/>
        <w:color w:val="771D7B"/>
      </w:rPr>
    </w:tblStylePr>
    <w:tblStylePr w:type="lastRow">
      <w:rPr>
        <w:b w:val="0"/>
      </w:rPr>
    </w:tblStylePr>
    <w:tblStylePr w:type="firstCol">
      <w:rPr>
        <w:color w:val="000000"/>
      </w:r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Pr w:type="firstRow">
      <w:rPr>
        <w:b w:val="0"/>
        <w:smallCaps/>
        <w:color w:val="BF4B36"/>
      </w:rPr>
    </w:tblStylePr>
    <w:tblStylePr w:type="lastRow">
      <w:rPr>
        <w:b w:val="0"/>
      </w:rPr>
    </w:tblStylePr>
    <w:tblStylePr w:type="firstCol">
      <w:rPr>
        <w:color w:val="000000"/>
      </w:r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style>
  <w:style w:type="table" w:customStyle="1" w:styleId="TableLetterhead">
    <w:name w:val="Table Letterhead"/>
    <w:basedOn w:val="TableNormal"/>
    <w:semiHidden/>
    <w:tblPr/>
  </w:style>
  <w:style w:type="character" w:customStyle="1" w:styleId="normaltextrun">
    <w:name w:val="normaltextrun"/>
    <w:basedOn w:val="DefaultParagraphFont"/>
    <w:rsid w:val="00714D91"/>
  </w:style>
  <w:style w:type="character" w:customStyle="1" w:styleId="eop">
    <w:name w:val="eop"/>
    <w:basedOn w:val="DefaultParagraphFont"/>
    <w:rsid w:val="00714D91"/>
  </w:style>
  <w:style w:type="character" w:customStyle="1" w:styleId="superscript">
    <w:name w:val="superscript"/>
    <w:basedOn w:val="DefaultParagraphFont"/>
    <w:rsid w:val="00BE6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20208">
      <w:bodyDiv w:val="1"/>
      <w:marLeft w:val="0"/>
      <w:marRight w:val="0"/>
      <w:marTop w:val="0"/>
      <w:marBottom w:val="0"/>
      <w:divBdr>
        <w:top w:val="none" w:sz="0" w:space="0" w:color="auto"/>
        <w:left w:val="none" w:sz="0" w:space="0" w:color="auto"/>
        <w:bottom w:val="none" w:sz="0" w:space="0" w:color="auto"/>
        <w:right w:val="none" w:sz="0" w:space="0" w:color="auto"/>
      </w:divBdr>
    </w:div>
    <w:div w:id="34818625">
      <w:bodyDiv w:val="1"/>
      <w:marLeft w:val="0"/>
      <w:marRight w:val="0"/>
      <w:marTop w:val="0"/>
      <w:marBottom w:val="0"/>
      <w:divBdr>
        <w:top w:val="none" w:sz="0" w:space="0" w:color="auto"/>
        <w:left w:val="none" w:sz="0" w:space="0" w:color="auto"/>
        <w:bottom w:val="none" w:sz="0" w:space="0" w:color="auto"/>
        <w:right w:val="none" w:sz="0" w:space="0" w:color="auto"/>
      </w:divBdr>
    </w:div>
    <w:div w:id="42098730">
      <w:bodyDiv w:val="1"/>
      <w:marLeft w:val="0"/>
      <w:marRight w:val="0"/>
      <w:marTop w:val="0"/>
      <w:marBottom w:val="0"/>
      <w:divBdr>
        <w:top w:val="none" w:sz="0" w:space="0" w:color="auto"/>
        <w:left w:val="none" w:sz="0" w:space="0" w:color="auto"/>
        <w:bottom w:val="none" w:sz="0" w:space="0" w:color="auto"/>
        <w:right w:val="none" w:sz="0" w:space="0" w:color="auto"/>
      </w:divBdr>
    </w:div>
    <w:div w:id="44451255">
      <w:bodyDiv w:val="1"/>
      <w:marLeft w:val="0"/>
      <w:marRight w:val="0"/>
      <w:marTop w:val="0"/>
      <w:marBottom w:val="0"/>
      <w:divBdr>
        <w:top w:val="none" w:sz="0" w:space="0" w:color="auto"/>
        <w:left w:val="none" w:sz="0" w:space="0" w:color="auto"/>
        <w:bottom w:val="none" w:sz="0" w:space="0" w:color="auto"/>
        <w:right w:val="none" w:sz="0" w:space="0" w:color="auto"/>
      </w:divBdr>
    </w:div>
    <w:div w:id="45111266">
      <w:bodyDiv w:val="1"/>
      <w:marLeft w:val="0"/>
      <w:marRight w:val="0"/>
      <w:marTop w:val="0"/>
      <w:marBottom w:val="0"/>
      <w:divBdr>
        <w:top w:val="none" w:sz="0" w:space="0" w:color="auto"/>
        <w:left w:val="none" w:sz="0" w:space="0" w:color="auto"/>
        <w:bottom w:val="none" w:sz="0" w:space="0" w:color="auto"/>
        <w:right w:val="none" w:sz="0" w:space="0" w:color="auto"/>
      </w:divBdr>
    </w:div>
    <w:div w:id="69430334">
      <w:bodyDiv w:val="1"/>
      <w:marLeft w:val="0"/>
      <w:marRight w:val="0"/>
      <w:marTop w:val="0"/>
      <w:marBottom w:val="0"/>
      <w:divBdr>
        <w:top w:val="none" w:sz="0" w:space="0" w:color="auto"/>
        <w:left w:val="none" w:sz="0" w:space="0" w:color="auto"/>
        <w:bottom w:val="none" w:sz="0" w:space="0" w:color="auto"/>
        <w:right w:val="none" w:sz="0" w:space="0" w:color="auto"/>
      </w:divBdr>
    </w:div>
    <w:div w:id="77680687">
      <w:bodyDiv w:val="1"/>
      <w:marLeft w:val="0"/>
      <w:marRight w:val="0"/>
      <w:marTop w:val="0"/>
      <w:marBottom w:val="0"/>
      <w:divBdr>
        <w:top w:val="none" w:sz="0" w:space="0" w:color="auto"/>
        <w:left w:val="none" w:sz="0" w:space="0" w:color="auto"/>
        <w:bottom w:val="none" w:sz="0" w:space="0" w:color="auto"/>
        <w:right w:val="none" w:sz="0" w:space="0" w:color="auto"/>
      </w:divBdr>
    </w:div>
    <w:div w:id="78718185">
      <w:bodyDiv w:val="1"/>
      <w:marLeft w:val="0"/>
      <w:marRight w:val="0"/>
      <w:marTop w:val="0"/>
      <w:marBottom w:val="0"/>
      <w:divBdr>
        <w:top w:val="none" w:sz="0" w:space="0" w:color="auto"/>
        <w:left w:val="none" w:sz="0" w:space="0" w:color="auto"/>
        <w:bottom w:val="none" w:sz="0" w:space="0" w:color="auto"/>
        <w:right w:val="none" w:sz="0" w:space="0" w:color="auto"/>
      </w:divBdr>
    </w:div>
    <w:div w:id="139155599">
      <w:bodyDiv w:val="1"/>
      <w:marLeft w:val="0"/>
      <w:marRight w:val="0"/>
      <w:marTop w:val="0"/>
      <w:marBottom w:val="0"/>
      <w:divBdr>
        <w:top w:val="none" w:sz="0" w:space="0" w:color="auto"/>
        <w:left w:val="none" w:sz="0" w:space="0" w:color="auto"/>
        <w:bottom w:val="none" w:sz="0" w:space="0" w:color="auto"/>
        <w:right w:val="none" w:sz="0" w:space="0" w:color="auto"/>
      </w:divBdr>
    </w:div>
    <w:div w:id="147406137">
      <w:bodyDiv w:val="1"/>
      <w:marLeft w:val="0"/>
      <w:marRight w:val="0"/>
      <w:marTop w:val="0"/>
      <w:marBottom w:val="0"/>
      <w:divBdr>
        <w:top w:val="none" w:sz="0" w:space="0" w:color="auto"/>
        <w:left w:val="none" w:sz="0" w:space="0" w:color="auto"/>
        <w:bottom w:val="none" w:sz="0" w:space="0" w:color="auto"/>
        <w:right w:val="none" w:sz="0" w:space="0" w:color="auto"/>
      </w:divBdr>
    </w:div>
    <w:div w:id="165175901">
      <w:bodyDiv w:val="1"/>
      <w:marLeft w:val="0"/>
      <w:marRight w:val="0"/>
      <w:marTop w:val="0"/>
      <w:marBottom w:val="0"/>
      <w:divBdr>
        <w:top w:val="none" w:sz="0" w:space="0" w:color="auto"/>
        <w:left w:val="none" w:sz="0" w:space="0" w:color="auto"/>
        <w:bottom w:val="none" w:sz="0" w:space="0" w:color="auto"/>
        <w:right w:val="none" w:sz="0" w:space="0" w:color="auto"/>
      </w:divBdr>
    </w:div>
    <w:div w:id="176695042">
      <w:bodyDiv w:val="1"/>
      <w:marLeft w:val="0"/>
      <w:marRight w:val="0"/>
      <w:marTop w:val="0"/>
      <w:marBottom w:val="0"/>
      <w:divBdr>
        <w:top w:val="none" w:sz="0" w:space="0" w:color="auto"/>
        <w:left w:val="none" w:sz="0" w:space="0" w:color="auto"/>
        <w:bottom w:val="none" w:sz="0" w:space="0" w:color="auto"/>
        <w:right w:val="none" w:sz="0" w:space="0" w:color="auto"/>
      </w:divBdr>
      <w:divsChild>
        <w:div w:id="50542014">
          <w:marLeft w:val="0"/>
          <w:marRight w:val="0"/>
          <w:marTop w:val="0"/>
          <w:marBottom w:val="0"/>
          <w:divBdr>
            <w:top w:val="none" w:sz="0" w:space="0" w:color="auto"/>
            <w:left w:val="none" w:sz="0" w:space="0" w:color="auto"/>
            <w:bottom w:val="none" w:sz="0" w:space="0" w:color="auto"/>
            <w:right w:val="none" w:sz="0" w:space="0" w:color="auto"/>
          </w:divBdr>
          <w:divsChild>
            <w:div w:id="81025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778157">
      <w:bodyDiv w:val="1"/>
      <w:marLeft w:val="0"/>
      <w:marRight w:val="0"/>
      <w:marTop w:val="0"/>
      <w:marBottom w:val="0"/>
      <w:divBdr>
        <w:top w:val="none" w:sz="0" w:space="0" w:color="auto"/>
        <w:left w:val="none" w:sz="0" w:space="0" w:color="auto"/>
        <w:bottom w:val="none" w:sz="0" w:space="0" w:color="auto"/>
        <w:right w:val="none" w:sz="0" w:space="0" w:color="auto"/>
      </w:divBdr>
    </w:div>
    <w:div w:id="281956537">
      <w:bodyDiv w:val="1"/>
      <w:marLeft w:val="0"/>
      <w:marRight w:val="0"/>
      <w:marTop w:val="0"/>
      <w:marBottom w:val="0"/>
      <w:divBdr>
        <w:top w:val="none" w:sz="0" w:space="0" w:color="auto"/>
        <w:left w:val="none" w:sz="0" w:space="0" w:color="auto"/>
        <w:bottom w:val="none" w:sz="0" w:space="0" w:color="auto"/>
        <w:right w:val="none" w:sz="0" w:space="0" w:color="auto"/>
      </w:divBdr>
    </w:div>
    <w:div w:id="319427052">
      <w:bodyDiv w:val="1"/>
      <w:marLeft w:val="0"/>
      <w:marRight w:val="0"/>
      <w:marTop w:val="0"/>
      <w:marBottom w:val="0"/>
      <w:divBdr>
        <w:top w:val="none" w:sz="0" w:space="0" w:color="auto"/>
        <w:left w:val="none" w:sz="0" w:space="0" w:color="auto"/>
        <w:bottom w:val="none" w:sz="0" w:space="0" w:color="auto"/>
        <w:right w:val="none" w:sz="0" w:space="0" w:color="auto"/>
      </w:divBdr>
    </w:div>
    <w:div w:id="320890015">
      <w:bodyDiv w:val="1"/>
      <w:marLeft w:val="0"/>
      <w:marRight w:val="0"/>
      <w:marTop w:val="0"/>
      <w:marBottom w:val="0"/>
      <w:divBdr>
        <w:top w:val="none" w:sz="0" w:space="0" w:color="auto"/>
        <w:left w:val="none" w:sz="0" w:space="0" w:color="auto"/>
        <w:bottom w:val="none" w:sz="0" w:space="0" w:color="auto"/>
        <w:right w:val="none" w:sz="0" w:space="0" w:color="auto"/>
      </w:divBdr>
    </w:div>
    <w:div w:id="335812826">
      <w:bodyDiv w:val="1"/>
      <w:marLeft w:val="0"/>
      <w:marRight w:val="0"/>
      <w:marTop w:val="0"/>
      <w:marBottom w:val="0"/>
      <w:divBdr>
        <w:top w:val="none" w:sz="0" w:space="0" w:color="auto"/>
        <w:left w:val="none" w:sz="0" w:space="0" w:color="auto"/>
        <w:bottom w:val="none" w:sz="0" w:space="0" w:color="auto"/>
        <w:right w:val="none" w:sz="0" w:space="0" w:color="auto"/>
      </w:divBdr>
    </w:div>
    <w:div w:id="346566822">
      <w:bodyDiv w:val="1"/>
      <w:marLeft w:val="0"/>
      <w:marRight w:val="0"/>
      <w:marTop w:val="0"/>
      <w:marBottom w:val="0"/>
      <w:divBdr>
        <w:top w:val="none" w:sz="0" w:space="0" w:color="auto"/>
        <w:left w:val="none" w:sz="0" w:space="0" w:color="auto"/>
        <w:bottom w:val="none" w:sz="0" w:space="0" w:color="auto"/>
        <w:right w:val="none" w:sz="0" w:space="0" w:color="auto"/>
      </w:divBdr>
    </w:div>
    <w:div w:id="379133519">
      <w:bodyDiv w:val="1"/>
      <w:marLeft w:val="0"/>
      <w:marRight w:val="0"/>
      <w:marTop w:val="0"/>
      <w:marBottom w:val="0"/>
      <w:divBdr>
        <w:top w:val="none" w:sz="0" w:space="0" w:color="auto"/>
        <w:left w:val="none" w:sz="0" w:space="0" w:color="auto"/>
        <w:bottom w:val="none" w:sz="0" w:space="0" w:color="auto"/>
        <w:right w:val="none" w:sz="0" w:space="0" w:color="auto"/>
      </w:divBdr>
    </w:div>
    <w:div w:id="382871108">
      <w:bodyDiv w:val="1"/>
      <w:marLeft w:val="0"/>
      <w:marRight w:val="0"/>
      <w:marTop w:val="0"/>
      <w:marBottom w:val="0"/>
      <w:divBdr>
        <w:top w:val="none" w:sz="0" w:space="0" w:color="auto"/>
        <w:left w:val="none" w:sz="0" w:space="0" w:color="auto"/>
        <w:bottom w:val="none" w:sz="0" w:space="0" w:color="auto"/>
        <w:right w:val="none" w:sz="0" w:space="0" w:color="auto"/>
      </w:divBdr>
    </w:div>
    <w:div w:id="383910349">
      <w:bodyDiv w:val="1"/>
      <w:marLeft w:val="0"/>
      <w:marRight w:val="0"/>
      <w:marTop w:val="0"/>
      <w:marBottom w:val="0"/>
      <w:divBdr>
        <w:top w:val="none" w:sz="0" w:space="0" w:color="auto"/>
        <w:left w:val="none" w:sz="0" w:space="0" w:color="auto"/>
        <w:bottom w:val="none" w:sz="0" w:space="0" w:color="auto"/>
        <w:right w:val="none" w:sz="0" w:space="0" w:color="auto"/>
      </w:divBdr>
      <w:divsChild>
        <w:div w:id="1451513538">
          <w:marLeft w:val="0"/>
          <w:marRight w:val="0"/>
          <w:marTop w:val="0"/>
          <w:marBottom w:val="0"/>
          <w:divBdr>
            <w:top w:val="none" w:sz="0" w:space="0" w:color="auto"/>
            <w:left w:val="none" w:sz="0" w:space="0" w:color="auto"/>
            <w:bottom w:val="none" w:sz="0" w:space="0" w:color="auto"/>
            <w:right w:val="none" w:sz="0" w:space="0" w:color="auto"/>
          </w:divBdr>
          <w:divsChild>
            <w:div w:id="55766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033334">
      <w:bodyDiv w:val="1"/>
      <w:marLeft w:val="0"/>
      <w:marRight w:val="0"/>
      <w:marTop w:val="0"/>
      <w:marBottom w:val="0"/>
      <w:divBdr>
        <w:top w:val="none" w:sz="0" w:space="0" w:color="auto"/>
        <w:left w:val="none" w:sz="0" w:space="0" w:color="auto"/>
        <w:bottom w:val="none" w:sz="0" w:space="0" w:color="auto"/>
        <w:right w:val="none" w:sz="0" w:space="0" w:color="auto"/>
      </w:divBdr>
    </w:div>
    <w:div w:id="405422491">
      <w:bodyDiv w:val="1"/>
      <w:marLeft w:val="0"/>
      <w:marRight w:val="0"/>
      <w:marTop w:val="0"/>
      <w:marBottom w:val="0"/>
      <w:divBdr>
        <w:top w:val="none" w:sz="0" w:space="0" w:color="auto"/>
        <w:left w:val="none" w:sz="0" w:space="0" w:color="auto"/>
        <w:bottom w:val="none" w:sz="0" w:space="0" w:color="auto"/>
        <w:right w:val="none" w:sz="0" w:space="0" w:color="auto"/>
      </w:divBdr>
    </w:div>
    <w:div w:id="469638972">
      <w:bodyDiv w:val="1"/>
      <w:marLeft w:val="0"/>
      <w:marRight w:val="0"/>
      <w:marTop w:val="0"/>
      <w:marBottom w:val="0"/>
      <w:divBdr>
        <w:top w:val="none" w:sz="0" w:space="0" w:color="auto"/>
        <w:left w:val="none" w:sz="0" w:space="0" w:color="auto"/>
        <w:bottom w:val="none" w:sz="0" w:space="0" w:color="auto"/>
        <w:right w:val="none" w:sz="0" w:space="0" w:color="auto"/>
      </w:divBdr>
    </w:div>
    <w:div w:id="494344769">
      <w:bodyDiv w:val="1"/>
      <w:marLeft w:val="0"/>
      <w:marRight w:val="0"/>
      <w:marTop w:val="0"/>
      <w:marBottom w:val="0"/>
      <w:divBdr>
        <w:top w:val="none" w:sz="0" w:space="0" w:color="auto"/>
        <w:left w:val="none" w:sz="0" w:space="0" w:color="auto"/>
        <w:bottom w:val="none" w:sz="0" w:space="0" w:color="auto"/>
        <w:right w:val="none" w:sz="0" w:space="0" w:color="auto"/>
      </w:divBdr>
    </w:div>
    <w:div w:id="512652247">
      <w:bodyDiv w:val="1"/>
      <w:marLeft w:val="0"/>
      <w:marRight w:val="0"/>
      <w:marTop w:val="0"/>
      <w:marBottom w:val="0"/>
      <w:divBdr>
        <w:top w:val="none" w:sz="0" w:space="0" w:color="auto"/>
        <w:left w:val="none" w:sz="0" w:space="0" w:color="auto"/>
        <w:bottom w:val="none" w:sz="0" w:space="0" w:color="auto"/>
        <w:right w:val="none" w:sz="0" w:space="0" w:color="auto"/>
      </w:divBdr>
    </w:div>
    <w:div w:id="516623915">
      <w:bodyDiv w:val="1"/>
      <w:marLeft w:val="0"/>
      <w:marRight w:val="0"/>
      <w:marTop w:val="0"/>
      <w:marBottom w:val="0"/>
      <w:divBdr>
        <w:top w:val="none" w:sz="0" w:space="0" w:color="auto"/>
        <w:left w:val="none" w:sz="0" w:space="0" w:color="auto"/>
        <w:bottom w:val="none" w:sz="0" w:space="0" w:color="auto"/>
        <w:right w:val="none" w:sz="0" w:space="0" w:color="auto"/>
      </w:divBdr>
    </w:div>
    <w:div w:id="521747081">
      <w:bodyDiv w:val="1"/>
      <w:marLeft w:val="0"/>
      <w:marRight w:val="0"/>
      <w:marTop w:val="0"/>
      <w:marBottom w:val="0"/>
      <w:divBdr>
        <w:top w:val="none" w:sz="0" w:space="0" w:color="auto"/>
        <w:left w:val="none" w:sz="0" w:space="0" w:color="auto"/>
        <w:bottom w:val="none" w:sz="0" w:space="0" w:color="auto"/>
        <w:right w:val="none" w:sz="0" w:space="0" w:color="auto"/>
      </w:divBdr>
    </w:div>
    <w:div w:id="534121137">
      <w:bodyDiv w:val="1"/>
      <w:marLeft w:val="0"/>
      <w:marRight w:val="0"/>
      <w:marTop w:val="0"/>
      <w:marBottom w:val="0"/>
      <w:divBdr>
        <w:top w:val="none" w:sz="0" w:space="0" w:color="auto"/>
        <w:left w:val="none" w:sz="0" w:space="0" w:color="auto"/>
        <w:bottom w:val="none" w:sz="0" w:space="0" w:color="auto"/>
        <w:right w:val="none" w:sz="0" w:space="0" w:color="auto"/>
      </w:divBdr>
    </w:div>
    <w:div w:id="581642863">
      <w:bodyDiv w:val="1"/>
      <w:marLeft w:val="0"/>
      <w:marRight w:val="0"/>
      <w:marTop w:val="0"/>
      <w:marBottom w:val="0"/>
      <w:divBdr>
        <w:top w:val="none" w:sz="0" w:space="0" w:color="auto"/>
        <w:left w:val="none" w:sz="0" w:space="0" w:color="auto"/>
        <w:bottom w:val="none" w:sz="0" w:space="0" w:color="auto"/>
        <w:right w:val="none" w:sz="0" w:space="0" w:color="auto"/>
      </w:divBdr>
    </w:div>
    <w:div w:id="582033976">
      <w:bodyDiv w:val="1"/>
      <w:marLeft w:val="0"/>
      <w:marRight w:val="0"/>
      <w:marTop w:val="0"/>
      <w:marBottom w:val="0"/>
      <w:divBdr>
        <w:top w:val="none" w:sz="0" w:space="0" w:color="auto"/>
        <w:left w:val="none" w:sz="0" w:space="0" w:color="auto"/>
        <w:bottom w:val="none" w:sz="0" w:space="0" w:color="auto"/>
        <w:right w:val="none" w:sz="0" w:space="0" w:color="auto"/>
      </w:divBdr>
    </w:div>
    <w:div w:id="582955573">
      <w:bodyDiv w:val="1"/>
      <w:marLeft w:val="0"/>
      <w:marRight w:val="0"/>
      <w:marTop w:val="0"/>
      <w:marBottom w:val="0"/>
      <w:divBdr>
        <w:top w:val="none" w:sz="0" w:space="0" w:color="auto"/>
        <w:left w:val="none" w:sz="0" w:space="0" w:color="auto"/>
        <w:bottom w:val="none" w:sz="0" w:space="0" w:color="auto"/>
        <w:right w:val="none" w:sz="0" w:space="0" w:color="auto"/>
      </w:divBdr>
    </w:div>
    <w:div w:id="597451465">
      <w:bodyDiv w:val="1"/>
      <w:marLeft w:val="0"/>
      <w:marRight w:val="0"/>
      <w:marTop w:val="0"/>
      <w:marBottom w:val="0"/>
      <w:divBdr>
        <w:top w:val="none" w:sz="0" w:space="0" w:color="auto"/>
        <w:left w:val="none" w:sz="0" w:space="0" w:color="auto"/>
        <w:bottom w:val="none" w:sz="0" w:space="0" w:color="auto"/>
        <w:right w:val="none" w:sz="0" w:space="0" w:color="auto"/>
      </w:divBdr>
    </w:div>
    <w:div w:id="637223711">
      <w:bodyDiv w:val="1"/>
      <w:marLeft w:val="0"/>
      <w:marRight w:val="0"/>
      <w:marTop w:val="0"/>
      <w:marBottom w:val="0"/>
      <w:divBdr>
        <w:top w:val="none" w:sz="0" w:space="0" w:color="auto"/>
        <w:left w:val="none" w:sz="0" w:space="0" w:color="auto"/>
        <w:bottom w:val="none" w:sz="0" w:space="0" w:color="auto"/>
        <w:right w:val="none" w:sz="0" w:space="0" w:color="auto"/>
      </w:divBdr>
    </w:div>
    <w:div w:id="645862317">
      <w:bodyDiv w:val="1"/>
      <w:marLeft w:val="0"/>
      <w:marRight w:val="0"/>
      <w:marTop w:val="0"/>
      <w:marBottom w:val="0"/>
      <w:divBdr>
        <w:top w:val="none" w:sz="0" w:space="0" w:color="auto"/>
        <w:left w:val="none" w:sz="0" w:space="0" w:color="auto"/>
        <w:bottom w:val="none" w:sz="0" w:space="0" w:color="auto"/>
        <w:right w:val="none" w:sz="0" w:space="0" w:color="auto"/>
      </w:divBdr>
    </w:div>
    <w:div w:id="660239216">
      <w:bodyDiv w:val="1"/>
      <w:marLeft w:val="0"/>
      <w:marRight w:val="0"/>
      <w:marTop w:val="0"/>
      <w:marBottom w:val="0"/>
      <w:divBdr>
        <w:top w:val="none" w:sz="0" w:space="0" w:color="auto"/>
        <w:left w:val="none" w:sz="0" w:space="0" w:color="auto"/>
        <w:bottom w:val="none" w:sz="0" w:space="0" w:color="auto"/>
        <w:right w:val="none" w:sz="0" w:space="0" w:color="auto"/>
      </w:divBdr>
    </w:div>
    <w:div w:id="684405511">
      <w:bodyDiv w:val="1"/>
      <w:marLeft w:val="0"/>
      <w:marRight w:val="0"/>
      <w:marTop w:val="0"/>
      <w:marBottom w:val="0"/>
      <w:divBdr>
        <w:top w:val="none" w:sz="0" w:space="0" w:color="auto"/>
        <w:left w:val="none" w:sz="0" w:space="0" w:color="auto"/>
        <w:bottom w:val="none" w:sz="0" w:space="0" w:color="auto"/>
        <w:right w:val="none" w:sz="0" w:space="0" w:color="auto"/>
      </w:divBdr>
    </w:div>
    <w:div w:id="705905537">
      <w:bodyDiv w:val="1"/>
      <w:marLeft w:val="0"/>
      <w:marRight w:val="0"/>
      <w:marTop w:val="0"/>
      <w:marBottom w:val="0"/>
      <w:divBdr>
        <w:top w:val="none" w:sz="0" w:space="0" w:color="auto"/>
        <w:left w:val="none" w:sz="0" w:space="0" w:color="auto"/>
        <w:bottom w:val="none" w:sz="0" w:space="0" w:color="auto"/>
        <w:right w:val="none" w:sz="0" w:space="0" w:color="auto"/>
      </w:divBdr>
    </w:div>
    <w:div w:id="713314250">
      <w:bodyDiv w:val="1"/>
      <w:marLeft w:val="0"/>
      <w:marRight w:val="0"/>
      <w:marTop w:val="0"/>
      <w:marBottom w:val="0"/>
      <w:divBdr>
        <w:top w:val="none" w:sz="0" w:space="0" w:color="auto"/>
        <w:left w:val="none" w:sz="0" w:space="0" w:color="auto"/>
        <w:bottom w:val="none" w:sz="0" w:space="0" w:color="auto"/>
        <w:right w:val="none" w:sz="0" w:space="0" w:color="auto"/>
      </w:divBdr>
    </w:div>
    <w:div w:id="713388295">
      <w:bodyDiv w:val="1"/>
      <w:marLeft w:val="0"/>
      <w:marRight w:val="0"/>
      <w:marTop w:val="0"/>
      <w:marBottom w:val="0"/>
      <w:divBdr>
        <w:top w:val="none" w:sz="0" w:space="0" w:color="auto"/>
        <w:left w:val="none" w:sz="0" w:space="0" w:color="auto"/>
        <w:bottom w:val="none" w:sz="0" w:space="0" w:color="auto"/>
        <w:right w:val="none" w:sz="0" w:space="0" w:color="auto"/>
      </w:divBdr>
    </w:div>
    <w:div w:id="721631824">
      <w:bodyDiv w:val="1"/>
      <w:marLeft w:val="0"/>
      <w:marRight w:val="0"/>
      <w:marTop w:val="0"/>
      <w:marBottom w:val="0"/>
      <w:divBdr>
        <w:top w:val="none" w:sz="0" w:space="0" w:color="auto"/>
        <w:left w:val="none" w:sz="0" w:space="0" w:color="auto"/>
        <w:bottom w:val="none" w:sz="0" w:space="0" w:color="auto"/>
        <w:right w:val="none" w:sz="0" w:space="0" w:color="auto"/>
      </w:divBdr>
    </w:div>
    <w:div w:id="744454828">
      <w:bodyDiv w:val="1"/>
      <w:marLeft w:val="0"/>
      <w:marRight w:val="0"/>
      <w:marTop w:val="0"/>
      <w:marBottom w:val="0"/>
      <w:divBdr>
        <w:top w:val="none" w:sz="0" w:space="0" w:color="auto"/>
        <w:left w:val="none" w:sz="0" w:space="0" w:color="auto"/>
        <w:bottom w:val="none" w:sz="0" w:space="0" w:color="auto"/>
        <w:right w:val="none" w:sz="0" w:space="0" w:color="auto"/>
      </w:divBdr>
    </w:div>
    <w:div w:id="766732543">
      <w:bodyDiv w:val="1"/>
      <w:marLeft w:val="0"/>
      <w:marRight w:val="0"/>
      <w:marTop w:val="0"/>
      <w:marBottom w:val="0"/>
      <w:divBdr>
        <w:top w:val="none" w:sz="0" w:space="0" w:color="auto"/>
        <w:left w:val="none" w:sz="0" w:space="0" w:color="auto"/>
        <w:bottom w:val="none" w:sz="0" w:space="0" w:color="auto"/>
        <w:right w:val="none" w:sz="0" w:space="0" w:color="auto"/>
      </w:divBdr>
    </w:div>
    <w:div w:id="788741350">
      <w:bodyDiv w:val="1"/>
      <w:marLeft w:val="0"/>
      <w:marRight w:val="0"/>
      <w:marTop w:val="0"/>
      <w:marBottom w:val="0"/>
      <w:divBdr>
        <w:top w:val="none" w:sz="0" w:space="0" w:color="auto"/>
        <w:left w:val="none" w:sz="0" w:space="0" w:color="auto"/>
        <w:bottom w:val="none" w:sz="0" w:space="0" w:color="auto"/>
        <w:right w:val="none" w:sz="0" w:space="0" w:color="auto"/>
      </w:divBdr>
    </w:div>
    <w:div w:id="791244567">
      <w:bodyDiv w:val="1"/>
      <w:marLeft w:val="0"/>
      <w:marRight w:val="0"/>
      <w:marTop w:val="0"/>
      <w:marBottom w:val="0"/>
      <w:divBdr>
        <w:top w:val="none" w:sz="0" w:space="0" w:color="auto"/>
        <w:left w:val="none" w:sz="0" w:space="0" w:color="auto"/>
        <w:bottom w:val="none" w:sz="0" w:space="0" w:color="auto"/>
        <w:right w:val="none" w:sz="0" w:space="0" w:color="auto"/>
      </w:divBdr>
    </w:div>
    <w:div w:id="793906612">
      <w:bodyDiv w:val="1"/>
      <w:marLeft w:val="0"/>
      <w:marRight w:val="0"/>
      <w:marTop w:val="0"/>
      <w:marBottom w:val="0"/>
      <w:divBdr>
        <w:top w:val="none" w:sz="0" w:space="0" w:color="auto"/>
        <w:left w:val="none" w:sz="0" w:space="0" w:color="auto"/>
        <w:bottom w:val="none" w:sz="0" w:space="0" w:color="auto"/>
        <w:right w:val="none" w:sz="0" w:space="0" w:color="auto"/>
      </w:divBdr>
    </w:div>
    <w:div w:id="798769274">
      <w:bodyDiv w:val="1"/>
      <w:marLeft w:val="0"/>
      <w:marRight w:val="0"/>
      <w:marTop w:val="0"/>
      <w:marBottom w:val="0"/>
      <w:divBdr>
        <w:top w:val="none" w:sz="0" w:space="0" w:color="auto"/>
        <w:left w:val="none" w:sz="0" w:space="0" w:color="auto"/>
        <w:bottom w:val="none" w:sz="0" w:space="0" w:color="auto"/>
        <w:right w:val="none" w:sz="0" w:space="0" w:color="auto"/>
      </w:divBdr>
    </w:div>
    <w:div w:id="832725504">
      <w:bodyDiv w:val="1"/>
      <w:marLeft w:val="0"/>
      <w:marRight w:val="0"/>
      <w:marTop w:val="0"/>
      <w:marBottom w:val="0"/>
      <w:divBdr>
        <w:top w:val="none" w:sz="0" w:space="0" w:color="auto"/>
        <w:left w:val="none" w:sz="0" w:space="0" w:color="auto"/>
        <w:bottom w:val="none" w:sz="0" w:space="0" w:color="auto"/>
        <w:right w:val="none" w:sz="0" w:space="0" w:color="auto"/>
      </w:divBdr>
    </w:div>
    <w:div w:id="842622888">
      <w:bodyDiv w:val="1"/>
      <w:marLeft w:val="0"/>
      <w:marRight w:val="0"/>
      <w:marTop w:val="0"/>
      <w:marBottom w:val="0"/>
      <w:divBdr>
        <w:top w:val="none" w:sz="0" w:space="0" w:color="auto"/>
        <w:left w:val="none" w:sz="0" w:space="0" w:color="auto"/>
        <w:bottom w:val="none" w:sz="0" w:space="0" w:color="auto"/>
        <w:right w:val="none" w:sz="0" w:space="0" w:color="auto"/>
      </w:divBdr>
    </w:div>
    <w:div w:id="843206289">
      <w:bodyDiv w:val="1"/>
      <w:marLeft w:val="0"/>
      <w:marRight w:val="0"/>
      <w:marTop w:val="0"/>
      <w:marBottom w:val="0"/>
      <w:divBdr>
        <w:top w:val="none" w:sz="0" w:space="0" w:color="auto"/>
        <w:left w:val="none" w:sz="0" w:space="0" w:color="auto"/>
        <w:bottom w:val="none" w:sz="0" w:space="0" w:color="auto"/>
        <w:right w:val="none" w:sz="0" w:space="0" w:color="auto"/>
      </w:divBdr>
    </w:div>
    <w:div w:id="850798034">
      <w:bodyDiv w:val="1"/>
      <w:marLeft w:val="0"/>
      <w:marRight w:val="0"/>
      <w:marTop w:val="0"/>
      <w:marBottom w:val="0"/>
      <w:divBdr>
        <w:top w:val="none" w:sz="0" w:space="0" w:color="auto"/>
        <w:left w:val="none" w:sz="0" w:space="0" w:color="auto"/>
        <w:bottom w:val="none" w:sz="0" w:space="0" w:color="auto"/>
        <w:right w:val="none" w:sz="0" w:space="0" w:color="auto"/>
      </w:divBdr>
    </w:div>
    <w:div w:id="851070700">
      <w:bodyDiv w:val="1"/>
      <w:marLeft w:val="0"/>
      <w:marRight w:val="0"/>
      <w:marTop w:val="0"/>
      <w:marBottom w:val="0"/>
      <w:divBdr>
        <w:top w:val="none" w:sz="0" w:space="0" w:color="auto"/>
        <w:left w:val="none" w:sz="0" w:space="0" w:color="auto"/>
        <w:bottom w:val="none" w:sz="0" w:space="0" w:color="auto"/>
        <w:right w:val="none" w:sz="0" w:space="0" w:color="auto"/>
      </w:divBdr>
    </w:div>
    <w:div w:id="851534111">
      <w:bodyDiv w:val="1"/>
      <w:marLeft w:val="0"/>
      <w:marRight w:val="0"/>
      <w:marTop w:val="0"/>
      <w:marBottom w:val="0"/>
      <w:divBdr>
        <w:top w:val="none" w:sz="0" w:space="0" w:color="auto"/>
        <w:left w:val="none" w:sz="0" w:space="0" w:color="auto"/>
        <w:bottom w:val="none" w:sz="0" w:space="0" w:color="auto"/>
        <w:right w:val="none" w:sz="0" w:space="0" w:color="auto"/>
      </w:divBdr>
    </w:div>
    <w:div w:id="867645868">
      <w:bodyDiv w:val="1"/>
      <w:marLeft w:val="0"/>
      <w:marRight w:val="0"/>
      <w:marTop w:val="0"/>
      <w:marBottom w:val="0"/>
      <w:divBdr>
        <w:top w:val="none" w:sz="0" w:space="0" w:color="auto"/>
        <w:left w:val="none" w:sz="0" w:space="0" w:color="auto"/>
        <w:bottom w:val="none" w:sz="0" w:space="0" w:color="auto"/>
        <w:right w:val="none" w:sz="0" w:space="0" w:color="auto"/>
      </w:divBdr>
    </w:div>
    <w:div w:id="869412191">
      <w:bodyDiv w:val="1"/>
      <w:marLeft w:val="0"/>
      <w:marRight w:val="0"/>
      <w:marTop w:val="0"/>
      <w:marBottom w:val="0"/>
      <w:divBdr>
        <w:top w:val="none" w:sz="0" w:space="0" w:color="auto"/>
        <w:left w:val="none" w:sz="0" w:space="0" w:color="auto"/>
        <w:bottom w:val="none" w:sz="0" w:space="0" w:color="auto"/>
        <w:right w:val="none" w:sz="0" w:space="0" w:color="auto"/>
      </w:divBdr>
    </w:div>
    <w:div w:id="886183130">
      <w:bodyDiv w:val="1"/>
      <w:marLeft w:val="0"/>
      <w:marRight w:val="0"/>
      <w:marTop w:val="0"/>
      <w:marBottom w:val="0"/>
      <w:divBdr>
        <w:top w:val="none" w:sz="0" w:space="0" w:color="auto"/>
        <w:left w:val="none" w:sz="0" w:space="0" w:color="auto"/>
        <w:bottom w:val="none" w:sz="0" w:space="0" w:color="auto"/>
        <w:right w:val="none" w:sz="0" w:space="0" w:color="auto"/>
      </w:divBdr>
    </w:div>
    <w:div w:id="886188682">
      <w:bodyDiv w:val="1"/>
      <w:marLeft w:val="0"/>
      <w:marRight w:val="0"/>
      <w:marTop w:val="0"/>
      <w:marBottom w:val="0"/>
      <w:divBdr>
        <w:top w:val="none" w:sz="0" w:space="0" w:color="auto"/>
        <w:left w:val="none" w:sz="0" w:space="0" w:color="auto"/>
        <w:bottom w:val="none" w:sz="0" w:space="0" w:color="auto"/>
        <w:right w:val="none" w:sz="0" w:space="0" w:color="auto"/>
      </w:divBdr>
    </w:div>
    <w:div w:id="888221016">
      <w:bodyDiv w:val="1"/>
      <w:marLeft w:val="0"/>
      <w:marRight w:val="0"/>
      <w:marTop w:val="0"/>
      <w:marBottom w:val="0"/>
      <w:divBdr>
        <w:top w:val="none" w:sz="0" w:space="0" w:color="auto"/>
        <w:left w:val="none" w:sz="0" w:space="0" w:color="auto"/>
        <w:bottom w:val="none" w:sz="0" w:space="0" w:color="auto"/>
        <w:right w:val="none" w:sz="0" w:space="0" w:color="auto"/>
      </w:divBdr>
    </w:div>
    <w:div w:id="907031040">
      <w:bodyDiv w:val="1"/>
      <w:marLeft w:val="0"/>
      <w:marRight w:val="0"/>
      <w:marTop w:val="0"/>
      <w:marBottom w:val="0"/>
      <w:divBdr>
        <w:top w:val="none" w:sz="0" w:space="0" w:color="auto"/>
        <w:left w:val="none" w:sz="0" w:space="0" w:color="auto"/>
        <w:bottom w:val="none" w:sz="0" w:space="0" w:color="auto"/>
        <w:right w:val="none" w:sz="0" w:space="0" w:color="auto"/>
      </w:divBdr>
    </w:div>
    <w:div w:id="907618113">
      <w:bodyDiv w:val="1"/>
      <w:marLeft w:val="0"/>
      <w:marRight w:val="0"/>
      <w:marTop w:val="0"/>
      <w:marBottom w:val="0"/>
      <w:divBdr>
        <w:top w:val="none" w:sz="0" w:space="0" w:color="auto"/>
        <w:left w:val="none" w:sz="0" w:space="0" w:color="auto"/>
        <w:bottom w:val="none" w:sz="0" w:space="0" w:color="auto"/>
        <w:right w:val="none" w:sz="0" w:space="0" w:color="auto"/>
      </w:divBdr>
    </w:div>
    <w:div w:id="913005341">
      <w:bodyDiv w:val="1"/>
      <w:marLeft w:val="0"/>
      <w:marRight w:val="0"/>
      <w:marTop w:val="0"/>
      <w:marBottom w:val="0"/>
      <w:divBdr>
        <w:top w:val="none" w:sz="0" w:space="0" w:color="auto"/>
        <w:left w:val="none" w:sz="0" w:space="0" w:color="auto"/>
        <w:bottom w:val="none" w:sz="0" w:space="0" w:color="auto"/>
        <w:right w:val="none" w:sz="0" w:space="0" w:color="auto"/>
      </w:divBdr>
    </w:div>
    <w:div w:id="961612029">
      <w:bodyDiv w:val="1"/>
      <w:marLeft w:val="0"/>
      <w:marRight w:val="0"/>
      <w:marTop w:val="0"/>
      <w:marBottom w:val="0"/>
      <w:divBdr>
        <w:top w:val="none" w:sz="0" w:space="0" w:color="auto"/>
        <w:left w:val="none" w:sz="0" w:space="0" w:color="auto"/>
        <w:bottom w:val="none" w:sz="0" w:space="0" w:color="auto"/>
        <w:right w:val="none" w:sz="0" w:space="0" w:color="auto"/>
      </w:divBdr>
    </w:div>
    <w:div w:id="965234032">
      <w:bodyDiv w:val="1"/>
      <w:marLeft w:val="0"/>
      <w:marRight w:val="0"/>
      <w:marTop w:val="0"/>
      <w:marBottom w:val="0"/>
      <w:divBdr>
        <w:top w:val="none" w:sz="0" w:space="0" w:color="auto"/>
        <w:left w:val="none" w:sz="0" w:space="0" w:color="auto"/>
        <w:bottom w:val="none" w:sz="0" w:space="0" w:color="auto"/>
        <w:right w:val="none" w:sz="0" w:space="0" w:color="auto"/>
      </w:divBdr>
    </w:div>
    <w:div w:id="967200711">
      <w:bodyDiv w:val="1"/>
      <w:marLeft w:val="0"/>
      <w:marRight w:val="0"/>
      <w:marTop w:val="0"/>
      <w:marBottom w:val="0"/>
      <w:divBdr>
        <w:top w:val="none" w:sz="0" w:space="0" w:color="auto"/>
        <w:left w:val="none" w:sz="0" w:space="0" w:color="auto"/>
        <w:bottom w:val="none" w:sz="0" w:space="0" w:color="auto"/>
        <w:right w:val="none" w:sz="0" w:space="0" w:color="auto"/>
      </w:divBdr>
      <w:divsChild>
        <w:div w:id="271909385">
          <w:marLeft w:val="0"/>
          <w:marRight w:val="0"/>
          <w:marTop w:val="0"/>
          <w:marBottom w:val="0"/>
          <w:divBdr>
            <w:top w:val="none" w:sz="0" w:space="0" w:color="auto"/>
            <w:left w:val="none" w:sz="0" w:space="0" w:color="auto"/>
            <w:bottom w:val="none" w:sz="0" w:space="0" w:color="auto"/>
            <w:right w:val="none" w:sz="0" w:space="0" w:color="auto"/>
          </w:divBdr>
        </w:div>
        <w:div w:id="468323187">
          <w:marLeft w:val="0"/>
          <w:marRight w:val="0"/>
          <w:marTop w:val="0"/>
          <w:marBottom w:val="0"/>
          <w:divBdr>
            <w:top w:val="none" w:sz="0" w:space="0" w:color="auto"/>
            <w:left w:val="none" w:sz="0" w:space="0" w:color="auto"/>
            <w:bottom w:val="none" w:sz="0" w:space="0" w:color="auto"/>
            <w:right w:val="none" w:sz="0" w:space="0" w:color="auto"/>
          </w:divBdr>
        </w:div>
      </w:divsChild>
    </w:div>
    <w:div w:id="989480756">
      <w:bodyDiv w:val="1"/>
      <w:marLeft w:val="0"/>
      <w:marRight w:val="0"/>
      <w:marTop w:val="0"/>
      <w:marBottom w:val="0"/>
      <w:divBdr>
        <w:top w:val="none" w:sz="0" w:space="0" w:color="auto"/>
        <w:left w:val="none" w:sz="0" w:space="0" w:color="auto"/>
        <w:bottom w:val="none" w:sz="0" w:space="0" w:color="auto"/>
        <w:right w:val="none" w:sz="0" w:space="0" w:color="auto"/>
      </w:divBdr>
    </w:div>
    <w:div w:id="1004892722">
      <w:bodyDiv w:val="1"/>
      <w:marLeft w:val="0"/>
      <w:marRight w:val="0"/>
      <w:marTop w:val="0"/>
      <w:marBottom w:val="0"/>
      <w:divBdr>
        <w:top w:val="none" w:sz="0" w:space="0" w:color="auto"/>
        <w:left w:val="none" w:sz="0" w:space="0" w:color="auto"/>
        <w:bottom w:val="none" w:sz="0" w:space="0" w:color="auto"/>
        <w:right w:val="none" w:sz="0" w:space="0" w:color="auto"/>
      </w:divBdr>
    </w:div>
    <w:div w:id="1010639117">
      <w:bodyDiv w:val="1"/>
      <w:marLeft w:val="0"/>
      <w:marRight w:val="0"/>
      <w:marTop w:val="0"/>
      <w:marBottom w:val="0"/>
      <w:divBdr>
        <w:top w:val="none" w:sz="0" w:space="0" w:color="auto"/>
        <w:left w:val="none" w:sz="0" w:space="0" w:color="auto"/>
        <w:bottom w:val="none" w:sz="0" w:space="0" w:color="auto"/>
        <w:right w:val="none" w:sz="0" w:space="0" w:color="auto"/>
      </w:divBdr>
    </w:div>
    <w:div w:id="1050180393">
      <w:bodyDiv w:val="1"/>
      <w:marLeft w:val="0"/>
      <w:marRight w:val="0"/>
      <w:marTop w:val="0"/>
      <w:marBottom w:val="0"/>
      <w:divBdr>
        <w:top w:val="none" w:sz="0" w:space="0" w:color="auto"/>
        <w:left w:val="none" w:sz="0" w:space="0" w:color="auto"/>
        <w:bottom w:val="none" w:sz="0" w:space="0" w:color="auto"/>
        <w:right w:val="none" w:sz="0" w:space="0" w:color="auto"/>
      </w:divBdr>
    </w:div>
    <w:div w:id="1051154645">
      <w:bodyDiv w:val="1"/>
      <w:marLeft w:val="0"/>
      <w:marRight w:val="0"/>
      <w:marTop w:val="0"/>
      <w:marBottom w:val="0"/>
      <w:divBdr>
        <w:top w:val="none" w:sz="0" w:space="0" w:color="auto"/>
        <w:left w:val="none" w:sz="0" w:space="0" w:color="auto"/>
        <w:bottom w:val="none" w:sz="0" w:space="0" w:color="auto"/>
        <w:right w:val="none" w:sz="0" w:space="0" w:color="auto"/>
      </w:divBdr>
    </w:div>
    <w:div w:id="1056390418">
      <w:bodyDiv w:val="1"/>
      <w:marLeft w:val="0"/>
      <w:marRight w:val="0"/>
      <w:marTop w:val="0"/>
      <w:marBottom w:val="0"/>
      <w:divBdr>
        <w:top w:val="none" w:sz="0" w:space="0" w:color="auto"/>
        <w:left w:val="none" w:sz="0" w:space="0" w:color="auto"/>
        <w:bottom w:val="none" w:sz="0" w:space="0" w:color="auto"/>
        <w:right w:val="none" w:sz="0" w:space="0" w:color="auto"/>
      </w:divBdr>
    </w:div>
    <w:div w:id="1062170025">
      <w:bodyDiv w:val="1"/>
      <w:marLeft w:val="0"/>
      <w:marRight w:val="0"/>
      <w:marTop w:val="0"/>
      <w:marBottom w:val="0"/>
      <w:divBdr>
        <w:top w:val="none" w:sz="0" w:space="0" w:color="auto"/>
        <w:left w:val="none" w:sz="0" w:space="0" w:color="auto"/>
        <w:bottom w:val="none" w:sz="0" w:space="0" w:color="auto"/>
        <w:right w:val="none" w:sz="0" w:space="0" w:color="auto"/>
      </w:divBdr>
    </w:div>
    <w:div w:id="1098791603">
      <w:bodyDiv w:val="1"/>
      <w:marLeft w:val="0"/>
      <w:marRight w:val="0"/>
      <w:marTop w:val="0"/>
      <w:marBottom w:val="0"/>
      <w:divBdr>
        <w:top w:val="none" w:sz="0" w:space="0" w:color="auto"/>
        <w:left w:val="none" w:sz="0" w:space="0" w:color="auto"/>
        <w:bottom w:val="none" w:sz="0" w:space="0" w:color="auto"/>
        <w:right w:val="none" w:sz="0" w:space="0" w:color="auto"/>
      </w:divBdr>
    </w:div>
    <w:div w:id="1111974433">
      <w:bodyDiv w:val="1"/>
      <w:marLeft w:val="0"/>
      <w:marRight w:val="0"/>
      <w:marTop w:val="0"/>
      <w:marBottom w:val="0"/>
      <w:divBdr>
        <w:top w:val="none" w:sz="0" w:space="0" w:color="auto"/>
        <w:left w:val="none" w:sz="0" w:space="0" w:color="auto"/>
        <w:bottom w:val="none" w:sz="0" w:space="0" w:color="auto"/>
        <w:right w:val="none" w:sz="0" w:space="0" w:color="auto"/>
      </w:divBdr>
    </w:div>
    <w:div w:id="1112624625">
      <w:bodyDiv w:val="1"/>
      <w:marLeft w:val="0"/>
      <w:marRight w:val="0"/>
      <w:marTop w:val="0"/>
      <w:marBottom w:val="0"/>
      <w:divBdr>
        <w:top w:val="none" w:sz="0" w:space="0" w:color="auto"/>
        <w:left w:val="none" w:sz="0" w:space="0" w:color="auto"/>
        <w:bottom w:val="none" w:sz="0" w:space="0" w:color="auto"/>
        <w:right w:val="none" w:sz="0" w:space="0" w:color="auto"/>
      </w:divBdr>
    </w:div>
    <w:div w:id="1123426782">
      <w:bodyDiv w:val="1"/>
      <w:marLeft w:val="0"/>
      <w:marRight w:val="0"/>
      <w:marTop w:val="0"/>
      <w:marBottom w:val="0"/>
      <w:divBdr>
        <w:top w:val="none" w:sz="0" w:space="0" w:color="auto"/>
        <w:left w:val="none" w:sz="0" w:space="0" w:color="auto"/>
        <w:bottom w:val="none" w:sz="0" w:space="0" w:color="auto"/>
        <w:right w:val="none" w:sz="0" w:space="0" w:color="auto"/>
      </w:divBdr>
    </w:div>
    <w:div w:id="1136336163">
      <w:bodyDiv w:val="1"/>
      <w:marLeft w:val="0"/>
      <w:marRight w:val="0"/>
      <w:marTop w:val="0"/>
      <w:marBottom w:val="0"/>
      <w:divBdr>
        <w:top w:val="none" w:sz="0" w:space="0" w:color="auto"/>
        <w:left w:val="none" w:sz="0" w:space="0" w:color="auto"/>
        <w:bottom w:val="none" w:sz="0" w:space="0" w:color="auto"/>
        <w:right w:val="none" w:sz="0" w:space="0" w:color="auto"/>
      </w:divBdr>
      <w:divsChild>
        <w:div w:id="1449542268">
          <w:marLeft w:val="0"/>
          <w:marRight w:val="0"/>
          <w:marTop w:val="0"/>
          <w:marBottom w:val="0"/>
          <w:divBdr>
            <w:top w:val="none" w:sz="0" w:space="0" w:color="auto"/>
            <w:left w:val="none" w:sz="0" w:space="0" w:color="auto"/>
            <w:bottom w:val="none" w:sz="0" w:space="0" w:color="auto"/>
            <w:right w:val="none" w:sz="0" w:space="0" w:color="auto"/>
          </w:divBdr>
        </w:div>
      </w:divsChild>
    </w:div>
    <w:div w:id="1158306717">
      <w:bodyDiv w:val="1"/>
      <w:marLeft w:val="0"/>
      <w:marRight w:val="0"/>
      <w:marTop w:val="0"/>
      <w:marBottom w:val="0"/>
      <w:divBdr>
        <w:top w:val="none" w:sz="0" w:space="0" w:color="auto"/>
        <w:left w:val="none" w:sz="0" w:space="0" w:color="auto"/>
        <w:bottom w:val="none" w:sz="0" w:space="0" w:color="auto"/>
        <w:right w:val="none" w:sz="0" w:space="0" w:color="auto"/>
      </w:divBdr>
      <w:divsChild>
        <w:div w:id="1496148781">
          <w:marLeft w:val="0"/>
          <w:marRight w:val="0"/>
          <w:marTop w:val="0"/>
          <w:marBottom w:val="0"/>
          <w:divBdr>
            <w:top w:val="none" w:sz="0" w:space="0" w:color="auto"/>
            <w:left w:val="none" w:sz="0" w:space="0" w:color="auto"/>
            <w:bottom w:val="none" w:sz="0" w:space="0" w:color="auto"/>
            <w:right w:val="none" w:sz="0" w:space="0" w:color="auto"/>
          </w:divBdr>
        </w:div>
      </w:divsChild>
    </w:div>
    <w:div w:id="1173183815">
      <w:bodyDiv w:val="1"/>
      <w:marLeft w:val="0"/>
      <w:marRight w:val="0"/>
      <w:marTop w:val="0"/>
      <w:marBottom w:val="0"/>
      <w:divBdr>
        <w:top w:val="none" w:sz="0" w:space="0" w:color="auto"/>
        <w:left w:val="none" w:sz="0" w:space="0" w:color="auto"/>
        <w:bottom w:val="none" w:sz="0" w:space="0" w:color="auto"/>
        <w:right w:val="none" w:sz="0" w:space="0" w:color="auto"/>
      </w:divBdr>
    </w:div>
    <w:div w:id="1212039757">
      <w:bodyDiv w:val="1"/>
      <w:marLeft w:val="0"/>
      <w:marRight w:val="0"/>
      <w:marTop w:val="0"/>
      <w:marBottom w:val="0"/>
      <w:divBdr>
        <w:top w:val="none" w:sz="0" w:space="0" w:color="auto"/>
        <w:left w:val="none" w:sz="0" w:space="0" w:color="auto"/>
        <w:bottom w:val="none" w:sz="0" w:space="0" w:color="auto"/>
        <w:right w:val="none" w:sz="0" w:space="0" w:color="auto"/>
      </w:divBdr>
    </w:div>
    <w:div w:id="1242444076">
      <w:bodyDiv w:val="1"/>
      <w:marLeft w:val="0"/>
      <w:marRight w:val="0"/>
      <w:marTop w:val="0"/>
      <w:marBottom w:val="0"/>
      <w:divBdr>
        <w:top w:val="none" w:sz="0" w:space="0" w:color="auto"/>
        <w:left w:val="none" w:sz="0" w:space="0" w:color="auto"/>
        <w:bottom w:val="none" w:sz="0" w:space="0" w:color="auto"/>
        <w:right w:val="none" w:sz="0" w:space="0" w:color="auto"/>
      </w:divBdr>
    </w:div>
    <w:div w:id="1256209843">
      <w:bodyDiv w:val="1"/>
      <w:marLeft w:val="0"/>
      <w:marRight w:val="0"/>
      <w:marTop w:val="0"/>
      <w:marBottom w:val="0"/>
      <w:divBdr>
        <w:top w:val="none" w:sz="0" w:space="0" w:color="auto"/>
        <w:left w:val="none" w:sz="0" w:space="0" w:color="auto"/>
        <w:bottom w:val="none" w:sz="0" w:space="0" w:color="auto"/>
        <w:right w:val="none" w:sz="0" w:space="0" w:color="auto"/>
      </w:divBdr>
    </w:div>
    <w:div w:id="1259213523">
      <w:bodyDiv w:val="1"/>
      <w:marLeft w:val="0"/>
      <w:marRight w:val="0"/>
      <w:marTop w:val="0"/>
      <w:marBottom w:val="0"/>
      <w:divBdr>
        <w:top w:val="none" w:sz="0" w:space="0" w:color="auto"/>
        <w:left w:val="none" w:sz="0" w:space="0" w:color="auto"/>
        <w:bottom w:val="none" w:sz="0" w:space="0" w:color="auto"/>
        <w:right w:val="none" w:sz="0" w:space="0" w:color="auto"/>
      </w:divBdr>
    </w:div>
    <w:div w:id="1264845414">
      <w:bodyDiv w:val="1"/>
      <w:marLeft w:val="0"/>
      <w:marRight w:val="0"/>
      <w:marTop w:val="0"/>
      <w:marBottom w:val="0"/>
      <w:divBdr>
        <w:top w:val="none" w:sz="0" w:space="0" w:color="auto"/>
        <w:left w:val="none" w:sz="0" w:space="0" w:color="auto"/>
        <w:bottom w:val="none" w:sz="0" w:space="0" w:color="auto"/>
        <w:right w:val="none" w:sz="0" w:space="0" w:color="auto"/>
      </w:divBdr>
    </w:div>
    <w:div w:id="1270044605">
      <w:bodyDiv w:val="1"/>
      <w:marLeft w:val="0"/>
      <w:marRight w:val="0"/>
      <w:marTop w:val="0"/>
      <w:marBottom w:val="0"/>
      <w:divBdr>
        <w:top w:val="none" w:sz="0" w:space="0" w:color="auto"/>
        <w:left w:val="none" w:sz="0" w:space="0" w:color="auto"/>
        <w:bottom w:val="none" w:sz="0" w:space="0" w:color="auto"/>
        <w:right w:val="none" w:sz="0" w:space="0" w:color="auto"/>
      </w:divBdr>
      <w:divsChild>
        <w:div w:id="1274052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1857923">
      <w:bodyDiv w:val="1"/>
      <w:marLeft w:val="0"/>
      <w:marRight w:val="0"/>
      <w:marTop w:val="0"/>
      <w:marBottom w:val="0"/>
      <w:divBdr>
        <w:top w:val="none" w:sz="0" w:space="0" w:color="auto"/>
        <w:left w:val="none" w:sz="0" w:space="0" w:color="auto"/>
        <w:bottom w:val="none" w:sz="0" w:space="0" w:color="auto"/>
        <w:right w:val="none" w:sz="0" w:space="0" w:color="auto"/>
      </w:divBdr>
    </w:div>
    <w:div w:id="1295600919">
      <w:bodyDiv w:val="1"/>
      <w:marLeft w:val="0"/>
      <w:marRight w:val="0"/>
      <w:marTop w:val="0"/>
      <w:marBottom w:val="0"/>
      <w:divBdr>
        <w:top w:val="none" w:sz="0" w:space="0" w:color="auto"/>
        <w:left w:val="none" w:sz="0" w:space="0" w:color="auto"/>
        <w:bottom w:val="none" w:sz="0" w:space="0" w:color="auto"/>
        <w:right w:val="none" w:sz="0" w:space="0" w:color="auto"/>
      </w:divBdr>
    </w:div>
    <w:div w:id="1338119991">
      <w:bodyDiv w:val="1"/>
      <w:marLeft w:val="0"/>
      <w:marRight w:val="0"/>
      <w:marTop w:val="0"/>
      <w:marBottom w:val="0"/>
      <w:divBdr>
        <w:top w:val="none" w:sz="0" w:space="0" w:color="auto"/>
        <w:left w:val="none" w:sz="0" w:space="0" w:color="auto"/>
        <w:bottom w:val="none" w:sz="0" w:space="0" w:color="auto"/>
        <w:right w:val="none" w:sz="0" w:space="0" w:color="auto"/>
      </w:divBdr>
    </w:div>
    <w:div w:id="1342077572">
      <w:bodyDiv w:val="1"/>
      <w:marLeft w:val="0"/>
      <w:marRight w:val="0"/>
      <w:marTop w:val="0"/>
      <w:marBottom w:val="0"/>
      <w:divBdr>
        <w:top w:val="none" w:sz="0" w:space="0" w:color="auto"/>
        <w:left w:val="none" w:sz="0" w:space="0" w:color="auto"/>
        <w:bottom w:val="none" w:sz="0" w:space="0" w:color="auto"/>
        <w:right w:val="none" w:sz="0" w:space="0" w:color="auto"/>
      </w:divBdr>
    </w:div>
    <w:div w:id="1375960037">
      <w:bodyDiv w:val="1"/>
      <w:marLeft w:val="0"/>
      <w:marRight w:val="0"/>
      <w:marTop w:val="0"/>
      <w:marBottom w:val="0"/>
      <w:divBdr>
        <w:top w:val="none" w:sz="0" w:space="0" w:color="auto"/>
        <w:left w:val="none" w:sz="0" w:space="0" w:color="auto"/>
        <w:bottom w:val="none" w:sz="0" w:space="0" w:color="auto"/>
        <w:right w:val="none" w:sz="0" w:space="0" w:color="auto"/>
      </w:divBdr>
    </w:div>
    <w:div w:id="1393238729">
      <w:bodyDiv w:val="1"/>
      <w:marLeft w:val="0"/>
      <w:marRight w:val="0"/>
      <w:marTop w:val="0"/>
      <w:marBottom w:val="0"/>
      <w:divBdr>
        <w:top w:val="none" w:sz="0" w:space="0" w:color="auto"/>
        <w:left w:val="none" w:sz="0" w:space="0" w:color="auto"/>
        <w:bottom w:val="none" w:sz="0" w:space="0" w:color="auto"/>
        <w:right w:val="none" w:sz="0" w:space="0" w:color="auto"/>
      </w:divBdr>
    </w:div>
    <w:div w:id="1424910291">
      <w:bodyDiv w:val="1"/>
      <w:marLeft w:val="0"/>
      <w:marRight w:val="0"/>
      <w:marTop w:val="0"/>
      <w:marBottom w:val="0"/>
      <w:divBdr>
        <w:top w:val="none" w:sz="0" w:space="0" w:color="auto"/>
        <w:left w:val="none" w:sz="0" w:space="0" w:color="auto"/>
        <w:bottom w:val="none" w:sz="0" w:space="0" w:color="auto"/>
        <w:right w:val="none" w:sz="0" w:space="0" w:color="auto"/>
      </w:divBdr>
    </w:div>
    <w:div w:id="1437746542">
      <w:bodyDiv w:val="1"/>
      <w:marLeft w:val="0"/>
      <w:marRight w:val="0"/>
      <w:marTop w:val="0"/>
      <w:marBottom w:val="0"/>
      <w:divBdr>
        <w:top w:val="none" w:sz="0" w:space="0" w:color="auto"/>
        <w:left w:val="none" w:sz="0" w:space="0" w:color="auto"/>
        <w:bottom w:val="none" w:sz="0" w:space="0" w:color="auto"/>
        <w:right w:val="none" w:sz="0" w:space="0" w:color="auto"/>
      </w:divBdr>
    </w:div>
    <w:div w:id="1440028663">
      <w:bodyDiv w:val="1"/>
      <w:marLeft w:val="0"/>
      <w:marRight w:val="0"/>
      <w:marTop w:val="0"/>
      <w:marBottom w:val="0"/>
      <w:divBdr>
        <w:top w:val="none" w:sz="0" w:space="0" w:color="auto"/>
        <w:left w:val="none" w:sz="0" w:space="0" w:color="auto"/>
        <w:bottom w:val="none" w:sz="0" w:space="0" w:color="auto"/>
        <w:right w:val="none" w:sz="0" w:space="0" w:color="auto"/>
      </w:divBdr>
      <w:divsChild>
        <w:div w:id="110980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1990477">
      <w:bodyDiv w:val="1"/>
      <w:marLeft w:val="0"/>
      <w:marRight w:val="0"/>
      <w:marTop w:val="0"/>
      <w:marBottom w:val="0"/>
      <w:divBdr>
        <w:top w:val="none" w:sz="0" w:space="0" w:color="auto"/>
        <w:left w:val="none" w:sz="0" w:space="0" w:color="auto"/>
        <w:bottom w:val="none" w:sz="0" w:space="0" w:color="auto"/>
        <w:right w:val="none" w:sz="0" w:space="0" w:color="auto"/>
      </w:divBdr>
    </w:div>
    <w:div w:id="1450390729">
      <w:bodyDiv w:val="1"/>
      <w:marLeft w:val="0"/>
      <w:marRight w:val="0"/>
      <w:marTop w:val="0"/>
      <w:marBottom w:val="0"/>
      <w:divBdr>
        <w:top w:val="none" w:sz="0" w:space="0" w:color="auto"/>
        <w:left w:val="none" w:sz="0" w:space="0" w:color="auto"/>
        <w:bottom w:val="none" w:sz="0" w:space="0" w:color="auto"/>
        <w:right w:val="none" w:sz="0" w:space="0" w:color="auto"/>
      </w:divBdr>
    </w:div>
    <w:div w:id="1462840890">
      <w:bodyDiv w:val="1"/>
      <w:marLeft w:val="0"/>
      <w:marRight w:val="0"/>
      <w:marTop w:val="0"/>
      <w:marBottom w:val="0"/>
      <w:divBdr>
        <w:top w:val="none" w:sz="0" w:space="0" w:color="auto"/>
        <w:left w:val="none" w:sz="0" w:space="0" w:color="auto"/>
        <w:bottom w:val="none" w:sz="0" w:space="0" w:color="auto"/>
        <w:right w:val="none" w:sz="0" w:space="0" w:color="auto"/>
      </w:divBdr>
    </w:div>
    <w:div w:id="1494100403">
      <w:bodyDiv w:val="1"/>
      <w:marLeft w:val="0"/>
      <w:marRight w:val="0"/>
      <w:marTop w:val="0"/>
      <w:marBottom w:val="0"/>
      <w:divBdr>
        <w:top w:val="none" w:sz="0" w:space="0" w:color="auto"/>
        <w:left w:val="none" w:sz="0" w:space="0" w:color="auto"/>
        <w:bottom w:val="none" w:sz="0" w:space="0" w:color="auto"/>
        <w:right w:val="none" w:sz="0" w:space="0" w:color="auto"/>
      </w:divBdr>
    </w:div>
    <w:div w:id="1544634512">
      <w:bodyDiv w:val="1"/>
      <w:marLeft w:val="0"/>
      <w:marRight w:val="0"/>
      <w:marTop w:val="0"/>
      <w:marBottom w:val="0"/>
      <w:divBdr>
        <w:top w:val="none" w:sz="0" w:space="0" w:color="auto"/>
        <w:left w:val="none" w:sz="0" w:space="0" w:color="auto"/>
        <w:bottom w:val="none" w:sz="0" w:space="0" w:color="auto"/>
        <w:right w:val="none" w:sz="0" w:space="0" w:color="auto"/>
      </w:divBdr>
    </w:div>
    <w:div w:id="1551185142">
      <w:bodyDiv w:val="1"/>
      <w:marLeft w:val="0"/>
      <w:marRight w:val="0"/>
      <w:marTop w:val="0"/>
      <w:marBottom w:val="0"/>
      <w:divBdr>
        <w:top w:val="none" w:sz="0" w:space="0" w:color="auto"/>
        <w:left w:val="none" w:sz="0" w:space="0" w:color="auto"/>
        <w:bottom w:val="none" w:sz="0" w:space="0" w:color="auto"/>
        <w:right w:val="none" w:sz="0" w:space="0" w:color="auto"/>
      </w:divBdr>
    </w:div>
    <w:div w:id="1564441410">
      <w:bodyDiv w:val="1"/>
      <w:marLeft w:val="0"/>
      <w:marRight w:val="0"/>
      <w:marTop w:val="0"/>
      <w:marBottom w:val="0"/>
      <w:divBdr>
        <w:top w:val="none" w:sz="0" w:space="0" w:color="auto"/>
        <w:left w:val="none" w:sz="0" w:space="0" w:color="auto"/>
        <w:bottom w:val="none" w:sz="0" w:space="0" w:color="auto"/>
        <w:right w:val="none" w:sz="0" w:space="0" w:color="auto"/>
      </w:divBdr>
    </w:div>
    <w:div w:id="1589920248">
      <w:bodyDiv w:val="1"/>
      <w:marLeft w:val="0"/>
      <w:marRight w:val="0"/>
      <w:marTop w:val="0"/>
      <w:marBottom w:val="0"/>
      <w:divBdr>
        <w:top w:val="none" w:sz="0" w:space="0" w:color="auto"/>
        <w:left w:val="none" w:sz="0" w:space="0" w:color="auto"/>
        <w:bottom w:val="none" w:sz="0" w:space="0" w:color="auto"/>
        <w:right w:val="none" w:sz="0" w:space="0" w:color="auto"/>
      </w:divBdr>
    </w:div>
    <w:div w:id="1609309633">
      <w:bodyDiv w:val="1"/>
      <w:marLeft w:val="0"/>
      <w:marRight w:val="0"/>
      <w:marTop w:val="0"/>
      <w:marBottom w:val="0"/>
      <w:divBdr>
        <w:top w:val="none" w:sz="0" w:space="0" w:color="auto"/>
        <w:left w:val="none" w:sz="0" w:space="0" w:color="auto"/>
        <w:bottom w:val="none" w:sz="0" w:space="0" w:color="auto"/>
        <w:right w:val="none" w:sz="0" w:space="0" w:color="auto"/>
      </w:divBdr>
    </w:div>
    <w:div w:id="1642882710">
      <w:bodyDiv w:val="1"/>
      <w:marLeft w:val="0"/>
      <w:marRight w:val="0"/>
      <w:marTop w:val="0"/>
      <w:marBottom w:val="0"/>
      <w:divBdr>
        <w:top w:val="none" w:sz="0" w:space="0" w:color="auto"/>
        <w:left w:val="none" w:sz="0" w:space="0" w:color="auto"/>
        <w:bottom w:val="none" w:sz="0" w:space="0" w:color="auto"/>
        <w:right w:val="none" w:sz="0" w:space="0" w:color="auto"/>
      </w:divBdr>
    </w:div>
    <w:div w:id="1665738838">
      <w:bodyDiv w:val="1"/>
      <w:marLeft w:val="0"/>
      <w:marRight w:val="0"/>
      <w:marTop w:val="0"/>
      <w:marBottom w:val="0"/>
      <w:divBdr>
        <w:top w:val="none" w:sz="0" w:space="0" w:color="auto"/>
        <w:left w:val="none" w:sz="0" w:space="0" w:color="auto"/>
        <w:bottom w:val="none" w:sz="0" w:space="0" w:color="auto"/>
        <w:right w:val="none" w:sz="0" w:space="0" w:color="auto"/>
      </w:divBdr>
    </w:div>
    <w:div w:id="1685011398">
      <w:bodyDiv w:val="1"/>
      <w:marLeft w:val="0"/>
      <w:marRight w:val="0"/>
      <w:marTop w:val="0"/>
      <w:marBottom w:val="0"/>
      <w:divBdr>
        <w:top w:val="none" w:sz="0" w:space="0" w:color="auto"/>
        <w:left w:val="none" w:sz="0" w:space="0" w:color="auto"/>
        <w:bottom w:val="none" w:sz="0" w:space="0" w:color="auto"/>
        <w:right w:val="none" w:sz="0" w:space="0" w:color="auto"/>
      </w:divBdr>
    </w:div>
    <w:div w:id="1692217063">
      <w:bodyDiv w:val="1"/>
      <w:marLeft w:val="0"/>
      <w:marRight w:val="0"/>
      <w:marTop w:val="0"/>
      <w:marBottom w:val="0"/>
      <w:divBdr>
        <w:top w:val="none" w:sz="0" w:space="0" w:color="auto"/>
        <w:left w:val="none" w:sz="0" w:space="0" w:color="auto"/>
        <w:bottom w:val="none" w:sz="0" w:space="0" w:color="auto"/>
        <w:right w:val="none" w:sz="0" w:space="0" w:color="auto"/>
      </w:divBdr>
    </w:div>
    <w:div w:id="1695185635">
      <w:bodyDiv w:val="1"/>
      <w:marLeft w:val="0"/>
      <w:marRight w:val="0"/>
      <w:marTop w:val="0"/>
      <w:marBottom w:val="0"/>
      <w:divBdr>
        <w:top w:val="none" w:sz="0" w:space="0" w:color="auto"/>
        <w:left w:val="none" w:sz="0" w:space="0" w:color="auto"/>
        <w:bottom w:val="none" w:sz="0" w:space="0" w:color="auto"/>
        <w:right w:val="none" w:sz="0" w:space="0" w:color="auto"/>
      </w:divBdr>
    </w:div>
    <w:div w:id="1722095540">
      <w:bodyDiv w:val="1"/>
      <w:marLeft w:val="0"/>
      <w:marRight w:val="0"/>
      <w:marTop w:val="0"/>
      <w:marBottom w:val="0"/>
      <w:divBdr>
        <w:top w:val="none" w:sz="0" w:space="0" w:color="auto"/>
        <w:left w:val="none" w:sz="0" w:space="0" w:color="auto"/>
        <w:bottom w:val="none" w:sz="0" w:space="0" w:color="auto"/>
        <w:right w:val="none" w:sz="0" w:space="0" w:color="auto"/>
      </w:divBdr>
    </w:div>
    <w:div w:id="1729769039">
      <w:bodyDiv w:val="1"/>
      <w:marLeft w:val="0"/>
      <w:marRight w:val="0"/>
      <w:marTop w:val="0"/>
      <w:marBottom w:val="0"/>
      <w:divBdr>
        <w:top w:val="none" w:sz="0" w:space="0" w:color="auto"/>
        <w:left w:val="none" w:sz="0" w:space="0" w:color="auto"/>
        <w:bottom w:val="none" w:sz="0" w:space="0" w:color="auto"/>
        <w:right w:val="none" w:sz="0" w:space="0" w:color="auto"/>
      </w:divBdr>
    </w:div>
    <w:div w:id="1751852823">
      <w:bodyDiv w:val="1"/>
      <w:marLeft w:val="0"/>
      <w:marRight w:val="0"/>
      <w:marTop w:val="0"/>
      <w:marBottom w:val="0"/>
      <w:divBdr>
        <w:top w:val="none" w:sz="0" w:space="0" w:color="auto"/>
        <w:left w:val="none" w:sz="0" w:space="0" w:color="auto"/>
        <w:bottom w:val="none" w:sz="0" w:space="0" w:color="auto"/>
        <w:right w:val="none" w:sz="0" w:space="0" w:color="auto"/>
      </w:divBdr>
    </w:div>
    <w:div w:id="1766000741">
      <w:bodyDiv w:val="1"/>
      <w:marLeft w:val="0"/>
      <w:marRight w:val="0"/>
      <w:marTop w:val="0"/>
      <w:marBottom w:val="0"/>
      <w:divBdr>
        <w:top w:val="none" w:sz="0" w:space="0" w:color="auto"/>
        <w:left w:val="none" w:sz="0" w:space="0" w:color="auto"/>
        <w:bottom w:val="none" w:sz="0" w:space="0" w:color="auto"/>
        <w:right w:val="none" w:sz="0" w:space="0" w:color="auto"/>
      </w:divBdr>
    </w:div>
    <w:div w:id="1771310755">
      <w:bodyDiv w:val="1"/>
      <w:marLeft w:val="0"/>
      <w:marRight w:val="0"/>
      <w:marTop w:val="0"/>
      <w:marBottom w:val="0"/>
      <w:divBdr>
        <w:top w:val="none" w:sz="0" w:space="0" w:color="auto"/>
        <w:left w:val="none" w:sz="0" w:space="0" w:color="auto"/>
        <w:bottom w:val="none" w:sz="0" w:space="0" w:color="auto"/>
        <w:right w:val="none" w:sz="0" w:space="0" w:color="auto"/>
      </w:divBdr>
    </w:div>
    <w:div w:id="1774788853">
      <w:bodyDiv w:val="1"/>
      <w:marLeft w:val="0"/>
      <w:marRight w:val="0"/>
      <w:marTop w:val="0"/>
      <w:marBottom w:val="0"/>
      <w:divBdr>
        <w:top w:val="none" w:sz="0" w:space="0" w:color="auto"/>
        <w:left w:val="none" w:sz="0" w:space="0" w:color="auto"/>
        <w:bottom w:val="none" w:sz="0" w:space="0" w:color="auto"/>
        <w:right w:val="none" w:sz="0" w:space="0" w:color="auto"/>
      </w:divBdr>
    </w:div>
    <w:div w:id="1792245136">
      <w:bodyDiv w:val="1"/>
      <w:marLeft w:val="0"/>
      <w:marRight w:val="0"/>
      <w:marTop w:val="0"/>
      <w:marBottom w:val="0"/>
      <w:divBdr>
        <w:top w:val="none" w:sz="0" w:space="0" w:color="auto"/>
        <w:left w:val="none" w:sz="0" w:space="0" w:color="auto"/>
        <w:bottom w:val="none" w:sz="0" w:space="0" w:color="auto"/>
        <w:right w:val="none" w:sz="0" w:space="0" w:color="auto"/>
      </w:divBdr>
    </w:div>
    <w:div w:id="1815835413">
      <w:bodyDiv w:val="1"/>
      <w:marLeft w:val="0"/>
      <w:marRight w:val="0"/>
      <w:marTop w:val="0"/>
      <w:marBottom w:val="0"/>
      <w:divBdr>
        <w:top w:val="none" w:sz="0" w:space="0" w:color="auto"/>
        <w:left w:val="none" w:sz="0" w:space="0" w:color="auto"/>
        <w:bottom w:val="none" w:sz="0" w:space="0" w:color="auto"/>
        <w:right w:val="none" w:sz="0" w:space="0" w:color="auto"/>
      </w:divBdr>
    </w:div>
    <w:div w:id="1842039971">
      <w:bodyDiv w:val="1"/>
      <w:marLeft w:val="0"/>
      <w:marRight w:val="0"/>
      <w:marTop w:val="0"/>
      <w:marBottom w:val="0"/>
      <w:divBdr>
        <w:top w:val="none" w:sz="0" w:space="0" w:color="auto"/>
        <w:left w:val="none" w:sz="0" w:space="0" w:color="auto"/>
        <w:bottom w:val="none" w:sz="0" w:space="0" w:color="auto"/>
        <w:right w:val="none" w:sz="0" w:space="0" w:color="auto"/>
      </w:divBdr>
    </w:div>
    <w:div w:id="1877893038">
      <w:bodyDiv w:val="1"/>
      <w:marLeft w:val="0"/>
      <w:marRight w:val="0"/>
      <w:marTop w:val="0"/>
      <w:marBottom w:val="0"/>
      <w:divBdr>
        <w:top w:val="none" w:sz="0" w:space="0" w:color="auto"/>
        <w:left w:val="none" w:sz="0" w:space="0" w:color="auto"/>
        <w:bottom w:val="none" w:sz="0" w:space="0" w:color="auto"/>
        <w:right w:val="none" w:sz="0" w:space="0" w:color="auto"/>
      </w:divBdr>
    </w:div>
    <w:div w:id="1887645039">
      <w:bodyDiv w:val="1"/>
      <w:marLeft w:val="0"/>
      <w:marRight w:val="0"/>
      <w:marTop w:val="0"/>
      <w:marBottom w:val="0"/>
      <w:divBdr>
        <w:top w:val="none" w:sz="0" w:space="0" w:color="auto"/>
        <w:left w:val="none" w:sz="0" w:space="0" w:color="auto"/>
        <w:bottom w:val="none" w:sz="0" w:space="0" w:color="auto"/>
        <w:right w:val="none" w:sz="0" w:space="0" w:color="auto"/>
      </w:divBdr>
    </w:div>
    <w:div w:id="1890417791">
      <w:bodyDiv w:val="1"/>
      <w:marLeft w:val="0"/>
      <w:marRight w:val="0"/>
      <w:marTop w:val="0"/>
      <w:marBottom w:val="0"/>
      <w:divBdr>
        <w:top w:val="none" w:sz="0" w:space="0" w:color="auto"/>
        <w:left w:val="none" w:sz="0" w:space="0" w:color="auto"/>
        <w:bottom w:val="none" w:sz="0" w:space="0" w:color="auto"/>
        <w:right w:val="none" w:sz="0" w:space="0" w:color="auto"/>
      </w:divBdr>
    </w:div>
    <w:div w:id="1931502698">
      <w:bodyDiv w:val="1"/>
      <w:marLeft w:val="0"/>
      <w:marRight w:val="0"/>
      <w:marTop w:val="0"/>
      <w:marBottom w:val="0"/>
      <w:divBdr>
        <w:top w:val="none" w:sz="0" w:space="0" w:color="auto"/>
        <w:left w:val="none" w:sz="0" w:space="0" w:color="auto"/>
        <w:bottom w:val="none" w:sz="0" w:space="0" w:color="auto"/>
        <w:right w:val="none" w:sz="0" w:space="0" w:color="auto"/>
      </w:divBdr>
    </w:div>
    <w:div w:id="1989437726">
      <w:bodyDiv w:val="1"/>
      <w:marLeft w:val="0"/>
      <w:marRight w:val="0"/>
      <w:marTop w:val="0"/>
      <w:marBottom w:val="0"/>
      <w:divBdr>
        <w:top w:val="none" w:sz="0" w:space="0" w:color="auto"/>
        <w:left w:val="none" w:sz="0" w:space="0" w:color="auto"/>
        <w:bottom w:val="none" w:sz="0" w:space="0" w:color="auto"/>
        <w:right w:val="none" w:sz="0" w:space="0" w:color="auto"/>
      </w:divBdr>
    </w:div>
    <w:div w:id="1993680908">
      <w:bodyDiv w:val="1"/>
      <w:marLeft w:val="0"/>
      <w:marRight w:val="0"/>
      <w:marTop w:val="0"/>
      <w:marBottom w:val="0"/>
      <w:divBdr>
        <w:top w:val="none" w:sz="0" w:space="0" w:color="auto"/>
        <w:left w:val="none" w:sz="0" w:space="0" w:color="auto"/>
        <w:bottom w:val="none" w:sz="0" w:space="0" w:color="auto"/>
        <w:right w:val="none" w:sz="0" w:space="0" w:color="auto"/>
      </w:divBdr>
    </w:div>
    <w:div w:id="2012218646">
      <w:bodyDiv w:val="1"/>
      <w:marLeft w:val="0"/>
      <w:marRight w:val="0"/>
      <w:marTop w:val="0"/>
      <w:marBottom w:val="0"/>
      <w:divBdr>
        <w:top w:val="none" w:sz="0" w:space="0" w:color="auto"/>
        <w:left w:val="none" w:sz="0" w:space="0" w:color="auto"/>
        <w:bottom w:val="none" w:sz="0" w:space="0" w:color="auto"/>
        <w:right w:val="none" w:sz="0" w:space="0" w:color="auto"/>
      </w:divBdr>
    </w:div>
    <w:div w:id="2033144123">
      <w:bodyDiv w:val="1"/>
      <w:marLeft w:val="0"/>
      <w:marRight w:val="0"/>
      <w:marTop w:val="0"/>
      <w:marBottom w:val="0"/>
      <w:divBdr>
        <w:top w:val="none" w:sz="0" w:space="0" w:color="auto"/>
        <w:left w:val="none" w:sz="0" w:space="0" w:color="auto"/>
        <w:bottom w:val="none" w:sz="0" w:space="0" w:color="auto"/>
        <w:right w:val="none" w:sz="0" w:space="0" w:color="auto"/>
      </w:divBdr>
    </w:div>
    <w:div w:id="2037538610">
      <w:bodyDiv w:val="1"/>
      <w:marLeft w:val="0"/>
      <w:marRight w:val="0"/>
      <w:marTop w:val="0"/>
      <w:marBottom w:val="0"/>
      <w:divBdr>
        <w:top w:val="none" w:sz="0" w:space="0" w:color="auto"/>
        <w:left w:val="none" w:sz="0" w:space="0" w:color="auto"/>
        <w:bottom w:val="none" w:sz="0" w:space="0" w:color="auto"/>
        <w:right w:val="none" w:sz="0" w:space="0" w:color="auto"/>
      </w:divBdr>
    </w:div>
    <w:div w:id="2049714952">
      <w:bodyDiv w:val="1"/>
      <w:marLeft w:val="0"/>
      <w:marRight w:val="0"/>
      <w:marTop w:val="0"/>
      <w:marBottom w:val="0"/>
      <w:divBdr>
        <w:top w:val="none" w:sz="0" w:space="0" w:color="auto"/>
        <w:left w:val="none" w:sz="0" w:space="0" w:color="auto"/>
        <w:bottom w:val="none" w:sz="0" w:space="0" w:color="auto"/>
        <w:right w:val="none" w:sz="0" w:space="0" w:color="auto"/>
      </w:divBdr>
    </w:div>
    <w:div w:id="2069567206">
      <w:bodyDiv w:val="1"/>
      <w:marLeft w:val="0"/>
      <w:marRight w:val="0"/>
      <w:marTop w:val="0"/>
      <w:marBottom w:val="0"/>
      <w:divBdr>
        <w:top w:val="none" w:sz="0" w:space="0" w:color="auto"/>
        <w:left w:val="none" w:sz="0" w:space="0" w:color="auto"/>
        <w:bottom w:val="none" w:sz="0" w:space="0" w:color="auto"/>
        <w:right w:val="none" w:sz="0" w:space="0" w:color="auto"/>
      </w:divBdr>
    </w:div>
    <w:div w:id="2094012354">
      <w:bodyDiv w:val="1"/>
      <w:marLeft w:val="0"/>
      <w:marRight w:val="0"/>
      <w:marTop w:val="0"/>
      <w:marBottom w:val="0"/>
      <w:divBdr>
        <w:top w:val="none" w:sz="0" w:space="0" w:color="auto"/>
        <w:left w:val="none" w:sz="0" w:space="0" w:color="auto"/>
        <w:bottom w:val="none" w:sz="0" w:space="0" w:color="auto"/>
        <w:right w:val="none" w:sz="0" w:space="0" w:color="auto"/>
      </w:divBdr>
    </w:div>
    <w:div w:id="2101872673">
      <w:bodyDiv w:val="1"/>
      <w:marLeft w:val="0"/>
      <w:marRight w:val="0"/>
      <w:marTop w:val="0"/>
      <w:marBottom w:val="0"/>
      <w:divBdr>
        <w:top w:val="none" w:sz="0" w:space="0" w:color="auto"/>
        <w:left w:val="none" w:sz="0" w:space="0" w:color="auto"/>
        <w:bottom w:val="none" w:sz="0" w:space="0" w:color="auto"/>
        <w:right w:val="none" w:sz="0" w:space="0" w:color="auto"/>
      </w:divBdr>
    </w:div>
    <w:div w:id="2103528561">
      <w:bodyDiv w:val="1"/>
      <w:marLeft w:val="0"/>
      <w:marRight w:val="0"/>
      <w:marTop w:val="0"/>
      <w:marBottom w:val="0"/>
      <w:divBdr>
        <w:top w:val="none" w:sz="0" w:space="0" w:color="auto"/>
        <w:left w:val="none" w:sz="0" w:space="0" w:color="auto"/>
        <w:bottom w:val="none" w:sz="0" w:space="0" w:color="auto"/>
        <w:right w:val="none" w:sz="0" w:space="0" w:color="auto"/>
      </w:divBdr>
    </w:div>
    <w:div w:id="2104916678">
      <w:bodyDiv w:val="1"/>
      <w:marLeft w:val="0"/>
      <w:marRight w:val="0"/>
      <w:marTop w:val="0"/>
      <w:marBottom w:val="0"/>
      <w:divBdr>
        <w:top w:val="none" w:sz="0" w:space="0" w:color="auto"/>
        <w:left w:val="none" w:sz="0" w:space="0" w:color="auto"/>
        <w:bottom w:val="none" w:sz="0" w:space="0" w:color="auto"/>
        <w:right w:val="none" w:sz="0" w:space="0" w:color="auto"/>
      </w:divBdr>
    </w:div>
    <w:div w:id="2130470133">
      <w:bodyDiv w:val="1"/>
      <w:marLeft w:val="0"/>
      <w:marRight w:val="0"/>
      <w:marTop w:val="0"/>
      <w:marBottom w:val="0"/>
      <w:divBdr>
        <w:top w:val="none" w:sz="0" w:space="0" w:color="auto"/>
        <w:left w:val="none" w:sz="0" w:space="0" w:color="auto"/>
        <w:bottom w:val="none" w:sz="0" w:space="0" w:color="auto"/>
        <w:right w:val="none" w:sz="0" w:space="0" w:color="auto"/>
      </w:divBdr>
    </w:div>
    <w:div w:id="2139181960">
      <w:bodyDiv w:val="1"/>
      <w:marLeft w:val="0"/>
      <w:marRight w:val="0"/>
      <w:marTop w:val="0"/>
      <w:marBottom w:val="0"/>
      <w:divBdr>
        <w:top w:val="none" w:sz="0" w:space="0" w:color="auto"/>
        <w:left w:val="none" w:sz="0" w:space="0" w:color="auto"/>
        <w:bottom w:val="none" w:sz="0" w:space="0" w:color="auto"/>
        <w:right w:val="none" w:sz="0" w:space="0" w:color="auto"/>
      </w:divBdr>
    </w:div>
    <w:div w:id="21429891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2667041023000083?via%3Dihub" TargetMode="External"/><Relationship Id="rId13" Type="http://schemas.openxmlformats.org/officeDocument/2006/relationships/hyperlink" Target="https://circulareconomy.europa.eu/platform/en" TargetMode="External"/><Relationship Id="rId3" Type="http://schemas.openxmlformats.org/officeDocument/2006/relationships/hyperlink" Target="https://single-market-economy.ec.europa.eu/industry/sustainability/buildings-and-construction_en" TargetMode="External"/><Relationship Id="rId7" Type="http://schemas.openxmlformats.org/officeDocument/2006/relationships/hyperlink" Target="https://ec.europa.eu/eurostat/web/circular-economy/monitoring-framework" TargetMode="External"/><Relationship Id="rId12" Type="http://schemas.openxmlformats.org/officeDocument/2006/relationships/hyperlink" Target="https://research-and-innovation.ec.europa.eu/research-area/environment/bioeconomy/european-bioeconomy-policy-forum_en" TargetMode="External"/><Relationship Id="rId2" Type="http://schemas.openxmlformats.org/officeDocument/2006/relationships/hyperlink" Target="https://www.tno.nl/en/sustainable/industry/sustainable-materials/circular-plastics/biopolymer-design" TargetMode="External"/><Relationship Id="rId16" Type="http://schemas.openxmlformats.org/officeDocument/2006/relationships/hyperlink" Target="https://publications.jrc.ec.europa.eu/repository/handle/JRC140285" TargetMode="External"/><Relationship Id="rId1" Type="http://schemas.openxmlformats.org/officeDocument/2006/relationships/hyperlink" Target="https://www.tno.nl/en/sustainable/industry/sustainable-materials/circular-plastics/biopolymer-design" TargetMode="External"/><Relationship Id="rId6" Type="http://schemas.openxmlformats.org/officeDocument/2006/relationships/hyperlink" Target="https://link.springer.com/article/10.1007/s10098-024-03023-6?utm" TargetMode="External"/><Relationship Id="rId11" Type="http://schemas.openxmlformats.org/officeDocument/2006/relationships/hyperlink" Target="https://atpsnet.org/wp-content/uploads/2021/10/Final-Summary-EAC-BIOECONOMY-STRATEGY.pdf" TargetMode="External"/><Relationship Id="rId5" Type="http://schemas.openxmlformats.org/officeDocument/2006/relationships/hyperlink" Target="https://link.springer.com/article/10.1007/s10098-024-03023-6?utm" TargetMode="External"/><Relationship Id="rId15" Type="http://schemas.openxmlformats.org/officeDocument/2006/relationships/hyperlink" Target="https://research-and-innovation.ec.europa.eu/research-area/environment/bioeconomy/bioeconomy-youth-ambassadors_en" TargetMode="External"/><Relationship Id="rId10" Type="http://schemas.openxmlformats.org/officeDocument/2006/relationships/hyperlink" Target="https://au.int/sites/default/files/documents/45336-doc-GIZ-AU_Continental_Circular_Action_V11.pdf" TargetMode="External"/><Relationship Id="rId4" Type="http://schemas.openxmlformats.org/officeDocument/2006/relationships/hyperlink" Target="https://bio-build.eu/" TargetMode="External"/><Relationship Id="rId9" Type="http://schemas.openxmlformats.org/officeDocument/2006/relationships/hyperlink" Target="https://www.sciencedirect.com/science/article/pii/S2667041023000083?via%3Dihub" TargetMode="External"/><Relationship Id="rId14" Type="http://schemas.openxmlformats.org/officeDocument/2006/relationships/hyperlink" Target="https://circulareconomy.europa.eu/platfor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EurolookProperties>
  <ProductCustomizationId>EC</ProductCustomizationId>
  <Created>
    <Version>10.0.47847.0</Version>
    <Date>2025-09-10T08:00:14</Date>
    <Language>EN</Language>
    <Note/>
  </Created>
  <Edited>
    <Version/>
    <Date/>
  </Edited>
  <DocumentModel>
    <Id>6cbda13a-4db2-46c6-876a-ef72275827ef</Id>
    <Name>Report</Name>
  </DocumentModel>
  <CustomTemplate>
    <Id/>
    <Name/>
  </CustomTemplate>
  <DocumentDate>2025-09-10T08:00:14</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WorkingGroup MetadataSerializationType="SimpleValue"/>
    <EC_SecurityDateMarkingEvent MetadataSerializationType="SimpleValue"/>
    <EC_SecurityDistributionDG MetadataSerializationType="SimpleValue"/>
    <EC_SecurityDateMarkingDate MetadataSerializationType="SimpleValue"/>
    <EC_SecurityMarking MetadataSerializationType="SimpleValue"/>
    <EC_SecurityDistributionSpecialHandling MetadataSerializationType="SimpleValue"/>
  </DocumentMetadata>
</EurolookProperties>
</file>

<file path=customXml/item3.xml><?xml version="1.0" encoding="utf-8"?>
<Author Role="Creator" AuthorRoleName="Writer" AuthorRoleDisplayName="Writer" AuthorRoleId="a4fbaff4-b07c-48b4-a21e-e7b9eedf3796">
  <Id>ef2f7686-9793-4f89-8175-ed60deaaeef0</Id>
  <Names>
    <Latin>
      <FirstName>Duncan</FirstName>
      <LastName>JOHNSTONE</LastName>
    </Latin>
    <Greek>
      <FirstName/>
      <LastName/>
    </Greek>
    <Cyrillic>
      <FirstName/>
      <LastName/>
    </Cyrillic>
    <DocumentScript>
      <FirstName>Duncan</FirstName>
      <LastName>JOHNSTONE</LastName>
      <FullName>Duncan JOHNSTONE</FullName>
    </DocumentScript>
  </Names>
  <Initials>DJ</Initials>
  <Gender>m</Gender>
  <Email>Duncan.JOHNSTONE@ec.europa.eu</Email>
  <Service>ENV.01</Service>
  <Function ADCode="87" ShowInSignature="true" ShowInHeader="false" HeaderText="">Senior Expert</Function>
  <WebAddress/>
  <FunctionalMailbox/>
  <InheritedWebAddress>WebAddress</InheritedWebAddress>
  <OrgaEntity1>
    <Id>3582fddc-c2e6-4f76-9feb-24293efccb2e</Id>
    <LogicalLevel>1</LogicalLevel>
    <Name>ENV</Name>
    <HeadLine1>DIRECTORATE-GENERAL</HeadLine1>
    <HeadLine2>ENVIRONMENT</HeadLine2>
    <PrimaryAddressId>f03b5801-04c9-4931-aa17-c6d6c70bc579</PrimaryAddressId>
    <SecondaryAddressId/>
    <WebAddress>WebAddress</WebAddress>
    <InheritedWebAddress>WebAddress</InheritedWebAddress>
    <ShowInHeader>true</ShowInHeader>
  </OrgaEntity1>
  <OrgaEntity2/>
  <OrgaEntity3>
    <Id>7c2472ed-9bdf-4153-9585-aaa5f4dd258e</Id>
    <LogicalLevel>3</LogicalLevel>
    <Name>ENV.01</Name>
    <HeadLine1>ENV.01 – Strategy, Digitalization, Better Regulation &amp; Economic Analysis</HeadLine1>
    <HeadLine2/>
    <PrimaryAddressId>f03b5801-04c9-4931-aa17-c6d6c70bc579</PrimaryAddressId>
    <SecondaryAddressId/>
    <WebAddress/>
    <InheritedWebAddress>WebAddress</InheritedWebAddress>
    <ShowInHeader>true</ShowInHeader>
  </OrgaEntity3>
  <Hierarchy>
    <OrgaEntity>
      <Id>3582fddc-c2e6-4f76-9feb-24293efccb2e</Id>
      <LogicalLevel>1</LogicalLevel>
      <Name>ENV</Name>
      <HeadLine1>DIRECTORATE-GENERAL</HeadLine1>
      <HeadLine2>ENVIRONMENT</HeadLine2>
      <PrimaryAddressId>f03b5801-04c9-4931-aa17-c6d6c70bc579</PrimaryAddressId>
      <SecondaryAddressId/>
      <WebAddress>WebAddress</WebAddress>
      <InheritedWebAddress>WebAddress</InheritedWebAddress>
      <ShowInHeader>true</ShowInHeader>
    </OrgaEntity>
    <OrgaEntity>
      <Id>7c2472ed-9bdf-4153-9585-aaa5f4dd258e</Id>
      <LogicalLevel>3</LogicalLevel>
      <Name>ENV.01</Name>
      <HeadLine1>ENV.01 – Strategy, Digitalization, Better Regulation &amp; Economic Analysis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+32 229-66702</Phone>
    <Office>BRE2 10/DCS</Office>
  </MainWorkplace>
  <Workplaces>
    <Workplace IsMain="true">
      <AddressId>f03b5801-04c9-4931-aa17-c6d6c70bc579</AddressId>
      <Fax/>
      <Phone>+32 229-66702</Phone>
      <Office>BRE2 10/DCS</Office>
    </Workplace>
  </Workplaces>
</Author>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7F88BF8D-338A-428D-BFDC-E685F7D131C1}">
  <ds:schemaRefs/>
</ds:datastoreItem>
</file>

<file path=customXml/itemProps4.xml><?xml version="1.0" encoding="utf-8"?>
<ds:datastoreItem xmlns:ds="http://schemas.openxmlformats.org/officeDocument/2006/customXml" ds:itemID="{353C2DC3-D1D6-418A-A8D5-59C9A2F9F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10598</Words>
  <Characters>60410</Characters>
  <Application>Microsoft Office Word</Application>
  <DocSecurity>0</DocSecurity>
  <PresentationFormat>Microsoft Word 14.0</PresentationFormat>
  <Lines>503</Lines>
  <Paragraphs>141</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70867</CharactersWithSpaces>
  <SharedDoc>false</SharedDoc>
  <HLinks>
    <vt:vector size="78" baseType="variant">
      <vt:variant>
        <vt:i4>720967</vt:i4>
      </vt:variant>
      <vt:variant>
        <vt:i4>39</vt:i4>
      </vt:variant>
      <vt:variant>
        <vt:i4>0</vt:i4>
      </vt:variant>
      <vt:variant>
        <vt:i4>5</vt:i4>
      </vt:variant>
      <vt:variant>
        <vt:lpwstr>https://publications.jrc.ec.europa.eu/repository/handle/JRC140285</vt:lpwstr>
      </vt:variant>
      <vt:variant>
        <vt:lpwstr/>
      </vt:variant>
      <vt:variant>
        <vt:i4>6684698</vt:i4>
      </vt:variant>
      <vt:variant>
        <vt:i4>36</vt:i4>
      </vt:variant>
      <vt:variant>
        <vt:i4>0</vt:i4>
      </vt:variant>
      <vt:variant>
        <vt:i4>5</vt:i4>
      </vt:variant>
      <vt:variant>
        <vt:lpwstr>https://research-and-innovation.ec.europa.eu/research-area/environment/bioeconomy/bioeconomy-youth-ambassadors_en</vt:lpwstr>
      </vt:variant>
      <vt:variant>
        <vt:lpwstr>:~:text=The%20EU%20Bioeconomy%20Youth%20Ambassador%20programme%20gives%20Europe%E2%80%99s,highlight%20the%20bioeconomy%E2%80%99s%20relevance%20in%20our%20daily%20life.</vt:lpwstr>
      </vt:variant>
      <vt:variant>
        <vt:i4>327759</vt:i4>
      </vt:variant>
      <vt:variant>
        <vt:i4>33</vt:i4>
      </vt:variant>
      <vt:variant>
        <vt:i4>0</vt:i4>
      </vt:variant>
      <vt:variant>
        <vt:i4>5</vt:i4>
      </vt:variant>
      <vt:variant>
        <vt:lpwstr>https://circulareconomy.europa.eu/platform/en</vt:lpwstr>
      </vt:variant>
      <vt:variant>
        <vt:lpwstr/>
      </vt:variant>
      <vt:variant>
        <vt:i4>4587641</vt:i4>
      </vt:variant>
      <vt:variant>
        <vt:i4>30</vt:i4>
      </vt:variant>
      <vt:variant>
        <vt:i4>0</vt:i4>
      </vt:variant>
      <vt:variant>
        <vt:i4>5</vt:i4>
      </vt:variant>
      <vt:variant>
        <vt:lpwstr>https://research-and-innovation.ec.europa.eu/research-area/environment/bioeconomy/european-bioeconomy-policy-forum_en</vt:lpwstr>
      </vt:variant>
      <vt:variant>
        <vt:lpwstr/>
      </vt:variant>
      <vt:variant>
        <vt:i4>4390923</vt:i4>
      </vt:variant>
      <vt:variant>
        <vt:i4>27</vt:i4>
      </vt:variant>
      <vt:variant>
        <vt:i4>0</vt:i4>
      </vt:variant>
      <vt:variant>
        <vt:i4>5</vt:i4>
      </vt:variant>
      <vt:variant>
        <vt:lpwstr>https://atpsnet.org/wp-content/uploads/2021/10/Final-Summary-EAC-BIOECONOMY-STRATEGY.pdf</vt:lpwstr>
      </vt:variant>
      <vt:variant>
        <vt:lpwstr/>
      </vt:variant>
      <vt:variant>
        <vt:i4>7995493</vt:i4>
      </vt:variant>
      <vt:variant>
        <vt:i4>24</vt:i4>
      </vt:variant>
      <vt:variant>
        <vt:i4>0</vt:i4>
      </vt:variant>
      <vt:variant>
        <vt:i4>5</vt:i4>
      </vt:variant>
      <vt:variant>
        <vt:lpwstr>https://au.int/sites/default/files/documents/45336-doc-GIZ-AU_Continental_Circular_Action_V11.pdf</vt:lpwstr>
      </vt:variant>
      <vt:variant>
        <vt:lpwstr/>
      </vt:variant>
      <vt:variant>
        <vt:i4>7340146</vt:i4>
      </vt:variant>
      <vt:variant>
        <vt:i4>21</vt:i4>
      </vt:variant>
      <vt:variant>
        <vt:i4>0</vt:i4>
      </vt:variant>
      <vt:variant>
        <vt:i4>5</vt:i4>
      </vt:variant>
      <vt:variant>
        <vt:lpwstr>https://www.sciencedirect.com/science/article/pii/S2667041023000083?via%3Dihub</vt:lpwstr>
      </vt:variant>
      <vt:variant>
        <vt:lpwstr/>
      </vt:variant>
      <vt:variant>
        <vt:i4>7995448</vt:i4>
      </vt:variant>
      <vt:variant>
        <vt:i4>18</vt:i4>
      </vt:variant>
      <vt:variant>
        <vt:i4>0</vt:i4>
      </vt:variant>
      <vt:variant>
        <vt:i4>5</vt:i4>
      </vt:variant>
      <vt:variant>
        <vt:lpwstr>https://ec.europa.eu/eurostat/web/circular-economy/monitoring-framework</vt:lpwstr>
      </vt:variant>
      <vt:variant>
        <vt:lpwstr/>
      </vt:variant>
      <vt:variant>
        <vt:i4>1114186</vt:i4>
      </vt:variant>
      <vt:variant>
        <vt:i4>15</vt:i4>
      </vt:variant>
      <vt:variant>
        <vt:i4>0</vt:i4>
      </vt:variant>
      <vt:variant>
        <vt:i4>5</vt:i4>
      </vt:variant>
      <vt:variant>
        <vt:lpwstr>https://link.springer.com/article/10.1007/s10098-024-03023-6?utm</vt:lpwstr>
      </vt:variant>
      <vt:variant>
        <vt:lpwstr/>
      </vt:variant>
      <vt:variant>
        <vt:i4>1507399</vt:i4>
      </vt:variant>
      <vt:variant>
        <vt:i4>12</vt:i4>
      </vt:variant>
      <vt:variant>
        <vt:i4>0</vt:i4>
      </vt:variant>
      <vt:variant>
        <vt:i4>5</vt:i4>
      </vt:variant>
      <vt:variant>
        <vt:lpwstr>https://bio-build.eu/</vt:lpwstr>
      </vt:variant>
      <vt:variant>
        <vt:lpwstr/>
      </vt:variant>
      <vt:variant>
        <vt:i4>4063326</vt:i4>
      </vt:variant>
      <vt:variant>
        <vt:i4>9</vt:i4>
      </vt:variant>
      <vt:variant>
        <vt:i4>0</vt:i4>
      </vt:variant>
      <vt:variant>
        <vt:i4>5</vt:i4>
      </vt:variant>
      <vt:variant>
        <vt:lpwstr>https://single-market-economy.ec.europa.eu/industry/sustainability/buildings-and-construction_en</vt:lpwstr>
      </vt:variant>
      <vt:variant>
        <vt:lpwstr/>
      </vt:variant>
      <vt:variant>
        <vt:i4>2031646</vt:i4>
      </vt:variant>
      <vt:variant>
        <vt:i4>6</vt:i4>
      </vt:variant>
      <vt:variant>
        <vt:i4>0</vt:i4>
      </vt:variant>
      <vt:variant>
        <vt:i4>5</vt:i4>
      </vt:variant>
      <vt:variant>
        <vt:lpwstr>https://www.tno.nl/en/sustainable/industry/sustainable-materials/circular-plastics/biopolymer-design</vt:lpwstr>
      </vt:variant>
      <vt:variant>
        <vt:lpwstr/>
      </vt:variant>
      <vt:variant>
        <vt:i4>2359415</vt:i4>
      </vt:variant>
      <vt:variant>
        <vt:i4>3</vt:i4>
      </vt:variant>
      <vt:variant>
        <vt:i4>0</vt:i4>
      </vt:variant>
      <vt:variant>
        <vt:i4>5</vt:i4>
      </vt:variant>
      <vt:variant>
        <vt:lpwstr>https://www.eea.europa.eu/en/analysis/publications/the-european-biomass-puzzle</vt:lpwstr>
      </vt:variant>
      <vt:variant>
        <vt:lpwstr>:~:text=This%20report%20looks%20at%20how%20biomass%20can%20help,the%20use%20of%20biomass%20for%20different%20policy%20objectives.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2025-11-25T16:52:00Z</dcterms:created>
  <dcterms:modified xsi:type="dcterms:W3CDTF">2025-12-15T10:31:00Z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9.2, Build 20250828</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CP-014</vt:lpwstr>
  </property>
  <property fmtid="{D5CDD505-2E9C-101B-9397-08002B2CF9AE}" pid="8" name="MSIP_Label_6bd9ddd1-4d20-43f6-abfa-fc3c07406f94_Enabled">
    <vt:lpwstr>true</vt:lpwstr>
  </property>
  <property fmtid="{D5CDD505-2E9C-101B-9397-08002B2CF9AE}" pid="9" name="MSIP_Label_6bd9ddd1-4d20-43f6-abfa-fc3c07406f94_SetDate">
    <vt:lpwstr>2025-11-22T16:16:07Z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fda0ec5a-fded-415a-8d0a-2ada67ba7dfa</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ies>
</file>