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D4795" w14:textId="59811F66" w:rsidR="00F41D00" w:rsidRPr="001C23C1" w:rsidRDefault="005E4FB5" w:rsidP="005E4FB5">
      <w:pPr>
        <w:pStyle w:val="Pagedecouverture"/>
        <w:rPr>
          <w:noProof/>
        </w:rPr>
      </w:pPr>
      <w:bookmarkStart w:id="0" w:name="LW_BM_COVERPAGE"/>
      <w:r>
        <w:rPr>
          <w:noProof/>
        </w:rPr>
        <w:pict w14:anchorId="45C4D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AFB088-D06F-4BF4-8A80-0049F05342F1" style="width:455.25pt;height:324pt">
            <v:imagedata r:id="rId11" o:title=""/>
          </v:shape>
        </w:pict>
      </w:r>
    </w:p>
    <w:bookmarkEnd w:id="0"/>
    <w:p w14:paraId="3857276D" w14:textId="77777777" w:rsidR="00F41D00" w:rsidRPr="001C23C1" w:rsidRDefault="00F41D00" w:rsidP="00195E5F">
      <w:pPr>
        <w:spacing w:after="120" w:line="240" w:lineRule="auto"/>
        <w:rPr>
          <w:rFonts w:ascii="Times New Roman" w:hAnsi="Times New Roman" w:cs="Times New Roman"/>
          <w:noProof/>
          <w:sz w:val="24"/>
          <w:szCs w:val="24"/>
        </w:rPr>
        <w:sectPr w:rsidR="00F41D00" w:rsidRPr="001C23C1" w:rsidSect="005E4FB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A2A2464" w14:textId="1D3BE5C4" w:rsidR="00DC0F63" w:rsidRPr="00553471" w:rsidRDefault="00195E5F" w:rsidP="00195E5F">
      <w:pPr>
        <w:pStyle w:val="Heading1"/>
        <w:spacing w:before="0" w:after="120" w:line="240" w:lineRule="auto"/>
        <w:jc w:val="both"/>
        <w:rPr>
          <w:rFonts w:ascii="Times New Roman" w:hAnsi="Times New Roman" w:cs="Times New Roman"/>
          <w:b/>
          <w:bCs/>
          <w:noProof/>
          <w:color w:val="auto"/>
          <w:sz w:val="28"/>
          <w:szCs w:val="28"/>
        </w:rPr>
      </w:pPr>
      <w:bookmarkStart w:id="1" w:name="_Toc187328522"/>
      <w:bookmarkStart w:id="2" w:name="_GoBack"/>
      <w:bookmarkEnd w:id="2"/>
      <w:r w:rsidRPr="00553471">
        <w:rPr>
          <w:rFonts w:ascii="Times New Roman" w:hAnsi="Times New Roman"/>
          <w:b/>
          <w:noProof/>
          <w:color w:val="auto"/>
          <w:sz w:val="28"/>
        </w:rPr>
        <w:lastRenderedPageBreak/>
        <w:t>INTRODUCERE</w:t>
      </w:r>
      <w:bookmarkEnd w:id="1"/>
    </w:p>
    <w:p w14:paraId="23229C4C" w14:textId="77777777" w:rsidR="00942CAF" w:rsidRPr="001C23C1" w:rsidRDefault="00942CAF" w:rsidP="009976C2">
      <w:pPr>
        <w:spacing w:after="120" w:line="240" w:lineRule="auto"/>
        <w:jc w:val="both"/>
        <w:rPr>
          <w:rFonts w:ascii="Times New Roman" w:hAnsi="Times New Roman" w:cs="Times New Roman"/>
          <w:noProof/>
          <w:sz w:val="24"/>
          <w:szCs w:val="24"/>
        </w:rPr>
      </w:pPr>
      <w:bookmarkStart w:id="3" w:name="_Hlk181871227"/>
    </w:p>
    <w:p w14:paraId="62429C8E" w14:textId="6C04855D"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Egalitatea între femei și bărbați este un drept fundamental și una dintre valorile pe care s-a întemeiat UE, fiind consacrată în legislația UE începând cu Tratatul de la Roma din </w:t>
      </w:r>
      <w:r w:rsidRPr="00553471">
        <w:rPr>
          <w:rFonts w:ascii="Times New Roman" w:hAnsi="Times New Roman"/>
          <w:noProof/>
          <w:sz w:val="24"/>
        </w:rPr>
        <w:t>1957</w:t>
      </w:r>
      <w:r>
        <w:rPr>
          <w:rFonts w:ascii="Times New Roman" w:hAnsi="Times New Roman"/>
          <w:noProof/>
          <w:sz w:val="24"/>
        </w:rPr>
        <w:t xml:space="preserve">. Uniunea Europeană este mândră că apără această valoare de bază și că a atins numeroase obiective importante în ceea ce privește drepturile femeilor și egalitatea de gen. În UE se află unele dintre societățile cele mai avansate în materie de egalitate de gen din lume, stabilind astfel un criteriu de referință mondial în ceea ce privește egalitatea și incluziunea. </w:t>
      </w:r>
    </w:p>
    <w:p w14:paraId="506F0CEC" w14:textId="26D25AF6" w:rsidR="00134A4E" w:rsidRPr="001C23C1" w:rsidRDefault="003C3EC5"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De-a lungul deceniilor de desfășurare a proiectului european, urmărirea egalității de gen a devenit o piatră de temelie a politicilor sociale și economice ale UE, vizând, printre altele, abordarea inegalităților de gen de pe piața forței de muncă, în materie de securitate socială, accesul la bunuri și servicii și remunerare</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În același timp, UE a promovat un echilibru mai bun între viața profesională și cea privată, reprezentarea egală a femeilor în procesul decizional al întreprinderilor, în rândurile antreprenorilor și în mediul de cercetare și a combătut violența împotriva femeilor</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De asemenea, UE a luat măsuri importante în direcția consolidării economiei serviciilor de îngrijire, promovând astfel participarea femeilor pe piața forței de muncă, prin sprijinirea accesului copiilor la educație și îngrijire timpurie de calitate și prin îmbunătățirea accesului la servicii de îngrijire pe termen lung, de înaltă calitate și la prețuri accesibile</w:t>
      </w:r>
      <w:r>
        <w:rPr>
          <w:rStyle w:val="FootnoteReference"/>
          <w:rFonts w:ascii="Times New Roman" w:hAnsi="Times New Roman" w:cs="Times New Roman"/>
          <w:noProof/>
          <w:sz w:val="24"/>
          <w:szCs w:val="24"/>
          <w:lang w:val="en-IE"/>
        </w:rPr>
        <w:footnoteReference w:id="4"/>
      </w:r>
      <w:r>
        <w:rPr>
          <w:rFonts w:ascii="Times New Roman" w:hAnsi="Times New Roman"/>
          <w:noProof/>
          <w:sz w:val="24"/>
        </w:rPr>
        <w:t>.</w:t>
      </w:r>
    </w:p>
    <w:p w14:paraId="307CEB8C" w14:textId="3E3DFAD9"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Strategia privind egalitatea de gen </w:t>
      </w:r>
      <w:r w:rsidRPr="00553471">
        <w:rPr>
          <w:rFonts w:ascii="Times New Roman" w:hAnsi="Times New Roman"/>
          <w:noProof/>
          <w:sz w:val="24"/>
        </w:rPr>
        <w:t>2020</w:t>
      </w:r>
      <w:r>
        <w:rPr>
          <w:rFonts w:ascii="Times New Roman" w:hAnsi="Times New Roman"/>
          <w:noProof/>
          <w:sz w:val="24"/>
        </w:rPr>
        <w:t>-</w:t>
      </w:r>
      <w:r w:rsidRPr="00553471">
        <w:rPr>
          <w:rFonts w:ascii="Times New Roman" w:hAnsi="Times New Roman"/>
          <w:noProof/>
          <w:sz w:val="24"/>
        </w:rPr>
        <w:t>2025</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xml:space="preserve">, care se încadrează în viziunea construirii unei Uniuni a egalității, în care toate femeile și fetele și toți bărbații și băieții să poată prospera, să poată ocupa funcții de conducere și să nu fie victime ale violenței, a pus în aplicare o serie de acțiuni esențiale de politică. Comisia și-a intensificat eforturile de integrare a perspectivei de gen prin intermediul Grupului operativ pentru egalitate, depunând eforturi pentru a integra considerentele de gen în toate domeniile de politică. </w:t>
      </w:r>
    </w:p>
    <w:p w14:paraId="43652C48" w14:textId="323B31C6"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același timp, UE și-a mobilizat influența la nivel mondial pentru a apăra drepturile femeilor, asigurându-se că aceste aspecte rămân parte integrantă a agendei globale de dezvoltare. UE s-a dovedit a fi o forță esențială în cadrul eforturilor globale de promovare a egalității de gen și al angajamentului de a promova societăți favorabile incluziunii și echitabile la nivel mondial. În concordanță cu angajamentele internaționale, UE a depus eforturi constante în vederea punerii în aplicare a obiectivelor de dezvoltare durabilă (ODD), în special a ODD </w:t>
      </w:r>
      <w:r w:rsidRPr="00553471">
        <w:rPr>
          <w:rFonts w:ascii="Times New Roman" w:hAnsi="Times New Roman"/>
          <w:noProof/>
          <w:sz w:val="24"/>
        </w:rPr>
        <w:t>5</w:t>
      </w:r>
      <w:r>
        <w:rPr>
          <w:rFonts w:ascii="Times New Roman" w:hAnsi="Times New Roman"/>
          <w:noProof/>
          <w:sz w:val="24"/>
        </w:rPr>
        <w:t xml:space="preserve"> privind realizarea egalității de gen și capacitarea tuturor femeilor și fetelor. </w:t>
      </w:r>
    </w:p>
    <w:p w14:paraId="1B609881" w14:textId="3584C7D6"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Indicele egalității de gen din </w:t>
      </w:r>
      <w:r w:rsidRPr="00553471">
        <w:rPr>
          <w:rFonts w:ascii="Times New Roman" w:hAnsi="Times New Roman"/>
          <w:noProof/>
          <w:sz w:val="24"/>
        </w:rPr>
        <w:t>2024</w:t>
      </w:r>
      <w:r>
        <w:rPr>
          <w:rFonts w:ascii="Times New Roman" w:hAnsi="Times New Roman" w:cs="Times New Roman"/>
          <w:noProof/>
          <w:sz w:val="24"/>
          <w:szCs w:val="24"/>
          <w:vertAlign w:val="superscript"/>
          <w:lang w:val="en-IE"/>
        </w:rPr>
        <w:footnoteReference w:id="6"/>
      </w:r>
      <w:r>
        <w:rPr>
          <w:rFonts w:ascii="Times New Roman" w:hAnsi="Times New Roman"/>
          <w:noProof/>
          <w:sz w:val="24"/>
        </w:rPr>
        <w:t xml:space="preserve">, potrivit căruia UE deține </w:t>
      </w:r>
      <w:r w:rsidRPr="00553471">
        <w:rPr>
          <w:rFonts w:ascii="Times New Roman" w:hAnsi="Times New Roman"/>
          <w:noProof/>
          <w:sz w:val="24"/>
        </w:rPr>
        <w:t>71</w:t>
      </w:r>
      <w:r>
        <w:rPr>
          <w:rFonts w:ascii="Times New Roman" w:hAnsi="Times New Roman"/>
          <w:noProof/>
          <w:sz w:val="24"/>
        </w:rPr>
        <w:t xml:space="preserve"> de puncte din </w:t>
      </w:r>
      <w:r w:rsidRPr="00553471">
        <w:rPr>
          <w:rFonts w:ascii="Times New Roman" w:hAnsi="Times New Roman"/>
          <w:noProof/>
          <w:sz w:val="24"/>
        </w:rPr>
        <w:t>100</w:t>
      </w:r>
      <w:r>
        <w:rPr>
          <w:rFonts w:ascii="Times New Roman" w:hAnsi="Times New Roman"/>
          <w:noProof/>
          <w:sz w:val="24"/>
        </w:rPr>
        <w:t xml:space="preserve"> (ceea ce reprezintă o îmbunătățire de </w:t>
      </w:r>
      <w:r w:rsidRPr="00553471">
        <w:rPr>
          <w:rFonts w:ascii="Times New Roman" w:hAnsi="Times New Roman"/>
          <w:noProof/>
          <w:sz w:val="24"/>
        </w:rPr>
        <w:t>7</w:t>
      </w:r>
      <w:r>
        <w:rPr>
          <w:rFonts w:ascii="Times New Roman" w:hAnsi="Times New Roman"/>
          <w:noProof/>
          <w:sz w:val="24"/>
        </w:rPr>
        <w:t>,</w:t>
      </w:r>
      <w:r w:rsidRPr="00553471">
        <w:rPr>
          <w:rFonts w:ascii="Times New Roman" w:hAnsi="Times New Roman"/>
          <w:noProof/>
          <w:sz w:val="24"/>
        </w:rPr>
        <w:t>9</w:t>
      </w:r>
      <w:r>
        <w:rPr>
          <w:rFonts w:ascii="Times New Roman" w:hAnsi="Times New Roman"/>
          <w:noProof/>
          <w:sz w:val="24"/>
        </w:rPr>
        <w:t xml:space="preserve"> puncte față de </w:t>
      </w:r>
      <w:r w:rsidRPr="00553471">
        <w:rPr>
          <w:rFonts w:ascii="Times New Roman" w:hAnsi="Times New Roman"/>
          <w:noProof/>
          <w:sz w:val="24"/>
        </w:rPr>
        <w:t>2010</w:t>
      </w:r>
      <w:r>
        <w:rPr>
          <w:rFonts w:ascii="Times New Roman" w:hAnsi="Times New Roman"/>
          <w:noProof/>
          <w:sz w:val="24"/>
        </w:rPr>
        <w:t xml:space="preserve">), arată că acțiunea contează și că UE înregistrează progrese constante, deși modeste, către o societate egalitară în materie de gen. </w:t>
      </w:r>
    </w:p>
    <w:p w14:paraId="63C7583D" w14:textId="5B8C36C5" w:rsidR="00942CAF" w:rsidRPr="001C23C1" w:rsidRDefault="00942CAF" w:rsidP="00942CA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Începutul noului mandat al Comisiei și prioritățile politice prezentate de președinta von der Leyen în Orientările sale politice pentru perioada </w:t>
      </w:r>
      <w:r w:rsidRPr="00553471">
        <w:rPr>
          <w:rFonts w:ascii="Times New Roman" w:hAnsi="Times New Roman"/>
          <w:noProof/>
          <w:sz w:val="24"/>
        </w:rPr>
        <w:t>2024</w:t>
      </w:r>
      <w:r>
        <w:rPr>
          <w:rFonts w:ascii="Times New Roman" w:hAnsi="Times New Roman"/>
          <w:noProof/>
          <w:sz w:val="24"/>
        </w:rPr>
        <w:t>-</w:t>
      </w:r>
      <w:r w:rsidRPr="00553471">
        <w:rPr>
          <w:rFonts w:ascii="Times New Roman" w:hAnsi="Times New Roman"/>
          <w:noProof/>
          <w:sz w:val="24"/>
        </w:rPr>
        <w:t>2029</w:t>
      </w:r>
      <w:r>
        <w:rPr>
          <w:rFonts w:ascii="Times New Roman" w:hAnsi="Times New Roman" w:cs="Times New Roman"/>
          <w:noProof/>
          <w:sz w:val="24"/>
          <w:szCs w:val="24"/>
          <w:vertAlign w:val="superscript"/>
          <w:lang w:val="en-IE"/>
        </w:rPr>
        <w:footnoteReference w:id="7"/>
      </w:r>
      <w:r>
        <w:rPr>
          <w:rFonts w:ascii="Times New Roman" w:hAnsi="Times New Roman"/>
          <w:noProof/>
          <w:sz w:val="24"/>
        </w:rPr>
        <w:t xml:space="preserve"> reprezintă o oportunitate de a reafirma valorile și angajamentul UE, precum și continuitatea în ceea ce privește promovarea drepturilor femeilor. Egalitatea de gen și drepturile femeilor asigură o justiție socială, democrații puternice, economii competitive solide și securitate pentru toți și contribuie la toate acestea; este vizat astfel potențialul populației în ansamblu și se aduc beneficii întregii societăți. </w:t>
      </w:r>
    </w:p>
    <w:p w14:paraId="56753864" w14:textId="6A51A184" w:rsidR="000C2D51" w:rsidRPr="001C23C1" w:rsidRDefault="000C2D51" w:rsidP="000C2D51">
      <w:pPr>
        <w:spacing w:after="120" w:line="240" w:lineRule="auto"/>
        <w:jc w:val="both"/>
        <w:rPr>
          <w:rFonts w:ascii="Times New Roman" w:hAnsi="Times New Roman" w:cs="Times New Roman"/>
          <w:noProof/>
          <w:sz w:val="24"/>
          <w:szCs w:val="24"/>
        </w:rPr>
      </w:pPr>
      <w:r>
        <w:rPr>
          <w:rFonts w:ascii="Times New Roman" w:hAnsi="Times New Roman"/>
          <w:noProof/>
          <w:sz w:val="24"/>
        </w:rPr>
        <w:t>În întreaga lume se pot observa tendințe îngrijorătoare în ceea ce privește drepturile femeilor, care pun sub semnul întrebării legislația existentă privind egalitatea de gen, iar discursul politic cade prea des pradă remarcilor sexiste și stereotipurilor de gen.</w:t>
      </w:r>
    </w:p>
    <w:p w14:paraId="13E12F48" w14:textId="658D32A2" w:rsidR="00390F0A" w:rsidRPr="001C23C1" w:rsidRDefault="00390F0A" w:rsidP="00390F0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Prin urmare, este imperios necesar să se reitereze, să se reafirme și să se consolideze angajamentul față de egalitatea de gen și drepturile femeilor. Declarația anexată la prezenta comunicare confirmă angajamentul ferm al Comisiei de a înregistra progrese în acest domeniu. Aceasta stabilește principii și obiective privind drepturile femeilor care vor orienta viitoarele strategii și acțiuni, în special Strategia privind egalitatea de gen pentru perioada de după </w:t>
      </w:r>
      <w:r w:rsidRPr="00553471">
        <w:rPr>
          <w:rFonts w:ascii="Times New Roman" w:hAnsi="Times New Roman"/>
          <w:noProof/>
          <w:sz w:val="24"/>
        </w:rPr>
        <w:t>2025</w:t>
      </w:r>
      <w:r>
        <w:rPr>
          <w:rFonts w:ascii="Times New Roman" w:hAnsi="Times New Roman"/>
          <w:noProof/>
          <w:sz w:val="24"/>
        </w:rPr>
        <w:t>. Declarația urmărește să impulsioneze și să direcționeze agenda politică privind egalitatea de gen pe termen mai lung, devenind cadrul director de politică al UE pentru îmbunătățirea egalității de gen în toate aspectele societății și ale economiei.</w:t>
      </w:r>
    </w:p>
    <w:p w14:paraId="2B2265FC" w14:textId="6D8FB411" w:rsidR="00942CAF" w:rsidRPr="001C23C1" w:rsidRDefault="00942CAF" w:rsidP="00942CAF">
      <w:pPr>
        <w:spacing w:after="120" w:line="240" w:lineRule="auto"/>
        <w:jc w:val="both"/>
        <w:rPr>
          <w:rFonts w:ascii="Times New Roman" w:hAnsi="Times New Roman" w:cs="Times New Roman"/>
          <w:iCs/>
          <w:noProof/>
          <w:sz w:val="24"/>
          <w:szCs w:val="24"/>
        </w:rPr>
      </w:pPr>
      <w:r>
        <w:rPr>
          <w:rFonts w:ascii="Times New Roman" w:hAnsi="Times New Roman"/>
          <w:noProof/>
          <w:sz w:val="24"/>
        </w:rPr>
        <w:t>Comisia invită alte instituții europene, în special Parlamentul European și Consiliul, precum și statele membre, partenerii sociali, organizațiile societății civile și alte părți interesate relevante să adere la acest angajament. Părțile interesate sunt invitate să colaboreze în vederea elaborării măsurilor care urmează să fie propuse la nivelul adecvat, inclusiv la nivelul UE și la nivel național, pentru a realiza principiile și obiectivele stabilite în prezenta foaie de parcurs.</w:t>
      </w:r>
    </w:p>
    <w:p w14:paraId="1759965F" w14:textId="1F7A1048" w:rsidR="00942CAF" w:rsidRPr="001C23C1" w:rsidRDefault="00942CAF" w:rsidP="00942CAF">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Cea de a </w:t>
      </w:r>
      <w:r w:rsidRPr="00553471">
        <w:rPr>
          <w:rFonts w:ascii="Times New Roman" w:hAnsi="Times New Roman"/>
          <w:noProof/>
          <w:sz w:val="24"/>
        </w:rPr>
        <w:t>30</w:t>
      </w:r>
      <w:r>
        <w:rPr>
          <w:rFonts w:ascii="Times New Roman" w:hAnsi="Times New Roman"/>
          <w:noProof/>
          <w:sz w:val="24"/>
        </w:rPr>
        <w:t xml:space="preserve">-a aniversare a Declarației </w:t>
      </w:r>
      <w:r w:rsidR="00187843">
        <w:rPr>
          <w:rFonts w:ascii="Times New Roman" w:hAnsi="Times New Roman"/>
          <w:noProof/>
          <w:sz w:val="24"/>
        </w:rPr>
        <w:t xml:space="preserve">de la Beijing </w:t>
      </w:r>
      <w:r>
        <w:rPr>
          <w:rFonts w:ascii="Times New Roman" w:hAnsi="Times New Roman"/>
          <w:noProof/>
          <w:sz w:val="24"/>
        </w:rPr>
        <w:t>și a Platformei de acțiune aferente</w:t>
      </w:r>
      <w:r>
        <w:rPr>
          <w:rStyle w:val="FootnoteReference"/>
          <w:rFonts w:ascii="Times New Roman" w:hAnsi="Times New Roman" w:cs="Times New Roman"/>
          <w:noProof/>
          <w:sz w:val="24"/>
          <w:szCs w:val="24"/>
          <w:lang w:val="en-IE"/>
        </w:rPr>
        <w:footnoteReference w:id="8"/>
      </w:r>
      <w:r>
        <w:rPr>
          <w:rFonts w:ascii="Times New Roman" w:hAnsi="Times New Roman"/>
          <w:noProof/>
          <w:sz w:val="24"/>
        </w:rPr>
        <w:t xml:space="preserve"> oferă UE ocazia de a-și reconfirma aderarea la acest cadru esențial. Egalitatea între femei și bărbați este o valoare fundamentală a UE și un angajament susținut de mult timp, aflându-se în centrul modului de viață european. </w:t>
      </w:r>
    </w:p>
    <w:bookmarkEnd w:id="3"/>
    <w:p w14:paraId="329A57EB" w14:textId="613C44E0" w:rsidR="008934AE" w:rsidRPr="00553471" w:rsidRDefault="00195E5F" w:rsidP="00DB0A9E">
      <w:pPr>
        <w:pStyle w:val="Heading1"/>
        <w:spacing w:after="120" w:line="240" w:lineRule="auto"/>
        <w:jc w:val="both"/>
        <w:rPr>
          <w:rFonts w:ascii="Times New Roman" w:hAnsi="Times New Roman" w:cs="Times New Roman"/>
          <w:b/>
          <w:bCs/>
          <w:noProof/>
          <w:color w:val="auto"/>
          <w:sz w:val="28"/>
          <w:szCs w:val="28"/>
        </w:rPr>
      </w:pPr>
      <w:r w:rsidRPr="00553471">
        <w:rPr>
          <w:rFonts w:ascii="Times New Roman" w:hAnsi="Times New Roman"/>
          <w:b/>
          <w:noProof/>
          <w:color w:val="auto"/>
          <w:sz w:val="28"/>
        </w:rPr>
        <w:t>EGALITATEA DE GEN: UN IMPERATIV PENTRU COMPETITIVITATE, DEMOCRAȚIE ȘI ECHITATE SOCIALĂ</w:t>
      </w:r>
    </w:p>
    <w:p w14:paraId="7E530251" w14:textId="5E54AEF0" w:rsidR="00ED0407" w:rsidRPr="001C23C1" w:rsidRDefault="005A595A" w:rsidP="00195E5F">
      <w:pPr>
        <w:spacing w:after="120" w:line="240" w:lineRule="auto"/>
        <w:jc w:val="both"/>
        <w:rPr>
          <w:rFonts w:ascii="Times New Roman" w:hAnsi="Times New Roman" w:cs="Times New Roman"/>
          <w:noProof/>
          <w:sz w:val="24"/>
          <w:szCs w:val="24"/>
        </w:rPr>
      </w:pPr>
      <w:bookmarkStart w:id="4" w:name="_Hlk185496468"/>
      <w:bookmarkStart w:id="5" w:name="_Hlk185496423"/>
      <w:r>
        <w:rPr>
          <w:rFonts w:ascii="Times New Roman" w:hAnsi="Times New Roman"/>
          <w:noProof/>
          <w:sz w:val="24"/>
        </w:rPr>
        <w:t>La baza unei Uniuni Europene puternice, a competitivității, a democrației și a echității sociale se află cetățenii europeni, femeile reprezentând jumătate din populația UE. Recunoașterea și valorificarea potențialului tuturor femeilor – lucrătoare, antreprenoare și lidere – sunt imperative pentru creșterea și stabilitatea UE. Consolidarea capacității de acțiune a femeilor pentru a le permite să participe pe deplin la forța de muncă și la procesele decizionale este un factor catalizator al creșterii economice, stimulând inovarea și îmbunătățind calitatea vieții pentru toți cetățenii.</w:t>
      </w:r>
    </w:p>
    <w:p w14:paraId="5B481AF7" w14:textId="4D504956" w:rsidR="003123EF" w:rsidRPr="001C23C1" w:rsidRDefault="00BE2F44" w:rsidP="00266E0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Previziunile arată că îmbunătățirea egalității de gen ar putea contribui la creșterea PIB-ului UE pe cap de locuitor cu </w:t>
      </w:r>
      <w:r w:rsidRPr="00553471">
        <w:rPr>
          <w:rFonts w:ascii="Times New Roman" w:hAnsi="Times New Roman"/>
          <w:noProof/>
          <w:sz w:val="24"/>
        </w:rPr>
        <w:t>6</w:t>
      </w:r>
      <w:r>
        <w:rPr>
          <w:rFonts w:ascii="Times New Roman" w:hAnsi="Times New Roman"/>
          <w:noProof/>
          <w:sz w:val="24"/>
        </w:rPr>
        <w:t>,</w:t>
      </w:r>
      <w:r w:rsidRPr="00553471">
        <w:rPr>
          <w:rFonts w:ascii="Times New Roman" w:hAnsi="Times New Roman"/>
          <w:noProof/>
          <w:sz w:val="24"/>
        </w:rPr>
        <w:t>1</w:t>
      </w:r>
      <w:r>
        <w:rPr>
          <w:rFonts w:ascii="Times New Roman" w:hAnsi="Times New Roman"/>
          <w:noProof/>
          <w:sz w:val="24"/>
        </w:rPr>
        <w:t xml:space="preserve"> % până la </w:t>
      </w:r>
      <w:r w:rsidRPr="00553471">
        <w:rPr>
          <w:rFonts w:ascii="Times New Roman" w:hAnsi="Times New Roman"/>
          <w:noProof/>
          <w:sz w:val="24"/>
        </w:rPr>
        <w:t>9</w:t>
      </w:r>
      <w:r>
        <w:rPr>
          <w:rFonts w:ascii="Times New Roman" w:hAnsi="Times New Roman"/>
          <w:noProof/>
          <w:sz w:val="24"/>
        </w:rPr>
        <w:t>,</w:t>
      </w:r>
      <w:r w:rsidRPr="00553471">
        <w:rPr>
          <w:rFonts w:ascii="Times New Roman" w:hAnsi="Times New Roman"/>
          <w:noProof/>
          <w:sz w:val="24"/>
        </w:rPr>
        <w:t>6</w:t>
      </w:r>
      <w:r>
        <w:rPr>
          <w:rFonts w:ascii="Times New Roman" w:hAnsi="Times New Roman"/>
          <w:noProof/>
          <w:sz w:val="24"/>
        </w:rPr>
        <w:t xml:space="preserve"> % până în </w:t>
      </w:r>
      <w:r w:rsidRPr="00553471">
        <w:rPr>
          <w:rFonts w:ascii="Times New Roman" w:hAnsi="Times New Roman"/>
          <w:noProof/>
          <w:sz w:val="24"/>
        </w:rPr>
        <w:t>2050</w:t>
      </w:r>
      <w:r>
        <w:rPr>
          <w:rFonts w:ascii="Times New Roman" w:hAnsi="Times New Roman"/>
          <w:noProof/>
          <w:sz w:val="24"/>
        </w:rPr>
        <w:t xml:space="preserve">, ceea ce ar corespunde unei sume remarcabile de </w:t>
      </w:r>
      <w:r w:rsidRPr="00553471">
        <w:rPr>
          <w:rFonts w:ascii="Times New Roman" w:hAnsi="Times New Roman"/>
          <w:noProof/>
          <w:sz w:val="24"/>
        </w:rPr>
        <w:t>1</w:t>
      </w:r>
      <w:r>
        <w:rPr>
          <w:rFonts w:ascii="Times New Roman" w:hAnsi="Times New Roman"/>
          <w:noProof/>
          <w:sz w:val="24"/>
        </w:rPr>
        <w:t>,</w:t>
      </w:r>
      <w:r w:rsidRPr="00553471">
        <w:rPr>
          <w:rFonts w:ascii="Times New Roman" w:hAnsi="Times New Roman"/>
          <w:noProof/>
          <w:sz w:val="24"/>
        </w:rPr>
        <w:t>95</w:t>
      </w:r>
      <w:r>
        <w:rPr>
          <w:rFonts w:ascii="Times New Roman" w:hAnsi="Times New Roman"/>
          <w:noProof/>
          <w:sz w:val="24"/>
        </w:rPr>
        <w:t xml:space="preserve"> până la </w:t>
      </w:r>
      <w:r w:rsidRPr="00553471">
        <w:rPr>
          <w:rFonts w:ascii="Times New Roman" w:hAnsi="Times New Roman"/>
          <w:noProof/>
          <w:sz w:val="24"/>
        </w:rPr>
        <w:t>3</w:t>
      </w:r>
      <w:r>
        <w:rPr>
          <w:rFonts w:ascii="Times New Roman" w:hAnsi="Times New Roman"/>
          <w:noProof/>
          <w:sz w:val="24"/>
        </w:rPr>
        <w:t>,</w:t>
      </w:r>
      <w:r w:rsidRPr="00553471">
        <w:rPr>
          <w:rFonts w:ascii="Times New Roman" w:hAnsi="Times New Roman"/>
          <w:noProof/>
          <w:sz w:val="24"/>
        </w:rPr>
        <w:t>15</w:t>
      </w:r>
      <w:r>
        <w:rPr>
          <w:rFonts w:ascii="Times New Roman" w:hAnsi="Times New Roman"/>
          <w:noProof/>
          <w:sz w:val="24"/>
        </w:rPr>
        <w:t xml:space="preserve"> mii de miliarde EUR</w:t>
      </w:r>
      <w:r>
        <w:rPr>
          <w:rStyle w:val="FootnoteReference"/>
          <w:rFonts w:ascii="Times New Roman" w:hAnsi="Times New Roman" w:cs="Times New Roman"/>
          <w:noProof/>
          <w:sz w:val="24"/>
          <w:szCs w:val="24"/>
          <w:lang w:val="en-IE"/>
        </w:rPr>
        <w:footnoteReference w:id="9"/>
      </w:r>
      <w:r>
        <w:rPr>
          <w:rFonts w:ascii="Times New Roman" w:hAnsi="Times New Roman"/>
          <w:noProof/>
          <w:sz w:val="24"/>
        </w:rPr>
        <w:t>. Astfel, promovarea drepturilor femeilor nu este doar un imperativ moral, ci și o investiție strategică în creșterea economică și competitivitatea UE.</w:t>
      </w:r>
    </w:p>
    <w:p w14:paraId="19B986AE" w14:textId="3A8764CB" w:rsidR="005F5E20" w:rsidRPr="001C23C1" w:rsidRDefault="005A3600" w:rsidP="00DA65B9">
      <w:pPr>
        <w:spacing w:after="120" w:line="240" w:lineRule="auto"/>
        <w:jc w:val="both"/>
        <w:rPr>
          <w:rFonts w:ascii="Times New Roman" w:hAnsi="Times New Roman" w:cs="Times New Roman"/>
          <w:noProof/>
          <w:sz w:val="24"/>
          <w:szCs w:val="24"/>
        </w:rPr>
      </w:pPr>
      <w:r>
        <w:rPr>
          <w:rFonts w:ascii="Times New Roman" w:hAnsi="Times New Roman"/>
          <w:noProof/>
          <w:sz w:val="24"/>
        </w:rPr>
        <w:t>Asigurarea participării depline, egale și semnificative a femeilor, precum și a reprezentării și prezenței acestora în funcții de conducere contribuie, de asemenea, la democrații mai stabile și mai reziliente. Democrațiile care promovează drepturile femeilor includ o gamă mai largă de perspective și de experiențe în procesele decizionale, conducând la politici mai cuprinzătoare și mai adaptate la nevoile tuturor cetățenilor. În domeniul corporativ, egalitatea de gen se traduce printr-un avantaj competitiv, întreprinderile prezentând profituri mai mari și performanțe mai bune pe piața bursieră atunci când femeile au roluri de conducere</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w:t>
      </w:r>
      <w:r>
        <w:rPr>
          <w:noProof/>
        </w:rPr>
        <w:t xml:space="preserve"> </w:t>
      </w:r>
    </w:p>
    <w:p w14:paraId="4B51FEF0" w14:textId="67864BD7" w:rsidR="00BD2E80" w:rsidRPr="001C23C1" w:rsidRDefault="00BD2E80" w:rsidP="00BD2E80">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Promovarea egalității de gen poate contribui la abordarea provocărilor presante, inclusiv a deficitului de forță de muncă, a tranziției demografice, a inegalităților și a sărăciei, a schimbărilor climatice, a amenințărilor hibride și a preocupărilor în materie de securitate. Se construiește astfel un viitor mai sănătos și mai prosper, societățile noastre devin totodată mai echitabile, mai democratice, mai stabile, mai sănătoase și mai coerente, iar economiile noastre, mai inovatoare și mai competitive pe scena mondială. </w:t>
      </w:r>
    </w:p>
    <w:p w14:paraId="71BD170B" w14:textId="126ABCE1" w:rsidR="004D08E8" w:rsidRPr="001C23C1" w:rsidRDefault="009E3834" w:rsidP="004D08E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Cu toate acestea, constatările Raportului din </w:t>
      </w:r>
      <w:r w:rsidRPr="00553471">
        <w:rPr>
          <w:rFonts w:ascii="Times New Roman" w:hAnsi="Times New Roman"/>
          <w:noProof/>
          <w:sz w:val="24"/>
        </w:rPr>
        <w:t>2024</w:t>
      </w:r>
      <w:r>
        <w:rPr>
          <w:rFonts w:ascii="Times New Roman" w:hAnsi="Times New Roman"/>
          <w:noProof/>
          <w:sz w:val="24"/>
        </w:rPr>
        <w:t xml:space="preserve"> privind egalitatea de gen în UE</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sunt clare: în pofida numeroaselor realizări obținute pentru promovarea egalității de gen și consolidarea treptată a cadrului de politică aferent al UE, există în continuare provocări semnificative în ceea ce privește violența, sănătatea, timpul, banii, munca, educația și cunoștințele, puterea și mecanismele instituționale, astfel cum o demonstrează indicele egalității de gen. În absența unor acțiuni consolidate, ar fi nevoie de încă </w:t>
      </w:r>
      <w:r w:rsidRPr="00553471">
        <w:rPr>
          <w:rFonts w:ascii="Times New Roman" w:hAnsi="Times New Roman"/>
          <w:noProof/>
          <w:sz w:val="24"/>
        </w:rPr>
        <w:t>60</w:t>
      </w:r>
      <w:r>
        <w:rPr>
          <w:rFonts w:ascii="Times New Roman" w:hAnsi="Times New Roman"/>
          <w:noProof/>
          <w:sz w:val="24"/>
        </w:rPr>
        <w:t xml:space="preserve"> ani pentru a ajunge la o egalitate de gen deplină în UE</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w:t>
      </w:r>
    </w:p>
    <w:p w14:paraId="1077B3F7" w14:textId="73C0AF0D" w:rsidR="00A02078" w:rsidRPr="001C23C1" w:rsidRDefault="00B21562" w:rsidP="00A02078">
      <w:pPr>
        <w:spacing w:after="120" w:line="240" w:lineRule="auto"/>
        <w:jc w:val="both"/>
        <w:rPr>
          <w:rFonts w:ascii="Times New Roman" w:hAnsi="Times New Roman" w:cs="Times New Roman"/>
          <w:noProof/>
          <w:sz w:val="24"/>
          <w:szCs w:val="24"/>
        </w:rPr>
      </w:pPr>
      <w:r>
        <w:rPr>
          <w:rFonts w:ascii="Times New Roman" w:hAnsi="Times New Roman"/>
          <w:noProof/>
          <w:sz w:val="24"/>
        </w:rPr>
        <w:t>În UE, una din trei femei s-a confruntat cu violență fizică și/sau sexuală, una din cinci femei a fost victima violenței fizice sau sexuale din partea partenerului lor sau a unei rude, iar una din opt femei s-a confruntat cu violență sexuală</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În același timp, femeile sunt vizate în mod deosebit de noile forme de violență specifice sferei digitale</w:t>
      </w:r>
      <w:r>
        <w:rPr>
          <w:rStyle w:val="FootnoteReference"/>
          <w:rFonts w:ascii="Times New Roman" w:hAnsi="Times New Roman" w:cs="Times New Roman"/>
          <w:noProof/>
          <w:sz w:val="24"/>
          <w:szCs w:val="24"/>
        </w:rPr>
        <w:footnoteReference w:id="14"/>
      </w:r>
      <w:r>
        <w:rPr>
          <w:rFonts w:ascii="Times New Roman" w:hAnsi="Times New Roman"/>
          <w:noProof/>
          <w:sz w:val="24"/>
        </w:rPr>
        <w:t>.</w:t>
      </w:r>
      <w:r w:rsidRPr="00553471">
        <w:rPr>
          <w:rFonts w:ascii="Times New Roman" w:hAnsi="Times New Roman"/>
          <w:b/>
          <w:i/>
          <w:noProof/>
          <w:sz w:val="24"/>
        </w:rPr>
        <w:t xml:space="preserve"> </w:t>
      </w:r>
      <w:r>
        <w:rPr>
          <w:rFonts w:ascii="Times New Roman" w:hAnsi="Times New Roman"/>
          <w:noProof/>
          <w:sz w:val="24"/>
        </w:rPr>
        <w:t xml:space="preserve">Costurile violenței împotriva femeilor în UE sunt estimate la </w:t>
      </w:r>
      <w:r w:rsidRPr="00553471">
        <w:rPr>
          <w:rFonts w:ascii="Times New Roman" w:hAnsi="Times New Roman"/>
          <w:noProof/>
          <w:sz w:val="24"/>
        </w:rPr>
        <w:t>289</w:t>
      </w:r>
      <w:r>
        <w:rPr>
          <w:rFonts w:ascii="Times New Roman" w:hAnsi="Times New Roman"/>
          <w:noProof/>
          <w:sz w:val="24"/>
        </w:rPr>
        <w:t xml:space="preserve"> de miliarde EUR pe an</w:t>
      </w:r>
      <w:r>
        <w:rPr>
          <w:rStyle w:val="FootnoteReference"/>
          <w:rFonts w:ascii="Times New Roman" w:hAnsi="Times New Roman" w:cs="Times New Roman"/>
          <w:noProof/>
          <w:sz w:val="24"/>
          <w:szCs w:val="24"/>
          <w:lang w:val="en-IE"/>
        </w:rPr>
        <w:footnoteReference w:id="15"/>
      </w:r>
      <w:r>
        <w:rPr>
          <w:rFonts w:ascii="Times New Roman" w:hAnsi="Times New Roman"/>
          <w:noProof/>
          <w:sz w:val="24"/>
        </w:rPr>
        <w:t>.</w:t>
      </w:r>
    </w:p>
    <w:p w14:paraId="712DC3F9" w14:textId="42086C00" w:rsidR="00A02078" w:rsidRPr="001C23C1" w:rsidRDefault="002C5747" w:rsidP="00E732EA">
      <w:pPr>
        <w:spacing w:after="120" w:line="240" w:lineRule="auto"/>
        <w:jc w:val="both"/>
        <w:rPr>
          <w:rFonts w:ascii="Times New Roman" w:hAnsi="Times New Roman" w:cs="Times New Roman"/>
          <w:noProof/>
          <w:sz w:val="24"/>
          <w:szCs w:val="24"/>
        </w:rPr>
      </w:pPr>
      <w:r>
        <w:rPr>
          <w:rFonts w:ascii="Times New Roman" w:hAnsi="Times New Roman"/>
          <w:noProof/>
          <w:sz w:val="24"/>
        </w:rPr>
        <w:t>În ceea ce privește aspectele de gen ale sănătății, femeile și bărbații se confruntă cu riscuri pentru sănătate și boli specifice genului</w:t>
      </w:r>
      <w:r>
        <w:rPr>
          <w:rStyle w:val="FootnoteReference"/>
          <w:rFonts w:ascii="Times New Roman" w:hAnsi="Times New Roman" w:cs="Times New Roman"/>
          <w:noProof/>
          <w:sz w:val="24"/>
          <w:szCs w:val="24"/>
        </w:rPr>
        <w:footnoteReference w:id="16"/>
      </w:r>
      <w:r>
        <w:rPr>
          <w:noProof/>
        </w:rPr>
        <w:t>.</w:t>
      </w:r>
      <w:r>
        <w:rPr>
          <w:rFonts w:ascii="Times New Roman" w:hAnsi="Times New Roman"/>
          <w:noProof/>
          <w:sz w:val="24"/>
        </w:rPr>
        <w:t xml:space="preserve"> Femeile din UE continuă, de asemenea, să se confrunte cu o lipsă de informații cuprinzătoare cu privire la serviciile și produsele de asistență medicală legate de sănătatea sexuală și reproductivă, atunci când există prevederi în acest sens în legislația națională, precum și cu o lipsă de accesibilitate la astfel de servicii și produse.</w:t>
      </w:r>
    </w:p>
    <w:p w14:paraId="2211B6D6" w14:textId="69AECB51" w:rsidR="00760B14" w:rsidRPr="001C23C1" w:rsidRDefault="00E4631C" w:rsidP="0084423B">
      <w:pPr>
        <w:spacing w:after="120" w:line="240" w:lineRule="auto"/>
        <w:jc w:val="both"/>
        <w:rPr>
          <w:rFonts w:ascii="Times New Roman" w:hAnsi="Times New Roman" w:cs="Times New Roman"/>
          <w:noProof/>
          <w:sz w:val="24"/>
          <w:szCs w:val="24"/>
        </w:rPr>
      </w:pPr>
      <w:r>
        <w:rPr>
          <w:rFonts w:ascii="Times New Roman" w:hAnsi="Times New Roman"/>
          <w:noProof/>
          <w:sz w:val="24"/>
        </w:rPr>
        <w:t>Deși diferențele de gen în ceea ce privește ocuparea forței de muncă și remunerarea se reduc (</w:t>
      </w:r>
      <w:r w:rsidRPr="00553471">
        <w:rPr>
          <w:rFonts w:ascii="Times New Roman" w:hAnsi="Times New Roman"/>
          <w:noProof/>
          <w:sz w:val="24"/>
        </w:rPr>
        <w:t>10</w:t>
      </w:r>
      <w:r>
        <w:rPr>
          <w:rFonts w:ascii="Times New Roman" w:hAnsi="Times New Roman"/>
          <w:noProof/>
          <w:sz w:val="24"/>
        </w:rPr>
        <w:t>,</w:t>
      </w:r>
      <w:r w:rsidRPr="00553471">
        <w:rPr>
          <w:rFonts w:ascii="Times New Roman" w:hAnsi="Times New Roman"/>
          <w:noProof/>
          <w:sz w:val="24"/>
        </w:rPr>
        <w:t>2</w:t>
      </w:r>
      <w:r w:rsidR="00553471">
        <w:rPr>
          <w:rFonts w:ascii="Times New Roman" w:hAnsi="Times New Roman"/>
          <w:noProof/>
          <w:sz w:val="24"/>
        </w:rPr>
        <w:t> </w:t>
      </w:r>
      <w:r>
        <w:rPr>
          <w:rFonts w:ascii="Times New Roman" w:hAnsi="Times New Roman"/>
          <w:noProof/>
          <w:sz w:val="24"/>
        </w:rPr>
        <w:t>puncte procentuale</w:t>
      </w:r>
      <w:r>
        <w:rPr>
          <w:rStyle w:val="FootnoteReference"/>
          <w:rFonts w:ascii="Times New Roman" w:hAnsi="Times New Roman" w:cs="Times New Roman"/>
          <w:noProof/>
          <w:sz w:val="24"/>
          <w:szCs w:val="24"/>
          <w:lang w:val="en-IE"/>
        </w:rPr>
        <w:footnoteReference w:id="17"/>
      </w:r>
      <w:r>
        <w:rPr>
          <w:rFonts w:ascii="Times New Roman" w:hAnsi="Times New Roman"/>
          <w:noProof/>
          <w:sz w:val="24"/>
        </w:rPr>
        <w:t xml:space="preserve"> și, respectiv, </w:t>
      </w:r>
      <w:r w:rsidRPr="00553471">
        <w:rPr>
          <w:rFonts w:ascii="Times New Roman" w:hAnsi="Times New Roman"/>
          <w:noProof/>
          <w:sz w:val="24"/>
        </w:rPr>
        <w:t>12</w:t>
      </w:r>
      <w:r>
        <w:rPr>
          <w:rFonts w:ascii="Times New Roman" w:hAnsi="Times New Roman"/>
          <w:noProof/>
          <w:sz w:val="24"/>
        </w:rPr>
        <w:t> %</w:t>
      </w:r>
      <w:r>
        <w:rPr>
          <w:rStyle w:val="FootnoteReference"/>
          <w:rFonts w:ascii="Times New Roman" w:hAnsi="Times New Roman" w:cs="Times New Roman"/>
          <w:noProof/>
          <w:sz w:val="24"/>
          <w:szCs w:val="24"/>
          <w:lang w:val="en-IE"/>
        </w:rPr>
        <w:footnoteReference w:id="18"/>
      </w:r>
      <w:r>
        <w:rPr>
          <w:rFonts w:ascii="Times New Roman" w:hAnsi="Times New Roman"/>
          <w:noProof/>
          <w:sz w:val="24"/>
        </w:rPr>
        <w:t xml:space="preserve">), progresele sunt lente și persistă bariere structurale, cum ar fi norme sociale discriminatorii. Progresele înregistrate de femei în domenii-cheie, cum ar fi educația (cu </w:t>
      </w:r>
      <w:r w:rsidRPr="00553471">
        <w:rPr>
          <w:rFonts w:ascii="Times New Roman" w:hAnsi="Times New Roman"/>
          <w:noProof/>
          <w:sz w:val="24"/>
        </w:rPr>
        <w:t>10</w:t>
      </w:r>
      <w:r>
        <w:rPr>
          <w:rFonts w:ascii="Times New Roman" w:hAnsi="Times New Roman"/>
          <w:noProof/>
          <w:sz w:val="24"/>
        </w:rPr>
        <w:t>,</w:t>
      </w:r>
      <w:r w:rsidRPr="00553471">
        <w:rPr>
          <w:rFonts w:ascii="Times New Roman" w:hAnsi="Times New Roman"/>
          <w:noProof/>
          <w:sz w:val="24"/>
        </w:rPr>
        <w:t>9</w:t>
      </w:r>
      <w:r>
        <w:rPr>
          <w:rFonts w:ascii="Times New Roman" w:hAnsi="Times New Roman"/>
          <w:noProof/>
          <w:sz w:val="24"/>
        </w:rPr>
        <w:t xml:space="preserve"> puncte procentuale mai multe femei decât bărbați au absolvit o formă de învățământ terțiar</w:t>
      </w:r>
      <w:r>
        <w:rPr>
          <w:rStyle w:val="FootnoteReference"/>
          <w:rFonts w:ascii="Times New Roman" w:hAnsi="Times New Roman" w:cs="Times New Roman"/>
          <w:noProof/>
          <w:sz w:val="24"/>
          <w:szCs w:val="24"/>
          <w:lang w:val="en-IE"/>
        </w:rPr>
        <w:footnoteReference w:id="19"/>
      </w:r>
      <w:r>
        <w:rPr>
          <w:rFonts w:ascii="Times New Roman" w:hAnsi="Times New Roman"/>
          <w:noProof/>
          <w:sz w:val="24"/>
        </w:rPr>
        <w:t>), nu se reflectă pe deplin în posturile ocupate de femei pe piața forței de muncă și în organismele și procesele decizionale. Femeile sunt suprareprezentate în locurile de muncă cu salarii mici și subevaluate (deși acestea sunt esențiale)</w:t>
      </w:r>
      <w:r>
        <w:rPr>
          <w:rStyle w:val="FootnoteReference"/>
          <w:rFonts w:ascii="Times New Roman" w:hAnsi="Times New Roman" w:cs="Times New Roman"/>
          <w:noProof/>
          <w:sz w:val="24"/>
          <w:szCs w:val="24"/>
          <w:lang w:val="en-IE"/>
        </w:rPr>
        <w:footnoteReference w:id="20"/>
      </w:r>
      <w:r>
        <w:rPr>
          <w:rFonts w:ascii="Times New Roman" w:hAnsi="Times New Roman"/>
          <w:noProof/>
          <w:sz w:val="24"/>
        </w:rPr>
        <w:t xml:space="preserve"> și se confruntă cu riscuri mai mari de amenințări și violență, care le limitează participarea la viața publică: femeile din UE ocupă doar </w:t>
      </w:r>
      <w:r w:rsidRPr="00553471">
        <w:rPr>
          <w:rFonts w:ascii="Times New Roman" w:hAnsi="Times New Roman"/>
          <w:noProof/>
          <w:sz w:val="24"/>
        </w:rPr>
        <w:t>33</w:t>
      </w:r>
      <w:r>
        <w:rPr>
          <w:rFonts w:ascii="Times New Roman" w:hAnsi="Times New Roman"/>
          <w:noProof/>
          <w:sz w:val="24"/>
        </w:rPr>
        <w:t> %</w:t>
      </w:r>
      <w:r>
        <w:rPr>
          <w:rStyle w:val="FootnoteReference"/>
          <w:rFonts w:ascii="Times New Roman" w:hAnsi="Times New Roman" w:cs="Times New Roman"/>
          <w:noProof/>
          <w:sz w:val="24"/>
          <w:szCs w:val="24"/>
          <w:lang w:val="en-IE"/>
        </w:rPr>
        <w:footnoteReference w:id="21"/>
      </w:r>
      <w:r>
        <w:rPr>
          <w:rFonts w:ascii="Times New Roman" w:hAnsi="Times New Roman"/>
          <w:noProof/>
          <w:sz w:val="24"/>
        </w:rPr>
        <w:t xml:space="preserve"> din locurile din parlament și </w:t>
      </w:r>
      <w:r w:rsidRPr="00553471">
        <w:rPr>
          <w:rFonts w:ascii="Times New Roman" w:hAnsi="Times New Roman"/>
          <w:noProof/>
          <w:sz w:val="24"/>
        </w:rPr>
        <w:t>34</w:t>
      </w:r>
      <w:r>
        <w:rPr>
          <w:rFonts w:ascii="Times New Roman" w:hAnsi="Times New Roman"/>
          <w:noProof/>
          <w:sz w:val="24"/>
        </w:rPr>
        <w:t>,</w:t>
      </w:r>
      <w:r w:rsidRPr="00553471">
        <w:rPr>
          <w:rFonts w:ascii="Times New Roman" w:hAnsi="Times New Roman"/>
          <w:noProof/>
          <w:sz w:val="24"/>
        </w:rPr>
        <w:t>8</w:t>
      </w:r>
      <w:r>
        <w:rPr>
          <w:rFonts w:ascii="Times New Roman" w:hAnsi="Times New Roman"/>
          <w:noProof/>
          <w:sz w:val="24"/>
        </w:rPr>
        <w:t xml:space="preserve"> % din posturile din administrația locală. Mai multe femei decât bărbați suferă de sărăcie la o vârstă înaintată, decalajul de pensii între femei și bărbați fiind de </w:t>
      </w:r>
      <w:r w:rsidRPr="00553471">
        <w:rPr>
          <w:rFonts w:ascii="Times New Roman" w:hAnsi="Times New Roman"/>
          <w:noProof/>
          <w:sz w:val="24"/>
        </w:rPr>
        <w:t>25</w:t>
      </w:r>
      <w:r>
        <w:rPr>
          <w:rFonts w:ascii="Times New Roman" w:hAnsi="Times New Roman"/>
          <w:noProof/>
          <w:sz w:val="24"/>
        </w:rPr>
        <w:t>,</w:t>
      </w:r>
      <w:r w:rsidRPr="00553471">
        <w:rPr>
          <w:rFonts w:ascii="Times New Roman" w:hAnsi="Times New Roman"/>
          <w:noProof/>
          <w:sz w:val="24"/>
        </w:rPr>
        <w:t>4</w:t>
      </w:r>
      <w:r>
        <w:rPr>
          <w:rFonts w:ascii="Times New Roman" w:hAnsi="Times New Roman"/>
          <w:noProof/>
          <w:sz w:val="24"/>
        </w:rPr>
        <w:t> %</w:t>
      </w:r>
      <w:r>
        <w:rPr>
          <w:rStyle w:val="FootnoteReference"/>
          <w:rFonts w:ascii="Times New Roman" w:hAnsi="Times New Roman" w:cs="Times New Roman"/>
          <w:noProof/>
          <w:sz w:val="24"/>
          <w:szCs w:val="24"/>
          <w:lang w:val="en-IE"/>
        </w:rPr>
        <w:footnoteReference w:id="22"/>
      </w:r>
      <w:r>
        <w:rPr>
          <w:rFonts w:ascii="Times New Roman" w:hAnsi="Times New Roman"/>
          <w:noProof/>
          <w:sz w:val="24"/>
        </w:rPr>
        <w:t xml:space="preserve">. </w:t>
      </w:r>
    </w:p>
    <w:p w14:paraId="01D59A84" w14:textId="221D4707" w:rsidR="005B38D4" w:rsidRPr="001C23C1" w:rsidRDefault="00E4631C" w:rsidP="00760B14">
      <w:pPr>
        <w:spacing w:after="120" w:line="240" w:lineRule="auto"/>
        <w:jc w:val="both"/>
        <w:rPr>
          <w:rFonts w:ascii="Times New Roman" w:hAnsi="Times New Roman" w:cs="Times New Roman"/>
          <w:noProof/>
          <w:sz w:val="24"/>
          <w:szCs w:val="24"/>
        </w:rPr>
      </w:pPr>
      <w:r>
        <w:rPr>
          <w:rFonts w:ascii="Times New Roman" w:hAnsi="Times New Roman"/>
          <w:noProof/>
          <w:sz w:val="24"/>
        </w:rPr>
        <w:t>Femeile din UE au în continuare mai puțin timp, în medie, decât bărbații, deoarece își asumă o parte disproporționată a sarcinilor casnice și a responsabilităților de îngrijire. Acest lucru este exacerbat de gradul scăzut de utilizare a concediilor din motive familiale de către tați, de flexibilitatea limitată la locul de muncă și de dificultatea de a avea acces la servicii de îngrijire de calitate.</w:t>
      </w:r>
    </w:p>
    <w:p w14:paraId="50FAA6AA" w14:textId="297AB880" w:rsidR="0084423B" w:rsidRPr="001C23C1" w:rsidRDefault="00E4631C" w:rsidP="00760B14">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Segregarea de gen în materie de educație și formare în UE este evidentă prin subreprezentarea femeilor în domeniile științei, tehnologiei, ingineriei și matematicii și prin subreprezentarea bărbaților în sectoare precum educația, sănătatea și bunăstarea. Femeile reprezintă doar </w:t>
      </w:r>
      <w:r w:rsidRPr="00553471">
        <w:rPr>
          <w:rFonts w:ascii="Times New Roman" w:hAnsi="Times New Roman"/>
          <w:noProof/>
          <w:sz w:val="24"/>
        </w:rPr>
        <w:t>19</w:t>
      </w:r>
      <w:r>
        <w:rPr>
          <w:rFonts w:ascii="Times New Roman" w:hAnsi="Times New Roman"/>
          <w:noProof/>
          <w:sz w:val="24"/>
        </w:rPr>
        <w:t>,</w:t>
      </w:r>
      <w:r w:rsidRPr="00553471">
        <w:rPr>
          <w:rFonts w:ascii="Times New Roman" w:hAnsi="Times New Roman"/>
          <w:noProof/>
          <w:sz w:val="24"/>
        </w:rPr>
        <w:t>4</w:t>
      </w:r>
      <w:r>
        <w:rPr>
          <w:rFonts w:ascii="Times New Roman" w:hAnsi="Times New Roman"/>
          <w:noProof/>
          <w:sz w:val="24"/>
        </w:rPr>
        <w:t> % din specialiștii în domeniul TIC</w:t>
      </w:r>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iar bărbații reprezintă doar aproximativ </w:t>
      </w:r>
      <w:r w:rsidRPr="00553471">
        <w:rPr>
          <w:rFonts w:ascii="Times New Roman" w:hAnsi="Times New Roman"/>
          <w:noProof/>
          <w:sz w:val="24"/>
        </w:rPr>
        <w:t>15</w:t>
      </w:r>
      <w:r>
        <w:rPr>
          <w:rFonts w:ascii="Times New Roman" w:hAnsi="Times New Roman"/>
          <w:noProof/>
          <w:sz w:val="24"/>
        </w:rPr>
        <w:t> % din cadrele didactice din învățământul primar</w:t>
      </w:r>
      <w:r>
        <w:rPr>
          <w:rStyle w:val="FootnoteReference"/>
          <w:rFonts w:ascii="Times New Roman" w:hAnsi="Times New Roman" w:cs="Times New Roman"/>
          <w:noProof/>
          <w:sz w:val="24"/>
          <w:szCs w:val="24"/>
          <w:lang w:val="en-IE"/>
        </w:rPr>
        <w:footnoteReference w:id="24"/>
      </w:r>
      <w:r>
        <w:rPr>
          <w:rFonts w:ascii="Times New Roman" w:hAnsi="Times New Roman"/>
          <w:noProof/>
          <w:sz w:val="24"/>
        </w:rPr>
        <w:t xml:space="preserve">. </w:t>
      </w:r>
    </w:p>
    <w:p w14:paraId="4AC38237" w14:textId="77DEF3D9" w:rsidR="002F2ED6" w:rsidRPr="001C23C1" w:rsidRDefault="004256A0" w:rsidP="004E0FE5">
      <w:pPr>
        <w:spacing w:after="120" w:line="240" w:lineRule="auto"/>
        <w:jc w:val="both"/>
        <w:rPr>
          <w:rFonts w:ascii="Times New Roman" w:hAnsi="Times New Roman" w:cs="Times New Roman"/>
          <w:noProof/>
          <w:sz w:val="24"/>
          <w:szCs w:val="24"/>
        </w:rPr>
      </w:pPr>
      <w:r>
        <w:rPr>
          <w:rFonts w:ascii="Times New Roman" w:hAnsi="Times New Roman"/>
          <w:noProof/>
          <w:sz w:val="24"/>
        </w:rPr>
        <w:t>În plus, crizele recente, cum ar fi pandemia de COVID-</w:t>
      </w:r>
      <w:r w:rsidRPr="00553471">
        <w:rPr>
          <w:rFonts w:ascii="Times New Roman" w:hAnsi="Times New Roman"/>
          <w:noProof/>
          <w:sz w:val="24"/>
        </w:rPr>
        <w:t>19</w:t>
      </w:r>
      <w:r>
        <w:rPr>
          <w:rFonts w:ascii="Times New Roman" w:hAnsi="Times New Roman"/>
          <w:noProof/>
          <w:sz w:val="24"/>
        </w:rPr>
        <w:t xml:space="preserve">, războiul din vecinătatea UE și creșterea costurilor energiei au avut efecte negative asupra femeilor. Acest lucru se explică prin faptul că femeile au adesea venituri mai mici, sunt mai susceptibile de a fi părinte singur, își asumă într-o măsură mai mare responsabilitatea pentru gospodărie și îngrijire decât bărbații și sunt mai expuse violenței bazate pe gen și violenței domestice. </w:t>
      </w:r>
    </w:p>
    <w:p w14:paraId="46EB4A91" w14:textId="17FEB19A" w:rsidR="002F2ED6" w:rsidRPr="001C23C1" w:rsidRDefault="002F2ED6" w:rsidP="004E0FE5">
      <w:pPr>
        <w:spacing w:after="120" w:line="240" w:lineRule="auto"/>
        <w:jc w:val="both"/>
        <w:rPr>
          <w:rFonts w:ascii="Times New Roman" w:hAnsi="Times New Roman" w:cs="Times New Roman"/>
          <w:noProof/>
          <w:sz w:val="24"/>
          <w:szCs w:val="24"/>
        </w:rPr>
      </w:pPr>
      <w:r>
        <w:rPr>
          <w:rFonts w:ascii="Times New Roman" w:hAnsi="Times New Roman"/>
          <w:noProof/>
          <w:sz w:val="24"/>
        </w:rPr>
        <w:t>Aceste provocări necesită o atenție și un angajament continuu față de acțiunile privind egalitatea de gen, la toate nivelurile, din partea tuturor actorilor relevanți, în întreaga Uniune și în afara acesteia.</w:t>
      </w:r>
    </w:p>
    <w:p w14:paraId="4B7F7235" w14:textId="25F28173" w:rsidR="005F5E20" w:rsidRPr="00553471" w:rsidRDefault="00195E5F" w:rsidP="00DB0A9E">
      <w:pPr>
        <w:pStyle w:val="Heading1"/>
        <w:spacing w:after="120" w:line="240" w:lineRule="auto"/>
        <w:jc w:val="both"/>
        <w:rPr>
          <w:rFonts w:ascii="Times New Roman" w:hAnsi="Times New Roman" w:cs="Times New Roman"/>
          <w:b/>
          <w:bCs/>
          <w:noProof/>
          <w:color w:val="auto"/>
          <w:sz w:val="28"/>
          <w:szCs w:val="28"/>
        </w:rPr>
      </w:pPr>
      <w:r w:rsidRPr="00553471">
        <w:rPr>
          <w:rFonts w:ascii="Times New Roman" w:hAnsi="Times New Roman"/>
          <w:b/>
          <w:noProof/>
          <w:color w:val="auto"/>
          <w:sz w:val="28"/>
        </w:rPr>
        <w:t>FOAIE DE PARCURS PRIVIND DREPTURILE FEMEILOR: UN ANGAJAMENT PENTRU O MAI MARE EGALITATE DE GEN</w:t>
      </w:r>
    </w:p>
    <w:p w14:paraId="604FFEA8" w14:textId="64AF4C9F" w:rsidR="008306C4" w:rsidRPr="00553471" w:rsidRDefault="003B2CB4" w:rsidP="00DA65B9">
      <w:pPr>
        <w:spacing w:after="120" w:line="240" w:lineRule="auto"/>
        <w:jc w:val="both"/>
        <w:rPr>
          <w:rFonts w:ascii="Times New Roman" w:hAnsi="Times New Roman" w:cs="Times New Roman"/>
          <w:i/>
          <w:iCs/>
          <w:noProof/>
          <w:sz w:val="24"/>
          <w:szCs w:val="24"/>
        </w:rPr>
      </w:pPr>
      <w:r>
        <w:rPr>
          <w:rFonts w:ascii="Times New Roman" w:hAnsi="Times New Roman"/>
          <w:noProof/>
          <w:sz w:val="24"/>
        </w:rPr>
        <w:t>Foaia de parcurs anexată la prezenta comunicare are ambiția de a stimula eforturile viitoare pentru a se asigura că drepturile femeilor și egalitatea de gen se află în centrul politicilor și al acțiunilor UE. Aceasta ia în considerare ceea ce s-a realizat deja în ceea ce privește egalitatea de gen și anticipează provocările din următorii ani. Foaia de parcurs reafirmă necesitatea unei abordări duale: integrarea perspectivei de gen în toate politicile, pe de o parte, și prevenirea și eliminarea inegalităților de gen, pe de altă parte. Aceasta reflectă contribuțiile primite în cursul elaborării sale, inclusiv din partea statelor membre, a partenerilor sociali, a societății civile și a organizațiilor internaționale.</w:t>
      </w:r>
    </w:p>
    <w:p w14:paraId="03287543" w14:textId="7EA26E07" w:rsidR="00791AE0" w:rsidRPr="001C23C1" w:rsidRDefault="008306C4"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Foaia de parcurs se bazează pe drepturile și valorile fundamentale, </w:t>
      </w:r>
      <w:bookmarkStart w:id="8" w:name="_Hlk188552062"/>
      <w:r>
        <w:rPr>
          <w:rFonts w:ascii="Times New Roman" w:hAnsi="Times New Roman"/>
          <w:noProof/>
          <w:sz w:val="24"/>
        </w:rPr>
        <w:t xml:space="preserve">care fie sunt deja prevăzute în tratatele și legislația UE, fie pot necesita acțiuni suplimentare la nivelul competent pentru a fi pe deplin operaționale. </w:t>
      </w:r>
      <w:bookmarkEnd w:id="8"/>
      <w:r>
        <w:rPr>
          <w:rFonts w:ascii="Times New Roman" w:hAnsi="Times New Roman"/>
          <w:noProof/>
          <w:sz w:val="24"/>
        </w:rPr>
        <w:t>Prin urmare, foaia de parcurs trebuie interpretată în coroborare cu actele și instrumentele juridice existente ale UE și nu aduce atingere acestora. Punerea în aplicare efectivă a legislației adoptate recent va fi esențială pentru ca principiile și obiectivele foii de parcurs să devină realitate.</w:t>
      </w:r>
    </w:p>
    <w:p w14:paraId="18664CD1" w14:textId="29AC0B21" w:rsidR="002248D8" w:rsidRPr="001C23C1" w:rsidRDefault="001F3FB1" w:rsidP="002771E2">
      <w:pPr>
        <w:spacing w:after="120" w:line="240" w:lineRule="auto"/>
        <w:jc w:val="both"/>
        <w:rPr>
          <w:rFonts w:ascii="Times New Roman" w:hAnsi="Times New Roman" w:cs="Times New Roman"/>
          <w:noProof/>
          <w:sz w:val="24"/>
          <w:szCs w:val="24"/>
        </w:rPr>
      </w:pPr>
      <w:r>
        <w:rPr>
          <w:rFonts w:ascii="Times New Roman" w:hAnsi="Times New Roman"/>
          <w:noProof/>
          <w:sz w:val="24"/>
        </w:rPr>
        <w:t>Foaia de parcurs stabilește obiective de politică pe termen lung pentru susținerea și promovarea următoarelor principii-cheie ale drepturilor femeilor și ale egalității de gen: (</w:t>
      </w:r>
      <w:r w:rsidRPr="00553471">
        <w:rPr>
          <w:rFonts w:ascii="Times New Roman" w:hAnsi="Times New Roman"/>
          <w:noProof/>
          <w:sz w:val="24"/>
        </w:rPr>
        <w:t>1</w:t>
      </w:r>
      <w:r>
        <w:rPr>
          <w:rFonts w:ascii="Times New Roman" w:hAnsi="Times New Roman"/>
          <w:noProof/>
          <w:sz w:val="24"/>
        </w:rPr>
        <w:t xml:space="preserve">) </w:t>
      </w:r>
      <w:r w:rsidR="00D87BB4">
        <w:rPr>
          <w:rFonts w:ascii="Times New Roman" w:hAnsi="Times New Roman"/>
          <w:noProof/>
          <w:sz w:val="24"/>
        </w:rPr>
        <w:t>eliminarea</w:t>
      </w:r>
      <w:r>
        <w:rPr>
          <w:rFonts w:ascii="Times New Roman" w:hAnsi="Times New Roman"/>
          <w:noProof/>
          <w:sz w:val="24"/>
        </w:rPr>
        <w:t xml:space="preserve"> violenței </w:t>
      </w:r>
      <w:r w:rsidR="00D87BB4">
        <w:rPr>
          <w:rFonts w:ascii="Times New Roman" w:hAnsi="Times New Roman"/>
          <w:noProof/>
          <w:sz w:val="24"/>
        </w:rPr>
        <w:t>bazate pe</w:t>
      </w:r>
      <w:r>
        <w:rPr>
          <w:rFonts w:ascii="Times New Roman" w:hAnsi="Times New Roman"/>
          <w:noProof/>
          <w:sz w:val="24"/>
        </w:rPr>
        <w:t xml:space="preserve"> gen; (</w:t>
      </w:r>
      <w:r w:rsidRPr="00553471">
        <w:rPr>
          <w:rFonts w:ascii="Times New Roman" w:hAnsi="Times New Roman"/>
          <w:noProof/>
          <w:sz w:val="24"/>
        </w:rPr>
        <w:t>2</w:t>
      </w:r>
      <w:r>
        <w:rPr>
          <w:rFonts w:ascii="Times New Roman" w:hAnsi="Times New Roman"/>
          <w:noProof/>
          <w:sz w:val="24"/>
        </w:rPr>
        <w:t>) cele mai înalte standarde de sănătate; (</w:t>
      </w:r>
      <w:r w:rsidRPr="00553471">
        <w:rPr>
          <w:rFonts w:ascii="Times New Roman" w:hAnsi="Times New Roman"/>
          <w:noProof/>
          <w:sz w:val="24"/>
        </w:rPr>
        <w:t>3</w:t>
      </w:r>
      <w:r>
        <w:rPr>
          <w:rFonts w:ascii="Times New Roman" w:hAnsi="Times New Roman"/>
          <w:noProof/>
          <w:sz w:val="24"/>
        </w:rPr>
        <w:t>) egalitatea de remunerare și autonomizarea economică; (</w:t>
      </w:r>
      <w:r w:rsidRPr="00553471">
        <w:rPr>
          <w:rFonts w:ascii="Times New Roman" w:hAnsi="Times New Roman"/>
          <w:noProof/>
          <w:sz w:val="24"/>
        </w:rPr>
        <w:t>4</w:t>
      </w:r>
      <w:r>
        <w:rPr>
          <w:rFonts w:ascii="Times New Roman" w:hAnsi="Times New Roman"/>
          <w:noProof/>
          <w:sz w:val="24"/>
        </w:rPr>
        <w:t>) echilibrul dintre viața profesională și cea privată și responsabilitățile de îngrijire; (</w:t>
      </w:r>
      <w:r w:rsidRPr="00553471">
        <w:rPr>
          <w:rFonts w:ascii="Times New Roman" w:hAnsi="Times New Roman"/>
          <w:noProof/>
          <w:sz w:val="24"/>
        </w:rPr>
        <w:t>5</w:t>
      </w:r>
      <w:r>
        <w:rPr>
          <w:rFonts w:ascii="Times New Roman" w:hAnsi="Times New Roman"/>
          <w:noProof/>
          <w:sz w:val="24"/>
        </w:rPr>
        <w:t>) șanse egale de angajare și condiții de muncă adecvate; (</w:t>
      </w:r>
      <w:r w:rsidRPr="00553471">
        <w:rPr>
          <w:rFonts w:ascii="Times New Roman" w:hAnsi="Times New Roman"/>
          <w:noProof/>
          <w:sz w:val="24"/>
        </w:rPr>
        <w:t>6</w:t>
      </w:r>
      <w:r>
        <w:rPr>
          <w:rFonts w:ascii="Times New Roman" w:hAnsi="Times New Roman"/>
          <w:noProof/>
          <w:sz w:val="24"/>
        </w:rPr>
        <w:t>) o educație de calitate și favorabilă incluziunii; (</w:t>
      </w:r>
      <w:r w:rsidRPr="00553471">
        <w:rPr>
          <w:rFonts w:ascii="Times New Roman" w:hAnsi="Times New Roman"/>
          <w:noProof/>
          <w:sz w:val="24"/>
        </w:rPr>
        <w:t>7</w:t>
      </w:r>
      <w:r>
        <w:rPr>
          <w:rFonts w:ascii="Times New Roman" w:hAnsi="Times New Roman"/>
          <w:noProof/>
          <w:sz w:val="24"/>
        </w:rPr>
        <w:t>) participarea politică și reprezentarea egală; (</w:t>
      </w:r>
      <w:r w:rsidRPr="00553471">
        <w:rPr>
          <w:rFonts w:ascii="Times New Roman" w:hAnsi="Times New Roman"/>
          <w:noProof/>
          <w:sz w:val="24"/>
        </w:rPr>
        <w:t>8</w:t>
      </w:r>
      <w:r>
        <w:rPr>
          <w:rFonts w:ascii="Times New Roman" w:hAnsi="Times New Roman"/>
          <w:noProof/>
          <w:sz w:val="24"/>
        </w:rPr>
        <w:t>)</w:t>
      </w:r>
      <w:r w:rsidR="00553471">
        <w:rPr>
          <w:rFonts w:ascii="Times New Roman" w:hAnsi="Times New Roman"/>
          <w:noProof/>
          <w:sz w:val="24"/>
        </w:rPr>
        <w:t> </w:t>
      </w:r>
      <w:r>
        <w:rPr>
          <w:rFonts w:ascii="Times New Roman" w:hAnsi="Times New Roman"/>
          <w:noProof/>
          <w:sz w:val="24"/>
        </w:rPr>
        <w:t>mecanisme instituționale care să asigure respectarea drepturilor femeilor.</w:t>
      </w:r>
    </w:p>
    <w:p w14:paraId="28E6B0EE" w14:textId="63A0CE08" w:rsidR="00342AC6" w:rsidRPr="001C23C1" w:rsidRDefault="00315C91" w:rsidP="00342AC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Aceste principii se referă la principalele provocări rămase în materie de egalitate de gen în ceea ce privește violența, sănătatea, timpul, remunerarea, munca, educația și cunoștințele, puterea și mecanismele instituționale. Viitoarea strategie privind egalitatea de gen după </w:t>
      </w:r>
      <w:r w:rsidRPr="00553471">
        <w:rPr>
          <w:rFonts w:ascii="Times New Roman" w:hAnsi="Times New Roman"/>
          <w:noProof/>
          <w:sz w:val="24"/>
        </w:rPr>
        <w:t>2025</w:t>
      </w:r>
      <w:r>
        <w:rPr>
          <w:rFonts w:ascii="Times New Roman" w:hAnsi="Times New Roman"/>
          <w:noProof/>
          <w:sz w:val="24"/>
        </w:rPr>
        <w:t xml:space="preserve"> va prezenta măsurile de politică concrete care trebuie să fie luate pentru a aborda aceste provocări. În primăvara anului </w:t>
      </w:r>
      <w:r w:rsidRPr="00553471">
        <w:rPr>
          <w:rFonts w:ascii="Times New Roman" w:hAnsi="Times New Roman"/>
          <w:noProof/>
          <w:sz w:val="24"/>
        </w:rPr>
        <w:t>2025</w:t>
      </w:r>
      <w:r>
        <w:rPr>
          <w:rFonts w:ascii="Times New Roman" w:hAnsi="Times New Roman"/>
          <w:noProof/>
          <w:sz w:val="24"/>
        </w:rPr>
        <w:t xml:space="preserve"> va fi lansată o consultare publică deschisă cu privire la aceste aspecte, care va solicita implicarea activă și contribuția tuturor părților interesate relevante la elaborarea acțiunilor care urmează să fie prezentate în cadrul strategiei. Continuarea punerii în aplicare în paralel a Strategiei privind egalitatea de gen </w:t>
      </w:r>
      <w:r w:rsidRPr="00553471">
        <w:rPr>
          <w:rFonts w:ascii="Times New Roman" w:hAnsi="Times New Roman"/>
          <w:noProof/>
          <w:sz w:val="24"/>
        </w:rPr>
        <w:t>2020</w:t>
      </w:r>
      <w:r>
        <w:rPr>
          <w:rFonts w:ascii="Times New Roman" w:hAnsi="Times New Roman"/>
          <w:noProof/>
          <w:sz w:val="24"/>
        </w:rPr>
        <w:t>-</w:t>
      </w:r>
      <w:r w:rsidRPr="00553471">
        <w:rPr>
          <w:rFonts w:ascii="Times New Roman" w:hAnsi="Times New Roman"/>
          <w:noProof/>
          <w:sz w:val="24"/>
        </w:rPr>
        <w:t>2025</w:t>
      </w:r>
      <w:r>
        <w:rPr>
          <w:rFonts w:ascii="Times New Roman" w:hAnsi="Times New Roman"/>
          <w:noProof/>
          <w:sz w:val="24"/>
        </w:rPr>
        <w:t xml:space="preserve"> contribuie la promovarea drepturilor femeilor în UE. </w:t>
      </w:r>
    </w:p>
    <w:p w14:paraId="056030E0" w14:textId="75C66782" w:rsidR="00DB5D34" w:rsidRPr="001C23C1" w:rsidRDefault="00CB3D61"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Comisia se angajează să continue integrarea perspectivei de gen în toate politicile și acțiunile sale, inclusiv în ceea ce privește bugetul UE și alinierea viitoarelor inițiative de politică relevante la obiectivele foii de parcurs. De exemplu, pentru a stimula competitivitatea și a valorifica în continuare potențialul forței de muncă a femeilor, Comisia propune adăugarea unei perspective solide privind egalitatea de gen la inițiative precum Foaia de parcurs privind locuri de muncă de calitate, Platforma „Femeile în agricultură” și Strategia UE privind startup-urile și întreprinderile în curs de extindere. Foaia de parcurs privind drepturile femeilor este adoptată în același timp cu uniunea competențelor, stabilind măsuri de sprijinire a educației și formării, a perfecționării și a recalificării dintr-o perspectivă care ia în considerare dimensiunea de gen. În plus, ca parte a activității referitoare la o strategie privind alfabetizarea financiară, care urmărește să le permită investitorilor de retail să ia decizii financiare în cunoștință de cauză și să își sporească participarea pe piețele de capital în condiții mai echitabile, se va acorda o atenție deosebită femeilor.</w:t>
      </w:r>
    </w:p>
    <w:p w14:paraId="38F52B9A" w14:textId="2B12FDA0" w:rsidR="00DB5D34" w:rsidRPr="001C23C1" w:rsidRDefault="00C775B6"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Comisia va urmări integrarea perspectivei de gen în inițiative precum Strategia UE pentru combaterea sărăciei, Planul european privind locuințele la prețuri accesibile, Strategia privind aplicarea IA și ancheta la nivelul UE privind impactul mai larg al platformelor de comunicare socială asupra bunăstării, care vor contribui la promovarea echității sociale și la abordarea inegalităților sociale cu care se confruntă femeile și fetele. Comisia va prezenta, de asemenea, propuneri pentru integrarea perspectivei de gen în contextul revizuirii recomandării Consiliului din </w:t>
      </w:r>
      <w:r w:rsidRPr="00553471">
        <w:rPr>
          <w:rFonts w:ascii="Times New Roman" w:hAnsi="Times New Roman"/>
          <w:noProof/>
          <w:sz w:val="24"/>
        </w:rPr>
        <w:t>2013</w:t>
      </w:r>
      <w:r>
        <w:rPr>
          <w:rFonts w:ascii="Times New Roman" w:hAnsi="Times New Roman"/>
          <w:noProof/>
          <w:sz w:val="24"/>
        </w:rPr>
        <w:t xml:space="preserve"> privind promovarea interesectorială a activității fizice de îmbunătățire a stării de sănătate și în cadrul eforturilor de consolidare a modelului european în domeniul sportului.</w:t>
      </w:r>
    </w:p>
    <w:p w14:paraId="2EC0EC61" w14:textId="13540A69" w:rsidR="000F6F99" w:rsidRPr="001C23C1" w:rsidRDefault="00C55EA6"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Întrucât egalitatea de gen este, de asemenea, esențială pentru participarea democratică și reziliența societății, Comisia intenționează să integreze o dimensiune de gen în Strategia privind o Uniune a pregătirii pentru situații de criză și în planul de acțiune împotriva hărțuirii cibernetice. În plus, scutul european pentru democrație va contribui la consolidarea capacității de acțiune și sprijinirea femeilor în politică, prin măsuri specifice privind siguranța candidaților politici și a reprezentanților aleși. </w:t>
      </w:r>
    </w:p>
    <w:p w14:paraId="7BB76444" w14:textId="3554A686" w:rsidR="00DB5D34" w:rsidRPr="00553471" w:rsidRDefault="00195E5F" w:rsidP="00DB0A9E">
      <w:pPr>
        <w:pStyle w:val="Heading1"/>
        <w:spacing w:after="120" w:line="240" w:lineRule="auto"/>
        <w:rPr>
          <w:rFonts w:ascii="Times New Roman" w:hAnsi="Times New Roman"/>
          <w:b/>
          <w:noProof/>
          <w:color w:val="auto"/>
          <w:sz w:val="28"/>
        </w:rPr>
      </w:pPr>
      <w:r w:rsidRPr="00553471">
        <w:rPr>
          <w:rFonts w:ascii="Times New Roman" w:hAnsi="Times New Roman"/>
          <w:b/>
          <w:noProof/>
          <w:color w:val="auto"/>
          <w:sz w:val="28"/>
        </w:rPr>
        <w:t>UN GHID PENTRU ACȚIUNEA EXTERNĂ A UE</w:t>
      </w:r>
    </w:p>
    <w:p w14:paraId="4FBFB24F" w14:textId="0368DD57" w:rsidR="00DB5D34" w:rsidRPr="001C23C1" w:rsidRDefault="00DB5D34"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Prezenta foaie de parcurs depășește acțiunea internă a UE și reafirmă angajamentul ferm față de drepturile femeilor, cu ocazia celei de a </w:t>
      </w:r>
      <w:r w:rsidRPr="00553471">
        <w:rPr>
          <w:rFonts w:ascii="Times New Roman" w:hAnsi="Times New Roman"/>
          <w:noProof/>
          <w:sz w:val="24"/>
        </w:rPr>
        <w:t>30</w:t>
      </w:r>
      <w:r>
        <w:rPr>
          <w:rFonts w:ascii="Times New Roman" w:hAnsi="Times New Roman"/>
          <w:noProof/>
          <w:sz w:val="24"/>
        </w:rPr>
        <w:t>-a aniversări a Declarației și a Platformei de acțiune</w:t>
      </w:r>
      <w:r w:rsidR="00975D4E">
        <w:rPr>
          <w:rFonts w:ascii="Times New Roman" w:hAnsi="Times New Roman"/>
          <w:noProof/>
          <w:sz w:val="24"/>
        </w:rPr>
        <w:t xml:space="preserve"> de la Beijing</w:t>
      </w:r>
      <w:r>
        <w:rPr>
          <w:rFonts w:ascii="Times New Roman" w:hAnsi="Times New Roman"/>
          <w:noProof/>
          <w:sz w:val="24"/>
        </w:rPr>
        <w:t xml:space="preserve">, în </w:t>
      </w:r>
      <w:r w:rsidRPr="00553471">
        <w:rPr>
          <w:rFonts w:ascii="Times New Roman" w:hAnsi="Times New Roman"/>
          <w:noProof/>
          <w:sz w:val="24"/>
        </w:rPr>
        <w:t>2025</w:t>
      </w:r>
      <w:r>
        <w:rPr>
          <w:rFonts w:ascii="Times New Roman" w:hAnsi="Times New Roman"/>
          <w:noProof/>
          <w:sz w:val="24"/>
        </w:rPr>
        <w:t xml:space="preserve"> și pentru anii următori. </w:t>
      </w:r>
    </w:p>
    <w:p w14:paraId="4AC380BF" w14:textId="2B0CEF56" w:rsidR="00750A05" w:rsidRPr="001C23C1" w:rsidRDefault="00DB5D34"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Urmărind să asigure coerența politicii interne și externe, foaia de parcurs confirmă principiile, obiectivele și țintele Planului de acțiune al UE pentru egalitatea de gen (GAP III) în scopul promovării egalității de gen și al consolidării capacității de acțiune a femeilor și a fetelor în cadrul acțiunii externe a UE, inclusiv în cadrul intervențiilor umanitare, prin inițiative și parteneriate multilaterale și multipartite, prin dialog politic și sprijin financiar, inclusiv prin investiții globale, cum ar fi Global Gateway</w:t>
      </w:r>
      <w:r>
        <w:rPr>
          <w:rStyle w:val="FootnoteReference"/>
          <w:rFonts w:ascii="Times New Roman" w:hAnsi="Times New Roman" w:cs="Times New Roman"/>
          <w:noProof/>
          <w:sz w:val="24"/>
          <w:szCs w:val="24"/>
        </w:rPr>
        <w:footnoteReference w:id="25"/>
      </w:r>
      <w:r>
        <w:rPr>
          <w:rFonts w:ascii="Times New Roman" w:hAnsi="Times New Roman"/>
          <w:noProof/>
          <w:sz w:val="24"/>
        </w:rPr>
        <w:t>. De asemenea, foaia de parcurs confirmă Abordarea strategică a UE privind femeile, pacea și securitatea, care constituie un cadru ce pune accentul pe rolul de lider al femeilor, pe drepturile și capacitatea lor de acțiune în toate domeniile păcii și securității, integrând perspectivele de gen în politicile și acțiunile UE de prevenire a conflictelor. UE se angajează, de asemenea, să abordeze situația specifică a femeilor și a fetelor în acțiunile umanitare și integrează considerentele de gen, inclusiv strategiile de protecție împotriva violenței sexuale și a violenței de gen, în răspunsul său umanitar.</w:t>
      </w:r>
    </w:p>
    <w:p w14:paraId="0859A0ED" w14:textId="50C62143" w:rsidR="00DB5D34" w:rsidRPr="001C23C1" w:rsidRDefault="00DB5D34" w:rsidP="2D450ACB">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Aplicând o abordare bazată pe drepturile omului, UE colaborează cu parteneri din întreaga lume, prin intermediul Serviciului European de Acțiune Externă și al celor </w:t>
      </w:r>
      <w:r w:rsidRPr="00553471">
        <w:rPr>
          <w:rFonts w:ascii="Times New Roman" w:hAnsi="Times New Roman"/>
          <w:noProof/>
          <w:sz w:val="24"/>
        </w:rPr>
        <w:t>145</w:t>
      </w:r>
      <w:r>
        <w:rPr>
          <w:rFonts w:ascii="Times New Roman" w:hAnsi="Times New Roman"/>
          <w:noProof/>
          <w:sz w:val="24"/>
        </w:rPr>
        <w:t xml:space="preserve"> de delegații ale UE, pentru a gestiona cauzele profunde ale inegalităților de gen, care își au originea în structuri sociale, instituții, norme juridice și practici discriminatorii. Foaia de parcurs va servi astfel drept ghid pentru sprijinirea inițiativelor externe și va deschide calea către următorul Plan de acțiune al UE pentru egalitatea de gen în relațiile externe (</w:t>
      </w:r>
      <w:r w:rsidRPr="00553471">
        <w:rPr>
          <w:rFonts w:ascii="Times New Roman" w:hAnsi="Times New Roman"/>
          <w:noProof/>
          <w:sz w:val="24"/>
        </w:rPr>
        <w:t>2028</w:t>
      </w:r>
      <w:r>
        <w:rPr>
          <w:rFonts w:ascii="Times New Roman" w:hAnsi="Times New Roman"/>
          <w:noProof/>
          <w:sz w:val="24"/>
        </w:rPr>
        <w:t>-</w:t>
      </w:r>
      <w:r w:rsidRPr="00553471">
        <w:rPr>
          <w:rFonts w:ascii="Times New Roman" w:hAnsi="Times New Roman"/>
          <w:noProof/>
          <w:sz w:val="24"/>
        </w:rPr>
        <w:t>2034</w:t>
      </w:r>
      <w:r>
        <w:rPr>
          <w:rFonts w:ascii="Times New Roman" w:hAnsi="Times New Roman"/>
          <w:noProof/>
          <w:sz w:val="24"/>
        </w:rPr>
        <w:t>).</w:t>
      </w:r>
    </w:p>
    <w:p w14:paraId="1E502FAD" w14:textId="431766AF" w:rsidR="009A0919" w:rsidRPr="001C23C1" w:rsidRDefault="00B55F8D" w:rsidP="00DB0A9E">
      <w:pPr>
        <w:jc w:val="both"/>
        <w:rPr>
          <w:rFonts w:ascii="Times New Roman" w:hAnsi="Times New Roman" w:cs="Times New Roman"/>
          <w:noProof/>
          <w:sz w:val="24"/>
          <w:szCs w:val="24"/>
        </w:rPr>
      </w:pPr>
      <w:r>
        <w:rPr>
          <w:rFonts w:ascii="Times New Roman" w:hAnsi="Times New Roman"/>
          <w:noProof/>
          <w:sz w:val="24"/>
        </w:rPr>
        <w:t xml:space="preserve">Obiectivul general este de a reafirma, a promova și a consolida valabilitatea deplină a legislației europene și internaționale existente privind egalitatea de gen, Agenda privind femeile, pacea și securitatea, exercitarea deplină a tuturor drepturilor omului de către toate femeile și fetele, precum și consolidarea capacității de acțiune a acestora. Pentru atingerea acestui obiectiv este nevoie de o voință politică puternică, o conducere și o prioritizare a egalității de gen la cele mai înalte niveluri, inclusiv în contextul susținerii unei ordini mondiale bazate pe norme, al cărei principiu esențial este multilateralismul și în centrul căreia se află Organizația Națiunilor Unite. </w:t>
      </w:r>
    </w:p>
    <w:p w14:paraId="43C6472C" w14:textId="32C1892A" w:rsidR="002A5EEC" w:rsidRPr="001C23C1" w:rsidRDefault="00B55F8D" w:rsidP="00DB0A9E">
      <w:pPr>
        <w:jc w:val="both"/>
        <w:rPr>
          <w:noProof/>
        </w:rPr>
      </w:pPr>
      <w:r>
        <w:rPr>
          <w:rFonts w:ascii="Times New Roman" w:hAnsi="Times New Roman"/>
          <w:noProof/>
          <w:sz w:val="24"/>
        </w:rPr>
        <w:t xml:space="preserve">O inversare a progreselor pe care le-am realizat în ultimii </w:t>
      </w:r>
      <w:r w:rsidRPr="00553471">
        <w:rPr>
          <w:rFonts w:ascii="Times New Roman" w:hAnsi="Times New Roman"/>
          <w:noProof/>
          <w:sz w:val="24"/>
        </w:rPr>
        <w:t>30</w:t>
      </w:r>
      <w:r>
        <w:rPr>
          <w:rFonts w:ascii="Times New Roman" w:hAnsi="Times New Roman"/>
          <w:noProof/>
          <w:sz w:val="24"/>
        </w:rPr>
        <w:t xml:space="preserve"> de ani este inacceptabilă. Comisia se va opune cu fermitate oricărei acțiuni sau propuneri care urmărește să submineze angajamentele și standardele internaționale existente și va depune eforturi pentru a le consolida în continuare, ori de câte ori este posibil. </w:t>
      </w:r>
    </w:p>
    <w:p w14:paraId="3DDC6CEA" w14:textId="71204F53" w:rsidR="00DB5D34" w:rsidRPr="00553471" w:rsidRDefault="00195E5F" w:rsidP="00DB0A9E">
      <w:pPr>
        <w:pStyle w:val="Heading1"/>
        <w:spacing w:after="120" w:line="240" w:lineRule="auto"/>
        <w:jc w:val="both"/>
        <w:rPr>
          <w:rFonts w:ascii="Times New Roman" w:hAnsi="Times New Roman" w:cs="Times New Roman"/>
          <w:b/>
          <w:bCs/>
          <w:noProof/>
          <w:color w:val="auto"/>
          <w:sz w:val="28"/>
          <w:szCs w:val="28"/>
        </w:rPr>
      </w:pPr>
      <w:r w:rsidRPr="00553471">
        <w:rPr>
          <w:rFonts w:ascii="Times New Roman" w:hAnsi="Times New Roman"/>
          <w:b/>
          <w:noProof/>
          <w:color w:val="auto"/>
          <w:sz w:val="28"/>
        </w:rPr>
        <w:t>CALEA DE URMAT: COOPERARE ȘI NEVOI INSTITUȚIONALE</w:t>
      </w:r>
    </w:p>
    <w:p w14:paraId="1B71F377" w14:textId="5C1FC91F" w:rsidR="00791AE0"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Succesul foii de parcurs depinde de angajamentul și contribuția tuturor actorilor relevanți. Comisia invită toate părțile interesate, în special Parlamentul European și Consiliul Uniunii Europene, partenerii sociali, actorii societății civile și alte organizații relevante, să aprobe, în cursul anului </w:t>
      </w:r>
      <w:r w:rsidRPr="00553471">
        <w:rPr>
          <w:rFonts w:ascii="Times New Roman" w:hAnsi="Times New Roman"/>
          <w:noProof/>
          <w:sz w:val="24"/>
        </w:rPr>
        <w:t>2025</w:t>
      </w:r>
      <w:r>
        <w:rPr>
          <w:rFonts w:ascii="Times New Roman" w:hAnsi="Times New Roman"/>
          <w:noProof/>
          <w:sz w:val="24"/>
        </w:rPr>
        <w:t>, declarația privind drepturile femeilor anexată la prezenta comunicare.</w:t>
      </w:r>
    </w:p>
    <w:p w14:paraId="46B6B198" w14:textId="3CA578A9" w:rsidR="00D46574" w:rsidRPr="001C23C1" w:rsidRDefault="000E671B"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Comisia invită toate părțile interesate să își asume un rol activ în ceea ce privește contribuția la realizarea obiectivelor stabilite în foaia de parcurs. Aceste obiective vor orienta elaborarea noii Strategii privind egalitatea de gen în perioada de după </w:t>
      </w:r>
      <w:r w:rsidRPr="00553471">
        <w:rPr>
          <w:rFonts w:ascii="Times New Roman" w:hAnsi="Times New Roman"/>
          <w:noProof/>
          <w:sz w:val="24"/>
        </w:rPr>
        <w:t>2025</w:t>
      </w:r>
      <w:r>
        <w:rPr>
          <w:rFonts w:ascii="Times New Roman" w:hAnsi="Times New Roman"/>
          <w:noProof/>
          <w:sz w:val="24"/>
        </w:rPr>
        <w:t>.</w:t>
      </w:r>
    </w:p>
    <w:p w14:paraId="20A2D7BF" w14:textId="3376E777" w:rsidR="00146A8A" w:rsidRPr="001C23C1" w:rsidRDefault="00CA45ED"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fi eficace, foaia de parcurs trebuie să se bazeze pe mecanisme și strategii instituționale consolidate, care să promoveze egalitatea de gen. În cadrul Comisiei, aceasta include activitatea Grupului operativ pentru egalitate, care promovează integrarea egalității, inclusiv integrarea perspectivei de gen, în toate domeniile de politică, prin intermediul unei rețele de coordonatori pentru egalitate din toate serviciile Comisiei. De asemenea, Comisia va conduce în continuare prin puterea exemplului, depunând eforturi pentru paritatea de gen în posturile de conducere, continuând activitatea de identificare și evaluare a impactului asupra egalității de gen în cadrul evaluării impactului și al evaluărilor aferente cadrului pentru o mai bună legiferare și promovând egalitatea de gen prin propriile sale achiziții publice. </w:t>
      </w:r>
    </w:p>
    <w:p w14:paraId="58437981" w14:textId="6A394FFD" w:rsidR="00917205" w:rsidRPr="001C23C1" w:rsidRDefault="00917205"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Bugetul UE va continua să sprijine egalitatea de gen. </w:t>
      </w:r>
      <w:r>
        <w:rPr>
          <w:rStyle w:val="normaltextrun"/>
          <w:rFonts w:ascii="Times New Roman" w:hAnsi="Times New Roman"/>
          <w:noProof/>
          <w:sz w:val="24"/>
        </w:rPr>
        <w:t>Regulamentul financiar al UE (reformare)</w:t>
      </w:r>
      <w:r>
        <w:rPr>
          <w:rStyle w:val="FootnoteReference"/>
          <w:rFonts w:ascii="Times New Roman" w:eastAsia="Calibri" w:hAnsi="Times New Roman" w:cs="Times New Roman"/>
          <w:noProof/>
          <w:sz w:val="24"/>
          <w:szCs w:val="24"/>
        </w:rPr>
        <w:footnoteReference w:id="26"/>
      </w:r>
      <w:r>
        <w:rPr>
          <w:rStyle w:val="normaltextrun"/>
          <w:rFonts w:ascii="Times New Roman" w:hAnsi="Times New Roman"/>
          <w:noProof/>
          <w:sz w:val="24"/>
        </w:rPr>
        <w:t xml:space="preserve"> prevede ca toate programele și activitățile bugetare ale UE, atunci când acest lucru este fezabil și adecvat în conformitate cu normele sectoriale relevante, să fie puse în aplicare ținând seama de principiul egalității de gen, în conformitate cu o metodologie adecvată de integrare a perspectivei de gen. În plus, după caz, datele colectate în legătură cu indicatorii</w:t>
      </w:r>
      <w:r>
        <w:rPr>
          <w:noProof/>
        </w:rPr>
        <w:t xml:space="preserve"> </w:t>
      </w:r>
      <w:r>
        <w:rPr>
          <w:rStyle w:val="normaltextrun"/>
          <w:rFonts w:ascii="Times New Roman" w:hAnsi="Times New Roman"/>
          <w:noProof/>
          <w:sz w:val="24"/>
        </w:rPr>
        <w:t>vor fi defalcate în funcție de gen.</w:t>
      </w:r>
    </w:p>
    <w:p w14:paraId="4E1CB794" w14:textId="105F82E1" w:rsidR="009163CE"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Realizarea deplină a aspirațiilor stabilite în prezenta foaie de parcurs depășește competențele UE și trebuie să se bazeze pe acțiunile de la nivel național. Acest lucru se poate întâmpla numai dacă se instituie structurile adecvate, care să fie dotate cu resurse suficiente pentru a le garanta capacitatea. </w:t>
      </w:r>
    </w:p>
    <w:p w14:paraId="28E3FDD8" w14:textId="5FAF769B" w:rsidR="00102049"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ca foaia de parcurs să fie un succes, este nevoie, de asemenea, de o cooperare consolidată și de un parteneriat mai strâns cu statele membre, de exemplu în contextul semestrului european (procesul la nivelul UE de coordonare economică și de ocupare a forței de muncă), și cu toți actorii relevanți. </w:t>
      </w:r>
    </w:p>
    <w:p w14:paraId="600986F7" w14:textId="38A9571C" w:rsidR="00791AE0" w:rsidRPr="001C23C1" w:rsidRDefault="00791AE0" w:rsidP="00195E5F">
      <w:pPr>
        <w:spacing w:after="120" w:line="240" w:lineRule="auto"/>
        <w:jc w:val="both"/>
        <w:rPr>
          <w:rFonts w:ascii="Times New Roman" w:hAnsi="Times New Roman" w:cs="Times New Roman"/>
          <w:noProof/>
          <w:sz w:val="24"/>
          <w:szCs w:val="24"/>
        </w:rPr>
      </w:pPr>
      <w:r>
        <w:rPr>
          <w:rFonts w:ascii="Times New Roman" w:hAnsi="Times New Roman"/>
          <w:noProof/>
          <w:sz w:val="24"/>
        </w:rPr>
        <w:t>În plus, Comisia invită celelalte instituții ale UE, statele membre și părțile interesate, inclusiv partenerii sociali și societatea civilă, să țină seama de foaia de parcurs prezentată în anexa la prezenta comunicare atunci când vor elabora viitoarele politici europene, internaționale, naționale, regionale și sectoriale.</w:t>
      </w:r>
    </w:p>
    <w:bookmarkEnd w:id="4"/>
    <w:bookmarkEnd w:id="5"/>
    <w:p w14:paraId="4F6C2490" w14:textId="224FACED" w:rsidR="00510B56" w:rsidRPr="00553471" w:rsidRDefault="00510B56" w:rsidP="00195E5F">
      <w:pPr>
        <w:spacing w:after="120" w:line="240" w:lineRule="auto"/>
        <w:jc w:val="both"/>
        <w:rPr>
          <w:rFonts w:ascii="Times New Roman" w:hAnsi="Times New Roman" w:cs="Times New Roman"/>
          <w:noProof/>
          <w:sz w:val="24"/>
          <w:szCs w:val="24"/>
        </w:rPr>
      </w:pPr>
    </w:p>
    <w:sectPr w:rsidR="00510B56" w:rsidRPr="00553471" w:rsidSect="00F41D0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F5577" w14:textId="77777777" w:rsidR="00B43C1E" w:rsidRDefault="00B43C1E" w:rsidP="002A453C">
      <w:pPr>
        <w:spacing w:after="0" w:line="240" w:lineRule="auto"/>
      </w:pPr>
      <w:r>
        <w:separator/>
      </w:r>
    </w:p>
  </w:endnote>
  <w:endnote w:type="continuationSeparator" w:id="0">
    <w:p w14:paraId="6B9420C5" w14:textId="77777777" w:rsidR="00B43C1E" w:rsidRDefault="00B43C1E" w:rsidP="002A453C">
      <w:pPr>
        <w:spacing w:after="0" w:line="240" w:lineRule="auto"/>
      </w:pPr>
      <w:r>
        <w:continuationSeparator/>
      </w:r>
    </w:p>
  </w:endnote>
  <w:endnote w:type="continuationNotice" w:id="1">
    <w:p w14:paraId="79E0A3FC" w14:textId="77777777" w:rsidR="00B43C1E" w:rsidRDefault="00B43C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A817A" w14:textId="65A62B04" w:rsidR="005E4FB5" w:rsidRPr="005E4FB5" w:rsidRDefault="005E4FB5" w:rsidP="005E4FB5">
    <w:pPr>
      <w:pStyle w:val="FooterCoverPage"/>
      <w:rPr>
        <w:rFonts w:ascii="Arial" w:hAnsi="Arial" w:cs="Arial"/>
        <w:b/>
        <w:sz w:val="48"/>
      </w:rPr>
    </w:pPr>
    <w:r w:rsidRPr="005E4FB5">
      <w:rPr>
        <w:rFonts w:ascii="Arial" w:hAnsi="Arial" w:cs="Arial"/>
        <w:b/>
        <w:sz w:val="48"/>
      </w:rPr>
      <w:t>RO</w:t>
    </w:r>
    <w:r w:rsidRPr="005E4FB5">
      <w:rPr>
        <w:rFonts w:ascii="Arial" w:hAnsi="Arial" w:cs="Arial"/>
        <w:b/>
        <w:sz w:val="48"/>
      </w:rPr>
      <w:tab/>
    </w:r>
    <w:r w:rsidRPr="005E4FB5">
      <w:rPr>
        <w:rFonts w:ascii="Arial" w:hAnsi="Arial" w:cs="Arial"/>
        <w:b/>
        <w:sz w:val="48"/>
      </w:rPr>
      <w:tab/>
    </w:r>
    <w:r w:rsidRPr="005E4FB5">
      <w:tab/>
    </w:r>
    <w:r w:rsidRPr="005E4FB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BA2E1" w14:textId="2DEB7B30" w:rsidR="005E4FB5" w:rsidRPr="005E4FB5" w:rsidRDefault="005E4FB5" w:rsidP="005E4FB5">
    <w:pPr>
      <w:pStyle w:val="FooterCoverPage"/>
      <w:rPr>
        <w:rFonts w:ascii="Arial" w:hAnsi="Arial" w:cs="Arial"/>
        <w:b/>
        <w:sz w:val="48"/>
      </w:rPr>
    </w:pPr>
    <w:r w:rsidRPr="005E4FB5">
      <w:rPr>
        <w:rFonts w:ascii="Arial" w:hAnsi="Arial" w:cs="Arial"/>
        <w:b/>
        <w:sz w:val="48"/>
      </w:rPr>
      <w:t>RO</w:t>
    </w:r>
    <w:r w:rsidRPr="005E4FB5">
      <w:rPr>
        <w:rFonts w:ascii="Arial" w:hAnsi="Arial" w:cs="Arial"/>
        <w:b/>
        <w:sz w:val="48"/>
      </w:rPr>
      <w:tab/>
    </w:r>
    <w:r w:rsidRPr="005E4FB5">
      <w:rPr>
        <w:rFonts w:ascii="Arial" w:hAnsi="Arial" w:cs="Arial"/>
        <w:b/>
        <w:sz w:val="48"/>
      </w:rPr>
      <w:tab/>
    </w:r>
    <w:r w:rsidRPr="005E4FB5">
      <w:tab/>
    </w:r>
    <w:r w:rsidRPr="005E4FB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678B3" w14:textId="77777777" w:rsidR="005E4FB5" w:rsidRPr="005E4FB5" w:rsidRDefault="005E4FB5" w:rsidP="005E4FB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9ADBD" w14:textId="77777777" w:rsidR="00F41D00" w:rsidRDefault="00F41D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732111"/>
      <w:docPartObj>
        <w:docPartGallery w:val="Page Numbers (Bottom of Page)"/>
        <w:docPartUnique/>
      </w:docPartObj>
    </w:sdtPr>
    <w:sdtEndPr>
      <w:rPr>
        <w:noProof/>
      </w:rPr>
    </w:sdtEndPr>
    <w:sdtContent>
      <w:p w14:paraId="06E4BFF7" w14:textId="35C3374F" w:rsidR="00F41D00" w:rsidRDefault="00F41D00">
        <w:pPr>
          <w:pStyle w:val="Footer"/>
          <w:jc w:val="right"/>
        </w:pPr>
        <w:r>
          <w:fldChar w:fldCharType="begin"/>
        </w:r>
        <w:r>
          <w:instrText xml:space="preserve"> PAGE   \* MERGEFORMAT </w:instrText>
        </w:r>
        <w:r>
          <w:fldChar w:fldCharType="separate"/>
        </w:r>
        <w:r w:rsidR="005E4FB5">
          <w:rPr>
            <w:noProof/>
          </w:rPr>
          <w:t>1</w:t>
        </w:r>
        <w:r>
          <w:fldChar w:fldCharType="end"/>
        </w:r>
      </w:p>
    </w:sdtContent>
  </w:sdt>
  <w:p w14:paraId="10A527FF" w14:textId="77777777" w:rsidR="00F41D00" w:rsidRDefault="00F41D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92D07" w14:textId="77777777" w:rsidR="00F41D00" w:rsidRDefault="00F4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17B13" w14:textId="77777777" w:rsidR="00B43C1E" w:rsidRDefault="00B43C1E" w:rsidP="002A453C">
      <w:pPr>
        <w:spacing w:after="0" w:line="240" w:lineRule="auto"/>
      </w:pPr>
      <w:r>
        <w:separator/>
      </w:r>
    </w:p>
  </w:footnote>
  <w:footnote w:type="continuationSeparator" w:id="0">
    <w:p w14:paraId="0BADAAD2" w14:textId="77777777" w:rsidR="00B43C1E" w:rsidRDefault="00B43C1E" w:rsidP="002A453C">
      <w:pPr>
        <w:spacing w:after="0" w:line="240" w:lineRule="auto"/>
      </w:pPr>
      <w:r>
        <w:continuationSeparator/>
      </w:r>
    </w:p>
  </w:footnote>
  <w:footnote w:type="continuationNotice" w:id="1">
    <w:p w14:paraId="3EF5FB13" w14:textId="77777777" w:rsidR="00B43C1E" w:rsidRDefault="00B43C1E">
      <w:pPr>
        <w:spacing w:after="0" w:line="240" w:lineRule="auto"/>
      </w:pPr>
    </w:p>
  </w:footnote>
  <w:footnote w:id="2">
    <w:p w14:paraId="09738FA0" w14:textId="4E343661" w:rsidR="003C3EC5" w:rsidRPr="00553471" w:rsidRDefault="003C3EC5" w:rsidP="001C23C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sidRPr="00553471">
        <w:rPr>
          <w:rFonts w:ascii="Times New Roman" w:hAnsi="Times New Roman"/>
          <w:sz w:val="18"/>
        </w:rPr>
        <w:t>Directiva 79/7/CEE a Consiliului din 19 decembrie 1978, Directiva 2004/113/CE din 13 decembrie 2004 și Directiva (UE) 2023/970 din 10 mai 2023.</w:t>
      </w:r>
    </w:p>
  </w:footnote>
  <w:footnote w:id="3">
    <w:p w14:paraId="6EF86741" w14:textId="490FFB9B" w:rsidR="00134A4E" w:rsidRPr="00553471" w:rsidRDefault="00134A4E" w:rsidP="001C23C1">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Directiva (UE) 2019/1158 din 20 iunie 2019, Directiva (UE) 2022/2381 din 23 noiembrie 2022, Regulamentul (UE) 2021/695 din 28 aprilie 2021 și Directiva (UE) 2024/1385 din 14 mai 2024. A se vedea, de asemenea, aderarea UE la Convenția de la Istanbul (JO L 143I, 2.6.2023).</w:t>
      </w:r>
    </w:p>
  </w:footnote>
  <w:footnote w:id="4">
    <w:p w14:paraId="570E3EA2" w14:textId="77777777" w:rsidR="003C3EC5" w:rsidRPr="00553471" w:rsidRDefault="003C3EC5" w:rsidP="001C23C1">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JO C 484, 20.12.2022, p. 1, JO C 476, 15.12.2022, p. 1. </w:t>
      </w:r>
    </w:p>
  </w:footnote>
  <w:footnote w:id="5">
    <w:p w14:paraId="5351F736" w14:textId="30CDBF18" w:rsidR="00536B94" w:rsidRPr="00553471" w:rsidRDefault="00536B94" w:rsidP="001C23C1">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Comunicarea Comisiei către Parlamentul European, Consiliu, Comitetul Economic și Social European și Comitetul Regiunilor – „O Uniune a egalității: Strategia privind egalitatea de gen 2020-2025”, COM(2020) 152 final. </w:t>
      </w:r>
    </w:p>
  </w:footnote>
  <w:footnote w:id="6">
    <w:p w14:paraId="0B1C4E55" w14:textId="15E8EBA7" w:rsidR="00942CAF" w:rsidRPr="00553471" w:rsidRDefault="00942CAF" w:rsidP="001C23C1">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Disponibil online: </w:t>
      </w:r>
      <w:hyperlink r:id="rId1" w:history="1">
        <w:r w:rsidRPr="00553471">
          <w:rPr>
            <w:rFonts w:ascii="Times New Roman" w:hAnsi="Times New Roman"/>
            <w:i/>
            <w:iCs/>
            <w:sz w:val="18"/>
            <w:u w:val="single"/>
          </w:rPr>
          <w:t>Gender Equality Index</w:t>
        </w:r>
        <w:r w:rsidRPr="00553471">
          <w:rPr>
            <w:rFonts w:ascii="Times New Roman" w:hAnsi="Times New Roman"/>
            <w:sz w:val="18"/>
            <w:u w:val="single"/>
          </w:rPr>
          <w:t xml:space="preserve"> (Indicele egalității de gen) |</w:t>
        </w:r>
      </w:hyperlink>
      <w:hyperlink r:id="rId2" w:history="1">
        <w:r w:rsidRPr="00553471">
          <w:rPr>
            <w:rFonts w:ascii="Times New Roman" w:hAnsi="Times New Roman"/>
            <w:sz w:val="18"/>
            <w:u w:val="single"/>
          </w:rPr>
          <w:t xml:space="preserve"> Institutul European pentru Egalitatea de Șanse între Femei și Bărbați</w:t>
        </w:r>
      </w:hyperlink>
      <w:r w:rsidRPr="00553471">
        <w:rPr>
          <w:rStyle w:val="Hyperlink"/>
          <w:rFonts w:ascii="Times New Roman" w:hAnsi="Times New Roman"/>
          <w:color w:val="auto"/>
          <w:sz w:val="18"/>
        </w:rPr>
        <w:t>.</w:t>
      </w:r>
    </w:p>
  </w:footnote>
  <w:footnote w:id="7">
    <w:p w14:paraId="57F5D317" w14:textId="23A518C5" w:rsidR="00942CAF" w:rsidRPr="00553471" w:rsidRDefault="00942CAF" w:rsidP="001C23C1">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Comisia Europeană: Direcția Generală Comunicare și Leyen, U., „Europa – în fața unei alegeri: orientările politice pentru următoarea Comisie Europeană 2024-2029, Oficiul pentru Publicații al Uniunii Europene, 2024. Document disponibil</w:t>
      </w:r>
      <w:r w:rsidRPr="00553471">
        <w:t xml:space="preserve"> </w:t>
      </w:r>
      <w:hyperlink r:id="rId3" w:history="1">
        <w:r w:rsidRPr="00553471">
          <w:rPr>
            <w:rStyle w:val="Hyperlink"/>
            <w:rFonts w:ascii="Times New Roman" w:hAnsi="Times New Roman"/>
            <w:color w:val="auto"/>
            <w:sz w:val="18"/>
          </w:rPr>
          <w:t>online</w:t>
        </w:r>
      </w:hyperlink>
      <w:r w:rsidRPr="00553471">
        <w:rPr>
          <w:rFonts w:ascii="Times New Roman" w:hAnsi="Times New Roman"/>
          <w:sz w:val="18"/>
        </w:rPr>
        <w:t xml:space="preserve">. </w:t>
      </w:r>
    </w:p>
  </w:footnote>
  <w:footnote w:id="8">
    <w:p w14:paraId="18B9F7F6" w14:textId="638B11FA" w:rsidR="00E4631C" w:rsidRPr="00553471" w:rsidRDefault="00E4631C" w:rsidP="00E4631C">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00A76EBC" w:rsidRPr="00553471">
        <w:rPr>
          <w:rFonts w:ascii="Times New Roman" w:hAnsi="Times New Roman"/>
          <w:sz w:val="18"/>
        </w:rPr>
        <w:t xml:space="preserve"> </w:t>
      </w:r>
      <w:r w:rsidRPr="00553471">
        <w:rPr>
          <w:rFonts w:ascii="Times New Roman" w:hAnsi="Times New Roman"/>
          <w:sz w:val="18"/>
        </w:rPr>
        <w:t xml:space="preserve">Documente disponibile online: </w:t>
      </w:r>
      <w:hyperlink r:id="rId4" w:history="1">
        <w:r w:rsidRPr="00553471">
          <w:rPr>
            <w:rStyle w:val="Hyperlink"/>
            <w:rFonts w:ascii="Times New Roman" w:hAnsi="Times New Roman"/>
            <w:color w:val="auto"/>
            <w:sz w:val="18"/>
          </w:rPr>
          <w:t>Declarația și Platforma de acțiune de la Beijing</w:t>
        </w:r>
      </w:hyperlink>
      <w:r w:rsidRPr="00553471">
        <w:t>.</w:t>
      </w:r>
    </w:p>
  </w:footnote>
  <w:footnote w:id="9">
    <w:p w14:paraId="6B849B8F" w14:textId="690D104F" w:rsidR="00FA4C35" w:rsidRPr="00553471" w:rsidRDefault="00FA4C35"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w:t>
      </w:r>
      <w:hyperlink r:id="rId5" w:anchor=":~:text=By%202050%2C%20improving%20gender%20equality%20would%20lead%20to,equality%20policies%20have%20a%20strong%20impact%20on%20GDP." w:history="1">
        <w:r w:rsidRPr="00553471">
          <w:rPr>
            <w:rFonts w:ascii="Times New Roman" w:hAnsi="Times New Roman"/>
            <w:i/>
            <w:iCs/>
            <w:sz w:val="18"/>
            <w:u w:val="single"/>
          </w:rPr>
          <w:t>Economic Benefits of Gender Equality in the European Union</w:t>
        </w:r>
        <w:r w:rsidRPr="00553471">
          <w:rPr>
            <w:rFonts w:ascii="Times New Roman" w:hAnsi="Times New Roman"/>
            <w:sz w:val="18"/>
            <w:u w:val="single"/>
          </w:rPr>
          <w:t xml:space="preserve"> (Beneficiile economice ale egalității de gen în Uniunea Europeană) |</w:t>
        </w:r>
      </w:hyperlink>
      <w:hyperlink r:id="rId6" w:anchor=":~:text=By%202050%2C%20improving%20gender%20equality%20would%20lead%20to,equality%20policies%20have%20a%20strong%20impact%20on%20GDP." w:history="1">
        <w:bookmarkStart w:id="6" w:name="_Hlt191653637"/>
        <w:bookmarkStart w:id="7" w:name="_Hlt191653638"/>
        <w:bookmarkEnd w:id="6"/>
        <w:bookmarkEnd w:id="7"/>
        <w:r w:rsidRPr="00553471">
          <w:rPr>
            <w:rFonts w:ascii="Times New Roman" w:hAnsi="Times New Roman"/>
            <w:sz w:val="18"/>
            <w:u w:val="single"/>
          </w:rPr>
          <w:t>Institutul European pentru Egalitatea de Șanse între Femei și Bărbați</w:t>
        </w:r>
      </w:hyperlink>
      <w:r w:rsidRPr="00553471">
        <w:rPr>
          <w:rFonts w:ascii="Times New Roman" w:hAnsi="Times New Roman"/>
          <w:sz w:val="18"/>
        </w:rPr>
        <w:t>.</w:t>
      </w:r>
    </w:p>
  </w:footnote>
  <w:footnote w:id="10">
    <w:p w14:paraId="272E264F" w14:textId="7CE9D234" w:rsidR="00B13F56" w:rsidRPr="00553471" w:rsidRDefault="00B13F56"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A se vedea, de exemplu, S&amp;P Global. (2020). </w:t>
      </w:r>
      <w:hyperlink r:id="rId7" w:history="1">
        <w:r w:rsidRPr="00553471">
          <w:rPr>
            <w:rStyle w:val="Hyperlink"/>
            <w:rFonts w:ascii="Times New Roman" w:hAnsi="Times New Roman"/>
            <w:i/>
            <w:iCs/>
            <w:color w:val="auto"/>
            <w:sz w:val="18"/>
          </w:rPr>
          <w:t>When Women Lead, Firms Win:</w:t>
        </w:r>
      </w:hyperlink>
      <w:hyperlink r:id="rId8" w:history="1">
        <w:r w:rsidRPr="00553471">
          <w:rPr>
            <w:rStyle w:val="Hyperlink"/>
            <w:rFonts w:ascii="Times New Roman" w:hAnsi="Times New Roman"/>
            <w:color w:val="auto"/>
            <w:sz w:val="18"/>
          </w:rPr>
          <w:t xml:space="preserve"> </w:t>
        </w:r>
        <w:r w:rsidRPr="00553471">
          <w:rPr>
            <w:rStyle w:val="Hyperlink"/>
            <w:rFonts w:ascii="Times New Roman" w:hAnsi="Times New Roman"/>
            <w:i/>
            <w:iCs/>
            <w:color w:val="auto"/>
            <w:sz w:val="18"/>
          </w:rPr>
          <w:t>How Gender Diversity in the C-suite and Boardroom Drives Financial Performance</w:t>
        </w:r>
        <w:r w:rsidRPr="00553471">
          <w:rPr>
            <w:rStyle w:val="Hyperlink"/>
            <w:rFonts w:ascii="Times New Roman" w:hAnsi="Times New Roman"/>
            <w:color w:val="auto"/>
            <w:sz w:val="18"/>
          </w:rPr>
          <w:t xml:space="preserve"> (Atunci când femeile ocupă posturi de conducere, întreprinderile câștigă: modul în care diversitatea de gen în posturile de conducere și în consiliile de administrație stimulează performanța financiară).</w:t>
        </w:r>
      </w:hyperlink>
      <w:r w:rsidRPr="00553471">
        <w:rPr>
          <w:rFonts w:ascii="Times New Roman" w:hAnsi="Times New Roman"/>
          <w:sz w:val="18"/>
        </w:rPr>
        <w:t xml:space="preserve"> </w:t>
      </w:r>
    </w:p>
  </w:footnote>
  <w:footnote w:id="11">
    <w:p w14:paraId="228189F2" w14:textId="1112D435" w:rsidR="009E3834" w:rsidRPr="00553471" w:rsidRDefault="009E3834"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t xml:space="preserve"> </w:t>
      </w:r>
      <w:r w:rsidRPr="00553471">
        <w:rPr>
          <w:rFonts w:ascii="Times New Roman" w:hAnsi="Times New Roman"/>
          <w:sz w:val="18"/>
        </w:rPr>
        <w:t>Pentru mai multe informații generale și trimiteri la subiectele și cifrele prezentate în prezenta comunicare, vă rugăm să consultați raportul anual – SWD(2025) 67 final.</w:t>
      </w:r>
    </w:p>
  </w:footnote>
  <w:footnote w:id="12">
    <w:p w14:paraId="2CC1D02C" w14:textId="1F46D120" w:rsidR="004D08E8" w:rsidRPr="00553471" w:rsidRDefault="004D08E8"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A se vedea și studiul</w:t>
      </w:r>
      <w:r w:rsidR="009827EE" w:rsidRPr="00553471">
        <w:rPr>
          <w:rFonts w:ascii="Times New Roman" w:hAnsi="Times New Roman"/>
          <w:sz w:val="18"/>
        </w:rPr>
        <w:t xml:space="preserve"> </w:t>
      </w:r>
      <w:hyperlink r:id="rId9" w:history="1">
        <w:r w:rsidRPr="00553471">
          <w:rPr>
            <w:rFonts w:ascii="Times New Roman" w:hAnsi="Times New Roman"/>
            <w:i/>
            <w:iCs/>
            <w:sz w:val="18"/>
            <w:u w:val="single"/>
          </w:rPr>
          <w:t>Gender equality benefits everyone – but it's still 60 years away</w:t>
        </w:r>
        <w:r w:rsidRPr="00553471">
          <w:rPr>
            <w:rFonts w:ascii="Times New Roman" w:hAnsi="Times New Roman"/>
            <w:sz w:val="18"/>
            <w:u w:val="single"/>
          </w:rPr>
          <w:t xml:space="preserve"> (Egalitatea de gen aduce beneficii tuturor, însă mai trebuie să treacă 60 de ani până la realizarea deplină a acesteia |</w:t>
        </w:r>
      </w:hyperlink>
      <w:hyperlink r:id="rId10" w:history="1">
        <w:r w:rsidRPr="00553471">
          <w:rPr>
            <w:rFonts w:ascii="Times New Roman" w:hAnsi="Times New Roman"/>
            <w:sz w:val="18"/>
            <w:u w:val="single"/>
          </w:rPr>
          <w:t xml:space="preserve"> Institutul European pentru Egalitatea de Șanse între Femei și Bărbați</w:t>
        </w:r>
      </w:hyperlink>
      <w:r w:rsidRPr="00553471">
        <w:rPr>
          <w:rFonts w:ascii="Times New Roman" w:hAnsi="Times New Roman"/>
          <w:sz w:val="18"/>
        </w:rPr>
        <w:t>.</w:t>
      </w:r>
    </w:p>
  </w:footnote>
  <w:footnote w:id="13">
    <w:p w14:paraId="72E1050B" w14:textId="0D9EC9D0" w:rsidR="0094234F" w:rsidRPr="00553471" w:rsidRDefault="0094234F"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A se vedea </w:t>
      </w:r>
      <w:hyperlink r:id="rId11" w:history="1">
        <w:r w:rsidRPr="00553471">
          <w:rPr>
            <w:rFonts w:ascii="Times New Roman" w:hAnsi="Times New Roman"/>
            <w:i/>
            <w:iCs/>
            <w:sz w:val="18"/>
            <w:u w:val="single"/>
          </w:rPr>
          <w:t>EU Gender-based Violence Survey</w:t>
        </w:r>
        <w:r w:rsidRPr="00553471">
          <w:rPr>
            <w:rFonts w:ascii="Times New Roman" w:hAnsi="Times New Roman"/>
            <w:sz w:val="18"/>
            <w:u w:val="single"/>
          </w:rPr>
          <w:t xml:space="preserve"> (Sondajul UE privind violența pe criterii de gen) |</w:t>
        </w:r>
      </w:hyperlink>
      <w:hyperlink r:id="rId12" w:history="1">
        <w:r w:rsidRPr="00553471">
          <w:rPr>
            <w:rFonts w:ascii="Times New Roman" w:hAnsi="Times New Roman"/>
            <w:sz w:val="18"/>
            <w:u w:val="single"/>
          </w:rPr>
          <w:t xml:space="preserve"> Institutul European pentru Egalitatea de Șanse între Femei și Bărbați</w:t>
        </w:r>
      </w:hyperlink>
      <w:r w:rsidRPr="00553471">
        <w:rPr>
          <w:rFonts w:ascii="Times New Roman" w:hAnsi="Times New Roman"/>
          <w:sz w:val="18"/>
        </w:rPr>
        <w:t>.</w:t>
      </w:r>
    </w:p>
  </w:footnote>
  <w:footnote w:id="14">
    <w:p w14:paraId="5F10333F" w14:textId="361D0FE2" w:rsidR="00825899" w:rsidRPr="00553471" w:rsidRDefault="00825899"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A se vedea </w:t>
      </w:r>
      <w:hyperlink r:id="rId13" w:history="1">
        <w:r w:rsidRPr="00553471">
          <w:rPr>
            <w:rStyle w:val="Hyperlink"/>
            <w:rFonts w:ascii="Times New Roman" w:hAnsi="Times New Roman"/>
            <w:i/>
            <w:iCs/>
            <w:color w:val="auto"/>
            <w:sz w:val="18"/>
          </w:rPr>
          <w:t>Cyber violence against women</w:t>
        </w:r>
        <w:r w:rsidRPr="00553471">
          <w:rPr>
            <w:rStyle w:val="Hyperlink"/>
            <w:rFonts w:ascii="Times New Roman" w:hAnsi="Times New Roman"/>
            <w:color w:val="auto"/>
            <w:sz w:val="18"/>
          </w:rPr>
          <w:t xml:space="preserve"> (Violența cibernetică împotriva femeilor) |</w:t>
        </w:r>
      </w:hyperlink>
      <w:hyperlink r:id="rId14" w:history="1">
        <w:r w:rsidRPr="00553471">
          <w:rPr>
            <w:rStyle w:val="Hyperlink"/>
            <w:rFonts w:ascii="Times New Roman" w:hAnsi="Times New Roman"/>
            <w:color w:val="auto"/>
            <w:sz w:val="18"/>
          </w:rPr>
          <w:t xml:space="preserve"> Institutul European pentru Egalitatea de Șanse între Femei și Bărbați</w:t>
        </w:r>
      </w:hyperlink>
      <w:r w:rsidRPr="00553471">
        <w:rPr>
          <w:rFonts w:ascii="Times New Roman" w:hAnsi="Times New Roman"/>
          <w:sz w:val="18"/>
        </w:rPr>
        <w:t>.</w:t>
      </w:r>
    </w:p>
  </w:footnote>
  <w:footnote w:id="15">
    <w:p w14:paraId="11C40C3A" w14:textId="698A49DA" w:rsidR="00DA2B22" w:rsidRPr="00553471" w:rsidRDefault="00DA2B22"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A se vedea </w:t>
      </w:r>
      <w:hyperlink r:id="rId15" w:history="1">
        <w:r w:rsidRPr="00553471">
          <w:rPr>
            <w:rFonts w:ascii="Times New Roman" w:hAnsi="Times New Roman"/>
            <w:i/>
            <w:iCs/>
            <w:sz w:val="18"/>
            <w:u w:val="single"/>
          </w:rPr>
          <w:t>Costs of gender-based violence in the European Union</w:t>
        </w:r>
        <w:r w:rsidRPr="00553471">
          <w:rPr>
            <w:rFonts w:ascii="Times New Roman" w:hAnsi="Times New Roman"/>
            <w:sz w:val="18"/>
            <w:u w:val="single"/>
          </w:rPr>
          <w:t xml:space="preserve"> (Costurile violenței de gen în Uniunea Europeană) |</w:t>
        </w:r>
      </w:hyperlink>
      <w:hyperlink r:id="rId16" w:history="1">
        <w:r w:rsidRPr="00553471">
          <w:rPr>
            <w:rFonts w:ascii="Times New Roman" w:hAnsi="Times New Roman"/>
            <w:sz w:val="18"/>
            <w:u w:val="single"/>
          </w:rPr>
          <w:t xml:space="preserve"> Institutul European pentru Egalitatea de Șanse între Femei și Bărbați</w:t>
        </w:r>
      </w:hyperlink>
      <w:r w:rsidRPr="00553471">
        <w:rPr>
          <w:rFonts w:ascii="Times New Roman" w:hAnsi="Times New Roman"/>
          <w:sz w:val="18"/>
        </w:rPr>
        <w:t xml:space="preserve">. </w:t>
      </w:r>
    </w:p>
  </w:footnote>
  <w:footnote w:id="16">
    <w:p w14:paraId="5A9BD2ED" w14:textId="59E6C7E2" w:rsidR="00E732EA" w:rsidRPr="00553471" w:rsidRDefault="00E732EA"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Franklin, P., Mambra, C. și Albani, V. (2021)</w:t>
      </w:r>
      <w:r w:rsidR="009827EE" w:rsidRPr="00553471">
        <w:rPr>
          <w:rFonts w:ascii="Times New Roman" w:hAnsi="Times New Roman"/>
          <w:sz w:val="18"/>
        </w:rPr>
        <w:t xml:space="preserve"> –</w:t>
      </w:r>
      <w:r w:rsidRPr="00553471">
        <w:rPr>
          <w:rFonts w:ascii="Times New Roman" w:hAnsi="Times New Roman"/>
          <w:sz w:val="18"/>
        </w:rPr>
        <w:t xml:space="preserve"> </w:t>
      </w:r>
      <w:r w:rsidRPr="00553471">
        <w:rPr>
          <w:rFonts w:ascii="Times New Roman" w:hAnsi="Times New Roman"/>
          <w:i/>
          <w:iCs/>
          <w:sz w:val="18"/>
        </w:rPr>
        <w:t>Gender equality and health in the EU</w:t>
      </w:r>
      <w:r w:rsidRPr="00553471">
        <w:rPr>
          <w:rFonts w:ascii="Times New Roman" w:hAnsi="Times New Roman"/>
          <w:sz w:val="18"/>
        </w:rPr>
        <w:t xml:space="preserve"> (Egalitatea de gen și sănătatea în UE). Document disponibil online la adresa: </w:t>
      </w:r>
      <w:hyperlink r:id="rId17" w:history="1">
        <w:r w:rsidRPr="00553471">
          <w:rPr>
            <w:rStyle w:val="Hyperlink"/>
            <w:rFonts w:ascii="Times New Roman" w:hAnsi="Times New Roman"/>
            <w:color w:val="auto"/>
            <w:sz w:val="18"/>
          </w:rPr>
          <w:t>DS0320880ENN-en.pdf</w:t>
        </w:r>
      </w:hyperlink>
    </w:p>
  </w:footnote>
  <w:footnote w:id="17">
    <w:p w14:paraId="33CD6E4D" w14:textId="2669C59F" w:rsidR="006B1C0A" w:rsidRPr="00553471" w:rsidRDefault="006B1C0A"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w:t>
      </w:r>
      <w:hyperlink r:id="rId18" w:history="1">
        <w:r w:rsidRPr="00553471">
          <w:rPr>
            <w:rStyle w:val="Hyperlink"/>
            <w:rFonts w:ascii="Times New Roman" w:hAnsi="Times New Roman"/>
            <w:i/>
            <w:iCs/>
            <w:color w:val="auto"/>
            <w:sz w:val="18"/>
          </w:rPr>
          <w:t>Employment and activity by sex and age - annual data</w:t>
        </w:r>
        <w:r w:rsidRPr="00553471">
          <w:rPr>
            <w:rStyle w:val="Hyperlink"/>
            <w:rFonts w:ascii="Times New Roman" w:hAnsi="Times New Roman"/>
            <w:color w:val="auto"/>
            <w:sz w:val="18"/>
          </w:rPr>
          <w:t xml:space="preserve"> (Ocuparea forței de muncă și activitatea în funcție de sex și vârstă – date anuale) [lfsi_emp_a].</w:t>
        </w:r>
      </w:hyperlink>
    </w:p>
  </w:footnote>
  <w:footnote w:id="18">
    <w:p w14:paraId="7AF8245B" w14:textId="37C28CC7" w:rsidR="00A02C1B" w:rsidRPr="00553471" w:rsidRDefault="00A02C1B"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w:t>
      </w:r>
      <w:hyperlink r:id="rId19" w:history="1">
        <w:r w:rsidRPr="00553471">
          <w:rPr>
            <w:rStyle w:val="Hyperlink"/>
            <w:rFonts w:ascii="Times New Roman" w:hAnsi="Times New Roman"/>
            <w:i/>
            <w:iCs/>
            <w:color w:val="auto"/>
            <w:sz w:val="18"/>
          </w:rPr>
          <w:t>Gender pay gap statistics - Statistics Explained</w:t>
        </w:r>
        <w:r w:rsidRPr="00553471">
          <w:rPr>
            <w:rStyle w:val="Hyperlink"/>
            <w:rFonts w:ascii="Times New Roman" w:hAnsi="Times New Roman"/>
            <w:color w:val="auto"/>
            <w:sz w:val="18"/>
          </w:rPr>
          <w:t xml:space="preserve"> (Statistici privind diferențele de remunerare între femei și bărbați – statistici explicate)</w:t>
        </w:r>
      </w:hyperlink>
      <w:r w:rsidRPr="00553471">
        <w:rPr>
          <w:rFonts w:ascii="Times New Roman" w:hAnsi="Times New Roman"/>
          <w:sz w:val="18"/>
        </w:rPr>
        <w:t>.</w:t>
      </w:r>
    </w:p>
  </w:footnote>
  <w:footnote w:id="19">
    <w:p w14:paraId="468A539E" w14:textId="058F14EE" w:rsidR="00A02C1B" w:rsidRPr="00553471" w:rsidRDefault="00A02C1B" w:rsidP="005B38D4">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009827EE" w:rsidRPr="00553471">
        <w:rPr>
          <w:rFonts w:ascii="Times New Roman" w:hAnsi="Times New Roman"/>
          <w:sz w:val="18"/>
        </w:rPr>
        <w:t xml:space="preserve"> </w:t>
      </w:r>
      <w:r w:rsidRPr="00553471">
        <w:rPr>
          <w:rFonts w:ascii="Times New Roman" w:hAnsi="Times New Roman"/>
          <w:sz w:val="18"/>
        </w:rPr>
        <w:t xml:space="preserve">„Indicatorul privind absolvirea învățământului terțiar” este definit ca diferența dintre proporția de bărbați cu vârste cuprinse între 30 și 34 de ani care au absolvit învățământul terțiar și proporția de femei cu vârste cuprinse între 30 și 34 de ani care au absolvit învățământul terțiar. În 2023, în UE, această disparitate de gen a fost de -10,9 </w:t>
      </w:r>
      <w:hyperlink r:id="rId20" w:history="1">
        <w:r w:rsidRPr="00553471">
          <w:rPr>
            <w:rFonts w:ascii="Times New Roman" w:hAnsi="Times New Roman"/>
            <w:sz w:val="18"/>
            <w:u w:val="single"/>
          </w:rPr>
          <w:t>puncte procentuale (pp)</w:t>
        </w:r>
      </w:hyperlink>
      <w:r w:rsidRPr="00553471">
        <w:rPr>
          <w:rFonts w:ascii="Times New Roman" w:hAnsi="Times New Roman"/>
          <w:sz w:val="18"/>
        </w:rPr>
        <w:t xml:space="preserve">. A se vedea </w:t>
      </w:r>
      <w:hyperlink r:id="rId21" w:history="1">
        <w:r w:rsidRPr="00553471">
          <w:rPr>
            <w:rFonts w:ascii="Times New Roman" w:hAnsi="Times New Roman"/>
            <w:sz w:val="18"/>
            <w:u w:val="single"/>
            <w:bdr w:val="none" w:sz="0" w:space="0" w:color="auto" w:frame="1"/>
            <w:shd w:val="clear" w:color="auto" w:fill="FFFFFF"/>
          </w:rPr>
          <w:t>Populația în funcție de nivelul de instruire, sex și vârstă (%) – principalii indicatori [edat_lfse_03]</w:t>
        </w:r>
      </w:hyperlink>
      <w:r w:rsidRPr="00553471">
        <w:rPr>
          <w:rFonts w:ascii="Times New Roman" w:hAnsi="Times New Roman"/>
          <w:sz w:val="18"/>
        </w:rPr>
        <w:t>.</w:t>
      </w:r>
    </w:p>
  </w:footnote>
  <w:footnote w:id="20">
    <w:p w14:paraId="2569BFB8" w14:textId="66971A04" w:rsidR="005F76AD" w:rsidRPr="00553471" w:rsidRDefault="005F76AD"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Organizația Internațională a Muncii (2018), </w:t>
      </w:r>
      <w:hyperlink r:id="rId22" w:anchor="intro" w:history="1">
        <w:r w:rsidRPr="00553471">
          <w:rPr>
            <w:rStyle w:val="Hyperlink"/>
            <w:rFonts w:ascii="Times New Roman" w:hAnsi="Times New Roman"/>
            <w:i/>
            <w:iCs/>
            <w:color w:val="auto"/>
            <w:sz w:val="18"/>
          </w:rPr>
          <w:t>The gender gap in employment:</w:t>
        </w:r>
      </w:hyperlink>
      <w:hyperlink r:id="rId23" w:anchor="intro" w:history="1">
        <w:r w:rsidRPr="00553471">
          <w:rPr>
            <w:rStyle w:val="Hyperlink"/>
            <w:rFonts w:ascii="Times New Roman" w:hAnsi="Times New Roman"/>
            <w:color w:val="auto"/>
            <w:sz w:val="18"/>
          </w:rPr>
          <w:t xml:space="preserve"> </w:t>
        </w:r>
        <w:r w:rsidRPr="00553471">
          <w:rPr>
            <w:rStyle w:val="Hyperlink"/>
            <w:rFonts w:ascii="Times New Roman" w:hAnsi="Times New Roman"/>
            <w:i/>
            <w:iCs/>
            <w:color w:val="auto"/>
            <w:sz w:val="18"/>
          </w:rPr>
          <w:t>What's holding women back?</w:t>
        </w:r>
        <w:r w:rsidRPr="00553471">
          <w:rPr>
            <w:rStyle w:val="Hyperlink"/>
            <w:rFonts w:ascii="Times New Roman" w:hAnsi="Times New Roman"/>
            <w:color w:val="auto"/>
            <w:sz w:val="18"/>
          </w:rPr>
          <w:t xml:space="preserve"> (Disparitatea de gen în ceea ce privește rata de ocupare a forței de muncă – factorii care împiedică participarea femeilor la piața forței de muncă)</w:t>
        </w:r>
      </w:hyperlink>
      <w:hyperlink r:id="rId24" w:anchor="intro" w:history="1">
        <w:r w:rsidRPr="00553471">
          <w:rPr>
            <w:rStyle w:val="Hyperlink"/>
            <w:rFonts w:ascii="Times New Roman" w:hAnsi="Times New Roman"/>
            <w:color w:val="auto"/>
            <w:sz w:val="18"/>
          </w:rPr>
          <w:t xml:space="preserve"> - InfoStories</w:t>
        </w:r>
      </w:hyperlink>
      <w:r w:rsidRPr="00553471">
        <w:rPr>
          <w:rFonts w:ascii="Times New Roman" w:hAnsi="Times New Roman"/>
          <w:sz w:val="18"/>
        </w:rPr>
        <w:t>.</w:t>
      </w:r>
    </w:p>
  </w:footnote>
  <w:footnote w:id="21">
    <w:p w14:paraId="1E1C819F" w14:textId="17B07361" w:rsidR="008F4E5D" w:rsidRPr="00553471" w:rsidRDefault="008F4E5D"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w:t>
      </w:r>
      <w:hyperlink r:id="rId25" w:history="1">
        <w:r w:rsidRPr="00553471">
          <w:rPr>
            <w:rStyle w:val="Hyperlink"/>
            <w:rFonts w:ascii="Times New Roman" w:hAnsi="Times New Roman"/>
            <w:color w:val="auto"/>
            <w:sz w:val="18"/>
          </w:rPr>
          <w:t>Indicator:</w:t>
        </w:r>
      </w:hyperlink>
      <w:hyperlink r:id="rId26" w:history="1">
        <w:r w:rsidRPr="00553471">
          <w:rPr>
            <w:rStyle w:val="Hyperlink"/>
            <w:rFonts w:ascii="Times New Roman" w:hAnsi="Times New Roman"/>
            <w:color w:val="auto"/>
            <w:sz w:val="18"/>
          </w:rPr>
          <w:t xml:space="preserve"> </w:t>
        </w:r>
        <w:r w:rsidRPr="00553471">
          <w:rPr>
            <w:rStyle w:val="Hyperlink"/>
            <w:rFonts w:ascii="Times New Roman" w:hAnsi="Times New Roman"/>
            <w:i/>
            <w:iCs/>
            <w:color w:val="auto"/>
            <w:sz w:val="18"/>
          </w:rPr>
          <w:t>Parlamentele naționale:</w:t>
        </w:r>
      </w:hyperlink>
      <w:hyperlink r:id="rId27" w:history="1">
        <w:r w:rsidRPr="00553471">
          <w:rPr>
            <w:rStyle w:val="Hyperlink"/>
            <w:rFonts w:ascii="Times New Roman" w:hAnsi="Times New Roman"/>
            <w:color w:val="auto"/>
            <w:sz w:val="18"/>
          </w:rPr>
          <w:t xml:space="preserve"> </w:t>
        </w:r>
        <w:r w:rsidRPr="00553471">
          <w:rPr>
            <w:rStyle w:val="Hyperlink"/>
            <w:rFonts w:ascii="Times New Roman" w:hAnsi="Times New Roman"/>
            <w:i/>
            <w:iCs/>
            <w:color w:val="auto"/>
            <w:sz w:val="18"/>
          </w:rPr>
          <w:t>președinții și membrii</w:t>
        </w:r>
        <w:r w:rsidRPr="00553471">
          <w:rPr>
            <w:rStyle w:val="Hyperlink"/>
            <w:rFonts w:ascii="Times New Roman" w:hAnsi="Times New Roman"/>
            <w:color w:val="auto"/>
            <w:sz w:val="18"/>
          </w:rPr>
          <w:t xml:space="preserve"> |</w:t>
        </w:r>
      </w:hyperlink>
      <w:hyperlink r:id="rId28" w:history="1">
        <w:r w:rsidRPr="00553471">
          <w:rPr>
            <w:rStyle w:val="Hyperlink"/>
            <w:rFonts w:ascii="Times New Roman" w:hAnsi="Times New Roman"/>
            <w:color w:val="auto"/>
            <w:sz w:val="18"/>
          </w:rPr>
          <w:t xml:space="preserve"> </w:t>
        </w:r>
        <w:r w:rsidRPr="00553471">
          <w:rPr>
            <w:rStyle w:val="Hyperlink"/>
            <w:rFonts w:ascii="Times New Roman" w:hAnsi="Times New Roman"/>
            <w:i/>
            <w:iCs/>
            <w:color w:val="auto"/>
            <w:sz w:val="18"/>
          </w:rPr>
          <w:t>Baza de date cu statistici legate de gen</w:t>
        </w:r>
        <w:r w:rsidRPr="00553471">
          <w:rPr>
            <w:rStyle w:val="Hyperlink"/>
            <w:rFonts w:ascii="Times New Roman" w:hAnsi="Times New Roman"/>
            <w:color w:val="auto"/>
            <w:sz w:val="18"/>
          </w:rPr>
          <w:t xml:space="preserve"> |</w:t>
        </w:r>
      </w:hyperlink>
      <w:hyperlink r:id="rId29" w:history="1">
        <w:r w:rsidRPr="00553471">
          <w:rPr>
            <w:rStyle w:val="Hyperlink"/>
            <w:rFonts w:ascii="Times New Roman" w:hAnsi="Times New Roman"/>
            <w:color w:val="auto"/>
            <w:sz w:val="18"/>
          </w:rPr>
          <w:t xml:space="preserve"> Institutul European pentru Egalitatea de Șanse.</w:t>
        </w:r>
      </w:hyperlink>
    </w:p>
  </w:footnote>
  <w:footnote w:id="22">
    <w:p w14:paraId="63E8B82F" w14:textId="45BC28DC" w:rsidR="00176DA4" w:rsidRPr="00553471" w:rsidRDefault="00176DA4"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w:t>
      </w:r>
      <w:hyperlink r:id="rId30" w:history="1">
        <w:r w:rsidRPr="00553471">
          <w:rPr>
            <w:rStyle w:val="Hyperlink"/>
            <w:rFonts w:ascii="Times New Roman" w:hAnsi="Times New Roman"/>
            <w:i/>
            <w:iCs/>
            <w:color w:val="auto"/>
            <w:sz w:val="18"/>
          </w:rPr>
          <w:t>Gender pension gap by age group</w:t>
        </w:r>
        <w:r w:rsidRPr="00553471">
          <w:rPr>
            <w:rStyle w:val="Hyperlink"/>
            <w:rFonts w:ascii="Times New Roman" w:hAnsi="Times New Roman"/>
            <w:color w:val="auto"/>
            <w:sz w:val="18"/>
          </w:rPr>
          <w:t xml:space="preserve"> [ilc_pnp13]</w:t>
        </w:r>
      </w:hyperlink>
      <w:r w:rsidR="00343A65" w:rsidRPr="00553471">
        <w:rPr>
          <w:rStyle w:val="Hyperlink"/>
          <w:rFonts w:ascii="Times New Roman" w:hAnsi="Times New Roman"/>
          <w:color w:val="auto"/>
          <w:sz w:val="18"/>
        </w:rPr>
        <w:t xml:space="preserve"> (</w:t>
      </w:r>
      <w:r w:rsidR="009C0996" w:rsidRPr="00553471">
        <w:rPr>
          <w:rStyle w:val="Hyperlink"/>
          <w:rFonts w:ascii="Times New Roman" w:hAnsi="Times New Roman"/>
          <w:color w:val="auto"/>
          <w:sz w:val="18"/>
        </w:rPr>
        <w:t>Diferențele de pensii între bărbați și femei pe grupe de vârstă</w:t>
      </w:r>
      <w:r w:rsidR="00343A65" w:rsidRPr="00553471">
        <w:rPr>
          <w:rStyle w:val="Hyperlink"/>
          <w:rFonts w:ascii="Times New Roman" w:hAnsi="Times New Roman"/>
          <w:color w:val="auto"/>
          <w:sz w:val="18"/>
        </w:rPr>
        <w:t>)</w:t>
      </w:r>
      <w:r w:rsidRPr="00553471">
        <w:rPr>
          <w:rFonts w:ascii="Times New Roman" w:hAnsi="Times New Roman"/>
          <w:sz w:val="18"/>
        </w:rPr>
        <w:t>.</w:t>
      </w:r>
    </w:p>
  </w:footnote>
  <w:footnote w:id="23">
    <w:p w14:paraId="718F2DF0" w14:textId="0A9447E4" w:rsidR="004904C0" w:rsidRPr="00553471" w:rsidRDefault="004904C0" w:rsidP="00296998">
      <w:pPr>
        <w:pStyle w:val="FootnoteText"/>
        <w:jc w:val="both"/>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0061061C" w:rsidRPr="00553471">
        <w:t xml:space="preserve"> </w:t>
      </w:r>
      <w:r w:rsidR="0061061C" w:rsidRPr="00553471">
        <w:rPr>
          <w:rFonts w:ascii="Times New Roman" w:hAnsi="Times New Roman" w:cs="Times New Roman"/>
          <w:i/>
          <w:iCs/>
          <w:sz w:val="18"/>
          <w:szCs w:val="18"/>
          <w:u w:val="single"/>
        </w:rPr>
        <w:t xml:space="preserve">Employed ICT specialists by sex Statistics </w:t>
      </w:r>
      <w:r w:rsidR="0061061C" w:rsidRPr="00553471">
        <w:t>(</w:t>
      </w:r>
      <w:hyperlink r:id="rId31" w:history="1">
        <w:r w:rsidRPr="00553471">
          <w:rPr>
            <w:rStyle w:val="Hyperlink"/>
            <w:rFonts w:ascii="Times New Roman" w:hAnsi="Times New Roman"/>
            <w:color w:val="auto"/>
            <w:sz w:val="18"/>
          </w:rPr>
          <w:t>Specialiști angajați în sectorul TIC, în funcție de sex – Statistici |</w:t>
        </w:r>
      </w:hyperlink>
      <w:hyperlink r:id="rId32" w:history="1">
        <w:r w:rsidRPr="00553471">
          <w:rPr>
            <w:rStyle w:val="Hyperlink"/>
            <w:rFonts w:ascii="Times New Roman" w:hAnsi="Times New Roman"/>
            <w:color w:val="auto"/>
            <w:sz w:val="18"/>
          </w:rPr>
          <w:t xml:space="preserve"> Eurostat</w:t>
        </w:r>
      </w:hyperlink>
      <w:r w:rsidR="0061061C" w:rsidRPr="00553471">
        <w:rPr>
          <w:rStyle w:val="Hyperlink"/>
          <w:rFonts w:ascii="Times New Roman" w:hAnsi="Times New Roman"/>
          <w:color w:val="auto"/>
          <w:sz w:val="18"/>
        </w:rPr>
        <w:t>)</w:t>
      </w:r>
      <w:r w:rsidRPr="00553471">
        <w:rPr>
          <w:rFonts w:ascii="Times New Roman" w:hAnsi="Times New Roman"/>
          <w:sz w:val="18"/>
        </w:rPr>
        <w:t>.</w:t>
      </w:r>
    </w:p>
  </w:footnote>
  <w:footnote w:id="24">
    <w:p w14:paraId="7A852D1A" w14:textId="4B27EB89" w:rsidR="00B4168C" w:rsidRPr="00553471" w:rsidRDefault="00B4168C" w:rsidP="00296998">
      <w:pPr>
        <w:pStyle w:val="FootnoteText"/>
        <w:jc w:val="both"/>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w:t>
      </w:r>
      <w:hyperlink r:id="rId33" w:history="1">
        <w:hyperlink r:id="rId34" w:history="1">
          <w:r w:rsidR="0061061C" w:rsidRPr="00553471">
            <w:rPr>
              <w:rStyle w:val="Hyperlink"/>
              <w:rFonts w:ascii="Times New Roman" w:hAnsi="Times New Roman"/>
              <w:color w:val="auto"/>
              <w:sz w:val="18"/>
            </w:rPr>
            <w:t>Classroom teachers and academic staff by education level, programme orientation, sex and age groups [educ_uoe_perp01]</w:t>
          </w:r>
        </w:hyperlink>
        <w:r w:rsidR="0061061C" w:rsidRPr="00553471">
          <w:rPr>
            <w:rFonts w:ascii="Times New Roman" w:hAnsi="Times New Roman"/>
            <w:sz w:val="18"/>
            <w:u w:val="single"/>
          </w:rPr>
          <w:t xml:space="preserve"> (C</w:t>
        </w:r>
        <w:r w:rsidRPr="00553471">
          <w:rPr>
            <w:rStyle w:val="Hyperlink"/>
            <w:rFonts w:ascii="Times New Roman" w:hAnsi="Times New Roman"/>
            <w:color w:val="auto"/>
            <w:sz w:val="18"/>
          </w:rPr>
          <w:t>adre didactice și personal academic în funcție de nivelul de studii, orientarea programului, sex și grupa de vârstă</w:t>
        </w:r>
        <w:r w:rsidR="0061061C" w:rsidRPr="00553471">
          <w:rPr>
            <w:rStyle w:val="Hyperlink"/>
            <w:rFonts w:ascii="Times New Roman" w:hAnsi="Times New Roman"/>
            <w:color w:val="auto"/>
            <w:sz w:val="18"/>
          </w:rPr>
          <w:t>)</w:t>
        </w:r>
        <w:r w:rsidRPr="00553471">
          <w:rPr>
            <w:rStyle w:val="Hyperlink"/>
            <w:rFonts w:ascii="Times New Roman" w:hAnsi="Times New Roman"/>
            <w:color w:val="auto"/>
            <w:sz w:val="18"/>
          </w:rPr>
          <w:t xml:space="preserve"> </w:t>
        </w:r>
      </w:hyperlink>
    </w:p>
  </w:footnote>
  <w:footnote w:id="25">
    <w:p w14:paraId="5EE4EAB0" w14:textId="4F18F523" w:rsidR="00886EE0" w:rsidRPr="00553471" w:rsidRDefault="00886EE0">
      <w:pPr>
        <w:pStyle w:val="FootnoteText"/>
        <w:rPr>
          <w:rFonts w:ascii="Times New Roman" w:hAnsi="Times New Roman" w:cs="Times New Roman"/>
          <w:sz w:val="18"/>
          <w:szCs w:val="18"/>
        </w:rPr>
      </w:pPr>
      <w:r w:rsidRPr="00553471">
        <w:rPr>
          <w:rStyle w:val="FootnoteReference"/>
        </w:rPr>
        <w:footnoteRef/>
      </w:r>
      <w:r w:rsidRPr="00553471">
        <w:t xml:space="preserve"> </w:t>
      </w:r>
      <w:hyperlink r:id="rId35" w:history="1">
        <w:r w:rsidRPr="00553471">
          <w:rPr>
            <w:rStyle w:val="Hyperlink"/>
            <w:rFonts w:ascii="Times New Roman" w:hAnsi="Times New Roman"/>
            <w:color w:val="auto"/>
            <w:sz w:val="18"/>
          </w:rPr>
          <w:t>https://commission.europa.eu/strategy-and-policy/priorities-2019-2024/stronger-europe-world/global-gateway_en</w:t>
        </w:r>
      </w:hyperlink>
      <w:r w:rsidRPr="00553471">
        <w:rPr>
          <w:rFonts w:ascii="Times New Roman" w:hAnsi="Times New Roman"/>
          <w:sz w:val="18"/>
        </w:rPr>
        <w:t xml:space="preserve"> </w:t>
      </w:r>
    </w:p>
  </w:footnote>
  <w:footnote w:id="26">
    <w:p w14:paraId="5D5233E7" w14:textId="679DDE5E" w:rsidR="00917205" w:rsidRPr="002D5DAF" w:rsidRDefault="00917205" w:rsidP="00917205">
      <w:pPr>
        <w:pStyle w:val="FootnoteText"/>
        <w:rPr>
          <w:rFonts w:ascii="Times New Roman" w:hAnsi="Times New Roman" w:cs="Times New Roman"/>
          <w:sz w:val="18"/>
          <w:szCs w:val="18"/>
        </w:rPr>
      </w:pPr>
      <w:r w:rsidRPr="00553471">
        <w:rPr>
          <w:rStyle w:val="FootnoteReference"/>
          <w:rFonts w:ascii="Times New Roman" w:hAnsi="Times New Roman" w:cs="Times New Roman"/>
          <w:sz w:val="18"/>
          <w:szCs w:val="18"/>
        </w:rPr>
        <w:footnoteRef/>
      </w:r>
      <w:r w:rsidRPr="00553471">
        <w:rPr>
          <w:rFonts w:ascii="Times New Roman" w:hAnsi="Times New Roman"/>
          <w:sz w:val="18"/>
        </w:rPr>
        <w:t xml:space="preserve"> JO L, 2024/2509, 26.9.2024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047F7" w14:textId="77777777" w:rsidR="005E4FB5" w:rsidRPr="005E4FB5" w:rsidRDefault="005E4FB5" w:rsidP="005E4FB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BF3BA" w14:textId="77777777" w:rsidR="005E4FB5" w:rsidRPr="005E4FB5" w:rsidRDefault="005E4FB5" w:rsidP="005E4FB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7B0CD" w14:textId="77777777" w:rsidR="005E4FB5" w:rsidRPr="005E4FB5" w:rsidRDefault="005E4FB5" w:rsidP="005E4FB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19B6F" w14:textId="77777777" w:rsidR="00F41D00" w:rsidRDefault="00F41D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141D" w14:textId="77777777" w:rsidR="00F41D00" w:rsidRDefault="00F41D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1421B" w14:textId="77777777" w:rsidR="00F41D00" w:rsidRDefault="00F41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B468F"/>
    <w:multiLevelType w:val="hybridMultilevel"/>
    <w:tmpl w:val="20C2265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040350D"/>
    <w:multiLevelType w:val="hybridMultilevel"/>
    <w:tmpl w:val="542C84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2AFB088-D06F-4BF4-8A80-0049F05342F1"/>
    <w:docVar w:name="LW_COVERPAGE_TYPE" w:val="1"/>
    <w:docVar w:name="LW_CROSSREFERENCE" w:val="&lt;UNUSED&gt;"/>
    <w:docVar w:name="LW_DocType" w:val="NORMAL"/>
    <w:docVar w:name="LW_EMISSION" w:val="7.3.2025"/>
    <w:docVar w:name="LW_EMISSION_ISODATE" w:val="2025-03-0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foaie de parcurs privind drepturile femeilor"/>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ED6551"/>
    <w:rsid w:val="00000A96"/>
    <w:rsid w:val="00000BE1"/>
    <w:rsid w:val="00001A33"/>
    <w:rsid w:val="00001E84"/>
    <w:rsid w:val="00003FA6"/>
    <w:rsid w:val="0000474A"/>
    <w:rsid w:val="00005352"/>
    <w:rsid w:val="00010589"/>
    <w:rsid w:val="00010C96"/>
    <w:rsid w:val="00011049"/>
    <w:rsid w:val="0001156F"/>
    <w:rsid w:val="00011B93"/>
    <w:rsid w:val="00012F23"/>
    <w:rsid w:val="00012F8B"/>
    <w:rsid w:val="00013576"/>
    <w:rsid w:val="000249FE"/>
    <w:rsid w:val="00026022"/>
    <w:rsid w:val="00027017"/>
    <w:rsid w:val="0002711F"/>
    <w:rsid w:val="00030A39"/>
    <w:rsid w:val="00030B7A"/>
    <w:rsid w:val="000317BA"/>
    <w:rsid w:val="00031AD4"/>
    <w:rsid w:val="00031C2F"/>
    <w:rsid w:val="00033AE8"/>
    <w:rsid w:val="00033F35"/>
    <w:rsid w:val="00034A55"/>
    <w:rsid w:val="000357A0"/>
    <w:rsid w:val="00036762"/>
    <w:rsid w:val="00036EC9"/>
    <w:rsid w:val="00036EF8"/>
    <w:rsid w:val="00037C87"/>
    <w:rsid w:val="00040E2F"/>
    <w:rsid w:val="00040EC7"/>
    <w:rsid w:val="00040EF7"/>
    <w:rsid w:val="00042143"/>
    <w:rsid w:val="00042D03"/>
    <w:rsid w:val="00043629"/>
    <w:rsid w:val="0004371D"/>
    <w:rsid w:val="00043EB2"/>
    <w:rsid w:val="0004499E"/>
    <w:rsid w:val="000453D2"/>
    <w:rsid w:val="00045E5F"/>
    <w:rsid w:val="0004703C"/>
    <w:rsid w:val="00047BCD"/>
    <w:rsid w:val="0005188B"/>
    <w:rsid w:val="0005220A"/>
    <w:rsid w:val="0005255B"/>
    <w:rsid w:val="0005475F"/>
    <w:rsid w:val="00054A8A"/>
    <w:rsid w:val="00054D7E"/>
    <w:rsid w:val="00060369"/>
    <w:rsid w:val="00061D06"/>
    <w:rsid w:val="00064A01"/>
    <w:rsid w:val="00064F24"/>
    <w:rsid w:val="000676B7"/>
    <w:rsid w:val="0006786F"/>
    <w:rsid w:val="00070322"/>
    <w:rsid w:val="000712B5"/>
    <w:rsid w:val="00071AFC"/>
    <w:rsid w:val="00073A83"/>
    <w:rsid w:val="00074E60"/>
    <w:rsid w:val="0007530B"/>
    <w:rsid w:val="0007539C"/>
    <w:rsid w:val="00076EE0"/>
    <w:rsid w:val="0008066E"/>
    <w:rsid w:val="00080B87"/>
    <w:rsid w:val="00080E54"/>
    <w:rsid w:val="00080F98"/>
    <w:rsid w:val="000838AB"/>
    <w:rsid w:val="00083AE7"/>
    <w:rsid w:val="00085767"/>
    <w:rsid w:val="00085A54"/>
    <w:rsid w:val="000872F7"/>
    <w:rsid w:val="00090F77"/>
    <w:rsid w:val="0009315D"/>
    <w:rsid w:val="000943E0"/>
    <w:rsid w:val="0009484B"/>
    <w:rsid w:val="00094FD5"/>
    <w:rsid w:val="00096378"/>
    <w:rsid w:val="0009731A"/>
    <w:rsid w:val="000A0B92"/>
    <w:rsid w:val="000A0EA4"/>
    <w:rsid w:val="000A0EFB"/>
    <w:rsid w:val="000A3C97"/>
    <w:rsid w:val="000A5BD5"/>
    <w:rsid w:val="000A6345"/>
    <w:rsid w:val="000A6893"/>
    <w:rsid w:val="000A75A3"/>
    <w:rsid w:val="000B0A46"/>
    <w:rsid w:val="000B4774"/>
    <w:rsid w:val="000B6DB4"/>
    <w:rsid w:val="000B7352"/>
    <w:rsid w:val="000B7A1C"/>
    <w:rsid w:val="000C0EFC"/>
    <w:rsid w:val="000C17B1"/>
    <w:rsid w:val="000C2D51"/>
    <w:rsid w:val="000C3BE2"/>
    <w:rsid w:val="000C3EE8"/>
    <w:rsid w:val="000C3F41"/>
    <w:rsid w:val="000C4B2D"/>
    <w:rsid w:val="000C606B"/>
    <w:rsid w:val="000C7F7B"/>
    <w:rsid w:val="000D022A"/>
    <w:rsid w:val="000D070E"/>
    <w:rsid w:val="000D1429"/>
    <w:rsid w:val="000D3377"/>
    <w:rsid w:val="000D3D92"/>
    <w:rsid w:val="000D5416"/>
    <w:rsid w:val="000D7739"/>
    <w:rsid w:val="000D7C70"/>
    <w:rsid w:val="000E0459"/>
    <w:rsid w:val="000E0C3F"/>
    <w:rsid w:val="000E0CED"/>
    <w:rsid w:val="000E12E6"/>
    <w:rsid w:val="000E3F68"/>
    <w:rsid w:val="000E44E8"/>
    <w:rsid w:val="000E4543"/>
    <w:rsid w:val="000E4A58"/>
    <w:rsid w:val="000E4AB0"/>
    <w:rsid w:val="000E671B"/>
    <w:rsid w:val="000F0512"/>
    <w:rsid w:val="000F1336"/>
    <w:rsid w:val="000F1D01"/>
    <w:rsid w:val="000F2226"/>
    <w:rsid w:val="000F2BEF"/>
    <w:rsid w:val="000F4136"/>
    <w:rsid w:val="000F5728"/>
    <w:rsid w:val="000F619D"/>
    <w:rsid w:val="000F6AED"/>
    <w:rsid w:val="000F6F99"/>
    <w:rsid w:val="000F7E38"/>
    <w:rsid w:val="00100544"/>
    <w:rsid w:val="00100B79"/>
    <w:rsid w:val="00101326"/>
    <w:rsid w:val="001014DE"/>
    <w:rsid w:val="00102049"/>
    <w:rsid w:val="00102C83"/>
    <w:rsid w:val="00103573"/>
    <w:rsid w:val="00103BEB"/>
    <w:rsid w:val="00103CA7"/>
    <w:rsid w:val="00104B45"/>
    <w:rsid w:val="001053CA"/>
    <w:rsid w:val="00105D30"/>
    <w:rsid w:val="00107E48"/>
    <w:rsid w:val="00107EB3"/>
    <w:rsid w:val="001117A6"/>
    <w:rsid w:val="00113217"/>
    <w:rsid w:val="001135AC"/>
    <w:rsid w:val="001146D5"/>
    <w:rsid w:val="00115092"/>
    <w:rsid w:val="0011631B"/>
    <w:rsid w:val="0011691A"/>
    <w:rsid w:val="0011725C"/>
    <w:rsid w:val="001172F8"/>
    <w:rsid w:val="00117549"/>
    <w:rsid w:val="00120434"/>
    <w:rsid w:val="00121287"/>
    <w:rsid w:val="001219EE"/>
    <w:rsid w:val="00122B8A"/>
    <w:rsid w:val="00123302"/>
    <w:rsid w:val="00123E9E"/>
    <w:rsid w:val="00125D94"/>
    <w:rsid w:val="0012621B"/>
    <w:rsid w:val="0012653A"/>
    <w:rsid w:val="0012684D"/>
    <w:rsid w:val="00126E56"/>
    <w:rsid w:val="0012737D"/>
    <w:rsid w:val="0012765A"/>
    <w:rsid w:val="00130A89"/>
    <w:rsid w:val="00131B9E"/>
    <w:rsid w:val="00131EE2"/>
    <w:rsid w:val="00132143"/>
    <w:rsid w:val="00132B7C"/>
    <w:rsid w:val="00133E44"/>
    <w:rsid w:val="00134A05"/>
    <w:rsid w:val="00134A4E"/>
    <w:rsid w:val="00135196"/>
    <w:rsid w:val="0013568D"/>
    <w:rsid w:val="00135DC3"/>
    <w:rsid w:val="00136DB4"/>
    <w:rsid w:val="00137F10"/>
    <w:rsid w:val="00140240"/>
    <w:rsid w:val="0014041A"/>
    <w:rsid w:val="001408AA"/>
    <w:rsid w:val="00141C45"/>
    <w:rsid w:val="00143D70"/>
    <w:rsid w:val="00144384"/>
    <w:rsid w:val="00144EC2"/>
    <w:rsid w:val="00146A8A"/>
    <w:rsid w:val="00146BBD"/>
    <w:rsid w:val="001478C6"/>
    <w:rsid w:val="001506C1"/>
    <w:rsid w:val="00153856"/>
    <w:rsid w:val="00153BA0"/>
    <w:rsid w:val="001543AF"/>
    <w:rsid w:val="00155813"/>
    <w:rsid w:val="001558DC"/>
    <w:rsid w:val="00157AD7"/>
    <w:rsid w:val="0016009C"/>
    <w:rsid w:val="00160D86"/>
    <w:rsid w:val="00161FDB"/>
    <w:rsid w:val="00162148"/>
    <w:rsid w:val="001639BA"/>
    <w:rsid w:val="00163C0D"/>
    <w:rsid w:val="00165332"/>
    <w:rsid w:val="001658F2"/>
    <w:rsid w:val="001661C4"/>
    <w:rsid w:val="001669E3"/>
    <w:rsid w:val="00167CCD"/>
    <w:rsid w:val="00170D23"/>
    <w:rsid w:val="001726D0"/>
    <w:rsid w:val="00172FCD"/>
    <w:rsid w:val="00173879"/>
    <w:rsid w:val="001746F4"/>
    <w:rsid w:val="001757A1"/>
    <w:rsid w:val="00175DF5"/>
    <w:rsid w:val="0017627A"/>
    <w:rsid w:val="0017635C"/>
    <w:rsid w:val="00176DA4"/>
    <w:rsid w:val="0018115C"/>
    <w:rsid w:val="001813EA"/>
    <w:rsid w:val="00181B49"/>
    <w:rsid w:val="00181B8B"/>
    <w:rsid w:val="00181C3E"/>
    <w:rsid w:val="00182CA2"/>
    <w:rsid w:val="00183153"/>
    <w:rsid w:val="001834F7"/>
    <w:rsid w:val="00183D71"/>
    <w:rsid w:val="00184A8F"/>
    <w:rsid w:val="00184D96"/>
    <w:rsid w:val="00184F17"/>
    <w:rsid w:val="0018557D"/>
    <w:rsid w:val="00185DEE"/>
    <w:rsid w:val="00186134"/>
    <w:rsid w:val="0018754E"/>
    <w:rsid w:val="00187843"/>
    <w:rsid w:val="00187FD1"/>
    <w:rsid w:val="001906F3"/>
    <w:rsid w:val="00190972"/>
    <w:rsid w:val="00191EBB"/>
    <w:rsid w:val="00192765"/>
    <w:rsid w:val="00193AC3"/>
    <w:rsid w:val="00195BE6"/>
    <w:rsid w:val="00195E5F"/>
    <w:rsid w:val="00195FD3"/>
    <w:rsid w:val="0019754A"/>
    <w:rsid w:val="001976E8"/>
    <w:rsid w:val="001A278B"/>
    <w:rsid w:val="001A3124"/>
    <w:rsid w:val="001A3161"/>
    <w:rsid w:val="001A414A"/>
    <w:rsid w:val="001A51F2"/>
    <w:rsid w:val="001A6FD2"/>
    <w:rsid w:val="001A7216"/>
    <w:rsid w:val="001B1E89"/>
    <w:rsid w:val="001B2594"/>
    <w:rsid w:val="001B2880"/>
    <w:rsid w:val="001B3614"/>
    <w:rsid w:val="001B3D6C"/>
    <w:rsid w:val="001B3DD4"/>
    <w:rsid w:val="001B415A"/>
    <w:rsid w:val="001B4691"/>
    <w:rsid w:val="001B4C18"/>
    <w:rsid w:val="001B5A64"/>
    <w:rsid w:val="001B7EA6"/>
    <w:rsid w:val="001C03A8"/>
    <w:rsid w:val="001C1970"/>
    <w:rsid w:val="001C2298"/>
    <w:rsid w:val="001C23C1"/>
    <w:rsid w:val="001C2FCC"/>
    <w:rsid w:val="001C65EC"/>
    <w:rsid w:val="001D1FB9"/>
    <w:rsid w:val="001D2201"/>
    <w:rsid w:val="001D2333"/>
    <w:rsid w:val="001D4022"/>
    <w:rsid w:val="001D4D09"/>
    <w:rsid w:val="001D52CB"/>
    <w:rsid w:val="001D5D84"/>
    <w:rsid w:val="001D6097"/>
    <w:rsid w:val="001D7A71"/>
    <w:rsid w:val="001E07D5"/>
    <w:rsid w:val="001E10DF"/>
    <w:rsid w:val="001E1559"/>
    <w:rsid w:val="001E275F"/>
    <w:rsid w:val="001E3852"/>
    <w:rsid w:val="001E4295"/>
    <w:rsid w:val="001E46E2"/>
    <w:rsid w:val="001E49D4"/>
    <w:rsid w:val="001E6926"/>
    <w:rsid w:val="001F0219"/>
    <w:rsid w:val="001F0E3C"/>
    <w:rsid w:val="001F20EA"/>
    <w:rsid w:val="001F3AF2"/>
    <w:rsid w:val="001F3FB1"/>
    <w:rsid w:val="001F45BE"/>
    <w:rsid w:val="001F4FE2"/>
    <w:rsid w:val="001F531C"/>
    <w:rsid w:val="001F66D5"/>
    <w:rsid w:val="001F7654"/>
    <w:rsid w:val="001F780F"/>
    <w:rsid w:val="001F7AA5"/>
    <w:rsid w:val="001F7EDE"/>
    <w:rsid w:val="0020184C"/>
    <w:rsid w:val="00201A09"/>
    <w:rsid w:val="00202753"/>
    <w:rsid w:val="002042E2"/>
    <w:rsid w:val="00205E93"/>
    <w:rsid w:val="0020606C"/>
    <w:rsid w:val="0020758B"/>
    <w:rsid w:val="00207ADE"/>
    <w:rsid w:val="002113D1"/>
    <w:rsid w:val="0021288F"/>
    <w:rsid w:val="00213401"/>
    <w:rsid w:val="002166E2"/>
    <w:rsid w:val="0021682E"/>
    <w:rsid w:val="00216978"/>
    <w:rsid w:val="00216B5A"/>
    <w:rsid w:val="00216E57"/>
    <w:rsid w:val="00217F9A"/>
    <w:rsid w:val="002200A1"/>
    <w:rsid w:val="002218D0"/>
    <w:rsid w:val="002245C7"/>
    <w:rsid w:val="002248D8"/>
    <w:rsid w:val="00226121"/>
    <w:rsid w:val="00226BB1"/>
    <w:rsid w:val="00226C1C"/>
    <w:rsid w:val="00230188"/>
    <w:rsid w:val="0023028A"/>
    <w:rsid w:val="00231226"/>
    <w:rsid w:val="00231257"/>
    <w:rsid w:val="00231EB9"/>
    <w:rsid w:val="00231F3C"/>
    <w:rsid w:val="0023251B"/>
    <w:rsid w:val="00232A26"/>
    <w:rsid w:val="00233A7D"/>
    <w:rsid w:val="00233ECF"/>
    <w:rsid w:val="002354DA"/>
    <w:rsid w:val="00236C38"/>
    <w:rsid w:val="0023759A"/>
    <w:rsid w:val="00240436"/>
    <w:rsid w:val="002405CF"/>
    <w:rsid w:val="0024271E"/>
    <w:rsid w:val="00242CA3"/>
    <w:rsid w:val="00243D98"/>
    <w:rsid w:val="0024442D"/>
    <w:rsid w:val="002450FE"/>
    <w:rsid w:val="00245F63"/>
    <w:rsid w:val="0024696B"/>
    <w:rsid w:val="00246C51"/>
    <w:rsid w:val="002473D5"/>
    <w:rsid w:val="002478C0"/>
    <w:rsid w:val="00250502"/>
    <w:rsid w:val="002508BD"/>
    <w:rsid w:val="00252211"/>
    <w:rsid w:val="00252289"/>
    <w:rsid w:val="00252D85"/>
    <w:rsid w:val="002531FB"/>
    <w:rsid w:val="0025393C"/>
    <w:rsid w:val="00254B02"/>
    <w:rsid w:val="002552DE"/>
    <w:rsid w:val="00255390"/>
    <w:rsid w:val="00256243"/>
    <w:rsid w:val="002575FB"/>
    <w:rsid w:val="00257999"/>
    <w:rsid w:val="002607C1"/>
    <w:rsid w:val="00262724"/>
    <w:rsid w:val="0026292A"/>
    <w:rsid w:val="00263736"/>
    <w:rsid w:val="00263E73"/>
    <w:rsid w:val="00264241"/>
    <w:rsid w:val="00264A59"/>
    <w:rsid w:val="00265783"/>
    <w:rsid w:val="00266E07"/>
    <w:rsid w:val="00270EC3"/>
    <w:rsid w:val="002718E4"/>
    <w:rsid w:val="00271AAF"/>
    <w:rsid w:val="002721B4"/>
    <w:rsid w:val="00273A72"/>
    <w:rsid w:val="00274F17"/>
    <w:rsid w:val="002753DC"/>
    <w:rsid w:val="00275CD6"/>
    <w:rsid w:val="002765ED"/>
    <w:rsid w:val="00276D75"/>
    <w:rsid w:val="002771E2"/>
    <w:rsid w:val="002804E0"/>
    <w:rsid w:val="00280D67"/>
    <w:rsid w:val="00281F7E"/>
    <w:rsid w:val="0028306E"/>
    <w:rsid w:val="00283AB4"/>
    <w:rsid w:val="00284C2D"/>
    <w:rsid w:val="00284D66"/>
    <w:rsid w:val="00284E3C"/>
    <w:rsid w:val="0028583E"/>
    <w:rsid w:val="00285E67"/>
    <w:rsid w:val="00286FDE"/>
    <w:rsid w:val="00287FDC"/>
    <w:rsid w:val="0029365E"/>
    <w:rsid w:val="00293AE2"/>
    <w:rsid w:val="002951CD"/>
    <w:rsid w:val="0029555E"/>
    <w:rsid w:val="00295977"/>
    <w:rsid w:val="00296998"/>
    <w:rsid w:val="00296A5B"/>
    <w:rsid w:val="00296AF9"/>
    <w:rsid w:val="00296B4C"/>
    <w:rsid w:val="00297160"/>
    <w:rsid w:val="0029746D"/>
    <w:rsid w:val="002A0FF7"/>
    <w:rsid w:val="002A15CE"/>
    <w:rsid w:val="002A246E"/>
    <w:rsid w:val="002A453C"/>
    <w:rsid w:val="002A5457"/>
    <w:rsid w:val="002A5EEC"/>
    <w:rsid w:val="002A609D"/>
    <w:rsid w:val="002B018C"/>
    <w:rsid w:val="002B1A5A"/>
    <w:rsid w:val="002B2284"/>
    <w:rsid w:val="002B2602"/>
    <w:rsid w:val="002B3E85"/>
    <w:rsid w:val="002B5C8C"/>
    <w:rsid w:val="002B73F9"/>
    <w:rsid w:val="002B7C31"/>
    <w:rsid w:val="002C0B02"/>
    <w:rsid w:val="002C0E39"/>
    <w:rsid w:val="002C1800"/>
    <w:rsid w:val="002C1C68"/>
    <w:rsid w:val="002C1FC2"/>
    <w:rsid w:val="002C3302"/>
    <w:rsid w:val="002C3BFA"/>
    <w:rsid w:val="002C4A2C"/>
    <w:rsid w:val="002C5747"/>
    <w:rsid w:val="002C58F6"/>
    <w:rsid w:val="002C6916"/>
    <w:rsid w:val="002D1B2E"/>
    <w:rsid w:val="002D2245"/>
    <w:rsid w:val="002D2659"/>
    <w:rsid w:val="002D2DB8"/>
    <w:rsid w:val="002D3EC2"/>
    <w:rsid w:val="002D4133"/>
    <w:rsid w:val="002D48FD"/>
    <w:rsid w:val="002D55F0"/>
    <w:rsid w:val="002D5B2C"/>
    <w:rsid w:val="002D5B54"/>
    <w:rsid w:val="002D5DAF"/>
    <w:rsid w:val="002D5DF8"/>
    <w:rsid w:val="002D72F3"/>
    <w:rsid w:val="002D7996"/>
    <w:rsid w:val="002E0078"/>
    <w:rsid w:val="002E0B4C"/>
    <w:rsid w:val="002E18BD"/>
    <w:rsid w:val="002E1C54"/>
    <w:rsid w:val="002E2BE3"/>
    <w:rsid w:val="002E2CE1"/>
    <w:rsid w:val="002E39AD"/>
    <w:rsid w:val="002E4B01"/>
    <w:rsid w:val="002E4CDA"/>
    <w:rsid w:val="002E5AFA"/>
    <w:rsid w:val="002E62E1"/>
    <w:rsid w:val="002E6496"/>
    <w:rsid w:val="002E69AC"/>
    <w:rsid w:val="002F0EE1"/>
    <w:rsid w:val="002F1845"/>
    <w:rsid w:val="002F271F"/>
    <w:rsid w:val="002F2ED6"/>
    <w:rsid w:val="002F4720"/>
    <w:rsid w:val="002F56ED"/>
    <w:rsid w:val="002F5AE0"/>
    <w:rsid w:val="002F655C"/>
    <w:rsid w:val="002F748E"/>
    <w:rsid w:val="002F7D29"/>
    <w:rsid w:val="003001B3"/>
    <w:rsid w:val="00300BB2"/>
    <w:rsid w:val="003010CE"/>
    <w:rsid w:val="00301CFC"/>
    <w:rsid w:val="0030398A"/>
    <w:rsid w:val="0030421D"/>
    <w:rsid w:val="003050EF"/>
    <w:rsid w:val="00305D08"/>
    <w:rsid w:val="00305E25"/>
    <w:rsid w:val="003070A4"/>
    <w:rsid w:val="00310932"/>
    <w:rsid w:val="00311179"/>
    <w:rsid w:val="003123EF"/>
    <w:rsid w:val="00313194"/>
    <w:rsid w:val="0031337B"/>
    <w:rsid w:val="003134FC"/>
    <w:rsid w:val="00313A8C"/>
    <w:rsid w:val="003151F1"/>
    <w:rsid w:val="00315C91"/>
    <w:rsid w:val="00315DA9"/>
    <w:rsid w:val="003160E5"/>
    <w:rsid w:val="00316C22"/>
    <w:rsid w:val="003170A3"/>
    <w:rsid w:val="003170FB"/>
    <w:rsid w:val="00317C5A"/>
    <w:rsid w:val="00320092"/>
    <w:rsid w:val="003204AA"/>
    <w:rsid w:val="00320B32"/>
    <w:rsid w:val="00321348"/>
    <w:rsid w:val="0032155F"/>
    <w:rsid w:val="00322699"/>
    <w:rsid w:val="0032554F"/>
    <w:rsid w:val="003255B3"/>
    <w:rsid w:val="00325BCD"/>
    <w:rsid w:val="00326DB8"/>
    <w:rsid w:val="003270D9"/>
    <w:rsid w:val="00327559"/>
    <w:rsid w:val="00327B7B"/>
    <w:rsid w:val="00327CDA"/>
    <w:rsid w:val="00331B2B"/>
    <w:rsid w:val="0033238C"/>
    <w:rsid w:val="003332C1"/>
    <w:rsid w:val="00334245"/>
    <w:rsid w:val="0033584E"/>
    <w:rsid w:val="00335A3A"/>
    <w:rsid w:val="0033617F"/>
    <w:rsid w:val="003361D9"/>
    <w:rsid w:val="0033763F"/>
    <w:rsid w:val="003415D4"/>
    <w:rsid w:val="00341954"/>
    <w:rsid w:val="00342AC6"/>
    <w:rsid w:val="003434F7"/>
    <w:rsid w:val="00343891"/>
    <w:rsid w:val="00343A65"/>
    <w:rsid w:val="003448B9"/>
    <w:rsid w:val="00345539"/>
    <w:rsid w:val="00345E3B"/>
    <w:rsid w:val="00346156"/>
    <w:rsid w:val="003500B9"/>
    <w:rsid w:val="00350501"/>
    <w:rsid w:val="00353AD2"/>
    <w:rsid w:val="00354E33"/>
    <w:rsid w:val="003550D6"/>
    <w:rsid w:val="00355417"/>
    <w:rsid w:val="00355D39"/>
    <w:rsid w:val="003565CA"/>
    <w:rsid w:val="003572B4"/>
    <w:rsid w:val="00357A2E"/>
    <w:rsid w:val="0036280F"/>
    <w:rsid w:val="00362A73"/>
    <w:rsid w:val="003664F7"/>
    <w:rsid w:val="00366619"/>
    <w:rsid w:val="00366735"/>
    <w:rsid w:val="00366D81"/>
    <w:rsid w:val="0036710B"/>
    <w:rsid w:val="0036734A"/>
    <w:rsid w:val="00367701"/>
    <w:rsid w:val="00367826"/>
    <w:rsid w:val="003678B3"/>
    <w:rsid w:val="003679A0"/>
    <w:rsid w:val="00367F4D"/>
    <w:rsid w:val="00370BE5"/>
    <w:rsid w:val="00370C4B"/>
    <w:rsid w:val="003710FD"/>
    <w:rsid w:val="003727E2"/>
    <w:rsid w:val="003729C7"/>
    <w:rsid w:val="00372AB5"/>
    <w:rsid w:val="00373CA4"/>
    <w:rsid w:val="00373D0F"/>
    <w:rsid w:val="00373E0E"/>
    <w:rsid w:val="00375DB3"/>
    <w:rsid w:val="003764F1"/>
    <w:rsid w:val="003771C5"/>
    <w:rsid w:val="003773A6"/>
    <w:rsid w:val="003777E7"/>
    <w:rsid w:val="00382840"/>
    <w:rsid w:val="00382E92"/>
    <w:rsid w:val="00383565"/>
    <w:rsid w:val="00383897"/>
    <w:rsid w:val="00386226"/>
    <w:rsid w:val="0038652F"/>
    <w:rsid w:val="003868A5"/>
    <w:rsid w:val="003873F8"/>
    <w:rsid w:val="00390F0A"/>
    <w:rsid w:val="00391040"/>
    <w:rsid w:val="00391839"/>
    <w:rsid w:val="00391F95"/>
    <w:rsid w:val="00393956"/>
    <w:rsid w:val="003939E6"/>
    <w:rsid w:val="00395259"/>
    <w:rsid w:val="00395C27"/>
    <w:rsid w:val="003970E5"/>
    <w:rsid w:val="003970F0"/>
    <w:rsid w:val="003A0D7C"/>
    <w:rsid w:val="003A189C"/>
    <w:rsid w:val="003A198E"/>
    <w:rsid w:val="003A1A5F"/>
    <w:rsid w:val="003A35E2"/>
    <w:rsid w:val="003A4B93"/>
    <w:rsid w:val="003A52E0"/>
    <w:rsid w:val="003A6495"/>
    <w:rsid w:val="003A7105"/>
    <w:rsid w:val="003A7E6A"/>
    <w:rsid w:val="003B0F11"/>
    <w:rsid w:val="003B17C2"/>
    <w:rsid w:val="003B271B"/>
    <w:rsid w:val="003B2CB4"/>
    <w:rsid w:val="003B3245"/>
    <w:rsid w:val="003B337E"/>
    <w:rsid w:val="003B428B"/>
    <w:rsid w:val="003B4F01"/>
    <w:rsid w:val="003C0B0C"/>
    <w:rsid w:val="003C1EBB"/>
    <w:rsid w:val="003C2BA4"/>
    <w:rsid w:val="003C2FCC"/>
    <w:rsid w:val="003C3088"/>
    <w:rsid w:val="003C3EC5"/>
    <w:rsid w:val="003C5036"/>
    <w:rsid w:val="003C56F9"/>
    <w:rsid w:val="003C6DEB"/>
    <w:rsid w:val="003C75C5"/>
    <w:rsid w:val="003C761D"/>
    <w:rsid w:val="003D0160"/>
    <w:rsid w:val="003D14C5"/>
    <w:rsid w:val="003D1536"/>
    <w:rsid w:val="003D2DF4"/>
    <w:rsid w:val="003D362F"/>
    <w:rsid w:val="003D3912"/>
    <w:rsid w:val="003D3EB3"/>
    <w:rsid w:val="003D5DAE"/>
    <w:rsid w:val="003E0A41"/>
    <w:rsid w:val="003E0E57"/>
    <w:rsid w:val="003E530B"/>
    <w:rsid w:val="003E5315"/>
    <w:rsid w:val="003E5448"/>
    <w:rsid w:val="003E625E"/>
    <w:rsid w:val="003E6892"/>
    <w:rsid w:val="003E7D98"/>
    <w:rsid w:val="003F1A4E"/>
    <w:rsid w:val="003F2014"/>
    <w:rsid w:val="003F26B5"/>
    <w:rsid w:val="003F3FAA"/>
    <w:rsid w:val="003F54BA"/>
    <w:rsid w:val="0040100C"/>
    <w:rsid w:val="00401A4D"/>
    <w:rsid w:val="00402DB9"/>
    <w:rsid w:val="004037E4"/>
    <w:rsid w:val="00403AA6"/>
    <w:rsid w:val="00403E8A"/>
    <w:rsid w:val="004042DE"/>
    <w:rsid w:val="004046F5"/>
    <w:rsid w:val="00404F13"/>
    <w:rsid w:val="0040515C"/>
    <w:rsid w:val="004052A4"/>
    <w:rsid w:val="00405EBB"/>
    <w:rsid w:val="00405F86"/>
    <w:rsid w:val="00406110"/>
    <w:rsid w:val="004064E5"/>
    <w:rsid w:val="00412A48"/>
    <w:rsid w:val="00413DE4"/>
    <w:rsid w:val="00414B03"/>
    <w:rsid w:val="00415B7C"/>
    <w:rsid w:val="00415E13"/>
    <w:rsid w:val="00416471"/>
    <w:rsid w:val="00416EF0"/>
    <w:rsid w:val="00417654"/>
    <w:rsid w:val="00417BE0"/>
    <w:rsid w:val="00420E2D"/>
    <w:rsid w:val="00423BC7"/>
    <w:rsid w:val="004255F8"/>
    <w:rsid w:val="004256A0"/>
    <w:rsid w:val="00426143"/>
    <w:rsid w:val="0042648D"/>
    <w:rsid w:val="00426552"/>
    <w:rsid w:val="004265E7"/>
    <w:rsid w:val="00427245"/>
    <w:rsid w:val="00427A80"/>
    <w:rsid w:val="00430F9C"/>
    <w:rsid w:val="00431F73"/>
    <w:rsid w:val="00432269"/>
    <w:rsid w:val="00432D41"/>
    <w:rsid w:val="004333F9"/>
    <w:rsid w:val="00433B47"/>
    <w:rsid w:val="004354B8"/>
    <w:rsid w:val="004360F8"/>
    <w:rsid w:val="0043793A"/>
    <w:rsid w:val="00440923"/>
    <w:rsid w:val="00440C0C"/>
    <w:rsid w:val="00441EF7"/>
    <w:rsid w:val="0044239F"/>
    <w:rsid w:val="004429DB"/>
    <w:rsid w:val="00442A6B"/>
    <w:rsid w:val="00443F11"/>
    <w:rsid w:val="00443F1F"/>
    <w:rsid w:val="00444C7A"/>
    <w:rsid w:val="004453D6"/>
    <w:rsid w:val="00446486"/>
    <w:rsid w:val="004474D1"/>
    <w:rsid w:val="00451934"/>
    <w:rsid w:val="00452810"/>
    <w:rsid w:val="00453157"/>
    <w:rsid w:val="00455219"/>
    <w:rsid w:val="00456030"/>
    <w:rsid w:val="0045612C"/>
    <w:rsid w:val="00456915"/>
    <w:rsid w:val="00457954"/>
    <w:rsid w:val="004607A8"/>
    <w:rsid w:val="0046198D"/>
    <w:rsid w:val="004627F1"/>
    <w:rsid w:val="0046389B"/>
    <w:rsid w:val="00465B5C"/>
    <w:rsid w:val="004672AD"/>
    <w:rsid w:val="00467969"/>
    <w:rsid w:val="00471BAD"/>
    <w:rsid w:val="00472FB8"/>
    <w:rsid w:val="004737CA"/>
    <w:rsid w:val="00473C5C"/>
    <w:rsid w:val="00473FF7"/>
    <w:rsid w:val="00476A41"/>
    <w:rsid w:val="00477035"/>
    <w:rsid w:val="00481CCC"/>
    <w:rsid w:val="00481E6B"/>
    <w:rsid w:val="004820F7"/>
    <w:rsid w:val="00482C9B"/>
    <w:rsid w:val="0048346C"/>
    <w:rsid w:val="00483DCF"/>
    <w:rsid w:val="00484D00"/>
    <w:rsid w:val="00486026"/>
    <w:rsid w:val="00486282"/>
    <w:rsid w:val="00486550"/>
    <w:rsid w:val="00486AE1"/>
    <w:rsid w:val="004870D8"/>
    <w:rsid w:val="00487FB2"/>
    <w:rsid w:val="004904C0"/>
    <w:rsid w:val="004909D0"/>
    <w:rsid w:val="00490CA1"/>
    <w:rsid w:val="00490F8B"/>
    <w:rsid w:val="004930DD"/>
    <w:rsid w:val="00493328"/>
    <w:rsid w:val="00493B2F"/>
    <w:rsid w:val="00494228"/>
    <w:rsid w:val="00495F1F"/>
    <w:rsid w:val="00497160"/>
    <w:rsid w:val="004977BB"/>
    <w:rsid w:val="00497BED"/>
    <w:rsid w:val="00497F80"/>
    <w:rsid w:val="004A0FD1"/>
    <w:rsid w:val="004A1F6C"/>
    <w:rsid w:val="004A2912"/>
    <w:rsid w:val="004A2D38"/>
    <w:rsid w:val="004A3386"/>
    <w:rsid w:val="004A59D8"/>
    <w:rsid w:val="004A694C"/>
    <w:rsid w:val="004A69C3"/>
    <w:rsid w:val="004B119F"/>
    <w:rsid w:val="004B172C"/>
    <w:rsid w:val="004B19E5"/>
    <w:rsid w:val="004B3A24"/>
    <w:rsid w:val="004B42E6"/>
    <w:rsid w:val="004B4530"/>
    <w:rsid w:val="004C0565"/>
    <w:rsid w:val="004C1831"/>
    <w:rsid w:val="004C2B12"/>
    <w:rsid w:val="004C3055"/>
    <w:rsid w:val="004C3EC9"/>
    <w:rsid w:val="004C4A2F"/>
    <w:rsid w:val="004C6EE0"/>
    <w:rsid w:val="004C7C9A"/>
    <w:rsid w:val="004C7E52"/>
    <w:rsid w:val="004D02C5"/>
    <w:rsid w:val="004D08E8"/>
    <w:rsid w:val="004D3AF7"/>
    <w:rsid w:val="004D47E0"/>
    <w:rsid w:val="004D4CCC"/>
    <w:rsid w:val="004D5457"/>
    <w:rsid w:val="004D5A7B"/>
    <w:rsid w:val="004D5F86"/>
    <w:rsid w:val="004D6127"/>
    <w:rsid w:val="004D7725"/>
    <w:rsid w:val="004E0FE5"/>
    <w:rsid w:val="004E1261"/>
    <w:rsid w:val="004E272A"/>
    <w:rsid w:val="004E296C"/>
    <w:rsid w:val="004E3003"/>
    <w:rsid w:val="004E32AD"/>
    <w:rsid w:val="004E345A"/>
    <w:rsid w:val="004E3F50"/>
    <w:rsid w:val="004E5FCE"/>
    <w:rsid w:val="004E77A0"/>
    <w:rsid w:val="004E79D4"/>
    <w:rsid w:val="004E7C07"/>
    <w:rsid w:val="004E7D1E"/>
    <w:rsid w:val="004F014C"/>
    <w:rsid w:val="004F03C6"/>
    <w:rsid w:val="004F0877"/>
    <w:rsid w:val="004F0A91"/>
    <w:rsid w:val="004F1695"/>
    <w:rsid w:val="004F4268"/>
    <w:rsid w:val="004F438B"/>
    <w:rsid w:val="004F46E9"/>
    <w:rsid w:val="004F4AAC"/>
    <w:rsid w:val="004F4D1F"/>
    <w:rsid w:val="004F5426"/>
    <w:rsid w:val="004F75DD"/>
    <w:rsid w:val="004F7E1A"/>
    <w:rsid w:val="005000C9"/>
    <w:rsid w:val="0050013D"/>
    <w:rsid w:val="0050125B"/>
    <w:rsid w:val="0050132D"/>
    <w:rsid w:val="00502309"/>
    <w:rsid w:val="0050319C"/>
    <w:rsid w:val="005039D7"/>
    <w:rsid w:val="00503B6E"/>
    <w:rsid w:val="005046CE"/>
    <w:rsid w:val="00504E4D"/>
    <w:rsid w:val="00505951"/>
    <w:rsid w:val="00505C2D"/>
    <w:rsid w:val="00505E98"/>
    <w:rsid w:val="0050770A"/>
    <w:rsid w:val="00510B56"/>
    <w:rsid w:val="00510E4C"/>
    <w:rsid w:val="005111DA"/>
    <w:rsid w:val="00511810"/>
    <w:rsid w:val="00512146"/>
    <w:rsid w:val="00512AF9"/>
    <w:rsid w:val="00513841"/>
    <w:rsid w:val="00513882"/>
    <w:rsid w:val="00514FD1"/>
    <w:rsid w:val="00515E4A"/>
    <w:rsid w:val="00516768"/>
    <w:rsid w:val="00517189"/>
    <w:rsid w:val="005171B5"/>
    <w:rsid w:val="00520EF4"/>
    <w:rsid w:val="00520F4E"/>
    <w:rsid w:val="00522B1B"/>
    <w:rsid w:val="00522C27"/>
    <w:rsid w:val="0052461A"/>
    <w:rsid w:val="00530093"/>
    <w:rsid w:val="005304F7"/>
    <w:rsid w:val="00530565"/>
    <w:rsid w:val="0053204D"/>
    <w:rsid w:val="00532750"/>
    <w:rsid w:val="00533CA7"/>
    <w:rsid w:val="00534C61"/>
    <w:rsid w:val="005354A9"/>
    <w:rsid w:val="0053602D"/>
    <w:rsid w:val="005369D6"/>
    <w:rsid w:val="00536B94"/>
    <w:rsid w:val="005409B5"/>
    <w:rsid w:val="00541DB3"/>
    <w:rsid w:val="005428C4"/>
    <w:rsid w:val="00542D51"/>
    <w:rsid w:val="0054359C"/>
    <w:rsid w:val="00543D94"/>
    <w:rsid w:val="00544729"/>
    <w:rsid w:val="00544FEC"/>
    <w:rsid w:val="00545084"/>
    <w:rsid w:val="005464F8"/>
    <w:rsid w:val="005468A7"/>
    <w:rsid w:val="00546B7A"/>
    <w:rsid w:val="00547E72"/>
    <w:rsid w:val="00551C7C"/>
    <w:rsid w:val="00552FFB"/>
    <w:rsid w:val="00553471"/>
    <w:rsid w:val="00553BEF"/>
    <w:rsid w:val="00553CA9"/>
    <w:rsid w:val="00553D43"/>
    <w:rsid w:val="00554086"/>
    <w:rsid w:val="00555B8A"/>
    <w:rsid w:val="00557552"/>
    <w:rsid w:val="005612B7"/>
    <w:rsid w:val="005612CF"/>
    <w:rsid w:val="00561439"/>
    <w:rsid w:val="0056248E"/>
    <w:rsid w:val="0056380F"/>
    <w:rsid w:val="00563AC7"/>
    <w:rsid w:val="00563EBC"/>
    <w:rsid w:val="00563ED4"/>
    <w:rsid w:val="005646D3"/>
    <w:rsid w:val="0056484A"/>
    <w:rsid w:val="00564A54"/>
    <w:rsid w:val="00564D7A"/>
    <w:rsid w:val="005658EB"/>
    <w:rsid w:val="00566150"/>
    <w:rsid w:val="00566931"/>
    <w:rsid w:val="005675E9"/>
    <w:rsid w:val="0057020F"/>
    <w:rsid w:val="00570394"/>
    <w:rsid w:val="00570C36"/>
    <w:rsid w:val="00571126"/>
    <w:rsid w:val="005714AF"/>
    <w:rsid w:val="00571C99"/>
    <w:rsid w:val="00572440"/>
    <w:rsid w:val="00573A15"/>
    <w:rsid w:val="00573B8A"/>
    <w:rsid w:val="005743B5"/>
    <w:rsid w:val="005745C2"/>
    <w:rsid w:val="005779F2"/>
    <w:rsid w:val="00577B9A"/>
    <w:rsid w:val="00577E6A"/>
    <w:rsid w:val="005800E5"/>
    <w:rsid w:val="00580683"/>
    <w:rsid w:val="00580EF3"/>
    <w:rsid w:val="00581168"/>
    <w:rsid w:val="005815D9"/>
    <w:rsid w:val="005827E9"/>
    <w:rsid w:val="00583DF1"/>
    <w:rsid w:val="00585D78"/>
    <w:rsid w:val="005869EA"/>
    <w:rsid w:val="00587244"/>
    <w:rsid w:val="0059003E"/>
    <w:rsid w:val="00590E09"/>
    <w:rsid w:val="00591532"/>
    <w:rsid w:val="00591961"/>
    <w:rsid w:val="00592A50"/>
    <w:rsid w:val="005936EE"/>
    <w:rsid w:val="005939A2"/>
    <w:rsid w:val="0059463C"/>
    <w:rsid w:val="0059656D"/>
    <w:rsid w:val="00596965"/>
    <w:rsid w:val="00596B60"/>
    <w:rsid w:val="00596F49"/>
    <w:rsid w:val="005A0B0C"/>
    <w:rsid w:val="005A136D"/>
    <w:rsid w:val="005A16FF"/>
    <w:rsid w:val="005A3600"/>
    <w:rsid w:val="005A4BFD"/>
    <w:rsid w:val="005A4CF1"/>
    <w:rsid w:val="005A565C"/>
    <w:rsid w:val="005A595A"/>
    <w:rsid w:val="005A5DA9"/>
    <w:rsid w:val="005A5F20"/>
    <w:rsid w:val="005A6007"/>
    <w:rsid w:val="005A654D"/>
    <w:rsid w:val="005A6731"/>
    <w:rsid w:val="005B275B"/>
    <w:rsid w:val="005B2DFD"/>
    <w:rsid w:val="005B38D4"/>
    <w:rsid w:val="005B4054"/>
    <w:rsid w:val="005B5A24"/>
    <w:rsid w:val="005B7171"/>
    <w:rsid w:val="005B726A"/>
    <w:rsid w:val="005B7726"/>
    <w:rsid w:val="005B7836"/>
    <w:rsid w:val="005C0DD6"/>
    <w:rsid w:val="005C102B"/>
    <w:rsid w:val="005C1232"/>
    <w:rsid w:val="005C1578"/>
    <w:rsid w:val="005C2398"/>
    <w:rsid w:val="005C29A8"/>
    <w:rsid w:val="005C3327"/>
    <w:rsid w:val="005C3406"/>
    <w:rsid w:val="005C6313"/>
    <w:rsid w:val="005C7031"/>
    <w:rsid w:val="005C76ED"/>
    <w:rsid w:val="005D1BD1"/>
    <w:rsid w:val="005D319B"/>
    <w:rsid w:val="005D3FDA"/>
    <w:rsid w:val="005D5157"/>
    <w:rsid w:val="005D5188"/>
    <w:rsid w:val="005D5CF9"/>
    <w:rsid w:val="005D5F41"/>
    <w:rsid w:val="005E0AB1"/>
    <w:rsid w:val="005E1346"/>
    <w:rsid w:val="005E1905"/>
    <w:rsid w:val="005E45FB"/>
    <w:rsid w:val="005E4FB5"/>
    <w:rsid w:val="005E5F7B"/>
    <w:rsid w:val="005E6448"/>
    <w:rsid w:val="005E67F6"/>
    <w:rsid w:val="005E7F9C"/>
    <w:rsid w:val="005F1C3F"/>
    <w:rsid w:val="005F1FB6"/>
    <w:rsid w:val="005F3F27"/>
    <w:rsid w:val="005F41CA"/>
    <w:rsid w:val="005F4842"/>
    <w:rsid w:val="005F5150"/>
    <w:rsid w:val="005F56AF"/>
    <w:rsid w:val="005F5E20"/>
    <w:rsid w:val="005F76AD"/>
    <w:rsid w:val="005F7901"/>
    <w:rsid w:val="005F7A96"/>
    <w:rsid w:val="00600C05"/>
    <w:rsid w:val="00601887"/>
    <w:rsid w:val="00601BF9"/>
    <w:rsid w:val="00601CCE"/>
    <w:rsid w:val="00601E0E"/>
    <w:rsid w:val="0060232A"/>
    <w:rsid w:val="006023EC"/>
    <w:rsid w:val="00603F4E"/>
    <w:rsid w:val="00604090"/>
    <w:rsid w:val="006067C8"/>
    <w:rsid w:val="00607739"/>
    <w:rsid w:val="0061061C"/>
    <w:rsid w:val="00613845"/>
    <w:rsid w:val="00614E5E"/>
    <w:rsid w:val="006163A2"/>
    <w:rsid w:val="00616CC8"/>
    <w:rsid w:val="006174B4"/>
    <w:rsid w:val="006177B1"/>
    <w:rsid w:val="00617FE9"/>
    <w:rsid w:val="00620D4F"/>
    <w:rsid w:val="00620DB3"/>
    <w:rsid w:val="0062104A"/>
    <w:rsid w:val="00621AB7"/>
    <w:rsid w:val="00621B90"/>
    <w:rsid w:val="00622B1F"/>
    <w:rsid w:val="00622C30"/>
    <w:rsid w:val="00623005"/>
    <w:rsid w:val="00623E30"/>
    <w:rsid w:val="00624881"/>
    <w:rsid w:val="00624B40"/>
    <w:rsid w:val="00625DD2"/>
    <w:rsid w:val="00626E2C"/>
    <w:rsid w:val="0063079A"/>
    <w:rsid w:val="00632871"/>
    <w:rsid w:val="00633B7B"/>
    <w:rsid w:val="00635353"/>
    <w:rsid w:val="006364D9"/>
    <w:rsid w:val="00636A20"/>
    <w:rsid w:val="00636B8B"/>
    <w:rsid w:val="006412C8"/>
    <w:rsid w:val="006416C2"/>
    <w:rsid w:val="00644284"/>
    <w:rsid w:val="00644C2F"/>
    <w:rsid w:val="0064531D"/>
    <w:rsid w:val="006513EB"/>
    <w:rsid w:val="0065216B"/>
    <w:rsid w:val="0065224D"/>
    <w:rsid w:val="00654203"/>
    <w:rsid w:val="006543BA"/>
    <w:rsid w:val="0065552B"/>
    <w:rsid w:val="0065617A"/>
    <w:rsid w:val="0065635A"/>
    <w:rsid w:val="00656432"/>
    <w:rsid w:val="006567CE"/>
    <w:rsid w:val="00657B61"/>
    <w:rsid w:val="0066014D"/>
    <w:rsid w:val="00660962"/>
    <w:rsid w:val="006626FB"/>
    <w:rsid w:val="00663549"/>
    <w:rsid w:val="006648FD"/>
    <w:rsid w:val="00664DCC"/>
    <w:rsid w:val="00667574"/>
    <w:rsid w:val="00667E5E"/>
    <w:rsid w:val="00670136"/>
    <w:rsid w:val="00672824"/>
    <w:rsid w:val="00673348"/>
    <w:rsid w:val="00673386"/>
    <w:rsid w:val="006737BF"/>
    <w:rsid w:val="00673CAA"/>
    <w:rsid w:val="0067544A"/>
    <w:rsid w:val="00675864"/>
    <w:rsid w:val="0067618F"/>
    <w:rsid w:val="00676364"/>
    <w:rsid w:val="0067654C"/>
    <w:rsid w:val="00676A13"/>
    <w:rsid w:val="00680417"/>
    <w:rsid w:val="00680DB4"/>
    <w:rsid w:val="006854AA"/>
    <w:rsid w:val="006861AB"/>
    <w:rsid w:val="006877B5"/>
    <w:rsid w:val="00687CF8"/>
    <w:rsid w:val="00690859"/>
    <w:rsid w:val="00691502"/>
    <w:rsid w:val="00692A76"/>
    <w:rsid w:val="00692AEC"/>
    <w:rsid w:val="00692F53"/>
    <w:rsid w:val="00693EE6"/>
    <w:rsid w:val="006942F9"/>
    <w:rsid w:val="0069435A"/>
    <w:rsid w:val="00694577"/>
    <w:rsid w:val="00695576"/>
    <w:rsid w:val="00695ECD"/>
    <w:rsid w:val="00696326"/>
    <w:rsid w:val="00696ABC"/>
    <w:rsid w:val="006A02D7"/>
    <w:rsid w:val="006A1702"/>
    <w:rsid w:val="006A2632"/>
    <w:rsid w:val="006A314A"/>
    <w:rsid w:val="006A48CA"/>
    <w:rsid w:val="006A519B"/>
    <w:rsid w:val="006A537C"/>
    <w:rsid w:val="006A632C"/>
    <w:rsid w:val="006A6A96"/>
    <w:rsid w:val="006A71D4"/>
    <w:rsid w:val="006A7F42"/>
    <w:rsid w:val="006B1BBF"/>
    <w:rsid w:val="006B1C0A"/>
    <w:rsid w:val="006B1DAF"/>
    <w:rsid w:val="006B2A45"/>
    <w:rsid w:val="006B4875"/>
    <w:rsid w:val="006B549C"/>
    <w:rsid w:val="006B618F"/>
    <w:rsid w:val="006B68F8"/>
    <w:rsid w:val="006B6FB6"/>
    <w:rsid w:val="006B74F5"/>
    <w:rsid w:val="006C0180"/>
    <w:rsid w:val="006C1790"/>
    <w:rsid w:val="006C1AE9"/>
    <w:rsid w:val="006C2C74"/>
    <w:rsid w:val="006C37BA"/>
    <w:rsid w:val="006C3C64"/>
    <w:rsid w:val="006C481F"/>
    <w:rsid w:val="006C5803"/>
    <w:rsid w:val="006C7486"/>
    <w:rsid w:val="006D0C3A"/>
    <w:rsid w:val="006D1C59"/>
    <w:rsid w:val="006D1FB7"/>
    <w:rsid w:val="006D2838"/>
    <w:rsid w:val="006D2DF0"/>
    <w:rsid w:val="006D3F39"/>
    <w:rsid w:val="006D55CE"/>
    <w:rsid w:val="006D5762"/>
    <w:rsid w:val="006D62F5"/>
    <w:rsid w:val="006D642B"/>
    <w:rsid w:val="006D65AC"/>
    <w:rsid w:val="006D79AC"/>
    <w:rsid w:val="006E0535"/>
    <w:rsid w:val="006E14AD"/>
    <w:rsid w:val="006E1946"/>
    <w:rsid w:val="006E1ACF"/>
    <w:rsid w:val="006E1CF3"/>
    <w:rsid w:val="006E23E8"/>
    <w:rsid w:val="006E5042"/>
    <w:rsid w:val="006E5079"/>
    <w:rsid w:val="006E6422"/>
    <w:rsid w:val="006E6B48"/>
    <w:rsid w:val="006E73FE"/>
    <w:rsid w:val="006F052A"/>
    <w:rsid w:val="006F218B"/>
    <w:rsid w:val="006F2F68"/>
    <w:rsid w:val="006F31EA"/>
    <w:rsid w:val="006F6EF1"/>
    <w:rsid w:val="006F7322"/>
    <w:rsid w:val="006F7968"/>
    <w:rsid w:val="007025FF"/>
    <w:rsid w:val="007030E0"/>
    <w:rsid w:val="007037E4"/>
    <w:rsid w:val="007056E6"/>
    <w:rsid w:val="00706C63"/>
    <w:rsid w:val="00707129"/>
    <w:rsid w:val="00707C08"/>
    <w:rsid w:val="0071000C"/>
    <w:rsid w:val="00711F3A"/>
    <w:rsid w:val="00712E20"/>
    <w:rsid w:val="007131BE"/>
    <w:rsid w:val="00714A37"/>
    <w:rsid w:val="00715509"/>
    <w:rsid w:val="007163A6"/>
    <w:rsid w:val="00716560"/>
    <w:rsid w:val="00716870"/>
    <w:rsid w:val="00716D50"/>
    <w:rsid w:val="00721C0B"/>
    <w:rsid w:val="00721CE0"/>
    <w:rsid w:val="00722D19"/>
    <w:rsid w:val="00723C20"/>
    <w:rsid w:val="0072412E"/>
    <w:rsid w:val="00724E23"/>
    <w:rsid w:val="0072602D"/>
    <w:rsid w:val="007260F8"/>
    <w:rsid w:val="00726A3C"/>
    <w:rsid w:val="00726D55"/>
    <w:rsid w:val="007271FF"/>
    <w:rsid w:val="00727D50"/>
    <w:rsid w:val="007312E3"/>
    <w:rsid w:val="00731446"/>
    <w:rsid w:val="007315B0"/>
    <w:rsid w:val="007324F6"/>
    <w:rsid w:val="00732E4C"/>
    <w:rsid w:val="00733727"/>
    <w:rsid w:val="00733CE7"/>
    <w:rsid w:val="007356B8"/>
    <w:rsid w:val="00737237"/>
    <w:rsid w:val="00737471"/>
    <w:rsid w:val="0073779A"/>
    <w:rsid w:val="007379F3"/>
    <w:rsid w:val="00737CFB"/>
    <w:rsid w:val="007423C8"/>
    <w:rsid w:val="00744F0C"/>
    <w:rsid w:val="00745099"/>
    <w:rsid w:val="00745630"/>
    <w:rsid w:val="00745C3B"/>
    <w:rsid w:val="00745E33"/>
    <w:rsid w:val="007472C4"/>
    <w:rsid w:val="00747786"/>
    <w:rsid w:val="00750989"/>
    <w:rsid w:val="00750A05"/>
    <w:rsid w:val="007513CE"/>
    <w:rsid w:val="00751544"/>
    <w:rsid w:val="007523DD"/>
    <w:rsid w:val="00754B25"/>
    <w:rsid w:val="0075582B"/>
    <w:rsid w:val="00755AC3"/>
    <w:rsid w:val="007561D9"/>
    <w:rsid w:val="007579C1"/>
    <w:rsid w:val="00760B14"/>
    <w:rsid w:val="00760C74"/>
    <w:rsid w:val="007619A9"/>
    <w:rsid w:val="00763000"/>
    <w:rsid w:val="00765366"/>
    <w:rsid w:val="007654E2"/>
    <w:rsid w:val="007655FA"/>
    <w:rsid w:val="00765607"/>
    <w:rsid w:val="007659A4"/>
    <w:rsid w:val="00770930"/>
    <w:rsid w:val="00770C2F"/>
    <w:rsid w:val="00770EAA"/>
    <w:rsid w:val="00772486"/>
    <w:rsid w:val="0077253B"/>
    <w:rsid w:val="00773696"/>
    <w:rsid w:val="007758FA"/>
    <w:rsid w:val="00780773"/>
    <w:rsid w:val="007816C1"/>
    <w:rsid w:val="00782283"/>
    <w:rsid w:val="00782FE8"/>
    <w:rsid w:val="00783293"/>
    <w:rsid w:val="00783330"/>
    <w:rsid w:val="0078348E"/>
    <w:rsid w:val="0078395B"/>
    <w:rsid w:val="00783974"/>
    <w:rsid w:val="00783B5E"/>
    <w:rsid w:val="007865F6"/>
    <w:rsid w:val="0078681D"/>
    <w:rsid w:val="007870C2"/>
    <w:rsid w:val="0078796E"/>
    <w:rsid w:val="0079153C"/>
    <w:rsid w:val="00791AE0"/>
    <w:rsid w:val="00792429"/>
    <w:rsid w:val="00793244"/>
    <w:rsid w:val="00793887"/>
    <w:rsid w:val="007940ED"/>
    <w:rsid w:val="007954D8"/>
    <w:rsid w:val="00795C04"/>
    <w:rsid w:val="00796846"/>
    <w:rsid w:val="00796AAA"/>
    <w:rsid w:val="007A348C"/>
    <w:rsid w:val="007A3CEF"/>
    <w:rsid w:val="007A481B"/>
    <w:rsid w:val="007A4E01"/>
    <w:rsid w:val="007A5526"/>
    <w:rsid w:val="007A5B7B"/>
    <w:rsid w:val="007A6574"/>
    <w:rsid w:val="007A6F82"/>
    <w:rsid w:val="007B1190"/>
    <w:rsid w:val="007B2BBE"/>
    <w:rsid w:val="007B2C7F"/>
    <w:rsid w:val="007B30AD"/>
    <w:rsid w:val="007B37EF"/>
    <w:rsid w:val="007B42BC"/>
    <w:rsid w:val="007B4BFB"/>
    <w:rsid w:val="007B6F05"/>
    <w:rsid w:val="007B7A49"/>
    <w:rsid w:val="007C0950"/>
    <w:rsid w:val="007C1984"/>
    <w:rsid w:val="007C22F2"/>
    <w:rsid w:val="007C2AD9"/>
    <w:rsid w:val="007C41E1"/>
    <w:rsid w:val="007C4518"/>
    <w:rsid w:val="007C54FE"/>
    <w:rsid w:val="007C5AAE"/>
    <w:rsid w:val="007C5C51"/>
    <w:rsid w:val="007C646A"/>
    <w:rsid w:val="007C65E0"/>
    <w:rsid w:val="007C6794"/>
    <w:rsid w:val="007C6C53"/>
    <w:rsid w:val="007C6C96"/>
    <w:rsid w:val="007D0529"/>
    <w:rsid w:val="007D05BA"/>
    <w:rsid w:val="007D19ED"/>
    <w:rsid w:val="007D2000"/>
    <w:rsid w:val="007D3086"/>
    <w:rsid w:val="007D336D"/>
    <w:rsid w:val="007D5595"/>
    <w:rsid w:val="007D61E8"/>
    <w:rsid w:val="007E0154"/>
    <w:rsid w:val="007E0487"/>
    <w:rsid w:val="007E0891"/>
    <w:rsid w:val="007E0B93"/>
    <w:rsid w:val="007E0D4A"/>
    <w:rsid w:val="007E15BC"/>
    <w:rsid w:val="007E18FD"/>
    <w:rsid w:val="007E1D8E"/>
    <w:rsid w:val="007E1DCA"/>
    <w:rsid w:val="007E3742"/>
    <w:rsid w:val="007E4000"/>
    <w:rsid w:val="007E587B"/>
    <w:rsid w:val="007E7ABD"/>
    <w:rsid w:val="007F067E"/>
    <w:rsid w:val="007F11A1"/>
    <w:rsid w:val="007F139A"/>
    <w:rsid w:val="007F327C"/>
    <w:rsid w:val="007F329B"/>
    <w:rsid w:val="007F32CE"/>
    <w:rsid w:val="007F556D"/>
    <w:rsid w:val="007F736A"/>
    <w:rsid w:val="007F7A97"/>
    <w:rsid w:val="007F7D8D"/>
    <w:rsid w:val="008012DB"/>
    <w:rsid w:val="008019B2"/>
    <w:rsid w:val="00801BB8"/>
    <w:rsid w:val="00801ED5"/>
    <w:rsid w:val="00802124"/>
    <w:rsid w:val="0080219F"/>
    <w:rsid w:val="008028AE"/>
    <w:rsid w:val="008132D6"/>
    <w:rsid w:val="00813C47"/>
    <w:rsid w:val="00814FB6"/>
    <w:rsid w:val="00815BB4"/>
    <w:rsid w:val="00821E7A"/>
    <w:rsid w:val="00822C84"/>
    <w:rsid w:val="00822D11"/>
    <w:rsid w:val="00823620"/>
    <w:rsid w:val="008240A2"/>
    <w:rsid w:val="0082540A"/>
    <w:rsid w:val="00825899"/>
    <w:rsid w:val="00826947"/>
    <w:rsid w:val="00826E07"/>
    <w:rsid w:val="008273F5"/>
    <w:rsid w:val="008274D5"/>
    <w:rsid w:val="008278B4"/>
    <w:rsid w:val="008300DA"/>
    <w:rsid w:val="008306C4"/>
    <w:rsid w:val="0083108B"/>
    <w:rsid w:val="00831174"/>
    <w:rsid w:val="008327B5"/>
    <w:rsid w:val="0083289D"/>
    <w:rsid w:val="00833EF9"/>
    <w:rsid w:val="00833F02"/>
    <w:rsid w:val="00834989"/>
    <w:rsid w:val="00835E2D"/>
    <w:rsid w:val="00836128"/>
    <w:rsid w:val="008368EF"/>
    <w:rsid w:val="00836D17"/>
    <w:rsid w:val="00837F6E"/>
    <w:rsid w:val="00840706"/>
    <w:rsid w:val="0084096F"/>
    <w:rsid w:val="0084119F"/>
    <w:rsid w:val="0084201F"/>
    <w:rsid w:val="00842393"/>
    <w:rsid w:val="00842F66"/>
    <w:rsid w:val="008437EE"/>
    <w:rsid w:val="0084423B"/>
    <w:rsid w:val="0084625C"/>
    <w:rsid w:val="00850A08"/>
    <w:rsid w:val="008525CD"/>
    <w:rsid w:val="008528CB"/>
    <w:rsid w:val="00852A47"/>
    <w:rsid w:val="00855845"/>
    <w:rsid w:val="008562AF"/>
    <w:rsid w:val="00856820"/>
    <w:rsid w:val="008618D2"/>
    <w:rsid w:val="00862D05"/>
    <w:rsid w:val="00864565"/>
    <w:rsid w:val="00864F3D"/>
    <w:rsid w:val="00865CE8"/>
    <w:rsid w:val="00866AFD"/>
    <w:rsid w:val="0086767B"/>
    <w:rsid w:val="0087143B"/>
    <w:rsid w:val="00872924"/>
    <w:rsid w:val="00875C3B"/>
    <w:rsid w:val="00876D27"/>
    <w:rsid w:val="00880260"/>
    <w:rsid w:val="00881B6B"/>
    <w:rsid w:val="008849CB"/>
    <w:rsid w:val="008860B7"/>
    <w:rsid w:val="00886EE0"/>
    <w:rsid w:val="008912B0"/>
    <w:rsid w:val="00891870"/>
    <w:rsid w:val="00891FFF"/>
    <w:rsid w:val="008925D2"/>
    <w:rsid w:val="00892C94"/>
    <w:rsid w:val="008934AE"/>
    <w:rsid w:val="00894B73"/>
    <w:rsid w:val="00894FE6"/>
    <w:rsid w:val="00896567"/>
    <w:rsid w:val="008A01FF"/>
    <w:rsid w:val="008A0263"/>
    <w:rsid w:val="008A0353"/>
    <w:rsid w:val="008A0A19"/>
    <w:rsid w:val="008A1589"/>
    <w:rsid w:val="008A1A4A"/>
    <w:rsid w:val="008A1E5D"/>
    <w:rsid w:val="008A260D"/>
    <w:rsid w:val="008A2E1E"/>
    <w:rsid w:val="008A3A0B"/>
    <w:rsid w:val="008A6259"/>
    <w:rsid w:val="008A68A3"/>
    <w:rsid w:val="008B0E08"/>
    <w:rsid w:val="008B0E38"/>
    <w:rsid w:val="008B0F7F"/>
    <w:rsid w:val="008B4390"/>
    <w:rsid w:val="008B4666"/>
    <w:rsid w:val="008B4F4E"/>
    <w:rsid w:val="008B52B2"/>
    <w:rsid w:val="008B5D73"/>
    <w:rsid w:val="008B5FB4"/>
    <w:rsid w:val="008B6538"/>
    <w:rsid w:val="008C01C9"/>
    <w:rsid w:val="008C0EF5"/>
    <w:rsid w:val="008C1EF1"/>
    <w:rsid w:val="008C248C"/>
    <w:rsid w:val="008C29CE"/>
    <w:rsid w:val="008C37F8"/>
    <w:rsid w:val="008C3FF8"/>
    <w:rsid w:val="008C56D7"/>
    <w:rsid w:val="008D0B23"/>
    <w:rsid w:val="008D10D9"/>
    <w:rsid w:val="008D3056"/>
    <w:rsid w:val="008D5414"/>
    <w:rsid w:val="008D58C2"/>
    <w:rsid w:val="008D5AF1"/>
    <w:rsid w:val="008D5B02"/>
    <w:rsid w:val="008D6A7E"/>
    <w:rsid w:val="008E046E"/>
    <w:rsid w:val="008E05A1"/>
    <w:rsid w:val="008E06E8"/>
    <w:rsid w:val="008E10F5"/>
    <w:rsid w:val="008E122B"/>
    <w:rsid w:val="008E12AA"/>
    <w:rsid w:val="008E149C"/>
    <w:rsid w:val="008E1EEB"/>
    <w:rsid w:val="008E2A5A"/>
    <w:rsid w:val="008E31B4"/>
    <w:rsid w:val="008E63DB"/>
    <w:rsid w:val="008E64ED"/>
    <w:rsid w:val="008E6EF2"/>
    <w:rsid w:val="008F1AA4"/>
    <w:rsid w:val="008F1B59"/>
    <w:rsid w:val="008F36A5"/>
    <w:rsid w:val="008F3840"/>
    <w:rsid w:val="008F40BE"/>
    <w:rsid w:val="008F4D90"/>
    <w:rsid w:val="008F4E5D"/>
    <w:rsid w:val="008F5D4F"/>
    <w:rsid w:val="008F5D61"/>
    <w:rsid w:val="008F6C21"/>
    <w:rsid w:val="008F6DC4"/>
    <w:rsid w:val="0090021D"/>
    <w:rsid w:val="009034F6"/>
    <w:rsid w:val="00906412"/>
    <w:rsid w:val="00906C38"/>
    <w:rsid w:val="00907148"/>
    <w:rsid w:val="009074CD"/>
    <w:rsid w:val="009078C0"/>
    <w:rsid w:val="00910085"/>
    <w:rsid w:val="00910C45"/>
    <w:rsid w:val="0091289C"/>
    <w:rsid w:val="00912CFB"/>
    <w:rsid w:val="00914AB3"/>
    <w:rsid w:val="00915388"/>
    <w:rsid w:val="00915E49"/>
    <w:rsid w:val="009163CE"/>
    <w:rsid w:val="00916BA1"/>
    <w:rsid w:val="00917205"/>
    <w:rsid w:val="0091737C"/>
    <w:rsid w:val="00917635"/>
    <w:rsid w:val="0092107B"/>
    <w:rsid w:val="00921E9C"/>
    <w:rsid w:val="00922F24"/>
    <w:rsid w:val="00923DD1"/>
    <w:rsid w:val="00924072"/>
    <w:rsid w:val="00925EE1"/>
    <w:rsid w:val="009325C5"/>
    <w:rsid w:val="00932775"/>
    <w:rsid w:val="00932C91"/>
    <w:rsid w:val="00933139"/>
    <w:rsid w:val="0093458C"/>
    <w:rsid w:val="00934ECB"/>
    <w:rsid w:val="00935C3F"/>
    <w:rsid w:val="0093638C"/>
    <w:rsid w:val="00936C4D"/>
    <w:rsid w:val="0093785A"/>
    <w:rsid w:val="009379FB"/>
    <w:rsid w:val="00940445"/>
    <w:rsid w:val="0094234F"/>
    <w:rsid w:val="0094270F"/>
    <w:rsid w:val="00942CAF"/>
    <w:rsid w:val="00943BFE"/>
    <w:rsid w:val="009452BD"/>
    <w:rsid w:val="009454F6"/>
    <w:rsid w:val="00945DD2"/>
    <w:rsid w:val="0094619E"/>
    <w:rsid w:val="009465A0"/>
    <w:rsid w:val="0095399A"/>
    <w:rsid w:val="009542E1"/>
    <w:rsid w:val="0095436B"/>
    <w:rsid w:val="009544E0"/>
    <w:rsid w:val="00954FEC"/>
    <w:rsid w:val="00955F15"/>
    <w:rsid w:val="00960696"/>
    <w:rsid w:val="009609FF"/>
    <w:rsid w:val="009610BE"/>
    <w:rsid w:val="00961B14"/>
    <w:rsid w:val="00962ADD"/>
    <w:rsid w:val="0096322C"/>
    <w:rsid w:val="00963BCB"/>
    <w:rsid w:val="009663C3"/>
    <w:rsid w:val="00966FF7"/>
    <w:rsid w:val="009674FE"/>
    <w:rsid w:val="0096798E"/>
    <w:rsid w:val="00970093"/>
    <w:rsid w:val="009722B4"/>
    <w:rsid w:val="0097237D"/>
    <w:rsid w:val="009723FA"/>
    <w:rsid w:val="0097437D"/>
    <w:rsid w:val="0097458B"/>
    <w:rsid w:val="00974D53"/>
    <w:rsid w:val="009751E2"/>
    <w:rsid w:val="00975707"/>
    <w:rsid w:val="00975C9E"/>
    <w:rsid w:val="00975D4E"/>
    <w:rsid w:val="009765EC"/>
    <w:rsid w:val="00976F5C"/>
    <w:rsid w:val="00977AE1"/>
    <w:rsid w:val="00980656"/>
    <w:rsid w:val="009827EE"/>
    <w:rsid w:val="00985A88"/>
    <w:rsid w:val="00986283"/>
    <w:rsid w:val="00986D3B"/>
    <w:rsid w:val="00990293"/>
    <w:rsid w:val="009905D0"/>
    <w:rsid w:val="00991AC0"/>
    <w:rsid w:val="0099270C"/>
    <w:rsid w:val="00992F07"/>
    <w:rsid w:val="00995F4E"/>
    <w:rsid w:val="009976C2"/>
    <w:rsid w:val="009A0919"/>
    <w:rsid w:val="009A0D76"/>
    <w:rsid w:val="009A0E27"/>
    <w:rsid w:val="009A2512"/>
    <w:rsid w:val="009A26D5"/>
    <w:rsid w:val="009A2B11"/>
    <w:rsid w:val="009A2EEF"/>
    <w:rsid w:val="009A3086"/>
    <w:rsid w:val="009A60A8"/>
    <w:rsid w:val="009A6762"/>
    <w:rsid w:val="009B0012"/>
    <w:rsid w:val="009B0B8B"/>
    <w:rsid w:val="009B0C6B"/>
    <w:rsid w:val="009B30F0"/>
    <w:rsid w:val="009B3D4D"/>
    <w:rsid w:val="009B3EE5"/>
    <w:rsid w:val="009B4456"/>
    <w:rsid w:val="009B50BE"/>
    <w:rsid w:val="009B6A13"/>
    <w:rsid w:val="009B6AB4"/>
    <w:rsid w:val="009C0996"/>
    <w:rsid w:val="009C0DB6"/>
    <w:rsid w:val="009C0DB8"/>
    <w:rsid w:val="009C10D7"/>
    <w:rsid w:val="009C143F"/>
    <w:rsid w:val="009C2273"/>
    <w:rsid w:val="009C27E0"/>
    <w:rsid w:val="009C2F6B"/>
    <w:rsid w:val="009C3B79"/>
    <w:rsid w:val="009C4102"/>
    <w:rsid w:val="009C4EE2"/>
    <w:rsid w:val="009C59C4"/>
    <w:rsid w:val="009C7E7D"/>
    <w:rsid w:val="009D04D3"/>
    <w:rsid w:val="009D1F6E"/>
    <w:rsid w:val="009D3854"/>
    <w:rsid w:val="009D41A2"/>
    <w:rsid w:val="009D4FC4"/>
    <w:rsid w:val="009D5503"/>
    <w:rsid w:val="009D55F0"/>
    <w:rsid w:val="009D5DF4"/>
    <w:rsid w:val="009D72CA"/>
    <w:rsid w:val="009D753B"/>
    <w:rsid w:val="009D7B9A"/>
    <w:rsid w:val="009E0349"/>
    <w:rsid w:val="009E0C25"/>
    <w:rsid w:val="009E15FC"/>
    <w:rsid w:val="009E17E7"/>
    <w:rsid w:val="009E2C4E"/>
    <w:rsid w:val="009E2E60"/>
    <w:rsid w:val="009E3834"/>
    <w:rsid w:val="009E3DCE"/>
    <w:rsid w:val="009E43E5"/>
    <w:rsid w:val="009F1398"/>
    <w:rsid w:val="009F216E"/>
    <w:rsid w:val="009F3145"/>
    <w:rsid w:val="009F3B1F"/>
    <w:rsid w:val="009F5820"/>
    <w:rsid w:val="009F6082"/>
    <w:rsid w:val="009F64A8"/>
    <w:rsid w:val="009F6748"/>
    <w:rsid w:val="009F7869"/>
    <w:rsid w:val="00A0088D"/>
    <w:rsid w:val="00A02078"/>
    <w:rsid w:val="00A02237"/>
    <w:rsid w:val="00A02315"/>
    <w:rsid w:val="00A02537"/>
    <w:rsid w:val="00A02C1B"/>
    <w:rsid w:val="00A02ED3"/>
    <w:rsid w:val="00A02FD1"/>
    <w:rsid w:val="00A03341"/>
    <w:rsid w:val="00A03609"/>
    <w:rsid w:val="00A03808"/>
    <w:rsid w:val="00A03AE6"/>
    <w:rsid w:val="00A03AE9"/>
    <w:rsid w:val="00A04A4C"/>
    <w:rsid w:val="00A06AA5"/>
    <w:rsid w:val="00A079DB"/>
    <w:rsid w:val="00A07C76"/>
    <w:rsid w:val="00A07D08"/>
    <w:rsid w:val="00A109C4"/>
    <w:rsid w:val="00A10B01"/>
    <w:rsid w:val="00A11B3E"/>
    <w:rsid w:val="00A127B8"/>
    <w:rsid w:val="00A12B1C"/>
    <w:rsid w:val="00A13987"/>
    <w:rsid w:val="00A14991"/>
    <w:rsid w:val="00A1515F"/>
    <w:rsid w:val="00A15E3A"/>
    <w:rsid w:val="00A16163"/>
    <w:rsid w:val="00A17BA4"/>
    <w:rsid w:val="00A17C48"/>
    <w:rsid w:val="00A202B2"/>
    <w:rsid w:val="00A20C25"/>
    <w:rsid w:val="00A213C0"/>
    <w:rsid w:val="00A2226F"/>
    <w:rsid w:val="00A23E5C"/>
    <w:rsid w:val="00A243F5"/>
    <w:rsid w:val="00A25D5D"/>
    <w:rsid w:val="00A269B5"/>
    <w:rsid w:val="00A26D3F"/>
    <w:rsid w:val="00A30B8E"/>
    <w:rsid w:val="00A30E94"/>
    <w:rsid w:val="00A31CA4"/>
    <w:rsid w:val="00A33F7F"/>
    <w:rsid w:val="00A34A98"/>
    <w:rsid w:val="00A34FDD"/>
    <w:rsid w:val="00A35255"/>
    <w:rsid w:val="00A35FFB"/>
    <w:rsid w:val="00A3653A"/>
    <w:rsid w:val="00A3757F"/>
    <w:rsid w:val="00A407D2"/>
    <w:rsid w:val="00A41318"/>
    <w:rsid w:val="00A4279F"/>
    <w:rsid w:val="00A42A16"/>
    <w:rsid w:val="00A42C86"/>
    <w:rsid w:val="00A42F6B"/>
    <w:rsid w:val="00A43023"/>
    <w:rsid w:val="00A430B3"/>
    <w:rsid w:val="00A45833"/>
    <w:rsid w:val="00A45E0E"/>
    <w:rsid w:val="00A45F03"/>
    <w:rsid w:val="00A46A63"/>
    <w:rsid w:val="00A477E2"/>
    <w:rsid w:val="00A47C67"/>
    <w:rsid w:val="00A5059A"/>
    <w:rsid w:val="00A50645"/>
    <w:rsid w:val="00A51226"/>
    <w:rsid w:val="00A51B61"/>
    <w:rsid w:val="00A51F57"/>
    <w:rsid w:val="00A53079"/>
    <w:rsid w:val="00A531A8"/>
    <w:rsid w:val="00A542B4"/>
    <w:rsid w:val="00A547F6"/>
    <w:rsid w:val="00A5483D"/>
    <w:rsid w:val="00A54D34"/>
    <w:rsid w:val="00A55C7F"/>
    <w:rsid w:val="00A5623F"/>
    <w:rsid w:val="00A56977"/>
    <w:rsid w:val="00A56AE4"/>
    <w:rsid w:val="00A5718A"/>
    <w:rsid w:val="00A57224"/>
    <w:rsid w:val="00A57A35"/>
    <w:rsid w:val="00A57AED"/>
    <w:rsid w:val="00A60294"/>
    <w:rsid w:val="00A61BD0"/>
    <w:rsid w:val="00A61E28"/>
    <w:rsid w:val="00A620C4"/>
    <w:rsid w:val="00A62F6F"/>
    <w:rsid w:val="00A63EAB"/>
    <w:rsid w:val="00A66186"/>
    <w:rsid w:val="00A66640"/>
    <w:rsid w:val="00A668C5"/>
    <w:rsid w:val="00A67A9D"/>
    <w:rsid w:val="00A700BC"/>
    <w:rsid w:val="00A70F91"/>
    <w:rsid w:val="00A71127"/>
    <w:rsid w:val="00A718B0"/>
    <w:rsid w:val="00A71F28"/>
    <w:rsid w:val="00A73367"/>
    <w:rsid w:val="00A7384C"/>
    <w:rsid w:val="00A73B96"/>
    <w:rsid w:val="00A73C37"/>
    <w:rsid w:val="00A742A6"/>
    <w:rsid w:val="00A75632"/>
    <w:rsid w:val="00A75E67"/>
    <w:rsid w:val="00A76396"/>
    <w:rsid w:val="00A7661C"/>
    <w:rsid w:val="00A76EBC"/>
    <w:rsid w:val="00A7743E"/>
    <w:rsid w:val="00A77511"/>
    <w:rsid w:val="00A77CCB"/>
    <w:rsid w:val="00A77E81"/>
    <w:rsid w:val="00A805C5"/>
    <w:rsid w:val="00A817FD"/>
    <w:rsid w:val="00A81E9B"/>
    <w:rsid w:val="00A82729"/>
    <w:rsid w:val="00A82BB5"/>
    <w:rsid w:val="00A845DB"/>
    <w:rsid w:val="00A85602"/>
    <w:rsid w:val="00A863FB"/>
    <w:rsid w:val="00A868CA"/>
    <w:rsid w:val="00A86BDA"/>
    <w:rsid w:val="00A90D5E"/>
    <w:rsid w:val="00A93C8E"/>
    <w:rsid w:val="00A958A6"/>
    <w:rsid w:val="00A9610B"/>
    <w:rsid w:val="00A97411"/>
    <w:rsid w:val="00A97509"/>
    <w:rsid w:val="00A97C61"/>
    <w:rsid w:val="00AA0174"/>
    <w:rsid w:val="00AA0A5B"/>
    <w:rsid w:val="00AA1E1A"/>
    <w:rsid w:val="00AA2E19"/>
    <w:rsid w:val="00AA3AEB"/>
    <w:rsid w:val="00AA3BAA"/>
    <w:rsid w:val="00AA4128"/>
    <w:rsid w:val="00AA496F"/>
    <w:rsid w:val="00AA4E6C"/>
    <w:rsid w:val="00AA5F41"/>
    <w:rsid w:val="00AA67BB"/>
    <w:rsid w:val="00AA69E9"/>
    <w:rsid w:val="00AA75D8"/>
    <w:rsid w:val="00AA7BE8"/>
    <w:rsid w:val="00AB1338"/>
    <w:rsid w:val="00AB13B5"/>
    <w:rsid w:val="00AB34A2"/>
    <w:rsid w:val="00AB39C6"/>
    <w:rsid w:val="00AB3F19"/>
    <w:rsid w:val="00AB5109"/>
    <w:rsid w:val="00AB57B0"/>
    <w:rsid w:val="00AB7108"/>
    <w:rsid w:val="00AC0D01"/>
    <w:rsid w:val="00AC32D5"/>
    <w:rsid w:val="00AC3908"/>
    <w:rsid w:val="00AC3AB9"/>
    <w:rsid w:val="00AC3C49"/>
    <w:rsid w:val="00AC3CFB"/>
    <w:rsid w:val="00AC3FB7"/>
    <w:rsid w:val="00AC4606"/>
    <w:rsid w:val="00AC6CD5"/>
    <w:rsid w:val="00AD1BC1"/>
    <w:rsid w:val="00AD281E"/>
    <w:rsid w:val="00AD4656"/>
    <w:rsid w:val="00AD48ED"/>
    <w:rsid w:val="00AD5C59"/>
    <w:rsid w:val="00AD6FBE"/>
    <w:rsid w:val="00AD77BE"/>
    <w:rsid w:val="00AD7AF4"/>
    <w:rsid w:val="00AE0BDF"/>
    <w:rsid w:val="00AE1D88"/>
    <w:rsid w:val="00AE1DC0"/>
    <w:rsid w:val="00AE240E"/>
    <w:rsid w:val="00AE54B8"/>
    <w:rsid w:val="00AE5C9B"/>
    <w:rsid w:val="00AE614B"/>
    <w:rsid w:val="00AE62D7"/>
    <w:rsid w:val="00AE743C"/>
    <w:rsid w:val="00AE7BBD"/>
    <w:rsid w:val="00AF0924"/>
    <w:rsid w:val="00AF0A0C"/>
    <w:rsid w:val="00AF0FE8"/>
    <w:rsid w:val="00AF1134"/>
    <w:rsid w:val="00AF221F"/>
    <w:rsid w:val="00AF3C3A"/>
    <w:rsid w:val="00AF4AB3"/>
    <w:rsid w:val="00AF529D"/>
    <w:rsid w:val="00AF6314"/>
    <w:rsid w:val="00AF72E7"/>
    <w:rsid w:val="00AF7CEA"/>
    <w:rsid w:val="00B013AC"/>
    <w:rsid w:val="00B04599"/>
    <w:rsid w:val="00B04FE4"/>
    <w:rsid w:val="00B050BD"/>
    <w:rsid w:val="00B10000"/>
    <w:rsid w:val="00B1007F"/>
    <w:rsid w:val="00B12FD3"/>
    <w:rsid w:val="00B13445"/>
    <w:rsid w:val="00B13D0D"/>
    <w:rsid w:val="00B13F56"/>
    <w:rsid w:val="00B14AFE"/>
    <w:rsid w:val="00B14C78"/>
    <w:rsid w:val="00B15E90"/>
    <w:rsid w:val="00B16C6A"/>
    <w:rsid w:val="00B17561"/>
    <w:rsid w:val="00B20BB5"/>
    <w:rsid w:val="00B213A3"/>
    <w:rsid w:val="00B21562"/>
    <w:rsid w:val="00B216A1"/>
    <w:rsid w:val="00B21798"/>
    <w:rsid w:val="00B21DBE"/>
    <w:rsid w:val="00B2251F"/>
    <w:rsid w:val="00B22960"/>
    <w:rsid w:val="00B229EF"/>
    <w:rsid w:val="00B22D0C"/>
    <w:rsid w:val="00B23909"/>
    <w:rsid w:val="00B23EF9"/>
    <w:rsid w:val="00B247EC"/>
    <w:rsid w:val="00B2492B"/>
    <w:rsid w:val="00B24EB8"/>
    <w:rsid w:val="00B24EE2"/>
    <w:rsid w:val="00B25218"/>
    <w:rsid w:val="00B266B6"/>
    <w:rsid w:val="00B308C0"/>
    <w:rsid w:val="00B30BD1"/>
    <w:rsid w:val="00B312DD"/>
    <w:rsid w:val="00B33660"/>
    <w:rsid w:val="00B3437D"/>
    <w:rsid w:val="00B3532A"/>
    <w:rsid w:val="00B35D3C"/>
    <w:rsid w:val="00B3689E"/>
    <w:rsid w:val="00B36B7A"/>
    <w:rsid w:val="00B4168C"/>
    <w:rsid w:val="00B41ABB"/>
    <w:rsid w:val="00B420B7"/>
    <w:rsid w:val="00B42E8D"/>
    <w:rsid w:val="00B43C1E"/>
    <w:rsid w:val="00B448B6"/>
    <w:rsid w:val="00B457C5"/>
    <w:rsid w:val="00B45C1D"/>
    <w:rsid w:val="00B46847"/>
    <w:rsid w:val="00B46971"/>
    <w:rsid w:val="00B46D14"/>
    <w:rsid w:val="00B47C74"/>
    <w:rsid w:val="00B47EA5"/>
    <w:rsid w:val="00B47FCF"/>
    <w:rsid w:val="00B51B35"/>
    <w:rsid w:val="00B52DB6"/>
    <w:rsid w:val="00B5334F"/>
    <w:rsid w:val="00B533BA"/>
    <w:rsid w:val="00B53FE4"/>
    <w:rsid w:val="00B54D4E"/>
    <w:rsid w:val="00B54E53"/>
    <w:rsid w:val="00B55F8D"/>
    <w:rsid w:val="00B55FEA"/>
    <w:rsid w:val="00B57A23"/>
    <w:rsid w:val="00B6009E"/>
    <w:rsid w:val="00B602D8"/>
    <w:rsid w:val="00B60826"/>
    <w:rsid w:val="00B62C5B"/>
    <w:rsid w:val="00B6396C"/>
    <w:rsid w:val="00B64475"/>
    <w:rsid w:val="00B64EB5"/>
    <w:rsid w:val="00B662C9"/>
    <w:rsid w:val="00B66BC7"/>
    <w:rsid w:val="00B66C0A"/>
    <w:rsid w:val="00B67D41"/>
    <w:rsid w:val="00B70211"/>
    <w:rsid w:val="00B70DFE"/>
    <w:rsid w:val="00B70EB3"/>
    <w:rsid w:val="00B71A4F"/>
    <w:rsid w:val="00B71E82"/>
    <w:rsid w:val="00B71F48"/>
    <w:rsid w:val="00B7267E"/>
    <w:rsid w:val="00B72B81"/>
    <w:rsid w:val="00B731C9"/>
    <w:rsid w:val="00B7370D"/>
    <w:rsid w:val="00B73ECE"/>
    <w:rsid w:val="00B742A5"/>
    <w:rsid w:val="00B74C92"/>
    <w:rsid w:val="00B7556C"/>
    <w:rsid w:val="00B75BAF"/>
    <w:rsid w:val="00B763B3"/>
    <w:rsid w:val="00B7650C"/>
    <w:rsid w:val="00B76A4B"/>
    <w:rsid w:val="00B77B1F"/>
    <w:rsid w:val="00B80A72"/>
    <w:rsid w:val="00B80CAA"/>
    <w:rsid w:val="00B80E52"/>
    <w:rsid w:val="00B81B5E"/>
    <w:rsid w:val="00B81B83"/>
    <w:rsid w:val="00B82845"/>
    <w:rsid w:val="00B82E9E"/>
    <w:rsid w:val="00B84436"/>
    <w:rsid w:val="00B8554A"/>
    <w:rsid w:val="00B855FF"/>
    <w:rsid w:val="00B856D6"/>
    <w:rsid w:val="00B859F5"/>
    <w:rsid w:val="00B8622E"/>
    <w:rsid w:val="00B87C58"/>
    <w:rsid w:val="00B900BF"/>
    <w:rsid w:val="00B920B6"/>
    <w:rsid w:val="00B921BC"/>
    <w:rsid w:val="00B92BC3"/>
    <w:rsid w:val="00B93672"/>
    <w:rsid w:val="00B9384E"/>
    <w:rsid w:val="00B9415F"/>
    <w:rsid w:val="00B947D6"/>
    <w:rsid w:val="00B95B38"/>
    <w:rsid w:val="00B96352"/>
    <w:rsid w:val="00B963AD"/>
    <w:rsid w:val="00B96549"/>
    <w:rsid w:val="00B969C3"/>
    <w:rsid w:val="00B9728D"/>
    <w:rsid w:val="00B976EF"/>
    <w:rsid w:val="00B97844"/>
    <w:rsid w:val="00BA07E4"/>
    <w:rsid w:val="00BA0B46"/>
    <w:rsid w:val="00BA11A9"/>
    <w:rsid w:val="00BA20EF"/>
    <w:rsid w:val="00BA33A5"/>
    <w:rsid w:val="00BA39D1"/>
    <w:rsid w:val="00BA47BC"/>
    <w:rsid w:val="00BA4A7C"/>
    <w:rsid w:val="00BA54A1"/>
    <w:rsid w:val="00BA65B4"/>
    <w:rsid w:val="00BA67E4"/>
    <w:rsid w:val="00BA6B62"/>
    <w:rsid w:val="00BA6C08"/>
    <w:rsid w:val="00BA765A"/>
    <w:rsid w:val="00BB01F2"/>
    <w:rsid w:val="00BB027C"/>
    <w:rsid w:val="00BB0404"/>
    <w:rsid w:val="00BB0F11"/>
    <w:rsid w:val="00BB12D8"/>
    <w:rsid w:val="00BB1B6D"/>
    <w:rsid w:val="00BB4F19"/>
    <w:rsid w:val="00BB7BC1"/>
    <w:rsid w:val="00BC02BD"/>
    <w:rsid w:val="00BC0641"/>
    <w:rsid w:val="00BC0A9D"/>
    <w:rsid w:val="00BC10A4"/>
    <w:rsid w:val="00BC1E6D"/>
    <w:rsid w:val="00BC1FDE"/>
    <w:rsid w:val="00BC2734"/>
    <w:rsid w:val="00BC2E8A"/>
    <w:rsid w:val="00BC35F7"/>
    <w:rsid w:val="00BC3C21"/>
    <w:rsid w:val="00BC53CA"/>
    <w:rsid w:val="00BC568F"/>
    <w:rsid w:val="00BC60E0"/>
    <w:rsid w:val="00BC6107"/>
    <w:rsid w:val="00BC66F4"/>
    <w:rsid w:val="00BC6F24"/>
    <w:rsid w:val="00BC77E5"/>
    <w:rsid w:val="00BC784F"/>
    <w:rsid w:val="00BD02A5"/>
    <w:rsid w:val="00BD09E6"/>
    <w:rsid w:val="00BD0DB8"/>
    <w:rsid w:val="00BD2E80"/>
    <w:rsid w:val="00BD31B3"/>
    <w:rsid w:val="00BD36B5"/>
    <w:rsid w:val="00BD5252"/>
    <w:rsid w:val="00BD623E"/>
    <w:rsid w:val="00BD6D5F"/>
    <w:rsid w:val="00BD7E4B"/>
    <w:rsid w:val="00BE0657"/>
    <w:rsid w:val="00BE0813"/>
    <w:rsid w:val="00BE0EB0"/>
    <w:rsid w:val="00BE1E49"/>
    <w:rsid w:val="00BE2F44"/>
    <w:rsid w:val="00BE330F"/>
    <w:rsid w:val="00BE3B34"/>
    <w:rsid w:val="00BE67B8"/>
    <w:rsid w:val="00BE6A3D"/>
    <w:rsid w:val="00BE6E95"/>
    <w:rsid w:val="00BF0C29"/>
    <w:rsid w:val="00BF10DA"/>
    <w:rsid w:val="00BF11E6"/>
    <w:rsid w:val="00BF1A98"/>
    <w:rsid w:val="00BF29D0"/>
    <w:rsid w:val="00BF30F8"/>
    <w:rsid w:val="00BF323F"/>
    <w:rsid w:val="00BF3700"/>
    <w:rsid w:val="00BF41E7"/>
    <w:rsid w:val="00BF4982"/>
    <w:rsid w:val="00BF5166"/>
    <w:rsid w:val="00BF6C9E"/>
    <w:rsid w:val="00BF6CE5"/>
    <w:rsid w:val="00BF7F8B"/>
    <w:rsid w:val="00C00BFC"/>
    <w:rsid w:val="00C00C41"/>
    <w:rsid w:val="00C00F2C"/>
    <w:rsid w:val="00C0110D"/>
    <w:rsid w:val="00C01BAC"/>
    <w:rsid w:val="00C04C0C"/>
    <w:rsid w:val="00C05D2B"/>
    <w:rsid w:val="00C07061"/>
    <w:rsid w:val="00C07112"/>
    <w:rsid w:val="00C108CD"/>
    <w:rsid w:val="00C10B20"/>
    <w:rsid w:val="00C115BD"/>
    <w:rsid w:val="00C12969"/>
    <w:rsid w:val="00C13A3F"/>
    <w:rsid w:val="00C144DB"/>
    <w:rsid w:val="00C14A89"/>
    <w:rsid w:val="00C1616F"/>
    <w:rsid w:val="00C16D8D"/>
    <w:rsid w:val="00C175F6"/>
    <w:rsid w:val="00C2066C"/>
    <w:rsid w:val="00C20847"/>
    <w:rsid w:val="00C21166"/>
    <w:rsid w:val="00C21411"/>
    <w:rsid w:val="00C21B17"/>
    <w:rsid w:val="00C226C8"/>
    <w:rsid w:val="00C22EC1"/>
    <w:rsid w:val="00C23398"/>
    <w:rsid w:val="00C24625"/>
    <w:rsid w:val="00C2560C"/>
    <w:rsid w:val="00C263BA"/>
    <w:rsid w:val="00C2652F"/>
    <w:rsid w:val="00C27635"/>
    <w:rsid w:val="00C27857"/>
    <w:rsid w:val="00C279BB"/>
    <w:rsid w:val="00C328EF"/>
    <w:rsid w:val="00C32AB1"/>
    <w:rsid w:val="00C32D0C"/>
    <w:rsid w:val="00C3451E"/>
    <w:rsid w:val="00C348F5"/>
    <w:rsid w:val="00C34EC5"/>
    <w:rsid w:val="00C35BD2"/>
    <w:rsid w:val="00C400AE"/>
    <w:rsid w:val="00C40201"/>
    <w:rsid w:val="00C4218A"/>
    <w:rsid w:val="00C422C4"/>
    <w:rsid w:val="00C426C7"/>
    <w:rsid w:val="00C428EB"/>
    <w:rsid w:val="00C42E9C"/>
    <w:rsid w:val="00C4467B"/>
    <w:rsid w:val="00C44D6B"/>
    <w:rsid w:val="00C461DB"/>
    <w:rsid w:val="00C463AE"/>
    <w:rsid w:val="00C473A0"/>
    <w:rsid w:val="00C50B9F"/>
    <w:rsid w:val="00C51774"/>
    <w:rsid w:val="00C51B10"/>
    <w:rsid w:val="00C52FB5"/>
    <w:rsid w:val="00C53839"/>
    <w:rsid w:val="00C54899"/>
    <w:rsid w:val="00C5489F"/>
    <w:rsid w:val="00C552A8"/>
    <w:rsid w:val="00C55570"/>
    <w:rsid w:val="00C55EA6"/>
    <w:rsid w:val="00C57B6A"/>
    <w:rsid w:val="00C6065F"/>
    <w:rsid w:val="00C60CFB"/>
    <w:rsid w:val="00C617FA"/>
    <w:rsid w:val="00C618D9"/>
    <w:rsid w:val="00C658D8"/>
    <w:rsid w:val="00C6621D"/>
    <w:rsid w:val="00C66379"/>
    <w:rsid w:val="00C666DF"/>
    <w:rsid w:val="00C66D13"/>
    <w:rsid w:val="00C67FD3"/>
    <w:rsid w:val="00C701D1"/>
    <w:rsid w:val="00C703B8"/>
    <w:rsid w:val="00C70CC5"/>
    <w:rsid w:val="00C721DD"/>
    <w:rsid w:val="00C74876"/>
    <w:rsid w:val="00C749EE"/>
    <w:rsid w:val="00C755E7"/>
    <w:rsid w:val="00C75B4C"/>
    <w:rsid w:val="00C775B6"/>
    <w:rsid w:val="00C775EF"/>
    <w:rsid w:val="00C80190"/>
    <w:rsid w:val="00C814B3"/>
    <w:rsid w:val="00C833FF"/>
    <w:rsid w:val="00C852AE"/>
    <w:rsid w:val="00C867E1"/>
    <w:rsid w:val="00C867F4"/>
    <w:rsid w:val="00C879AA"/>
    <w:rsid w:val="00C87F4E"/>
    <w:rsid w:val="00C90F0B"/>
    <w:rsid w:val="00C912A6"/>
    <w:rsid w:val="00C91EE5"/>
    <w:rsid w:val="00C92D99"/>
    <w:rsid w:val="00C93C27"/>
    <w:rsid w:val="00C9507F"/>
    <w:rsid w:val="00C951D6"/>
    <w:rsid w:val="00C95837"/>
    <w:rsid w:val="00C96A9B"/>
    <w:rsid w:val="00C96F00"/>
    <w:rsid w:val="00CA003E"/>
    <w:rsid w:val="00CA06ED"/>
    <w:rsid w:val="00CA1404"/>
    <w:rsid w:val="00CA1540"/>
    <w:rsid w:val="00CA1EA9"/>
    <w:rsid w:val="00CA283A"/>
    <w:rsid w:val="00CA2CB8"/>
    <w:rsid w:val="00CA404A"/>
    <w:rsid w:val="00CA45ED"/>
    <w:rsid w:val="00CA4740"/>
    <w:rsid w:val="00CA4F1C"/>
    <w:rsid w:val="00CA4FE8"/>
    <w:rsid w:val="00CB056F"/>
    <w:rsid w:val="00CB0575"/>
    <w:rsid w:val="00CB0E23"/>
    <w:rsid w:val="00CB16A4"/>
    <w:rsid w:val="00CB3558"/>
    <w:rsid w:val="00CB373D"/>
    <w:rsid w:val="00CB396C"/>
    <w:rsid w:val="00CB3D61"/>
    <w:rsid w:val="00CB52B1"/>
    <w:rsid w:val="00CB69EB"/>
    <w:rsid w:val="00CC119E"/>
    <w:rsid w:val="00CC15AA"/>
    <w:rsid w:val="00CC1D9C"/>
    <w:rsid w:val="00CC1FC7"/>
    <w:rsid w:val="00CC3213"/>
    <w:rsid w:val="00CC4F0A"/>
    <w:rsid w:val="00CC4F8C"/>
    <w:rsid w:val="00CC56B5"/>
    <w:rsid w:val="00CC5D5F"/>
    <w:rsid w:val="00CC6960"/>
    <w:rsid w:val="00CC7CEA"/>
    <w:rsid w:val="00CD064F"/>
    <w:rsid w:val="00CD1DB7"/>
    <w:rsid w:val="00CD4E15"/>
    <w:rsid w:val="00CD5E40"/>
    <w:rsid w:val="00CD6818"/>
    <w:rsid w:val="00CD6D34"/>
    <w:rsid w:val="00CD72F2"/>
    <w:rsid w:val="00CE029F"/>
    <w:rsid w:val="00CE0ADB"/>
    <w:rsid w:val="00CE1181"/>
    <w:rsid w:val="00CE1699"/>
    <w:rsid w:val="00CE2D1F"/>
    <w:rsid w:val="00CE3151"/>
    <w:rsid w:val="00CE3D3F"/>
    <w:rsid w:val="00CE5D5E"/>
    <w:rsid w:val="00CE5FF6"/>
    <w:rsid w:val="00CE7A5E"/>
    <w:rsid w:val="00CE7D88"/>
    <w:rsid w:val="00CF0A97"/>
    <w:rsid w:val="00CF1875"/>
    <w:rsid w:val="00CF2B8C"/>
    <w:rsid w:val="00CF31BD"/>
    <w:rsid w:val="00CF3FDE"/>
    <w:rsid w:val="00CF5595"/>
    <w:rsid w:val="00CF72C3"/>
    <w:rsid w:val="00CF7D73"/>
    <w:rsid w:val="00D00EA2"/>
    <w:rsid w:val="00D01B63"/>
    <w:rsid w:val="00D027C5"/>
    <w:rsid w:val="00D0303C"/>
    <w:rsid w:val="00D03EF3"/>
    <w:rsid w:val="00D044F3"/>
    <w:rsid w:val="00D04F0B"/>
    <w:rsid w:val="00D06369"/>
    <w:rsid w:val="00D0650C"/>
    <w:rsid w:val="00D07301"/>
    <w:rsid w:val="00D07749"/>
    <w:rsid w:val="00D10416"/>
    <w:rsid w:val="00D1092A"/>
    <w:rsid w:val="00D10E7F"/>
    <w:rsid w:val="00D11736"/>
    <w:rsid w:val="00D12771"/>
    <w:rsid w:val="00D13757"/>
    <w:rsid w:val="00D14065"/>
    <w:rsid w:val="00D14410"/>
    <w:rsid w:val="00D166EA"/>
    <w:rsid w:val="00D17493"/>
    <w:rsid w:val="00D1781A"/>
    <w:rsid w:val="00D21303"/>
    <w:rsid w:val="00D21D00"/>
    <w:rsid w:val="00D2229B"/>
    <w:rsid w:val="00D22EB5"/>
    <w:rsid w:val="00D24036"/>
    <w:rsid w:val="00D24D85"/>
    <w:rsid w:val="00D25D8A"/>
    <w:rsid w:val="00D263CD"/>
    <w:rsid w:val="00D30D35"/>
    <w:rsid w:val="00D325A2"/>
    <w:rsid w:val="00D36FCF"/>
    <w:rsid w:val="00D37C53"/>
    <w:rsid w:val="00D40C15"/>
    <w:rsid w:val="00D4158D"/>
    <w:rsid w:val="00D431F9"/>
    <w:rsid w:val="00D4342D"/>
    <w:rsid w:val="00D438D8"/>
    <w:rsid w:val="00D4477A"/>
    <w:rsid w:val="00D46574"/>
    <w:rsid w:val="00D47AAB"/>
    <w:rsid w:val="00D50CCB"/>
    <w:rsid w:val="00D50EEF"/>
    <w:rsid w:val="00D5272E"/>
    <w:rsid w:val="00D5459F"/>
    <w:rsid w:val="00D56126"/>
    <w:rsid w:val="00D5758A"/>
    <w:rsid w:val="00D57CAC"/>
    <w:rsid w:val="00D600A2"/>
    <w:rsid w:val="00D6397A"/>
    <w:rsid w:val="00D64F1A"/>
    <w:rsid w:val="00D65ADD"/>
    <w:rsid w:val="00D65D98"/>
    <w:rsid w:val="00D6601C"/>
    <w:rsid w:val="00D66D0A"/>
    <w:rsid w:val="00D66F96"/>
    <w:rsid w:val="00D70851"/>
    <w:rsid w:val="00D717A1"/>
    <w:rsid w:val="00D71D9E"/>
    <w:rsid w:val="00D734CC"/>
    <w:rsid w:val="00D742F9"/>
    <w:rsid w:val="00D745C4"/>
    <w:rsid w:val="00D74629"/>
    <w:rsid w:val="00D75BDA"/>
    <w:rsid w:val="00D7626C"/>
    <w:rsid w:val="00D762C4"/>
    <w:rsid w:val="00D7744F"/>
    <w:rsid w:val="00D80DF9"/>
    <w:rsid w:val="00D81B4F"/>
    <w:rsid w:val="00D8280A"/>
    <w:rsid w:val="00D82874"/>
    <w:rsid w:val="00D8291F"/>
    <w:rsid w:val="00D83269"/>
    <w:rsid w:val="00D839FE"/>
    <w:rsid w:val="00D83E25"/>
    <w:rsid w:val="00D84F30"/>
    <w:rsid w:val="00D86327"/>
    <w:rsid w:val="00D87B5D"/>
    <w:rsid w:val="00D87B75"/>
    <w:rsid w:val="00D87BB4"/>
    <w:rsid w:val="00D91842"/>
    <w:rsid w:val="00D926B4"/>
    <w:rsid w:val="00D92995"/>
    <w:rsid w:val="00D951DD"/>
    <w:rsid w:val="00D95889"/>
    <w:rsid w:val="00D95EFA"/>
    <w:rsid w:val="00DA052D"/>
    <w:rsid w:val="00DA087F"/>
    <w:rsid w:val="00DA12B5"/>
    <w:rsid w:val="00DA2440"/>
    <w:rsid w:val="00DA2B22"/>
    <w:rsid w:val="00DA4B89"/>
    <w:rsid w:val="00DA4E67"/>
    <w:rsid w:val="00DA6233"/>
    <w:rsid w:val="00DA65B9"/>
    <w:rsid w:val="00DA68DF"/>
    <w:rsid w:val="00DA6E32"/>
    <w:rsid w:val="00DA7CD2"/>
    <w:rsid w:val="00DB0A9E"/>
    <w:rsid w:val="00DB1D16"/>
    <w:rsid w:val="00DB1FFA"/>
    <w:rsid w:val="00DB3515"/>
    <w:rsid w:val="00DB5D34"/>
    <w:rsid w:val="00DB5DDC"/>
    <w:rsid w:val="00DB5F24"/>
    <w:rsid w:val="00DB7702"/>
    <w:rsid w:val="00DB7753"/>
    <w:rsid w:val="00DB7983"/>
    <w:rsid w:val="00DC0F63"/>
    <w:rsid w:val="00DC16C1"/>
    <w:rsid w:val="00DC1B76"/>
    <w:rsid w:val="00DC20E3"/>
    <w:rsid w:val="00DC4575"/>
    <w:rsid w:val="00DC46ED"/>
    <w:rsid w:val="00DC55B6"/>
    <w:rsid w:val="00DC7133"/>
    <w:rsid w:val="00DD0EC7"/>
    <w:rsid w:val="00DD1A29"/>
    <w:rsid w:val="00DD2A46"/>
    <w:rsid w:val="00DD2D12"/>
    <w:rsid w:val="00DD3744"/>
    <w:rsid w:val="00DD436C"/>
    <w:rsid w:val="00DD43B1"/>
    <w:rsid w:val="00DD4A1E"/>
    <w:rsid w:val="00DD63FE"/>
    <w:rsid w:val="00DD68CC"/>
    <w:rsid w:val="00DE00FB"/>
    <w:rsid w:val="00DE0F88"/>
    <w:rsid w:val="00DE18F1"/>
    <w:rsid w:val="00DE1CC7"/>
    <w:rsid w:val="00DE221A"/>
    <w:rsid w:val="00DE297C"/>
    <w:rsid w:val="00DE2B9E"/>
    <w:rsid w:val="00DE54BD"/>
    <w:rsid w:val="00DE5668"/>
    <w:rsid w:val="00DE60A7"/>
    <w:rsid w:val="00DE704B"/>
    <w:rsid w:val="00DE7C83"/>
    <w:rsid w:val="00DF0484"/>
    <w:rsid w:val="00DF0B60"/>
    <w:rsid w:val="00DF107F"/>
    <w:rsid w:val="00DF1195"/>
    <w:rsid w:val="00DF1B5F"/>
    <w:rsid w:val="00DF26A5"/>
    <w:rsid w:val="00DF39F0"/>
    <w:rsid w:val="00DF4BDC"/>
    <w:rsid w:val="00DF55C0"/>
    <w:rsid w:val="00DF5955"/>
    <w:rsid w:val="00DF5A8B"/>
    <w:rsid w:val="00DF5ABA"/>
    <w:rsid w:val="00DF60F3"/>
    <w:rsid w:val="00DF751E"/>
    <w:rsid w:val="00DF7ABB"/>
    <w:rsid w:val="00E00121"/>
    <w:rsid w:val="00E0028F"/>
    <w:rsid w:val="00E00643"/>
    <w:rsid w:val="00E006EF"/>
    <w:rsid w:val="00E00D05"/>
    <w:rsid w:val="00E00F9F"/>
    <w:rsid w:val="00E01911"/>
    <w:rsid w:val="00E01998"/>
    <w:rsid w:val="00E0265A"/>
    <w:rsid w:val="00E0499E"/>
    <w:rsid w:val="00E04B29"/>
    <w:rsid w:val="00E05826"/>
    <w:rsid w:val="00E0620A"/>
    <w:rsid w:val="00E0751E"/>
    <w:rsid w:val="00E11EA3"/>
    <w:rsid w:val="00E11FA6"/>
    <w:rsid w:val="00E12E0C"/>
    <w:rsid w:val="00E130BB"/>
    <w:rsid w:val="00E13A77"/>
    <w:rsid w:val="00E13FE6"/>
    <w:rsid w:val="00E15363"/>
    <w:rsid w:val="00E15456"/>
    <w:rsid w:val="00E1569A"/>
    <w:rsid w:val="00E17CBF"/>
    <w:rsid w:val="00E20B23"/>
    <w:rsid w:val="00E21166"/>
    <w:rsid w:val="00E21816"/>
    <w:rsid w:val="00E21AE5"/>
    <w:rsid w:val="00E21AED"/>
    <w:rsid w:val="00E21F62"/>
    <w:rsid w:val="00E220FF"/>
    <w:rsid w:val="00E222C8"/>
    <w:rsid w:val="00E223E1"/>
    <w:rsid w:val="00E22C00"/>
    <w:rsid w:val="00E24B97"/>
    <w:rsid w:val="00E258C5"/>
    <w:rsid w:val="00E2693B"/>
    <w:rsid w:val="00E31FA7"/>
    <w:rsid w:val="00E328BA"/>
    <w:rsid w:val="00E34206"/>
    <w:rsid w:val="00E343CA"/>
    <w:rsid w:val="00E34C52"/>
    <w:rsid w:val="00E34FB2"/>
    <w:rsid w:val="00E35434"/>
    <w:rsid w:val="00E36847"/>
    <w:rsid w:val="00E36F34"/>
    <w:rsid w:val="00E374F7"/>
    <w:rsid w:val="00E410FE"/>
    <w:rsid w:val="00E41182"/>
    <w:rsid w:val="00E41302"/>
    <w:rsid w:val="00E41788"/>
    <w:rsid w:val="00E42834"/>
    <w:rsid w:val="00E43AED"/>
    <w:rsid w:val="00E454D5"/>
    <w:rsid w:val="00E4631C"/>
    <w:rsid w:val="00E50511"/>
    <w:rsid w:val="00E50AB4"/>
    <w:rsid w:val="00E536AC"/>
    <w:rsid w:val="00E537AD"/>
    <w:rsid w:val="00E54335"/>
    <w:rsid w:val="00E54C99"/>
    <w:rsid w:val="00E57499"/>
    <w:rsid w:val="00E57A21"/>
    <w:rsid w:val="00E60154"/>
    <w:rsid w:val="00E602C0"/>
    <w:rsid w:val="00E60916"/>
    <w:rsid w:val="00E60D6F"/>
    <w:rsid w:val="00E65C4D"/>
    <w:rsid w:val="00E65E1B"/>
    <w:rsid w:val="00E67FE9"/>
    <w:rsid w:val="00E70A8D"/>
    <w:rsid w:val="00E70C9D"/>
    <w:rsid w:val="00E71412"/>
    <w:rsid w:val="00E7149E"/>
    <w:rsid w:val="00E7279B"/>
    <w:rsid w:val="00E72F71"/>
    <w:rsid w:val="00E732EA"/>
    <w:rsid w:val="00E7344C"/>
    <w:rsid w:val="00E75727"/>
    <w:rsid w:val="00E80276"/>
    <w:rsid w:val="00E80FE2"/>
    <w:rsid w:val="00E81C17"/>
    <w:rsid w:val="00E8266A"/>
    <w:rsid w:val="00E82E81"/>
    <w:rsid w:val="00E8315A"/>
    <w:rsid w:val="00E832AB"/>
    <w:rsid w:val="00E84623"/>
    <w:rsid w:val="00E84907"/>
    <w:rsid w:val="00E856AA"/>
    <w:rsid w:val="00E86922"/>
    <w:rsid w:val="00E87558"/>
    <w:rsid w:val="00E906B7"/>
    <w:rsid w:val="00E90A43"/>
    <w:rsid w:val="00E93F7E"/>
    <w:rsid w:val="00E941BB"/>
    <w:rsid w:val="00E94571"/>
    <w:rsid w:val="00E94B06"/>
    <w:rsid w:val="00E94CC2"/>
    <w:rsid w:val="00E95BC1"/>
    <w:rsid w:val="00E95E93"/>
    <w:rsid w:val="00EA0999"/>
    <w:rsid w:val="00EA251E"/>
    <w:rsid w:val="00EA3E31"/>
    <w:rsid w:val="00EA4581"/>
    <w:rsid w:val="00EA4A04"/>
    <w:rsid w:val="00EA50CE"/>
    <w:rsid w:val="00EA6DB4"/>
    <w:rsid w:val="00EA790F"/>
    <w:rsid w:val="00EA7C7E"/>
    <w:rsid w:val="00EB11CA"/>
    <w:rsid w:val="00EB1658"/>
    <w:rsid w:val="00EB1B6B"/>
    <w:rsid w:val="00EB1FCE"/>
    <w:rsid w:val="00EB283D"/>
    <w:rsid w:val="00EB30B2"/>
    <w:rsid w:val="00EB332F"/>
    <w:rsid w:val="00EB5826"/>
    <w:rsid w:val="00EB6654"/>
    <w:rsid w:val="00EB730F"/>
    <w:rsid w:val="00EB75C2"/>
    <w:rsid w:val="00EB7790"/>
    <w:rsid w:val="00EB7DE9"/>
    <w:rsid w:val="00EB7E89"/>
    <w:rsid w:val="00EC012F"/>
    <w:rsid w:val="00EC0138"/>
    <w:rsid w:val="00EC1902"/>
    <w:rsid w:val="00EC29DA"/>
    <w:rsid w:val="00EC5930"/>
    <w:rsid w:val="00EC78BC"/>
    <w:rsid w:val="00ED0407"/>
    <w:rsid w:val="00ED0C23"/>
    <w:rsid w:val="00ED2630"/>
    <w:rsid w:val="00ED26FA"/>
    <w:rsid w:val="00ED2D1B"/>
    <w:rsid w:val="00ED3B14"/>
    <w:rsid w:val="00ED4AE9"/>
    <w:rsid w:val="00ED6551"/>
    <w:rsid w:val="00ED721B"/>
    <w:rsid w:val="00ED7397"/>
    <w:rsid w:val="00ED7782"/>
    <w:rsid w:val="00ED7FDD"/>
    <w:rsid w:val="00EE0789"/>
    <w:rsid w:val="00EE3A0A"/>
    <w:rsid w:val="00EE4A99"/>
    <w:rsid w:val="00EE4C98"/>
    <w:rsid w:val="00EE626F"/>
    <w:rsid w:val="00EE6316"/>
    <w:rsid w:val="00EE7ACE"/>
    <w:rsid w:val="00EE7F85"/>
    <w:rsid w:val="00EF20FD"/>
    <w:rsid w:val="00EF3012"/>
    <w:rsid w:val="00EF38E0"/>
    <w:rsid w:val="00EF40CA"/>
    <w:rsid w:val="00EF46EA"/>
    <w:rsid w:val="00EF4AA6"/>
    <w:rsid w:val="00EF4E0C"/>
    <w:rsid w:val="00EF4F93"/>
    <w:rsid w:val="00EF4FE2"/>
    <w:rsid w:val="00EF7CC4"/>
    <w:rsid w:val="00F00426"/>
    <w:rsid w:val="00F00F66"/>
    <w:rsid w:val="00F02C0E"/>
    <w:rsid w:val="00F0439B"/>
    <w:rsid w:val="00F04655"/>
    <w:rsid w:val="00F04C07"/>
    <w:rsid w:val="00F0559E"/>
    <w:rsid w:val="00F055FB"/>
    <w:rsid w:val="00F05CD9"/>
    <w:rsid w:val="00F06758"/>
    <w:rsid w:val="00F07234"/>
    <w:rsid w:val="00F10620"/>
    <w:rsid w:val="00F1088D"/>
    <w:rsid w:val="00F11BEE"/>
    <w:rsid w:val="00F123EE"/>
    <w:rsid w:val="00F12572"/>
    <w:rsid w:val="00F13B82"/>
    <w:rsid w:val="00F14E2B"/>
    <w:rsid w:val="00F15AD3"/>
    <w:rsid w:val="00F15B5D"/>
    <w:rsid w:val="00F21B22"/>
    <w:rsid w:val="00F22460"/>
    <w:rsid w:val="00F22A97"/>
    <w:rsid w:val="00F24446"/>
    <w:rsid w:val="00F24C07"/>
    <w:rsid w:val="00F2666F"/>
    <w:rsid w:val="00F2682A"/>
    <w:rsid w:val="00F26C8E"/>
    <w:rsid w:val="00F273F1"/>
    <w:rsid w:val="00F27996"/>
    <w:rsid w:val="00F30AB8"/>
    <w:rsid w:val="00F32365"/>
    <w:rsid w:val="00F32FD3"/>
    <w:rsid w:val="00F33373"/>
    <w:rsid w:val="00F3350F"/>
    <w:rsid w:val="00F354DE"/>
    <w:rsid w:val="00F35D81"/>
    <w:rsid w:val="00F35E4C"/>
    <w:rsid w:val="00F3654A"/>
    <w:rsid w:val="00F40B68"/>
    <w:rsid w:val="00F412CC"/>
    <w:rsid w:val="00F4166C"/>
    <w:rsid w:val="00F41D00"/>
    <w:rsid w:val="00F44220"/>
    <w:rsid w:val="00F4465E"/>
    <w:rsid w:val="00F44F74"/>
    <w:rsid w:val="00F46B9C"/>
    <w:rsid w:val="00F5051D"/>
    <w:rsid w:val="00F506E5"/>
    <w:rsid w:val="00F51324"/>
    <w:rsid w:val="00F536B2"/>
    <w:rsid w:val="00F53CC0"/>
    <w:rsid w:val="00F54C09"/>
    <w:rsid w:val="00F5513B"/>
    <w:rsid w:val="00F55600"/>
    <w:rsid w:val="00F56A70"/>
    <w:rsid w:val="00F5727F"/>
    <w:rsid w:val="00F576E1"/>
    <w:rsid w:val="00F57A4D"/>
    <w:rsid w:val="00F57B50"/>
    <w:rsid w:val="00F57E1D"/>
    <w:rsid w:val="00F60D78"/>
    <w:rsid w:val="00F6278F"/>
    <w:rsid w:val="00F63398"/>
    <w:rsid w:val="00F63FA9"/>
    <w:rsid w:val="00F66558"/>
    <w:rsid w:val="00F667E1"/>
    <w:rsid w:val="00F6763A"/>
    <w:rsid w:val="00F67889"/>
    <w:rsid w:val="00F721B0"/>
    <w:rsid w:val="00F72EEE"/>
    <w:rsid w:val="00F73DAF"/>
    <w:rsid w:val="00F74702"/>
    <w:rsid w:val="00F77033"/>
    <w:rsid w:val="00F779E3"/>
    <w:rsid w:val="00F80BF5"/>
    <w:rsid w:val="00F80E30"/>
    <w:rsid w:val="00F8157D"/>
    <w:rsid w:val="00F82670"/>
    <w:rsid w:val="00F84DFB"/>
    <w:rsid w:val="00F85A35"/>
    <w:rsid w:val="00F8623F"/>
    <w:rsid w:val="00F90058"/>
    <w:rsid w:val="00F93107"/>
    <w:rsid w:val="00F93667"/>
    <w:rsid w:val="00F93782"/>
    <w:rsid w:val="00F93DDB"/>
    <w:rsid w:val="00F94C6B"/>
    <w:rsid w:val="00F94C96"/>
    <w:rsid w:val="00F95401"/>
    <w:rsid w:val="00F95959"/>
    <w:rsid w:val="00F97349"/>
    <w:rsid w:val="00FA0302"/>
    <w:rsid w:val="00FA1137"/>
    <w:rsid w:val="00FA1A73"/>
    <w:rsid w:val="00FA22CB"/>
    <w:rsid w:val="00FA4C35"/>
    <w:rsid w:val="00FA6CAB"/>
    <w:rsid w:val="00FA7574"/>
    <w:rsid w:val="00FB0616"/>
    <w:rsid w:val="00FB25FD"/>
    <w:rsid w:val="00FB35F3"/>
    <w:rsid w:val="00FB50F1"/>
    <w:rsid w:val="00FB5373"/>
    <w:rsid w:val="00FB7310"/>
    <w:rsid w:val="00FC046B"/>
    <w:rsid w:val="00FC0647"/>
    <w:rsid w:val="00FC1708"/>
    <w:rsid w:val="00FC29B3"/>
    <w:rsid w:val="00FC2ECC"/>
    <w:rsid w:val="00FC37DF"/>
    <w:rsid w:val="00FC53D7"/>
    <w:rsid w:val="00FC642D"/>
    <w:rsid w:val="00FC6856"/>
    <w:rsid w:val="00FC691B"/>
    <w:rsid w:val="00FC6E19"/>
    <w:rsid w:val="00FC7006"/>
    <w:rsid w:val="00FC76AE"/>
    <w:rsid w:val="00FC7AEF"/>
    <w:rsid w:val="00FD0332"/>
    <w:rsid w:val="00FD2ABA"/>
    <w:rsid w:val="00FD375B"/>
    <w:rsid w:val="00FD519C"/>
    <w:rsid w:val="00FD56B7"/>
    <w:rsid w:val="00FD5AA3"/>
    <w:rsid w:val="00FD623E"/>
    <w:rsid w:val="00FD6DD8"/>
    <w:rsid w:val="00FD6E3C"/>
    <w:rsid w:val="00FE1351"/>
    <w:rsid w:val="00FE174E"/>
    <w:rsid w:val="00FE1E75"/>
    <w:rsid w:val="00FE2187"/>
    <w:rsid w:val="00FE25F1"/>
    <w:rsid w:val="00FE44AE"/>
    <w:rsid w:val="00FE4747"/>
    <w:rsid w:val="00FE51FD"/>
    <w:rsid w:val="00FE52DE"/>
    <w:rsid w:val="00FE6B66"/>
    <w:rsid w:val="00FF0502"/>
    <w:rsid w:val="00FF4A81"/>
    <w:rsid w:val="00FF681B"/>
    <w:rsid w:val="00FF7045"/>
    <w:rsid w:val="04E826A9"/>
    <w:rsid w:val="0C0F4190"/>
    <w:rsid w:val="200E4117"/>
    <w:rsid w:val="2D450ACB"/>
    <w:rsid w:val="4CD8982B"/>
    <w:rsid w:val="5A9AB661"/>
    <w:rsid w:val="5D03C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BA68F8"/>
  <w15:chartTrackingRefBased/>
  <w15:docId w15:val="{31FA6702-5361-4AB1-8E52-00C2405B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F0A"/>
  </w:style>
  <w:style w:type="paragraph" w:styleId="Heading1">
    <w:name w:val="heading 1"/>
    <w:basedOn w:val="Normal"/>
    <w:next w:val="Normal"/>
    <w:link w:val="Heading1Char"/>
    <w:uiPriority w:val="9"/>
    <w:qFormat/>
    <w:rsid w:val="008934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5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4A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85DEE"/>
    <w:pPr>
      <w:outlineLvl w:val="9"/>
    </w:pPr>
    <w:rPr>
      <w:kern w:val="0"/>
      <w14:ligatures w14:val="none"/>
    </w:rPr>
  </w:style>
  <w:style w:type="paragraph" w:styleId="TOC1">
    <w:name w:val="toc 1"/>
    <w:basedOn w:val="Normal"/>
    <w:next w:val="Normal"/>
    <w:autoRedefine/>
    <w:uiPriority w:val="39"/>
    <w:unhideWhenUsed/>
    <w:rsid w:val="00185DEE"/>
    <w:pPr>
      <w:spacing w:after="100"/>
    </w:pPr>
  </w:style>
  <w:style w:type="character" w:styleId="Hyperlink">
    <w:name w:val="Hyperlink"/>
    <w:basedOn w:val="DefaultParagraphFont"/>
    <w:uiPriority w:val="99"/>
    <w:unhideWhenUsed/>
    <w:rsid w:val="00185DEE"/>
    <w:rPr>
      <w:color w:val="0563C1" w:themeColor="hyperlink"/>
      <w:u w:val="single"/>
    </w:rPr>
  </w:style>
  <w:style w:type="paragraph" w:styleId="Title">
    <w:name w:val="Title"/>
    <w:basedOn w:val="Normal"/>
    <w:next w:val="Normal"/>
    <w:link w:val="TitleChar"/>
    <w:uiPriority w:val="10"/>
    <w:qFormat/>
    <w:rsid w:val="00185D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DEE"/>
    <w:rPr>
      <w:rFonts w:asciiTheme="majorHAnsi" w:eastAsiaTheme="majorEastAsia" w:hAnsiTheme="majorHAnsi" w:cstheme="majorBidi"/>
      <w:spacing w:val="-10"/>
      <w:kern w:val="28"/>
      <w:sz w:val="56"/>
      <w:szCs w:val="56"/>
    </w:rPr>
  </w:style>
  <w:style w:type="paragraph" w:styleId="FootnoteText">
    <w:name w:val="footnote text"/>
    <w:aliases w:val="Fußnote,Footnote Text Char Char,single space,FOOTNOTES,fn,Char Char Char,Note de bas de page2,Footnotes Char,footnote text Char,Footnotes,Char Char Char Char Char Char,footnotes Char Char Char Char Char,Footno,Footn,Char1,Fussnote,stile 1"/>
    <w:basedOn w:val="Normal"/>
    <w:link w:val="FootnoteTextChar"/>
    <w:uiPriority w:val="99"/>
    <w:unhideWhenUsed/>
    <w:qFormat/>
    <w:rsid w:val="006D65AC"/>
    <w:pPr>
      <w:spacing w:after="0" w:line="240" w:lineRule="auto"/>
    </w:pPr>
    <w:rPr>
      <w:sz w:val="20"/>
      <w:szCs w:val="20"/>
    </w:rPr>
  </w:style>
  <w:style w:type="character" w:customStyle="1" w:styleId="FootnoteTextChar">
    <w:name w:val="Footnote Text Char"/>
    <w:aliases w:val="Fußnote Char,Footnote Text Char Char Char,single space Char,FOOTNOTES Char,fn Char,Char Char Char Char,Note de bas de page2 Char,Footnotes Char Char,footnote text Char Char,Footnotes Char1,Char Char Char Char Char Char Char,Footn Char"/>
    <w:basedOn w:val="DefaultParagraphFont"/>
    <w:link w:val="FootnoteText"/>
    <w:uiPriority w:val="99"/>
    <w:qFormat/>
    <w:rsid w:val="002A453C"/>
    <w:rPr>
      <w:sz w:val="20"/>
      <w:szCs w:val="20"/>
    </w:rPr>
  </w:style>
  <w:style w:type="character" w:styleId="FootnoteReference">
    <w:name w:val="footnote reference"/>
    <w:aliases w:val="Footnote Reference Superscript,BVI fnr, BVI fnr,Footnote symbol,Odwołanie przypisu,Footnote,Footnotes refss,SUPERS,Ref,de nota al pie,-E Fußnotenzeichen,Footnote reference number,Times 10 Point,Exposant 3 Point,E,E FNZ,footnote r,ftre"/>
    <w:link w:val="FootnotesymbolCarZchn"/>
    <w:uiPriority w:val="99"/>
    <w:qFormat/>
    <w:rsid w:val="002A453C"/>
    <w:rPr>
      <w:vertAlign w:val="superscript"/>
    </w:rPr>
  </w:style>
  <w:style w:type="character" w:customStyle="1" w:styleId="UnresolvedMention1">
    <w:name w:val="Unresolved Mention1"/>
    <w:basedOn w:val="DefaultParagraphFont"/>
    <w:uiPriority w:val="99"/>
    <w:semiHidden/>
    <w:unhideWhenUsed/>
    <w:rsid w:val="002A453C"/>
    <w:rPr>
      <w:color w:val="605E5C"/>
      <w:shd w:val="clear" w:color="auto" w:fill="E1DFDD"/>
    </w:rPr>
  </w:style>
  <w:style w:type="character" w:styleId="FollowedHyperlink">
    <w:name w:val="FollowedHyperlink"/>
    <w:basedOn w:val="DefaultParagraphFont"/>
    <w:uiPriority w:val="99"/>
    <w:semiHidden/>
    <w:unhideWhenUsed/>
    <w:rsid w:val="00FC046B"/>
    <w:rPr>
      <w:color w:val="954F72" w:themeColor="followedHyperlink"/>
      <w:u w:val="single"/>
    </w:rPr>
  </w:style>
  <w:style w:type="paragraph" w:styleId="Header">
    <w:name w:val="header"/>
    <w:basedOn w:val="Normal"/>
    <w:link w:val="HeaderChar"/>
    <w:uiPriority w:val="99"/>
    <w:unhideWhenUsed/>
    <w:rsid w:val="002C6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916"/>
  </w:style>
  <w:style w:type="paragraph" w:styleId="Footer">
    <w:name w:val="footer"/>
    <w:basedOn w:val="Normal"/>
    <w:link w:val="FooterChar"/>
    <w:uiPriority w:val="99"/>
    <w:unhideWhenUsed/>
    <w:rsid w:val="002C6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916"/>
  </w:style>
  <w:style w:type="paragraph" w:styleId="Revision">
    <w:name w:val="Revision"/>
    <w:hidden/>
    <w:uiPriority w:val="99"/>
    <w:semiHidden/>
    <w:rsid w:val="0006786F"/>
    <w:pPr>
      <w:spacing w:after="0" w:line="240" w:lineRule="auto"/>
    </w:pPr>
  </w:style>
  <w:style w:type="character" w:styleId="CommentReference">
    <w:name w:val="annotation reference"/>
    <w:basedOn w:val="DefaultParagraphFont"/>
    <w:uiPriority w:val="99"/>
    <w:semiHidden/>
    <w:unhideWhenUsed/>
    <w:rsid w:val="00544729"/>
    <w:rPr>
      <w:sz w:val="16"/>
      <w:szCs w:val="16"/>
    </w:rPr>
  </w:style>
  <w:style w:type="paragraph" w:styleId="CommentText">
    <w:name w:val="annotation text"/>
    <w:basedOn w:val="Normal"/>
    <w:link w:val="CommentTextChar"/>
    <w:uiPriority w:val="99"/>
    <w:unhideWhenUsed/>
    <w:rsid w:val="00544729"/>
    <w:pPr>
      <w:spacing w:line="240" w:lineRule="auto"/>
    </w:pPr>
    <w:rPr>
      <w:sz w:val="20"/>
      <w:szCs w:val="20"/>
    </w:rPr>
  </w:style>
  <w:style w:type="character" w:customStyle="1" w:styleId="CommentTextChar">
    <w:name w:val="Comment Text Char"/>
    <w:basedOn w:val="DefaultParagraphFont"/>
    <w:link w:val="CommentText"/>
    <w:uiPriority w:val="99"/>
    <w:rsid w:val="00544729"/>
    <w:rPr>
      <w:sz w:val="20"/>
      <w:szCs w:val="20"/>
    </w:rPr>
  </w:style>
  <w:style w:type="paragraph" w:styleId="CommentSubject">
    <w:name w:val="annotation subject"/>
    <w:basedOn w:val="CommentText"/>
    <w:next w:val="CommentText"/>
    <w:link w:val="CommentSubjectChar"/>
    <w:uiPriority w:val="99"/>
    <w:semiHidden/>
    <w:unhideWhenUsed/>
    <w:rsid w:val="00544729"/>
    <w:rPr>
      <w:b/>
      <w:bCs/>
    </w:rPr>
  </w:style>
  <w:style w:type="character" w:customStyle="1" w:styleId="CommentSubjectChar">
    <w:name w:val="Comment Subject Char"/>
    <w:basedOn w:val="CommentTextChar"/>
    <w:link w:val="CommentSubject"/>
    <w:uiPriority w:val="99"/>
    <w:semiHidden/>
    <w:rsid w:val="00544729"/>
    <w:rPr>
      <w:b/>
      <w:bCs/>
      <w:sz w:val="20"/>
      <w:szCs w:val="20"/>
    </w:rPr>
  </w:style>
  <w:style w:type="character" w:customStyle="1" w:styleId="Marker">
    <w:name w:val="Marker"/>
    <w:basedOn w:val="DefaultParagraphFont"/>
    <w:rsid w:val="00F41D00"/>
    <w:rPr>
      <w:color w:val="0000FF"/>
      <w:shd w:val="clear" w:color="auto" w:fill="auto"/>
    </w:rPr>
  </w:style>
  <w:style w:type="paragraph" w:customStyle="1" w:styleId="Pagedecouverture">
    <w:name w:val="Page de couverture"/>
    <w:basedOn w:val="Normal"/>
    <w:next w:val="Normal"/>
    <w:link w:val="PagedecouvertureChar"/>
    <w:rsid w:val="00F41D00"/>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41D0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41D00"/>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F41D00"/>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F41D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41D00"/>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F41D0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41D00"/>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F41D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41D00"/>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F41D0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41D00"/>
    <w:rPr>
      <w:rFonts w:ascii="Times New Roman" w:hAnsi="Times New Roman" w:cs="Times New Roman"/>
      <w:kern w:val="0"/>
      <w:sz w:val="28"/>
      <w14:ligatures w14:val="none"/>
    </w:rPr>
  </w:style>
  <w:style w:type="character" w:customStyle="1" w:styleId="Heading2Char">
    <w:name w:val="Heading 2 Char"/>
    <w:basedOn w:val="DefaultParagraphFont"/>
    <w:link w:val="Heading2"/>
    <w:uiPriority w:val="9"/>
    <w:rsid w:val="00DA65B9"/>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uiPriority w:val="1"/>
    <w:rsid w:val="00917205"/>
    <w:rPr>
      <w:rFonts w:asciiTheme="minorHAnsi" w:eastAsiaTheme="minorEastAsia" w:hAnsiTheme="minorHAnsi" w:cstheme="minorBidi"/>
      <w:sz w:val="22"/>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AD5C59"/>
    <w:pPr>
      <w:spacing w:line="240" w:lineRule="exact"/>
    </w:pPr>
    <w:rPr>
      <w:vertAlign w:val="superscript"/>
    </w:rPr>
  </w:style>
  <w:style w:type="character" w:customStyle="1" w:styleId="Mention1">
    <w:name w:val="Mention1"/>
    <w:basedOn w:val="DefaultParagraphFont"/>
    <w:uiPriority w:val="99"/>
    <w:unhideWhenUsed/>
    <w:rsid w:val="00793887"/>
    <w:rPr>
      <w:color w:val="2B579A"/>
      <w:shd w:val="clear" w:color="auto" w:fill="E1DFDD"/>
    </w:rPr>
  </w:style>
  <w:style w:type="paragraph" w:styleId="ListParagraph">
    <w:name w:val="List Paragraph"/>
    <w:basedOn w:val="Normal"/>
    <w:uiPriority w:val="34"/>
    <w:qFormat/>
    <w:rsid w:val="00D24036"/>
    <w:pPr>
      <w:ind w:left="720"/>
      <w:contextualSpacing/>
    </w:pPr>
  </w:style>
  <w:style w:type="character" w:styleId="Emphasis">
    <w:name w:val="Emphasis"/>
    <w:basedOn w:val="DefaultParagraphFont"/>
    <w:uiPriority w:val="20"/>
    <w:qFormat/>
    <w:rsid w:val="001172F8"/>
    <w:rPr>
      <w:i/>
      <w:iCs/>
    </w:rPr>
  </w:style>
  <w:style w:type="character" w:customStyle="1" w:styleId="UnresolvedMention">
    <w:name w:val="Unresolved Mention"/>
    <w:basedOn w:val="DefaultParagraphFont"/>
    <w:uiPriority w:val="99"/>
    <w:semiHidden/>
    <w:unhideWhenUsed/>
    <w:rsid w:val="00610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85768">
      <w:bodyDiv w:val="1"/>
      <w:marLeft w:val="0"/>
      <w:marRight w:val="0"/>
      <w:marTop w:val="0"/>
      <w:marBottom w:val="0"/>
      <w:divBdr>
        <w:top w:val="none" w:sz="0" w:space="0" w:color="auto"/>
        <w:left w:val="none" w:sz="0" w:space="0" w:color="auto"/>
        <w:bottom w:val="none" w:sz="0" w:space="0" w:color="auto"/>
        <w:right w:val="none" w:sz="0" w:space="0" w:color="auto"/>
      </w:divBdr>
    </w:div>
    <w:div w:id="834415163">
      <w:bodyDiv w:val="1"/>
      <w:marLeft w:val="0"/>
      <w:marRight w:val="0"/>
      <w:marTop w:val="0"/>
      <w:marBottom w:val="0"/>
      <w:divBdr>
        <w:top w:val="none" w:sz="0" w:space="0" w:color="auto"/>
        <w:left w:val="none" w:sz="0" w:space="0" w:color="auto"/>
        <w:bottom w:val="none" w:sz="0" w:space="0" w:color="auto"/>
        <w:right w:val="none" w:sz="0" w:space="0" w:color="auto"/>
      </w:divBdr>
    </w:div>
    <w:div w:id="193327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pglobal.com/content/dam/spglobal/corporate/en/images/general/special-editorial/whenwomenlead_.pdf" TargetMode="External"/><Relationship Id="rId13" Type="http://schemas.openxmlformats.org/officeDocument/2006/relationships/hyperlink" Target="https://eige.europa.eu/gender-based-violence/cyber-violence-against-women?language_content_entity=en" TargetMode="External"/><Relationship Id="rId18" Type="http://schemas.openxmlformats.org/officeDocument/2006/relationships/hyperlink" Target="https://ec.europa.eu/eurostat/databrowser/bookmark/4587cde9-1430-4262-845c-6ec9fd307b02?lang=en" TargetMode="External"/><Relationship Id="rId26" Type="http://schemas.openxmlformats.org/officeDocument/2006/relationships/hyperlink" Target="https://eige.europa.eu/gender-statistics/dgs/indicator/wmidm_pol_parl__wmid_natparl" TargetMode="External"/><Relationship Id="rId3" Type="http://schemas.openxmlformats.org/officeDocument/2006/relationships/hyperlink" Target="https://commission.europa.eu/document/download/e6cd4328-673c-4e7a-8683-f63ffb2cf648_ro?filename=Political%20Guidelines%202024-2029_RO.pdf" TargetMode="External"/><Relationship Id="rId21" Type="http://schemas.openxmlformats.org/officeDocument/2006/relationships/hyperlink" Target="https://ec.europa.eu/eurostat/databrowser/bookmark/57420e75-afb8-4341-a591-a52e95067015?lang=en" TargetMode="External"/><Relationship Id="rId34" Type="http://schemas.openxmlformats.org/officeDocument/2006/relationships/hyperlink" Target="https://ec.europa.eu/eurostat/databrowser/bookmark/ea3af89e-6c9e-49cc-9cc0-0cbfd721b93e?lang=en" TargetMode="External"/><Relationship Id="rId7" Type="http://schemas.openxmlformats.org/officeDocument/2006/relationships/hyperlink" Target="https://www.spglobal.com/content/dam/spglobal/corporate/en/images/general/special-editorial/whenwomenlead_.pdf" TargetMode="External"/><Relationship Id="rId12" Type="http://schemas.openxmlformats.org/officeDocument/2006/relationships/hyperlink" Target="https://eige.europa.eu/newsroom/eu-gender-based-violence-survey" TargetMode="External"/><Relationship Id="rId17" Type="http://schemas.openxmlformats.org/officeDocument/2006/relationships/hyperlink" Target="https://www.saage-network.eu/sites/default/files/media/publication/DS0320880ENN-en.pdf" TargetMode="External"/><Relationship Id="rId25" Type="http://schemas.openxmlformats.org/officeDocument/2006/relationships/hyperlink" Target="https://eige.europa.eu/gender-statistics/dgs/indicator/wmidm_pol_parl__wmid_natparl" TargetMode="External"/><Relationship Id="rId33" Type="http://schemas.openxmlformats.org/officeDocument/2006/relationships/hyperlink" Target="https://ec.europa.eu/eurostat/databrowser/bookmark/ea3af89e-6c9e-49cc-9cc0-0cbfd721b93e?lang=en" TargetMode="External"/><Relationship Id="rId2" Type="http://schemas.openxmlformats.org/officeDocument/2006/relationships/hyperlink" Target="https://eige.europa.eu/gender-equality-index/2024" TargetMode="External"/><Relationship Id="rId16" Type="http://schemas.openxmlformats.org/officeDocument/2006/relationships/hyperlink" Target="https://eige.europa.eu/gender-based-violence/costs-of-gender-based-violence?language_content_entity=en" TargetMode="External"/><Relationship Id="rId20" Type="http://schemas.openxmlformats.org/officeDocument/2006/relationships/hyperlink" Target="https://ec.europa.eu/eurostat/statistics-explained/index.php?title=Glossary:Percentage_point" TargetMode="External"/><Relationship Id="rId29" Type="http://schemas.openxmlformats.org/officeDocument/2006/relationships/hyperlink" Target="https://eige.europa.eu/gender-statistics/dgs/indicator/wmidm_pol_parl__wmid_natparl" TargetMode="External"/><Relationship Id="rId1" Type="http://schemas.openxmlformats.org/officeDocument/2006/relationships/hyperlink" Target="https://eige.europa.eu/gender-equality-index/2024" TargetMode="External"/><Relationship Id="rId6" Type="http://schemas.openxmlformats.org/officeDocument/2006/relationships/hyperlink" Target="https://eige.europa.eu/newsroom/economic-benefits-gender-equality?language_content_entity=en" TargetMode="External"/><Relationship Id="rId11" Type="http://schemas.openxmlformats.org/officeDocument/2006/relationships/hyperlink" Target="https://eige.europa.eu/newsroom/eu-gender-based-violence-survey" TargetMode="External"/><Relationship Id="rId24" Type="http://schemas.openxmlformats.org/officeDocument/2006/relationships/hyperlink" Target="https://webapps.ilo.org/infostories/en-GB/Stories/Employment/barriers-women" TargetMode="External"/><Relationship Id="rId32" Type="http://schemas.openxmlformats.org/officeDocument/2006/relationships/hyperlink" Target="https://ec.europa.eu/eurostat/databrowser/view/isoc_sks_itsps/default/table?lang=en" TargetMode="External"/><Relationship Id="rId5" Type="http://schemas.openxmlformats.org/officeDocument/2006/relationships/hyperlink" Target="https://eige.europa.eu/newsroom/economic-benefits-gender-equality?language_content_entity=en" TargetMode="External"/><Relationship Id="rId15" Type="http://schemas.openxmlformats.org/officeDocument/2006/relationships/hyperlink" Target="https://eige.europa.eu/gender-based-violence/costs-of-gender-based-violence?language_content_entity=en" TargetMode="External"/><Relationship Id="rId23" Type="http://schemas.openxmlformats.org/officeDocument/2006/relationships/hyperlink" Target="https://webapps.ilo.org/infostories/en-GB/Stories/Employment/barriers-women" TargetMode="External"/><Relationship Id="rId28" Type="http://schemas.openxmlformats.org/officeDocument/2006/relationships/hyperlink" Target="https://eige.europa.eu/gender-statistics/dgs/indicator/wmidm_pol_parl__wmid_natparl" TargetMode="External"/><Relationship Id="rId10" Type="http://schemas.openxmlformats.org/officeDocument/2006/relationships/hyperlink" Target="https://eige.europa.eu/publications-resources/publications/gender-equality-benefits-everyone-its-still-60-years-away" TargetMode="External"/><Relationship Id="rId19" Type="http://schemas.openxmlformats.org/officeDocument/2006/relationships/hyperlink" Target="https://ec.europa.eu/eurostat/statistics-explained/index.php?title=Gender_pay_gap_statistics" TargetMode="External"/><Relationship Id="rId31" Type="http://schemas.openxmlformats.org/officeDocument/2006/relationships/hyperlink" Target="https://ec.europa.eu/eurostat/databrowser/view/isoc_sks_itsps/default/table?lang=en" TargetMode="External"/><Relationship Id="rId4" Type="http://schemas.openxmlformats.org/officeDocument/2006/relationships/hyperlink" Target="https://digitallibrary.un.org/record/1648092" TargetMode="External"/><Relationship Id="rId9" Type="http://schemas.openxmlformats.org/officeDocument/2006/relationships/hyperlink" Target="https://eige.europa.eu/publications-resources/publications/gender-equality-benefits-everyone-its-still-60-years-away" TargetMode="External"/><Relationship Id="rId14" Type="http://schemas.openxmlformats.org/officeDocument/2006/relationships/hyperlink" Target="https://eige.europa.eu/gender-based-violence/cyber-violence-against-women?language_content_entity=en" TargetMode="External"/><Relationship Id="rId22" Type="http://schemas.openxmlformats.org/officeDocument/2006/relationships/hyperlink" Target="https://webapps.ilo.org/infostories/en-GB/Stories/Employment/barriers-women" TargetMode="External"/><Relationship Id="rId27" Type="http://schemas.openxmlformats.org/officeDocument/2006/relationships/hyperlink" Target="https://eige.europa.eu/gender-statistics/dgs/indicator/wmidm_pol_parl__wmid_natparl" TargetMode="External"/><Relationship Id="rId30" Type="http://schemas.openxmlformats.org/officeDocument/2006/relationships/hyperlink" Target="https://ec.europa.eu/eurostat/databrowser/bookmark/7e2b5bfb-3b10-4240-91bf-f7d91ccba708?lang=en" TargetMode="External"/><Relationship Id="rId35" Type="http://schemas.openxmlformats.org/officeDocument/2006/relationships/hyperlink" Target="https://commission.europa.eu/strategy-and-policy/priorities-2019-2024/stronger-europe-world/global-gateway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riefing_x0020_-_x0020_Folder xmlns="4cca3cb3-cbc1-4ea6-8f56-24c9b4d79f76" xsi:nil="true"/>
    <Contact_x0020_details xmlns="c1752347-4e16-4ce8-a381-9ddf3e797ad6" xsi:nil="true"/>
    <Dealine_x0020_to_x0020_receive_x0020_VM xmlns="4cca3cb3-cbc1-4ea6-8f56-24c9b4d79f76" xsi:nil="true"/>
    <MemberResponsible xmlns="4cca3cb3-cbc1-4ea6-8f56-24c9b4d79f76" xsi:nil="true"/>
    <ARES_x0020_Reply_x0020_Official xmlns="4cca3cb3-cbc1-4ea6-8f56-24c9b4d79f76" xsi:nil="true"/>
    <GenerateInvitation xmlns="4cca3cb3-cbc1-4ea6-8f56-24c9b4d79f76">true</GenerateInvitation>
    <TitleLink xmlns="4cca3cb3-cbc1-4ea6-8f56-24c9b4d79f76">
      <Url xsi:nil="true"/>
      <Description xsi:nil="true"/>
    </TitleLink>
    <Where xmlns="4cca3cb3-cbc1-4ea6-8f56-24c9b4d79f76" xsi:nil="true"/>
    <lcf76f155ced4ddcb4097134ff3c332f xmlns="bad4ff54-6b61-4739-8898-ccf4134f55e9" xsi:nil="true"/>
    <CommentsCommissioner xmlns="4cca3cb3-cbc1-4ea6-8f56-24c9b4d79f76" xsi:nil="true"/>
    <End_Date xmlns="4cca3cb3-cbc1-4ea6-8f56-24c9b4d79f76" xsi:nil="true"/>
    <Speech_x0020_length xmlns="c1752347-4e16-4ce8-a381-9ddf3e797ad6" xsi:nil="true"/>
    <Archive xmlns="4cca3cb3-cbc1-4ea6-8f56-24c9b4d79f76">true</Archive>
    <Driver_x0020_Details xmlns="c1752347-4e16-4ce8-a381-9ddf3e797ad6" xsi:nil="true"/>
    <Invitingpersonorganisation xmlns="4cca3cb3-cbc1-4ea6-8f56-24c9b4d79f76" xsi:nil="true"/>
    <Background_x0020_Info xmlns="c1752347-4e16-4ce8-a381-9ddf3e797ad6" xsi:nil="true"/>
    <Member_x0020_Comments xmlns="c1752347-4e16-4ce8-a381-9ddf3e797ad6" xsi:nil="true"/>
    <Briefing_x0020_-_x0020_Received xmlns="4cca3cb3-cbc1-4ea6-8f56-24c9b4d79f76">false</Briefing_x0020_-_x0020_Received>
    <DecisionCommissioner xmlns="4cca3cb3-cbc1-4ea6-8f56-24c9b4d79f76" xsi:nil="true"/>
    <Printed xmlns="4cca3cb3-cbc1-4ea6-8f56-24c9b4d79f76">true</Printed>
    <Venue xmlns="c1752347-4e16-4ce8-a381-9ddf3e797ad6" xsi:nil="true"/>
    <Aresnumber xmlns="4cca3cb3-cbc1-4ea6-8f56-24c9b4d79f76" xsi:nil="true"/>
    <Detailed_x0020_arrangements xmlns="c1752347-4e16-4ce8-a381-9ddf3e797ad6" xsi:nil="true"/>
    <EventRole xmlns="4cca3cb3-cbc1-4ea6-8f56-24c9b4d79f76" xsi:nil="true"/>
    <Photograph xmlns="c1752347-4e16-4ce8-a381-9ddf3e797ad6">false</Photograph>
    <VM_x0020_-_x0020_Subtitle xmlns="4cca3cb3-cbc1-4ea6-8f56-24c9b4d79f76" xsi:nil="true"/>
    <Briefing_x0020_-_x0020_DDL_x0020_to_x0020_Review xmlns="4cca3cb3-cbc1-4ea6-8f56-24c9b4d79f76" xsi:nil="true"/>
    <Briefing_x0020_Deadline xmlns="c1752347-4e16-4ce8-a381-9ddf3e797ad6" xsi:nil="true"/>
    <Driver xmlns="c1752347-4e16-4ce8-a381-9ddf3e797ad6">false</Driver>
    <Media xmlns="c1752347-4e16-4ce8-a381-9ddf3e797ad6" xsi:nil="true"/>
    <Parking xmlns="c1752347-4e16-4ce8-a381-9ddf3e797ad6">false</Parking>
    <ARESRef xmlns="4cca3cb3-cbc1-4ea6-8f56-24c9b4d79f76" xsi:nil="true"/>
    <Equipment xmlns="c1752347-4e16-4ce8-a381-9ddf3e797ad6" xsi:nil="true"/>
    <Recommendationofthemember xmlns="4cca3cb3-cbc1-4ea6-8f56-24c9b4d79f76" xsi:nil="true"/>
    <Hybrid_x0020_meeting_x0020_link xmlns="c1752347-4e16-4ce8-a381-9ddf3e797ad6">
      <Url xsi:nil="true"/>
      <Description xsi:nil="true"/>
    </Hybrid_x0020_meeting_x0020_link>
    <Other_x0020_speakers xmlns="c1752347-4e16-4ce8-a381-9ddf3e797ad6" xsi:nil="true"/>
    <What xmlns="4cca3cb3-cbc1-4ea6-8f56-24c9b4d79f76">Interview request</What>
    <VM_x0020_-_x0020_Comment xmlns="4cca3cb3-cbc1-4ea6-8f56-24c9b4d79f76" xsi:nil="true"/>
    <InviteLocation xmlns="4cca3cb3-cbc1-4ea6-8f56-24c9b4d79f76" xsi:nil="true"/>
    <GenerateInvite xmlns="4cca3cb3-cbc1-4ea6-8f56-24c9b4d79f76">true</GenerateInvite>
    <CommentsOwner xmlns="4cca3cb3-cbc1-4ea6-8f56-24c9b4d79f76" xsi:nil="true"/>
    <Shortdescription xmlns="4cca3cb3-cbc1-4ea6-8f56-24c9b4d79f76" xsi:nil="true"/>
    <TransparencyRegisternumber xmlns="4cca3cb3-cbc1-4ea6-8f56-24c9b4d79f76" xsi:nil="true"/>
    <BriefingRequest xmlns="4cca3cb3-cbc1-4ea6-8f56-24c9b4d79f76" xsi:nil="true"/>
    <Contact_x0020_point xmlns="c1752347-4e16-4ce8-a381-9ddf3e797ad6" xsi:nil="true"/>
    <Speech_x0020_Link xmlns="c1752347-4e16-4ce8-a381-9ddf3e797ad6">
      <Url xsi:nil="true"/>
      <Description xsi:nil="true"/>
    </Speech_x0020_Link>
    <Senttoon xmlns="4cca3cb3-cbc1-4ea6-8f56-24c9b4d79f76" xsi:nil="true"/>
    <Start_Date xmlns="4cca3cb3-cbc1-4ea6-8f56-24c9b4d79f76">2025-03-03T18:42:42+00:00</Start_Date>
    <ShortTitleWhiteFiche xmlns="4cca3cb3-cbc1-4ea6-8f56-24c9b4d79f76" xsi:nil="true"/>
    <ATMOS xmlns="c1752347-4e16-4ce8-a381-9ddf3e797ad6">false</ATMOS>
    <Other_x0020_VIPs xmlns="c1752347-4e16-4ce8-a381-9ddf3e797ad6" xsi:nil="true"/>
    <Protection_x0020_Officers_x0020_-_x0020_Bodyguard xmlns="c1752347-4e16-4ce8-a381-9ddf3e797ad6" xsi:nil="true"/>
    <Type_of_request xmlns="4cca3cb3-cbc1-4ea6-8f56-24c9b4d79f76">Interview request</Type_of_request>
    <StudioDate xmlns="4cca3cb3-cbc1-4ea6-8f56-24c9b4d79f76" xsi:nil="true"/>
    <RecommendationOwner xmlns="4cca3cb3-cbc1-4ea6-8f56-24c9b4d79f76" xsi:nil="true"/>
    <Speech_x0020_required xmlns="c1752347-4e16-4ce8-a381-9ddf3e797ad6">false</Speech_x0020_required>
    <V-PASS xmlns="c1752347-4e16-4ce8-a381-9ddf3e797ad6">false</V-PAS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_SG_Invitations_Docs" ma:contentTypeID="0x010100F51F1E3FA78AE94997ADA656F2BD3EA600BC0DF3D9C533F04E84DD88272FE9FD24" ma:contentTypeVersion="63" ma:contentTypeDescription="EC SG Invitations Documents" ma:contentTypeScope="" ma:versionID="0dadda053ce92f1d06a5fa0d77fc6e23">
  <xsd:schema xmlns:xsd="http://www.w3.org/2001/XMLSchema" xmlns:xs="http://www.w3.org/2001/XMLSchema" xmlns:p="http://schemas.microsoft.com/office/2006/metadata/properties" xmlns:ns2="4cca3cb3-cbc1-4ea6-8f56-24c9b4d79f76" xmlns:ns3="c1752347-4e16-4ce8-a381-9ddf3e797ad6" xmlns:ns4="bad4ff54-6b61-4739-8898-ccf4134f55e9" targetNamespace="http://schemas.microsoft.com/office/2006/metadata/properties" ma:root="true" ma:fieldsID="2f096c9f789f73cd40b80a52e0d96cb3" ns2:_="" ns3:_="" ns4:_="">
    <xsd:import namespace="4cca3cb3-cbc1-4ea6-8f56-24c9b4d79f76"/>
    <xsd:import namespace="c1752347-4e16-4ce8-a381-9ddf3e797ad6"/>
    <xsd:import namespace="bad4ff54-6b61-4739-8898-ccf4134f55e9"/>
    <xsd:element name="properties">
      <xsd:complexType>
        <xsd:sequence>
          <xsd:element name="documentManagement">
            <xsd:complexType>
              <xsd:all>
                <xsd:element ref="ns2:Archive" minOccurs="0"/>
                <xsd:element ref="ns2:MemberResponsible" minOccurs="0"/>
                <xsd:element ref="ns2:ShortTitleWhiteFiche" minOccurs="0"/>
                <xsd:element ref="ns2:Aresnumber" minOccurs="0"/>
                <xsd:element ref="ns2:ARES_x0020_Reply_x0020_Official" minOccurs="0"/>
                <xsd:element ref="ns3:ATMOS" minOccurs="0"/>
                <xsd:element ref="ns3:Background_x0020_Info" minOccurs="0"/>
                <xsd:element ref="ns2:Briefing_x0020_-_x0020_DDL_x0020_to_x0020_Review" minOccurs="0"/>
                <xsd:element ref="ns2:Briefing_x0020_-_x0020_Folder" minOccurs="0"/>
                <xsd:element ref="ns2:Briefing_x0020_-_x0020_Received" minOccurs="0"/>
                <xsd:element ref="ns3:Briefing_x0020_Deadline" minOccurs="0"/>
                <xsd:element ref="ns2:BriefingRequest" minOccurs="0"/>
                <xsd:element ref="ns2:CommentsCommissioner" minOccurs="0"/>
                <xsd:element ref="ns2:DecisionCommissioner" minOccurs="0"/>
                <xsd:element ref="ns3:Contact_x0020_details" minOccurs="0"/>
                <xsd:element ref="ns3:Contact_x0020_point" minOccurs="0"/>
                <xsd:element ref="ns3:Detailed_x0020_arrangements" minOccurs="0"/>
                <xsd:element ref="ns3:Driver" minOccurs="0"/>
                <xsd:element ref="ns3:Driver_x0020_Details" minOccurs="0"/>
                <xsd:element ref="ns2:End_Date" minOccurs="0"/>
                <xsd:element ref="ns3:Equipment" minOccurs="0"/>
                <xsd:element ref="ns2:EventRole" minOccurs="0"/>
                <xsd:element ref="ns2:GenerateInvitation" minOccurs="0"/>
                <xsd:element ref="ns2:GenerateInvite" minOccurs="0"/>
                <xsd:element ref="ns2:CommentsOwner" minOccurs="0"/>
                <xsd:element ref="ns2:RecommendationOwner" minOccurs="0"/>
                <xsd:element ref="ns3:Hybrid_x0020_meeting_x0020_link" minOccurs="0"/>
                <xsd:element ref="ns3:Media" minOccurs="0"/>
                <xsd:element ref="ns3:Member_x0020_Comments" minOccurs="0"/>
                <xsd:element ref="ns2:Recommendationofthemember" minOccurs="0"/>
                <xsd:element ref="ns2:Invitingpersonorganisation" minOccurs="0"/>
                <xsd:element ref="ns3:Other_x0020_speakers" minOccurs="0"/>
                <xsd:element ref="ns3:Other_x0020_VIPs" minOccurs="0"/>
                <xsd:element ref="ns3:Parking" minOccurs="0"/>
                <xsd:element ref="ns3:Photograph" minOccurs="0"/>
                <xsd:element ref="ns2:Printed" minOccurs="0"/>
                <xsd:element ref="ns3:Protection_x0020_Officers_x0020_-_x0020_Bodyguard" minOccurs="0"/>
                <xsd:element ref="ns2:What" minOccurs="0"/>
                <xsd:element ref="ns2:Senttoon" minOccurs="0"/>
                <xsd:element ref="ns2:Shortdescription" minOccurs="0"/>
                <xsd:element ref="ns3:Speech_x0020_length" minOccurs="0"/>
                <xsd:element ref="ns3:Speech_x0020_Link" minOccurs="0"/>
                <xsd:element ref="ns3:Speech_x0020_required" minOccurs="0"/>
                <xsd:element ref="ns2:Start_Date" minOccurs="0"/>
                <xsd:element ref="ns2:TitleLink" minOccurs="0"/>
                <xsd:element ref="ns2:TransparencyRegisternumber" minOccurs="0"/>
                <xsd:element ref="ns2:Type_of_request" minOccurs="0"/>
                <xsd:element ref="ns3:Venue" minOccurs="0"/>
                <xsd:element ref="ns2:VM_x0020_-_x0020_Comment" minOccurs="0"/>
                <xsd:element ref="ns2:Dealine_x0020_to_x0020_receive_x0020_VM" minOccurs="0"/>
                <xsd:element ref="ns2:ARESRef" minOccurs="0"/>
                <xsd:element ref="ns2:StudioDate" minOccurs="0"/>
                <xsd:element ref="ns2:VM_x0020_-_x0020_Subtitle" minOccurs="0"/>
                <xsd:element ref="ns3:V-PASS" minOccurs="0"/>
                <xsd:element ref="ns2:InviteLocation" minOccurs="0"/>
                <xsd:element ref="ns2:Where"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a3cb3-cbc1-4ea6-8f56-24c9b4d79f76" elementFormDefault="qualified">
    <xsd:import namespace="http://schemas.microsoft.com/office/2006/documentManagement/types"/>
    <xsd:import namespace="http://schemas.microsoft.com/office/infopath/2007/PartnerControls"/>
    <xsd:element name="Archive" ma:index="8" nillable="true" ma:displayName="Archive" ma:default="1" ma:description="Archive" ma:internalName="Archive">
      <xsd:simpleType>
        <xsd:restriction base="dms:Boolean"/>
      </xsd:simpleType>
    </xsd:element>
    <xsd:element name="MemberResponsible" ma:index="9" nillable="true" ma:displayName="Member Responsible" ma:description="Member Responsible" ma:format="Dropdown" ma:internalName="MemberResponsible">
      <xsd:simpleType>
        <xsd:restriction base="dms:Choice">
          <xsd:enumeration value="Annelisa"/>
          <xsd:enumeration value="David"/>
          <xsd:enumeration value="Eva"/>
          <xsd:enumeration value="Jeanne"/>
          <xsd:enumeration value="Joseph"/>
          <xsd:enumeration value="Lanfranco"/>
          <xsd:enumeration value="Lesia"/>
          <xsd:enumeration value="Nora"/>
          <xsd:enumeration value="Silvan"/>
          <xsd:enumeration value="Fiona"/>
        </xsd:restriction>
      </xsd:simpleType>
    </xsd:element>
    <xsd:element name="ShortTitleWhiteFiche" ma:index="10" nillable="true" ma:displayName="Short Title White Fiche" ma:description="Short Title White Fiche" ma:internalName="ShortTitleWhiteFiche">
      <xsd:simpleType>
        <xsd:restriction base="dms:Text">
          <xsd:maxLength value="255"/>
        </xsd:restriction>
      </xsd:simpleType>
    </xsd:element>
    <xsd:element name="Aresnumber" ma:index="11" nillable="true" ma:displayName="Ares number" ma:description="Ares Number" ma:internalName="Aresnumber">
      <xsd:simpleType>
        <xsd:restriction base="dms:Text">
          <xsd:maxLength value="255"/>
        </xsd:restriction>
      </xsd:simpleType>
    </xsd:element>
    <xsd:element name="ARES_x0020_Reply_x0020_Official" ma:index="12" nillable="true" ma:displayName="ARES Reply Official" ma:internalName="ARES_x0020_Reply_x0020_Official">
      <xsd:simpleType>
        <xsd:restriction base="dms:Text">
          <xsd:maxLength value="255"/>
        </xsd:restriction>
      </xsd:simpleType>
    </xsd:element>
    <xsd:element name="Briefing_x0020_-_x0020_DDL_x0020_to_x0020_Review" ma:index="15" nillable="true" ma:displayName="Briefing - DDL to Review" ma:format="DateOnly" ma:internalName="Briefing_x0020__x002d__x0020_DDL_x0020_to_x0020_Review">
      <xsd:simpleType>
        <xsd:restriction base="dms:DateTime"/>
      </xsd:simpleType>
    </xsd:element>
    <xsd:element name="Briefing_x0020_-_x0020_Folder" ma:index="16" nillable="true" ma:displayName="Briefing - Folder" ma:internalName="Briefing_x0020__x002d__x0020_Folder">
      <xsd:simpleType>
        <xsd:restriction base="dms:Note">
          <xsd:maxLength value="255"/>
        </xsd:restriction>
      </xsd:simpleType>
    </xsd:element>
    <xsd:element name="Briefing_x0020_-_x0020_Received" ma:index="17" nillable="true" ma:displayName="Briefing - Received" ma:default="0" ma:internalName="Briefing_x0020__x002d__x0020_Received">
      <xsd:simpleType>
        <xsd:restriction base="dms:Boolean"/>
      </xsd:simpleType>
    </xsd:element>
    <xsd:element name="BriefingRequest" ma:index="19" nillable="true" ma:displayName="Briefing Request" ma:description="Briefing Request" ma:internalName="BriefingRequest">
      <xsd:simpleType>
        <xsd:restriction base="dms:Text">
          <xsd:maxLength value="255"/>
        </xsd:restriction>
      </xsd:simpleType>
    </xsd:element>
    <xsd:element name="CommentsCommissioner" ma:index="20" nillable="true" ma:displayName="Commissioner Comments" ma:description="Commissioner Comments" ma:internalName="CommentsCommissioner">
      <xsd:simpleType>
        <xsd:restriction base="dms:Note">
          <xsd:maxLength value="255"/>
        </xsd:restriction>
      </xsd:simpleType>
    </xsd:element>
    <xsd:element name="DecisionCommissioner" ma:index="21" nillable="true" ma:displayName="Commissioner Decision" ma:description="Commissioner Decision" ma:format="Dropdown" ma:internalName="DecisionCommissioner">
      <xsd:simpleType>
        <xsd:union memberTypes="dms:Text">
          <xsd:simpleType>
            <xsd:restriction base="dms:Choice">
              <xsd:enumeration value="VM"/>
              <xsd:enumeration value="Yes"/>
              <xsd:enumeration value="Cabinet to meet"/>
              <xsd:enumeration value="No"/>
              <xsd:enumeration value="Tentative"/>
              <xsd:enumeration value="On hold"/>
            </xsd:restriction>
          </xsd:simpleType>
        </xsd:union>
      </xsd:simpleType>
    </xsd:element>
    <xsd:element name="End_Date" ma:index="27" nillable="true" ma:displayName="End_Date" ma:format="DateTime" ma:internalName="End_Date">
      <xsd:simpleType>
        <xsd:restriction base="dms:DateTime"/>
      </xsd:simpleType>
    </xsd:element>
    <xsd:element name="EventRole" ma:index="29" nillable="true" ma:displayName="Event Role" ma:description="Role" ma:format="Dropdown" ma:internalName="EventRole">
      <xsd:simpleType>
        <xsd:restriction base="dms:Choice">
          <xsd:enumeration value="Keynote speaker"/>
          <xsd:enumeration value="Panel"/>
          <xsd:enumeration value="Participant"/>
        </xsd:restriction>
      </xsd:simpleType>
    </xsd:element>
    <xsd:element name="GenerateInvitation" ma:index="30" nillable="true" ma:displayName="Generate Invitation" ma:default="1" ma:description="Generate Invitation" ma:internalName="GenerateInvitation">
      <xsd:simpleType>
        <xsd:restriction base="dms:Boolean"/>
      </xsd:simpleType>
    </xsd:element>
    <xsd:element name="GenerateInvite" ma:index="31" nillable="true" ma:displayName="Generate Invite" ma:default="1" ma:description="Generate Invitation" ma:internalName="GenerateInvite">
      <xsd:simpleType>
        <xsd:restriction base="dms:Boolean"/>
      </xsd:simpleType>
    </xsd:element>
    <xsd:element name="CommentsOwner" ma:index="32" nillable="true" ma:displayName="HoC Comments" ma:description="HoC Comments" ma:internalName="CommentsOwner">
      <xsd:simpleType>
        <xsd:restriction base="dms:Note">
          <xsd:maxLength value="255"/>
        </xsd:restriction>
      </xsd:simpleType>
    </xsd:element>
    <xsd:element name="RecommendationOwner" ma:index="33" nillable="true" ma:displayName="HoC Recommendation" ma:description="HoC Recommendation" ma:format="Dropdown" ma:internalName="RecommendationOwner">
      <xsd:simpleType>
        <xsd:restriction base="dms:Choice">
          <xsd:enumeration value="Yes"/>
          <xsd:enumeration value="No"/>
          <xsd:enumeration value="Commissioner to meet potentially"/>
          <xsd:enumeration value="Cabinet to meet"/>
          <xsd:enumeration value="Services to meet"/>
        </xsd:restriction>
      </xsd:simpleType>
    </xsd:element>
    <xsd:element name="Recommendationofthemember" ma:index="37" nillable="true" ma:displayName="Member Recommendation" ma:description="Recommendation of the member" ma:format="Dropdown" ma:internalName="Recommendationofthemember">
      <xsd:simpleType>
        <xsd:union memberTypes="dms:Text">
          <xsd:simpleType>
            <xsd:restriction base="dms:Choice">
              <xsd:enumeration value="Cabinet to meet"/>
              <xsd:enumeration value="Yes"/>
              <xsd:enumeration value="Tentative"/>
              <xsd:enumeration value="VM"/>
              <xsd:enumeration value="Undecided"/>
              <xsd:enumeration value="On Hold"/>
            </xsd:restriction>
          </xsd:simpleType>
        </xsd:union>
      </xsd:simpleType>
    </xsd:element>
    <xsd:element name="Invitingpersonorganisation" ma:index="38" nillable="true" ma:displayName="Organizer" ma:description="Inviter" ma:internalName="Invitingpersonorganisation">
      <xsd:simpleType>
        <xsd:restriction base="dms:Text">
          <xsd:maxLength value="255"/>
        </xsd:restriction>
      </xsd:simpleType>
    </xsd:element>
    <xsd:element name="Printed" ma:index="43" nillable="true" ma:displayName="Printed" ma:default="1" ma:description="Printed" ma:internalName="Printed">
      <xsd:simpleType>
        <xsd:restriction base="dms:Boolean"/>
      </xsd:simpleType>
    </xsd:element>
    <xsd:element name="What" ma:index="45" nillable="true" ma:displayName="Request" ma:default="Interview request" ma:description="Request Type" ma:format="Dropdown" ma:internalName="What">
      <xsd:simpleType>
        <xsd:restriction base="dms:Choice">
          <xsd:enumeration value="Interview request"/>
          <xsd:enumeration value="Invitation"/>
          <xsd:enumeration value="Meeting request"/>
          <xsd:enumeration value="VM"/>
        </xsd:restriction>
      </xsd:simpleType>
    </xsd:element>
    <xsd:element name="Senttoon" ma:index="46" nillable="true" ma:displayName="Sent to Ellen on" ma:description="Sent to Recipient On" ma:format="DateOnly" ma:internalName="Senttoon">
      <xsd:simpleType>
        <xsd:restriction base="dms:DateTime"/>
      </xsd:simpleType>
    </xsd:element>
    <xsd:element name="Shortdescription" ma:index="47" nillable="true" ma:displayName="Short description" ma:description="Short description of event" ma:internalName="Shortdescription">
      <xsd:simpleType>
        <xsd:restriction base="dms:Note">
          <xsd:maxLength value="255"/>
        </xsd:restriction>
      </xsd:simpleType>
    </xsd:element>
    <xsd:element name="Start_Date" ma:index="51" nillable="true" ma:displayName="Start_Date" ma:default="[today]" ma:format="DateTime" ma:internalName="Start_Date">
      <xsd:simpleType>
        <xsd:restriction base="dms:DateTime"/>
      </xsd:simpleType>
    </xsd:element>
    <xsd:element name="TitleLink" ma:index="52" nillable="true" ma:displayName="TitleLink" ma:description="Title link" ma:format="Hyperlink" ma:internalName="TitleLink">
      <xsd:complexType>
        <xsd:complexContent>
          <xsd:extension base="dms:URL">
            <xsd:sequence>
              <xsd:element name="Url" type="dms:ValidUrl" minOccurs="0" nillable="true"/>
              <xsd:element name="Description" type="xsd:string" nillable="true"/>
            </xsd:sequence>
          </xsd:extension>
        </xsd:complexContent>
      </xsd:complexType>
    </xsd:element>
    <xsd:element name="TransparencyRegisternumber" ma:index="53" nillable="true" ma:displayName="Transparency Register No" ma:description="Transparency Register Number" ma:internalName="TransparencyRegisternumber">
      <xsd:simpleType>
        <xsd:restriction base="dms:Text">
          <xsd:maxLength value="255"/>
        </xsd:restriction>
      </xsd:simpleType>
    </xsd:element>
    <xsd:element name="Type_of_request" ma:index="54" nillable="true" ma:displayName="Type_of_request" ma:default="Interview request" ma:format="Dropdown" ma:internalName="Type_of_request">
      <xsd:simpleType>
        <xsd:restriction base="dms:Choice">
          <xsd:enumeration value="Interview request"/>
          <xsd:enumeration value="Invitation"/>
          <xsd:enumeration value="Meeting request"/>
          <xsd:enumeration value="VM"/>
        </xsd:restriction>
      </xsd:simpleType>
    </xsd:element>
    <xsd:element name="VM_x0020_-_x0020_Comment" ma:index="56" nillable="true" ma:displayName="VM - Comment" ma:internalName="VM_x0020__x002d__x0020_Comment">
      <xsd:simpleType>
        <xsd:restriction base="dms:Note">
          <xsd:maxLength value="255"/>
        </xsd:restriction>
      </xsd:simpleType>
    </xsd:element>
    <xsd:element name="Dealine_x0020_to_x0020_receive_x0020_VM" ma:index="57" nillable="true" ma:displayName="VM - Deadline to receive" ma:format="DateOnly" ma:internalName="Dealine_x0020_to_x0020_receive_x0020_VM">
      <xsd:simpleType>
        <xsd:restriction base="dms:DateTime"/>
      </xsd:simpleType>
    </xsd:element>
    <xsd:element name="ARESRef" ma:index="58" nillable="true" ma:displayName="VM - Sent ARES Ref" ma:description="ARES Reference" ma:internalName="ARESRef">
      <xsd:simpleType>
        <xsd:restriction base="dms:Text">
          <xsd:maxLength value="255"/>
        </xsd:restriction>
      </xsd:simpleType>
    </xsd:element>
    <xsd:element name="StudioDate" ma:index="59" nillable="true" ma:displayName="VM - Studio Date" ma:description="Studio Date" ma:format="DateTime" ma:internalName="StudioDate">
      <xsd:simpleType>
        <xsd:restriction base="dms:DateTime"/>
      </xsd:simpleType>
    </xsd:element>
    <xsd:element name="VM_x0020_-_x0020_Subtitle" ma:index="60" nillable="true" ma:displayName="VM - Subtitle" ma:internalName="VM_x0020__x002d__x0020_Subtitle">
      <xsd:simpleType>
        <xsd:restriction base="dms:Note">
          <xsd:maxLength value="255"/>
        </xsd:restriction>
      </xsd:simpleType>
    </xsd:element>
    <xsd:element name="InviteLocation" ma:index="65" nillable="true" ma:displayName="Where" ma:description="Invite Location" ma:internalName="InviteLocation">
      <xsd:simpleType>
        <xsd:restriction base="dms:Text">
          <xsd:maxLength value="255"/>
        </xsd:restriction>
      </xsd:simpleType>
    </xsd:element>
    <xsd:element name="Where" ma:index="66" nillable="true" ma:displayName="Where" ma:description="Invitation Location" ma:internalName="Whe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ATMOS" ma:index="13" nillable="true" ma:displayName="ATMOS" ma:default="0" ma:internalName="ATMOS">
      <xsd:simpleType>
        <xsd:restriction base="dms:Boolean"/>
      </xsd:simpleType>
    </xsd:element>
    <xsd:element name="Background_x0020_Info" ma:index="14" nillable="true" ma:displayName="Background Info" ma:description="Background Info on organization / company" ma:internalName="Background_x0020_Info">
      <xsd:simpleType>
        <xsd:restriction base="dms:Text"/>
      </xsd:simpleType>
    </xsd:element>
    <xsd:element name="Briefing_x0020_Deadline" ma:index="18" nillable="true" ma:displayName="Briefing Deadline" ma:format="DateOnly" ma:internalName="Briefing_x0020_Deadline">
      <xsd:simpleType>
        <xsd:restriction base="dms:DateTime"/>
      </xsd:simpleType>
    </xsd:element>
    <xsd:element name="Contact_x0020_details" ma:index="22" nillable="true" ma:displayName="Contact details" ma:description="Who will meet and greet the Commissioner/delegation?" ma:internalName="Contact_x0020_details">
      <xsd:simpleType>
        <xsd:restriction base="dms:Note">
          <xsd:maxLength value="255"/>
        </xsd:restriction>
      </xsd:simpleType>
    </xsd:element>
    <xsd:element name="Contact_x0020_point" ma:index="23" nillable="true" ma:displayName="Contact point" ma:description="Contact point" ma:internalName="Contact_x0020_point">
      <xsd:simpleType>
        <xsd:restriction base="dms:Text">
          <xsd:maxLength value="255"/>
        </xsd:restriction>
      </xsd:simpleType>
    </xsd:element>
    <xsd:element name="Detailed_x0020_arrangements" ma:index="24" nillable="true" ma:displayName="Detailed arrangements" ma:description="Detailed arrangements / running order" ma:internalName="Detailed_x0020_arrangements">
      <xsd:simpleType>
        <xsd:restriction base="dms:Note">
          <xsd:maxLength value="255"/>
        </xsd:restriction>
      </xsd:simpleType>
    </xsd:element>
    <xsd:element name="Driver" ma:index="25" nillable="true" ma:displayName="Driver" ma:default="0" ma:description="Driver" ma:internalName="Driver">
      <xsd:simpleType>
        <xsd:restriction base="dms:Boolean"/>
      </xsd:simpleType>
    </xsd:element>
    <xsd:element name="Driver_x0020_Details" ma:index="26" nillable="true" ma:displayName="Driver Details" ma:description="Driver Details, Name of the driver, other details" ma:internalName="Driver_x0020_Details">
      <xsd:simpleType>
        <xsd:restriction base="dms:Text">
          <xsd:maxLength value="255"/>
        </xsd:restriction>
      </xsd:simpleType>
    </xsd:element>
    <xsd:element name="Equipment" ma:index="28" nillable="true" ma:displayName="Equipment" ma:description="Add here microphone, podium, or anything else required" ma:internalName="Equipment">
      <xsd:simpleType>
        <xsd:restriction base="dms:Note">
          <xsd:maxLength value="255"/>
        </xsd:restriction>
      </xsd:simpleType>
    </xsd:element>
    <xsd:element name="Hybrid_x0020_meeting_x0020_link" ma:index="34" nillable="true" ma:displayName="Hybrid meeting link" ma:description="Hybrid meeting link" ma:format="Hyperlink" ma:internalName="Hybrid_x0020_meeting_x0020_link">
      <xsd:complexType>
        <xsd:complexContent>
          <xsd:extension base="dms:URL">
            <xsd:sequence>
              <xsd:element name="Url" type="dms:ValidUrl" minOccurs="0" nillable="true"/>
              <xsd:element name="Description" type="xsd:string" nillable="true"/>
            </xsd:sequence>
          </xsd:extension>
        </xsd:complexContent>
      </xsd:complexType>
    </xsd:element>
    <xsd:element name="Media" ma:index="35" nillable="true" ma:displayName="Media" ma:description="Are media invited? Include details" ma:internalName="Media">
      <xsd:simpleType>
        <xsd:restriction base="dms:Text">
          <xsd:maxLength value="255"/>
        </xsd:restriction>
      </xsd:simpleType>
    </xsd:element>
    <xsd:element name="Member_x0020_Comments" ma:index="36" nillable="true" ma:displayName="Member Comments" ma:description="Member Comments" ma:internalName="Member_x0020_Comments">
      <xsd:simpleType>
        <xsd:restriction base="dms:Note">
          <xsd:maxLength value="255"/>
        </xsd:restriction>
      </xsd:simpleType>
    </xsd:element>
    <xsd:element name="Other_x0020_speakers" ma:index="39" nillable="true" ma:displayName="Other speakers" ma:description="Are there other speakers? Provide details" ma:internalName="Other_x0020_speakers">
      <xsd:simpleType>
        <xsd:restriction base="dms:Text">
          <xsd:maxLength value="255"/>
        </xsd:restriction>
      </xsd:simpleType>
    </xsd:element>
    <xsd:element name="Other_x0020_VIPs" ma:index="40" nillable="true" ma:displayName="Other VIPs" ma:description="Details of any VIPs invited" ma:internalName="Other_x0020_VIPs">
      <xsd:simpleType>
        <xsd:restriction base="dms:Text">
          <xsd:maxLength value="255"/>
        </xsd:restriction>
      </xsd:simpleType>
    </xsd:element>
    <xsd:element name="Parking" ma:index="41" nillable="true" ma:displayName="Parking" ma:default="0" ma:description="Parking required ?" ma:internalName="Parking">
      <xsd:simpleType>
        <xsd:restriction base="dms:Boolean"/>
      </xsd:simpleType>
    </xsd:element>
    <xsd:element name="Photograph" ma:index="42" nillable="true" ma:displayName="Photograph" ma:default="0" ma:internalName="Photograph">
      <xsd:simpleType>
        <xsd:restriction base="dms:Boolean"/>
      </xsd:simpleType>
    </xsd:element>
    <xsd:element name="Protection_x0020_Officers_x0020_-_x0020_Bodyguard" ma:index="44" nillable="true" ma:displayName="Protection Officers - Bodyguard" ma:description="Protection Officers - Bodyguard" ma:internalName="Protection_x0020_Officers_x0020__x002d__x0020_Bodyguard">
      <xsd:simpleType>
        <xsd:restriction base="dms:Text">
          <xsd:maxLength value="255"/>
        </xsd:restriction>
      </xsd:simpleType>
    </xsd:element>
    <xsd:element name="Speech_x0020_length" ma:index="48" nillable="true" ma:displayName="Speech length" ma:decimals="0" ma:description="Length in minutes" ma:internalName="Speech_x0020_length">
      <xsd:simpleType>
        <xsd:restriction base="dms:Number"/>
      </xsd:simpleType>
    </xsd:element>
    <xsd:element name="Speech_x0020_Link" ma:index="49" nillable="true" ma:displayName="Speech Link" ma:description="Final version of the speech link" ma:format="Hyperlink" ma:internalName="Speech_x0020_Link">
      <xsd:complexType>
        <xsd:complexContent>
          <xsd:extension base="dms:URL">
            <xsd:sequence>
              <xsd:element name="Url" type="dms:ValidUrl" minOccurs="0" nillable="true"/>
              <xsd:element name="Description" type="xsd:string" nillable="true"/>
            </xsd:sequence>
          </xsd:extension>
        </xsd:complexContent>
      </xsd:complexType>
    </xsd:element>
    <xsd:element name="Speech_x0020_required" ma:index="50" nillable="true" ma:displayName="Speech required" ma:default="0" ma:internalName="Speech_x0020_required">
      <xsd:simpleType>
        <xsd:restriction base="dms:Boolean"/>
      </xsd:simpleType>
    </xsd:element>
    <xsd:element name="Venue" ma:index="55" nillable="true" ma:displayName="Venue" ma:format="Dropdown" ma:internalName="Venue">
      <xsd:simpleType>
        <xsd:restriction base="dms:Choice">
          <xsd:enumeration value="Commissioner offices"/>
          <xsd:enumeration value="External venue"/>
          <xsd:enumeration value="Hybrid"/>
        </xsd:restriction>
      </xsd:simpleType>
    </xsd:element>
    <xsd:element name="V-PASS" ma:index="61" nillable="true" ma:displayName="V-PASS" ma:default="0" ma:description="https://myintracomm.ec.europa.eu/corp/security/EN/buildingAccess/visitorAccess/Pages/V-PASS.aspx" ma:internalName="V_x002d_PAS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ad4ff54-6b61-4739-8898-ccf4134f55e9" elementFormDefault="qualified">
    <xsd:import namespace="http://schemas.microsoft.com/office/2006/documentManagement/types"/>
    <xsd:import namespace="http://schemas.microsoft.com/office/infopath/2007/PartnerControls"/>
    <xsd:element name="lcf76f155ced4ddcb4097134ff3c332f" ma:index="67"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D77D-675F-4BC9-BEEC-B8962E47BC1F}">
  <ds:schemaRefs>
    <ds:schemaRef ds:uri="http://schemas.microsoft.com/office/2006/metadata/properties"/>
    <ds:schemaRef ds:uri="http://schemas.microsoft.com/office/infopath/2007/PartnerControls"/>
    <ds:schemaRef ds:uri="4cca3cb3-cbc1-4ea6-8f56-24c9b4d79f76"/>
    <ds:schemaRef ds:uri="c1752347-4e16-4ce8-a381-9ddf3e797ad6"/>
    <ds:schemaRef ds:uri="bad4ff54-6b61-4739-8898-ccf4134f55e9"/>
  </ds:schemaRefs>
</ds:datastoreItem>
</file>

<file path=customXml/itemProps2.xml><?xml version="1.0" encoding="utf-8"?>
<ds:datastoreItem xmlns:ds="http://schemas.openxmlformats.org/officeDocument/2006/customXml" ds:itemID="{EF311F27-86F0-40A1-AE8F-74D92FB2C1AC}">
  <ds:schemaRefs>
    <ds:schemaRef ds:uri="http://schemas.microsoft.com/sharepoint/v3/contenttype/forms"/>
  </ds:schemaRefs>
</ds:datastoreItem>
</file>

<file path=customXml/itemProps3.xml><?xml version="1.0" encoding="utf-8"?>
<ds:datastoreItem xmlns:ds="http://schemas.openxmlformats.org/officeDocument/2006/customXml" ds:itemID="{D6D39AF8-AEEA-44CE-88F9-285F8B728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a3cb3-cbc1-4ea6-8f56-24c9b4d79f76"/>
    <ds:schemaRef ds:uri="c1752347-4e16-4ce8-a381-9ddf3e797ad6"/>
    <ds:schemaRef ds:uri="bad4ff54-6b61-4739-8898-ccf4134f5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88717A-AC50-41C3-80CA-9E75F23BF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Pages>
  <Words>3402</Words>
  <Characters>19393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22750</CharactersWithSpaces>
  <SharedDoc>false</SharedDoc>
  <HLinks>
    <vt:vector size="120" baseType="variant">
      <vt:variant>
        <vt:i4>5963899</vt:i4>
      </vt:variant>
      <vt:variant>
        <vt:i4>60</vt:i4>
      </vt:variant>
      <vt:variant>
        <vt:i4>0</vt:i4>
      </vt:variant>
      <vt:variant>
        <vt:i4>5</vt:i4>
      </vt:variant>
      <vt:variant>
        <vt:lpwstr>https://commission.europa.eu/strategy-and-policy/priorities-2019-2024/stronger-europe-world/global-gateway_en</vt:lpwstr>
      </vt:variant>
      <vt:variant>
        <vt:lpwstr/>
      </vt:variant>
      <vt:variant>
        <vt:i4>2555955</vt:i4>
      </vt:variant>
      <vt:variant>
        <vt:i4>57</vt:i4>
      </vt:variant>
      <vt:variant>
        <vt:i4>0</vt:i4>
      </vt:variant>
      <vt:variant>
        <vt:i4>5</vt:i4>
      </vt:variant>
      <vt:variant>
        <vt:lpwstr>https://ec.europa.eu/eurostat/databrowser/bookmark/ea3af89e-6c9e-49cc-9cc0-0cbfd721b93e?lang=en</vt:lpwstr>
      </vt:variant>
      <vt:variant>
        <vt:lpwstr/>
      </vt:variant>
      <vt:variant>
        <vt:i4>6619190</vt:i4>
      </vt:variant>
      <vt:variant>
        <vt:i4>54</vt:i4>
      </vt:variant>
      <vt:variant>
        <vt:i4>0</vt:i4>
      </vt:variant>
      <vt:variant>
        <vt:i4>5</vt:i4>
      </vt:variant>
      <vt:variant>
        <vt:lpwstr>https://ec.europa.eu/eurostat/databrowser/view/isoc_sks_itsps/default/table?lang=en</vt:lpwstr>
      </vt:variant>
      <vt:variant>
        <vt:lpwstr/>
      </vt:variant>
      <vt:variant>
        <vt:i4>2818146</vt:i4>
      </vt:variant>
      <vt:variant>
        <vt:i4>51</vt:i4>
      </vt:variant>
      <vt:variant>
        <vt:i4>0</vt:i4>
      </vt:variant>
      <vt:variant>
        <vt:i4>5</vt:i4>
      </vt:variant>
      <vt:variant>
        <vt:lpwstr>https://ec.europa.eu/eurostat/databrowser/bookmark/7e2b5bfb-3b10-4240-91bf-f7d91ccba708?lang=en</vt:lpwstr>
      </vt:variant>
      <vt:variant>
        <vt:lpwstr/>
      </vt:variant>
      <vt:variant>
        <vt:i4>6684741</vt:i4>
      </vt:variant>
      <vt:variant>
        <vt:i4>48</vt:i4>
      </vt:variant>
      <vt:variant>
        <vt:i4>0</vt:i4>
      </vt:variant>
      <vt:variant>
        <vt:i4>5</vt:i4>
      </vt:variant>
      <vt:variant>
        <vt:lpwstr>https://eige.europa.eu/gender-statistics/dgs/indicator/wmidm_pol_parl__wmid_natparl</vt:lpwstr>
      </vt:variant>
      <vt:variant>
        <vt:lpwstr/>
      </vt:variant>
      <vt:variant>
        <vt:i4>2752553</vt:i4>
      </vt:variant>
      <vt:variant>
        <vt:i4>45</vt:i4>
      </vt:variant>
      <vt:variant>
        <vt:i4>0</vt:i4>
      </vt:variant>
      <vt:variant>
        <vt:i4>5</vt:i4>
      </vt:variant>
      <vt:variant>
        <vt:lpwstr>https://webapps.ilo.org/infostories/en-GB/Stories/Employment/barriers-women</vt:lpwstr>
      </vt:variant>
      <vt:variant>
        <vt:lpwstr>intro</vt:lpwstr>
      </vt:variant>
      <vt:variant>
        <vt:i4>7929956</vt:i4>
      </vt:variant>
      <vt:variant>
        <vt:i4>42</vt:i4>
      </vt:variant>
      <vt:variant>
        <vt:i4>0</vt:i4>
      </vt:variant>
      <vt:variant>
        <vt:i4>5</vt:i4>
      </vt:variant>
      <vt:variant>
        <vt:lpwstr>https://ec.europa.eu/eurostat/databrowser/bookmark/57420e75-afb8-4341-a591-a52e95067015?lang=en</vt:lpwstr>
      </vt:variant>
      <vt:variant>
        <vt:lpwstr/>
      </vt:variant>
      <vt:variant>
        <vt:i4>5308465</vt:i4>
      </vt:variant>
      <vt:variant>
        <vt:i4>39</vt:i4>
      </vt:variant>
      <vt:variant>
        <vt:i4>0</vt:i4>
      </vt:variant>
      <vt:variant>
        <vt:i4>5</vt:i4>
      </vt:variant>
      <vt:variant>
        <vt:lpwstr>https://ec.europa.eu/eurostat/statistics-explained/index.php?title=Glossary:Percentage_point</vt:lpwstr>
      </vt:variant>
      <vt:variant>
        <vt:lpwstr/>
      </vt:variant>
      <vt:variant>
        <vt:i4>3735581</vt:i4>
      </vt:variant>
      <vt:variant>
        <vt:i4>36</vt:i4>
      </vt:variant>
      <vt:variant>
        <vt:i4>0</vt:i4>
      </vt:variant>
      <vt:variant>
        <vt:i4>5</vt:i4>
      </vt:variant>
      <vt:variant>
        <vt:lpwstr>https://ec.europa.eu/eurostat/statistics-explained/index.php?title=Gender_pay_gap_statistics</vt:lpwstr>
      </vt:variant>
      <vt:variant>
        <vt:lpwstr/>
      </vt:variant>
      <vt:variant>
        <vt:i4>2424886</vt:i4>
      </vt:variant>
      <vt:variant>
        <vt:i4>33</vt:i4>
      </vt:variant>
      <vt:variant>
        <vt:i4>0</vt:i4>
      </vt:variant>
      <vt:variant>
        <vt:i4>5</vt:i4>
      </vt:variant>
      <vt:variant>
        <vt:lpwstr>https://ec.europa.eu/eurostat/databrowser/bookmark/4587cde9-1430-4262-845c-6ec9fd307b02?lang=en</vt:lpwstr>
      </vt:variant>
      <vt:variant>
        <vt:lpwstr/>
      </vt:variant>
      <vt:variant>
        <vt:i4>6815779</vt:i4>
      </vt:variant>
      <vt:variant>
        <vt:i4>30</vt:i4>
      </vt:variant>
      <vt:variant>
        <vt:i4>0</vt:i4>
      </vt:variant>
      <vt:variant>
        <vt:i4>5</vt:i4>
      </vt:variant>
      <vt:variant>
        <vt:lpwstr>https://eige.europa.eu/gender-based-violence/costs-of-gender-based-violence?language_content_entity=en</vt:lpwstr>
      </vt:variant>
      <vt:variant>
        <vt:lpwstr/>
      </vt:variant>
      <vt:variant>
        <vt:i4>4915268</vt:i4>
      </vt:variant>
      <vt:variant>
        <vt:i4>27</vt:i4>
      </vt:variant>
      <vt:variant>
        <vt:i4>0</vt:i4>
      </vt:variant>
      <vt:variant>
        <vt:i4>5</vt:i4>
      </vt:variant>
      <vt:variant>
        <vt:lpwstr>https://eige.europa.eu/gender-based-violence/cyber-violence-against-women?language_content_entity=en</vt:lpwstr>
      </vt:variant>
      <vt:variant>
        <vt:lpwstr/>
      </vt:variant>
      <vt:variant>
        <vt:i4>8192054</vt:i4>
      </vt:variant>
      <vt:variant>
        <vt:i4>24</vt:i4>
      </vt:variant>
      <vt:variant>
        <vt:i4>0</vt:i4>
      </vt:variant>
      <vt:variant>
        <vt:i4>5</vt:i4>
      </vt:variant>
      <vt:variant>
        <vt:lpwstr>https://eige.europa.eu/newsroom/eu-gender-based-violence-survey</vt:lpwstr>
      </vt:variant>
      <vt:variant>
        <vt:lpwstr/>
      </vt:variant>
      <vt:variant>
        <vt:i4>917592</vt:i4>
      </vt:variant>
      <vt:variant>
        <vt:i4>21</vt:i4>
      </vt:variant>
      <vt:variant>
        <vt:i4>0</vt:i4>
      </vt:variant>
      <vt:variant>
        <vt:i4>5</vt:i4>
      </vt:variant>
      <vt:variant>
        <vt:lpwstr>https://eige.europa.eu/publications-resources/publications/gender-equality-benefits-everyone-its-still-60-years-away</vt:lpwstr>
      </vt:variant>
      <vt:variant>
        <vt:lpwstr/>
      </vt:variant>
      <vt:variant>
        <vt:i4>1769524</vt:i4>
      </vt:variant>
      <vt:variant>
        <vt:i4>15</vt:i4>
      </vt:variant>
      <vt:variant>
        <vt:i4>0</vt:i4>
      </vt:variant>
      <vt:variant>
        <vt:i4>5</vt:i4>
      </vt:variant>
      <vt:variant>
        <vt:lpwstr>https://www.spglobal.com/content/dam/spglobal/corporate/en/images/general/special-editorial/whenwomenlead_.pdf</vt:lpwstr>
      </vt:variant>
      <vt:variant>
        <vt:lpwstr/>
      </vt:variant>
      <vt:variant>
        <vt:i4>4456521</vt:i4>
      </vt:variant>
      <vt:variant>
        <vt:i4>12</vt:i4>
      </vt:variant>
      <vt:variant>
        <vt:i4>0</vt:i4>
      </vt:variant>
      <vt:variant>
        <vt:i4>5</vt:i4>
      </vt:variant>
      <vt:variant>
        <vt:lpwstr>https://eige.europa.eu/newsroom/economic-benefits-gender-equality?language_content_entity=en</vt:lpwstr>
      </vt:variant>
      <vt:variant>
        <vt:lpwstr>:~:text=By%202050%2C%20improving%20gender%20equality%20would%20lead%20to,equality%20policies%20have%20a%20strong%20impact%20on%20GDP.</vt:lpwstr>
      </vt:variant>
      <vt:variant>
        <vt:i4>3932201</vt:i4>
      </vt:variant>
      <vt:variant>
        <vt:i4>6</vt:i4>
      </vt:variant>
      <vt:variant>
        <vt:i4>0</vt:i4>
      </vt:variant>
      <vt:variant>
        <vt:i4>5</vt:i4>
      </vt:variant>
      <vt:variant>
        <vt:lpwstr>https://commission.europa.eu/document/download/e6cd4328-673c-4e7a-8683-f63ffb2cf648_en?filename=Political%20Guidelines%202024-2029_EN.pdf</vt:lpwstr>
      </vt:variant>
      <vt:variant>
        <vt:lpwstr/>
      </vt:variant>
      <vt:variant>
        <vt:i4>1376287</vt:i4>
      </vt:variant>
      <vt:variant>
        <vt:i4>0</vt:i4>
      </vt:variant>
      <vt:variant>
        <vt:i4>0</vt:i4>
      </vt:variant>
      <vt:variant>
        <vt:i4>5</vt:i4>
      </vt:variant>
      <vt:variant>
        <vt:lpwstr>https://eige.europa.eu/gender-equality-index/2024</vt:lpwstr>
      </vt:variant>
      <vt:variant>
        <vt:lpwstr/>
      </vt:variant>
      <vt:variant>
        <vt:i4>7733342</vt:i4>
      </vt:variant>
      <vt:variant>
        <vt:i4>3</vt:i4>
      </vt:variant>
      <vt:variant>
        <vt:i4>0</vt:i4>
      </vt:variant>
      <vt:variant>
        <vt:i4>5</vt:i4>
      </vt:variant>
      <vt:variant>
        <vt:lpwstr>https://eige.europa.eu/gender-statistics/dgs/indicator/wmidm_pol_parl__wmid_locpol</vt:lpwstr>
      </vt:variant>
      <vt:variant>
        <vt:lpwstr/>
      </vt:variant>
      <vt:variant>
        <vt:i4>5832779</vt:i4>
      </vt:variant>
      <vt:variant>
        <vt:i4>0</vt:i4>
      </vt:variant>
      <vt:variant>
        <vt:i4>0</vt:i4>
      </vt:variant>
      <vt:variant>
        <vt:i4>5</vt:i4>
      </vt:variant>
      <vt:variant>
        <vt:lpwstr>https://blogs.worldbank.org/en/governance/gender-and-corruption-time-now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2025-03-13T10:56:00Z</dcterms:created>
  <dcterms:modified xsi:type="dcterms:W3CDTF">2025-03-14T16:03:00Z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2025-02-17T21:20:53Z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dedcf3f4-bda7-40ef-9c2b-7d3ac9cbe138</vt:lpwstr>
  </property>
  <property fmtid="{D5CDD505-2E9C-101B-9397-08002B2CF9AE}" pid="10" name="MSIP_Label_6bd9ddd1-4d20-43f6-abfa-fc3c07406f94_ContentBits">
    <vt:lpwstr>0</vt:lpwstr>
  </property>
  <property fmtid="{D5CDD505-2E9C-101B-9397-08002B2CF9AE}" pid="11" name="ContentTypeId">
    <vt:lpwstr>0x010100F51F1E3FA78AE94997ADA656F2BD3EA600BC0DF3D9C533F04E84DD88272FE9FD24</vt:lpwstr>
  </property>
  <property fmtid="{D5CDD505-2E9C-101B-9397-08002B2CF9AE}" pid="12" name="MediaServiceImageTags">
    <vt:lpwstr/>
  </property>
  <property fmtid="{D5CDD505-2E9C-101B-9397-08002B2CF9AE}" pid="13" name="EC_TX_All_World_Countries">
    <vt:lpwstr/>
  </property>
  <property fmtid="{D5CDD505-2E9C-101B-9397-08002B2CF9AE}" pid="14" name="EC_TX_Corporate_x0020_Body">
    <vt:lpwstr/>
  </property>
  <property fmtid="{D5CDD505-2E9C-101B-9397-08002B2CF9AE}" pid="15" name="i8c8ab8b63424c5d9f8c4a8434abf670">
    <vt:lpwstr/>
  </property>
  <property fmtid="{D5CDD505-2E9C-101B-9397-08002B2CF9AE}" pid="16" name="j8309f8bc3e645d1a2f07391f8e5795a">
    <vt:lpwstr/>
  </property>
  <property fmtid="{D5CDD505-2E9C-101B-9397-08002B2CF9AE}" pid="17" name="g81cb4d17be94922847ce418ea81f55a">
    <vt:lpwstr/>
  </property>
  <property fmtid="{D5CDD505-2E9C-101B-9397-08002B2CF9AE}" pid="18" name="TaxCatchAll">
    <vt:lpwstr/>
  </property>
  <property fmtid="{D5CDD505-2E9C-101B-9397-08002B2CF9AE}" pid="19" name="EC_TX_EU_Political_Leader">
    <vt:lpwstr/>
  </property>
  <property fmtid="{D5CDD505-2E9C-101B-9397-08002B2CF9AE}" pid="20" name="p6ffe5294acd41c38db3fcc8ababb05f">
    <vt:lpwstr/>
  </property>
  <property fmtid="{D5CDD505-2E9C-101B-9397-08002B2CF9AE}" pid="21" name="k2c54712f93b47eb83e1835ba301b6c6">
    <vt:lpwstr/>
  </property>
  <property fmtid="{D5CDD505-2E9C-101B-9397-08002B2CF9AE}" pid="22" name="EC_TX_Strategic_Priority">
    <vt:lpwstr/>
  </property>
  <property fmtid="{D5CDD505-2E9C-101B-9397-08002B2CF9AE}" pid="23" name="p26229aee9004b9f888149fd0449ec68">
    <vt:lpwstr/>
  </property>
  <property fmtid="{D5CDD505-2E9C-101B-9397-08002B2CF9AE}" pid="24" name="eff2cf69f10b4279bbb27215ca009b37">
    <vt:lpwstr/>
  </property>
  <property fmtid="{D5CDD505-2E9C-101B-9397-08002B2CF9AE}" pid="25" name="EC_TX_Policy_Area">
    <vt:lpwstr/>
  </property>
  <property fmtid="{D5CDD505-2E9C-101B-9397-08002B2CF9AE}" pid="26" name="EC_TX_EU_Member_State">
    <vt:lpwstr/>
  </property>
  <property fmtid="{D5CDD505-2E9C-101B-9397-08002B2CF9AE}" pid="27" name="EC_TX_Resource_Type">
    <vt:lpwstr/>
  </property>
  <property fmtid="{D5CDD505-2E9C-101B-9397-08002B2CF9AE}" pid="28" name="EC_TX_Corporate Body">
    <vt:lpwstr/>
  </property>
  <property fmtid="{D5CDD505-2E9C-101B-9397-08002B2CF9AE}" pid="29" name="Level of sensitivity">
    <vt:lpwstr>Standard treatment</vt:lpwstr>
  </property>
  <property fmtid="{D5CDD505-2E9C-101B-9397-08002B2CF9AE}" pid="30" name="Part">
    <vt:lpwstr>1</vt:lpwstr>
  </property>
  <property fmtid="{D5CDD505-2E9C-101B-9397-08002B2CF9AE}" pid="31" name="Total parts">
    <vt:lpwstr>1</vt:lpwstr>
  </property>
  <property fmtid="{D5CDD505-2E9C-101B-9397-08002B2CF9AE}" pid="32" name="CPTemplateID">
    <vt:lpwstr>CP-014</vt:lpwstr>
  </property>
</Properties>
</file>