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1FEB4" w14:textId="4390AACD" w:rsidR="006A7C0E" w:rsidRDefault="00607EE2" w:rsidP="00607EE2">
      <w:pPr>
        <w:pStyle w:val="Pagedecouverture"/>
        <w:rPr>
          <w:noProof/>
        </w:rPr>
      </w:pPr>
      <w:bookmarkStart w:id="0" w:name="LW_BM_COVERPAGE"/>
      <w:r>
        <w:rPr>
          <w:noProof/>
        </w:rPr>
        <w:pict w14:anchorId="457B8A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F5BB25-B1FF-445A-9917-FEED297A0B2F" style="width:455.25pt;height:327.75pt">
            <v:imagedata r:id="rId8" o:title=""/>
          </v:shape>
        </w:pict>
      </w:r>
    </w:p>
    <w:bookmarkEnd w:id="0"/>
    <w:p w14:paraId="1A9891C5" w14:textId="77777777" w:rsidR="006A7C0E" w:rsidRDefault="006A7C0E" w:rsidP="006A7C0E">
      <w:pPr>
        <w:rPr>
          <w:noProof/>
        </w:rPr>
        <w:sectPr w:rsidR="006A7C0E" w:rsidSect="00607EE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86CD9C5" w14:textId="5F7B4122" w:rsidR="009579B9" w:rsidRPr="00811D0F" w:rsidRDefault="78520435" w:rsidP="00811D0F">
      <w:pPr>
        <w:pStyle w:val="Heading1"/>
        <w:rPr>
          <w:rStyle w:val="Heading1Char"/>
          <w:noProof/>
        </w:rPr>
      </w:pPr>
      <w:bookmarkStart w:id="1" w:name="_Toc213663454"/>
      <w:bookmarkStart w:id="2" w:name="_GoBack"/>
      <w:bookmarkEnd w:id="2"/>
      <w:r>
        <w:rPr>
          <w:rStyle w:val="Heading1Char"/>
          <w:noProof/>
        </w:rPr>
        <w:lastRenderedPageBreak/>
        <w:t>Renforcer la compétitivité de l’écosystème de la construction</w:t>
      </w:r>
      <w:bookmarkEnd w:id="1"/>
      <w:r>
        <w:rPr>
          <w:rStyle w:val="Heading1Char"/>
          <w:noProof/>
        </w:rPr>
        <w:t xml:space="preserve"> </w:t>
      </w:r>
    </w:p>
    <w:p w14:paraId="09FEF5CD" w14:textId="47E620D0" w:rsidR="00A16BBE" w:rsidRDefault="00BC0F53" w:rsidP="00402ECE">
      <w:pPr>
        <w:rPr>
          <w:rFonts w:cs="Times New Roman"/>
          <w:noProof/>
        </w:rPr>
      </w:pPr>
      <w:r>
        <w:rPr>
          <w:b/>
          <w:noProof/>
        </w:rPr>
        <w:t>L’Europe est confrontée à un défi structurel lié à l’accessibilité financière du logement.</w:t>
      </w:r>
      <w:r>
        <w:rPr>
          <w:noProof/>
        </w:rPr>
        <w:t xml:space="preserve"> La stratégie européenne pour la construction de logements constitue un élément essentiel, à savoir le pilier industriel, du train de mesures de la Commission sur le logement abordable, qui vise à rendre le logement plus abordable pour tous les Européens. La stratégie met l’accent sur le renforcement de la compétitivité, de la productivité et de l’innovation dans le secteur de la construction. Si des règles harmonisées pour les produits et services de construction dans le marché unique contribuent à un cadre de l’Union, le logement reste avant tout une compétence et une responsabilité des États membres, des régions et des villes. Un effort concerté des institutions de l’Union, des pouvoirs publics nationaux, régionaux et locaux, des institutions financières et des acteurs industriels est donc essentiel pour résoudre le problème du logement.</w:t>
      </w:r>
    </w:p>
    <w:p w14:paraId="650392B6" w14:textId="2F563ECB" w:rsidR="002B183C" w:rsidRDefault="00905537" w:rsidP="00BC0F53">
      <w:pPr>
        <w:spacing w:after="120" w:line="240" w:lineRule="auto"/>
        <w:rPr>
          <w:noProof/>
        </w:rPr>
      </w:pPr>
      <w:r>
        <w:rPr>
          <w:b/>
          <w:noProof/>
        </w:rPr>
        <w:t>La crise du logement est due à plusieurs facteurs, dont certains émanent du secteur de la construction lui-même.</w:t>
      </w:r>
      <w:r>
        <w:rPr>
          <w:noProof/>
        </w:rPr>
        <w:t xml:space="preserve"> L’évolution de la demande, l’offre de logements limitée, la hausse des coûts de construction et les écarts de productivité persistants ont contribué à une pénurie de logements. Dans un tiers des régions de l’Union, la construction n’a pas réussi à répondre à l’augmentation de la demande démographique. Selon les projections de la Commission, le nombre de ménages augmentera encore dans ces zones. Pour faire face à cette pression démographique au cours de la prochaine décennie, l’Europe devra ajouter 650 000 logements par an en plus des 1,6 million de logements construits actuellement</w:t>
      </w:r>
      <w:r>
        <w:rPr>
          <w:rStyle w:val="FootnoteReference"/>
          <w:noProof/>
        </w:rPr>
        <w:footnoteReference w:id="2"/>
      </w:r>
      <w:r>
        <w:rPr>
          <w:noProof/>
        </w:rPr>
        <w:t>. Un doublement du taux actuel de rénovations et une amélioration globale de la performance énergétique du parc immobilier résidentiel, de 16 % d’ici à 2030, sont également nécessaires pour contribuer à la mise à disposition de logements abordables, durables, résilients et de qualité.</w:t>
      </w:r>
    </w:p>
    <w:p w14:paraId="4A6E8399" w14:textId="51AAE8B8" w:rsidR="00BC0F53" w:rsidRPr="00EA3921" w:rsidRDefault="00BC0F53" w:rsidP="00BC0F53">
      <w:pPr>
        <w:spacing w:after="120" w:line="240" w:lineRule="auto"/>
        <w:rPr>
          <w:noProof/>
        </w:rPr>
      </w:pPr>
      <w:r>
        <w:rPr>
          <w:b/>
          <w:noProof/>
        </w:rPr>
        <w:t>La pénurie de logements se traduit par une hausse des prix tant des logements locatifs que des logements occupés par leur propriétaire</w:t>
      </w:r>
      <w:r>
        <w:rPr>
          <w:noProof/>
        </w:rPr>
        <w:t xml:space="preserve">. Depuis 2013, les prix nominaux des logements ont augmenté de plus de 60 % dans l’ensemble de l’Union, augmentant plus rapidement que les revenus, ce qui a des conséquences directes sur l’inclusion sociale et la mobilité de la main-d’œuvre. De nombreuses zones métropolitaines et destinations touristiques sont des zones sous tension, qui sont confrontées aux pressions les plus fortes. </w:t>
      </w:r>
    </w:p>
    <w:p w14:paraId="0CBB5D27" w14:textId="2D7ADD1D" w:rsidR="00BC0F53" w:rsidRPr="00EA3921" w:rsidRDefault="00BC0F53" w:rsidP="00BC0F53">
      <w:pPr>
        <w:spacing w:line="240" w:lineRule="auto"/>
        <w:rPr>
          <w:rFonts w:cs="Times New Roman"/>
          <w:noProof/>
        </w:rPr>
      </w:pPr>
      <w:r>
        <w:rPr>
          <w:b/>
          <w:noProof/>
        </w:rPr>
        <w:t>Pour relever ce défi lié à l’accessibilité financière du logement, l’Union européenne doit combler l’écart entre l’offre et la demande de logements</w:t>
      </w:r>
      <w:r>
        <w:rPr>
          <w:noProof/>
        </w:rPr>
        <w:t>, parallèlement à d’autres mesures prévues dans le plan pour des logements abordables</w:t>
      </w:r>
      <w:r>
        <w:rPr>
          <w:rStyle w:val="FootnoteReference"/>
          <w:noProof/>
        </w:rPr>
        <w:footnoteReference w:id="3"/>
      </w:r>
      <w:r>
        <w:rPr>
          <w:noProof/>
        </w:rPr>
        <w:t>. Nous devons créer les conditions-cadres nécessaires pour faire en sorte que le secteur de la construction puisse jouer son rôle de catalyseur de logements abordables, durables, résilients et de qualité. L’augmentation de la productivité, de la capacité et de la compétitivité de l’ensemble de l’écosystème de la construction</w:t>
      </w:r>
      <w:r>
        <w:rPr>
          <w:rStyle w:val="FootnoteReference"/>
          <w:rFonts w:eastAsia="Times New Roman" w:cs="Times New Roman"/>
          <w:noProof/>
        </w:rPr>
        <w:footnoteReference w:id="4"/>
      </w:r>
      <w:r>
        <w:rPr>
          <w:noProof/>
        </w:rPr>
        <w:t xml:space="preserve"> permettra de stimuler l’offre de logements et d’atteindre les objectifs économiques, sociaux et environnementaux de l’Union.</w:t>
      </w:r>
    </w:p>
    <w:p w14:paraId="0AF1491C" w14:textId="119DF857" w:rsidR="00BC0F53" w:rsidRDefault="00DD0E4D" w:rsidP="50050A48">
      <w:pPr>
        <w:spacing w:after="120" w:line="240" w:lineRule="auto"/>
        <w:rPr>
          <w:rStyle w:val="FootnoteReference"/>
          <w:rFonts w:asciiTheme="minorHAnsi" w:eastAsiaTheme="minorEastAsia" w:hAnsiTheme="minorHAnsi"/>
          <w:noProof/>
        </w:rPr>
      </w:pPr>
      <w:r>
        <w:rPr>
          <w:b/>
          <w:noProof/>
        </w:rPr>
        <w:t>Outre son rôle important dans la mise à disposition de logements de qualité aux citoyens européens, l’écosystème de la construction contribue de manière importante à l’économie et à la croissance européennes: il figure en effet parmi les trois plus grands écosystèmes industriels de l’Union.</w:t>
      </w:r>
      <w:r>
        <w:rPr>
          <w:noProof/>
        </w:rPr>
        <w:t xml:space="preserve"> Cet écosystème est dominé par les PME, principalement les microentreprises, qui représentent </w:t>
      </w:r>
      <w:r>
        <w:rPr>
          <w:b/>
          <w:noProof/>
        </w:rPr>
        <w:t>99 %</w:t>
      </w:r>
      <w:r>
        <w:rPr>
          <w:noProof/>
        </w:rPr>
        <w:t xml:space="preserve"> des entreprises actives. Il couvre une chaîne de valeur complexe et interdépendante, allant des matières premières et des produits de construction à la conception et à l’ingénierie, en passant par la construction, la rénovation et l’entretien des bâtiments. Une part importante de l’écosystème opère dans la sphère publique, au moyen de marchés publics de travaux et d’investissements dans le génie civil et le logement social. Comptant 6,6 millions d’entreprises, il offre des emplois à 27 millions de personnes et contribue à hauteur de 12 % à la valeur ajoutée brute de l’UE</w:t>
      </w:r>
      <w:r>
        <w:rPr>
          <w:rStyle w:val="FootnoteReference"/>
          <w:rFonts w:cs="Times New Roman"/>
          <w:noProof/>
        </w:rPr>
        <w:footnoteReference w:id="5"/>
      </w:r>
      <w:r>
        <w:rPr>
          <w:noProof/>
        </w:rPr>
        <w:t xml:space="preserve">. </w:t>
      </w:r>
    </w:p>
    <w:p w14:paraId="73201AEC" w14:textId="5A7C1004" w:rsidR="006C2AEA" w:rsidRDefault="00650183" w:rsidP="00BC0F53">
      <w:pPr>
        <w:spacing w:line="240" w:lineRule="auto"/>
        <w:rPr>
          <w:rFonts w:cs="Times New Roman"/>
          <w:noProof/>
        </w:rPr>
      </w:pPr>
      <w:r>
        <w:rPr>
          <w:b/>
          <w:noProof/>
        </w:rPr>
        <w:t>Toutefois, les performances actuelles de l’écosystème restent inférieures à leur potentiel.</w:t>
      </w:r>
      <w:r>
        <w:rPr>
          <w:noProof/>
        </w:rPr>
        <w:t xml:space="preserve"> De tous les secteurs industriels, c’est celui de la construction qui a connu la plus forte baisse de productivité depuis 2019. Les coûts de construction ont augmenté plus rapidement que l’inflation, sous l’effet des coûts élevés des matériaux et de la main-d’œuvre qui n’ont pas été compensés par des gains d’efficacité. En outre, cet écosystème industriel reste le moins numérisé d’Europe, avec seulement 55 % des entreprises utilisant des technologies numériques de pointe, contre une moyenne de 76 % dans les autres écosystèmes</w:t>
      </w:r>
      <w:r>
        <w:rPr>
          <w:rStyle w:val="FootnoteReference"/>
          <w:rFonts w:cs="Times New Roman"/>
          <w:noProof/>
        </w:rPr>
        <w:footnoteReference w:id="6"/>
      </w:r>
      <w:r>
        <w:rPr>
          <w:noProof/>
        </w:rPr>
        <w:t>. Moins de 10 % des entreprises prévoient des investissements à long terme dans la transformation numérique. La productivité horaire de la main-d’œuvre dans le secteur de la construction a diminué de 8 % depuis 2019</w:t>
      </w:r>
      <w:r>
        <w:rPr>
          <w:rStyle w:val="FootnoteReference"/>
          <w:rFonts w:cs="Times New Roman"/>
          <w:noProof/>
        </w:rPr>
        <w:footnoteReference w:id="7"/>
      </w:r>
      <w:r>
        <w:rPr>
          <w:noProof/>
        </w:rPr>
        <w:t xml:space="preserve">, tandis que l’économie de l’Union dans son ensemble a enregistré des gains modestes. Cet écart de productivité a nui à la fois à l'accessibilité financière du logement et à la compétitivité industrielle. </w:t>
      </w:r>
    </w:p>
    <w:p w14:paraId="72EDF804" w14:textId="0B2A4857" w:rsidR="00422F5A" w:rsidRDefault="00422F5A" w:rsidP="00BC0F53">
      <w:pPr>
        <w:spacing w:line="240" w:lineRule="auto"/>
        <w:rPr>
          <w:rFonts w:cs="Times New Roman"/>
          <w:noProof/>
        </w:rPr>
      </w:pPr>
      <w:r>
        <w:rPr>
          <w:noProof/>
        </w:rPr>
        <w:t xml:space="preserve">Dans le même temps, le secteur de la construction dispose d’un énorme </w:t>
      </w:r>
      <w:r>
        <w:rPr>
          <w:b/>
          <w:noProof/>
        </w:rPr>
        <w:t>potentiel de réduction des émissions</w:t>
      </w:r>
      <w:r>
        <w:rPr>
          <w:noProof/>
        </w:rPr>
        <w:t xml:space="preserve">. Il est responsable de </w:t>
      </w:r>
      <w:r>
        <w:rPr>
          <w:b/>
          <w:noProof/>
        </w:rPr>
        <w:t>plus de 35 %</w:t>
      </w:r>
      <w:r>
        <w:rPr>
          <w:noProof/>
        </w:rPr>
        <w:t xml:space="preserve"> de la production de déchets de l’Union et de </w:t>
      </w:r>
      <w:r>
        <w:rPr>
          <w:b/>
          <w:noProof/>
        </w:rPr>
        <w:t>5 à 12 %</w:t>
      </w:r>
      <w:r>
        <w:rPr>
          <w:noProof/>
        </w:rPr>
        <w:t xml:space="preserve"> des émissions nationales totales de gaz à effet de serre</w:t>
      </w:r>
      <w:r>
        <w:rPr>
          <w:rStyle w:val="FootnoteReference"/>
          <w:noProof/>
        </w:rPr>
        <w:footnoteReference w:id="8"/>
      </w:r>
      <w:r>
        <w:rPr>
          <w:noProof/>
        </w:rPr>
        <w:t xml:space="preserve">. L’utilisation de matériaux de construction biosourcés et à faible teneur en carbone peut contribuer à réduire </w:t>
      </w:r>
      <w:r>
        <w:rPr>
          <w:b/>
          <w:noProof/>
        </w:rPr>
        <w:t>d’environ 40 %</w:t>
      </w:r>
      <w:r>
        <w:rPr>
          <w:noProof/>
        </w:rPr>
        <w:t xml:space="preserve"> le carbone intrinsèque</w:t>
      </w:r>
      <w:r>
        <w:rPr>
          <w:rStyle w:val="FootnoteReference"/>
          <w:noProof/>
        </w:rPr>
        <w:footnoteReference w:id="9"/>
      </w:r>
      <w:r>
        <w:rPr>
          <w:noProof/>
        </w:rPr>
        <w:t xml:space="preserve"> dans les bâtiments</w:t>
      </w:r>
      <w:r>
        <w:rPr>
          <w:rStyle w:val="FootnoteReference"/>
          <w:noProof/>
        </w:rPr>
        <w:footnoteReference w:id="10"/>
      </w:r>
      <w:r>
        <w:rPr>
          <w:noProof/>
        </w:rPr>
        <w:t>. Il est essentiel d’intensifier la rénovation de notre parc immobilier existant afin de réduire davantage notre dépendance aux combustibles fossiles, de réduire nos émissions de gaz à effet de serre et d’améliorer la qualité de l’air.</w:t>
      </w:r>
    </w:p>
    <w:p w14:paraId="6B7C0CB1" w14:textId="1F13CB7D" w:rsidR="00A4498F" w:rsidRDefault="009B1C1D" w:rsidP="00BC0F53">
      <w:pPr>
        <w:spacing w:line="240" w:lineRule="auto"/>
        <w:rPr>
          <w:rFonts w:cs="Times New Roman"/>
          <w:b/>
          <w:bCs/>
          <w:noProof/>
        </w:rPr>
      </w:pPr>
      <w:r>
        <w:rPr>
          <w:b/>
          <w:noProof/>
        </w:rPr>
        <w:t>Le principal défi à relever est la réduction des coûts pour toutes les parties prenantes opérant au sein de l’écosystème de la construction</w:t>
      </w:r>
      <w:r>
        <w:rPr>
          <w:noProof/>
        </w:rPr>
        <w:t>. À cette fin, nous avons besoin de mesures de simplification, mises en œuvre grâce à une numérisation accrue tout au long de la chaîne de valeur et une réduction de la charge administrative pour tous les acteurs concernés. En outre, nous devons poursuivre l’harmonisation des règles afin de réduire les coûts de mise en conformité, notamment en accélérant la normalisation. La Commission et les autorités nationales de concurrence resteront vigilantes à l’égard de toute pratique anticoncurrentielle dans le secteur.</w:t>
      </w:r>
    </w:p>
    <w:p w14:paraId="7D387CC1" w14:textId="3D9BC8A0" w:rsidR="008C425F" w:rsidRPr="002F466F" w:rsidRDefault="00B16C58" w:rsidP="00BC0F53">
      <w:pPr>
        <w:spacing w:line="240" w:lineRule="auto"/>
        <w:rPr>
          <w:rFonts w:cs="Times New Roman"/>
          <w:noProof/>
        </w:rPr>
      </w:pPr>
      <w:r>
        <w:rPr>
          <w:b/>
          <w:noProof/>
        </w:rPr>
        <w:t>Il existe de nombreux leviers pour accroître la compétitivité de l’écosystème de la construction</w:t>
      </w:r>
      <w:r>
        <w:rPr>
          <w:noProof/>
        </w:rPr>
        <w:t xml:space="preserve">. La réduction de la charge administrative et l’accélération des procédures d’octroi de permis peuvent accélérer la réalisation des travaux de construction sur les marchés du logement tant privé que public. L’intensification de l’innovation et l’adoption de nouvelles technologies permettront aux microentreprises de s’inscrire dans la dynamique de la numérisation et de l’augmentation de la productivité. Une pénétration accrue sur le marché de produits et de méthodes de construction innovants peut stimuler la productivité et permettre une expansion. Le développement de marchés pour les matériaux circulaires et les déchets de construction améliorera l’accès aux intrants et la résilience. La demande de travailleurs qualifiés dans la chaîne de valeur, y compris pour les compétences liées à la numérisation et à l’automatisation, conduira probablement à une meilleure image du secteur en tant que lieu de travail, attirant ainsi davantage de femmes et de jeunes. Enfin, remédier aux divergences réglementaires persistantes favorisera la création d’un véritable marché unique des services de construction et d’installation. </w:t>
      </w:r>
    </w:p>
    <w:p w14:paraId="1B1B8B99" w14:textId="71F9BC25" w:rsidR="00BC0F53" w:rsidRPr="00EA3921" w:rsidRDefault="005C4A48" w:rsidP="00BC0F53">
      <w:pPr>
        <w:rPr>
          <w:rFonts w:cs="Times New Roman"/>
          <w:noProof/>
          <w:u w:val="single"/>
        </w:rPr>
      </w:pPr>
      <w:r>
        <w:rPr>
          <w:b/>
          <w:noProof/>
        </w:rPr>
        <w:t>Nous devons prendre des mesures dans quatre domaines prioritaires pour libérer tout le potentiel de productivité de l’écosystème de la construction</w:t>
      </w:r>
      <w:r>
        <w:rPr>
          <w:noProof/>
        </w:rPr>
        <w:t>:</w:t>
      </w:r>
    </w:p>
    <w:p w14:paraId="569247FA" w14:textId="29DFE9D6" w:rsidR="00B649B1" w:rsidRPr="00B649B1" w:rsidRDefault="000B1FAF" w:rsidP="003518C2">
      <w:pPr>
        <w:pStyle w:val="ListParagraph"/>
        <w:numPr>
          <w:ilvl w:val="0"/>
          <w:numId w:val="20"/>
        </w:numPr>
        <w:spacing w:before="120" w:after="120"/>
        <w:ind w:left="426" w:hanging="284"/>
        <w:contextualSpacing w:val="0"/>
        <w:rPr>
          <w:rFonts w:cs="Times New Roman"/>
          <w:noProof/>
        </w:rPr>
      </w:pPr>
      <w:r>
        <w:rPr>
          <w:b/>
          <w:noProof/>
        </w:rPr>
        <w:t>simplifier et numériser les procédures d’octroi de permis résidentiels et les procédures administratives;</w:t>
      </w:r>
    </w:p>
    <w:p w14:paraId="510EC0B4" w14:textId="590784B0" w:rsidR="003C7C9F" w:rsidRPr="000D7F7F" w:rsidRDefault="00BC0F53" w:rsidP="003518C2">
      <w:pPr>
        <w:pStyle w:val="ListParagraph"/>
        <w:numPr>
          <w:ilvl w:val="0"/>
          <w:numId w:val="20"/>
        </w:numPr>
        <w:spacing w:before="120" w:after="120"/>
        <w:ind w:left="426" w:hanging="284"/>
        <w:contextualSpacing w:val="0"/>
        <w:rPr>
          <w:rFonts w:cs="Times New Roman"/>
          <w:noProof/>
        </w:rPr>
      </w:pPr>
      <w:r>
        <w:rPr>
          <w:b/>
          <w:noProof/>
        </w:rPr>
        <w:t>soutenir l’innovation et l’expansion dans le secteur de la construction</w:t>
      </w:r>
      <w:r>
        <w:rPr>
          <w:noProof/>
        </w:rPr>
        <w:t xml:space="preserve"> afin de déployer à grande échelle des produits innovants et de nouvelles technologies au sein du marché unique;</w:t>
      </w:r>
    </w:p>
    <w:p w14:paraId="024A607D" w14:textId="08073CBE" w:rsidR="002A0E73" w:rsidRDefault="000B1FAF" w:rsidP="003518C2">
      <w:pPr>
        <w:pStyle w:val="ListParagraph"/>
        <w:numPr>
          <w:ilvl w:val="0"/>
          <w:numId w:val="20"/>
        </w:numPr>
        <w:spacing w:before="120" w:after="120"/>
        <w:ind w:left="426" w:hanging="284"/>
        <w:contextualSpacing w:val="0"/>
        <w:rPr>
          <w:rFonts w:cs="Times New Roman"/>
          <w:noProof/>
        </w:rPr>
      </w:pPr>
      <w:r>
        <w:rPr>
          <w:b/>
          <w:noProof/>
        </w:rPr>
        <w:t>garantir l’accès aux matières premières et secondaires</w:t>
      </w:r>
      <w:r>
        <w:rPr>
          <w:noProof/>
        </w:rPr>
        <w:t xml:space="preserve"> afin d’assurer un approvisionnement stable, abordable et durable en matériaux;</w:t>
      </w:r>
    </w:p>
    <w:p w14:paraId="50ED03C8" w14:textId="07F29E4A" w:rsidR="00BC0F53" w:rsidRPr="007A75E1" w:rsidRDefault="00BC0F53" w:rsidP="003518C2">
      <w:pPr>
        <w:pStyle w:val="ListParagraph"/>
        <w:numPr>
          <w:ilvl w:val="0"/>
          <w:numId w:val="20"/>
        </w:numPr>
        <w:spacing w:before="120" w:after="120"/>
        <w:ind w:left="426" w:hanging="284"/>
        <w:contextualSpacing w:val="0"/>
        <w:rPr>
          <w:rFonts w:cs="Times New Roman"/>
          <w:noProof/>
        </w:rPr>
      </w:pPr>
      <w:r>
        <w:rPr>
          <w:b/>
          <w:noProof/>
        </w:rPr>
        <w:t>garantir l’accès aux services et aux compétences</w:t>
      </w:r>
      <w:r>
        <w:rPr>
          <w:noProof/>
        </w:rPr>
        <w:t xml:space="preserve"> en remédiant aux pénuries, en supprimant les obstacles à la prestation transfrontière de services et en promouvant la mobilité des professionnels et des travailleurs.</w:t>
      </w:r>
    </w:p>
    <w:p w14:paraId="3C9ABA64" w14:textId="08C24FC3" w:rsidR="75007620" w:rsidRDefault="579EA71E" w:rsidP="00BC0F53">
      <w:pPr>
        <w:rPr>
          <w:rFonts w:cs="Times New Roman"/>
          <w:noProof/>
        </w:rPr>
      </w:pPr>
      <w:r>
        <w:rPr>
          <w:noProof/>
        </w:rPr>
        <w:t>La présente stratégie s’appuie sur la récente modernisation du règlement sur les produits de construction</w:t>
      </w:r>
      <w:r>
        <w:rPr>
          <w:rStyle w:val="FootnoteReference"/>
          <w:rFonts w:cs="Times New Roman"/>
          <w:noProof/>
        </w:rPr>
        <w:footnoteReference w:id="11"/>
      </w:r>
      <w:r>
        <w:rPr>
          <w:noProof/>
        </w:rPr>
        <w:t>. Les normes adoptées au titre du règlement sur les produits de construction, conformément au plan de travail 2026-2029 du règlement sur les produits de construction publié aujourd’hui</w:t>
      </w:r>
      <w:r>
        <w:rPr>
          <w:rStyle w:val="FootnoteReference"/>
          <w:rFonts w:cs="Times New Roman"/>
          <w:noProof/>
          <w:lang w:val="en-GB"/>
        </w:rPr>
        <w:footnoteReference w:id="12"/>
      </w:r>
      <w:r>
        <w:rPr>
          <w:noProof/>
        </w:rPr>
        <w:t>, seront essentielles pour soutenir l’harmonisation dans l’ensemble du marché unique. Elles répondent aux objectifs de la stratégie pour le marché unique</w:t>
      </w:r>
      <w:r>
        <w:rPr>
          <w:rStyle w:val="FootnoteReference"/>
          <w:rFonts w:cs="Times New Roman"/>
          <w:noProof/>
        </w:rPr>
        <w:footnoteReference w:id="13"/>
      </w:r>
      <w:r>
        <w:rPr>
          <w:noProof/>
        </w:rPr>
        <w:t xml:space="preserve"> et aux recommandations «Construction Transition Pathway» (Parcours de transition dans le secteur de la construction)</w:t>
      </w:r>
      <w:r>
        <w:rPr>
          <w:rStyle w:val="FootnoteReference"/>
          <w:rFonts w:cs="Times New Roman"/>
          <w:noProof/>
        </w:rPr>
        <w:footnoteReference w:id="14"/>
      </w:r>
      <w:r>
        <w:rPr>
          <w:noProof/>
        </w:rPr>
        <w:t xml:space="preserve"> en vue de parvenir à un écosystème de la construction plus vert, plus numérique, plus résilient et plus compétitif. </w:t>
      </w:r>
    </w:p>
    <w:p w14:paraId="42335DFD" w14:textId="5C597383" w:rsidR="00A837CC" w:rsidRPr="00274242" w:rsidRDefault="00A837CC" w:rsidP="00274242">
      <w:pPr>
        <w:pStyle w:val="Heading1"/>
        <w:rPr>
          <w:rStyle w:val="Heading1Char"/>
          <w:noProof/>
        </w:rPr>
      </w:pPr>
      <w:bookmarkStart w:id="3" w:name="_Toc213663455"/>
      <w:r>
        <w:rPr>
          <w:rStyle w:val="Heading1Char"/>
          <w:noProof/>
        </w:rPr>
        <w:t xml:space="preserve">Simplifier et numériser </w:t>
      </w:r>
      <w:bookmarkEnd w:id="3"/>
      <w:r>
        <w:rPr>
          <w:rStyle w:val="Heading1Char"/>
          <w:noProof/>
        </w:rPr>
        <w:t>l’écosystème</w:t>
      </w:r>
    </w:p>
    <w:p w14:paraId="52B4F898" w14:textId="6DEDCED6" w:rsidR="011E916A" w:rsidRDefault="011E916A" w:rsidP="00D24830">
      <w:pPr>
        <w:spacing w:before="240" w:after="120" w:line="240" w:lineRule="auto"/>
        <w:rPr>
          <w:rFonts w:cs="Times New Roman"/>
          <w:noProof/>
        </w:rPr>
      </w:pPr>
      <w:r>
        <w:rPr>
          <w:b/>
          <w:noProof/>
        </w:rPr>
        <w:t>Pour libérer tout le potentiel de l’écosystème de la construction, nous devons d’abord examiner comment nous facilitons et accélérons son fonctionnement pour tous les acteurs concernés</w:t>
      </w:r>
      <w:r>
        <w:rPr>
          <w:noProof/>
        </w:rPr>
        <w:t>. Il convient de remédier en priorité à la complexité et au caractère restrictif du cadre juridique ainsi qu’à la faible adoption de la numérisation.</w:t>
      </w:r>
    </w:p>
    <w:p w14:paraId="68872A97" w14:textId="53FE957E" w:rsidR="0079314B" w:rsidRPr="00DF295A" w:rsidRDefault="0079314B" w:rsidP="006B6812">
      <w:pPr>
        <w:spacing w:after="120" w:line="240" w:lineRule="auto"/>
        <w:rPr>
          <w:rFonts w:cs="Times New Roman"/>
          <w:noProof/>
        </w:rPr>
      </w:pPr>
      <w:r>
        <w:rPr>
          <w:noProof/>
        </w:rPr>
        <w:t>Le développement et la construction de logements sont soumis à des règles qui peuvent prendre différentes formes, notamment des codes du bâtiment, des politiques d’aménagement du territoire et de zonage, ainsi que des normes environnementales. La plupart des règles qui influencent l’offre de logements sont fixées par les États membres, y compris aux niveaux régional et local. Ces règles préservent notre sécurité et notre qualité de vie, promeuvent des objectifs sociaux et économiques et protègent notre environnement et notre patrimoine culturel. Toutefois, leur accumulation, leur complexité et leur fragmentation entraînent souvent des restrictions, des dépenses, des incertitudes et des retards importants, qui augmentent le coût total de la construction.</w:t>
      </w:r>
      <w:r>
        <w:rPr>
          <w:b/>
          <w:noProof/>
        </w:rPr>
        <w:t xml:space="preserve"> </w:t>
      </w:r>
      <w:r>
        <w:rPr>
          <w:noProof/>
        </w:rPr>
        <w:t xml:space="preserve">La complexité administrative entraîne souvent des restrictions involontaires à l’offre de logements. </w:t>
      </w:r>
    </w:p>
    <w:p w14:paraId="6F1DE2F6" w14:textId="4303D2D7" w:rsidR="009822EA" w:rsidRDefault="1E91B58B" w:rsidP="006B6812">
      <w:pPr>
        <w:spacing w:after="120" w:line="240" w:lineRule="auto"/>
        <w:rPr>
          <w:rFonts w:cs="Times New Roman"/>
          <w:noProof/>
        </w:rPr>
      </w:pPr>
      <w:r>
        <w:rPr>
          <w:b/>
          <w:noProof/>
        </w:rPr>
        <w:t>Les procédures d’octroi de permis complexes, restrictives, lentes et incertaines</w:t>
      </w:r>
      <w:r>
        <w:rPr>
          <w:noProof/>
        </w:rPr>
        <w:t xml:space="preserve"> contribuent en outre à faire grimper les coûts de construction des logements et à limiter la production globale du secteur de la construction, tant pour les nouveaux bâtiments que pour les rénovations</w:t>
      </w:r>
      <w:r>
        <w:rPr>
          <w:rStyle w:val="FootnoteReference"/>
          <w:rFonts w:cs="Times New Roman"/>
          <w:noProof/>
        </w:rPr>
        <w:footnoteReference w:id="15"/>
      </w:r>
      <w:r>
        <w:rPr>
          <w:noProof/>
        </w:rPr>
        <w:t>. Si les permis de construire jouent un rôle réglementaire essentiel en garantissant le respect du cadre réglementaire à plusieurs niveaux</w:t>
      </w:r>
      <w:r>
        <w:rPr>
          <w:rStyle w:val="FootnoteReference"/>
          <w:rFonts w:cs="Times New Roman"/>
          <w:noProof/>
        </w:rPr>
        <w:footnoteReference w:id="16"/>
      </w:r>
      <w:r>
        <w:rPr>
          <w:noProof/>
        </w:rPr>
        <w:t>, leur complexité, leur fragmentation et leur multiplication créent des inefficacités, découragent les investissements et entravent l’adoption de méthodes de construction innovantes telles que la fabrication hors site et l’impression 3D</w:t>
      </w:r>
      <w:r>
        <w:rPr>
          <w:rStyle w:val="FootnoteReference"/>
          <w:rFonts w:cs="Times New Roman"/>
          <w:noProof/>
        </w:rPr>
        <w:footnoteReference w:id="17"/>
      </w:r>
      <w:r>
        <w:rPr>
          <w:noProof/>
        </w:rPr>
        <w:t xml:space="preserve">. </w:t>
      </w:r>
    </w:p>
    <w:p w14:paraId="5365EF63" w14:textId="7C90144A" w:rsidR="006B6812" w:rsidRPr="00D24830" w:rsidRDefault="006B6812" w:rsidP="006B6812">
      <w:pPr>
        <w:spacing w:after="120" w:line="240" w:lineRule="auto"/>
        <w:rPr>
          <w:rFonts w:cs="Times New Roman"/>
          <w:b/>
          <w:noProof/>
        </w:rPr>
      </w:pPr>
      <w:r>
        <w:rPr>
          <w:b/>
          <w:noProof/>
        </w:rPr>
        <w:t>Le défi consiste donc à trouver le juste équilibre entre la surveillance, les conditions et les restrictions nécessaires, d’une part, et l’efficacité des procédures, d’autre part.</w:t>
      </w:r>
    </w:p>
    <w:p w14:paraId="21140374" w14:textId="0F30F124" w:rsidR="006B6812" w:rsidRPr="006B6812" w:rsidRDefault="006B6812" w:rsidP="006B6812">
      <w:pPr>
        <w:spacing w:after="120" w:line="240" w:lineRule="auto"/>
        <w:rPr>
          <w:rFonts w:cs="Times New Roman"/>
          <w:noProof/>
        </w:rPr>
      </w:pPr>
      <w:r>
        <w:rPr>
          <w:b/>
          <w:noProof/>
        </w:rPr>
        <w:t>Les promoteurs de projets dans l’ensemble de l’Union sont confrontés à de multiples difficultés au cours de la procédure de demande de permis pour les bâtiments résidentiels</w:t>
      </w:r>
      <w:r>
        <w:rPr>
          <w:rStyle w:val="FootnoteReference"/>
          <w:rFonts w:cs="Times New Roman"/>
          <w:noProof/>
        </w:rPr>
        <w:footnoteReference w:id="18"/>
      </w:r>
      <w:r>
        <w:rPr>
          <w:noProof/>
        </w:rPr>
        <w:t xml:space="preserve">. Les réglementations nationales et locales sont souvent fragmentées et complexes, et les pouvoirs publics ne disposent d’aucun délai précis pour y répondre. Les demandeurs sont souvent tenus d’obtenir plusieurs «sous-permis» distincts et l’interprétation des règles nationales et locales est souvent incohérente. La phase de soumission des demandes peut durer de 3 à 24 mois, avec de grandes variations entre les États membres et au sein même de ceux-ci. Une phase de recours peut prolonger encore davantage la procédure. Ces retards augmentent considérablement les coûts et l’incertitude, en particulier pour les PME, ce qui rend les projets de logement plus risqués et moins attrayants pour les investisseurs. Malgré un large consensus sur la nécessité d’une réforme, il n’existe pas de vue d’ensemble complète des permis de construire dans l’Union, ni de base de référence solide et comparable pour suivre les progrès et orienter les politiques. </w:t>
      </w:r>
    </w:p>
    <w:p w14:paraId="67E709EF" w14:textId="6D3159E1" w:rsidR="006B6812" w:rsidRPr="008469E4" w:rsidRDefault="007624E5" w:rsidP="25C87AF3">
      <w:pPr>
        <w:spacing w:after="120" w:line="240" w:lineRule="auto"/>
        <w:rPr>
          <w:rFonts w:cs="Times New Roman"/>
          <w:noProof/>
        </w:rPr>
      </w:pPr>
      <w:r>
        <w:rPr>
          <w:b/>
          <w:noProof/>
        </w:rPr>
        <w:t>En ce qui concerne la numérisation, et par rapport à d’autres écosystèmes, l’écosystème européen de la construction accuse un retard dans chaque partie du cycle de vie des bâtiments et des travaux de construction</w:t>
      </w:r>
      <w:r>
        <w:rPr>
          <w:noProof/>
        </w:rPr>
        <w:t>. Il s’agit notamment de la conception, de la planification et de l’octroi de permis, de la construction, de l’exploitation, de la rénovation et des possibilités de fin de vie. Les progrès en matière de numérisation dans l’Union restent inégaux, étant donné que les États membres adoptent des approches de gouvernance différentes et opèrent à des niveaux de maturité technologique variables</w:t>
      </w:r>
      <w:r>
        <w:rPr>
          <w:rStyle w:val="FootnoteReference"/>
          <w:rFonts w:cs="Times New Roman"/>
          <w:noProof/>
          <w:lang w:val="en-GB"/>
        </w:rPr>
        <w:footnoteReference w:id="19"/>
      </w:r>
      <w:r>
        <w:rPr>
          <w:noProof/>
        </w:rPr>
        <w:t>. En outre, en raison du manque d’intégration et d’interopérabilité entre les systèmes, il est difficile de collecter et d’analyser des données fiables sur les bâtiments et les matériaux, ce qui est essentiel pour atteindre les objectifs de construction durable et d’économie circulaire, et pour intensifier les activités. Il existe un potentiel inexploité relatif à la création d’un cadre cohérent réunissant les permis numériques, le passeport numérique des produits (au titre du nouveau règlement sur les produits de construction) et les carnets numériques des bâtiments.</w:t>
      </w:r>
    </w:p>
    <w:p w14:paraId="4991E04F" w14:textId="6BD1E3D8" w:rsidR="006B6812" w:rsidRPr="006B6812" w:rsidRDefault="00270F60" w:rsidP="6C2C4AD4">
      <w:pPr>
        <w:spacing w:after="120" w:line="240" w:lineRule="auto"/>
        <w:rPr>
          <w:rFonts w:cs="Times New Roman"/>
          <w:noProof/>
        </w:rPr>
      </w:pPr>
      <w:r>
        <w:rPr>
          <w:b/>
          <w:noProof/>
        </w:rPr>
        <w:t>La modernisation des procédures administratives</w:t>
      </w:r>
      <w:r>
        <w:rPr>
          <w:noProof/>
        </w:rPr>
        <w:t xml:space="preserve"> et la réduction des restrictions, en particulier celles liées à l’octroi de permis de construire et de rénovation, pourraient constituer un puissant catalyseur pour l’amélioration de la productivité grâce à une numérisation plus large dans le secteur, en particulier pour les PME. Cela permettrait non seulement d’accélérer et de rendre plus efficace la délivrance des permis, mais aussi de contribuer à un meilleur partage des données et à une plus grande transparence tout au long de la chaîne de valeur de la construction.</w:t>
      </w:r>
    </w:p>
    <w:p w14:paraId="18725D5C" w14:textId="4A1F703D" w:rsidR="00A837CC" w:rsidRPr="005E75D0" w:rsidRDefault="00A837CC" w:rsidP="008469E4">
      <w:pPr>
        <w:pStyle w:val="Heading2"/>
        <w:spacing w:after="120" w:line="240" w:lineRule="auto"/>
        <w:rPr>
          <w:rFonts w:cs="Times New Roman"/>
          <w:noProof/>
        </w:rPr>
      </w:pPr>
      <w:bookmarkStart w:id="4" w:name="_Toc213663456"/>
      <w:r>
        <w:rPr>
          <w:noProof/>
        </w:rPr>
        <w:t>Simplification des procédures d’octroi de permis</w:t>
      </w:r>
      <w:bookmarkEnd w:id="4"/>
    </w:p>
    <w:p w14:paraId="4A5F3150" w14:textId="6CDE29C9" w:rsidR="000B5B7E" w:rsidRPr="00887378" w:rsidRDefault="026291F1" w:rsidP="00BB5B84">
      <w:pPr>
        <w:spacing w:after="120" w:line="240" w:lineRule="auto"/>
        <w:rPr>
          <w:rFonts w:cs="Times New Roman"/>
          <w:noProof/>
        </w:rPr>
      </w:pPr>
      <w:r>
        <w:rPr>
          <w:b/>
          <w:noProof/>
        </w:rPr>
        <w:t>La simplification des exigences en matière de permis et la numérisation des procédures d’octroi de permis</w:t>
      </w:r>
      <w:r>
        <w:rPr>
          <w:noProof/>
        </w:rPr>
        <w:t xml:space="preserve"> pourraient apporter davantage de certitude et donc des avantages économiques substantiels. Une étude de cas réalisée à Prague a estimé qu’une longue procédure d’octroi de permis résidentiel ajoutait environ 16,5 % aux coûts d'une construction résidentielle</w:t>
      </w:r>
      <w:r>
        <w:rPr>
          <w:rStyle w:val="FootnoteReference"/>
          <w:noProof/>
        </w:rPr>
        <w:footnoteReference w:id="20"/>
      </w:r>
      <w:r>
        <w:rPr>
          <w:noProof/>
        </w:rPr>
        <w:t>. Des outils numériques tels que la modélisation des informations de la construction (BIM)</w:t>
      </w:r>
      <w:r>
        <w:rPr>
          <w:rStyle w:val="FootnoteReference"/>
          <w:rFonts w:eastAsia="Times New Roman" w:cs="Times New Roman"/>
          <w:noProof/>
        </w:rPr>
        <w:footnoteReference w:id="21"/>
      </w:r>
      <w:r>
        <w:rPr>
          <w:noProof/>
        </w:rPr>
        <w:t xml:space="preserve"> ont déjà démontré leur capacité à réduire les charges administratives et à raccourcir les délais de prise de décision dans les projets de logement publics et privés. Dans les États membres qui sont déjà avancés dans ce domaine, les avantages concrets sont déjà évidents. Les systèmes d’octroi de permis fondés sur la BIM mis en œuvre en Finlande</w:t>
      </w:r>
      <w:r>
        <w:rPr>
          <w:rStyle w:val="FootnoteReference"/>
          <w:rFonts w:cs="Times New Roman"/>
          <w:noProof/>
        </w:rPr>
        <w:footnoteReference w:id="22"/>
      </w:r>
      <w:r>
        <w:rPr>
          <w:noProof/>
        </w:rPr>
        <w:t xml:space="preserve"> ont contribué à réduire les délais de traitement, à accroître la transparence et à améliorer la qualité des données.</w:t>
      </w:r>
    </w:p>
    <w:p w14:paraId="28352682" w14:textId="1A90602D" w:rsidR="009E75BE" w:rsidRDefault="009E75BE" w:rsidP="00470313">
      <w:pPr>
        <w:spacing w:after="240" w:line="240" w:lineRule="auto"/>
        <w:rPr>
          <w:rFonts w:cs="Times New Roman"/>
          <w:b/>
          <w:bCs/>
          <w:noProof/>
        </w:rPr>
      </w:pPr>
      <w:r>
        <w:rPr>
          <w:noProof/>
        </w:rPr>
        <w:t>Les premières mesures visant à simplifier les procédures d’octroi de permis sont prises grâce à la simplification des charges administratives dans la législation environnementale</w:t>
      </w:r>
      <w:r>
        <w:rPr>
          <w:rStyle w:val="FootnoteReference"/>
          <w:rFonts w:cs="Times New Roman"/>
          <w:noProof/>
        </w:rPr>
        <w:footnoteReference w:id="23"/>
      </w:r>
      <w:r>
        <w:rPr>
          <w:noProof/>
        </w:rPr>
        <w:t>, y compris la proposition législative visant à accélérer les évaluations environnementales</w:t>
      </w:r>
      <w:r>
        <w:rPr>
          <w:rStyle w:val="FootnoteReference"/>
          <w:rFonts w:cs="Times New Roman"/>
          <w:noProof/>
        </w:rPr>
        <w:footnoteReference w:id="24"/>
      </w:r>
      <w:r>
        <w:rPr>
          <w:noProof/>
        </w:rPr>
        <w:t>. Les États membres sont encouragés à utiliser au maximum les dispositions de ce train de mesures, afin d’accélérer les processus de planification, de zonage et d’octroi de permis des projets de construction de logements et des infrastructures connexes.</w:t>
      </w:r>
    </w:p>
    <w:p w14:paraId="0CC6836A" w14:textId="758A37AA" w:rsidR="003650C4" w:rsidRDefault="00A426C9" w:rsidP="003757B2">
      <w:pPr>
        <w:spacing w:after="240" w:line="240" w:lineRule="auto"/>
        <w:rPr>
          <w:rFonts w:cs="Times New Roman"/>
          <w:noProof/>
        </w:rPr>
      </w:pPr>
      <w:r>
        <w:rPr>
          <w:noProof/>
        </w:rPr>
        <w:t xml:space="preserve">Pour relever les défis qui touchent spécifiquement les projets de logement, </w:t>
      </w:r>
      <w:r>
        <w:rPr>
          <w:b/>
          <w:noProof/>
        </w:rPr>
        <w:t>la Commission réalisera une étude afin de fournir une évaluation complète des procédures d’octroi de permis de construire dans les 27 États membres</w:t>
      </w:r>
      <w:r>
        <w:rPr>
          <w:noProof/>
        </w:rPr>
        <w:t>. Cet exercice, qui se déroulera de décembre 2025 à octobre 2026, évaluera le degré de numérisation des procédures nationales d’octroi de permis et examinera la manière dont les exigences législatives et techniques ont une incidence sur l’offre de logements, qu’il s’agisse de nouvelles constructions, de rénovations ou de réaffectations. L’étude évaluera les chevauchements existants entre les réglementations applicables et examinera les principales inefficacités et les principaux goulets d’étranglement dans les procédures. Elle analysera également la manière dont ces exigences ont une incidence sur la compétitivité du secteur de la construction dans l’EU-27 et recensera les initiatives nationales pertinentes visant à simplifier, accélérer ou numériser les procédures d’octroi de permis. Une attention particulière sera accordée aux obstacles rencontrés par les petites et microentreprises.</w:t>
      </w:r>
    </w:p>
    <w:p w14:paraId="0906951C" w14:textId="32620B4C" w:rsidR="00FD0920" w:rsidRDefault="003C4410" w:rsidP="00FD0920">
      <w:pPr>
        <w:spacing w:after="240" w:line="240" w:lineRule="auto"/>
        <w:rPr>
          <w:rFonts w:cs="Times New Roman"/>
          <w:noProof/>
        </w:rPr>
      </w:pPr>
      <w:r>
        <w:rPr>
          <w:noProof/>
        </w:rPr>
        <w:t>L’étude alimentera les futurs travaux de la Commission, y compris l’élaboration d’un</w:t>
      </w:r>
      <w:r>
        <w:rPr>
          <w:b/>
          <w:noProof/>
        </w:rPr>
        <w:t xml:space="preserve"> train de mesures de simplification en matière de logement</w:t>
      </w:r>
      <w:r>
        <w:rPr>
          <w:noProof/>
        </w:rPr>
        <w:t xml:space="preserve"> en 2027 et de l’acte législatif sur le logement abordable. En outre, sur la base des résultats de cette évaluation,</w:t>
      </w:r>
      <w:r>
        <w:rPr>
          <w:b/>
          <w:noProof/>
        </w:rPr>
        <w:t xml:space="preserve"> la Commission peut également élaborer des orientations et des bonnes pratiques pour aider les États membres, dans le respect du principe de subsidiarité, à mettre en place des systèmes d’octroi de permis rationalisés et entièrement numériques dans l’ensemble du marché unique</w:t>
      </w:r>
      <w:r>
        <w:rPr>
          <w:noProof/>
        </w:rPr>
        <w:t>.</w:t>
      </w:r>
      <w:r>
        <w:rPr>
          <w:b/>
          <w:noProof/>
        </w:rPr>
        <w:t xml:space="preserve"> </w:t>
      </w:r>
      <w:r>
        <w:rPr>
          <w:noProof/>
        </w:rPr>
        <w:t xml:space="preserve">La Commission collaborera avec les États membres pour poursuivre la simplification et suivra les progrès accomplis dans les États membres, y compris, le cas échéant, par l’intermédiaire de la future alliance européenne pour le logement. </w:t>
      </w:r>
    </w:p>
    <w:p w14:paraId="5F37B8D2" w14:textId="78CCB7DB" w:rsidR="00272207" w:rsidRDefault="1ACCB314" w:rsidP="4C04BFAB">
      <w:pPr>
        <w:spacing w:after="240" w:line="240" w:lineRule="auto"/>
        <w:rPr>
          <w:rFonts w:cs="Times New Roman"/>
          <w:noProof/>
        </w:rPr>
      </w:pPr>
      <w:r>
        <w:rPr>
          <w:b/>
          <w:noProof/>
        </w:rPr>
        <w:t>Les États membres peuvent bénéficier du soutien de l’Union dans les efforts qu’ils déploient pour rationaliser et numériser les procédures d’octroi de permis.</w:t>
      </w:r>
      <w:r>
        <w:rPr>
          <w:noProof/>
        </w:rPr>
        <w:t xml:space="preserve"> L’instrument d’appui technique</w:t>
      </w:r>
      <w:r>
        <w:rPr>
          <w:rStyle w:val="FootnoteReference"/>
          <w:rFonts w:cs="Times New Roman"/>
          <w:noProof/>
          <w:lang w:val="en-GB"/>
        </w:rPr>
        <w:footnoteReference w:id="25"/>
      </w:r>
      <w:r>
        <w:rPr>
          <w:noProof/>
        </w:rPr>
        <w:t xml:space="preserve"> peut fournir une assistance technique et financière pour aider les États membres à renforcer les capacités administratives nécessaires et à mener à bien les réformes requises. La «boîte à outils sur les permis de construire numériques pour les autorités publiques» de 2024 apporte un soutien pratique, encourage l’adoption des permis fondés sur la BIM et propose des </w:t>
      </w:r>
      <w:r w:rsidR="000D73C7">
        <w:rPr>
          <w:noProof/>
          <w:lang w:val="en-GB" w:eastAsia="en-GB"/>
        </w:rPr>
        <mc:AlternateContent>
          <mc:Choice Requires="wps">
            <w:drawing>
              <wp:anchor distT="45720" distB="45720" distL="114300" distR="114300" simplePos="0" relativeHeight="251658245" behindDoc="1" locked="0" layoutInCell="1" allowOverlap="1" wp14:anchorId="4BB89246" wp14:editId="1126E008">
                <wp:simplePos x="0" y="0"/>
                <wp:positionH relativeFrom="margin">
                  <wp:posOffset>47625</wp:posOffset>
                </wp:positionH>
                <wp:positionV relativeFrom="paragraph">
                  <wp:posOffset>1025525</wp:posOffset>
                </wp:positionV>
                <wp:extent cx="5943600" cy="1701165"/>
                <wp:effectExtent l="0" t="0" r="19050" b="13335"/>
                <wp:wrapTopAndBottom/>
                <wp:docPr id="1568851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1165"/>
                        </a:xfrm>
                        <a:prstGeom prst="rect">
                          <a:avLst/>
                        </a:prstGeom>
                        <a:solidFill>
                          <a:srgbClr val="FFFFFF"/>
                        </a:solidFill>
                        <a:ln w="9525">
                          <a:solidFill>
                            <a:srgbClr val="000000"/>
                          </a:solidFill>
                          <a:miter lim="800000"/>
                          <a:headEnd/>
                          <a:tailEnd/>
                        </a:ln>
                      </wps:spPr>
                      <wps:txbx>
                        <w:txbxContent>
                          <w:p w14:paraId="54D7CA94" w14:textId="77777777" w:rsidR="00985E08" w:rsidRDefault="00985E08" w:rsidP="00985E08">
                            <w:pPr>
                              <w:rPr>
                                <w:szCs w:val="24"/>
                              </w:rPr>
                            </w:pPr>
                            <w:r>
                              <w:rPr>
                                <w:b/>
                              </w:rPr>
                              <w:t>Mesure 1 – Simplifier et numériser les procédures d’octroi de permis</w:t>
                            </w:r>
                          </w:p>
                          <w:p w14:paraId="7583603C" w14:textId="2BAF9909" w:rsidR="00985E08" w:rsidRDefault="00985E08" w:rsidP="0025733B">
                            <w:pPr>
                              <w:spacing w:before="120" w:after="120" w:line="240" w:lineRule="auto"/>
                              <w:rPr>
                                <w:szCs w:val="24"/>
                              </w:rPr>
                            </w:pPr>
                            <w:r>
                              <w:t xml:space="preserve">– La Commission collaborera avec les États membres pour </w:t>
                            </w:r>
                            <w:r>
                              <w:rPr>
                                <w:b/>
                              </w:rPr>
                              <w:t>simplifier les procédures nationales, régionales et locales d’octroi de permis</w:t>
                            </w:r>
                            <w:r>
                              <w:t xml:space="preserve"> grâce à une cartographie exhaustive, qui pourrait alimenter le train de mesures sur la simplification du logement (2027) et l’acte législatif sur le logement abordable (T4 2026).</w:t>
                            </w:r>
                          </w:p>
                          <w:p w14:paraId="4C0FE125" w14:textId="44BB6702" w:rsidR="00985E08" w:rsidRDefault="00985E08" w:rsidP="0025733B">
                            <w:pPr>
                              <w:spacing w:before="120" w:after="120" w:line="240" w:lineRule="auto"/>
                              <w:rPr>
                                <w:szCs w:val="24"/>
                              </w:rPr>
                            </w:pPr>
                            <w:r>
                              <w:t xml:space="preserve">– La Commission continuera de </w:t>
                            </w:r>
                            <w:r>
                              <w:rPr>
                                <w:b/>
                              </w:rPr>
                              <w:t>soutenir les réformes des États membres et de mobiliser des instruments de financement</w:t>
                            </w:r>
                            <w:r>
                              <w:t xml:space="preserve"> (plans pour la reprise et la résilience, fonds de la politique de cohésion et Europe numérique).</w:t>
                            </w:r>
                          </w:p>
                          <w:p w14:paraId="183D3251" w14:textId="77777777" w:rsidR="00985E08" w:rsidRDefault="00985E08" w:rsidP="00985E08">
                            <w:pPr>
                              <w:spacing w:after="0" w:line="240" w:lineRule="auto"/>
                              <w:rPr>
                                <w:szCs w:val="24"/>
                              </w:rPr>
                            </w:pPr>
                          </w:p>
                          <w:p w14:paraId="7EC01A26" w14:textId="77777777" w:rsidR="00985E08" w:rsidRPr="00B411B5" w:rsidRDefault="00985E08" w:rsidP="00985E08">
                            <w:pPr>
                              <w:spacing w:after="0" w:line="240" w:lineRule="auto"/>
                              <w:rPr>
                                <w:szCs w:val="24"/>
                                <w:lang w:val="fr-BE"/>
                              </w:rPr>
                            </w:pPr>
                          </w:p>
                          <w:p w14:paraId="2AB82402" w14:textId="77777777" w:rsidR="00985E08" w:rsidRPr="00B411B5" w:rsidRDefault="00985E08" w:rsidP="00985E08">
                            <w:pPr>
                              <w:spacing w:after="0" w:line="240" w:lineRule="auto"/>
                              <w:rPr>
                                <w:b/>
                                <w:bCs/>
                                <w:lang w:val="fr-BE"/>
                              </w:rPr>
                            </w:pPr>
                          </w:p>
                          <w:p w14:paraId="754A3278" w14:textId="3B2F9E27" w:rsidR="00985E08" w:rsidRPr="00FB7A96" w:rsidRDefault="00985E08" w:rsidP="00985E08">
                            <w:pPr>
                              <w:spacing w:after="0" w:line="240" w:lineRule="auto"/>
                              <w:rPr>
                                <w:b/>
                                <w:bCs/>
                              </w:rPr>
                            </w:pPr>
                            <w:r>
                              <w:t>.ne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89246" id="_x0000_t202" coordsize="21600,21600" o:spt="202" path="m,l,21600r21600,l21600,xe">
                <v:stroke joinstyle="miter"/>
                <v:path gradientshapeok="t" o:connecttype="rect"/>
              </v:shapetype>
              <v:shape id="Text Box 2" o:spid="_x0000_s1026" type="#_x0000_t202" style="position:absolute;left:0;text-align:left;margin-left:3.75pt;margin-top:80.75pt;width:468pt;height:133.95pt;z-index:-25165823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">
                <v:textbox>
                  <w:txbxContent>
                    <w:p w14:paraId="54D7CA94" w14:textId="77777777" w:rsidR="00985E08" w:rsidRDefault="00985E08" w:rsidP="00985E08">
                      <w:pPr>
                        <w:rPr>
                          <w:szCs w:val="24"/>
                        </w:rPr>
                      </w:pPr>
                      <w:r>
                        <w:rPr>
                          <w:b/>
                        </w:rPr>
                        <w:t>Mesure 1 – Simplifier et numériser les procédures d’octroi de permis</w:t>
                      </w:r>
                    </w:p>
                    <w:p w14:paraId="7583603C" w14:textId="2BAF9909" w:rsidR="00985E08" w:rsidRDefault="00985E08" w:rsidP="0025733B">
                      <w:pPr>
                        <w:spacing w:before="120" w:after="120" w:line="240" w:lineRule="auto"/>
                        <w:rPr>
                          <w:szCs w:val="24"/>
                        </w:rPr>
                      </w:pPr>
                      <w:r>
                        <w:t xml:space="preserve">– La Commission collaborera avec les États membres pour </w:t>
                      </w:r>
                      <w:r>
                        <w:rPr>
                          <w:b/>
                        </w:rPr>
                        <w:t>simplifier les procédures nationales, régionales et locales d’octroi de permis</w:t>
                      </w:r>
                      <w:r>
                        <w:t xml:space="preserve"> grâce à une cartographie exhaustive, qui pourrait alimenter le train de mesures sur la simplification du logement (2027) et l’acte législatif sur le logement abordable (T4 2026).</w:t>
                      </w:r>
                    </w:p>
                    <w:p w14:paraId="4C0FE125" w14:textId="44BB6702" w:rsidR="00985E08" w:rsidRDefault="00985E08" w:rsidP="0025733B">
                      <w:pPr>
                        <w:spacing w:before="120" w:after="120" w:line="240" w:lineRule="auto"/>
                        <w:rPr>
                          <w:szCs w:val="24"/>
                        </w:rPr>
                      </w:pPr>
                      <w:r>
                        <w:t xml:space="preserve">– La Commission continuera de </w:t>
                      </w:r>
                      <w:r>
                        <w:rPr>
                          <w:b/>
                        </w:rPr>
                        <w:t>soutenir les réformes des États membres et de mobiliser des instruments de financement</w:t>
                      </w:r>
                      <w:r>
                        <w:t xml:space="preserve"> (plans pour la reprise et la résilience, fonds de la politique de cohésion et Europe numérique).</w:t>
                      </w:r>
                    </w:p>
                    <w:p w14:paraId="183D3251" w14:textId="77777777" w:rsidR="00985E08" w:rsidRDefault="00985E08" w:rsidP="00985E08">
                      <w:pPr>
                        <w:spacing w:after="0" w:line="240" w:lineRule="auto"/>
                        <w:rPr>
                          <w:szCs w:val="24"/>
                        </w:rPr>
                      </w:pPr>
                    </w:p>
                    <w:p w14:paraId="7EC01A26" w14:textId="77777777" w:rsidR="00985E08" w:rsidRPr="00B411B5" w:rsidRDefault="00985E08" w:rsidP="00985E08">
                      <w:pPr>
                        <w:spacing w:after="0" w:line="240" w:lineRule="auto"/>
                        <w:rPr>
                          <w:szCs w:val="24"/>
                          <w:lang w:val="fr-BE"/>
                        </w:rPr>
                      </w:pPr>
                    </w:p>
                    <w:p w14:paraId="2AB82402" w14:textId="77777777" w:rsidR="00985E08" w:rsidRPr="00B411B5" w:rsidRDefault="00985E08" w:rsidP="00985E08">
                      <w:pPr>
                        <w:spacing w:after="0" w:line="240" w:lineRule="auto"/>
                        <w:rPr>
                          <w:b/>
                          <w:bCs/>
                          <w:lang w:val="fr-BE"/>
                        </w:rPr>
                      </w:pPr>
                    </w:p>
                    <w:p w14:paraId="754A3278" w14:textId="3B2F9E27" w:rsidR="00985E08" w:rsidRPr="00FB7A96" w:rsidRDefault="00985E08" w:rsidP="00985E08">
                      <w:pPr>
                        <w:spacing w:after="0" w:line="240" w:lineRule="auto"/>
                        <w:rPr>
                          <w:b/>
                          <w:bCs/>
                        </w:rPr>
                      </w:pPr>
                      <w:r>
                        <w:t>.ne</w:t>
                      </w:r>
                    </w:p>
                  </w:txbxContent>
                </v:textbox>
                <w10:wrap type="topAndBottom" anchorx="margin"/>
              </v:shape>
            </w:pict>
          </mc:Fallback>
        </mc:AlternateContent>
      </w:r>
      <w:r>
        <w:rPr>
          <w:noProof/>
        </w:rPr>
        <w:t>outils concrets aux administrations locales.</w:t>
      </w:r>
    </w:p>
    <w:p w14:paraId="604EAE16" w14:textId="4F367FAC" w:rsidR="00091140" w:rsidRDefault="00091140" w:rsidP="4C04BFAB">
      <w:pPr>
        <w:spacing w:after="240" w:line="240" w:lineRule="auto"/>
        <w:rPr>
          <w:rFonts w:cs="Times New Roman"/>
          <w:noProof/>
        </w:rPr>
      </w:pPr>
    </w:p>
    <w:p w14:paraId="460E3714" w14:textId="3E625BAB" w:rsidR="00A837CC" w:rsidRPr="00985305" w:rsidRDefault="7E8D9BB4" w:rsidP="0068059D">
      <w:pPr>
        <w:pStyle w:val="Heading2"/>
        <w:rPr>
          <w:noProof/>
        </w:rPr>
      </w:pPr>
      <w:bookmarkStart w:id="5" w:name="_Toc213663457"/>
      <w:r>
        <w:rPr>
          <w:noProof/>
        </w:rPr>
        <w:t>Stimuler la numérisation dans l’écosystème de la construction</w:t>
      </w:r>
      <w:bookmarkEnd w:id="5"/>
    </w:p>
    <w:p w14:paraId="0A842C45" w14:textId="07FA9D34" w:rsidR="003977E3" w:rsidRDefault="00DC4CFA" w:rsidP="00CE192C">
      <w:pPr>
        <w:spacing w:before="240" w:after="120" w:line="240" w:lineRule="auto"/>
        <w:rPr>
          <w:b/>
          <w:bCs/>
          <w:noProof/>
        </w:rPr>
      </w:pPr>
      <w:r>
        <w:rPr>
          <w:b/>
          <w:noProof/>
        </w:rPr>
        <w:t>La simplification de l’écosystème de la construction doit passer par la numérisation, afin d’accroître la prévisibilité et la rapidité pour tous les acteurs concernés</w:t>
      </w:r>
      <w:r>
        <w:rPr>
          <w:noProof/>
        </w:rPr>
        <w:t>. La Commission européenne est déterminée à continuer de soutenir l’adoption accrue des technologies numériques dans l’écosystème de la construction.</w:t>
      </w:r>
      <w:r>
        <w:rPr>
          <w:b/>
          <w:noProof/>
        </w:rPr>
        <w:t xml:space="preserve"> </w:t>
      </w:r>
    </w:p>
    <w:p w14:paraId="2CD0ADAF" w14:textId="5EF483B1" w:rsidR="003977E3" w:rsidRDefault="005025CB" w:rsidP="003977E3">
      <w:pPr>
        <w:spacing w:after="120" w:line="240" w:lineRule="auto"/>
        <w:rPr>
          <w:noProof/>
        </w:rPr>
      </w:pPr>
      <w:r>
        <w:rPr>
          <w:b/>
          <w:noProof/>
        </w:rPr>
        <w:t>Bien que de nombreux outils numériques existent déjà et que d’autres soient en cours de développement, leur interopérabilité n’est toujours pas optimale</w:t>
      </w:r>
      <w:r>
        <w:rPr>
          <w:noProof/>
        </w:rPr>
        <w:t xml:space="preserve">. L’amélioration de l’interopérabilité permettra de réaliser d’importants gains d’efficacité. Elle facilitera la mise en place de systèmes de données uniques et l’échange d’informations tout au long du cycle de vie des projets de construction, depuis la phase de conception jusqu’aux procédures d’octroi de permis, en passant par la phase d’installation sur site, la phase d’utilisation et la fin de vie. Cette interopérabilité améliore non seulement l’efficacité des procédures d’octroi de permis, mais elle permet également une application plus cohérente des règles, soutient les objectifs d’efficacité énergétique et favorise la circularité. La réutilisation de données validées dans différents systèmes réduit la charge administrative pour les architectes, les ingénieurs et les développeurs. Dans le même temps, les autorités seront en mesure de contrôler plus efficacement le respect des exigences en matière de sécurité, d’accessibilité, d’efficacité énergétique, de résilience dans le domaine de l’eau et de durabilité. </w:t>
      </w:r>
    </w:p>
    <w:p w14:paraId="04B8BBBB" w14:textId="3A58D378" w:rsidR="00CC721F" w:rsidRDefault="00486D31" w:rsidP="008F774B">
      <w:pPr>
        <w:spacing w:after="120" w:line="240" w:lineRule="auto"/>
        <w:rPr>
          <w:noProof/>
        </w:rPr>
      </w:pPr>
      <w:r>
        <w:rPr>
          <w:noProof/>
        </w:rPr>
        <w:t xml:space="preserve">Le </w:t>
      </w:r>
      <w:r>
        <w:rPr>
          <w:b/>
          <w:noProof/>
        </w:rPr>
        <w:t>nouveau règlement sur les produits de construction</w:t>
      </w:r>
      <w:r>
        <w:rPr>
          <w:noProof/>
        </w:rPr>
        <w:t xml:space="preserve"> est une pierre angulaire du soutien à l’augmentation des flux de données numériques dans le secteur de la construction. Le règlement sur les produits de construction exige que toutes les informations relatives aux produits de construction (y compris les informations techniques, les performances en matière d’incendie, les informations relatives à la sécurité, les incidences sur l’environnement et d’autres informations pertinentes) soient fournies dans une déclaration de performance et de conformité numérique interopérable. </w:t>
      </w:r>
    </w:p>
    <w:p w14:paraId="72AD75BD" w14:textId="7B8A3654" w:rsidR="00D67792" w:rsidRDefault="00BE5CD3" w:rsidP="008F774B">
      <w:pPr>
        <w:spacing w:after="120" w:line="240" w:lineRule="auto"/>
        <w:rPr>
          <w:noProof/>
        </w:rPr>
      </w:pPr>
      <w:r>
        <w:rPr>
          <w:noProof/>
        </w:rPr>
        <w:t xml:space="preserve">Le </w:t>
      </w:r>
      <w:r>
        <w:rPr>
          <w:b/>
          <w:noProof/>
        </w:rPr>
        <w:t>passeport numérique des produits</w:t>
      </w:r>
      <w:r>
        <w:rPr>
          <w:noProof/>
        </w:rPr>
        <w:t>, qui deviendra obligatoire en vertu du nouveau règlement sur les produits de construction à partir de 2028</w:t>
      </w:r>
      <w:r>
        <w:rPr>
          <w:rStyle w:val="FootnoteReference"/>
          <w:rFonts w:cs="Times New Roman"/>
          <w:noProof/>
        </w:rPr>
        <w:footnoteReference w:id="26"/>
      </w:r>
      <w:r>
        <w:rPr>
          <w:noProof/>
        </w:rPr>
        <w:t>, permettra d’utiliser ces informations pour différentes applications telles que la conception des bâtiments, la surveillance du marché ou les carnets numériques des bâtiments pour des rénovations ultérieures. En remplaçant les documents papier, les bases de données nationales et la documentation éparse au format PDF par un système numérique unifié à l’échelle de l’Union, le passeport numérique des produits rendra les données fiables et vérifiées sur les produits accessibles à toutes les parties prenantes sous une forme lisible par machine. À ce titre, il simplifiera les procédures, réduira les coûts administratifs et renforcera la transparence</w:t>
      </w:r>
      <w:r>
        <w:rPr>
          <w:rStyle w:val="FootnoteReference"/>
          <w:noProof/>
          <w:lang w:val="en-GB"/>
        </w:rPr>
        <w:footnoteReference w:id="27"/>
      </w:r>
      <w:r>
        <w:rPr>
          <w:noProof/>
        </w:rPr>
        <w:t>. Le passeport numérique des produits permettra aux concepteurs, aux entrepreneurs et aux pouvoirs publics de trouver des informations comparables sur la performance technique et environnementale des produits. Le passeport numérique des produits renforcera la circularité dans le secteur de la construction, car il sera plus facile de partager des informations sur la réutilisabilité et la recyclabilité des matériaux dans les audits de pré-démolition. Une meilleure diffusion des informations relatives à l’empreinte carbone des matériaux de construction favorisera le développement de marchés pilotes pour les produits de construction à faible intensité carbone, y compris les produits biosourcés.</w:t>
      </w:r>
    </w:p>
    <w:p w14:paraId="7A833AE7" w14:textId="76583FE4" w:rsidR="3B74EB41" w:rsidRDefault="44C0AB38" w:rsidP="18927507">
      <w:pPr>
        <w:spacing w:after="120" w:line="240" w:lineRule="auto"/>
        <w:rPr>
          <w:noProof/>
        </w:rPr>
      </w:pPr>
      <w:r>
        <w:rPr>
          <w:noProof/>
        </w:rPr>
        <w:t xml:space="preserve">En complément du passeport numérique des produits, et sur la base des bonnes pratiques et des matériaux recueillis, la Commission encouragera un déploiement harmonisé des </w:t>
      </w:r>
      <w:r>
        <w:rPr>
          <w:b/>
          <w:noProof/>
        </w:rPr>
        <w:t>carnets numériques des bâtiments</w:t>
      </w:r>
      <w:r>
        <w:rPr>
          <w:rStyle w:val="FootnoteReference"/>
          <w:rFonts w:cs="Times New Roman"/>
          <w:noProof/>
        </w:rPr>
        <w:footnoteReference w:id="28"/>
      </w:r>
      <w:r>
        <w:rPr>
          <w:noProof/>
        </w:rPr>
        <w:t xml:space="preserve"> dans l’Union. Les carnets numériques des bâtiments sont susceptibles de devenir une source unique d’informations sur les bâtiments, de la conception et de la construction à la rénovation et à la démolition, ce qui permettra d’améliorer la prise de décision à chaque étape de leur cycle de vie. Afin de concrétiser la mise en place d’un écosystème numérique interconnecté, la Commission travaillera à un </w:t>
      </w:r>
      <w:r>
        <w:rPr>
          <w:b/>
          <w:noProof/>
        </w:rPr>
        <w:t>mandat de normalisation</w:t>
      </w:r>
      <w:r>
        <w:rPr>
          <w:noProof/>
        </w:rPr>
        <w:t xml:space="preserve"> d’une </w:t>
      </w:r>
      <w:r>
        <w:rPr>
          <w:b/>
          <w:noProof/>
        </w:rPr>
        <w:t>norme relative aux carnets numériques des bâtiments</w:t>
      </w:r>
      <w:r>
        <w:rPr>
          <w:noProof/>
        </w:rPr>
        <w:t>. En outre, la Commission</w:t>
      </w:r>
      <w:r>
        <w:rPr>
          <w:b/>
          <w:noProof/>
        </w:rPr>
        <w:t xml:space="preserve"> promouvra un mécanisme d’échange et d’agrégation de données</w:t>
      </w:r>
      <w:r>
        <w:rPr>
          <w:noProof/>
        </w:rPr>
        <w:t xml:space="preserve"> entre les carnets numériques des bâtiments afin de faciliter davantage l’utilisation rationnelle de l’énergie et de l’eau, la construction circulaire et la rénovation.</w:t>
      </w:r>
    </w:p>
    <w:p w14:paraId="48919DE1" w14:textId="32981380" w:rsidR="00DF627D" w:rsidRDefault="00DF627D" w:rsidP="18927507">
      <w:pPr>
        <w:spacing w:after="120" w:line="240" w:lineRule="auto"/>
        <w:rPr>
          <w:noProof/>
        </w:rPr>
      </w:pPr>
      <w:r>
        <w:rPr>
          <w:noProof/>
        </w:rPr>
        <w:t>L’objectif ultime est de connecter pleinement les outils numériques tels que le passeport numérique des produits pour les produits de construction, les carnets numériques des bâtiments, les systèmes d’octroi de permis numériques et les audits de pré-démolition afin de garantir une interopérabilité totale et de libérer tous les avantages potentiels de la numérisation dans l’écosystème de la construction. À l’avenir, les entreprises actives dans l’écosystème de la construction bénéficieraient également des fonctionnalités offertes par le portefeuille d’entreprises pour faciliter et accélérer davantage leurs activités, par exemple en l’utilisant en synergie avec le passeport numérique des produits pour des formulaires et des permis afin de permettre des procédures interopérables sans discontinuité au sein du marché unique. Cet objectif doit être atteint dans le plein respect des règles relatives à la protection des données et en tenant compte de normes élevées en matière de cybersécurité.</w:t>
      </w:r>
    </w:p>
    <w:p w14:paraId="154B98A7" w14:textId="6E9604D9" w:rsidR="003977E3" w:rsidRPr="008F774B" w:rsidRDefault="003977E3" w:rsidP="003977E3">
      <w:pPr>
        <w:spacing w:after="120" w:line="240" w:lineRule="auto"/>
        <w:rPr>
          <w:noProof/>
        </w:rPr>
      </w:pPr>
      <w:r>
        <w:rPr>
          <w:noProof/>
        </w:rPr>
        <w:t xml:space="preserve">Afin d’accélérer la transition numérique du secteur, la Commission promeut une approche fondée sur la </w:t>
      </w:r>
      <w:r>
        <w:rPr>
          <w:i/>
          <w:noProof/>
        </w:rPr>
        <w:t>primauté de l’IA</w:t>
      </w:r>
      <w:r>
        <w:rPr>
          <w:noProof/>
        </w:rPr>
        <w:t xml:space="preserve"> dans le cadre de la </w:t>
      </w:r>
      <w:r>
        <w:rPr>
          <w:b/>
          <w:noProof/>
        </w:rPr>
        <w:t>stratégie pour l’application de l’IA</w:t>
      </w:r>
      <w:r>
        <w:rPr>
          <w:rStyle w:val="FootnoteReference"/>
          <w:b/>
          <w:bCs/>
          <w:noProof/>
          <w:lang w:val="en-GB"/>
        </w:rPr>
        <w:footnoteReference w:id="29"/>
      </w:r>
      <w:r>
        <w:rPr>
          <w:noProof/>
        </w:rPr>
        <w:t>. Cette approche encourage l’adoption de technologies d’IA dans les domaines de la fabrication, de l’ingénierie et de la construction afin d’améliorer les processus de conception, de planification de la construction et de fin de vie. Parmi les principales applications prioritaires figurent les modèles BIM générés par l’IA pour les bâtiments existants, le contrôle automatisé de la conformité pour les permis de construire et l’optimisation de la planification et de la conception des sites assistés par l’IA.</w:t>
      </w:r>
    </w:p>
    <w:p w14:paraId="102C0853" w14:textId="1C8729E0" w:rsidR="003977E3" w:rsidRDefault="003977E3" w:rsidP="003977E3">
      <w:pPr>
        <w:spacing w:after="120" w:line="240" w:lineRule="auto"/>
        <w:rPr>
          <w:noProof/>
        </w:rPr>
      </w:pPr>
      <w:r>
        <w:rPr>
          <w:noProof/>
        </w:rPr>
        <w:t xml:space="preserve">En outre, la Commission continue de travailler en étroite collaboration avec le </w:t>
      </w:r>
      <w:r>
        <w:rPr>
          <w:b/>
          <w:noProof/>
        </w:rPr>
        <w:t>groupe de travail BIM de l’Union européenne</w:t>
      </w:r>
      <w:r>
        <w:rPr>
          <w:noProof/>
        </w:rPr>
        <w:t xml:space="preserve"> et la communauté «BIM and Public Procurement» (BIM et marchés publics) dans le cadre de l’initiative «Public Buyers» (Acheteurs publics)</w:t>
      </w:r>
      <w:r>
        <w:rPr>
          <w:rStyle w:val="FootnoteReference"/>
          <w:rFonts w:cs="Times New Roman"/>
          <w:noProof/>
        </w:rPr>
        <w:footnoteReference w:id="30"/>
      </w:r>
      <w:r>
        <w:rPr>
          <w:noProof/>
        </w:rPr>
        <w:t>. Ces collaborations visent à accroître l’utilisation de la BIM par les autorités publiques, étant donné qu’elles jouent un rôle clé dans la définition de normes numériques au moyen de pratiques de passation de marchés et d’octroi de permis.</w:t>
      </w:r>
    </w:p>
    <w:p w14:paraId="0A9748C1" w14:textId="13F45A40" w:rsidR="007809E4" w:rsidRDefault="00C21084" w:rsidP="7D6FF398">
      <w:pPr>
        <w:spacing w:after="120" w:line="240" w:lineRule="auto"/>
        <w:rPr>
          <w:noProof/>
        </w:rPr>
      </w:pPr>
      <w:r>
        <w:rPr>
          <w:noProof/>
          <w:lang w:val="en-GB" w:eastAsia="en-GB"/>
        </w:rPr>
        <mc:AlternateContent>
          <mc:Choice Requires="wps">
            <w:drawing>
              <wp:anchor distT="45720" distB="45720" distL="114300" distR="114300" simplePos="0" relativeHeight="251658243" behindDoc="0" locked="0" layoutInCell="1" allowOverlap="1" wp14:anchorId="62BE0D00" wp14:editId="043FD96F">
                <wp:simplePos x="0" y="0"/>
                <wp:positionH relativeFrom="margin">
                  <wp:posOffset>-16510</wp:posOffset>
                </wp:positionH>
                <wp:positionV relativeFrom="paragraph">
                  <wp:posOffset>1202690</wp:posOffset>
                </wp:positionV>
                <wp:extent cx="5940425" cy="1772920"/>
                <wp:effectExtent l="0" t="0" r="22225" b="17780"/>
                <wp:wrapSquare wrapText="bothSides"/>
                <wp:docPr id="1268196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1772920"/>
                        </a:xfrm>
                        <a:prstGeom prst="rect">
                          <a:avLst/>
                        </a:prstGeom>
                        <a:solidFill>
                          <a:srgbClr val="FFFFFF"/>
                        </a:solidFill>
                        <a:ln w="9525">
                          <a:solidFill>
                            <a:srgbClr val="000000"/>
                          </a:solidFill>
                          <a:miter lim="800000"/>
                          <a:headEnd/>
                          <a:tailEnd/>
                        </a:ln>
                      </wps:spPr>
                      <wps:txbx>
                        <w:txbxContent>
                          <w:p w14:paraId="6945DC5A" w14:textId="16FEBD36" w:rsidR="00A837CC" w:rsidRDefault="00A837CC" w:rsidP="00A837CC">
                            <w:pPr>
                              <w:rPr>
                                <w:szCs w:val="24"/>
                              </w:rPr>
                            </w:pPr>
                            <w:r>
                              <w:rPr>
                                <w:b/>
                              </w:rPr>
                              <w:t>Mesure 2 – Vers une numérisation complète du marché unique de la construction</w:t>
                            </w:r>
                          </w:p>
                          <w:p w14:paraId="4028E07D" w14:textId="0A329528" w:rsidR="00A837CC" w:rsidRPr="00BF1169" w:rsidRDefault="00A837CC" w:rsidP="00274919">
                            <w:pPr>
                              <w:spacing w:before="120" w:after="120" w:line="240" w:lineRule="auto"/>
                            </w:pPr>
                            <w:r>
                              <w:t xml:space="preserve">– L’application obligatoire du passeport numérique des produits à partir de 2028 </w:t>
                            </w:r>
                            <w:r>
                              <w:rPr>
                                <w:b/>
                              </w:rPr>
                              <w:t>rendra les données relatives aux produits de construction facilement accessibles</w:t>
                            </w:r>
                            <w:r>
                              <w:t xml:space="preserve"> à toutes les parties prenantes et applications.  </w:t>
                            </w:r>
                          </w:p>
                          <w:p w14:paraId="7B38E85C" w14:textId="318DDC5E" w:rsidR="00A837CC" w:rsidRPr="00BF1169" w:rsidRDefault="00A837CC" w:rsidP="00274919">
                            <w:pPr>
                              <w:spacing w:before="120" w:after="120" w:line="240" w:lineRule="auto"/>
                            </w:pPr>
                            <w:bookmarkStart w:id="6" w:name="_Hlk215148227"/>
                            <w:r>
                              <w:t xml:space="preserve">– La nouvelle étape de la numérisation sera le </w:t>
                            </w:r>
                            <w:r>
                              <w:rPr>
                                <w:b/>
                              </w:rPr>
                              <w:t>déploiement d’un système harmonisé pour les carnets numériques des bâtiments, avec un mandat de normalisation</w:t>
                            </w:r>
                            <w:r>
                              <w:t xml:space="preserve"> comme première phase (au T1 2026, l’objectif étant de disposer d’une norme harmonisée en matière de carnets numériques des bâtiments d’ici à la fin 2028). </w:t>
                            </w:r>
                          </w:p>
                          <w:bookmarkEnd w:id="6"/>
                          <w:p w14:paraId="5137002A" w14:textId="77777777" w:rsidR="00A837CC" w:rsidRPr="00B411B5" w:rsidRDefault="00A837CC" w:rsidP="00A837CC">
                            <w:pPr>
                              <w:spacing w:after="0" w:line="240" w:lineRule="auto"/>
                              <w:rPr>
                                <w:szCs w:val="24"/>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E0D00" id="_x0000_s1027" type="#_x0000_t202" style="position:absolute;left:0;text-align:left;margin-left:-1.3pt;margin-top:94.7pt;width:467.75pt;height:139.6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">
                <v:textbox>
                  <w:txbxContent>
                    <w:p w14:paraId="6945DC5A" w14:textId="16FEBD36" w:rsidR="00A837CC" w:rsidRDefault="00A837CC" w:rsidP="00A837CC">
                      <w:pPr>
                        <w:rPr>
                          <w:szCs w:val="24"/>
                        </w:rPr>
                      </w:pPr>
                      <w:r>
                        <w:rPr>
                          <w:b/>
                        </w:rPr>
                        <w:t>Mesure 2 – Vers une numérisation complète du marché unique de la construction</w:t>
                      </w:r>
                    </w:p>
                    <w:p w14:paraId="4028E07D" w14:textId="0A329528" w:rsidR="00A837CC" w:rsidRPr="00BF1169" w:rsidRDefault="00A837CC" w:rsidP="00274919">
                      <w:pPr>
                        <w:spacing w:before="120" w:after="120" w:line="240" w:lineRule="auto"/>
                      </w:pPr>
                      <w:r>
                        <w:t xml:space="preserve">– L’application obligatoire du passeport numérique des produits à partir de 2028 </w:t>
                      </w:r>
                      <w:r>
                        <w:rPr>
                          <w:b/>
                        </w:rPr>
                        <w:t>rendra les données relatives aux produits de construction facilement accessibles</w:t>
                      </w:r>
                      <w:r>
                        <w:t xml:space="preserve"> à toutes les parties prenantes et applications.  </w:t>
                      </w:r>
                    </w:p>
                    <w:p w14:paraId="7B38E85C" w14:textId="318DDC5E" w:rsidR="00A837CC" w:rsidRPr="00BF1169" w:rsidRDefault="00A837CC" w:rsidP="00274919">
                      <w:pPr>
                        <w:spacing w:before="120" w:after="120" w:line="240" w:lineRule="auto"/>
                      </w:pPr>
                      <w:bookmarkStart w:id="7" w:name="_Hlk215148227"/>
                      <w:r>
                        <w:t xml:space="preserve">– La nouvelle étape de la numérisation sera le </w:t>
                      </w:r>
                      <w:r>
                        <w:rPr>
                          <w:b/>
                        </w:rPr>
                        <w:t>déploiement d’un système harmonisé pour les carnets numériques des bâtiments, avec un mandat de normalisation</w:t>
                      </w:r>
                      <w:r>
                        <w:t xml:space="preserve"> comme première phase (au T1 2026, l’objectif étant de disposer d’une norme harmonisée en matière de carnets numériques des bâtiments d’ici à la fin 2028). </w:t>
                      </w:r>
                    </w:p>
                    <w:bookmarkEnd w:id="7"/>
                    <w:p w14:paraId="5137002A" w14:textId="77777777" w:rsidR="00A837CC" w:rsidRPr="00B411B5" w:rsidRDefault="00A837CC" w:rsidP="00A837CC">
                      <w:pPr>
                        <w:spacing w:after="0" w:line="240" w:lineRule="auto"/>
                        <w:rPr>
                          <w:szCs w:val="24"/>
                          <w:lang w:val="fr-BE"/>
                        </w:rPr>
                      </w:pPr>
                    </w:p>
                  </w:txbxContent>
                </v:textbox>
                <w10:wrap type="square" anchorx="margin"/>
              </v:shape>
            </w:pict>
          </mc:Fallback>
        </mc:AlternateContent>
      </w:r>
      <w:r>
        <w:rPr>
          <w:noProof/>
        </w:rPr>
        <w:t>La Commission invite les États membres et les parties prenantes à faire un usage optimal des multiples instruments de financement</w:t>
      </w:r>
      <w:r>
        <w:rPr>
          <w:rStyle w:val="FootnoteReference"/>
          <w:noProof/>
          <w:lang w:val="en-GB"/>
        </w:rPr>
        <w:footnoteReference w:id="31"/>
      </w:r>
      <w:r>
        <w:rPr>
          <w:noProof/>
        </w:rPr>
        <w:t xml:space="preserve"> disponibles à l’appui des réformes numériques dans le secteur de la construction, tels que la création de systèmes numériques de permis de construire, la modernisation des infrastructures de données du secteur public, le déploiement d’espaces de données et d’outils d’IA qui peuvent étayer le contrôle automatisé de la conformité et les jumeaux numériques pour les bâtiments, tous contribuant à un écosystème de construction plus efficace, davantage fondé sur les données et plus durable.</w:t>
      </w:r>
    </w:p>
    <w:p w14:paraId="0A7AF337" w14:textId="74452EF0" w:rsidR="0E85460B" w:rsidRDefault="00395892" w:rsidP="2C96E0DE">
      <w:pPr>
        <w:pStyle w:val="Heading1"/>
        <w:rPr>
          <w:rStyle w:val="Heading1Char"/>
          <w:noProof/>
          <w:sz w:val="36"/>
          <w:szCs w:val="36"/>
        </w:rPr>
      </w:pPr>
      <w:bookmarkStart w:id="8" w:name="_Toc213663458"/>
      <w:r>
        <w:rPr>
          <w:rStyle w:val="Heading1Char"/>
          <w:noProof/>
          <w:sz w:val="36"/>
        </w:rPr>
        <w:t>Accélérer l’innovation et moderniser le marché de la construction</w:t>
      </w:r>
      <w:bookmarkEnd w:id="8"/>
    </w:p>
    <w:p w14:paraId="21DB9157" w14:textId="65748D07" w:rsidR="00901F8B" w:rsidRPr="00901F8B" w:rsidRDefault="1C0C19E0" w:rsidP="00274919">
      <w:pPr>
        <w:spacing w:before="240" w:after="120" w:line="240" w:lineRule="auto"/>
        <w:rPr>
          <w:rFonts w:eastAsiaTheme="minorEastAsia" w:cs="Times New Roman"/>
          <w:noProof/>
        </w:rPr>
      </w:pPr>
      <w:r>
        <w:rPr>
          <w:noProof/>
        </w:rPr>
        <w:t>Selon l’enquête de la Banque européenne d’investissement (BEI) de 2024 sur l’investissement</w:t>
      </w:r>
      <w:r>
        <w:rPr>
          <w:rStyle w:val="FootnoteReference"/>
          <w:rFonts w:eastAsiaTheme="minorEastAsia" w:cs="Times New Roman"/>
          <w:noProof/>
        </w:rPr>
        <w:footnoteReference w:id="32"/>
      </w:r>
      <w:r>
        <w:rPr>
          <w:noProof/>
        </w:rPr>
        <w:t xml:space="preserve">, seules 24 % des entreprises de construction ont déclaré introduire de nouveaux produits, procédés ou services en 2023, ce qui est nettement inférieur à la moyenne de l’Union de 32 % pour les autres secteurs. Le secteur </w:t>
      </w:r>
      <w:r>
        <w:rPr>
          <w:b/>
          <w:noProof/>
        </w:rPr>
        <w:t>occupe également la dernière place parmi les 14 écosystèmes industriels de l’Union</w:t>
      </w:r>
      <w:r>
        <w:rPr>
          <w:noProof/>
        </w:rPr>
        <w:t xml:space="preserve"> en ce qui concerne les investissements récents et prévus à long terme dans la transformation numérique</w:t>
      </w:r>
      <w:r>
        <w:rPr>
          <w:rStyle w:val="FootnoteReference"/>
          <w:rFonts w:eastAsiaTheme="minorEastAsia" w:cs="Times New Roman"/>
          <w:noProof/>
        </w:rPr>
        <w:footnoteReference w:id="33"/>
      </w:r>
      <w:r>
        <w:rPr>
          <w:noProof/>
        </w:rPr>
        <w:t>. La part élevée de PME dans l’écosystème de la construction de l’Union est un facteur, étant donné que les PME sont généralement confrontées à davantage de contraintes sur le plan du capital financier et humain pour faire avancer la transformation numérique</w:t>
      </w:r>
      <w:r>
        <w:rPr>
          <w:rStyle w:val="FootnoteReference"/>
          <w:rFonts w:eastAsiaTheme="minorEastAsia" w:cs="Times New Roman"/>
          <w:noProof/>
        </w:rPr>
        <w:footnoteReference w:id="34"/>
      </w:r>
      <w:r>
        <w:rPr>
          <w:noProof/>
        </w:rPr>
        <w:t>.</w:t>
      </w:r>
    </w:p>
    <w:p w14:paraId="38BDED1F" w14:textId="422905DE" w:rsidR="00025070" w:rsidRDefault="00901F8B" w:rsidP="140909F9">
      <w:pPr>
        <w:spacing w:after="120" w:line="240" w:lineRule="auto"/>
        <w:rPr>
          <w:rFonts w:eastAsiaTheme="minorEastAsia" w:cs="Times New Roman"/>
          <w:noProof/>
        </w:rPr>
      </w:pPr>
      <w:r>
        <w:rPr>
          <w:noProof/>
        </w:rPr>
        <w:t xml:space="preserve">Ce </w:t>
      </w:r>
      <w:r>
        <w:rPr>
          <w:b/>
          <w:noProof/>
        </w:rPr>
        <w:t>déficit d’innovation</w:t>
      </w:r>
      <w:r>
        <w:rPr>
          <w:noProof/>
        </w:rPr>
        <w:t xml:space="preserve"> freine la productivité et limite la capacité du secteur à répondre aux besoins croissants en matière de logement ainsi qu’aux objectifs climatiques et énergétiques. En l’absence d’un écosystème d’innovation plus solide, l’Union risque de perdre du terrain par rapport à ses concurrents mondiaux dans des domaines tels que la construction modulaire, les matériaux à faibles émissions de carbone (y compris les matériaux biosourcés, réutilisés et recyclés) et les technologies de construction intelligentes.</w:t>
      </w:r>
    </w:p>
    <w:p w14:paraId="22D540E1" w14:textId="77777777" w:rsidR="009523ED" w:rsidRPr="00395892" w:rsidRDefault="009523ED" w:rsidP="140909F9">
      <w:pPr>
        <w:spacing w:after="120" w:line="240" w:lineRule="auto"/>
        <w:rPr>
          <w:rFonts w:eastAsiaTheme="minorEastAsia" w:cs="Times New Roman"/>
          <w:noProof/>
        </w:rPr>
      </w:pPr>
    </w:p>
    <w:p w14:paraId="426896AC" w14:textId="63CDE9D8" w:rsidR="00025070" w:rsidRPr="00025070" w:rsidRDefault="00025070" w:rsidP="00025070">
      <w:pPr>
        <w:spacing w:after="120" w:line="240" w:lineRule="auto"/>
        <w:rPr>
          <w:rFonts w:eastAsiaTheme="minorEastAsia" w:cs="Times New Roman"/>
          <w:i/>
          <w:iCs/>
          <w:noProof/>
        </w:rPr>
      </w:pPr>
      <w:r>
        <w:rPr>
          <w:i/>
          <w:noProof/>
        </w:rPr>
        <w:t>Exploiter le potentiel de l’offre: nécessité d’intensifier l’innovation industrielle et numérique</w:t>
      </w:r>
    </w:p>
    <w:p w14:paraId="107880BF" w14:textId="2AC924AE" w:rsidR="00025070" w:rsidRPr="00025070" w:rsidRDefault="00025070" w:rsidP="00025070">
      <w:pPr>
        <w:spacing w:after="120" w:line="240" w:lineRule="auto"/>
        <w:rPr>
          <w:rFonts w:eastAsiaTheme="minorEastAsia" w:cs="Times New Roman"/>
          <w:noProof/>
        </w:rPr>
      </w:pPr>
      <w:r>
        <w:rPr>
          <w:noProof/>
        </w:rPr>
        <w:t>Stimuler l’adoption de technologies de pointe dans le secteur de la construction peut considérablement améliorer la vitesse, le rapport coût-efficacité et la durabilité. Parmi les principales innovations figurent la construction automatisée et robotique, l’impression 3D, la construction hors site et modulaire, les matériaux à faibles émissions de carbone (y compris les matériaux biosourcés) et les applications d’IA pour la conception, la gestion de projets et l’exploitation des installations, dont beaucoup émergent des entreprises en expansion et des PME dans le secteur numérique.</w:t>
      </w:r>
    </w:p>
    <w:p w14:paraId="03CEF38D" w14:textId="2036FA68" w:rsidR="00025070" w:rsidRPr="00025070" w:rsidRDefault="0B6D9D39" w:rsidP="140909F9">
      <w:pPr>
        <w:spacing w:after="120" w:line="240" w:lineRule="auto"/>
        <w:rPr>
          <w:rFonts w:eastAsiaTheme="minorEastAsia" w:cs="Times New Roman"/>
          <w:noProof/>
        </w:rPr>
      </w:pPr>
      <w:r>
        <w:rPr>
          <w:noProof/>
        </w:rPr>
        <w:t xml:space="preserve">Parmi celles-ci, les </w:t>
      </w:r>
      <w:r>
        <w:rPr>
          <w:b/>
          <w:noProof/>
        </w:rPr>
        <w:t>solutions de construction et de rénovation modulaires et hors site</w:t>
      </w:r>
      <w:r>
        <w:rPr>
          <w:noProof/>
        </w:rPr>
        <w:t xml:space="preserve"> offrent le potentiel le plus évident pour augmenter rapidement l’offre de logements</w:t>
      </w:r>
      <w:r>
        <w:rPr>
          <w:rStyle w:val="FootnoteReference"/>
          <w:rFonts w:cs="Times New Roman"/>
          <w:noProof/>
          <w:lang w:val="en-GB"/>
        </w:rPr>
        <w:footnoteReference w:id="35"/>
      </w:r>
      <w:r>
        <w:rPr>
          <w:rStyle w:val="FootnoteReference"/>
          <w:rFonts w:cs="Times New Roman"/>
          <w:noProof/>
          <w:lang w:val="en-GB"/>
        </w:rPr>
        <w:footnoteReference w:id="36"/>
      </w:r>
      <w:r>
        <w:rPr>
          <w:noProof/>
        </w:rPr>
        <w:t>. En déplaçant une grande partie du processus de construction dans des environnements industriels contrôlés</w:t>
      </w:r>
      <w:r>
        <w:rPr>
          <w:rStyle w:val="FootnoteReference"/>
          <w:noProof/>
          <w:lang w:val="en-GB"/>
        </w:rPr>
        <w:footnoteReference w:id="37"/>
      </w:r>
      <w:r>
        <w:rPr>
          <w:noProof/>
        </w:rPr>
        <w:t>, les erreurs sont réduites, la production est rationalisée et les délais de construction sont raccourcis. Cela rend les solutions hors site particulièrement intéressantes pour les logements sociaux et abordables, où la rapidité, la qualité et la rentabilité sont essentielles</w:t>
      </w:r>
      <w:r>
        <w:rPr>
          <w:rStyle w:val="FootnoteReference"/>
          <w:rFonts w:cs="Times New Roman"/>
          <w:noProof/>
        </w:rPr>
        <w:footnoteReference w:id="38"/>
      </w:r>
      <w:r>
        <w:rPr>
          <w:noProof/>
        </w:rPr>
        <w:t>. En outre, les composants modulaires peuvent souvent être démontés et réutilisés, ce qui contribue à la circularité et à l’utilisation efficace des ressources. Dans le cadre du nouveau Bauhaus européen, la Commission élaborera un catalogue de modèles qui favorisera l’échange de bonnes pratiques et visera à faciliter l’octroi des permis.</w:t>
      </w:r>
    </w:p>
    <w:p w14:paraId="104BEE03" w14:textId="67928800" w:rsidR="00025070" w:rsidRPr="00025070" w:rsidRDefault="0B6D9D39" w:rsidP="00025070">
      <w:pPr>
        <w:spacing w:after="120" w:line="240" w:lineRule="auto"/>
        <w:rPr>
          <w:rFonts w:eastAsiaTheme="minorEastAsia" w:cs="Times New Roman"/>
          <w:noProof/>
        </w:rPr>
      </w:pPr>
      <w:r>
        <w:rPr>
          <w:noProof/>
        </w:rPr>
        <w:t xml:space="preserve">Au-delà des logements domestiques, les systèmes modulaires et préfabriqués sont de plus en plus demandés pour des efforts de reconstruction dans les </w:t>
      </w:r>
      <w:r>
        <w:rPr>
          <w:b/>
          <w:noProof/>
        </w:rPr>
        <w:t>régions en crise</w:t>
      </w:r>
      <w:r>
        <w:rPr>
          <w:noProof/>
        </w:rPr>
        <w:t xml:space="preserve">, telles que l’Ukraine et Gaza, ainsi que dans les zones touchées par des phénomènes météorologiques et climatiques extrêmes ou d’autres </w:t>
      </w:r>
      <w:r>
        <w:rPr>
          <w:b/>
          <w:noProof/>
        </w:rPr>
        <w:t>catastrophes naturelles</w:t>
      </w:r>
      <w:r>
        <w:rPr>
          <w:noProof/>
        </w:rPr>
        <w:t>. Les entreprises de l’Union disposent déjà de solides capacités technologiques et pourraient devenir des leaders mondiaux sur ce marché en expansion, si les obstacles sont réduits et les normes harmonisées</w:t>
      </w:r>
      <w:r>
        <w:rPr>
          <w:rFonts w:cs="Times New Roman"/>
          <w:noProof/>
          <w:vertAlign w:val="superscript"/>
        </w:rPr>
        <w:footnoteReference w:id="39"/>
      </w:r>
      <w:r>
        <w:rPr>
          <w:noProof/>
        </w:rPr>
        <w:t>.</w:t>
      </w:r>
    </w:p>
    <w:p w14:paraId="6A16F511" w14:textId="4D6B3345" w:rsidR="00025070" w:rsidRPr="00035B97" w:rsidRDefault="0B6D9D39" w:rsidP="00025070">
      <w:pPr>
        <w:spacing w:after="120" w:line="240" w:lineRule="auto"/>
        <w:rPr>
          <w:noProof/>
        </w:rPr>
      </w:pPr>
      <w:r>
        <w:rPr>
          <w:noProof/>
        </w:rPr>
        <w:t xml:space="preserve">Cependant, le déploiement de ces innovations à grande échelle reste difficile. La coexistence de 27 codes nationaux de la construction et de réglementations régionales variables fragmente le marché et limite l’évolutivité. L’absence de normes harmonisées nuit à la fiabilité, accroît les risques et augmente les coûts de financement pour les producteurs et les maîtres d’ouvrage. </w:t>
      </w:r>
      <w:r>
        <w:rPr>
          <w:b/>
          <w:noProof/>
        </w:rPr>
        <w:t>L’investissement initial élevé</w:t>
      </w:r>
      <w:r>
        <w:rPr>
          <w:noProof/>
        </w:rPr>
        <w:t xml:space="preserve"> nécessaire pour les installations hors site, conjugué à une demande incertaine et à une couverture d’assurance limitée, freine encore davantage la croissance</w:t>
      </w:r>
      <w:r>
        <w:rPr>
          <w:noProof/>
          <w:vertAlign w:val="superscript"/>
        </w:rPr>
        <w:footnoteReference w:id="40"/>
      </w:r>
      <w:r>
        <w:rPr>
          <w:noProof/>
        </w:rPr>
        <w:t>. Pour atteindre son plein potentiel, estimé à une croissance annuelle de 4,5 % pour les bâtiments résidentiels</w:t>
      </w:r>
      <w:r>
        <w:rPr>
          <w:noProof/>
          <w:vertAlign w:val="superscript"/>
        </w:rPr>
        <w:footnoteReference w:id="41"/>
      </w:r>
      <w:r>
        <w:rPr>
          <w:noProof/>
        </w:rPr>
        <w:t>, les obstacles à la construction hors site doivent être réduits.</w:t>
      </w:r>
    </w:p>
    <w:p w14:paraId="0DC48D9B" w14:textId="0D198095" w:rsidR="00025070" w:rsidRPr="00326CC3" w:rsidRDefault="00025070" w:rsidP="00025070">
      <w:pPr>
        <w:spacing w:after="120" w:line="240" w:lineRule="auto"/>
        <w:rPr>
          <w:rFonts w:eastAsiaTheme="minorEastAsia" w:cs="Times New Roman"/>
          <w:i/>
          <w:iCs/>
          <w:noProof/>
        </w:rPr>
      </w:pPr>
      <w:r>
        <w:rPr>
          <w:i/>
          <w:noProof/>
        </w:rPr>
        <w:t>Stimuler la demande: créer un marché pour une construction durable et résiliente</w:t>
      </w:r>
    </w:p>
    <w:p w14:paraId="6CBA68B4" w14:textId="01076BA0" w:rsidR="00025070" w:rsidRPr="00025070" w:rsidRDefault="00025070" w:rsidP="00025070">
      <w:pPr>
        <w:spacing w:after="120" w:line="240" w:lineRule="auto"/>
        <w:rPr>
          <w:rFonts w:eastAsiaTheme="minorEastAsia" w:cs="Times New Roman"/>
          <w:noProof/>
        </w:rPr>
      </w:pPr>
      <w:r>
        <w:rPr>
          <w:noProof/>
        </w:rPr>
        <w:t xml:space="preserve">Pour compléter l’innovation du côté de l’offre, l’Union doit également </w:t>
      </w:r>
      <w:r>
        <w:rPr>
          <w:b/>
          <w:noProof/>
        </w:rPr>
        <w:t>renforcer la demande du marché en produits durables, résilients et innovants</w:t>
      </w:r>
      <w:r>
        <w:rPr>
          <w:noProof/>
        </w:rPr>
        <w:t xml:space="preserve">. La transition vers la neutralité climatique accroît le besoin de matériaux à faible teneur en carbone tels que le ciment à faible teneur en carbone, le béton à faible teneur en carbone, l’acier à faibles émissions, le contenu recyclé </w:t>
      </w:r>
      <w:bookmarkStart w:id="9" w:name="_Hlk214906211"/>
      <w:r>
        <w:rPr>
          <w:noProof/>
        </w:rPr>
        <w:t>dans les produits, les produits biosourcés et les produits réutilisés</w:t>
      </w:r>
      <w:bookmarkEnd w:id="9"/>
      <w:r>
        <w:rPr>
          <w:noProof/>
        </w:rPr>
        <w:t>.</w:t>
      </w:r>
    </w:p>
    <w:p w14:paraId="7B304811" w14:textId="22403207" w:rsidR="00025070" w:rsidRPr="00025070" w:rsidRDefault="0B6D9D39" w:rsidP="00025070">
      <w:pPr>
        <w:spacing w:after="120" w:line="240" w:lineRule="auto"/>
        <w:rPr>
          <w:rFonts w:eastAsiaTheme="minorEastAsia" w:cs="Times New Roman"/>
          <w:noProof/>
        </w:rPr>
      </w:pPr>
      <w:r>
        <w:rPr>
          <w:noProof/>
        </w:rPr>
        <w:t>La Commission renforcera cette évolution en introduisant des exigences en matière de durabilité et de résilience pour les marchés publics de produits à faible intensité de carbone fabriqués dans l’Union dans l’acte législatif pour l’accélération de l’activité industrielle. Ces mesures récompenseront l’innovation tout en respectant les normes environnementales et sociales de l’Union. Les critères, définitions et labels applicables aux produits de construction seront définis par le règlement sur les produits de construction.</w:t>
      </w:r>
    </w:p>
    <w:p w14:paraId="1E0ABB20" w14:textId="0388CB1E" w:rsidR="00507F1A" w:rsidRDefault="0B6D9D39" w:rsidP="00507F1A">
      <w:pPr>
        <w:spacing w:after="120" w:line="240" w:lineRule="auto"/>
        <w:rPr>
          <w:rFonts w:eastAsiaTheme="minorEastAsia" w:cs="Times New Roman"/>
          <w:noProof/>
        </w:rPr>
      </w:pPr>
      <w:r>
        <w:rPr>
          <w:noProof/>
        </w:rPr>
        <w:t xml:space="preserve">Parallèlement, la prochaine </w:t>
      </w:r>
      <w:r>
        <w:rPr>
          <w:b/>
          <w:noProof/>
        </w:rPr>
        <w:t>révision de la directive sur les marchés publics, en facilitant la durabilité dans les appels d’offres</w:t>
      </w:r>
      <w:r>
        <w:rPr>
          <w:noProof/>
        </w:rPr>
        <w:t>, contribuera à créer une demande stable de produits de construction à faible intensité de carbone (y compris biosourcés) et de méthodes innovantes telles que les nouvelles solutions de construction modulaire, souvent produites par des PME. Le processus de révision tiendra également compte, entre autres, de la question de la sous-traitance, y compris les responsabilités et les qualifications des entrepreneurs et la transparence dans les chaînes d’approvisionnement, ce qui peut contribuer à lutter contre les abus et à soutenir les employeurs de bonne foi dans le secteur de la construction. Tirer parti du vaste marché des marchés publics de l’Union peut réduire les risques liés aux investissements privés, accélérer la capacité de production et faire baisser les coûts grâce à des économies d’échelle</w:t>
      </w:r>
      <w:r>
        <w:rPr>
          <w:rStyle w:val="FootnoteReference"/>
          <w:noProof/>
        </w:rPr>
        <w:footnoteReference w:id="42"/>
      </w:r>
      <w:r>
        <w:rPr>
          <w:noProof/>
        </w:rPr>
        <w:t>. Enfin, les initiatives relevant de la stratégie pour la bioéconomie</w:t>
      </w:r>
      <w:r>
        <w:rPr>
          <w:rStyle w:val="FootnoteReference"/>
          <w:rFonts w:eastAsiaTheme="minorEastAsia" w:cs="Times New Roman"/>
          <w:noProof/>
        </w:rPr>
        <w:footnoteReference w:id="43"/>
      </w:r>
      <w:r>
        <w:rPr>
          <w:noProof/>
        </w:rPr>
        <w:t xml:space="preserve"> soutiendront la construction comme l’un des principaux marchés pour les produits biosourcés. </w:t>
      </w:r>
    </w:p>
    <w:p w14:paraId="61051A10" w14:textId="07FDF5FA" w:rsidR="002E7FF5" w:rsidRDefault="00507F1A" w:rsidP="002E7FF5">
      <w:pPr>
        <w:spacing w:after="120" w:line="240" w:lineRule="auto"/>
        <w:rPr>
          <w:rFonts w:eastAsiaTheme="minorEastAsia" w:cs="Times New Roman"/>
          <w:noProof/>
        </w:rPr>
      </w:pPr>
      <w:r>
        <w:rPr>
          <w:noProof/>
        </w:rPr>
        <w:t>Conformément aux objectifs de la stratégie pour la bioéconomie, le cadre de certification relatif aux absorptions de carbone et à l’agrostockage de carbone mettra au point une certification du stockage durable du carbone biogénique dans les bâtiments. Cela renforcera la visibilité des avantages environnementaux des solutions biosourcées dans le secteur, ce qui augmentera leur demande sur le marché.</w:t>
      </w:r>
    </w:p>
    <w:p w14:paraId="3D3EE4F3" w14:textId="285C72E1" w:rsidR="002E7FF5" w:rsidRPr="00BA03DD" w:rsidRDefault="002E7FF5" w:rsidP="00BA03DD">
      <w:pPr>
        <w:pStyle w:val="Heading2"/>
        <w:ind w:left="576"/>
        <w:rPr>
          <w:noProof/>
        </w:rPr>
      </w:pPr>
      <w:bookmarkStart w:id="10" w:name="_Toc213663459"/>
      <w:r>
        <w:rPr>
          <w:noProof/>
        </w:rPr>
        <w:t>Moderniser le cadre réglementaire pour favoriser l’adoption de l’innovation</w:t>
      </w:r>
      <w:bookmarkEnd w:id="10"/>
    </w:p>
    <w:p w14:paraId="5AFCD488" w14:textId="6CB570EF" w:rsidR="00025070" w:rsidRPr="00025070" w:rsidRDefault="00025070" w:rsidP="00025070">
      <w:pPr>
        <w:spacing w:after="120" w:line="240" w:lineRule="auto"/>
        <w:rPr>
          <w:rFonts w:eastAsiaTheme="minorEastAsia" w:cs="Times New Roman"/>
          <w:noProof/>
        </w:rPr>
      </w:pPr>
      <w:r>
        <w:rPr>
          <w:noProof/>
        </w:rPr>
        <w:t>Le nouveau règlement sur les produits de construction marque</w:t>
      </w:r>
      <w:r>
        <w:rPr>
          <w:b/>
          <w:noProof/>
        </w:rPr>
        <w:t xml:space="preserve"> une avancée majeure vers un cadre réglementaire plus moderne et plus propice à l’innovation</w:t>
      </w:r>
      <w:r>
        <w:rPr>
          <w:noProof/>
        </w:rPr>
        <w:t xml:space="preserve">. Le nouveau cadre juridique peut répondre à tous les besoins techniques et réglementaires, y compris les questions environnementales et la numérisation. </w:t>
      </w:r>
    </w:p>
    <w:p w14:paraId="2BDCAF72" w14:textId="51D252C4" w:rsidR="00025070" w:rsidRPr="00025070" w:rsidRDefault="10EE30DB" w:rsidP="00025070">
      <w:pPr>
        <w:spacing w:after="120" w:line="240" w:lineRule="auto"/>
        <w:rPr>
          <w:rFonts w:eastAsiaTheme="minorEastAsia" w:cs="Times New Roman"/>
          <w:noProof/>
        </w:rPr>
      </w:pPr>
      <w:r>
        <w:rPr>
          <w:b/>
          <w:noProof/>
        </w:rPr>
        <w:t>Grâce au processus relatif à l’acquis du règlement sur les produits de construction</w:t>
      </w:r>
      <w:r>
        <w:rPr>
          <w:rStyle w:val="FootnoteReference"/>
          <w:rFonts w:eastAsiaTheme="minorEastAsia" w:cs="Times New Roman"/>
          <w:b/>
          <w:noProof/>
        </w:rPr>
        <w:footnoteReference w:id="44"/>
      </w:r>
      <w:r>
        <w:rPr>
          <w:b/>
          <w:noProof/>
        </w:rPr>
        <w:t>, la Commission vise à mettre à jour, d’ici à 2033, toutes les normes harmonisées élaborées au cours des 25 dernières années et à étendre l</w:t>
      </w:r>
      <w:r w:rsidR="00E15FEA">
        <w:rPr>
          <w:b/>
          <w:noProof/>
        </w:rPr>
        <w:t>e</w:t>
      </w:r>
      <w:r>
        <w:rPr>
          <w:b/>
          <w:noProof/>
        </w:rPr>
        <w:t xml:space="preserve"> champ d’application à toutes les familles de produits concernées</w:t>
      </w:r>
      <w:r>
        <w:rPr>
          <w:noProof/>
        </w:rPr>
        <w:t>. Ce processus fournit une base complète pour garantir un développement efficace et rapide de la normalisation. Les normes relatives aux matériaux essentiels tels que le ciment sont élaborées en priorité afin de permettre une livraison en temps utile. L’harmonisation des normes relatives aux produits sur l’ensemble du marché unique s’en trouvera accélérée, réduisant ainsi les charges administratives et facilitant l’accès au marché pour des produits plus durables, ce qui est fondamental, en particulier pour les PME de l’écosystème de la construction.</w:t>
      </w:r>
    </w:p>
    <w:p w14:paraId="52B84281" w14:textId="12AC56E7" w:rsidR="00025070" w:rsidRPr="00025070" w:rsidRDefault="00F36CF0" w:rsidP="361D6597">
      <w:pPr>
        <w:spacing w:after="120" w:line="240" w:lineRule="auto"/>
        <w:rPr>
          <w:rFonts w:eastAsiaTheme="minorEastAsia" w:cs="Times New Roman"/>
          <w:noProof/>
        </w:rPr>
      </w:pPr>
      <w:r>
        <w:rPr>
          <w:noProof/>
        </w:rPr>
        <w:t>Les nouvelles normes contribueront à la construction de bâtiments sûrs, accessibles et respectueux de l’environnement, renforceront le marché unique et réduiront les coûts grâce à des économies d’échelle. Fondamentalement, le règlement sur les produits de construction soutiendra le passage de codes nationaux du bâtiment prescriptifs à des normes fondées sur la performance, permettant ainsi une plus grande flexibilité pour les méthodes de construction innovantes. Afin de permettre le déploiement transfrontière de systèmes hors site et modulaires, la Commission accordera la priorité à l’élaboration de normes spécifiques pour les produits préfabriqués, les kits de construction et les unités modulaires, créant ainsi un marché unique pour ces produits. Les PME sont dûment représentées dans l’élaboration de la normalisation et la Commission veillera à ce que les normes harmonisées et les actes délégués applicables ne surchargent pas les PME.</w:t>
      </w:r>
    </w:p>
    <w:p w14:paraId="6ECC6780" w14:textId="6E0B35DC" w:rsidR="00025070" w:rsidRDefault="0B6D9D39" w:rsidP="00025070">
      <w:pPr>
        <w:spacing w:after="120" w:line="240" w:lineRule="auto"/>
        <w:rPr>
          <w:rFonts w:eastAsiaTheme="minorEastAsia" w:cs="Times New Roman"/>
          <w:noProof/>
        </w:rPr>
      </w:pPr>
      <w:r>
        <w:rPr>
          <w:noProof/>
        </w:rPr>
        <w:t xml:space="preserve">Pour </w:t>
      </w:r>
      <w:r>
        <w:rPr>
          <w:b/>
          <w:noProof/>
        </w:rPr>
        <w:t>traduire la réglementation en pratique</w:t>
      </w:r>
      <w:r>
        <w:rPr>
          <w:noProof/>
        </w:rPr>
        <w:t xml:space="preserve">, la Commission publiera des </w:t>
      </w:r>
      <w:r>
        <w:rPr>
          <w:b/>
          <w:noProof/>
        </w:rPr>
        <w:t>orientations</w:t>
      </w:r>
      <w:r>
        <w:rPr>
          <w:noProof/>
        </w:rPr>
        <w:t xml:space="preserve"> sur la construction modulaire et hors site. Elles incluront les bonnes pratiques et les démonstrations concluantes de validation de principe sur les plans de l’amélioration de la sécurité, de l’accessibilité, de la durabilité, de la rapidité de démolition et du caractère abordable grâce à des concepts modulaires, et favoriseront une adoption plus large tant pour les nouvelles constructions que pour les rénovations</w:t>
      </w:r>
      <w:r>
        <w:rPr>
          <w:rFonts w:eastAsia="Times New Roman" w:cs="Times New Roman"/>
          <w:noProof/>
          <w:vertAlign w:val="superscript"/>
        </w:rPr>
        <w:footnoteReference w:id="45"/>
      </w:r>
      <w:r>
        <w:rPr>
          <w:noProof/>
        </w:rPr>
        <w:t>. Ces orientations s’appuieront sur les projets réussis élaborés dans le cadre de l’initiative «LIFE Clean Energy Transition» («LIFE Transition vers l’énergie propre» en ce qui concerne la construction modulaire et hors site</w:t>
      </w:r>
      <w:r>
        <w:rPr>
          <w:rStyle w:val="FootnoteReference"/>
          <w:rFonts w:eastAsia="Times New Roman" w:cs="Times New Roman"/>
          <w:noProof/>
        </w:rPr>
        <w:footnoteReference w:id="46"/>
      </w:r>
      <w:r>
        <w:rPr>
          <w:noProof/>
        </w:rPr>
        <w:t>. Ces efforts s’inscriront également dans le cadre du pilier international du nouveau Bauhaus européen, qui comprend des projets consacrés à la reconstruction de l’Ukraine et à la diffusion des bonnes pratiques pour un redressement durable et résilient après la guerre.</w:t>
      </w:r>
    </w:p>
    <w:p w14:paraId="472281E4" w14:textId="57CE6D02" w:rsidR="00C20355" w:rsidRPr="00C20355" w:rsidRDefault="000D73C7" w:rsidP="00C20355">
      <w:pPr>
        <w:spacing w:after="120" w:line="240" w:lineRule="auto"/>
        <w:rPr>
          <w:rFonts w:eastAsiaTheme="minorEastAsia" w:cs="Times New Roman"/>
          <w:noProof/>
        </w:rPr>
      </w:pPr>
      <w:r>
        <w:rPr>
          <w:noProof/>
          <w:lang w:val="en-GB" w:eastAsia="en-GB"/>
        </w:rPr>
        <mc:AlternateContent>
          <mc:Choice Requires="wps">
            <w:drawing>
              <wp:anchor distT="0" distB="0" distL="114300" distR="114300" simplePos="0" relativeHeight="251658241" behindDoc="0" locked="0" layoutInCell="1" allowOverlap="1" wp14:anchorId="47BDF032" wp14:editId="3A84E168">
                <wp:simplePos x="0" y="0"/>
                <wp:positionH relativeFrom="margin">
                  <wp:posOffset>0</wp:posOffset>
                </wp:positionH>
                <wp:positionV relativeFrom="paragraph">
                  <wp:posOffset>586022</wp:posOffset>
                </wp:positionV>
                <wp:extent cx="5915025" cy="2456953"/>
                <wp:effectExtent l="0" t="0" r="28575" b="19685"/>
                <wp:wrapTopAndBottom/>
                <wp:docPr id="1548103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2456953"/>
                        </a:xfrm>
                        <a:prstGeom prst="rect">
                          <a:avLst/>
                        </a:prstGeom>
                        <a:solidFill>
                          <a:srgbClr val="FFFFFF"/>
                        </a:solidFill>
                        <a:ln w="9525">
                          <a:solidFill>
                            <a:srgbClr val="000000"/>
                          </a:solidFill>
                          <a:miter lim="800000"/>
                          <a:headEnd/>
                          <a:tailEnd/>
                        </a:ln>
                      </wps:spPr>
                      <wps:txbx>
                        <w:txbxContent>
                          <w:p w14:paraId="59AEE8BD" w14:textId="77777777" w:rsidR="00A544C6" w:rsidRDefault="00A544C6" w:rsidP="00A544C6">
                            <w:pPr>
                              <w:rPr>
                                <w:rFonts w:eastAsia="Times New Roman" w:cs="Times New Roman"/>
                              </w:rPr>
                            </w:pPr>
                            <w:r>
                              <w:rPr>
                                <w:b/>
                              </w:rPr>
                              <w:t>Mesure 3 – Stimuler l’adoption de l’innovation par l’élaboration de normes</w:t>
                            </w:r>
                            <w:r>
                              <w:t xml:space="preserve"> </w:t>
                            </w:r>
                          </w:p>
                          <w:p w14:paraId="26238117" w14:textId="7D40CA18" w:rsidR="00A544C6" w:rsidRPr="00A625E5" w:rsidRDefault="00A544C6" w:rsidP="00A544C6">
                            <w:pPr>
                              <w:rPr>
                                <w:b/>
                                <w:bCs/>
                              </w:rPr>
                            </w:pPr>
                            <w:r>
                              <w:t xml:space="preserve">– La Commission </w:t>
                            </w:r>
                            <w:r>
                              <w:rPr>
                                <w:b/>
                              </w:rPr>
                              <w:t>accélérera l’élaboration de normes pour les produits de construction</w:t>
                            </w:r>
                            <w:r>
                              <w:t xml:space="preserve"> dans le cadre du nouveau règlement sur les produits de construction.</w:t>
                            </w:r>
                            <w:r>
                              <w:rPr>
                                <w:b/>
                              </w:rPr>
                              <w:t xml:space="preserve"> </w:t>
                            </w:r>
                            <w:r>
                              <w:t xml:space="preserve">Les premières nouvelles normes de produits concerneront le ciment, les produits métalliques de construction, le verre, les portes et les fenêtres. La Commission a adopté un premier plan de travail pour la période 2026-2029 pour la mise en œuvre du règlement sur les produits de construction, comprenant des priorités et des calendriers.  </w:t>
                            </w:r>
                          </w:p>
                          <w:p w14:paraId="3E630301" w14:textId="1A892EF5" w:rsidR="00A544C6" w:rsidRDefault="00A544C6" w:rsidP="00475A3B">
                            <w:pPr>
                              <w:spacing w:after="120" w:line="240" w:lineRule="auto"/>
                              <w:rPr>
                                <w:rFonts w:eastAsia="Times New Roman" w:cs="Times New Roman"/>
                                <w:szCs w:val="24"/>
                              </w:rPr>
                            </w:pPr>
                            <w:r>
                              <w:t>– La Commission lance, à titre prioritaire dans le cadre du processus relatif à l’acquis du règlement sur les produits de construction, la demande d’</w:t>
                            </w:r>
                            <w:r>
                              <w:rPr>
                                <w:b/>
                              </w:rPr>
                              <w:t>élaboration de normes pour les produits de construction hors site et les systèmes modulaires</w:t>
                            </w:r>
                            <w:r>
                              <w:t xml:space="preserve"> (lancement début 2026, dans le but d’adopter la première demande de normalisation en 2027).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7BDF032" id="_x0000_s1028" type="#_x0000_t202" style="position:absolute;left:0;text-align:left;margin-left:0;margin-top:46.15pt;width:465.75pt;height:193.4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">
                <v:textbox>
                  <w:txbxContent>
                    <w:p w14:paraId="59AEE8BD" w14:textId="77777777" w:rsidR="00A544C6" w:rsidRDefault="00A544C6" w:rsidP="00A544C6">
                      <w:pPr>
                        <w:rPr>
                          <w:rFonts w:eastAsia="Times New Roman" w:cs="Times New Roman"/>
                        </w:rPr>
                      </w:pPr>
                      <w:r>
                        <w:rPr>
                          <w:b/>
                        </w:rPr>
                        <w:t>Mesure 3 – Stimuler l’adoption de l’innovation par l’élaboration de normes</w:t>
                      </w:r>
                      <w:r>
                        <w:t xml:space="preserve"> </w:t>
                      </w:r>
                    </w:p>
                    <w:p w14:paraId="26238117" w14:textId="7D40CA18" w:rsidR="00A544C6" w:rsidRPr="00A625E5" w:rsidRDefault="00A544C6" w:rsidP="00A544C6">
                      <w:pPr>
                        <w:rPr>
                          <w:b/>
                          <w:bCs/>
                        </w:rPr>
                      </w:pPr>
                      <w:r>
                        <w:t xml:space="preserve">– La Commission </w:t>
                      </w:r>
                      <w:r>
                        <w:rPr>
                          <w:b/>
                        </w:rPr>
                        <w:t>accélérera l’élaboration de normes pour les produits de construction</w:t>
                      </w:r>
                      <w:r>
                        <w:t xml:space="preserve"> dans le cadre du nouveau règlement sur les produits de construction.</w:t>
                      </w:r>
                      <w:r>
                        <w:rPr>
                          <w:b/>
                        </w:rPr>
                        <w:t xml:space="preserve"> </w:t>
                      </w:r>
                      <w:r>
                        <w:t xml:space="preserve">Les premières nouvelles normes de produits concerneront le ciment, les produits métalliques de construction, le verre, les portes et les fenêtres. La Commission a adopté un premier plan de travail pour la période 2026-2029 pour la mise en œuvre du règlement sur les produits de construction, comprenant des priorités et des calendriers.  </w:t>
                      </w:r>
                    </w:p>
                    <w:p w14:paraId="3E630301" w14:textId="1A892EF5" w:rsidR="00A544C6" w:rsidRDefault="00A544C6" w:rsidP="00475A3B">
                      <w:pPr>
                        <w:spacing w:after="120" w:line="240" w:lineRule="auto"/>
                        <w:rPr>
                          <w:rFonts w:eastAsia="Times New Roman" w:cs="Times New Roman"/>
                          <w:szCs w:val="24"/>
                        </w:rPr>
                      </w:pPr>
                      <w:r>
                        <w:t>– La Commission lance, à titre prioritaire dans le cadre du processus relatif à l’acquis du règlement sur les produits de construction, la demande d’</w:t>
                      </w:r>
                      <w:r>
                        <w:rPr>
                          <w:b/>
                        </w:rPr>
                        <w:t>élaboration de normes pour les produits de construction hors site et les systèmes modulaires</w:t>
                      </w:r>
                      <w:r>
                        <w:t xml:space="preserve"> (lancement début 2026, dans le but d’adopter la première demande de normalisation en 2027). </w:t>
                      </w:r>
                    </w:p>
                  </w:txbxContent>
                </v:textbox>
                <w10:wrap type="topAndBottom" anchorx="margin"/>
              </v:shape>
            </w:pict>
          </mc:Fallback>
        </mc:AlternateContent>
      </w:r>
      <w:r w:rsidR="000478A7">
        <w:rPr>
          <w:noProof/>
        </w:rPr>
        <w:t xml:space="preserve">En outre, la Commission veillera à ce que les </w:t>
      </w:r>
      <w:r w:rsidR="000478A7">
        <w:rPr>
          <w:b/>
          <w:noProof/>
        </w:rPr>
        <w:t>Eurocodes de deuxième génération</w:t>
      </w:r>
      <w:r w:rsidR="000478A7">
        <w:rPr>
          <w:rStyle w:val="FootnoteReference"/>
          <w:rFonts w:eastAsiaTheme="minorEastAsia" w:cs="Times New Roman"/>
          <w:b/>
          <w:bCs/>
          <w:noProof/>
        </w:rPr>
        <w:footnoteReference w:id="47"/>
      </w:r>
      <w:r w:rsidR="000478A7">
        <w:rPr>
          <w:noProof/>
        </w:rPr>
        <w:t xml:space="preserve"> soutiennent l’innovation, par exemple en incluant des instruments pour l’évaluation et la réutilisation des structures existantes et pour l’utilisation de matériaux innovants tels que les structures composites à fibres polymères et les structures à membrane tendue.</w:t>
      </w:r>
    </w:p>
    <w:p w14:paraId="3D2AB1C3" w14:textId="68EC99A0" w:rsidR="3B2E7A8D" w:rsidRPr="00475A3B" w:rsidRDefault="00541FAD" w:rsidP="6EE429DF">
      <w:pPr>
        <w:spacing w:after="120" w:line="240" w:lineRule="auto"/>
        <w:rPr>
          <w:rFonts w:eastAsiaTheme="minorEastAsia" w:cs="Times New Roman"/>
          <w:noProof/>
        </w:rPr>
      </w:pPr>
      <w:r>
        <w:rPr>
          <w:noProof/>
        </w:rPr>
        <w:t xml:space="preserve">Ensemble, ces mesures créeront un </w:t>
      </w:r>
      <w:r>
        <w:rPr>
          <w:b/>
          <w:noProof/>
        </w:rPr>
        <w:t>cercle vertueux entre l’innovation et la demande</w:t>
      </w:r>
      <w:r>
        <w:rPr>
          <w:noProof/>
        </w:rPr>
        <w:t>: un marché unique harmonisé des produits de construction durables donnera aux innovateurs la confiance nécessaire pour investir, tandis que les marchés publics écologiques et les politiques industrielles généreront la demande du marché nécessaire pour accroître la production. En modernisant à la fois les fondements réglementaires et technologiques de la construction, l’Europe peut construire des logements plus abordables, durables et de haute qualité beaucoup plus rapidement qu’auparavant.</w:t>
      </w:r>
    </w:p>
    <w:p w14:paraId="3A92D335" w14:textId="277775FD" w:rsidR="006B035A" w:rsidRPr="000731B8" w:rsidRDefault="00990398" w:rsidP="00C30C61">
      <w:pPr>
        <w:pStyle w:val="Heading2"/>
        <w:rPr>
          <w:noProof/>
        </w:rPr>
      </w:pPr>
      <w:r>
        <w:rPr>
          <w:noProof/>
        </w:rPr>
        <w:t xml:space="preserve"> </w:t>
      </w:r>
      <w:bookmarkStart w:id="11" w:name="_Toc213663460"/>
      <w:r>
        <w:rPr>
          <w:noProof/>
        </w:rPr>
        <w:t>Accroître le déploiement de matériaux et de produits de construction innovants</w:t>
      </w:r>
      <w:bookmarkEnd w:id="11"/>
    </w:p>
    <w:p w14:paraId="1285F928" w14:textId="4B870832" w:rsidR="00245D0D" w:rsidRDefault="00E3153E" w:rsidP="00650B74">
      <w:pPr>
        <w:spacing w:after="120" w:line="240" w:lineRule="auto"/>
        <w:rPr>
          <w:bCs/>
          <w:noProof/>
        </w:rPr>
      </w:pPr>
      <w:r>
        <w:rPr>
          <w:noProof/>
        </w:rPr>
        <w:t xml:space="preserve">Afin de répondre à la demande croissante de bâtiments plus rapides, plus écologiques et plus abordables, le secteur européen de la construction doit d’urgence </w:t>
      </w:r>
      <w:r>
        <w:rPr>
          <w:b/>
          <w:noProof/>
        </w:rPr>
        <w:t>accélérer les investissements</w:t>
      </w:r>
      <w:r>
        <w:rPr>
          <w:noProof/>
        </w:rPr>
        <w:t xml:space="preserve"> dans les matériaux, les produits et les technologies innovants. Cela favorisera une croissance efficace dans l’utilisation des ressources, rentable et innovante, tout en garantissant une utilisation durable de ressources naturelles limitées.</w:t>
      </w:r>
    </w:p>
    <w:p w14:paraId="59F4CC12" w14:textId="5CB838DC" w:rsidR="00B61CB5" w:rsidRDefault="00E3153E" w:rsidP="00650B74">
      <w:pPr>
        <w:spacing w:after="120" w:line="240" w:lineRule="auto"/>
        <w:rPr>
          <w:bCs/>
          <w:noProof/>
        </w:rPr>
      </w:pPr>
      <w:r>
        <w:rPr>
          <w:noProof/>
        </w:rPr>
        <w:t>Les progrès restent lents, limités par des coûts de développement élevés, des réglementations fragmentées et un financement prudent. En conséquence, l’écart entre les besoins actuels du marché et ce que l’industrie est en mesure d’offrir aujourd’hui ne cesse de se creuser. Cela concerne en premier lieu les PME, en raison de leur capacité d’investissement réduite par rapport aux grandes entreprises.</w:t>
      </w:r>
    </w:p>
    <w:p w14:paraId="134E05AD" w14:textId="75E77676" w:rsidR="00650B74" w:rsidRDefault="2ABDEFAE" w:rsidP="00650B74">
      <w:pPr>
        <w:spacing w:after="120" w:line="240" w:lineRule="auto"/>
        <w:rPr>
          <w:bCs/>
          <w:noProof/>
        </w:rPr>
      </w:pPr>
      <w:r>
        <w:rPr>
          <w:noProof/>
        </w:rPr>
        <w:t>Pour combler cet écart, la Banque européenne d’investissement a annoncé une «</w:t>
      </w:r>
      <w:r>
        <w:rPr>
          <w:b/>
          <w:noProof/>
        </w:rPr>
        <w:t>enveloppe de prêt</w:t>
      </w:r>
      <w:r>
        <w:rPr>
          <w:noProof/>
        </w:rPr>
        <w:t xml:space="preserve">» de 400 millions d’EUR destinée aux entreprises, y compris les PME, tout au long de la chaîne de valeur du logement, des producteurs de matériaux aux entreprises de construction en passant par les fabricants d’équipements. Cette initiative sera déployée avec le soutien d’InvestEU et financera de nouvelles technologies susceptibles de faire face aux coûts élevés de construction et de développement et d’accélérer l’offre de nouveaux parcs de logements. Elle soutiendra les innovations en matière de numérisation, d’automatisation et d’applications d’IA afin d’améliorer la qualité lors de la planification et de la construction. Le champ d’application comprendra les techniques de construction innovantes, les solutions innovantes en matière d’efficacité énergétique et d’énergies renouvelables, les innovations dans le domaine des matériaux (verre, ciment, béton, acier de construction, céramique, produits du bois, etc.) et les investissements dans la recherche, le développement et l’innovation des fabricants d’équipements, y compris la robotique et les machines de construction intelligentes. </w:t>
      </w:r>
    </w:p>
    <w:p w14:paraId="485B27AD" w14:textId="266BEB9A" w:rsidR="00C454AC" w:rsidRDefault="00C454AC" w:rsidP="00C454AC">
      <w:pPr>
        <w:spacing w:after="120" w:line="240" w:lineRule="auto"/>
        <w:rPr>
          <w:noProof/>
        </w:rPr>
      </w:pPr>
      <w:r>
        <w:rPr>
          <w:noProof/>
        </w:rPr>
        <w:t xml:space="preserve">Au-delà de l’enveloppe de prêt de la BEI, la nouvelle </w:t>
      </w:r>
      <w:r>
        <w:rPr>
          <w:b/>
          <w:noProof/>
        </w:rPr>
        <w:t>plateforme paneuropéenne d’investissement pour un logement abordable et durable</w:t>
      </w:r>
      <w:r>
        <w:rPr>
          <w:noProof/>
        </w:rPr>
        <w:t>, composée du groupe BEI, des banques nationales de développement, de la Banque de développement du Conseil de l’Europe (CEB), de la Banque européenne pour la reconstruction et le développement (BERD) et d’autres institutions financières, comprendra une approche axée sur la chaîne de valeur, allant de l’innovation dans la construction au champ d’application de la promotion immobilière au sens large, afin de maximiser les investissements publics pour attirer des investissements privés supplémentaires. La plateforme renforcera la visibilité des possibilités d’investissement dans des logements sociaux, abordables et durables afin de mieux attirer les investisseurs et les promoteurs de projets.</w:t>
      </w:r>
    </w:p>
    <w:p w14:paraId="2063CDFD" w14:textId="5D66944C" w:rsidR="00650B74" w:rsidRPr="00650B74" w:rsidRDefault="0852895D" w:rsidP="140909F9">
      <w:pPr>
        <w:spacing w:after="120" w:line="240" w:lineRule="auto"/>
        <w:rPr>
          <w:rFonts w:eastAsiaTheme="minorEastAsia" w:cs="Times New Roman"/>
          <w:noProof/>
        </w:rPr>
      </w:pPr>
      <w:r>
        <w:rPr>
          <w:noProof/>
        </w:rPr>
        <w:t xml:space="preserve">Pour débloquer les investissements privés, il est également nécessaire de </w:t>
      </w:r>
      <w:r>
        <w:rPr>
          <w:b/>
          <w:noProof/>
        </w:rPr>
        <w:t>supprimer les obstacles réglementaires</w:t>
      </w:r>
      <w:r>
        <w:rPr>
          <w:noProof/>
        </w:rPr>
        <w:t xml:space="preserve"> qui empêchent actuellement les nouvelles technologies de se développer au-delà des frontières. Pour y remédier, la Commission lancera, dans le cadre de l’</w:t>
      </w:r>
      <w:r>
        <w:rPr>
          <w:b/>
          <w:noProof/>
        </w:rPr>
        <w:t>outil de coordination de la compétitivité</w:t>
      </w:r>
      <w:r>
        <w:rPr>
          <w:noProof/>
        </w:rPr>
        <w:t xml:space="preserve">, un projet pilote axé sur la construction hors site et modulaire. Ce projet pilote visera à promouvoir des projets transnationaux plurinationaux et à lutter contre la fragmentation réglementaire qui empêche les projets hors site et modulaires d’atteindre une échelle suffisante. </w:t>
      </w:r>
    </w:p>
    <w:p w14:paraId="145E4DA4" w14:textId="5DC34DE9" w:rsidR="00650B74" w:rsidRPr="00AF35FC" w:rsidRDefault="00650B74" w:rsidP="00650B74">
      <w:pPr>
        <w:spacing w:after="120" w:line="240" w:lineRule="auto"/>
        <w:rPr>
          <w:bCs/>
          <w:noProof/>
        </w:rPr>
      </w:pPr>
      <w:r>
        <w:rPr>
          <w:noProof/>
        </w:rPr>
        <w:t>Ce projet pilote aidera les États membres participants à harmoniser leurs cadres réglementaires, facilitant ainsi la libre circulation des produits et composants de construction hors site dans l’ensemble du marché unique. Dans le même temps, l’outil de coordination de la compétitivité fournira un soutien financier ciblé pour renforcer les chaînes d’approvisionnement et stimuler les capacités industrielles. Du côté de la demande, il introduira des mesures complémentaires visant à rendre les solutions de construction innovantes plus attrayantes et plus compétitives sur les marchés public et privé, contribuant ainsi à fournir rapidement des logements abordables dans toute l’Union à des coûts compétitifs.</w:t>
      </w:r>
    </w:p>
    <w:p w14:paraId="2D677385" w14:textId="4443E638" w:rsidR="00096A16" w:rsidRDefault="218CB832" w:rsidP="00650B74">
      <w:pPr>
        <w:spacing w:after="120" w:line="240" w:lineRule="auto"/>
        <w:rPr>
          <w:bCs/>
          <w:noProof/>
        </w:rPr>
      </w:pPr>
      <w:r>
        <w:rPr>
          <w:noProof/>
        </w:rPr>
        <w:t xml:space="preserve">Les </w:t>
      </w:r>
      <w:r>
        <w:rPr>
          <w:b/>
          <w:noProof/>
        </w:rPr>
        <w:t>programmes existants de l’Union</w:t>
      </w:r>
      <w:r>
        <w:rPr>
          <w:noProof/>
        </w:rPr>
        <w:t xml:space="preserve"> continueront de jouer un rôle clé dans l’accélération de l’innovation dans le secteur de la construction. Le </w:t>
      </w:r>
      <w:r>
        <w:rPr>
          <w:b/>
          <w:noProof/>
        </w:rPr>
        <w:t>nouveau Bauhaus européen</w:t>
      </w:r>
      <w:r>
        <w:rPr>
          <w:rStyle w:val="FootnoteReference"/>
          <w:rFonts w:eastAsia="Times New Roman" w:cs="Times New Roman"/>
          <w:b/>
          <w:bCs/>
          <w:noProof/>
        </w:rPr>
        <w:footnoteReference w:id="48"/>
      </w:r>
      <w:r>
        <w:rPr>
          <w:noProof/>
        </w:rPr>
        <w:t xml:space="preserve"> continuera de soutenir, au moyen de politiques, de connaissances et de financements, la fourniture de logements abordables et durables de qualité, en permettant l’innovation et en apportant un soutien ciblé à l’écosystème de la construction afin de déployer des solutions intégrées et inclusives. Parallèlement, </w:t>
      </w:r>
      <w:r>
        <w:rPr>
          <w:b/>
          <w:noProof/>
        </w:rPr>
        <w:t>Horizon Europe</w:t>
      </w:r>
      <w:r>
        <w:rPr>
          <w:noProof/>
        </w:rPr>
        <w:t xml:space="preserve"> (par l’intermédiaire du mécanisme du nouveau Bauhaus européen et du partenariat Built4People) continuera de financer des projets de recherche, de développement et de démonstration axés sur les matériaux avancés, la construction circulaire et la transformation numérique. Ces instruments contribueront à amener les innovations du laboratoire au déploiement à grande échelle, renforçant ainsi le rôle moteur de l’Europe dans la construction durable. </w:t>
      </w:r>
    </w:p>
    <w:p w14:paraId="515DEA35" w14:textId="446C29FD" w:rsidR="005F0BA5" w:rsidRPr="00096A16" w:rsidRDefault="00096A16" w:rsidP="00650B74">
      <w:pPr>
        <w:spacing w:after="120" w:line="240" w:lineRule="auto"/>
        <w:rPr>
          <w:bCs/>
          <w:noProof/>
        </w:rPr>
      </w:pPr>
      <w:r>
        <w:rPr>
          <w:noProof/>
          <w:lang w:val="en-GB" w:eastAsia="en-GB"/>
        </w:rPr>
        <mc:AlternateContent>
          <mc:Choice Requires="wps">
            <w:drawing>
              <wp:anchor distT="0" distB="0" distL="114300" distR="114300" simplePos="0" relativeHeight="251658246" behindDoc="1" locked="0" layoutInCell="1" allowOverlap="1" wp14:anchorId="28F08BB6" wp14:editId="18AF898D">
                <wp:simplePos x="0" y="0"/>
                <wp:positionH relativeFrom="margin">
                  <wp:align>left</wp:align>
                </wp:positionH>
                <wp:positionV relativeFrom="paragraph">
                  <wp:posOffset>1113514</wp:posOffset>
                </wp:positionV>
                <wp:extent cx="6109970" cy="2698750"/>
                <wp:effectExtent l="0" t="0" r="24130" b="25400"/>
                <wp:wrapTight wrapText="bothSides">
                  <wp:wrapPolygon edited="0">
                    <wp:start x="0" y="0"/>
                    <wp:lineTo x="0" y="21651"/>
                    <wp:lineTo x="21618" y="21651"/>
                    <wp:lineTo x="21618" y="0"/>
                    <wp:lineTo x="0" y="0"/>
                  </wp:wrapPolygon>
                </wp:wrapTight>
                <wp:docPr id="1623046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970" cy="2698750"/>
                        </a:xfrm>
                        <a:prstGeom prst="rect">
                          <a:avLst/>
                        </a:prstGeom>
                        <a:solidFill>
                          <a:srgbClr val="FFFFFF"/>
                        </a:solidFill>
                        <a:ln w="9525">
                          <a:solidFill>
                            <a:srgbClr val="000000"/>
                          </a:solidFill>
                          <a:miter lim="800000"/>
                          <a:headEnd/>
                          <a:tailEnd/>
                        </a:ln>
                      </wps:spPr>
                      <wps:txbx>
                        <w:txbxContent>
                          <w:p w14:paraId="18D7DB3F" w14:textId="1C5A2122" w:rsidR="00975D7E" w:rsidRDefault="00975D7E" w:rsidP="00975D7E">
                            <w:pPr>
                              <w:rPr>
                                <w:b/>
                                <w:bCs/>
                              </w:rPr>
                            </w:pPr>
                            <w:r>
                              <w:rPr>
                                <w:b/>
                              </w:rPr>
                              <w:t>Mesure 4 – Mettre à profit les instruments financiers pour accroître le déploiement de matériaux, de produits et de technologies de construction innovants</w:t>
                            </w:r>
                          </w:p>
                          <w:p w14:paraId="2C02C426" w14:textId="3D6D72DA" w:rsidR="00975D7E" w:rsidRDefault="00975D7E" w:rsidP="00975D7E">
                            <w:r>
                              <w:t xml:space="preserve">– La </w:t>
                            </w:r>
                            <w:r>
                              <w:rPr>
                                <w:b/>
                              </w:rPr>
                              <w:t>BEI a récemment mis en place une nouvelle enveloppe de prêts</w:t>
                            </w:r>
                            <w:r>
                              <w:t xml:space="preserve"> de 400 millions d’EUR, avec la participation d’InvestEU, destinée à investir dans de nouvelles technologies susceptibles de faire face aux coûts élevés de construction et de développement et d’accélérer l’offre de nouveaux parcs de logements. </w:t>
                            </w:r>
                          </w:p>
                          <w:p w14:paraId="012BB6FE" w14:textId="65E11D69" w:rsidR="00975D7E" w:rsidRDefault="00975D7E" w:rsidP="00975D7E">
                            <w:r>
                              <w:t xml:space="preserve">– La Commission lancera </w:t>
                            </w:r>
                            <w:r>
                              <w:rPr>
                                <w:b/>
                              </w:rPr>
                              <w:t>un projet pilote sur la construction hors site dans le cadre de l’outil de coordination de la compétitivité</w:t>
                            </w:r>
                            <w:r>
                              <w:t xml:space="preserve"> dans le but de supprimer les obstacles réglementaires et de créer un véritable marché paneuropéen pour le secteur, afin de l’aider à atteindre l’échelle nécessaire pour apporter une réponse plus rapide aux objectifs urgents en matière de construction. Dans le courant de l’année 2026, la Commission dirigera les efforts visant à développer ce projet d’outil de coordination de la compétitivité avec les États membres. </w:t>
                            </w:r>
                          </w:p>
                          <w:p w14:paraId="0201100F" w14:textId="71D39552" w:rsidR="00975D7E" w:rsidRDefault="00975D7E" w:rsidP="005316E4">
                            <w:r>
                              <w:t xml:space="preserve">– La Commission continuera de </w:t>
                            </w:r>
                            <w:r>
                              <w:rPr>
                                <w:b/>
                              </w:rPr>
                              <w:t>financer la recherche et le déploiement de solutions innovantes de qualité</w:t>
                            </w:r>
                            <w:r>
                              <w:t xml:space="preserve"> et de diffuser les bonnes pratiques dans le cadre du nouveau Bauhaus européen.</w:t>
                            </w:r>
                          </w:p>
                          <w:p w14:paraId="7DD1BDE6" w14:textId="77777777" w:rsidR="00975D7E" w:rsidRPr="00183C7C" w:rsidRDefault="00975D7E" w:rsidP="00975D7E">
                            <w:pPr>
                              <w:rPr>
                                <w:rFonts w:eastAsia="Times New Roman" w:cs="Times New Roman"/>
                                <w:szCs w:val="24"/>
                              </w:rPr>
                            </w:pPr>
                            <w:r>
                              <w:t xml:space="preserve"> </w:t>
                            </w:r>
                          </w:p>
                        </w:txbxContent>
                      </wps:txbx>
                      <wps:bodyPr rot="0" vert="horz" wrap="square" lIns="91440" tIns="45720" rIns="91440" bIns="45720" anchor="t" anchorCtr="0">
                        <a:noAutofit/>
                      </wps:bodyPr>
                    </wps:wsp>
                  </a:graphicData>
                </a:graphic>
              </wp:anchor>
            </w:drawing>
          </mc:Choice>
          <mc:Fallback>
            <w:pict>
              <v:shape w14:anchorId="28F08BB6" id="_x0000_s1029" type="#_x0000_t202" style="position:absolute;left:0;text-align:left;margin-left:0;margin-top:87.7pt;width:481.1pt;height:212.5pt;z-index:-25165823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">
                <v:textbox>
                  <w:txbxContent>
                    <w:p w14:paraId="18D7DB3F" w14:textId="1C5A2122" w:rsidR="00975D7E" w:rsidRDefault="00975D7E" w:rsidP="00975D7E">
                      <w:pPr>
                        <w:rPr>
                          <w:b/>
                          <w:bCs/>
                        </w:rPr>
                      </w:pPr>
                      <w:r>
                        <w:rPr>
                          <w:b/>
                        </w:rPr>
                        <w:t>Mesure 4 – Mettre à profit les instruments financiers pour accroître le déploiement de matériaux, de produits et de technologies de construction innovants</w:t>
                      </w:r>
                    </w:p>
                    <w:p w14:paraId="2C02C426" w14:textId="3D6D72DA" w:rsidR="00975D7E" w:rsidRDefault="00975D7E" w:rsidP="00975D7E">
                      <w:r>
                        <w:t xml:space="preserve">– La </w:t>
                      </w:r>
                      <w:r>
                        <w:rPr>
                          <w:b/>
                        </w:rPr>
                        <w:t>BEI a récemment mis en place une nouvelle enveloppe de prêts</w:t>
                      </w:r>
                      <w:r>
                        <w:t xml:space="preserve"> de 400 millions d’EUR, avec la participation d’InvestEU, destinée à investir dans de nouvelles technologies susceptibles de faire face aux coûts élevés de construction et de développement et d’accélérer l’offre de nouveaux parcs de logements. </w:t>
                      </w:r>
                    </w:p>
                    <w:p w14:paraId="012BB6FE" w14:textId="65E11D69" w:rsidR="00975D7E" w:rsidRDefault="00975D7E" w:rsidP="00975D7E">
                      <w:r>
                        <w:t xml:space="preserve">– La Commission lancera </w:t>
                      </w:r>
                      <w:r>
                        <w:rPr>
                          <w:b/>
                        </w:rPr>
                        <w:t>un projet pilote sur la construction hors site dans le cadre de l’outil de coordination de la compétitivité</w:t>
                      </w:r>
                      <w:r>
                        <w:t xml:space="preserve"> dans le but de supprimer les obstacles réglementaires et de créer un véritable marché paneuropéen pour le secteur, afin de l’aider à atteindre l’échelle nécessaire pour apporter une réponse plus rapide aux objectifs urgents en matière de construction. Dans le courant de l’année 2026, la Commission dirigera les efforts visant à développer ce projet d’outil de coordination de la compétitivité avec les États membres. </w:t>
                      </w:r>
                    </w:p>
                    <w:p w14:paraId="0201100F" w14:textId="71D39552" w:rsidR="00975D7E" w:rsidRDefault="00975D7E" w:rsidP="005316E4">
                      <w:r>
                        <w:t xml:space="preserve">– La Commission continuera de </w:t>
                      </w:r>
                      <w:r>
                        <w:rPr>
                          <w:b/>
                        </w:rPr>
                        <w:t>financer la recherche et le déploiement de solutions innovantes de qualité</w:t>
                      </w:r>
                      <w:r>
                        <w:t xml:space="preserve"> et de diffuser les bonnes pratiques dans le cadre du nouveau Bauhaus européen.</w:t>
                      </w:r>
                    </w:p>
                    <w:p w14:paraId="7DD1BDE6" w14:textId="77777777" w:rsidR="00975D7E" w:rsidRPr="00183C7C" w:rsidRDefault="00975D7E" w:rsidP="00975D7E">
                      <w:pPr>
                        <w:rPr>
                          <w:rFonts w:eastAsia="Times New Roman" w:cs="Times New Roman"/>
                          <w:szCs w:val="24"/>
                        </w:rPr>
                      </w:pPr>
                      <w:r>
                        <w:t xml:space="preserve"> </w:t>
                      </w:r>
                    </w:p>
                  </w:txbxContent>
                </v:textbox>
                <w10:wrap type="tight" anchorx="margin"/>
              </v:shape>
            </w:pict>
          </mc:Fallback>
        </mc:AlternateContent>
      </w:r>
      <w:r>
        <w:rPr>
          <w:noProof/>
        </w:rPr>
        <w:t>Enfin, la politique de cohésion peut également jouer un rôle dans l’accélération du déploiement de matériaux et de produits de construction innovants en soutenant des investissements ciblés dans les écosystèmes régionaux d’innovation et en facilitant l’adoption de solutions de pointe. Ensemble, ces mesures stimuleront à la fois l’offre et la demande de solutions de construction innovantes, ce qui permettra à l’Europe de construire plus rapidement, plus intelligemment et de manière plus durable, tout en créant de nouvelles possibilités pour les entreprises et les travailleurs tout au long de la chaîne de valeur de la construction.</w:t>
      </w:r>
    </w:p>
    <w:p w14:paraId="124F5BA8" w14:textId="0C9E46CB" w:rsidR="00EC10A0" w:rsidRPr="00595D31" w:rsidRDefault="009F4B18" w:rsidP="00EC10A0">
      <w:pPr>
        <w:pStyle w:val="Heading1"/>
        <w:rPr>
          <w:rStyle w:val="Heading1Char"/>
          <w:noProof/>
          <w:sz w:val="36"/>
          <w:szCs w:val="36"/>
        </w:rPr>
      </w:pPr>
      <w:bookmarkStart w:id="12" w:name="_Toc213663461"/>
      <w:r>
        <w:rPr>
          <w:rStyle w:val="Heading1Char"/>
          <w:noProof/>
          <w:sz w:val="36"/>
        </w:rPr>
        <w:t>Garantir un accès stable aux matériaux de construction</w:t>
      </w:r>
      <w:bookmarkEnd w:id="12"/>
    </w:p>
    <w:p w14:paraId="66275AF4" w14:textId="77CAD6F5" w:rsidR="003B35DA" w:rsidRDefault="003B35DA" w:rsidP="00EF55AF">
      <w:pPr>
        <w:spacing w:before="120" w:after="120" w:line="240" w:lineRule="auto"/>
        <w:jc w:val="left"/>
        <w:rPr>
          <w:rFonts w:cs="Times New Roman"/>
          <w:noProof/>
        </w:rPr>
      </w:pPr>
      <w:r>
        <w:rPr>
          <w:i/>
          <w:noProof/>
        </w:rPr>
        <w:t>Augmentation des coûts des matériaux et obstacles à l’utilisation secondaire des matériaux</w:t>
      </w:r>
    </w:p>
    <w:p w14:paraId="4E301382" w14:textId="532E968B" w:rsidR="009F4B18" w:rsidRPr="009F4B18" w:rsidRDefault="00E136EC" w:rsidP="009F4B18">
      <w:pPr>
        <w:spacing w:after="120" w:line="240" w:lineRule="auto"/>
        <w:rPr>
          <w:rFonts w:cs="Times New Roman"/>
          <w:noProof/>
        </w:rPr>
      </w:pPr>
      <w:r>
        <w:rPr>
          <w:noProof/>
        </w:rPr>
        <w:t xml:space="preserve">Le secteur européen de la construction est confronté à une pression croissante en raison de la </w:t>
      </w:r>
      <w:r>
        <w:rPr>
          <w:b/>
          <w:noProof/>
        </w:rPr>
        <w:t>volatilité de l’approvisionnement en matières premières, de l’augmentation des coûts et de la fragmentation de l’accès aux matières secondaires</w:t>
      </w:r>
      <w:r>
        <w:rPr>
          <w:noProof/>
        </w:rPr>
        <w:t>. Les prix des principaux produits de construction ont considérablement augmenté entre 2020 et 2024, par exemple de 28 % pour le béton et de 45 % pour les céramiques, telles que les briques et les tuiles de toit</w:t>
      </w:r>
      <w:r>
        <w:rPr>
          <w:rStyle w:val="FootnoteReference"/>
          <w:rFonts w:cs="Times New Roman"/>
          <w:noProof/>
        </w:rPr>
        <w:footnoteReference w:id="49"/>
      </w:r>
      <w:r>
        <w:rPr>
          <w:noProof/>
        </w:rPr>
        <w:t>. Étant donné que les coûts des matériaux représentent 30 à 40 % du coût total de la construction résidentielle, ces tendances font directement grimper les prix des logements et rendent la planification de la construction imprévisible. Les perturbations de la chaîne d’approvisionnement, la rareté des intrants critiques et le manque d’informations complètes sur la disponibilité des matériaux amplifient encore le problème, ce qui rend difficile pour les promoteurs immobiliers d’anticiper les pénuries ou les flambées des prix.</w:t>
      </w:r>
      <w:r>
        <w:rPr>
          <w:rStyle w:val="FootnoteReference"/>
          <w:noProof/>
        </w:rPr>
        <w:t xml:space="preserve"> </w:t>
      </w:r>
      <w:r>
        <w:rPr>
          <w:rStyle w:val="FootnoteReference"/>
          <w:rFonts w:cs="Times New Roman"/>
          <w:noProof/>
        </w:rPr>
        <w:footnoteReference w:id="50"/>
      </w:r>
    </w:p>
    <w:p w14:paraId="4DBE4664" w14:textId="0DD51300" w:rsidR="00475A3B" w:rsidRDefault="00E136EC" w:rsidP="00EF55AF">
      <w:pPr>
        <w:spacing w:after="120" w:line="240" w:lineRule="auto"/>
        <w:rPr>
          <w:rFonts w:cs="Times New Roman"/>
          <w:i/>
          <w:iCs/>
          <w:noProof/>
        </w:rPr>
      </w:pPr>
      <w:r>
        <w:rPr>
          <w:noProof/>
        </w:rPr>
        <w:t xml:space="preserve">Le </w:t>
      </w:r>
      <w:r>
        <w:rPr>
          <w:b/>
          <w:noProof/>
        </w:rPr>
        <w:t>défi s’étend aux matériaux secondaires</w:t>
      </w:r>
      <w:r>
        <w:rPr>
          <w:noProof/>
        </w:rPr>
        <w:t>: plusieurs actes législatifs, tels que le nouveau règlement sur les produits de construction, la directive sur la performance énergétique des bâtiments</w:t>
      </w:r>
      <w:r>
        <w:rPr>
          <w:rStyle w:val="FootnoteReference"/>
          <w:rFonts w:cs="Times New Roman"/>
          <w:noProof/>
        </w:rPr>
        <w:footnoteReference w:id="51"/>
      </w:r>
      <w:r>
        <w:rPr>
          <w:noProof/>
        </w:rPr>
        <w:t xml:space="preserve"> (DPEB) et d’autres actes législatifs axés sur le climat</w:t>
      </w:r>
      <w:r>
        <w:rPr>
          <w:rStyle w:val="FootnoteReference"/>
          <w:rFonts w:cs="Times New Roman"/>
          <w:noProof/>
        </w:rPr>
        <w:footnoteReference w:id="52"/>
      </w:r>
      <w:r>
        <w:rPr>
          <w:noProof/>
        </w:rPr>
        <w:t>, encouragent la production et l’utilisation de produits recyclés ou à faibles émissions de carbone. En particulier, le potentiel de réchauffement planétaire des bâtiments neufs tout au long de leur cycle de vie sera calculé sur la base d’un cadre de l’Union</w:t>
      </w:r>
      <w:r>
        <w:rPr>
          <w:rStyle w:val="FootnoteReference"/>
          <w:rFonts w:cs="Times New Roman"/>
          <w:noProof/>
        </w:rPr>
        <w:footnoteReference w:id="53"/>
      </w:r>
      <w:r>
        <w:rPr>
          <w:noProof/>
        </w:rPr>
        <w:t>, en s’appuyant sur les données du règlement sur les produits de construction, ce qui renforcera la demande de produits de construction durables. Malgré l’augmentation des incitations économiques, leur utilisation reste limitée: seul 0,7 % des déchets de construction et de démolition sont préparés en vue du réemploi et les taux de recyclage restent faibles pour les matériaux essentiels, par exemple 10 % pour le plâtre et 6 % pour le verre</w:t>
      </w:r>
      <w:r>
        <w:rPr>
          <w:rStyle w:val="FootnoteReference"/>
          <w:rFonts w:cs="Times New Roman"/>
          <w:noProof/>
        </w:rPr>
        <w:footnoteReference w:id="54"/>
      </w:r>
      <w:r>
        <w:rPr>
          <w:noProof/>
        </w:rPr>
        <w:t xml:space="preserve">. Deux des principaux obstacles sont le </w:t>
      </w:r>
      <w:r>
        <w:rPr>
          <w:b/>
          <w:noProof/>
        </w:rPr>
        <w:t>manque d’informations</w:t>
      </w:r>
      <w:r>
        <w:rPr>
          <w:noProof/>
        </w:rPr>
        <w:t xml:space="preserve"> sur les matériaux libérés sur les sites de démolition sur les marchés européens, ce qui empêche le développement de marchés secondaires solides, et la fragmentation ou le manque de </w:t>
      </w:r>
      <w:r>
        <w:rPr>
          <w:b/>
          <w:noProof/>
        </w:rPr>
        <w:t>critères de fin du statut de déchet</w:t>
      </w:r>
      <w:r>
        <w:rPr>
          <w:rStyle w:val="FootnoteReference"/>
          <w:rFonts w:cs="Times New Roman"/>
          <w:b/>
          <w:bCs/>
          <w:noProof/>
        </w:rPr>
        <w:footnoteReference w:id="55"/>
      </w:r>
      <w:r>
        <w:rPr>
          <w:noProof/>
        </w:rPr>
        <w:t>, créant des obstacles administratifs qui bloquent la circulation transfrontière des matières secondaires.</w:t>
      </w:r>
    </w:p>
    <w:p w14:paraId="7703F35E" w14:textId="3D522644" w:rsidR="00475A3B" w:rsidRPr="00475A3B" w:rsidRDefault="003D5B69" w:rsidP="00EF55AF">
      <w:pPr>
        <w:spacing w:before="120" w:after="120" w:line="240" w:lineRule="auto"/>
        <w:jc w:val="left"/>
        <w:rPr>
          <w:rFonts w:cs="Times New Roman"/>
          <w:i/>
          <w:iCs/>
          <w:noProof/>
        </w:rPr>
      </w:pPr>
      <w:r>
        <w:rPr>
          <w:i/>
          <w:noProof/>
        </w:rPr>
        <w:t>Mesures visant à renforcer la disponibilité des matières primaires et secondaires</w:t>
      </w:r>
    </w:p>
    <w:p w14:paraId="4B7EA840" w14:textId="515329EE" w:rsidR="002868FF" w:rsidRDefault="00E136EC" w:rsidP="002868FF">
      <w:pPr>
        <w:spacing w:line="240" w:lineRule="auto"/>
        <w:rPr>
          <w:rFonts w:cs="Times New Roman"/>
          <w:noProof/>
        </w:rPr>
      </w:pPr>
      <w:r>
        <w:rPr>
          <w:noProof/>
        </w:rPr>
        <w:t xml:space="preserve">Il est essentiel de </w:t>
      </w:r>
      <w:r>
        <w:rPr>
          <w:b/>
          <w:noProof/>
        </w:rPr>
        <w:t>garantir un accès stable aux matériaux de construction primaires</w:t>
      </w:r>
      <w:r>
        <w:rPr>
          <w:noProof/>
        </w:rPr>
        <w:t xml:space="preserve"> pour répondre à la demande croissante de logements et aux ambitions climatiques de l’Union. La Commission répond par une approche à plusieurs niveaux. Les initiatives existantes, notamment la législation sur les matières premières critiques</w:t>
      </w:r>
      <w:r>
        <w:rPr>
          <w:rStyle w:val="FootnoteReference"/>
          <w:noProof/>
        </w:rPr>
        <w:footnoteReference w:id="56"/>
      </w:r>
      <w:r>
        <w:rPr>
          <w:noProof/>
        </w:rPr>
        <w:t>, le plan d’action pour une énergie abordable</w:t>
      </w:r>
      <w:r>
        <w:rPr>
          <w:rStyle w:val="FootnoteReference"/>
          <w:noProof/>
        </w:rPr>
        <w:footnoteReference w:id="57"/>
      </w:r>
      <w:r>
        <w:rPr>
          <w:noProof/>
        </w:rPr>
        <w:t>, le plan d’action européen pour l’acier et les métaux</w:t>
      </w:r>
      <w:r>
        <w:rPr>
          <w:rStyle w:val="FootnoteReference"/>
          <w:noProof/>
        </w:rPr>
        <w:footnoteReference w:id="58"/>
      </w:r>
      <w:r>
        <w:rPr>
          <w:noProof/>
        </w:rPr>
        <w:t xml:space="preserve"> et le plan d’action ReSourceEU</w:t>
      </w:r>
      <w:r>
        <w:rPr>
          <w:rStyle w:val="FootnoteReference"/>
          <w:noProof/>
        </w:rPr>
        <w:footnoteReference w:id="59"/>
      </w:r>
      <w:r>
        <w:rPr>
          <w:noProof/>
        </w:rPr>
        <w:t xml:space="preserve">, visent à réduire les coûts des intrants et à améliorer la prévisibilité des matériaux de construction. </w:t>
      </w:r>
    </w:p>
    <w:p w14:paraId="71C3FB70" w14:textId="6917C952" w:rsidR="00FA2145" w:rsidRPr="00EE30F2" w:rsidRDefault="4C81FFEF" w:rsidP="002868FF">
      <w:pPr>
        <w:spacing w:line="240" w:lineRule="auto"/>
        <w:rPr>
          <w:noProof/>
        </w:rPr>
      </w:pPr>
      <w:r>
        <w:rPr>
          <w:noProof/>
        </w:rPr>
        <w:t>Au cours des 15 dernières années, la cartographie et le suivi des matières premières critiques pour les secteurs stratégiques de l’Union ont permis d’anticiper les pénuries et de prendre des mesures pour atténuer les risques de ruptures d’approvisionnement</w:t>
      </w:r>
      <w:r>
        <w:rPr>
          <w:rStyle w:val="FootnoteReference"/>
          <w:noProof/>
          <w:lang w:val="en-GB"/>
        </w:rPr>
        <w:footnoteReference w:id="60"/>
      </w:r>
      <w:r>
        <w:rPr>
          <w:noProof/>
        </w:rPr>
        <w:t>. Plusieurs de ces matériaux, dont le feldspath, le bore, les granulats, le gypse, le sable siliceux, le calcaire et la perlite, sont particulièrement pertinents pour la construction. Par l’intermédiaire de l’Observatoire européen de la construction</w:t>
      </w:r>
      <w:r>
        <w:rPr>
          <w:rStyle w:val="FootnoteReference"/>
          <w:noProof/>
          <w:lang w:val="en-GB"/>
        </w:rPr>
        <w:footnoteReference w:id="61"/>
      </w:r>
      <w:r>
        <w:rPr>
          <w:noProof/>
        </w:rPr>
        <w:t xml:space="preserve">, la Commission assurera un suivi plus détaillé de ces matériaux et produits, ainsi que d’autres matériaux et produits pertinents, tels que l’acier, et </w:t>
      </w:r>
      <w:r>
        <w:rPr>
          <w:b/>
          <w:noProof/>
        </w:rPr>
        <w:t>rendra compte de leur disponibilité et</w:t>
      </w:r>
      <w:r>
        <w:rPr>
          <w:noProof/>
        </w:rPr>
        <w:t xml:space="preserve"> de leur prix</w:t>
      </w:r>
      <w:r>
        <w:rPr>
          <w:rStyle w:val="FootnoteReference"/>
          <w:b/>
          <w:bCs/>
          <w:noProof/>
        </w:rPr>
        <w:footnoteReference w:id="62"/>
      </w:r>
      <w:r>
        <w:rPr>
          <w:noProof/>
        </w:rPr>
        <w:t xml:space="preserve">. </w:t>
      </w:r>
    </w:p>
    <w:p w14:paraId="50DDE0C7" w14:textId="763B6EEC" w:rsidR="00BA3FCC" w:rsidRDefault="008677B0" w:rsidP="002868FF">
      <w:pPr>
        <w:spacing w:line="240" w:lineRule="auto"/>
        <w:rPr>
          <w:rFonts w:cs="Times New Roman"/>
          <w:noProof/>
        </w:rPr>
      </w:pPr>
      <w:r>
        <w:rPr>
          <w:noProof/>
        </w:rPr>
        <w:t xml:space="preserve">En ce qui concerne les matières secondaires, la Commission s’emploie à </w:t>
      </w:r>
      <w:r>
        <w:rPr>
          <w:b/>
          <w:noProof/>
        </w:rPr>
        <w:t>créer un marché unique opérationnel pour les produits réutilisés et recyclés</w:t>
      </w:r>
      <w:r>
        <w:rPr>
          <w:noProof/>
        </w:rPr>
        <w:t>. Des critères harmonisés de fin du statut de déchet transformeront les matériaux issus des déchets en produits de valeur, ce qui facilitera les échanges transfrontières et permettra leur utilisation tant dans des nouvelles constructions que dans des rénovations. Le Centre commun de recherche élabore actuellement des critères de fin du statut de déchet pour les agrégats issus des déchets de construction et de démolition. En outre, l’acte législatif sur l’économie circulaire s’attaquera à la fragmentation des critères de fin du statut de déchet, en facilitant l’utilisation de matériaux secondaires également dans les produits de construction.</w:t>
      </w:r>
    </w:p>
    <w:p w14:paraId="79F14EBC" w14:textId="738BF822" w:rsidR="00475A3B" w:rsidRDefault="0CB5FC95" w:rsidP="002868FF">
      <w:pPr>
        <w:spacing w:line="240" w:lineRule="auto"/>
        <w:rPr>
          <w:rFonts w:eastAsia="Times New Roman" w:cs="Times New Roman"/>
          <w:noProof/>
        </w:rPr>
      </w:pPr>
      <w:r>
        <w:rPr>
          <w:noProof/>
        </w:rPr>
        <w:t>Les États membres ont l’obligation, en vertu de la directive-cadre relative aux déchets</w:t>
      </w:r>
      <w:r>
        <w:rPr>
          <w:rStyle w:val="FootnoteReference"/>
          <w:rFonts w:cs="Times New Roman"/>
          <w:noProof/>
        </w:rPr>
        <w:footnoteReference w:id="63"/>
      </w:r>
      <w:r>
        <w:rPr>
          <w:noProof/>
        </w:rPr>
        <w:t xml:space="preserve">, de promouvoir la réutilisation des déchets de construction et de démolition. À cette fin, de nombreux États membres ont déjà mis en œuvre des audits obligatoires de pré-démolition et de pré-rénovation, </w:t>
      </w:r>
      <w:r>
        <w:rPr>
          <w:b/>
          <w:noProof/>
        </w:rPr>
        <w:t>en recueillant des données sur les matériaux disponibles</w:t>
      </w:r>
      <w:r>
        <w:rPr>
          <w:noProof/>
        </w:rPr>
        <w:t xml:space="preserve">. Les audits de pré-démolition renforcent la transparence et facilitent l’émergence de places de marché pour les matériaux secondaires, en reliant l’approvisionnement en matériaux des sites de démolition à la demande des fabricants. Toutefois, le plein potentiel de ces informations ne peut être exploité que lorsqu’elles sont transmises par voie numérique et rendues publiques, ce qui permet à l’industrie de collecter, d’acquérir et de prévoir la disponibilité des matières secondaires. </w:t>
      </w:r>
    </w:p>
    <w:p w14:paraId="41E476D1" w14:textId="153A2CC1" w:rsidR="00CA01A9" w:rsidRPr="009F4B18" w:rsidRDefault="002A2138" w:rsidP="00F35C14">
      <w:pPr>
        <w:spacing w:line="240" w:lineRule="auto"/>
        <w:rPr>
          <w:rFonts w:cs="Times New Roman"/>
          <w:noProof/>
        </w:rPr>
      </w:pPr>
      <w:r>
        <w:rPr>
          <w:noProof/>
        </w:rPr>
        <w:t xml:space="preserve">Sous réserve des résultats d’une analyse d’impact en cours, dans le cadre de l’acte législatif sur l’économie circulaire, la Commission mettra au point une </w:t>
      </w:r>
      <w:r>
        <w:rPr>
          <w:b/>
          <w:noProof/>
        </w:rPr>
        <w:t>plateforme d’évaluation numérique des ressources de construction européennes</w:t>
      </w:r>
      <w:r>
        <w:rPr>
          <w:noProof/>
        </w:rPr>
        <w:t xml:space="preserve">, reliant les bases de données nationales fournissant des informations sur les audits de pré-démolition. Cette plateforme fournira des données pertinentes dans un format consultable et lisible par machine. Une </w:t>
      </w:r>
      <w:r>
        <w:rPr>
          <w:b/>
          <w:noProof/>
        </w:rPr>
        <w:t>transparence</w:t>
      </w:r>
      <w:r>
        <w:rPr>
          <w:noProof/>
        </w:rPr>
        <w:t xml:space="preserve"> accrue permettra aux fabricants de déterminer rapidement les sources de matières secondaires, ce qui réduira la dépendance à l’égard des ressources vierges et diminuera les coûts de production. </w:t>
      </w:r>
      <w:r>
        <w:rPr>
          <w:noProof/>
          <w:color w:val="000000" w:themeColor="text1"/>
        </w:rPr>
        <w:t>Pour les États membres qui ne disposent pas encore d’un système d’audits de pré-démolition, cela représentera un investissement qui sera largement compensé par les avantages d’une utilisation accrue de matériaux secondaires dans la construction. La Commission examinera également, d’ici au troisième trimestre de 2026, les avantages de rendre ces audits obligatoires, en introduisant un ensemble minimal de points de données obligatoires et volontaires à mettre à disposition sous forme numérique, tout en limitant au minimum la charge administrative.</w:t>
      </w:r>
    </w:p>
    <w:p w14:paraId="0C806F62" w14:textId="77777777" w:rsidR="0025733B" w:rsidRDefault="009F4B18" w:rsidP="00C77556">
      <w:pPr>
        <w:spacing w:line="240" w:lineRule="auto"/>
        <w:rPr>
          <w:rFonts w:cs="Times New Roman"/>
          <w:noProof/>
        </w:rPr>
      </w:pPr>
      <w:r>
        <w:rPr>
          <w:noProof/>
        </w:rPr>
        <w:t>Enfin, le nouveau règlement sur les produits de construction comblera les lacunes qui subsistent en intégrant des considérations relatives au contenu recyclé et à la circularité (réparabilité, réutilisabilité, recyclabilité et allongement de la durée de vie) dans les normes applicables aux produits, garantissant ainsi que les produits réutilisés et recyclés puissent rivaliser sur un pied d’égalité avec les nouveaux matériaux dans l’ensemble de l’Union. Ensemble, ces mesures permettront de stabiliser l’approvisionnement en matériaux, de libérer le potentiel des ressources secondaires, de réduire les coûts et de soutenir un secteur de la construction plus durable, plus résilient et plus circulaire.</w:t>
      </w:r>
    </w:p>
    <w:p w14:paraId="05C7ED4E" w14:textId="40CD05F1" w:rsidR="00B301B8" w:rsidRPr="0025733B" w:rsidRDefault="00091140" w:rsidP="00C77556">
      <w:pPr>
        <w:spacing w:line="240" w:lineRule="auto"/>
        <w:rPr>
          <w:rFonts w:cs="Times New Roman"/>
          <w:noProof/>
        </w:rPr>
      </w:pPr>
      <w:r>
        <w:rPr>
          <w:noProof/>
          <w:lang w:val="en-GB" w:eastAsia="en-GB"/>
        </w:rPr>
        <mc:AlternateContent>
          <mc:Choice Requires="wps">
            <w:drawing>
              <wp:anchor distT="0" distB="0" distL="114300" distR="114300" simplePos="0" relativeHeight="251658244" behindDoc="0" locked="0" layoutInCell="1" allowOverlap="1" wp14:anchorId="01651859" wp14:editId="52E52294">
                <wp:simplePos x="0" y="0"/>
                <wp:positionH relativeFrom="margin">
                  <wp:posOffset>0</wp:posOffset>
                </wp:positionH>
                <wp:positionV relativeFrom="paragraph">
                  <wp:posOffset>588010</wp:posOffset>
                </wp:positionV>
                <wp:extent cx="5924550" cy="2360930"/>
                <wp:effectExtent l="0" t="0" r="19050" b="20320"/>
                <wp:wrapTopAndBottom/>
                <wp:docPr id="2065417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24550" cy="2360930"/>
                        </a:xfrm>
                        <a:prstGeom prst="rect">
                          <a:avLst/>
                        </a:prstGeom>
                        <a:solidFill>
                          <a:srgbClr val="FFFFFF"/>
                        </a:solidFill>
                        <a:ln w="9525">
                          <a:solidFill>
                            <a:srgbClr val="000000"/>
                          </a:solidFill>
                          <a:miter/>
                        </a:ln>
                      </wps:spPr>
                      <wps:txbx>
                        <w:txbxContent>
                          <w:p w14:paraId="06479C52" w14:textId="77D2E6B7" w:rsidR="00EC10A0" w:rsidRPr="00256003" w:rsidRDefault="00EC10A0" w:rsidP="00EC10A0">
                            <w:pPr>
                              <w:spacing w:after="120" w:line="276" w:lineRule="auto"/>
                              <w:rPr>
                                <w:rFonts w:cs="Times New Roman"/>
                                <w:b/>
                              </w:rPr>
                            </w:pPr>
                            <w:r>
                              <w:rPr>
                                <w:b/>
                              </w:rPr>
                              <w:t xml:space="preserve">Mesure 5 – Faciliter l’accès et la circulation des matériaux et produits de construction secondaires </w:t>
                            </w:r>
                          </w:p>
                          <w:p w14:paraId="0444A227" w14:textId="32FE82FF" w:rsidR="00EC10A0" w:rsidRPr="00256003" w:rsidRDefault="00EC10A0" w:rsidP="00EC10A0">
                            <w:pPr>
                              <w:spacing w:line="240" w:lineRule="auto"/>
                              <w:rPr>
                                <w:rFonts w:cs="Times New Roman"/>
                              </w:rPr>
                            </w:pPr>
                            <w:r>
                              <w:t xml:space="preserve">– La Commission définira les étapes juridiques et le calendrier pour </w:t>
                            </w:r>
                            <w:r>
                              <w:rPr>
                                <w:b/>
                              </w:rPr>
                              <w:t>remédier à la fragmentation des critères de fin de statut de déchet</w:t>
                            </w:r>
                            <w:r>
                              <w:t xml:space="preserve"> et supprimer les autres obstacles à la libre circulation des matériaux de construction secondaires au sein du marché unique (d’ici au troisième trimestre de 2026, dans le cadre de l’acte législatif sur l’économie circulaire). </w:t>
                            </w:r>
                          </w:p>
                          <w:p w14:paraId="580D53A9" w14:textId="6BE9055F" w:rsidR="00EC10A0" w:rsidRDefault="00EC10A0" w:rsidP="00EC10A0">
                            <w:pPr>
                              <w:spacing w:after="120" w:line="240" w:lineRule="auto"/>
                              <w:rPr>
                                <w:rFonts w:cs="Times New Roman"/>
                              </w:rPr>
                            </w:pPr>
                            <w:r>
                              <w:t xml:space="preserve">– Sous réserve d’une analyse d’impact en cours démontrant des avantages suffisants, la Commission peut proposer des </w:t>
                            </w:r>
                            <w:r>
                              <w:rPr>
                                <w:b/>
                              </w:rPr>
                              <w:t>audits de pré-démolition numérisés</w:t>
                            </w:r>
                            <w:r>
                              <w:t xml:space="preserve"> obligatoires (d’ici au troisième trimestre de 2026, dans le cadre de l’acte législatif sur l’économie circulaire) et ensuite mettre en place une </w:t>
                            </w:r>
                            <w:bookmarkStart w:id="13" w:name="_Hlk213435272"/>
                            <w:r>
                              <w:rPr>
                                <w:b/>
                              </w:rPr>
                              <w:t>plateforme d’évaluation numérique des ressources de construction européennes</w:t>
                            </w:r>
                            <w:bookmarkEnd w:id="13"/>
                            <w:r>
                              <w:t xml:space="preserve">, qui contribuera à connecter les systèmes nationaux.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1651859" id="_x0000_s1030" style="position:absolute;left:0;text-align:left;margin-left:0;margin-top:46.3pt;width:466.5pt;height:185.9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">
                <v:textbox>
                  <w:txbxContent>
                    <w:p w14:paraId="06479C52" w14:textId="77D2E6B7" w:rsidR="00EC10A0" w:rsidRPr="00256003" w:rsidRDefault="00EC10A0" w:rsidP="00EC10A0">
                      <w:pPr>
                        <w:spacing w:after="120" w:line="276" w:lineRule="auto"/>
                        <w:rPr>
                          <w:rFonts w:cs="Times New Roman"/>
                          <w:b/>
                        </w:rPr>
                      </w:pPr>
                      <w:r>
                        <w:rPr>
                          <w:b/>
                        </w:rPr>
                        <w:t xml:space="preserve">Mesure 5 – Faciliter l’accès et la circulation des matériaux et produits de construction secondaires </w:t>
                      </w:r>
                    </w:p>
                    <w:p w14:paraId="0444A227" w14:textId="32FE82FF" w:rsidR="00EC10A0" w:rsidRPr="00256003" w:rsidRDefault="00EC10A0" w:rsidP="00EC10A0">
                      <w:pPr>
                        <w:spacing w:line="240" w:lineRule="auto"/>
                        <w:rPr>
                          <w:rFonts w:cs="Times New Roman"/>
                        </w:rPr>
                      </w:pPr>
                      <w:r>
                        <w:t xml:space="preserve">– La Commission définira les étapes juridiques et le calendrier pour </w:t>
                      </w:r>
                      <w:r>
                        <w:rPr>
                          <w:b/>
                        </w:rPr>
                        <w:t>remédier à la fragmentation des critères de fin de statut de déchet</w:t>
                      </w:r>
                      <w:r>
                        <w:t xml:space="preserve"> et supprimer les autres obstacles à la libre circulation des matériaux de construction secondaires au sein du marché unique (d’ici au troisième trimestre de 2026, dans le cadre de l’acte législatif sur l’économie circulaire). </w:t>
                      </w:r>
                    </w:p>
                    <w:p w14:paraId="580D53A9" w14:textId="6BE9055F" w:rsidR="00EC10A0" w:rsidRDefault="00EC10A0" w:rsidP="00EC10A0">
                      <w:pPr>
                        <w:spacing w:after="120" w:line="240" w:lineRule="auto"/>
                        <w:rPr>
                          <w:rFonts w:cs="Times New Roman"/>
                        </w:rPr>
                      </w:pPr>
                      <w:r>
                        <w:t xml:space="preserve">– Sous réserve d’une analyse d’impact en cours démontrant des avantages suffisants, la Commission peut proposer des </w:t>
                      </w:r>
                      <w:r>
                        <w:rPr>
                          <w:b/>
                        </w:rPr>
                        <w:t>audits de pré-démolition numérisés</w:t>
                      </w:r>
                      <w:r>
                        <w:t xml:space="preserve"> obligatoires (d’ici au troisième trimestre de 2026, dans le cadre de l’acte législatif sur l’économie circulaire) et ensuite mettre en place une </w:t>
                      </w:r>
                      <w:bookmarkStart w:id="14" w:name="_Hlk213435272"/>
                      <w:r>
                        <w:rPr>
                          <w:b/>
                        </w:rPr>
                        <w:t>plateforme d’évaluation numérique des ressources de construction européennes</w:t>
                      </w:r>
                      <w:bookmarkEnd w:id="14"/>
                      <w:r>
                        <w:t xml:space="preserve">, qui contribuera à connecter les systèmes nationaux. </w:t>
                      </w:r>
                    </w:p>
                  </w:txbxContent>
                </v:textbox>
                <w10:wrap type="topAndBottom" anchorx="margin"/>
              </v:rect>
            </w:pict>
          </mc:Fallback>
        </mc:AlternateContent>
      </w:r>
      <w:r>
        <w:rPr>
          <w:noProof/>
        </w:rPr>
        <w:t>La pleine intégration des considérations de circularité permettra aux entreprises de réaliser des économies, limitera la dépendance à l’égard des pays tiers pour les matières premières dont le secteur a besoin et contribuera à sa décarbonation, en réduisant l’extraction et la transformation des matières premières.</w:t>
      </w:r>
    </w:p>
    <w:p w14:paraId="06DDC4AB" w14:textId="5EDBC2BC" w:rsidR="00BC7F22" w:rsidRDefault="00BC7F22" w:rsidP="00FD667B">
      <w:pPr>
        <w:pStyle w:val="Heading1"/>
        <w:rPr>
          <w:rStyle w:val="Heading1Char"/>
          <w:noProof/>
          <w:sz w:val="36"/>
          <w:szCs w:val="36"/>
        </w:rPr>
      </w:pPr>
      <w:bookmarkStart w:id="15" w:name="_Toc213663462"/>
      <w:r>
        <w:rPr>
          <w:rStyle w:val="Heading1Char"/>
          <w:noProof/>
          <w:sz w:val="36"/>
        </w:rPr>
        <w:t>Garantir l’accès aux services et améliorer les compétences</w:t>
      </w:r>
      <w:bookmarkEnd w:id="15"/>
      <w:r>
        <w:rPr>
          <w:rStyle w:val="Heading1Char"/>
          <w:noProof/>
          <w:sz w:val="36"/>
        </w:rPr>
        <w:t xml:space="preserve"> </w:t>
      </w:r>
    </w:p>
    <w:p w14:paraId="238CB2E2" w14:textId="4724500C" w:rsidR="00842585" w:rsidRPr="009864BC" w:rsidRDefault="3D62CE42" w:rsidP="00842585">
      <w:pPr>
        <w:spacing w:after="120" w:line="240" w:lineRule="auto"/>
        <w:rPr>
          <w:rFonts w:eastAsia="Times New Roman" w:cs="Times New Roman"/>
          <w:noProof/>
        </w:rPr>
      </w:pPr>
      <w:r>
        <w:rPr>
          <w:b/>
          <w:noProof/>
        </w:rPr>
        <w:t>L’intégration du marché unique européen dans les services de construction et d’installation reste faible.</w:t>
      </w:r>
      <w:r>
        <w:rPr>
          <w:noProof/>
        </w:rPr>
        <w:t xml:space="preserve"> La construction reste une activité essentiellement nationale, 90 % des entreprises, généralement des PME, ne fournissant des services de construction qu’au niveau local. Alors que l’écosystème de la construction représente environ 12 % de la valeur ajoutée brute de l’Union, les opérations transfrontières dans les services de construction sont limitées: on estime que l’intégration commerciale pour les services du secteur de la construction ne s’élève qu’à 1 %. Parmi les raisons de la faible intégration des services de construction figurent la réglementation nationale restrictive en matière d’agrément des entreprises, le nombre élevé de professions réglementées dans le secteur et la complexité de la reconnaissance mutuelle des qualifications professionnelles, des certificats et des preuves de compétence. Ces obstacles limitent les débouchés commerciaux et le choix des clients et entravent le flux transfrontière de services de construction vers l’endroit où ils sont le plus demandés. Une réduction des obstacles dans les services de construction augmentera considérablement la valeur ajoutée brute de l’Union</w:t>
      </w:r>
      <w:r>
        <w:rPr>
          <w:rStyle w:val="FootnoteReference"/>
          <w:rFonts w:eastAsia="Times New Roman" w:cs="Times New Roman"/>
          <w:noProof/>
        </w:rPr>
        <w:footnoteReference w:id="64"/>
      </w:r>
      <w:r>
        <w:rPr>
          <w:noProof/>
        </w:rPr>
        <w:t>.</w:t>
      </w:r>
    </w:p>
    <w:p w14:paraId="4BF19DF1" w14:textId="47ABEB73" w:rsidR="00E5785D" w:rsidRDefault="6763C716" w:rsidP="00E5785D">
      <w:pPr>
        <w:spacing w:after="120" w:line="240" w:lineRule="auto"/>
        <w:rPr>
          <w:rFonts w:cs="Times New Roman"/>
          <w:noProof/>
        </w:rPr>
      </w:pPr>
      <w:r>
        <w:rPr>
          <w:b/>
          <w:noProof/>
        </w:rPr>
        <w:t>En ce qui concerne la main-d’œuvre, les pénuries de main-d’œuvre et de compétences constituent un problème structurel de longue date dans le secteur de la construction, qui entrave la production de ce secteur.</w:t>
      </w:r>
      <w:r>
        <w:rPr>
          <w:noProof/>
        </w:rPr>
        <w:t xml:space="preserve"> La part des entreprises indiquant une pénurie de main-d’œuvre comme un facteur limitant leur production totale a été constamment élevée ces dernières années, entre 25 % et 30 % depuis le début de l’année 2023</w:t>
      </w:r>
      <w:r>
        <w:rPr>
          <w:rStyle w:val="FootnoteReference"/>
          <w:rFonts w:cs="Times New Roman"/>
          <w:noProof/>
          <w:lang w:val="en-GB"/>
        </w:rPr>
        <w:footnoteReference w:id="65"/>
      </w:r>
      <w:r>
        <w:rPr>
          <w:noProof/>
        </w:rPr>
        <w:t xml:space="preserve">. En outre, l’écosystème de la construction souffre d’une </w:t>
      </w:r>
      <w:r>
        <w:rPr>
          <w:b/>
          <w:noProof/>
        </w:rPr>
        <w:t>mauvaise perception générale du public</w:t>
      </w:r>
      <w:r>
        <w:rPr>
          <w:noProof/>
        </w:rPr>
        <w:t xml:space="preserve"> liée à la faible sécurité et stabilité de l’emploi, à des conditions de travail difficiles et à des risques pour la santé et la sécurité, et la construction est encore considérée comme un «métier d’homme»</w:t>
      </w:r>
      <w:r>
        <w:rPr>
          <w:rStyle w:val="FootnoteReference"/>
          <w:rFonts w:cs="Times New Roman"/>
          <w:noProof/>
          <w:lang w:val="en-GB"/>
        </w:rPr>
        <w:footnoteReference w:id="66"/>
      </w:r>
      <w:r>
        <w:rPr>
          <w:noProof/>
        </w:rPr>
        <w:t>. Il en résulte une incertitude et des coûts de main-d’œuvre élevés pour les entreprises de construction, ce qui se traduit par une hausse des coûts de la construction résidentielle.</w:t>
      </w:r>
    </w:p>
    <w:p w14:paraId="67B75DE4" w14:textId="7BE3BB52" w:rsidR="00842585" w:rsidRDefault="1545EC29" w:rsidP="00842585">
      <w:pPr>
        <w:spacing w:after="120" w:line="240" w:lineRule="auto"/>
        <w:rPr>
          <w:rFonts w:cs="Times New Roman"/>
          <w:noProof/>
        </w:rPr>
      </w:pPr>
      <w:r>
        <w:rPr>
          <w:noProof/>
        </w:rPr>
        <w:t xml:space="preserve">Tant la demande accrue de logements que la transition écologique et numérique </w:t>
      </w:r>
      <w:r>
        <w:rPr>
          <w:b/>
          <w:noProof/>
        </w:rPr>
        <w:t>augmentent considérablement la demande d’emplois spécialisés et hautement qualifiés dans le secteur des services</w:t>
      </w:r>
      <w:r>
        <w:rPr>
          <w:rStyle w:val="FootnoteReference"/>
          <w:rFonts w:eastAsiaTheme="minorEastAsia" w:cs="Times New Roman"/>
          <w:noProof/>
          <w:lang w:val="en-GB"/>
        </w:rPr>
        <w:footnoteReference w:id="67"/>
      </w:r>
      <w:r>
        <w:rPr>
          <w:noProof/>
        </w:rPr>
        <w:t xml:space="preserve">. Dans le même temps, cette transition sur le plan des compétences requises, avec un besoin accru de compétences liées à l’utilisation de l’IA, des robots et de la conception modulaire, est susceptible d’attirer les jeunes et d’améliorer l’équilibre entre les hommes et les femmes. À cet égard, il est essentiel de poursuivre les efforts visant à soutenir l’apprentissage, y compris en menant des actions de sensibilisation ciblées auprès des femmes. Le perfectionnement et la reconversion professionnels des travailleurs de la construction possédant les compétences spécifiques les plus demandées, ainsi que l’achèvement du marché unique des services de construction, </w:t>
      </w:r>
      <w:r>
        <w:rPr>
          <w:b/>
          <w:noProof/>
        </w:rPr>
        <w:t>contribueront à soutenir l’offre de main-d’œuvre et à garantir la capacité de construction de logements</w:t>
      </w:r>
      <w:r>
        <w:rPr>
          <w:noProof/>
        </w:rPr>
        <w:t>.</w:t>
      </w:r>
    </w:p>
    <w:p w14:paraId="5D4318E6" w14:textId="54A775E5" w:rsidR="00E20B4B" w:rsidRDefault="57F791C1" w:rsidP="00842585">
      <w:pPr>
        <w:spacing w:after="120" w:line="240" w:lineRule="auto"/>
        <w:rPr>
          <w:rFonts w:cs="Times New Roman"/>
          <w:noProof/>
        </w:rPr>
      </w:pPr>
      <w:r>
        <w:rPr>
          <w:noProof/>
        </w:rPr>
        <w:t>En outre, en complément des efforts visant à exploiter les talents au sein de l’Union, la mobilité juridique ciblée en provenance de pays tiers a également un rôle important à jouer. Le réservoir européen de talents récemment adopté vise à faciliter le recrutement de demandeurs d’emploi issus de pays tiers dans des professions en pénurie à l’échelle de l’Union, à tous les niveaux de compétences, la construction étant l’un des secteurs présentant les pénuries les plus importantes</w:t>
      </w:r>
      <w:r>
        <w:rPr>
          <w:rStyle w:val="FootnoteReference"/>
          <w:rFonts w:cs="Times New Roman"/>
          <w:noProof/>
        </w:rPr>
        <w:footnoteReference w:id="68"/>
      </w:r>
      <w:r>
        <w:rPr>
          <w:noProof/>
        </w:rPr>
        <w:t xml:space="preserve">. Parmi les autres moyens d’améliorer les voies légales d’accès à l’Union figurent les </w:t>
      </w:r>
      <w:r>
        <w:rPr>
          <w:b/>
          <w:noProof/>
        </w:rPr>
        <w:t>partenariats pour les talents</w:t>
      </w:r>
      <w:r>
        <w:rPr>
          <w:rStyle w:val="FootnoteReference"/>
          <w:rFonts w:cs="Times New Roman"/>
          <w:b/>
          <w:bCs/>
          <w:noProof/>
        </w:rPr>
        <w:footnoteReference w:id="69"/>
      </w:r>
      <w:r>
        <w:rPr>
          <w:noProof/>
        </w:rPr>
        <w:t xml:space="preserve">, la </w:t>
      </w:r>
      <w:r>
        <w:rPr>
          <w:b/>
          <w:noProof/>
        </w:rPr>
        <w:t>directive révisée sur le permis unique de l’UE</w:t>
      </w:r>
      <w:r>
        <w:rPr>
          <w:noProof/>
        </w:rPr>
        <w:t xml:space="preserve"> et la première </w:t>
      </w:r>
      <w:r>
        <w:rPr>
          <w:b/>
          <w:noProof/>
        </w:rPr>
        <w:t>stratégie de l’UE en matière de politique des visas</w:t>
      </w:r>
      <w:r>
        <w:rPr>
          <w:rStyle w:val="FootnoteReference"/>
          <w:rFonts w:cs="Times New Roman"/>
          <w:b/>
          <w:bCs/>
          <w:noProof/>
        </w:rPr>
        <w:footnoteReference w:id="70"/>
      </w:r>
      <w:r>
        <w:rPr>
          <w:rStyle w:val="FootnoteReference"/>
          <w:rFonts w:cs="Times New Roman"/>
          <w:noProof/>
          <w:vertAlign w:val="baseline"/>
        </w:rPr>
        <w:t>.</w:t>
      </w:r>
      <w:r>
        <w:rPr>
          <w:noProof/>
        </w:rPr>
        <w:t>. Dans le cadre du train de mesures sur la mobilité équitable de la main-d’œuvre (T3 2026), la Commission proposera des règles communes pour simplifier les procédures de reconnaissance des qualifications et de validation des compétences des ressortissants de pays tiers, dans le but de renforcer la cohérence et la transparence et d’améliorer ainsi la clarté pour les travailleurs, les employeurs et les autorités.</w:t>
      </w:r>
    </w:p>
    <w:p w14:paraId="0AE7FAE4" w14:textId="7EA0ED19" w:rsidR="00BC7F22" w:rsidRPr="00821506" w:rsidRDefault="005505F2" w:rsidP="00821506">
      <w:pPr>
        <w:pStyle w:val="Heading2"/>
        <w:rPr>
          <w:rStyle w:val="Strong"/>
          <w:b w:val="0"/>
          <w:bCs w:val="0"/>
          <w:noProof/>
        </w:rPr>
      </w:pPr>
      <w:bookmarkStart w:id="16" w:name="_Toc212632366"/>
      <w:bookmarkStart w:id="17" w:name="_Toc213663463"/>
      <w:r>
        <w:rPr>
          <w:rStyle w:val="Strong"/>
          <w:b w:val="0"/>
          <w:noProof/>
        </w:rPr>
        <w:t>Supprimer les obstacles au marché unique pour les services de construction</w:t>
      </w:r>
      <w:bookmarkEnd w:id="16"/>
      <w:bookmarkEnd w:id="17"/>
    </w:p>
    <w:p w14:paraId="564B2674" w14:textId="6A9635D8" w:rsidR="009C7E53" w:rsidRDefault="7E681EEF" w:rsidP="0087001C">
      <w:pPr>
        <w:spacing w:line="240" w:lineRule="auto"/>
        <w:rPr>
          <w:rFonts w:eastAsia="Aptos"/>
          <w:noProof/>
          <w:color w:val="000000" w:themeColor="text1"/>
        </w:rPr>
      </w:pPr>
      <w:r>
        <w:rPr>
          <w:b/>
          <w:noProof/>
        </w:rPr>
        <w:t xml:space="preserve">La Commission s’est engagée à réduire les obstacles à la fourniture transfrontière de services de construction. </w:t>
      </w:r>
      <w:r>
        <w:rPr>
          <w:noProof/>
        </w:rPr>
        <w:t>L’objectif est de maximiser le potentiel du marché unique pour les services de construction et d’installation et de contribuer à accroître la productivité du secteur. Cela vaut particulièrement pour les régions frontalières, où les PME du secteur de la construction se voient empêchées d’exploiter leur marché de proximité de l’autre côté de la frontière. En outre, la communication sur l’</w:t>
      </w:r>
      <w:r>
        <w:rPr>
          <w:b/>
          <w:noProof/>
        </w:rPr>
        <w:t>union des compétences</w:t>
      </w:r>
      <w:r>
        <w:rPr>
          <w:rStyle w:val="FootnoteReference"/>
          <w:noProof/>
          <w:lang w:val="en-US"/>
        </w:rPr>
        <w:footnoteReference w:id="71"/>
      </w:r>
      <w:r>
        <w:rPr>
          <w:noProof/>
        </w:rPr>
        <w:t xml:space="preserve"> a annoncé l’initiative sur la transférabilité des compétences afin d’offrir davantage de possibilités aux travailleurs et aux entreprises pour exploiter pleinement le potentiel du marché unique. L’une de ses actions clés, qui sera présentée dans le cadre du </w:t>
      </w:r>
      <w:r>
        <w:rPr>
          <w:b/>
          <w:noProof/>
        </w:rPr>
        <w:t>train de mesures sur la mobilité équitable de la main-d’œuvre</w:t>
      </w:r>
      <w:r>
        <w:rPr>
          <w:noProof/>
        </w:rPr>
        <w:t xml:space="preserve">, </w:t>
      </w:r>
      <w:r>
        <w:rPr>
          <w:noProof/>
          <w:color w:val="000000" w:themeColor="text1"/>
        </w:rPr>
        <w:t>consistera à étendre la reconnaissance automatique à d’autres professions réglementées au moyen de cadres de formation communs, ainsi qu’à moderniser et à rationaliser les processus de reconnaissance des professions réglementées, notamment en tirant parti des outils numériques, y compris pour faciliter et raccourcir les procédures.</w:t>
      </w:r>
    </w:p>
    <w:p w14:paraId="127A2DE1" w14:textId="5E477143" w:rsidR="00044129" w:rsidRPr="00044129" w:rsidRDefault="0088196C" w:rsidP="0087001C">
      <w:pPr>
        <w:spacing w:line="240" w:lineRule="auto"/>
        <w:rPr>
          <w:rFonts w:eastAsia="Aptos"/>
          <w:noProof/>
          <w:color w:val="000000" w:themeColor="text1"/>
        </w:rPr>
      </w:pPr>
      <w:r>
        <w:rPr>
          <w:noProof/>
          <w:color w:val="000000" w:themeColor="text1"/>
        </w:rPr>
        <w:t>Une deuxième mesure consistera à examiner les possibilités d’améliorer la transparence et la comparabilité des qualifications pour les professions non réglementées et de faire progresser un cadre européen coordonné et interopérable pour une reconnaissance transfrontière sécurisée.</w:t>
      </w:r>
    </w:p>
    <w:p w14:paraId="4F6D2B6E" w14:textId="75D103D5" w:rsidR="00D052E3" w:rsidRDefault="008469E4" w:rsidP="0087001C">
      <w:pPr>
        <w:spacing w:line="240" w:lineRule="auto"/>
        <w:rPr>
          <w:rFonts w:eastAsia="Times New Roman" w:cs="Times New Roman"/>
          <w:noProof/>
        </w:rPr>
      </w:pPr>
      <w:r>
        <w:rPr>
          <w:noProof/>
          <w:lang w:val="en-GB" w:eastAsia="en-GB"/>
        </w:rPr>
        <mc:AlternateContent>
          <mc:Choice Requires="wps">
            <w:drawing>
              <wp:anchor distT="0" distB="0" distL="114300" distR="114300" simplePos="0" relativeHeight="251658240" behindDoc="0" locked="0" layoutInCell="1" allowOverlap="1" wp14:anchorId="592138B3" wp14:editId="47C2EAE4">
                <wp:simplePos x="0" y="0"/>
                <wp:positionH relativeFrom="margin">
                  <wp:align>right</wp:align>
                </wp:positionH>
                <wp:positionV relativeFrom="paragraph">
                  <wp:posOffset>1086485</wp:posOffset>
                </wp:positionV>
                <wp:extent cx="5924550" cy="1741170"/>
                <wp:effectExtent l="0" t="0" r="19050" b="11430"/>
                <wp:wrapTopAndBottom/>
                <wp:docPr id="119483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741336"/>
                        </a:xfrm>
                        <a:prstGeom prst="rect">
                          <a:avLst/>
                        </a:prstGeom>
                        <a:solidFill>
                          <a:srgbClr val="FFFFFF"/>
                        </a:solidFill>
                        <a:ln w="9525">
                          <a:solidFill>
                            <a:srgbClr val="000000"/>
                          </a:solidFill>
                          <a:miter lim="800000"/>
                          <a:headEnd/>
                          <a:tailEnd/>
                        </a:ln>
                      </wps:spPr>
                      <wps:txbx>
                        <w:txbxContent>
                          <w:p w14:paraId="0E2EFCA4" w14:textId="64072C21" w:rsidR="00CF4775" w:rsidRDefault="00CF4775" w:rsidP="00CF4775">
                            <w:pPr>
                              <w:rPr>
                                <w:b/>
                                <w:bCs/>
                              </w:rPr>
                            </w:pPr>
                            <w:r>
                              <w:rPr>
                                <w:b/>
                              </w:rPr>
                              <w:t>Mesure 6 – Accroître le flux de services de construction transfrontières</w:t>
                            </w:r>
                          </w:p>
                          <w:p w14:paraId="3B9EDF7E" w14:textId="1DF305F5" w:rsidR="00CF4775" w:rsidRDefault="00CF4775" w:rsidP="00CF4775">
                            <w:pPr>
                              <w:rPr>
                                <w:rFonts w:eastAsiaTheme="minorEastAsia" w:cs="Times New Roman"/>
                                <w:szCs w:val="24"/>
                              </w:rPr>
                            </w:pPr>
                            <w:r>
                              <w:t xml:space="preserve">– La Commission veillera à ce que les entreprises et les professionnels puissent </w:t>
                            </w:r>
                            <w:r>
                              <w:rPr>
                                <w:b/>
                              </w:rPr>
                              <w:t>fournir plus facilement des services de construction par-delà les frontières</w:t>
                            </w:r>
                            <w:r>
                              <w:t xml:space="preserve">, sans abaisser les normes sociales, au moyen d’un </w:t>
                            </w:r>
                            <w:r>
                              <w:rPr>
                                <w:b/>
                              </w:rPr>
                              <w:t>acte législatif sur les services de construction</w:t>
                            </w:r>
                            <w:r>
                              <w:t xml:space="preserve"> (T4 2026).</w:t>
                            </w:r>
                          </w:p>
                          <w:p w14:paraId="7A36AEA2" w14:textId="08248714" w:rsidR="00635432" w:rsidRDefault="00635432" w:rsidP="00CF4775">
                            <w:pPr>
                              <w:rPr>
                                <w:rFonts w:eastAsiaTheme="minorEastAsia" w:cs="Times New Roman"/>
                                <w:szCs w:val="24"/>
                              </w:rPr>
                            </w:pPr>
                            <w:r>
                              <w:t>– L’</w:t>
                            </w:r>
                            <w:r>
                              <w:rPr>
                                <w:b/>
                              </w:rPr>
                              <w:t>initiative sur la transférabilité des compétences</w:t>
                            </w:r>
                            <w:r>
                              <w:t xml:space="preserve"> vise à permettre à la fois aux travailleurs et aux employeurs de naviguer plus efficacement dans les systèmes de reconnaissance et à moderniser les processus de reconnaissance (T3 2026).</w:t>
                            </w:r>
                          </w:p>
                          <w:p w14:paraId="41CA4CC1" w14:textId="77777777" w:rsidR="00BE4B53" w:rsidRPr="00B411B5" w:rsidRDefault="00BE4B53" w:rsidP="00CF4775">
                            <w:pPr>
                              <w:rPr>
                                <w:rFonts w:eastAsiaTheme="minorEastAsia" w:cs="Times New Roman"/>
                                <w:szCs w:val="24"/>
                                <w:lang w:val="fr-BE"/>
                              </w:rPr>
                            </w:pPr>
                          </w:p>
                          <w:p w14:paraId="082AED0E" w14:textId="77777777" w:rsidR="00BE4B53" w:rsidRPr="00EF4E4A" w:rsidRDefault="00BE4B53" w:rsidP="00CF4775">
                            <w:pPr>
                              <w:rPr>
                                <w:rFonts w:eastAsiaTheme="minorEastAsia" w:cs="Times New Roman"/>
                              </w:rPr>
                            </w:pPr>
                          </w:p>
                          <w:p w14:paraId="58F0BC4A" w14:textId="77777777" w:rsidR="00CF4775" w:rsidRPr="00B411B5" w:rsidRDefault="00CF4775" w:rsidP="00CF4775">
                            <w:pPr>
                              <w:rPr>
                                <w:rFonts w:eastAsiaTheme="minorEastAsia" w:cs="Times New Roman"/>
                                <w:lang w:val="fr-BE"/>
                              </w:rPr>
                            </w:pPr>
                          </w:p>
                          <w:p w14:paraId="267442B8" w14:textId="77777777" w:rsidR="00CF4775" w:rsidRPr="00B411B5" w:rsidRDefault="00CF4775" w:rsidP="00CF4775">
                            <w:pPr>
                              <w:rPr>
                                <w:rFonts w:eastAsiaTheme="minorEastAsia" w:cs="Times New Roman"/>
                                <w:lang w:val="fr-BE"/>
                              </w:rPr>
                            </w:pPr>
                          </w:p>
                          <w:p w14:paraId="55304C88" w14:textId="77777777" w:rsidR="00CF4775" w:rsidRPr="00B411B5" w:rsidRDefault="00CF4775" w:rsidP="00CF4775">
                            <w:pPr>
                              <w:rPr>
                                <w:rFonts w:eastAsiaTheme="minorEastAsia" w:cs="Times New Roman"/>
                                <w:lang w:val="fr-BE"/>
                              </w:rPr>
                            </w:pPr>
                          </w:p>
                          <w:p w14:paraId="38F4E662" w14:textId="77777777" w:rsidR="00CF4775" w:rsidRPr="00B411B5" w:rsidRDefault="00CF4775" w:rsidP="00CF4775">
                            <w:pPr>
                              <w:rPr>
                                <w:rFonts w:eastAsiaTheme="minorEastAsia" w:cs="Times New Roman"/>
                                <w:lang w:val="fr-BE"/>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92138B3" id="_x0000_s1031" type="#_x0000_t202" style="position:absolute;left:0;text-align:left;margin-left:415.3pt;margin-top:85.55pt;width:466.5pt;height:137.1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">
                <v:textbox>
                  <w:txbxContent>
                    <w:p w14:paraId="0E2EFCA4" w14:textId="64072C21" w:rsidR="00CF4775" w:rsidRDefault="00CF4775" w:rsidP="00CF4775">
                      <w:pPr>
                        <w:rPr>
                          <w:b/>
                          <w:bCs/>
                        </w:rPr>
                      </w:pPr>
                      <w:r>
                        <w:rPr>
                          <w:b/>
                        </w:rPr>
                        <w:t>Mesure 6 – Accroître le flux de services de construction transfrontières</w:t>
                      </w:r>
                    </w:p>
                    <w:p w14:paraId="3B9EDF7E" w14:textId="1DF305F5" w:rsidR="00CF4775" w:rsidRDefault="00CF4775" w:rsidP="00CF4775">
                      <w:pPr>
                        <w:rPr>
                          <w:rFonts w:eastAsiaTheme="minorEastAsia" w:cs="Times New Roman"/>
                          <w:szCs w:val="24"/>
                        </w:rPr>
                      </w:pPr>
                      <w:r>
                        <w:t xml:space="preserve">– La Commission veillera à ce que les entreprises et les professionnels puissent </w:t>
                      </w:r>
                      <w:r>
                        <w:rPr>
                          <w:b/>
                        </w:rPr>
                        <w:t>fournir plus facilement des services de construction par-delà les frontières</w:t>
                      </w:r>
                      <w:r>
                        <w:t xml:space="preserve">, sans abaisser les normes sociales, au moyen d’un </w:t>
                      </w:r>
                      <w:r>
                        <w:rPr>
                          <w:b/>
                        </w:rPr>
                        <w:t>acte législatif sur les services de construction</w:t>
                      </w:r>
                      <w:r>
                        <w:t xml:space="preserve"> (T4 2026).</w:t>
                      </w:r>
                    </w:p>
                    <w:p w14:paraId="7A36AEA2" w14:textId="08248714" w:rsidR="00635432" w:rsidRDefault="00635432" w:rsidP="00CF4775">
                      <w:pPr>
                        <w:rPr>
                          <w:rFonts w:eastAsiaTheme="minorEastAsia" w:cs="Times New Roman"/>
                          <w:szCs w:val="24"/>
                        </w:rPr>
                      </w:pPr>
                      <w:r>
                        <w:t>– L’</w:t>
                      </w:r>
                      <w:r>
                        <w:rPr>
                          <w:b/>
                        </w:rPr>
                        <w:t>initiative sur la transférabilité des compétences</w:t>
                      </w:r>
                      <w:r>
                        <w:t xml:space="preserve"> vise à permettre à la fois aux travailleurs et aux employeurs de naviguer plus efficacement dans les systèmes de reconnaissance et à moderniser les processus de reconnaissance (T3 2026).</w:t>
                      </w:r>
                    </w:p>
                    <w:p w14:paraId="41CA4CC1" w14:textId="77777777" w:rsidR="00BE4B53" w:rsidRPr="00B411B5" w:rsidRDefault="00BE4B53" w:rsidP="00CF4775">
                      <w:pPr>
                        <w:rPr>
                          <w:rFonts w:eastAsiaTheme="minorEastAsia" w:cs="Times New Roman"/>
                          <w:szCs w:val="24"/>
                          <w:lang w:val="fr-BE"/>
                        </w:rPr>
                      </w:pPr>
                    </w:p>
                    <w:p w14:paraId="082AED0E" w14:textId="77777777" w:rsidR="00BE4B53" w:rsidRPr="00EF4E4A" w:rsidRDefault="00BE4B53" w:rsidP="00CF4775">
                      <w:pPr>
                        <w:rPr>
                          <w:rFonts w:eastAsiaTheme="minorEastAsia" w:cs="Times New Roman"/>
                        </w:rPr>
                      </w:pPr>
                    </w:p>
                    <w:p w14:paraId="58F0BC4A" w14:textId="77777777" w:rsidR="00CF4775" w:rsidRPr="00B411B5" w:rsidRDefault="00CF4775" w:rsidP="00CF4775">
                      <w:pPr>
                        <w:rPr>
                          <w:rFonts w:eastAsiaTheme="minorEastAsia" w:cs="Times New Roman"/>
                          <w:lang w:val="fr-BE"/>
                        </w:rPr>
                      </w:pPr>
                    </w:p>
                    <w:p w14:paraId="267442B8" w14:textId="77777777" w:rsidR="00CF4775" w:rsidRPr="00B411B5" w:rsidRDefault="00CF4775" w:rsidP="00CF4775">
                      <w:pPr>
                        <w:rPr>
                          <w:rFonts w:eastAsiaTheme="minorEastAsia" w:cs="Times New Roman"/>
                          <w:lang w:val="fr-BE"/>
                        </w:rPr>
                      </w:pPr>
                    </w:p>
                    <w:p w14:paraId="55304C88" w14:textId="77777777" w:rsidR="00CF4775" w:rsidRPr="00B411B5" w:rsidRDefault="00CF4775" w:rsidP="00CF4775">
                      <w:pPr>
                        <w:rPr>
                          <w:rFonts w:eastAsiaTheme="minorEastAsia" w:cs="Times New Roman"/>
                          <w:lang w:val="fr-BE"/>
                        </w:rPr>
                      </w:pPr>
                    </w:p>
                    <w:p w14:paraId="38F4E662" w14:textId="77777777" w:rsidR="00CF4775" w:rsidRPr="00B411B5" w:rsidRDefault="00CF4775" w:rsidP="00CF4775">
                      <w:pPr>
                        <w:rPr>
                          <w:rFonts w:eastAsiaTheme="minorEastAsia" w:cs="Times New Roman"/>
                          <w:lang w:val="fr-BE"/>
                        </w:rPr>
                      </w:pPr>
                    </w:p>
                  </w:txbxContent>
                </v:textbox>
                <w10:wrap type="topAndBottom" anchorx="margin"/>
              </v:shape>
            </w:pict>
          </mc:Fallback>
        </mc:AlternateContent>
      </w:r>
      <w:r>
        <w:rPr>
          <w:noProof/>
        </w:rPr>
        <w:t>L’</w:t>
      </w:r>
      <w:r>
        <w:rPr>
          <w:b/>
          <w:noProof/>
        </w:rPr>
        <w:t>acte législatif sur les services de construction</w:t>
      </w:r>
      <w:r>
        <w:rPr>
          <w:noProof/>
        </w:rPr>
        <w:t xml:space="preserve"> vise à favoriser la libre circulation des services de construction et d’installation dans le marché unique, en veillant à ce que les entreprises, les entrepreneurs et les professionnels qui sont agréés dans leur État membre d’origine puissent fournir plus facilement des services dans d’autres États membres, tout en respectant les droits sociaux. L’initiative vise à favoriser un environnement économique prévisible et stable pour les entreprises et les entrepreneurs, et soutiendra également les activités transfrontières des PME.</w:t>
      </w:r>
    </w:p>
    <w:p w14:paraId="02EE5AC5" w14:textId="4BF3C986" w:rsidR="00BC7F22" w:rsidRPr="00F12FD7" w:rsidRDefault="00761B71" w:rsidP="00D47F22">
      <w:pPr>
        <w:pStyle w:val="Heading2"/>
        <w:rPr>
          <w:rStyle w:val="Strong"/>
          <w:b w:val="0"/>
          <w:bCs w:val="0"/>
          <w:noProof/>
        </w:rPr>
      </w:pPr>
      <w:bookmarkStart w:id="18" w:name="_Toc213663464"/>
      <w:r>
        <w:rPr>
          <w:rStyle w:val="Strong"/>
          <w:b w:val="0"/>
          <w:noProof/>
        </w:rPr>
        <w:t>Remédier aux pénuries de compétences dans l’écosystème de la construction</w:t>
      </w:r>
      <w:bookmarkEnd w:id="18"/>
    </w:p>
    <w:p w14:paraId="7D338AA8" w14:textId="3CD2F787" w:rsidR="00DA0E45" w:rsidRDefault="2D1A9C13" w:rsidP="00EF55AF">
      <w:pPr>
        <w:rPr>
          <w:noProof/>
        </w:rPr>
      </w:pPr>
      <w:r>
        <w:rPr>
          <w:noProof/>
        </w:rPr>
        <w:t xml:space="preserve">La Commission est déterminée à aider l’écosystème de la construction à développer les compétences appropriées pour répondre à la demande croissante de main-d’œuvre et de compétences dans le domaine du logement et d’autres travaux de construction. Par exemple, le </w:t>
      </w:r>
      <w:r>
        <w:rPr>
          <w:b/>
          <w:noProof/>
        </w:rPr>
        <w:t>partenariat à grande échelle en matière de compétences dans le secteur de la construction</w:t>
      </w:r>
      <w:r>
        <w:rPr>
          <w:rStyle w:val="FootnoteReference"/>
          <w:noProof/>
        </w:rPr>
        <w:footnoteReference w:id="72"/>
      </w:r>
      <w:r>
        <w:rPr>
          <w:noProof/>
        </w:rPr>
        <w:t xml:space="preserve"> a mis en place un modèle d’engagement partagé: les principaux acteurs des écosystèmes industriels, y compris les associations et les autorités publiques compétentes, s’engagent à coopérer et à investir dans le perfectionnement et la reconversion professionnels. En particulier, des synergies sont en cours de création pour permettre une forte participation des salariés des PME à ces formations. Dans le cadre de ses activités, le partenariat à grande échelle en matière de compétences </w:t>
      </w:r>
      <w:r>
        <w:rPr>
          <w:b/>
          <w:noProof/>
        </w:rPr>
        <w:t>promouvra le perfectionnement et la reconversion professionnels</w:t>
      </w:r>
      <w:r>
        <w:rPr>
          <w:noProof/>
        </w:rPr>
        <w:t xml:space="preserve"> de 30 % de la main-d’œuvre chaque année d’ici à 2030 dans l’ensemble de l’industrie, avec un objectif de trois millions de personnes formées chaque année au sein de la main-d’œuvre de la construction de l’UE d’ici à 2030.</w:t>
      </w:r>
    </w:p>
    <w:p w14:paraId="60FD2424" w14:textId="6863369E" w:rsidR="00016DBD" w:rsidRPr="003E2864" w:rsidRDefault="7E681EEF" w:rsidP="5AD75BDB">
      <w:pPr>
        <w:spacing w:line="240" w:lineRule="auto"/>
        <w:rPr>
          <w:rFonts w:eastAsiaTheme="minorEastAsia" w:cs="Times New Roman"/>
          <w:noProof/>
        </w:rPr>
      </w:pPr>
      <w:r>
        <w:rPr>
          <w:noProof/>
        </w:rPr>
        <w:t>L’</w:t>
      </w:r>
      <w:r>
        <w:rPr>
          <w:b/>
          <w:noProof/>
        </w:rPr>
        <w:t>alliance sectorielle</w:t>
      </w:r>
      <w:r>
        <w:rPr>
          <w:noProof/>
        </w:rPr>
        <w:t xml:space="preserve"> pour la «modernisation de la formation professionnelle dans le secteur de la construction»</w:t>
      </w:r>
      <w:r>
        <w:rPr>
          <w:rStyle w:val="FootnoteReference"/>
          <w:rFonts w:eastAsiaTheme="minorEastAsia" w:cs="Times New Roman"/>
          <w:noProof/>
          <w:lang w:val="en-US"/>
        </w:rPr>
        <w:footnoteReference w:id="73"/>
      </w:r>
      <w:r>
        <w:rPr>
          <w:noProof/>
        </w:rPr>
        <w:t xml:space="preserve"> mettant en œuvre le plan élaborera des actions de formation pour répondre aux besoins urgents en matière de compétences en 2026 et aux besoins de compétences à long terme en 2028, y compris des initiatives visant à améliorer l’image de l’écosystème et à attirer de meilleurs jeunes talents et femmes, notamment en renforçant l’offre d’apprentissage. Parallèlement à cette communication, </w:t>
      </w:r>
      <w:r>
        <w:rPr>
          <w:b/>
          <w:noProof/>
        </w:rPr>
        <w:t>la Commission a publié un rapport analytique recensant les besoins actuels et futurs en matière de compétences et de main-d’œuvre dans le secteur de la construction</w:t>
      </w:r>
      <w:r>
        <w:rPr>
          <w:rStyle w:val="FootnoteReference"/>
          <w:rFonts w:eastAsiaTheme="minorEastAsia" w:cs="Times New Roman"/>
          <w:b/>
          <w:bCs/>
          <w:noProof/>
          <w:lang w:val="en-GB"/>
        </w:rPr>
        <w:footnoteReference w:id="74"/>
      </w:r>
      <w:r>
        <w:rPr>
          <w:noProof/>
        </w:rPr>
        <w:t xml:space="preserve">, avec des perspectives à l’horizon 2030. Ce rapport améliorera la veille stratégique fragmentée sur les besoins en compétences et fournira des éléments probants pour les futures politiques liées aux compétences dans l’écosystème de la construction. </w:t>
      </w:r>
    </w:p>
    <w:p w14:paraId="34E1017A" w14:textId="6E8D032E" w:rsidR="00563E0A" w:rsidRDefault="106609C0" w:rsidP="21FE4B52">
      <w:pPr>
        <w:tabs>
          <w:tab w:val="left" w:pos="1245"/>
          <w:tab w:val="left" w:pos="3630"/>
        </w:tabs>
        <w:spacing w:after="120" w:line="240" w:lineRule="auto"/>
        <w:rPr>
          <w:rFonts w:eastAsia="Times New Roman" w:cs="Times New Roman"/>
          <w:noProof/>
        </w:rPr>
      </w:pPr>
      <w:r>
        <w:rPr>
          <w:noProof/>
        </w:rPr>
        <w:t xml:space="preserve">Ces mesures seront soutenues par d’autres activités de la Commission en faveur du développement pilote des compétences, du déploiement et de la diffusion des bonnes pratiques dans les domaines de la rénovation en profondeur, de la modélisation des informations de la construction et de la construction circulaire. Celles-ci sont mises en œuvre au moyen de diverses initiatives de la Commission telles que BUILD UP Skills, les centres d’excellence professionnelle dans le secteur de la construction et l’Alliance européenne pour l’apprentissage. La Commission encourage les États membres à faire un usage optimal du Fonds social européen plus et des financements publics nationaux pour déployer des formations prêtes pour l’avenir en matière de reconversion et de perfectionnement professionnels. </w:t>
      </w:r>
    </w:p>
    <w:p w14:paraId="282FA7FD" w14:textId="09F03AEA" w:rsidR="00EC3E4C" w:rsidRDefault="007633E3" w:rsidP="21FE4B52">
      <w:pPr>
        <w:tabs>
          <w:tab w:val="left" w:pos="1245"/>
          <w:tab w:val="left" w:pos="3630"/>
        </w:tabs>
        <w:spacing w:after="120" w:line="240" w:lineRule="auto"/>
        <w:rPr>
          <w:rFonts w:eastAsiaTheme="minorEastAsia" w:cs="Times New Roman"/>
          <w:noProof/>
        </w:rPr>
      </w:pPr>
      <w:r>
        <w:rPr>
          <w:noProof/>
          <w:lang w:val="en-GB" w:eastAsia="en-GB"/>
        </w:rPr>
        <mc:AlternateContent>
          <mc:Choice Requires="wps">
            <w:drawing>
              <wp:anchor distT="0" distB="0" distL="114300" distR="114300" simplePos="0" relativeHeight="251658242" behindDoc="0" locked="0" layoutInCell="1" allowOverlap="1" wp14:anchorId="34118143" wp14:editId="6EB8198E">
                <wp:simplePos x="0" y="0"/>
                <wp:positionH relativeFrom="margin">
                  <wp:posOffset>0</wp:posOffset>
                </wp:positionH>
                <wp:positionV relativeFrom="paragraph">
                  <wp:posOffset>1138555</wp:posOffset>
                </wp:positionV>
                <wp:extent cx="5924550" cy="1819275"/>
                <wp:effectExtent l="0" t="0" r="19050" b="28575"/>
                <wp:wrapTopAndBottom/>
                <wp:docPr id="321610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819275"/>
                        </a:xfrm>
                        <a:prstGeom prst="rect">
                          <a:avLst/>
                        </a:prstGeom>
                        <a:solidFill>
                          <a:srgbClr val="FFFFFF"/>
                        </a:solidFill>
                        <a:ln w="9525">
                          <a:solidFill>
                            <a:srgbClr val="000000"/>
                          </a:solidFill>
                          <a:miter lim="800000"/>
                          <a:headEnd/>
                          <a:tailEnd/>
                        </a:ln>
                      </wps:spPr>
                      <wps:txbx>
                        <w:txbxContent>
                          <w:p w14:paraId="00417EF7" w14:textId="77777777" w:rsidR="003B4DDF" w:rsidRDefault="003B4DDF" w:rsidP="003B4DDF">
                            <w:pPr>
                              <w:rPr>
                                <w:b/>
                                <w:bCs/>
                              </w:rPr>
                            </w:pPr>
                            <w:r>
                              <w:rPr>
                                <w:b/>
                              </w:rPr>
                              <w:t>Mesure 7 – Accroître la disponibilité de main-d’œuvre qualifiée dans le secteur de la construction</w:t>
                            </w:r>
                          </w:p>
                          <w:p w14:paraId="6BB07A95" w14:textId="14DD4915" w:rsidR="00686504" w:rsidRDefault="00686504" w:rsidP="00686504">
                            <w:pPr>
                              <w:rPr>
                                <w:rFonts w:eastAsiaTheme="minorEastAsia" w:cs="Times New Roman"/>
                              </w:rPr>
                            </w:pPr>
                            <w:r>
                              <w:t xml:space="preserve">– Le futur Fonds européen pour la compétitivité sera en mesure de </w:t>
                            </w:r>
                            <w:r>
                              <w:rPr>
                                <w:b/>
                              </w:rPr>
                              <w:t>soutenir des actions de perfectionnement et de reconversion professionnels</w:t>
                            </w:r>
                            <w:r>
                              <w:t xml:space="preserve"> dans les domaines couverts par le Fonds, tels que la construction, et de </w:t>
                            </w:r>
                            <w:r>
                              <w:rPr>
                                <w:b/>
                              </w:rPr>
                              <w:t>favoriser les partenariats public-privé</w:t>
                            </w:r>
                            <w:r>
                              <w:t xml:space="preserve"> entre les universités, les prestataires d’enseignement et de formation professionnels (EFP), les entreprises (en particulier les PME), les partenaires sociaux et les instituts de recherche appliquée.</w:t>
                            </w:r>
                          </w:p>
                          <w:p w14:paraId="6C5B9074" w14:textId="657FEC38" w:rsidR="00AC05CE" w:rsidRDefault="007D33A4" w:rsidP="00AC05CE">
                            <w:pPr>
                              <w:tabs>
                                <w:tab w:val="left" w:pos="1245"/>
                                <w:tab w:val="left" w:pos="3630"/>
                              </w:tabs>
                              <w:spacing w:after="120" w:line="240" w:lineRule="auto"/>
                              <w:rPr>
                                <w:rFonts w:eastAsiaTheme="minorEastAsia" w:cs="Times New Roman"/>
                              </w:rPr>
                            </w:pPr>
                            <w:r>
                              <w:t>– L’</w:t>
                            </w:r>
                            <w:hyperlink r:id="rId15">
                              <w:r>
                                <w:rPr>
                                  <w:b/>
                                </w:rPr>
                                <w:t>Académie du nouveau Bauhaus européen</w:t>
                              </w:r>
                            </w:hyperlink>
                            <w:r>
                              <w:t xml:space="preserve"> sera renforcée afin de soutenir l’innovation et la recherche, de </w:t>
                            </w:r>
                            <w:r>
                              <w:rPr>
                                <w:b/>
                              </w:rPr>
                              <w:t>renforcer les capacités et les compétences en matière de méthodes et de matériaux de construction innovants</w:t>
                            </w:r>
                            <w:r>
                              <w:t xml:space="preserve"> dans l’ensemble de l’UE et de soutenir les PME et les professionnels.  </w:t>
                            </w:r>
                          </w:p>
                          <w:p w14:paraId="0FC190C7" w14:textId="77777777" w:rsidR="003B4DDF" w:rsidRPr="00B411B5" w:rsidRDefault="003B4DDF" w:rsidP="003B4DDF">
                            <w:pPr>
                              <w:rPr>
                                <w:rFonts w:eastAsiaTheme="minorEastAsia" w:cs="Times New Roman"/>
                                <w:lang w:val="fr-BE"/>
                              </w:rPr>
                            </w:pPr>
                          </w:p>
                          <w:p w14:paraId="0FDBE5A8" w14:textId="77777777" w:rsidR="003B4DDF" w:rsidRPr="00B411B5" w:rsidRDefault="003B4DDF" w:rsidP="003B4DDF">
                            <w:pPr>
                              <w:rPr>
                                <w:rFonts w:eastAsiaTheme="minorEastAsia" w:cs="Times New Roman"/>
                                <w:lang w:val="fr-BE"/>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4118143" id="_x0000_s1032" type="#_x0000_t202" style="position:absolute;left:0;text-align:left;margin-left:0;margin-top:89.65pt;width:466.5pt;height:143.2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">
                <v:textbox>
                  <w:txbxContent>
                    <w:p w14:paraId="00417EF7" w14:textId="77777777" w:rsidR="003B4DDF" w:rsidRDefault="003B4DDF" w:rsidP="003B4DDF">
                      <w:pPr>
                        <w:rPr>
                          <w:b/>
                          <w:bCs/>
                        </w:rPr>
                      </w:pPr>
                      <w:r>
                        <w:rPr>
                          <w:b/>
                        </w:rPr>
                        <w:t>Mesure 7 – Accroître la disponibilité de main-d’œuvre qualifiée dans le secteur de la construction</w:t>
                      </w:r>
                    </w:p>
                    <w:p w14:paraId="6BB07A95" w14:textId="14DD4915" w:rsidR="00686504" w:rsidRDefault="00686504" w:rsidP="00686504">
                      <w:pPr>
                        <w:rPr>
                          <w:rFonts w:eastAsiaTheme="minorEastAsia" w:cs="Times New Roman"/>
                        </w:rPr>
                      </w:pPr>
                      <w:r>
                        <w:t xml:space="preserve">– Le futur Fonds européen pour la compétitivité sera en mesure de </w:t>
                      </w:r>
                      <w:r>
                        <w:rPr>
                          <w:b/>
                        </w:rPr>
                        <w:t>soutenir des actions de perfectionnement et de reconversion professionnels</w:t>
                      </w:r>
                      <w:r>
                        <w:t xml:space="preserve"> dans les domaines couverts par le Fonds, tels que la construction, et de </w:t>
                      </w:r>
                      <w:r>
                        <w:rPr>
                          <w:b/>
                        </w:rPr>
                        <w:t>favoriser les partenariats public-privé</w:t>
                      </w:r>
                      <w:r>
                        <w:t xml:space="preserve"> entre les universités, les prestataires d’enseignement et de formation professionnels (EFP), les entreprises (en particulier les PME), les partenaires sociaux et les instituts de recherche appliquée.</w:t>
                      </w:r>
                    </w:p>
                    <w:p w14:paraId="6C5B9074" w14:textId="657FEC38" w:rsidR="00AC05CE" w:rsidRDefault="007D33A4" w:rsidP="00AC05CE">
                      <w:pPr>
                        <w:tabs>
                          <w:tab w:val="left" w:pos="1245"/>
                          <w:tab w:val="left" w:pos="3630"/>
                        </w:tabs>
                        <w:spacing w:after="120" w:line="240" w:lineRule="auto"/>
                        <w:rPr>
                          <w:rFonts w:eastAsiaTheme="minorEastAsia" w:cs="Times New Roman"/>
                        </w:rPr>
                      </w:pPr>
                      <w:r>
                        <w:t>– L’</w:t>
                      </w:r>
                      <w:hyperlink r:id="rId16">
                        <w:r>
                          <w:rPr>
                            <w:b/>
                          </w:rPr>
                          <w:t>Académie du nouveau Bauhaus européen</w:t>
                        </w:r>
                      </w:hyperlink>
                      <w:r>
                        <w:t xml:space="preserve"> sera renforcée afin de soutenir l’innovation et la recherche, de </w:t>
                      </w:r>
                      <w:r>
                        <w:rPr>
                          <w:b/>
                        </w:rPr>
                        <w:t>renforcer les capacités et les compétences en matière de méthodes et de matériaux de construction innovants</w:t>
                      </w:r>
                      <w:r>
                        <w:t xml:space="preserve"> dans l’ensemble de l’UE et de soutenir les PME et les professionnels.  </w:t>
                      </w:r>
                    </w:p>
                    <w:p w14:paraId="0FC190C7" w14:textId="77777777" w:rsidR="003B4DDF" w:rsidRPr="00B411B5" w:rsidRDefault="003B4DDF" w:rsidP="003B4DDF">
                      <w:pPr>
                        <w:rPr>
                          <w:rFonts w:eastAsiaTheme="minorEastAsia" w:cs="Times New Roman"/>
                          <w:lang w:val="fr-BE"/>
                        </w:rPr>
                      </w:pPr>
                    </w:p>
                    <w:p w14:paraId="0FDBE5A8" w14:textId="77777777" w:rsidR="003B4DDF" w:rsidRPr="00B411B5" w:rsidRDefault="003B4DDF" w:rsidP="003B4DDF">
                      <w:pPr>
                        <w:rPr>
                          <w:rFonts w:eastAsiaTheme="minorEastAsia" w:cs="Times New Roman"/>
                          <w:lang w:val="fr-BE"/>
                        </w:rPr>
                      </w:pPr>
                    </w:p>
                  </w:txbxContent>
                </v:textbox>
                <w10:wrap type="topAndBottom" anchorx="margin"/>
              </v:shape>
            </w:pict>
          </mc:Fallback>
        </mc:AlternateContent>
      </w:r>
      <w:r>
        <w:rPr>
          <w:noProof/>
        </w:rPr>
        <w:t>L’</w:t>
      </w:r>
      <w:r>
        <w:rPr>
          <w:b/>
          <w:noProof/>
        </w:rPr>
        <w:t>Académie du nouveau Bauhaus européen</w:t>
      </w:r>
      <w:r>
        <w:rPr>
          <w:noProof/>
        </w:rPr>
        <w:t xml:space="preserve"> accélérera le perfectionnement et la reconversion professionnels dans l’écosystème de la construction afin de soutenir la transition vers un système d’utilisation des matériaux plus régénératif et circulaire. L’expansion et la consolidation de l’Académie du nouveau Bauhaus européen continueront de soutenir le développement des connaissances, des compétences et de l’innovation, y compris le soutien aux start-up et aux bacs à sable pour les produits innovants.</w:t>
      </w:r>
    </w:p>
    <w:p w14:paraId="7A9CC757" w14:textId="6326FB1E" w:rsidR="00264438" w:rsidRPr="00821506" w:rsidRDefault="00DA67FA" w:rsidP="00051BFD">
      <w:pPr>
        <w:pStyle w:val="Heading1"/>
        <w:rPr>
          <w:rStyle w:val="Strong"/>
          <w:b w:val="0"/>
          <w:bCs w:val="0"/>
          <w:noProof/>
        </w:rPr>
      </w:pPr>
      <w:bookmarkStart w:id="19" w:name="_Toc213663465"/>
      <w:r>
        <w:rPr>
          <w:rStyle w:val="Heading1Char"/>
          <w:noProof/>
        </w:rPr>
        <w:t>Travailler ensemble à la mise en œuvre</w:t>
      </w:r>
      <w:bookmarkEnd w:id="19"/>
    </w:p>
    <w:p w14:paraId="153A2BA0" w14:textId="631FF136" w:rsidR="00315441" w:rsidRPr="00A00904" w:rsidRDefault="00315441" w:rsidP="007B280C">
      <w:pPr>
        <w:spacing w:line="240" w:lineRule="auto"/>
        <w:rPr>
          <w:rFonts w:cs="Times New Roman"/>
          <w:noProof/>
        </w:rPr>
      </w:pPr>
      <w:r>
        <w:rPr>
          <w:noProof/>
        </w:rPr>
        <w:t xml:space="preserve">Pour redynamiser l’écosystème de la construction afin de stimuler la compétitivité de l’Europe, il faut transformer ce secteur fragmenté qui mobilise beaucoup de ressources en un écosystème industriel moderne, compétitif, numérique et durable. Un écosystème de la construction plus productif se traduit par une intensité accrue de la construction, y compris une offre de logements plus abordable. </w:t>
      </w:r>
    </w:p>
    <w:p w14:paraId="73A85956" w14:textId="32B5F606" w:rsidR="00315441" w:rsidRDefault="579DCC80" w:rsidP="007B280C">
      <w:pPr>
        <w:spacing w:after="120" w:line="240" w:lineRule="auto"/>
        <w:rPr>
          <w:noProof/>
        </w:rPr>
      </w:pPr>
      <w:r>
        <w:rPr>
          <w:noProof/>
        </w:rPr>
        <w:t xml:space="preserve">La Commission </w:t>
      </w:r>
      <w:r>
        <w:rPr>
          <w:b/>
          <w:noProof/>
        </w:rPr>
        <w:t>suivra</w:t>
      </w:r>
      <w:r>
        <w:rPr>
          <w:noProof/>
        </w:rPr>
        <w:t xml:space="preserve"> en permanence la situation dans le secteur, sa résilience, sa productivité et la décarbonation en cours, en étroite coopération avec tous les acteurs concernés. Le </w:t>
      </w:r>
      <w:r>
        <w:rPr>
          <w:b/>
          <w:noProof/>
        </w:rPr>
        <w:t>forum de construction de haut niveau (HLCF)</w:t>
      </w:r>
      <w:r>
        <w:rPr>
          <w:rStyle w:val="FootnoteReference"/>
          <w:b/>
          <w:bCs/>
          <w:noProof/>
        </w:rPr>
        <w:footnoteReference w:id="75"/>
      </w:r>
      <w:r>
        <w:rPr>
          <w:noProof/>
        </w:rPr>
        <w:t xml:space="preserve"> constituera la principale plateforme pour la poursuite de la communication sur les mesures définies dans la stratégie ainsi que pour le suivi des performances économiques du secteur et de sa contribution à la réduction de l’écart entre l’offre et la demande de logements. Le HLCF assurera des synergies avec l’alliance européenne pour le logement annoncée dans le plan européen pour des logements abordables. L’alliance fournira une plateforme pour le suivi de la mise en œuvre des mesures nationales liées aux procédures d’octroi de permis et aux procédures administratives.</w:t>
      </w:r>
    </w:p>
    <w:p w14:paraId="44FAE186" w14:textId="4C5D24FE" w:rsidR="00EA2F8F" w:rsidRPr="00EA2F8F" w:rsidRDefault="00315441" w:rsidP="007B280C">
      <w:pPr>
        <w:spacing w:line="240" w:lineRule="auto"/>
        <w:rPr>
          <w:noProof/>
        </w:rPr>
      </w:pPr>
      <w:r>
        <w:rPr>
          <w:noProof/>
        </w:rPr>
        <w:t>Il s’agit d’une entreprise collective. Les États membres, les autorités régionales et locales, l’industrie, les partenaires sociaux et les institutions financières ont tous un rôle à jouer. En travaillant ensemble, les acteurs européens peuvent transformer l’écosystème européen de la construction en un véritable moteur de compétitivité, qui construit non seulement des logements, mais aussi de la résilience, des possibilités et de la confiance dans l’avenir de l’Europe.</w:t>
      </w:r>
    </w:p>
    <w:sectPr w:rsidR="00EA2F8F" w:rsidRPr="00EA2F8F" w:rsidSect="008F2409">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0119E" w14:textId="77777777" w:rsidR="00756AAB" w:rsidRDefault="00756AAB">
      <w:pPr>
        <w:spacing w:after="0" w:line="240" w:lineRule="auto"/>
      </w:pPr>
      <w:r>
        <w:separator/>
      </w:r>
    </w:p>
  </w:endnote>
  <w:endnote w:type="continuationSeparator" w:id="0">
    <w:p w14:paraId="117F5E29" w14:textId="77777777" w:rsidR="00756AAB" w:rsidRDefault="00756AAB">
      <w:pPr>
        <w:spacing w:after="0" w:line="240" w:lineRule="auto"/>
      </w:pPr>
      <w:r>
        <w:continuationSeparator/>
      </w:r>
    </w:p>
  </w:endnote>
  <w:endnote w:type="continuationNotice" w:id="1">
    <w:p w14:paraId="2786905D" w14:textId="77777777" w:rsidR="00756AAB" w:rsidRDefault="00756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EF31D" w14:textId="0D5560F1" w:rsidR="00607EE2" w:rsidRPr="00607EE2" w:rsidRDefault="00607EE2" w:rsidP="00607EE2">
    <w:pPr>
      <w:pStyle w:val="FooterCoverPage"/>
      <w:rPr>
        <w:rFonts w:ascii="Arial" w:hAnsi="Arial" w:cs="Arial"/>
        <w:b/>
        <w:sz w:val="48"/>
      </w:rPr>
    </w:pPr>
    <w:r w:rsidRPr="00607EE2">
      <w:rPr>
        <w:rFonts w:ascii="Arial" w:hAnsi="Arial" w:cs="Arial"/>
        <w:b/>
        <w:sz w:val="48"/>
      </w:rPr>
      <w:t>FR</w:t>
    </w:r>
    <w:r w:rsidRPr="00607EE2">
      <w:rPr>
        <w:rFonts w:ascii="Arial" w:hAnsi="Arial" w:cs="Arial"/>
        <w:b/>
        <w:sz w:val="48"/>
      </w:rPr>
      <w:tab/>
    </w:r>
    <w:r w:rsidRPr="00607EE2">
      <w:rPr>
        <w:rFonts w:ascii="Arial" w:hAnsi="Arial" w:cs="Arial"/>
        <w:b/>
        <w:sz w:val="48"/>
      </w:rPr>
      <w:tab/>
    </w:r>
    <w:r w:rsidRPr="00607EE2">
      <w:tab/>
    </w:r>
    <w:r w:rsidRPr="00607EE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70D9D" w14:textId="7E4C1CD0" w:rsidR="00607EE2" w:rsidRPr="00607EE2" w:rsidRDefault="00607EE2" w:rsidP="00607EE2">
    <w:pPr>
      <w:pStyle w:val="FooterCoverPage"/>
      <w:rPr>
        <w:rFonts w:ascii="Arial" w:hAnsi="Arial" w:cs="Arial"/>
        <w:b/>
        <w:sz w:val="48"/>
      </w:rPr>
    </w:pPr>
    <w:r w:rsidRPr="00607EE2">
      <w:rPr>
        <w:rFonts w:ascii="Arial" w:hAnsi="Arial" w:cs="Arial"/>
        <w:b/>
        <w:sz w:val="48"/>
      </w:rPr>
      <w:t>FR</w:t>
    </w:r>
    <w:r w:rsidRPr="00607EE2">
      <w:rPr>
        <w:rFonts w:ascii="Arial" w:hAnsi="Arial" w:cs="Arial"/>
        <w:b/>
        <w:sz w:val="48"/>
      </w:rPr>
      <w:tab/>
    </w:r>
    <w:r w:rsidRPr="00607EE2">
      <w:rPr>
        <w:rFonts w:ascii="Arial" w:hAnsi="Arial" w:cs="Arial"/>
        <w:b/>
        <w:sz w:val="48"/>
      </w:rPr>
      <w:tab/>
    </w:r>
    <w:r w:rsidRPr="00607EE2">
      <w:tab/>
    </w:r>
    <w:r w:rsidRPr="00607EE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446AC" w14:textId="77777777" w:rsidR="00607EE2" w:rsidRPr="00607EE2" w:rsidRDefault="00607EE2" w:rsidP="00607E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20D7F" w14:textId="77777777" w:rsidR="006A7C0E" w:rsidRDefault="006A7C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509891"/>
      <w:docPartObj>
        <w:docPartGallery w:val="Page Numbers (Bottom of Page)"/>
        <w:docPartUnique/>
      </w:docPartObj>
    </w:sdtPr>
    <w:sdtEndPr>
      <w:rPr>
        <w:noProof/>
      </w:rPr>
    </w:sdtEndPr>
    <w:sdtContent>
      <w:p w14:paraId="0DABA78A" w14:textId="33D7A8E3" w:rsidR="006A7C0E" w:rsidRDefault="006A7C0E">
        <w:pPr>
          <w:pStyle w:val="Footer"/>
          <w:jc w:val="center"/>
        </w:pPr>
        <w:r>
          <w:fldChar w:fldCharType="begin"/>
        </w:r>
        <w:r>
          <w:instrText xml:space="preserve"> PAGE   \* MERGEFORMAT </w:instrText>
        </w:r>
        <w:r>
          <w:fldChar w:fldCharType="separate"/>
        </w:r>
        <w:r w:rsidR="00607EE2">
          <w:rPr>
            <w:noProof/>
          </w:rPr>
          <w:t>12</w:t>
        </w:r>
        <w:r>
          <w:fldChar w:fldCharType="end"/>
        </w:r>
      </w:p>
    </w:sdtContent>
  </w:sdt>
  <w:p w14:paraId="0D472351" w14:textId="77777777" w:rsidR="006A7C0E" w:rsidRPr="005552D6" w:rsidRDefault="006A7C0E">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40744"/>
      <w:docPartObj>
        <w:docPartGallery w:val="Page Numbers (Bottom of Page)"/>
        <w:docPartUnique/>
      </w:docPartObj>
    </w:sdtPr>
    <w:sdtEndPr>
      <w:rPr>
        <w:noProof/>
      </w:rPr>
    </w:sdtEndPr>
    <w:sdtContent>
      <w:p w14:paraId="0100A0B0" w14:textId="105DA9AD" w:rsidR="008F2409" w:rsidRDefault="008F2409">
        <w:pPr>
          <w:pStyle w:val="Footer"/>
          <w:jc w:val="center"/>
        </w:pPr>
        <w:r>
          <w:fldChar w:fldCharType="begin"/>
        </w:r>
        <w:r>
          <w:instrText xml:space="preserve"> PAGE   \* MERGEFORMAT </w:instrText>
        </w:r>
        <w:r>
          <w:fldChar w:fldCharType="separate"/>
        </w:r>
        <w:r w:rsidR="00607EE2">
          <w:rPr>
            <w:noProof/>
          </w:rPr>
          <w:t>1</w:t>
        </w:r>
        <w:r>
          <w:fldChar w:fldCharType="end"/>
        </w:r>
      </w:p>
    </w:sdtContent>
  </w:sdt>
  <w:p w14:paraId="05E46D3D" w14:textId="77777777" w:rsidR="006A7C0E" w:rsidRDefault="006A7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321B9" w14:textId="77777777" w:rsidR="00756AAB" w:rsidRDefault="00756AAB">
      <w:pPr>
        <w:spacing w:after="0" w:line="240" w:lineRule="auto"/>
      </w:pPr>
      <w:r>
        <w:separator/>
      </w:r>
    </w:p>
  </w:footnote>
  <w:footnote w:type="continuationSeparator" w:id="0">
    <w:p w14:paraId="56E55B14" w14:textId="77777777" w:rsidR="00756AAB" w:rsidRDefault="00756AAB">
      <w:pPr>
        <w:spacing w:after="0" w:line="240" w:lineRule="auto"/>
      </w:pPr>
      <w:r>
        <w:continuationSeparator/>
      </w:r>
    </w:p>
  </w:footnote>
  <w:footnote w:type="continuationNotice" w:id="1">
    <w:p w14:paraId="3E7CD7C6" w14:textId="77777777" w:rsidR="00756AAB" w:rsidRDefault="00756AAB">
      <w:pPr>
        <w:spacing w:after="0" w:line="240" w:lineRule="auto"/>
      </w:pPr>
    </w:p>
  </w:footnote>
  <w:footnote w:id="2">
    <w:p w14:paraId="46B05A91" w14:textId="184CC245" w:rsidR="002B183C" w:rsidRDefault="002B183C" w:rsidP="002B183C">
      <w:pPr>
        <w:pStyle w:val="FootnoteText"/>
      </w:pPr>
      <w:r>
        <w:rPr>
          <w:rStyle w:val="FootnoteReference"/>
        </w:rPr>
        <w:footnoteRef/>
      </w:r>
      <w:r>
        <w:t xml:space="preserve"> Voir Balouktsi et al. (2025) «Housing investment needs in the EU» (Besoins d’investissement dans le logement dans l’Union). JRC Science for Policy Brief.</w:t>
      </w:r>
    </w:p>
  </w:footnote>
  <w:footnote w:id="3">
    <w:p w14:paraId="239C1B42" w14:textId="50B03FDB" w:rsidR="00DF627D" w:rsidRDefault="00DF627D" w:rsidP="00DF627D">
      <w:pPr>
        <w:pStyle w:val="FootnoteText"/>
      </w:pPr>
      <w:r>
        <w:rPr>
          <w:rStyle w:val="FootnoteReference"/>
        </w:rPr>
        <w:footnoteRef/>
      </w:r>
      <w:r>
        <w:t xml:space="preserve"> COM(2025) 1025 «Homes for all – The European Affordable Housing Plan» (Des logements pour tous – Plan européen pour des logements abordables).</w:t>
      </w:r>
    </w:p>
  </w:footnote>
  <w:footnote w:id="4">
    <w:p w14:paraId="19D4A008" w14:textId="77777777" w:rsidR="00BC0F53" w:rsidRDefault="00BC0F53" w:rsidP="00BC0F53">
      <w:pPr>
        <w:pStyle w:val="FootnoteText"/>
      </w:pPr>
      <w:r>
        <w:rPr>
          <w:rStyle w:val="FootnoteReference"/>
        </w:rPr>
        <w:footnoteRef/>
      </w:r>
      <w:r>
        <w:t xml:space="preserve"> Definition and details on the ecosystem structure: (Définition et détails de la structure de l’écosystème:) swd-annual-single-market-report-2021_en.pdf (en anglais uniquement). </w:t>
      </w:r>
    </w:p>
  </w:footnote>
  <w:footnote w:id="5">
    <w:p w14:paraId="0D0C1692" w14:textId="70C76C18" w:rsidR="00BC0F53" w:rsidRDefault="00BC0F53" w:rsidP="00BC0F53">
      <w:pPr>
        <w:pStyle w:val="FootnoteText"/>
      </w:pPr>
      <w:r>
        <w:rPr>
          <w:rStyle w:val="FootnoteReference"/>
        </w:rPr>
        <w:footnoteRef/>
      </w:r>
      <w:r>
        <w:t xml:space="preserve"> Tableau de bord des indicateurs relatifs aux écosystèmes industriels (sur la base des données d’Eurostat).</w:t>
      </w:r>
    </w:p>
  </w:footnote>
  <w:footnote w:id="6">
    <w:p w14:paraId="2D834234" w14:textId="77777777" w:rsidR="00BC0F53" w:rsidRDefault="00BC0F53" w:rsidP="00BC0F53">
      <w:pPr>
        <w:pStyle w:val="FootnoteText"/>
      </w:pPr>
      <w:r>
        <w:rPr>
          <w:rStyle w:val="FootnoteReference"/>
        </w:rPr>
        <w:footnoteRef/>
      </w:r>
      <w:r>
        <w:t xml:space="preserve"> </w:t>
      </w:r>
      <w:hyperlink r:id="rId1" w:history="1">
        <w:r>
          <w:rPr>
            <w:rStyle w:val="Hyperlink"/>
          </w:rPr>
          <w:t>Enquête sur l’investissement 2024, vue d’ensemble de l’Union européenne (BEI 2024).</w:t>
        </w:r>
      </w:hyperlink>
    </w:p>
  </w:footnote>
  <w:footnote w:id="7">
    <w:p w14:paraId="018347E2" w14:textId="77777777" w:rsidR="00933816" w:rsidRDefault="00933816" w:rsidP="00933816">
      <w:pPr>
        <w:pStyle w:val="FootnoteText"/>
      </w:pPr>
      <w:r>
        <w:rPr>
          <w:rStyle w:val="FootnoteReference"/>
        </w:rPr>
        <w:footnoteRef/>
      </w:r>
      <w:r>
        <w:t xml:space="preserve"> Banque centrale européenne.</w:t>
      </w:r>
    </w:p>
  </w:footnote>
  <w:footnote w:id="8">
    <w:p w14:paraId="2F957CD6" w14:textId="32BFDED8" w:rsidR="00422F5A" w:rsidRPr="00315884" w:rsidRDefault="00422F5A" w:rsidP="00422F5A">
      <w:pPr>
        <w:pStyle w:val="FootnoteText"/>
        <w:rPr>
          <w:sz w:val="18"/>
          <w:szCs w:val="18"/>
        </w:rPr>
      </w:pPr>
      <w:r>
        <w:rPr>
          <w:rStyle w:val="FootnoteReference"/>
          <w:sz w:val="18"/>
          <w:szCs w:val="18"/>
        </w:rPr>
        <w:footnoteRef/>
      </w:r>
      <w:r>
        <w:rPr>
          <w:sz w:val="18"/>
        </w:rPr>
        <w:t xml:space="preserve"> </w:t>
      </w:r>
      <w:hyperlink r:id="rId2" w:history="1">
        <w:r>
          <w:rPr>
            <w:rStyle w:val="Hyperlink"/>
            <w:sz w:val="18"/>
          </w:rPr>
          <w:t>Buildings and construction - Internal Market, Industry, Entrepreneurship and SMEs (Bâtiments et construction – Marché intérieur, industrie, entrepreneuriat et PME).</w:t>
        </w:r>
      </w:hyperlink>
    </w:p>
  </w:footnote>
  <w:footnote w:id="9">
    <w:p w14:paraId="14E2F6C3" w14:textId="05D4C3F0" w:rsidR="00422F5A" w:rsidRPr="00E15FEA" w:rsidRDefault="00422F5A" w:rsidP="00422F5A">
      <w:pPr>
        <w:pStyle w:val="FootnoteText"/>
        <w:rPr>
          <w:sz w:val="18"/>
          <w:szCs w:val="18"/>
          <w:lang w:val="fr-BE"/>
        </w:rPr>
      </w:pPr>
      <w:r>
        <w:rPr>
          <w:rStyle w:val="FootnoteReference"/>
          <w:sz w:val="18"/>
          <w:szCs w:val="18"/>
        </w:rPr>
        <w:footnoteRef/>
      </w:r>
      <w:r w:rsidRPr="00E15FEA">
        <w:rPr>
          <w:sz w:val="18"/>
          <w:lang w:val="fr-BE"/>
        </w:rPr>
        <w:t xml:space="preserve"> </w:t>
      </w:r>
      <w:hyperlink r:id="rId3" w:history="1">
        <w:r w:rsidRPr="00E15FEA">
          <w:rPr>
            <w:rStyle w:val="Hyperlink"/>
            <w:sz w:val="18"/>
            <w:lang w:val="fr-BE"/>
          </w:rPr>
          <w:t>BIOBUILD Project - Thermal Solutions for Green Buildings (Projet BIOBUILD – solutions thermiques pour les bâtiments écologiques).</w:t>
        </w:r>
      </w:hyperlink>
    </w:p>
  </w:footnote>
  <w:footnote w:id="10">
    <w:p w14:paraId="62214DB9" w14:textId="4E6D7BE5" w:rsidR="00422F5A" w:rsidRPr="00FF0551" w:rsidRDefault="00422F5A" w:rsidP="00422F5A">
      <w:pPr>
        <w:pStyle w:val="FootnoteText"/>
      </w:pPr>
      <w:r>
        <w:rPr>
          <w:rStyle w:val="FootnoteReference"/>
          <w:sz w:val="18"/>
          <w:szCs w:val="18"/>
        </w:rPr>
        <w:footnoteRef/>
      </w:r>
      <w:r>
        <w:rPr>
          <w:sz w:val="18"/>
        </w:rPr>
        <w:t xml:space="preserve"> </w:t>
      </w:r>
      <w:hyperlink r:id="rId4" w:history="1">
        <w:r>
          <w:rPr>
            <w:rStyle w:val="Hyperlink"/>
            <w:sz w:val="18"/>
          </w:rPr>
          <w:t>Paving the way for lowering embodied carbon emissions in the building and construction sector |</w:t>
        </w:r>
      </w:hyperlink>
      <w:hyperlink r:id="rId5" w:history="1">
        <w:r>
          <w:rPr>
            <w:rStyle w:val="Hyperlink"/>
            <w:sz w:val="18"/>
          </w:rPr>
          <w:t>Clean Technologies and Environmental Policy (Ouvrir la voie à la réduction des émissions de carbone intrinsèques dans le secteur des bâtiments et de la construction | Technologies propres et politique environnementale).</w:t>
        </w:r>
      </w:hyperlink>
    </w:p>
  </w:footnote>
  <w:footnote w:id="11">
    <w:p w14:paraId="1DF4AAAE" w14:textId="77777777" w:rsidR="00C27AE8" w:rsidRPr="009E615F" w:rsidRDefault="00C27AE8" w:rsidP="00C27AE8">
      <w:pPr>
        <w:pStyle w:val="FootnoteText"/>
      </w:pPr>
      <w:r>
        <w:rPr>
          <w:rStyle w:val="FootnoteReference"/>
        </w:rPr>
        <w:footnoteRef/>
      </w:r>
      <w:r>
        <w:t xml:space="preserve"> Règlement (UE) 2024/3110 du Parlement européen et du Conseil du 27 novembre 2024 établissant des règles harmonisées de commercialisation pour les produits de construction et abrogeant le règlement (UE) nº 305/2011 (JO L, 2024/3110, 18.12.2024, ELI: </w:t>
      </w:r>
      <w:hyperlink r:id="rId6" w:history="1">
        <w:r>
          <w:rPr>
            <w:rStyle w:val="Hyperlink"/>
          </w:rPr>
          <w:t>http://data.europa.eu/eli/reg/2024/3110/oj</w:t>
        </w:r>
      </w:hyperlink>
      <w:r>
        <w:t xml:space="preserve">). </w:t>
      </w:r>
    </w:p>
  </w:footnote>
  <w:footnote w:id="12">
    <w:p w14:paraId="42C4DB77" w14:textId="5936D263" w:rsidR="006B7622" w:rsidRDefault="006B7622" w:rsidP="006B7622">
      <w:pPr>
        <w:pStyle w:val="FootnoteText"/>
      </w:pPr>
      <w:r>
        <w:rPr>
          <w:rStyle w:val="FootnoteReference"/>
        </w:rPr>
        <w:footnoteRef/>
      </w:r>
      <w:r>
        <w:t xml:space="preserve"> COM(2025) 772.</w:t>
      </w:r>
    </w:p>
  </w:footnote>
  <w:footnote w:id="13">
    <w:p w14:paraId="47F3973E" w14:textId="77777777" w:rsidR="000452B9" w:rsidRDefault="000452B9" w:rsidP="000452B9">
      <w:pPr>
        <w:pStyle w:val="FootnoteText"/>
      </w:pPr>
      <w:r>
        <w:rPr>
          <w:rStyle w:val="FootnoteReference"/>
        </w:rPr>
        <w:footnoteRef/>
      </w:r>
      <w:r>
        <w:t xml:space="preserve"> Le marché unique: notre marché intérieur européen dans un monde incertain – Stratégie pour un marché unique simple, homogène et solide – Communication de la Commission européenne, COM(2025) 500.</w:t>
      </w:r>
    </w:p>
  </w:footnote>
  <w:footnote w:id="14">
    <w:p w14:paraId="3A662289" w14:textId="77777777" w:rsidR="000E1EA2" w:rsidRDefault="000E1EA2" w:rsidP="000E1EA2">
      <w:pPr>
        <w:pStyle w:val="FootnoteText"/>
      </w:pPr>
      <w:r>
        <w:rPr>
          <w:rStyle w:val="FootnoteReference"/>
        </w:rPr>
        <w:footnoteRef/>
      </w:r>
      <w:r>
        <w:t xml:space="preserve"> Transition pathway for Construction (Parcours de transition pour la construction), document de travail des services de la Commission européenne (2023) – </w:t>
      </w:r>
      <w:hyperlink r:id="rId7" w:history="1">
        <w:r>
          <w:rPr>
            <w:rStyle w:val="Hyperlink"/>
          </w:rPr>
          <w:t>DocsRoom - Commission européenne</w:t>
        </w:r>
      </w:hyperlink>
      <w:r>
        <w:t>.</w:t>
      </w:r>
    </w:p>
  </w:footnote>
  <w:footnote w:id="15">
    <w:p w14:paraId="4EE6471F" w14:textId="77777777" w:rsidR="00C545D7" w:rsidRPr="00B411B5" w:rsidRDefault="00C545D7" w:rsidP="00C545D7">
      <w:pPr>
        <w:pStyle w:val="FootnoteText"/>
        <w:rPr>
          <w:lang w:val="en-IE"/>
        </w:rPr>
      </w:pPr>
      <w:r>
        <w:rPr>
          <w:rStyle w:val="FootnoteReference"/>
        </w:rPr>
        <w:footnoteRef/>
      </w:r>
      <w:r w:rsidRPr="00B411B5">
        <w:rPr>
          <w:lang w:val="en-IE"/>
        </w:rPr>
        <w:t xml:space="preserve"> B-Ready in the EU (B-Ready dans l’UE).</w:t>
      </w:r>
      <w:r>
        <w:fldChar w:fldCharType="begin"/>
      </w:r>
      <w:r w:rsidRPr="00B411B5">
        <w:rPr>
          <w:lang w:val="en-IE"/>
        </w:rPr>
        <w:instrText>https://openknowledge.worldbank.org/collections/9969d01c-9434-483c-bb5d-d8a8416e77b3"</w:instrText>
      </w:r>
      <w:r>
        <w:fldChar w:fldCharType="separate"/>
      </w:r>
      <w:r w:rsidRPr="00B411B5">
        <w:rPr>
          <w:rStyle w:val="Hyperlink"/>
          <w:lang w:val="en-IE"/>
        </w:rPr>
        <w:t>https://openknowledge.worldbank.org/collections/9969d01c-9434-483c-bb5d-d8a8416e77b3</w:t>
      </w:r>
      <w:r>
        <w:fldChar w:fldCharType="end"/>
      </w:r>
      <w:r w:rsidRPr="00B411B5">
        <w:rPr>
          <w:lang w:val="en-IE"/>
        </w:rPr>
        <w:t xml:space="preserve"> </w:t>
      </w:r>
    </w:p>
  </w:footnote>
  <w:footnote w:id="16">
    <w:p w14:paraId="593152E6" w14:textId="4819F445" w:rsidR="001E213A" w:rsidRDefault="001E213A" w:rsidP="001E213A">
      <w:pPr>
        <w:pStyle w:val="FootnoteText"/>
      </w:pPr>
      <w:r>
        <w:rPr>
          <w:rStyle w:val="FootnoteReference"/>
        </w:rPr>
        <w:footnoteRef/>
      </w:r>
      <w:r>
        <w:t xml:space="preserve"> D’autres procédures d’octroi de permis peuvent s’appliquer: un permis de zonage pour permettre le développement d’une fonction spécifique, un permis d’attribution pour la division d’un terrain en parcelles, un permis environnemental pour des aménagements importants ou un permis d’exploitation permettant une activité économique spécifique. </w:t>
      </w:r>
    </w:p>
  </w:footnote>
  <w:footnote w:id="17">
    <w:p w14:paraId="7BA80FC5" w14:textId="77777777" w:rsidR="00C545D7" w:rsidRDefault="00C545D7" w:rsidP="00C545D7">
      <w:pPr>
        <w:pStyle w:val="FootnoteText"/>
      </w:pPr>
      <w:r>
        <w:rPr>
          <w:rStyle w:val="FootnoteReference"/>
        </w:rPr>
        <w:footnoteRef/>
      </w:r>
      <w:r>
        <w:t xml:space="preserve"> </w:t>
      </w:r>
      <w:hyperlink r:id="rId8" w:history="1">
        <w:r>
          <w:rPr>
            <w:rStyle w:val="Hyperlink"/>
          </w:rPr>
          <w:t>https://doi.org/10.1080/09613218.2024.2400467</w:t>
        </w:r>
      </w:hyperlink>
      <w:r>
        <w:t>.</w:t>
      </w:r>
    </w:p>
  </w:footnote>
  <w:footnote w:id="18">
    <w:p w14:paraId="38CE2610" w14:textId="77777777" w:rsidR="00FB0693" w:rsidRDefault="00FB0693" w:rsidP="00FB0693">
      <w:pPr>
        <w:pStyle w:val="FootnoteText"/>
      </w:pPr>
      <w:r>
        <w:rPr>
          <w:rStyle w:val="FootnoteReference"/>
        </w:rPr>
        <w:footnoteRef/>
      </w:r>
      <w:r>
        <w:t xml:space="preserve"> «Questionnaire on building permit process and digital building permits – summary report» (Questionnaire sur le processus de délivrance des permis de construire et les permis de construire numériques – rapport de synthèse), Commission européenne, 2025 + appel à contributions.</w:t>
      </w:r>
    </w:p>
  </w:footnote>
  <w:footnote w:id="19">
    <w:p w14:paraId="703A86CC" w14:textId="2D8AD8D2" w:rsidR="00E3055C" w:rsidRDefault="00E3055C" w:rsidP="00E3055C">
      <w:pPr>
        <w:pStyle w:val="FootnoteText"/>
      </w:pPr>
      <w:r>
        <w:rPr>
          <w:rStyle w:val="FootnoteReference"/>
        </w:rPr>
        <w:footnoteRef/>
      </w:r>
      <w:r>
        <w:t xml:space="preserve"> Alors que certains pays appliquent un système décentralisé, dans lequel les autorités municipales délivrent les permis de construire (par exemple, l’Autriche), d’autres ont mis en place des plateformes nationales centralisées (par exemple, l’Estonie). En outre, seuls certains États membres (par exemple, l’Estonie et la Finlande) s’appuient sur des systèmes d’octroi de permis en ligne et intègrent de plus en plus la modélisation des informations du bâtiment (BIM) dans leurs processus.</w:t>
      </w:r>
    </w:p>
  </w:footnote>
  <w:footnote w:id="20">
    <w:p w14:paraId="5A96B849" w14:textId="77777777" w:rsidR="00BB5B84" w:rsidRDefault="00BB5B84" w:rsidP="00BB5B84">
      <w:pPr>
        <w:pStyle w:val="FootnoteText"/>
      </w:pPr>
      <w:r>
        <w:rPr>
          <w:rStyle w:val="FootnoteReference"/>
        </w:rPr>
        <w:footnoteRef/>
      </w:r>
      <w:r>
        <w:t xml:space="preserve"> Lukavec, M., Čáp, V., et Čermáková, K. (2024). </w:t>
      </w:r>
      <w:r w:rsidRPr="00B411B5">
        <w:rPr>
          <w:lang w:val="en-IE"/>
        </w:rPr>
        <w:t>How permitting process length influences development costs and real estate prices. </w:t>
      </w:r>
      <w:r>
        <w:rPr>
          <w:i/>
        </w:rPr>
        <w:t>Economics and Environment</w:t>
      </w:r>
      <w:r>
        <w:t xml:space="preserve">, </w:t>
      </w:r>
      <w:r>
        <w:rPr>
          <w:i/>
        </w:rPr>
        <w:t>89</w:t>
      </w:r>
      <w:r>
        <w:t>(2), 768-768.</w:t>
      </w:r>
    </w:p>
  </w:footnote>
  <w:footnote w:id="21">
    <w:p w14:paraId="6328A20F" w14:textId="3F6DBC5E" w:rsidR="00BB5B84" w:rsidRDefault="00BB5B84" w:rsidP="00BB5B84">
      <w:pPr>
        <w:pStyle w:val="FootnoteText"/>
      </w:pPr>
      <w:r>
        <w:rPr>
          <w:rStyle w:val="FootnoteReference"/>
        </w:rPr>
        <w:footnoteRef/>
      </w:r>
      <w:r>
        <w:t xml:space="preserve"> L’octroi de permis fondé sur la BIM consiste à utiliser la modélisation des informations de la construction dans le cadre de la procédure de permis de construire. Les demandeurs présentent un modèle BIM en 3D, qui permet d’effectuer des contrôles automatisés par rapport aux codes et réglementations du bâtiment, en reliant éventuellement le modèle à un jumeau numérique des bâtiments et infrastructures environnants. Ce système permet de passer d’un processus de vérification de conformité manuel à un processus semi-automatisé.</w:t>
      </w:r>
    </w:p>
  </w:footnote>
  <w:footnote w:id="22">
    <w:p w14:paraId="20D4EC75" w14:textId="7A3E9E63" w:rsidR="00FC6F6D" w:rsidRPr="002C2F17" w:rsidRDefault="00FC6F6D">
      <w:pPr>
        <w:pStyle w:val="FootnoteText"/>
      </w:pPr>
      <w:r>
        <w:rPr>
          <w:rStyle w:val="FootnoteReference"/>
        </w:rPr>
        <w:footnoteRef/>
      </w:r>
      <w:r>
        <w:t xml:space="preserve"> Selon une estimation de la ville de Järvenpää, le temps moyen nécessaire pour effectuer des contrôles automatisés peut être réduit à 1 à 5 minutes pour un immeuble d’appartements moyen, contre 1 à 2 jours pour effectuer des contrôles manuels à partir de plans PDF en 2D. L’utilisation de contrôles automatisés et de modèles IFC contenant les données requises réduit le délai moyen de traitement d’une demande complète de permis de construire, qui passe ainsi d’environ 40 jours ouvrables à 10 jours ouvrables.</w:t>
      </w:r>
    </w:p>
  </w:footnote>
  <w:footnote w:id="23">
    <w:p w14:paraId="371FE98E" w14:textId="273203C5" w:rsidR="00230790" w:rsidRPr="00230790" w:rsidRDefault="00230790">
      <w:pPr>
        <w:pStyle w:val="FootnoteText"/>
      </w:pPr>
      <w:r>
        <w:rPr>
          <w:rStyle w:val="FootnoteReference"/>
        </w:rPr>
        <w:footnoteRef/>
      </w:r>
      <w:r>
        <w:t xml:space="preserve"> COM(2025) 980 «Simplifying for sustainable competitiveness» (Simplification pour une compétitivité durable).</w:t>
      </w:r>
    </w:p>
  </w:footnote>
  <w:footnote w:id="24">
    <w:p w14:paraId="7FE3F457" w14:textId="32C5C913" w:rsidR="009E75BE" w:rsidRDefault="009E75BE" w:rsidP="009E75BE">
      <w:pPr>
        <w:pStyle w:val="FootnoteText"/>
      </w:pPr>
      <w:r>
        <w:rPr>
          <w:rStyle w:val="FootnoteReference"/>
        </w:rPr>
        <w:footnoteRef/>
      </w:r>
      <w:r>
        <w:t xml:space="preserve"> COM(2025) 984: inclut des modifications de la législation et une proposition visant à accélérer et à rationaliser les évaluations environnementales, par exemple en évitant les évaluations multiples en cas de modifications ou d’extensions mineures, y compris pour la planification et la construction de nouveaux bâtiments résidentiels, abordables ou sociaux, ainsi que pour les infrastructures sociales connexes desservant directement ces bâtiments résidentiels.</w:t>
      </w:r>
    </w:p>
  </w:footnote>
  <w:footnote w:id="25">
    <w:p w14:paraId="7BE431CE" w14:textId="773F20AC" w:rsidR="00D3407B" w:rsidRDefault="00D3407B" w:rsidP="00D3407B">
      <w:pPr>
        <w:pStyle w:val="FootnoteText"/>
      </w:pPr>
      <w:r>
        <w:rPr>
          <w:rStyle w:val="FootnoteReference"/>
        </w:rPr>
        <w:footnoteRef/>
      </w:r>
      <w:r>
        <w:t xml:space="preserve"> L’instrument d’appui technique est un programme de l’Union qui fournit une expertise technique sur mesure aux États membres de l’Union pour concevoir et mettre en œuvre des réformes. L’instrument d’appui technique a récemment été utilisé pour mettre en œuvre la BIM dans le cadre de marchés publics, y compris la mise en place de projets pilotes en Grèce et en Espagne.</w:t>
      </w:r>
    </w:p>
  </w:footnote>
  <w:footnote w:id="26">
    <w:p w14:paraId="52AAB985" w14:textId="77777777" w:rsidR="00F93D9C" w:rsidRDefault="00F93D9C" w:rsidP="00F93D9C">
      <w:pPr>
        <w:pStyle w:val="FootnoteText"/>
      </w:pPr>
      <w:r>
        <w:rPr>
          <w:rStyle w:val="FootnoteReference"/>
        </w:rPr>
        <w:footnoteRef/>
      </w:r>
      <w:r>
        <w:t xml:space="preserve"> Le système horizontal du passeport numérique des produits devrait être mis en place au début de l’année 2027. Un acte délégué du règlement sur les produits de construction sur la mise en œuvre du passeport numérique des produits suivra et ce dernier deviendra obligatoire pour les produits de construction couverts par des normes harmonisées et des documents d’évaluation européens 18 mois plus tard, d’ici à 2028. Les premiers produits seront le ciment et les produits métalliques de structure, suivis des fenêtres et des portes.</w:t>
      </w:r>
    </w:p>
  </w:footnote>
  <w:footnote w:id="27">
    <w:p w14:paraId="72B685B1" w14:textId="5CEDE3A7" w:rsidR="00EF7FD4" w:rsidRDefault="00EF7FD4">
      <w:pPr>
        <w:pStyle w:val="FootnoteText"/>
      </w:pPr>
      <w:r>
        <w:rPr>
          <w:rStyle w:val="FootnoteReference"/>
        </w:rPr>
        <w:footnoteRef/>
      </w:r>
      <w:r>
        <w:t xml:space="preserve"> Dans le cadre des efforts de numérisation au titre du règlement sur les produits de construction révisé, l’introduction d’un système d’information en ligne est prévue, qui conservera la déclaration de performance, la déclaration de conformité et les instructions d’utilisation de tous les produits harmonisés. Ce système facilitera l’accès aux déclarations, réduisant ainsi le temps nécessaire aux utilisateurs de produits de construction pour trouver les informations dont ils ont besoin. Cela devrait réduire la charge administrative de 310 millions d’EUR.</w:t>
      </w:r>
    </w:p>
  </w:footnote>
  <w:footnote w:id="28">
    <w:p w14:paraId="5DB33000" w14:textId="10499B69" w:rsidR="00A63789" w:rsidRDefault="00A63789" w:rsidP="00A63789">
      <w:pPr>
        <w:pStyle w:val="FootnoteText"/>
      </w:pPr>
      <w:r>
        <w:rPr>
          <w:rStyle w:val="FootnoteReference"/>
        </w:rPr>
        <w:footnoteRef/>
      </w:r>
      <w:r>
        <w:t xml:space="preserve"> Un carnet numérique des bâtiments est un répertoire numérique centralisé qui conserve toutes les informations importantes relatives à un bâtiment, de sa conception et sa construction à son cycle de vie complet, en passant par son exploitation, son entretien et ses éventuelles rénovations. En créant une source unique de vérité pour les données relatives aux bâtiments, les carnets numériques des bâtiments visent à améliorer la gestion de l’information, à renforcer la transparence et à faciliter une prise de décision éclairée pour les parties prenantes telles que les propriétaires, les occupants, les institutions financières et les autorités publiques.</w:t>
      </w:r>
    </w:p>
  </w:footnote>
  <w:footnote w:id="29">
    <w:p w14:paraId="2E639B0C" w14:textId="390739B8" w:rsidR="00CE3B81" w:rsidRDefault="00CE3B81" w:rsidP="009315B5">
      <w:pPr>
        <w:pStyle w:val="FootnoteText"/>
      </w:pPr>
      <w:r>
        <w:rPr>
          <w:rStyle w:val="FootnoteReference"/>
        </w:rPr>
        <w:footnoteRef/>
      </w:r>
      <w:r>
        <w:t xml:space="preserve"> «Stratégie pour l’application de l’IA», COM(2025) 723 final.</w:t>
      </w:r>
    </w:p>
  </w:footnote>
  <w:footnote w:id="30">
    <w:p w14:paraId="5E206C8F" w14:textId="77777777" w:rsidR="003977E3" w:rsidRPr="009736E1" w:rsidRDefault="003977E3" w:rsidP="003977E3">
      <w:pPr>
        <w:pStyle w:val="FootnoteText"/>
      </w:pPr>
      <w:r>
        <w:rPr>
          <w:rStyle w:val="FootnoteReference"/>
        </w:rPr>
        <w:footnoteRef/>
      </w:r>
      <w:r>
        <w:t xml:space="preserve"> </w:t>
      </w:r>
      <w:hyperlink r:id="rId9" w:history="1">
        <w:r>
          <w:rPr>
            <w:rStyle w:val="Hyperlink"/>
          </w:rPr>
          <w:t>https://public-buyers-community.ec.europa.eu/communities/bim-and-public-procurement</w:t>
        </w:r>
      </w:hyperlink>
      <w:r>
        <w:t xml:space="preserve"> </w:t>
      </w:r>
    </w:p>
  </w:footnote>
  <w:footnote w:id="31">
    <w:p w14:paraId="68D6CABF" w14:textId="399523F1" w:rsidR="00666548" w:rsidRDefault="00666548">
      <w:pPr>
        <w:pStyle w:val="FootnoteText"/>
      </w:pPr>
      <w:r>
        <w:rPr>
          <w:rStyle w:val="FootnoteReference"/>
        </w:rPr>
        <w:footnoteRef/>
      </w:r>
      <w:r>
        <w:t xml:space="preserve"> La facilité pour la reprise et la résilience, le programme pour une Europe numérique, le Fonds européen de développement régional et Horizon Europe.</w:t>
      </w:r>
    </w:p>
  </w:footnote>
  <w:footnote w:id="32">
    <w:p w14:paraId="7D12DF7C" w14:textId="77777777" w:rsidR="005D1F2C" w:rsidRDefault="005D1F2C" w:rsidP="005D1F2C">
      <w:pPr>
        <w:pStyle w:val="FootnoteText"/>
      </w:pPr>
      <w:r>
        <w:rPr>
          <w:rStyle w:val="FootnoteReference"/>
        </w:rPr>
        <w:footnoteRef/>
      </w:r>
      <w:r>
        <w:t xml:space="preserve"> </w:t>
      </w:r>
      <w:hyperlink r:id="rId10" w:history="1">
        <w:r>
          <w:rPr>
            <w:rStyle w:val="Hyperlink"/>
          </w:rPr>
          <w:t>Enquête sur l’investissement 2024, vue d’ensemble de l’Union européenne (BEI 2024)</w:t>
        </w:r>
      </w:hyperlink>
      <w:r>
        <w:t>.</w:t>
      </w:r>
    </w:p>
  </w:footnote>
  <w:footnote w:id="33">
    <w:p w14:paraId="3BBE2C3B" w14:textId="77777777" w:rsidR="00A340BF" w:rsidRDefault="00A340BF" w:rsidP="00A340BF">
      <w:pPr>
        <w:pStyle w:val="FootnoteText"/>
      </w:pPr>
      <w:r>
        <w:rPr>
          <w:rStyle w:val="FootnoteReference"/>
        </w:rPr>
        <w:footnoteRef/>
      </w:r>
      <w:r>
        <w:t xml:space="preserve"> «Annual Single Market Report 2022» (Rapport annuel 2022 sur le marché unique), Commission européenne.</w:t>
      </w:r>
    </w:p>
  </w:footnote>
  <w:footnote w:id="34">
    <w:p w14:paraId="05E30274" w14:textId="5E9BCEDA" w:rsidR="000F7DD3" w:rsidRPr="00194547" w:rsidRDefault="000F7DD3">
      <w:pPr>
        <w:pStyle w:val="FootnoteText"/>
      </w:pPr>
      <w:r>
        <w:rPr>
          <w:rStyle w:val="FootnoteReference"/>
        </w:rPr>
        <w:footnoteRef/>
      </w:r>
      <w:r>
        <w:t xml:space="preserve"> </w:t>
      </w:r>
      <w:hyperlink r:id="rId11" w:history="1">
        <w:r>
          <w:rPr>
            <w:rStyle w:val="Hyperlink"/>
          </w:rPr>
          <w:t>https://ec.europa.eu/eurostat/web/interactive-publications/digitalisation-2025?etrans=fr</w:t>
        </w:r>
      </w:hyperlink>
      <w:r>
        <w:t xml:space="preserve">. </w:t>
      </w:r>
    </w:p>
  </w:footnote>
  <w:footnote w:id="35">
    <w:p w14:paraId="1297D65F" w14:textId="77777777" w:rsidR="00BD6852" w:rsidRPr="005D73A5" w:rsidRDefault="00BD6852" w:rsidP="00BD6852">
      <w:pPr>
        <w:pStyle w:val="FootnoteText"/>
      </w:pPr>
      <w:r>
        <w:rPr>
          <w:rStyle w:val="FootnoteReference"/>
        </w:rPr>
        <w:footnoteRef/>
      </w:r>
      <w:r>
        <w:t xml:space="preserve"> En particulier dans des pays tels que l’Irlande et le Royaume-Uni, qui sont confrontés à de graves pénuries de logements, les méthodes hors site constituent une option viable pour construire des maisons rapidement et à un coût abordable. </w:t>
      </w:r>
    </w:p>
  </w:footnote>
  <w:footnote w:id="36">
    <w:p w14:paraId="6607B87A" w14:textId="77777777" w:rsidR="00BD6852" w:rsidRPr="005D73A5" w:rsidRDefault="00BD6852" w:rsidP="00BD6852">
      <w:pPr>
        <w:pStyle w:val="FootnoteText"/>
      </w:pPr>
      <w:r>
        <w:rPr>
          <w:rStyle w:val="FootnoteReference"/>
        </w:rPr>
        <w:footnoteRef/>
      </w:r>
      <w:r>
        <w:t xml:space="preserve"> Commission européenne: DG Marché intérieur, industrie, entrepreneuriat et PME,</w:t>
      </w:r>
      <w:r>
        <w:rPr>
          <w:i/>
        </w:rPr>
        <w:t xml:space="preserve"> Market potential of off-site construction for housing supply – Report (Potentiel commercial de la construction hors site pour l’offre de logements – Rapport)</w:t>
      </w:r>
      <w:r>
        <w:t xml:space="preserve">, Office des publications de l’Union européenne, 2025. </w:t>
      </w:r>
    </w:p>
  </w:footnote>
  <w:footnote w:id="37">
    <w:p w14:paraId="7D4CA6BC" w14:textId="2BD465A0" w:rsidR="140909F9" w:rsidRDefault="140909F9" w:rsidP="00CF37AC">
      <w:pPr>
        <w:pStyle w:val="FootnoteText"/>
      </w:pPr>
      <w:r>
        <w:rPr>
          <w:vertAlign w:val="superscript"/>
        </w:rPr>
        <w:footnoteRef/>
      </w:r>
      <w:r>
        <w:t xml:space="preserve"> Le passage à la production en usine ouvrira la construction à de nouveaux profils d’emploi et renforcera l’attractivité du secteur, contribuant ainsi à remédier à la pénurie de main-d’œuvre, notamment en favorisant une plus grande participation des femmes.</w:t>
      </w:r>
    </w:p>
  </w:footnote>
  <w:footnote w:id="38">
    <w:p w14:paraId="7CEA2A5E" w14:textId="1ED6982A" w:rsidR="00BA2B58" w:rsidRPr="005D73A5" w:rsidRDefault="00BA2B58" w:rsidP="00BA2B58">
      <w:pPr>
        <w:pStyle w:val="FootnoteText"/>
      </w:pPr>
      <w:r>
        <w:rPr>
          <w:rStyle w:val="FootnoteReference"/>
        </w:rPr>
        <w:footnoteRef/>
      </w:r>
      <w:r>
        <w:t xml:space="preserve"> Market potential of off-site construction for housing supply – Report (Potentiel commercial de la construction hors site pour l’offre de logements – Rapport) – Ecorys — étude commandée par la DG GROW, 2025.</w:t>
      </w:r>
    </w:p>
  </w:footnote>
  <w:footnote w:id="39">
    <w:p w14:paraId="53784D79" w14:textId="5B3B2C76" w:rsidR="00721C72" w:rsidRPr="005D73A5" w:rsidRDefault="00721C72" w:rsidP="00721C72">
      <w:pPr>
        <w:pStyle w:val="FootnoteText"/>
        <w:rPr>
          <w:rFonts w:eastAsia="Times New Roman" w:cs="Times New Roman"/>
        </w:rPr>
      </w:pPr>
      <w:r>
        <w:rPr>
          <w:vertAlign w:val="superscript"/>
        </w:rPr>
        <w:footnoteRef/>
      </w:r>
      <w:r>
        <w:t xml:space="preserve"> La reconstruction en cours de l’Ukraine offre des enseignements utiles: les pratiques de construction de nouveaux logements comprennent souvent des innovations en matière de traitement et de réutilisation des déchets de démolition, de réutilisation des matériaux de construction et de construction modulaire. Dans de nombreux cas, elles pourraient être reproduites pour la reconstruction d’autres zones déchirées par la guerre, telles que Gaza. De nombreuses innovations pourraient également s’avérer utiles dans le domaine de la construction au sein de l’Union et contribuer à combler le déficit de l’offre de logements dans l’Union.</w:t>
      </w:r>
    </w:p>
  </w:footnote>
  <w:footnote w:id="40">
    <w:p w14:paraId="40F8391D" w14:textId="3D368BF3" w:rsidR="0066058A" w:rsidRPr="005D73A5" w:rsidRDefault="0066058A" w:rsidP="0066058A">
      <w:pPr>
        <w:pStyle w:val="FootnoteText"/>
      </w:pPr>
      <w:r>
        <w:rPr>
          <w:vertAlign w:val="superscript"/>
        </w:rPr>
        <w:footnoteRef/>
      </w:r>
      <w:r>
        <w:t xml:space="preserve"> Appel à contributions.</w:t>
      </w:r>
    </w:p>
  </w:footnote>
  <w:footnote w:id="41">
    <w:p w14:paraId="3F9F4813" w14:textId="77777777" w:rsidR="00867BC3" w:rsidRPr="005D73A5" w:rsidRDefault="00867BC3" w:rsidP="00867BC3">
      <w:pPr>
        <w:pStyle w:val="FootnoteText"/>
      </w:pPr>
      <w:r>
        <w:rPr>
          <w:rStyle w:val="FootnoteReference"/>
        </w:rPr>
        <w:footnoteRef/>
      </w:r>
      <w:r>
        <w:t xml:space="preserve"> </w:t>
      </w:r>
      <w:hyperlink r:id="rId12" w:history="1">
        <w:r>
          <w:rPr>
            <w:color w:val="0070C0" w:themeColor="hyperlink"/>
            <w:u w:val="single"/>
          </w:rPr>
          <w:t>Monitoring industrial ecosystems – Construction Analytical Report 2024 (Surveillance des écosystèmes industriels – Rapport analytique sur la construction 2024) (Commission européenne)</w:t>
        </w:r>
      </w:hyperlink>
      <w:r>
        <w:t>.</w:t>
      </w:r>
    </w:p>
  </w:footnote>
  <w:footnote w:id="42">
    <w:p w14:paraId="0ADE7A5D" w14:textId="756C585A" w:rsidR="00AC3655" w:rsidRDefault="00AC3655" w:rsidP="00AC3655">
      <w:pPr>
        <w:pStyle w:val="FootnoteText"/>
      </w:pPr>
      <w:r>
        <w:rPr>
          <w:rStyle w:val="FootnoteReference"/>
        </w:rPr>
        <w:footnoteRef/>
      </w:r>
      <w:r>
        <w:t xml:space="preserve"> Par exemple, l’acte législatif sur les matériaux avancés, prévu pour le 4</w:t>
      </w:r>
      <w:r>
        <w:rPr>
          <w:vertAlign w:val="superscript"/>
        </w:rPr>
        <w:t>e</w:t>
      </w:r>
      <w:r>
        <w:t xml:space="preserve"> trimestre de 2026, soutiendra la recherche et l’innovation, étendra les capacités de production au sein de l’Union et rationalisera les processus réglementaires pour les matériaux avancés. Il se concentrera spécifiquement sur les matériaux essentiels à la transition écologique et numérique dans tous les secteurs, y compris la construction. La stratégie pour la bioéconomie définit des mesures visant à réduire les obstacles techniques et, partant, à accroître l’adoption commerciale de solutions de construction biosourcées innovantes.</w:t>
      </w:r>
    </w:p>
    <w:p w14:paraId="14090A65" w14:textId="248A50AA" w:rsidR="00AC3655" w:rsidRDefault="00AC3655" w:rsidP="00AC3655">
      <w:pPr>
        <w:pStyle w:val="FootnoteText"/>
      </w:pPr>
      <w:r>
        <w:t xml:space="preserve"> Un plan industriel du pacte vert pour l’ère du zéro émission nette, COM(2023) 62.</w:t>
      </w:r>
    </w:p>
  </w:footnote>
  <w:footnote w:id="43">
    <w:p w14:paraId="6B513BC6" w14:textId="3DEBF140" w:rsidR="00F829AF" w:rsidRDefault="00F829AF">
      <w:pPr>
        <w:pStyle w:val="FootnoteText"/>
      </w:pPr>
      <w:r>
        <w:rPr>
          <w:rStyle w:val="FootnoteReference"/>
        </w:rPr>
        <w:footnoteRef/>
      </w:r>
      <w:r>
        <w:t xml:space="preserve"> «A Strategic Framework for a Competitive and Sustainable EU Bioeconomy» (Un cadre stratégique pour une bioéconomie de l’UE compétitive et durable), SWD(2025) 895.</w:t>
      </w:r>
    </w:p>
  </w:footnote>
  <w:footnote w:id="44">
    <w:p w14:paraId="665F52E0" w14:textId="246958B1" w:rsidR="0085228F" w:rsidRDefault="0085228F">
      <w:pPr>
        <w:pStyle w:val="FootnoteText"/>
      </w:pPr>
      <w:r>
        <w:rPr>
          <w:rStyle w:val="FootnoteReference"/>
        </w:rPr>
        <w:footnoteRef/>
      </w:r>
      <w:r>
        <w:t xml:space="preserve"> Le processus relatif à l’acquis du règlement sur les produits de construction est un effort collaboratif de la Commission, des États membres, des parties prenantes et des organisations de normalisation pour soutenir l’élaboration des demandes de normalisation et des actes juridiques nécessaires à la mise en œuvre efficace du règlement sur les produits de construction.</w:t>
      </w:r>
    </w:p>
  </w:footnote>
  <w:footnote w:id="45">
    <w:p w14:paraId="6C74DA69" w14:textId="27EA40AC" w:rsidR="000E47A7" w:rsidRDefault="000E47A7" w:rsidP="000E47A7">
      <w:pPr>
        <w:pStyle w:val="FootnoteText"/>
      </w:pPr>
      <w:r>
        <w:rPr>
          <w:vertAlign w:val="superscript"/>
        </w:rPr>
        <w:footnoteRef/>
      </w:r>
      <w:r>
        <w:t xml:space="preserve"> Pour de plus amples informations sur les projets en cours, voir: https://joint-research-centre.ec.europa.eu/projects-and-activities/iresist-home/ongoing-projects_en?prefLang=fr.</w:t>
      </w:r>
    </w:p>
  </w:footnote>
  <w:footnote w:id="46">
    <w:p w14:paraId="605AA6A1" w14:textId="1F9768A9" w:rsidR="00B446C0" w:rsidRPr="00E15FEA" w:rsidRDefault="00B446C0">
      <w:pPr>
        <w:pStyle w:val="FootnoteText"/>
        <w:rPr>
          <w:lang w:val="en-IE"/>
        </w:rPr>
      </w:pPr>
      <w:r>
        <w:rPr>
          <w:rStyle w:val="FootnoteReference"/>
        </w:rPr>
        <w:footnoteRef/>
      </w:r>
      <w:r w:rsidRPr="00E15FEA">
        <w:rPr>
          <w:lang w:val="en-IE"/>
        </w:rPr>
        <w:t xml:space="preserve"> Par exemple: LIFE Giga Regio Factory - https://www.energiesprong.org/projects/giga-regio-factory.</w:t>
      </w:r>
    </w:p>
  </w:footnote>
  <w:footnote w:id="47">
    <w:p w14:paraId="32732E4D" w14:textId="397C19AD" w:rsidR="00EF55AF" w:rsidRDefault="00EF55AF">
      <w:pPr>
        <w:pStyle w:val="FootnoteText"/>
      </w:pPr>
      <w:r>
        <w:rPr>
          <w:rStyle w:val="FootnoteReference"/>
        </w:rPr>
        <w:footnoteRef/>
      </w:r>
      <w:r>
        <w:t xml:space="preserve"> Les Eurocodes sont une série de dix normes européennes volontaires, EN 1990 à EN 1999, qui fournissent une approche commune pour la conception des bâtiments et d’autres ouvrages de génie civil et produits de construction. </w:t>
      </w:r>
    </w:p>
  </w:footnote>
  <w:footnote w:id="48">
    <w:p w14:paraId="0C6E1B15" w14:textId="3F244C42" w:rsidR="00B2444E" w:rsidRPr="00394577" w:rsidRDefault="00B2444E" w:rsidP="00B2444E">
      <w:pPr>
        <w:pStyle w:val="FootnoteText"/>
      </w:pPr>
      <w:r>
        <w:rPr>
          <w:rStyle w:val="FootnoteReference"/>
        </w:rPr>
        <w:footnoteRef/>
      </w:r>
      <w:r>
        <w:t xml:space="preserve"> </w:t>
      </w:r>
      <w:hyperlink r:id="rId13" w:history="1">
        <w:r>
          <w:rPr>
            <w:rStyle w:val="Hyperlink"/>
          </w:rPr>
          <w:t>https://new-european-bauhaus.europa.eu/index_en?prefLang=fr</w:t>
        </w:r>
      </w:hyperlink>
      <w:r>
        <w:t xml:space="preserve">.  </w:t>
      </w:r>
    </w:p>
  </w:footnote>
  <w:footnote w:id="49">
    <w:p w14:paraId="4B1705DE" w14:textId="77777777" w:rsidR="00E86A95" w:rsidRDefault="00E86A95" w:rsidP="00E86A95">
      <w:pPr>
        <w:pStyle w:val="FootnoteText"/>
      </w:pPr>
      <w:r>
        <w:rPr>
          <w:rStyle w:val="FootnoteReference"/>
        </w:rPr>
        <w:footnoteRef/>
      </w:r>
      <w:r>
        <w:t xml:space="preserve"> Source: Eurostat.</w:t>
      </w:r>
    </w:p>
  </w:footnote>
  <w:footnote w:id="50">
    <w:p w14:paraId="34DB37E6" w14:textId="06B2A33A" w:rsidR="008259B7" w:rsidRDefault="008259B7" w:rsidP="008259B7">
      <w:pPr>
        <w:pStyle w:val="FootnoteText"/>
      </w:pPr>
      <w:r>
        <w:rPr>
          <w:rStyle w:val="FootnoteReference"/>
        </w:rPr>
        <w:footnoteRef/>
      </w:r>
      <w:r>
        <w:t xml:space="preserve"> Appel à contributions.</w:t>
      </w:r>
    </w:p>
  </w:footnote>
  <w:footnote w:id="51">
    <w:p w14:paraId="394A151D" w14:textId="77777777" w:rsidR="008F7FF7" w:rsidRPr="00415EC9" w:rsidRDefault="008F7FF7" w:rsidP="008F7FF7">
      <w:pPr>
        <w:pStyle w:val="FootnoteText"/>
      </w:pPr>
      <w:r>
        <w:rPr>
          <w:rStyle w:val="FootnoteReference"/>
        </w:rPr>
        <w:footnoteRef/>
      </w:r>
      <w:r>
        <w:t xml:space="preserve"> Directive (UE) 2024/1275 du Parlement européen et du Conseil du 24 avril 2024 sur la performance énergétique des bâtiments (refonte) (JO L, 2024/1275, 8.5.2024, ELI: </w:t>
      </w:r>
      <w:hyperlink r:id="rId14" w:history="1">
        <w:r>
          <w:rPr>
            <w:rStyle w:val="Hyperlink"/>
          </w:rPr>
          <w:t>http://data.europa.eu/eli/dir/2024/1275/oj</w:t>
        </w:r>
      </w:hyperlink>
      <w:r>
        <w:t xml:space="preserve">). </w:t>
      </w:r>
    </w:p>
  </w:footnote>
  <w:footnote w:id="52">
    <w:p w14:paraId="44D15E84" w14:textId="37C8DE58" w:rsidR="00AC0290" w:rsidRPr="00DB3E45" w:rsidRDefault="00AC0290">
      <w:pPr>
        <w:pStyle w:val="FootnoteText"/>
      </w:pPr>
      <w:r>
        <w:rPr>
          <w:rStyle w:val="FootnoteReference"/>
        </w:rPr>
        <w:footnoteRef/>
      </w:r>
      <w:r>
        <w:t xml:space="preserve"> Tels que le système européen d’échange de quotas d’émission pour les grands émetteurs (SEQE 1), la directive relative à l’efficacité énergétique, la taxinomie de l’UE et la législation nationale liée aux feuilles de route pour la réduction des émissions de carbone.</w:t>
      </w:r>
    </w:p>
  </w:footnote>
  <w:footnote w:id="53">
    <w:p w14:paraId="232BCCCE" w14:textId="77777777" w:rsidR="0088196C" w:rsidRDefault="0088196C" w:rsidP="0088196C">
      <w:pPr>
        <w:pStyle w:val="FootnoteText"/>
      </w:pPr>
      <w:r>
        <w:rPr>
          <w:rStyle w:val="FootnoteReference"/>
        </w:rPr>
        <w:footnoteRef/>
      </w:r>
      <w:r>
        <w:t xml:space="preserve"> Règlement délégué de la Commission modifiant l’annexe III de la directive (UE) 2024/1275 et établissant un cadre de l’Union pour le calcul national du potentiel de réchauffement planétaire sur l’ensemble du cycle de vie.</w:t>
      </w:r>
    </w:p>
  </w:footnote>
  <w:footnote w:id="54">
    <w:p w14:paraId="7EBC12A5" w14:textId="77777777" w:rsidR="0008360B" w:rsidRDefault="0008360B" w:rsidP="0008360B">
      <w:pPr>
        <w:pStyle w:val="FootnoteText"/>
      </w:pPr>
      <w:r>
        <w:rPr>
          <w:rStyle w:val="FootnoteReference"/>
        </w:rPr>
        <w:footnoteRef/>
      </w:r>
      <w:r>
        <w:t xml:space="preserve"> </w:t>
      </w:r>
      <w:hyperlink r:id="rId15" w:history="1">
        <w:r>
          <w:rPr>
            <w:rStyle w:val="Hyperlink"/>
          </w:rPr>
          <w:t>JRC Publications Repository - Techno-economic and environmental assessment of construction and demolition waste management in the European Union (Répertoire des publications du JRC - Évaluation technico-économique et environnementale de la gestion des déchets de construction et de démolition dans l’Union européenne).</w:t>
        </w:r>
      </w:hyperlink>
    </w:p>
  </w:footnote>
  <w:footnote w:id="55">
    <w:p w14:paraId="28E0F11F" w14:textId="39CF26D6" w:rsidR="009719EA" w:rsidRDefault="009719EA">
      <w:pPr>
        <w:pStyle w:val="FootnoteText"/>
      </w:pPr>
      <w:r>
        <w:rPr>
          <w:rStyle w:val="FootnoteReference"/>
        </w:rPr>
        <w:footnoteRef/>
      </w:r>
      <w:r>
        <w:t xml:space="preserve"> Pour que des matériaux provenant de sites de démolition de construction ayant le statut juridique de «déchets» puissent à nouveau être mis à disposition en vue d’une utilisation ultérieure, les critères de fin du statut de déchet doivent être remplis. La directive-cadre relative aux déchets établit certains éléments à inclure dans ces critères (critères de qualité, intrants, procédés de traitement, etc.) que les États membres peuvent établir. Lorsque les critères de fin du statut de déchet n’existent pas ou s’ils varient d’un État membre ou d’une région à l’autre, cela entrave la réutilisation et la circulation des matières secondaires.</w:t>
      </w:r>
    </w:p>
  </w:footnote>
  <w:footnote w:id="56">
    <w:p w14:paraId="084D4C36" w14:textId="77777777" w:rsidR="008D1226" w:rsidRDefault="008D1226" w:rsidP="008D1226">
      <w:pPr>
        <w:pStyle w:val="FootnoteText"/>
      </w:pPr>
      <w:r>
        <w:rPr>
          <w:rStyle w:val="FootnoteReference"/>
        </w:rPr>
        <w:footnoteRef/>
      </w:r>
      <w:r>
        <w:t xml:space="preserve"> La </w:t>
      </w:r>
      <w:r>
        <w:rPr>
          <w:b/>
        </w:rPr>
        <w:t>législation sur les matières premières critiques</w:t>
      </w:r>
      <w:r>
        <w:t xml:space="preserve"> (2024) vise à garantir l’accès à un approvisionnement sûr et durable en matières premières critiques pour les secteurs stratégiques de l’Union, tels que l’énergie propre et les technologies numériques.</w:t>
      </w:r>
    </w:p>
  </w:footnote>
  <w:footnote w:id="57">
    <w:p w14:paraId="1871612D" w14:textId="77777777" w:rsidR="008D1226" w:rsidRDefault="008D1226" w:rsidP="008D1226">
      <w:pPr>
        <w:pStyle w:val="FootnoteText"/>
      </w:pPr>
      <w:r>
        <w:rPr>
          <w:rStyle w:val="FootnoteReference"/>
        </w:rPr>
        <w:footnoteRef/>
      </w:r>
      <w:r>
        <w:t xml:space="preserve"> Les prix de l’énergie étant l’un des principaux facteurs à l’origine de la hausse des prix des matériaux, le </w:t>
      </w:r>
      <w:r>
        <w:rPr>
          <w:b/>
        </w:rPr>
        <w:t>plan d’action pour une énergie abordable</w:t>
      </w:r>
      <w:r>
        <w:t xml:space="preserve"> (2025) vise à rendre les coûts de l’énergie plus prévisibles et plus abordables, en réduisant les coûts des matériaux et en stimulant la compétitivité.</w:t>
      </w:r>
    </w:p>
  </w:footnote>
  <w:footnote w:id="58">
    <w:p w14:paraId="50A9BF9B" w14:textId="03B36705" w:rsidR="008D1226" w:rsidRDefault="008D1226" w:rsidP="008D1226">
      <w:pPr>
        <w:pStyle w:val="FootnoteText"/>
      </w:pPr>
      <w:r>
        <w:rPr>
          <w:rStyle w:val="FootnoteReference"/>
        </w:rPr>
        <w:footnoteRef/>
      </w:r>
      <w:r>
        <w:t xml:space="preserve"> Le </w:t>
      </w:r>
      <w:r>
        <w:rPr>
          <w:b/>
        </w:rPr>
        <w:t>plan d’action européen pour l’acier et les métaux</w:t>
      </w:r>
      <w:r>
        <w:t xml:space="preserve"> (2025) met l’accent sur la création d’un marché pilote pour l’acier bas carbone, le renforcement de la circularité, l’uniformisation des conditions de concurrence internationales et la mobilisation d’investissements dans ces secteurs.</w:t>
      </w:r>
    </w:p>
  </w:footnote>
  <w:footnote w:id="59">
    <w:p w14:paraId="1B28895C" w14:textId="48A756BA" w:rsidR="008D1226" w:rsidRDefault="008D1226" w:rsidP="008D1226">
      <w:pPr>
        <w:pStyle w:val="FootnoteText"/>
      </w:pPr>
      <w:r>
        <w:rPr>
          <w:rStyle w:val="FootnoteReference"/>
        </w:rPr>
        <w:footnoteRef/>
      </w:r>
      <w:r>
        <w:t xml:space="preserve"> COM(2025) 945 – RESourceEU Action Plan Accelerating our critical raw materials strategy to adapt to a new reality (Plan d’action ReSourceEU visant à accélérer la mise en œuvre de notre stratégie en matière de matières premières critiques afin de s’adapter à une nouvelle réalité).</w:t>
      </w:r>
    </w:p>
  </w:footnote>
  <w:footnote w:id="60">
    <w:p w14:paraId="50CE2D0D" w14:textId="77777777" w:rsidR="002868FF" w:rsidRDefault="002868FF" w:rsidP="002868FF">
      <w:pPr>
        <w:pStyle w:val="FootnoteText"/>
      </w:pPr>
      <w:r>
        <w:rPr>
          <w:rStyle w:val="FootnoteReference"/>
        </w:rPr>
        <w:footnoteRef/>
      </w:r>
      <w:r>
        <w:t xml:space="preserve"> Règlement (UE) 2024/1252 du Parlement européen et du Conseil du 11 avril 2024 établissant un cadre visant à garantir un approvisionnement sûr et durable en matières premières critiques.</w:t>
      </w:r>
    </w:p>
  </w:footnote>
  <w:footnote w:id="61">
    <w:p w14:paraId="65ACD538" w14:textId="10FCA2A0" w:rsidR="00E70837" w:rsidRDefault="00E70837" w:rsidP="00E70837">
      <w:pPr>
        <w:pStyle w:val="FootnoteText"/>
      </w:pPr>
      <w:r>
        <w:rPr>
          <w:rStyle w:val="FootnoteReference"/>
        </w:rPr>
        <w:footnoteRef/>
      </w:r>
      <w:r>
        <w:t>https://single-market-economy.ec.europa.eu/sectors/construction/european-construction-observatory-eco_en?prefLang=fr.</w:t>
      </w:r>
    </w:p>
  </w:footnote>
  <w:footnote w:id="62">
    <w:p w14:paraId="77755584" w14:textId="77777777" w:rsidR="00CA01A9" w:rsidRDefault="00CA01A9" w:rsidP="00CA01A9">
      <w:pPr>
        <w:pStyle w:val="FootnoteText"/>
      </w:pPr>
      <w:r>
        <w:rPr>
          <w:rStyle w:val="FootnoteReference"/>
        </w:rPr>
        <w:footnoteRef/>
      </w:r>
      <w:r>
        <w:t xml:space="preserve"> Une attention particulière sera accordée aux importations, à la production, aux exportations et aux prix de chacun des matériaux sélectionnés.</w:t>
      </w:r>
      <w:r>
        <w:rPr>
          <w:i/>
        </w:rPr>
        <w:t xml:space="preserve"> </w:t>
      </w:r>
      <w:r>
        <w:t>Elle déterminera les familles de produits utilisant ces matières premières et les industries les plus exposées aux fluctuations de ces matières.</w:t>
      </w:r>
    </w:p>
  </w:footnote>
  <w:footnote w:id="63">
    <w:p w14:paraId="2D25BFD2" w14:textId="2ECE6F58" w:rsidR="00E47501" w:rsidRDefault="00E47501">
      <w:pPr>
        <w:pStyle w:val="FootnoteText"/>
      </w:pPr>
      <w:r>
        <w:rPr>
          <w:rStyle w:val="FootnoteReference"/>
        </w:rPr>
        <w:footnoteRef/>
      </w:r>
      <w:r>
        <w:t xml:space="preserve"> Directive (UE) 2018/851 du Parlement européen et du Conseil du 30 mai 2018 modifiant la directive 2008/98/CE relative aux déchets.</w:t>
      </w:r>
    </w:p>
  </w:footnote>
  <w:footnote w:id="64">
    <w:p w14:paraId="6C98361F" w14:textId="77777777" w:rsidR="00BC6A91" w:rsidRDefault="00BC6A91" w:rsidP="00BC6A91">
      <w:pPr>
        <w:pStyle w:val="FootnoteText"/>
      </w:pPr>
      <w:r>
        <w:rPr>
          <w:rStyle w:val="FootnoteReference"/>
        </w:rPr>
        <w:footnoteRef/>
      </w:r>
      <w:r>
        <w:t xml:space="preserve"> IFO Institute: «Building a Stronger Single Market: Potential for Deeper Integration of the Services Sector within the EU» (Construire un marché unique plus fort: potentiel d’intégration plus poussée du secteur des services au sein de l’UE); rapport stratégique d’EconPol 52/2024.</w:t>
      </w:r>
    </w:p>
  </w:footnote>
  <w:footnote w:id="65">
    <w:p w14:paraId="0F44F95A" w14:textId="77777777" w:rsidR="00E5785D" w:rsidRDefault="00E5785D" w:rsidP="00E5785D">
      <w:pPr>
        <w:pStyle w:val="FootnoteText"/>
      </w:pPr>
      <w:r>
        <w:rPr>
          <w:rStyle w:val="FootnoteReference"/>
        </w:rPr>
        <w:footnoteRef/>
      </w:r>
      <w:r>
        <w:t xml:space="preserve"> Eurostat.</w:t>
      </w:r>
    </w:p>
  </w:footnote>
  <w:footnote w:id="66">
    <w:p w14:paraId="4513088B" w14:textId="4E044AEB" w:rsidR="00F8761C" w:rsidRDefault="00F8761C">
      <w:pPr>
        <w:pStyle w:val="FootnoteText"/>
      </w:pPr>
      <w:r>
        <w:rPr>
          <w:rStyle w:val="FootnoteReference"/>
        </w:rPr>
        <w:footnoteRef/>
      </w:r>
      <w:r>
        <w:t xml:space="preserve"> La part des femmes travaillant dans le secteur de la construction (NACE F) est de 10,6 % en 2024 (Eurostat).</w:t>
      </w:r>
    </w:p>
  </w:footnote>
  <w:footnote w:id="67">
    <w:p w14:paraId="3BF9F2DF" w14:textId="77777777" w:rsidR="00962E0D" w:rsidRDefault="00962E0D" w:rsidP="00962E0D">
      <w:pPr>
        <w:pStyle w:val="FootnoteText"/>
      </w:pPr>
      <w:r>
        <w:rPr>
          <w:rStyle w:val="FootnoteReference"/>
        </w:rPr>
        <w:footnoteRef/>
      </w:r>
      <w:r>
        <w:t xml:space="preserve"> </w:t>
      </w:r>
      <w:hyperlink r:id="rId16" w:anchor=":~:text=Vocational%20education%20and%20training%20(VET,communication%20and%20collaboration%20with%20others.&amp;amp;text=Source:%20Cedefop%20second%20European%20Skills%20and%20Jobs%20Survey%20(2021)." w:history="1">
        <w:r>
          <w:rPr>
            <w:rStyle w:val="Hyperlink"/>
          </w:rPr>
          <w:t>«The greening of the EU construction sector» (L’écologisation du secteur européen de la construction) |</w:t>
        </w:r>
      </w:hyperlink>
      <w:hyperlink r:id="rId17" w:anchor=":~:text=Vocational%20education%20and%20training%20(VET,communication%20and%20collaboration%20with%20others.&amp;amp;text=Source:%20Cedefop%20second%20European%20Skills%20and%20Jobs%20Survey%20(2021)." w:history="1">
        <w:r>
          <w:rPr>
            <w:rStyle w:val="Hyperlink"/>
          </w:rPr>
          <w:t>Centre européen pour le développement de la formation professionnelle (Cedefop).</w:t>
        </w:r>
      </w:hyperlink>
      <w:r>
        <w:rPr>
          <w:sz w:val="24"/>
        </w:rPr>
        <w:t xml:space="preserve"> </w:t>
      </w:r>
    </w:p>
  </w:footnote>
  <w:footnote w:id="68">
    <w:p w14:paraId="1189CE74" w14:textId="206CBED5" w:rsidR="00763FBD" w:rsidRDefault="00763FBD">
      <w:pPr>
        <w:pStyle w:val="FootnoteText"/>
      </w:pPr>
      <w:r>
        <w:rPr>
          <w:rStyle w:val="FootnoteReference"/>
        </w:rPr>
        <w:footnoteRef/>
      </w:r>
      <w:r>
        <w:t xml:space="preserve"> Il s’agira de la première plateforme en ligne à l’échelle de l’UE qui, une fois mise en place, sera ouverte à tout ressortissant de pays tiers souhaitant travailler légalement dans l’Union, et sur laquelle les États membres participants pourront enregistrer les offres d’emploi d’employeurs établis sur leur territoire.</w:t>
      </w:r>
    </w:p>
  </w:footnote>
  <w:footnote w:id="69">
    <w:p w14:paraId="3541A251" w14:textId="09AA48DC" w:rsidR="00DB1307" w:rsidRDefault="00DB1307">
      <w:pPr>
        <w:pStyle w:val="FootnoteText"/>
      </w:pPr>
      <w:r>
        <w:rPr>
          <w:rStyle w:val="FootnoteReference"/>
        </w:rPr>
        <w:footnoteRef/>
      </w:r>
      <w:r>
        <w:t xml:space="preserve"> Jusqu’à présent, des partenariats pour les talents ont été établis avec le Maroc, la Tunisie, l’Égypte, le Pakistan et le Bangladesh. Ces partenariats fournissent un cadre politique et financier pour renforcer la coopération entre l’Union européenne, les États membres et les principaux pays partenaires en matière de mobilité et de développement des compétences.</w:t>
      </w:r>
    </w:p>
  </w:footnote>
  <w:footnote w:id="70">
    <w:p w14:paraId="26038C9F" w14:textId="1FB6FF9B" w:rsidR="001137B3" w:rsidRDefault="001137B3">
      <w:pPr>
        <w:pStyle w:val="FootnoteText"/>
      </w:pPr>
      <w:r>
        <w:rPr>
          <w:rStyle w:val="FootnoteReference"/>
        </w:rPr>
        <w:footnoteRef/>
      </w:r>
      <w:r>
        <w:t xml:space="preserve"> Prévue pour janvier 2026, elle comprendra des mesures visant à soutenir l’arrivée de travailleurs formés en provenance de pays tiers.</w:t>
      </w:r>
    </w:p>
  </w:footnote>
  <w:footnote w:id="71">
    <w:p w14:paraId="08CD1B6B" w14:textId="77777777" w:rsidR="00016DBD" w:rsidRDefault="00016DBD" w:rsidP="00016DBD">
      <w:pPr>
        <w:pStyle w:val="FootnoteText"/>
      </w:pPr>
      <w:r>
        <w:rPr>
          <w:rStyle w:val="FootnoteReference"/>
        </w:rPr>
        <w:footnoteRef/>
      </w:r>
      <w:r>
        <w:t xml:space="preserve"> https://commission.europa.eu/topics/eu-competitiveness/union-skills_fr.</w:t>
      </w:r>
    </w:p>
  </w:footnote>
  <w:footnote w:id="72">
    <w:p w14:paraId="406A90E1" w14:textId="3238EA9B" w:rsidR="00016DBD" w:rsidRDefault="00016DBD" w:rsidP="00016DBD">
      <w:pPr>
        <w:pStyle w:val="FootnoteText"/>
      </w:pPr>
      <w:r>
        <w:rPr>
          <w:rStyle w:val="FootnoteReference"/>
        </w:rPr>
        <w:footnoteRef/>
      </w:r>
      <w:r>
        <w:t xml:space="preserve"> Dans le cadre du partenariat du pacte pour les compétences: https://pact-for-skills.ec.europa.eu/about/industrial-ecosystems-and-partnerships_en?prefLang=fr.</w:t>
      </w:r>
    </w:p>
  </w:footnote>
  <w:footnote w:id="73">
    <w:p w14:paraId="5344CBC6" w14:textId="77777777" w:rsidR="00016DBD" w:rsidRDefault="00016DBD" w:rsidP="00016DBD">
      <w:pPr>
        <w:pStyle w:val="FootnoteText"/>
      </w:pPr>
      <w:r>
        <w:rPr>
          <w:rStyle w:val="FootnoteReference"/>
        </w:rPr>
        <w:footnoteRef/>
      </w:r>
      <w:r>
        <w:t xml:space="preserve"> </w:t>
      </w:r>
      <w:hyperlink r:id="rId18" w:history="1">
        <w:r>
          <w:rPr>
            <w:rStyle w:val="Hyperlink"/>
          </w:rPr>
          <w:t>«Blueprint for sectoral cooperation on skills - Employment, Social Affairs and Inclusion» (Plan de coopération sectorielle en matière de compétences – Emploi, affaires sociales et inclusion)</w:t>
        </w:r>
      </w:hyperlink>
      <w:r>
        <w:t>.</w:t>
      </w:r>
    </w:p>
  </w:footnote>
  <w:footnote w:id="74">
    <w:p w14:paraId="62AF8292" w14:textId="6E8E4E20" w:rsidR="009F4C79" w:rsidRPr="009F4C79" w:rsidRDefault="009F4C79">
      <w:pPr>
        <w:pStyle w:val="FootnoteText"/>
      </w:pPr>
      <w:r>
        <w:rPr>
          <w:rStyle w:val="FootnoteReference"/>
        </w:rPr>
        <w:footnoteRef/>
      </w:r>
      <w:r>
        <w:t xml:space="preserve"> Un rapport analytique sur les compétences dans le secteur européen de la construction – Observatoire européen de la construction.</w:t>
      </w:r>
    </w:p>
  </w:footnote>
  <w:footnote w:id="75">
    <w:p w14:paraId="316A94E8" w14:textId="7F1CFAED" w:rsidR="00CA5292" w:rsidRDefault="00CA5292">
      <w:pPr>
        <w:pStyle w:val="FootnoteText"/>
      </w:pPr>
      <w:r>
        <w:rPr>
          <w:rStyle w:val="FootnoteReference"/>
        </w:rPr>
        <w:footnoteRef/>
      </w:r>
      <w:r>
        <w:t xml:space="preserve"> </w:t>
      </w:r>
      <w:hyperlink r:id="rId19" w:history="1">
        <w:r>
          <w:rPr>
            <w:rStyle w:val="Hyperlink"/>
          </w:rPr>
          <w:t>https://single-market-economy.ec.europa.eu/sectors/construction/construction-transition-pathway_fr</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CBA6C" w14:textId="77777777" w:rsidR="00607EE2" w:rsidRPr="00607EE2" w:rsidRDefault="00607EE2" w:rsidP="00607EE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14748" w14:textId="77777777" w:rsidR="00607EE2" w:rsidRPr="00607EE2" w:rsidRDefault="00607EE2" w:rsidP="00607E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B4646" w14:textId="77777777" w:rsidR="00607EE2" w:rsidRPr="00607EE2" w:rsidRDefault="00607EE2" w:rsidP="00607E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07CF2" w14:textId="77777777" w:rsidR="006A7C0E" w:rsidRDefault="006A7C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E0823" w14:textId="77777777" w:rsidR="006A7C0E" w:rsidRPr="005552D6" w:rsidRDefault="006A7C0E">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C80" w14:textId="77777777" w:rsidR="006A7C0E" w:rsidRDefault="006A7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455C"/>
    <w:multiLevelType w:val="hybridMultilevel"/>
    <w:tmpl w:val="28BE4640"/>
    <w:lvl w:ilvl="0" w:tplc="97DA12FE">
      <w:start w:val="1"/>
      <w:numFmt w:val="bullet"/>
      <w:lvlText w:val=""/>
      <w:lvlJc w:val="left"/>
      <w:pPr>
        <w:ind w:left="720" w:hanging="360"/>
      </w:pPr>
      <w:rPr>
        <w:rFonts w:ascii="Symbol" w:hAnsi="Symbol"/>
      </w:rPr>
    </w:lvl>
    <w:lvl w:ilvl="1" w:tplc="DA322B12">
      <w:start w:val="1"/>
      <w:numFmt w:val="bullet"/>
      <w:lvlText w:val=""/>
      <w:lvlJc w:val="left"/>
      <w:pPr>
        <w:ind w:left="720" w:hanging="360"/>
      </w:pPr>
      <w:rPr>
        <w:rFonts w:ascii="Symbol" w:hAnsi="Symbol"/>
      </w:rPr>
    </w:lvl>
    <w:lvl w:ilvl="2" w:tplc="AD24EB64">
      <w:start w:val="1"/>
      <w:numFmt w:val="bullet"/>
      <w:lvlText w:val=""/>
      <w:lvlJc w:val="left"/>
      <w:pPr>
        <w:ind w:left="720" w:hanging="360"/>
      </w:pPr>
      <w:rPr>
        <w:rFonts w:ascii="Symbol" w:hAnsi="Symbol"/>
      </w:rPr>
    </w:lvl>
    <w:lvl w:ilvl="3" w:tplc="104816F8">
      <w:start w:val="1"/>
      <w:numFmt w:val="bullet"/>
      <w:lvlText w:val=""/>
      <w:lvlJc w:val="left"/>
      <w:pPr>
        <w:ind w:left="720" w:hanging="360"/>
      </w:pPr>
      <w:rPr>
        <w:rFonts w:ascii="Symbol" w:hAnsi="Symbol"/>
      </w:rPr>
    </w:lvl>
    <w:lvl w:ilvl="4" w:tplc="742C35F8">
      <w:start w:val="1"/>
      <w:numFmt w:val="bullet"/>
      <w:lvlText w:val=""/>
      <w:lvlJc w:val="left"/>
      <w:pPr>
        <w:ind w:left="720" w:hanging="360"/>
      </w:pPr>
      <w:rPr>
        <w:rFonts w:ascii="Symbol" w:hAnsi="Symbol"/>
      </w:rPr>
    </w:lvl>
    <w:lvl w:ilvl="5" w:tplc="B34AC98A">
      <w:start w:val="1"/>
      <w:numFmt w:val="bullet"/>
      <w:lvlText w:val=""/>
      <w:lvlJc w:val="left"/>
      <w:pPr>
        <w:ind w:left="720" w:hanging="360"/>
      </w:pPr>
      <w:rPr>
        <w:rFonts w:ascii="Symbol" w:hAnsi="Symbol"/>
      </w:rPr>
    </w:lvl>
    <w:lvl w:ilvl="6" w:tplc="6ABE7602">
      <w:start w:val="1"/>
      <w:numFmt w:val="bullet"/>
      <w:lvlText w:val=""/>
      <w:lvlJc w:val="left"/>
      <w:pPr>
        <w:ind w:left="720" w:hanging="360"/>
      </w:pPr>
      <w:rPr>
        <w:rFonts w:ascii="Symbol" w:hAnsi="Symbol"/>
      </w:rPr>
    </w:lvl>
    <w:lvl w:ilvl="7" w:tplc="B6464B80">
      <w:start w:val="1"/>
      <w:numFmt w:val="bullet"/>
      <w:lvlText w:val=""/>
      <w:lvlJc w:val="left"/>
      <w:pPr>
        <w:ind w:left="720" w:hanging="360"/>
      </w:pPr>
      <w:rPr>
        <w:rFonts w:ascii="Symbol" w:hAnsi="Symbol"/>
      </w:rPr>
    </w:lvl>
    <w:lvl w:ilvl="8" w:tplc="060C7638">
      <w:start w:val="1"/>
      <w:numFmt w:val="bullet"/>
      <w:lvlText w:val=""/>
      <w:lvlJc w:val="left"/>
      <w:pPr>
        <w:ind w:left="720" w:hanging="360"/>
      </w:pPr>
      <w:rPr>
        <w:rFonts w:ascii="Symbol" w:hAnsi="Symbol"/>
      </w:rPr>
    </w:lvl>
  </w:abstractNum>
  <w:abstractNum w:abstractNumId="1" w15:restartNumberingAfterBreak="0">
    <w:nsid w:val="069A746E"/>
    <w:multiLevelType w:val="hybridMultilevel"/>
    <w:tmpl w:val="D9646C4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2518AC"/>
    <w:multiLevelType w:val="hybridMultilevel"/>
    <w:tmpl w:val="8530ED66"/>
    <w:name w:val="Point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0E29FF"/>
    <w:multiLevelType w:val="hybridMultilevel"/>
    <w:tmpl w:val="BB7298D8"/>
    <w:name w:val="Point222222"/>
    <w:lvl w:ilvl="0" w:tplc="DA8EF5DE">
      <w:start w:val="1"/>
      <w:numFmt w:val="bullet"/>
      <w:lvlText w:val=""/>
      <w:lvlJc w:val="left"/>
      <w:pPr>
        <w:ind w:left="720" w:hanging="360"/>
      </w:pPr>
      <w:rPr>
        <w:rFonts w:ascii="Symbol" w:hAnsi="Symbol" w:hint="default"/>
        <w:u w:color="E97132" w:themeColor="accent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CB2FB1"/>
    <w:multiLevelType w:val="hybridMultilevel"/>
    <w:tmpl w:val="8982DD86"/>
    <w:name w:val="Point22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32E2A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784224"/>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C407387"/>
    <w:multiLevelType w:val="hybridMultilevel"/>
    <w:tmpl w:val="AD24EE68"/>
    <w:name w:val="Point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5A2A3D"/>
    <w:multiLevelType w:val="hybridMultilevel"/>
    <w:tmpl w:val="97BA595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21480836"/>
    <w:multiLevelType w:val="hybridMultilevel"/>
    <w:tmpl w:val="C71E75C0"/>
    <w:lvl w:ilvl="0" w:tplc="FA66E4F2">
      <w:start w:val="1"/>
      <w:numFmt w:val="bullet"/>
      <w:lvlText w:val="-"/>
      <w:lvlJc w:val="left"/>
      <w:pPr>
        <w:ind w:left="360" w:hanging="360"/>
      </w:pPr>
      <w:rPr>
        <w:rFonts w:ascii="Aptos" w:hAnsi="Aptos" w:hint="default"/>
        <w:u w:color="E97132" w:themeColor="accent2"/>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23F47043"/>
    <w:multiLevelType w:val="hybridMultilevel"/>
    <w:tmpl w:val="40CE9BA0"/>
    <w:lvl w:ilvl="0" w:tplc="7B365C66">
      <w:numFmt w:val="bullet"/>
      <w:lvlText w:val="-"/>
      <w:lvlJc w:val="left"/>
      <w:pPr>
        <w:ind w:left="720" w:hanging="360"/>
      </w:pPr>
      <w:rPr>
        <w:rFonts w:ascii="Calibri Light" w:eastAsia="Calibri" w:hAnsi="Calibri Light" w:cs="Calibri Light"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BD95B5F"/>
    <w:multiLevelType w:val="multilevel"/>
    <w:tmpl w:val="0CDCC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024F17"/>
    <w:multiLevelType w:val="hybridMultilevel"/>
    <w:tmpl w:val="A648A464"/>
    <w:lvl w:ilvl="0" w:tplc="25CC6D18">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AFC709F"/>
    <w:multiLevelType w:val="hybridMultilevel"/>
    <w:tmpl w:val="977E28F2"/>
    <w:name w:val="Point"/>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FB755AD"/>
    <w:multiLevelType w:val="hybridMultilevel"/>
    <w:tmpl w:val="FFFFFFFF"/>
    <w:lvl w:ilvl="0" w:tplc="5BA679EC">
      <w:start w:val="1"/>
      <w:numFmt w:val="bullet"/>
      <w:lvlText w:val="-"/>
      <w:lvlJc w:val="left"/>
      <w:pPr>
        <w:ind w:left="720" w:hanging="360"/>
      </w:pPr>
      <w:rPr>
        <w:rFonts w:ascii="Aptos" w:hAnsi="Aptos" w:hint="default"/>
      </w:rPr>
    </w:lvl>
    <w:lvl w:ilvl="1" w:tplc="F5F8C806">
      <w:start w:val="1"/>
      <w:numFmt w:val="bullet"/>
      <w:lvlText w:val="o"/>
      <w:lvlJc w:val="left"/>
      <w:pPr>
        <w:ind w:left="1440" w:hanging="360"/>
      </w:pPr>
      <w:rPr>
        <w:rFonts w:ascii="Courier New" w:hAnsi="Courier New" w:hint="default"/>
      </w:rPr>
    </w:lvl>
    <w:lvl w:ilvl="2" w:tplc="370E5BE6">
      <w:start w:val="1"/>
      <w:numFmt w:val="bullet"/>
      <w:lvlText w:val=""/>
      <w:lvlJc w:val="left"/>
      <w:pPr>
        <w:ind w:left="2160" w:hanging="360"/>
      </w:pPr>
      <w:rPr>
        <w:rFonts w:ascii="Wingdings" w:hAnsi="Wingdings" w:hint="default"/>
      </w:rPr>
    </w:lvl>
    <w:lvl w:ilvl="3" w:tplc="FF2E16CC">
      <w:start w:val="1"/>
      <w:numFmt w:val="bullet"/>
      <w:lvlText w:val=""/>
      <w:lvlJc w:val="left"/>
      <w:pPr>
        <w:ind w:left="2880" w:hanging="360"/>
      </w:pPr>
      <w:rPr>
        <w:rFonts w:ascii="Symbol" w:hAnsi="Symbol" w:hint="default"/>
      </w:rPr>
    </w:lvl>
    <w:lvl w:ilvl="4" w:tplc="0096F0EC">
      <w:start w:val="1"/>
      <w:numFmt w:val="bullet"/>
      <w:lvlText w:val="o"/>
      <w:lvlJc w:val="left"/>
      <w:pPr>
        <w:ind w:left="3600" w:hanging="360"/>
      </w:pPr>
      <w:rPr>
        <w:rFonts w:ascii="Courier New" w:hAnsi="Courier New" w:hint="default"/>
      </w:rPr>
    </w:lvl>
    <w:lvl w:ilvl="5" w:tplc="12C2DB8C">
      <w:start w:val="1"/>
      <w:numFmt w:val="bullet"/>
      <w:lvlText w:val=""/>
      <w:lvlJc w:val="left"/>
      <w:pPr>
        <w:ind w:left="4320" w:hanging="360"/>
      </w:pPr>
      <w:rPr>
        <w:rFonts w:ascii="Wingdings" w:hAnsi="Wingdings" w:hint="default"/>
      </w:rPr>
    </w:lvl>
    <w:lvl w:ilvl="6" w:tplc="435CA080">
      <w:start w:val="1"/>
      <w:numFmt w:val="bullet"/>
      <w:lvlText w:val=""/>
      <w:lvlJc w:val="left"/>
      <w:pPr>
        <w:ind w:left="5040" w:hanging="360"/>
      </w:pPr>
      <w:rPr>
        <w:rFonts w:ascii="Symbol" w:hAnsi="Symbol" w:hint="default"/>
      </w:rPr>
    </w:lvl>
    <w:lvl w:ilvl="7" w:tplc="C29EBEC6">
      <w:start w:val="1"/>
      <w:numFmt w:val="bullet"/>
      <w:lvlText w:val="o"/>
      <w:lvlJc w:val="left"/>
      <w:pPr>
        <w:ind w:left="5760" w:hanging="360"/>
      </w:pPr>
      <w:rPr>
        <w:rFonts w:ascii="Courier New" w:hAnsi="Courier New" w:hint="default"/>
      </w:rPr>
    </w:lvl>
    <w:lvl w:ilvl="8" w:tplc="62AE1BC8">
      <w:start w:val="1"/>
      <w:numFmt w:val="bullet"/>
      <w:lvlText w:val=""/>
      <w:lvlJc w:val="left"/>
      <w:pPr>
        <w:ind w:left="6480" w:hanging="360"/>
      </w:pPr>
      <w:rPr>
        <w:rFonts w:ascii="Wingdings" w:hAnsi="Wingdings" w:hint="default"/>
      </w:rPr>
    </w:lvl>
  </w:abstractNum>
  <w:abstractNum w:abstractNumId="15" w15:restartNumberingAfterBreak="0">
    <w:nsid w:val="503E154F"/>
    <w:multiLevelType w:val="hybridMultilevel"/>
    <w:tmpl w:val="6FF805CA"/>
    <w:name w:val="Point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0AD414D"/>
    <w:multiLevelType w:val="hybridMultilevel"/>
    <w:tmpl w:val="AA7031C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646DEF"/>
    <w:multiLevelType w:val="hybridMultilevel"/>
    <w:tmpl w:val="FFFFFFFF"/>
    <w:lvl w:ilvl="0" w:tplc="E1981B62">
      <w:start w:val="1"/>
      <w:numFmt w:val="bullet"/>
      <w:lvlText w:val="-"/>
      <w:lvlJc w:val="left"/>
      <w:pPr>
        <w:ind w:left="720" w:hanging="360"/>
      </w:pPr>
      <w:rPr>
        <w:rFonts w:ascii="Aptos" w:hAnsi="Aptos" w:hint="default"/>
      </w:rPr>
    </w:lvl>
    <w:lvl w:ilvl="1" w:tplc="D682FC3C">
      <w:start w:val="1"/>
      <w:numFmt w:val="bullet"/>
      <w:lvlText w:val="o"/>
      <w:lvlJc w:val="left"/>
      <w:pPr>
        <w:ind w:left="1440" w:hanging="360"/>
      </w:pPr>
      <w:rPr>
        <w:rFonts w:ascii="Courier New" w:hAnsi="Courier New" w:hint="default"/>
      </w:rPr>
    </w:lvl>
    <w:lvl w:ilvl="2" w:tplc="248085E4">
      <w:start w:val="1"/>
      <w:numFmt w:val="bullet"/>
      <w:lvlText w:val=""/>
      <w:lvlJc w:val="left"/>
      <w:pPr>
        <w:ind w:left="2160" w:hanging="360"/>
      </w:pPr>
      <w:rPr>
        <w:rFonts w:ascii="Wingdings" w:hAnsi="Wingdings" w:hint="default"/>
      </w:rPr>
    </w:lvl>
    <w:lvl w:ilvl="3" w:tplc="E5847E66">
      <w:start w:val="1"/>
      <w:numFmt w:val="bullet"/>
      <w:lvlText w:val=""/>
      <w:lvlJc w:val="left"/>
      <w:pPr>
        <w:ind w:left="2880" w:hanging="360"/>
      </w:pPr>
      <w:rPr>
        <w:rFonts w:ascii="Symbol" w:hAnsi="Symbol" w:hint="default"/>
      </w:rPr>
    </w:lvl>
    <w:lvl w:ilvl="4" w:tplc="A1A858DE">
      <w:start w:val="1"/>
      <w:numFmt w:val="bullet"/>
      <w:lvlText w:val="o"/>
      <w:lvlJc w:val="left"/>
      <w:pPr>
        <w:ind w:left="3600" w:hanging="360"/>
      </w:pPr>
      <w:rPr>
        <w:rFonts w:ascii="Courier New" w:hAnsi="Courier New" w:hint="default"/>
      </w:rPr>
    </w:lvl>
    <w:lvl w:ilvl="5" w:tplc="B4E65BEE">
      <w:start w:val="1"/>
      <w:numFmt w:val="bullet"/>
      <w:lvlText w:val=""/>
      <w:lvlJc w:val="left"/>
      <w:pPr>
        <w:ind w:left="4320" w:hanging="360"/>
      </w:pPr>
      <w:rPr>
        <w:rFonts w:ascii="Wingdings" w:hAnsi="Wingdings" w:hint="default"/>
      </w:rPr>
    </w:lvl>
    <w:lvl w:ilvl="6" w:tplc="114AC238">
      <w:start w:val="1"/>
      <w:numFmt w:val="bullet"/>
      <w:lvlText w:val=""/>
      <w:lvlJc w:val="left"/>
      <w:pPr>
        <w:ind w:left="5040" w:hanging="360"/>
      </w:pPr>
      <w:rPr>
        <w:rFonts w:ascii="Symbol" w:hAnsi="Symbol" w:hint="default"/>
      </w:rPr>
    </w:lvl>
    <w:lvl w:ilvl="7" w:tplc="6A106B54">
      <w:start w:val="1"/>
      <w:numFmt w:val="bullet"/>
      <w:lvlText w:val="o"/>
      <w:lvlJc w:val="left"/>
      <w:pPr>
        <w:ind w:left="5760" w:hanging="360"/>
      </w:pPr>
      <w:rPr>
        <w:rFonts w:ascii="Courier New" w:hAnsi="Courier New" w:hint="default"/>
      </w:rPr>
    </w:lvl>
    <w:lvl w:ilvl="8" w:tplc="E07204A6">
      <w:start w:val="1"/>
      <w:numFmt w:val="bullet"/>
      <w:lvlText w:val=""/>
      <w:lvlJc w:val="left"/>
      <w:pPr>
        <w:ind w:left="6480" w:hanging="360"/>
      </w:pPr>
      <w:rPr>
        <w:rFonts w:ascii="Wingdings" w:hAnsi="Wingdings" w:hint="default"/>
      </w:rPr>
    </w:lvl>
  </w:abstractNum>
  <w:abstractNum w:abstractNumId="18" w15:restartNumberingAfterBreak="0">
    <w:nsid w:val="5E996937"/>
    <w:multiLevelType w:val="hybridMultilevel"/>
    <w:tmpl w:val="31AE351C"/>
    <w:lvl w:ilvl="0" w:tplc="FDB6BF6C">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D70B0A"/>
    <w:multiLevelType w:val="hybridMultilevel"/>
    <w:tmpl w:val="962CB454"/>
    <w:lvl w:ilvl="0" w:tplc="9FDE7150">
      <w:start w:val="5"/>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25D2A22"/>
    <w:multiLevelType w:val="hybridMultilevel"/>
    <w:tmpl w:val="58DC569C"/>
    <w:lvl w:ilvl="0" w:tplc="FA66E4F2">
      <w:start w:val="1"/>
      <w:numFmt w:val="bullet"/>
      <w:lvlText w:val="-"/>
      <w:lvlJc w:val="left"/>
      <w:pPr>
        <w:ind w:left="720" w:hanging="360"/>
      </w:pPr>
      <w:rPr>
        <w:rFonts w:ascii="Aptos" w:hAnsi="Aptos" w:hint="default"/>
      </w:rPr>
    </w:lvl>
    <w:lvl w:ilvl="1" w:tplc="A5D67ABA">
      <w:start w:val="1"/>
      <w:numFmt w:val="bullet"/>
      <w:lvlText w:val="o"/>
      <w:lvlJc w:val="left"/>
      <w:pPr>
        <w:ind w:left="1440" w:hanging="360"/>
      </w:pPr>
      <w:rPr>
        <w:rFonts w:ascii="Courier New" w:hAnsi="Courier New" w:hint="default"/>
      </w:rPr>
    </w:lvl>
    <w:lvl w:ilvl="2" w:tplc="C5144840">
      <w:start w:val="1"/>
      <w:numFmt w:val="bullet"/>
      <w:lvlText w:val=""/>
      <w:lvlJc w:val="left"/>
      <w:pPr>
        <w:ind w:left="2160" w:hanging="360"/>
      </w:pPr>
      <w:rPr>
        <w:rFonts w:ascii="Wingdings" w:hAnsi="Wingdings" w:hint="default"/>
      </w:rPr>
    </w:lvl>
    <w:lvl w:ilvl="3" w:tplc="33F489C4">
      <w:start w:val="1"/>
      <w:numFmt w:val="bullet"/>
      <w:lvlText w:val=""/>
      <w:lvlJc w:val="left"/>
      <w:pPr>
        <w:ind w:left="2880" w:hanging="360"/>
      </w:pPr>
      <w:rPr>
        <w:rFonts w:ascii="Symbol" w:hAnsi="Symbol" w:hint="default"/>
      </w:rPr>
    </w:lvl>
    <w:lvl w:ilvl="4" w:tplc="92D81318">
      <w:start w:val="1"/>
      <w:numFmt w:val="bullet"/>
      <w:lvlText w:val="o"/>
      <w:lvlJc w:val="left"/>
      <w:pPr>
        <w:ind w:left="3600" w:hanging="360"/>
      </w:pPr>
      <w:rPr>
        <w:rFonts w:ascii="Courier New" w:hAnsi="Courier New" w:hint="default"/>
      </w:rPr>
    </w:lvl>
    <w:lvl w:ilvl="5" w:tplc="E2F683F0">
      <w:start w:val="1"/>
      <w:numFmt w:val="bullet"/>
      <w:lvlText w:val=""/>
      <w:lvlJc w:val="left"/>
      <w:pPr>
        <w:ind w:left="4320" w:hanging="360"/>
      </w:pPr>
      <w:rPr>
        <w:rFonts w:ascii="Wingdings" w:hAnsi="Wingdings" w:hint="default"/>
      </w:rPr>
    </w:lvl>
    <w:lvl w:ilvl="6" w:tplc="238C1A24">
      <w:start w:val="1"/>
      <w:numFmt w:val="bullet"/>
      <w:lvlText w:val=""/>
      <w:lvlJc w:val="left"/>
      <w:pPr>
        <w:ind w:left="5040" w:hanging="360"/>
      </w:pPr>
      <w:rPr>
        <w:rFonts w:ascii="Symbol" w:hAnsi="Symbol" w:hint="default"/>
      </w:rPr>
    </w:lvl>
    <w:lvl w:ilvl="7" w:tplc="2DA44468">
      <w:start w:val="1"/>
      <w:numFmt w:val="bullet"/>
      <w:lvlText w:val="o"/>
      <w:lvlJc w:val="left"/>
      <w:pPr>
        <w:ind w:left="5760" w:hanging="360"/>
      </w:pPr>
      <w:rPr>
        <w:rFonts w:ascii="Courier New" w:hAnsi="Courier New" w:hint="default"/>
      </w:rPr>
    </w:lvl>
    <w:lvl w:ilvl="8" w:tplc="D3C6D41E">
      <w:start w:val="1"/>
      <w:numFmt w:val="bullet"/>
      <w:lvlText w:val=""/>
      <w:lvlJc w:val="left"/>
      <w:pPr>
        <w:ind w:left="6480" w:hanging="360"/>
      </w:pPr>
      <w:rPr>
        <w:rFonts w:ascii="Wingdings" w:hAnsi="Wingdings" w:hint="default"/>
      </w:rPr>
    </w:lvl>
  </w:abstractNum>
  <w:abstractNum w:abstractNumId="21" w15:restartNumberingAfterBreak="0">
    <w:nsid w:val="654838D8"/>
    <w:multiLevelType w:val="hybridMultilevel"/>
    <w:tmpl w:val="DD220346"/>
    <w:lvl w:ilvl="0" w:tplc="FA66E4F2">
      <w:start w:val="1"/>
      <w:numFmt w:val="bullet"/>
      <w:lvlText w:val="-"/>
      <w:lvlJc w:val="left"/>
      <w:pPr>
        <w:ind w:left="1080" w:hanging="360"/>
      </w:pPr>
      <w:rPr>
        <w:rFonts w:ascii="Aptos" w:hAnsi="Apto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6E5F705F"/>
    <w:multiLevelType w:val="hybridMultilevel"/>
    <w:tmpl w:val="7A5456C4"/>
    <w:name w:val="Point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ED3E68"/>
    <w:multiLevelType w:val="hybridMultilevel"/>
    <w:tmpl w:val="52C23B28"/>
    <w:lvl w:ilvl="0" w:tplc="307A4084">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6A7F6D"/>
    <w:multiLevelType w:val="hybridMultilevel"/>
    <w:tmpl w:val="8A94CC22"/>
    <w:name w:val="Point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2919B2"/>
    <w:multiLevelType w:val="hybridMultilevel"/>
    <w:tmpl w:val="2292A932"/>
    <w:lvl w:ilvl="0" w:tplc="16063CC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
  </w:num>
  <w:num w:numId="4">
    <w:abstractNumId w:val="21"/>
  </w:num>
  <w:num w:numId="5">
    <w:abstractNumId w:val="16"/>
  </w:num>
  <w:num w:numId="6">
    <w:abstractNumId w:val="9"/>
  </w:num>
  <w:num w:numId="7">
    <w:abstractNumId w:val="11"/>
  </w:num>
  <w:num w:numId="8">
    <w:abstractNumId w:val="6"/>
  </w:num>
  <w:num w:numId="9">
    <w:abstractNumId w:val="0"/>
  </w:num>
  <w:num w:numId="10">
    <w:abstractNumId w:val="23"/>
  </w:num>
  <w:num w:numId="11">
    <w:abstractNumId w:val="6"/>
  </w:num>
  <w:num w:numId="12">
    <w:abstractNumId w:val="19"/>
  </w:num>
  <w:num w:numId="13">
    <w:abstractNumId w:val="12"/>
  </w:num>
  <w:num w:numId="14">
    <w:abstractNumId w:val="18"/>
  </w:num>
  <w:num w:numId="15">
    <w:abstractNumId w:val="6"/>
  </w:num>
  <w:num w:numId="16">
    <w:abstractNumId w:val="6"/>
  </w:num>
  <w:num w:numId="17">
    <w:abstractNumId w:val="6"/>
  </w:num>
  <w:num w:numId="18">
    <w:abstractNumId w:val="6"/>
  </w:num>
  <w:num w:numId="19">
    <w:abstractNumId w:val="6"/>
  </w:num>
  <w:num w:numId="20">
    <w:abstractNumId w:val="8"/>
  </w:num>
  <w:num w:numId="21">
    <w:abstractNumId w:val="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0"/>
  </w:num>
  <w:num w:numId="25">
    <w:abstractNumId w:val="6"/>
  </w:num>
  <w:num w:numId="26">
    <w:abstractNumId w:val="14"/>
  </w:num>
  <w:num w:numId="2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BF5BB25-B1FF-445A-9917-FEED297A0B2F"/>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9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La stratégie européenne pour la construction de logements: une industrie de la construction plus compétitive et plus productive&lt;/FMT&gt;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BC7F22"/>
    <w:rsid w:val="00000018"/>
    <w:rsid w:val="0000030B"/>
    <w:rsid w:val="0000036F"/>
    <w:rsid w:val="00000B7D"/>
    <w:rsid w:val="00000BA9"/>
    <w:rsid w:val="00000C70"/>
    <w:rsid w:val="00000D06"/>
    <w:rsid w:val="00000E2B"/>
    <w:rsid w:val="00000EF4"/>
    <w:rsid w:val="00001077"/>
    <w:rsid w:val="00001246"/>
    <w:rsid w:val="00001285"/>
    <w:rsid w:val="00001354"/>
    <w:rsid w:val="00001392"/>
    <w:rsid w:val="00001495"/>
    <w:rsid w:val="000016C5"/>
    <w:rsid w:val="0000192C"/>
    <w:rsid w:val="00001C22"/>
    <w:rsid w:val="00001C75"/>
    <w:rsid w:val="00001EF1"/>
    <w:rsid w:val="00002180"/>
    <w:rsid w:val="00002194"/>
    <w:rsid w:val="000021B5"/>
    <w:rsid w:val="000021FD"/>
    <w:rsid w:val="000022A3"/>
    <w:rsid w:val="0000235B"/>
    <w:rsid w:val="0000238D"/>
    <w:rsid w:val="0000247D"/>
    <w:rsid w:val="00002533"/>
    <w:rsid w:val="0000262B"/>
    <w:rsid w:val="000026F9"/>
    <w:rsid w:val="00002834"/>
    <w:rsid w:val="00002840"/>
    <w:rsid w:val="000028E6"/>
    <w:rsid w:val="00002915"/>
    <w:rsid w:val="00002924"/>
    <w:rsid w:val="00002940"/>
    <w:rsid w:val="00002BD1"/>
    <w:rsid w:val="00002F4C"/>
    <w:rsid w:val="00003067"/>
    <w:rsid w:val="000033B1"/>
    <w:rsid w:val="0000347A"/>
    <w:rsid w:val="000035E3"/>
    <w:rsid w:val="000036C6"/>
    <w:rsid w:val="00003A8D"/>
    <w:rsid w:val="00003C13"/>
    <w:rsid w:val="00003D92"/>
    <w:rsid w:val="00003DC7"/>
    <w:rsid w:val="00003F57"/>
    <w:rsid w:val="000041B6"/>
    <w:rsid w:val="0000433C"/>
    <w:rsid w:val="00004480"/>
    <w:rsid w:val="00004578"/>
    <w:rsid w:val="0000479F"/>
    <w:rsid w:val="000047EF"/>
    <w:rsid w:val="0000486C"/>
    <w:rsid w:val="00004A4F"/>
    <w:rsid w:val="00004BBB"/>
    <w:rsid w:val="00004E31"/>
    <w:rsid w:val="00004E75"/>
    <w:rsid w:val="000050CF"/>
    <w:rsid w:val="00005427"/>
    <w:rsid w:val="00005499"/>
    <w:rsid w:val="0000551C"/>
    <w:rsid w:val="00005597"/>
    <w:rsid w:val="0000571C"/>
    <w:rsid w:val="0000598C"/>
    <w:rsid w:val="000059A3"/>
    <w:rsid w:val="00005AFD"/>
    <w:rsid w:val="00005B45"/>
    <w:rsid w:val="00005B83"/>
    <w:rsid w:val="00005B8B"/>
    <w:rsid w:val="00005BCF"/>
    <w:rsid w:val="0000630D"/>
    <w:rsid w:val="000065DA"/>
    <w:rsid w:val="00006725"/>
    <w:rsid w:val="000067C5"/>
    <w:rsid w:val="0000680E"/>
    <w:rsid w:val="0000691B"/>
    <w:rsid w:val="00006AD1"/>
    <w:rsid w:val="00006AE2"/>
    <w:rsid w:val="00006AE5"/>
    <w:rsid w:val="00006C50"/>
    <w:rsid w:val="00006CE1"/>
    <w:rsid w:val="00006D4F"/>
    <w:rsid w:val="00006E09"/>
    <w:rsid w:val="00006F14"/>
    <w:rsid w:val="00006F82"/>
    <w:rsid w:val="0000703D"/>
    <w:rsid w:val="00007188"/>
    <w:rsid w:val="000071AD"/>
    <w:rsid w:val="0000721F"/>
    <w:rsid w:val="0000759D"/>
    <w:rsid w:val="00007617"/>
    <w:rsid w:val="000077E9"/>
    <w:rsid w:val="00007912"/>
    <w:rsid w:val="00007ABC"/>
    <w:rsid w:val="00007B93"/>
    <w:rsid w:val="00007D74"/>
    <w:rsid w:val="00007E30"/>
    <w:rsid w:val="00007FD2"/>
    <w:rsid w:val="00010118"/>
    <w:rsid w:val="0001013C"/>
    <w:rsid w:val="00010174"/>
    <w:rsid w:val="000102A7"/>
    <w:rsid w:val="00010AD8"/>
    <w:rsid w:val="00010AF4"/>
    <w:rsid w:val="00010C3A"/>
    <w:rsid w:val="00010DED"/>
    <w:rsid w:val="00010F04"/>
    <w:rsid w:val="00010FD6"/>
    <w:rsid w:val="0001101F"/>
    <w:rsid w:val="000112D9"/>
    <w:rsid w:val="00011550"/>
    <w:rsid w:val="0001165A"/>
    <w:rsid w:val="000116F7"/>
    <w:rsid w:val="00011874"/>
    <w:rsid w:val="0001199A"/>
    <w:rsid w:val="00011A54"/>
    <w:rsid w:val="00011C62"/>
    <w:rsid w:val="00011D55"/>
    <w:rsid w:val="00011DFB"/>
    <w:rsid w:val="00011F83"/>
    <w:rsid w:val="00012032"/>
    <w:rsid w:val="00012050"/>
    <w:rsid w:val="000121E2"/>
    <w:rsid w:val="00012293"/>
    <w:rsid w:val="000124FE"/>
    <w:rsid w:val="0001259C"/>
    <w:rsid w:val="000125EF"/>
    <w:rsid w:val="000127B4"/>
    <w:rsid w:val="000127E4"/>
    <w:rsid w:val="00012A01"/>
    <w:rsid w:val="00012BDA"/>
    <w:rsid w:val="00012BEA"/>
    <w:rsid w:val="00012DDF"/>
    <w:rsid w:val="000130B4"/>
    <w:rsid w:val="00013307"/>
    <w:rsid w:val="000135EE"/>
    <w:rsid w:val="000139CD"/>
    <w:rsid w:val="00013ABE"/>
    <w:rsid w:val="00013B20"/>
    <w:rsid w:val="00013C9D"/>
    <w:rsid w:val="00013E24"/>
    <w:rsid w:val="00013F72"/>
    <w:rsid w:val="000140D7"/>
    <w:rsid w:val="00014353"/>
    <w:rsid w:val="000143E8"/>
    <w:rsid w:val="0001456A"/>
    <w:rsid w:val="00014650"/>
    <w:rsid w:val="000147E0"/>
    <w:rsid w:val="00014807"/>
    <w:rsid w:val="00014A60"/>
    <w:rsid w:val="00014C15"/>
    <w:rsid w:val="00014D50"/>
    <w:rsid w:val="00014EFC"/>
    <w:rsid w:val="00015073"/>
    <w:rsid w:val="00015213"/>
    <w:rsid w:val="000152BD"/>
    <w:rsid w:val="000155E5"/>
    <w:rsid w:val="00015618"/>
    <w:rsid w:val="0001573B"/>
    <w:rsid w:val="00015A82"/>
    <w:rsid w:val="00015C90"/>
    <w:rsid w:val="00015D8A"/>
    <w:rsid w:val="00015E38"/>
    <w:rsid w:val="00015EF6"/>
    <w:rsid w:val="00016111"/>
    <w:rsid w:val="00016351"/>
    <w:rsid w:val="00016710"/>
    <w:rsid w:val="0001692B"/>
    <w:rsid w:val="00016ADE"/>
    <w:rsid w:val="00016DB2"/>
    <w:rsid w:val="00016DBD"/>
    <w:rsid w:val="00016ED8"/>
    <w:rsid w:val="00016F2D"/>
    <w:rsid w:val="00017072"/>
    <w:rsid w:val="000170D7"/>
    <w:rsid w:val="000172E3"/>
    <w:rsid w:val="0001730F"/>
    <w:rsid w:val="000173D7"/>
    <w:rsid w:val="000173F5"/>
    <w:rsid w:val="00017793"/>
    <w:rsid w:val="00017952"/>
    <w:rsid w:val="00017B3D"/>
    <w:rsid w:val="00017B4F"/>
    <w:rsid w:val="00017F7E"/>
    <w:rsid w:val="00017FE6"/>
    <w:rsid w:val="000201B4"/>
    <w:rsid w:val="0002026C"/>
    <w:rsid w:val="0002028A"/>
    <w:rsid w:val="0002035E"/>
    <w:rsid w:val="000207D6"/>
    <w:rsid w:val="00020802"/>
    <w:rsid w:val="0002087E"/>
    <w:rsid w:val="000208DC"/>
    <w:rsid w:val="000208E7"/>
    <w:rsid w:val="00020E20"/>
    <w:rsid w:val="0002105F"/>
    <w:rsid w:val="00021527"/>
    <w:rsid w:val="00021557"/>
    <w:rsid w:val="00021700"/>
    <w:rsid w:val="0002179C"/>
    <w:rsid w:val="0002185F"/>
    <w:rsid w:val="000218FC"/>
    <w:rsid w:val="0002193B"/>
    <w:rsid w:val="00021BE0"/>
    <w:rsid w:val="00021F8B"/>
    <w:rsid w:val="00022014"/>
    <w:rsid w:val="00022068"/>
    <w:rsid w:val="000220AA"/>
    <w:rsid w:val="00022253"/>
    <w:rsid w:val="0002231C"/>
    <w:rsid w:val="000224A1"/>
    <w:rsid w:val="000226E8"/>
    <w:rsid w:val="000228A1"/>
    <w:rsid w:val="00022929"/>
    <w:rsid w:val="00022CF7"/>
    <w:rsid w:val="00022ED9"/>
    <w:rsid w:val="00022F84"/>
    <w:rsid w:val="00022FC1"/>
    <w:rsid w:val="00022FEE"/>
    <w:rsid w:val="00023056"/>
    <w:rsid w:val="0002334C"/>
    <w:rsid w:val="000233BE"/>
    <w:rsid w:val="00023438"/>
    <w:rsid w:val="00023646"/>
    <w:rsid w:val="0002366B"/>
    <w:rsid w:val="000236F3"/>
    <w:rsid w:val="000237C6"/>
    <w:rsid w:val="00023B9B"/>
    <w:rsid w:val="00023FA6"/>
    <w:rsid w:val="00024129"/>
    <w:rsid w:val="0002465A"/>
    <w:rsid w:val="0002477E"/>
    <w:rsid w:val="00024ABE"/>
    <w:rsid w:val="00024BE0"/>
    <w:rsid w:val="00024BE4"/>
    <w:rsid w:val="00024BFB"/>
    <w:rsid w:val="00024D3F"/>
    <w:rsid w:val="00024D8E"/>
    <w:rsid w:val="00024E6A"/>
    <w:rsid w:val="00024FDA"/>
    <w:rsid w:val="00024FF3"/>
    <w:rsid w:val="00025007"/>
    <w:rsid w:val="00025070"/>
    <w:rsid w:val="0002521B"/>
    <w:rsid w:val="00025392"/>
    <w:rsid w:val="000254BB"/>
    <w:rsid w:val="0002581F"/>
    <w:rsid w:val="00025843"/>
    <w:rsid w:val="0002598E"/>
    <w:rsid w:val="00025A89"/>
    <w:rsid w:val="00025D8A"/>
    <w:rsid w:val="00025DAF"/>
    <w:rsid w:val="00026022"/>
    <w:rsid w:val="0002651C"/>
    <w:rsid w:val="000266BE"/>
    <w:rsid w:val="0002673B"/>
    <w:rsid w:val="00026B62"/>
    <w:rsid w:val="00026CC6"/>
    <w:rsid w:val="00026CCF"/>
    <w:rsid w:val="00027335"/>
    <w:rsid w:val="0002735A"/>
    <w:rsid w:val="00027470"/>
    <w:rsid w:val="000277EA"/>
    <w:rsid w:val="0002789B"/>
    <w:rsid w:val="000278B1"/>
    <w:rsid w:val="00027BBF"/>
    <w:rsid w:val="00027BD3"/>
    <w:rsid w:val="00027E8B"/>
    <w:rsid w:val="00030030"/>
    <w:rsid w:val="0003019D"/>
    <w:rsid w:val="0003025D"/>
    <w:rsid w:val="0003032F"/>
    <w:rsid w:val="00030333"/>
    <w:rsid w:val="00030D01"/>
    <w:rsid w:val="00030D1D"/>
    <w:rsid w:val="00030D55"/>
    <w:rsid w:val="00030DCB"/>
    <w:rsid w:val="00030F56"/>
    <w:rsid w:val="0003107E"/>
    <w:rsid w:val="00031200"/>
    <w:rsid w:val="00031248"/>
    <w:rsid w:val="00031619"/>
    <w:rsid w:val="000316B6"/>
    <w:rsid w:val="000317BC"/>
    <w:rsid w:val="0003181C"/>
    <w:rsid w:val="000319A8"/>
    <w:rsid w:val="00031A01"/>
    <w:rsid w:val="00031BB0"/>
    <w:rsid w:val="00031C06"/>
    <w:rsid w:val="00031D18"/>
    <w:rsid w:val="00032077"/>
    <w:rsid w:val="000320A3"/>
    <w:rsid w:val="000322F8"/>
    <w:rsid w:val="0003245B"/>
    <w:rsid w:val="0003260A"/>
    <w:rsid w:val="00032729"/>
    <w:rsid w:val="00032AB1"/>
    <w:rsid w:val="00032ABF"/>
    <w:rsid w:val="00032D1F"/>
    <w:rsid w:val="00032E5F"/>
    <w:rsid w:val="00032F55"/>
    <w:rsid w:val="00032F70"/>
    <w:rsid w:val="00032FA6"/>
    <w:rsid w:val="0003325C"/>
    <w:rsid w:val="00033564"/>
    <w:rsid w:val="000336B3"/>
    <w:rsid w:val="0003398C"/>
    <w:rsid w:val="00033CE7"/>
    <w:rsid w:val="0003406A"/>
    <w:rsid w:val="000340BC"/>
    <w:rsid w:val="0003448A"/>
    <w:rsid w:val="0003459F"/>
    <w:rsid w:val="00034630"/>
    <w:rsid w:val="00034897"/>
    <w:rsid w:val="00034980"/>
    <w:rsid w:val="00034AEE"/>
    <w:rsid w:val="00034C8E"/>
    <w:rsid w:val="00034D4A"/>
    <w:rsid w:val="00034D9F"/>
    <w:rsid w:val="00034E72"/>
    <w:rsid w:val="00034FBB"/>
    <w:rsid w:val="000350E0"/>
    <w:rsid w:val="000351CB"/>
    <w:rsid w:val="00035220"/>
    <w:rsid w:val="0003526E"/>
    <w:rsid w:val="0003531A"/>
    <w:rsid w:val="0003548F"/>
    <w:rsid w:val="00035534"/>
    <w:rsid w:val="00035721"/>
    <w:rsid w:val="000358B8"/>
    <w:rsid w:val="00035A66"/>
    <w:rsid w:val="00035B03"/>
    <w:rsid w:val="00035B97"/>
    <w:rsid w:val="00035BFC"/>
    <w:rsid w:val="00035DF3"/>
    <w:rsid w:val="00035EB7"/>
    <w:rsid w:val="00036012"/>
    <w:rsid w:val="000360C6"/>
    <w:rsid w:val="00036218"/>
    <w:rsid w:val="0003638A"/>
    <w:rsid w:val="00036462"/>
    <w:rsid w:val="000365D9"/>
    <w:rsid w:val="0003665B"/>
    <w:rsid w:val="000367A1"/>
    <w:rsid w:val="0003684C"/>
    <w:rsid w:val="00036A89"/>
    <w:rsid w:val="00036AEB"/>
    <w:rsid w:val="00036DC4"/>
    <w:rsid w:val="00036EBA"/>
    <w:rsid w:val="00036FF2"/>
    <w:rsid w:val="00037032"/>
    <w:rsid w:val="000373FE"/>
    <w:rsid w:val="000375D9"/>
    <w:rsid w:val="000376BD"/>
    <w:rsid w:val="00037A28"/>
    <w:rsid w:val="00037A39"/>
    <w:rsid w:val="00037C7A"/>
    <w:rsid w:val="00037CCA"/>
    <w:rsid w:val="00037E87"/>
    <w:rsid w:val="00037F0F"/>
    <w:rsid w:val="00037FBD"/>
    <w:rsid w:val="0004001E"/>
    <w:rsid w:val="00040060"/>
    <w:rsid w:val="0004047B"/>
    <w:rsid w:val="00040BC6"/>
    <w:rsid w:val="00040C3E"/>
    <w:rsid w:val="00040D2E"/>
    <w:rsid w:val="00040D3A"/>
    <w:rsid w:val="00040EC8"/>
    <w:rsid w:val="00040F95"/>
    <w:rsid w:val="00041082"/>
    <w:rsid w:val="000411F4"/>
    <w:rsid w:val="0004120B"/>
    <w:rsid w:val="00041256"/>
    <w:rsid w:val="00041273"/>
    <w:rsid w:val="000412A7"/>
    <w:rsid w:val="00041372"/>
    <w:rsid w:val="00041381"/>
    <w:rsid w:val="000413CF"/>
    <w:rsid w:val="000415BE"/>
    <w:rsid w:val="000416C3"/>
    <w:rsid w:val="00041701"/>
    <w:rsid w:val="000418AE"/>
    <w:rsid w:val="00041C9F"/>
    <w:rsid w:val="00041CEC"/>
    <w:rsid w:val="00041E46"/>
    <w:rsid w:val="00042017"/>
    <w:rsid w:val="000420A6"/>
    <w:rsid w:val="00042194"/>
    <w:rsid w:val="000422D2"/>
    <w:rsid w:val="000423D2"/>
    <w:rsid w:val="000424E5"/>
    <w:rsid w:val="00042559"/>
    <w:rsid w:val="000425C1"/>
    <w:rsid w:val="000426D8"/>
    <w:rsid w:val="000427B2"/>
    <w:rsid w:val="00042C5B"/>
    <w:rsid w:val="00042E5D"/>
    <w:rsid w:val="00042F19"/>
    <w:rsid w:val="00042F59"/>
    <w:rsid w:val="000432BF"/>
    <w:rsid w:val="000433BF"/>
    <w:rsid w:val="000434FC"/>
    <w:rsid w:val="0004352B"/>
    <w:rsid w:val="00043625"/>
    <w:rsid w:val="000436C4"/>
    <w:rsid w:val="0004381F"/>
    <w:rsid w:val="0004397F"/>
    <w:rsid w:val="00043AD0"/>
    <w:rsid w:val="00043C15"/>
    <w:rsid w:val="00043C1C"/>
    <w:rsid w:val="00043F84"/>
    <w:rsid w:val="00043FE4"/>
    <w:rsid w:val="0004402A"/>
    <w:rsid w:val="000440BD"/>
    <w:rsid w:val="00044129"/>
    <w:rsid w:val="0004413F"/>
    <w:rsid w:val="000441E9"/>
    <w:rsid w:val="000442B7"/>
    <w:rsid w:val="00044504"/>
    <w:rsid w:val="00044510"/>
    <w:rsid w:val="0004460A"/>
    <w:rsid w:val="0004475F"/>
    <w:rsid w:val="0004482E"/>
    <w:rsid w:val="00044874"/>
    <w:rsid w:val="0004493E"/>
    <w:rsid w:val="00044973"/>
    <w:rsid w:val="00044983"/>
    <w:rsid w:val="00044B1C"/>
    <w:rsid w:val="00044BFC"/>
    <w:rsid w:val="00044D54"/>
    <w:rsid w:val="00044EC2"/>
    <w:rsid w:val="00044F01"/>
    <w:rsid w:val="00044F6A"/>
    <w:rsid w:val="0004523A"/>
    <w:rsid w:val="000452B9"/>
    <w:rsid w:val="00045350"/>
    <w:rsid w:val="000453DC"/>
    <w:rsid w:val="00045583"/>
    <w:rsid w:val="0004585D"/>
    <w:rsid w:val="00045B37"/>
    <w:rsid w:val="00045B8C"/>
    <w:rsid w:val="00045CEF"/>
    <w:rsid w:val="00045EEC"/>
    <w:rsid w:val="00045F71"/>
    <w:rsid w:val="00045F82"/>
    <w:rsid w:val="0004611C"/>
    <w:rsid w:val="000466ED"/>
    <w:rsid w:val="0004677A"/>
    <w:rsid w:val="0004685B"/>
    <w:rsid w:val="00046B57"/>
    <w:rsid w:val="00046B64"/>
    <w:rsid w:val="00046B9C"/>
    <w:rsid w:val="00046C0C"/>
    <w:rsid w:val="00046E11"/>
    <w:rsid w:val="00046E4B"/>
    <w:rsid w:val="00047056"/>
    <w:rsid w:val="00047752"/>
    <w:rsid w:val="0004777F"/>
    <w:rsid w:val="000478A7"/>
    <w:rsid w:val="00047A2E"/>
    <w:rsid w:val="00047B1C"/>
    <w:rsid w:val="00047CE7"/>
    <w:rsid w:val="00050011"/>
    <w:rsid w:val="00050076"/>
    <w:rsid w:val="000500BD"/>
    <w:rsid w:val="000502DA"/>
    <w:rsid w:val="00050541"/>
    <w:rsid w:val="000505FF"/>
    <w:rsid w:val="0005060A"/>
    <w:rsid w:val="00050667"/>
    <w:rsid w:val="000506D5"/>
    <w:rsid w:val="000507A4"/>
    <w:rsid w:val="0005088F"/>
    <w:rsid w:val="000509E4"/>
    <w:rsid w:val="00050B80"/>
    <w:rsid w:val="00050F36"/>
    <w:rsid w:val="000511ED"/>
    <w:rsid w:val="0005124F"/>
    <w:rsid w:val="000512E1"/>
    <w:rsid w:val="000513B9"/>
    <w:rsid w:val="000515A9"/>
    <w:rsid w:val="0005165A"/>
    <w:rsid w:val="00051951"/>
    <w:rsid w:val="00051A00"/>
    <w:rsid w:val="00051A7F"/>
    <w:rsid w:val="00051BD9"/>
    <w:rsid w:val="00051BFD"/>
    <w:rsid w:val="00051CC9"/>
    <w:rsid w:val="00051D44"/>
    <w:rsid w:val="00051D69"/>
    <w:rsid w:val="000521DA"/>
    <w:rsid w:val="000521EA"/>
    <w:rsid w:val="00052356"/>
    <w:rsid w:val="00052403"/>
    <w:rsid w:val="00052454"/>
    <w:rsid w:val="00052455"/>
    <w:rsid w:val="00052457"/>
    <w:rsid w:val="0005267E"/>
    <w:rsid w:val="00052744"/>
    <w:rsid w:val="00052944"/>
    <w:rsid w:val="000529F3"/>
    <w:rsid w:val="00052C0B"/>
    <w:rsid w:val="00052C9F"/>
    <w:rsid w:val="00052E77"/>
    <w:rsid w:val="00052F69"/>
    <w:rsid w:val="00053076"/>
    <w:rsid w:val="00053356"/>
    <w:rsid w:val="00053359"/>
    <w:rsid w:val="00053675"/>
    <w:rsid w:val="000536A0"/>
    <w:rsid w:val="0005379E"/>
    <w:rsid w:val="00053966"/>
    <w:rsid w:val="00053A67"/>
    <w:rsid w:val="00053B5D"/>
    <w:rsid w:val="00053BBA"/>
    <w:rsid w:val="00053BFC"/>
    <w:rsid w:val="00053DA8"/>
    <w:rsid w:val="00053E34"/>
    <w:rsid w:val="00053E5F"/>
    <w:rsid w:val="00053F5C"/>
    <w:rsid w:val="0005400D"/>
    <w:rsid w:val="0005400F"/>
    <w:rsid w:val="00054164"/>
    <w:rsid w:val="000541BE"/>
    <w:rsid w:val="0005432F"/>
    <w:rsid w:val="0005456F"/>
    <w:rsid w:val="000547FD"/>
    <w:rsid w:val="00054860"/>
    <w:rsid w:val="00054A7B"/>
    <w:rsid w:val="00054AD0"/>
    <w:rsid w:val="00054B1F"/>
    <w:rsid w:val="00054BF3"/>
    <w:rsid w:val="00054C3D"/>
    <w:rsid w:val="00054C54"/>
    <w:rsid w:val="00054DC3"/>
    <w:rsid w:val="00054E71"/>
    <w:rsid w:val="00054EF6"/>
    <w:rsid w:val="00054F83"/>
    <w:rsid w:val="00055037"/>
    <w:rsid w:val="000550F0"/>
    <w:rsid w:val="0005513A"/>
    <w:rsid w:val="000551AE"/>
    <w:rsid w:val="00055296"/>
    <w:rsid w:val="000552BE"/>
    <w:rsid w:val="00055413"/>
    <w:rsid w:val="000556F4"/>
    <w:rsid w:val="0005571D"/>
    <w:rsid w:val="00055765"/>
    <w:rsid w:val="00055777"/>
    <w:rsid w:val="00055870"/>
    <w:rsid w:val="00055873"/>
    <w:rsid w:val="00055AD1"/>
    <w:rsid w:val="00055BF5"/>
    <w:rsid w:val="00055C15"/>
    <w:rsid w:val="00055C6C"/>
    <w:rsid w:val="00055F1E"/>
    <w:rsid w:val="0005603E"/>
    <w:rsid w:val="000562B4"/>
    <w:rsid w:val="000562D7"/>
    <w:rsid w:val="00056475"/>
    <w:rsid w:val="000565C2"/>
    <w:rsid w:val="00056640"/>
    <w:rsid w:val="0005673A"/>
    <w:rsid w:val="000567BE"/>
    <w:rsid w:val="000567D8"/>
    <w:rsid w:val="00056882"/>
    <w:rsid w:val="00056940"/>
    <w:rsid w:val="00056D17"/>
    <w:rsid w:val="00056DD0"/>
    <w:rsid w:val="00056E46"/>
    <w:rsid w:val="00057490"/>
    <w:rsid w:val="000578C7"/>
    <w:rsid w:val="00057A7F"/>
    <w:rsid w:val="00057AC9"/>
    <w:rsid w:val="00057D49"/>
    <w:rsid w:val="00057E03"/>
    <w:rsid w:val="00057E11"/>
    <w:rsid w:val="00057EC6"/>
    <w:rsid w:val="0005DDEA"/>
    <w:rsid w:val="0006009E"/>
    <w:rsid w:val="00060612"/>
    <w:rsid w:val="00060655"/>
    <w:rsid w:val="00060734"/>
    <w:rsid w:val="0006090C"/>
    <w:rsid w:val="0006099F"/>
    <w:rsid w:val="00060A3F"/>
    <w:rsid w:val="00060B1A"/>
    <w:rsid w:val="00060B4B"/>
    <w:rsid w:val="00060B91"/>
    <w:rsid w:val="00060B92"/>
    <w:rsid w:val="00060C83"/>
    <w:rsid w:val="00060DFC"/>
    <w:rsid w:val="00060EC6"/>
    <w:rsid w:val="00060F0B"/>
    <w:rsid w:val="0006138C"/>
    <w:rsid w:val="000613D1"/>
    <w:rsid w:val="0006145E"/>
    <w:rsid w:val="000618BE"/>
    <w:rsid w:val="000618CA"/>
    <w:rsid w:val="000618D7"/>
    <w:rsid w:val="00061AA1"/>
    <w:rsid w:val="00061D01"/>
    <w:rsid w:val="00061D42"/>
    <w:rsid w:val="00061E2C"/>
    <w:rsid w:val="00061F40"/>
    <w:rsid w:val="000621F6"/>
    <w:rsid w:val="00062290"/>
    <w:rsid w:val="000622E1"/>
    <w:rsid w:val="00062355"/>
    <w:rsid w:val="0006274B"/>
    <w:rsid w:val="00062A1A"/>
    <w:rsid w:val="00062B8F"/>
    <w:rsid w:val="00062C80"/>
    <w:rsid w:val="00062F38"/>
    <w:rsid w:val="00062FAC"/>
    <w:rsid w:val="00063020"/>
    <w:rsid w:val="000632B0"/>
    <w:rsid w:val="000632B2"/>
    <w:rsid w:val="0006346A"/>
    <w:rsid w:val="000637A6"/>
    <w:rsid w:val="000638EB"/>
    <w:rsid w:val="00063948"/>
    <w:rsid w:val="0006397E"/>
    <w:rsid w:val="000639A5"/>
    <w:rsid w:val="00063B94"/>
    <w:rsid w:val="00063D73"/>
    <w:rsid w:val="00064320"/>
    <w:rsid w:val="000644E0"/>
    <w:rsid w:val="00064588"/>
    <w:rsid w:val="00064766"/>
    <w:rsid w:val="00064935"/>
    <w:rsid w:val="00064948"/>
    <w:rsid w:val="0006494E"/>
    <w:rsid w:val="000649DF"/>
    <w:rsid w:val="00064C2A"/>
    <w:rsid w:val="00064ED5"/>
    <w:rsid w:val="00064F4A"/>
    <w:rsid w:val="0006513D"/>
    <w:rsid w:val="0006542F"/>
    <w:rsid w:val="0006553E"/>
    <w:rsid w:val="0006560D"/>
    <w:rsid w:val="000657A8"/>
    <w:rsid w:val="000658A1"/>
    <w:rsid w:val="00065AD4"/>
    <w:rsid w:val="00065B40"/>
    <w:rsid w:val="00065BCB"/>
    <w:rsid w:val="00065BDB"/>
    <w:rsid w:val="00065E2D"/>
    <w:rsid w:val="00065F18"/>
    <w:rsid w:val="00065FD0"/>
    <w:rsid w:val="0006603E"/>
    <w:rsid w:val="000660D7"/>
    <w:rsid w:val="0006620B"/>
    <w:rsid w:val="000664B7"/>
    <w:rsid w:val="00066809"/>
    <w:rsid w:val="00066903"/>
    <w:rsid w:val="00066967"/>
    <w:rsid w:val="000669F9"/>
    <w:rsid w:val="00066CB5"/>
    <w:rsid w:val="00066D43"/>
    <w:rsid w:val="00066DA6"/>
    <w:rsid w:val="00066DF5"/>
    <w:rsid w:val="000673B7"/>
    <w:rsid w:val="000673B9"/>
    <w:rsid w:val="000675CF"/>
    <w:rsid w:val="0006764C"/>
    <w:rsid w:val="00067ABA"/>
    <w:rsid w:val="00067BAF"/>
    <w:rsid w:val="00067DD1"/>
    <w:rsid w:val="00067ED7"/>
    <w:rsid w:val="00070048"/>
    <w:rsid w:val="00070050"/>
    <w:rsid w:val="0007006A"/>
    <w:rsid w:val="0007031C"/>
    <w:rsid w:val="00070360"/>
    <w:rsid w:val="0007038F"/>
    <w:rsid w:val="000706CF"/>
    <w:rsid w:val="0007096D"/>
    <w:rsid w:val="000709D9"/>
    <w:rsid w:val="00070A0B"/>
    <w:rsid w:val="00070A8E"/>
    <w:rsid w:val="00070B36"/>
    <w:rsid w:val="00070C43"/>
    <w:rsid w:val="00070CDA"/>
    <w:rsid w:val="00070DB1"/>
    <w:rsid w:val="00070E40"/>
    <w:rsid w:val="000711CE"/>
    <w:rsid w:val="00071420"/>
    <w:rsid w:val="00071AE3"/>
    <w:rsid w:val="00071D8D"/>
    <w:rsid w:val="00071DEB"/>
    <w:rsid w:val="00071E42"/>
    <w:rsid w:val="00071FF1"/>
    <w:rsid w:val="00072010"/>
    <w:rsid w:val="00072160"/>
    <w:rsid w:val="000724EC"/>
    <w:rsid w:val="00072681"/>
    <w:rsid w:val="000727CA"/>
    <w:rsid w:val="00072918"/>
    <w:rsid w:val="00072993"/>
    <w:rsid w:val="000729CA"/>
    <w:rsid w:val="000731B8"/>
    <w:rsid w:val="00073559"/>
    <w:rsid w:val="0007366F"/>
    <w:rsid w:val="00073782"/>
    <w:rsid w:val="000737DE"/>
    <w:rsid w:val="00073ACA"/>
    <w:rsid w:val="00073C07"/>
    <w:rsid w:val="00073E5C"/>
    <w:rsid w:val="00073F76"/>
    <w:rsid w:val="000740DA"/>
    <w:rsid w:val="000742AC"/>
    <w:rsid w:val="000744D6"/>
    <w:rsid w:val="000744E3"/>
    <w:rsid w:val="000747FF"/>
    <w:rsid w:val="00074946"/>
    <w:rsid w:val="00074C08"/>
    <w:rsid w:val="00074C3B"/>
    <w:rsid w:val="00074D5E"/>
    <w:rsid w:val="00074DCA"/>
    <w:rsid w:val="00074F8A"/>
    <w:rsid w:val="00075370"/>
    <w:rsid w:val="00075422"/>
    <w:rsid w:val="00075585"/>
    <w:rsid w:val="000756DC"/>
    <w:rsid w:val="00075715"/>
    <w:rsid w:val="000757D9"/>
    <w:rsid w:val="00075A67"/>
    <w:rsid w:val="00075B91"/>
    <w:rsid w:val="00075C19"/>
    <w:rsid w:val="00075C1C"/>
    <w:rsid w:val="00075C6A"/>
    <w:rsid w:val="00075EFF"/>
    <w:rsid w:val="000762C3"/>
    <w:rsid w:val="000764E7"/>
    <w:rsid w:val="00076599"/>
    <w:rsid w:val="00077272"/>
    <w:rsid w:val="000774CA"/>
    <w:rsid w:val="000774CC"/>
    <w:rsid w:val="0007766C"/>
    <w:rsid w:val="000776B6"/>
    <w:rsid w:val="00077C74"/>
    <w:rsid w:val="00077DA1"/>
    <w:rsid w:val="00077F0E"/>
    <w:rsid w:val="0008011E"/>
    <w:rsid w:val="00080260"/>
    <w:rsid w:val="0008038B"/>
    <w:rsid w:val="00080445"/>
    <w:rsid w:val="00080493"/>
    <w:rsid w:val="00080512"/>
    <w:rsid w:val="00080914"/>
    <w:rsid w:val="00080B74"/>
    <w:rsid w:val="00080F8C"/>
    <w:rsid w:val="00080FDD"/>
    <w:rsid w:val="00081019"/>
    <w:rsid w:val="000810D3"/>
    <w:rsid w:val="000812C0"/>
    <w:rsid w:val="00081346"/>
    <w:rsid w:val="00081387"/>
    <w:rsid w:val="00081BEB"/>
    <w:rsid w:val="00081C47"/>
    <w:rsid w:val="00081EF3"/>
    <w:rsid w:val="00082269"/>
    <w:rsid w:val="000822CA"/>
    <w:rsid w:val="00082377"/>
    <w:rsid w:val="00082410"/>
    <w:rsid w:val="0008244E"/>
    <w:rsid w:val="0008247D"/>
    <w:rsid w:val="00082637"/>
    <w:rsid w:val="00082959"/>
    <w:rsid w:val="00082A4E"/>
    <w:rsid w:val="00082B9A"/>
    <w:rsid w:val="00082BD9"/>
    <w:rsid w:val="00082CA9"/>
    <w:rsid w:val="00082D47"/>
    <w:rsid w:val="00082DE0"/>
    <w:rsid w:val="00083102"/>
    <w:rsid w:val="0008313D"/>
    <w:rsid w:val="0008324C"/>
    <w:rsid w:val="00083543"/>
    <w:rsid w:val="0008360B"/>
    <w:rsid w:val="00083AC4"/>
    <w:rsid w:val="00083BDB"/>
    <w:rsid w:val="00083EF6"/>
    <w:rsid w:val="00083F03"/>
    <w:rsid w:val="00083FAD"/>
    <w:rsid w:val="00083FB5"/>
    <w:rsid w:val="00084062"/>
    <w:rsid w:val="000840A3"/>
    <w:rsid w:val="000840BC"/>
    <w:rsid w:val="00084298"/>
    <w:rsid w:val="0008451D"/>
    <w:rsid w:val="0008465F"/>
    <w:rsid w:val="00084765"/>
    <w:rsid w:val="0008490C"/>
    <w:rsid w:val="00084934"/>
    <w:rsid w:val="00084959"/>
    <w:rsid w:val="00084AED"/>
    <w:rsid w:val="00084B3E"/>
    <w:rsid w:val="00084C9A"/>
    <w:rsid w:val="00084DAB"/>
    <w:rsid w:val="00084DB7"/>
    <w:rsid w:val="00084EB3"/>
    <w:rsid w:val="00084FEA"/>
    <w:rsid w:val="0008516E"/>
    <w:rsid w:val="0008527B"/>
    <w:rsid w:val="00085281"/>
    <w:rsid w:val="00085421"/>
    <w:rsid w:val="000854CB"/>
    <w:rsid w:val="000855FF"/>
    <w:rsid w:val="000856D4"/>
    <w:rsid w:val="00085747"/>
    <w:rsid w:val="00085D9F"/>
    <w:rsid w:val="00085E34"/>
    <w:rsid w:val="00085ECB"/>
    <w:rsid w:val="0008602C"/>
    <w:rsid w:val="0008604E"/>
    <w:rsid w:val="0008627F"/>
    <w:rsid w:val="00086350"/>
    <w:rsid w:val="00086740"/>
    <w:rsid w:val="00086805"/>
    <w:rsid w:val="00086AD8"/>
    <w:rsid w:val="00086EA5"/>
    <w:rsid w:val="0008731C"/>
    <w:rsid w:val="0008740D"/>
    <w:rsid w:val="000874D5"/>
    <w:rsid w:val="0008756A"/>
    <w:rsid w:val="00087705"/>
    <w:rsid w:val="0008771C"/>
    <w:rsid w:val="00087960"/>
    <w:rsid w:val="00087A0A"/>
    <w:rsid w:val="00087C61"/>
    <w:rsid w:val="00087E05"/>
    <w:rsid w:val="00090065"/>
    <w:rsid w:val="000900B9"/>
    <w:rsid w:val="00090318"/>
    <w:rsid w:val="000903F7"/>
    <w:rsid w:val="00090A12"/>
    <w:rsid w:val="00090A61"/>
    <w:rsid w:val="00090A98"/>
    <w:rsid w:val="00090ADA"/>
    <w:rsid w:val="00090B32"/>
    <w:rsid w:val="00090BBE"/>
    <w:rsid w:val="00090DAF"/>
    <w:rsid w:val="00090E7D"/>
    <w:rsid w:val="00090F3B"/>
    <w:rsid w:val="00090F91"/>
    <w:rsid w:val="00091018"/>
    <w:rsid w:val="00091057"/>
    <w:rsid w:val="000910A9"/>
    <w:rsid w:val="00091140"/>
    <w:rsid w:val="000912D0"/>
    <w:rsid w:val="000913C7"/>
    <w:rsid w:val="00091535"/>
    <w:rsid w:val="00091747"/>
    <w:rsid w:val="000917C9"/>
    <w:rsid w:val="00091851"/>
    <w:rsid w:val="00091992"/>
    <w:rsid w:val="00091B8E"/>
    <w:rsid w:val="000920BE"/>
    <w:rsid w:val="000920C5"/>
    <w:rsid w:val="000921A3"/>
    <w:rsid w:val="0009286B"/>
    <w:rsid w:val="000929C9"/>
    <w:rsid w:val="00092A6C"/>
    <w:rsid w:val="00092A96"/>
    <w:rsid w:val="00092BFC"/>
    <w:rsid w:val="00092C71"/>
    <w:rsid w:val="00092D01"/>
    <w:rsid w:val="00092DEB"/>
    <w:rsid w:val="00093462"/>
    <w:rsid w:val="000938F1"/>
    <w:rsid w:val="0009393B"/>
    <w:rsid w:val="00093F0E"/>
    <w:rsid w:val="00093F82"/>
    <w:rsid w:val="00093FCA"/>
    <w:rsid w:val="00094139"/>
    <w:rsid w:val="000946D6"/>
    <w:rsid w:val="0009483A"/>
    <w:rsid w:val="00094B3D"/>
    <w:rsid w:val="00094D63"/>
    <w:rsid w:val="00094E8E"/>
    <w:rsid w:val="0009505D"/>
    <w:rsid w:val="000952B5"/>
    <w:rsid w:val="000952D1"/>
    <w:rsid w:val="0009545A"/>
    <w:rsid w:val="00095657"/>
    <w:rsid w:val="00095962"/>
    <w:rsid w:val="000959A8"/>
    <w:rsid w:val="00095A05"/>
    <w:rsid w:val="00095B47"/>
    <w:rsid w:val="00095D5C"/>
    <w:rsid w:val="00095E02"/>
    <w:rsid w:val="00096180"/>
    <w:rsid w:val="000961DF"/>
    <w:rsid w:val="0009628B"/>
    <w:rsid w:val="0009673F"/>
    <w:rsid w:val="00096A16"/>
    <w:rsid w:val="00096D54"/>
    <w:rsid w:val="00096E85"/>
    <w:rsid w:val="00096F8F"/>
    <w:rsid w:val="00097037"/>
    <w:rsid w:val="00097174"/>
    <w:rsid w:val="0009733F"/>
    <w:rsid w:val="00097472"/>
    <w:rsid w:val="000974DD"/>
    <w:rsid w:val="00097531"/>
    <w:rsid w:val="00097598"/>
    <w:rsid w:val="00097599"/>
    <w:rsid w:val="000977A3"/>
    <w:rsid w:val="000977BC"/>
    <w:rsid w:val="000977C9"/>
    <w:rsid w:val="00097C8B"/>
    <w:rsid w:val="00097C9E"/>
    <w:rsid w:val="00097D27"/>
    <w:rsid w:val="00097DDF"/>
    <w:rsid w:val="00097DFB"/>
    <w:rsid w:val="00097E13"/>
    <w:rsid w:val="00097EFE"/>
    <w:rsid w:val="000A0144"/>
    <w:rsid w:val="000A025A"/>
    <w:rsid w:val="000A02FB"/>
    <w:rsid w:val="000A04A1"/>
    <w:rsid w:val="000A0647"/>
    <w:rsid w:val="000A078F"/>
    <w:rsid w:val="000A0B67"/>
    <w:rsid w:val="000A0D3D"/>
    <w:rsid w:val="000A106D"/>
    <w:rsid w:val="000A1071"/>
    <w:rsid w:val="000A12B4"/>
    <w:rsid w:val="000A14B6"/>
    <w:rsid w:val="000A15F3"/>
    <w:rsid w:val="000A1729"/>
    <w:rsid w:val="000A18D4"/>
    <w:rsid w:val="000A1928"/>
    <w:rsid w:val="000A196D"/>
    <w:rsid w:val="000A1AE3"/>
    <w:rsid w:val="000A1E04"/>
    <w:rsid w:val="000A2192"/>
    <w:rsid w:val="000A21A6"/>
    <w:rsid w:val="000A243F"/>
    <w:rsid w:val="000A2664"/>
    <w:rsid w:val="000A28CD"/>
    <w:rsid w:val="000A2AB3"/>
    <w:rsid w:val="000A2FB3"/>
    <w:rsid w:val="000A30F4"/>
    <w:rsid w:val="000A341E"/>
    <w:rsid w:val="000A3567"/>
    <w:rsid w:val="000A3DD9"/>
    <w:rsid w:val="000A3FBB"/>
    <w:rsid w:val="000A40F1"/>
    <w:rsid w:val="000A41A9"/>
    <w:rsid w:val="000A423E"/>
    <w:rsid w:val="000A4482"/>
    <w:rsid w:val="000A44A6"/>
    <w:rsid w:val="000A44B1"/>
    <w:rsid w:val="000A48C0"/>
    <w:rsid w:val="000A491A"/>
    <w:rsid w:val="000A49F1"/>
    <w:rsid w:val="000A4BA6"/>
    <w:rsid w:val="000A5030"/>
    <w:rsid w:val="000A5066"/>
    <w:rsid w:val="000A507E"/>
    <w:rsid w:val="000A5147"/>
    <w:rsid w:val="000A516A"/>
    <w:rsid w:val="000A529B"/>
    <w:rsid w:val="000A54A4"/>
    <w:rsid w:val="000A5661"/>
    <w:rsid w:val="000A5B7A"/>
    <w:rsid w:val="000A5B7F"/>
    <w:rsid w:val="000A5D49"/>
    <w:rsid w:val="000A6219"/>
    <w:rsid w:val="000A6703"/>
    <w:rsid w:val="000A6845"/>
    <w:rsid w:val="000A6901"/>
    <w:rsid w:val="000A6AEE"/>
    <w:rsid w:val="000A7214"/>
    <w:rsid w:val="000A75A1"/>
    <w:rsid w:val="000A767C"/>
    <w:rsid w:val="000A7768"/>
    <w:rsid w:val="000A788B"/>
    <w:rsid w:val="000A78BA"/>
    <w:rsid w:val="000A7B59"/>
    <w:rsid w:val="000A7B5E"/>
    <w:rsid w:val="000B008C"/>
    <w:rsid w:val="000B00B3"/>
    <w:rsid w:val="000B011D"/>
    <w:rsid w:val="000B01D2"/>
    <w:rsid w:val="000B0605"/>
    <w:rsid w:val="000B08D9"/>
    <w:rsid w:val="000B0940"/>
    <w:rsid w:val="000B0CD4"/>
    <w:rsid w:val="000B0E0A"/>
    <w:rsid w:val="000B0E40"/>
    <w:rsid w:val="000B0F4F"/>
    <w:rsid w:val="000B108E"/>
    <w:rsid w:val="000B11B2"/>
    <w:rsid w:val="000B12A5"/>
    <w:rsid w:val="000B14D3"/>
    <w:rsid w:val="000B16B6"/>
    <w:rsid w:val="000B18E1"/>
    <w:rsid w:val="000B1DBC"/>
    <w:rsid w:val="000B1DD8"/>
    <w:rsid w:val="000B1F2B"/>
    <w:rsid w:val="000B1FAB"/>
    <w:rsid w:val="000B1FAF"/>
    <w:rsid w:val="000B22B4"/>
    <w:rsid w:val="000B2D76"/>
    <w:rsid w:val="000B2EFB"/>
    <w:rsid w:val="000B2FE2"/>
    <w:rsid w:val="000B305A"/>
    <w:rsid w:val="000B3144"/>
    <w:rsid w:val="000B31B9"/>
    <w:rsid w:val="000B32BD"/>
    <w:rsid w:val="000B33D1"/>
    <w:rsid w:val="000B358D"/>
    <w:rsid w:val="000B3681"/>
    <w:rsid w:val="000B382F"/>
    <w:rsid w:val="000B3A1B"/>
    <w:rsid w:val="000B3B3E"/>
    <w:rsid w:val="000B3CBF"/>
    <w:rsid w:val="000B3CCF"/>
    <w:rsid w:val="000B3F18"/>
    <w:rsid w:val="000B416C"/>
    <w:rsid w:val="000B44D9"/>
    <w:rsid w:val="000B45DC"/>
    <w:rsid w:val="000B4619"/>
    <w:rsid w:val="000B47EC"/>
    <w:rsid w:val="000B4809"/>
    <w:rsid w:val="000B49AF"/>
    <w:rsid w:val="000B49D6"/>
    <w:rsid w:val="000B4A3B"/>
    <w:rsid w:val="000B4EFA"/>
    <w:rsid w:val="000B5296"/>
    <w:rsid w:val="000B5411"/>
    <w:rsid w:val="000B5432"/>
    <w:rsid w:val="000B54D3"/>
    <w:rsid w:val="000B579D"/>
    <w:rsid w:val="000B582A"/>
    <w:rsid w:val="000B5880"/>
    <w:rsid w:val="000B58BF"/>
    <w:rsid w:val="000B59A8"/>
    <w:rsid w:val="000B5B7E"/>
    <w:rsid w:val="000B60D4"/>
    <w:rsid w:val="000B60F5"/>
    <w:rsid w:val="000B61AD"/>
    <w:rsid w:val="000B61C1"/>
    <w:rsid w:val="000B644D"/>
    <w:rsid w:val="000B69B5"/>
    <w:rsid w:val="000B6A4F"/>
    <w:rsid w:val="000B6A76"/>
    <w:rsid w:val="000B6C7E"/>
    <w:rsid w:val="000B6C8D"/>
    <w:rsid w:val="000B6CAF"/>
    <w:rsid w:val="000B6D55"/>
    <w:rsid w:val="000B72CC"/>
    <w:rsid w:val="000B74A9"/>
    <w:rsid w:val="000B76BA"/>
    <w:rsid w:val="000B7C64"/>
    <w:rsid w:val="000B7D27"/>
    <w:rsid w:val="000C007A"/>
    <w:rsid w:val="000C020D"/>
    <w:rsid w:val="000C02AE"/>
    <w:rsid w:val="000C03D2"/>
    <w:rsid w:val="000C04BC"/>
    <w:rsid w:val="000C0582"/>
    <w:rsid w:val="000C0614"/>
    <w:rsid w:val="000C079E"/>
    <w:rsid w:val="000C0900"/>
    <w:rsid w:val="000C094F"/>
    <w:rsid w:val="000C0B31"/>
    <w:rsid w:val="000C0BAB"/>
    <w:rsid w:val="000C0D4D"/>
    <w:rsid w:val="000C0D5F"/>
    <w:rsid w:val="000C0ED8"/>
    <w:rsid w:val="000C1119"/>
    <w:rsid w:val="000C1172"/>
    <w:rsid w:val="000C1295"/>
    <w:rsid w:val="000C132B"/>
    <w:rsid w:val="000C169B"/>
    <w:rsid w:val="000C1738"/>
    <w:rsid w:val="000C18CA"/>
    <w:rsid w:val="000C18DA"/>
    <w:rsid w:val="000C1A1F"/>
    <w:rsid w:val="000C1C70"/>
    <w:rsid w:val="000C1CE0"/>
    <w:rsid w:val="000C1EB9"/>
    <w:rsid w:val="000C1F52"/>
    <w:rsid w:val="000C2091"/>
    <w:rsid w:val="000C2387"/>
    <w:rsid w:val="000C2430"/>
    <w:rsid w:val="000C267F"/>
    <w:rsid w:val="000C2857"/>
    <w:rsid w:val="000C2BF1"/>
    <w:rsid w:val="000C2DF6"/>
    <w:rsid w:val="000C2FDD"/>
    <w:rsid w:val="000C3661"/>
    <w:rsid w:val="000C3B4D"/>
    <w:rsid w:val="000C3C15"/>
    <w:rsid w:val="000C3DDB"/>
    <w:rsid w:val="000C3F33"/>
    <w:rsid w:val="000C3FF3"/>
    <w:rsid w:val="000C4284"/>
    <w:rsid w:val="000C42E2"/>
    <w:rsid w:val="000C4A70"/>
    <w:rsid w:val="000C4A86"/>
    <w:rsid w:val="000C4BC3"/>
    <w:rsid w:val="000C4C29"/>
    <w:rsid w:val="000C4C6E"/>
    <w:rsid w:val="000C4DA8"/>
    <w:rsid w:val="000C4EA8"/>
    <w:rsid w:val="000C5236"/>
    <w:rsid w:val="000C536C"/>
    <w:rsid w:val="000C54B0"/>
    <w:rsid w:val="000C57A6"/>
    <w:rsid w:val="000C59E4"/>
    <w:rsid w:val="000C5DC0"/>
    <w:rsid w:val="000C5F3A"/>
    <w:rsid w:val="000C6040"/>
    <w:rsid w:val="000C631F"/>
    <w:rsid w:val="000C656D"/>
    <w:rsid w:val="000C657E"/>
    <w:rsid w:val="000C658F"/>
    <w:rsid w:val="000C68B0"/>
    <w:rsid w:val="000C68CC"/>
    <w:rsid w:val="000C6940"/>
    <w:rsid w:val="000C69A0"/>
    <w:rsid w:val="000C6AEC"/>
    <w:rsid w:val="000C70D9"/>
    <w:rsid w:val="000C7193"/>
    <w:rsid w:val="000C7340"/>
    <w:rsid w:val="000C73F7"/>
    <w:rsid w:val="000C74C0"/>
    <w:rsid w:val="000C7588"/>
    <w:rsid w:val="000C7CFD"/>
    <w:rsid w:val="000C7DED"/>
    <w:rsid w:val="000C7E8D"/>
    <w:rsid w:val="000C7EB7"/>
    <w:rsid w:val="000C7EC5"/>
    <w:rsid w:val="000C7F8A"/>
    <w:rsid w:val="000D010D"/>
    <w:rsid w:val="000D05A0"/>
    <w:rsid w:val="000D06EB"/>
    <w:rsid w:val="000D0DC3"/>
    <w:rsid w:val="000D0F9B"/>
    <w:rsid w:val="000D110A"/>
    <w:rsid w:val="000D11CE"/>
    <w:rsid w:val="000D12F4"/>
    <w:rsid w:val="000D12F6"/>
    <w:rsid w:val="000D13F0"/>
    <w:rsid w:val="000D149B"/>
    <w:rsid w:val="000D14A7"/>
    <w:rsid w:val="000D152C"/>
    <w:rsid w:val="000D1568"/>
    <w:rsid w:val="000D17B0"/>
    <w:rsid w:val="000D19E7"/>
    <w:rsid w:val="000D1A20"/>
    <w:rsid w:val="000D1AAF"/>
    <w:rsid w:val="000D1C4D"/>
    <w:rsid w:val="000D1C75"/>
    <w:rsid w:val="000D1E55"/>
    <w:rsid w:val="000D2043"/>
    <w:rsid w:val="000D20EA"/>
    <w:rsid w:val="000D211B"/>
    <w:rsid w:val="000D21A2"/>
    <w:rsid w:val="000D21BE"/>
    <w:rsid w:val="000D230C"/>
    <w:rsid w:val="000D23D8"/>
    <w:rsid w:val="000D24DA"/>
    <w:rsid w:val="000D24ED"/>
    <w:rsid w:val="000D253B"/>
    <w:rsid w:val="000D257C"/>
    <w:rsid w:val="000D2703"/>
    <w:rsid w:val="000D2B84"/>
    <w:rsid w:val="000D2D55"/>
    <w:rsid w:val="000D3000"/>
    <w:rsid w:val="000D3070"/>
    <w:rsid w:val="000D3191"/>
    <w:rsid w:val="000D350D"/>
    <w:rsid w:val="000D37DC"/>
    <w:rsid w:val="000D3B8A"/>
    <w:rsid w:val="000D3C00"/>
    <w:rsid w:val="000D3D77"/>
    <w:rsid w:val="000D3E0A"/>
    <w:rsid w:val="000D3E95"/>
    <w:rsid w:val="000D3F7D"/>
    <w:rsid w:val="000D41D8"/>
    <w:rsid w:val="000D436B"/>
    <w:rsid w:val="000D459B"/>
    <w:rsid w:val="000D489A"/>
    <w:rsid w:val="000D49AF"/>
    <w:rsid w:val="000D4E98"/>
    <w:rsid w:val="000D50B1"/>
    <w:rsid w:val="000D51AF"/>
    <w:rsid w:val="000D52DF"/>
    <w:rsid w:val="000D54F3"/>
    <w:rsid w:val="000D558D"/>
    <w:rsid w:val="000D56A1"/>
    <w:rsid w:val="000D577A"/>
    <w:rsid w:val="000D5AD6"/>
    <w:rsid w:val="000D5F03"/>
    <w:rsid w:val="000D5F84"/>
    <w:rsid w:val="000D5FAC"/>
    <w:rsid w:val="000D6559"/>
    <w:rsid w:val="000D67B1"/>
    <w:rsid w:val="000D6ABF"/>
    <w:rsid w:val="000D6EAE"/>
    <w:rsid w:val="000D6F5A"/>
    <w:rsid w:val="000D6FDE"/>
    <w:rsid w:val="000D71D4"/>
    <w:rsid w:val="000D71FA"/>
    <w:rsid w:val="000D73C7"/>
    <w:rsid w:val="000D7437"/>
    <w:rsid w:val="000D75C7"/>
    <w:rsid w:val="000D766A"/>
    <w:rsid w:val="000D7693"/>
    <w:rsid w:val="000D7732"/>
    <w:rsid w:val="000D776D"/>
    <w:rsid w:val="000D79B0"/>
    <w:rsid w:val="000D7AB9"/>
    <w:rsid w:val="000D7AF8"/>
    <w:rsid w:val="000D7D13"/>
    <w:rsid w:val="000D7F7F"/>
    <w:rsid w:val="000D7FF7"/>
    <w:rsid w:val="000DC52F"/>
    <w:rsid w:val="000E002C"/>
    <w:rsid w:val="000E00CA"/>
    <w:rsid w:val="000E0413"/>
    <w:rsid w:val="000E04AE"/>
    <w:rsid w:val="000E0910"/>
    <w:rsid w:val="000E0A34"/>
    <w:rsid w:val="000E0D04"/>
    <w:rsid w:val="000E0EA5"/>
    <w:rsid w:val="000E1030"/>
    <w:rsid w:val="000E10DD"/>
    <w:rsid w:val="000E125B"/>
    <w:rsid w:val="000E12A6"/>
    <w:rsid w:val="000E1470"/>
    <w:rsid w:val="000E14A9"/>
    <w:rsid w:val="000E14E9"/>
    <w:rsid w:val="000E17A5"/>
    <w:rsid w:val="000E1C1E"/>
    <w:rsid w:val="000E1D10"/>
    <w:rsid w:val="000E1D30"/>
    <w:rsid w:val="000E1E1A"/>
    <w:rsid w:val="000E1EA2"/>
    <w:rsid w:val="000E1FD0"/>
    <w:rsid w:val="000E208C"/>
    <w:rsid w:val="000E210E"/>
    <w:rsid w:val="000E21DC"/>
    <w:rsid w:val="000E23F5"/>
    <w:rsid w:val="000E2552"/>
    <w:rsid w:val="000E2B1E"/>
    <w:rsid w:val="000E2CCF"/>
    <w:rsid w:val="000E2DE2"/>
    <w:rsid w:val="000E2E18"/>
    <w:rsid w:val="000E2F2E"/>
    <w:rsid w:val="000E3382"/>
    <w:rsid w:val="000E33CF"/>
    <w:rsid w:val="000E33D5"/>
    <w:rsid w:val="000E37C6"/>
    <w:rsid w:val="000E3AC5"/>
    <w:rsid w:val="000E3AF9"/>
    <w:rsid w:val="000E421F"/>
    <w:rsid w:val="000E436D"/>
    <w:rsid w:val="000E442D"/>
    <w:rsid w:val="000E44EA"/>
    <w:rsid w:val="000E45E9"/>
    <w:rsid w:val="000E4644"/>
    <w:rsid w:val="000E47A7"/>
    <w:rsid w:val="000E47A9"/>
    <w:rsid w:val="000E4A45"/>
    <w:rsid w:val="000E4A4E"/>
    <w:rsid w:val="000E4B3F"/>
    <w:rsid w:val="000E4BC6"/>
    <w:rsid w:val="000E4C45"/>
    <w:rsid w:val="000E4F4F"/>
    <w:rsid w:val="000E4F6E"/>
    <w:rsid w:val="000E4F8C"/>
    <w:rsid w:val="000E5249"/>
    <w:rsid w:val="000E530D"/>
    <w:rsid w:val="000E55DB"/>
    <w:rsid w:val="000E5692"/>
    <w:rsid w:val="000E56AA"/>
    <w:rsid w:val="000E5966"/>
    <w:rsid w:val="000E5C4F"/>
    <w:rsid w:val="000E5D00"/>
    <w:rsid w:val="000E5EBF"/>
    <w:rsid w:val="000E61A3"/>
    <w:rsid w:val="000E627B"/>
    <w:rsid w:val="000E6349"/>
    <w:rsid w:val="000E63D2"/>
    <w:rsid w:val="000E6453"/>
    <w:rsid w:val="000E6606"/>
    <w:rsid w:val="000E6A88"/>
    <w:rsid w:val="000E6C93"/>
    <w:rsid w:val="000E6DF1"/>
    <w:rsid w:val="000E6F20"/>
    <w:rsid w:val="000E6F2C"/>
    <w:rsid w:val="000E703B"/>
    <w:rsid w:val="000E72B7"/>
    <w:rsid w:val="000E764C"/>
    <w:rsid w:val="000E78FE"/>
    <w:rsid w:val="000E793F"/>
    <w:rsid w:val="000E7A2B"/>
    <w:rsid w:val="000E7B80"/>
    <w:rsid w:val="000E7CA9"/>
    <w:rsid w:val="000E7FD8"/>
    <w:rsid w:val="000F024A"/>
    <w:rsid w:val="000F0783"/>
    <w:rsid w:val="000F0CB8"/>
    <w:rsid w:val="000F0FDE"/>
    <w:rsid w:val="000F1075"/>
    <w:rsid w:val="000F10D8"/>
    <w:rsid w:val="000F1119"/>
    <w:rsid w:val="000F1174"/>
    <w:rsid w:val="000F1226"/>
    <w:rsid w:val="000F1450"/>
    <w:rsid w:val="000F160F"/>
    <w:rsid w:val="000F172A"/>
    <w:rsid w:val="000F195B"/>
    <w:rsid w:val="000F1A3F"/>
    <w:rsid w:val="000F1C6A"/>
    <w:rsid w:val="000F1DF7"/>
    <w:rsid w:val="000F1E21"/>
    <w:rsid w:val="000F211E"/>
    <w:rsid w:val="000F2159"/>
    <w:rsid w:val="000F2184"/>
    <w:rsid w:val="000F26E4"/>
    <w:rsid w:val="000F26F8"/>
    <w:rsid w:val="000F2889"/>
    <w:rsid w:val="000F2C13"/>
    <w:rsid w:val="000F2C2D"/>
    <w:rsid w:val="000F2F79"/>
    <w:rsid w:val="000F30EB"/>
    <w:rsid w:val="000F3125"/>
    <w:rsid w:val="000F35F5"/>
    <w:rsid w:val="000F3668"/>
    <w:rsid w:val="000F36A6"/>
    <w:rsid w:val="000F3729"/>
    <w:rsid w:val="000F37CB"/>
    <w:rsid w:val="000F3819"/>
    <w:rsid w:val="000F38C0"/>
    <w:rsid w:val="000F38E9"/>
    <w:rsid w:val="000F3CFD"/>
    <w:rsid w:val="000F3D0F"/>
    <w:rsid w:val="000F41CF"/>
    <w:rsid w:val="000F41DA"/>
    <w:rsid w:val="000F42BA"/>
    <w:rsid w:val="000F43F3"/>
    <w:rsid w:val="000F4459"/>
    <w:rsid w:val="000F45C6"/>
    <w:rsid w:val="000F45E0"/>
    <w:rsid w:val="000F47A0"/>
    <w:rsid w:val="000F481B"/>
    <w:rsid w:val="000F4C22"/>
    <w:rsid w:val="000F4E10"/>
    <w:rsid w:val="000F50CF"/>
    <w:rsid w:val="000F5231"/>
    <w:rsid w:val="000F532C"/>
    <w:rsid w:val="000F541E"/>
    <w:rsid w:val="000F54AB"/>
    <w:rsid w:val="000F58EC"/>
    <w:rsid w:val="000F5A4E"/>
    <w:rsid w:val="000F5AA2"/>
    <w:rsid w:val="000F5B46"/>
    <w:rsid w:val="000F5BFE"/>
    <w:rsid w:val="000F5DEA"/>
    <w:rsid w:val="000F5DF2"/>
    <w:rsid w:val="000F5E19"/>
    <w:rsid w:val="000F5FE8"/>
    <w:rsid w:val="000F6034"/>
    <w:rsid w:val="000F6077"/>
    <w:rsid w:val="000F6563"/>
    <w:rsid w:val="000F66F9"/>
    <w:rsid w:val="000F683A"/>
    <w:rsid w:val="000F694F"/>
    <w:rsid w:val="000F69CE"/>
    <w:rsid w:val="000F6BC3"/>
    <w:rsid w:val="000F6C31"/>
    <w:rsid w:val="000F6CA3"/>
    <w:rsid w:val="000F6EEC"/>
    <w:rsid w:val="000F6F30"/>
    <w:rsid w:val="000F7166"/>
    <w:rsid w:val="000F7180"/>
    <w:rsid w:val="000F7459"/>
    <w:rsid w:val="000F74DA"/>
    <w:rsid w:val="000F76DD"/>
    <w:rsid w:val="000F76FB"/>
    <w:rsid w:val="000F788A"/>
    <w:rsid w:val="000F7BC7"/>
    <w:rsid w:val="000F7C8F"/>
    <w:rsid w:val="000F7DCF"/>
    <w:rsid w:val="000F7DD3"/>
    <w:rsid w:val="00100628"/>
    <w:rsid w:val="00100791"/>
    <w:rsid w:val="00100811"/>
    <w:rsid w:val="00100E10"/>
    <w:rsid w:val="0010165F"/>
    <w:rsid w:val="00101695"/>
    <w:rsid w:val="00101782"/>
    <w:rsid w:val="001017EF"/>
    <w:rsid w:val="00101925"/>
    <w:rsid w:val="00101E67"/>
    <w:rsid w:val="00101EFE"/>
    <w:rsid w:val="0010203E"/>
    <w:rsid w:val="00102279"/>
    <w:rsid w:val="001023AB"/>
    <w:rsid w:val="00102481"/>
    <w:rsid w:val="001024EE"/>
    <w:rsid w:val="001026BD"/>
    <w:rsid w:val="001026D0"/>
    <w:rsid w:val="00102870"/>
    <w:rsid w:val="001029FD"/>
    <w:rsid w:val="00102BEE"/>
    <w:rsid w:val="00102D92"/>
    <w:rsid w:val="00102E36"/>
    <w:rsid w:val="00102E37"/>
    <w:rsid w:val="00103123"/>
    <w:rsid w:val="00103301"/>
    <w:rsid w:val="0010356A"/>
    <w:rsid w:val="00103E4E"/>
    <w:rsid w:val="00103EF0"/>
    <w:rsid w:val="001043A9"/>
    <w:rsid w:val="00104420"/>
    <w:rsid w:val="001044C3"/>
    <w:rsid w:val="0010453C"/>
    <w:rsid w:val="0010455D"/>
    <w:rsid w:val="00104585"/>
    <w:rsid w:val="00104660"/>
    <w:rsid w:val="001046C0"/>
    <w:rsid w:val="001049B7"/>
    <w:rsid w:val="00104AE2"/>
    <w:rsid w:val="00104B6D"/>
    <w:rsid w:val="00104DAE"/>
    <w:rsid w:val="00104DC6"/>
    <w:rsid w:val="00104F68"/>
    <w:rsid w:val="00105098"/>
    <w:rsid w:val="0010520A"/>
    <w:rsid w:val="00105231"/>
    <w:rsid w:val="00105375"/>
    <w:rsid w:val="0010566E"/>
    <w:rsid w:val="001059F0"/>
    <w:rsid w:val="00105C86"/>
    <w:rsid w:val="001060FA"/>
    <w:rsid w:val="0010641E"/>
    <w:rsid w:val="001064FB"/>
    <w:rsid w:val="0010650C"/>
    <w:rsid w:val="00106801"/>
    <w:rsid w:val="00106B54"/>
    <w:rsid w:val="00106CC4"/>
    <w:rsid w:val="00106E34"/>
    <w:rsid w:val="00106E74"/>
    <w:rsid w:val="00106E94"/>
    <w:rsid w:val="00106FB3"/>
    <w:rsid w:val="001073AC"/>
    <w:rsid w:val="001073BE"/>
    <w:rsid w:val="00107601"/>
    <w:rsid w:val="001076BC"/>
    <w:rsid w:val="001077D7"/>
    <w:rsid w:val="001079C5"/>
    <w:rsid w:val="001079DB"/>
    <w:rsid w:val="00107D6F"/>
    <w:rsid w:val="00107E5B"/>
    <w:rsid w:val="00107FF5"/>
    <w:rsid w:val="00108D03"/>
    <w:rsid w:val="00110024"/>
    <w:rsid w:val="00110392"/>
    <w:rsid w:val="001104CB"/>
    <w:rsid w:val="001106A7"/>
    <w:rsid w:val="00110773"/>
    <w:rsid w:val="00110987"/>
    <w:rsid w:val="00110BF6"/>
    <w:rsid w:val="00110F68"/>
    <w:rsid w:val="00110F77"/>
    <w:rsid w:val="00111076"/>
    <w:rsid w:val="001110B2"/>
    <w:rsid w:val="0011112C"/>
    <w:rsid w:val="0011118D"/>
    <w:rsid w:val="00111236"/>
    <w:rsid w:val="00111396"/>
    <w:rsid w:val="001113C9"/>
    <w:rsid w:val="00111585"/>
    <w:rsid w:val="00111651"/>
    <w:rsid w:val="0011190F"/>
    <w:rsid w:val="001119A7"/>
    <w:rsid w:val="00111AA4"/>
    <w:rsid w:val="00111B17"/>
    <w:rsid w:val="00111BB4"/>
    <w:rsid w:val="00111DF6"/>
    <w:rsid w:val="00111E98"/>
    <w:rsid w:val="00111EBD"/>
    <w:rsid w:val="0011204B"/>
    <w:rsid w:val="0011223A"/>
    <w:rsid w:val="00112270"/>
    <w:rsid w:val="0011252F"/>
    <w:rsid w:val="001125EA"/>
    <w:rsid w:val="00112620"/>
    <w:rsid w:val="00112746"/>
    <w:rsid w:val="00112A91"/>
    <w:rsid w:val="00112B38"/>
    <w:rsid w:val="00112C4C"/>
    <w:rsid w:val="00112C59"/>
    <w:rsid w:val="00112D29"/>
    <w:rsid w:val="00112DC1"/>
    <w:rsid w:val="00113178"/>
    <w:rsid w:val="001133A2"/>
    <w:rsid w:val="0011366B"/>
    <w:rsid w:val="001137B3"/>
    <w:rsid w:val="001138EF"/>
    <w:rsid w:val="00113B52"/>
    <w:rsid w:val="00113D77"/>
    <w:rsid w:val="00113E83"/>
    <w:rsid w:val="00113F74"/>
    <w:rsid w:val="00113F82"/>
    <w:rsid w:val="0011464E"/>
    <w:rsid w:val="00114DA1"/>
    <w:rsid w:val="00114E21"/>
    <w:rsid w:val="00114E48"/>
    <w:rsid w:val="00114ED3"/>
    <w:rsid w:val="00115088"/>
    <w:rsid w:val="00115520"/>
    <w:rsid w:val="00115537"/>
    <w:rsid w:val="001156E6"/>
    <w:rsid w:val="00115719"/>
    <w:rsid w:val="001158C4"/>
    <w:rsid w:val="001158F6"/>
    <w:rsid w:val="001159DC"/>
    <w:rsid w:val="00115A0F"/>
    <w:rsid w:val="00115E61"/>
    <w:rsid w:val="00115E7E"/>
    <w:rsid w:val="0011617E"/>
    <w:rsid w:val="00116686"/>
    <w:rsid w:val="001166B2"/>
    <w:rsid w:val="001168D4"/>
    <w:rsid w:val="001169C7"/>
    <w:rsid w:val="00116E2B"/>
    <w:rsid w:val="00116E55"/>
    <w:rsid w:val="001171D7"/>
    <w:rsid w:val="00117216"/>
    <w:rsid w:val="001174CD"/>
    <w:rsid w:val="00117595"/>
    <w:rsid w:val="00117866"/>
    <w:rsid w:val="001178D1"/>
    <w:rsid w:val="00117A34"/>
    <w:rsid w:val="00117BFE"/>
    <w:rsid w:val="00117E35"/>
    <w:rsid w:val="00117F66"/>
    <w:rsid w:val="00120656"/>
    <w:rsid w:val="00120759"/>
    <w:rsid w:val="00120902"/>
    <w:rsid w:val="00120BA7"/>
    <w:rsid w:val="00120BC6"/>
    <w:rsid w:val="00120C9D"/>
    <w:rsid w:val="00120F88"/>
    <w:rsid w:val="00120FD6"/>
    <w:rsid w:val="00121126"/>
    <w:rsid w:val="00121571"/>
    <w:rsid w:val="00121654"/>
    <w:rsid w:val="00121968"/>
    <w:rsid w:val="0012199C"/>
    <w:rsid w:val="00121BCE"/>
    <w:rsid w:val="00121D0F"/>
    <w:rsid w:val="00121DB6"/>
    <w:rsid w:val="00121E81"/>
    <w:rsid w:val="00121FCB"/>
    <w:rsid w:val="0012252F"/>
    <w:rsid w:val="0012276F"/>
    <w:rsid w:val="001227B6"/>
    <w:rsid w:val="00122849"/>
    <w:rsid w:val="00122B67"/>
    <w:rsid w:val="00122BCE"/>
    <w:rsid w:val="00122EB8"/>
    <w:rsid w:val="0012308E"/>
    <w:rsid w:val="0012368E"/>
    <w:rsid w:val="0012387A"/>
    <w:rsid w:val="00123BAA"/>
    <w:rsid w:val="00123C98"/>
    <w:rsid w:val="0012419B"/>
    <w:rsid w:val="001242A1"/>
    <w:rsid w:val="0012437A"/>
    <w:rsid w:val="001243CE"/>
    <w:rsid w:val="001244E7"/>
    <w:rsid w:val="00124526"/>
    <w:rsid w:val="0012459E"/>
    <w:rsid w:val="00124603"/>
    <w:rsid w:val="0012481B"/>
    <w:rsid w:val="00124D20"/>
    <w:rsid w:val="00125351"/>
    <w:rsid w:val="001253A7"/>
    <w:rsid w:val="001255E6"/>
    <w:rsid w:val="0012575A"/>
    <w:rsid w:val="00125763"/>
    <w:rsid w:val="00125A20"/>
    <w:rsid w:val="00125E12"/>
    <w:rsid w:val="00125F43"/>
    <w:rsid w:val="001260D3"/>
    <w:rsid w:val="00126129"/>
    <w:rsid w:val="0012667D"/>
    <w:rsid w:val="001267EB"/>
    <w:rsid w:val="0012695D"/>
    <w:rsid w:val="001269CA"/>
    <w:rsid w:val="00126AE0"/>
    <w:rsid w:val="00127085"/>
    <w:rsid w:val="001271C1"/>
    <w:rsid w:val="00127214"/>
    <w:rsid w:val="001272E9"/>
    <w:rsid w:val="001274DD"/>
    <w:rsid w:val="00127698"/>
    <w:rsid w:val="001277DE"/>
    <w:rsid w:val="001278AF"/>
    <w:rsid w:val="00127C85"/>
    <w:rsid w:val="00127D89"/>
    <w:rsid w:val="00127DD1"/>
    <w:rsid w:val="00127E57"/>
    <w:rsid w:val="00127E62"/>
    <w:rsid w:val="00130059"/>
    <w:rsid w:val="00130287"/>
    <w:rsid w:val="001303D0"/>
    <w:rsid w:val="00130417"/>
    <w:rsid w:val="0013051C"/>
    <w:rsid w:val="001305F5"/>
    <w:rsid w:val="001306FB"/>
    <w:rsid w:val="001307C3"/>
    <w:rsid w:val="001307FE"/>
    <w:rsid w:val="001309EB"/>
    <w:rsid w:val="00130CA5"/>
    <w:rsid w:val="00130CE8"/>
    <w:rsid w:val="00130DD6"/>
    <w:rsid w:val="001310BC"/>
    <w:rsid w:val="001313B8"/>
    <w:rsid w:val="001315AF"/>
    <w:rsid w:val="001315B8"/>
    <w:rsid w:val="0013171D"/>
    <w:rsid w:val="00131827"/>
    <w:rsid w:val="00131BB0"/>
    <w:rsid w:val="00131CEF"/>
    <w:rsid w:val="001320C9"/>
    <w:rsid w:val="001323E1"/>
    <w:rsid w:val="001323FF"/>
    <w:rsid w:val="0013268F"/>
    <w:rsid w:val="001328AF"/>
    <w:rsid w:val="00132A0E"/>
    <w:rsid w:val="00132A22"/>
    <w:rsid w:val="00132A78"/>
    <w:rsid w:val="00132C1B"/>
    <w:rsid w:val="00132D37"/>
    <w:rsid w:val="00132D73"/>
    <w:rsid w:val="00132FE4"/>
    <w:rsid w:val="00133451"/>
    <w:rsid w:val="00133B4A"/>
    <w:rsid w:val="00133CBA"/>
    <w:rsid w:val="00133E6C"/>
    <w:rsid w:val="00133EF5"/>
    <w:rsid w:val="00134236"/>
    <w:rsid w:val="0013425A"/>
    <w:rsid w:val="00134440"/>
    <w:rsid w:val="001345BD"/>
    <w:rsid w:val="00134602"/>
    <w:rsid w:val="0013483D"/>
    <w:rsid w:val="00134849"/>
    <w:rsid w:val="0013494C"/>
    <w:rsid w:val="00134A27"/>
    <w:rsid w:val="00134A88"/>
    <w:rsid w:val="00134BAE"/>
    <w:rsid w:val="00134C35"/>
    <w:rsid w:val="00134CA7"/>
    <w:rsid w:val="001350F2"/>
    <w:rsid w:val="001353E3"/>
    <w:rsid w:val="001357CF"/>
    <w:rsid w:val="001358B6"/>
    <w:rsid w:val="001358E0"/>
    <w:rsid w:val="00135C3D"/>
    <w:rsid w:val="00135E96"/>
    <w:rsid w:val="00135F2B"/>
    <w:rsid w:val="001361F4"/>
    <w:rsid w:val="00136277"/>
    <w:rsid w:val="001362BC"/>
    <w:rsid w:val="00136302"/>
    <w:rsid w:val="001363B0"/>
    <w:rsid w:val="001368A0"/>
    <w:rsid w:val="001368B3"/>
    <w:rsid w:val="00136A55"/>
    <w:rsid w:val="00136C82"/>
    <w:rsid w:val="00136E8E"/>
    <w:rsid w:val="00136F6D"/>
    <w:rsid w:val="00136F91"/>
    <w:rsid w:val="00137094"/>
    <w:rsid w:val="00137209"/>
    <w:rsid w:val="00137588"/>
    <w:rsid w:val="001378C5"/>
    <w:rsid w:val="001379C2"/>
    <w:rsid w:val="00137A2C"/>
    <w:rsid w:val="00137BAA"/>
    <w:rsid w:val="00137BD4"/>
    <w:rsid w:val="00137D3E"/>
    <w:rsid w:val="00137FA2"/>
    <w:rsid w:val="00137FAE"/>
    <w:rsid w:val="001400CD"/>
    <w:rsid w:val="0014013D"/>
    <w:rsid w:val="0014036D"/>
    <w:rsid w:val="001403DB"/>
    <w:rsid w:val="00140405"/>
    <w:rsid w:val="001405A6"/>
    <w:rsid w:val="00140982"/>
    <w:rsid w:val="001409C0"/>
    <w:rsid w:val="00140A82"/>
    <w:rsid w:val="00140DD4"/>
    <w:rsid w:val="001412DA"/>
    <w:rsid w:val="00141673"/>
    <w:rsid w:val="0014180E"/>
    <w:rsid w:val="001418B7"/>
    <w:rsid w:val="00141B08"/>
    <w:rsid w:val="00141BBA"/>
    <w:rsid w:val="00141DD7"/>
    <w:rsid w:val="00141ECD"/>
    <w:rsid w:val="00141F4A"/>
    <w:rsid w:val="00142150"/>
    <w:rsid w:val="0014216E"/>
    <w:rsid w:val="00142397"/>
    <w:rsid w:val="001424DC"/>
    <w:rsid w:val="001425FD"/>
    <w:rsid w:val="0014274A"/>
    <w:rsid w:val="00142764"/>
    <w:rsid w:val="0014284E"/>
    <w:rsid w:val="001428AE"/>
    <w:rsid w:val="00142A38"/>
    <w:rsid w:val="00142A89"/>
    <w:rsid w:val="00142A9F"/>
    <w:rsid w:val="00142B2C"/>
    <w:rsid w:val="00142DA8"/>
    <w:rsid w:val="00142E8E"/>
    <w:rsid w:val="00142F7B"/>
    <w:rsid w:val="00143203"/>
    <w:rsid w:val="001432C8"/>
    <w:rsid w:val="001434AA"/>
    <w:rsid w:val="001437EF"/>
    <w:rsid w:val="00143930"/>
    <w:rsid w:val="00143C4B"/>
    <w:rsid w:val="00143E5C"/>
    <w:rsid w:val="00143EC1"/>
    <w:rsid w:val="0014410F"/>
    <w:rsid w:val="00144181"/>
    <w:rsid w:val="001442EB"/>
    <w:rsid w:val="0014430C"/>
    <w:rsid w:val="0014445E"/>
    <w:rsid w:val="0014457D"/>
    <w:rsid w:val="001446EE"/>
    <w:rsid w:val="0014480E"/>
    <w:rsid w:val="00144A01"/>
    <w:rsid w:val="00144CC8"/>
    <w:rsid w:val="00144D30"/>
    <w:rsid w:val="00144DFF"/>
    <w:rsid w:val="00144E7C"/>
    <w:rsid w:val="00144FC4"/>
    <w:rsid w:val="0014504D"/>
    <w:rsid w:val="001451FC"/>
    <w:rsid w:val="001452D5"/>
    <w:rsid w:val="00145444"/>
    <w:rsid w:val="001454B4"/>
    <w:rsid w:val="00145526"/>
    <w:rsid w:val="001456FD"/>
    <w:rsid w:val="001459A6"/>
    <w:rsid w:val="00145A64"/>
    <w:rsid w:val="00145BC7"/>
    <w:rsid w:val="00145BE7"/>
    <w:rsid w:val="00145D9C"/>
    <w:rsid w:val="00145E73"/>
    <w:rsid w:val="00145EC2"/>
    <w:rsid w:val="0014605D"/>
    <w:rsid w:val="0014621C"/>
    <w:rsid w:val="00146375"/>
    <w:rsid w:val="001466C8"/>
    <w:rsid w:val="00146717"/>
    <w:rsid w:val="00146743"/>
    <w:rsid w:val="00146C3D"/>
    <w:rsid w:val="00146C46"/>
    <w:rsid w:val="00146E49"/>
    <w:rsid w:val="00146F7B"/>
    <w:rsid w:val="00146FF3"/>
    <w:rsid w:val="0014704C"/>
    <w:rsid w:val="001471D1"/>
    <w:rsid w:val="0014757C"/>
    <w:rsid w:val="00147588"/>
    <w:rsid w:val="001477E8"/>
    <w:rsid w:val="00147937"/>
    <w:rsid w:val="00147A22"/>
    <w:rsid w:val="00147C61"/>
    <w:rsid w:val="00147CB6"/>
    <w:rsid w:val="00147CFA"/>
    <w:rsid w:val="00147D89"/>
    <w:rsid w:val="00150160"/>
    <w:rsid w:val="00150317"/>
    <w:rsid w:val="00150389"/>
    <w:rsid w:val="0015038C"/>
    <w:rsid w:val="00150393"/>
    <w:rsid w:val="001503C7"/>
    <w:rsid w:val="0015045C"/>
    <w:rsid w:val="0015056A"/>
    <w:rsid w:val="001506BB"/>
    <w:rsid w:val="00150706"/>
    <w:rsid w:val="0015081D"/>
    <w:rsid w:val="001508E9"/>
    <w:rsid w:val="00150997"/>
    <w:rsid w:val="00150AC8"/>
    <w:rsid w:val="00150D45"/>
    <w:rsid w:val="00150DD2"/>
    <w:rsid w:val="00150FE7"/>
    <w:rsid w:val="0015113D"/>
    <w:rsid w:val="001511C9"/>
    <w:rsid w:val="001513CD"/>
    <w:rsid w:val="0015142E"/>
    <w:rsid w:val="00151505"/>
    <w:rsid w:val="0015150C"/>
    <w:rsid w:val="0015155A"/>
    <w:rsid w:val="001515B6"/>
    <w:rsid w:val="001515F9"/>
    <w:rsid w:val="001519DB"/>
    <w:rsid w:val="00151B9C"/>
    <w:rsid w:val="00151D8C"/>
    <w:rsid w:val="00152107"/>
    <w:rsid w:val="001523DC"/>
    <w:rsid w:val="001526FC"/>
    <w:rsid w:val="001527D0"/>
    <w:rsid w:val="00152B8E"/>
    <w:rsid w:val="00152D39"/>
    <w:rsid w:val="00152D4B"/>
    <w:rsid w:val="00152F58"/>
    <w:rsid w:val="0015308A"/>
    <w:rsid w:val="00153140"/>
    <w:rsid w:val="00153157"/>
    <w:rsid w:val="0015318E"/>
    <w:rsid w:val="001536D2"/>
    <w:rsid w:val="001536E6"/>
    <w:rsid w:val="00153759"/>
    <w:rsid w:val="00153763"/>
    <w:rsid w:val="001537EC"/>
    <w:rsid w:val="0015381F"/>
    <w:rsid w:val="00153859"/>
    <w:rsid w:val="00153B4C"/>
    <w:rsid w:val="00153BC6"/>
    <w:rsid w:val="00153C30"/>
    <w:rsid w:val="00153C80"/>
    <w:rsid w:val="00153E49"/>
    <w:rsid w:val="00153E9A"/>
    <w:rsid w:val="00153FA7"/>
    <w:rsid w:val="001540AA"/>
    <w:rsid w:val="00154332"/>
    <w:rsid w:val="001543B9"/>
    <w:rsid w:val="001544C9"/>
    <w:rsid w:val="001545AA"/>
    <w:rsid w:val="0015460C"/>
    <w:rsid w:val="00154792"/>
    <w:rsid w:val="0015496C"/>
    <w:rsid w:val="00154A83"/>
    <w:rsid w:val="00154E08"/>
    <w:rsid w:val="00154EA6"/>
    <w:rsid w:val="00155139"/>
    <w:rsid w:val="001551BC"/>
    <w:rsid w:val="001553A3"/>
    <w:rsid w:val="001553FE"/>
    <w:rsid w:val="001556AF"/>
    <w:rsid w:val="00155AB0"/>
    <w:rsid w:val="00156062"/>
    <w:rsid w:val="0015615D"/>
    <w:rsid w:val="00156646"/>
    <w:rsid w:val="00156669"/>
    <w:rsid w:val="0015676D"/>
    <w:rsid w:val="00156AF4"/>
    <w:rsid w:val="00156C77"/>
    <w:rsid w:val="00157122"/>
    <w:rsid w:val="00157172"/>
    <w:rsid w:val="00157231"/>
    <w:rsid w:val="0015728C"/>
    <w:rsid w:val="0015755B"/>
    <w:rsid w:val="001576BD"/>
    <w:rsid w:val="0015788A"/>
    <w:rsid w:val="00157967"/>
    <w:rsid w:val="001603C0"/>
    <w:rsid w:val="001608BE"/>
    <w:rsid w:val="00160A81"/>
    <w:rsid w:val="00160C60"/>
    <w:rsid w:val="00160CB1"/>
    <w:rsid w:val="00160CD2"/>
    <w:rsid w:val="00160DE4"/>
    <w:rsid w:val="00160E41"/>
    <w:rsid w:val="00160F70"/>
    <w:rsid w:val="001611A2"/>
    <w:rsid w:val="001614E9"/>
    <w:rsid w:val="001614F2"/>
    <w:rsid w:val="00161610"/>
    <w:rsid w:val="00161633"/>
    <w:rsid w:val="001619AD"/>
    <w:rsid w:val="00161AA7"/>
    <w:rsid w:val="00161C46"/>
    <w:rsid w:val="001620A1"/>
    <w:rsid w:val="00163095"/>
    <w:rsid w:val="00163196"/>
    <w:rsid w:val="00163367"/>
    <w:rsid w:val="00163458"/>
    <w:rsid w:val="001637EA"/>
    <w:rsid w:val="00163AEE"/>
    <w:rsid w:val="00163B91"/>
    <w:rsid w:val="00163BE7"/>
    <w:rsid w:val="00163E0C"/>
    <w:rsid w:val="00163EE3"/>
    <w:rsid w:val="00164113"/>
    <w:rsid w:val="001643C7"/>
    <w:rsid w:val="0016475E"/>
    <w:rsid w:val="001648BF"/>
    <w:rsid w:val="00164907"/>
    <w:rsid w:val="00164C1A"/>
    <w:rsid w:val="00164C71"/>
    <w:rsid w:val="00164DE2"/>
    <w:rsid w:val="00164E17"/>
    <w:rsid w:val="00164EE5"/>
    <w:rsid w:val="001650CC"/>
    <w:rsid w:val="00165604"/>
    <w:rsid w:val="00165809"/>
    <w:rsid w:val="00165C3E"/>
    <w:rsid w:val="00165FA5"/>
    <w:rsid w:val="001660B0"/>
    <w:rsid w:val="0016612B"/>
    <w:rsid w:val="0016653A"/>
    <w:rsid w:val="001667D4"/>
    <w:rsid w:val="00166859"/>
    <w:rsid w:val="001668CD"/>
    <w:rsid w:val="00166969"/>
    <w:rsid w:val="00166D60"/>
    <w:rsid w:val="00166DBC"/>
    <w:rsid w:val="00166F78"/>
    <w:rsid w:val="00166FC7"/>
    <w:rsid w:val="0016713F"/>
    <w:rsid w:val="001671D6"/>
    <w:rsid w:val="00167290"/>
    <w:rsid w:val="00167362"/>
    <w:rsid w:val="00167407"/>
    <w:rsid w:val="00167453"/>
    <w:rsid w:val="0016762B"/>
    <w:rsid w:val="001676AD"/>
    <w:rsid w:val="001676B9"/>
    <w:rsid w:val="00167AC4"/>
    <w:rsid w:val="00167BAD"/>
    <w:rsid w:val="00167F0A"/>
    <w:rsid w:val="00167FBD"/>
    <w:rsid w:val="00170147"/>
    <w:rsid w:val="0017020E"/>
    <w:rsid w:val="00170235"/>
    <w:rsid w:val="00170347"/>
    <w:rsid w:val="001708B9"/>
    <w:rsid w:val="001709B7"/>
    <w:rsid w:val="00170A6D"/>
    <w:rsid w:val="00170B6D"/>
    <w:rsid w:val="00170D2C"/>
    <w:rsid w:val="00170D57"/>
    <w:rsid w:val="00170F00"/>
    <w:rsid w:val="00170F09"/>
    <w:rsid w:val="001716C0"/>
    <w:rsid w:val="001717D9"/>
    <w:rsid w:val="0017183B"/>
    <w:rsid w:val="001719C2"/>
    <w:rsid w:val="00171B6D"/>
    <w:rsid w:val="0017219F"/>
    <w:rsid w:val="001721FE"/>
    <w:rsid w:val="001723AC"/>
    <w:rsid w:val="00172599"/>
    <w:rsid w:val="001725FA"/>
    <w:rsid w:val="001726A3"/>
    <w:rsid w:val="00172780"/>
    <w:rsid w:val="001728CE"/>
    <w:rsid w:val="00172BF5"/>
    <w:rsid w:val="00172D2B"/>
    <w:rsid w:val="00172E48"/>
    <w:rsid w:val="0017318F"/>
    <w:rsid w:val="001731D5"/>
    <w:rsid w:val="00173213"/>
    <w:rsid w:val="00173291"/>
    <w:rsid w:val="001732E1"/>
    <w:rsid w:val="001733C9"/>
    <w:rsid w:val="0017346B"/>
    <w:rsid w:val="00173489"/>
    <w:rsid w:val="001737AC"/>
    <w:rsid w:val="0017380D"/>
    <w:rsid w:val="00173B55"/>
    <w:rsid w:val="00173CAC"/>
    <w:rsid w:val="00173F28"/>
    <w:rsid w:val="001741A3"/>
    <w:rsid w:val="001742D5"/>
    <w:rsid w:val="0017433D"/>
    <w:rsid w:val="001743A2"/>
    <w:rsid w:val="00174577"/>
    <w:rsid w:val="00174A4B"/>
    <w:rsid w:val="00174A71"/>
    <w:rsid w:val="00174AB4"/>
    <w:rsid w:val="00174B51"/>
    <w:rsid w:val="00174BE7"/>
    <w:rsid w:val="00174E6A"/>
    <w:rsid w:val="00174F33"/>
    <w:rsid w:val="00174F3F"/>
    <w:rsid w:val="00174F94"/>
    <w:rsid w:val="001752C1"/>
    <w:rsid w:val="0017548E"/>
    <w:rsid w:val="0017554D"/>
    <w:rsid w:val="001757B2"/>
    <w:rsid w:val="00175ADF"/>
    <w:rsid w:val="00175C73"/>
    <w:rsid w:val="00175D99"/>
    <w:rsid w:val="00175DAA"/>
    <w:rsid w:val="00176235"/>
    <w:rsid w:val="0017634C"/>
    <w:rsid w:val="00176603"/>
    <w:rsid w:val="0017670A"/>
    <w:rsid w:val="00176BE5"/>
    <w:rsid w:val="00176C10"/>
    <w:rsid w:val="00176C5B"/>
    <w:rsid w:val="00176E83"/>
    <w:rsid w:val="00176E91"/>
    <w:rsid w:val="001770B6"/>
    <w:rsid w:val="001770F2"/>
    <w:rsid w:val="001771BC"/>
    <w:rsid w:val="0017726E"/>
    <w:rsid w:val="001773AF"/>
    <w:rsid w:val="00177607"/>
    <w:rsid w:val="001779D1"/>
    <w:rsid w:val="00177B24"/>
    <w:rsid w:val="00177C21"/>
    <w:rsid w:val="00177C97"/>
    <w:rsid w:val="00177EC7"/>
    <w:rsid w:val="001803A8"/>
    <w:rsid w:val="001803F1"/>
    <w:rsid w:val="001806DB"/>
    <w:rsid w:val="0018090E"/>
    <w:rsid w:val="00180983"/>
    <w:rsid w:val="00180A87"/>
    <w:rsid w:val="00180BD5"/>
    <w:rsid w:val="00180E03"/>
    <w:rsid w:val="00180FB0"/>
    <w:rsid w:val="0018120F"/>
    <w:rsid w:val="001812F6"/>
    <w:rsid w:val="001819BE"/>
    <w:rsid w:val="00181AAE"/>
    <w:rsid w:val="00181ADD"/>
    <w:rsid w:val="00181B32"/>
    <w:rsid w:val="00181DA5"/>
    <w:rsid w:val="00181EE5"/>
    <w:rsid w:val="00182011"/>
    <w:rsid w:val="001820CE"/>
    <w:rsid w:val="00182105"/>
    <w:rsid w:val="001822DB"/>
    <w:rsid w:val="00182498"/>
    <w:rsid w:val="00182F50"/>
    <w:rsid w:val="00182FBF"/>
    <w:rsid w:val="00182FEA"/>
    <w:rsid w:val="0018301A"/>
    <w:rsid w:val="00183430"/>
    <w:rsid w:val="001835A0"/>
    <w:rsid w:val="00183A44"/>
    <w:rsid w:val="00183C7C"/>
    <w:rsid w:val="001840BD"/>
    <w:rsid w:val="00184195"/>
    <w:rsid w:val="00184206"/>
    <w:rsid w:val="0018423F"/>
    <w:rsid w:val="0018465C"/>
    <w:rsid w:val="0018475D"/>
    <w:rsid w:val="0018488E"/>
    <w:rsid w:val="00184A0A"/>
    <w:rsid w:val="00184CB1"/>
    <w:rsid w:val="00184DDE"/>
    <w:rsid w:val="00184EB5"/>
    <w:rsid w:val="00184F40"/>
    <w:rsid w:val="001850F3"/>
    <w:rsid w:val="00185103"/>
    <w:rsid w:val="0018522A"/>
    <w:rsid w:val="00185333"/>
    <w:rsid w:val="001855B6"/>
    <w:rsid w:val="00185746"/>
    <w:rsid w:val="00185782"/>
    <w:rsid w:val="001859BE"/>
    <w:rsid w:val="00185C9D"/>
    <w:rsid w:val="00185D23"/>
    <w:rsid w:val="00185DB2"/>
    <w:rsid w:val="00185E44"/>
    <w:rsid w:val="0018603A"/>
    <w:rsid w:val="00186292"/>
    <w:rsid w:val="0018631E"/>
    <w:rsid w:val="001864E3"/>
    <w:rsid w:val="00186736"/>
    <w:rsid w:val="001868EC"/>
    <w:rsid w:val="00186993"/>
    <w:rsid w:val="00186A1F"/>
    <w:rsid w:val="00186B57"/>
    <w:rsid w:val="00186D35"/>
    <w:rsid w:val="00187017"/>
    <w:rsid w:val="001870D7"/>
    <w:rsid w:val="0018736F"/>
    <w:rsid w:val="001875D3"/>
    <w:rsid w:val="001875D6"/>
    <w:rsid w:val="00187601"/>
    <w:rsid w:val="00187674"/>
    <w:rsid w:val="001876A5"/>
    <w:rsid w:val="00187B00"/>
    <w:rsid w:val="00187D44"/>
    <w:rsid w:val="00187D60"/>
    <w:rsid w:val="00187F17"/>
    <w:rsid w:val="00190010"/>
    <w:rsid w:val="0019019B"/>
    <w:rsid w:val="001901B1"/>
    <w:rsid w:val="001902A8"/>
    <w:rsid w:val="001903C9"/>
    <w:rsid w:val="00190577"/>
    <w:rsid w:val="00190643"/>
    <w:rsid w:val="001908AE"/>
    <w:rsid w:val="001908C4"/>
    <w:rsid w:val="001909B3"/>
    <w:rsid w:val="00190A77"/>
    <w:rsid w:val="00190AA2"/>
    <w:rsid w:val="00190CCA"/>
    <w:rsid w:val="00190EAF"/>
    <w:rsid w:val="00190EB2"/>
    <w:rsid w:val="00190F8B"/>
    <w:rsid w:val="00190FEC"/>
    <w:rsid w:val="0019106B"/>
    <w:rsid w:val="0019109B"/>
    <w:rsid w:val="001910CE"/>
    <w:rsid w:val="001915E9"/>
    <w:rsid w:val="001915EF"/>
    <w:rsid w:val="0019173A"/>
    <w:rsid w:val="0019184B"/>
    <w:rsid w:val="00191954"/>
    <w:rsid w:val="001919FF"/>
    <w:rsid w:val="00191A65"/>
    <w:rsid w:val="00191A91"/>
    <w:rsid w:val="00191AA8"/>
    <w:rsid w:val="00191DDF"/>
    <w:rsid w:val="00191E2D"/>
    <w:rsid w:val="0019245B"/>
    <w:rsid w:val="00192478"/>
    <w:rsid w:val="0019255A"/>
    <w:rsid w:val="001927D6"/>
    <w:rsid w:val="00192B0A"/>
    <w:rsid w:val="00192C5F"/>
    <w:rsid w:val="00192CE0"/>
    <w:rsid w:val="00192DAF"/>
    <w:rsid w:val="00192F10"/>
    <w:rsid w:val="0019337A"/>
    <w:rsid w:val="001934D2"/>
    <w:rsid w:val="001935F1"/>
    <w:rsid w:val="001938C1"/>
    <w:rsid w:val="00193AFE"/>
    <w:rsid w:val="00193BCD"/>
    <w:rsid w:val="00193DB8"/>
    <w:rsid w:val="0019400D"/>
    <w:rsid w:val="001942D0"/>
    <w:rsid w:val="00194547"/>
    <w:rsid w:val="001946C7"/>
    <w:rsid w:val="00194AD4"/>
    <w:rsid w:val="00194E18"/>
    <w:rsid w:val="00194EDE"/>
    <w:rsid w:val="00194F2D"/>
    <w:rsid w:val="00194F85"/>
    <w:rsid w:val="0019517F"/>
    <w:rsid w:val="001951B3"/>
    <w:rsid w:val="0019532B"/>
    <w:rsid w:val="00195646"/>
    <w:rsid w:val="001956B1"/>
    <w:rsid w:val="00195893"/>
    <w:rsid w:val="0019592A"/>
    <w:rsid w:val="00195D12"/>
    <w:rsid w:val="00195F5C"/>
    <w:rsid w:val="001960D8"/>
    <w:rsid w:val="00196159"/>
    <w:rsid w:val="001961DF"/>
    <w:rsid w:val="001962A2"/>
    <w:rsid w:val="001966EF"/>
    <w:rsid w:val="0019670F"/>
    <w:rsid w:val="00196A2C"/>
    <w:rsid w:val="00197097"/>
    <w:rsid w:val="0019777C"/>
    <w:rsid w:val="00197868"/>
    <w:rsid w:val="001979F7"/>
    <w:rsid w:val="00197CA0"/>
    <w:rsid w:val="00197D74"/>
    <w:rsid w:val="001A000D"/>
    <w:rsid w:val="001A015A"/>
    <w:rsid w:val="001A0185"/>
    <w:rsid w:val="001A0278"/>
    <w:rsid w:val="001A0460"/>
    <w:rsid w:val="001A0611"/>
    <w:rsid w:val="001A1165"/>
    <w:rsid w:val="001A13D4"/>
    <w:rsid w:val="001A17BB"/>
    <w:rsid w:val="001A17E2"/>
    <w:rsid w:val="001A1C39"/>
    <w:rsid w:val="001A1C74"/>
    <w:rsid w:val="001A1CAD"/>
    <w:rsid w:val="001A1D33"/>
    <w:rsid w:val="001A1DFF"/>
    <w:rsid w:val="001A1FDA"/>
    <w:rsid w:val="001A213D"/>
    <w:rsid w:val="001A22D3"/>
    <w:rsid w:val="001A2402"/>
    <w:rsid w:val="001A2540"/>
    <w:rsid w:val="001A26BA"/>
    <w:rsid w:val="001A27DE"/>
    <w:rsid w:val="001A2897"/>
    <w:rsid w:val="001A29F8"/>
    <w:rsid w:val="001A2A8C"/>
    <w:rsid w:val="001A2B04"/>
    <w:rsid w:val="001A2F38"/>
    <w:rsid w:val="001A2F94"/>
    <w:rsid w:val="001A315F"/>
    <w:rsid w:val="001A31A4"/>
    <w:rsid w:val="001A32C7"/>
    <w:rsid w:val="001A3589"/>
    <w:rsid w:val="001A3937"/>
    <w:rsid w:val="001A3A63"/>
    <w:rsid w:val="001A3A95"/>
    <w:rsid w:val="001A3C57"/>
    <w:rsid w:val="001A3E80"/>
    <w:rsid w:val="001A409E"/>
    <w:rsid w:val="001A4219"/>
    <w:rsid w:val="001A4245"/>
    <w:rsid w:val="001A46D0"/>
    <w:rsid w:val="001A47EB"/>
    <w:rsid w:val="001A4858"/>
    <w:rsid w:val="001A48DB"/>
    <w:rsid w:val="001A49D9"/>
    <w:rsid w:val="001A4F1E"/>
    <w:rsid w:val="001A5075"/>
    <w:rsid w:val="001A50D4"/>
    <w:rsid w:val="001A51AE"/>
    <w:rsid w:val="001A52A4"/>
    <w:rsid w:val="001A548E"/>
    <w:rsid w:val="001A597C"/>
    <w:rsid w:val="001A5D29"/>
    <w:rsid w:val="001A5F3A"/>
    <w:rsid w:val="001A5FF5"/>
    <w:rsid w:val="001A632D"/>
    <w:rsid w:val="001A63B2"/>
    <w:rsid w:val="001A67E7"/>
    <w:rsid w:val="001A680D"/>
    <w:rsid w:val="001A6843"/>
    <w:rsid w:val="001A68A3"/>
    <w:rsid w:val="001A6AC2"/>
    <w:rsid w:val="001A6D0C"/>
    <w:rsid w:val="001A6E04"/>
    <w:rsid w:val="001A6EA8"/>
    <w:rsid w:val="001A70B2"/>
    <w:rsid w:val="001A7139"/>
    <w:rsid w:val="001A748A"/>
    <w:rsid w:val="001A7725"/>
    <w:rsid w:val="001A789B"/>
    <w:rsid w:val="001A796E"/>
    <w:rsid w:val="001A7970"/>
    <w:rsid w:val="001A799E"/>
    <w:rsid w:val="001A7A7C"/>
    <w:rsid w:val="001A7E74"/>
    <w:rsid w:val="001A7F1A"/>
    <w:rsid w:val="001A7FEA"/>
    <w:rsid w:val="001B02EC"/>
    <w:rsid w:val="001B0432"/>
    <w:rsid w:val="001B04A6"/>
    <w:rsid w:val="001B05C4"/>
    <w:rsid w:val="001B0929"/>
    <w:rsid w:val="001B0A0B"/>
    <w:rsid w:val="001B0BD5"/>
    <w:rsid w:val="001B0E0A"/>
    <w:rsid w:val="001B0ED7"/>
    <w:rsid w:val="001B102C"/>
    <w:rsid w:val="001B10F5"/>
    <w:rsid w:val="001B144A"/>
    <w:rsid w:val="001B1641"/>
    <w:rsid w:val="001B19BE"/>
    <w:rsid w:val="001B1AD6"/>
    <w:rsid w:val="001B1C3B"/>
    <w:rsid w:val="001B1D16"/>
    <w:rsid w:val="001B2126"/>
    <w:rsid w:val="001B2228"/>
    <w:rsid w:val="001B2293"/>
    <w:rsid w:val="001B2564"/>
    <w:rsid w:val="001B25C5"/>
    <w:rsid w:val="001B2ACC"/>
    <w:rsid w:val="001B2DD9"/>
    <w:rsid w:val="001B2DF8"/>
    <w:rsid w:val="001B2E3A"/>
    <w:rsid w:val="001B3014"/>
    <w:rsid w:val="001B3029"/>
    <w:rsid w:val="001B3282"/>
    <w:rsid w:val="001B344D"/>
    <w:rsid w:val="001B35FF"/>
    <w:rsid w:val="001B36A9"/>
    <w:rsid w:val="001B36BC"/>
    <w:rsid w:val="001B36D6"/>
    <w:rsid w:val="001B374B"/>
    <w:rsid w:val="001B38C0"/>
    <w:rsid w:val="001B3C1F"/>
    <w:rsid w:val="001B3C54"/>
    <w:rsid w:val="001B4051"/>
    <w:rsid w:val="001B4819"/>
    <w:rsid w:val="001B4AE2"/>
    <w:rsid w:val="001B4B6D"/>
    <w:rsid w:val="001B4E94"/>
    <w:rsid w:val="001B50BA"/>
    <w:rsid w:val="001B5282"/>
    <w:rsid w:val="001B5342"/>
    <w:rsid w:val="001B5636"/>
    <w:rsid w:val="001B56EB"/>
    <w:rsid w:val="001B57EC"/>
    <w:rsid w:val="001B5839"/>
    <w:rsid w:val="001B59CD"/>
    <w:rsid w:val="001B5AA0"/>
    <w:rsid w:val="001B5BF4"/>
    <w:rsid w:val="001B5C50"/>
    <w:rsid w:val="001B5E66"/>
    <w:rsid w:val="001B608C"/>
    <w:rsid w:val="001B645D"/>
    <w:rsid w:val="001B6846"/>
    <w:rsid w:val="001B691D"/>
    <w:rsid w:val="001B6EA3"/>
    <w:rsid w:val="001B6FF9"/>
    <w:rsid w:val="001B7180"/>
    <w:rsid w:val="001B71BA"/>
    <w:rsid w:val="001B738D"/>
    <w:rsid w:val="001B7409"/>
    <w:rsid w:val="001B77AB"/>
    <w:rsid w:val="001B787E"/>
    <w:rsid w:val="001B7934"/>
    <w:rsid w:val="001B7A7C"/>
    <w:rsid w:val="001B7D1D"/>
    <w:rsid w:val="001B7F2F"/>
    <w:rsid w:val="001C0064"/>
    <w:rsid w:val="001C0158"/>
    <w:rsid w:val="001C022C"/>
    <w:rsid w:val="001C0323"/>
    <w:rsid w:val="001C0454"/>
    <w:rsid w:val="001C0557"/>
    <w:rsid w:val="001C064C"/>
    <w:rsid w:val="001C07F1"/>
    <w:rsid w:val="001C082B"/>
    <w:rsid w:val="001C0863"/>
    <w:rsid w:val="001C09B4"/>
    <w:rsid w:val="001C09DB"/>
    <w:rsid w:val="001C0C83"/>
    <w:rsid w:val="001C0D4F"/>
    <w:rsid w:val="001C0F44"/>
    <w:rsid w:val="001C132D"/>
    <w:rsid w:val="001C13D4"/>
    <w:rsid w:val="001C13E2"/>
    <w:rsid w:val="001C1624"/>
    <w:rsid w:val="001C17C0"/>
    <w:rsid w:val="001C1926"/>
    <w:rsid w:val="001C1983"/>
    <w:rsid w:val="001C1CE4"/>
    <w:rsid w:val="001C1F2E"/>
    <w:rsid w:val="001C2391"/>
    <w:rsid w:val="001C23BB"/>
    <w:rsid w:val="001C2C45"/>
    <w:rsid w:val="001C2CC8"/>
    <w:rsid w:val="001C2CD0"/>
    <w:rsid w:val="001C2DC5"/>
    <w:rsid w:val="001C2EB5"/>
    <w:rsid w:val="001C307A"/>
    <w:rsid w:val="001C349F"/>
    <w:rsid w:val="001C3540"/>
    <w:rsid w:val="001C380C"/>
    <w:rsid w:val="001C39AB"/>
    <w:rsid w:val="001C3A2E"/>
    <w:rsid w:val="001C3B49"/>
    <w:rsid w:val="001C3CA5"/>
    <w:rsid w:val="001C3CCA"/>
    <w:rsid w:val="001C3EEB"/>
    <w:rsid w:val="001C408E"/>
    <w:rsid w:val="001C41CB"/>
    <w:rsid w:val="001C43E8"/>
    <w:rsid w:val="001C44A4"/>
    <w:rsid w:val="001C456F"/>
    <w:rsid w:val="001C47B3"/>
    <w:rsid w:val="001C488B"/>
    <w:rsid w:val="001C4AFA"/>
    <w:rsid w:val="001C4C20"/>
    <w:rsid w:val="001C4CFB"/>
    <w:rsid w:val="001C4D4F"/>
    <w:rsid w:val="001C4EF8"/>
    <w:rsid w:val="001C4F22"/>
    <w:rsid w:val="001C4FB5"/>
    <w:rsid w:val="001C5131"/>
    <w:rsid w:val="001C51CE"/>
    <w:rsid w:val="001C54D5"/>
    <w:rsid w:val="001C561E"/>
    <w:rsid w:val="001C56EC"/>
    <w:rsid w:val="001C585F"/>
    <w:rsid w:val="001C58B1"/>
    <w:rsid w:val="001C58D6"/>
    <w:rsid w:val="001C58E0"/>
    <w:rsid w:val="001C5A49"/>
    <w:rsid w:val="001C5B32"/>
    <w:rsid w:val="001C5CAE"/>
    <w:rsid w:val="001C5CCF"/>
    <w:rsid w:val="001C5DEC"/>
    <w:rsid w:val="001C61CA"/>
    <w:rsid w:val="001C62EF"/>
    <w:rsid w:val="001C651A"/>
    <w:rsid w:val="001C6755"/>
    <w:rsid w:val="001C6758"/>
    <w:rsid w:val="001C69C8"/>
    <w:rsid w:val="001C6A3D"/>
    <w:rsid w:val="001C6DEE"/>
    <w:rsid w:val="001C70A2"/>
    <w:rsid w:val="001C74A1"/>
    <w:rsid w:val="001C7636"/>
    <w:rsid w:val="001C7B01"/>
    <w:rsid w:val="001C7C1D"/>
    <w:rsid w:val="001C7CCA"/>
    <w:rsid w:val="001C7CEF"/>
    <w:rsid w:val="001D0080"/>
    <w:rsid w:val="001D01EF"/>
    <w:rsid w:val="001D0379"/>
    <w:rsid w:val="001D03A2"/>
    <w:rsid w:val="001D046C"/>
    <w:rsid w:val="001D0B18"/>
    <w:rsid w:val="001D0DB7"/>
    <w:rsid w:val="001D0F06"/>
    <w:rsid w:val="001D11D9"/>
    <w:rsid w:val="001D1328"/>
    <w:rsid w:val="001D13A4"/>
    <w:rsid w:val="001D1559"/>
    <w:rsid w:val="001D18D7"/>
    <w:rsid w:val="001D1918"/>
    <w:rsid w:val="001D1B9B"/>
    <w:rsid w:val="001D1C5A"/>
    <w:rsid w:val="001D2100"/>
    <w:rsid w:val="001D2219"/>
    <w:rsid w:val="001D2606"/>
    <w:rsid w:val="001D26B8"/>
    <w:rsid w:val="001D27CF"/>
    <w:rsid w:val="001D2D29"/>
    <w:rsid w:val="001D2D83"/>
    <w:rsid w:val="001D2F1F"/>
    <w:rsid w:val="001D3050"/>
    <w:rsid w:val="001D3409"/>
    <w:rsid w:val="001D359D"/>
    <w:rsid w:val="001D361A"/>
    <w:rsid w:val="001D3774"/>
    <w:rsid w:val="001D3993"/>
    <w:rsid w:val="001D3B05"/>
    <w:rsid w:val="001D3C4D"/>
    <w:rsid w:val="001D3E0C"/>
    <w:rsid w:val="001D42F8"/>
    <w:rsid w:val="001D44F9"/>
    <w:rsid w:val="001D4514"/>
    <w:rsid w:val="001D46B4"/>
    <w:rsid w:val="001D47D1"/>
    <w:rsid w:val="001D47F1"/>
    <w:rsid w:val="001D4B3B"/>
    <w:rsid w:val="001D4DC9"/>
    <w:rsid w:val="001D4FEE"/>
    <w:rsid w:val="001D50B8"/>
    <w:rsid w:val="001D557B"/>
    <w:rsid w:val="001D57E4"/>
    <w:rsid w:val="001D5842"/>
    <w:rsid w:val="001D5C96"/>
    <w:rsid w:val="001D61B9"/>
    <w:rsid w:val="001D62B4"/>
    <w:rsid w:val="001D65AD"/>
    <w:rsid w:val="001D6659"/>
    <w:rsid w:val="001D66D7"/>
    <w:rsid w:val="001D68AB"/>
    <w:rsid w:val="001D690D"/>
    <w:rsid w:val="001D6924"/>
    <w:rsid w:val="001D6BF3"/>
    <w:rsid w:val="001D6C73"/>
    <w:rsid w:val="001D6D46"/>
    <w:rsid w:val="001D6DE6"/>
    <w:rsid w:val="001D701C"/>
    <w:rsid w:val="001D78F0"/>
    <w:rsid w:val="001D7983"/>
    <w:rsid w:val="001D7ACD"/>
    <w:rsid w:val="001D7AFB"/>
    <w:rsid w:val="001D7BE7"/>
    <w:rsid w:val="001D7ED0"/>
    <w:rsid w:val="001DE31C"/>
    <w:rsid w:val="001E02D7"/>
    <w:rsid w:val="001E07B4"/>
    <w:rsid w:val="001E07E4"/>
    <w:rsid w:val="001E08DF"/>
    <w:rsid w:val="001E0925"/>
    <w:rsid w:val="001E0B36"/>
    <w:rsid w:val="001E0C56"/>
    <w:rsid w:val="001E0F8F"/>
    <w:rsid w:val="001E1081"/>
    <w:rsid w:val="001E1319"/>
    <w:rsid w:val="001E1524"/>
    <w:rsid w:val="001E1654"/>
    <w:rsid w:val="001E1D96"/>
    <w:rsid w:val="001E1FE6"/>
    <w:rsid w:val="001E20A6"/>
    <w:rsid w:val="001E213A"/>
    <w:rsid w:val="001E2181"/>
    <w:rsid w:val="001E2198"/>
    <w:rsid w:val="001E2350"/>
    <w:rsid w:val="001E246F"/>
    <w:rsid w:val="001E24B2"/>
    <w:rsid w:val="001E28D2"/>
    <w:rsid w:val="001E2AFE"/>
    <w:rsid w:val="001E2B48"/>
    <w:rsid w:val="001E2D2A"/>
    <w:rsid w:val="001E3099"/>
    <w:rsid w:val="001E3265"/>
    <w:rsid w:val="001E32B2"/>
    <w:rsid w:val="001E33B5"/>
    <w:rsid w:val="001E3439"/>
    <w:rsid w:val="001E3737"/>
    <w:rsid w:val="001E3ADD"/>
    <w:rsid w:val="001E3C7C"/>
    <w:rsid w:val="001E3C90"/>
    <w:rsid w:val="001E3F54"/>
    <w:rsid w:val="001E3F9B"/>
    <w:rsid w:val="001E3FFC"/>
    <w:rsid w:val="001E4632"/>
    <w:rsid w:val="001E4717"/>
    <w:rsid w:val="001E48B1"/>
    <w:rsid w:val="001E4987"/>
    <w:rsid w:val="001E49D2"/>
    <w:rsid w:val="001E4BFB"/>
    <w:rsid w:val="001E4D83"/>
    <w:rsid w:val="001E53CB"/>
    <w:rsid w:val="001E5417"/>
    <w:rsid w:val="001E586B"/>
    <w:rsid w:val="001E587F"/>
    <w:rsid w:val="001E5900"/>
    <w:rsid w:val="001E5AF9"/>
    <w:rsid w:val="001E5B90"/>
    <w:rsid w:val="001E5B92"/>
    <w:rsid w:val="001E5CFF"/>
    <w:rsid w:val="001E5D89"/>
    <w:rsid w:val="001E5E95"/>
    <w:rsid w:val="001E5E9B"/>
    <w:rsid w:val="001E5F20"/>
    <w:rsid w:val="001E60D0"/>
    <w:rsid w:val="001E6675"/>
    <w:rsid w:val="001E6877"/>
    <w:rsid w:val="001E688D"/>
    <w:rsid w:val="001E6A0A"/>
    <w:rsid w:val="001E6A72"/>
    <w:rsid w:val="001E6AE7"/>
    <w:rsid w:val="001E6D4C"/>
    <w:rsid w:val="001E72D4"/>
    <w:rsid w:val="001E75B7"/>
    <w:rsid w:val="001E75DB"/>
    <w:rsid w:val="001E76E9"/>
    <w:rsid w:val="001E777D"/>
    <w:rsid w:val="001E7819"/>
    <w:rsid w:val="001E787D"/>
    <w:rsid w:val="001E7C29"/>
    <w:rsid w:val="001E7C37"/>
    <w:rsid w:val="001E7DB5"/>
    <w:rsid w:val="001E7DD1"/>
    <w:rsid w:val="001E7EC9"/>
    <w:rsid w:val="001F0266"/>
    <w:rsid w:val="001F035F"/>
    <w:rsid w:val="001F0384"/>
    <w:rsid w:val="001F049C"/>
    <w:rsid w:val="001F04A9"/>
    <w:rsid w:val="001F0634"/>
    <w:rsid w:val="001F07A5"/>
    <w:rsid w:val="001F091C"/>
    <w:rsid w:val="001F0B7B"/>
    <w:rsid w:val="001F0CE9"/>
    <w:rsid w:val="001F0DB8"/>
    <w:rsid w:val="001F0E7A"/>
    <w:rsid w:val="001F1177"/>
    <w:rsid w:val="001F11A9"/>
    <w:rsid w:val="001F12B8"/>
    <w:rsid w:val="001F13B8"/>
    <w:rsid w:val="001F1427"/>
    <w:rsid w:val="001F14BE"/>
    <w:rsid w:val="001F1504"/>
    <w:rsid w:val="001F1534"/>
    <w:rsid w:val="001F1569"/>
    <w:rsid w:val="001F17E8"/>
    <w:rsid w:val="001F17ED"/>
    <w:rsid w:val="001F18E8"/>
    <w:rsid w:val="001F1976"/>
    <w:rsid w:val="001F1985"/>
    <w:rsid w:val="001F20A4"/>
    <w:rsid w:val="001F21D3"/>
    <w:rsid w:val="001F23B9"/>
    <w:rsid w:val="001F25E8"/>
    <w:rsid w:val="001F2C20"/>
    <w:rsid w:val="001F2D5E"/>
    <w:rsid w:val="001F2D7D"/>
    <w:rsid w:val="001F2E20"/>
    <w:rsid w:val="001F2E3C"/>
    <w:rsid w:val="001F2E96"/>
    <w:rsid w:val="001F30CC"/>
    <w:rsid w:val="001F31FE"/>
    <w:rsid w:val="001F335F"/>
    <w:rsid w:val="001F352E"/>
    <w:rsid w:val="001F3647"/>
    <w:rsid w:val="001F3732"/>
    <w:rsid w:val="001F37B6"/>
    <w:rsid w:val="001F3AD1"/>
    <w:rsid w:val="001F3B35"/>
    <w:rsid w:val="001F4076"/>
    <w:rsid w:val="001F4367"/>
    <w:rsid w:val="001F43F7"/>
    <w:rsid w:val="001F4400"/>
    <w:rsid w:val="001F44AF"/>
    <w:rsid w:val="001F4560"/>
    <w:rsid w:val="001F463F"/>
    <w:rsid w:val="001F4876"/>
    <w:rsid w:val="001F48FD"/>
    <w:rsid w:val="001F4946"/>
    <w:rsid w:val="001F4A07"/>
    <w:rsid w:val="001F4ABA"/>
    <w:rsid w:val="001F4D76"/>
    <w:rsid w:val="001F4DDA"/>
    <w:rsid w:val="001F51A0"/>
    <w:rsid w:val="001F522B"/>
    <w:rsid w:val="001F529F"/>
    <w:rsid w:val="001F52A2"/>
    <w:rsid w:val="001F548F"/>
    <w:rsid w:val="001F5611"/>
    <w:rsid w:val="001F5695"/>
    <w:rsid w:val="001F5779"/>
    <w:rsid w:val="001F59ED"/>
    <w:rsid w:val="001F5B30"/>
    <w:rsid w:val="001F5CDB"/>
    <w:rsid w:val="001F60A5"/>
    <w:rsid w:val="001F62DC"/>
    <w:rsid w:val="001F6361"/>
    <w:rsid w:val="001F6556"/>
    <w:rsid w:val="001F664A"/>
    <w:rsid w:val="001F674B"/>
    <w:rsid w:val="001F67E8"/>
    <w:rsid w:val="001F6A15"/>
    <w:rsid w:val="001F6D32"/>
    <w:rsid w:val="001F6F69"/>
    <w:rsid w:val="001F6FF4"/>
    <w:rsid w:val="001F7141"/>
    <w:rsid w:val="001F7482"/>
    <w:rsid w:val="001F78D3"/>
    <w:rsid w:val="001F78D6"/>
    <w:rsid w:val="001F7AE2"/>
    <w:rsid w:val="001F7BA8"/>
    <w:rsid w:val="001F7D73"/>
    <w:rsid w:val="001F7D90"/>
    <w:rsid w:val="002002DE"/>
    <w:rsid w:val="00200501"/>
    <w:rsid w:val="00200557"/>
    <w:rsid w:val="00200615"/>
    <w:rsid w:val="0020066D"/>
    <w:rsid w:val="00200774"/>
    <w:rsid w:val="00200804"/>
    <w:rsid w:val="0020086F"/>
    <w:rsid w:val="0020095D"/>
    <w:rsid w:val="00200D3B"/>
    <w:rsid w:val="00200DBA"/>
    <w:rsid w:val="00200F13"/>
    <w:rsid w:val="00200FB0"/>
    <w:rsid w:val="00200FFE"/>
    <w:rsid w:val="00201016"/>
    <w:rsid w:val="00201252"/>
    <w:rsid w:val="00201341"/>
    <w:rsid w:val="00201392"/>
    <w:rsid w:val="002013DE"/>
    <w:rsid w:val="00201650"/>
    <w:rsid w:val="002017CC"/>
    <w:rsid w:val="00201843"/>
    <w:rsid w:val="00201AE5"/>
    <w:rsid w:val="00201D55"/>
    <w:rsid w:val="00201D6D"/>
    <w:rsid w:val="00201FB8"/>
    <w:rsid w:val="00202154"/>
    <w:rsid w:val="00202302"/>
    <w:rsid w:val="0020232A"/>
    <w:rsid w:val="00202333"/>
    <w:rsid w:val="0020236D"/>
    <w:rsid w:val="00202421"/>
    <w:rsid w:val="0020256F"/>
    <w:rsid w:val="0020268B"/>
    <w:rsid w:val="002027F4"/>
    <w:rsid w:val="0020282E"/>
    <w:rsid w:val="00202855"/>
    <w:rsid w:val="00202BAB"/>
    <w:rsid w:val="00202CBA"/>
    <w:rsid w:val="00202EB8"/>
    <w:rsid w:val="00202ECC"/>
    <w:rsid w:val="00202EE5"/>
    <w:rsid w:val="00202EF8"/>
    <w:rsid w:val="00202FBA"/>
    <w:rsid w:val="00202FBE"/>
    <w:rsid w:val="0020300C"/>
    <w:rsid w:val="0020301F"/>
    <w:rsid w:val="002032A4"/>
    <w:rsid w:val="0020361C"/>
    <w:rsid w:val="002036BA"/>
    <w:rsid w:val="00203881"/>
    <w:rsid w:val="002038C7"/>
    <w:rsid w:val="002039E2"/>
    <w:rsid w:val="00203E8E"/>
    <w:rsid w:val="002040D6"/>
    <w:rsid w:val="002043DC"/>
    <w:rsid w:val="00204433"/>
    <w:rsid w:val="00204511"/>
    <w:rsid w:val="00204671"/>
    <w:rsid w:val="002046F8"/>
    <w:rsid w:val="0020470C"/>
    <w:rsid w:val="00204763"/>
    <w:rsid w:val="00204933"/>
    <w:rsid w:val="0020493F"/>
    <w:rsid w:val="00204BFB"/>
    <w:rsid w:val="00204DCC"/>
    <w:rsid w:val="00204EF1"/>
    <w:rsid w:val="002050DE"/>
    <w:rsid w:val="00205348"/>
    <w:rsid w:val="002055FF"/>
    <w:rsid w:val="00205804"/>
    <w:rsid w:val="00205B89"/>
    <w:rsid w:val="00205C51"/>
    <w:rsid w:val="00205E36"/>
    <w:rsid w:val="00205E6B"/>
    <w:rsid w:val="00205F0E"/>
    <w:rsid w:val="00205F80"/>
    <w:rsid w:val="00206171"/>
    <w:rsid w:val="002062B0"/>
    <w:rsid w:val="002064CD"/>
    <w:rsid w:val="00206672"/>
    <w:rsid w:val="002066D5"/>
    <w:rsid w:val="0020696B"/>
    <w:rsid w:val="002069BC"/>
    <w:rsid w:val="00206A5C"/>
    <w:rsid w:val="00206C2A"/>
    <w:rsid w:val="002072DE"/>
    <w:rsid w:val="0020731B"/>
    <w:rsid w:val="002073DD"/>
    <w:rsid w:val="00207454"/>
    <w:rsid w:val="00207687"/>
    <w:rsid w:val="0020788D"/>
    <w:rsid w:val="002078D6"/>
    <w:rsid w:val="00207E4F"/>
    <w:rsid w:val="00210113"/>
    <w:rsid w:val="00210422"/>
    <w:rsid w:val="00210538"/>
    <w:rsid w:val="0021057B"/>
    <w:rsid w:val="002108B5"/>
    <w:rsid w:val="0021098E"/>
    <w:rsid w:val="00210B06"/>
    <w:rsid w:val="00210C71"/>
    <w:rsid w:val="00210EB9"/>
    <w:rsid w:val="00210ED3"/>
    <w:rsid w:val="00210F25"/>
    <w:rsid w:val="00210F81"/>
    <w:rsid w:val="002110A4"/>
    <w:rsid w:val="002111D4"/>
    <w:rsid w:val="002111D7"/>
    <w:rsid w:val="00211519"/>
    <w:rsid w:val="00211657"/>
    <w:rsid w:val="00211742"/>
    <w:rsid w:val="002118A0"/>
    <w:rsid w:val="00211DEF"/>
    <w:rsid w:val="00211EB8"/>
    <w:rsid w:val="00211FD4"/>
    <w:rsid w:val="002121AD"/>
    <w:rsid w:val="00212232"/>
    <w:rsid w:val="00212696"/>
    <w:rsid w:val="002126DD"/>
    <w:rsid w:val="00212AA6"/>
    <w:rsid w:val="00212C3F"/>
    <w:rsid w:val="00212E67"/>
    <w:rsid w:val="00212EF7"/>
    <w:rsid w:val="00212F0C"/>
    <w:rsid w:val="00212F2A"/>
    <w:rsid w:val="00212F46"/>
    <w:rsid w:val="00212F6C"/>
    <w:rsid w:val="00213188"/>
    <w:rsid w:val="002132E8"/>
    <w:rsid w:val="00213373"/>
    <w:rsid w:val="00213757"/>
    <w:rsid w:val="00213830"/>
    <w:rsid w:val="00213896"/>
    <w:rsid w:val="00213913"/>
    <w:rsid w:val="00213950"/>
    <w:rsid w:val="002139ED"/>
    <w:rsid w:val="00213AD9"/>
    <w:rsid w:val="00213B2B"/>
    <w:rsid w:val="00213C44"/>
    <w:rsid w:val="00213D0F"/>
    <w:rsid w:val="00213F29"/>
    <w:rsid w:val="0021414A"/>
    <w:rsid w:val="0021415C"/>
    <w:rsid w:val="00214609"/>
    <w:rsid w:val="002146BA"/>
    <w:rsid w:val="0021480C"/>
    <w:rsid w:val="0021483F"/>
    <w:rsid w:val="00214874"/>
    <w:rsid w:val="002148D7"/>
    <w:rsid w:val="002149C1"/>
    <w:rsid w:val="00214A95"/>
    <w:rsid w:val="00214C53"/>
    <w:rsid w:val="00214D27"/>
    <w:rsid w:val="0021513F"/>
    <w:rsid w:val="002153C5"/>
    <w:rsid w:val="002153E4"/>
    <w:rsid w:val="0021554A"/>
    <w:rsid w:val="00215724"/>
    <w:rsid w:val="00215A17"/>
    <w:rsid w:val="00215B54"/>
    <w:rsid w:val="00215DE8"/>
    <w:rsid w:val="00215F4E"/>
    <w:rsid w:val="00215F54"/>
    <w:rsid w:val="002160DA"/>
    <w:rsid w:val="00216167"/>
    <w:rsid w:val="00216226"/>
    <w:rsid w:val="0021642D"/>
    <w:rsid w:val="0021666E"/>
    <w:rsid w:val="002166C3"/>
    <w:rsid w:val="0021677B"/>
    <w:rsid w:val="002167E5"/>
    <w:rsid w:val="00216986"/>
    <w:rsid w:val="00216AE7"/>
    <w:rsid w:val="00217007"/>
    <w:rsid w:val="002170BB"/>
    <w:rsid w:val="00217238"/>
    <w:rsid w:val="0021741C"/>
    <w:rsid w:val="002177A7"/>
    <w:rsid w:val="00217824"/>
    <w:rsid w:val="002179B7"/>
    <w:rsid w:val="00217AA3"/>
    <w:rsid w:val="00217AB5"/>
    <w:rsid w:val="00217DF8"/>
    <w:rsid w:val="00217E2B"/>
    <w:rsid w:val="00217FEA"/>
    <w:rsid w:val="0022034D"/>
    <w:rsid w:val="00220371"/>
    <w:rsid w:val="0022052E"/>
    <w:rsid w:val="0022053E"/>
    <w:rsid w:val="002207D3"/>
    <w:rsid w:val="00220916"/>
    <w:rsid w:val="0022092F"/>
    <w:rsid w:val="00220BEC"/>
    <w:rsid w:val="00220D7B"/>
    <w:rsid w:val="00220DDD"/>
    <w:rsid w:val="00220F6F"/>
    <w:rsid w:val="002217AE"/>
    <w:rsid w:val="0022187F"/>
    <w:rsid w:val="00221DA1"/>
    <w:rsid w:val="002220C0"/>
    <w:rsid w:val="00222194"/>
    <w:rsid w:val="002223A7"/>
    <w:rsid w:val="002223E0"/>
    <w:rsid w:val="0022246E"/>
    <w:rsid w:val="002227B3"/>
    <w:rsid w:val="00222816"/>
    <w:rsid w:val="0022282D"/>
    <w:rsid w:val="00222F36"/>
    <w:rsid w:val="00222F5F"/>
    <w:rsid w:val="00222FF7"/>
    <w:rsid w:val="00223056"/>
    <w:rsid w:val="0022319E"/>
    <w:rsid w:val="0022338A"/>
    <w:rsid w:val="00223736"/>
    <w:rsid w:val="0022378D"/>
    <w:rsid w:val="00223798"/>
    <w:rsid w:val="0022385B"/>
    <w:rsid w:val="002239AC"/>
    <w:rsid w:val="00223BA1"/>
    <w:rsid w:val="00224382"/>
    <w:rsid w:val="002243FD"/>
    <w:rsid w:val="002247BF"/>
    <w:rsid w:val="00224BE3"/>
    <w:rsid w:val="00224DBB"/>
    <w:rsid w:val="00224DE3"/>
    <w:rsid w:val="00224F09"/>
    <w:rsid w:val="00225690"/>
    <w:rsid w:val="002257A1"/>
    <w:rsid w:val="002257AC"/>
    <w:rsid w:val="00225C0F"/>
    <w:rsid w:val="00225DD0"/>
    <w:rsid w:val="00225F61"/>
    <w:rsid w:val="0022649D"/>
    <w:rsid w:val="00226778"/>
    <w:rsid w:val="00226780"/>
    <w:rsid w:val="00226839"/>
    <w:rsid w:val="002269DA"/>
    <w:rsid w:val="00226D47"/>
    <w:rsid w:val="00226E7C"/>
    <w:rsid w:val="0022704B"/>
    <w:rsid w:val="0022711B"/>
    <w:rsid w:val="00227553"/>
    <w:rsid w:val="0022775E"/>
    <w:rsid w:val="00227794"/>
    <w:rsid w:val="002277FA"/>
    <w:rsid w:val="002279A9"/>
    <w:rsid w:val="002279D8"/>
    <w:rsid w:val="00227CD8"/>
    <w:rsid w:val="002301A2"/>
    <w:rsid w:val="002301BC"/>
    <w:rsid w:val="00230229"/>
    <w:rsid w:val="00230539"/>
    <w:rsid w:val="002305C5"/>
    <w:rsid w:val="002305D0"/>
    <w:rsid w:val="002305E9"/>
    <w:rsid w:val="00230790"/>
    <w:rsid w:val="002308C8"/>
    <w:rsid w:val="00231018"/>
    <w:rsid w:val="00231078"/>
    <w:rsid w:val="002310D8"/>
    <w:rsid w:val="002311DD"/>
    <w:rsid w:val="00231317"/>
    <w:rsid w:val="0023138A"/>
    <w:rsid w:val="0023151E"/>
    <w:rsid w:val="0023178F"/>
    <w:rsid w:val="0023197D"/>
    <w:rsid w:val="00231C8A"/>
    <w:rsid w:val="00231EB8"/>
    <w:rsid w:val="00231FAB"/>
    <w:rsid w:val="00232135"/>
    <w:rsid w:val="0023213C"/>
    <w:rsid w:val="00232142"/>
    <w:rsid w:val="00232166"/>
    <w:rsid w:val="0023251B"/>
    <w:rsid w:val="00232761"/>
    <w:rsid w:val="002327A7"/>
    <w:rsid w:val="002328E2"/>
    <w:rsid w:val="0023299B"/>
    <w:rsid w:val="00232B7C"/>
    <w:rsid w:val="00232D55"/>
    <w:rsid w:val="00232DC8"/>
    <w:rsid w:val="00232E22"/>
    <w:rsid w:val="00232ED9"/>
    <w:rsid w:val="00232F27"/>
    <w:rsid w:val="00232F88"/>
    <w:rsid w:val="00233072"/>
    <w:rsid w:val="0023327D"/>
    <w:rsid w:val="0023353E"/>
    <w:rsid w:val="00233737"/>
    <w:rsid w:val="002337C6"/>
    <w:rsid w:val="00233A78"/>
    <w:rsid w:val="00233BB7"/>
    <w:rsid w:val="00233D4A"/>
    <w:rsid w:val="00233E92"/>
    <w:rsid w:val="002345C0"/>
    <w:rsid w:val="002345FD"/>
    <w:rsid w:val="00234651"/>
    <w:rsid w:val="00234A0C"/>
    <w:rsid w:val="00234B5E"/>
    <w:rsid w:val="00234D72"/>
    <w:rsid w:val="00234DC0"/>
    <w:rsid w:val="00234E56"/>
    <w:rsid w:val="00234EB8"/>
    <w:rsid w:val="0023507F"/>
    <w:rsid w:val="00235163"/>
    <w:rsid w:val="002351BC"/>
    <w:rsid w:val="00235780"/>
    <w:rsid w:val="0023587E"/>
    <w:rsid w:val="002358CF"/>
    <w:rsid w:val="00235A5A"/>
    <w:rsid w:val="00235AB0"/>
    <w:rsid w:val="00235B2C"/>
    <w:rsid w:val="00235DD6"/>
    <w:rsid w:val="002360B9"/>
    <w:rsid w:val="0023617D"/>
    <w:rsid w:val="0023623F"/>
    <w:rsid w:val="002362E7"/>
    <w:rsid w:val="00236CF9"/>
    <w:rsid w:val="00236D0A"/>
    <w:rsid w:val="00236ECD"/>
    <w:rsid w:val="0023703A"/>
    <w:rsid w:val="00237257"/>
    <w:rsid w:val="002373EB"/>
    <w:rsid w:val="00237466"/>
    <w:rsid w:val="00237591"/>
    <w:rsid w:val="0023764A"/>
    <w:rsid w:val="00237872"/>
    <w:rsid w:val="00237B61"/>
    <w:rsid w:val="00237C43"/>
    <w:rsid w:val="00237E53"/>
    <w:rsid w:val="00237EB4"/>
    <w:rsid w:val="002400AF"/>
    <w:rsid w:val="00240250"/>
    <w:rsid w:val="0024027B"/>
    <w:rsid w:val="00240294"/>
    <w:rsid w:val="00240319"/>
    <w:rsid w:val="00240AC6"/>
    <w:rsid w:val="00240B63"/>
    <w:rsid w:val="00240C2F"/>
    <w:rsid w:val="0024112B"/>
    <w:rsid w:val="0024133D"/>
    <w:rsid w:val="0024144F"/>
    <w:rsid w:val="002418F9"/>
    <w:rsid w:val="00241955"/>
    <w:rsid w:val="00241A07"/>
    <w:rsid w:val="00241A78"/>
    <w:rsid w:val="00241B6B"/>
    <w:rsid w:val="00241C9E"/>
    <w:rsid w:val="00241E22"/>
    <w:rsid w:val="00241EFD"/>
    <w:rsid w:val="002420F5"/>
    <w:rsid w:val="002422EB"/>
    <w:rsid w:val="00242318"/>
    <w:rsid w:val="00242360"/>
    <w:rsid w:val="00242B38"/>
    <w:rsid w:val="00242E12"/>
    <w:rsid w:val="00242E2B"/>
    <w:rsid w:val="00242F61"/>
    <w:rsid w:val="002430BA"/>
    <w:rsid w:val="002430FD"/>
    <w:rsid w:val="0024364B"/>
    <w:rsid w:val="00243650"/>
    <w:rsid w:val="002437A2"/>
    <w:rsid w:val="002438EF"/>
    <w:rsid w:val="00243A35"/>
    <w:rsid w:val="00243B8F"/>
    <w:rsid w:val="00243C0A"/>
    <w:rsid w:val="00243C37"/>
    <w:rsid w:val="00243CA3"/>
    <w:rsid w:val="00243EAD"/>
    <w:rsid w:val="00243F67"/>
    <w:rsid w:val="00244037"/>
    <w:rsid w:val="0024403E"/>
    <w:rsid w:val="002440B0"/>
    <w:rsid w:val="002440FF"/>
    <w:rsid w:val="002442CE"/>
    <w:rsid w:val="0024466A"/>
    <w:rsid w:val="002447BA"/>
    <w:rsid w:val="00244861"/>
    <w:rsid w:val="00244B4F"/>
    <w:rsid w:val="00244E2A"/>
    <w:rsid w:val="00244E2C"/>
    <w:rsid w:val="00244E4A"/>
    <w:rsid w:val="00244EBF"/>
    <w:rsid w:val="00245196"/>
    <w:rsid w:val="002451F8"/>
    <w:rsid w:val="00245222"/>
    <w:rsid w:val="0024535C"/>
    <w:rsid w:val="0024571A"/>
    <w:rsid w:val="00245A68"/>
    <w:rsid w:val="00245D0D"/>
    <w:rsid w:val="00245D5E"/>
    <w:rsid w:val="00245E91"/>
    <w:rsid w:val="0024601F"/>
    <w:rsid w:val="002460C2"/>
    <w:rsid w:val="00246187"/>
    <w:rsid w:val="00246378"/>
    <w:rsid w:val="002463CD"/>
    <w:rsid w:val="002463E2"/>
    <w:rsid w:val="00246462"/>
    <w:rsid w:val="0024646C"/>
    <w:rsid w:val="00246486"/>
    <w:rsid w:val="00246498"/>
    <w:rsid w:val="002465A9"/>
    <w:rsid w:val="00246605"/>
    <w:rsid w:val="00246747"/>
    <w:rsid w:val="002468EB"/>
    <w:rsid w:val="00246913"/>
    <w:rsid w:val="002469B8"/>
    <w:rsid w:val="00246D83"/>
    <w:rsid w:val="00246EB5"/>
    <w:rsid w:val="00247102"/>
    <w:rsid w:val="00247150"/>
    <w:rsid w:val="0024727A"/>
    <w:rsid w:val="00247889"/>
    <w:rsid w:val="00247932"/>
    <w:rsid w:val="00247FE9"/>
    <w:rsid w:val="00250114"/>
    <w:rsid w:val="00250130"/>
    <w:rsid w:val="00250419"/>
    <w:rsid w:val="002504C2"/>
    <w:rsid w:val="00250538"/>
    <w:rsid w:val="00250559"/>
    <w:rsid w:val="00250634"/>
    <w:rsid w:val="002506E1"/>
    <w:rsid w:val="00250781"/>
    <w:rsid w:val="00250935"/>
    <w:rsid w:val="0025104A"/>
    <w:rsid w:val="00251071"/>
    <w:rsid w:val="0025124D"/>
    <w:rsid w:val="002513EF"/>
    <w:rsid w:val="002515E0"/>
    <w:rsid w:val="002515E6"/>
    <w:rsid w:val="00251635"/>
    <w:rsid w:val="00251DEB"/>
    <w:rsid w:val="00252087"/>
    <w:rsid w:val="0025228E"/>
    <w:rsid w:val="0025248D"/>
    <w:rsid w:val="0025260A"/>
    <w:rsid w:val="00252877"/>
    <w:rsid w:val="002528BD"/>
    <w:rsid w:val="00252C9D"/>
    <w:rsid w:val="00252E56"/>
    <w:rsid w:val="00252E79"/>
    <w:rsid w:val="00252FAC"/>
    <w:rsid w:val="0025330A"/>
    <w:rsid w:val="002533DA"/>
    <w:rsid w:val="002537DA"/>
    <w:rsid w:val="00253C26"/>
    <w:rsid w:val="00253C2E"/>
    <w:rsid w:val="00253C5F"/>
    <w:rsid w:val="00253E38"/>
    <w:rsid w:val="00254157"/>
    <w:rsid w:val="002542B7"/>
    <w:rsid w:val="002542D8"/>
    <w:rsid w:val="00254421"/>
    <w:rsid w:val="002544DE"/>
    <w:rsid w:val="00254658"/>
    <w:rsid w:val="002547EC"/>
    <w:rsid w:val="00254805"/>
    <w:rsid w:val="002548DA"/>
    <w:rsid w:val="002549D2"/>
    <w:rsid w:val="00254C16"/>
    <w:rsid w:val="002551A0"/>
    <w:rsid w:val="002551A1"/>
    <w:rsid w:val="0025538F"/>
    <w:rsid w:val="0025542B"/>
    <w:rsid w:val="00255964"/>
    <w:rsid w:val="002559DF"/>
    <w:rsid w:val="00255A37"/>
    <w:rsid w:val="00255B8D"/>
    <w:rsid w:val="00255C06"/>
    <w:rsid w:val="00255CEA"/>
    <w:rsid w:val="00255DA3"/>
    <w:rsid w:val="00256003"/>
    <w:rsid w:val="00256303"/>
    <w:rsid w:val="0025634C"/>
    <w:rsid w:val="0025648F"/>
    <w:rsid w:val="002568A9"/>
    <w:rsid w:val="00256B66"/>
    <w:rsid w:val="00256F1A"/>
    <w:rsid w:val="002570BC"/>
    <w:rsid w:val="00257244"/>
    <w:rsid w:val="002572D3"/>
    <w:rsid w:val="0025733B"/>
    <w:rsid w:val="002573F7"/>
    <w:rsid w:val="0025744D"/>
    <w:rsid w:val="0025745A"/>
    <w:rsid w:val="002576DF"/>
    <w:rsid w:val="002578AA"/>
    <w:rsid w:val="00257B2C"/>
    <w:rsid w:val="00257FB8"/>
    <w:rsid w:val="0026000D"/>
    <w:rsid w:val="002604E7"/>
    <w:rsid w:val="00260807"/>
    <w:rsid w:val="00260D7D"/>
    <w:rsid w:val="00260DD0"/>
    <w:rsid w:val="002613A2"/>
    <w:rsid w:val="00261496"/>
    <w:rsid w:val="002616A2"/>
    <w:rsid w:val="002618CF"/>
    <w:rsid w:val="00261964"/>
    <w:rsid w:val="00261A11"/>
    <w:rsid w:val="00261C69"/>
    <w:rsid w:val="00261CB1"/>
    <w:rsid w:val="00261CC7"/>
    <w:rsid w:val="002620AA"/>
    <w:rsid w:val="002621E9"/>
    <w:rsid w:val="002622E5"/>
    <w:rsid w:val="002624AB"/>
    <w:rsid w:val="00262730"/>
    <w:rsid w:val="00262827"/>
    <w:rsid w:val="00262836"/>
    <w:rsid w:val="00262902"/>
    <w:rsid w:val="00262AC8"/>
    <w:rsid w:val="00262D84"/>
    <w:rsid w:val="00262DA2"/>
    <w:rsid w:val="00262DB0"/>
    <w:rsid w:val="00262EE6"/>
    <w:rsid w:val="0026305A"/>
    <w:rsid w:val="00263565"/>
    <w:rsid w:val="00263586"/>
    <w:rsid w:val="0026385D"/>
    <w:rsid w:val="00264013"/>
    <w:rsid w:val="00264170"/>
    <w:rsid w:val="0026439B"/>
    <w:rsid w:val="002643B3"/>
    <w:rsid w:val="002643EB"/>
    <w:rsid w:val="00264426"/>
    <w:rsid w:val="00264438"/>
    <w:rsid w:val="002646DC"/>
    <w:rsid w:val="00264A12"/>
    <w:rsid w:val="00264A55"/>
    <w:rsid w:val="00264C0F"/>
    <w:rsid w:val="00264D0C"/>
    <w:rsid w:val="00264F53"/>
    <w:rsid w:val="00265106"/>
    <w:rsid w:val="00265178"/>
    <w:rsid w:val="002653C7"/>
    <w:rsid w:val="002656D6"/>
    <w:rsid w:val="0026575E"/>
    <w:rsid w:val="002658AB"/>
    <w:rsid w:val="00265914"/>
    <w:rsid w:val="00265A8A"/>
    <w:rsid w:val="00265CF6"/>
    <w:rsid w:val="00265EE6"/>
    <w:rsid w:val="00265FB4"/>
    <w:rsid w:val="0026612E"/>
    <w:rsid w:val="00266135"/>
    <w:rsid w:val="00266490"/>
    <w:rsid w:val="0026653E"/>
    <w:rsid w:val="002665B6"/>
    <w:rsid w:val="0026666A"/>
    <w:rsid w:val="00266AE0"/>
    <w:rsid w:val="00266DE1"/>
    <w:rsid w:val="00267184"/>
    <w:rsid w:val="00267214"/>
    <w:rsid w:val="00267323"/>
    <w:rsid w:val="00267368"/>
    <w:rsid w:val="00267397"/>
    <w:rsid w:val="0026763E"/>
    <w:rsid w:val="00267830"/>
    <w:rsid w:val="00267845"/>
    <w:rsid w:val="0026794B"/>
    <w:rsid w:val="00267A80"/>
    <w:rsid w:val="00267B59"/>
    <w:rsid w:val="00267B7B"/>
    <w:rsid w:val="00267BA9"/>
    <w:rsid w:val="00267C66"/>
    <w:rsid w:val="00267CCD"/>
    <w:rsid w:val="00267F2E"/>
    <w:rsid w:val="00267F56"/>
    <w:rsid w:val="0027024D"/>
    <w:rsid w:val="0027029E"/>
    <w:rsid w:val="00270514"/>
    <w:rsid w:val="0027061F"/>
    <w:rsid w:val="00270A4B"/>
    <w:rsid w:val="00270A57"/>
    <w:rsid w:val="00270AB0"/>
    <w:rsid w:val="00270B0E"/>
    <w:rsid w:val="00270F60"/>
    <w:rsid w:val="002711AB"/>
    <w:rsid w:val="002711DA"/>
    <w:rsid w:val="00271402"/>
    <w:rsid w:val="00271433"/>
    <w:rsid w:val="0027165F"/>
    <w:rsid w:val="002716DC"/>
    <w:rsid w:val="00271BC5"/>
    <w:rsid w:val="00271ED3"/>
    <w:rsid w:val="00271FD1"/>
    <w:rsid w:val="00272207"/>
    <w:rsid w:val="00272379"/>
    <w:rsid w:val="0027283B"/>
    <w:rsid w:val="00272A40"/>
    <w:rsid w:val="00272A9A"/>
    <w:rsid w:val="00272B26"/>
    <w:rsid w:val="00272BE5"/>
    <w:rsid w:val="00272CDD"/>
    <w:rsid w:val="00272CE2"/>
    <w:rsid w:val="00272DBF"/>
    <w:rsid w:val="00273135"/>
    <w:rsid w:val="00273178"/>
    <w:rsid w:val="00273A17"/>
    <w:rsid w:val="00273E33"/>
    <w:rsid w:val="00273FB3"/>
    <w:rsid w:val="002741D1"/>
    <w:rsid w:val="00274242"/>
    <w:rsid w:val="002742A8"/>
    <w:rsid w:val="0027433A"/>
    <w:rsid w:val="0027443A"/>
    <w:rsid w:val="00274540"/>
    <w:rsid w:val="002745A8"/>
    <w:rsid w:val="002747DF"/>
    <w:rsid w:val="00274868"/>
    <w:rsid w:val="00274919"/>
    <w:rsid w:val="00274B8A"/>
    <w:rsid w:val="00274C1D"/>
    <w:rsid w:val="00274CB6"/>
    <w:rsid w:val="00274D21"/>
    <w:rsid w:val="00274E40"/>
    <w:rsid w:val="00274F73"/>
    <w:rsid w:val="00275024"/>
    <w:rsid w:val="00275158"/>
    <w:rsid w:val="00275792"/>
    <w:rsid w:val="00275893"/>
    <w:rsid w:val="00275AC9"/>
    <w:rsid w:val="00275AD7"/>
    <w:rsid w:val="00275BDD"/>
    <w:rsid w:val="00275C53"/>
    <w:rsid w:val="00275D8A"/>
    <w:rsid w:val="002761B0"/>
    <w:rsid w:val="002763DC"/>
    <w:rsid w:val="002767AA"/>
    <w:rsid w:val="002769A7"/>
    <w:rsid w:val="00276A59"/>
    <w:rsid w:val="00276C8F"/>
    <w:rsid w:val="00276D9B"/>
    <w:rsid w:val="0027727E"/>
    <w:rsid w:val="00277596"/>
    <w:rsid w:val="002779C0"/>
    <w:rsid w:val="00277B86"/>
    <w:rsid w:val="00277BAC"/>
    <w:rsid w:val="00277E76"/>
    <w:rsid w:val="002801A8"/>
    <w:rsid w:val="002802B6"/>
    <w:rsid w:val="00280464"/>
    <w:rsid w:val="00280615"/>
    <w:rsid w:val="0028067B"/>
    <w:rsid w:val="002806DE"/>
    <w:rsid w:val="0028075E"/>
    <w:rsid w:val="002808E6"/>
    <w:rsid w:val="002809FA"/>
    <w:rsid w:val="002810AA"/>
    <w:rsid w:val="00281133"/>
    <w:rsid w:val="0028113E"/>
    <w:rsid w:val="0028116B"/>
    <w:rsid w:val="0028118F"/>
    <w:rsid w:val="0028132D"/>
    <w:rsid w:val="0028181F"/>
    <w:rsid w:val="00281874"/>
    <w:rsid w:val="00281FF1"/>
    <w:rsid w:val="00282042"/>
    <w:rsid w:val="00282152"/>
    <w:rsid w:val="00282310"/>
    <w:rsid w:val="002827ED"/>
    <w:rsid w:val="00282A55"/>
    <w:rsid w:val="00282D53"/>
    <w:rsid w:val="00282DD2"/>
    <w:rsid w:val="00282E55"/>
    <w:rsid w:val="00282F76"/>
    <w:rsid w:val="00283284"/>
    <w:rsid w:val="002833D6"/>
    <w:rsid w:val="00283E1B"/>
    <w:rsid w:val="00283E29"/>
    <w:rsid w:val="00283E3E"/>
    <w:rsid w:val="002841DD"/>
    <w:rsid w:val="00284363"/>
    <w:rsid w:val="002843B3"/>
    <w:rsid w:val="002844AE"/>
    <w:rsid w:val="002844F5"/>
    <w:rsid w:val="00284823"/>
    <w:rsid w:val="0028491F"/>
    <w:rsid w:val="00284A7A"/>
    <w:rsid w:val="00284BE6"/>
    <w:rsid w:val="00284CC2"/>
    <w:rsid w:val="00284DA6"/>
    <w:rsid w:val="00284E7E"/>
    <w:rsid w:val="00284FB7"/>
    <w:rsid w:val="002852D3"/>
    <w:rsid w:val="00285742"/>
    <w:rsid w:val="0028580C"/>
    <w:rsid w:val="00285995"/>
    <w:rsid w:val="002859C3"/>
    <w:rsid w:val="002859CA"/>
    <w:rsid w:val="00285A24"/>
    <w:rsid w:val="00285E54"/>
    <w:rsid w:val="00285EA3"/>
    <w:rsid w:val="002860C8"/>
    <w:rsid w:val="002861A0"/>
    <w:rsid w:val="00286255"/>
    <w:rsid w:val="00286303"/>
    <w:rsid w:val="0028640C"/>
    <w:rsid w:val="002868FF"/>
    <w:rsid w:val="00286AEE"/>
    <w:rsid w:val="00286B01"/>
    <w:rsid w:val="00286C50"/>
    <w:rsid w:val="00286C97"/>
    <w:rsid w:val="00286EB9"/>
    <w:rsid w:val="00286F7B"/>
    <w:rsid w:val="0028700E"/>
    <w:rsid w:val="002874BB"/>
    <w:rsid w:val="00287557"/>
    <w:rsid w:val="002875E6"/>
    <w:rsid w:val="002876BC"/>
    <w:rsid w:val="0028799D"/>
    <w:rsid w:val="00287A85"/>
    <w:rsid w:val="00287B5E"/>
    <w:rsid w:val="00287BB7"/>
    <w:rsid w:val="00287D3B"/>
    <w:rsid w:val="00287D61"/>
    <w:rsid w:val="00287DFA"/>
    <w:rsid w:val="00287E42"/>
    <w:rsid w:val="00287EBB"/>
    <w:rsid w:val="00287EEE"/>
    <w:rsid w:val="00287FED"/>
    <w:rsid w:val="002901A5"/>
    <w:rsid w:val="00290236"/>
    <w:rsid w:val="00290331"/>
    <w:rsid w:val="002903D0"/>
    <w:rsid w:val="00290425"/>
    <w:rsid w:val="00290605"/>
    <w:rsid w:val="002908C9"/>
    <w:rsid w:val="00290A42"/>
    <w:rsid w:val="00291108"/>
    <w:rsid w:val="0029115A"/>
    <w:rsid w:val="00291219"/>
    <w:rsid w:val="00291294"/>
    <w:rsid w:val="002913AB"/>
    <w:rsid w:val="00291564"/>
    <w:rsid w:val="0029171D"/>
    <w:rsid w:val="00291AA9"/>
    <w:rsid w:val="00291F3E"/>
    <w:rsid w:val="0029209C"/>
    <w:rsid w:val="002920E6"/>
    <w:rsid w:val="002921E7"/>
    <w:rsid w:val="00292364"/>
    <w:rsid w:val="002925F5"/>
    <w:rsid w:val="00292696"/>
    <w:rsid w:val="002926EE"/>
    <w:rsid w:val="0029274E"/>
    <w:rsid w:val="002929DC"/>
    <w:rsid w:val="00292B62"/>
    <w:rsid w:val="00292B65"/>
    <w:rsid w:val="00292BAE"/>
    <w:rsid w:val="00292C72"/>
    <w:rsid w:val="00292CAA"/>
    <w:rsid w:val="00292D0E"/>
    <w:rsid w:val="00292EC5"/>
    <w:rsid w:val="00293009"/>
    <w:rsid w:val="00293151"/>
    <w:rsid w:val="002932C1"/>
    <w:rsid w:val="002934A8"/>
    <w:rsid w:val="002936EB"/>
    <w:rsid w:val="0029388F"/>
    <w:rsid w:val="002939AB"/>
    <w:rsid w:val="00293E9C"/>
    <w:rsid w:val="00293EFD"/>
    <w:rsid w:val="00293FC5"/>
    <w:rsid w:val="0029435F"/>
    <w:rsid w:val="002944CB"/>
    <w:rsid w:val="002947A7"/>
    <w:rsid w:val="00294933"/>
    <w:rsid w:val="00294A63"/>
    <w:rsid w:val="00294A8F"/>
    <w:rsid w:val="00294AC7"/>
    <w:rsid w:val="00294B53"/>
    <w:rsid w:val="00294C38"/>
    <w:rsid w:val="00294C9C"/>
    <w:rsid w:val="00294CF1"/>
    <w:rsid w:val="00294D8F"/>
    <w:rsid w:val="00294E0B"/>
    <w:rsid w:val="00294F5C"/>
    <w:rsid w:val="00295101"/>
    <w:rsid w:val="00295120"/>
    <w:rsid w:val="002951E5"/>
    <w:rsid w:val="00295589"/>
    <w:rsid w:val="002955DF"/>
    <w:rsid w:val="0029565C"/>
    <w:rsid w:val="00295725"/>
    <w:rsid w:val="002958AA"/>
    <w:rsid w:val="002958CF"/>
    <w:rsid w:val="0029592F"/>
    <w:rsid w:val="00295960"/>
    <w:rsid w:val="002959BE"/>
    <w:rsid w:val="00295B3E"/>
    <w:rsid w:val="00295C5D"/>
    <w:rsid w:val="00295C72"/>
    <w:rsid w:val="00295E2C"/>
    <w:rsid w:val="00296007"/>
    <w:rsid w:val="00296096"/>
    <w:rsid w:val="00296383"/>
    <w:rsid w:val="00296A62"/>
    <w:rsid w:val="00296EB0"/>
    <w:rsid w:val="00296FB6"/>
    <w:rsid w:val="0029708E"/>
    <w:rsid w:val="002971F0"/>
    <w:rsid w:val="0029732B"/>
    <w:rsid w:val="00297345"/>
    <w:rsid w:val="00297838"/>
    <w:rsid w:val="0029795C"/>
    <w:rsid w:val="00297B58"/>
    <w:rsid w:val="00297C52"/>
    <w:rsid w:val="00297C7A"/>
    <w:rsid w:val="00297E3A"/>
    <w:rsid w:val="00297E63"/>
    <w:rsid w:val="00297EA6"/>
    <w:rsid w:val="00297EF7"/>
    <w:rsid w:val="00297EFF"/>
    <w:rsid w:val="0029A827"/>
    <w:rsid w:val="002A02C4"/>
    <w:rsid w:val="002A0326"/>
    <w:rsid w:val="002A03BB"/>
    <w:rsid w:val="002A04F3"/>
    <w:rsid w:val="002A0621"/>
    <w:rsid w:val="002A0749"/>
    <w:rsid w:val="002A0972"/>
    <w:rsid w:val="002A09BE"/>
    <w:rsid w:val="002A09E6"/>
    <w:rsid w:val="002A0B82"/>
    <w:rsid w:val="002A0BEB"/>
    <w:rsid w:val="002A0CFE"/>
    <w:rsid w:val="002A0E49"/>
    <w:rsid w:val="002A0E73"/>
    <w:rsid w:val="002A1051"/>
    <w:rsid w:val="002A1239"/>
    <w:rsid w:val="002A12F2"/>
    <w:rsid w:val="002A134D"/>
    <w:rsid w:val="002A13E4"/>
    <w:rsid w:val="002A1696"/>
    <w:rsid w:val="002A1758"/>
    <w:rsid w:val="002A17E7"/>
    <w:rsid w:val="002A1821"/>
    <w:rsid w:val="002A1AAF"/>
    <w:rsid w:val="002A1CB9"/>
    <w:rsid w:val="002A1E96"/>
    <w:rsid w:val="002A1FAF"/>
    <w:rsid w:val="002A2094"/>
    <w:rsid w:val="002A210F"/>
    <w:rsid w:val="002A2138"/>
    <w:rsid w:val="002A213F"/>
    <w:rsid w:val="002A21FE"/>
    <w:rsid w:val="002A22A2"/>
    <w:rsid w:val="002A22F5"/>
    <w:rsid w:val="002A2327"/>
    <w:rsid w:val="002A242E"/>
    <w:rsid w:val="002A2513"/>
    <w:rsid w:val="002A265C"/>
    <w:rsid w:val="002A26ED"/>
    <w:rsid w:val="002A291F"/>
    <w:rsid w:val="002A2B65"/>
    <w:rsid w:val="002A2C6F"/>
    <w:rsid w:val="002A2DCB"/>
    <w:rsid w:val="002A2E5F"/>
    <w:rsid w:val="002A2F89"/>
    <w:rsid w:val="002A3180"/>
    <w:rsid w:val="002A3458"/>
    <w:rsid w:val="002A3514"/>
    <w:rsid w:val="002A353D"/>
    <w:rsid w:val="002A38D7"/>
    <w:rsid w:val="002A3D1A"/>
    <w:rsid w:val="002A3DA9"/>
    <w:rsid w:val="002A3DCE"/>
    <w:rsid w:val="002A3E0E"/>
    <w:rsid w:val="002A40B3"/>
    <w:rsid w:val="002A45E0"/>
    <w:rsid w:val="002A465F"/>
    <w:rsid w:val="002A46ED"/>
    <w:rsid w:val="002A4802"/>
    <w:rsid w:val="002A4936"/>
    <w:rsid w:val="002A4A32"/>
    <w:rsid w:val="002A4BEF"/>
    <w:rsid w:val="002A4BF8"/>
    <w:rsid w:val="002A4EB2"/>
    <w:rsid w:val="002A4FAC"/>
    <w:rsid w:val="002A4FAF"/>
    <w:rsid w:val="002A5008"/>
    <w:rsid w:val="002A5180"/>
    <w:rsid w:val="002A5330"/>
    <w:rsid w:val="002A5725"/>
    <w:rsid w:val="002A59E8"/>
    <w:rsid w:val="002A5B4D"/>
    <w:rsid w:val="002A5C8B"/>
    <w:rsid w:val="002A5DA9"/>
    <w:rsid w:val="002A624D"/>
    <w:rsid w:val="002A6397"/>
    <w:rsid w:val="002A6438"/>
    <w:rsid w:val="002A64B5"/>
    <w:rsid w:val="002A685C"/>
    <w:rsid w:val="002A6908"/>
    <w:rsid w:val="002A6A30"/>
    <w:rsid w:val="002A76DE"/>
    <w:rsid w:val="002A77A3"/>
    <w:rsid w:val="002A7ADE"/>
    <w:rsid w:val="002A7BF6"/>
    <w:rsid w:val="002A7CC4"/>
    <w:rsid w:val="002A7E11"/>
    <w:rsid w:val="002B021B"/>
    <w:rsid w:val="002B035A"/>
    <w:rsid w:val="002B0506"/>
    <w:rsid w:val="002B05B0"/>
    <w:rsid w:val="002B06F1"/>
    <w:rsid w:val="002B07F0"/>
    <w:rsid w:val="002B07F2"/>
    <w:rsid w:val="002B08C5"/>
    <w:rsid w:val="002B0B19"/>
    <w:rsid w:val="002B0B5D"/>
    <w:rsid w:val="002B0DB2"/>
    <w:rsid w:val="002B0F4B"/>
    <w:rsid w:val="002B11A6"/>
    <w:rsid w:val="002B14F8"/>
    <w:rsid w:val="002B1642"/>
    <w:rsid w:val="002B183C"/>
    <w:rsid w:val="002B188C"/>
    <w:rsid w:val="002B1A7E"/>
    <w:rsid w:val="002B1C8F"/>
    <w:rsid w:val="002B1F6F"/>
    <w:rsid w:val="002B20B2"/>
    <w:rsid w:val="002B20D1"/>
    <w:rsid w:val="002B214E"/>
    <w:rsid w:val="002B2272"/>
    <w:rsid w:val="002B2489"/>
    <w:rsid w:val="002B27FD"/>
    <w:rsid w:val="002B286B"/>
    <w:rsid w:val="002B2A48"/>
    <w:rsid w:val="002B2CD1"/>
    <w:rsid w:val="002B2CEF"/>
    <w:rsid w:val="002B2DF9"/>
    <w:rsid w:val="002B2EC7"/>
    <w:rsid w:val="002B2EF6"/>
    <w:rsid w:val="002B3108"/>
    <w:rsid w:val="002B338F"/>
    <w:rsid w:val="002B34BC"/>
    <w:rsid w:val="002B357C"/>
    <w:rsid w:val="002B3581"/>
    <w:rsid w:val="002B35EE"/>
    <w:rsid w:val="002B39D1"/>
    <w:rsid w:val="002B3B29"/>
    <w:rsid w:val="002B3CA2"/>
    <w:rsid w:val="002B3D60"/>
    <w:rsid w:val="002B3E3A"/>
    <w:rsid w:val="002B3E99"/>
    <w:rsid w:val="002B3EDE"/>
    <w:rsid w:val="002B415F"/>
    <w:rsid w:val="002B4286"/>
    <w:rsid w:val="002B44C2"/>
    <w:rsid w:val="002B4529"/>
    <w:rsid w:val="002B46E9"/>
    <w:rsid w:val="002B4749"/>
    <w:rsid w:val="002B479E"/>
    <w:rsid w:val="002B49C4"/>
    <w:rsid w:val="002B4F14"/>
    <w:rsid w:val="002B5261"/>
    <w:rsid w:val="002B5467"/>
    <w:rsid w:val="002B5946"/>
    <w:rsid w:val="002B5A9C"/>
    <w:rsid w:val="002B5AC9"/>
    <w:rsid w:val="002B5C3A"/>
    <w:rsid w:val="002B5D3C"/>
    <w:rsid w:val="002B5F21"/>
    <w:rsid w:val="002B5F4F"/>
    <w:rsid w:val="002B611B"/>
    <w:rsid w:val="002B620F"/>
    <w:rsid w:val="002B6263"/>
    <w:rsid w:val="002B6B8B"/>
    <w:rsid w:val="002B6E3B"/>
    <w:rsid w:val="002B6F4E"/>
    <w:rsid w:val="002B6F68"/>
    <w:rsid w:val="002B6FB0"/>
    <w:rsid w:val="002B6FF3"/>
    <w:rsid w:val="002B701D"/>
    <w:rsid w:val="002B7441"/>
    <w:rsid w:val="002B747B"/>
    <w:rsid w:val="002B74B0"/>
    <w:rsid w:val="002B7555"/>
    <w:rsid w:val="002B762E"/>
    <w:rsid w:val="002B776A"/>
    <w:rsid w:val="002B77A1"/>
    <w:rsid w:val="002B77AC"/>
    <w:rsid w:val="002B782E"/>
    <w:rsid w:val="002B787F"/>
    <w:rsid w:val="002B7FDF"/>
    <w:rsid w:val="002C00F7"/>
    <w:rsid w:val="002C013F"/>
    <w:rsid w:val="002C04F4"/>
    <w:rsid w:val="002C0740"/>
    <w:rsid w:val="002C0761"/>
    <w:rsid w:val="002C0768"/>
    <w:rsid w:val="002C07CB"/>
    <w:rsid w:val="002C0825"/>
    <w:rsid w:val="002C0A99"/>
    <w:rsid w:val="002C0BFA"/>
    <w:rsid w:val="002C0F27"/>
    <w:rsid w:val="002C0F73"/>
    <w:rsid w:val="002C0FB2"/>
    <w:rsid w:val="002C1367"/>
    <w:rsid w:val="002C17CB"/>
    <w:rsid w:val="002C1A9D"/>
    <w:rsid w:val="002C1C7A"/>
    <w:rsid w:val="002C1EA8"/>
    <w:rsid w:val="002C1FBC"/>
    <w:rsid w:val="002C217B"/>
    <w:rsid w:val="002C2603"/>
    <w:rsid w:val="002C2774"/>
    <w:rsid w:val="002C29EA"/>
    <w:rsid w:val="002C2C8C"/>
    <w:rsid w:val="002C2CD3"/>
    <w:rsid w:val="002C2CF2"/>
    <w:rsid w:val="002C2D46"/>
    <w:rsid w:val="002C2F17"/>
    <w:rsid w:val="002C31C5"/>
    <w:rsid w:val="002C3463"/>
    <w:rsid w:val="002C348B"/>
    <w:rsid w:val="002C3603"/>
    <w:rsid w:val="002C37E6"/>
    <w:rsid w:val="002C3908"/>
    <w:rsid w:val="002C3943"/>
    <w:rsid w:val="002C396D"/>
    <w:rsid w:val="002C3B5D"/>
    <w:rsid w:val="002C3E60"/>
    <w:rsid w:val="002C41AD"/>
    <w:rsid w:val="002C434F"/>
    <w:rsid w:val="002C43CA"/>
    <w:rsid w:val="002C4591"/>
    <w:rsid w:val="002C469A"/>
    <w:rsid w:val="002C48BB"/>
    <w:rsid w:val="002C4A4B"/>
    <w:rsid w:val="002C4BEF"/>
    <w:rsid w:val="002C4CD5"/>
    <w:rsid w:val="002C4F82"/>
    <w:rsid w:val="002C511E"/>
    <w:rsid w:val="002C54A8"/>
    <w:rsid w:val="002C5626"/>
    <w:rsid w:val="002C5946"/>
    <w:rsid w:val="002C598F"/>
    <w:rsid w:val="002C5B32"/>
    <w:rsid w:val="002C5C13"/>
    <w:rsid w:val="002C5D72"/>
    <w:rsid w:val="002C5F2F"/>
    <w:rsid w:val="002C6050"/>
    <w:rsid w:val="002C63B5"/>
    <w:rsid w:val="002C655A"/>
    <w:rsid w:val="002C6688"/>
    <w:rsid w:val="002C6692"/>
    <w:rsid w:val="002C6712"/>
    <w:rsid w:val="002C6773"/>
    <w:rsid w:val="002C68D8"/>
    <w:rsid w:val="002C6CB6"/>
    <w:rsid w:val="002C6FC2"/>
    <w:rsid w:val="002C7016"/>
    <w:rsid w:val="002C72F7"/>
    <w:rsid w:val="002C7507"/>
    <w:rsid w:val="002C76AC"/>
    <w:rsid w:val="002C778C"/>
    <w:rsid w:val="002C7972"/>
    <w:rsid w:val="002C79DF"/>
    <w:rsid w:val="002C7AEC"/>
    <w:rsid w:val="002C7C56"/>
    <w:rsid w:val="002C7CC8"/>
    <w:rsid w:val="002C7CDD"/>
    <w:rsid w:val="002C7D97"/>
    <w:rsid w:val="002D004F"/>
    <w:rsid w:val="002D0342"/>
    <w:rsid w:val="002D03AD"/>
    <w:rsid w:val="002D072A"/>
    <w:rsid w:val="002D0B39"/>
    <w:rsid w:val="002D11F6"/>
    <w:rsid w:val="002D11FC"/>
    <w:rsid w:val="002D1349"/>
    <w:rsid w:val="002D1459"/>
    <w:rsid w:val="002D18DD"/>
    <w:rsid w:val="002D1B42"/>
    <w:rsid w:val="002D1B4D"/>
    <w:rsid w:val="002D1E5D"/>
    <w:rsid w:val="002D1F9C"/>
    <w:rsid w:val="002D20A2"/>
    <w:rsid w:val="002D2153"/>
    <w:rsid w:val="002D22F1"/>
    <w:rsid w:val="002D2514"/>
    <w:rsid w:val="002D267A"/>
    <w:rsid w:val="002D27CA"/>
    <w:rsid w:val="002D2866"/>
    <w:rsid w:val="002D2ACE"/>
    <w:rsid w:val="002D2B28"/>
    <w:rsid w:val="002D2B2C"/>
    <w:rsid w:val="002D2BB0"/>
    <w:rsid w:val="002D2CBB"/>
    <w:rsid w:val="002D2E1E"/>
    <w:rsid w:val="002D3244"/>
    <w:rsid w:val="002D326E"/>
    <w:rsid w:val="002D33C2"/>
    <w:rsid w:val="002D3656"/>
    <w:rsid w:val="002D3780"/>
    <w:rsid w:val="002D37BC"/>
    <w:rsid w:val="002D382F"/>
    <w:rsid w:val="002D3AF1"/>
    <w:rsid w:val="002D3B15"/>
    <w:rsid w:val="002D3EF1"/>
    <w:rsid w:val="002D3FE5"/>
    <w:rsid w:val="002D3FEE"/>
    <w:rsid w:val="002D406D"/>
    <w:rsid w:val="002D4175"/>
    <w:rsid w:val="002D43A5"/>
    <w:rsid w:val="002D4560"/>
    <w:rsid w:val="002D4825"/>
    <w:rsid w:val="002D48E8"/>
    <w:rsid w:val="002D4912"/>
    <w:rsid w:val="002D4A46"/>
    <w:rsid w:val="002D4C1A"/>
    <w:rsid w:val="002D4F47"/>
    <w:rsid w:val="002D5060"/>
    <w:rsid w:val="002D511C"/>
    <w:rsid w:val="002D556D"/>
    <w:rsid w:val="002D58B3"/>
    <w:rsid w:val="002D596D"/>
    <w:rsid w:val="002D5BAB"/>
    <w:rsid w:val="002D5EC9"/>
    <w:rsid w:val="002D5ED5"/>
    <w:rsid w:val="002D60DB"/>
    <w:rsid w:val="002D6154"/>
    <w:rsid w:val="002D61D2"/>
    <w:rsid w:val="002D6206"/>
    <w:rsid w:val="002D6277"/>
    <w:rsid w:val="002D64FE"/>
    <w:rsid w:val="002D66A1"/>
    <w:rsid w:val="002D67D8"/>
    <w:rsid w:val="002D6933"/>
    <w:rsid w:val="002D69BF"/>
    <w:rsid w:val="002D6A06"/>
    <w:rsid w:val="002D6A67"/>
    <w:rsid w:val="002D6B03"/>
    <w:rsid w:val="002D6C4C"/>
    <w:rsid w:val="002D6D86"/>
    <w:rsid w:val="002D6DFA"/>
    <w:rsid w:val="002D6FB0"/>
    <w:rsid w:val="002D706C"/>
    <w:rsid w:val="002D72FD"/>
    <w:rsid w:val="002D76C4"/>
    <w:rsid w:val="002D77F9"/>
    <w:rsid w:val="002E0207"/>
    <w:rsid w:val="002E0476"/>
    <w:rsid w:val="002E0483"/>
    <w:rsid w:val="002E07B3"/>
    <w:rsid w:val="002E0AC2"/>
    <w:rsid w:val="002E0BD3"/>
    <w:rsid w:val="002E0D7B"/>
    <w:rsid w:val="002E0DF6"/>
    <w:rsid w:val="002E0EAE"/>
    <w:rsid w:val="002E10D3"/>
    <w:rsid w:val="002E1104"/>
    <w:rsid w:val="002E126A"/>
    <w:rsid w:val="002E1295"/>
    <w:rsid w:val="002E1468"/>
    <w:rsid w:val="002E15AA"/>
    <w:rsid w:val="002E1891"/>
    <w:rsid w:val="002E1940"/>
    <w:rsid w:val="002E1AE7"/>
    <w:rsid w:val="002E1C6A"/>
    <w:rsid w:val="002E1E06"/>
    <w:rsid w:val="002E1E9C"/>
    <w:rsid w:val="002E1FC6"/>
    <w:rsid w:val="002E2123"/>
    <w:rsid w:val="002E2157"/>
    <w:rsid w:val="002E21C0"/>
    <w:rsid w:val="002E2256"/>
    <w:rsid w:val="002E2304"/>
    <w:rsid w:val="002E238E"/>
    <w:rsid w:val="002E27C5"/>
    <w:rsid w:val="002E291B"/>
    <w:rsid w:val="002E2AA4"/>
    <w:rsid w:val="002E2D32"/>
    <w:rsid w:val="002E30F7"/>
    <w:rsid w:val="002E321E"/>
    <w:rsid w:val="002E3542"/>
    <w:rsid w:val="002E3729"/>
    <w:rsid w:val="002E3876"/>
    <w:rsid w:val="002E396A"/>
    <w:rsid w:val="002E39D9"/>
    <w:rsid w:val="002E3A79"/>
    <w:rsid w:val="002E3AAD"/>
    <w:rsid w:val="002E3B58"/>
    <w:rsid w:val="002E3C22"/>
    <w:rsid w:val="002E3CBB"/>
    <w:rsid w:val="002E3D36"/>
    <w:rsid w:val="002E3D4D"/>
    <w:rsid w:val="002E3E95"/>
    <w:rsid w:val="002E3FD5"/>
    <w:rsid w:val="002E43E8"/>
    <w:rsid w:val="002E450F"/>
    <w:rsid w:val="002E4550"/>
    <w:rsid w:val="002E455A"/>
    <w:rsid w:val="002E4957"/>
    <w:rsid w:val="002E496C"/>
    <w:rsid w:val="002E4A6D"/>
    <w:rsid w:val="002E4B66"/>
    <w:rsid w:val="002E4F6F"/>
    <w:rsid w:val="002E5071"/>
    <w:rsid w:val="002E51AE"/>
    <w:rsid w:val="002E51BB"/>
    <w:rsid w:val="002E5400"/>
    <w:rsid w:val="002E5432"/>
    <w:rsid w:val="002E5648"/>
    <w:rsid w:val="002E5B5B"/>
    <w:rsid w:val="002E5CBC"/>
    <w:rsid w:val="002E5DD9"/>
    <w:rsid w:val="002E5F35"/>
    <w:rsid w:val="002E60C2"/>
    <w:rsid w:val="002E6110"/>
    <w:rsid w:val="002E6176"/>
    <w:rsid w:val="002E6180"/>
    <w:rsid w:val="002E6379"/>
    <w:rsid w:val="002E6415"/>
    <w:rsid w:val="002E643C"/>
    <w:rsid w:val="002E6509"/>
    <w:rsid w:val="002E6533"/>
    <w:rsid w:val="002E66B6"/>
    <w:rsid w:val="002E670D"/>
    <w:rsid w:val="002E6922"/>
    <w:rsid w:val="002E6D82"/>
    <w:rsid w:val="002E6DAA"/>
    <w:rsid w:val="002E6DD9"/>
    <w:rsid w:val="002E77E2"/>
    <w:rsid w:val="002E7815"/>
    <w:rsid w:val="002E7A18"/>
    <w:rsid w:val="002E7B39"/>
    <w:rsid w:val="002E7CE7"/>
    <w:rsid w:val="002E7DA2"/>
    <w:rsid w:val="002E7FF5"/>
    <w:rsid w:val="002F0043"/>
    <w:rsid w:val="002F02EC"/>
    <w:rsid w:val="002F0963"/>
    <w:rsid w:val="002F09B6"/>
    <w:rsid w:val="002F0B09"/>
    <w:rsid w:val="002F0E39"/>
    <w:rsid w:val="002F0E94"/>
    <w:rsid w:val="002F13ED"/>
    <w:rsid w:val="002F1699"/>
    <w:rsid w:val="002F17E6"/>
    <w:rsid w:val="002F1818"/>
    <w:rsid w:val="002F1893"/>
    <w:rsid w:val="002F196B"/>
    <w:rsid w:val="002F19E9"/>
    <w:rsid w:val="002F1B00"/>
    <w:rsid w:val="002F1C03"/>
    <w:rsid w:val="002F1E07"/>
    <w:rsid w:val="002F1E8D"/>
    <w:rsid w:val="002F2179"/>
    <w:rsid w:val="002F2181"/>
    <w:rsid w:val="002F226B"/>
    <w:rsid w:val="002F272A"/>
    <w:rsid w:val="002F2748"/>
    <w:rsid w:val="002F27C9"/>
    <w:rsid w:val="002F28BB"/>
    <w:rsid w:val="002F28E4"/>
    <w:rsid w:val="002F2C98"/>
    <w:rsid w:val="002F2D4C"/>
    <w:rsid w:val="002F2DF7"/>
    <w:rsid w:val="002F3464"/>
    <w:rsid w:val="002F352A"/>
    <w:rsid w:val="002F381C"/>
    <w:rsid w:val="002F3B82"/>
    <w:rsid w:val="002F3D22"/>
    <w:rsid w:val="002F3DA1"/>
    <w:rsid w:val="002F3E15"/>
    <w:rsid w:val="002F3EC8"/>
    <w:rsid w:val="002F422E"/>
    <w:rsid w:val="002F42B6"/>
    <w:rsid w:val="002F430A"/>
    <w:rsid w:val="002F43D7"/>
    <w:rsid w:val="002F44E9"/>
    <w:rsid w:val="002F45E6"/>
    <w:rsid w:val="002F466F"/>
    <w:rsid w:val="002F4BF9"/>
    <w:rsid w:val="002F4C07"/>
    <w:rsid w:val="002F4E8D"/>
    <w:rsid w:val="002F4FF1"/>
    <w:rsid w:val="002F5282"/>
    <w:rsid w:val="002F52D5"/>
    <w:rsid w:val="002F53B2"/>
    <w:rsid w:val="002F53F0"/>
    <w:rsid w:val="002F5605"/>
    <w:rsid w:val="002F5635"/>
    <w:rsid w:val="002F582D"/>
    <w:rsid w:val="002F5855"/>
    <w:rsid w:val="002F5A20"/>
    <w:rsid w:val="002F5CC0"/>
    <w:rsid w:val="002F5E66"/>
    <w:rsid w:val="002F5F86"/>
    <w:rsid w:val="002F6120"/>
    <w:rsid w:val="002F6135"/>
    <w:rsid w:val="002F6246"/>
    <w:rsid w:val="002F6272"/>
    <w:rsid w:val="002F62E5"/>
    <w:rsid w:val="002F6575"/>
    <w:rsid w:val="002F66DE"/>
    <w:rsid w:val="002F6A7A"/>
    <w:rsid w:val="002F6B60"/>
    <w:rsid w:val="002F6FAD"/>
    <w:rsid w:val="002F7018"/>
    <w:rsid w:val="002F7049"/>
    <w:rsid w:val="002F7263"/>
    <w:rsid w:val="002F7332"/>
    <w:rsid w:val="002F7605"/>
    <w:rsid w:val="002F78E5"/>
    <w:rsid w:val="002F7C40"/>
    <w:rsid w:val="002F7CA3"/>
    <w:rsid w:val="002F7CDA"/>
    <w:rsid w:val="002F7DD6"/>
    <w:rsid w:val="00300571"/>
    <w:rsid w:val="003005B0"/>
    <w:rsid w:val="00300627"/>
    <w:rsid w:val="0030076F"/>
    <w:rsid w:val="003009AB"/>
    <w:rsid w:val="00300A90"/>
    <w:rsid w:val="00300CF2"/>
    <w:rsid w:val="00301024"/>
    <w:rsid w:val="00301214"/>
    <w:rsid w:val="0030142D"/>
    <w:rsid w:val="003014B5"/>
    <w:rsid w:val="003014D6"/>
    <w:rsid w:val="00301A88"/>
    <w:rsid w:val="003021CF"/>
    <w:rsid w:val="003025A6"/>
    <w:rsid w:val="00302936"/>
    <w:rsid w:val="0030299A"/>
    <w:rsid w:val="00302C8B"/>
    <w:rsid w:val="00302DED"/>
    <w:rsid w:val="00302E12"/>
    <w:rsid w:val="0030317E"/>
    <w:rsid w:val="003031E7"/>
    <w:rsid w:val="003032F4"/>
    <w:rsid w:val="003032FF"/>
    <w:rsid w:val="00303369"/>
    <w:rsid w:val="0030360A"/>
    <w:rsid w:val="00303A19"/>
    <w:rsid w:val="00303C20"/>
    <w:rsid w:val="00303F6F"/>
    <w:rsid w:val="00304002"/>
    <w:rsid w:val="003040AD"/>
    <w:rsid w:val="003042E3"/>
    <w:rsid w:val="00304379"/>
    <w:rsid w:val="003049E6"/>
    <w:rsid w:val="00304A90"/>
    <w:rsid w:val="00304B76"/>
    <w:rsid w:val="00304C45"/>
    <w:rsid w:val="00304D30"/>
    <w:rsid w:val="00304D72"/>
    <w:rsid w:val="00304DFB"/>
    <w:rsid w:val="00304E80"/>
    <w:rsid w:val="00304ECC"/>
    <w:rsid w:val="00304FBF"/>
    <w:rsid w:val="003050B4"/>
    <w:rsid w:val="00305138"/>
    <w:rsid w:val="00305166"/>
    <w:rsid w:val="00305298"/>
    <w:rsid w:val="00305349"/>
    <w:rsid w:val="003055F2"/>
    <w:rsid w:val="0030564C"/>
    <w:rsid w:val="00305690"/>
    <w:rsid w:val="00305721"/>
    <w:rsid w:val="003058EF"/>
    <w:rsid w:val="00305957"/>
    <w:rsid w:val="00305A67"/>
    <w:rsid w:val="00305A7F"/>
    <w:rsid w:val="003060E4"/>
    <w:rsid w:val="003062D3"/>
    <w:rsid w:val="00306302"/>
    <w:rsid w:val="00306309"/>
    <w:rsid w:val="003063F2"/>
    <w:rsid w:val="0030650A"/>
    <w:rsid w:val="00306731"/>
    <w:rsid w:val="00306998"/>
    <w:rsid w:val="00306AAC"/>
    <w:rsid w:val="00306BD6"/>
    <w:rsid w:val="00306C65"/>
    <w:rsid w:val="00306CAE"/>
    <w:rsid w:val="00306D61"/>
    <w:rsid w:val="00306D66"/>
    <w:rsid w:val="00306DD7"/>
    <w:rsid w:val="00307023"/>
    <w:rsid w:val="00307765"/>
    <w:rsid w:val="00307B98"/>
    <w:rsid w:val="00307BCA"/>
    <w:rsid w:val="00307C15"/>
    <w:rsid w:val="00307D1C"/>
    <w:rsid w:val="00307FEC"/>
    <w:rsid w:val="0031061E"/>
    <w:rsid w:val="00310680"/>
    <w:rsid w:val="00310706"/>
    <w:rsid w:val="0031080F"/>
    <w:rsid w:val="00310846"/>
    <w:rsid w:val="003108E5"/>
    <w:rsid w:val="00310922"/>
    <w:rsid w:val="00310BA4"/>
    <w:rsid w:val="00310BDB"/>
    <w:rsid w:val="00310CA7"/>
    <w:rsid w:val="00310E01"/>
    <w:rsid w:val="003111B0"/>
    <w:rsid w:val="003114AD"/>
    <w:rsid w:val="003114BF"/>
    <w:rsid w:val="0031150A"/>
    <w:rsid w:val="0031171B"/>
    <w:rsid w:val="003117BC"/>
    <w:rsid w:val="0031181C"/>
    <w:rsid w:val="00311879"/>
    <w:rsid w:val="00311A3A"/>
    <w:rsid w:val="00311A54"/>
    <w:rsid w:val="00311BF6"/>
    <w:rsid w:val="00311C2B"/>
    <w:rsid w:val="00311C47"/>
    <w:rsid w:val="00311CCA"/>
    <w:rsid w:val="00311D7C"/>
    <w:rsid w:val="00311DCC"/>
    <w:rsid w:val="00312015"/>
    <w:rsid w:val="00312085"/>
    <w:rsid w:val="003120AD"/>
    <w:rsid w:val="003120D9"/>
    <w:rsid w:val="003120E9"/>
    <w:rsid w:val="003121C6"/>
    <w:rsid w:val="00312222"/>
    <w:rsid w:val="00312299"/>
    <w:rsid w:val="00312454"/>
    <w:rsid w:val="00312607"/>
    <w:rsid w:val="003126B9"/>
    <w:rsid w:val="003127F3"/>
    <w:rsid w:val="00312A13"/>
    <w:rsid w:val="00312E38"/>
    <w:rsid w:val="00312EC2"/>
    <w:rsid w:val="00312F28"/>
    <w:rsid w:val="00312FB1"/>
    <w:rsid w:val="00313192"/>
    <w:rsid w:val="0031340D"/>
    <w:rsid w:val="00313B06"/>
    <w:rsid w:val="00313B74"/>
    <w:rsid w:val="00313B93"/>
    <w:rsid w:val="00313CC6"/>
    <w:rsid w:val="00313EB2"/>
    <w:rsid w:val="0031410F"/>
    <w:rsid w:val="00314262"/>
    <w:rsid w:val="003142FB"/>
    <w:rsid w:val="0031430C"/>
    <w:rsid w:val="0031449C"/>
    <w:rsid w:val="00314AC2"/>
    <w:rsid w:val="00314CAE"/>
    <w:rsid w:val="00314EA8"/>
    <w:rsid w:val="00314F74"/>
    <w:rsid w:val="003150E8"/>
    <w:rsid w:val="0031517B"/>
    <w:rsid w:val="00315326"/>
    <w:rsid w:val="003153CC"/>
    <w:rsid w:val="00315441"/>
    <w:rsid w:val="00315493"/>
    <w:rsid w:val="003158A4"/>
    <w:rsid w:val="00316030"/>
    <w:rsid w:val="00316181"/>
    <w:rsid w:val="0031624D"/>
    <w:rsid w:val="003162C0"/>
    <w:rsid w:val="00316471"/>
    <w:rsid w:val="00316641"/>
    <w:rsid w:val="003166AB"/>
    <w:rsid w:val="00316771"/>
    <w:rsid w:val="0031681B"/>
    <w:rsid w:val="00316928"/>
    <w:rsid w:val="00316B7E"/>
    <w:rsid w:val="00316B84"/>
    <w:rsid w:val="00316D5F"/>
    <w:rsid w:val="00317003"/>
    <w:rsid w:val="003172CD"/>
    <w:rsid w:val="0031731D"/>
    <w:rsid w:val="00317831"/>
    <w:rsid w:val="003178AA"/>
    <w:rsid w:val="003179AA"/>
    <w:rsid w:val="00317B30"/>
    <w:rsid w:val="00317FB0"/>
    <w:rsid w:val="0032007D"/>
    <w:rsid w:val="003203FD"/>
    <w:rsid w:val="003204FC"/>
    <w:rsid w:val="003208F1"/>
    <w:rsid w:val="00320BBE"/>
    <w:rsid w:val="00320C6F"/>
    <w:rsid w:val="00320C88"/>
    <w:rsid w:val="00320DAF"/>
    <w:rsid w:val="00320F02"/>
    <w:rsid w:val="00320F93"/>
    <w:rsid w:val="00321078"/>
    <w:rsid w:val="003210B9"/>
    <w:rsid w:val="003210C8"/>
    <w:rsid w:val="00321361"/>
    <w:rsid w:val="003219FD"/>
    <w:rsid w:val="00321B03"/>
    <w:rsid w:val="00321E87"/>
    <w:rsid w:val="00321FF4"/>
    <w:rsid w:val="00322015"/>
    <w:rsid w:val="0032201C"/>
    <w:rsid w:val="003221C6"/>
    <w:rsid w:val="0032233E"/>
    <w:rsid w:val="0032269D"/>
    <w:rsid w:val="00322732"/>
    <w:rsid w:val="003228CD"/>
    <w:rsid w:val="00322902"/>
    <w:rsid w:val="00322949"/>
    <w:rsid w:val="003229A3"/>
    <w:rsid w:val="003229DF"/>
    <w:rsid w:val="00322A01"/>
    <w:rsid w:val="00322A96"/>
    <w:rsid w:val="00322C80"/>
    <w:rsid w:val="00322D87"/>
    <w:rsid w:val="00322DC7"/>
    <w:rsid w:val="00322EBB"/>
    <w:rsid w:val="0032300B"/>
    <w:rsid w:val="0032307E"/>
    <w:rsid w:val="003230B0"/>
    <w:rsid w:val="003235BC"/>
    <w:rsid w:val="003236E2"/>
    <w:rsid w:val="00323867"/>
    <w:rsid w:val="003238A1"/>
    <w:rsid w:val="00323A98"/>
    <w:rsid w:val="00323D2B"/>
    <w:rsid w:val="00323DD9"/>
    <w:rsid w:val="0032402C"/>
    <w:rsid w:val="003243BB"/>
    <w:rsid w:val="003244DD"/>
    <w:rsid w:val="00324531"/>
    <w:rsid w:val="003246DE"/>
    <w:rsid w:val="0032470B"/>
    <w:rsid w:val="00324A03"/>
    <w:rsid w:val="00324A1E"/>
    <w:rsid w:val="00324C82"/>
    <w:rsid w:val="00324CC3"/>
    <w:rsid w:val="00324CF3"/>
    <w:rsid w:val="00324E7B"/>
    <w:rsid w:val="003250AC"/>
    <w:rsid w:val="003257FF"/>
    <w:rsid w:val="00325892"/>
    <w:rsid w:val="00325A81"/>
    <w:rsid w:val="00325AB2"/>
    <w:rsid w:val="00325B8F"/>
    <w:rsid w:val="00325C9B"/>
    <w:rsid w:val="00325E37"/>
    <w:rsid w:val="00325F28"/>
    <w:rsid w:val="00326083"/>
    <w:rsid w:val="00326199"/>
    <w:rsid w:val="003262EF"/>
    <w:rsid w:val="0032641B"/>
    <w:rsid w:val="003264D8"/>
    <w:rsid w:val="003265B6"/>
    <w:rsid w:val="0032667C"/>
    <w:rsid w:val="003266F9"/>
    <w:rsid w:val="00326A0C"/>
    <w:rsid w:val="00326C84"/>
    <w:rsid w:val="00326CC3"/>
    <w:rsid w:val="00326D96"/>
    <w:rsid w:val="00326E2D"/>
    <w:rsid w:val="00326ED4"/>
    <w:rsid w:val="00326F69"/>
    <w:rsid w:val="003271FA"/>
    <w:rsid w:val="0032728B"/>
    <w:rsid w:val="003273F5"/>
    <w:rsid w:val="00327509"/>
    <w:rsid w:val="00327699"/>
    <w:rsid w:val="003277E8"/>
    <w:rsid w:val="00327896"/>
    <w:rsid w:val="00327BC1"/>
    <w:rsid w:val="00327BD1"/>
    <w:rsid w:val="00327CA7"/>
    <w:rsid w:val="00327CD1"/>
    <w:rsid w:val="00327D3A"/>
    <w:rsid w:val="0033019D"/>
    <w:rsid w:val="003301B1"/>
    <w:rsid w:val="003303F7"/>
    <w:rsid w:val="003308AB"/>
    <w:rsid w:val="00330DA5"/>
    <w:rsid w:val="00330EE9"/>
    <w:rsid w:val="00330F1E"/>
    <w:rsid w:val="00330F88"/>
    <w:rsid w:val="00330FC7"/>
    <w:rsid w:val="003310BA"/>
    <w:rsid w:val="003317D3"/>
    <w:rsid w:val="00331809"/>
    <w:rsid w:val="00331860"/>
    <w:rsid w:val="0033188E"/>
    <w:rsid w:val="00331BFC"/>
    <w:rsid w:val="00331F93"/>
    <w:rsid w:val="0033285B"/>
    <w:rsid w:val="00332C4D"/>
    <w:rsid w:val="00332CAB"/>
    <w:rsid w:val="00332CD2"/>
    <w:rsid w:val="00332D6A"/>
    <w:rsid w:val="00332DBE"/>
    <w:rsid w:val="00332FA8"/>
    <w:rsid w:val="0033323F"/>
    <w:rsid w:val="00333597"/>
    <w:rsid w:val="003335CE"/>
    <w:rsid w:val="003336E4"/>
    <w:rsid w:val="00333712"/>
    <w:rsid w:val="00333773"/>
    <w:rsid w:val="003337F1"/>
    <w:rsid w:val="00333803"/>
    <w:rsid w:val="003338A9"/>
    <w:rsid w:val="00333BDF"/>
    <w:rsid w:val="00333CB3"/>
    <w:rsid w:val="00333CB5"/>
    <w:rsid w:val="00333D72"/>
    <w:rsid w:val="00333F12"/>
    <w:rsid w:val="00334055"/>
    <w:rsid w:val="003340B7"/>
    <w:rsid w:val="003341DC"/>
    <w:rsid w:val="0033420D"/>
    <w:rsid w:val="00334288"/>
    <w:rsid w:val="0033429F"/>
    <w:rsid w:val="003342BF"/>
    <w:rsid w:val="0033462A"/>
    <w:rsid w:val="003347E1"/>
    <w:rsid w:val="00334BFA"/>
    <w:rsid w:val="00334C3D"/>
    <w:rsid w:val="00334D12"/>
    <w:rsid w:val="00334EF5"/>
    <w:rsid w:val="00335260"/>
    <w:rsid w:val="00335356"/>
    <w:rsid w:val="003353CF"/>
    <w:rsid w:val="003358B6"/>
    <w:rsid w:val="003359DF"/>
    <w:rsid w:val="003359F4"/>
    <w:rsid w:val="003359F6"/>
    <w:rsid w:val="00335C37"/>
    <w:rsid w:val="00336215"/>
    <w:rsid w:val="0033621E"/>
    <w:rsid w:val="0033636D"/>
    <w:rsid w:val="003363AD"/>
    <w:rsid w:val="003366BC"/>
    <w:rsid w:val="003367C0"/>
    <w:rsid w:val="00336920"/>
    <w:rsid w:val="00336934"/>
    <w:rsid w:val="00336C03"/>
    <w:rsid w:val="00336C3A"/>
    <w:rsid w:val="00337070"/>
    <w:rsid w:val="003371A5"/>
    <w:rsid w:val="003372BD"/>
    <w:rsid w:val="003372D3"/>
    <w:rsid w:val="0033757A"/>
    <w:rsid w:val="00337967"/>
    <w:rsid w:val="00337A32"/>
    <w:rsid w:val="00337A82"/>
    <w:rsid w:val="00337BA2"/>
    <w:rsid w:val="00337C1A"/>
    <w:rsid w:val="00337E4C"/>
    <w:rsid w:val="00337E73"/>
    <w:rsid w:val="003402DB"/>
    <w:rsid w:val="003403A5"/>
    <w:rsid w:val="0034046F"/>
    <w:rsid w:val="00340708"/>
    <w:rsid w:val="0034071F"/>
    <w:rsid w:val="003408ED"/>
    <w:rsid w:val="0034091D"/>
    <w:rsid w:val="00340C06"/>
    <w:rsid w:val="00340D64"/>
    <w:rsid w:val="00340E85"/>
    <w:rsid w:val="00340E97"/>
    <w:rsid w:val="00341119"/>
    <w:rsid w:val="00341319"/>
    <w:rsid w:val="0034131A"/>
    <w:rsid w:val="00341357"/>
    <w:rsid w:val="0034177C"/>
    <w:rsid w:val="00341799"/>
    <w:rsid w:val="003419A6"/>
    <w:rsid w:val="003419CD"/>
    <w:rsid w:val="003419DA"/>
    <w:rsid w:val="00341B7B"/>
    <w:rsid w:val="00342147"/>
    <w:rsid w:val="00342267"/>
    <w:rsid w:val="003422C8"/>
    <w:rsid w:val="003423B2"/>
    <w:rsid w:val="0034271A"/>
    <w:rsid w:val="00342968"/>
    <w:rsid w:val="00342C1B"/>
    <w:rsid w:val="00342EF8"/>
    <w:rsid w:val="0034334E"/>
    <w:rsid w:val="00343366"/>
    <w:rsid w:val="00343404"/>
    <w:rsid w:val="0034346B"/>
    <w:rsid w:val="003435AC"/>
    <w:rsid w:val="003435CB"/>
    <w:rsid w:val="00343665"/>
    <w:rsid w:val="003436C2"/>
    <w:rsid w:val="003437FE"/>
    <w:rsid w:val="00343872"/>
    <w:rsid w:val="0034414F"/>
    <w:rsid w:val="00344241"/>
    <w:rsid w:val="00344289"/>
    <w:rsid w:val="003444BF"/>
    <w:rsid w:val="00344623"/>
    <w:rsid w:val="00344A11"/>
    <w:rsid w:val="00344A7F"/>
    <w:rsid w:val="00344D2F"/>
    <w:rsid w:val="00344F0F"/>
    <w:rsid w:val="00344FE0"/>
    <w:rsid w:val="00345037"/>
    <w:rsid w:val="00345121"/>
    <w:rsid w:val="003452F9"/>
    <w:rsid w:val="003453CC"/>
    <w:rsid w:val="00345487"/>
    <w:rsid w:val="003455FD"/>
    <w:rsid w:val="0034565B"/>
    <w:rsid w:val="0034593D"/>
    <w:rsid w:val="00345D06"/>
    <w:rsid w:val="00345DD7"/>
    <w:rsid w:val="00345DDD"/>
    <w:rsid w:val="00345EC8"/>
    <w:rsid w:val="00346194"/>
    <w:rsid w:val="0034622E"/>
    <w:rsid w:val="00346358"/>
    <w:rsid w:val="0034643F"/>
    <w:rsid w:val="00346483"/>
    <w:rsid w:val="00346492"/>
    <w:rsid w:val="003467E4"/>
    <w:rsid w:val="003468CE"/>
    <w:rsid w:val="00346A04"/>
    <w:rsid w:val="00346AE4"/>
    <w:rsid w:val="00346BBA"/>
    <w:rsid w:val="00346C88"/>
    <w:rsid w:val="00346D7E"/>
    <w:rsid w:val="00346E0B"/>
    <w:rsid w:val="00346F23"/>
    <w:rsid w:val="00347091"/>
    <w:rsid w:val="00347177"/>
    <w:rsid w:val="003471F9"/>
    <w:rsid w:val="0034741F"/>
    <w:rsid w:val="0034744F"/>
    <w:rsid w:val="003476E7"/>
    <w:rsid w:val="00347CCD"/>
    <w:rsid w:val="00347DDC"/>
    <w:rsid w:val="00347DED"/>
    <w:rsid w:val="003492BE"/>
    <w:rsid w:val="0035002C"/>
    <w:rsid w:val="00350638"/>
    <w:rsid w:val="00350737"/>
    <w:rsid w:val="00350D73"/>
    <w:rsid w:val="00350E9A"/>
    <w:rsid w:val="00350FD3"/>
    <w:rsid w:val="00351146"/>
    <w:rsid w:val="003512AD"/>
    <w:rsid w:val="003518C2"/>
    <w:rsid w:val="00351AE4"/>
    <w:rsid w:val="00351FC8"/>
    <w:rsid w:val="0035203B"/>
    <w:rsid w:val="00352125"/>
    <w:rsid w:val="00352127"/>
    <w:rsid w:val="00352133"/>
    <w:rsid w:val="00352365"/>
    <w:rsid w:val="0035252E"/>
    <w:rsid w:val="003525E9"/>
    <w:rsid w:val="00352BE4"/>
    <w:rsid w:val="00352BFA"/>
    <w:rsid w:val="00352D93"/>
    <w:rsid w:val="00352D9B"/>
    <w:rsid w:val="00352DE5"/>
    <w:rsid w:val="00352E71"/>
    <w:rsid w:val="00352E92"/>
    <w:rsid w:val="00352EB7"/>
    <w:rsid w:val="003531E0"/>
    <w:rsid w:val="003535DC"/>
    <w:rsid w:val="003536D2"/>
    <w:rsid w:val="00353936"/>
    <w:rsid w:val="00353BB9"/>
    <w:rsid w:val="00353C9A"/>
    <w:rsid w:val="00353E3A"/>
    <w:rsid w:val="00354143"/>
    <w:rsid w:val="003543C4"/>
    <w:rsid w:val="003543ED"/>
    <w:rsid w:val="003544F9"/>
    <w:rsid w:val="0035457D"/>
    <w:rsid w:val="003546E6"/>
    <w:rsid w:val="003548F5"/>
    <w:rsid w:val="00354BBD"/>
    <w:rsid w:val="00354D22"/>
    <w:rsid w:val="00354E60"/>
    <w:rsid w:val="00355114"/>
    <w:rsid w:val="00355304"/>
    <w:rsid w:val="00355497"/>
    <w:rsid w:val="00355945"/>
    <w:rsid w:val="003559D5"/>
    <w:rsid w:val="00355D53"/>
    <w:rsid w:val="00356296"/>
    <w:rsid w:val="0035657B"/>
    <w:rsid w:val="00356808"/>
    <w:rsid w:val="003568EA"/>
    <w:rsid w:val="00356D52"/>
    <w:rsid w:val="00356EB7"/>
    <w:rsid w:val="00356EC0"/>
    <w:rsid w:val="00356F01"/>
    <w:rsid w:val="003570EE"/>
    <w:rsid w:val="00357142"/>
    <w:rsid w:val="003571CF"/>
    <w:rsid w:val="0035721D"/>
    <w:rsid w:val="00357239"/>
    <w:rsid w:val="0035756C"/>
    <w:rsid w:val="00357D28"/>
    <w:rsid w:val="00357E5C"/>
    <w:rsid w:val="0036007C"/>
    <w:rsid w:val="0036008C"/>
    <w:rsid w:val="0036041E"/>
    <w:rsid w:val="003604D4"/>
    <w:rsid w:val="00360E67"/>
    <w:rsid w:val="003611A8"/>
    <w:rsid w:val="003612CD"/>
    <w:rsid w:val="003614C4"/>
    <w:rsid w:val="00361635"/>
    <w:rsid w:val="003617DA"/>
    <w:rsid w:val="0036181D"/>
    <w:rsid w:val="00361A33"/>
    <w:rsid w:val="00361A4E"/>
    <w:rsid w:val="00361BC0"/>
    <w:rsid w:val="00362136"/>
    <w:rsid w:val="0036232C"/>
    <w:rsid w:val="0036243D"/>
    <w:rsid w:val="0036280B"/>
    <w:rsid w:val="003629E3"/>
    <w:rsid w:val="00362A25"/>
    <w:rsid w:val="00362A40"/>
    <w:rsid w:val="00362A54"/>
    <w:rsid w:val="00362D15"/>
    <w:rsid w:val="003630BA"/>
    <w:rsid w:val="00363283"/>
    <w:rsid w:val="003632E3"/>
    <w:rsid w:val="0036339D"/>
    <w:rsid w:val="0036357C"/>
    <w:rsid w:val="003635B2"/>
    <w:rsid w:val="00363755"/>
    <w:rsid w:val="00363818"/>
    <w:rsid w:val="00363835"/>
    <w:rsid w:val="00363C42"/>
    <w:rsid w:val="00363CF6"/>
    <w:rsid w:val="00363DF8"/>
    <w:rsid w:val="00363ED3"/>
    <w:rsid w:val="00363EDA"/>
    <w:rsid w:val="00363F32"/>
    <w:rsid w:val="00364054"/>
    <w:rsid w:val="003642AE"/>
    <w:rsid w:val="003642E3"/>
    <w:rsid w:val="00364490"/>
    <w:rsid w:val="003644BD"/>
    <w:rsid w:val="0036465A"/>
    <w:rsid w:val="00364813"/>
    <w:rsid w:val="00364A8D"/>
    <w:rsid w:val="00364B84"/>
    <w:rsid w:val="00364FCD"/>
    <w:rsid w:val="003650C4"/>
    <w:rsid w:val="003650DE"/>
    <w:rsid w:val="00365221"/>
    <w:rsid w:val="0036523B"/>
    <w:rsid w:val="0036558E"/>
    <w:rsid w:val="003655E3"/>
    <w:rsid w:val="00365A65"/>
    <w:rsid w:val="00365A85"/>
    <w:rsid w:val="00365B30"/>
    <w:rsid w:val="00365C59"/>
    <w:rsid w:val="00365DB4"/>
    <w:rsid w:val="00365E2B"/>
    <w:rsid w:val="0036600C"/>
    <w:rsid w:val="00366054"/>
    <w:rsid w:val="00366171"/>
    <w:rsid w:val="003662E1"/>
    <w:rsid w:val="0036635B"/>
    <w:rsid w:val="0036691D"/>
    <w:rsid w:val="00366A99"/>
    <w:rsid w:val="00366BA2"/>
    <w:rsid w:val="00366C2E"/>
    <w:rsid w:val="00366D19"/>
    <w:rsid w:val="003671A9"/>
    <w:rsid w:val="00367234"/>
    <w:rsid w:val="003676E4"/>
    <w:rsid w:val="003676F9"/>
    <w:rsid w:val="00367785"/>
    <w:rsid w:val="00367BFA"/>
    <w:rsid w:val="00367C8D"/>
    <w:rsid w:val="00367F5C"/>
    <w:rsid w:val="0037028D"/>
    <w:rsid w:val="00370517"/>
    <w:rsid w:val="003705E4"/>
    <w:rsid w:val="00370848"/>
    <w:rsid w:val="00370990"/>
    <w:rsid w:val="00370B32"/>
    <w:rsid w:val="00370B5E"/>
    <w:rsid w:val="00370BF4"/>
    <w:rsid w:val="00370DC0"/>
    <w:rsid w:val="00370FC3"/>
    <w:rsid w:val="00371081"/>
    <w:rsid w:val="003711F2"/>
    <w:rsid w:val="003713E7"/>
    <w:rsid w:val="0037145A"/>
    <w:rsid w:val="003714A0"/>
    <w:rsid w:val="003715D9"/>
    <w:rsid w:val="00371670"/>
    <w:rsid w:val="00371709"/>
    <w:rsid w:val="003719B2"/>
    <w:rsid w:val="00371C75"/>
    <w:rsid w:val="00371F2E"/>
    <w:rsid w:val="003720B9"/>
    <w:rsid w:val="0037214B"/>
    <w:rsid w:val="00372639"/>
    <w:rsid w:val="00372699"/>
    <w:rsid w:val="00372A60"/>
    <w:rsid w:val="00372B17"/>
    <w:rsid w:val="00372B5F"/>
    <w:rsid w:val="00372B61"/>
    <w:rsid w:val="00372C8C"/>
    <w:rsid w:val="00372D9A"/>
    <w:rsid w:val="00373129"/>
    <w:rsid w:val="00373177"/>
    <w:rsid w:val="00373223"/>
    <w:rsid w:val="003733D6"/>
    <w:rsid w:val="003733DC"/>
    <w:rsid w:val="00373458"/>
    <w:rsid w:val="00373495"/>
    <w:rsid w:val="003735D7"/>
    <w:rsid w:val="003735EF"/>
    <w:rsid w:val="003738C7"/>
    <w:rsid w:val="00374273"/>
    <w:rsid w:val="00374438"/>
    <w:rsid w:val="0037451C"/>
    <w:rsid w:val="00374605"/>
    <w:rsid w:val="0037509F"/>
    <w:rsid w:val="0037545A"/>
    <w:rsid w:val="003757B2"/>
    <w:rsid w:val="0037580A"/>
    <w:rsid w:val="00375B93"/>
    <w:rsid w:val="00375C17"/>
    <w:rsid w:val="00375D17"/>
    <w:rsid w:val="00376051"/>
    <w:rsid w:val="003760A4"/>
    <w:rsid w:val="00376259"/>
    <w:rsid w:val="003763DF"/>
    <w:rsid w:val="003764B3"/>
    <w:rsid w:val="003766A3"/>
    <w:rsid w:val="003768D4"/>
    <w:rsid w:val="00376AA6"/>
    <w:rsid w:val="00376AB2"/>
    <w:rsid w:val="00376CBB"/>
    <w:rsid w:val="003770FF"/>
    <w:rsid w:val="00377161"/>
    <w:rsid w:val="003773AA"/>
    <w:rsid w:val="00377658"/>
    <w:rsid w:val="0037767B"/>
    <w:rsid w:val="00377724"/>
    <w:rsid w:val="003778D9"/>
    <w:rsid w:val="003779F8"/>
    <w:rsid w:val="00377B19"/>
    <w:rsid w:val="00377DD1"/>
    <w:rsid w:val="00377DD5"/>
    <w:rsid w:val="00380520"/>
    <w:rsid w:val="003809CA"/>
    <w:rsid w:val="00380AA0"/>
    <w:rsid w:val="00380C95"/>
    <w:rsid w:val="00380D29"/>
    <w:rsid w:val="00380E5B"/>
    <w:rsid w:val="00380EE9"/>
    <w:rsid w:val="00380F4D"/>
    <w:rsid w:val="00380F55"/>
    <w:rsid w:val="003810CA"/>
    <w:rsid w:val="0038133A"/>
    <w:rsid w:val="003813A8"/>
    <w:rsid w:val="0038152C"/>
    <w:rsid w:val="00381550"/>
    <w:rsid w:val="0038191D"/>
    <w:rsid w:val="00381D83"/>
    <w:rsid w:val="003822BE"/>
    <w:rsid w:val="003826E2"/>
    <w:rsid w:val="00382796"/>
    <w:rsid w:val="0038298E"/>
    <w:rsid w:val="00382F8D"/>
    <w:rsid w:val="00383197"/>
    <w:rsid w:val="00383259"/>
    <w:rsid w:val="0038330A"/>
    <w:rsid w:val="00383464"/>
    <w:rsid w:val="00383672"/>
    <w:rsid w:val="00383988"/>
    <w:rsid w:val="00383BB2"/>
    <w:rsid w:val="00383DF2"/>
    <w:rsid w:val="00383EE3"/>
    <w:rsid w:val="003840A1"/>
    <w:rsid w:val="00384154"/>
    <w:rsid w:val="00384176"/>
    <w:rsid w:val="003841F6"/>
    <w:rsid w:val="0038448A"/>
    <w:rsid w:val="00384491"/>
    <w:rsid w:val="003847A8"/>
    <w:rsid w:val="003849C5"/>
    <w:rsid w:val="00384E66"/>
    <w:rsid w:val="00384F1B"/>
    <w:rsid w:val="00384FBE"/>
    <w:rsid w:val="00385079"/>
    <w:rsid w:val="003851A4"/>
    <w:rsid w:val="00385295"/>
    <w:rsid w:val="003854C7"/>
    <w:rsid w:val="003855A8"/>
    <w:rsid w:val="00385BDD"/>
    <w:rsid w:val="00385C1E"/>
    <w:rsid w:val="00385E4A"/>
    <w:rsid w:val="00385EC9"/>
    <w:rsid w:val="003862A1"/>
    <w:rsid w:val="0038639F"/>
    <w:rsid w:val="0038645A"/>
    <w:rsid w:val="0038683B"/>
    <w:rsid w:val="0038691C"/>
    <w:rsid w:val="00386940"/>
    <w:rsid w:val="00386AA7"/>
    <w:rsid w:val="00386ABA"/>
    <w:rsid w:val="00386C87"/>
    <w:rsid w:val="00386D2D"/>
    <w:rsid w:val="00386DEF"/>
    <w:rsid w:val="003870E6"/>
    <w:rsid w:val="003872DF"/>
    <w:rsid w:val="003874E8"/>
    <w:rsid w:val="0038788E"/>
    <w:rsid w:val="003878AF"/>
    <w:rsid w:val="00387975"/>
    <w:rsid w:val="00387AD9"/>
    <w:rsid w:val="00387C41"/>
    <w:rsid w:val="00387E5A"/>
    <w:rsid w:val="00387FD6"/>
    <w:rsid w:val="0038C8AC"/>
    <w:rsid w:val="003905F0"/>
    <w:rsid w:val="003905F5"/>
    <w:rsid w:val="0039070D"/>
    <w:rsid w:val="0039079E"/>
    <w:rsid w:val="003907DF"/>
    <w:rsid w:val="00390913"/>
    <w:rsid w:val="00390CE1"/>
    <w:rsid w:val="00390D3F"/>
    <w:rsid w:val="00390D87"/>
    <w:rsid w:val="00390F15"/>
    <w:rsid w:val="00391086"/>
    <w:rsid w:val="00391898"/>
    <w:rsid w:val="00391A30"/>
    <w:rsid w:val="00391E76"/>
    <w:rsid w:val="00391EBC"/>
    <w:rsid w:val="00391F02"/>
    <w:rsid w:val="003920D8"/>
    <w:rsid w:val="003921D7"/>
    <w:rsid w:val="00392465"/>
    <w:rsid w:val="00392521"/>
    <w:rsid w:val="003928DA"/>
    <w:rsid w:val="00392A22"/>
    <w:rsid w:val="00392A35"/>
    <w:rsid w:val="00392CE7"/>
    <w:rsid w:val="00392D49"/>
    <w:rsid w:val="00392DCF"/>
    <w:rsid w:val="00392E83"/>
    <w:rsid w:val="00393119"/>
    <w:rsid w:val="00393852"/>
    <w:rsid w:val="0039385D"/>
    <w:rsid w:val="00393AE2"/>
    <w:rsid w:val="00393AF2"/>
    <w:rsid w:val="00393C24"/>
    <w:rsid w:val="00393C3F"/>
    <w:rsid w:val="00393DCE"/>
    <w:rsid w:val="003941A2"/>
    <w:rsid w:val="00394215"/>
    <w:rsid w:val="0039427A"/>
    <w:rsid w:val="00394292"/>
    <w:rsid w:val="003942D4"/>
    <w:rsid w:val="003943FA"/>
    <w:rsid w:val="003944F5"/>
    <w:rsid w:val="00394536"/>
    <w:rsid w:val="00394577"/>
    <w:rsid w:val="0039464A"/>
    <w:rsid w:val="0039466B"/>
    <w:rsid w:val="00394728"/>
    <w:rsid w:val="00394B23"/>
    <w:rsid w:val="00394B4F"/>
    <w:rsid w:val="00394C4F"/>
    <w:rsid w:val="00394D0D"/>
    <w:rsid w:val="00395034"/>
    <w:rsid w:val="003954A6"/>
    <w:rsid w:val="0039555D"/>
    <w:rsid w:val="003957F3"/>
    <w:rsid w:val="00395892"/>
    <w:rsid w:val="003958FC"/>
    <w:rsid w:val="00395A4A"/>
    <w:rsid w:val="00395E51"/>
    <w:rsid w:val="00395F8C"/>
    <w:rsid w:val="00396191"/>
    <w:rsid w:val="003961DE"/>
    <w:rsid w:val="003964CD"/>
    <w:rsid w:val="00396647"/>
    <w:rsid w:val="003968B3"/>
    <w:rsid w:val="00396C77"/>
    <w:rsid w:val="00397320"/>
    <w:rsid w:val="0039739A"/>
    <w:rsid w:val="00397504"/>
    <w:rsid w:val="0039753C"/>
    <w:rsid w:val="0039764C"/>
    <w:rsid w:val="003977E3"/>
    <w:rsid w:val="00397CE0"/>
    <w:rsid w:val="00397D1A"/>
    <w:rsid w:val="00397F63"/>
    <w:rsid w:val="00397FB7"/>
    <w:rsid w:val="00397FB8"/>
    <w:rsid w:val="003A0036"/>
    <w:rsid w:val="003A0159"/>
    <w:rsid w:val="003A065C"/>
    <w:rsid w:val="003A075A"/>
    <w:rsid w:val="003A08AD"/>
    <w:rsid w:val="003A0E80"/>
    <w:rsid w:val="003A0F14"/>
    <w:rsid w:val="003A1748"/>
    <w:rsid w:val="003A1807"/>
    <w:rsid w:val="003A1840"/>
    <w:rsid w:val="003A1850"/>
    <w:rsid w:val="003A18A9"/>
    <w:rsid w:val="003A1A27"/>
    <w:rsid w:val="003A1B26"/>
    <w:rsid w:val="003A1C4E"/>
    <w:rsid w:val="003A1D2F"/>
    <w:rsid w:val="003A204B"/>
    <w:rsid w:val="003A21C2"/>
    <w:rsid w:val="003A22F9"/>
    <w:rsid w:val="003A235F"/>
    <w:rsid w:val="003A2850"/>
    <w:rsid w:val="003A296F"/>
    <w:rsid w:val="003A2CE3"/>
    <w:rsid w:val="003A2D34"/>
    <w:rsid w:val="003A303D"/>
    <w:rsid w:val="003A32E2"/>
    <w:rsid w:val="003A3321"/>
    <w:rsid w:val="003A3573"/>
    <w:rsid w:val="003A361C"/>
    <w:rsid w:val="003A3622"/>
    <w:rsid w:val="003A3709"/>
    <w:rsid w:val="003A3936"/>
    <w:rsid w:val="003A39D9"/>
    <w:rsid w:val="003A3AC8"/>
    <w:rsid w:val="003A3C07"/>
    <w:rsid w:val="003A3DCA"/>
    <w:rsid w:val="003A3EB5"/>
    <w:rsid w:val="003A406E"/>
    <w:rsid w:val="003A4307"/>
    <w:rsid w:val="003A441B"/>
    <w:rsid w:val="003A443C"/>
    <w:rsid w:val="003A47C3"/>
    <w:rsid w:val="003A4808"/>
    <w:rsid w:val="003A4999"/>
    <w:rsid w:val="003A4EE3"/>
    <w:rsid w:val="003A4F8D"/>
    <w:rsid w:val="003A520A"/>
    <w:rsid w:val="003A524D"/>
    <w:rsid w:val="003A52AF"/>
    <w:rsid w:val="003A5389"/>
    <w:rsid w:val="003A53B1"/>
    <w:rsid w:val="003A54FC"/>
    <w:rsid w:val="003A57B9"/>
    <w:rsid w:val="003A5B4C"/>
    <w:rsid w:val="003A5BE4"/>
    <w:rsid w:val="003A5BF7"/>
    <w:rsid w:val="003A5C3D"/>
    <w:rsid w:val="003A5C99"/>
    <w:rsid w:val="003A5CE4"/>
    <w:rsid w:val="003A5EB3"/>
    <w:rsid w:val="003A60F4"/>
    <w:rsid w:val="003A6322"/>
    <w:rsid w:val="003A6629"/>
    <w:rsid w:val="003A66EA"/>
    <w:rsid w:val="003A6BE1"/>
    <w:rsid w:val="003A6CE6"/>
    <w:rsid w:val="003A6D51"/>
    <w:rsid w:val="003A6DBA"/>
    <w:rsid w:val="003A6E59"/>
    <w:rsid w:val="003A7072"/>
    <w:rsid w:val="003A7448"/>
    <w:rsid w:val="003A76B0"/>
    <w:rsid w:val="003A78CF"/>
    <w:rsid w:val="003A799E"/>
    <w:rsid w:val="003A7E19"/>
    <w:rsid w:val="003A7F11"/>
    <w:rsid w:val="003B0097"/>
    <w:rsid w:val="003B0147"/>
    <w:rsid w:val="003B0315"/>
    <w:rsid w:val="003B03C8"/>
    <w:rsid w:val="003B05F1"/>
    <w:rsid w:val="003B0902"/>
    <w:rsid w:val="003B0A55"/>
    <w:rsid w:val="003B0AB9"/>
    <w:rsid w:val="003B0C8E"/>
    <w:rsid w:val="003B0D4C"/>
    <w:rsid w:val="003B0D6D"/>
    <w:rsid w:val="003B11F2"/>
    <w:rsid w:val="003B13A5"/>
    <w:rsid w:val="003B14AB"/>
    <w:rsid w:val="003B14DB"/>
    <w:rsid w:val="003B1602"/>
    <w:rsid w:val="003B1645"/>
    <w:rsid w:val="003B17F2"/>
    <w:rsid w:val="003B1886"/>
    <w:rsid w:val="003B1A44"/>
    <w:rsid w:val="003B1A51"/>
    <w:rsid w:val="003B1B3C"/>
    <w:rsid w:val="003B1B75"/>
    <w:rsid w:val="003B1D43"/>
    <w:rsid w:val="003B203A"/>
    <w:rsid w:val="003B20E0"/>
    <w:rsid w:val="003B226F"/>
    <w:rsid w:val="003B22B5"/>
    <w:rsid w:val="003B22F1"/>
    <w:rsid w:val="003B2339"/>
    <w:rsid w:val="003B2466"/>
    <w:rsid w:val="003B2658"/>
    <w:rsid w:val="003B28B4"/>
    <w:rsid w:val="003B2904"/>
    <w:rsid w:val="003B291D"/>
    <w:rsid w:val="003B2A0D"/>
    <w:rsid w:val="003B2D32"/>
    <w:rsid w:val="003B2ECC"/>
    <w:rsid w:val="003B3069"/>
    <w:rsid w:val="003B311A"/>
    <w:rsid w:val="003B3215"/>
    <w:rsid w:val="003B336B"/>
    <w:rsid w:val="003B340C"/>
    <w:rsid w:val="003B3482"/>
    <w:rsid w:val="003B3498"/>
    <w:rsid w:val="003B34B1"/>
    <w:rsid w:val="003B35DA"/>
    <w:rsid w:val="003B35F1"/>
    <w:rsid w:val="003B3608"/>
    <w:rsid w:val="003B3626"/>
    <w:rsid w:val="003B3729"/>
    <w:rsid w:val="003B3964"/>
    <w:rsid w:val="003B39EF"/>
    <w:rsid w:val="003B3F03"/>
    <w:rsid w:val="003B3F14"/>
    <w:rsid w:val="003B3FFF"/>
    <w:rsid w:val="003B41EF"/>
    <w:rsid w:val="003B42C7"/>
    <w:rsid w:val="003B42E0"/>
    <w:rsid w:val="003B43BB"/>
    <w:rsid w:val="003B44A6"/>
    <w:rsid w:val="003B458F"/>
    <w:rsid w:val="003B4731"/>
    <w:rsid w:val="003B4A39"/>
    <w:rsid w:val="003B4A6D"/>
    <w:rsid w:val="003B4AD6"/>
    <w:rsid w:val="003B4DDF"/>
    <w:rsid w:val="003B51FB"/>
    <w:rsid w:val="003B54E2"/>
    <w:rsid w:val="003B561C"/>
    <w:rsid w:val="003B5738"/>
    <w:rsid w:val="003B5751"/>
    <w:rsid w:val="003B59C9"/>
    <w:rsid w:val="003B5C7A"/>
    <w:rsid w:val="003B6134"/>
    <w:rsid w:val="003B6165"/>
    <w:rsid w:val="003B6168"/>
    <w:rsid w:val="003B6386"/>
    <w:rsid w:val="003B6409"/>
    <w:rsid w:val="003B641B"/>
    <w:rsid w:val="003B66F8"/>
    <w:rsid w:val="003B6903"/>
    <w:rsid w:val="003B6962"/>
    <w:rsid w:val="003B6B7D"/>
    <w:rsid w:val="003B6B9A"/>
    <w:rsid w:val="003B6CB7"/>
    <w:rsid w:val="003B6E4F"/>
    <w:rsid w:val="003B6F72"/>
    <w:rsid w:val="003B7165"/>
    <w:rsid w:val="003B7318"/>
    <w:rsid w:val="003B7671"/>
    <w:rsid w:val="003B77EA"/>
    <w:rsid w:val="003B785E"/>
    <w:rsid w:val="003B7DF5"/>
    <w:rsid w:val="003B7E78"/>
    <w:rsid w:val="003B7F51"/>
    <w:rsid w:val="003C0315"/>
    <w:rsid w:val="003C0471"/>
    <w:rsid w:val="003C08D2"/>
    <w:rsid w:val="003C091C"/>
    <w:rsid w:val="003C0AFB"/>
    <w:rsid w:val="003C0C35"/>
    <w:rsid w:val="003C0C84"/>
    <w:rsid w:val="003C0D3F"/>
    <w:rsid w:val="003C0DD9"/>
    <w:rsid w:val="003C114F"/>
    <w:rsid w:val="003C1748"/>
    <w:rsid w:val="003C186E"/>
    <w:rsid w:val="003C1885"/>
    <w:rsid w:val="003C188B"/>
    <w:rsid w:val="003C189C"/>
    <w:rsid w:val="003C18AC"/>
    <w:rsid w:val="003C1C0C"/>
    <w:rsid w:val="003C1DAD"/>
    <w:rsid w:val="003C1E3E"/>
    <w:rsid w:val="003C20BF"/>
    <w:rsid w:val="003C20E3"/>
    <w:rsid w:val="003C22E5"/>
    <w:rsid w:val="003C23DD"/>
    <w:rsid w:val="003C24F0"/>
    <w:rsid w:val="003C2545"/>
    <w:rsid w:val="003C256A"/>
    <w:rsid w:val="003C26EB"/>
    <w:rsid w:val="003C288C"/>
    <w:rsid w:val="003C2CAB"/>
    <w:rsid w:val="003C3163"/>
    <w:rsid w:val="003C31DB"/>
    <w:rsid w:val="003C33D0"/>
    <w:rsid w:val="003C341D"/>
    <w:rsid w:val="003C34D9"/>
    <w:rsid w:val="003C35EE"/>
    <w:rsid w:val="003C3605"/>
    <w:rsid w:val="003C361A"/>
    <w:rsid w:val="003C3788"/>
    <w:rsid w:val="003C37B0"/>
    <w:rsid w:val="003C3889"/>
    <w:rsid w:val="003C394D"/>
    <w:rsid w:val="003C3AA3"/>
    <w:rsid w:val="003C3CD1"/>
    <w:rsid w:val="003C3D64"/>
    <w:rsid w:val="003C3ECC"/>
    <w:rsid w:val="003C4068"/>
    <w:rsid w:val="003C4088"/>
    <w:rsid w:val="003C41DA"/>
    <w:rsid w:val="003C42E2"/>
    <w:rsid w:val="003C4379"/>
    <w:rsid w:val="003C4410"/>
    <w:rsid w:val="003C4528"/>
    <w:rsid w:val="003C4595"/>
    <w:rsid w:val="003C4790"/>
    <w:rsid w:val="003C4B93"/>
    <w:rsid w:val="003C4B96"/>
    <w:rsid w:val="003C4D06"/>
    <w:rsid w:val="003C4F51"/>
    <w:rsid w:val="003C5009"/>
    <w:rsid w:val="003C529A"/>
    <w:rsid w:val="003C53BE"/>
    <w:rsid w:val="003C55F7"/>
    <w:rsid w:val="003C5881"/>
    <w:rsid w:val="003C5A07"/>
    <w:rsid w:val="003C5A54"/>
    <w:rsid w:val="003C5EE6"/>
    <w:rsid w:val="003C61D5"/>
    <w:rsid w:val="003C6308"/>
    <w:rsid w:val="003C63C4"/>
    <w:rsid w:val="003C63EE"/>
    <w:rsid w:val="003C65EB"/>
    <w:rsid w:val="003C66D6"/>
    <w:rsid w:val="003C698A"/>
    <w:rsid w:val="003C6B7E"/>
    <w:rsid w:val="003C6BAF"/>
    <w:rsid w:val="003C6C39"/>
    <w:rsid w:val="003C6D6E"/>
    <w:rsid w:val="003C6EB7"/>
    <w:rsid w:val="003C6F11"/>
    <w:rsid w:val="003C6F64"/>
    <w:rsid w:val="003C6FA9"/>
    <w:rsid w:val="003C73D1"/>
    <w:rsid w:val="003C7621"/>
    <w:rsid w:val="003C7829"/>
    <w:rsid w:val="003C7938"/>
    <w:rsid w:val="003C7955"/>
    <w:rsid w:val="003C7A75"/>
    <w:rsid w:val="003C7C9F"/>
    <w:rsid w:val="003D017A"/>
    <w:rsid w:val="003D0313"/>
    <w:rsid w:val="003D04DC"/>
    <w:rsid w:val="003D04E5"/>
    <w:rsid w:val="003D051E"/>
    <w:rsid w:val="003D06C4"/>
    <w:rsid w:val="003D072D"/>
    <w:rsid w:val="003D0A0F"/>
    <w:rsid w:val="003D0A81"/>
    <w:rsid w:val="003D0B3B"/>
    <w:rsid w:val="003D0CC0"/>
    <w:rsid w:val="003D0DF4"/>
    <w:rsid w:val="003D0E41"/>
    <w:rsid w:val="003D0E61"/>
    <w:rsid w:val="003D10B5"/>
    <w:rsid w:val="003D10BF"/>
    <w:rsid w:val="003D116F"/>
    <w:rsid w:val="003D12A4"/>
    <w:rsid w:val="003D12D7"/>
    <w:rsid w:val="003D1713"/>
    <w:rsid w:val="003D1D65"/>
    <w:rsid w:val="003D1DBC"/>
    <w:rsid w:val="003D1E7F"/>
    <w:rsid w:val="003D2331"/>
    <w:rsid w:val="003D2C60"/>
    <w:rsid w:val="003D2CAC"/>
    <w:rsid w:val="003D2DA4"/>
    <w:rsid w:val="003D2E76"/>
    <w:rsid w:val="003D319D"/>
    <w:rsid w:val="003D348B"/>
    <w:rsid w:val="003D3596"/>
    <w:rsid w:val="003D3817"/>
    <w:rsid w:val="003D388A"/>
    <w:rsid w:val="003D38E7"/>
    <w:rsid w:val="003D3962"/>
    <w:rsid w:val="003D3B67"/>
    <w:rsid w:val="003D3BCC"/>
    <w:rsid w:val="003D3F5F"/>
    <w:rsid w:val="003D4025"/>
    <w:rsid w:val="003D4154"/>
    <w:rsid w:val="003D449D"/>
    <w:rsid w:val="003D47CC"/>
    <w:rsid w:val="003D49F7"/>
    <w:rsid w:val="003D4F7B"/>
    <w:rsid w:val="003D5090"/>
    <w:rsid w:val="003D50D0"/>
    <w:rsid w:val="003D51C9"/>
    <w:rsid w:val="003D51F2"/>
    <w:rsid w:val="003D527A"/>
    <w:rsid w:val="003D52BE"/>
    <w:rsid w:val="003D52E0"/>
    <w:rsid w:val="003D532B"/>
    <w:rsid w:val="003D5333"/>
    <w:rsid w:val="003D547D"/>
    <w:rsid w:val="003D5553"/>
    <w:rsid w:val="003D5816"/>
    <w:rsid w:val="003D5B69"/>
    <w:rsid w:val="003D5C83"/>
    <w:rsid w:val="003D5D16"/>
    <w:rsid w:val="003D5DAB"/>
    <w:rsid w:val="003D5F5A"/>
    <w:rsid w:val="003D5F5B"/>
    <w:rsid w:val="003D6095"/>
    <w:rsid w:val="003D610C"/>
    <w:rsid w:val="003D623C"/>
    <w:rsid w:val="003D637B"/>
    <w:rsid w:val="003D6501"/>
    <w:rsid w:val="003D656D"/>
    <w:rsid w:val="003D65A7"/>
    <w:rsid w:val="003D66F3"/>
    <w:rsid w:val="003D68F9"/>
    <w:rsid w:val="003D6903"/>
    <w:rsid w:val="003D6A48"/>
    <w:rsid w:val="003D6A9F"/>
    <w:rsid w:val="003D6B9C"/>
    <w:rsid w:val="003D723F"/>
    <w:rsid w:val="003D7574"/>
    <w:rsid w:val="003D7B7E"/>
    <w:rsid w:val="003D7C3A"/>
    <w:rsid w:val="003D7D6B"/>
    <w:rsid w:val="003D7E0F"/>
    <w:rsid w:val="003D7E75"/>
    <w:rsid w:val="003D7EDB"/>
    <w:rsid w:val="003E0003"/>
    <w:rsid w:val="003E0050"/>
    <w:rsid w:val="003E0051"/>
    <w:rsid w:val="003E070F"/>
    <w:rsid w:val="003E07BF"/>
    <w:rsid w:val="003E083D"/>
    <w:rsid w:val="003E09CD"/>
    <w:rsid w:val="003E0D3C"/>
    <w:rsid w:val="003E0DA8"/>
    <w:rsid w:val="003E1097"/>
    <w:rsid w:val="003E10C9"/>
    <w:rsid w:val="003E15E2"/>
    <w:rsid w:val="003E16D1"/>
    <w:rsid w:val="003E1808"/>
    <w:rsid w:val="003E1928"/>
    <w:rsid w:val="003E1A40"/>
    <w:rsid w:val="003E1AE0"/>
    <w:rsid w:val="003E1D54"/>
    <w:rsid w:val="003E2116"/>
    <w:rsid w:val="003E21FD"/>
    <w:rsid w:val="003E24AF"/>
    <w:rsid w:val="003E271B"/>
    <w:rsid w:val="003E2761"/>
    <w:rsid w:val="003E2801"/>
    <w:rsid w:val="003E2864"/>
    <w:rsid w:val="003E2882"/>
    <w:rsid w:val="003E29AC"/>
    <w:rsid w:val="003E2B54"/>
    <w:rsid w:val="003E2C3A"/>
    <w:rsid w:val="003E2CDF"/>
    <w:rsid w:val="003E2D99"/>
    <w:rsid w:val="003E309D"/>
    <w:rsid w:val="003E3258"/>
    <w:rsid w:val="003E387B"/>
    <w:rsid w:val="003E3A68"/>
    <w:rsid w:val="003E3B11"/>
    <w:rsid w:val="003E3B1E"/>
    <w:rsid w:val="003E4117"/>
    <w:rsid w:val="003E4133"/>
    <w:rsid w:val="003E4142"/>
    <w:rsid w:val="003E4449"/>
    <w:rsid w:val="003E45D4"/>
    <w:rsid w:val="003E4679"/>
    <w:rsid w:val="003E494B"/>
    <w:rsid w:val="003E4A17"/>
    <w:rsid w:val="003E4E33"/>
    <w:rsid w:val="003E4F4D"/>
    <w:rsid w:val="003E4FA7"/>
    <w:rsid w:val="003E5261"/>
    <w:rsid w:val="003E5287"/>
    <w:rsid w:val="003E5326"/>
    <w:rsid w:val="003E5366"/>
    <w:rsid w:val="003E5507"/>
    <w:rsid w:val="003E5555"/>
    <w:rsid w:val="003E55AE"/>
    <w:rsid w:val="003E562D"/>
    <w:rsid w:val="003E574F"/>
    <w:rsid w:val="003E5753"/>
    <w:rsid w:val="003E5870"/>
    <w:rsid w:val="003E58E0"/>
    <w:rsid w:val="003E599E"/>
    <w:rsid w:val="003E5C42"/>
    <w:rsid w:val="003E5D01"/>
    <w:rsid w:val="003E602E"/>
    <w:rsid w:val="003E60D2"/>
    <w:rsid w:val="003E625F"/>
    <w:rsid w:val="003E6474"/>
    <w:rsid w:val="003E64EE"/>
    <w:rsid w:val="003E65C9"/>
    <w:rsid w:val="003E660B"/>
    <w:rsid w:val="003E6913"/>
    <w:rsid w:val="003E69F8"/>
    <w:rsid w:val="003E6A3C"/>
    <w:rsid w:val="003E6ABB"/>
    <w:rsid w:val="003E6BC8"/>
    <w:rsid w:val="003E6DA3"/>
    <w:rsid w:val="003E7021"/>
    <w:rsid w:val="003E70E1"/>
    <w:rsid w:val="003E76E6"/>
    <w:rsid w:val="003E7987"/>
    <w:rsid w:val="003E7AEB"/>
    <w:rsid w:val="003E7B9D"/>
    <w:rsid w:val="003E7DF2"/>
    <w:rsid w:val="003E7FFA"/>
    <w:rsid w:val="003F0141"/>
    <w:rsid w:val="003F06CF"/>
    <w:rsid w:val="003F0A9D"/>
    <w:rsid w:val="003F0B4A"/>
    <w:rsid w:val="003F1020"/>
    <w:rsid w:val="003F1461"/>
    <w:rsid w:val="003F1607"/>
    <w:rsid w:val="003F1A08"/>
    <w:rsid w:val="003F1AFC"/>
    <w:rsid w:val="003F2081"/>
    <w:rsid w:val="003F2105"/>
    <w:rsid w:val="003F21FA"/>
    <w:rsid w:val="003F22FD"/>
    <w:rsid w:val="003F24C8"/>
    <w:rsid w:val="003F294A"/>
    <w:rsid w:val="003F2963"/>
    <w:rsid w:val="003F2981"/>
    <w:rsid w:val="003F2A2A"/>
    <w:rsid w:val="003F2AB9"/>
    <w:rsid w:val="003F2B3E"/>
    <w:rsid w:val="003F2B60"/>
    <w:rsid w:val="003F2DBF"/>
    <w:rsid w:val="003F2DC5"/>
    <w:rsid w:val="003F2F71"/>
    <w:rsid w:val="003F309D"/>
    <w:rsid w:val="003F309E"/>
    <w:rsid w:val="003F312E"/>
    <w:rsid w:val="003F3672"/>
    <w:rsid w:val="003F3685"/>
    <w:rsid w:val="003F36DD"/>
    <w:rsid w:val="003F39C6"/>
    <w:rsid w:val="003F3B04"/>
    <w:rsid w:val="003F3B36"/>
    <w:rsid w:val="003F3D58"/>
    <w:rsid w:val="003F3D6C"/>
    <w:rsid w:val="003F3F39"/>
    <w:rsid w:val="003F4046"/>
    <w:rsid w:val="003F425B"/>
    <w:rsid w:val="003F42B0"/>
    <w:rsid w:val="003F43B3"/>
    <w:rsid w:val="003F44A2"/>
    <w:rsid w:val="003F4605"/>
    <w:rsid w:val="003F48BB"/>
    <w:rsid w:val="003F4902"/>
    <w:rsid w:val="003F4953"/>
    <w:rsid w:val="003F4A35"/>
    <w:rsid w:val="003F4A4C"/>
    <w:rsid w:val="003F4AB1"/>
    <w:rsid w:val="003F4EFD"/>
    <w:rsid w:val="003F51C9"/>
    <w:rsid w:val="003F53BA"/>
    <w:rsid w:val="003F5442"/>
    <w:rsid w:val="003F5521"/>
    <w:rsid w:val="003F5965"/>
    <w:rsid w:val="003F5A35"/>
    <w:rsid w:val="003F5BAF"/>
    <w:rsid w:val="003F5C5D"/>
    <w:rsid w:val="003F5D1C"/>
    <w:rsid w:val="003F5E5F"/>
    <w:rsid w:val="003F6195"/>
    <w:rsid w:val="003F61B3"/>
    <w:rsid w:val="003F628F"/>
    <w:rsid w:val="003F62CA"/>
    <w:rsid w:val="003F69B9"/>
    <w:rsid w:val="003F69EB"/>
    <w:rsid w:val="003F6B9A"/>
    <w:rsid w:val="003F6D93"/>
    <w:rsid w:val="003F6DCE"/>
    <w:rsid w:val="003F70E0"/>
    <w:rsid w:val="003F719A"/>
    <w:rsid w:val="003F719C"/>
    <w:rsid w:val="003F72F7"/>
    <w:rsid w:val="003F73B9"/>
    <w:rsid w:val="003F7735"/>
    <w:rsid w:val="003F78F0"/>
    <w:rsid w:val="003F794C"/>
    <w:rsid w:val="003F7A04"/>
    <w:rsid w:val="003F7B9C"/>
    <w:rsid w:val="003F7C13"/>
    <w:rsid w:val="003F7CB8"/>
    <w:rsid w:val="003F7E2C"/>
    <w:rsid w:val="003F7EFB"/>
    <w:rsid w:val="003F7FDE"/>
    <w:rsid w:val="003F7FF3"/>
    <w:rsid w:val="004000DA"/>
    <w:rsid w:val="004004F5"/>
    <w:rsid w:val="004006ED"/>
    <w:rsid w:val="004007AD"/>
    <w:rsid w:val="004007B3"/>
    <w:rsid w:val="00400874"/>
    <w:rsid w:val="004008CF"/>
    <w:rsid w:val="00400BEF"/>
    <w:rsid w:val="00400CBD"/>
    <w:rsid w:val="00400F79"/>
    <w:rsid w:val="004010F7"/>
    <w:rsid w:val="0040111B"/>
    <w:rsid w:val="00401127"/>
    <w:rsid w:val="0040128B"/>
    <w:rsid w:val="004012A0"/>
    <w:rsid w:val="00401303"/>
    <w:rsid w:val="004013EE"/>
    <w:rsid w:val="0040145D"/>
    <w:rsid w:val="004014E4"/>
    <w:rsid w:val="00401ACD"/>
    <w:rsid w:val="00401C0A"/>
    <w:rsid w:val="00401CC8"/>
    <w:rsid w:val="00401E6C"/>
    <w:rsid w:val="004020C9"/>
    <w:rsid w:val="0040214F"/>
    <w:rsid w:val="00402188"/>
    <w:rsid w:val="004021FC"/>
    <w:rsid w:val="0040252C"/>
    <w:rsid w:val="00402586"/>
    <w:rsid w:val="0040270C"/>
    <w:rsid w:val="00402A13"/>
    <w:rsid w:val="00402AE5"/>
    <w:rsid w:val="00402BF0"/>
    <w:rsid w:val="00402CAB"/>
    <w:rsid w:val="00402E58"/>
    <w:rsid w:val="00402ECE"/>
    <w:rsid w:val="00402FC3"/>
    <w:rsid w:val="00402FE7"/>
    <w:rsid w:val="00403033"/>
    <w:rsid w:val="0040322B"/>
    <w:rsid w:val="004032D7"/>
    <w:rsid w:val="00403358"/>
    <w:rsid w:val="004033E8"/>
    <w:rsid w:val="0040361A"/>
    <w:rsid w:val="004036BB"/>
    <w:rsid w:val="00403B8E"/>
    <w:rsid w:val="00403D39"/>
    <w:rsid w:val="00403DB7"/>
    <w:rsid w:val="004042E0"/>
    <w:rsid w:val="004045A6"/>
    <w:rsid w:val="004047F1"/>
    <w:rsid w:val="00404AAC"/>
    <w:rsid w:val="00404C0E"/>
    <w:rsid w:val="00404FB9"/>
    <w:rsid w:val="0040562A"/>
    <w:rsid w:val="0040587E"/>
    <w:rsid w:val="00405C7D"/>
    <w:rsid w:val="00405D5E"/>
    <w:rsid w:val="00405FAD"/>
    <w:rsid w:val="0040603F"/>
    <w:rsid w:val="00406322"/>
    <w:rsid w:val="004064CF"/>
    <w:rsid w:val="004064E6"/>
    <w:rsid w:val="004067E9"/>
    <w:rsid w:val="00406AC6"/>
    <w:rsid w:val="00406B28"/>
    <w:rsid w:val="00406D34"/>
    <w:rsid w:val="00406F1D"/>
    <w:rsid w:val="00406FEF"/>
    <w:rsid w:val="00406FF0"/>
    <w:rsid w:val="0040708B"/>
    <w:rsid w:val="0040714F"/>
    <w:rsid w:val="0040716C"/>
    <w:rsid w:val="0040734A"/>
    <w:rsid w:val="004075A4"/>
    <w:rsid w:val="004077DA"/>
    <w:rsid w:val="004079F5"/>
    <w:rsid w:val="00407A1D"/>
    <w:rsid w:val="00407A47"/>
    <w:rsid w:val="00407B82"/>
    <w:rsid w:val="00407E9E"/>
    <w:rsid w:val="00407F2E"/>
    <w:rsid w:val="0041004D"/>
    <w:rsid w:val="004102A3"/>
    <w:rsid w:val="00410665"/>
    <w:rsid w:val="00410783"/>
    <w:rsid w:val="00410803"/>
    <w:rsid w:val="004109DC"/>
    <w:rsid w:val="004109F9"/>
    <w:rsid w:val="00410A7E"/>
    <w:rsid w:val="00410ACE"/>
    <w:rsid w:val="00410D67"/>
    <w:rsid w:val="00410EA2"/>
    <w:rsid w:val="004110DD"/>
    <w:rsid w:val="004111A0"/>
    <w:rsid w:val="004111E3"/>
    <w:rsid w:val="00411323"/>
    <w:rsid w:val="0041135F"/>
    <w:rsid w:val="00411439"/>
    <w:rsid w:val="0041147A"/>
    <w:rsid w:val="004114FA"/>
    <w:rsid w:val="004116F5"/>
    <w:rsid w:val="00411977"/>
    <w:rsid w:val="004119A5"/>
    <w:rsid w:val="00411B3A"/>
    <w:rsid w:val="00411C50"/>
    <w:rsid w:val="00411C53"/>
    <w:rsid w:val="00411D71"/>
    <w:rsid w:val="00411F69"/>
    <w:rsid w:val="00411FC4"/>
    <w:rsid w:val="00412249"/>
    <w:rsid w:val="00412571"/>
    <w:rsid w:val="00412640"/>
    <w:rsid w:val="00412682"/>
    <w:rsid w:val="004128E4"/>
    <w:rsid w:val="004128FF"/>
    <w:rsid w:val="00412929"/>
    <w:rsid w:val="00412A41"/>
    <w:rsid w:val="00412D71"/>
    <w:rsid w:val="00412DE1"/>
    <w:rsid w:val="00412F0F"/>
    <w:rsid w:val="00412FE9"/>
    <w:rsid w:val="0041324F"/>
    <w:rsid w:val="00413345"/>
    <w:rsid w:val="00413588"/>
    <w:rsid w:val="00413885"/>
    <w:rsid w:val="004138F1"/>
    <w:rsid w:val="00413EB6"/>
    <w:rsid w:val="00414022"/>
    <w:rsid w:val="00414451"/>
    <w:rsid w:val="0041458E"/>
    <w:rsid w:val="00414777"/>
    <w:rsid w:val="004149A1"/>
    <w:rsid w:val="00414A41"/>
    <w:rsid w:val="00414A72"/>
    <w:rsid w:val="00414BDD"/>
    <w:rsid w:val="00414D11"/>
    <w:rsid w:val="00414D27"/>
    <w:rsid w:val="00414F50"/>
    <w:rsid w:val="00415057"/>
    <w:rsid w:val="00415141"/>
    <w:rsid w:val="00415195"/>
    <w:rsid w:val="00415232"/>
    <w:rsid w:val="004152C1"/>
    <w:rsid w:val="004154CC"/>
    <w:rsid w:val="00415636"/>
    <w:rsid w:val="004158FE"/>
    <w:rsid w:val="0041597C"/>
    <w:rsid w:val="00415C60"/>
    <w:rsid w:val="00415C6A"/>
    <w:rsid w:val="00415D7A"/>
    <w:rsid w:val="00415EC9"/>
    <w:rsid w:val="0041608A"/>
    <w:rsid w:val="0041636C"/>
    <w:rsid w:val="004165F2"/>
    <w:rsid w:val="004166EA"/>
    <w:rsid w:val="0041695E"/>
    <w:rsid w:val="004169C7"/>
    <w:rsid w:val="00416A25"/>
    <w:rsid w:val="00416A40"/>
    <w:rsid w:val="00416C35"/>
    <w:rsid w:val="00416D1F"/>
    <w:rsid w:val="00416F6F"/>
    <w:rsid w:val="00416FC6"/>
    <w:rsid w:val="00417056"/>
    <w:rsid w:val="00417700"/>
    <w:rsid w:val="004177B8"/>
    <w:rsid w:val="00417B06"/>
    <w:rsid w:val="00417B9E"/>
    <w:rsid w:val="00417BF5"/>
    <w:rsid w:val="004200F1"/>
    <w:rsid w:val="004201F7"/>
    <w:rsid w:val="00420205"/>
    <w:rsid w:val="00420294"/>
    <w:rsid w:val="004206FF"/>
    <w:rsid w:val="00420A5B"/>
    <w:rsid w:val="00420B35"/>
    <w:rsid w:val="00420BE2"/>
    <w:rsid w:val="00420D5E"/>
    <w:rsid w:val="00420F2D"/>
    <w:rsid w:val="00421187"/>
    <w:rsid w:val="00421703"/>
    <w:rsid w:val="004217FC"/>
    <w:rsid w:val="0042181E"/>
    <w:rsid w:val="00421AEF"/>
    <w:rsid w:val="00421B82"/>
    <w:rsid w:val="00421C60"/>
    <w:rsid w:val="00421DC4"/>
    <w:rsid w:val="0042205B"/>
    <w:rsid w:val="0042222A"/>
    <w:rsid w:val="004222A9"/>
    <w:rsid w:val="00422359"/>
    <w:rsid w:val="00422850"/>
    <w:rsid w:val="0042287D"/>
    <w:rsid w:val="00422951"/>
    <w:rsid w:val="00422AAC"/>
    <w:rsid w:val="00422CCF"/>
    <w:rsid w:val="00422D13"/>
    <w:rsid w:val="00422F5A"/>
    <w:rsid w:val="00422FE0"/>
    <w:rsid w:val="00423500"/>
    <w:rsid w:val="004235DF"/>
    <w:rsid w:val="00423749"/>
    <w:rsid w:val="004237BE"/>
    <w:rsid w:val="00423C3C"/>
    <w:rsid w:val="004240EE"/>
    <w:rsid w:val="0042427C"/>
    <w:rsid w:val="00424534"/>
    <w:rsid w:val="00424699"/>
    <w:rsid w:val="00424701"/>
    <w:rsid w:val="00424901"/>
    <w:rsid w:val="00424A80"/>
    <w:rsid w:val="00424B78"/>
    <w:rsid w:val="00424C07"/>
    <w:rsid w:val="00424C9A"/>
    <w:rsid w:val="00424DCE"/>
    <w:rsid w:val="00424DDF"/>
    <w:rsid w:val="00424E22"/>
    <w:rsid w:val="0042512E"/>
    <w:rsid w:val="00425327"/>
    <w:rsid w:val="00425365"/>
    <w:rsid w:val="00425378"/>
    <w:rsid w:val="00425582"/>
    <w:rsid w:val="0042558F"/>
    <w:rsid w:val="004255CB"/>
    <w:rsid w:val="00425603"/>
    <w:rsid w:val="00425701"/>
    <w:rsid w:val="00425C1E"/>
    <w:rsid w:val="00425C8F"/>
    <w:rsid w:val="00425F05"/>
    <w:rsid w:val="00425FAD"/>
    <w:rsid w:val="00426552"/>
    <w:rsid w:val="0042663C"/>
    <w:rsid w:val="00426686"/>
    <w:rsid w:val="004266BF"/>
    <w:rsid w:val="004268FB"/>
    <w:rsid w:val="00426A2A"/>
    <w:rsid w:val="00426A81"/>
    <w:rsid w:val="00426AA1"/>
    <w:rsid w:val="00426B6D"/>
    <w:rsid w:val="00426DE0"/>
    <w:rsid w:val="00426F12"/>
    <w:rsid w:val="00426F7F"/>
    <w:rsid w:val="00427043"/>
    <w:rsid w:val="0042707A"/>
    <w:rsid w:val="004272DB"/>
    <w:rsid w:val="004275E3"/>
    <w:rsid w:val="004276C8"/>
    <w:rsid w:val="004278A7"/>
    <w:rsid w:val="004279FD"/>
    <w:rsid w:val="00427C00"/>
    <w:rsid w:val="00427C25"/>
    <w:rsid w:val="00427D54"/>
    <w:rsid w:val="00427F49"/>
    <w:rsid w:val="00430049"/>
    <w:rsid w:val="00430204"/>
    <w:rsid w:val="004302FF"/>
    <w:rsid w:val="004303F6"/>
    <w:rsid w:val="004304C1"/>
    <w:rsid w:val="004307A3"/>
    <w:rsid w:val="004309D9"/>
    <w:rsid w:val="00430B9D"/>
    <w:rsid w:val="00430CB4"/>
    <w:rsid w:val="00430D74"/>
    <w:rsid w:val="00430E4C"/>
    <w:rsid w:val="00431481"/>
    <w:rsid w:val="00431490"/>
    <w:rsid w:val="004314B1"/>
    <w:rsid w:val="00431750"/>
    <w:rsid w:val="004319D6"/>
    <w:rsid w:val="00432239"/>
    <w:rsid w:val="004322DA"/>
    <w:rsid w:val="00432413"/>
    <w:rsid w:val="00432477"/>
    <w:rsid w:val="00432571"/>
    <w:rsid w:val="00432716"/>
    <w:rsid w:val="00432728"/>
    <w:rsid w:val="00432789"/>
    <w:rsid w:val="00432AC9"/>
    <w:rsid w:val="00432E69"/>
    <w:rsid w:val="00432E83"/>
    <w:rsid w:val="00432F62"/>
    <w:rsid w:val="00432F7B"/>
    <w:rsid w:val="004330D3"/>
    <w:rsid w:val="004334B8"/>
    <w:rsid w:val="004335AE"/>
    <w:rsid w:val="004335C7"/>
    <w:rsid w:val="00433613"/>
    <w:rsid w:val="00433744"/>
    <w:rsid w:val="004339A7"/>
    <w:rsid w:val="00433A5D"/>
    <w:rsid w:val="00433A89"/>
    <w:rsid w:val="00433D25"/>
    <w:rsid w:val="00434069"/>
    <w:rsid w:val="0043410D"/>
    <w:rsid w:val="0043451B"/>
    <w:rsid w:val="004346B4"/>
    <w:rsid w:val="00434A06"/>
    <w:rsid w:val="00434A49"/>
    <w:rsid w:val="00434AA7"/>
    <w:rsid w:val="00434BE8"/>
    <w:rsid w:val="00434C93"/>
    <w:rsid w:val="00435303"/>
    <w:rsid w:val="00435333"/>
    <w:rsid w:val="00435431"/>
    <w:rsid w:val="0043561F"/>
    <w:rsid w:val="0043579A"/>
    <w:rsid w:val="004357F1"/>
    <w:rsid w:val="00435C7B"/>
    <w:rsid w:val="00435CC0"/>
    <w:rsid w:val="00435D1D"/>
    <w:rsid w:val="00435F2F"/>
    <w:rsid w:val="00435F54"/>
    <w:rsid w:val="004361BD"/>
    <w:rsid w:val="00436619"/>
    <w:rsid w:val="004366B7"/>
    <w:rsid w:val="00436936"/>
    <w:rsid w:val="0043693A"/>
    <w:rsid w:val="00436C41"/>
    <w:rsid w:val="00436C47"/>
    <w:rsid w:val="004370D6"/>
    <w:rsid w:val="00437113"/>
    <w:rsid w:val="0043736C"/>
    <w:rsid w:val="00437458"/>
    <w:rsid w:val="0043763F"/>
    <w:rsid w:val="004376A5"/>
    <w:rsid w:val="0043770C"/>
    <w:rsid w:val="00437717"/>
    <w:rsid w:val="00437721"/>
    <w:rsid w:val="004377FE"/>
    <w:rsid w:val="00437A59"/>
    <w:rsid w:val="00437A7E"/>
    <w:rsid w:val="00437AB2"/>
    <w:rsid w:val="00437B06"/>
    <w:rsid w:val="00437B46"/>
    <w:rsid w:val="00437B96"/>
    <w:rsid w:val="00437C23"/>
    <w:rsid w:val="00437C2B"/>
    <w:rsid w:val="00440010"/>
    <w:rsid w:val="00440063"/>
    <w:rsid w:val="004401B8"/>
    <w:rsid w:val="00440310"/>
    <w:rsid w:val="00440356"/>
    <w:rsid w:val="0044045F"/>
    <w:rsid w:val="0044062F"/>
    <w:rsid w:val="00440793"/>
    <w:rsid w:val="00440901"/>
    <w:rsid w:val="00440D4E"/>
    <w:rsid w:val="00440E18"/>
    <w:rsid w:val="00440F62"/>
    <w:rsid w:val="00441098"/>
    <w:rsid w:val="00441130"/>
    <w:rsid w:val="00441230"/>
    <w:rsid w:val="0044140D"/>
    <w:rsid w:val="0044165B"/>
    <w:rsid w:val="004418A6"/>
    <w:rsid w:val="00441A67"/>
    <w:rsid w:val="00441B20"/>
    <w:rsid w:val="00441BDD"/>
    <w:rsid w:val="00441CF4"/>
    <w:rsid w:val="00441D4E"/>
    <w:rsid w:val="00441EE9"/>
    <w:rsid w:val="00441F3C"/>
    <w:rsid w:val="0044200C"/>
    <w:rsid w:val="00442095"/>
    <w:rsid w:val="004427FA"/>
    <w:rsid w:val="00442B13"/>
    <w:rsid w:val="00442D87"/>
    <w:rsid w:val="00442EB3"/>
    <w:rsid w:val="00443825"/>
    <w:rsid w:val="004438A0"/>
    <w:rsid w:val="00443B1A"/>
    <w:rsid w:val="00443C21"/>
    <w:rsid w:val="00443C2E"/>
    <w:rsid w:val="00443C8D"/>
    <w:rsid w:val="004440A6"/>
    <w:rsid w:val="0044419A"/>
    <w:rsid w:val="00444394"/>
    <w:rsid w:val="00444404"/>
    <w:rsid w:val="00444C1B"/>
    <w:rsid w:val="00444E14"/>
    <w:rsid w:val="004450D9"/>
    <w:rsid w:val="00445115"/>
    <w:rsid w:val="00445137"/>
    <w:rsid w:val="00445232"/>
    <w:rsid w:val="00445417"/>
    <w:rsid w:val="0044555B"/>
    <w:rsid w:val="0044597E"/>
    <w:rsid w:val="00445A09"/>
    <w:rsid w:val="00445B17"/>
    <w:rsid w:val="00445B6D"/>
    <w:rsid w:val="00445C16"/>
    <w:rsid w:val="00445D9D"/>
    <w:rsid w:val="00445FDC"/>
    <w:rsid w:val="00446018"/>
    <w:rsid w:val="004460B7"/>
    <w:rsid w:val="00446267"/>
    <w:rsid w:val="004465DE"/>
    <w:rsid w:val="00446A65"/>
    <w:rsid w:val="00446B81"/>
    <w:rsid w:val="00446E14"/>
    <w:rsid w:val="00446E2A"/>
    <w:rsid w:val="00447030"/>
    <w:rsid w:val="00447269"/>
    <w:rsid w:val="004472A3"/>
    <w:rsid w:val="0044739B"/>
    <w:rsid w:val="00447785"/>
    <w:rsid w:val="004479D0"/>
    <w:rsid w:val="00447AC1"/>
    <w:rsid w:val="004502B1"/>
    <w:rsid w:val="004502D2"/>
    <w:rsid w:val="004502D6"/>
    <w:rsid w:val="00450882"/>
    <w:rsid w:val="004509E4"/>
    <w:rsid w:val="00450C34"/>
    <w:rsid w:val="00450C97"/>
    <w:rsid w:val="0045101D"/>
    <w:rsid w:val="00451063"/>
    <w:rsid w:val="00451191"/>
    <w:rsid w:val="0045121B"/>
    <w:rsid w:val="004513C3"/>
    <w:rsid w:val="0045141D"/>
    <w:rsid w:val="004514C8"/>
    <w:rsid w:val="004517D6"/>
    <w:rsid w:val="004517FC"/>
    <w:rsid w:val="00451997"/>
    <w:rsid w:val="004519BE"/>
    <w:rsid w:val="00451F05"/>
    <w:rsid w:val="0045232A"/>
    <w:rsid w:val="0045236D"/>
    <w:rsid w:val="00452439"/>
    <w:rsid w:val="00452464"/>
    <w:rsid w:val="00452762"/>
    <w:rsid w:val="00452A8B"/>
    <w:rsid w:val="00452AC1"/>
    <w:rsid w:val="00452BDA"/>
    <w:rsid w:val="00452C57"/>
    <w:rsid w:val="00452C9A"/>
    <w:rsid w:val="00452CAD"/>
    <w:rsid w:val="00452E77"/>
    <w:rsid w:val="00452EAE"/>
    <w:rsid w:val="00453691"/>
    <w:rsid w:val="004536B6"/>
    <w:rsid w:val="00453EB3"/>
    <w:rsid w:val="00453F42"/>
    <w:rsid w:val="004542C6"/>
    <w:rsid w:val="0045436A"/>
    <w:rsid w:val="00454418"/>
    <w:rsid w:val="0045444C"/>
    <w:rsid w:val="00454482"/>
    <w:rsid w:val="0045456E"/>
    <w:rsid w:val="00454599"/>
    <w:rsid w:val="004549E3"/>
    <w:rsid w:val="00454A1E"/>
    <w:rsid w:val="00454AE9"/>
    <w:rsid w:val="00454DE4"/>
    <w:rsid w:val="00454EB4"/>
    <w:rsid w:val="00455040"/>
    <w:rsid w:val="004552B7"/>
    <w:rsid w:val="004555A8"/>
    <w:rsid w:val="004555DF"/>
    <w:rsid w:val="00455697"/>
    <w:rsid w:val="00455856"/>
    <w:rsid w:val="00455929"/>
    <w:rsid w:val="00455BFF"/>
    <w:rsid w:val="00455E07"/>
    <w:rsid w:val="00455FCD"/>
    <w:rsid w:val="0045640D"/>
    <w:rsid w:val="0045645B"/>
    <w:rsid w:val="00456835"/>
    <w:rsid w:val="0045683D"/>
    <w:rsid w:val="0045685B"/>
    <w:rsid w:val="00456974"/>
    <w:rsid w:val="004569D3"/>
    <w:rsid w:val="00456B26"/>
    <w:rsid w:val="00456D1A"/>
    <w:rsid w:val="00456F04"/>
    <w:rsid w:val="00456F23"/>
    <w:rsid w:val="00456FB4"/>
    <w:rsid w:val="00457060"/>
    <w:rsid w:val="004570C6"/>
    <w:rsid w:val="0045721D"/>
    <w:rsid w:val="0045724F"/>
    <w:rsid w:val="00457353"/>
    <w:rsid w:val="00457440"/>
    <w:rsid w:val="004574D7"/>
    <w:rsid w:val="004576F5"/>
    <w:rsid w:val="004577CE"/>
    <w:rsid w:val="00457945"/>
    <w:rsid w:val="00457AC0"/>
    <w:rsid w:val="00460043"/>
    <w:rsid w:val="004602EB"/>
    <w:rsid w:val="0046056A"/>
    <w:rsid w:val="004605A8"/>
    <w:rsid w:val="004605B7"/>
    <w:rsid w:val="004606B7"/>
    <w:rsid w:val="00460A75"/>
    <w:rsid w:val="00460B31"/>
    <w:rsid w:val="00460CC1"/>
    <w:rsid w:val="00460DCD"/>
    <w:rsid w:val="00461065"/>
    <w:rsid w:val="00461211"/>
    <w:rsid w:val="00461381"/>
    <w:rsid w:val="004615B7"/>
    <w:rsid w:val="0046175F"/>
    <w:rsid w:val="0046186F"/>
    <w:rsid w:val="00461A49"/>
    <w:rsid w:val="00461A96"/>
    <w:rsid w:val="00461C42"/>
    <w:rsid w:val="00461D94"/>
    <w:rsid w:val="004622BE"/>
    <w:rsid w:val="00462981"/>
    <w:rsid w:val="00462992"/>
    <w:rsid w:val="00462EBD"/>
    <w:rsid w:val="00463114"/>
    <w:rsid w:val="004631EA"/>
    <w:rsid w:val="00463338"/>
    <w:rsid w:val="00463487"/>
    <w:rsid w:val="00463743"/>
    <w:rsid w:val="004639AA"/>
    <w:rsid w:val="004639FD"/>
    <w:rsid w:val="00463CD9"/>
    <w:rsid w:val="00463E4B"/>
    <w:rsid w:val="00463ED8"/>
    <w:rsid w:val="004641CF"/>
    <w:rsid w:val="004641F1"/>
    <w:rsid w:val="004645CF"/>
    <w:rsid w:val="00464602"/>
    <w:rsid w:val="0046462D"/>
    <w:rsid w:val="004646F3"/>
    <w:rsid w:val="004647B9"/>
    <w:rsid w:val="00464805"/>
    <w:rsid w:val="00464909"/>
    <w:rsid w:val="00464933"/>
    <w:rsid w:val="004651D9"/>
    <w:rsid w:val="00465215"/>
    <w:rsid w:val="00465260"/>
    <w:rsid w:val="00465315"/>
    <w:rsid w:val="004654A0"/>
    <w:rsid w:val="00465552"/>
    <w:rsid w:val="00465725"/>
    <w:rsid w:val="00465828"/>
    <w:rsid w:val="004658BA"/>
    <w:rsid w:val="00465B02"/>
    <w:rsid w:val="0046630A"/>
    <w:rsid w:val="0046650E"/>
    <w:rsid w:val="00466514"/>
    <w:rsid w:val="0046659A"/>
    <w:rsid w:val="0046683F"/>
    <w:rsid w:val="00466890"/>
    <w:rsid w:val="00466891"/>
    <w:rsid w:val="004669EE"/>
    <w:rsid w:val="00466BEC"/>
    <w:rsid w:val="00466C9B"/>
    <w:rsid w:val="00466D16"/>
    <w:rsid w:val="00466D6D"/>
    <w:rsid w:val="00466F83"/>
    <w:rsid w:val="00467032"/>
    <w:rsid w:val="004670C7"/>
    <w:rsid w:val="004670DB"/>
    <w:rsid w:val="004670ED"/>
    <w:rsid w:val="004672D0"/>
    <w:rsid w:val="00467562"/>
    <w:rsid w:val="0046764E"/>
    <w:rsid w:val="004676C3"/>
    <w:rsid w:val="00467711"/>
    <w:rsid w:val="004677EC"/>
    <w:rsid w:val="00467CFF"/>
    <w:rsid w:val="00467D17"/>
    <w:rsid w:val="00467DD6"/>
    <w:rsid w:val="00467FB7"/>
    <w:rsid w:val="00470313"/>
    <w:rsid w:val="004705A1"/>
    <w:rsid w:val="00470673"/>
    <w:rsid w:val="00470AC5"/>
    <w:rsid w:val="00470C2C"/>
    <w:rsid w:val="00470F8F"/>
    <w:rsid w:val="00470FAA"/>
    <w:rsid w:val="00471236"/>
    <w:rsid w:val="0047135F"/>
    <w:rsid w:val="00471531"/>
    <w:rsid w:val="004717B9"/>
    <w:rsid w:val="0047191C"/>
    <w:rsid w:val="00471BCB"/>
    <w:rsid w:val="00472468"/>
    <w:rsid w:val="004725EF"/>
    <w:rsid w:val="00472828"/>
    <w:rsid w:val="0047292A"/>
    <w:rsid w:val="00472982"/>
    <w:rsid w:val="00472EFD"/>
    <w:rsid w:val="00472F77"/>
    <w:rsid w:val="004731FE"/>
    <w:rsid w:val="00473268"/>
    <w:rsid w:val="0047341A"/>
    <w:rsid w:val="00473529"/>
    <w:rsid w:val="004735EE"/>
    <w:rsid w:val="00473638"/>
    <w:rsid w:val="0047368D"/>
    <w:rsid w:val="004736FC"/>
    <w:rsid w:val="004738C6"/>
    <w:rsid w:val="004739CA"/>
    <w:rsid w:val="00473ACB"/>
    <w:rsid w:val="00473D3C"/>
    <w:rsid w:val="00473D6C"/>
    <w:rsid w:val="00473DFE"/>
    <w:rsid w:val="00473E01"/>
    <w:rsid w:val="00473E10"/>
    <w:rsid w:val="00473F24"/>
    <w:rsid w:val="004743EB"/>
    <w:rsid w:val="0047497C"/>
    <w:rsid w:val="00474A2F"/>
    <w:rsid w:val="00474A73"/>
    <w:rsid w:val="00474A8C"/>
    <w:rsid w:val="00474AF7"/>
    <w:rsid w:val="00474BFB"/>
    <w:rsid w:val="00474C11"/>
    <w:rsid w:val="00474CB0"/>
    <w:rsid w:val="00474EAF"/>
    <w:rsid w:val="00474F9A"/>
    <w:rsid w:val="0047523E"/>
    <w:rsid w:val="004753BA"/>
    <w:rsid w:val="004758A3"/>
    <w:rsid w:val="0047592D"/>
    <w:rsid w:val="00475A3B"/>
    <w:rsid w:val="00475AF0"/>
    <w:rsid w:val="00475B4F"/>
    <w:rsid w:val="00475C61"/>
    <w:rsid w:val="00476021"/>
    <w:rsid w:val="00476033"/>
    <w:rsid w:val="0047608B"/>
    <w:rsid w:val="004763A2"/>
    <w:rsid w:val="00476491"/>
    <w:rsid w:val="00476493"/>
    <w:rsid w:val="00476496"/>
    <w:rsid w:val="0047663E"/>
    <w:rsid w:val="004769F2"/>
    <w:rsid w:val="00476B2E"/>
    <w:rsid w:val="00476C1D"/>
    <w:rsid w:val="00476EF2"/>
    <w:rsid w:val="00477136"/>
    <w:rsid w:val="0047720E"/>
    <w:rsid w:val="00477233"/>
    <w:rsid w:val="004773DF"/>
    <w:rsid w:val="00477401"/>
    <w:rsid w:val="00477416"/>
    <w:rsid w:val="0047748A"/>
    <w:rsid w:val="00477732"/>
    <w:rsid w:val="00477BE5"/>
    <w:rsid w:val="00477D57"/>
    <w:rsid w:val="00477F51"/>
    <w:rsid w:val="00477FCD"/>
    <w:rsid w:val="00480147"/>
    <w:rsid w:val="0048028E"/>
    <w:rsid w:val="004807E1"/>
    <w:rsid w:val="004808AF"/>
    <w:rsid w:val="00480994"/>
    <w:rsid w:val="00480DAA"/>
    <w:rsid w:val="004810B5"/>
    <w:rsid w:val="00481148"/>
    <w:rsid w:val="00481168"/>
    <w:rsid w:val="004811AD"/>
    <w:rsid w:val="0048158D"/>
    <w:rsid w:val="00481D16"/>
    <w:rsid w:val="00481EFA"/>
    <w:rsid w:val="00482012"/>
    <w:rsid w:val="0048237E"/>
    <w:rsid w:val="0048238B"/>
    <w:rsid w:val="00482524"/>
    <w:rsid w:val="00482550"/>
    <w:rsid w:val="00482562"/>
    <w:rsid w:val="004825C2"/>
    <w:rsid w:val="00482707"/>
    <w:rsid w:val="004828F9"/>
    <w:rsid w:val="00482941"/>
    <w:rsid w:val="00482A5D"/>
    <w:rsid w:val="00482A7E"/>
    <w:rsid w:val="00482C9F"/>
    <w:rsid w:val="00482CA6"/>
    <w:rsid w:val="00482D7C"/>
    <w:rsid w:val="00482EDD"/>
    <w:rsid w:val="00482F76"/>
    <w:rsid w:val="00482FDB"/>
    <w:rsid w:val="0048331E"/>
    <w:rsid w:val="004833A8"/>
    <w:rsid w:val="00483410"/>
    <w:rsid w:val="00483575"/>
    <w:rsid w:val="00483842"/>
    <w:rsid w:val="00483CAC"/>
    <w:rsid w:val="00483DA1"/>
    <w:rsid w:val="00483FE2"/>
    <w:rsid w:val="00483FF3"/>
    <w:rsid w:val="00484074"/>
    <w:rsid w:val="00484258"/>
    <w:rsid w:val="0048448B"/>
    <w:rsid w:val="004844A1"/>
    <w:rsid w:val="00484578"/>
    <w:rsid w:val="00484593"/>
    <w:rsid w:val="0048473F"/>
    <w:rsid w:val="004847AD"/>
    <w:rsid w:val="004849E2"/>
    <w:rsid w:val="00484B66"/>
    <w:rsid w:val="00484D6B"/>
    <w:rsid w:val="00485139"/>
    <w:rsid w:val="00485277"/>
    <w:rsid w:val="0048540C"/>
    <w:rsid w:val="004857EC"/>
    <w:rsid w:val="00485828"/>
    <w:rsid w:val="004858C4"/>
    <w:rsid w:val="004859C6"/>
    <w:rsid w:val="00485A26"/>
    <w:rsid w:val="00485A2D"/>
    <w:rsid w:val="00485AC8"/>
    <w:rsid w:val="00485FE3"/>
    <w:rsid w:val="00486019"/>
    <w:rsid w:val="00486671"/>
    <w:rsid w:val="004867A0"/>
    <w:rsid w:val="00486900"/>
    <w:rsid w:val="00486B9D"/>
    <w:rsid w:val="00486BAA"/>
    <w:rsid w:val="00486D31"/>
    <w:rsid w:val="00486D91"/>
    <w:rsid w:val="00486EDE"/>
    <w:rsid w:val="00486F2A"/>
    <w:rsid w:val="00487076"/>
    <w:rsid w:val="0048735A"/>
    <w:rsid w:val="00487469"/>
    <w:rsid w:val="00487517"/>
    <w:rsid w:val="00487880"/>
    <w:rsid w:val="0048798C"/>
    <w:rsid w:val="00487AF8"/>
    <w:rsid w:val="00487B21"/>
    <w:rsid w:val="00487BD0"/>
    <w:rsid w:val="0049014E"/>
    <w:rsid w:val="00490222"/>
    <w:rsid w:val="004903BC"/>
    <w:rsid w:val="0049053F"/>
    <w:rsid w:val="00490611"/>
    <w:rsid w:val="004906B3"/>
    <w:rsid w:val="004907E0"/>
    <w:rsid w:val="00490810"/>
    <w:rsid w:val="00490815"/>
    <w:rsid w:val="004908DD"/>
    <w:rsid w:val="00490C8C"/>
    <w:rsid w:val="00490D1F"/>
    <w:rsid w:val="00490D26"/>
    <w:rsid w:val="004910AC"/>
    <w:rsid w:val="004912EF"/>
    <w:rsid w:val="0049186B"/>
    <w:rsid w:val="004918D6"/>
    <w:rsid w:val="00491CE7"/>
    <w:rsid w:val="00491D1C"/>
    <w:rsid w:val="00491E42"/>
    <w:rsid w:val="00492072"/>
    <w:rsid w:val="004920B0"/>
    <w:rsid w:val="0049225A"/>
    <w:rsid w:val="00492379"/>
    <w:rsid w:val="00492426"/>
    <w:rsid w:val="004925F6"/>
    <w:rsid w:val="00492648"/>
    <w:rsid w:val="004926A7"/>
    <w:rsid w:val="00492927"/>
    <w:rsid w:val="00492AE5"/>
    <w:rsid w:val="00493123"/>
    <w:rsid w:val="004932E8"/>
    <w:rsid w:val="004933C4"/>
    <w:rsid w:val="004935EC"/>
    <w:rsid w:val="0049365A"/>
    <w:rsid w:val="00493728"/>
    <w:rsid w:val="004938A6"/>
    <w:rsid w:val="004938A8"/>
    <w:rsid w:val="00493B78"/>
    <w:rsid w:val="00493E3D"/>
    <w:rsid w:val="00493FBA"/>
    <w:rsid w:val="004943EA"/>
    <w:rsid w:val="004947E3"/>
    <w:rsid w:val="00494B1E"/>
    <w:rsid w:val="00494D47"/>
    <w:rsid w:val="004950C4"/>
    <w:rsid w:val="004950D3"/>
    <w:rsid w:val="00495317"/>
    <w:rsid w:val="00495433"/>
    <w:rsid w:val="0049547D"/>
    <w:rsid w:val="0049573B"/>
    <w:rsid w:val="00495783"/>
    <w:rsid w:val="004957A8"/>
    <w:rsid w:val="0049590D"/>
    <w:rsid w:val="00495AA0"/>
    <w:rsid w:val="00495C2C"/>
    <w:rsid w:val="00495D16"/>
    <w:rsid w:val="00495E24"/>
    <w:rsid w:val="00495E80"/>
    <w:rsid w:val="004961B1"/>
    <w:rsid w:val="00496218"/>
    <w:rsid w:val="0049629C"/>
    <w:rsid w:val="004963C7"/>
    <w:rsid w:val="00496481"/>
    <w:rsid w:val="0049691C"/>
    <w:rsid w:val="004969A3"/>
    <w:rsid w:val="00496DDC"/>
    <w:rsid w:val="00497215"/>
    <w:rsid w:val="00497240"/>
    <w:rsid w:val="004977A1"/>
    <w:rsid w:val="00497894"/>
    <w:rsid w:val="00497BC6"/>
    <w:rsid w:val="00497CAC"/>
    <w:rsid w:val="00497E92"/>
    <w:rsid w:val="00497EE4"/>
    <w:rsid w:val="00497F10"/>
    <w:rsid w:val="004A006E"/>
    <w:rsid w:val="004A0582"/>
    <w:rsid w:val="004A09ED"/>
    <w:rsid w:val="004A0AC8"/>
    <w:rsid w:val="004A0E0D"/>
    <w:rsid w:val="004A1273"/>
    <w:rsid w:val="004A1294"/>
    <w:rsid w:val="004A145F"/>
    <w:rsid w:val="004A1674"/>
    <w:rsid w:val="004A16EB"/>
    <w:rsid w:val="004A180E"/>
    <w:rsid w:val="004A194E"/>
    <w:rsid w:val="004A1958"/>
    <w:rsid w:val="004A19A1"/>
    <w:rsid w:val="004A1A23"/>
    <w:rsid w:val="004A1C54"/>
    <w:rsid w:val="004A1DC0"/>
    <w:rsid w:val="004A204C"/>
    <w:rsid w:val="004A2091"/>
    <w:rsid w:val="004A2299"/>
    <w:rsid w:val="004A26C4"/>
    <w:rsid w:val="004A2720"/>
    <w:rsid w:val="004A27DE"/>
    <w:rsid w:val="004A2897"/>
    <w:rsid w:val="004A2C40"/>
    <w:rsid w:val="004A2C5B"/>
    <w:rsid w:val="004A2E54"/>
    <w:rsid w:val="004A2FFC"/>
    <w:rsid w:val="004A30DE"/>
    <w:rsid w:val="004A30F4"/>
    <w:rsid w:val="004A3395"/>
    <w:rsid w:val="004A36DC"/>
    <w:rsid w:val="004A399D"/>
    <w:rsid w:val="004A3B42"/>
    <w:rsid w:val="004A3C72"/>
    <w:rsid w:val="004A3E1A"/>
    <w:rsid w:val="004A3FC0"/>
    <w:rsid w:val="004A3FFF"/>
    <w:rsid w:val="004A4117"/>
    <w:rsid w:val="004A45D0"/>
    <w:rsid w:val="004A465E"/>
    <w:rsid w:val="004A46C4"/>
    <w:rsid w:val="004A4771"/>
    <w:rsid w:val="004A47E6"/>
    <w:rsid w:val="004A4924"/>
    <w:rsid w:val="004A4C7C"/>
    <w:rsid w:val="004A4CFB"/>
    <w:rsid w:val="004A4D00"/>
    <w:rsid w:val="004A4D34"/>
    <w:rsid w:val="004A4DCD"/>
    <w:rsid w:val="004A4ED7"/>
    <w:rsid w:val="004A4F09"/>
    <w:rsid w:val="004A4FCF"/>
    <w:rsid w:val="004A4FEF"/>
    <w:rsid w:val="004A52AB"/>
    <w:rsid w:val="004A53F3"/>
    <w:rsid w:val="004A5504"/>
    <w:rsid w:val="004A556B"/>
    <w:rsid w:val="004A591E"/>
    <w:rsid w:val="004A5DE3"/>
    <w:rsid w:val="004A5F36"/>
    <w:rsid w:val="004A6058"/>
    <w:rsid w:val="004A61DC"/>
    <w:rsid w:val="004A62C1"/>
    <w:rsid w:val="004A6A17"/>
    <w:rsid w:val="004A6B83"/>
    <w:rsid w:val="004A6CEC"/>
    <w:rsid w:val="004A6F3D"/>
    <w:rsid w:val="004A6F8B"/>
    <w:rsid w:val="004A705E"/>
    <w:rsid w:val="004A70DB"/>
    <w:rsid w:val="004A7120"/>
    <w:rsid w:val="004A72DA"/>
    <w:rsid w:val="004A734C"/>
    <w:rsid w:val="004A749C"/>
    <w:rsid w:val="004A760E"/>
    <w:rsid w:val="004A771A"/>
    <w:rsid w:val="004A7B7B"/>
    <w:rsid w:val="004A7CBC"/>
    <w:rsid w:val="004A7D44"/>
    <w:rsid w:val="004A7DED"/>
    <w:rsid w:val="004B021C"/>
    <w:rsid w:val="004B02EB"/>
    <w:rsid w:val="004B035D"/>
    <w:rsid w:val="004B040B"/>
    <w:rsid w:val="004B0510"/>
    <w:rsid w:val="004B06D5"/>
    <w:rsid w:val="004B08FF"/>
    <w:rsid w:val="004B0B8C"/>
    <w:rsid w:val="004B0C32"/>
    <w:rsid w:val="004B0C7D"/>
    <w:rsid w:val="004B0D08"/>
    <w:rsid w:val="004B12F6"/>
    <w:rsid w:val="004B1560"/>
    <w:rsid w:val="004B1715"/>
    <w:rsid w:val="004B1774"/>
    <w:rsid w:val="004B1A13"/>
    <w:rsid w:val="004B1AB6"/>
    <w:rsid w:val="004B1B2E"/>
    <w:rsid w:val="004B1D22"/>
    <w:rsid w:val="004B1E76"/>
    <w:rsid w:val="004B1E89"/>
    <w:rsid w:val="004B1F87"/>
    <w:rsid w:val="004B2071"/>
    <w:rsid w:val="004B20A3"/>
    <w:rsid w:val="004B20E8"/>
    <w:rsid w:val="004B2204"/>
    <w:rsid w:val="004B221A"/>
    <w:rsid w:val="004B23A6"/>
    <w:rsid w:val="004B24ED"/>
    <w:rsid w:val="004B260A"/>
    <w:rsid w:val="004B26F9"/>
    <w:rsid w:val="004B28DF"/>
    <w:rsid w:val="004B2908"/>
    <w:rsid w:val="004B308F"/>
    <w:rsid w:val="004B30DB"/>
    <w:rsid w:val="004B3196"/>
    <w:rsid w:val="004B33CC"/>
    <w:rsid w:val="004B3474"/>
    <w:rsid w:val="004B3969"/>
    <w:rsid w:val="004B39B9"/>
    <w:rsid w:val="004B39C9"/>
    <w:rsid w:val="004B3A0A"/>
    <w:rsid w:val="004B3C3A"/>
    <w:rsid w:val="004B3CA0"/>
    <w:rsid w:val="004B3CEF"/>
    <w:rsid w:val="004B3D34"/>
    <w:rsid w:val="004B3ED2"/>
    <w:rsid w:val="004B3EDB"/>
    <w:rsid w:val="004B3EFA"/>
    <w:rsid w:val="004B4008"/>
    <w:rsid w:val="004B43BB"/>
    <w:rsid w:val="004B4595"/>
    <w:rsid w:val="004B471F"/>
    <w:rsid w:val="004B47B3"/>
    <w:rsid w:val="004B4888"/>
    <w:rsid w:val="004B4A56"/>
    <w:rsid w:val="004B4B4B"/>
    <w:rsid w:val="004B4C38"/>
    <w:rsid w:val="004B4D7F"/>
    <w:rsid w:val="004B4E07"/>
    <w:rsid w:val="004B4E25"/>
    <w:rsid w:val="004B4EBE"/>
    <w:rsid w:val="004B5207"/>
    <w:rsid w:val="004B594B"/>
    <w:rsid w:val="004B5BAB"/>
    <w:rsid w:val="004B5C2E"/>
    <w:rsid w:val="004B5D0C"/>
    <w:rsid w:val="004B6201"/>
    <w:rsid w:val="004B6210"/>
    <w:rsid w:val="004B6395"/>
    <w:rsid w:val="004B6714"/>
    <w:rsid w:val="004B686B"/>
    <w:rsid w:val="004B6A3D"/>
    <w:rsid w:val="004B6C71"/>
    <w:rsid w:val="004B73C7"/>
    <w:rsid w:val="004B7503"/>
    <w:rsid w:val="004B7537"/>
    <w:rsid w:val="004B774D"/>
    <w:rsid w:val="004B7A65"/>
    <w:rsid w:val="004B7B1E"/>
    <w:rsid w:val="004B7D17"/>
    <w:rsid w:val="004B7D4F"/>
    <w:rsid w:val="004B7F08"/>
    <w:rsid w:val="004C001C"/>
    <w:rsid w:val="004C0312"/>
    <w:rsid w:val="004C03A5"/>
    <w:rsid w:val="004C0581"/>
    <w:rsid w:val="004C05DE"/>
    <w:rsid w:val="004C0867"/>
    <w:rsid w:val="004C0BCE"/>
    <w:rsid w:val="004C0F70"/>
    <w:rsid w:val="004C15D4"/>
    <w:rsid w:val="004C17E9"/>
    <w:rsid w:val="004C1B46"/>
    <w:rsid w:val="004C1B4F"/>
    <w:rsid w:val="004C1DBB"/>
    <w:rsid w:val="004C1E16"/>
    <w:rsid w:val="004C205D"/>
    <w:rsid w:val="004C206A"/>
    <w:rsid w:val="004C22FF"/>
    <w:rsid w:val="004C26FD"/>
    <w:rsid w:val="004C2C5C"/>
    <w:rsid w:val="004C2CD3"/>
    <w:rsid w:val="004C2F98"/>
    <w:rsid w:val="004C3148"/>
    <w:rsid w:val="004C3187"/>
    <w:rsid w:val="004C33AF"/>
    <w:rsid w:val="004C349A"/>
    <w:rsid w:val="004C3564"/>
    <w:rsid w:val="004C3799"/>
    <w:rsid w:val="004C38BD"/>
    <w:rsid w:val="004C3C53"/>
    <w:rsid w:val="004C437E"/>
    <w:rsid w:val="004C461A"/>
    <w:rsid w:val="004C467E"/>
    <w:rsid w:val="004C493C"/>
    <w:rsid w:val="004C49C5"/>
    <w:rsid w:val="004C49E5"/>
    <w:rsid w:val="004C5134"/>
    <w:rsid w:val="004C52E4"/>
    <w:rsid w:val="004C54C7"/>
    <w:rsid w:val="004C5662"/>
    <w:rsid w:val="004C56A5"/>
    <w:rsid w:val="004C5747"/>
    <w:rsid w:val="004C589F"/>
    <w:rsid w:val="004C59D0"/>
    <w:rsid w:val="004C5ADD"/>
    <w:rsid w:val="004C5BC7"/>
    <w:rsid w:val="004C5D44"/>
    <w:rsid w:val="004C6496"/>
    <w:rsid w:val="004C6695"/>
    <w:rsid w:val="004C6990"/>
    <w:rsid w:val="004C6996"/>
    <w:rsid w:val="004C6AA6"/>
    <w:rsid w:val="004C6D3E"/>
    <w:rsid w:val="004C6EB0"/>
    <w:rsid w:val="004C71DB"/>
    <w:rsid w:val="004C722A"/>
    <w:rsid w:val="004C727C"/>
    <w:rsid w:val="004C72EC"/>
    <w:rsid w:val="004C73B8"/>
    <w:rsid w:val="004C7435"/>
    <w:rsid w:val="004C74A3"/>
    <w:rsid w:val="004C77F1"/>
    <w:rsid w:val="004C787A"/>
    <w:rsid w:val="004C799A"/>
    <w:rsid w:val="004C79CF"/>
    <w:rsid w:val="004C7A20"/>
    <w:rsid w:val="004C7BBC"/>
    <w:rsid w:val="004C7F55"/>
    <w:rsid w:val="004C7FE5"/>
    <w:rsid w:val="004CC060"/>
    <w:rsid w:val="004D01BF"/>
    <w:rsid w:val="004D03BD"/>
    <w:rsid w:val="004D0518"/>
    <w:rsid w:val="004D05AC"/>
    <w:rsid w:val="004D0791"/>
    <w:rsid w:val="004D09B2"/>
    <w:rsid w:val="004D0D48"/>
    <w:rsid w:val="004D0E91"/>
    <w:rsid w:val="004D10ED"/>
    <w:rsid w:val="004D1253"/>
    <w:rsid w:val="004D1396"/>
    <w:rsid w:val="004D1469"/>
    <w:rsid w:val="004D1533"/>
    <w:rsid w:val="004D15EC"/>
    <w:rsid w:val="004D1AF8"/>
    <w:rsid w:val="004D1BE4"/>
    <w:rsid w:val="004D1ECE"/>
    <w:rsid w:val="004D2009"/>
    <w:rsid w:val="004D2023"/>
    <w:rsid w:val="004D204A"/>
    <w:rsid w:val="004D20BF"/>
    <w:rsid w:val="004D234F"/>
    <w:rsid w:val="004D2420"/>
    <w:rsid w:val="004D25B7"/>
    <w:rsid w:val="004D2647"/>
    <w:rsid w:val="004D2A53"/>
    <w:rsid w:val="004D2B55"/>
    <w:rsid w:val="004D2BB4"/>
    <w:rsid w:val="004D2C84"/>
    <w:rsid w:val="004D303E"/>
    <w:rsid w:val="004D30C5"/>
    <w:rsid w:val="004D332A"/>
    <w:rsid w:val="004D3372"/>
    <w:rsid w:val="004D33FB"/>
    <w:rsid w:val="004D34AF"/>
    <w:rsid w:val="004D3696"/>
    <w:rsid w:val="004D37BE"/>
    <w:rsid w:val="004D3836"/>
    <w:rsid w:val="004D3A73"/>
    <w:rsid w:val="004D3CA2"/>
    <w:rsid w:val="004D3E1E"/>
    <w:rsid w:val="004D3ED7"/>
    <w:rsid w:val="004D4162"/>
    <w:rsid w:val="004D42A9"/>
    <w:rsid w:val="004D436F"/>
    <w:rsid w:val="004D44B3"/>
    <w:rsid w:val="004D4665"/>
    <w:rsid w:val="004D4AB2"/>
    <w:rsid w:val="004D4B6D"/>
    <w:rsid w:val="004D4D55"/>
    <w:rsid w:val="004D4F54"/>
    <w:rsid w:val="004D56DD"/>
    <w:rsid w:val="004D56FE"/>
    <w:rsid w:val="004D574C"/>
    <w:rsid w:val="004D5761"/>
    <w:rsid w:val="004D5973"/>
    <w:rsid w:val="004D5BD3"/>
    <w:rsid w:val="004D5E8C"/>
    <w:rsid w:val="004D605D"/>
    <w:rsid w:val="004D607F"/>
    <w:rsid w:val="004D60AD"/>
    <w:rsid w:val="004D6161"/>
    <w:rsid w:val="004D619E"/>
    <w:rsid w:val="004D61CF"/>
    <w:rsid w:val="004D64F3"/>
    <w:rsid w:val="004D662F"/>
    <w:rsid w:val="004D66CD"/>
    <w:rsid w:val="004D66D0"/>
    <w:rsid w:val="004D67C5"/>
    <w:rsid w:val="004D6A66"/>
    <w:rsid w:val="004D6B8C"/>
    <w:rsid w:val="004D6B9D"/>
    <w:rsid w:val="004D6D09"/>
    <w:rsid w:val="004D6D2C"/>
    <w:rsid w:val="004D6ECC"/>
    <w:rsid w:val="004D6F52"/>
    <w:rsid w:val="004D6FF9"/>
    <w:rsid w:val="004D72A5"/>
    <w:rsid w:val="004D749E"/>
    <w:rsid w:val="004D753C"/>
    <w:rsid w:val="004D776C"/>
    <w:rsid w:val="004D781F"/>
    <w:rsid w:val="004D7834"/>
    <w:rsid w:val="004D7937"/>
    <w:rsid w:val="004D7A2D"/>
    <w:rsid w:val="004D7ACB"/>
    <w:rsid w:val="004E027F"/>
    <w:rsid w:val="004E036C"/>
    <w:rsid w:val="004E0385"/>
    <w:rsid w:val="004E06C2"/>
    <w:rsid w:val="004E099B"/>
    <w:rsid w:val="004E0C41"/>
    <w:rsid w:val="004E1085"/>
    <w:rsid w:val="004E1390"/>
    <w:rsid w:val="004E1596"/>
    <w:rsid w:val="004E174E"/>
    <w:rsid w:val="004E18BF"/>
    <w:rsid w:val="004E1BB0"/>
    <w:rsid w:val="004E1D6E"/>
    <w:rsid w:val="004E1F2B"/>
    <w:rsid w:val="004E2275"/>
    <w:rsid w:val="004E22B6"/>
    <w:rsid w:val="004E24DB"/>
    <w:rsid w:val="004E2524"/>
    <w:rsid w:val="004E2613"/>
    <w:rsid w:val="004E28BB"/>
    <w:rsid w:val="004E2A6A"/>
    <w:rsid w:val="004E2CD3"/>
    <w:rsid w:val="004E2ED2"/>
    <w:rsid w:val="004E2EE8"/>
    <w:rsid w:val="004E2EED"/>
    <w:rsid w:val="004E3197"/>
    <w:rsid w:val="004E31D8"/>
    <w:rsid w:val="004E3211"/>
    <w:rsid w:val="004E33F8"/>
    <w:rsid w:val="004E3636"/>
    <w:rsid w:val="004E3B8E"/>
    <w:rsid w:val="004E3CCC"/>
    <w:rsid w:val="004E3E3B"/>
    <w:rsid w:val="004E40CC"/>
    <w:rsid w:val="004E4385"/>
    <w:rsid w:val="004E44C3"/>
    <w:rsid w:val="004E47CE"/>
    <w:rsid w:val="004E4856"/>
    <w:rsid w:val="004E4D17"/>
    <w:rsid w:val="004E4D49"/>
    <w:rsid w:val="004E4F64"/>
    <w:rsid w:val="004E5116"/>
    <w:rsid w:val="004E5333"/>
    <w:rsid w:val="004E5528"/>
    <w:rsid w:val="004E55ED"/>
    <w:rsid w:val="004E593A"/>
    <w:rsid w:val="004E59B7"/>
    <w:rsid w:val="004E5D04"/>
    <w:rsid w:val="004E5FC5"/>
    <w:rsid w:val="004E5FF4"/>
    <w:rsid w:val="004E62E4"/>
    <w:rsid w:val="004E64A0"/>
    <w:rsid w:val="004E64A5"/>
    <w:rsid w:val="004E64EE"/>
    <w:rsid w:val="004E6504"/>
    <w:rsid w:val="004E677A"/>
    <w:rsid w:val="004E6A70"/>
    <w:rsid w:val="004E6C59"/>
    <w:rsid w:val="004E726B"/>
    <w:rsid w:val="004E72F2"/>
    <w:rsid w:val="004E7713"/>
    <w:rsid w:val="004E7786"/>
    <w:rsid w:val="004E786A"/>
    <w:rsid w:val="004E7A81"/>
    <w:rsid w:val="004F009D"/>
    <w:rsid w:val="004F027F"/>
    <w:rsid w:val="004F0327"/>
    <w:rsid w:val="004F032D"/>
    <w:rsid w:val="004F03A9"/>
    <w:rsid w:val="004F077B"/>
    <w:rsid w:val="004F0A6B"/>
    <w:rsid w:val="004F0ACB"/>
    <w:rsid w:val="004F0B17"/>
    <w:rsid w:val="004F0CF2"/>
    <w:rsid w:val="004F0E7E"/>
    <w:rsid w:val="004F0F20"/>
    <w:rsid w:val="004F0FAE"/>
    <w:rsid w:val="004F0FBA"/>
    <w:rsid w:val="004F1190"/>
    <w:rsid w:val="004F1633"/>
    <w:rsid w:val="004F1804"/>
    <w:rsid w:val="004F189B"/>
    <w:rsid w:val="004F18AF"/>
    <w:rsid w:val="004F18EB"/>
    <w:rsid w:val="004F1B1F"/>
    <w:rsid w:val="004F1BA5"/>
    <w:rsid w:val="004F1D53"/>
    <w:rsid w:val="004F1ECC"/>
    <w:rsid w:val="004F2374"/>
    <w:rsid w:val="004F25B8"/>
    <w:rsid w:val="004F278C"/>
    <w:rsid w:val="004F28E0"/>
    <w:rsid w:val="004F2957"/>
    <w:rsid w:val="004F2BB0"/>
    <w:rsid w:val="004F2C90"/>
    <w:rsid w:val="004F2FBC"/>
    <w:rsid w:val="004F30AD"/>
    <w:rsid w:val="004F3123"/>
    <w:rsid w:val="004F32AA"/>
    <w:rsid w:val="004F332C"/>
    <w:rsid w:val="004F34F4"/>
    <w:rsid w:val="004F35E8"/>
    <w:rsid w:val="004F367B"/>
    <w:rsid w:val="004F3845"/>
    <w:rsid w:val="004F38C9"/>
    <w:rsid w:val="004F3B01"/>
    <w:rsid w:val="004F3C2D"/>
    <w:rsid w:val="004F3D31"/>
    <w:rsid w:val="004F3D54"/>
    <w:rsid w:val="004F3ED7"/>
    <w:rsid w:val="004F4119"/>
    <w:rsid w:val="004F417C"/>
    <w:rsid w:val="004F42A2"/>
    <w:rsid w:val="004F434B"/>
    <w:rsid w:val="004F441F"/>
    <w:rsid w:val="004F46DA"/>
    <w:rsid w:val="004F46E7"/>
    <w:rsid w:val="004F47FC"/>
    <w:rsid w:val="004F4945"/>
    <w:rsid w:val="004F49AD"/>
    <w:rsid w:val="004F4AAE"/>
    <w:rsid w:val="004F4B5C"/>
    <w:rsid w:val="004F4B8C"/>
    <w:rsid w:val="004F4DF1"/>
    <w:rsid w:val="004F4E66"/>
    <w:rsid w:val="004F4EFB"/>
    <w:rsid w:val="004F5465"/>
    <w:rsid w:val="004F5614"/>
    <w:rsid w:val="004F562A"/>
    <w:rsid w:val="004F580B"/>
    <w:rsid w:val="004F5A4A"/>
    <w:rsid w:val="004F5AEC"/>
    <w:rsid w:val="004F5D25"/>
    <w:rsid w:val="004F5E65"/>
    <w:rsid w:val="004F5E7D"/>
    <w:rsid w:val="004F5FC3"/>
    <w:rsid w:val="004F5FE4"/>
    <w:rsid w:val="004F63ED"/>
    <w:rsid w:val="004F64E8"/>
    <w:rsid w:val="004F6688"/>
    <w:rsid w:val="004F68C0"/>
    <w:rsid w:val="004F6B77"/>
    <w:rsid w:val="004F6C19"/>
    <w:rsid w:val="004F6CB6"/>
    <w:rsid w:val="004F6D34"/>
    <w:rsid w:val="004F6F49"/>
    <w:rsid w:val="004F6FAC"/>
    <w:rsid w:val="004F711F"/>
    <w:rsid w:val="004F7163"/>
    <w:rsid w:val="004F729F"/>
    <w:rsid w:val="004F72DA"/>
    <w:rsid w:val="004F75DC"/>
    <w:rsid w:val="004F79DB"/>
    <w:rsid w:val="004F7B43"/>
    <w:rsid w:val="004F7D77"/>
    <w:rsid w:val="004F7DA7"/>
    <w:rsid w:val="004F7E63"/>
    <w:rsid w:val="004F7F0B"/>
    <w:rsid w:val="0050006E"/>
    <w:rsid w:val="00500168"/>
    <w:rsid w:val="00500216"/>
    <w:rsid w:val="00500260"/>
    <w:rsid w:val="005002B3"/>
    <w:rsid w:val="005002B5"/>
    <w:rsid w:val="005002FF"/>
    <w:rsid w:val="005004B9"/>
    <w:rsid w:val="00500623"/>
    <w:rsid w:val="0050070C"/>
    <w:rsid w:val="00500846"/>
    <w:rsid w:val="005009C7"/>
    <w:rsid w:val="00500AC8"/>
    <w:rsid w:val="00500AEC"/>
    <w:rsid w:val="00500AF8"/>
    <w:rsid w:val="00500FD4"/>
    <w:rsid w:val="00501136"/>
    <w:rsid w:val="0050126B"/>
    <w:rsid w:val="00501321"/>
    <w:rsid w:val="005013B7"/>
    <w:rsid w:val="0050158E"/>
    <w:rsid w:val="005016AD"/>
    <w:rsid w:val="005017E1"/>
    <w:rsid w:val="00501B3F"/>
    <w:rsid w:val="00501B8C"/>
    <w:rsid w:val="00501B9F"/>
    <w:rsid w:val="00501E5A"/>
    <w:rsid w:val="005022A8"/>
    <w:rsid w:val="00502300"/>
    <w:rsid w:val="0050257B"/>
    <w:rsid w:val="005025CB"/>
    <w:rsid w:val="005026F4"/>
    <w:rsid w:val="00502747"/>
    <w:rsid w:val="0050278A"/>
    <w:rsid w:val="005028E4"/>
    <w:rsid w:val="00502C91"/>
    <w:rsid w:val="00502F2C"/>
    <w:rsid w:val="00502FDA"/>
    <w:rsid w:val="00503216"/>
    <w:rsid w:val="0050325B"/>
    <w:rsid w:val="00503405"/>
    <w:rsid w:val="0050343A"/>
    <w:rsid w:val="005035C1"/>
    <w:rsid w:val="005036BC"/>
    <w:rsid w:val="00503834"/>
    <w:rsid w:val="00503AB7"/>
    <w:rsid w:val="00503D5F"/>
    <w:rsid w:val="00503D9C"/>
    <w:rsid w:val="0050406E"/>
    <w:rsid w:val="005042D7"/>
    <w:rsid w:val="00504535"/>
    <w:rsid w:val="005045DC"/>
    <w:rsid w:val="0050474B"/>
    <w:rsid w:val="0050498D"/>
    <w:rsid w:val="00504B28"/>
    <w:rsid w:val="00504C3F"/>
    <w:rsid w:val="00504D24"/>
    <w:rsid w:val="00505016"/>
    <w:rsid w:val="005050BE"/>
    <w:rsid w:val="00505194"/>
    <w:rsid w:val="0050525E"/>
    <w:rsid w:val="00505326"/>
    <w:rsid w:val="005054D3"/>
    <w:rsid w:val="00505514"/>
    <w:rsid w:val="005056F2"/>
    <w:rsid w:val="00505911"/>
    <w:rsid w:val="00505B03"/>
    <w:rsid w:val="00505D25"/>
    <w:rsid w:val="00505F2A"/>
    <w:rsid w:val="00505FE3"/>
    <w:rsid w:val="00506084"/>
    <w:rsid w:val="00506105"/>
    <w:rsid w:val="0050617D"/>
    <w:rsid w:val="005062CC"/>
    <w:rsid w:val="0050641B"/>
    <w:rsid w:val="00506592"/>
    <w:rsid w:val="00506770"/>
    <w:rsid w:val="00506AD7"/>
    <w:rsid w:val="00506BB1"/>
    <w:rsid w:val="00506BBE"/>
    <w:rsid w:val="00506C61"/>
    <w:rsid w:val="00506C8F"/>
    <w:rsid w:val="00506C99"/>
    <w:rsid w:val="00506D25"/>
    <w:rsid w:val="00506DF7"/>
    <w:rsid w:val="00506F5A"/>
    <w:rsid w:val="0050702B"/>
    <w:rsid w:val="00507283"/>
    <w:rsid w:val="005072C8"/>
    <w:rsid w:val="0050738F"/>
    <w:rsid w:val="0050741F"/>
    <w:rsid w:val="00507713"/>
    <w:rsid w:val="00507714"/>
    <w:rsid w:val="00507786"/>
    <w:rsid w:val="005077EE"/>
    <w:rsid w:val="005078A0"/>
    <w:rsid w:val="00507939"/>
    <w:rsid w:val="00507C98"/>
    <w:rsid w:val="00507D57"/>
    <w:rsid w:val="00507D5F"/>
    <w:rsid w:val="00507F1A"/>
    <w:rsid w:val="0050F36A"/>
    <w:rsid w:val="00510221"/>
    <w:rsid w:val="0051025A"/>
    <w:rsid w:val="005102AD"/>
    <w:rsid w:val="005102DF"/>
    <w:rsid w:val="00510329"/>
    <w:rsid w:val="00510EEF"/>
    <w:rsid w:val="005112E2"/>
    <w:rsid w:val="0051146E"/>
    <w:rsid w:val="00511759"/>
    <w:rsid w:val="00511E97"/>
    <w:rsid w:val="00512194"/>
    <w:rsid w:val="005121D8"/>
    <w:rsid w:val="005125E3"/>
    <w:rsid w:val="0051270E"/>
    <w:rsid w:val="0051286F"/>
    <w:rsid w:val="00512C2A"/>
    <w:rsid w:val="00512C8E"/>
    <w:rsid w:val="00513076"/>
    <w:rsid w:val="00513314"/>
    <w:rsid w:val="0051353D"/>
    <w:rsid w:val="005135CD"/>
    <w:rsid w:val="00513AD0"/>
    <w:rsid w:val="00513DA1"/>
    <w:rsid w:val="00513F71"/>
    <w:rsid w:val="0051404B"/>
    <w:rsid w:val="005140C8"/>
    <w:rsid w:val="0051425D"/>
    <w:rsid w:val="00514331"/>
    <w:rsid w:val="00514393"/>
    <w:rsid w:val="0051451E"/>
    <w:rsid w:val="00514759"/>
    <w:rsid w:val="005147D2"/>
    <w:rsid w:val="0051491A"/>
    <w:rsid w:val="00514C57"/>
    <w:rsid w:val="00514DDF"/>
    <w:rsid w:val="00514FEC"/>
    <w:rsid w:val="0051511D"/>
    <w:rsid w:val="005152E1"/>
    <w:rsid w:val="00515494"/>
    <w:rsid w:val="0051570E"/>
    <w:rsid w:val="00515829"/>
    <w:rsid w:val="005158BD"/>
    <w:rsid w:val="0051590D"/>
    <w:rsid w:val="00515D1E"/>
    <w:rsid w:val="005160CD"/>
    <w:rsid w:val="005161D0"/>
    <w:rsid w:val="00516310"/>
    <w:rsid w:val="005163E2"/>
    <w:rsid w:val="005164CE"/>
    <w:rsid w:val="005165F2"/>
    <w:rsid w:val="00516C24"/>
    <w:rsid w:val="00516CEA"/>
    <w:rsid w:val="00516E2F"/>
    <w:rsid w:val="00516FB6"/>
    <w:rsid w:val="00517225"/>
    <w:rsid w:val="005172B8"/>
    <w:rsid w:val="00517893"/>
    <w:rsid w:val="00517919"/>
    <w:rsid w:val="00517A3A"/>
    <w:rsid w:val="00517B28"/>
    <w:rsid w:val="00517B52"/>
    <w:rsid w:val="00517BF7"/>
    <w:rsid w:val="00517E62"/>
    <w:rsid w:val="00520097"/>
    <w:rsid w:val="005207C7"/>
    <w:rsid w:val="00520A52"/>
    <w:rsid w:val="00520D64"/>
    <w:rsid w:val="00520DEC"/>
    <w:rsid w:val="00520F03"/>
    <w:rsid w:val="00521165"/>
    <w:rsid w:val="005211CE"/>
    <w:rsid w:val="005213F9"/>
    <w:rsid w:val="005215BA"/>
    <w:rsid w:val="00521612"/>
    <w:rsid w:val="00521AB8"/>
    <w:rsid w:val="00521ADA"/>
    <w:rsid w:val="00521B17"/>
    <w:rsid w:val="00521B3D"/>
    <w:rsid w:val="00521BEF"/>
    <w:rsid w:val="00521D7F"/>
    <w:rsid w:val="0052214D"/>
    <w:rsid w:val="00522704"/>
    <w:rsid w:val="00522724"/>
    <w:rsid w:val="00522818"/>
    <w:rsid w:val="00522826"/>
    <w:rsid w:val="00522C0F"/>
    <w:rsid w:val="00522D81"/>
    <w:rsid w:val="00522E25"/>
    <w:rsid w:val="0052300D"/>
    <w:rsid w:val="00523173"/>
    <w:rsid w:val="005231E8"/>
    <w:rsid w:val="00523631"/>
    <w:rsid w:val="00523827"/>
    <w:rsid w:val="005238C9"/>
    <w:rsid w:val="005239A2"/>
    <w:rsid w:val="00523CBB"/>
    <w:rsid w:val="00523E6E"/>
    <w:rsid w:val="00523F9C"/>
    <w:rsid w:val="005241B7"/>
    <w:rsid w:val="005242AF"/>
    <w:rsid w:val="0052437F"/>
    <w:rsid w:val="005243BB"/>
    <w:rsid w:val="0052442F"/>
    <w:rsid w:val="0052445D"/>
    <w:rsid w:val="00524542"/>
    <w:rsid w:val="005246DF"/>
    <w:rsid w:val="00524900"/>
    <w:rsid w:val="00524A95"/>
    <w:rsid w:val="00524B2D"/>
    <w:rsid w:val="00524CCF"/>
    <w:rsid w:val="00524D5A"/>
    <w:rsid w:val="00524E5C"/>
    <w:rsid w:val="0052508E"/>
    <w:rsid w:val="0052515D"/>
    <w:rsid w:val="0052518B"/>
    <w:rsid w:val="00525317"/>
    <w:rsid w:val="005255EC"/>
    <w:rsid w:val="00525702"/>
    <w:rsid w:val="00525B52"/>
    <w:rsid w:val="00525B64"/>
    <w:rsid w:val="00525C4E"/>
    <w:rsid w:val="00525C7E"/>
    <w:rsid w:val="00525D57"/>
    <w:rsid w:val="00525E1A"/>
    <w:rsid w:val="00525FAE"/>
    <w:rsid w:val="0052611F"/>
    <w:rsid w:val="00526137"/>
    <w:rsid w:val="005262EB"/>
    <w:rsid w:val="00526357"/>
    <w:rsid w:val="0052635C"/>
    <w:rsid w:val="005263B8"/>
    <w:rsid w:val="005264CA"/>
    <w:rsid w:val="00526736"/>
    <w:rsid w:val="00526824"/>
    <w:rsid w:val="00526905"/>
    <w:rsid w:val="00526A7D"/>
    <w:rsid w:val="00526D18"/>
    <w:rsid w:val="00527002"/>
    <w:rsid w:val="00527131"/>
    <w:rsid w:val="005272EA"/>
    <w:rsid w:val="0052735E"/>
    <w:rsid w:val="005274D0"/>
    <w:rsid w:val="005274FB"/>
    <w:rsid w:val="00527A47"/>
    <w:rsid w:val="00527E1C"/>
    <w:rsid w:val="00527E5A"/>
    <w:rsid w:val="00527E8E"/>
    <w:rsid w:val="00527F22"/>
    <w:rsid w:val="00527F57"/>
    <w:rsid w:val="005300A3"/>
    <w:rsid w:val="00530126"/>
    <w:rsid w:val="00530250"/>
    <w:rsid w:val="00530367"/>
    <w:rsid w:val="0053038B"/>
    <w:rsid w:val="005303A6"/>
    <w:rsid w:val="005308C6"/>
    <w:rsid w:val="00530B87"/>
    <w:rsid w:val="00530D1E"/>
    <w:rsid w:val="00530F06"/>
    <w:rsid w:val="00530F66"/>
    <w:rsid w:val="00531507"/>
    <w:rsid w:val="005315C4"/>
    <w:rsid w:val="005316E4"/>
    <w:rsid w:val="0053178B"/>
    <w:rsid w:val="00531A9F"/>
    <w:rsid w:val="00531AA1"/>
    <w:rsid w:val="00531ADC"/>
    <w:rsid w:val="00532082"/>
    <w:rsid w:val="005321CB"/>
    <w:rsid w:val="00532428"/>
    <w:rsid w:val="0053244A"/>
    <w:rsid w:val="00532491"/>
    <w:rsid w:val="0053289A"/>
    <w:rsid w:val="00532925"/>
    <w:rsid w:val="00532F47"/>
    <w:rsid w:val="00533043"/>
    <w:rsid w:val="005332F7"/>
    <w:rsid w:val="00533397"/>
    <w:rsid w:val="0053355D"/>
    <w:rsid w:val="005336F8"/>
    <w:rsid w:val="0053388E"/>
    <w:rsid w:val="005339AF"/>
    <w:rsid w:val="00533ADC"/>
    <w:rsid w:val="00533C58"/>
    <w:rsid w:val="00533EFF"/>
    <w:rsid w:val="00534412"/>
    <w:rsid w:val="005344EA"/>
    <w:rsid w:val="005345FD"/>
    <w:rsid w:val="0053468F"/>
    <w:rsid w:val="005347A5"/>
    <w:rsid w:val="0053484D"/>
    <w:rsid w:val="005349B1"/>
    <w:rsid w:val="00534B8D"/>
    <w:rsid w:val="00534F5D"/>
    <w:rsid w:val="0053513F"/>
    <w:rsid w:val="00535554"/>
    <w:rsid w:val="005355BD"/>
    <w:rsid w:val="005357AA"/>
    <w:rsid w:val="005357E8"/>
    <w:rsid w:val="0053589C"/>
    <w:rsid w:val="00535BB5"/>
    <w:rsid w:val="00535E88"/>
    <w:rsid w:val="005360D4"/>
    <w:rsid w:val="005363BE"/>
    <w:rsid w:val="005363E5"/>
    <w:rsid w:val="00536A48"/>
    <w:rsid w:val="00536B27"/>
    <w:rsid w:val="00536C5E"/>
    <w:rsid w:val="00536CEB"/>
    <w:rsid w:val="005372D6"/>
    <w:rsid w:val="0053731B"/>
    <w:rsid w:val="0053755D"/>
    <w:rsid w:val="00537600"/>
    <w:rsid w:val="00537694"/>
    <w:rsid w:val="005378ED"/>
    <w:rsid w:val="00537AE7"/>
    <w:rsid w:val="00537BE0"/>
    <w:rsid w:val="00537CCE"/>
    <w:rsid w:val="00537DB4"/>
    <w:rsid w:val="00537E0D"/>
    <w:rsid w:val="00537F10"/>
    <w:rsid w:val="00537FF0"/>
    <w:rsid w:val="0054018F"/>
    <w:rsid w:val="005401FD"/>
    <w:rsid w:val="0054022F"/>
    <w:rsid w:val="005403D4"/>
    <w:rsid w:val="0054042B"/>
    <w:rsid w:val="00540448"/>
    <w:rsid w:val="00540560"/>
    <w:rsid w:val="00540635"/>
    <w:rsid w:val="005406C9"/>
    <w:rsid w:val="005409F4"/>
    <w:rsid w:val="00540B51"/>
    <w:rsid w:val="00540C81"/>
    <w:rsid w:val="00540CE1"/>
    <w:rsid w:val="00540F09"/>
    <w:rsid w:val="0054116A"/>
    <w:rsid w:val="005411E0"/>
    <w:rsid w:val="0054136B"/>
    <w:rsid w:val="00541443"/>
    <w:rsid w:val="00541557"/>
    <w:rsid w:val="00541565"/>
    <w:rsid w:val="00541711"/>
    <w:rsid w:val="00541A82"/>
    <w:rsid w:val="00541F68"/>
    <w:rsid w:val="00541FAD"/>
    <w:rsid w:val="0054206E"/>
    <w:rsid w:val="00542171"/>
    <w:rsid w:val="0054223D"/>
    <w:rsid w:val="0054238F"/>
    <w:rsid w:val="0054259C"/>
    <w:rsid w:val="00542696"/>
    <w:rsid w:val="00542908"/>
    <w:rsid w:val="00542C28"/>
    <w:rsid w:val="00542C6C"/>
    <w:rsid w:val="00543062"/>
    <w:rsid w:val="0054314E"/>
    <w:rsid w:val="005433C1"/>
    <w:rsid w:val="005433E9"/>
    <w:rsid w:val="0054381B"/>
    <w:rsid w:val="005439B2"/>
    <w:rsid w:val="005439D7"/>
    <w:rsid w:val="00543B04"/>
    <w:rsid w:val="00543E58"/>
    <w:rsid w:val="00543ED0"/>
    <w:rsid w:val="0054405D"/>
    <w:rsid w:val="00544081"/>
    <w:rsid w:val="0054460E"/>
    <w:rsid w:val="005448D1"/>
    <w:rsid w:val="00544A44"/>
    <w:rsid w:val="00544A61"/>
    <w:rsid w:val="00544A90"/>
    <w:rsid w:val="00544BC5"/>
    <w:rsid w:val="00544C54"/>
    <w:rsid w:val="00544D00"/>
    <w:rsid w:val="00544E79"/>
    <w:rsid w:val="00544ED8"/>
    <w:rsid w:val="00545038"/>
    <w:rsid w:val="00545528"/>
    <w:rsid w:val="005457E6"/>
    <w:rsid w:val="005459A0"/>
    <w:rsid w:val="00545F32"/>
    <w:rsid w:val="0054624A"/>
    <w:rsid w:val="0054628F"/>
    <w:rsid w:val="005462DA"/>
    <w:rsid w:val="005463B7"/>
    <w:rsid w:val="005463FB"/>
    <w:rsid w:val="00546564"/>
    <w:rsid w:val="00546BB2"/>
    <w:rsid w:val="00546D44"/>
    <w:rsid w:val="00546E76"/>
    <w:rsid w:val="00546EDD"/>
    <w:rsid w:val="00546F03"/>
    <w:rsid w:val="005470B3"/>
    <w:rsid w:val="0054724E"/>
    <w:rsid w:val="0054742C"/>
    <w:rsid w:val="005476D3"/>
    <w:rsid w:val="00547789"/>
    <w:rsid w:val="00547939"/>
    <w:rsid w:val="0054795B"/>
    <w:rsid w:val="0055014F"/>
    <w:rsid w:val="00550217"/>
    <w:rsid w:val="005502B0"/>
    <w:rsid w:val="00550527"/>
    <w:rsid w:val="00550592"/>
    <w:rsid w:val="005505C6"/>
    <w:rsid w:val="005505F2"/>
    <w:rsid w:val="00550AED"/>
    <w:rsid w:val="00550E98"/>
    <w:rsid w:val="0055110A"/>
    <w:rsid w:val="0055137B"/>
    <w:rsid w:val="0055143F"/>
    <w:rsid w:val="0055150E"/>
    <w:rsid w:val="00551650"/>
    <w:rsid w:val="00551A09"/>
    <w:rsid w:val="00551A20"/>
    <w:rsid w:val="00551DAA"/>
    <w:rsid w:val="00551DB4"/>
    <w:rsid w:val="00551F09"/>
    <w:rsid w:val="00551F4F"/>
    <w:rsid w:val="00551F51"/>
    <w:rsid w:val="00551F90"/>
    <w:rsid w:val="005523ED"/>
    <w:rsid w:val="00552554"/>
    <w:rsid w:val="005525F9"/>
    <w:rsid w:val="005528DC"/>
    <w:rsid w:val="00552A24"/>
    <w:rsid w:val="00552A66"/>
    <w:rsid w:val="00552AD5"/>
    <w:rsid w:val="00552B89"/>
    <w:rsid w:val="00552DFA"/>
    <w:rsid w:val="00552F28"/>
    <w:rsid w:val="00552F30"/>
    <w:rsid w:val="00553081"/>
    <w:rsid w:val="0055320B"/>
    <w:rsid w:val="005534EA"/>
    <w:rsid w:val="0055361A"/>
    <w:rsid w:val="005537FE"/>
    <w:rsid w:val="00553B05"/>
    <w:rsid w:val="00553CCF"/>
    <w:rsid w:val="00553D39"/>
    <w:rsid w:val="00553E41"/>
    <w:rsid w:val="00553F44"/>
    <w:rsid w:val="00553FEA"/>
    <w:rsid w:val="005540E1"/>
    <w:rsid w:val="00554337"/>
    <w:rsid w:val="00554434"/>
    <w:rsid w:val="00554469"/>
    <w:rsid w:val="0055447C"/>
    <w:rsid w:val="005545FB"/>
    <w:rsid w:val="005546FE"/>
    <w:rsid w:val="005547D6"/>
    <w:rsid w:val="005548D3"/>
    <w:rsid w:val="00554AF8"/>
    <w:rsid w:val="00554C8F"/>
    <w:rsid w:val="00554D63"/>
    <w:rsid w:val="00554F1F"/>
    <w:rsid w:val="00555109"/>
    <w:rsid w:val="00555248"/>
    <w:rsid w:val="00555283"/>
    <w:rsid w:val="0055534A"/>
    <w:rsid w:val="00555546"/>
    <w:rsid w:val="0055576D"/>
    <w:rsid w:val="00555838"/>
    <w:rsid w:val="00555B60"/>
    <w:rsid w:val="00555BAF"/>
    <w:rsid w:val="00555CD7"/>
    <w:rsid w:val="00555D3E"/>
    <w:rsid w:val="00555DEC"/>
    <w:rsid w:val="00555DF1"/>
    <w:rsid w:val="00555E14"/>
    <w:rsid w:val="00555E4B"/>
    <w:rsid w:val="00555E61"/>
    <w:rsid w:val="00556191"/>
    <w:rsid w:val="005561A1"/>
    <w:rsid w:val="005561F5"/>
    <w:rsid w:val="0055628A"/>
    <w:rsid w:val="005563C8"/>
    <w:rsid w:val="005563E4"/>
    <w:rsid w:val="005568BE"/>
    <w:rsid w:val="00556A29"/>
    <w:rsid w:val="00556AC0"/>
    <w:rsid w:val="00556BB6"/>
    <w:rsid w:val="00556BBA"/>
    <w:rsid w:val="00556C02"/>
    <w:rsid w:val="00556C9E"/>
    <w:rsid w:val="00556CC7"/>
    <w:rsid w:val="00556E0B"/>
    <w:rsid w:val="00556E8F"/>
    <w:rsid w:val="00556F81"/>
    <w:rsid w:val="00556FB3"/>
    <w:rsid w:val="00556FCF"/>
    <w:rsid w:val="00556FEF"/>
    <w:rsid w:val="00557290"/>
    <w:rsid w:val="0055732D"/>
    <w:rsid w:val="005573D5"/>
    <w:rsid w:val="00557417"/>
    <w:rsid w:val="005574EF"/>
    <w:rsid w:val="005574F5"/>
    <w:rsid w:val="0055790B"/>
    <w:rsid w:val="00557AEF"/>
    <w:rsid w:val="00557C7B"/>
    <w:rsid w:val="00557D3C"/>
    <w:rsid w:val="00560251"/>
    <w:rsid w:val="00560286"/>
    <w:rsid w:val="005603BE"/>
    <w:rsid w:val="005604BB"/>
    <w:rsid w:val="00560AEA"/>
    <w:rsid w:val="00560BA5"/>
    <w:rsid w:val="00560D4A"/>
    <w:rsid w:val="00560DB7"/>
    <w:rsid w:val="005611DD"/>
    <w:rsid w:val="00561454"/>
    <w:rsid w:val="00561824"/>
    <w:rsid w:val="0056197E"/>
    <w:rsid w:val="00561CB4"/>
    <w:rsid w:val="00561D2F"/>
    <w:rsid w:val="00561D67"/>
    <w:rsid w:val="0056220B"/>
    <w:rsid w:val="0056234A"/>
    <w:rsid w:val="005625D2"/>
    <w:rsid w:val="0056268B"/>
    <w:rsid w:val="00562733"/>
    <w:rsid w:val="00562811"/>
    <w:rsid w:val="005628E5"/>
    <w:rsid w:val="00562A00"/>
    <w:rsid w:val="00562E37"/>
    <w:rsid w:val="00562E8D"/>
    <w:rsid w:val="00563282"/>
    <w:rsid w:val="0056332C"/>
    <w:rsid w:val="005633F7"/>
    <w:rsid w:val="005634F0"/>
    <w:rsid w:val="00563514"/>
    <w:rsid w:val="00563800"/>
    <w:rsid w:val="005638E8"/>
    <w:rsid w:val="00563933"/>
    <w:rsid w:val="005639AA"/>
    <w:rsid w:val="00563A10"/>
    <w:rsid w:val="00563B5F"/>
    <w:rsid w:val="00563D93"/>
    <w:rsid w:val="00563DA2"/>
    <w:rsid w:val="00563E0A"/>
    <w:rsid w:val="00563FAE"/>
    <w:rsid w:val="0056448B"/>
    <w:rsid w:val="0056449F"/>
    <w:rsid w:val="0056462C"/>
    <w:rsid w:val="00564781"/>
    <w:rsid w:val="005647EF"/>
    <w:rsid w:val="00564810"/>
    <w:rsid w:val="00564C02"/>
    <w:rsid w:val="00564D6C"/>
    <w:rsid w:val="00564EC4"/>
    <w:rsid w:val="0056500C"/>
    <w:rsid w:val="005651B2"/>
    <w:rsid w:val="005652C3"/>
    <w:rsid w:val="00565492"/>
    <w:rsid w:val="00565595"/>
    <w:rsid w:val="0056566D"/>
    <w:rsid w:val="005658DB"/>
    <w:rsid w:val="00565B8F"/>
    <w:rsid w:val="00565C8A"/>
    <w:rsid w:val="00565D11"/>
    <w:rsid w:val="00565D9E"/>
    <w:rsid w:val="00565DD8"/>
    <w:rsid w:val="0056603D"/>
    <w:rsid w:val="005661AC"/>
    <w:rsid w:val="00566200"/>
    <w:rsid w:val="00566407"/>
    <w:rsid w:val="0056670D"/>
    <w:rsid w:val="0056679C"/>
    <w:rsid w:val="00566908"/>
    <w:rsid w:val="005669BD"/>
    <w:rsid w:val="00566A26"/>
    <w:rsid w:val="00566CFF"/>
    <w:rsid w:val="00566E3D"/>
    <w:rsid w:val="00566F95"/>
    <w:rsid w:val="005671F9"/>
    <w:rsid w:val="005675CA"/>
    <w:rsid w:val="005675E3"/>
    <w:rsid w:val="0056760D"/>
    <w:rsid w:val="005678E3"/>
    <w:rsid w:val="00567AF8"/>
    <w:rsid w:val="00567CE4"/>
    <w:rsid w:val="00567D65"/>
    <w:rsid w:val="00567D6F"/>
    <w:rsid w:val="00567EFE"/>
    <w:rsid w:val="0057012A"/>
    <w:rsid w:val="00570397"/>
    <w:rsid w:val="005703E4"/>
    <w:rsid w:val="005708FE"/>
    <w:rsid w:val="005709C6"/>
    <w:rsid w:val="00570D9A"/>
    <w:rsid w:val="00570F03"/>
    <w:rsid w:val="00570F18"/>
    <w:rsid w:val="00571411"/>
    <w:rsid w:val="0057146A"/>
    <w:rsid w:val="0057149A"/>
    <w:rsid w:val="005715B7"/>
    <w:rsid w:val="00571648"/>
    <w:rsid w:val="005716F6"/>
    <w:rsid w:val="00571820"/>
    <w:rsid w:val="00571841"/>
    <w:rsid w:val="005718A4"/>
    <w:rsid w:val="0057196D"/>
    <w:rsid w:val="00571B3D"/>
    <w:rsid w:val="00571F6E"/>
    <w:rsid w:val="00571FF4"/>
    <w:rsid w:val="00572085"/>
    <w:rsid w:val="005720A6"/>
    <w:rsid w:val="005720ED"/>
    <w:rsid w:val="0057212E"/>
    <w:rsid w:val="0057214E"/>
    <w:rsid w:val="005722E4"/>
    <w:rsid w:val="00572346"/>
    <w:rsid w:val="0057237D"/>
    <w:rsid w:val="00572493"/>
    <w:rsid w:val="0057249E"/>
    <w:rsid w:val="005724A9"/>
    <w:rsid w:val="005724EF"/>
    <w:rsid w:val="00572551"/>
    <w:rsid w:val="00572628"/>
    <w:rsid w:val="00572697"/>
    <w:rsid w:val="005726F2"/>
    <w:rsid w:val="005728AA"/>
    <w:rsid w:val="00572AF7"/>
    <w:rsid w:val="00572BBF"/>
    <w:rsid w:val="00572C96"/>
    <w:rsid w:val="00572E2A"/>
    <w:rsid w:val="00572EC4"/>
    <w:rsid w:val="00573119"/>
    <w:rsid w:val="00573171"/>
    <w:rsid w:val="005737AA"/>
    <w:rsid w:val="00573AE9"/>
    <w:rsid w:val="00573C1F"/>
    <w:rsid w:val="00573CC1"/>
    <w:rsid w:val="005740F2"/>
    <w:rsid w:val="005741CC"/>
    <w:rsid w:val="00574250"/>
    <w:rsid w:val="00574983"/>
    <w:rsid w:val="005749B1"/>
    <w:rsid w:val="00574A1D"/>
    <w:rsid w:val="00574BC8"/>
    <w:rsid w:val="00574C9F"/>
    <w:rsid w:val="00574D2C"/>
    <w:rsid w:val="00574FAB"/>
    <w:rsid w:val="00574FD8"/>
    <w:rsid w:val="00575001"/>
    <w:rsid w:val="0057529E"/>
    <w:rsid w:val="005752B6"/>
    <w:rsid w:val="0057534A"/>
    <w:rsid w:val="0057553F"/>
    <w:rsid w:val="005756BD"/>
    <w:rsid w:val="005756FD"/>
    <w:rsid w:val="0057591C"/>
    <w:rsid w:val="00575BD6"/>
    <w:rsid w:val="00575CF0"/>
    <w:rsid w:val="00575D2B"/>
    <w:rsid w:val="00575E68"/>
    <w:rsid w:val="00575EF3"/>
    <w:rsid w:val="00576043"/>
    <w:rsid w:val="005762B8"/>
    <w:rsid w:val="005763AB"/>
    <w:rsid w:val="005763C2"/>
    <w:rsid w:val="0057678C"/>
    <w:rsid w:val="00576CCE"/>
    <w:rsid w:val="00576D63"/>
    <w:rsid w:val="00576ECE"/>
    <w:rsid w:val="005770AC"/>
    <w:rsid w:val="00577130"/>
    <w:rsid w:val="00577237"/>
    <w:rsid w:val="005772BE"/>
    <w:rsid w:val="0057732F"/>
    <w:rsid w:val="00577335"/>
    <w:rsid w:val="00577363"/>
    <w:rsid w:val="0057742B"/>
    <w:rsid w:val="005776DA"/>
    <w:rsid w:val="005776E5"/>
    <w:rsid w:val="005778CB"/>
    <w:rsid w:val="005779B1"/>
    <w:rsid w:val="00577A34"/>
    <w:rsid w:val="00577BD5"/>
    <w:rsid w:val="00577FBC"/>
    <w:rsid w:val="0057AB8D"/>
    <w:rsid w:val="0058011A"/>
    <w:rsid w:val="00580129"/>
    <w:rsid w:val="005801BC"/>
    <w:rsid w:val="00580391"/>
    <w:rsid w:val="00580602"/>
    <w:rsid w:val="00580830"/>
    <w:rsid w:val="00580C83"/>
    <w:rsid w:val="00580D4B"/>
    <w:rsid w:val="00580EC3"/>
    <w:rsid w:val="00581274"/>
    <w:rsid w:val="0058166C"/>
    <w:rsid w:val="00581707"/>
    <w:rsid w:val="00581744"/>
    <w:rsid w:val="00581900"/>
    <w:rsid w:val="005819C5"/>
    <w:rsid w:val="00581A56"/>
    <w:rsid w:val="00581A90"/>
    <w:rsid w:val="00581B64"/>
    <w:rsid w:val="00581D4F"/>
    <w:rsid w:val="00581DBD"/>
    <w:rsid w:val="00581E5F"/>
    <w:rsid w:val="0058206D"/>
    <w:rsid w:val="0058218C"/>
    <w:rsid w:val="005823A7"/>
    <w:rsid w:val="005823FC"/>
    <w:rsid w:val="005825E0"/>
    <w:rsid w:val="00582601"/>
    <w:rsid w:val="005827DB"/>
    <w:rsid w:val="00582883"/>
    <w:rsid w:val="00582905"/>
    <w:rsid w:val="00582CC0"/>
    <w:rsid w:val="00582EB1"/>
    <w:rsid w:val="00583203"/>
    <w:rsid w:val="0058324B"/>
    <w:rsid w:val="005832EA"/>
    <w:rsid w:val="005833CA"/>
    <w:rsid w:val="00583478"/>
    <w:rsid w:val="00583509"/>
    <w:rsid w:val="00583880"/>
    <w:rsid w:val="005838B4"/>
    <w:rsid w:val="00583991"/>
    <w:rsid w:val="005839E2"/>
    <w:rsid w:val="00583B8F"/>
    <w:rsid w:val="00583C80"/>
    <w:rsid w:val="00583C93"/>
    <w:rsid w:val="00583CBE"/>
    <w:rsid w:val="00583D06"/>
    <w:rsid w:val="00583DD5"/>
    <w:rsid w:val="00583F73"/>
    <w:rsid w:val="0058484D"/>
    <w:rsid w:val="00584867"/>
    <w:rsid w:val="00584A20"/>
    <w:rsid w:val="00584ABA"/>
    <w:rsid w:val="00584B77"/>
    <w:rsid w:val="00584C50"/>
    <w:rsid w:val="00584C78"/>
    <w:rsid w:val="00584CD0"/>
    <w:rsid w:val="00584DD7"/>
    <w:rsid w:val="00584EB7"/>
    <w:rsid w:val="0058544C"/>
    <w:rsid w:val="00585480"/>
    <w:rsid w:val="00585648"/>
    <w:rsid w:val="005856D6"/>
    <w:rsid w:val="005856E2"/>
    <w:rsid w:val="00585976"/>
    <w:rsid w:val="00585B20"/>
    <w:rsid w:val="00585C33"/>
    <w:rsid w:val="00585D5B"/>
    <w:rsid w:val="00585DAB"/>
    <w:rsid w:val="00585DFC"/>
    <w:rsid w:val="00586530"/>
    <w:rsid w:val="00586546"/>
    <w:rsid w:val="00586554"/>
    <w:rsid w:val="00586891"/>
    <w:rsid w:val="00586945"/>
    <w:rsid w:val="00586B64"/>
    <w:rsid w:val="00586D84"/>
    <w:rsid w:val="00586F19"/>
    <w:rsid w:val="00586F9F"/>
    <w:rsid w:val="0058732C"/>
    <w:rsid w:val="00587570"/>
    <w:rsid w:val="00587622"/>
    <w:rsid w:val="00587643"/>
    <w:rsid w:val="005876C5"/>
    <w:rsid w:val="005877D1"/>
    <w:rsid w:val="00587B68"/>
    <w:rsid w:val="00587D54"/>
    <w:rsid w:val="00587E59"/>
    <w:rsid w:val="0059001C"/>
    <w:rsid w:val="005900B5"/>
    <w:rsid w:val="00590A03"/>
    <w:rsid w:val="00590C7C"/>
    <w:rsid w:val="00590DC5"/>
    <w:rsid w:val="00590E2A"/>
    <w:rsid w:val="0059111C"/>
    <w:rsid w:val="0059127B"/>
    <w:rsid w:val="00591389"/>
    <w:rsid w:val="0059153E"/>
    <w:rsid w:val="0059171F"/>
    <w:rsid w:val="00591911"/>
    <w:rsid w:val="00591DC0"/>
    <w:rsid w:val="00591ED7"/>
    <w:rsid w:val="005920ED"/>
    <w:rsid w:val="005920F4"/>
    <w:rsid w:val="00592131"/>
    <w:rsid w:val="005922CB"/>
    <w:rsid w:val="0059232E"/>
    <w:rsid w:val="00592382"/>
    <w:rsid w:val="00592515"/>
    <w:rsid w:val="00592A9F"/>
    <w:rsid w:val="00592B4B"/>
    <w:rsid w:val="00592CF8"/>
    <w:rsid w:val="00592DDA"/>
    <w:rsid w:val="00592E37"/>
    <w:rsid w:val="00593071"/>
    <w:rsid w:val="00593283"/>
    <w:rsid w:val="005932B5"/>
    <w:rsid w:val="005934B5"/>
    <w:rsid w:val="00593565"/>
    <w:rsid w:val="005938D7"/>
    <w:rsid w:val="00593988"/>
    <w:rsid w:val="00593A95"/>
    <w:rsid w:val="00593EFE"/>
    <w:rsid w:val="00593FC4"/>
    <w:rsid w:val="0059442E"/>
    <w:rsid w:val="005944A2"/>
    <w:rsid w:val="005944F0"/>
    <w:rsid w:val="0059451D"/>
    <w:rsid w:val="0059463F"/>
    <w:rsid w:val="005947F9"/>
    <w:rsid w:val="005949A3"/>
    <w:rsid w:val="00594B9B"/>
    <w:rsid w:val="00594BBF"/>
    <w:rsid w:val="005951F7"/>
    <w:rsid w:val="005953BE"/>
    <w:rsid w:val="0059567A"/>
    <w:rsid w:val="00595863"/>
    <w:rsid w:val="00595934"/>
    <w:rsid w:val="00595B07"/>
    <w:rsid w:val="00595D0E"/>
    <w:rsid w:val="00595D31"/>
    <w:rsid w:val="00595D52"/>
    <w:rsid w:val="00595DE1"/>
    <w:rsid w:val="00595FD8"/>
    <w:rsid w:val="00596028"/>
    <w:rsid w:val="005960DA"/>
    <w:rsid w:val="00596186"/>
    <w:rsid w:val="005961C7"/>
    <w:rsid w:val="00596235"/>
    <w:rsid w:val="00596256"/>
    <w:rsid w:val="00596751"/>
    <w:rsid w:val="005967A7"/>
    <w:rsid w:val="00596A48"/>
    <w:rsid w:val="00596AC5"/>
    <w:rsid w:val="00596B11"/>
    <w:rsid w:val="00596B31"/>
    <w:rsid w:val="00596B98"/>
    <w:rsid w:val="00596C1E"/>
    <w:rsid w:val="00596D50"/>
    <w:rsid w:val="00597163"/>
    <w:rsid w:val="005971D9"/>
    <w:rsid w:val="0059726C"/>
    <w:rsid w:val="005973B8"/>
    <w:rsid w:val="005973DA"/>
    <w:rsid w:val="00597475"/>
    <w:rsid w:val="005978C5"/>
    <w:rsid w:val="005979F8"/>
    <w:rsid w:val="00597B7E"/>
    <w:rsid w:val="00597D5A"/>
    <w:rsid w:val="00597EDE"/>
    <w:rsid w:val="00597F6B"/>
    <w:rsid w:val="005A03C5"/>
    <w:rsid w:val="005A0569"/>
    <w:rsid w:val="005A05CD"/>
    <w:rsid w:val="005A062F"/>
    <w:rsid w:val="005A0776"/>
    <w:rsid w:val="005A0AC1"/>
    <w:rsid w:val="005A0C47"/>
    <w:rsid w:val="005A0D94"/>
    <w:rsid w:val="005A1425"/>
    <w:rsid w:val="005A144F"/>
    <w:rsid w:val="005A193B"/>
    <w:rsid w:val="005A1AA3"/>
    <w:rsid w:val="005A1AC5"/>
    <w:rsid w:val="005A1BBB"/>
    <w:rsid w:val="005A1F16"/>
    <w:rsid w:val="005A20E0"/>
    <w:rsid w:val="005A2202"/>
    <w:rsid w:val="005A249D"/>
    <w:rsid w:val="005A252A"/>
    <w:rsid w:val="005A29F4"/>
    <w:rsid w:val="005A2ACB"/>
    <w:rsid w:val="005A2C7E"/>
    <w:rsid w:val="005A2FE5"/>
    <w:rsid w:val="005A3047"/>
    <w:rsid w:val="005A3129"/>
    <w:rsid w:val="005A3131"/>
    <w:rsid w:val="005A3146"/>
    <w:rsid w:val="005A325F"/>
    <w:rsid w:val="005A33D0"/>
    <w:rsid w:val="005A3561"/>
    <w:rsid w:val="005A35AD"/>
    <w:rsid w:val="005A3E4C"/>
    <w:rsid w:val="005A3F11"/>
    <w:rsid w:val="005A4043"/>
    <w:rsid w:val="005A4373"/>
    <w:rsid w:val="005A44E4"/>
    <w:rsid w:val="005A477D"/>
    <w:rsid w:val="005A4D33"/>
    <w:rsid w:val="005A4EBE"/>
    <w:rsid w:val="005A4EEC"/>
    <w:rsid w:val="005A529D"/>
    <w:rsid w:val="005A52FD"/>
    <w:rsid w:val="005A53C2"/>
    <w:rsid w:val="005A5489"/>
    <w:rsid w:val="005A5498"/>
    <w:rsid w:val="005A5664"/>
    <w:rsid w:val="005A5679"/>
    <w:rsid w:val="005A5728"/>
    <w:rsid w:val="005A5827"/>
    <w:rsid w:val="005A5837"/>
    <w:rsid w:val="005A5ABD"/>
    <w:rsid w:val="005A5C4A"/>
    <w:rsid w:val="005A5D68"/>
    <w:rsid w:val="005A6299"/>
    <w:rsid w:val="005A62A6"/>
    <w:rsid w:val="005A639D"/>
    <w:rsid w:val="005A6423"/>
    <w:rsid w:val="005A6499"/>
    <w:rsid w:val="005A64AF"/>
    <w:rsid w:val="005A65AC"/>
    <w:rsid w:val="005A6A2A"/>
    <w:rsid w:val="005A6B5A"/>
    <w:rsid w:val="005A6CB0"/>
    <w:rsid w:val="005A703B"/>
    <w:rsid w:val="005A7251"/>
    <w:rsid w:val="005A74F5"/>
    <w:rsid w:val="005A74F9"/>
    <w:rsid w:val="005A7739"/>
    <w:rsid w:val="005A77F4"/>
    <w:rsid w:val="005A78D9"/>
    <w:rsid w:val="005A7A80"/>
    <w:rsid w:val="005A7C91"/>
    <w:rsid w:val="005A7CAA"/>
    <w:rsid w:val="005A7D60"/>
    <w:rsid w:val="005B013C"/>
    <w:rsid w:val="005B014D"/>
    <w:rsid w:val="005B0236"/>
    <w:rsid w:val="005B046A"/>
    <w:rsid w:val="005B051D"/>
    <w:rsid w:val="005B0740"/>
    <w:rsid w:val="005B07F9"/>
    <w:rsid w:val="005B0A37"/>
    <w:rsid w:val="005B0A50"/>
    <w:rsid w:val="005B0BBB"/>
    <w:rsid w:val="005B0DD5"/>
    <w:rsid w:val="005B0DF7"/>
    <w:rsid w:val="005B0EE5"/>
    <w:rsid w:val="005B11B9"/>
    <w:rsid w:val="005B12B5"/>
    <w:rsid w:val="005B13CD"/>
    <w:rsid w:val="005B1520"/>
    <w:rsid w:val="005B197F"/>
    <w:rsid w:val="005B19FF"/>
    <w:rsid w:val="005B1B2B"/>
    <w:rsid w:val="005B1CA2"/>
    <w:rsid w:val="005B1F17"/>
    <w:rsid w:val="005B21E5"/>
    <w:rsid w:val="005B25F1"/>
    <w:rsid w:val="005B26D8"/>
    <w:rsid w:val="005B292E"/>
    <w:rsid w:val="005B2B56"/>
    <w:rsid w:val="005B2B7E"/>
    <w:rsid w:val="005B2BBF"/>
    <w:rsid w:val="005B2D1D"/>
    <w:rsid w:val="005B2E62"/>
    <w:rsid w:val="005B2F37"/>
    <w:rsid w:val="005B2F4E"/>
    <w:rsid w:val="005B33D4"/>
    <w:rsid w:val="005B34E6"/>
    <w:rsid w:val="005B368A"/>
    <w:rsid w:val="005B3BC3"/>
    <w:rsid w:val="005B3C67"/>
    <w:rsid w:val="005B3D50"/>
    <w:rsid w:val="005B3E5B"/>
    <w:rsid w:val="005B3E98"/>
    <w:rsid w:val="005B40DB"/>
    <w:rsid w:val="005B40E8"/>
    <w:rsid w:val="005B42CE"/>
    <w:rsid w:val="005B434F"/>
    <w:rsid w:val="005B49E4"/>
    <w:rsid w:val="005B4A25"/>
    <w:rsid w:val="005B4A40"/>
    <w:rsid w:val="005B4DAA"/>
    <w:rsid w:val="005B4E28"/>
    <w:rsid w:val="005B5078"/>
    <w:rsid w:val="005B5109"/>
    <w:rsid w:val="005B53A2"/>
    <w:rsid w:val="005B53BE"/>
    <w:rsid w:val="005B5593"/>
    <w:rsid w:val="005B56FA"/>
    <w:rsid w:val="005B59B7"/>
    <w:rsid w:val="005B5A70"/>
    <w:rsid w:val="005B5B6A"/>
    <w:rsid w:val="005B5C18"/>
    <w:rsid w:val="005B5E5E"/>
    <w:rsid w:val="005B5F18"/>
    <w:rsid w:val="005B5FE9"/>
    <w:rsid w:val="005B6205"/>
    <w:rsid w:val="005B62DD"/>
    <w:rsid w:val="005B639B"/>
    <w:rsid w:val="005B64B2"/>
    <w:rsid w:val="005B6518"/>
    <w:rsid w:val="005B6694"/>
    <w:rsid w:val="005B66D9"/>
    <w:rsid w:val="005B6777"/>
    <w:rsid w:val="005B6CB5"/>
    <w:rsid w:val="005B6D37"/>
    <w:rsid w:val="005B6D79"/>
    <w:rsid w:val="005B6EE6"/>
    <w:rsid w:val="005B712B"/>
    <w:rsid w:val="005B715B"/>
    <w:rsid w:val="005B7329"/>
    <w:rsid w:val="005B73FB"/>
    <w:rsid w:val="005B7514"/>
    <w:rsid w:val="005B7552"/>
    <w:rsid w:val="005B7638"/>
    <w:rsid w:val="005B7659"/>
    <w:rsid w:val="005B7877"/>
    <w:rsid w:val="005B7B4B"/>
    <w:rsid w:val="005B7B83"/>
    <w:rsid w:val="005B7D5D"/>
    <w:rsid w:val="005B7E2C"/>
    <w:rsid w:val="005B7ECD"/>
    <w:rsid w:val="005C003F"/>
    <w:rsid w:val="005C0052"/>
    <w:rsid w:val="005C00A8"/>
    <w:rsid w:val="005C01D7"/>
    <w:rsid w:val="005C020B"/>
    <w:rsid w:val="005C0223"/>
    <w:rsid w:val="005C0427"/>
    <w:rsid w:val="005C0A0E"/>
    <w:rsid w:val="005C0B33"/>
    <w:rsid w:val="005C0BC1"/>
    <w:rsid w:val="005C0C2D"/>
    <w:rsid w:val="005C0E02"/>
    <w:rsid w:val="005C0EBB"/>
    <w:rsid w:val="005C1379"/>
    <w:rsid w:val="005C13D4"/>
    <w:rsid w:val="005C1444"/>
    <w:rsid w:val="005C1478"/>
    <w:rsid w:val="005C1563"/>
    <w:rsid w:val="005C165D"/>
    <w:rsid w:val="005C1669"/>
    <w:rsid w:val="005C168C"/>
    <w:rsid w:val="005C1A38"/>
    <w:rsid w:val="005C1B2F"/>
    <w:rsid w:val="005C1BAB"/>
    <w:rsid w:val="005C1D3D"/>
    <w:rsid w:val="005C1E36"/>
    <w:rsid w:val="005C2175"/>
    <w:rsid w:val="005C21D2"/>
    <w:rsid w:val="005C21E2"/>
    <w:rsid w:val="005C237E"/>
    <w:rsid w:val="005C242E"/>
    <w:rsid w:val="005C27BD"/>
    <w:rsid w:val="005C28B4"/>
    <w:rsid w:val="005C296C"/>
    <w:rsid w:val="005C298A"/>
    <w:rsid w:val="005C2991"/>
    <w:rsid w:val="005C2B0D"/>
    <w:rsid w:val="005C2BFF"/>
    <w:rsid w:val="005C2C88"/>
    <w:rsid w:val="005C2D55"/>
    <w:rsid w:val="005C3105"/>
    <w:rsid w:val="005C3128"/>
    <w:rsid w:val="005C3138"/>
    <w:rsid w:val="005C3153"/>
    <w:rsid w:val="005C326D"/>
    <w:rsid w:val="005C32B3"/>
    <w:rsid w:val="005C34AF"/>
    <w:rsid w:val="005C35A1"/>
    <w:rsid w:val="005C37D6"/>
    <w:rsid w:val="005C37DF"/>
    <w:rsid w:val="005C3840"/>
    <w:rsid w:val="005C3D7B"/>
    <w:rsid w:val="005C4042"/>
    <w:rsid w:val="005C406A"/>
    <w:rsid w:val="005C4127"/>
    <w:rsid w:val="005C425A"/>
    <w:rsid w:val="005C4336"/>
    <w:rsid w:val="005C441E"/>
    <w:rsid w:val="005C44A9"/>
    <w:rsid w:val="005C46CE"/>
    <w:rsid w:val="005C49A2"/>
    <w:rsid w:val="005C4A48"/>
    <w:rsid w:val="005C4A9B"/>
    <w:rsid w:val="005C4B00"/>
    <w:rsid w:val="005C4E87"/>
    <w:rsid w:val="005C4EDA"/>
    <w:rsid w:val="005C4F6D"/>
    <w:rsid w:val="005C542B"/>
    <w:rsid w:val="005C5477"/>
    <w:rsid w:val="005C556E"/>
    <w:rsid w:val="005C558B"/>
    <w:rsid w:val="005C5826"/>
    <w:rsid w:val="005C5831"/>
    <w:rsid w:val="005C5C0B"/>
    <w:rsid w:val="005C5D16"/>
    <w:rsid w:val="005C5EFE"/>
    <w:rsid w:val="005C616D"/>
    <w:rsid w:val="005C622B"/>
    <w:rsid w:val="005C6351"/>
    <w:rsid w:val="005C68C8"/>
    <w:rsid w:val="005C6AA4"/>
    <w:rsid w:val="005C6AF9"/>
    <w:rsid w:val="005C6CB0"/>
    <w:rsid w:val="005C6DA4"/>
    <w:rsid w:val="005C6DB8"/>
    <w:rsid w:val="005C7041"/>
    <w:rsid w:val="005C7452"/>
    <w:rsid w:val="005C7BA6"/>
    <w:rsid w:val="005D0136"/>
    <w:rsid w:val="005D0173"/>
    <w:rsid w:val="005D0246"/>
    <w:rsid w:val="005D02A1"/>
    <w:rsid w:val="005D030F"/>
    <w:rsid w:val="005D0396"/>
    <w:rsid w:val="005D062D"/>
    <w:rsid w:val="005D079A"/>
    <w:rsid w:val="005D07B6"/>
    <w:rsid w:val="005D0841"/>
    <w:rsid w:val="005D0950"/>
    <w:rsid w:val="005D0981"/>
    <w:rsid w:val="005D0A94"/>
    <w:rsid w:val="005D0C6B"/>
    <w:rsid w:val="005D0E72"/>
    <w:rsid w:val="005D0E8C"/>
    <w:rsid w:val="005D0EA1"/>
    <w:rsid w:val="005D101D"/>
    <w:rsid w:val="005D105D"/>
    <w:rsid w:val="005D11B0"/>
    <w:rsid w:val="005D14B6"/>
    <w:rsid w:val="005D188E"/>
    <w:rsid w:val="005D1928"/>
    <w:rsid w:val="005D1A09"/>
    <w:rsid w:val="005D1BE0"/>
    <w:rsid w:val="005D1E38"/>
    <w:rsid w:val="005D1E3F"/>
    <w:rsid w:val="005D1F2C"/>
    <w:rsid w:val="005D1FDD"/>
    <w:rsid w:val="005D29BB"/>
    <w:rsid w:val="005D29D5"/>
    <w:rsid w:val="005D2B92"/>
    <w:rsid w:val="005D2BE6"/>
    <w:rsid w:val="005D2D8E"/>
    <w:rsid w:val="005D2E49"/>
    <w:rsid w:val="005D2FDA"/>
    <w:rsid w:val="005D32B7"/>
    <w:rsid w:val="005D33D6"/>
    <w:rsid w:val="005D34BD"/>
    <w:rsid w:val="005D35A1"/>
    <w:rsid w:val="005D3939"/>
    <w:rsid w:val="005D397B"/>
    <w:rsid w:val="005D3E55"/>
    <w:rsid w:val="005D3ED7"/>
    <w:rsid w:val="005D40D1"/>
    <w:rsid w:val="005D41FD"/>
    <w:rsid w:val="005D4823"/>
    <w:rsid w:val="005D4989"/>
    <w:rsid w:val="005D49FE"/>
    <w:rsid w:val="005D512E"/>
    <w:rsid w:val="005D5412"/>
    <w:rsid w:val="005D55B9"/>
    <w:rsid w:val="005D55C6"/>
    <w:rsid w:val="005D5629"/>
    <w:rsid w:val="005D562F"/>
    <w:rsid w:val="005D5634"/>
    <w:rsid w:val="005D582B"/>
    <w:rsid w:val="005D5A45"/>
    <w:rsid w:val="005D5A63"/>
    <w:rsid w:val="005D5CE3"/>
    <w:rsid w:val="005D5E54"/>
    <w:rsid w:val="005D5FBD"/>
    <w:rsid w:val="005D6342"/>
    <w:rsid w:val="005D636F"/>
    <w:rsid w:val="005D6579"/>
    <w:rsid w:val="005D65EC"/>
    <w:rsid w:val="005D684A"/>
    <w:rsid w:val="005D6BAE"/>
    <w:rsid w:val="005D6F3E"/>
    <w:rsid w:val="005D6FCF"/>
    <w:rsid w:val="005D703B"/>
    <w:rsid w:val="005D722A"/>
    <w:rsid w:val="005D7288"/>
    <w:rsid w:val="005D72AC"/>
    <w:rsid w:val="005D7343"/>
    <w:rsid w:val="005D73A5"/>
    <w:rsid w:val="005D73B1"/>
    <w:rsid w:val="005D77E9"/>
    <w:rsid w:val="005D7990"/>
    <w:rsid w:val="005D7A2A"/>
    <w:rsid w:val="005D7B58"/>
    <w:rsid w:val="005D7BF4"/>
    <w:rsid w:val="005D7CDF"/>
    <w:rsid w:val="005D7E41"/>
    <w:rsid w:val="005D7E91"/>
    <w:rsid w:val="005D7FDB"/>
    <w:rsid w:val="005E01F9"/>
    <w:rsid w:val="005E03E9"/>
    <w:rsid w:val="005E093F"/>
    <w:rsid w:val="005E10C0"/>
    <w:rsid w:val="005E10D7"/>
    <w:rsid w:val="005E1341"/>
    <w:rsid w:val="005E13F5"/>
    <w:rsid w:val="005E142F"/>
    <w:rsid w:val="005E153A"/>
    <w:rsid w:val="005E1598"/>
    <w:rsid w:val="005E1649"/>
    <w:rsid w:val="005E1802"/>
    <w:rsid w:val="005E1871"/>
    <w:rsid w:val="005E1B07"/>
    <w:rsid w:val="005E1B1B"/>
    <w:rsid w:val="005E1B26"/>
    <w:rsid w:val="005E1C53"/>
    <w:rsid w:val="005E1C98"/>
    <w:rsid w:val="005E1DBD"/>
    <w:rsid w:val="005E1E7E"/>
    <w:rsid w:val="005E2147"/>
    <w:rsid w:val="005E21CD"/>
    <w:rsid w:val="005E2452"/>
    <w:rsid w:val="005E24C3"/>
    <w:rsid w:val="005E25BE"/>
    <w:rsid w:val="005E286F"/>
    <w:rsid w:val="005E28A5"/>
    <w:rsid w:val="005E2B08"/>
    <w:rsid w:val="005E2B6F"/>
    <w:rsid w:val="005E2CC9"/>
    <w:rsid w:val="005E2F4D"/>
    <w:rsid w:val="005E2F9A"/>
    <w:rsid w:val="005E3217"/>
    <w:rsid w:val="005E336B"/>
    <w:rsid w:val="005E35B2"/>
    <w:rsid w:val="005E38AA"/>
    <w:rsid w:val="005E391D"/>
    <w:rsid w:val="005E3A83"/>
    <w:rsid w:val="005E3C4B"/>
    <w:rsid w:val="005E3D51"/>
    <w:rsid w:val="005E3DC2"/>
    <w:rsid w:val="005E3E78"/>
    <w:rsid w:val="005E404A"/>
    <w:rsid w:val="005E4078"/>
    <w:rsid w:val="005E40DB"/>
    <w:rsid w:val="005E4222"/>
    <w:rsid w:val="005E434B"/>
    <w:rsid w:val="005E437D"/>
    <w:rsid w:val="005E43B9"/>
    <w:rsid w:val="005E44FC"/>
    <w:rsid w:val="005E4862"/>
    <w:rsid w:val="005E49DF"/>
    <w:rsid w:val="005E4AEF"/>
    <w:rsid w:val="005E4B36"/>
    <w:rsid w:val="005E4F0C"/>
    <w:rsid w:val="005E4F97"/>
    <w:rsid w:val="005E5058"/>
    <w:rsid w:val="005E5147"/>
    <w:rsid w:val="005E53D7"/>
    <w:rsid w:val="005E5498"/>
    <w:rsid w:val="005E54A2"/>
    <w:rsid w:val="005E564E"/>
    <w:rsid w:val="005E56AB"/>
    <w:rsid w:val="005E58B0"/>
    <w:rsid w:val="005E58B6"/>
    <w:rsid w:val="005E597E"/>
    <w:rsid w:val="005E6194"/>
    <w:rsid w:val="005E68E7"/>
    <w:rsid w:val="005E696C"/>
    <w:rsid w:val="005E69D7"/>
    <w:rsid w:val="005E6AA7"/>
    <w:rsid w:val="005E6AEC"/>
    <w:rsid w:val="005E6B5F"/>
    <w:rsid w:val="005E6B81"/>
    <w:rsid w:val="005E6E34"/>
    <w:rsid w:val="005E6E5E"/>
    <w:rsid w:val="005E6F99"/>
    <w:rsid w:val="005E72E6"/>
    <w:rsid w:val="005E735C"/>
    <w:rsid w:val="005E74AB"/>
    <w:rsid w:val="005E75D0"/>
    <w:rsid w:val="005E7707"/>
    <w:rsid w:val="005E77B1"/>
    <w:rsid w:val="005E7AE3"/>
    <w:rsid w:val="005E7B28"/>
    <w:rsid w:val="005E7B6F"/>
    <w:rsid w:val="005E7B7B"/>
    <w:rsid w:val="005E7C70"/>
    <w:rsid w:val="005E7CBC"/>
    <w:rsid w:val="005E7F10"/>
    <w:rsid w:val="005F0037"/>
    <w:rsid w:val="005F00D9"/>
    <w:rsid w:val="005F027B"/>
    <w:rsid w:val="005F04DA"/>
    <w:rsid w:val="005F05B9"/>
    <w:rsid w:val="005F060F"/>
    <w:rsid w:val="005F06D8"/>
    <w:rsid w:val="005F070C"/>
    <w:rsid w:val="005F08BB"/>
    <w:rsid w:val="005F0AE3"/>
    <w:rsid w:val="005F0B74"/>
    <w:rsid w:val="005F0BA5"/>
    <w:rsid w:val="005F0BDE"/>
    <w:rsid w:val="005F0C22"/>
    <w:rsid w:val="005F12A8"/>
    <w:rsid w:val="005F135E"/>
    <w:rsid w:val="005F1361"/>
    <w:rsid w:val="005F1704"/>
    <w:rsid w:val="005F1862"/>
    <w:rsid w:val="005F187B"/>
    <w:rsid w:val="005F1937"/>
    <w:rsid w:val="005F1A0E"/>
    <w:rsid w:val="005F1A50"/>
    <w:rsid w:val="005F1A9F"/>
    <w:rsid w:val="005F1B9D"/>
    <w:rsid w:val="005F1CDA"/>
    <w:rsid w:val="005F1CE5"/>
    <w:rsid w:val="005F20CF"/>
    <w:rsid w:val="005F20F3"/>
    <w:rsid w:val="005F2131"/>
    <w:rsid w:val="005F21B2"/>
    <w:rsid w:val="005F21FD"/>
    <w:rsid w:val="005F2366"/>
    <w:rsid w:val="005F242A"/>
    <w:rsid w:val="005F2762"/>
    <w:rsid w:val="005F2911"/>
    <w:rsid w:val="005F2977"/>
    <w:rsid w:val="005F29F7"/>
    <w:rsid w:val="005F2AFB"/>
    <w:rsid w:val="005F2C55"/>
    <w:rsid w:val="005F2D6C"/>
    <w:rsid w:val="005F2F73"/>
    <w:rsid w:val="005F2F86"/>
    <w:rsid w:val="005F3062"/>
    <w:rsid w:val="005F3092"/>
    <w:rsid w:val="005F3366"/>
    <w:rsid w:val="005F3492"/>
    <w:rsid w:val="005F34B3"/>
    <w:rsid w:val="005F3924"/>
    <w:rsid w:val="005F3983"/>
    <w:rsid w:val="005F3A8D"/>
    <w:rsid w:val="005F3AE0"/>
    <w:rsid w:val="005F3AF1"/>
    <w:rsid w:val="005F3B09"/>
    <w:rsid w:val="005F3C58"/>
    <w:rsid w:val="005F3E05"/>
    <w:rsid w:val="005F3E97"/>
    <w:rsid w:val="005F40B0"/>
    <w:rsid w:val="005F4169"/>
    <w:rsid w:val="005F4435"/>
    <w:rsid w:val="005F4466"/>
    <w:rsid w:val="005F4585"/>
    <w:rsid w:val="005F47E2"/>
    <w:rsid w:val="005F48C5"/>
    <w:rsid w:val="005F48E6"/>
    <w:rsid w:val="005F4DD1"/>
    <w:rsid w:val="005F4E7D"/>
    <w:rsid w:val="005F501C"/>
    <w:rsid w:val="005F53B6"/>
    <w:rsid w:val="005F53D7"/>
    <w:rsid w:val="005F54D5"/>
    <w:rsid w:val="005F57A4"/>
    <w:rsid w:val="005F583C"/>
    <w:rsid w:val="005F58BA"/>
    <w:rsid w:val="005F5990"/>
    <w:rsid w:val="005F5C3A"/>
    <w:rsid w:val="005F5E62"/>
    <w:rsid w:val="005F5EF2"/>
    <w:rsid w:val="005F60E4"/>
    <w:rsid w:val="005F6253"/>
    <w:rsid w:val="005F6669"/>
    <w:rsid w:val="005F6C9A"/>
    <w:rsid w:val="005F6CB3"/>
    <w:rsid w:val="005F6DBE"/>
    <w:rsid w:val="005F6E6E"/>
    <w:rsid w:val="005F6FC5"/>
    <w:rsid w:val="005F71E1"/>
    <w:rsid w:val="005F71F9"/>
    <w:rsid w:val="005F752F"/>
    <w:rsid w:val="005F78CD"/>
    <w:rsid w:val="005F79CC"/>
    <w:rsid w:val="005F7BC9"/>
    <w:rsid w:val="005F7C86"/>
    <w:rsid w:val="006005E5"/>
    <w:rsid w:val="0060084D"/>
    <w:rsid w:val="00600894"/>
    <w:rsid w:val="00600B70"/>
    <w:rsid w:val="00600C9F"/>
    <w:rsid w:val="00600D19"/>
    <w:rsid w:val="00600DD1"/>
    <w:rsid w:val="00600E01"/>
    <w:rsid w:val="00600F1E"/>
    <w:rsid w:val="00601079"/>
    <w:rsid w:val="00601148"/>
    <w:rsid w:val="006011AD"/>
    <w:rsid w:val="00601247"/>
    <w:rsid w:val="006014F8"/>
    <w:rsid w:val="0060183C"/>
    <w:rsid w:val="00601845"/>
    <w:rsid w:val="0060189C"/>
    <w:rsid w:val="00601966"/>
    <w:rsid w:val="00601C31"/>
    <w:rsid w:val="00601F3A"/>
    <w:rsid w:val="0060208C"/>
    <w:rsid w:val="00602287"/>
    <w:rsid w:val="00602314"/>
    <w:rsid w:val="0060235F"/>
    <w:rsid w:val="006025CA"/>
    <w:rsid w:val="006026E9"/>
    <w:rsid w:val="00602734"/>
    <w:rsid w:val="006029F7"/>
    <w:rsid w:val="00602A8E"/>
    <w:rsid w:val="00602C95"/>
    <w:rsid w:val="00602E2E"/>
    <w:rsid w:val="00602F07"/>
    <w:rsid w:val="00602FF8"/>
    <w:rsid w:val="0060304A"/>
    <w:rsid w:val="006034CF"/>
    <w:rsid w:val="0060355A"/>
    <w:rsid w:val="00603665"/>
    <w:rsid w:val="00603729"/>
    <w:rsid w:val="006038BE"/>
    <w:rsid w:val="006039D3"/>
    <w:rsid w:val="00603AD5"/>
    <w:rsid w:val="00603EB3"/>
    <w:rsid w:val="00604223"/>
    <w:rsid w:val="0060430C"/>
    <w:rsid w:val="00604501"/>
    <w:rsid w:val="006045AA"/>
    <w:rsid w:val="00604727"/>
    <w:rsid w:val="006048B2"/>
    <w:rsid w:val="006048D1"/>
    <w:rsid w:val="00604925"/>
    <w:rsid w:val="00604B54"/>
    <w:rsid w:val="00604B68"/>
    <w:rsid w:val="00604D69"/>
    <w:rsid w:val="00604EE8"/>
    <w:rsid w:val="00604F61"/>
    <w:rsid w:val="00604FBA"/>
    <w:rsid w:val="00605028"/>
    <w:rsid w:val="00605064"/>
    <w:rsid w:val="00605179"/>
    <w:rsid w:val="00605314"/>
    <w:rsid w:val="006053AE"/>
    <w:rsid w:val="00605436"/>
    <w:rsid w:val="0060548A"/>
    <w:rsid w:val="00605504"/>
    <w:rsid w:val="006059D7"/>
    <w:rsid w:val="006059E8"/>
    <w:rsid w:val="00605C5C"/>
    <w:rsid w:val="00605D08"/>
    <w:rsid w:val="00605D69"/>
    <w:rsid w:val="00605E19"/>
    <w:rsid w:val="00605EAC"/>
    <w:rsid w:val="00606645"/>
    <w:rsid w:val="00606671"/>
    <w:rsid w:val="006067B5"/>
    <w:rsid w:val="00606C37"/>
    <w:rsid w:val="00606C99"/>
    <w:rsid w:val="00606EED"/>
    <w:rsid w:val="00606FA3"/>
    <w:rsid w:val="00607018"/>
    <w:rsid w:val="006072AF"/>
    <w:rsid w:val="00607324"/>
    <w:rsid w:val="0060758E"/>
    <w:rsid w:val="006079C3"/>
    <w:rsid w:val="00607D69"/>
    <w:rsid w:val="00607E2C"/>
    <w:rsid w:val="00607EC6"/>
    <w:rsid w:val="00607EE2"/>
    <w:rsid w:val="00610039"/>
    <w:rsid w:val="0061010A"/>
    <w:rsid w:val="00610234"/>
    <w:rsid w:val="0061034E"/>
    <w:rsid w:val="006103CC"/>
    <w:rsid w:val="0061041E"/>
    <w:rsid w:val="00610422"/>
    <w:rsid w:val="00610620"/>
    <w:rsid w:val="00610633"/>
    <w:rsid w:val="006109E3"/>
    <w:rsid w:val="00610B9F"/>
    <w:rsid w:val="00610CC9"/>
    <w:rsid w:val="00610DAF"/>
    <w:rsid w:val="00610F2C"/>
    <w:rsid w:val="006112B5"/>
    <w:rsid w:val="006112DD"/>
    <w:rsid w:val="0061148D"/>
    <w:rsid w:val="006116D1"/>
    <w:rsid w:val="00611719"/>
    <w:rsid w:val="00611742"/>
    <w:rsid w:val="006118D4"/>
    <w:rsid w:val="0061198D"/>
    <w:rsid w:val="00611995"/>
    <w:rsid w:val="00611A1F"/>
    <w:rsid w:val="00611B1B"/>
    <w:rsid w:val="00611B3B"/>
    <w:rsid w:val="00612141"/>
    <w:rsid w:val="00612355"/>
    <w:rsid w:val="0061255F"/>
    <w:rsid w:val="00612653"/>
    <w:rsid w:val="006127BA"/>
    <w:rsid w:val="00612809"/>
    <w:rsid w:val="00612864"/>
    <w:rsid w:val="00612A27"/>
    <w:rsid w:val="00612BFA"/>
    <w:rsid w:val="00612C7D"/>
    <w:rsid w:val="00612D20"/>
    <w:rsid w:val="00612E3C"/>
    <w:rsid w:val="00612E5F"/>
    <w:rsid w:val="00613035"/>
    <w:rsid w:val="00613057"/>
    <w:rsid w:val="00613059"/>
    <w:rsid w:val="006131A4"/>
    <w:rsid w:val="00613318"/>
    <w:rsid w:val="0061338C"/>
    <w:rsid w:val="006133EE"/>
    <w:rsid w:val="0061369B"/>
    <w:rsid w:val="00613799"/>
    <w:rsid w:val="00614043"/>
    <w:rsid w:val="0061412B"/>
    <w:rsid w:val="006142ED"/>
    <w:rsid w:val="006143AF"/>
    <w:rsid w:val="00614889"/>
    <w:rsid w:val="00614A06"/>
    <w:rsid w:val="00614A68"/>
    <w:rsid w:val="00614A6C"/>
    <w:rsid w:val="00614A7B"/>
    <w:rsid w:val="00614AF7"/>
    <w:rsid w:val="00614C58"/>
    <w:rsid w:val="0061509B"/>
    <w:rsid w:val="0061510C"/>
    <w:rsid w:val="0061536D"/>
    <w:rsid w:val="00615622"/>
    <w:rsid w:val="00615755"/>
    <w:rsid w:val="0061585E"/>
    <w:rsid w:val="0061598C"/>
    <w:rsid w:val="00615BBD"/>
    <w:rsid w:val="00615E21"/>
    <w:rsid w:val="00615EC3"/>
    <w:rsid w:val="00615FAC"/>
    <w:rsid w:val="006160A1"/>
    <w:rsid w:val="006161A2"/>
    <w:rsid w:val="00616225"/>
    <w:rsid w:val="00616261"/>
    <w:rsid w:val="00616292"/>
    <w:rsid w:val="00616387"/>
    <w:rsid w:val="006163F5"/>
    <w:rsid w:val="00616547"/>
    <w:rsid w:val="006169CE"/>
    <w:rsid w:val="00616ABA"/>
    <w:rsid w:val="00616C1C"/>
    <w:rsid w:val="00616C56"/>
    <w:rsid w:val="00616D4A"/>
    <w:rsid w:val="00616EC8"/>
    <w:rsid w:val="00617047"/>
    <w:rsid w:val="00617054"/>
    <w:rsid w:val="00617289"/>
    <w:rsid w:val="0061745C"/>
    <w:rsid w:val="00617483"/>
    <w:rsid w:val="006177E3"/>
    <w:rsid w:val="00617BF1"/>
    <w:rsid w:val="00617CD5"/>
    <w:rsid w:val="00617DA1"/>
    <w:rsid w:val="00617EC8"/>
    <w:rsid w:val="00617EF9"/>
    <w:rsid w:val="006201B7"/>
    <w:rsid w:val="00620214"/>
    <w:rsid w:val="006205C1"/>
    <w:rsid w:val="0062063E"/>
    <w:rsid w:val="006207F2"/>
    <w:rsid w:val="00620918"/>
    <w:rsid w:val="00620963"/>
    <w:rsid w:val="00620C53"/>
    <w:rsid w:val="00620F11"/>
    <w:rsid w:val="0062141E"/>
    <w:rsid w:val="006215AB"/>
    <w:rsid w:val="00621601"/>
    <w:rsid w:val="00621B36"/>
    <w:rsid w:val="00621BF2"/>
    <w:rsid w:val="00621C1A"/>
    <w:rsid w:val="00621D2B"/>
    <w:rsid w:val="006220AC"/>
    <w:rsid w:val="006220C6"/>
    <w:rsid w:val="00622166"/>
    <w:rsid w:val="006221D1"/>
    <w:rsid w:val="0062225C"/>
    <w:rsid w:val="0062243A"/>
    <w:rsid w:val="00622489"/>
    <w:rsid w:val="006224C3"/>
    <w:rsid w:val="00622567"/>
    <w:rsid w:val="00622694"/>
    <w:rsid w:val="006228BE"/>
    <w:rsid w:val="006228EA"/>
    <w:rsid w:val="006229A5"/>
    <w:rsid w:val="00622C0A"/>
    <w:rsid w:val="00622DDF"/>
    <w:rsid w:val="00623277"/>
    <w:rsid w:val="006232C7"/>
    <w:rsid w:val="006232F0"/>
    <w:rsid w:val="00623630"/>
    <w:rsid w:val="0062398A"/>
    <w:rsid w:val="00623A73"/>
    <w:rsid w:val="00623ADA"/>
    <w:rsid w:val="00623B6D"/>
    <w:rsid w:val="00623CF0"/>
    <w:rsid w:val="00623F31"/>
    <w:rsid w:val="00623F67"/>
    <w:rsid w:val="006240D7"/>
    <w:rsid w:val="006242D5"/>
    <w:rsid w:val="0062445D"/>
    <w:rsid w:val="006244C9"/>
    <w:rsid w:val="00624530"/>
    <w:rsid w:val="006245B6"/>
    <w:rsid w:val="00624828"/>
    <w:rsid w:val="00624B81"/>
    <w:rsid w:val="00624BAC"/>
    <w:rsid w:val="0062513D"/>
    <w:rsid w:val="00625146"/>
    <w:rsid w:val="0062517C"/>
    <w:rsid w:val="00625195"/>
    <w:rsid w:val="0062520C"/>
    <w:rsid w:val="00625317"/>
    <w:rsid w:val="00625375"/>
    <w:rsid w:val="006253D1"/>
    <w:rsid w:val="006253E5"/>
    <w:rsid w:val="006254AA"/>
    <w:rsid w:val="00625734"/>
    <w:rsid w:val="006258C7"/>
    <w:rsid w:val="00625DCC"/>
    <w:rsid w:val="00625E9A"/>
    <w:rsid w:val="00626215"/>
    <w:rsid w:val="00626271"/>
    <w:rsid w:val="00626342"/>
    <w:rsid w:val="00626982"/>
    <w:rsid w:val="00626AE8"/>
    <w:rsid w:val="00626B6E"/>
    <w:rsid w:val="00626CEA"/>
    <w:rsid w:val="00626DFF"/>
    <w:rsid w:val="00626F42"/>
    <w:rsid w:val="0062719C"/>
    <w:rsid w:val="006271B9"/>
    <w:rsid w:val="00627228"/>
    <w:rsid w:val="00627262"/>
    <w:rsid w:val="00627454"/>
    <w:rsid w:val="00627490"/>
    <w:rsid w:val="006274C4"/>
    <w:rsid w:val="006276B1"/>
    <w:rsid w:val="00627820"/>
    <w:rsid w:val="00627A17"/>
    <w:rsid w:val="00627A29"/>
    <w:rsid w:val="00627AB2"/>
    <w:rsid w:val="00627D67"/>
    <w:rsid w:val="00627ED6"/>
    <w:rsid w:val="00627F69"/>
    <w:rsid w:val="00630074"/>
    <w:rsid w:val="0063007B"/>
    <w:rsid w:val="006300FA"/>
    <w:rsid w:val="006301A1"/>
    <w:rsid w:val="006301C6"/>
    <w:rsid w:val="006301E5"/>
    <w:rsid w:val="006303D6"/>
    <w:rsid w:val="0063066D"/>
    <w:rsid w:val="00630727"/>
    <w:rsid w:val="0063073E"/>
    <w:rsid w:val="00630BC6"/>
    <w:rsid w:val="00630DE0"/>
    <w:rsid w:val="0063126E"/>
    <w:rsid w:val="0063129A"/>
    <w:rsid w:val="0063170B"/>
    <w:rsid w:val="0063172E"/>
    <w:rsid w:val="00631969"/>
    <w:rsid w:val="00631DAA"/>
    <w:rsid w:val="00631E56"/>
    <w:rsid w:val="00631E91"/>
    <w:rsid w:val="00631F3D"/>
    <w:rsid w:val="00632106"/>
    <w:rsid w:val="0063230C"/>
    <w:rsid w:val="006323AA"/>
    <w:rsid w:val="00632979"/>
    <w:rsid w:val="00632B9C"/>
    <w:rsid w:val="00632CF6"/>
    <w:rsid w:val="00632DE8"/>
    <w:rsid w:val="00632E0F"/>
    <w:rsid w:val="00632E90"/>
    <w:rsid w:val="00633163"/>
    <w:rsid w:val="0063319D"/>
    <w:rsid w:val="006334BB"/>
    <w:rsid w:val="00633948"/>
    <w:rsid w:val="00633A50"/>
    <w:rsid w:val="00633C24"/>
    <w:rsid w:val="00633E94"/>
    <w:rsid w:val="00633ED0"/>
    <w:rsid w:val="00633EE0"/>
    <w:rsid w:val="00633F5B"/>
    <w:rsid w:val="00634065"/>
    <w:rsid w:val="0063413F"/>
    <w:rsid w:val="006344CE"/>
    <w:rsid w:val="00634856"/>
    <w:rsid w:val="00634A03"/>
    <w:rsid w:val="00634EF3"/>
    <w:rsid w:val="00634FA5"/>
    <w:rsid w:val="00635099"/>
    <w:rsid w:val="00635322"/>
    <w:rsid w:val="00635432"/>
    <w:rsid w:val="00635454"/>
    <w:rsid w:val="0063582B"/>
    <w:rsid w:val="00635846"/>
    <w:rsid w:val="00635934"/>
    <w:rsid w:val="00635936"/>
    <w:rsid w:val="00635B61"/>
    <w:rsid w:val="00635B78"/>
    <w:rsid w:val="00635D96"/>
    <w:rsid w:val="00635DD8"/>
    <w:rsid w:val="0063600E"/>
    <w:rsid w:val="006360FA"/>
    <w:rsid w:val="00636377"/>
    <w:rsid w:val="00636478"/>
    <w:rsid w:val="00636970"/>
    <w:rsid w:val="00636CAA"/>
    <w:rsid w:val="00636CD8"/>
    <w:rsid w:val="00636D3F"/>
    <w:rsid w:val="00636E62"/>
    <w:rsid w:val="00636EAB"/>
    <w:rsid w:val="00637018"/>
    <w:rsid w:val="00637021"/>
    <w:rsid w:val="00637181"/>
    <w:rsid w:val="0063727B"/>
    <w:rsid w:val="00637323"/>
    <w:rsid w:val="0063745A"/>
    <w:rsid w:val="006376B3"/>
    <w:rsid w:val="006378BF"/>
    <w:rsid w:val="006379D6"/>
    <w:rsid w:val="00637A66"/>
    <w:rsid w:val="00637B4A"/>
    <w:rsid w:val="00637B91"/>
    <w:rsid w:val="00637D28"/>
    <w:rsid w:val="00637E2D"/>
    <w:rsid w:val="00640009"/>
    <w:rsid w:val="00640226"/>
    <w:rsid w:val="006402D0"/>
    <w:rsid w:val="00640560"/>
    <w:rsid w:val="006406A4"/>
    <w:rsid w:val="00640774"/>
    <w:rsid w:val="00640C30"/>
    <w:rsid w:val="00640D70"/>
    <w:rsid w:val="0064109F"/>
    <w:rsid w:val="00641150"/>
    <w:rsid w:val="006411F3"/>
    <w:rsid w:val="006413C1"/>
    <w:rsid w:val="006415B8"/>
    <w:rsid w:val="00641A6D"/>
    <w:rsid w:val="00641A7E"/>
    <w:rsid w:val="00641CBD"/>
    <w:rsid w:val="00641DA6"/>
    <w:rsid w:val="00641E97"/>
    <w:rsid w:val="00641F07"/>
    <w:rsid w:val="00641F96"/>
    <w:rsid w:val="0064207B"/>
    <w:rsid w:val="0064210D"/>
    <w:rsid w:val="006422A9"/>
    <w:rsid w:val="00642518"/>
    <w:rsid w:val="006426B1"/>
    <w:rsid w:val="006426F3"/>
    <w:rsid w:val="0064299F"/>
    <w:rsid w:val="006429E7"/>
    <w:rsid w:val="00642C2C"/>
    <w:rsid w:val="00642C34"/>
    <w:rsid w:val="00642EFB"/>
    <w:rsid w:val="00643434"/>
    <w:rsid w:val="0064390D"/>
    <w:rsid w:val="00643942"/>
    <w:rsid w:val="006439C6"/>
    <w:rsid w:val="00643A56"/>
    <w:rsid w:val="00643A9F"/>
    <w:rsid w:val="00643B91"/>
    <w:rsid w:val="00643CF9"/>
    <w:rsid w:val="00643ECD"/>
    <w:rsid w:val="00643EE4"/>
    <w:rsid w:val="00643EFC"/>
    <w:rsid w:val="00643FB5"/>
    <w:rsid w:val="00644057"/>
    <w:rsid w:val="00644872"/>
    <w:rsid w:val="00644AC5"/>
    <w:rsid w:val="00644C10"/>
    <w:rsid w:val="00644D1A"/>
    <w:rsid w:val="00644E27"/>
    <w:rsid w:val="00645089"/>
    <w:rsid w:val="00645240"/>
    <w:rsid w:val="00645251"/>
    <w:rsid w:val="00645507"/>
    <w:rsid w:val="00645636"/>
    <w:rsid w:val="0064568B"/>
    <w:rsid w:val="006456FF"/>
    <w:rsid w:val="0064581F"/>
    <w:rsid w:val="00645A5D"/>
    <w:rsid w:val="00645CFB"/>
    <w:rsid w:val="00645E2C"/>
    <w:rsid w:val="0064607F"/>
    <w:rsid w:val="006463F8"/>
    <w:rsid w:val="00646417"/>
    <w:rsid w:val="006464CE"/>
    <w:rsid w:val="00646764"/>
    <w:rsid w:val="00646A6F"/>
    <w:rsid w:val="00646BF4"/>
    <w:rsid w:val="00646CA1"/>
    <w:rsid w:val="00646E87"/>
    <w:rsid w:val="00646F83"/>
    <w:rsid w:val="00646F95"/>
    <w:rsid w:val="00647039"/>
    <w:rsid w:val="0064766B"/>
    <w:rsid w:val="00647917"/>
    <w:rsid w:val="00647940"/>
    <w:rsid w:val="00647AF6"/>
    <w:rsid w:val="00647C69"/>
    <w:rsid w:val="00647CF5"/>
    <w:rsid w:val="00647E4F"/>
    <w:rsid w:val="00647EED"/>
    <w:rsid w:val="0065013D"/>
    <w:rsid w:val="00650183"/>
    <w:rsid w:val="006506FE"/>
    <w:rsid w:val="0065074B"/>
    <w:rsid w:val="0065093C"/>
    <w:rsid w:val="00650A5A"/>
    <w:rsid w:val="00650B74"/>
    <w:rsid w:val="00650E14"/>
    <w:rsid w:val="00650E51"/>
    <w:rsid w:val="00650F9F"/>
    <w:rsid w:val="006510B1"/>
    <w:rsid w:val="00651166"/>
    <w:rsid w:val="00651175"/>
    <w:rsid w:val="006512BA"/>
    <w:rsid w:val="0065137B"/>
    <w:rsid w:val="0065143A"/>
    <w:rsid w:val="006514C9"/>
    <w:rsid w:val="006515F7"/>
    <w:rsid w:val="006519F3"/>
    <w:rsid w:val="00651DA2"/>
    <w:rsid w:val="0065207A"/>
    <w:rsid w:val="00652275"/>
    <w:rsid w:val="00652329"/>
    <w:rsid w:val="00652431"/>
    <w:rsid w:val="006526DE"/>
    <w:rsid w:val="00652941"/>
    <w:rsid w:val="00652DFB"/>
    <w:rsid w:val="006530E4"/>
    <w:rsid w:val="00653365"/>
    <w:rsid w:val="00653409"/>
    <w:rsid w:val="00653481"/>
    <w:rsid w:val="0065364A"/>
    <w:rsid w:val="0065365C"/>
    <w:rsid w:val="00653B2E"/>
    <w:rsid w:val="00653D5F"/>
    <w:rsid w:val="00653D85"/>
    <w:rsid w:val="00653DAD"/>
    <w:rsid w:val="006540B9"/>
    <w:rsid w:val="006540EE"/>
    <w:rsid w:val="0065426A"/>
    <w:rsid w:val="00654281"/>
    <w:rsid w:val="006542C0"/>
    <w:rsid w:val="006543CF"/>
    <w:rsid w:val="006543F4"/>
    <w:rsid w:val="00654510"/>
    <w:rsid w:val="00654578"/>
    <w:rsid w:val="00654B18"/>
    <w:rsid w:val="00654D0F"/>
    <w:rsid w:val="00654D97"/>
    <w:rsid w:val="00654DCF"/>
    <w:rsid w:val="00654E74"/>
    <w:rsid w:val="00654EF6"/>
    <w:rsid w:val="006552EE"/>
    <w:rsid w:val="006554CA"/>
    <w:rsid w:val="006554E8"/>
    <w:rsid w:val="00655551"/>
    <w:rsid w:val="006555DC"/>
    <w:rsid w:val="006558A1"/>
    <w:rsid w:val="00655BDE"/>
    <w:rsid w:val="00655E1C"/>
    <w:rsid w:val="006561CA"/>
    <w:rsid w:val="00656284"/>
    <w:rsid w:val="00656641"/>
    <w:rsid w:val="0065668A"/>
    <w:rsid w:val="0065685A"/>
    <w:rsid w:val="00656913"/>
    <w:rsid w:val="00656B72"/>
    <w:rsid w:val="00656C42"/>
    <w:rsid w:val="00656E1D"/>
    <w:rsid w:val="00656E9A"/>
    <w:rsid w:val="006573E5"/>
    <w:rsid w:val="00657503"/>
    <w:rsid w:val="006576D4"/>
    <w:rsid w:val="006577E7"/>
    <w:rsid w:val="00657E39"/>
    <w:rsid w:val="00657E43"/>
    <w:rsid w:val="00657EAA"/>
    <w:rsid w:val="00657F7D"/>
    <w:rsid w:val="006602A2"/>
    <w:rsid w:val="006602EB"/>
    <w:rsid w:val="006604AA"/>
    <w:rsid w:val="0066058A"/>
    <w:rsid w:val="00660729"/>
    <w:rsid w:val="0066078F"/>
    <w:rsid w:val="0066089C"/>
    <w:rsid w:val="00660B23"/>
    <w:rsid w:val="00660DCA"/>
    <w:rsid w:val="00660E3D"/>
    <w:rsid w:val="00660F5F"/>
    <w:rsid w:val="00660F82"/>
    <w:rsid w:val="00661214"/>
    <w:rsid w:val="00661393"/>
    <w:rsid w:val="006613A2"/>
    <w:rsid w:val="00661471"/>
    <w:rsid w:val="0066149B"/>
    <w:rsid w:val="006616CC"/>
    <w:rsid w:val="006618A9"/>
    <w:rsid w:val="00661C25"/>
    <w:rsid w:val="00661D6B"/>
    <w:rsid w:val="00661E03"/>
    <w:rsid w:val="00661E1C"/>
    <w:rsid w:val="00661F94"/>
    <w:rsid w:val="0066208A"/>
    <w:rsid w:val="00662877"/>
    <w:rsid w:val="00662899"/>
    <w:rsid w:val="00662CC9"/>
    <w:rsid w:val="00663221"/>
    <w:rsid w:val="006632A8"/>
    <w:rsid w:val="006632F0"/>
    <w:rsid w:val="0066341A"/>
    <w:rsid w:val="00663530"/>
    <w:rsid w:val="00663829"/>
    <w:rsid w:val="00663881"/>
    <w:rsid w:val="00663A3F"/>
    <w:rsid w:val="00663D66"/>
    <w:rsid w:val="00663D8C"/>
    <w:rsid w:val="00663E22"/>
    <w:rsid w:val="00663EF3"/>
    <w:rsid w:val="00663F4E"/>
    <w:rsid w:val="006640DA"/>
    <w:rsid w:val="006641C1"/>
    <w:rsid w:val="0066432E"/>
    <w:rsid w:val="00664383"/>
    <w:rsid w:val="006644A3"/>
    <w:rsid w:val="006645F4"/>
    <w:rsid w:val="006646A0"/>
    <w:rsid w:val="00664FEF"/>
    <w:rsid w:val="00665084"/>
    <w:rsid w:val="0066509D"/>
    <w:rsid w:val="006651F4"/>
    <w:rsid w:val="0066539E"/>
    <w:rsid w:val="006655E9"/>
    <w:rsid w:val="00665732"/>
    <w:rsid w:val="006658BE"/>
    <w:rsid w:val="00665A5B"/>
    <w:rsid w:val="00665AFD"/>
    <w:rsid w:val="00665AFF"/>
    <w:rsid w:val="00665B30"/>
    <w:rsid w:val="00665C5E"/>
    <w:rsid w:val="00665DFC"/>
    <w:rsid w:val="00665E2A"/>
    <w:rsid w:val="00665EFE"/>
    <w:rsid w:val="00665F19"/>
    <w:rsid w:val="00665F98"/>
    <w:rsid w:val="0066608D"/>
    <w:rsid w:val="0066626C"/>
    <w:rsid w:val="00666307"/>
    <w:rsid w:val="0066647E"/>
    <w:rsid w:val="0066652B"/>
    <w:rsid w:val="00666548"/>
    <w:rsid w:val="006667FA"/>
    <w:rsid w:val="00666981"/>
    <w:rsid w:val="00666A24"/>
    <w:rsid w:val="00666B82"/>
    <w:rsid w:val="00666C92"/>
    <w:rsid w:val="00666C94"/>
    <w:rsid w:val="00666E81"/>
    <w:rsid w:val="00666E86"/>
    <w:rsid w:val="00666E93"/>
    <w:rsid w:val="00666F21"/>
    <w:rsid w:val="0066730C"/>
    <w:rsid w:val="0066780E"/>
    <w:rsid w:val="00667AE5"/>
    <w:rsid w:val="00667B44"/>
    <w:rsid w:val="00670255"/>
    <w:rsid w:val="00670331"/>
    <w:rsid w:val="00670778"/>
    <w:rsid w:val="0067077B"/>
    <w:rsid w:val="00670A1D"/>
    <w:rsid w:val="00670ABA"/>
    <w:rsid w:val="00670B10"/>
    <w:rsid w:val="00670BE4"/>
    <w:rsid w:val="00670C1E"/>
    <w:rsid w:val="00670D2A"/>
    <w:rsid w:val="00670E1E"/>
    <w:rsid w:val="0067104D"/>
    <w:rsid w:val="0067106A"/>
    <w:rsid w:val="006711C9"/>
    <w:rsid w:val="006712A7"/>
    <w:rsid w:val="006712F1"/>
    <w:rsid w:val="0067134C"/>
    <w:rsid w:val="006713A2"/>
    <w:rsid w:val="006717BC"/>
    <w:rsid w:val="00671812"/>
    <w:rsid w:val="006718E6"/>
    <w:rsid w:val="00671A1E"/>
    <w:rsid w:val="00671A54"/>
    <w:rsid w:val="00671B42"/>
    <w:rsid w:val="00671E65"/>
    <w:rsid w:val="00671F4C"/>
    <w:rsid w:val="00671F8A"/>
    <w:rsid w:val="00672213"/>
    <w:rsid w:val="00672240"/>
    <w:rsid w:val="00672284"/>
    <w:rsid w:val="006722FF"/>
    <w:rsid w:val="00672490"/>
    <w:rsid w:val="006724CF"/>
    <w:rsid w:val="006724E1"/>
    <w:rsid w:val="00672673"/>
    <w:rsid w:val="006726DF"/>
    <w:rsid w:val="006727B2"/>
    <w:rsid w:val="006729D0"/>
    <w:rsid w:val="00672A57"/>
    <w:rsid w:val="00672A6A"/>
    <w:rsid w:val="00672B48"/>
    <w:rsid w:val="00672C41"/>
    <w:rsid w:val="00672C9E"/>
    <w:rsid w:val="00672D1F"/>
    <w:rsid w:val="00672D7F"/>
    <w:rsid w:val="00672D99"/>
    <w:rsid w:val="00672DAF"/>
    <w:rsid w:val="00672EA8"/>
    <w:rsid w:val="0067357C"/>
    <w:rsid w:val="00673580"/>
    <w:rsid w:val="0067366A"/>
    <w:rsid w:val="0067378C"/>
    <w:rsid w:val="0067379A"/>
    <w:rsid w:val="00673933"/>
    <w:rsid w:val="00673EDB"/>
    <w:rsid w:val="006740BB"/>
    <w:rsid w:val="00674359"/>
    <w:rsid w:val="00674480"/>
    <w:rsid w:val="00674515"/>
    <w:rsid w:val="006747EE"/>
    <w:rsid w:val="0067491F"/>
    <w:rsid w:val="00674E00"/>
    <w:rsid w:val="00674E8E"/>
    <w:rsid w:val="0067510D"/>
    <w:rsid w:val="006753B6"/>
    <w:rsid w:val="0067592C"/>
    <w:rsid w:val="00675956"/>
    <w:rsid w:val="00675D4D"/>
    <w:rsid w:val="00675E40"/>
    <w:rsid w:val="00675ED6"/>
    <w:rsid w:val="00675F73"/>
    <w:rsid w:val="00675F8F"/>
    <w:rsid w:val="00675FB9"/>
    <w:rsid w:val="006762ED"/>
    <w:rsid w:val="00676312"/>
    <w:rsid w:val="0067647C"/>
    <w:rsid w:val="00676667"/>
    <w:rsid w:val="0067668C"/>
    <w:rsid w:val="0067669A"/>
    <w:rsid w:val="006768A9"/>
    <w:rsid w:val="006768C1"/>
    <w:rsid w:val="00676922"/>
    <w:rsid w:val="006769F8"/>
    <w:rsid w:val="00676A24"/>
    <w:rsid w:val="00676C82"/>
    <w:rsid w:val="006772C9"/>
    <w:rsid w:val="00677525"/>
    <w:rsid w:val="00677989"/>
    <w:rsid w:val="0067799D"/>
    <w:rsid w:val="00677A57"/>
    <w:rsid w:val="00677A5E"/>
    <w:rsid w:val="00677A70"/>
    <w:rsid w:val="00677DA5"/>
    <w:rsid w:val="00677E3D"/>
    <w:rsid w:val="00677F1F"/>
    <w:rsid w:val="006800AC"/>
    <w:rsid w:val="00680255"/>
    <w:rsid w:val="006802C8"/>
    <w:rsid w:val="00680356"/>
    <w:rsid w:val="0068059D"/>
    <w:rsid w:val="00680820"/>
    <w:rsid w:val="00680F02"/>
    <w:rsid w:val="00681239"/>
    <w:rsid w:val="0068142D"/>
    <w:rsid w:val="0068187F"/>
    <w:rsid w:val="0068192C"/>
    <w:rsid w:val="00681971"/>
    <w:rsid w:val="006819FE"/>
    <w:rsid w:val="00681A4A"/>
    <w:rsid w:val="00681A67"/>
    <w:rsid w:val="00681B93"/>
    <w:rsid w:val="00681C5E"/>
    <w:rsid w:val="00681EB3"/>
    <w:rsid w:val="00681F04"/>
    <w:rsid w:val="00682091"/>
    <w:rsid w:val="006821BF"/>
    <w:rsid w:val="006822EB"/>
    <w:rsid w:val="00682370"/>
    <w:rsid w:val="0068242C"/>
    <w:rsid w:val="0068246B"/>
    <w:rsid w:val="0068265F"/>
    <w:rsid w:val="0068296C"/>
    <w:rsid w:val="00682980"/>
    <w:rsid w:val="00682A29"/>
    <w:rsid w:val="00682A62"/>
    <w:rsid w:val="00682C3B"/>
    <w:rsid w:val="00683055"/>
    <w:rsid w:val="0068335F"/>
    <w:rsid w:val="00683787"/>
    <w:rsid w:val="00683835"/>
    <w:rsid w:val="00683918"/>
    <w:rsid w:val="00683A8D"/>
    <w:rsid w:val="00683C30"/>
    <w:rsid w:val="00683DA0"/>
    <w:rsid w:val="00683DFE"/>
    <w:rsid w:val="00683EBB"/>
    <w:rsid w:val="006840A8"/>
    <w:rsid w:val="0068412B"/>
    <w:rsid w:val="006841FB"/>
    <w:rsid w:val="00684416"/>
    <w:rsid w:val="00684444"/>
    <w:rsid w:val="0068445A"/>
    <w:rsid w:val="006844A1"/>
    <w:rsid w:val="0068476A"/>
    <w:rsid w:val="006848B9"/>
    <w:rsid w:val="00684987"/>
    <w:rsid w:val="006849B9"/>
    <w:rsid w:val="00684B95"/>
    <w:rsid w:val="00684BA8"/>
    <w:rsid w:val="00684D20"/>
    <w:rsid w:val="00684E30"/>
    <w:rsid w:val="00684FCB"/>
    <w:rsid w:val="006851A1"/>
    <w:rsid w:val="0068527D"/>
    <w:rsid w:val="00685467"/>
    <w:rsid w:val="006854BC"/>
    <w:rsid w:val="006856C5"/>
    <w:rsid w:val="00685778"/>
    <w:rsid w:val="006859E5"/>
    <w:rsid w:val="00685B65"/>
    <w:rsid w:val="00685DD8"/>
    <w:rsid w:val="00685DE4"/>
    <w:rsid w:val="00685F10"/>
    <w:rsid w:val="00685F90"/>
    <w:rsid w:val="00685FAC"/>
    <w:rsid w:val="00685FD6"/>
    <w:rsid w:val="00685FD7"/>
    <w:rsid w:val="00686047"/>
    <w:rsid w:val="00686090"/>
    <w:rsid w:val="006861A8"/>
    <w:rsid w:val="006863E6"/>
    <w:rsid w:val="00686504"/>
    <w:rsid w:val="006865A7"/>
    <w:rsid w:val="0068664A"/>
    <w:rsid w:val="00686D64"/>
    <w:rsid w:val="00686E11"/>
    <w:rsid w:val="00687181"/>
    <w:rsid w:val="00687263"/>
    <w:rsid w:val="00687677"/>
    <w:rsid w:val="006877D0"/>
    <w:rsid w:val="006879E2"/>
    <w:rsid w:val="006879F1"/>
    <w:rsid w:val="00687A3F"/>
    <w:rsid w:val="00687B7F"/>
    <w:rsid w:val="00687F59"/>
    <w:rsid w:val="0069012B"/>
    <w:rsid w:val="00690265"/>
    <w:rsid w:val="00690874"/>
    <w:rsid w:val="00690A8C"/>
    <w:rsid w:val="00690AB2"/>
    <w:rsid w:val="00690C85"/>
    <w:rsid w:val="00690FEF"/>
    <w:rsid w:val="0069121B"/>
    <w:rsid w:val="0069124D"/>
    <w:rsid w:val="00691284"/>
    <w:rsid w:val="006913DF"/>
    <w:rsid w:val="006915C9"/>
    <w:rsid w:val="0069160C"/>
    <w:rsid w:val="006916CB"/>
    <w:rsid w:val="00691791"/>
    <w:rsid w:val="006917DF"/>
    <w:rsid w:val="00691C06"/>
    <w:rsid w:val="00691CCE"/>
    <w:rsid w:val="00691D93"/>
    <w:rsid w:val="006920DD"/>
    <w:rsid w:val="006920FC"/>
    <w:rsid w:val="00692224"/>
    <w:rsid w:val="00692938"/>
    <w:rsid w:val="00692971"/>
    <w:rsid w:val="00692B7A"/>
    <w:rsid w:val="00692D88"/>
    <w:rsid w:val="00692EC3"/>
    <w:rsid w:val="00692F91"/>
    <w:rsid w:val="0069320B"/>
    <w:rsid w:val="006932D7"/>
    <w:rsid w:val="006933BC"/>
    <w:rsid w:val="006936EF"/>
    <w:rsid w:val="00693757"/>
    <w:rsid w:val="00693804"/>
    <w:rsid w:val="00693A62"/>
    <w:rsid w:val="00693C5C"/>
    <w:rsid w:val="00693E5C"/>
    <w:rsid w:val="00693E7D"/>
    <w:rsid w:val="00693E8F"/>
    <w:rsid w:val="00693F74"/>
    <w:rsid w:val="00694119"/>
    <w:rsid w:val="006943B6"/>
    <w:rsid w:val="00694495"/>
    <w:rsid w:val="006948D3"/>
    <w:rsid w:val="00694C17"/>
    <w:rsid w:val="00694CF9"/>
    <w:rsid w:val="0069514E"/>
    <w:rsid w:val="00695164"/>
    <w:rsid w:val="006951E2"/>
    <w:rsid w:val="0069552F"/>
    <w:rsid w:val="00695686"/>
    <w:rsid w:val="00695698"/>
    <w:rsid w:val="006956AC"/>
    <w:rsid w:val="00695862"/>
    <w:rsid w:val="00695EBF"/>
    <w:rsid w:val="00695F19"/>
    <w:rsid w:val="006961B8"/>
    <w:rsid w:val="00696361"/>
    <w:rsid w:val="00696404"/>
    <w:rsid w:val="006964CC"/>
    <w:rsid w:val="006965A5"/>
    <w:rsid w:val="0069661F"/>
    <w:rsid w:val="00696716"/>
    <w:rsid w:val="006967E2"/>
    <w:rsid w:val="0069690C"/>
    <w:rsid w:val="00696B4E"/>
    <w:rsid w:val="00696D06"/>
    <w:rsid w:val="00696E19"/>
    <w:rsid w:val="00696FD5"/>
    <w:rsid w:val="0069701F"/>
    <w:rsid w:val="00697071"/>
    <w:rsid w:val="00697147"/>
    <w:rsid w:val="006971D7"/>
    <w:rsid w:val="006974D9"/>
    <w:rsid w:val="006975E2"/>
    <w:rsid w:val="0069781C"/>
    <w:rsid w:val="006978CC"/>
    <w:rsid w:val="00697A36"/>
    <w:rsid w:val="00697AD3"/>
    <w:rsid w:val="00697C44"/>
    <w:rsid w:val="00697DED"/>
    <w:rsid w:val="00697EEF"/>
    <w:rsid w:val="00697F64"/>
    <w:rsid w:val="006A00B8"/>
    <w:rsid w:val="006A04B5"/>
    <w:rsid w:val="006A0AA5"/>
    <w:rsid w:val="006A0ADA"/>
    <w:rsid w:val="006A0BD4"/>
    <w:rsid w:val="006A0D8C"/>
    <w:rsid w:val="006A10B5"/>
    <w:rsid w:val="006A1551"/>
    <w:rsid w:val="006A15B6"/>
    <w:rsid w:val="006A15E0"/>
    <w:rsid w:val="006A17A8"/>
    <w:rsid w:val="006A19E0"/>
    <w:rsid w:val="006A1A59"/>
    <w:rsid w:val="006A1AC3"/>
    <w:rsid w:val="006A1C54"/>
    <w:rsid w:val="006A1D60"/>
    <w:rsid w:val="006A201C"/>
    <w:rsid w:val="006A205B"/>
    <w:rsid w:val="006A2086"/>
    <w:rsid w:val="006A21BA"/>
    <w:rsid w:val="006A228C"/>
    <w:rsid w:val="006A258D"/>
    <w:rsid w:val="006A2834"/>
    <w:rsid w:val="006A2889"/>
    <w:rsid w:val="006A312B"/>
    <w:rsid w:val="006A321E"/>
    <w:rsid w:val="006A327C"/>
    <w:rsid w:val="006A32E3"/>
    <w:rsid w:val="006A33F9"/>
    <w:rsid w:val="006A354D"/>
    <w:rsid w:val="006A3A47"/>
    <w:rsid w:val="006A3DAB"/>
    <w:rsid w:val="006A3E43"/>
    <w:rsid w:val="006A3EDE"/>
    <w:rsid w:val="006A40F2"/>
    <w:rsid w:val="006A4143"/>
    <w:rsid w:val="006A4167"/>
    <w:rsid w:val="006A424E"/>
    <w:rsid w:val="006A4289"/>
    <w:rsid w:val="006A4426"/>
    <w:rsid w:val="006A4450"/>
    <w:rsid w:val="006A4846"/>
    <w:rsid w:val="006A4863"/>
    <w:rsid w:val="006A4952"/>
    <w:rsid w:val="006A4A77"/>
    <w:rsid w:val="006A4A8E"/>
    <w:rsid w:val="006A4BF9"/>
    <w:rsid w:val="006A4D0E"/>
    <w:rsid w:val="006A4D79"/>
    <w:rsid w:val="006A5613"/>
    <w:rsid w:val="006A5E40"/>
    <w:rsid w:val="006A5E6E"/>
    <w:rsid w:val="006A6049"/>
    <w:rsid w:val="006A60ED"/>
    <w:rsid w:val="006A6307"/>
    <w:rsid w:val="006A6391"/>
    <w:rsid w:val="006A6436"/>
    <w:rsid w:val="006A64D0"/>
    <w:rsid w:val="006A666C"/>
    <w:rsid w:val="006A67B5"/>
    <w:rsid w:val="006A689D"/>
    <w:rsid w:val="006A6A00"/>
    <w:rsid w:val="006A6A48"/>
    <w:rsid w:val="006A6A9B"/>
    <w:rsid w:val="006A6E57"/>
    <w:rsid w:val="006A6EB0"/>
    <w:rsid w:val="006A7003"/>
    <w:rsid w:val="006A70DE"/>
    <w:rsid w:val="006A70F8"/>
    <w:rsid w:val="006A724A"/>
    <w:rsid w:val="006A73CF"/>
    <w:rsid w:val="006A765D"/>
    <w:rsid w:val="006A7840"/>
    <w:rsid w:val="006A78D8"/>
    <w:rsid w:val="006A7922"/>
    <w:rsid w:val="006A797D"/>
    <w:rsid w:val="006A7AEE"/>
    <w:rsid w:val="006A7C0E"/>
    <w:rsid w:val="006A7DC1"/>
    <w:rsid w:val="006A7EE2"/>
    <w:rsid w:val="006A7F19"/>
    <w:rsid w:val="006A7FE9"/>
    <w:rsid w:val="006B0240"/>
    <w:rsid w:val="006B035A"/>
    <w:rsid w:val="006B03DC"/>
    <w:rsid w:val="006B05D7"/>
    <w:rsid w:val="006B0600"/>
    <w:rsid w:val="006B0A37"/>
    <w:rsid w:val="006B0D4F"/>
    <w:rsid w:val="006B0EA8"/>
    <w:rsid w:val="006B0F30"/>
    <w:rsid w:val="006B0F3C"/>
    <w:rsid w:val="006B16DE"/>
    <w:rsid w:val="006B1F47"/>
    <w:rsid w:val="006B1F6A"/>
    <w:rsid w:val="006B2043"/>
    <w:rsid w:val="006B2229"/>
    <w:rsid w:val="006B24B4"/>
    <w:rsid w:val="006B2658"/>
    <w:rsid w:val="006B26AC"/>
    <w:rsid w:val="006B27CD"/>
    <w:rsid w:val="006B2933"/>
    <w:rsid w:val="006B295C"/>
    <w:rsid w:val="006B2E82"/>
    <w:rsid w:val="006B2EAE"/>
    <w:rsid w:val="006B2F9C"/>
    <w:rsid w:val="006B315B"/>
    <w:rsid w:val="006B31C0"/>
    <w:rsid w:val="006B33C4"/>
    <w:rsid w:val="006B3505"/>
    <w:rsid w:val="006B36B8"/>
    <w:rsid w:val="006B3853"/>
    <w:rsid w:val="006B39AF"/>
    <w:rsid w:val="006B3B0B"/>
    <w:rsid w:val="006B3F74"/>
    <w:rsid w:val="006B42F1"/>
    <w:rsid w:val="006B46C2"/>
    <w:rsid w:val="006B48BC"/>
    <w:rsid w:val="006B4AA6"/>
    <w:rsid w:val="006B4D08"/>
    <w:rsid w:val="006B4D5A"/>
    <w:rsid w:val="006B53AB"/>
    <w:rsid w:val="006B57DE"/>
    <w:rsid w:val="006B5844"/>
    <w:rsid w:val="006B5AAB"/>
    <w:rsid w:val="006B5C6A"/>
    <w:rsid w:val="006B5EB1"/>
    <w:rsid w:val="006B5EF5"/>
    <w:rsid w:val="006B5F17"/>
    <w:rsid w:val="006B5F28"/>
    <w:rsid w:val="006B6043"/>
    <w:rsid w:val="006B612B"/>
    <w:rsid w:val="006B63EA"/>
    <w:rsid w:val="006B65E8"/>
    <w:rsid w:val="006B66DA"/>
    <w:rsid w:val="006B6708"/>
    <w:rsid w:val="006B6779"/>
    <w:rsid w:val="006B6812"/>
    <w:rsid w:val="006B689C"/>
    <w:rsid w:val="006B6915"/>
    <w:rsid w:val="006B6AFF"/>
    <w:rsid w:val="006B6FD3"/>
    <w:rsid w:val="006B7210"/>
    <w:rsid w:val="006B73EE"/>
    <w:rsid w:val="006B740E"/>
    <w:rsid w:val="006B755F"/>
    <w:rsid w:val="006B7622"/>
    <w:rsid w:val="006B7642"/>
    <w:rsid w:val="006B76F5"/>
    <w:rsid w:val="006B772F"/>
    <w:rsid w:val="006B777D"/>
    <w:rsid w:val="006B778C"/>
    <w:rsid w:val="006B7916"/>
    <w:rsid w:val="006B7A84"/>
    <w:rsid w:val="006C015D"/>
    <w:rsid w:val="006C02EA"/>
    <w:rsid w:val="006C03FF"/>
    <w:rsid w:val="006C0763"/>
    <w:rsid w:val="006C08E3"/>
    <w:rsid w:val="006C0A72"/>
    <w:rsid w:val="006C0AC9"/>
    <w:rsid w:val="006C0BF6"/>
    <w:rsid w:val="006C0C7B"/>
    <w:rsid w:val="006C0DE2"/>
    <w:rsid w:val="006C0F57"/>
    <w:rsid w:val="006C1095"/>
    <w:rsid w:val="006C118A"/>
    <w:rsid w:val="006C135E"/>
    <w:rsid w:val="006C13B6"/>
    <w:rsid w:val="006C13C8"/>
    <w:rsid w:val="006C16E1"/>
    <w:rsid w:val="006C1848"/>
    <w:rsid w:val="006C1D2B"/>
    <w:rsid w:val="006C1DD4"/>
    <w:rsid w:val="006C2279"/>
    <w:rsid w:val="006C2283"/>
    <w:rsid w:val="006C2409"/>
    <w:rsid w:val="006C2AEA"/>
    <w:rsid w:val="006C2F0D"/>
    <w:rsid w:val="006C3126"/>
    <w:rsid w:val="006C3136"/>
    <w:rsid w:val="006C316A"/>
    <w:rsid w:val="006C333E"/>
    <w:rsid w:val="006C338D"/>
    <w:rsid w:val="006C360E"/>
    <w:rsid w:val="006C37E8"/>
    <w:rsid w:val="006C3B33"/>
    <w:rsid w:val="006C3BD0"/>
    <w:rsid w:val="006C410E"/>
    <w:rsid w:val="006C4384"/>
    <w:rsid w:val="006C4A3D"/>
    <w:rsid w:val="006C4D57"/>
    <w:rsid w:val="006C4E55"/>
    <w:rsid w:val="006C513E"/>
    <w:rsid w:val="006C5674"/>
    <w:rsid w:val="006C56C5"/>
    <w:rsid w:val="006C580D"/>
    <w:rsid w:val="006C5C22"/>
    <w:rsid w:val="006C5CFA"/>
    <w:rsid w:val="006C5D4F"/>
    <w:rsid w:val="006C5EE6"/>
    <w:rsid w:val="006C611F"/>
    <w:rsid w:val="006C61D8"/>
    <w:rsid w:val="006C6253"/>
    <w:rsid w:val="006C6456"/>
    <w:rsid w:val="006C6478"/>
    <w:rsid w:val="006C67AF"/>
    <w:rsid w:val="006C689B"/>
    <w:rsid w:val="006C6C7C"/>
    <w:rsid w:val="006C722A"/>
    <w:rsid w:val="006C7ABA"/>
    <w:rsid w:val="006C7BE3"/>
    <w:rsid w:val="006C7C5B"/>
    <w:rsid w:val="006C7D9D"/>
    <w:rsid w:val="006D00D7"/>
    <w:rsid w:val="006D01A1"/>
    <w:rsid w:val="006D04BC"/>
    <w:rsid w:val="006D0787"/>
    <w:rsid w:val="006D07E6"/>
    <w:rsid w:val="006D09A1"/>
    <w:rsid w:val="006D09DD"/>
    <w:rsid w:val="006D0B41"/>
    <w:rsid w:val="006D0C11"/>
    <w:rsid w:val="006D0CFE"/>
    <w:rsid w:val="006D0D00"/>
    <w:rsid w:val="006D0EE3"/>
    <w:rsid w:val="006D1067"/>
    <w:rsid w:val="006D1104"/>
    <w:rsid w:val="006D11A0"/>
    <w:rsid w:val="006D12A1"/>
    <w:rsid w:val="006D131B"/>
    <w:rsid w:val="006D1381"/>
    <w:rsid w:val="006D139D"/>
    <w:rsid w:val="006D157F"/>
    <w:rsid w:val="006D1645"/>
    <w:rsid w:val="006D1650"/>
    <w:rsid w:val="006D1673"/>
    <w:rsid w:val="006D1D28"/>
    <w:rsid w:val="006D1DCA"/>
    <w:rsid w:val="006D1E48"/>
    <w:rsid w:val="006D208B"/>
    <w:rsid w:val="006D213A"/>
    <w:rsid w:val="006D2333"/>
    <w:rsid w:val="006D23FF"/>
    <w:rsid w:val="006D24E6"/>
    <w:rsid w:val="006D25A7"/>
    <w:rsid w:val="006D273A"/>
    <w:rsid w:val="006D2AD0"/>
    <w:rsid w:val="006D2BA7"/>
    <w:rsid w:val="006D2C70"/>
    <w:rsid w:val="006D3006"/>
    <w:rsid w:val="006D3333"/>
    <w:rsid w:val="006D33C4"/>
    <w:rsid w:val="006D3418"/>
    <w:rsid w:val="006D34BE"/>
    <w:rsid w:val="006D34FB"/>
    <w:rsid w:val="006D379B"/>
    <w:rsid w:val="006D3809"/>
    <w:rsid w:val="006D39ED"/>
    <w:rsid w:val="006D3A1F"/>
    <w:rsid w:val="006D3AB0"/>
    <w:rsid w:val="006D3CEC"/>
    <w:rsid w:val="006D3D79"/>
    <w:rsid w:val="006D402D"/>
    <w:rsid w:val="006D4064"/>
    <w:rsid w:val="006D4081"/>
    <w:rsid w:val="006D4111"/>
    <w:rsid w:val="006D420A"/>
    <w:rsid w:val="006D442C"/>
    <w:rsid w:val="006D4447"/>
    <w:rsid w:val="006D4459"/>
    <w:rsid w:val="006D44CC"/>
    <w:rsid w:val="006D462D"/>
    <w:rsid w:val="006D4640"/>
    <w:rsid w:val="006D4652"/>
    <w:rsid w:val="006D46B2"/>
    <w:rsid w:val="006D4A06"/>
    <w:rsid w:val="006D4E96"/>
    <w:rsid w:val="006D4ECC"/>
    <w:rsid w:val="006D523D"/>
    <w:rsid w:val="006D528B"/>
    <w:rsid w:val="006D5744"/>
    <w:rsid w:val="006D57A7"/>
    <w:rsid w:val="006D57C1"/>
    <w:rsid w:val="006D5B4B"/>
    <w:rsid w:val="006D5C1C"/>
    <w:rsid w:val="006D5F86"/>
    <w:rsid w:val="006D607E"/>
    <w:rsid w:val="006D60BF"/>
    <w:rsid w:val="006D6118"/>
    <w:rsid w:val="006D61E2"/>
    <w:rsid w:val="006D6321"/>
    <w:rsid w:val="006D664D"/>
    <w:rsid w:val="006D6730"/>
    <w:rsid w:val="006D6DCC"/>
    <w:rsid w:val="006D6E13"/>
    <w:rsid w:val="006D6FA1"/>
    <w:rsid w:val="006D70F1"/>
    <w:rsid w:val="006D70FD"/>
    <w:rsid w:val="006D72B4"/>
    <w:rsid w:val="006D7636"/>
    <w:rsid w:val="006D7832"/>
    <w:rsid w:val="006D7855"/>
    <w:rsid w:val="006D7C67"/>
    <w:rsid w:val="006D7CB1"/>
    <w:rsid w:val="006D7D98"/>
    <w:rsid w:val="006D7DD9"/>
    <w:rsid w:val="006D7DFC"/>
    <w:rsid w:val="006D7ECD"/>
    <w:rsid w:val="006E0192"/>
    <w:rsid w:val="006E01D1"/>
    <w:rsid w:val="006E0600"/>
    <w:rsid w:val="006E0748"/>
    <w:rsid w:val="006E0797"/>
    <w:rsid w:val="006E082A"/>
    <w:rsid w:val="006E092A"/>
    <w:rsid w:val="006E09F9"/>
    <w:rsid w:val="006E0CA0"/>
    <w:rsid w:val="006E0CDD"/>
    <w:rsid w:val="006E0CF3"/>
    <w:rsid w:val="006E1040"/>
    <w:rsid w:val="006E12F7"/>
    <w:rsid w:val="006E1332"/>
    <w:rsid w:val="006E1441"/>
    <w:rsid w:val="006E14A7"/>
    <w:rsid w:val="006E1578"/>
    <w:rsid w:val="006E16DE"/>
    <w:rsid w:val="006E16E9"/>
    <w:rsid w:val="006E1A92"/>
    <w:rsid w:val="006E2019"/>
    <w:rsid w:val="006E20B0"/>
    <w:rsid w:val="006E247B"/>
    <w:rsid w:val="006E2607"/>
    <w:rsid w:val="006E270A"/>
    <w:rsid w:val="006E275C"/>
    <w:rsid w:val="006E2ADF"/>
    <w:rsid w:val="006E2AE9"/>
    <w:rsid w:val="006E2E5A"/>
    <w:rsid w:val="006E33F3"/>
    <w:rsid w:val="006E3472"/>
    <w:rsid w:val="006E3674"/>
    <w:rsid w:val="006E3802"/>
    <w:rsid w:val="006E3911"/>
    <w:rsid w:val="006E3BBF"/>
    <w:rsid w:val="006E3C34"/>
    <w:rsid w:val="006E3C8D"/>
    <w:rsid w:val="006E408B"/>
    <w:rsid w:val="006E4157"/>
    <w:rsid w:val="006E4340"/>
    <w:rsid w:val="006E439A"/>
    <w:rsid w:val="006E43C0"/>
    <w:rsid w:val="006E46EB"/>
    <w:rsid w:val="006E46FE"/>
    <w:rsid w:val="006E47A5"/>
    <w:rsid w:val="006E49AC"/>
    <w:rsid w:val="006E4AB6"/>
    <w:rsid w:val="006E4BC4"/>
    <w:rsid w:val="006E5048"/>
    <w:rsid w:val="006E5135"/>
    <w:rsid w:val="006E5174"/>
    <w:rsid w:val="006E582F"/>
    <w:rsid w:val="006E5A61"/>
    <w:rsid w:val="006E5B0C"/>
    <w:rsid w:val="006E5B21"/>
    <w:rsid w:val="006E5C0B"/>
    <w:rsid w:val="006E5F3B"/>
    <w:rsid w:val="006E5F6A"/>
    <w:rsid w:val="006E600F"/>
    <w:rsid w:val="006E609F"/>
    <w:rsid w:val="006E6213"/>
    <w:rsid w:val="006E641E"/>
    <w:rsid w:val="006E6531"/>
    <w:rsid w:val="006E65D9"/>
    <w:rsid w:val="006E68FD"/>
    <w:rsid w:val="006E69D5"/>
    <w:rsid w:val="006E6BAE"/>
    <w:rsid w:val="006E6DEE"/>
    <w:rsid w:val="006E7011"/>
    <w:rsid w:val="006E7115"/>
    <w:rsid w:val="006E726E"/>
    <w:rsid w:val="006E728B"/>
    <w:rsid w:val="006E7676"/>
    <w:rsid w:val="006E780D"/>
    <w:rsid w:val="006E7845"/>
    <w:rsid w:val="006E7A60"/>
    <w:rsid w:val="006E7B3C"/>
    <w:rsid w:val="006E7B3F"/>
    <w:rsid w:val="006E7CE5"/>
    <w:rsid w:val="006E7D8E"/>
    <w:rsid w:val="006E7DD4"/>
    <w:rsid w:val="006E7EDD"/>
    <w:rsid w:val="006E7F90"/>
    <w:rsid w:val="006F010B"/>
    <w:rsid w:val="006F0149"/>
    <w:rsid w:val="006F02F6"/>
    <w:rsid w:val="006F0311"/>
    <w:rsid w:val="006F040E"/>
    <w:rsid w:val="006F04AC"/>
    <w:rsid w:val="006F084D"/>
    <w:rsid w:val="006F0852"/>
    <w:rsid w:val="006F0A5D"/>
    <w:rsid w:val="006F0D30"/>
    <w:rsid w:val="006F0DD9"/>
    <w:rsid w:val="006F1344"/>
    <w:rsid w:val="006F135F"/>
    <w:rsid w:val="006F1412"/>
    <w:rsid w:val="006F1443"/>
    <w:rsid w:val="006F14B3"/>
    <w:rsid w:val="006F1577"/>
    <w:rsid w:val="006F16EB"/>
    <w:rsid w:val="006F1753"/>
    <w:rsid w:val="006F1AB6"/>
    <w:rsid w:val="006F1F35"/>
    <w:rsid w:val="006F206E"/>
    <w:rsid w:val="006F2379"/>
    <w:rsid w:val="006F26D3"/>
    <w:rsid w:val="006F29BC"/>
    <w:rsid w:val="006F2B3C"/>
    <w:rsid w:val="006F2E1B"/>
    <w:rsid w:val="006F2E46"/>
    <w:rsid w:val="006F2F15"/>
    <w:rsid w:val="006F31B0"/>
    <w:rsid w:val="006F3497"/>
    <w:rsid w:val="006F365E"/>
    <w:rsid w:val="006F390E"/>
    <w:rsid w:val="006F3B80"/>
    <w:rsid w:val="006F3D1C"/>
    <w:rsid w:val="006F4045"/>
    <w:rsid w:val="006F40A3"/>
    <w:rsid w:val="006F4483"/>
    <w:rsid w:val="006F46C2"/>
    <w:rsid w:val="006F46D7"/>
    <w:rsid w:val="006F47DF"/>
    <w:rsid w:val="006F47ED"/>
    <w:rsid w:val="006F53A6"/>
    <w:rsid w:val="006F53CA"/>
    <w:rsid w:val="006F53D7"/>
    <w:rsid w:val="006F5838"/>
    <w:rsid w:val="006F5B2E"/>
    <w:rsid w:val="006F5DE3"/>
    <w:rsid w:val="006F61B6"/>
    <w:rsid w:val="006F6249"/>
    <w:rsid w:val="006F63F8"/>
    <w:rsid w:val="006F66CA"/>
    <w:rsid w:val="006F66E9"/>
    <w:rsid w:val="006F6704"/>
    <w:rsid w:val="006F6758"/>
    <w:rsid w:val="006F675B"/>
    <w:rsid w:val="006F67F3"/>
    <w:rsid w:val="006F68D0"/>
    <w:rsid w:val="006F68FE"/>
    <w:rsid w:val="006F6C92"/>
    <w:rsid w:val="006F6FB0"/>
    <w:rsid w:val="006F6FFB"/>
    <w:rsid w:val="006F74F7"/>
    <w:rsid w:val="006F75A5"/>
    <w:rsid w:val="006F7AAC"/>
    <w:rsid w:val="00700088"/>
    <w:rsid w:val="007001C3"/>
    <w:rsid w:val="00700443"/>
    <w:rsid w:val="00700CA3"/>
    <w:rsid w:val="00700F44"/>
    <w:rsid w:val="0070139E"/>
    <w:rsid w:val="00701578"/>
    <w:rsid w:val="00701846"/>
    <w:rsid w:val="007019AD"/>
    <w:rsid w:val="00701D3B"/>
    <w:rsid w:val="00701E20"/>
    <w:rsid w:val="00701F3F"/>
    <w:rsid w:val="007022E1"/>
    <w:rsid w:val="00702321"/>
    <w:rsid w:val="00702418"/>
    <w:rsid w:val="00702438"/>
    <w:rsid w:val="00702611"/>
    <w:rsid w:val="007026DA"/>
    <w:rsid w:val="00702715"/>
    <w:rsid w:val="00702849"/>
    <w:rsid w:val="00702A84"/>
    <w:rsid w:val="00702C24"/>
    <w:rsid w:val="00702DEF"/>
    <w:rsid w:val="00702E96"/>
    <w:rsid w:val="00702EC4"/>
    <w:rsid w:val="007030AA"/>
    <w:rsid w:val="007033C8"/>
    <w:rsid w:val="0070345A"/>
    <w:rsid w:val="00703A84"/>
    <w:rsid w:val="00703F8A"/>
    <w:rsid w:val="007041FA"/>
    <w:rsid w:val="00704305"/>
    <w:rsid w:val="0070464C"/>
    <w:rsid w:val="00704699"/>
    <w:rsid w:val="007049F7"/>
    <w:rsid w:val="00704AAB"/>
    <w:rsid w:val="00704ACC"/>
    <w:rsid w:val="00704AE6"/>
    <w:rsid w:val="00704B6F"/>
    <w:rsid w:val="00704CBE"/>
    <w:rsid w:val="00704D58"/>
    <w:rsid w:val="00704E7C"/>
    <w:rsid w:val="00704F8D"/>
    <w:rsid w:val="00705039"/>
    <w:rsid w:val="007050A3"/>
    <w:rsid w:val="0070520A"/>
    <w:rsid w:val="0070559C"/>
    <w:rsid w:val="007056A6"/>
    <w:rsid w:val="007056D8"/>
    <w:rsid w:val="0070582D"/>
    <w:rsid w:val="00705ABC"/>
    <w:rsid w:val="00705CAB"/>
    <w:rsid w:val="00705E4E"/>
    <w:rsid w:val="007066BF"/>
    <w:rsid w:val="007067CF"/>
    <w:rsid w:val="00706934"/>
    <w:rsid w:val="007069C4"/>
    <w:rsid w:val="00706D30"/>
    <w:rsid w:val="00706D89"/>
    <w:rsid w:val="00706DB3"/>
    <w:rsid w:val="00706F87"/>
    <w:rsid w:val="007070E2"/>
    <w:rsid w:val="007071B9"/>
    <w:rsid w:val="00707267"/>
    <w:rsid w:val="0070764F"/>
    <w:rsid w:val="00707658"/>
    <w:rsid w:val="0070765F"/>
    <w:rsid w:val="007076DB"/>
    <w:rsid w:val="007076F5"/>
    <w:rsid w:val="00707E16"/>
    <w:rsid w:val="0071004A"/>
    <w:rsid w:val="00710189"/>
    <w:rsid w:val="007102C5"/>
    <w:rsid w:val="0071070F"/>
    <w:rsid w:val="00710949"/>
    <w:rsid w:val="00710D5B"/>
    <w:rsid w:val="00711100"/>
    <w:rsid w:val="007113DD"/>
    <w:rsid w:val="00711546"/>
    <w:rsid w:val="007116B4"/>
    <w:rsid w:val="007116D9"/>
    <w:rsid w:val="00711734"/>
    <w:rsid w:val="00711780"/>
    <w:rsid w:val="007117C3"/>
    <w:rsid w:val="00711B02"/>
    <w:rsid w:val="00711D01"/>
    <w:rsid w:val="00711D3A"/>
    <w:rsid w:val="00711F4B"/>
    <w:rsid w:val="0071204B"/>
    <w:rsid w:val="00712143"/>
    <w:rsid w:val="0071235B"/>
    <w:rsid w:val="007123E3"/>
    <w:rsid w:val="00712439"/>
    <w:rsid w:val="00712864"/>
    <w:rsid w:val="007128AF"/>
    <w:rsid w:val="007128DB"/>
    <w:rsid w:val="00712944"/>
    <w:rsid w:val="00712CBD"/>
    <w:rsid w:val="00712D1A"/>
    <w:rsid w:val="00712D35"/>
    <w:rsid w:val="00712D47"/>
    <w:rsid w:val="00713042"/>
    <w:rsid w:val="007130F0"/>
    <w:rsid w:val="007131C3"/>
    <w:rsid w:val="007132FE"/>
    <w:rsid w:val="00713C70"/>
    <w:rsid w:val="00713CDF"/>
    <w:rsid w:val="007141F5"/>
    <w:rsid w:val="0071445A"/>
    <w:rsid w:val="00714524"/>
    <w:rsid w:val="007145CB"/>
    <w:rsid w:val="007145D6"/>
    <w:rsid w:val="007148D0"/>
    <w:rsid w:val="007148E5"/>
    <w:rsid w:val="00714A69"/>
    <w:rsid w:val="00714CB8"/>
    <w:rsid w:val="00714D1D"/>
    <w:rsid w:val="00714E58"/>
    <w:rsid w:val="00714E95"/>
    <w:rsid w:val="007150CE"/>
    <w:rsid w:val="00715505"/>
    <w:rsid w:val="00715573"/>
    <w:rsid w:val="00715666"/>
    <w:rsid w:val="0071569A"/>
    <w:rsid w:val="00715C53"/>
    <w:rsid w:val="00715C74"/>
    <w:rsid w:val="00715F5D"/>
    <w:rsid w:val="0071613A"/>
    <w:rsid w:val="00716359"/>
    <w:rsid w:val="00716687"/>
    <w:rsid w:val="007166BC"/>
    <w:rsid w:val="00716838"/>
    <w:rsid w:val="007168A4"/>
    <w:rsid w:val="00716D21"/>
    <w:rsid w:val="00716E70"/>
    <w:rsid w:val="00716F0D"/>
    <w:rsid w:val="00717221"/>
    <w:rsid w:val="007172B3"/>
    <w:rsid w:val="00717492"/>
    <w:rsid w:val="007174D3"/>
    <w:rsid w:val="0071778B"/>
    <w:rsid w:val="00717928"/>
    <w:rsid w:val="00717985"/>
    <w:rsid w:val="007179B7"/>
    <w:rsid w:val="00717AE7"/>
    <w:rsid w:val="00717C09"/>
    <w:rsid w:val="00717D17"/>
    <w:rsid w:val="007200D3"/>
    <w:rsid w:val="00720123"/>
    <w:rsid w:val="007201CC"/>
    <w:rsid w:val="007203DC"/>
    <w:rsid w:val="0072043E"/>
    <w:rsid w:val="00720461"/>
    <w:rsid w:val="007204B0"/>
    <w:rsid w:val="007204C3"/>
    <w:rsid w:val="007205D6"/>
    <w:rsid w:val="007206C3"/>
    <w:rsid w:val="0072073B"/>
    <w:rsid w:val="007207F2"/>
    <w:rsid w:val="00720938"/>
    <w:rsid w:val="00720A58"/>
    <w:rsid w:val="00720EDE"/>
    <w:rsid w:val="00720F46"/>
    <w:rsid w:val="0072112D"/>
    <w:rsid w:val="007213C2"/>
    <w:rsid w:val="007215B5"/>
    <w:rsid w:val="007215E9"/>
    <w:rsid w:val="007218C7"/>
    <w:rsid w:val="007219EB"/>
    <w:rsid w:val="00721B70"/>
    <w:rsid w:val="00721B81"/>
    <w:rsid w:val="00721BB3"/>
    <w:rsid w:val="00721C72"/>
    <w:rsid w:val="00721D98"/>
    <w:rsid w:val="00721EAD"/>
    <w:rsid w:val="00721FA8"/>
    <w:rsid w:val="007220FC"/>
    <w:rsid w:val="00722538"/>
    <w:rsid w:val="007225CC"/>
    <w:rsid w:val="00722603"/>
    <w:rsid w:val="00722656"/>
    <w:rsid w:val="007226B5"/>
    <w:rsid w:val="00722951"/>
    <w:rsid w:val="00722B33"/>
    <w:rsid w:val="00722BB9"/>
    <w:rsid w:val="00722C19"/>
    <w:rsid w:val="00722D7D"/>
    <w:rsid w:val="00722F3C"/>
    <w:rsid w:val="0072318C"/>
    <w:rsid w:val="007231E6"/>
    <w:rsid w:val="0072343B"/>
    <w:rsid w:val="007236CA"/>
    <w:rsid w:val="00723750"/>
    <w:rsid w:val="00723771"/>
    <w:rsid w:val="0072382D"/>
    <w:rsid w:val="0072384C"/>
    <w:rsid w:val="00723B6A"/>
    <w:rsid w:val="00723F1E"/>
    <w:rsid w:val="00723FA8"/>
    <w:rsid w:val="0072409D"/>
    <w:rsid w:val="0072412F"/>
    <w:rsid w:val="0072422F"/>
    <w:rsid w:val="0072445A"/>
    <w:rsid w:val="007245DF"/>
    <w:rsid w:val="0072465D"/>
    <w:rsid w:val="007248E0"/>
    <w:rsid w:val="00724D60"/>
    <w:rsid w:val="00724E9F"/>
    <w:rsid w:val="00724EB3"/>
    <w:rsid w:val="00724F28"/>
    <w:rsid w:val="0072530C"/>
    <w:rsid w:val="0072539B"/>
    <w:rsid w:val="00725966"/>
    <w:rsid w:val="00725BD8"/>
    <w:rsid w:val="00725D85"/>
    <w:rsid w:val="00726152"/>
    <w:rsid w:val="0072617C"/>
    <w:rsid w:val="00726211"/>
    <w:rsid w:val="007262EA"/>
    <w:rsid w:val="00726374"/>
    <w:rsid w:val="007268EB"/>
    <w:rsid w:val="00726A2E"/>
    <w:rsid w:val="00726A4A"/>
    <w:rsid w:val="00726CF3"/>
    <w:rsid w:val="00726ED1"/>
    <w:rsid w:val="0072711A"/>
    <w:rsid w:val="00727170"/>
    <w:rsid w:val="007271E5"/>
    <w:rsid w:val="00727405"/>
    <w:rsid w:val="007275CC"/>
    <w:rsid w:val="0072773F"/>
    <w:rsid w:val="007278D8"/>
    <w:rsid w:val="007278F1"/>
    <w:rsid w:val="007279D8"/>
    <w:rsid w:val="00727E6D"/>
    <w:rsid w:val="007300EF"/>
    <w:rsid w:val="00730298"/>
    <w:rsid w:val="007306C0"/>
    <w:rsid w:val="007307B3"/>
    <w:rsid w:val="00730994"/>
    <w:rsid w:val="00730AFF"/>
    <w:rsid w:val="00730BE9"/>
    <w:rsid w:val="00730ECD"/>
    <w:rsid w:val="00730FB4"/>
    <w:rsid w:val="00731107"/>
    <w:rsid w:val="007313E6"/>
    <w:rsid w:val="007315F6"/>
    <w:rsid w:val="007318C7"/>
    <w:rsid w:val="007318D8"/>
    <w:rsid w:val="00731E16"/>
    <w:rsid w:val="00732227"/>
    <w:rsid w:val="00732377"/>
    <w:rsid w:val="00732496"/>
    <w:rsid w:val="00732568"/>
    <w:rsid w:val="0073276A"/>
    <w:rsid w:val="00732A99"/>
    <w:rsid w:val="00732BEE"/>
    <w:rsid w:val="00732C08"/>
    <w:rsid w:val="00732E39"/>
    <w:rsid w:val="00733328"/>
    <w:rsid w:val="00733348"/>
    <w:rsid w:val="0073398F"/>
    <w:rsid w:val="007339E6"/>
    <w:rsid w:val="00733AB8"/>
    <w:rsid w:val="00733C8F"/>
    <w:rsid w:val="00733DC1"/>
    <w:rsid w:val="00733E92"/>
    <w:rsid w:val="00733ECF"/>
    <w:rsid w:val="00733F21"/>
    <w:rsid w:val="0073402F"/>
    <w:rsid w:val="007340A7"/>
    <w:rsid w:val="00734397"/>
    <w:rsid w:val="00734477"/>
    <w:rsid w:val="007344F2"/>
    <w:rsid w:val="00734667"/>
    <w:rsid w:val="007347B8"/>
    <w:rsid w:val="00734AD8"/>
    <w:rsid w:val="00734CBE"/>
    <w:rsid w:val="00734E3B"/>
    <w:rsid w:val="00734EA0"/>
    <w:rsid w:val="007350F3"/>
    <w:rsid w:val="007350FF"/>
    <w:rsid w:val="00735156"/>
    <w:rsid w:val="0073530A"/>
    <w:rsid w:val="007353E4"/>
    <w:rsid w:val="00735455"/>
    <w:rsid w:val="00735808"/>
    <w:rsid w:val="00735A4D"/>
    <w:rsid w:val="00735A54"/>
    <w:rsid w:val="00735C8B"/>
    <w:rsid w:val="00735D1A"/>
    <w:rsid w:val="00735D76"/>
    <w:rsid w:val="00735E55"/>
    <w:rsid w:val="00735E5F"/>
    <w:rsid w:val="00735FC5"/>
    <w:rsid w:val="00736110"/>
    <w:rsid w:val="0073638D"/>
    <w:rsid w:val="007364BF"/>
    <w:rsid w:val="00736599"/>
    <w:rsid w:val="007367E3"/>
    <w:rsid w:val="0073691F"/>
    <w:rsid w:val="00736AA1"/>
    <w:rsid w:val="00736E31"/>
    <w:rsid w:val="00736F00"/>
    <w:rsid w:val="00736FCF"/>
    <w:rsid w:val="00737052"/>
    <w:rsid w:val="0073712F"/>
    <w:rsid w:val="007373E7"/>
    <w:rsid w:val="00737476"/>
    <w:rsid w:val="00737601"/>
    <w:rsid w:val="007377ED"/>
    <w:rsid w:val="00737C0D"/>
    <w:rsid w:val="00737E1B"/>
    <w:rsid w:val="00737EE8"/>
    <w:rsid w:val="00737FDD"/>
    <w:rsid w:val="007400BB"/>
    <w:rsid w:val="00740101"/>
    <w:rsid w:val="0074016B"/>
    <w:rsid w:val="00740566"/>
    <w:rsid w:val="0074070F"/>
    <w:rsid w:val="0074075E"/>
    <w:rsid w:val="007409F2"/>
    <w:rsid w:val="00740B21"/>
    <w:rsid w:val="00740C28"/>
    <w:rsid w:val="00740F1F"/>
    <w:rsid w:val="0074103C"/>
    <w:rsid w:val="007414A5"/>
    <w:rsid w:val="00741628"/>
    <w:rsid w:val="007417D0"/>
    <w:rsid w:val="007419CE"/>
    <w:rsid w:val="00741A4B"/>
    <w:rsid w:val="00741C62"/>
    <w:rsid w:val="00741C69"/>
    <w:rsid w:val="00741CB0"/>
    <w:rsid w:val="00741F0D"/>
    <w:rsid w:val="0074226E"/>
    <w:rsid w:val="007424CD"/>
    <w:rsid w:val="007424F2"/>
    <w:rsid w:val="00742761"/>
    <w:rsid w:val="00742786"/>
    <w:rsid w:val="00742A9D"/>
    <w:rsid w:val="00742C36"/>
    <w:rsid w:val="00742CFE"/>
    <w:rsid w:val="00742D2B"/>
    <w:rsid w:val="00742EF9"/>
    <w:rsid w:val="0074302C"/>
    <w:rsid w:val="007430FE"/>
    <w:rsid w:val="00743138"/>
    <w:rsid w:val="007432A4"/>
    <w:rsid w:val="007432E9"/>
    <w:rsid w:val="00743317"/>
    <w:rsid w:val="007434A2"/>
    <w:rsid w:val="0074361E"/>
    <w:rsid w:val="0074361F"/>
    <w:rsid w:val="0074369C"/>
    <w:rsid w:val="00743859"/>
    <w:rsid w:val="0074389D"/>
    <w:rsid w:val="00743A2B"/>
    <w:rsid w:val="00743AF2"/>
    <w:rsid w:val="00743B0A"/>
    <w:rsid w:val="00743C07"/>
    <w:rsid w:val="00743C33"/>
    <w:rsid w:val="00743CD9"/>
    <w:rsid w:val="00743DC2"/>
    <w:rsid w:val="00743E32"/>
    <w:rsid w:val="00743E5A"/>
    <w:rsid w:val="0074429F"/>
    <w:rsid w:val="007444F9"/>
    <w:rsid w:val="0074473A"/>
    <w:rsid w:val="00744BBB"/>
    <w:rsid w:val="00744C70"/>
    <w:rsid w:val="00744CCE"/>
    <w:rsid w:val="00744DF1"/>
    <w:rsid w:val="007451D3"/>
    <w:rsid w:val="00745450"/>
    <w:rsid w:val="00745990"/>
    <w:rsid w:val="007459BB"/>
    <w:rsid w:val="00745A8F"/>
    <w:rsid w:val="00745B4B"/>
    <w:rsid w:val="00745D90"/>
    <w:rsid w:val="00746027"/>
    <w:rsid w:val="007462BF"/>
    <w:rsid w:val="00746312"/>
    <w:rsid w:val="0074640C"/>
    <w:rsid w:val="007464EF"/>
    <w:rsid w:val="0074655B"/>
    <w:rsid w:val="0074664F"/>
    <w:rsid w:val="00746BD7"/>
    <w:rsid w:val="00746C93"/>
    <w:rsid w:val="00746D3C"/>
    <w:rsid w:val="00746EE5"/>
    <w:rsid w:val="00746F79"/>
    <w:rsid w:val="00747040"/>
    <w:rsid w:val="007470F0"/>
    <w:rsid w:val="0074757F"/>
    <w:rsid w:val="00747581"/>
    <w:rsid w:val="0074781A"/>
    <w:rsid w:val="00747C93"/>
    <w:rsid w:val="0075010C"/>
    <w:rsid w:val="00750165"/>
    <w:rsid w:val="007501B9"/>
    <w:rsid w:val="007504B9"/>
    <w:rsid w:val="007504DD"/>
    <w:rsid w:val="007506ED"/>
    <w:rsid w:val="00750830"/>
    <w:rsid w:val="00750A53"/>
    <w:rsid w:val="00750B71"/>
    <w:rsid w:val="00750EEA"/>
    <w:rsid w:val="007510A0"/>
    <w:rsid w:val="007510FC"/>
    <w:rsid w:val="00751115"/>
    <w:rsid w:val="00751235"/>
    <w:rsid w:val="00751402"/>
    <w:rsid w:val="007514DB"/>
    <w:rsid w:val="00751552"/>
    <w:rsid w:val="007515AC"/>
    <w:rsid w:val="007517BB"/>
    <w:rsid w:val="007517DE"/>
    <w:rsid w:val="0075186C"/>
    <w:rsid w:val="00751AD4"/>
    <w:rsid w:val="00751AEE"/>
    <w:rsid w:val="00751C59"/>
    <w:rsid w:val="00751CC4"/>
    <w:rsid w:val="00751EA8"/>
    <w:rsid w:val="00751F45"/>
    <w:rsid w:val="0075201B"/>
    <w:rsid w:val="0075205D"/>
    <w:rsid w:val="0075209F"/>
    <w:rsid w:val="0075227B"/>
    <w:rsid w:val="007526C8"/>
    <w:rsid w:val="007528CD"/>
    <w:rsid w:val="00752A7B"/>
    <w:rsid w:val="00752A83"/>
    <w:rsid w:val="00752B27"/>
    <w:rsid w:val="00752BB8"/>
    <w:rsid w:val="00752C14"/>
    <w:rsid w:val="00752E6E"/>
    <w:rsid w:val="00752EE5"/>
    <w:rsid w:val="007530BC"/>
    <w:rsid w:val="00753181"/>
    <w:rsid w:val="0075329E"/>
    <w:rsid w:val="007532FD"/>
    <w:rsid w:val="007534C5"/>
    <w:rsid w:val="007535CC"/>
    <w:rsid w:val="00753675"/>
    <w:rsid w:val="007536FD"/>
    <w:rsid w:val="00753C00"/>
    <w:rsid w:val="0075406C"/>
    <w:rsid w:val="00754161"/>
    <w:rsid w:val="007543A5"/>
    <w:rsid w:val="007543A6"/>
    <w:rsid w:val="007543BE"/>
    <w:rsid w:val="007543D4"/>
    <w:rsid w:val="007543E8"/>
    <w:rsid w:val="0075442A"/>
    <w:rsid w:val="00754463"/>
    <w:rsid w:val="0075446B"/>
    <w:rsid w:val="0075473F"/>
    <w:rsid w:val="00754829"/>
    <w:rsid w:val="00754B3F"/>
    <w:rsid w:val="00754C9F"/>
    <w:rsid w:val="00754D15"/>
    <w:rsid w:val="00754D52"/>
    <w:rsid w:val="00754DCA"/>
    <w:rsid w:val="00754E83"/>
    <w:rsid w:val="00755226"/>
    <w:rsid w:val="007552D9"/>
    <w:rsid w:val="007552FF"/>
    <w:rsid w:val="00755481"/>
    <w:rsid w:val="007558D1"/>
    <w:rsid w:val="00755E9E"/>
    <w:rsid w:val="00755FA7"/>
    <w:rsid w:val="007561AF"/>
    <w:rsid w:val="00756230"/>
    <w:rsid w:val="00756365"/>
    <w:rsid w:val="007566A8"/>
    <w:rsid w:val="007566CA"/>
    <w:rsid w:val="00756AAB"/>
    <w:rsid w:val="00756B71"/>
    <w:rsid w:val="00756B92"/>
    <w:rsid w:val="00756C04"/>
    <w:rsid w:val="00756FE1"/>
    <w:rsid w:val="00757155"/>
    <w:rsid w:val="00757366"/>
    <w:rsid w:val="007574D2"/>
    <w:rsid w:val="0075762B"/>
    <w:rsid w:val="007577B9"/>
    <w:rsid w:val="00757AB1"/>
    <w:rsid w:val="00757ADD"/>
    <w:rsid w:val="00757D65"/>
    <w:rsid w:val="00757D75"/>
    <w:rsid w:val="00757D8F"/>
    <w:rsid w:val="00757E50"/>
    <w:rsid w:val="00760259"/>
    <w:rsid w:val="007605AA"/>
    <w:rsid w:val="0076096E"/>
    <w:rsid w:val="00760BFE"/>
    <w:rsid w:val="00760F5B"/>
    <w:rsid w:val="00760FF5"/>
    <w:rsid w:val="00761249"/>
    <w:rsid w:val="00761251"/>
    <w:rsid w:val="007614F4"/>
    <w:rsid w:val="0076170E"/>
    <w:rsid w:val="00761822"/>
    <w:rsid w:val="00761A57"/>
    <w:rsid w:val="00761B71"/>
    <w:rsid w:val="00761D23"/>
    <w:rsid w:val="00762121"/>
    <w:rsid w:val="007621E0"/>
    <w:rsid w:val="00762395"/>
    <w:rsid w:val="007624E5"/>
    <w:rsid w:val="007626C1"/>
    <w:rsid w:val="00762A3C"/>
    <w:rsid w:val="00762B2B"/>
    <w:rsid w:val="00762B5F"/>
    <w:rsid w:val="00762D26"/>
    <w:rsid w:val="00763273"/>
    <w:rsid w:val="007632F1"/>
    <w:rsid w:val="00763314"/>
    <w:rsid w:val="007633E3"/>
    <w:rsid w:val="00763483"/>
    <w:rsid w:val="00763488"/>
    <w:rsid w:val="007637E3"/>
    <w:rsid w:val="00763A41"/>
    <w:rsid w:val="00763A78"/>
    <w:rsid w:val="00763DEF"/>
    <w:rsid w:val="00763E42"/>
    <w:rsid w:val="00763FBD"/>
    <w:rsid w:val="00764084"/>
    <w:rsid w:val="00764127"/>
    <w:rsid w:val="0076418B"/>
    <w:rsid w:val="007644DF"/>
    <w:rsid w:val="007649EE"/>
    <w:rsid w:val="00764B03"/>
    <w:rsid w:val="00764E88"/>
    <w:rsid w:val="00764F9F"/>
    <w:rsid w:val="00765495"/>
    <w:rsid w:val="007654F8"/>
    <w:rsid w:val="00765793"/>
    <w:rsid w:val="0076579B"/>
    <w:rsid w:val="007657D4"/>
    <w:rsid w:val="0076599A"/>
    <w:rsid w:val="00765B2F"/>
    <w:rsid w:val="00765D6C"/>
    <w:rsid w:val="00765E82"/>
    <w:rsid w:val="00766103"/>
    <w:rsid w:val="007661F2"/>
    <w:rsid w:val="0076624F"/>
    <w:rsid w:val="00766485"/>
    <w:rsid w:val="0076649F"/>
    <w:rsid w:val="007664AB"/>
    <w:rsid w:val="007665B4"/>
    <w:rsid w:val="007665E3"/>
    <w:rsid w:val="00766788"/>
    <w:rsid w:val="00766800"/>
    <w:rsid w:val="00766A35"/>
    <w:rsid w:val="00766A84"/>
    <w:rsid w:val="00766CC8"/>
    <w:rsid w:val="00766EBE"/>
    <w:rsid w:val="00767283"/>
    <w:rsid w:val="007674A0"/>
    <w:rsid w:val="0076765D"/>
    <w:rsid w:val="007677C6"/>
    <w:rsid w:val="00767959"/>
    <w:rsid w:val="007679F4"/>
    <w:rsid w:val="00767B3B"/>
    <w:rsid w:val="00767BDF"/>
    <w:rsid w:val="00767E75"/>
    <w:rsid w:val="00767F45"/>
    <w:rsid w:val="00767F97"/>
    <w:rsid w:val="00767FE8"/>
    <w:rsid w:val="0077006C"/>
    <w:rsid w:val="00770083"/>
    <w:rsid w:val="007700EC"/>
    <w:rsid w:val="00770241"/>
    <w:rsid w:val="00770446"/>
    <w:rsid w:val="0077055F"/>
    <w:rsid w:val="007706FA"/>
    <w:rsid w:val="00770901"/>
    <w:rsid w:val="00770AA8"/>
    <w:rsid w:val="00770BC7"/>
    <w:rsid w:val="00770DD2"/>
    <w:rsid w:val="00770DD6"/>
    <w:rsid w:val="00770DE6"/>
    <w:rsid w:val="00771080"/>
    <w:rsid w:val="007711B9"/>
    <w:rsid w:val="00771356"/>
    <w:rsid w:val="007717BC"/>
    <w:rsid w:val="00771B06"/>
    <w:rsid w:val="00771B18"/>
    <w:rsid w:val="00771BFF"/>
    <w:rsid w:val="00771E3E"/>
    <w:rsid w:val="00771E56"/>
    <w:rsid w:val="0077213F"/>
    <w:rsid w:val="007721AE"/>
    <w:rsid w:val="007722F5"/>
    <w:rsid w:val="007724E1"/>
    <w:rsid w:val="007726C1"/>
    <w:rsid w:val="0077275D"/>
    <w:rsid w:val="007727B9"/>
    <w:rsid w:val="00772A18"/>
    <w:rsid w:val="00772A9A"/>
    <w:rsid w:val="00772B50"/>
    <w:rsid w:val="00772B9A"/>
    <w:rsid w:val="00772C36"/>
    <w:rsid w:val="00772C3D"/>
    <w:rsid w:val="00773006"/>
    <w:rsid w:val="0077307D"/>
    <w:rsid w:val="007730BE"/>
    <w:rsid w:val="00773132"/>
    <w:rsid w:val="00773483"/>
    <w:rsid w:val="00773612"/>
    <w:rsid w:val="00773903"/>
    <w:rsid w:val="00773CB2"/>
    <w:rsid w:val="00773CF5"/>
    <w:rsid w:val="00773E10"/>
    <w:rsid w:val="00774048"/>
    <w:rsid w:val="00774299"/>
    <w:rsid w:val="00774397"/>
    <w:rsid w:val="007748AB"/>
    <w:rsid w:val="00774AD2"/>
    <w:rsid w:val="00774BB3"/>
    <w:rsid w:val="00774C6F"/>
    <w:rsid w:val="00774E6E"/>
    <w:rsid w:val="00774EEE"/>
    <w:rsid w:val="00775204"/>
    <w:rsid w:val="00775720"/>
    <w:rsid w:val="0077575B"/>
    <w:rsid w:val="007759F3"/>
    <w:rsid w:val="00775B83"/>
    <w:rsid w:val="00775CE1"/>
    <w:rsid w:val="00775E20"/>
    <w:rsid w:val="00776127"/>
    <w:rsid w:val="00776244"/>
    <w:rsid w:val="0077632D"/>
    <w:rsid w:val="007764BA"/>
    <w:rsid w:val="00776664"/>
    <w:rsid w:val="00776700"/>
    <w:rsid w:val="007767C3"/>
    <w:rsid w:val="007769AB"/>
    <w:rsid w:val="00776AB1"/>
    <w:rsid w:val="00776C53"/>
    <w:rsid w:val="00777529"/>
    <w:rsid w:val="0077754E"/>
    <w:rsid w:val="00777820"/>
    <w:rsid w:val="00777AF9"/>
    <w:rsid w:val="00777B90"/>
    <w:rsid w:val="00777C64"/>
    <w:rsid w:val="00777D65"/>
    <w:rsid w:val="007802A4"/>
    <w:rsid w:val="007802BB"/>
    <w:rsid w:val="007805A4"/>
    <w:rsid w:val="007805DD"/>
    <w:rsid w:val="00780615"/>
    <w:rsid w:val="007806D8"/>
    <w:rsid w:val="0078080A"/>
    <w:rsid w:val="00780842"/>
    <w:rsid w:val="007809E4"/>
    <w:rsid w:val="0078131E"/>
    <w:rsid w:val="007813BC"/>
    <w:rsid w:val="00781481"/>
    <w:rsid w:val="007814ED"/>
    <w:rsid w:val="007814F7"/>
    <w:rsid w:val="007815DD"/>
    <w:rsid w:val="007817D4"/>
    <w:rsid w:val="00781829"/>
    <w:rsid w:val="00781901"/>
    <w:rsid w:val="00781AE1"/>
    <w:rsid w:val="0078227C"/>
    <w:rsid w:val="0078228D"/>
    <w:rsid w:val="00782291"/>
    <w:rsid w:val="007822A2"/>
    <w:rsid w:val="00782345"/>
    <w:rsid w:val="00782395"/>
    <w:rsid w:val="007825CB"/>
    <w:rsid w:val="007829F5"/>
    <w:rsid w:val="00782B4F"/>
    <w:rsid w:val="00782DEE"/>
    <w:rsid w:val="00782EC1"/>
    <w:rsid w:val="0078301F"/>
    <w:rsid w:val="00783079"/>
    <w:rsid w:val="00783323"/>
    <w:rsid w:val="0078361C"/>
    <w:rsid w:val="0078376C"/>
    <w:rsid w:val="00783882"/>
    <w:rsid w:val="00783A7D"/>
    <w:rsid w:val="00783B88"/>
    <w:rsid w:val="00783BC8"/>
    <w:rsid w:val="00783D65"/>
    <w:rsid w:val="00783EB5"/>
    <w:rsid w:val="00784011"/>
    <w:rsid w:val="0078437F"/>
    <w:rsid w:val="007844ED"/>
    <w:rsid w:val="00784578"/>
    <w:rsid w:val="007845AD"/>
    <w:rsid w:val="007846E1"/>
    <w:rsid w:val="007848C9"/>
    <w:rsid w:val="00784968"/>
    <w:rsid w:val="00784A89"/>
    <w:rsid w:val="00784C82"/>
    <w:rsid w:val="00784CE9"/>
    <w:rsid w:val="007851C1"/>
    <w:rsid w:val="007851D6"/>
    <w:rsid w:val="007852A9"/>
    <w:rsid w:val="007852BF"/>
    <w:rsid w:val="0078533B"/>
    <w:rsid w:val="0078568D"/>
    <w:rsid w:val="0078583A"/>
    <w:rsid w:val="00786090"/>
    <w:rsid w:val="00786093"/>
    <w:rsid w:val="007864D3"/>
    <w:rsid w:val="0078654F"/>
    <w:rsid w:val="0078667F"/>
    <w:rsid w:val="0078669F"/>
    <w:rsid w:val="00786783"/>
    <w:rsid w:val="007867DD"/>
    <w:rsid w:val="00786D7E"/>
    <w:rsid w:val="00786DF4"/>
    <w:rsid w:val="00786F2B"/>
    <w:rsid w:val="00786F55"/>
    <w:rsid w:val="00787103"/>
    <w:rsid w:val="0078726B"/>
    <w:rsid w:val="007872BA"/>
    <w:rsid w:val="00787461"/>
    <w:rsid w:val="007875B9"/>
    <w:rsid w:val="00787732"/>
    <w:rsid w:val="0078774C"/>
    <w:rsid w:val="0078775B"/>
    <w:rsid w:val="00787836"/>
    <w:rsid w:val="0078783F"/>
    <w:rsid w:val="00787929"/>
    <w:rsid w:val="00787D73"/>
    <w:rsid w:val="00787EB9"/>
    <w:rsid w:val="007901C0"/>
    <w:rsid w:val="0079039A"/>
    <w:rsid w:val="007903B7"/>
    <w:rsid w:val="00790890"/>
    <w:rsid w:val="00790938"/>
    <w:rsid w:val="0079093C"/>
    <w:rsid w:val="007909EA"/>
    <w:rsid w:val="00790A20"/>
    <w:rsid w:val="00790C8A"/>
    <w:rsid w:val="00790DE9"/>
    <w:rsid w:val="00790EC6"/>
    <w:rsid w:val="00790FED"/>
    <w:rsid w:val="00791176"/>
    <w:rsid w:val="0079144B"/>
    <w:rsid w:val="00791698"/>
    <w:rsid w:val="00791785"/>
    <w:rsid w:val="00791D88"/>
    <w:rsid w:val="00792041"/>
    <w:rsid w:val="00792541"/>
    <w:rsid w:val="00792830"/>
    <w:rsid w:val="007929AE"/>
    <w:rsid w:val="007929D3"/>
    <w:rsid w:val="007929EF"/>
    <w:rsid w:val="00792A40"/>
    <w:rsid w:val="0079314B"/>
    <w:rsid w:val="0079320C"/>
    <w:rsid w:val="00793748"/>
    <w:rsid w:val="007938A5"/>
    <w:rsid w:val="00793E44"/>
    <w:rsid w:val="00793F51"/>
    <w:rsid w:val="007941F9"/>
    <w:rsid w:val="00794696"/>
    <w:rsid w:val="007949F5"/>
    <w:rsid w:val="00794AF5"/>
    <w:rsid w:val="00794E53"/>
    <w:rsid w:val="00794E94"/>
    <w:rsid w:val="00794EE0"/>
    <w:rsid w:val="00795037"/>
    <w:rsid w:val="007950E5"/>
    <w:rsid w:val="00795234"/>
    <w:rsid w:val="007953E8"/>
    <w:rsid w:val="0079571E"/>
    <w:rsid w:val="0079575B"/>
    <w:rsid w:val="007957A9"/>
    <w:rsid w:val="007958EF"/>
    <w:rsid w:val="007959E2"/>
    <w:rsid w:val="00795A7A"/>
    <w:rsid w:val="00795A90"/>
    <w:rsid w:val="00795BBB"/>
    <w:rsid w:val="00795C30"/>
    <w:rsid w:val="00795DDC"/>
    <w:rsid w:val="00795FDC"/>
    <w:rsid w:val="00795FEA"/>
    <w:rsid w:val="00796048"/>
    <w:rsid w:val="00796261"/>
    <w:rsid w:val="00796342"/>
    <w:rsid w:val="00796780"/>
    <w:rsid w:val="00796C11"/>
    <w:rsid w:val="00796D3B"/>
    <w:rsid w:val="00796E23"/>
    <w:rsid w:val="00796FB8"/>
    <w:rsid w:val="00797093"/>
    <w:rsid w:val="00797189"/>
    <w:rsid w:val="007971BC"/>
    <w:rsid w:val="00797412"/>
    <w:rsid w:val="007974E7"/>
    <w:rsid w:val="00797651"/>
    <w:rsid w:val="0079782A"/>
    <w:rsid w:val="00797840"/>
    <w:rsid w:val="00797A3B"/>
    <w:rsid w:val="00797D0A"/>
    <w:rsid w:val="00797D9A"/>
    <w:rsid w:val="00797E49"/>
    <w:rsid w:val="00797F11"/>
    <w:rsid w:val="00797FF7"/>
    <w:rsid w:val="007A01E6"/>
    <w:rsid w:val="007A02A2"/>
    <w:rsid w:val="007A03D2"/>
    <w:rsid w:val="007A06A7"/>
    <w:rsid w:val="007A0A3B"/>
    <w:rsid w:val="007A0A64"/>
    <w:rsid w:val="007A0ABE"/>
    <w:rsid w:val="007A0D71"/>
    <w:rsid w:val="007A0DEC"/>
    <w:rsid w:val="007A0DF4"/>
    <w:rsid w:val="007A0F37"/>
    <w:rsid w:val="007A1033"/>
    <w:rsid w:val="007A105F"/>
    <w:rsid w:val="007A10D9"/>
    <w:rsid w:val="007A1762"/>
    <w:rsid w:val="007A18BB"/>
    <w:rsid w:val="007A1903"/>
    <w:rsid w:val="007A1D14"/>
    <w:rsid w:val="007A1D60"/>
    <w:rsid w:val="007A201F"/>
    <w:rsid w:val="007A212B"/>
    <w:rsid w:val="007A226F"/>
    <w:rsid w:val="007A23F3"/>
    <w:rsid w:val="007A27BB"/>
    <w:rsid w:val="007A283B"/>
    <w:rsid w:val="007A2996"/>
    <w:rsid w:val="007A3025"/>
    <w:rsid w:val="007A313E"/>
    <w:rsid w:val="007A31E3"/>
    <w:rsid w:val="007A32AD"/>
    <w:rsid w:val="007A351F"/>
    <w:rsid w:val="007A3776"/>
    <w:rsid w:val="007A393C"/>
    <w:rsid w:val="007A3D92"/>
    <w:rsid w:val="007A3DC6"/>
    <w:rsid w:val="007A4090"/>
    <w:rsid w:val="007A4365"/>
    <w:rsid w:val="007A47E2"/>
    <w:rsid w:val="007A4811"/>
    <w:rsid w:val="007A4965"/>
    <w:rsid w:val="007A49F6"/>
    <w:rsid w:val="007A4A1F"/>
    <w:rsid w:val="007A4A99"/>
    <w:rsid w:val="007A4AFF"/>
    <w:rsid w:val="007A4CBE"/>
    <w:rsid w:val="007A4CF4"/>
    <w:rsid w:val="007A4EBB"/>
    <w:rsid w:val="007A5006"/>
    <w:rsid w:val="007A51BA"/>
    <w:rsid w:val="007A527B"/>
    <w:rsid w:val="007A542D"/>
    <w:rsid w:val="007A54DD"/>
    <w:rsid w:val="007A5530"/>
    <w:rsid w:val="007A5631"/>
    <w:rsid w:val="007A56CD"/>
    <w:rsid w:val="007A5AE2"/>
    <w:rsid w:val="007A5B46"/>
    <w:rsid w:val="007A5D24"/>
    <w:rsid w:val="007A5F97"/>
    <w:rsid w:val="007A6008"/>
    <w:rsid w:val="007A62FE"/>
    <w:rsid w:val="007A641A"/>
    <w:rsid w:val="007A64E0"/>
    <w:rsid w:val="007A66E4"/>
    <w:rsid w:val="007A6791"/>
    <w:rsid w:val="007A67CD"/>
    <w:rsid w:val="007A6CBA"/>
    <w:rsid w:val="007A6F39"/>
    <w:rsid w:val="007A70A3"/>
    <w:rsid w:val="007A70F3"/>
    <w:rsid w:val="007A7137"/>
    <w:rsid w:val="007A7189"/>
    <w:rsid w:val="007A71E8"/>
    <w:rsid w:val="007A7466"/>
    <w:rsid w:val="007A75E1"/>
    <w:rsid w:val="007A7738"/>
    <w:rsid w:val="007A788A"/>
    <w:rsid w:val="007A790C"/>
    <w:rsid w:val="007A7B7D"/>
    <w:rsid w:val="007A7CFE"/>
    <w:rsid w:val="007A7F95"/>
    <w:rsid w:val="007B0123"/>
    <w:rsid w:val="007B0148"/>
    <w:rsid w:val="007B04E9"/>
    <w:rsid w:val="007B05AF"/>
    <w:rsid w:val="007B06D8"/>
    <w:rsid w:val="007B08B9"/>
    <w:rsid w:val="007B0A39"/>
    <w:rsid w:val="007B0C1E"/>
    <w:rsid w:val="007B0D5D"/>
    <w:rsid w:val="007B0DE1"/>
    <w:rsid w:val="007B11E7"/>
    <w:rsid w:val="007B1B7E"/>
    <w:rsid w:val="007B1CD0"/>
    <w:rsid w:val="007B1D02"/>
    <w:rsid w:val="007B2253"/>
    <w:rsid w:val="007B23A9"/>
    <w:rsid w:val="007B275E"/>
    <w:rsid w:val="007B280C"/>
    <w:rsid w:val="007B2A84"/>
    <w:rsid w:val="007B2B53"/>
    <w:rsid w:val="007B2BDE"/>
    <w:rsid w:val="007B2CCC"/>
    <w:rsid w:val="007B2F86"/>
    <w:rsid w:val="007B3104"/>
    <w:rsid w:val="007B3200"/>
    <w:rsid w:val="007B3274"/>
    <w:rsid w:val="007B3645"/>
    <w:rsid w:val="007B3701"/>
    <w:rsid w:val="007B38D0"/>
    <w:rsid w:val="007B394A"/>
    <w:rsid w:val="007B39CF"/>
    <w:rsid w:val="007B39E5"/>
    <w:rsid w:val="007B3DC8"/>
    <w:rsid w:val="007B3F49"/>
    <w:rsid w:val="007B40BF"/>
    <w:rsid w:val="007B4111"/>
    <w:rsid w:val="007B4285"/>
    <w:rsid w:val="007B43E8"/>
    <w:rsid w:val="007B47B3"/>
    <w:rsid w:val="007B485C"/>
    <w:rsid w:val="007B4BF0"/>
    <w:rsid w:val="007B4C75"/>
    <w:rsid w:val="007B4C9F"/>
    <w:rsid w:val="007B4EA0"/>
    <w:rsid w:val="007B5167"/>
    <w:rsid w:val="007B5272"/>
    <w:rsid w:val="007B56CC"/>
    <w:rsid w:val="007B56D6"/>
    <w:rsid w:val="007B599F"/>
    <w:rsid w:val="007B5E26"/>
    <w:rsid w:val="007B5EE4"/>
    <w:rsid w:val="007B6295"/>
    <w:rsid w:val="007B6320"/>
    <w:rsid w:val="007B63BE"/>
    <w:rsid w:val="007B6564"/>
    <w:rsid w:val="007B6685"/>
    <w:rsid w:val="007B69BD"/>
    <w:rsid w:val="007B6B02"/>
    <w:rsid w:val="007B6BB5"/>
    <w:rsid w:val="007B6C54"/>
    <w:rsid w:val="007B6CA2"/>
    <w:rsid w:val="007B6D08"/>
    <w:rsid w:val="007B6F04"/>
    <w:rsid w:val="007B7273"/>
    <w:rsid w:val="007B74A1"/>
    <w:rsid w:val="007B74CD"/>
    <w:rsid w:val="007B75F7"/>
    <w:rsid w:val="007B775C"/>
    <w:rsid w:val="007B7B20"/>
    <w:rsid w:val="007B7B7C"/>
    <w:rsid w:val="007B7C70"/>
    <w:rsid w:val="007B7DCF"/>
    <w:rsid w:val="007C0461"/>
    <w:rsid w:val="007C0B20"/>
    <w:rsid w:val="007C0D71"/>
    <w:rsid w:val="007C0FCF"/>
    <w:rsid w:val="007C0FE2"/>
    <w:rsid w:val="007C100B"/>
    <w:rsid w:val="007C120E"/>
    <w:rsid w:val="007C1240"/>
    <w:rsid w:val="007C19B2"/>
    <w:rsid w:val="007C1D40"/>
    <w:rsid w:val="007C1FF6"/>
    <w:rsid w:val="007C20CF"/>
    <w:rsid w:val="007C214C"/>
    <w:rsid w:val="007C234F"/>
    <w:rsid w:val="007C24B0"/>
    <w:rsid w:val="007C295E"/>
    <w:rsid w:val="007C2A7D"/>
    <w:rsid w:val="007C2B41"/>
    <w:rsid w:val="007C2C8B"/>
    <w:rsid w:val="007C3110"/>
    <w:rsid w:val="007C318F"/>
    <w:rsid w:val="007C31FB"/>
    <w:rsid w:val="007C3347"/>
    <w:rsid w:val="007C34AE"/>
    <w:rsid w:val="007C34ED"/>
    <w:rsid w:val="007C36CA"/>
    <w:rsid w:val="007C36E1"/>
    <w:rsid w:val="007C3783"/>
    <w:rsid w:val="007C3975"/>
    <w:rsid w:val="007C3986"/>
    <w:rsid w:val="007C39DD"/>
    <w:rsid w:val="007C3A46"/>
    <w:rsid w:val="007C3BD1"/>
    <w:rsid w:val="007C3D46"/>
    <w:rsid w:val="007C4392"/>
    <w:rsid w:val="007C447B"/>
    <w:rsid w:val="007C45DB"/>
    <w:rsid w:val="007C464B"/>
    <w:rsid w:val="007C47DD"/>
    <w:rsid w:val="007C49CE"/>
    <w:rsid w:val="007C4B2B"/>
    <w:rsid w:val="007C4BA4"/>
    <w:rsid w:val="007C4F27"/>
    <w:rsid w:val="007C4F2C"/>
    <w:rsid w:val="007C5025"/>
    <w:rsid w:val="007C529C"/>
    <w:rsid w:val="007C5572"/>
    <w:rsid w:val="007C5760"/>
    <w:rsid w:val="007C588D"/>
    <w:rsid w:val="007C59D3"/>
    <w:rsid w:val="007C59F2"/>
    <w:rsid w:val="007C5A91"/>
    <w:rsid w:val="007C5AFB"/>
    <w:rsid w:val="007C5B90"/>
    <w:rsid w:val="007C5F5B"/>
    <w:rsid w:val="007C5FE0"/>
    <w:rsid w:val="007C6009"/>
    <w:rsid w:val="007C64B3"/>
    <w:rsid w:val="007C67D3"/>
    <w:rsid w:val="007C686E"/>
    <w:rsid w:val="007C68C8"/>
    <w:rsid w:val="007C6A99"/>
    <w:rsid w:val="007C6B3C"/>
    <w:rsid w:val="007C6B61"/>
    <w:rsid w:val="007C6C15"/>
    <w:rsid w:val="007C6C2F"/>
    <w:rsid w:val="007C6ECE"/>
    <w:rsid w:val="007C711F"/>
    <w:rsid w:val="007C717C"/>
    <w:rsid w:val="007C7309"/>
    <w:rsid w:val="007C74B3"/>
    <w:rsid w:val="007C77D2"/>
    <w:rsid w:val="007C7B21"/>
    <w:rsid w:val="007C7E04"/>
    <w:rsid w:val="007C7F99"/>
    <w:rsid w:val="007C7FB4"/>
    <w:rsid w:val="007D003D"/>
    <w:rsid w:val="007D007F"/>
    <w:rsid w:val="007D020C"/>
    <w:rsid w:val="007D02CC"/>
    <w:rsid w:val="007D03BD"/>
    <w:rsid w:val="007D0400"/>
    <w:rsid w:val="007D06D1"/>
    <w:rsid w:val="007D0971"/>
    <w:rsid w:val="007D09FC"/>
    <w:rsid w:val="007D0C4A"/>
    <w:rsid w:val="007D0D0D"/>
    <w:rsid w:val="007D0E79"/>
    <w:rsid w:val="007D1070"/>
    <w:rsid w:val="007D147D"/>
    <w:rsid w:val="007D19CF"/>
    <w:rsid w:val="007D1A5A"/>
    <w:rsid w:val="007D1CB1"/>
    <w:rsid w:val="007D1E57"/>
    <w:rsid w:val="007D1E5C"/>
    <w:rsid w:val="007D1E99"/>
    <w:rsid w:val="007D1F22"/>
    <w:rsid w:val="007D1FB0"/>
    <w:rsid w:val="007D22F7"/>
    <w:rsid w:val="007D29B5"/>
    <w:rsid w:val="007D29FE"/>
    <w:rsid w:val="007D2A8D"/>
    <w:rsid w:val="007D2B36"/>
    <w:rsid w:val="007D2D38"/>
    <w:rsid w:val="007D2E07"/>
    <w:rsid w:val="007D2E26"/>
    <w:rsid w:val="007D3065"/>
    <w:rsid w:val="007D3129"/>
    <w:rsid w:val="007D3178"/>
    <w:rsid w:val="007D3232"/>
    <w:rsid w:val="007D33A4"/>
    <w:rsid w:val="007D3783"/>
    <w:rsid w:val="007D3818"/>
    <w:rsid w:val="007D3871"/>
    <w:rsid w:val="007D3877"/>
    <w:rsid w:val="007D38BD"/>
    <w:rsid w:val="007D3A9B"/>
    <w:rsid w:val="007D3CAE"/>
    <w:rsid w:val="007D418E"/>
    <w:rsid w:val="007D41BE"/>
    <w:rsid w:val="007D43C8"/>
    <w:rsid w:val="007D4449"/>
    <w:rsid w:val="007D44A4"/>
    <w:rsid w:val="007D461A"/>
    <w:rsid w:val="007D497D"/>
    <w:rsid w:val="007D4DED"/>
    <w:rsid w:val="007D52BE"/>
    <w:rsid w:val="007D54A6"/>
    <w:rsid w:val="007D58FE"/>
    <w:rsid w:val="007D59A4"/>
    <w:rsid w:val="007D5A5D"/>
    <w:rsid w:val="007D5ACC"/>
    <w:rsid w:val="007D5FE7"/>
    <w:rsid w:val="007D6015"/>
    <w:rsid w:val="007D63F9"/>
    <w:rsid w:val="007D6402"/>
    <w:rsid w:val="007D6411"/>
    <w:rsid w:val="007D6508"/>
    <w:rsid w:val="007D65FA"/>
    <w:rsid w:val="007D67EC"/>
    <w:rsid w:val="007D67EF"/>
    <w:rsid w:val="007D689D"/>
    <w:rsid w:val="007D68B5"/>
    <w:rsid w:val="007D68C7"/>
    <w:rsid w:val="007D6A4B"/>
    <w:rsid w:val="007D6BC8"/>
    <w:rsid w:val="007D71FA"/>
    <w:rsid w:val="007D7611"/>
    <w:rsid w:val="007D76AE"/>
    <w:rsid w:val="007D7938"/>
    <w:rsid w:val="007D794E"/>
    <w:rsid w:val="007D7A39"/>
    <w:rsid w:val="007D7AB7"/>
    <w:rsid w:val="007D7B4A"/>
    <w:rsid w:val="007E02B7"/>
    <w:rsid w:val="007E052E"/>
    <w:rsid w:val="007E0594"/>
    <w:rsid w:val="007E06DF"/>
    <w:rsid w:val="007E0707"/>
    <w:rsid w:val="007E0715"/>
    <w:rsid w:val="007E07D5"/>
    <w:rsid w:val="007E09A0"/>
    <w:rsid w:val="007E0DCB"/>
    <w:rsid w:val="007E0F78"/>
    <w:rsid w:val="007E1122"/>
    <w:rsid w:val="007E1285"/>
    <w:rsid w:val="007E128F"/>
    <w:rsid w:val="007E14D8"/>
    <w:rsid w:val="007E15B0"/>
    <w:rsid w:val="007E1781"/>
    <w:rsid w:val="007E17C5"/>
    <w:rsid w:val="007E1B84"/>
    <w:rsid w:val="007E20FC"/>
    <w:rsid w:val="007E22D7"/>
    <w:rsid w:val="007E23E3"/>
    <w:rsid w:val="007E2504"/>
    <w:rsid w:val="007E256F"/>
    <w:rsid w:val="007E2596"/>
    <w:rsid w:val="007E2920"/>
    <w:rsid w:val="007E2D9B"/>
    <w:rsid w:val="007E2DC6"/>
    <w:rsid w:val="007E2F5F"/>
    <w:rsid w:val="007E3102"/>
    <w:rsid w:val="007E31C3"/>
    <w:rsid w:val="007E327A"/>
    <w:rsid w:val="007E34AC"/>
    <w:rsid w:val="007E3641"/>
    <w:rsid w:val="007E38A5"/>
    <w:rsid w:val="007E3902"/>
    <w:rsid w:val="007E3956"/>
    <w:rsid w:val="007E398B"/>
    <w:rsid w:val="007E3A17"/>
    <w:rsid w:val="007E3AFC"/>
    <w:rsid w:val="007E3B0F"/>
    <w:rsid w:val="007E3D23"/>
    <w:rsid w:val="007E3D4B"/>
    <w:rsid w:val="007E44B9"/>
    <w:rsid w:val="007E4C02"/>
    <w:rsid w:val="007E4E81"/>
    <w:rsid w:val="007E4EA4"/>
    <w:rsid w:val="007E4F3F"/>
    <w:rsid w:val="007E50E4"/>
    <w:rsid w:val="007E51FB"/>
    <w:rsid w:val="007E53D3"/>
    <w:rsid w:val="007E5413"/>
    <w:rsid w:val="007E55A6"/>
    <w:rsid w:val="007E55B4"/>
    <w:rsid w:val="007E569A"/>
    <w:rsid w:val="007E572C"/>
    <w:rsid w:val="007E5861"/>
    <w:rsid w:val="007E5D21"/>
    <w:rsid w:val="007E5D4F"/>
    <w:rsid w:val="007E5DAE"/>
    <w:rsid w:val="007E5FB7"/>
    <w:rsid w:val="007E604B"/>
    <w:rsid w:val="007E63AF"/>
    <w:rsid w:val="007E64E5"/>
    <w:rsid w:val="007E65E9"/>
    <w:rsid w:val="007E6602"/>
    <w:rsid w:val="007E670A"/>
    <w:rsid w:val="007E68C5"/>
    <w:rsid w:val="007E6A62"/>
    <w:rsid w:val="007E6B66"/>
    <w:rsid w:val="007E6C26"/>
    <w:rsid w:val="007E6D51"/>
    <w:rsid w:val="007E7069"/>
    <w:rsid w:val="007E7411"/>
    <w:rsid w:val="007E799A"/>
    <w:rsid w:val="007E7C0F"/>
    <w:rsid w:val="007E7CCF"/>
    <w:rsid w:val="007F03D0"/>
    <w:rsid w:val="007F0531"/>
    <w:rsid w:val="007F05B5"/>
    <w:rsid w:val="007F060F"/>
    <w:rsid w:val="007F0804"/>
    <w:rsid w:val="007F089C"/>
    <w:rsid w:val="007F0A8C"/>
    <w:rsid w:val="007F10E3"/>
    <w:rsid w:val="007F136C"/>
    <w:rsid w:val="007F1465"/>
    <w:rsid w:val="007F1592"/>
    <w:rsid w:val="007F15CD"/>
    <w:rsid w:val="007F1659"/>
    <w:rsid w:val="007F1B10"/>
    <w:rsid w:val="007F1E95"/>
    <w:rsid w:val="007F1F30"/>
    <w:rsid w:val="007F1F55"/>
    <w:rsid w:val="007F1FC3"/>
    <w:rsid w:val="007F2056"/>
    <w:rsid w:val="007F2343"/>
    <w:rsid w:val="007F23E2"/>
    <w:rsid w:val="007F2473"/>
    <w:rsid w:val="007F25BF"/>
    <w:rsid w:val="007F265B"/>
    <w:rsid w:val="007F2DC6"/>
    <w:rsid w:val="007F3602"/>
    <w:rsid w:val="007F366A"/>
    <w:rsid w:val="007F380D"/>
    <w:rsid w:val="007F3CF5"/>
    <w:rsid w:val="007F3DDC"/>
    <w:rsid w:val="007F4232"/>
    <w:rsid w:val="007F430E"/>
    <w:rsid w:val="007F4955"/>
    <w:rsid w:val="007F499F"/>
    <w:rsid w:val="007F4AEE"/>
    <w:rsid w:val="007F4DCE"/>
    <w:rsid w:val="007F4EC4"/>
    <w:rsid w:val="007F4F43"/>
    <w:rsid w:val="007F5087"/>
    <w:rsid w:val="007F525E"/>
    <w:rsid w:val="007F5314"/>
    <w:rsid w:val="007F57A0"/>
    <w:rsid w:val="007F5904"/>
    <w:rsid w:val="007F5A05"/>
    <w:rsid w:val="007F5A15"/>
    <w:rsid w:val="007F5D41"/>
    <w:rsid w:val="007F5EE4"/>
    <w:rsid w:val="007F60C5"/>
    <w:rsid w:val="007F6160"/>
    <w:rsid w:val="007F6168"/>
    <w:rsid w:val="007F6472"/>
    <w:rsid w:val="007F6607"/>
    <w:rsid w:val="007F6660"/>
    <w:rsid w:val="007F674E"/>
    <w:rsid w:val="007F6965"/>
    <w:rsid w:val="007F6A71"/>
    <w:rsid w:val="007F6B62"/>
    <w:rsid w:val="007F72AD"/>
    <w:rsid w:val="007F72E8"/>
    <w:rsid w:val="007F7317"/>
    <w:rsid w:val="007F7717"/>
    <w:rsid w:val="007F77C8"/>
    <w:rsid w:val="007F78E0"/>
    <w:rsid w:val="007F79F4"/>
    <w:rsid w:val="007F7BB3"/>
    <w:rsid w:val="007F7D74"/>
    <w:rsid w:val="007F7E7A"/>
    <w:rsid w:val="007F7F54"/>
    <w:rsid w:val="00800139"/>
    <w:rsid w:val="00800200"/>
    <w:rsid w:val="0080021B"/>
    <w:rsid w:val="0080022A"/>
    <w:rsid w:val="0080024B"/>
    <w:rsid w:val="008003F8"/>
    <w:rsid w:val="0080046D"/>
    <w:rsid w:val="008006C9"/>
    <w:rsid w:val="008007F9"/>
    <w:rsid w:val="00800996"/>
    <w:rsid w:val="0080099F"/>
    <w:rsid w:val="00800A96"/>
    <w:rsid w:val="00800C67"/>
    <w:rsid w:val="00800D86"/>
    <w:rsid w:val="00800D9D"/>
    <w:rsid w:val="00800E17"/>
    <w:rsid w:val="00800F4C"/>
    <w:rsid w:val="00800F53"/>
    <w:rsid w:val="00800FA2"/>
    <w:rsid w:val="00800FC2"/>
    <w:rsid w:val="008011D8"/>
    <w:rsid w:val="00801204"/>
    <w:rsid w:val="0080129F"/>
    <w:rsid w:val="00801300"/>
    <w:rsid w:val="0080150A"/>
    <w:rsid w:val="00801943"/>
    <w:rsid w:val="0080195D"/>
    <w:rsid w:val="00801CE4"/>
    <w:rsid w:val="00802442"/>
    <w:rsid w:val="00802552"/>
    <w:rsid w:val="00802643"/>
    <w:rsid w:val="00802899"/>
    <w:rsid w:val="00802926"/>
    <w:rsid w:val="008029EB"/>
    <w:rsid w:val="00802B44"/>
    <w:rsid w:val="00802B6D"/>
    <w:rsid w:val="00802B9C"/>
    <w:rsid w:val="00802D15"/>
    <w:rsid w:val="00802EC8"/>
    <w:rsid w:val="00803061"/>
    <w:rsid w:val="00803082"/>
    <w:rsid w:val="0080313D"/>
    <w:rsid w:val="008031AD"/>
    <w:rsid w:val="008031C1"/>
    <w:rsid w:val="0080364F"/>
    <w:rsid w:val="008037DB"/>
    <w:rsid w:val="00803E2B"/>
    <w:rsid w:val="00803F3A"/>
    <w:rsid w:val="008042E4"/>
    <w:rsid w:val="00804447"/>
    <w:rsid w:val="0080468D"/>
    <w:rsid w:val="00804795"/>
    <w:rsid w:val="00804947"/>
    <w:rsid w:val="008049CB"/>
    <w:rsid w:val="00805090"/>
    <w:rsid w:val="008053BE"/>
    <w:rsid w:val="008054EF"/>
    <w:rsid w:val="00805529"/>
    <w:rsid w:val="00805746"/>
    <w:rsid w:val="00805982"/>
    <w:rsid w:val="00805CDF"/>
    <w:rsid w:val="0080602E"/>
    <w:rsid w:val="00806144"/>
    <w:rsid w:val="008062A2"/>
    <w:rsid w:val="008064D1"/>
    <w:rsid w:val="00806554"/>
    <w:rsid w:val="008065C4"/>
    <w:rsid w:val="00806718"/>
    <w:rsid w:val="0080697D"/>
    <w:rsid w:val="00806BC1"/>
    <w:rsid w:val="00806D17"/>
    <w:rsid w:val="00806ED3"/>
    <w:rsid w:val="0080706E"/>
    <w:rsid w:val="008071E2"/>
    <w:rsid w:val="00807304"/>
    <w:rsid w:val="008073A9"/>
    <w:rsid w:val="00807409"/>
    <w:rsid w:val="0080772B"/>
    <w:rsid w:val="008078B7"/>
    <w:rsid w:val="00807902"/>
    <w:rsid w:val="00807B29"/>
    <w:rsid w:val="00807B49"/>
    <w:rsid w:val="00807FD3"/>
    <w:rsid w:val="00810344"/>
    <w:rsid w:val="00810412"/>
    <w:rsid w:val="0081043B"/>
    <w:rsid w:val="008104FA"/>
    <w:rsid w:val="00810511"/>
    <w:rsid w:val="00810551"/>
    <w:rsid w:val="00810987"/>
    <w:rsid w:val="00810A2F"/>
    <w:rsid w:val="00811200"/>
    <w:rsid w:val="00811313"/>
    <w:rsid w:val="008114A7"/>
    <w:rsid w:val="00811733"/>
    <w:rsid w:val="0081187C"/>
    <w:rsid w:val="00811D0F"/>
    <w:rsid w:val="00812126"/>
    <w:rsid w:val="00812178"/>
    <w:rsid w:val="008121F5"/>
    <w:rsid w:val="00812459"/>
    <w:rsid w:val="0081245D"/>
    <w:rsid w:val="0081247D"/>
    <w:rsid w:val="008125AC"/>
    <w:rsid w:val="008125E4"/>
    <w:rsid w:val="0081274D"/>
    <w:rsid w:val="00812965"/>
    <w:rsid w:val="00812B1A"/>
    <w:rsid w:val="00812B4F"/>
    <w:rsid w:val="00812D30"/>
    <w:rsid w:val="00812F25"/>
    <w:rsid w:val="008131E9"/>
    <w:rsid w:val="00813408"/>
    <w:rsid w:val="0081358D"/>
    <w:rsid w:val="008135A7"/>
    <w:rsid w:val="008136E2"/>
    <w:rsid w:val="0081393D"/>
    <w:rsid w:val="00813BDD"/>
    <w:rsid w:val="00813D80"/>
    <w:rsid w:val="00813F42"/>
    <w:rsid w:val="0081454F"/>
    <w:rsid w:val="00814554"/>
    <w:rsid w:val="008148E6"/>
    <w:rsid w:val="00814947"/>
    <w:rsid w:val="00814A55"/>
    <w:rsid w:val="00814AD9"/>
    <w:rsid w:val="00814AFD"/>
    <w:rsid w:val="00814CB5"/>
    <w:rsid w:val="00814CCB"/>
    <w:rsid w:val="00814FBE"/>
    <w:rsid w:val="0081529F"/>
    <w:rsid w:val="008152FB"/>
    <w:rsid w:val="008155EC"/>
    <w:rsid w:val="008156F7"/>
    <w:rsid w:val="008159DE"/>
    <w:rsid w:val="00815A17"/>
    <w:rsid w:val="00815AE7"/>
    <w:rsid w:val="00815C31"/>
    <w:rsid w:val="008161B7"/>
    <w:rsid w:val="008161D7"/>
    <w:rsid w:val="00816474"/>
    <w:rsid w:val="00816499"/>
    <w:rsid w:val="008167DE"/>
    <w:rsid w:val="008167E4"/>
    <w:rsid w:val="00816801"/>
    <w:rsid w:val="00816824"/>
    <w:rsid w:val="00816855"/>
    <w:rsid w:val="0081692B"/>
    <w:rsid w:val="00816AB3"/>
    <w:rsid w:val="00816B6D"/>
    <w:rsid w:val="00816E69"/>
    <w:rsid w:val="008174E0"/>
    <w:rsid w:val="008176B5"/>
    <w:rsid w:val="00817718"/>
    <w:rsid w:val="008179A1"/>
    <w:rsid w:val="00817C78"/>
    <w:rsid w:val="00817E9A"/>
    <w:rsid w:val="0082039C"/>
    <w:rsid w:val="008203CF"/>
    <w:rsid w:val="008204B2"/>
    <w:rsid w:val="0082065A"/>
    <w:rsid w:val="008208CE"/>
    <w:rsid w:val="00820BDE"/>
    <w:rsid w:val="00820DE4"/>
    <w:rsid w:val="00820F01"/>
    <w:rsid w:val="00820F12"/>
    <w:rsid w:val="00820F64"/>
    <w:rsid w:val="00821014"/>
    <w:rsid w:val="008210D1"/>
    <w:rsid w:val="00821361"/>
    <w:rsid w:val="00821436"/>
    <w:rsid w:val="00821506"/>
    <w:rsid w:val="0082160A"/>
    <w:rsid w:val="0082168F"/>
    <w:rsid w:val="00821944"/>
    <w:rsid w:val="00821A41"/>
    <w:rsid w:val="00821AB1"/>
    <w:rsid w:val="008220F2"/>
    <w:rsid w:val="0082227D"/>
    <w:rsid w:val="008222F1"/>
    <w:rsid w:val="00822307"/>
    <w:rsid w:val="00822654"/>
    <w:rsid w:val="0082270B"/>
    <w:rsid w:val="008227DE"/>
    <w:rsid w:val="008228AB"/>
    <w:rsid w:val="00822A53"/>
    <w:rsid w:val="00822AE2"/>
    <w:rsid w:val="00822CD9"/>
    <w:rsid w:val="00822E71"/>
    <w:rsid w:val="00822F0A"/>
    <w:rsid w:val="00822F28"/>
    <w:rsid w:val="00822F7D"/>
    <w:rsid w:val="008231A0"/>
    <w:rsid w:val="008231BB"/>
    <w:rsid w:val="0082330A"/>
    <w:rsid w:val="008233E3"/>
    <w:rsid w:val="00823B88"/>
    <w:rsid w:val="00823CD3"/>
    <w:rsid w:val="00824012"/>
    <w:rsid w:val="00824125"/>
    <w:rsid w:val="0082426E"/>
    <w:rsid w:val="00824751"/>
    <w:rsid w:val="00824768"/>
    <w:rsid w:val="00824882"/>
    <w:rsid w:val="008249FB"/>
    <w:rsid w:val="00824BC3"/>
    <w:rsid w:val="00824CE5"/>
    <w:rsid w:val="00824D8B"/>
    <w:rsid w:val="00824D8E"/>
    <w:rsid w:val="00824E85"/>
    <w:rsid w:val="00825002"/>
    <w:rsid w:val="008250F6"/>
    <w:rsid w:val="008253BC"/>
    <w:rsid w:val="0082567D"/>
    <w:rsid w:val="008256FC"/>
    <w:rsid w:val="008257D8"/>
    <w:rsid w:val="00825801"/>
    <w:rsid w:val="008259B7"/>
    <w:rsid w:val="008259DE"/>
    <w:rsid w:val="00825C5E"/>
    <w:rsid w:val="00825D98"/>
    <w:rsid w:val="00825E57"/>
    <w:rsid w:val="00825E58"/>
    <w:rsid w:val="008263E4"/>
    <w:rsid w:val="00826841"/>
    <w:rsid w:val="0082692A"/>
    <w:rsid w:val="008269B8"/>
    <w:rsid w:val="00826A3D"/>
    <w:rsid w:val="00826B4D"/>
    <w:rsid w:val="00826C79"/>
    <w:rsid w:val="00826DFE"/>
    <w:rsid w:val="00826E5B"/>
    <w:rsid w:val="00827092"/>
    <w:rsid w:val="0082767F"/>
    <w:rsid w:val="00827914"/>
    <w:rsid w:val="00827A7A"/>
    <w:rsid w:val="00827B42"/>
    <w:rsid w:val="00827CBC"/>
    <w:rsid w:val="00827EB5"/>
    <w:rsid w:val="00827ECF"/>
    <w:rsid w:val="0083001F"/>
    <w:rsid w:val="00830454"/>
    <w:rsid w:val="00830582"/>
    <w:rsid w:val="00830725"/>
    <w:rsid w:val="008308FE"/>
    <w:rsid w:val="0083094B"/>
    <w:rsid w:val="00830B3E"/>
    <w:rsid w:val="00830BF0"/>
    <w:rsid w:val="00830C1F"/>
    <w:rsid w:val="00830D1E"/>
    <w:rsid w:val="00830ED9"/>
    <w:rsid w:val="00830EDA"/>
    <w:rsid w:val="00830EF1"/>
    <w:rsid w:val="008311FB"/>
    <w:rsid w:val="0083126E"/>
    <w:rsid w:val="00831391"/>
    <w:rsid w:val="008313EA"/>
    <w:rsid w:val="008314D1"/>
    <w:rsid w:val="00831722"/>
    <w:rsid w:val="008317B5"/>
    <w:rsid w:val="0083183E"/>
    <w:rsid w:val="00831979"/>
    <w:rsid w:val="0083199D"/>
    <w:rsid w:val="008319D8"/>
    <w:rsid w:val="00831AB4"/>
    <w:rsid w:val="00831E3C"/>
    <w:rsid w:val="00831F55"/>
    <w:rsid w:val="00832237"/>
    <w:rsid w:val="00832398"/>
    <w:rsid w:val="0083259A"/>
    <w:rsid w:val="008325F2"/>
    <w:rsid w:val="008327BD"/>
    <w:rsid w:val="00832A77"/>
    <w:rsid w:val="00832B5F"/>
    <w:rsid w:val="00832D17"/>
    <w:rsid w:val="00832F56"/>
    <w:rsid w:val="00833064"/>
    <w:rsid w:val="008331DB"/>
    <w:rsid w:val="0083332C"/>
    <w:rsid w:val="008336E2"/>
    <w:rsid w:val="00833975"/>
    <w:rsid w:val="00833A1C"/>
    <w:rsid w:val="00833DBA"/>
    <w:rsid w:val="00833F18"/>
    <w:rsid w:val="0083407A"/>
    <w:rsid w:val="008343B8"/>
    <w:rsid w:val="008345F8"/>
    <w:rsid w:val="00834A9F"/>
    <w:rsid w:val="00834AB8"/>
    <w:rsid w:val="00834D9E"/>
    <w:rsid w:val="00834DE3"/>
    <w:rsid w:val="00834E25"/>
    <w:rsid w:val="00834F15"/>
    <w:rsid w:val="00835055"/>
    <w:rsid w:val="00835111"/>
    <w:rsid w:val="0083529D"/>
    <w:rsid w:val="008354AA"/>
    <w:rsid w:val="00835523"/>
    <w:rsid w:val="0083594E"/>
    <w:rsid w:val="00835AC3"/>
    <w:rsid w:val="00835F4D"/>
    <w:rsid w:val="008362AB"/>
    <w:rsid w:val="008362DE"/>
    <w:rsid w:val="00836392"/>
    <w:rsid w:val="008363B0"/>
    <w:rsid w:val="008366D5"/>
    <w:rsid w:val="008368B0"/>
    <w:rsid w:val="00836A14"/>
    <w:rsid w:val="00836A17"/>
    <w:rsid w:val="00836B53"/>
    <w:rsid w:val="00836C00"/>
    <w:rsid w:val="00836C25"/>
    <w:rsid w:val="00836D16"/>
    <w:rsid w:val="008371C9"/>
    <w:rsid w:val="008371D8"/>
    <w:rsid w:val="00837359"/>
    <w:rsid w:val="0083735E"/>
    <w:rsid w:val="008376B3"/>
    <w:rsid w:val="00837790"/>
    <w:rsid w:val="0083779B"/>
    <w:rsid w:val="0083787A"/>
    <w:rsid w:val="00837A32"/>
    <w:rsid w:val="00837CE0"/>
    <w:rsid w:val="00837D40"/>
    <w:rsid w:val="00840169"/>
    <w:rsid w:val="0084048A"/>
    <w:rsid w:val="0084048E"/>
    <w:rsid w:val="0084079D"/>
    <w:rsid w:val="00840854"/>
    <w:rsid w:val="008409B0"/>
    <w:rsid w:val="00840FCD"/>
    <w:rsid w:val="008411D2"/>
    <w:rsid w:val="00841216"/>
    <w:rsid w:val="008416C4"/>
    <w:rsid w:val="00841906"/>
    <w:rsid w:val="00841A8D"/>
    <w:rsid w:val="008421B8"/>
    <w:rsid w:val="008421FF"/>
    <w:rsid w:val="00842248"/>
    <w:rsid w:val="00842279"/>
    <w:rsid w:val="00842550"/>
    <w:rsid w:val="00842585"/>
    <w:rsid w:val="00842649"/>
    <w:rsid w:val="00842763"/>
    <w:rsid w:val="008428C6"/>
    <w:rsid w:val="00842B80"/>
    <w:rsid w:val="00842DBA"/>
    <w:rsid w:val="00842E27"/>
    <w:rsid w:val="00842E2A"/>
    <w:rsid w:val="00842F5C"/>
    <w:rsid w:val="0084302F"/>
    <w:rsid w:val="00843061"/>
    <w:rsid w:val="008430E8"/>
    <w:rsid w:val="0084322E"/>
    <w:rsid w:val="00843314"/>
    <w:rsid w:val="008436AC"/>
    <w:rsid w:val="00843719"/>
    <w:rsid w:val="0084374F"/>
    <w:rsid w:val="00843780"/>
    <w:rsid w:val="008437EE"/>
    <w:rsid w:val="00843E4A"/>
    <w:rsid w:val="00843F93"/>
    <w:rsid w:val="00844392"/>
    <w:rsid w:val="0084450E"/>
    <w:rsid w:val="00844614"/>
    <w:rsid w:val="0084476F"/>
    <w:rsid w:val="0084478D"/>
    <w:rsid w:val="0084499A"/>
    <w:rsid w:val="008449E6"/>
    <w:rsid w:val="00844A71"/>
    <w:rsid w:val="00844B42"/>
    <w:rsid w:val="00844B6E"/>
    <w:rsid w:val="00844DBF"/>
    <w:rsid w:val="008450AE"/>
    <w:rsid w:val="008452FD"/>
    <w:rsid w:val="00845399"/>
    <w:rsid w:val="0084565E"/>
    <w:rsid w:val="0084569B"/>
    <w:rsid w:val="008456E8"/>
    <w:rsid w:val="00845725"/>
    <w:rsid w:val="00845870"/>
    <w:rsid w:val="0084591B"/>
    <w:rsid w:val="00845FB6"/>
    <w:rsid w:val="008462A5"/>
    <w:rsid w:val="008462FA"/>
    <w:rsid w:val="00846516"/>
    <w:rsid w:val="008465EA"/>
    <w:rsid w:val="008466FD"/>
    <w:rsid w:val="008467B0"/>
    <w:rsid w:val="008469E4"/>
    <w:rsid w:val="00847228"/>
    <w:rsid w:val="00847332"/>
    <w:rsid w:val="00847438"/>
    <w:rsid w:val="00847451"/>
    <w:rsid w:val="0084757C"/>
    <w:rsid w:val="0084758A"/>
    <w:rsid w:val="00847962"/>
    <w:rsid w:val="00847AF2"/>
    <w:rsid w:val="00847D0F"/>
    <w:rsid w:val="00847D58"/>
    <w:rsid w:val="00847DAB"/>
    <w:rsid w:val="00847E2F"/>
    <w:rsid w:val="00847E90"/>
    <w:rsid w:val="00847E9E"/>
    <w:rsid w:val="00847F48"/>
    <w:rsid w:val="00850032"/>
    <w:rsid w:val="0085012E"/>
    <w:rsid w:val="008501AB"/>
    <w:rsid w:val="00850218"/>
    <w:rsid w:val="00850253"/>
    <w:rsid w:val="0085044D"/>
    <w:rsid w:val="00850492"/>
    <w:rsid w:val="0085080E"/>
    <w:rsid w:val="00850A85"/>
    <w:rsid w:val="00850BAE"/>
    <w:rsid w:val="00850BD6"/>
    <w:rsid w:val="00850C45"/>
    <w:rsid w:val="00850D05"/>
    <w:rsid w:val="00851084"/>
    <w:rsid w:val="0085112E"/>
    <w:rsid w:val="0085124C"/>
    <w:rsid w:val="00851276"/>
    <w:rsid w:val="008513F2"/>
    <w:rsid w:val="00851755"/>
    <w:rsid w:val="00851760"/>
    <w:rsid w:val="00851887"/>
    <w:rsid w:val="00851A85"/>
    <w:rsid w:val="00851EC5"/>
    <w:rsid w:val="00851ECE"/>
    <w:rsid w:val="00851F6F"/>
    <w:rsid w:val="00852012"/>
    <w:rsid w:val="0085228F"/>
    <w:rsid w:val="00852326"/>
    <w:rsid w:val="00852970"/>
    <w:rsid w:val="008529C8"/>
    <w:rsid w:val="00852C75"/>
    <w:rsid w:val="0085306A"/>
    <w:rsid w:val="0085313C"/>
    <w:rsid w:val="008531D2"/>
    <w:rsid w:val="008531D3"/>
    <w:rsid w:val="00853275"/>
    <w:rsid w:val="00853517"/>
    <w:rsid w:val="008536E2"/>
    <w:rsid w:val="00853B78"/>
    <w:rsid w:val="00853B7D"/>
    <w:rsid w:val="00853E91"/>
    <w:rsid w:val="00853EF6"/>
    <w:rsid w:val="00854131"/>
    <w:rsid w:val="0085420F"/>
    <w:rsid w:val="00854797"/>
    <w:rsid w:val="00854A37"/>
    <w:rsid w:val="00854A53"/>
    <w:rsid w:val="00854BA9"/>
    <w:rsid w:val="00854D5D"/>
    <w:rsid w:val="00854D73"/>
    <w:rsid w:val="00854EBA"/>
    <w:rsid w:val="00854F8A"/>
    <w:rsid w:val="008555A1"/>
    <w:rsid w:val="00855717"/>
    <w:rsid w:val="00855744"/>
    <w:rsid w:val="00855787"/>
    <w:rsid w:val="00855864"/>
    <w:rsid w:val="00855901"/>
    <w:rsid w:val="00855F5E"/>
    <w:rsid w:val="00855F7E"/>
    <w:rsid w:val="00855F97"/>
    <w:rsid w:val="00856078"/>
    <w:rsid w:val="008563A2"/>
    <w:rsid w:val="0085687E"/>
    <w:rsid w:val="00856974"/>
    <w:rsid w:val="00856A4C"/>
    <w:rsid w:val="00856B1D"/>
    <w:rsid w:val="00856D81"/>
    <w:rsid w:val="00856DA9"/>
    <w:rsid w:val="00856E5B"/>
    <w:rsid w:val="00857043"/>
    <w:rsid w:val="00857062"/>
    <w:rsid w:val="008571B8"/>
    <w:rsid w:val="0085751A"/>
    <w:rsid w:val="008579A3"/>
    <w:rsid w:val="00857B80"/>
    <w:rsid w:val="00857C4D"/>
    <w:rsid w:val="00857CB5"/>
    <w:rsid w:val="00857D85"/>
    <w:rsid w:val="00857DF7"/>
    <w:rsid w:val="00857E24"/>
    <w:rsid w:val="00860111"/>
    <w:rsid w:val="00860225"/>
    <w:rsid w:val="0086032C"/>
    <w:rsid w:val="0086056D"/>
    <w:rsid w:val="00860719"/>
    <w:rsid w:val="008607D5"/>
    <w:rsid w:val="008607E4"/>
    <w:rsid w:val="00860EEC"/>
    <w:rsid w:val="0086116B"/>
    <w:rsid w:val="008611AA"/>
    <w:rsid w:val="00861282"/>
    <w:rsid w:val="0086151E"/>
    <w:rsid w:val="00861587"/>
    <w:rsid w:val="0086161C"/>
    <w:rsid w:val="008616A4"/>
    <w:rsid w:val="00861792"/>
    <w:rsid w:val="008619AE"/>
    <w:rsid w:val="00861C2A"/>
    <w:rsid w:val="00861CC2"/>
    <w:rsid w:val="00861E13"/>
    <w:rsid w:val="0086211C"/>
    <w:rsid w:val="0086214B"/>
    <w:rsid w:val="0086231B"/>
    <w:rsid w:val="008625FB"/>
    <w:rsid w:val="008628C8"/>
    <w:rsid w:val="008629CE"/>
    <w:rsid w:val="00862BAE"/>
    <w:rsid w:val="00862BF0"/>
    <w:rsid w:val="00862FC7"/>
    <w:rsid w:val="00863128"/>
    <w:rsid w:val="00863199"/>
    <w:rsid w:val="008631D6"/>
    <w:rsid w:val="008632FC"/>
    <w:rsid w:val="008633A8"/>
    <w:rsid w:val="0086350E"/>
    <w:rsid w:val="00863607"/>
    <w:rsid w:val="0086361C"/>
    <w:rsid w:val="00863844"/>
    <w:rsid w:val="008638B9"/>
    <w:rsid w:val="00863A40"/>
    <w:rsid w:val="00863BDF"/>
    <w:rsid w:val="00863DBA"/>
    <w:rsid w:val="00863E0A"/>
    <w:rsid w:val="00863FE9"/>
    <w:rsid w:val="0086416A"/>
    <w:rsid w:val="00864254"/>
    <w:rsid w:val="0086444B"/>
    <w:rsid w:val="00864496"/>
    <w:rsid w:val="0086496B"/>
    <w:rsid w:val="008649EF"/>
    <w:rsid w:val="00865089"/>
    <w:rsid w:val="008651A1"/>
    <w:rsid w:val="00865372"/>
    <w:rsid w:val="00865498"/>
    <w:rsid w:val="0086563D"/>
    <w:rsid w:val="008659C2"/>
    <w:rsid w:val="00865C03"/>
    <w:rsid w:val="00865CF5"/>
    <w:rsid w:val="00865D7B"/>
    <w:rsid w:val="00866044"/>
    <w:rsid w:val="00866403"/>
    <w:rsid w:val="00866533"/>
    <w:rsid w:val="00866537"/>
    <w:rsid w:val="00866778"/>
    <w:rsid w:val="008667C8"/>
    <w:rsid w:val="0086693B"/>
    <w:rsid w:val="00866976"/>
    <w:rsid w:val="00866A99"/>
    <w:rsid w:val="00866F0E"/>
    <w:rsid w:val="008672F0"/>
    <w:rsid w:val="008677B0"/>
    <w:rsid w:val="00867886"/>
    <w:rsid w:val="008678D8"/>
    <w:rsid w:val="008679C4"/>
    <w:rsid w:val="00867B94"/>
    <w:rsid w:val="00867BC3"/>
    <w:rsid w:val="00867C7F"/>
    <w:rsid w:val="00867CE7"/>
    <w:rsid w:val="00870012"/>
    <w:rsid w:val="0087001C"/>
    <w:rsid w:val="0087002B"/>
    <w:rsid w:val="0087009D"/>
    <w:rsid w:val="00870121"/>
    <w:rsid w:val="00870204"/>
    <w:rsid w:val="00870367"/>
    <w:rsid w:val="00870382"/>
    <w:rsid w:val="0087039A"/>
    <w:rsid w:val="008703E7"/>
    <w:rsid w:val="00870865"/>
    <w:rsid w:val="008709EA"/>
    <w:rsid w:val="00870CF9"/>
    <w:rsid w:val="00870D66"/>
    <w:rsid w:val="00870D9C"/>
    <w:rsid w:val="0087111C"/>
    <w:rsid w:val="008712C6"/>
    <w:rsid w:val="00871792"/>
    <w:rsid w:val="008718DC"/>
    <w:rsid w:val="008719CE"/>
    <w:rsid w:val="00871F89"/>
    <w:rsid w:val="00871FC0"/>
    <w:rsid w:val="00872890"/>
    <w:rsid w:val="008729E2"/>
    <w:rsid w:val="00872CB4"/>
    <w:rsid w:val="00872DA6"/>
    <w:rsid w:val="00872EE7"/>
    <w:rsid w:val="00872FB9"/>
    <w:rsid w:val="008730C5"/>
    <w:rsid w:val="00873309"/>
    <w:rsid w:val="008733E7"/>
    <w:rsid w:val="008735B9"/>
    <w:rsid w:val="0087363E"/>
    <w:rsid w:val="00873699"/>
    <w:rsid w:val="00873803"/>
    <w:rsid w:val="0087389C"/>
    <w:rsid w:val="0087396D"/>
    <w:rsid w:val="00873C7F"/>
    <w:rsid w:val="00873D38"/>
    <w:rsid w:val="00873FFF"/>
    <w:rsid w:val="00874045"/>
    <w:rsid w:val="00874070"/>
    <w:rsid w:val="008742A5"/>
    <w:rsid w:val="00874333"/>
    <w:rsid w:val="008744E0"/>
    <w:rsid w:val="00874743"/>
    <w:rsid w:val="008747C9"/>
    <w:rsid w:val="00874942"/>
    <w:rsid w:val="00874ACF"/>
    <w:rsid w:val="00874D10"/>
    <w:rsid w:val="00874FB1"/>
    <w:rsid w:val="008751D7"/>
    <w:rsid w:val="0087533F"/>
    <w:rsid w:val="00875645"/>
    <w:rsid w:val="00875723"/>
    <w:rsid w:val="0087575E"/>
    <w:rsid w:val="008757E9"/>
    <w:rsid w:val="00875909"/>
    <w:rsid w:val="008759F7"/>
    <w:rsid w:val="00875B33"/>
    <w:rsid w:val="00875CA4"/>
    <w:rsid w:val="00875D1B"/>
    <w:rsid w:val="00875ED9"/>
    <w:rsid w:val="00875F84"/>
    <w:rsid w:val="00876059"/>
    <w:rsid w:val="008760CA"/>
    <w:rsid w:val="008761CC"/>
    <w:rsid w:val="008761DF"/>
    <w:rsid w:val="00876305"/>
    <w:rsid w:val="00876478"/>
    <w:rsid w:val="00876482"/>
    <w:rsid w:val="00876A57"/>
    <w:rsid w:val="00876D45"/>
    <w:rsid w:val="00876DE2"/>
    <w:rsid w:val="00876E41"/>
    <w:rsid w:val="00876F67"/>
    <w:rsid w:val="0087704E"/>
    <w:rsid w:val="0087715C"/>
    <w:rsid w:val="0087717C"/>
    <w:rsid w:val="008773AA"/>
    <w:rsid w:val="00877607"/>
    <w:rsid w:val="00877757"/>
    <w:rsid w:val="0087789B"/>
    <w:rsid w:val="00877952"/>
    <w:rsid w:val="00877A42"/>
    <w:rsid w:val="00877DB0"/>
    <w:rsid w:val="00877EC6"/>
    <w:rsid w:val="00880057"/>
    <w:rsid w:val="0088005D"/>
    <w:rsid w:val="00880152"/>
    <w:rsid w:val="008802A9"/>
    <w:rsid w:val="0088047E"/>
    <w:rsid w:val="008804B1"/>
    <w:rsid w:val="008805AC"/>
    <w:rsid w:val="00880763"/>
    <w:rsid w:val="008807B1"/>
    <w:rsid w:val="008809BB"/>
    <w:rsid w:val="00880A8E"/>
    <w:rsid w:val="00880B0B"/>
    <w:rsid w:val="00880B7F"/>
    <w:rsid w:val="00880D13"/>
    <w:rsid w:val="00880D8D"/>
    <w:rsid w:val="00880E16"/>
    <w:rsid w:val="0088111B"/>
    <w:rsid w:val="0088124E"/>
    <w:rsid w:val="0088129E"/>
    <w:rsid w:val="0088162F"/>
    <w:rsid w:val="00881711"/>
    <w:rsid w:val="00881780"/>
    <w:rsid w:val="008817DC"/>
    <w:rsid w:val="0088196C"/>
    <w:rsid w:val="00881CC8"/>
    <w:rsid w:val="00881E3F"/>
    <w:rsid w:val="00882487"/>
    <w:rsid w:val="0088279A"/>
    <w:rsid w:val="00882B43"/>
    <w:rsid w:val="00882B61"/>
    <w:rsid w:val="00882C12"/>
    <w:rsid w:val="00882D6F"/>
    <w:rsid w:val="00882E8C"/>
    <w:rsid w:val="00883226"/>
    <w:rsid w:val="00883323"/>
    <w:rsid w:val="008833C2"/>
    <w:rsid w:val="00883421"/>
    <w:rsid w:val="0088366A"/>
    <w:rsid w:val="00883D61"/>
    <w:rsid w:val="00884161"/>
    <w:rsid w:val="008842DD"/>
    <w:rsid w:val="008845D1"/>
    <w:rsid w:val="00884624"/>
    <w:rsid w:val="00884899"/>
    <w:rsid w:val="008848F2"/>
    <w:rsid w:val="00884DC9"/>
    <w:rsid w:val="008850D0"/>
    <w:rsid w:val="0088518D"/>
    <w:rsid w:val="0088522F"/>
    <w:rsid w:val="00885417"/>
    <w:rsid w:val="008854C1"/>
    <w:rsid w:val="0088568D"/>
    <w:rsid w:val="008856D0"/>
    <w:rsid w:val="008856E5"/>
    <w:rsid w:val="008857A0"/>
    <w:rsid w:val="008857BC"/>
    <w:rsid w:val="00885AE6"/>
    <w:rsid w:val="00885BF8"/>
    <w:rsid w:val="00885DA9"/>
    <w:rsid w:val="00885E8F"/>
    <w:rsid w:val="00886050"/>
    <w:rsid w:val="008861A8"/>
    <w:rsid w:val="008863AB"/>
    <w:rsid w:val="0088655C"/>
    <w:rsid w:val="0088667F"/>
    <w:rsid w:val="00886687"/>
    <w:rsid w:val="00886973"/>
    <w:rsid w:val="00886BB4"/>
    <w:rsid w:val="00886BEE"/>
    <w:rsid w:val="00886C03"/>
    <w:rsid w:val="00886F91"/>
    <w:rsid w:val="00887378"/>
    <w:rsid w:val="00887642"/>
    <w:rsid w:val="00887776"/>
    <w:rsid w:val="008879E7"/>
    <w:rsid w:val="00887AF0"/>
    <w:rsid w:val="00887B1A"/>
    <w:rsid w:val="00887D7A"/>
    <w:rsid w:val="00887E12"/>
    <w:rsid w:val="00887E1C"/>
    <w:rsid w:val="0088EE6A"/>
    <w:rsid w:val="008900B9"/>
    <w:rsid w:val="0089017D"/>
    <w:rsid w:val="0089020F"/>
    <w:rsid w:val="00890302"/>
    <w:rsid w:val="00890464"/>
    <w:rsid w:val="00890498"/>
    <w:rsid w:val="00890B42"/>
    <w:rsid w:val="00890C15"/>
    <w:rsid w:val="00890C2D"/>
    <w:rsid w:val="00890CEA"/>
    <w:rsid w:val="00890F62"/>
    <w:rsid w:val="00891050"/>
    <w:rsid w:val="008912C5"/>
    <w:rsid w:val="00891336"/>
    <w:rsid w:val="008913C7"/>
    <w:rsid w:val="00891694"/>
    <w:rsid w:val="0089183A"/>
    <w:rsid w:val="008918DD"/>
    <w:rsid w:val="00891984"/>
    <w:rsid w:val="00891AD3"/>
    <w:rsid w:val="00891B96"/>
    <w:rsid w:val="00891BDF"/>
    <w:rsid w:val="00891CA9"/>
    <w:rsid w:val="00891F3C"/>
    <w:rsid w:val="00892292"/>
    <w:rsid w:val="00892356"/>
    <w:rsid w:val="008929B6"/>
    <w:rsid w:val="00892ACE"/>
    <w:rsid w:val="00893212"/>
    <w:rsid w:val="008933E4"/>
    <w:rsid w:val="0089360F"/>
    <w:rsid w:val="00893973"/>
    <w:rsid w:val="00893A76"/>
    <w:rsid w:val="00893C94"/>
    <w:rsid w:val="00893FE0"/>
    <w:rsid w:val="008942DF"/>
    <w:rsid w:val="008944AF"/>
    <w:rsid w:val="00894619"/>
    <w:rsid w:val="00894705"/>
    <w:rsid w:val="0089478B"/>
    <w:rsid w:val="008949F9"/>
    <w:rsid w:val="00894BA5"/>
    <w:rsid w:val="00894C24"/>
    <w:rsid w:val="0089509E"/>
    <w:rsid w:val="0089519A"/>
    <w:rsid w:val="00895201"/>
    <w:rsid w:val="00895526"/>
    <w:rsid w:val="00895904"/>
    <w:rsid w:val="00895BD7"/>
    <w:rsid w:val="00895C84"/>
    <w:rsid w:val="00895CD5"/>
    <w:rsid w:val="008960FC"/>
    <w:rsid w:val="00896104"/>
    <w:rsid w:val="00896849"/>
    <w:rsid w:val="00896954"/>
    <w:rsid w:val="00896AF4"/>
    <w:rsid w:val="00897076"/>
    <w:rsid w:val="00897290"/>
    <w:rsid w:val="008973CA"/>
    <w:rsid w:val="008973E8"/>
    <w:rsid w:val="0089750C"/>
    <w:rsid w:val="00897744"/>
    <w:rsid w:val="00897774"/>
    <w:rsid w:val="0089783F"/>
    <w:rsid w:val="00897856"/>
    <w:rsid w:val="008979AB"/>
    <w:rsid w:val="00897A1C"/>
    <w:rsid w:val="00897C80"/>
    <w:rsid w:val="00897CED"/>
    <w:rsid w:val="00897DF6"/>
    <w:rsid w:val="00897E60"/>
    <w:rsid w:val="00897E9F"/>
    <w:rsid w:val="00897FA7"/>
    <w:rsid w:val="00897FD9"/>
    <w:rsid w:val="008A011B"/>
    <w:rsid w:val="008A038E"/>
    <w:rsid w:val="008A03BC"/>
    <w:rsid w:val="008A04F9"/>
    <w:rsid w:val="008A07F2"/>
    <w:rsid w:val="008A0857"/>
    <w:rsid w:val="008A0AB3"/>
    <w:rsid w:val="008A0C18"/>
    <w:rsid w:val="008A0C77"/>
    <w:rsid w:val="008A0F77"/>
    <w:rsid w:val="008A1068"/>
    <w:rsid w:val="008A113D"/>
    <w:rsid w:val="008A1568"/>
    <w:rsid w:val="008A157A"/>
    <w:rsid w:val="008A168C"/>
    <w:rsid w:val="008A17CF"/>
    <w:rsid w:val="008A1886"/>
    <w:rsid w:val="008A192E"/>
    <w:rsid w:val="008A193B"/>
    <w:rsid w:val="008A1980"/>
    <w:rsid w:val="008A19A3"/>
    <w:rsid w:val="008A1CCF"/>
    <w:rsid w:val="008A1E69"/>
    <w:rsid w:val="008A202D"/>
    <w:rsid w:val="008A2044"/>
    <w:rsid w:val="008A206E"/>
    <w:rsid w:val="008A2160"/>
    <w:rsid w:val="008A2189"/>
    <w:rsid w:val="008A2301"/>
    <w:rsid w:val="008A236B"/>
    <w:rsid w:val="008A25DB"/>
    <w:rsid w:val="008A2933"/>
    <w:rsid w:val="008A298F"/>
    <w:rsid w:val="008A2A1F"/>
    <w:rsid w:val="008A2A32"/>
    <w:rsid w:val="008A2BD3"/>
    <w:rsid w:val="008A2BE5"/>
    <w:rsid w:val="008A2D84"/>
    <w:rsid w:val="008A2EEC"/>
    <w:rsid w:val="008A32F8"/>
    <w:rsid w:val="008A330F"/>
    <w:rsid w:val="008A3365"/>
    <w:rsid w:val="008A33BF"/>
    <w:rsid w:val="008A3458"/>
    <w:rsid w:val="008A37E7"/>
    <w:rsid w:val="008A39DE"/>
    <w:rsid w:val="008A39EF"/>
    <w:rsid w:val="008A3D6F"/>
    <w:rsid w:val="008A3DAA"/>
    <w:rsid w:val="008A3EA3"/>
    <w:rsid w:val="008A3EEA"/>
    <w:rsid w:val="008A40E0"/>
    <w:rsid w:val="008A40F0"/>
    <w:rsid w:val="008A4101"/>
    <w:rsid w:val="008A455C"/>
    <w:rsid w:val="008A4760"/>
    <w:rsid w:val="008A47C6"/>
    <w:rsid w:val="008A4937"/>
    <w:rsid w:val="008A49DB"/>
    <w:rsid w:val="008A4A71"/>
    <w:rsid w:val="008A4B1B"/>
    <w:rsid w:val="008A4F64"/>
    <w:rsid w:val="008A4F76"/>
    <w:rsid w:val="008A4FC0"/>
    <w:rsid w:val="008A5214"/>
    <w:rsid w:val="008A53C6"/>
    <w:rsid w:val="008A58F2"/>
    <w:rsid w:val="008A59FA"/>
    <w:rsid w:val="008A5A89"/>
    <w:rsid w:val="008A6222"/>
    <w:rsid w:val="008A639E"/>
    <w:rsid w:val="008A63EA"/>
    <w:rsid w:val="008A66CD"/>
    <w:rsid w:val="008A6793"/>
    <w:rsid w:val="008A67A8"/>
    <w:rsid w:val="008A67E1"/>
    <w:rsid w:val="008A685F"/>
    <w:rsid w:val="008A6944"/>
    <w:rsid w:val="008A6A38"/>
    <w:rsid w:val="008A6C6E"/>
    <w:rsid w:val="008A700A"/>
    <w:rsid w:val="008A7876"/>
    <w:rsid w:val="008A791F"/>
    <w:rsid w:val="008A7AFA"/>
    <w:rsid w:val="008A7B42"/>
    <w:rsid w:val="008A7CCD"/>
    <w:rsid w:val="008A7E10"/>
    <w:rsid w:val="008A7F4B"/>
    <w:rsid w:val="008B0046"/>
    <w:rsid w:val="008B03F1"/>
    <w:rsid w:val="008B0511"/>
    <w:rsid w:val="008B065E"/>
    <w:rsid w:val="008B07EC"/>
    <w:rsid w:val="008B09F7"/>
    <w:rsid w:val="008B0D29"/>
    <w:rsid w:val="008B0F78"/>
    <w:rsid w:val="008B0FCC"/>
    <w:rsid w:val="008B11A1"/>
    <w:rsid w:val="008B1546"/>
    <w:rsid w:val="008B1583"/>
    <w:rsid w:val="008B15F0"/>
    <w:rsid w:val="008B16A3"/>
    <w:rsid w:val="008B1758"/>
    <w:rsid w:val="008B17D1"/>
    <w:rsid w:val="008B1C36"/>
    <w:rsid w:val="008B1E3A"/>
    <w:rsid w:val="008B20D9"/>
    <w:rsid w:val="008B21C5"/>
    <w:rsid w:val="008B239C"/>
    <w:rsid w:val="008B23DF"/>
    <w:rsid w:val="008B29F0"/>
    <w:rsid w:val="008B2C64"/>
    <w:rsid w:val="008B2D0E"/>
    <w:rsid w:val="008B2DA0"/>
    <w:rsid w:val="008B2EC5"/>
    <w:rsid w:val="008B31B0"/>
    <w:rsid w:val="008B329E"/>
    <w:rsid w:val="008B33A0"/>
    <w:rsid w:val="008B3420"/>
    <w:rsid w:val="008B379B"/>
    <w:rsid w:val="008B3D1B"/>
    <w:rsid w:val="008B3D49"/>
    <w:rsid w:val="008B3E3F"/>
    <w:rsid w:val="008B4346"/>
    <w:rsid w:val="008B45B2"/>
    <w:rsid w:val="008B463B"/>
    <w:rsid w:val="008B47EF"/>
    <w:rsid w:val="008B48AF"/>
    <w:rsid w:val="008B48CC"/>
    <w:rsid w:val="008B494B"/>
    <w:rsid w:val="008B4D30"/>
    <w:rsid w:val="008B4DAB"/>
    <w:rsid w:val="008B4E56"/>
    <w:rsid w:val="008B4FE0"/>
    <w:rsid w:val="008B5111"/>
    <w:rsid w:val="008B5351"/>
    <w:rsid w:val="008B53D2"/>
    <w:rsid w:val="008B5525"/>
    <w:rsid w:val="008B55D6"/>
    <w:rsid w:val="008B55E6"/>
    <w:rsid w:val="008B5729"/>
    <w:rsid w:val="008B58A8"/>
    <w:rsid w:val="008B5E3B"/>
    <w:rsid w:val="008B5FE3"/>
    <w:rsid w:val="008B6028"/>
    <w:rsid w:val="008B6270"/>
    <w:rsid w:val="008B6320"/>
    <w:rsid w:val="008B6567"/>
    <w:rsid w:val="008B6593"/>
    <w:rsid w:val="008B65E7"/>
    <w:rsid w:val="008B66F5"/>
    <w:rsid w:val="008B69B4"/>
    <w:rsid w:val="008B6C4B"/>
    <w:rsid w:val="008B6CC9"/>
    <w:rsid w:val="008B6CD9"/>
    <w:rsid w:val="008B6E19"/>
    <w:rsid w:val="008B6EDF"/>
    <w:rsid w:val="008B6F77"/>
    <w:rsid w:val="008B720B"/>
    <w:rsid w:val="008B73FD"/>
    <w:rsid w:val="008B7523"/>
    <w:rsid w:val="008B7742"/>
    <w:rsid w:val="008B7805"/>
    <w:rsid w:val="008B7A64"/>
    <w:rsid w:val="008B7A71"/>
    <w:rsid w:val="008B7DDE"/>
    <w:rsid w:val="008B7EFC"/>
    <w:rsid w:val="008B7FD5"/>
    <w:rsid w:val="008B7FF1"/>
    <w:rsid w:val="008B8211"/>
    <w:rsid w:val="008C0082"/>
    <w:rsid w:val="008C016C"/>
    <w:rsid w:val="008C04EF"/>
    <w:rsid w:val="008C0590"/>
    <w:rsid w:val="008C0C4B"/>
    <w:rsid w:val="008C0DC0"/>
    <w:rsid w:val="008C0FF8"/>
    <w:rsid w:val="008C11AF"/>
    <w:rsid w:val="008C11F9"/>
    <w:rsid w:val="008C144D"/>
    <w:rsid w:val="008C159B"/>
    <w:rsid w:val="008C1608"/>
    <w:rsid w:val="008C169C"/>
    <w:rsid w:val="008C1845"/>
    <w:rsid w:val="008C191C"/>
    <w:rsid w:val="008C1A17"/>
    <w:rsid w:val="008C1A26"/>
    <w:rsid w:val="008C1DCA"/>
    <w:rsid w:val="008C2226"/>
    <w:rsid w:val="008C250F"/>
    <w:rsid w:val="008C2565"/>
    <w:rsid w:val="008C25EE"/>
    <w:rsid w:val="008C26FA"/>
    <w:rsid w:val="008C272F"/>
    <w:rsid w:val="008C29F6"/>
    <w:rsid w:val="008C2C10"/>
    <w:rsid w:val="008C2CDC"/>
    <w:rsid w:val="008C38B0"/>
    <w:rsid w:val="008C38D4"/>
    <w:rsid w:val="008C39C4"/>
    <w:rsid w:val="008C3A6B"/>
    <w:rsid w:val="008C3C92"/>
    <w:rsid w:val="008C3D2F"/>
    <w:rsid w:val="008C4010"/>
    <w:rsid w:val="008C425F"/>
    <w:rsid w:val="008C441C"/>
    <w:rsid w:val="008C45C7"/>
    <w:rsid w:val="008C498E"/>
    <w:rsid w:val="008C4C7A"/>
    <w:rsid w:val="008C4E0C"/>
    <w:rsid w:val="008C4E70"/>
    <w:rsid w:val="008C508A"/>
    <w:rsid w:val="008C522A"/>
    <w:rsid w:val="008C5294"/>
    <w:rsid w:val="008C545F"/>
    <w:rsid w:val="008C558E"/>
    <w:rsid w:val="008C5978"/>
    <w:rsid w:val="008C5A5E"/>
    <w:rsid w:val="008C5B26"/>
    <w:rsid w:val="008C5E82"/>
    <w:rsid w:val="008C5EF1"/>
    <w:rsid w:val="008C60EF"/>
    <w:rsid w:val="008C6805"/>
    <w:rsid w:val="008C68DE"/>
    <w:rsid w:val="008C6B6B"/>
    <w:rsid w:val="008C6C20"/>
    <w:rsid w:val="008C6D23"/>
    <w:rsid w:val="008C6EFD"/>
    <w:rsid w:val="008C71A1"/>
    <w:rsid w:val="008C738E"/>
    <w:rsid w:val="008C740C"/>
    <w:rsid w:val="008C74F5"/>
    <w:rsid w:val="008C76E5"/>
    <w:rsid w:val="008C7774"/>
    <w:rsid w:val="008C78A1"/>
    <w:rsid w:val="008C798C"/>
    <w:rsid w:val="008C7B36"/>
    <w:rsid w:val="008C7E75"/>
    <w:rsid w:val="008D026B"/>
    <w:rsid w:val="008D0350"/>
    <w:rsid w:val="008D0C5A"/>
    <w:rsid w:val="008D0E1A"/>
    <w:rsid w:val="008D1226"/>
    <w:rsid w:val="008D12D7"/>
    <w:rsid w:val="008D1787"/>
    <w:rsid w:val="008D200E"/>
    <w:rsid w:val="008D2644"/>
    <w:rsid w:val="008D26D2"/>
    <w:rsid w:val="008D28E4"/>
    <w:rsid w:val="008D29C9"/>
    <w:rsid w:val="008D2A12"/>
    <w:rsid w:val="008D2A89"/>
    <w:rsid w:val="008D2B16"/>
    <w:rsid w:val="008D2B2D"/>
    <w:rsid w:val="008D2D16"/>
    <w:rsid w:val="008D2E83"/>
    <w:rsid w:val="008D2ECC"/>
    <w:rsid w:val="008D3A3D"/>
    <w:rsid w:val="008D3A6E"/>
    <w:rsid w:val="008D3B4C"/>
    <w:rsid w:val="008D3C6E"/>
    <w:rsid w:val="008D3CD7"/>
    <w:rsid w:val="008D3EC8"/>
    <w:rsid w:val="008D3EF6"/>
    <w:rsid w:val="008D425F"/>
    <w:rsid w:val="008D4434"/>
    <w:rsid w:val="008D45F9"/>
    <w:rsid w:val="008D4681"/>
    <w:rsid w:val="008D46C4"/>
    <w:rsid w:val="008D4A0A"/>
    <w:rsid w:val="008D4EAE"/>
    <w:rsid w:val="008D4FEF"/>
    <w:rsid w:val="008D5110"/>
    <w:rsid w:val="008D5134"/>
    <w:rsid w:val="008D519C"/>
    <w:rsid w:val="008D5447"/>
    <w:rsid w:val="008D5461"/>
    <w:rsid w:val="008D5707"/>
    <w:rsid w:val="008D5A83"/>
    <w:rsid w:val="008D5B85"/>
    <w:rsid w:val="008D5E89"/>
    <w:rsid w:val="008D5EF3"/>
    <w:rsid w:val="008D5F0E"/>
    <w:rsid w:val="008D60B4"/>
    <w:rsid w:val="008D60D3"/>
    <w:rsid w:val="008D626E"/>
    <w:rsid w:val="008D62C0"/>
    <w:rsid w:val="008D66BE"/>
    <w:rsid w:val="008D66FE"/>
    <w:rsid w:val="008D6732"/>
    <w:rsid w:val="008D67E9"/>
    <w:rsid w:val="008D67F7"/>
    <w:rsid w:val="008D6C5D"/>
    <w:rsid w:val="008D6F52"/>
    <w:rsid w:val="008D6F5D"/>
    <w:rsid w:val="008D704E"/>
    <w:rsid w:val="008D70F0"/>
    <w:rsid w:val="008D710A"/>
    <w:rsid w:val="008D71D0"/>
    <w:rsid w:val="008D71F1"/>
    <w:rsid w:val="008D75F3"/>
    <w:rsid w:val="008D767B"/>
    <w:rsid w:val="008D78CB"/>
    <w:rsid w:val="008D7B3B"/>
    <w:rsid w:val="008D7DC5"/>
    <w:rsid w:val="008E030C"/>
    <w:rsid w:val="008E0357"/>
    <w:rsid w:val="008E03DB"/>
    <w:rsid w:val="008E0C2B"/>
    <w:rsid w:val="008E0C4A"/>
    <w:rsid w:val="008E0C85"/>
    <w:rsid w:val="008E0FFE"/>
    <w:rsid w:val="008E1018"/>
    <w:rsid w:val="008E10BB"/>
    <w:rsid w:val="008E113D"/>
    <w:rsid w:val="008E115D"/>
    <w:rsid w:val="008E116A"/>
    <w:rsid w:val="008E1508"/>
    <w:rsid w:val="008E16E8"/>
    <w:rsid w:val="008E1744"/>
    <w:rsid w:val="008E1813"/>
    <w:rsid w:val="008E188A"/>
    <w:rsid w:val="008E18AE"/>
    <w:rsid w:val="008E1C7A"/>
    <w:rsid w:val="008E1EF0"/>
    <w:rsid w:val="008E2018"/>
    <w:rsid w:val="008E232A"/>
    <w:rsid w:val="008E2359"/>
    <w:rsid w:val="008E23D5"/>
    <w:rsid w:val="008E26C2"/>
    <w:rsid w:val="008E26C8"/>
    <w:rsid w:val="008E275C"/>
    <w:rsid w:val="008E277A"/>
    <w:rsid w:val="008E27DB"/>
    <w:rsid w:val="008E27DE"/>
    <w:rsid w:val="008E280E"/>
    <w:rsid w:val="008E2813"/>
    <w:rsid w:val="008E2858"/>
    <w:rsid w:val="008E28DA"/>
    <w:rsid w:val="008E295D"/>
    <w:rsid w:val="008E2B83"/>
    <w:rsid w:val="008E2C26"/>
    <w:rsid w:val="008E2CF0"/>
    <w:rsid w:val="008E31D3"/>
    <w:rsid w:val="008E3221"/>
    <w:rsid w:val="008E3513"/>
    <w:rsid w:val="008E35C7"/>
    <w:rsid w:val="008E3708"/>
    <w:rsid w:val="008E39DC"/>
    <w:rsid w:val="008E3AC3"/>
    <w:rsid w:val="008E3B32"/>
    <w:rsid w:val="008E3C00"/>
    <w:rsid w:val="008E3C42"/>
    <w:rsid w:val="008E3DA5"/>
    <w:rsid w:val="008E3EB3"/>
    <w:rsid w:val="008E402D"/>
    <w:rsid w:val="008E4379"/>
    <w:rsid w:val="008E480E"/>
    <w:rsid w:val="008E48FA"/>
    <w:rsid w:val="008E49E0"/>
    <w:rsid w:val="008E4B8A"/>
    <w:rsid w:val="008E4E99"/>
    <w:rsid w:val="008E4E9D"/>
    <w:rsid w:val="008E50F7"/>
    <w:rsid w:val="008E5324"/>
    <w:rsid w:val="008E5A42"/>
    <w:rsid w:val="008E5B13"/>
    <w:rsid w:val="008E5DA2"/>
    <w:rsid w:val="008E5DF8"/>
    <w:rsid w:val="008E5EEC"/>
    <w:rsid w:val="008E5F86"/>
    <w:rsid w:val="008E5FB0"/>
    <w:rsid w:val="008E6045"/>
    <w:rsid w:val="008E61BA"/>
    <w:rsid w:val="008E624A"/>
    <w:rsid w:val="008E6484"/>
    <w:rsid w:val="008E66ED"/>
    <w:rsid w:val="008E6828"/>
    <w:rsid w:val="008E6A17"/>
    <w:rsid w:val="008E6B00"/>
    <w:rsid w:val="008E6C36"/>
    <w:rsid w:val="008E6C85"/>
    <w:rsid w:val="008E6C95"/>
    <w:rsid w:val="008E6E3E"/>
    <w:rsid w:val="008E7029"/>
    <w:rsid w:val="008E70C9"/>
    <w:rsid w:val="008E711C"/>
    <w:rsid w:val="008E7306"/>
    <w:rsid w:val="008E73E2"/>
    <w:rsid w:val="008E775B"/>
    <w:rsid w:val="008E7838"/>
    <w:rsid w:val="008E7986"/>
    <w:rsid w:val="008E7B52"/>
    <w:rsid w:val="008E7B90"/>
    <w:rsid w:val="008E7E30"/>
    <w:rsid w:val="008F0038"/>
    <w:rsid w:val="008F019F"/>
    <w:rsid w:val="008F02AA"/>
    <w:rsid w:val="008F06DE"/>
    <w:rsid w:val="008F0706"/>
    <w:rsid w:val="008F0772"/>
    <w:rsid w:val="008F09FE"/>
    <w:rsid w:val="008F0A5B"/>
    <w:rsid w:val="008F0B37"/>
    <w:rsid w:val="008F0C3B"/>
    <w:rsid w:val="008F0E8B"/>
    <w:rsid w:val="008F0F34"/>
    <w:rsid w:val="008F0FB8"/>
    <w:rsid w:val="008F1025"/>
    <w:rsid w:val="008F12FA"/>
    <w:rsid w:val="008F1367"/>
    <w:rsid w:val="008F164D"/>
    <w:rsid w:val="008F16A8"/>
    <w:rsid w:val="008F16D4"/>
    <w:rsid w:val="008F17AB"/>
    <w:rsid w:val="008F18C9"/>
    <w:rsid w:val="008F18EF"/>
    <w:rsid w:val="008F18F1"/>
    <w:rsid w:val="008F1B91"/>
    <w:rsid w:val="008F1C34"/>
    <w:rsid w:val="008F1D21"/>
    <w:rsid w:val="008F1EC5"/>
    <w:rsid w:val="008F1ED0"/>
    <w:rsid w:val="008F2015"/>
    <w:rsid w:val="008F203A"/>
    <w:rsid w:val="008F20C3"/>
    <w:rsid w:val="008F2409"/>
    <w:rsid w:val="008F26A9"/>
    <w:rsid w:val="008F26AF"/>
    <w:rsid w:val="008F26D8"/>
    <w:rsid w:val="008F271C"/>
    <w:rsid w:val="008F2780"/>
    <w:rsid w:val="008F2876"/>
    <w:rsid w:val="008F2BB6"/>
    <w:rsid w:val="008F2BF8"/>
    <w:rsid w:val="008F2EBB"/>
    <w:rsid w:val="008F3147"/>
    <w:rsid w:val="008F32EF"/>
    <w:rsid w:val="008F33A5"/>
    <w:rsid w:val="008F353B"/>
    <w:rsid w:val="008F36DE"/>
    <w:rsid w:val="008F37BC"/>
    <w:rsid w:val="008F3BBD"/>
    <w:rsid w:val="008F3BBF"/>
    <w:rsid w:val="008F3D13"/>
    <w:rsid w:val="008F3EC7"/>
    <w:rsid w:val="008F3F4A"/>
    <w:rsid w:val="008F4221"/>
    <w:rsid w:val="008F42AB"/>
    <w:rsid w:val="008F4434"/>
    <w:rsid w:val="008F476A"/>
    <w:rsid w:val="008F48BC"/>
    <w:rsid w:val="008F4A44"/>
    <w:rsid w:val="008F4ACA"/>
    <w:rsid w:val="008F4B69"/>
    <w:rsid w:val="008F4BA3"/>
    <w:rsid w:val="008F4BE3"/>
    <w:rsid w:val="008F4D8E"/>
    <w:rsid w:val="008F4F9F"/>
    <w:rsid w:val="008F51E2"/>
    <w:rsid w:val="008F52C0"/>
    <w:rsid w:val="008F56C4"/>
    <w:rsid w:val="008F57E0"/>
    <w:rsid w:val="008F5838"/>
    <w:rsid w:val="008F59ED"/>
    <w:rsid w:val="008F5A41"/>
    <w:rsid w:val="008F5ACE"/>
    <w:rsid w:val="008F5BA4"/>
    <w:rsid w:val="008F5D0B"/>
    <w:rsid w:val="008F5D3A"/>
    <w:rsid w:val="008F5E8E"/>
    <w:rsid w:val="008F5FDD"/>
    <w:rsid w:val="008F6009"/>
    <w:rsid w:val="008F6033"/>
    <w:rsid w:val="008F6362"/>
    <w:rsid w:val="008F64A0"/>
    <w:rsid w:val="008F6523"/>
    <w:rsid w:val="008F663B"/>
    <w:rsid w:val="008F6718"/>
    <w:rsid w:val="008F67EE"/>
    <w:rsid w:val="008F6950"/>
    <w:rsid w:val="008F6967"/>
    <w:rsid w:val="008F6A8D"/>
    <w:rsid w:val="008F6CF3"/>
    <w:rsid w:val="008F6CF4"/>
    <w:rsid w:val="008F6F11"/>
    <w:rsid w:val="008F6F75"/>
    <w:rsid w:val="008F714E"/>
    <w:rsid w:val="008F7438"/>
    <w:rsid w:val="008F74D7"/>
    <w:rsid w:val="008F75BF"/>
    <w:rsid w:val="008F774B"/>
    <w:rsid w:val="008F78D6"/>
    <w:rsid w:val="008F7972"/>
    <w:rsid w:val="008F7ACB"/>
    <w:rsid w:val="008F7D2E"/>
    <w:rsid w:val="008F7FDE"/>
    <w:rsid w:val="008F7FF7"/>
    <w:rsid w:val="00900052"/>
    <w:rsid w:val="00900105"/>
    <w:rsid w:val="009003A8"/>
    <w:rsid w:val="0090040D"/>
    <w:rsid w:val="009005F0"/>
    <w:rsid w:val="00900B2B"/>
    <w:rsid w:val="00900C8B"/>
    <w:rsid w:val="00900CFB"/>
    <w:rsid w:val="00900F14"/>
    <w:rsid w:val="00900F24"/>
    <w:rsid w:val="00901321"/>
    <w:rsid w:val="00901795"/>
    <w:rsid w:val="009017AE"/>
    <w:rsid w:val="009018F0"/>
    <w:rsid w:val="00901A24"/>
    <w:rsid w:val="00901B89"/>
    <w:rsid w:val="00901BB9"/>
    <w:rsid w:val="00901C2C"/>
    <w:rsid w:val="00901F87"/>
    <w:rsid w:val="00901F8B"/>
    <w:rsid w:val="00902199"/>
    <w:rsid w:val="0090232A"/>
    <w:rsid w:val="00902612"/>
    <w:rsid w:val="00902890"/>
    <w:rsid w:val="00902991"/>
    <w:rsid w:val="00902A41"/>
    <w:rsid w:val="00902A7D"/>
    <w:rsid w:val="00902DF9"/>
    <w:rsid w:val="00902FA0"/>
    <w:rsid w:val="00903019"/>
    <w:rsid w:val="009033D1"/>
    <w:rsid w:val="00903435"/>
    <w:rsid w:val="009036B9"/>
    <w:rsid w:val="00903812"/>
    <w:rsid w:val="00903AA3"/>
    <w:rsid w:val="00903B46"/>
    <w:rsid w:val="00903C3E"/>
    <w:rsid w:val="0090408C"/>
    <w:rsid w:val="0090411D"/>
    <w:rsid w:val="009042BB"/>
    <w:rsid w:val="009045A5"/>
    <w:rsid w:val="00904963"/>
    <w:rsid w:val="009049EE"/>
    <w:rsid w:val="00904ACD"/>
    <w:rsid w:val="00904B3F"/>
    <w:rsid w:val="00904B8B"/>
    <w:rsid w:val="00904C07"/>
    <w:rsid w:val="00904E5B"/>
    <w:rsid w:val="00904E7A"/>
    <w:rsid w:val="00905011"/>
    <w:rsid w:val="00905020"/>
    <w:rsid w:val="009051A9"/>
    <w:rsid w:val="009051AC"/>
    <w:rsid w:val="00905231"/>
    <w:rsid w:val="009053B0"/>
    <w:rsid w:val="00905537"/>
    <w:rsid w:val="009055C1"/>
    <w:rsid w:val="00905603"/>
    <w:rsid w:val="00905929"/>
    <w:rsid w:val="00905E14"/>
    <w:rsid w:val="00905F2F"/>
    <w:rsid w:val="00906581"/>
    <w:rsid w:val="009065C0"/>
    <w:rsid w:val="009067BE"/>
    <w:rsid w:val="00906CD1"/>
    <w:rsid w:val="00906D1E"/>
    <w:rsid w:val="00906F27"/>
    <w:rsid w:val="00906F34"/>
    <w:rsid w:val="00906FAF"/>
    <w:rsid w:val="009070BD"/>
    <w:rsid w:val="009071A2"/>
    <w:rsid w:val="009073EF"/>
    <w:rsid w:val="009074ED"/>
    <w:rsid w:val="00907707"/>
    <w:rsid w:val="00907947"/>
    <w:rsid w:val="00907A2C"/>
    <w:rsid w:val="00907C6A"/>
    <w:rsid w:val="00907CA7"/>
    <w:rsid w:val="00907CE5"/>
    <w:rsid w:val="00907E6F"/>
    <w:rsid w:val="00907EAE"/>
    <w:rsid w:val="009101E2"/>
    <w:rsid w:val="00910220"/>
    <w:rsid w:val="009102F9"/>
    <w:rsid w:val="0091032A"/>
    <w:rsid w:val="0091036F"/>
    <w:rsid w:val="0091046E"/>
    <w:rsid w:val="009104D6"/>
    <w:rsid w:val="009106E0"/>
    <w:rsid w:val="00910752"/>
    <w:rsid w:val="009109E7"/>
    <w:rsid w:val="00910B5A"/>
    <w:rsid w:val="00911061"/>
    <w:rsid w:val="009111AD"/>
    <w:rsid w:val="00911322"/>
    <w:rsid w:val="009114E4"/>
    <w:rsid w:val="009115F9"/>
    <w:rsid w:val="0091161D"/>
    <w:rsid w:val="009116AF"/>
    <w:rsid w:val="00911789"/>
    <w:rsid w:val="00911858"/>
    <w:rsid w:val="0091198E"/>
    <w:rsid w:val="00912429"/>
    <w:rsid w:val="00912523"/>
    <w:rsid w:val="009126E7"/>
    <w:rsid w:val="0091284A"/>
    <w:rsid w:val="00912908"/>
    <w:rsid w:val="0091295E"/>
    <w:rsid w:val="009129D5"/>
    <w:rsid w:val="00912C30"/>
    <w:rsid w:val="00912F8F"/>
    <w:rsid w:val="00912FBF"/>
    <w:rsid w:val="00913263"/>
    <w:rsid w:val="009132C4"/>
    <w:rsid w:val="009133B3"/>
    <w:rsid w:val="00913479"/>
    <w:rsid w:val="009138AE"/>
    <w:rsid w:val="00913A24"/>
    <w:rsid w:val="00913AB5"/>
    <w:rsid w:val="00913F3A"/>
    <w:rsid w:val="009145BF"/>
    <w:rsid w:val="009145DA"/>
    <w:rsid w:val="009149D3"/>
    <w:rsid w:val="00914A6F"/>
    <w:rsid w:val="00914AB3"/>
    <w:rsid w:val="00914DA0"/>
    <w:rsid w:val="00914F33"/>
    <w:rsid w:val="0091515E"/>
    <w:rsid w:val="0091524F"/>
    <w:rsid w:val="0091537E"/>
    <w:rsid w:val="00915722"/>
    <w:rsid w:val="00915872"/>
    <w:rsid w:val="00915A8C"/>
    <w:rsid w:val="00915CE2"/>
    <w:rsid w:val="00915F18"/>
    <w:rsid w:val="009160BE"/>
    <w:rsid w:val="009160F6"/>
    <w:rsid w:val="00916512"/>
    <w:rsid w:val="0091660F"/>
    <w:rsid w:val="009166EB"/>
    <w:rsid w:val="0091677E"/>
    <w:rsid w:val="00916911"/>
    <w:rsid w:val="00916B54"/>
    <w:rsid w:val="00916CFE"/>
    <w:rsid w:val="00916D08"/>
    <w:rsid w:val="00916D61"/>
    <w:rsid w:val="00916DC5"/>
    <w:rsid w:val="00916E98"/>
    <w:rsid w:val="0091720D"/>
    <w:rsid w:val="009178F5"/>
    <w:rsid w:val="00917B3E"/>
    <w:rsid w:val="00917CD5"/>
    <w:rsid w:val="009201D9"/>
    <w:rsid w:val="00920302"/>
    <w:rsid w:val="0092035F"/>
    <w:rsid w:val="0092069D"/>
    <w:rsid w:val="009206FB"/>
    <w:rsid w:val="00920741"/>
    <w:rsid w:val="00920802"/>
    <w:rsid w:val="009208EC"/>
    <w:rsid w:val="00920C1C"/>
    <w:rsid w:val="00920D8D"/>
    <w:rsid w:val="00921209"/>
    <w:rsid w:val="009212C3"/>
    <w:rsid w:val="009212DB"/>
    <w:rsid w:val="00921768"/>
    <w:rsid w:val="00921842"/>
    <w:rsid w:val="00921A2A"/>
    <w:rsid w:val="00921A6F"/>
    <w:rsid w:val="00921CD1"/>
    <w:rsid w:val="00921CDE"/>
    <w:rsid w:val="00921D40"/>
    <w:rsid w:val="00921D57"/>
    <w:rsid w:val="00921E91"/>
    <w:rsid w:val="00921F76"/>
    <w:rsid w:val="00921F90"/>
    <w:rsid w:val="00922111"/>
    <w:rsid w:val="00922174"/>
    <w:rsid w:val="00922432"/>
    <w:rsid w:val="00922548"/>
    <w:rsid w:val="009226B2"/>
    <w:rsid w:val="0092285F"/>
    <w:rsid w:val="009228B0"/>
    <w:rsid w:val="0092294D"/>
    <w:rsid w:val="00922C55"/>
    <w:rsid w:val="00922EC4"/>
    <w:rsid w:val="00922EFA"/>
    <w:rsid w:val="009230D8"/>
    <w:rsid w:val="00923147"/>
    <w:rsid w:val="009233DB"/>
    <w:rsid w:val="009237CA"/>
    <w:rsid w:val="00923ADB"/>
    <w:rsid w:val="00923BE4"/>
    <w:rsid w:val="00923F6B"/>
    <w:rsid w:val="00924127"/>
    <w:rsid w:val="00924134"/>
    <w:rsid w:val="009242FA"/>
    <w:rsid w:val="009246A8"/>
    <w:rsid w:val="009247EA"/>
    <w:rsid w:val="00924829"/>
    <w:rsid w:val="0092499B"/>
    <w:rsid w:val="00924F3D"/>
    <w:rsid w:val="00924F78"/>
    <w:rsid w:val="00925238"/>
    <w:rsid w:val="00925442"/>
    <w:rsid w:val="009256A2"/>
    <w:rsid w:val="00925706"/>
    <w:rsid w:val="0092574B"/>
    <w:rsid w:val="0092581C"/>
    <w:rsid w:val="009258A1"/>
    <w:rsid w:val="009259AE"/>
    <w:rsid w:val="00925B16"/>
    <w:rsid w:val="00925E7B"/>
    <w:rsid w:val="00925F61"/>
    <w:rsid w:val="00926396"/>
    <w:rsid w:val="009265DB"/>
    <w:rsid w:val="009265F9"/>
    <w:rsid w:val="0092685C"/>
    <w:rsid w:val="00926B6C"/>
    <w:rsid w:val="00926D70"/>
    <w:rsid w:val="00926E22"/>
    <w:rsid w:val="00926EDE"/>
    <w:rsid w:val="009270B4"/>
    <w:rsid w:val="009272A7"/>
    <w:rsid w:val="009272D0"/>
    <w:rsid w:val="00927511"/>
    <w:rsid w:val="00927514"/>
    <w:rsid w:val="00927650"/>
    <w:rsid w:val="0092783E"/>
    <w:rsid w:val="009278BB"/>
    <w:rsid w:val="00927C0C"/>
    <w:rsid w:val="00927DFE"/>
    <w:rsid w:val="00927F96"/>
    <w:rsid w:val="00928E89"/>
    <w:rsid w:val="00930239"/>
    <w:rsid w:val="0093028C"/>
    <w:rsid w:val="00930292"/>
    <w:rsid w:val="00930604"/>
    <w:rsid w:val="00930677"/>
    <w:rsid w:val="0093079E"/>
    <w:rsid w:val="00930A57"/>
    <w:rsid w:val="00930FD5"/>
    <w:rsid w:val="009310C2"/>
    <w:rsid w:val="0093141E"/>
    <w:rsid w:val="0093144E"/>
    <w:rsid w:val="0093153D"/>
    <w:rsid w:val="009315B5"/>
    <w:rsid w:val="00931634"/>
    <w:rsid w:val="0093165A"/>
    <w:rsid w:val="009317BF"/>
    <w:rsid w:val="009319F7"/>
    <w:rsid w:val="00931AEF"/>
    <w:rsid w:val="00931B61"/>
    <w:rsid w:val="00931BD6"/>
    <w:rsid w:val="00931C01"/>
    <w:rsid w:val="00931DC1"/>
    <w:rsid w:val="00931F9A"/>
    <w:rsid w:val="00931FF1"/>
    <w:rsid w:val="00932132"/>
    <w:rsid w:val="0093217D"/>
    <w:rsid w:val="00932196"/>
    <w:rsid w:val="009321C2"/>
    <w:rsid w:val="00932207"/>
    <w:rsid w:val="0093222C"/>
    <w:rsid w:val="00932312"/>
    <w:rsid w:val="0093243F"/>
    <w:rsid w:val="00932828"/>
    <w:rsid w:val="00932833"/>
    <w:rsid w:val="00932E98"/>
    <w:rsid w:val="00933183"/>
    <w:rsid w:val="0093321A"/>
    <w:rsid w:val="009332D2"/>
    <w:rsid w:val="00933478"/>
    <w:rsid w:val="0093358D"/>
    <w:rsid w:val="00933762"/>
    <w:rsid w:val="00933816"/>
    <w:rsid w:val="0093389A"/>
    <w:rsid w:val="009338BD"/>
    <w:rsid w:val="00933A59"/>
    <w:rsid w:val="00933D37"/>
    <w:rsid w:val="00933DFA"/>
    <w:rsid w:val="00934220"/>
    <w:rsid w:val="00934450"/>
    <w:rsid w:val="009345A2"/>
    <w:rsid w:val="009348DA"/>
    <w:rsid w:val="00934A60"/>
    <w:rsid w:val="00934B7A"/>
    <w:rsid w:val="00934B7C"/>
    <w:rsid w:val="00934BA7"/>
    <w:rsid w:val="00934C0D"/>
    <w:rsid w:val="0093505F"/>
    <w:rsid w:val="00935077"/>
    <w:rsid w:val="0093529A"/>
    <w:rsid w:val="009352A8"/>
    <w:rsid w:val="009355C8"/>
    <w:rsid w:val="009357A5"/>
    <w:rsid w:val="009358A5"/>
    <w:rsid w:val="009358D6"/>
    <w:rsid w:val="00935962"/>
    <w:rsid w:val="009359D7"/>
    <w:rsid w:val="00935A58"/>
    <w:rsid w:val="00935B58"/>
    <w:rsid w:val="00935C35"/>
    <w:rsid w:val="00935C45"/>
    <w:rsid w:val="00935CE8"/>
    <w:rsid w:val="00935D8D"/>
    <w:rsid w:val="00936000"/>
    <w:rsid w:val="00936220"/>
    <w:rsid w:val="009363A5"/>
    <w:rsid w:val="009363CD"/>
    <w:rsid w:val="00936563"/>
    <w:rsid w:val="0093661E"/>
    <w:rsid w:val="00936673"/>
    <w:rsid w:val="0093678F"/>
    <w:rsid w:val="00936B92"/>
    <w:rsid w:val="00936D06"/>
    <w:rsid w:val="00936D4A"/>
    <w:rsid w:val="0093706E"/>
    <w:rsid w:val="0093707D"/>
    <w:rsid w:val="00937276"/>
    <w:rsid w:val="0093756B"/>
    <w:rsid w:val="00937774"/>
    <w:rsid w:val="009377D9"/>
    <w:rsid w:val="009379A3"/>
    <w:rsid w:val="00937C76"/>
    <w:rsid w:val="00937CDE"/>
    <w:rsid w:val="00937D86"/>
    <w:rsid w:val="00937D88"/>
    <w:rsid w:val="00937D9A"/>
    <w:rsid w:val="00937E2F"/>
    <w:rsid w:val="00937F73"/>
    <w:rsid w:val="0093BE6B"/>
    <w:rsid w:val="00940019"/>
    <w:rsid w:val="009400A0"/>
    <w:rsid w:val="00940113"/>
    <w:rsid w:val="009401B7"/>
    <w:rsid w:val="00940278"/>
    <w:rsid w:val="009403DF"/>
    <w:rsid w:val="009406B0"/>
    <w:rsid w:val="009409D1"/>
    <w:rsid w:val="00940B2C"/>
    <w:rsid w:val="00940B6D"/>
    <w:rsid w:val="00940F89"/>
    <w:rsid w:val="00941187"/>
    <w:rsid w:val="00941298"/>
    <w:rsid w:val="00941337"/>
    <w:rsid w:val="009413BA"/>
    <w:rsid w:val="00941541"/>
    <w:rsid w:val="0094155B"/>
    <w:rsid w:val="009415CB"/>
    <w:rsid w:val="00941846"/>
    <w:rsid w:val="00941A68"/>
    <w:rsid w:val="00941A98"/>
    <w:rsid w:val="00941B25"/>
    <w:rsid w:val="00941C63"/>
    <w:rsid w:val="00941EBE"/>
    <w:rsid w:val="00941F61"/>
    <w:rsid w:val="009421D7"/>
    <w:rsid w:val="009425E7"/>
    <w:rsid w:val="00942713"/>
    <w:rsid w:val="0094296F"/>
    <w:rsid w:val="00942976"/>
    <w:rsid w:val="00942A32"/>
    <w:rsid w:val="00942A8C"/>
    <w:rsid w:val="00942E78"/>
    <w:rsid w:val="00942F45"/>
    <w:rsid w:val="009434F6"/>
    <w:rsid w:val="009436D3"/>
    <w:rsid w:val="00943999"/>
    <w:rsid w:val="00943ABE"/>
    <w:rsid w:val="00943CFD"/>
    <w:rsid w:val="00943E24"/>
    <w:rsid w:val="00943E51"/>
    <w:rsid w:val="00943FBC"/>
    <w:rsid w:val="0094415C"/>
    <w:rsid w:val="009441C0"/>
    <w:rsid w:val="009442CC"/>
    <w:rsid w:val="009443A4"/>
    <w:rsid w:val="00944533"/>
    <w:rsid w:val="009445E8"/>
    <w:rsid w:val="009446E5"/>
    <w:rsid w:val="00944A0B"/>
    <w:rsid w:val="00944A2A"/>
    <w:rsid w:val="00944CBF"/>
    <w:rsid w:val="00944D2A"/>
    <w:rsid w:val="00944EAF"/>
    <w:rsid w:val="00944F09"/>
    <w:rsid w:val="00945406"/>
    <w:rsid w:val="00945477"/>
    <w:rsid w:val="009455C4"/>
    <w:rsid w:val="00945618"/>
    <w:rsid w:val="0094561A"/>
    <w:rsid w:val="00945632"/>
    <w:rsid w:val="00945956"/>
    <w:rsid w:val="00945A0C"/>
    <w:rsid w:val="00945A1D"/>
    <w:rsid w:val="00945B6F"/>
    <w:rsid w:val="00945D78"/>
    <w:rsid w:val="00945DCF"/>
    <w:rsid w:val="00945E65"/>
    <w:rsid w:val="0094602D"/>
    <w:rsid w:val="009460BA"/>
    <w:rsid w:val="0094610C"/>
    <w:rsid w:val="0094611D"/>
    <w:rsid w:val="009462B1"/>
    <w:rsid w:val="00946340"/>
    <w:rsid w:val="00946395"/>
    <w:rsid w:val="009464C2"/>
    <w:rsid w:val="00946736"/>
    <w:rsid w:val="00946814"/>
    <w:rsid w:val="0094681C"/>
    <w:rsid w:val="0094684E"/>
    <w:rsid w:val="009468C2"/>
    <w:rsid w:val="0094699E"/>
    <w:rsid w:val="00946C25"/>
    <w:rsid w:val="00946EC9"/>
    <w:rsid w:val="0094703C"/>
    <w:rsid w:val="009471B2"/>
    <w:rsid w:val="0094732C"/>
    <w:rsid w:val="009474C3"/>
    <w:rsid w:val="009478D7"/>
    <w:rsid w:val="00947A44"/>
    <w:rsid w:val="00947C61"/>
    <w:rsid w:val="00947F16"/>
    <w:rsid w:val="00947F91"/>
    <w:rsid w:val="00950112"/>
    <w:rsid w:val="00950130"/>
    <w:rsid w:val="00950277"/>
    <w:rsid w:val="00950346"/>
    <w:rsid w:val="009503B5"/>
    <w:rsid w:val="0095052E"/>
    <w:rsid w:val="0095090D"/>
    <w:rsid w:val="009509CC"/>
    <w:rsid w:val="00950A10"/>
    <w:rsid w:val="00950ACD"/>
    <w:rsid w:val="00950C88"/>
    <w:rsid w:val="00950D86"/>
    <w:rsid w:val="00950EEE"/>
    <w:rsid w:val="0095128D"/>
    <w:rsid w:val="00951920"/>
    <w:rsid w:val="00951A19"/>
    <w:rsid w:val="00951AA8"/>
    <w:rsid w:val="00951BF3"/>
    <w:rsid w:val="00951C19"/>
    <w:rsid w:val="00951DD4"/>
    <w:rsid w:val="00951EAF"/>
    <w:rsid w:val="0095203F"/>
    <w:rsid w:val="00952048"/>
    <w:rsid w:val="009523ED"/>
    <w:rsid w:val="0095253C"/>
    <w:rsid w:val="00952554"/>
    <w:rsid w:val="00952905"/>
    <w:rsid w:val="00952A83"/>
    <w:rsid w:val="00953203"/>
    <w:rsid w:val="009532B8"/>
    <w:rsid w:val="0095367C"/>
    <w:rsid w:val="00953826"/>
    <w:rsid w:val="009538F8"/>
    <w:rsid w:val="00953A9E"/>
    <w:rsid w:val="00953AE9"/>
    <w:rsid w:val="00953CC1"/>
    <w:rsid w:val="00953CC5"/>
    <w:rsid w:val="00953DDE"/>
    <w:rsid w:val="00953F83"/>
    <w:rsid w:val="0095409E"/>
    <w:rsid w:val="009540A7"/>
    <w:rsid w:val="00954238"/>
    <w:rsid w:val="00954250"/>
    <w:rsid w:val="00954321"/>
    <w:rsid w:val="00954518"/>
    <w:rsid w:val="009549DF"/>
    <w:rsid w:val="00954B1C"/>
    <w:rsid w:val="00954C38"/>
    <w:rsid w:val="00954F20"/>
    <w:rsid w:val="00954F70"/>
    <w:rsid w:val="009550E8"/>
    <w:rsid w:val="009553C8"/>
    <w:rsid w:val="00955462"/>
    <w:rsid w:val="0095556E"/>
    <w:rsid w:val="00955876"/>
    <w:rsid w:val="0095593A"/>
    <w:rsid w:val="00955AD4"/>
    <w:rsid w:val="00955C32"/>
    <w:rsid w:val="009561C8"/>
    <w:rsid w:val="00956390"/>
    <w:rsid w:val="00956402"/>
    <w:rsid w:val="00956446"/>
    <w:rsid w:val="00956875"/>
    <w:rsid w:val="00956979"/>
    <w:rsid w:val="00956A3B"/>
    <w:rsid w:val="00956A9F"/>
    <w:rsid w:val="00956C3E"/>
    <w:rsid w:val="00956D6F"/>
    <w:rsid w:val="00956E10"/>
    <w:rsid w:val="00957053"/>
    <w:rsid w:val="009572EA"/>
    <w:rsid w:val="00957332"/>
    <w:rsid w:val="0095737C"/>
    <w:rsid w:val="009575CA"/>
    <w:rsid w:val="009576E8"/>
    <w:rsid w:val="0095772E"/>
    <w:rsid w:val="00957754"/>
    <w:rsid w:val="00957818"/>
    <w:rsid w:val="0095790C"/>
    <w:rsid w:val="00957922"/>
    <w:rsid w:val="009579B9"/>
    <w:rsid w:val="00957AD1"/>
    <w:rsid w:val="00957B20"/>
    <w:rsid w:val="00957F99"/>
    <w:rsid w:val="00957FE3"/>
    <w:rsid w:val="009600AB"/>
    <w:rsid w:val="009602C7"/>
    <w:rsid w:val="009602DF"/>
    <w:rsid w:val="00960659"/>
    <w:rsid w:val="009606F1"/>
    <w:rsid w:val="0096072C"/>
    <w:rsid w:val="00960833"/>
    <w:rsid w:val="00960994"/>
    <w:rsid w:val="00960B3B"/>
    <w:rsid w:val="00960B7E"/>
    <w:rsid w:val="00960E40"/>
    <w:rsid w:val="00960F12"/>
    <w:rsid w:val="00960FC9"/>
    <w:rsid w:val="009614DD"/>
    <w:rsid w:val="009614E5"/>
    <w:rsid w:val="009616F7"/>
    <w:rsid w:val="009617CE"/>
    <w:rsid w:val="00961880"/>
    <w:rsid w:val="009618BC"/>
    <w:rsid w:val="00961A4B"/>
    <w:rsid w:val="00961AB3"/>
    <w:rsid w:val="00961B53"/>
    <w:rsid w:val="00961B7E"/>
    <w:rsid w:val="00961BAB"/>
    <w:rsid w:val="00961C70"/>
    <w:rsid w:val="00961C9A"/>
    <w:rsid w:val="00961D96"/>
    <w:rsid w:val="00961F00"/>
    <w:rsid w:val="00961FC5"/>
    <w:rsid w:val="0096203C"/>
    <w:rsid w:val="00962253"/>
    <w:rsid w:val="00962291"/>
    <w:rsid w:val="009624C4"/>
    <w:rsid w:val="009625D7"/>
    <w:rsid w:val="00962672"/>
    <w:rsid w:val="00962717"/>
    <w:rsid w:val="0096276B"/>
    <w:rsid w:val="0096277A"/>
    <w:rsid w:val="0096282A"/>
    <w:rsid w:val="009628E4"/>
    <w:rsid w:val="0096292D"/>
    <w:rsid w:val="00962A66"/>
    <w:rsid w:val="00962BEB"/>
    <w:rsid w:val="00962D15"/>
    <w:rsid w:val="00962E0D"/>
    <w:rsid w:val="00962E4F"/>
    <w:rsid w:val="009631DD"/>
    <w:rsid w:val="00963705"/>
    <w:rsid w:val="009637DE"/>
    <w:rsid w:val="00963889"/>
    <w:rsid w:val="00963B72"/>
    <w:rsid w:val="00963CD7"/>
    <w:rsid w:val="00963E89"/>
    <w:rsid w:val="00963EB9"/>
    <w:rsid w:val="00963F19"/>
    <w:rsid w:val="00963F47"/>
    <w:rsid w:val="00964097"/>
    <w:rsid w:val="009640EA"/>
    <w:rsid w:val="00964155"/>
    <w:rsid w:val="009641E7"/>
    <w:rsid w:val="009644D9"/>
    <w:rsid w:val="00964620"/>
    <w:rsid w:val="0096491A"/>
    <w:rsid w:val="009649FF"/>
    <w:rsid w:val="00964A9F"/>
    <w:rsid w:val="00964F53"/>
    <w:rsid w:val="00965403"/>
    <w:rsid w:val="0096548C"/>
    <w:rsid w:val="009655A7"/>
    <w:rsid w:val="009655B0"/>
    <w:rsid w:val="00965635"/>
    <w:rsid w:val="00965779"/>
    <w:rsid w:val="00965A1C"/>
    <w:rsid w:val="00965AA2"/>
    <w:rsid w:val="00965BD9"/>
    <w:rsid w:val="00965D4F"/>
    <w:rsid w:val="00965E25"/>
    <w:rsid w:val="009661CB"/>
    <w:rsid w:val="009662BC"/>
    <w:rsid w:val="00966368"/>
    <w:rsid w:val="009665AB"/>
    <w:rsid w:val="00966809"/>
    <w:rsid w:val="0096686D"/>
    <w:rsid w:val="009668FF"/>
    <w:rsid w:val="00966900"/>
    <w:rsid w:val="00966BB6"/>
    <w:rsid w:val="00966E69"/>
    <w:rsid w:val="0096713B"/>
    <w:rsid w:val="009672D9"/>
    <w:rsid w:val="00967486"/>
    <w:rsid w:val="00967520"/>
    <w:rsid w:val="0096787B"/>
    <w:rsid w:val="009678A6"/>
    <w:rsid w:val="00967A72"/>
    <w:rsid w:val="00967C3C"/>
    <w:rsid w:val="00967D42"/>
    <w:rsid w:val="00967FC0"/>
    <w:rsid w:val="009701B9"/>
    <w:rsid w:val="009703B9"/>
    <w:rsid w:val="0097068E"/>
    <w:rsid w:val="00970694"/>
    <w:rsid w:val="009707E5"/>
    <w:rsid w:val="00970889"/>
    <w:rsid w:val="00970C32"/>
    <w:rsid w:val="00970DA2"/>
    <w:rsid w:val="00970E91"/>
    <w:rsid w:val="00970F76"/>
    <w:rsid w:val="00970FA5"/>
    <w:rsid w:val="009714D3"/>
    <w:rsid w:val="0097169E"/>
    <w:rsid w:val="00971939"/>
    <w:rsid w:val="009719EA"/>
    <w:rsid w:val="00971BF5"/>
    <w:rsid w:val="00971D1E"/>
    <w:rsid w:val="00972061"/>
    <w:rsid w:val="00972094"/>
    <w:rsid w:val="009723A5"/>
    <w:rsid w:val="009723BA"/>
    <w:rsid w:val="00972440"/>
    <w:rsid w:val="00972543"/>
    <w:rsid w:val="0097279E"/>
    <w:rsid w:val="009727EE"/>
    <w:rsid w:val="0097298F"/>
    <w:rsid w:val="00972A3E"/>
    <w:rsid w:val="00972D62"/>
    <w:rsid w:val="00972DCC"/>
    <w:rsid w:val="00972ED8"/>
    <w:rsid w:val="00973000"/>
    <w:rsid w:val="009730F9"/>
    <w:rsid w:val="009731C5"/>
    <w:rsid w:val="009732A4"/>
    <w:rsid w:val="00973537"/>
    <w:rsid w:val="0097359D"/>
    <w:rsid w:val="00973679"/>
    <w:rsid w:val="009736E1"/>
    <w:rsid w:val="009738D8"/>
    <w:rsid w:val="00973C1C"/>
    <w:rsid w:val="00973E1F"/>
    <w:rsid w:val="00973F96"/>
    <w:rsid w:val="00974024"/>
    <w:rsid w:val="0097459F"/>
    <w:rsid w:val="009745BA"/>
    <w:rsid w:val="009747F4"/>
    <w:rsid w:val="00974883"/>
    <w:rsid w:val="00974B77"/>
    <w:rsid w:val="00974E54"/>
    <w:rsid w:val="00974FEB"/>
    <w:rsid w:val="00975356"/>
    <w:rsid w:val="0097543E"/>
    <w:rsid w:val="0097550A"/>
    <w:rsid w:val="00975605"/>
    <w:rsid w:val="009756E1"/>
    <w:rsid w:val="00975C43"/>
    <w:rsid w:val="00975D7E"/>
    <w:rsid w:val="00975D9A"/>
    <w:rsid w:val="00976129"/>
    <w:rsid w:val="0097617B"/>
    <w:rsid w:val="0097625B"/>
    <w:rsid w:val="0097628B"/>
    <w:rsid w:val="009762E2"/>
    <w:rsid w:val="00976385"/>
    <w:rsid w:val="00976A1B"/>
    <w:rsid w:val="00976D3F"/>
    <w:rsid w:val="00976E1D"/>
    <w:rsid w:val="00976E7C"/>
    <w:rsid w:val="00976EE7"/>
    <w:rsid w:val="00976F9C"/>
    <w:rsid w:val="00976FB4"/>
    <w:rsid w:val="009770E5"/>
    <w:rsid w:val="009772A4"/>
    <w:rsid w:val="00977527"/>
    <w:rsid w:val="00977620"/>
    <w:rsid w:val="009779C1"/>
    <w:rsid w:val="00977B03"/>
    <w:rsid w:val="00977B76"/>
    <w:rsid w:val="0098013E"/>
    <w:rsid w:val="00980258"/>
    <w:rsid w:val="00980735"/>
    <w:rsid w:val="009809FB"/>
    <w:rsid w:val="00980B36"/>
    <w:rsid w:val="00980CED"/>
    <w:rsid w:val="0098100B"/>
    <w:rsid w:val="00981026"/>
    <w:rsid w:val="009810BE"/>
    <w:rsid w:val="00981357"/>
    <w:rsid w:val="009813BC"/>
    <w:rsid w:val="0098140C"/>
    <w:rsid w:val="00981629"/>
    <w:rsid w:val="00981721"/>
    <w:rsid w:val="00981826"/>
    <w:rsid w:val="00981B59"/>
    <w:rsid w:val="00981E8A"/>
    <w:rsid w:val="0098207C"/>
    <w:rsid w:val="00982233"/>
    <w:rsid w:val="009822EA"/>
    <w:rsid w:val="00982470"/>
    <w:rsid w:val="009825AB"/>
    <w:rsid w:val="009825E8"/>
    <w:rsid w:val="0098262C"/>
    <w:rsid w:val="009826EF"/>
    <w:rsid w:val="00982831"/>
    <w:rsid w:val="00982D34"/>
    <w:rsid w:val="00983078"/>
    <w:rsid w:val="00983121"/>
    <w:rsid w:val="0098312B"/>
    <w:rsid w:val="00983279"/>
    <w:rsid w:val="00983306"/>
    <w:rsid w:val="00983427"/>
    <w:rsid w:val="009834EE"/>
    <w:rsid w:val="00983599"/>
    <w:rsid w:val="009836BB"/>
    <w:rsid w:val="009838AE"/>
    <w:rsid w:val="00983A49"/>
    <w:rsid w:val="00983AFE"/>
    <w:rsid w:val="00983C03"/>
    <w:rsid w:val="00984137"/>
    <w:rsid w:val="009841CA"/>
    <w:rsid w:val="009842AF"/>
    <w:rsid w:val="009845D6"/>
    <w:rsid w:val="00984667"/>
    <w:rsid w:val="009846FE"/>
    <w:rsid w:val="00984EDB"/>
    <w:rsid w:val="00985159"/>
    <w:rsid w:val="009852F2"/>
    <w:rsid w:val="00985304"/>
    <w:rsid w:val="00985305"/>
    <w:rsid w:val="009853D2"/>
    <w:rsid w:val="0098550C"/>
    <w:rsid w:val="00985754"/>
    <w:rsid w:val="0098576D"/>
    <w:rsid w:val="0098579D"/>
    <w:rsid w:val="009858AD"/>
    <w:rsid w:val="00985A5E"/>
    <w:rsid w:val="00985C63"/>
    <w:rsid w:val="00985CFA"/>
    <w:rsid w:val="00985E08"/>
    <w:rsid w:val="00985EB2"/>
    <w:rsid w:val="00985F0C"/>
    <w:rsid w:val="00985FCA"/>
    <w:rsid w:val="0098611A"/>
    <w:rsid w:val="0098636B"/>
    <w:rsid w:val="009864BC"/>
    <w:rsid w:val="009864DA"/>
    <w:rsid w:val="009866EC"/>
    <w:rsid w:val="00986935"/>
    <w:rsid w:val="00986B2C"/>
    <w:rsid w:val="00986B3A"/>
    <w:rsid w:val="00986FDA"/>
    <w:rsid w:val="00987067"/>
    <w:rsid w:val="009870C0"/>
    <w:rsid w:val="0098732E"/>
    <w:rsid w:val="009874A2"/>
    <w:rsid w:val="0098779F"/>
    <w:rsid w:val="00987ADE"/>
    <w:rsid w:val="00987BE4"/>
    <w:rsid w:val="00987D41"/>
    <w:rsid w:val="00987DD1"/>
    <w:rsid w:val="00987E0C"/>
    <w:rsid w:val="0099010A"/>
    <w:rsid w:val="009901EC"/>
    <w:rsid w:val="00990398"/>
    <w:rsid w:val="009903F3"/>
    <w:rsid w:val="009911C4"/>
    <w:rsid w:val="009913D8"/>
    <w:rsid w:val="0099147C"/>
    <w:rsid w:val="00991632"/>
    <w:rsid w:val="00991767"/>
    <w:rsid w:val="009917D5"/>
    <w:rsid w:val="0099191B"/>
    <w:rsid w:val="009919CE"/>
    <w:rsid w:val="00991ABA"/>
    <w:rsid w:val="00991ADB"/>
    <w:rsid w:val="00991DE5"/>
    <w:rsid w:val="00992055"/>
    <w:rsid w:val="00992142"/>
    <w:rsid w:val="0099218C"/>
    <w:rsid w:val="009923C9"/>
    <w:rsid w:val="009923FF"/>
    <w:rsid w:val="0099268A"/>
    <w:rsid w:val="00992C20"/>
    <w:rsid w:val="00992D36"/>
    <w:rsid w:val="00992D5F"/>
    <w:rsid w:val="00992D7E"/>
    <w:rsid w:val="00992DDA"/>
    <w:rsid w:val="00992F6B"/>
    <w:rsid w:val="00993071"/>
    <w:rsid w:val="00993748"/>
    <w:rsid w:val="009937E8"/>
    <w:rsid w:val="00993FC2"/>
    <w:rsid w:val="00993FD1"/>
    <w:rsid w:val="00993FDF"/>
    <w:rsid w:val="00993FF6"/>
    <w:rsid w:val="009940B5"/>
    <w:rsid w:val="00994215"/>
    <w:rsid w:val="00994436"/>
    <w:rsid w:val="00994881"/>
    <w:rsid w:val="00994C60"/>
    <w:rsid w:val="0099500B"/>
    <w:rsid w:val="00995276"/>
    <w:rsid w:val="00995325"/>
    <w:rsid w:val="00995332"/>
    <w:rsid w:val="009954A8"/>
    <w:rsid w:val="0099572C"/>
    <w:rsid w:val="00995910"/>
    <w:rsid w:val="00995B4D"/>
    <w:rsid w:val="00995BDB"/>
    <w:rsid w:val="00995C75"/>
    <w:rsid w:val="00995D0D"/>
    <w:rsid w:val="00995D21"/>
    <w:rsid w:val="00995D70"/>
    <w:rsid w:val="00995F6A"/>
    <w:rsid w:val="00996514"/>
    <w:rsid w:val="0099676F"/>
    <w:rsid w:val="00996822"/>
    <w:rsid w:val="00996951"/>
    <w:rsid w:val="00996BCD"/>
    <w:rsid w:val="00996C30"/>
    <w:rsid w:val="00996E67"/>
    <w:rsid w:val="009972CC"/>
    <w:rsid w:val="0099744B"/>
    <w:rsid w:val="0099755C"/>
    <w:rsid w:val="009976E0"/>
    <w:rsid w:val="00997711"/>
    <w:rsid w:val="00997724"/>
    <w:rsid w:val="009978D3"/>
    <w:rsid w:val="00997969"/>
    <w:rsid w:val="00997B5B"/>
    <w:rsid w:val="00997BB9"/>
    <w:rsid w:val="00997DB8"/>
    <w:rsid w:val="00997FA1"/>
    <w:rsid w:val="009A0033"/>
    <w:rsid w:val="009A01F6"/>
    <w:rsid w:val="009A0465"/>
    <w:rsid w:val="009A0649"/>
    <w:rsid w:val="009A064B"/>
    <w:rsid w:val="009A0694"/>
    <w:rsid w:val="009A0863"/>
    <w:rsid w:val="009A08A5"/>
    <w:rsid w:val="009A0AD3"/>
    <w:rsid w:val="009A0AF8"/>
    <w:rsid w:val="009A0AFB"/>
    <w:rsid w:val="009A0C67"/>
    <w:rsid w:val="009A100A"/>
    <w:rsid w:val="009A100F"/>
    <w:rsid w:val="009A1260"/>
    <w:rsid w:val="009A12F7"/>
    <w:rsid w:val="009A1382"/>
    <w:rsid w:val="009A1541"/>
    <w:rsid w:val="009A17A5"/>
    <w:rsid w:val="009A1B0E"/>
    <w:rsid w:val="009A1EED"/>
    <w:rsid w:val="009A1F66"/>
    <w:rsid w:val="009A1FC2"/>
    <w:rsid w:val="009A20FF"/>
    <w:rsid w:val="009A226F"/>
    <w:rsid w:val="009A230D"/>
    <w:rsid w:val="009A233F"/>
    <w:rsid w:val="009A2465"/>
    <w:rsid w:val="009A286E"/>
    <w:rsid w:val="009A28B9"/>
    <w:rsid w:val="009A2A03"/>
    <w:rsid w:val="009A2A07"/>
    <w:rsid w:val="009A2C80"/>
    <w:rsid w:val="009A2CA1"/>
    <w:rsid w:val="009A2EF4"/>
    <w:rsid w:val="009A3068"/>
    <w:rsid w:val="009A3109"/>
    <w:rsid w:val="009A3197"/>
    <w:rsid w:val="009A3622"/>
    <w:rsid w:val="009A38AB"/>
    <w:rsid w:val="009A39B0"/>
    <w:rsid w:val="009A3B6E"/>
    <w:rsid w:val="009A3CCE"/>
    <w:rsid w:val="009A3DBA"/>
    <w:rsid w:val="009A3E93"/>
    <w:rsid w:val="009A410C"/>
    <w:rsid w:val="009A4136"/>
    <w:rsid w:val="009A4270"/>
    <w:rsid w:val="009A4320"/>
    <w:rsid w:val="009A45E7"/>
    <w:rsid w:val="009A4696"/>
    <w:rsid w:val="009A478C"/>
    <w:rsid w:val="009A4962"/>
    <w:rsid w:val="009A49C6"/>
    <w:rsid w:val="009A49E5"/>
    <w:rsid w:val="009A4A99"/>
    <w:rsid w:val="009A4B07"/>
    <w:rsid w:val="009A4BE9"/>
    <w:rsid w:val="009A4D8E"/>
    <w:rsid w:val="009A4DBE"/>
    <w:rsid w:val="009A51AC"/>
    <w:rsid w:val="009A578B"/>
    <w:rsid w:val="009A57C9"/>
    <w:rsid w:val="009A57E0"/>
    <w:rsid w:val="009A597B"/>
    <w:rsid w:val="009A5D8A"/>
    <w:rsid w:val="009A6100"/>
    <w:rsid w:val="009A613C"/>
    <w:rsid w:val="009A62D4"/>
    <w:rsid w:val="009A63A7"/>
    <w:rsid w:val="009A6646"/>
    <w:rsid w:val="009A66D8"/>
    <w:rsid w:val="009A67A6"/>
    <w:rsid w:val="009A6A58"/>
    <w:rsid w:val="009A6CBF"/>
    <w:rsid w:val="009A6F7F"/>
    <w:rsid w:val="009A6F8F"/>
    <w:rsid w:val="009A6FEA"/>
    <w:rsid w:val="009A7079"/>
    <w:rsid w:val="009A7608"/>
    <w:rsid w:val="009A764A"/>
    <w:rsid w:val="009A7B98"/>
    <w:rsid w:val="009A7CBE"/>
    <w:rsid w:val="009A7E01"/>
    <w:rsid w:val="009B0027"/>
    <w:rsid w:val="009B00AB"/>
    <w:rsid w:val="009B00DC"/>
    <w:rsid w:val="009B0290"/>
    <w:rsid w:val="009B08A9"/>
    <w:rsid w:val="009B0B7E"/>
    <w:rsid w:val="009B0BA1"/>
    <w:rsid w:val="009B0DAF"/>
    <w:rsid w:val="009B0E6E"/>
    <w:rsid w:val="009B11D5"/>
    <w:rsid w:val="009B1407"/>
    <w:rsid w:val="009B1440"/>
    <w:rsid w:val="009B1449"/>
    <w:rsid w:val="009B168B"/>
    <w:rsid w:val="009B17B2"/>
    <w:rsid w:val="009B1818"/>
    <w:rsid w:val="009B185B"/>
    <w:rsid w:val="009B1B2F"/>
    <w:rsid w:val="009B1B35"/>
    <w:rsid w:val="009B1B64"/>
    <w:rsid w:val="009B1C1D"/>
    <w:rsid w:val="009B1F31"/>
    <w:rsid w:val="009B2376"/>
    <w:rsid w:val="009B23BD"/>
    <w:rsid w:val="009B24A3"/>
    <w:rsid w:val="009B2879"/>
    <w:rsid w:val="009B2918"/>
    <w:rsid w:val="009B296A"/>
    <w:rsid w:val="009B2C03"/>
    <w:rsid w:val="009B2CE1"/>
    <w:rsid w:val="009B2CEE"/>
    <w:rsid w:val="009B2F70"/>
    <w:rsid w:val="009B3048"/>
    <w:rsid w:val="009B30A7"/>
    <w:rsid w:val="009B32EE"/>
    <w:rsid w:val="009B32F5"/>
    <w:rsid w:val="009B3348"/>
    <w:rsid w:val="009B367A"/>
    <w:rsid w:val="009B3741"/>
    <w:rsid w:val="009B37A1"/>
    <w:rsid w:val="009B3869"/>
    <w:rsid w:val="009B3A7B"/>
    <w:rsid w:val="009B3C01"/>
    <w:rsid w:val="009B3EFF"/>
    <w:rsid w:val="009B3F9C"/>
    <w:rsid w:val="009B40AF"/>
    <w:rsid w:val="009B40B5"/>
    <w:rsid w:val="009B41B5"/>
    <w:rsid w:val="009B42A0"/>
    <w:rsid w:val="009B45F9"/>
    <w:rsid w:val="009B491A"/>
    <w:rsid w:val="009B4E0E"/>
    <w:rsid w:val="009B53BE"/>
    <w:rsid w:val="009B53F5"/>
    <w:rsid w:val="009B5491"/>
    <w:rsid w:val="009B593F"/>
    <w:rsid w:val="009B5B12"/>
    <w:rsid w:val="009B5B79"/>
    <w:rsid w:val="009B5E33"/>
    <w:rsid w:val="009B5F64"/>
    <w:rsid w:val="009B6151"/>
    <w:rsid w:val="009B6169"/>
    <w:rsid w:val="009B61E9"/>
    <w:rsid w:val="009B620C"/>
    <w:rsid w:val="009B62EA"/>
    <w:rsid w:val="009B6318"/>
    <w:rsid w:val="009B64B8"/>
    <w:rsid w:val="009B656A"/>
    <w:rsid w:val="009B6753"/>
    <w:rsid w:val="009B6772"/>
    <w:rsid w:val="009B6931"/>
    <w:rsid w:val="009B6B29"/>
    <w:rsid w:val="009B6B9B"/>
    <w:rsid w:val="009B6BE5"/>
    <w:rsid w:val="009B6ECF"/>
    <w:rsid w:val="009B70FF"/>
    <w:rsid w:val="009B711F"/>
    <w:rsid w:val="009B723F"/>
    <w:rsid w:val="009B72E7"/>
    <w:rsid w:val="009B731B"/>
    <w:rsid w:val="009B76BB"/>
    <w:rsid w:val="009B77D2"/>
    <w:rsid w:val="009B77F2"/>
    <w:rsid w:val="009B7945"/>
    <w:rsid w:val="009B7AC0"/>
    <w:rsid w:val="009B7BC8"/>
    <w:rsid w:val="009B7D87"/>
    <w:rsid w:val="009B7E5A"/>
    <w:rsid w:val="009C00D5"/>
    <w:rsid w:val="009C012E"/>
    <w:rsid w:val="009C01ED"/>
    <w:rsid w:val="009C0229"/>
    <w:rsid w:val="009C042B"/>
    <w:rsid w:val="009C0673"/>
    <w:rsid w:val="009C068B"/>
    <w:rsid w:val="009C0B39"/>
    <w:rsid w:val="009C0B4A"/>
    <w:rsid w:val="009C0C1F"/>
    <w:rsid w:val="009C0C92"/>
    <w:rsid w:val="009C0CEF"/>
    <w:rsid w:val="009C0D4D"/>
    <w:rsid w:val="009C0E39"/>
    <w:rsid w:val="009C0E3D"/>
    <w:rsid w:val="009C1125"/>
    <w:rsid w:val="009C12E7"/>
    <w:rsid w:val="009C1393"/>
    <w:rsid w:val="009C1402"/>
    <w:rsid w:val="009C1406"/>
    <w:rsid w:val="009C157B"/>
    <w:rsid w:val="009C1705"/>
    <w:rsid w:val="009C1832"/>
    <w:rsid w:val="009C1BCF"/>
    <w:rsid w:val="009C2072"/>
    <w:rsid w:val="009C21FD"/>
    <w:rsid w:val="009C22AB"/>
    <w:rsid w:val="009C2345"/>
    <w:rsid w:val="009C2576"/>
    <w:rsid w:val="009C265E"/>
    <w:rsid w:val="009C2B72"/>
    <w:rsid w:val="009C2CDF"/>
    <w:rsid w:val="009C2E84"/>
    <w:rsid w:val="009C2E98"/>
    <w:rsid w:val="009C2EE1"/>
    <w:rsid w:val="009C2F82"/>
    <w:rsid w:val="009C2FCF"/>
    <w:rsid w:val="009C30A8"/>
    <w:rsid w:val="009C31D1"/>
    <w:rsid w:val="009C3726"/>
    <w:rsid w:val="009C384B"/>
    <w:rsid w:val="009C39E6"/>
    <w:rsid w:val="009C3B37"/>
    <w:rsid w:val="009C3E6D"/>
    <w:rsid w:val="009C3F5A"/>
    <w:rsid w:val="009C41CF"/>
    <w:rsid w:val="009C41D1"/>
    <w:rsid w:val="009C425A"/>
    <w:rsid w:val="009C4394"/>
    <w:rsid w:val="009C43B0"/>
    <w:rsid w:val="009C43D1"/>
    <w:rsid w:val="009C43DC"/>
    <w:rsid w:val="009C454A"/>
    <w:rsid w:val="009C462D"/>
    <w:rsid w:val="009C492C"/>
    <w:rsid w:val="009C49D6"/>
    <w:rsid w:val="009C4A0D"/>
    <w:rsid w:val="009C4A4A"/>
    <w:rsid w:val="009C4B7D"/>
    <w:rsid w:val="009C4C32"/>
    <w:rsid w:val="009C4CAD"/>
    <w:rsid w:val="009C4D01"/>
    <w:rsid w:val="009C4D1C"/>
    <w:rsid w:val="009C501A"/>
    <w:rsid w:val="009C505D"/>
    <w:rsid w:val="009C52CC"/>
    <w:rsid w:val="009C57E8"/>
    <w:rsid w:val="009C5A86"/>
    <w:rsid w:val="009C5F33"/>
    <w:rsid w:val="009C5F5B"/>
    <w:rsid w:val="009C61DB"/>
    <w:rsid w:val="009C61E5"/>
    <w:rsid w:val="009C62D1"/>
    <w:rsid w:val="009C6421"/>
    <w:rsid w:val="009C671E"/>
    <w:rsid w:val="009C6728"/>
    <w:rsid w:val="009C6800"/>
    <w:rsid w:val="009C6837"/>
    <w:rsid w:val="009C6DAE"/>
    <w:rsid w:val="009C7025"/>
    <w:rsid w:val="009C7114"/>
    <w:rsid w:val="009C743A"/>
    <w:rsid w:val="009C781A"/>
    <w:rsid w:val="009C7ABF"/>
    <w:rsid w:val="009C7C2E"/>
    <w:rsid w:val="009C7D8E"/>
    <w:rsid w:val="009C7DB7"/>
    <w:rsid w:val="009C7E3A"/>
    <w:rsid w:val="009C7E53"/>
    <w:rsid w:val="009C7FD1"/>
    <w:rsid w:val="009D046F"/>
    <w:rsid w:val="009D068F"/>
    <w:rsid w:val="009D08C7"/>
    <w:rsid w:val="009D08D4"/>
    <w:rsid w:val="009D08F2"/>
    <w:rsid w:val="009D0A14"/>
    <w:rsid w:val="009D0A22"/>
    <w:rsid w:val="009D0EAE"/>
    <w:rsid w:val="009D103A"/>
    <w:rsid w:val="009D10E2"/>
    <w:rsid w:val="009D1206"/>
    <w:rsid w:val="009D148D"/>
    <w:rsid w:val="009D18F4"/>
    <w:rsid w:val="009D1AAF"/>
    <w:rsid w:val="009D1AB3"/>
    <w:rsid w:val="009D1B33"/>
    <w:rsid w:val="009D1B7D"/>
    <w:rsid w:val="009D1FA3"/>
    <w:rsid w:val="009D1FDE"/>
    <w:rsid w:val="009D2010"/>
    <w:rsid w:val="009D23F5"/>
    <w:rsid w:val="009D25A4"/>
    <w:rsid w:val="009D25F4"/>
    <w:rsid w:val="009D2625"/>
    <w:rsid w:val="009D2EE1"/>
    <w:rsid w:val="009D30C2"/>
    <w:rsid w:val="009D3129"/>
    <w:rsid w:val="009D317C"/>
    <w:rsid w:val="009D320D"/>
    <w:rsid w:val="009D32B0"/>
    <w:rsid w:val="009D32BC"/>
    <w:rsid w:val="009D3382"/>
    <w:rsid w:val="009D3391"/>
    <w:rsid w:val="009D352E"/>
    <w:rsid w:val="009D368A"/>
    <w:rsid w:val="009D3A19"/>
    <w:rsid w:val="009D3BA3"/>
    <w:rsid w:val="009D3C49"/>
    <w:rsid w:val="009D3CAC"/>
    <w:rsid w:val="009D3E10"/>
    <w:rsid w:val="009D3F21"/>
    <w:rsid w:val="009D3FC6"/>
    <w:rsid w:val="009D400C"/>
    <w:rsid w:val="009D41A6"/>
    <w:rsid w:val="009D41DD"/>
    <w:rsid w:val="009D4374"/>
    <w:rsid w:val="009D44E4"/>
    <w:rsid w:val="009D459D"/>
    <w:rsid w:val="009D479E"/>
    <w:rsid w:val="009D4843"/>
    <w:rsid w:val="009D490D"/>
    <w:rsid w:val="009D4B6C"/>
    <w:rsid w:val="009D4D27"/>
    <w:rsid w:val="009D5239"/>
    <w:rsid w:val="009D52CC"/>
    <w:rsid w:val="009D53FF"/>
    <w:rsid w:val="009D5440"/>
    <w:rsid w:val="009D5654"/>
    <w:rsid w:val="009D57D1"/>
    <w:rsid w:val="009D5889"/>
    <w:rsid w:val="009D5A60"/>
    <w:rsid w:val="009D5AA9"/>
    <w:rsid w:val="009D5B8F"/>
    <w:rsid w:val="009D5C1C"/>
    <w:rsid w:val="009D5C2E"/>
    <w:rsid w:val="009D5D38"/>
    <w:rsid w:val="009D5E56"/>
    <w:rsid w:val="009D6217"/>
    <w:rsid w:val="009D64AD"/>
    <w:rsid w:val="009D66CA"/>
    <w:rsid w:val="009D6921"/>
    <w:rsid w:val="009D69D4"/>
    <w:rsid w:val="009D6AC2"/>
    <w:rsid w:val="009D6FF4"/>
    <w:rsid w:val="009D700C"/>
    <w:rsid w:val="009D71A8"/>
    <w:rsid w:val="009D72B3"/>
    <w:rsid w:val="009D72DC"/>
    <w:rsid w:val="009D72FB"/>
    <w:rsid w:val="009D7570"/>
    <w:rsid w:val="009D7672"/>
    <w:rsid w:val="009D77BF"/>
    <w:rsid w:val="009D7D3D"/>
    <w:rsid w:val="009D7E10"/>
    <w:rsid w:val="009D7EA6"/>
    <w:rsid w:val="009E0078"/>
    <w:rsid w:val="009E0086"/>
    <w:rsid w:val="009E00EE"/>
    <w:rsid w:val="009E0246"/>
    <w:rsid w:val="009E0311"/>
    <w:rsid w:val="009E03A3"/>
    <w:rsid w:val="009E057D"/>
    <w:rsid w:val="009E05CF"/>
    <w:rsid w:val="009E06B1"/>
    <w:rsid w:val="009E06D0"/>
    <w:rsid w:val="009E0BF3"/>
    <w:rsid w:val="009E0F7C"/>
    <w:rsid w:val="009E1041"/>
    <w:rsid w:val="009E1379"/>
    <w:rsid w:val="009E1488"/>
    <w:rsid w:val="009E15D8"/>
    <w:rsid w:val="009E1974"/>
    <w:rsid w:val="009E1B0A"/>
    <w:rsid w:val="009E1C0E"/>
    <w:rsid w:val="009E1CF3"/>
    <w:rsid w:val="009E1D94"/>
    <w:rsid w:val="009E2173"/>
    <w:rsid w:val="009E2199"/>
    <w:rsid w:val="009E21E7"/>
    <w:rsid w:val="009E2351"/>
    <w:rsid w:val="009E235C"/>
    <w:rsid w:val="009E2444"/>
    <w:rsid w:val="009E2548"/>
    <w:rsid w:val="009E25DF"/>
    <w:rsid w:val="009E27E6"/>
    <w:rsid w:val="009E2B0C"/>
    <w:rsid w:val="009E2BBB"/>
    <w:rsid w:val="009E2D44"/>
    <w:rsid w:val="009E2E49"/>
    <w:rsid w:val="009E2E80"/>
    <w:rsid w:val="009E3083"/>
    <w:rsid w:val="009E3333"/>
    <w:rsid w:val="009E33FB"/>
    <w:rsid w:val="009E368A"/>
    <w:rsid w:val="009E38D6"/>
    <w:rsid w:val="009E3926"/>
    <w:rsid w:val="009E399F"/>
    <w:rsid w:val="009E39B1"/>
    <w:rsid w:val="009E3AEF"/>
    <w:rsid w:val="009E3C1C"/>
    <w:rsid w:val="009E3D04"/>
    <w:rsid w:val="009E3D78"/>
    <w:rsid w:val="009E3DF3"/>
    <w:rsid w:val="009E412C"/>
    <w:rsid w:val="009E4866"/>
    <w:rsid w:val="009E48B9"/>
    <w:rsid w:val="009E4A3C"/>
    <w:rsid w:val="009E4EDD"/>
    <w:rsid w:val="009E51DA"/>
    <w:rsid w:val="009E51F7"/>
    <w:rsid w:val="009E5318"/>
    <w:rsid w:val="009E5634"/>
    <w:rsid w:val="009E56C0"/>
    <w:rsid w:val="009E57BA"/>
    <w:rsid w:val="009E5CC9"/>
    <w:rsid w:val="009E60EB"/>
    <w:rsid w:val="009E615F"/>
    <w:rsid w:val="009E6352"/>
    <w:rsid w:val="009E6449"/>
    <w:rsid w:val="009E68DD"/>
    <w:rsid w:val="009E690B"/>
    <w:rsid w:val="009E6B7A"/>
    <w:rsid w:val="009E6CD8"/>
    <w:rsid w:val="009E7010"/>
    <w:rsid w:val="009E701C"/>
    <w:rsid w:val="009E70D6"/>
    <w:rsid w:val="009E710D"/>
    <w:rsid w:val="009E748C"/>
    <w:rsid w:val="009E75A7"/>
    <w:rsid w:val="009E75BE"/>
    <w:rsid w:val="009E77C2"/>
    <w:rsid w:val="009E7BBF"/>
    <w:rsid w:val="009E7F02"/>
    <w:rsid w:val="009E7FA9"/>
    <w:rsid w:val="009E7FE3"/>
    <w:rsid w:val="009F0183"/>
    <w:rsid w:val="009F01B3"/>
    <w:rsid w:val="009F02D9"/>
    <w:rsid w:val="009F0330"/>
    <w:rsid w:val="009F0468"/>
    <w:rsid w:val="009F0B62"/>
    <w:rsid w:val="009F0C91"/>
    <w:rsid w:val="009F0DF5"/>
    <w:rsid w:val="009F11E8"/>
    <w:rsid w:val="009F12B7"/>
    <w:rsid w:val="009F1367"/>
    <w:rsid w:val="009F1395"/>
    <w:rsid w:val="009F16CB"/>
    <w:rsid w:val="009F175E"/>
    <w:rsid w:val="009F17E0"/>
    <w:rsid w:val="009F1886"/>
    <w:rsid w:val="009F1ECF"/>
    <w:rsid w:val="009F207B"/>
    <w:rsid w:val="009F209B"/>
    <w:rsid w:val="009F234C"/>
    <w:rsid w:val="009F260E"/>
    <w:rsid w:val="009F29B4"/>
    <w:rsid w:val="009F2AC2"/>
    <w:rsid w:val="009F2CC7"/>
    <w:rsid w:val="009F2D56"/>
    <w:rsid w:val="009F2D63"/>
    <w:rsid w:val="009F2E38"/>
    <w:rsid w:val="009F2EB2"/>
    <w:rsid w:val="009F3086"/>
    <w:rsid w:val="009F3408"/>
    <w:rsid w:val="009F3417"/>
    <w:rsid w:val="009F388E"/>
    <w:rsid w:val="009F38D9"/>
    <w:rsid w:val="009F39CD"/>
    <w:rsid w:val="009F3B6F"/>
    <w:rsid w:val="009F3CAB"/>
    <w:rsid w:val="009F3D95"/>
    <w:rsid w:val="009F4189"/>
    <w:rsid w:val="009F434F"/>
    <w:rsid w:val="009F4432"/>
    <w:rsid w:val="009F44B4"/>
    <w:rsid w:val="009F45FF"/>
    <w:rsid w:val="009F46B1"/>
    <w:rsid w:val="009F473B"/>
    <w:rsid w:val="009F47CF"/>
    <w:rsid w:val="009F4979"/>
    <w:rsid w:val="009F4B18"/>
    <w:rsid w:val="009F4B60"/>
    <w:rsid w:val="009F4C14"/>
    <w:rsid w:val="009F4C38"/>
    <w:rsid w:val="009F4C79"/>
    <w:rsid w:val="009F4E17"/>
    <w:rsid w:val="009F4F94"/>
    <w:rsid w:val="009F51AD"/>
    <w:rsid w:val="009F51D8"/>
    <w:rsid w:val="009F5224"/>
    <w:rsid w:val="009F53ED"/>
    <w:rsid w:val="009F544A"/>
    <w:rsid w:val="009F558A"/>
    <w:rsid w:val="009F5601"/>
    <w:rsid w:val="009F5C12"/>
    <w:rsid w:val="009F5CF9"/>
    <w:rsid w:val="009F5F64"/>
    <w:rsid w:val="009F6073"/>
    <w:rsid w:val="009F60CD"/>
    <w:rsid w:val="009F6172"/>
    <w:rsid w:val="009F62A9"/>
    <w:rsid w:val="009F63BA"/>
    <w:rsid w:val="009F663E"/>
    <w:rsid w:val="009F665D"/>
    <w:rsid w:val="009F67CD"/>
    <w:rsid w:val="009F6802"/>
    <w:rsid w:val="009F681A"/>
    <w:rsid w:val="009F6829"/>
    <w:rsid w:val="009F689B"/>
    <w:rsid w:val="009F6D8B"/>
    <w:rsid w:val="009F7134"/>
    <w:rsid w:val="009F729F"/>
    <w:rsid w:val="009F73B8"/>
    <w:rsid w:val="009F741E"/>
    <w:rsid w:val="009F7497"/>
    <w:rsid w:val="009F754F"/>
    <w:rsid w:val="009F75A9"/>
    <w:rsid w:val="009F7774"/>
    <w:rsid w:val="009F7975"/>
    <w:rsid w:val="009F7A6D"/>
    <w:rsid w:val="009F7E71"/>
    <w:rsid w:val="009F7EF3"/>
    <w:rsid w:val="00A000BF"/>
    <w:rsid w:val="00A00372"/>
    <w:rsid w:val="00A00386"/>
    <w:rsid w:val="00A00620"/>
    <w:rsid w:val="00A0075F"/>
    <w:rsid w:val="00A00A22"/>
    <w:rsid w:val="00A00B38"/>
    <w:rsid w:val="00A00C61"/>
    <w:rsid w:val="00A010AB"/>
    <w:rsid w:val="00A01253"/>
    <w:rsid w:val="00A014E5"/>
    <w:rsid w:val="00A0179B"/>
    <w:rsid w:val="00A01976"/>
    <w:rsid w:val="00A01978"/>
    <w:rsid w:val="00A01BC8"/>
    <w:rsid w:val="00A01D1B"/>
    <w:rsid w:val="00A01D44"/>
    <w:rsid w:val="00A02026"/>
    <w:rsid w:val="00A026FF"/>
    <w:rsid w:val="00A027A9"/>
    <w:rsid w:val="00A028E1"/>
    <w:rsid w:val="00A02971"/>
    <w:rsid w:val="00A029BD"/>
    <w:rsid w:val="00A029CE"/>
    <w:rsid w:val="00A03402"/>
    <w:rsid w:val="00A03537"/>
    <w:rsid w:val="00A03CFF"/>
    <w:rsid w:val="00A03FF8"/>
    <w:rsid w:val="00A0414A"/>
    <w:rsid w:val="00A041EF"/>
    <w:rsid w:val="00A0428D"/>
    <w:rsid w:val="00A043E9"/>
    <w:rsid w:val="00A049D9"/>
    <w:rsid w:val="00A04B24"/>
    <w:rsid w:val="00A04C2C"/>
    <w:rsid w:val="00A04F03"/>
    <w:rsid w:val="00A04F81"/>
    <w:rsid w:val="00A04FDF"/>
    <w:rsid w:val="00A05372"/>
    <w:rsid w:val="00A05578"/>
    <w:rsid w:val="00A0564A"/>
    <w:rsid w:val="00A05733"/>
    <w:rsid w:val="00A05BEF"/>
    <w:rsid w:val="00A06103"/>
    <w:rsid w:val="00A06121"/>
    <w:rsid w:val="00A062B2"/>
    <w:rsid w:val="00A063CC"/>
    <w:rsid w:val="00A0662C"/>
    <w:rsid w:val="00A06655"/>
    <w:rsid w:val="00A06690"/>
    <w:rsid w:val="00A06760"/>
    <w:rsid w:val="00A0684C"/>
    <w:rsid w:val="00A06924"/>
    <w:rsid w:val="00A0692F"/>
    <w:rsid w:val="00A06B93"/>
    <w:rsid w:val="00A06BF7"/>
    <w:rsid w:val="00A06D52"/>
    <w:rsid w:val="00A06E05"/>
    <w:rsid w:val="00A06F34"/>
    <w:rsid w:val="00A071D0"/>
    <w:rsid w:val="00A0734E"/>
    <w:rsid w:val="00A07428"/>
    <w:rsid w:val="00A0752A"/>
    <w:rsid w:val="00A07551"/>
    <w:rsid w:val="00A075BB"/>
    <w:rsid w:val="00A07790"/>
    <w:rsid w:val="00A07793"/>
    <w:rsid w:val="00A079E1"/>
    <w:rsid w:val="00A07AE2"/>
    <w:rsid w:val="00A07D92"/>
    <w:rsid w:val="00A1003C"/>
    <w:rsid w:val="00A1030F"/>
    <w:rsid w:val="00A10493"/>
    <w:rsid w:val="00A10808"/>
    <w:rsid w:val="00A10B68"/>
    <w:rsid w:val="00A10C59"/>
    <w:rsid w:val="00A10D4D"/>
    <w:rsid w:val="00A11188"/>
    <w:rsid w:val="00A112F9"/>
    <w:rsid w:val="00A116C1"/>
    <w:rsid w:val="00A11988"/>
    <w:rsid w:val="00A119E4"/>
    <w:rsid w:val="00A11A9F"/>
    <w:rsid w:val="00A11D1D"/>
    <w:rsid w:val="00A11D6E"/>
    <w:rsid w:val="00A120A7"/>
    <w:rsid w:val="00A120CC"/>
    <w:rsid w:val="00A12117"/>
    <w:rsid w:val="00A122FA"/>
    <w:rsid w:val="00A1230B"/>
    <w:rsid w:val="00A1253F"/>
    <w:rsid w:val="00A127DB"/>
    <w:rsid w:val="00A12960"/>
    <w:rsid w:val="00A12A27"/>
    <w:rsid w:val="00A12B21"/>
    <w:rsid w:val="00A12BDA"/>
    <w:rsid w:val="00A12C71"/>
    <w:rsid w:val="00A12C8A"/>
    <w:rsid w:val="00A12D42"/>
    <w:rsid w:val="00A12E3F"/>
    <w:rsid w:val="00A12E46"/>
    <w:rsid w:val="00A131F8"/>
    <w:rsid w:val="00A13491"/>
    <w:rsid w:val="00A1355F"/>
    <w:rsid w:val="00A138E8"/>
    <w:rsid w:val="00A139A9"/>
    <w:rsid w:val="00A13AB8"/>
    <w:rsid w:val="00A13B0D"/>
    <w:rsid w:val="00A13B39"/>
    <w:rsid w:val="00A13BF9"/>
    <w:rsid w:val="00A13CEB"/>
    <w:rsid w:val="00A13D80"/>
    <w:rsid w:val="00A13E96"/>
    <w:rsid w:val="00A14010"/>
    <w:rsid w:val="00A14254"/>
    <w:rsid w:val="00A14404"/>
    <w:rsid w:val="00A14594"/>
    <w:rsid w:val="00A14777"/>
    <w:rsid w:val="00A14C27"/>
    <w:rsid w:val="00A14C71"/>
    <w:rsid w:val="00A14C91"/>
    <w:rsid w:val="00A151DF"/>
    <w:rsid w:val="00A15604"/>
    <w:rsid w:val="00A15619"/>
    <w:rsid w:val="00A15657"/>
    <w:rsid w:val="00A156A4"/>
    <w:rsid w:val="00A15824"/>
    <w:rsid w:val="00A158A1"/>
    <w:rsid w:val="00A159E0"/>
    <w:rsid w:val="00A15AC7"/>
    <w:rsid w:val="00A15B30"/>
    <w:rsid w:val="00A15D38"/>
    <w:rsid w:val="00A15F4A"/>
    <w:rsid w:val="00A16056"/>
    <w:rsid w:val="00A16296"/>
    <w:rsid w:val="00A162C5"/>
    <w:rsid w:val="00A16311"/>
    <w:rsid w:val="00A16327"/>
    <w:rsid w:val="00A163DC"/>
    <w:rsid w:val="00A169B3"/>
    <w:rsid w:val="00A16A14"/>
    <w:rsid w:val="00A16BBE"/>
    <w:rsid w:val="00A16DF4"/>
    <w:rsid w:val="00A16EEC"/>
    <w:rsid w:val="00A17325"/>
    <w:rsid w:val="00A1740D"/>
    <w:rsid w:val="00A1758D"/>
    <w:rsid w:val="00A17615"/>
    <w:rsid w:val="00A176F3"/>
    <w:rsid w:val="00A1770B"/>
    <w:rsid w:val="00A17A47"/>
    <w:rsid w:val="00A17AB5"/>
    <w:rsid w:val="00A17AED"/>
    <w:rsid w:val="00A17B10"/>
    <w:rsid w:val="00A17B34"/>
    <w:rsid w:val="00A17CE2"/>
    <w:rsid w:val="00A17D3D"/>
    <w:rsid w:val="00A17D8E"/>
    <w:rsid w:val="00A17EE5"/>
    <w:rsid w:val="00A2010F"/>
    <w:rsid w:val="00A2022F"/>
    <w:rsid w:val="00A20312"/>
    <w:rsid w:val="00A20816"/>
    <w:rsid w:val="00A20A8A"/>
    <w:rsid w:val="00A20E33"/>
    <w:rsid w:val="00A20FBF"/>
    <w:rsid w:val="00A20FFE"/>
    <w:rsid w:val="00A210A5"/>
    <w:rsid w:val="00A21408"/>
    <w:rsid w:val="00A21569"/>
    <w:rsid w:val="00A215EF"/>
    <w:rsid w:val="00A21622"/>
    <w:rsid w:val="00A2176C"/>
    <w:rsid w:val="00A21A2D"/>
    <w:rsid w:val="00A21AA8"/>
    <w:rsid w:val="00A21D08"/>
    <w:rsid w:val="00A21D6E"/>
    <w:rsid w:val="00A21EFE"/>
    <w:rsid w:val="00A22017"/>
    <w:rsid w:val="00A22070"/>
    <w:rsid w:val="00A22353"/>
    <w:rsid w:val="00A22511"/>
    <w:rsid w:val="00A226EE"/>
    <w:rsid w:val="00A22711"/>
    <w:rsid w:val="00A227AB"/>
    <w:rsid w:val="00A22D9C"/>
    <w:rsid w:val="00A22E7C"/>
    <w:rsid w:val="00A231C9"/>
    <w:rsid w:val="00A23248"/>
    <w:rsid w:val="00A234BA"/>
    <w:rsid w:val="00A235C2"/>
    <w:rsid w:val="00A235C3"/>
    <w:rsid w:val="00A23699"/>
    <w:rsid w:val="00A236A0"/>
    <w:rsid w:val="00A2371E"/>
    <w:rsid w:val="00A238F4"/>
    <w:rsid w:val="00A2391E"/>
    <w:rsid w:val="00A23BA3"/>
    <w:rsid w:val="00A23D48"/>
    <w:rsid w:val="00A23F83"/>
    <w:rsid w:val="00A24106"/>
    <w:rsid w:val="00A24301"/>
    <w:rsid w:val="00A246F5"/>
    <w:rsid w:val="00A24842"/>
    <w:rsid w:val="00A24864"/>
    <w:rsid w:val="00A24867"/>
    <w:rsid w:val="00A24AB8"/>
    <w:rsid w:val="00A24BE9"/>
    <w:rsid w:val="00A24CBA"/>
    <w:rsid w:val="00A24E47"/>
    <w:rsid w:val="00A24E56"/>
    <w:rsid w:val="00A24F14"/>
    <w:rsid w:val="00A25077"/>
    <w:rsid w:val="00A252DE"/>
    <w:rsid w:val="00A25371"/>
    <w:rsid w:val="00A2559F"/>
    <w:rsid w:val="00A259C3"/>
    <w:rsid w:val="00A25D2C"/>
    <w:rsid w:val="00A25E7A"/>
    <w:rsid w:val="00A25F44"/>
    <w:rsid w:val="00A26104"/>
    <w:rsid w:val="00A2621B"/>
    <w:rsid w:val="00A2623E"/>
    <w:rsid w:val="00A263F6"/>
    <w:rsid w:val="00A266CF"/>
    <w:rsid w:val="00A2685F"/>
    <w:rsid w:val="00A268CE"/>
    <w:rsid w:val="00A26CF8"/>
    <w:rsid w:val="00A27334"/>
    <w:rsid w:val="00A27764"/>
    <w:rsid w:val="00A277F2"/>
    <w:rsid w:val="00A278B2"/>
    <w:rsid w:val="00A27905"/>
    <w:rsid w:val="00A27A6F"/>
    <w:rsid w:val="00A27C44"/>
    <w:rsid w:val="00A27E79"/>
    <w:rsid w:val="00A3007F"/>
    <w:rsid w:val="00A3028E"/>
    <w:rsid w:val="00A30406"/>
    <w:rsid w:val="00A305C4"/>
    <w:rsid w:val="00A305DE"/>
    <w:rsid w:val="00A30794"/>
    <w:rsid w:val="00A3091A"/>
    <w:rsid w:val="00A30935"/>
    <w:rsid w:val="00A30CD3"/>
    <w:rsid w:val="00A31079"/>
    <w:rsid w:val="00A311BE"/>
    <w:rsid w:val="00A3152F"/>
    <w:rsid w:val="00A31802"/>
    <w:rsid w:val="00A31833"/>
    <w:rsid w:val="00A318E6"/>
    <w:rsid w:val="00A319FC"/>
    <w:rsid w:val="00A31B3A"/>
    <w:rsid w:val="00A31C13"/>
    <w:rsid w:val="00A31C9C"/>
    <w:rsid w:val="00A31D97"/>
    <w:rsid w:val="00A31DD4"/>
    <w:rsid w:val="00A31EB1"/>
    <w:rsid w:val="00A31F1B"/>
    <w:rsid w:val="00A31FAF"/>
    <w:rsid w:val="00A32068"/>
    <w:rsid w:val="00A3237B"/>
    <w:rsid w:val="00A325E7"/>
    <w:rsid w:val="00A32FC9"/>
    <w:rsid w:val="00A33267"/>
    <w:rsid w:val="00A332AF"/>
    <w:rsid w:val="00A333EB"/>
    <w:rsid w:val="00A33530"/>
    <w:rsid w:val="00A335DA"/>
    <w:rsid w:val="00A337C1"/>
    <w:rsid w:val="00A33923"/>
    <w:rsid w:val="00A339B1"/>
    <w:rsid w:val="00A33A72"/>
    <w:rsid w:val="00A33A9A"/>
    <w:rsid w:val="00A33C3A"/>
    <w:rsid w:val="00A33E8C"/>
    <w:rsid w:val="00A33EFA"/>
    <w:rsid w:val="00A340BF"/>
    <w:rsid w:val="00A34141"/>
    <w:rsid w:val="00A341C5"/>
    <w:rsid w:val="00A3436B"/>
    <w:rsid w:val="00A343AE"/>
    <w:rsid w:val="00A344CE"/>
    <w:rsid w:val="00A344FE"/>
    <w:rsid w:val="00A34508"/>
    <w:rsid w:val="00A34562"/>
    <w:rsid w:val="00A3465D"/>
    <w:rsid w:val="00A34791"/>
    <w:rsid w:val="00A34897"/>
    <w:rsid w:val="00A34B14"/>
    <w:rsid w:val="00A353BC"/>
    <w:rsid w:val="00A35434"/>
    <w:rsid w:val="00A354DB"/>
    <w:rsid w:val="00A35C60"/>
    <w:rsid w:val="00A35D37"/>
    <w:rsid w:val="00A35D6B"/>
    <w:rsid w:val="00A35D7A"/>
    <w:rsid w:val="00A35DF6"/>
    <w:rsid w:val="00A35EA4"/>
    <w:rsid w:val="00A3610D"/>
    <w:rsid w:val="00A36126"/>
    <w:rsid w:val="00A36365"/>
    <w:rsid w:val="00A3663C"/>
    <w:rsid w:val="00A366F4"/>
    <w:rsid w:val="00A3673A"/>
    <w:rsid w:val="00A3680B"/>
    <w:rsid w:val="00A368F2"/>
    <w:rsid w:val="00A36AB6"/>
    <w:rsid w:val="00A36B01"/>
    <w:rsid w:val="00A36B39"/>
    <w:rsid w:val="00A36C7C"/>
    <w:rsid w:val="00A36CCF"/>
    <w:rsid w:val="00A36F2E"/>
    <w:rsid w:val="00A36F6F"/>
    <w:rsid w:val="00A36F74"/>
    <w:rsid w:val="00A3705F"/>
    <w:rsid w:val="00A371A5"/>
    <w:rsid w:val="00A371D9"/>
    <w:rsid w:val="00A3726D"/>
    <w:rsid w:val="00A37348"/>
    <w:rsid w:val="00A374AA"/>
    <w:rsid w:val="00A376CF"/>
    <w:rsid w:val="00A37850"/>
    <w:rsid w:val="00A37856"/>
    <w:rsid w:val="00A378C7"/>
    <w:rsid w:val="00A37982"/>
    <w:rsid w:val="00A37A02"/>
    <w:rsid w:val="00A37AC1"/>
    <w:rsid w:val="00A37B8C"/>
    <w:rsid w:val="00A37CDC"/>
    <w:rsid w:val="00A37CE3"/>
    <w:rsid w:val="00A37FF1"/>
    <w:rsid w:val="00A40329"/>
    <w:rsid w:val="00A403FC"/>
    <w:rsid w:val="00A4092D"/>
    <w:rsid w:val="00A40A8F"/>
    <w:rsid w:val="00A40B33"/>
    <w:rsid w:val="00A40B94"/>
    <w:rsid w:val="00A40BE5"/>
    <w:rsid w:val="00A40D61"/>
    <w:rsid w:val="00A40DB8"/>
    <w:rsid w:val="00A40EC6"/>
    <w:rsid w:val="00A41295"/>
    <w:rsid w:val="00A4162A"/>
    <w:rsid w:val="00A4167A"/>
    <w:rsid w:val="00A4186F"/>
    <w:rsid w:val="00A4194C"/>
    <w:rsid w:val="00A41AC4"/>
    <w:rsid w:val="00A41BF3"/>
    <w:rsid w:val="00A41D7D"/>
    <w:rsid w:val="00A41F0E"/>
    <w:rsid w:val="00A423F7"/>
    <w:rsid w:val="00A424A4"/>
    <w:rsid w:val="00A424C1"/>
    <w:rsid w:val="00A425D6"/>
    <w:rsid w:val="00A426C9"/>
    <w:rsid w:val="00A429AC"/>
    <w:rsid w:val="00A42A83"/>
    <w:rsid w:val="00A42A9E"/>
    <w:rsid w:val="00A42B14"/>
    <w:rsid w:val="00A42F86"/>
    <w:rsid w:val="00A43233"/>
    <w:rsid w:val="00A43675"/>
    <w:rsid w:val="00A43710"/>
    <w:rsid w:val="00A43903"/>
    <w:rsid w:val="00A439D6"/>
    <w:rsid w:val="00A439FE"/>
    <w:rsid w:val="00A43C3A"/>
    <w:rsid w:val="00A43CE7"/>
    <w:rsid w:val="00A43EB7"/>
    <w:rsid w:val="00A43F75"/>
    <w:rsid w:val="00A43FC4"/>
    <w:rsid w:val="00A44268"/>
    <w:rsid w:val="00A445DE"/>
    <w:rsid w:val="00A4460A"/>
    <w:rsid w:val="00A4498F"/>
    <w:rsid w:val="00A449B9"/>
    <w:rsid w:val="00A449E2"/>
    <w:rsid w:val="00A44DAD"/>
    <w:rsid w:val="00A44DAF"/>
    <w:rsid w:val="00A45028"/>
    <w:rsid w:val="00A4519F"/>
    <w:rsid w:val="00A45593"/>
    <w:rsid w:val="00A45887"/>
    <w:rsid w:val="00A45930"/>
    <w:rsid w:val="00A459CF"/>
    <w:rsid w:val="00A45C15"/>
    <w:rsid w:val="00A45C75"/>
    <w:rsid w:val="00A45CB3"/>
    <w:rsid w:val="00A45D6A"/>
    <w:rsid w:val="00A45EFA"/>
    <w:rsid w:val="00A46007"/>
    <w:rsid w:val="00A46752"/>
    <w:rsid w:val="00A4687D"/>
    <w:rsid w:val="00A46A49"/>
    <w:rsid w:val="00A46AED"/>
    <w:rsid w:val="00A46C06"/>
    <w:rsid w:val="00A46E0E"/>
    <w:rsid w:val="00A46E39"/>
    <w:rsid w:val="00A47270"/>
    <w:rsid w:val="00A475D8"/>
    <w:rsid w:val="00A47709"/>
    <w:rsid w:val="00A47751"/>
    <w:rsid w:val="00A47853"/>
    <w:rsid w:val="00A4794C"/>
    <w:rsid w:val="00A479D9"/>
    <w:rsid w:val="00A47BF3"/>
    <w:rsid w:val="00A47E91"/>
    <w:rsid w:val="00A47F55"/>
    <w:rsid w:val="00A47FED"/>
    <w:rsid w:val="00A50101"/>
    <w:rsid w:val="00A5025A"/>
    <w:rsid w:val="00A50348"/>
    <w:rsid w:val="00A50655"/>
    <w:rsid w:val="00A50772"/>
    <w:rsid w:val="00A50838"/>
    <w:rsid w:val="00A50906"/>
    <w:rsid w:val="00A50995"/>
    <w:rsid w:val="00A50A7C"/>
    <w:rsid w:val="00A50BB7"/>
    <w:rsid w:val="00A50D44"/>
    <w:rsid w:val="00A510BA"/>
    <w:rsid w:val="00A5119E"/>
    <w:rsid w:val="00A512FE"/>
    <w:rsid w:val="00A5154B"/>
    <w:rsid w:val="00A51A28"/>
    <w:rsid w:val="00A51A58"/>
    <w:rsid w:val="00A51E64"/>
    <w:rsid w:val="00A521F2"/>
    <w:rsid w:val="00A52798"/>
    <w:rsid w:val="00A52806"/>
    <w:rsid w:val="00A5296D"/>
    <w:rsid w:val="00A52F23"/>
    <w:rsid w:val="00A52F4C"/>
    <w:rsid w:val="00A530AB"/>
    <w:rsid w:val="00A53333"/>
    <w:rsid w:val="00A535CD"/>
    <w:rsid w:val="00A535FF"/>
    <w:rsid w:val="00A5361C"/>
    <w:rsid w:val="00A53679"/>
    <w:rsid w:val="00A536F2"/>
    <w:rsid w:val="00A53922"/>
    <w:rsid w:val="00A539B0"/>
    <w:rsid w:val="00A53C22"/>
    <w:rsid w:val="00A53C24"/>
    <w:rsid w:val="00A53C44"/>
    <w:rsid w:val="00A53C6F"/>
    <w:rsid w:val="00A53CAE"/>
    <w:rsid w:val="00A542D2"/>
    <w:rsid w:val="00A542FC"/>
    <w:rsid w:val="00A544C6"/>
    <w:rsid w:val="00A5463D"/>
    <w:rsid w:val="00A54A1F"/>
    <w:rsid w:val="00A54B79"/>
    <w:rsid w:val="00A54D29"/>
    <w:rsid w:val="00A54D53"/>
    <w:rsid w:val="00A54D75"/>
    <w:rsid w:val="00A54F4F"/>
    <w:rsid w:val="00A54F5A"/>
    <w:rsid w:val="00A55185"/>
    <w:rsid w:val="00A5521D"/>
    <w:rsid w:val="00A552C3"/>
    <w:rsid w:val="00A5541F"/>
    <w:rsid w:val="00A5548C"/>
    <w:rsid w:val="00A557D1"/>
    <w:rsid w:val="00A5598F"/>
    <w:rsid w:val="00A55A2C"/>
    <w:rsid w:val="00A55AA6"/>
    <w:rsid w:val="00A560E6"/>
    <w:rsid w:val="00A5617D"/>
    <w:rsid w:val="00A56200"/>
    <w:rsid w:val="00A56487"/>
    <w:rsid w:val="00A567FE"/>
    <w:rsid w:val="00A56906"/>
    <w:rsid w:val="00A56A1E"/>
    <w:rsid w:val="00A56A5F"/>
    <w:rsid w:val="00A56F00"/>
    <w:rsid w:val="00A56F4B"/>
    <w:rsid w:val="00A570F3"/>
    <w:rsid w:val="00A57372"/>
    <w:rsid w:val="00A57543"/>
    <w:rsid w:val="00A576C2"/>
    <w:rsid w:val="00A576E5"/>
    <w:rsid w:val="00A57847"/>
    <w:rsid w:val="00A579D0"/>
    <w:rsid w:val="00A57A62"/>
    <w:rsid w:val="00A57B1B"/>
    <w:rsid w:val="00A57DC0"/>
    <w:rsid w:val="00A60029"/>
    <w:rsid w:val="00A6005E"/>
    <w:rsid w:val="00A600E3"/>
    <w:rsid w:val="00A60188"/>
    <w:rsid w:val="00A60631"/>
    <w:rsid w:val="00A607F3"/>
    <w:rsid w:val="00A60ADC"/>
    <w:rsid w:val="00A60ADE"/>
    <w:rsid w:val="00A60BC5"/>
    <w:rsid w:val="00A613A0"/>
    <w:rsid w:val="00A617BB"/>
    <w:rsid w:val="00A61834"/>
    <w:rsid w:val="00A6183E"/>
    <w:rsid w:val="00A6192D"/>
    <w:rsid w:val="00A61A94"/>
    <w:rsid w:val="00A61B60"/>
    <w:rsid w:val="00A61BA9"/>
    <w:rsid w:val="00A61D04"/>
    <w:rsid w:val="00A61D9A"/>
    <w:rsid w:val="00A6221C"/>
    <w:rsid w:val="00A624FC"/>
    <w:rsid w:val="00A625E5"/>
    <w:rsid w:val="00A62678"/>
    <w:rsid w:val="00A6283A"/>
    <w:rsid w:val="00A62846"/>
    <w:rsid w:val="00A62853"/>
    <w:rsid w:val="00A62A09"/>
    <w:rsid w:val="00A62A47"/>
    <w:rsid w:val="00A62F5B"/>
    <w:rsid w:val="00A63181"/>
    <w:rsid w:val="00A6320F"/>
    <w:rsid w:val="00A632FD"/>
    <w:rsid w:val="00A633B2"/>
    <w:rsid w:val="00A633E8"/>
    <w:rsid w:val="00A63502"/>
    <w:rsid w:val="00A63688"/>
    <w:rsid w:val="00A63789"/>
    <w:rsid w:val="00A6388D"/>
    <w:rsid w:val="00A63960"/>
    <w:rsid w:val="00A63A67"/>
    <w:rsid w:val="00A63D23"/>
    <w:rsid w:val="00A63D47"/>
    <w:rsid w:val="00A63D64"/>
    <w:rsid w:val="00A63FA8"/>
    <w:rsid w:val="00A64013"/>
    <w:rsid w:val="00A642E2"/>
    <w:rsid w:val="00A642E6"/>
    <w:rsid w:val="00A643A4"/>
    <w:rsid w:val="00A6440C"/>
    <w:rsid w:val="00A64584"/>
    <w:rsid w:val="00A645FB"/>
    <w:rsid w:val="00A646F9"/>
    <w:rsid w:val="00A64755"/>
    <w:rsid w:val="00A64779"/>
    <w:rsid w:val="00A6480D"/>
    <w:rsid w:val="00A64843"/>
    <w:rsid w:val="00A64B5D"/>
    <w:rsid w:val="00A64C3D"/>
    <w:rsid w:val="00A64E4E"/>
    <w:rsid w:val="00A64EF8"/>
    <w:rsid w:val="00A64FC0"/>
    <w:rsid w:val="00A650A0"/>
    <w:rsid w:val="00A650B5"/>
    <w:rsid w:val="00A656E7"/>
    <w:rsid w:val="00A65C2D"/>
    <w:rsid w:val="00A65FE6"/>
    <w:rsid w:val="00A66084"/>
    <w:rsid w:val="00A6610A"/>
    <w:rsid w:val="00A66490"/>
    <w:rsid w:val="00A66496"/>
    <w:rsid w:val="00A6658A"/>
    <w:rsid w:val="00A66867"/>
    <w:rsid w:val="00A66943"/>
    <w:rsid w:val="00A669A4"/>
    <w:rsid w:val="00A66A6C"/>
    <w:rsid w:val="00A66BC1"/>
    <w:rsid w:val="00A66F71"/>
    <w:rsid w:val="00A671A0"/>
    <w:rsid w:val="00A671FE"/>
    <w:rsid w:val="00A6720D"/>
    <w:rsid w:val="00A67251"/>
    <w:rsid w:val="00A674DB"/>
    <w:rsid w:val="00A67656"/>
    <w:rsid w:val="00A676FA"/>
    <w:rsid w:val="00A67DAE"/>
    <w:rsid w:val="00A67E47"/>
    <w:rsid w:val="00A67F60"/>
    <w:rsid w:val="00A67F8C"/>
    <w:rsid w:val="00A70483"/>
    <w:rsid w:val="00A7056A"/>
    <w:rsid w:val="00A706C1"/>
    <w:rsid w:val="00A70755"/>
    <w:rsid w:val="00A70D22"/>
    <w:rsid w:val="00A70FE8"/>
    <w:rsid w:val="00A712DC"/>
    <w:rsid w:val="00A713D5"/>
    <w:rsid w:val="00A716EB"/>
    <w:rsid w:val="00A71967"/>
    <w:rsid w:val="00A719A9"/>
    <w:rsid w:val="00A71AD8"/>
    <w:rsid w:val="00A71DAE"/>
    <w:rsid w:val="00A71F32"/>
    <w:rsid w:val="00A71F45"/>
    <w:rsid w:val="00A7226A"/>
    <w:rsid w:val="00A7238F"/>
    <w:rsid w:val="00A72395"/>
    <w:rsid w:val="00A72484"/>
    <w:rsid w:val="00A724F1"/>
    <w:rsid w:val="00A7256A"/>
    <w:rsid w:val="00A72686"/>
    <w:rsid w:val="00A7273C"/>
    <w:rsid w:val="00A728C8"/>
    <w:rsid w:val="00A72C45"/>
    <w:rsid w:val="00A72DA6"/>
    <w:rsid w:val="00A72EAD"/>
    <w:rsid w:val="00A73017"/>
    <w:rsid w:val="00A731E8"/>
    <w:rsid w:val="00A7324F"/>
    <w:rsid w:val="00A732C4"/>
    <w:rsid w:val="00A73874"/>
    <w:rsid w:val="00A738FF"/>
    <w:rsid w:val="00A73BDD"/>
    <w:rsid w:val="00A73BE1"/>
    <w:rsid w:val="00A73C76"/>
    <w:rsid w:val="00A73C8B"/>
    <w:rsid w:val="00A73CA0"/>
    <w:rsid w:val="00A73D18"/>
    <w:rsid w:val="00A73E36"/>
    <w:rsid w:val="00A73FF5"/>
    <w:rsid w:val="00A74368"/>
    <w:rsid w:val="00A743DE"/>
    <w:rsid w:val="00A74506"/>
    <w:rsid w:val="00A7458C"/>
    <w:rsid w:val="00A748B1"/>
    <w:rsid w:val="00A749D0"/>
    <w:rsid w:val="00A74A8D"/>
    <w:rsid w:val="00A74E1D"/>
    <w:rsid w:val="00A74FB9"/>
    <w:rsid w:val="00A753B2"/>
    <w:rsid w:val="00A754A7"/>
    <w:rsid w:val="00A755F9"/>
    <w:rsid w:val="00A75702"/>
    <w:rsid w:val="00A759C3"/>
    <w:rsid w:val="00A75B19"/>
    <w:rsid w:val="00A75EB1"/>
    <w:rsid w:val="00A76028"/>
    <w:rsid w:val="00A7631D"/>
    <w:rsid w:val="00A76363"/>
    <w:rsid w:val="00A765EE"/>
    <w:rsid w:val="00A76A9F"/>
    <w:rsid w:val="00A76B4C"/>
    <w:rsid w:val="00A76BAF"/>
    <w:rsid w:val="00A76BD2"/>
    <w:rsid w:val="00A76BDB"/>
    <w:rsid w:val="00A76E5F"/>
    <w:rsid w:val="00A76FA5"/>
    <w:rsid w:val="00A77708"/>
    <w:rsid w:val="00A77809"/>
    <w:rsid w:val="00A7788A"/>
    <w:rsid w:val="00A7791B"/>
    <w:rsid w:val="00A779CF"/>
    <w:rsid w:val="00A779D5"/>
    <w:rsid w:val="00A77AAC"/>
    <w:rsid w:val="00A77CA9"/>
    <w:rsid w:val="00A77D5B"/>
    <w:rsid w:val="00A77DFF"/>
    <w:rsid w:val="00A800A1"/>
    <w:rsid w:val="00A802D6"/>
    <w:rsid w:val="00A80540"/>
    <w:rsid w:val="00A80593"/>
    <w:rsid w:val="00A807E3"/>
    <w:rsid w:val="00A80826"/>
    <w:rsid w:val="00A80935"/>
    <w:rsid w:val="00A80A1E"/>
    <w:rsid w:val="00A80A65"/>
    <w:rsid w:val="00A80A98"/>
    <w:rsid w:val="00A80E2C"/>
    <w:rsid w:val="00A80E4A"/>
    <w:rsid w:val="00A80F80"/>
    <w:rsid w:val="00A81175"/>
    <w:rsid w:val="00A817CC"/>
    <w:rsid w:val="00A8185C"/>
    <w:rsid w:val="00A81924"/>
    <w:rsid w:val="00A81988"/>
    <w:rsid w:val="00A81A66"/>
    <w:rsid w:val="00A81E3C"/>
    <w:rsid w:val="00A81FFE"/>
    <w:rsid w:val="00A82042"/>
    <w:rsid w:val="00A82119"/>
    <w:rsid w:val="00A82218"/>
    <w:rsid w:val="00A823D8"/>
    <w:rsid w:val="00A823DD"/>
    <w:rsid w:val="00A824A4"/>
    <w:rsid w:val="00A82531"/>
    <w:rsid w:val="00A8294C"/>
    <w:rsid w:val="00A82974"/>
    <w:rsid w:val="00A82C22"/>
    <w:rsid w:val="00A82E29"/>
    <w:rsid w:val="00A82E54"/>
    <w:rsid w:val="00A82E67"/>
    <w:rsid w:val="00A82E8E"/>
    <w:rsid w:val="00A835E6"/>
    <w:rsid w:val="00A836D0"/>
    <w:rsid w:val="00A837CC"/>
    <w:rsid w:val="00A837EC"/>
    <w:rsid w:val="00A83806"/>
    <w:rsid w:val="00A83AAE"/>
    <w:rsid w:val="00A83D5C"/>
    <w:rsid w:val="00A83DFD"/>
    <w:rsid w:val="00A83EA0"/>
    <w:rsid w:val="00A84070"/>
    <w:rsid w:val="00A842EB"/>
    <w:rsid w:val="00A84346"/>
    <w:rsid w:val="00A84975"/>
    <w:rsid w:val="00A84ACF"/>
    <w:rsid w:val="00A84D21"/>
    <w:rsid w:val="00A84F6D"/>
    <w:rsid w:val="00A8526A"/>
    <w:rsid w:val="00A852ED"/>
    <w:rsid w:val="00A85632"/>
    <w:rsid w:val="00A8592A"/>
    <w:rsid w:val="00A85A88"/>
    <w:rsid w:val="00A85B6D"/>
    <w:rsid w:val="00A85E07"/>
    <w:rsid w:val="00A85E99"/>
    <w:rsid w:val="00A860BE"/>
    <w:rsid w:val="00A86290"/>
    <w:rsid w:val="00A86564"/>
    <w:rsid w:val="00A8668F"/>
    <w:rsid w:val="00A866A4"/>
    <w:rsid w:val="00A8680D"/>
    <w:rsid w:val="00A869C4"/>
    <w:rsid w:val="00A86A3A"/>
    <w:rsid w:val="00A86BAE"/>
    <w:rsid w:val="00A86C55"/>
    <w:rsid w:val="00A86D33"/>
    <w:rsid w:val="00A86DFD"/>
    <w:rsid w:val="00A86DFF"/>
    <w:rsid w:val="00A86E64"/>
    <w:rsid w:val="00A870E0"/>
    <w:rsid w:val="00A87214"/>
    <w:rsid w:val="00A8727C"/>
    <w:rsid w:val="00A874F1"/>
    <w:rsid w:val="00A87505"/>
    <w:rsid w:val="00A8750E"/>
    <w:rsid w:val="00A87673"/>
    <w:rsid w:val="00A876E4"/>
    <w:rsid w:val="00A87C17"/>
    <w:rsid w:val="00A87CF2"/>
    <w:rsid w:val="00A87F11"/>
    <w:rsid w:val="00A90393"/>
    <w:rsid w:val="00A905A1"/>
    <w:rsid w:val="00A905AE"/>
    <w:rsid w:val="00A906D9"/>
    <w:rsid w:val="00A906EE"/>
    <w:rsid w:val="00A90876"/>
    <w:rsid w:val="00A90A9A"/>
    <w:rsid w:val="00A90CC2"/>
    <w:rsid w:val="00A90D06"/>
    <w:rsid w:val="00A90EEF"/>
    <w:rsid w:val="00A90F1B"/>
    <w:rsid w:val="00A913C2"/>
    <w:rsid w:val="00A913EA"/>
    <w:rsid w:val="00A91796"/>
    <w:rsid w:val="00A917E1"/>
    <w:rsid w:val="00A91B5E"/>
    <w:rsid w:val="00A91B79"/>
    <w:rsid w:val="00A91BE1"/>
    <w:rsid w:val="00A91BFF"/>
    <w:rsid w:val="00A91C98"/>
    <w:rsid w:val="00A91CB8"/>
    <w:rsid w:val="00A91DD1"/>
    <w:rsid w:val="00A91DED"/>
    <w:rsid w:val="00A92079"/>
    <w:rsid w:val="00A921BF"/>
    <w:rsid w:val="00A926F0"/>
    <w:rsid w:val="00A927B5"/>
    <w:rsid w:val="00A92A5B"/>
    <w:rsid w:val="00A92C3E"/>
    <w:rsid w:val="00A9313F"/>
    <w:rsid w:val="00A93193"/>
    <w:rsid w:val="00A93208"/>
    <w:rsid w:val="00A9386B"/>
    <w:rsid w:val="00A93985"/>
    <w:rsid w:val="00A93ADD"/>
    <w:rsid w:val="00A93E5E"/>
    <w:rsid w:val="00A93FF2"/>
    <w:rsid w:val="00A940C1"/>
    <w:rsid w:val="00A9413A"/>
    <w:rsid w:val="00A944AC"/>
    <w:rsid w:val="00A94760"/>
    <w:rsid w:val="00A9484B"/>
    <w:rsid w:val="00A949C6"/>
    <w:rsid w:val="00A94AB5"/>
    <w:rsid w:val="00A94D26"/>
    <w:rsid w:val="00A94D4C"/>
    <w:rsid w:val="00A94DA2"/>
    <w:rsid w:val="00A94FBB"/>
    <w:rsid w:val="00A95030"/>
    <w:rsid w:val="00A95782"/>
    <w:rsid w:val="00A95E78"/>
    <w:rsid w:val="00A95EA6"/>
    <w:rsid w:val="00A95ED1"/>
    <w:rsid w:val="00A96021"/>
    <w:rsid w:val="00A960FB"/>
    <w:rsid w:val="00A9626E"/>
    <w:rsid w:val="00A96299"/>
    <w:rsid w:val="00A9629C"/>
    <w:rsid w:val="00A962E1"/>
    <w:rsid w:val="00A965B5"/>
    <w:rsid w:val="00A966C1"/>
    <w:rsid w:val="00A966F6"/>
    <w:rsid w:val="00A96865"/>
    <w:rsid w:val="00A96905"/>
    <w:rsid w:val="00A96B8B"/>
    <w:rsid w:val="00A96D25"/>
    <w:rsid w:val="00A96D2A"/>
    <w:rsid w:val="00A96D88"/>
    <w:rsid w:val="00A96DE1"/>
    <w:rsid w:val="00A970EA"/>
    <w:rsid w:val="00A97299"/>
    <w:rsid w:val="00A9750F"/>
    <w:rsid w:val="00A9752E"/>
    <w:rsid w:val="00A97531"/>
    <w:rsid w:val="00A975F6"/>
    <w:rsid w:val="00A9773E"/>
    <w:rsid w:val="00A97934"/>
    <w:rsid w:val="00A979E9"/>
    <w:rsid w:val="00A97FDC"/>
    <w:rsid w:val="00AA010D"/>
    <w:rsid w:val="00AA03D8"/>
    <w:rsid w:val="00AA044F"/>
    <w:rsid w:val="00AA0A83"/>
    <w:rsid w:val="00AA0BC8"/>
    <w:rsid w:val="00AA0E13"/>
    <w:rsid w:val="00AA0ED7"/>
    <w:rsid w:val="00AA12B6"/>
    <w:rsid w:val="00AA13D5"/>
    <w:rsid w:val="00AA156D"/>
    <w:rsid w:val="00AA1A3A"/>
    <w:rsid w:val="00AA1B0B"/>
    <w:rsid w:val="00AA221F"/>
    <w:rsid w:val="00AA2229"/>
    <w:rsid w:val="00AA222E"/>
    <w:rsid w:val="00AA2420"/>
    <w:rsid w:val="00AA26D5"/>
    <w:rsid w:val="00AA287F"/>
    <w:rsid w:val="00AA2917"/>
    <w:rsid w:val="00AA29E6"/>
    <w:rsid w:val="00AA29E7"/>
    <w:rsid w:val="00AA2BF7"/>
    <w:rsid w:val="00AA2C1F"/>
    <w:rsid w:val="00AA2CCA"/>
    <w:rsid w:val="00AA2EED"/>
    <w:rsid w:val="00AA2F2F"/>
    <w:rsid w:val="00AA2F5E"/>
    <w:rsid w:val="00AA314E"/>
    <w:rsid w:val="00AA31D3"/>
    <w:rsid w:val="00AA3280"/>
    <w:rsid w:val="00AA3329"/>
    <w:rsid w:val="00AA35E2"/>
    <w:rsid w:val="00AA3662"/>
    <w:rsid w:val="00AA3740"/>
    <w:rsid w:val="00AA3758"/>
    <w:rsid w:val="00AA3847"/>
    <w:rsid w:val="00AA3A79"/>
    <w:rsid w:val="00AA3B4E"/>
    <w:rsid w:val="00AA3B62"/>
    <w:rsid w:val="00AA3C6E"/>
    <w:rsid w:val="00AA4085"/>
    <w:rsid w:val="00AA4282"/>
    <w:rsid w:val="00AA4583"/>
    <w:rsid w:val="00AA47B1"/>
    <w:rsid w:val="00AA494B"/>
    <w:rsid w:val="00AA4A80"/>
    <w:rsid w:val="00AA4B7E"/>
    <w:rsid w:val="00AA4CDA"/>
    <w:rsid w:val="00AA4EA6"/>
    <w:rsid w:val="00AA4F72"/>
    <w:rsid w:val="00AA5291"/>
    <w:rsid w:val="00AA53A0"/>
    <w:rsid w:val="00AA5454"/>
    <w:rsid w:val="00AA5803"/>
    <w:rsid w:val="00AA59A4"/>
    <w:rsid w:val="00AA5BC5"/>
    <w:rsid w:val="00AA5C38"/>
    <w:rsid w:val="00AA5CA1"/>
    <w:rsid w:val="00AA5CFE"/>
    <w:rsid w:val="00AA5DE5"/>
    <w:rsid w:val="00AA621F"/>
    <w:rsid w:val="00AA63EE"/>
    <w:rsid w:val="00AA642E"/>
    <w:rsid w:val="00AA651D"/>
    <w:rsid w:val="00AA6740"/>
    <w:rsid w:val="00AA696B"/>
    <w:rsid w:val="00AA69ED"/>
    <w:rsid w:val="00AA6A1E"/>
    <w:rsid w:val="00AA6A20"/>
    <w:rsid w:val="00AA6A91"/>
    <w:rsid w:val="00AA6B7A"/>
    <w:rsid w:val="00AA6DD0"/>
    <w:rsid w:val="00AA6E8C"/>
    <w:rsid w:val="00AA6ED4"/>
    <w:rsid w:val="00AA7040"/>
    <w:rsid w:val="00AA71F7"/>
    <w:rsid w:val="00AA7433"/>
    <w:rsid w:val="00AA74A6"/>
    <w:rsid w:val="00AA76DB"/>
    <w:rsid w:val="00AA7B18"/>
    <w:rsid w:val="00AA7B9D"/>
    <w:rsid w:val="00AA7D1B"/>
    <w:rsid w:val="00AB0058"/>
    <w:rsid w:val="00AB0090"/>
    <w:rsid w:val="00AB0107"/>
    <w:rsid w:val="00AB019E"/>
    <w:rsid w:val="00AB01AE"/>
    <w:rsid w:val="00AB020B"/>
    <w:rsid w:val="00AB02B1"/>
    <w:rsid w:val="00AB0552"/>
    <w:rsid w:val="00AB0B52"/>
    <w:rsid w:val="00AB0E28"/>
    <w:rsid w:val="00AB0E80"/>
    <w:rsid w:val="00AB142A"/>
    <w:rsid w:val="00AB15AE"/>
    <w:rsid w:val="00AB1683"/>
    <w:rsid w:val="00AB16FD"/>
    <w:rsid w:val="00AB18CD"/>
    <w:rsid w:val="00AB1905"/>
    <w:rsid w:val="00AB19B4"/>
    <w:rsid w:val="00AB1A1D"/>
    <w:rsid w:val="00AB1AA6"/>
    <w:rsid w:val="00AB1AB1"/>
    <w:rsid w:val="00AB1B52"/>
    <w:rsid w:val="00AB1BD2"/>
    <w:rsid w:val="00AB1C48"/>
    <w:rsid w:val="00AB1FAD"/>
    <w:rsid w:val="00AB21AE"/>
    <w:rsid w:val="00AB231F"/>
    <w:rsid w:val="00AB23DB"/>
    <w:rsid w:val="00AB2559"/>
    <w:rsid w:val="00AB2698"/>
    <w:rsid w:val="00AB2A4C"/>
    <w:rsid w:val="00AB2CF9"/>
    <w:rsid w:val="00AB2D6F"/>
    <w:rsid w:val="00AB2D98"/>
    <w:rsid w:val="00AB2E1C"/>
    <w:rsid w:val="00AB2EC0"/>
    <w:rsid w:val="00AB2F6E"/>
    <w:rsid w:val="00AB3056"/>
    <w:rsid w:val="00AB33FF"/>
    <w:rsid w:val="00AB363A"/>
    <w:rsid w:val="00AB395B"/>
    <w:rsid w:val="00AB3C5C"/>
    <w:rsid w:val="00AB3DB7"/>
    <w:rsid w:val="00AB415D"/>
    <w:rsid w:val="00AB425E"/>
    <w:rsid w:val="00AB43BB"/>
    <w:rsid w:val="00AB449E"/>
    <w:rsid w:val="00AB4692"/>
    <w:rsid w:val="00AB47DF"/>
    <w:rsid w:val="00AB4969"/>
    <w:rsid w:val="00AB49BE"/>
    <w:rsid w:val="00AB4C95"/>
    <w:rsid w:val="00AB51B2"/>
    <w:rsid w:val="00AB52A8"/>
    <w:rsid w:val="00AB5397"/>
    <w:rsid w:val="00AB53DB"/>
    <w:rsid w:val="00AB54D0"/>
    <w:rsid w:val="00AB5640"/>
    <w:rsid w:val="00AB5807"/>
    <w:rsid w:val="00AB58CC"/>
    <w:rsid w:val="00AB5A5B"/>
    <w:rsid w:val="00AB5B39"/>
    <w:rsid w:val="00AB5B47"/>
    <w:rsid w:val="00AB5C24"/>
    <w:rsid w:val="00AB6100"/>
    <w:rsid w:val="00AB6223"/>
    <w:rsid w:val="00AB6693"/>
    <w:rsid w:val="00AB67D0"/>
    <w:rsid w:val="00AB68F4"/>
    <w:rsid w:val="00AB6A03"/>
    <w:rsid w:val="00AB6AE9"/>
    <w:rsid w:val="00AB6EB1"/>
    <w:rsid w:val="00AB70AD"/>
    <w:rsid w:val="00AB7582"/>
    <w:rsid w:val="00AB78EE"/>
    <w:rsid w:val="00AB79CE"/>
    <w:rsid w:val="00AB79ED"/>
    <w:rsid w:val="00AC0290"/>
    <w:rsid w:val="00AC056B"/>
    <w:rsid w:val="00AC05CE"/>
    <w:rsid w:val="00AC072B"/>
    <w:rsid w:val="00AC078D"/>
    <w:rsid w:val="00AC07D2"/>
    <w:rsid w:val="00AC085A"/>
    <w:rsid w:val="00AC085E"/>
    <w:rsid w:val="00AC0877"/>
    <w:rsid w:val="00AC08FD"/>
    <w:rsid w:val="00AC0A57"/>
    <w:rsid w:val="00AC0EAF"/>
    <w:rsid w:val="00AC0EDF"/>
    <w:rsid w:val="00AC135C"/>
    <w:rsid w:val="00AC1406"/>
    <w:rsid w:val="00AC1553"/>
    <w:rsid w:val="00AC17AA"/>
    <w:rsid w:val="00AC1858"/>
    <w:rsid w:val="00AC1993"/>
    <w:rsid w:val="00AC1DCC"/>
    <w:rsid w:val="00AC1ED6"/>
    <w:rsid w:val="00AC1FB0"/>
    <w:rsid w:val="00AC208D"/>
    <w:rsid w:val="00AC24D4"/>
    <w:rsid w:val="00AC256D"/>
    <w:rsid w:val="00AC26D8"/>
    <w:rsid w:val="00AC270C"/>
    <w:rsid w:val="00AC2922"/>
    <w:rsid w:val="00AC2AC5"/>
    <w:rsid w:val="00AC2E75"/>
    <w:rsid w:val="00AC311E"/>
    <w:rsid w:val="00AC3159"/>
    <w:rsid w:val="00AC318D"/>
    <w:rsid w:val="00AC31A7"/>
    <w:rsid w:val="00AC323C"/>
    <w:rsid w:val="00AC351E"/>
    <w:rsid w:val="00AC3534"/>
    <w:rsid w:val="00AC357D"/>
    <w:rsid w:val="00AC3655"/>
    <w:rsid w:val="00AC379C"/>
    <w:rsid w:val="00AC3894"/>
    <w:rsid w:val="00AC38EA"/>
    <w:rsid w:val="00AC390A"/>
    <w:rsid w:val="00AC3A42"/>
    <w:rsid w:val="00AC3D3A"/>
    <w:rsid w:val="00AC3EA2"/>
    <w:rsid w:val="00AC40F3"/>
    <w:rsid w:val="00AC44D1"/>
    <w:rsid w:val="00AC482E"/>
    <w:rsid w:val="00AC4CA9"/>
    <w:rsid w:val="00AC4D54"/>
    <w:rsid w:val="00AC4EE9"/>
    <w:rsid w:val="00AC4FB0"/>
    <w:rsid w:val="00AC56D6"/>
    <w:rsid w:val="00AC58E7"/>
    <w:rsid w:val="00AC58F8"/>
    <w:rsid w:val="00AC610E"/>
    <w:rsid w:val="00AC62E8"/>
    <w:rsid w:val="00AC6318"/>
    <w:rsid w:val="00AC63C5"/>
    <w:rsid w:val="00AC63EE"/>
    <w:rsid w:val="00AC66B4"/>
    <w:rsid w:val="00AC677F"/>
    <w:rsid w:val="00AC692B"/>
    <w:rsid w:val="00AC6BCF"/>
    <w:rsid w:val="00AC6C8C"/>
    <w:rsid w:val="00AC6F02"/>
    <w:rsid w:val="00AC72A4"/>
    <w:rsid w:val="00AC73A5"/>
    <w:rsid w:val="00AC7683"/>
    <w:rsid w:val="00AC76AD"/>
    <w:rsid w:val="00AC7B9A"/>
    <w:rsid w:val="00AC7C4A"/>
    <w:rsid w:val="00AC7C5D"/>
    <w:rsid w:val="00AD01A2"/>
    <w:rsid w:val="00AD053D"/>
    <w:rsid w:val="00AD06E2"/>
    <w:rsid w:val="00AD09B3"/>
    <w:rsid w:val="00AD0C67"/>
    <w:rsid w:val="00AD0CE1"/>
    <w:rsid w:val="00AD0D2C"/>
    <w:rsid w:val="00AD0E40"/>
    <w:rsid w:val="00AD121B"/>
    <w:rsid w:val="00AD15F0"/>
    <w:rsid w:val="00AD1636"/>
    <w:rsid w:val="00AD163A"/>
    <w:rsid w:val="00AD1673"/>
    <w:rsid w:val="00AD1A6B"/>
    <w:rsid w:val="00AD1B3F"/>
    <w:rsid w:val="00AD1DB9"/>
    <w:rsid w:val="00AD1E4A"/>
    <w:rsid w:val="00AD223C"/>
    <w:rsid w:val="00AD2809"/>
    <w:rsid w:val="00AD2870"/>
    <w:rsid w:val="00AD293D"/>
    <w:rsid w:val="00AD2C76"/>
    <w:rsid w:val="00AD2C90"/>
    <w:rsid w:val="00AD2EAB"/>
    <w:rsid w:val="00AD2EEE"/>
    <w:rsid w:val="00AD3027"/>
    <w:rsid w:val="00AD337F"/>
    <w:rsid w:val="00AD34DC"/>
    <w:rsid w:val="00AD35D5"/>
    <w:rsid w:val="00AD36F6"/>
    <w:rsid w:val="00AD39D1"/>
    <w:rsid w:val="00AD3C21"/>
    <w:rsid w:val="00AD3D35"/>
    <w:rsid w:val="00AD3D91"/>
    <w:rsid w:val="00AD40B5"/>
    <w:rsid w:val="00AD435C"/>
    <w:rsid w:val="00AD444C"/>
    <w:rsid w:val="00AD4860"/>
    <w:rsid w:val="00AD4A41"/>
    <w:rsid w:val="00AD4FEC"/>
    <w:rsid w:val="00AD52DA"/>
    <w:rsid w:val="00AD5580"/>
    <w:rsid w:val="00AD5769"/>
    <w:rsid w:val="00AD57F6"/>
    <w:rsid w:val="00AD5B76"/>
    <w:rsid w:val="00AD5E78"/>
    <w:rsid w:val="00AD5FBE"/>
    <w:rsid w:val="00AD5FDB"/>
    <w:rsid w:val="00AD6077"/>
    <w:rsid w:val="00AD6336"/>
    <w:rsid w:val="00AD655E"/>
    <w:rsid w:val="00AD660E"/>
    <w:rsid w:val="00AD6AC0"/>
    <w:rsid w:val="00AD6C6F"/>
    <w:rsid w:val="00AD6EE8"/>
    <w:rsid w:val="00AD7070"/>
    <w:rsid w:val="00AD7465"/>
    <w:rsid w:val="00AD74C7"/>
    <w:rsid w:val="00AD7542"/>
    <w:rsid w:val="00AD7552"/>
    <w:rsid w:val="00AD7D45"/>
    <w:rsid w:val="00AD7DB0"/>
    <w:rsid w:val="00AD7E26"/>
    <w:rsid w:val="00AE0190"/>
    <w:rsid w:val="00AE020E"/>
    <w:rsid w:val="00AE03E6"/>
    <w:rsid w:val="00AE04C0"/>
    <w:rsid w:val="00AE072A"/>
    <w:rsid w:val="00AE0AAB"/>
    <w:rsid w:val="00AE0FFD"/>
    <w:rsid w:val="00AE10EE"/>
    <w:rsid w:val="00AE1308"/>
    <w:rsid w:val="00AE137C"/>
    <w:rsid w:val="00AE1623"/>
    <w:rsid w:val="00AE1645"/>
    <w:rsid w:val="00AE17A5"/>
    <w:rsid w:val="00AE1C0E"/>
    <w:rsid w:val="00AE1EB2"/>
    <w:rsid w:val="00AE1F39"/>
    <w:rsid w:val="00AE1FAB"/>
    <w:rsid w:val="00AE207B"/>
    <w:rsid w:val="00AE20CC"/>
    <w:rsid w:val="00AE21CA"/>
    <w:rsid w:val="00AE222D"/>
    <w:rsid w:val="00AE228A"/>
    <w:rsid w:val="00AE24CE"/>
    <w:rsid w:val="00AE252D"/>
    <w:rsid w:val="00AE269C"/>
    <w:rsid w:val="00AE2985"/>
    <w:rsid w:val="00AE2BC9"/>
    <w:rsid w:val="00AE2BE7"/>
    <w:rsid w:val="00AE2C5C"/>
    <w:rsid w:val="00AE2D46"/>
    <w:rsid w:val="00AE2DBD"/>
    <w:rsid w:val="00AE2FDC"/>
    <w:rsid w:val="00AE2FF0"/>
    <w:rsid w:val="00AE33A8"/>
    <w:rsid w:val="00AE3691"/>
    <w:rsid w:val="00AE3761"/>
    <w:rsid w:val="00AE383C"/>
    <w:rsid w:val="00AE39E4"/>
    <w:rsid w:val="00AE3B6F"/>
    <w:rsid w:val="00AE3E61"/>
    <w:rsid w:val="00AE3EA8"/>
    <w:rsid w:val="00AE3F8D"/>
    <w:rsid w:val="00AE400C"/>
    <w:rsid w:val="00AE4166"/>
    <w:rsid w:val="00AE43B0"/>
    <w:rsid w:val="00AE43DD"/>
    <w:rsid w:val="00AE46DA"/>
    <w:rsid w:val="00AE4712"/>
    <w:rsid w:val="00AE480B"/>
    <w:rsid w:val="00AE48B0"/>
    <w:rsid w:val="00AE48D2"/>
    <w:rsid w:val="00AE4BFF"/>
    <w:rsid w:val="00AE4D27"/>
    <w:rsid w:val="00AE4DBF"/>
    <w:rsid w:val="00AE5133"/>
    <w:rsid w:val="00AE5275"/>
    <w:rsid w:val="00AE5321"/>
    <w:rsid w:val="00AE5612"/>
    <w:rsid w:val="00AE576B"/>
    <w:rsid w:val="00AE5A5D"/>
    <w:rsid w:val="00AE5B60"/>
    <w:rsid w:val="00AE5C2D"/>
    <w:rsid w:val="00AE5CCF"/>
    <w:rsid w:val="00AE5D72"/>
    <w:rsid w:val="00AE644F"/>
    <w:rsid w:val="00AE66DE"/>
    <w:rsid w:val="00AE67B5"/>
    <w:rsid w:val="00AE67D5"/>
    <w:rsid w:val="00AE680C"/>
    <w:rsid w:val="00AE6ABC"/>
    <w:rsid w:val="00AE6CAF"/>
    <w:rsid w:val="00AE6E36"/>
    <w:rsid w:val="00AE7379"/>
    <w:rsid w:val="00AE74D3"/>
    <w:rsid w:val="00AE754B"/>
    <w:rsid w:val="00AE76DD"/>
    <w:rsid w:val="00AE781F"/>
    <w:rsid w:val="00AE7855"/>
    <w:rsid w:val="00AE79B7"/>
    <w:rsid w:val="00AE7CDD"/>
    <w:rsid w:val="00AE7CFD"/>
    <w:rsid w:val="00AE7DDC"/>
    <w:rsid w:val="00AE7E15"/>
    <w:rsid w:val="00AE7E9B"/>
    <w:rsid w:val="00AE7F11"/>
    <w:rsid w:val="00AE7FF0"/>
    <w:rsid w:val="00AF009A"/>
    <w:rsid w:val="00AF0445"/>
    <w:rsid w:val="00AF0561"/>
    <w:rsid w:val="00AF0B91"/>
    <w:rsid w:val="00AF12D9"/>
    <w:rsid w:val="00AF140B"/>
    <w:rsid w:val="00AF19CB"/>
    <w:rsid w:val="00AF1B21"/>
    <w:rsid w:val="00AF1B40"/>
    <w:rsid w:val="00AF1BE9"/>
    <w:rsid w:val="00AF1C9E"/>
    <w:rsid w:val="00AF1D92"/>
    <w:rsid w:val="00AF1F78"/>
    <w:rsid w:val="00AF2519"/>
    <w:rsid w:val="00AF254B"/>
    <w:rsid w:val="00AF2636"/>
    <w:rsid w:val="00AF299B"/>
    <w:rsid w:val="00AF2A01"/>
    <w:rsid w:val="00AF2D90"/>
    <w:rsid w:val="00AF2E79"/>
    <w:rsid w:val="00AF30CC"/>
    <w:rsid w:val="00AF35FC"/>
    <w:rsid w:val="00AF36CE"/>
    <w:rsid w:val="00AF3815"/>
    <w:rsid w:val="00AF39FD"/>
    <w:rsid w:val="00AF3A90"/>
    <w:rsid w:val="00AF3CCE"/>
    <w:rsid w:val="00AF4031"/>
    <w:rsid w:val="00AF40D9"/>
    <w:rsid w:val="00AF4101"/>
    <w:rsid w:val="00AF415E"/>
    <w:rsid w:val="00AF41B5"/>
    <w:rsid w:val="00AF42F6"/>
    <w:rsid w:val="00AF44B7"/>
    <w:rsid w:val="00AF44ED"/>
    <w:rsid w:val="00AF4586"/>
    <w:rsid w:val="00AF463E"/>
    <w:rsid w:val="00AF4832"/>
    <w:rsid w:val="00AF4A01"/>
    <w:rsid w:val="00AF4AB0"/>
    <w:rsid w:val="00AF5314"/>
    <w:rsid w:val="00AF5947"/>
    <w:rsid w:val="00AF5B63"/>
    <w:rsid w:val="00AF5BE1"/>
    <w:rsid w:val="00AF5D98"/>
    <w:rsid w:val="00AF5E80"/>
    <w:rsid w:val="00AF5F35"/>
    <w:rsid w:val="00AF5F6E"/>
    <w:rsid w:val="00AF631D"/>
    <w:rsid w:val="00AF64D1"/>
    <w:rsid w:val="00AF6B93"/>
    <w:rsid w:val="00AF6E87"/>
    <w:rsid w:val="00AF6EC9"/>
    <w:rsid w:val="00AF6F4D"/>
    <w:rsid w:val="00AF72C8"/>
    <w:rsid w:val="00AF7558"/>
    <w:rsid w:val="00AF76B2"/>
    <w:rsid w:val="00AF782A"/>
    <w:rsid w:val="00AF793A"/>
    <w:rsid w:val="00AF7BFE"/>
    <w:rsid w:val="00B000A8"/>
    <w:rsid w:val="00B0045E"/>
    <w:rsid w:val="00B0061E"/>
    <w:rsid w:val="00B00A96"/>
    <w:rsid w:val="00B00B0B"/>
    <w:rsid w:val="00B00C37"/>
    <w:rsid w:val="00B00C98"/>
    <w:rsid w:val="00B00EB5"/>
    <w:rsid w:val="00B00F3C"/>
    <w:rsid w:val="00B01099"/>
    <w:rsid w:val="00B01377"/>
    <w:rsid w:val="00B014F4"/>
    <w:rsid w:val="00B0176A"/>
    <w:rsid w:val="00B0176E"/>
    <w:rsid w:val="00B0177E"/>
    <w:rsid w:val="00B01A11"/>
    <w:rsid w:val="00B01AF0"/>
    <w:rsid w:val="00B01BC8"/>
    <w:rsid w:val="00B01CCC"/>
    <w:rsid w:val="00B01F2D"/>
    <w:rsid w:val="00B021CC"/>
    <w:rsid w:val="00B023D3"/>
    <w:rsid w:val="00B028B4"/>
    <w:rsid w:val="00B02CAB"/>
    <w:rsid w:val="00B02DFE"/>
    <w:rsid w:val="00B02E53"/>
    <w:rsid w:val="00B02FAC"/>
    <w:rsid w:val="00B030F7"/>
    <w:rsid w:val="00B0340B"/>
    <w:rsid w:val="00B034CF"/>
    <w:rsid w:val="00B034FD"/>
    <w:rsid w:val="00B035DB"/>
    <w:rsid w:val="00B0362A"/>
    <w:rsid w:val="00B03A71"/>
    <w:rsid w:val="00B03B85"/>
    <w:rsid w:val="00B03DE9"/>
    <w:rsid w:val="00B03F5A"/>
    <w:rsid w:val="00B0425B"/>
    <w:rsid w:val="00B043D9"/>
    <w:rsid w:val="00B04516"/>
    <w:rsid w:val="00B0454C"/>
    <w:rsid w:val="00B04B75"/>
    <w:rsid w:val="00B04DF0"/>
    <w:rsid w:val="00B04F27"/>
    <w:rsid w:val="00B04FF8"/>
    <w:rsid w:val="00B050D4"/>
    <w:rsid w:val="00B0520E"/>
    <w:rsid w:val="00B05269"/>
    <w:rsid w:val="00B0545C"/>
    <w:rsid w:val="00B05560"/>
    <w:rsid w:val="00B0576D"/>
    <w:rsid w:val="00B05772"/>
    <w:rsid w:val="00B057E3"/>
    <w:rsid w:val="00B05994"/>
    <w:rsid w:val="00B059DB"/>
    <w:rsid w:val="00B05A87"/>
    <w:rsid w:val="00B05A8C"/>
    <w:rsid w:val="00B05B85"/>
    <w:rsid w:val="00B05E42"/>
    <w:rsid w:val="00B05EDE"/>
    <w:rsid w:val="00B05FA8"/>
    <w:rsid w:val="00B0604B"/>
    <w:rsid w:val="00B06121"/>
    <w:rsid w:val="00B0649D"/>
    <w:rsid w:val="00B066F6"/>
    <w:rsid w:val="00B0678B"/>
    <w:rsid w:val="00B067A0"/>
    <w:rsid w:val="00B06994"/>
    <w:rsid w:val="00B06B4E"/>
    <w:rsid w:val="00B06BB6"/>
    <w:rsid w:val="00B06C40"/>
    <w:rsid w:val="00B06C42"/>
    <w:rsid w:val="00B0764E"/>
    <w:rsid w:val="00B07D15"/>
    <w:rsid w:val="00B0CC26"/>
    <w:rsid w:val="00B10042"/>
    <w:rsid w:val="00B1026E"/>
    <w:rsid w:val="00B108F0"/>
    <w:rsid w:val="00B10957"/>
    <w:rsid w:val="00B10FB2"/>
    <w:rsid w:val="00B1118B"/>
    <w:rsid w:val="00B1122F"/>
    <w:rsid w:val="00B114E0"/>
    <w:rsid w:val="00B1155F"/>
    <w:rsid w:val="00B11681"/>
    <w:rsid w:val="00B116CC"/>
    <w:rsid w:val="00B118EE"/>
    <w:rsid w:val="00B118FA"/>
    <w:rsid w:val="00B11A15"/>
    <w:rsid w:val="00B11B8C"/>
    <w:rsid w:val="00B11D95"/>
    <w:rsid w:val="00B11F5E"/>
    <w:rsid w:val="00B12188"/>
    <w:rsid w:val="00B121B4"/>
    <w:rsid w:val="00B121EF"/>
    <w:rsid w:val="00B12423"/>
    <w:rsid w:val="00B126D0"/>
    <w:rsid w:val="00B12BAB"/>
    <w:rsid w:val="00B12C11"/>
    <w:rsid w:val="00B12E4A"/>
    <w:rsid w:val="00B13533"/>
    <w:rsid w:val="00B135C4"/>
    <w:rsid w:val="00B13639"/>
    <w:rsid w:val="00B13973"/>
    <w:rsid w:val="00B139B2"/>
    <w:rsid w:val="00B13CA8"/>
    <w:rsid w:val="00B13F8A"/>
    <w:rsid w:val="00B14012"/>
    <w:rsid w:val="00B14397"/>
    <w:rsid w:val="00B14425"/>
    <w:rsid w:val="00B14429"/>
    <w:rsid w:val="00B1447E"/>
    <w:rsid w:val="00B1463C"/>
    <w:rsid w:val="00B1471E"/>
    <w:rsid w:val="00B14DCB"/>
    <w:rsid w:val="00B150D3"/>
    <w:rsid w:val="00B1522C"/>
    <w:rsid w:val="00B156D5"/>
    <w:rsid w:val="00B15C35"/>
    <w:rsid w:val="00B15C64"/>
    <w:rsid w:val="00B15CB9"/>
    <w:rsid w:val="00B15F7E"/>
    <w:rsid w:val="00B15FF4"/>
    <w:rsid w:val="00B160FE"/>
    <w:rsid w:val="00B1610E"/>
    <w:rsid w:val="00B1629A"/>
    <w:rsid w:val="00B168F3"/>
    <w:rsid w:val="00B16C58"/>
    <w:rsid w:val="00B16C76"/>
    <w:rsid w:val="00B16CC5"/>
    <w:rsid w:val="00B16E47"/>
    <w:rsid w:val="00B17281"/>
    <w:rsid w:val="00B1737A"/>
    <w:rsid w:val="00B173D7"/>
    <w:rsid w:val="00B1740D"/>
    <w:rsid w:val="00B17417"/>
    <w:rsid w:val="00B17D5E"/>
    <w:rsid w:val="00B17EE1"/>
    <w:rsid w:val="00B17F48"/>
    <w:rsid w:val="00B17F61"/>
    <w:rsid w:val="00B2021D"/>
    <w:rsid w:val="00B20539"/>
    <w:rsid w:val="00B2059E"/>
    <w:rsid w:val="00B20661"/>
    <w:rsid w:val="00B207E3"/>
    <w:rsid w:val="00B20859"/>
    <w:rsid w:val="00B20A99"/>
    <w:rsid w:val="00B20D88"/>
    <w:rsid w:val="00B20FF3"/>
    <w:rsid w:val="00B21299"/>
    <w:rsid w:val="00B212AD"/>
    <w:rsid w:val="00B21883"/>
    <w:rsid w:val="00B2197C"/>
    <w:rsid w:val="00B21EBF"/>
    <w:rsid w:val="00B21F7D"/>
    <w:rsid w:val="00B21F7E"/>
    <w:rsid w:val="00B21FD4"/>
    <w:rsid w:val="00B22318"/>
    <w:rsid w:val="00B22447"/>
    <w:rsid w:val="00B2263A"/>
    <w:rsid w:val="00B22679"/>
    <w:rsid w:val="00B226A8"/>
    <w:rsid w:val="00B227C0"/>
    <w:rsid w:val="00B22839"/>
    <w:rsid w:val="00B22D0B"/>
    <w:rsid w:val="00B22F3F"/>
    <w:rsid w:val="00B230B6"/>
    <w:rsid w:val="00B23311"/>
    <w:rsid w:val="00B233D8"/>
    <w:rsid w:val="00B2354E"/>
    <w:rsid w:val="00B2356D"/>
    <w:rsid w:val="00B2371B"/>
    <w:rsid w:val="00B238C1"/>
    <w:rsid w:val="00B23B08"/>
    <w:rsid w:val="00B23F0C"/>
    <w:rsid w:val="00B23FE3"/>
    <w:rsid w:val="00B24030"/>
    <w:rsid w:val="00B24260"/>
    <w:rsid w:val="00B242C4"/>
    <w:rsid w:val="00B2444E"/>
    <w:rsid w:val="00B2470F"/>
    <w:rsid w:val="00B247C1"/>
    <w:rsid w:val="00B248B9"/>
    <w:rsid w:val="00B24A95"/>
    <w:rsid w:val="00B24B90"/>
    <w:rsid w:val="00B24D96"/>
    <w:rsid w:val="00B2508C"/>
    <w:rsid w:val="00B250B0"/>
    <w:rsid w:val="00B25163"/>
    <w:rsid w:val="00B25220"/>
    <w:rsid w:val="00B2525E"/>
    <w:rsid w:val="00B254DB"/>
    <w:rsid w:val="00B256DE"/>
    <w:rsid w:val="00B25751"/>
    <w:rsid w:val="00B25AF2"/>
    <w:rsid w:val="00B25E0F"/>
    <w:rsid w:val="00B25E3A"/>
    <w:rsid w:val="00B25FC0"/>
    <w:rsid w:val="00B26390"/>
    <w:rsid w:val="00B26393"/>
    <w:rsid w:val="00B263F3"/>
    <w:rsid w:val="00B2661C"/>
    <w:rsid w:val="00B26645"/>
    <w:rsid w:val="00B26751"/>
    <w:rsid w:val="00B26776"/>
    <w:rsid w:val="00B2691B"/>
    <w:rsid w:val="00B26A18"/>
    <w:rsid w:val="00B26A58"/>
    <w:rsid w:val="00B26AD6"/>
    <w:rsid w:val="00B26D25"/>
    <w:rsid w:val="00B26D8B"/>
    <w:rsid w:val="00B26E38"/>
    <w:rsid w:val="00B26E92"/>
    <w:rsid w:val="00B26FEA"/>
    <w:rsid w:val="00B27523"/>
    <w:rsid w:val="00B27856"/>
    <w:rsid w:val="00B278A2"/>
    <w:rsid w:val="00B27B82"/>
    <w:rsid w:val="00B27B94"/>
    <w:rsid w:val="00B27D46"/>
    <w:rsid w:val="00B27EEF"/>
    <w:rsid w:val="00B27FAE"/>
    <w:rsid w:val="00B300DE"/>
    <w:rsid w:val="00B301B8"/>
    <w:rsid w:val="00B301C2"/>
    <w:rsid w:val="00B3037B"/>
    <w:rsid w:val="00B30580"/>
    <w:rsid w:val="00B305FA"/>
    <w:rsid w:val="00B306FC"/>
    <w:rsid w:val="00B30A1C"/>
    <w:rsid w:val="00B30C91"/>
    <w:rsid w:val="00B30F7D"/>
    <w:rsid w:val="00B31121"/>
    <w:rsid w:val="00B315B3"/>
    <w:rsid w:val="00B317B1"/>
    <w:rsid w:val="00B3182D"/>
    <w:rsid w:val="00B318AD"/>
    <w:rsid w:val="00B318BF"/>
    <w:rsid w:val="00B319E8"/>
    <w:rsid w:val="00B31A06"/>
    <w:rsid w:val="00B31B85"/>
    <w:rsid w:val="00B31CFF"/>
    <w:rsid w:val="00B31E9E"/>
    <w:rsid w:val="00B31F70"/>
    <w:rsid w:val="00B32059"/>
    <w:rsid w:val="00B32069"/>
    <w:rsid w:val="00B3209B"/>
    <w:rsid w:val="00B32187"/>
    <w:rsid w:val="00B325BD"/>
    <w:rsid w:val="00B326DF"/>
    <w:rsid w:val="00B3294C"/>
    <w:rsid w:val="00B32A22"/>
    <w:rsid w:val="00B32A8A"/>
    <w:rsid w:val="00B32A8D"/>
    <w:rsid w:val="00B32C85"/>
    <w:rsid w:val="00B32CAE"/>
    <w:rsid w:val="00B32CB3"/>
    <w:rsid w:val="00B32D40"/>
    <w:rsid w:val="00B330DA"/>
    <w:rsid w:val="00B332E5"/>
    <w:rsid w:val="00B33659"/>
    <w:rsid w:val="00B336C9"/>
    <w:rsid w:val="00B3392A"/>
    <w:rsid w:val="00B3394C"/>
    <w:rsid w:val="00B33A6A"/>
    <w:rsid w:val="00B33BE8"/>
    <w:rsid w:val="00B33DF9"/>
    <w:rsid w:val="00B33E94"/>
    <w:rsid w:val="00B33F72"/>
    <w:rsid w:val="00B34195"/>
    <w:rsid w:val="00B3426F"/>
    <w:rsid w:val="00B34318"/>
    <w:rsid w:val="00B34665"/>
    <w:rsid w:val="00B3475A"/>
    <w:rsid w:val="00B347D2"/>
    <w:rsid w:val="00B348A4"/>
    <w:rsid w:val="00B348E7"/>
    <w:rsid w:val="00B34928"/>
    <w:rsid w:val="00B34A22"/>
    <w:rsid w:val="00B34C58"/>
    <w:rsid w:val="00B34C77"/>
    <w:rsid w:val="00B350AD"/>
    <w:rsid w:val="00B350B4"/>
    <w:rsid w:val="00B355A9"/>
    <w:rsid w:val="00B3577F"/>
    <w:rsid w:val="00B3578A"/>
    <w:rsid w:val="00B3590B"/>
    <w:rsid w:val="00B35955"/>
    <w:rsid w:val="00B359A1"/>
    <w:rsid w:val="00B359A9"/>
    <w:rsid w:val="00B35A52"/>
    <w:rsid w:val="00B35AD7"/>
    <w:rsid w:val="00B35E6B"/>
    <w:rsid w:val="00B35E7C"/>
    <w:rsid w:val="00B35EBA"/>
    <w:rsid w:val="00B35EE5"/>
    <w:rsid w:val="00B35F0E"/>
    <w:rsid w:val="00B361C5"/>
    <w:rsid w:val="00B366FB"/>
    <w:rsid w:val="00B3677E"/>
    <w:rsid w:val="00B36CFC"/>
    <w:rsid w:val="00B36D53"/>
    <w:rsid w:val="00B36DFE"/>
    <w:rsid w:val="00B36E03"/>
    <w:rsid w:val="00B36E58"/>
    <w:rsid w:val="00B37299"/>
    <w:rsid w:val="00B372E8"/>
    <w:rsid w:val="00B37337"/>
    <w:rsid w:val="00B375DC"/>
    <w:rsid w:val="00B37854"/>
    <w:rsid w:val="00B3797D"/>
    <w:rsid w:val="00B37A20"/>
    <w:rsid w:val="00B37AC8"/>
    <w:rsid w:val="00B37D87"/>
    <w:rsid w:val="00B401D7"/>
    <w:rsid w:val="00B404A1"/>
    <w:rsid w:val="00B40A70"/>
    <w:rsid w:val="00B40DAD"/>
    <w:rsid w:val="00B4100C"/>
    <w:rsid w:val="00B411B5"/>
    <w:rsid w:val="00B41263"/>
    <w:rsid w:val="00B4135F"/>
    <w:rsid w:val="00B4182B"/>
    <w:rsid w:val="00B41875"/>
    <w:rsid w:val="00B41A98"/>
    <w:rsid w:val="00B42245"/>
    <w:rsid w:val="00B42270"/>
    <w:rsid w:val="00B423EF"/>
    <w:rsid w:val="00B4273B"/>
    <w:rsid w:val="00B4284C"/>
    <w:rsid w:val="00B42949"/>
    <w:rsid w:val="00B42A02"/>
    <w:rsid w:val="00B42AC2"/>
    <w:rsid w:val="00B42C5A"/>
    <w:rsid w:val="00B42C77"/>
    <w:rsid w:val="00B42D64"/>
    <w:rsid w:val="00B42ED0"/>
    <w:rsid w:val="00B42F4D"/>
    <w:rsid w:val="00B43034"/>
    <w:rsid w:val="00B430EC"/>
    <w:rsid w:val="00B43115"/>
    <w:rsid w:val="00B43356"/>
    <w:rsid w:val="00B4347E"/>
    <w:rsid w:val="00B436AF"/>
    <w:rsid w:val="00B437C6"/>
    <w:rsid w:val="00B4393D"/>
    <w:rsid w:val="00B43A21"/>
    <w:rsid w:val="00B43BE2"/>
    <w:rsid w:val="00B440A5"/>
    <w:rsid w:val="00B44291"/>
    <w:rsid w:val="00B443B2"/>
    <w:rsid w:val="00B44506"/>
    <w:rsid w:val="00B44519"/>
    <w:rsid w:val="00B446C0"/>
    <w:rsid w:val="00B4477E"/>
    <w:rsid w:val="00B447C2"/>
    <w:rsid w:val="00B44BAC"/>
    <w:rsid w:val="00B44EE9"/>
    <w:rsid w:val="00B44FEA"/>
    <w:rsid w:val="00B44FF1"/>
    <w:rsid w:val="00B450EF"/>
    <w:rsid w:val="00B452A6"/>
    <w:rsid w:val="00B45338"/>
    <w:rsid w:val="00B45505"/>
    <w:rsid w:val="00B4593F"/>
    <w:rsid w:val="00B45AB4"/>
    <w:rsid w:val="00B460D2"/>
    <w:rsid w:val="00B46168"/>
    <w:rsid w:val="00B461E2"/>
    <w:rsid w:val="00B462E2"/>
    <w:rsid w:val="00B46402"/>
    <w:rsid w:val="00B46984"/>
    <w:rsid w:val="00B4698C"/>
    <w:rsid w:val="00B46BB5"/>
    <w:rsid w:val="00B47090"/>
    <w:rsid w:val="00B470A6"/>
    <w:rsid w:val="00B47431"/>
    <w:rsid w:val="00B47455"/>
    <w:rsid w:val="00B47896"/>
    <w:rsid w:val="00B47C1A"/>
    <w:rsid w:val="00B47C3D"/>
    <w:rsid w:val="00B47DF0"/>
    <w:rsid w:val="00B47F86"/>
    <w:rsid w:val="00B500FB"/>
    <w:rsid w:val="00B5022B"/>
    <w:rsid w:val="00B5042E"/>
    <w:rsid w:val="00B504D5"/>
    <w:rsid w:val="00B50686"/>
    <w:rsid w:val="00B5068F"/>
    <w:rsid w:val="00B509BE"/>
    <w:rsid w:val="00B50A3C"/>
    <w:rsid w:val="00B50B5C"/>
    <w:rsid w:val="00B50B96"/>
    <w:rsid w:val="00B50CB5"/>
    <w:rsid w:val="00B50D75"/>
    <w:rsid w:val="00B51021"/>
    <w:rsid w:val="00B510A1"/>
    <w:rsid w:val="00B5110F"/>
    <w:rsid w:val="00B51357"/>
    <w:rsid w:val="00B516F3"/>
    <w:rsid w:val="00B51704"/>
    <w:rsid w:val="00B517A8"/>
    <w:rsid w:val="00B51811"/>
    <w:rsid w:val="00B5190B"/>
    <w:rsid w:val="00B51A30"/>
    <w:rsid w:val="00B51AA9"/>
    <w:rsid w:val="00B51E18"/>
    <w:rsid w:val="00B51E34"/>
    <w:rsid w:val="00B51EB6"/>
    <w:rsid w:val="00B5214B"/>
    <w:rsid w:val="00B52788"/>
    <w:rsid w:val="00B52BA5"/>
    <w:rsid w:val="00B52BDE"/>
    <w:rsid w:val="00B52D11"/>
    <w:rsid w:val="00B52D23"/>
    <w:rsid w:val="00B52E50"/>
    <w:rsid w:val="00B531CD"/>
    <w:rsid w:val="00B531E7"/>
    <w:rsid w:val="00B5397E"/>
    <w:rsid w:val="00B53C7A"/>
    <w:rsid w:val="00B53CFF"/>
    <w:rsid w:val="00B53DEC"/>
    <w:rsid w:val="00B53E41"/>
    <w:rsid w:val="00B53F44"/>
    <w:rsid w:val="00B54257"/>
    <w:rsid w:val="00B5436F"/>
    <w:rsid w:val="00B54496"/>
    <w:rsid w:val="00B54816"/>
    <w:rsid w:val="00B5488F"/>
    <w:rsid w:val="00B54938"/>
    <w:rsid w:val="00B549A6"/>
    <w:rsid w:val="00B54DC5"/>
    <w:rsid w:val="00B54F14"/>
    <w:rsid w:val="00B54F49"/>
    <w:rsid w:val="00B55031"/>
    <w:rsid w:val="00B550DE"/>
    <w:rsid w:val="00B5521E"/>
    <w:rsid w:val="00B552C7"/>
    <w:rsid w:val="00B5531E"/>
    <w:rsid w:val="00B55325"/>
    <w:rsid w:val="00B5556B"/>
    <w:rsid w:val="00B55680"/>
    <w:rsid w:val="00B559BB"/>
    <w:rsid w:val="00B55C65"/>
    <w:rsid w:val="00B55CB3"/>
    <w:rsid w:val="00B55DC0"/>
    <w:rsid w:val="00B55F2F"/>
    <w:rsid w:val="00B5610F"/>
    <w:rsid w:val="00B561BB"/>
    <w:rsid w:val="00B5628C"/>
    <w:rsid w:val="00B5671A"/>
    <w:rsid w:val="00B567AE"/>
    <w:rsid w:val="00B567F0"/>
    <w:rsid w:val="00B569D9"/>
    <w:rsid w:val="00B56A0A"/>
    <w:rsid w:val="00B5712A"/>
    <w:rsid w:val="00B571B6"/>
    <w:rsid w:val="00B574A1"/>
    <w:rsid w:val="00B57784"/>
    <w:rsid w:val="00B57B56"/>
    <w:rsid w:val="00B57E9A"/>
    <w:rsid w:val="00B6000A"/>
    <w:rsid w:val="00B60289"/>
    <w:rsid w:val="00B6029E"/>
    <w:rsid w:val="00B606FB"/>
    <w:rsid w:val="00B60CD9"/>
    <w:rsid w:val="00B60E03"/>
    <w:rsid w:val="00B60E6A"/>
    <w:rsid w:val="00B60EF0"/>
    <w:rsid w:val="00B60FE9"/>
    <w:rsid w:val="00B6111C"/>
    <w:rsid w:val="00B612D0"/>
    <w:rsid w:val="00B613DA"/>
    <w:rsid w:val="00B615D0"/>
    <w:rsid w:val="00B61B38"/>
    <w:rsid w:val="00B61CB5"/>
    <w:rsid w:val="00B61DCB"/>
    <w:rsid w:val="00B61DFB"/>
    <w:rsid w:val="00B61FD2"/>
    <w:rsid w:val="00B6209E"/>
    <w:rsid w:val="00B62219"/>
    <w:rsid w:val="00B6240E"/>
    <w:rsid w:val="00B62540"/>
    <w:rsid w:val="00B625A1"/>
    <w:rsid w:val="00B627E1"/>
    <w:rsid w:val="00B628AE"/>
    <w:rsid w:val="00B629A0"/>
    <w:rsid w:val="00B62AC5"/>
    <w:rsid w:val="00B62B45"/>
    <w:rsid w:val="00B62CBA"/>
    <w:rsid w:val="00B62D1C"/>
    <w:rsid w:val="00B62E21"/>
    <w:rsid w:val="00B62EE2"/>
    <w:rsid w:val="00B632A3"/>
    <w:rsid w:val="00B63830"/>
    <w:rsid w:val="00B638EA"/>
    <w:rsid w:val="00B63A90"/>
    <w:rsid w:val="00B63C68"/>
    <w:rsid w:val="00B63C8A"/>
    <w:rsid w:val="00B63D8A"/>
    <w:rsid w:val="00B63DE1"/>
    <w:rsid w:val="00B63ED8"/>
    <w:rsid w:val="00B63F6A"/>
    <w:rsid w:val="00B6409F"/>
    <w:rsid w:val="00B64222"/>
    <w:rsid w:val="00B6463D"/>
    <w:rsid w:val="00B6464E"/>
    <w:rsid w:val="00B64796"/>
    <w:rsid w:val="00B648A1"/>
    <w:rsid w:val="00B648F6"/>
    <w:rsid w:val="00B649B1"/>
    <w:rsid w:val="00B64A64"/>
    <w:rsid w:val="00B64A84"/>
    <w:rsid w:val="00B64AD4"/>
    <w:rsid w:val="00B64AEB"/>
    <w:rsid w:val="00B64C71"/>
    <w:rsid w:val="00B64FE8"/>
    <w:rsid w:val="00B65020"/>
    <w:rsid w:val="00B65035"/>
    <w:rsid w:val="00B651C0"/>
    <w:rsid w:val="00B651D4"/>
    <w:rsid w:val="00B65270"/>
    <w:rsid w:val="00B653DA"/>
    <w:rsid w:val="00B655E5"/>
    <w:rsid w:val="00B655EA"/>
    <w:rsid w:val="00B65693"/>
    <w:rsid w:val="00B659C3"/>
    <w:rsid w:val="00B65E24"/>
    <w:rsid w:val="00B65F3D"/>
    <w:rsid w:val="00B65F4D"/>
    <w:rsid w:val="00B65F70"/>
    <w:rsid w:val="00B661C4"/>
    <w:rsid w:val="00B6638A"/>
    <w:rsid w:val="00B664D6"/>
    <w:rsid w:val="00B66641"/>
    <w:rsid w:val="00B66AA0"/>
    <w:rsid w:val="00B66D72"/>
    <w:rsid w:val="00B66E6D"/>
    <w:rsid w:val="00B67003"/>
    <w:rsid w:val="00B670F2"/>
    <w:rsid w:val="00B6711A"/>
    <w:rsid w:val="00B676C7"/>
    <w:rsid w:val="00B676CD"/>
    <w:rsid w:val="00B67793"/>
    <w:rsid w:val="00B679D2"/>
    <w:rsid w:val="00B67AD8"/>
    <w:rsid w:val="00B67C9B"/>
    <w:rsid w:val="00B67E07"/>
    <w:rsid w:val="00B67FCA"/>
    <w:rsid w:val="00B70148"/>
    <w:rsid w:val="00B70192"/>
    <w:rsid w:val="00B7027E"/>
    <w:rsid w:val="00B70385"/>
    <w:rsid w:val="00B7049D"/>
    <w:rsid w:val="00B7085D"/>
    <w:rsid w:val="00B70AAE"/>
    <w:rsid w:val="00B70DD3"/>
    <w:rsid w:val="00B7107E"/>
    <w:rsid w:val="00B710A9"/>
    <w:rsid w:val="00B710CB"/>
    <w:rsid w:val="00B712EB"/>
    <w:rsid w:val="00B714E9"/>
    <w:rsid w:val="00B717FC"/>
    <w:rsid w:val="00B71E92"/>
    <w:rsid w:val="00B71EE8"/>
    <w:rsid w:val="00B71EF0"/>
    <w:rsid w:val="00B7216D"/>
    <w:rsid w:val="00B72200"/>
    <w:rsid w:val="00B72211"/>
    <w:rsid w:val="00B722AD"/>
    <w:rsid w:val="00B723E6"/>
    <w:rsid w:val="00B723F9"/>
    <w:rsid w:val="00B72747"/>
    <w:rsid w:val="00B72788"/>
    <w:rsid w:val="00B7278D"/>
    <w:rsid w:val="00B72831"/>
    <w:rsid w:val="00B72B1E"/>
    <w:rsid w:val="00B72B71"/>
    <w:rsid w:val="00B72D90"/>
    <w:rsid w:val="00B7306E"/>
    <w:rsid w:val="00B73234"/>
    <w:rsid w:val="00B73344"/>
    <w:rsid w:val="00B733B3"/>
    <w:rsid w:val="00B734A2"/>
    <w:rsid w:val="00B73644"/>
    <w:rsid w:val="00B73939"/>
    <w:rsid w:val="00B73BD6"/>
    <w:rsid w:val="00B73C36"/>
    <w:rsid w:val="00B73C4E"/>
    <w:rsid w:val="00B73D02"/>
    <w:rsid w:val="00B73FB6"/>
    <w:rsid w:val="00B73FC7"/>
    <w:rsid w:val="00B74332"/>
    <w:rsid w:val="00B74415"/>
    <w:rsid w:val="00B744F8"/>
    <w:rsid w:val="00B745DC"/>
    <w:rsid w:val="00B74EFF"/>
    <w:rsid w:val="00B751B4"/>
    <w:rsid w:val="00B75390"/>
    <w:rsid w:val="00B753A3"/>
    <w:rsid w:val="00B754D5"/>
    <w:rsid w:val="00B7558E"/>
    <w:rsid w:val="00B755E0"/>
    <w:rsid w:val="00B755F4"/>
    <w:rsid w:val="00B75760"/>
    <w:rsid w:val="00B7578C"/>
    <w:rsid w:val="00B75995"/>
    <w:rsid w:val="00B75A75"/>
    <w:rsid w:val="00B75B0E"/>
    <w:rsid w:val="00B75CBF"/>
    <w:rsid w:val="00B75EBC"/>
    <w:rsid w:val="00B761CE"/>
    <w:rsid w:val="00B763BE"/>
    <w:rsid w:val="00B7691B"/>
    <w:rsid w:val="00B7692E"/>
    <w:rsid w:val="00B76951"/>
    <w:rsid w:val="00B76A3F"/>
    <w:rsid w:val="00B76D7F"/>
    <w:rsid w:val="00B76E81"/>
    <w:rsid w:val="00B77075"/>
    <w:rsid w:val="00B770DD"/>
    <w:rsid w:val="00B7725F"/>
    <w:rsid w:val="00B772E5"/>
    <w:rsid w:val="00B775E3"/>
    <w:rsid w:val="00B776D4"/>
    <w:rsid w:val="00B77905"/>
    <w:rsid w:val="00B77B01"/>
    <w:rsid w:val="00B77CEA"/>
    <w:rsid w:val="00B77CF2"/>
    <w:rsid w:val="00B77E24"/>
    <w:rsid w:val="00B80189"/>
    <w:rsid w:val="00B801FB"/>
    <w:rsid w:val="00B80272"/>
    <w:rsid w:val="00B802C2"/>
    <w:rsid w:val="00B8041D"/>
    <w:rsid w:val="00B806E5"/>
    <w:rsid w:val="00B807DA"/>
    <w:rsid w:val="00B80801"/>
    <w:rsid w:val="00B80C87"/>
    <w:rsid w:val="00B80F7B"/>
    <w:rsid w:val="00B80F9A"/>
    <w:rsid w:val="00B810AC"/>
    <w:rsid w:val="00B81254"/>
    <w:rsid w:val="00B812AB"/>
    <w:rsid w:val="00B8164B"/>
    <w:rsid w:val="00B81782"/>
    <w:rsid w:val="00B81863"/>
    <w:rsid w:val="00B8186C"/>
    <w:rsid w:val="00B819C3"/>
    <w:rsid w:val="00B81F54"/>
    <w:rsid w:val="00B8200F"/>
    <w:rsid w:val="00B824BB"/>
    <w:rsid w:val="00B82644"/>
    <w:rsid w:val="00B82704"/>
    <w:rsid w:val="00B82742"/>
    <w:rsid w:val="00B828B8"/>
    <w:rsid w:val="00B82D52"/>
    <w:rsid w:val="00B82DF5"/>
    <w:rsid w:val="00B82EC8"/>
    <w:rsid w:val="00B82F9D"/>
    <w:rsid w:val="00B82FB0"/>
    <w:rsid w:val="00B8301B"/>
    <w:rsid w:val="00B8305A"/>
    <w:rsid w:val="00B83060"/>
    <w:rsid w:val="00B83221"/>
    <w:rsid w:val="00B8337E"/>
    <w:rsid w:val="00B8342D"/>
    <w:rsid w:val="00B83B6D"/>
    <w:rsid w:val="00B83B9E"/>
    <w:rsid w:val="00B83D47"/>
    <w:rsid w:val="00B83E55"/>
    <w:rsid w:val="00B83EB3"/>
    <w:rsid w:val="00B83EE9"/>
    <w:rsid w:val="00B83F56"/>
    <w:rsid w:val="00B83F77"/>
    <w:rsid w:val="00B840E3"/>
    <w:rsid w:val="00B844D8"/>
    <w:rsid w:val="00B847F4"/>
    <w:rsid w:val="00B8489B"/>
    <w:rsid w:val="00B84962"/>
    <w:rsid w:val="00B84A01"/>
    <w:rsid w:val="00B84C53"/>
    <w:rsid w:val="00B84CF9"/>
    <w:rsid w:val="00B84EB2"/>
    <w:rsid w:val="00B84F25"/>
    <w:rsid w:val="00B85569"/>
    <w:rsid w:val="00B856D5"/>
    <w:rsid w:val="00B85E07"/>
    <w:rsid w:val="00B85FE9"/>
    <w:rsid w:val="00B862B0"/>
    <w:rsid w:val="00B8644C"/>
    <w:rsid w:val="00B8663B"/>
    <w:rsid w:val="00B86747"/>
    <w:rsid w:val="00B86B0E"/>
    <w:rsid w:val="00B86C6D"/>
    <w:rsid w:val="00B87414"/>
    <w:rsid w:val="00B874EE"/>
    <w:rsid w:val="00B87C30"/>
    <w:rsid w:val="00B87D45"/>
    <w:rsid w:val="00B87EAC"/>
    <w:rsid w:val="00B87EFF"/>
    <w:rsid w:val="00B9022C"/>
    <w:rsid w:val="00B90272"/>
    <w:rsid w:val="00B9029A"/>
    <w:rsid w:val="00B90370"/>
    <w:rsid w:val="00B905D8"/>
    <w:rsid w:val="00B90628"/>
    <w:rsid w:val="00B90702"/>
    <w:rsid w:val="00B90A43"/>
    <w:rsid w:val="00B90B9A"/>
    <w:rsid w:val="00B90C77"/>
    <w:rsid w:val="00B91041"/>
    <w:rsid w:val="00B91196"/>
    <w:rsid w:val="00B9122F"/>
    <w:rsid w:val="00B9143C"/>
    <w:rsid w:val="00B91636"/>
    <w:rsid w:val="00B9165D"/>
    <w:rsid w:val="00B91719"/>
    <w:rsid w:val="00B91BBE"/>
    <w:rsid w:val="00B91D44"/>
    <w:rsid w:val="00B91E51"/>
    <w:rsid w:val="00B92126"/>
    <w:rsid w:val="00B921CF"/>
    <w:rsid w:val="00B92264"/>
    <w:rsid w:val="00B92413"/>
    <w:rsid w:val="00B92415"/>
    <w:rsid w:val="00B926B3"/>
    <w:rsid w:val="00B92788"/>
    <w:rsid w:val="00B92834"/>
    <w:rsid w:val="00B928DE"/>
    <w:rsid w:val="00B92A6A"/>
    <w:rsid w:val="00B92B7D"/>
    <w:rsid w:val="00B92D2E"/>
    <w:rsid w:val="00B92DCE"/>
    <w:rsid w:val="00B92ECF"/>
    <w:rsid w:val="00B92F21"/>
    <w:rsid w:val="00B92F8E"/>
    <w:rsid w:val="00B933CE"/>
    <w:rsid w:val="00B9368A"/>
    <w:rsid w:val="00B93884"/>
    <w:rsid w:val="00B93C1A"/>
    <w:rsid w:val="00B93C2A"/>
    <w:rsid w:val="00B93D27"/>
    <w:rsid w:val="00B93D7E"/>
    <w:rsid w:val="00B93EEB"/>
    <w:rsid w:val="00B93F26"/>
    <w:rsid w:val="00B94676"/>
    <w:rsid w:val="00B94686"/>
    <w:rsid w:val="00B947C4"/>
    <w:rsid w:val="00B94995"/>
    <w:rsid w:val="00B949C4"/>
    <w:rsid w:val="00B94AA0"/>
    <w:rsid w:val="00B94AB4"/>
    <w:rsid w:val="00B94EF0"/>
    <w:rsid w:val="00B95313"/>
    <w:rsid w:val="00B95435"/>
    <w:rsid w:val="00B9562E"/>
    <w:rsid w:val="00B95697"/>
    <w:rsid w:val="00B957CB"/>
    <w:rsid w:val="00B957CF"/>
    <w:rsid w:val="00B959D7"/>
    <w:rsid w:val="00B95A88"/>
    <w:rsid w:val="00B95C3C"/>
    <w:rsid w:val="00B95CA2"/>
    <w:rsid w:val="00B95DB4"/>
    <w:rsid w:val="00B95E3F"/>
    <w:rsid w:val="00B95F91"/>
    <w:rsid w:val="00B96145"/>
    <w:rsid w:val="00B96335"/>
    <w:rsid w:val="00B9674A"/>
    <w:rsid w:val="00B96933"/>
    <w:rsid w:val="00B969BA"/>
    <w:rsid w:val="00B96A0E"/>
    <w:rsid w:val="00B96AF4"/>
    <w:rsid w:val="00B96C92"/>
    <w:rsid w:val="00B96D70"/>
    <w:rsid w:val="00B96E93"/>
    <w:rsid w:val="00B96EA9"/>
    <w:rsid w:val="00B971EB"/>
    <w:rsid w:val="00B97250"/>
    <w:rsid w:val="00B97526"/>
    <w:rsid w:val="00B976A0"/>
    <w:rsid w:val="00B976DD"/>
    <w:rsid w:val="00B97896"/>
    <w:rsid w:val="00B9799A"/>
    <w:rsid w:val="00B97CA7"/>
    <w:rsid w:val="00B97D3D"/>
    <w:rsid w:val="00B97FF8"/>
    <w:rsid w:val="00BA0231"/>
    <w:rsid w:val="00BA024F"/>
    <w:rsid w:val="00BA03D8"/>
    <w:rsid w:val="00BA03DD"/>
    <w:rsid w:val="00BA04D9"/>
    <w:rsid w:val="00BA067A"/>
    <w:rsid w:val="00BA084F"/>
    <w:rsid w:val="00BA08FD"/>
    <w:rsid w:val="00BA09CD"/>
    <w:rsid w:val="00BA09D2"/>
    <w:rsid w:val="00BA0AFF"/>
    <w:rsid w:val="00BA0B7A"/>
    <w:rsid w:val="00BA0F65"/>
    <w:rsid w:val="00BA0F9B"/>
    <w:rsid w:val="00BA12B9"/>
    <w:rsid w:val="00BA13FF"/>
    <w:rsid w:val="00BA1735"/>
    <w:rsid w:val="00BA1796"/>
    <w:rsid w:val="00BA1829"/>
    <w:rsid w:val="00BA1868"/>
    <w:rsid w:val="00BA1BBF"/>
    <w:rsid w:val="00BA1D17"/>
    <w:rsid w:val="00BA1E41"/>
    <w:rsid w:val="00BA1E55"/>
    <w:rsid w:val="00BA1F8B"/>
    <w:rsid w:val="00BA206D"/>
    <w:rsid w:val="00BA2097"/>
    <w:rsid w:val="00BA2139"/>
    <w:rsid w:val="00BA2219"/>
    <w:rsid w:val="00BA229F"/>
    <w:rsid w:val="00BA2301"/>
    <w:rsid w:val="00BA28C5"/>
    <w:rsid w:val="00BA2967"/>
    <w:rsid w:val="00BA2A92"/>
    <w:rsid w:val="00BA2B58"/>
    <w:rsid w:val="00BA2BEE"/>
    <w:rsid w:val="00BA2D30"/>
    <w:rsid w:val="00BA2FC3"/>
    <w:rsid w:val="00BA2FF0"/>
    <w:rsid w:val="00BA30C0"/>
    <w:rsid w:val="00BA3128"/>
    <w:rsid w:val="00BA35BE"/>
    <w:rsid w:val="00BA360E"/>
    <w:rsid w:val="00BA398C"/>
    <w:rsid w:val="00BA3B5C"/>
    <w:rsid w:val="00BA3BF4"/>
    <w:rsid w:val="00BA3C14"/>
    <w:rsid w:val="00BA3D45"/>
    <w:rsid w:val="00BA3FCC"/>
    <w:rsid w:val="00BA4575"/>
    <w:rsid w:val="00BA4601"/>
    <w:rsid w:val="00BA49D2"/>
    <w:rsid w:val="00BA4B8C"/>
    <w:rsid w:val="00BA4C1D"/>
    <w:rsid w:val="00BA4C9C"/>
    <w:rsid w:val="00BA4DF3"/>
    <w:rsid w:val="00BA4E97"/>
    <w:rsid w:val="00BA4F81"/>
    <w:rsid w:val="00BA5052"/>
    <w:rsid w:val="00BA55B9"/>
    <w:rsid w:val="00BA587F"/>
    <w:rsid w:val="00BA5AB4"/>
    <w:rsid w:val="00BA5BB0"/>
    <w:rsid w:val="00BA5C13"/>
    <w:rsid w:val="00BA5D06"/>
    <w:rsid w:val="00BA5E07"/>
    <w:rsid w:val="00BA5F80"/>
    <w:rsid w:val="00BA5FF8"/>
    <w:rsid w:val="00BA5FFF"/>
    <w:rsid w:val="00BA6006"/>
    <w:rsid w:val="00BA6061"/>
    <w:rsid w:val="00BA6246"/>
    <w:rsid w:val="00BA637F"/>
    <w:rsid w:val="00BA647A"/>
    <w:rsid w:val="00BA64AD"/>
    <w:rsid w:val="00BA669D"/>
    <w:rsid w:val="00BA68EF"/>
    <w:rsid w:val="00BA6B84"/>
    <w:rsid w:val="00BA6C32"/>
    <w:rsid w:val="00BA7078"/>
    <w:rsid w:val="00BA71C1"/>
    <w:rsid w:val="00BA7294"/>
    <w:rsid w:val="00BA74F7"/>
    <w:rsid w:val="00BA75C3"/>
    <w:rsid w:val="00BA75E5"/>
    <w:rsid w:val="00BA7659"/>
    <w:rsid w:val="00BA7B70"/>
    <w:rsid w:val="00BA7F39"/>
    <w:rsid w:val="00BA7F47"/>
    <w:rsid w:val="00BA7F9E"/>
    <w:rsid w:val="00BB00C9"/>
    <w:rsid w:val="00BB0133"/>
    <w:rsid w:val="00BB03EE"/>
    <w:rsid w:val="00BB065E"/>
    <w:rsid w:val="00BB08FA"/>
    <w:rsid w:val="00BB0A20"/>
    <w:rsid w:val="00BB0B4A"/>
    <w:rsid w:val="00BB0D9E"/>
    <w:rsid w:val="00BB0DA0"/>
    <w:rsid w:val="00BB0FCB"/>
    <w:rsid w:val="00BB0FE2"/>
    <w:rsid w:val="00BB113F"/>
    <w:rsid w:val="00BB134E"/>
    <w:rsid w:val="00BB1474"/>
    <w:rsid w:val="00BB14E7"/>
    <w:rsid w:val="00BB1532"/>
    <w:rsid w:val="00BB16C2"/>
    <w:rsid w:val="00BB19E5"/>
    <w:rsid w:val="00BB1AA5"/>
    <w:rsid w:val="00BB1C21"/>
    <w:rsid w:val="00BB1C2C"/>
    <w:rsid w:val="00BB1DC2"/>
    <w:rsid w:val="00BB1EF8"/>
    <w:rsid w:val="00BB21D7"/>
    <w:rsid w:val="00BB2381"/>
    <w:rsid w:val="00BB247B"/>
    <w:rsid w:val="00BB27E4"/>
    <w:rsid w:val="00BB281A"/>
    <w:rsid w:val="00BB29F6"/>
    <w:rsid w:val="00BB2B49"/>
    <w:rsid w:val="00BB2E76"/>
    <w:rsid w:val="00BB31A0"/>
    <w:rsid w:val="00BB347D"/>
    <w:rsid w:val="00BB3680"/>
    <w:rsid w:val="00BB3A67"/>
    <w:rsid w:val="00BB3AF7"/>
    <w:rsid w:val="00BB3B5D"/>
    <w:rsid w:val="00BB3C52"/>
    <w:rsid w:val="00BB3CB9"/>
    <w:rsid w:val="00BB3D79"/>
    <w:rsid w:val="00BB3D9E"/>
    <w:rsid w:val="00BB3F3D"/>
    <w:rsid w:val="00BB41D4"/>
    <w:rsid w:val="00BB42C4"/>
    <w:rsid w:val="00BB43AC"/>
    <w:rsid w:val="00BB43E3"/>
    <w:rsid w:val="00BB45CE"/>
    <w:rsid w:val="00BB4719"/>
    <w:rsid w:val="00BB4962"/>
    <w:rsid w:val="00BB496E"/>
    <w:rsid w:val="00BB4B5A"/>
    <w:rsid w:val="00BB4C57"/>
    <w:rsid w:val="00BB4D14"/>
    <w:rsid w:val="00BB4E53"/>
    <w:rsid w:val="00BB4F08"/>
    <w:rsid w:val="00BB4FFA"/>
    <w:rsid w:val="00BB50C4"/>
    <w:rsid w:val="00BB51C6"/>
    <w:rsid w:val="00BB53EE"/>
    <w:rsid w:val="00BB5789"/>
    <w:rsid w:val="00BB5B84"/>
    <w:rsid w:val="00BB5D19"/>
    <w:rsid w:val="00BB5EE3"/>
    <w:rsid w:val="00BB5F4C"/>
    <w:rsid w:val="00BB6092"/>
    <w:rsid w:val="00BB661E"/>
    <w:rsid w:val="00BB6B62"/>
    <w:rsid w:val="00BB7031"/>
    <w:rsid w:val="00BB7056"/>
    <w:rsid w:val="00BB7135"/>
    <w:rsid w:val="00BB7193"/>
    <w:rsid w:val="00BB743C"/>
    <w:rsid w:val="00BB74B9"/>
    <w:rsid w:val="00BB7561"/>
    <w:rsid w:val="00BB76C0"/>
    <w:rsid w:val="00BB7764"/>
    <w:rsid w:val="00BB7855"/>
    <w:rsid w:val="00BB788A"/>
    <w:rsid w:val="00BB789A"/>
    <w:rsid w:val="00BB7946"/>
    <w:rsid w:val="00BB7B85"/>
    <w:rsid w:val="00BB7C6D"/>
    <w:rsid w:val="00BB7CA4"/>
    <w:rsid w:val="00BB7E30"/>
    <w:rsid w:val="00BB7F61"/>
    <w:rsid w:val="00BC0177"/>
    <w:rsid w:val="00BC02EC"/>
    <w:rsid w:val="00BC0435"/>
    <w:rsid w:val="00BC047B"/>
    <w:rsid w:val="00BC0558"/>
    <w:rsid w:val="00BC059F"/>
    <w:rsid w:val="00BC05FC"/>
    <w:rsid w:val="00BC06A5"/>
    <w:rsid w:val="00BC0836"/>
    <w:rsid w:val="00BC0928"/>
    <w:rsid w:val="00BC0B7C"/>
    <w:rsid w:val="00BC0F53"/>
    <w:rsid w:val="00BC0F6D"/>
    <w:rsid w:val="00BC1002"/>
    <w:rsid w:val="00BC1047"/>
    <w:rsid w:val="00BC1197"/>
    <w:rsid w:val="00BC119D"/>
    <w:rsid w:val="00BC11D1"/>
    <w:rsid w:val="00BC13F0"/>
    <w:rsid w:val="00BC156B"/>
    <w:rsid w:val="00BC1912"/>
    <w:rsid w:val="00BC1A7C"/>
    <w:rsid w:val="00BC1E39"/>
    <w:rsid w:val="00BC1EA3"/>
    <w:rsid w:val="00BC1ED2"/>
    <w:rsid w:val="00BC236E"/>
    <w:rsid w:val="00BC2421"/>
    <w:rsid w:val="00BC2523"/>
    <w:rsid w:val="00BC2634"/>
    <w:rsid w:val="00BC27D4"/>
    <w:rsid w:val="00BC2A3C"/>
    <w:rsid w:val="00BC2A6A"/>
    <w:rsid w:val="00BC2DD3"/>
    <w:rsid w:val="00BC2E09"/>
    <w:rsid w:val="00BC356C"/>
    <w:rsid w:val="00BC36CC"/>
    <w:rsid w:val="00BC395B"/>
    <w:rsid w:val="00BC3BF7"/>
    <w:rsid w:val="00BC3CAC"/>
    <w:rsid w:val="00BC3D54"/>
    <w:rsid w:val="00BC3E86"/>
    <w:rsid w:val="00BC3FD2"/>
    <w:rsid w:val="00BC40F7"/>
    <w:rsid w:val="00BC447C"/>
    <w:rsid w:val="00BC44CD"/>
    <w:rsid w:val="00BC4552"/>
    <w:rsid w:val="00BC4697"/>
    <w:rsid w:val="00BC4843"/>
    <w:rsid w:val="00BC485F"/>
    <w:rsid w:val="00BC488C"/>
    <w:rsid w:val="00BC4948"/>
    <w:rsid w:val="00BC4A16"/>
    <w:rsid w:val="00BC4C9B"/>
    <w:rsid w:val="00BC4F6A"/>
    <w:rsid w:val="00BC51BD"/>
    <w:rsid w:val="00BC5641"/>
    <w:rsid w:val="00BC5A26"/>
    <w:rsid w:val="00BC5B03"/>
    <w:rsid w:val="00BC5B5F"/>
    <w:rsid w:val="00BC5DC6"/>
    <w:rsid w:val="00BC5E93"/>
    <w:rsid w:val="00BC61E5"/>
    <w:rsid w:val="00BC63D8"/>
    <w:rsid w:val="00BC65EE"/>
    <w:rsid w:val="00BC6808"/>
    <w:rsid w:val="00BC6A91"/>
    <w:rsid w:val="00BC6B2F"/>
    <w:rsid w:val="00BC6C35"/>
    <w:rsid w:val="00BC6DCA"/>
    <w:rsid w:val="00BC6F11"/>
    <w:rsid w:val="00BC7252"/>
    <w:rsid w:val="00BC764F"/>
    <w:rsid w:val="00BC7BA9"/>
    <w:rsid w:val="00BC7C6A"/>
    <w:rsid w:val="00BC7CDF"/>
    <w:rsid w:val="00BC7D5D"/>
    <w:rsid w:val="00BC7DCF"/>
    <w:rsid w:val="00BC7EEE"/>
    <w:rsid w:val="00BC7F22"/>
    <w:rsid w:val="00BC7F70"/>
    <w:rsid w:val="00BD000E"/>
    <w:rsid w:val="00BD0012"/>
    <w:rsid w:val="00BD002D"/>
    <w:rsid w:val="00BD0094"/>
    <w:rsid w:val="00BD017F"/>
    <w:rsid w:val="00BD0220"/>
    <w:rsid w:val="00BD027A"/>
    <w:rsid w:val="00BD0390"/>
    <w:rsid w:val="00BD0678"/>
    <w:rsid w:val="00BD07B4"/>
    <w:rsid w:val="00BD081B"/>
    <w:rsid w:val="00BD0846"/>
    <w:rsid w:val="00BD0A61"/>
    <w:rsid w:val="00BD0BB3"/>
    <w:rsid w:val="00BD0D19"/>
    <w:rsid w:val="00BD0D5D"/>
    <w:rsid w:val="00BD0E38"/>
    <w:rsid w:val="00BD0E55"/>
    <w:rsid w:val="00BD0F0D"/>
    <w:rsid w:val="00BD0F2A"/>
    <w:rsid w:val="00BD0FDC"/>
    <w:rsid w:val="00BD1229"/>
    <w:rsid w:val="00BD14D1"/>
    <w:rsid w:val="00BD1897"/>
    <w:rsid w:val="00BD19DF"/>
    <w:rsid w:val="00BD1C1D"/>
    <w:rsid w:val="00BD1C39"/>
    <w:rsid w:val="00BD1E9E"/>
    <w:rsid w:val="00BD2042"/>
    <w:rsid w:val="00BD2498"/>
    <w:rsid w:val="00BD25A1"/>
    <w:rsid w:val="00BD29C4"/>
    <w:rsid w:val="00BD2A01"/>
    <w:rsid w:val="00BD2A13"/>
    <w:rsid w:val="00BD2B7C"/>
    <w:rsid w:val="00BD2E28"/>
    <w:rsid w:val="00BD2ED5"/>
    <w:rsid w:val="00BD3084"/>
    <w:rsid w:val="00BD3375"/>
    <w:rsid w:val="00BD338E"/>
    <w:rsid w:val="00BD36FE"/>
    <w:rsid w:val="00BD37CE"/>
    <w:rsid w:val="00BD3B03"/>
    <w:rsid w:val="00BD40D3"/>
    <w:rsid w:val="00BD422B"/>
    <w:rsid w:val="00BD4336"/>
    <w:rsid w:val="00BD436F"/>
    <w:rsid w:val="00BD460E"/>
    <w:rsid w:val="00BD46C1"/>
    <w:rsid w:val="00BD4A41"/>
    <w:rsid w:val="00BD4F35"/>
    <w:rsid w:val="00BD4FE7"/>
    <w:rsid w:val="00BD507D"/>
    <w:rsid w:val="00BD5097"/>
    <w:rsid w:val="00BD5396"/>
    <w:rsid w:val="00BD544C"/>
    <w:rsid w:val="00BD5739"/>
    <w:rsid w:val="00BD5899"/>
    <w:rsid w:val="00BD5D75"/>
    <w:rsid w:val="00BD60C3"/>
    <w:rsid w:val="00BD60DC"/>
    <w:rsid w:val="00BD6343"/>
    <w:rsid w:val="00BD6563"/>
    <w:rsid w:val="00BD6655"/>
    <w:rsid w:val="00BD6799"/>
    <w:rsid w:val="00BD6852"/>
    <w:rsid w:val="00BD685A"/>
    <w:rsid w:val="00BD6962"/>
    <w:rsid w:val="00BD6976"/>
    <w:rsid w:val="00BD6A24"/>
    <w:rsid w:val="00BD6A58"/>
    <w:rsid w:val="00BD6B44"/>
    <w:rsid w:val="00BD6C3B"/>
    <w:rsid w:val="00BD6C44"/>
    <w:rsid w:val="00BD7049"/>
    <w:rsid w:val="00BD710D"/>
    <w:rsid w:val="00BD72F1"/>
    <w:rsid w:val="00BD747E"/>
    <w:rsid w:val="00BD78F3"/>
    <w:rsid w:val="00BD797C"/>
    <w:rsid w:val="00BD79BF"/>
    <w:rsid w:val="00BD7A99"/>
    <w:rsid w:val="00BD7B54"/>
    <w:rsid w:val="00BD7F17"/>
    <w:rsid w:val="00BD7FD9"/>
    <w:rsid w:val="00BD7FF0"/>
    <w:rsid w:val="00BD7FF2"/>
    <w:rsid w:val="00BE00E0"/>
    <w:rsid w:val="00BE0454"/>
    <w:rsid w:val="00BE05D4"/>
    <w:rsid w:val="00BE0605"/>
    <w:rsid w:val="00BE06D1"/>
    <w:rsid w:val="00BE08BF"/>
    <w:rsid w:val="00BE0A18"/>
    <w:rsid w:val="00BE0DFA"/>
    <w:rsid w:val="00BE0EAF"/>
    <w:rsid w:val="00BE0F22"/>
    <w:rsid w:val="00BE0FC0"/>
    <w:rsid w:val="00BE109C"/>
    <w:rsid w:val="00BE11E0"/>
    <w:rsid w:val="00BE12B6"/>
    <w:rsid w:val="00BE15CE"/>
    <w:rsid w:val="00BE1B38"/>
    <w:rsid w:val="00BE205F"/>
    <w:rsid w:val="00BE210A"/>
    <w:rsid w:val="00BE217F"/>
    <w:rsid w:val="00BE2489"/>
    <w:rsid w:val="00BE2659"/>
    <w:rsid w:val="00BE26A5"/>
    <w:rsid w:val="00BE26C6"/>
    <w:rsid w:val="00BE2841"/>
    <w:rsid w:val="00BE28BC"/>
    <w:rsid w:val="00BE2939"/>
    <w:rsid w:val="00BE29E5"/>
    <w:rsid w:val="00BE2A2E"/>
    <w:rsid w:val="00BE2AD7"/>
    <w:rsid w:val="00BE2B27"/>
    <w:rsid w:val="00BE2C41"/>
    <w:rsid w:val="00BE2E60"/>
    <w:rsid w:val="00BE3213"/>
    <w:rsid w:val="00BE32C2"/>
    <w:rsid w:val="00BE3511"/>
    <w:rsid w:val="00BE35A1"/>
    <w:rsid w:val="00BE385E"/>
    <w:rsid w:val="00BE386B"/>
    <w:rsid w:val="00BE39DA"/>
    <w:rsid w:val="00BE3A02"/>
    <w:rsid w:val="00BE3EB1"/>
    <w:rsid w:val="00BE42E5"/>
    <w:rsid w:val="00BE4386"/>
    <w:rsid w:val="00BE4740"/>
    <w:rsid w:val="00BE4B0A"/>
    <w:rsid w:val="00BE4B53"/>
    <w:rsid w:val="00BE4E13"/>
    <w:rsid w:val="00BE5280"/>
    <w:rsid w:val="00BE528C"/>
    <w:rsid w:val="00BE54D3"/>
    <w:rsid w:val="00BE5508"/>
    <w:rsid w:val="00BE55A4"/>
    <w:rsid w:val="00BE5AAB"/>
    <w:rsid w:val="00BE5CD3"/>
    <w:rsid w:val="00BE5D2B"/>
    <w:rsid w:val="00BE5D62"/>
    <w:rsid w:val="00BE5DF7"/>
    <w:rsid w:val="00BE5F46"/>
    <w:rsid w:val="00BE5F90"/>
    <w:rsid w:val="00BE5FE6"/>
    <w:rsid w:val="00BE6165"/>
    <w:rsid w:val="00BE62B9"/>
    <w:rsid w:val="00BE64AA"/>
    <w:rsid w:val="00BE6536"/>
    <w:rsid w:val="00BE6754"/>
    <w:rsid w:val="00BE67FF"/>
    <w:rsid w:val="00BE6B35"/>
    <w:rsid w:val="00BE6B8D"/>
    <w:rsid w:val="00BE6C06"/>
    <w:rsid w:val="00BE6CED"/>
    <w:rsid w:val="00BE6D6B"/>
    <w:rsid w:val="00BE6DE3"/>
    <w:rsid w:val="00BE6EDB"/>
    <w:rsid w:val="00BE6F17"/>
    <w:rsid w:val="00BE70FA"/>
    <w:rsid w:val="00BE7119"/>
    <w:rsid w:val="00BE7177"/>
    <w:rsid w:val="00BE74E8"/>
    <w:rsid w:val="00BE7586"/>
    <w:rsid w:val="00BE771D"/>
    <w:rsid w:val="00BE78BB"/>
    <w:rsid w:val="00BE7A4F"/>
    <w:rsid w:val="00BE7E10"/>
    <w:rsid w:val="00BE7EDB"/>
    <w:rsid w:val="00BE7F6E"/>
    <w:rsid w:val="00BF0246"/>
    <w:rsid w:val="00BF03F4"/>
    <w:rsid w:val="00BF05A6"/>
    <w:rsid w:val="00BF0666"/>
    <w:rsid w:val="00BF07F1"/>
    <w:rsid w:val="00BF07FE"/>
    <w:rsid w:val="00BF09C3"/>
    <w:rsid w:val="00BF0AA6"/>
    <w:rsid w:val="00BF0C1D"/>
    <w:rsid w:val="00BF0D11"/>
    <w:rsid w:val="00BF0F2F"/>
    <w:rsid w:val="00BF106F"/>
    <w:rsid w:val="00BF1169"/>
    <w:rsid w:val="00BF11B1"/>
    <w:rsid w:val="00BF1479"/>
    <w:rsid w:val="00BF1617"/>
    <w:rsid w:val="00BF1F9F"/>
    <w:rsid w:val="00BF210A"/>
    <w:rsid w:val="00BF2335"/>
    <w:rsid w:val="00BF23DC"/>
    <w:rsid w:val="00BF246A"/>
    <w:rsid w:val="00BF2857"/>
    <w:rsid w:val="00BF2884"/>
    <w:rsid w:val="00BF29A9"/>
    <w:rsid w:val="00BF2D7B"/>
    <w:rsid w:val="00BF2DFA"/>
    <w:rsid w:val="00BF30C4"/>
    <w:rsid w:val="00BF31BC"/>
    <w:rsid w:val="00BF3399"/>
    <w:rsid w:val="00BF348F"/>
    <w:rsid w:val="00BF3537"/>
    <w:rsid w:val="00BF3617"/>
    <w:rsid w:val="00BF38AD"/>
    <w:rsid w:val="00BF38C4"/>
    <w:rsid w:val="00BF38F9"/>
    <w:rsid w:val="00BF39ED"/>
    <w:rsid w:val="00BF3A76"/>
    <w:rsid w:val="00BF3B06"/>
    <w:rsid w:val="00BF42C2"/>
    <w:rsid w:val="00BF4390"/>
    <w:rsid w:val="00BF44C4"/>
    <w:rsid w:val="00BF4507"/>
    <w:rsid w:val="00BF4516"/>
    <w:rsid w:val="00BF454D"/>
    <w:rsid w:val="00BF47A0"/>
    <w:rsid w:val="00BF49A8"/>
    <w:rsid w:val="00BF4B52"/>
    <w:rsid w:val="00BF4CA2"/>
    <w:rsid w:val="00BF4EEA"/>
    <w:rsid w:val="00BF50D1"/>
    <w:rsid w:val="00BF5136"/>
    <w:rsid w:val="00BF5188"/>
    <w:rsid w:val="00BF523C"/>
    <w:rsid w:val="00BF5511"/>
    <w:rsid w:val="00BF5528"/>
    <w:rsid w:val="00BF58DB"/>
    <w:rsid w:val="00BF5A13"/>
    <w:rsid w:val="00BF5A2C"/>
    <w:rsid w:val="00BF5ABE"/>
    <w:rsid w:val="00BF5FF5"/>
    <w:rsid w:val="00BF6140"/>
    <w:rsid w:val="00BF6142"/>
    <w:rsid w:val="00BF624B"/>
    <w:rsid w:val="00BF62F1"/>
    <w:rsid w:val="00BF6456"/>
    <w:rsid w:val="00BF64C2"/>
    <w:rsid w:val="00BF66AB"/>
    <w:rsid w:val="00BF6757"/>
    <w:rsid w:val="00BF6772"/>
    <w:rsid w:val="00BF6ACF"/>
    <w:rsid w:val="00BF6C5F"/>
    <w:rsid w:val="00BF6E5B"/>
    <w:rsid w:val="00BF6F88"/>
    <w:rsid w:val="00BF6FEE"/>
    <w:rsid w:val="00BF708B"/>
    <w:rsid w:val="00BF7282"/>
    <w:rsid w:val="00BF74B2"/>
    <w:rsid w:val="00BF750C"/>
    <w:rsid w:val="00BF75CC"/>
    <w:rsid w:val="00BF7796"/>
    <w:rsid w:val="00BF78CE"/>
    <w:rsid w:val="00BF79F2"/>
    <w:rsid w:val="00C0027F"/>
    <w:rsid w:val="00C00394"/>
    <w:rsid w:val="00C004AE"/>
    <w:rsid w:val="00C006CA"/>
    <w:rsid w:val="00C009DC"/>
    <w:rsid w:val="00C00AA5"/>
    <w:rsid w:val="00C00D79"/>
    <w:rsid w:val="00C00E6A"/>
    <w:rsid w:val="00C00E6D"/>
    <w:rsid w:val="00C00F15"/>
    <w:rsid w:val="00C00F84"/>
    <w:rsid w:val="00C01155"/>
    <w:rsid w:val="00C011D5"/>
    <w:rsid w:val="00C011DF"/>
    <w:rsid w:val="00C0138E"/>
    <w:rsid w:val="00C0142C"/>
    <w:rsid w:val="00C01513"/>
    <w:rsid w:val="00C015E8"/>
    <w:rsid w:val="00C017D8"/>
    <w:rsid w:val="00C019E0"/>
    <w:rsid w:val="00C01A97"/>
    <w:rsid w:val="00C01DC7"/>
    <w:rsid w:val="00C01F09"/>
    <w:rsid w:val="00C01FE3"/>
    <w:rsid w:val="00C02088"/>
    <w:rsid w:val="00C02198"/>
    <w:rsid w:val="00C02298"/>
    <w:rsid w:val="00C0255B"/>
    <w:rsid w:val="00C026F4"/>
    <w:rsid w:val="00C02896"/>
    <w:rsid w:val="00C02B28"/>
    <w:rsid w:val="00C02C93"/>
    <w:rsid w:val="00C02D3C"/>
    <w:rsid w:val="00C02F33"/>
    <w:rsid w:val="00C031AD"/>
    <w:rsid w:val="00C03417"/>
    <w:rsid w:val="00C0385F"/>
    <w:rsid w:val="00C0387E"/>
    <w:rsid w:val="00C038E0"/>
    <w:rsid w:val="00C03B77"/>
    <w:rsid w:val="00C03C83"/>
    <w:rsid w:val="00C03E93"/>
    <w:rsid w:val="00C03EF8"/>
    <w:rsid w:val="00C03F8A"/>
    <w:rsid w:val="00C04295"/>
    <w:rsid w:val="00C0437B"/>
    <w:rsid w:val="00C045A8"/>
    <w:rsid w:val="00C04679"/>
    <w:rsid w:val="00C04990"/>
    <w:rsid w:val="00C049CD"/>
    <w:rsid w:val="00C04B36"/>
    <w:rsid w:val="00C04B6C"/>
    <w:rsid w:val="00C04BAB"/>
    <w:rsid w:val="00C04C1D"/>
    <w:rsid w:val="00C04D49"/>
    <w:rsid w:val="00C04E6D"/>
    <w:rsid w:val="00C04F88"/>
    <w:rsid w:val="00C050E9"/>
    <w:rsid w:val="00C05139"/>
    <w:rsid w:val="00C054A7"/>
    <w:rsid w:val="00C054B0"/>
    <w:rsid w:val="00C056DF"/>
    <w:rsid w:val="00C05761"/>
    <w:rsid w:val="00C05A33"/>
    <w:rsid w:val="00C05DA4"/>
    <w:rsid w:val="00C05EB8"/>
    <w:rsid w:val="00C05F65"/>
    <w:rsid w:val="00C0600C"/>
    <w:rsid w:val="00C060B1"/>
    <w:rsid w:val="00C061DF"/>
    <w:rsid w:val="00C06285"/>
    <w:rsid w:val="00C0631F"/>
    <w:rsid w:val="00C064D6"/>
    <w:rsid w:val="00C067B7"/>
    <w:rsid w:val="00C0688D"/>
    <w:rsid w:val="00C069E8"/>
    <w:rsid w:val="00C06AFB"/>
    <w:rsid w:val="00C06D7C"/>
    <w:rsid w:val="00C070B7"/>
    <w:rsid w:val="00C0717B"/>
    <w:rsid w:val="00C072BC"/>
    <w:rsid w:val="00C074DD"/>
    <w:rsid w:val="00C077EC"/>
    <w:rsid w:val="00C07A0E"/>
    <w:rsid w:val="00C07AB0"/>
    <w:rsid w:val="00C07AB7"/>
    <w:rsid w:val="00C07B35"/>
    <w:rsid w:val="00C07B59"/>
    <w:rsid w:val="00C07CD4"/>
    <w:rsid w:val="00C07E93"/>
    <w:rsid w:val="00C07F16"/>
    <w:rsid w:val="00C07FA2"/>
    <w:rsid w:val="00C0FD0F"/>
    <w:rsid w:val="00C102E7"/>
    <w:rsid w:val="00C10817"/>
    <w:rsid w:val="00C10A46"/>
    <w:rsid w:val="00C10B33"/>
    <w:rsid w:val="00C10B54"/>
    <w:rsid w:val="00C10B9F"/>
    <w:rsid w:val="00C10CE8"/>
    <w:rsid w:val="00C10E4D"/>
    <w:rsid w:val="00C10F12"/>
    <w:rsid w:val="00C10F77"/>
    <w:rsid w:val="00C11187"/>
    <w:rsid w:val="00C1172C"/>
    <w:rsid w:val="00C1184A"/>
    <w:rsid w:val="00C118E2"/>
    <w:rsid w:val="00C130C0"/>
    <w:rsid w:val="00C130C1"/>
    <w:rsid w:val="00C130F6"/>
    <w:rsid w:val="00C1313B"/>
    <w:rsid w:val="00C1317C"/>
    <w:rsid w:val="00C131AF"/>
    <w:rsid w:val="00C132DA"/>
    <w:rsid w:val="00C133E5"/>
    <w:rsid w:val="00C133FC"/>
    <w:rsid w:val="00C134EE"/>
    <w:rsid w:val="00C13624"/>
    <w:rsid w:val="00C13658"/>
    <w:rsid w:val="00C1371B"/>
    <w:rsid w:val="00C137F9"/>
    <w:rsid w:val="00C13974"/>
    <w:rsid w:val="00C13A02"/>
    <w:rsid w:val="00C13C98"/>
    <w:rsid w:val="00C13D22"/>
    <w:rsid w:val="00C13DD3"/>
    <w:rsid w:val="00C13F2B"/>
    <w:rsid w:val="00C13F51"/>
    <w:rsid w:val="00C13FC4"/>
    <w:rsid w:val="00C140A7"/>
    <w:rsid w:val="00C14130"/>
    <w:rsid w:val="00C141CF"/>
    <w:rsid w:val="00C142A6"/>
    <w:rsid w:val="00C14688"/>
    <w:rsid w:val="00C147DE"/>
    <w:rsid w:val="00C14866"/>
    <w:rsid w:val="00C14B45"/>
    <w:rsid w:val="00C14C3F"/>
    <w:rsid w:val="00C14C5C"/>
    <w:rsid w:val="00C14E81"/>
    <w:rsid w:val="00C14EB7"/>
    <w:rsid w:val="00C14EF0"/>
    <w:rsid w:val="00C14F0B"/>
    <w:rsid w:val="00C14F6C"/>
    <w:rsid w:val="00C1527C"/>
    <w:rsid w:val="00C15720"/>
    <w:rsid w:val="00C1587F"/>
    <w:rsid w:val="00C15912"/>
    <w:rsid w:val="00C15F0C"/>
    <w:rsid w:val="00C1613C"/>
    <w:rsid w:val="00C162DC"/>
    <w:rsid w:val="00C1636C"/>
    <w:rsid w:val="00C164FA"/>
    <w:rsid w:val="00C1659E"/>
    <w:rsid w:val="00C167DB"/>
    <w:rsid w:val="00C167F1"/>
    <w:rsid w:val="00C16B7B"/>
    <w:rsid w:val="00C16B8F"/>
    <w:rsid w:val="00C16DEA"/>
    <w:rsid w:val="00C17036"/>
    <w:rsid w:val="00C170EA"/>
    <w:rsid w:val="00C1716F"/>
    <w:rsid w:val="00C1727F"/>
    <w:rsid w:val="00C17439"/>
    <w:rsid w:val="00C175BC"/>
    <w:rsid w:val="00C1771C"/>
    <w:rsid w:val="00C17A02"/>
    <w:rsid w:val="00C17C27"/>
    <w:rsid w:val="00C17D56"/>
    <w:rsid w:val="00C17E4D"/>
    <w:rsid w:val="00C17E92"/>
    <w:rsid w:val="00C17EF0"/>
    <w:rsid w:val="00C17F4B"/>
    <w:rsid w:val="00C17F96"/>
    <w:rsid w:val="00C2001A"/>
    <w:rsid w:val="00C20355"/>
    <w:rsid w:val="00C2037F"/>
    <w:rsid w:val="00C20419"/>
    <w:rsid w:val="00C2059A"/>
    <w:rsid w:val="00C20714"/>
    <w:rsid w:val="00C20853"/>
    <w:rsid w:val="00C208C2"/>
    <w:rsid w:val="00C208DE"/>
    <w:rsid w:val="00C2091A"/>
    <w:rsid w:val="00C20B4D"/>
    <w:rsid w:val="00C20C46"/>
    <w:rsid w:val="00C20DD7"/>
    <w:rsid w:val="00C20F07"/>
    <w:rsid w:val="00C21084"/>
    <w:rsid w:val="00C211AD"/>
    <w:rsid w:val="00C212BA"/>
    <w:rsid w:val="00C2167B"/>
    <w:rsid w:val="00C216B6"/>
    <w:rsid w:val="00C21AC2"/>
    <w:rsid w:val="00C21F09"/>
    <w:rsid w:val="00C21F35"/>
    <w:rsid w:val="00C2201E"/>
    <w:rsid w:val="00C2204B"/>
    <w:rsid w:val="00C22109"/>
    <w:rsid w:val="00C2216F"/>
    <w:rsid w:val="00C22304"/>
    <w:rsid w:val="00C2240D"/>
    <w:rsid w:val="00C2280F"/>
    <w:rsid w:val="00C22810"/>
    <w:rsid w:val="00C229AC"/>
    <w:rsid w:val="00C22C68"/>
    <w:rsid w:val="00C231D6"/>
    <w:rsid w:val="00C23204"/>
    <w:rsid w:val="00C23287"/>
    <w:rsid w:val="00C23369"/>
    <w:rsid w:val="00C2365C"/>
    <w:rsid w:val="00C23731"/>
    <w:rsid w:val="00C23771"/>
    <w:rsid w:val="00C23877"/>
    <w:rsid w:val="00C23BA0"/>
    <w:rsid w:val="00C23BD7"/>
    <w:rsid w:val="00C23C64"/>
    <w:rsid w:val="00C23D76"/>
    <w:rsid w:val="00C23F47"/>
    <w:rsid w:val="00C23F64"/>
    <w:rsid w:val="00C240B4"/>
    <w:rsid w:val="00C24232"/>
    <w:rsid w:val="00C243CE"/>
    <w:rsid w:val="00C243E6"/>
    <w:rsid w:val="00C244C0"/>
    <w:rsid w:val="00C244E1"/>
    <w:rsid w:val="00C2452C"/>
    <w:rsid w:val="00C2475C"/>
    <w:rsid w:val="00C248B1"/>
    <w:rsid w:val="00C248E7"/>
    <w:rsid w:val="00C249A4"/>
    <w:rsid w:val="00C24D3B"/>
    <w:rsid w:val="00C24D81"/>
    <w:rsid w:val="00C24F21"/>
    <w:rsid w:val="00C24F84"/>
    <w:rsid w:val="00C2507F"/>
    <w:rsid w:val="00C253A5"/>
    <w:rsid w:val="00C254BA"/>
    <w:rsid w:val="00C25505"/>
    <w:rsid w:val="00C255CD"/>
    <w:rsid w:val="00C25649"/>
    <w:rsid w:val="00C25653"/>
    <w:rsid w:val="00C257B2"/>
    <w:rsid w:val="00C2587E"/>
    <w:rsid w:val="00C2589B"/>
    <w:rsid w:val="00C258DC"/>
    <w:rsid w:val="00C25A3F"/>
    <w:rsid w:val="00C25CE2"/>
    <w:rsid w:val="00C25E00"/>
    <w:rsid w:val="00C25E64"/>
    <w:rsid w:val="00C25F9D"/>
    <w:rsid w:val="00C26038"/>
    <w:rsid w:val="00C26188"/>
    <w:rsid w:val="00C2624F"/>
    <w:rsid w:val="00C2626A"/>
    <w:rsid w:val="00C26A8A"/>
    <w:rsid w:val="00C26A97"/>
    <w:rsid w:val="00C26CEF"/>
    <w:rsid w:val="00C26D26"/>
    <w:rsid w:val="00C26DB1"/>
    <w:rsid w:val="00C26F39"/>
    <w:rsid w:val="00C270DE"/>
    <w:rsid w:val="00C27713"/>
    <w:rsid w:val="00C279B3"/>
    <w:rsid w:val="00C279C8"/>
    <w:rsid w:val="00C27AE8"/>
    <w:rsid w:val="00C27C6F"/>
    <w:rsid w:val="00C27C76"/>
    <w:rsid w:val="00C27E00"/>
    <w:rsid w:val="00C27F34"/>
    <w:rsid w:val="00C3008E"/>
    <w:rsid w:val="00C300A6"/>
    <w:rsid w:val="00C3016A"/>
    <w:rsid w:val="00C30301"/>
    <w:rsid w:val="00C30569"/>
    <w:rsid w:val="00C305B1"/>
    <w:rsid w:val="00C305D7"/>
    <w:rsid w:val="00C30670"/>
    <w:rsid w:val="00C306D2"/>
    <w:rsid w:val="00C30992"/>
    <w:rsid w:val="00C30B2B"/>
    <w:rsid w:val="00C30BD9"/>
    <w:rsid w:val="00C30BFC"/>
    <w:rsid w:val="00C30C16"/>
    <w:rsid w:val="00C30C61"/>
    <w:rsid w:val="00C30DF2"/>
    <w:rsid w:val="00C30FA9"/>
    <w:rsid w:val="00C31039"/>
    <w:rsid w:val="00C3139A"/>
    <w:rsid w:val="00C315B7"/>
    <w:rsid w:val="00C317F0"/>
    <w:rsid w:val="00C3184F"/>
    <w:rsid w:val="00C320B3"/>
    <w:rsid w:val="00C32530"/>
    <w:rsid w:val="00C32681"/>
    <w:rsid w:val="00C329EA"/>
    <w:rsid w:val="00C32D9C"/>
    <w:rsid w:val="00C32E10"/>
    <w:rsid w:val="00C32FE2"/>
    <w:rsid w:val="00C3333D"/>
    <w:rsid w:val="00C33726"/>
    <w:rsid w:val="00C3379A"/>
    <w:rsid w:val="00C33C6C"/>
    <w:rsid w:val="00C33E6A"/>
    <w:rsid w:val="00C3421B"/>
    <w:rsid w:val="00C343A0"/>
    <w:rsid w:val="00C343CF"/>
    <w:rsid w:val="00C344E2"/>
    <w:rsid w:val="00C3454B"/>
    <w:rsid w:val="00C3472E"/>
    <w:rsid w:val="00C34875"/>
    <w:rsid w:val="00C348A4"/>
    <w:rsid w:val="00C349DB"/>
    <w:rsid w:val="00C34A5C"/>
    <w:rsid w:val="00C34AA3"/>
    <w:rsid w:val="00C34C22"/>
    <w:rsid w:val="00C34E31"/>
    <w:rsid w:val="00C34EDC"/>
    <w:rsid w:val="00C34FA8"/>
    <w:rsid w:val="00C3518D"/>
    <w:rsid w:val="00C351F7"/>
    <w:rsid w:val="00C35305"/>
    <w:rsid w:val="00C35431"/>
    <w:rsid w:val="00C3575E"/>
    <w:rsid w:val="00C3585A"/>
    <w:rsid w:val="00C3586A"/>
    <w:rsid w:val="00C35C18"/>
    <w:rsid w:val="00C35C40"/>
    <w:rsid w:val="00C35D33"/>
    <w:rsid w:val="00C35DAD"/>
    <w:rsid w:val="00C35E2F"/>
    <w:rsid w:val="00C35F33"/>
    <w:rsid w:val="00C35FF0"/>
    <w:rsid w:val="00C360A6"/>
    <w:rsid w:val="00C36320"/>
    <w:rsid w:val="00C3654F"/>
    <w:rsid w:val="00C36566"/>
    <w:rsid w:val="00C3681C"/>
    <w:rsid w:val="00C368B8"/>
    <w:rsid w:val="00C36937"/>
    <w:rsid w:val="00C369B7"/>
    <w:rsid w:val="00C36A1C"/>
    <w:rsid w:val="00C36A9D"/>
    <w:rsid w:val="00C36DF0"/>
    <w:rsid w:val="00C3727B"/>
    <w:rsid w:val="00C37307"/>
    <w:rsid w:val="00C3769A"/>
    <w:rsid w:val="00C37853"/>
    <w:rsid w:val="00C37933"/>
    <w:rsid w:val="00C3793A"/>
    <w:rsid w:val="00C37D16"/>
    <w:rsid w:val="00C37E59"/>
    <w:rsid w:val="00C37F30"/>
    <w:rsid w:val="00C40263"/>
    <w:rsid w:val="00C402E6"/>
    <w:rsid w:val="00C40370"/>
    <w:rsid w:val="00C4039C"/>
    <w:rsid w:val="00C404AE"/>
    <w:rsid w:val="00C40778"/>
    <w:rsid w:val="00C40CC6"/>
    <w:rsid w:val="00C40E7A"/>
    <w:rsid w:val="00C40FCA"/>
    <w:rsid w:val="00C4101A"/>
    <w:rsid w:val="00C4107A"/>
    <w:rsid w:val="00C41145"/>
    <w:rsid w:val="00C411B7"/>
    <w:rsid w:val="00C41510"/>
    <w:rsid w:val="00C41594"/>
    <w:rsid w:val="00C415A7"/>
    <w:rsid w:val="00C4165B"/>
    <w:rsid w:val="00C4165D"/>
    <w:rsid w:val="00C41A37"/>
    <w:rsid w:val="00C41BF2"/>
    <w:rsid w:val="00C41CD4"/>
    <w:rsid w:val="00C42113"/>
    <w:rsid w:val="00C424F5"/>
    <w:rsid w:val="00C42831"/>
    <w:rsid w:val="00C429FA"/>
    <w:rsid w:val="00C42BDE"/>
    <w:rsid w:val="00C42BFC"/>
    <w:rsid w:val="00C42E82"/>
    <w:rsid w:val="00C42EF9"/>
    <w:rsid w:val="00C42EFF"/>
    <w:rsid w:val="00C42FFD"/>
    <w:rsid w:val="00C43289"/>
    <w:rsid w:val="00C4331F"/>
    <w:rsid w:val="00C43477"/>
    <w:rsid w:val="00C43485"/>
    <w:rsid w:val="00C434AA"/>
    <w:rsid w:val="00C435AE"/>
    <w:rsid w:val="00C436AD"/>
    <w:rsid w:val="00C43835"/>
    <w:rsid w:val="00C43A87"/>
    <w:rsid w:val="00C43ED3"/>
    <w:rsid w:val="00C440C2"/>
    <w:rsid w:val="00C440E5"/>
    <w:rsid w:val="00C44272"/>
    <w:rsid w:val="00C4442B"/>
    <w:rsid w:val="00C44445"/>
    <w:rsid w:val="00C444C6"/>
    <w:rsid w:val="00C444E2"/>
    <w:rsid w:val="00C44615"/>
    <w:rsid w:val="00C447C0"/>
    <w:rsid w:val="00C447D5"/>
    <w:rsid w:val="00C44A3A"/>
    <w:rsid w:val="00C44A59"/>
    <w:rsid w:val="00C44A67"/>
    <w:rsid w:val="00C44A80"/>
    <w:rsid w:val="00C44AA2"/>
    <w:rsid w:val="00C44AA6"/>
    <w:rsid w:val="00C44ADE"/>
    <w:rsid w:val="00C44BCA"/>
    <w:rsid w:val="00C44D2A"/>
    <w:rsid w:val="00C454AC"/>
    <w:rsid w:val="00C455D2"/>
    <w:rsid w:val="00C45AF2"/>
    <w:rsid w:val="00C45B05"/>
    <w:rsid w:val="00C45B12"/>
    <w:rsid w:val="00C45D17"/>
    <w:rsid w:val="00C45D57"/>
    <w:rsid w:val="00C460A7"/>
    <w:rsid w:val="00C461B6"/>
    <w:rsid w:val="00C4622E"/>
    <w:rsid w:val="00C46321"/>
    <w:rsid w:val="00C4644F"/>
    <w:rsid w:val="00C464F4"/>
    <w:rsid w:val="00C46635"/>
    <w:rsid w:val="00C4673B"/>
    <w:rsid w:val="00C467F5"/>
    <w:rsid w:val="00C469C7"/>
    <w:rsid w:val="00C469F0"/>
    <w:rsid w:val="00C46B8F"/>
    <w:rsid w:val="00C46C20"/>
    <w:rsid w:val="00C46C78"/>
    <w:rsid w:val="00C46CFE"/>
    <w:rsid w:val="00C46EA6"/>
    <w:rsid w:val="00C46F8C"/>
    <w:rsid w:val="00C472F0"/>
    <w:rsid w:val="00C4730C"/>
    <w:rsid w:val="00C4747B"/>
    <w:rsid w:val="00C478A0"/>
    <w:rsid w:val="00C47947"/>
    <w:rsid w:val="00C4798F"/>
    <w:rsid w:val="00C479FF"/>
    <w:rsid w:val="00C47A09"/>
    <w:rsid w:val="00C47AD9"/>
    <w:rsid w:val="00C47DF6"/>
    <w:rsid w:val="00C47F1B"/>
    <w:rsid w:val="00C50116"/>
    <w:rsid w:val="00C503E3"/>
    <w:rsid w:val="00C5042A"/>
    <w:rsid w:val="00C5096C"/>
    <w:rsid w:val="00C509AE"/>
    <w:rsid w:val="00C50D0F"/>
    <w:rsid w:val="00C50E4A"/>
    <w:rsid w:val="00C50F28"/>
    <w:rsid w:val="00C51095"/>
    <w:rsid w:val="00C512E8"/>
    <w:rsid w:val="00C5132D"/>
    <w:rsid w:val="00C514FB"/>
    <w:rsid w:val="00C51590"/>
    <w:rsid w:val="00C516A4"/>
    <w:rsid w:val="00C516C9"/>
    <w:rsid w:val="00C5173B"/>
    <w:rsid w:val="00C51909"/>
    <w:rsid w:val="00C51945"/>
    <w:rsid w:val="00C519B8"/>
    <w:rsid w:val="00C51B4C"/>
    <w:rsid w:val="00C51BB0"/>
    <w:rsid w:val="00C51C7C"/>
    <w:rsid w:val="00C51D9C"/>
    <w:rsid w:val="00C51E1A"/>
    <w:rsid w:val="00C51E46"/>
    <w:rsid w:val="00C521AE"/>
    <w:rsid w:val="00C52203"/>
    <w:rsid w:val="00C52206"/>
    <w:rsid w:val="00C522CD"/>
    <w:rsid w:val="00C524B5"/>
    <w:rsid w:val="00C525A3"/>
    <w:rsid w:val="00C52AFE"/>
    <w:rsid w:val="00C52B31"/>
    <w:rsid w:val="00C52CD2"/>
    <w:rsid w:val="00C53040"/>
    <w:rsid w:val="00C5310B"/>
    <w:rsid w:val="00C533CF"/>
    <w:rsid w:val="00C5397F"/>
    <w:rsid w:val="00C5399C"/>
    <w:rsid w:val="00C53A8C"/>
    <w:rsid w:val="00C54457"/>
    <w:rsid w:val="00C545D7"/>
    <w:rsid w:val="00C545D8"/>
    <w:rsid w:val="00C546AF"/>
    <w:rsid w:val="00C54991"/>
    <w:rsid w:val="00C54AE4"/>
    <w:rsid w:val="00C54AEA"/>
    <w:rsid w:val="00C54CC8"/>
    <w:rsid w:val="00C54E9B"/>
    <w:rsid w:val="00C54FC9"/>
    <w:rsid w:val="00C552A0"/>
    <w:rsid w:val="00C553BB"/>
    <w:rsid w:val="00C553C7"/>
    <w:rsid w:val="00C55431"/>
    <w:rsid w:val="00C55521"/>
    <w:rsid w:val="00C5590A"/>
    <w:rsid w:val="00C5593B"/>
    <w:rsid w:val="00C55B9E"/>
    <w:rsid w:val="00C55C86"/>
    <w:rsid w:val="00C55F5B"/>
    <w:rsid w:val="00C55F8B"/>
    <w:rsid w:val="00C560F7"/>
    <w:rsid w:val="00C563E3"/>
    <w:rsid w:val="00C564EF"/>
    <w:rsid w:val="00C56663"/>
    <w:rsid w:val="00C5666C"/>
    <w:rsid w:val="00C5670E"/>
    <w:rsid w:val="00C56817"/>
    <w:rsid w:val="00C5686B"/>
    <w:rsid w:val="00C569C7"/>
    <w:rsid w:val="00C56B36"/>
    <w:rsid w:val="00C56B43"/>
    <w:rsid w:val="00C56B8E"/>
    <w:rsid w:val="00C56BD8"/>
    <w:rsid w:val="00C56E1D"/>
    <w:rsid w:val="00C56E8A"/>
    <w:rsid w:val="00C56F05"/>
    <w:rsid w:val="00C57005"/>
    <w:rsid w:val="00C571DA"/>
    <w:rsid w:val="00C572B6"/>
    <w:rsid w:val="00C572E9"/>
    <w:rsid w:val="00C57680"/>
    <w:rsid w:val="00C576D8"/>
    <w:rsid w:val="00C57F23"/>
    <w:rsid w:val="00C59BBC"/>
    <w:rsid w:val="00C6009B"/>
    <w:rsid w:val="00C6018B"/>
    <w:rsid w:val="00C601DF"/>
    <w:rsid w:val="00C60228"/>
    <w:rsid w:val="00C60529"/>
    <w:rsid w:val="00C60758"/>
    <w:rsid w:val="00C60AC3"/>
    <w:rsid w:val="00C60CC3"/>
    <w:rsid w:val="00C60F89"/>
    <w:rsid w:val="00C60F91"/>
    <w:rsid w:val="00C60FFF"/>
    <w:rsid w:val="00C6125B"/>
    <w:rsid w:val="00C61279"/>
    <w:rsid w:val="00C613D6"/>
    <w:rsid w:val="00C6144F"/>
    <w:rsid w:val="00C6159D"/>
    <w:rsid w:val="00C618F6"/>
    <w:rsid w:val="00C61B88"/>
    <w:rsid w:val="00C61C66"/>
    <w:rsid w:val="00C61E24"/>
    <w:rsid w:val="00C620FB"/>
    <w:rsid w:val="00C623AA"/>
    <w:rsid w:val="00C62789"/>
    <w:rsid w:val="00C628C8"/>
    <w:rsid w:val="00C628FD"/>
    <w:rsid w:val="00C6290C"/>
    <w:rsid w:val="00C62E30"/>
    <w:rsid w:val="00C62F00"/>
    <w:rsid w:val="00C62FAF"/>
    <w:rsid w:val="00C630E0"/>
    <w:rsid w:val="00C63146"/>
    <w:rsid w:val="00C631F0"/>
    <w:rsid w:val="00C6323D"/>
    <w:rsid w:val="00C63370"/>
    <w:rsid w:val="00C633D6"/>
    <w:rsid w:val="00C63738"/>
    <w:rsid w:val="00C637CF"/>
    <w:rsid w:val="00C638F9"/>
    <w:rsid w:val="00C63B69"/>
    <w:rsid w:val="00C63CBA"/>
    <w:rsid w:val="00C64115"/>
    <w:rsid w:val="00C641AF"/>
    <w:rsid w:val="00C6422C"/>
    <w:rsid w:val="00C64560"/>
    <w:rsid w:val="00C645F4"/>
    <w:rsid w:val="00C645FE"/>
    <w:rsid w:val="00C646A1"/>
    <w:rsid w:val="00C646F7"/>
    <w:rsid w:val="00C64850"/>
    <w:rsid w:val="00C64998"/>
    <w:rsid w:val="00C64BB9"/>
    <w:rsid w:val="00C64C5C"/>
    <w:rsid w:val="00C64D89"/>
    <w:rsid w:val="00C6512C"/>
    <w:rsid w:val="00C65198"/>
    <w:rsid w:val="00C65235"/>
    <w:rsid w:val="00C6544F"/>
    <w:rsid w:val="00C654ED"/>
    <w:rsid w:val="00C65594"/>
    <w:rsid w:val="00C6586B"/>
    <w:rsid w:val="00C65AFD"/>
    <w:rsid w:val="00C65B0C"/>
    <w:rsid w:val="00C65B95"/>
    <w:rsid w:val="00C65CAC"/>
    <w:rsid w:val="00C65CC1"/>
    <w:rsid w:val="00C65E20"/>
    <w:rsid w:val="00C65E2F"/>
    <w:rsid w:val="00C65F09"/>
    <w:rsid w:val="00C660CA"/>
    <w:rsid w:val="00C660D4"/>
    <w:rsid w:val="00C66108"/>
    <w:rsid w:val="00C662C9"/>
    <w:rsid w:val="00C66439"/>
    <w:rsid w:val="00C66702"/>
    <w:rsid w:val="00C667CF"/>
    <w:rsid w:val="00C6690F"/>
    <w:rsid w:val="00C66913"/>
    <w:rsid w:val="00C66929"/>
    <w:rsid w:val="00C66D4D"/>
    <w:rsid w:val="00C67315"/>
    <w:rsid w:val="00C67381"/>
    <w:rsid w:val="00C67685"/>
    <w:rsid w:val="00C67742"/>
    <w:rsid w:val="00C678B7"/>
    <w:rsid w:val="00C67906"/>
    <w:rsid w:val="00C67923"/>
    <w:rsid w:val="00C67A3C"/>
    <w:rsid w:val="00C67A7C"/>
    <w:rsid w:val="00C67C04"/>
    <w:rsid w:val="00C67C3D"/>
    <w:rsid w:val="00C70007"/>
    <w:rsid w:val="00C70179"/>
    <w:rsid w:val="00C70317"/>
    <w:rsid w:val="00C70373"/>
    <w:rsid w:val="00C706D1"/>
    <w:rsid w:val="00C7098B"/>
    <w:rsid w:val="00C70C3E"/>
    <w:rsid w:val="00C70E5E"/>
    <w:rsid w:val="00C71125"/>
    <w:rsid w:val="00C713F9"/>
    <w:rsid w:val="00C71441"/>
    <w:rsid w:val="00C71460"/>
    <w:rsid w:val="00C714F1"/>
    <w:rsid w:val="00C715F5"/>
    <w:rsid w:val="00C7184B"/>
    <w:rsid w:val="00C718B1"/>
    <w:rsid w:val="00C719A7"/>
    <w:rsid w:val="00C71A5C"/>
    <w:rsid w:val="00C71ABF"/>
    <w:rsid w:val="00C71B05"/>
    <w:rsid w:val="00C71B0A"/>
    <w:rsid w:val="00C71CF4"/>
    <w:rsid w:val="00C71DF8"/>
    <w:rsid w:val="00C71E2A"/>
    <w:rsid w:val="00C71FA7"/>
    <w:rsid w:val="00C71FD1"/>
    <w:rsid w:val="00C72004"/>
    <w:rsid w:val="00C720AE"/>
    <w:rsid w:val="00C7253E"/>
    <w:rsid w:val="00C7289B"/>
    <w:rsid w:val="00C728B8"/>
    <w:rsid w:val="00C72AB4"/>
    <w:rsid w:val="00C72D4F"/>
    <w:rsid w:val="00C7309A"/>
    <w:rsid w:val="00C73185"/>
    <w:rsid w:val="00C73524"/>
    <w:rsid w:val="00C73598"/>
    <w:rsid w:val="00C735E0"/>
    <w:rsid w:val="00C73616"/>
    <w:rsid w:val="00C739FC"/>
    <w:rsid w:val="00C73AEF"/>
    <w:rsid w:val="00C73AF3"/>
    <w:rsid w:val="00C73BAB"/>
    <w:rsid w:val="00C73D31"/>
    <w:rsid w:val="00C73DF5"/>
    <w:rsid w:val="00C73F95"/>
    <w:rsid w:val="00C74012"/>
    <w:rsid w:val="00C7406A"/>
    <w:rsid w:val="00C7428F"/>
    <w:rsid w:val="00C7430A"/>
    <w:rsid w:val="00C744B7"/>
    <w:rsid w:val="00C74592"/>
    <w:rsid w:val="00C7466D"/>
    <w:rsid w:val="00C74696"/>
    <w:rsid w:val="00C746E5"/>
    <w:rsid w:val="00C748CA"/>
    <w:rsid w:val="00C74B85"/>
    <w:rsid w:val="00C74DA7"/>
    <w:rsid w:val="00C74FA3"/>
    <w:rsid w:val="00C752D3"/>
    <w:rsid w:val="00C75336"/>
    <w:rsid w:val="00C75347"/>
    <w:rsid w:val="00C75521"/>
    <w:rsid w:val="00C755AD"/>
    <w:rsid w:val="00C756C1"/>
    <w:rsid w:val="00C7570A"/>
    <w:rsid w:val="00C75863"/>
    <w:rsid w:val="00C75959"/>
    <w:rsid w:val="00C759A1"/>
    <w:rsid w:val="00C75A85"/>
    <w:rsid w:val="00C75BEE"/>
    <w:rsid w:val="00C75D6C"/>
    <w:rsid w:val="00C75EC5"/>
    <w:rsid w:val="00C75F84"/>
    <w:rsid w:val="00C760BC"/>
    <w:rsid w:val="00C7632C"/>
    <w:rsid w:val="00C766B9"/>
    <w:rsid w:val="00C7688E"/>
    <w:rsid w:val="00C76A94"/>
    <w:rsid w:val="00C76CA0"/>
    <w:rsid w:val="00C76CEC"/>
    <w:rsid w:val="00C76DEE"/>
    <w:rsid w:val="00C76DFA"/>
    <w:rsid w:val="00C76E02"/>
    <w:rsid w:val="00C76EAB"/>
    <w:rsid w:val="00C76F28"/>
    <w:rsid w:val="00C7713D"/>
    <w:rsid w:val="00C7742C"/>
    <w:rsid w:val="00C774A2"/>
    <w:rsid w:val="00C77542"/>
    <w:rsid w:val="00C77556"/>
    <w:rsid w:val="00C776A5"/>
    <w:rsid w:val="00C77721"/>
    <w:rsid w:val="00C778F5"/>
    <w:rsid w:val="00C77A76"/>
    <w:rsid w:val="00C77AB6"/>
    <w:rsid w:val="00C77BBE"/>
    <w:rsid w:val="00C77D4C"/>
    <w:rsid w:val="00C77E62"/>
    <w:rsid w:val="00C80058"/>
    <w:rsid w:val="00C80063"/>
    <w:rsid w:val="00C800A3"/>
    <w:rsid w:val="00C800B8"/>
    <w:rsid w:val="00C8059A"/>
    <w:rsid w:val="00C8060E"/>
    <w:rsid w:val="00C80A31"/>
    <w:rsid w:val="00C80CBE"/>
    <w:rsid w:val="00C80D69"/>
    <w:rsid w:val="00C80F48"/>
    <w:rsid w:val="00C8101D"/>
    <w:rsid w:val="00C81A74"/>
    <w:rsid w:val="00C81A9B"/>
    <w:rsid w:val="00C81B02"/>
    <w:rsid w:val="00C81D30"/>
    <w:rsid w:val="00C81E9F"/>
    <w:rsid w:val="00C81FE4"/>
    <w:rsid w:val="00C81FFC"/>
    <w:rsid w:val="00C82157"/>
    <w:rsid w:val="00C8220E"/>
    <w:rsid w:val="00C822D2"/>
    <w:rsid w:val="00C823C5"/>
    <w:rsid w:val="00C8243F"/>
    <w:rsid w:val="00C8299F"/>
    <w:rsid w:val="00C829C1"/>
    <w:rsid w:val="00C82D31"/>
    <w:rsid w:val="00C82F5F"/>
    <w:rsid w:val="00C82F63"/>
    <w:rsid w:val="00C83011"/>
    <w:rsid w:val="00C831AF"/>
    <w:rsid w:val="00C834CD"/>
    <w:rsid w:val="00C835CC"/>
    <w:rsid w:val="00C83753"/>
    <w:rsid w:val="00C8386A"/>
    <w:rsid w:val="00C83877"/>
    <w:rsid w:val="00C838F2"/>
    <w:rsid w:val="00C83A57"/>
    <w:rsid w:val="00C83AE3"/>
    <w:rsid w:val="00C83B25"/>
    <w:rsid w:val="00C83EDD"/>
    <w:rsid w:val="00C83F84"/>
    <w:rsid w:val="00C84096"/>
    <w:rsid w:val="00C84100"/>
    <w:rsid w:val="00C842C1"/>
    <w:rsid w:val="00C84586"/>
    <w:rsid w:val="00C849A6"/>
    <w:rsid w:val="00C84B23"/>
    <w:rsid w:val="00C84C8C"/>
    <w:rsid w:val="00C84C9B"/>
    <w:rsid w:val="00C84D0E"/>
    <w:rsid w:val="00C84D19"/>
    <w:rsid w:val="00C84E35"/>
    <w:rsid w:val="00C84ECE"/>
    <w:rsid w:val="00C85019"/>
    <w:rsid w:val="00C85029"/>
    <w:rsid w:val="00C85146"/>
    <w:rsid w:val="00C85207"/>
    <w:rsid w:val="00C852EB"/>
    <w:rsid w:val="00C8538C"/>
    <w:rsid w:val="00C854C8"/>
    <w:rsid w:val="00C854DC"/>
    <w:rsid w:val="00C85742"/>
    <w:rsid w:val="00C858D9"/>
    <w:rsid w:val="00C85971"/>
    <w:rsid w:val="00C85D0A"/>
    <w:rsid w:val="00C85D29"/>
    <w:rsid w:val="00C86023"/>
    <w:rsid w:val="00C861B8"/>
    <w:rsid w:val="00C86244"/>
    <w:rsid w:val="00C86384"/>
    <w:rsid w:val="00C8652F"/>
    <w:rsid w:val="00C86549"/>
    <w:rsid w:val="00C86654"/>
    <w:rsid w:val="00C8680B"/>
    <w:rsid w:val="00C8683E"/>
    <w:rsid w:val="00C8684B"/>
    <w:rsid w:val="00C86949"/>
    <w:rsid w:val="00C8698A"/>
    <w:rsid w:val="00C869D0"/>
    <w:rsid w:val="00C869E9"/>
    <w:rsid w:val="00C86B51"/>
    <w:rsid w:val="00C86CF7"/>
    <w:rsid w:val="00C86F8C"/>
    <w:rsid w:val="00C86FDA"/>
    <w:rsid w:val="00C86FF2"/>
    <w:rsid w:val="00C87240"/>
    <w:rsid w:val="00C8736F"/>
    <w:rsid w:val="00C8745F"/>
    <w:rsid w:val="00C87705"/>
    <w:rsid w:val="00C879E3"/>
    <w:rsid w:val="00C879F3"/>
    <w:rsid w:val="00C87D31"/>
    <w:rsid w:val="00C87D92"/>
    <w:rsid w:val="00C9001F"/>
    <w:rsid w:val="00C9064A"/>
    <w:rsid w:val="00C90662"/>
    <w:rsid w:val="00C90664"/>
    <w:rsid w:val="00C90683"/>
    <w:rsid w:val="00C907F4"/>
    <w:rsid w:val="00C90A6A"/>
    <w:rsid w:val="00C90EAA"/>
    <w:rsid w:val="00C90EC7"/>
    <w:rsid w:val="00C90F35"/>
    <w:rsid w:val="00C90F5F"/>
    <w:rsid w:val="00C90FEE"/>
    <w:rsid w:val="00C91299"/>
    <w:rsid w:val="00C91353"/>
    <w:rsid w:val="00C913A5"/>
    <w:rsid w:val="00C9142D"/>
    <w:rsid w:val="00C91488"/>
    <w:rsid w:val="00C916D7"/>
    <w:rsid w:val="00C91A3C"/>
    <w:rsid w:val="00C91A60"/>
    <w:rsid w:val="00C91B9B"/>
    <w:rsid w:val="00C91D2C"/>
    <w:rsid w:val="00C924D1"/>
    <w:rsid w:val="00C925E1"/>
    <w:rsid w:val="00C92600"/>
    <w:rsid w:val="00C9293B"/>
    <w:rsid w:val="00C92B27"/>
    <w:rsid w:val="00C92B55"/>
    <w:rsid w:val="00C92C37"/>
    <w:rsid w:val="00C92C8A"/>
    <w:rsid w:val="00C92D68"/>
    <w:rsid w:val="00C92D9B"/>
    <w:rsid w:val="00C92DC4"/>
    <w:rsid w:val="00C92DD9"/>
    <w:rsid w:val="00C92E1E"/>
    <w:rsid w:val="00C92F0E"/>
    <w:rsid w:val="00C93036"/>
    <w:rsid w:val="00C93090"/>
    <w:rsid w:val="00C931CB"/>
    <w:rsid w:val="00C9335F"/>
    <w:rsid w:val="00C933F1"/>
    <w:rsid w:val="00C93445"/>
    <w:rsid w:val="00C939BE"/>
    <w:rsid w:val="00C93CDE"/>
    <w:rsid w:val="00C93D6D"/>
    <w:rsid w:val="00C93DEA"/>
    <w:rsid w:val="00C93F5F"/>
    <w:rsid w:val="00C9423C"/>
    <w:rsid w:val="00C946A9"/>
    <w:rsid w:val="00C946B6"/>
    <w:rsid w:val="00C947AA"/>
    <w:rsid w:val="00C947D3"/>
    <w:rsid w:val="00C947F8"/>
    <w:rsid w:val="00C947F9"/>
    <w:rsid w:val="00C9487B"/>
    <w:rsid w:val="00C948C7"/>
    <w:rsid w:val="00C94C91"/>
    <w:rsid w:val="00C94D13"/>
    <w:rsid w:val="00C94DFC"/>
    <w:rsid w:val="00C94E6D"/>
    <w:rsid w:val="00C95295"/>
    <w:rsid w:val="00C9544C"/>
    <w:rsid w:val="00C95605"/>
    <w:rsid w:val="00C95646"/>
    <w:rsid w:val="00C956E3"/>
    <w:rsid w:val="00C956EE"/>
    <w:rsid w:val="00C95DCC"/>
    <w:rsid w:val="00C95E53"/>
    <w:rsid w:val="00C95F3B"/>
    <w:rsid w:val="00C95FAD"/>
    <w:rsid w:val="00C9616B"/>
    <w:rsid w:val="00C96198"/>
    <w:rsid w:val="00C96322"/>
    <w:rsid w:val="00C96417"/>
    <w:rsid w:val="00C96732"/>
    <w:rsid w:val="00C96881"/>
    <w:rsid w:val="00C9688E"/>
    <w:rsid w:val="00C96974"/>
    <w:rsid w:val="00C969F2"/>
    <w:rsid w:val="00C97123"/>
    <w:rsid w:val="00C97341"/>
    <w:rsid w:val="00C9734B"/>
    <w:rsid w:val="00C974BB"/>
    <w:rsid w:val="00C974FC"/>
    <w:rsid w:val="00C97893"/>
    <w:rsid w:val="00CA01A9"/>
    <w:rsid w:val="00CA021B"/>
    <w:rsid w:val="00CA06AD"/>
    <w:rsid w:val="00CA074D"/>
    <w:rsid w:val="00CA0894"/>
    <w:rsid w:val="00CA0B8A"/>
    <w:rsid w:val="00CA0EB0"/>
    <w:rsid w:val="00CA0F3F"/>
    <w:rsid w:val="00CA1006"/>
    <w:rsid w:val="00CA1225"/>
    <w:rsid w:val="00CA13D8"/>
    <w:rsid w:val="00CA1418"/>
    <w:rsid w:val="00CA1444"/>
    <w:rsid w:val="00CA14EF"/>
    <w:rsid w:val="00CA1733"/>
    <w:rsid w:val="00CA1A65"/>
    <w:rsid w:val="00CA1A85"/>
    <w:rsid w:val="00CA1CB1"/>
    <w:rsid w:val="00CA217A"/>
    <w:rsid w:val="00CA2265"/>
    <w:rsid w:val="00CA23F2"/>
    <w:rsid w:val="00CA24E9"/>
    <w:rsid w:val="00CA26E5"/>
    <w:rsid w:val="00CA2773"/>
    <w:rsid w:val="00CA27BD"/>
    <w:rsid w:val="00CA2A89"/>
    <w:rsid w:val="00CA2CD7"/>
    <w:rsid w:val="00CA2FE6"/>
    <w:rsid w:val="00CA30DE"/>
    <w:rsid w:val="00CA3125"/>
    <w:rsid w:val="00CA33CE"/>
    <w:rsid w:val="00CA3506"/>
    <w:rsid w:val="00CA38A2"/>
    <w:rsid w:val="00CA3DC3"/>
    <w:rsid w:val="00CA40C0"/>
    <w:rsid w:val="00CA40F2"/>
    <w:rsid w:val="00CA414C"/>
    <w:rsid w:val="00CA43B5"/>
    <w:rsid w:val="00CA49B9"/>
    <w:rsid w:val="00CA4A39"/>
    <w:rsid w:val="00CA4B9D"/>
    <w:rsid w:val="00CA4BF4"/>
    <w:rsid w:val="00CA4C01"/>
    <w:rsid w:val="00CA4D91"/>
    <w:rsid w:val="00CA4E09"/>
    <w:rsid w:val="00CA4E53"/>
    <w:rsid w:val="00CA4F82"/>
    <w:rsid w:val="00CA512C"/>
    <w:rsid w:val="00CA5292"/>
    <w:rsid w:val="00CA52A5"/>
    <w:rsid w:val="00CA52B0"/>
    <w:rsid w:val="00CA5350"/>
    <w:rsid w:val="00CA536E"/>
    <w:rsid w:val="00CA548C"/>
    <w:rsid w:val="00CA5637"/>
    <w:rsid w:val="00CA5A62"/>
    <w:rsid w:val="00CA5D7A"/>
    <w:rsid w:val="00CA6144"/>
    <w:rsid w:val="00CA614A"/>
    <w:rsid w:val="00CA634C"/>
    <w:rsid w:val="00CA6466"/>
    <w:rsid w:val="00CA656C"/>
    <w:rsid w:val="00CA667D"/>
    <w:rsid w:val="00CA66B2"/>
    <w:rsid w:val="00CA6711"/>
    <w:rsid w:val="00CA68AE"/>
    <w:rsid w:val="00CA698C"/>
    <w:rsid w:val="00CA6B9A"/>
    <w:rsid w:val="00CA6C24"/>
    <w:rsid w:val="00CA6C60"/>
    <w:rsid w:val="00CA6C94"/>
    <w:rsid w:val="00CA6CD9"/>
    <w:rsid w:val="00CA6F7B"/>
    <w:rsid w:val="00CA7091"/>
    <w:rsid w:val="00CA7190"/>
    <w:rsid w:val="00CA7276"/>
    <w:rsid w:val="00CA72AE"/>
    <w:rsid w:val="00CA7350"/>
    <w:rsid w:val="00CA741B"/>
    <w:rsid w:val="00CA741E"/>
    <w:rsid w:val="00CA761C"/>
    <w:rsid w:val="00CA776F"/>
    <w:rsid w:val="00CA78BE"/>
    <w:rsid w:val="00CA7D04"/>
    <w:rsid w:val="00CA7DB7"/>
    <w:rsid w:val="00CA7E00"/>
    <w:rsid w:val="00CA7EFD"/>
    <w:rsid w:val="00CA7F29"/>
    <w:rsid w:val="00CA7F35"/>
    <w:rsid w:val="00CA7F5F"/>
    <w:rsid w:val="00CB05A7"/>
    <w:rsid w:val="00CB07ED"/>
    <w:rsid w:val="00CB0AA3"/>
    <w:rsid w:val="00CB0C98"/>
    <w:rsid w:val="00CB0D23"/>
    <w:rsid w:val="00CB0DD9"/>
    <w:rsid w:val="00CB0F53"/>
    <w:rsid w:val="00CB0FD9"/>
    <w:rsid w:val="00CB1071"/>
    <w:rsid w:val="00CB1252"/>
    <w:rsid w:val="00CB1341"/>
    <w:rsid w:val="00CB1530"/>
    <w:rsid w:val="00CB182D"/>
    <w:rsid w:val="00CB1B10"/>
    <w:rsid w:val="00CB1B68"/>
    <w:rsid w:val="00CB1DCF"/>
    <w:rsid w:val="00CB1E9E"/>
    <w:rsid w:val="00CB1F0C"/>
    <w:rsid w:val="00CB215D"/>
    <w:rsid w:val="00CB2162"/>
    <w:rsid w:val="00CB21EB"/>
    <w:rsid w:val="00CB22D6"/>
    <w:rsid w:val="00CB239F"/>
    <w:rsid w:val="00CB2612"/>
    <w:rsid w:val="00CB2779"/>
    <w:rsid w:val="00CB2A18"/>
    <w:rsid w:val="00CB2B73"/>
    <w:rsid w:val="00CB2C2B"/>
    <w:rsid w:val="00CB2CB4"/>
    <w:rsid w:val="00CB2CDE"/>
    <w:rsid w:val="00CB3236"/>
    <w:rsid w:val="00CB335A"/>
    <w:rsid w:val="00CB3384"/>
    <w:rsid w:val="00CB3480"/>
    <w:rsid w:val="00CB3517"/>
    <w:rsid w:val="00CB3989"/>
    <w:rsid w:val="00CB3C7F"/>
    <w:rsid w:val="00CB3CBF"/>
    <w:rsid w:val="00CB3DD9"/>
    <w:rsid w:val="00CB3F2C"/>
    <w:rsid w:val="00CB41C1"/>
    <w:rsid w:val="00CB44C0"/>
    <w:rsid w:val="00CB4671"/>
    <w:rsid w:val="00CB47D6"/>
    <w:rsid w:val="00CB4870"/>
    <w:rsid w:val="00CB4886"/>
    <w:rsid w:val="00CB4B1C"/>
    <w:rsid w:val="00CB4B87"/>
    <w:rsid w:val="00CB4E60"/>
    <w:rsid w:val="00CB4FFC"/>
    <w:rsid w:val="00CB4FFF"/>
    <w:rsid w:val="00CB555A"/>
    <w:rsid w:val="00CB55D8"/>
    <w:rsid w:val="00CB5820"/>
    <w:rsid w:val="00CB58E5"/>
    <w:rsid w:val="00CB5AFF"/>
    <w:rsid w:val="00CB5C17"/>
    <w:rsid w:val="00CB5C81"/>
    <w:rsid w:val="00CB5E58"/>
    <w:rsid w:val="00CB5F41"/>
    <w:rsid w:val="00CB5FF8"/>
    <w:rsid w:val="00CB601D"/>
    <w:rsid w:val="00CB6513"/>
    <w:rsid w:val="00CB65A8"/>
    <w:rsid w:val="00CB6820"/>
    <w:rsid w:val="00CB697A"/>
    <w:rsid w:val="00CB6A4A"/>
    <w:rsid w:val="00CB6C32"/>
    <w:rsid w:val="00CB6D79"/>
    <w:rsid w:val="00CB70D2"/>
    <w:rsid w:val="00CB730A"/>
    <w:rsid w:val="00CB74CE"/>
    <w:rsid w:val="00CB77A5"/>
    <w:rsid w:val="00CB7975"/>
    <w:rsid w:val="00CB79A8"/>
    <w:rsid w:val="00CB7BBD"/>
    <w:rsid w:val="00CB7C01"/>
    <w:rsid w:val="00CB7C2F"/>
    <w:rsid w:val="00CB7CDA"/>
    <w:rsid w:val="00CB7DFC"/>
    <w:rsid w:val="00CC0027"/>
    <w:rsid w:val="00CC036C"/>
    <w:rsid w:val="00CC03C6"/>
    <w:rsid w:val="00CC0636"/>
    <w:rsid w:val="00CC071E"/>
    <w:rsid w:val="00CC0863"/>
    <w:rsid w:val="00CC0946"/>
    <w:rsid w:val="00CC0A1B"/>
    <w:rsid w:val="00CC0B60"/>
    <w:rsid w:val="00CC0B91"/>
    <w:rsid w:val="00CC0F25"/>
    <w:rsid w:val="00CC0F84"/>
    <w:rsid w:val="00CC0FA2"/>
    <w:rsid w:val="00CC1138"/>
    <w:rsid w:val="00CC11F1"/>
    <w:rsid w:val="00CC1402"/>
    <w:rsid w:val="00CC1507"/>
    <w:rsid w:val="00CC157C"/>
    <w:rsid w:val="00CC1600"/>
    <w:rsid w:val="00CC1644"/>
    <w:rsid w:val="00CC1770"/>
    <w:rsid w:val="00CC1AFF"/>
    <w:rsid w:val="00CC1C01"/>
    <w:rsid w:val="00CC1CF0"/>
    <w:rsid w:val="00CC1DF9"/>
    <w:rsid w:val="00CC1F34"/>
    <w:rsid w:val="00CC22CE"/>
    <w:rsid w:val="00CC2300"/>
    <w:rsid w:val="00CC23F3"/>
    <w:rsid w:val="00CC24F8"/>
    <w:rsid w:val="00CC275F"/>
    <w:rsid w:val="00CC285C"/>
    <w:rsid w:val="00CC2865"/>
    <w:rsid w:val="00CC2883"/>
    <w:rsid w:val="00CC2887"/>
    <w:rsid w:val="00CC2941"/>
    <w:rsid w:val="00CC2A89"/>
    <w:rsid w:val="00CC2B89"/>
    <w:rsid w:val="00CC2D7E"/>
    <w:rsid w:val="00CC2DBA"/>
    <w:rsid w:val="00CC37D9"/>
    <w:rsid w:val="00CC3AA1"/>
    <w:rsid w:val="00CC3C1A"/>
    <w:rsid w:val="00CC3C3F"/>
    <w:rsid w:val="00CC3F45"/>
    <w:rsid w:val="00CC3F64"/>
    <w:rsid w:val="00CC421C"/>
    <w:rsid w:val="00CC42F6"/>
    <w:rsid w:val="00CC4410"/>
    <w:rsid w:val="00CC4465"/>
    <w:rsid w:val="00CC44C4"/>
    <w:rsid w:val="00CC45D0"/>
    <w:rsid w:val="00CC495C"/>
    <w:rsid w:val="00CC49F8"/>
    <w:rsid w:val="00CC4B5B"/>
    <w:rsid w:val="00CC5555"/>
    <w:rsid w:val="00CC58EC"/>
    <w:rsid w:val="00CC5C01"/>
    <w:rsid w:val="00CC5F33"/>
    <w:rsid w:val="00CC5FA8"/>
    <w:rsid w:val="00CC626F"/>
    <w:rsid w:val="00CC6276"/>
    <w:rsid w:val="00CC6781"/>
    <w:rsid w:val="00CC67D0"/>
    <w:rsid w:val="00CC68DB"/>
    <w:rsid w:val="00CC69E4"/>
    <w:rsid w:val="00CC6A2A"/>
    <w:rsid w:val="00CC6B73"/>
    <w:rsid w:val="00CC6B76"/>
    <w:rsid w:val="00CC6C2B"/>
    <w:rsid w:val="00CC6F0D"/>
    <w:rsid w:val="00CC7053"/>
    <w:rsid w:val="00CC7204"/>
    <w:rsid w:val="00CC721D"/>
    <w:rsid w:val="00CC721F"/>
    <w:rsid w:val="00CC73C0"/>
    <w:rsid w:val="00CC7492"/>
    <w:rsid w:val="00CC755C"/>
    <w:rsid w:val="00CC7709"/>
    <w:rsid w:val="00CC7AC4"/>
    <w:rsid w:val="00CC7D99"/>
    <w:rsid w:val="00CC7E48"/>
    <w:rsid w:val="00CC7E76"/>
    <w:rsid w:val="00CC7EA9"/>
    <w:rsid w:val="00CC7F5D"/>
    <w:rsid w:val="00CD0105"/>
    <w:rsid w:val="00CD0124"/>
    <w:rsid w:val="00CD0145"/>
    <w:rsid w:val="00CD06C3"/>
    <w:rsid w:val="00CD098B"/>
    <w:rsid w:val="00CD09DC"/>
    <w:rsid w:val="00CD0C1F"/>
    <w:rsid w:val="00CD0C6B"/>
    <w:rsid w:val="00CD0C7A"/>
    <w:rsid w:val="00CD13EE"/>
    <w:rsid w:val="00CD151C"/>
    <w:rsid w:val="00CD1580"/>
    <w:rsid w:val="00CD1584"/>
    <w:rsid w:val="00CD192F"/>
    <w:rsid w:val="00CD19BA"/>
    <w:rsid w:val="00CD1B2B"/>
    <w:rsid w:val="00CD1B63"/>
    <w:rsid w:val="00CD1B77"/>
    <w:rsid w:val="00CD1BD0"/>
    <w:rsid w:val="00CD1CAE"/>
    <w:rsid w:val="00CD1E8E"/>
    <w:rsid w:val="00CD1FBE"/>
    <w:rsid w:val="00CD2002"/>
    <w:rsid w:val="00CD2038"/>
    <w:rsid w:val="00CD206C"/>
    <w:rsid w:val="00CD2153"/>
    <w:rsid w:val="00CD23B6"/>
    <w:rsid w:val="00CD25AF"/>
    <w:rsid w:val="00CD25E8"/>
    <w:rsid w:val="00CD2696"/>
    <w:rsid w:val="00CD26D8"/>
    <w:rsid w:val="00CD2710"/>
    <w:rsid w:val="00CD2866"/>
    <w:rsid w:val="00CD2B70"/>
    <w:rsid w:val="00CD2C16"/>
    <w:rsid w:val="00CD2DC5"/>
    <w:rsid w:val="00CD2EDF"/>
    <w:rsid w:val="00CD32CA"/>
    <w:rsid w:val="00CD32E2"/>
    <w:rsid w:val="00CD3436"/>
    <w:rsid w:val="00CD345F"/>
    <w:rsid w:val="00CD3650"/>
    <w:rsid w:val="00CD36D4"/>
    <w:rsid w:val="00CD39E4"/>
    <w:rsid w:val="00CD3ACC"/>
    <w:rsid w:val="00CD3B8B"/>
    <w:rsid w:val="00CD401B"/>
    <w:rsid w:val="00CD409E"/>
    <w:rsid w:val="00CD4286"/>
    <w:rsid w:val="00CD4359"/>
    <w:rsid w:val="00CD46A1"/>
    <w:rsid w:val="00CD46E8"/>
    <w:rsid w:val="00CD4725"/>
    <w:rsid w:val="00CD47CC"/>
    <w:rsid w:val="00CD4BFE"/>
    <w:rsid w:val="00CD4D30"/>
    <w:rsid w:val="00CD4FCA"/>
    <w:rsid w:val="00CD5194"/>
    <w:rsid w:val="00CD51B7"/>
    <w:rsid w:val="00CD550A"/>
    <w:rsid w:val="00CD5712"/>
    <w:rsid w:val="00CD5CB2"/>
    <w:rsid w:val="00CD5CC4"/>
    <w:rsid w:val="00CD604D"/>
    <w:rsid w:val="00CD6085"/>
    <w:rsid w:val="00CD60F0"/>
    <w:rsid w:val="00CD631F"/>
    <w:rsid w:val="00CD641D"/>
    <w:rsid w:val="00CD6624"/>
    <w:rsid w:val="00CD67D2"/>
    <w:rsid w:val="00CD68CC"/>
    <w:rsid w:val="00CD6C08"/>
    <w:rsid w:val="00CD6DB1"/>
    <w:rsid w:val="00CD6E28"/>
    <w:rsid w:val="00CD7289"/>
    <w:rsid w:val="00CD734C"/>
    <w:rsid w:val="00CD74BC"/>
    <w:rsid w:val="00CD75E7"/>
    <w:rsid w:val="00CD767C"/>
    <w:rsid w:val="00CD7772"/>
    <w:rsid w:val="00CD7980"/>
    <w:rsid w:val="00CD7A1A"/>
    <w:rsid w:val="00CD7B78"/>
    <w:rsid w:val="00CD7DFA"/>
    <w:rsid w:val="00CD7E42"/>
    <w:rsid w:val="00CD7EDD"/>
    <w:rsid w:val="00CE0099"/>
    <w:rsid w:val="00CE00FE"/>
    <w:rsid w:val="00CE01E9"/>
    <w:rsid w:val="00CE0224"/>
    <w:rsid w:val="00CE0389"/>
    <w:rsid w:val="00CE06D4"/>
    <w:rsid w:val="00CE0766"/>
    <w:rsid w:val="00CE0843"/>
    <w:rsid w:val="00CE085E"/>
    <w:rsid w:val="00CE08D3"/>
    <w:rsid w:val="00CE0A5A"/>
    <w:rsid w:val="00CE0F31"/>
    <w:rsid w:val="00CE1021"/>
    <w:rsid w:val="00CE110F"/>
    <w:rsid w:val="00CE11DD"/>
    <w:rsid w:val="00CE124C"/>
    <w:rsid w:val="00CE136E"/>
    <w:rsid w:val="00CE1450"/>
    <w:rsid w:val="00CE1899"/>
    <w:rsid w:val="00CE192C"/>
    <w:rsid w:val="00CE1945"/>
    <w:rsid w:val="00CE1E98"/>
    <w:rsid w:val="00CE20C9"/>
    <w:rsid w:val="00CE23CC"/>
    <w:rsid w:val="00CE2526"/>
    <w:rsid w:val="00CE25B3"/>
    <w:rsid w:val="00CE25D7"/>
    <w:rsid w:val="00CE25FC"/>
    <w:rsid w:val="00CE2AC3"/>
    <w:rsid w:val="00CE2BB4"/>
    <w:rsid w:val="00CE2CE1"/>
    <w:rsid w:val="00CE2FB5"/>
    <w:rsid w:val="00CE30CE"/>
    <w:rsid w:val="00CE31A2"/>
    <w:rsid w:val="00CE32D4"/>
    <w:rsid w:val="00CE3366"/>
    <w:rsid w:val="00CE37D7"/>
    <w:rsid w:val="00CE387B"/>
    <w:rsid w:val="00CE38A8"/>
    <w:rsid w:val="00CE39E6"/>
    <w:rsid w:val="00CE3AF1"/>
    <w:rsid w:val="00CE3B41"/>
    <w:rsid w:val="00CE3B81"/>
    <w:rsid w:val="00CE3CB4"/>
    <w:rsid w:val="00CE3D58"/>
    <w:rsid w:val="00CE3FEB"/>
    <w:rsid w:val="00CE3FF7"/>
    <w:rsid w:val="00CE409F"/>
    <w:rsid w:val="00CE4463"/>
    <w:rsid w:val="00CE46EB"/>
    <w:rsid w:val="00CE472D"/>
    <w:rsid w:val="00CE48B2"/>
    <w:rsid w:val="00CE4957"/>
    <w:rsid w:val="00CE49D4"/>
    <w:rsid w:val="00CE4BC4"/>
    <w:rsid w:val="00CE4E45"/>
    <w:rsid w:val="00CE4ED9"/>
    <w:rsid w:val="00CE4F74"/>
    <w:rsid w:val="00CE55F3"/>
    <w:rsid w:val="00CE564E"/>
    <w:rsid w:val="00CE566E"/>
    <w:rsid w:val="00CE57CA"/>
    <w:rsid w:val="00CE58D4"/>
    <w:rsid w:val="00CE5BD6"/>
    <w:rsid w:val="00CE5ECC"/>
    <w:rsid w:val="00CE6012"/>
    <w:rsid w:val="00CE617C"/>
    <w:rsid w:val="00CE6236"/>
    <w:rsid w:val="00CE624A"/>
    <w:rsid w:val="00CE6349"/>
    <w:rsid w:val="00CE639F"/>
    <w:rsid w:val="00CE6485"/>
    <w:rsid w:val="00CE65F3"/>
    <w:rsid w:val="00CE6603"/>
    <w:rsid w:val="00CE6607"/>
    <w:rsid w:val="00CE681B"/>
    <w:rsid w:val="00CE68AE"/>
    <w:rsid w:val="00CE6B0F"/>
    <w:rsid w:val="00CE6C4A"/>
    <w:rsid w:val="00CE6DA3"/>
    <w:rsid w:val="00CE6FAD"/>
    <w:rsid w:val="00CE7052"/>
    <w:rsid w:val="00CE72D4"/>
    <w:rsid w:val="00CE7405"/>
    <w:rsid w:val="00CE7411"/>
    <w:rsid w:val="00CE74DD"/>
    <w:rsid w:val="00CE76A6"/>
    <w:rsid w:val="00CE79C6"/>
    <w:rsid w:val="00CE7A04"/>
    <w:rsid w:val="00CE7A14"/>
    <w:rsid w:val="00CE7C48"/>
    <w:rsid w:val="00CE7C70"/>
    <w:rsid w:val="00CE7DBD"/>
    <w:rsid w:val="00CE7E04"/>
    <w:rsid w:val="00CE7E9C"/>
    <w:rsid w:val="00CE7EF0"/>
    <w:rsid w:val="00CE7F69"/>
    <w:rsid w:val="00CE7FAF"/>
    <w:rsid w:val="00CE7FBF"/>
    <w:rsid w:val="00CF0027"/>
    <w:rsid w:val="00CF08B5"/>
    <w:rsid w:val="00CF0E38"/>
    <w:rsid w:val="00CF1384"/>
    <w:rsid w:val="00CF151F"/>
    <w:rsid w:val="00CF17AE"/>
    <w:rsid w:val="00CF18A7"/>
    <w:rsid w:val="00CF1CA0"/>
    <w:rsid w:val="00CF1DC8"/>
    <w:rsid w:val="00CF1F40"/>
    <w:rsid w:val="00CF2276"/>
    <w:rsid w:val="00CF2313"/>
    <w:rsid w:val="00CF2385"/>
    <w:rsid w:val="00CF2443"/>
    <w:rsid w:val="00CF24F8"/>
    <w:rsid w:val="00CF2647"/>
    <w:rsid w:val="00CF2968"/>
    <w:rsid w:val="00CF29AB"/>
    <w:rsid w:val="00CF2AE5"/>
    <w:rsid w:val="00CF2B85"/>
    <w:rsid w:val="00CF2D20"/>
    <w:rsid w:val="00CF2D43"/>
    <w:rsid w:val="00CF2EF0"/>
    <w:rsid w:val="00CF2F4A"/>
    <w:rsid w:val="00CF30FC"/>
    <w:rsid w:val="00CF31D6"/>
    <w:rsid w:val="00CF33B3"/>
    <w:rsid w:val="00CF34B5"/>
    <w:rsid w:val="00CF3792"/>
    <w:rsid w:val="00CF37AC"/>
    <w:rsid w:val="00CF3E00"/>
    <w:rsid w:val="00CF4480"/>
    <w:rsid w:val="00CF4502"/>
    <w:rsid w:val="00CF4775"/>
    <w:rsid w:val="00CF47DF"/>
    <w:rsid w:val="00CF4967"/>
    <w:rsid w:val="00CF4971"/>
    <w:rsid w:val="00CF49F5"/>
    <w:rsid w:val="00CF4B47"/>
    <w:rsid w:val="00CF4B52"/>
    <w:rsid w:val="00CF4D62"/>
    <w:rsid w:val="00CF4E42"/>
    <w:rsid w:val="00CF4F67"/>
    <w:rsid w:val="00CF507F"/>
    <w:rsid w:val="00CF5258"/>
    <w:rsid w:val="00CF52AD"/>
    <w:rsid w:val="00CF5377"/>
    <w:rsid w:val="00CF571F"/>
    <w:rsid w:val="00CF584E"/>
    <w:rsid w:val="00CF5B6C"/>
    <w:rsid w:val="00CF5DFD"/>
    <w:rsid w:val="00CF5F6E"/>
    <w:rsid w:val="00CF609E"/>
    <w:rsid w:val="00CF60E1"/>
    <w:rsid w:val="00CF6284"/>
    <w:rsid w:val="00CF6295"/>
    <w:rsid w:val="00CF62BE"/>
    <w:rsid w:val="00CF6387"/>
    <w:rsid w:val="00CF63EB"/>
    <w:rsid w:val="00CF6672"/>
    <w:rsid w:val="00CF675C"/>
    <w:rsid w:val="00CF6913"/>
    <w:rsid w:val="00CF6968"/>
    <w:rsid w:val="00CF6971"/>
    <w:rsid w:val="00CF6985"/>
    <w:rsid w:val="00CF6BE5"/>
    <w:rsid w:val="00CF6C36"/>
    <w:rsid w:val="00CF6CC9"/>
    <w:rsid w:val="00CF6DF0"/>
    <w:rsid w:val="00CF6F32"/>
    <w:rsid w:val="00CF6F76"/>
    <w:rsid w:val="00CF70FA"/>
    <w:rsid w:val="00CF73A2"/>
    <w:rsid w:val="00CF73F7"/>
    <w:rsid w:val="00CF7430"/>
    <w:rsid w:val="00CF74FD"/>
    <w:rsid w:val="00CF7714"/>
    <w:rsid w:val="00CF7741"/>
    <w:rsid w:val="00CF7B12"/>
    <w:rsid w:val="00CF7D3D"/>
    <w:rsid w:val="00CF7D53"/>
    <w:rsid w:val="00CF7DF4"/>
    <w:rsid w:val="00CF7FC8"/>
    <w:rsid w:val="00D004AE"/>
    <w:rsid w:val="00D00B7E"/>
    <w:rsid w:val="00D00C97"/>
    <w:rsid w:val="00D011C6"/>
    <w:rsid w:val="00D012F0"/>
    <w:rsid w:val="00D0164B"/>
    <w:rsid w:val="00D01930"/>
    <w:rsid w:val="00D01966"/>
    <w:rsid w:val="00D01CC3"/>
    <w:rsid w:val="00D01D65"/>
    <w:rsid w:val="00D02148"/>
    <w:rsid w:val="00D0226D"/>
    <w:rsid w:val="00D023E3"/>
    <w:rsid w:val="00D024AD"/>
    <w:rsid w:val="00D025CF"/>
    <w:rsid w:val="00D025F6"/>
    <w:rsid w:val="00D026F2"/>
    <w:rsid w:val="00D0287C"/>
    <w:rsid w:val="00D02C97"/>
    <w:rsid w:val="00D0358D"/>
    <w:rsid w:val="00D035F3"/>
    <w:rsid w:val="00D0379F"/>
    <w:rsid w:val="00D0389F"/>
    <w:rsid w:val="00D03A7D"/>
    <w:rsid w:val="00D03AEB"/>
    <w:rsid w:val="00D03BD0"/>
    <w:rsid w:val="00D03CE5"/>
    <w:rsid w:val="00D03D33"/>
    <w:rsid w:val="00D03EBE"/>
    <w:rsid w:val="00D03F87"/>
    <w:rsid w:val="00D0408F"/>
    <w:rsid w:val="00D0436F"/>
    <w:rsid w:val="00D0468E"/>
    <w:rsid w:val="00D047BE"/>
    <w:rsid w:val="00D04888"/>
    <w:rsid w:val="00D04C79"/>
    <w:rsid w:val="00D04CA9"/>
    <w:rsid w:val="00D05124"/>
    <w:rsid w:val="00D05135"/>
    <w:rsid w:val="00D051D5"/>
    <w:rsid w:val="00D052E3"/>
    <w:rsid w:val="00D0536D"/>
    <w:rsid w:val="00D05812"/>
    <w:rsid w:val="00D058B2"/>
    <w:rsid w:val="00D05AD2"/>
    <w:rsid w:val="00D05E09"/>
    <w:rsid w:val="00D05E2E"/>
    <w:rsid w:val="00D06369"/>
    <w:rsid w:val="00D063AA"/>
    <w:rsid w:val="00D0647D"/>
    <w:rsid w:val="00D06531"/>
    <w:rsid w:val="00D066A2"/>
    <w:rsid w:val="00D06813"/>
    <w:rsid w:val="00D069D9"/>
    <w:rsid w:val="00D06A2E"/>
    <w:rsid w:val="00D06B2F"/>
    <w:rsid w:val="00D06CDE"/>
    <w:rsid w:val="00D06D21"/>
    <w:rsid w:val="00D06EE6"/>
    <w:rsid w:val="00D06F4F"/>
    <w:rsid w:val="00D073C0"/>
    <w:rsid w:val="00D075EA"/>
    <w:rsid w:val="00D0796D"/>
    <w:rsid w:val="00D07B4F"/>
    <w:rsid w:val="00D07D5D"/>
    <w:rsid w:val="00D07EA2"/>
    <w:rsid w:val="00D07F4E"/>
    <w:rsid w:val="00D07FEB"/>
    <w:rsid w:val="00D1006B"/>
    <w:rsid w:val="00D1007E"/>
    <w:rsid w:val="00D100C3"/>
    <w:rsid w:val="00D102E6"/>
    <w:rsid w:val="00D102F1"/>
    <w:rsid w:val="00D1040C"/>
    <w:rsid w:val="00D10493"/>
    <w:rsid w:val="00D10519"/>
    <w:rsid w:val="00D10617"/>
    <w:rsid w:val="00D10A4B"/>
    <w:rsid w:val="00D10BDD"/>
    <w:rsid w:val="00D10C22"/>
    <w:rsid w:val="00D10C69"/>
    <w:rsid w:val="00D11435"/>
    <w:rsid w:val="00D118DC"/>
    <w:rsid w:val="00D11A3F"/>
    <w:rsid w:val="00D11AF4"/>
    <w:rsid w:val="00D11D7F"/>
    <w:rsid w:val="00D11F12"/>
    <w:rsid w:val="00D12014"/>
    <w:rsid w:val="00D1215F"/>
    <w:rsid w:val="00D121DF"/>
    <w:rsid w:val="00D1247B"/>
    <w:rsid w:val="00D124CC"/>
    <w:rsid w:val="00D12701"/>
    <w:rsid w:val="00D1299E"/>
    <w:rsid w:val="00D12A91"/>
    <w:rsid w:val="00D12AE5"/>
    <w:rsid w:val="00D12B1E"/>
    <w:rsid w:val="00D12B5A"/>
    <w:rsid w:val="00D12F29"/>
    <w:rsid w:val="00D12F2C"/>
    <w:rsid w:val="00D13059"/>
    <w:rsid w:val="00D1305A"/>
    <w:rsid w:val="00D136C3"/>
    <w:rsid w:val="00D13789"/>
    <w:rsid w:val="00D138CE"/>
    <w:rsid w:val="00D13A2E"/>
    <w:rsid w:val="00D13B99"/>
    <w:rsid w:val="00D13F52"/>
    <w:rsid w:val="00D13FF5"/>
    <w:rsid w:val="00D14026"/>
    <w:rsid w:val="00D14145"/>
    <w:rsid w:val="00D1423E"/>
    <w:rsid w:val="00D1424F"/>
    <w:rsid w:val="00D14256"/>
    <w:rsid w:val="00D14294"/>
    <w:rsid w:val="00D14352"/>
    <w:rsid w:val="00D143B3"/>
    <w:rsid w:val="00D1460F"/>
    <w:rsid w:val="00D147E0"/>
    <w:rsid w:val="00D148B9"/>
    <w:rsid w:val="00D148E0"/>
    <w:rsid w:val="00D1490B"/>
    <w:rsid w:val="00D14924"/>
    <w:rsid w:val="00D14A64"/>
    <w:rsid w:val="00D14D01"/>
    <w:rsid w:val="00D14DD2"/>
    <w:rsid w:val="00D14E44"/>
    <w:rsid w:val="00D14F79"/>
    <w:rsid w:val="00D1515A"/>
    <w:rsid w:val="00D15405"/>
    <w:rsid w:val="00D1565D"/>
    <w:rsid w:val="00D15819"/>
    <w:rsid w:val="00D15D63"/>
    <w:rsid w:val="00D15DF8"/>
    <w:rsid w:val="00D15FAE"/>
    <w:rsid w:val="00D16061"/>
    <w:rsid w:val="00D16211"/>
    <w:rsid w:val="00D162FB"/>
    <w:rsid w:val="00D16509"/>
    <w:rsid w:val="00D1656D"/>
    <w:rsid w:val="00D16625"/>
    <w:rsid w:val="00D16AE4"/>
    <w:rsid w:val="00D16C2E"/>
    <w:rsid w:val="00D16E79"/>
    <w:rsid w:val="00D16F1A"/>
    <w:rsid w:val="00D16FF5"/>
    <w:rsid w:val="00D171B4"/>
    <w:rsid w:val="00D1723B"/>
    <w:rsid w:val="00D173A3"/>
    <w:rsid w:val="00D1748C"/>
    <w:rsid w:val="00D1763D"/>
    <w:rsid w:val="00D177A3"/>
    <w:rsid w:val="00D177AC"/>
    <w:rsid w:val="00D17814"/>
    <w:rsid w:val="00D17956"/>
    <w:rsid w:val="00D17AE6"/>
    <w:rsid w:val="00D17D84"/>
    <w:rsid w:val="00D2021B"/>
    <w:rsid w:val="00D2040E"/>
    <w:rsid w:val="00D20902"/>
    <w:rsid w:val="00D20966"/>
    <w:rsid w:val="00D20AE9"/>
    <w:rsid w:val="00D20BA0"/>
    <w:rsid w:val="00D219B1"/>
    <w:rsid w:val="00D21D08"/>
    <w:rsid w:val="00D2221D"/>
    <w:rsid w:val="00D222E3"/>
    <w:rsid w:val="00D22359"/>
    <w:rsid w:val="00D2255B"/>
    <w:rsid w:val="00D226A2"/>
    <w:rsid w:val="00D22901"/>
    <w:rsid w:val="00D22B78"/>
    <w:rsid w:val="00D22CC7"/>
    <w:rsid w:val="00D22F92"/>
    <w:rsid w:val="00D2320D"/>
    <w:rsid w:val="00D23377"/>
    <w:rsid w:val="00D2348E"/>
    <w:rsid w:val="00D236C7"/>
    <w:rsid w:val="00D23735"/>
    <w:rsid w:val="00D23954"/>
    <w:rsid w:val="00D23988"/>
    <w:rsid w:val="00D23C83"/>
    <w:rsid w:val="00D23D2B"/>
    <w:rsid w:val="00D23E0E"/>
    <w:rsid w:val="00D23F76"/>
    <w:rsid w:val="00D242B4"/>
    <w:rsid w:val="00D2436D"/>
    <w:rsid w:val="00D24830"/>
    <w:rsid w:val="00D249C4"/>
    <w:rsid w:val="00D24B81"/>
    <w:rsid w:val="00D24C7C"/>
    <w:rsid w:val="00D24F53"/>
    <w:rsid w:val="00D2507D"/>
    <w:rsid w:val="00D253D8"/>
    <w:rsid w:val="00D25578"/>
    <w:rsid w:val="00D255A1"/>
    <w:rsid w:val="00D2566A"/>
    <w:rsid w:val="00D25B29"/>
    <w:rsid w:val="00D25D16"/>
    <w:rsid w:val="00D25E1E"/>
    <w:rsid w:val="00D25E9C"/>
    <w:rsid w:val="00D25EAE"/>
    <w:rsid w:val="00D25F5C"/>
    <w:rsid w:val="00D26149"/>
    <w:rsid w:val="00D264F5"/>
    <w:rsid w:val="00D2650A"/>
    <w:rsid w:val="00D265F8"/>
    <w:rsid w:val="00D26711"/>
    <w:rsid w:val="00D26901"/>
    <w:rsid w:val="00D26AEF"/>
    <w:rsid w:val="00D26D39"/>
    <w:rsid w:val="00D26DF5"/>
    <w:rsid w:val="00D27003"/>
    <w:rsid w:val="00D275A2"/>
    <w:rsid w:val="00D275AB"/>
    <w:rsid w:val="00D275FD"/>
    <w:rsid w:val="00D27910"/>
    <w:rsid w:val="00D27B1F"/>
    <w:rsid w:val="00D27D7B"/>
    <w:rsid w:val="00D300FD"/>
    <w:rsid w:val="00D3013A"/>
    <w:rsid w:val="00D30181"/>
    <w:rsid w:val="00D3026B"/>
    <w:rsid w:val="00D3028B"/>
    <w:rsid w:val="00D302A7"/>
    <w:rsid w:val="00D30488"/>
    <w:rsid w:val="00D30712"/>
    <w:rsid w:val="00D3074E"/>
    <w:rsid w:val="00D308FC"/>
    <w:rsid w:val="00D30A72"/>
    <w:rsid w:val="00D30ABD"/>
    <w:rsid w:val="00D30D4C"/>
    <w:rsid w:val="00D30EB4"/>
    <w:rsid w:val="00D312B0"/>
    <w:rsid w:val="00D31488"/>
    <w:rsid w:val="00D31537"/>
    <w:rsid w:val="00D316E3"/>
    <w:rsid w:val="00D31B36"/>
    <w:rsid w:val="00D31FD1"/>
    <w:rsid w:val="00D31FF5"/>
    <w:rsid w:val="00D32378"/>
    <w:rsid w:val="00D3274E"/>
    <w:rsid w:val="00D3296A"/>
    <w:rsid w:val="00D32A4F"/>
    <w:rsid w:val="00D32AD0"/>
    <w:rsid w:val="00D32D74"/>
    <w:rsid w:val="00D32EC1"/>
    <w:rsid w:val="00D33143"/>
    <w:rsid w:val="00D333FA"/>
    <w:rsid w:val="00D33453"/>
    <w:rsid w:val="00D335FF"/>
    <w:rsid w:val="00D336BC"/>
    <w:rsid w:val="00D3376B"/>
    <w:rsid w:val="00D3386D"/>
    <w:rsid w:val="00D33ABA"/>
    <w:rsid w:val="00D33BAB"/>
    <w:rsid w:val="00D33D2E"/>
    <w:rsid w:val="00D33EF8"/>
    <w:rsid w:val="00D34036"/>
    <w:rsid w:val="00D3407B"/>
    <w:rsid w:val="00D340E9"/>
    <w:rsid w:val="00D3432C"/>
    <w:rsid w:val="00D34375"/>
    <w:rsid w:val="00D34432"/>
    <w:rsid w:val="00D3455D"/>
    <w:rsid w:val="00D347D2"/>
    <w:rsid w:val="00D3482A"/>
    <w:rsid w:val="00D348D6"/>
    <w:rsid w:val="00D34923"/>
    <w:rsid w:val="00D349B0"/>
    <w:rsid w:val="00D349BE"/>
    <w:rsid w:val="00D34A10"/>
    <w:rsid w:val="00D34B4A"/>
    <w:rsid w:val="00D34D59"/>
    <w:rsid w:val="00D35015"/>
    <w:rsid w:val="00D351B4"/>
    <w:rsid w:val="00D3520D"/>
    <w:rsid w:val="00D353D4"/>
    <w:rsid w:val="00D354AF"/>
    <w:rsid w:val="00D35750"/>
    <w:rsid w:val="00D358A4"/>
    <w:rsid w:val="00D358C0"/>
    <w:rsid w:val="00D35949"/>
    <w:rsid w:val="00D3594D"/>
    <w:rsid w:val="00D3594E"/>
    <w:rsid w:val="00D35A66"/>
    <w:rsid w:val="00D35AB5"/>
    <w:rsid w:val="00D35AFC"/>
    <w:rsid w:val="00D35CCB"/>
    <w:rsid w:val="00D3600C"/>
    <w:rsid w:val="00D36056"/>
    <w:rsid w:val="00D36064"/>
    <w:rsid w:val="00D3608D"/>
    <w:rsid w:val="00D36559"/>
    <w:rsid w:val="00D3655E"/>
    <w:rsid w:val="00D365F3"/>
    <w:rsid w:val="00D3661D"/>
    <w:rsid w:val="00D36643"/>
    <w:rsid w:val="00D367F4"/>
    <w:rsid w:val="00D368EE"/>
    <w:rsid w:val="00D36CC3"/>
    <w:rsid w:val="00D36D54"/>
    <w:rsid w:val="00D370BF"/>
    <w:rsid w:val="00D3748E"/>
    <w:rsid w:val="00D37581"/>
    <w:rsid w:val="00D37607"/>
    <w:rsid w:val="00D37829"/>
    <w:rsid w:val="00D37859"/>
    <w:rsid w:val="00D37C97"/>
    <w:rsid w:val="00D37CF2"/>
    <w:rsid w:val="00D37E2C"/>
    <w:rsid w:val="00D37EA2"/>
    <w:rsid w:val="00D37EFC"/>
    <w:rsid w:val="00D37FE1"/>
    <w:rsid w:val="00D39D63"/>
    <w:rsid w:val="00D40034"/>
    <w:rsid w:val="00D40079"/>
    <w:rsid w:val="00D401A0"/>
    <w:rsid w:val="00D404B6"/>
    <w:rsid w:val="00D404C0"/>
    <w:rsid w:val="00D406E4"/>
    <w:rsid w:val="00D4079A"/>
    <w:rsid w:val="00D407D8"/>
    <w:rsid w:val="00D40C20"/>
    <w:rsid w:val="00D40F00"/>
    <w:rsid w:val="00D40FBF"/>
    <w:rsid w:val="00D410B9"/>
    <w:rsid w:val="00D41292"/>
    <w:rsid w:val="00D4132B"/>
    <w:rsid w:val="00D41680"/>
    <w:rsid w:val="00D416BF"/>
    <w:rsid w:val="00D416E7"/>
    <w:rsid w:val="00D418FC"/>
    <w:rsid w:val="00D41B4F"/>
    <w:rsid w:val="00D41C02"/>
    <w:rsid w:val="00D41C3F"/>
    <w:rsid w:val="00D42234"/>
    <w:rsid w:val="00D42305"/>
    <w:rsid w:val="00D423B2"/>
    <w:rsid w:val="00D4266B"/>
    <w:rsid w:val="00D427EC"/>
    <w:rsid w:val="00D428F6"/>
    <w:rsid w:val="00D42B1A"/>
    <w:rsid w:val="00D42B71"/>
    <w:rsid w:val="00D43066"/>
    <w:rsid w:val="00D432FA"/>
    <w:rsid w:val="00D434A9"/>
    <w:rsid w:val="00D434B0"/>
    <w:rsid w:val="00D43768"/>
    <w:rsid w:val="00D43943"/>
    <w:rsid w:val="00D43958"/>
    <w:rsid w:val="00D43B10"/>
    <w:rsid w:val="00D43B12"/>
    <w:rsid w:val="00D43B80"/>
    <w:rsid w:val="00D43DD9"/>
    <w:rsid w:val="00D43F1A"/>
    <w:rsid w:val="00D44411"/>
    <w:rsid w:val="00D44544"/>
    <w:rsid w:val="00D4469D"/>
    <w:rsid w:val="00D447BF"/>
    <w:rsid w:val="00D449FD"/>
    <w:rsid w:val="00D44B06"/>
    <w:rsid w:val="00D44C19"/>
    <w:rsid w:val="00D44D8B"/>
    <w:rsid w:val="00D44F65"/>
    <w:rsid w:val="00D44FB7"/>
    <w:rsid w:val="00D45098"/>
    <w:rsid w:val="00D451C5"/>
    <w:rsid w:val="00D45291"/>
    <w:rsid w:val="00D45339"/>
    <w:rsid w:val="00D45368"/>
    <w:rsid w:val="00D45393"/>
    <w:rsid w:val="00D458D2"/>
    <w:rsid w:val="00D4599F"/>
    <w:rsid w:val="00D45AEB"/>
    <w:rsid w:val="00D45B4C"/>
    <w:rsid w:val="00D45BCC"/>
    <w:rsid w:val="00D45C68"/>
    <w:rsid w:val="00D45CE8"/>
    <w:rsid w:val="00D45E44"/>
    <w:rsid w:val="00D460A8"/>
    <w:rsid w:val="00D462A2"/>
    <w:rsid w:val="00D467C6"/>
    <w:rsid w:val="00D46872"/>
    <w:rsid w:val="00D468B7"/>
    <w:rsid w:val="00D46A4C"/>
    <w:rsid w:val="00D46A9E"/>
    <w:rsid w:val="00D46C7F"/>
    <w:rsid w:val="00D46E2C"/>
    <w:rsid w:val="00D46F51"/>
    <w:rsid w:val="00D46F9F"/>
    <w:rsid w:val="00D46FC7"/>
    <w:rsid w:val="00D47053"/>
    <w:rsid w:val="00D471B5"/>
    <w:rsid w:val="00D471D6"/>
    <w:rsid w:val="00D47248"/>
    <w:rsid w:val="00D4724C"/>
    <w:rsid w:val="00D472CF"/>
    <w:rsid w:val="00D4764F"/>
    <w:rsid w:val="00D47691"/>
    <w:rsid w:val="00D47A19"/>
    <w:rsid w:val="00D47A82"/>
    <w:rsid w:val="00D47E0A"/>
    <w:rsid w:val="00D47F22"/>
    <w:rsid w:val="00D47F73"/>
    <w:rsid w:val="00D47FC6"/>
    <w:rsid w:val="00D50013"/>
    <w:rsid w:val="00D504EA"/>
    <w:rsid w:val="00D508E6"/>
    <w:rsid w:val="00D50A00"/>
    <w:rsid w:val="00D50B44"/>
    <w:rsid w:val="00D50BB0"/>
    <w:rsid w:val="00D50BB2"/>
    <w:rsid w:val="00D50CD8"/>
    <w:rsid w:val="00D50CDB"/>
    <w:rsid w:val="00D50EEE"/>
    <w:rsid w:val="00D51508"/>
    <w:rsid w:val="00D51544"/>
    <w:rsid w:val="00D515C6"/>
    <w:rsid w:val="00D5163F"/>
    <w:rsid w:val="00D51BF0"/>
    <w:rsid w:val="00D51C59"/>
    <w:rsid w:val="00D51DB1"/>
    <w:rsid w:val="00D520B0"/>
    <w:rsid w:val="00D520C4"/>
    <w:rsid w:val="00D520C9"/>
    <w:rsid w:val="00D52398"/>
    <w:rsid w:val="00D52415"/>
    <w:rsid w:val="00D524C6"/>
    <w:rsid w:val="00D525B9"/>
    <w:rsid w:val="00D528E3"/>
    <w:rsid w:val="00D52A47"/>
    <w:rsid w:val="00D52BC7"/>
    <w:rsid w:val="00D52BE6"/>
    <w:rsid w:val="00D52CA2"/>
    <w:rsid w:val="00D52CD8"/>
    <w:rsid w:val="00D52D2D"/>
    <w:rsid w:val="00D52D52"/>
    <w:rsid w:val="00D53089"/>
    <w:rsid w:val="00D53150"/>
    <w:rsid w:val="00D533F1"/>
    <w:rsid w:val="00D53477"/>
    <w:rsid w:val="00D53496"/>
    <w:rsid w:val="00D5353C"/>
    <w:rsid w:val="00D5362C"/>
    <w:rsid w:val="00D538D6"/>
    <w:rsid w:val="00D53B8A"/>
    <w:rsid w:val="00D53C59"/>
    <w:rsid w:val="00D53CAC"/>
    <w:rsid w:val="00D53D65"/>
    <w:rsid w:val="00D53E50"/>
    <w:rsid w:val="00D53E9B"/>
    <w:rsid w:val="00D53EC6"/>
    <w:rsid w:val="00D53ECB"/>
    <w:rsid w:val="00D53EF4"/>
    <w:rsid w:val="00D53FAE"/>
    <w:rsid w:val="00D53FB5"/>
    <w:rsid w:val="00D5430D"/>
    <w:rsid w:val="00D54403"/>
    <w:rsid w:val="00D54447"/>
    <w:rsid w:val="00D54529"/>
    <w:rsid w:val="00D545DD"/>
    <w:rsid w:val="00D546C1"/>
    <w:rsid w:val="00D5482C"/>
    <w:rsid w:val="00D548DB"/>
    <w:rsid w:val="00D54CBA"/>
    <w:rsid w:val="00D54DE3"/>
    <w:rsid w:val="00D54E3B"/>
    <w:rsid w:val="00D54F3F"/>
    <w:rsid w:val="00D5529B"/>
    <w:rsid w:val="00D557E8"/>
    <w:rsid w:val="00D558E9"/>
    <w:rsid w:val="00D55B49"/>
    <w:rsid w:val="00D55B67"/>
    <w:rsid w:val="00D55D55"/>
    <w:rsid w:val="00D55DBD"/>
    <w:rsid w:val="00D55F21"/>
    <w:rsid w:val="00D55F27"/>
    <w:rsid w:val="00D56004"/>
    <w:rsid w:val="00D560AF"/>
    <w:rsid w:val="00D5636F"/>
    <w:rsid w:val="00D56498"/>
    <w:rsid w:val="00D56574"/>
    <w:rsid w:val="00D5689C"/>
    <w:rsid w:val="00D569A7"/>
    <w:rsid w:val="00D569E4"/>
    <w:rsid w:val="00D56AA6"/>
    <w:rsid w:val="00D56DF7"/>
    <w:rsid w:val="00D56E5D"/>
    <w:rsid w:val="00D572C8"/>
    <w:rsid w:val="00D5740B"/>
    <w:rsid w:val="00D57608"/>
    <w:rsid w:val="00D57616"/>
    <w:rsid w:val="00D57722"/>
    <w:rsid w:val="00D57728"/>
    <w:rsid w:val="00D57746"/>
    <w:rsid w:val="00D578B0"/>
    <w:rsid w:val="00D57970"/>
    <w:rsid w:val="00D57B4C"/>
    <w:rsid w:val="00D57B52"/>
    <w:rsid w:val="00D57BB2"/>
    <w:rsid w:val="00D57C88"/>
    <w:rsid w:val="00D57DCC"/>
    <w:rsid w:val="00D57DEA"/>
    <w:rsid w:val="00D57E2F"/>
    <w:rsid w:val="00D57F29"/>
    <w:rsid w:val="00D60091"/>
    <w:rsid w:val="00D6051A"/>
    <w:rsid w:val="00D606E5"/>
    <w:rsid w:val="00D60843"/>
    <w:rsid w:val="00D60AF2"/>
    <w:rsid w:val="00D60B1D"/>
    <w:rsid w:val="00D60B40"/>
    <w:rsid w:val="00D61056"/>
    <w:rsid w:val="00D6105C"/>
    <w:rsid w:val="00D6112F"/>
    <w:rsid w:val="00D61196"/>
    <w:rsid w:val="00D61464"/>
    <w:rsid w:val="00D616EE"/>
    <w:rsid w:val="00D618D3"/>
    <w:rsid w:val="00D6194B"/>
    <w:rsid w:val="00D61953"/>
    <w:rsid w:val="00D61BB9"/>
    <w:rsid w:val="00D61C43"/>
    <w:rsid w:val="00D61F4E"/>
    <w:rsid w:val="00D6200A"/>
    <w:rsid w:val="00D62069"/>
    <w:rsid w:val="00D62157"/>
    <w:rsid w:val="00D621C2"/>
    <w:rsid w:val="00D621D6"/>
    <w:rsid w:val="00D623E4"/>
    <w:rsid w:val="00D626D0"/>
    <w:rsid w:val="00D626FC"/>
    <w:rsid w:val="00D6287C"/>
    <w:rsid w:val="00D629AE"/>
    <w:rsid w:val="00D62BA5"/>
    <w:rsid w:val="00D62E1F"/>
    <w:rsid w:val="00D62F80"/>
    <w:rsid w:val="00D63030"/>
    <w:rsid w:val="00D630DC"/>
    <w:rsid w:val="00D63181"/>
    <w:rsid w:val="00D632F9"/>
    <w:rsid w:val="00D633AC"/>
    <w:rsid w:val="00D63456"/>
    <w:rsid w:val="00D63525"/>
    <w:rsid w:val="00D635BA"/>
    <w:rsid w:val="00D635EB"/>
    <w:rsid w:val="00D63626"/>
    <w:rsid w:val="00D63948"/>
    <w:rsid w:val="00D63AD5"/>
    <w:rsid w:val="00D63CB2"/>
    <w:rsid w:val="00D63E4B"/>
    <w:rsid w:val="00D63E6A"/>
    <w:rsid w:val="00D63E80"/>
    <w:rsid w:val="00D63F54"/>
    <w:rsid w:val="00D63FCF"/>
    <w:rsid w:val="00D64247"/>
    <w:rsid w:val="00D6447C"/>
    <w:rsid w:val="00D645F5"/>
    <w:rsid w:val="00D6461A"/>
    <w:rsid w:val="00D648FE"/>
    <w:rsid w:val="00D64A94"/>
    <w:rsid w:val="00D64BFF"/>
    <w:rsid w:val="00D64E73"/>
    <w:rsid w:val="00D64EBF"/>
    <w:rsid w:val="00D6529B"/>
    <w:rsid w:val="00D653C3"/>
    <w:rsid w:val="00D657AC"/>
    <w:rsid w:val="00D6591D"/>
    <w:rsid w:val="00D65D75"/>
    <w:rsid w:val="00D6606B"/>
    <w:rsid w:val="00D6623A"/>
    <w:rsid w:val="00D6623E"/>
    <w:rsid w:val="00D66539"/>
    <w:rsid w:val="00D665F7"/>
    <w:rsid w:val="00D66D34"/>
    <w:rsid w:val="00D66D5C"/>
    <w:rsid w:val="00D66EF5"/>
    <w:rsid w:val="00D670FA"/>
    <w:rsid w:val="00D672A0"/>
    <w:rsid w:val="00D673CE"/>
    <w:rsid w:val="00D6740E"/>
    <w:rsid w:val="00D675C3"/>
    <w:rsid w:val="00D675FA"/>
    <w:rsid w:val="00D67792"/>
    <w:rsid w:val="00D67A50"/>
    <w:rsid w:val="00D67A6C"/>
    <w:rsid w:val="00D67D49"/>
    <w:rsid w:val="00D67E08"/>
    <w:rsid w:val="00D67E81"/>
    <w:rsid w:val="00D7049D"/>
    <w:rsid w:val="00D7069F"/>
    <w:rsid w:val="00D7077D"/>
    <w:rsid w:val="00D70782"/>
    <w:rsid w:val="00D708EC"/>
    <w:rsid w:val="00D709BA"/>
    <w:rsid w:val="00D70A62"/>
    <w:rsid w:val="00D70C26"/>
    <w:rsid w:val="00D70D68"/>
    <w:rsid w:val="00D70DA3"/>
    <w:rsid w:val="00D70F52"/>
    <w:rsid w:val="00D712D0"/>
    <w:rsid w:val="00D71666"/>
    <w:rsid w:val="00D718E5"/>
    <w:rsid w:val="00D7191F"/>
    <w:rsid w:val="00D71BFE"/>
    <w:rsid w:val="00D71CA7"/>
    <w:rsid w:val="00D71DAA"/>
    <w:rsid w:val="00D71F13"/>
    <w:rsid w:val="00D72070"/>
    <w:rsid w:val="00D720AE"/>
    <w:rsid w:val="00D72185"/>
    <w:rsid w:val="00D72421"/>
    <w:rsid w:val="00D724CB"/>
    <w:rsid w:val="00D724FA"/>
    <w:rsid w:val="00D7263B"/>
    <w:rsid w:val="00D72A5F"/>
    <w:rsid w:val="00D72A85"/>
    <w:rsid w:val="00D72B0F"/>
    <w:rsid w:val="00D731DA"/>
    <w:rsid w:val="00D7338B"/>
    <w:rsid w:val="00D73426"/>
    <w:rsid w:val="00D7350F"/>
    <w:rsid w:val="00D73675"/>
    <w:rsid w:val="00D73697"/>
    <w:rsid w:val="00D73934"/>
    <w:rsid w:val="00D73A19"/>
    <w:rsid w:val="00D73AC2"/>
    <w:rsid w:val="00D73FA5"/>
    <w:rsid w:val="00D7433C"/>
    <w:rsid w:val="00D743AC"/>
    <w:rsid w:val="00D744A6"/>
    <w:rsid w:val="00D744C7"/>
    <w:rsid w:val="00D744CD"/>
    <w:rsid w:val="00D74560"/>
    <w:rsid w:val="00D748F9"/>
    <w:rsid w:val="00D7493E"/>
    <w:rsid w:val="00D74DDA"/>
    <w:rsid w:val="00D74E0C"/>
    <w:rsid w:val="00D74ECA"/>
    <w:rsid w:val="00D74F5A"/>
    <w:rsid w:val="00D75018"/>
    <w:rsid w:val="00D75035"/>
    <w:rsid w:val="00D750E2"/>
    <w:rsid w:val="00D75348"/>
    <w:rsid w:val="00D753EE"/>
    <w:rsid w:val="00D7565E"/>
    <w:rsid w:val="00D756E8"/>
    <w:rsid w:val="00D75781"/>
    <w:rsid w:val="00D75801"/>
    <w:rsid w:val="00D7599F"/>
    <w:rsid w:val="00D75A6C"/>
    <w:rsid w:val="00D75A72"/>
    <w:rsid w:val="00D761E3"/>
    <w:rsid w:val="00D7642E"/>
    <w:rsid w:val="00D765B6"/>
    <w:rsid w:val="00D7662A"/>
    <w:rsid w:val="00D766AC"/>
    <w:rsid w:val="00D76724"/>
    <w:rsid w:val="00D768D4"/>
    <w:rsid w:val="00D76903"/>
    <w:rsid w:val="00D76926"/>
    <w:rsid w:val="00D76AA1"/>
    <w:rsid w:val="00D76BA4"/>
    <w:rsid w:val="00D76DE9"/>
    <w:rsid w:val="00D76E03"/>
    <w:rsid w:val="00D76F58"/>
    <w:rsid w:val="00D770A2"/>
    <w:rsid w:val="00D77587"/>
    <w:rsid w:val="00D778BF"/>
    <w:rsid w:val="00D7791E"/>
    <w:rsid w:val="00D77D0B"/>
    <w:rsid w:val="00D77E81"/>
    <w:rsid w:val="00D77FA9"/>
    <w:rsid w:val="00D80325"/>
    <w:rsid w:val="00D80679"/>
    <w:rsid w:val="00D80684"/>
    <w:rsid w:val="00D8094B"/>
    <w:rsid w:val="00D809E3"/>
    <w:rsid w:val="00D80A14"/>
    <w:rsid w:val="00D80F13"/>
    <w:rsid w:val="00D8102C"/>
    <w:rsid w:val="00D8103F"/>
    <w:rsid w:val="00D81091"/>
    <w:rsid w:val="00D8156C"/>
    <w:rsid w:val="00D816BE"/>
    <w:rsid w:val="00D81D25"/>
    <w:rsid w:val="00D81E96"/>
    <w:rsid w:val="00D81EE2"/>
    <w:rsid w:val="00D8200C"/>
    <w:rsid w:val="00D82164"/>
    <w:rsid w:val="00D821C5"/>
    <w:rsid w:val="00D822B1"/>
    <w:rsid w:val="00D829F8"/>
    <w:rsid w:val="00D82AB9"/>
    <w:rsid w:val="00D82C85"/>
    <w:rsid w:val="00D82DAB"/>
    <w:rsid w:val="00D82F78"/>
    <w:rsid w:val="00D834B5"/>
    <w:rsid w:val="00D83A22"/>
    <w:rsid w:val="00D83AEC"/>
    <w:rsid w:val="00D83BFD"/>
    <w:rsid w:val="00D83E67"/>
    <w:rsid w:val="00D83EAC"/>
    <w:rsid w:val="00D83F14"/>
    <w:rsid w:val="00D842D5"/>
    <w:rsid w:val="00D84449"/>
    <w:rsid w:val="00D846DB"/>
    <w:rsid w:val="00D8480B"/>
    <w:rsid w:val="00D84863"/>
    <w:rsid w:val="00D848F6"/>
    <w:rsid w:val="00D849B1"/>
    <w:rsid w:val="00D84E5C"/>
    <w:rsid w:val="00D853BD"/>
    <w:rsid w:val="00D85660"/>
    <w:rsid w:val="00D858E4"/>
    <w:rsid w:val="00D8596D"/>
    <w:rsid w:val="00D859B4"/>
    <w:rsid w:val="00D859FA"/>
    <w:rsid w:val="00D85FAB"/>
    <w:rsid w:val="00D85FC0"/>
    <w:rsid w:val="00D860F8"/>
    <w:rsid w:val="00D861FC"/>
    <w:rsid w:val="00D8641A"/>
    <w:rsid w:val="00D86706"/>
    <w:rsid w:val="00D8681B"/>
    <w:rsid w:val="00D86ACF"/>
    <w:rsid w:val="00D86D01"/>
    <w:rsid w:val="00D8721B"/>
    <w:rsid w:val="00D8724F"/>
    <w:rsid w:val="00D8731C"/>
    <w:rsid w:val="00D87612"/>
    <w:rsid w:val="00D8763F"/>
    <w:rsid w:val="00D879BC"/>
    <w:rsid w:val="00D87BE6"/>
    <w:rsid w:val="00D87C4C"/>
    <w:rsid w:val="00D87E10"/>
    <w:rsid w:val="00D87E76"/>
    <w:rsid w:val="00D87F50"/>
    <w:rsid w:val="00D9042F"/>
    <w:rsid w:val="00D904ED"/>
    <w:rsid w:val="00D905AD"/>
    <w:rsid w:val="00D90726"/>
    <w:rsid w:val="00D907E0"/>
    <w:rsid w:val="00D90858"/>
    <w:rsid w:val="00D908AC"/>
    <w:rsid w:val="00D90BCF"/>
    <w:rsid w:val="00D90C41"/>
    <w:rsid w:val="00D90D19"/>
    <w:rsid w:val="00D90DA2"/>
    <w:rsid w:val="00D910D6"/>
    <w:rsid w:val="00D9131E"/>
    <w:rsid w:val="00D913F7"/>
    <w:rsid w:val="00D9186A"/>
    <w:rsid w:val="00D9194C"/>
    <w:rsid w:val="00D91E7F"/>
    <w:rsid w:val="00D91EAF"/>
    <w:rsid w:val="00D921A3"/>
    <w:rsid w:val="00D921C4"/>
    <w:rsid w:val="00D9227A"/>
    <w:rsid w:val="00D922AC"/>
    <w:rsid w:val="00D92312"/>
    <w:rsid w:val="00D9268A"/>
    <w:rsid w:val="00D92B77"/>
    <w:rsid w:val="00D92D06"/>
    <w:rsid w:val="00D92EE1"/>
    <w:rsid w:val="00D92F45"/>
    <w:rsid w:val="00D930B5"/>
    <w:rsid w:val="00D9314B"/>
    <w:rsid w:val="00D93679"/>
    <w:rsid w:val="00D93968"/>
    <w:rsid w:val="00D93A86"/>
    <w:rsid w:val="00D93B00"/>
    <w:rsid w:val="00D93B7D"/>
    <w:rsid w:val="00D93CBE"/>
    <w:rsid w:val="00D93DE5"/>
    <w:rsid w:val="00D942AF"/>
    <w:rsid w:val="00D9493D"/>
    <w:rsid w:val="00D94CAA"/>
    <w:rsid w:val="00D94E12"/>
    <w:rsid w:val="00D94FCD"/>
    <w:rsid w:val="00D9501A"/>
    <w:rsid w:val="00D95025"/>
    <w:rsid w:val="00D95220"/>
    <w:rsid w:val="00D952F9"/>
    <w:rsid w:val="00D95301"/>
    <w:rsid w:val="00D956E8"/>
    <w:rsid w:val="00D95749"/>
    <w:rsid w:val="00D95784"/>
    <w:rsid w:val="00D95939"/>
    <w:rsid w:val="00D9598C"/>
    <w:rsid w:val="00D95EBB"/>
    <w:rsid w:val="00D95F0F"/>
    <w:rsid w:val="00D96179"/>
    <w:rsid w:val="00D96353"/>
    <w:rsid w:val="00D96821"/>
    <w:rsid w:val="00D96D42"/>
    <w:rsid w:val="00D96D66"/>
    <w:rsid w:val="00D96E8A"/>
    <w:rsid w:val="00D97097"/>
    <w:rsid w:val="00D973E9"/>
    <w:rsid w:val="00D973F7"/>
    <w:rsid w:val="00D976A7"/>
    <w:rsid w:val="00D97711"/>
    <w:rsid w:val="00D9795A"/>
    <w:rsid w:val="00D97C11"/>
    <w:rsid w:val="00D97ED4"/>
    <w:rsid w:val="00D97F63"/>
    <w:rsid w:val="00DA00B2"/>
    <w:rsid w:val="00DA0640"/>
    <w:rsid w:val="00DA0854"/>
    <w:rsid w:val="00DA0A97"/>
    <w:rsid w:val="00DA0C9D"/>
    <w:rsid w:val="00DA0DB3"/>
    <w:rsid w:val="00DA0E45"/>
    <w:rsid w:val="00DA107B"/>
    <w:rsid w:val="00DA1172"/>
    <w:rsid w:val="00DA125A"/>
    <w:rsid w:val="00DA12BB"/>
    <w:rsid w:val="00DA132B"/>
    <w:rsid w:val="00DA15FB"/>
    <w:rsid w:val="00DA1659"/>
    <w:rsid w:val="00DA178F"/>
    <w:rsid w:val="00DA1B00"/>
    <w:rsid w:val="00DA1B19"/>
    <w:rsid w:val="00DA2269"/>
    <w:rsid w:val="00DA2377"/>
    <w:rsid w:val="00DA2436"/>
    <w:rsid w:val="00DA2474"/>
    <w:rsid w:val="00DA2736"/>
    <w:rsid w:val="00DA2905"/>
    <w:rsid w:val="00DA296B"/>
    <w:rsid w:val="00DA2A7B"/>
    <w:rsid w:val="00DA2BF1"/>
    <w:rsid w:val="00DA3053"/>
    <w:rsid w:val="00DA308D"/>
    <w:rsid w:val="00DA3105"/>
    <w:rsid w:val="00DA3218"/>
    <w:rsid w:val="00DA34C2"/>
    <w:rsid w:val="00DA34F6"/>
    <w:rsid w:val="00DA3576"/>
    <w:rsid w:val="00DA35B3"/>
    <w:rsid w:val="00DA3727"/>
    <w:rsid w:val="00DA38E3"/>
    <w:rsid w:val="00DA3B4D"/>
    <w:rsid w:val="00DA3BFE"/>
    <w:rsid w:val="00DA3F15"/>
    <w:rsid w:val="00DA4040"/>
    <w:rsid w:val="00DA40AC"/>
    <w:rsid w:val="00DA419B"/>
    <w:rsid w:val="00DA4233"/>
    <w:rsid w:val="00DA448D"/>
    <w:rsid w:val="00DA44D9"/>
    <w:rsid w:val="00DA450A"/>
    <w:rsid w:val="00DA461D"/>
    <w:rsid w:val="00DA48DC"/>
    <w:rsid w:val="00DA4932"/>
    <w:rsid w:val="00DA4C62"/>
    <w:rsid w:val="00DA4CB7"/>
    <w:rsid w:val="00DA4D02"/>
    <w:rsid w:val="00DA4F14"/>
    <w:rsid w:val="00DA4F1C"/>
    <w:rsid w:val="00DA4F77"/>
    <w:rsid w:val="00DA4F8B"/>
    <w:rsid w:val="00DA56F4"/>
    <w:rsid w:val="00DA58B9"/>
    <w:rsid w:val="00DA5B93"/>
    <w:rsid w:val="00DA5D68"/>
    <w:rsid w:val="00DA5D88"/>
    <w:rsid w:val="00DA622B"/>
    <w:rsid w:val="00DA6233"/>
    <w:rsid w:val="00DA657A"/>
    <w:rsid w:val="00DA65D1"/>
    <w:rsid w:val="00DA66BE"/>
    <w:rsid w:val="00DA67FA"/>
    <w:rsid w:val="00DA680D"/>
    <w:rsid w:val="00DA6901"/>
    <w:rsid w:val="00DA6A87"/>
    <w:rsid w:val="00DA6AD1"/>
    <w:rsid w:val="00DA6C01"/>
    <w:rsid w:val="00DA6CA0"/>
    <w:rsid w:val="00DA706C"/>
    <w:rsid w:val="00DA7195"/>
    <w:rsid w:val="00DA7283"/>
    <w:rsid w:val="00DA7362"/>
    <w:rsid w:val="00DA7611"/>
    <w:rsid w:val="00DA771D"/>
    <w:rsid w:val="00DA7813"/>
    <w:rsid w:val="00DA7A89"/>
    <w:rsid w:val="00DA7CA4"/>
    <w:rsid w:val="00DB00B7"/>
    <w:rsid w:val="00DB0217"/>
    <w:rsid w:val="00DB0384"/>
    <w:rsid w:val="00DB0512"/>
    <w:rsid w:val="00DB054E"/>
    <w:rsid w:val="00DB06FF"/>
    <w:rsid w:val="00DB075B"/>
    <w:rsid w:val="00DB09FB"/>
    <w:rsid w:val="00DB0A49"/>
    <w:rsid w:val="00DB0C93"/>
    <w:rsid w:val="00DB0E06"/>
    <w:rsid w:val="00DB0E65"/>
    <w:rsid w:val="00DB1307"/>
    <w:rsid w:val="00DB131A"/>
    <w:rsid w:val="00DB1523"/>
    <w:rsid w:val="00DB159A"/>
    <w:rsid w:val="00DB16ED"/>
    <w:rsid w:val="00DB180B"/>
    <w:rsid w:val="00DB1813"/>
    <w:rsid w:val="00DB1C6D"/>
    <w:rsid w:val="00DB1CF1"/>
    <w:rsid w:val="00DB1D14"/>
    <w:rsid w:val="00DB1DAB"/>
    <w:rsid w:val="00DB21C6"/>
    <w:rsid w:val="00DB2257"/>
    <w:rsid w:val="00DB26D1"/>
    <w:rsid w:val="00DB2A23"/>
    <w:rsid w:val="00DB2A27"/>
    <w:rsid w:val="00DB2ABC"/>
    <w:rsid w:val="00DB2AEE"/>
    <w:rsid w:val="00DB2F64"/>
    <w:rsid w:val="00DB306F"/>
    <w:rsid w:val="00DB3262"/>
    <w:rsid w:val="00DB32B2"/>
    <w:rsid w:val="00DB3532"/>
    <w:rsid w:val="00DB370E"/>
    <w:rsid w:val="00DB378E"/>
    <w:rsid w:val="00DB387F"/>
    <w:rsid w:val="00DB395A"/>
    <w:rsid w:val="00DB39CF"/>
    <w:rsid w:val="00DB3A29"/>
    <w:rsid w:val="00DB3E45"/>
    <w:rsid w:val="00DB405A"/>
    <w:rsid w:val="00DB4170"/>
    <w:rsid w:val="00DB422C"/>
    <w:rsid w:val="00DB430C"/>
    <w:rsid w:val="00DB49BA"/>
    <w:rsid w:val="00DB4C1C"/>
    <w:rsid w:val="00DB4C30"/>
    <w:rsid w:val="00DB4CE4"/>
    <w:rsid w:val="00DB4D29"/>
    <w:rsid w:val="00DB4D58"/>
    <w:rsid w:val="00DB4E2A"/>
    <w:rsid w:val="00DB536A"/>
    <w:rsid w:val="00DB5414"/>
    <w:rsid w:val="00DB5746"/>
    <w:rsid w:val="00DB5B21"/>
    <w:rsid w:val="00DB5CB4"/>
    <w:rsid w:val="00DB60E9"/>
    <w:rsid w:val="00DB619A"/>
    <w:rsid w:val="00DB6941"/>
    <w:rsid w:val="00DB6968"/>
    <w:rsid w:val="00DB6971"/>
    <w:rsid w:val="00DB6A4A"/>
    <w:rsid w:val="00DB707D"/>
    <w:rsid w:val="00DB70A8"/>
    <w:rsid w:val="00DB7170"/>
    <w:rsid w:val="00DB7203"/>
    <w:rsid w:val="00DB729E"/>
    <w:rsid w:val="00DB73BD"/>
    <w:rsid w:val="00DB73E7"/>
    <w:rsid w:val="00DB757C"/>
    <w:rsid w:val="00DB75D9"/>
    <w:rsid w:val="00DB799E"/>
    <w:rsid w:val="00DB79D6"/>
    <w:rsid w:val="00DB7B5B"/>
    <w:rsid w:val="00DB7C35"/>
    <w:rsid w:val="00DB7D4B"/>
    <w:rsid w:val="00DB7EB4"/>
    <w:rsid w:val="00DB7F09"/>
    <w:rsid w:val="00DC07CE"/>
    <w:rsid w:val="00DC0814"/>
    <w:rsid w:val="00DC0ACA"/>
    <w:rsid w:val="00DC0B5E"/>
    <w:rsid w:val="00DC0C1E"/>
    <w:rsid w:val="00DC0D0F"/>
    <w:rsid w:val="00DC0D65"/>
    <w:rsid w:val="00DC1042"/>
    <w:rsid w:val="00DC113D"/>
    <w:rsid w:val="00DC11FE"/>
    <w:rsid w:val="00DC1349"/>
    <w:rsid w:val="00DC152E"/>
    <w:rsid w:val="00DC1555"/>
    <w:rsid w:val="00DC17F6"/>
    <w:rsid w:val="00DC1859"/>
    <w:rsid w:val="00DC188E"/>
    <w:rsid w:val="00DC19A5"/>
    <w:rsid w:val="00DC1ACB"/>
    <w:rsid w:val="00DC1C33"/>
    <w:rsid w:val="00DC1EC0"/>
    <w:rsid w:val="00DC1ECC"/>
    <w:rsid w:val="00DC1ED6"/>
    <w:rsid w:val="00DC23CF"/>
    <w:rsid w:val="00DC23D7"/>
    <w:rsid w:val="00DC2484"/>
    <w:rsid w:val="00DC248F"/>
    <w:rsid w:val="00DC24FE"/>
    <w:rsid w:val="00DC2751"/>
    <w:rsid w:val="00DC2891"/>
    <w:rsid w:val="00DC2A05"/>
    <w:rsid w:val="00DC2A82"/>
    <w:rsid w:val="00DC2C52"/>
    <w:rsid w:val="00DC2F2E"/>
    <w:rsid w:val="00DC2F82"/>
    <w:rsid w:val="00DC30F9"/>
    <w:rsid w:val="00DC315D"/>
    <w:rsid w:val="00DC331F"/>
    <w:rsid w:val="00DC337E"/>
    <w:rsid w:val="00DC33AC"/>
    <w:rsid w:val="00DC34E0"/>
    <w:rsid w:val="00DC3CF1"/>
    <w:rsid w:val="00DC3D61"/>
    <w:rsid w:val="00DC3DAF"/>
    <w:rsid w:val="00DC3E7E"/>
    <w:rsid w:val="00DC3F65"/>
    <w:rsid w:val="00DC408A"/>
    <w:rsid w:val="00DC43CE"/>
    <w:rsid w:val="00DC449B"/>
    <w:rsid w:val="00DC4775"/>
    <w:rsid w:val="00DC483A"/>
    <w:rsid w:val="00DC4AF1"/>
    <w:rsid w:val="00DC4B4C"/>
    <w:rsid w:val="00DC4CFA"/>
    <w:rsid w:val="00DC4D8F"/>
    <w:rsid w:val="00DC4F7A"/>
    <w:rsid w:val="00DC5203"/>
    <w:rsid w:val="00DC553C"/>
    <w:rsid w:val="00DC587F"/>
    <w:rsid w:val="00DC5BB3"/>
    <w:rsid w:val="00DC5FAF"/>
    <w:rsid w:val="00DC6091"/>
    <w:rsid w:val="00DC6103"/>
    <w:rsid w:val="00DC6195"/>
    <w:rsid w:val="00DC619A"/>
    <w:rsid w:val="00DC62FD"/>
    <w:rsid w:val="00DC6495"/>
    <w:rsid w:val="00DC65E8"/>
    <w:rsid w:val="00DC6772"/>
    <w:rsid w:val="00DC6A70"/>
    <w:rsid w:val="00DC6E4F"/>
    <w:rsid w:val="00DC6E8B"/>
    <w:rsid w:val="00DC6EC3"/>
    <w:rsid w:val="00DC6F1E"/>
    <w:rsid w:val="00DC74DC"/>
    <w:rsid w:val="00DC7619"/>
    <w:rsid w:val="00DC7651"/>
    <w:rsid w:val="00DC7A66"/>
    <w:rsid w:val="00DC7A8D"/>
    <w:rsid w:val="00DD03AB"/>
    <w:rsid w:val="00DD049B"/>
    <w:rsid w:val="00DD07F8"/>
    <w:rsid w:val="00DD0A5A"/>
    <w:rsid w:val="00DD0D22"/>
    <w:rsid w:val="00DD0E4D"/>
    <w:rsid w:val="00DD0F41"/>
    <w:rsid w:val="00DD1070"/>
    <w:rsid w:val="00DD1355"/>
    <w:rsid w:val="00DD13DB"/>
    <w:rsid w:val="00DD15B9"/>
    <w:rsid w:val="00DD1931"/>
    <w:rsid w:val="00DD1BBB"/>
    <w:rsid w:val="00DD1CC7"/>
    <w:rsid w:val="00DD1DAE"/>
    <w:rsid w:val="00DD1E71"/>
    <w:rsid w:val="00DD1FAD"/>
    <w:rsid w:val="00DD2040"/>
    <w:rsid w:val="00DD2086"/>
    <w:rsid w:val="00DD23FF"/>
    <w:rsid w:val="00DD2416"/>
    <w:rsid w:val="00DD257B"/>
    <w:rsid w:val="00DD2BD4"/>
    <w:rsid w:val="00DD2F61"/>
    <w:rsid w:val="00DD3029"/>
    <w:rsid w:val="00DD3246"/>
    <w:rsid w:val="00DD3252"/>
    <w:rsid w:val="00DD3296"/>
    <w:rsid w:val="00DD3340"/>
    <w:rsid w:val="00DD338D"/>
    <w:rsid w:val="00DD3392"/>
    <w:rsid w:val="00DD33E0"/>
    <w:rsid w:val="00DD3428"/>
    <w:rsid w:val="00DD3516"/>
    <w:rsid w:val="00DD37BC"/>
    <w:rsid w:val="00DD3E3E"/>
    <w:rsid w:val="00DD4078"/>
    <w:rsid w:val="00DD416F"/>
    <w:rsid w:val="00DD4677"/>
    <w:rsid w:val="00DD4C3D"/>
    <w:rsid w:val="00DD4D69"/>
    <w:rsid w:val="00DD4D71"/>
    <w:rsid w:val="00DD4E35"/>
    <w:rsid w:val="00DD5222"/>
    <w:rsid w:val="00DD5247"/>
    <w:rsid w:val="00DD530D"/>
    <w:rsid w:val="00DD54DC"/>
    <w:rsid w:val="00DD5504"/>
    <w:rsid w:val="00DD559D"/>
    <w:rsid w:val="00DD55DB"/>
    <w:rsid w:val="00DD5C60"/>
    <w:rsid w:val="00DD5E6D"/>
    <w:rsid w:val="00DD6005"/>
    <w:rsid w:val="00DD62CA"/>
    <w:rsid w:val="00DD6360"/>
    <w:rsid w:val="00DD642E"/>
    <w:rsid w:val="00DD6536"/>
    <w:rsid w:val="00DD6962"/>
    <w:rsid w:val="00DD6BA3"/>
    <w:rsid w:val="00DD6BE6"/>
    <w:rsid w:val="00DD6D08"/>
    <w:rsid w:val="00DD6D19"/>
    <w:rsid w:val="00DD6D50"/>
    <w:rsid w:val="00DD6DB8"/>
    <w:rsid w:val="00DD6E63"/>
    <w:rsid w:val="00DD6F81"/>
    <w:rsid w:val="00DD712F"/>
    <w:rsid w:val="00DD7289"/>
    <w:rsid w:val="00DD7400"/>
    <w:rsid w:val="00DD74FD"/>
    <w:rsid w:val="00DD7612"/>
    <w:rsid w:val="00DD776C"/>
    <w:rsid w:val="00DD7898"/>
    <w:rsid w:val="00DD7B08"/>
    <w:rsid w:val="00DD7D7C"/>
    <w:rsid w:val="00DD7DFB"/>
    <w:rsid w:val="00DE0000"/>
    <w:rsid w:val="00DE002D"/>
    <w:rsid w:val="00DE0149"/>
    <w:rsid w:val="00DE03D4"/>
    <w:rsid w:val="00DE04D2"/>
    <w:rsid w:val="00DE0514"/>
    <w:rsid w:val="00DE05A3"/>
    <w:rsid w:val="00DE07BA"/>
    <w:rsid w:val="00DE0B0A"/>
    <w:rsid w:val="00DE0C08"/>
    <w:rsid w:val="00DE0D33"/>
    <w:rsid w:val="00DE0D5E"/>
    <w:rsid w:val="00DE1050"/>
    <w:rsid w:val="00DE12ED"/>
    <w:rsid w:val="00DE13AD"/>
    <w:rsid w:val="00DE13F6"/>
    <w:rsid w:val="00DE1494"/>
    <w:rsid w:val="00DE15EF"/>
    <w:rsid w:val="00DE183C"/>
    <w:rsid w:val="00DE1890"/>
    <w:rsid w:val="00DE19F1"/>
    <w:rsid w:val="00DE19FB"/>
    <w:rsid w:val="00DE1E90"/>
    <w:rsid w:val="00DE1F89"/>
    <w:rsid w:val="00DE20E7"/>
    <w:rsid w:val="00DE22A8"/>
    <w:rsid w:val="00DE2A40"/>
    <w:rsid w:val="00DE2AAB"/>
    <w:rsid w:val="00DE2B14"/>
    <w:rsid w:val="00DE2D26"/>
    <w:rsid w:val="00DE2FBC"/>
    <w:rsid w:val="00DE3009"/>
    <w:rsid w:val="00DE32A9"/>
    <w:rsid w:val="00DE364B"/>
    <w:rsid w:val="00DE380E"/>
    <w:rsid w:val="00DE3B2F"/>
    <w:rsid w:val="00DE3C3C"/>
    <w:rsid w:val="00DE3FCD"/>
    <w:rsid w:val="00DE4293"/>
    <w:rsid w:val="00DE48CE"/>
    <w:rsid w:val="00DE493D"/>
    <w:rsid w:val="00DE4AE5"/>
    <w:rsid w:val="00DE4BB0"/>
    <w:rsid w:val="00DE4DAD"/>
    <w:rsid w:val="00DE4EE5"/>
    <w:rsid w:val="00DE5013"/>
    <w:rsid w:val="00DE5142"/>
    <w:rsid w:val="00DE5199"/>
    <w:rsid w:val="00DE52E0"/>
    <w:rsid w:val="00DE532F"/>
    <w:rsid w:val="00DE537D"/>
    <w:rsid w:val="00DE566A"/>
    <w:rsid w:val="00DE5977"/>
    <w:rsid w:val="00DE5AC5"/>
    <w:rsid w:val="00DE5AC8"/>
    <w:rsid w:val="00DE5B7A"/>
    <w:rsid w:val="00DE5D31"/>
    <w:rsid w:val="00DE602B"/>
    <w:rsid w:val="00DE622C"/>
    <w:rsid w:val="00DE6390"/>
    <w:rsid w:val="00DE6442"/>
    <w:rsid w:val="00DE655E"/>
    <w:rsid w:val="00DE66EB"/>
    <w:rsid w:val="00DE681B"/>
    <w:rsid w:val="00DE6BB2"/>
    <w:rsid w:val="00DE6D3B"/>
    <w:rsid w:val="00DE6E3C"/>
    <w:rsid w:val="00DE6E57"/>
    <w:rsid w:val="00DE71D1"/>
    <w:rsid w:val="00DE727A"/>
    <w:rsid w:val="00DE72CF"/>
    <w:rsid w:val="00DE764A"/>
    <w:rsid w:val="00DE778F"/>
    <w:rsid w:val="00DE78AA"/>
    <w:rsid w:val="00DE78DA"/>
    <w:rsid w:val="00DE79C7"/>
    <w:rsid w:val="00DE7BF6"/>
    <w:rsid w:val="00DE7D94"/>
    <w:rsid w:val="00DF012B"/>
    <w:rsid w:val="00DF04FD"/>
    <w:rsid w:val="00DF05C8"/>
    <w:rsid w:val="00DF05DB"/>
    <w:rsid w:val="00DF05F3"/>
    <w:rsid w:val="00DF064F"/>
    <w:rsid w:val="00DF07B4"/>
    <w:rsid w:val="00DF08F4"/>
    <w:rsid w:val="00DF0942"/>
    <w:rsid w:val="00DF09BE"/>
    <w:rsid w:val="00DF0B43"/>
    <w:rsid w:val="00DF0D13"/>
    <w:rsid w:val="00DF14E1"/>
    <w:rsid w:val="00DF1585"/>
    <w:rsid w:val="00DF195C"/>
    <w:rsid w:val="00DF1C6E"/>
    <w:rsid w:val="00DF1C70"/>
    <w:rsid w:val="00DF1DEC"/>
    <w:rsid w:val="00DF1E5D"/>
    <w:rsid w:val="00DF1EB0"/>
    <w:rsid w:val="00DF20F4"/>
    <w:rsid w:val="00DF2175"/>
    <w:rsid w:val="00DF22DB"/>
    <w:rsid w:val="00DF23D3"/>
    <w:rsid w:val="00DF26EF"/>
    <w:rsid w:val="00DF295A"/>
    <w:rsid w:val="00DF29E3"/>
    <w:rsid w:val="00DF2FF0"/>
    <w:rsid w:val="00DF33B7"/>
    <w:rsid w:val="00DF3409"/>
    <w:rsid w:val="00DF36D0"/>
    <w:rsid w:val="00DF3914"/>
    <w:rsid w:val="00DF3948"/>
    <w:rsid w:val="00DF3A5C"/>
    <w:rsid w:val="00DF3A63"/>
    <w:rsid w:val="00DF3B07"/>
    <w:rsid w:val="00DF3D49"/>
    <w:rsid w:val="00DF3DE7"/>
    <w:rsid w:val="00DF3FF6"/>
    <w:rsid w:val="00DF43CA"/>
    <w:rsid w:val="00DF44A9"/>
    <w:rsid w:val="00DF45A9"/>
    <w:rsid w:val="00DF4683"/>
    <w:rsid w:val="00DF4707"/>
    <w:rsid w:val="00DF47CA"/>
    <w:rsid w:val="00DF4896"/>
    <w:rsid w:val="00DF4B42"/>
    <w:rsid w:val="00DF4D7D"/>
    <w:rsid w:val="00DF4E82"/>
    <w:rsid w:val="00DF4F68"/>
    <w:rsid w:val="00DF50D2"/>
    <w:rsid w:val="00DF512F"/>
    <w:rsid w:val="00DF513C"/>
    <w:rsid w:val="00DF529C"/>
    <w:rsid w:val="00DF533B"/>
    <w:rsid w:val="00DF53F7"/>
    <w:rsid w:val="00DF54AD"/>
    <w:rsid w:val="00DF581C"/>
    <w:rsid w:val="00DF5A0D"/>
    <w:rsid w:val="00DF5BEF"/>
    <w:rsid w:val="00DF5E39"/>
    <w:rsid w:val="00DF5F0D"/>
    <w:rsid w:val="00DF60D3"/>
    <w:rsid w:val="00DF627D"/>
    <w:rsid w:val="00DF652B"/>
    <w:rsid w:val="00DF66EC"/>
    <w:rsid w:val="00DF6714"/>
    <w:rsid w:val="00DF677F"/>
    <w:rsid w:val="00DF67D2"/>
    <w:rsid w:val="00DF6990"/>
    <w:rsid w:val="00DF69D3"/>
    <w:rsid w:val="00DF6A93"/>
    <w:rsid w:val="00DF6C38"/>
    <w:rsid w:val="00DF6D44"/>
    <w:rsid w:val="00DF6DB7"/>
    <w:rsid w:val="00DF702D"/>
    <w:rsid w:val="00DF713C"/>
    <w:rsid w:val="00DF71F1"/>
    <w:rsid w:val="00DF7CE4"/>
    <w:rsid w:val="00DF7E1D"/>
    <w:rsid w:val="00DF7FE4"/>
    <w:rsid w:val="00E0015F"/>
    <w:rsid w:val="00E002CE"/>
    <w:rsid w:val="00E0050E"/>
    <w:rsid w:val="00E00564"/>
    <w:rsid w:val="00E005EE"/>
    <w:rsid w:val="00E0077A"/>
    <w:rsid w:val="00E00997"/>
    <w:rsid w:val="00E00AF8"/>
    <w:rsid w:val="00E00D97"/>
    <w:rsid w:val="00E00E81"/>
    <w:rsid w:val="00E00EB7"/>
    <w:rsid w:val="00E00F14"/>
    <w:rsid w:val="00E010AB"/>
    <w:rsid w:val="00E010E1"/>
    <w:rsid w:val="00E01341"/>
    <w:rsid w:val="00E0147A"/>
    <w:rsid w:val="00E01645"/>
    <w:rsid w:val="00E017C0"/>
    <w:rsid w:val="00E01866"/>
    <w:rsid w:val="00E018FB"/>
    <w:rsid w:val="00E019FC"/>
    <w:rsid w:val="00E01CEB"/>
    <w:rsid w:val="00E01EF2"/>
    <w:rsid w:val="00E0201A"/>
    <w:rsid w:val="00E02115"/>
    <w:rsid w:val="00E02A5A"/>
    <w:rsid w:val="00E02DA9"/>
    <w:rsid w:val="00E02E87"/>
    <w:rsid w:val="00E02E9B"/>
    <w:rsid w:val="00E02FB6"/>
    <w:rsid w:val="00E03189"/>
    <w:rsid w:val="00E032E1"/>
    <w:rsid w:val="00E03335"/>
    <w:rsid w:val="00E036AC"/>
    <w:rsid w:val="00E036F1"/>
    <w:rsid w:val="00E0383E"/>
    <w:rsid w:val="00E038C7"/>
    <w:rsid w:val="00E03C06"/>
    <w:rsid w:val="00E03CFB"/>
    <w:rsid w:val="00E03E96"/>
    <w:rsid w:val="00E04200"/>
    <w:rsid w:val="00E0439B"/>
    <w:rsid w:val="00E0441E"/>
    <w:rsid w:val="00E046A0"/>
    <w:rsid w:val="00E04AAA"/>
    <w:rsid w:val="00E04B34"/>
    <w:rsid w:val="00E04EC4"/>
    <w:rsid w:val="00E04ED9"/>
    <w:rsid w:val="00E04F6F"/>
    <w:rsid w:val="00E04F7E"/>
    <w:rsid w:val="00E05248"/>
    <w:rsid w:val="00E0574B"/>
    <w:rsid w:val="00E058E0"/>
    <w:rsid w:val="00E05BA1"/>
    <w:rsid w:val="00E05DE7"/>
    <w:rsid w:val="00E06014"/>
    <w:rsid w:val="00E063C3"/>
    <w:rsid w:val="00E065DF"/>
    <w:rsid w:val="00E0660F"/>
    <w:rsid w:val="00E06958"/>
    <w:rsid w:val="00E069F5"/>
    <w:rsid w:val="00E06A31"/>
    <w:rsid w:val="00E06A64"/>
    <w:rsid w:val="00E06BC5"/>
    <w:rsid w:val="00E06BCE"/>
    <w:rsid w:val="00E06C07"/>
    <w:rsid w:val="00E06ECF"/>
    <w:rsid w:val="00E07020"/>
    <w:rsid w:val="00E071C9"/>
    <w:rsid w:val="00E077D0"/>
    <w:rsid w:val="00E07945"/>
    <w:rsid w:val="00E079A6"/>
    <w:rsid w:val="00E07AEA"/>
    <w:rsid w:val="00E07B1F"/>
    <w:rsid w:val="00E07D00"/>
    <w:rsid w:val="00E07DC9"/>
    <w:rsid w:val="00E07E30"/>
    <w:rsid w:val="00E07EA8"/>
    <w:rsid w:val="00E07EB8"/>
    <w:rsid w:val="00E07FB6"/>
    <w:rsid w:val="00E10105"/>
    <w:rsid w:val="00E101CF"/>
    <w:rsid w:val="00E1047A"/>
    <w:rsid w:val="00E104C5"/>
    <w:rsid w:val="00E10608"/>
    <w:rsid w:val="00E107F0"/>
    <w:rsid w:val="00E10951"/>
    <w:rsid w:val="00E1099D"/>
    <w:rsid w:val="00E109ED"/>
    <w:rsid w:val="00E109FE"/>
    <w:rsid w:val="00E10AC5"/>
    <w:rsid w:val="00E10E24"/>
    <w:rsid w:val="00E10E39"/>
    <w:rsid w:val="00E10EBA"/>
    <w:rsid w:val="00E1137A"/>
    <w:rsid w:val="00E11557"/>
    <w:rsid w:val="00E1156D"/>
    <w:rsid w:val="00E115E9"/>
    <w:rsid w:val="00E117EC"/>
    <w:rsid w:val="00E11A1F"/>
    <w:rsid w:val="00E11A23"/>
    <w:rsid w:val="00E11D47"/>
    <w:rsid w:val="00E11E11"/>
    <w:rsid w:val="00E11EF1"/>
    <w:rsid w:val="00E11F17"/>
    <w:rsid w:val="00E11FC1"/>
    <w:rsid w:val="00E11FDF"/>
    <w:rsid w:val="00E12090"/>
    <w:rsid w:val="00E121BE"/>
    <w:rsid w:val="00E12275"/>
    <w:rsid w:val="00E1228D"/>
    <w:rsid w:val="00E123BD"/>
    <w:rsid w:val="00E12473"/>
    <w:rsid w:val="00E12516"/>
    <w:rsid w:val="00E126A5"/>
    <w:rsid w:val="00E1283B"/>
    <w:rsid w:val="00E129D6"/>
    <w:rsid w:val="00E12D20"/>
    <w:rsid w:val="00E12DBE"/>
    <w:rsid w:val="00E1319D"/>
    <w:rsid w:val="00E1321F"/>
    <w:rsid w:val="00E13367"/>
    <w:rsid w:val="00E133F7"/>
    <w:rsid w:val="00E1357F"/>
    <w:rsid w:val="00E135EE"/>
    <w:rsid w:val="00E136A1"/>
    <w:rsid w:val="00E136EC"/>
    <w:rsid w:val="00E13894"/>
    <w:rsid w:val="00E1389D"/>
    <w:rsid w:val="00E13931"/>
    <w:rsid w:val="00E13A2F"/>
    <w:rsid w:val="00E13A62"/>
    <w:rsid w:val="00E13D19"/>
    <w:rsid w:val="00E14015"/>
    <w:rsid w:val="00E141D6"/>
    <w:rsid w:val="00E144C0"/>
    <w:rsid w:val="00E144CE"/>
    <w:rsid w:val="00E147F5"/>
    <w:rsid w:val="00E14A5C"/>
    <w:rsid w:val="00E14CD9"/>
    <w:rsid w:val="00E14D9B"/>
    <w:rsid w:val="00E15031"/>
    <w:rsid w:val="00E15178"/>
    <w:rsid w:val="00E1521D"/>
    <w:rsid w:val="00E153EC"/>
    <w:rsid w:val="00E1587E"/>
    <w:rsid w:val="00E15967"/>
    <w:rsid w:val="00E15971"/>
    <w:rsid w:val="00E15BE1"/>
    <w:rsid w:val="00E15DD2"/>
    <w:rsid w:val="00E15EBE"/>
    <w:rsid w:val="00E15F23"/>
    <w:rsid w:val="00E15FEA"/>
    <w:rsid w:val="00E16251"/>
    <w:rsid w:val="00E16331"/>
    <w:rsid w:val="00E16617"/>
    <w:rsid w:val="00E1686E"/>
    <w:rsid w:val="00E16936"/>
    <w:rsid w:val="00E1697B"/>
    <w:rsid w:val="00E169BA"/>
    <w:rsid w:val="00E16B62"/>
    <w:rsid w:val="00E16CC9"/>
    <w:rsid w:val="00E16EA1"/>
    <w:rsid w:val="00E16EF0"/>
    <w:rsid w:val="00E17279"/>
    <w:rsid w:val="00E17363"/>
    <w:rsid w:val="00E174A3"/>
    <w:rsid w:val="00E174B8"/>
    <w:rsid w:val="00E1773A"/>
    <w:rsid w:val="00E1778E"/>
    <w:rsid w:val="00E17978"/>
    <w:rsid w:val="00E17992"/>
    <w:rsid w:val="00E17BDE"/>
    <w:rsid w:val="00E17D81"/>
    <w:rsid w:val="00E20168"/>
    <w:rsid w:val="00E20339"/>
    <w:rsid w:val="00E20357"/>
    <w:rsid w:val="00E204A6"/>
    <w:rsid w:val="00E204F8"/>
    <w:rsid w:val="00E20629"/>
    <w:rsid w:val="00E20A1D"/>
    <w:rsid w:val="00E20B4B"/>
    <w:rsid w:val="00E210F2"/>
    <w:rsid w:val="00E211FA"/>
    <w:rsid w:val="00E212A5"/>
    <w:rsid w:val="00E21910"/>
    <w:rsid w:val="00E219FD"/>
    <w:rsid w:val="00E21CB7"/>
    <w:rsid w:val="00E2204F"/>
    <w:rsid w:val="00E22124"/>
    <w:rsid w:val="00E222C5"/>
    <w:rsid w:val="00E22560"/>
    <w:rsid w:val="00E2270B"/>
    <w:rsid w:val="00E22757"/>
    <w:rsid w:val="00E22794"/>
    <w:rsid w:val="00E227A5"/>
    <w:rsid w:val="00E22888"/>
    <w:rsid w:val="00E2294A"/>
    <w:rsid w:val="00E22955"/>
    <w:rsid w:val="00E22C4C"/>
    <w:rsid w:val="00E22C66"/>
    <w:rsid w:val="00E22D94"/>
    <w:rsid w:val="00E22DB3"/>
    <w:rsid w:val="00E22DC0"/>
    <w:rsid w:val="00E23107"/>
    <w:rsid w:val="00E23682"/>
    <w:rsid w:val="00E23B86"/>
    <w:rsid w:val="00E23E31"/>
    <w:rsid w:val="00E2411F"/>
    <w:rsid w:val="00E245BE"/>
    <w:rsid w:val="00E245BF"/>
    <w:rsid w:val="00E24743"/>
    <w:rsid w:val="00E24A8F"/>
    <w:rsid w:val="00E24B53"/>
    <w:rsid w:val="00E24B96"/>
    <w:rsid w:val="00E24C6E"/>
    <w:rsid w:val="00E24DC5"/>
    <w:rsid w:val="00E25106"/>
    <w:rsid w:val="00E2521A"/>
    <w:rsid w:val="00E254E9"/>
    <w:rsid w:val="00E25516"/>
    <w:rsid w:val="00E25907"/>
    <w:rsid w:val="00E25BB7"/>
    <w:rsid w:val="00E25DB1"/>
    <w:rsid w:val="00E25FAA"/>
    <w:rsid w:val="00E26062"/>
    <w:rsid w:val="00E26407"/>
    <w:rsid w:val="00E264F8"/>
    <w:rsid w:val="00E2669C"/>
    <w:rsid w:val="00E2675F"/>
    <w:rsid w:val="00E26801"/>
    <w:rsid w:val="00E26AD6"/>
    <w:rsid w:val="00E26B39"/>
    <w:rsid w:val="00E26CC2"/>
    <w:rsid w:val="00E26EA5"/>
    <w:rsid w:val="00E26EFE"/>
    <w:rsid w:val="00E27061"/>
    <w:rsid w:val="00E270DC"/>
    <w:rsid w:val="00E27110"/>
    <w:rsid w:val="00E2744C"/>
    <w:rsid w:val="00E30073"/>
    <w:rsid w:val="00E30383"/>
    <w:rsid w:val="00E303E9"/>
    <w:rsid w:val="00E3055C"/>
    <w:rsid w:val="00E30B5D"/>
    <w:rsid w:val="00E30CA6"/>
    <w:rsid w:val="00E30D00"/>
    <w:rsid w:val="00E30DED"/>
    <w:rsid w:val="00E30E10"/>
    <w:rsid w:val="00E3153E"/>
    <w:rsid w:val="00E31B1E"/>
    <w:rsid w:val="00E31BD8"/>
    <w:rsid w:val="00E31C42"/>
    <w:rsid w:val="00E31C93"/>
    <w:rsid w:val="00E31D12"/>
    <w:rsid w:val="00E31D43"/>
    <w:rsid w:val="00E31E73"/>
    <w:rsid w:val="00E32298"/>
    <w:rsid w:val="00E3234B"/>
    <w:rsid w:val="00E323BE"/>
    <w:rsid w:val="00E3244C"/>
    <w:rsid w:val="00E324AD"/>
    <w:rsid w:val="00E3265F"/>
    <w:rsid w:val="00E3296C"/>
    <w:rsid w:val="00E32AAC"/>
    <w:rsid w:val="00E32D92"/>
    <w:rsid w:val="00E3307A"/>
    <w:rsid w:val="00E3315F"/>
    <w:rsid w:val="00E33322"/>
    <w:rsid w:val="00E33329"/>
    <w:rsid w:val="00E3333A"/>
    <w:rsid w:val="00E33EA6"/>
    <w:rsid w:val="00E33F34"/>
    <w:rsid w:val="00E33F74"/>
    <w:rsid w:val="00E3411B"/>
    <w:rsid w:val="00E3413E"/>
    <w:rsid w:val="00E342C0"/>
    <w:rsid w:val="00E34350"/>
    <w:rsid w:val="00E343F7"/>
    <w:rsid w:val="00E345A1"/>
    <w:rsid w:val="00E346D1"/>
    <w:rsid w:val="00E3470E"/>
    <w:rsid w:val="00E3499A"/>
    <w:rsid w:val="00E34A67"/>
    <w:rsid w:val="00E34EDF"/>
    <w:rsid w:val="00E34EF8"/>
    <w:rsid w:val="00E34F13"/>
    <w:rsid w:val="00E34F34"/>
    <w:rsid w:val="00E3520B"/>
    <w:rsid w:val="00E35284"/>
    <w:rsid w:val="00E352AC"/>
    <w:rsid w:val="00E353A0"/>
    <w:rsid w:val="00E355A1"/>
    <w:rsid w:val="00E358CE"/>
    <w:rsid w:val="00E35E73"/>
    <w:rsid w:val="00E361BE"/>
    <w:rsid w:val="00E365F9"/>
    <w:rsid w:val="00E36664"/>
    <w:rsid w:val="00E36683"/>
    <w:rsid w:val="00E3670A"/>
    <w:rsid w:val="00E3671B"/>
    <w:rsid w:val="00E369C9"/>
    <w:rsid w:val="00E36E05"/>
    <w:rsid w:val="00E36F37"/>
    <w:rsid w:val="00E3700A"/>
    <w:rsid w:val="00E37501"/>
    <w:rsid w:val="00E37637"/>
    <w:rsid w:val="00E377A6"/>
    <w:rsid w:val="00E379BD"/>
    <w:rsid w:val="00E379CF"/>
    <w:rsid w:val="00E37B4D"/>
    <w:rsid w:val="00E37E9D"/>
    <w:rsid w:val="00E405D3"/>
    <w:rsid w:val="00E407C3"/>
    <w:rsid w:val="00E40862"/>
    <w:rsid w:val="00E40B3B"/>
    <w:rsid w:val="00E40D03"/>
    <w:rsid w:val="00E40F4C"/>
    <w:rsid w:val="00E40FBD"/>
    <w:rsid w:val="00E40FCD"/>
    <w:rsid w:val="00E410F9"/>
    <w:rsid w:val="00E41437"/>
    <w:rsid w:val="00E41631"/>
    <w:rsid w:val="00E4173C"/>
    <w:rsid w:val="00E41C4F"/>
    <w:rsid w:val="00E41C74"/>
    <w:rsid w:val="00E41CF1"/>
    <w:rsid w:val="00E41D16"/>
    <w:rsid w:val="00E42383"/>
    <w:rsid w:val="00E42492"/>
    <w:rsid w:val="00E42512"/>
    <w:rsid w:val="00E4259A"/>
    <w:rsid w:val="00E42705"/>
    <w:rsid w:val="00E42795"/>
    <w:rsid w:val="00E42956"/>
    <w:rsid w:val="00E42CD6"/>
    <w:rsid w:val="00E42DA8"/>
    <w:rsid w:val="00E42EAE"/>
    <w:rsid w:val="00E42F27"/>
    <w:rsid w:val="00E4347E"/>
    <w:rsid w:val="00E43634"/>
    <w:rsid w:val="00E43979"/>
    <w:rsid w:val="00E43C67"/>
    <w:rsid w:val="00E44114"/>
    <w:rsid w:val="00E44151"/>
    <w:rsid w:val="00E4432F"/>
    <w:rsid w:val="00E443A0"/>
    <w:rsid w:val="00E44564"/>
    <w:rsid w:val="00E44A8E"/>
    <w:rsid w:val="00E44AFA"/>
    <w:rsid w:val="00E44BC2"/>
    <w:rsid w:val="00E44EE1"/>
    <w:rsid w:val="00E44FCC"/>
    <w:rsid w:val="00E452F9"/>
    <w:rsid w:val="00E4560D"/>
    <w:rsid w:val="00E456E4"/>
    <w:rsid w:val="00E458B4"/>
    <w:rsid w:val="00E45A35"/>
    <w:rsid w:val="00E45B09"/>
    <w:rsid w:val="00E45E6E"/>
    <w:rsid w:val="00E45EE9"/>
    <w:rsid w:val="00E460DE"/>
    <w:rsid w:val="00E461D1"/>
    <w:rsid w:val="00E461DA"/>
    <w:rsid w:val="00E462EB"/>
    <w:rsid w:val="00E463A0"/>
    <w:rsid w:val="00E465FD"/>
    <w:rsid w:val="00E46654"/>
    <w:rsid w:val="00E466D6"/>
    <w:rsid w:val="00E466FC"/>
    <w:rsid w:val="00E46746"/>
    <w:rsid w:val="00E46765"/>
    <w:rsid w:val="00E467F8"/>
    <w:rsid w:val="00E4692A"/>
    <w:rsid w:val="00E46A07"/>
    <w:rsid w:val="00E46CF9"/>
    <w:rsid w:val="00E46D28"/>
    <w:rsid w:val="00E46D63"/>
    <w:rsid w:val="00E46E64"/>
    <w:rsid w:val="00E46ED2"/>
    <w:rsid w:val="00E46F2D"/>
    <w:rsid w:val="00E47501"/>
    <w:rsid w:val="00E47830"/>
    <w:rsid w:val="00E478BF"/>
    <w:rsid w:val="00E47901"/>
    <w:rsid w:val="00E47B48"/>
    <w:rsid w:val="00E47B66"/>
    <w:rsid w:val="00E47B98"/>
    <w:rsid w:val="00E47BF3"/>
    <w:rsid w:val="00E47C05"/>
    <w:rsid w:val="00E47D44"/>
    <w:rsid w:val="00E501A7"/>
    <w:rsid w:val="00E5041D"/>
    <w:rsid w:val="00E5051F"/>
    <w:rsid w:val="00E506C9"/>
    <w:rsid w:val="00E5076B"/>
    <w:rsid w:val="00E50848"/>
    <w:rsid w:val="00E50872"/>
    <w:rsid w:val="00E50AC5"/>
    <w:rsid w:val="00E50ADE"/>
    <w:rsid w:val="00E50F8C"/>
    <w:rsid w:val="00E51270"/>
    <w:rsid w:val="00E513CB"/>
    <w:rsid w:val="00E513F4"/>
    <w:rsid w:val="00E51609"/>
    <w:rsid w:val="00E5170D"/>
    <w:rsid w:val="00E51772"/>
    <w:rsid w:val="00E51831"/>
    <w:rsid w:val="00E51886"/>
    <w:rsid w:val="00E51A34"/>
    <w:rsid w:val="00E51C4B"/>
    <w:rsid w:val="00E51C92"/>
    <w:rsid w:val="00E51D9E"/>
    <w:rsid w:val="00E51E25"/>
    <w:rsid w:val="00E51E63"/>
    <w:rsid w:val="00E51E8B"/>
    <w:rsid w:val="00E51F54"/>
    <w:rsid w:val="00E521A0"/>
    <w:rsid w:val="00E52384"/>
    <w:rsid w:val="00E52520"/>
    <w:rsid w:val="00E52C0C"/>
    <w:rsid w:val="00E52C59"/>
    <w:rsid w:val="00E5317F"/>
    <w:rsid w:val="00E5320B"/>
    <w:rsid w:val="00E53408"/>
    <w:rsid w:val="00E53441"/>
    <w:rsid w:val="00E53526"/>
    <w:rsid w:val="00E5356A"/>
    <w:rsid w:val="00E5358B"/>
    <w:rsid w:val="00E536AB"/>
    <w:rsid w:val="00E53816"/>
    <w:rsid w:val="00E539AF"/>
    <w:rsid w:val="00E53AE5"/>
    <w:rsid w:val="00E53E0A"/>
    <w:rsid w:val="00E54257"/>
    <w:rsid w:val="00E543A2"/>
    <w:rsid w:val="00E543BC"/>
    <w:rsid w:val="00E5440F"/>
    <w:rsid w:val="00E54479"/>
    <w:rsid w:val="00E548C5"/>
    <w:rsid w:val="00E55315"/>
    <w:rsid w:val="00E55571"/>
    <w:rsid w:val="00E55651"/>
    <w:rsid w:val="00E5568C"/>
    <w:rsid w:val="00E556C8"/>
    <w:rsid w:val="00E55785"/>
    <w:rsid w:val="00E55862"/>
    <w:rsid w:val="00E55C1D"/>
    <w:rsid w:val="00E55C8B"/>
    <w:rsid w:val="00E55C95"/>
    <w:rsid w:val="00E55DAC"/>
    <w:rsid w:val="00E55E99"/>
    <w:rsid w:val="00E5602C"/>
    <w:rsid w:val="00E5603E"/>
    <w:rsid w:val="00E5606B"/>
    <w:rsid w:val="00E5621A"/>
    <w:rsid w:val="00E5632C"/>
    <w:rsid w:val="00E566D7"/>
    <w:rsid w:val="00E567D2"/>
    <w:rsid w:val="00E56826"/>
    <w:rsid w:val="00E568C4"/>
    <w:rsid w:val="00E5690A"/>
    <w:rsid w:val="00E569A0"/>
    <w:rsid w:val="00E569C1"/>
    <w:rsid w:val="00E56A3E"/>
    <w:rsid w:val="00E56A48"/>
    <w:rsid w:val="00E56CB7"/>
    <w:rsid w:val="00E56E3D"/>
    <w:rsid w:val="00E56FAD"/>
    <w:rsid w:val="00E57001"/>
    <w:rsid w:val="00E573F2"/>
    <w:rsid w:val="00E574E2"/>
    <w:rsid w:val="00E5785D"/>
    <w:rsid w:val="00E579F1"/>
    <w:rsid w:val="00E57A09"/>
    <w:rsid w:val="00E57B53"/>
    <w:rsid w:val="00E57DCD"/>
    <w:rsid w:val="00E57DEB"/>
    <w:rsid w:val="00E60296"/>
    <w:rsid w:val="00E60327"/>
    <w:rsid w:val="00E60328"/>
    <w:rsid w:val="00E603FC"/>
    <w:rsid w:val="00E6044D"/>
    <w:rsid w:val="00E60BD4"/>
    <w:rsid w:val="00E60F64"/>
    <w:rsid w:val="00E610BA"/>
    <w:rsid w:val="00E61313"/>
    <w:rsid w:val="00E61535"/>
    <w:rsid w:val="00E6156F"/>
    <w:rsid w:val="00E6165C"/>
    <w:rsid w:val="00E6176E"/>
    <w:rsid w:val="00E6193E"/>
    <w:rsid w:val="00E619AE"/>
    <w:rsid w:val="00E619F8"/>
    <w:rsid w:val="00E61A03"/>
    <w:rsid w:val="00E61A7B"/>
    <w:rsid w:val="00E61CDE"/>
    <w:rsid w:val="00E61DA5"/>
    <w:rsid w:val="00E61F82"/>
    <w:rsid w:val="00E61FA7"/>
    <w:rsid w:val="00E6204B"/>
    <w:rsid w:val="00E620F3"/>
    <w:rsid w:val="00E621FF"/>
    <w:rsid w:val="00E6227C"/>
    <w:rsid w:val="00E62872"/>
    <w:rsid w:val="00E629AE"/>
    <w:rsid w:val="00E62C84"/>
    <w:rsid w:val="00E6325E"/>
    <w:rsid w:val="00E63275"/>
    <w:rsid w:val="00E63292"/>
    <w:rsid w:val="00E632DE"/>
    <w:rsid w:val="00E63355"/>
    <w:rsid w:val="00E6335F"/>
    <w:rsid w:val="00E633CD"/>
    <w:rsid w:val="00E63670"/>
    <w:rsid w:val="00E636AC"/>
    <w:rsid w:val="00E63CFC"/>
    <w:rsid w:val="00E63D56"/>
    <w:rsid w:val="00E63DD5"/>
    <w:rsid w:val="00E6454C"/>
    <w:rsid w:val="00E6468F"/>
    <w:rsid w:val="00E646BA"/>
    <w:rsid w:val="00E64969"/>
    <w:rsid w:val="00E649B8"/>
    <w:rsid w:val="00E64D1C"/>
    <w:rsid w:val="00E64DF6"/>
    <w:rsid w:val="00E64F75"/>
    <w:rsid w:val="00E6507F"/>
    <w:rsid w:val="00E65223"/>
    <w:rsid w:val="00E65684"/>
    <w:rsid w:val="00E6587F"/>
    <w:rsid w:val="00E658E2"/>
    <w:rsid w:val="00E65961"/>
    <w:rsid w:val="00E65C33"/>
    <w:rsid w:val="00E65E99"/>
    <w:rsid w:val="00E65F3C"/>
    <w:rsid w:val="00E65FF3"/>
    <w:rsid w:val="00E661E2"/>
    <w:rsid w:val="00E665A6"/>
    <w:rsid w:val="00E6668C"/>
    <w:rsid w:val="00E668EB"/>
    <w:rsid w:val="00E66B3A"/>
    <w:rsid w:val="00E66E87"/>
    <w:rsid w:val="00E67006"/>
    <w:rsid w:val="00E67232"/>
    <w:rsid w:val="00E673ED"/>
    <w:rsid w:val="00E679F3"/>
    <w:rsid w:val="00E67BF1"/>
    <w:rsid w:val="00E67C28"/>
    <w:rsid w:val="00E67EA1"/>
    <w:rsid w:val="00E67FDF"/>
    <w:rsid w:val="00E701ED"/>
    <w:rsid w:val="00E7047B"/>
    <w:rsid w:val="00E7067E"/>
    <w:rsid w:val="00E706B9"/>
    <w:rsid w:val="00E70774"/>
    <w:rsid w:val="00E70837"/>
    <w:rsid w:val="00E70A5A"/>
    <w:rsid w:val="00E70AD2"/>
    <w:rsid w:val="00E70D97"/>
    <w:rsid w:val="00E70DC1"/>
    <w:rsid w:val="00E70DCA"/>
    <w:rsid w:val="00E70F2D"/>
    <w:rsid w:val="00E71292"/>
    <w:rsid w:val="00E71412"/>
    <w:rsid w:val="00E715FD"/>
    <w:rsid w:val="00E716BB"/>
    <w:rsid w:val="00E71716"/>
    <w:rsid w:val="00E717A7"/>
    <w:rsid w:val="00E7180D"/>
    <w:rsid w:val="00E71B0A"/>
    <w:rsid w:val="00E71BF0"/>
    <w:rsid w:val="00E72066"/>
    <w:rsid w:val="00E72151"/>
    <w:rsid w:val="00E72169"/>
    <w:rsid w:val="00E72178"/>
    <w:rsid w:val="00E72188"/>
    <w:rsid w:val="00E72191"/>
    <w:rsid w:val="00E72342"/>
    <w:rsid w:val="00E723D0"/>
    <w:rsid w:val="00E7257D"/>
    <w:rsid w:val="00E725D4"/>
    <w:rsid w:val="00E72646"/>
    <w:rsid w:val="00E72840"/>
    <w:rsid w:val="00E7288D"/>
    <w:rsid w:val="00E72923"/>
    <w:rsid w:val="00E729E5"/>
    <w:rsid w:val="00E72AD3"/>
    <w:rsid w:val="00E72AFB"/>
    <w:rsid w:val="00E72E5B"/>
    <w:rsid w:val="00E72F22"/>
    <w:rsid w:val="00E72FD0"/>
    <w:rsid w:val="00E7338E"/>
    <w:rsid w:val="00E733F4"/>
    <w:rsid w:val="00E73599"/>
    <w:rsid w:val="00E73A20"/>
    <w:rsid w:val="00E73AB5"/>
    <w:rsid w:val="00E73B22"/>
    <w:rsid w:val="00E73EA3"/>
    <w:rsid w:val="00E73FA5"/>
    <w:rsid w:val="00E74262"/>
    <w:rsid w:val="00E7439E"/>
    <w:rsid w:val="00E7459D"/>
    <w:rsid w:val="00E7489A"/>
    <w:rsid w:val="00E74935"/>
    <w:rsid w:val="00E74CA2"/>
    <w:rsid w:val="00E74D4A"/>
    <w:rsid w:val="00E74E8B"/>
    <w:rsid w:val="00E74ED6"/>
    <w:rsid w:val="00E751D6"/>
    <w:rsid w:val="00E75425"/>
    <w:rsid w:val="00E7570F"/>
    <w:rsid w:val="00E75781"/>
    <w:rsid w:val="00E7581C"/>
    <w:rsid w:val="00E759A6"/>
    <w:rsid w:val="00E75A7B"/>
    <w:rsid w:val="00E75CE5"/>
    <w:rsid w:val="00E75F73"/>
    <w:rsid w:val="00E75FE3"/>
    <w:rsid w:val="00E7603E"/>
    <w:rsid w:val="00E760DA"/>
    <w:rsid w:val="00E761FB"/>
    <w:rsid w:val="00E7625A"/>
    <w:rsid w:val="00E766A6"/>
    <w:rsid w:val="00E76BC3"/>
    <w:rsid w:val="00E76C1B"/>
    <w:rsid w:val="00E76C7A"/>
    <w:rsid w:val="00E76E03"/>
    <w:rsid w:val="00E77350"/>
    <w:rsid w:val="00E7744B"/>
    <w:rsid w:val="00E7759D"/>
    <w:rsid w:val="00E7770A"/>
    <w:rsid w:val="00E77810"/>
    <w:rsid w:val="00E77A83"/>
    <w:rsid w:val="00E77BCE"/>
    <w:rsid w:val="00E77E07"/>
    <w:rsid w:val="00E77F7B"/>
    <w:rsid w:val="00E77F80"/>
    <w:rsid w:val="00E800B0"/>
    <w:rsid w:val="00E802CA"/>
    <w:rsid w:val="00E80301"/>
    <w:rsid w:val="00E804CC"/>
    <w:rsid w:val="00E80972"/>
    <w:rsid w:val="00E80C9B"/>
    <w:rsid w:val="00E810F5"/>
    <w:rsid w:val="00E81141"/>
    <w:rsid w:val="00E811BC"/>
    <w:rsid w:val="00E813BC"/>
    <w:rsid w:val="00E8175A"/>
    <w:rsid w:val="00E818CB"/>
    <w:rsid w:val="00E81AB7"/>
    <w:rsid w:val="00E81CB6"/>
    <w:rsid w:val="00E81D07"/>
    <w:rsid w:val="00E81F35"/>
    <w:rsid w:val="00E81FC5"/>
    <w:rsid w:val="00E8239F"/>
    <w:rsid w:val="00E824B0"/>
    <w:rsid w:val="00E82A3C"/>
    <w:rsid w:val="00E82B0F"/>
    <w:rsid w:val="00E82C80"/>
    <w:rsid w:val="00E82CD5"/>
    <w:rsid w:val="00E83086"/>
    <w:rsid w:val="00E832BA"/>
    <w:rsid w:val="00E83366"/>
    <w:rsid w:val="00E8336E"/>
    <w:rsid w:val="00E83442"/>
    <w:rsid w:val="00E8373E"/>
    <w:rsid w:val="00E8387C"/>
    <w:rsid w:val="00E83C26"/>
    <w:rsid w:val="00E83FE5"/>
    <w:rsid w:val="00E841C8"/>
    <w:rsid w:val="00E84232"/>
    <w:rsid w:val="00E843C5"/>
    <w:rsid w:val="00E8457B"/>
    <w:rsid w:val="00E8473B"/>
    <w:rsid w:val="00E84889"/>
    <w:rsid w:val="00E84D08"/>
    <w:rsid w:val="00E84E5D"/>
    <w:rsid w:val="00E85297"/>
    <w:rsid w:val="00E852EE"/>
    <w:rsid w:val="00E852FD"/>
    <w:rsid w:val="00E854AF"/>
    <w:rsid w:val="00E85A2A"/>
    <w:rsid w:val="00E85C3F"/>
    <w:rsid w:val="00E85C83"/>
    <w:rsid w:val="00E85CA3"/>
    <w:rsid w:val="00E85E51"/>
    <w:rsid w:val="00E8617B"/>
    <w:rsid w:val="00E861B6"/>
    <w:rsid w:val="00E8629D"/>
    <w:rsid w:val="00E862EA"/>
    <w:rsid w:val="00E8642C"/>
    <w:rsid w:val="00E866DC"/>
    <w:rsid w:val="00E8672C"/>
    <w:rsid w:val="00E86915"/>
    <w:rsid w:val="00E8693C"/>
    <w:rsid w:val="00E86A95"/>
    <w:rsid w:val="00E86B31"/>
    <w:rsid w:val="00E86C77"/>
    <w:rsid w:val="00E86E9E"/>
    <w:rsid w:val="00E8707E"/>
    <w:rsid w:val="00E8713C"/>
    <w:rsid w:val="00E871D5"/>
    <w:rsid w:val="00E87226"/>
    <w:rsid w:val="00E87368"/>
    <w:rsid w:val="00E87718"/>
    <w:rsid w:val="00E87AE4"/>
    <w:rsid w:val="00E87C72"/>
    <w:rsid w:val="00E87F90"/>
    <w:rsid w:val="00E87FE3"/>
    <w:rsid w:val="00E90237"/>
    <w:rsid w:val="00E90286"/>
    <w:rsid w:val="00E902A7"/>
    <w:rsid w:val="00E9039B"/>
    <w:rsid w:val="00E90507"/>
    <w:rsid w:val="00E9074C"/>
    <w:rsid w:val="00E907C1"/>
    <w:rsid w:val="00E90823"/>
    <w:rsid w:val="00E90966"/>
    <w:rsid w:val="00E90BDA"/>
    <w:rsid w:val="00E91219"/>
    <w:rsid w:val="00E91359"/>
    <w:rsid w:val="00E91479"/>
    <w:rsid w:val="00E914BC"/>
    <w:rsid w:val="00E91C4F"/>
    <w:rsid w:val="00E91D3B"/>
    <w:rsid w:val="00E91F5E"/>
    <w:rsid w:val="00E91FA4"/>
    <w:rsid w:val="00E920C7"/>
    <w:rsid w:val="00E920FC"/>
    <w:rsid w:val="00E92128"/>
    <w:rsid w:val="00E92159"/>
    <w:rsid w:val="00E92554"/>
    <w:rsid w:val="00E9269C"/>
    <w:rsid w:val="00E92C7A"/>
    <w:rsid w:val="00E92D64"/>
    <w:rsid w:val="00E92EED"/>
    <w:rsid w:val="00E9350F"/>
    <w:rsid w:val="00E936D8"/>
    <w:rsid w:val="00E937C3"/>
    <w:rsid w:val="00E9381B"/>
    <w:rsid w:val="00E93899"/>
    <w:rsid w:val="00E93BC3"/>
    <w:rsid w:val="00E93CA7"/>
    <w:rsid w:val="00E93CE5"/>
    <w:rsid w:val="00E93CEA"/>
    <w:rsid w:val="00E93D07"/>
    <w:rsid w:val="00E93DDA"/>
    <w:rsid w:val="00E93E15"/>
    <w:rsid w:val="00E93F76"/>
    <w:rsid w:val="00E941C7"/>
    <w:rsid w:val="00E94618"/>
    <w:rsid w:val="00E94735"/>
    <w:rsid w:val="00E947E3"/>
    <w:rsid w:val="00E94913"/>
    <w:rsid w:val="00E94B13"/>
    <w:rsid w:val="00E94BFC"/>
    <w:rsid w:val="00E94C6B"/>
    <w:rsid w:val="00E94CA6"/>
    <w:rsid w:val="00E94D69"/>
    <w:rsid w:val="00E952E2"/>
    <w:rsid w:val="00E95477"/>
    <w:rsid w:val="00E954E0"/>
    <w:rsid w:val="00E955DB"/>
    <w:rsid w:val="00E95904"/>
    <w:rsid w:val="00E95ABC"/>
    <w:rsid w:val="00E95BDB"/>
    <w:rsid w:val="00E9636B"/>
    <w:rsid w:val="00E964A3"/>
    <w:rsid w:val="00E96507"/>
    <w:rsid w:val="00E96622"/>
    <w:rsid w:val="00E9667D"/>
    <w:rsid w:val="00E96747"/>
    <w:rsid w:val="00E967A7"/>
    <w:rsid w:val="00E968B2"/>
    <w:rsid w:val="00E96993"/>
    <w:rsid w:val="00E969D5"/>
    <w:rsid w:val="00E969D6"/>
    <w:rsid w:val="00E96F7D"/>
    <w:rsid w:val="00E97176"/>
    <w:rsid w:val="00E974E0"/>
    <w:rsid w:val="00E97576"/>
    <w:rsid w:val="00E975F3"/>
    <w:rsid w:val="00E97645"/>
    <w:rsid w:val="00E977E9"/>
    <w:rsid w:val="00E97A6D"/>
    <w:rsid w:val="00E97A83"/>
    <w:rsid w:val="00E97AEC"/>
    <w:rsid w:val="00E97B53"/>
    <w:rsid w:val="00E97D06"/>
    <w:rsid w:val="00EA032F"/>
    <w:rsid w:val="00EA063A"/>
    <w:rsid w:val="00EA0742"/>
    <w:rsid w:val="00EA0851"/>
    <w:rsid w:val="00EA0A0A"/>
    <w:rsid w:val="00EA0AD5"/>
    <w:rsid w:val="00EA0B02"/>
    <w:rsid w:val="00EA0B50"/>
    <w:rsid w:val="00EA0C3E"/>
    <w:rsid w:val="00EA0F9E"/>
    <w:rsid w:val="00EA10F0"/>
    <w:rsid w:val="00EA11AB"/>
    <w:rsid w:val="00EA1547"/>
    <w:rsid w:val="00EA1858"/>
    <w:rsid w:val="00EA1963"/>
    <w:rsid w:val="00EA19F6"/>
    <w:rsid w:val="00EA1ADB"/>
    <w:rsid w:val="00EA1C79"/>
    <w:rsid w:val="00EA1C84"/>
    <w:rsid w:val="00EA1E12"/>
    <w:rsid w:val="00EA2055"/>
    <w:rsid w:val="00EA2104"/>
    <w:rsid w:val="00EA218E"/>
    <w:rsid w:val="00EA21F8"/>
    <w:rsid w:val="00EA2928"/>
    <w:rsid w:val="00EA2939"/>
    <w:rsid w:val="00EA2941"/>
    <w:rsid w:val="00EA2A02"/>
    <w:rsid w:val="00EA2CD5"/>
    <w:rsid w:val="00EA2E8B"/>
    <w:rsid w:val="00EA2EE6"/>
    <w:rsid w:val="00EA2F2F"/>
    <w:rsid w:val="00EA2F8F"/>
    <w:rsid w:val="00EA321E"/>
    <w:rsid w:val="00EA32A9"/>
    <w:rsid w:val="00EA32E7"/>
    <w:rsid w:val="00EA34C4"/>
    <w:rsid w:val="00EA34E3"/>
    <w:rsid w:val="00EA350F"/>
    <w:rsid w:val="00EA368F"/>
    <w:rsid w:val="00EA3784"/>
    <w:rsid w:val="00EA3B22"/>
    <w:rsid w:val="00EA3BBA"/>
    <w:rsid w:val="00EA3EB4"/>
    <w:rsid w:val="00EA3EDC"/>
    <w:rsid w:val="00EA3F34"/>
    <w:rsid w:val="00EA3F8B"/>
    <w:rsid w:val="00EA4187"/>
    <w:rsid w:val="00EA43CB"/>
    <w:rsid w:val="00EA4429"/>
    <w:rsid w:val="00EA444A"/>
    <w:rsid w:val="00EA45C5"/>
    <w:rsid w:val="00EA46F6"/>
    <w:rsid w:val="00EA47F1"/>
    <w:rsid w:val="00EA47FC"/>
    <w:rsid w:val="00EA484E"/>
    <w:rsid w:val="00EA485C"/>
    <w:rsid w:val="00EA4B3A"/>
    <w:rsid w:val="00EA4BD8"/>
    <w:rsid w:val="00EA4CB6"/>
    <w:rsid w:val="00EA4CDD"/>
    <w:rsid w:val="00EA4ECF"/>
    <w:rsid w:val="00EA57EF"/>
    <w:rsid w:val="00EA57F5"/>
    <w:rsid w:val="00EA5A6F"/>
    <w:rsid w:val="00EA5BBA"/>
    <w:rsid w:val="00EA5DEC"/>
    <w:rsid w:val="00EA5EDC"/>
    <w:rsid w:val="00EA5FE5"/>
    <w:rsid w:val="00EA6128"/>
    <w:rsid w:val="00EA61D8"/>
    <w:rsid w:val="00EA6516"/>
    <w:rsid w:val="00EA65C0"/>
    <w:rsid w:val="00EA65F9"/>
    <w:rsid w:val="00EA66C6"/>
    <w:rsid w:val="00EA6779"/>
    <w:rsid w:val="00EA68E1"/>
    <w:rsid w:val="00EA69CC"/>
    <w:rsid w:val="00EA6C24"/>
    <w:rsid w:val="00EA6C7A"/>
    <w:rsid w:val="00EA6F30"/>
    <w:rsid w:val="00EA70D8"/>
    <w:rsid w:val="00EA722D"/>
    <w:rsid w:val="00EA756B"/>
    <w:rsid w:val="00EA7692"/>
    <w:rsid w:val="00EA7815"/>
    <w:rsid w:val="00EA7ABE"/>
    <w:rsid w:val="00EA7B7D"/>
    <w:rsid w:val="00EA7C66"/>
    <w:rsid w:val="00EA7F26"/>
    <w:rsid w:val="00EB01DB"/>
    <w:rsid w:val="00EB0768"/>
    <w:rsid w:val="00EB07A3"/>
    <w:rsid w:val="00EB085E"/>
    <w:rsid w:val="00EB0C46"/>
    <w:rsid w:val="00EB0D76"/>
    <w:rsid w:val="00EB1525"/>
    <w:rsid w:val="00EB15F5"/>
    <w:rsid w:val="00EB1795"/>
    <w:rsid w:val="00EB186D"/>
    <w:rsid w:val="00EB198F"/>
    <w:rsid w:val="00EB1A98"/>
    <w:rsid w:val="00EB1B3D"/>
    <w:rsid w:val="00EB1BB3"/>
    <w:rsid w:val="00EB1DDF"/>
    <w:rsid w:val="00EB1EBC"/>
    <w:rsid w:val="00EB23CD"/>
    <w:rsid w:val="00EB2540"/>
    <w:rsid w:val="00EB265A"/>
    <w:rsid w:val="00EB298A"/>
    <w:rsid w:val="00EB2A06"/>
    <w:rsid w:val="00EB2B10"/>
    <w:rsid w:val="00EB2B61"/>
    <w:rsid w:val="00EB2C75"/>
    <w:rsid w:val="00EB30F3"/>
    <w:rsid w:val="00EB325D"/>
    <w:rsid w:val="00EB3694"/>
    <w:rsid w:val="00EB37FE"/>
    <w:rsid w:val="00EB394D"/>
    <w:rsid w:val="00EB3968"/>
    <w:rsid w:val="00EB3AA1"/>
    <w:rsid w:val="00EB3F62"/>
    <w:rsid w:val="00EB4101"/>
    <w:rsid w:val="00EB4106"/>
    <w:rsid w:val="00EB428A"/>
    <w:rsid w:val="00EB4524"/>
    <w:rsid w:val="00EB45B8"/>
    <w:rsid w:val="00EB46CE"/>
    <w:rsid w:val="00EB499F"/>
    <w:rsid w:val="00EB4A27"/>
    <w:rsid w:val="00EB4AAF"/>
    <w:rsid w:val="00EB4AB2"/>
    <w:rsid w:val="00EB4CF5"/>
    <w:rsid w:val="00EB4D44"/>
    <w:rsid w:val="00EB4E1E"/>
    <w:rsid w:val="00EB4EB5"/>
    <w:rsid w:val="00EB4F88"/>
    <w:rsid w:val="00EB5305"/>
    <w:rsid w:val="00EB533C"/>
    <w:rsid w:val="00EB5DEA"/>
    <w:rsid w:val="00EB5ECE"/>
    <w:rsid w:val="00EB5FA5"/>
    <w:rsid w:val="00EB6166"/>
    <w:rsid w:val="00EB6176"/>
    <w:rsid w:val="00EB62A1"/>
    <w:rsid w:val="00EB6417"/>
    <w:rsid w:val="00EB6596"/>
    <w:rsid w:val="00EB66B8"/>
    <w:rsid w:val="00EB6984"/>
    <w:rsid w:val="00EB6A75"/>
    <w:rsid w:val="00EB6A78"/>
    <w:rsid w:val="00EB6B04"/>
    <w:rsid w:val="00EB6BC3"/>
    <w:rsid w:val="00EB6C54"/>
    <w:rsid w:val="00EB6F69"/>
    <w:rsid w:val="00EB6FC4"/>
    <w:rsid w:val="00EB73F0"/>
    <w:rsid w:val="00EB7D4C"/>
    <w:rsid w:val="00EB7F80"/>
    <w:rsid w:val="00EC0528"/>
    <w:rsid w:val="00EC0561"/>
    <w:rsid w:val="00EC0678"/>
    <w:rsid w:val="00EC0777"/>
    <w:rsid w:val="00EC07F2"/>
    <w:rsid w:val="00EC0AE3"/>
    <w:rsid w:val="00EC0D27"/>
    <w:rsid w:val="00EC0D54"/>
    <w:rsid w:val="00EC0DD6"/>
    <w:rsid w:val="00EC0EE5"/>
    <w:rsid w:val="00EC10A0"/>
    <w:rsid w:val="00EC10EC"/>
    <w:rsid w:val="00EC1141"/>
    <w:rsid w:val="00EC11C7"/>
    <w:rsid w:val="00EC11CF"/>
    <w:rsid w:val="00EC1338"/>
    <w:rsid w:val="00EC13BD"/>
    <w:rsid w:val="00EC1455"/>
    <w:rsid w:val="00EC1473"/>
    <w:rsid w:val="00EC16DA"/>
    <w:rsid w:val="00EC18AB"/>
    <w:rsid w:val="00EC1CE6"/>
    <w:rsid w:val="00EC1E18"/>
    <w:rsid w:val="00EC2046"/>
    <w:rsid w:val="00EC2192"/>
    <w:rsid w:val="00EC21CA"/>
    <w:rsid w:val="00EC2279"/>
    <w:rsid w:val="00EC2338"/>
    <w:rsid w:val="00EC233E"/>
    <w:rsid w:val="00EC23D8"/>
    <w:rsid w:val="00EC26B9"/>
    <w:rsid w:val="00EC2EB3"/>
    <w:rsid w:val="00EC2F0B"/>
    <w:rsid w:val="00EC307A"/>
    <w:rsid w:val="00EC31FC"/>
    <w:rsid w:val="00EC3825"/>
    <w:rsid w:val="00EC3931"/>
    <w:rsid w:val="00EC3976"/>
    <w:rsid w:val="00EC3A58"/>
    <w:rsid w:val="00EC3E4C"/>
    <w:rsid w:val="00EC3E61"/>
    <w:rsid w:val="00EC3E8C"/>
    <w:rsid w:val="00EC3F2E"/>
    <w:rsid w:val="00EC456C"/>
    <w:rsid w:val="00EC45F1"/>
    <w:rsid w:val="00EC46B6"/>
    <w:rsid w:val="00EC46CE"/>
    <w:rsid w:val="00EC475A"/>
    <w:rsid w:val="00EC48D6"/>
    <w:rsid w:val="00EC4B90"/>
    <w:rsid w:val="00EC4C3F"/>
    <w:rsid w:val="00EC4D11"/>
    <w:rsid w:val="00EC4ED9"/>
    <w:rsid w:val="00EC4EE4"/>
    <w:rsid w:val="00EC4F7E"/>
    <w:rsid w:val="00EC4FB4"/>
    <w:rsid w:val="00EC559C"/>
    <w:rsid w:val="00EC578F"/>
    <w:rsid w:val="00EC587F"/>
    <w:rsid w:val="00EC58A5"/>
    <w:rsid w:val="00EC58A6"/>
    <w:rsid w:val="00EC59DE"/>
    <w:rsid w:val="00EC5C93"/>
    <w:rsid w:val="00EC5CB1"/>
    <w:rsid w:val="00EC5CD7"/>
    <w:rsid w:val="00EC5E3A"/>
    <w:rsid w:val="00EC5F03"/>
    <w:rsid w:val="00EC607D"/>
    <w:rsid w:val="00EC60A3"/>
    <w:rsid w:val="00EC66A6"/>
    <w:rsid w:val="00EC68F3"/>
    <w:rsid w:val="00EC6967"/>
    <w:rsid w:val="00EC69F5"/>
    <w:rsid w:val="00EC759E"/>
    <w:rsid w:val="00EC76DC"/>
    <w:rsid w:val="00EC7934"/>
    <w:rsid w:val="00EC7E6A"/>
    <w:rsid w:val="00EC7E7B"/>
    <w:rsid w:val="00EC7EC4"/>
    <w:rsid w:val="00ED003A"/>
    <w:rsid w:val="00ED012A"/>
    <w:rsid w:val="00ED0416"/>
    <w:rsid w:val="00ED046D"/>
    <w:rsid w:val="00ED0804"/>
    <w:rsid w:val="00ED09B9"/>
    <w:rsid w:val="00ED09EB"/>
    <w:rsid w:val="00ED0B93"/>
    <w:rsid w:val="00ED0C58"/>
    <w:rsid w:val="00ED0E2C"/>
    <w:rsid w:val="00ED0EF6"/>
    <w:rsid w:val="00ED0F64"/>
    <w:rsid w:val="00ED1425"/>
    <w:rsid w:val="00ED162D"/>
    <w:rsid w:val="00ED169F"/>
    <w:rsid w:val="00ED17FD"/>
    <w:rsid w:val="00ED1990"/>
    <w:rsid w:val="00ED1D0F"/>
    <w:rsid w:val="00ED1F0D"/>
    <w:rsid w:val="00ED1FFB"/>
    <w:rsid w:val="00ED22BA"/>
    <w:rsid w:val="00ED2330"/>
    <w:rsid w:val="00ED23A2"/>
    <w:rsid w:val="00ED23A4"/>
    <w:rsid w:val="00ED242E"/>
    <w:rsid w:val="00ED2694"/>
    <w:rsid w:val="00ED2916"/>
    <w:rsid w:val="00ED29ED"/>
    <w:rsid w:val="00ED2C25"/>
    <w:rsid w:val="00ED2C85"/>
    <w:rsid w:val="00ED2C99"/>
    <w:rsid w:val="00ED3058"/>
    <w:rsid w:val="00ED32E1"/>
    <w:rsid w:val="00ED33F0"/>
    <w:rsid w:val="00ED3448"/>
    <w:rsid w:val="00ED3910"/>
    <w:rsid w:val="00ED3FC9"/>
    <w:rsid w:val="00ED3FFD"/>
    <w:rsid w:val="00ED40D0"/>
    <w:rsid w:val="00ED4597"/>
    <w:rsid w:val="00ED4719"/>
    <w:rsid w:val="00ED4A83"/>
    <w:rsid w:val="00ED4D5E"/>
    <w:rsid w:val="00ED4D7B"/>
    <w:rsid w:val="00ED4EAF"/>
    <w:rsid w:val="00ED508B"/>
    <w:rsid w:val="00ED5171"/>
    <w:rsid w:val="00ED5238"/>
    <w:rsid w:val="00ED5708"/>
    <w:rsid w:val="00ED595C"/>
    <w:rsid w:val="00ED5B03"/>
    <w:rsid w:val="00ED5C34"/>
    <w:rsid w:val="00ED5CF0"/>
    <w:rsid w:val="00ED5E82"/>
    <w:rsid w:val="00ED5F3B"/>
    <w:rsid w:val="00ED61CC"/>
    <w:rsid w:val="00ED621D"/>
    <w:rsid w:val="00ED6263"/>
    <w:rsid w:val="00ED6666"/>
    <w:rsid w:val="00ED6B06"/>
    <w:rsid w:val="00ED7030"/>
    <w:rsid w:val="00ED708E"/>
    <w:rsid w:val="00ED71FA"/>
    <w:rsid w:val="00ED748E"/>
    <w:rsid w:val="00ED770A"/>
    <w:rsid w:val="00ED771E"/>
    <w:rsid w:val="00ED78E1"/>
    <w:rsid w:val="00ED7911"/>
    <w:rsid w:val="00ED79A1"/>
    <w:rsid w:val="00ED7B6C"/>
    <w:rsid w:val="00ED7CDA"/>
    <w:rsid w:val="00ED7E53"/>
    <w:rsid w:val="00ED7E69"/>
    <w:rsid w:val="00ED7E6F"/>
    <w:rsid w:val="00ED7F5B"/>
    <w:rsid w:val="00EE0046"/>
    <w:rsid w:val="00EE00B7"/>
    <w:rsid w:val="00EE0141"/>
    <w:rsid w:val="00EE0323"/>
    <w:rsid w:val="00EE0A12"/>
    <w:rsid w:val="00EE0A2E"/>
    <w:rsid w:val="00EE0B23"/>
    <w:rsid w:val="00EE0BD2"/>
    <w:rsid w:val="00EE0C2B"/>
    <w:rsid w:val="00EE0E98"/>
    <w:rsid w:val="00EE0F07"/>
    <w:rsid w:val="00EE1619"/>
    <w:rsid w:val="00EE18DB"/>
    <w:rsid w:val="00EE1940"/>
    <w:rsid w:val="00EE1C86"/>
    <w:rsid w:val="00EE1F3C"/>
    <w:rsid w:val="00EE1FA5"/>
    <w:rsid w:val="00EE2140"/>
    <w:rsid w:val="00EE2BB9"/>
    <w:rsid w:val="00EE2E97"/>
    <w:rsid w:val="00EE2FDC"/>
    <w:rsid w:val="00EE30F2"/>
    <w:rsid w:val="00EE354A"/>
    <w:rsid w:val="00EE3610"/>
    <w:rsid w:val="00EE37F2"/>
    <w:rsid w:val="00EE391C"/>
    <w:rsid w:val="00EE39C8"/>
    <w:rsid w:val="00EE3E6D"/>
    <w:rsid w:val="00EE3E85"/>
    <w:rsid w:val="00EE40A9"/>
    <w:rsid w:val="00EE40AF"/>
    <w:rsid w:val="00EE4125"/>
    <w:rsid w:val="00EE41AE"/>
    <w:rsid w:val="00EE44D6"/>
    <w:rsid w:val="00EE4571"/>
    <w:rsid w:val="00EE46CC"/>
    <w:rsid w:val="00EE48F5"/>
    <w:rsid w:val="00EE4925"/>
    <w:rsid w:val="00EE496F"/>
    <w:rsid w:val="00EE4A67"/>
    <w:rsid w:val="00EE4BE7"/>
    <w:rsid w:val="00EE4C60"/>
    <w:rsid w:val="00EE4DEE"/>
    <w:rsid w:val="00EE4F7A"/>
    <w:rsid w:val="00EE517E"/>
    <w:rsid w:val="00EE5195"/>
    <w:rsid w:val="00EE5338"/>
    <w:rsid w:val="00EE53BA"/>
    <w:rsid w:val="00EE544D"/>
    <w:rsid w:val="00EE54A8"/>
    <w:rsid w:val="00EE5551"/>
    <w:rsid w:val="00EE5577"/>
    <w:rsid w:val="00EE55A4"/>
    <w:rsid w:val="00EE5731"/>
    <w:rsid w:val="00EE5879"/>
    <w:rsid w:val="00EE5F81"/>
    <w:rsid w:val="00EE60BD"/>
    <w:rsid w:val="00EE61DA"/>
    <w:rsid w:val="00EE6283"/>
    <w:rsid w:val="00EE66D3"/>
    <w:rsid w:val="00EE684C"/>
    <w:rsid w:val="00EE68E9"/>
    <w:rsid w:val="00EE69F4"/>
    <w:rsid w:val="00EE6A31"/>
    <w:rsid w:val="00EE6B1C"/>
    <w:rsid w:val="00EE6B37"/>
    <w:rsid w:val="00EE6CB1"/>
    <w:rsid w:val="00EE7023"/>
    <w:rsid w:val="00EE7150"/>
    <w:rsid w:val="00EE7182"/>
    <w:rsid w:val="00EE7183"/>
    <w:rsid w:val="00EE718D"/>
    <w:rsid w:val="00EE748C"/>
    <w:rsid w:val="00EE74B2"/>
    <w:rsid w:val="00EE763B"/>
    <w:rsid w:val="00EE768F"/>
    <w:rsid w:val="00EE7901"/>
    <w:rsid w:val="00EE790F"/>
    <w:rsid w:val="00EE7A5A"/>
    <w:rsid w:val="00EE7ED2"/>
    <w:rsid w:val="00EE7F94"/>
    <w:rsid w:val="00EF0053"/>
    <w:rsid w:val="00EF03F2"/>
    <w:rsid w:val="00EF04B0"/>
    <w:rsid w:val="00EF0536"/>
    <w:rsid w:val="00EF063F"/>
    <w:rsid w:val="00EF0885"/>
    <w:rsid w:val="00EF09B0"/>
    <w:rsid w:val="00EF0A98"/>
    <w:rsid w:val="00EF0AE4"/>
    <w:rsid w:val="00EF0B30"/>
    <w:rsid w:val="00EF0E26"/>
    <w:rsid w:val="00EF0E35"/>
    <w:rsid w:val="00EF0E40"/>
    <w:rsid w:val="00EF0EEF"/>
    <w:rsid w:val="00EF10F0"/>
    <w:rsid w:val="00EF1330"/>
    <w:rsid w:val="00EF14FA"/>
    <w:rsid w:val="00EF15D3"/>
    <w:rsid w:val="00EF1780"/>
    <w:rsid w:val="00EF178B"/>
    <w:rsid w:val="00EF1905"/>
    <w:rsid w:val="00EF192E"/>
    <w:rsid w:val="00EF196F"/>
    <w:rsid w:val="00EF1989"/>
    <w:rsid w:val="00EF19D5"/>
    <w:rsid w:val="00EF1C3D"/>
    <w:rsid w:val="00EF229E"/>
    <w:rsid w:val="00EF232A"/>
    <w:rsid w:val="00EF249F"/>
    <w:rsid w:val="00EF28F9"/>
    <w:rsid w:val="00EF2BFC"/>
    <w:rsid w:val="00EF2C25"/>
    <w:rsid w:val="00EF2ED0"/>
    <w:rsid w:val="00EF2FA1"/>
    <w:rsid w:val="00EF3393"/>
    <w:rsid w:val="00EF3455"/>
    <w:rsid w:val="00EF34CD"/>
    <w:rsid w:val="00EF354D"/>
    <w:rsid w:val="00EF3668"/>
    <w:rsid w:val="00EF3722"/>
    <w:rsid w:val="00EF3A33"/>
    <w:rsid w:val="00EF3A5C"/>
    <w:rsid w:val="00EF3AF3"/>
    <w:rsid w:val="00EF3C72"/>
    <w:rsid w:val="00EF4593"/>
    <w:rsid w:val="00EF4737"/>
    <w:rsid w:val="00EF48A3"/>
    <w:rsid w:val="00EF49CC"/>
    <w:rsid w:val="00EF4B03"/>
    <w:rsid w:val="00EF4CAD"/>
    <w:rsid w:val="00EF4DDF"/>
    <w:rsid w:val="00EF4E4A"/>
    <w:rsid w:val="00EF4E76"/>
    <w:rsid w:val="00EF4FA1"/>
    <w:rsid w:val="00EF5063"/>
    <w:rsid w:val="00EF5068"/>
    <w:rsid w:val="00EF5133"/>
    <w:rsid w:val="00EF520A"/>
    <w:rsid w:val="00EF522E"/>
    <w:rsid w:val="00EF52D6"/>
    <w:rsid w:val="00EF55AF"/>
    <w:rsid w:val="00EF5A5E"/>
    <w:rsid w:val="00EF5C71"/>
    <w:rsid w:val="00EF5D54"/>
    <w:rsid w:val="00EF5E57"/>
    <w:rsid w:val="00EF6013"/>
    <w:rsid w:val="00EF61EE"/>
    <w:rsid w:val="00EF6310"/>
    <w:rsid w:val="00EF647A"/>
    <w:rsid w:val="00EF64C7"/>
    <w:rsid w:val="00EF66A5"/>
    <w:rsid w:val="00EF6BFF"/>
    <w:rsid w:val="00EF6C6F"/>
    <w:rsid w:val="00EF6EDD"/>
    <w:rsid w:val="00EF70B2"/>
    <w:rsid w:val="00EF73FF"/>
    <w:rsid w:val="00EF74F3"/>
    <w:rsid w:val="00EF75ED"/>
    <w:rsid w:val="00EF77D4"/>
    <w:rsid w:val="00EF7842"/>
    <w:rsid w:val="00EF7869"/>
    <w:rsid w:val="00EF7A47"/>
    <w:rsid w:val="00EF7F6F"/>
    <w:rsid w:val="00EF7FD4"/>
    <w:rsid w:val="00F0014A"/>
    <w:rsid w:val="00F00234"/>
    <w:rsid w:val="00F002EC"/>
    <w:rsid w:val="00F0034C"/>
    <w:rsid w:val="00F00557"/>
    <w:rsid w:val="00F0056E"/>
    <w:rsid w:val="00F009D5"/>
    <w:rsid w:val="00F00C16"/>
    <w:rsid w:val="00F00C92"/>
    <w:rsid w:val="00F00CFB"/>
    <w:rsid w:val="00F00D73"/>
    <w:rsid w:val="00F00E25"/>
    <w:rsid w:val="00F01107"/>
    <w:rsid w:val="00F013F9"/>
    <w:rsid w:val="00F014AC"/>
    <w:rsid w:val="00F014BA"/>
    <w:rsid w:val="00F01513"/>
    <w:rsid w:val="00F0160B"/>
    <w:rsid w:val="00F01723"/>
    <w:rsid w:val="00F01890"/>
    <w:rsid w:val="00F0193A"/>
    <w:rsid w:val="00F01980"/>
    <w:rsid w:val="00F01985"/>
    <w:rsid w:val="00F01BFB"/>
    <w:rsid w:val="00F01CCE"/>
    <w:rsid w:val="00F01D2F"/>
    <w:rsid w:val="00F01F2B"/>
    <w:rsid w:val="00F02006"/>
    <w:rsid w:val="00F0209E"/>
    <w:rsid w:val="00F020A2"/>
    <w:rsid w:val="00F024FD"/>
    <w:rsid w:val="00F025A9"/>
    <w:rsid w:val="00F025E5"/>
    <w:rsid w:val="00F02618"/>
    <w:rsid w:val="00F0281E"/>
    <w:rsid w:val="00F02880"/>
    <w:rsid w:val="00F0291B"/>
    <w:rsid w:val="00F029C7"/>
    <w:rsid w:val="00F02C7C"/>
    <w:rsid w:val="00F02E52"/>
    <w:rsid w:val="00F03030"/>
    <w:rsid w:val="00F034B9"/>
    <w:rsid w:val="00F034C5"/>
    <w:rsid w:val="00F0359B"/>
    <w:rsid w:val="00F03702"/>
    <w:rsid w:val="00F03B45"/>
    <w:rsid w:val="00F03DD9"/>
    <w:rsid w:val="00F040EC"/>
    <w:rsid w:val="00F0418E"/>
    <w:rsid w:val="00F042F6"/>
    <w:rsid w:val="00F046AC"/>
    <w:rsid w:val="00F04A11"/>
    <w:rsid w:val="00F04D17"/>
    <w:rsid w:val="00F04D2C"/>
    <w:rsid w:val="00F04DF1"/>
    <w:rsid w:val="00F04E1B"/>
    <w:rsid w:val="00F04F47"/>
    <w:rsid w:val="00F0532D"/>
    <w:rsid w:val="00F054D4"/>
    <w:rsid w:val="00F0569F"/>
    <w:rsid w:val="00F05776"/>
    <w:rsid w:val="00F05AD3"/>
    <w:rsid w:val="00F05E7D"/>
    <w:rsid w:val="00F0605F"/>
    <w:rsid w:val="00F060A2"/>
    <w:rsid w:val="00F061C0"/>
    <w:rsid w:val="00F062DC"/>
    <w:rsid w:val="00F066AE"/>
    <w:rsid w:val="00F06934"/>
    <w:rsid w:val="00F06AA1"/>
    <w:rsid w:val="00F06CA7"/>
    <w:rsid w:val="00F06E42"/>
    <w:rsid w:val="00F06F8B"/>
    <w:rsid w:val="00F06FC4"/>
    <w:rsid w:val="00F06FED"/>
    <w:rsid w:val="00F070CF"/>
    <w:rsid w:val="00F0723B"/>
    <w:rsid w:val="00F0782D"/>
    <w:rsid w:val="00F07A31"/>
    <w:rsid w:val="00F07CC3"/>
    <w:rsid w:val="00F07DBC"/>
    <w:rsid w:val="00F0988A"/>
    <w:rsid w:val="00F101ED"/>
    <w:rsid w:val="00F107DD"/>
    <w:rsid w:val="00F1084D"/>
    <w:rsid w:val="00F10994"/>
    <w:rsid w:val="00F109E6"/>
    <w:rsid w:val="00F10BA5"/>
    <w:rsid w:val="00F10BD5"/>
    <w:rsid w:val="00F10E35"/>
    <w:rsid w:val="00F10ED2"/>
    <w:rsid w:val="00F115A6"/>
    <w:rsid w:val="00F11B06"/>
    <w:rsid w:val="00F11CA9"/>
    <w:rsid w:val="00F12072"/>
    <w:rsid w:val="00F1216B"/>
    <w:rsid w:val="00F12231"/>
    <w:rsid w:val="00F12394"/>
    <w:rsid w:val="00F1267C"/>
    <w:rsid w:val="00F129D3"/>
    <w:rsid w:val="00F12A82"/>
    <w:rsid w:val="00F12CFC"/>
    <w:rsid w:val="00F12FD7"/>
    <w:rsid w:val="00F13137"/>
    <w:rsid w:val="00F137AB"/>
    <w:rsid w:val="00F13875"/>
    <w:rsid w:val="00F138A3"/>
    <w:rsid w:val="00F13BD8"/>
    <w:rsid w:val="00F13C59"/>
    <w:rsid w:val="00F13C68"/>
    <w:rsid w:val="00F13CF1"/>
    <w:rsid w:val="00F13CFD"/>
    <w:rsid w:val="00F13EC5"/>
    <w:rsid w:val="00F13EF6"/>
    <w:rsid w:val="00F13F7A"/>
    <w:rsid w:val="00F1414C"/>
    <w:rsid w:val="00F1416C"/>
    <w:rsid w:val="00F14219"/>
    <w:rsid w:val="00F142EA"/>
    <w:rsid w:val="00F1456C"/>
    <w:rsid w:val="00F1487B"/>
    <w:rsid w:val="00F14DA3"/>
    <w:rsid w:val="00F14DD6"/>
    <w:rsid w:val="00F14FA6"/>
    <w:rsid w:val="00F14FE4"/>
    <w:rsid w:val="00F150A5"/>
    <w:rsid w:val="00F1521F"/>
    <w:rsid w:val="00F152A2"/>
    <w:rsid w:val="00F15356"/>
    <w:rsid w:val="00F153AE"/>
    <w:rsid w:val="00F15427"/>
    <w:rsid w:val="00F1544D"/>
    <w:rsid w:val="00F1549B"/>
    <w:rsid w:val="00F154A6"/>
    <w:rsid w:val="00F154EB"/>
    <w:rsid w:val="00F15B62"/>
    <w:rsid w:val="00F15B95"/>
    <w:rsid w:val="00F16338"/>
    <w:rsid w:val="00F163CD"/>
    <w:rsid w:val="00F16455"/>
    <w:rsid w:val="00F164EC"/>
    <w:rsid w:val="00F1693C"/>
    <w:rsid w:val="00F16AC5"/>
    <w:rsid w:val="00F16AF9"/>
    <w:rsid w:val="00F16E84"/>
    <w:rsid w:val="00F16F3E"/>
    <w:rsid w:val="00F16F59"/>
    <w:rsid w:val="00F1707B"/>
    <w:rsid w:val="00F170A6"/>
    <w:rsid w:val="00F1744F"/>
    <w:rsid w:val="00F177F4"/>
    <w:rsid w:val="00F17A46"/>
    <w:rsid w:val="00F17A4A"/>
    <w:rsid w:val="00F17B87"/>
    <w:rsid w:val="00F17DCE"/>
    <w:rsid w:val="00F17FDA"/>
    <w:rsid w:val="00F202BF"/>
    <w:rsid w:val="00F20518"/>
    <w:rsid w:val="00F205B0"/>
    <w:rsid w:val="00F20867"/>
    <w:rsid w:val="00F20961"/>
    <w:rsid w:val="00F20D29"/>
    <w:rsid w:val="00F20D3D"/>
    <w:rsid w:val="00F20E90"/>
    <w:rsid w:val="00F20F48"/>
    <w:rsid w:val="00F2153A"/>
    <w:rsid w:val="00F21540"/>
    <w:rsid w:val="00F215D3"/>
    <w:rsid w:val="00F2191C"/>
    <w:rsid w:val="00F21A77"/>
    <w:rsid w:val="00F21BB6"/>
    <w:rsid w:val="00F21C0A"/>
    <w:rsid w:val="00F21D66"/>
    <w:rsid w:val="00F22697"/>
    <w:rsid w:val="00F22839"/>
    <w:rsid w:val="00F2288A"/>
    <w:rsid w:val="00F229F6"/>
    <w:rsid w:val="00F22A1A"/>
    <w:rsid w:val="00F22D3D"/>
    <w:rsid w:val="00F22D80"/>
    <w:rsid w:val="00F22E61"/>
    <w:rsid w:val="00F22EEA"/>
    <w:rsid w:val="00F22F4A"/>
    <w:rsid w:val="00F22F7A"/>
    <w:rsid w:val="00F22FD5"/>
    <w:rsid w:val="00F2323A"/>
    <w:rsid w:val="00F23249"/>
    <w:rsid w:val="00F233AB"/>
    <w:rsid w:val="00F23561"/>
    <w:rsid w:val="00F2364B"/>
    <w:rsid w:val="00F23785"/>
    <w:rsid w:val="00F239AD"/>
    <w:rsid w:val="00F23B31"/>
    <w:rsid w:val="00F23C53"/>
    <w:rsid w:val="00F23CE5"/>
    <w:rsid w:val="00F23DB7"/>
    <w:rsid w:val="00F24130"/>
    <w:rsid w:val="00F24148"/>
    <w:rsid w:val="00F241CF"/>
    <w:rsid w:val="00F243C2"/>
    <w:rsid w:val="00F243C6"/>
    <w:rsid w:val="00F2449D"/>
    <w:rsid w:val="00F247AB"/>
    <w:rsid w:val="00F24BD9"/>
    <w:rsid w:val="00F24D11"/>
    <w:rsid w:val="00F25028"/>
    <w:rsid w:val="00F253F8"/>
    <w:rsid w:val="00F2547E"/>
    <w:rsid w:val="00F2549A"/>
    <w:rsid w:val="00F25570"/>
    <w:rsid w:val="00F257BE"/>
    <w:rsid w:val="00F25C2A"/>
    <w:rsid w:val="00F25CDF"/>
    <w:rsid w:val="00F25EB4"/>
    <w:rsid w:val="00F25F40"/>
    <w:rsid w:val="00F26039"/>
    <w:rsid w:val="00F26048"/>
    <w:rsid w:val="00F261DA"/>
    <w:rsid w:val="00F262F8"/>
    <w:rsid w:val="00F26342"/>
    <w:rsid w:val="00F2636F"/>
    <w:rsid w:val="00F263C9"/>
    <w:rsid w:val="00F264EC"/>
    <w:rsid w:val="00F26598"/>
    <w:rsid w:val="00F2659A"/>
    <w:rsid w:val="00F2679A"/>
    <w:rsid w:val="00F26809"/>
    <w:rsid w:val="00F26881"/>
    <w:rsid w:val="00F26B05"/>
    <w:rsid w:val="00F26BD7"/>
    <w:rsid w:val="00F26D52"/>
    <w:rsid w:val="00F26D91"/>
    <w:rsid w:val="00F26EBD"/>
    <w:rsid w:val="00F272AE"/>
    <w:rsid w:val="00F272FA"/>
    <w:rsid w:val="00F276A8"/>
    <w:rsid w:val="00F276FE"/>
    <w:rsid w:val="00F2789C"/>
    <w:rsid w:val="00F27A75"/>
    <w:rsid w:val="00F27AD2"/>
    <w:rsid w:val="00F27C6F"/>
    <w:rsid w:val="00F27E9F"/>
    <w:rsid w:val="00F27F2B"/>
    <w:rsid w:val="00F27F91"/>
    <w:rsid w:val="00F30164"/>
    <w:rsid w:val="00F30168"/>
    <w:rsid w:val="00F3021F"/>
    <w:rsid w:val="00F304E4"/>
    <w:rsid w:val="00F3057A"/>
    <w:rsid w:val="00F307CA"/>
    <w:rsid w:val="00F30A90"/>
    <w:rsid w:val="00F30AEF"/>
    <w:rsid w:val="00F30B7E"/>
    <w:rsid w:val="00F30BA5"/>
    <w:rsid w:val="00F30DF3"/>
    <w:rsid w:val="00F30F9B"/>
    <w:rsid w:val="00F30FDB"/>
    <w:rsid w:val="00F31417"/>
    <w:rsid w:val="00F31459"/>
    <w:rsid w:val="00F319E1"/>
    <w:rsid w:val="00F31D0B"/>
    <w:rsid w:val="00F31E65"/>
    <w:rsid w:val="00F31E79"/>
    <w:rsid w:val="00F3204D"/>
    <w:rsid w:val="00F3206B"/>
    <w:rsid w:val="00F320DC"/>
    <w:rsid w:val="00F322E2"/>
    <w:rsid w:val="00F32775"/>
    <w:rsid w:val="00F32839"/>
    <w:rsid w:val="00F32881"/>
    <w:rsid w:val="00F32A19"/>
    <w:rsid w:val="00F32B6C"/>
    <w:rsid w:val="00F32B84"/>
    <w:rsid w:val="00F32F5B"/>
    <w:rsid w:val="00F33527"/>
    <w:rsid w:val="00F33740"/>
    <w:rsid w:val="00F33815"/>
    <w:rsid w:val="00F33965"/>
    <w:rsid w:val="00F33ABC"/>
    <w:rsid w:val="00F33CA9"/>
    <w:rsid w:val="00F33D55"/>
    <w:rsid w:val="00F33DEE"/>
    <w:rsid w:val="00F3416E"/>
    <w:rsid w:val="00F3449C"/>
    <w:rsid w:val="00F3474A"/>
    <w:rsid w:val="00F34765"/>
    <w:rsid w:val="00F347BA"/>
    <w:rsid w:val="00F34B2D"/>
    <w:rsid w:val="00F34CD3"/>
    <w:rsid w:val="00F34D87"/>
    <w:rsid w:val="00F34E72"/>
    <w:rsid w:val="00F34F93"/>
    <w:rsid w:val="00F3500E"/>
    <w:rsid w:val="00F35980"/>
    <w:rsid w:val="00F3598C"/>
    <w:rsid w:val="00F35C14"/>
    <w:rsid w:val="00F35D2E"/>
    <w:rsid w:val="00F35D43"/>
    <w:rsid w:val="00F35D51"/>
    <w:rsid w:val="00F36003"/>
    <w:rsid w:val="00F36041"/>
    <w:rsid w:val="00F362DD"/>
    <w:rsid w:val="00F36312"/>
    <w:rsid w:val="00F36653"/>
    <w:rsid w:val="00F36690"/>
    <w:rsid w:val="00F366E0"/>
    <w:rsid w:val="00F368B3"/>
    <w:rsid w:val="00F369F0"/>
    <w:rsid w:val="00F369FF"/>
    <w:rsid w:val="00F36B45"/>
    <w:rsid w:val="00F36CCA"/>
    <w:rsid w:val="00F36CF0"/>
    <w:rsid w:val="00F36D9C"/>
    <w:rsid w:val="00F36E17"/>
    <w:rsid w:val="00F36EBA"/>
    <w:rsid w:val="00F37188"/>
    <w:rsid w:val="00F37242"/>
    <w:rsid w:val="00F3737A"/>
    <w:rsid w:val="00F374E9"/>
    <w:rsid w:val="00F37571"/>
    <w:rsid w:val="00F375CA"/>
    <w:rsid w:val="00F376AD"/>
    <w:rsid w:val="00F377A4"/>
    <w:rsid w:val="00F3788C"/>
    <w:rsid w:val="00F37ED0"/>
    <w:rsid w:val="00F37F88"/>
    <w:rsid w:val="00F4001C"/>
    <w:rsid w:val="00F403F4"/>
    <w:rsid w:val="00F4048D"/>
    <w:rsid w:val="00F40524"/>
    <w:rsid w:val="00F40631"/>
    <w:rsid w:val="00F40800"/>
    <w:rsid w:val="00F408A8"/>
    <w:rsid w:val="00F40C15"/>
    <w:rsid w:val="00F40FFF"/>
    <w:rsid w:val="00F41094"/>
    <w:rsid w:val="00F411FF"/>
    <w:rsid w:val="00F414F7"/>
    <w:rsid w:val="00F416CA"/>
    <w:rsid w:val="00F417AD"/>
    <w:rsid w:val="00F41918"/>
    <w:rsid w:val="00F41F36"/>
    <w:rsid w:val="00F41F93"/>
    <w:rsid w:val="00F42104"/>
    <w:rsid w:val="00F4218D"/>
    <w:rsid w:val="00F426A7"/>
    <w:rsid w:val="00F426E4"/>
    <w:rsid w:val="00F426EF"/>
    <w:rsid w:val="00F42810"/>
    <w:rsid w:val="00F42917"/>
    <w:rsid w:val="00F429B4"/>
    <w:rsid w:val="00F429E7"/>
    <w:rsid w:val="00F42CED"/>
    <w:rsid w:val="00F42F52"/>
    <w:rsid w:val="00F42FBF"/>
    <w:rsid w:val="00F43076"/>
    <w:rsid w:val="00F4318B"/>
    <w:rsid w:val="00F431BA"/>
    <w:rsid w:val="00F431C7"/>
    <w:rsid w:val="00F431FC"/>
    <w:rsid w:val="00F43666"/>
    <w:rsid w:val="00F4375E"/>
    <w:rsid w:val="00F438B2"/>
    <w:rsid w:val="00F43A75"/>
    <w:rsid w:val="00F43C25"/>
    <w:rsid w:val="00F43D9D"/>
    <w:rsid w:val="00F43E8E"/>
    <w:rsid w:val="00F4417F"/>
    <w:rsid w:val="00F442A6"/>
    <w:rsid w:val="00F44335"/>
    <w:rsid w:val="00F44343"/>
    <w:rsid w:val="00F443DD"/>
    <w:rsid w:val="00F44562"/>
    <w:rsid w:val="00F447FC"/>
    <w:rsid w:val="00F4485F"/>
    <w:rsid w:val="00F44978"/>
    <w:rsid w:val="00F44CA0"/>
    <w:rsid w:val="00F44D6F"/>
    <w:rsid w:val="00F44F8F"/>
    <w:rsid w:val="00F44F9F"/>
    <w:rsid w:val="00F4509F"/>
    <w:rsid w:val="00F450A3"/>
    <w:rsid w:val="00F45316"/>
    <w:rsid w:val="00F4540C"/>
    <w:rsid w:val="00F45805"/>
    <w:rsid w:val="00F4580A"/>
    <w:rsid w:val="00F45827"/>
    <w:rsid w:val="00F4589E"/>
    <w:rsid w:val="00F45CE4"/>
    <w:rsid w:val="00F45F30"/>
    <w:rsid w:val="00F45F46"/>
    <w:rsid w:val="00F461E3"/>
    <w:rsid w:val="00F46200"/>
    <w:rsid w:val="00F46288"/>
    <w:rsid w:val="00F46420"/>
    <w:rsid w:val="00F464F8"/>
    <w:rsid w:val="00F46514"/>
    <w:rsid w:val="00F46647"/>
    <w:rsid w:val="00F4667B"/>
    <w:rsid w:val="00F4682D"/>
    <w:rsid w:val="00F4687C"/>
    <w:rsid w:val="00F468D4"/>
    <w:rsid w:val="00F46F42"/>
    <w:rsid w:val="00F47087"/>
    <w:rsid w:val="00F471A9"/>
    <w:rsid w:val="00F472E4"/>
    <w:rsid w:val="00F4774E"/>
    <w:rsid w:val="00F47A20"/>
    <w:rsid w:val="00F47C97"/>
    <w:rsid w:val="00F47D54"/>
    <w:rsid w:val="00F47D77"/>
    <w:rsid w:val="00F47F5E"/>
    <w:rsid w:val="00F47FF9"/>
    <w:rsid w:val="00F50097"/>
    <w:rsid w:val="00F50152"/>
    <w:rsid w:val="00F50187"/>
    <w:rsid w:val="00F501AC"/>
    <w:rsid w:val="00F5021D"/>
    <w:rsid w:val="00F50483"/>
    <w:rsid w:val="00F50658"/>
    <w:rsid w:val="00F506D9"/>
    <w:rsid w:val="00F507B7"/>
    <w:rsid w:val="00F508E2"/>
    <w:rsid w:val="00F50AD1"/>
    <w:rsid w:val="00F50AF9"/>
    <w:rsid w:val="00F50C1B"/>
    <w:rsid w:val="00F50D50"/>
    <w:rsid w:val="00F50E21"/>
    <w:rsid w:val="00F50E9B"/>
    <w:rsid w:val="00F510E2"/>
    <w:rsid w:val="00F51315"/>
    <w:rsid w:val="00F517F5"/>
    <w:rsid w:val="00F51903"/>
    <w:rsid w:val="00F51926"/>
    <w:rsid w:val="00F51A11"/>
    <w:rsid w:val="00F51A2C"/>
    <w:rsid w:val="00F51DF3"/>
    <w:rsid w:val="00F520A0"/>
    <w:rsid w:val="00F5226D"/>
    <w:rsid w:val="00F523D6"/>
    <w:rsid w:val="00F529D5"/>
    <w:rsid w:val="00F52A0D"/>
    <w:rsid w:val="00F52BEB"/>
    <w:rsid w:val="00F52C67"/>
    <w:rsid w:val="00F53015"/>
    <w:rsid w:val="00F53332"/>
    <w:rsid w:val="00F53582"/>
    <w:rsid w:val="00F53A11"/>
    <w:rsid w:val="00F53BFA"/>
    <w:rsid w:val="00F54095"/>
    <w:rsid w:val="00F5418E"/>
    <w:rsid w:val="00F541C0"/>
    <w:rsid w:val="00F54303"/>
    <w:rsid w:val="00F5438D"/>
    <w:rsid w:val="00F543CB"/>
    <w:rsid w:val="00F543EE"/>
    <w:rsid w:val="00F545EA"/>
    <w:rsid w:val="00F549A0"/>
    <w:rsid w:val="00F54DC9"/>
    <w:rsid w:val="00F54F7B"/>
    <w:rsid w:val="00F550D4"/>
    <w:rsid w:val="00F55302"/>
    <w:rsid w:val="00F55364"/>
    <w:rsid w:val="00F55397"/>
    <w:rsid w:val="00F55700"/>
    <w:rsid w:val="00F55F3F"/>
    <w:rsid w:val="00F55FF4"/>
    <w:rsid w:val="00F560E9"/>
    <w:rsid w:val="00F561D6"/>
    <w:rsid w:val="00F5645A"/>
    <w:rsid w:val="00F5645D"/>
    <w:rsid w:val="00F5658A"/>
    <w:rsid w:val="00F565F9"/>
    <w:rsid w:val="00F5671D"/>
    <w:rsid w:val="00F56915"/>
    <w:rsid w:val="00F569F6"/>
    <w:rsid w:val="00F56AA8"/>
    <w:rsid w:val="00F56B48"/>
    <w:rsid w:val="00F56C9B"/>
    <w:rsid w:val="00F56CDE"/>
    <w:rsid w:val="00F56E64"/>
    <w:rsid w:val="00F5722A"/>
    <w:rsid w:val="00F5726E"/>
    <w:rsid w:val="00F57364"/>
    <w:rsid w:val="00F574AC"/>
    <w:rsid w:val="00F57605"/>
    <w:rsid w:val="00F578EC"/>
    <w:rsid w:val="00F579A8"/>
    <w:rsid w:val="00F57B2C"/>
    <w:rsid w:val="00F57B5F"/>
    <w:rsid w:val="00F57F39"/>
    <w:rsid w:val="00F600B8"/>
    <w:rsid w:val="00F60433"/>
    <w:rsid w:val="00F606EF"/>
    <w:rsid w:val="00F608BF"/>
    <w:rsid w:val="00F609E2"/>
    <w:rsid w:val="00F60B38"/>
    <w:rsid w:val="00F60CBB"/>
    <w:rsid w:val="00F60D56"/>
    <w:rsid w:val="00F60E3D"/>
    <w:rsid w:val="00F60F95"/>
    <w:rsid w:val="00F6101F"/>
    <w:rsid w:val="00F610BB"/>
    <w:rsid w:val="00F612CA"/>
    <w:rsid w:val="00F6148B"/>
    <w:rsid w:val="00F61A5F"/>
    <w:rsid w:val="00F61B66"/>
    <w:rsid w:val="00F61C44"/>
    <w:rsid w:val="00F61D8D"/>
    <w:rsid w:val="00F61F36"/>
    <w:rsid w:val="00F61FF1"/>
    <w:rsid w:val="00F62126"/>
    <w:rsid w:val="00F62325"/>
    <w:rsid w:val="00F6287D"/>
    <w:rsid w:val="00F62978"/>
    <w:rsid w:val="00F62BB1"/>
    <w:rsid w:val="00F62C4B"/>
    <w:rsid w:val="00F62D82"/>
    <w:rsid w:val="00F62EEF"/>
    <w:rsid w:val="00F62FB2"/>
    <w:rsid w:val="00F6300B"/>
    <w:rsid w:val="00F63318"/>
    <w:rsid w:val="00F63338"/>
    <w:rsid w:val="00F63546"/>
    <w:rsid w:val="00F6361A"/>
    <w:rsid w:val="00F63BA7"/>
    <w:rsid w:val="00F63C8F"/>
    <w:rsid w:val="00F63DB7"/>
    <w:rsid w:val="00F63E11"/>
    <w:rsid w:val="00F64201"/>
    <w:rsid w:val="00F64576"/>
    <w:rsid w:val="00F645D0"/>
    <w:rsid w:val="00F6478F"/>
    <w:rsid w:val="00F648A1"/>
    <w:rsid w:val="00F64D35"/>
    <w:rsid w:val="00F64EA0"/>
    <w:rsid w:val="00F651DA"/>
    <w:rsid w:val="00F6554A"/>
    <w:rsid w:val="00F656BB"/>
    <w:rsid w:val="00F656E4"/>
    <w:rsid w:val="00F65AE6"/>
    <w:rsid w:val="00F65B72"/>
    <w:rsid w:val="00F65CCC"/>
    <w:rsid w:val="00F65D3A"/>
    <w:rsid w:val="00F65DCC"/>
    <w:rsid w:val="00F65F9B"/>
    <w:rsid w:val="00F663E1"/>
    <w:rsid w:val="00F665D7"/>
    <w:rsid w:val="00F6668B"/>
    <w:rsid w:val="00F6674C"/>
    <w:rsid w:val="00F66916"/>
    <w:rsid w:val="00F66BE0"/>
    <w:rsid w:val="00F66C46"/>
    <w:rsid w:val="00F66CA4"/>
    <w:rsid w:val="00F66F73"/>
    <w:rsid w:val="00F66F87"/>
    <w:rsid w:val="00F66FEB"/>
    <w:rsid w:val="00F671D0"/>
    <w:rsid w:val="00F672D9"/>
    <w:rsid w:val="00F676BC"/>
    <w:rsid w:val="00F67788"/>
    <w:rsid w:val="00F6786F"/>
    <w:rsid w:val="00F67A57"/>
    <w:rsid w:val="00F67A8D"/>
    <w:rsid w:val="00F67A9D"/>
    <w:rsid w:val="00F67B34"/>
    <w:rsid w:val="00F67BA3"/>
    <w:rsid w:val="00F67BAE"/>
    <w:rsid w:val="00F67CAC"/>
    <w:rsid w:val="00F67EE2"/>
    <w:rsid w:val="00F70191"/>
    <w:rsid w:val="00F701AB"/>
    <w:rsid w:val="00F7052D"/>
    <w:rsid w:val="00F70902"/>
    <w:rsid w:val="00F709AC"/>
    <w:rsid w:val="00F70A9C"/>
    <w:rsid w:val="00F70AE9"/>
    <w:rsid w:val="00F70EE8"/>
    <w:rsid w:val="00F70F07"/>
    <w:rsid w:val="00F70FA5"/>
    <w:rsid w:val="00F710EE"/>
    <w:rsid w:val="00F71207"/>
    <w:rsid w:val="00F71A5A"/>
    <w:rsid w:val="00F71B2B"/>
    <w:rsid w:val="00F71B3D"/>
    <w:rsid w:val="00F71B9F"/>
    <w:rsid w:val="00F71D02"/>
    <w:rsid w:val="00F721D7"/>
    <w:rsid w:val="00F721ED"/>
    <w:rsid w:val="00F723D3"/>
    <w:rsid w:val="00F72624"/>
    <w:rsid w:val="00F72703"/>
    <w:rsid w:val="00F7293D"/>
    <w:rsid w:val="00F72B83"/>
    <w:rsid w:val="00F72B9A"/>
    <w:rsid w:val="00F72C38"/>
    <w:rsid w:val="00F72CE1"/>
    <w:rsid w:val="00F72DA4"/>
    <w:rsid w:val="00F72EEE"/>
    <w:rsid w:val="00F732FA"/>
    <w:rsid w:val="00F733F9"/>
    <w:rsid w:val="00F73445"/>
    <w:rsid w:val="00F734B7"/>
    <w:rsid w:val="00F735BE"/>
    <w:rsid w:val="00F7398D"/>
    <w:rsid w:val="00F73C24"/>
    <w:rsid w:val="00F74355"/>
    <w:rsid w:val="00F7477A"/>
    <w:rsid w:val="00F747FB"/>
    <w:rsid w:val="00F74828"/>
    <w:rsid w:val="00F74B7A"/>
    <w:rsid w:val="00F74E27"/>
    <w:rsid w:val="00F753CC"/>
    <w:rsid w:val="00F755A3"/>
    <w:rsid w:val="00F7563A"/>
    <w:rsid w:val="00F7578C"/>
    <w:rsid w:val="00F757D0"/>
    <w:rsid w:val="00F75803"/>
    <w:rsid w:val="00F75A3C"/>
    <w:rsid w:val="00F75A91"/>
    <w:rsid w:val="00F75E85"/>
    <w:rsid w:val="00F76139"/>
    <w:rsid w:val="00F7616F"/>
    <w:rsid w:val="00F76254"/>
    <w:rsid w:val="00F7669F"/>
    <w:rsid w:val="00F7686D"/>
    <w:rsid w:val="00F76F38"/>
    <w:rsid w:val="00F77447"/>
    <w:rsid w:val="00F774EE"/>
    <w:rsid w:val="00F7756B"/>
    <w:rsid w:val="00F77640"/>
    <w:rsid w:val="00F77655"/>
    <w:rsid w:val="00F776AC"/>
    <w:rsid w:val="00F77954"/>
    <w:rsid w:val="00F77ABF"/>
    <w:rsid w:val="00F77B37"/>
    <w:rsid w:val="00F77D9A"/>
    <w:rsid w:val="00F80179"/>
    <w:rsid w:val="00F80925"/>
    <w:rsid w:val="00F809CE"/>
    <w:rsid w:val="00F80CBE"/>
    <w:rsid w:val="00F80CC1"/>
    <w:rsid w:val="00F8103B"/>
    <w:rsid w:val="00F8110A"/>
    <w:rsid w:val="00F8111A"/>
    <w:rsid w:val="00F8112A"/>
    <w:rsid w:val="00F811F0"/>
    <w:rsid w:val="00F8125A"/>
    <w:rsid w:val="00F81494"/>
    <w:rsid w:val="00F81502"/>
    <w:rsid w:val="00F8164E"/>
    <w:rsid w:val="00F81849"/>
    <w:rsid w:val="00F81920"/>
    <w:rsid w:val="00F819A9"/>
    <w:rsid w:val="00F81A6F"/>
    <w:rsid w:val="00F81B71"/>
    <w:rsid w:val="00F81E3C"/>
    <w:rsid w:val="00F81E57"/>
    <w:rsid w:val="00F82360"/>
    <w:rsid w:val="00F82877"/>
    <w:rsid w:val="00F829AF"/>
    <w:rsid w:val="00F82BDF"/>
    <w:rsid w:val="00F82DEC"/>
    <w:rsid w:val="00F83076"/>
    <w:rsid w:val="00F8315C"/>
    <w:rsid w:val="00F831A2"/>
    <w:rsid w:val="00F8321C"/>
    <w:rsid w:val="00F83254"/>
    <w:rsid w:val="00F833F3"/>
    <w:rsid w:val="00F8355F"/>
    <w:rsid w:val="00F835EA"/>
    <w:rsid w:val="00F8391A"/>
    <w:rsid w:val="00F83B97"/>
    <w:rsid w:val="00F83D85"/>
    <w:rsid w:val="00F83E11"/>
    <w:rsid w:val="00F84001"/>
    <w:rsid w:val="00F84019"/>
    <w:rsid w:val="00F8439A"/>
    <w:rsid w:val="00F84439"/>
    <w:rsid w:val="00F844F1"/>
    <w:rsid w:val="00F84521"/>
    <w:rsid w:val="00F84816"/>
    <w:rsid w:val="00F848A5"/>
    <w:rsid w:val="00F84BAD"/>
    <w:rsid w:val="00F84C04"/>
    <w:rsid w:val="00F84D7A"/>
    <w:rsid w:val="00F84EFC"/>
    <w:rsid w:val="00F85055"/>
    <w:rsid w:val="00F85146"/>
    <w:rsid w:val="00F854BF"/>
    <w:rsid w:val="00F85599"/>
    <w:rsid w:val="00F856E0"/>
    <w:rsid w:val="00F8593A"/>
    <w:rsid w:val="00F85A30"/>
    <w:rsid w:val="00F85FCE"/>
    <w:rsid w:val="00F860A7"/>
    <w:rsid w:val="00F86131"/>
    <w:rsid w:val="00F8647E"/>
    <w:rsid w:val="00F86617"/>
    <w:rsid w:val="00F8664F"/>
    <w:rsid w:val="00F866B4"/>
    <w:rsid w:val="00F866FC"/>
    <w:rsid w:val="00F867AD"/>
    <w:rsid w:val="00F867CC"/>
    <w:rsid w:val="00F86954"/>
    <w:rsid w:val="00F869E9"/>
    <w:rsid w:val="00F86A9F"/>
    <w:rsid w:val="00F86B75"/>
    <w:rsid w:val="00F86BDB"/>
    <w:rsid w:val="00F87047"/>
    <w:rsid w:val="00F870AD"/>
    <w:rsid w:val="00F872A2"/>
    <w:rsid w:val="00F87520"/>
    <w:rsid w:val="00F8760E"/>
    <w:rsid w:val="00F8761C"/>
    <w:rsid w:val="00F87718"/>
    <w:rsid w:val="00F87791"/>
    <w:rsid w:val="00F87955"/>
    <w:rsid w:val="00F87A92"/>
    <w:rsid w:val="00F87D4F"/>
    <w:rsid w:val="00F90183"/>
    <w:rsid w:val="00F9033F"/>
    <w:rsid w:val="00F9043A"/>
    <w:rsid w:val="00F9062B"/>
    <w:rsid w:val="00F90680"/>
    <w:rsid w:val="00F9072F"/>
    <w:rsid w:val="00F90737"/>
    <w:rsid w:val="00F907FD"/>
    <w:rsid w:val="00F90AC0"/>
    <w:rsid w:val="00F90B05"/>
    <w:rsid w:val="00F90B12"/>
    <w:rsid w:val="00F90D0B"/>
    <w:rsid w:val="00F90FB7"/>
    <w:rsid w:val="00F90FC0"/>
    <w:rsid w:val="00F9122D"/>
    <w:rsid w:val="00F914E0"/>
    <w:rsid w:val="00F9159E"/>
    <w:rsid w:val="00F91636"/>
    <w:rsid w:val="00F91A28"/>
    <w:rsid w:val="00F91AAF"/>
    <w:rsid w:val="00F91DED"/>
    <w:rsid w:val="00F9206A"/>
    <w:rsid w:val="00F924A6"/>
    <w:rsid w:val="00F92575"/>
    <w:rsid w:val="00F92696"/>
    <w:rsid w:val="00F92915"/>
    <w:rsid w:val="00F9295E"/>
    <w:rsid w:val="00F92FC1"/>
    <w:rsid w:val="00F93018"/>
    <w:rsid w:val="00F930E4"/>
    <w:rsid w:val="00F932F9"/>
    <w:rsid w:val="00F936D7"/>
    <w:rsid w:val="00F93863"/>
    <w:rsid w:val="00F93ACC"/>
    <w:rsid w:val="00F93B48"/>
    <w:rsid w:val="00F93D0E"/>
    <w:rsid w:val="00F93D9C"/>
    <w:rsid w:val="00F93F32"/>
    <w:rsid w:val="00F9401E"/>
    <w:rsid w:val="00F94073"/>
    <w:rsid w:val="00F9413D"/>
    <w:rsid w:val="00F943C7"/>
    <w:rsid w:val="00F94407"/>
    <w:rsid w:val="00F94454"/>
    <w:rsid w:val="00F945C3"/>
    <w:rsid w:val="00F945F8"/>
    <w:rsid w:val="00F94745"/>
    <w:rsid w:val="00F9474A"/>
    <w:rsid w:val="00F947FE"/>
    <w:rsid w:val="00F949CC"/>
    <w:rsid w:val="00F949DC"/>
    <w:rsid w:val="00F94F2C"/>
    <w:rsid w:val="00F94F5F"/>
    <w:rsid w:val="00F94FE1"/>
    <w:rsid w:val="00F951FA"/>
    <w:rsid w:val="00F9520E"/>
    <w:rsid w:val="00F95287"/>
    <w:rsid w:val="00F9533A"/>
    <w:rsid w:val="00F955A6"/>
    <w:rsid w:val="00F95726"/>
    <w:rsid w:val="00F957F0"/>
    <w:rsid w:val="00F959CD"/>
    <w:rsid w:val="00F95BC6"/>
    <w:rsid w:val="00F95E7F"/>
    <w:rsid w:val="00F95F9F"/>
    <w:rsid w:val="00F96016"/>
    <w:rsid w:val="00F960AE"/>
    <w:rsid w:val="00F960D1"/>
    <w:rsid w:val="00F96427"/>
    <w:rsid w:val="00F964C6"/>
    <w:rsid w:val="00F969E5"/>
    <w:rsid w:val="00F96CC6"/>
    <w:rsid w:val="00F96EEE"/>
    <w:rsid w:val="00F96EFE"/>
    <w:rsid w:val="00F96F1E"/>
    <w:rsid w:val="00F971FF"/>
    <w:rsid w:val="00F9756F"/>
    <w:rsid w:val="00F9760E"/>
    <w:rsid w:val="00F976C0"/>
    <w:rsid w:val="00F979F4"/>
    <w:rsid w:val="00F97D67"/>
    <w:rsid w:val="00F97DDF"/>
    <w:rsid w:val="00FA00AC"/>
    <w:rsid w:val="00FA00E0"/>
    <w:rsid w:val="00FA0269"/>
    <w:rsid w:val="00FA04E0"/>
    <w:rsid w:val="00FA054F"/>
    <w:rsid w:val="00FA0647"/>
    <w:rsid w:val="00FA06C4"/>
    <w:rsid w:val="00FA06D7"/>
    <w:rsid w:val="00FA0723"/>
    <w:rsid w:val="00FA0888"/>
    <w:rsid w:val="00FA0A67"/>
    <w:rsid w:val="00FA0B0E"/>
    <w:rsid w:val="00FA0B63"/>
    <w:rsid w:val="00FA106E"/>
    <w:rsid w:val="00FA1154"/>
    <w:rsid w:val="00FA12EE"/>
    <w:rsid w:val="00FA14DE"/>
    <w:rsid w:val="00FA1858"/>
    <w:rsid w:val="00FA185A"/>
    <w:rsid w:val="00FA18CB"/>
    <w:rsid w:val="00FA1A6A"/>
    <w:rsid w:val="00FA1ABB"/>
    <w:rsid w:val="00FA1B3F"/>
    <w:rsid w:val="00FA1BFF"/>
    <w:rsid w:val="00FA1D00"/>
    <w:rsid w:val="00FA1D62"/>
    <w:rsid w:val="00FA1DCE"/>
    <w:rsid w:val="00FA1FCD"/>
    <w:rsid w:val="00FA2145"/>
    <w:rsid w:val="00FA237D"/>
    <w:rsid w:val="00FA2632"/>
    <w:rsid w:val="00FA277D"/>
    <w:rsid w:val="00FA29FC"/>
    <w:rsid w:val="00FA2A2B"/>
    <w:rsid w:val="00FA2B5C"/>
    <w:rsid w:val="00FA2BFE"/>
    <w:rsid w:val="00FA34D5"/>
    <w:rsid w:val="00FA354B"/>
    <w:rsid w:val="00FA3D7E"/>
    <w:rsid w:val="00FA4085"/>
    <w:rsid w:val="00FA446D"/>
    <w:rsid w:val="00FA456A"/>
    <w:rsid w:val="00FA457D"/>
    <w:rsid w:val="00FA45F8"/>
    <w:rsid w:val="00FA4666"/>
    <w:rsid w:val="00FA46E3"/>
    <w:rsid w:val="00FA485E"/>
    <w:rsid w:val="00FA488B"/>
    <w:rsid w:val="00FA491D"/>
    <w:rsid w:val="00FA49F6"/>
    <w:rsid w:val="00FA4A76"/>
    <w:rsid w:val="00FA4CBF"/>
    <w:rsid w:val="00FA4F80"/>
    <w:rsid w:val="00FA50E7"/>
    <w:rsid w:val="00FA5152"/>
    <w:rsid w:val="00FA5687"/>
    <w:rsid w:val="00FA5E85"/>
    <w:rsid w:val="00FA5F03"/>
    <w:rsid w:val="00FA5FD3"/>
    <w:rsid w:val="00FA60AE"/>
    <w:rsid w:val="00FA61A7"/>
    <w:rsid w:val="00FA6461"/>
    <w:rsid w:val="00FA6463"/>
    <w:rsid w:val="00FA64CD"/>
    <w:rsid w:val="00FA652C"/>
    <w:rsid w:val="00FA65A4"/>
    <w:rsid w:val="00FA66AC"/>
    <w:rsid w:val="00FA67E7"/>
    <w:rsid w:val="00FA6A48"/>
    <w:rsid w:val="00FA6A69"/>
    <w:rsid w:val="00FA6ACB"/>
    <w:rsid w:val="00FA6ADA"/>
    <w:rsid w:val="00FA6E73"/>
    <w:rsid w:val="00FA6FC2"/>
    <w:rsid w:val="00FA7063"/>
    <w:rsid w:val="00FA71F9"/>
    <w:rsid w:val="00FA72A3"/>
    <w:rsid w:val="00FA72A6"/>
    <w:rsid w:val="00FA736B"/>
    <w:rsid w:val="00FA747D"/>
    <w:rsid w:val="00FA7778"/>
    <w:rsid w:val="00FA77B1"/>
    <w:rsid w:val="00FA7801"/>
    <w:rsid w:val="00FA7A30"/>
    <w:rsid w:val="00FA7C20"/>
    <w:rsid w:val="00FA7FB6"/>
    <w:rsid w:val="00FB00A0"/>
    <w:rsid w:val="00FB00F4"/>
    <w:rsid w:val="00FB01CD"/>
    <w:rsid w:val="00FB0693"/>
    <w:rsid w:val="00FB082A"/>
    <w:rsid w:val="00FB0A77"/>
    <w:rsid w:val="00FB0AC4"/>
    <w:rsid w:val="00FB0C7C"/>
    <w:rsid w:val="00FB0E2C"/>
    <w:rsid w:val="00FB10A5"/>
    <w:rsid w:val="00FB1235"/>
    <w:rsid w:val="00FB162D"/>
    <w:rsid w:val="00FB186D"/>
    <w:rsid w:val="00FB1DD9"/>
    <w:rsid w:val="00FB2020"/>
    <w:rsid w:val="00FB218D"/>
    <w:rsid w:val="00FB21C7"/>
    <w:rsid w:val="00FB2354"/>
    <w:rsid w:val="00FB2411"/>
    <w:rsid w:val="00FB2988"/>
    <w:rsid w:val="00FB2F3C"/>
    <w:rsid w:val="00FB3015"/>
    <w:rsid w:val="00FB3062"/>
    <w:rsid w:val="00FB3100"/>
    <w:rsid w:val="00FB316B"/>
    <w:rsid w:val="00FB34AC"/>
    <w:rsid w:val="00FB36F3"/>
    <w:rsid w:val="00FB3707"/>
    <w:rsid w:val="00FB3729"/>
    <w:rsid w:val="00FB3835"/>
    <w:rsid w:val="00FB3CD9"/>
    <w:rsid w:val="00FB3DFA"/>
    <w:rsid w:val="00FB40B0"/>
    <w:rsid w:val="00FB480E"/>
    <w:rsid w:val="00FB4B00"/>
    <w:rsid w:val="00FB4B52"/>
    <w:rsid w:val="00FB4FF0"/>
    <w:rsid w:val="00FB50DE"/>
    <w:rsid w:val="00FB5178"/>
    <w:rsid w:val="00FB52E2"/>
    <w:rsid w:val="00FB53C5"/>
    <w:rsid w:val="00FB5696"/>
    <w:rsid w:val="00FB56DF"/>
    <w:rsid w:val="00FB59A7"/>
    <w:rsid w:val="00FB5A10"/>
    <w:rsid w:val="00FB5BC7"/>
    <w:rsid w:val="00FB5D3E"/>
    <w:rsid w:val="00FB5DBD"/>
    <w:rsid w:val="00FB624D"/>
    <w:rsid w:val="00FB6519"/>
    <w:rsid w:val="00FB66E3"/>
    <w:rsid w:val="00FB6882"/>
    <w:rsid w:val="00FB6B3D"/>
    <w:rsid w:val="00FB6E29"/>
    <w:rsid w:val="00FB7142"/>
    <w:rsid w:val="00FB71A9"/>
    <w:rsid w:val="00FB7342"/>
    <w:rsid w:val="00FB76C9"/>
    <w:rsid w:val="00FB779E"/>
    <w:rsid w:val="00FB77AE"/>
    <w:rsid w:val="00FB78B9"/>
    <w:rsid w:val="00FB7BAF"/>
    <w:rsid w:val="00FB7E2E"/>
    <w:rsid w:val="00FB7E3F"/>
    <w:rsid w:val="00FC0174"/>
    <w:rsid w:val="00FC02C6"/>
    <w:rsid w:val="00FC0450"/>
    <w:rsid w:val="00FC0541"/>
    <w:rsid w:val="00FC0552"/>
    <w:rsid w:val="00FC05BC"/>
    <w:rsid w:val="00FC07A6"/>
    <w:rsid w:val="00FC0D04"/>
    <w:rsid w:val="00FC0E9B"/>
    <w:rsid w:val="00FC1043"/>
    <w:rsid w:val="00FC123F"/>
    <w:rsid w:val="00FC1283"/>
    <w:rsid w:val="00FC17AD"/>
    <w:rsid w:val="00FC1B0A"/>
    <w:rsid w:val="00FC1B9C"/>
    <w:rsid w:val="00FC1C03"/>
    <w:rsid w:val="00FC1E3B"/>
    <w:rsid w:val="00FC1E8A"/>
    <w:rsid w:val="00FC233E"/>
    <w:rsid w:val="00FC24AE"/>
    <w:rsid w:val="00FC24D6"/>
    <w:rsid w:val="00FC27F8"/>
    <w:rsid w:val="00FC2DBC"/>
    <w:rsid w:val="00FC2E3F"/>
    <w:rsid w:val="00FC2E5D"/>
    <w:rsid w:val="00FC2F62"/>
    <w:rsid w:val="00FC303E"/>
    <w:rsid w:val="00FC3197"/>
    <w:rsid w:val="00FC326D"/>
    <w:rsid w:val="00FC365B"/>
    <w:rsid w:val="00FC3791"/>
    <w:rsid w:val="00FC39E0"/>
    <w:rsid w:val="00FC3B82"/>
    <w:rsid w:val="00FC3BCB"/>
    <w:rsid w:val="00FC3E2A"/>
    <w:rsid w:val="00FC3EDD"/>
    <w:rsid w:val="00FC3F63"/>
    <w:rsid w:val="00FC4290"/>
    <w:rsid w:val="00FC43C1"/>
    <w:rsid w:val="00FC44C3"/>
    <w:rsid w:val="00FC4508"/>
    <w:rsid w:val="00FC4924"/>
    <w:rsid w:val="00FC49DF"/>
    <w:rsid w:val="00FC4B31"/>
    <w:rsid w:val="00FC4DD0"/>
    <w:rsid w:val="00FC4E0C"/>
    <w:rsid w:val="00FC4E86"/>
    <w:rsid w:val="00FC4FF8"/>
    <w:rsid w:val="00FC5247"/>
    <w:rsid w:val="00FC532D"/>
    <w:rsid w:val="00FC5473"/>
    <w:rsid w:val="00FC5503"/>
    <w:rsid w:val="00FC557F"/>
    <w:rsid w:val="00FC5599"/>
    <w:rsid w:val="00FC5756"/>
    <w:rsid w:val="00FC57E4"/>
    <w:rsid w:val="00FC58BD"/>
    <w:rsid w:val="00FC5E04"/>
    <w:rsid w:val="00FC6067"/>
    <w:rsid w:val="00FC617A"/>
    <w:rsid w:val="00FC6460"/>
    <w:rsid w:val="00FC6477"/>
    <w:rsid w:val="00FC6A1B"/>
    <w:rsid w:val="00FC6AC9"/>
    <w:rsid w:val="00FC6C45"/>
    <w:rsid w:val="00FC6E69"/>
    <w:rsid w:val="00FC6F6D"/>
    <w:rsid w:val="00FC70FB"/>
    <w:rsid w:val="00FC727A"/>
    <w:rsid w:val="00FC72FE"/>
    <w:rsid w:val="00FC743B"/>
    <w:rsid w:val="00FC7571"/>
    <w:rsid w:val="00FC7793"/>
    <w:rsid w:val="00FC77C1"/>
    <w:rsid w:val="00FC77F2"/>
    <w:rsid w:val="00FC79EC"/>
    <w:rsid w:val="00FD01B3"/>
    <w:rsid w:val="00FD01D8"/>
    <w:rsid w:val="00FD02C3"/>
    <w:rsid w:val="00FD045B"/>
    <w:rsid w:val="00FD06F8"/>
    <w:rsid w:val="00FD07F4"/>
    <w:rsid w:val="00FD0811"/>
    <w:rsid w:val="00FD08BC"/>
    <w:rsid w:val="00FD0920"/>
    <w:rsid w:val="00FD0946"/>
    <w:rsid w:val="00FD0A1A"/>
    <w:rsid w:val="00FD0BB8"/>
    <w:rsid w:val="00FD0C43"/>
    <w:rsid w:val="00FD0FE7"/>
    <w:rsid w:val="00FD117C"/>
    <w:rsid w:val="00FD16B0"/>
    <w:rsid w:val="00FD1A8C"/>
    <w:rsid w:val="00FD1B44"/>
    <w:rsid w:val="00FD1BD7"/>
    <w:rsid w:val="00FD1C1E"/>
    <w:rsid w:val="00FD1CBA"/>
    <w:rsid w:val="00FD1E02"/>
    <w:rsid w:val="00FD1E32"/>
    <w:rsid w:val="00FD1F81"/>
    <w:rsid w:val="00FD1FD3"/>
    <w:rsid w:val="00FD20D3"/>
    <w:rsid w:val="00FD21D1"/>
    <w:rsid w:val="00FD2314"/>
    <w:rsid w:val="00FD245D"/>
    <w:rsid w:val="00FD2493"/>
    <w:rsid w:val="00FD272A"/>
    <w:rsid w:val="00FD272E"/>
    <w:rsid w:val="00FD279E"/>
    <w:rsid w:val="00FD2A17"/>
    <w:rsid w:val="00FD2F79"/>
    <w:rsid w:val="00FD3018"/>
    <w:rsid w:val="00FD317F"/>
    <w:rsid w:val="00FD33BA"/>
    <w:rsid w:val="00FD353D"/>
    <w:rsid w:val="00FD3768"/>
    <w:rsid w:val="00FD3782"/>
    <w:rsid w:val="00FD39B6"/>
    <w:rsid w:val="00FD3A41"/>
    <w:rsid w:val="00FD3A94"/>
    <w:rsid w:val="00FD3BC3"/>
    <w:rsid w:val="00FD3CC7"/>
    <w:rsid w:val="00FD4141"/>
    <w:rsid w:val="00FD416B"/>
    <w:rsid w:val="00FD41FB"/>
    <w:rsid w:val="00FD42E5"/>
    <w:rsid w:val="00FD4328"/>
    <w:rsid w:val="00FD467F"/>
    <w:rsid w:val="00FD4850"/>
    <w:rsid w:val="00FD48F4"/>
    <w:rsid w:val="00FD4A8E"/>
    <w:rsid w:val="00FD4BC7"/>
    <w:rsid w:val="00FD4C20"/>
    <w:rsid w:val="00FD4D55"/>
    <w:rsid w:val="00FD4E71"/>
    <w:rsid w:val="00FD4E9B"/>
    <w:rsid w:val="00FD4F49"/>
    <w:rsid w:val="00FD506B"/>
    <w:rsid w:val="00FD509A"/>
    <w:rsid w:val="00FD5155"/>
    <w:rsid w:val="00FD55E1"/>
    <w:rsid w:val="00FD5694"/>
    <w:rsid w:val="00FD5B58"/>
    <w:rsid w:val="00FD5C95"/>
    <w:rsid w:val="00FD60F1"/>
    <w:rsid w:val="00FD6295"/>
    <w:rsid w:val="00FD64B9"/>
    <w:rsid w:val="00FD667B"/>
    <w:rsid w:val="00FD6932"/>
    <w:rsid w:val="00FD6A38"/>
    <w:rsid w:val="00FD6BB6"/>
    <w:rsid w:val="00FD6DC8"/>
    <w:rsid w:val="00FD70B9"/>
    <w:rsid w:val="00FD7196"/>
    <w:rsid w:val="00FD720A"/>
    <w:rsid w:val="00FD736B"/>
    <w:rsid w:val="00FD74D9"/>
    <w:rsid w:val="00FD7660"/>
    <w:rsid w:val="00FD797C"/>
    <w:rsid w:val="00FD7BCD"/>
    <w:rsid w:val="00FD7C9D"/>
    <w:rsid w:val="00FD7EE2"/>
    <w:rsid w:val="00FD7EEB"/>
    <w:rsid w:val="00FD7F95"/>
    <w:rsid w:val="00FD7FB5"/>
    <w:rsid w:val="00FE011E"/>
    <w:rsid w:val="00FE02F3"/>
    <w:rsid w:val="00FE0458"/>
    <w:rsid w:val="00FE04B5"/>
    <w:rsid w:val="00FE08B0"/>
    <w:rsid w:val="00FE0A0B"/>
    <w:rsid w:val="00FE0CBF"/>
    <w:rsid w:val="00FE0D3C"/>
    <w:rsid w:val="00FE104B"/>
    <w:rsid w:val="00FE1142"/>
    <w:rsid w:val="00FE1343"/>
    <w:rsid w:val="00FE158B"/>
    <w:rsid w:val="00FE1821"/>
    <w:rsid w:val="00FE194F"/>
    <w:rsid w:val="00FE1B35"/>
    <w:rsid w:val="00FE1B8D"/>
    <w:rsid w:val="00FE1BD7"/>
    <w:rsid w:val="00FE1C62"/>
    <w:rsid w:val="00FE1CE1"/>
    <w:rsid w:val="00FE1FBD"/>
    <w:rsid w:val="00FE2171"/>
    <w:rsid w:val="00FE2287"/>
    <w:rsid w:val="00FE2403"/>
    <w:rsid w:val="00FE27C5"/>
    <w:rsid w:val="00FE2BE4"/>
    <w:rsid w:val="00FE2BFB"/>
    <w:rsid w:val="00FE2F50"/>
    <w:rsid w:val="00FE33D4"/>
    <w:rsid w:val="00FE340D"/>
    <w:rsid w:val="00FE36A0"/>
    <w:rsid w:val="00FE36F7"/>
    <w:rsid w:val="00FE3719"/>
    <w:rsid w:val="00FE379D"/>
    <w:rsid w:val="00FE38CA"/>
    <w:rsid w:val="00FE390D"/>
    <w:rsid w:val="00FE3C3D"/>
    <w:rsid w:val="00FE3DA6"/>
    <w:rsid w:val="00FE3DEE"/>
    <w:rsid w:val="00FE3FAC"/>
    <w:rsid w:val="00FE4004"/>
    <w:rsid w:val="00FE4027"/>
    <w:rsid w:val="00FE4065"/>
    <w:rsid w:val="00FE4299"/>
    <w:rsid w:val="00FE45CD"/>
    <w:rsid w:val="00FE45E0"/>
    <w:rsid w:val="00FE467E"/>
    <w:rsid w:val="00FE46C9"/>
    <w:rsid w:val="00FE479E"/>
    <w:rsid w:val="00FE4B75"/>
    <w:rsid w:val="00FE4C4F"/>
    <w:rsid w:val="00FE4D86"/>
    <w:rsid w:val="00FE4F16"/>
    <w:rsid w:val="00FE51DC"/>
    <w:rsid w:val="00FE522D"/>
    <w:rsid w:val="00FE53DE"/>
    <w:rsid w:val="00FE54F9"/>
    <w:rsid w:val="00FE556C"/>
    <w:rsid w:val="00FE55C6"/>
    <w:rsid w:val="00FE5B33"/>
    <w:rsid w:val="00FE5C70"/>
    <w:rsid w:val="00FE5DA6"/>
    <w:rsid w:val="00FE60A4"/>
    <w:rsid w:val="00FE619A"/>
    <w:rsid w:val="00FE62BD"/>
    <w:rsid w:val="00FE6630"/>
    <w:rsid w:val="00FE671D"/>
    <w:rsid w:val="00FE6978"/>
    <w:rsid w:val="00FE69C4"/>
    <w:rsid w:val="00FE69CC"/>
    <w:rsid w:val="00FE6BB3"/>
    <w:rsid w:val="00FE6E7D"/>
    <w:rsid w:val="00FE705C"/>
    <w:rsid w:val="00FE70D3"/>
    <w:rsid w:val="00FE71D3"/>
    <w:rsid w:val="00FE71DD"/>
    <w:rsid w:val="00FE7253"/>
    <w:rsid w:val="00FE75C3"/>
    <w:rsid w:val="00FE775E"/>
    <w:rsid w:val="00FE7968"/>
    <w:rsid w:val="00FE7B98"/>
    <w:rsid w:val="00FE7B9E"/>
    <w:rsid w:val="00FE7BF6"/>
    <w:rsid w:val="00FE7CFB"/>
    <w:rsid w:val="00FF0023"/>
    <w:rsid w:val="00FF042B"/>
    <w:rsid w:val="00FF048E"/>
    <w:rsid w:val="00FF061B"/>
    <w:rsid w:val="00FF069E"/>
    <w:rsid w:val="00FF0794"/>
    <w:rsid w:val="00FF08AA"/>
    <w:rsid w:val="00FF091B"/>
    <w:rsid w:val="00FF0971"/>
    <w:rsid w:val="00FF0B74"/>
    <w:rsid w:val="00FF0EFC"/>
    <w:rsid w:val="00FF1116"/>
    <w:rsid w:val="00FF2238"/>
    <w:rsid w:val="00FF2275"/>
    <w:rsid w:val="00FF2666"/>
    <w:rsid w:val="00FF270D"/>
    <w:rsid w:val="00FF2AE5"/>
    <w:rsid w:val="00FF2E93"/>
    <w:rsid w:val="00FF2FF1"/>
    <w:rsid w:val="00FF309C"/>
    <w:rsid w:val="00FF3118"/>
    <w:rsid w:val="00FF3152"/>
    <w:rsid w:val="00FF329E"/>
    <w:rsid w:val="00FF3325"/>
    <w:rsid w:val="00FF3449"/>
    <w:rsid w:val="00FF391F"/>
    <w:rsid w:val="00FF39BB"/>
    <w:rsid w:val="00FF3A5F"/>
    <w:rsid w:val="00FF3BE7"/>
    <w:rsid w:val="00FF3C9A"/>
    <w:rsid w:val="00FF4106"/>
    <w:rsid w:val="00FF4225"/>
    <w:rsid w:val="00FF42B3"/>
    <w:rsid w:val="00FF434F"/>
    <w:rsid w:val="00FF4464"/>
    <w:rsid w:val="00FF46F8"/>
    <w:rsid w:val="00FF485B"/>
    <w:rsid w:val="00FF48DB"/>
    <w:rsid w:val="00FF4A16"/>
    <w:rsid w:val="00FF4A7C"/>
    <w:rsid w:val="00FF4AE2"/>
    <w:rsid w:val="00FF4BFC"/>
    <w:rsid w:val="00FF4C0B"/>
    <w:rsid w:val="00FF4D09"/>
    <w:rsid w:val="00FF4DA6"/>
    <w:rsid w:val="00FF5057"/>
    <w:rsid w:val="00FF5323"/>
    <w:rsid w:val="00FF5383"/>
    <w:rsid w:val="00FF5454"/>
    <w:rsid w:val="00FF548C"/>
    <w:rsid w:val="00FF55A3"/>
    <w:rsid w:val="00FF56F7"/>
    <w:rsid w:val="00FF5781"/>
    <w:rsid w:val="00FF5A2B"/>
    <w:rsid w:val="00FF5AD0"/>
    <w:rsid w:val="00FF5B7D"/>
    <w:rsid w:val="00FF5C40"/>
    <w:rsid w:val="00FF5C75"/>
    <w:rsid w:val="00FF5FCB"/>
    <w:rsid w:val="00FF60E3"/>
    <w:rsid w:val="00FF62DE"/>
    <w:rsid w:val="00FF6535"/>
    <w:rsid w:val="00FF6A05"/>
    <w:rsid w:val="00FF6B71"/>
    <w:rsid w:val="00FF6D10"/>
    <w:rsid w:val="00FF6E45"/>
    <w:rsid w:val="00FF6F19"/>
    <w:rsid w:val="00FF7054"/>
    <w:rsid w:val="00FF71B9"/>
    <w:rsid w:val="00FF723B"/>
    <w:rsid w:val="00FF7266"/>
    <w:rsid w:val="00FF7270"/>
    <w:rsid w:val="00FF727D"/>
    <w:rsid w:val="00FF7339"/>
    <w:rsid w:val="00FF73B8"/>
    <w:rsid w:val="00FF7770"/>
    <w:rsid w:val="00FF777A"/>
    <w:rsid w:val="00FF7794"/>
    <w:rsid w:val="00FF7A9E"/>
    <w:rsid w:val="00FF7AD3"/>
    <w:rsid w:val="00FF7BAD"/>
    <w:rsid w:val="00FF7C5C"/>
    <w:rsid w:val="00FF7E4B"/>
    <w:rsid w:val="0103C140"/>
    <w:rsid w:val="010E0D0C"/>
    <w:rsid w:val="011E916A"/>
    <w:rsid w:val="01228373"/>
    <w:rsid w:val="0122F0DF"/>
    <w:rsid w:val="01373FDE"/>
    <w:rsid w:val="013B288D"/>
    <w:rsid w:val="01452A0F"/>
    <w:rsid w:val="014B72B0"/>
    <w:rsid w:val="014E357D"/>
    <w:rsid w:val="014F7684"/>
    <w:rsid w:val="015413DB"/>
    <w:rsid w:val="01595D63"/>
    <w:rsid w:val="015AD7B3"/>
    <w:rsid w:val="015EEC4C"/>
    <w:rsid w:val="015FFFAE"/>
    <w:rsid w:val="0163F8CD"/>
    <w:rsid w:val="016E64B0"/>
    <w:rsid w:val="016FAEEC"/>
    <w:rsid w:val="01771C2D"/>
    <w:rsid w:val="017AFA12"/>
    <w:rsid w:val="017F1494"/>
    <w:rsid w:val="018663D8"/>
    <w:rsid w:val="018A5E15"/>
    <w:rsid w:val="0191016B"/>
    <w:rsid w:val="0192E462"/>
    <w:rsid w:val="01A22853"/>
    <w:rsid w:val="01A2D1BC"/>
    <w:rsid w:val="01A31BCA"/>
    <w:rsid w:val="01A31ED2"/>
    <w:rsid w:val="01A54FF6"/>
    <w:rsid w:val="01A764D2"/>
    <w:rsid w:val="01AA9562"/>
    <w:rsid w:val="01AAABFC"/>
    <w:rsid w:val="01AD61D3"/>
    <w:rsid w:val="01C2BADF"/>
    <w:rsid w:val="01D8BB39"/>
    <w:rsid w:val="01DD2A35"/>
    <w:rsid w:val="01DD5F1E"/>
    <w:rsid w:val="01E376BB"/>
    <w:rsid w:val="01E5E54C"/>
    <w:rsid w:val="01EC7DE7"/>
    <w:rsid w:val="01FA94C5"/>
    <w:rsid w:val="0201A660"/>
    <w:rsid w:val="0204B8AE"/>
    <w:rsid w:val="02062940"/>
    <w:rsid w:val="02097B7D"/>
    <w:rsid w:val="02215B32"/>
    <w:rsid w:val="0228AC29"/>
    <w:rsid w:val="022B4936"/>
    <w:rsid w:val="0237C9E8"/>
    <w:rsid w:val="024DEC8E"/>
    <w:rsid w:val="0257E434"/>
    <w:rsid w:val="0258B920"/>
    <w:rsid w:val="0261C0EC"/>
    <w:rsid w:val="026291F1"/>
    <w:rsid w:val="02630177"/>
    <w:rsid w:val="0273B1DA"/>
    <w:rsid w:val="02773C9F"/>
    <w:rsid w:val="0278B67A"/>
    <w:rsid w:val="02796D11"/>
    <w:rsid w:val="027CB385"/>
    <w:rsid w:val="0286EF36"/>
    <w:rsid w:val="029F07E7"/>
    <w:rsid w:val="02ACC780"/>
    <w:rsid w:val="02AF5761"/>
    <w:rsid w:val="02B942BA"/>
    <w:rsid w:val="02BA87B5"/>
    <w:rsid w:val="02BD5A5F"/>
    <w:rsid w:val="02C5D3D5"/>
    <w:rsid w:val="03003C33"/>
    <w:rsid w:val="03093E76"/>
    <w:rsid w:val="030C8156"/>
    <w:rsid w:val="030E174F"/>
    <w:rsid w:val="03109315"/>
    <w:rsid w:val="03125A5A"/>
    <w:rsid w:val="0325AC08"/>
    <w:rsid w:val="03468573"/>
    <w:rsid w:val="034A693D"/>
    <w:rsid w:val="034EB7BF"/>
    <w:rsid w:val="035A5395"/>
    <w:rsid w:val="037480EA"/>
    <w:rsid w:val="03870B20"/>
    <w:rsid w:val="0388E60F"/>
    <w:rsid w:val="038CFD51"/>
    <w:rsid w:val="038D9649"/>
    <w:rsid w:val="03A829E0"/>
    <w:rsid w:val="03AB7622"/>
    <w:rsid w:val="03AF2ACF"/>
    <w:rsid w:val="03BDFA4C"/>
    <w:rsid w:val="03C81E34"/>
    <w:rsid w:val="03DD08BB"/>
    <w:rsid w:val="03E77B15"/>
    <w:rsid w:val="03E8951B"/>
    <w:rsid w:val="03E95594"/>
    <w:rsid w:val="03EA63F0"/>
    <w:rsid w:val="03ECA1BE"/>
    <w:rsid w:val="040A2592"/>
    <w:rsid w:val="0412E901"/>
    <w:rsid w:val="04144933"/>
    <w:rsid w:val="041A19B8"/>
    <w:rsid w:val="041D2423"/>
    <w:rsid w:val="04224D35"/>
    <w:rsid w:val="04237463"/>
    <w:rsid w:val="04273A54"/>
    <w:rsid w:val="042B7469"/>
    <w:rsid w:val="0430DCDF"/>
    <w:rsid w:val="0432866B"/>
    <w:rsid w:val="0433BFDB"/>
    <w:rsid w:val="04384241"/>
    <w:rsid w:val="0438EDC6"/>
    <w:rsid w:val="043BD1E3"/>
    <w:rsid w:val="043C0EFA"/>
    <w:rsid w:val="043FEA4C"/>
    <w:rsid w:val="04411EB4"/>
    <w:rsid w:val="04442872"/>
    <w:rsid w:val="0454D19A"/>
    <w:rsid w:val="045A8678"/>
    <w:rsid w:val="045D3380"/>
    <w:rsid w:val="046F07A6"/>
    <w:rsid w:val="047730F0"/>
    <w:rsid w:val="047F7C2C"/>
    <w:rsid w:val="0481F204"/>
    <w:rsid w:val="04825FE0"/>
    <w:rsid w:val="0496BFCB"/>
    <w:rsid w:val="04A151F4"/>
    <w:rsid w:val="04A37D09"/>
    <w:rsid w:val="04A73F80"/>
    <w:rsid w:val="04C033C3"/>
    <w:rsid w:val="04C2EF40"/>
    <w:rsid w:val="04CAEB17"/>
    <w:rsid w:val="04CD42E9"/>
    <w:rsid w:val="04E21D81"/>
    <w:rsid w:val="04E56839"/>
    <w:rsid w:val="04EA1FC1"/>
    <w:rsid w:val="04F467BC"/>
    <w:rsid w:val="04FAEC3B"/>
    <w:rsid w:val="050650B2"/>
    <w:rsid w:val="051535FE"/>
    <w:rsid w:val="05278FAC"/>
    <w:rsid w:val="052C6D54"/>
    <w:rsid w:val="0549528A"/>
    <w:rsid w:val="054EBE74"/>
    <w:rsid w:val="055C7BB4"/>
    <w:rsid w:val="05661045"/>
    <w:rsid w:val="056AC0E5"/>
    <w:rsid w:val="056C7889"/>
    <w:rsid w:val="057225DA"/>
    <w:rsid w:val="058BF6D4"/>
    <w:rsid w:val="0591FCE9"/>
    <w:rsid w:val="05936775"/>
    <w:rsid w:val="05A14C0F"/>
    <w:rsid w:val="05AE17FE"/>
    <w:rsid w:val="05B092F8"/>
    <w:rsid w:val="05B0C173"/>
    <w:rsid w:val="05C0AAC3"/>
    <w:rsid w:val="05C1B60A"/>
    <w:rsid w:val="05CAD4A5"/>
    <w:rsid w:val="05CB0477"/>
    <w:rsid w:val="05CC0C69"/>
    <w:rsid w:val="05CD2570"/>
    <w:rsid w:val="05D3A8EE"/>
    <w:rsid w:val="05E1F987"/>
    <w:rsid w:val="05E3C422"/>
    <w:rsid w:val="05E5A5E9"/>
    <w:rsid w:val="060648E6"/>
    <w:rsid w:val="060869E5"/>
    <w:rsid w:val="060F377A"/>
    <w:rsid w:val="060F68DE"/>
    <w:rsid w:val="0611BF96"/>
    <w:rsid w:val="06171850"/>
    <w:rsid w:val="0620D03F"/>
    <w:rsid w:val="0625D1C5"/>
    <w:rsid w:val="063D1D33"/>
    <w:rsid w:val="06420CD7"/>
    <w:rsid w:val="06440CDA"/>
    <w:rsid w:val="0646D539"/>
    <w:rsid w:val="06482E2D"/>
    <w:rsid w:val="064C49E3"/>
    <w:rsid w:val="064D3F92"/>
    <w:rsid w:val="064DD412"/>
    <w:rsid w:val="06501743"/>
    <w:rsid w:val="0652EC13"/>
    <w:rsid w:val="06590EC3"/>
    <w:rsid w:val="0666C215"/>
    <w:rsid w:val="0668F5E7"/>
    <w:rsid w:val="066BFD3E"/>
    <w:rsid w:val="067399B2"/>
    <w:rsid w:val="0676874A"/>
    <w:rsid w:val="068C0384"/>
    <w:rsid w:val="068E9A10"/>
    <w:rsid w:val="0693100E"/>
    <w:rsid w:val="06936E5C"/>
    <w:rsid w:val="0699FA06"/>
    <w:rsid w:val="06A4378A"/>
    <w:rsid w:val="06A77AA9"/>
    <w:rsid w:val="06A8853F"/>
    <w:rsid w:val="06B217AE"/>
    <w:rsid w:val="06B7C78B"/>
    <w:rsid w:val="06C78647"/>
    <w:rsid w:val="06CA2B10"/>
    <w:rsid w:val="06D48B7E"/>
    <w:rsid w:val="06E3F7B7"/>
    <w:rsid w:val="06F80A63"/>
    <w:rsid w:val="07039574"/>
    <w:rsid w:val="070648EE"/>
    <w:rsid w:val="070DF50C"/>
    <w:rsid w:val="07101C90"/>
    <w:rsid w:val="07118861"/>
    <w:rsid w:val="0720F8B2"/>
    <w:rsid w:val="0727F16A"/>
    <w:rsid w:val="072CEC66"/>
    <w:rsid w:val="07364415"/>
    <w:rsid w:val="07372122"/>
    <w:rsid w:val="073DA22F"/>
    <w:rsid w:val="073E5B0D"/>
    <w:rsid w:val="07494F2A"/>
    <w:rsid w:val="074EB0CB"/>
    <w:rsid w:val="0762ED0A"/>
    <w:rsid w:val="0769EACE"/>
    <w:rsid w:val="076C76EA"/>
    <w:rsid w:val="07AD864E"/>
    <w:rsid w:val="07ADE3E7"/>
    <w:rsid w:val="07B07218"/>
    <w:rsid w:val="07B70420"/>
    <w:rsid w:val="07C59347"/>
    <w:rsid w:val="07C787CC"/>
    <w:rsid w:val="07CAF114"/>
    <w:rsid w:val="07DF3867"/>
    <w:rsid w:val="07FD7707"/>
    <w:rsid w:val="08056551"/>
    <w:rsid w:val="080652C5"/>
    <w:rsid w:val="0825AF9B"/>
    <w:rsid w:val="08276F7D"/>
    <w:rsid w:val="0828FDEE"/>
    <w:rsid w:val="08305231"/>
    <w:rsid w:val="0835037A"/>
    <w:rsid w:val="0837C21F"/>
    <w:rsid w:val="0837F2FC"/>
    <w:rsid w:val="083C1D7F"/>
    <w:rsid w:val="083D9F0C"/>
    <w:rsid w:val="0842B279"/>
    <w:rsid w:val="0852895D"/>
    <w:rsid w:val="0852C538"/>
    <w:rsid w:val="085E6272"/>
    <w:rsid w:val="086EB853"/>
    <w:rsid w:val="08718035"/>
    <w:rsid w:val="0875C101"/>
    <w:rsid w:val="088E9558"/>
    <w:rsid w:val="0897118F"/>
    <w:rsid w:val="089A950E"/>
    <w:rsid w:val="089E1EFA"/>
    <w:rsid w:val="089F8100"/>
    <w:rsid w:val="08A1795E"/>
    <w:rsid w:val="08A908AD"/>
    <w:rsid w:val="08AB5523"/>
    <w:rsid w:val="08AFC54D"/>
    <w:rsid w:val="08B4B86C"/>
    <w:rsid w:val="08B70EDC"/>
    <w:rsid w:val="08CDBF61"/>
    <w:rsid w:val="08D06549"/>
    <w:rsid w:val="08D06DA0"/>
    <w:rsid w:val="08D4815C"/>
    <w:rsid w:val="08D78FC7"/>
    <w:rsid w:val="08DB073D"/>
    <w:rsid w:val="08F00E4B"/>
    <w:rsid w:val="08F27A0B"/>
    <w:rsid w:val="08F73FF4"/>
    <w:rsid w:val="08F894FB"/>
    <w:rsid w:val="08FA1865"/>
    <w:rsid w:val="09002BB3"/>
    <w:rsid w:val="0904AD1E"/>
    <w:rsid w:val="0912ADF5"/>
    <w:rsid w:val="091483C7"/>
    <w:rsid w:val="09154162"/>
    <w:rsid w:val="09189653"/>
    <w:rsid w:val="092D7574"/>
    <w:rsid w:val="0931EE32"/>
    <w:rsid w:val="09374882"/>
    <w:rsid w:val="094B3D38"/>
    <w:rsid w:val="0962313F"/>
    <w:rsid w:val="0967C25F"/>
    <w:rsid w:val="0975753E"/>
    <w:rsid w:val="0991EAB9"/>
    <w:rsid w:val="099BB68B"/>
    <w:rsid w:val="09ABAC54"/>
    <w:rsid w:val="09ABCA1D"/>
    <w:rsid w:val="09AE5AC6"/>
    <w:rsid w:val="09B1476B"/>
    <w:rsid w:val="09BC046B"/>
    <w:rsid w:val="09C45971"/>
    <w:rsid w:val="09C7EBD6"/>
    <w:rsid w:val="09C99F20"/>
    <w:rsid w:val="09D73898"/>
    <w:rsid w:val="09ED3C0C"/>
    <w:rsid w:val="09EFCA86"/>
    <w:rsid w:val="09F10B54"/>
    <w:rsid w:val="09F5054B"/>
    <w:rsid w:val="09FA2D41"/>
    <w:rsid w:val="09FCB0FB"/>
    <w:rsid w:val="0A05512C"/>
    <w:rsid w:val="0A0DA14A"/>
    <w:rsid w:val="0A17F202"/>
    <w:rsid w:val="0A23FD34"/>
    <w:rsid w:val="0A284B7D"/>
    <w:rsid w:val="0A2B3E9A"/>
    <w:rsid w:val="0A2D9ACF"/>
    <w:rsid w:val="0A30F96E"/>
    <w:rsid w:val="0A4284E8"/>
    <w:rsid w:val="0A519AF4"/>
    <w:rsid w:val="0A51B0B8"/>
    <w:rsid w:val="0A555C26"/>
    <w:rsid w:val="0A6708D8"/>
    <w:rsid w:val="0A68AA96"/>
    <w:rsid w:val="0A6AE771"/>
    <w:rsid w:val="0A82C9A2"/>
    <w:rsid w:val="0A84B9BE"/>
    <w:rsid w:val="0A89B33F"/>
    <w:rsid w:val="0A8A1F77"/>
    <w:rsid w:val="0A8A4484"/>
    <w:rsid w:val="0A8AC200"/>
    <w:rsid w:val="0A9BD5A2"/>
    <w:rsid w:val="0AA09EF1"/>
    <w:rsid w:val="0AA53CE3"/>
    <w:rsid w:val="0AA731D5"/>
    <w:rsid w:val="0AAB7CAA"/>
    <w:rsid w:val="0AABA3E2"/>
    <w:rsid w:val="0AABD4D8"/>
    <w:rsid w:val="0AAE6969"/>
    <w:rsid w:val="0AB2D8F9"/>
    <w:rsid w:val="0AB8940B"/>
    <w:rsid w:val="0AB929F0"/>
    <w:rsid w:val="0ABD69B7"/>
    <w:rsid w:val="0AC849BD"/>
    <w:rsid w:val="0ACD6C3D"/>
    <w:rsid w:val="0AD43222"/>
    <w:rsid w:val="0AD5B152"/>
    <w:rsid w:val="0AEC7BA9"/>
    <w:rsid w:val="0AFF44CD"/>
    <w:rsid w:val="0B010D96"/>
    <w:rsid w:val="0B018610"/>
    <w:rsid w:val="0B03106D"/>
    <w:rsid w:val="0B1712D0"/>
    <w:rsid w:val="0B1851A5"/>
    <w:rsid w:val="0B2DD982"/>
    <w:rsid w:val="0B35D378"/>
    <w:rsid w:val="0B3D51A7"/>
    <w:rsid w:val="0B5E701B"/>
    <w:rsid w:val="0B69D14D"/>
    <w:rsid w:val="0B6D9D39"/>
    <w:rsid w:val="0B6E2733"/>
    <w:rsid w:val="0B7725DF"/>
    <w:rsid w:val="0B8CBF0C"/>
    <w:rsid w:val="0B93137E"/>
    <w:rsid w:val="0B9CF812"/>
    <w:rsid w:val="0BA41F4C"/>
    <w:rsid w:val="0BA4CC0D"/>
    <w:rsid w:val="0BAF29F6"/>
    <w:rsid w:val="0BAFF173"/>
    <w:rsid w:val="0BD4FDDD"/>
    <w:rsid w:val="0BDC5785"/>
    <w:rsid w:val="0BEC6C2E"/>
    <w:rsid w:val="0C025C01"/>
    <w:rsid w:val="0C0AE7DA"/>
    <w:rsid w:val="0C132E45"/>
    <w:rsid w:val="0C170D2C"/>
    <w:rsid w:val="0C1BC13F"/>
    <w:rsid w:val="0C27B9D4"/>
    <w:rsid w:val="0C3EB8AE"/>
    <w:rsid w:val="0C41FB48"/>
    <w:rsid w:val="0C464F1D"/>
    <w:rsid w:val="0C475BC9"/>
    <w:rsid w:val="0C5021CF"/>
    <w:rsid w:val="0C5DDF27"/>
    <w:rsid w:val="0C600240"/>
    <w:rsid w:val="0C635CB3"/>
    <w:rsid w:val="0C6D0318"/>
    <w:rsid w:val="0C799813"/>
    <w:rsid w:val="0C7B0658"/>
    <w:rsid w:val="0C7D86C2"/>
    <w:rsid w:val="0C7F466C"/>
    <w:rsid w:val="0C80FABE"/>
    <w:rsid w:val="0C810295"/>
    <w:rsid w:val="0C8D3FCA"/>
    <w:rsid w:val="0C9612AD"/>
    <w:rsid w:val="0C9BD757"/>
    <w:rsid w:val="0C9CA32D"/>
    <w:rsid w:val="0CA0831A"/>
    <w:rsid w:val="0CA68431"/>
    <w:rsid w:val="0CB24449"/>
    <w:rsid w:val="0CB2E1D7"/>
    <w:rsid w:val="0CB37138"/>
    <w:rsid w:val="0CB5FC95"/>
    <w:rsid w:val="0CC82660"/>
    <w:rsid w:val="0CD309C3"/>
    <w:rsid w:val="0CD5CC2A"/>
    <w:rsid w:val="0CE0FF7B"/>
    <w:rsid w:val="0CE2DA23"/>
    <w:rsid w:val="0CE643AA"/>
    <w:rsid w:val="0CE68228"/>
    <w:rsid w:val="0CEEA2E8"/>
    <w:rsid w:val="0CEF4EB3"/>
    <w:rsid w:val="0CF7BFE1"/>
    <w:rsid w:val="0CF86BF0"/>
    <w:rsid w:val="0CFACE7D"/>
    <w:rsid w:val="0D00BD4E"/>
    <w:rsid w:val="0D0CD53A"/>
    <w:rsid w:val="0D256C3A"/>
    <w:rsid w:val="0D2D0D0F"/>
    <w:rsid w:val="0D2EDD37"/>
    <w:rsid w:val="0D37D7D4"/>
    <w:rsid w:val="0D422F2E"/>
    <w:rsid w:val="0D48F4AB"/>
    <w:rsid w:val="0D4D66A0"/>
    <w:rsid w:val="0D52DBD7"/>
    <w:rsid w:val="0D63308E"/>
    <w:rsid w:val="0D723050"/>
    <w:rsid w:val="0D72B57B"/>
    <w:rsid w:val="0D75EC92"/>
    <w:rsid w:val="0D7C2495"/>
    <w:rsid w:val="0D945AFD"/>
    <w:rsid w:val="0D9DF956"/>
    <w:rsid w:val="0DBB792A"/>
    <w:rsid w:val="0DC9BBD5"/>
    <w:rsid w:val="0DD4D713"/>
    <w:rsid w:val="0DE008FE"/>
    <w:rsid w:val="0DE2E247"/>
    <w:rsid w:val="0DE7750B"/>
    <w:rsid w:val="0DF11D02"/>
    <w:rsid w:val="0E012B5F"/>
    <w:rsid w:val="0E049055"/>
    <w:rsid w:val="0E1184E9"/>
    <w:rsid w:val="0E12730B"/>
    <w:rsid w:val="0E13775D"/>
    <w:rsid w:val="0E184BE8"/>
    <w:rsid w:val="0E1AF5FF"/>
    <w:rsid w:val="0E1B508C"/>
    <w:rsid w:val="0E221146"/>
    <w:rsid w:val="0E28CFE6"/>
    <w:rsid w:val="0E31886B"/>
    <w:rsid w:val="0E35417C"/>
    <w:rsid w:val="0E3AF398"/>
    <w:rsid w:val="0E42DDDF"/>
    <w:rsid w:val="0E664324"/>
    <w:rsid w:val="0E77EA66"/>
    <w:rsid w:val="0E791091"/>
    <w:rsid w:val="0E85460B"/>
    <w:rsid w:val="0E875EA7"/>
    <w:rsid w:val="0E9A1001"/>
    <w:rsid w:val="0EA0BAE9"/>
    <w:rsid w:val="0EAD25B7"/>
    <w:rsid w:val="0EB57ECC"/>
    <w:rsid w:val="0EB78F65"/>
    <w:rsid w:val="0EB8600C"/>
    <w:rsid w:val="0EBF34E2"/>
    <w:rsid w:val="0EC1C009"/>
    <w:rsid w:val="0EC1E847"/>
    <w:rsid w:val="0EDEAD51"/>
    <w:rsid w:val="0EE20C0C"/>
    <w:rsid w:val="0EE3548C"/>
    <w:rsid w:val="0EE96498"/>
    <w:rsid w:val="0EF09641"/>
    <w:rsid w:val="0EF1A506"/>
    <w:rsid w:val="0EF89712"/>
    <w:rsid w:val="0EFCDC35"/>
    <w:rsid w:val="0F029F32"/>
    <w:rsid w:val="0F169C96"/>
    <w:rsid w:val="0F17D8F1"/>
    <w:rsid w:val="0F1E0BE0"/>
    <w:rsid w:val="0F26FA04"/>
    <w:rsid w:val="0F35C757"/>
    <w:rsid w:val="0F3FE73A"/>
    <w:rsid w:val="0F42BC55"/>
    <w:rsid w:val="0F4E9043"/>
    <w:rsid w:val="0F538BA9"/>
    <w:rsid w:val="0F545611"/>
    <w:rsid w:val="0F557A1A"/>
    <w:rsid w:val="0F5FC81C"/>
    <w:rsid w:val="0F683C69"/>
    <w:rsid w:val="0F6B4A0F"/>
    <w:rsid w:val="0F6CBB10"/>
    <w:rsid w:val="0F77EEFC"/>
    <w:rsid w:val="0F7BC133"/>
    <w:rsid w:val="0F7CB027"/>
    <w:rsid w:val="0F8AFF3D"/>
    <w:rsid w:val="0FA8B066"/>
    <w:rsid w:val="0FBF3520"/>
    <w:rsid w:val="0FBF743B"/>
    <w:rsid w:val="0FCB2936"/>
    <w:rsid w:val="0FCFFBE0"/>
    <w:rsid w:val="0FD1AD83"/>
    <w:rsid w:val="0FDE1E8A"/>
    <w:rsid w:val="0FE3D286"/>
    <w:rsid w:val="0FE81ADE"/>
    <w:rsid w:val="0FED2C56"/>
    <w:rsid w:val="0FED9E3E"/>
    <w:rsid w:val="0FF2B948"/>
    <w:rsid w:val="0FFBE581"/>
    <w:rsid w:val="10060341"/>
    <w:rsid w:val="1012D781"/>
    <w:rsid w:val="10182B14"/>
    <w:rsid w:val="101935B0"/>
    <w:rsid w:val="101AD707"/>
    <w:rsid w:val="101C6D63"/>
    <w:rsid w:val="101FFF55"/>
    <w:rsid w:val="1021D252"/>
    <w:rsid w:val="102288F7"/>
    <w:rsid w:val="102399B6"/>
    <w:rsid w:val="10342CF9"/>
    <w:rsid w:val="1049817E"/>
    <w:rsid w:val="104A0962"/>
    <w:rsid w:val="104B7392"/>
    <w:rsid w:val="10596538"/>
    <w:rsid w:val="10645FD5"/>
    <w:rsid w:val="106609C0"/>
    <w:rsid w:val="106DE70C"/>
    <w:rsid w:val="10717E88"/>
    <w:rsid w:val="10740040"/>
    <w:rsid w:val="1075356E"/>
    <w:rsid w:val="107CD5B6"/>
    <w:rsid w:val="1083E7EB"/>
    <w:rsid w:val="10853CF6"/>
    <w:rsid w:val="108ECC9B"/>
    <w:rsid w:val="109E40A2"/>
    <w:rsid w:val="10AAE666"/>
    <w:rsid w:val="10C1387A"/>
    <w:rsid w:val="10C2C06B"/>
    <w:rsid w:val="10D6EAE0"/>
    <w:rsid w:val="10DAECE4"/>
    <w:rsid w:val="10DB2ED1"/>
    <w:rsid w:val="10EE30DB"/>
    <w:rsid w:val="1105F46E"/>
    <w:rsid w:val="11062C4D"/>
    <w:rsid w:val="1109676C"/>
    <w:rsid w:val="11120529"/>
    <w:rsid w:val="1121969E"/>
    <w:rsid w:val="11236CBB"/>
    <w:rsid w:val="112C6DDA"/>
    <w:rsid w:val="114C2F8D"/>
    <w:rsid w:val="115304C9"/>
    <w:rsid w:val="11584993"/>
    <w:rsid w:val="116AB155"/>
    <w:rsid w:val="116E1D5E"/>
    <w:rsid w:val="117C0B7B"/>
    <w:rsid w:val="1185A969"/>
    <w:rsid w:val="118A730F"/>
    <w:rsid w:val="11989E9C"/>
    <w:rsid w:val="119A71D5"/>
    <w:rsid w:val="11A8B210"/>
    <w:rsid w:val="11A9D170"/>
    <w:rsid w:val="11AEF81F"/>
    <w:rsid w:val="11B1954D"/>
    <w:rsid w:val="11C186CE"/>
    <w:rsid w:val="11C1E6C0"/>
    <w:rsid w:val="11C71BAD"/>
    <w:rsid w:val="11CD1B3A"/>
    <w:rsid w:val="11D14B87"/>
    <w:rsid w:val="11D4D431"/>
    <w:rsid w:val="11E2CFC7"/>
    <w:rsid w:val="11EA8624"/>
    <w:rsid w:val="11EB1A93"/>
    <w:rsid w:val="11F3F1CA"/>
    <w:rsid w:val="11F7C2B2"/>
    <w:rsid w:val="11FD1C0A"/>
    <w:rsid w:val="1202C86C"/>
    <w:rsid w:val="1202D582"/>
    <w:rsid w:val="1208840C"/>
    <w:rsid w:val="12089730"/>
    <w:rsid w:val="1210A14C"/>
    <w:rsid w:val="12160B3A"/>
    <w:rsid w:val="12166DC8"/>
    <w:rsid w:val="12184486"/>
    <w:rsid w:val="1221EA14"/>
    <w:rsid w:val="123285AB"/>
    <w:rsid w:val="12362FF9"/>
    <w:rsid w:val="123BA661"/>
    <w:rsid w:val="12421714"/>
    <w:rsid w:val="124B89E1"/>
    <w:rsid w:val="125141EB"/>
    <w:rsid w:val="12779E5D"/>
    <w:rsid w:val="127A66B6"/>
    <w:rsid w:val="127E00FD"/>
    <w:rsid w:val="128C9B8B"/>
    <w:rsid w:val="12932816"/>
    <w:rsid w:val="1293AA89"/>
    <w:rsid w:val="129EAEA1"/>
    <w:rsid w:val="129FC9B0"/>
    <w:rsid w:val="12A69AAD"/>
    <w:rsid w:val="12B8A20C"/>
    <w:rsid w:val="12C80184"/>
    <w:rsid w:val="12CCB1A2"/>
    <w:rsid w:val="12DB3195"/>
    <w:rsid w:val="12E9A644"/>
    <w:rsid w:val="12EDAD04"/>
    <w:rsid w:val="12F0FB8A"/>
    <w:rsid w:val="12F53D8E"/>
    <w:rsid w:val="12FFEC01"/>
    <w:rsid w:val="130F233F"/>
    <w:rsid w:val="1320ACB9"/>
    <w:rsid w:val="132F21A7"/>
    <w:rsid w:val="1349A4F9"/>
    <w:rsid w:val="13504274"/>
    <w:rsid w:val="135272FB"/>
    <w:rsid w:val="1352F4B9"/>
    <w:rsid w:val="135EBBDB"/>
    <w:rsid w:val="1373BC92"/>
    <w:rsid w:val="1375BC0E"/>
    <w:rsid w:val="13819FE6"/>
    <w:rsid w:val="138605DF"/>
    <w:rsid w:val="13869319"/>
    <w:rsid w:val="1389FDED"/>
    <w:rsid w:val="139378DC"/>
    <w:rsid w:val="13A2B879"/>
    <w:rsid w:val="13AB0E72"/>
    <w:rsid w:val="13AE21A2"/>
    <w:rsid w:val="13B7F867"/>
    <w:rsid w:val="13B8B85E"/>
    <w:rsid w:val="13CD37CC"/>
    <w:rsid w:val="13CEF61B"/>
    <w:rsid w:val="13D340FF"/>
    <w:rsid w:val="13D4BFEB"/>
    <w:rsid w:val="13DA5EC6"/>
    <w:rsid w:val="13E746E8"/>
    <w:rsid w:val="13EA4CEF"/>
    <w:rsid w:val="13FAD3FD"/>
    <w:rsid w:val="13FB4756"/>
    <w:rsid w:val="14058725"/>
    <w:rsid w:val="140909F9"/>
    <w:rsid w:val="140ADFEE"/>
    <w:rsid w:val="140B5469"/>
    <w:rsid w:val="140E84DA"/>
    <w:rsid w:val="14125DAA"/>
    <w:rsid w:val="1422477C"/>
    <w:rsid w:val="142D9EE1"/>
    <w:rsid w:val="142ED72F"/>
    <w:rsid w:val="143C0094"/>
    <w:rsid w:val="143FE756"/>
    <w:rsid w:val="14457845"/>
    <w:rsid w:val="144F28AC"/>
    <w:rsid w:val="1451B426"/>
    <w:rsid w:val="1458FE3B"/>
    <w:rsid w:val="146694FC"/>
    <w:rsid w:val="146A4FC2"/>
    <w:rsid w:val="14715F4E"/>
    <w:rsid w:val="147CA3DE"/>
    <w:rsid w:val="1484C464"/>
    <w:rsid w:val="148D30FA"/>
    <w:rsid w:val="14925C7B"/>
    <w:rsid w:val="14A63CA2"/>
    <w:rsid w:val="14A7459D"/>
    <w:rsid w:val="14ACD941"/>
    <w:rsid w:val="14AE688A"/>
    <w:rsid w:val="14AF8394"/>
    <w:rsid w:val="14CC55A8"/>
    <w:rsid w:val="14CD777A"/>
    <w:rsid w:val="14D15535"/>
    <w:rsid w:val="14D304F3"/>
    <w:rsid w:val="14DAD93F"/>
    <w:rsid w:val="14DAFA8B"/>
    <w:rsid w:val="14DC937E"/>
    <w:rsid w:val="14DF2051"/>
    <w:rsid w:val="14F0C68E"/>
    <w:rsid w:val="14F48928"/>
    <w:rsid w:val="14F87F36"/>
    <w:rsid w:val="150E3557"/>
    <w:rsid w:val="151F01D7"/>
    <w:rsid w:val="1523CC82"/>
    <w:rsid w:val="1524BBF8"/>
    <w:rsid w:val="15269781"/>
    <w:rsid w:val="15322CC2"/>
    <w:rsid w:val="1545EC29"/>
    <w:rsid w:val="154BDDA5"/>
    <w:rsid w:val="154E9F2C"/>
    <w:rsid w:val="15540164"/>
    <w:rsid w:val="156E45D9"/>
    <w:rsid w:val="1572CB16"/>
    <w:rsid w:val="158BFAEE"/>
    <w:rsid w:val="1591EA39"/>
    <w:rsid w:val="15A4CA33"/>
    <w:rsid w:val="15A88EBC"/>
    <w:rsid w:val="15A89F67"/>
    <w:rsid w:val="15AD1588"/>
    <w:rsid w:val="15B06D6E"/>
    <w:rsid w:val="15B91392"/>
    <w:rsid w:val="15BA08F7"/>
    <w:rsid w:val="15CCE67E"/>
    <w:rsid w:val="15D8DD8A"/>
    <w:rsid w:val="15DD9281"/>
    <w:rsid w:val="15DDE576"/>
    <w:rsid w:val="15E2F1A1"/>
    <w:rsid w:val="15E34FB2"/>
    <w:rsid w:val="15EC524F"/>
    <w:rsid w:val="15F0A9AA"/>
    <w:rsid w:val="15F7B465"/>
    <w:rsid w:val="15FFEB5B"/>
    <w:rsid w:val="16089D59"/>
    <w:rsid w:val="161B378D"/>
    <w:rsid w:val="161B58D7"/>
    <w:rsid w:val="161E8B32"/>
    <w:rsid w:val="1620F4A2"/>
    <w:rsid w:val="1629A042"/>
    <w:rsid w:val="162C651C"/>
    <w:rsid w:val="163A56F4"/>
    <w:rsid w:val="163CCD36"/>
    <w:rsid w:val="163D88A6"/>
    <w:rsid w:val="164A5E6C"/>
    <w:rsid w:val="164F3509"/>
    <w:rsid w:val="1656EC7B"/>
    <w:rsid w:val="166676BF"/>
    <w:rsid w:val="166DCEC1"/>
    <w:rsid w:val="16727060"/>
    <w:rsid w:val="1678AF26"/>
    <w:rsid w:val="167E6683"/>
    <w:rsid w:val="1683174C"/>
    <w:rsid w:val="16856A39"/>
    <w:rsid w:val="168E336A"/>
    <w:rsid w:val="168F872C"/>
    <w:rsid w:val="169541EB"/>
    <w:rsid w:val="16971E7E"/>
    <w:rsid w:val="16A244F0"/>
    <w:rsid w:val="16A4E479"/>
    <w:rsid w:val="16B1872A"/>
    <w:rsid w:val="16BB622F"/>
    <w:rsid w:val="16BD5CDE"/>
    <w:rsid w:val="16D6F2B2"/>
    <w:rsid w:val="16E1416C"/>
    <w:rsid w:val="16EFBFBC"/>
    <w:rsid w:val="16F92711"/>
    <w:rsid w:val="1702264B"/>
    <w:rsid w:val="171B7181"/>
    <w:rsid w:val="171EC9C1"/>
    <w:rsid w:val="1725679F"/>
    <w:rsid w:val="17258295"/>
    <w:rsid w:val="1729B7C0"/>
    <w:rsid w:val="172B3590"/>
    <w:rsid w:val="172EA3AE"/>
    <w:rsid w:val="17412DE0"/>
    <w:rsid w:val="17433E0D"/>
    <w:rsid w:val="1746CA25"/>
    <w:rsid w:val="174A1B92"/>
    <w:rsid w:val="174BCA37"/>
    <w:rsid w:val="1761A2C0"/>
    <w:rsid w:val="176B8D48"/>
    <w:rsid w:val="17704697"/>
    <w:rsid w:val="17806BB9"/>
    <w:rsid w:val="1782251A"/>
    <w:rsid w:val="1785F9D8"/>
    <w:rsid w:val="178FD224"/>
    <w:rsid w:val="179404F1"/>
    <w:rsid w:val="1795A0B1"/>
    <w:rsid w:val="17967099"/>
    <w:rsid w:val="179A5281"/>
    <w:rsid w:val="17A7A9DA"/>
    <w:rsid w:val="17C8178E"/>
    <w:rsid w:val="17CB2209"/>
    <w:rsid w:val="17D303D6"/>
    <w:rsid w:val="17DA6B1E"/>
    <w:rsid w:val="17E3B0B9"/>
    <w:rsid w:val="17E74D75"/>
    <w:rsid w:val="17EB8FCB"/>
    <w:rsid w:val="1804458A"/>
    <w:rsid w:val="1805E5F5"/>
    <w:rsid w:val="180AA720"/>
    <w:rsid w:val="1813104C"/>
    <w:rsid w:val="181AAABE"/>
    <w:rsid w:val="181DAD29"/>
    <w:rsid w:val="1823A705"/>
    <w:rsid w:val="1826180C"/>
    <w:rsid w:val="1829106D"/>
    <w:rsid w:val="1833F4B6"/>
    <w:rsid w:val="183F0DF3"/>
    <w:rsid w:val="183FB331"/>
    <w:rsid w:val="184C9054"/>
    <w:rsid w:val="184E4410"/>
    <w:rsid w:val="18515148"/>
    <w:rsid w:val="1854C786"/>
    <w:rsid w:val="185D8787"/>
    <w:rsid w:val="185FBE9C"/>
    <w:rsid w:val="1869A465"/>
    <w:rsid w:val="186D92B7"/>
    <w:rsid w:val="1873C053"/>
    <w:rsid w:val="187D2595"/>
    <w:rsid w:val="188A8169"/>
    <w:rsid w:val="188C2622"/>
    <w:rsid w:val="1891D3FC"/>
    <w:rsid w:val="18927507"/>
    <w:rsid w:val="1893A3BA"/>
    <w:rsid w:val="1896AF1A"/>
    <w:rsid w:val="189D3875"/>
    <w:rsid w:val="18BCA08E"/>
    <w:rsid w:val="18BDBE3B"/>
    <w:rsid w:val="18C1CE05"/>
    <w:rsid w:val="18D3AC75"/>
    <w:rsid w:val="18D68A73"/>
    <w:rsid w:val="18DB548D"/>
    <w:rsid w:val="18E6BF59"/>
    <w:rsid w:val="18EC8211"/>
    <w:rsid w:val="18F617F2"/>
    <w:rsid w:val="18FC50FE"/>
    <w:rsid w:val="1901163E"/>
    <w:rsid w:val="190B8E13"/>
    <w:rsid w:val="195263ED"/>
    <w:rsid w:val="19537F1D"/>
    <w:rsid w:val="19551395"/>
    <w:rsid w:val="196A81DC"/>
    <w:rsid w:val="197C901F"/>
    <w:rsid w:val="198D2920"/>
    <w:rsid w:val="19933047"/>
    <w:rsid w:val="1993AB24"/>
    <w:rsid w:val="199EAC56"/>
    <w:rsid w:val="19A28766"/>
    <w:rsid w:val="19AA34C7"/>
    <w:rsid w:val="19AF7C18"/>
    <w:rsid w:val="19CDD2C0"/>
    <w:rsid w:val="19D2E400"/>
    <w:rsid w:val="19D4FD20"/>
    <w:rsid w:val="19D8820E"/>
    <w:rsid w:val="19D964F5"/>
    <w:rsid w:val="19F11BD6"/>
    <w:rsid w:val="19FAB525"/>
    <w:rsid w:val="19FE83C5"/>
    <w:rsid w:val="1A058440"/>
    <w:rsid w:val="1A071F67"/>
    <w:rsid w:val="1A0EAEE7"/>
    <w:rsid w:val="1A1DEADC"/>
    <w:rsid w:val="1A26A480"/>
    <w:rsid w:val="1A2EA127"/>
    <w:rsid w:val="1A32BAB4"/>
    <w:rsid w:val="1A3C096A"/>
    <w:rsid w:val="1A4BEF5E"/>
    <w:rsid w:val="1A4EB1AD"/>
    <w:rsid w:val="1A522ED6"/>
    <w:rsid w:val="1A540F71"/>
    <w:rsid w:val="1A5E7856"/>
    <w:rsid w:val="1A680AAB"/>
    <w:rsid w:val="1A6B306C"/>
    <w:rsid w:val="1A6DDC7C"/>
    <w:rsid w:val="1A73207F"/>
    <w:rsid w:val="1A7398ED"/>
    <w:rsid w:val="1A8280E4"/>
    <w:rsid w:val="1A87C69B"/>
    <w:rsid w:val="1A88863A"/>
    <w:rsid w:val="1A9176F6"/>
    <w:rsid w:val="1A9D4FE9"/>
    <w:rsid w:val="1A9F284F"/>
    <w:rsid w:val="1AA2E857"/>
    <w:rsid w:val="1AAE7E20"/>
    <w:rsid w:val="1AB78D45"/>
    <w:rsid w:val="1ABC1EEB"/>
    <w:rsid w:val="1AC785AE"/>
    <w:rsid w:val="1ACCB314"/>
    <w:rsid w:val="1AD21755"/>
    <w:rsid w:val="1ADFCD5D"/>
    <w:rsid w:val="1AF41519"/>
    <w:rsid w:val="1AF5CB7F"/>
    <w:rsid w:val="1AFC3ED5"/>
    <w:rsid w:val="1B003153"/>
    <w:rsid w:val="1B0437C8"/>
    <w:rsid w:val="1B11C86C"/>
    <w:rsid w:val="1B137E4D"/>
    <w:rsid w:val="1B1A1F46"/>
    <w:rsid w:val="1B1A3D78"/>
    <w:rsid w:val="1B1D91C3"/>
    <w:rsid w:val="1B1EE2C4"/>
    <w:rsid w:val="1B22C5C6"/>
    <w:rsid w:val="1B23585E"/>
    <w:rsid w:val="1B2B1A16"/>
    <w:rsid w:val="1B2BC0C0"/>
    <w:rsid w:val="1B2E703C"/>
    <w:rsid w:val="1B31BC9F"/>
    <w:rsid w:val="1B33891F"/>
    <w:rsid w:val="1B41308E"/>
    <w:rsid w:val="1B42A1C5"/>
    <w:rsid w:val="1B42D721"/>
    <w:rsid w:val="1B4B4C65"/>
    <w:rsid w:val="1B4F3EE0"/>
    <w:rsid w:val="1B596BD5"/>
    <w:rsid w:val="1B5C16FB"/>
    <w:rsid w:val="1B5D8CE9"/>
    <w:rsid w:val="1B65A261"/>
    <w:rsid w:val="1B68F8C5"/>
    <w:rsid w:val="1B6BC4A1"/>
    <w:rsid w:val="1B6C89D3"/>
    <w:rsid w:val="1B6E5103"/>
    <w:rsid w:val="1B75EF9E"/>
    <w:rsid w:val="1B7E2C5D"/>
    <w:rsid w:val="1B9405B9"/>
    <w:rsid w:val="1B980B93"/>
    <w:rsid w:val="1BB8C81A"/>
    <w:rsid w:val="1BC17828"/>
    <w:rsid w:val="1BC632FA"/>
    <w:rsid w:val="1BC791D6"/>
    <w:rsid w:val="1BCF0D2F"/>
    <w:rsid w:val="1BECDB76"/>
    <w:rsid w:val="1BEEC96F"/>
    <w:rsid w:val="1BF319F3"/>
    <w:rsid w:val="1BF690F3"/>
    <w:rsid w:val="1BF7842B"/>
    <w:rsid w:val="1C0846B3"/>
    <w:rsid w:val="1C0C19E0"/>
    <w:rsid w:val="1C15F582"/>
    <w:rsid w:val="1C171077"/>
    <w:rsid w:val="1C1D9115"/>
    <w:rsid w:val="1C228702"/>
    <w:rsid w:val="1C28A1B9"/>
    <w:rsid w:val="1C2D8055"/>
    <w:rsid w:val="1C350811"/>
    <w:rsid w:val="1C4D2C9E"/>
    <w:rsid w:val="1C5D8D35"/>
    <w:rsid w:val="1C65D52F"/>
    <w:rsid w:val="1C702643"/>
    <w:rsid w:val="1C7080B7"/>
    <w:rsid w:val="1C7EB2FC"/>
    <w:rsid w:val="1CB7967E"/>
    <w:rsid w:val="1CBA1F14"/>
    <w:rsid w:val="1CBC3ABE"/>
    <w:rsid w:val="1CC7A218"/>
    <w:rsid w:val="1CDF126D"/>
    <w:rsid w:val="1CF2BFC8"/>
    <w:rsid w:val="1CF47928"/>
    <w:rsid w:val="1CF528A0"/>
    <w:rsid w:val="1CFCB1B9"/>
    <w:rsid w:val="1D0B17CA"/>
    <w:rsid w:val="1D0B82F9"/>
    <w:rsid w:val="1D11986D"/>
    <w:rsid w:val="1D130040"/>
    <w:rsid w:val="1D1FD24A"/>
    <w:rsid w:val="1D20E75C"/>
    <w:rsid w:val="1D21BA84"/>
    <w:rsid w:val="1D261AA4"/>
    <w:rsid w:val="1D275AC7"/>
    <w:rsid w:val="1D284D0A"/>
    <w:rsid w:val="1D2C500A"/>
    <w:rsid w:val="1D2CA5CE"/>
    <w:rsid w:val="1D318184"/>
    <w:rsid w:val="1D3CC97B"/>
    <w:rsid w:val="1D401055"/>
    <w:rsid w:val="1D46FD00"/>
    <w:rsid w:val="1D496854"/>
    <w:rsid w:val="1D537D68"/>
    <w:rsid w:val="1D5E0D35"/>
    <w:rsid w:val="1D7A632A"/>
    <w:rsid w:val="1D842540"/>
    <w:rsid w:val="1D8EF6D4"/>
    <w:rsid w:val="1D97045D"/>
    <w:rsid w:val="1DA36CC5"/>
    <w:rsid w:val="1DAB1EAA"/>
    <w:rsid w:val="1DAB674E"/>
    <w:rsid w:val="1DAFDDCD"/>
    <w:rsid w:val="1DB674D5"/>
    <w:rsid w:val="1DC04FFA"/>
    <w:rsid w:val="1DC2BAAC"/>
    <w:rsid w:val="1DC739D0"/>
    <w:rsid w:val="1DD6BE16"/>
    <w:rsid w:val="1DD71BF5"/>
    <w:rsid w:val="1DDA52FA"/>
    <w:rsid w:val="1DE740CA"/>
    <w:rsid w:val="1DE9B37B"/>
    <w:rsid w:val="1DEF486D"/>
    <w:rsid w:val="1DF09781"/>
    <w:rsid w:val="1DF82712"/>
    <w:rsid w:val="1E12A09E"/>
    <w:rsid w:val="1E18CDD8"/>
    <w:rsid w:val="1E19FE10"/>
    <w:rsid w:val="1E1CB0C0"/>
    <w:rsid w:val="1E1D41D8"/>
    <w:rsid w:val="1E1DE460"/>
    <w:rsid w:val="1E248887"/>
    <w:rsid w:val="1E24EB01"/>
    <w:rsid w:val="1E2724F3"/>
    <w:rsid w:val="1E3F0938"/>
    <w:rsid w:val="1E4D4631"/>
    <w:rsid w:val="1E4F450F"/>
    <w:rsid w:val="1E5200DB"/>
    <w:rsid w:val="1E5D8F20"/>
    <w:rsid w:val="1E6015B9"/>
    <w:rsid w:val="1E72B7B2"/>
    <w:rsid w:val="1E782917"/>
    <w:rsid w:val="1E7D39A7"/>
    <w:rsid w:val="1E85AEAC"/>
    <w:rsid w:val="1E86AED9"/>
    <w:rsid w:val="1E89F8C9"/>
    <w:rsid w:val="1E91B58B"/>
    <w:rsid w:val="1E996FB7"/>
    <w:rsid w:val="1E9B2DDF"/>
    <w:rsid w:val="1E9C2C5F"/>
    <w:rsid w:val="1EA17FD1"/>
    <w:rsid w:val="1EA463BE"/>
    <w:rsid w:val="1EA79A9E"/>
    <w:rsid w:val="1EA80346"/>
    <w:rsid w:val="1EB3B996"/>
    <w:rsid w:val="1EBFBC20"/>
    <w:rsid w:val="1ED55A31"/>
    <w:rsid w:val="1ED67175"/>
    <w:rsid w:val="1ED76C8D"/>
    <w:rsid w:val="1EDEDF03"/>
    <w:rsid w:val="1EDFCC23"/>
    <w:rsid w:val="1EE79B5E"/>
    <w:rsid w:val="1EE9F267"/>
    <w:rsid w:val="1EF4BA75"/>
    <w:rsid w:val="1EF74415"/>
    <w:rsid w:val="1EFC9EE3"/>
    <w:rsid w:val="1F04FBAE"/>
    <w:rsid w:val="1F06E1AB"/>
    <w:rsid w:val="1F071805"/>
    <w:rsid w:val="1F0806F3"/>
    <w:rsid w:val="1F1356A5"/>
    <w:rsid w:val="1F1F7044"/>
    <w:rsid w:val="1F21496A"/>
    <w:rsid w:val="1F21ED19"/>
    <w:rsid w:val="1F3A200B"/>
    <w:rsid w:val="1F40DA24"/>
    <w:rsid w:val="1F426AA6"/>
    <w:rsid w:val="1F4F1271"/>
    <w:rsid w:val="1F4FB99C"/>
    <w:rsid w:val="1F5782AA"/>
    <w:rsid w:val="1F5C9FBE"/>
    <w:rsid w:val="1F6448F6"/>
    <w:rsid w:val="1F6D01EB"/>
    <w:rsid w:val="1F6E344A"/>
    <w:rsid w:val="1F72FCFC"/>
    <w:rsid w:val="1F884BB7"/>
    <w:rsid w:val="1F890B40"/>
    <w:rsid w:val="1F980232"/>
    <w:rsid w:val="1FAD128A"/>
    <w:rsid w:val="1FB23F65"/>
    <w:rsid w:val="1FB3AC31"/>
    <w:rsid w:val="1FB918BD"/>
    <w:rsid w:val="1FBBDF78"/>
    <w:rsid w:val="1FC57E72"/>
    <w:rsid w:val="1FC7B9B8"/>
    <w:rsid w:val="1FEB09AF"/>
    <w:rsid w:val="1FFAE9BB"/>
    <w:rsid w:val="1FFAF5EA"/>
    <w:rsid w:val="1FFCBB3C"/>
    <w:rsid w:val="20078308"/>
    <w:rsid w:val="2008911B"/>
    <w:rsid w:val="2009D83A"/>
    <w:rsid w:val="200AEA26"/>
    <w:rsid w:val="201AB94A"/>
    <w:rsid w:val="20218B5B"/>
    <w:rsid w:val="202ED0D8"/>
    <w:rsid w:val="20306574"/>
    <w:rsid w:val="2036C272"/>
    <w:rsid w:val="2042865B"/>
    <w:rsid w:val="2046AB2E"/>
    <w:rsid w:val="204E8212"/>
    <w:rsid w:val="20554FC3"/>
    <w:rsid w:val="2062A706"/>
    <w:rsid w:val="20658ECE"/>
    <w:rsid w:val="206B5B4A"/>
    <w:rsid w:val="206F9D42"/>
    <w:rsid w:val="2076FCCF"/>
    <w:rsid w:val="2079AA13"/>
    <w:rsid w:val="20820F8B"/>
    <w:rsid w:val="2084A9AA"/>
    <w:rsid w:val="2085358C"/>
    <w:rsid w:val="208DB245"/>
    <w:rsid w:val="2090770D"/>
    <w:rsid w:val="209E4C86"/>
    <w:rsid w:val="20A2EC9F"/>
    <w:rsid w:val="20A88BEC"/>
    <w:rsid w:val="20ACD73F"/>
    <w:rsid w:val="20AFDD5A"/>
    <w:rsid w:val="20B12FC0"/>
    <w:rsid w:val="20B469F5"/>
    <w:rsid w:val="20B6963B"/>
    <w:rsid w:val="20B77C9C"/>
    <w:rsid w:val="20B86999"/>
    <w:rsid w:val="20BB0195"/>
    <w:rsid w:val="20BEF4CD"/>
    <w:rsid w:val="20E0F280"/>
    <w:rsid w:val="20E6EFD4"/>
    <w:rsid w:val="20EF9680"/>
    <w:rsid w:val="20FA5CD9"/>
    <w:rsid w:val="20FD0F23"/>
    <w:rsid w:val="20FF6177"/>
    <w:rsid w:val="2104AC56"/>
    <w:rsid w:val="2107225A"/>
    <w:rsid w:val="2116EF59"/>
    <w:rsid w:val="211F10C7"/>
    <w:rsid w:val="2121C98A"/>
    <w:rsid w:val="2125FDD8"/>
    <w:rsid w:val="2134A74B"/>
    <w:rsid w:val="21366FEB"/>
    <w:rsid w:val="21465236"/>
    <w:rsid w:val="2159F01E"/>
    <w:rsid w:val="215A279F"/>
    <w:rsid w:val="215E787E"/>
    <w:rsid w:val="215F9231"/>
    <w:rsid w:val="2162C647"/>
    <w:rsid w:val="217BCB7D"/>
    <w:rsid w:val="2184648B"/>
    <w:rsid w:val="218A0606"/>
    <w:rsid w:val="218CB832"/>
    <w:rsid w:val="2194DF73"/>
    <w:rsid w:val="21987868"/>
    <w:rsid w:val="2199D004"/>
    <w:rsid w:val="21A39F63"/>
    <w:rsid w:val="21A8BD45"/>
    <w:rsid w:val="21B14EC6"/>
    <w:rsid w:val="21B8C037"/>
    <w:rsid w:val="21BC89DF"/>
    <w:rsid w:val="21BF172F"/>
    <w:rsid w:val="21BFF64E"/>
    <w:rsid w:val="21C0EF3B"/>
    <w:rsid w:val="21E73318"/>
    <w:rsid w:val="21E7D5B7"/>
    <w:rsid w:val="21F2B2A9"/>
    <w:rsid w:val="21F5EB66"/>
    <w:rsid w:val="21FC7CE6"/>
    <w:rsid w:val="21FE4B52"/>
    <w:rsid w:val="22119D38"/>
    <w:rsid w:val="221E061B"/>
    <w:rsid w:val="22212EAC"/>
    <w:rsid w:val="22244482"/>
    <w:rsid w:val="22252E02"/>
    <w:rsid w:val="222D7617"/>
    <w:rsid w:val="2245203C"/>
    <w:rsid w:val="22579F59"/>
    <w:rsid w:val="225F18BC"/>
    <w:rsid w:val="226DF88A"/>
    <w:rsid w:val="226FAA33"/>
    <w:rsid w:val="22743113"/>
    <w:rsid w:val="228010B6"/>
    <w:rsid w:val="228B937E"/>
    <w:rsid w:val="228D9EA9"/>
    <w:rsid w:val="229A796D"/>
    <w:rsid w:val="229E8161"/>
    <w:rsid w:val="22A62F41"/>
    <w:rsid w:val="22AA4F06"/>
    <w:rsid w:val="22AA7CF9"/>
    <w:rsid w:val="22B4919D"/>
    <w:rsid w:val="22B90D7A"/>
    <w:rsid w:val="22BA6CB3"/>
    <w:rsid w:val="22BD8F73"/>
    <w:rsid w:val="22C8B3A6"/>
    <w:rsid w:val="22D449C6"/>
    <w:rsid w:val="22DA9D04"/>
    <w:rsid w:val="22E4DA16"/>
    <w:rsid w:val="22F78EFC"/>
    <w:rsid w:val="2304917E"/>
    <w:rsid w:val="2308AE9B"/>
    <w:rsid w:val="230BD200"/>
    <w:rsid w:val="231098D7"/>
    <w:rsid w:val="231C3824"/>
    <w:rsid w:val="231C535A"/>
    <w:rsid w:val="23217A66"/>
    <w:rsid w:val="2323FB08"/>
    <w:rsid w:val="23265E26"/>
    <w:rsid w:val="2340AA5D"/>
    <w:rsid w:val="234605DC"/>
    <w:rsid w:val="234D5643"/>
    <w:rsid w:val="2353964B"/>
    <w:rsid w:val="23552F6A"/>
    <w:rsid w:val="235FB85C"/>
    <w:rsid w:val="236D2277"/>
    <w:rsid w:val="2373D26E"/>
    <w:rsid w:val="2375D363"/>
    <w:rsid w:val="23780391"/>
    <w:rsid w:val="238A4576"/>
    <w:rsid w:val="2394311C"/>
    <w:rsid w:val="2396F473"/>
    <w:rsid w:val="239B75D7"/>
    <w:rsid w:val="239E2D97"/>
    <w:rsid w:val="23AC6518"/>
    <w:rsid w:val="23AD15FD"/>
    <w:rsid w:val="23B8C4B3"/>
    <w:rsid w:val="23B94056"/>
    <w:rsid w:val="23C22D65"/>
    <w:rsid w:val="23C96FE8"/>
    <w:rsid w:val="23E9E276"/>
    <w:rsid w:val="23EB9F36"/>
    <w:rsid w:val="23F648AB"/>
    <w:rsid w:val="24069993"/>
    <w:rsid w:val="240C7A1B"/>
    <w:rsid w:val="24104BB6"/>
    <w:rsid w:val="2421F7DA"/>
    <w:rsid w:val="2422587E"/>
    <w:rsid w:val="242692A3"/>
    <w:rsid w:val="2428E30D"/>
    <w:rsid w:val="242B271A"/>
    <w:rsid w:val="242B4D50"/>
    <w:rsid w:val="242B65FA"/>
    <w:rsid w:val="24314D96"/>
    <w:rsid w:val="243F142B"/>
    <w:rsid w:val="24494F84"/>
    <w:rsid w:val="2450DB1C"/>
    <w:rsid w:val="24544E6D"/>
    <w:rsid w:val="245BF372"/>
    <w:rsid w:val="2462FCDC"/>
    <w:rsid w:val="2476E996"/>
    <w:rsid w:val="24841866"/>
    <w:rsid w:val="248FCBAD"/>
    <w:rsid w:val="24931755"/>
    <w:rsid w:val="2496058A"/>
    <w:rsid w:val="249D57FD"/>
    <w:rsid w:val="24AC8E33"/>
    <w:rsid w:val="24AE05EF"/>
    <w:rsid w:val="24BDF403"/>
    <w:rsid w:val="24BFD62B"/>
    <w:rsid w:val="24CFF5B5"/>
    <w:rsid w:val="24D4FB70"/>
    <w:rsid w:val="24DABBB1"/>
    <w:rsid w:val="24EC3BDC"/>
    <w:rsid w:val="24F02512"/>
    <w:rsid w:val="24F1604B"/>
    <w:rsid w:val="24FC71D0"/>
    <w:rsid w:val="250CF8CB"/>
    <w:rsid w:val="250D54B6"/>
    <w:rsid w:val="25155A18"/>
    <w:rsid w:val="251E0045"/>
    <w:rsid w:val="251E09C9"/>
    <w:rsid w:val="25248C59"/>
    <w:rsid w:val="2534E322"/>
    <w:rsid w:val="254183BA"/>
    <w:rsid w:val="254466A2"/>
    <w:rsid w:val="25458DA5"/>
    <w:rsid w:val="254BE744"/>
    <w:rsid w:val="255783BC"/>
    <w:rsid w:val="255A5930"/>
    <w:rsid w:val="256342C9"/>
    <w:rsid w:val="256CF1B2"/>
    <w:rsid w:val="2590DD21"/>
    <w:rsid w:val="259C816E"/>
    <w:rsid w:val="25A0B3E2"/>
    <w:rsid w:val="25A545EA"/>
    <w:rsid w:val="25AB7B8E"/>
    <w:rsid w:val="25ACC381"/>
    <w:rsid w:val="25B098F5"/>
    <w:rsid w:val="25B957E8"/>
    <w:rsid w:val="25C87AF3"/>
    <w:rsid w:val="25DCFB55"/>
    <w:rsid w:val="25EE5867"/>
    <w:rsid w:val="26075E59"/>
    <w:rsid w:val="260840AD"/>
    <w:rsid w:val="260BA940"/>
    <w:rsid w:val="2611982D"/>
    <w:rsid w:val="2614E266"/>
    <w:rsid w:val="261A5CF8"/>
    <w:rsid w:val="2621CA0F"/>
    <w:rsid w:val="2624D7B6"/>
    <w:rsid w:val="262E2841"/>
    <w:rsid w:val="26372E80"/>
    <w:rsid w:val="263822B1"/>
    <w:rsid w:val="264503AB"/>
    <w:rsid w:val="2647F19F"/>
    <w:rsid w:val="264B0F79"/>
    <w:rsid w:val="265774AF"/>
    <w:rsid w:val="2657899E"/>
    <w:rsid w:val="267217D2"/>
    <w:rsid w:val="2674FD85"/>
    <w:rsid w:val="267956C4"/>
    <w:rsid w:val="26952D9D"/>
    <w:rsid w:val="269762D7"/>
    <w:rsid w:val="269A5253"/>
    <w:rsid w:val="269B525B"/>
    <w:rsid w:val="26A2175B"/>
    <w:rsid w:val="26BCF880"/>
    <w:rsid w:val="26C43077"/>
    <w:rsid w:val="26C779E7"/>
    <w:rsid w:val="26CE5781"/>
    <w:rsid w:val="26CFB095"/>
    <w:rsid w:val="26D72E52"/>
    <w:rsid w:val="26D954D2"/>
    <w:rsid w:val="26DAC3FC"/>
    <w:rsid w:val="26E1B4CC"/>
    <w:rsid w:val="26E24A82"/>
    <w:rsid w:val="26E4AD16"/>
    <w:rsid w:val="26EF8C6D"/>
    <w:rsid w:val="26F10D2C"/>
    <w:rsid w:val="26F85611"/>
    <w:rsid w:val="26FD4440"/>
    <w:rsid w:val="270556A7"/>
    <w:rsid w:val="271948D7"/>
    <w:rsid w:val="27215CC5"/>
    <w:rsid w:val="27247AA4"/>
    <w:rsid w:val="27296BE6"/>
    <w:rsid w:val="272FABBC"/>
    <w:rsid w:val="273CF0A2"/>
    <w:rsid w:val="273DE222"/>
    <w:rsid w:val="27441BEE"/>
    <w:rsid w:val="276F6E66"/>
    <w:rsid w:val="276FFE60"/>
    <w:rsid w:val="27764D57"/>
    <w:rsid w:val="27792801"/>
    <w:rsid w:val="277F3584"/>
    <w:rsid w:val="27811C06"/>
    <w:rsid w:val="278C6F68"/>
    <w:rsid w:val="279D429C"/>
    <w:rsid w:val="279DD660"/>
    <w:rsid w:val="279E636C"/>
    <w:rsid w:val="27A2CD53"/>
    <w:rsid w:val="27AA7559"/>
    <w:rsid w:val="27B5C51E"/>
    <w:rsid w:val="27B6B25D"/>
    <w:rsid w:val="27C19F10"/>
    <w:rsid w:val="27C9ED08"/>
    <w:rsid w:val="27D21116"/>
    <w:rsid w:val="27D4805E"/>
    <w:rsid w:val="27D4F724"/>
    <w:rsid w:val="27DD4478"/>
    <w:rsid w:val="27E44CB5"/>
    <w:rsid w:val="27E9BD4D"/>
    <w:rsid w:val="27ED31E0"/>
    <w:rsid w:val="27FE0CCB"/>
    <w:rsid w:val="27FEF7D2"/>
    <w:rsid w:val="280C7070"/>
    <w:rsid w:val="280CB850"/>
    <w:rsid w:val="2816CBC0"/>
    <w:rsid w:val="28181C6E"/>
    <w:rsid w:val="28182758"/>
    <w:rsid w:val="281B8A69"/>
    <w:rsid w:val="281DA893"/>
    <w:rsid w:val="282248F2"/>
    <w:rsid w:val="2823808F"/>
    <w:rsid w:val="28288AF7"/>
    <w:rsid w:val="28294DC9"/>
    <w:rsid w:val="282C4EA6"/>
    <w:rsid w:val="2832E321"/>
    <w:rsid w:val="2840AEB4"/>
    <w:rsid w:val="2840D12A"/>
    <w:rsid w:val="2840DAF3"/>
    <w:rsid w:val="28473C46"/>
    <w:rsid w:val="284865C2"/>
    <w:rsid w:val="284FE3F3"/>
    <w:rsid w:val="2854CD92"/>
    <w:rsid w:val="285C59AE"/>
    <w:rsid w:val="285D67C1"/>
    <w:rsid w:val="2879991A"/>
    <w:rsid w:val="289EFF58"/>
    <w:rsid w:val="28A637AF"/>
    <w:rsid w:val="28ABE585"/>
    <w:rsid w:val="28AD5585"/>
    <w:rsid w:val="28B3E598"/>
    <w:rsid w:val="28BC1C04"/>
    <w:rsid w:val="28C62250"/>
    <w:rsid w:val="28D59700"/>
    <w:rsid w:val="28DEF801"/>
    <w:rsid w:val="28E0836D"/>
    <w:rsid w:val="28E1FCBD"/>
    <w:rsid w:val="28E6E7B4"/>
    <w:rsid w:val="28EE3283"/>
    <w:rsid w:val="28F7B8A8"/>
    <w:rsid w:val="28FE6397"/>
    <w:rsid w:val="28FFAA2F"/>
    <w:rsid w:val="2903408E"/>
    <w:rsid w:val="29161072"/>
    <w:rsid w:val="291DB28B"/>
    <w:rsid w:val="2924F4CF"/>
    <w:rsid w:val="293ABF04"/>
    <w:rsid w:val="295255BB"/>
    <w:rsid w:val="295563C0"/>
    <w:rsid w:val="2958B0F8"/>
    <w:rsid w:val="295A1A6A"/>
    <w:rsid w:val="295B43F8"/>
    <w:rsid w:val="295F237A"/>
    <w:rsid w:val="29642F69"/>
    <w:rsid w:val="2965A725"/>
    <w:rsid w:val="296C75CA"/>
    <w:rsid w:val="296D08C8"/>
    <w:rsid w:val="297757BB"/>
    <w:rsid w:val="297F838B"/>
    <w:rsid w:val="29886882"/>
    <w:rsid w:val="29896312"/>
    <w:rsid w:val="298C8DA4"/>
    <w:rsid w:val="299BC699"/>
    <w:rsid w:val="29A92283"/>
    <w:rsid w:val="29B077F1"/>
    <w:rsid w:val="29B2049A"/>
    <w:rsid w:val="29B6EA7D"/>
    <w:rsid w:val="29C5864D"/>
    <w:rsid w:val="29C69AC4"/>
    <w:rsid w:val="29C6F768"/>
    <w:rsid w:val="29CEDE40"/>
    <w:rsid w:val="29CF0407"/>
    <w:rsid w:val="29E50C7A"/>
    <w:rsid w:val="29E5F711"/>
    <w:rsid w:val="29EBEE60"/>
    <w:rsid w:val="29F2FFD1"/>
    <w:rsid w:val="2A02A414"/>
    <w:rsid w:val="2A0B47CE"/>
    <w:rsid w:val="2A1FD833"/>
    <w:rsid w:val="2A2167D7"/>
    <w:rsid w:val="2A318DB4"/>
    <w:rsid w:val="2A33BB59"/>
    <w:rsid w:val="2A3CCD6F"/>
    <w:rsid w:val="2A4176FB"/>
    <w:rsid w:val="2A496082"/>
    <w:rsid w:val="2A4B7537"/>
    <w:rsid w:val="2A4BD584"/>
    <w:rsid w:val="2A546C14"/>
    <w:rsid w:val="2A550CA7"/>
    <w:rsid w:val="2A627694"/>
    <w:rsid w:val="2A6880F0"/>
    <w:rsid w:val="2A68BDEC"/>
    <w:rsid w:val="2A77A9FF"/>
    <w:rsid w:val="2A79BA8E"/>
    <w:rsid w:val="2A8D64D5"/>
    <w:rsid w:val="2A96290E"/>
    <w:rsid w:val="2AA4FE99"/>
    <w:rsid w:val="2AA78114"/>
    <w:rsid w:val="2AAC4DBC"/>
    <w:rsid w:val="2AAD2865"/>
    <w:rsid w:val="2AB1FBE4"/>
    <w:rsid w:val="2AB2CDF8"/>
    <w:rsid w:val="2AB4F6EC"/>
    <w:rsid w:val="2AB6038D"/>
    <w:rsid w:val="2AB683A6"/>
    <w:rsid w:val="2AB819DE"/>
    <w:rsid w:val="2ABA60DD"/>
    <w:rsid w:val="2ABDEFAE"/>
    <w:rsid w:val="2AC0D44D"/>
    <w:rsid w:val="2AC93276"/>
    <w:rsid w:val="2ACA0058"/>
    <w:rsid w:val="2ACAB7F5"/>
    <w:rsid w:val="2AD229B7"/>
    <w:rsid w:val="2AD8F804"/>
    <w:rsid w:val="2AEB90AE"/>
    <w:rsid w:val="2AF45D77"/>
    <w:rsid w:val="2AF9F2FE"/>
    <w:rsid w:val="2AFE593F"/>
    <w:rsid w:val="2B029BB7"/>
    <w:rsid w:val="2B10F42F"/>
    <w:rsid w:val="2B1C2C40"/>
    <w:rsid w:val="2B289C3E"/>
    <w:rsid w:val="2B29075D"/>
    <w:rsid w:val="2B2CBE14"/>
    <w:rsid w:val="2B337CCA"/>
    <w:rsid w:val="2B36A2DC"/>
    <w:rsid w:val="2B3B0238"/>
    <w:rsid w:val="2B3C0C13"/>
    <w:rsid w:val="2B3F4C36"/>
    <w:rsid w:val="2B41CBEF"/>
    <w:rsid w:val="2B439FB4"/>
    <w:rsid w:val="2B46658E"/>
    <w:rsid w:val="2B4A27AD"/>
    <w:rsid w:val="2B4D5015"/>
    <w:rsid w:val="2B51729F"/>
    <w:rsid w:val="2B650C59"/>
    <w:rsid w:val="2B673C2D"/>
    <w:rsid w:val="2B6B9E88"/>
    <w:rsid w:val="2B6C6548"/>
    <w:rsid w:val="2B71570E"/>
    <w:rsid w:val="2B74DA05"/>
    <w:rsid w:val="2B807C9F"/>
    <w:rsid w:val="2B860ABB"/>
    <w:rsid w:val="2B862D95"/>
    <w:rsid w:val="2B8AA7A9"/>
    <w:rsid w:val="2B921CF7"/>
    <w:rsid w:val="2BA12620"/>
    <w:rsid w:val="2BA4B511"/>
    <w:rsid w:val="2BB07486"/>
    <w:rsid w:val="2BC163BF"/>
    <w:rsid w:val="2BC6A9AB"/>
    <w:rsid w:val="2BC8E0E9"/>
    <w:rsid w:val="2BCDD84E"/>
    <w:rsid w:val="2BD6F9D5"/>
    <w:rsid w:val="2BEC3C65"/>
    <w:rsid w:val="2BF9D365"/>
    <w:rsid w:val="2BFEC784"/>
    <w:rsid w:val="2C038272"/>
    <w:rsid w:val="2C05E8BD"/>
    <w:rsid w:val="2C087ECC"/>
    <w:rsid w:val="2C09235A"/>
    <w:rsid w:val="2C101D75"/>
    <w:rsid w:val="2C1BDAB9"/>
    <w:rsid w:val="2C1D0CB0"/>
    <w:rsid w:val="2C239632"/>
    <w:rsid w:val="2C2BC947"/>
    <w:rsid w:val="2C2E0682"/>
    <w:rsid w:val="2C2E1C4D"/>
    <w:rsid w:val="2C323DDB"/>
    <w:rsid w:val="2C44B2FA"/>
    <w:rsid w:val="2C46402C"/>
    <w:rsid w:val="2C560A67"/>
    <w:rsid w:val="2C63BB8A"/>
    <w:rsid w:val="2C776F37"/>
    <w:rsid w:val="2C7E6A34"/>
    <w:rsid w:val="2C8024BC"/>
    <w:rsid w:val="2C883489"/>
    <w:rsid w:val="2C96E0DE"/>
    <w:rsid w:val="2C979719"/>
    <w:rsid w:val="2CA08D51"/>
    <w:rsid w:val="2CA29D84"/>
    <w:rsid w:val="2CA46F14"/>
    <w:rsid w:val="2CA72356"/>
    <w:rsid w:val="2CAD6474"/>
    <w:rsid w:val="2CBA0212"/>
    <w:rsid w:val="2CC023DF"/>
    <w:rsid w:val="2CC0E419"/>
    <w:rsid w:val="2CC102C8"/>
    <w:rsid w:val="2CC274BC"/>
    <w:rsid w:val="2CC36E85"/>
    <w:rsid w:val="2CC94D35"/>
    <w:rsid w:val="2CCD4038"/>
    <w:rsid w:val="2CD0FF97"/>
    <w:rsid w:val="2CDBF794"/>
    <w:rsid w:val="2CE81C68"/>
    <w:rsid w:val="2CEDDF4A"/>
    <w:rsid w:val="2CEF6E89"/>
    <w:rsid w:val="2CF02DD2"/>
    <w:rsid w:val="2CF3519F"/>
    <w:rsid w:val="2CFAA076"/>
    <w:rsid w:val="2CFB76A1"/>
    <w:rsid w:val="2D01EB64"/>
    <w:rsid w:val="2D0A0BDF"/>
    <w:rsid w:val="2D0E75A2"/>
    <w:rsid w:val="2D192882"/>
    <w:rsid w:val="2D1973B1"/>
    <w:rsid w:val="2D19924A"/>
    <w:rsid w:val="2D1A9C13"/>
    <w:rsid w:val="2D3F4D4C"/>
    <w:rsid w:val="2D41AC04"/>
    <w:rsid w:val="2D485C64"/>
    <w:rsid w:val="2D523EDF"/>
    <w:rsid w:val="2D53F8DB"/>
    <w:rsid w:val="2D565E6B"/>
    <w:rsid w:val="2D570E34"/>
    <w:rsid w:val="2D67C319"/>
    <w:rsid w:val="2D732F06"/>
    <w:rsid w:val="2D8A9EC2"/>
    <w:rsid w:val="2D8C757D"/>
    <w:rsid w:val="2D967D82"/>
    <w:rsid w:val="2D9A11BC"/>
    <w:rsid w:val="2DA000AD"/>
    <w:rsid w:val="2DA2049E"/>
    <w:rsid w:val="2DAD7958"/>
    <w:rsid w:val="2DB09750"/>
    <w:rsid w:val="2DB0B17A"/>
    <w:rsid w:val="2DB3A046"/>
    <w:rsid w:val="2DC73433"/>
    <w:rsid w:val="2DD5BA5B"/>
    <w:rsid w:val="2DE283D2"/>
    <w:rsid w:val="2DEA46D1"/>
    <w:rsid w:val="2DEB276F"/>
    <w:rsid w:val="2DEE9905"/>
    <w:rsid w:val="2DEF6D1C"/>
    <w:rsid w:val="2DFAAFB5"/>
    <w:rsid w:val="2E03BFF2"/>
    <w:rsid w:val="2E05236C"/>
    <w:rsid w:val="2E069D38"/>
    <w:rsid w:val="2E0A1B1D"/>
    <w:rsid w:val="2E0C0FF3"/>
    <w:rsid w:val="2E13E491"/>
    <w:rsid w:val="2E1E562E"/>
    <w:rsid w:val="2E25DC96"/>
    <w:rsid w:val="2E38B232"/>
    <w:rsid w:val="2E3A5035"/>
    <w:rsid w:val="2E3C83E1"/>
    <w:rsid w:val="2E3E5C42"/>
    <w:rsid w:val="2E406767"/>
    <w:rsid w:val="2E474CCC"/>
    <w:rsid w:val="2E494E66"/>
    <w:rsid w:val="2E54F042"/>
    <w:rsid w:val="2E58198A"/>
    <w:rsid w:val="2E698C36"/>
    <w:rsid w:val="2E7C120B"/>
    <w:rsid w:val="2E8C6606"/>
    <w:rsid w:val="2E8DE08B"/>
    <w:rsid w:val="2E95BE9B"/>
    <w:rsid w:val="2EA2A218"/>
    <w:rsid w:val="2EACAD29"/>
    <w:rsid w:val="2EAD5348"/>
    <w:rsid w:val="2EB86928"/>
    <w:rsid w:val="2EBD1E16"/>
    <w:rsid w:val="2EBEB311"/>
    <w:rsid w:val="2ED1A8B6"/>
    <w:rsid w:val="2ED4B2EE"/>
    <w:rsid w:val="2ED93BDB"/>
    <w:rsid w:val="2EED6658"/>
    <w:rsid w:val="2EEDA04C"/>
    <w:rsid w:val="2EF6DF7D"/>
    <w:rsid w:val="2EF8564F"/>
    <w:rsid w:val="2F069707"/>
    <w:rsid w:val="2F1A3D5D"/>
    <w:rsid w:val="2F2038CD"/>
    <w:rsid w:val="2F2BEAD3"/>
    <w:rsid w:val="2F30D98C"/>
    <w:rsid w:val="2F346A68"/>
    <w:rsid w:val="2F53FE03"/>
    <w:rsid w:val="2F5808A8"/>
    <w:rsid w:val="2F59A718"/>
    <w:rsid w:val="2F5D8443"/>
    <w:rsid w:val="2F62464D"/>
    <w:rsid w:val="2F6262B5"/>
    <w:rsid w:val="2F6D4E8C"/>
    <w:rsid w:val="2F6E4CB0"/>
    <w:rsid w:val="2F70B006"/>
    <w:rsid w:val="2F77DBF9"/>
    <w:rsid w:val="2F7AA3A9"/>
    <w:rsid w:val="2F7CE618"/>
    <w:rsid w:val="2F7D314A"/>
    <w:rsid w:val="2F8534A3"/>
    <w:rsid w:val="2F8603FF"/>
    <w:rsid w:val="2F89D13A"/>
    <w:rsid w:val="2F8D8A1A"/>
    <w:rsid w:val="2FA664EF"/>
    <w:rsid w:val="2FAEC183"/>
    <w:rsid w:val="2FB7A469"/>
    <w:rsid w:val="2FBAE5CC"/>
    <w:rsid w:val="2FBEE780"/>
    <w:rsid w:val="2FD502D9"/>
    <w:rsid w:val="2FDC21C7"/>
    <w:rsid w:val="2FDF4CEA"/>
    <w:rsid w:val="2FE74E6D"/>
    <w:rsid w:val="2FEA239E"/>
    <w:rsid w:val="2FF6A364"/>
    <w:rsid w:val="2FF9A53C"/>
    <w:rsid w:val="2FFBC44E"/>
    <w:rsid w:val="30134E81"/>
    <w:rsid w:val="3019EA8F"/>
    <w:rsid w:val="3029C4DA"/>
    <w:rsid w:val="302A53F0"/>
    <w:rsid w:val="302F1FE2"/>
    <w:rsid w:val="30304532"/>
    <w:rsid w:val="304149D1"/>
    <w:rsid w:val="30424EFE"/>
    <w:rsid w:val="304AAA3C"/>
    <w:rsid w:val="304DF8A0"/>
    <w:rsid w:val="3051538A"/>
    <w:rsid w:val="30582022"/>
    <w:rsid w:val="3059ED96"/>
    <w:rsid w:val="30667D8A"/>
    <w:rsid w:val="3067E672"/>
    <w:rsid w:val="306B4C1B"/>
    <w:rsid w:val="307A2409"/>
    <w:rsid w:val="308207C7"/>
    <w:rsid w:val="3083B224"/>
    <w:rsid w:val="3090A121"/>
    <w:rsid w:val="309FC712"/>
    <w:rsid w:val="30A3D534"/>
    <w:rsid w:val="30E88326"/>
    <w:rsid w:val="30ED832D"/>
    <w:rsid w:val="30F32575"/>
    <w:rsid w:val="30F738AF"/>
    <w:rsid w:val="30F76CD8"/>
    <w:rsid w:val="30FE0843"/>
    <w:rsid w:val="30FF7982"/>
    <w:rsid w:val="30FFDDBB"/>
    <w:rsid w:val="3109B818"/>
    <w:rsid w:val="31224334"/>
    <w:rsid w:val="31268180"/>
    <w:rsid w:val="31286C4E"/>
    <w:rsid w:val="312C3B60"/>
    <w:rsid w:val="312C8649"/>
    <w:rsid w:val="312CEE3F"/>
    <w:rsid w:val="312DEDC2"/>
    <w:rsid w:val="314B79A2"/>
    <w:rsid w:val="315051D1"/>
    <w:rsid w:val="315B7D26"/>
    <w:rsid w:val="3163D282"/>
    <w:rsid w:val="31692550"/>
    <w:rsid w:val="3169AC8D"/>
    <w:rsid w:val="316BC598"/>
    <w:rsid w:val="3172A03A"/>
    <w:rsid w:val="31882BDC"/>
    <w:rsid w:val="318E375B"/>
    <w:rsid w:val="319417BD"/>
    <w:rsid w:val="3194AD87"/>
    <w:rsid w:val="319FEDC9"/>
    <w:rsid w:val="31A08BB0"/>
    <w:rsid w:val="31A5DEA8"/>
    <w:rsid w:val="31BB2B44"/>
    <w:rsid w:val="31C33DEB"/>
    <w:rsid w:val="31C6C622"/>
    <w:rsid w:val="31C78882"/>
    <w:rsid w:val="31CA41DC"/>
    <w:rsid w:val="31CE001E"/>
    <w:rsid w:val="31CECCE3"/>
    <w:rsid w:val="31D81675"/>
    <w:rsid w:val="31DB91C0"/>
    <w:rsid w:val="31E40CBE"/>
    <w:rsid w:val="31EE178A"/>
    <w:rsid w:val="31F817D5"/>
    <w:rsid w:val="31FFC3B0"/>
    <w:rsid w:val="32070C5F"/>
    <w:rsid w:val="32097F57"/>
    <w:rsid w:val="321239B1"/>
    <w:rsid w:val="32235D63"/>
    <w:rsid w:val="32261943"/>
    <w:rsid w:val="322BB3BB"/>
    <w:rsid w:val="323DC3A6"/>
    <w:rsid w:val="32435B2C"/>
    <w:rsid w:val="3254EFE3"/>
    <w:rsid w:val="32583C0B"/>
    <w:rsid w:val="325F58D8"/>
    <w:rsid w:val="32648E8A"/>
    <w:rsid w:val="326CD193"/>
    <w:rsid w:val="32788588"/>
    <w:rsid w:val="3279D85A"/>
    <w:rsid w:val="3280480E"/>
    <w:rsid w:val="32864539"/>
    <w:rsid w:val="32906BB4"/>
    <w:rsid w:val="3296785F"/>
    <w:rsid w:val="32A3EC04"/>
    <w:rsid w:val="32AD6DB5"/>
    <w:rsid w:val="32B8DE1D"/>
    <w:rsid w:val="32BC4909"/>
    <w:rsid w:val="32C6C909"/>
    <w:rsid w:val="32D45CF7"/>
    <w:rsid w:val="32D8D411"/>
    <w:rsid w:val="32E58CE7"/>
    <w:rsid w:val="32E82194"/>
    <w:rsid w:val="32EC44FF"/>
    <w:rsid w:val="32EFFD62"/>
    <w:rsid w:val="32F3B149"/>
    <w:rsid w:val="32F52BD5"/>
    <w:rsid w:val="32FED506"/>
    <w:rsid w:val="32FEDE8A"/>
    <w:rsid w:val="3309255A"/>
    <w:rsid w:val="330E8495"/>
    <w:rsid w:val="330EB414"/>
    <w:rsid w:val="33269414"/>
    <w:rsid w:val="3326D8E0"/>
    <w:rsid w:val="334847AD"/>
    <w:rsid w:val="334CB94A"/>
    <w:rsid w:val="334CDE41"/>
    <w:rsid w:val="336F0C45"/>
    <w:rsid w:val="3385DFF3"/>
    <w:rsid w:val="338BE547"/>
    <w:rsid w:val="33982D7B"/>
    <w:rsid w:val="339953DE"/>
    <w:rsid w:val="339A7EA2"/>
    <w:rsid w:val="339FD6F5"/>
    <w:rsid w:val="33AA0A4A"/>
    <w:rsid w:val="33B02A8D"/>
    <w:rsid w:val="33B0F0D4"/>
    <w:rsid w:val="33B4BF20"/>
    <w:rsid w:val="33B4C6EB"/>
    <w:rsid w:val="33C40E01"/>
    <w:rsid w:val="33D01D17"/>
    <w:rsid w:val="33D55ED2"/>
    <w:rsid w:val="33EFAA6F"/>
    <w:rsid w:val="33F11382"/>
    <w:rsid w:val="33F800ED"/>
    <w:rsid w:val="34050E9A"/>
    <w:rsid w:val="340B2904"/>
    <w:rsid w:val="3410345F"/>
    <w:rsid w:val="341713E6"/>
    <w:rsid w:val="3418BE11"/>
    <w:rsid w:val="3420BC68"/>
    <w:rsid w:val="342CB597"/>
    <w:rsid w:val="343064A6"/>
    <w:rsid w:val="344822A3"/>
    <w:rsid w:val="3452B789"/>
    <w:rsid w:val="34638D19"/>
    <w:rsid w:val="34874A9C"/>
    <w:rsid w:val="3487AC84"/>
    <w:rsid w:val="348A183D"/>
    <w:rsid w:val="348AB37E"/>
    <w:rsid w:val="348F8236"/>
    <w:rsid w:val="34B16ED5"/>
    <w:rsid w:val="34BDED4E"/>
    <w:rsid w:val="34C7ADE2"/>
    <w:rsid w:val="34CC8C7A"/>
    <w:rsid w:val="34CDC36B"/>
    <w:rsid w:val="34E3C728"/>
    <w:rsid w:val="34E93265"/>
    <w:rsid w:val="34E99A5F"/>
    <w:rsid w:val="34EC20C6"/>
    <w:rsid w:val="34EC9C5C"/>
    <w:rsid w:val="34EFF9E2"/>
    <w:rsid w:val="34FB72CD"/>
    <w:rsid w:val="3501B7ED"/>
    <w:rsid w:val="350C0FFA"/>
    <w:rsid w:val="350FE9F6"/>
    <w:rsid w:val="3519838F"/>
    <w:rsid w:val="3523BF04"/>
    <w:rsid w:val="352F0E19"/>
    <w:rsid w:val="3534F7A1"/>
    <w:rsid w:val="353C093D"/>
    <w:rsid w:val="3547D039"/>
    <w:rsid w:val="354CC9DF"/>
    <w:rsid w:val="3552B5A8"/>
    <w:rsid w:val="355AB50B"/>
    <w:rsid w:val="35725527"/>
    <w:rsid w:val="35799520"/>
    <w:rsid w:val="358A7BBA"/>
    <w:rsid w:val="3598FECF"/>
    <w:rsid w:val="35AA2A9C"/>
    <w:rsid w:val="35AF4CFD"/>
    <w:rsid w:val="35B11188"/>
    <w:rsid w:val="35B30F5D"/>
    <w:rsid w:val="35B73C91"/>
    <w:rsid w:val="35BDD43D"/>
    <w:rsid w:val="35C52DCC"/>
    <w:rsid w:val="35C927A5"/>
    <w:rsid w:val="35D330A4"/>
    <w:rsid w:val="35D8EFA1"/>
    <w:rsid w:val="35E22AFD"/>
    <w:rsid w:val="35EE82F1"/>
    <w:rsid w:val="3601A690"/>
    <w:rsid w:val="36086669"/>
    <w:rsid w:val="3613454A"/>
    <w:rsid w:val="3616B673"/>
    <w:rsid w:val="36174249"/>
    <w:rsid w:val="361D6597"/>
    <w:rsid w:val="36260924"/>
    <w:rsid w:val="36284CE6"/>
    <w:rsid w:val="3635FBDE"/>
    <w:rsid w:val="363C42F6"/>
    <w:rsid w:val="363ECAB1"/>
    <w:rsid w:val="36418C1E"/>
    <w:rsid w:val="365297BF"/>
    <w:rsid w:val="3655D1C6"/>
    <w:rsid w:val="36563205"/>
    <w:rsid w:val="36591810"/>
    <w:rsid w:val="365B3FFC"/>
    <w:rsid w:val="36634263"/>
    <w:rsid w:val="3677662A"/>
    <w:rsid w:val="367C4273"/>
    <w:rsid w:val="3683756B"/>
    <w:rsid w:val="368A1091"/>
    <w:rsid w:val="368CB84B"/>
    <w:rsid w:val="36917C04"/>
    <w:rsid w:val="3691CFBD"/>
    <w:rsid w:val="36A0FD92"/>
    <w:rsid w:val="36AB8D86"/>
    <w:rsid w:val="36AD269F"/>
    <w:rsid w:val="36B20BE0"/>
    <w:rsid w:val="36BF49B4"/>
    <w:rsid w:val="36C2FF6F"/>
    <w:rsid w:val="36C436FD"/>
    <w:rsid w:val="36CC2A5E"/>
    <w:rsid w:val="36CF528D"/>
    <w:rsid w:val="36D58165"/>
    <w:rsid w:val="36E1BA28"/>
    <w:rsid w:val="36E55AC0"/>
    <w:rsid w:val="370FC22F"/>
    <w:rsid w:val="37112088"/>
    <w:rsid w:val="371616D9"/>
    <w:rsid w:val="371734EA"/>
    <w:rsid w:val="371CD96C"/>
    <w:rsid w:val="372F8CE5"/>
    <w:rsid w:val="373B70A6"/>
    <w:rsid w:val="373FFBE7"/>
    <w:rsid w:val="3744E3B6"/>
    <w:rsid w:val="374A33FF"/>
    <w:rsid w:val="374B1E4C"/>
    <w:rsid w:val="37529939"/>
    <w:rsid w:val="37577D95"/>
    <w:rsid w:val="375CF042"/>
    <w:rsid w:val="3764FDFC"/>
    <w:rsid w:val="37692AE0"/>
    <w:rsid w:val="3771853D"/>
    <w:rsid w:val="377C73D9"/>
    <w:rsid w:val="3782B38C"/>
    <w:rsid w:val="37837B22"/>
    <w:rsid w:val="378674E2"/>
    <w:rsid w:val="378B1C55"/>
    <w:rsid w:val="378F09DC"/>
    <w:rsid w:val="379E6DCA"/>
    <w:rsid w:val="379FA682"/>
    <w:rsid w:val="37A31E50"/>
    <w:rsid w:val="37B3C8B4"/>
    <w:rsid w:val="37B8FDBE"/>
    <w:rsid w:val="37BEB353"/>
    <w:rsid w:val="37C21E50"/>
    <w:rsid w:val="37C25D46"/>
    <w:rsid w:val="37C2A43C"/>
    <w:rsid w:val="37C6115B"/>
    <w:rsid w:val="37DD42FF"/>
    <w:rsid w:val="37E040C8"/>
    <w:rsid w:val="37E2EE10"/>
    <w:rsid w:val="37E376DF"/>
    <w:rsid w:val="37E58690"/>
    <w:rsid w:val="37EC3E2A"/>
    <w:rsid w:val="37F72866"/>
    <w:rsid w:val="37FF04D7"/>
    <w:rsid w:val="38060AE0"/>
    <w:rsid w:val="380A5E94"/>
    <w:rsid w:val="380F25C4"/>
    <w:rsid w:val="38158A2C"/>
    <w:rsid w:val="3818F789"/>
    <w:rsid w:val="381B8C69"/>
    <w:rsid w:val="381DC47B"/>
    <w:rsid w:val="382083E9"/>
    <w:rsid w:val="3823453E"/>
    <w:rsid w:val="38297B39"/>
    <w:rsid w:val="3835BA39"/>
    <w:rsid w:val="3838E9AC"/>
    <w:rsid w:val="383A575C"/>
    <w:rsid w:val="383EE656"/>
    <w:rsid w:val="38453E6B"/>
    <w:rsid w:val="38488850"/>
    <w:rsid w:val="3851C3C1"/>
    <w:rsid w:val="3856EC7B"/>
    <w:rsid w:val="38602066"/>
    <w:rsid w:val="387188FE"/>
    <w:rsid w:val="38719634"/>
    <w:rsid w:val="3885E99C"/>
    <w:rsid w:val="38996A2C"/>
    <w:rsid w:val="3899823F"/>
    <w:rsid w:val="389AE694"/>
    <w:rsid w:val="389DE6E5"/>
    <w:rsid w:val="38A57647"/>
    <w:rsid w:val="38AA00CD"/>
    <w:rsid w:val="38AA79DE"/>
    <w:rsid w:val="38AA9E31"/>
    <w:rsid w:val="38B00750"/>
    <w:rsid w:val="38B46989"/>
    <w:rsid w:val="38BAE5D7"/>
    <w:rsid w:val="38CE8126"/>
    <w:rsid w:val="38D407EB"/>
    <w:rsid w:val="38DAE6D9"/>
    <w:rsid w:val="38DF9B29"/>
    <w:rsid w:val="38E95B5B"/>
    <w:rsid w:val="38EBDD5D"/>
    <w:rsid w:val="38EF6428"/>
    <w:rsid w:val="38F03C03"/>
    <w:rsid w:val="38F38646"/>
    <w:rsid w:val="38FDF28A"/>
    <w:rsid w:val="390AF23F"/>
    <w:rsid w:val="39279632"/>
    <w:rsid w:val="3934B7F5"/>
    <w:rsid w:val="39374B51"/>
    <w:rsid w:val="393B7A64"/>
    <w:rsid w:val="39482783"/>
    <w:rsid w:val="39499B51"/>
    <w:rsid w:val="3949F526"/>
    <w:rsid w:val="3953D771"/>
    <w:rsid w:val="3954387F"/>
    <w:rsid w:val="3956306B"/>
    <w:rsid w:val="395A88C5"/>
    <w:rsid w:val="395B1CD6"/>
    <w:rsid w:val="397B2ACB"/>
    <w:rsid w:val="39A40929"/>
    <w:rsid w:val="39A56406"/>
    <w:rsid w:val="39AD621C"/>
    <w:rsid w:val="39B3DE56"/>
    <w:rsid w:val="39B4EB8F"/>
    <w:rsid w:val="39B7529D"/>
    <w:rsid w:val="39BC45CD"/>
    <w:rsid w:val="39BCB3BA"/>
    <w:rsid w:val="39C32787"/>
    <w:rsid w:val="39C3B6EF"/>
    <w:rsid w:val="39C67CDA"/>
    <w:rsid w:val="39D93B89"/>
    <w:rsid w:val="39DA6A04"/>
    <w:rsid w:val="39DB2AD8"/>
    <w:rsid w:val="39E31301"/>
    <w:rsid w:val="39FF4620"/>
    <w:rsid w:val="3A022AE7"/>
    <w:rsid w:val="3A0A06C0"/>
    <w:rsid w:val="3A0A2D9E"/>
    <w:rsid w:val="3A1420C8"/>
    <w:rsid w:val="3A17F375"/>
    <w:rsid w:val="3A183527"/>
    <w:rsid w:val="3A2A148E"/>
    <w:rsid w:val="3A2D304D"/>
    <w:rsid w:val="3A379C4B"/>
    <w:rsid w:val="3A384F20"/>
    <w:rsid w:val="3A392707"/>
    <w:rsid w:val="3A3D6B87"/>
    <w:rsid w:val="3A4136EB"/>
    <w:rsid w:val="3A4499AA"/>
    <w:rsid w:val="3A489D6A"/>
    <w:rsid w:val="3A48B82A"/>
    <w:rsid w:val="3A4B7F0F"/>
    <w:rsid w:val="3A5570F3"/>
    <w:rsid w:val="3A5E0A6C"/>
    <w:rsid w:val="3A642DC6"/>
    <w:rsid w:val="3A7356B8"/>
    <w:rsid w:val="3A75F0DC"/>
    <w:rsid w:val="3A7BC913"/>
    <w:rsid w:val="3A81EC05"/>
    <w:rsid w:val="3A909559"/>
    <w:rsid w:val="3AB6941A"/>
    <w:rsid w:val="3AC42064"/>
    <w:rsid w:val="3AC59511"/>
    <w:rsid w:val="3AC86A55"/>
    <w:rsid w:val="3AC8EAAC"/>
    <w:rsid w:val="3ACA56D7"/>
    <w:rsid w:val="3ACB302C"/>
    <w:rsid w:val="3ACBB0F9"/>
    <w:rsid w:val="3ACCE45E"/>
    <w:rsid w:val="3ACFAF6F"/>
    <w:rsid w:val="3AD7A12E"/>
    <w:rsid w:val="3AEAE6CE"/>
    <w:rsid w:val="3AF139CD"/>
    <w:rsid w:val="3AFFDD59"/>
    <w:rsid w:val="3B103AE5"/>
    <w:rsid w:val="3B1042C2"/>
    <w:rsid w:val="3B159A31"/>
    <w:rsid w:val="3B18DB05"/>
    <w:rsid w:val="3B1B3AD1"/>
    <w:rsid w:val="3B1F484F"/>
    <w:rsid w:val="3B2E7A8D"/>
    <w:rsid w:val="3B34B297"/>
    <w:rsid w:val="3B3BB703"/>
    <w:rsid w:val="3B3C5599"/>
    <w:rsid w:val="3B3FBC0D"/>
    <w:rsid w:val="3B4EFAA3"/>
    <w:rsid w:val="3B5B9A91"/>
    <w:rsid w:val="3B6287FD"/>
    <w:rsid w:val="3B6BE7DC"/>
    <w:rsid w:val="3B74EB41"/>
    <w:rsid w:val="3B75877E"/>
    <w:rsid w:val="3B7D00FA"/>
    <w:rsid w:val="3B8885B9"/>
    <w:rsid w:val="3B903CB2"/>
    <w:rsid w:val="3B919D32"/>
    <w:rsid w:val="3B954F74"/>
    <w:rsid w:val="3B9D3FA2"/>
    <w:rsid w:val="3BB42187"/>
    <w:rsid w:val="3BBD44E2"/>
    <w:rsid w:val="3BBD7FD9"/>
    <w:rsid w:val="3BBDB367"/>
    <w:rsid w:val="3BBF3E34"/>
    <w:rsid w:val="3BC9C384"/>
    <w:rsid w:val="3BD65809"/>
    <w:rsid w:val="3BDA2ACB"/>
    <w:rsid w:val="3BDE2C45"/>
    <w:rsid w:val="3BDE7DE1"/>
    <w:rsid w:val="3BEC5DC9"/>
    <w:rsid w:val="3BED6497"/>
    <w:rsid w:val="3BF2B24B"/>
    <w:rsid w:val="3BF5E3EB"/>
    <w:rsid w:val="3BF83468"/>
    <w:rsid w:val="3C04092B"/>
    <w:rsid w:val="3C0A654B"/>
    <w:rsid w:val="3C0AB5DA"/>
    <w:rsid w:val="3C175E1D"/>
    <w:rsid w:val="3C1CE993"/>
    <w:rsid w:val="3C1EBB2B"/>
    <w:rsid w:val="3C24C5C6"/>
    <w:rsid w:val="3C27D46A"/>
    <w:rsid w:val="3C2B1561"/>
    <w:rsid w:val="3C3223EC"/>
    <w:rsid w:val="3C457D98"/>
    <w:rsid w:val="3C4842D0"/>
    <w:rsid w:val="3C70A1B3"/>
    <w:rsid w:val="3C76E898"/>
    <w:rsid w:val="3C7B222A"/>
    <w:rsid w:val="3C8211F2"/>
    <w:rsid w:val="3C828988"/>
    <w:rsid w:val="3C8CAB48"/>
    <w:rsid w:val="3C926F0A"/>
    <w:rsid w:val="3CB5479D"/>
    <w:rsid w:val="3CBBF491"/>
    <w:rsid w:val="3CC58A73"/>
    <w:rsid w:val="3CD05A0C"/>
    <w:rsid w:val="3CD55C60"/>
    <w:rsid w:val="3CD9EDE8"/>
    <w:rsid w:val="3CDECDE4"/>
    <w:rsid w:val="3CE516EF"/>
    <w:rsid w:val="3CF7EDFC"/>
    <w:rsid w:val="3CFD3038"/>
    <w:rsid w:val="3D1132E8"/>
    <w:rsid w:val="3D196C08"/>
    <w:rsid w:val="3D1BF36D"/>
    <w:rsid w:val="3D1CD5FF"/>
    <w:rsid w:val="3D290727"/>
    <w:rsid w:val="3D301620"/>
    <w:rsid w:val="3D3A7158"/>
    <w:rsid w:val="3D3C8164"/>
    <w:rsid w:val="3D40447F"/>
    <w:rsid w:val="3D4C9F04"/>
    <w:rsid w:val="3D4D00A9"/>
    <w:rsid w:val="3D5096CB"/>
    <w:rsid w:val="3D5C57F9"/>
    <w:rsid w:val="3D62CE42"/>
    <w:rsid w:val="3D6415F4"/>
    <w:rsid w:val="3D73D98A"/>
    <w:rsid w:val="3D752A8E"/>
    <w:rsid w:val="3D7F8F4C"/>
    <w:rsid w:val="3D894429"/>
    <w:rsid w:val="3D91DA43"/>
    <w:rsid w:val="3DABCCB8"/>
    <w:rsid w:val="3DAFA09F"/>
    <w:rsid w:val="3DB6987A"/>
    <w:rsid w:val="3DB8477F"/>
    <w:rsid w:val="3DB8B412"/>
    <w:rsid w:val="3DB8E2AA"/>
    <w:rsid w:val="3DBE8654"/>
    <w:rsid w:val="3DCEE989"/>
    <w:rsid w:val="3DD5F7CA"/>
    <w:rsid w:val="3DD8FF63"/>
    <w:rsid w:val="3DE46B45"/>
    <w:rsid w:val="3DE592FD"/>
    <w:rsid w:val="3DE78387"/>
    <w:rsid w:val="3DEB943C"/>
    <w:rsid w:val="3DF649E7"/>
    <w:rsid w:val="3E16F70B"/>
    <w:rsid w:val="3E2F5B96"/>
    <w:rsid w:val="3E313C78"/>
    <w:rsid w:val="3E385D35"/>
    <w:rsid w:val="3E3961B2"/>
    <w:rsid w:val="3E397928"/>
    <w:rsid w:val="3E465264"/>
    <w:rsid w:val="3E472E19"/>
    <w:rsid w:val="3E5E4616"/>
    <w:rsid w:val="3E6263F4"/>
    <w:rsid w:val="3E637362"/>
    <w:rsid w:val="3E67DCF6"/>
    <w:rsid w:val="3E6B2295"/>
    <w:rsid w:val="3E704471"/>
    <w:rsid w:val="3E880B9E"/>
    <w:rsid w:val="3E906124"/>
    <w:rsid w:val="3EA0FEED"/>
    <w:rsid w:val="3EABF9B4"/>
    <w:rsid w:val="3EAE6D72"/>
    <w:rsid w:val="3EB42945"/>
    <w:rsid w:val="3EB524FA"/>
    <w:rsid w:val="3EB6C5BA"/>
    <w:rsid w:val="3EB6FC7D"/>
    <w:rsid w:val="3EB71209"/>
    <w:rsid w:val="3EB7CADA"/>
    <w:rsid w:val="3EB8B73D"/>
    <w:rsid w:val="3EBCFCE7"/>
    <w:rsid w:val="3EBE5358"/>
    <w:rsid w:val="3EC50C19"/>
    <w:rsid w:val="3EC9CC95"/>
    <w:rsid w:val="3ED1B00B"/>
    <w:rsid w:val="3EDEF66B"/>
    <w:rsid w:val="3EE05E36"/>
    <w:rsid w:val="3EE2A2F0"/>
    <w:rsid w:val="3EFAF7D3"/>
    <w:rsid w:val="3EFE9A76"/>
    <w:rsid w:val="3F0964A6"/>
    <w:rsid w:val="3F0AE144"/>
    <w:rsid w:val="3F0CAD55"/>
    <w:rsid w:val="3F1CF8FB"/>
    <w:rsid w:val="3F2175D3"/>
    <w:rsid w:val="3F224161"/>
    <w:rsid w:val="3F25A104"/>
    <w:rsid w:val="3F2608AF"/>
    <w:rsid w:val="3F2790A9"/>
    <w:rsid w:val="3F2F9DB5"/>
    <w:rsid w:val="3F5C5E58"/>
    <w:rsid w:val="3F67711B"/>
    <w:rsid w:val="3F6B0A69"/>
    <w:rsid w:val="3F776BB8"/>
    <w:rsid w:val="3F7D5021"/>
    <w:rsid w:val="3F876E7D"/>
    <w:rsid w:val="3F8B5990"/>
    <w:rsid w:val="3F8E6683"/>
    <w:rsid w:val="3F926CDC"/>
    <w:rsid w:val="3F967418"/>
    <w:rsid w:val="3F9DB61E"/>
    <w:rsid w:val="3F9E2504"/>
    <w:rsid w:val="3FA0F4D1"/>
    <w:rsid w:val="3FA8BC5E"/>
    <w:rsid w:val="3FADF0CB"/>
    <w:rsid w:val="3FB3CB69"/>
    <w:rsid w:val="3FB4EAD2"/>
    <w:rsid w:val="3FD01B4B"/>
    <w:rsid w:val="3FD9CF89"/>
    <w:rsid w:val="3FDF9DB5"/>
    <w:rsid w:val="3FE465F2"/>
    <w:rsid w:val="3FE89894"/>
    <w:rsid w:val="3FED55E1"/>
    <w:rsid w:val="3FF43D34"/>
    <w:rsid w:val="402340EE"/>
    <w:rsid w:val="4033AF0D"/>
    <w:rsid w:val="403931EE"/>
    <w:rsid w:val="40454B8C"/>
    <w:rsid w:val="40455A46"/>
    <w:rsid w:val="40562FD3"/>
    <w:rsid w:val="40598082"/>
    <w:rsid w:val="406089F3"/>
    <w:rsid w:val="407361F6"/>
    <w:rsid w:val="407C2E11"/>
    <w:rsid w:val="409049E0"/>
    <w:rsid w:val="40925E59"/>
    <w:rsid w:val="4094B04B"/>
    <w:rsid w:val="4095E50F"/>
    <w:rsid w:val="409D17B4"/>
    <w:rsid w:val="40ABE7FD"/>
    <w:rsid w:val="40AF3F48"/>
    <w:rsid w:val="40B6D864"/>
    <w:rsid w:val="40B86BD3"/>
    <w:rsid w:val="40CE1724"/>
    <w:rsid w:val="40DA1344"/>
    <w:rsid w:val="40EAA3F6"/>
    <w:rsid w:val="40FF3B99"/>
    <w:rsid w:val="410AFEE8"/>
    <w:rsid w:val="41131D6E"/>
    <w:rsid w:val="41170488"/>
    <w:rsid w:val="41266861"/>
    <w:rsid w:val="412CAD87"/>
    <w:rsid w:val="4139C748"/>
    <w:rsid w:val="413DA04F"/>
    <w:rsid w:val="415571C3"/>
    <w:rsid w:val="41683715"/>
    <w:rsid w:val="416A9210"/>
    <w:rsid w:val="41760D98"/>
    <w:rsid w:val="41797FDD"/>
    <w:rsid w:val="417A4511"/>
    <w:rsid w:val="417CD0EE"/>
    <w:rsid w:val="417D056D"/>
    <w:rsid w:val="418CA4FE"/>
    <w:rsid w:val="4199FFE2"/>
    <w:rsid w:val="41A59EE6"/>
    <w:rsid w:val="41AA3B7F"/>
    <w:rsid w:val="41BBBDD4"/>
    <w:rsid w:val="41BF91DF"/>
    <w:rsid w:val="41C8FD58"/>
    <w:rsid w:val="41CA0379"/>
    <w:rsid w:val="41CC11AB"/>
    <w:rsid w:val="41CEF054"/>
    <w:rsid w:val="41E6E830"/>
    <w:rsid w:val="41E81B69"/>
    <w:rsid w:val="41EC22A9"/>
    <w:rsid w:val="41EDC33A"/>
    <w:rsid w:val="420FE0C7"/>
    <w:rsid w:val="421160BE"/>
    <w:rsid w:val="42134134"/>
    <w:rsid w:val="4214B7C5"/>
    <w:rsid w:val="4215A9FD"/>
    <w:rsid w:val="421AB421"/>
    <w:rsid w:val="421F523D"/>
    <w:rsid w:val="4221248A"/>
    <w:rsid w:val="422B7114"/>
    <w:rsid w:val="42325899"/>
    <w:rsid w:val="4234C337"/>
    <w:rsid w:val="4246842F"/>
    <w:rsid w:val="4251368D"/>
    <w:rsid w:val="42534D12"/>
    <w:rsid w:val="4256C1C7"/>
    <w:rsid w:val="4268825C"/>
    <w:rsid w:val="426926A6"/>
    <w:rsid w:val="42698622"/>
    <w:rsid w:val="42887ABA"/>
    <w:rsid w:val="42895571"/>
    <w:rsid w:val="42900C20"/>
    <w:rsid w:val="42919286"/>
    <w:rsid w:val="42962846"/>
    <w:rsid w:val="42969BB0"/>
    <w:rsid w:val="429C8EC8"/>
    <w:rsid w:val="42AB0273"/>
    <w:rsid w:val="42B151EC"/>
    <w:rsid w:val="42BB02B6"/>
    <w:rsid w:val="42C15DF0"/>
    <w:rsid w:val="42C50CFA"/>
    <w:rsid w:val="42C5524E"/>
    <w:rsid w:val="42CD143B"/>
    <w:rsid w:val="42CDA518"/>
    <w:rsid w:val="42DB4A7C"/>
    <w:rsid w:val="42E1A663"/>
    <w:rsid w:val="430153C9"/>
    <w:rsid w:val="4302314A"/>
    <w:rsid w:val="4302C333"/>
    <w:rsid w:val="43049F73"/>
    <w:rsid w:val="431140A3"/>
    <w:rsid w:val="432DE05A"/>
    <w:rsid w:val="43333096"/>
    <w:rsid w:val="433AE569"/>
    <w:rsid w:val="434E6DF7"/>
    <w:rsid w:val="43567C7C"/>
    <w:rsid w:val="435AD7DC"/>
    <w:rsid w:val="436250A8"/>
    <w:rsid w:val="436B4F0B"/>
    <w:rsid w:val="436FF2B6"/>
    <w:rsid w:val="43706C03"/>
    <w:rsid w:val="4370A659"/>
    <w:rsid w:val="437C84A4"/>
    <w:rsid w:val="4380C0E7"/>
    <w:rsid w:val="439DE7FB"/>
    <w:rsid w:val="43A644C8"/>
    <w:rsid w:val="43A6B5F8"/>
    <w:rsid w:val="43ACEA78"/>
    <w:rsid w:val="43AD1B1F"/>
    <w:rsid w:val="43B2E6E2"/>
    <w:rsid w:val="43B2FA87"/>
    <w:rsid w:val="43B6613D"/>
    <w:rsid w:val="43BB9997"/>
    <w:rsid w:val="43BCB7D3"/>
    <w:rsid w:val="43BCC371"/>
    <w:rsid w:val="43C293AA"/>
    <w:rsid w:val="43C731F4"/>
    <w:rsid w:val="43D266E6"/>
    <w:rsid w:val="43E748B2"/>
    <w:rsid w:val="43E9DC4E"/>
    <w:rsid w:val="43F3DADB"/>
    <w:rsid w:val="43F6E07B"/>
    <w:rsid w:val="4409CCA9"/>
    <w:rsid w:val="441BE07C"/>
    <w:rsid w:val="44223B97"/>
    <w:rsid w:val="442B23EC"/>
    <w:rsid w:val="442CE78A"/>
    <w:rsid w:val="443ECFCF"/>
    <w:rsid w:val="4441A407"/>
    <w:rsid w:val="444AD449"/>
    <w:rsid w:val="444EB5E4"/>
    <w:rsid w:val="4450B3B2"/>
    <w:rsid w:val="4456C385"/>
    <w:rsid w:val="44638B92"/>
    <w:rsid w:val="4467331A"/>
    <w:rsid w:val="446BE4BD"/>
    <w:rsid w:val="44765FDA"/>
    <w:rsid w:val="4486287E"/>
    <w:rsid w:val="44862F09"/>
    <w:rsid w:val="448BEB9E"/>
    <w:rsid w:val="448E0383"/>
    <w:rsid w:val="44911321"/>
    <w:rsid w:val="449B3782"/>
    <w:rsid w:val="44A5618E"/>
    <w:rsid w:val="44A9E2E4"/>
    <w:rsid w:val="44C0AB38"/>
    <w:rsid w:val="44CC6DC2"/>
    <w:rsid w:val="44CE52A7"/>
    <w:rsid w:val="44D20024"/>
    <w:rsid w:val="44DB1635"/>
    <w:rsid w:val="44E494DA"/>
    <w:rsid w:val="44E616FF"/>
    <w:rsid w:val="44E63241"/>
    <w:rsid w:val="44F3FB3F"/>
    <w:rsid w:val="4500827A"/>
    <w:rsid w:val="4505E0BB"/>
    <w:rsid w:val="450A009F"/>
    <w:rsid w:val="451CA1D0"/>
    <w:rsid w:val="4531974C"/>
    <w:rsid w:val="45497F6C"/>
    <w:rsid w:val="454A3D5C"/>
    <w:rsid w:val="4553AE68"/>
    <w:rsid w:val="4557A05F"/>
    <w:rsid w:val="45580521"/>
    <w:rsid w:val="455CE37E"/>
    <w:rsid w:val="4563E331"/>
    <w:rsid w:val="45673D4C"/>
    <w:rsid w:val="456D76DD"/>
    <w:rsid w:val="45750158"/>
    <w:rsid w:val="457BA28A"/>
    <w:rsid w:val="457DEA16"/>
    <w:rsid w:val="459BBC46"/>
    <w:rsid w:val="45B04DA8"/>
    <w:rsid w:val="45B6A52A"/>
    <w:rsid w:val="45B775C7"/>
    <w:rsid w:val="45B84AD8"/>
    <w:rsid w:val="45BAE758"/>
    <w:rsid w:val="45BBBEBC"/>
    <w:rsid w:val="45C1718A"/>
    <w:rsid w:val="45CA80B1"/>
    <w:rsid w:val="45CBA468"/>
    <w:rsid w:val="45CD9387"/>
    <w:rsid w:val="45CF4D9F"/>
    <w:rsid w:val="45D6D301"/>
    <w:rsid w:val="45D8D9A7"/>
    <w:rsid w:val="45E825AC"/>
    <w:rsid w:val="45EB4015"/>
    <w:rsid w:val="45EE084C"/>
    <w:rsid w:val="45F6A267"/>
    <w:rsid w:val="45F9D31C"/>
    <w:rsid w:val="45FB66D6"/>
    <w:rsid w:val="45FB7612"/>
    <w:rsid w:val="45FD136D"/>
    <w:rsid w:val="460058BA"/>
    <w:rsid w:val="460AE50F"/>
    <w:rsid w:val="460CF5C8"/>
    <w:rsid w:val="4610E3F4"/>
    <w:rsid w:val="461537F7"/>
    <w:rsid w:val="46168E37"/>
    <w:rsid w:val="461CBCB9"/>
    <w:rsid w:val="4622B986"/>
    <w:rsid w:val="46270479"/>
    <w:rsid w:val="462C3795"/>
    <w:rsid w:val="4633DB1F"/>
    <w:rsid w:val="4637CADF"/>
    <w:rsid w:val="4648C861"/>
    <w:rsid w:val="46524DA1"/>
    <w:rsid w:val="46616763"/>
    <w:rsid w:val="4666A2F2"/>
    <w:rsid w:val="466A6B9E"/>
    <w:rsid w:val="466DDF9A"/>
    <w:rsid w:val="46799417"/>
    <w:rsid w:val="468F3DF2"/>
    <w:rsid w:val="46954687"/>
    <w:rsid w:val="469A2F41"/>
    <w:rsid w:val="469DC444"/>
    <w:rsid w:val="46AA2AA1"/>
    <w:rsid w:val="46B7F29D"/>
    <w:rsid w:val="46C71542"/>
    <w:rsid w:val="46CB040D"/>
    <w:rsid w:val="46CB91AB"/>
    <w:rsid w:val="46D5F9F7"/>
    <w:rsid w:val="46DEBB32"/>
    <w:rsid w:val="46E56E25"/>
    <w:rsid w:val="46EB2577"/>
    <w:rsid w:val="46FA6EFF"/>
    <w:rsid w:val="470BEBC6"/>
    <w:rsid w:val="4729091C"/>
    <w:rsid w:val="472F717F"/>
    <w:rsid w:val="47317AD5"/>
    <w:rsid w:val="474793D7"/>
    <w:rsid w:val="477371C4"/>
    <w:rsid w:val="47785E27"/>
    <w:rsid w:val="477C83B4"/>
    <w:rsid w:val="47869591"/>
    <w:rsid w:val="478B1FDA"/>
    <w:rsid w:val="47905D50"/>
    <w:rsid w:val="4792E76A"/>
    <w:rsid w:val="4793444F"/>
    <w:rsid w:val="47A02D51"/>
    <w:rsid w:val="47A192BD"/>
    <w:rsid w:val="47A4C107"/>
    <w:rsid w:val="47A66DB5"/>
    <w:rsid w:val="47B20D63"/>
    <w:rsid w:val="47B85319"/>
    <w:rsid w:val="47B9D079"/>
    <w:rsid w:val="47BAFBD6"/>
    <w:rsid w:val="47C021C6"/>
    <w:rsid w:val="47C77BB8"/>
    <w:rsid w:val="47CB4D8D"/>
    <w:rsid w:val="47CDB25E"/>
    <w:rsid w:val="47D6F2C8"/>
    <w:rsid w:val="47E3C989"/>
    <w:rsid w:val="47EFFDB0"/>
    <w:rsid w:val="47F4B8BB"/>
    <w:rsid w:val="47FCB846"/>
    <w:rsid w:val="48026554"/>
    <w:rsid w:val="480EBCBF"/>
    <w:rsid w:val="48255DA2"/>
    <w:rsid w:val="482E0232"/>
    <w:rsid w:val="482E0C6B"/>
    <w:rsid w:val="482F8287"/>
    <w:rsid w:val="483942B4"/>
    <w:rsid w:val="483B6653"/>
    <w:rsid w:val="483CE25C"/>
    <w:rsid w:val="4845CCF7"/>
    <w:rsid w:val="48461A81"/>
    <w:rsid w:val="484B9519"/>
    <w:rsid w:val="484F37A8"/>
    <w:rsid w:val="4851BA39"/>
    <w:rsid w:val="485ECDA3"/>
    <w:rsid w:val="48630285"/>
    <w:rsid w:val="4863CA8A"/>
    <w:rsid w:val="4864602D"/>
    <w:rsid w:val="487FFFBB"/>
    <w:rsid w:val="4880CAB0"/>
    <w:rsid w:val="48864AB7"/>
    <w:rsid w:val="488B213A"/>
    <w:rsid w:val="488FCD34"/>
    <w:rsid w:val="48900855"/>
    <w:rsid w:val="4890365C"/>
    <w:rsid w:val="48A51B9E"/>
    <w:rsid w:val="48B977DC"/>
    <w:rsid w:val="48B9A354"/>
    <w:rsid w:val="48BC1E1B"/>
    <w:rsid w:val="48C4068A"/>
    <w:rsid w:val="48C722E7"/>
    <w:rsid w:val="48C82EB0"/>
    <w:rsid w:val="48CFFACE"/>
    <w:rsid w:val="48D489F6"/>
    <w:rsid w:val="48D67D39"/>
    <w:rsid w:val="48D72745"/>
    <w:rsid w:val="48EA8065"/>
    <w:rsid w:val="48F38D5B"/>
    <w:rsid w:val="48FB8EC7"/>
    <w:rsid w:val="48FF55B5"/>
    <w:rsid w:val="49010AAC"/>
    <w:rsid w:val="491277D6"/>
    <w:rsid w:val="4915C5A0"/>
    <w:rsid w:val="4915EA5A"/>
    <w:rsid w:val="491BFECF"/>
    <w:rsid w:val="491F0DC3"/>
    <w:rsid w:val="49200B83"/>
    <w:rsid w:val="4920178D"/>
    <w:rsid w:val="49252F97"/>
    <w:rsid w:val="49273D88"/>
    <w:rsid w:val="493386FD"/>
    <w:rsid w:val="4943D671"/>
    <w:rsid w:val="49478484"/>
    <w:rsid w:val="4949905B"/>
    <w:rsid w:val="494B1570"/>
    <w:rsid w:val="495D010B"/>
    <w:rsid w:val="495F5BE2"/>
    <w:rsid w:val="49681FD1"/>
    <w:rsid w:val="496B91E1"/>
    <w:rsid w:val="49842561"/>
    <w:rsid w:val="4985D6D2"/>
    <w:rsid w:val="498E8C58"/>
    <w:rsid w:val="49922801"/>
    <w:rsid w:val="4992D137"/>
    <w:rsid w:val="49A701E9"/>
    <w:rsid w:val="49ACDDFA"/>
    <w:rsid w:val="49ACE58F"/>
    <w:rsid w:val="49B5E011"/>
    <w:rsid w:val="49B6B93B"/>
    <w:rsid w:val="49C95614"/>
    <w:rsid w:val="49CC1C13"/>
    <w:rsid w:val="49CEA615"/>
    <w:rsid w:val="49D82213"/>
    <w:rsid w:val="49DC8906"/>
    <w:rsid w:val="49EACC6F"/>
    <w:rsid w:val="49EDD032"/>
    <w:rsid w:val="49EF3663"/>
    <w:rsid w:val="49F2015B"/>
    <w:rsid w:val="49F40FAC"/>
    <w:rsid w:val="49FF6A2F"/>
    <w:rsid w:val="4A007808"/>
    <w:rsid w:val="4A029F2D"/>
    <w:rsid w:val="4A128CA8"/>
    <w:rsid w:val="4A153E30"/>
    <w:rsid w:val="4A1F83C4"/>
    <w:rsid w:val="4A21EB85"/>
    <w:rsid w:val="4A289DD3"/>
    <w:rsid w:val="4A4BBC07"/>
    <w:rsid w:val="4A52FFED"/>
    <w:rsid w:val="4A575710"/>
    <w:rsid w:val="4A6DA8EA"/>
    <w:rsid w:val="4A707D1B"/>
    <w:rsid w:val="4A79199D"/>
    <w:rsid w:val="4A79D7ED"/>
    <w:rsid w:val="4A852CA4"/>
    <w:rsid w:val="4A8EC287"/>
    <w:rsid w:val="4A9CB944"/>
    <w:rsid w:val="4AA199A0"/>
    <w:rsid w:val="4AA4FA3F"/>
    <w:rsid w:val="4AAE1648"/>
    <w:rsid w:val="4ABDE91C"/>
    <w:rsid w:val="4ABFCCF7"/>
    <w:rsid w:val="4ACB8B60"/>
    <w:rsid w:val="4AD25B5C"/>
    <w:rsid w:val="4AD38593"/>
    <w:rsid w:val="4AD7486C"/>
    <w:rsid w:val="4AE0188E"/>
    <w:rsid w:val="4AE82743"/>
    <w:rsid w:val="4AF91301"/>
    <w:rsid w:val="4AFD909C"/>
    <w:rsid w:val="4AFF3FEC"/>
    <w:rsid w:val="4B0B53BE"/>
    <w:rsid w:val="4B1C18D8"/>
    <w:rsid w:val="4B244870"/>
    <w:rsid w:val="4B30DBB1"/>
    <w:rsid w:val="4B325177"/>
    <w:rsid w:val="4B348E67"/>
    <w:rsid w:val="4B38C10F"/>
    <w:rsid w:val="4B42C6FA"/>
    <w:rsid w:val="4B48E324"/>
    <w:rsid w:val="4B49FDE1"/>
    <w:rsid w:val="4B4A44BA"/>
    <w:rsid w:val="4B4C1530"/>
    <w:rsid w:val="4B4E6BC9"/>
    <w:rsid w:val="4B54D585"/>
    <w:rsid w:val="4B671C7E"/>
    <w:rsid w:val="4B6A0409"/>
    <w:rsid w:val="4B6A698A"/>
    <w:rsid w:val="4B761715"/>
    <w:rsid w:val="4B78FF7F"/>
    <w:rsid w:val="4B79EFFF"/>
    <w:rsid w:val="4B7BF37A"/>
    <w:rsid w:val="4B8069B8"/>
    <w:rsid w:val="4B82610A"/>
    <w:rsid w:val="4B87AA7A"/>
    <w:rsid w:val="4B87F11F"/>
    <w:rsid w:val="4B925A36"/>
    <w:rsid w:val="4B972327"/>
    <w:rsid w:val="4B9835D2"/>
    <w:rsid w:val="4B992629"/>
    <w:rsid w:val="4B9F0FE0"/>
    <w:rsid w:val="4B9F7F0F"/>
    <w:rsid w:val="4BAC9E9F"/>
    <w:rsid w:val="4BBEA116"/>
    <w:rsid w:val="4BBFBE97"/>
    <w:rsid w:val="4BC8C95C"/>
    <w:rsid w:val="4BCFC13C"/>
    <w:rsid w:val="4BD21AB3"/>
    <w:rsid w:val="4BDE4C9C"/>
    <w:rsid w:val="4BE47205"/>
    <w:rsid w:val="4BE75BB4"/>
    <w:rsid w:val="4BED5AE5"/>
    <w:rsid w:val="4BEDD443"/>
    <w:rsid w:val="4BF344CD"/>
    <w:rsid w:val="4BFF2AB0"/>
    <w:rsid w:val="4C0382B9"/>
    <w:rsid w:val="4C04BFAB"/>
    <w:rsid w:val="4C1133EC"/>
    <w:rsid w:val="4C1826C5"/>
    <w:rsid w:val="4C1A6ECF"/>
    <w:rsid w:val="4C1D75BE"/>
    <w:rsid w:val="4C259F6E"/>
    <w:rsid w:val="4C2BC19B"/>
    <w:rsid w:val="4C2E5EA1"/>
    <w:rsid w:val="4C2E69B7"/>
    <w:rsid w:val="4C2FDDEC"/>
    <w:rsid w:val="4C4166E4"/>
    <w:rsid w:val="4C47CB5E"/>
    <w:rsid w:val="4C49EBE6"/>
    <w:rsid w:val="4C512799"/>
    <w:rsid w:val="4C575BF0"/>
    <w:rsid w:val="4C59632B"/>
    <w:rsid w:val="4C5B52E5"/>
    <w:rsid w:val="4C5F30C5"/>
    <w:rsid w:val="4C70E705"/>
    <w:rsid w:val="4C74063C"/>
    <w:rsid w:val="4C760767"/>
    <w:rsid w:val="4C7E68FE"/>
    <w:rsid w:val="4C81FFEF"/>
    <w:rsid w:val="4C82E670"/>
    <w:rsid w:val="4C834CF3"/>
    <w:rsid w:val="4C897B49"/>
    <w:rsid w:val="4C929E3C"/>
    <w:rsid w:val="4C9B9358"/>
    <w:rsid w:val="4CA58736"/>
    <w:rsid w:val="4CA65E53"/>
    <w:rsid w:val="4CAB7B9A"/>
    <w:rsid w:val="4CB27030"/>
    <w:rsid w:val="4CC5AD54"/>
    <w:rsid w:val="4CCAEF6C"/>
    <w:rsid w:val="4CDE45C5"/>
    <w:rsid w:val="4CDE6473"/>
    <w:rsid w:val="4CEB2F2F"/>
    <w:rsid w:val="4D07F481"/>
    <w:rsid w:val="4D11CE00"/>
    <w:rsid w:val="4D1E35D1"/>
    <w:rsid w:val="4D206211"/>
    <w:rsid w:val="4D2C8861"/>
    <w:rsid w:val="4D318619"/>
    <w:rsid w:val="4D416910"/>
    <w:rsid w:val="4D50487C"/>
    <w:rsid w:val="4D5CCEB4"/>
    <w:rsid w:val="4D5E5392"/>
    <w:rsid w:val="4D686CA0"/>
    <w:rsid w:val="4D6987A4"/>
    <w:rsid w:val="4D796881"/>
    <w:rsid w:val="4D7CE75E"/>
    <w:rsid w:val="4D89820A"/>
    <w:rsid w:val="4D89DF69"/>
    <w:rsid w:val="4D947786"/>
    <w:rsid w:val="4D9D9AF7"/>
    <w:rsid w:val="4DA2F261"/>
    <w:rsid w:val="4DA6EF78"/>
    <w:rsid w:val="4DB1C420"/>
    <w:rsid w:val="4DB75DB9"/>
    <w:rsid w:val="4DBB2CBF"/>
    <w:rsid w:val="4DBD5715"/>
    <w:rsid w:val="4DC25770"/>
    <w:rsid w:val="4DC3BBEE"/>
    <w:rsid w:val="4DC5111A"/>
    <w:rsid w:val="4DC9D803"/>
    <w:rsid w:val="4DCC3C0E"/>
    <w:rsid w:val="4DCE56D6"/>
    <w:rsid w:val="4DCEC9A4"/>
    <w:rsid w:val="4DDC693F"/>
    <w:rsid w:val="4DEA2955"/>
    <w:rsid w:val="4DF3FD50"/>
    <w:rsid w:val="4DF7EEB3"/>
    <w:rsid w:val="4DFB6EE0"/>
    <w:rsid w:val="4E0A393F"/>
    <w:rsid w:val="4E0BE209"/>
    <w:rsid w:val="4E132448"/>
    <w:rsid w:val="4E273D26"/>
    <w:rsid w:val="4E28E8AB"/>
    <w:rsid w:val="4E2C7576"/>
    <w:rsid w:val="4E353713"/>
    <w:rsid w:val="4E57DAF8"/>
    <w:rsid w:val="4E590ECA"/>
    <w:rsid w:val="4E616BD0"/>
    <w:rsid w:val="4E6227AA"/>
    <w:rsid w:val="4E685415"/>
    <w:rsid w:val="4E6D4B4C"/>
    <w:rsid w:val="4E79FA7A"/>
    <w:rsid w:val="4E83BFDF"/>
    <w:rsid w:val="4E88629B"/>
    <w:rsid w:val="4E9672CF"/>
    <w:rsid w:val="4E9D0536"/>
    <w:rsid w:val="4EA06A7E"/>
    <w:rsid w:val="4EA8E6E1"/>
    <w:rsid w:val="4EAD6F81"/>
    <w:rsid w:val="4EB05CC6"/>
    <w:rsid w:val="4EBA81F0"/>
    <w:rsid w:val="4EC62554"/>
    <w:rsid w:val="4EC7B065"/>
    <w:rsid w:val="4EC8CF48"/>
    <w:rsid w:val="4EED7B02"/>
    <w:rsid w:val="4EF44762"/>
    <w:rsid w:val="4EF71B9C"/>
    <w:rsid w:val="4EFEB260"/>
    <w:rsid w:val="4F12B9FC"/>
    <w:rsid w:val="4F1AA998"/>
    <w:rsid w:val="4F24BD2C"/>
    <w:rsid w:val="4F32C40D"/>
    <w:rsid w:val="4F46A611"/>
    <w:rsid w:val="4F478B67"/>
    <w:rsid w:val="4F4BD7F0"/>
    <w:rsid w:val="4F4D18F2"/>
    <w:rsid w:val="4F50C81A"/>
    <w:rsid w:val="4F5A6762"/>
    <w:rsid w:val="4F5B561C"/>
    <w:rsid w:val="4F6BE130"/>
    <w:rsid w:val="4F6F8C30"/>
    <w:rsid w:val="4F750D89"/>
    <w:rsid w:val="4F8E24F2"/>
    <w:rsid w:val="4F8E6954"/>
    <w:rsid w:val="4F90A5AC"/>
    <w:rsid w:val="4F967DEE"/>
    <w:rsid w:val="4F9F1D5B"/>
    <w:rsid w:val="4FB206CA"/>
    <w:rsid w:val="4FB35E75"/>
    <w:rsid w:val="4FBA31C9"/>
    <w:rsid w:val="4FBB043F"/>
    <w:rsid w:val="4FC00CB6"/>
    <w:rsid w:val="4FD02CE4"/>
    <w:rsid w:val="4FD33C10"/>
    <w:rsid w:val="4FDACCF0"/>
    <w:rsid w:val="4FDCE9C8"/>
    <w:rsid w:val="4FDD5B66"/>
    <w:rsid w:val="4FE90A8F"/>
    <w:rsid w:val="4FEA3A7E"/>
    <w:rsid w:val="4FF4E5A3"/>
    <w:rsid w:val="4FFB46CD"/>
    <w:rsid w:val="50050A48"/>
    <w:rsid w:val="50250C29"/>
    <w:rsid w:val="50348B2F"/>
    <w:rsid w:val="503EB091"/>
    <w:rsid w:val="50407527"/>
    <w:rsid w:val="504AB5D8"/>
    <w:rsid w:val="504F4B3D"/>
    <w:rsid w:val="5053BD1E"/>
    <w:rsid w:val="505EB300"/>
    <w:rsid w:val="506095FD"/>
    <w:rsid w:val="506D0E39"/>
    <w:rsid w:val="50726012"/>
    <w:rsid w:val="50767077"/>
    <w:rsid w:val="507A1DE1"/>
    <w:rsid w:val="50808D04"/>
    <w:rsid w:val="50837F52"/>
    <w:rsid w:val="508F538D"/>
    <w:rsid w:val="50955D2E"/>
    <w:rsid w:val="50A1D25B"/>
    <w:rsid w:val="50AAF06E"/>
    <w:rsid w:val="50BD7DDB"/>
    <w:rsid w:val="50CAE203"/>
    <w:rsid w:val="50D540B6"/>
    <w:rsid w:val="50E4E612"/>
    <w:rsid w:val="51025570"/>
    <w:rsid w:val="5103F25B"/>
    <w:rsid w:val="510444EE"/>
    <w:rsid w:val="5104CEFB"/>
    <w:rsid w:val="510D6137"/>
    <w:rsid w:val="510EA2C7"/>
    <w:rsid w:val="51216E29"/>
    <w:rsid w:val="512549D3"/>
    <w:rsid w:val="5134C25C"/>
    <w:rsid w:val="51374B30"/>
    <w:rsid w:val="513991EA"/>
    <w:rsid w:val="51402A5F"/>
    <w:rsid w:val="514304FE"/>
    <w:rsid w:val="51556BD7"/>
    <w:rsid w:val="51567505"/>
    <w:rsid w:val="515FB463"/>
    <w:rsid w:val="5162B6DB"/>
    <w:rsid w:val="517458B0"/>
    <w:rsid w:val="5175751C"/>
    <w:rsid w:val="5175D1F4"/>
    <w:rsid w:val="517FECB8"/>
    <w:rsid w:val="51894241"/>
    <w:rsid w:val="518A1972"/>
    <w:rsid w:val="518D995C"/>
    <w:rsid w:val="518EED86"/>
    <w:rsid w:val="5196F65D"/>
    <w:rsid w:val="519A8499"/>
    <w:rsid w:val="519CB076"/>
    <w:rsid w:val="519CD458"/>
    <w:rsid w:val="51A62065"/>
    <w:rsid w:val="51A8128D"/>
    <w:rsid w:val="51AA595C"/>
    <w:rsid w:val="51AC070A"/>
    <w:rsid w:val="51C0E7C0"/>
    <w:rsid w:val="51CA2023"/>
    <w:rsid w:val="51CB8B44"/>
    <w:rsid w:val="51CBF85B"/>
    <w:rsid w:val="51CF0482"/>
    <w:rsid w:val="51D98539"/>
    <w:rsid w:val="51E78BBE"/>
    <w:rsid w:val="51F0B98C"/>
    <w:rsid w:val="51FD0B66"/>
    <w:rsid w:val="51FE7668"/>
    <w:rsid w:val="520B0DBE"/>
    <w:rsid w:val="52106AE2"/>
    <w:rsid w:val="5215E007"/>
    <w:rsid w:val="521ED127"/>
    <w:rsid w:val="52224319"/>
    <w:rsid w:val="523EF9F6"/>
    <w:rsid w:val="525515EE"/>
    <w:rsid w:val="52570080"/>
    <w:rsid w:val="526BC191"/>
    <w:rsid w:val="5278B6AF"/>
    <w:rsid w:val="5279B81F"/>
    <w:rsid w:val="527ABE33"/>
    <w:rsid w:val="527BB238"/>
    <w:rsid w:val="527F7C3E"/>
    <w:rsid w:val="5284D5F3"/>
    <w:rsid w:val="5291E8C7"/>
    <w:rsid w:val="52A208BD"/>
    <w:rsid w:val="52A96F62"/>
    <w:rsid w:val="52ABEC90"/>
    <w:rsid w:val="52B627BE"/>
    <w:rsid w:val="52BE5380"/>
    <w:rsid w:val="52E2C7A4"/>
    <w:rsid w:val="52E5886D"/>
    <w:rsid w:val="52F1F9FC"/>
    <w:rsid w:val="52F3138B"/>
    <w:rsid w:val="52F5C976"/>
    <w:rsid w:val="53169ED3"/>
    <w:rsid w:val="531A1D6F"/>
    <w:rsid w:val="531DA260"/>
    <w:rsid w:val="53238F4F"/>
    <w:rsid w:val="5327CB8C"/>
    <w:rsid w:val="532991BB"/>
    <w:rsid w:val="533C62D8"/>
    <w:rsid w:val="533DE4E8"/>
    <w:rsid w:val="53435179"/>
    <w:rsid w:val="5347FF32"/>
    <w:rsid w:val="53517B96"/>
    <w:rsid w:val="535A7D6D"/>
    <w:rsid w:val="536AD0BF"/>
    <w:rsid w:val="53754F53"/>
    <w:rsid w:val="537702D7"/>
    <w:rsid w:val="537EE7FB"/>
    <w:rsid w:val="5380589D"/>
    <w:rsid w:val="53827B26"/>
    <w:rsid w:val="5388986D"/>
    <w:rsid w:val="538E6C65"/>
    <w:rsid w:val="53905CCB"/>
    <w:rsid w:val="539A0D12"/>
    <w:rsid w:val="53A1596A"/>
    <w:rsid w:val="53A19B0B"/>
    <w:rsid w:val="53A40A46"/>
    <w:rsid w:val="53B250AF"/>
    <w:rsid w:val="53B42DD5"/>
    <w:rsid w:val="53D729CB"/>
    <w:rsid w:val="53DC8662"/>
    <w:rsid w:val="53F49E60"/>
    <w:rsid w:val="53FB92B6"/>
    <w:rsid w:val="54215E4B"/>
    <w:rsid w:val="542EA71F"/>
    <w:rsid w:val="5433C7D0"/>
    <w:rsid w:val="54340230"/>
    <w:rsid w:val="5436877F"/>
    <w:rsid w:val="5439BB32"/>
    <w:rsid w:val="54428A0E"/>
    <w:rsid w:val="5443F25D"/>
    <w:rsid w:val="544812A3"/>
    <w:rsid w:val="5455C4F9"/>
    <w:rsid w:val="5458AD6F"/>
    <w:rsid w:val="545980E5"/>
    <w:rsid w:val="545FBC56"/>
    <w:rsid w:val="54675504"/>
    <w:rsid w:val="546A6739"/>
    <w:rsid w:val="546EC97B"/>
    <w:rsid w:val="54709B33"/>
    <w:rsid w:val="54731133"/>
    <w:rsid w:val="5478173C"/>
    <w:rsid w:val="547B0A0B"/>
    <w:rsid w:val="547CC9E3"/>
    <w:rsid w:val="5482A147"/>
    <w:rsid w:val="54831020"/>
    <w:rsid w:val="548D9B0B"/>
    <w:rsid w:val="54997186"/>
    <w:rsid w:val="549A0162"/>
    <w:rsid w:val="549A27FC"/>
    <w:rsid w:val="54BC696D"/>
    <w:rsid w:val="54C02B88"/>
    <w:rsid w:val="54C99824"/>
    <w:rsid w:val="54D21A1A"/>
    <w:rsid w:val="54DA34FD"/>
    <w:rsid w:val="54DAEEAF"/>
    <w:rsid w:val="54DFBE06"/>
    <w:rsid w:val="54E7B601"/>
    <w:rsid w:val="54E7EA12"/>
    <w:rsid w:val="54E95C64"/>
    <w:rsid w:val="54F957AF"/>
    <w:rsid w:val="54FBDDA8"/>
    <w:rsid w:val="54FD7CE2"/>
    <w:rsid w:val="5503426E"/>
    <w:rsid w:val="55042599"/>
    <w:rsid w:val="550D4EF9"/>
    <w:rsid w:val="551AF004"/>
    <w:rsid w:val="551E7729"/>
    <w:rsid w:val="552696AE"/>
    <w:rsid w:val="552DA4E0"/>
    <w:rsid w:val="553C94C0"/>
    <w:rsid w:val="553E1759"/>
    <w:rsid w:val="5550CF2E"/>
    <w:rsid w:val="555280F9"/>
    <w:rsid w:val="5567B425"/>
    <w:rsid w:val="5568FE4B"/>
    <w:rsid w:val="55729BB2"/>
    <w:rsid w:val="55769A8C"/>
    <w:rsid w:val="557AB34D"/>
    <w:rsid w:val="557E4BE1"/>
    <w:rsid w:val="558443FA"/>
    <w:rsid w:val="5584AC62"/>
    <w:rsid w:val="559E84B6"/>
    <w:rsid w:val="559F018D"/>
    <w:rsid w:val="55A6134B"/>
    <w:rsid w:val="55A73DFF"/>
    <w:rsid w:val="55B1A98B"/>
    <w:rsid w:val="55CA99CB"/>
    <w:rsid w:val="55CCD5E5"/>
    <w:rsid w:val="55DFC919"/>
    <w:rsid w:val="55E98D6C"/>
    <w:rsid w:val="55ED3BFA"/>
    <w:rsid w:val="55F047B9"/>
    <w:rsid w:val="55F2DC5C"/>
    <w:rsid w:val="55F3C35B"/>
    <w:rsid w:val="560097FA"/>
    <w:rsid w:val="560158D2"/>
    <w:rsid w:val="56025C2F"/>
    <w:rsid w:val="561BD654"/>
    <w:rsid w:val="561F77A1"/>
    <w:rsid w:val="562BF222"/>
    <w:rsid w:val="562D97E8"/>
    <w:rsid w:val="563A1034"/>
    <w:rsid w:val="563CF193"/>
    <w:rsid w:val="5652DC44"/>
    <w:rsid w:val="5657045E"/>
    <w:rsid w:val="56581719"/>
    <w:rsid w:val="566049F4"/>
    <w:rsid w:val="566D4A08"/>
    <w:rsid w:val="566DC026"/>
    <w:rsid w:val="566E4193"/>
    <w:rsid w:val="566F34DA"/>
    <w:rsid w:val="5679EB16"/>
    <w:rsid w:val="567C0522"/>
    <w:rsid w:val="567CA48B"/>
    <w:rsid w:val="567FCC30"/>
    <w:rsid w:val="5689A4E4"/>
    <w:rsid w:val="568BAF4A"/>
    <w:rsid w:val="568F3CD0"/>
    <w:rsid w:val="569FB689"/>
    <w:rsid w:val="56A4DF20"/>
    <w:rsid w:val="56A70E1D"/>
    <w:rsid w:val="56C4C7E5"/>
    <w:rsid w:val="56C4DB61"/>
    <w:rsid w:val="56CC70A2"/>
    <w:rsid w:val="56CD4FF7"/>
    <w:rsid w:val="56D2B712"/>
    <w:rsid w:val="56D3084B"/>
    <w:rsid w:val="56D92544"/>
    <w:rsid w:val="56E70958"/>
    <w:rsid w:val="56E8DF21"/>
    <w:rsid w:val="56EE8D8C"/>
    <w:rsid w:val="56EF4D79"/>
    <w:rsid w:val="56F059B7"/>
    <w:rsid w:val="56F6611D"/>
    <w:rsid w:val="56FA6B7D"/>
    <w:rsid w:val="56FABB9B"/>
    <w:rsid w:val="56FB08C6"/>
    <w:rsid w:val="56FDFB8C"/>
    <w:rsid w:val="570547F0"/>
    <w:rsid w:val="57063B29"/>
    <w:rsid w:val="57077D2F"/>
    <w:rsid w:val="5707C919"/>
    <w:rsid w:val="570CA706"/>
    <w:rsid w:val="570D8161"/>
    <w:rsid w:val="57349855"/>
    <w:rsid w:val="5735D4F5"/>
    <w:rsid w:val="573696C9"/>
    <w:rsid w:val="573825D4"/>
    <w:rsid w:val="573BE317"/>
    <w:rsid w:val="5744BE22"/>
    <w:rsid w:val="57468D10"/>
    <w:rsid w:val="5747B458"/>
    <w:rsid w:val="57494F2B"/>
    <w:rsid w:val="57552DF5"/>
    <w:rsid w:val="57582333"/>
    <w:rsid w:val="575EE52A"/>
    <w:rsid w:val="575F72AD"/>
    <w:rsid w:val="57681767"/>
    <w:rsid w:val="5770FE2D"/>
    <w:rsid w:val="5779DB82"/>
    <w:rsid w:val="5793EC3F"/>
    <w:rsid w:val="57955906"/>
    <w:rsid w:val="57991B29"/>
    <w:rsid w:val="5799E7C0"/>
    <w:rsid w:val="579A15CF"/>
    <w:rsid w:val="579AB12F"/>
    <w:rsid w:val="579DCC80"/>
    <w:rsid w:val="579E8980"/>
    <w:rsid w:val="579EA71E"/>
    <w:rsid w:val="57A22D2C"/>
    <w:rsid w:val="57AF73CA"/>
    <w:rsid w:val="57B49DDA"/>
    <w:rsid w:val="57B70A98"/>
    <w:rsid w:val="57B9B376"/>
    <w:rsid w:val="57C0DB1C"/>
    <w:rsid w:val="57C764F9"/>
    <w:rsid w:val="57CC1BC8"/>
    <w:rsid w:val="57D9D77A"/>
    <w:rsid w:val="57E1B688"/>
    <w:rsid w:val="57E3CB43"/>
    <w:rsid w:val="57EA293B"/>
    <w:rsid w:val="57F6723D"/>
    <w:rsid w:val="57F791C1"/>
    <w:rsid w:val="57FBDCD0"/>
    <w:rsid w:val="58002278"/>
    <w:rsid w:val="5803ACE5"/>
    <w:rsid w:val="5804C6F6"/>
    <w:rsid w:val="5805DC80"/>
    <w:rsid w:val="58210456"/>
    <w:rsid w:val="58341062"/>
    <w:rsid w:val="583A3AB2"/>
    <w:rsid w:val="583D0B2F"/>
    <w:rsid w:val="583D3D80"/>
    <w:rsid w:val="583D51A1"/>
    <w:rsid w:val="583EC373"/>
    <w:rsid w:val="584332EC"/>
    <w:rsid w:val="58471898"/>
    <w:rsid w:val="584753C9"/>
    <w:rsid w:val="5850D738"/>
    <w:rsid w:val="585E8890"/>
    <w:rsid w:val="586021B5"/>
    <w:rsid w:val="5868EE57"/>
    <w:rsid w:val="58906502"/>
    <w:rsid w:val="589FFCDA"/>
    <w:rsid w:val="58A30324"/>
    <w:rsid w:val="58A9EE6C"/>
    <w:rsid w:val="58AB12D2"/>
    <w:rsid w:val="58AE8C07"/>
    <w:rsid w:val="58B10E4A"/>
    <w:rsid w:val="58B1DEDE"/>
    <w:rsid w:val="58B2FD4A"/>
    <w:rsid w:val="58B4B0D1"/>
    <w:rsid w:val="58B5A85A"/>
    <w:rsid w:val="58C21603"/>
    <w:rsid w:val="58CDB58A"/>
    <w:rsid w:val="58DD97C6"/>
    <w:rsid w:val="58E0DEC9"/>
    <w:rsid w:val="58E112B5"/>
    <w:rsid w:val="58ED68FC"/>
    <w:rsid w:val="58F13278"/>
    <w:rsid w:val="58F1E37F"/>
    <w:rsid w:val="59003AE9"/>
    <w:rsid w:val="59070B6E"/>
    <w:rsid w:val="59080A85"/>
    <w:rsid w:val="5912FFCD"/>
    <w:rsid w:val="5920E412"/>
    <w:rsid w:val="5928DBBB"/>
    <w:rsid w:val="592D4025"/>
    <w:rsid w:val="59480443"/>
    <w:rsid w:val="5949A730"/>
    <w:rsid w:val="594B239B"/>
    <w:rsid w:val="59554DEC"/>
    <w:rsid w:val="5959B0DD"/>
    <w:rsid w:val="5959DD79"/>
    <w:rsid w:val="595A1305"/>
    <w:rsid w:val="5962CD79"/>
    <w:rsid w:val="5973E2BA"/>
    <w:rsid w:val="59838E30"/>
    <w:rsid w:val="598B4A37"/>
    <w:rsid w:val="5992367C"/>
    <w:rsid w:val="5997332F"/>
    <w:rsid w:val="5998E528"/>
    <w:rsid w:val="5999F52C"/>
    <w:rsid w:val="59A4B3DE"/>
    <w:rsid w:val="59A5D9D4"/>
    <w:rsid w:val="59AF18F0"/>
    <w:rsid w:val="59B3BC2D"/>
    <w:rsid w:val="59BABEF3"/>
    <w:rsid w:val="59CC85C7"/>
    <w:rsid w:val="59D1DEED"/>
    <w:rsid w:val="59D9774C"/>
    <w:rsid w:val="59E12C64"/>
    <w:rsid w:val="59E34B7F"/>
    <w:rsid w:val="59EE16EC"/>
    <w:rsid w:val="59EE6D33"/>
    <w:rsid w:val="59FB15ED"/>
    <w:rsid w:val="59FE92C9"/>
    <w:rsid w:val="5A004C8A"/>
    <w:rsid w:val="5A01004C"/>
    <w:rsid w:val="5A046411"/>
    <w:rsid w:val="5A084F7C"/>
    <w:rsid w:val="5A1A16AC"/>
    <w:rsid w:val="5A2F72D3"/>
    <w:rsid w:val="5A355C2C"/>
    <w:rsid w:val="5A3BCC98"/>
    <w:rsid w:val="5A43928D"/>
    <w:rsid w:val="5A4D42AA"/>
    <w:rsid w:val="5A4F1BE8"/>
    <w:rsid w:val="5A4F904E"/>
    <w:rsid w:val="5A52DA20"/>
    <w:rsid w:val="5A5C085D"/>
    <w:rsid w:val="5A69E075"/>
    <w:rsid w:val="5A72DCAA"/>
    <w:rsid w:val="5A772794"/>
    <w:rsid w:val="5A83404A"/>
    <w:rsid w:val="5A8A60FA"/>
    <w:rsid w:val="5A8BE4E3"/>
    <w:rsid w:val="5A970C84"/>
    <w:rsid w:val="5A9B9BAD"/>
    <w:rsid w:val="5AA6F54A"/>
    <w:rsid w:val="5AA96E43"/>
    <w:rsid w:val="5AAA92B7"/>
    <w:rsid w:val="5AACEBC1"/>
    <w:rsid w:val="5AAE8E72"/>
    <w:rsid w:val="5AB3A7AC"/>
    <w:rsid w:val="5AC1D670"/>
    <w:rsid w:val="5AC534DE"/>
    <w:rsid w:val="5AD0BDCD"/>
    <w:rsid w:val="5AD75BDB"/>
    <w:rsid w:val="5ADCD321"/>
    <w:rsid w:val="5AEC7DB2"/>
    <w:rsid w:val="5AF07642"/>
    <w:rsid w:val="5AF07B44"/>
    <w:rsid w:val="5B065A18"/>
    <w:rsid w:val="5B1B02D3"/>
    <w:rsid w:val="5B1DDDE6"/>
    <w:rsid w:val="5B22C26F"/>
    <w:rsid w:val="5B2920CF"/>
    <w:rsid w:val="5B351DA5"/>
    <w:rsid w:val="5B3A3260"/>
    <w:rsid w:val="5B3E539E"/>
    <w:rsid w:val="5B407CCA"/>
    <w:rsid w:val="5B4D570F"/>
    <w:rsid w:val="5B5792E0"/>
    <w:rsid w:val="5B637F19"/>
    <w:rsid w:val="5B6A386A"/>
    <w:rsid w:val="5B6E9E52"/>
    <w:rsid w:val="5B7450B7"/>
    <w:rsid w:val="5B791536"/>
    <w:rsid w:val="5B83EE58"/>
    <w:rsid w:val="5B84EBC0"/>
    <w:rsid w:val="5B86F054"/>
    <w:rsid w:val="5B87E708"/>
    <w:rsid w:val="5B8BED8A"/>
    <w:rsid w:val="5B8E3773"/>
    <w:rsid w:val="5B96B63C"/>
    <w:rsid w:val="5BA7415F"/>
    <w:rsid w:val="5BA8A525"/>
    <w:rsid w:val="5BB03F97"/>
    <w:rsid w:val="5BBAF32F"/>
    <w:rsid w:val="5BC62307"/>
    <w:rsid w:val="5BCFAA29"/>
    <w:rsid w:val="5BD9A5DC"/>
    <w:rsid w:val="5C0CF167"/>
    <w:rsid w:val="5C1ABA74"/>
    <w:rsid w:val="5C357160"/>
    <w:rsid w:val="5C420BC4"/>
    <w:rsid w:val="5C4614FC"/>
    <w:rsid w:val="5C496C45"/>
    <w:rsid w:val="5C598D84"/>
    <w:rsid w:val="5C606CE3"/>
    <w:rsid w:val="5C6316C8"/>
    <w:rsid w:val="5C6644C6"/>
    <w:rsid w:val="5C7B00C7"/>
    <w:rsid w:val="5C7C748D"/>
    <w:rsid w:val="5C8AE76D"/>
    <w:rsid w:val="5C94F8A1"/>
    <w:rsid w:val="5C9BC03B"/>
    <w:rsid w:val="5C9D44DE"/>
    <w:rsid w:val="5CA6D1E4"/>
    <w:rsid w:val="5CB20C4C"/>
    <w:rsid w:val="5CC5E3D4"/>
    <w:rsid w:val="5CCF5FBC"/>
    <w:rsid w:val="5CDB5A58"/>
    <w:rsid w:val="5CDDC204"/>
    <w:rsid w:val="5CF1DD20"/>
    <w:rsid w:val="5CF40883"/>
    <w:rsid w:val="5CF43B82"/>
    <w:rsid w:val="5CF9763B"/>
    <w:rsid w:val="5D082031"/>
    <w:rsid w:val="5D0AAF1B"/>
    <w:rsid w:val="5D103DC0"/>
    <w:rsid w:val="5D11FAE5"/>
    <w:rsid w:val="5D1D186F"/>
    <w:rsid w:val="5D275A24"/>
    <w:rsid w:val="5D298CDE"/>
    <w:rsid w:val="5D40A650"/>
    <w:rsid w:val="5D4E0BA5"/>
    <w:rsid w:val="5D5921BC"/>
    <w:rsid w:val="5D603EDF"/>
    <w:rsid w:val="5D6308DB"/>
    <w:rsid w:val="5D6B90E9"/>
    <w:rsid w:val="5D6D1096"/>
    <w:rsid w:val="5D7049FF"/>
    <w:rsid w:val="5D728324"/>
    <w:rsid w:val="5D742DB7"/>
    <w:rsid w:val="5D83D4F5"/>
    <w:rsid w:val="5D84E8D8"/>
    <w:rsid w:val="5D8F5B41"/>
    <w:rsid w:val="5D9BEBBE"/>
    <w:rsid w:val="5DA3C6CA"/>
    <w:rsid w:val="5DA5E9B8"/>
    <w:rsid w:val="5DA6F13E"/>
    <w:rsid w:val="5DB56284"/>
    <w:rsid w:val="5DBF5D85"/>
    <w:rsid w:val="5DC1C606"/>
    <w:rsid w:val="5DDA2658"/>
    <w:rsid w:val="5DDA459B"/>
    <w:rsid w:val="5DDBC2D7"/>
    <w:rsid w:val="5DDEE1D8"/>
    <w:rsid w:val="5DE023AF"/>
    <w:rsid w:val="5DE3A87D"/>
    <w:rsid w:val="5DE4D2C8"/>
    <w:rsid w:val="5DE98DDB"/>
    <w:rsid w:val="5DEC23A7"/>
    <w:rsid w:val="5DF183D5"/>
    <w:rsid w:val="5DF69D99"/>
    <w:rsid w:val="5E0167FF"/>
    <w:rsid w:val="5E0246D5"/>
    <w:rsid w:val="5E03E510"/>
    <w:rsid w:val="5E03F7B0"/>
    <w:rsid w:val="5E05A14B"/>
    <w:rsid w:val="5E0E75C2"/>
    <w:rsid w:val="5E13C783"/>
    <w:rsid w:val="5E298F60"/>
    <w:rsid w:val="5E2CE818"/>
    <w:rsid w:val="5E2E13FA"/>
    <w:rsid w:val="5E30E648"/>
    <w:rsid w:val="5E36769B"/>
    <w:rsid w:val="5E4E06DE"/>
    <w:rsid w:val="5E4E9810"/>
    <w:rsid w:val="5E5174AE"/>
    <w:rsid w:val="5E63B78F"/>
    <w:rsid w:val="5E70D665"/>
    <w:rsid w:val="5E8304DF"/>
    <w:rsid w:val="5E88C087"/>
    <w:rsid w:val="5E89F9AF"/>
    <w:rsid w:val="5E954466"/>
    <w:rsid w:val="5E9658D9"/>
    <w:rsid w:val="5E9C3435"/>
    <w:rsid w:val="5E9CB2CD"/>
    <w:rsid w:val="5EA6BEDA"/>
    <w:rsid w:val="5EA72A6E"/>
    <w:rsid w:val="5EAF6E1D"/>
    <w:rsid w:val="5EB1668C"/>
    <w:rsid w:val="5EB8B719"/>
    <w:rsid w:val="5EBCAEFD"/>
    <w:rsid w:val="5EC03DFA"/>
    <w:rsid w:val="5ED58AD5"/>
    <w:rsid w:val="5ED892C5"/>
    <w:rsid w:val="5EE32635"/>
    <w:rsid w:val="5EE63199"/>
    <w:rsid w:val="5EE6F671"/>
    <w:rsid w:val="5EEE929C"/>
    <w:rsid w:val="5EEF9870"/>
    <w:rsid w:val="5F1FB944"/>
    <w:rsid w:val="5F244C16"/>
    <w:rsid w:val="5F24852C"/>
    <w:rsid w:val="5F24D77E"/>
    <w:rsid w:val="5F2DCBE7"/>
    <w:rsid w:val="5F3597C9"/>
    <w:rsid w:val="5F372057"/>
    <w:rsid w:val="5F546D39"/>
    <w:rsid w:val="5F554D7F"/>
    <w:rsid w:val="5F56F248"/>
    <w:rsid w:val="5F5CFCCC"/>
    <w:rsid w:val="5F5D5790"/>
    <w:rsid w:val="5F657F15"/>
    <w:rsid w:val="5F6AE4BE"/>
    <w:rsid w:val="5F78C00F"/>
    <w:rsid w:val="5F9161FB"/>
    <w:rsid w:val="5F9BB63A"/>
    <w:rsid w:val="5FA03E5B"/>
    <w:rsid w:val="5FA62894"/>
    <w:rsid w:val="5FA9A47C"/>
    <w:rsid w:val="5FBD7A1C"/>
    <w:rsid w:val="5FBD9D6D"/>
    <w:rsid w:val="5FC3E84E"/>
    <w:rsid w:val="5FCBB48F"/>
    <w:rsid w:val="5FD09141"/>
    <w:rsid w:val="5FD63174"/>
    <w:rsid w:val="5FDE54E6"/>
    <w:rsid w:val="5FE25CBD"/>
    <w:rsid w:val="5FE8DA7A"/>
    <w:rsid w:val="5FF39A7C"/>
    <w:rsid w:val="5FF64240"/>
    <w:rsid w:val="6003FE35"/>
    <w:rsid w:val="60062C5F"/>
    <w:rsid w:val="6014462F"/>
    <w:rsid w:val="60196B3D"/>
    <w:rsid w:val="601A12F5"/>
    <w:rsid w:val="601C94C1"/>
    <w:rsid w:val="601D7044"/>
    <w:rsid w:val="601DCC1A"/>
    <w:rsid w:val="60225304"/>
    <w:rsid w:val="602D6B68"/>
    <w:rsid w:val="6036CFAE"/>
    <w:rsid w:val="603A03C6"/>
    <w:rsid w:val="60442564"/>
    <w:rsid w:val="605195B7"/>
    <w:rsid w:val="60550CEF"/>
    <w:rsid w:val="605DB7BC"/>
    <w:rsid w:val="60614256"/>
    <w:rsid w:val="6068178F"/>
    <w:rsid w:val="606A979A"/>
    <w:rsid w:val="60710C42"/>
    <w:rsid w:val="6074A131"/>
    <w:rsid w:val="6079AEDB"/>
    <w:rsid w:val="608AA549"/>
    <w:rsid w:val="60901FB7"/>
    <w:rsid w:val="6099BE69"/>
    <w:rsid w:val="60A0469D"/>
    <w:rsid w:val="60D1DE3D"/>
    <w:rsid w:val="60D37479"/>
    <w:rsid w:val="60DA9956"/>
    <w:rsid w:val="60DE2960"/>
    <w:rsid w:val="60DFDEB1"/>
    <w:rsid w:val="60E6DF24"/>
    <w:rsid w:val="60E9D79E"/>
    <w:rsid w:val="60F41124"/>
    <w:rsid w:val="60F53B4E"/>
    <w:rsid w:val="60F8B3F5"/>
    <w:rsid w:val="61027BDE"/>
    <w:rsid w:val="61171080"/>
    <w:rsid w:val="611766C4"/>
    <w:rsid w:val="611B6CF2"/>
    <w:rsid w:val="6131A224"/>
    <w:rsid w:val="6143F0B0"/>
    <w:rsid w:val="6145E8CE"/>
    <w:rsid w:val="6154CD38"/>
    <w:rsid w:val="615521D4"/>
    <w:rsid w:val="61609AC7"/>
    <w:rsid w:val="6168FA43"/>
    <w:rsid w:val="616D4BE4"/>
    <w:rsid w:val="617103E8"/>
    <w:rsid w:val="6174FB11"/>
    <w:rsid w:val="617BD75A"/>
    <w:rsid w:val="618B9577"/>
    <w:rsid w:val="618DAD01"/>
    <w:rsid w:val="619B0502"/>
    <w:rsid w:val="619E07A8"/>
    <w:rsid w:val="61A5733A"/>
    <w:rsid w:val="61B1B64C"/>
    <w:rsid w:val="61B707C9"/>
    <w:rsid w:val="61C37D6C"/>
    <w:rsid w:val="61C4A587"/>
    <w:rsid w:val="61C90EC3"/>
    <w:rsid w:val="61C9975C"/>
    <w:rsid w:val="61CC029E"/>
    <w:rsid w:val="61D4D00E"/>
    <w:rsid w:val="61DB8744"/>
    <w:rsid w:val="61DE38D3"/>
    <w:rsid w:val="61DF1317"/>
    <w:rsid w:val="61ED6473"/>
    <w:rsid w:val="61EDBF97"/>
    <w:rsid w:val="61FD537C"/>
    <w:rsid w:val="6201F3D3"/>
    <w:rsid w:val="620859BC"/>
    <w:rsid w:val="620BC847"/>
    <w:rsid w:val="6210F4FB"/>
    <w:rsid w:val="6213C3DB"/>
    <w:rsid w:val="6214C6AC"/>
    <w:rsid w:val="62165437"/>
    <w:rsid w:val="622453F2"/>
    <w:rsid w:val="62254F51"/>
    <w:rsid w:val="6234F8FE"/>
    <w:rsid w:val="62529C93"/>
    <w:rsid w:val="626748EC"/>
    <w:rsid w:val="62702D18"/>
    <w:rsid w:val="628670B9"/>
    <w:rsid w:val="6293332F"/>
    <w:rsid w:val="6294BA9C"/>
    <w:rsid w:val="62ACF907"/>
    <w:rsid w:val="62B6DFCB"/>
    <w:rsid w:val="62BC9EBC"/>
    <w:rsid w:val="62C3DEB2"/>
    <w:rsid w:val="62CDFBE6"/>
    <w:rsid w:val="62D7BD88"/>
    <w:rsid w:val="62E1F58A"/>
    <w:rsid w:val="62E743DE"/>
    <w:rsid w:val="62EB5532"/>
    <w:rsid w:val="62ECE03D"/>
    <w:rsid w:val="62F0B5A7"/>
    <w:rsid w:val="63049503"/>
    <w:rsid w:val="63049EA5"/>
    <w:rsid w:val="630DB150"/>
    <w:rsid w:val="630E1565"/>
    <w:rsid w:val="63152DC8"/>
    <w:rsid w:val="63296582"/>
    <w:rsid w:val="632B5130"/>
    <w:rsid w:val="63354122"/>
    <w:rsid w:val="634A3957"/>
    <w:rsid w:val="6359E9D2"/>
    <w:rsid w:val="635D873D"/>
    <w:rsid w:val="635FA71E"/>
    <w:rsid w:val="636196C0"/>
    <w:rsid w:val="6362BEF0"/>
    <w:rsid w:val="63716B26"/>
    <w:rsid w:val="63786E47"/>
    <w:rsid w:val="6379C732"/>
    <w:rsid w:val="63822A3F"/>
    <w:rsid w:val="6389F955"/>
    <w:rsid w:val="638AC9F1"/>
    <w:rsid w:val="639540C3"/>
    <w:rsid w:val="639E8074"/>
    <w:rsid w:val="63A154AD"/>
    <w:rsid w:val="63A43D68"/>
    <w:rsid w:val="63B19F63"/>
    <w:rsid w:val="63D4A2BE"/>
    <w:rsid w:val="63DE3A88"/>
    <w:rsid w:val="63E2BBF5"/>
    <w:rsid w:val="63ED7A3A"/>
    <w:rsid w:val="63F40752"/>
    <w:rsid w:val="63F45271"/>
    <w:rsid w:val="64026570"/>
    <w:rsid w:val="640F2D34"/>
    <w:rsid w:val="641CA8C8"/>
    <w:rsid w:val="6424F8DB"/>
    <w:rsid w:val="643C9905"/>
    <w:rsid w:val="6441AC9B"/>
    <w:rsid w:val="6444FE41"/>
    <w:rsid w:val="644AB64B"/>
    <w:rsid w:val="64570083"/>
    <w:rsid w:val="645703A8"/>
    <w:rsid w:val="6459A937"/>
    <w:rsid w:val="645D677B"/>
    <w:rsid w:val="64757C9A"/>
    <w:rsid w:val="647A05F6"/>
    <w:rsid w:val="647E2DEB"/>
    <w:rsid w:val="6480DF81"/>
    <w:rsid w:val="6481C58C"/>
    <w:rsid w:val="6484B778"/>
    <w:rsid w:val="649602BA"/>
    <w:rsid w:val="649B009F"/>
    <w:rsid w:val="649F99DC"/>
    <w:rsid w:val="64A6770D"/>
    <w:rsid w:val="64A6781E"/>
    <w:rsid w:val="64C00457"/>
    <w:rsid w:val="64CA950C"/>
    <w:rsid w:val="64D4FABA"/>
    <w:rsid w:val="64D624EE"/>
    <w:rsid w:val="64DABAA5"/>
    <w:rsid w:val="64EA98E9"/>
    <w:rsid w:val="64F1C56B"/>
    <w:rsid w:val="64F82637"/>
    <w:rsid w:val="64F8BFAA"/>
    <w:rsid w:val="6506A153"/>
    <w:rsid w:val="65169561"/>
    <w:rsid w:val="65179CB8"/>
    <w:rsid w:val="65221F26"/>
    <w:rsid w:val="6530A513"/>
    <w:rsid w:val="653F6AD3"/>
    <w:rsid w:val="65491A3F"/>
    <w:rsid w:val="65526745"/>
    <w:rsid w:val="6558BCFC"/>
    <w:rsid w:val="655F1DA3"/>
    <w:rsid w:val="656E6C0E"/>
    <w:rsid w:val="65737A81"/>
    <w:rsid w:val="65799192"/>
    <w:rsid w:val="65823286"/>
    <w:rsid w:val="65894945"/>
    <w:rsid w:val="65A215A7"/>
    <w:rsid w:val="65B1B53F"/>
    <w:rsid w:val="65B56116"/>
    <w:rsid w:val="65BDBE86"/>
    <w:rsid w:val="65CC87D4"/>
    <w:rsid w:val="65D8A8E7"/>
    <w:rsid w:val="65EFECA4"/>
    <w:rsid w:val="65EFF865"/>
    <w:rsid w:val="65F50C6B"/>
    <w:rsid w:val="65FDD916"/>
    <w:rsid w:val="662233FC"/>
    <w:rsid w:val="6636E089"/>
    <w:rsid w:val="6638CFB7"/>
    <w:rsid w:val="66393B1F"/>
    <w:rsid w:val="663C04D2"/>
    <w:rsid w:val="664245D8"/>
    <w:rsid w:val="6650C60F"/>
    <w:rsid w:val="66561CE6"/>
    <w:rsid w:val="665D3670"/>
    <w:rsid w:val="6666CE1D"/>
    <w:rsid w:val="666DF6DD"/>
    <w:rsid w:val="66752E51"/>
    <w:rsid w:val="667B91DD"/>
    <w:rsid w:val="66813A49"/>
    <w:rsid w:val="668174DC"/>
    <w:rsid w:val="66868F87"/>
    <w:rsid w:val="668E82A6"/>
    <w:rsid w:val="66937D0C"/>
    <w:rsid w:val="669A2F4F"/>
    <w:rsid w:val="66B43691"/>
    <w:rsid w:val="66B7F0D5"/>
    <w:rsid w:val="66B826C3"/>
    <w:rsid w:val="66BC802A"/>
    <w:rsid w:val="66C76EEE"/>
    <w:rsid w:val="66CD3284"/>
    <w:rsid w:val="66E24EAB"/>
    <w:rsid w:val="66E8CAE6"/>
    <w:rsid w:val="66F2D930"/>
    <w:rsid w:val="66F49F43"/>
    <w:rsid w:val="66FC876E"/>
    <w:rsid w:val="670E07E5"/>
    <w:rsid w:val="672F0091"/>
    <w:rsid w:val="674858B1"/>
    <w:rsid w:val="6754E415"/>
    <w:rsid w:val="675AE09A"/>
    <w:rsid w:val="675C975C"/>
    <w:rsid w:val="675CDB3A"/>
    <w:rsid w:val="675CFC2D"/>
    <w:rsid w:val="6763C716"/>
    <w:rsid w:val="676E20D1"/>
    <w:rsid w:val="676F35FB"/>
    <w:rsid w:val="67712B91"/>
    <w:rsid w:val="6777511C"/>
    <w:rsid w:val="677CBB79"/>
    <w:rsid w:val="679451CE"/>
    <w:rsid w:val="67AAE897"/>
    <w:rsid w:val="67B41951"/>
    <w:rsid w:val="67BD6F23"/>
    <w:rsid w:val="67C694BF"/>
    <w:rsid w:val="67CED6BC"/>
    <w:rsid w:val="67D3F705"/>
    <w:rsid w:val="67D55E4C"/>
    <w:rsid w:val="67D94B7E"/>
    <w:rsid w:val="67DFA99E"/>
    <w:rsid w:val="67E4D3BF"/>
    <w:rsid w:val="67E8714F"/>
    <w:rsid w:val="67EB09BF"/>
    <w:rsid w:val="67F0B33C"/>
    <w:rsid w:val="67F2BFF9"/>
    <w:rsid w:val="67F45D39"/>
    <w:rsid w:val="67F5D95E"/>
    <w:rsid w:val="67FA5F08"/>
    <w:rsid w:val="67FA9A9E"/>
    <w:rsid w:val="67FE4C9B"/>
    <w:rsid w:val="68144D9B"/>
    <w:rsid w:val="681D2797"/>
    <w:rsid w:val="682E6F92"/>
    <w:rsid w:val="68331DA9"/>
    <w:rsid w:val="683AC951"/>
    <w:rsid w:val="683EEA91"/>
    <w:rsid w:val="684A54F6"/>
    <w:rsid w:val="68512E2D"/>
    <w:rsid w:val="685C69F8"/>
    <w:rsid w:val="6863BE9E"/>
    <w:rsid w:val="6872EE66"/>
    <w:rsid w:val="688B3635"/>
    <w:rsid w:val="68952342"/>
    <w:rsid w:val="689685FD"/>
    <w:rsid w:val="68AAFB29"/>
    <w:rsid w:val="68B9C486"/>
    <w:rsid w:val="68C36E5C"/>
    <w:rsid w:val="68C3B675"/>
    <w:rsid w:val="68D4B24B"/>
    <w:rsid w:val="68D94E5E"/>
    <w:rsid w:val="68D9A1BA"/>
    <w:rsid w:val="68E34FF5"/>
    <w:rsid w:val="68E36D0E"/>
    <w:rsid w:val="68E39D11"/>
    <w:rsid w:val="68E7EB8B"/>
    <w:rsid w:val="68EBBBEE"/>
    <w:rsid w:val="68EC301A"/>
    <w:rsid w:val="68F791F2"/>
    <w:rsid w:val="68FF6B00"/>
    <w:rsid w:val="6909E0FF"/>
    <w:rsid w:val="690CF479"/>
    <w:rsid w:val="6914A6FE"/>
    <w:rsid w:val="69162A0E"/>
    <w:rsid w:val="691798A6"/>
    <w:rsid w:val="691A3A2C"/>
    <w:rsid w:val="691EC834"/>
    <w:rsid w:val="691FDADD"/>
    <w:rsid w:val="6922797E"/>
    <w:rsid w:val="6924BC7C"/>
    <w:rsid w:val="693E8339"/>
    <w:rsid w:val="69404F05"/>
    <w:rsid w:val="6941289D"/>
    <w:rsid w:val="69419121"/>
    <w:rsid w:val="69430FF9"/>
    <w:rsid w:val="69444F2D"/>
    <w:rsid w:val="6945098B"/>
    <w:rsid w:val="6953F62D"/>
    <w:rsid w:val="695671D3"/>
    <w:rsid w:val="6957B655"/>
    <w:rsid w:val="6960410C"/>
    <w:rsid w:val="69719F2D"/>
    <w:rsid w:val="697D6F92"/>
    <w:rsid w:val="697FB723"/>
    <w:rsid w:val="69807BA7"/>
    <w:rsid w:val="69880D92"/>
    <w:rsid w:val="6989C006"/>
    <w:rsid w:val="698C4F22"/>
    <w:rsid w:val="69989D8A"/>
    <w:rsid w:val="69A2D56C"/>
    <w:rsid w:val="69B15187"/>
    <w:rsid w:val="69B95DE1"/>
    <w:rsid w:val="69BA0AE8"/>
    <w:rsid w:val="69BBE86D"/>
    <w:rsid w:val="69BE7C1E"/>
    <w:rsid w:val="69BF499B"/>
    <w:rsid w:val="69C0EDE6"/>
    <w:rsid w:val="69CE4465"/>
    <w:rsid w:val="69CFDFE7"/>
    <w:rsid w:val="69D69CCE"/>
    <w:rsid w:val="69DD0F82"/>
    <w:rsid w:val="69DFCA26"/>
    <w:rsid w:val="69E17F19"/>
    <w:rsid w:val="69E9E963"/>
    <w:rsid w:val="69F92A36"/>
    <w:rsid w:val="69FD1C8D"/>
    <w:rsid w:val="6A0DA4F8"/>
    <w:rsid w:val="6A1F382B"/>
    <w:rsid w:val="6A27148C"/>
    <w:rsid w:val="6A38C4F3"/>
    <w:rsid w:val="6A3D7982"/>
    <w:rsid w:val="6A449AAE"/>
    <w:rsid w:val="6A48FA97"/>
    <w:rsid w:val="6A4B5D4D"/>
    <w:rsid w:val="6A50A621"/>
    <w:rsid w:val="6A605928"/>
    <w:rsid w:val="6A8B9F8C"/>
    <w:rsid w:val="6A91CCBD"/>
    <w:rsid w:val="6A947099"/>
    <w:rsid w:val="6A9EDE78"/>
    <w:rsid w:val="6AA091A7"/>
    <w:rsid w:val="6AA7D36A"/>
    <w:rsid w:val="6AB4AD79"/>
    <w:rsid w:val="6AB6C07B"/>
    <w:rsid w:val="6ACE3463"/>
    <w:rsid w:val="6AD0A58F"/>
    <w:rsid w:val="6AD154FC"/>
    <w:rsid w:val="6AD61523"/>
    <w:rsid w:val="6AE49B84"/>
    <w:rsid w:val="6AF203ED"/>
    <w:rsid w:val="6AF71E07"/>
    <w:rsid w:val="6AF7B7F2"/>
    <w:rsid w:val="6B06CD14"/>
    <w:rsid w:val="6B070BD0"/>
    <w:rsid w:val="6B1238C3"/>
    <w:rsid w:val="6B17AD57"/>
    <w:rsid w:val="6B1A62BD"/>
    <w:rsid w:val="6B1F05F2"/>
    <w:rsid w:val="6B24F1C2"/>
    <w:rsid w:val="6B2F02A2"/>
    <w:rsid w:val="6B430531"/>
    <w:rsid w:val="6B4BE61F"/>
    <w:rsid w:val="6B4E4C36"/>
    <w:rsid w:val="6B531495"/>
    <w:rsid w:val="6B5943B7"/>
    <w:rsid w:val="6B59F24D"/>
    <w:rsid w:val="6B5B315A"/>
    <w:rsid w:val="6B63CEB5"/>
    <w:rsid w:val="6B685670"/>
    <w:rsid w:val="6B6A9B5F"/>
    <w:rsid w:val="6B6F611D"/>
    <w:rsid w:val="6B766392"/>
    <w:rsid w:val="6B789030"/>
    <w:rsid w:val="6B94C554"/>
    <w:rsid w:val="6B96D8E4"/>
    <w:rsid w:val="6B9B54F6"/>
    <w:rsid w:val="6B9E0DE8"/>
    <w:rsid w:val="6BAE0069"/>
    <w:rsid w:val="6BB150F9"/>
    <w:rsid w:val="6BB31702"/>
    <w:rsid w:val="6BB5BB3A"/>
    <w:rsid w:val="6BBB5E96"/>
    <w:rsid w:val="6BBC04E6"/>
    <w:rsid w:val="6BC633D5"/>
    <w:rsid w:val="6BD0230B"/>
    <w:rsid w:val="6BD28C62"/>
    <w:rsid w:val="6BEEDD9C"/>
    <w:rsid w:val="6BF2275E"/>
    <w:rsid w:val="6BF4FEAC"/>
    <w:rsid w:val="6C0371F0"/>
    <w:rsid w:val="6C16632B"/>
    <w:rsid w:val="6C176E5A"/>
    <w:rsid w:val="6C1E4096"/>
    <w:rsid w:val="6C21E43A"/>
    <w:rsid w:val="6C2A45D6"/>
    <w:rsid w:val="6C2C4AD4"/>
    <w:rsid w:val="6C2D67E2"/>
    <w:rsid w:val="6C36B845"/>
    <w:rsid w:val="6C37D98E"/>
    <w:rsid w:val="6C3A1D8D"/>
    <w:rsid w:val="6C40AC7A"/>
    <w:rsid w:val="6C452520"/>
    <w:rsid w:val="6C50DD1E"/>
    <w:rsid w:val="6C530A3C"/>
    <w:rsid w:val="6C53D03F"/>
    <w:rsid w:val="6C55B5E0"/>
    <w:rsid w:val="6C55F106"/>
    <w:rsid w:val="6C69F01E"/>
    <w:rsid w:val="6C6E8F97"/>
    <w:rsid w:val="6C75232B"/>
    <w:rsid w:val="6C885054"/>
    <w:rsid w:val="6C898E9F"/>
    <w:rsid w:val="6C923C4D"/>
    <w:rsid w:val="6C924231"/>
    <w:rsid w:val="6C968226"/>
    <w:rsid w:val="6C985680"/>
    <w:rsid w:val="6C9AF0DD"/>
    <w:rsid w:val="6CABC957"/>
    <w:rsid w:val="6CAEDFA9"/>
    <w:rsid w:val="6CB44509"/>
    <w:rsid w:val="6CBB7071"/>
    <w:rsid w:val="6CBFB9B2"/>
    <w:rsid w:val="6CC3933B"/>
    <w:rsid w:val="6CCC1E12"/>
    <w:rsid w:val="6CCEF367"/>
    <w:rsid w:val="6CDBB5F4"/>
    <w:rsid w:val="6CF0B5E4"/>
    <w:rsid w:val="6CFFD925"/>
    <w:rsid w:val="6D045EE6"/>
    <w:rsid w:val="6D142A44"/>
    <w:rsid w:val="6D20F3CB"/>
    <w:rsid w:val="6D240676"/>
    <w:rsid w:val="6D38199B"/>
    <w:rsid w:val="6D3999D1"/>
    <w:rsid w:val="6D3B840D"/>
    <w:rsid w:val="6D482D3A"/>
    <w:rsid w:val="6D5C1A5F"/>
    <w:rsid w:val="6D5C7FD6"/>
    <w:rsid w:val="6D62D88C"/>
    <w:rsid w:val="6D65F179"/>
    <w:rsid w:val="6D6DCE36"/>
    <w:rsid w:val="6D763691"/>
    <w:rsid w:val="6D7B367F"/>
    <w:rsid w:val="6D7E109C"/>
    <w:rsid w:val="6D8828A8"/>
    <w:rsid w:val="6D9676CD"/>
    <w:rsid w:val="6D9CA5BC"/>
    <w:rsid w:val="6DA9AB56"/>
    <w:rsid w:val="6DB3017C"/>
    <w:rsid w:val="6DB9D5B8"/>
    <w:rsid w:val="6DBB09A7"/>
    <w:rsid w:val="6DBB2FE0"/>
    <w:rsid w:val="6DBC88E1"/>
    <w:rsid w:val="6DBE1C71"/>
    <w:rsid w:val="6DBF2274"/>
    <w:rsid w:val="6DC461CA"/>
    <w:rsid w:val="6DDBB57D"/>
    <w:rsid w:val="6DE195DF"/>
    <w:rsid w:val="6DEE4D56"/>
    <w:rsid w:val="6DEF0123"/>
    <w:rsid w:val="6E196D56"/>
    <w:rsid w:val="6E1A3A9E"/>
    <w:rsid w:val="6E1A4231"/>
    <w:rsid w:val="6E1BE0B7"/>
    <w:rsid w:val="6E287172"/>
    <w:rsid w:val="6E29B03D"/>
    <w:rsid w:val="6E36CB3E"/>
    <w:rsid w:val="6E3D3529"/>
    <w:rsid w:val="6E46DD1A"/>
    <w:rsid w:val="6E4D6C9E"/>
    <w:rsid w:val="6E62308C"/>
    <w:rsid w:val="6E6EE00D"/>
    <w:rsid w:val="6E752729"/>
    <w:rsid w:val="6E8518DD"/>
    <w:rsid w:val="6E86E47D"/>
    <w:rsid w:val="6EA8A5B5"/>
    <w:rsid w:val="6ECAA7B7"/>
    <w:rsid w:val="6ECBC412"/>
    <w:rsid w:val="6ED0F69D"/>
    <w:rsid w:val="6EDA63B6"/>
    <w:rsid w:val="6EDA9241"/>
    <w:rsid w:val="6EDD5929"/>
    <w:rsid w:val="6EE429DF"/>
    <w:rsid w:val="6EF83BEE"/>
    <w:rsid w:val="6EF98A8C"/>
    <w:rsid w:val="6EFA1FC2"/>
    <w:rsid w:val="6F01F9D7"/>
    <w:rsid w:val="6F11D487"/>
    <w:rsid w:val="6F1303E9"/>
    <w:rsid w:val="6F1B7850"/>
    <w:rsid w:val="6F20AEB3"/>
    <w:rsid w:val="6F2B498C"/>
    <w:rsid w:val="6F3BF49C"/>
    <w:rsid w:val="6F470DD4"/>
    <w:rsid w:val="6F475B15"/>
    <w:rsid w:val="6F537B08"/>
    <w:rsid w:val="6F555764"/>
    <w:rsid w:val="6F559AD1"/>
    <w:rsid w:val="6F570E35"/>
    <w:rsid w:val="6F6332F7"/>
    <w:rsid w:val="6F640D17"/>
    <w:rsid w:val="6F6667A5"/>
    <w:rsid w:val="6F6C6259"/>
    <w:rsid w:val="6F70F580"/>
    <w:rsid w:val="6F8285C8"/>
    <w:rsid w:val="6F9BB3EE"/>
    <w:rsid w:val="6FAEE688"/>
    <w:rsid w:val="6FAFC084"/>
    <w:rsid w:val="6FB4A75C"/>
    <w:rsid w:val="6FB932F8"/>
    <w:rsid w:val="6FBF9A03"/>
    <w:rsid w:val="6FC0FAE8"/>
    <w:rsid w:val="6FC216B3"/>
    <w:rsid w:val="6FC2EDC8"/>
    <w:rsid w:val="6FC3518C"/>
    <w:rsid w:val="6FC7A43D"/>
    <w:rsid w:val="6FC7A8A0"/>
    <w:rsid w:val="6FCB04A3"/>
    <w:rsid w:val="6FCDEBBA"/>
    <w:rsid w:val="6FD8E4F8"/>
    <w:rsid w:val="6FD9E9FE"/>
    <w:rsid w:val="6FDB35FB"/>
    <w:rsid w:val="6FDD3876"/>
    <w:rsid w:val="6FE0140B"/>
    <w:rsid w:val="6FE98D50"/>
    <w:rsid w:val="6FF213AA"/>
    <w:rsid w:val="6FF255AA"/>
    <w:rsid w:val="6FFB9062"/>
    <w:rsid w:val="7004D10A"/>
    <w:rsid w:val="70092824"/>
    <w:rsid w:val="700C0CE3"/>
    <w:rsid w:val="70103125"/>
    <w:rsid w:val="701343E0"/>
    <w:rsid w:val="70176206"/>
    <w:rsid w:val="701D9C34"/>
    <w:rsid w:val="70213208"/>
    <w:rsid w:val="70328AA1"/>
    <w:rsid w:val="7035EE21"/>
    <w:rsid w:val="7049449E"/>
    <w:rsid w:val="7049817D"/>
    <w:rsid w:val="704BDBD2"/>
    <w:rsid w:val="705025CD"/>
    <w:rsid w:val="70521A54"/>
    <w:rsid w:val="7059D48C"/>
    <w:rsid w:val="705B00BB"/>
    <w:rsid w:val="7060D055"/>
    <w:rsid w:val="70610E80"/>
    <w:rsid w:val="70633208"/>
    <w:rsid w:val="706715DD"/>
    <w:rsid w:val="7070D903"/>
    <w:rsid w:val="7074F07A"/>
    <w:rsid w:val="707CC0A3"/>
    <w:rsid w:val="707F53B0"/>
    <w:rsid w:val="7089735B"/>
    <w:rsid w:val="708A1D29"/>
    <w:rsid w:val="708B8C25"/>
    <w:rsid w:val="7095541D"/>
    <w:rsid w:val="70A57217"/>
    <w:rsid w:val="70BD435D"/>
    <w:rsid w:val="70BE1800"/>
    <w:rsid w:val="70C45137"/>
    <w:rsid w:val="70D2B7BE"/>
    <w:rsid w:val="70D53286"/>
    <w:rsid w:val="70D786EC"/>
    <w:rsid w:val="70DAF8B1"/>
    <w:rsid w:val="70DDEB61"/>
    <w:rsid w:val="70F2A0AE"/>
    <w:rsid w:val="70F2D329"/>
    <w:rsid w:val="70F7A3A3"/>
    <w:rsid w:val="70FE23A8"/>
    <w:rsid w:val="7104006A"/>
    <w:rsid w:val="71164421"/>
    <w:rsid w:val="7116F4E0"/>
    <w:rsid w:val="711AD699"/>
    <w:rsid w:val="712A0F9D"/>
    <w:rsid w:val="712A10FC"/>
    <w:rsid w:val="712F7A95"/>
    <w:rsid w:val="71452167"/>
    <w:rsid w:val="715ADECA"/>
    <w:rsid w:val="715CCB8E"/>
    <w:rsid w:val="716AFF34"/>
    <w:rsid w:val="71707087"/>
    <w:rsid w:val="71764DA3"/>
    <w:rsid w:val="71830D90"/>
    <w:rsid w:val="7187FA15"/>
    <w:rsid w:val="7188A588"/>
    <w:rsid w:val="718B3C36"/>
    <w:rsid w:val="719A53AC"/>
    <w:rsid w:val="71ACB551"/>
    <w:rsid w:val="71AE90E4"/>
    <w:rsid w:val="71B2B025"/>
    <w:rsid w:val="71B59460"/>
    <w:rsid w:val="71C3C709"/>
    <w:rsid w:val="71CA1DD0"/>
    <w:rsid w:val="71CE085A"/>
    <w:rsid w:val="71D6877D"/>
    <w:rsid w:val="71D6A4DF"/>
    <w:rsid w:val="71DB5557"/>
    <w:rsid w:val="71DDA563"/>
    <w:rsid w:val="71DEAAF5"/>
    <w:rsid w:val="71E146FD"/>
    <w:rsid w:val="71E5F475"/>
    <w:rsid w:val="71EA77D2"/>
    <w:rsid w:val="72059585"/>
    <w:rsid w:val="7215D4D7"/>
    <w:rsid w:val="72273B2A"/>
    <w:rsid w:val="72411C1F"/>
    <w:rsid w:val="72423F16"/>
    <w:rsid w:val="724A0DE6"/>
    <w:rsid w:val="72502947"/>
    <w:rsid w:val="7256FDC8"/>
    <w:rsid w:val="72646462"/>
    <w:rsid w:val="726D7921"/>
    <w:rsid w:val="72852B37"/>
    <w:rsid w:val="7286B5C9"/>
    <w:rsid w:val="72882DC1"/>
    <w:rsid w:val="72917BDF"/>
    <w:rsid w:val="7296DE42"/>
    <w:rsid w:val="72984EDD"/>
    <w:rsid w:val="7299A714"/>
    <w:rsid w:val="729BADAA"/>
    <w:rsid w:val="72A1FE50"/>
    <w:rsid w:val="72A81AD9"/>
    <w:rsid w:val="72AF659F"/>
    <w:rsid w:val="72B9F6E8"/>
    <w:rsid w:val="72C26877"/>
    <w:rsid w:val="72C4BA8E"/>
    <w:rsid w:val="72CACBD2"/>
    <w:rsid w:val="72CE79A4"/>
    <w:rsid w:val="72D44F6F"/>
    <w:rsid w:val="72D77DF9"/>
    <w:rsid w:val="72EDB6E0"/>
    <w:rsid w:val="72F3B3A0"/>
    <w:rsid w:val="72F66B06"/>
    <w:rsid w:val="72FD5CA3"/>
    <w:rsid w:val="73041089"/>
    <w:rsid w:val="73221D9B"/>
    <w:rsid w:val="732289B8"/>
    <w:rsid w:val="732492B9"/>
    <w:rsid w:val="732F385E"/>
    <w:rsid w:val="73332780"/>
    <w:rsid w:val="734345C3"/>
    <w:rsid w:val="73441C9E"/>
    <w:rsid w:val="7345E778"/>
    <w:rsid w:val="734CF51C"/>
    <w:rsid w:val="7354B396"/>
    <w:rsid w:val="735A7AF7"/>
    <w:rsid w:val="735B8E38"/>
    <w:rsid w:val="735C7814"/>
    <w:rsid w:val="735F7A91"/>
    <w:rsid w:val="73651FAB"/>
    <w:rsid w:val="7376CB27"/>
    <w:rsid w:val="73835D8D"/>
    <w:rsid w:val="73844234"/>
    <w:rsid w:val="7385A6CF"/>
    <w:rsid w:val="739E1604"/>
    <w:rsid w:val="73AFBF2F"/>
    <w:rsid w:val="73AFEF24"/>
    <w:rsid w:val="73B8FA01"/>
    <w:rsid w:val="73BE90E7"/>
    <w:rsid w:val="73CBF801"/>
    <w:rsid w:val="73CC478B"/>
    <w:rsid w:val="73DE3C99"/>
    <w:rsid w:val="73E1F2C4"/>
    <w:rsid w:val="73EBA34D"/>
    <w:rsid w:val="73F2D174"/>
    <w:rsid w:val="74050B22"/>
    <w:rsid w:val="740CE6C6"/>
    <w:rsid w:val="741236F9"/>
    <w:rsid w:val="74173561"/>
    <w:rsid w:val="741828B3"/>
    <w:rsid w:val="7428081C"/>
    <w:rsid w:val="742F29AE"/>
    <w:rsid w:val="7433D227"/>
    <w:rsid w:val="7434F73D"/>
    <w:rsid w:val="743A8872"/>
    <w:rsid w:val="743E1A5F"/>
    <w:rsid w:val="74463FB1"/>
    <w:rsid w:val="7451F3AB"/>
    <w:rsid w:val="74594654"/>
    <w:rsid w:val="745C8C38"/>
    <w:rsid w:val="745DE660"/>
    <w:rsid w:val="74626449"/>
    <w:rsid w:val="7479BB85"/>
    <w:rsid w:val="747BD490"/>
    <w:rsid w:val="747D2C47"/>
    <w:rsid w:val="7489F755"/>
    <w:rsid w:val="7496FFFA"/>
    <w:rsid w:val="74971B8A"/>
    <w:rsid w:val="749B98E0"/>
    <w:rsid w:val="749BE391"/>
    <w:rsid w:val="74A4895C"/>
    <w:rsid w:val="74AA38A7"/>
    <w:rsid w:val="74B419AB"/>
    <w:rsid w:val="74B6D87E"/>
    <w:rsid w:val="74BFD4A1"/>
    <w:rsid w:val="74C271AB"/>
    <w:rsid w:val="74C49C6A"/>
    <w:rsid w:val="74D37801"/>
    <w:rsid w:val="74D5F4E5"/>
    <w:rsid w:val="74DA07AA"/>
    <w:rsid w:val="74DB4A9F"/>
    <w:rsid w:val="74E46086"/>
    <w:rsid w:val="74E6D511"/>
    <w:rsid w:val="74EC8B60"/>
    <w:rsid w:val="74ED2574"/>
    <w:rsid w:val="74ED5AEB"/>
    <w:rsid w:val="74EED771"/>
    <w:rsid w:val="74FBE74A"/>
    <w:rsid w:val="75007620"/>
    <w:rsid w:val="7501D452"/>
    <w:rsid w:val="75148B00"/>
    <w:rsid w:val="751B414A"/>
    <w:rsid w:val="751E5F3C"/>
    <w:rsid w:val="7520838F"/>
    <w:rsid w:val="7523F67B"/>
    <w:rsid w:val="752AA655"/>
    <w:rsid w:val="752D280F"/>
    <w:rsid w:val="752FEDA5"/>
    <w:rsid w:val="753B8680"/>
    <w:rsid w:val="753C070F"/>
    <w:rsid w:val="754F7315"/>
    <w:rsid w:val="755ADFB3"/>
    <w:rsid w:val="7579F714"/>
    <w:rsid w:val="757BF35B"/>
    <w:rsid w:val="7587AEE6"/>
    <w:rsid w:val="758AB5F5"/>
    <w:rsid w:val="75927E95"/>
    <w:rsid w:val="759C81AE"/>
    <w:rsid w:val="75A51284"/>
    <w:rsid w:val="75A853E8"/>
    <w:rsid w:val="75AA231E"/>
    <w:rsid w:val="75B59BD3"/>
    <w:rsid w:val="75B83A48"/>
    <w:rsid w:val="75C9DAA6"/>
    <w:rsid w:val="75CEB55B"/>
    <w:rsid w:val="75E4D3D9"/>
    <w:rsid w:val="75E9C436"/>
    <w:rsid w:val="75FDDCCA"/>
    <w:rsid w:val="7600A1A5"/>
    <w:rsid w:val="7611242F"/>
    <w:rsid w:val="76245736"/>
    <w:rsid w:val="7627B82E"/>
    <w:rsid w:val="763F3B88"/>
    <w:rsid w:val="76565614"/>
    <w:rsid w:val="765FABA5"/>
    <w:rsid w:val="766BBC43"/>
    <w:rsid w:val="768D57EB"/>
    <w:rsid w:val="768FCCD5"/>
    <w:rsid w:val="769382EB"/>
    <w:rsid w:val="76B292EE"/>
    <w:rsid w:val="76B6F142"/>
    <w:rsid w:val="76D11B72"/>
    <w:rsid w:val="7702BBE8"/>
    <w:rsid w:val="77059BDD"/>
    <w:rsid w:val="771DCC5D"/>
    <w:rsid w:val="772045AF"/>
    <w:rsid w:val="7728F575"/>
    <w:rsid w:val="772C28E7"/>
    <w:rsid w:val="772E463A"/>
    <w:rsid w:val="773DB284"/>
    <w:rsid w:val="7766A288"/>
    <w:rsid w:val="776ECC2C"/>
    <w:rsid w:val="7776394C"/>
    <w:rsid w:val="7799DA6B"/>
    <w:rsid w:val="779F8F0B"/>
    <w:rsid w:val="77A469EE"/>
    <w:rsid w:val="77AF6325"/>
    <w:rsid w:val="77B97BE1"/>
    <w:rsid w:val="77B998BE"/>
    <w:rsid w:val="77C43434"/>
    <w:rsid w:val="77D0A4DC"/>
    <w:rsid w:val="77D7BFDF"/>
    <w:rsid w:val="77E1C979"/>
    <w:rsid w:val="77E592EA"/>
    <w:rsid w:val="77E6F627"/>
    <w:rsid w:val="77F5C0D9"/>
    <w:rsid w:val="77FCBBAE"/>
    <w:rsid w:val="78004CAD"/>
    <w:rsid w:val="7800658D"/>
    <w:rsid w:val="780B491B"/>
    <w:rsid w:val="78159236"/>
    <w:rsid w:val="7815EEAD"/>
    <w:rsid w:val="7816F188"/>
    <w:rsid w:val="781ACD32"/>
    <w:rsid w:val="781BCFC9"/>
    <w:rsid w:val="7831BCB0"/>
    <w:rsid w:val="783D8EA1"/>
    <w:rsid w:val="78417109"/>
    <w:rsid w:val="784CA4DC"/>
    <w:rsid w:val="78520435"/>
    <w:rsid w:val="7853C45B"/>
    <w:rsid w:val="785A041B"/>
    <w:rsid w:val="785DA31B"/>
    <w:rsid w:val="785F68B9"/>
    <w:rsid w:val="786D186D"/>
    <w:rsid w:val="787194F5"/>
    <w:rsid w:val="78803BC2"/>
    <w:rsid w:val="78858358"/>
    <w:rsid w:val="788D1331"/>
    <w:rsid w:val="78911CAE"/>
    <w:rsid w:val="78953BDE"/>
    <w:rsid w:val="789AB029"/>
    <w:rsid w:val="78C117E9"/>
    <w:rsid w:val="78CB77AA"/>
    <w:rsid w:val="78D76ACB"/>
    <w:rsid w:val="78D7A327"/>
    <w:rsid w:val="78DB70A8"/>
    <w:rsid w:val="78DCE8BB"/>
    <w:rsid w:val="78EB1EDE"/>
    <w:rsid w:val="78F76BC3"/>
    <w:rsid w:val="78FE2730"/>
    <w:rsid w:val="78FF2E5F"/>
    <w:rsid w:val="790B8B5B"/>
    <w:rsid w:val="791FF59F"/>
    <w:rsid w:val="79227EDE"/>
    <w:rsid w:val="7937320D"/>
    <w:rsid w:val="793DBC79"/>
    <w:rsid w:val="79413BDD"/>
    <w:rsid w:val="7945F55C"/>
    <w:rsid w:val="7957247C"/>
    <w:rsid w:val="795848B8"/>
    <w:rsid w:val="795E518E"/>
    <w:rsid w:val="796C8954"/>
    <w:rsid w:val="797B7048"/>
    <w:rsid w:val="7981891D"/>
    <w:rsid w:val="79887E76"/>
    <w:rsid w:val="798B63E2"/>
    <w:rsid w:val="79947D9F"/>
    <w:rsid w:val="79A47A1B"/>
    <w:rsid w:val="79ABFDF1"/>
    <w:rsid w:val="79CC9F60"/>
    <w:rsid w:val="79CF90B1"/>
    <w:rsid w:val="79D4EFD8"/>
    <w:rsid w:val="79D52966"/>
    <w:rsid w:val="79EA2FD3"/>
    <w:rsid w:val="79F5ECA2"/>
    <w:rsid w:val="79F70CF2"/>
    <w:rsid w:val="79F7866B"/>
    <w:rsid w:val="7A08184D"/>
    <w:rsid w:val="7A0DC9F5"/>
    <w:rsid w:val="7A15A315"/>
    <w:rsid w:val="7A199742"/>
    <w:rsid w:val="7A1C3736"/>
    <w:rsid w:val="7A265D46"/>
    <w:rsid w:val="7A288379"/>
    <w:rsid w:val="7A2FA5A9"/>
    <w:rsid w:val="7A37E368"/>
    <w:rsid w:val="7A3D0531"/>
    <w:rsid w:val="7A3F24CC"/>
    <w:rsid w:val="7A428414"/>
    <w:rsid w:val="7A45368D"/>
    <w:rsid w:val="7A533D6A"/>
    <w:rsid w:val="7A53AB49"/>
    <w:rsid w:val="7A5ABAD8"/>
    <w:rsid w:val="7A5AF7D0"/>
    <w:rsid w:val="7A61373C"/>
    <w:rsid w:val="7A6503C2"/>
    <w:rsid w:val="7A68D3ED"/>
    <w:rsid w:val="7A70F409"/>
    <w:rsid w:val="7A75B1F5"/>
    <w:rsid w:val="7A8913ED"/>
    <w:rsid w:val="7A989D57"/>
    <w:rsid w:val="7A9DDD66"/>
    <w:rsid w:val="7A9F0BC0"/>
    <w:rsid w:val="7AA2427C"/>
    <w:rsid w:val="7AB28403"/>
    <w:rsid w:val="7AB74387"/>
    <w:rsid w:val="7AC3B37C"/>
    <w:rsid w:val="7ACB1A46"/>
    <w:rsid w:val="7ACCE79C"/>
    <w:rsid w:val="7AD5136D"/>
    <w:rsid w:val="7ADB61F7"/>
    <w:rsid w:val="7AF0BCDA"/>
    <w:rsid w:val="7AFE3D42"/>
    <w:rsid w:val="7B015088"/>
    <w:rsid w:val="7B043B4B"/>
    <w:rsid w:val="7B0850D5"/>
    <w:rsid w:val="7B0946BF"/>
    <w:rsid w:val="7B1154AD"/>
    <w:rsid w:val="7B17CDA3"/>
    <w:rsid w:val="7B1CDBC7"/>
    <w:rsid w:val="7B23C6AC"/>
    <w:rsid w:val="7B2E2DBD"/>
    <w:rsid w:val="7B3C4357"/>
    <w:rsid w:val="7B45A4BC"/>
    <w:rsid w:val="7B45DC75"/>
    <w:rsid w:val="7B4770FE"/>
    <w:rsid w:val="7B5A7525"/>
    <w:rsid w:val="7B5AA04B"/>
    <w:rsid w:val="7B64D9FE"/>
    <w:rsid w:val="7B71B449"/>
    <w:rsid w:val="7B787563"/>
    <w:rsid w:val="7B79903D"/>
    <w:rsid w:val="7B8F3198"/>
    <w:rsid w:val="7B9261BF"/>
    <w:rsid w:val="7B989937"/>
    <w:rsid w:val="7BA4D707"/>
    <w:rsid w:val="7BADEBE2"/>
    <w:rsid w:val="7BAEF822"/>
    <w:rsid w:val="7BAF82E1"/>
    <w:rsid w:val="7BB0D1D4"/>
    <w:rsid w:val="7BB34716"/>
    <w:rsid w:val="7BB9D98C"/>
    <w:rsid w:val="7BBD28CF"/>
    <w:rsid w:val="7BC2B016"/>
    <w:rsid w:val="7BC3E675"/>
    <w:rsid w:val="7BC4DB7C"/>
    <w:rsid w:val="7BC64DDC"/>
    <w:rsid w:val="7BCDEBE0"/>
    <w:rsid w:val="7BD189E5"/>
    <w:rsid w:val="7BD231F0"/>
    <w:rsid w:val="7BE16049"/>
    <w:rsid w:val="7BEA0133"/>
    <w:rsid w:val="7BEC7E89"/>
    <w:rsid w:val="7BEC8A3F"/>
    <w:rsid w:val="7BFAB9BC"/>
    <w:rsid w:val="7C026E5A"/>
    <w:rsid w:val="7C07334F"/>
    <w:rsid w:val="7C08DDDA"/>
    <w:rsid w:val="7C0FF534"/>
    <w:rsid w:val="7C131F7C"/>
    <w:rsid w:val="7C1444F0"/>
    <w:rsid w:val="7C15D4DE"/>
    <w:rsid w:val="7C1B6F8E"/>
    <w:rsid w:val="7C255A45"/>
    <w:rsid w:val="7C307407"/>
    <w:rsid w:val="7C34EDD3"/>
    <w:rsid w:val="7C37C0A7"/>
    <w:rsid w:val="7C3F367F"/>
    <w:rsid w:val="7C4AE992"/>
    <w:rsid w:val="7C4F0148"/>
    <w:rsid w:val="7C589C31"/>
    <w:rsid w:val="7C5B56F7"/>
    <w:rsid w:val="7C65D547"/>
    <w:rsid w:val="7C679006"/>
    <w:rsid w:val="7C70DE7C"/>
    <w:rsid w:val="7C85BEDE"/>
    <w:rsid w:val="7C90F2F0"/>
    <w:rsid w:val="7C9A341B"/>
    <w:rsid w:val="7C9C71EF"/>
    <w:rsid w:val="7C9FD6E7"/>
    <w:rsid w:val="7CB2DC67"/>
    <w:rsid w:val="7CB7E34C"/>
    <w:rsid w:val="7CCA622B"/>
    <w:rsid w:val="7CCA63D2"/>
    <w:rsid w:val="7CCF651A"/>
    <w:rsid w:val="7CD38A70"/>
    <w:rsid w:val="7CD5308B"/>
    <w:rsid w:val="7CE183CE"/>
    <w:rsid w:val="7CEA7856"/>
    <w:rsid w:val="7CFC0A51"/>
    <w:rsid w:val="7CFFE68C"/>
    <w:rsid w:val="7D0E317A"/>
    <w:rsid w:val="7D0F53D3"/>
    <w:rsid w:val="7D186D14"/>
    <w:rsid w:val="7D1C739E"/>
    <w:rsid w:val="7D28EDB2"/>
    <w:rsid w:val="7D4C4A3C"/>
    <w:rsid w:val="7D59FE29"/>
    <w:rsid w:val="7D6588E3"/>
    <w:rsid w:val="7D6FF398"/>
    <w:rsid w:val="7D7211B3"/>
    <w:rsid w:val="7D73AA9B"/>
    <w:rsid w:val="7D7875AA"/>
    <w:rsid w:val="7D7B094D"/>
    <w:rsid w:val="7D80B5CD"/>
    <w:rsid w:val="7D90D62C"/>
    <w:rsid w:val="7D90EDA5"/>
    <w:rsid w:val="7DA0D9EE"/>
    <w:rsid w:val="7DA352FB"/>
    <w:rsid w:val="7DB0C8CB"/>
    <w:rsid w:val="7DB385A6"/>
    <w:rsid w:val="7DB49011"/>
    <w:rsid w:val="7DBCC4AE"/>
    <w:rsid w:val="7DE25DCF"/>
    <w:rsid w:val="7DEF0281"/>
    <w:rsid w:val="7DF7506D"/>
    <w:rsid w:val="7E08DF18"/>
    <w:rsid w:val="7E136F50"/>
    <w:rsid w:val="7E152055"/>
    <w:rsid w:val="7E1C8CED"/>
    <w:rsid w:val="7E29F9FC"/>
    <w:rsid w:val="7E3BF7BF"/>
    <w:rsid w:val="7E40EAD4"/>
    <w:rsid w:val="7E450D09"/>
    <w:rsid w:val="7E46346D"/>
    <w:rsid w:val="7E4A810A"/>
    <w:rsid w:val="7E544F83"/>
    <w:rsid w:val="7E5EAE35"/>
    <w:rsid w:val="7E62D263"/>
    <w:rsid w:val="7E681EEF"/>
    <w:rsid w:val="7E6F252C"/>
    <w:rsid w:val="7E6FCBEC"/>
    <w:rsid w:val="7E88BDE8"/>
    <w:rsid w:val="7E8D9BB4"/>
    <w:rsid w:val="7E8EE4A0"/>
    <w:rsid w:val="7E9AFD91"/>
    <w:rsid w:val="7E9C0A7A"/>
    <w:rsid w:val="7E9CBADA"/>
    <w:rsid w:val="7EA88096"/>
    <w:rsid w:val="7EAB3CED"/>
    <w:rsid w:val="7EBA5246"/>
    <w:rsid w:val="7EBDE9FC"/>
    <w:rsid w:val="7EBEC82F"/>
    <w:rsid w:val="7EC6B8AA"/>
    <w:rsid w:val="7EC78ABC"/>
    <w:rsid w:val="7ECC42E8"/>
    <w:rsid w:val="7ED81F8A"/>
    <w:rsid w:val="7EE0FB21"/>
    <w:rsid w:val="7EE778F2"/>
    <w:rsid w:val="7EF00054"/>
    <w:rsid w:val="7EFAFB6C"/>
    <w:rsid w:val="7F00CD07"/>
    <w:rsid w:val="7F010B48"/>
    <w:rsid w:val="7F02A251"/>
    <w:rsid w:val="7F05F9A4"/>
    <w:rsid w:val="7F0AD8B9"/>
    <w:rsid w:val="7F10989B"/>
    <w:rsid w:val="7F116A97"/>
    <w:rsid w:val="7F12B256"/>
    <w:rsid w:val="7F19B886"/>
    <w:rsid w:val="7F2017FB"/>
    <w:rsid w:val="7F21A507"/>
    <w:rsid w:val="7F374F4C"/>
    <w:rsid w:val="7F3D816E"/>
    <w:rsid w:val="7F47493A"/>
    <w:rsid w:val="7F50BECC"/>
    <w:rsid w:val="7F5630E0"/>
    <w:rsid w:val="7F619BF0"/>
    <w:rsid w:val="7F644A11"/>
    <w:rsid w:val="7F64C145"/>
    <w:rsid w:val="7F69F132"/>
    <w:rsid w:val="7F6A3898"/>
    <w:rsid w:val="7F6A89DC"/>
    <w:rsid w:val="7F6ABAE1"/>
    <w:rsid w:val="7F6D3CC0"/>
    <w:rsid w:val="7F6E9E78"/>
    <w:rsid w:val="7F6F12D5"/>
    <w:rsid w:val="7F6F3C77"/>
    <w:rsid w:val="7F7B4920"/>
    <w:rsid w:val="7F7F74B0"/>
    <w:rsid w:val="7F8F63F3"/>
    <w:rsid w:val="7F919CFD"/>
    <w:rsid w:val="7F97FDE5"/>
    <w:rsid w:val="7F98DD95"/>
    <w:rsid w:val="7F9D4377"/>
    <w:rsid w:val="7F9D92FF"/>
    <w:rsid w:val="7FA07755"/>
    <w:rsid w:val="7FA39F7C"/>
    <w:rsid w:val="7FA505A8"/>
    <w:rsid w:val="7FBAF4A4"/>
    <w:rsid w:val="7FC3847B"/>
    <w:rsid w:val="7FCD4EA6"/>
    <w:rsid w:val="7FD7183E"/>
    <w:rsid w:val="7FD90BFA"/>
    <w:rsid w:val="7FE03AFA"/>
    <w:rsid w:val="7FF80BDE"/>
    <w:rsid w:val="7FFF478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6AE1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FAF"/>
    <w:pPr>
      <w:jc w:val="both"/>
    </w:pPr>
    <w:rPr>
      <w:rFonts w:ascii="Times New Roman" w:hAnsi="Times New Roman"/>
      <w:sz w:val="24"/>
    </w:rPr>
  </w:style>
  <w:style w:type="paragraph" w:styleId="Heading1">
    <w:name w:val="heading 1"/>
    <w:basedOn w:val="Normal"/>
    <w:next w:val="Normal"/>
    <w:link w:val="Heading1Char"/>
    <w:uiPriority w:val="9"/>
    <w:qFormat/>
    <w:rsid w:val="00811D0F"/>
    <w:pPr>
      <w:keepNext/>
      <w:keepLines/>
      <w:numPr>
        <w:numId w:val="8"/>
      </w:numPr>
      <w:spacing w:before="360" w:after="80"/>
      <w:outlineLvl w:val="0"/>
    </w:pPr>
    <w:rPr>
      <w:rFonts w:eastAsiaTheme="majorEastAsia" w:cstheme="majorBidi"/>
      <w:color w:val="000000" w:themeColor="text1"/>
      <w:sz w:val="40"/>
      <w:szCs w:val="40"/>
    </w:rPr>
  </w:style>
  <w:style w:type="paragraph" w:styleId="Heading2">
    <w:name w:val="heading 2"/>
    <w:basedOn w:val="Normal"/>
    <w:next w:val="Normal"/>
    <w:link w:val="Heading2Char"/>
    <w:uiPriority w:val="9"/>
    <w:unhideWhenUsed/>
    <w:qFormat/>
    <w:rsid w:val="00811D0F"/>
    <w:pPr>
      <w:keepNext/>
      <w:keepLines/>
      <w:numPr>
        <w:ilvl w:val="1"/>
        <w:numId w:val="8"/>
      </w:numPr>
      <w:spacing w:before="360" w:after="80"/>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BC7F22"/>
    <w:pPr>
      <w:keepNext/>
      <w:keepLines/>
      <w:numPr>
        <w:ilvl w:val="2"/>
        <w:numId w:val="8"/>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7F22"/>
    <w:pPr>
      <w:keepNext/>
      <w:keepLines/>
      <w:numPr>
        <w:ilvl w:val="3"/>
        <w:numId w:val="8"/>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F22"/>
    <w:pPr>
      <w:keepNext/>
      <w:keepLines/>
      <w:numPr>
        <w:ilvl w:val="4"/>
        <w:numId w:val="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F22"/>
    <w:pPr>
      <w:keepNext/>
      <w:keepLines/>
      <w:numPr>
        <w:ilvl w:val="5"/>
        <w:numId w:val="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F22"/>
    <w:pPr>
      <w:keepNext/>
      <w:keepLines/>
      <w:numPr>
        <w:ilvl w:val="6"/>
        <w:numId w:val="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F22"/>
    <w:pPr>
      <w:keepNext/>
      <w:keepLines/>
      <w:numPr>
        <w:ilvl w:val="7"/>
        <w:numId w:val="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F22"/>
    <w:pPr>
      <w:keepNext/>
      <w:keepLines/>
      <w:numPr>
        <w:ilvl w:val="8"/>
        <w:numId w:val="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D0F"/>
    <w:rPr>
      <w:rFonts w:ascii="Times New Roman" w:eastAsiaTheme="majorEastAsia" w:hAnsi="Times New Roman" w:cstheme="majorBidi"/>
      <w:color w:val="000000" w:themeColor="text1"/>
      <w:sz w:val="40"/>
      <w:szCs w:val="40"/>
    </w:rPr>
  </w:style>
  <w:style w:type="character" w:customStyle="1" w:styleId="Heading2Char">
    <w:name w:val="Heading 2 Char"/>
    <w:basedOn w:val="DefaultParagraphFont"/>
    <w:link w:val="Heading2"/>
    <w:uiPriority w:val="9"/>
    <w:rsid w:val="00811D0F"/>
    <w:rPr>
      <w:rFonts w:ascii="Times New Roman" w:eastAsiaTheme="majorEastAsia" w:hAnsi="Times New Roman" w:cstheme="majorBidi"/>
      <w:color w:val="000000" w:themeColor="text1"/>
      <w:sz w:val="28"/>
      <w:szCs w:val="32"/>
    </w:rPr>
  </w:style>
  <w:style w:type="character" w:customStyle="1" w:styleId="Heading3Char">
    <w:name w:val="Heading 3 Char"/>
    <w:basedOn w:val="DefaultParagraphFont"/>
    <w:link w:val="Heading3"/>
    <w:uiPriority w:val="9"/>
    <w:rsid w:val="00BC7F22"/>
    <w:rPr>
      <w:rFonts w:ascii="Times New Roman" w:eastAsiaTheme="majorEastAsia" w:hAnsi="Times New Roman" w:cstheme="majorBidi"/>
      <w:color w:val="0F4761" w:themeColor="accent1" w:themeShade="BF"/>
      <w:sz w:val="28"/>
      <w:szCs w:val="28"/>
    </w:rPr>
  </w:style>
  <w:style w:type="character" w:customStyle="1" w:styleId="Heading4Char">
    <w:name w:val="Heading 4 Char"/>
    <w:basedOn w:val="DefaultParagraphFont"/>
    <w:link w:val="Heading4"/>
    <w:uiPriority w:val="9"/>
    <w:rsid w:val="00BC7F22"/>
    <w:rPr>
      <w:rFonts w:ascii="Times New Roman" w:eastAsiaTheme="majorEastAsia" w:hAnsi="Times New Roman" w:cstheme="majorBidi"/>
      <w:i/>
      <w:iCs/>
      <w:color w:val="0F4761" w:themeColor="accent1" w:themeShade="BF"/>
      <w:sz w:val="24"/>
    </w:rPr>
  </w:style>
  <w:style w:type="character" w:customStyle="1" w:styleId="Heading5Char">
    <w:name w:val="Heading 5 Char"/>
    <w:basedOn w:val="DefaultParagraphFont"/>
    <w:link w:val="Heading5"/>
    <w:uiPriority w:val="9"/>
    <w:semiHidden/>
    <w:rsid w:val="00BC7F22"/>
    <w:rPr>
      <w:rFonts w:ascii="Times New Roman" w:eastAsiaTheme="majorEastAsia" w:hAnsi="Times New Roman" w:cstheme="majorBidi"/>
      <w:color w:val="0F4761" w:themeColor="accent1" w:themeShade="BF"/>
      <w:sz w:val="24"/>
    </w:rPr>
  </w:style>
  <w:style w:type="character" w:customStyle="1" w:styleId="Heading6Char">
    <w:name w:val="Heading 6 Char"/>
    <w:basedOn w:val="DefaultParagraphFont"/>
    <w:link w:val="Heading6"/>
    <w:uiPriority w:val="9"/>
    <w:semiHidden/>
    <w:rsid w:val="00BC7F22"/>
    <w:rPr>
      <w:rFonts w:ascii="Times New Roman" w:eastAsiaTheme="majorEastAsia" w:hAnsi="Times New Roman" w:cstheme="majorBidi"/>
      <w:i/>
      <w:iCs/>
      <w:color w:val="595959" w:themeColor="text1" w:themeTint="A6"/>
      <w:sz w:val="24"/>
    </w:rPr>
  </w:style>
  <w:style w:type="character" w:customStyle="1" w:styleId="Heading7Char">
    <w:name w:val="Heading 7 Char"/>
    <w:basedOn w:val="DefaultParagraphFont"/>
    <w:link w:val="Heading7"/>
    <w:uiPriority w:val="9"/>
    <w:semiHidden/>
    <w:rsid w:val="00BC7F22"/>
    <w:rPr>
      <w:rFonts w:ascii="Times New Roman" w:eastAsiaTheme="majorEastAsia" w:hAnsi="Times New Roman" w:cstheme="majorBidi"/>
      <w:color w:val="595959" w:themeColor="text1" w:themeTint="A6"/>
      <w:sz w:val="24"/>
    </w:rPr>
  </w:style>
  <w:style w:type="character" w:customStyle="1" w:styleId="Heading8Char">
    <w:name w:val="Heading 8 Char"/>
    <w:basedOn w:val="DefaultParagraphFont"/>
    <w:link w:val="Heading8"/>
    <w:uiPriority w:val="9"/>
    <w:semiHidden/>
    <w:rsid w:val="00BC7F22"/>
    <w:rPr>
      <w:rFonts w:ascii="Times New Roman" w:eastAsiaTheme="majorEastAsia" w:hAnsi="Times New Roman" w:cstheme="majorBidi"/>
      <w:i/>
      <w:iCs/>
      <w:color w:val="272727" w:themeColor="text1" w:themeTint="D8"/>
      <w:sz w:val="24"/>
    </w:rPr>
  </w:style>
  <w:style w:type="character" w:customStyle="1" w:styleId="Heading9Char">
    <w:name w:val="Heading 9 Char"/>
    <w:basedOn w:val="DefaultParagraphFont"/>
    <w:link w:val="Heading9"/>
    <w:uiPriority w:val="9"/>
    <w:semiHidden/>
    <w:rsid w:val="00BC7F22"/>
    <w:rPr>
      <w:rFonts w:ascii="Times New Roman" w:eastAsiaTheme="majorEastAsia" w:hAnsi="Times New Roman" w:cstheme="majorBidi"/>
      <w:color w:val="272727" w:themeColor="text1" w:themeTint="D8"/>
      <w:sz w:val="24"/>
    </w:rPr>
  </w:style>
  <w:style w:type="paragraph" w:styleId="Title">
    <w:name w:val="Title"/>
    <w:basedOn w:val="Normal"/>
    <w:next w:val="Normal"/>
    <w:link w:val="TitleChar"/>
    <w:uiPriority w:val="10"/>
    <w:qFormat/>
    <w:rsid w:val="00BC7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F22"/>
    <w:pPr>
      <w:spacing w:before="160"/>
      <w:jc w:val="center"/>
    </w:pPr>
    <w:rPr>
      <w:i/>
      <w:iCs/>
      <w:color w:val="404040" w:themeColor="text1" w:themeTint="BF"/>
    </w:rPr>
  </w:style>
  <w:style w:type="character" w:customStyle="1" w:styleId="QuoteChar">
    <w:name w:val="Quote Char"/>
    <w:basedOn w:val="DefaultParagraphFont"/>
    <w:link w:val="Quote"/>
    <w:uiPriority w:val="29"/>
    <w:rsid w:val="00BC7F22"/>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BC7F22"/>
    <w:pPr>
      <w:ind w:left="720"/>
      <w:contextualSpacing/>
    </w:pPr>
  </w:style>
  <w:style w:type="character" w:styleId="IntenseEmphasis">
    <w:name w:val="Intense Emphasis"/>
    <w:basedOn w:val="DefaultParagraphFont"/>
    <w:uiPriority w:val="21"/>
    <w:qFormat/>
    <w:rsid w:val="00BC7F22"/>
    <w:rPr>
      <w:i/>
      <w:iCs/>
      <w:color w:val="0F4761" w:themeColor="accent1" w:themeShade="BF"/>
    </w:rPr>
  </w:style>
  <w:style w:type="paragraph" w:styleId="IntenseQuote">
    <w:name w:val="Intense Quote"/>
    <w:basedOn w:val="Normal"/>
    <w:next w:val="Normal"/>
    <w:link w:val="IntenseQuoteChar"/>
    <w:uiPriority w:val="30"/>
    <w:qFormat/>
    <w:rsid w:val="00BC7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F22"/>
    <w:rPr>
      <w:i/>
      <w:iCs/>
      <w:color w:val="0F4761" w:themeColor="accent1" w:themeShade="BF"/>
    </w:rPr>
  </w:style>
  <w:style w:type="character" w:styleId="IntenseReference">
    <w:name w:val="Intense Reference"/>
    <w:basedOn w:val="DefaultParagraphFont"/>
    <w:uiPriority w:val="32"/>
    <w:qFormat/>
    <w:rsid w:val="00BC7F22"/>
    <w:rPr>
      <w:b/>
      <w:bCs/>
      <w:smallCaps/>
      <w:color w:val="0F4761" w:themeColor="accent1" w:themeShade="BF"/>
      <w:spacing w:val="5"/>
    </w:rPr>
  </w:style>
  <w:style w:type="paragraph" w:customStyle="1" w:styleId="Pagedecouverture">
    <w:name w:val="Page de couverture"/>
    <w:basedOn w:val="Normal"/>
    <w:next w:val="Normal"/>
    <w:rsid w:val="00F62C4B"/>
    <w:pPr>
      <w:spacing w:after="0" w:line="240" w:lineRule="auto"/>
    </w:pPr>
    <w:rPr>
      <w:rFonts w:cs="Times New Roman"/>
    </w:rPr>
  </w:style>
  <w:style w:type="paragraph" w:customStyle="1" w:styleId="FooterCoverPage">
    <w:name w:val="Footer Cover Page"/>
    <w:basedOn w:val="Normal"/>
    <w:link w:val="FooterCoverPageChar"/>
    <w:rsid w:val="00F62C4B"/>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F62C4B"/>
    <w:rPr>
      <w:rFonts w:ascii="Times New Roman" w:hAnsi="Times New Roman"/>
      <w:sz w:val="24"/>
    </w:rPr>
  </w:style>
  <w:style w:type="paragraph" w:customStyle="1" w:styleId="HeaderCoverPage">
    <w:name w:val="Header Cover Page"/>
    <w:basedOn w:val="Normal"/>
    <w:link w:val="HeaderCoverPageChar"/>
    <w:rsid w:val="00F62C4B"/>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F62C4B"/>
    <w:rPr>
      <w:rFonts w:ascii="Times New Roman" w:hAnsi="Times New Roman"/>
      <w:sz w:val="24"/>
    </w:rPr>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F62C4B"/>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Footnote Text Char2"/>
    <w:basedOn w:val="Normal"/>
    <w:link w:val="FootnoteTextChar"/>
    <w:uiPriority w:val="99"/>
    <w:unhideWhenUsed/>
    <w:qFormat/>
    <w:rsid w:val="32E58CE7"/>
    <w:pPr>
      <w:spacing w:after="0" w:line="240" w:lineRule="auto"/>
    </w:pPr>
    <w:rPr>
      <w:sz w:val="20"/>
      <w:szCs w:val="20"/>
    </w:rPr>
  </w:style>
  <w:style w:type="paragraph" w:styleId="TOC1">
    <w:name w:val="toc 1"/>
    <w:basedOn w:val="Normal"/>
    <w:next w:val="Normal"/>
    <w:uiPriority w:val="39"/>
    <w:unhideWhenUsed/>
    <w:rsid w:val="32E58CE7"/>
    <w:pPr>
      <w:spacing w:after="100"/>
    </w:pPr>
  </w:style>
  <w:style w:type="character" w:styleId="Hyperlink">
    <w:name w:val="Hyperlink"/>
    <w:basedOn w:val="DefaultParagraphFont"/>
    <w:uiPriority w:val="99"/>
    <w:unhideWhenUsed/>
    <w:rsid w:val="32E58CE7"/>
    <w:rPr>
      <w:color w:val="467886"/>
      <w:u w:val="single"/>
    </w:rPr>
  </w:style>
  <w:style w:type="paragraph" w:styleId="TOC2">
    <w:name w:val="toc 2"/>
    <w:basedOn w:val="Normal"/>
    <w:next w:val="Normal"/>
    <w:uiPriority w:val="39"/>
    <w:unhideWhenUsed/>
    <w:rsid w:val="32E58CE7"/>
    <w:pPr>
      <w:spacing w:after="100"/>
      <w:ind w:left="220"/>
    </w:pPr>
  </w:style>
  <w:style w:type="paragraph" w:customStyle="1" w:styleId="paragraph">
    <w:name w:val="paragraph"/>
    <w:basedOn w:val="Normal"/>
    <w:rsid w:val="32E58CE7"/>
    <w:pPr>
      <w:spacing w:beforeAutospacing="1" w:afterAutospacing="1" w:line="240" w:lineRule="auto"/>
      <w:jc w:val="left"/>
    </w:pPr>
    <w:rPr>
      <w:rFonts w:eastAsiaTheme="minorEastAsia"/>
      <w:szCs w:val="24"/>
    </w:rPr>
  </w:style>
  <w:style w:type="character" w:customStyle="1" w:styleId="normaltextrun">
    <w:name w:val="normaltextrun"/>
    <w:basedOn w:val="DefaultParagraphFont"/>
    <w:rsid w:val="32E58CE7"/>
    <w:rPr>
      <w:rFonts w:asciiTheme="minorHAnsi" w:eastAsiaTheme="minorEastAsia" w:hAnsiTheme="minorHAnsi" w:cstheme="minorBidi"/>
      <w:sz w:val="22"/>
      <w:szCs w:val="22"/>
    </w:rPr>
  </w:style>
  <w:style w:type="character" w:styleId="FootnoteReference">
    <w:name w:val="footnote reference"/>
    <w:aliases w:val="Footnote reference number,Times 10 Point,Exposant 3 Point,Footnote symbol,Footnote Reference Number,Footnote Reference_LVL6,Footnote Reference_LVL61,Footnote Reference_LVL62,Footnote Reference_LVL63,Footnote Reference_LVL64,note TESI"/>
    <w:basedOn w:val="DefaultParagraphFont"/>
    <w:link w:val="FootnotesymbolCarZchn"/>
    <w:uiPriority w:val="99"/>
    <w:unhideWhenUsed/>
    <w:qFormat/>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E0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0B"/>
  </w:style>
  <w:style w:type="paragraph" w:styleId="Footer">
    <w:name w:val="footer"/>
    <w:basedOn w:val="Normal"/>
    <w:link w:val="FooterChar"/>
    <w:uiPriority w:val="99"/>
    <w:unhideWhenUsed/>
    <w:rsid w:val="00FE0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0B"/>
  </w:style>
  <w:style w:type="paragraph" w:styleId="CommentSubject">
    <w:name w:val="annotation subject"/>
    <w:basedOn w:val="CommentText"/>
    <w:next w:val="CommentText"/>
    <w:link w:val="CommentSubjectChar"/>
    <w:uiPriority w:val="99"/>
    <w:semiHidden/>
    <w:unhideWhenUsed/>
    <w:rsid w:val="0086214B"/>
    <w:rPr>
      <w:b/>
      <w:bCs/>
    </w:rPr>
  </w:style>
  <w:style w:type="character" w:customStyle="1" w:styleId="CommentSubjectChar">
    <w:name w:val="Comment Subject Char"/>
    <w:basedOn w:val="CommentTextChar"/>
    <w:link w:val="CommentSubject"/>
    <w:uiPriority w:val="99"/>
    <w:semiHidden/>
    <w:rsid w:val="0086214B"/>
    <w:rPr>
      <w:b/>
      <w:bCs/>
      <w:sz w:val="20"/>
      <w:szCs w:val="20"/>
    </w:rPr>
  </w:style>
  <w:style w:type="paragraph" w:styleId="EndnoteText">
    <w:name w:val="endnote text"/>
    <w:basedOn w:val="Normal"/>
    <w:link w:val="EndnoteTextChar"/>
    <w:uiPriority w:val="99"/>
    <w:semiHidden/>
    <w:unhideWhenUsed/>
    <w:rsid w:val="008804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047E"/>
    <w:rPr>
      <w:sz w:val="20"/>
      <w:szCs w:val="20"/>
    </w:rPr>
  </w:style>
  <w:style w:type="character" w:styleId="EndnoteReference">
    <w:name w:val="endnote reference"/>
    <w:basedOn w:val="DefaultParagraphFont"/>
    <w:uiPriority w:val="99"/>
    <w:semiHidden/>
    <w:unhideWhenUsed/>
    <w:rsid w:val="0088047E"/>
    <w:rPr>
      <w:vertAlign w:val="superscript"/>
    </w:rPr>
  </w:style>
  <w:style w:type="character" w:customStyle="1" w:styleId="UnresolvedMention1">
    <w:name w:val="Unresolved Mention1"/>
    <w:basedOn w:val="DefaultParagraphFont"/>
    <w:uiPriority w:val="99"/>
    <w:semiHidden/>
    <w:unhideWhenUsed/>
    <w:rsid w:val="0088047E"/>
    <w:rPr>
      <w:color w:val="605E5C"/>
      <w:shd w:val="clear" w:color="auto" w:fill="E1DFDD"/>
    </w:rPr>
  </w:style>
  <w:style w:type="character" w:customStyle="1" w:styleId="Mention1">
    <w:name w:val="Mention1"/>
    <w:basedOn w:val="DefaultParagraphFont"/>
    <w:uiPriority w:val="99"/>
    <w:unhideWhenUsed/>
    <w:rsid w:val="00C0688D"/>
    <w:rPr>
      <w:color w:val="2B579A"/>
      <w:shd w:val="clear" w:color="auto" w:fill="E1DFDD"/>
    </w:rPr>
  </w:style>
  <w:style w:type="paragraph" w:styleId="Revision">
    <w:name w:val="Revision"/>
    <w:hidden/>
    <w:uiPriority w:val="99"/>
    <w:semiHidden/>
    <w:rsid w:val="00287B5E"/>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3D7E75"/>
    <w:rPr>
      <w:color w:val="96607D" w:themeColor="followedHyperlink"/>
      <w:u w:val="single"/>
    </w:rPr>
  </w:style>
  <w:style w:type="paragraph" w:styleId="TOC4">
    <w:name w:val="toc 4"/>
    <w:basedOn w:val="Normal"/>
    <w:next w:val="Normal"/>
    <w:autoRedefine/>
    <w:uiPriority w:val="39"/>
    <w:unhideWhenUsed/>
    <w:rsid w:val="000521DA"/>
    <w:pPr>
      <w:spacing w:after="100"/>
      <w:ind w:left="720"/>
    </w:pPr>
  </w:style>
  <w:style w:type="paragraph" w:styleId="Caption">
    <w:name w:val="caption"/>
    <w:basedOn w:val="Normal"/>
    <w:next w:val="Normal"/>
    <w:uiPriority w:val="35"/>
    <w:unhideWhenUsed/>
    <w:qFormat/>
    <w:rsid w:val="00CB1530"/>
    <w:pPr>
      <w:spacing w:after="200" w:line="240" w:lineRule="auto"/>
    </w:pPr>
    <w:rPr>
      <w:i/>
      <w:iCs/>
      <w:color w:val="0E2841" w:themeColor="text2"/>
      <w:sz w:val="18"/>
      <w:szCs w:val="18"/>
    </w:rPr>
  </w:style>
  <w:style w:type="character" w:styleId="Strong">
    <w:name w:val="Strong"/>
    <w:basedOn w:val="DefaultParagraphFont"/>
    <w:uiPriority w:val="22"/>
    <w:qFormat/>
    <w:rsid w:val="000F211E"/>
    <w:rPr>
      <w:b/>
      <w:bCs/>
    </w:rPr>
  </w:style>
  <w:style w:type="paragraph" w:styleId="TOCHeading">
    <w:name w:val="TOC Heading"/>
    <w:basedOn w:val="Heading1"/>
    <w:next w:val="Normal"/>
    <w:uiPriority w:val="39"/>
    <w:unhideWhenUsed/>
    <w:qFormat/>
    <w:rsid w:val="00435303"/>
    <w:pPr>
      <w:spacing w:before="240" w:after="0"/>
      <w:jc w:val="left"/>
      <w:outlineLvl w:val="9"/>
    </w:pPr>
    <w:rPr>
      <w:rFonts w:asciiTheme="majorHAnsi" w:hAnsiTheme="majorHAnsi"/>
      <w:sz w:val="32"/>
      <w:szCs w:val="32"/>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sid w:val="001614E9"/>
    <w:rPr>
      <w:rFonts w:ascii="Times New Roman" w:hAnsi="Times New Roman"/>
      <w:sz w:val="20"/>
      <w:szCs w:val="20"/>
    </w:rPr>
  </w:style>
  <w:style w:type="paragraph" w:styleId="NormalWeb">
    <w:name w:val="Normal (Web)"/>
    <w:basedOn w:val="Normal"/>
    <w:uiPriority w:val="99"/>
    <w:semiHidden/>
    <w:unhideWhenUsed/>
    <w:rsid w:val="00C86FDA"/>
    <w:rPr>
      <w:rFonts w:cs="Times New Roman"/>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56B71"/>
    <w:pPr>
      <w:spacing w:line="240" w:lineRule="exact"/>
    </w:pPr>
    <w:rPr>
      <w:rFonts w:asciiTheme="minorHAnsi" w:hAnsiTheme="minorHAnsi"/>
      <w:sz w:val="22"/>
      <w:vertAlign w:val="superscript"/>
    </w:rPr>
  </w:style>
  <w:style w:type="character" w:customStyle="1" w:styleId="Marker">
    <w:name w:val="Marker"/>
    <w:basedOn w:val="DefaultParagraphFont"/>
    <w:rsid w:val="00D907E0"/>
    <w:rPr>
      <w:color w:val="0000FF"/>
      <w:shd w:val="clear" w:color="auto" w:fill="auto"/>
    </w:rPr>
  </w:style>
  <w:style w:type="paragraph" w:customStyle="1" w:styleId="FooterSensitivity">
    <w:name w:val="Footer Sensitivity"/>
    <w:basedOn w:val="Normal"/>
    <w:link w:val="FooterSensitivityChar"/>
    <w:rsid w:val="00D907E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907E0"/>
    <w:rPr>
      <w:rFonts w:ascii="Times New Roman" w:hAnsi="Times New Roman"/>
      <w:b/>
      <w:sz w:val="32"/>
    </w:rPr>
  </w:style>
  <w:style w:type="paragraph" w:customStyle="1" w:styleId="HeaderSensitivity">
    <w:name w:val="Header Sensitivity"/>
    <w:basedOn w:val="Normal"/>
    <w:link w:val="HeaderSensitivityChar"/>
    <w:rsid w:val="00D907E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907E0"/>
    <w:rPr>
      <w:rFonts w:ascii="Times New Roman" w:hAnsi="Times New Roman"/>
      <w:b/>
      <w:sz w:val="32"/>
    </w:rPr>
  </w:style>
  <w:style w:type="paragraph" w:customStyle="1" w:styleId="HeaderSensitivityRight">
    <w:name w:val="Header Sensitivity Right"/>
    <w:basedOn w:val="Normal"/>
    <w:link w:val="HeaderSensitivityRightChar"/>
    <w:rsid w:val="00D907E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907E0"/>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5708">
      <w:bodyDiv w:val="1"/>
      <w:marLeft w:val="0"/>
      <w:marRight w:val="0"/>
      <w:marTop w:val="0"/>
      <w:marBottom w:val="0"/>
      <w:divBdr>
        <w:top w:val="none" w:sz="0" w:space="0" w:color="auto"/>
        <w:left w:val="none" w:sz="0" w:space="0" w:color="auto"/>
        <w:bottom w:val="none" w:sz="0" w:space="0" w:color="auto"/>
        <w:right w:val="none" w:sz="0" w:space="0" w:color="auto"/>
      </w:divBdr>
    </w:div>
    <w:div w:id="109856292">
      <w:bodyDiv w:val="1"/>
      <w:marLeft w:val="0"/>
      <w:marRight w:val="0"/>
      <w:marTop w:val="0"/>
      <w:marBottom w:val="0"/>
      <w:divBdr>
        <w:top w:val="none" w:sz="0" w:space="0" w:color="auto"/>
        <w:left w:val="none" w:sz="0" w:space="0" w:color="auto"/>
        <w:bottom w:val="none" w:sz="0" w:space="0" w:color="auto"/>
        <w:right w:val="none" w:sz="0" w:space="0" w:color="auto"/>
      </w:divBdr>
    </w:div>
    <w:div w:id="128204931">
      <w:bodyDiv w:val="1"/>
      <w:marLeft w:val="0"/>
      <w:marRight w:val="0"/>
      <w:marTop w:val="0"/>
      <w:marBottom w:val="0"/>
      <w:divBdr>
        <w:top w:val="none" w:sz="0" w:space="0" w:color="auto"/>
        <w:left w:val="none" w:sz="0" w:space="0" w:color="auto"/>
        <w:bottom w:val="none" w:sz="0" w:space="0" w:color="auto"/>
        <w:right w:val="none" w:sz="0" w:space="0" w:color="auto"/>
      </w:divBdr>
      <w:divsChild>
        <w:div w:id="1109542317">
          <w:marLeft w:val="0"/>
          <w:marRight w:val="0"/>
          <w:marTop w:val="0"/>
          <w:marBottom w:val="0"/>
          <w:divBdr>
            <w:top w:val="none" w:sz="0" w:space="0" w:color="auto"/>
            <w:left w:val="none" w:sz="0" w:space="0" w:color="auto"/>
            <w:bottom w:val="none" w:sz="0" w:space="0" w:color="auto"/>
            <w:right w:val="none" w:sz="0" w:space="0" w:color="auto"/>
          </w:divBdr>
        </w:div>
        <w:div w:id="1280527751">
          <w:marLeft w:val="0"/>
          <w:marRight w:val="0"/>
          <w:marTop w:val="0"/>
          <w:marBottom w:val="0"/>
          <w:divBdr>
            <w:top w:val="none" w:sz="0" w:space="0" w:color="auto"/>
            <w:left w:val="none" w:sz="0" w:space="0" w:color="auto"/>
            <w:bottom w:val="none" w:sz="0" w:space="0" w:color="auto"/>
            <w:right w:val="none" w:sz="0" w:space="0" w:color="auto"/>
          </w:divBdr>
        </w:div>
        <w:div w:id="1659116935">
          <w:marLeft w:val="0"/>
          <w:marRight w:val="0"/>
          <w:marTop w:val="0"/>
          <w:marBottom w:val="0"/>
          <w:divBdr>
            <w:top w:val="none" w:sz="0" w:space="0" w:color="auto"/>
            <w:left w:val="none" w:sz="0" w:space="0" w:color="auto"/>
            <w:bottom w:val="none" w:sz="0" w:space="0" w:color="auto"/>
            <w:right w:val="none" w:sz="0" w:space="0" w:color="auto"/>
          </w:divBdr>
        </w:div>
      </w:divsChild>
    </w:div>
    <w:div w:id="136190904">
      <w:bodyDiv w:val="1"/>
      <w:marLeft w:val="0"/>
      <w:marRight w:val="0"/>
      <w:marTop w:val="0"/>
      <w:marBottom w:val="0"/>
      <w:divBdr>
        <w:top w:val="none" w:sz="0" w:space="0" w:color="auto"/>
        <w:left w:val="none" w:sz="0" w:space="0" w:color="auto"/>
        <w:bottom w:val="none" w:sz="0" w:space="0" w:color="auto"/>
        <w:right w:val="none" w:sz="0" w:space="0" w:color="auto"/>
      </w:divBdr>
    </w:div>
    <w:div w:id="225457167">
      <w:bodyDiv w:val="1"/>
      <w:marLeft w:val="0"/>
      <w:marRight w:val="0"/>
      <w:marTop w:val="0"/>
      <w:marBottom w:val="0"/>
      <w:divBdr>
        <w:top w:val="none" w:sz="0" w:space="0" w:color="auto"/>
        <w:left w:val="none" w:sz="0" w:space="0" w:color="auto"/>
        <w:bottom w:val="none" w:sz="0" w:space="0" w:color="auto"/>
        <w:right w:val="none" w:sz="0" w:space="0" w:color="auto"/>
      </w:divBdr>
    </w:div>
    <w:div w:id="301930014">
      <w:bodyDiv w:val="1"/>
      <w:marLeft w:val="0"/>
      <w:marRight w:val="0"/>
      <w:marTop w:val="0"/>
      <w:marBottom w:val="0"/>
      <w:divBdr>
        <w:top w:val="none" w:sz="0" w:space="0" w:color="auto"/>
        <w:left w:val="none" w:sz="0" w:space="0" w:color="auto"/>
        <w:bottom w:val="none" w:sz="0" w:space="0" w:color="auto"/>
        <w:right w:val="none" w:sz="0" w:space="0" w:color="auto"/>
      </w:divBdr>
    </w:div>
    <w:div w:id="512458308">
      <w:bodyDiv w:val="1"/>
      <w:marLeft w:val="0"/>
      <w:marRight w:val="0"/>
      <w:marTop w:val="0"/>
      <w:marBottom w:val="0"/>
      <w:divBdr>
        <w:top w:val="none" w:sz="0" w:space="0" w:color="auto"/>
        <w:left w:val="none" w:sz="0" w:space="0" w:color="auto"/>
        <w:bottom w:val="none" w:sz="0" w:space="0" w:color="auto"/>
        <w:right w:val="none" w:sz="0" w:space="0" w:color="auto"/>
      </w:divBdr>
    </w:div>
    <w:div w:id="532546562">
      <w:bodyDiv w:val="1"/>
      <w:marLeft w:val="0"/>
      <w:marRight w:val="0"/>
      <w:marTop w:val="0"/>
      <w:marBottom w:val="0"/>
      <w:divBdr>
        <w:top w:val="none" w:sz="0" w:space="0" w:color="auto"/>
        <w:left w:val="none" w:sz="0" w:space="0" w:color="auto"/>
        <w:bottom w:val="none" w:sz="0" w:space="0" w:color="auto"/>
        <w:right w:val="none" w:sz="0" w:space="0" w:color="auto"/>
      </w:divBdr>
    </w:div>
    <w:div w:id="534659133">
      <w:bodyDiv w:val="1"/>
      <w:marLeft w:val="0"/>
      <w:marRight w:val="0"/>
      <w:marTop w:val="0"/>
      <w:marBottom w:val="0"/>
      <w:divBdr>
        <w:top w:val="none" w:sz="0" w:space="0" w:color="auto"/>
        <w:left w:val="none" w:sz="0" w:space="0" w:color="auto"/>
        <w:bottom w:val="none" w:sz="0" w:space="0" w:color="auto"/>
        <w:right w:val="none" w:sz="0" w:space="0" w:color="auto"/>
      </w:divBdr>
    </w:div>
    <w:div w:id="560210415">
      <w:bodyDiv w:val="1"/>
      <w:marLeft w:val="0"/>
      <w:marRight w:val="0"/>
      <w:marTop w:val="0"/>
      <w:marBottom w:val="0"/>
      <w:divBdr>
        <w:top w:val="none" w:sz="0" w:space="0" w:color="auto"/>
        <w:left w:val="none" w:sz="0" w:space="0" w:color="auto"/>
        <w:bottom w:val="none" w:sz="0" w:space="0" w:color="auto"/>
        <w:right w:val="none" w:sz="0" w:space="0" w:color="auto"/>
      </w:divBdr>
    </w:div>
    <w:div w:id="562252807">
      <w:bodyDiv w:val="1"/>
      <w:marLeft w:val="0"/>
      <w:marRight w:val="0"/>
      <w:marTop w:val="0"/>
      <w:marBottom w:val="0"/>
      <w:divBdr>
        <w:top w:val="none" w:sz="0" w:space="0" w:color="auto"/>
        <w:left w:val="none" w:sz="0" w:space="0" w:color="auto"/>
        <w:bottom w:val="none" w:sz="0" w:space="0" w:color="auto"/>
        <w:right w:val="none" w:sz="0" w:space="0" w:color="auto"/>
      </w:divBdr>
    </w:div>
    <w:div w:id="567303299">
      <w:bodyDiv w:val="1"/>
      <w:marLeft w:val="0"/>
      <w:marRight w:val="0"/>
      <w:marTop w:val="0"/>
      <w:marBottom w:val="0"/>
      <w:divBdr>
        <w:top w:val="none" w:sz="0" w:space="0" w:color="auto"/>
        <w:left w:val="none" w:sz="0" w:space="0" w:color="auto"/>
        <w:bottom w:val="none" w:sz="0" w:space="0" w:color="auto"/>
        <w:right w:val="none" w:sz="0" w:space="0" w:color="auto"/>
      </w:divBdr>
    </w:div>
    <w:div w:id="595792161">
      <w:bodyDiv w:val="1"/>
      <w:marLeft w:val="0"/>
      <w:marRight w:val="0"/>
      <w:marTop w:val="0"/>
      <w:marBottom w:val="0"/>
      <w:divBdr>
        <w:top w:val="none" w:sz="0" w:space="0" w:color="auto"/>
        <w:left w:val="none" w:sz="0" w:space="0" w:color="auto"/>
        <w:bottom w:val="none" w:sz="0" w:space="0" w:color="auto"/>
        <w:right w:val="none" w:sz="0" w:space="0" w:color="auto"/>
      </w:divBdr>
    </w:div>
    <w:div w:id="604389534">
      <w:bodyDiv w:val="1"/>
      <w:marLeft w:val="0"/>
      <w:marRight w:val="0"/>
      <w:marTop w:val="0"/>
      <w:marBottom w:val="0"/>
      <w:divBdr>
        <w:top w:val="none" w:sz="0" w:space="0" w:color="auto"/>
        <w:left w:val="none" w:sz="0" w:space="0" w:color="auto"/>
        <w:bottom w:val="none" w:sz="0" w:space="0" w:color="auto"/>
        <w:right w:val="none" w:sz="0" w:space="0" w:color="auto"/>
      </w:divBdr>
    </w:div>
    <w:div w:id="712342125">
      <w:bodyDiv w:val="1"/>
      <w:marLeft w:val="0"/>
      <w:marRight w:val="0"/>
      <w:marTop w:val="0"/>
      <w:marBottom w:val="0"/>
      <w:divBdr>
        <w:top w:val="none" w:sz="0" w:space="0" w:color="auto"/>
        <w:left w:val="none" w:sz="0" w:space="0" w:color="auto"/>
        <w:bottom w:val="none" w:sz="0" w:space="0" w:color="auto"/>
        <w:right w:val="none" w:sz="0" w:space="0" w:color="auto"/>
      </w:divBdr>
    </w:div>
    <w:div w:id="793213118">
      <w:bodyDiv w:val="1"/>
      <w:marLeft w:val="0"/>
      <w:marRight w:val="0"/>
      <w:marTop w:val="0"/>
      <w:marBottom w:val="0"/>
      <w:divBdr>
        <w:top w:val="none" w:sz="0" w:space="0" w:color="auto"/>
        <w:left w:val="none" w:sz="0" w:space="0" w:color="auto"/>
        <w:bottom w:val="none" w:sz="0" w:space="0" w:color="auto"/>
        <w:right w:val="none" w:sz="0" w:space="0" w:color="auto"/>
      </w:divBdr>
    </w:div>
    <w:div w:id="857735730">
      <w:bodyDiv w:val="1"/>
      <w:marLeft w:val="0"/>
      <w:marRight w:val="0"/>
      <w:marTop w:val="0"/>
      <w:marBottom w:val="0"/>
      <w:divBdr>
        <w:top w:val="none" w:sz="0" w:space="0" w:color="auto"/>
        <w:left w:val="none" w:sz="0" w:space="0" w:color="auto"/>
        <w:bottom w:val="none" w:sz="0" w:space="0" w:color="auto"/>
        <w:right w:val="none" w:sz="0" w:space="0" w:color="auto"/>
      </w:divBdr>
      <w:divsChild>
        <w:div w:id="1097823074">
          <w:marLeft w:val="0"/>
          <w:marRight w:val="0"/>
          <w:marTop w:val="0"/>
          <w:marBottom w:val="0"/>
          <w:divBdr>
            <w:top w:val="none" w:sz="0" w:space="0" w:color="auto"/>
            <w:left w:val="none" w:sz="0" w:space="0" w:color="auto"/>
            <w:bottom w:val="none" w:sz="0" w:space="0" w:color="auto"/>
            <w:right w:val="none" w:sz="0" w:space="0" w:color="auto"/>
          </w:divBdr>
        </w:div>
        <w:div w:id="1195926920">
          <w:marLeft w:val="0"/>
          <w:marRight w:val="0"/>
          <w:marTop w:val="0"/>
          <w:marBottom w:val="0"/>
          <w:divBdr>
            <w:top w:val="none" w:sz="0" w:space="0" w:color="auto"/>
            <w:left w:val="none" w:sz="0" w:space="0" w:color="auto"/>
            <w:bottom w:val="none" w:sz="0" w:space="0" w:color="auto"/>
            <w:right w:val="none" w:sz="0" w:space="0" w:color="auto"/>
          </w:divBdr>
        </w:div>
      </w:divsChild>
    </w:div>
    <w:div w:id="908225693">
      <w:bodyDiv w:val="1"/>
      <w:marLeft w:val="0"/>
      <w:marRight w:val="0"/>
      <w:marTop w:val="0"/>
      <w:marBottom w:val="0"/>
      <w:divBdr>
        <w:top w:val="none" w:sz="0" w:space="0" w:color="auto"/>
        <w:left w:val="none" w:sz="0" w:space="0" w:color="auto"/>
        <w:bottom w:val="none" w:sz="0" w:space="0" w:color="auto"/>
        <w:right w:val="none" w:sz="0" w:space="0" w:color="auto"/>
      </w:divBdr>
    </w:div>
    <w:div w:id="1031758616">
      <w:bodyDiv w:val="1"/>
      <w:marLeft w:val="0"/>
      <w:marRight w:val="0"/>
      <w:marTop w:val="0"/>
      <w:marBottom w:val="0"/>
      <w:divBdr>
        <w:top w:val="none" w:sz="0" w:space="0" w:color="auto"/>
        <w:left w:val="none" w:sz="0" w:space="0" w:color="auto"/>
        <w:bottom w:val="none" w:sz="0" w:space="0" w:color="auto"/>
        <w:right w:val="none" w:sz="0" w:space="0" w:color="auto"/>
      </w:divBdr>
    </w:div>
    <w:div w:id="1037971778">
      <w:bodyDiv w:val="1"/>
      <w:marLeft w:val="0"/>
      <w:marRight w:val="0"/>
      <w:marTop w:val="0"/>
      <w:marBottom w:val="0"/>
      <w:divBdr>
        <w:top w:val="none" w:sz="0" w:space="0" w:color="auto"/>
        <w:left w:val="none" w:sz="0" w:space="0" w:color="auto"/>
        <w:bottom w:val="none" w:sz="0" w:space="0" w:color="auto"/>
        <w:right w:val="none" w:sz="0" w:space="0" w:color="auto"/>
      </w:divBdr>
      <w:divsChild>
        <w:div w:id="1201742161">
          <w:marLeft w:val="-150"/>
          <w:marRight w:val="-150"/>
          <w:marTop w:val="0"/>
          <w:marBottom w:val="0"/>
          <w:divBdr>
            <w:top w:val="none" w:sz="0" w:space="0" w:color="auto"/>
            <w:left w:val="none" w:sz="0" w:space="0" w:color="auto"/>
            <w:bottom w:val="none" w:sz="0" w:space="0" w:color="auto"/>
            <w:right w:val="none" w:sz="0" w:space="0" w:color="auto"/>
          </w:divBdr>
          <w:divsChild>
            <w:div w:id="1363508154">
              <w:marLeft w:val="0"/>
              <w:marRight w:val="0"/>
              <w:marTop w:val="0"/>
              <w:marBottom w:val="0"/>
              <w:divBdr>
                <w:top w:val="none" w:sz="0" w:space="0" w:color="auto"/>
                <w:left w:val="none" w:sz="0" w:space="0" w:color="auto"/>
                <w:bottom w:val="none" w:sz="0" w:space="0" w:color="auto"/>
                <w:right w:val="none" w:sz="0" w:space="0" w:color="auto"/>
              </w:divBdr>
            </w:div>
            <w:div w:id="150663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20107">
      <w:bodyDiv w:val="1"/>
      <w:marLeft w:val="0"/>
      <w:marRight w:val="0"/>
      <w:marTop w:val="0"/>
      <w:marBottom w:val="0"/>
      <w:divBdr>
        <w:top w:val="none" w:sz="0" w:space="0" w:color="auto"/>
        <w:left w:val="none" w:sz="0" w:space="0" w:color="auto"/>
        <w:bottom w:val="none" w:sz="0" w:space="0" w:color="auto"/>
        <w:right w:val="none" w:sz="0" w:space="0" w:color="auto"/>
      </w:divBdr>
      <w:divsChild>
        <w:div w:id="63071886">
          <w:marLeft w:val="446"/>
          <w:marRight w:val="0"/>
          <w:marTop w:val="0"/>
          <w:marBottom w:val="0"/>
          <w:divBdr>
            <w:top w:val="none" w:sz="0" w:space="0" w:color="auto"/>
            <w:left w:val="none" w:sz="0" w:space="0" w:color="auto"/>
            <w:bottom w:val="none" w:sz="0" w:space="0" w:color="auto"/>
            <w:right w:val="none" w:sz="0" w:space="0" w:color="auto"/>
          </w:divBdr>
        </w:div>
        <w:div w:id="1062212351">
          <w:marLeft w:val="446"/>
          <w:marRight w:val="0"/>
          <w:marTop w:val="0"/>
          <w:marBottom w:val="0"/>
          <w:divBdr>
            <w:top w:val="none" w:sz="0" w:space="0" w:color="auto"/>
            <w:left w:val="none" w:sz="0" w:space="0" w:color="auto"/>
            <w:bottom w:val="none" w:sz="0" w:space="0" w:color="auto"/>
            <w:right w:val="none" w:sz="0" w:space="0" w:color="auto"/>
          </w:divBdr>
        </w:div>
        <w:div w:id="1312832219">
          <w:marLeft w:val="446"/>
          <w:marRight w:val="0"/>
          <w:marTop w:val="0"/>
          <w:marBottom w:val="0"/>
          <w:divBdr>
            <w:top w:val="none" w:sz="0" w:space="0" w:color="auto"/>
            <w:left w:val="none" w:sz="0" w:space="0" w:color="auto"/>
            <w:bottom w:val="none" w:sz="0" w:space="0" w:color="auto"/>
            <w:right w:val="none" w:sz="0" w:space="0" w:color="auto"/>
          </w:divBdr>
        </w:div>
      </w:divsChild>
    </w:div>
    <w:div w:id="1100224393">
      <w:bodyDiv w:val="1"/>
      <w:marLeft w:val="0"/>
      <w:marRight w:val="0"/>
      <w:marTop w:val="0"/>
      <w:marBottom w:val="0"/>
      <w:divBdr>
        <w:top w:val="none" w:sz="0" w:space="0" w:color="auto"/>
        <w:left w:val="none" w:sz="0" w:space="0" w:color="auto"/>
        <w:bottom w:val="none" w:sz="0" w:space="0" w:color="auto"/>
        <w:right w:val="none" w:sz="0" w:space="0" w:color="auto"/>
      </w:divBdr>
      <w:divsChild>
        <w:div w:id="815268732">
          <w:marLeft w:val="0"/>
          <w:marRight w:val="0"/>
          <w:marTop w:val="0"/>
          <w:marBottom w:val="0"/>
          <w:divBdr>
            <w:top w:val="none" w:sz="0" w:space="0" w:color="auto"/>
            <w:left w:val="none" w:sz="0" w:space="0" w:color="auto"/>
            <w:bottom w:val="none" w:sz="0" w:space="0" w:color="auto"/>
            <w:right w:val="none" w:sz="0" w:space="0" w:color="auto"/>
          </w:divBdr>
        </w:div>
        <w:div w:id="985164268">
          <w:marLeft w:val="0"/>
          <w:marRight w:val="0"/>
          <w:marTop w:val="0"/>
          <w:marBottom w:val="0"/>
          <w:divBdr>
            <w:top w:val="none" w:sz="0" w:space="0" w:color="auto"/>
            <w:left w:val="none" w:sz="0" w:space="0" w:color="auto"/>
            <w:bottom w:val="none" w:sz="0" w:space="0" w:color="auto"/>
            <w:right w:val="none" w:sz="0" w:space="0" w:color="auto"/>
          </w:divBdr>
        </w:div>
      </w:divsChild>
    </w:div>
    <w:div w:id="1164856697">
      <w:bodyDiv w:val="1"/>
      <w:marLeft w:val="0"/>
      <w:marRight w:val="0"/>
      <w:marTop w:val="0"/>
      <w:marBottom w:val="0"/>
      <w:divBdr>
        <w:top w:val="none" w:sz="0" w:space="0" w:color="auto"/>
        <w:left w:val="none" w:sz="0" w:space="0" w:color="auto"/>
        <w:bottom w:val="none" w:sz="0" w:space="0" w:color="auto"/>
        <w:right w:val="none" w:sz="0" w:space="0" w:color="auto"/>
      </w:divBdr>
    </w:div>
    <w:div w:id="1249004659">
      <w:bodyDiv w:val="1"/>
      <w:marLeft w:val="0"/>
      <w:marRight w:val="0"/>
      <w:marTop w:val="0"/>
      <w:marBottom w:val="0"/>
      <w:divBdr>
        <w:top w:val="none" w:sz="0" w:space="0" w:color="auto"/>
        <w:left w:val="none" w:sz="0" w:space="0" w:color="auto"/>
        <w:bottom w:val="none" w:sz="0" w:space="0" w:color="auto"/>
        <w:right w:val="none" w:sz="0" w:space="0" w:color="auto"/>
      </w:divBdr>
    </w:div>
    <w:div w:id="1377899272">
      <w:bodyDiv w:val="1"/>
      <w:marLeft w:val="0"/>
      <w:marRight w:val="0"/>
      <w:marTop w:val="0"/>
      <w:marBottom w:val="0"/>
      <w:divBdr>
        <w:top w:val="none" w:sz="0" w:space="0" w:color="auto"/>
        <w:left w:val="none" w:sz="0" w:space="0" w:color="auto"/>
        <w:bottom w:val="none" w:sz="0" w:space="0" w:color="auto"/>
        <w:right w:val="none" w:sz="0" w:space="0" w:color="auto"/>
      </w:divBdr>
      <w:divsChild>
        <w:div w:id="1062681563">
          <w:marLeft w:val="0"/>
          <w:marRight w:val="0"/>
          <w:marTop w:val="0"/>
          <w:marBottom w:val="0"/>
          <w:divBdr>
            <w:top w:val="none" w:sz="0" w:space="0" w:color="auto"/>
            <w:left w:val="none" w:sz="0" w:space="0" w:color="auto"/>
            <w:bottom w:val="none" w:sz="0" w:space="0" w:color="auto"/>
            <w:right w:val="none" w:sz="0" w:space="0" w:color="auto"/>
          </w:divBdr>
        </w:div>
        <w:div w:id="1992715310">
          <w:marLeft w:val="0"/>
          <w:marRight w:val="0"/>
          <w:marTop w:val="0"/>
          <w:marBottom w:val="0"/>
          <w:divBdr>
            <w:top w:val="none" w:sz="0" w:space="0" w:color="auto"/>
            <w:left w:val="none" w:sz="0" w:space="0" w:color="auto"/>
            <w:bottom w:val="none" w:sz="0" w:space="0" w:color="auto"/>
            <w:right w:val="none" w:sz="0" w:space="0" w:color="auto"/>
          </w:divBdr>
        </w:div>
      </w:divsChild>
    </w:div>
    <w:div w:id="1391803116">
      <w:bodyDiv w:val="1"/>
      <w:marLeft w:val="0"/>
      <w:marRight w:val="0"/>
      <w:marTop w:val="0"/>
      <w:marBottom w:val="0"/>
      <w:divBdr>
        <w:top w:val="none" w:sz="0" w:space="0" w:color="auto"/>
        <w:left w:val="none" w:sz="0" w:space="0" w:color="auto"/>
        <w:bottom w:val="none" w:sz="0" w:space="0" w:color="auto"/>
        <w:right w:val="none" w:sz="0" w:space="0" w:color="auto"/>
      </w:divBdr>
    </w:div>
    <w:div w:id="1444501356">
      <w:bodyDiv w:val="1"/>
      <w:marLeft w:val="0"/>
      <w:marRight w:val="0"/>
      <w:marTop w:val="0"/>
      <w:marBottom w:val="0"/>
      <w:divBdr>
        <w:top w:val="none" w:sz="0" w:space="0" w:color="auto"/>
        <w:left w:val="none" w:sz="0" w:space="0" w:color="auto"/>
        <w:bottom w:val="none" w:sz="0" w:space="0" w:color="auto"/>
        <w:right w:val="none" w:sz="0" w:space="0" w:color="auto"/>
      </w:divBdr>
    </w:div>
    <w:div w:id="1452015914">
      <w:bodyDiv w:val="1"/>
      <w:marLeft w:val="0"/>
      <w:marRight w:val="0"/>
      <w:marTop w:val="0"/>
      <w:marBottom w:val="0"/>
      <w:divBdr>
        <w:top w:val="none" w:sz="0" w:space="0" w:color="auto"/>
        <w:left w:val="none" w:sz="0" w:space="0" w:color="auto"/>
        <w:bottom w:val="none" w:sz="0" w:space="0" w:color="auto"/>
        <w:right w:val="none" w:sz="0" w:space="0" w:color="auto"/>
      </w:divBdr>
    </w:div>
    <w:div w:id="1479419497">
      <w:bodyDiv w:val="1"/>
      <w:marLeft w:val="0"/>
      <w:marRight w:val="0"/>
      <w:marTop w:val="0"/>
      <w:marBottom w:val="0"/>
      <w:divBdr>
        <w:top w:val="none" w:sz="0" w:space="0" w:color="auto"/>
        <w:left w:val="none" w:sz="0" w:space="0" w:color="auto"/>
        <w:bottom w:val="none" w:sz="0" w:space="0" w:color="auto"/>
        <w:right w:val="none" w:sz="0" w:space="0" w:color="auto"/>
      </w:divBdr>
    </w:div>
    <w:div w:id="1539587322">
      <w:bodyDiv w:val="1"/>
      <w:marLeft w:val="0"/>
      <w:marRight w:val="0"/>
      <w:marTop w:val="0"/>
      <w:marBottom w:val="0"/>
      <w:divBdr>
        <w:top w:val="none" w:sz="0" w:space="0" w:color="auto"/>
        <w:left w:val="none" w:sz="0" w:space="0" w:color="auto"/>
        <w:bottom w:val="none" w:sz="0" w:space="0" w:color="auto"/>
        <w:right w:val="none" w:sz="0" w:space="0" w:color="auto"/>
      </w:divBdr>
    </w:div>
    <w:div w:id="1547722146">
      <w:bodyDiv w:val="1"/>
      <w:marLeft w:val="0"/>
      <w:marRight w:val="0"/>
      <w:marTop w:val="0"/>
      <w:marBottom w:val="0"/>
      <w:divBdr>
        <w:top w:val="none" w:sz="0" w:space="0" w:color="auto"/>
        <w:left w:val="none" w:sz="0" w:space="0" w:color="auto"/>
        <w:bottom w:val="none" w:sz="0" w:space="0" w:color="auto"/>
        <w:right w:val="none" w:sz="0" w:space="0" w:color="auto"/>
      </w:divBdr>
    </w:div>
    <w:div w:id="1566792456">
      <w:bodyDiv w:val="1"/>
      <w:marLeft w:val="0"/>
      <w:marRight w:val="0"/>
      <w:marTop w:val="0"/>
      <w:marBottom w:val="0"/>
      <w:divBdr>
        <w:top w:val="none" w:sz="0" w:space="0" w:color="auto"/>
        <w:left w:val="none" w:sz="0" w:space="0" w:color="auto"/>
        <w:bottom w:val="none" w:sz="0" w:space="0" w:color="auto"/>
        <w:right w:val="none" w:sz="0" w:space="0" w:color="auto"/>
      </w:divBdr>
    </w:div>
    <w:div w:id="1587956243">
      <w:bodyDiv w:val="1"/>
      <w:marLeft w:val="0"/>
      <w:marRight w:val="0"/>
      <w:marTop w:val="0"/>
      <w:marBottom w:val="0"/>
      <w:divBdr>
        <w:top w:val="none" w:sz="0" w:space="0" w:color="auto"/>
        <w:left w:val="none" w:sz="0" w:space="0" w:color="auto"/>
        <w:bottom w:val="none" w:sz="0" w:space="0" w:color="auto"/>
        <w:right w:val="none" w:sz="0" w:space="0" w:color="auto"/>
      </w:divBdr>
    </w:div>
    <w:div w:id="1616980372">
      <w:bodyDiv w:val="1"/>
      <w:marLeft w:val="0"/>
      <w:marRight w:val="0"/>
      <w:marTop w:val="0"/>
      <w:marBottom w:val="0"/>
      <w:divBdr>
        <w:top w:val="none" w:sz="0" w:space="0" w:color="auto"/>
        <w:left w:val="none" w:sz="0" w:space="0" w:color="auto"/>
        <w:bottom w:val="none" w:sz="0" w:space="0" w:color="auto"/>
        <w:right w:val="none" w:sz="0" w:space="0" w:color="auto"/>
      </w:divBdr>
    </w:div>
    <w:div w:id="1643391456">
      <w:bodyDiv w:val="1"/>
      <w:marLeft w:val="0"/>
      <w:marRight w:val="0"/>
      <w:marTop w:val="0"/>
      <w:marBottom w:val="0"/>
      <w:divBdr>
        <w:top w:val="none" w:sz="0" w:space="0" w:color="auto"/>
        <w:left w:val="none" w:sz="0" w:space="0" w:color="auto"/>
        <w:bottom w:val="none" w:sz="0" w:space="0" w:color="auto"/>
        <w:right w:val="none" w:sz="0" w:space="0" w:color="auto"/>
      </w:divBdr>
    </w:div>
    <w:div w:id="1664818400">
      <w:bodyDiv w:val="1"/>
      <w:marLeft w:val="0"/>
      <w:marRight w:val="0"/>
      <w:marTop w:val="0"/>
      <w:marBottom w:val="0"/>
      <w:divBdr>
        <w:top w:val="none" w:sz="0" w:space="0" w:color="auto"/>
        <w:left w:val="none" w:sz="0" w:space="0" w:color="auto"/>
        <w:bottom w:val="none" w:sz="0" w:space="0" w:color="auto"/>
        <w:right w:val="none" w:sz="0" w:space="0" w:color="auto"/>
      </w:divBdr>
    </w:div>
    <w:div w:id="1668943798">
      <w:bodyDiv w:val="1"/>
      <w:marLeft w:val="0"/>
      <w:marRight w:val="0"/>
      <w:marTop w:val="0"/>
      <w:marBottom w:val="0"/>
      <w:divBdr>
        <w:top w:val="none" w:sz="0" w:space="0" w:color="auto"/>
        <w:left w:val="none" w:sz="0" w:space="0" w:color="auto"/>
        <w:bottom w:val="none" w:sz="0" w:space="0" w:color="auto"/>
        <w:right w:val="none" w:sz="0" w:space="0" w:color="auto"/>
      </w:divBdr>
    </w:div>
    <w:div w:id="1669795259">
      <w:bodyDiv w:val="1"/>
      <w:marLeft w:val="0"/>
      <w:marRight w:val="0"/>
      <w:marTop w:val="0"/>
      <w:marBottom w:val="0"/>
      <w:divBdr>
        <w:top w:val="none" w:sz="0" w:space="0" w:color="auto"/>
        <w:left w:val="none" w:sz="0" w:space="0" w:color="auto"/>
        <w:bottom w:val="none" w:sz="0" w:space="0" w:color="auto"/>
        <w:right w:val="none" w:sz="0" w:space="0" w:color="auto"/>
      </w:divBdr>
    </w:div>
    <w:div w:id="1822427002">
      <w:bodyDiv w:val="1"/>
      <w:marLeft w:val="0"/>
      <w:marRight w:val="0"/>
      <w:marTop w:val="0"/>
      <w:marBottom w:val="0"/>
      <w:divBdr>
        <w:top w:val="none" w:sz="0" w:space="0" w:color="auto"/>
        <w:left w:val="none" w:sz="0" w:space="0" w:color="auto"/>
        <w:bottom w:val="none" w:sz="0" w:space="0" w:color="auto"/>
        <w:right w:val="none" w:sz="0" w:space="0" w:color="auto"/>
      </w:divBdr>
    </w:div>
    <w:div w:id="1830486308">
      <w:bodyDiv w:val="1"/>
      <w:marLeft w:val="0"/>
      <w:marRight w:val="0"/>
      <w:marTop w:val="0"/>
      <w:marBottom w:val="0"/>
      <w:divBdr>
        <w:top w:val="none" w:sz="0" w:space="0" w:color="auto"/>
        <w:left w:val="none" w:sz="0" w:space="0" w:color="auto"/>
        <w:bottom w:val="none" w:sz="0" w:space="0" w:color="auto"/>
        <w:right w:val="none" w:sz="0" w:space="0" w:color="auto"/>
      </w:divBdr>
      <w:divsChild>
        <w:div w:id="1131284376">
          <w:marLeft w:val="0"/>
          <w:marRight w:val="0"/>
          <w:marTop w:val="0"/>
          <w:marBottom w:val="0"/>
          <w:divBdr>
            <w:top w:val="none" w:sz="0" w:space="0" w:color="auto"/>
            <w:left w:val="none" w:sz="0" w:space="0" w:color="auto"/>
            <w:bottom w:val="none" w:sz="0" w:space="0" w:color="auto"/>
            <w:right w:val="none" w:sz="0" w:space="0" w:color="auto"/>
          </w:divBdr>
        </w:div>
        <w:div w:id="1708792112">
          <w:marLeft w:val="0"/>
          <w:marRight w:val="0"/>
          <w:marTop w:val="0"/>
          <w:marBottom w:val="0"/>
          <w:divBdr>
            <w:top w:val="none" w:sz="0" w:space="0" w:color="auto"/>
            <w:left w:val="none" w:sz="0" w:space="0" w:color="auto"/>
            <w:bottom w:val="none" w:sz="0" w:space="0" w:color="auto"/>
            <w:right w:val="none" w:sz="0" w:space="0" w:color="auto"/>
          </w:divBdr>
        </w:div>
      </w:divsChild>
    </w:div>
    <w:div w:id="1852718677">
      <w:bodyDiv w:val="1"/>
      <w:marLeft w:val="0"/>
      <w:marRight w:val="0"/>
      <w:marTop w:val="0"/>
      <w:marBottom w:val="0"/>
      <w:divBdr>
        <w:top w:val="none" w:sz="0" w:space="0" w:color="auto"/>
        <w:left w:val="none" w:sz="0" w:space="0" w:color="auto"/>
        <w:bottom w:val="none" w:sz="0" w:space="0" w:color="auto"/>
        <w:right w:val="none" w:sz="0" w:space="0" w:color="auto"/>
      </w:divBdr>
    </w:div>
    <w:div w:id="1894147723">
      <w:bodyDiv w:val="1"/>
      <w:marLeft w:val="0"/>
      <w:marRight w:val="0"/>
      <w:marTop w:val="0"/>
      <w:marBottom w:val="0"/>
      <w:divBdr>
        <w:top w:val="none" w:sz="0" w:space="0" w:color="auto"/>
        <w:left w:val="none" w:sz="0" w:space="0" w:color="auto"/>
        <w:bottom w:val="none" w:sz="0" w:space="0" w:color="auto"/>
        <w:right w:val="none" w:sz="0" w:space="0" w:color="auto"/>
      </w:divBdr>
      <w:divsChild>
        <w:div w:id="319427795">
          <w:marLeft w:val="-150"/>
          <w:marRight w:val="-150"/>
          <w:marTop w:val="0"/>
          <w:marBottom w:val="0"/>
          <w:divBdr>
            <w:top w:val="none" w:sz="0" w:space="0" w:color="auto"/>
            <w:left w:val="none" w:sz="0" w:space="0" w:color="auto"/>
            <w:bottom w:val="none" w:sz="0" w:space="0" w:color="auto"/>
            <w:right w:val="none" w:sz="0" w:space="0" w:color="auto"/>
          </w:divBdr>
          <w:divsChild>
            <w:div w:id="203980038">
              <w:marLeft w:val="0"/>
              <w:marRight w:val="0"/>
              <w:marTop w:val="0"/>
              <w:marBottom w:val="0"/>
              <w:divBdr>
                <w:top w:val="none" w:sz="0" w:space="0" w:color="auto"/>
                <w:left w:val="none" w:sz="0" w:space="0" w:color="auto"/>
                <w:bottom w:val="none" w:sz="0" w:space="0" w:color="auto"/>
                <w:right w:val="none" w:sz="0" w:space="0" w:color="auto"/>
              </w:divBdr>
            </w:div>
            <w:div w:id="875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61123">
      <w:bodyDiv w:val="1"/>
      <w:marLeft w:val="0"/>
      <w:marRight w:val="0"/>
      <w:marTop w:val="0"/>
      <w:marBottom w:val="0"/>
      <w:divBdr>
        <w:top w:val="none" w:sz="0" w:space="0" w:color="auto"/>
        <w:left w:val="none" w:sz="0" w:space="0" w:color="auto"/>
        <w:bottom w:val="none" w:sz="0" w:space="0" w:color="auto"/>
        <w:right w:val="none" w:sz="0" w:space="0" w:color="auto"/>
      </w:divBdr>
      <w:divsChild>
        <w:div w:id="263464940">
          <w:marLeft w:val="446"/>
          <w:marRight w:val="0"/>
          <w:marTop w:val="0"/>
          <w:marBottom w:val="0"/>
          <w:divBdr>
            <w:top w:val="none" w:sz="0" w:space="0" w:color="auto"/>
            <w:left w:val="none" w:sz="0" w:space="0" w:color="auto"/>
            <w:bottom w:val="none" w:sz="0" w:space="0" w:color="auto"/>
            <w:right w:val="none" w:sz="0" w:space="0" w:color="auto"/>
          </w:divBdr>
        </w:div>
        <w:div w:id="456602628">
          <w:marLeft w:val="446"/>
          <w:marRight w:val="0"/>
          <w:marTop w:val="0"/>
          <w:marBottom w:val="0"/>
          <w:divBdr>
            <w:top w:val="none" w:sz="0" w:space="0" w:color="auto"/>
            <w:left w:val="none" w:sz="0" w:space="0" w:color="auto"/>
            <w:bottom w:val="none" w:sz="0" w:space="0" w:color="auto"/>
            <w:right w:val="none" w:sz="0" w:space="0" w:color="auto"/>
          </w:divBdr>
        </w:div>
        <w:div w:id="645860496">
          <w:marLeft w:val="446"/>
          <w:marRight w:val="0"/>
          <w:marTop w:val="0"/>
          <w:marBottom w:val="0"/>
          <w:divBdr>
            <w:top w:val="none" w:sz="0" w:space="0" w:color="auto"/>
            <w:left w:val="none" w:sz="0" w:space="0" w:color="auto"/>
            <w:bottom w:val="none" w:sz="0" w:space="0" w:color="auto"/>
            <w:right w:val="none" w:sz="0" w:space="0" w:color="auto"/>
          </w:divBdr>
        </w:div>
      </w:divsChild>
    </w:div>
    <w:div w:id="1937906549">
      <w:bodyDiv w:val="1"/>
      <w:marLeft w:val="0"/>
      <w:marRight w:val="0"/>
      <w:marTop w:val="0"/>
      <w:marBottom w:val="0"/>
      <w:divBdr>
        <w:top w:val="none" w:sz="0" w:space="0" w:color="auto"/>
        <w:left w:val="none" w:sz="0" w:space="0" w:color="auto"/>
        <w:bottom w:val="none" w:sz="0" w:space="0" w:color="auto"/>
        <w:right w:val="none" w:sz="0" w:space="0" w:color="auto"/>
      </w:divBdr>
    </w:div>
    <w:div w:id="1943027459">
      <w:bodyDiv w:val="1"/>
      <w:marLeft w:val="0"/>
      <w:marRight w:val="0"/>
      <w:marTop w:val="0"/>
      <w:marBottom w:val="0"/>
      <w:divBdr>
        <w:top w:val="none" w:sz="0" w:space="0" w:color="auto"/>
        <w:left w:val="none" w:sz="0" w:space="0" w:color="auto"/>
        <w:bottom w:val="none" w:sz="0" w:space="0" w:color="auto"/>
        <w:right w:val="none" w:sz="0" w:space="0" w:color="auto"/>
      </w:divBdr>
    </w:div>
    <w:div w:id="1947081866">
      <w:bodyDiv w:val="1"/>
      <w:marLeft w:val="0"/>
      <w:marRight w:val="0"/>
      <w:marTop w:val="0"/>
      <w:marBottom w:val="0"/>
      <w:divBdr>
        <w:top w:val="none" w:sz="0" w:space="0" w:color="auto"/>
        <w:left w:val="none" w:sz="0" w:space="0" w:color="auto"/>
        <w:bottom w:val="none" w:sz="0" w:space="0" w:color="auto"/>
        <w:right w:val="none" w:sz="0" w:space="0" w:color="auto"/>
      </w:divBdr>
    </w:div>
    <w:div w:id="1991981030">
      <w:bodyDiv w:val="1"/>
      <w:marLeft w:val="0"/>
      <w:marRight w:val="0"/>
      <w:marTop w:val="0"/>
      <w:marBottom w:val="0"/>
      <w:divBdr>
        <w:top w:val="none" w:sz="0" w:space="0" w:color="auto"/>
        <w:left w:val="none" w:sz="0" w:space="0" w:color="auto"/>
        <w:bottom w:val="none" w:sz="0" w:space="0" w:color="auto"/>
        <w:right w:val="none" w:sz="0" w:space="0" w:color="auto"/>
      </w:divBdr>
    </w:div>
    <w:div w:id="2047368873">
      <w:bodyDiv w:val="1"/>
      <w:marLeft w:val="0"/>
      <w:marRight w:val="0"/>
      <w:marTop w:val="0"/>
      <w:marBottom w:val="0"/>
      <w:divBdr>
        <w:top w:val="none" w:sz="0" w:space="0" w:color="auto"/>
        <w:left w:val="none" w:sz="0" w:space="0" w:color="auto"/>
        <w:bottom w:val="none" w:sz="0" w:space="0" w:color="auto"/>
        <w:right w:val="none" w:sz="0" w:space="0" w:color="auto"/>
      </w:divBdr>
    </w:div>
    <w:div w:id="2060128025">
      <w:bodyDiv w:val="1"/>
      <w:marLeft w:val="0"/>
      <w:marRight w:val="0"/>
      <w:marTop w:val="0"/>
      <w:marBottom w:val="0"/>
      <w:divBdr>
        <w:top w:val="none" w:sz="0" w:space="0" w:color="auto"/>
        <w:left w:val="none" w:sz="0" w:space="0" w:color="auto"/>
        <w:bottom w:val="none" w:sz="0" w:space="0" w:color="auto"/>
        <w:right w:val="none" w:sz="0" w:space="0" w:color="auto"/>
      </w:divBdr>
      <w:divsChild>
        <w:div w:id="47265616">
          <w:marLeft w:val="0"/>
          <w:marRight w:val="0"/>
          <w:marTop w:val="0"/>
          <w:marBottom w:val="0"/>
          <w:divBdr>
            <w:top w:val="none" w:sz="0" w:space="0" w:color="auto"/>
            <w:left w:val="none" w:sz="0" w:space="0" w:color="auto"/>
            <w:bottom w:val="none" w:sz="0" w:space="0" w:color="auto"/>
            <w:right w:val="none" w:sz="0" w:space="0" w:color="auto"/>
          </w:divBdr>
        </w:div>
        <w:div w:id="174078109">
          <w:marLeft w:val="0"/>
          <w:marRight w:val="0"/>
          <w:marTop w:val="0"/>
          <w:marBottom w:val="0"/>
          <w:divBdr>
            <w:top w:val="none" w:sz="0" w:space="0" w:color="auto"/>
            <w:left w:val="none" w:sz="0" w:space="0" w:color="auto"/>
            <w:bottom w:val="none" w:sz="0" w:space="0" w:color="auto"/>
            <w:right w:val="none" w:sz="0" w:space="0" w:color="auto"/>
          </w:divBdr>
        </w:div>
        <w:div w:id="667027523">
          <w:marLeft w:val="0"/>
          <w:marRight w:val="0"/>
          <w:marTop w:val="0"/>
          <w:marBottom w:val="0"/>
          <w:divBdr>
            <w:top w:val="none" w:sz="0" w:space="0" w:color="auto"/>
            <w:left w:val="none" w:sz="0" w:space="0" w:color="auto"/>
            <w:bottom w:val="none" w:sz="0" w:space="0" w:color="auto"/>
            <w:right w:val="none" w:sz="0" w:space="0" w:color="auto"/>
          </w:divBdr>
        </w:div>
      </w:divsChild>
    </w:div>
    <w:div w:id="211598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cordis.europa.eu/project/id/101160532/fr"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rdis.europa.eu/project/id/101160532/fr"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80/09613218.2024.2400467" TargetMode="External"/><Relationship Id="rId13" Type="http://schemas.openxmlformats.org/officeDocument/2006/relationships/hyperlink" Target="https://new-european-bauhaus.europa.eu/index_en?prefLang=fr" TargetMode="External"/><Relationship Id="rId18" Type="http://schemas.openxmlformats.org/officeDocument/2006/relationships/hyperlink" Target="https://employment-social-affairs.ec.europa.eu/policies-and-activities/skills-and-qualifications/working-together/blueprint-sectoral-cooperation-skills_en?prefLang=fr" TargetMode="External"/><Relationship Id="rId3" Type="http://schemas.openxmlformats.org/officeDocument/2006/relationships/hyperlink" Target="https://bio-build.eu/" TargetMode="External"/><Relationship Id="rId7" Type="http://schemas.openxmlformats.org/officeDocument/2006/relationships/hyperlink" Target="https://ec.europa.eu/docsroom/documents/53854" TargetMode="External"/><Relationship Id="rId12" Type="http://schemas.openxmlformats.org/officeDocument/2006/relationships/hyperlink" Target="https://monitor-industrial-ecosystems.ec.europa.eu/sites/default/files/2025-06/EMI_WP4_Construction_report_2024_Final.pdf" TargetMode="External"/><Relationship Id="rId17" Type="http://schemas.openxmlformats.org/officeDocument/2006/relationships/hyperlink" Target="https://www.cedefop.europa.eu/fr/data-insights/greening-eu-construction-sector" TargetMode="External"/><Relationship Id="rId2" Type="http://schemas.openxmlformats.org/officeDocument/2006/relationships/hyperlink" Target="https://single-market-economy.ec.europa.eu/industry/sustainability/buildings-and-construction_en?prefLang=fr" TargetMode="External"/><Relationship Id="rId16" Type="http://schemas.openxmlformats.org/officeDocument/2006/relationships/hyperlink" Target="https://www.cedefop.europa.eu/fr/data-insights/greening-eu-construction-sector" TargetMode="External"/><Relationship Id="rId1" Type="http://schemas.openxmlformats.org/officeDocument/2006/relationships/hyperlink" Target="https://www.eib.org/attachments/lucalli/20240238_econ_eibis_2024_eu_fr.pdf" TargetMode="External"/><Relationship Id="rId6" Type="http://schemas.openxmlformats.org/officeDocument/2006/relationships/hyperlink" Target="http://data.europa.eu/eli/reg/2024/3110/oj" TargetMode="External"/><Relationship Id="rId11" Type="http://schemas.openxmlformats.org/officeDocument/2006/relationships/hyperlink" Target="https://ec.europa.eu/eurostat/web/interactive-publications/digitalisation-2025?etrans=fr" TargetMode="External"/><Relationship Id="rId5" Type="http://schemas.openxmlformats.org/officeDocument/2006/relationships/hyperlink" Target="https://link.springer.com/article/10.1007/s10098-024-03023-6?utm" TargetMode="External"/><Relationship Id="rId15" Type="http://schemas.openxmlformats.org/officeDocument/2006/relationships/hyperlink" Target="https://publications.jrc.ec.europa.eu/repository/handle/JRC135470" TargetMode="External"/><Relationship Id="rId10" Type="http://schemas.openxmlformats.org/officeDocument/2006/relationships/hyperlink" Target="https://www.eib.org/attachments/lucalli/20240238_econ_eibis_2024_eu_fr.pdf" TargetMode="External"/><Relationship Id="rId19" Type="http://schemas.openxmlformats.org/officeDocument/2006/relationships/hyperlink" Target="https://single-market-economy.ec.europa.eu/sectors/construction/construction-transition-pathway_fr" TargetMode="External"/><Relationship Id="rId4" Type="http://schemas.openxmlformats.org/officeDocument/2006/relationships/hyperlink" Target="https://link.springer.com/article/10.1007/s10098-024-03023-6?utm" TargetMode="External"/><Relationship Id="rId9" Type="http://schemas.openxmlformats.org/officeDocument/2006/relationships/hyperlink" Target="https://public-buyers-community.ec.europa.eu/communities/bim-and-public-procurement" TargetMode="External"/><Relationship Id="rId14" Type="http://schemas.openxmlformats.org/officeDocument/2006/relationships/hyperlink" Target="http://data.europa.eu/eli/dir/2024/1275/oj" TargetMode="External"/></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70C0"/>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DF8FA-57EE-41BA-8056-724E4E85B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9184</Words>
  <Characters>52349</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61411</CharactersWithSpaces>
  <SharedDoc>false</SharedDoc>
  <HLinks>
    <vt:vector size="114" baseType="variant">
      <vt:variant>
        <vt:i4>720997</vt:i4>
      </vt:variant>
      <vt:variant>
        <vt:i4>60</vt:i4>
      </vt:variant>
      <vt:variant>
        <vt:i4>0</vt:i4>
      </vt:variant>
      <vt:variant>
        <vt:i4>5</vt:i4>
      </vt:variant>
      <vt:variant>
        <vt:lpwstr>https://single-market-economy.ec.europa.eu/sectors/construction/construction-transition-pathway_en</vt:lpwstr>
      </vt:variant>
      <vt:variant>
        <vt:lpwstr/>
      </vt:variant>
      <vt:variant>
        <vt:i4>1572897</vt:i4>
      </vt:variant>
      <vt:variant>
        <vt:i4>57</vt:i4>
      </vt:variant>
      <vt:variant>
        <vt:i4>0</vt:i4>
      </vt:variant>
      <vt:variant>
        <vt:i4>5</vt:i4>
      </vt:variant>
      <vt:variant>
        <vt:lpwstr>https://employment-social-affairs.ec.europa.eu/policies-and-activities/skills-and-qualifications/working-together/blueprint-sectoral-cooperation-skills_en</vt:lpwstr>
      </vt:variant>
      <vt:variant>
        <vt:lpwstr/>
      </vt:variant>
      <vt:variant>
        <vt:i4>1179665</vt:i4>
      </vt:variant>
      <vt:variant>
        <vt:i4>54</vt:i4>
      </vt:variant>
      <vt:variant>
        <vt:i4>0</vt:i4>
      </vt:variant>
      <vt:variant>
        <vt:i4>5</vt:i4>
      </vt:variant>
      <vt:variant>
        <vt:lpwstr>https://www.cedefop.europa.eu/en/data-insights/greening-eu-construction-sector</vt:lpwstr>
      </vt:variant>
      <vt:variant>
        <vt:lpwstr>:~:text=Vocational%20education%20and%20training%20(VET,communication%20and%20collaboration%20with%20others.&amp;text=Source:%20Cedefop%20second%20European%20Skills%20and%20Jobs%20Survey%20(2021).</vt:lpwstr>
      </vt:variant>
      <vt:variant>
        <vt:i4>65606</vt:i4>
      </vt:variant>
      <vt:variant>
        <vt:i4>51</vt:i4>
      </vt:variant>
      <vt:variant>
        <vt:i4>0</vt:i4>
      </vt:variant>
      <vt:variant>
        <vt:i4>5</vt:i4>
      </vt:variant>
      <vt:variant>
        <vt:lpwstr>https://publications.jrc.ec.europa.eu/repository/handle/JRC135470</vt:lpwstr>
      </vt:variant>
      <vt:variant>
        <vt:lpwstr/>
      </vt:variant>
      <vt:variant>
        <vt:i4>6684776</vt:i4>
      </vt:variant>
      <vt:variant>
        <vt:i4>48</vt:i4>
      </vt:variant>
      <vt:variant>
        <vt:i4>0</vt:i4>
      </vt:variant>
      <vt:variant>
        <vt:i4>5</vt:i4>
      </vt:variant>
      <vt:variant>
        <vt:lpwstr>http://data.europa.eu/eli/dir/2024/1275/oj</vt:lpwstr>
      </vt:variant>
      <vt:variant>
        <vt:lpwstr/>
      </vt:variant>
      <vt:variant>
        <vt:i4>458768</vt:i4>
      </vt:variant>
      <vt:variant>
        <vt:i4>45</vt:i4>
      </vt:variant>
      <vt:variant>
        <vt:i4>0</vt:i4>
      </vt:variant>
      <vt:variant>
        <vt:i4>5</vt:i4>
      </vt:variant>
      <vt:variant>
        <vt:lpwstr>https://eur-lex.europa.eu/legal-content/EN/TXT/?uri=CELEX:52021DC0573</vt:lpwstr>
      </vt:variant>
      <vt:variant>
        <vt:lpwstr/>
      </vt:variant>
      <vt:variant>
        <vt:i4>5570687</vt:i4>
      </vt:variant>
      <vt:variant>
        <vt:i4>42</vt:i4>
      </vt:variant>
      <vt:variant>
        <vt:i4>0</vt:i4>
      </vt:variant>
      <vt:variant>
        <vt:i4>5</vt:i4>
      </vt:variant>
      <vt:variant>
        <vt:lpwstr>https://monitor-industrial-ecosystems.ec.europa.eu/sites/default/files/2025-06/EMI_WP4_Construction_report_2024_Final.pdf</vt:lpwstr>
      </vt:variant>
      <vt:variant>
        <vt:lpwstr/>
      </vt:variant>
      <vt:variant>
        <vt:i4>2228329</vt:i4>
      </vt:variant>
      <vt:variant>
        <vt:i4>39</vt:i4>
      </vt:variant>
      <vt:variant>
        <vt:i4>0</vt:i4>
      </vt:variant>
      <vt:variant>
        <vt:i4>5</vt:i4>
      </vt:variant>
      <vt:variant>
        <vt:lpwstr>https://ec.europa.eu/eurostat/web/interactive-publications/digitalisation-2025</vt:lpwstr>
      </vt:variant>
      <vt:variant>
        <vt:lpwstr/>
      </vt:variant>
      <vt:variant>
        <vt:i4>262243</vt:i4>
      </vt:variant>
      <vt:variant>
        <vt:i4>36</vt:i4>
      </vt:variant>
      <vt:variant>
        <vt:i4>0</vt:i4>
      </vt:variant>
      <vt:variant>
        <vt:i4>5</vt:i4>
      </vt:variant>
      <vt:variant>
        <vt:lpwstr>https://www.eib.org/attachments/lucalli/20240238_econ_eibis_2024_eu_en.pdf</vt:lpwstr>
      </vt:variant>
      <vt:variant>
        <vt:lpwstr/>
      </vt:variant>
      <vt:variant>
        <vt:i4>7471137</vt:i4>
      </vt:variant>
      <vt:variant>
        <vt:i4>33</vt:i4>
      </vt:variant>
      <vt:variant>
        <vt:i4>0</vt:i4>
      </vt:variant>
      <vt:variant>
        <vt:i4>5</vt:i4>
      </vt:variant>
      <vt:variant>
        <vt:lpwstr>https://public-buyers-community.ec.europa.eu/communities/bim-and-public-procurement</vt:lpwstr>
      </vt:variant>
      <vt:variant>
        <vt:lpwstr/>
      </vt:variant>
      <vt:variant>
        <vt:i4>327746</vt:i4>
      </vt:variant>
      <vt:variant>
        <vt:i4>30</vt:i4>
      </vt:variant>
      <vt:variant>
        <vt:i4>0</vt:i4>
      </vt:variant>
      <vt:variant>
        <vt:i4>5</vt:i4>
      </vt:variant>
      <vt:variant>
        <vt:lpwstr>https://doi.org/10.1080/09613218.2024.2400467</vt:lpwstr>
      </vt:variant>
      <vt:variant>
        <vt:lpwstr/>
      </vt:variant>
      <vt:variant>
        <vt:i4>5832798</vt:i4>
      </vt:variant>
      <vt:variant>
        <vt:i4>24</vt:i4>
      </vt:variant>
      <vt:variant>
        <vt:i4>0</vt:i4>
      </vt:variant>
      <vt:variant>
        <vt:i4>5</vt:i4>
      </vt:variant>
      <vt:variant>
        <vt:lpwstr>https://ec.europa.eu/docsroom/documents/53854</vt:lpwstr>
      </vt:variant>
      <vt:variant>
        <vt:lpwstr/>
      </vt:variant>
      <vt:variant>
        <vt:i4>7209069</vt:i4>
      </vt:variant>
      <vt:variant>
        <vt:i4>21</vt:i4>
      </vt:variant>
      <vt:variant>
        <vt:i4>0</vt:i4>
      </vt:variant>
      <vt:variant>
        <vt:i4>5</vt:i4>
      </vt:variant>
      <vt:variant>
        <vt:lpwstr>http://data.europa.eu/eli/reg/2024/3110/oj</vt:lpwstr>
      </vt:variant>
      <vt:variant>
        <vt:lpwstr/>
      </vt:variant>
      <vt:variant>
        <vt:i4>1114186</vt:i4>
      </vt:variant>
      <vt:variant>
        <vt:i4>18</vt:i4>
      </vt:variant>
      <vt:variant>
        <vt:i4>0</vt:i4>
      </vt:variant>
      <vt:variant>
        <vt:i4>5</vt:i4>
      </vt:variant>
      <vt:variant>
        <vt:lpwstr>https://link.springer.com/article/10.1007/s10098-024-03023-6?utm</vt:lpwstr>
      </vt:variant>
      <vt:variant>
        <vt:lpwstr/>
      </vt:variant>
      <vt:variant>
        <vt:i4>1507399</vt:i4>
      </vt:variant>
      <vt:variant>
        <vt:i4>15</vt:i4>
      </vt:variant>
      <vt:variant>
        <vt:i4>0</vt:i4>
      </vt:variant>
      <vt:variant>
        <vt:i4>5</vt:i4>
      </vt:variant>
      <vt:variant>
        <vt:lpwstr>https://bio-build.eu/</vt:lpwstr>
      </vt:variant>
      <vt:variant>
        <vt:lpwstr/>
      </vt:variant>
      <vt:variant>
        <vt:i4>4063326</vt:i4>
      </vt:variant>
      <vt:variant>
        <vt:i4>12</vt:i4>
      </vt:variant>
      <vt:variant>
        <vt:i4>0</vt:i4>
      </vt:variant>
      <vt:variant>
        <vt:i4>5</vt:i4>
      </vt:variant>
      <vt:variant>
        <vt:lpwstr>https://single-market-economy.ec.europa.eu/industry/sustainability/buildings-and-construction_en</vt:lpwstr>
      </vt:variant>
      <vt:variant>
        <vt:lpwstr/>
      </vt:variant>
      <vt:variant>
        <vt:i4>262243</vt:i4>
      </vt:variant>
      <vt:variant>
        <vt:i4>9</vt:i4>
      </vt:variant>
      <vt:variant>
        <vt:i4>0</vt:i4>
      </vt:variant>
      <vt:variant>
        <vt:i4>5</vt:i4>
      </vt:variant>
      <vt:variant>
        <vt:lpwstr>https://www.eib.org/attachments/lucalli/20240238_econ_eibis_2024_eu_en.pdf</vt:lpwstr>
      </vt:variant>
      <vt:variant>
        <vt:lpwstr/>
      </vt:variant>
      <vt:variant>
        <vt:i4>5570669</vt:i4>
      </vt:variant>
      <vt:variant>
        <vt:i4>0</vt:i4>
      </vt:variant>
      <vt:variant>
        <vt:i4>0</vt:i4>
      </vt:variant>
      <vt:variant>
        <vt:i4>5</vt:i4>
      </vt:variant>
      <vt:variant>
        <vt:lpwstr>mailto:roman.horvath@ec.europa.eu</vt:lpwstr>
      </vt:variant>
      <vt:variant>
        <vt:lpwstr/>
      </vt:variant>
      <vt:variant>
        <vt:i4>2031636</vt:i4>
      </vt:variant>
      <vt:variant>
        <vt:i4>0</vt:i4>
      </vt:variant>
      <vt:variant>
        <vt:i4>0</vt:i4>
      </vt:variant>
      <vt:variant>
        <vt:i4>5</vt:i4>
      </vt:variant>
      <vt:variant>
        <vt:lpwstr>https://cordis.europa.eu/project/id/101160532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2025-12-15T15:21:00Z</dcterms:created>
  <dcterms:modified xsi:type="dcterms:W3CDTF">2026-01-15T17:36:00Z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2025-12-12T08:32:18Z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853e8dd0-4a9d-4754-b7df-0cf430829afe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