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1FEB4" w14:textId="6D857B2F" w:rsidR="006A7C0E" w:rsidRPr="00BC3D14" w:rsidRDefault="006A22CE" w:rsidP="006A22CE">
      <w:pPr>
        <w:pStyle w:val="Pagedecouverture"/>
        <w:rPr>
          <w:noProof/>
        </w:rPr>
      </w:pPr>
      <w:bookmarkStart w:id="0" w:name="LW_BM_COVERPAGE"/>
      <w:r>
        <w:rPr>
          <w:noProof/>
        </w:rPr>
        <w:pict w14:anchorId="52515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F708D03-A958-4257-A351-592CBF222173" style="width:455.25pt;height:313.5pt">
            <v:imagedata r:id="rId8" o:title=""/>
          </v:shape>
        </w:pict>
      </w:r>
    </w:p>
    <w:bookmarkEnd w:id="0"/>
    <w:p w14:paraId="1A9891C5" w14:textId="77777777" w:rsidR="006A7C0E" w:rsidRPr="00BC3D14" w:rsidRDefault="006A7C0E" w:rsidP="006A7C0E">
      <w:pPr>
        <w:rPr>
          <w:noProof/>
        </w:rPr>
        <w:sectPr w:rsidR="006A7C0E" w:rsidRPr="00BC3D14" w:rsidSect="006A22C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86CD9C5" w14:textId="5F7B4122" w:rsidR="009579B9" w:rsidRPr="00BC3D14" w:rsidRDefault="78520435" w:rsidP="00811D0F">
      <w:pPr>
        <w:pStyle w:val="Heading1"/>
        <w:rPr>
          <w:rStyle w:val="Heading1Char"/>
          <w:noProof/>
        </w:rPr>
      </w:pPr>
      <w:bookmarkStart w:id="1" w:name="_Toc213663454"/>
      <w:bookmarkStart w:id="2" w:name="_GoBack"/>
      <w:bookmarkEnd w:id="2"/>
      <w:r w:rsidRPr="00BC3D14">
        <w:rPr>
          <w:rStyle w:val="Heading1Char"/>
          <w:noProof/>
        </w:rPr>
        <w:lastRenderedPageBreak/>
        <w:t>Consolidarea competitivității ecosistemului construcțiilor</w:t>
      </w:r>
      <w:bookmarkEnd w:id="1"/>
      <w:r w:rsidRPr="00BC3D14">
        <w:rPr>
          <w:rStyle w:val="Heading1Char"/>
          <w:noProof/>
        </w:rPr>
        <w:t xml:space="preserve"> </w:t>
      </w:r>
    </w:p>
    <w:p w14:paraId="09FEF5CD" w14:textId="47E620D0" w:rsidR="00A16BBE" w:rsidRPr="00BC3D14" w:rsidRDefault="00BC0F53" w:rsidP="00402ECE">
      <w:pPr>
        <w:rPr>
          <w:rFonts w:cs="Times New Roman"/>
          <w:noProof/>
        </w:rPr>
      </w:pPr>
      <w:r w:rsidRPr="00BC3D14">
        <w:rPr>
          <w:b/>
          <w:noProof/>
        </w:rPr>
        <w:t>Europa se confruntă cu o provocare structurală în ceea ce privește accesibilitatea locuințelor.</w:t>
      </w:r>
      <w:r w:rsidRPr="00BC3D14">
        <w:rPr>
          <w:noProof/>
        </w:rPr>
        <w:t xml:space="preserve"> Strategia europeană pentru construcția de locuințe este o parte esențială – pilonul industrial – a pachetului Comisiei privind locuințele la prețuri accesibile, care urmărește să facă locuințele mai accesibile pentru toți europenii. Strategia se axează pe consolidarea competitivității, a productivității și a inovării în industria construcțiilor. Deși normele armonizate privind produsele și serviciile pentru construcții de pe piața unică contribuie la un cadru al UE, locuințele țin, în principal, de competența statelor membre, a regiunilor și a orașelor și intră în sfera de responsabilitate a acestora. Prin urmare, un efort concertat din partea instituțiilor UE, a administrațiilor naționale, regionale și locale, a instituțiilor financiare și a părților interesate din industrie este esențial pentru abordarea problemei locuințelor.</w:t>
      </w:r>
    </w:p>
    <w:p w14:paraId="650392B6" w14:textId="2F563ECB" w:rsidR="002B183C" w:rsidRPr="00BC3D14" w:rsidRDefault="00905537" w:rsidP="00BC0F53">
      <w:pPr>
        <w:spacing w:after="120" w:line="240" w:lineRule="auto"/>
        <w:rPr>
          <w:noProof/>
        </w:rPr>
      </w:pPr>
      <w:r w:rsidRPr="00BC3D14">
        <w:rPr>
          <w:b/>
          <w:noProof/>
        </w:rPr>
        <w:t>Criza locuințelor este determinată de mai mulți factori, inclusiv de o serie de factori din industria construcțiilor.</w:t>
      </w:r>
      <w:r w:rsidRPr="00BC3D14">
        <w:rPr>
          <w:noProof/>
        </w:rPr>
        <w:t xml:space="preserve"> Modificările în ceea ce privește cererea, oferta limitată de locuințe, creșterea costurilor de construcție și decalajele persistente în materie de productivitate au contribuit la o penurie de locuințe. Într-o treime din regiunile UE, construcțiile nu au reușit să țină pasul cu cererea demografică în creștere. Previziunile Comisiei sugerează că numărul gospodăriilor va crește și mai mult în aceste zone. Pentru a face față acestei presiuni demografice în următorul deceniu, Europa are nevoie de încă 650 000 de locuințe pe an, pe lângă cele 1,6 milioane construite în prezent</w:t>
      </w:r>
      <w:r w:rsidRPr="00BC3D14">
        <w:rPr>
          <w:rStyle w:val="FootnoteReference"/>
          <w:noProof/>
        </w:rPr>
        <w:footnoteReference w:id="2"/>
      </w:r>
      <w:r w:rsidRPr="00BC3D14">
        <w:rPr>
          <w:noProof/>
        </w:rPr>
        <w:t>. De asemenea, este necesară o dublare a ratei actuale de renovare și o îmbunătățire generală a performanței energetice a parcului imobiliar rezidențial, cu 16 % până în 2030, pentru a contribui la asigurarea unor locuințe la prețuri accesibile, durabile, reziliente și de calitate.</w:t>
      </w:r>
    </w:p>
    <w:p w14:paraId="4A6E8399" w14:textId="51AAE8B8" w:rsidR="00BC0F53" w:rsidRPr="00BC3D14" w:rsidRDefault="00BC0F53" w:rsidP="00BC0F53">
      <w:pPr>
        <w:spacing w:after="120" w:line="240" w:lineRule="auto"/>
        <w:rPr>
          <w:noProof/>
        </w:rPr>
      </w:pPr>
      <w:r w:rsidRPr="00BC3D14">
        <w:rPr>
          <w:b/>
          <w:noProof/>
        </w:rPr>
        <w:t>Penuria de locuințe se reflectă în creșterea prețurilor atât pentru locuințele închiriate, cât și pentru cele ocupate de proprietari</w:t>
      </w:r>
      <w:r w:rsidRPr="00BC3D14">
        <w:rPr>
          <w:noProof/>
        </w:rPr>
        <w:t xml:space="preserve">. Începând din 2013, prețurile locuințelor în termeni nominali au crescut cu peste 60 % în întreaga UE, într-un ritm mai rapid decât cel al veniturilor, cu implicații directe pentru incluziunea socială și mobilitatea forței de muncă. Multe zone metropolitane și destinații turistice sunt zone care se confruntă cu dificultăți în materie de locuințe, în care se resimt cele mai puternice presiuni. </w:t>
      </w:r>
    </w:p>
    <w:p w14:paraId="0CBB5D27" w14:textId="2D7ADD1D" w:rsidR="00BC0F53" w:rsidRPr="00BC3D14" w:rsidRDefault="00BC0F53" w:rsidP="00BC0F53">
      <w:pPr>
        <w:spacing w:line="240" w:lineRule="auto"/>
        <w:rPr>
          <w:rFonts w:cs="Times New Roman"/>
          <w:noProof/>
        </w:rPr>
      </w:pPr>
      <w:r w:rsidRPr="00BC3D14">
        <w:rPr>
          <w:b/>
          <w:noProof/>
        </w:rPr>
        <w:t>Pentru a răspunde acestei provocări a accesibilității locuințelor, Uniunea Europeană trebuie să abordeze decalajul dintre cererea și oferta de locuințe</w:t>
      </w:r>
      <w:r w:rsidRPr="00BC3D14">
        <w:rPr>
          <w:noProof/>
        </w:rPr>
        <w:t>, alături de alte măsuri, astfel cum sunt incluse în Planul privind locuințele la prețuri accesibile</w:t>
      </w:r>
      <w:r w:rsidRPr="00BC3D14">
        <w:rPr>
          <w:rStyle w:val="FootnoteReference"/>
          <w:noProof/>
        </w:rPr>
        <w:footnoteReference w:id="3"/>
      </w:r>
      <w:r w:rsidRPr="00BC3D14">
        <w:rPr>
          <w:noProof/>
        </w:rPr>
        <w:t>. Trebuie să creăm condițiile-cadru pentru a ne asigura că sectorul construcțiilor își poate îndeplini rolul de factor favorizant pentru locuințe la prețuri accesibile, durabile, reziliente și de înaltă calitate. Creșterea productivității, a capacității și a competitivității întregului ecosistem al construcțiilor</w:t>
      </w:r>
      <w:r w:rsidRPr="00BC3D14">
        <w:rPr>
          <w:rStyle w:val="FootnoteReference"/>
          <w:rFonts w:eastAsia="Times New Roman" w:cs="Times New Roman"/>
          <w:noProof/>
        </w:rPr>
        <w:footnoteReference w:id="4"/>
      </w:r>
      <w:r w:rsidRPr="00BC3D14">
        <w:rPr>
          <w:noProof/>
        </w:rPr>
        <w:t xml:space="preserve"> va permite stimularea ofertei de locuințe și îndeplinirea obiectivelor economice, sociale și de mediu ale Uniunii.</w:t>
      </w:r>
    </w:p>
    <w:p w14:paraId="0AF1491C" w14:textId="119DF857" w:rsidR="00BC0F53" w:rsidRPr="00BC3D14" w:rsidRDefault="00DD0E4D" w:rsidP="50050A48">
      <w:pPr>
        <w:spacing w:after="120" w:line="240" w:lineRule="auto"/>
        <w:rPr>
          <w:rStyle w:val="FootnoteReference"/>
          <w:rFonts w:asciiTheme="minorHAnsi" w:eastAsiaTheme="minorEastAsia" w:hAnsiTheme="minorHAnsi"/>
          <w:noProof/>
        </w:rPr>
      </w:pPr>
      <w:r w:rsidRPr="00BC3D14">
        <w:rPr>
          <w:b/>
          <w:noProof/>
        </w:rPr>
        <w:t>Pe lângă rolul său important în furnizarea de locuințe de calitate pentru cetățenii europeni, ecosistemul construcțiilor are o contribuție importantă la economia și creșterea europeană; acesta se numără printre cele mai mari trei ecosisteme industriale din UE.</w:t>
      </w:r>
      <w:r w:rsidRPr="00BC3D14">
        <w:rPr>
          <w:noProof/>
        </w:rPr>
        <w:t xml:space="preserve"> Înaintea sa se află ecosistemul IMM-urilor, în principal microîntreprinderile, care reprezintă </w:t>
      </w:r>
      <w:r w:rsidRPr="00BC3D14">
        <w:rPr>
          <w:b/>
          <w:noProof/>
        </w:rPr>
        <w:t>99 %</w:t>
      </w:r>
      <w:r w:rsidRPr="00BC3D14">
        <w:rPr>
          <w:noProof/>
        </w:rPr>
        <w:t xml:space="preserve"> din întreprinderile active. Ecosistemul construcțiilor acoperă un lanț valoric complex și interdependent, de la materii prime și produse pentru construcții până la proiectare, inginerie, construcții, renovare și întreținerea clădirilor. O parte semnificativă a ecosistemului funcționează în sfera publică, prin achiziții publice de lucrări, construcții civile și investiții în locuințe sociale. Fiind alcătuit din 6,6 milioane de companii, acesta oferă locuri de muncă pentru peste 27 de milioane de persoane și contribuie cu 12 % la valoarea adăugată brută în cadrul UE</w:t>
      </w:r>
      <w:r w:rsidRPr="00BC3D14">
        <w:rPr>
          <w:rStyle w:val="FootnoteReference"/>
          <w:rFonts w:cs="Times New Roman"/>
          <w:noProof/>
        </w:rPr>
        <w:footnoteReference w:id="5"/>
      </w:r>
      <w:r w:rsidRPr="00BC3D14">
        <w:rPr>
          <w:noProof/>
        </w:rPr>
        <w:t xml:space="preserve">. </w:t>
      </w:r>
    </w:p>
    <w:p w14:paraId="73201AEC" w14:textId="5A7C1004" w:rsidR="006C2AEA" w:rsidRPr="00BC3D14" w:rsidRDefault="00650183" w:rsidP="00BC0F53">
      <w:pPr>
        <w:spacing w:line="240" w:lineRule="auto"/>
        <w:rPr>
          <w:rFonts w:cs="Times New Roman"/>
          <w:noProof/>
        </w:rPr>
      </w:pPr>
      <w:r w:rsidRPr="00BC3D14">
        <w:rPr>
          <w:b/>
          <w:noProof/>
        </w:rPr>
        <w:t>Cu toate acestea, performanța actuală a ecosistemului rămâne sub potențialul său.</w:t>
      </w:r>
      <w:r w:rsidRPr="00BC3D14">
        <w:rPr>
          <w:noProof/>
        </w:rPr>
        <w:t xml:space="preserve"> Dintre toate sectoarele industriale, sectorul construcțiilor a înregistrat cea mai mare scădere a productivității din 2019. Costurile de construcție au crescut mai rapid decât inflația, determinate fiind de costurile ridicate ale materialelor și ale forței de muncă, care nu au fost compensate de îmbunătățiri în materie de eficiență. În plus, acest ecosistem industrial rămâne cel mai puțin digitalizat din Europa, doar 55 % dintre întreprinderi utilizând tehnologii digitale avansate, comparativ cu o medie de 76 % în celelalte ecosisteme</w:t>
      </w:r>
      <w:r w:rsidRPr="00BC3D14">
        <w:rPr>
          <w:rStyle w:val="FootnoteReference"/>
          <w:rFonts w:cs="Times New Roman"/>
          <w:noProof/>
        </w:rPr>
        <w:footnoteReference w:id="6"/>
      </w:r>
      <w:r w:rsidRPr="00BC3D14">
        <w:rPr>
          <w:noProof/>
        </w:rPr>
        <w:t>. Mai puțin de 10 % dintre întreprinderi planifică investiții pe termen lung în transformarea digitală. Productivitatea muncii pe oră în construcții a scăzut cu 8 % din 2019</w:t>
      </w:r>
      <w:r w:rsidRPr="00BC3D14">
        <w:rPr>
          <w:rStyle w:val="FootnoteReference"/>
          <w:rFonts w:cs="Times New Roman"/>
          <w:noProof/>
        </w:rPr>
        <w:footnoteReference w:id="7"/>
      </w:r>
      <w:r w:rsidRPr="00BC3D14">
        <w:rPr>
          <w:noProof/>
        </w:rPr>
        <w:t xml:space="preserve">, în timp ce economia UE în ansamblu a înregistrat creșteri modeste. Acest decalaj de productivitate a subminat atât accesibilitatea locuințelor, cât și competitivitatea industrială. </w:t>
      </w:r>
    </w:p>
    <w:p w14:paraId="72EDF804" w14:textId="0B2A4857" w:rsidR="00422F5A" w:rsidRPr="00BC3D14" w:rsidRDefault="00422F5A" w:rsidP="00BC0F53">
      <w:pPr>
        <w:spacing w:line="240" w:lineRule="auto"/>
        <w:rPr>
          <w:rFonts w:cs="Times New Roman"/>
          <w:noProof/>
        </w:rPr>
      </w:pPr>
      <w:r w:rsidRPr="00BC3D14">
        <w:rPr>
          <w:noProof/>
        </w:rPr>
        <w:t xml:space="preserve">În același timp, sectorul construcțiilor are un </w:t>
      </w:r>
      <w:r w:rsidRPr="00BC3D14">
        <w:rPr>
          <w:b/>
          <w:noProof/>
        </w:rPr>
        <w:t>potențial imens de reducere a emisiilor</w:t>
      </w:r>
      <w:r w:rsidRPr="00BC3D14">
        <w:rPr>
          <w:noProof/>
        </w:rPr>
        <w:t xml:space="preserve">. Acest sector produce </w:t>
      </w:r>
      <w:r w:rsidRPr="00BC3D14">
        <w:rPr>
          <w:b/>
          <w:noProof/>
        </w:rPr>
        <w:t xml:space="preserve">peste 35 % </w:t>
      </w:r>
      <w:r w:rsidRPr="00BC3D14">
        <w:rPr>
          <w:noProof/>
        </w:rPr>
        <w:t xml:space="preserve">din deșeurile generate în UE și </w:t>
      </w:r>
      <w:r w:rsidRPr="00BC3D14">
        <w:rPr>
          <w:b/>
          <w:noProof/>
        </w:rPr>
        <w:t>5-12 %</w:t>
      </w:r>
      <w:r w:rsidRPr="00BC3D14">
        <w:rPr>
          <w:noProof/>
        </w:rPr>
        <w:t xml:space="preserve"> din totalul emisiilor naționale de GES</w:t>
      </w:r>
      <w:r w:rsidRPr="00BC3D14">
        <w:rPr>
          <w:rStyle w:val="FootnoteReference"/>
          <w:noProof/>
        </w:rPr>
        <w:footnoteReference w:id="8"/>
      </w:r>
      <w:r w:rsidRPr="00BC3D14">
        <w:rPr>
          <w:noProof/>
        </w:rPr>
        <w:t xml:space="preserve">. Utilizarea materialelor de construcție cu emisii scăzute de dioxid de carbon și a biomaterialelor poate contribui la reducerea cu </w:t>
      </w:r>
      <w:r w:rsidRPr="00BC3D14">
        <w:rPr>
          <w:b/>
          <w:noProof/>
        </w:rPr>
        <w:t>aproximativ 40 %</w:t>
      </w:r>
      <w:r w:rsidRPr="00BC3D14">
        <w:rPr>
          <w:rStyle w:val="FootnoteReference"/>
          <w:noProof/>
        </w:rPr>
        <w:footnoteReference w:id="9"/>
      </w:r>
      <w:r w:rsidRPr="00BC3D14">
        <w:rPr>
          <w:noProof/>
        </w:rPr>
        <w:t xml:space="preserve"> a carbonului încorporat din clădiri</w:t>
      </w:r>
      <w:r w:rsidRPr="00BC3D14">
        <w:rPr>
          <w:rStyle w:val="FootnoteReference"/>
          <w:noProof/>
        </w:rPr>
        <w:footnoteReference w:id="10"/>
      </w:r>
      <w:r w:rsidRPr="00BC3D14">
        <w:rPr>
          <w:noProof/>
        </w:rPr>
        <w:t>. Intensificarea renovării parcului nostru imobiliar existent este esențială pentru a ne reduce și mai mult dependența de combustibilii fosili, pentru a ne reduce emisiile de gaze cu efect de seră și pentru a ne îmbunătăți calitatea aerului.</w:t>
      </w:r>
    </w:p>
    <w:p w14:paraId="6B7C0CB1" w14:textId="1F13CB7D" w:rsidR="00A4498F" w:rsidRPr="00BC3D14" w:rsidRDefault="009B1C1D" w:rsidP="00BC0F53">
      <w:pPr>
        <w:spacing w:line="240" w:lineRule="auto"/>
        <w:rPr>
          <w:rFonts w:cs="Times New Roman"/>
          <w:b/>
          <w:bCs/>
          <w:noProof/>
        </w:rPr>
      </w:pPr>
      <w:r w:rsidRPr="00BC3D14">
        <w:rPr>
          <w:b/>
          <w:noProof/>
        </w:rPr>
        <w:t>Principala provocare care trebuie abordată constă în reducerea costurilor pentru toate părțile interesate care își desfășoară activitatea în ecosistemul construcțiilor</w:t>
      </w:r>
      <w:r w:rsidRPr="00BC3D14">
        <w:rPr>
          <w:noProof/>
        </w:rPr>
        <w:t>. În acest scop, avem nevoie de măsuri de simplificare, realizate prin creșterea digitalizării de-a lungul lanțului valoric și prin reducerea sarcinii administrative pentru toți actorii implicați. În plus, avem nevoie de o armonizare suplimentară a normelor pentru a reduce costurile de asigurare a conformității, în special prin accelerarea standardizării. Comisia și autoritățile naționale de concurență vor rămâne vigilente în ceea ce privește orice practici anticoncurențiale din acest sector.</w:t>
      </w:r>
    </w:p>
    <w:p w14:paraId="7D387CC1" w14:textId="3D9BC8A0" w:rsidR="008C425F" w:rsidRPr="00BC3D14" w:rsidRDefault="00B16C58" w:rsidP="00BC0F53">
      <w:pPr>
        <w:spacing w:line="240" w:lineRule="auto"/>
        <w:rPr>
          <w:rFonts w:cs="Times New Roman"/>
          <w:noProof/>
        </w:rPr>
      </w:pPr>
      <w:r w:rsidRPr="00BC3D14">
        <w:rPr>
          <w:b/>
          <w:noProof/>
        </w:rPr>
        <w:t>Există multe pârghii pentru creșterea competitivității ecosistemului construcțiilor</w:t>
      </w:r>
      <w:r w:rsidRPr="00BC3D14">
        <w:rPr>
          <w:noProof/>
        </w:rPr>
        <w:t xml:space="preserve">. Reducerea sarcinii administrative și accelerarea procedurilor de autorizare pot crește ritmul de executare a lucrărilor de construcții atât pe piața locuințelor private, cât și pe piața locuințelor publice. Extinderea inovării și adoptarea de noi tehnologii vor atrage microîntreprinderile în fluxul digitalizării și al creșterii productivității. Pătrunderea sporită pe piață a produselor și metodelor inovatoare pentru construcții poate stimula productivitatea și permite extinderea. Dezvoltarea piețelor pentru materialele circulare și deșeurile din construcții va spori accesul la factorii de producție și reziliența. Cererea de lucrători calificați în lanțul valoric, inclusiv pentru competențele legate de digitalizare și automatizare, va conduce probabil la o imagine îmbunătățită a sectorului din punctul de vedere al locurilor de muncă, sporind astfel atractivitatea pentru femei și tineri. În cele din urmă, abordarea divergențelor persistente în materie de reglementare va sprijini crearea unei veritabile piețe unice a serviciilor de construcții și de instalare. </w:t>
      </w:r>
    </w:p>
    <w:p w14:paraId="1B1B8B99" w14:textId="71F9BC25" w:rsidR="00BC0F53" w:rsidRPr="00BC3D14" w:rsidRDefault="005C4A48" w:rsidP="00BC0F53">
      <w:pPr>
        <w:rPr>
          <w:rFonts w:cs="Times New Roman"/>
          <w:noProof/>
          <w:u w:val="single"/>
        </w:rPr>
      </w:pPr>
      <w:r w:rsidRPr="00BC3D14">
        <w:rPr>
          <w:b/>
          <w:noProof/>
        </w:rPr>
        <w:t>Trebuie să întreprindem acțiuni în patru domenii prioritare pentru a debloca întregul potențial de productivitate al ecosistemului construcțiilor</w:t>
      </w:r>
      <w:r w:rsidRPr="00BC3D14">
        <w:rPr>
          <w:noProof/>
        </w:rPr>
        <w:t>:</w:t>
      </w:r>
    </w:p>
    <w:p w14:paraId="569247FA" w14:textId="29DFE9D6" w:rsidR="00B649B1" w:rsidRPr="00BC3D14" w:rsidRDefault="000B1FAF" w:rsidP="003518C2">
      <w:pPr>
        <w:pStyle w:val="ListParagraph"/>
        <w:numPr>
          <w:ilvl w:val="0"/>
          <w:numId w:val="20"/>
        </w:numPr>
        <w:spacing w:before="120" w:after="120"/>
        <w:ind w:left="426" w:hanging="284"/>
        <w:contextualSpacing w:val="0"/>
        <w:rPr>
          <w:rFonts w:cs="Times New Roman"/>
          <w:noProof/>
        </w:rPr>
      </w:pPr>
      <w:r w:rsidRPr="00BC3D14">
        <w:rPr>
          <w:b/>
          <w:noProof/>
        </w:rPr>
        <w:t>Simplificarea și digitalizarea procedurilor administrative și de autorizare a construcțiilor rezidențiale;</w:t>
      </w:r>
    </w:p>
    <w:p w14:paraId="510EC0B4" w14:textId="590784B0" w:rsidR="003C7C9F" w:rsidRPr="00BC3D14" w:rsidRDefault="00BC0F53" w:rsidP="003518C2">
      <w:pPr>
        <w:pStyle w:val="ListParagraph"/>
        <w:numPr>
          <w:ilvl w:val="0"/>
          <w:numId w:val="20"/>
        </w:numPr>
        <w:spacing w:before="120" w:after="120"/>
        <w:ind w:left="426" w:hanging="284"/>
        <w:contextualSpacing w:val="0"/>
        <w:rPr>
          <w:rFonts w:cs="Times New Roman"/>
          <w:noProof/>
        </w:rPr>
      </w:pPr>
      <w:r w:rsidRPr="00BC3D14">
        <w:rPr>
          <w:b/>
          <w:noProof/>
        </w:rPr>
        <w:t>Sprijinirea inovării și a extinderii în construcții</w:t>
      </w:r>
      <w:r w:rsidRPr="00BC3D14">
        <w:rPr>
          <w:noProof/>
        </w:rPr>
        <w:t xml:space="preserve"> pentru a implementa produse inovatoare și noi tehnologii la scară largă în cadrul pieței unice;</w:t>
      </w:r>
    </w:p>
    <w:p w14:paraId="024A607D" w14:textId="08073CBE" w:rsidR="002A0E73" w:rsidRPr="00BC3D14" w:rsidRDefault="000B1FAF" w:rsidP="003518C2">
      <w:pPr>
        <w:pStyle w:val="ListParagraph"/>
        <w:numPr>
          <w:ilvl w:val="0"/>
          <w:numId w:val="20"/>
        </w:numPr>
        <w:spacing w:before="120" w:after="120"/>
        <w:ind w:left="426" w:hanging="284"/>
        <w:contextualSpacing w:val="0"/>
        <w:rPr>
          <w:rFonts w:cs="Times New Roman"/>
          <w:noProof/>
        </w:rPr>
      </w:pPr>
      <w:r w:rsidRPr="00BC3D14">
        <w:rPr>
          <w:b/>
          <w:noProof/>
        </w:rPr>
        <w:t xml:space="preserve">Asigurarea accesului la materii prime și materiale secundare </w:t>
      </w:r>
      <w:r w:rsidRPr="00BC3D14">
        <w:rPr>
          <w:noProof/>
        </w:rPr>
        <w:t>pentru a garanta o aprovizionare stabilă, la prețuri accesibile și durabilă cu materiale;</w:t>
      </w:r>
    </w:p>
    <w:p w14:paraId="50ED03C8" w14:textId="07F29E4A" w:rsidR="00BC0F53" w:rsidRPr="00BC3D14" w:rsidRDefault="00BC0F53" w:rsidP="003518C2">
      <w:pPr>
        <w:pStyle w:val="ListParagraph"/>
        <w:numPr>
          <w:ilvl w:val="0"/>
          <w:numId w:val="20"/>
        </w:numPr>
        <w:spacing w:before="120" w:after="120"/>
        <w:ind w:left="426" w:hanging="284"/>
        <w:contextualSpacing w:val="0"/>
        <w:rPr>
          <w:rFonts w:cs="Times New Roman"/>
          <w:noProof/>
        </w:rPr>
      </w:pPr>
      <w:r w:rsidRPr="00BC3D14">
        <w:rPr>
          <w:b/>
          <w:noProof/>
        </w:rPr>
        <w:t>Asigurarea accesului la servicii și competențe</w:t>
      </w:r>
      <w:r w:rsidRPr="00BC3D14">
        <w:rPr>
          <w:noProof/>
        </w:rPr>
        <w:t xml:space="preserve"> prin abordarea deficitelor, eliminarea barierelor din calea furnizării de servicii transfrontaliere și promovarea mobilității profesioniștilor și a lucrătorilor.</w:t>
      </w:r>
    </w:p>
    <w:p w14:paraId="3C9ABA64" w14:textId="08C24FC3" w:rsidR="75007620" w:rsidRPr="00BC3D14" w:rsidRDefault="579EA71E" w:rsidP="00BC0F53">
      <w:pPr>
        <w:rPr>
          <w:rFonts w:cs="Times New Roman"/>
          <w:noProof/>
        </w:rPr>
      </w:pPr>
      <w:r w:rsidRPr="00BC3D14">
        <w:rPr>
          <w:noProof/>
        </w:rPr>
        <w:t>Această strategie se bazează pe recenta modernizare a Regulamentului privind produsele pentru construcții (RPC)</w:t>
      </w:r>
      <w:r w:rsidRPr="00BC3D14">
        <w:rPr>
          <w:rStyle w:val="FootnoteReference"/>
          <w:rFonts w:cs="Times New Roman"/>
          <w:noProof/>
        </w:rPr>
        <w:footnoteReference w:id="11"/>
      </w:r>
      <w:r w:rsidRPr="00BC3D14">
        <w:rPr>
          <w:noProof/>
        </w:rPr>
        <w:t>. Standardele adoptate în temeiul RPC, în conformitate cu Planul de lucru privind RPC pentru perioada 2026-2029, publicat astăzi</w:t>
      </w:r>
      <w:r w:rsidRPr="00BC3D14">
        <w:rPr>
          <w:rStyle w:val="FootnoteReference"/>
          <w:rFonts w:cs="Times New Roman"/>
          <w:noProof/>
        </w:rPr>
        <w:footnoteReference w:id="12"/>
      </w:r>
      <w:r w:rsidRPr="00BC3D14">
        <w:rPr>
          <w:noProof/>
        </w:rPr>
        <w:t>, vor fi esențiale pentru sprijinirea armonizării în întreaga piață unică. Acesta îndeplinește obiectivele Strategiei privind piața unică</w:t>
      </w:r>
      <w:r w:rsidRPr="00BC3D14">
        <w:rPr>
          <w:rStyle w:val="FootnoteReference"/>
          <w:rFonts w:cs="Times New Roman"/>
          <w:noProof/>
        </w:rPr>
        <w:footnoteReference w:id="13"/>
      </w:r>
      <w:r w:rsidRPr="00BC3D14">
        <w:rPr>
          <w:noProof/>
        </w:rPr>
        <w:t xml:space="preserve"> și recomandările căii de tranziție pentru construcții</w:t>
      </w:r>
      <w:r w:rsidRPr="00BC3D14">
        <w:rPr>
          <w:rStyle w:val="FootnoteReference"/>
          <w:rFonts w:cs="Times New Roman"/>
          <w:noProof/>
        </w:rPr>
        <w:footnoteReference w:id="14"/>
      </w:r>
      <w:r w:rsidRPr="00BC3D14">
        <w:rPr>
          <w:noProof/>
        </w:rPr>
        <w:t xml:space="preserve"> în vederea realizării unui ecosistem al construcțiilor mai verde, mai digitalizat, mai rezilient și mai competitiv. </w:t>
      </w:r>
    </w:p>
    <w:p w14:paraId="42335DFD" w14:textId="5C597383" w:rsidR="00A837CC" w:rsidRPr="00BC3D14" w:rsidRDefault="00A837CC" w:rsidP="00274242">
      <w:pPr>
        <w:pStyle w:val="Heading1"/>
        <w:rPr>
          <w:rStyle w:val="Heading1Char"/>
          <w:noProof/>
        </w:rPr>
      </w:pPr>
      <w:bookmarkStart w:id="3" w:name="_Toc213663455"/>
      <w:r w:rsidRPr="00BC3D14">
        <w:rPr>
          <w:rStyle w:val="Heading1Char"/>
          <w:noProof/>
        </w:rPr>
        <w:t xml:space="preserve">Simplificarea și digitalizarea </w:t>
      </w:r>
      <w:bookmarkEnd w:id="3"/>
      <w:r w:rsidRPr="00BC3D14">
        <w:rPr>
          <w:rStyle w:val="Heading1Char"/>
          <w:noProof/>
        </w:rPr>
        <w:t>ecosistemului</w:t>
      </w:r>
    </w:p>
    <w:p w14:paraId="52B4F898" w14:textId="6DEDCED6" w:rsidR="011E916A" w:rsidRPr="00BC3D14" w:rsidRDefault="011E916A" w:rsidP="00D24830">
      <w:pPr>
        <w:spacing w:before="240" w:after="120" w:line="240" w:lineRule="auto"/>
        <w:rPr>
          <w:rFonts w:cs="Times New Roman"/>
          <w:noProof/>
        </w:rPr>
      </w:pPr>
      <w:r w:rsidRPr="00BC3D14">
        <w:rPr>
          <w:b/>
          <w:noProof/>
        </w:rPr>
        <w:t>Pentru a debloca întregul potențial al ecosistemului construcțiilor, trebuie mai întâi să analizăm modul în care putem să facilităm și să accelerăm funcționarea acestuia pentru toți actorii implicați</w:t>
      </w:r>
      <w:r w:rsidRPr="00BC3D14">
        <w:rPr>
          <w:noProof/>
        </w:rPr>
        <w:t>. Complexitatea și caracterul restrictiv al cadrului juridic și gradul scăzut de adoptare a digitalizării trebuie abordate cu prioritate.</w:t>
      </w:r>
    </w:p>
    <w:p w14:paraId="68872A97" w14:textId="53FE957E" w:rsidR="0079314B" w:rsidRPr="00BC3D14" w:rsidRDefault="0079314B" w:rsidP="006B6812">
      <w:pPr>
        <w:spacing w:after="120" w:line="240" w:lineRule="auto"/>
        <w:rPr>
          <w:rFonts w:cs="Times New Roman"/>
          <w:noProof/>
        </w:rPr>
      </w:pPr>
      <w:r w:rsidRPr="00BC3D14">
        <w:rPr>
          <w:noProof/>
        </w:rPr>
        <w:t>Dezvoltarea și construcția de locuințe fac obiectul unor norme, care se prezintă sub multe forme, inclusiv coduri pentru construcție, politici privind utilizarea terenurilor și zonarea, precum și standarde de mediu. Majoritatea normelor care influențează oferta de locuințe sunt stabilite de statele membre, inclusiv la nivel regional și local. Aceste norme ne mențin siguranța și calitatea vieții, promovează obiectivele sociale și economice și ne protejează mediul și patrimoniul cultural. Cu toate acestea, acumularea, complexitatea și fragmentarea lor conduc adesea la restricții, cheltuieli, întârzieri și incertitudini importante, care cresc costul total al construcțiilor.</w:t>
      </w:r>
      <w:r w:rsidRPr="00BC3D14">
        <w:rPr>
          <w:b/>
          <w:noProof/>
        </w:rPr>
        <w:t xml:space="preserve"> </w:t>
      </w:r>
      <w:r w:rsidRPr="00BC3D14">
        <w:rPr>
          <w:noProof/>
        </w:rPr>
        <w:t xml:space="preserve">Complexitatea administrativă conduce adesea la restricții neprevăzute în ceea ce privește oferta de locuințe. </w:t>
      </w:r>
    </w:p>
    <w:p w14:paraId="6F1DE2F6" w14:textId="4303D2D7" w:rsidR="009822EA" w:rsidRPr="00BC3D14" w:rsidRDefault="1E91B58B" w:rsidP="006B6812">
      <w:pPr>
        <w:spacing w:after="120" w:line="240" w:lineRule="auto"/>
        <w:rPr>
          <w:rFonts w:cs="Times New Roman"/>
          <w:noProof/>
        </w:rPr>
      </w:pPr>
      <w:r w:rsidRPr="00BC3D14">
        <w:rPr>
          <w:b/>
          <w:noProof/>
        </w:rPr>
        <w:t>Procedurile de autorizare complexe, restrictive, lente și incerte</w:t>
      </w:r>
      <w:r w:rsidRPr="00BC3D14">
        <w:rPr>
          <w:noProof/>
        </w:rPr>
        <w:t xml:space="preserve"> contribuie și mai mult la creșterea costurilor de construcție a locuințelor și la limitarea realizărilor de ansamblu din acest domeniu, atât pentru clădirile noi, cât și pentru cele renovate</w:t>
      </w:r>
      <w:r w:rsidRPr="00BC3D14">
        <w:rPr>
          <w:rStyle w:val="FootnoteReference"/>
          <w:rFonts w:cs="Times New Roman"/>
          <w:noProof/>
        </w:rPr>
        <w:footnoteReference w:id="15"/>
      </w:r>
      <w:r w:rsidRPr="00BC3D14">
        <w:rPr>
          <w:noProof/>
        </w:rPr>
        <w:t>. Deși autorizațiile de construcție îndeplinesc un rol de reglementare esențial prin asigurarea conformității cu cadrul de reglementare pe mai multe niveluri</w:t>
      </w:r>
      <w:r w:rsidRPr="00BC3D14">
        <w:rPr>
          <w:rStyle w:val="FootnoteReference"/>
          <w:rFonts w:cs="Times New Roman"/>
          <w:noProof/>
        </w:rPr>
        <w:footnoteReference w:id="16"/>
      </w:r>
      <w:r w:rsidRPr="00BC3D14">
        <w:rPr>
          <w:noProof/>
        </w:rPr>
        <w:t>, complexitatea, fragmentarea și multiplicarea lor creează ineficiențe, descurajează investițiile și împiedică adoptarea unor metode de construcție inovatoare, cum ar fi fabricarea în afara amplasamentului și imprimarea 3D</w:t>
      </w:r>
      <w:r w:rsidRPr="00BC3D14">
        <w:rPr>
          <w:rStyle w:val="FootnoteReference"/>
          <w:rFonts w:cs="Times New Roman"/>
          <w:noProof/>
        </w:rPr>
        <w:footnoteReference w:id="17"/>
      </w:r>
      <w:r w:rsidRPr="00BC3D14">
        <w:rPr>
          <w:noProof/>
        </w:rPr>
        <w:t xml:space="preserve">. </w:t>
      </w:r>
    </w:p>
    <w:p w14:paraId="5365EF63" w14:textId="7C90144A" w:rsidR="006B6812" w:rsidRPr="00BC3D14" w:rsidRDefault="006B6812" w:rsidP="006B6812">
      <w:pPr>
        <w:spacing w:after="120" w:line="240" w:lineRule="auto"/>
        <w:rPr>
          <w:rFonts w:cs="Times New Roman"/>
          <w:b/>
          <w:noProof/>
        </w:rPr>
      </w:pPr>
      <w:r w:rsidRPr="00BC3D14">
        <w:rPr>
          <w:b/>
          <w:noProof/>
        </w:rPr>
        <w:t>Prin urmare, provocarea constă în găsirea unui echilibru adecvat între supravegherea, condițiile și restricțiile necesare și eficiența procedurală.</w:t>
      </w:r>
    </w:p>
    <w:p w14:paraId="21140374" w14:textId="63880CA4" w:rsidR="006B6812" w:rsidRPr="00BC3D14" w:rsidRDefault="006B6812" w:rsidP="006B6812">
      <w:pPr>
        <w:spacing w:after="120" w:line="240" w:lineRule="auto"/>
        <w:rPr>
          <w:rFonts w:cs="Times New Roman"/>
          <w:noProof/>
        </w:rPr>
      </w:pPr>
      <w:r w:rsidRPr="00BC3D14">
        <w:rPr>
          <w:b/>
          <w:noProof/>
        </w:rPr>
        <w:t>Dezvoltatorii de proiecte din întreaga UE se confruntă cu provocări multiple în cursul procesului de solicitare a autorizației pentru clădirile rezidențiale</w:t>
      </w:r>
      <w:r w:rsidRPr="00BC3D14">
        <w:rPr>
          <w:rStyle w:val="FootnoteReference"/>
          <w:rFonts w:cs="Times New Roman"/>
          <w:noProof/>
        </w:rPr>
        <w:footnoteReference w:id="18"/>
      </w:r>
      <w:r w:rsidRPr="00BC3D14">
        <w:rPr>
          <w:noProof/>
        </w:rPr>
        <w:t>. Reglementările naționale și locale sunt adesea fragmentate și complexe, fără termene clare de răspuns pentru autoritățile publice. Solicitanților li se cere frecvent să obțină mai multe „subautorizații” separate, iar interpretarea normelor naționale și locale este adesea inconsecventă. Etapa de depunere a cererilor poate dura oricât între trei și 24 de luni, cu variații mari atât între statele membre, cât și în interiorul acestora. O fază de contestare poate prelungi și mai mult procesul. Aceste întârzieri cresc în mod semnificativ costurile și incertitudinea, în special pentru IMM-uri, ceea ce face ca proiectele de locuințe să fie mai riscante și mai puțin atractive pentru investitori.</w:t>
      </w:r>
      <w:r w:rsidR="00BC3D14">
        <w:rPr>
          <w:noProof/>
        </w:rPr>
        <w:t xml:space="preserve"> </w:t>
      </w:r>
      <w:r w:rsidRPr="00BC3D14">
        <w:rPr>
          <w:noProof/>
        </w:rPr>
        <w:t xml:space="preserve">În pofida unui consens larg cu privire la necesitatea unei reforme, nu există o imagine de ansamblu cuprinzătoare a autorizării în întreaga UE și nicio bază de referință solidă și comparabilă pentru monitorizarea progreselor și orientarea politicilor. </w:t>
      </w:r>
    </w:p>
    <w:p w14:paraId="67E709EF" w14:textId="6D3159E1" w:rsidR="006B6812" w:rsidRPr="00BC3D14" w:rsidRDefault="007624E5" w:rsidP="25C87AF3">
      <w:pPr>
        <w:spacing w:after="120" w:line="240" w:lineRule="auto"/>
        <w:rPr>
          <w:rFonts w:cs="Times New Roman"/>
          <w:noProof/>
        </w:rPr>
      </w:pPr>
      <w:r w:rsidRPr="00BC3D14">
        <w:rPr>
          <w:b/>
          <w:noProof/>
        </w:rPr>
        <w:t>În ceea ce privește digitalizarea și în comparație cu alte ecosisteme, ecosistemul european al construcțiilor a rămas în urmă în fiecare parte a ciclului de viață al clădirilor și al lucrărilor de construcții</w:t>
      </w:r>
      <w:r w:rsidRPr="00BC3D14">
        <w:rPr>
          <w:noProof/>
        </w:rPr>
        <w:t>. Aceasta include proiectarea, planificarea și autorizarea, construirea, exploatarea, renovarea și posibilitățile la sfârșitul ciclului lor de viață. Progresele în materie de digitalizare la nivelul UE rămân inegale, deoarece statele membre adoptă abordări diferite în materie de guvernanță și își desfășoară activitatea la diferite niveluri de maturitate tehnologică</w:t>
      </w:r>
      <w:r w:rsidRPr="00BC3D14">
        <w:rPr>
          <w:rStyle w:val="FootnoteReference"/>
          <w:rFonts w:cs="Times New Roman"/>
          <w:noProof/>
        </w:rPr>
        <w:footnoteReference w:id="19"/>
      </w:r>
      <w:r w:rsidRPr="00BC3D14">
        <w:rPr>
          <w:noProof/>
        </w:rPr>
        <w:t>. În plus, lipsa integrării și a interoperabilității între sisteme îngreunează colectarea și analizarea unor date fiabile privind clădirile și materialele, care sunt esențiale pentru atingerea obiectivelor în materie de construcții durabile și de economie circulară, precum și pentru intensificarea activităților. Există un potențial neexploatat de creare a unui cadru coerent care să reunească autorizarea digitală, pașaportul digital al produsului (în temeiul noului Regulament privind produsele pentru construcții) și registrele digitale ale clădirilor.</w:t>
      </w:r>
    </w:p>
    <w:p w14:paraId="4991E04F" w14:textId="6BD1E3D8" w:rsidR="006B6812" w:rsidRPr="00BC3D14" w:rsidRDefault="00270F60" w:rsidP="6C2C4AD4">
      <w:pPr>
        <w:spacing w:after="120" w:line="240" w:lineRule="auto"/>
        <w:rPr>
          <w:rFonts w:cs="Times New Roman"/>
          <w:noProof/>
        </w:rPr>
      </w:pPr>
      <w:r w:rsidRPr="00BC3D14">
        <w:rPr>
          <w:b/>
          <w:noProof/>
        </w:rPr>
        <w:t>Modernizarea procedurilor administrative</w:t>
      </w:r>
      <w:r w:rsidRPr="00BC3D14">
        <w:rPr>
          <w:noProof/>
        </w:rPr>
        <w:t xml:space="preserve"> și reducerea restricțiilor, în special a celor legate de autorizarea atât a construcțiilor, cât și a renovărilor, ar putea acționa ca un catalizator puternic pentru îmbunătățirea productivității ca urmare a digitalizării mai ample în acest sector, în special pentru IMM-uri. Aceasta nu numai că ar face autorizarea mai rapidă și mai eficientă, ci ar contribui, de asemenea, la îmbunătățirea schimbului de date și a transparenței de-a lungul întregului lanț valoric al construcțiilor.</w:t>
      </w:r>
    </w:p>
    <w:p w14:paraId="18725D5C" w14:textId="4A1F703D" w:rsidR="00A837CC" w:rsidRPr="00BC3D14" w:rsidRDefault="00A837CC" w:rsidP="008469E4">
      <w:pPr>
        <w:pStyle w:val="Heading2"/>
        <w:spacing w:after="120" w:line="240" w:lineRule="auto"/>
        <w:rPr>
          <w:rFonts w:cs="Times New Roman"/>
          <w:noProof/>
        </w:rPr>
      </w:pPr>
      <w:bookmarkStart w:id="4" w:name="_Toc213663456"/>
      <w:r w:rsidRPr="00BC3D14">
        <w:rPr>
          <w:noProof/>
        </w:rPr>
        <w:t>Simplificarea procedurilor de autorizare</w:t>
      </w:r>
      <w:bookmarkEnd w:id="4"/>
    </w:p>
    <w:p w14:paraId="4A5F3150" w14:textId="6CDE29C9" w:rsidR="000B5B7E" w:rsidRPr="00BC3D14" w:rsidRDefault="026291F1" w:rsidP="00BB5B84">
      <w:pPr>
        <w:spacing w:after="120" w:line="240" w:lineRule="auto"/>
        <w:rPr>
          <w:rFonts w:cs="Times New Roman"/>
          <w:noProof/>
        </w:rPr>
      </w:pPr>
      <w:r w:rsidRPr="00BC3D14">
        <w:rPr>
          <w:b/>
          <w:noProof/>
        </w:rPr>
        <w:t>Simplificarea cerințelor de autorizare și digitalizarea proceselor de autorizare</w:t>
      </w:r>
      <w:r w:rsidRPr="00BC3D14">
        <w:rPr>
          <w:noProof/>
        </w:rPr>
        <w:t xml:space="preserve"> ar putea aduce mai multă certitudine și, prin urmare, beneficii economice substanțiale. Potrivit estimărilor dintr-un studiu de caz din Praga, un proces îndelungat de obținere a autorizației de construcție pentru clădiri rezidențiale adaugă aproximativ 16,5 % la costurile de construcție a locuințelor</w:t>
      </w:r>
      <w:r w:rsidRPr="00BC3D14">
        <w:rPr>
          <w:rStyle w:val="FootnoteReference"/>
          <w:noProof/>
        </w:rPr>
        <w:footnoteReference w:id="20"/>
      </w:r>
      <w:r w:rsidRPr="00BC3D14">
        <w:rPr>
          <w:noProof/>
        </w:rPr>
        <w:t>. Instrumentele digitale, cum ar fi modelarea informațiilor privind clădirile (</w:t>
      </w:r>
      <w:r w:rsidRPr="00BC3D14">
        <w:rPr>
          <w:i/>
          <w:noProof/>
        </w:rPr>
        <w:t>Building Information Modelling</w:t>
      </w:r>
      <w:r w:rsidRPr="00BC3D14">
        <w:rPr>
          <w:noProof/>
        </w:rPr>
        <w:t xml:space="preserve"> - BIM)</w:t>
      </w:r>
      <w:r w:rsidRPr="00BC3D14">
        <w:rPr>
          <w:rStyle w:val="FootnoteReference"/>
          <w:rFonts w:eastAsia="Times New Roman" w:cs="Times New Roman"/>
          <w:noProof/>
        </w:rPr>
        <w:footnoteReference w:id="21"/>
      </w:r>
      <w:r w:rsidRPr="00BC3D14">
        <w:rPr>
          <w:noProof/>
        </w:rPr>
        <w:t>, și-au demonstrat deja potențialul de a reduce sarcinile administrative și de a scurta termenele de luare a deciziilor atât în proiectele de locuințe publice, cât și în cele private. În statele membre care se află deja într-un stadiu avansat în acest domeniu, beneficiile concrete sunt deja clare. Sistemele de autorizare bazate pe BIM implementate în Finlanda</w:t>
      </w:r>
      <w:r w:rsidRPr="00BC3D14">
        <w:rPr>
          <w:rStyle w:val="FootnoteReference"/>
          <w:rFonts w:cs="Times New Roman"/>
          <w:noProof/>
        </w:rPr>
        <w:footnoteReference w:id="22"/>
      </w:r>
      <w:r w:rsidRPr="00BC3D14">
        <w:rPr>
          <w:noProof/>
        </w:rPr>
        <w:t xml:space="preserve"> au contribuit la reducerea timpului de prelucrare, la creșterea transparenței și la îmbunătățirea calității datelor.</w:t>
      </w:r>
    </w:p>
    <w:p w14:paraId="28352682" w14:textId="1A90602D" w:rsidR="009E75BE" w:rsidRPr="00BC3D14" w:rsidRDefault="009E75BE" w:rsidP="00470313">
      <w:pPr>
        <w:spacing w:after="240" w:line="240" w:lineRule="auto"/>
        <w:rPr>
          <w:rFonts w:cs="Times New Roman"/>
          <w:b/>
          <w:bCs/>
          <w:noProof/>
        </w:rPr>
      </w:pPr>
      <w:r w:rsidRPr="00BC3D14">
        <w:rPr>
          <w:noProof/>
        </w:rPr>
        <w:t>Primii pași în direcția simplificării procesului de autorizare sunt făcuți prin simplificarea sarcinilor administrative în legislația de mediu</w:t>
      </w:r>
      <w:r w:rsidRPr="00BC3D14">
        <w:rPr>
          <w:rStyle w:val="FootnoteReference"/>
          <w:rFonts w:cs="Times New Roman"/>
          <w:noProof/>
        </w:rPr>
        <w:footnoteReference w:id="23"/>
      </w:r>
      <w:r w:rsidRPr="00BC3D14">
        <w:rPr>
          <w:noProof/>
        </w:rPr>
        <w:t>, inclusiv prin propunerea legislativă privind accelerarea evaluărilor de mediu</w:t>
      </w:r>
      <w:r w:rsidRPr="00BC3D14">
        <w:rPr>
          <w:rStyle w:val="FootnoteReference"/>
          <w:rFonts w:cs="Times New Roman"/>
          <w:noProof/>
        </w:rPr>
        <w:footnoteReference w:id="24"/>
      </w:r>
      <w:r w:rsidRPr="00BC3D14">
        <w:rPr>
          <w:noProof/>
        </w:rPr>
        <w:t>. Statele membre sunt încurajate să utilizeze la maximum dispozițiile din acest pachet, pentru a accelera procesele de planificare, zonare și autorizare a proiectelor de locuințe și a infrastructurii conexe.</w:t>
      </w:r>
    </w:p>
    <w:p w14:paraId="0CC6836A" w14:textId="758A37AA" w:rsidR="003650C4" w:rsidRPr="00BC3D14" w:rsidRDefault="00A426C9" w:rsidP="003757B2">
      <w:pPr>
        <w:spacing w:after="240" w:line="240" w:lineRule="auto"/>
        <w:rPr>
          <w:rFonts w:cs="Times New Roman"/>
          <w:noProof/>
        </w:rPr>
      </w:pPr>
      <w:r w:rsidRPr="00BC3D14">
        <w:rPr>
          <w:noProof/>
        </w:rPr>
        <w:t>Pentru a aborda provocările care afectează în mod specific proiectele de locuințe,</w:t>
      </w:r>
      <w:r w:rsidRPr="00BC3D14">
        <w:rPr>
          <w:b/>
          <w:noProof/>
        </w:rPr>
        <w:t xml:space="preserve"> Comisia va efectua un studiu pentru a oferi o evaluare cuprinzătoare a procedurilor de autorizare a clădirilor în cele 27 de state membre</w:t>
      </w:r>
      <w:r w:rsidRPr="00BC3D14">
        <w:rPr>
          <w:noProof/>
        </w:rPr>
        <w:t>. Acest exercițiu, care se va desfășura din decembrie 2025 până în octombrie 2026, va evalua gradul de digitalizare în cadrul procedurilor naționale de autorizare și va examina modul în care cerințele legislative și tehnice afectează oferta de locuințe, fie pentru clădirile noi, fie pentru renovarea clădirilor existente sau schimbarea destinației acestora. Studiul va evalua suprapunerile existente ale reglementărilor aplicabile și principalele ineficiențe și blocaje din cadrul procedurilor. De asemenea, Comisia va analiza modul în care aceste cerințe afectează competitivitatea sectorului construcțiilor în întreaga UE27 și va identifica inițiativele naționale relevante menite să simplifice, să accelereze sau să digitalizeze procesele de autorizare. Se va acorda atenție obstacolelor cu care se confruntă întreprinderile mici și microîntreprinderile.</w:t>
      </w:r>
    </w:p>
    <w:p w14:paraId="0906951C" w14:textId="13933CE3" w:rsidR="00FD0920" w:rsidRPr="00BC3D14" w:rsidRDefault="003C4410" w:rsidP="00FD0920">
      <w:pPr>
        <w:spacing w:after="240" w:line="240" w:lineRule="auto"/>
        <w:rPr>
          <w:rFonts w:cs="Times New Roman"/>
          <w:noProof/>
        </w:rPr>
      </w:pPr>
      <w:r w:rsidRPr="00BC3D14">
        <w:rPr>
          <w:noProof/>
        </w:rPr>
        <w:t xml:space="preserve">Studiul va contribui la activitatea viitoare a Comisiei, inclusiv la pregătirea unui </w:t>
      </w:r>
      <w:r w:rsidRPr="00BC3D14">
        <w:rPr>
          <w:b/>
          <w:noProof/>
        </w:rPr>
        <w:t>pachet de simplificare în materie de locuințe</w:t>
      </w:r>
      <w:r w:rsidRPr="00BC3D14">
        <w:rPr>
          <w:noProof/>
        </w:rPr>
        <w:t xml:space="preserve"> în 2027 și a legii privind locuințele la prețuri accesibile</w:t>
      </w:r>
      <w:r w:rsidRPr="00BC3D14">
        <w:rPr>
          <w:bCs/>
          <w:noProof/>
        </w:rPr>
        <w:t>.</w:t>
      </w:r>
      <w:r w:rsidR="00BC3D14">
        <w:rPr>
          <w:bCs/>
          <w:noProof/>
        </w:rPr>
        <w:t xml:space="preserve"> </w:t>
      </w:r>
      <w:r w:rsidRPr="00BC3D14">
        <w:rPr>
          <w:noProof/>
        </w:rPr>
        <w:t>În plus, pe baza rezultatelor acestei evaluări,</w:t>
      </w:r>
      <w:r w:rsidRPr="00BC3D14">
        <w:rPr>
          <w:b/>
          <w:noProof/>
        </w:rPr>
        <w:t xml:space="preserve"> Comisia poate elabora, de asemenea, orientări și bune practici pentru a ajuta statele membre, cu respectarea subsidiarității, să introducă sisteme de autorizare raționalizate și complet digitale în întreaga piață unică</w:t>
      </w:r>
      <w:r w:rsidRPr="00BC3D14">
        <w:rPr>
          <w:noProof/>
        </w:rPr>
        <w:t>.</w:t>
      </w:r>
      <w:r w:rsidRPr="00BC3D14">
        <w:rPr>
          <w:bCs/>
          <w:noProof/>
        </w:rPr>
        <w:t xml:space="preserve"> </w:t>
      </w:r>
      <w:r w:rsidRPr="00BC3D14">
        <w:rPr>
          <w:noProof/>
        </w:rPr>
        <w:t xml:space="preserve">Comisia va colabora cu statele membre pentru continuarea procesului de simplificare și va monitoriza progresele înregistrate în statele membre, inclusiv, după caz, prin intermediul viitoarei Alianțe europene pentru locuințe. </w:t>
      </w:r>
    </w:p>
    <w:p w14:paraId="5F37B8D2" w14:textId="4AF97951" w:rsidR="00272207" w:rsidRPr="00BC3D14" w:rsidRDefault="1ACCB314" w:rsidP="4C04BFAB">
      <w:pPr>
        <w:spacing w:after="240" w:line="240" w:lineRule="auto"/>
        <w:rPr>
          <w:rFonts w:cs="Times New Roman"/>
          <w:noProof/>
        </w:rPr>
      </w:pPr>
      <w:r w:rsidRPr="00BC3D14">
        <w:rPr>
          <w:b/>
          <w:noProof/>
        </w:rPr>
        <w:t>Statele membre pot beneficia de sprijinul UE în eforturile lor de raționalizare și digitalizare a procedurilor de autorizare.</w:t>
      </w:r>
      <w:r w:rsidRPr="00BC3D14">
        <w:rPr>
          <w:noProof/>
        </w:rPr>
        <w:t xml:space="preserve"> Instrumentul de sprijin tehnic (IST)</w:t>
      </w:r>
      <w:r w:rsidRPr="00BC3D14">
        <w:rPr>
          <w:rStyle w:val="FootnoteReference"/>
          <w:rFonts w:cs="Times New Roman"/>
          <w:noProof/>
        </w:rPr>
        <w:footnoteReference w:id="25"/>
      </w:r>
      <w:r w:rsidRPr="00BC3D14">
        <w:rPr>
          <w:noProof/>
        </w:rPr>
        <w:t xml:space="preserve"> poate oferi asistență tehnică și financiară pentru a ajuta statele membre să își consolideze capacitatea administrativă necesară și să realizeze reformele necesare. „Setul de instrumente privind autorizațiile digitale de construcție destinat autorităților publice” din 2024 oferă sprijin practic și promovează adoptarea autorizațiilor bazate pe BIM și oferă instrumente concrete pentru administrațiile locale.</w:t>
      </w:r>
    </w:p>
    <w:p w14:paraId="604EAE16" w14:textId="60F5A64B" w:rsidR="00091140" w:rsidRPr="00BC3D14" w:rsidRDefault="00091140" w:rsidP="4C04BFAB">
      <w:pPr>
        <w:spacing w:after="240" w:line="240" w:lineRule="auto"/>
        <w:rPr>
          <w:rFonts w:cs="Times New Roman"/>
          <w:noProof/>
        </w:rPr>
      </w:pPr>
      <w:r w:rsidRPr="00BC3D14">
        <w:rPr>
          <w:noProof/>
          <w:lang w:val="en-GB" w:eastAsia="en-GB"/>
        </w:rPr>
        <mc:AlternateContent>
          <mc:Choice Requires="wps">
            <w:drawing>
              <wp:anchor distT="45720" distB="45720" distL="114300" distR="114300" simplePos="0" relativeHeight="251658245" behindDoc="1" locked="0" layoutInCell="1" allowOverlap="1" wp14:anchorId="4BB89246" wp14:editId="77AA2E80">
                <wp:simplePos x="0" y="0"/>
                <wp:positionH relativeFrom="margin">
                  <wp:posOffset>47625</wp:posOffset>
                </wp:positionH>
                <wp:positionV relativeFrom="paragraph">
                  <wp:posOffset>0</wp:posOffset>
                </wp:positionV>
                <wp:extent cx="5981700" cy="1781175"/>
                <wp:effectExtent l="0" t="0" r="19050" b="28575"/>
                <wp:wrapTopAndBottom/>
                <wp:docPr id="1568851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781175"/>
                        </a:xfrm>
                        <a:prstGeom prst="rect">
                          <a:avLst/>
                        </a:prstGeom>
                        <a:solidFill>
                          <a:srgbClr val="FFFFFF"/>
                        </a:solidFill>
                        <a:ln w="9525">
                          <a:solidFill>
                            <a:srgbClr val="000000"/>
                          </a:solidFill>
                          <a:miter lim="800000"/>
                          <a:headEnd/>
                          <a:tailEnd/>
                        </a:ln>
                      </wps:spPr>
                      <wps:txbx>
                        <w:txbxContent>
                          <w:p w14:paraId="54D7CA94" w14:textId="77777777" w:rsidR="00985E08" w:rsidRPr="00BC3D14" w:rsidRDefault="00985E08" w:rsidP="00985E08">
                            <w:pPr>
                              <w:rPr>
                                <w:szCs w:val="24"/>
                              </w:rPr>
                            </w:pPr>
                            <w:r w:rsidRPr="00BC3D14">
                              <w:rPr>
                                <w:b/>
                              </w:rPr>
                              <w:t>Acțiunea 1 – Simplificarea și digitalizarea procedurilor de autorizare</w:t>
                            </w:r>
                          </w:p>
                          <w:p w14:paraId="7583603C" w14:textId="2BAF9909" w:rsidR="00985E08" w:rsidRPr="00BC3D14" w:rsidRDefault="00985E08" w:rsidP="0025733B">
                            <w:pPr>
                              <w:spacing w:before="120" w:after="120" w:line="240" w:lineRule="auto"/>
                              <w:rPr>
                                <w:szCs w:val="24"/>
                              </w:rPr>
                            </w:pPr>
                            <w:r w:rsidRPr="00BC3D14">
                              <w:t xml:space="preserve">- Comisia va colabora cu statele membre pentru </w:t>
                            </w:r>
                            <w:r w:rsidRPr="00BC3D14">
                              <w:rPr>
                                <w:b/>
                              </w:rPr>
                              <w:t>a simplifica procedurile naționale, regionale și locale de autorizare</w:t>
                            </w:r>
                            <w:r w:rsidRPr="00BC3D14">
                              <w:t xml:space="preserve"> printr-o cartografiere aprofundată, care ar putea contribui la pachetul de măsuri de simplificare în domeniul locuințelor (2027) și la legea privind locuințele la prețuri accesibile (T4 2026).</w:t>
                            </w:r>
                          </w:p>
                          <w:p w14:paraId="4C0FE125" w14:textId="44BB6702" w:rsidR="00985E08" w:rsidRPr="00BC3D14" w:rsidRDefault="00985E08" w:rsidP="0025733B">
                            <w:pPr>
                              <w:spacing w:before="120" w:after="120" w:line="240" w:lineRule="auto"/>
                              <w:rPr>
                                <w:szCs w:val="24"/>
                              </w:rPr>
                            </w:pPr>
                            <w:r w:rsidRPr="00BC3D14">
                              <w:t xml:space="preserve">- Comisia va continua </w:t>
                            </w:r>
                            <w:r w:rsidRPr="00BC3D14">
                              <w:rPr>
                                <w:b/>
                              </w:rPr>
                              <w:t>să sprijine reformele statelor membre și să mobilizeze instrumente de finanțare</w:t>
                            </w:r>
                            <w:r w:rsidRPr="00BC3D14">
                              <w:t xml:space="preserve"> (planuri de redresare și reziliență, fonduri ale politicii de coeziune și Europa digitală).</w:t>
                            </w:r>
                          </w:p>
                          <w:p w14:paraId="183D3251" w14:textId="77777777" w:rsidR="00985E08" w:rsidRPr="00BC3D14" w:rsidRDefault="00985E08" w:rsidP="00985E08">
                            <w:pPr>
                              <w:spacing w:after="0" w:line="240" w:lineRule="auto"/>
                              <w:rPr>
                                <w:szCs w:val="24"/>
                              </w:rPr>
                            </w:pPr>
                          </w:p>
                          <w:p w14:paraId="7EC01A26" w14:textId="77777777" w:rsidR="00985E08" w:rsidRPr="00BC3D14" w:rsidRDefault="00985E08" w:rsidP="00985E08">
                            <w:pPr>
                              <w:spacing w:after="0" w:line="240" w:lineRule="auto"/>
                              <w:rPr>
                                <w:szCs w:val="24"/>
                              </w:rPr>
                            </w:pPr>
                          </w:p>
                          <w:p w14:paraId="2AB82402" w14:textId="77777777" w:rsidR="00985E08" w:rsidRPr="00BC3D14" w:rsidRDefault="00985E08" w:rsidP="00985E08">
                            <w:pPr>
                              <w:spacing w:after="0" w:line="240" w:lineRule="auto"/>
                              <w:rPr>
                                <w:b/>
                                <w:bCs/>
                              </w:rPr>
                            </w:pPr>
                          </w:p>
                          <w:p w14:paraId="754A3278" w14:textId="3B2F9E27" w:rsidR="00985E08" w:rsidRPr="00BC3D14" w:rsidRDefault="00985E08" w:rsidP="00985E08">
                            <w:pPr>
                              <w:spacing w:after="0" w:line="240" w:lineRule="auto"/>
                              <w:rPr>
                                <w:b/>
                                <w:bCs/>
                              </w:rPr>
                            </w:pPr>
                            <w:r w:rsidRPr="00BC3D14">
                              <w:t>.ne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89246" id="_x0000_t202" coordsize="21600,21600" o:spt="202" path="m,l,21600r21600,l21600,xe">
                <v:stroke joinstyle="miter"/>
                <v:path gradientshapeok="t" o:connecttype="rect"/>
              </v:shapetype>
              <v:shape id="Text Box 2" o:spid="_x0000_s1026" type="#_x0000_t202" style="position:absolute;left:0;text-align:left;margin-left:3.75pt;margin-top:0;width:471pt;height:140.25pt;z-index:-25165823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">
                <v:textbox>
                  <w:txbxContent>
                    <w:p w14:paraId="54D7CA94" w14:textId="77777777" w:rsidR="00985E08" w:rsidRPr="00BC3D14" w:rsidRDefault="00985E08" w:rsidP="00985E08">
                      <w:pPr>
                        <w:rPr>
                          <w:szCs w:val="24"/>
                        </w:rPr>
                      </w:pPr>
                      <w:r w:rsidRPr="00BC3D14">
                        <w:rPr>
                          <w:b/>
                        </w:rPr>
                        <w:t>Acțiunea 1 – Simplificarea și digitalizarea procedurilor de autorizare</w:t>
                      </w:r>
                    </w:p>
                    <w:p w14:paraId="7583603C" w14:textId="2BAF9909" w:rsidR="00985E08" w:rsidRPr="00BC3D14" w:rsidRDefault="00985E08" w:rsidP="0025733B">
                      <w:pPr>
                        <w:spacing w:before="120" w:after="120" w:line="240" w:lineRule="auto"/>
                        <w:rPr>
                          <w:szCs w:val="24"/>
                        </w:rPr>
                      </w:pPr>
                      <w:r w:rsidRPr="00BC3D14">
                        <w:t xml:space="preserve">- Comisia va colabora cu statele membre pentru </w:t>
                      </w:r>
                      <w:r w:rsidRPr="00BC3D14">
                        <w:rPr>
                          <w:b/>
                        </w:rPr>
                        <w:t>a simplifica procedurile naționale, regionale și locale de autorizare</w:t>
                      </w:r>
                      <w:r w:rsidRPr="00BC3D14">
                        <w:t xml:space="preserve"> printr-o cartografiere aprofundată, care ar putea contribui la pachetul de măsuri de simplificare în domeniul locuințelor (2027) și la legea privind locuințele la prețuri accesibile (T4 2026).</w:t>
                      </w:r>
                    </w:p>
                    <w:p w14:paraId="4C0FE125" w14:textId="44BB6702" w:rsidR="00985E08" w:rsidRPr="00BC3D14" w:rsidRDefault="00985E08" w:rsidP="0025733B">
                      <w:pPr>
                        <w:spacing w:before="120" w:after="120" w:line="240" w:lineRule="auto"/>
                        <w:rPr>
                          <w:szCs w:val="24"/>
                        </w:rPr>
                      </w:pPr>
                      <w:r w:rsidRPr="00BC3D14">
                        <w:t xml:space="preserve">- Comisia va continua </w:t>
                      </w:r>
                      <w:r w:rsidRPr="00BC3D14">
                        <w:rPr>
                          <w:b/>
                        </w:rPr>
                        <w:t>să sprijine reformele statelor membre și să mobilizeze instrumente de finanțare</w:t>
                      </w:r>
                      <w:r w:rsidRPr="00BC3D14">
                        <w:t xml:space="preserve"> (planuri de redresare și reziliență, fonduri ale politicii de coeziune și Europa digitală).</w:t>
                      </w:r>
                    </w:p>
                    <w:p w14:paraId="183D3251" w14:textId="77777777" w:rsidR="00985E08" w:rsidRPr="00BC3D14" w:rsidRDefault="00985E08" w:rsidP="00985E08">
                      <w:pPr>
                        <w:spacing w:after="0" w:line="240" w:lineRule="auto"/>
                        <w:rPr>
                          <w:szCs w:val="24"/>
                        </w:rPr>
                      </w:pPr>
                    </w:p>
                    <w:p w14:paraId="7EC01A26" w14:textId="77777777" w:rsidR="00985E08" w:rsidRPr="00BC3D14" w:rsidRDefault="00985E08" w:rsidP="00985E08">
                      <w:pPr>
                        <w:spacing w:after="0" w:line="240" w:lineRule="auto"/>
                        <w:rPr>
                          <w:szCs w:val="24"/>
                        </w:rPr>
                      </w:pPr>
                    </w:p>
                    <w:p w14:paraId="2AB82402" w14:textId="77777777" w:rsidR="00985E08" w:rsidRPr="00BC3D14" w:rsidRDefault="00985E08" w:rsidP="00985E08">
                      <w:pPr>
                        <w:spacing w:after="0" w:line="240" w:lineRule="auto"/>
                        <w:rPr>
                          <w:b/>
                          <w:bCs/>
                        </w:rPr>
                      </w:pPr>
                    </w:p>
                    <w:p w14:paraId="754A3278" w14:textId="3B2F9E27" w:rsidR="00985E08" w:rsidRPr="00BC3D14" w:rsidRDefault="00985E08" w:rsidP="00985E08">
                      <w:pPr>
                        <w:spacing w:after="0" w:line="240" w:lineRule="auto"/>
                        <w:rPr>
                          <w:b/>
                          <w:bCs/>
                        </w:rPr>
                      </w:pPr>
                      <w:r w:rsidRPr="00BC3D14">
                        <w:t>.ne</w:t>
                      </w:r>
                    </w:p>
                  </w:txbxContent>
                </v:textbox>
                <w10:wrap type="topAndBottom" anchorx="margin"/>
              </v:shape>
            </w:pict>
          </mc:Fallback>
        </mc:AlternateContent>
      </w:r>
    </w:p>
    <w:p w14:paraId="460E3714" w14:textId="3E625BAB" w:rsidR="00A837CC" w:rsidRPr="00BC3D14" w:rsidRDefault="7E8D9BB4" w:rsidP="0068059D">
      <w:pPr>
        <w:pStyle w:val="Heading2"/>
        <w:rPr>
          <w:noProof/>
        </w:rPr>
      </w:pPr>
      <w:bookmarkStart w:id="5" w:name="_Toc213663457"/>
      <w:r w:rsidRPr="00BC3D14">
        <w:rPr>
          <w:noProof/>
        </w:rPr>
        <w:t>Stimularea digitalizării în ecosistemul construcțiilor</w:t>
      </w:r>
      <w:bookmarkEnd w:id="5"/>
    </w:p>
    <w:p w14:paraId="0A842C45" w14:textId="07FA9D34" w:rsidR="003977E3" w:rsidRPr="00BC3D14" w:rsidRDefault="00DC4CFA" w:rsidP="00CE192C">
      <w:pPr>
        <w:spacing w:before="240" w:after="120" w:line="240" w:lineRule="auto"/>
        <w:rPr>
          <w:b/>
          <w:bCs/>
          <w:noProof/>
        </w:rPr>
      </w:pPr>
      <w:r w:rsidRPr="00BC3D14">
        <w:rPr>
          <w:b/>
          <w:noProof/>
        </w:rPr>
        <w:t>Simplificarea ecosistemului construcțiilor trebuie să aibă loc prin digitalizare, pentru a spori previzibilitatea și viteza pentru toți actorii implicați</w:t>
      </w:r>
      <w:r w:rsidRPr="00BC3D14">
        <w:rPr>
          <w:noProof/>
        </w:rPr>
        <w:t>. Comisia Europeană se angajează să sprijine în continuare adoptarea sporită a tehnologiilor digitale în ecosistemul construcțiilor.</w:t>
      </w:r>
      <w:r w:rsidRPr="00BC3D14">
        <w:rPr>
          <w:b/>
          <w:noProof/>
        </w:rPr>
        <w:t xml:space="preserve"> </w:t>
      </w:r>
    </w:p>
    <w:p w14:paraId="2CD0ADAF" w14:textId="5EF483B1" w:rsidR="003977E3" w:rsidRPr="00BC3D14" w:rsidRDefault="005025CB" w:rsidP="003977E3">
      <w:pPr>
        <w:spacing w:after="120" w:line="240" w:lineRule="auto"/>
        <w:rPr>
          <w:noProof/>
        </w:rPr>
      </w:pPr>
      <w:r w:rsidRPr="00BC3D14">
        <w:rPr>
          <w:b/>
          <w:noProof/>
        </w:rPr>
        <w:t>Deși există deja multe instrumente digitale, iar altele sunt în curs de dezvoltare, interoperabilitatea acestora este încă sub nivelul optim</w:t>
      </w:r>
      <w:r w:rsidRPr="00BC3D14">
        <w:rPr>
          <w:noProof/>
        </w:rPr>
        <w:t xml:space="preserve">. Îmbunătățirea interoperabilității va debloca câștiguri majore în materie de eficiență. Aceasta va facilita sistemele de date bazate pe principiul înregistrării unice și schimbul de informații de-a lungul ciclului de viață al proiectului de construcție, de la etapa de proiectare până la procedurile de autorizare, etapa de instalare la fața locului, etapa de utilizare și sfârșitul ciclului de viață. Această interoperabilitate nu numai că îmbunătățește eficiența procesului de autorizare, ci permite și o aplicare mai coerentă a normelor, sprijină obiectivele de eficiență energetică și circularitatea. Reutilizarea datelor validate între sisteme reduce sarcina administrativă pentru arhitecți, ingineri și dezvoltatori. Totodată, autoritățile vor fi în măsură să monitorizeze mai eficient respectarea cerințelor în materie de siguranță, accesibilitate, eficiență energetică, reziliență în domeniul apei și sustenabilitate. </w:t>
      </w:r>
    </w:p>
    <w:p w14:paraId="04B8BBBB" w14:textId="3A58D378" w:rsidR="00CC721F" w:rsidRPr="00BC3D14" w:rsidRDefault="00486D31" w:rsidP="008F774B">
      <w:pPr>
        <w:spacing w:after="120" w:line="240" w:lineRule="auto"/>
        <w:rPr>
          <w:noProof/>
        </w:rPr>
      </w:pPr>
      <w:r w:rsidRPr="00BC3D14">
        <w:rPr>
          <w:noProof/>
        </w:rPr>
        <w:t xml:space="preserve">Noul </w:t>
      </w:r>
      <w:r w:rsidRPr="00BC3D14">
        <w:rPr>
          <w:b/>
          <w:noProof/>
        </w:rPr>
        <w:t xml:space="preserve">Regulament privind produsele pentru construcții (RPC) </w:t>
      </w:r>
      <w:r w:rsidRPr="00BC3D14">
        <w:rPr>
          <w:noProof/>
        </w:rPr>
        <w:t xml:space="preserve">reprezintă o piatră de temelie în sprijinul acordat pentru sporirea fluxurilor de date digitale în construcții. RPC prevede ca toate informațiile referitoare la produsele pentru construcții (inclusiv informațiile tehnice, performanța la foc, informațiile privind siguranța, impactul asupra mediului și alte informații relevante) să fie furnizate într-o declarație de performanță și de conformitate interoperabilă digitală. </w:t>
      </w:r>
    </w:p>
    <w:p w14:paraId="72AD75BD" w14:textId="7B8A3654" w:rsidR="00D67792" w:rsidRPr="00BC3D14" w:rsidRDefault="00BE5CD3" w:rsidP="008F774B">
      <w:pPr>
        <w:spacing w:after="120" w:line="240" w:lineRule="auto"/>
        <w:rPr>
          <w:noProof/>
        </w:rPr>
      </w:pPr>
      <w:r w:rsidRPr="00BC3D14">
        <w:rPr>
          <w:b/>
          <w:noProof/>
        </w:rPr>
        <w:t>Pașaportul digital al produsului</w:t>
      </w:r>
      <w:r w:rsidRPr="00BC3D14">
        <w:rPr>
          <w:noProof/>
        </w:rPr>
        <w:t xml:space="preserve"> (</w:t>
      </w:r>
      <w:r w:rsidRPr="00BC3D14">
        <w:rPr>
          <w:i/>
          <w:noProof/>
        </w:rPr>
        <w:t>Digital Product Passport</w:t>
      </w:r>
      <w:r w:rsidRPr="00BC3D14">
        <w:rPr>
          <w:noProof/>
        </w:rPr>
        <w:t xml:space="preserve"> – DPP), care devine obligatoriu în temeiul noului RPC începând din 2028</w:t>
      </w:r>
      <w:r w:rsidRPr="00BC3D14">
        <w:rPr>
          <w:rStyle w:val="FootnoteReference"/>
          <w:rFonts w:cs="Times New Roman"/>
          <w:noProof/>
        </w:rPr>
        <w:footnoteReference w:id="26"/>
      </w:r>
      <w:r w:rsidRPr="00BC3D14">
        <w:rPr>
          <w:noProof/>
        </w:rPr>
        <w:t>, va permite utilizarea acestor informații pentru diferite aplicații, cum ar fi proiectarea clădirilor, supravegherea pieței sau în registrele digitale ale clădirilor pentru renovări ulterioare. Prin înlocuirea documentelor pe suport de hârtie, a bazelor de date naționale și a documentelor în format PDF dispersate cu un sistem digital unificat la nivelul UE, DPP va pune la dispoziția tuturor părților interesate date fiabile și verificate privind produsele, într-un format prelucrabil automat. Ca atare, acest lucru va simplifica procedurile, va reduce costurile administrative și va spori transparența</w:t>
      </w:r>
      <w:r w:rsidRPr="00BC3D14">
        <w:rPr>
          <w:rStyle w:val="FootnoteReference"/>
          <w:noProof/>
        </w:rPr>
        <w:footnoteReference w:id="27"/>
      </w:r>
      <w:r w:rsidRPr="00BC3D14">
        <w:rPr>
          <w:noProof/>
        </w:rPr>
        <w:t>. DPP va permite proiectanților, contractanților și autorităților publice să găsească informații comparabile cu privire la performanța tehnică și de mediu a produselor. DPP va spori circularitatea în sectorul construcțiilor, deoarece va fi mai ușor să se facă schimb de informații privind posibilitățile de reutilizare și reciclare a materialelor în cadrul auditurilor în etapele anterioare demolării. Îmbunătățirea schimbului de informații privind amprenta de carbon a materialelor de construcții va sprijini dezvoltarea unor piețe-lider pentru produsele pentru construcții cu emisii scăzute de dioxid de carbon, inclusiv pentru bioproduse.</w:t>
      </w:r>
    </w:p>
    <w:p w14:paraId="7A833AE7" w14:textId="416478C6" w:rsidR="3B74EB41" w:rsidRPr="00BC3D14" w:rsidRDefault="44C0AB38" w:rsidP="18927507">
      <w:pPr>
        <w:spacing w:after="120" w:line="240" w:lineRule="auto"/>
        <w:rPr>
          <w:noProof/>
        </w:rPr>
      </w:pPr>
      <w:r w:rsidRPr="00BC3D14">
        <w:rPr>
          <w:noProof/>
        </w:rPr>
        <w:t xml:space="preserve">În completarea DPP și pe baza celor mai bune practici și a materialelor colectate, Comisia va promova introducerea armonizată a </w:t>
      </w:r>
      <w:r w:rsidRPr="00BC3D14">
        <w:rPr>
          <w:b/>
          <w:noProof/>
        </w:rPr>
        <w:t>registrelor digitale ale clădirilor</w:t>
      </w:r>
      <w:r w:rsidRPr="00BC3D14">
        <w:rPr>
          <w:rStyle w:val="FootnoteReference"/>
          <w:rFonts w:cs="Times New Roman"/>
          <w:noProof/>
        </w:rPr>
        <w:footnoteReference w:id="28"/>
      </w:r>
      <w:r w:rsidRPr="00BC3D14">
        <w:rPr>
          <w:noProof/>
        </w:rPr>
        <w:t xml:space="preserve"> (</w:t>
      </w:r>
      <w:r w:rsidRPr="00BC3D14">
        <w:rPr>
          <w:i/>
          <w:noProof/>
        </w:rPr>
        <w:t>Digital Building Logbooks</w:t>
      </w:r>
      <w:r w:rsidRPr="00BC3D14">
        <w:rPr>
          <w:noProof/>
        </w:rPr>
        <w:t xml:space="preserve"> - DBL) în întreaga UE. DBL-urile au potențialul de a deveni o sursă unică de informații cu privire la clădiri, de la proiectare și construcție până la renovare și demolare, ceea ce va duce la îmbunătățirea procesului decizional în fiecare etapă a ciclului lor de viață. Pentru a realiza un ecosistem digital interconectat, Comisia va lucra la o</w:t>
      </w:r>
      <w:r w:rsidRPr="00BC3D14">
        <w:rPr>
          <w:b/>
          <w:noProof/>
        </w:rPr>
        <w:t xml:space="preserve"> solicitare de standardizare</w:t>
      </w:r>
      <w:r w:rsidRPr="00BC3D14">
        <w:rPr>
          <w:noProof/>
        </w:rPr>
        <w:t xml:space="preserve"> pentru un </w:t>
      </w:r>
      <w:r w:rsidRPr="00BC3D14">
        <w:rPr>
          <w:b/>
          <w:noProof/>
        </w:rPr>
        <w:t>standard privind DBL</w:t>
      </w:r>
      <w:r w:rsidRPr="00BC3D14">
        <w:rPr>
          <w:noProof/>
        </w:rPr>
        <w:t>.</w:t>
      </w:r>
      <w:r w:rsidR="00BC3D14">
        <w:rPr>
          <w:noProof/>
        </w:rPr>
        <w:t xml:space="preserve"> </w:t>
      </w:r>
      <w:r w:rsidRPr="00BC3D14">
        <w:rPr>
          <w:noProof/>
        </w:rPr>
        <w:t xml:space="preserve">În plus, Comisia va </w:t>
      </w:r>
      <w:r w:rsidRPr="00BC3D14">
        <w:rPr>
          <w:b/>
          <w:noProof/>
        </w:rPr>
        <w:t>promova un mecanism pentru schimbul de date și agregarea datelor</w:t>
      </w:r>
      <w:r w:rsidRPr="00BC3D14">
        <w:rPr>
          <w:noProof/>
        </w:rPr>
        <w:t xml:space="preserve"> între toate DBL-urile pentru a facilita și mai mult eficiența energetică și utilizarea eficientă a apei, construcțiile circulare și renovarea.</w:t>
      </w:r>
    </w:p>
    <w:p w14:paraId="48919DE1" w14:textId="54C6AC65" w:rsidR="00DF627D" w:rsidRPr="00BC3D14" w:rsidRDefault="00DF627D" w:rsidP="18927507">
      <w:pPr>
        <w:spacing w:after="120" w:line="240" w:lineRule="auto"/>
        <w:rPr>
          <w:noProof/>
        </w:rPr>
      </w:pPr>
      <w:r w:rsidRPr="00BC3D14">
        <w:rPr>
          <w:noProof/>
        </w:rPr>
        <w:t>Obiectivul final este de a conecta pe deplin instrumentele digitale, cum ar fi DPP-ul pentru produsele pentru construcții, DBL-urile, sistemele digitale de autorizare și auditurile în etapele anterioare demolării, pentru a asigura interoperabilitatea deplină și a debloca toate beneficiile potențiale ale digitalizării în ecosistemul construcțiilor. În viitor, întreprinderile care își desfășoară activitatea în ecosistemul construcțiilor ar beneficia, de asemenea, de funcționalitățile oferite de portofelul pentru afaceri pentru a-și facilita și accelera și mai mult operațiunile, de exemplu, prin utilizarea acestuia – în sinergie cu pașaportul digital al produsului – pentru formulare și autorizații care să permită proceduri interoperabile fără sincope pe piața unică.</w:t>
      </w:r>
      <w:r w:rsidR="00BC3D14">
        <w:rPr>
          <w:noProof/>
        </w:rPr>
        <w:t xml:space="preserve"> </w:t>
      </w:r>
      <w:r w:rsidRPr="00BC3D14">
        <w:rPr>
          <w:noProof/>
        </w:rPr>
        <w:t>Acest lucru trebuie realizat în deplină conformitate cu normele privind protecția datelor și ținând seama de standardele ridicate de securitate cibernetică.</w:t>
      </w:r>
    </w:p>
    <w:p w14:paraId="154B98A7" w14:textId="6E9604D9" w:rsidR="003977E3" w:rsidRPr="00BC3D14" w:rsidRDefault="003977E3" w:rsidP="003977E3">
      <w:pPr>
        <w:spacing w:after="120" w:line="240" w:lineRule="auto"/>
        <w:rPr>
          <w:noProof/>
        </w:rPr>
      </w:pPr>
      <w:r w:rsidRPr="00BC3D14">
        <w:rPr>
          <w:noProof/>
        </w:rPr>
        <w:t>Pentru a accelera tranziția digitală a sectorului, Comisia promovează o abordare de tip „</w:t>
      </w:r>
      <w:r w:rsidRPr="00BC3D14">
        <w:rPr>
          <w:i/>
          <w:noProof/>
        </w:rPr>
        <w:t>IA pe primul loc</w:t>
      </w:r>
      <w:r w:rsidRPr="00BC3D14">
        <w:rPr>
          <w:noProof/>
        </w:rPr>
        <w:t xml:space="preserve">” în cadrul </w:t>
      </w:r>
      <w:r w:rsidRPr="00BC3D14">
        <w:rPr>
          <w:b/>
          <w:noProof/>
        </w:rPr>
        <w:t>strategiei privind aplicarea IA</w:t>
      </w:r>
      <w:r w:rsidRPr="00BC3D14">
        <w:rPr>
          <w:rStyle w:val="FootnoteReference"/>
          <w:b/>
          <w:bCs/>
          <w:noProof/>
        </w:rPr>
        <w:footnoteReference w:id="29"/>
      </w:r>
      <w:r w:rsidRPr="00BC3D14">
        <w:rPr>
          <w:noProof/>
        </w:rPr>
        <w:t>. Această abordare încurajează adoptarea tehnologiilor IA în toate sectoarele producției, ingineriei și construcțiilor pentru a îmbunătăți proiectarea, planificarea construcțiilor și procesele de scoatere din uz. Printre principalele aplicații prioritare se numără soluțiile de modelare informatică a clădirilor (BIM) generate de IA pentru clădirile existente, verificarea automată a conformității pentru autorizațiile de construcție și optimizarea planificării și proiectării amplasamentelor asistată de IA.</w:t>
      </w:r>
    </w:p>
    <w:p w14:paraId="102C0853" w14:textId="1C8729E0" w:rsidR="003977E3" w:rsidRPr="00BC3D14" w:rsidRDefault="003977E3" w:rsidP="003977E3">
      <w:pPr>
        <w:spacing w:after="120" w:line="240" w:lineRule="auto"/>
        <w:rPr>
          <w:noProof/>
        </w:rPr>
      </w:pPr>
      <w:r w:rsidRPr="00BC3D14">
        <w:rPr>
          <w:noProof/>
        </w:rPr>
        <w:t xml:space="preserve">În plus, Comisia continuă să colaboreze îndeaproape cu </w:t>
      </w:r>
      <w:r w:rsidRPr="00BC3D14">
        <w:rPr>
          <w:b/>
          <w:noProof/>
        </w:rPr>
        <w:t>grupul operativ al UE privind BIM</w:t>
      </w:r>
      <w:r w:rsidRPr="00BC3D14">
        <w:rPr>
          <w:noProof/>
        </w:rPr>
        <w:t xml:space="preserve"> și cu comunitatea de „BIM și achiziții publice” în cadrul inițiativei privind achizitorii publici</w:t>
      </w:r>
      <w:r w:rsidRPr="00BC3D14">
        <w:rPr>
          <w:rStyle w:val="FootnoteReference"/>
          <w:rFonts w:cs="Times New Roman"/>
          <w:noProof/>
        </w:rPr>
        <w:footnoteReference w:id="30"/>
      </w:r>
      <w:r w:rsidRPr="00BC3D14">
        <w:rPr>
          <w:noProof/>
        </w:rPr>
        <w:t>. Aceste colaborări se axează pe creșterea gradului de utilizare a BIM de către autoritățile publice, deoarece au un rol esențial în stabilirea standardelor digitale prin practici de achiziții publice și de autorizare.</w:t>
      </w:r>
    </w:p>
    <w:p w14:paraId="0A9748C1" w14:textId="13F45A40" w:rsidR="007809E4" w:rsidRPr="00BC3D14" w:rsidRDefault="00C21084" w:rsidP="7D6FF398">
      <w:pPr>
        <w:spacing w:after="120" w:line="240" w:lineRule="auto"/>
        <w:rPr>
          <w:noProof/>
        </w:rPr>
      </w:pPr>
      <w:r w:rsidRPr="00BC3D14">
        <w:rPr>
          <w:noProof/>
          <w:lang w:val="en-GB" w:eastAsia="en-GB"/>
        </w:rPr>
        <mc:AlternateContent>
          <mc:Choice Requires="wps">
            <w:drawing>
              <wp:anchor distT="45720" distB="45720" distL="114300" distR="114300" simplePos="0" relativeHeight="251658243" behindDoc="0" locked="0" layoutInCell="1" allowOverlap="1" wp14:anchorId="62BE0D00" wp14:editId="53FB2E53">
                <wp:simplePos x="0" y="0"/>
                <wp:positionH relativeFrom="margin">
                  <wp:posOffset>-19050</wp:posOffset>
                </wp:positionH>
                <wp:positionV relativeFrom="paragraph">
                  <wp:posOffset>1342390</wp:posOffset>
                </wp:positionV>
                <wp:extent cx="6076950" cy="1704975"/>
                <wp:effectExtent l="0" t="0" r="19050" b="28575"/>
                <wp:wrapSquare wrapText="bothSides"/>
                <wp:docPr id="1268196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1704975"/>
                        </a:xfrm>
                        <a:prstGeom prst="rect">
                          <a:avLst/>
                        </a:prstGeom>
                        <a:solidFill>
                          <a:srgbClr val="FFFFFF"/>
                        </a:solidFill>
                        <a:ln w="9525">
                          <a:solidFill>
                            <a:srgbClr val="000000"/>
                          </a:solidFill>
                          <a:miter lim="800000"/>
                          <a:headEnd/>
                          <a:tailEnd/>
                        </a:ln>
                      </wps:spPr>
                      <wps:txbx>
                        <w:txbxContent>
                          <w:p w14:paraId="6945DC5A" w14:textId="16FEBD36" w:rsidR="00A837CC" w:rsidRPr="00BC3D14" w:rsidRDefault="00A837CC" w:rsidP="00A837CC">
                            <w:pPr>
                              <w:rPr>
                                <w:szCs w:val="24"/>
                              </w:rPr>
                            </w:pPr>
                            <w:r w:rsidRPr="00BC3D14">
                              <w:rPr>
                                <w:b/>
                              </w:rPr>
                              <w:t>Acțiunea 2 – Către digitalizarea completă a pieței unice a construcțiilor</w:t>
                            </w:r>
                          </w:p>
                          <w:p w14:paraId="4028E07D" w14:textId="30E2EADF" w:rsidR="00A837CC" w:rsidRPr="00BC3D14" w:rsidRDefault="00A837CC" w:rsidP="00274919">
                            <w:pPr>
                              <w:spacing w:before="120" w:after="120" w:line="240" w:lineRule="auto"/>
                            </w:pPr>
                            <w:r w:rsidRPr="00BC3D14">
                              <w:t xml:space="preserve">- Aplicarea obligatorie a pașaportului digital al produsului începând din 2028 </w:t>
                            </w:r>
                            <w:r w:rsidRPr="00BC3D14">
                              <w:rPr>
                                <w:b/>
                              </w:rPr>
                              <w:t>va face ca datele referitoare la produsele pentru construcții să fie ușor accesibile</w:t>
                            </w:r>
                            <w:r w:rsidRPr="00BC3D14">
                              <w:t xml:space="preserve"> pentru toate părțile interesate și pentru toate aplicațiile.</w:t>
                            </w:r>
                            <w:r w:rsidR="00BC3D14">
                              <w:t xml:space="preserve"> </w:t>
                            </w:r>
                          </w:p>
                          <w:p w14:paraId="7B38E85C" w14:textId="318DDC5E" w:rsidR="00A837CC" w:rsidRPr="00BC3D14" w:rsidRDefault="00A837CC" w:rsidP="00274919">
                            <w:pPr>
                              <w:spacing w:before="120" w:after="120" w:line="240" w:lineRule="auto"/>
                            </w:pPr>
                            <w:bookmarkStart w:id="6" w:name="_Hlk215148227"/>
                            <w:r w:rsidRPr="00BC3D14">
                              <w:t xml:space="preserve">- Următorul pas în digitalizare va consta în </w:t>
                            </w:r>
                            <w:r w:rsidRPr="00BC3D14">
                              <w:rPr>
                                <w:b/>
                              </w:rPr>
                              <w:t>implementarea unui sistem armonizat pentru registrele digitale ale clădirilor, cu o solicitare de standardizare</w:t>
                            </w:r>
                            <w:r w:rsidRPr="00BC3D14">
                              <w:t xml:space="preserve"> ca prim pas (în T1 2026, cu obiectivul de a avea un standard armonizat privind DBL-urile până la sfârșitul anului 2028). </w:t>
                            </w:r>
                          </w:p>
                          <w:bookmarkEnd w:id="6"/>
                          <w:p w14:paraId="5137002A" w14:textId="77777777" w:rsidR="00A837CC" w:rsidRPr="00BC3D14" w:rsidRDefault="00A837CC" w:rsidP="00A837CC">
                            <w:pPr>
                              <w:spacing w:after="0" w:line="240" w:lineRule="auto"/>
                              <w:rPr>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BE0D00" id="_x0000_s1027" type="#_x0000_t202" style="position:absolute;left:0;text-align:left;margin-left:-1.5pt;margin-top:105.7pt;width:478.5pt;height:134.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">
                <v:textbox>
                  <w:txbxContent>
                    <w:p w14:paraId="6945DC5A" w14:textId="16FEBD36" w:rsidR="00A837CC" w:rsidRPr="00BC3D14" w:rsidRDefault="00A837CC" w:rsidP="00A837CC">
                      <w:pPr>
                        <w:rPr>
                          <w:szCs w:val="24"/>
                        </w:rPr>
                      </w:pPr>
                      <w:r w:rsidRPr="00BC3D14">
                        <w:rPr>
                          <w:b/>
                        </w:rPr>
                        <w:t>Acțiunea 2 – Către digitalizarea completă a pieței unice a construcțiilor</w:t>
                      </w:r>
                    </w:p>
                    <w:p w14:paraId="4028E07D" w14:textId="30E2EADF" w:rsidR="00A837CC" w:rsidRPr="00BC3D14" w:rsidRDefault="00A837CC" w:rsidP="00274919">
                      <w:pPr>
                        <w:spacing w:before="120" w:after="120" w:line="240" w:lineRule="auto"/>
                      </w:pPr>
                      <w:r w:rsidRPr="00BC3D14">
                        <w:t xml:space="preserve">- Aplicarea obligatorie a pașaportului digital al produsului începând din 2028 </w:t>
                      </w:r>
                      <w:r w:rsidRPr="00BC3D14">
                        <w:rPr>
                          <w:b/>
                        </w:rPr>
                        <w:t>va face ca datele referitoare la produsele pentru construcții să fie ușor accesibile</w:t>
                      </w:r>
                      <w:r w:rsidRPr="00BC3D14">
                        <w:t xml:space="preserve"> pentru toate părțile interesate și pentru toate aplicațiile.</w:t>
                      </w:r>
                      <w:r w:rsidR="00BC3D14">
                        <w:t xml:space="preserve"> </w:t>
                      </w:r>
                    </w:p>
                    <w:p w14:paraId="7B38E85C" w14:textId="318DDC5E" w:rsidR="00A837CC" w:rsidRPr="00BC3D14" w:rsidRDefault="00A837CC" w:rsidP="00274919">
                      <w:pPr>
                        <w:spacing w:before="120" w:after="120" w:line="240" w:lineRule="auto"/>
                      </w:pPr>
                      <w:bookmarkStart w:id="7" w:name="_Hlk215148227"/>
                      <w:r w:rsidRPr="00BC3D14">
                        <w:t xml:space="preserve">- Următorul pas în digitalizare va consta în </w:t>
                      </w:r>
                      <w:r w:rsidRPr="00BC3D14">
                        <w:rPr>
                          <w:b/>
                        </w:rPr>
                        <w:t>implementarea unui sistem armonizat pentru registrele digitale ale clădirilor, cu o solicitare de standardizare</w:t>
                      </w:r>
                      <w:r w:rsidRPr="00BC3D14">
                        <w:t xml:space="preserve"> ca prim pas (în T1 2026, cu obiectivul de a avea un standard armonizat privind DBL-urile până la sfârșitul anului 2028). </w:t>
                      </w:r>
                    </w:p>
                    <w:bookmarkEnd w:id="7"/>
                    <w:p w14:paraId="5137002A" w14:textId="77777777" w:rsidR="00A837CC" w:rsidRPr="00BC3D14" w:rsidRDefault="00A837CC" w:rsidP="00A837CC">
                      <w:pPr>
                        <w:spacing w:after="0" w:line="240" w:lineRule="auto"/>
                        <w:rPr>
                          <w:szCs w:val="24"/>
                        </w:rPr>
                      </w:pPr>
                    </w:p>
                  </w:txbxContent>
                </v:textbox>
                <w10:wrap type="square" anchorx="margin"/>
              </v:shape>
            </w:pict>
          </mc:Fallback>
        </mc:AlternateContent>
      </w:r>
      <w:r w:rsidRPr="00BC3D14">
        <w:rPr>
          <w:noProof/>
        </w:rPr>
        <w:t>Comisia invită statele membre și părțile interesate să utilizeze în mod optim multiplele instrumente de finanțare</w:t>
      </w:r>
      <w:r w:rsidRPr="00BC3D14">
        <w:rPr>
          <w:rStyle w:val="FootnoteReference"/>
          <w:noProof/>
        </w:rPr>
        <w:footnoteReference w:id="31"/>
      </w:r>
      <w:r w:rsidRPr="00BC3D14">
        <w:rPr>
          <w:noProof/>
        </w:rPr>
        <w:t xml:space="preserve"> disponibile care sprijină reformele digitale în sectorul construcțiilor, cum ar fi crearea de sisteme digitalizate de emitere a autorizațiilor de construcție, modernizarea infrastructurilor de date din sectorul public, implementarea spațiilor de date și a instrumentelor de IA care pot sta la baza verificării automatizate a conformității și a gemenilor digitali pentru clădiri – toate acestea contribuind la un ecosistem al construcțiilor mai eficient, bazat pe date și mai durabil.</w:t>
      </w:r>
    </w:p>
    <w:p w14:paraId="0A7AF337" w14:textId="74452EF0" w:rsidR="0E85460B" w:rsidRPr="00BC3D14" w:rsidRDefault="00395892" w:rsidP="2C96E0DE">
      <w:pPr>
        <w:pStyle w:val="Heading1"/>
        <w:rPr>
          <w:rStyle w:val="Heading1Char"/>
          <w:noProof/>
          <w:sz w:val="36"/>
          <w:szCs w:val="36"/>
        </w:rPr>
      </w:pPr>
      <w:bookmarkStart w:id="8" w:name="_Toc213663458"/>
      <w:r w:rsidRPr="00BC3D14">
        <w:rPr>
          <w:rStyle w:val="Heading1Char"/>
          <w:noProof/>
          <w:sz w:val="36"/>
        </w:rPr>
        <w:t>Accelerarea inovării și modernizarea pieței construcțiilor</w:t>
      </w:r>
      <w:bookmarkEnd w:id="8"/>
    </w:p>
    <w:p w14:paraId="21DB9157" w14:textId="65748D07" w:rsidR="00901F8B" w:rsidRPr="00BC3D14" w:rsidRDefault="1C0C19E0" w:rsidP="00274919">
      <w:pPr>
        <w:spacing w:before="240" w:after="120" w:line="240" w:lineRule="auto"/>
        <w:rPr>
          <w:rFonts w:eastAsiaTheme="minorEastAsia" w:cs="Times New Roman"/>
          <w:noProof/>
        </w:rPr>
      </w:pPr>
      <w:r w:rsidRPr="00BC3D14">
        <w:rPr>
          <w:noProof/>
        </w:rPr>
        <w:t>Potrivit sondajului privind investițiile realizat de Banca Europeană de Investiții (BEI) în 2024</w:t>
      </w:r>
      <w:r w:rsidRPr="00BC3D14">
        <w:rPr>
          <w:rStyle w:val="FootnoteReference"/>
          <w:rFonts w:eastAsiaTheme="minorEastAsia" w:cs="Times New Roman"/>
          <w:noProof/>
        </w:rPr>
        <w:footnoteReference w:id="32"/>
      </w:r>
      <w:r w:rsidRPr="00BC3D14">
        <w:rPr>
          <w:noProof/>
        </w:rPr>
        <w:t xml:space="preserve">, doar 24 % dintre firmele de construcții au raportat introducerea de noi produse, procese sau servicii în 2023, cu mult sub media UE de 32 % pentru alte sectoare. Sectorul </w:t>
      </w:r>
      <w:r w:rsidRPr="00BC3D14">
        <w:rPr>
          <w:b/>
          <w:noProof/>
        </w:rPr>
        <w:t>se situează, de asemenea, pe ultimul loc în rândul tuturor celor 14 ecosisteme industriale ale UE</w:t>
      </w:r>
      <w:r w:rsidRPr="00BC3D14">
        <w:rPr>
          <w:noProof/>
        </w:rPr>
        <w:t>, atât în ceea ce privește investițiile recente, cât și investițiile preconizate pe termen lung în transformarea digitală</w:t>
      </w:r>
      <w:r w:rsidRPr="00BC3D14">
        <w:rPr>
          <w:rStyle w:val="FootnoteReference"/>
          <w:rFonts w:eastAsiaTheme="minorEastAsia" w:cs="Times New Roman"/>
          <w:noProof/>
        </w:rPr>
        <w:footnoteReference w:id="33"/>
      </w:r>
      <w:r w:rsidRPr="00BC3D14">
        <w:rPr>
          <w:noProof/>
        </w:rPr>
        <w:t>. Ponderea ridicată a IMM-urilor în ecosistemul construcțiilor din UE este un factor, deoarece IMM-urile se confruntă, de regulă, cu mai multe constrângeri în ceea ce privește capitalul financiar și uman pentru a impulsiona transformarea digitală</w:t>
      </w:r>
      <w:r w:rsidRPr="00BC3D14">
        <w:rPr>
          <w:rStyle w:val="FootnoteReference"/>
          <w:rFonts w:eastAsiaTheme="minorEastAsia" w:cs="Times New Roman"/>
          <w:noProof/>
        </w:rPr>
        <w:footnoteReference w:id="34"/>
      </w:r>
      <w:r w:rsidRPr="00BC3D14">
        <w:rPr>
          <w:noProof/>
        </w:rPr>
        <w:t>.</w:t>
      </w:r>
    </w:p>
    <w:p w14:paraId="38BDED1F" w14:textId="422905DE" w:rsidR="00025070" w:rsidRPr="00BC3D14" w:rsidRDefault="00901F8B" w:rsidP="140909F9">
      <w:pPr>
        <w:spacing w:after="120" w:line="240" w:lineRule="auto"/>
        <w:rPr>
          <w:rFonts w:eastAsiaTheme="minorEastAsia" w:cs="Times New Roman"/>
          <w:noProof/>
        </w:rPr>
      </w:pPr>
      <w:r w:rsidRPr="00BC3D14">
        <w:rPr>
          <w:b/>
          <w:noProof/>
        </w:rPr>
        <w:t>Acest deficit în materie de inovare</w:t>
      </w:r>
      <w:r w:rsidRPr="00BC3D14">
        <w:rPr>
          <w:noProof/>
        </w:rPr>
        <w:t xml:space="preserve"> frânează productivitatea și limitează capacitatea sectorului de a răspunde nevoilor tot mai mari în materie de locuințe, precum și obiectivelor în materie de climă și energie. Fără un ecosistem de inovare mai puternic, UE riscă să piardă teren în fața concurenților mondiali în domenii precum construcțiile modulare, materialele cu emisii scăzute de dioxid de carbon (inclusiv biomaterialele, materialele reutilizate și reciclate) și tehnologiile inteligente de construcție.</w:t>
      </w:r>
    </w:p>
    <w:p w14:paraId="22D540E1" w14:textId="77777777" w:rsidR="009523ED" w:rsidRPr="00BC3D14" w:rsidRDefault="009523ED" w:rsidP="140909F9">
      <w:pPr>
        <w:spacing w:after="120" w:line="240" w:lineRule="auto"/>
        <w:rPr>
          <w:rFonts w:eastAsiaTheme="minorEastAsia" w:cs="Times New Roman"/>
          <w:noProof/>
        </w:rPr>
      </w:pPr>
    </w:p>
    <w:p w14:paraId="426896AC" w14:textId="63CDE9D8" w:rsidR="00025070" w:rsidRPr="00BC3D14" w:rsidRDefault="00025070" w:rsidP="00025070">
      <w:pPr>
        <w:spacing w:after="120" w:line="240" w:lineRule="auto"/>
        <w:rPr>
          <w:rFonts w:eastAsiaTheme="minorEastAsia" w:cs="Times New Roman"/>
          <w:i/>
          <w:iCs/>
          <w:noProof/>
        </w:rPr>
      </w:pPr>
      <w:r w:rsidRPr="00BC3D14">
        <w:rPr>
          <w:i/>
          <w:noProof/>
        </w:rPr>
        <w:t>Deblocarea ofertei: necesitatea de a extinde inovarea industrială și digitală</w:t>
      </w:r>
    </w:p>
    <w:p w14:paraId="107880BF" w14:textId="2AC924AE" w:rsidR="00025070" w:rsidRPr="00BC3D14" w:rsidRDefault="00025070" w:rsidP="00025070">
      <w:pPr>
        <w:spacing w:after="120" w:line="240" w:lineRule="auto"/>
        <w:rPr>
          <w:rFonts w:eastAsiaTheme="minorEastAsia" w:cs="Times New Roman"/>
          <w:noProof/>
        </w:rPr>
      </w:pPr>
      <w:r w:rsidRPr="00BC3D14">
        <w:rPr>
          <w:noProof/>
        </w:rPr>
        <w:t>Stimularea adoptării tehnologiilor avansate în sectorul construcțiilor poate îmbunătăți în mod radical viteza, eficiența din punctul de vedere al costurilor și durabilitatea. Printre inovațiile-cheie se numără automatizarea și utilizarea sistemelor robotice în sectorul construcțiilor, imprimarea 3D, construcțiile în afara amplasamentului și cele modulare, materialele cu emisii scăzute de dioxid de carbon (inclusiv biomaterialele) și aplicațiile de IA pentru proiectare, gestionarea proiectelor și exploatarea instalațiilor, multe dintre acestea provenind de la întreprinderile digitale în curs de extindere și de la IMM-uri.</w:t>
      </w:r>
    </w:p>
    <w:p w14:paraId="03CEF38D" w14:textId="2036FA68" w:rsidR="00025070" w:rsidRPr="00BC3D14" w:rsidRDefault="0B6D9D39" w:rsidP="140909F9">
      <w:pPr>
        <w:spacing w:after="120" w:line="240" w:lineRule="auto"/>
        <w:rPr>
          <w:rFonts w:eastAsiaTheme="minorEastAsia" w:cs="Times New Roman"/>
          <w:noProof/>
        </w:rPr>
      </w:pPr>
      <w:r w:rsidRPr="00BC3D14">
        <w:rPr>
          <w:noProof/>
        </w:rPr>
        <w:t xml:space="preserve">Printre acestea, </w:t>
      </w:r>
      <w:r w:rsidRPr="00BC3D14">
        <w:rPr>
          <w:b/>
          <w:noProof/>
        </w:rPr>
        <w:t>soluțiile de construcții în afara amplasamentului, de construcții modulare și de renovare</w:t>
      </w:r>
      <w:r w:rsidRPr="00BC3D14">
        <w:rPr>
          <w:noProof/>
        </w:rPr>
        <w:t xml:space="preserve"> oferă cel mai clar potențial de creștere rapidă a ofertei de locuințe</w:t>
      </w:r>
      <w:r w:rsidRPr="00BC3D14">
        <w:rPr>
          <w:rStyle w:val="FootnoteReference"/>
          <w:rFonts w:cs="Times New Roman"/>
          <w:noProof/>
        </w:rPr>
        <w:footnoteReference w:id="35"/>
      </w:r>
      <w:r w:rsidRPr="00BC3D14">
        <w:rPr>
          <w:rStyle w:val="FootnoteReference"/>
          <w:rFonts w:cs="Times New Roman"/>
          <w:noProof/>
        </w:rPr>
        <w:footnoteReference w:id="36"/>
      </w:r>
      <w:r w:rsidRPr="00BC3D14">
        <w:rPr>
          <w:noProof/>
        </w:rPr>
        <w:t>. Prin transferarea unor părți mari ale procesului de construcție în medii controlate din fabrică</w:t>
      </w:r>
      <w:r w:rsidRPr="00BC3D14">
        <w:rPr>
          <w:rStyle w:val="FootnoteReference"/>
          <w:noProof/>
        </w:rPr>
        <w:footnoteReference w:id="37"/>
      </w:r>
      <w:r w:rsidRPr="00BC3D14">
        <w:rPr>
          <w:noProof/>
        </w:rPr>
        <w:t>, rata de eroare scade, producția este raționalizată, iar termenele de construcție sunt mai mici. Acest lucru face ca soluțiile de construcții în afara amplasamentului să fie deosebit de atractive pentru locuințele sociale și la prețuri accesibile, în cazul cărora viteza, calitatea și eficiența din punctul de vedere al costurilor sunt esențiale</w:t>
      </w:r>
      <w:r w:rsidRPr="00BC3D14">
        <w:rPr>
          <w:rStyle w:val="FootnoteReference"/>
          <w:rFonts w:cs="Times New Roman"/>
          <w:noProof/>
        </w:rPr>
        <w:footnoteReference w:id="38"/>
      </w:r>
      <w:r w:rsidRPr="00BC3D14">
        <w:rPr>
          <w:noProof/>
        </w:rPr>
        <w:t>. În plus, componentele modulare pot fi adesea demontate și reutilizate, contribuind la circularitate și la utilizarea eficientă a resurselor. În cadrul noului Bauhaus european, Comisia va elabora un model de catalog care va sprijini schimbul de bune practici și va urmări să faciliteze autorizarea.</w:t>
      </w:r>
    </w:p>
    <w:p w14:paraId="104BEE03" w14:textId="67928800" w:rsidR="00025070" w:rsidRPr="00BC3D14" w:rsidRDefault="0B6D9D39" w:rsidP="00025070">
      <w:pPr>
        <w:spacing w:after="120" w:line="240" w:lineRule="auto"/>
        <w:rPr>
          <w:rFonts w:eastAsiaTheme="minorEastAsia" w:cs="Times New Roman"/>
          <w:noProof/>
        </w:rPr>
      </w:pPr>
      <w:r w:rsidRPr="00BC3D14">
        <w:rPr>
          <w:noProof/>
        </w:rPr>
        <w:t xml:space="preserve">Pe lângă asigurarea de locuințe pe plan intern, sistemele modulare și prefabricate sunt din ce în ce mai solicitate pentru eforturile de reconstrucție în </w:t>
      </w:r>
      <w:r w:rsidRPr="00BC3D14">
        <w:rPr>
          <w:b/>
          <w:noProof/>
        </w:rPr>
        <w:t>regiunile de criză</w:t>
      </w:r>
      <w:r w:rsidRPr="00BC3D14">
        <w:rPr>
          <w:noProof/>
        </w:rPr>
        <w:t xml:space="preserve">, cum ar fi Ucraina și Gaza, precum și în zonele afectate de fenomene meteorologice și climatice extreme sau de alte </w:t>
      </w:r>
      <w:r w:rsidRPr="00BC3D14">
        <w:rPr>
          <w:b/>
          <w:noProof/>
        </w:rPr>
        <w:t>dezastre naturale</w:t>
      </w:r>
      <w:r w:rsidRPr="00BC3D14">
        <w:rPr>
          <w:noProof/>
        </w:rPr>
        <w:t>. Întreprinderile din UE dispun deja de capacități tehnologice solide și ar putea deveni lideri mondiali pe această piață în expansiune, dacă se reduc barierele și se armonizează standardele</w:t>
      </w:r>
      <w:r w:rsidRPr="00BC3D14">
        <w:rPr>
          <w:rFonts w:cs="Times New Roman"/>
          <w:noProof/>
          <w:vertAlign w:val="superscript"/>
        </w:rPr>
        <w:footnoteReference w:id="39"/>
      </w:r>
      <w:r w:rsidRPr="00BC3D14">
        <w:rPr>
          <w:noProof/>
        </w:rPr>
        <w:t>.</w:t>
      </w:r>
    </w:p>
    <w:p w14:paraId="6A16F511" w14:textId="4D6B3345" w:rsidR="00025070" w:rsidRPr="00BC3D14" w:rsidRDefault="0B6D9D39" w:rsidP="00025070">
      <w:pPr>
        <w:spacing w:after="120" w:line="240" w:lineRule="auto"/>
        <w:rPr>
          <w:noProof/>
        </w:rPr>
      </w:pPr>
      <w:r w:rsidRPr="00BC3D14">
        <w:rPr>
          <w:noProof/>
        </w:rPr>
        <w:t xml:space="preserve">Cu toate acestea, aplicarea acestor soluții inovatoare pe o scară mai largă rămâne dificil de realizat. Coexistența a 27 de coduri naționale pentru construcții și a unor reglementări regionale diferite fragmentează piața și limitează scalabilitatea. Lipsa unor standarde armonizate subminează fiabilitatea, sporește riscul și crește costurile de finanțare pentru producători și dezvoltatorii de proiecte. </w:t>
      </w:r>
      <w:r w:rsidRPr="00BC3D14">
        <w:rPr>
          <w:b/>
          <w:noProof/>
        </w:rPr>
        <w:t>Investițiile inițiale ridicate</w:t>
      </w:r>
      <w:r w:rsidRPr="00BC3D14">
        <w:rPr>
          <w:noProof/>
        </w:rPr>
        <w:t xml:space="preserve"> necesare pentru instalațiile din afara amplasamentului, combinate cu o cerere incertă și o acoperire limitată a asigurărilor, limitează și mai mult creșterea</w:t>
      </w:r>
      <w:r w:rsidRPr="00BC3D14">
        <w:rPr>
          <w:noProof/>
          <w:vertAlign w:val="superscript"/>
        </w:rPr>
        <w:footnoteReference w:id="40"/>
      </w:r>
      <w:r w:rsidRPr="00BC3D14">
        <w:rPr>
          <w:noProof/>
        </w:rPr>
        <w:t>. Pentru a-și atinge întregul potențial, estimat la o creștere anuală de 4,5 % pentru clădirile rezidențiale</w:t>
      </w:r>
      <w:r w:rsidRPr="00BC3D14">
        <w:rPr>
          <w:noProof/>
          <w:vertAlign w:val="superscript"/>
        </w:rPr>
        <w:footnoteReference w:id="41"/>
      </w:r>
      <w:r w:rsidRPr="00BC3D14">
        <w:rPr>
          <w:noProof/>
        </w:rPr>
        <w:t>, trebuie reduse barierele din calea construcțiilor în afara amplasamentului.</w:t>
      </w:r>
    </w:p>
    <w:p w14:paraId="0DC48D9B" w14:textId="0D198095" w:rsidR="00025070" w:rsidRPr="00BC3D14" w:rsidRDefault="00025070" w:rsidP="00025070">
      <w:pPr>
        <w:spacing w:after="120" w:line="240" w:lineRule="auto"/>
        <w:rPr>
          <w:rFonts w:eastAsiaTheme="minorEastAsia" w:cs="Times New Roman"/>
          <w:i/>
          <w:iCs/>
          <w:noProof/>
        </w:rPr>
      </w:pPr>
      <w:r w:rsidRPr="00BC3D14">
        <w:rPr>
          <w:i/>
          <w:noProof/>
        </w:rPr>
        <w:t>Stimularea cererii: crearea unei piețe pentru construcții durabile și reziliente</w:t>
      </w:r>
    </w:p>
    <w:p w14:paraId="6CBA68B4" w14:textId="01076BA0" w:rsidR="00025070" w:rsidRPr="00BC3D14" w:rsidRDefault="00025070" w:rsidP="00025070">
      <w:pPr>
        <w:spacing w:after="120" w:line="240" w:lineRule="auto"/>
        <w:rPr>
          <w:rFonts w:eastAsiaTheme="minorEastAsia" w:cs="Times New Roman"/>
          <w:noProof/>
        </w:rPr>
      </w:pPr>
      <w:r w:rsidRPr="00BC3D14">
        <w:rPr>
          <w:noProof/>
        </w:rPr>
        <w:t xml:space="preserve">Pentru a completa inovarea în ceea ce privește oferta, UE trebuie, de asemenea, </w:t>
      </w:r>
      <w:r w:rsidRPr="00BC3D14">
        <w:rPr>
          <w:b/>
          <w:noProof/>
        </w:rPr>
        <w:t>să consolideze cererea de pe piață pentru produse durabile, reziliente și inovatoare</w:t>
      </w:r>
      <w:r w:rsidRPr="00BC3D14">
        <w:rPr>
          <w:noProof/>
        </w:rPr>
        <w:t>. Tranziția către neutralitatea climatică sporește nevoia de materiale cu emisii scăzute de dioxid de carbon, cum ar fi cimentul cu emisii scăzute de dioxid de carbon, betonul cu emisii scăzute de dioxid de carbon, oțelul cu emisii scăzute, conținutul reciclat</w:t>
      </w:r>
      <w:bookmarkStart w:id="9" w:name="_Hlk214906211"/>
      <w:r w:rsidRPr="00BC3D14">
        <w:rPr>
          <w:noProof/>
        </w:rPr>
        <w:t xml:space="preserve"> din produse, bioproduse și produsele reutilizate</w:t>
      </w:r>
      <w:bookmarkEnd w:id="9"/>
      <w:r w:rsidRPr="00BC3D14">
        <w:rPr>
          <w:noProof/>
        </w:rPr>
        <w:t>.</w:t>
      </w:r>
    </w:p>
    <w:p w14:paraId="7B304811" w14:textId="22403207" w:rsidR="00025070" w:rsidRPr="00BC3D14" w:rsidRDefault="0B6D9D39" w:rsidP="00025070">
      <w:pPr>
        <w:spacing w:after="120" w:line="240" w:lineRule="auto"/>
        <w:rPr>
          <w:rFonts w:eastAsiaTheme="minorEastAsia" w:cs="Times New Roman"/>
          <w:noProof/>
        </w:rPr>
      </w:pPr>
      <w:r w:rsidRPr="00BC3D14">
        <w:rPr>
          <w:noProof/>
        </w:rPr>
        <w:t>Comisia va consolida această schimbare prin introducerea unor cerințe de durabilitate și reziliență pentru achizițiile publice de produse cu emisii scăzute de dioxid de carbon fabricate în UE în Actul legislativ privind accelerarea activității industriale. Aceste măsuri vor recompensa inovarea, respectând în același timp standardele sociale și de mediu ale UE. Criteriile, definițiile și etichetele produselor pentru construcții vor fi definite în RPC.</w:t>
      </w:r>
    </w:p>
    <w:p w14:paraId="1E0ABB20" w14:textId="0388CB1E" w:rsidR="00507F1A" w:rsidRPr="00BC3D14" w:rsidRDefault="0B6D9D39" w:rsidP="00507F1A">
      <w:pPr>
        <w:spacing w:after="120" w:line="240" w:lineRule="auto"/>
        <w:rPr>
          <w:rFonts w:eastAsiaTheme="minorEastAsia" w:cs="Times New Roman"/>
          <w:noProof/>
        </w:rPr>
      </w:pPr>
      <w:r w:rsidRPr="00BC3D14">
        <w:rPr>
          <w:noProof/>
        </w:rPr>
        <w:t xml:space="preserve">În paralel, viitoarea </w:t>
      </w:r>
      <w:r w:rsidRPr="00BC3D14">
        <w:rPr>
          <w:b/>
          <w:noProof/>
        </w:rPr>
        <w:t>revizuire a Directivei privind achizițiile publice, prin facilitarea durabilității licitațiilor</w:t>
      </w:r>
      <w:r w:rsidRPr="00BC3D14">
        <w:rPr>
          <w:noProof/>
        </w:rPr>
        <w:t>, va contribui la crearea unei cereri stabile de produse pentru construcții cu emisii scăzute de dioxid de carbon (inclusiv bioproduse) și de metode inovatoare, cum ar fi noile soluții modulare de construcție, adesea produse de IMM-uri. Procesul de revizuire va lua în considerare, printre alte elemente, chestiunea subcontractării, inclusiv responsabilitățile și calificările contractanților și transparența lanțurilor de aprovizionare, care pot contribui la combaterea abuzurilor și pot sprijini angajatorii de bună credință din sectorul construcțiilor. Valorificarea vastei piețe a achizițiilor publice din UE poate reduce riscurile investițiilor private, poate accelera capacitatea de producție și poate reduce costurile prin economii de scară</w:t>
      </w:r>
      <w:r w:rsidRPr="00BC3D14">
        <w:rPr>
          <w:rStyle w:val="FootnoteReference"/>
          <w:noProof/>
        </w:rPr>
        <w:footnoteReference w:id="42"/>
      </w:r>
      <w:r w:rsidRPr="00BC3D14">
        <w:rPr>
          <w:noProof/>
        </w:rPr>
        <w:t>. În cele din urmă, inițiativele din cadrul strategiei în domeniul bioeconomiei</w:t>
      </w:r>
      <w:r w:rsidRPr="00BC3D14">
        <w:rPr>
          <w:rStyle w:val="FootnoteReference"/>
          <w:rFonts w:eastAsiaTheme="minorEastAsia" w:cs="Times New Roman"/>
          <w:noProof/>
        </w:rPr>
        <w:footnoteReference w:id="43"/>
      </w:r>
      <w:r w:rsidRPr="00BC3D14">
        <w:rPr>
          <w:noProof/>
        </w:rPr>
        <w:t xml:space="preserve"> vor sprijini construcțiile ca una dintre piețele-lider pentru bioproduse. </w:t>
      </w:r>
    </w:p>
    <w:p w14:paraId="61051A10" w14:textId="07FDF5FA" w:rsidR="002E7FF5" w:rsidRPr="00BC3D14" w:rsidRDefault="00507F1A" w:rsidP="002E7FF5">
      <w:pPr>
        <w:spacing w:after="120" w:line="240" w:lineRule="auto"/>
        <w:rPr>
          <w:rFonts w:eastAsiaTheme="minorEastAsia" w:cs="Times New Roman"/>
          <w:noProof/>
        </w:rPr>
      </w:pPr>
      <w:r w:rsidRPr="00BC3D14">
        <w:rPr>
          <w:noProof/>
        </w:rPr>
        <w:t>În conformitate cu obiectivele strategiei în domeniul bioeconomiei, în cadrul de certificare pentru absorbțiile de carbon și agricultura carbonului va fi elaborată o certificare a stocării de lungă durată a carbonului biogenic în clădiri. Acest lucru va oferi mai multă vizibilitate beneficiilor ecologice ale biosoluțiilor în acest sector, sporind cererea acestora pe piață.</w:t>
      </w:r>
    </w:p>
    <w:p w14:paraId="3D3EE4F3" w14:textId="285C72E1" w:rsidR="002E7FF5" w:rsidRPr="00BC3D14" w:rsidRDefault="002E7FF5" w:rsidP="00BA03DD">
      <w:pPr>
        <w:pStyle w:val="Heading2"/>
        <w:ind w:left="576"/>
        <w:rPr>
          <w:noProof/>
        </w:rPr>
      </w:pPr>
      <w:bookmarkStart w:id="10" w:name="_Toc213663459"/>
      <w:r w:rsidRPr="00BC3D14">
        <w:rPr>
          <w:noProof/>
        </w:rPr>
        <w:t>Modernizarea cadrului de reglementare pentru a spori gradul de utilizare a inovării</w:t>
      </w:r>
      <w:bookmarkEnd w:id="10"/>
    </w:p>
    <w:p w14:paraId="5AFCD488" w14:textId="6CB570EF" w:rsidR="00025070" w:rsidRPr="00BC3D14" w:rsidRDefault="00025070" w:rsidP="00025070">
      <w:pPr>
        <w:spacing w:after="120" w:line="240" w:lineRule="auto"/>
        <w:rPr>
          <w:rFonts w:eastAsiaTheme="minorEastAsia" w:cs="Times New Roman"/>
          <w:noProof/>
        </w:rPr>
      </w:pPr>
      <w:r w:rsidRPr="00BC3D14">
        <w:rPr>
          <w:noProof/>
        </w:rPr>
        <w:t xml:space="preserve">Noul Regulament privind produsele pentru construcții </w:t>
      </w:r>
      <w:r w:rsidRPr="00BC3D14">
        <w:rPr>
          <w:b/>
          <w:noProof/>
        </w:rPr>
        <w:t>marchează un pas important către un cadru de reglementare mai modern și mai favorabil inovării</w:t>
      </w:r>
      <w:r w:rsidRPr="00BC3D14">
        <w:rPr>
          <w:noProof/>
        </w:rPr>
        <w:t xml:space="preserve">. Noul cadru juridic poate aborda toate nevoile tehnice și de reglementare, inclusiv aspectele de mediu și digitalizarea. </w:t>
      </w:r>
    </w:p>
    <w:p w14:paraId="2BDCAF72" w14:textId="738F81F2" w:rsidR="00025070" w:rsidRPr="00BC3D14" w:rsidRDefault="10EE30DB" w:rsidP="00025070">
      <w:pPr>
        <w:spacing w:after="120" w:line="240" w:lineRule="auto"/>
        <w:rPr>
          <w:rFonts w:eastAsiaTheme="minorEastAsia" w:cs="Times New Roman"/>
          <w:noProof/>
        </w:rPr>
      </w:pPr>
      <w:r w:rsidRPr="00BC3D14">
        <w:rPr>
          <w:b/>
          <w:noProof/>
        </w:rPr>
        <w:t>Prin procesul privind acquis-ul RPC</w:t>
      </w:r>
      <w:r w:rsidRPr="00BC3D14">
        <w:rPr>
          <w:rStyle w:val="FootnoteReference"/>
          <w:rFonts w:eastAsiaTheme="minorEastAsia" w:cs="Times New Roman"/>
          <w:b/>
          <w:noProof/>
        </w:rPr>
        <w:footnoteReference w:id="44"/>
      </w:r>
      <w:r w:rsidRPr="00BC3D14">
        <w:rPr>
          <w:b/>
          <w:noProof/>
        </w:rPr>
        <w:t>, Comisia urmărește să actualizeze, până în 2033, toate standardele armonizate elaborate în ultimii 25 de ani și să extindă acoperirea la toate familiile de produse relevante</w:t>
      </w:r>
      <w:r w:rsidRPr="00BC3D14">
        <w:rPr>
          <w:noProof/>
        </w:rPr>
        <w:t>. Procesul oferă o bază cuprinzătoare pentru a garanta o dezvoltare eficientă și rapidă a standardizării. Standardele pentru materiale esențiale, cum ar fi cimentul, sunt elaborate în mod prioritar pentru a permite livrarea la timp. Acest proces va accelera armonizarea standardelor pentru produse în cadrul pieței unice, reducând astfel sarcinile administrative și facilitând accesul pe piață al produselor mai durabile, ceea ce este esențial în special pentru IMM-urile din ecosistemul construcțiilor.</w:t>
      </w:r>
    </w:p>
    <w:p w14:paraId="52B84281" w14:textId="12AC56E7" w:rsidR="00025070" w:rsidRPr="00BC3D14" w:rsidRDefault="00F36CF0" w:rsidP="361D6597">
      <w:pPr>
        <w:spacing w:after="120" w:line="240" w:lineRule="auto"/>
        <w:rPr>
          <w:rFonts w:eastAsiaTheme="minorEastAsia" w:cs="Times New Roman"/>
          <w:noProof/>
        </w:rPr>
      </w:pPr>
      <w:r w:rsidRPr="00BC3D14">
        <w:rPr>
          <w:noProof/>
        </w:rPr>
        <w:t>Noile standarde vor contribui la construirea de clădiri sigure, accesibile și ecologice, vor consolida piața unică și vor reduce costurile prin economii de scară. În mod esențial, RPC va sprijini trecerea de la coduri naționale prescriptive în domeniul construcțiilor la standarde bazate pe performanță, permițând astfel o mai mare flexibilitate în ceea ce privește metodele inovatoare de construcție. Pentru a permite implementarea transfrontalieră a sistemelor de construcții în afara amplasamentului și de construcții modulare, Comisia va acorda prioritate elaborării de standarde specifice pentru produsele prefabricate, seturi pentru construcții și unitățile modulare, creând o piață unică pentru aceste produse. IMM-urile sunt reprezentate în mod corespunzător în procesul de elaborare a standardelor, iar Comisia se va asigura că standardele armonizate și actele delegate aplicabile nu vor reprezenta o sarcină excesivă pentru IMM-uri.</w:t>
      </w:r>
    </w:p>
    <w:p w14:paraId="6ECC6780" w14:textId="722B9D1A" w:rsidR="00025070" w:rsidRPr="00BC3D14" w:rsidRDefault="0B6D9D39" w:rsidP="00025070">
      <w:pPr>
        <w:spacing w:after="120" w:line="240" w:lineRule="auto"/>
        <w:rPr>
          <w:rFonts w:eastAsiaTheme="minorEastAsia" w:cs="Times New Roman"/>
          <w:noProof/>
        </w:rPr>
      </w:pPr>
      <w:r w:rsidRPr="00BC3D14">
        <w:rPr>
          <w:noProof/>
        </w:rPr>
        <w:t xml:space="preserve">Pentru </w:t>
      </w:r>
      <w:r w:rsidRPr="00BC3D14">
        <w:rPr>
          <w:b/>
          <w:noProof/>
        </w:rPr>
        <w:t>a transpune regulamentul în practică</w:t>
      </w:r>
      <w:r w:rsidRPr="00BC3D14">
        <w:rPr>
          <w:noProof/>
        </w:rPr>
        <w:t xml:space="preserve">, Comisia va emite </w:t>
      </w:r>
      <w:r w:rsidRPr="00BC3D14">
        <w:rPr>
          <w:b/>
          <w:noProof/>
        </w:rPr>
        <w:t>orientări</w:t>
      </w:r>
      <w:r w:rsidRPr="00BC3D14">
        <w:rPr>
          <w:noProof/>
        </w:rPr>
        <w:t xml:space="preserve"> privind construcțiile modulare și construcțiile în afara amplasamentului. Aceasta va include cele mai bune practici și demonstrații de succes ale validării conceptului în ceea ce privește creșterea siguranței, a accesibilității, a durabilității, a dezmembrării rapide și a prețurilor abordabile prin concepte modulare și va sprijini adoptarea pe scară mai largă atât a construcțiilor noi, cât și a lucrărilor de renovare</w:t>
      </w:r>
      <w:r w:rsidRPr="00BC3D14">
        <w:rPr>
          <w:rFonts w:eastAsia="Times New Roman" w:cs="Times New Roman"/>
          <w:noProof/>
          <w:vertAlign w:val="superscript"/>
        </w:rPr>
        <w:footnoteReference w:id="45"/>
      </w:r>
      <w:r w:rsidRPr="00BC3D14">
        <w:rPr>
          <w:noProof/>
        </w:rPr>
        <w:t>. În ceea ce privește construcțiile modulare și construcțiile în afara amplasamentului, aceste orientări se vor baza pe proiectele de succes dezvoltate în cadrul subprogramului LIFE „Tranziție către o energie curată”</w:t>
      </w:r>
      <w:r w:rsidRPr="00BC3D14">
        <w:rPr>
          <w:rStyle w:val="FootnoteReference"/>
          <w:rFonts w:eastAsia="Times New Roman" w:cs="Times New Roman"/>
          <w:noProof/>
        </w:rPr>
        <w:footnoteReference w:id="46"/>
      </w:r>
      <w:r w:rsidRPr="00BC3D14">
        <w:rPr>
          <w:noProof/>
        </w:rPr>
        <w:t>. Aceste eforturi vor intra, de asemenea, în domeniul de aplicare al pilonului internațional al noului Bauhaus european, care include proiecte dedicate reconstrucției Ucrainei și diseminării celor mai bune practici pentru o redresare durabilă și rezilientă în urma războiului.</w:t>
      </w:r>
    </w:p>
    <w:p w14:paraId="472281E4" w14:textId="13252494" w:rsidR="00C20355" w:rsidRPr="00BC3D14" w:rsidRDefault="000478A7" w:rsidP="00C20355">
      <w:pPr>
        <w:spacing w:after="120" w:line="240" w:lineRule="auto"/>
        <w:rPr>
          <w:rFonts w:eastAsiaTheme="minorEastAsia" w:cs="Times New Roman"/>
          <w:noProof/>
        </w:rPr>
      </w:pPr>
      <w:r w:rsidRPr="00BC3D14">
        <w:rPr>
          <w:noProof/>
        </w:rPr>
        <w:t xml:space="preserve">În plus, Comisia se va asigura că </w:t>
      </w:r>
      <w:r w:rsidRPr="00BC3D14">
        <w:rPr>
          <w:b/>
          <w:noProof/>
        </w:rPr>
        <w:t>Eurocodurile de a doua generație</w:t>
      </w:r>
      <w:r w:rsidRPr="00BC3D14">
        <w:rPr>
          <w:rStyle w:val="FootnoteReference"/>
          <w:rFonts w:eastAsiaTheme="minorEastAsia" w:cs="Times New Roman"/>
          <w:b/>
          <w:bCs/>
          <w:noProof/>
        </w:rPr>
        <w:footnoteReference w:id="47"/>
      </w:r>
      <w:r w:rsidRPr="00BC3D14">
        <w:rPr>
          <w:noProof/>
        </w:rPr>
        <w:t xml:space="preserve"> sprijină inovarea, de exemplu, prin includerea de instrumente pentru evaluarea și reutilizarea structurilor existente și pentru utilizarea de materiale inovatoare, cum ar fi structurile din materiale compozite pe bază de polimeri armate cu fibre și structurile arhitecturale tensionate cu membrană.</w:t>
      </w:r>
    </w:p>
    <w:p w14:paraId="3D2AB1C3" w14:textId="774FECBD" w:rsidR="3B2E7A8D" w:rsidRPr="00BC3D14" w:rsidRDefault="00541FAD" w:rsidP="6EE429DF">
      <w:pPr>
        <w:spacing w:after="120" w:line="240" w:lineRule="auto"/>
        <w:rPr>
          <w:rFonts w:eastAsiaTheme="minorEastAsia" w:cs="Times New Roman"/>
          <w:noProof/>
        </w:rPr>
      </w:pPr>
      <w:r w:rsidRPr="00BC3D14">
        <w:rPr>
          <w:noProof/>
          <w:lang w:val="en-GB" w:eastAsia="en-GB"/>
        </w:rPr>
        <mc:AlternateContent>
          <mc:Choice Requires="wps">
            <w:drawing>
              <wp:anchor distT="0" distB="0" distL="114300" distR="114300" simplePos="0" relativeHeight="251658241" behindDoc="0" locked="0" layoutInCell="1" allowOverlap="1" wp14:anchorId="47BDF032" wp14:editId="1BDF4A5D">
                <wp:simplePos x="0" y="0"/>
                <wp:positionH relativeFrom="margin">
                  <wp:align>left</wp:align>
                </wp:positionH>
                <wp:positionV relativeFrom="paragraph">
                  <wp:posOffset>1087755</wp:posOffset>
                </wp:positionV>
                <wp:extent cx="5962650" cy="2295525"/>
                <wp:effectExtent l="0" t="0" r="19050" b="28575"/>
                <wp:wrapTopAndBottom/>
                <wp:docPr id="1548103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2295525"/>
                        </a:xfrm>
                        <a:prstGeom prst="rect">
                          <a:avLst/>
                        </a:prstGeom>
                        <a:solidFill>
                          <a:srgbClr val="FFFFFF"/>
                        </a:solidFill>
                        <a:ln w="9525">
                          <a:solidFill>
                            <a:srgbClr val="000000"/>
                          </a:solidFill>
                          <a:miter lim="800000"/>
                          <a:headEnd/>
                          <a:tailEnd/>
                        </a:ln>
                      </wps:spPr>
                      <wps:txbx>
                        <w:txbxContent>
                          <w:p w14:paraId="59AEE8BD" w14:textId="77777777" w:rsidR="00A544C6" w:rsidRPr="00BC3D14" w:rsidRDefault="00A544C6" w:rsidP="00A544C6">
                            <w:pPr>
                              <w:rPr>
                                <w:rFonts w:eastAsia="Times New Roman" w:cs="Times New Roman"/>
                              </w:rPr>
                            </w:pPr>
                            <w:r w:rsidRPr="00BC3D14">
                              <w:rPr>
                                <w:b/>
                              </w:rPr>
                              <w:t>Acțiunea 3 – Stimularea adoptării inovațiilor prin elaborarea de standarde</w:t>
                            </w:r>
                            <w:r w:rsidRPr="00BC3D14">
                              <w:t xml:space="preserve"> </w:t>
                            </w:r>
                          </w:p>
                          <w:p w14:paraId="26238117" w14:textId="55342B11" w:rsidR="00A544C6" w:rsidRPr="00BC3D14" w:rsidRDefault="00A544C6" w:rsidP="00A544C6">
                            <w:pPr>
                              <w:rPr>
                                <w:b/>
                                <w:bCs/>
                              </w:rPr>
                            </w:pPr>
                            <w:r w:rsidRPr="00BC3D14">
                              <w:t xml:space="preserve">- Comisia va </w:t>
                            </w:r>
                            <w:r w:rsidRPr="00BC3D14">
                              <w:rPr>
                                <w:b/>
                              </w:rPr>
                              <w:t xml:space="preserve">accelera elaborarea de standarde pentru produsele pentru construcții </w:t>
                            </w:r>
                            <w:r w:rsidRPr="00BC3D14">
                              <w:t>în temeiul noului RPC.</w:t>
                            </w:r>
                            <w:r w:rsidRPr="00BC3D14">
                              <w:rPr>
                                <w:b/>
                              </w:rPr>
                              <w:t xml:space="preserve"> </w:t>
                            </w:r>
                            <w:r w:rsidRPr="00BC3D14">
                              <w:t>Primele standarde noi privind produsele vor viza cimentul, produsele metalice structurale, sticla, ușile și ferestrele. Comisia a adoptat un prim plan de lucru pentru perioada 2026-2029 în ceea ce privește punerea în aplicare a RPC, care include priorități și calendare.</w:t>
                            </w:r>
                            <w:r w:rsidR="00BC3D14">
                              <w:t xml:space="preserve"> </w:t>
                            </w:r>
                          </w:p>
                          <w:p w14:paraId="3E630301" w14:textId="1A892EF5" w:rsidR="00A544C6" w:rsidRPr="00BC3D14" w:rsidRDefault="00A544C6" w:rsidP="00475A3B">
                            <w:pPr>
                              <w:spacing w:after="120" w:line="240" w:lineRule="auto"/>
                              <w:rPr>
                                <w:rFonts w:eastAsia="Times New Roman" w:cs="Times New Roman"/>
                                <w:szCs w:val="24"/>
                              </w:rPr>
                            </w:pPr>
                            <w:r w:rsidRPr="00BC3D14">
                              <w:t xml:space="preserve">- Comisia lansează, ca prioritate în cadrul procesului privind acquis-ul RPC, cererea de </w:t>
                            </w:r>
                            <w:r w:rsidRPr="00BC3D14">
                              <w:rPr>
                                <w:b/>
                              </w:rPr>
                              <w:t>elaborare a unor standarde privind produsele pentru construcții în afara amplasamentului și sistemele modulare</w:t>
                            </w:r>
                            <w:r w:rsidRPr="00BC3D14">
                              <w:t xml:space="preserve"> (lansarea va avea loc la începutul anului 2026, cu scopul de a adopta prima solicitare de standardizare în 2027).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DF032" id="_x0000_s1028" type="#_x0000_t202" style="position:absolute;left:0;text-align:left;margin-left:0;margin-top:85.65pt;width:469.5pt;height:180.7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">
                <v:textbox>
                  <w:txbxContent>
                    <w:p w14:paraId="59AEE8BD" w14:textId="77777777" w:rsidR="00A544C6" w:rsidRPr="00BC3D14" w:rsidRDefault="00A544C6" w:rsidP="00A544C6">
                      <w:pPr>
                        <w:rPr>
                          <w:rFonts w:eastAsia="Times New Roman" w:cs="Times New Roman"/>
                        </w:rPr>
                      </w:pPr>
                      <w:r w:rsidRPr="00BC3D14">
                        <w:rPr>
                          <w:b/>
                        </w:rPr>
                        <w:t>Acțiunea 3 – Stimularea adoptării inovațiilor prin elaborarea de standarde</w:t>
                      </w:r>
                      <w:r w:rsidRPr="00BC3D14">
                        <w:t xml:space="preserve"> </w:t>
                      </w:r>
                    </w:p>
                    <w:p w14:paraId="26238117" w14:textId="55342B11" w:rsidR="00A544C6" w:rsidRPr="00BC3D14" w:rsidRDefault="00A544C6" w:rsidP="00A544C6">
                      <w:pPr>
                        <w:rPr>
                          <w:b/>
                          <w:bCs/>
                        </w:rPr>
                      </w:pPr>
                      <w:r w:rsidRPr="00BC3D14">
                        <w:t xml:space="preserve">- Comisia va </w:t>
                      </w:r>
                      <w:r w:rsidRPr="00BC3D14">
                        <w:rPr>
                          <w:b/>
                        </w:rPr>
                        <w:t xml:space="preserve">accelera elaborarea de standarde pentru produsele pentru construcții </w:t>
                      </w:r>
                      <w:r w:rsidRPr="00BC3D14">
                        <w:t>în temeiul noului RPC.</w:t>
                      </w:r>
                      <w:r w:rsidRPr="00BC3D14">
                        <w:rPr>
                          <w:b/>
                        </w:rPr>
                        <w:t xml:space="preserve"> </w:t>
                      </w:r>
                      <w:r w:rsidRPr="00BC3D14">
                        <w:t>Primele standarde noi privind produsele vor viza cimentul, produsele metalice structurale, sticla, ușile și ferestrele. Comisia a adoptat un prim plan de lucru pentru perioada 2026-2029 în ceea ce privește punerea în aplicare a RPC, care include priorități și calendare.</w:t>
                      </w:r>
                      <w:r w:rsidR="00BC3D14">
                        <w:t xml:space="preserve"> </w:t>
                      </w:r>
                    </w:p>
                    <w:p w14:paraId="3E630301" w14:textId="1A892EF5" w:rsidR="00A544C6" w:rsidRPr="00BC3D14" w:rsidRDefault="00A544C6" w:rsidP="00475A3B">
                      <w:pPr>
                        <w:spacing w:after="120" w:line="240" w:lineRule="auto"/>
                        <w:rPr>
                          <w:rFonts w:eastAsia="Times New Roman" w:cs="Times New Roman"/>
                          <w:szCs w:val="24"/>
                        </w:rPr>
                      </w:pPr>
                      <w:r w:rsidRPr="00BC3D14">
                        <w:t xml:space="preserve">- Comisia lansează, ca prioritate în cadrul procesului privind acquis-ul RPC, cererea de </w:t>
                      </w:r>
                      <w:r w:rsidRPr="00BC3D14">
                        <w:rPr>
                          <w:b/>
                        </w:rPr>
                        <w:t>elaborare a unor standarde privind produsele pentru construcții în afara amplasamentului și sistemele modulare</w:t>
                      </w:r>
                      <w:r w:rsidRPr="00BC3D14">
                        <w:t xml:space="preserve"> (lansarea va avea loc la începutul anului 2026, cu scopul de a adopta prima solicitare de standardizare în 2027). </w:t>
                      </w:r>
                    </w:p>
                  </w:txbxContent>
                </v:textbox>
                <w10:wrap type="topAndBottom" anchorx="margin"/>
              </v:shape>
            </w:pict>
          </mc:Fallback>
        </mc:AlternateContent>
      </w:r>
      <w:r w:rsidRPr="00BC3D14">
        <w:rPr>
          <w:noProof/>
        </w:rPr>
        <w:t xml:space="preserve">Împreună, aceste acțiuni vor crea un </w:t>
      </w:r>
      <w:r w:rsidRPr="00BC3D14">
        <w:rPr>
          <w:b/>
          <w:noProof/>
        </w:rPr>
        <w:t>cerc virtuos între inovare și cerere</w:t>
      </w:r>
      <w:r w:rsidRPr="00BC3D14">
        <w:rPr>
          <w:noProof/>
        </w:rPr>
        <w:t>: o piață unică armonizată pentru produsele sustenabile pentru construcții va oferi inovatorilor încrederea de a investi, în timp ce achizițiile ecologice și politicile industriale vor genera impulsul de piață necesar pentru stimularea producției. Prin modernizarea atât a bazei de reglementare, cât și a bazei în sectorul construcțiilor, Europa poate oferi locuințe mai accesibile ca preț, mai durabile și de înaltă calitate, într-un ritm mult mai rapid decât înainte.</w:t>
      </w:r>
    </w:p>
    <w:p w14:paraId="3A92D335" w14:textId="277775FD" w:rsidR="006B035A" w:rsidRPr="00BC3D14" w:rsidRDefault="00990398" w:rsidP="00C30C61">
      <w:pPr>
        <w:pStyle w:val="Heading2"/>
        <w:rPr>
          <w:noProof/>
        </w:rPr>
      </w:pPr>
      <w:r w:rsidRPr="00BC3D14">
        <w:rPr>
          <w:noProof/>
        </w:rPr>
        <w:t xml:space="preserve"> </w:t>
      </w:r>
      <w:bookmarkStart w:id="11" w:name="_Toc213663460"/>
      <w:r w:rsidRPr="00BC3D14">
        <w:rPr>
          <w:noProof/>
        </w:rPr>
        <w:t>Creșterea gradului de utilizare a materialelor și produselor inovatoare pentru construcții</w:t>
      </w:r>
      <w:bookmarkEnd w:id="11"/>
    </w:p>
    <w:p w14:paraId="1285F928" w14:textId="4B870832" w:rsidR="00245D0D" w:rsidRPr="00BC3D14" w:rsidRDefault="00E3153E" w:rsidP="00650B74">
      <w:pPr>
        <w:spacing w:after="120" w:line="240" w:lineRule="auto"/>
        <w:rPr>
          <w:bCs/>
          <w:noProof/>
        </w:rPr>
      </w:pPr>
      <w:r w:rsidRPr="00BC3D14">
        <w:rPr>
          <w:noProof/>
        </w:rPr>
        <w:t xml:space="preserve">Pentru a răspunde cererii tot mai mari de clădiri construite mai rapid, mai ecologice și mai accesibile ca preț, sectorul european al construcțiilor trebuie </w:t>
      </w:r>
      <w:r w:rsidRPr="00BC3D14">
        <w:rPr>
          <w:b/>
          <w:noProof/>
        </w:rPr>
        <w:t>să accelereze urgent investițiile</w:t>
      </w:r>
      <w:r w:rsidRPr="00BC3D14">
        <w:rPr>
          <w:noProof/>
        </w:rPr>
        <w:t xml:space="preserve"> în materiale, produse și tehnologii inovatoare. Acest lucru va contribui la o creștere eficientă din punctul de vedere al utilizării resurselor, eficientă din punctul de vedere al costurilor și inovatoare, asigurând în același timp o utilizare durabilă a resurselor naturale limitate.</w:t>
      </w:r>
    </w:p>
    <w:p w14:paraId="59F4CC12" w14:textId="5CB838DC" w:rsidR="00B61CB5" w:rsidRPr="00BC3D14" w:rsidRDefault="00E3153E" w:rsidP="00650B74">
      <w:pPr>
        <w:spacing w:after="120" w:line="240" w:lineRule="auto"/>
        <w:rPr>
          <w:bCs/>
          <w:noProof/>
        </w:rPr>
      </w:pPr>
      <w:r w:rsidRPr="00BC3D14">
        <w:rPr>
          <w:noProof/>
        </w:rPr>
        <w:t>Progresele rămân lente, fiind limitate de costurile ridicate de dezvoltare, de reglementările fragmentate și de finanțarea prudentă. Prin urmare, decalajul dintre nevoile actuale ale pieței și rezultatele pe care industria le poate oferi în prezent se adâncește. Acest lucru afectează în primul rând IMM-urile, din cauza capacității lor reduse de investiții în comparație cu întreprinderile mari.</w:t>
      </w:r>
    </w:p>
    <w:p w14:paraId="134E05AD" w14:textId="75E77676" w:rsidR="00650B74" w:rsidRPr="00BC3D14" w:rsidRDefault="2ABDEFAE" w:rsidP="00650B74">
      <w:pPr>
        <w:spacing w:after="120" w:line="240" w:lineRule="auto"/>
        <w:rPr>
          <w:bCs/>
          <w:noProof/>
        </w:rPr>
      </w:pPr>
      <w:r w:rsidRPr="00BC3D14">
        <w:rPr>
          <w:noProof/>
        </w:rPr>
        <w:t>Pentru a acoperi acest decalaj, Banca Europeană de Investiții a anunțat un „</w:t>
      </w:r>
      <w:r w:rsidRPr="00BC3D14">
        <w:rPr>
          <w:b/>
          <w:noProof/>
        </w:rPr>
        <w:t>pachet de împrumuturi</w:t>
      </w:r>
      <w:r w:rsidRPr="00BC3D14">
        <w:rPr>
          <w:noProof/>
        </w:rPr>
        <w:t xml:space="preserve">” în valoare de 400 de milioane EUR destinat întreprinderilor, inclusiv IMM-urilor, care va acoperi întregul lanț de valori al sectorului locuințelor, de la producătorii de materiale la firmele de construcții și producătorii de echipamente. Această inițiativă va fi implementată cu sprijinul programului InvestEU și va finanța noi tehnologii care au potențialul de a aborda costurile ridicate de construcție și dezvoltare și de a accelera completarea fondului locativ cu locuințe noi. Inițiativa va sprijini inovațiile în domeniul digitalizării, al automatizării și al aplicațiilor de IA pentru a îmbunătăți calitatea în timpul planificării și al construcției. Sfera de cuprindere va include tehnici de construcție inovatoare, soluții inovatoare pentru eficiența energetică și energia din surse regenerabile, inovații în domeniul materialelor (sticlă, ciment, beton, oțel pentru construcții, ceramică, produse din lemn etc.) și investiții în cercetare, dezvoltare și inovare ale producătorilor de echipamente, inclusiv robotică și utilaje de construcții inteligente. </w:t>
      </w:r>
    </w:p>
    <w:p w14:paraId="485B27AD" w14:textId="266BEB9A" w:rsidR="00C454AC" w:rsidRPr="00BC3D14" w:rsidRDefault="00C454AC" w:rsidP="00C454AC">
      <w:pPr>
        <w:spacing w:after="120" w:line="240" w:lineRule="auto"/>
        <w:rPr>
          <w:noProof/>
        </w:rPr>
      </w:pPr>
      <w:r w:rsidRPr="00BC3D14">
        <w:rPr>
          <w:noProof/>
        </w:rPr>
        <w:t xml:space="preserve">Pe lângă pachetul de împrumuturi al BEI, noua </w:t>
      </w:r>
      <w:r w:rsidRPr="00BC3D14">
        <w:rPr>
          <w:b/>
          <w:noProof/>
        </w:rPr>
        <w:t>platformă paneuropeană de investiții în locuințe sustenabile și la prețuri accesibile</w:t>
      </w:r>
      <w:r w:rsidRPr="00BC3D14">
        <w:rPr>
          <w:noProof/>
        </w:rPr>
        <w:t>, care cuprinde Grupul BEI, băncile naționale de promovare, BDCE, BERD și alte instituții financiare, va include o abordare bazată pe lanțul valoric, de la inovarea în domeniul construcțiilor la sfera de aplicare mai largă a dezvoltării imobiliare, maximizând investițiile publice pentru a mobiliza investiții private suplimentare. Platforma va spori vizibilitatea oportunităților de investiții în locuințe sociale, durabile și la prețuri accesibile, pentru a atrage mai mulți investitori și promotori de proiecte.</w:t>
      </w:r>
    </w:p>
    <w:p w14:paraId="2063CDFD" w14:textId="5D66944C" w:rsidR="00650B74" w:rsidRPr="00BC3D14" w:rsidRDefault="0852895D" w:rsidP="140909F9">
      <w:pPr>
        <w:spacing w:after="120" w:line="240" w:lineRule="auto"/>
        <w:rPr>
          <w:rFonts w:eastAsiaTheme="minorEastAsia" w:cs="Times New Roman"/>
          <w:noProof/>
        </w:rPr>
      </w:pPr>
      <w:r w:rsidRPr="00BC3D14">
        <w:rPr>
          <w:noProof/>
        </w:rPr>
        <w:t xml:space="preserve">Deblocarea investițiilor private necesită, de asemenea, </w:t>
      </w:r>
      <w:r w:rsidRPr="00BC3D14">
        <w:rPr>
          <w:b/>
          <w:noProof/>
        </w:rPr>
        <w:t>eliminarea barierelor de reglementare</w:t>
      </w:r>
      <w:r w:rsidRPr="00BC3D14">
        <w:rPr>
          <w:noProof/>
        </w:rPr>
        <w:t xml:space="preserve"> care împiedică în prezent extinderea noilor tehnologii la nivel transfrontalier. Pentru a aborda acest aspect, Comisia va lansa, în cadrul </w:t>
      </w:r>
      <w:r w:rsidRPr="00BC3D14">
        <w:rPr>
          <w:b/>
          <w:noProof/>
        </w:rPr>
        <w:t>instrumentului de coordonare a competitivității</w:t>
      </w:r>
      <w:r w:rsidRPr="00BC3D14">
        <w:rPr>
          <w:noProof/>
        </w:rPr>
        <w:t xml:space="preserve">, un proiect-pilot axat pe construcția în afara amplasamentului și pe construcția modulară. Proiectul-pilot va viza promovarea proiectelor multinaționale transfrontaliere și abordarea fragmentării în materie de reglementare care împiedică soluțiile de construcție în afara amplasamentului și de construcție modulară să câștige o amploare suficientă. </w:t>
      </w:r>
    </w:p>
    <w:p w14:paraId="145E4DA4" w14:textId="5DC34DE9" w:rsidR="00650B74" w:rsidRPr="00BC3D14" w:rsidRDefault="00650B74" w:rsidP="00650B74">
      <w:pPr>
        <w:spacing w:after="120" w:line="240" w:lineRule="auto"/>
        <w:rPr>
          <w:bCs/>
          <w:noProof/>
        </w:rPr>
      </w:pPr>
      <w:r w:rsidRPr="00BC3D14">
        <w:rPr>
          <w:noProof/>
        </w:rPr>
        <w:t>Acesta va ajuta statele membre participante să își alinieze cadrele de reglementare, facilitând astfel libera circulație a produselor și componentelor pentru construcții în afara amplasamentului în cadrul pieței unice. În același timp, instrumentului de coordonare a competitivității va oferi sprijin financiar specific pentru a consolida lanțurile de aprovizionare și a stimula capacitatea industrială. În ceea ce privește cererea, acesta va introduce măsuri complementare pentru ca soluțiile inovatoare în domeniul construcțiilor să devină mai atractive și mai competitive pe piețele publice și private, contribuind, de asemenea, la asigurarea de locuințe la prețuri accesibile în întreaga UE într-un ritm mai susținut și la costuri competitive.</w:t>
      </w:r>
    </w:p>
    <w:p w14:paraId="2D677385" w14:textId="2D2B4564" w:rsidR="00096A16" w:rsidRPr="00BC3D14" w:rsidRDefault="218CB832" w:rsidP="00650B74">
      <w:pPr>
        <w:spacing w:after="120" w:line="240" w:lineRule="auto"/>
        <w:rPr>
          <w:bCs/>
          <w:noProof/>
        </w:rPr>
      </w:pPr>
      <w:r w:rsidRPr="00BC3D14">
        <w:rPr>
          <w:b/>
          <w:noProof/>
        </w:rPr>
        <w:t>Programele existente ale UE</w:t>
      </w:r>
      <w:r w:rsidRPr="00BC3D14">
        <w:rPr>
          <w:noProof/>
        </w:rPr>
        <w:t xml:space="preserve"> vor continua să îndeplinească un rol esențial în accelerarea inovării în sectorul construcțiilor. </w:t>
      </w:r>
      <w:r w:rsidRPr="00BC3D14">
        <w:rPr>
          <w:b/>
          <w:noProof/>
        </w:rPr>
        <w:t>Noul Bauhaus european</w:t>
      </w:r>
      <w:r w:rsidRPr="00BC3D14">
        <w:rPr>
          <w:rStyle w:val="FootnoteReference"/>
          <w:rFonts w:eastAsia="Times New Roman" w:cs="Times New Roman"/>
          <w:b/>
          <w:bCs/>
          <w:noProof/>
        </w:rPr>
        <w:footnoteReference w:id="48"/>
      </w:r>
      <w:r w:rsidRPr="00BC3D14">
        <w:rPr>
          <w:b/>
          <w:noProof/>
        </w:rPr>
        <w:t xml:space="preserve"> </w:t>
      </w:r>
      <w:r w:rsidRPr="00BC3D14">
        <w:rPr>
          <w:noProof/>
        </w:rPr>
        <w:t>va continua să sprijine, prin politici, cunoștințe și finanțare, asigurarea de locuințe de înaltă calitate, durabile și la prețuri accesibile, permițând inovarea și oferind sprijin specific ecosistemului construcțiilor pentru a implementa soluții integrate și favorabile incluziunii.</w:t>
      </w:r>
      <w:r w:rsidR="00BC3D14">
        <w:rPr>
          <w:noProof/>
        </w:rPr>
        <w:t xml:space="preserve"> </w:t>
      </w:r>
      <w:r w:rsidRPr="00BC3D14">
        <w:rPr>
          <w:noProof/>
        </w:rPr>
        <w:t xml:space="preserve">În paralel, programul </w:t>
      </w:r>
      <w:r w:rsidRPr="00BC3D14">
        <w:rPr>
          <w:b/>
          <w:noProof/>
        </w:rPr>
        <w:t>Orizont Europa</w:t>
      </w:r>
      <w:r w:rsidRPr="00BC3D14">
        <w:rPr>
          <w:noProof/>
        </w:rPr>
        <w:t xml:space="preserve"> (prin intermediul mecanismului noului Bauhaus european și al parteneriatului Built4People) va continua să finanțeze proiecte de cercetare, dezvoltare și demonstrare axate pe materiale avansate, pe construcții circulare și pe transformarea digitală. Aceste instrumente vor contribui la aducerea inovațiilor din laborator la implementarea pe scară largă, consolidând poziția de lider a Europei în domeniul construcțiilor durabile. </w:t>
      </w:r>
    </w:p>
    <w:p w14:paraId="515DEA35" w14:textId="446C29FD" w:rsidR="005F0BA5" w:rsidRPr="00BC3D14" w:rsidRDefault="00096A16" w:rsidP="00650B74">
      <w:pPr>
        <w:spacing w:after="120" w:line="240" w:lineRule="auto"/>
        <w:rPr>
          <w:bCs/>
          <w:noProof/>
        </w:rPr>
      </w:pPr>
      <w:r w:rsidRPr="00BC3D14">
        <w:rPr>
          <w:noProof/>
          <w:lang w:val="en-GB" w:eastAsia="en-GB"/>
        </w:rPr>
        <mc:AlternateContent>
          <mc:Choice Requires="wps">
            <w:drawing>
              <wp:anchor distT="0" distB="0" distL="114300" distR="114300" simplePos="0" relativeHeight="251658246" behindDoc="1" locked="0" layoutInCell="1" allowOverlap="1" wp14:anchorId="28F08BB6" wp14:editId="1D1A214D">
                <wp:simplePos x="0" y="0"/>
                <wp:positionH relativeFrom="margin">
                  <wp:align>left</wp:align>
                </wp:positionH>
                <wp:positionV relativeFrom="paragraph">
                  <wp:posOffset>1408430</wp:posOffset>
                </wp:positionV>
                <wp:extent cx="6109970" cy="3181350"/>
                <wp:effectExtent l="0" t="0" r="24130" b="19050"/>
                <wp:wrapTight wrapText="bothSides">
                  <wp:wrapPolygon edited="0">
                    <wp:start x="0" y="0"/>
                    <wp:lineTo x="0" y="21600"/>
                    <wp:lineTo x="21618" y="21600"/>
                    <wp:lineTo x="21618" y="0"/>
                    <wp:lineTo x="0" y="0"/>
                  </wp:wrapPolygon>
                </wp:wrapTight>
                <wp:docPr id="1623046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970" cy="3181350"/>
                        </a:xfrm>
                        <a:prstGeom prst="rect">
                          <a:avLst/>
                        </a:prstGeom>
                        <a:solidFill>
                          <a:srgbClr val="FFFFFF"/>
                        </a:solidFill>
                        <a:ln w="9525">
                          <a:solidFill>
                            <a:srgbClr val="000000"/>
                          </a:solidFill>
                          <a:miter lim="800000"/>
                          <a:headEnd/>
                          <a:tailEnd/>
                        </a:ln>
                      </wps:spPr>
                      <wps:txbx>
                        <w:txbxContent>
                          <w:p w14:paraId="18D7DB3F" w14:textId="1C5A2122" w:rsidR="00975D7E" w:rsidRPr="00BC3D14" w:rsidRDefault="00975D7E" w:rsidP="00975D7E">
                            <w:pPr>
                              <w:rPr>
                                <w:b/>
                                <w:bCs/>
                              </w:rPr>
                            </w:pPr>
                            <w:r w:rsidRPr="00BC3D14">
                              <w:rPr>
                                <w:b/>
                              </w:rPr>
                              <w:t>Acțiunea 4 – Valorificarea instrumentelor financiare pentru a spori utilizarea materialelor, a produselor și a tehnologiilor inovatoare pentru construcții</w:t>
                            </w:r>
                          </w:p>
                          <w:p w14:paraId="2C02C426" w14:textId="3D6D72DA" w:rsidR="00975D7E" w:rsidRPr="00BC3D14" w:rsidRDefault="00975D7E" w:rsidP="00975D7E">
                            <w:r w:rsidRPr="00BC3D14">
                              <w:t xml:space="preserve">- </w:t>
                            </w:r>
                            <w:r w:rsidRPr="00BC3D14">
                              <w:rPr>
                                <w:b/>
                              </w:rPr>
                              <w:t xml:space="preserve">BEI a instituit recent un nou pachet de împrumuturi </w:t>
                            </w:r>
                            <w:r w:rsidRPr="00BC3D14">
                              <w:t xml:space="preserve">în valoare de 400 de milioane EUR, cu implicarea InvestEU, destinat investițiilor în noi tehnologii care au potențialul de a aborda costurile ridicate de construcție și dezvoltare și de a accelera completarea fondului locativ cu locuințe noi. </w:t>
                            </w:r>
                          </w:p>
                          <w:p w14:paraId="012BB6FE" w14:textId="65E11D69" w:rsidR="00975D7E" w:rsidRPr="00BC3D14" w:rsidRDefault="00975D7E" w:rsidP="00975D7E">
                            <w:r w:rsidRPr="00BC3D14">
                              <w:t xml:space="preserve">- Comisia va lansa un </w:t>
                            </w:r>
                            <w:r w:rsidRPr="00BC3D14">
                              <w:rPr>
                                <w:b/>
                              </w:rPr>
                              <w:t xml:space="preserve">proiect-pilot privind construcțiile în afara amplasamentului în cadrul instrumentului de coordonare a competitivității, </w:t>
                            </w:r>
                            <w:r w:rsidRPr="00BC3D14">
                              <w:t xml:space="preserve">cu scopul de a elimina obstacolele de reglementare și de a crea o piață paneuropeană reală pentru acest sector, pentru a-l ajuta să atingă dimensiunea necesară în vederea unui răspuns mai rapid la obiectivele urgente în materie de construcții. În cursul anului 2026, Comisia va conduce eforturile de dezvoltare a acestui proiect privind instrumentul de coordonare a competitivității împreună cu statele membre. </w:t>
                            </w:r>
                          </w:p>
                          <w:p w14:paraId="0201100F" w14:textId="0E7C42B2" w:rsidR="00975D7E" w:rsidRPr="00BC3D14" w:rsidRDefault="00975D7E" w:rsidP="005316E4">
                            <w:r w:rsidRPr="00BC3D14">
                              <w:t>- Comisia va continua</w:t>
                            </w:r>
                            <w:r w:rsidRPr="00BC3D14">
                              <w:rPr>
                                <w:b/>
                              </w:rPr>
                              <w:t xml:space="preserve"> să finanțeze cercetarea și introducerea unor soluții inovatoare de calitate </w:t>
                            </w:r>
                            <w:r w:rsidRPr="00BC3D14">
                              <w:t>și să disemineze bunele practici în cadrul noului Bauhaus european</w:t>
                            </w:r>
                            <w:r w:rsidR="00784EC5">
                              <w:t>.</w:t>
                            </w:r>
                          </w:p>
                          <w:p w14:paraId="7DD1BDE6" w14:textId="77777777" w:rsidR="00975D7E" w:rsidRPr="00BC3D14" w:rsidRDefault="00975D7E" w:rsidP="00975D7E">
                            <w:pPr>
                              <w:rPr>
                                <w:rFonts w:eastAsia="Times New Roman" w:cs="Times New Roman"/>
                                <w:szCs w:val="24"/>
                              </w:rPr>
                            </w:pPr>
                            <w:r w:rsidRPr="00BC3D14">
                              <w:t xml:space="preserve">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8F08BB6" id="_x0000_s1029" type="#_x0000_t202" style="position:absolute;left:0;text-align:left;margin-left:0;margin-top:110.9pt;width:481.1pt;height:250.5pt;z-index:-25165823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">
                <v:textbox>
                  <w:txbxContent>
                    <w:p w14:paraId="18D7DB3F" w14:textId="1C5A2122" w:rsidR="00975D7E" w:rsidRPr="00BC3D14" w:rsidRDefault="00975D7E" w:rsidP="00975D7E">
                      <w:pPr>
                        <w:rPr>
                          <w:b/>
                          <w:bCs/>
                        </w:rPr>
                      </w:pPr>
                      <w:r w:rsidRPr="00BC3D14">
                        <w:rPr>
                          <w:b/>
                        </w:rPr>
                        <w:t>Acțiunea 4 – Valorificarea instrumentelor financiare pentru a spori utilizarea materialelor, a produselor și a tehnologiilor inovatoare pentru construcții</w:t>
                      </w:r>
                    </w:p>
                    <w:p w14:paraId="2C02C426" w14:textId="3D6D72DA" w:rsidR="00975D7E" w:rsidRPr="00BC3D14" w:rsidRDefault="00975D7E" w:rsidP="00975D7E">
                      <w:r w:rsidRPr="00BC3D14">
                        <w:t xml:space="preserve">- </w:t>
                      </w:r>
                      <w:r w:rsidRPr="00BC3D14">
                        <w:rPr>
                          <w:b/>
                        </w:rPr>
                        <w:t xml:space="preserve">BEI a instituit recent un nou pachet de împrumuturi </w:t>
                      </w:r>
                      <w:r w:rsidRPr="00BC3D14">
                        <w:t xml:space="preserve">în valoare de 400 de milioane EUR, cu implicarea InvestEU, destinat investițiilor în noi tehnologii care au potențialul de a aborda costurile ridicate de construcție și dezvoltare și de a accelera completarea fondului locativ cu locuințe noi. </w:t>
                      </w:r>
                    </w:p>
                    <w:p w14:paraId="012BB6FE" w14:textId="65E11D69" w:rsidR="00975D7E" w:rsidRPr="00BC3D14" w:rsidRDefault="00975D7E" w:rsidP="00975D7E">
                      <w:r w:rsidRPr="00BC3D14">
                        <w:t xml:space="preserve">- Comisia va lansa un </w:t>
                      </w:r>
                      <w:r w:rsidRPr="00BC3D14">
                        <w:rPr>
                          <w:b/>
                        </w:rPr>
                        <w:t xml:space="preserve">proiect-pilot privind construcțiile în afara amplasamentului în cadrul instrumentului de coordonare a competitivității, </w:t>
                      </w:r>
                      <w:r w:rsidRPr="00BC3D14">
                        <w:t xml:space="preserve">cu scopul de a elimina obstacolele de reglementare și de a crea o piață paneuropeană reală pentru acest sector, pentru a-l ajuta să atingă dimensiunea necesară în vederea unui răspuns mai rapid la obiectivele urgente în materie de construcții. În cursul anului 2026, Comisia va conduce eforturile de dezvoltare a acestui proiect privind instrumentul de coordonare a competitivității împreună cu statele membre. </w:t>
                      </w:r>
                    </w:p>
                    <w:p w14:paraId="0201100F" w14:textId="0E7C42B2" w:rsidR="00975D7E" w:rsidRPr="00BC3D14" w:rsidRDefault="00975D7E" w:rsidP="005316E4">
                      <w:r w:rsidRPr="00BC3D14">
                        <w:t>- Comisia va continua</w:t>
                      </w:r>
                      <w:r w:rsidRPr="00BC3D14">
                        <w:rPr>
                          <w:b/>
                        </w:rPr>
                        <w:t xml:space="preserve"> să finanțeze cercetarea și introducerea unor soluții inovatoare de calitate </w:t>
                      </w:r>
                      <w:r w:rsidRPr="00BC3D14">
                        <w:t>și să disemineze bunele practici în cadrul noului Bauhaus european</w:t>
                      </w:r>
                      <w:r w:rsidR="00784EC5">
                        <w:t>.</w:t>
                      </w:r>
                    </w:p>
                    <w:p w14:paraId="7DD1BDE6" w14:textId="77777777" w:rsidR="00975D7E" w:rsidRPr="00BC3D14" w:rsidRDefault="00975D7E" w:rsidP="00975D7E">
                      <w:pPr>
                        <w:rPr>
                          <w:rFonts w:eastAsia="Times New Roman" w:cs="Times New Roman"/>
                          <w:szCs w:val="24"/>
                        </w:rPr>
                      </w:pPr>
                      <w:r w:rsidRPr="00BC3D14">
                        <w:t xml:space="preserve"> </w:t>
                      </w:r>
                    </w:p>
                  </w:txbxContent>
                </v:textbox>
                <w10:wrap type="tight" anchorx="margin"/>
              </v:shape>
            </w:pict>
          </mc:Fallback>
        </mc:AlternateContent>
      </w:r>
      <w:r w:rsidRPr="00BC3D14">
        <w:rPr>
          <w:noProof/>
        </w:rPr>
        <w:t>În cele din urmă, politica de coeziune poate avea, de asemenea, un rol în accelerarea implementării materialelor și produselor inovatoare pentru construcții prin sprijinirea investițiilor specifice în ecosistemele regionale de inovare și prin facilitarea adoptării de soluții de vârf. Împreună, aceste măsuri vor stimula atât cererea, cât și oferta de soluții inovatoare în domeniul construcțiilor, permițând Europei să construiască mai rapid, mai inteligent și mai durabil, creând în același timp noi oportunități pentru întreprinderi și lucrători de-a lungul întregului lanț valoric al sectorului construcțiilor.</w:t>
      </w:r>
    </w:p>
    <w:p w14:paraId="124F5BA8" w14:textId="0C9E46CB" w:rsidR="00EC10A0" w:rsidRPr="00BC3D14" w:rsidRDefault="009F4B18" w:rsidP="00EC10A0">
      <w:pPr>
        <w:pStyle w:val="Heading1"/>
        <w:rPr>
          <w:rStyle w:val="Heading1Char"/>
          <w:noProof/>
          <w:sz w:val="36"/>
          <w:szCs w:val="36"/>
        </w:rPr>
      </w:pPr>
      <w:bookmarkStart w:id="12" w:name="_Toc213663461"/>
      <w:r w:rsidRPr="00BC3D14">
        <w:rPr>
          <w:rStyle w:val="Heading1Char"/>
          <w:noProof/>
          <w:sz w:val="36"/>
        </w:rPr>
        <w:t>Asigurarea unui acces stabil la materialele de construcție</w:t>
      </w:r>
      <w:bookmarkEnd w:id="12"/>
    </w:p>
    <w:p w14:paraId="66275AF4" w14:textId="77CAD6F5" w:rsidR="003B35DA" w:rsidRPr="00BC3D14" w:rsidRDefault="003B35DA" w:rsidP="00EF55AF">
      <w:pPr>
        <w:spacing w:before="120" w:after="120" w:line="240" w:lineRule="auto"/>
        <w:jc w:val="left"/>
        <w:rPr>
          <w:rFonts w:cs="Times New Roman"/>
          <w:noProof/>
        </w:rPr>
      </w:pPr>
      <w:r w:rsidRPr="00BC3D14">
        <w:rPr>
          <w:i/>
          <w:noProof/>
        </w:rPr>
        <w:t>Creșterea costurilor materialelor și barierele în calea utilizării materialelor secundare</w:t>
      </w:r>
    </w:p>
    <w:p w14:paraId="4E301382" w14:textId="532E968B" w:rsidR="009F4B18" w:rsidRPr="00BC3D14" w:rsidRDefault="00E136EC" w:rsidP="009F4B18">
      <w:pPr>
        <w:spacing w:after="120" w:line="240" w:lineRule="auto"/>
        <w:rPr>
          <w:rFonts w:cs="Times New Roman"/>
          <w:noProof/>
        </w:rPr>
      </w:pPr>
      <w:r w:rsidRPr="00BC3D14">
        <w:rPr>
          <w:noProof/>
        </w:rPr>
        <w:t xml:space="preserve">Sectorul construcțiilor din Europa se confruntă cu o presiune tot mai mare din cauza </w:t>
      </w:r>
      <w:r w:rsidRPr="00BC3D14">
        <w:rPr>
          <w:b/>
          <w:noProof/>
        </w:rPr>
        <w:t>volatilității aprovizionării cu materii prime, a creșterii costurilor și a accesului fragmentat la materiale secundare</w:t>
      </w:r>
      <w:r w:rsidRPr="00BC3D14">
        <w:rPr>
          <w:noProof/>
        </w:rPr>
        <w:t>. Prețurile principalelor produse pentru construcții au crescut dramatic între 2020 și 2024, de exemplu cu 28 % pentru beton și cu 45 % pentru ceramică, cum ar fi cărămida și țigla pentru acoperișuri</w:t>
      </w:r>
      <w:r w:rsidRPr="00BC3D14">
        <w:rPr>
          <w:rStyle w:val="FootnoteReference"/>
          <w:rFonts w:cs="Times New Roman"/>
          <w:noProof/>
        </w:rPr>
        <w:footnoteReference w:id="49"/>
      </w:r>
      <w:r w:rsidRPr="00BC3D14">
        <w:rPr>
          <w:noProof/>
        </w:rPr>
        <w:t>. Întrucât costurile materialelor reprezintă 30-40 % din totalul costurilor de construcție a locuințelor, aceste tendințe determină în mod direct creșterea prețurilor locuințelor și fac ca planificarea construcțiilor să fie imprevizibilă. Perturbările lanțului de aprovizionare, penuria de factori de producție critici și lipsa unor informații cuprinzătoare privind disponibilitatea materialelor amplifică și mai mult problema, ceea ce îngreunează anticiparea de către dezvoltatori a deficitelor sau a creșterilor bruște ale prețurilor.</w:t>
      </w:r>
      <w:r w:rsidRPr="00BC3D14">
        <w:rPr>
          <w:rStyle w:val="FootnoteReference"/>
          <w:noProof/>
        </w:rPr>
        <w:t xml:space="preserve"> </w:t>
      </w:r>
      <w:r w:rsidRPr="00BC3D14">
        <w:rPr>
          <w:rStyle w:val="FootnoteReference"/>
          <w:rFonts w:cs="Times New Roman"/>
          <w:noProof/>
        </w:rPr>
        <w:footnoteReference w:id="50"/>
      </w:r>
    </w:p>
    <w:p w14:paraId="4DBE4664" w14:textId="0DD51300" w:rsidR="00475A3B" w:rsidRPr="00BC3D14" w:rsidRDefault="00E136EC" w:rsidP="00EF55AF">
      <w:pPr>
        <w:spacing w:after="120" w:line="240" w:lineRule="auto"/>
        <w:rPr>
          <w:rFonts w:cs="Times New Roman"/>
          <w:i/>
          <w:iCs/>
          <w:noProof/>
        </w:rPr>
      </w:pPr>
      <w:r w:rsidRPr="00BC3D14">
        <w:rPr>
          <w:b/>
          <w:noProof/>
        </w:rPr>
        <w:t>Provocarea se extinde la materialele secundare</w:t>
      </w:r>
      <w:r w:rsidRPr="00BC3D14">
        <w:rPr>
          <w:noProof/>
        </w:rPr>
        <w:t>: mai multe acte legislative, cum ar fi noul RPC, Directiva privind performanța energetică a clădirilor</w:t>
      </w:r>
      <w:r w:rsidRPr="00BC3D14">
        <w:rPr>
          <w:rStyle w:val="FootnoteReference"/>
          <w:rFonts w:cs="Times New Roman"/>
          <w:noProof/>
        </w:rPr>
        <w:footnoteReference w:id="51"/>
      </w:r>
      <w:r w:rsidRPr="00BC3D14">
        <w:rPr>
          <w:noProof/>
        </w:rPr>
        <w:t xml:space="preserve"> (EPBD) și alte acte legislative axate pe climă</w:t>
      </w:r>
      <w:r w:rsidRPr="00BC3D14">
        <w:rPr>
          <w:rStyle w:val="FootnoteReference"/>
          <w:rFonts w:cs="Times New Roman"/>
          <w:noProof/>
        </w:rPr>
        <w:footnoteReference w:id="52"/>
      </w:r>
      <w:r w:rsidRPr="00BC3D14">
        <w:rPr>
          <w:noProof/>
        </w:rPr>
        <w:t>, încurajează producția și utilizarea de produse reciclate sau cu emisii scăzute de dioxid de carbon. În special, potențialul de încălzire globală pe durata ciclului de viață al clădirilor noi va fi calculat pe baza unui cadru al UE</w:t>
      </w:r>
      <w:r w:rsidRPr="00BC3D14">
        <w:rPr>
          <w:rStyle w:val="FootnoteReference"/>
          <w:rFonts w:cs="Times New Roman"/>
          <w:noProof/>
        </w:rPr>
        <w:footnoteReference w:id="53"/>
      </w:r>
      <w:r w:rsidRPr="00BC3D14">
        <w:rPr>
          <w:noProof/>
        </w:rPr>
        <w:t>, pornind de la datele prevăzute în RPC, ceea ce va consolida cererea de produse pentru construcții durabile. În pofida creșterii stimulentelor economice, gradul de utilizare rămâne limitat: doar 0,7 % din deșeurile din construcții și demolări sunt pregătite pentru reutilizare, iar ratele de reciclare rămân scăzute pentru materialele esențiale, de exemplu, 10 % pentru ipsos și 6 % pentru sticlă</w:t>
      </w:r>
      <w:r w:rsidRPr="00BC3D14">
        <w:rPr>
          <w:rStyle w:val="FootnoteReference"/>
          <w:rFonts w:cs="Times New Roman"/>
          <w:noProof/>
        </w:rPr>
        <w:footnoteReference w:id="54"/>
      </w:r>
      <w:r w:rsidRPr="00BC3D14">
        <w:rPr>
          <w:noProof/>
        </w:rPr>
        <w:t xml:space="preserve">. Două dintre principalele obstacole sunt reprezentate de </w:t>
      </w:r>
      <w:r w:rsidRPr="00BC3D14">
        <w:rPr>
          <w:b/>
          <w:noProof/>
        </w:rPr>
        <w:t>informațiile insuficiente</w:t>
      </w:r>
      <w:r w:rsidRPr="00BC3D14">
        <w:rPr>
          <w:noProof/>
        </w:rPr>
        <w:t xml:space="preserve"> privind materialele eliberate pe șantierele de demolare de pe piețele europene, care împiedică dezvoltarea unor piețe secundare solide, și de </w:t>
      </w:r>
      <w:r w:rsidRPr="00BC3D14">
        <w:rPr>
          <w:b/>
          <w:noProof/>
        </w:rPr>
        <w:t>criteriile de stabilire a încetării statutului de deșeu</w:t>
      </w:r>
      <w:r w:rsidRPr="00BC3D14">
        <w:rPr>
          <w:rStyle w:val="FootnoteReference"/>
          <w:rFonts w:cs="Times New Roman"/>
          <w:b/>
          <w:bCs/>
          <w:noProof/>
        </w:rPr>
        <w:footnoteReference w:id="55"/>
      </w:r>
      <w:r w:rsidRPr="00BC3D14">
        <w:rPr>
          <w:b/>
          <w:noProof/>
        </w:rPr>
        <w:t xml:space="preserve"> fragmentate sau lipsă,</w:t>
      </w:r>
      <w:r w:rsidRPr="00BC3D14">
        <w:rPr>
          <w:noProof/>
        </w:rPr>
        <w:t xml:space="preserve"> care creează obstacole administrative care blochează circulația transfrontalieră a materialelor secundare.</w:t>
      </w:r>
    </w:p>
    <w:p w14:paraId="7703F35E" w14:textId="3D522644" w:rsidR="00475A3B" w:rsidRPr="00BC3D14" w:rsidRDefault="003D5B69" w:rsidP="00EF55AF">
      <w:pPr>
        <w:spacing w:before="120" w:after="120" w:line="240" w:lineRule="auto"/>
        <w:jc w:val="left"/>
        <w:rPr>
          <w:rFonts w:cs="Times New Roman"/>
          <w:i/>
          <w:iCs/>
          <w:noProof/>
        </w:rPr>
      </w:pPr>
      <w:r w:rsidRPr="00BC3D14">
        <w:rPr>
          <w:i/>
          <w:noProof/>
        </w:rPr>
        <w:t>Măsuri de consolidare a disponibilității materialelor primare și secundare</w:t>
      </w:r>
    </w:p>
    <w:p w14:paraId="4B7EA840" w14:textId="515329EE" w:rsidR="002868FF" w:rsidRPr="00BC3D14" w:rsidRDefault="00E136EC" w:rsidP="002868FF">
      <w:pPr>
        <w:spacing w:line="240" w:lineRule="auto"/>
        <w:rPr>
          <w:rFonts w:cs="Times New Roman"/>
          <w:noProof/>
        </w:rPr>
      </w:pPr>
      <w:r w:rsidRPr="00BC3D14">
        <w:rPr>
          <w:b/>
          <w:noProof/>
        </w:rPr>
        <w:t>Asigurarea unui acces stabil la materiale de construcție primare</w:t>
      </w:r>
      <w:r w:rsidRPr="00BC3D14">
        <w:rPr>
          <w:noProof/>
        </w:rPr>
        <w:t xml:space="preserve"> este esențială pentru a răspunde cererii tot mai mari de locuințe și ambițiilor UE în materie de climă. Comisia răspunde printr-o abordare pe mai multe niveluri. Inițiativele existente, inclusiv Regulamentul privind materiile prime critice</w:t>
      </w:r>
      <w:r w:rsidRPr="00BC3D14">
        <w:rPr>
          <w:rStyle w:val="FootnoteReference"/>
          <w:noProof/>
        </w:rPr>
        <w:footnoteReference w:id="56"/>
      </w:r>
      <w:r w:rsidRPr="00BC3D14">
        <w:rPr>
          <w:noProof/>
        </w:rPr>
        <w:t>, Planul de acțiune pentru energie la prețuri accesibile</w:t>
      </w:r>
      <w:r w:rsidRPr="00BC3D14">
        <w:rPr>
          <w:rStyle w:val="FootnoteReference"/>
          <w:noProof/>
        </w:rPr>
        <w:footnoteReference w:id="57"/>
      </w:r>
      <w:r w:rsidRPr="00BC3D14">
        <w:rPr>
          <w:noProof/>
        </w:rPr>
        <w:t>, Planul de acțiune european privind oțelul și metalele</w:t>
      </w:r>
      <w:r w:rsidRPr="00BC3D14">
        <w:rPr>
          <w:rStyle w:val="FootnoteReference"/>
          <w:noProof/>
        </w:rPr>
        <w:footnoteReference w:id="58"/>
      </w:r>
      <w:r w:rsidRPr="00BC3D14">
        <w:rPr>
          <w:noProof/>
        </w:rPr>
        <w:t xml:space="preserve"> și Planul de acțiune ReSourceEU</w:t>
      </w:r>
      <w:r w:rsidRPr="00BC3D14">
        <w:rPr>
          <w:rStyle w:val="FootnoteReference"/>
          <w:noProof/>
        </w:rPr>
        <w:footnoteReference w:id="59"/>
      </w:r>
      <w:r w:rsidRPr="00BC3D14">
        <w:rPr>
          <w:noProof/>
        </w:rPr>
        <w:t xml:space="preserve">, vizează reducerea costurilor de producție și îmbunătățirea previzibilității materialelor de construcție. </w:t>
      </w:r>
    </w:p>
    <w:p w14:paraId="71C3FB70" w14:textId="6917C952" w:rsidR="00FA2145" w:rsidRPr="00BC3D14" w:rsidRDefault="4C81FFEF" w:rsidP="002868FF">
      <w:pPr>
        <w:spacing w:line="240" w:lineRule="auto"/>
        <w:rPr>
          <w:noProof/>
        </w:rPr>
      </w:pPr>
      <w:r w:rsidRPr="00BC3D14">
        <w:rPr>
          <w:noProof/>
        </w:rPr>
        <w:t>În ultimii 15 ani, cartografierea și urmărirea materiilor prime critice pentru sectoarele strategice ale UE au permis anticiparea deficitelor și luarea de măsuri pentru a atenua riscurile de întreruperi ale aprovizionării</w:t>
      </w:r>
      <w:r w:rsidRPr="00BC3D14">
        <w:rPr>
          <w:rStyle w:val="FootnoteReference"/>
          <w:noProof/>
        </w:rPr>
        <w:footnoteReference w:id="60"/>
      </w:r>
      <w:r w:rsidRPr="00BC3D14">
        <w:rPr>
          <w:noProof/>
        </w:rPr>
        <w:t>. Mai multe dintre aceste materiale, inclusiv feldspatul, borul, agregatele, ghipsul, nisipul silicios, calcarul și perlitul, sunt deosebit de relevante pentru construcții. Prin intermediul Observatorului european al construcțiilor</w:t>
      </w:r>
      <w:r w:rsidRPr="00BC3D14">
        <w:rPr>
          <w:rStyle w:val="FootnoteReference"/>
          <w:noProof/>
        </w:rPr>
        <w:footnoteReference w:id="61"/>
      </w:r>
      <w:r w:rsidRPr="00BC3D14">
        <w:rPr>
          <w:noProof/>
        </w:rPr>
        <w:t xml:space="preserve">, Comisia va urmări aceste materiale și produse, precum și alte materiale și produse relevante – cum ar fi oțelul – în mod mai detaliat și </w:t>
      </w:r>
      <w:r w:rsidRPr="00BC3D14">
        <w:rPr>
          <w:b/>
          <w:noProof/>
        </w:rPr>
        <w:t xml:space="preserve">va raporta cu privire la disponibilitatea și </w:t>
      </w:r>
      <w:r w:rsidRPr="00BC3D14">
        <w:rPr>
          <w:noProof/>
        </w:rPr>
        <w:t>prețul acestora</w:t>
      </w:r>
      <w:r w:rsidRPr="00BC3D14">
        <w:rPr>
          <w:rStyle w:val="FootnoteReference"/>
          <w:b/>
          <w:bCs/>
          <w:noProof/>
        </w:rPr>
        <w:footnoteReference w:id="62"/>
      </w:r>
      <w:r w:rsidRPr="00BC3D14">
        <w:rPr>
          <w:noProof/>
        </w:rPr>
        <w:t xml:space="preserve">. </w:t>
      </w:r>
    </w:p>
    <w:p w14:paraId="50DDE0C7" w14:textId="763B6EEC" w:rsidR="00BA3FCC" w:rsidRPr="00BC3D14" w:rsidRDefault="008677B0" w:rsidP="002868FF">
      <w:pPr>
        <w:spacing w:line="240" w:lineRule="auto"/>
        <w:rPr>
          <w:rFonts w:cs="Times New Roman"/>
          <w:noProof/>
        </w:rPr>
      </w:pPr>
      <w:r w:rsidRPr="00BC3D14">
        <w:rPr>
          <w:noProof/>
        </w:rPr>
        <w:t xml:space="preserve">În ceea ce privește materialele secundare, Comisia depune eforturi </w:t>
      </w:r>
      <w:r w:rsidRPr="00BC3D14">
        <w:rPr>
          <w:b/>
          <w:noProof/>
        </w:rPr>
        <w:t>pentru a crea o piață unică funcțională pentru produsele reutilizate și reciclate</w:t>
      </w:r>
      <w:r w:rsidRPr="00BC3D14">
        <w:rPr>
          <w:noProof/>
        </w:rPr>
        <w:t>. Criteriile armonizate de stabilire a încetării statutului de deșeu vor transforma materialele din deșeuri în produse valoroase, facilitând comerțul transfrontalier și permițând utilizarea acestora atât în construcții noi, cât și în renovări. Centrul Comun de Cercetare elaborează în prezent criterii de stabilire a încetării statutului de deșeu pentru agregatele provenite din deșeurile de la construcții și demolări. În plus, actul legislativ privind economia circulară va aborda fragmentarea criteriilor de încetare a statutului de deșeu, facilitând utilizarea materialelor secundare și în produsele pentru construcții.</w:t>
      </w:r>
    </w:p>
    <w:p w14:paraId="79F14EBC" w14:textId="738BF822" w:rsidR="00475A3B" w:rsidRPr="00BC3D14" w:rsidRDefault="0CB5FC95" w:rsidP="002868FF">
      <w:pPr>
        <w:spacing w:line="240" w:lineRule="auto"/>
        <w:rPr>
          <w:rFonts w:eastAsia="Times New Roman" w:cs="Times New Roman"/>
          <w:noProof/>
        </w:rPr>
      </w:pPr>
      <w:r w:rsidRPr="00BC3D14">
        <w:rPr>
          <w:noProof/>
        </w:rPr>
        <w:t>Statele membre au obligația, în temeiul Directivei-cadru privind deșeurile</w:t>
      </w:r>
      <w:r w:rsidRPr="00BC3D14">
        <w:rPr>
          <w:rStyle w:val="FootnoteReference"/>
          <w:rFonts w:cs="Times New Roman"/>
          <w:noProof/>
        </w:rPr>
        <w:footnoteReference w:id="63"/>
      </w:r>
      <w:r w:rsidRPr="00BC3D14">
        <w:rPr>
          <w:noProof/>
        </w:rPr>
        <w:t xml:space="preserve">, de a promova reutilizarea deșeurilor de la construcții și demolări. În acest scop, multe state membre au pus deja în aplicare audituri obligatorii în etapele anterioare demolării și renovării, </w:t>
      </w:r>
      <w:r w:rsidRPr="00BC3D14">
        <w:rPr>
          <w:b/>
          <w:noProof/>
        </w:rPr>
        <w:t>colectând date privind materialele disponibile</w:t>
      </w:r>
      <w:r w:rsidRPr="00BC3D14">
        <w:rPr>
          <w:noProof/>
        </w:rPr>
        <w:t xml:space="preserve">. Auditurile în etapele anterioare demolării sporesc transparența și facilitează apariția unor piețe pentru materialele secundare, punând în legătură oferta de materiale de pe șantierele de demolare cu cererea din partea producătorilor. Cu toate acestea, întregul potențial al acestor informații este deblocat numai atunci când sunt furnizate prin mijloace digitale și făcute publice, permițând industriei să colecteze, să achiziționeze și să preconizeze disponibilitatea materialelor secundare. </w:t>
      </w:r>
    </w:p>
    <w:p w14:paraId="41E476D1" w14:textId="153A2CC1" w:rsidR="00CA01A9" w:rsidRPr="00BC3D14" w:rsidRDefault="002A2138" w:rsidP="00F35C14">
      <w:pPr>
        <w:spacing w:line="240" w:lineRule="auto"/>
        <w:rPr>
          <w:rFonts w:cs="Times New Roman"/>
          <w:noProof/>
        </w:rPr>
      </w:pPr>
      <w:r w:rsidRPr="00BC3D14">
        <w:rPr>
          <w:noProof/>
        </w:rPr>
        <w:t xml:space="preserve">Sub rezerva rezultatelor unei evaluări a impactului aflate în curs, prin intermediul actului legislativ privind economia circulară, Comisia va dezvolta o </w:t>
      </w:r>
      <w:r w:rsidRPr="00BC3D14">
        <w:rPr>
          <w:b/>
          <w:noProof/>
        </w:rPr>
        <w:t>platformă europeană digitală de evaluare a resurselor pentru construcții (DECRA)</w:t>
      </w:r>
      <w:r w:rsidRPr="00BC3D14">
        <w:rPr>
          <w:noProof/>
        </w:rPr>
        <w:t xml:space="preserve">, menită să conecteze bazele de date naționale care oferă informații cu privire la auditurile în etapele anterioare demolării. Platforma va furniza date relevante într-un format prelucrabil automat și care conține funcționalități de căutare. Creșterea </w:t>
      </w:r>
      <w:r w:rsidRPr="00BC3D14">
        <w:rPr>
          <w:b/>
          <w:noProof/>
        </w:rPr>
        <w:t>transparenței</w:t>
      </w:r>
      <w:r w:rsidRPr="00BC3D14">
        <w:rPr>
          <w:noProof/>
        </w:rPr>
        <w:t xml:space="preserve"> va permite producătorilor să identifice rapid sursele secundare de materiale, ceea ce va reduce dependența de resursele virgine și va scădea costurile de producție. </w:t>
      </w:r>
      <w:r w:rsidRPr="00BC3D14">
        <w:rPr>
          <w:noProof/>
          <w:color w:val="000000" w:themeColor="text1"/>
        </w:rPr>
        <w:t>Pentru statele membre care nu dispun încă de un sistem de audituri în etapele anterioare demolării, platforma va reprezenta o investiție care va fi compensată în mare măsură de beneficiile utilizării sporite a materialelor secundare în construcții. De asemenea, până în al treilea trimestru al anului 2026, Comisia va analiza avantajele caracterului obligatoriu al unor astfel de audituri, prin introducerea unui set minim de puncte de date obligatorii și voluntare care să fie disponibile în format digital, menținând în același timp sarcina administrativă la un nivel minim.</w:t>
      </w:r>
    </w:p>
    <w:p w14:paraId="0C806F62" w14:textId="77777777" w:rsidR="0025733B" w:rsidRPr="00BC3D14" w:rsidRDefault="009F4B18" w:rsidP="00C77556">
      <w:pPr>
        <w:spacing w:line="240" w:lineRule="auto"/>
        <w:rPr>
          <w:rFonts w:cs="Times New Roman"/>
          <w:noProof/>
        </w:rPr>
      </w:pPr>
      <w:r w:rsidRPr="00BC3D14">
        <w:rPr>
          <w:noProof/>
        </w:rPr>
        <w:t>În cele din urmă, noul RPC va elimina lacunele rămase prin integrarea considerațiilor privind conținutul reciclat și circularitatea (potențialul de reparare, reutilizarea, reciclarea și prelungirea duratei de viață) în standardele produselor, asigurându-se astfel că produsele reutilizate și reciclate pot concura pe picior de egalitate cu materialele noi în întreaga UE. Împreună, aceste măsuri vor stabiliza aprovizionarea cu materiale, vor debloca potențialul resurselor secundare, vor reduce costurile și vor contribui la creșterea durabilității, rezilienței și circularității în sectorul construcțiilor.</w:t>
      </w:r>
    </w:p>
    <w:p w14:paraId="05C7ED4E" w14:textId="40CD05F1" w:rsidR="00B301B8" w:rsidRPr="00BC3D14" w:rsidRDefault="00091140" w:rsidP="00C77556">
      <w:pPr>
        <w:spacing w:line="240" w:lineRule="auto"/>
        <w:rPr>
          <w:rFonts w:cs="Times New Roman"/>
          <w:noProof/>
        </w:rPr>
      </w:pPr>
      <w:r w:rsidRPr="00BC3D14">
        <w:rPr>
          <w:noProof/>
          <w:lang w:val="en-GB" w:eastAsia="en-GB"/>
        </w:rPr>
        <mc:AlternateContent>
          <mc:Choice Requires="wps">
            <w:drawing>
              <wp:anchor distT="0" distB="0" distL="114300" distR="114300" simplePos="0" relativeHeight="251658244" behindDoc="0" locked="0" layoutInCell="1" allowOverlap="1" wp14:anchorId="01651859" wp14:editId="618F72F0">
                <wp:simplePos x="0" y="0"/>
                <wp:positionH relativeFrom="margin">
                  <wp:align>right</wp:align>
                </wp:positionH>
                <wp:positionV relativeFrom="paragraph">
                  <wp:posOffset>586105</wp:posOffset>
                </wp:positionV>
                <wp:extent cx="5924550" cy="2400300"/>
                <wp:effectExtent l="0" t="0" r="19050" b="19050"/>
                <wp:wrapTopAndBottom/>
                <wp:docPr id="2065417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924550" cy="2400300"/>
                        </a:xfrm>
                        <a:prstGeom prst="rect">
                          <a:avLst/>
                        </a:prstGeom>
                        <a:solidFill>
                          <a:srgbClr val="FFFFFF"/>
                        </a:solidFill>
                        <a:ln w="9525">
                          <a:solidFill>
                            <a:srgbClr val="000000"/>
                          </a:solidFill>
                          <a:miter/>
                        </a:ln>
                      </wps:spPr>
                      <wps:txbx>
                        <w:txbxContent>
                          <w:p w14:paraId="06479C52" w14:textId="77D2E6B7" w:rsidR="00EC10A0" w:rsidRPr="00BC3D14" w:rsidRDefault="00EC10A0" w:rsidP="00EC10A0">
                            <w:pPr>
                              <w:spacing w:after="120" w:line="276" w:lineRule="auto"/>
                              <w:rPr>
                                <w:rFonts w:cs="Times New Roman"/>
                                <w:b/>
                              </w:rPr>
                            </w:pPr>
                            <w:r w:rsidRPr="00BC3D14">
                              <w:rPr>
                                <w:b/>
                              </w:rPr>
                              <w:t xml:space="preserve">Acțiunea 5 – Facilitarea accesului la materialele și produsele secundare pentru construcții, precum și a circulației acestora </w:t>
                            </w:r>
                          </w:p>
                          <w:p w14:paraId="0444A227" w14:textId="32FE82FF" w:rsidR="00EC10A0" w:rsidRPr="00BC3D14" w:rsidRDefault="00EC10A0" w:rsidP="00EC10A0">
                            <w:pPr>
                              <w:spacing w:line="240" w:lineRule="auto"/>
                              <w:rPr>
                                <w:rFonts w:cs="Times New Roman"/>
                              </w:rPr>
                            </w:pPr>
                            <w:r w:rsidRPr="00BC3D14">
                              <w:t xml:space="preserve">- Comisia va stabili măsurile juridice și calendarul pentru </w:t>
                            </w:r>
                            <w:r w:rsidRPr="00BC3D14">
                              <w:rPr>
                                <w:b/>
                              </w:rPr>
                              <w:t xml:space="preserve">abordarea fragmentării criteriilor de stabilire a încetării statutului de deșeu </w:t>
                            </w:r>
                            <w:r w:rsidRPr="00BC3D14">
                              <w:t xml:space="preserve">și pentru eliminarea altor obstacole din calea liberei circulații a materialelor secundare pentru construcții în cadrul pieței unice (până în al treilea trimestru al anului 2026, ca parte a actului legislativ privind economia circulară). </w:t>
                            </w:r>
                          </w:p>
                          <w:p w14:paraId="580D53A9" w14:textId="6BE9055F" w:rsidR="00EC10A0" w:rsidRPr="00BC3D14" w:rsidRDefault="00EC10A0" w:rsidP="00EC10A0">
                            <w:pPr>
                              <w:spacing w:after="120" w:line="240" w:lineRule="auto"/>
                              <w:rPr>
                                <w:rFonts w:cs="Times New Roman"/>
                              </w:rPr>
                            </w:pPr>
                            <w:r w:rsidRPr="00BC3D14">
                              <w:t xml:space="preserve">- Sub rezerva unei evaluări a impactului aflate în curs care să demonstreze beneficii suficiente, Comisia poate propune </w:t>
                            </w:r>
                            <w:r w:rsidRPr="00BC3D14">
                              <w:rPr>
                                <w:b/>
                              </w:rPr>
                              <w:t xml:space="preserve">audituri digitalizate obligatorii în etapele anterioare demolării </w:t>
                            </w:r>
                            <w:r w:rsidRPr="00BC3D14">
                              <w:t>(până în al treilea trimestru al anului 2026, ca parte a actului legislativ privind economia circulară)</w:t>
                            </w:r>
                            <w:r w:rsidRPr="00BC3D14">
                              <w:rPr>
                                <w:b/>
                              </w:rPr>
                              <w:t xml:space="preserve"> </w:t>
                            </w:r>
                            <w:r w:rsidRPr="00BC3D14">
                              <w:t xml:space="preserve">și, ulterior, poate institui </w:t>
                            </w:r>
                            <w:bookmarkStart w:id="13" w:name="_Hlk213435272"/>
                            <w:r w:rsidRPr="00BC3D14">
                              <w:t xml:space="preserve">o </w:t>
                            </w:r>
                            <w:r w:rsidRPr="00BC3D14">
                              <w:rPr>
                                <w:b/>
                              </w:rPr>
                              <w:t>platformă digitală europeană de evaluare a resurselor pentru construcții</w:t>
                            </w:r>
                            <w:bookmarkEnd w:id="13"/>
                            <w:r w:rsidRPr="00BC3D14">
                              <w:rPr>
                                <w:b/>
                              </w:rPr>
                              <w:t>,</w:t>
                            </w:r>
                            <w:r w:rsidRPr="00BC3D14">
                              <w:t xml:space="preserve"> care va contribui la conectarea sistemelor naționale.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1651859" id="_x0000_s1030" style="position:absolute;left:0;text-align:left;margin-left:415.3pt;margin-top:46.15pt;width:466.5pt;height:189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">
                <v:textbox>
                  <w:txbxContent>
                    <w:p w14:paraId="06479C52" w14:textId="77D2E6B7" w:rsidR="00EC10A0" w:rsidRPr="00BC3D14" w:rsidRDefault="00EC10A0" w:rsidP="00EC10A0">
                      <w:pPr>
                        <w:spacing w:after="120" w:line="276" w:lineRule="auto"/>
                        <w:rPr>
                          <w:rFonts w:cs="Times New Roman"/>
                          <w:b/>
                        </w:rPr>
                      </w:pPr>
                      <w:r w:rsidRPr="00BC3D14">
                        <w:rPr>
                          <w:b/>
                        </w:rPr>
                        <w:t xml:space="preserve">Acțiunea 5 – Facilitarea accesului la materialele și produsele secundare pentru construcții, precum și a circulației acestora </w:t>
                      </w:r>
                    </w:p>
                    <w:p w14:paraId="0444A227" w14:textId="32FE82FF" w:rsidR="00EC10A0" w:rsidRPr="00BC3D14" w:rsidRDefault="00EC10A0" w:rsidP="00EC10A0">
                      <w:pPr>
                        <w:spacing w:line="240" w:lineRule="auto"/>
                        <w:rPr>
                          <w:rFonts w:cs="Times New Roman"/>
                        </w:rPr>
                      </w:pPr>
                      <w:r w:rsidRPr="00BC3D14">
                        <w:t xml:space="preserve">- Comisia va stabili măsurile juridice și calendarul pentru </w:t>
                      </w:r>
                      <w:r w:rsidRPr="00BC3D14">
                        <w:rPr>
                          <w:b/>
                        </w:rPr>
                        <w:t xml:space="preserve">abordarea fragmentării criteriilor de stabilire a încetării statutului de deșeu </w:t>
                      </w:r>
                      <w:r w:rsidRPr="00BC3D14">
                        <w:t xml:space="preserve">și pentru eliminarea altor obstacole din calea liberei circulații a materialelor secundare pentru construcții în cadrul pieței unice (până în al treilea trimestru al anului 2026, ca parte a actului legislativ privind economia circulară). </w:t>
                      </w:r>
                    </w:p>
                    <w:p w14:paraId="580D53A9" w14:textId="6BE9055F" w:rsidR="00EC10A0" w:rsidRPr="00BC3D14" w:rsidRDefault="00EC10A0" w:rsidP="00EC10A0">
                      <w:pPr>
                        <w:spacing w:after="120" w:line="240" w:lineRule="auto"/>
                        <w:rPr>
                          <w:rFonts w:cs="Times New Roman"/>
                        </w:rPr>
                      </w:pPr>
                      <w:r w:rsidRPr="00BC3D14">
                        <w:t xml:space="preserve">- Sub rezerva unei evaluări a impactului aflate în curs care să demonstreze beneficii suficiente, Comisia poate propune </w:t>
                      </w:r>
                      <w:r w:rsidRPr="00BC3D14">
                        <w:rPr>
                          <w:b/>
                        </w:rPr>
                        <w:t xml:space="preserve">audituri digitalizate obligatorii în etapele anterioare demolării </w:t>
                      </w:r>
                      <w:r w:rsidRPr="00BC3D14">
                        <w:t>(până în al treilea trimestru al anului 2026, ca parte a actului legislativ privind economia circulară)</w:t>
                      </w:r>
                      <w:r w:rsidRPr="00BC3D14">
                        <w:rPr>
                          <w:b/>
                        </w:rPr>
                        <w:t xml:space="preserve"> </w:t>
                      </w:r>
                      <w:r w:rsidRPr="00BC3D14">
                        <w:t xml:space="preserve">și, ulterior, poate institui </w:t>
                      </w:r>
                      <w:bookmarkStart w:id="14" w:name="_Hlk213435272"/>
                      <w:r w:rsidRPr="00BC3D14">
                        <w:t xml:space="preserve">o </w:t>
                      </w:r>
                      <w:r w:rsidRPr="00BC3D14">
                        <w:rPr>
                          <w:b/>
                        </w:rPr>
                        <w:t>platformă digitală europeană de evaluare a resurselor pentru construcții</w:t>
                      </w:r>
                      <w:bookmarkEnd w:id="14"/>
                      <w:r w:rsidRPr="00BC3D14">
                        <w:rPr>
                          <w:b/>
                        </w:rPr>
                        <w:t>,</w:t>
                      </w:r>
                      <w:r w:rsidRPr="00BC3D14">
                        <w:t xml:space="preserve"> care va contribui la conectarea sistemelor naționale. </w:t>
                      </w:r>
                    </w:p>
                  </w:txbxContent>
                </v:textbox>
                <w10:wrap type="topAndBottom" anchorx="margin"/>
              </v:rect>
            </w:pict>
          </mc:Fallback>
        </mc:AlternateContent>
      </w:r>
      <w:r w:rsidRPr="00BC3D14">
        <w:rPr>
          <w:noProof/>
        </w:rPr>
        <w:t>Integrarea deplină a considerațiilor privind circularitatea va debloca economii pentru întreprinderi, va limita dependența de țările terțe pentru materiile prime de care are nevoie sectorul și va contribui la decarbonizarea acestuia, prin reducerea extracției și prelucrării materiilor prime primare.</w:t>
      </w:r>
    </w:p>
    <w:p w14:paraId="06DDC4AB" w14:textId="5EDBC2BC" w:rsidR="00BC7F22" w:rsidRPr="00BC3D14" w:rsidRDefault="00BC7F22" w:rsidP="00FD667B">
      <w:pPr>
        <w:pStyle w:val="Heading1"/>
        <w:rPr>
          <w:rStyle w:val="Heading1Char"/>
          <w:noProof/>
          <w:sz w:val="36"/>
          <w:szCs w:val="36"/>
        </w:rPr>
      </w:pPr>
      <w:bookmarkStart w:id="15" w:name="_Toc213663462"/>
      <w:r w:rsidRPr="00BC3D14">
        <w:rPr>
          <w:rStyle w:val="Heading1Char"/>
          <w:noProof/>
          <w:sz w:val="36"/>
        </w:rPr>
        <w:t>Asigurarea accesului la servicii și îmbunătățirea competențelor</w:t>
      </w:r>
      <w:bookmarkEnd w:id="15"/>
      <w:r w:rsidRPr="00BC3D14">
        <w:rPr>
          <w:rStyle w:val="Heading1Char"/>
          <w:noProof/>
          <w:sz w:val="36"/>
        </w:rPr>
        <w:t xml:space="preserve"> </w:t>
      </w:r>
    </w:p>
    <w:p w14:paraId="238CB2E2" w14:textId="4724500C" w:rsidR="00842585" w:rsidRPr="00BC3D14" w:rsidRDefault="3D62CE42" w:rsidP="00842585">
      <w:pPr>
        <w:spacing w:after="120" w:line="240" w:lineRule="auto"/>
        <w:rPr>
          <w:rFonts w:eastAsia="Times New Roman" w:cs="Times New Roman"/>
          <w:noProof/>
        </w:rPr>
      </w:pPr>
      <w:r w:rsidRPr="00BC3D14">
        <w:rPr>
          <w:b/>
          <w:noProof/>
        </w:rPr>
        <w:t>Integrarea pieței unice a UE în sectorul serviciilor de construcții și de instalare rămâne scăzută.</w:t>
      </w:r>
      <w:r w:rsidRPr="00BC3D14">
        <w:rPr>
          <w:noProof/>
        </w:rPr>
        <w:t xml:space="preserve"> Construcțiile rămân, în principal, o activitate internă, 90 % dintre întreprinderi, de obicei IMM-uri, furnizând servicii de construcții numai la nivel local. Deși ecosistemul construcțiilor reprezintă aproximativ 12 % din valoarea adăugată brută a UE, operațiunile transfrontaliere în domeniul serviciilor de construcții sunt limitate: se estimează că integrarea comercială pentru serviciile din sectorul construcțiilor se ridică la doar 1 %. Printre motivele care determină nivelul scăzut de integrare a serviciilor de construcții se numără reglementările naționale restrictive privind autorizațiile pentru întreprinderi, numărul mare de profesii reglementate din acest sector și procedura complexă de recunoaștere a calificărilor profesionale, a certificatelor și a atestării competențelor. Aceste bariere limitează oportunitățile de afaceri și posibilitățile de alegere ale clienților și împiedică fluxul transfrontalier al serviciilor de construcții către locurile care înregistrează cea mai mare cerere pentru astfel de servicii. Reducerea barierelor din calea serviciilor de construcții va crește în mod semnificativ valoarea adăugată brută a UE</w:t>
      </w:r>
      <w:r w:rsidRPr="00BC3D14">
        <w:rPr>
          <w:rStyle w:val="FootnoteReference"/>
          <w:rFonts w:eastAsia="Times New Roman" w:cs="Times New Roman"/>
          <w:noProof/>
        </w:rPr>
        <w:footnoteReference w:id="64"/>
      </w:r>
      <w:r w:rsidRPr="00BC3D14">
        <w:rPr>
          <w:noProof/>
        </w:rPr>
        <w:t>.</w:t>
      </w:r>
    </w:p>
    <w:p w14:paraId="4BF19DF1" w14:textId="47ABEB73" w:rsidR="00E5785D" w:rsidRPr="00BC3D14" w:rsidRDefault="6763C716" w:rsidP="00E5785D">
      <w:pPr>
        <w:spacing w:after="120" w:line="240" w:lineRule="auto"/>
        <w:rPr>
          <w:rFonts w:cs="Times New Roman"/>
          <w:noProof/>
        </w:rPr>
      </w:pPr>
      <w:r w:rsidRPr="00BC3D14">
        <w:rPr>
          <w:b/>
          <w:noProof/>
        </w:rPr>
        <w:t>În ceea ce privește forța de muncă, deficitul de forță de muncă și de competențe continuă să reprezinte o problemă structurală de lungă durată pentru construcții, împiedicând producția din acest sector.</w:t>
      </w:r>
      <w:r w:rsidRPr="00BC3D14">
        <w:rPr>
          <w:noProof/>
        </w:rPr>
        <w:t xml:space="preserve"> Ponderea întreprinderilor care indică deficitul de forță de muncă drept factor de limitare a producției lor totale s-a menținut constant la un nivel ridicat în ultimii ani, între 25 % și 30 % de la începutul anului 2023</w:t>
      </w:r>
      <w:r w:rsidRPr="00BC3D14">
        <w:rPr>
          <w:rStyle w:val="FootnoteReference"/>
          <w:rFonts w:cs="Times New Roman"/>
          <w:noProof/>
        </w:rPr>
        <w:footnoteReference w:id="65"/>
      </w:r>
      <w:r w:rsidRPr="00BC3D14">
        <w:rPr>
          <w:noProof/>
        </w:rPr>
        <w:t xml:space="preserve">. În plus, ecosistemul construcțiilor este afectat de o </w:t>
      </w:r>
      <w:r w:rsidRPr="00BC3D14">
        <w:rPr>
          <w:b/>
          <w:noProof/>
        </w:rPr>
        <w:t>percepție publică generală nefavorabilă</w:t>
      </w:r>
      <w:r w:rsidRPr="00BC3D14">
        <w:rPr>
          <w:noProof/>
        </w:rPr>
        <w:t xml:space="preserve"> legată de nivelul scăzut de securitate și stabilitate a locurilor de muncă, de condițiile de muncă dificile și de riscurile pentru sănătate și siguranță, iar construcțiile sunt privite în continuare prin prisma stereotipului de „activitate destinată în mod tradițional bărbaților”</w:t>
      </w:r>
      <w:r w:rsidRPr="00BC3D14">
        <w:rPr>
          <w:rStyle w:val="FootnoteReference"/>
          <w:rFonts w:cs="Times New Roman"/>
          <w:noProof/>
        </w:rPr>
        <w:footnoteReference w:id="66"/>
      </w:r>
      <w:r w:rsidRPr="00BC3D14">
        <w:rPr>
          <w:noProof/>
        </w:rPr>
        <w:t>. Acest lucru provoacă incertitudine și duce la costuri ridicate ale forței de muncă pentru întreprinderile de construcții, ceea ce se reflectă în creșterea costurilor pentru construcția de locuințe.</w:t>
      </w:r>
    </w:p>
    <w:p w14:paraId="67B75DE4" w14:textId="759F9F2D" w:rsidR="00842585" w:rsidRPr="00BC3D14" w:rsidRDefault="1545EC29" w:rsidP="00842585">
      <w:pPr>
        <w:spacing w:after="120" w:line="240" w:lineRule="auto"/>
        <w:rPr>
          <w:rFonts w:cs="Times New Roman"/>
          <w:noProof/>
        </w:rPr>
      </w:pPr>
      <w:r w:rsidRPr="00BC3D14">
        <w:rPr>
          <w:noProof/>
        </w:rPr>
        <w:t xml:space="preserve">Atât cererea tot mai mare de locuințe, cât și tranziția verde și cea digitală sporesc substanțial </w:t>
      </w:r>
      <w:r w:rsidRPr="00BC3D14">
        <w:rPr>
          <w:b/>
          <w:noProof/>
        </w:rPr>
        <w:t>cererea de locuri de muncă specializate și care necesită calificare înaltă în domeniul serviciilor</w:t>
      </w:r>
      <w:r w:rsidRPr="00BC3D14">
        <w:rPr>
          <w:rStyle w:val="FootnoteReference"/>
          <w:rFonts w:eastAsiaTheme="minorEastAsia" w:cs="Times New Roman"/>
          <w:noProof/>
        </w:rPr>
        <w:footnoteReference w:id="67"/>
      </w:r>
      <w:r w:rsidRPr="00BC3D14">
        <w:rPr>
          <w:noProof/>
        </w:rPr>
        <w:t>. În același timp, această tranziție în ceea ce privește competențele necesare, cu o nevoie sporită de competențe legate de utilizarea IA, a roboților și a proiectării modulare, are potențialul de a atrage tinerii și de a îmbunătăți echilibrul de gen. Eforturile continue de sprijinire a programelor de ucenicie sunt esențiale în acest sens, inclusiv atragerea țintită a femeilor.</w:t>
      </w:r>
      <w:r w:rsidR="00BC3D14">
        <w:rPr>
          <w:noProof/>
        </w:rPr>
        <w:t xml:space="preserve"> </w:t>
      </w:r>
      <w:r w:rsidRPr="00BC3D14">
        <w:rPr>
          <w:noProof/>
        </w:rPr>
        <w:t xml:space="preserve">Perfecționarea și recalificarea lucrătorilor din construcții având competențele specifice cel mai solicitate și finalizarea pieței unice a serviciilor de construcții vor </w:t>
      </w:r>
      <w:r w:rsidRPr="00BC3D14">
        <w:rPr>
          <w:b/>
          <w:noProof/>
        </w:rPr>
        <w:t>contribui la sprijinirea ofertei de forță de muncă și vor asigura capacitățile necesare pentru construcția de locuințe</w:t>
      </w:r>
      <w:r w:rsidRPr="00BC3D14">
        <w:rPr>
          <w:noProof/>
        </w:rPr>
        <w:t>.</w:t>
      </w:r>
    </w:p>
    <w:p w14:paraId="5D4318E6" w14:textId="54A775E5" w:rsidR="00E20B4B" w:rsidRPr="00BC3D14" w:rsidRDefault="57F791C1" w:rsidP="00842585">
      <w:pPr>
        <w:spacing w:after="120" w:line="240" w:lineRule="auto"/>
        <w:rPr>
          <w:rFonts w:cs="Times New Roman"/>
          <w:noProof/>
        </w:rPr>
      </w:pPr>
      <w:r w:rsidRPr="00BC3D14">
        <w:rPr>
          <w:noProof/>
        </w:rPr>
        <w:t>În plus, în completarea eforturilor de valorificare a talentelor din interiorul Uniunii, mobilitatea legală specifică din țări terțe îndeplinește, de asemenea, un rol important. Rezerva de talente la nivelul UE recent adoptată urmărește să faciliteze recrutarea persoanelor aflate în căutarea unui loc de muncă din țări din afara UE și îndrumarea lor spre ocupații care înregistrează deficite de forță de muncă în întreaga Uniune Europeană, la toate nivelurile de competențe, sectorul construcțiilor fiind unul dintre sectoarele cu cele mai mari deficite</w:t>
      </w:r>
      <w:r w:rsidRPr="00BC3D14">
        <w:rPr>
          <w:rStyle w:val="FootnoteReference"/>
          <w:rFonts w:cs="Times New Roman"/>
          <w:noProof/>
        </w:rPr>
        <w:footnoteReference w:id="68"/>
      </w:r>
      <w:r w:rsidRPr="00BC3D14">
        <w:rPr>
          <w:noProof/>
        </w:rPr>
        <w:t xml:space="preserve">. Alte modalități de consolidare a căilor legale către UE sunt </w:t>
      </w:r>
      <w:r w:rsidRPr="00BC3D14">
        <w:rPr>
          <w:b/>
          <w:noProof/>
        </w:rPr>
        <w:t>parteneriatele pentru atragerea de talente</w:t>
      </w:r>
      <w:r w:rsidRPr="00BC3D14">
        <w:rPr>
          <w:rStyle w:val="FootnoteReference"/>
          <w:rFonts w:cs="Times New Roman"/>
          <w:b/>
          <w:bCs/>
          <w:noProof/>
        </w:rPr>
        <w:footnoteReference w:id="69"/>
      </w:r>
      <w:r w:rsidRPr="00BC3D14">
        <w:rPr>
          <w:noProof/>
        </w:rPr>
        <w:t xml:space="preserve">, </w:t>
      </w:r>
      <w:r w:rsidRPr="00BC3D14">
        <w:rPr>
          <w:b/>
          <w:noProof/>
        </w:rPr>
        <w:t>Directiva UE revizuită privind permisul unic</w:t>
      </w:r>
      <w:r w:rsidRPr="00BC3D14">
        <w:rPr>
          <w:noProof/>
        </w:rPr>
        <w:t xml:space="preserve"> și prima </w:t>
      </w:r>
      <w:r w:rsidRPr="00BC3D14">
        <w:rPr>
          <w:b/>
          <w:noProof/>
        </w:rPr>
        <w:t>strategie a UE privind politica în domeniul vizelor</w:t>
      </w:r>
      <w:r w:rsidRPr="00BC3D14">
        <w:rPr>
          <w:rStyle w:val="FootnoteReference"/>
          <w:rFonts w:cs="Times New Roman"/>
          <w:b/>
          <w:bCs/>
          <w:noProof/>
        </w:rPr>
        <w:footnoteReference w:id="70"/>
      </w:r>
      <w:r w:rsidRPr="00BC3D14">
        <w:rPr>
          <w:rStyle w:val="FootnoteReference"/>
          <w:rFonts w:cs="Times New Roman"/>
          <w:noProof/>
          <w:vertAlign w:val="baseline"/>
        </w:rPr>
        <w:t>.</w:t>
      </w:r>
      <w:r w:rsidRPr="00BC3D14">
        <w:rPr>
          <w:rStyle w:val="FootnoteReference"/>
          <w:noProof/>
          <w:vertAlign w:val="baseline"/>
        </w:rPr>
        <w:t>.</w:t>
      </w:r>
      <w:r w:rsidRPr="00BC3D14">
        <w:rPr>
          <w:noProof/>
        </w:rPr>
        <w:t xml:space="preserve"> Ca parte a pachetului privind mobilitatea echitabilă a forței de muncă (3T2026), Comisia va propune în continuare norme comune pentru proceduri mai simple de gestionare a recunoașterii calificărilor și a validării competențelor resortisanților țărilor terțe, cu scopul de a spori coerența și transparența și, astfel, de a spori claritatea pentru lucrători, precum și pentru angajatori și autorități.</w:t>
      </w:r>
    </w:p>
    <w:p w14:paraId="0AE7FAE4" w14:textId="7EA0ED19" w:rsidR="00BC7F22" w:rsidRPr="00BC3D14" w:rsidRDefault="005505F2" w:rsidP="00821506">
      <w:pPr>
        <w:pStyle w:val="Heading2"/>
        <w:rPr>
          <w:rStyle w:val="Strong"/>
          <w:b w:val="0"/>
          <w:bCs w:val="0"/>
          <w:noProof/>
        </w:rPr>
      </w:pPr>
      <w:bookmarkStart w:id="16" w:name="_Toc212632366"/>
      <w:bookmarkStart w:id="17" w:name="_Toc213663463"/>
      <w:r w:rsidRPr="00BC3D14">
        <w:rPr>
          <w:rStyle w:val="Strong"/>
          <w:b w:val="0"/>
          <w:noProof/>
        </w:rPr>
        <w:t>Înlăturarea barierelor din calea serviciilor de construcții existente pe piața unică</w:t>
      </w:r>
      <w:bookmarkEnd w:id="16"/>
      <w:bookmarkEnd w:id="17"/>
    </w:p>
    <w:p w14:paraId="564B2674" w14:textId="02F09D2A" w:rsidR="009C7E53" w:rsidRPr="00BC3D14" w:rsidRDefault="7E681EEF" w:rsidP="0087001C">
      <w:pPr>
        <w:spacing w:line="240" w:lineRule="auto"/>
        <w:rPr>
          <w:rFonts w:eastAsia="Aptos"/>
          <w:noProof/>
          <w:color w:val="000000" w:themeColor="text1"/>
        </w:rPr>
      </w:pPr>
      <w:r w:rsidRPr="00BC3D14">
        <w:rPr>
          <w:b/>
          <w:noProof/>
        </w:rPr>
        <w:t xml:space="preserve">Comisia se angajează să reducă barierele din calea furnizării transfrontaliere de servicii de construcții. </w:t>
      </w:r>
      <w:r w:rsidRPr="00BC3D14">
        <w:rPr>
          <w:noProof/>
        </w:rPr>
        <w:t xml:space="preserve">Obiectivul este de a maximiza potențialul pieței unice pentru serviciile de construcții și instalații și de a contribui la creșterea productivității sectorului. Acest lucru se aplică în special pentru regiunile frontaliere, unde IMM-urile din sectorul construcțiilor sunt împiedicate să își exploateze piața de proximitate dincolo de granițe. În plus, comunicarea privind </w:t>
      </w:r>
      <w:r w:rsidRPr="00BC3D14">
        <w:rPr>
          <w:b/>
          <w:noProof/>
        </w:rPr>
        <w:t>uniunea competențelor</w:t>
      </w:r>
      <w:r w:rsidRPr="00BC3D14">
        <w:rPr>
          <w:rStyle w:val="FootnoteReference"/>
          <w:noProof/>
        </w:rPr>
        <w:footnoteReference w:id="71"/>
      </w:r>
      <w:r w:rsidRPr="00BC3D14">
        <w:rPr>
          <w:noProof/>
        </w:rPr>
        <w:t xml:space="preserve"> a anunțat inițiativa privind portabilitatea competențelor pentru a oferi mai multe oportunități lucrătorilor și întreprinderilor de a valorifica pe deplin potențialul pieței unice. Una dintre acțiunile-cheie ale inițiativei – care urmează să fie prezentată ca parte a </w:t>
      </w:r>
      <w:r w:rsidRPr="00BC3D14">
        <w:rPr>
          <w:b/>
          <w:noProof/>
        </w:rPr>
        <w:t>pachetului privind mobilitatea echitabilă a forței de muncă</w:t>
      </w:r>
      <w:r w:rsidRPr="00BC3D14">
        <w:rPr>
          <w:noProof/>
        </w:rPr>
        <w:t xml:space="preserve"> – va consta în </w:t>
      </w:r>
      <w:r w:rsidRPr="00BC3D14">
        <w:rPr>
          <w:noProof/>
          <w:color w:val="000000" w:themeColor="text1"/>
        </w:rPr>
        <w:t>extinderea recunoașterii automate pentru alte profesii reglementate prin intermediul unor cadre comune de formare și modernizarea și raționalizarea proceselor de recunoaștere pentru profesiile reglementate, în special prin mobilizarea instrumentelor digitale, inclusiv pentru a facilita și a reduce durata procedurilor.</w:t>
      </w:r>
    </w:p>
    <w:p w14:paraId="127A2DE1" w14:textId="5E477143" w:rsidR="00044129" w:rsidRPr="00BC3D14" w:rsidRDefault="0088196C" w:rsidP="0087001C">
      <w:pPr>
        <w:spacing w:line="240" w:lineRule="auto"/>
        <w:rPr>
          <w:rFonts w:eastAsia="Aptos"/>
          <w:noProof/>
          <w:color w:val="000000" w:themeColor="text1"/>
        </w:rPr>
      </w:pPr>
      <w:r w:rsidRPr="00BC3D14">
        <w:rPr>
          <w:noProof/>
          <w:color w:val="000000" w:themeColor="text1"/>
        </w:rPr>
        <w:t>O a doua acțiune va consta în examinarea opțiunilor de sporire a transparenței și a comparabilității calificărilor pentru profesiile nereglementate și de promovare a unui cadru al UE coordonat și interoperabil pentru un proces sigur de recunoaștere transfrontalieră.</w:t>
      </w:r>
    </w:p>
    <w:p w14:paraId="4F6D2B6E" w14:textId="75D103D5" w:rsidR="00D052E3" w:rsidRPr="00BC3D14" w:rsidRDefault="008469E4" w:rsidP="0087001C">
      <w:pPr>
        <w:spacing w:line="240" w:lineRule="auto"/>
        <w:rPr>
          <w:rFonts w:eastAsia="Times New Roman" w:cs="Times New Roman"/>
          <w:noProof/>
        </w:rPr>
      </w:pPr>
      <w:r w:rsidRPr="00BC3D14">
        <w:rPr>
          <w:noProof/>
          <w:lang w:val="en-GB" w:eastAsia="en-GB"/>
        </w:rPr>
        <mc:AlternateContent>
          <mc:Choice Requires="wps">
            <w:drawing>
              <wp:anchor distT="0" distB="0" distL="114300" distR="114300" simplePos="0" relativeHeight="251658240" behindDoc="0" locked="0" layoutInCell="1" allowOverlap="1" wp14:anchorId="592138B3" wp14:editId="437E543F">
                <wp:simplePos x="0" y="0"/>
                <wp:positionH relativeFrom="margin">
                  <wp:align>left</wp:align>
                </wp:positionH>
                <wp:positionV relativeFrom="paragraph">
                  <wp:posOffset>1082675</wp:posOffset>
                </wp:positionV>
                <wp:extent cx="5819775" cy="1781175"/>
                <wp:effectExtent l="0" t="0" r="28575" b="28575"/>
                <wp:wrapTopAndBottom/>
                <wp:docPr id="1194837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781175"/>
                        </a:xfrm>
                        <a:prstGeom prst="rect">
                          <a:avLst/>
                        </a:prstGeom>
                        <a:solidFill>
                          <a:srgbClr val="FFFFFF"/>
                        </a:solidFill>
                        <a:ln w="9525">
                          <a:solidFill>
                            <a:srgbClr val="000000"/>
                          </a:solidFill>
                          <a:miter lim="800000"/>
                          <a:headEnd/>
                          <a:tailEnd/>
                        </a:ln>
                      </wps:spPr>
                      <wps:txbx>
                        <w:txbxContent>
                          <w:p w14:paraId="0E2EFCA4" w14:textId="64072C21" w:rsidR="00CF4775" w:rsidRPr="00BC3D14" w:rsidRDefault="00CF4775" w:rsidP="00CF4775">
                            <w:pPr>
                              <w:rPr>
                                <w:b/>
                                <w:bCs/>
                              </w:rPr>
                            </w:pPr>
                            <w:r w:rsidRPr="00BC3D14">
                              <w:rPr>
                                <w:b/>
                              </w:rPr>
                              <w:t>Acțiunea 6 – Creșterea fluxului de servicii de construcții transfrontaliere</w:t>
                            </w:r>
                          </w:p>
                          <w:p w14:paraId="3B9EDF7E" w14:textId="1DF305F5" w:rsidR="00CF4775" w:rsidRPr="00BC3D14" w:rsidRDefault="00CF4775" w:rsidP="00CF4775">
                            <w:pPr>
                              <w:rPr>
                                <w:rFonts w:eastAsiaTheme="minorEastAsia" w:cs="Times New Roman"/>
                                <w:szCs w:val="24"/>
                              </w:rPr>
                            </w:pPr>
                            <w:r w:rsidRPr="00BC3D14">
                              <w:t xml:space="preserve">- Comisia se va asigura că întreprinderile și profesioniștii pot </w:t>
                            </w:r>
                            <w:r w:rsidRPr="00BC3D14">
                              <w:rPr>
                                <w:b/>
                              </w:rPr>
                              <w:t>furniza mai ușor servicii de construcții la nivel transfrontalier</w:t>
                            </w:r>
                            <w:r w:rsidRPr="00BC3D14">
                              <w:t xml:space="preserve">, fără a scădea standardele sociale, prin intermediul unui </w:t>
                            </w:r>
                            <w:r w:rsidRPr="00BC3D14">
                              <w:rPr>
                                <w:b/>
                              </w:rPr>
                              <w:t>act legislativ privind serviciile din domeniul construcțiilor</w:t>
                            </w:r>
                            <w:r w:rsidRPr="00BC3D14">
                              <w:t xml:space="preserve"> (T4 2026).</w:t>
                            </w:r>
                          </w:p>
                          <w:p w14:paraId="7A36AEA2" w14:textId="50175139" w:rsidR="00635432" w:rsidRPr="00BC3D14" w:rsidRDefault="00635432" w:rsidP="00CF4775">
                            <w:pPr>
                              <w:rPr>
                                <w:rFonts w:eastAsiaTheme="minorEastAsia" w:cs="Times New Roman"/>
                                <w:szCs w:val="24"/>
                              </w:rPr>
                            </w:pPr>
                            <w:r w:rsidRPr="00BC3D14">
                              <w:t xml:space="preserve">- </w:t>
                            </w:r>
                            <w:r w:rsidRPr="00BC3D14">
                              <w:rPr>
                                <w:b/>
                              </w:rPr>
                              <w:t>Inițiativa privind portabilitatea competențelor</w:t>
                            </w:r>
                            <w:r w:rsidRPr="00BC3D14">
                              <w:t xml:space="preserve"> urmărește să permită atât lucrătorilor, cât și angajatorilor să folosească mai eficient sistemele de recunoaștere și să modernizeze procesele de recunoaștere (T3 2026)</w:t>
                            </w:r>
                            <w:r w:rsidR="00784EC5">
                              <w:t>.</w:t>
                            </w:r>
                          </w:p>
                          <w:p w14:paraId="41CA4CC1" w14:textId="77777777" w:rsidR="00BE4B53" w:rsidRPr="00BC3D14" w:rsidRDefault="00BE4B53" w:rsidP="00CF4775">
                            <w:pPr>
                              <w:rPr>
                                <w:rFonts w:eastAsiaTheme="minorEastAsia" w:cs="Times New Roman"/>
                                <w:szCs w:val="24"/>
                              </w:rPr>
                            </w:pPr>
                          </w:p>
                          <w:p w14:paraId="082AED0E" w14:textId="77777777" w:rsidR="00BE4B53" w:rsidRPr="00BC3D14" w:rsidRDefault="00BE4B53" w:rsidP="00CF4775">
                            <w:pPr>
                              <w:rPr>
                                <w:rFonts w:eastAsiaTheme="minorEastAsia" w:cs="Times New Roman"/>
                              </w:rPr>
                            </w:pPr>
                          </w:p>
                          <w:p w14:paraId="58F0BC4A" w14:textId="77777777" w:rsidR="00CF4775" w:rsidRPr="00BC3D14" w:rsidRDefault="00CF4775" w:rsidP="00CF4775">
                            <w:pPr>
                              <w:rPr>
                                <w:rFonts w:eastAsiaTheme="minorEastAsia" w:cs="Times New Roman"/>
                              </w:rPr>
                            </w:pPr>
                          </w:p>
                          <w:p w14:paraId="267442B8" w14:textId="77777777" w:rsidR="00CF4775" w:rsidRPr="00BC3D14" w:rsidRDefault="00CF4775" w:rsidP="00CF4775">
                            <w:pPr>
                              <w:rPr>
                                <w:rFonts w:eastAsiaTheme="minorEastAsia" w:cs="Times New Roman"/>
                              </w:rPr>
                            </w:pPr>
                          </w:p>
                          <w:p w14:paraId="55304C88" w14:textId="77777777" w:rsidR="00CF4775" w:rsidRPr="00BC3D14" w:rsidRDefault="00CF4775" w:rsidP="00CF4775">
                            <w:pPr>
                              <w:rPr>
                                <w:rFonts w:eastAsiaTheme="minorEastAsia" w:cs="Times New Roman"/>
                              </w:rPr>
                            </w:pPr>
                          </w:p>
                          <w:p w14:paraId="38F4E662" w14:textId="77777777" w:rsidR="00CF4775" w:rsidRPr="00BC3D14" w:rsidRDefault="00CF4775" w:rsidP="00CF4775">
                            <w:pPr>
                              <w:rPr>
                                <w:rFonts w:eastAsiaTheme="minorEastAsia"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138B3" id="_x0000_s1031" type="#_x0000_t202" style="position:absolute;left:0;text-align:left;margin-left:0;margin-top:85.25pt;width:458.25pt;height:140.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">
                <v:textbox>
                  <w:txbxContent>
                    <w:p w14:paraId="0E2EFCA4" w14:textId="64072C21" w:rsidR="00CF4775" w:rsidRPr="00BC3D14" w:rsidRDefault="00CF4775" w:rsidP="00CF4775">
                      <w:pPr>
                        <w:rPr>
                          <w:b/>
                          <w:bCs/>
                        </w:rPr>
                      </w:pPr>
                      <w:r w:rsidRPr="00BC3D14">
                        <w:rPr>
                          <w:b/>
                        </w:rPr>
                        <w:t>Acțiunea 6 – Creșterea fluxului de servicii de construcții transfrontaliere</w:t>
                      </w:r>
                    </w:p>
                    <w:p w14:paraId="3B9EDF7E" w14:textId="1DF305F5" w:rsidR="00CF4775" w:rsidRPr="00BC3D14" w:rsidRDefault="00CF4775" w:rsidP="00CF4775">
                      <w:pPr>
                        <w:rPr>
                          <w:rFonts w:eastAsiaTheme="minorEastAsia" w:cs="Times New Roman"/>
                          <w:szCs w:val="24"/>
                        </w:rPr>
                      </w:pPr>
                      <w:r w:rsidRPr="00BC3D14">
                        <w:t xml:space="preserve">- Comisia se va asigura că întreprinderile și profesioniștii pot </w:t>
                      </w:r>
                      <w:r w:rsidRPr="00BC3D14">
                        <w:rPr>
                          <w:b/>
                        </w:rPr>
                        <w:t>furniza mai ușor servicii de construcții la nivel transfrontalier</w:t>
                      </w:r>
                      <w:r w:rsidRPr="00BC3D14">
                        <w:t xml:space="preserve">, fără a scădea standardele sociale, prin intermediul unui </w:t>
                      </w:r>
                      <w:r w:rsidRPr="00BC3D14">
                        <w:rPr>
                          <w:b/>
                        </w:rPr>
                        <w:t>act legislativ privind serviciile din domeniul construcțiilor</w:t>
                      </w:r>
                      <w:r w:rsidRPr="00BC3D14">
                        <w:t xml:space="preserve"> (T4 2026).</w:t>
                      </w:r>
                    </w:p>
                    <w:p w14:paraId="7A36AEA2" w14:textId="50175139" w:rsidR="00635432" w:rsidRPr="00BC3D14" w:rsidRDefault="00635432" w:rsidP="00CF4775">
                      <w:pPr>
                        <w:rPr>
                          <w:rFonts w:eastAsiaTheme="minorEastAsia" w:cs="Times New Roman"/>
                          <w:szCs w:val="24"/>
                        </w:rPr>
                      </w:pPr>
                      <w:r w:rsidRPr="00BC3D14">
                        <w:t xml:space="preserve">- </w:t>
                      </w:r>
                      <w:r w:rsidRPr="00BC3D14">
                        <w:rPr>
                          <w:b/>
                        </w:rPr>
                        <w:t>Inițiativa privind portabilitatea competențelor</w:t>
                      </w:r>
                      <w:r w:rsidRPr="00BC3D14">
                        <w:t xml:space="preserve"> urmărește să permită atât lucrătorilor, cât și angajatorilor să folosească mai eficient sistemele de recunoaștere și să modernizeze procesele de recunoaștere (T3 2026)</w:t>
                      </w:r>
                      <w:r w:rsidR="00784EC5">
                        <w:t>.</w:t>
                      </w:r>
                    </w:p>
                    <w:p w14:paraId="41CA4CC1" w14:textId="77777777" w:rsidR="00BE4B53" w:rsidRPr="00BC3D14" w:rsidRDefault="00BE4B53" w:rsidP="00CF4775">
                      <w:pPr>
                        <w:rPr>
                          <w:rFonts w:eastAsiaTheme="minorEastAsia" w:cs="Times New Roman"/>
                          <w:szCs w:val="24"/>
                        </w:rPr>
                      </w:pPr>
                    </w:p>
                    <w:p w14:paraId="082AED0E" w14:textId="77777777" w:rsidR="00BE4B53" w:rsidRPr="00BC3D14" w:rsidRDefault="00BE4B53" w:rsidP="00CF4775">
                      <w:pPr>
                        <w:rPr>
                          <w:rFonts w:eastAsiaTheme="minorEastAsia" w:cs="Times New Roman"/>
                        </w:rPr>
                      </w:pPr>
                    </w:p>
                    <w:p w14:paraId="58F0BC4A" w14:textId="77777777" w:rsidR="00CF4775" w:rsidRPr="00BC3D14" w:rsidRDefault="00CF4775" w:rsidP="00CF4775">
                      <w:pPr>
                        <w:rPr>
                          <w:rFonts w:eastAsiaTheme="minorEastAsia" w:cs="Times New Roman"/>
                        </w:rPr>
                      </w:pPr>
                    </w:p>
                    <w:p w14:paraId="267442B8" w14:textId="77777777" w:rsidR="00CF4775" w:rsidRPr="00BC3D14" w:rsidRDefault="00CF4775" w:rsidP="00CF4775">
                      <w:pPr>
                        <w:rPr>
                          <w:rFonts w:eastAsiaTheme="minorEastAsia" w:cs="Times New Roman"/>
                        </w:rPr>
                      </w:pPr>
                    </w:p>
                    <w:p w14:paraId="55304C88" w14:textId="77777777" w:rsidR="00CF4775" w:rsidRPr="00BC3D14" w:rsidRDefault="00CF4775" w:rsidP="00CF4775">
                      <w:pPr>
                        <w:rPr>
                          <w:rFonts w:eastAsiaTheme="minorEastAsia" w:cs="Times New Roman"/>
                        </w:rPr>
                      </w:pPr>
                    </w:p>
                    <w:p w14:paraId="38F4E662" w14:textId="77777777" w:rsidR="00CF4775" w:rsidRPr="00BC3D14" w:rsidRDefault="00CF4775" w:rsidP="00CF4775">
                      <w:pPr>
                        <w:rPr>
                          <w:rFonts w:eastAsiaTheme="minorEastAsia" w:cs="Times New Roman"/>
                        </w:rPr>
                      </w:pPr>
                    </w:p>
                  </w:txbxContent>
                </v:textbox>
                <w10:wrap type="topAndBottom" anchorx="margin"/>
              </v:shape>
            </w:pict>
          </mc:Fallback>
        </mc:AlternateContent>
      </w:r>
      <w:r w:rsidRPr="00BC3D14">
        <w:rPr>
          <w:b/>
          <w:noProof/>
        </w:rPr>
        <w:t>Actul legislativ privind serviciile din domeniul construcțiilor</w:t>
      </w:r>
      <w:r w:rsidRPr="00BC3D14">
        <w:rPr>
          <w:noProof/>
        </w:rPr>
        <w:t xml:space="preserve"> urmărește să promoveze libera circulație a serviciilor de construcții și de instalare pe piața unică, prin asigurarea faptului că întreprinderile, antreprenorii și profesioniștii care sunt autorizați în statul lor membru de origine pot furniza mai ușor servicii în alte state membre, respectând în același timp drepturile sociale. Inițiativa vizează promovarea unui mediu de afaceri previzibil și stabil pentru întreprinderi și antreprenori și va sprijini, de asemenea, funcționarea transfrontalieră a IMM-urilor.</w:t>
      </w:r>
    </w:p>
    <w:p w14:paraId="02EE5AC5" w14:textId="4BF3C986" w:rsidR="00BC7F22" w:rsidRPr="00BC3D14" w:rsidRDefault="00761B71" w:rsidP="00D47F22">
      <w:pPr>
        <w:pStyle w:val="Heading2"/>
        <w:rPr>
          <w:rStyle w:val="Strong"/>
          <w:b w:val="0"/>
          <w:bCs w:val="0"/>
          <w:noProof/>
        </w:rPr>
      </w:pPr>
      <w:bookmarkStart w:id="18" w:name="_Toc213663464"/>
      <w:r w:rsidRPr="00BC3D14">
        <w:rPr>
          <w:rStyle w:val="Strong"/>
          <w:b w:val="0"/>
          <w:noProof/>
        </w:rPr>
        <w:t>Abordarea deficitului de competențe în ecosistemul construcțiilor</w:t>
      </w:r>
      <w:bookmarkEnd w:id="18"/>
    </w:p>
    <w:p w14:paraId="7D338AA8" w14:textId="3CD2F787" w:rsidR="00DA0E45" w:rsidRPr="00BC3D14" w:rsidRDefault="2D1A9C13" w:rsidP="00EF55AF">
      <w:pPr>
        <w:rPr>
          <w:noProof/>
        </w:rPr>
      </w:pPr>
      <w:r w:rsidRPr="00BC3D14">
        <w:rPr>
          <w:noProof/>
        </w:rPr>
        <w:t>Comisia se angajează să sprijine ecosistemul construcțiilor în dezvoltarea competențelor adecvate pentru a răspunde cererii tot mai mari de forță de muncă și de competențe în materie de locuințe și de alte lucrări de construcții</w:t>
      </w:r>
      <w:r w:rsidRPr="00BC3D14">
        <w:rPr>
          <w:bCs/>
          <w:noProof/>
        </w:rPr>
        <w:t xml:space="preserve">. </w:t>
      </w:r>
      <w:r w:rsidRPr="00BC3D14">
        <w:rPr>
          <w:noProof/>
        </w:rPr>
        <w:t xml:space="preserve">De exemplu, </w:t>
      </w:r>
      <w:r w:rsidRPr="00BC3D14">
        <w:rPr>
          <w:b/>
          <w:noProof/>
        </w:rPr>
        <w:t>Parteneriatul la scară largă pentru competențe în domeniul construcțiilor</w:t>
      </w:r>
      <w:r w:rsidRPr="00BC3D14">
        <w:rPr>
          <w:rStyle w:val="FootnoteReference"/>
          <w:noProof/>
        </w:rPr>
        <w:footnoteReference w:id="72"/>
      </w:r>
      <w:r w:rsidRPr="00BC3D14">
        <w:rPr>
          <w:noProof/>
        </w:rPr>
        <w:t xml:space="preserve"> a instituit un model de angajament comun: actorii majori din ecosistemele industriale, inclusiv asociațiile și autoritățile publice relevante, se angajează să coopereze și să investească în perfecționare și recalificare. În special, se stabilesc sinergii pentru a permite o participare ridicată a angajaților IMM-urilor la astfel de cursuri de formare. Prin activitățile sale, Parteneriatul la scară largă pentru competențe va </w:t>
      </w:r>
      <w:r w:rsidRPr="00BC3D14">
        <w:rPr>
          <w:b/>
          <w:noProof/>
        </w:rPr>
        <w:t>promova perfecționarea și recalificarea</w:t>
      </w:r>
      <w:r w:rsidRPr="00BC3D14">
        <w:rPr>
          <w:noProof/>
        </w:rPr>
        <w:t xml:space="preserve"> a 30 % din forța de muncă în fiecare an până în 2030 în întreaga industrie, cu un obiectiv de 3 milioane de persoane formate anual în cadrul forței de muncă din sectorul construcțiilor din UE până în 2030.</w:t>
      </w:r>
    </w:p>
    <w:p w14:paraId="60FD2424" w14:textId="6863369E" w:rsidR="00016DBD" w:rsidRPr="00BC3D14" w:rsidRDefault="7E681EEF" w:rsidP="5AD75BDB">
      <w:pPr>
        <w:spacing w:line="240" w:lineRule="auto"/>
        <w:rPr>
          <w:rFonts w:eastAsiaTheme="minorEastAsia" w:cs="Times New Roman"/>
          <w:noProof/>
        </w:rPr>
      </w:pPr>
      <w:r w:rsidRPr="00BC3D14">
        <w:rPr>
          <w:b/>
          <w:noProof/>
        </w:rPr>
        <w:t xml:space="preserve">Alianța pentru planul privind </w:t>
      </w:r>
      <w:r w:rsidRPr="00BC3D14">
        <w:rPr>
          <w:noProof/>
        </w:rPr>
        <w:t>„Modernizarea formării profesionale în sectorul construcțiilor”</w:t>
      </w:r>
      <w:r w:rsidRPr="00BC3D14">
        <w:rPr>
          <w:rStyle w:val="FootnoteReference"/>
          <w:rFonts w:eastAsiaTheme="minorEastAsia" w:cs="Times New Roman"/>
          <w:noProof/>
        </w:rPr>
        <w:footnoteReference w:id="73"/>
      </w:r>
      <w:r w:rsidRPr="00BC3D14">
        <w:rPr>
          <w:b/>
          <w:noProof/>
        </w:rPr>
        <w:t xml:space="preserve"> </w:t>
      </w:r>
      <w:r w:rsidRPr="00BC3D14">
        <w:rPr>
          <w:noProof/>
        </w:rPr>
        <w:t xml:space="preserve">va elabora acțiuni de formare pentru a răspunde nevoilor urgente în materie de competențe în 2026 și nevoilor pe termen lung în materie de competențe în 2028, inclusiv inițiative de îmbunătățire a imaginii ecosistemului și de creștere a atractivității pentru tinerele talente și femei, inclusiv prin consolidarea ofertei de programe de ucenicie. Alături de prezenta comunicare, </w:t>
      </w:r>
      <w:r w:rsidRPr="00BC3D14">
        <w:rPr>
          <w:b/>
          <w:noProof/>
        </w:rPr>
        <w:t>Comisia a publicat un raport analitic care cartografiază nevoile actuale și viitoare în materie de competențe și de forță de muncă în sectorul construcțiilor</w:t>
      </w:r>
      <w:r w:rsidRPr="00BC3D14">
        <w:rPr>
          <w:rStyle w:val="FootnoteReference"/>
          <w:rFonts w:eastAsiaTheme="minorEastAsia" w:cs="Times New Roman"/>
          <w:b/>
          <w:bCs/>
          <w:noProof/>
        </w:rPr>
        <w:footnoteReference w:id="74"/>
      </w:r>
      <w:r w:rsidRPr="00BC3D14">
        <w:rPr>
          <w:noProof/>
        </w:rPr>
        <w:t xml:space="preserve">, cu o perspectivă pentru 2030. Raportul va îmbunătăți informațiile fragmentate privind competențele și va furniza dovezi pentru viitoarele politici legate de competențe din ecosistemul construcțiilor. </w:t>
      </w:r>
    </w:p>
    <w:p w14:paraId="34E1017A" w14:textId="6E8D032E" w:rsidR="00563E0A" w:rsidRPr="00BC3D14" w:rsidRDefault="106609C0" w:rsidP="21FE4B52">
      <w:pPr>
        <w:tabs>
          <w:tab w:val="left" w:pos="1245"/>
          <w:tab w:val="left" w:pos="3630"/>
        </w:tabs>
        <w:spacing w:after="120" w:line="240" w:lineRule="auto"/>
        <w:rPr>
          <w:rFonts w:eastAsia="Times New Roman" w:cs="Times New Roman"/>
          <w:noProof/>
        </w:rPr>
      </w:pPr>
      <w:r w:rsidRPr="00BC3D14">
        <w:rPr>
          <w:noProof/>
        </w:rPr>
        <w:t xml:space="preserve">Acțiunile respective vor fi sprijinite de alte activități ale Comisiei pentru elaborarea, implementarea și schimbul de bune practici în ceea ce privește renovarea aprofundată, modelarea informațiilor privind clădirile și construcțiile circulare. Acestea sunt puse în aplicare prin diverse inițiative ale Comisiei, cum ar fi „BUILD UP Skills” (formarea competențelor), centrele de excelență profesională în sectorul construcțiilor și Alianța europeană pentru ucenicii. Comisia încurajează statele membre să utilizeze în mod optim Fondul social european+ și finanțarea publică națională pentru a organiza cursuri de formare adaptate exigențelor viitorului pentru recalificare și perfecționare. </w:t>
      </w:r>
    </w:p>
    <w:p w14:paraId="282FA7FD" w14:textId="37FCB76E" w:rsidR="00EC3E4C" w:rsidRPr="00BC3D14" w:rsidRDefault="007633E3" w:rsidP="21FE4B52">
      <w:pPr>
        <w:tabs>
          <w:tab w:val="left" w:pos="1245"/>
          <w:tab w:val="left" w:pos="3630"/>
        </w:tabs>
        <w:spacing w:after="120" w:line="240" w:lineRule="auto"/>
        <w:rPr>
          <w:rFonts w:eastAsiaTheme="minorEastAsia" w:cs="Times New Roman"/>
          <w:noProof/>
        </w:rPr>
      </w:pPr>
      <w:r w:rsidRPr="00BC3D14">
        <w:rPr>
          <w:noProof/>
          <w:lang w:val="en-GB" w:eastAsia="en-GB"/>
        </w:rPr>
        <mc:AlternateContent>
          <mc:Choice Requires="wps">
            <w:drawing>
              <wp:anchor distT="0" distB="0" distL="114300" distR="114300" simplePos="0" relativeHeight="251658242" behindDoc="0" locked="0" layoutInCell="1" allowOverlap="1" wp14:anchorId="34118143" wp14:editId="2A91D748">
                <wp:simplePos x="0" y="0"/>
                <wp:positionH relativeFrom="margin">
                  <wp:align>right</wp:align>
                </wp:positionH>
                <wp:positionV relativeFrom="paragraph">
                  <wp:posOffset>1135380</wp:posOffset>
                </wp:positionV>
                <wp:extent cx="5924550" cy="2200275"/>
                <wp:effectExtent l="0" t="0" r="19050" b="28575"/>
                <wp:wrapTopAndBottom/>
                <wp:docPr id="321610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200275"/>
                        </a:xfrm>
                        <a:prstGeom prst="rect">
                          <a:avLst/>
                        </a:prstGeom>
                        <a:solidFill>
                          <a:srgbClr val="FFFFFF"/>
                        </a:solidFill>
                        <a:ln w="9525">
                          <a:solidFill>
                            <a:srgbClr val="000000"/>
                          </a:solidFill>
                          <a:miter lim="800000"/>
                          <a:headEnd/>
                          <a:tailEnd/>
                        </a:ln>
                      </wps:spPr>
                      <wps:txbx>
                        <w:txbxContent>
                          <w:p w14:paraId="00417EF7" w14:textId="77777777" w:rsidR="003B4DDF" w:rsidRPr="00BC3D14" w:rsidRDefault="003B4DDF" w:rsidP="003B4DDF">
                            <w:pPr>
                              <w:rPr>
                                <w:b/>
                                <w:bCs/>
                              </w:rPr>
                            </w:pPr>
                            <w:r w:rsidRPr="00BC3D14">
                              <w:rPr>
                                <w:b/>
                              </w:rPr>
                              <w:t>Acțiunea 7 – Creșterea disponibilității forței de muncă calificate în construcții</w:t>
                            </w:r>
                          </w:p>
                          <w:p w14:paraId="6BB07A95" w14:textId="14DD4915" w:rsidR="00686504" w:rsidRPr="00BC3D14" w:rsidRDefault="00686504" w:rsidP="00686504">
                            <w:pPr>
                              <w:rPr>
                                <w:rFonts w:eastAsiaTheme="minorEastAsia" w:cs="Times New Roman"/>
                              </w:rPr>
                            </w:pPr>
                            <w:r w:rsidRPr="00BC3D14">
                              <w:t xml:space="preserve">- Viitorul Fond european pentru competitivitate va fi în măsură </w:t>
                            </w:r>
                            <w:r w:rsidRPr="00BC3D14">
                              <w:rPr>
                                <w:b/>
                              </w:rPr>
                              <w:t xml:space="preserve">să sprijine acțiunile de perfecționare și recalificare </w:t>
                            </w:r>
                            <w:r w:rsidRPr="00BC3D14">
                              <w:t xml:space="preserve">în domeniile acoperite de fond, cum ar fi construcțiile, și </w:t>
                            </w:r>
                            <w:r w:rsidRPr="00BC3D14">
                              <w:rPr>
                                <w:b/>
                              </w:rPr>
                              <w:t xml:space="preserve">să promoveze parteneriatele public-privat </w:t>
                            </w:r>
                            <w:r w:rsidRPr="00BC3D14">
                              <w:t>între universități, furnizorii de educație și formare profesională (EFP), întreprinderi (în special IMM-uri), parteneri sociali și institute de cercetare aplicată.</w:t>
                            </w:r>
                          </w:p>
                          <w:p w14:paraId="6C5B9074" w14:textId="3BB9EB5F" w:rsidR="00AC05CE" w:rsidRPr="00BC3D14" w:rsidRDefault="007D33A4" w:rsidP="00AC05CE">
                            <w:pPr>
                              <w:tabs>
                                <w:tab w:val="left" w:pos="1245"/>
                                <w:tab w:val="left" w:pos="3630"/>
                              </w:tabs>
                              <w:spacing w:after="120" w:line="240" w:lineRule="auto"/>
                              <w:rPr>
                                <w:rFonts w:eastAsiaTheme="minorEastAsia" w:cs="Times New Roman"/>
                              </w:rPr>
                            </w:pPr>
                            <w:r w:rsidRPr="00BC3D14">
                              <w:t xml:space="preserve">- </w:t>
                            </w:r>
                            <w:hyperlink r:id="rId15">
                              <w:r w:rsidRPr="00BC3D14">
                                <w:rPr>
                                  <w:b/>
                                </w:rPr>
                                <w:t>Academia noului Bauhaus european</w:t>
                              </w:r>
                              <w:r w:rsidRPr="00BC3D14">
                                <w:t xml:space="preserve"> </w:t>
                              </w:r>
                            </w:hyperlink>
                            <w:r w:rsidRPr="00BC3D14">
                              <w:t xml:space="preserve">va fi extinsă pentru a sprijini inovarea și cercetarea, </w:t>
                            </w:r>
                            <w:r w:rsidRPr="00BC3D14">
                              <w:rPr>
                                <w:b/>
                              </w:rPr>
                              <w:t>pentru a consolida capacitățile și competențele pentru metode și materiale de construcție inovatoare</w:t>
                            </w:r>
                            <w:r w:rsidRPr="00BC3D14">
                              <w:t xml:space="preserve"> în întreaga UE și pentru a sprijini IMM-urile și profesioniștii.</w:t>
                            </w:r>
                            <w:r w:rsidR="00BC3D14">
                              <w:t xml:space="preserve"> </w:t>
                            </w:r>
                          </w:p>
                          <w:p w14:paraId="0FC190C7" w14:textId="77777777" w:rsidR="003B4DDF" w:rsidRPr="00BC3D14" w:rsidRDefault="003B4DDF" w:rsidP="003B4DDF">
                            <w:pPr>
                              <w:rPr>
                                <w:rFonts w:eastAsiaTheme="minorEastAsia" w:cs="Times New Roman"/>
                              </w:rPr>
                            </w:pPr>
                          </w:p>
                          <w:p w14:paraId="0FDBE5A8" w14:textId="77777777" w:rsidR="003B4DDF" w:rsidRPr="00BC3D14" w:rsidRDefault="003B4DDF" w:rsidP="003B4DDF">
                            <w:pPr>
                              <w:rPr>
                                <w:rFonts w:eastAsiaTheme="minorEastAsia" w:cs="Times New Roman"/>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4118143" id="_x0000_s1032" type="#_x0000_t202" style="position:absolute;left:0;text-align:left;margin-left:415.3pt;margin-top:89.4pt;width:466.5pt;height:173.25pt;z-index:25165824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">
                <v:textbox>
                  <w:txbxContent>
                    <w:p w14:paraId="00417EF7" w14:textId="77777777" w:rsidR="003B4DDF" w:rsidRPr="00BC3D14" w:rsidRDefault="003B4DDF" w:rsidP="003B4DDF">
                      <w:pPr>
                        <w:rPr>
                          <w:b/>
                          <w:bCs/>
                        </w:rPr>
                      </w:pPr>
                      <w:r w:rsidRPr="00BC3D14">
                        <w:rPr>
                          <w:b/>
                        </w:rPr>
                        <w:t>Acțiunea 7 – Creșterea disponibilității forței de muncă calificate în construcții</w:t>
                      </w:r>
                    </w:p>
                    <w:p w14:paraId="6BB07A95" w14:textId="14DD4915" w:rsidR="00686504" w:rsidRPr="00BC3D14" w:rsidRDefault="00686504" w:rsidP="00686504">
                      <w:pPr>
                        <w:rPr>
                          <w:rFonts w:eastAsiaTheme="minorEastAsia" w:cs="Times New Roman"/>
                        </w:rPr>
                      </w:pPr>
                      <w:r w:rsidRPr="00BC3D14">
                        <w:t xml:space="preserve">- Viitorul Fond european pentru competitivitate va fi în măsură </w:t>
                      </w:r>
                      <w:r w:rsidRPr="00BC3D14">
                        <w:rPr>
                          <w:b/>
                        </w:rPr>
                        <w:t xml:space="preserve">să sprijine acțiunile de perfecționare și recalificare </w:t>
                      </w:r>
                      <w:r w:rsidRPr="00BC3D14">
                        <w:t xml:space="preserve">în domeniile acoperite de fond, cum ar fi construcțiile, și </w:t>
                      </w:r>
                      <w:r w:rsidRPr="00BC3D14">
                        <w:rPr>
                          <w:b/>
                        </w:rPr>
                        <w:t xml:space="preserve">să promoveze parteneriatele public-privat </w:t>
                      </w:r>
                      <w:r w:rsidRPr="00BC3D14">
                        <w:t>între universități, furnizorii de educație și formare profesională (EFP), întreprinderi (în special IMM-uri), parteneri sociali și institute de cercetare aplicată.</w:t>
                      </w:r>
                    </w:p>
                    <w:p w14:paraId="6C5B9074" w14:textId="3BB9EB5F" w:rsidR="00AC05CE" w:rsidRPr="00BC3D14" w:rsidRDefault="007D33A4" w:rsidP="00AC05CE">
                      <w:pPr>
                        <w:tabs>
                          <w:tab w:val="left" w:pos="1245"/>
                          <w:tab w:val="left" w:pos="3630"/>
                        </w:tabs>
                        <w:spacing w:after="120" w:line="240" w:lineRule="auto"/>
                        <w:rPr>
                          <w:rFonts w:eastAsiaTheme="minorEastAsia" w:cs="Times New Roman"/>
                        </w:rPr>
                      </w:pPr>
                      <w:r w:rsidRPr="00BC3D14">
                        <w:t xml:space="preserve">- </w:t>
                      </w:r>
                      <w:hyperlink r:id="rId16">
                        <w:r w:rsidRPr="00BC3D14">
                          <w:rPr>
                            <w:b/>
                          </w:rPr>
                          <w:t>Academia noului Bauhaus european</w:t>
                        </w:r>
                        <w:r w:rsidRPr="00BC3D14">
                          <w:t xml:space="preserve"> </w:t>
                        </w:r>
                      </w:hyperlink>
                      <w:r w:rsidRPr="00BC3D14">
                        <w:t xml:space="preserve">va fi extinsă pentru a sprijini inovarea și cercetarea, </w:t>
                      </w:r>
                      <w:r w:rsidRPr="00BC3D14">
                        <w:rPr>
                          <w:b/>
                        </w:rPr>
                        <w:t>pentru a consolida capacitățile și competențele pentru metode și materiale de construcție inovatoare</w:t>
                      </w:r>
                      <w:r w:rsidRPr="00BC3D14">
                        <w:t xml:space="preserve"> în întreaga UE și pentru a sprijini IMM-urile și profesioniștii.</w:t>
                      </w:r>
                      <w:r w:rsidR="00BC3D14">
                        <w:t xml:space="preserve"> </w:t>
                      </w:r>
                    </w:p>
                    <w:p w14:paraId="0FC190C7" w14:textId="77777777" w:rsidR="003B4DDF" w:rsidRPr="00BC3D14" w:rsidRDefault="003B4DDF" w:rsidP="003B4DDF">
                      <w:pPr>
                        <w:rPr>
                          <w:rFonts w:eastAsiaTheme="minorEastAsia" w:cs="Times New Roman"/>
                        </w:rPr>
                      </w:pPr>
                    </w:p>
                    <w:p w14:paraId="0FDBE5A8" w14:textId="77777777" w:rsidR="003B4DDF" w:rsidRPr="00BC3D14" w:rsidRDefault="003B4DDF" w:rsidP="003B4DDF">
                      <w:pPr>
                        <w:rPr>
                          <w:rFonts w:eastAsiaTheme="minorEastAsia" w:cs="Times New Roman"/>
                        </w:rPr>
                      </w:pPr>
                    </w:p>
                  </w:txbxContent>
                </v:textbox>
                <w10:wrap type="topAndBottom" anchorx="margin"/>
              </v:shape>
            </w:pict>
          </mc:Fallback>
        </mc:AlternateContent>
      </w:r>
      <w:r w:rsidRPr="00BC3D14">
        <w:rPr>
          <w:b/>
          <w:noProof/>
        </w:rPr>
        <w:t>Academia noului Bauhaus european</w:t>
      </w:r>
      <w:r w:rsidRPr="00BC3D14">
        <w:rPr>
          <w:noProof/>
        </w:rPr>
        <w:t xml:space="preserve"> va accelera perfecționarea și recalificarea în ecosistemul construcțiilor pentru a sprijini tranziția către un sistem mai regenerativ și mai circular de utilizare a materialelor. Extinderea și consolidarea Academiei noului Bauhaus european vor sprijini în continuare dezvoltarea cunoștințelor, a competențelor și a inovării, inclusiv sprijinirea startupurilor și a spațiilor de testare pentru produsele inovatoare.</w:t>
      </w:r>
    </w:p>
    <w:p w14:paraId="7A9CC757" w14:textId="6326FB1E" w:rsidR="00264438" w:rsidRPr="00BC3D14" w:rsidRDefault="00DA67FA" w:rsidP="00051BFD">
      <w:pPr>
        <w:pStyle w:val="Heading1"/>
        <w:rPr>
          <w:rStyle w:val="Strong"/>
          <w:b w:val="0"/>
          <w:bCs w:val="0"/>
          <w:noProof/>
        </w:rPr>
      </w:pPr>
      <w:bookmarkStart w:id="19" w:name="_Toc213663465"/>
      <w:r w:rsidRPr="00BC3D14">
        <w:rPr>
          <w:rStyle w:val="Heading1Char"/>
          <w:noProof/>
        </w:rPr>
        <w:t>Colaborarea în vederea punerii în aplicare</w:t>
      </w:r>
      <w:bookmarkEnd w:id="19"/>
    </w:p>
    <w:p w14:paraId="153A2BA0" w14:textId="631FF136" w:rsidR="00315441" w:rsidRPr="00BC3D14" w:rsidRDefault="00315441" w:rsidP="007B280C">
      <w:pPr>
        <w:spacing w:line="240" w:lineRule="auto"/>
        <w:rPr>
          <w:rFonts w:cs="Times New Roman"/>
          <w:noProof/>
        </w:rPr>
      </w:pPr>
      <w:r w:rsidRPr="00BC3D14">
        <w:rPr>
          <w:noProof/>
        </w:rPr>
        <w:t xml:space="preserve">Revigorarea ecosistemului construcțiilor pentru a stimula competitivitatea Europei necesită transformarea acestuia dintr-un sector fragmentat și cu utilizare intensivă a resurselor într-un ecosistem industrial modern, competitiv, digital și durabil. Un ecosistem al construcțiilor mai productiv se traduce printr-o intensitate sporită a construcțiilor, inclusiv printr-o ofertă de locuințe la prețuri mai accesibile. </w:t>
      </w:r>
    </w:p>
    <w:p w14:paraId="73A85956" w14:textId="32B5F606" w:rsidR="00315441" w:rsidRPr="00BC3D14" w:rsidRDefault="579DCC80" w:rsidP="007B280C">
      <w:pPr>
        <w:spacing w:after="120" w:line="240" w:lineRule="auto"/>
        <w:rPr>
          <w:noProof/>
        </w:rPr>
      </w:pPr>
      <w:r w:rsidRPr="00BC3D14">
        <w:rPr>
          <w:noProof/>
        </w:rPr>
        <w:t xml:space="preserve">Comisia </w:t>
      </w:r>
      <w:r w:rsidRPr="00BC3D14">
        <w:rPr>
          <w:b/>
          <w:noProof/>
        </w:rPr>
        <w:t>va monitoriza</w:t>
      </w:r>
      <w:r w:rsidRPr="00BC3D14">
        <w:rPr>
          <w:noProof/>
        </w:rPr>
        <w:t xml:space="preserve"> în permanență situația din sector, reziliența, productivitatea și decarbonizarea în curs ale acestuia, în strânsă cooperare cu toți actorii relevanți. </w:t>
      </w:r>
      <w:r w:rsidRPr="00BC3D14">
        <w:rPr>
          <w:b/>
          <w:noProof/>
        </w:rPr>
        <w:t>Forumul la nivel înalt în domeniul construcțiilor</w:t>
      </w:r>
      <w:r w:rsidRPr="00BC3D14">
        <w:rPr>
          <w:rStyle w:val="FootnoteReference"/>
          <w:b/>
          <w:bCs/>
          <w:noProof/>
        </w:rPr>
        <w:footnoteReference w:id="75"/>
      </w:r>
      <w:r w:rsidRPr="00BC3D14">
        <w:rPr>
          <w:noProof/>
        </w:rPr>
        <w:t xml:space="preserve"> va oferi principala platformă pentru continuarea comunicării cu privire la acțiunile stabilite în strategie, precum și pentru monitorizarea performanței economice a sectorului și a contribuției acestuia la reducerea deficitului în ceea ce privește oferta de locuințe. Forumul la nivel înalt în domeniul construcțiilor va asigura sinergii cu Alianța europeană pentru locuințe anunțată în Planul european privind locuințele la prețuri accesibile. Alianța va pune la dispoziție o platformă pentru monitorizarea punerii în aplicare a măsurilor naționale legate de procedurile de autorizare și de cele administrative.</w:t>
      </w:r>
    </w:p>
    <w:p w14:paraId="44FAE186" w14:textId="4C5D24FE" w:rsidR="00EA2F8F" w:rsidRPr="00BC3D14" w:rsidRDefault="00315441" w:rsidP="007B280C">
      <w:pPr>
        <w:spacing w:line="240" w:lineRule="auto"/>
        <w:rPr>
          <w:noProof/>
        </w:rPr>
      </w:pPr>
      <w:r w:rsidRPr="00BC3D14">
        <w:rPr>
          <w:noProof/>
        </w:rPr>
        <w:t>Acest efort este unul colectiv. Statele membre, autoritățile regionale și locale, industria, partenerii sociali și instituțiile financiare au cu toții un rol de îndeplinit. Lucrând împreună, Europa își poate transforma ecosistemul construcțiilor într-un adevărat motor al competitivității, care clădește nu numai locuințe, ci și reziliență, oportunități și încredere în viitorul Europei.</w:t>
      </w:r>
    </w:p>
    <w:sectPr w:rsidR="00EA2F8F" w:rsidRPr="00BC3D14" w:rsidSect="008F2409">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0119E" w14:textId="77777777" w:rsidR="00756AAB" w:rsidRPr="00BC3D14" w:rsidRDefault="00756AAB">
      <w:pPr>
        <w:spacing w:after="0" w:line="240" w:lineRule="auto"/>
      </w:pPr>
      <w:r w:rsidRPr="00BC3D14">
        <w:separator/>
      </w:r>
    </w:p>
  </w:endnote>
  <w:endnote w:type="continuationSeparator" w:id="0">
    <w:p w14:paraId="117F5E29" w14:textId="77777777" w:rsidR="00756AAB" w:rsidRPr="00BC3D14" w:rsidRDefault="00756AAB">
      <w:pPr>
        <w:spacing w:after="0" w:line="240" w:lineRule="auto"/>
      </w:pPr>
      <w:r w:rsidRPr="00BC3D14">
        <w:continuationSeparator/>
      </w:r>
    </w:p>
  </w:endnote>
  <w:endnote w:type="continuationNotice" w:id="1">
    <w:p w14:paraId="2786905D" w14:textId="77777777" w:rsidR="00756AAB" w:rsidRPr="00BC3D14" w:rsidRDefault="00756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C1F49" w14:textId="11A38972" w:rsidR="006A22CE" w:rsidRPr="006A22CE" w:rsidRDefault="006A22CE" w:rsidP="006A22CE">
    <w:pPr>
      <w:pStyle w:val="FooterCoverPage"/>
      <w:rPr>
        <w:rFonts w:ascii="Arial" w:hAnsi="Arial" w:cs="Arial"/>
        <w:b/>
        <w:sz w:val="48"/>
      </w:rPr>
    </w:pPr>
    <w:r w:rsidRPr="006A22CE">
      <w:rPr>
        <w:rFonts w:ascii="Arial" w:hAnsi="Arial" w:cs="Arial"/>
        <w:b/>
        <w:sz w:val="48"/>
      </w:rPr>
      <w:t>RO</w:t>
    </w:r>
    <w:r w:rsidRPr="006A22CE">
      <w:rPr>
        <w:rFonts w:ascii="Arial" w:hAnsi="Arial" w:cs="Arial"/>
        <w:b/>
        <w:sz w:val="48"/>
      </w:rPr>
      <w:tab/>
    </w:r>
    <w:r w:rsidRPr="006A22CE">
      <w:rPr>
        <w:rFonts w:ascii="Arial" w:hAnsi="Arial" w:cs="Arial"/>
        <w:b/>
        <w:sz w:val="48"/>
      </w:rPr>
      <w:tab/>
    </w:r>
    <w:r w:rsidRPr="006A22CE">
      <w:tab/>
    </w:r>
    <w:r w:rsidRPr="006A22C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9234C" w14:textId="61D294C7" w:rsidR="006A22CE" w:rsidRPr="006A22CE" w:rsidRDefault="006A22CE" w:rsidP="006A22CE">
    <w:pPr>
      <w:pStyle w:val="FooterCoverPage"/>
      <w:rPr>
        <w:rFonts w:ascii="Arial" w:hAnsi="Arial" w:cs="Arial"/>
        <w:b/>
        <w:sz w:val="48"/>
      </w:rPr>
    </w:pPr>
    <w:r w:rsidRPr="006A22CE">
      <w:rPr>
        <w:rFonts w:ascii="Arial" w:hAnsi="Arial" w:cs="Arial"/>
        <w:b/>
        <w:sz w:val="48"/>
      </w:rPr>
      <w:t>RO</w:t>
    </w:r>
    <w:r w:rsidRPr="006A22CE">
      <w:rPr>
        <w:rFonts w:ascii="Arial" w:hAnsi="Arial" w:cs="Arial"/>
        <w:b/>
        <w:sz w:val="48"/>
      </w:rPr>
      <w:tab/>
    </w:r>
    <w:r w:rsidRPr="006A22CE">
      <w:rPr>
        <w:rFonts w:ascii="Arial" w:hAnsi="Arial" w:cs="Arial"/>
        <w:b/>
        <w:sz w:val="48"/>
      </w:rPr>
      <w:tab/>
    </w:r>
    <w:r w:rsidRPr="006A22CE">
      <w:tab/>
    </w:r>
    <w:r w:rsidRPr="006A22C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77E54" w14:textId="77777777" w:rsidR="006A22CE" w:rsidRPr="006A22CE" w:rsidRDefault="006A22CE" w:rsidP="006A22C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20D7F" w14:textId="77777777" w:rsidR="006A7C0E" w:rsidRPr="00BC3D14" w:rsidRDefault="006A7C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509891"/>
      <w:docPartObj>
        <w:docPartGallery w:val="Page Numbers (Bottom of Page)"/>
        <w:docPartUnique/>
      </w:docPartObj>
    </w:sdtPr>
    <w:sdtEndPr/>
    <w:sdtContent>
      <w:p w14:paraId="0DABA78A" w14:textId="12E9F190" w:rsidR="006A7C0E" w:rsidRPr="00BC3D14" w:rsidRDefault="006A7C0E">
        <w:pPr>
          <w:pStyle w:val="Footer"/>
          <w:jc w:val="center"/>
        </w:pPr>
        <w:r w:rsidRPr="00BC3D14">
          <w:fldChar w:fldCharType="begin"/>
        </w:r>
        <w:r w:rsidRPr="00BC3D14">
          <w:instrText xml:space="preserve"> PAGE   \* MERGEFORMAT </w:instrText>
        </w:r>
        <w:r w:rsidRPr="00BC3D14">
          <w:fldChar w:fldCharType="separate"/>
        </w:r>
        <w:r w:rsidR="006A22CE">
          <w:rPr>
            <w:noProof/>
          </w:rPr>
          <w:t>11</w:t>
        </w:r>
        <w:r w:rsidRPr="00BC3D14">
          <w:fldChar w:fldCharType="end"/>
        </w:r>
      </w:p>
    </w:sdtContent>
  </w:sdt>
  <w:p w14:paraId="0D472351" w14:textId="77777777" w:rsidR="006A7C0E" w:rsidRPr="00BC3D14" w:rsidRDefault="006A7C0E">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40744"/>
      <w:docPartObj>
        <w:docPartGallery w:val="Page Numbers (Bottom of Page)"/>
        <w:docPartUnique/>
      </w:docPartObj>
    </w:sdtPr>
    <w:sdtEndPr/>
    <w:sdtContent>
      <w:p w14:paraId="0100A0B0" w14:textId="0F96FCE5" w:rsidR="008F2409" w:rsidRPr="00BC3D14" w:rsidRDefault="008F2409">
        <w:pPr>
          <w:pStyle w:val="Footer"/>
          <w:jc w:val="center"/>
        </w:pPr>
        <w:r w:rsidRPr="00BC3D14">
          <w:fldChar w:fldCharType="begin"/>
        </w:r>
        <w:r w:rsidRPr="00BC3D14">
          <w:instrText xml:space="preserve"> PAGE   \* MERGEFORMAT </w:instrText>
        </w:r>
        <w:r w:rsidRPr="00BC3D14">
          <w:fldChar w:fldCharType="separate"/>
        </w:r>
        <w:r w:rsidR="006A22CE">
          <w:rPr>
            <w:noProof/>
          </w:rPr>
          <w:t>1</w:t>
        </w:r>
        <w:r w:rsidRPr="00BC3D14">
          <w:fldChar w:fldCharType="end"/>
        </w:r>
      </w:p>
    </w:sdtContent>
  </w:sdt>
  <w:p w14:paraId="05E46D3D" w14:textId="77777777" w:rsidR="006A7C0E" w:rsidRPr="00BC3D14" w:rsidRDefault="006A7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321B9" w14:textId="77777777" w:rsidR="00756AAB" w:rsidRPr="00BC3D14" w:rsidRDefault="00756AAB">
      <w:pPr>
        <w:spacing w:after="0" w:line="240" w:lineRule="auto"/>
      </w:pPr>
      <w:r w:rsidRPr="00BC3D14">
        <w:separator/>
      </w:r>
    </w:p>
  </w:footnote>
  <w:footnote w:type="continuationSeparator" w:id="0">
    <w:p w14:paraId="56E55B14" w14:textId="77777777" w:rsidR="00756AAB" w:rsidRPr="00BC3D14" w:rsidRDefault="00756AAB">
      <w:pPr>
        <w:spacing w:after="0" w:line="240" w:lineRule="auto"/>
      </w:pPr>
      <w:r w:rsidRPr="00BC3D14">
        <w:continuationSeparator/>
      </w:r>
    </w:p>
  </w:footnote>
  <w:footnote w:type="continuationNotice" w:id="1">
    <w:p w14:paraId="3E7CD7C6" w14:textId="77777777" w:rsidR="00756AAB" w:rsidRPr="00BC3D14" w:rsidRDefault="00756AAB">
      <w:pPr>
        <w:spacing w:after="0" w:line="240" w:lineRule="auto"/>
      </w:pPr>
    </w:p>
  </w:footnote>
  <w:footnote w:id="2">
    <w:p w14:paraId="46B05A91" w14:textId="184CC245" w:rsidR="002B183C" w:rsidRPr="00BC3D14" w:rsidRDefault="002B183C" w:rsidP="002B183C">
      <w:pPr>
        <w:pStyle w:val="FootnoteText"/>
      </w:pPr>
      <w:r w:rsidRPr="00BC3D14">
        <w:rPr>
          <w:rStyle w:val="FootnoteReference"/>
        </w:rPr>
        <w:footnoteRef/>
      </w:r>
      <w:r w:rsidRPr="00BC3D14">
        <w:t xml:space="preserve"> A se vedea Balouktsi et al. (2025) “Housing investment needs in the EU” (Nevoile de investiții în locuințe în UE). Nota informativă a JRC privind știința în sprijinul politicilor.</w:t>
      </w:r>
    </w:p>
  </w:footnote>
  <w:footnote w:id="3">
    <w:p w14:paraId="239C1B42" w14:textId="50B03FDB" w:rsidR="00DF627D" w:rsidRPr="00BC3D14" w:rsidRDefault="00DF627D" w:rsidP="00DF627D">
      <w:pPr>
        <w:pStyle w:val="FootnoteText"/>
      </w:pPr>
      <w:r w:rsidRPr="00BC3D14">
        <w:rPr>
          <w:rStyle w:val="FootnoteReference"/>
        </w:rPr>
        <w:footnoteRef/>
      </w:r>
      <w:r w:rsidRPr="00BC3D14">
        <w:t xml:space="preserve"> COM(2025) 1025 – </w:t>
      </w:r>
      <w:r w:rsidRPr="00BC3D14">
        <w:rPr>
          <w:i/>
        </w:rPr>
        <w:t>Homes for all</w:t>
      </w:r>
      <w:r w:rsidRPr="00BC3D14">
        <w:t xml:space="preserve"> (Locuințe pentru toți) – Planul european privind locuințele la prețuri accesibile.</w:t>
      </w:r>
    </w:p>
  </w:footnote>
  <w:footnote w:id="4">
    <w:p w14:paraId="19D4A008" w14:textId="77777777" w:rsidR="00BC0F53" w:rsidRPr="00BC3D14" w:rsidRDefault="00BC0F53" w:rsidP="00BC0F53">
      <w:pPr>
        <w:pStyle w:val="FootnoteText"/>
      </w:pPr>
      <w:r w:rsidRPr="00BC3D14">
        <w:rPr>
          <w:rStyle w:val="FootnoteReference"/>
        </w:rPr>
        <w:footnoteRef/>
      </w:r>
      <w:r w:rsidRPr="00BC3D14">
        <w:t xml:space="preserve"> Definiție și detalii privind structura ecosistemului: swd-annual-single-market-report-2021_en.pdf. </w:t>
      </w:r>
    </w:p>
  </w:footnote>
  <w:footnote w:id="5">
    <w:p w14:paraId="0D0C1692" w14:textId="70C76C18" w:rsidR="00BC0F53" w:rsidRPr="00BC3D14" w:rsidRDefault="00BC0F53" w:rsidP="00BC0F53">
      <w:pPr>
        <w:pStyle w:val="FootnoteText"/>
      </w:pPr>
      <w:r w:rsidRPr="00BC3D14">
        <w:rPr>
          <w:rStyle w:val="FootnoteReference"/>
        </w:rPr>
        <w:footnoteRef/>
      </w:r>
      <w:r w:rsidRPr="00BC3D14">
        <w:t xml:space="preserve"> Tabloul de bord al indicatorilor ecosistemelor industriale (pe baza datelor Eurostat).</w:t>
      </w:r>
    </w:p>
  </w:footnote>
  <w:footnote w:id="6">
    <w:p w14:paraId="2D834234" w14:textId="77777777" w:rsidR="00BC0F53" w:rsidRPr="00BC3D14" w:rsidRDefault="00BC0F53" w:rsidP="00BC0F53">
      <w:pPr>
        <w:pStyle w:val="FootnoteText"/>
      </w:pPr>
      <w:r w:rsidRPr="00BC3D14">
        <w:rPr>
          <w:rStyle w:val="FootnoteReference"/>
        </w:rPr>
        <w:footnoteRef/>
      </w:r>
      <w:r w:rsidRPr="00BC3D14">
        <w:t xml:space="preserve"> </w:t>
      </w:r>
      <w:hyperlink r:id="rId1" w:history="1">
        <w:r w:rsidRPr="00BC3D14">
          <w:rPr>
            <w:rStyle w:val="Hyperlink"/>
          </w:rPr>
          <w:t>Sondajul privind investițiile 2024, Prezentare generală a Uniunii Europene (BEI 2024)</w:t>
        </w:r>
      </w:hyperlink>
      <w:r w:rsidRPr="00BC3D14">
        <w:t>.</w:t>
      </w:r>
    </w:p>
  </w:footnote>
  <w:footnote w:id="7">
    <w:p w14:paraId="018347E2" w14:textId="77777777" w:rsidR="00933816" w:rsidRPr="00BC3D14" w:rsidRDefault="00933816" w:rsidP="00933816">
      <w:pPr>
        <w:pStyle w:val="FootnoteText"/>
      </w:pPr>
      <w:r w:rsidRPr="00BC3D14">
        <w:rPr>
          <w:rStyle w:val="FootnoteReference"/>
        </w:rPr>
        <w:footnoteRef/>
      </w:r>
      <w:r w:rsidRPr="00BC3D14">
        <w:t xml:space="preserve"> Banca Centrală Europeană.</w:t>
      </w:r>
    </w:p>
  </w:footnote>
  <w:footnote w:id="8">
    <w:p w14:paraId="2F957CD6" w14:textId="32BFDED8" w:rsidR="00422F5A" w:rsidRPr="00BC3D14" w:rsidRDefault="00422F5A" w:rsidP="00422F5A">
      <w:pPr>
        <w:pStyle w:val="FootnoteText"/>
        <w:rPr>
          <w:sz w:val="18"/>
          <w:szCs w:val="18"/>
        </w:rPr>
      </w:pPr>
      <w:r w:rsidRPr="00BC3D14">
        <w:rPr>
          <w:rStyle w:val="FootnoteReference"/>
          <w:sz w:val="18"/>
          <w:szCs w:val="18"/>
        </w:rPr>
        <w:footnoteRef/>
      </w:r>
      <w:r w:rsidRPr="00BC3D14">
        <w:rPr>
          <w:sz w:val="18"/>
        </w:rPr>
        <w:t xml:space="preserve"> </w:t>
      </w:r>
      <w:hyperlink r:id="rId2" w:history="1">
        <w:r w:rsidRPr="00BC3D14">
          <w:rPr>
            <w:rStyle w:val="Hyperlink"/>
            <w:i/>
            <w:sz w:val="18"/>
          </w:rPr>
          <w:t>Buildings and construction - Internal Market, Industry, Entrepreneurship and SMEs</w:t>
        </w:r>
      </w:hyperlink>
      <w:r w:rsidRPr="00BC3D14">
        <w:t xml:space="preserve"> (Clădiri și construcții – Piața internă, industria, antreprenoriatul și IMM-urle).</w:t>
      </w:r>
    </w:p>
  </w:footnote>
  <w:footnote w:id="9">
    <w:p w14:paraId="62214DB9" w14:textId="4E6D7BE5" w:rsidR="00422F5A" w:rsidRPr="00BC3D14" w:rsidRDefault="00422F5A" w:rsidP="00422F5A">
      <w:pPr>
        <w:pStyle w:val="FootnoteText"/>
      </w:pPr>
      <w:r w:rsidRPr="00BC3D14">
        <w:rPr>
          <w:rStyle w:val="FootnoteReference"/>
          <w:sz w:val="18"/>
          <w:szCs w:val="18"/>
        </w:rPr>
        <w:footnoteRef/>
      </w:r>
      <w:r w:rsidRPr="00BC3D14">
        <w:rPr>
          <w:sz w:val="18"/>
        </w:rPr>
        <w:t xml:space="preserve"> </w:t>
      </w:r>
      <w:hyperlink r:id="rId3" w:history="1">
        <w:r w:rsidRPr="00BC3D14">
          <w:rPr>
            <w:rStyle w:val="Hyperlink"/>
            <w:i/>
            <w:sz w:val="18"/>
          </w:rPr>
          <w:t>Paving the way for lowering embodied carbon emissions in the building and construction sector</w:t>
        </w:r>
      </w:hyperlink>
      <w:r w:rsidRPr="00BC3D14">
        <w:t xml:space="preserve"> (Pregătirea terenului pentru reducerea emisiilor de carbon încorporate în sectorul imobiliar și al construcțiilor) |</w:t>
      </w:r>
      <w:hyperlink r:id="rId4" w:history="1">
        <w:r w:rsidRPr="00BC3D14">
          <w:rPr>
            <w:rStyle w:val="Hyperlink"/>
            <w:sz w:val="18"/>
          </w:rPr>
          <w:t xml:space="preserve"> </w:t>
        </w:r>
        <w:r w:rsidRPr="00BC3D14">
          <w:rPr>
            <w:rStyle w:val="Hyperlink"/>
            <w:i/>
            <w:sz w:val="18"/>
          </w:rPr>
          <w:t>Clean Technologies and Environmental Policy</w:t>
        </w:r>
      </w:hyperlink>
      <w:r w:rsidRPr="00BC3D14">
        <w:t>.</w:t>
      </w:r>
    </w:p>
  </w:footnote>
  <w:footnote w:id="10">
    <w:p w14:paraId="14E2F6C3" w14:textId="05D4C3F0" w:rsidR="00422F5A" w:rsidRPr="00BC3D14" w:rsidRDefault="00422F5A" w:rsidP="00422F5A">
      <w:pPr>
        <w:pStyle w:val="FootnoteText"/>
        <w:rPr>
          <w:sz w:val="18"/>
          <w:szCs w:val="18"/>
        </w:rPr>
      </w:pPr>
      <w:r w:rsidRPr="00BC3D14">
        <w:rPr>
          <w:rStyle w:val="FootnoteReference"/>
          <w:sz w:val="18"/>
          <w:szCs w:val="18"/>
        </w:rPr>
        <w:footnoteRef/>
      </w:r>
      <w:r w:rsidRPr="00BC3D14">
        <w:rPr>
          <w:sz w:val="18"/>
        </w:rPr>
        <w:t xml:space="preserve"> </w:t>
      </w:r>
      <w:hyperlink r:id="rId5" w:history="1">
        <w:r w:rsidRPr="00BC3D14">
          <w:rPr>
            <w:rStyle w:val="Hyperlink"/>
            <w:sz w:val="18"/>
          </w:rPr>
          <w:t>Proiectul BioBuild – Soluții termice pentru clădiri verzi</w:t>
        </w:r>
      </w:hyperlink>
      <w:r w:rsidRPr="00BC3D14">
        <w:t>.</w:t>
      </w:r>
    </w:p>
  </w:footnote>
  <w:footnote w:id="11">
    <w:p w14:paraId="1DF4AAAE" w14:textId="08FB7474" w:rsidR="00C27AE8" w:rsidRPr="00BC3D14" w:rsidRDefault="00C27AE8" w:rsidP="00C27AE8">
      <w:pPr>
        <w:pStyle w:val="FootnoteText"/>
      </w:pPr>
      <w:r w:rsidRPr="00BC3D14">
        <w:rPr>
          <w:rStyle w:val="FootnoteReference"/>
        </w:rPr>
        <w:footnoteRef/>
      </w:r>
      <w:r w:rsidRPr="00BC3D14">
        <w:t xml:space="preserve"> Regulamentul (UE) 2024/3110 al Parlamentului European și al Consiliului din 27 noiembrie 2024 de stabilire a unor norme armonizate pentru comercializarea produselor pentru construcții și de abrogare a Regulamentului (UE) nr. 305/2011, JO L, 2024/3110, 18.12.2024, ELI: </w:t>
      </w:r>
      <w:hyperlink r:id="rId6" w:history="1">
        <w:r w:rsidRPr="00BC3D14">
          <w:rPr>
            <w:rStyle w:val="Hyperlink"/>
          </w:rPr>
          <w:t>http://data.europa.eu/eli/reg/2024/3110/oj</w:t>
        </w:r>
      </w:hyperlink>
      <w:r w:rsidRPr="00BC3D14">
        <w:t xml:space="preserve">. </w:t>
      </w:r>
    </w:p>
  </w:footnote>
  <w:footnote w:id="12">
    <w:p w14:paraId="42C4DB77" w14:textId="5936D263" w:rsidR="006B7622" w:rsidRPr="00BC3D14" w:rsidRDefault="006B7622" w:rsidP="006B7622">
      <w:pPr>
        <w:pStyle w:val="FootnoteText"/>
      </w:pPr>
      <w:r w:rsidRPr="00BC3D14">
        <w:rPr>
          <w:rStyle w:val="FootnoteReference"/>
        </w:rPr>
        <w:footnoteRef/>
      </w:r>
      <w:r w:rsidRPr="00BC3D14">
        <w:t xml:space="preserve"> COM(2025) 772.</w:t>
      </w:r>
    </w:p>
  </w:footnote>
  <w:footnote w:id="13">
    <w:p w14:paraId="47F3973E" w14:textId="77777777" w:rsidR="000452B9" w:rsidRPr="00BC3D14" w:rsidRDefault="000452B9" w:rsidP="000452B9">
      <w:pPr>
        <w:pStyle w:val="FootnoteText"/>
      </w:pPr>
      <w:r w:rsidRPr="00BC3D14">
        <w:rPr>
          <w:rStyle w:val="FootnoteReference"/>
        </w:rPr>
        <w:footnoteRef/>
      </w:r>
      <w:r w:rsidRPr="00BC3D14">
        <w:t> Piața unică: piața internă europeană într-o lume nesigură – O strategie pentru crearea unei piețe unice simple, solide și pe deplin integrate – Comunicare a Comisiei Europene, COM(2025) 500.</w:t>
      </w:r>
    </w:p>
  </w:footnote>
  <w:footnote w:id="14">
    <w:p w14:paraId="3A662289" w14:textId="77777777" w:rsidR="000E1EA2" w:rsidRPr="00BC3D14" w:rsidRDefault="000E1EA2" w:rsidP="000E1EA2">
      <w:pPr>
        <w:pStyle w:val="FootnoteText"/>
      </w:pPr>
      <w:r w:rsidRPr="00BC3D14">
        <w:rPr>
          <w:rStyle w:val="FootnoteReference"/>
        </w:rPr>
        <w:footnoteRef/>
      </w:r>
      <w:r w:rsidRPr="00BC3D14">
        <w:t xml:space="preserve"> </w:t>
      </w:r>
      <w:r w:rsidRPr="00BC3D14">
        <w:rPr>
          <w:i/>
        </w:rPr>
        <w:t>Transition Pathway for Construction</w:t>
      </w:r>
      <w:r w:rsidRPr="00BC3D14">
        <w:t xml:space="preserve"> (Calea de tranziție pentru construcții), document de lucru al serviciilor Comisiei, Comisia Europeană (2023) – </w:t>
      </w:r>
      <w:hyperlink r:id="rId7" w:history="1">
        <w:r w:rsidRPr="00BC3D14">
          <w:rPr>
            <w:rStyle w:val="Hyperlink"/>
          </w:rPr>
          <w:t>DocsRoom – Comisia Europeană</w:t>
        </w:r>
      </w:hyperlink>
      <w:r w:rsidRPr="00BC3D14">
        <w:t>.</w:t>
      </w:r>
    </w:p>
  </w:footnote>
  <w:footnote w:id="15">
    <w:p w14:paraId="4EE6471F" w14:textId="744083B8" w:rsidR="00C545D7" w:rsidRPr="00BC3D14" w:rsidRDefault="00C545D7" w:rsidP="00C545D7">
      <w:pPr>
        <w:pStyle w:val="FootnoteText"/>
      </w:pPr>
      <w:r w:rsidRPr="00BC3D14">
        <w:rPr>
          <w:rStyle w:val="FootnoteReference"/>
        </w:rPr>
        <w:footnoteRef/>
      </w:r>
      <w:r w:rsidRPr="00BC3D14">
        <w:t xml:space="preserve"> </w:t>
      </w:r>
      <w:r w:rsidR="00813E34" w:rsidRPr="00BC3D14">
        <w:t>Inițiativa</w:t>
      </w:r>
      <w:r w:rsidRPr="00BC3D14">
        <w:t xml:space="preserve"> </w:t>
      </w:r>
      <w:r w:rsidRPr="00BC3D14">
        <w:rPr>
          <w:i/>
          <w:iCs/>
        </w:rPr>
        <w:t>B-Ready in the EU</w:t>
      </w:r>
      <w:r w:rsidR="00EC3A71">
        <w:t>.</w:t>
      </w:r>
    </w:p>
  </w:footnote>
  <w:footnote w:id="16">
    <w:p w14:paraId="593152E6" w14:textId="4819F445" w:rsidR="001E213A" w:rsidRPr="00BC3D14" w:rsidRDefault="001E213A" w:rsidP="001E213A">
      <w:pPr>
        <w:pStyle w:val="FootnoteText"/>
      </w:pPr>
      <w:r w:rsidRPr="00BC3D14">
        <w:rPr>
          <w:rStyle w:val="FootnoteReference"/>
        </w:rPr>
        <w:footnoteRef/>
      </w:r>
      <w:r w:rsidRPr="00BC3D14">
        <w:t xml:space="preserve"> Se pot aplica și alte proceduri de autorizare: o autorizație de zonare care să permită dezvoltarea unei funcții specifice, o autorizație de parcelare pentru împărțirea unui teren în parcele, o autorizație de mediu pentru proiecte mari de dezvoltare sau o autorizație de funcționare care să permită desfășurarea unei activități economice specifice. </w:t>
      </w:r>
    </w:p>
  </w:footnote>
  <w:footnote w:id="17">
    <w:p w14:paraId="7BA80FC5" w14:textId="77777777" w:rsidR="00C545D7" w:rsidRPr="00BC3D14" w:rsidRDefault="00C545D7" w:rsidP="00C545D7">
      <w:pPr>
        <w:pStyle w:val="FootnoteText"/>
      </w:pPr>
      <w:r w:rsidRPr="00BC3D14">
        <w:rPr>
          <w:rStyle w:val="FootnoteReference"/>
        </w:rPr>
        <w:footnoteRef/>
      </w:r>
      <w:r w:rsidRPr="00BC3D14">
        <w:t xml:space="preserve"> </w:t>
      </w:r>
      <w:hyperlink r:id="rId8" w:history="1">
        <w:r w:rsidRPr="00BC3D14">
          <w:rPr>
            <w:rStyle w:val="Hyperlink"/>
          </w:rPr>
          <w:t>https://doi.org/10.1080/09613218.2024.2400467</w:t>
        </w:r>
      </w:hyperlink>
      <w:r w:rsidRPr="00BC3D14">
        <w:t>.</w:t>
      </w:r>
    </w:p>
  </w:footnote>
  <w:footnote w:id="18">
    <w:p w14:paraId="38CE2610" w14:textId="77777777" w:rsidR="00FB0693" w:rsidRPr="00BC3D14" w:rsidRDefault="00FB0693" w:rsidP="00FB0693">
      <w:pPr>
        <w:pStyle w:val="FootnoteText"/>
      </w:pPr>
      <w:r w:rsidRPr="00BC3D14">
        <w:rPr>
          <w:rStyle w:val="FootnoteReference"/>
        </w:rPr>
        <w:footnoteRef/>
      </w:r>
      <w:r w:rsidRPr="00BC3D14">
        <w:t xml:space="preserve"> „Questionnaire on building permit process and digital building permits – summary report” (Chestionar privind procesul de acordare a autorizațiilor de construcție și autorizațiile de construcție digitale – raport de sinteză), Comisia Europeană, 2025 + cerere de contribuții.</w:t>
      </w:r>
    </w:p>
  </w:footnote>
  <w:footnote w:id="19">
    <w:p w14:paraId="703A86CC" w14:textId="2D8AD8D2" w:rsidR="00E3055C" w:rsidRPr="00BC3D14" w:rsidRDefault="00E3055C" w:rsidP="00E3055C">
      <w:pPr>
        <w:pStyle w:val="FootnoteText"/>
      </w:pPr>
      <w:r w:rsidRPr="00BC3D14">
        <w:rPr>
          <w:rStyle w:val="FootnoteReference"/>
        </w:rPr>
        <w:footnoteRef/>
      </w:r>
      <w:r w:rsidRPr="00BC3D14">
        <w:t xml:space="preserve"> În timp ce unele țări utilizează un sistem descentralizat, în cadrul căruia autoritățile municipale eliberează autorizații de construcție (de exemplu, Austria), altele au dezvoltat platforme naționale centralizate (de exemplu, Estonia). În plus, numai unele state membre (de exemplu, Estonia, Finlanda) se bazează pe sisteme de autorizare online și integrează tot mai mult modelarea informațiilor despre clădiri (BIM) în procesele lor.</w:t>
      </w:r>
    </w:p>
  </w:footnote>
  <w:footnote w:id="20">
    <w:p w14:paraId="5A96B849" w14:textId="77777777" w:rsidR="00BB5B84" w:rsidRPr="00BC3D14" w:rsidRDefault="00BB5B84" w:rsidP="00BB5B84">
      <w:pPr>
        <w:pStyle w:val="FootnoteText"/>
      </w:pPr>
      <w:r w:rsidRPr="00BC3D14">
        <w:rPr>
          <w:rStyle w:val="FootnoteReference"/>
        </w:rPr>
        <w:footnoteRef/>
      </w:r>
      <w:r w:rsidRPr="00BC3D14">
        <w:t xml:space="preserve"> Lukavec, M., Čáp, V., &amp; Čermáková, K. (2024). </w:t>
      </w:r>
      <w:r w:rsidRPr="00BC3D14">
        <w:rPr>
          <w:i/>
        </w:rPr>
        <w:t>How permitting process length influences development costs and real estate prices</w:t>
      </w:r>
      <w:r w:rsidRPr="00BC3D14">
        <w:t xml:space="preserve"> (Modul în care durata procesului de autorizare influențează costurile de dezvoltare și prețurile proprietăților imobiliare). </w:t>
      </w:r>
      <w:r w:rsidRPr="00BC3D14">
        <w:rPr>
          <w:i/>
        </w:rPr>
        <w:t>Economics and Environment</w:t>
      </w:r>
      <w:r w:rsidRPr="00BC3D14">
        <w:t>, </w:t>
      </w:r>
      <w:r w:rsidRPr="00BC3D14">
        <w:rPr>
          <w:i/>
        </w:rPr>
        <w:t>89</w:t>
      </w:r>
      <w:r w:rsidRPr="00BC3D14">
        <w:t>(2), 768-768.</w:t>
      </w:r>
    </w:p>
  </w:footnote>
  <w:footnote w:id="21">
    <w:p w14:paraId="6328A20F" w14:textId="3F6DBC5E" w:rsidR="00BB5B84" w:rsidRPr="00BC3D14" w:rsidRDefault="00BB5B84" w:rsidP="00BB5B84">
      <w:pPr>
        <w:pStyle w:val="FootnoteText"/>
      </w:pPr>
      <w:r w:rsidRPr="00BC3D14">
        <w:rPr>
          <w:rStyle w:val="FootnoteReference"/>
        </w:rPr>
        <w:footnoteRef/>
      </w:r>
      <w:r w:rsidRPr="00BC3D14">
        <w:t xml:space="preserve"> Autorizarea bazată pe BIM se referă la utilizarea modelării informațiilor privind clădirile (BIM) în procesul de acordare a autorizației de construire. Solicitanții prezintă un model BIM 3D, care permite verificări automatizate în raport cu codurile și reglementările din domeniul construcțiilor, corelând eventual modelul cu un geamăn digital al clădirilor și infrastructurii înconjurătoare. Acest sistem permite trecerea de la un proces de verificare a conformității manual la unul semiautomat.</w:t>
      </w:r>
    </w:p>
  </w:footnote>
  <w:footnote w:id="22">
    <w:p w14:paraId="20D4EC75" w14:textId="7A3E9E63" w:rsidR="00FC6F6D" w:rsidRPr="00BC3D14" w:rsidRDefault="00FC6F6D">
      <w:pPr>
        <w:pStyle w:val="FootnoteText"/>
      </w:pPr>
      <w:r w:rsidRPr="00BC3D14">
        <w:rPr>
          <w:rStyle w:val="FootnoteReference"/>
        </w:rPr>
        <w:footnoteRef/>
      </w:r>
      <w:r w:rsidRPr="00BC3D14">
        <w:t xml:space="preserve"> Potrivit unei estimări a orașului Järvenpää, durata medie de efectuare a controalelor automatizate poate fi redusă la 1-5 minute pentru o clădire de apartamente medie, în comparație cu 1-2 zile pentru efectuarea controalelor manuale din desenele 2D în format pdf. Utilizarea verificărilor automate și a modelelor IFC cu conținutul de date necesar reduce timpul mediu de tratare a cererii complete de autorizații de construcție de la aproximativ 40 de zile lucrătoare la 10 zile lucrătoare.</w:t>
      </w:r>
    </w:p>
  </w:footnote>
  <w:footnote w:id="23">
    <w:p w14:paraId="371FE98E" w14:textId="273203C5" w:rsidR="00230790" w:rsidRPr="00BC3D14" w:rsidRDefault="00230790">
      <w:pPr>
        <w:pStyle w:val="FootnoteText"/>
      </w:pPr>
      <w:r w:rsidRPr="00BC3D14">
        <w:rPr>
          <w:rStyle w:val="FootnoteReference"/>
        </w:rPr>
        <w:footnoteRef/>
      </w:r>
      <w:r w:rsidRPr="00BC3D14">
        <w:t xml:space="preserve"> COM(2025) 980 </w:t>
      </w:r>
      <w:r w:rsidRPr="00BC3D14">
        <w:rPr>
          <w:i/>
        </w:rPr>
        <w:t>Simplifying for sustainable competitiveness</w:t>
      </w:r>
      <w:r w:rsidRPr="00BC3D14">
        <w:t xml:space="preserve"> (Simplificare pentru o competitivitate sustenabilă).</w:t>
      </w:r>
    </w:p>
  </w:footnote>
  <w:footnote w:id="24">
    <w:p w14:paraId="7FE3F457" w14:textId="32C5C913" w:rsidR="009E75BE" w:rsidRPr="00BC3D14" w:rsidRDefault="009E75BE" w:rsidP="009E75BE">
      <w:pPr>
        <w:pStyle w:val="FootnoteText"/>
      </w:pPr>
      <w:r w:rsidRPr="00BC3D14">
        <w:rPr>
          <w:rStyle w:val="FootnoteReference"/>
        </w:rPr>
        <w:footnoteRef/>
      </w:r>
      <w:r w:rsidRPr="00BC3D14">
        <w:t xml:space="preserve"> COM(2025) 984 – această comunicare a Comisiei include modificări ale legislației și o propunere de accelerare și raționalizare a evaluărilor de mediu, de exemplu, prin evitarea evaluărilor multiple în cazul unor modificări sau extinderi de mică amploare, inclusiv pentru planificarea și construirea de noi clădiri rezidențiale accesibile din punctul de vedere al prețurilor sau sociale, precum și pentru infrastructura socială conexă care deservește în mod direct clădirile rezidențiale respective.</w:t>
      </w:r>
    </w:p>
  </w:footnote>
  <w:footnote w:id="25">
    <w:p w14:paraId="7BE431CE" w14:textId="773F20AC" w:rsidR="00D3407B" w:rsidRPr="00BC3D14" w:rsidRDefault="00D3407B" w:rsidP="00D3407B">
      <w:pPr>
        <w:pStyle w:val="FootnoteText"/>
      </w:pPr>
      <w:r w:rsidRPr="00BC3D14">
        <w:rPr>
          <w:rStyle w:val="FootnoteReference"/>
        </w:rPr>
        <w:footnoteRef/>
      </w:r>
      <w:r w:rsidRPr="00BC3D14">
        <w:t xml:space="preserve"> IST este programul UE care oferă statelor membre ale UE expertiză tehnică personalizată pentru a elabora reforme și pentru a le pune în aplicare. IST a fost utilizat recent pentru a pune în aplicare BIM în domeniul achizițiilor publice, inclusiv pentru a lansa proiecte-pilot în Grecia și Spania.</w:t>
      </w:r>
    </w:p>
  </w:footnote>
  <w:footnote w:id="26">
    <w:p w14:paraId="52AAB985" w14:textId="77777777" w:rsidR="00F93D9C" w:rsidRPr="00BC3D14" w:rsidRDefault="00F93D9C" w:rsidP="00F93D9C">
      <w:pPr>
        <w:pStyle w:val="FootnoteText"/>
      </w:pPr>
      <w:r w:rsidRPr="00BC3D14">
        <w:rPr>
          <w:rStyle w:val="FootnoteReference"/>
        </w:rPr>
        <w:footnoteRef/>
      </w:r>
      <w:r w:rsidRPr="00BC3D14">
        <w:t xml:space="preserve"> Se preconizează că sistemul orizontal DPP va fi instituit la începutul anului 2027. Va urma un act delegat privind RPC referitor la punerea în aplicare a DPP, iar DPP va fi obligatoriu pentru produsele pentru construcții care fac obiectul standardelor armonizate și al documentelor de evaluare europene 18 luni mai târziu, până în 2028. Primele produse vor fi cimentul și produsele metalice structurale, urmate de ferestre și uși.</w:t>
      </w:r>
    </w:p>
  </w:footnote>
  <w:footnote w:id="27">
    <w:p w14:paraId="72B685B1" w14:textId="5CEDE3A7" w:rsidR="00EF7FD4" w:rsidRPr="00BC3D14" w:rsidRDefault="00EF7FD4">
      <w:pPr>
        <w:pStyle w:val="FootnoteText"/>
      </w:pPr>
      <w:r w:rsidRPr="00BC3D14">
        <w:rPr>
          <w:rStyle w:val="FootnoteReference"/>
        </w:rPr>
        <w:footnoteRef/>
      </w:r>
      <w:r w:rsidRPr="00BC3D14">
        <w:t xml:space="preserve"> Ca parte a eforturilor de digitalizare în temeiul RPC revizuit, este prevăzută introducerea unui sistem de informații online, în care vor fi stocate declarația de performanță, declarația de conformitate și instrucțiunile de utilizare a tuturor produselor armonizate. Acest sistem va facilita accesul la declarații, reducând timpul de care au nevoie utilizatorii produselor pentru construcții pentru a găsi informații. Se preconizează că acest lucru va reduce sarcina administrativă cu 310 milioane EUR.</w:t>
      </w:r>
    </w:p>
  </w:footnote>
  <w:footnote w:id="28">
    <w:p w14:paraId="5DB33000" w14:textId="10499B69" w:rsidR="00A63789" w:rsidRPr="00BC3D14" w:rsidRDefault="00A63789" w:rsidP="00A63789">
      <w:pPr>
        <w:pStyle w:val="FootnoteText"/>
      </w:pPr>
      <w:r w:rsidRPr="00BC3D14">
        <w:rPr>
          <w:rStyle w:val="FootnoteReference"/>
        </w:rPr>
        <w:footnoteRef/>
      </w:r>
      <w:r w:rsidRPr="00BC3D14">
        <w:t xml:space="preserve"> Un registru digital al clădirilor este un depozit digital centralizat care stochează toate informațiile relevante cu privire la o clădire, de la proiectarea și construcția acesteia până la întregul său ciclu de viață, inclusiv exploatarea, întreținerea și potențiala renovare. Prin crearea unei surse unice de date adevărate privind clădirile, scopul DBL-urilor este de a îmbunătăți gestionarea informațiilor, de a spori transparența și de a facilita luarea de decizii în cunoștință de cauză de către părțile interesate, cum ar fi proprietarii, ocupanții, instituțiile financiare și autoritățile publice.</w:t>
      </w:r>
    </w:p>
  </w:footnote>
  <w:footnote w:id="29">
    <w:p w14:paraId="2E639B0C" w14:textId="390739B8" w:rsidR="00CE3B81" w:rsidRPr="00BC3D14" w:rsidRDefault="00CE3B81" w:rsidP="009315B5">
      <w:pPr>
        <w:pStyle w:val="FootnoteText"/>
      </w:pPr>
      <w:r w:rsidRPr="00BC3D14">
        <w:rPr>
          <w:rStyle w:val="FootnoteReference"/>
        </w:rPr>
        <w:footnoteRef/>
      </w:r>
      <w:r w:rsidRPr="00BC3D14">
        <w:t xml:space="preserve"> „Strategia privind aplicarea IA”, COM/2025/723 final.</w:t>
      </w:r>
    </w:p>
  </w:footnote>
  <w:footnote w:id="30">
    <w:p w14:paraId="5E206C8F" w14:textId="77777777" w:rsidR="003977E3" w:rsidRPr="00BC3D14" w:rsidRDefault="003977E3" w:rsidP="003977E3">
      <w:pPr>
        <w:pStyle w:val="FootnoteText"/>
      </w:pPr>
      <w:r w:rsidRPr="00BC3D14">
        <w:rPr>
          <w:rStyle w:val="FootnoteReference"/>
        </w:rPr>
        <w:footnoteRef/>
      </w:r>
      <w:r w:rsidRPr="00BC3D14">
        <w:t xml:space="preserve"> </w:t>
      </w:r>
      <w:hyperlink r:id="rId9" w:history="1">
        <w:r w:rsidRPr="00BC3D14">
          <w:rPr>
            <w:rStyle w:val="Hyperlink"/>
          </w:rPr>
          <w:t>https://public-buyers-community.ec.europa.eu/communities/bim-and-public-procurement</w:t>
        </w:r>
      </w:hyperlink>
      <w:r w:rsidRPr="00BC3D14">
        <w:t xml:space="preserve">. </w:t>
      </w:r>
    </w:p>
  </w:footnote>
  <w:footnote w:id="31">
    <w:p w14:paraId="68D6CABF" w14:textId="399523F1" w:rsidR="00666548" w:rsidRPr="00BC3D14" w:rsidRDefault="00666548">
      <w:pPr>
        <w:pStyle w:val="FootnoteText"/>
      </w:pPr>
      <w:r w:rsidRPr="00BC3D14">
        <w:rPr>
          <w:rStyle w:val="FootnoteReference"/>
        </w:rPr>
        <w:footnoteRef/>
      </w:r>
      <w:r w:rsidRPr="00BC3D14">
        <w:t xml:space="preserve"> Mecanismul de redresare și reziliență, Europa digitală, Fondul european de dezvoltare regională și Orizont Europa.</w:t>
      </w:r>
    </w:p>
  </w:footnote>
  <w:footnote w:id="32">
    <w:p w14:paraId="7D12DF7C" w14:textId="77777777" w:rsidR="005D1F2C" w:rsidRPr="00BC3D14" w:rsidRDefault="005D1F2C" w:rsidP="005D1F2C">
      <w:pPr>
        <w:pStyle w:val="FootnoteText"/>
      </w:pPr>
      <w:r w:rsidRPr="00BC3D14">
        <w:rPr>
          <w:rStyle w:val="FootnoteReference"/>
        </w:rPr>
        <w:footnoteRef/>
      </w:r>
      <w:r w:rsidRPr="00BC3D14">
        <w:t xml:space="preserve"> </w:t>
      </w:r>
      <w:hyperlink r:id="rId10" w:history="1">
        <w:r w:rsidRPr="00BC3D14">
          <w:rPr>
            <w:rStyle w:val="Hyperlink"/>
          </w:rPr>
          <w:t>Sondajul privind investițiile 2024, Prezentare generală a Uniunii Europene (BEI 2024)</w:t>
        </w:r>
      </w:hyperlink>
      <w:r w:rsidRPr="00BC3D14">
        <w:t>.</w:t>
      </w:r>
    </w:p>
  </w:footnote>
  <w:footnote w:id="33">
    <w:p w14:paraId="3BBE2C3B" w14:textId="77777777" w:rsidR="00A340BF" w:rsidRPr="00BC3D14" w:rsidRDefault="00A340BF" w:rsidP="00A340BF">
      <w:pPr>
        <w:pStyle w:val="FootnoteText"/>
      </w:pPr>
      <w:r w:rsidRPr="00BC3D14">
        <w:rPr>
          <w:rStyle w:val="FootnoteReference"/>
        </w:rPr>
        <w:footnoteRef/>
      </w:r>
      <w:r w:rsidRPr="00BC3D14">
        <w:t xml:space="preserve"> Raportul anual privind piața unică pentru 2022, Comisia Europeană.</w:t>
      </w:r>
    </w:p>
  </w:footnote>
  <w:footnote w:id="34">
    <w:p w14:paraId="05E30274" w14:textId="5E9BCEDA" w:rsidR="000F7DD3" w:rsidRPr="00BC3D14" w:rsidRDefault="000F7DD3">
      <w:pPr>
        <w:pStyle w:val="FootnoteText"/>
      </w:pPr>
      <w:r w:rsidRPr="00BC3D14">
        <w:rPr>
          <w:rStyle w:val="FootnoteReference"/>
        </w:rPr>
        <w:footnoteRef/>
      </w:r>
      <w:r w:rsidRPr="00BC3D14">
        <w:t xml:space="preserve"> </w:t>
      </w:r>
      <w:hyperlink r:id="rId11" w:history="1">
        <w:r w:rsidRPr="00BC3D14">
          <w:rPr>
            <w:rStyle w:val="Hyperlink"/>
          </w:rPr>
          <w:t>https://ec.europa.eu/eurostat/web/interactive-publications/digitalisation-2025</w:t>
        </w:r>
      </w:hyperlink>
      <w:r w:rsidRPr="00BC3D14">
        <w:t xml:space="preserve">. </w:t>
      </w:r>
    </w:p>
  </w:footnote>
  <w:footnote w:id="35">
    <w:p w14:paraId="1297D65F" w14:textId="77777777" w:rsidR="00BD6852" w:rsidRPr="00BC3D14" w:rsidRDefault="00BD6852" w:rsidP="00BD6852">
      <w:pPr>
        <w:pStyle w:val="FootnoteText"/>
      </w:pPr>
      <w:r w:rsidRPr="00BC3D14">
        <w:rPr>
          <w:rStyle w:val="FootnoteReference"/>
        </w:rPr>
        <w:footnoteRef/>
      </w:r>
      <w:r w:rsidRPr="00BC3D14">
        <w:t xml:space="preserve"> În special în țări precum Irlanda și Regatul Unit, care se confruntă cu deficite grave în materie de locuințe, metodele de construcție în afara amplasamentului se transformă într-o opțiune viabilă de a construi locuințe rapid și la un preț accesibil. </w:t>
      </w:r>
    </w:p>
  </w:footnote>
  <w:footnote w:id="36">
    <w:p w14:paraId="6607B87A" w14:textId="77777777" w:rsidR="00BD6852" w:rsidRPr="00BC3D14" w:rsidRDefault="00BD6852" w:rsidP="00BD6852">
      <w:pPr>
        <w:pStyle w:val="FootnoteText"/>
      </w:pPr>
      <w:r w:rsidRPr="00BC3D14">
        <w:rPr>
          <w:rStyle w:val="FootnoteReference"/>
        </w:rPr>
        <w:footnoteRef/>
      </w:r>
      <w:r w:rsidRPr="00BC3D14">
        <w:t xml:space="preserve"> Comisia Europeană: DG Piață Internă, Industrie, Antreprenoriat și IMM-uri, </w:t>
      </w:r>
      <w:r w:rsidRPr="00BC3D14">
        <w:rPr>
          <w:i/>
        </w:rPr>
        <w:t>Market potential of offsite construction for housing supply – Report</w:t>
      </w:r>
      <w:r w:rsidRPr="00BC3D14">
        <w:t xml:space="preserve"> (Potențialul comercial al construcției în afara amplasamentului în ceea ce privește oferta de locuințe – Raport), Oficiul pentru Publicații al Uniunii Europene, 2025. </w:t>
      </w:r>
    </w:p>
  </w:footnote>
  <w:footnote w:id="37">
    <w:p w14:paraId="7D4CA6BC" w14:textId="2BD465A0" w:rsidR="140909F9" w:rsidRPr="00BC3D14" w:rsidRDefault="140909F9" w:rsidP="00CF37AC">
      <w:pPr>
        <w:pStyle w:val="FootnoteText"/>
      </w:pPr>
      <w:r w:rsidRPr="00BC3D14">
        <w:rPr>
          <w:vertAlign w:val="superscript"/>
        </w:rPr>
        <w:footnoteRef/>
      </w:r>
      <w:r w:rsidRPr="00BC3D14">
        <w:t xml:space="preserve"> Trecerea la producția în fabrică va deschide calea către noi profiluri profesionale și va spori atractivitatea sectorului, contribuind la abordarea deficitului de forță de muncă, inclusiv la un grad mai mare de participare a femeilor.</w:t>
      </w:r>
    </w:p>
  </w:footnote>
  <w:footnote w:id="38">
    <w:p w14:paraId="7CEA2A5E" w14:textId="1ED6982A" w:rsidR="00BA2B58" w:rsidRPr="00BC3D14" w:rsidRDefault="00BA2B58" w:rsidP="00BA2B58">
      <w:pPr>
        <w:pStyle w:val="FootnoteText"/>
      </w:pPr>
      <w:r w:rsidRPr="00BC3D14">
        <w:rPr>
          <w:rStyle w:val="FootnoteReference"/>
        </w:rPr>
        <w:footnoteRef/>
      </w:r>
      <w:r w:rsidRPr="00BC3D14">
        <w:t xml:space="preserve"> </w:t>
      </w:r>
      <w:r w:rsidRPr="00BC3D14">
        <w:rPr>
          <w:i/>
        </w:rPr>
        <w:t>Market potential of offsite construction for housing supply</w:t>
      </w:r>
      <w:r w:rsidRPr="00BC3D14">
        <w:t xml:space="preserve"> (Potențialul comercial al construcției în afara amplasamentului în ceea ce privește oferta de locuințe) – Ecorys – raport comandat de DG GROW, 2025.</w:t>
      </w:r>
    </w:p>
  </w:footnote>
  <w:footnote w:id="39">
    <w:p w14:paraId="53784D79" w14:textId="5B3B2C76" w:rsidR="00721C72" w:rsidRPr="00BC3D14" w:rsidRDefault="00721C72" w:rsidP="00721C72">
      <w:pPr>
        <w:pStyle w:val="FootnoteText"/>
        <w:rPr>
          <w:rFonts w:eastAsia="Times New Roman" w:cs="Times New Roman"/>
        </w:rPr>
      </w:pPr>
      <w:r w:rsidRPr="00BC3D14">
        <w:rPr>
          <w:vertAlign w:val="superscript"/>
        </w:rPr>
        <w:footnoteRef/>
      </w:r>
      <w:r w:rsidRPr="00BC3D14">
        <w:t xml:space="preserve"> Reconstrucția în curs a Ucrainei oferă învățăminte utile: practica de construcție a locuințelor noi include adesea inovații în ceea ce privește tratarea și reutilizarea deșeurilor provenite din demolări, reutilizarea materialelor de construcție și construcțiile modulare. În multe cazuri, aceste învățăminte ar putea fi reproduse pentru reconstrucția altor zone devastate de război, cum ar fi Gaza. Numeroase inovații s-ar putea dovedi utile și în cadrul practicii UE în domeniul construcțiilor și ar putea oferi sprijin pentru reducerea deficitului în ceea ce privește oferta de locuințe în UE.</w:t>
      </w:r>
    </w:p>
  </w:footnote>
  <w:footnote w:id="40">
    <w:p w14:paraId="40F8391D" w14:textId="3D368BF3" w:rsidR="0066058A" w:rsidRPr="00BC3D14" w:rsidRDefault="0066058A" w:rsidP="0066058A">
      <w:pPr>
        <w:pStyle w:val="FootnoteText"/>
      </w:pPr>
      <w:r w:rsidRPr="00BC3D14">
        <w:rPr>
          <w:vertAlign w:val="superscript"/>
        </w:rPr>
        <w:footnoteRef/>
      </w:r>
      <w:r w:rsidRPr="00BC3D14">
        <w:t xml:space="preserve"> Cerere de contribuții.</w:t>
      </w:r>
    </w:p>
  </w:footnote>
  <w:footnote w:id="41">
    <w:p w14:paraId="3F9F4813" w14:textId="77777777" w:rsidR="00867BC3" w:rsidRPr="00BC3D14" w:rsidRDefault="00867BC3" w:rsidP="00867BC3">
      <w:pPr>
        <w:pStyle w:val="FootnoteText"/>
      </w:pPr>
      <w:r w:rsidRPr="00BC3D14">
        <w:rPr>
          <w:rStyle w:val="FootnoteReference"/>
        </w:rPr>
        <w:footnoteRef/>
      </w:r>
      <w:r w:rsidRPr="00BC3D14">
        <w:t xml:space="preserve"> </w:t>
      </w:r>
      <w:hyperlink r:id="rId12" w:history="1">
        <w:r w:rsidRPr="00BC3D14">
          <w:rPr>
            <w:i/>
            <w:color w:val="0070C0" w:themeColor="hyperlink"/>
            <w:u w:val="single"/>
          </w:rPr>
          <w:t>Monitoring industrial ecosystems – Construction Analytical Report 2024</w:t>
        </w:r>
      </w:hyperlink>
      <w:r w:rsidRPr="00BC3D14">
        <w:t xml:space="preserve"> (Monitorizarea ecosistemelor industriale – Raport analitic privind sectorul construcțiilor pentru 2024) (Comisia Europeană).</w:t>
      </w:r>
    </w:p>
  </w:footnote>
  <w:footnote w:id="42">
    <w:p w14:paraId="0ADE7A5D" w14:textId="756C585A" w:rsidR="00AC3655" w:rsidRPr="00BC3D14" w:rsidRDefault="00AC3655" w:rsidP="00AC3655">
      <w:pPr>
        <w:pStyle w:val="FootnoteText"/>
      </w:pPr>
      <w:r w:rsidRPr="00BC3D14">
        <w:rPr>
          <w:rStyle w:val="FootnoteReference"/>
        </w:rPr>
        <w:footnoteRef/>
      </w:r>
      <w:r w:rsidRPr="00BC3D14">
        <w:t xml:space="preserve"> De exemplu, actul legislativ privind materialele avansate, planificat pentru T4 2026, va sprijini cercetarea și inovarea, va extinde capacitățile de producție în cadrul UE și va raționaliza procesele de reglementare pentru materialele avansate. Acesta se va concentra în mod specific asupra materialelor care sunt esențiale pentru tranziția verde și digitală în toate sectoarele, inclusiv în sectorul construcțiilor. Strategia în domeniul bioeconomiei stabilește măsuri de reducere a barierelor tehnice și, prin urmare, de intensificare a adoptării comerciale a biosoluțiilor inovatoare în domeniul construcțiilor.</w:t>
      </w:r>
    </w:p>
    <w:p w14:paraId="14090A65" w14:textId="6A0A30F0" w:rsidR="00AC3655" w:rsidRPr="00BC3D14" w:rsidRDefault="00AC3655" w:rsidP="00AC3655">
      <w:pPr>
        <w:pStyle w:val="FootnoteText"/>
      </w:pPr>
      <w:r w:rsidRPr="00BC3D14">
        <w:t>Un Plan industrial al Pactului verde pentru era cu zero emisii nete, COM(2023) 62.</w:t>
      </w:r>
    </w:p>
  </w:footnote>
  <w:footnote w:id="43">
    <w:p w14:paraId="6B513BC6" w14:textId="3DEBF140" w:rsidR="00F829AF" w:rsidRPr="00BC3D14" w:rsidRDefault="00F829AF">
      <w:pPr>
        <w:pStyle w:val="FootnoteText"/>
      </w:pPr>
      <w:r w:rsidRPr="00BC3D14">
        <w:rPr>
          <w:rStyle w:val="FootnoteReference"/>
        </w:rPr>
        <w:footnoteRef/>
      </w:r>
      <w:r w:rsidRPr="00BC3D14">
        <w:t xml:space="preserve"> Un cadru strategic pentru o bioeconomie a UE competitivă și durabilă – SWD(2025) 895.</w:t>
      </w:r>
    </w:p>
  </w:footnote>
  <w:footnote w:id="44">
    <w:p w14:paraId="665F52E0" w14:textId="246958B1" w:rsidR="0085228F" w:rsidRPr="00BC3D14" w:rsidRDefault="0085228F">
      <w:pPr>
        <w:pStyle w:val="FootnoteText"/>
      </w:pPr>
      <w:r w:rsidRPr="00BC3D14">
        <w:rPr>
          <w:rStyle w:val="FootnoteReference"/>
        </w:rPr>
        <w:footnoteRef/>
      </w:r>
      <w:r w:rsidRPr="00BC3D14">
        <w:t xml:space="preserve"> Procesul privind acquis-ul RPC este un efort de colaborare al Comisiei, al statelor membre, al părților interesate și al organizațiilor de standardizare menit să sprijine elaborarea cererilor de standardizare și a actelor juridice necesare pentru punerea în aplicare eficientă a RPC.</w:t>
      </w:r>
    </w:p>
  </w:footnote>
  <w:footnote w:id="45">
    <w:p w14:paraId="6C74DA69" w14:textId="27EA40AC" w:rsidR="000E47A7" w:rsidRPr="00BC3D14" w:rsidRDefault="000E47A7" w:rsidP="000E47A7">
      <w:pPr>
        <w:pStyle w:val="FootnoteText"/>
      </w:pPr>
      <w:r w:rsidRPr="00BC3D14">
        <w:rPr>
          <w:vertAlign w:val="superscript"/>
        </w:rPr>
        <w:footnoteRef/>
      </w:r>
      <w:r w:rsidRPr="00BC3D14">
        <w:t xml:space="preserve"> Pentru mai multe proiecte în curs, a se vedea: https://joint-research-centre.ec.europa.eu/projects-and-activities/iresist-home/ongoing-projects_en.</w:t>
      </w:r>
    </w:p>
  </w:footnote>
  <w:footnote w:id="46">
    <w:p w14:paraId="605AA6A1" w14:textId="1F9768A9" w:rsidR="00B446C0" w:rsidRPr="00BC3D14" w:rsidRDefault="00B446C0">
      <w:pPr>
        <w:pStyle w:val="FootnoteText"/>
      </w:pPr>
      <w:r w:rsidRPr="00BC3D14">
        <w:rPr>
          <w:rStyle w:val="FootnoteReference"/>
        </w:rPr>
        <w:footnoteRef/>
      </w:r>
      <w:r w:rsidRPr="00BC3D14">
        <w:t xml:space="preserve"> De exemplu: Proiectul „Giga Regio Factory”- https://www.energiesprong.org/projects/giga-regio-factory.</w:t>
      </w:r>
    </w:p>
  </w:footnote>
  <w:footnote w:id="47">
    <w:p w14:paraId="32732E4D" w14:textId="397C19AD" w:rsidR="00EF55AF" w:rsidRPr="00BC3D14" w:rsidRDefault="00EF55AF">
      <w:pPr>
        <w:pStyle w:val="FootnoteText"/>
      </w:pPr>
      <w:r w:rsidRPr="00BC3D14">
        <w:rPr>
          <w:rStyle w:val="FootnoteReference"/>
        </w:rPr>
        <w:footnoteRef/>
      </w:r>
      <w:r w:rsidRPr="00BC3D14">
        <w:t xml:space="preserve"> Eurocodurile sunt o serie de 10 standarde europene voluntare, EN 1990 – EN 1999, care oferă o abordare comună pentru proiectarea clădirilor și a altor lucrări de inginerie civilă și produse pentru construcții. </w:t>
      </w:r>
    </w:p>
  </w:footnote>
  <w:footnote w:id="48">
    <w:p w14:paraId="0C6E1B15" w14:textId="72BF911E" w:rsidR="00B2444E" w:rsidRPr="00BC3D14" w:rsidRDefault="00B2444E" w:rsidP="00B2444E">
      <w:pPr>
        <w:pStyle w:val="FootnoteText"/>
      </w:pPr>
      <w:r w:rsidRPr="00BC3D14">
        <w:rPr>
          <w:rStyle w:val="FootnoteReference"/>
        </w:rPr>
        <w:footnoteRef/>
      </w:r>
      <w:r w:rsidRPr="00BC3D14">
        <w:t xml:space="preserve"> </w:t>
      </w:r>
      <w:hyperlink r:id="rId13" w:history="1">
        <w:r w:rsidRPr="00BC3D14">
          <w:rPr>
            <w:rStyle w:val="Hyperlink"/>
          </w:rPr>
          <w:t>https://new-european-bauhaus.europa.eu/index_en</w:t>
        </w:r>
      </w:hyperlink>
      <w:r w:rsidRPr="00BC3D14">
        <w:t>.</w:t>
      </w:r>
      <w:r w:rsidR="00BC3D14">
        <w:t xml:space="preserve"> </w:t>
      </w:r>
    </w:p>
  </w:footnote>
  <w:footnote w:id="49">
    <w:p w14:paraId="4B1705DE" w14:textId="77777777" w:rsidR="00E86A95" w:rsidRPr="00BC3D14" w:rsidRDefault="00E86A95" w:rsidP="00E86A95">
      <w:pPr>
        <w:pStyle w:val="FootnoteText"/>
      </w:pPr>
      <w:r w:rsidRPr="00BC3D14">
        <w:rPr>
          <w:rStyle w:val="FootnoteReference"/>
        </w:rPr>
        <w:footnoteRef/>
      </w:r>
      <w:r w:rsidRPr="00BC3D14">
        <w:t> Sursă: Eurostat.</w:t>
      </w:r>
    </w:p>
  </w:footnote>
  <w:footnote w:id="50">
    <w:p w14:paraId="34DB37E6" w14:textId="06B2A33A" w:rsidR="008259B7" w:rsidRPr="00BC3D14" w:rsidRDefault="008259B7" w:rsidP="008259B7">
      <w:pPr>
        <w:pStyle w:val="FootnoteText"/>
      </w:pPr>
      <w:r w:rsidRPr="00BC3D14">
        <w:rPr>
          <w:rStyle w:val="FootnoteReference"/>
        </w:rPr>
        <w:footnoteRef/>
      </w:r>
      <w:r w:rsidRPr="00BC3D14">
        <w:t xml:space="preserve"> Cerere de contribuții.</w:t>
      </w:r>
    </w:p>
  </w:footnote>
  <w:footnote w:id="51">
    <w:p w14:paraId="394A151D" w14:textId="551F5A1B" w:rsidR="008F7FF7" w:rsidRPr="00BC3D14" w:rsidRDefault="008F7FF7" w:rsidP="008F7FF7">
      <w:pPr>
        <w:pStyle w:val="FootnoteText"/>
      </w:pPr>
      <w:r w:rsidRPr="00BC3D14">
        <w:rPr>
          <w:rStyle w:val="FootnoteReference"/>
        </w:rPr>
        <w:footnoteRef/>
      </w:r>
      <w:r w:rsidRPr="00BC3D14">
        <w:t xml:space="preserve"> Directiva (UE) 2024/1275 a Parlamentului European și a Consiliului din 24 aprilie 2024 privind performanța energetică a clădirilor (reformare), JO L, 2024/1275, 8.5.2024, ELI: </w:t>
      </w:r>
      <w:hyperlink r:id="rId14" w:history="1">
        <w:r w:rsidRPr="00BC3D14">
          <w:rPr>
            <w:rStyle w:val="Hyperlink"/>
          </w:rPr>
          <w:t>http://data.europa.eu/eli/dir/2024/1275/oj</w:t>
        </w:r>
      </w:hyperlink>
      <w:r w:rsidR="00EC3A71">
        <w:t>.</w:t>
      </w:r>
    </w:p>
  </w:footnote>
  <w:footnote w:id="52">
    <w:p w14:paraId="44D15E84" w14:textId="37C8DE58" w:rsidR="00AC0290" w:rsidRPr="00BC3D14" w:rsidRDefault="00AC0290">
      <w:pPr>
        <w:pStyle w:val="FootnoteText"/>
      </w:pPr>
      <w:r w:rsidRPr="00BC3D14">
        <w:rPr>
          <w:rStyle w:val="FootnoteReference"/>
        </w:rPr>
        <w:footnoteRef/>
      </w:r>
      <w:r w:rsidRPr="00BC3D14">
        <w:t xml:space="preserve"> Cum ar fi schema europeană de comercializare a certificatelor de emisii pentru țările cu un nivel ridicat al emisiilor (ETS1), Directiva privind eficiența energetică (DEE) și taxonomia UE și legislația națională legată de foile de parcurs pentru reducerea emisiilor de dioxid de carbon.</w:t>
      </w:r>
    </w:p>
  </w:footnote>
  <w:footnote w:id="53">
    <w:p w14:paraId="232BCCCE" w14:textId="77777777" w:rsidR="0088196C" w:rsidRPr="00BC3D14" w:rsidRDefault="0088196C" w:rsidP="0088196C">
      <w:pPr>
        <w:pStyle w:val="FootnoteText"/>
      </w:pPr>
      <w:r w:rsidRPr="00BC3D14">
        <w:rPr>
          <w:rStyle w:val="FootnoteReference"/>
        </w:rPr>
        <w:footnoteRef/>
      </w:r>
      <w:r w:rsidRPr="00BC3D14">
        <w:t xml:space="preserve"> Regulamentul delegat al Comisiei de modificare a anexei III la Directiva (UE) 2024/1275 și de stabilire a unui cadru al Uniunii pentru calcularea la nivel național a potențialului de încălzire globală pe durata ciclului de viață.</w:t>
      </w:r>
    </w:p>
  </w:footnote>
  <w:footnote w:id="54">
    <w:p w14:paraId="7EBC12A5" w14:textId="77777777" w:rsidR="0008360B" w:rsidRPr="00BC3D14" w:rsidRDefault="0008360B" w:rsidP="0008360B">
      <w:pPr>
        <w:pStyle w:val="FootnoteText"/>
      </w:pPr>
      <w:r w:rsidRPr="00BC3D14">
        <w:rPr>
          <w:rStyle w:val="FootnoteReference"/>
        </w:rPr>
        <w:footnoteRef/>
      </w:r>
      <w:r w:rsidRPr="00BC3D14">
        <w:t xml:space="preserve"> </w:t>
      </w:r>
      <w:hyperlink r:id="rId15" w:history="1">
        <w:r w:rsidRPr="00BC3D14">
          <w:rPr>
            <w:rStyle w:val="Hyperlink"/>
          </w:rPr>
          <w:t xml:space="preserve">Arhiva publicațiilor JRC – </w:t>
        </w:r>
        <w:r w:rsidRPr="00BC3D14">
          <w:rPr>
            <w:rStyle w:val="Hyperlink"/>
            <w:i/>
          </w:rPr>
          <w:t>Techno-economic and environmental assessment of construction and demolition waste management in the European Union</w:t>
        </w:r>
      </w:hyperlink>
      <w:r w:rsidRPr="00BC3D14">
        <w:t xml:space="preserve"> (Evaluarea tehnico-economică și de mediu a gestionării deșeurilor din construcții și demolări în Uniunea Europeană).</w:t>
      </w:r>
    </w:p>
  </w:footnote>
  <w:footnote w:id="55">
    <w:p w14:paraId="28E0F11F" w14:textId="39CF26D6" w:rsidR="009719EA" w:rsidRPr="00BC3D14" w:rsidRDefault="009719EA">
      <w:pPr>
        <w:pStyle w:val="FootnoteText"/>
      </w:pPr>
      <w:r w:rsidRPr="00BC3D14">
        <w:rPr>
          <w:rStyle w:val="FootnoteReference"/>
        </w:rPr>
        <w:footnoteRef/>
      </w:r>
      <w:r w:rsidRPr="00BC3D14">
        <w:t xml:space="preserve"> Pentru ca materialele provenite de pe șantierele de demolare a construcțiilor cu statut juridic de „deșeuri” să devină din nou disponibile pentru o utilizare ulterioară, trebuie îndeplinite așa-numitele criterii de stabilire a încetării statutului de deșeu. Directiva-cadru privind deșeurile stabilește anumite elemente care trebuie incluse în astfel de criterii (criterii de calitate, material de intrare, procese de tratare etc.) pe care statele membre le pot stabili. Atunci când nu există criterii de stabilire a încetării statutului de deșeu sau dacă acestea diferă de la un stat membru la altul sau de la o regiune la alta, acest lucru împiedică reutilizarea și circulația materialelor secundare.</w:t>
      </w:r>
    </w:p>
  </w:footnote>
  <w:footnote w:id="56">
    <w:p w14:paraId="084D4C36" w14:textId="77777777" w:rsidR="008D1226" w:rsidRPr="00BC3D14" w:rsidRDefault="008D1226" w:rsidP="008D1226">
      <w:pPr>
        <w:pStyle w:val="FootnoteText"/>
      </w:pPr>
      <w:r w:rsidRPr="00BC3D14">
        <w:rPr>
          <w:rStyle w:val="FootnoteReference"/>
        </w:rPr>
        <w:footnoteRef/>
      </w:r>
      <w:r w:rsidRPr="00BC3D14">
        <w:t xml:space="preserve"> </w:t>
      </w:r>
      <w:r w:rsidRPr="00BC3D14">
        <w:rPr>
          <w:b/>
        </w:rPr>
        <w:t>Regulamentul privind materiile prime critice</w:t>
      </w:r>
      <w:r w:rsidRPr="00BC3D14">
        <w:t xml:space="preserve"> (2024) urmărește să asigure accesul la o aprovizionare sigură și durabilă cu materii prime critice pentru sectoarele strategice ale UE, cum ar fi energia curată și tehnologiile digitale.</w:t>
      </w:r>
    </w:p>
  </w:footnote>
  <w:footnote w:id="57">
    <w:p w14:paraId="1871612D" w14:textId="77777777" w:rsidR="008D1226" w:rsidRPr="00BC3D14" w:rsidRDefault="008D1226" w:rsidP="008D1226">
      <w:pPr>
        <w:pStyle w:val="FootnoteText"/>
      </w:pPr>
      <w:r w:rsidRPr="00BC3D14">
        <w:rPr>
          <w:rStyle w:val="FootnoteReference"/>
        </w:rPr>
        <w:footnoteRef/>
      </w:r>
      <w:r w:rsidRPr="00BC3D14">
        <w:t xml:space="preserve"> Întrucât prețurile la energie sunt un factor principal de creștere a prețurilor materialelor, </w:t>
      </w:r>
      <w:r w:rsidRPr="00BC3D14">
        <w:rPr>
          <w:b/>
        </w:rPr>
        <w:t>Planul de acțiune pentru energie la prețuri accesibile</w:t>
      </w:r>
      <w:r w:rsidRPr="00BC3D14">
        <w:t xml:space="preserve"> (2025) urmărește să facă costurile energiei mai previzibile și mai accesibile, reducând costurile materialelor și stimulând competitivitatea.</w:t>
      </w:r>
    </w:p>
  </w:footnote>
  <w:footnote w:id="58">
    <w:p w14:paraId="50A9BF9B" w14:textId="03B36705" w:rsidR="008D1226" w:rsidRPr="00BC3D14" w:rsidRDefault="008D1226" w:rsidP="008D1226">
      <w:pPr>
        <w:pStyle w:val="FootnoteText"/>
      </w:pPr>
      <w:r w:rsidRPr="00BC3D14">
        <w:rPr>
          <w:rStyle w:val="FootnoteReference"/>
        </w:rPr>
        <w:footnoteRef/>
      </w:r>
      <w:r w:rsidRPr="00BC3D14">
        <w:t xml:space="preserve"> </w:t>
      </w:r>
      <w:r w:rsidRPr="00BC3D14">
        <w:rPr>
          <w:b/>
        </w:rPr>
        <w:t>Planul de acțiune european privind oțelul și metalele</w:t>
      </w:r>
      <w:r w:rsidRPr="00BC3D14">
        <w:t xml:space="preserve"> (2025) se axează pe crearea unei piețe-lider pentru oțelul cu emisii scăzute de dioxid de carbon, pe creșterea circularității, pe crearea unor condiții de concurență echitabile la nivel internațional și pe mobilizarea investițiilor în aceste sectoare.</w:t>
      </w:r>
    </w:p>
  </w:footnote>
  <w:footnote w:id="59">
    <w:p w14:paraId="1B28895C" w14:textId="48A756BA" w:rsidR="008D1226" w:rsidRPr="00BC3D14" w:rsidRDefault="008D1226" w:rsidP="008D1226">
      <w:pPr>
        <w:pStyle w:val="FootnoteText"/>
      </w:pPr>
      <w:r w:rsidRPr="00BC3D14">
        <w:rPr>
          <w:rStyle w:val="FootnoteReference"/>
        </w:rPr>
        <w:footnoteRef/>
      </w:r>
      <w:r w:rsidRPr="00BC3D14">
        <w:t xml:space="preserve"> COM(2025) 945 RESourceEU </w:t>
      </w:r>
      <w:r w:rsidRPr="00BC3D14">
        <w:rPr>
          <w:i/>
        </w:rPr>
        <w:t>Action Plan Accelerating our critical raw materials strategy to adapt to a new reality</w:t>
      </w:r>
      <w:r w:rsidRPr="00BC3D14">
        <w:t xml:space="preserve"> (Planul de acțiune RESourceEU – Accelerarea strategiei noastre privind materiile prime critice în vederea adaptării la o nouă realitate).</w:t>
      </w:r>
    </w:p>
  </w:footnote>
  <w:footnote w:id="60">
    <w:p w14:paraId="50CE2D0D" w14:textId="77777777" w:rsidR="002868FF" w:rsidRPr="00BC3D14" w:rsidRDefault="002868FF" w:rsidP="002868FF">
      <w:pPr>
        <w:pStyle w:val="FootnoteText"/>
      </w:pPr>
      <w:r w:rsidRPr="00BC3D14">
        <w:rPr>
          <w:rStyle w:val="FootnoteReference"/>
        </w:rPr>
        <w:footnoteRef/>
      </w:r>
      <w:r w:rsidRPr="00BC3D14">
        <w:t xml:space="preserve"> Regulamentul (UE) 2024/1252 al Parlamentului European și al Consiliului din 11 aprilie 2024 de instituire a unui cadru pentru asigurarea aprovizionării sigure și durabile cu materii prime critice.</w:t>
      </w:r>
    </w:p>
  </w:footnote>
  <w:footnote w:id="61">
    <w:p w14:paraId="65ACD538" w14:textId="77777777" w:rsidR="00E70837" w:rsidRPr="00BC3D14" w:rsidRDefault="00E70837" w:rsidP="00E70837">
      <w:pPr>
        <w:pStyle w:val="FootnoteText"/>
      </w:pPr>
      <w:r w:rsidRPr="00BC3D14">
        <w:rPr>
          <w:rStyle w:val="FootnoteReference"/>
        </w:rPr>
        <w:footnoteRef/>
      </w:r>
      <w:r w:rsidRPr="00BC3D14">
        <w:t xml:space="preserve"> https://single-market-economy.ec.europa.eu/sectors/construction/european-construction-observatory-eco_en.</w:t>
      </w:r>
    </w:p>
  </w:footnote>
  <w:footnote w:id="62">
    <w:p w14:paraId="77755584" w14:textId="77777777" w:rsidR="00CA01A9" w:rsidRPr="00BC3D14" w:rsidRDefault="00CA01A9" w:rsidP="00CA01A9">
      <w:pPr>
        <w:pStyle w:val="FootnoteText"/>
      </w:pPr>
      <w:r w:rsidRPr="00BC3D14">
        <w:rPr>
          <w:rStyle w:val="FootnoteReference"/>
        </w:rPr>
        <w:footnoteRef/>
      </w:r>
      <w:r w:rsidRPr="00BC3D14">
        <w:t xml:space="preserve"> Se va acorda o atenție deosebită importurilor, producției, exporturilor și prețurilor pentru fiecare dintre materialele selectate.</w:t>
      </w:r>
      <w:r w:rsidRPr="00BC3D14">
        <w:rPr>
          <w:i/>
        </w:rPr>
        <w:t xml:space="preserve"> </w:t>
      </w:r>
      <w:r w:rsidRPr="00BC3D14">
        <w:t>Astfel, vor fi identificate familiile de produse care utilizează aceste materii prime și industriile cele mai expuse fluctuațiilor acestor materiale.</w:t>
      </w:r>
    </w:p>
  </w:footnote>
  <w:footnote w:id="63">
    <w:p w14:paraId="2D25BFD2" w14:textId="2ECE6F58" w:rsidR="00E47501" w:rsidRPr="00BC3D14" w:rsidRDefault="00E47501">
      <w:pPr>
        <w:pStyle w:val="FootnoteText"/>
      </w:pPr>
      <w:r w:rsidRPr="00BC3D14">
        <w:rPr>
          <w:rStyle w:val="FootnoteReference"/>
        </w:rPr>
        <w:footnoteRef/>
      </w:r>
      <w:r w:rsidRPr="00BC3D14">
        <w:t xml:space="preserve"> Directiva (UE) 2018/851 a Parlamentului European și a Consiliului din 30 mai 2018 de modificare a Directivei 2008/98/CE privind deșeurile.</w:t>
      </w:r>
    </w:p>
  </w:footnote>
  <w:footnote w:id="64">
    <w:p w14:paraId="6C98361F" w14:textId="77777777" w:rsidR="00BC6A91" w:rsidRPr="00BC3D14" w:rsidRDefault="00BC6A91" w:rsidP="00BC6A91">
      <w:pPr>
        <w:pStyle w:val="FootnoteText"/>
      </w:pPr>
      <w:r w:rsidRPr="00BC3D14">
        <w:rPr>
          <w:rStyle w:val="FootnoteReference"/>
        </w:rPr>
        <w:footnoteRef/>
      </w:r>
      <w:r w:rsidRPr="00BC3D14">
        <w:t xml:space="preserve"> Institutul IFO: </w:t>
      </w:r>
      <w:r w:rsidRPr="00BC3D14">
        <w:rPr>
          <w:i/>
        </w:rPr>
        <w:t>Building a Stronger Single Market:</w:t>
      </w:r>
      <w:r w:rsidRPr="00BC3D14">
        <w:t xml:space="preserve"> </w:t>
      </w:r>
      <w:r w:rsidRPr="00BC3D14">
        <w:rPr>
          <w:i/>
        </w:rPr>
        <w:t>Potential for Deeper Integration of the Services Sector within the EU</w:t>
      </w:r>
      <w:r w:rsidRPr="00BC3D14">
        <w:t xml:space="preserve"> (Construirea unei piețe unice mai puternice: un potențial de integrare mai aprofundată a sectorului serviciilor în cadrul UE); Raportul de politică EconPol nr. 52/2024.</w:t>
      </w:r>
    </w:p>
  </w:footnote>
  <w:footnote w:id="65">
    <w:p w14:paraId="0F44F95A" w14:textId="77777777" w:rsidR="00E5785D" w:rsidRPr="00BC3D14" w:rsidRDefault="00E5785D" w:rsidP="00E5785D">
      <w:pPr>
        <w:pStyle w:val="FootnoteText"/>
      </w:pPr>
      <w:r w:rsidRPr="00BC3D14">
        <w:rPr>
          <w:rStyle w:val="FootnoteReference"/>
        </w:rPr>
        <w:footnoteRef/>
      </w:r>
      <w:r w:rsidRPr="00BC3D14">
        <w:t xml:space="preserve"> Eurostat.</w:t>
      </w:r>
    </w:p>
  </w:footnote>
  <w:footnote w:id="66">
    <w:p w14:paraId="4513088B" w14:textId="4E044AEB" w:rsidR="00F8761C" w:rsidRPr="00BC3D14" w:rsidRDefault="00F8761C">
      <w:pPr>
        <w:pStyle w:val="FootnoteText"/>
      </w:pPr>
      <w:r w:rsidRPr="00BC3D14">
        <w:rPr>
          <w:rStyle w:val="FootnoteReference"/>
        </w:rPr>
        <w:footnoteRef/>
      </w:r>
      <w:r w:rsidRPr="00BC3D14">
        <w:t xml:space="preserve"> Ponderea femeilor care lucrează în sectorul construcțiilor (secțiunea F din clasificarea NACE) este de 10,6 % în 2024 (Eurostat).</w:t>
      </w:r>
    </w:p>
  </w:footnote>
  <w:footnote w:id="67">
    <w:p w14:paraId="3BF9F2DF" w14:textId="77777777" w:rsidR="00962E0D" w:rsidRPr="00BC3D14" w:rsidRDefault="00962E0D" w:rsidP="00962E0D">
      <w:pPr>
        <w:pStyle w:val="FootnoteText"/>
      </w:pPr>
      <w:r w:rsidRPr="00BC3D14">
        <w:rPr>
          <w:rStyle w:val="FootnoteReference"/>
        </w:rPr>
        <w:footnoteRef/>
      </w:r>
      <w:r w:rsidRPr="00BC3D14">
        <w:t xml:space="preserve"> </w:t>
      </w:r>
      <w:hyperlink r:id="rId16" w:anchor=":~:text=Vocational%20education%20and%20training%20(VET,communication%20and%20collaboration%20with%20others.&amp;amp;text=Source:%20Cedefop%20second%20European%20Skills%20and%20Jobs%20Survey%20(2021)." w:history="1">
        <w:r w:rsidRPr="00BC3D14">
          <w:rPr>
            <w:rStyle w:val="Hyperlink"/>
            <w:i/>
          </w:rPr>
          <w:t>The greening of the EU construction sector</w:t>
        </w:r>
      </w:hyperlink>
      <w:r w:rsidRPr="00BC3D14">
        <w:t xml:space="preserve"> (Ecologizarea sectorului construcțiilor din UE) |</w:t>
      </w:r>
      <w:hyperlink r:id="rId17" w:anchor=":~:text=Vocational%20education%20and%20training%20(VET,communication%20and%20collaboration%20with%20others.&amp;amp;text=Source:%20Cedefop%20second%20European%20Skills%20and%20Jobs%20Survey%20(2021)." w:history="1">
        <w:r w:rsidRPr="00BC3D14">
          <w:rPr>
            <w:rStyle w:val="Hyperlink"/>
          </w:rPr>
          <w:t xml:space="preserve"> CEDEFOP</w:t>
        </w:r>
      </w:hyperlink>
      <w:r w:rsidRPr="00BC3D14">
        <w:t>.</w:t>
      </w:r>
      <w:r w:rsidRPr="00BC3D14">
        <w:rPr>
          <w:sz w:val="24"/>
        </w:rPr>
        <w:t xml:space="preserve"> </w:t>
      </w:r>
    </w:p>
  </w:footnote>
  <w:footnote w:id="68">
    <w:p w14:paraId="1189CE74" w14:textId="206CBED5" w:rsidR="00763FBD" w:rsidRPr="00BC3D14" w:rsidRDefault="00763FBD">
      <w:pPr>
        <w:pStyle w:val="FootnoteText"/>
      </w:pPr>
      <w:r w:rsidRPr="00BC3D14">
        <w:rPr>
          <w:rStyle w:val="FootnoteReference"/>
        </w:rPr>
        <w:footnoteRef/>
      </w:r>
      <w:r w:rsidRPr="00BC3D14">
        <w:t xml:space="preserve"> Odată creată, aceasta va fi prima platformă online la nivelul UE deschisă oricărui resortisant dintr-o țară terță care dorește să lucreze în mod legal în Uniune, pe care statele membre participante vor putea înregistra locurile de muncă vacante ale angajatorilor stabiliți pe teritoriul lor.</w:t>
      </w:r>
    </w:p>
  </w:footnote>
  <w:footnote w:id="69">
    <w:p w14:paraId="3541A251" w14:textId="09AA48DC" w:rsidR="00DB1307" w:rsidRPr="00BC3D14" w:rsidRDefault="00DB1307">
      <w:pPr>
        <w:pStyle w:val="FootnoteText"/>
      </w:pPr>
      <w:r w:rsidRPr="00BC3D14">
        <w:rPr>
          <w:rStyle w:val="FootnoteReference"/>
        </w:rPr>
        <w:footnoteRef/>
      </w:r>
      <w:r w:rsidRPr="00BC3D14">
        <w:t xml:space="preserve"> Până în prezent, au fost instituite parteneriate pentru atragerea de talente cu Maroc, Tunisia, Egipt, Pakistan și Bangladesh. Aceste parteneriate oferă un cadru de politică și de finanțare pentru consolidarea cooperării dintre Uniunea Europeană, statele membre și principalele țări partenere în ceea ce privește mobilitatea și dezvoltarea competențelor.</w:t>
      </w:r>
    </w:p>
  </w:footnote>
  <w:footnote w:id="70">
    <w:p w14:paraId="26038C9F" w14:textId="1FB6FF9B" w:rsidR="001137B3" w:rsidRPr="00BC3D14" w:rsidRDefault="001137B3">
      <w:pPr>
        <w:pStyle w:val="FootnoteText"/>
      </w:pPr>
      <w:r w:rsidRPr="00BC3D14">
        <w:rPr>
          <w:rStyle w:val="FootnoteReference"/>
        </w:rPr>
        <w:footnoteRef/>
      </w:r>
      <w:r w:rsidRPr="00BC3D14">
        <w:t xml:space="preserve"> Planificată pentru ianuarie 2026, aceasta va include măsuri de sprijinire pentru aducerea de lucrători calificați din țări terțe.</w:t>
      </w:r>
    </w:p>
  </w:footnote>
  <w:footnote w:id="71">
    <w:p w14:paraId="08CD1B6B" w14:textId="77777777" w:rsidR="00016DBD" w:rsidRPr="00BC3D14" w:rsidRDefault="00016DBD" w:rsidP="00016DBD">
      <w:pPr>
        <w:pStyle w:val="FootnoteText"/>
      </w:pPr>
      <w:r w:rsidRPr="00BC3D14">
        <w:rPr>
          <w:rStyle w:val="FootnoteReference"/>
        </w:rPr>
        <w:footnoteRef/>
      </w:r>
      <w:r w:rsidRPr="00BC3D14">
        <w:t xml:space="preserve"> https://commission.europa.eu/topics/eu-competitiveness/union-skills_ro.</w:t>
      </w:r>
    </w:p>
  </w:footnote>
  <w:footnote w:id="72">
    <w:p w14:paraId="406A90E1" w14:textId="3238EA9B" w:rsidR="00016DBD" w:rsidRPr="00BC3D14" w:rsidRDefault="00016DBD" w:rsidP="00016DBD">
      <w:pPr>
        <w:pStyle w:val="FootnoteText"/>
      </w:pPr>
      <w:r w:rsidRPr="00BC3D14">
        <w:rPr>
          <w:rStyle w:val="FootnoteReference"/>
        </w:rPr>
        <w:footnoteRef/>
      </w:r>
      <w:r w:rsidRPr="00BC3D14">
        <w:t xml:space="preserve"> Ca parte a parteneriatului privind Pactului pentru competențe - https://pact-for-skills.ec.europa.eu/about/industrial-ecosystems-and-partnerships_en.</w:t>
      </w:r>
    </w:p>
  </w:footnote>
  <w:footnote w:id="73">
    <w:p w14:paraId="5344CBC6" w14:textId="77777777" w:rsidR="00016DBD" w:rsidRPr="00BC3D14" w:rsidRDefault="00016DBD" w:rsidP="00016DBD">
      <w:pPr>
        <w:pStyle w:val="FootnoteText"/>
      </w:pPr>
      <w:r w:rsidRPr="00BC3D14">
        <w:rPr>
          <w:rStyle w:val="FootnoteReference"/>
        </w:rPr>
        <w:footnoteRef/>
      </w:r>
      <w:r w:rsidRPr="00BC3D14">
        <w:t xml:space="preserve"> </w:t>
      </w:r>
      <w:hyperlink r:id="rId18" w:history="1">
        <w:r w:rsidRPr="00BC3D14">
          <w:rPr>
            <w:rStyle w:val="Hyperlink"/>
            <w:i/>
          </w:rPr>
          <w:t xml:space="preserve">Blueprint for sectoral cooperation on skills </w:t>
        </w:r>
        <w:r w:rsidRPr="00BC3D14">
          <w:rPr>
            <w:rStyle w:val="Hyperlink"/>
          </w:rPr>
          <w:t>(Planul de cooperare sectorială în materie de competențe) – Ocuparea Forței de Muncă, Afaceri Sociale și Incluziune.</w:t>
        </w:r>
      </w:hyperlink>
    </w:p>
  </w:footnote>
  <w:footnote w:id="74">
    <w:p w14:paraId="62AF8292" w14:textId="6E8E4E20" w:rsidR="009F4C79" w:rsidRPr="00BC3D14" w:rsidRDefault="009F4C79">
      <w:pPr>
        <w:pStyle w:val="FootnoteText"/>
      </w:pPr>
      <w:r w:rsidRPr="00BC3D14">
        <w:rPr>
          <w:rStyle w:val="FootnoteReference"/>
        </w:rPr>
        <w:footnoteRef/>
      </w:r>
      <w:r w:rsidRPr="00BC3D14">
        <w:t xml:space="preserve"> </w:t>
      </w:r>
      <w:r w:rsidRPr="00BC3D14">
        <w:rPr>
          <w:i/>
        </w:rPr>
        <w:t>An analytical report on skills in the European construction sector</w:t>
      </w:r>
      <w:r w:rsidRPr="00BC3D14">
        <w:t xml:space="preserve"> (Raport analitic privind competențele în sectorul european al construcțiilor) – Observatorul european al construcțiilor.</w:t>
      </w:r>
    </w:p>
  </w:footnote>
  <w:footnote w:id="75">
    <w:p w14:paraId="316A94E8" w14:textId="7F1CFAED" w:rsidR="00CA5292" w:rsidRPr="00A12D8A" w:rsidRDefault="00CA5292">
      <w:pPr>
        <w:pStyle w:val="FootnoteText"/>
      </w:pPr>
      <w:r w:rsidRPr="00BC3D14">
        <w:rPr>
          <w:rStyle w:val="FootnoteReference"/>
        </w:rPr>
        <w:footnoteRef/>
      </w:r>
      <w:r w:rsidRPr="00BC3D14">
        <w:t xml:space="preserve"> </w:t>
      </w:r>
      <w:hyperlink r:id="rId19" w:history="1">
        <w:r w:rsidRPr="00BC3D14">
          <w:rPr>
            <w:rStyle w:val="Hyperlink"/>
          </w:rPr>
          <w:t>https://single-market-economy.ec.europa.eu/sectors/construction/construction-transition-pathway_en</w:t>
        </w:r>
      </w:hyperlink>
      <w:r w:rsidRPr="00BC3D1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5382B" w14:textId="77777777" w:rsidR="006A22CE" w:rsidRPr="006A22CE" w:rsidRDefault="006A22CE" w:rsidP="006A22C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CF4A3" w14:textId="77777777" w:rsidR="006A22CE" w:rsidRPr="006A22CE" w:rsidRDefault="006A22CE" w:rsidP="006A22C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00464" w14:textId="77777777" w:rsidR="006A22CE" w:rsidRPr="006A22CE" w:rsidRDefault="006A22CE" w:rsidP="006A22C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07CF2" w14:textId="77777777" w:rsidR="006A7C0E" w:rsidRPr="00BC3D14" w:rsidRDefault="006A7C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E0823" w14:textId="77777777" w:rsidR="006A7C0E" w:rsidRPr="00BC3D14" w:rsidRDefault="006A7C0E">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CC80" w14:textId="77777777" w:rsidR="006A7C0E" w:rsidRPr="00BC3D14" w:rsidRDefault="006A7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455C"/>
    <w:multiLevelType w:val="hybridMultilevel"/>
    <w:tmpl w:val="28BE4640"/>
    <w:lvl w:ilvl="0" w:tplc="97DA12FE">
      <w:start w:val="1"/>
      <w:numFmt w:val="bullet"/>
      <w:lvlText w:val=""/>
      <w:lvlJc w:val="left"/>
      <w:pPr>
        <w:ind w:left="720" w:hanging="360"/>
      </w:pPr>
      <w:rPr>
        <w:rFonts w:ascii="Symbol" w:hAnsi="Symbol"/>
      </w:rPr>
    </w:lvl>
    <w:lvl w:ilvl="1" w:tplc="DA322B12">
      <w:start w:val="1"/>
      <w:numFmt w:val="bullet"/>
      <w:lvlText w:val=""/>
      <w:lvlJc w:val="left"/>
      <w:pPr>
        <w:ind w:left="720" w:hanging="360"/>
      </w:pPr>
      <w:rPr>
        <w:rFonts w:ascii="Symbol" w:hAnsi="Symbol"/>
      </w:rPr>
    </w:lvl>
    <w:lvl w:ilvl="2" w:tplc="AD24EB64">
      <w:start w:val="1"/>
      <w:numFmt w:val="bullet"/>
      <w:lvlText w:val=""/>
      <w:lvlJc w:val="left"/>
      <w:pPr>
        <w:ind w:left="720" w:hanging="360"/>
      </w:pPr>
      <w:rPr>
        <w:rFonts w:ascii="Symbol" w:hAnsi="Symbol"/>
      </w:rPr>
    </w:lvl>
    <w:lvl w:ilvl="3" w:tplc="104816F8">
      <w:start w:val="1"/>
      <w:numFmt w:val="bullet"/>
      <w:lvlText w:val=""/>
      <w:lvlJc w:val="left"/>
      <w:pPr>
        <w:ind w:left="720" w:hanging="360"/>
      </w:pPr>
      <w:rPr>
        <w:rFonts w:ascii="Symbol" w:hAnsi="Symbol"/>
      </w:rPr>
    </w:lvl>
    <w:lvl w:ilvl="4" w:tplc="742C35F8">
      <w:start w:val="1"/>
      <w:numFmt w:val="bullet"/>
      <w:lvlText w:val=""/>
      <w:lvlJc w:val="left"/>
      <w:pPr>
        <w:ind w:left="720" w:hanging="360"/>
      </w:pPr>
      <w:rPr>
        <w:rFonts w:ascii="Symbol" w:hAnsi="Symbol"/>
      </w:rPr>
    </w:lvl>
    <w:lvl w:ilvl="5" w:tplc="B34AC98A">
      <w:start w:val="1"/>
      <w:numFmt w:val="bullet"/>
      <w:lvlText w:val=""/>
      <w:lvlJc w:val="left"/>
      <w:pPr>
        <w:ind w:left="720" w:hanging="360"/>
      </w:pPr>
      <w:rPr>
        <w:rFonts w:ascii="Symbol" w:hAnsi="Symbol"/>
      </w:rPr>
    </w:lvl>
    <w:lvl w:ilvl="6" w:tplc="6ABE7602">
      <w:start w:val="1"/>
      <w:numFmt w:val="bullet"/>
      <w:lvlText w:val=""/>
      <w:lvlJc w:val="left"/>
      <w:pPr>
        <w:ind w:left="720" w:hanging="360"/>
      </w:pPr>
      <w:rPr>
        <w:rFonts w:ascii="Symbol" w:hAnsi="Symbol"/>
      </w:rPr>
    </w:lvl>
    <w:lvl w:ilvl="7" w:tplc="B6464B80">
      <w:start w:val="1"/>
      <w:numFmt w:val="bullet"/>
      <w:lvlText w:val=""/>
      <w:lvlJc w:val="left"/>
      <w:pPr>
        <w:ind w:left="720" w:hanging="360"/>
      </w:pPr>
      <w:rPr>
        <w:rFonts w:ascii="Symbol" w:hAnsi="Symbol"/>
      </w:rPr>
    </w:lvl>
    <w:lvl w:ilvl="8" w:tplc="060C7638">
      <w:start w:val="1"/>
      <w:numFmt w:val="bullet"/>
      <w:lvlText w:val=""/>
      <w:lvlJc w:val="left"/>
      <w:pPr>
        <w:ind w:left="720" w:hanging="360"/>
      </w:pPr>
      <w:rPr>
        <w:rFonts w:ascii="Symbol" w:hAnsi="Symbol"/>
      </w:rPr>
    </w:lvl>
  </w:abstractNum>
  <w:abstractNum w:abstractNumId="1" w15:restartNumberingAfterBreak="0">
    <w:nsid w:val="069A746E"/>
    <w:multiLevelType w:val="hybridMultilevel"/>
    <w:tmpl w:val="D9646C4A"/>
    <w:lvl w:ilvl="0" w:tplc="FA66E4F2">
      <w:start w:val="1"/>
      <w:numFmt w:val="bullet"/>
      <w:lvlText w:val="-"/>
      <w:lvlJc w:val="left"/>
      <w:pPr>
        <w:ind w:left="720" w:hanging="360"/>
      </w:pPr>
      <w:rPr>
        <w:rFonts w:ascii="Aptos" w:hAnsi="Aptos" w:hint="default"/>
        <w:u w:color="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2518AC"/>
    <w:multiLevelType w:val="hybridMultilevel"/>
    <w:tmpl w:val="8530ED66"/>
    <w:name w:val="Point2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0E29FF"/>
    <w:multiLevelType w:val="hybridMultilevel"/>
    <w:tmpl w:val="BB7298D8"/>
    <w:name w:val="Point222222"/>
    <w:lvl w:ilvl="0" w:tplc="DA8EF5DE">
      <w:start w:val="1"/>
      <w:numFmt w:val="bullet"/>
      <w:lvlText w:val=""/>
      <w:lvlJc w:val="left"/>
      <w:pPr>
        <w:ind w:left="720" w:hanging="360"/>
      </w:pPr>
      <w:rPr>
        <w:rFonts w:ascii="Symbol" w:hAnsi="Symbol" w:hint="default"/>
        <w:u w:color="E97132" w:themeColor="accent2"/>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CB2FB1"/>
    <w:multiLevelType w:val="hybridMultilevel"/>
    <w:tmpl w:val="8982DD86"/>
    <w:name w:val="Point222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32E2AF"/>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784224"/>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C407387"/>
    <w:multiLevelType w:val="hybridMultilevel"/>
    <w:tmpl w:val="AD24EE68"/>
    <w:name w:val="Point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5A2A3D"/>
    <w:multiLevelType w:val="hybridMultilevel"/>
    <w:tmpl w:val="97BA595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21480836"/>
    <w:multiLevelType w:val="hybridMultilevel"/>
    <w:tmpl w:val="C71E75C0"/>
    <w:lvl w:ilvl="0" w:tplc="FA66E4F2">
      <w:start w:val="1"/>
      <w:numFmt w:val="bullet"/>
      <w:lvlText w:val="-"/>
      <w:lvlJc w:val="left"/>
      <w:pPr>
        <w:ind w:left="360" w:hanging="360"/>
      </w:pPr>
      <w:rPr>
        <w:rFonts w:ascii="Aptos" w:hAnsi="Aptos" w:hint="default"/>
        <w:u w:color="E97132" w:themeColor="accent2"/>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23F47043"/>
    <w:multiLevelType w:val="hybridMultilevel"/>
    <w:tmpl w:val="40CE9BA0"/>
    <w:lvl w:ilvl="0" w:tplc="7B365C66">
      <w:numFmt w:val="bullet"/>
      <w:lvlText w:val="-"/>
      <w:lvlJc w:val="left"/>
      <w:pPr>
        <w:ind w:left="720" w:hanging="360"/>
      </w:pPr>
      <w:rPr>
        <w:rFonts w:ascii="Calibri Light" w:eastAsia="Calibri" w:hAnsi="Calibri Light" w:cs="Calibri Light"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BD95B5F"/>
    <w:multiLevelType w:val="multilevel"/>
    <w:tmpl w:val="0CDCC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024F17"/>
    <w:multiLevelType w:val="hybridMultilevel"/>
    <w:tmpl w:val="A648A464"/>
    <w:lvl w:ilvl="0" w:tplc="25CC6D18">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AFC709F"/>
    <w:multiLevelType w:val="hybridMultilevel"/>
    <w:tmpl w:val="977E28F2"/>
    <w:name w:val="Point"/>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FB755AD"/>
    <w:multiLevelType w:val="hybridMultilevel"/>
    <w:tmpl w:val="FFFFFFFF"/>
    <w:lvl w:ilvl="0" w:tplc="5BA679EC">
      <w:start w:val="1"/>
      <w:numFmt w:val="bullet"/>
      <w:lvlText w:val="-"/>
      <w:lvlJc w:val="left"/>
      <w:pPr>
        <w:ind w:left="720" w:hanging="360"/>
      </w:pPr>
      <w:rPr>
        <w:rFonts w:ascii="Aptos" w:hAnsi="Aptos" w:hint="default"/>
      </w:rPr>
    </w:lvl>
    <w:lvl w:ilvl="1" w:tplc="F5F8C806">
      <w:start w:val="1"/>
      <w:numFmt w:val="bullet"/>
      <w:lvlText w:val="o"/>
      <w:lvlJc w:val="left"/>
      <w:pPr>
        <w:ind w:left="1440" w:hanging="360"/>
      </w:pPr>
      <w:rPr>
        <w:rFonts w:ascii="Courier New" w:hAnsi="Courier New" w:hint="default"/>
      </w:rPr>
    </w:lvl>
    <w:lvl w:ilvl="2" w:tplc="370E5BE6">
      <w:start w:val="1"/>
      <w:numFmt w:val="bullet"/>
      <w:lvlText w:val=""/>
      <w:lvlJc w:val="left"/>
      <w:pPr>
        <w:ind w:left="2160" w:hanging="360"/>
      </w:pPr>
      <w:rPr>
        <w:rFonts w:ascii="Wingdings" w:hAnsi="Wingdings" w:hint="default"/>
      </w:rPr>
    </w:lvl>
    <w:lvl w:ilvl="3" w:tplc="FF2E16CC">
      <w:start w:val="1"/>
      <w:numFmt w:val="bullet"/>
      <w:lvlText w:val=""/>
      <w:lvlJc w:val="left"/>
      <w:pPr>
        <w:ind w:left="2880" w:hanging="360"/>
      </w:pPr>
      <w:rPr>
        <w:rFonts w:ascii="Symbol" w:hAnsi="Symbol" w:hint="default"/>
      </w:rPr>
    </w:lvl>
    <w:lvl w:ilvl="4" w:tplc="0096F0EC">
      <w:start w:val="1"/>
      <w:numFmt w:val="bullet"/>
      <w:lvlText w:val="o"/>
      <w:lvlJc w:val="left"/>
      <w:pPr>
        <w:ind w:left="3600" w:hanging="360"/>
      </w:pPr>
      <w:rPr>
        <w:rFonts w:ascii="Courier New" w:hAnsi="Courier New" w:hint="default"/>
      </w:rPr>
    </w:lvl>
    <w:lvl w:ilvl="5" w:tplc="12C2DB8C">
      <w:start w:val="1"/>
      <w:numFmt w:val="bullet"/>
      <w:lvlText w:val=""/>
      <w:lvlJc w:val="left"/>
      <w:pPr>
        <w:ind w:left="4320" w:hanging="360"/>
      </w:pPr>
      <w:rPr>
        <w:rFonts w:ascii="Wingdings" w:hAnsi="Wingdings" w:hint="default"/>
      </w:rPr>
    </w:lvl>
    <w:lvl w:ilvl="6" w:tplc="435CA080">
      <w:start w:val="1"/>
      <w:numFmt w:val="bullet"/>
      <w:lvlText w:val=""/>
      <w:lvlJc w:val="left"/>
      <w:pPr>
        <w:ind w:left="5040" w:hanging="360"/>
      </w:pPr>
      <w:rPr>
        <w:rFonts w:ascii="Symbol" w:hAnsi="Symbol" w:hint="default"/>
      </w:rPr>
    </w:lvl>
    <w:lvl w:ilvl="7" w:tplc="C29EBEC6">
      <w:start w:val="1"/>
      <w:numFmt w:val="bullet"/>
      <w:lvlText w:val="o"/>
      <w:lvlJc w:val="left"/>
      <w:pPr>
        <w:ind w:left="5760" w:hanging="360"/>
      </w:pPr>
      <w:rPr>
        <w:rFonts w:ascii="Courier New" w:hAnsi="Courier New" w:hint="default"/>
      </w:rPr>
    </w:lvl>
    <w:lvl w:ilvl="8" w:tplc="62AE1BC8">
      <w:start w:val="1"/>
      <w:numFmt w:val="bullet"/>
      <w:lvlText w:val=""/>
      <w:lvlJc w:val="left"/>
      <w:pPr>
        <w:ind w:left="6480" w:hanging="360"/>
      </w:pPr>
      <w:rPr>
        <w:rFonts w:ascii="Wingdings" w:hAnsi="Wingdings" w:hint="default"/>
      </w:rPr>
    </w:lvl>
  </w:abstractNum>
  <w:abstractNum w:abstractNumId="15" w15:restartNumberingAfterBreak="0">
    <w:nsid w:val="503E154F"/>
    <w:multiLevelType w:val="hybridMultilevel"/>
    <w:tmpl w:val="6FF805CA"/>
    <w:name w:val="Point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0AD414D"/>
    <w:multiLevelType w:val="hybridMultilevel"/>
    <w:tmpl w:val="AA7031CA"/>
    <w:lvl w:ilvl="0" w:tplc="FA66E4F2">
      <w:start w:val="1"/>
      <w:numFmt w:val="bullet"/>
      <w:lvlText w:val="-"/>
      <w:lvlJc w:val="left"/>
      <w:pPr>
        <w:ind w:left="720" w:hanging="360"/>
      </w:pPr>
      <w:rPr>
        <w:rFonts w:ascii="Aptos" w:hAnsi="Aptos" w:hint="default"/>
        <w:u w:color="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B646DEF"/>
    <w:multiLevelType w:val="hybridMultilevel"/>
    <w:tmpl w:val="FFFFFFFF"/>
    <w:lvl w:ilvl="0" w:tplc="E1981B62">
      <w:start w:val="1"/>
      <w:numFmt w:val="bullet"/>
      <w:lvlText w:val="-"/>
      <w:lvlJc w:val="left"/>
      <w:pPr>
        <w:ind w:left="720" w:hanging="360"/>
      </w:pPr>
      <w:rPr>
        <w:rFonts w:ascii="Aptos" w:hAnsi="Aptos" w:hint="default"/>
      </w:rPr>
    </w:lvl>
    <w:lvl w:ilvl="1" w:tplc="D682FC3C">
      <w:start w:val="1"/>
      <w:numFmt w:val="bullet"/>
      <w:lvlText w:val="o"/>
      <w:lvlJc w:val="left"/>
      <w:pPr>
        <w:ind w:left="1440" w:hanging="360"/>
      </w:pPr>
      <w:rPr>
        <w:rFonts w:ascii="Courier New" w:hAnsi="Courier New" w:hint="default"/>
      </w:rPr>
    </w:lvl>
    <w:lvl w:ilvl="2" w:tplc="248085E4">
      <w:start w:val="1"/>
      <w:numFmt w:val="bullet"/>
      <w:lvlText w:val=""/>
      <w:lvlJc w:val="left"/>
      <w:pPr>
        <w:ind w:left="2160" w:hanging="360"/>
      </w:pPr>
      <w:rPr>
        <w:rFonts w:ascii="Wingdings" w:hAnsi="Wingdings" w:hint="default"/>
      </w:rPr>
    </w:lvl>
    <w:lvl w:ilvl="3" w:tplc="E5847E66">
      <w:start w:val="1"/>
      <w:numFmt w:val="bullet"/>
      <w:lvlText w:val=""/>
      <w:lvlJc w:val="left"/>
      <w:pPr>
        <w:ind w:left="2880" w:hanging="360"/>
      </w:pPr>
      <w:rPr>
        <w:rFonts w:ascii="Symbol" w:hAnsi="Symbol" w:hint="default"/>
      </w:rPr>
    </w:lvl>
    <w:lvl w:ilvl="4" w:tplc="A1A858DE">
      <w:start w:val="1"/>
      <w:numFmt w:val="bullet"/>
      <w:lvlText w:val="o"/>
      <w:lvlJc w:val="left"/>
      <w:pPr>
        <w:ind w:left="3600" w:hanging="360"/>
      </w:pPr>
      <w:rPr>
        <w:rFonts w:ascii="Courier New" w:hAnsi="Courier New" w:hint="default"/>
      </w:rPr>
    </w:lvl>
    <w:lvl w:ilvl="5" w:tplc="B4E65BEE">
      <w:start w:val="1"/>
      <w:numFmt w:val="bullet"/>
      <w:lvlText w:val=""/>
      <w:lvlJc w:val="left"/>
      <w:pPr>
        <w:ind w:left="4320" w:hanging="360"/>
      </w:pPr>
      <w:rPr>
        <w:rFonts w:ascii="Wingdings" w:hAnsi="Wingdings" w:hint="default"/>
      </w:rPr>
    </w:lvl>
    <w:lvl w:ilvl="6" w:tplc="114AC238">
      <w:start w:val="1"/>
      <w:numFmt w:val="bullet"/>
      <w:lvlText w:val=""/>
      <w:lvlJc w:val="left"/>
      <w:pPr>
        <w:ind w:left="5040" w:hanging="360"/>
      </w:pPr>
      <w:rPr>
        <w:rFonts w:ascii="Symbol" w:hAnsi="Symbol" w:hint="default"/>
      </w:rPr>
    </w:lvl>
    <w:lvl w:ilvl="7" w:tplc="6A106B54">
      <w:start w:val="1"/>
      <w:numFmt w:val="bullet"/>
      <w:lvlText w:val="o"/>
      <w:lvlJc w:val="left"/>
      <w:pPr>
        <w:ind w:left="5760" w:hanging="360"/>
      </w:pPr>
      <w:rPr>
        <w:rFonts w:ascii="Courier New" w:hAnsi="Courier New" w:hint="default"/>
      </w:rPr>
    </w:lvl>
    <w:lvl w:ilvl="8" w:tplc="E07204A6">
      <w:start w:val="1"/>
      <w:numFmt w:val="bullet"/>
      <w:lvlText w:val=""/>
      <w:lvlJc w:val="left"/>
      <w:pPr>
        <w:ind w:left="6480" w:hanging="360"/>
      </w:pPr>
      <w:rPr>
        <w:rFonts w:ascii="Wingdings" w:hAnsi="Wingdings" w:hint="default"/>
      </w:rPr>
    </w:lvl>
  </w:abstractNum>
  <w:abstractNum w:abstractNumId="18" w15:restartNumberingAfterBreak="0">
    <w:nsid w:val="5E996937"/>
    <w:multiLevelType w:val="hybridMultilevel"/>
    <w:tmpl w:val="31AE351C"/>
    <w:lvl w:ilvl="0" w:tplc="FDB6BF6C">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FD70B0A"/>
    <w:multiLevelType w:val="hybridMultilevel"/>
    <w:tmpl w:val="962CB454"/>
    <w:lvl w:ilvl="0" w:tplc="9FDE7150">
      <w:start w:val="5"/>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25D2A22"/>
    <w:multiLevelType w:val="hybridMultilevel"/>
    <w:tmpl w:val="58DC569C"/>
    <w:lvl w:ilvl="0" w:tplc="FA66E4F2">
      <w:start w:val="1"/>
      <w:numFmt w:val="bullet"/>
      <w:lvlText w:val="-"/>
      <w:lvlJc w:val="left"/>
      <w:pPr>
        <w:ind w:left="720" w:hanging="360"/>
      </w:pPr>
      <w:rPr>
        <w:rFonts w:ascii="Aptos" w:hAnsi="Aptos" w:hint="default"/>
      </w:rPr>
    </w:lvl>
    <w:lvl w:ilvl="1" w:tplc="A5D67ABA">
      <w:start w:val="1"/>
      <w:numFmt w:val="bullet"/>
      <w:lvlText w:val="o"/>
      <w:lvlJc w:val="left"/>
      <w:pPr>
        <w:ind w:left="1440" w:hanging="360"/>
      </w:pPr>
      <w:rPr>
        <w:rFonts w:ascii="Courier New" w:hAnsi="Courier New" w:hint="default"/>
      </w:rPr>
    </w:lvl>
    <w:lvl w:ilvl="2" w:tplc="C5144840">
      <w:start w:val="1"/>
      <w:numFmt w:val="bullet"/>
      <w:lvlText w:val=""/>
      <w:lvlJc w:val="left"/>
      <w:pPr>
        <w:ind w:left="2160" w:hanging="360"/>
      </w:pPr>
      <w:rPr>
        <w:rFonts w:ascii="Wingdings" w:hAnsi="Wingdings" w:hint="default"/>
      </w:rPr>
    </w:lvl>
    <w:lvl w:ilvl="3" w:tplc="33F489C4">
      <w:start w:val="1"/>
      <w:numFmt w:val="bullet"/>
      <w:lvlText w:val=""/>
      <w:lvlJc w:val="left"/>
      <w:pPr>
        <w:ind w:left="2880" w:hanging="360"/>
      </w:pPr>
      <w:rPr>
        <w:rFonts w:ascii="Symbol" w:hAnsi="Symbol" w:hint="default"/>
      </w:rPr>
    </w:lvl>
    <w:lvl w:ilvl="4" w:tplc="92D81318">
      <w:start w:val="1"/>
      <w:numFmt w:val="bullet"/>
      <w:lvlText w:val="o"/>
      <w:lvlJc w:val="left"/>
      <w:pPr>
        <w:ind w:left="3600" w:hanging="360"/>
      </w:pPr>
      <w:rPr>
        <w:rFonts w:ascii="Courier New" w:hAnsi="Courier New" w:hint="default"/>
      </w:rPr>
    </w:lvl>
    <w:lvl w:ilvl="5" w:tplc="E2F683F0">
      <w:start w:val="1"/>
      <w:numFmt w:val="bullet"/>
      <w:lvlText w:val=""/>
      <w:lvlJc w:val="left"/>
      <w:pPr>
        <w:ind w:left="4320" w:hanging="360"/>
      </w:pPr>
      <w:rPr>
        <w:rFonts w:ascii="Wingdings" w:hAnsi="Wingdings" w:hint="default"/>
      </w:rPr>
    </w:lvl>
    <w:lvl w:ilvl="6" w:tplc="238C1A24">
      <w:start w:val="1"/>
      <w:numFmt w:val="bullet"/>
      <w:lvlText w:val=""/>
      <w:lvlJc w:val="left"/>
      <w:pPr>
        <w:ind w:left="5040" w:hanging="360"/>
      </w:pPr>
      <w:rPr>
        <w:rFonts w:ascii="Symbol" w:hAnsi="Symbol" w:hint="default"/>
      </w:rPr>
    </w:lvl>
    <w:lvl w:ilvl="7" w:tplc="2DA44468">
      <w:start w:val="1"/>
      <w:numFmt w:val="bullet"/>
      <w:lvlText w:val="o"/>
      <w:lvlJc w:val="left"/>
      <w:pPr>
        <w:ind w:left="5760" w:hanging="360"/>
      </w:pPr>
      <w:rPr>
        <w:rFonts w:ascii="Courier New" w:hAnsi="Courier New" w:hint="default"/>
      </w:rPr>
    </w:lvl>
    <w:lvl w:ilvl="8" w:tplc="D3C6D41E">
      <w:start w:val="1"/>
      <w:numFmt w:val="bullet"/>
      <w:lvlText w:val=""/>
      <w:lvlJc w:val="left"/>
      <w:pPr>
        <w:ind w:left="6480" w:hanging="360"/>
      </w:pPr>
      <w:rPr>
        <w:rFonts w:ascii="Wingdings" w:hAnsi="Wingdings" w:hint="default"/>
      </w:rPr>
    </w:lvl>
  </w:abstractNum>
  <w:abstractNum w:abstractNumId="21" w15:restartNumberingAfterBreak="0">
    <w:nsid w:val="654838D8"/>
    <w:multiLevelType w:val="hybridMultilevel"/>
    <w:tmpl w:val="DD220346"/>
    <w:lvl w:ilvl="0" w:tplc="FA66E4F2">
      <w:start w:val="1"/>
      <w:numFmt w:val="bullet"/>
      <w:lvlText w:val="-"/>
      <w:lvlJc w:val="left"/>
      <w:pPr>
        <w:ind w:left="1080" w:hanging="360"/>
      </w:pPr>
      <w:rPr>
        <w:rFonts w:ascii="Aptos" w:hAnsi="Apto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6E5F705F"/>
    <w:multiLevelType w:val="hybridMultilevel"/>
    <w:tmpl w:val="7A5456C4"/>
    <w:name w:val="Point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ED3E68"/>
    <w:multiLevelType w:val="hybridMultilevel"/>
    <w:tmpl w:val="52C23B28"/>
    <w:lvl w:ilvl="0" w:tplc="307A4084">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66A7F6D"/>
    <w:multiLevelType w:val="hybridMultilevel"/>
    <w:tmpl w:val="8A94CC22"/>
    <w:name w:val="Point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F2919B2"/>
    <w:multiLevelType w:val="hybridMultilevel"/>
    <w:tmpl w:val="2292A932"/>
    <w:lvl w:ilvl="0" w:tplc="16063CC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1"/>
  </w:num>
  <w:num w:numId="4">
    <w:abstractNumId w:val="21"/>
  </w:num>
  <w:num w:numId="5">
    <w:abstractNumId w:val="16"/>
  </w:num>
  <w:num w:numId="6">
    <w:abstractNumId w:val="9"/>
  </w:num>
  <w:num w:numId="7">
    <w:abstractNumId w:val="11"/>
  </w:num>
  <w:num w:numId="8">
    <w:abstractNumId w:val="6"/>
  </w:num>
  <w:num w:numId="9">
    <w:abstractNumId w:val="0"/>
  </w:num>
  <w:num w:numId="10">
    <w:abstractNumId w:val="23"/>
  </w:num>
  <w:num w:numId="11">
    <w:abstractNumId w:val="6"/>
  </w:num>
  <w:num w:numId="12">
    <w:abstractNumId w:val="19"/>
  </w:num>
  <w:num w:numId="13">
    <w:abstractNumId w:val="12"/>
  </w:num>
  <w:num w:numId="14">
    <w:abstractNumId w:val="18"/>
  </w:num>
  <w:num w:numId="15">
    <w:abstractNumId w:val="6"/>
  </w:num>
  <w:num w:numId="16">
    <w:abstractNumId w:val="6"/>
  </w:num>
  <w:num w:numId="17">
    <w:abstractNumId w:val="6"/>
  </w:num>
  <w:num w:numId="18">
    <w:abstractNumId w:val="6"/>
  </w:num>
  <w:num w:numId="19">
    <w:abstractNumId w:val="6"/>
  </w:num>
  <w:num w:numId="20">
    <w:abstractNumId w:val="8"/>
  </w:num>
  <w:num w:numId="21">
    <w:abstractNumId w:val="2"/>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0"/>
  </w:num>
  <w:num w:numId="25">
    <w:abstractNumId w:val="6"/>
  </w:num>
  <w:num w:numId="26">
    <w:abstractNumId w:val="14"/>
  </w:num>
  <w:num w:numId="2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F708D03-A958-4257-A351-592CBF222173"/>
    <w:docVar w:name="LW_COVERPAGE_TYPE" w:val="1"/>
    <w:docVar w:name="LW_CROSSREFERENCE" w:val="&lt;UNUSED&gt;"/>
    <w:docVar w:name="LW_DocType" w:val="NORMAL"/>
    <w:docVar w:name="LW_EMISSION" w:val="16.12.2025"/>
    <w:docVar w:name="LW_EMISSION_ISODATE" w:val="2025-12-16"/>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9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european\u259? pentru construc\u539?ia de locuin\u539?e: o industrie a construc\u539?iilor mai competitiv\u259? \u537?i mai productiv\u259?"/>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BC7F22"/>
    <w:rsid w:val="00000018"/>
    <w:rsid w:val="0000030B"/>
    <w:rsid w:val="0000036F"/>
    <w:rsid w:val="00000B7D"/>
    <w:rsid w:val="00000BA9"/>
    <w:rsid w:val="00000C70"/>
    <w:rsid w:val="00000D06"/>
    <w:rsid w:val="00000E2B"/>
    <w:rsid w:val="00000EF4"/>
    <w:rsid w:val="00001077"/>
    <w:rsid w:val="00001246"/>
    <w:rsid w:val="00001285"/>
    <w:rsid w:val="00001354"/>
    <w:rsid w:val="00001392"/>
    <w:rsid w:val="00001495"/>
    <w:rsid w:val="000016C5"/>
    <w:rsid w:val="0000192C"/>
    <w:rsid w:val="00001C22"/>
    <w:rsid w:val="00001C75"/>
    <w:rsid w:val="00001EF1"/>
    <w:rsid w:val="00002180"/>
    <w:rsid w:val="00002194"/>
    <w:rsid w:val="000021B5"/>
    <w:rsid w:val="000021FD"/>
    <w:rsid w:val="000022A3"/>
    <w:rsid w:val="0000235B"/>
    <w:rsid w:val="0000238D"/>
    <w:rsid w:val="0000247D"/>
    <w:rsid w:val="00002533"/>
    <w:rsid w:val="0000262B"/>
    <w:rsid w:val="000026F9"/>
    <w:rsid w:val="00002834"/>
    <w:rsid w:val="00002840"/>
    <w:rsid w:val="000028E6"/>
    <w:rsid w:val="00002915"/>
    <w:rsid w:val="00002924"/>
    <w:rsid w:val="00002940"/>
    <w:rsid w:val="00002BD1"/>
    <w:rsid w:val="00002F4C"/>
    <w:rsid w:val="00003067"/>
    <w:rsid w:val="000033B1"/>
    <w:rsid w:val="0000347A"/>
    <w:rsid w:val="000035E3"/>
    <w:rsid w:val="000036C6"/>
    <w:rsid w:val="00003A8D"/>
    <w:rsid w:val="00003C13"/>
    <w:rsid w:val="00003D92"/>
    <w:rsid w:val="00003DC7"/>
    <w:rsid w:val="00003F57"/>
    <w:rsid w:val="000041B6"/>
    <w:rsid w:val="0000433C"/>
    <w:rsid w:val="00004480"/>
    <w:rsid w:val="00004578"/>
    <w:rsid w:val="0000479F"/>
    <w:rsid w:val="000047EF"/>
    <w:rsid w:val="0000486C"/>
    <w:rsid w:val="00004A4F"/>
    <w:rsid w:val="00004BBB"/>
    <w:rsid w:val="00004E31"/>
    <w:rsid w:val="00004E75"/>
    <w:rsid w:val="000050CF"/>
    <w:rsid w:val="00005427"/>
    <w:rsid w:val="00005499"/>
    <w:rsid w:val="0000551C"/>
    <w:rsid w:val="00005597"/>
    <w:rsid w:val="0000571C"/>
    <w:rsid w:val="0000598C"/>
    <w:rsid w:val="000059A3"/>
    <w:rsid w:val="00005AFD"/>
    <w:rsid w:val="00005B45"/>
    <w:rsid w:val="00005B83"/>
    <w:rsid w:val="00005B8B"/>
    <w:rsid w:val="00005BCF"/>
    <w:rsid w:val="0000630D"/>
    <w:rsid w:val="000065DA"/>
    <w:rsid w:val="00006725"/>
    <w:rsid w:val="000067C5"/>
    <w:rsid w:val="0000680E"/>
    <w:rsid w:val="0000691B"/>
    <w:rsid w:val="00006AD1"/>
    <w:rsid w:val="00006AE2"/>
    <w:rsid w:val="00006AE5"/>
    <w:rsid w:val="00006C50"/>
    <w:rsid w:val="00006CE1"/>
    <w:rsid w:val="00006D4F"/>
    <w:rsid w:val="00006E09"/>
    <w:rsid w:val="00006F14"/>
    <w:rsid w:val="00006F82"/>
    <w:rsid w:val="0000703D"/>
    <w:rsid w:val="00007188"/>
    <w:rsid w:val="000071AD"/>
    <w:rsid w:val="0000721F"/>
    <w:rsid w:val="0000759D"/>
    <w:rsid w:val="00007617"/>
    <w:rsid w:val="000077E9"/>
    <w:rsid w:val="00007912"/>
    <w:rsid w:val="00007ABC"/>
    <w:rsid w:val="00007B93"/>
    <w:rsid w:val="00007D74"/>
    <w:rsid w:val="00007E30"/>
    <w:rsid w:val="00007FD2"/>
    <w:rsid w:val="00010118"/>
    <w:rsid w:val="0001013C"/>
    <w:rsid w:val="00010174"/>
    <w:rsid w:val="000102A7"/>
    <w:rsid w:val="00010AD8"/>
    <w:rsid w:val="00010AF4"/>
    <w:rsid w:val="00010C3A"/>
    <w:rsid w:val="00010DED"/>
    <w:rsid w:val="00010F04"/>
    <w:rsid w:val="00010FD6"/>
    <w:rsid w:val="0001101F"/>
    <w:rsid w:val="000112D9"/>
    <w:rsid w:val="00011550"/>
    <w:rsid w:val="0001165A"/>
    <w:rsid w:val="000116F7"/>
    <w:rsid w:val="00011874"/>
    <w:rsid w:val="0001199A"/>
    <w:rsid w:val="00011A54"/>
    <w:rsid w:val="00011C62"/>
    <w:rsid w:val="00011D55"/>
    <w:rsid w:val="00011DFB"/>
    <w:rsid w:val="00011F83"/>
    <w:rsid w:val="00012032"/>
    <w:rsid w:val="00012050"/>
    <w:rsid w:val="000121E2"/>
    <w:rsid w:val="00012293"/>
    <w:rsid w:val="000124FE"/>
    <w:rsid w:val="0001259C"/>
    <w:rsid w:val="000125EF"/>
    <w:rsid w:val="000127B4"/>
    <w:rsid w:val="000127E4"/>
    <w:rsid w:val="00012A01"/>
    <w:rsid w:val="00012BDA"/>
    <w:rsid w:val="00012BEA"/>
    <w:rsid w:val="00012DDF"/>
    <w:rsid w:val="000130B4"/>
    <w:rsid w:val="00013307"/>
    <w:rsid w:val="000135EE"/>
    <w:rsid w:val="000139CD"/>
    <w:rsid w:val="00013ABE"/>
    <w:rsid w:val="00013B20"/>
    <w:rsid w:val="00013C9D"/>
    <w:rsid w:val="00013E24"/>
    <w:rsid w:val="00013F72"/>
    <w:rsid w:val="000140D7"/>
    <w:rsid w:val="00014353"/>
    <w:rsid w:val="000143E8"/>
    <w:rsid w:val="0001456A"/>
    <w:rsid w:val="00014650"/>
    <w:rsid w:val="000147E0"/>
    <w:rsid w:val="00014807"/>
    <w:rsid w:val="00014A60"/>
    <w:rsid w:val="00014C15"/>
    <w:rsid w:val="00014D50"/>
    <w:rsid w:val="00014EFC"/>
    <w:rsid w:val="00015073"/>
    <w:rsid w:val="00015213"/>
    <w:rsid w:val="000152BD"/>
    <w:rsid w:val="000155E5"/>
    <w:rsid w:val="00015618"/>
    <w:rsid w:val="0001573B"/>
    <w:rsid w:val="00015A82"/>
    <w:rsid w:val="00015C90"/>
    <w:rsid w:val="00015D8A"/>
    <w:rsid w:val="00015E38"/>
    <w:rsid w:val="00015EF6"/>
    <w:rsid w:val="00016111"/>
    <w:rsid w:val="00016351"/>
    <w:rsid w:val="00016710"/>
    <w:rsid w:val="0001692B"/>
    <w:rsid w:val="00016ADE"/>
    <w:rsid w:val="00016DB2"/>
    <w:rsid w:val="00016DBD"/>
    <w:rsid w:val="00016ED8"/>
    <w:rsid w:val="00016F2D"/>
    <w:rsid w:val="00017072"/>
    <w:rsid w:val="000170D7"/>
    <w:rsid w:val="000172E3"/>
    <w:rsid w:val="0001730F"/>
    <w:rsid w:val="000173D7"/>
    <w:rsid w:val="000173F5"/>
    <w:rsid w:val="00017793"/>
    <w:rsid w:val="00017952"/>
    <w:rsid w:val="00017B3D"/>
    <w:rsid w:val="00017B4F"/>
    <w:rsid w:val="00017F7E"/>
    <w:rsid w:val="00017FE6"/>
    <w:rsid w:val="000201B4"/>
    <w:rsid w:val="0002026C"/>
    <w:rsid w:val="0002028A"/>
    <w:rsid w:val="0002035E"/>
    <w:rsid w:val="000207D6"/>
    <w:rsid w:val="00020802"/>
    <w:rsid w:val="0002087E"/>
    <w:rsid w:val="000208DC"/>
    <w:rsid w:val="000208E7"/>
    <w:rsid w:val="00020E20"/>
    <w:rsid w:val="0002105F"/>
    <w:rsid w:val="00021527"/>
    <w:rsid w:val="00021557"/>
    <w:rsid w:val="00021700"/>
    <w:rsid w:val="0002179C"/>
    <w:rsid w:val="0002185F"/>
    <w:rsid w:val="000218FC"/>
    <w:rsid w:val="0002193B"/>
    <w:rsid w:val="00021BE0"/>
    <w:rsid w:val="00021F8B"/>
    <w:rsid w:val="00022014"/>
    <w:rsid w:val="00022068"/>
    <w:rsid w:val="000220AA"/>
    <w:rsid w:val="00022253"/>
    <w:rsid w:val="0002231C"/>
    <w:rsid w:val="000224A1"/>
    <w:rsid w:val="000226E8"/>
    <w:rsid w:val="000228A1"/>
    <w:rsid w:val="00022929"/>
    <w:rsid w:val="00022CF7"/>
    <w:rsid w:val="00022ED9"/>
    <w:rsid w:val="00022F84"/>
    <w:rsid w:val="00022FC1"/>
    <w:rsid w:val="00022FEE"/>
    <w:rsid w:val="00023056"/>
    <w:rsid w:val="0002334C"/>
    <w:rsid w:val="000233BE"/>
    <w:rsid w:val="00023438"/>
    <w:rsid w:val="00023646"/>
    <w:rsid w:val="0002366B"/>
    <w:rsid w:val="000236F3"/>
    <w:rsid w:val="000237C6"/>
    <w:rsid w:val="00023B9B"/>
    <w:rsid w:val="00023FA6"/>
    <w:rsid w:val="00024129"/>
    <w:rsid w:val="0002465A"/>
    <w:rsid w:val="0002477E"/>
    <w:rsid w:val="00024ABE"/>
    <w:rsid w:val="00024BE0"/>
    <w:rsid w:val="00024BE4"/>
    <w:rsid w:val="00024BFB"/>
    <w:rsid w:val="00024D3F"/>
    <w:rsid w:val="00024D8E"/>
    <w:rsid w:val="00024E6A"/>
    <w:rsid w:val="00024FDA"/>
    <w:rsid w:val="00024FF3"/>
    <w:rsid w:val="00025007"/>
    <w:rsid w:val="00025070"/>
    <w:rsid w:val="0002521B"/>
    <w:rsid w:val="00025392"/>
    <w:rsid w:val="000254BB"/>
    <w:rsid w:val="0002581F"/>
    <w:rsid w:val="00025843"/>
    <w:rsid w:val="0002598E"/>
    <w:rsid w:val="00025A89"/>
    <w:rsid w:val="00025D8A"/>
    <w:rsid w:val="00025DAF"/>
    <w:rsid w:val="00026022"/>
    <w:rsid w:val="0002651C"/>
    <w:rsid w:val="000266BE"/>
    <w:rsid w:val="0002673B"/>
    <w:rsid w:val="00026B62"/>
    <w:rsid w:val="00026CC6"/>
    <w:rsid w:val="00026CCF"/>
    <w:rsid w:val="00027335"/>
    <w:rsid w:val="0002735A"/>
    <w:rsid w:val="00027470"/>
    <w:rsid w:val="000277EA"/>
    <w:rsid w:val="0002789B"/>
    <w:rsid w:val="000278B1"/>
    <w:rsid w:val="00027BBF"/>
    <w:rsid w:val="00027BD3"/>
    <w:rsid w:val="00027E8B"/>
    <w:rsid w:val="00030030"/>
    <w:rsid w:val="0003019D"/>
    <w:rsid w:val="0003025D"/>
    <w:rsid w:val="0003032F"/>
    <w:rsid w:val="00030333"/>
    <w:rsid w:val="00030D01"/>
    <w:rsid w:val="00030D1D"/>
    <w:rsid w:val="00030D55"/>
    <w:rsid w:val="00030DCB"/>
    <w:rsid w:val="00030F56"/>
    <w:rsid w:val="0003107E"/>
    <w:rsid w:val="00031200"/>
    <w:rsid w:val="00031248"/>
    <w:rsid w:val="00031619"/>
    <w:rsid w:val="000316B6"/>
    <w:rsid w:val="000317BC"/>
    <w:rsid w:val="0003181C"/>
    <w:rsid w:val="000319A8"/>
    <w:rsid w:val="00031A01"/>
    <w:rsid w:val="00031BB0"/>
    <w:rsid w:val="00031C06"/>
    <w:rsid w:val="00031D18"/>
    <w:rsid w:val="00032077"/>
    <w:rsid w:val="000320A3"/>
    <w:rsid w:val="000322F8"/>
    <w:rsid w:val="0003245B"/>
    <w:rsid w:val="0003260A"/>
    <w:rsid w:val="00032729"/>
    <w:rsid w:val="00032AB1"/>
    <w:rsid w:val="00032ABF"/>
    <w:rsid w:val="00032D1F"/>
    <w:rsid w:val="00032E5F"/>
    <w:rsid w:val="00032F55"/>
    <w:rsid w:val="00032F70"/>
    <w:rsid w:val="00032FA6"/>
    <w:rsid w:val="0003325C"/>
    <w:rsid w:val="00033564"/>
    <w:rsid w:val="000336B3"/>
    <w:rsid w:val="0003398C"/>
    <w:rsid w:val="00033CE7"/>
    <w:rsid w:val="0003406A"/>
    <w:rsid w:val="000340BC"/>
    <w:rsid w:val="0003448A"/>
    <w:rsid w:val="0003459F"/>
    <w:rsid w:val="00034630"/>
    <w:rsid w:val="00034897"/>
    <w:rsid w:val="00034980"/>
    <w:rsid w:val="00034AEE"/>
    <w:rsid w:val="00034C8E"/>
    <w:rsid w:val="00034D4A"/>
    <w:rsid w:val="00034D9F"/>
    <w:rsid w:val="00034E72"/>
    <w:rsid w:val="00034FBB"/>
    <w:rsid w:val="000350E0"/>
    <w:rsid w:val="000351CB"/>
    <w:rsid w:val="00035220"/>
    <w:rsid w:val="0003526E"/>
    <w:rsid w:val="0003531A"/>
    <w:rsid w:val="0003548F"/>
    <w:rsid w:val="00035534"/>
    <w:rsid w:val="00035721"/>
    <w:rsid w:val="000358B8"/>
    <w:rsid w:val="00035A66"/>
    <w:rsid w:val="00035B03"/>
    <w:rsid w:val="00035B97"/>
    <w:rsid w:val="00035BFC"/>
    <w:rsid w:val="00035DF3"/>
    <w:rsid w:val="00035EB7"/>
    <w:rsid w:val="00036012"/>
    <w:rsid w:val="000360C6"/>
    <w:rsid w:val="00036218"/>
    <w:rsid w:val="0003638A"/>
    <w:rsid w:val="00036462"/>
    <w:rsid w:val="000365D9"/>
    <w:rsid w:val="0003665B"/>
    <w:rsid w:val="000367A1"/>
    <w:rsid w:val="0003684C"/>
    <w:rsid w:val="00036A89"/>
    <w:rsid w:val="00036AEB"/>
    <w:rsid w:val="00036DC4"/>
    <w:rsid w:val="00036EBA"/>
    <w:rsid w:val="00036FF2"/>
    <w:rsid w:val="00037032"/>
    <w:rsid w:val="000373FE"/>
    <w:rsid w:val="000375D9"/>
    <w:rsid w:val="000376BD"/>
    <w:rsid w:val="00037A28"/>
    <w:rsid w:val="00037A39"/>
    <w:rsid w:val="00037C7A"/>
    <w:rsid w:val="00037CCA"/>
    <w:rsid w:val="00037E87"/>
    <w:rsid w:val="00037F0F"/>
    <w:rsid w:val="00037FBD"/>
    <w:rsid w:val="0004001E"/>
    <w:rsid w:val="00040060"/>
    <w:rsid w:val="0004047B"/>
    <w:rsid w:val="00040BC6"/>
    <w:rsid w:val="00040C3E"/>
    <w:rsid w:val="00040D2E"/>
    <w:rsid w:val="00040D3A"/>
    <w:rsid w:val="00040EC8"/>
    <w:rsid w:val="00040F95"/>
    <w:rsid w:val="00041082"/>
    <w:rsid w:val="000411F4"/>
    <w:rsid w:val="0004120B"/>
    <w:rsid w:val="00041256"/>
    <w:rsid w:val="00041273"/>
    <w:rsid w:val="000412A7"/>
    <w:rsid w:val="00041372"/>
    <w:rsid w:val="00041381"/>
    <w:rsid w:val="000413CF"/>
    <w:rsid w:val="000415BE"/>
    <w:rsid w:val="000416C3"/>
    <w:rsid w:val="00041701"/>
    <w:rsid w:val="000418AE"/>
    <w:rsid w:val="00041C9F"/>
    <w:rsid w:val="00041CEC"/>
    <w:rsid w:val="00041E46"/>
    <w:rsid w:val="00042017"/>
    <w:rsid w:val="000420A6"/>
    <w:rsid w:val="00042194"/>
    <w:rsid w:val="000422D2"/>
    <w:rsid w:val="000423D2"/>
    <w:rsid w:val="000424E5"/>
    <w:rsid w:val="00042559"/>
    <w:rsid w:val="000425C1"/>
    <w:rsid w:val="000426D8"/>
    <w:rsid w:val="000427B2"/>
    <w:rsid w:val="00042C5B"/>
    <w:rsid w:val="00042E5D"/>
    <w:rsid w:val="00042F19"/>
    <w:rsid w:val="00042F59"/>
    <w:rsid w:val="000432BF"/>
    <w:rsid w:val="000433BF"/>
    <w:rsid w:val="000434FC"/>
    <w:rsid w:val="0004352B"/>
    <w:rsid w:val="00043625"/>
    <w:rsid w:val="000436C4"/>
    <w:rsid w:val="0004381F"/>
    <w:rsid w:val="0004397F"/>
    <w:rsid w:val="00043AD0"/>
    <w:rsid w:val="00043C15"/>
    <w:rsid w:val="00043C1C"/>
    <w:rsid w:val="00043F84"/>
    <w:rsid w:val="00043FE4"/>
    <w:rsid w:val="0004402A"/>
    <w:rsid w:val="000440BD"/>
    <w:rsid w:val="00044129"/>
    <w:rsid w:val="0004413F"/>
    <w:rsid w:val="000441E9"/>
    <w:rsid w:val="000442B7"/>
    <w:rsid w:val="00044504"/>
    <w:rsid w:val="00044510"/>
    <w:rsid w:val="0004460A"/>
    <w:rsid w:val="0004475F"/>
    <w:rsid w:val="0004482E"/>
    <w:rsid w:val="00044874"/>
    <w:rsid w:val="0004493E"/>
    <w:rsid w:val="00044973"/>
    <w:rsid w:val="00044983"/>
    <w:rsid w:val="00044B1C"/>
    <w:rsid w:val="00044BFC"/>
    <w:rsid w:val="00044D54"/>
    <w:rsid w:val="00044EC2"/>
    <w:rsid w:val="00044F01"/>
    <w:rsid w:val="00044F6A"/>
    <w:rsid w:val="0004523A"/>
    <w:rsid w:val="000452B9"/>
    <w:rsid w:val="00045350"/>
    <w:rsid w:val="000453DC"/>
    <w:rsid w:val="00045583"/>
    <w:rsid w:val="0004585D"/>
    <w:rsid w:val="00045B37"/>
    <w:rsid w:val="00045B8C"/>
    <w:rsid w:val="00045CEF"/>
    <w:rsid w:val="00045EEC"/>
    <w:rsid w:val="00045F71"/>
    <w:rsid w:val="00045F82"/>
    <w:rsid w:val="0004611C"/>
    <w:rsid w:val="000466ED"/>
    <w:rsid w:val="0004677A"/>
    <w:rsid w:val="0004685B"/>
    <w:rsid w:val="00046B57"/>
    <w:rsid w:val="00046B64"/>
    <w:rsid w:val="00046B9C"/>
    <w:rsid w:val="00046C0C"/>
    <w:rsid w:val="00046E11"/>
    <w:rsid w:val="00046E4B"/>
    <w:rsid w:val="00047056"/>
    <w:rsid w:val="00047752"/>
    <w:rsid w:val="0004777F"/>
    <w:rsid w:val="000478A7"/>
    <w:rsid w:val="00047A2E"/>
    <w:rsid w:val="00047B1C"/>
    <w:rsid w:val="00047CE7"/>
    <w:rsid w:val="00050011"/>
    <w:rsid w:val="00050076"/>
    <w:rsid w:val="000500BD"/>
    <w:rsid w:val="000502DA"/>
    <w:rsid w:val="00050541"/>
    <w:rsid w:val="000505FF"/>
    <w:rsid w:val="0005060A"/>
    <w:rsid w:val="00050667"/>
    <w:rsid w:val="000506D5"/>
    <w:rsid w:val="000507A4"/>
    <w:rsid w:val="0005088F"/>
    <w:rsid w:val="000509E4"/>
    <w:rsid w:val="00050B80"/>
    <w:rsid w:val="00050F36"/>
    <w:rsid w:val="000511ED"/>
    <w:rsid w:val="0005124F"/>
    <w:rsid w:val="000512E1"/>
    <w:rsid w:val="000513B9"/>
    <w:rsid w:val="000515A9"/>
    <w:rsid w:val="0005165A"/>
    <w:rsid w:val="00051951"/>
    <w:rsid w:val="00051A00"/>
    <w:rsid w:val="00051A7F"/>
    <w:rsid w:val="00051BD9"/>
    <w:rsid w:val="00051BFD"/>
    <w:rsid w:val="00051CC9"/>
    <w:rsid w:val="00051D44"/>
    <w:rsid w:val="00051D69"/>
    <w:rsid w:val="000521DA"/>
    <w:rsid w:val="000521EA"/>
    <w:rsid w:val="00052356"/>
    <w:rsid w:val="00052403"/>
    <w:rsid w:val="00052454"/>
    <w:rsid w:val="00052455"/>
    <w:rsid w:val="00052457"/>
    <w:rsid w:val="0005267E"/>
    <w:rsid w:val="00052744"/>
    <w:rsid w:val="00052944"/>
    <w:rsid w:val="000529F3"/>
    <w:rsid w:val="00052C0B"/>
    <w:rsid w:val="00052C9F"/>
    <w:rsid w:val="00052E77"/>
    <w:rsid w:val="00052F69"/>
    <w:rsid w:val="00053076"/>
    <w:rsid w:val="00053356"/>
    <w:rsid w:val="00053359"/>
    <w:rsid w:val="00053675"/>
    <w:rsid w:val="000536A0"/>
    <w:rsid w:val="0005379E"/>
    <w:rsid w:val="00053966"/>
    <w:rsid w:val="00053A67"/>
    <w:rsid w:val="00053B5D"/>
    <w:rsid w:val="00053BBA"/>
    <w:rsid w:val="00053BFC"/>
    <w:rsid w:val="00053DA8"/>
    <w:rsid w:val="00053E34"/>
    <w:rsid w:val="00053E5F"/>
    <w:rsid w:val="00053F5C"/>
    <w:rsid w:val="0005400D"/>
    <w:rsid w:val="0005400F"/>
    <w:rsid w:val="00054164"/>
    <w:rsid w:val="000541BE"/>
    <w:rsid w:val="0005432F"/>
    <w:rsid w:val="0005456F"/>
    <w:rsid w:val="000547FD"/>
    <w:rsid w:val="00054860"/>
    <w:rsid w:val="00054A7B"/>
    <w:rsid w:val="00054AD0"/>
    <w:rsid w:val="00054B1F"/>
    <w:rsid w:val="00054BF3"/>
    <w:rsid w:val="00054C3D"/>
    <w:rsid w:val="00054C54"/>
    <w:rsid w:val="00054DC3"/>
    <w:rsid w:val="00054E71"/>
    <w:rsid w:val="00054EF6"/>
    <w:rsid w:val="00054F83"/>
    <w:rsid w:val="00055037"/>
    <w:rsid w:val="000550F0"/>
    <w:rsid w:val="0005513A"/>
    <w:rsid w:val="000551AE"/>
    <w:rsid w:val="00055296"/>
    <w:rsid w:val="000552BE"/>
    <w:rsid w:val="00055413"/>
    <w:rsid w:val="000556F4"/>
    <w:rsid w:val="0005571D"/>
    <w:rsid w:val="00055765"/>
    <w:rsid w:val="00055777"/>
    <w:rsid w:val="00055870"/>
    <w:rsid w:val="00055873"/>
    <w:rsid w:val="00055AD1"/>
    <w:rsid w:val="00055BF5"/>
    <w:rsid w:val="00055C15"/>
    <w:rsid w:val="00055C6C"/>
    <w:rsid w:val="00055F1E"/>
    <w:rsid w:val="0005603E"/>
    <w:rsid w:val="000562B4"/>
    <w:rsid w:val="000562D7"/>
    <w:rsid w:val="00056475"/>
    <w:rsid w:val="000565C2"/>
    <w:rsid w:val="00056640"/>
    <w:rsid w:val="0005673A"/>
    <w:rsid w:val="000567BE"/>
    <w:rsid w:val="000567D8"/>
    <w:rsid w:val="00056882"/>
    <w:rsid w:val="00056940"/>
    <w:rsid w:val="00056D17"/>
    <w:rsid w:val="00056DD0"/>
    <w:rsid w:val="00056E46"/>
    <w:rsid w:val="00057490"/>
    <w:rsid w:val="000578C7"/>
    <w:rsid w:val="00057A7F"/>
    <w:rsid w:val="00057AC9"/>
    <w:rsid w:val="00057D49"/>
    <w:rsid w:val="00057E03"/>
    <w:rsid w:val="00057E11"/>
    <w:rsid w:val="00057EC6"/>
    <w:rsid w:val="0005DDEA"/>
    <w:rsid w:val="0006009E"/>
    <w:rsid w:val="00060612"/>
    <w:rsid w:val="00060655"/>
    <w:rsid w:val="00060734"/>
    <w:rsid w:val="0006090C"/>
    <w:rsid w:val="0006099F"/>
    <w:rsid w:val="00060A3F"/>
    <w:rsid w:val="00060B1A"/>
    <w:rsid w:val="00060B4B"/>
    <w:rsid w:val="00060B91"/>
    <w:rsid w:val="00060B92"/>
    <w:rsid w:val="00060C83"/>
    <w:rsid w:val="00060DFC"/>
    <w:rsid w:val="00060EC6"/>
    <w:rsid w:val="00060F0B"/>
    <w:rsid w:val="0006138C"/>
    <w:rsid w:val="000613D1"/>
    <w:rsid w:val="0006145E"/>
    <w:rsid w:val="000618BE"/>
    <w:rsid w:val="000618CA"/>
    <w:rsid w:val="000618D7"/>
    <w:rsid w:val="00061AA1"/>
    <w:rsid w:val="00061D01"/>
    <w:rsid w:val="00061D42"/>
    <w:rsid w:val="00061E2C"/>
    <w:rsid w:val="00061F40"/>
    <w:rsid w:val="000621F6"/>
    <w:rsid w:val="00062290"/>
    <w:rsid w:val="000622E1"/>
    <w:rsid w:val="00062355"/>
    <w:rsid w:val="0006274B"/>
    <w:rsid w:val="00062A1A"/>
    <w:rsid w:val="00062B8F"/>
    <w:rsid w:val="00062C80"/>
    <w:rsid w:val="00062F38"/>
    <w:rsid w:val="00062FAC"/>
    <w:rsid w:val="00063020"/>
    <w:rsid w:val="000632B0"/>
    <w:rsid w:val="000632B2"/>
    <w:rsid w:val="0006346A"/>
    <w:rsid w:val="000637A6"/>
    <w:rsid w:val="000638EB"/>
    <w:rsid w:val="00063948"/>
    <w:rsid w:val="0006397E"/>
    <w:rsid w:val="000639A5"/>
    <w:rsid w:val="00063B94"/>
    <w:rsid w:val="00063D73"/>
    <w:rsid w:val="00064320"/>
    <w:rsid w:val="000644E0"/>
    <w:rsid w:val="00064588"/>
    <w:rsid w:val="00064766"/>
    <w:rsid w:val="00064935"/>
    <w:rsid w:val="00064948"/>
    <w:rsid w:val="0006494E"/>
    <w:rsid w:val="000649DF"/>
    <w:rsid w:val="00064C2A"/>
    <w:rsid w:val="00064ED5"/>
    <w:rsid w:val="00064F4A"/>
    <w:rsid w:val="0006513D"/>
    <w:rsid w:val="0006542F"/>
    <w:rsid w:val="0006553E"/>
    <w:rsid w:val="0006560D"/>
    <w:rsid w:val="000657A8"/>
    <w:rsid w:val="000658A1"/>
    <w:rsid w:val="00065AD4"/>
    <w:rsid w:val="00065B40"/>
    <w:rsid w:val="00065BCB"/>
    <w:rsid w:val="00065BDB"/>
    <w:rsid w:val="00065E2D"/>
    <w:rsid w:val="00065F18"/>
    <w:rsid w:val="00065FD0"/>
    <w:rsid w:val="0006603E"/>
    <w:rsid w:val="000660D7"/>
    <w:rsid w:val="0006620B"/>
    <w:rsid w:val="000664B7"/>
    <w:rsid w:val="00066809"/>
    <w:rsid w:val="00066903"/>
    <w:rsid w:val="00066967"/>
    <w:rsid w:val="000669F9"/>
    <w:rsid w:val="00066CB5"/>
    <w:rsid w:val="00066D43"/>
    <w:rsid w:val="00066DA6"/>
    <w:rsid w:val="00066DF5"/>
    <w:rsid w:val="000673B7"/>
    <w:rsid w:val="000673B9"/>
    <w:rsid w:val="000675CF"/>
    <w:rsid w:val="0006764C"/>
    <w:rsid w:val="00067ABA"/>
    <w:rsid w:val="00067BAF"/>
    <w:rsid w:val="00067DD1"/>
    <w:rsid w:val="00067ED7"/>
    <w:rsid w:val="00070048"/>
    <w:rsid w:val="00070050"/>
    <w:rsid w:val="0007006A"/>
    <w:rsid w:val="0007031C"/>
    <w:rsid w:val="00070360"/>
    <w:rsid w:val="0007038F"/>
    <w:rsid w:val="000706CF"/>
    <w:rsid w:val="0007096D"/>
    <w:rsid w:val="000709D9"/>
    <w:rsid w:val="00070A0B"/>
    <w:rsid w:val="00070A8E"/>
    <w:rsid w:val="00070B36"/>
    <w:rsid w:val="00070C43"/>
    <w:rsid w:val="00070CDA"/>
    <w:rsid w:val="00070DB1"/>
    <w:rsid w:val="00070E40"/>
    <w:rsid w:val="000711CE"/>
    <w:rsid w:val="00071420"/>
    <w:rsid w:val="00071AE3"/>
    <w:rsid w:val="00071D8D"/>
    <w:rsid w:val="00071DEB"/>
    <w:rsid w:val="00071E42"/>
    <w:rsid w:val="00071FF1"/>
    <w:rsid w:val="00072010"/>
    <w:rsid w:val="00072160"/>
    <w:rsid w:val="000724EC"/>
    <w:rsid w:val="00072681"/>
    <w:rsid w:val="000727CA"/>
    <w:rsid w:val="00072918"/>
    <w:rsid w:val="00072993"/>
    <w:rsid w:val="000729CA"/>
    <w:rsid w:val="000731B8"/>
    <w:rsid w:val="00073559"/>
    <w:rsid w:val="0007366F"/>
    <w:rsid w:val="00073782"/>
    <w:rsid w:val="000737DE"/>
    <w:rsid w:val="00073ACA"/>
    <w:rsid w:val="00073C07"/>
    <w:rsid w:val="00073E5C"/>
    <w:rsid w:val="00073F76"/>
    <w:rsid w:val="000740DA"/>
    <w:rsid w:val="000742AC"/>
    <w:rsid w:val="000744D6"/>
    <w:rsid w:val="000744E3"/>
    <w:rsid w:val="000747FF"/>
    <w:rsid w:val="00074946"/>
    <w:rsid w:val="00074C08"/>
    <w:rsid w:val="00074C3B"/>
    <w:rsid w:val="00074D5E"/>
    <w:rsid w:val="00074DCA"/>
    <w:rsid w:val="00074F8A"/>
    <w:rsid w:val="00075370"/>
    <w:rsid w:val="00075422"/>
    <w:rsid w:val="00075585"/>
    <w:rsid w:val="000756DC"/>
    <w:rsid w:val="00075715"/>
    <w:rsid w:val="000757D9"/>
    <w:rsid w:val="00075A67"/>
    <w:rsid w:val="00075B91"/>
    <w:rsid w:val="00075C19"/>
    <w:rsid w:val="00075C1C"/>
    <w:rsid w:val="00075C6A"/>
    <w:rsid w:val="00075EFF"/>
    <w:rsid w:val="000762C3"/>
    <w:rsid w:val="000764E7"/>
    <w:rsid w:val="00076599"/>
    <w:rsid w:val="00077272"/>
    <w:rsid w:val="000774CA"/>
    <w:rsid w:val="000774CC"/>
    <w:rsid w:val="0007766C"/>
    <w:rsid w:val="000776B6"/>
    <w:rsid w:val="00077C74"/>
    <w:rsid w:val="00077DA1"/>
    <w:rsid w:val="00077F0E"/>
    <w:rsid w:val="0008011E"/>
    <w:rsid w:val="00080260"/>
    <w:rsid w:val="0008038B"/>
    <w:rsid w:val="00080445"/>
    <w:rsid w:val="00080493"/>
    <w:rsid w:val="00080512"/>
    <w:rsid w:val="00080914"/>
    <w:rsid w:val="00080B74"/>
    <w:rsid w:val="00080F8C"/>
    <w:rsid w:val="00080FDD"/>
    <w:rsid w:val="00081019"/>
    <w:rsid w:val="000810D3"/>
    <w:rsid w:val="000812C0"/>
    <w:rsid w:val="00081346"/>
    <w:rsid w:val="00081387"/>
    <w:rsid w:val="00081BEB"/>
    <w:rsid w:val="00081C47"/>
    <w:rsid w:val="00081EF3"/>
    <w:rsid w:val="00082269"/>
    <w:rsid w:val="000822CA"/>
    <w:rsid w:val="00082377"/>
    <w:rsid w:val="00082410"/>
    <w:rsid w:val="0008244E"/>
    <w:rsid w:val="0008247D"/>
    <w:rsid w:val="00082637"/>
    <w:rsid w:val="00082959"/>
    <w:rsid w:val="00082A4E"/>
    <w:rsid w:val="00082B9A"/>
    <w:rsid w:val="00082BD9"/>
    <w:rsid w:val="00082CA9"/>
    <w:rsid w:val="00082D47"/>
    <w:rsid w:val="00082DE0"/>
    <w:rsid w:val="00083102"/>
    <w:rsid w:val="0008313D"/>
    <w:rsid w:val="0008324C"/>
    <w:rsid w:val="00083543"/>
    <w:rsid w:val="0008360B"/>
    <w:rsid w:val="00083AC4"/>
    <w:rsid w:val="00083BDB"/>
    <w:rsid w:val="00083EF6"/>
    <w:rsid w:val="00083F03"/>
    <w:rsid w:val="00083FAD"/>
    <w:rsid w:val="00083FB5"/>
    <w:rsid w:val="00084062"/>
    <w:rsid w:val="000840A3"/>
    <w:rsid w:val="000840BC"/>
    <w:rsid w:val="00084298"/>
    <w:rsid w:val="0008451D"/>
    <w:rsid w:val="0008465F"/>
    <w:rsid w:val="00084765"/>
    <w:rsid w:val="0008490C"/>
    <w:rsid w:val="00084934"/>
    <w:rsid w:val="00084959"/>
    <w:rsid w:val="00084AED"/>
    <w:rsid w:val="00084B3E"/>
    <w:rsid w:val="00084C9A"/>
    <w:rsid w:val="00084DAB"/>
    <w:rsid w:val="00084DB7"/>
    <w:rsid w:val="00084EB3"/>
    <w:rsid w:val="00084FEA"/>
    <w:rsid w:val="0008516E"/>
    <w:rsid w:val="0008527B"/>
    <w:rsid w:val="00085281"/>
    <w:rsid w:val="00085421"/>
    <w:rsid w:val="000854CB"/>
    <w:rsid w:val="000855FF"/>
    <w:rsid w:val="000856D4"/>
    <w:rsid w:val="00085747"/>
    <w:rsid w:val="00085D9F"/>
    <w:rsid w:val="00085E34"/>
    <w:rsid w:val="00085ECB"/>
    <w:rsid w:val="0008602C"/>
    <w:rsid w:val="0008604E"/>
    <w:rsid w:val="0008627F"/>
    <w:rsid w:val="00086350"/>
    <w:rsid w:val="00086740"/>
    <w:rsid w:val="00086805"/>
    <w:rsid w:val="00086AD8"/>
    <w:rsid w:val="00086EA5"/>
    <w:rsid w:val="0008731C"/>
    <w:rsid w:val="0008740D"/>
    <w:rsid w:val="000874D5"/>
    <w:rsid w:val="0008756A"/>
    <w:rsid w:val="00087705"/>
    <w:rsid w:val="0008771C"/>
    <w:rsid w:val="00087960"/>
    <w:rsid w:val="00087A0A"/>
    <w:rsid w:val="00087C61"/>
    <w:rsid w:val="00087E05"/>
    <w:rsid w:val="00090065"/>
    <w:rsid w:val="000900B9"/>
    <w:rsid w:val="00090318"/>
    <w:rsid w:val="000903F7"/>
    <w:rsid w:val="00090A12"/>
    <w:rsid w:val="00090A61"/>
    <w:rsid w:val="00090A98"/>
    <w:rsid w:val="00090ADA"/>
    <w:rsid w:val="00090B32"/>
    <w:rsid w:val="00090BBE"/>
    <w:rsid w:val="00090DAF"/>
    <w:rsid w:val="00090E7D"/>
    <w:rsid w:val="00090F3B"/>
    <w:rsid w:val="00090F91"/>
    <w:rsid w:val="00091018"/>
    <w:rsid w:val="00091057"/>
    <w:rsid w:val="000910A9"/>
    <w:rsid w:val="00091140"/>
    <w:rsid w:val="000912D0"/>
    <w:rsid w:val="000913C7"/>
    <w:rsid w:val="00091535"/>
    <w:rsid w:val="00091747"/>
    <w:rsid w:val="000917C9"/>
    <w:rsid w:val="00091851"/>
    <w:rsid w:val="00091992"/>
    <w:rsid w:val="00091B8E"/>
    <w:rsid w:val="000920BE"/>
    <w:rsid w:val="000920C5"/>
    <w:rsid w:val="000921A3"/>
    <w:rsid w:val="0009286B"/>
    <w:rsid w:val="000929C9"/>
    <w:rsid w:val="00092A6C"/>
    <w:rsid w:val="00092A96"/>
    <w:rsid w:val="00092BFC"/>
    <w:rsid w:val="00092C71"/>
    <w:rsid w:val="00092D01"/>
    <w:rsid w:val="00092DEB"/>
    <w:rsid w:val="00093462"/>
    <w:rsid w:val="000938F1"/>
    <w:rsid w:val="0009393B"/>
    <w:rsid w:val="00093F0E"/>
    <w:rsid w:val="00093F82"/>
    <w:rsid w:val="00093FCA"/>
    <w:rsid w:val="00094139"/>
    <w:rsid w:val="000946D6"/>
    <w:rsid w:val="0009483A"/>
    <w:rsid w:val="00094B3D"/>
    <w:rsid w:val="00094D63"/>
    <w:rsid w:val="00094E8E"/>
    <w:rsid w:val="0009505D"/>
    <w:rsid w:val="000952B5"/>
    <w:rsid w:val="000952D1"/>
    <w:rsid w:val="0009545A"/>
    <w:rsid w:val="00095657"/>
    <w:rsid w:val="00095962"/>
    <w:rsid w:val="000959A8"/>
    <w:rsid w:val="00095A05"/>
    <w:rsid w:val="00095B47"/>
    <w:rsid w:val="00095D5C"/>
    <w:rsid w:val="00095E02"/>
    <w:rsid w:val="00096180"/>
    <w:rsid w:val="000961DF"/>
    <w:rsid w:val="0009628B"/>
    <w:rsid w:val="0009673F"/>
    <w:rsid w:val="00096A16"/>
    <w:rsid w:val="00096D54"/>
    <w:rsid w:val="00096E85"/>
    <w:rsid w:val="00096F8F"/>
    <w:rsid w:val="00097037"/>
    <w:rsid w:val="00097174"/>
    <w:rsid w:val="0009733F"/>
    <w:rsid w:val="00097472"/>
    <w:rsid w:val="000974DD"/>
    <w:rsid w:val="00097531"/>
    <w:rsid w:val="00097598"/>
    <w:rsid w:val="00097599"/>
    <w:rsid w:val="000977A3"/>
    <w:rsid w:val="000977BC"/>
    <w:rsid w:val="000977C9"/>
    <w:rsid w:val="00097C8B"/>
    <w:rsid w:val="00097C9E"/>
    <w:rsid w:val="00097D27"/>
    <w:rsid w:val="00097DDF"/>
    <w:rsid w:val="00097DFB"/>
    <w:rsid w:val="00097E13"/>
    <w:rsid w:val="00097EFE"/>
    <w:rsid w:val="000A0144"/>
    <w:rsid w:val="000A025A"/>
    <w:rsid w:val="000A02FB"/>
    <w:rsid w:val="000A04A1"/>
    <w:rsid w:val="000A0647"/>
    <w:rsid w:val="000A078F"/>
    <w:rsid w:val="000A0B67"/>
    <w:rsid w:val="000A0D3D"/>
    <w:rsid w:val="000A106D"/>
    <w:rsid w:val="000A1071"/>
    <w:rsid w:val="000A12B4"/>
    <w:rsid w:val="000A14B6"/>
    <w:rsid w:val="000A15F3"/>
    <w:rsid w:val="000A1729"/>
    <w:rsid w:val="000A18D4"/>
    <w:rsid w:val="000A1928"/>
    <w:rsid w:val="000A196D"/>
    <w:rsid w:val="000A1AE3"/>
    <w:rsid w:val="000A1E04"/>
    <w:rsid w:val="000A2192"/>
    <w:rsid w:val="000A21A6"/>
    <w:rsid w:val="000A243F"/>
    <w:rsid w:val="000A2664"/>
    <w:rsid w:val="000A28CD"/>
    <w:rsid w:val="000A2AB3"/>
    <w:rsid w:val="000A2FB3"/>
    <w:rsid w:val="000A30F4"/>
    <w:rsid w:val="000A341E"/>
    <w:rsid w:val="000A3567"/>
    <w:rsid w:val="000A3DD9"/>
    <w:rsid w:val="000A3FBB"/>
    <w:rsid w:val="000A40F1"/>
    <w:rsid w:val="000A41A9"/>
    <w:rsid w:val="000A423E"/>
    <w:rsid w:val="000A4482"/>
    <w:rsid w:val="000A44A6"/>
    <w:rsid w:val="000A44B1"/>
    <w:rsid w:val="000A48C0"/>
    <w:rsid w:val="000A491A"/>
    <w:rsid w:val="000A49F1"/>
    <w:rsid w:val="000A4BA6"/>
    <w:rsid w:val="000A5030"/>
    <w:rsid w:val="000A5066"/>
    <w:rsid w:val="000A507E"/>
    <w:rsid w:val="000A5147"/>
    <w:rsid w:val="000A516A"/>
    <w:rsid w:val="000A529B"/>
    <w:rsid w:val="000A54A4"/>
    <w:rsid w:val="000A5661"/>
    <w:rsid w:val="000A5B7A"/>
    <w:rsid w:val="000A5B7F"/>
    <w:rsid w:val="000A5D49"/>
    <w:rsid w:val="000A6219"/>
    <w:rsid w:val="000A6703"/>
    <w:rsid w:val="000A6845"/>
    <w:rsid w:val="000A6901"/>
    <w:rsid w:val="000A6AEE"/>
    <w:rsid w:val="000A7214"/>
    <w:rsid w:val="000A75A1"/>
    <w:rsid w:val="000A767C"/>
    <w:rsid w:val="000A7768"/>
    <w:rsid w:val="000A788B"/>
    <w:rsid w:val="000A78BA"/>
    <w:rsid w:val="000A7B59"/>
    <w:rsid w:val="000A7B5E"/>
    <w:rsid w:val="000B008C"/>
    <w:rsid w:val="000B00B3"/>
    <w:rsid w:val="000B011D"/>
    <w:rsid w:val="000B01D2"/>
    <w:rsid w:val="000B0605"/>
    <w:rsid w:val="000B08D9"/>
    <w:rsid w:val="000B0940"/>
    <w:rsid w:val="000B0CD4"/>
    <w:rsid w:val="000B0E0A"/>
    <w:rsid w:val="000B0E40"/>
    <w:rsid w:val="000B0F4F"/>
    <w:rsid w:val="000B108E"/>
    <w:rsid w:val="000B11B2"/>
    <w:rsid w:val="000B12A5"/>
    <w:rsid w:val="000B14D3"/>
    <w:rsid w:val="000B16B6"/>
    <w:rsid w:val="000B18E1"/>
    <w:rsid w:val="000B1DBC"/>
    <w:rsid w:val="000B1DD8"/>
    <w:rsid w:val="000B1F2B"/>
    <w:rsid w:val="000B1FAB"/>
    <w:rsid w:val="000B1FAF"/>
    <w:rsid w:val="000B22B4"/>
    <w:rsid w:val="000B2D76"/>
    <w:rsid w:val="000B2EFB"/>
    <w:rsid w:val="000B2FE2"/>
    <w:rsid w:val="000B305A"/>
    <w:rsid w:val="000B3144"/>
    <w:rsid w:val="000B31B9"/>
    <w:rsid w:val="000B32BD"/>
    <w:rsid w:val="000B33D1"/>
    <w:rsid w:val="000B358D"/>
    <w:rsid w:val="000B3681"/>
    <w:rsid w:val="000B382F"/>
    <w:rsid w:val="000B3A1B"/>
    <w:rsid w:val="000B3B3E"/>
    <w:rsid w:val="000B3CBF"/>
    <w:rsid w:val="000B3CCF"/>
    <w:rsid w:val="000B3F18"/>
    <w:rsid w:val="000B416C"/>
    <w:rsid w:val="000B44D9"/>
    <w:rsid w:val="000B45DC"/>
    <w:rsid w:val="000B4619"/>
    <w:rsid w:val="000B47EC"/>
    <w:rsid w:val="000B4809"/>
    <w:rsid w:val="000B49AF"/>
    <w:rsid w:val="000B49D6"/>
    <w:rsid w:val="000B4A3B"/>
    <w:rsid w:val="000B4EFA"/>
    <w:rsid w:val="000B5296"/>
    <w:rsid w:val="000B5411"/>
    <w:rsid w:val="000B5432"/>
    <w:rsid w:val="000B54D3"/>
    <w:rsid w:val="000B579D"/>
    <w:rsid w:val="000B582A"/>
    <w:rsid w:val="000B5880"/>
    <w:rsid w:val="000B58BF"/>
    <w:rsid w:val="000B59A8"/>
    <w:rsid w:val="000B5B7E"/>
    <w:rsid w:val="000B60D4"/>
    <w:rsid w:val="000B60F5"/>
    <w:rsid w:val="000B61AD"/>
    <w:rsid w:val="000B61C1"/>
    <w:rsid w:val="000B644D"/>
    <w:rsid w:val="000B69B5"/>
    <w:rsid w:val="000B6A4F"/>
    <w:rsid w:val="000B6A76"/>
    <w:rsid w:val="000B6C7E"/>
    <w:rsid w:val="000B6C8D"/>
    <w:rsid w:val="000B6CAF"/>
    <w:rsid w:val="000B6D55"/>
    <w:rsid w:val="000B72CC"/>
    <w:rsid w:val="000B74A9"/>
    <w:rsid w:val="000B76BA"/>
    <w:rsid w:val="000B7C64"/>
    <w:rsid w:val="000B7D27"/>
    <w:rsid w:val="000C007A"/>
    <w:rsid w:val="000C020D"/>
    <w:rsid w:val="000C02AE"/>
    <w:rsid w:val="000C03D2"/>
    <w:rsid w:val="000C04BC"/>
    <w:rsid w:val="000C0582"/>
    <w:rsid w:val="000C0614"/>
    <w:rsid w:val="000C079E"/>
    <w:rsid w:val="000C0900"/>
    <w:rsid w:val="000C094F"/>
    <w:rsid w:val="000C0B31"/>
    <w:rsid w:val="000C0BAB"/>
    <w:rsid w:val="000C0D4D"/>
    <w:rsid w:val="000C0D5F"/>
    <w:rsid w:val="000C0ED8"/>
    <w:rsid w:val="000C1119"/>
    <w:rsid w:val="000C1172"/>
    <w:rsid w:val="000C1295"/>
    <w:rsid w:val="000C132B"/>
    <w:rsid w:val="000C169B"/>
    <w:rsid w:val="000C1738"/>
    <w:rsid w:val="000C18CA"/>
    <w:rsid w:val="000C18DA"/>
    <w:rsid w:val="000C1A1F"/>
    <w:rsid w:val="000C1C70"/>
    <w:rsid w:val="000C1CE0"/>
    <w:rsid w:val="000C1EB9"/>
    <w:rsid w:val="000C1F52"/>
    <w:rsid w:val="000C2091"/>
    <w:rsid w:val="000C2387"/>
    <w:rsid w:val="000C2430"/>
    <w:rsid w:val="000C267F"/>
    <w:rsid w:val="000C2857"/>
    <w:rsid w:val="000C2BF1"/>
    <w:rsid w:val="000C2DF6"/>
    <w:rsid w:val="000C2FDD"/>
    <w:rsid w:val="000C3661"/>
    <w:rsid w:val="000C3B4D"/>
    <w:rsid w:val="000C3C15"/>
    <w:rsid w:val="000C3DDB"/>
    <w:rsid w:val="000C3F33"/>
    <w:rsid w:val="000C3FF3"/>
    <w:rsid w:val="000C4284"/>
    <w:rsid w:val="000C42E2"/>
    <w:rsid w:val="000C4A70"/>
    <w:rsid w:val="000C4A86"/>
    <w:rsid w:val="000C4BC3"/>
    <w:rsid w:val="000C4C29"/>
    <w:rsid w:val="000C4C6E"/>
    <w:rsid w:val="000C4DA8"/>
    <w:rsid w:val="000C4EA8"/>
    <w:rsid w:val="000C5236"/>
    <w:rsid w:val="000C536C"/>
    <w:rsid w:val="000C54B0"/>
    <w:rsid w:val="000C57A6"/>
    <w:rsid w:val="000C59E4"/>
    <w:rsid w:val="000C5DC0"/>
    <w:rsid w:val="000C5F3A"/>
    <w:rsid w:val="000C6040"/>
    <w:rsid w:val="000C631F"/>
    <w:rsid w:val="000C656D"/>
    <w:rsid w:val="000C657E"/>
    <w:rsid w:val="000C658F"/>
    <w:rsid w:val="000C68B0"/>
    <w:rsid w:val="000C68CC"/>
    <w:rsid w:val="000C6940"/>
    <w:rsid w:val="000C69A0"/>
    <w:rsid w:val="000C6AEC"/>
    <w:rsid w:val="000C70D9"/>
    <w:rsid w:val="000C7193"/>
    <w:rsid w:val="000C7340"/>
    <w:rsid w:val="000C73F7"/>
    <w:rsid w:val="000C74C0"/>
    <w:rsid w:val="000C7588"/>
    <w:rsid w:val="000C7CFD"/>
    <w:rsid w:val="000C7DED"/>
    <w:rsid w:val="000C7E8D"/>
    <w:rsid w:val="000C7EB7"/>
    <w:rsid w:val="000C7EC5"/>
    <w:rsid w:val="000C7F8A"/>
    <w:rsid w:val="000D010D"/>
    <w:rsid w:val="000D05A0"/>
    <w:rsid w:val="000D06EB"/>
    <w:rsid w:val="000D0DC3"/>
    <w:rsid w:val="000D0F9B"/>
    <w:rsid w:val="000D110A"/>
    <w:rsid w:val="000D11CE"/>
    <w:rsid w:val="000D12F4"/>
    <w:rsid w:val="000D12F6"/>
    <w:rsid w:val="000D13F0"/>
    <w:rsid w:val="000D149B"/>
    <w:rsid w:val="000D14A7"/>
    <w:rsid w:val="000D152C"/>
    <w:rsid w:val="000D1568"/>
    <w:rsid w:val="000D17B0"/>
    <w:rsid w:val="000D19E7"/>
    <w:rsid w:val="000D1A20"/>
    <w:rsid w:val="000D1AAF"/>
    <w:rsid w:val="000D1C4D"/>
    <w:rsid w:val="000D1C75"/>
    <w:rsid w:val="000D1E55"/>
    <w:rsid w:val="000D2043"/>
    <w:rsid w:val="000D20EA"/>
    <w:rsid w:val="000D211B"/>
    <w:rsid w:val="000D21A2"/>
    <w:rsid w:val="000D21BE"/>
    <w:rsid w:val="000D230C"/>
    <w:rsid w:val="000D23D8"/>
    <w:rsid w:val="000D24DA"/>
    <w:rsid w:val="000D24ED"/>
    <w:rsid w:val="000D253B"/>
    <w:rsid w:val="000D257C"/>
    <w:rsid w:val="000D2703"/>
    <w:rsid w:val="000D2B84"/>
    <w:rsid w:val="000D2D55"/>
    <w:rsid w:val="000D3000"/>
    <w:rsid w:val="000D3070"/>
    <w:rsid w:val="000D3191"/>
    <w:rsid w:val="000D350D"/>
    <w:rsid w:val="000D37DC"/>
    <w:rsid w:val="000D3B8A"/>
    <w:rsid w:val="000D3C00"/>
    <w:rsid w:val="000D3D77"/>
    <w:rsid w:val="000D3E0A"/>
    <w:rsid w:val="000D3E95"/>
    <w:rsid w:val="000D3F7D"/>
    <w:rsid w:val="000D41D8"/>
    <w:rsid w:val="000D436B"/>
    <w:rsid w:val="000D459B"/>
    <w:rsid w:val="000D489A"/>
    <w:rsid w:val="000D49AF"/>
    <w:rsid w:val="000D4E98"/>
    <w:rsid w:val="000D50B1"/>
    <w:rsid w:val="000D51AF"/>
    <w:rsid w:val="000D52DF"/>
    <w:rsid w:val="000D54F3"/>
    <w:rsid w:val="000D558D"/>
    <w:rsid w:val="000D56A1"/>
    <w:rsid w:val="000D577A"/>
    <w:rsid w:val="000D5AD6"/>
    <w:rsid w:val="000D5F03"/>
    <w:rsid w:val="000D5F84"/>
    <w:rsid w:val="000D5FAC"/>
    <w:rsid w:val="000D6559"/>
    <w:rsid w:val="000D67B1"/>
    <w:rsid w:val="000D6ABF"/>
    <w:rsid w:val="000D6EAE"/>
    <w:rsid w:val="000D6F5A"/>
    <w:rsid w:val="000D6FDE"/>
    <w:rsid w:val="000D71D4"/>
    <w:rsid w:val="000D71FA"/>
    <w:rsid w:val="000D7437"/>
    <w:rsid w:val="000D75C7"/>
    <w:rsid w:val="000D766A"/>
    <w:rsid w:val="000D7693"/>
    <w:rsid w:val="000D7732"/>
    <w:rsid w:val="000D776D"/>
    <w:rsid w:val="000D79B0"/>
    <w:rsid w:val="000D7AB9"/>
    <w:rsid w:val="000D7AF8"/>
    <w:rsid w:val="000D7D13"/>
    <w:rsid w:val="000D7F7F"/>
    <w:rsid w:val="000D7FF7"/>
    <w:rsid w:val="000DC52F"/>
    <w:rsid w:val="000E002C"/>
    <w:rsid w:val="000E00CA"/>
    <w:rsid w:val="000E0413"/>
    <w:rsid w:val="000E04AE"/>
    <w:rsid w:val="000E0910"/>
    <w:rsid w:val="000E0A34"/>
    <w:rsid w:val="000E0D04"/>
    <w:rsid w:val="000E0EA5"/>
    <w:rsid w:val="000E1030"/>
    <w:rsid w:val="000E10DD"/>
    <w:rsid w:val="000E125B"/>
    <w:rsid w:val="000E12A6"/>
    <w:rsid w:val="000E1470"/>
    <w:rsid w:val="000E14A9"/>
    <w:rsid w:val="000E14E9"/>
    <w:rsid w:val="000E17A5"/>
    <w:rsid w:val="000E1C1E"/>
    <w:rsid w:val="000E1D10"/>
    <w:rsid w:val="000E1D30"/>
    <w:rsid w:val="000E1E1A"/>
    <w:rsid w:val="000E1EA2"/>
    <w:rsid w:val="000E1FD0"/>
    <w:rsid w:val="000E208C"/>
    <w:rsid w:val="000E210E"/>
    <w:rsid w:val="000E21DC"/>
    <w:rsid w:val="000E23F5"/>
    <w:rsid w:val="000E2552"/>
    <w:rsid w:val="000E2B1E"/>
    <w:rsid w:val="000E2CCF"/>
    <w:rsid w:val="000E2DE2"/>
    <w:rsid w:val="000E2E18"/>
    <w:rsid w:val="000E2F2E"/>
    <w:rsid w:val="000E3382"/>
    <w:rsid w:val="000E33CF"/>
    <w:rsid w:val="000E33D5"/>
    <w:rsid w:val="000E37C6"/>
    <w:rsid w:val="000E3AC5"/>
    <w:rsid w:val="000E3AF9"/>
    <w:rsid w:val="000E421F"/>
    <w:rsid w:val="000E436D"/>
    <w:rsid w:val="000E442D"/>
    <w:rsid w:val="000E44EA"/>
    <w:rsid w:val="000E45E9"/>
    <w:rsid w:val="000E4644"/>
    <w:rsid w:val="000E47A7"/>
    <w:rsid w:val="000E47A9"/>
    <w:rsid w:val="000E4A45"/>
    <w:rsid w:val="000E4A4E"/>
    <w:rsid w:val="000E4B3F"/>
    <w:rsid w:val="000E4BC6"/>
    <w:rsid w:val="000E4C45"/>
    <w:rsid w:val="000E4F4F"/>
    <w:rsid w:val="000E4F6E"/>
    <w:rsid w:val="000E4F8C"/>
    <w:rsid w:val="000E5249"/>
    <w:rsid w:val="000E530D"/>
    <w:rsid w:val="000E55DB"/>
    <w:rsid w:val="000E5692"/>
    <w:rsid w:val="000E56AA"/>
    <w:rsid w:val="000E5966"/>
    <w:rsid w:val="000E5C4F"/>
    <w:rsid w:val="000E5D00"/>
    <w:rsid w:val="000E5EBF"/>
    <w:rsid w:val="000E61A3"/>
    <w:rsid w:val="000E627B"/>
    <w:rsid w:val="000E6349"/>
    <w:rsid w:val="000E63D2"/>
    <w:rsid w:val="000E6453"/>
    <w:rsid w:val="000E6606"/>
    <w:rsid w:val="000E6A88"/>
    <w:rsid w:val="000E6C93"/>
    <w:rsid w:val="000E6DF1"/>
    <w:rsid w:val="000E6F20"/>
    <w:rsid w:val="000E6F2C"/>
    <w:rsid w:val="000E703B"/>
    <w:rsid w:val="000E72B7"/>
    <w:rsid w:val="000E764C"/>
    <w:rsid w:val="000E78FE"/>
    <w:rsid w:val="000E793F"/>
    <w:rsid w:val="000E7A2B"/>
    <w:rsid w:val="000E7B80"/>
    <w:rsid w:val="000E7CA9"/>
    <w:rsid w:val="000E7FD8"/>
    <w:rsid w:val="000F024A"/>
    <w:rsid w:val="000F0783"/>
    <w:rsid w:val="000F0CB8"/>
    <w:rsid w:val="000F0FDE"/>
    <w:rsid w:val="000F1075"/>
    <w:rsid w:val="000F10D8"/>
    <w:rsid w:val="000F1119"/>
    <w:rsid w:val="000F1174"/>
    <w:rsid w:val="000F1226"/>
    <w:rsid w:val="000F1450"/>
    <w:rsid w:val="000F160F"/>
    <w:rsid w:val="000F172A"/>
    <w:rsid w:val="000F195B"/>
    <w:rsid w:val="000F1A3F"/>
    <w:rsid w:val="000F1C6A"/>
    <w:rsid w:val="000F1DF7"/>
    <w:rsid w:val="000F1E21"/>
    <w:rsid w:val="000F211E"/>
    <w:rsid w:val="000F2159"/>
    <w:rsid w:val="000F2184"/>
    <w:rsid w:val="000F26E4"/>
    <w:rsid w:val="000F26F8"/>
    <w:rsid w:val="000F2889"/>
    <w:rsid w:val="000F2C13"/>
    <w:rsid w:val="000F2C2D"/>
    <w:rsid w:val="000F2F79"/>
    <w:rsid w:val="000F30EB"/>
    <w:rsid w:val="000F3125"/>
    <w:rsid w:val="000F35F5"/>
    <w:rsid w:val="000F3668"/>
    <w:rsid w:val="000F36A6"/>
    <w:rsid w:val="000F3729"/>
    <w:rsid w:val="000F37CB"/>
    <w:rsid w:val="000F3819"/>
    <w:rsid w:val="000F38C0"/>
    <w:rsid w:val="000F38E9"/>
    <w:rsid w:val="000F3CFD"/>
    <w:rsid w:val="000F3D0F"/>
    <w:rsid w:val="000F41CF"/>
    <w:rsid w:val="000F41DA"/>
    <w:rsid w:val="000F42BA"/>
    <w:rsid w:val="000F43F3"/>
    <w:rsid w:val="000F4459"/>
    <w:rsid w:val="000F45C6"/>
    <w:rsid w:val="000F45E0"/>
    <w:rsid w:val="000F47A0"/>
    <w:rsid w:val="000F481B"/>
    <w:rsid w:val="000F4C22"/>
    <w:rsid w:val="000F4E10"/>
    <w:rsid w:val="000F50CF"/>
    <w:rsid w:val="000F5231"/>
    <w:rsid w:val="000F532C"/>
    <w:rsid w:val="000F541E"/>
    <w:rsid w:val="000F54AB"/>
    <w:rsid w:val="000F58EC"/>
    <w:rsid w:val="000F5A4E"/>
    <w:rsid w:val="000F5AA2"/>
    <w:rsid w:val="000F5B46"/>
    <w:rsid w:val="000F5BFE"/>
    <w:rsid w:val="000F5DEA"/>
    <w:rsid w:val="000F5DF2"/>
    <w:rsid w:val="000F5E19"/>
    <w:rsid w:val="000F5FE8"/>
    <w:rsid w:val="000F6034"/>
    <w:rsid w:val="000F6077"/>
    <w:rsid w:val="000F6563"/>
    <w:rsid w:val="000F66F9"/>
    <w:rsid w:val="000F683A"/>
    <w:rsid w:val="000F694F"/>
    <w:rsid w:val="000F69CE"/>
    <w:rsid w:val="000F6BC3"/>
    <w:rsid w:val="000F6C31"/>
    <w:rsid w:val="000F6CA3"/>
    <w:rsid w:val="000F6EEC"/>
    <w:rsid w:val="000F6F30"/>
    <w:rsid w:val="000F7166"/>
    <w:rsid w:val="000F7180"/>
    <w:rsid w:val="000F7459"/>
    <w:rsid w:val="000F74DA"/>
    <w:rsid w:val="000F76DD"/>
    <w:rsid w:val="000F76FB"/>
    <w:rsid w:val="000F788A"/>
    <w:rsid w:val="000F7BC7"/>
    <w:rsid w:val="000F7C8F"/>
    <w:rsid w:val="000F7DCF"/>
    <w:rsid w:val="000F7DD3"/>
    <w:rsid w:val="00100628"/>
    <w:rsid w:val="00100791"/>
    <w:rsid w:val="00100811"/>
    <w:rsid w:val="00100E10"/>
    <w:rsid w:val="0010165F"/>
    <w:rsid w:val="00101695"/>
    <w:rsid w:val="00101782"/>
    <w:rsid w:val="001017EF"/>
    <w:rsid w:val="00101925"/>
    <w:rsid w:val="00101E67"/>
    <w:rsid w:val="00101EFE"/>
    <w:rsid w:val="0010203E"/>
    <w:rsid w:val="00102279"/>
    <w:rsid w:val="001023AB"/>
    <w:rsid w:val="00102481"/>
    <w:rsid w:val="001024EE"/>
    <w:rsid w:val="001026BD"/>
    <w:rsid w:val="001026D0"/>
    <w:rsid w:val="00102870"/>
    <w:rsid w:val="001029FD"/>
    <w:rsid w:val="00102BEE"/>
    <w:rsid w:val="00102D92"/>
    <w:rsid w:val="00102E36"/>
    <w:rsid w:val="00102E37"/>
    <w:rsid w:val="00103123"/>
    <w:rsid w:val="00103301"/>
    <w:rsid w:val="0010356A"/>
    <w:rsid w:val="00103E4E"/>
    <w:rsid w:val="00103EF0"/>
    <w:rsid w:val="001043A9"/>
    <w:rsid w:val="00104420"/>
    <w:rsid w:val="001044C3"/>
    <w:rsid w:val="0010453C"/>
    <w:rsid w:val="0010455D"/>
    <w:rsid w:val="00104585"/>
    <w:rsid w:val="00104660"/>
    <w:rsid w:val="001046C0"/>
    <w:rsid w:val="001049B7"/>
    <w:rsid w:val="00104AE2"/>
    <w:rsid w:val="00104B6D"/>
    <w:rsid w:val="00104DAE"/>
    <w:rsid w:val="00104DC6"/>
    <w:rsid w:val="00104F68"/>
    <w:rsid w:val="00105098"/>
    <w:rsid w:val="0010520A"/>
    <w:rsid w:val="00105231"/>
    <w:rsid w:val="00105375"/>
    <w:rsid w:val="0010566E"/>
    <w:rsid w:val="001059F0"/>
    <w:rsid w:val="00105C86"/>
    <w:rsid w:val="001060FA"/>
    <w:rsid w:val="0010641E"/>
    <w:rsid w:val="001064FB"/>
    <w:rsid w:val="0010650C"/>
    <w:rsid w:val="00106801"/>
    <w:rsid w:val="00106B54"/>
    <w:rsid w:val="00106CC4"/>
    <w:rsid w:val="00106E34"/>
    <w:rsid w:val="00106E74"/>
    <w:rsid w:val="00106E94"/>
    <w:rsid w:val="00106FB3"/>
    <w:rsid w:val="001073AC"/>
    <w:rsid w:val="001073BE"/>
    <w:rsid w:val="00107601"/>
    <w:rsid w:val="001076BC"/>
    <w:rsid w:val="001077D7"/>
    <w:rsid w:val="001079C5"/>
    <w:rsid w:val="001079DB"/>
    <w:rsid w:val="00107D6F"/>
    <w:rsid w:val="00107E5B"/>
    <w:rsid w:val="00107FF5"/>
    <w:rsid w:val="00108D03"/>
    <w:rsid w:val="00110024"/>
    <w:rsid w:val="00110392"/>
    <w:rsid w:val="001104CB"/>
    <w:rsid w:val="001106A7"/>
    <w:rsid w:val="00110773"/>
    <w:rsid w:val="00110987"/>
    <w:rsid w:val="00110BF6"/>
    <w:rsid w:val="00110F68"/>
    <w:rsid w:val="00110F77"/>
    <w:rsid w:val="00111076"/>
    <w:rsid w:val="001110B2"/>
    <w:rsid w:val="0011112C"/>
    <w:rsid w:val="0011118D"/>
    <w:rsid w:val="00111236"/>
    <w:rsid w:val="00111396"/>
    <w:rsid w:val="001113C9"/>
    <w:rsid w:val="00111585"/>
    <w:rsid w:val="00111651"/>
    <w:rsid w:val="0011190F"/>
    <w:rsid w:val="001119A7"/>
    <w:rsid w:val="00111AA4"/>
    <w:rsid w:val="00111B17"/>
    <w:rsid w:val="00111BB4"/>
    <w:rsid w:val="00111DF6"/>
    <w:rsid w:val="00111E98"/>
    <w:rsid w:val="00111EBD"/>
    <w:rsid w:val="0011204B"/>
    <w:rsid w:val="0011223A"/>
    <w:rsid w:val="00112270"/>
    <w:rsid w:val="0011252F"/>
    <w:rsid w:val="001125EA"/>
    <w:rsid w:val="00112620"/>
    <w:rsid w:val="00112746"/>
    <w:rsid w:val="00112A91"/>
    <w:rsid w:val="00112B38"/>
    <w:rsid w:val="00112C4C"/>
    <w:rsid w:val="00112C59"/>
    <w:rsid w:val="00112D29"/>
    <w:rsid w:val="00112DC1"/>
    <w:rsid w:val="00113178"/>
    <w:rsid w:val="001133A2"/>
    <w:rsid w:val="0011366B"/>
    <w:rsid w:val="001137B3"/>
    <w:rsid w:val="001138EF"/>
    <w:rsid w:val="00113B52"/>
    <w:rsid w:val="00113D77"/>
    <w:rsid w:val="00113E83"/>
    <w:rsid w:val="00113F74"/>
    <w:rsid w:val="00113F82"/>
    <w:rsid w:val="0011464E"/>
    <w:rsid w:val="00114DA1"/>
    <w:rsid w:val="00114E21"/>
    <w:rsid w:val="00114E48"/>
    <w:rsid w:val="00114ED3"/>
    <w:rsid w:val="00115088"/>
    <w:rsid w:val="00115520"/>
    <w:rsid w:val="00115537"/>
    <w:rsid w:val="001156E6"/>
    <w:rsid w:val="00115719"/>
    <w:rsid w:val="001158C4"/>
    <w:rsid w:val="001158F6"/>
    <w:rsid w:val="001159DC"/>
    <w:rsid w:val="00115A0F"/>
    <w:rsid w:val="00115E61"/>
    <w:rsid w:val="00115E7E"/>
    <w:rsid w:val="0011617E"/>
    <w:rsid w:val="00116686"/>
    <w:rsid w:val="001166B2"/>
    <w:rsid w:val="001168D4"/>
    <w:rsid w:val="001169C7"/>
    <w:rsid w:val="00116E2B"/>
    <w:rsid w:val="00116E55"/>
    <w:rsid w:val="001171D7"/>
    <w:rsid w:val="00117216"/>
    <w:rsid w:val="001174CD"/>
    <w:rsid w:val="00117595"/>
    <w:rsid w:val="00117866"/>
    <w:rsid w:val="001178D1"/>
    <w:rsid w:val="00117A34"/>
    <w:rsid w:val="00117BFE"/>
    <w:rsid w:val="00117E35"/>
    <w:rsid w:val="00117F66"/>
    <w:rsid w:val="00120656"/>
    <w:rsid w:val="00120759"/>
    <w:rsid w:val="00120902"/>
    <w:rsid w:val="00120BA7"/>
    <w:rsid w:val="00120BC6"/>
    <w:rsid w:val="00120C9D"/>
    <w:rsid w:val="00120F88"/>
    <w:rsid w:val="00120FD6"/>
    <w:rsid w:val="00121126"/>
    <w:rsid w:val="00121571"/>
    <w:rsid w:val="00121654"/>
    <w:rsid w:val="00121968"/>
    <w:rsid w:val="0012199C"/>
    <w:rsid w:val="00121BCE"/>
    <w:rsid w:val="00121D0F"/>
    <w:rsid w:val="00121DB6"/>
    <w:rsid w:val="00121E81"/>
    <w:rsid w:val="00121FCB"/>
    <w:rsid w:val="0012252F"/>
    <w:rsid w:val="0012276F"/>
    <w:rsid w:val="001227B6"/>
    <w:rsid w:val="00122849"/>
    <w:rsid w:val="00122B67"/>
    <w:rsid w:val="00122BCE"/>
    <w:rsid w:val="00122EB8"/>
    <w:rsid w:val="0012308E"/>
    <w:rsid w:val="0012368E"/>
    <w:rsid w:val="0012387A"/>
    <w:rsid w:val="00123BAA"/>
    <w:rsid w:val="00123C98"/>
    <w:rsid w:val="0012419B"/>
    <w:rsid w:val="001242A1"/>
    <w:rsid w:val="0012437A"/>
    <w:rsid w:val="001243CE"/>
    <w:rsid w:val="001244E7"/>
    <w:rsid w:val="00124526"/>
    <w:rsid w:val="0012459E"/>
    <w:rsid w:val="00124603"/>
    <w:rsid w:val="0012481B"/>
    <w:rsid w:val="00124D20"/>
    <w:rsid w:val="00125351"/>
    <w:rsid w:val="001253A7"/>
    <w:rsid w:val="001255E6"/>
    <w:rsid w:val="0012575A"/>
    <w:rsid w:val="00125763"/>
    <w:rsid w:val="00125A20"/>
    <w:rsid w:val="00125E12"/>
    <w:rsid w:val="00125F43"/>
    <w:rsid w:val="001260D3"/>
    <w:rsid w:val="00126129"/>
    <w:rsid w:val="0012667D"/>
    <w:rsid w:val="001267EB"/>
    <w:rsid w:val="0012695D"/>
    <w:rsid w:val="001269CA"/>
    <w:rsid w:val="00126AE0"/>
    <w:rsid w:val="00127085"/>
    <w:rsid w:val="001271C1"/>
    <w:rsid w:val="00127214"/>
    <w:rsid w:val="001272E9"/>
    <w:rsid w:val="001274DD"/>
    <w:rsid w:val="00127698"/>
    <w:rsid w:val="001277DE"/>
    <w:rsid w:val="001278AF"/>
    <w:rsid w:val="00127C85"/>
    <w:rsid w:val="00127D89"/>
    <w:rsid w:val="00127DD1"/>
    <w:rsid w:val="00127E57"/>
    <w:rsid w:val="00127E62"/>
    <w:rsid w:val="00130059"/>
    <w:rsid w:val="00130287"/>
    <w:rsid w:val="001303D0"/>
    <w:rsid w:val="00130417"/>
    <w:rsid w:val="0013051C"/>
    <w:rsid w:val="001305F5"/>
    <w:rsid w:val="001306FB"/>
    <w:rsid w:val="001307C3"/>
    <w:rsid w:val="001307FE"/>
    <w:rsid w:val="001309EB"/>
    <w:rsid w:val="00130CA5"/>
    <w:rsid w:val="00130CE8"/>
    <w:rsid w:val="00130DD6"/>
    <w:rsid w:val="001310BC"/>
    <w:rsid w:val="001313B8"/>
    <w:rsid w:val="001315AF"/>
    <w:rsid w:val="001315B8"/>
    <w:rsid w:val="0013171D"/>
    <w:rsid w:val="00131827"/>
    <w:rsid w:val="00131BB0"/>
    <w:rsid w:val="00131CEF"/>
    <w:rsid w:val="001320C9"/>
    <w:rsid w:val="001323E1"/>
    <w:rsid w:val="001323FF"/>
    <w:rsid w:val="0013268F"/>
    <w:rsid w:val="001328AF"/>
    <w:rsid w:val="00132A0E"/>
    <w:rsid w:val="00132A22"/>
    <w:rsid w:val="00132A78"/>
    <w:rsid w:val="00132C1B"/>
    <w:rsid w:val="00132D37"/>
    <w:rsid w:val="00132D73"/>
    <w:rsid w:val="00132FE4"/>
    <w:rsid w:val="00133451"/>
    <w:rsid w:val="00133B4A"/>
    <w:rsid w:val="00133CBA"/>
    <w:rsid w:val="00133E6C"/>
    <w:rsid w:val="00133EF5"/>
    <w:rsid w:val="00134236"/>
    <w:rsid w:val="0013425A"/>
    <w:rsid w:val="00134440"/>
    <w:rsid w:val="001345BD"/>
    <w:rsid w:val="00134602"/>
    <w:rsid w:val="0013483D"/>
    <w:rsid w:val="00134849"/>
    <w:rsid w:val="0013494C"/>
    <w:rsid w:val="00134A27"/>
    <w:rsid w:val="00134A88"/>
    <w:rsid w:val="00134BAE"/>
    <w:rsid w:val="00134C35"/>
    <w:rsid w:val="00134CA7"/>
    <w:rsid w:val="001350F2"/>
    <w:rsid w:val="001353E3"/>
    <w:rsid w:val="001357CF"/>
    <w:rsid w:val="001358B6"/>
    <w:rsid w:val="001358E0"/>
    <w:rsid w:val="00135C3D"/>
    <w:rsid w:val="00135E96"/>
    <w:rsid w:val="00135F2B"/>
    <w:rsid w:val="001361F4"/>
    <w:rsid w:val="00136277"/>
    <w:rsid w:val="001362BC"/>
    <w:rsid w:val="00136302"/>
    <w:rsid w:val="001363B0"/>
    <w:rsid w:val="001368A0"/>
    <w:rsid w:val="001368B3"/>
    <w:rsid w:val="00136A55"/>
    <w:rsid w:val="00136C82"/>
    <w:rsid w:val="00136E8E"/>
    <w:rsid w:val="00136F6D"/>
    <w:rsid w:val="00136F91"/>
    <w:rsid w:val="00137094"/>
    <w:rsid w:val="00137209"/>
    <w:rsid w:val="00137588"/>
    <w:rsid w:val="001378C5"/>
    <w:rsid w:val="001379C2"/>
    <w:rsid w:val="00137A2C"/>
    <w:rsid w:val="00137BAA"/>
    <w:rsid w:val="00137BD4"/>
    <w:rsid w:val="00137D3E"/>
    <w:rsid w:val="00137FA2"/>
    <w:rsid w:val="00137FAE"/>
    <w:rsid w:val="001400CD"/>
    <w:rsid w:val="0014013D"/>
    <w:rsid w:val="0014036D"/>
    <w:rsid w:val="001403DB"/>
    <w:rsid w:val="00140405"/>
    <w:rsid w:val="001405A6"/>
    <w:rsid w:val="00140982"/>
    <w:rsid w:val="001409C0"/>
    <w:rsid w:val="00140A82"/>
    <w:rsid w:val="00140DD4"/>
    <w:rsid w:val="001412DA"/>
    <w:rsid w:val="00141673"/>
    <w:rsid w:val="0014180E"/>
    <w:rsid w:val="001418B7"/>
    <w:rsid w:val="00141B08"/>
    <w:rsid w:val="00141BBA"/>
    <w:rsid w:val="00141DD7"/>
    <w:rsid w:val="00141ECD"/>
    <w:rsid w:val="00141F4A"/>
    <w:rsid w:val="00142150"/>
    <w:rsid w:val="0014216E"/>
    <w:rsid w:val="00142397"/>
    <w:rsid w:val="001424DC"/>
    <w:rsid w:val="001425FD"/>
    <w:rsid w:val="0014274A"/>
    <w:rsid w:val="00142764"/>
    <w:rsid w:val="0014284E"/>
    <w:rsid w:val="001428AE"/>
    <w:rsid w:val="00142A38"/>
    <w:rsid w:val="00142A89"/>
    <w:rsid w:val="00142A9F"/>
    <w:rsid w:val="00142B2C"/>
    <w:rsid w:val="00142DA8"/>
    <w:rsid w:val="00142E8E"/>
    <w:rsid w:val="00142F7B"/>
    <w:rsid w:val="00143203"/>
    <w:rsid w:val="001432C8"/>
    <w:rsid w:val="001434AA"/>
    <w:rsid w:val="001437EF"/>
    <w:rsid w:val="00143930"/>
    <w:rsid w:val="00143C4B"/>
    <w:rsid w:val="00143E5C"/>
    <w:rsid w:val="00143EC1"/>
    <w:rsid w:val="0014410F"/>
    <w:rsid w:val="00144181"/>
    <w:rsid w:val="001442EB"/>
    <w:rsid w:val="0014430C"/>
    <w:rsid w:val="0014445E"/>
    <w:rsid w:val="0014457D"/>
    <w:rsid w:val="001446EE"/>
    <w:rsid w:val="0014480E"/>
    <w:rsid w:val="00144A01"/>
    <w:rsid w:val="00144CC8"/>
    <w:rsid w:val="00144D30"/>
    <w:rsid w:val="00144DFF"/>
    <w:rsid w:val="00144E7C"/>
    <w:rsid w:val="00144FC4"/>
    <w:rsid w:val="0014504D"/>
    <w:rsid w:val="001451FC"/>
    <w:rsid w:val="001452D5"/>
    <w:rsid w:val="00145444"/>
    <w:rsid w:val="001454B4"/>
    <w:rsid w:val="00145526"/>
    <w:rsid w:val="001456FD"/>
    <w:rsid w:val="001459A6"/>
    <w:rsid w:val="00145A64"/>
    <w:rsid w:val="00145BC7"/>
    <w:rsid w:val="00145BE7"/>
    <w:rsid w:val="00145D9C"/>
    <w:rsid w:val="00145E73"/>
    <w:rsid w:val="00145EC2"/>
    <w:rsid w:val="0014605D"/>
    <w:rsid w:val="0014621C"/>
    <w:rsid w:val="00146375"/>
    <w:rsid w:val="001466C8"/>
    <w:rsid w:val="00146717"/>
    <w:rsid w:val="00146743"/>
    <w:rsid w:val="00146C3D"/>
    <w:rsid w:val="00146C46"/>
    <w:rsid w:val="00146E49"/>
    <w:rsid w:val="00146F7B"/>
    <w:rsid w:val="00146FF3"/>
    <w:rsid w:val="0014704C"/>
    <w:rsid w:val="001471D1"/>
    <w:rsid w:val="0014757C"/>
    <w:rsid w:val="00147588"/>
    <w:rsid w:val="001477E8"/>
    <w:rsid w:val="00147937"/>
    <w:rsid w:val="00147A22"/>
    <w:rsid w:val="00147C61"/>
    <w:rsid w:val="00147CB6"/>
    <w:rsid w:val="00147CFA"/>
    <w:rsid w:val="00147D89"/>
    <w:rsid w:val="00150160"/>
    <w:rsid w:val="00150317"/>
    <w:rsid w:val="00150389"/>
    <w:rsid w:val="0015038C"/>
    <w:rsid w:val="00150393"/>
    <w:rsid w:val="001503C7"/>
    <w:rsid w:val="0015045C"/>
    <w:rsid w:val="0015056A"/>
    <w:rsid w:val="001506BB"/>
    <w:rsid w:val="00150706"/>
    <w:rsid w:val="0015081D"/>
    <w:rsid w:val="001508E9"/>
    <w:rsid w:val="00150997"/>
    <w:rsid w:val="00150AC8"/>
    <w:rsid w:val="00150D45"/>
    <w:rsid w:val="00150DD2"/>
    <w:rsid w:val="00150FE7"/>
    <w:rsid w:val="0015113D"/>
    <w:rsid w:val="001511C9"/>
    <w:rsid w:val="001513CD"/>
    <w:rsid w:val="0015142E"/>
    <w:rsid w:val="00151505"/>
    <w:rsid w:val="0015150C"/>
    <w:rsid w:val="0015155A"/>
    <w:rsid w:val="001515B6"/>
    <w:rsid w:val="001515F9"/>
    <w:rsid w:val="001519DB"/>
    <w:rsid w:val="00151B9C"/>
    <w:rsid w:val="00151D8C"/>
    <w:rsid w:val="00152107"/>
    <w:rsid w:val="001523DC"/>
    <w:rsid w:val="001526FC"/>
    <w:rsid w:val="001527D0"/>
    <w:rsid w:val="00152B8E"/>
    <w:rsid w:val="00152D39"/>
    <w:rsid w:val="00152D4B"/>
    <w:rsid w:val="00152F58"/>
    <w:rsid w:val="0015308A"/>
    <w:rsid w:val="00153140"/>
    <w:rsid w:val="00153157"/>
    <w:rsid w:val="0015318E"/>
    <w:rsid w:val="001536D2"/>
    <w:rsid w:val="001536E6"/>
    <w:rsid w:val="00153759"/>
    <w:rsid w:val="00153763"/>
    <w:rsid w:val="001537EC"/>
    <w:rsid w:val="0015381F"/>
    <w:rsid w:val="00153859"/>
    <w:rsid w:val="00153B4C"/>
    <w:rsid w:val="00153BC6"/>
    <w:rsid w:val="00153C30"/>
    <w:rsid w:val="00153C80"/>
    <w:rsid w:val="00153E49"/>
    <w:rsid w:val="00153E9A"/>
    <w:rsid w:val="00153FA7"/>
    <w:rsid w:val="001540AA"/>
    <w:rsid w:val="00154332"/>
    <w:rsid w:val="001543B9"/>
    <w:rsid w:val="001544C9"/>
    <w:rsid w:val="001545AA"/>
    <w:rsid w:val="0015460C"/>
    <w:rsid w:val="00154792"/>
    <w:rsid w:val="0015496C"/>
    <w:rsid w:val="00154A83"/>
    <w:rsid w:val="00154E08"/>
    <w:rsid w:val="00154EA6"/>
    <w:rsid w:val="00155139"/>
    <w:rsid w:val="001551BC"/>
    <w:rsid w:val="001553A3"/>
    <w:rsid w:val="001553FE"/>
    <w:rsid w:val="001556AF"/>
    <w:rsid w:val="00155AB0"/>
    <w:rsid w:val="00156062"/>
    <w:rsid w:val="0015615D"/>
    <w:rsid w:val="00156646"/>
    <w:rsid w:val="00156669"/>
    <w:rsid w:val="0015676D"/>
    <w:rsid w:val="00156AF4"/>
    <w:rsid w:val="00156C77"/>
    <w:rsid w:val="00157122"/>
    <w:rsid w:val="00157172"/>
    <w:rsid w:val="00157231"/>
    <w:rsid w:val="0015728C"/>
    <w:rsid w:val="0015755B"/>
    <w:rsid w:val="001576BD"/>
    <w:rsid w:val="0015788A"/>
    <w:rsid w:val="00157967"/>
    <w:rsid w:val="001603C0"/>
    <w:rsid w:val="001608BE"/>
    <w:rsid w:val="00160A81"/>
    <w:rsid w:val="00160C60"/>
    <w:rsid w:val="00160CB1"/>
    <w:rsid w:val="00160CD2"/>
    <w:rsid w:val="00160DE4"/>
    <w:rsid w:val="00160E41"/>
    <w:rsid w:val="00160F70"/>
    <w:rsid w:val="001611A2"/>
    <w:rsid w:val="001614E9"/>
    <w:rsid w:val="001614F2"/>
    <w:rsid w:val="00161610"/>
    <w:rsid w:val="00161633"/>
    <w:rsid w:val="001619AD"/>
    <w:rsid w:val="00161AA7"/>
    <w:rsid w:val="00161C46"/>
    <w:rsid w:val="001620A1"/>
    <w:rsid w:val="00163095"/>
    <w:rsid w:val="00163196"/>
    <w:rsid w:val="00163367"/>
    <w:rsid w:val="00163458"/>
    <w:rsid w:val="001637EA"/>
    <w:rsid w:val="00163AEE"/>
    <w:rsid w:val="00163B91"/>
    <w:rsid w:val="00163BE7"/>
    <w:rsid w:val="00163E0C"/>
    <w:rsid w:val="00163EE3"/>
    <w:rsid w:val="00164113"/>
    <w:rsid w:val="001643C7"/>
    <w:rsid w:val="0016475E"/>
    <w:rsid w:val="001648BF"/>
    <w:rsid w:val="00164907"/>
    <w:rsid w:val="00164C1A"/>
    <w:rsid w:val="00164C71"/>
    <w:rsid w:val="00164DE2"/>
    <w:rsid w:val="00164E17"/>
    <w:rsid w:val="00164EE5"/>
    <w:rsid w:val="001650CC"/>
    <w:rsid w:val="00165604"/>
    <w:rsid w:val="00165809"/>
    <w:rsid w:val="00165C3E"/>
    <w:rsid w:val="00165FA5"/>
    <w:rsid w:val="001660B0"/>
    <w:rsid w:val="0016612B"/>
    <w:rsid w:val="0016653A"/>
    <w:rsid w:val="001667D4"/>
    <w:rsid w:val="00166859"/>
    <w:rsid w:val="001668CD"/>
    <w:rsid w:val="00166969"/>
    <w:rsid w:val="00166D60"/>
    <w:rsid w:val="00166DBC"/>
    <w:rsid w:val="00166F78"/>
    <w:rsid w:val="00166FC7"/>
    <w:rsid w:val="0016713F"/>
    <w:rsid w:val="001671D6"/>
    <w:rsid w:val="00167290"/>
    <w:rsid w:val="00167362"/>
    <w:rsid w:val="00167407"/>
    <w:rsid w:val="00167453"/>
    <w:rsid w:val="0016762B"/>
    <w:rsid w:val="001676AD"/>
    <w:rsid w:val="001676B9"/>
    <w:rsid w:val="00167AC4"/>
    <w:rsid w:val="00167BAD"/>
    <w:rsid w:val="00167F0A"/>
    <w:rsid w:val="00167FBD"/>
    <w:rsid w:val="00170147"/>
    <w:rsid w:val="0017020E"/>
    <w:rsid w:val="00170235"/>
    <w:rsid w:val="00170347"/>
    <w:rsid w:val="001708B9"/>
    <w:rsid w:val="001709B7"/>
    <w:rsid w:val="00170A6D"/>
    <w:rsid w:val="00170B6D"/>
    <w:rsid w:val="00170D2C"/>
    <w:rsid w:val="00170D57"/>
    <w:rsid w:val="00170F00"/>
    <w:rsid w:val="00170F09"/>
    <w:rsid w:val="001716C0"/>
    <w:rsid w:val="001717D9"/>
    <w:rsid w:val="0017183B"/>
    <w:rsid w:val="001719C2"/>
    <w:rsid w:val="00171B6D"/>
    <w:rsid w:val="0017219F"/>
    <w:rsid w:val="001721FE"/>
    <w:rsid w:val="001723AC"/>
    <w:rsid w:val="00172599"/>
    <w:rsid w:val="001725FA"/>
    <w:rsid w:val="001726A3"/>
    <w:rsid w:val="00172780"/>
    <w:rsid w:val="001728CE"/>
    <w:rsid w:val="00172BF5"/>
    <w:rsid w:val="00172D2B"/>
    <w:rsid w:val="00172E48"/>
    <w:rsid w:val="0017318F"/>
    <w:rsid w:val="001731D5"/>
    <w:rsid w:val="00173213"/>
    <w:rsid w:val="00173291"/>
    <w:rsid w:val="001732E1"/>
    <w:rsid w:val="001733C9"/>
    <w:rsid w:val="0017346B"/>
    <w:rsid w:val="00173489"/>
    <w:rsid w:val="001737AC"/>
    <w:rsid w:val="0017380D"/>
    <w:rsid w:val="00173B55"/>
    <w:rsid w:val="00173CAC"/>
    <w:rsid w:val="00173F28"/>
    <w:rsid w:val="001741A3"/>
    <w:rsid w:val="001742D5"/>
    <w:rsid w:val="0017433D"/>
    <w:rsid w:val="001743A2"/>
    <w:rsid w:val="00174577"/>
    <w:rsid w:val="00174A4B"/>
    <w:rsid w:val="00174A71"/>
    <w:rsid w:val="00174AB4"/>
    <w:rsid w:val="00174B51"/>
    <w:rsid w:val="00174BE7"/>
    <w:rsid w:val="00174E6A"/>
    <w:rsid w:val="00174F33"/>
    <w:rsid w:val="00174F3F"/>
    <w:rsid w:val="00174F94"/>
    <w:rsid w:val="001752C1"/>
    <w:rsid w:val="0017548E"/>
    <w:rsid w:val="0017554D"/>
    <w:rsid w:val="001757B2"/>
    <w:rsid w:val="00175ADF"/>
    <w:rsid w:val="00175C73"/>
    <w:rsid w:val="00175D99"/>
    <w:rsid w:val="00175DAA"/>
    <w:rsid w:val="00176235"/>
    <w:rsid w:val="0017634C"/>
    <w:rsid w:val="00176603"/>
    <w:rsid w:val="0017670A"/>
    <w:rsid w:val="00176BE5"/>
    <w:rsid w:val="00176C10"/>
    <w:rsid w:val="00176C5B"/>
    <w:rsid w:val="00176E83"/>
    <w:rsid w:val="00176E91"/>
    <w:rsid w:val="001770B6"/>
    <w:rsid w:val="001770F2"/>
    <w:rsid w:val="001771BC"/>
    <w:rsid w:val="0017726E"/>
    <w:rsid w:val="001773AF"/>
    <w:rsid w:val="00177607"/>
    <w:rsid w:val="001779D1"/>
    <w:rsid w:val="00177B24"/>
    <w:rsid w:val="00177C21"/>
    <w:rsid w:val="00177C97"/>
    <w:rsid w:val="00177EC7"/>
    <w:rsid w:val="001803A8"/>
    <w:rsid w:val="001803F1"/>
    <w:rsid w:val="001806DB"/>
    <w:rsid w:val="0018090E"/>
    <w:rsid w:val="00180983"/>
    <w:rsid w:val="00180A87"/>
    <w:rsid w:val="00180BD5"/>
    <w:rsid w:val="00180E03"/>
    <w:rsid w:val="00180FB0"/>
    <w:rsid w:val="0018120F"/>
    <w:rsid w:val="001812F6"/>
    <w:rsid w:val="001819BE"/>
    <w:rsid w:val="00181AAE"/>
    <w:rsid w:val="00181ADD"/>
    <w:rsid w:val="00181B32"/>
    <w:rsid w:val="00181DA5"/>
    <w:rsid w:val="00181EE5"/>
    <w:rsid w:val="00182011"/>
    <w:rsid w:val="001820CE"/>
    <w:rsid w:val="00182105"/>
    <w:rsid w:val="001822DB"/>
    <w:rsid w:val="00182498"/>
    <w:rsid w:val="00182F50"/>
    <w:rsid w:val="00182FBF"/>
    <w:rsid w:val="00182FEA"/>
    <w:rsid w:val="0018301A"/>
    <w:rsid w:val="00183430"/>
    <w:rsid w:val="001835A0"/>
    <w:rsid w:val="00183A44"/>
    <w:rsid w:val="00183C7C"/>
    <w:rsid w:val="001840BD"/>
    <w:rsid w:val="00184195"/>
    <w:rsid w:val="00184206"/>
    <w:rsid w:val="0018423F"/>
    <w:rsid w:val="0018465C"/>
    <w:rsid w:val="0018475D"/>
    <w:rsid w:val="0018488E"/>
    <w:rsid w:val="00184A0A"/>
    <w:rsid w:val="00184CB1"/>
    <w:rsid w:val="00184DDE"/>
    <w:rsid w:val="00184EB5"/>
    <w:rsid w:val="00184F40"/>
    <w:rsid w:val="001850F3"/>
    <w:rsid w:val="00185103"/>
    <w:rsid w:val="0018522A"/>
    <w:rsid w:val="00185333"/>
    <w:rsid w:val="001855B6"/>
    <w:rsid w:val="00185746"/>
    <w:rsid w:val="00185782"/>
    <w:rsid w:val="001859BE"/>
    <w:rsid w:val="00185C9D"/>
    <w:rsid w:val="00185D23"/>
    <w:rsid w:val="00185DB2"/>
    <w:rsid w:val="00185E44"/>
    <w:rsid w:val="0018603A"/>
    <w:rsid w:val="00186292"/>
    <w:rsid w:val="0018631E"/>
    <w:rsid w:val="001864E3"/>
    <w:rsid w:val="00186736"/>
    <w:rsid w:val="001868EC"/>
    <w:rsid w:val="00186993"/>
    <w:rsid w:val="00186A1F"/>
    <w:rsid w:val="00186B57"/>
    <w:rsid w:val="00186D35"/>
    <w:rsid w:val="00187017"/>
    <w:rsid w:val="001870D7"/>
    <w:rsid w:val="0018736F"/>
    <w:rsid w:val="001875D3"/>
    <w:rsid w:val="001875D6"/>
    <w:rsid w:val="00187601"/>
    <w:rsid w:val="00187674"/>
    <w:rsid w:val="001876A5"/>
    <w:rsid w:val="00187B00"/>
    <w:rsid w:val="00187D44"/>
    <w:rsid w:val="00187D60"/>
    <w:rsid w:val="00187F17"/>
    <w:rsid w:val="00190010"/>
    <w:rsid w:val="0019019B"/>
    <w:rsid w:val="001901B1"/>
    <w:rsid w:val="001902A8"/>
    <w:rsid w:val="001903C9"/>
    <w:rsid w:val="00190577"/>
    <w:rsid w:val="00190643"/>
    <w:rsid w:val="001908AE"/>
    <w:rsid w:val="001908C4"/>
    <w:rsid w:val="001909B3"/>
    <w:rsid w:val="00190A77"/>
    <w:rsid w:val="00190AA2"/>
    <w:rsid w:val="00190CCA"/>
    <w:rsid w:val="00190EAF"/>
    <w:rsid w:val="00190EB2"/>
    <w:rsid w:val="00190F8B"/>
    <w:rsid w:val="00190FEC"/>
    <w:rsid w:val="0019106B"/>
    <w:rsid w:val="0019109B"/>
    <w:rsid w:val="001910CE"/>
    <w:rsid w:val="001915E9"/>
    <w:rsid w:val="001915EF"/>
    <w:rsid w:val="0019173A"/>
    <w:rsid w:val="0019184B"/>
    <w:rsid w:val="00191954"/>
    <w:rsid w:val="001919FF"/>
    <w:rsid w:val="00191A65"/>
    <w:rsid w:val="00191A91"/>
    <w:rsid w:val="00191AA8"/>
    <w:rsid w:val="00191DDF"/>
    <w:rsid w:val="00191E2D"/>
    <w:rsid w:val="0019245B"/>
    <w:rsid w:val="00192478"/>
    <w:rsid w:val="0019255A"/>
    <w:rsid w:val="001927D6"/>
    <w:rsid w:val="00192B0A"/>
    <w:rsid w:val="00192C5F"/>
    <w:rsid w:val="00192CE0"/>
    <w:rsid w:val="00192DAF"/>
    <w:rsid w:val="00192F10"/>
    <w:rsid w:val="0019337A"/>
    <w:rsid w:val="001934D2"/>
    <w:rsid w:val="001935F1"/>
    <w:rsid w:val="001938C1"/>
    <w:rsid w:val="00193AFE"/>
    <w:rsid w:val="00193BCD"/>
    <w:rsid w:val="00193DB8"/>
    <w:rsid w:val="0019400D"/>
    <w:rsid w:val="001942D0"/>
    <w:rsid w:val="00194547"/>
    <w:rsid w:val="001946C7"/>
    <w:rsid w:val="00194AD4"/>
    <w:rsid w:val="00194E18"/>
    <w:rsid w:val="00194EDE"/>
    <w:rsid w:val="00194F2D"/>
    <w:rsid w:val="00194F85"/>
    <w:rsid w:val="0019517F"/>
    <w:rsid w:val="001951B3"/>
    <w:rsid w:val="0019532B"/>
    <w:rsid w:val="00195646"/>
    <w:rsid w:val="001956B1"/>
    <w:rsid w:val="00195893"/>
    <w:rsid w:val="0019592A"/>
    <w:rsid w:val="00195D12"/>
    <w:rsid w:val="00195F5C"/>
    <w:rsid w:val="001960D8"/>
    <w:rsid w:val="00196159"/>
    <w:rsid w:val="001961DF"/>
    <w:rsid w:val="001962A2"/>
    <w:rsid w:val="001966EF"/>
    <w:rsid w:val="0019670F"/>
    <w:rsid w:val="00196A2C"/>
    <w:rsid w:val="00197097"/>
    <w:rsid w:val="0019777C"/>
    <w:rsid w:val="00197868"/>
    <w:rsid w:val="001979F7"/>
    <w:rsid w:val="00197CA0"/>
    <w:rsid w:val="00197D74"/>
    <w:rsid w:val="001A000D"/>
    <w:rsid w:val="001A015A"/>
    <w:rsid w:val="001A0185"/>
    <w:rsid w:val="001A0278"/>
    <w:rsid w:val="001A0460"/>
    <w:rsid w:val="001A0611"/>
    <w:rsid w:val="001A1165"/>
    <w:rsid w:val="001A13D4"/>
    <w:rsid w:val="001A17BB"/>
    <w:rsid w:val="001A17E2"/>
    <w:rsid w:val="001A1C39"/>
    <w:rsid w:val="001A1C74"/>
    <w:rsid w:val="001A1CAD"/>
    <w:rsid w:val="001A1D33"/>
    <w:rsid w:val="001A1DFF"/>
    <w:rsid w:val="001A1FDA"/>
    <w:rsid w:val="001A213D"/>
    <w:rsid w:val="001A22D3"/>
    <w:rsid w:val="001A2402"/>
    <w:rsid w:val="001A2540"/>
    <w:rsid w:val="001A26BA"/>
    <w:rsid w:val="001A27DE"/>
    <w:rsid w:val="001A2897"/>
    <w:rsid w:val="001A29F8"/>
    <w:rsid w:val="001A2A8C"/>
    <w:rsid w:val="001A2B04"/>
    <w:rsid w:val="001A2F38"/>
    <w:rsid w:val="001A2F94"/>
    <w:rsid w:val="001A315F"/>
    <w:rsid w:val="001A31A4"/>
    <w:rsid w:val="001A32C7"/>
    <w:rsid w:val="001A3589"/>
    <w:rsid w:val="001A3937"/>
    <w:rsid w:val="001A3A63"/>
    <w:rsid w:val="001A3A95"/>
    <w:rsid w:val="001A3C57"/>
    <w:rsid w:val="001A3E80"/>
    <w:rsid w:val="001A409E"/>
    <w:rsid w:val="001A4219"/>
    <w:rsid w:val="001A4245"/>
    <w:rsid w:val="001A46D0"/>
    <w:rsid w:val="001A47EB"/>
    <w:rsid w:val="001A4858"/>
    <w:rsid w:val="001A48DB"/>
    <w:rsid w:val="001A49D9"/>
    <w:rsid w:val="001A4F1E"/>
    <w:rsid w:val="001A5075"/>
    <w:rsid w:val="001A50D4"/>
    <w:rsid w:val="001A51AE"/>
    <w:rsid w:val="001A52A4"/>
    <w:rsid w:val="001A548E"/>
    <w:rsid w:val="001A597C"/>
    <w:rsid w:val="001A5D29"/>
    <w:rsid w:val="001A5F3A"/>
    <w:rsid w:val="001A5FF5"/>
    <w:rsid w:val="001A632D"/>
    <w:rsid w:val="001A63B2"/>
    <w:rsid w:val="001A67E7"/>
    <w:rsid w:val="001A680D"/>
    <w:rsid w:val="001A6843"/>
    <w:rsid w:val="001A68A3"/>
    <w:rsid w:val="001A6AC2"/>
    <w:rsid w:val="001A6D0C"/>
    <w:rsid w:val="001A6E04"/>
    <w:rsid w:val="001A6EA8"/>
    <w:rsid w:val="001A70B2"/>
    <w:rsid w:val="001A7139"/>
    <w:rsid w:val="001A748A"/>
    <w:rsid w:val="001A7725"/>
    <w:rsid w:val="001A789B"/>
    <w:rsid w:val="001A796E"/>
    <w:rsid w:val="001A7970"/>
    <w:rsid w:val="001A799E"/>
    <w:rsid w:val="001A7A7C"/>
    <w:rsid w:val="001A7E74"/>
    <w:rsid w:val="001A7F1A"/>
    <w:rsid w:val="001A7FEA"/>
    <w:rsid w:val="001B02EC"/>
    <w:rsid w:val="001B0432"/>
    <w:rsid w:val="001B04A6"/>
    <w:rsid w:val="001B05C4"/>
    <w:rsid w:val="001B0929"/>
    <w:rsid w:val="001B0A0B"/>
    <w:rsid w:val="001B0BD5"/>
    <w:rsid w:val="001B0E0A"/>
    <w:rsid w:val="001B0ED7"/>
    <w:rsid w:val="001B102C"/>
    <w:rsid w:val="001B10F5"/>
    <w:rsid w:val="001B144A"/>
    <w:rsid w:val="001B1641"/>
    <w:rsid w:val="001B19BE"/>
    <w:rsid w:val="001B1AD6"/>
    <w:rsid w:val="001B1C3B"/>
    <w:rsid w:val="001B1D16"/>
    <w:rsid w:val="001B2126"/>
    <w:rsid w:val="001B2228"/>
    <w:rsid w:val="001B2293"/>
    <w:rsid w:val="001B2564"/>
    <w:rsid w:val="001B25C5"/>
    <w:rsid w:val="001B2ACC"/>
    <w:rsid w:val="001B2DD9"/>
    <w:rsid w:val="001B2DF8"/>
    <w:rsid w:val="001B2E3A"/>
    <w:rsid w:val="001B3014"/>
    <w:rsid w:val="001B3029"/>
    <w:rsid w:val="001B3282"/>
    <w:rsid w:val="001B344D"/>
    <w:rsid w:val="001B35FF"/>
    <w:rsid w:val="001B36A9"/>
    <w:rsid w:val="001B36BC"/>
    <w:rsid w:val="001B36D6"/>
    <w:rsid w:val="001B374B"/>
    <w:rsid w:val="001B38C0"/>
    <w:rsid w:val="001B3C1F"/>
    <w:rsid w:val="001B3C54"/>
    <w:rsid w:val="001B4051"/>
    <w:rsid w:val="001B4819"/>
    <w:rsid w:val="001B4AE2"/>
    <w:rsid w:val="001B4B6D"/>
    <w:rsid w:val="001B4E94"/>
    <w:rsid w:val="001B50BA"/>
    <w:rsid w:val="001B5282"/>
    <w:rsid w:val="001B5342"/>
    <w:rsid w:val="001B5636"/>
    <w:rsid w:val="001B56EB"/>
    <w:rsid w:val="001B57EC"/>
    <w:rsid w:val="001B5839"/>
    <w:rsid w:val="001B59CD"/>
    <w:rsid w:val="001B5AA0"/>
    <w:rsid w:val="001B5BF4"/>
    <w:rsid w:val="001B5C50"/>
    <w:rsid w:val="001B5E66"/>
    <w:rsid w:val="001B608C"/>
    <w:rsid w:val="001B645D"/>
    <w:rsid w:val="001B6846"/>
    <w:rsid w:val="001B691D"/>
    <w:rsid w:val="001B6EA3"/>
    <w:rsid w:val="001B6FF9"/>
    <w:rsid w:val="001B7180"/>
    <w:rsid w:val="001B71BA"/>
    <w:rsid w:val="001B738D"/>
    <w:rsid w:val="001B7409"/>
    <w:rsid w:val="001B77AB"/>
    <w:rsid w:val="001B787E"/>
    <w:rsid w:val="001B7934"/>
    <w:rsid w:val="001B7A7C"/>
    <w:rsid w:val="001B7D1D"/>
    <w:rsid w:val="001B7F2F"/>
    <w:rsid w:val="001C0064"/>
    <w:rsid w:val="001C0158"/>
    <w:rsid w:val="001C022C"/>
    <w:rsid w:val="001C0323"/>
    <w:rsid w:val="001C0454"/>
    <w:rsid w:val="001C0557"/>
    <w:rsid w:val="001C064C"/>
    <w:rsid w:val="001C07F1"/>
    <w:rsid w:val="001C082B"/>
    <w:rsid w:val="001C0863"/>
    <w:rsid w:val="001C09B4"/>
    <w:rsid w:val="001C09DB"/>
    <w:rsid w:val="001C0C83"/>
    <w:rsid w:val="001C0D4F"/>
    <w:rsid w:val="001C0F44"/>
    <w:rsid w:val="001C132D"/>
    <w:rsid w:val="001C13D4"/>
    <w:rsid w:val="001C13E2"/>
    <w:rsid w:val="001C1624"/>
    <w:rsid w:val="001C17C0"/>
    <w:rsid w:val="001C1926"/>
    <w:rsid w:val="001C1983"/>
    <w:rsid w:val="001C1CE4"/>
    <w:rsid w:val="001C1F2E"/>
    <w:rsid w:val="001C2391"/>
    <w:rsid w:val="001C23BB"/>
    <w:rsid w:val="001C2C45"/>
    <w:rsid w:val="001C2CC8"/>
    <w:rsid w:val="001C2CD0"/>
    <w:rsid w:val="001C2DC5"/>
    <w:rsid w:val="001C2EB5"/>
    <w:rsid w:val="001C307A"/>
    <w:rsid w:val="001C349F"/>
    <w:rsid w:val="001C3540"/>
    <w:rsid w:val="001C380C"/>
    <w:rsid w:val="001C39AB"/>
    <w:rsid w:val="001C3A2E"/>
    <w:rsid w:val="001C3B49"/>
    <w:rsid w:val="001C3CA5"/>
    <w:rsid w:val="001C3CCA"/>
    <w:rsid w:val="001C3EEB"/>
    <w:rsid w:val="001C408E"/>
    <w:rsid w:val="001C41CB"/>
    <w:rsid w:val="001C43E8"/>
    <w:rsid w:val="001C44A4"/>
    <w:rsid w:val="001C456F"/>
    <w:rsid w:val="001C47B3"/>
    <w:rsid w:val="001C488B"/>
    <w:rsid w:val="001C4AFA"/>
    <w:rsid w:val="001C4C20"/>
    <w:rsid w:val="001C4CFB"/>
    <w:rsid w:val="001C4D4F"/>
    <w:rsid w:val="001C4EF8"/>
    <w:rsid w:val="001C4F22"/>
    <w:rsid w:val="001C4FB5"/>
    <w:rsid w:val="001C5131"/>
    <w:rsid w:val="001C51CE"/>
    <w:rsid w:val="001C54D5"/>
    <w:rsid w:val="001C561E"/>
    <w:rsid w:val="001C56EC"/>
    <w:rsid w:val="001C585F"/>
    <w:rsid w:val="001C58B1"/>
    <w:rsid w:val="001C58D6"/>
    <w:rsid w:val="001C58E0"/>
    <w:rsid w:val="001C5A49"/>
    <w:rsid w:val="001C5B32"/>
    <w:rsid w:val="001C5CAE"/>
    <w:rsid w:val="001C5CCF"/>
    <w:rsid w:val="001C5DEC"/>
    <w:rsid w:val="001C61CA"/>
    <w:rsid w:val="001C62EF"/>
    <w:rsid w:val="001C651A"/>
    <w:rsid w:val="001C6755"/>
    <w:rsid w:val="001C6758"/>
    <w:rsid w:val="001C69C8"/>
    <w:rsid w:val="001C6A3D"/>
    <w:rsid w:val="001C6DEE"/>
    <w:rsid w:val="001C70A2"/>
    <w:rsid w:val="001C74A1"/>
    <w:rsid w:val="001C7636"/>
    <w:rsid w:val="001C7B01"/>
    <w:rsid w:val="001C7C1D"/>
    <w:rsid w:val="001C7CCA"/>
    <w:rsid w:val="001C7CEF"/>
    <w:rsid w:val="001D0080"/>
    <w:rsid w:val="001D01EF"/>
    <w:rsid w:val="001D0379"/>
    <w:rsid w:val="001D03A2"/>
    <w:rsid w:val="001D046C"/>
    <w:rsid w:val="001D0B18"/>
    <w:rsid w:val="001D0DB7"/>
    <w:rsid w:val="001D0F06"/>
    <w:rsid w:val="001D11D9"/>
    <w:rsid w:val="001D1328"/>
    <w:rsid w:val="001D13A4"/>
    <w:rsid w:val="001D1559"/>
    <w:rsid w:val="001D18D7"/>
    <w:rsid w:val="001D1918"/>
    <w:rsid w:val="001D1B9B"/>
    <w:rsid w:val="001D1C5A"/>
    <w:rsid w:val="001D2100"/>
    <w:rsid w:val="001D2219"/>
    <w:rsid w:val="001D2606"/>
    <w:rsid w:val="001D26B8"/>
    <w:rsid w:val="001D27CF"/>
    <w:rsid w:val="001D2D29"/>
    <w:rsid w:val="001D2D83"/>
    <w:rsid w:val="001D2F1F"/>
    <w:rsid w:val="001D3050"/>
    <w:rsid w:val="001D3409"/>
    <w:rsid w:val="001D359D"/>
    <w:rsid w:val="001D361A"/>
    <w:rsid w:val="001D3774"/>
    <w:rsid w:val="001D3993"/>
    <w:rsid w:val="001D3B05"/>
    <w:rsid w:val="001D3C4D"/>
    <w:rsid w:val="001D3E0C"/>
    <w:rsid w:val="001D42F8"/>
    <w:rsid w:val="001D44F9"/>
    <w:rsid w:val="001D4514"/>
    <w:rsid w:val="001D46B4"/>
    <w:rsid w:val="001D47D1"/>
    <w:rsid w:val="001D47F1"/>
    <w:rsid w:val="001D4B3B"/>
    <w:rsid w:val="001D4DC9"/>
    <w:rsid w:val="001D4FEE"/>
    <w:rsid w:val="001D50B8"/>
    <w:rsid w:val="001D557B"/>
    <w:rsid w:val="001D57E4"/>
    <w:rsid w:val="001D5842"/>
    <w:rsid w:val="001D5C96"/>
    <w:rsid w:val="001D61B9"/>
    <w:rsid w:val="001D62B4"/>
    <w:rsid w:val="001D65AD"/>
    <w:rsid w:val="001D6659"/>
    <w:rsid w:val="001D66D7"/>
    <w:rsid w:val="001D68AB"/>
    <w:rsid w:val="001D690D"/>
    <w:rsid w:val="001D6924"/>
    <w:rsid w:val="001D6BF3"/>
    <w:rsid w:val="001D6C73"/>
    <w:rsid w:val="001D6D46"/>
    <w:rsid w:val="001D6DE6"/>
    <w:rsid w:val="001D701C"/>
    <w:rsid w:val="001D78F0"/>
    <w:rsid w:val="001D7983"/>
    <w:rsid w:val="001D7ACD"/>
    <w:rsid w:val="001D7AFB"/>
    <w:rsid w:val="001D7BE7"/>
    <w:rsid w:val="001D7ED0"/>
    <w:rsid w:val="001DE31C"/>
    <w:rsid w:val="001E02D7"/>
    <w:rsid w:val="001E07B4"/>
    <w:rsid w:val="001E07E4"/>
    <w:rsid w:val="001E08DF"/>
    <w:rsid w:val="001E0925"/>
    <w:rsid w:val="001E0B36"/>
    <w:rsid w:val="001E0C56"/>
    <w:rsid w:val="001E0F8F"/>
    <w:rsid w:val="001E1081"/>
    <w:rsid w:val="001E1319"/>
    <w:rsid w:val="001E1524"/>
    <w:rsid w:val="001E1654"/>
    <w:rsid w:val="001E1D96"/>
    <w:rsid w:val="001E1FE6"/>
    <w:rsid w:val="001E20A6"/>
    <w:rsid w:val="001E213A"/>
    <w:rsid w:val="001E2181"/>
    <w:rsid w:val="001E2198"/>
    <w:rsid w:val="001E2350"/>
    <w:rsid w:val="001E246F"/>
    <w:rsid w:val="001E24B2"/>
    <w:rsid w:val="001E28D2"/>
    <w:rsid w:val="001E2AFE"/>
    <w:rsid w:val="001E2B48"/>
    <w:rsid w:val="001E2D2A"/>
    <w:rsid w:val="001E3099"/>
    <w:rsid w:val="001E3265"/>
    <w:rsid w:val="001E32B2"/>
    <w:rsid w:val="001E33B5"/>
    <w:rsid w:val="001E3439"/>
    <w:rsid w:val="001E3737"/>
    <w:rsid w:val="001E3ADD"/>
    <w:rsid w:val="001E3C7C"/>
    <w:rsid w:val="001E3C90"/>
    <w:rsid w:val="001E3F54"/>
    <w:rsid w:val="001E3F9B"/>
    <w:rsid w:val="001E3FFC"/>
    <w:rsid w:val="001E4632"/>
    <w:rsid w:val="001E4717"/>
    <w:rsid w:val="001E48B1"/>
    <w:rsid w:val="001E4987"/>
    <w:rsid w:val="001E49D2"/>
    <w:rsid w:val="001E4BFB"/>
    <w:rsid w:val="001E4D83"/>
    <w:rsid w:val="001E53CB"/>
    <w:rsid w:val="001E5417"/>
    <w:rsid w:val="001E586B"/>
    <w:rsid w:val="001E587F"/>
    <w:rsid w:val="001E5900"/>
    <w:rsid w:val="001E5AF9"/>
    <w:rsid w:val="001E5B90"/>
    <w:rsid w:val="001E5B92"/>
    <w:rsid w:val="001E5CFF"/>
    <w:rsid w:val="001E5D89"/>
    <w:rsid w:val="001E5E95"/>
    <w:rsid w:val="001E5E9B"/>
    <w:rsid w:val="001E5F20"/>
    <w:rsid w:val="001E60D0"/>
    <w:rsid w:val="001E6675"/>
    <w:rsid w:val="001E6877"/>
    <w:rsid w:val="001E688D"/>
    <w:rsid w:val="001E6A0A"/>
    <w:rsid w:val="001E6A72"/>
    <w:rsid w:val="001E6AE7"/>
    <w:rsid w:val="001E6D4C"/>
    <w:rsid w:val="001E72D4"/>
    <w:rsid w:val="001E75B7"/>
    <w:rsid w:val="001E75DB"/>
    <w:rsid w:val="001E76E9"/>
    <w:rsid w:val="001E777D"/>
    <w:rsid w:val="001E7819"/>
    <w:rsid w:val="001E787D"/>
    <w:rsid w:val="001E7C29"/>
    <w:rsid w:val="001E7C37"/>
    <w:rsid w:val="001E7DB5"/>
    <w:rsid w:val="001E7DD1"/>
    <w:rsid w:val="001E7EC9"/>
    <w:rsid w:val="001F0266"/>
    <w:rsid w:val="001F035F"/>
    <w:rsid w:val="001F0384"/>
    <w:rsid w:val="001F049C"/>
    <w:rsid w:val="001F04A9"/>
    <w:rsid w:val="001F0634"/>
    <w:rsid w:val="001F07A5"/>
    <w:rsid w:val="001F091C"/>
    <w:rsid w:val="001F0B7B"/>
    <w:rsid w:val="001F0CE9"/>
    <w:rsid w:val="001F0DB8"/>
    <w:rsid w:val="001F0E7A"/>
    <w:rsid w:val="001F1177"/>
    <w:rsid w:val="001F11A9"/>
    <w:rsid w:val="001F12B8"/>
    <w:rsid w:val="001F13B8"/>
    <w:rsid w:val="001F1427"/>
    <w:rsid w:val="001F14BE"/>
    <w:rsid w:val="001F1504"/>
    <w:rsid w:val="001F1534"/>
    <w:rsid w:val="001F1569"/>
    <w:rsid w:val="001F17E8"/>
    <w:rsid w:val="001F17ED"/>
    <w:rsid w:val="001F18E8"/>
    <w:rsid w:val="001F1976"/>
    <w:rsid w:val="001F1985"/>
    <w:rsid w:val="001F20A4"/>
    <w:rsid w:val="001F21D3"/>
    <w:rsid w:val="001F23B9"/>
    <w:rsid w:val="001F25E8"/>
    <w:rsid w:val="001F2C20"/>
    <w:rsid w:val="001F2D5E"/>
    <w:rsid w:val="001F2D7D"/>
    <w:rsid w:val="001F2E20"/>
    <w:rsid w:val="001F2E3C"/>
    <w:rsid w:val="001F2E96"/>
    <w:rsid w:val="001F30CC"/>
    <w:rsid w:val="001F31FE"/>
    <w:rsid w:val="001F335F"/>
    <w:rsid w:val="001F352E"/>
    <w:rsid w:val="001F3647"/>
    <w:rsid w:val="001F3732"/>
    <w:rsid w:val="001F37B6"/>
    <w:rsid w:val="001F3AD1"/>
    <w:rsid w:val="001F3B35"/>
    <w:rsid w:val="001F4076"/>
    <w:rsid w:val="001F4367"/>
    <w:rsid w:val="001F43F7"/>
    <w:rsid w:val="001F4400"/>
    <w:rsid w:val="001F44AF"/>
    <w:rsid w:val="001F4560"/>
    <w:rsid w:val="001F463F"/>
    <w:rsid w:val="001F4876"/>
    <w:rsid w:val="001F48FD"/>
    <w:rsid w:val="001F4946"/>
    <w:rsid w:val="001F4A07"/>
    <w:rsid w:val="001F4ABA"/>
    <w:rsid w:val="001F4D76"/>
    <w:rsid w:val="001F4DDA"/>
    <w:rsid w:val="001F51A0"/>
    <w:rsid w:val="001F522B"/>
    <w:rsid w:val="001F529F"/>
    <w:rsid w:val="001F52A2"/>
    <w:rsid w:val="001F548F"/>
    <w:rsid w:val="001F5611"/>
    <w:rsid w:val="001F5695"/>
    <w:rsid w:val="001F5779"/>
    <w:rsid w:val="001F59ED"/>
    <w:rsid w:val="001F5B30"/>
    <w:rsid w:val="001F5CDB"/>
    <w:rsid w:val="001F60A5"/>
    <w:rsid w:val="001F62DC"/>
    <w:rsid w:val="001F6361"/>
    <w:rsid w:val="001F6556"/>
    <w:rsid w:val="001F664A"/>
    <w:rsid w:val="001F674B"/>
    <w:rsid w:val="001F67E8"/>
    <w:rsid w:val="001F6A15"/>
    <w:rsid w:val="001F6D32"/>
    <w:rsid w:val="001F6F69"/>
    <w:rsid w:val="001F6FF4"/>
    <w:rsid w:val="001F7141"/>
    <w:rsid w:val="001F7482"/>
    <w:rsid w:val="001F78D3"/>
    <w:rsid w:val="001F78D6"/>
    <w:rsid w:val="001F7AE2"/>
    <w:rsid w:val="001F7BA8"/>
    <w:rsid w:val="001F7D73"/>
    <w:rsid w:val="001F7D90"/>
    <w:rsid w:val="002002DE"/>
    <w:rsid w:val="00200501"/>
    <w:rsid w:val="00200557"/>
    <w:rsid w:val="00200615"/>
    <w:rsid w:val="0020066D"/>
    <w:rsid w:val="00200774"/>
    <w:rsid w:val="00200804"/>
    <w:rsid w:val="0020086F"/>
    <w:rsid w:val="0020095D"/>
    <w:rsid w:val="00200D3B"/>
    <w:rsid w:val="00200DBA"/>
    <w:rsid w:val="00200F13"/>
    <w:rsid w:val="00200FB0"/>
    <w:rsid w:val="00200FFE"/>
    <w:rsid w:val="00201016"/>
    <w:rsid w:val="00201252"/>
    <w:rsid w:val="00201341"/>
    <w:rsid w:val="00201392"/>
    <w:rsid w:val="002013DE"/>
    <w:rsid w:val="00201650"/>
    <w:rsid w:val="002017CC"/>
    <w:rsid w:val="00201843"/>
    <w:rsid w:val="00201AE5"/>
    <w:rsid w:val="00201D55"/>
    <w:rsid w:val="00201D6D"/>
    <w:rsid w:val="00201FB8"/>
    <w:rsid w:val="00202154"/>
    <w:rsid w:val="00202302"/>
    <w:rsid w:val="0020232A"/>
    <w:rsid w:val="00202333"/>
    <w:rsid w:val="0020236D"/>
    <w:rsid w:val="00202421"/>
    <w:rsid w:val="0020256F"/>
    <w:rsid w:val="0020268B"/>
    <w:rsid w:val="002027F4"/>
    <w:rsid w:val="0020282E"/>
    <w:rsid w:val="00202855"/>
    <w:rsid w:val="00202BAB"/>
    <w:rsid w:val="00202CBA"/>
    <w:rsid w:val="00202EB8"/>
    <w:rsid w:val="00202ECC"/>
    <w:rsid w:val="00202EE5"/>
    <w:rsid w:val="00202EF8"/>
    <w:rsid w:val="00202FBA"/>
    <w:rsid w:val="00202FBE"/>
    <w:rsid w:val="0020300C"/>
    <w:rsid w:val="0020301F"/>
    <w:rsid w:val="002032A4"/>
    <w:rsid w:val="0020361C"/>
    <w:rsid w:val="002036BA"/>
    <w:rsid w:val="00203881"/>
    <w:rsid w:val="002038C7"/>
    <w:rsid w:val="002039E2"/>
    <w:rsid w:val="00203E8E"/>
    <w:rsid w:val="002040D6"/>
    <w:rsid w:val="002043DC"/>
    <w:rsid w:val="00204433"/>
    <w:rsid w:val="00204511"/>
    <w:rsid w:val="00204671"/>
    <w:rsid w:val="002046F8"/>
    <w:rsid w:val="0020470C"/>
    <w:rsid w:val="00204763"/>
    <w:rsid w:val="00204933"/>
    <w:rsid w:val="0020493F"/>
    <w:rsid w:val="00204BFB"/>
    <w:rsid w:val="00204DCC"/>
    <w:rsid w:val="00204EF1"/>
    <w:rsid w:val="002050DE"/>
    <w:rsid w:val="00205348"/>
    <w:rsid w:val="002055FF"/>
    <w:rsid w:val="00205804"/>
    <w:rsid w:val="00205B89"/>
    <w:rsid w:val="00205C51"/>
    <w:rsid w:val="00205E36"/>
    <w:rsid w:val="00205E6B"/>
    <w:rsid w:val="00205F0E"/>
    <w:rsid w:val="00205F80"/>
    <w:rsid w:val="00206171"/>
    <w:rsid w:val="002062B0"/>
    <w:rsid w:val="002064CD"/>
    <w:rsid w:val="00206672"/>
    <w:rsid w:val="002066D5"/>
    <w:rsid w:val="0020696B"/>
    <w:rsid w:val="002069BC"/>
    <w:rsid w:val="00206A5C"/>
    <w:rsid w:val="00206C2A"/>
    <w:rsid w:val="002072DE"/>
    <w:rsid w:val="0020731B"/>
    <w:rsid w:val="002073DD"/>
    <w:rsid w:val="00207454"/>
    <w:rsid w:val="00207687"/>
    <w:rsid w:val="0020788D"/>
    <w:rsid w:val="002078D6"/>
    <w:rsid w:val="00207E4F"/>
    <w:rsid w:val="00210113"/>
    <w:rsid w:val="00210422"/>
    <w:rsid w:val="00210538"/>
    <w:rsid w:val="0021057B"/>
    <w:rsid w:val="002108B5"/>
    <w:rsid w:val="0021098E"/>
    <w:rsid w:val="00210B06"/>
    <w:rsid w:val="00210C71"/>
    <w:rsid w:val="00210EB9"/>
    <w:rsid w:val="00210ED3"/>
    <w:rsid w:val="00210F25"/>
    <w:rsid w:val="00210F81"/>
    <w:rsid w:val="002110A4"/>
    <w:rsid w:val="002111D4"/>
    <w:rsid w:val="002111D7"/>
    <w:rsid w:val="00211519"/>
    <w:rsid w:val="00211657"/>
    <w:rsid w:val="00211742"/>
    <w:rsid w:val="002118A0"/>
    <w:rsid w:val="00211DEF"/>
    <w:rsid w:val="00211EB8"/>
    <w:rsid w:val="00211FD4"/>
    <w:rsid w:val="002121AD"/>
    <w:rsid w:val="00212232"/>
    <w:rsid w:val="00212696"/>
    <w:rsid w:val="002126DD"/>
    <w:rsid w:val="00212AA6"/>
    <w:rsid w:val="00212C3F"/>
    <w:rsid w:val="00212E67"/>
    <w:rsid w:val="00212EF7"/>
    <w:rsid w:val="00212F0C"/>
    <w:rsid w:val="00212F2A"/>
    <w:rsid w:val="00212F46"/>
    <w:rsid w:val="00212F6C"/>
    <w:rsid w:val="00213188"/>
    <w:rsid w:val="002132E8"/>
    <w:rsid w:val="00213373"/>
    <w:rsid w:val="00213757"/>
    <w:rsid w:val="00213830"/>
    <w:rsid w:val="00213896"/>
    <w:rsid w:val="00213913"/>
    <w:rsid w:val="00213950"/>
    <w:rsid w:val="002139ED"/>
    <w:rsid w:val="00213AD9"/>
    <w:rsid w:val="00213B2B"/>
    <w:rsid w:val="00213C44"/>
    <w:rsid w:val="00213D0F"/>
    <w:rsid w:val="00213F29"/>
    <w:rsid w:val="0021414A"/>
    <w:rsid w:val="0021415C"/>
    <w:rsid w:val="00214609"/>
    <w:rsid w:val="002146BA"/>
    <w:rsid w:val="0021480C"/>
    <w:rsid w:val="0021483F"/>
    <w:rsid w:val="00214874"/>
    <w:rsid w:val="002148D7"/>
    <w:rsid w:val="002149C1"/>
    <w:rsid w:val="00214A95"/>
    <w:rsid w:val="00214C53"/>
    <w:rsid w:val="00214D27"/>
    <w:rsid w:val="0021513F"/>
    <w:rsid w:val="002153C5"/>
    <w:rsid w:val="002153E4"/>
    <w:rsid w:val="0021554A"/>
    <w:rsid w:val="00215724"/>
    <w:rsid w:val="00215A17"/>
    <w:rsid w:val="00215B54"/>
    <w:rsid w:val="00215DE8"/>
    <w:rsid w:val="00215F4E"/>
    <w:rsid w:val="00215F54"/>
    <w:rsid w:val="002160DA"/>
    <w:rsid w:val="00216167"/>
    <w:rsid w:val="00216226"/>
    <w:rsid w:val="0021642D"/>
    <w:rsid w:val="0021666E"/>
    <w:rsid w:val="002166C3"/>
    <w:rsid w:val="0021677B"/>
    <w:rsid w:val="002167E5"/>
    <w:rsid w:val="00216986"/>
    <w:rsid w:val="00216AE7"/>
    <w:rsid w:val="00217007"/>
    <w:rsid w:val="002170BB"/>
    <w:rsid w:val="00217238"/>
    <w:rsid w:val="0021741C"/>
    <w:rsid w:val="002177A7"/>
    <w:rsid w:val="00217824"/>
    <w:rsid w:val="002179B7"/>
    <w:rsid w:val="00217AA3"/>
    <w:rsid w:val="00217AB5"/>
    <w:rsid w:val="00217DF8"/>
    <w:rsid w:val="00217E2B"/>
    <w:rsid w:val="00217FEA"/>
    <w:rsid w:val="0022034D"/>
    <w:rsid w:val="00220371"/>
    <w:rsid w:val="0022052E"/>
    <w:rsid w:val="0022053E"/>
    <w:rsid w:val="002207D3"/>
    <w:rsid w:val="00220916"/>
    <w:rsid w:val="0022092F"/>
    <w:rsid w:val="00220BEC"/>
    <w:rsid w:val="00220D7B"/>
    <w:rsid w:val="00220DDD"/>
    <w:rsid w:val="00220F6F"/>
    <w:rsid w:val="002217AE"/>
    <w:rsid w:val="0022187F"/>
    <w:rsid w:val="00221DA1"/>
    <w:rsid w:val="002220C0"/>
    <w:rsid w:val="00222194"/>
    <w:rsid w:val="002223A7"/>
    <w:rsid w:val="002223E0"/>
    <w:rsid w:val="0022246E"/>
    <w:rsid w:val="002227B3"/>
    <w:rsid w:val="00222816"/>
    <w:rsid w:val="0022282D"/>
    <w:rsid w:val="00222F36"/>
    <w:rsid w:val="00222F5F"/>
    <w:rsid w:val="00222FF7"/>
    <w:rsid w:val="00223056"/>
    <w:rsid w:val="0022319E"/>
    <w:rsid w:val="0022338A"/>
    <w:rsid w:val="00223736"/>
    <w:rsid w:val="0022378D"/>
    <w:rsid w:val="00223798"/>
    <w:rsid w:val="0022385B"/>
    <w:rsid w:val="002239AC"/>
    <w:rsid w:val="00223BA1"/>
    <w:rsid w:val="00224382"/>
    <w:rsid w:val="002243FD"/>
    <w:rsid w:val="002247BF"/>
    <w:rsid w:val="00224BE3"/>
    <w:rsid w:val="00224DBB"/>
    <w:rsid w:val="00224DE3"/>
    <w:rsid w:val="00224F09"/>
    <w:rsid w:val="00225690"/>
    <w:rsid w:val="002257A1"/>
    <w:rsid w:val="002257AC"/>
    <w:rsid w:val="00225C0F"/>
    <w:rsid w:val="00225DD0"/>
    <w:rsid w:val="00225F61"/>
    <w:rsid w:val="0022649D"/>
    <w:rsid w:val="00226778"/>
    <w:rsid w:val="00226780"/>
    <w:rsid w:val="00226839"/>
    <w:rsid w:val="002269DA"/>
    <w:rsid w:val="00226D47"/>
    <w:rsid w:val="00226E7C"/>
    <w:rsid w:val="0022704B"/>
    <w:rsid w:val="0022711B"/>
    <w:rsid w:val="00227553"/>
    <w:rsid w:val="0022775E"/>
    <w:rsid w:val="00227794"/>
    <w:rsid w:val="002277FA"/>
    <w:rsid w:val="002279A9"/>
    <w:rsid w:val="002279D8"/>
    <w:rsid w:val="00227CD8"/>
    <w:rsid w:val="002301A2"/>
    <w:rsid w:val="002301BC"/>
    <w:rsid w:val="00230229"/>
    <w:rsid w:val="00230539"/>
    <w:rsid w:val="002305C5"/>
    <w:rsid w:val="002305D0"/>
    <w:rsid w:val="002305E9"/>
    <w:rsid w:val="00230790"/>
    <w:rsid w:val="002308C8"/>
    <w:rsid w:val="00231018"/>
    <w:rsid w:val="00231078"/>
    <w:rsid w:val="002310D8"/>
    <w:rsid w:val="002311DD"/>
    <w:rsid w:val="00231317"/>
    <w:rsid w:val="0023138A"/>
    <w:rsid w:val="0023151E"/>
    <w:rsid w:val="0023178F"/>
    <w:rsid w:val="0023197D"/>
    <w:rsid w:val="00231C8A"/>
    <w:rsid w:val="00231EB8"/>
    <w:rsid w:val="00231FAB"/>
    <w:rsid w:val="00232135"/>
    <w:rsid w:val="0023213C"/>
    <w:rsid w:val="00232142"/>
    <w:rsid w:val="00232166"/>
    <w:rsid w:val="0023251B"/>
    <w:rsid w:val="00232761"/>
    <w:rsid w:val="002327A7"/>
    <w:rsid w:val="002328E2"/>
    <w:rsid w:val="0023299B"/>
    <w:rsid w:val="00232B7C"/>
    <w:rsid w:val="00232D55"/>
    <w:rsid w:val="00232DC8"/>
    <w:rsid w:val="00232E22"/>
    <w:rsid w:val="00232ED9"/>
    <w:rsid w:val="00232F27"/>
    <w:rsid w:val="00232F88"/>
    <w:rsid w:val="00233072"/>
    <w:rsid w:val="0023327D"/>
    <w:rsid w:val="0023353E"/>
    <w:rsid w:val="00233737"/>
    <w:rsid w:val="002337C6"/>
    <w:rsid w:val="00233A78"/>
    <w:rsid w:val="00233BB7"/>
    <w:rsid w:val="00233D4A"/>
    <w:rsid w:val="00233E92"/>
    <w:rsid w:val="002345C0"/>
    <w:rsid w:val="002345FD"/>
    <w:rsid w:val="00234651"/>
    <w:rsid w:val="00234A0C"/>
    <w:rsid w:val="00234B5E"/>
    <w:rsid w:val="00234D72"/>
    <w:rsid w:val="00234DC0"/>
    <w:rsid w:val="00234E56"/>
    <w:rsid w:val="00234EB8"/>
    <w:rsid w:val="0023507F"/>
    <w:rsid w:val="00235163"/>
    <w:rsid w:val="002351BC"/>
    <w:rsid w:val="00235780"/>
    <w:rsid w:val="0023587E"/>
    <w:rsid w:val="002358CF"/>
    <w:rsid w:val="00235A5A"/>
    <w:rsid w:val="00235AB0"/>
    <w:rsid w:val="00235B2C"/>
    <w:rsid w:val="00235DD6"/>
    <w:rsid w:val="002360B9"/>
    <w:rsid w:val="0023617D"/>
    <w:rsid w:val="0023623F"/>
    <w:rsid w:val="002362E7"/>
    <w:rsid w:val="00236CF9"/>
    <w:rsid w:val="00236D0A"/>
    <w:rsid w:val="00236ECD"/>
    <w:rsid w:val="0023703A"/>
    <w:rsid w:val="00237257"/>
    <w:rsid w:val="002373EB"/>
    <w:rsid w:val="00237466"/>
    <w:rsid w:val="00237591"/>
    <w:rsid w:val="0023764A"/>
    <w:rsid w:val="00237872"/>
    <w:rsid w:val="00237B61"/>
    <w:rsid w:val="00237C43"/>
    <w:rsid w:val="00237E53"/>
    <w:rsid w:val="00237EB4"/>
    <w:rsid w:val="002400AF"/>
    <w:rsid w:val="00240250"/>
    <w:rsid w:val="0024027B"/>
    <w:rsid w:val="00240294"/>
    <w:rsid w:val="00240319"/>
    <w:rsid w:val="00240AC6"/>
    <w:rsid w:val="00240B63"/>
    <w:rsid w:val="00240C2F"/>
    <w:rsid w:val="0024112B"/>
    <w:rsid w:val="0024133D"/>
    <w:rsid w:val="0024144F"/>
    <w:rsid w:val="002418F9"/>
    <w:rsid w:val="00241955"/>
    <w:rsid w:val="00241A07"/>
    <w:rsid w:val="00241A78"/>
    <w:rsid w:val="00241B6B"/>
    <w:rsid w:val="00241C9E"/>
    <w:rsid w:val="00241E22"/>
    <w:rsid w:val="00241EFD"/>
    <w:rsid w:val="002420F5"/>
    <w:rsid w:val="002422EB"/>
    <w:rsid w:val="00242318"/>
    <w:rsid w:val="00242360"/>
    <w:rsid w:val="00242B38"/>
    <w:rsid w:val="00242E12"/>
    <w:rsid w:val="00242E2B"/>
    <w:rsid w:val="00242F61"/>
    <w:rsid w:val="002430BA"/>
    <w:rsid w:val="002430FD"/>
    <w:rsid w:val="0024364B"/>
    <w:rsid w:val="00243650"/>
    <w:rsid w:val="002437A2"/>
    <w:rsid w:val="002438EF"/>
    <w:rsid w:val="00243A35"/>
    <w:rsid w:val="00243B8F"/>
    <w:rsid w:val="00243C0A"/>
    <w:rsid w:val="00243C37"/>
    <w:rsid w:val="00243CA3"/>
    <w:rsid w:val="00243EAD"/>
    <w:rsid w:val="00243F67"/>
    <w:rsid w:val="00244037"/>
    <w:rsid w:val="0024403E"/>
    <w:rsid w:val="002440B0"/>
    <w:rsid w:val="002440FF"/>
    <w:rsid w:val="002442CE"/>
    <w:rsid w:val="0024466A"/>
    <w:rsid w:val="002447BA"/>
    <w:rsid w:val="00244861"/>
    <w:rsid w:val="00244B4F"/>
    <w:rsid w:val="00244E2A"/>
    <w:rsid w:val="00244E2C"/>
    <w:rsid w:val="00244E4A"/>
    <w:rsid w:val="00244EBF"/>
    <w:rsid w:val="00245196"/>
    <w:rsid w:val="002451F8"/>
    <w:rsid w:val="00245222"/>
    <w:rsid w:val="0024535C"/>
    <w:rsid w:val="0024571A"/>
    <w:rsid w:val="00245A68"/>
    <w:rsid w:val="00245D0D"/>
    <w:rsid w:val="00245D5E"/>
    <w:rsid w:val="00245E91"/>
    <w:rsid w:val="0024601F"/>
    <w:rsid w:val="002460C2"/>
    <w:rsid w:val="00246187"/>
    <w:rsid w:val="00246378"/>
    <w:rsid w:val="002463CD"/>
    <w:rsid w:val="002463E2"/>
    <w:rsid w:val="00246462"/>
    <w:rsid w:val="0024646C"/>
    <w:rsid w:val="00246486"/>
    <w:rsid w:val="00246498"/>
    <w:rsid w:val="002465A9"/>
    <w:rsid w:val="00246605"/>
    <w:rsid w:val="00246747"/>
    <w:rsid w:val="002468EB"/>
    <w:rsid w:val="00246913"/>
    <w:rsid w:val="002469B8"/>
    <w:rsid w:val="00246D83"/>
    <w:rsid w:val="00246EB5"/>
    <w:rsid w:val="00247102"/>
    <w:rsid w:val="00247150"/>
    <w:rsid w:val="0024727A"/>
    <w:rsid w:val="00247889"/>
    <w:rsid w:val="00247932"/>
    <w:rsid w:val="00247FE9"/>
    <w:rsid w:val="00250114"/>
    <w:rsid w:val="00250130"/>
    <w:rsid w:val="00250419"/>
    <w:rsid w:val="002504C2"/>
    <w:rsid w:val="00250538"/>
    <w:rsid w:val="00250559"/>
    <w:rsid w:val="00250634"/>
    <w:rsid w:val="002506E1"/>
    <w:rsid w:val="00250781"/>
    <w:rsid w:val="00250935"/>
    <w:rsid w:val="0025104A"/>
    <w:rsid w:val="00251071"/>
    <w:rsid w:val="0025124D"/>
    <w:rsid w:val="002513EF"/>
    <w:rsid w:val="002515E0"/>
    <w:rsid w:val="002515E6"/>
    <w:rsid w:val="00251635"/>
    <w:rsid w:val="00251DEB"/>
    <w:rsid w:val="00252087"/>
    <w:rsid w:val="0025228E"/>
    <w:rsid w:val="0025248D"/>
    <w:rsid w:val="0025260A"/>
    <w:rsid w:val="00252877"/>
    <w:rsid w:val="002528BD"/>
    <w:rsid w:val="00252C9D"/>
    <w:rsid w:val="00252E56"/>
    <w:rsid w:val="00252E79"/>
    <w:rsid w:val="00252FAC"/>
    <w:rsid w:val="0025330A"/>
    <w:rsid w:val="002533DA"/>
    <w:rsid w:val="002537DA"/>
    <w:rsid w:val="00253C26"/>
    <w:rsid w:val="00253C2E"/>
    <w:rsid w:val="00253C5F"/>
    <w:rsid w:val="00253E38"/>
    <w:rsid w:val="00254157"/>
    <w:rsid w:val="002542B7"/>
    <w:rsid w:val="002542D8"/>
    <w:rsid w:val="00254421"/>
    <w:rsid w:val="002544DE"/>
    <w:rsid w:val="00254658"/>
    <w:rsid w:val="002547EC"/>
    <w:rsid w:val="00254805"/>
    <w:rsid w:val="002548DA"/>
    <w:rsid w:val="002549D2"/>
    <w:rsid w:val="00254C16"/>
    <w:rsid w:val="002551A0"/>
    <w:rsid w:val="002551A1"/>
    <w:rsid w:val="0025538F"/>
    <w:rsid w:val="0025542B"/>
    <w:rsid w:val="00255964"/>
    <w:rsid w:val="002559DF"/>
    <w:rsid w:val="00255A37"/>
    <w:rsid w:val="00255B8D"/>
    <w:rsid w:val="00255C06"/>
    <w:rsid w:val="00255CEA"/>
    <w:rsid w:val="00255DA3"/>
    <w:rsid w:val="00256003"/>
    <w:rsid w:val="00256303"/>
    <w:rsid w:val="0025634C"/>
    <w:rsid w:val="0025648F"/>
    <w:rsid w:val="002568A9"/>
    <w:rsid w:val="00256B66"/>
    <w:rsid w:val="00256F1A"/>
    <w:rsid w:val="002570BC"/>
    <w:rsid w:val="00257244"/>
    <w:rsid w:val="002572D3"/>
    <w:rsid w:val="0025733B"/>
    <w:rsid w:val="002573F7"/>
    <w:rsid w:val="0025744D"/>
    <w:rsid w:val="0025745A"/>
    <w:rsid w:val="002576DF"/>
    <w:rsid w:val="002578AA"/>
    <w:rsid w:val="00257B2C"/>
    <w:rsid w:val="00257FB8"/>
    <w:rsid w:val="0026000D"/>
    <w:rsid w:val="002604E7"/>
    <w:rsid w:val="00260807"/>
    <w:rsid w:val="00260D7D"/>
    <w:rsid w:val="00260DD0"/>
    <w:rsid w:val="002613A2"/>
    <w:rsid w:val="00261496"/>
    <w:rsid w:val="002616A2"/>
    <w:rsid w:val="002618CF"/>
    <w:rsid w:val="00261964"/>
    <w:rsid w:val="00261A11"/>
    <w:rsid w:val="00261C69"/>
    <w:rsid w:val="00261CB1"/>
    <w:rsid w:val="00261CC7"/>
    <w:rsid w:val="002620AA"/>
    <w:rsid w:val="002621E9"/>
    <w:rsid w:val="002622E5"/>
    <w:rsid w:val="002624AB"/>
    <w:rsid w:val="00262730"/>
    <w:rsid w:val="00262827"/>
    <w:rsid w:val="00262836"/>
    <w:rsid w:val="00262902"/>
    <w:rsid w:val="00262AC8"/>
    <w:rsid w:val="00262D84"/>
    <w:rsid w:val="00262DA2"/>
    <w:rsid w:val="00262DB0"/>
    <w:rsid w:val="00262EE6"/>
    <w:rsid w:val="0026305A"/>
    <w:rsid w:val="00263565"/>
    <w:rsid w:val="00263586"/>
    <w:rsid w:val="0026385D"/>
    <w:rsid w:val="00264013"/>
    <w:rsid w:val="00264170"/>
    <w:rsid w:val="0026439B"/>
    <w:rsid w:val="002643B3"/>
    <w:rsid w:val="002643EB"/>
    <w:rsid w:val="00264426"/>
    <w:rsid w:val="00264438"/>
    <w:rsid w:val="002646DC"/>
    <w:rsid w:val="00264A12"/>
    <w:rsid w:val="00264A55"/>
    <w:rsid w:val="00264C0F"/>
    <w:rsid w:val="00264D0C"/>
    <w:rsid w:val="00264F53"/>
    <w:rsid w:val="00265106"/>
    <w:rsid w:val="00265178"/>
    <w:rsid w:val="002653C7"/>
    <w:rsid w:val="002656D6"/>
    <w:rsid w:val="0026575E"/>
    <w:rsid w:val="002658AB"/>
    <w:rsid w:val="00265914"/>
    <w:rsid w:val="00265A8A"/>
    <w:rsid w:val="00265CF6"/>
    <w:rsid w:val="00265EE6"/>
    <w:rsid w:val="00265FB4"/>
    <w:rsid w:val="0026612E"/>
    <w:rsid w:val="00266135"/>
    <w:rsid w:val="00266490"/>
    <w:rsid w:val="0026653E"/>
    <w:rsid w:val="002665B6"/>
    <w:rsid w:val="0026666A"/>
    <w:rsid w:val="00266AE0"/>
    <w:rsid w:val="00266DE1"/>
    <w:rsid w:val="00267184"/>
    <w:rsid w:val="00267214"/>
    <w:rsid w:val="00267323"/>
    <w:rsid w:val="00267368"/>
    <w:rsid w:val="00267397"/>
    <w:rsid w:val="0026763E"/>
    <w:rsid w:val="00267830"/>
    <w:rsid w:val="00267845"/>
    <w:rsid w:val="0026794B"/>
    <w:rsid w:val="00267A80"/>
    <w:rsid w:val="00267B59"/>
    <w:rsid w:val="00267B7B"/>
    <w:rsid w:val="00267BA9"/>
    <w:rsid w:val="00267C66"/>
    <w:rsid w:val="00267CCD"/>
    <w:rsid w:val="00267F2E"/>
    <w:rsid w:val="00267F56"/>
    <w:rsid w:val="0027024D"/>
    <w:rsid w:val="0027029E"/>
    <w:rsid w:val="00270514"/>
    <w:rsid w:val="0027061F"/>
    <w:rsid w:val="00270A4B"/>
    <w:rsid w:val="00270A57"/>
    <w:rsid w:val="00270AB0"/>
    <w:rsid w:val="00270B0E"/>
    <w:rsid w:val="00270F60"/>
    <w:rsid w:val="002711AB"/>
    <w:rsid w:val="002711DA"/>
    <w:rsid w:val="00271402"/>
    <w:rsid w:val="00271433"/>
    <w:rsid w:val="0027165F"/>
    <w:rsid w:val="002716DC"/>
    <w:rsid w:val="00271BC5"/>
    <w:rsid w:val="00271ED3"/>
    <w:rsid w:val="00271FD1"/>
    <w:rsid w:val="00272207"/>
    <w:rsid w:val="00272379"/>
    <w:rsid w:val="0027283B"/>
    <w:rsid w:val="00272A40"/>
    <w:rsid w:val="00272A9A"/>
    <w:rsid w:val="00272B26"/>
    <w:rsid w:val="00272BE5"/>
    <w:rsid w:val="00272CDD"/>
    <w:rsid w:val="00272CE2"/>
    <w:rsid w:val="00272DBF"/>
    <w:rsid w:val="00273135"/>
    <w:rsid w:val="00273178"/>
    <w:rsid w:val="00273A17"/>
    <w:rsid w:val="00273E33"/>
    <w:rsid w:val="00273FB3"/>
    <w:rsid w:val="002741D1"/>
    <w:rsid w:val="00274242"/>
    <w:rsid w:val="002742A8"/>
    <w:rsid w:val="0027433A"/>
    <w:rsid w:val="0027443A"/>
    <w:rsid w:val="00274540"/>
    <w:rsid w:val="002745A8"/>
    <w:rsid w:val="002747DF"/>
    <w:rsid w:val="00274868"/>
    <w:rsid w:val="00274919"/>
    <w:rsid w:val="00274B8A"/>
    <w:rsid w:val="00274C1D"/>
    <w:rsid w:val="00274CB6"/>
    <w:rsid w:val="00274D21"/>
    <w:rsid w:val="00274E40"/>
    <w:rsid w:val="00274F73"/>
    <w:rsid w:val="00275024"/>
    <w:rsid w:val="00275158"/>
    <w:rsid w:val="00275792"/>
    <w:rsid w:val="00275893"/>
    <w:rsid w:val="00275AC9"/>
    <w:rsid w:val="00275AD7"/>
    <w:rsid w:val="00275BDD"/>
    <w:rsid w:val="00275C53"/>
    <w:rsid w:val="00275D8A"/>
    <w:rsid w:val="002761B0"/>
    <w:rsid w:val="002763DC"/>
    <w:rsid w:val="002767AA"/>
    <w:rsid w:val="002769A7"/>
    <w:rsid w:val="00276A59"/>
    <w:rsid w:val="00276C8F"/>
    <w:rsid w:val="00276D9B"/>
    <w:rsid w:val="0027727E"/>
    <w:rsid w:val="00277596"/>
    <w:rsid w:val="002779C0"/>
    <w:rsid w:val="00277B86"/>
    <w:rsid w:val="00277BAC"/>
    <w:rsid w:val="00277E76"/>
    <w:rsid w:val="002801A8"/>
    <w:rsid w:val="002802B6"/>
    <w:rsid w:val="00280464"/>
    <w:rsid w:val="00280615"/>
    <w:rsid w:val="0028067B"/>
    <w:rsid w:val="002806DE"/>
    <w:rsid w:val="0028075E"/>
    <w:rsid w:val="002808E6"/>
    <w:rsid w:val="002809FA"/>
    <w:rsid w:val="002810AA"/>
    <w:rsid w:val="00281133"/>
    <w:rsid w:val="0028113E"/>
    <w:rsid w:val="0028116B"/>
    <w:rsid w:val="0028118F"/>
    <w:rsid w:val="0028132D"/>
    <w:rsid w:val="0028181F"/>
    <w:rsid w:val="00281874"/>
    <w:rsid w:val="00281FF1"/>
    <w:rsid w:val="00282042"/>
    <w:rsid w:val="00282152"/>
    <w:rsid w:val="00282310"/>
    <w:rsid w:val="002827ED"/>
    <w:rsid w:val="00282A55"/>
    <w:rsid w:val="00282D53"/>
    <w:rsid w:val="00282DD2"/>
    <w:rsid w:val="00282E55"/>
    <w:rsid w:val="00282F76"/>
    <w:rsid w:val="00283284"/>
    <w:rsid w:val="002833D6"/>
    <w:rsid w:val="00283E1B"/>
    <w:rsid w:val="00283E29"/>
    <w:rsid w:val="00283E3E"/>
    <w:rsid w:val="002841DD"/>
    <w:rsid w:val="00284363"/>
    <w:rsid w:val="002843B3"/>
    <w:rsid w:val="002844AE"/>
    <w:rsid w:val="002844F5"/>
    <w:rsid w:val="00284823"/>
    <w:rsid w:val="0028491F"/>
    <w:rsid w:val="00284A7A"/>
    <w:rsid w:val="00284BE6"/>
    <w:rsid w:val="00284CC2"/>
    <w:rsid w:val="00284DA6"/>
    <w:rsid w:val="00284E7E"/>
    <w:rsid w:val="00284FB7"/>
    <w:rsid w:val="002852D3"/>
    <w:rsid w:val="00285742"/>
    <w:rsid w:val="0028580C"/>
    <w:rsid w:val="00285995"/>
    <w:rsid w:val="002859C3"/>
    <w:rsid w:val="002859CA"/>
    <w:rsid w:val="00285A24"/>
    <w:rsid w:val="00285E54"/>
    <w:rsid w:val="00285EA3"/>
    <w:rsid w:val="002860C8"/>
    <w:rsid w:val="002861A0"/>
    <w:rsid w:val="00286255"/>
    <w:rsid w:val="00286303"/>
    <w:rsid w:val="0028640C"/>
    <w:rsid w:val="002868FF"/>
    <w:rsid w:val="00286AEE"/>
    <w:rsid w:val="00286B01"/>
    <w:rsid w:val="00286C50"/>
    <w:rsid w:val="00286C97"/>
    <w:rsid w:val="00286EB9"/>
    <w:rsid w:val="00286F7B"/>
    <w:rsid w:val="0028700E"/>
    <w:rsid w:val="002874BB"/>
    <w:rsid w:val="00287557"/>
    <w:rsid w:val="002875E6"/>
    <w:rsid w:val="002876BC"/>
    <w:rsid w:val="0028799D"/>
    <w:rsid w:val="00287A85"/>
    <w:rsid w:val="00287B5E"/>
    <w:rsid w:val="00287BB7"/>
    <w:rsid w:val="00287D3B"/>
    <w:rsid w:val="00287D61"/>
    <w:rsid w:val="00287DFA"/>
    <w:rsid w:val="00287E42"/>
    <w:rsid w:val="00287EBB"/>
    <w:rsid w:val="00287EEE"/>
    <w:rsid w:val="00287FED"/>
    <w:rsid w:val="002901A5"/>
    <w:rsid w:val="00290236"/>
    <w:rsid w:val="00290331"/>
    <w:rsid w:val="002903D0"/>
    <w:rsid w:val="00290425"/>
    <w:rsid w:val="00290605"/>
    <w:rsid w:val="002908C9"/>
    <w:rsid w:val="00290A42"/>
    <w:rsid w:val="00291108"/>
    <w:rsid w:val="0029115A"/>
    <w:rsid w:val="00291219"/>
    <w:rsid w:val="00291294"/>
    <w:rsid w:val="002913AB"/>
    <w:rsid w:val="00291564"/>
    <w:rsid w:val="0029171D"/>
    <w:rsid w:val="00291AA9"/>
    <w:rsid w:val="00291F3E"/>
    <w:rsid w:val="0029209C"/>
    <w:rsid w:val="002920E6"/>
    <w:rsid w:val="002921E7"/>
    <w:rsid w:val="00292364"/>
    <w:rsid w:val="002925F5"/>
    <w:rsid w:val="00292696"/>
    <w:rsid w:val="002926EE"/>
    <w:rsid w:val="0029274E"/>
    <w:rsid w:val="002929DC"/>
    <w:rsid w:val="00292B62"/>
    <w:rsid w:val="00292B65"/>
    <w:rsid w:val="00292BAE"/>
    <w:rsid w:val="00292C72"/>
    <w:rsid w:val="00292CAA"/>
    <w:rsid w:val="00292D0E"/>
    <w:rsid w:val="00292EC5"/>
    <w:rsid w:val="00293009"/>
    <w:rsid w:val="00293151"/>
    <w:rsid w:val="002932C1"/>
    <w:rsid w:val="002934A8"/>
    <w:rsid w:val="002936EB"/>
    <w:rsid w:val="0029388F"/>
    <w:rsid w:val="002939AB"/>
    <w:rsid w:val="00293E9C"/>
    <w:rsid w:val="00293EFD"/>
    <w:rsid w:val="00293FC5"/>
    <w:rsid w:val="0029435F"/>
    <w:rsid w:val="002944CB"/>
    <w:rsid w:val="002947A7"/>
    <w:rsid w:val="00294933"/>
    <w:rsid w:val="00294A63"/>
    <w:rsid w:val="00294A8F"/>
    <w:rsid w:val="00294AC7"/>
    <w:rsid w:val="00294B53"/>
    <w:rsid w:val="00294C38"/>
    <w:rsid w:val="00294C9C"/>
    <w:rsid w:val="00294CF1"/>
    <w:rsid w:val="00294D8F"/>
    <w:rsid w:val="00294E0B"/>
    <w:rsid w:val="00294F5C"/>
    <w:rsid w:val="00295101"/>
    <w:rsid w:val="00295120"/>
    <w:rsid w:val="002951E5"/>
    <w:rsid w:val="00295589"/>
    <w:rsid w:val="002955DF"/>
    <w:rsid w:val="0029565C"/>
    <w:rsid w:val="00295725"/>
    <w:rsid w:val="002958AA"/>
    <w:rsid w:val="002958CF"/>
    <w:rsid w:val="0029592F"/>
    <w:rsid w:val="00295960"/>
    <w:rsid w:val="002959BE"/>
    <w:rsid w:val="00295B3E"/>
    <w:rsid w:val="00295C5D"/>
    <w:rsid w:val="00295C72"/>
    <w:rsid w:val="00295E2C"/>
    <w:rsid w:val="00296007"/>
    <w:rsid w:val="00296096"/>
    <w:rsid w:val="00296383"/>
    <w:rsid w:val="00296A62"/>
    <w:rsid w:val="00296EB0"/>
    <w:rsid w:val="00296FB6"/>
    <w:rsid w:val="0029708E"/>
    <w:rsid w:val="002971F0"/>
    <w:rsid w:val="0029732B"/>
    <w:rsid w:val="00297345"/>
    <w:rsid w:val="00297838"/>
    <w:rsid w:val="0029795C"/>
    <w:rsid w:val="00297B58"/>
    <w:rsid w:val="00297C52"/>
    <w:rsid w:val="00297C7A"/>
    <w:rsid w:val="00297E3A"/>
    <w:rsid w:val="00297E63"/>
    <w:rsid w:val="00297EA6"/>
    <w:rsid w:val="00297EF7"/>
    <w:rsid w:val="00297EFF"/>
    <w:rsid w:val="0029A827"/>
    <w:rsid w:val="002A02C4"/>
    <w:rsid w:val="002A0326"/>
    <w:rsid w:val="002A03BB"/>
    <w:rsid w:val="002A04F3"/>
    <w:rsid w:val="002A0621"/>
    <w:rsid w:val="002A0749"/>
    <w:rsid w:val="002A0972"/>
    <w:rsid w:val="002A09BE"/>
    <w:rsid w:val="002A09E6"/>
    <w:rsid w:val="002A0B82"/>
    <w:rsid w:val="002A0BEB"/>
    <w:rsid w:val="002A0CFE"/>
    <w:rsid w:val="002A0E49"/>
    <w:rsid w:val="002A0E73"/>
    <w:rsid w:val="002A1051"/>
    <w:rsid w:val="002A1239"/>
    <w:rsid w:val="002A12F2"/>
    <w:rsid w:val="002A134D"/>
    <w:rsid w:val="002A13E4"/>
    <w:rsid w:val="002A1696"/>
    <w:rsid w:val="002A1758"/>
    <w:rsid w:val="002A17E7"/>
    <w:rsid w:val="002A1821"/>
    <w:rsid w:val="002A1AAF"/>
    <w:rsid w:val="002A1CB9"/>
    <w:rsid w:val="002A1E96"/>
    <w:rsid w:val="002A1FAF"/>
    <w:rsid w:val="002A2094"/>
    <w:rsid w:val="002A210F"/>
    <w:rsid w:val="002A2138"/>
    <w:rsid w:val="002A213F"/>
    <w:rsid w:val="002A21FE"/>
    <w:rsid w:val="002A22A2"/>
    <w:rsid w:val="002A22F5"/>
    <w:rsid w:val="002A2327"/>
    <w:rsid w:val="002A242E"/>
    <w:rsid w:val="002A2513"/>
    <w:rsid w:val="002A265C"/>
    <w:rsid w:val="002A26ED"/>
    <w:rsid w:val="002A291F"/>
    <w:rsid w:val="002A2B65"/>
    <w:rsid w:val="002A2C6F"/>
    <w:rsid w:val="002A2DCB"/>
    <w:rsid w:val="002A2E5F"/>
    <w:rsid w:val="002A2F89"/>
    <w:rsid w:val="002A3180"/>
    <w:rsid w:val="002A3458"/>
    <w:rsid w:val="002A3514"/>
    <w:rsid w:val="002A353D"/>
    <w:rsid w:val="002A38D7"/>
    <w:rsid w:val="002A3D1A"/>
    <w:rsid w:val="002A3DA9"/>
    <w:rsid w:val="002A3DCE"/>
    <w:rsid w:val="002A3E0E"/>
    <w:rsid w:val="002A40B3"/>
    <w:rsid w:val="002A45E0"/>
    <w:rsid w:val="002A465F"/>
    <w:rsid w:val="002A46ED"/>
    <w:rsid w:val="002A4802"/>
    <w:rsid w:val="002A4936"/>
    <w:rsid w:val="002A4A32"/>
    <w:rsid w:val="002A4BEF"/>
    <w:rsid w:val="002A4BF8"/>
    <w:rsid w:val="002A4EB2"/>
    <w:rsid w:val="002A4FAC"/>
    <w:rsid w:val="002A4FAF"/>
    <w:rsid w:val="002A5008"/>
    <w:rsid w:val="002A5180"/>
    <w:rsid w:val="002A5330"/>
    <w:rsid w:val="002A5725"/>
    <w:rsid w:val="002A59E8"/>
    <w:rsid w:val="002A5B4D"/>
    <w:rsid w:val="002A5C8B"/>
    <w:rsid w:val="002A5DA9"/>
    <w:rsid w:val="002A624D"/>
    <w:rsid w:val="002A6397"/>
    <w:rsid w:val="002A6438"/>
    <w:rsid w:val="002A64B5"/>
    <w:rsid w:val="002A685C"/>
    <w:rsid w:val="002A6908"/>
    <w:rsid w:val="002A6A30"/>
    <w:rsid w:val="002A76DE"/>
    <w:rsid w:val="002A77A3"/>
    <w:rsid w:val="002A7ADE"/>
    <w:rsid w:val="002A7BF6"/>
    <w:rsid w:val="002A7CC4"/>
    <w:rsid w:val="002A7E11"/>
    <w:rsid w:val="002B021B"/>
    <w:rsid w:val="002B035A"/>
    <w:rsid w:val="002B0506"/>
    <w:rsid w:val="002B05B0"/>
    <w:rsid w:val="002B06F1"/>
    <w:rsid w:val="002B07F0"/>
    <w:rsid w:val="002B07F2"/>
    <w:rsid w:val="002B08C5"/>
    <w:rsid w:val="002B0B19"/>
    <w:rsid w:val="002B0B5D"/>
    <w:rsid w:val="002B0DB2"/>
    <w:rsid w:val="002B0F4B"/>
    <w:rsid w:val="002B11A6"/>
    <w:rsid w:val="002B14F8"/>
    <w:rsid w:val="002B1642"/>
    <w:rsid w:val="002B183C"/>
    <w:rsid w:val="002B188C"/>
    <w:rsid w:val="002B1A7E"/>
    <w:rsid w:val="002B1C8F"/>
    <w:rsid w:val="002B1F6F"/>
    <w:rsid w:val="002B20B2"/>
    <w:rsid w:val="002B20D1"/>
    <w:rsid w:val="002B214E"/>
    <w:rsid w:val="002B2272"/>
    <w:rsid w:val="002B2489"/>
    <w:rsid w:val="002B27FD"/>
    <w:rsid w:val="002B286B"/>
    <w:rsid w:val="002B2A48"/>
    <w:rsid w:val="002B2CD1"/>
    <w:rsid w:val="002B2CEF"/>
    <w:rsid w:val="002B2DF9"/>
    <w:rsid w:val="002B2EC7"/>
    <w:rsid w:val="002B2EF6"/>
    <w:rsid w:val="002B3108"/>
    <w:rsid w:val="002B338F"/>
    <w:rsid w:val="002B34BC"/>
    <w:rsid w:val="002B357C"/>
    <w:rsid w:val="002B3581"/>
    <w:rsid w:val="002B35EE"/>
    <w:rsid w:val="002B39D1"/>
    <w:rsid w:val="002B3B29"/>
    <w:rsid w:val="002B3CA2"/>
    <w:rsid w:val="002B3D60"/>
    <w:rsid w:val="002B3E3A"/>
    <w:rsid w:val="002B3E99"/>
    <w:rsid w:val="002B3EDE"/>
    <w:rsid w:val="002B415F"/>
    <w:rsid w:val="002B4286"/>
    <w:rsid w:val="002B44C2"/>
    <w:rsid w:val="002B4529"/>
    <w:rsid w:val="002B46E9"/>
    <w:rsid w:val="002B4749"/>
    <w:rsid w:val="002B479E"/>
    <w:rsid w:val="002B49C4"/>
    <w:rsid w:val="002B4F14"/>
    <w:rsid w:val="002B5261"/>
    <w:rsid w:val="002B5467"/>
    <w:rsid w:val="002B5946"/>
    <w:rsid w:val="002B5A9C"/>
    <w:rsid w:val="002B5AC9"/>
    <w:rsid w:val="002B5C3A"/>
    <w:rsid w:val="002B5D3C"/>
    <w:rsid w:val="002B5F21"/>
    <w:rsid w:val="002B5F4F"/>
    <w:rsid w:val="002B611B"/>
    <w:rsid w:val="002B620F"/>
    <w:rsid w:val="002B6263"/>
    <w:rsid w:val="002B6B8B"/>
    <w:rsid w:val="002B6E3B"/>
    <w:rsid w:val="002B6F4E"/>
    <w:rsid w:val="002B6F68"/>
    <w:rsid w:val="002B6FB0"/>
    <w:rsid w:val="002B6FF3"/>
    <w:rsid w:val="002B701D"/>
    <w:rsid w:val="002B7441"/>
    <w:rsid w:val="002B747B"/>
    <w:rsid w:val="002B74B0"/>
    <w:rsid w:val="002B7555"/>
    <w:rsid w:val="002B762E"/>
    <w:rsid w:val="002B776A"/>
    <w:rsid w:val="002B77A1"/>
    <w:rsid w:val="002B77AC"/>
    <w:rsid w:val="002B782E"/>
    <w:rsid w:val="002B787F"/>
    <w:rsid w:val="002B7FDF"/>
    <w:rsid w:val="002C00F7"/>
    <w:rsid w:val="002C013F"/>
    <w:rsid w:val="002C04F4"/>
    <w:rsid w:val="002C0740"/>
    <w:rsid w:val="002C0761"/>
    <w:rsid w:val="002C0768"/>
    <w:rsid w:val="002C07CB"/>
    <w:rsid w:val="002C0825"/>
    <w:rsid w:val="002C0A99"/>
    <w:rsid w:val="002C0BFA"/>
    <w:rsid w:val="002C0F27"/>
    <w:rsid w:val="002C0F73"/>
    <w:rsid w:val="002C0FB2"/>
    <w:rsid w:val="002C1367"/>
    <w:rsid w:val="002C17CB"/>
    <w:rsid w:val="002C1A9D"/>
    <w:rsid w:val="002C1C7A"/>
    <w:rsid w:val="002C1EA8"/>
    <w:rsid w:val="002C1FBC"/>
    <w:rsid w:val="002C217B"/>
    <w:rsid w:val="002C2603"/>
    <w:rsid w:val="002C2774"/>
    <w:rsid w:val="002C29EA"/>
    <w:rsid w:val="002C2C8C"/>
    <w:rsid w:val="002C2CD3"/>
    <w:rsid w:val="002C2CF2"/>
    <w:rsid w:val="002C2D46"/>
    <w:rsid w:val="002C2F17"/>
    <w:rsid w:val="002C31C5"/>
    <w:rsid w:val="002C3463"/>
    <w:rsid w:val="002C348B"/>
    <w:rsid w:val="002C3603"/>
    <w:rsid w:val="002C37E6"/>
    <w:rsid w:val="002C3908"/>
    <w:rsid w:val="002C3943"/>
    <w:rsid w:val="002C396D"/>
    <w:rsid w:val="002C3B5D"/>
    <w:rsid w:val="002C3E60"/>
    <w:rsid w:val="002C41AD"/>
    <w:rsid w:val="002C434F"/>
    <w:rsid w:val="002C43CA"/>
    <w:rsid w:val="002C4591"/>
    <w:rsid w:val="002C469A"/>
    <w:rsid w:val="002C48BB"/>
    <w:rsid w:val="002C4A4B"/>
    <w:rsid w:val="002C4BEF"/>
    <w:rsid w:val="002C4CD5"/>
    <w:rsid w:val="002C4F82"/>
    <w:rsid w:val="002C511E"/>
    <w:rsid w:val="002C54A8"/>
    <w:rsid w:val="002C5626"/>
    <w:rsid w:val="002C5946"/>
    <w:rsid w:val="002C598F"/>
    <w:rsid w:val="002C5B32"/>
    <w:rsid w:val="002C5C13"/>
    <w:rsid w:val="002C5D72"/>
    <w:rsid w:val="002C5F2F"/>
    <w:rsid w:val="002C6050"/>
    <w:rsid w:val="002C63B5"/>
    <w:rsid w:val="002C655A"/>
    <w:rsid w:val="002C6688"/>
    <w:rsid w:val="002C6692"/>
    <w:rsid w:val="002C6712"/>
    <w:rsid w:val="002C6773"/>
    <w:rsid w:val="002C68D8"/>
    <w:rsid w:val="002C6CB6"/>
    <w:rsid w:val="002C6FC2"/>
    <w:rsid w:val="002C7016"/>
    <w:rsid w:val="002C72F7"/>
    <w:rsid w:val="002C7507"/>
    <w:rsid w:val="002C76AC"/>
    <w:rsid w:val="002C778C"/>
    <w:rsid w:val="002C7972"/>
    <w:rsid w:val="002C79DF"/>
    <w:rsid w:val="002C7AEC"/>
    <w:rsid w:val="002C7C56"/>
    <w:rsid w:val="002C7CC8"/>
    <w:rsid w:val="002C7CDD"/>
    <w:rsid w:val="002C7D97"/>
    <w:rsid w:val="002D004F"/>
    <w:rsid w:val="002D0342"/>
    <w:rsid w:val="002D03AD"/>
    <w:rsid w:val="002D072A"/>
    <w:rsid w:val="002D0B39"/>
    <w:rsid w:val="002D11F6"/>
    <w:rsid w:val="002D11FC"/>
    <w:rsid w:val="002D1349"/>
    <w:rsid w:val="002D1459"/>
    <w:rsid w:val="002D18DD"/>
    <w:rsid w:val="002D1B42"/>
    <w:rsid w:val="002D1B4D"/>
    <w:rsid w:val="002D1E5D"/>
    <w:rsid w:val="002D1F9C"/>
    <w:rsid w:val="002D20A2"/>
    <w:rsid w:val="002D2153"/>
    <w:rsid w:val="002D22F1"/>
    <w:rsid w:val="002D2514"/>
    <w:rsid w:val="002D267A"/>
    <w:rsid w:val="002D27CA"/>
    <w:rsid w:val="002D2866"/>
    <w:rsid w:val="002D2ACE"/>
    <w:rsid w:val="002D2B28"/>
    <w:rsid w:val="002D2B2C"/>
    <w:rsid w:val="002D2BB0"/>
    <w:rsid w:val="002D2CBB"/>
    <w:rsid w:val="002D2E1E"/>
    <w:rsid w:val="002D3244"/>
    <w:rsid w:val="002D326E"/>
    <w:rsid w:val="002D33C2"/>
    <w:rsid w:val="002D3656"/>
    <w:rsid w:val="002D3780"/>
    <w:rsid w:val="002D37BC"/>
    <w:rsid w:val="002D382F"/>
    <w:rsid w:val="002D3AF1"/>
    <w:rsid w:val="002D3B15"/>
    <w:rsid w:val="002D3EF1"/>
    <w:rsid w:val="002D3FE5"/>
    <w:rsid w:val="002D3FEE"/>
    <w:rsid w:val="002D406D"/>
    <w:rsid w:val="002D4175"/>
    <w:rsid w:val="002D43A5"/>
    <w:rsid w:val="002D4560"/>
    <w:rsid w:val="002D4825"/>
    <w:rsid w:val="002D48E8"/>
    <w:rsid w:val="002D4912"/>
    <w:rsid w:val="002D4A46"/>
    <w:rsid w:val="002D4C1A"/>
    <w:rsid w:val="002D4F47"/>
    <w:rsid w:val="002D5060"/>
    <w:rsid w:val="002D511C"/>
    <w:rsid w:val="002D556D"/>
    <w:rsid w:val="002D58B3"/>
    <w:rsid w:val="002D596D"/>
    <w:rsid w:val="002D5BAB"/>
    <w:rsid w:val="002D5EC9"/>
    <w:rsid w:val="002D5ED5"/>
    <w:rsid w:val="002D60DB"/>
    <w:rsid w:val="002D6154"/>
    <w:rsid w:val="002D61D2"/>
    <w:rsid w:val="002D6206"/>
    <w:rsid w:val="002D6277"/>
    <w:rsid w:val="002D64FE"/>
    <w:rsid w:val="002D66A1"/>
    <w:rsid w:val="002D67D8"/>
    <w:rsid w:val="002D6933"/>
    <w:rsid w:val="002D69BF"/>
    <w:rsid w:val="002D6A06"/>
    <w:rsid w:val="002D6A67"/>
    <w:rsid w:val="002D6B03"/>
    <w:rsid w:val="002D6C4C"/>
    <w:rsid w:val="002D6D86"/>
    <w:rsid w:val="002D6DFA"/>
    <w:rsid w:val="002D6FB0"/>
    <w:rsid w:val="002D706C"/>
    <w:rsid w:val="002D72FD"/>
    <w:rsid w:val="002D76C4"/>
    <w:rsid w:val="002D77F9"/>
    <w:rsid w:val="002E0207"/>
    <w:rsid w:val="002E0476"/>
    <w:rsid w:val="002E0483"/>
    <w:rsid w:val="002E07B3"/>
    <w:rsid w:val="002E0AC2"/>
    <w:rsid w:val="002E0BD3"/>
    <w:rsid w:val="002E0D7B"/>
    <w:rsid w:val="002E0DF6"/>
    <w:rsid w:val="002E0EAE"/>
    <w:rsid w:val="002E10D3"/>
    <w:rsid w:val="002E1104"/>
    <w:rsid w:val="002E126A"/>
    <w:rsid w:val="002E1295"/>
    <w:rsid w:val="002E1468"/>
    <w:rsid w:val="002E15AA"/>
    <w:rsid w:val="002E1891"/>
    <w:rsid w:val="002E1940"/>
    <w:rsid w:val="002E1AE7"/>
    <w:rsid w:val="002E1C6A"/>
    <w:rsid w:val="002E1E06"/>
    <w:rsid w:val="002E1E9C"/>
    <w:rsid w:val="002E1FC6"/>
    <w:rsid w:val="002E2123"/>
    <w:rsid w:val="002E2157"/>
    <w:rsid w:val="002E21C0"/>
    <w:rsid w:val="002E2256"/>
    <w:rsid w:val="002E2304"/>
    <w:rsid w:val="002E238E"/>
    <w:rsid w:val="002E27C5"/>
    <w:rsid w:val="002E291B"/>
    <w:rsid w:val="002E2AA4"/>
    <w:rsid w:val="002E2D32"/>
    <w:rsid w:val="002E30F7"/>
    <w:rsid w:val="002E321E"/>
    <w:rsid w:val="002E3542"/>
    <w:rsid w:val="002E3729"/>
    <w:rsid w:val="002E3876"/>
    <w:rsid w:val="002E396A"/>
    <w:rsid w:val="002E39D9"/>
    <w:rsid w:val="002E3A79"/>
    <w:rsid w:val="002E3AAD"/>
    <w:rsid w:val="002E3B58"/>
    <w:rsid w:val="002E3C22"/>
    <w:rsid w:val="002E3CBB"/>
    <w:rsid w:val="002E3D36"/>
    <w:rsid w:val="002E3D4D"/>
    <w:rsid w:val="002E3E95"/>
    <w:rsid w:val="002E3FD5"/>
    <w:rsid w:val="002E43E8"/>
    <w:rsid w:val="002E450F"/>
    <w:rsid w:val="002E4550"/>
    <w:rsid w:val="002E455A"/>
    <w:rsid w:val="002E4957"/>
    <w:rsid w:val="002E496C"/>
    <w:rsid w:val="002E4A6D"/>
    <w:rsid w:val="002E4B66"/>
    <w:rsid w:val="002E4F6F"/>
    <w:rsid w:val="002E5071"/>
    <w:rsid w:val="002E51AE"/>
    <w:rsid w:val="002E51BB"/>
    <w:rsid w:val="002E5400"/>
    <w:rsid w:val="002E5432"/>
    <w:rsid w:val="002E5648"/>
    <w:rsid w:val="002E5B5B"/>
    <w:rsid w:val="002E5CBC"/>
    <w:rsid w:val="002E5DD9"/>
    <w:rsid w:val="002E5F35"/>
    <w:rsid w:val="002E60C2"/>
    <w:rsid w:val="002E6110"/>
    <w:rsid w:val="002E6176"/>
    <w:rsid w:val="002E6180"/>
    <w:rsid w:val="002E6379"/>
    <w:rsid w:val="002E6415"/>
    <w:rsid w:val="002E643C"/>
    <w:rsid w:val="002E6509"/>
    <w:rsid w:val="002E6533"/>
    <w:rsid w:val="002E66B6"/>
    <w:rsid w:val="002E670D"/>
    <w:rsid w:val="002E6922"/>
    <w:rsid w:val="002E6D82"/>
    <w:rsid w:val="002E6DAA"/>
    <w:rsid w:val="002E6DD9"/>
    <w:rsid w:val="002E77E2"/>
    <w:rsid w:val="002E7815"/>
    <w:rsid w:val="002E7A18"/>
    <w:rsid w:val="002E7B39"/>
    <w:rsid w:val="002E7CE7"/>
    <w:rsid w:val="002E7DA2"/>
    <w:rsid w:val="002E7FF5"/>
    <w:rsid w:val="002F0043"/>
    <w:rsid w:val="002F02EC"/>
    <w:rsid w:val="002F0963"/>
    <w:rsid w:val="002F09B6"/>
    <w:rsid w:val="002F0B09"/>
    <w:rsid w:val="002F0E39"/>
    <w:rsid w:val="002F0E94"/>
    <w:rsid w:val="002F13ED"/>
    <w:rsid w:val="002F1699"/>
    <w:rsid w:val="002F17E6"/>
    <w:rsid w:val="002F1818"/>
    <w:rsid w:val="002F1893"/>
    <w:rsid w:val="002F196B"/>
    <w:rsid w:val="002F19E9"/>
    <w:rsid w:val="002F1B00"/>
    <w:rsid w:val="002F1C03"/>
    <w:rsid w:val="002F1E07"/>
    <w:rsid w:val="002F1E8D"/>
    <w:rsid w:val="002F2179"/>
    <w:rsid w:val="002F2181"/>
    <w:rsid w:val="002F226B"/>
    <w:rsid w:val="002F272A"/>
    <w:rsid w:val="002F2748"/>
    <w:rsid w:val="002F27C9"/>
    <w:rsid w:val="002F28BB"/>
    <w:rsid w:val="002F28E4"/>
    <w:rsid w:val="002F2C98"/>
    <w:rsid w:val="002F2D4C"/>
    <w:rsid w:val="002F2DF7"/>
    <w:rsid w:val="002F3464"/>
    <w:rsid w:val="002F352A"/>
    <w:rsid w:val="002F381C"/>
    <w:rsid w:val="002F3B82"/>
    <w:rsid w:val="002F3D22"/>
    <w:rsid w:val="002F3DA1"/>
    <w:rsid w:val="002F3E15"/>
    <w:rsid w:val="002F3EC8"/>
    <w:rsid w:val="002F422E"/>
    <w:rsid w:val="002F42B6"/>
    <w:rsid w:val="002F430A"/>
    <w:rsid w:val="002F43D7"/>
    <w:rsid w:val="002F44E9"/>
    <w:rsid w:val="002F45E6"/>
    <w:rsid w:val="002F466F"/>
    <w:rsid w:val="002F4BF9"/>
    <w:rsid w:val="002F4C07"/>
    <w:rsid w:val="002F4E8D"/>
    <w:rsid w:val="002F4FF1"/>
    <w:rsid w:val="002F5282"/>
    <w:rsid w:val="002F52D5"/>
    <w:rsid w:val="002F53B2"/>
    <w:rsid w:val="002F53F0"/>
    <w:rsid w:val="002F5605"/>
    <w:rsid w:val="002F5635"/>
    <w:rsid w:val="002F582D"/>
    <w:rsid w:val="002F5855"/>
    <w:rsid w:val="002F5A20"/>
    <w:rsid w:val="002F5CC0"/>
    <w:rsid w:val="002F5E66"/>
    <w:rsid w:val="002F5F86"/>
    <w:rsid w:val="002F6120"/>
    <w:rsid w:val="002F6135"/>
    <w:rsid w:val="002F6246"/>
    <w:rsid w:val="002F6272"/>
    <w:rsid w:val="002F62E5"/>
    <w:rsid w:val="002F6575"/>
    <w:rsid w:val="002F66DE"/>
    <w:rsid w:val="002F6A7A"/>
    <w:rsid w:val="002F6B60"/>
    <w:rsid w:val="002F6FAD"/>
    <w:rsid w:val="002F7018"/>
    <w:rsid w:val="002F7049"/>
    <w:rsid w:val="002F7263"/>
    <w:rsid w:val="002F7332"/>
    <w:rsid w:val="002F7605"/>
    <w:rsid w:val="002F78E5"/>
    <w:rsid w:val="002F7C40"/>
    <w:rsid w:val="002F7CA3"/>
    <w:rsid w:val="002F7CDA"/>
    <w:rsid w:val="002F7DD6"/>
    <w:rsid w:val="00300571"/>
    <w:rsid w:val="003005B0"/>
    <w:rsid w:val="00300627"/>
    <w:rsid w:val="0030076F"/>
    <w:rsid w:val="003009AB"/>
    <w:rsid w:val="00300A90"/>
    <w:rsid w:val="00300CF2"/>
    <w:rsid w:val="00301024"/>
    <w:rsid w:val="00301214"/>
    <w:rsid w:val="0030142D"/>
    <w:rsid w:val="003014B5"/>
    <w:rsid w:val="003014D6"/>
    <w:rsid w:val="00301A88"/>
    <w:rsid w:val="003021CF"/>
    <w:rsid w:val="003025A6"/>
    <w:rsid w:val="00302936"/>
    <w:rsid w:val="0030299A"/>
    <w:rsid w:val="00302C8B"/>
    <w:rsid w:val="00302DED"/>
    <w:rsid w:val="00302E12"/>
    <w:rsid w:val="0030317E"/>
    <w:rsid w:val="003031E7"/>
    <w:rsid w:val="003032F4"/>
    <w:rsid w:val="003032FF"/>
    <w:rsid w:val="00303369"/>
    <w:rsid w:val="0030360A"/>
    <w:rsid w:val="00303A19"/>
    <w:rsid w:val="00303C20"/>
    <w:rsid w:val="00303F6F"/>
    <w:rsid w:val="00304002"/>
    <w:rsid w:val="003040AD"/>
    <w:rsid w:val="003042E3"/>
    <w:rsid w:val="00304379"/>
    <w:rsid w:val="003049E6"/>
    <w:rsid w:val="00304A90"/>
    <w:rsid w:val="00304B76"/>
    <w:rsid w:val="00304C45"/>
    <w:rsid w:val="00304D30"/>
    <w:rsid w:val="00304D72"/>
    <w:rsid w:val="00304DFB"/>
    <w:rsid w:val="00304E80"/>
    <w:rsid w:val="00304ECC"/>
    <w:rsid w:val="00304FBF"/>
    <w:rsid w:val="003050B4"/>
    <w:rsid w:val="00305138"/>
    <w:rsid w:val="00305166"/>
    <w:rsid w:val="00305298"/>
    <w:rsid w:val="00305349"/>
    <w:rsid w:val="003055F2"/>
    <w:rsid w:val="0030564C"/>
    <w:rsid w:val="00305690"/>
    <w:rsid w:val="00305721"/>
    <w:rsid w:val="003058EF"/>
    <w:rsid w:val="00305957"/>
    <w:rsid w:val="00305A67"/>
    <w:rsid w:val="00305A7F"/>
    <w:rsid w:val="003060E4"/>
    <w:rsid w:val="003062D3"/>
    <w:rsid w:val="00306302"/>
    <w:rsid w:val="00306309"/>
    <w:rsid w:val="003063F2"/>
    <w:rsid w:val="0030650A"/>
    <w:rsid w:val="00306731"/>
    <w:rsid w:val="00306998"/>
    <w:rsid w:val="00306AAC"/>
    <w:rsid w:val="00306BD6"/>
    <w:rsid w:val="00306C65"/>
    <w:rsid w:val="00306CAE"/>
    <w:rsid w:val="00306D61"/>
    <w:rsid w:val="00306D66"/>
    <w:rsid w:val="00306DD7"/>
    <w:rsid w:val="00307023"/>
    <w:rsid w:val="00307765"/>
    <w:rsid w:val="00307B98"/>
    <w:rsid w:val="00307BCA"/>
    <w:rsid w:val="00307C15"/>
    <w:rsid w:val="00307D1C"/>
    <w:rsid w:val="00307FEC"/>
    <w:rsid w:val="0031061E"/>
    <w:rsid w:val="00310680"/>
    <w:rsid w:val="00310706"/>
    <w:rsid w:val="0031080F"/>
    <w:rsid w:val="00310846"/>
    <w:rsid w:val="003108E5"/>
    <w:rsid w:val="00310922"/>
    <w:rsid w:val="00310BA4"/>
    <w:rsid w:val="00310BDB"/>
    <w:rsid w:val="00310CA7"/>
    <w:rsid w:val="00310E01"/>
    <w:rsid w:val="003111B0"/>
    <w:rsid w:val="003114AD"/>
    <w:rsid w:val="003114BF"/>
    <w:rsid w:val="0031150A"/>
    <w:rsid w:val="0031171B"/>
    <w:rsid w:val="003117BC"/>
    <w:rsid w:val="0031181C"/>
    <w:rsid w:val="00311879"/>
    <w:rsid w:val="00311A3A"/>
    <w:rsid w:val="00311A54"/>
    <w:rsid w:val="00311BF6"/>
    <w:rsid w:val="00311C2B"/>
    <w:rsid w:val="00311C47"/>
    <w:rsid w:val="00311CCA"/>
    <w:rsid w:val="00311D7C"/>
    <w:rsid w:val="00311DCC"/>
    <w:rsid w:val="00312015"/>
    <w:rsid w:val="00312085"/>
    <w:rsid w:val="003120AD"/>
    <w:rsid w:val="003120D9"/>
    <w:rsid w:val="003120E9"/>
    <w:rsid w:val="003121C6"/>
    <w:rsid w:val="00312222"/>
    <w:rsid w:val="00312299"/>
    <w:rsid w:val="00312454"/>
    <w:rsid w:val="00312607"/>
    <w:rsid w:val="003126B9"/>
    <w:rsid w:val="003127F3"/>
    <w:rsid w:val="00312A13"/>
    <w:rsid w:val="00312E38"/>
    <w:rsid w:val="00312EC2"/>
    <w:rsid w:val="00312F28"/>
    <w:rsid w:val="00312FB1"/>
    <w:rsid w:val="00313192"/>
    <w:rsid w:val="0031340D"/>
    <w:rsid w:val="00313B06"/>
    <w:rsid w:val="00313B74"/>
    <w:rsid w:val="00313B93"/>
    <w:rsid w:val="00313CC6"/>
    <w:rsid w:val="00313EB2"/>
    <w:rsid w:val="0031410F"/>
    <w:rsid w:val="00314262"/>
    <w:rsid w:val="003142FB"/>
    <w:rsid w:val="0031430C"/>
    <w:rsid w:val="0031449C"/>
    <w:rsid w:val="00314AC2"/>
    <w:rsid w:val="00314CAE"/>
    <w:rsid w:val="00314EA8"/>
    <w:rsid w:val="00314F74"/>
    <w:rsid w:val="003150E8"/>
    <w:rsid w:val="0031517B"/>
    <w:rsid w:val="00315326"/>
    <w:rsid w:val="003153CC"/>
    <w:rsid w:val="00315441"/>
    <w:rsid w:val="00315493"/>
    <w:rsid w:val="003158A4"/>
    <w:rsid w:val="00316030"/>
    <w:rsid w:val="00316181"/>
    <w:rsid w:val="0031624D"/>
    <w:rsid w:val="003162C0"/>
    <w:rsid w:val="00316471"/>
    <w:rsid w:val="00316641"/>
    <w:rsid w:val="003166AB"/>
    <w:rsid w:val="00316771"/>
    <w:rsid w:val="0031681B"/>
    <w:rsid w:val="00316928"/>
    <w:rsid w:val="00316B7E"/>
    <w:rsid w:val="00316B84"/>
    <w:rsid w:val="00316D5F"/>
    <w:rsid w:val="00317003"/>
    <w:rsid w:val="003172CD"/>
    <w:rsid w:val="0031731D"/>
    <w:rsid w:val="00317831"/>
    <w:rsid w:val="003178AA"/>
    <w:rsid w:val="003179AA"/>
    <w:rsid w:val="00317B30"/>
    <w:rsid w:val="00317FB0"/>
    <w:rsid w:val="0032007D"/>
    <w:rsid w:val="003203FD"/>
    <w:rsid w:val="003204FC"/>
    <w:rsid w:val="003208F1"/>
    <w:rsid w:val="00320BBE"/>
    <w:rsid w:val="00320C6F"/>
    <w:rsid w:val="00320C88"/>
    <w:rsid w:val="00320DAF"/>
    <w:rsid w:val="00320F02"/>
    <w:rsid w:val="00320F93"/>
    <w:rsid w:val="00321078"/>
    <w:rsid w:val="003210B9"/>
    <w:rsid w:val="003210C8"/>
    <w:rsid w:val="00321361"/>
    <w:rsid w:val="003219FD"/>
    <w:rsid w:val="00321B03"/>
    <w:rsid w:val="00321E87"/>
    <w:rsid w:val="00321FF4"/>
    <w:rsid w:val="00322015"/>
    <w:rsid w:val="0032201C"/>
    <w:rsid w:val="003221C6"/>
    <w:rsid w:val="0032233E"/>
    <w:rsid w:val="0032269D"/>
    <w:rsid w:val="00322732"/>
    <w:rsid w:val="003228CD"/>
    <w:rsid w:val="00322902"/>
    <w:rsid w:val="00322949"/>
    <w:rsid w:val="003229A3"/>
    <w:rsid w:val="003229DF"/>
    <w:rsid w:val="00322A01"/>
    <w:rsid w:val="00322A96"/>
    <w:rsid w:val="00322C80"/>
    <w:rsid w:val="00322D87"/>
    <w:rsid w:val="00322DC7"/>
    <w:rsid w:val="00322EBB"/>
    <w:rsid w:val="0032300B"/>
    <w:rsid w:val="0032307E"/>
    <w:rsid w:val="003230B0"/>
    <w:rsid w:val="003235BC"/>
    <w:rsid w:val="003236E2"/>
    <w:rsid w:val="00323867"/>
    <w:rsid w:val="003238A1"/>
    <w:rsid w:val="00323A98"/>
    <w:rsid w:val="00323D2B"/>
    <w:rsid w:val="00323DD9"/>
    <w:rsid w:val="0032402C"/>
    <w:rsid w:val="003243BB"/>
    <w:rsid w:val="003244DD"/>
    <w:rsid w:val="00324531"/>
    <w:rsid w:val="003246DE"/>
    <w:rsid w:val="0032470B"/>
    <w:rsid w:val="00324A03"/>
    <w:rsid w:val="00324A1E"/>
    <w:rsid w:val="00324C82"/>
    <w:rsid w:val="00324CC3"/>
    <w:rsid w:val="00324CF3"/>
    <w:rsid w:val="00324E7B"/>
    <w:rsid w:val="003250AC"/>
    <w:rsid w:val="003257FF"/>
    <w:rsid w:val="00325892"/>
    <w:rsid w:val="00325A81"/>
    <w:rsid w:val="00325AB2"/>
    <w:rsid w:val="00325B8F"/>
    <w:rsid w:val="00325C9B"/>
    <w:rsid w:val="00325E37"/>
    <w:rsid w:val="00325F28"/>
    <w:rsid w:val="00326083"/>
    <w:rsid w:val="00326199"/>
    <w:rsid w:val="003262EF"/>
    <w:rsid w:val="0032641B"/>
    <w:rsid w:val="003264D8"/>
    <w:rsid w:val="003265B6"/>
    <w:rsid w:val="0032667C"/>
    <w:rsid w:val="003266F9"/>
    <w:rsid w:val="00326A0C"/>
    <w:rsid w:val="00326C84"/>
    <w:rsid w:val="00326CC3"/>
    <w:rsid w:val="00326D96"/>
    <w:rsid w:val="00326E2D"/>
    <w:rsid w:val="00326ED4"/>
    <w:rsid w:val="00326F69"/>
    <w:rsid w:val="003271FA"/>
    <w:rsid w:val="0032728B"/>
    <w:rsid w:val="003273F5"/>
    <w:rsid w:val="00327509"/>
    <w:rsid w:val="00327699"/>
    <w:rsid w:val="003277E8"/>
    <w:rsid w:val="00327896"/>
    <w:rsid w:val="00327BC1"/>
    <w:rsid w:val="00327BD1"/>
    <w:rsid w:val="00327CA7"/>
    <w:rsid w:val="00327CD1"/>
    <w:rsid w:val="00327D3A"/>
    <w:rsid w:val="0033019D"/>
    <w:rsid w:val="003301B1"/>
    <w:rsid w:val="003303F7"/>
    <w:rsid w:val="003308AB"/>
    <w:rsid w:val="00330DA5"/>
    <w:rsid w:val="00330EE9"/>
    <w:rsid w:val="00330F1E"/>
    <w:rsid w:val="00330F88"/>
    <w:rsid w:val="00330FC7"/>
    <w:rsid w:val="003310BA"/>
    <w:rsid w:val="003317D3"/>
    <w:rsid w:val="00331809"/>
    <w:rsid w:val="00331860"/>
    <w:rsid w:val="0033188E"/>
    <w:rsid w:val="00331BFC"/>
    <w:rsid w:val="00331F93"/>
    <w:rsid w:val="0033285B"/>
    <w:rsid w:val="00332C4D"/>
    <w:rsid w:val="00332CAB"/>
    <w:rsid w:val="00332CD2"/>
    <w:rsid w:val="00332D6A"/>
    <w:rsid w:val="00332DBE"/>
    <w:rsid w:val="00332FA8"/>
    <w:rsid w:val="0033323F"/>
    <w:rsid w:val="00333597"/>
    <w:rsid w:val="003335CE"/>
    <w:rsid w:val="003336E4"/>
    <w:rsid w:val="00333712"/>
    <w:rsid w:val="00333773"/>
    <w:rsid w:val="003337F1"/>
    <w:rsid w:val="00333803"/>
    <w:rsid w:val="003338A9"/>
    <w:rsid w:val="00333BDF"/>
    <w:rsid w:val="00333CB3"/>
    <w:rsid w:val="00333CB5"/>
    <w:rsid w:val="00333D72"/>
    <w:rsid w:val="00333F12"/>
    <w:rsid w:val="00334055"/>
    <w:rsid w:val="003340B7"/>
    <w:rsid w:val="003341DC"/>
    <w:rsid w:val="0033420D"/>
    <w:rsid w:val="00334288"/>
    <w:rsid w:val="0033429F"/>
    <w:rsid w:val="003342BF"/>
    <w:rsid w:val="0033462A"/>
    <w:rsid w:val="003347E1"/>
    <w:rsid w:val="00334BFA"/>
    <w:rsid w:val="00334C3D"/>
    <w:rsid w:val="00334D12"/>
    <w:rsid w:val="00334EF5"/>
    <w:rsid w:val="00335260"/>
    <w:rsid w:val="00335356"/>
    <w:rsid w:val="003353CF"/>
    <w:rsid w:val="003358B6"/>
    <w:rsid w:val="003359DF"/>
    <w:rsid w:val="003359F4"/>
    <w:rsid w:val="003359F6"/>
    <w:rsid w:val="00335C37"/>
    <w:rsid w:val="00336215"/>
    <w:rsid w:val="0033621E"/>
    <w:rsid w:val="0033636D"/>
    <w:rsid w:val="003363AD"/>
    <w:rsid w:val="003366BC"/>
    <w:rsid w:val="003367C0"/>
    <w:rsid w:val="00336920"/>
    <w:rsid w:val="00336934"/>
    <w:rsid w:val="00336C03"/>
    <w:rsid w:val="00336C3A"/>
    <w:rsid w:val="00337070"/>
    <w:rsid w:val="003371A5"/>
    <w:rsid w:val="003372BD"/>
    <w:rsid w:val="003372D3"/>
    <w:rsid w:val="0033757A"/>
    <w:rsid w:val="00337967"/>
    <w:rsid w:val="00337A32"/>
    <w:rsid w:val="00337A82"/>
    <w:rsid w:val="00337BA2"/>
    <w:rsid w:val="00337C1A"/>
    <w:rsid w:val="00337E4C"/>
    <w:rsid w:val="00337E73"/>
    <w:rsid w:val="003402DB"/>
    <w:rsid w:val="003403A5"/>
    <w:rsid w:val="0034046F"/>
    <w:rsid w:val="00340708"/>
    <w:rsid w:val="0034071F"/>
    <w:rsid w:val="003408ED"/>
    <w:rsid w:val="0034091D"/>
    <w:rsid w:val="00340C06"/>
    <w:rsid w:val="00340D64"/>
    <w:rsid w:val="00340E85"/>
    <w:rsid w:val="00340E97"/>
    <w:rsid w:val="00341119"/>
    <w:rsid w:val="00341319"/>
    <w:rsid w:val="0034131A"/>
    <w:rsid w:val="00341357"/>
    <w:rsid w:val="0034177C"/>
    <w:rsid w:val="00341799"/>
    <w:rsid w:val="003419A6"/>
    <w:rsid w:val="003419CD"/>
    <w:rsid w:val="003419DA"/>
    <w:rsid w:val="00341B7B"/>
    <w:rsid w:val="00342147"/>
    <w:rsid w:val="00342267"/>
    <w:rsid w:val="003422C8"/>
    <w:rsid w:val="003423B2"/>
    <w:rsid w:val="0034271A"/>
    <w:rsid w:val="00342968"/>
    <w:rsid w:val="00342C1B"/>
    <w:rsid w:val="00342EF8"/>
    <w:rsid w:val="0034334E"/>
    <w:rsid w:val="00343366"/>
    <w:rsid w:val="00343404"/>
    <w:rsid w:val="0034346B"/>
    <w:rsid w:val="003435AC"/>
    <w:rsid w:val="003435CB"/>
    <w:rsid w:val="00343665"/>
    <w:rsid w:val="003436C2"/>
    <w:rsid w:val="003437FE"/>
    <w:rsid w:val="00343872"/>
    <w:rsid w:val="0034414F"/>
    <w:rsid w:val="00344241"/>
    <w:rsid w:val="00344289"/>
    <w:rsid w:val="003444BF"/>
    <w:rsid w:val="00344623"/>
    <w:rsid w:val="00344A11"/>
    <w:rsid w:val="00344A7F"/>
    <w:rsid w:val="00344D2F"/>
    <w:rsid w:val="00344F0F"/>
    <w:rsid w:val="00344FE0"/>
    <w:rsid w:val="00345037"/>
    <w:rsid w:val="00345121"/>
    <w:rsid w:val="003452F9"/>
    <w:rsid w:val="003453CC"/>
    <w:rsid w:val="00345487"/>
    <w:rsid w:val="003455FD"/>
    <w:rsid w:val="0034565B"/>
    <w:rsid w:val="0034593D"/>
    <w:rsid w:val="00345D06"/>
    <w:rsid w:val="00345DD7"/>
    <w:rsid w:val="00345DDD"/>
    <w:rsid w:val="00345EC8"/>
    <w:rsid w:val="00346194"/>
    <w:rsid w:val="0034622E"/>
    <w:rsid w:val="00346358"/>
    <w:rsid w:val="0034643F"/>
    <w:rsid w:val="00346483"/>
    <w:rsid w:val="00346492"/>
    <w:rsid w:val="003467E4"/>
    <w:rsid w:val="003468CE"/>
    <w:rsid w:val="00346A04"/>
    <w:rsid w:val="00346AE4"/>
    <w:rsid w:val="00346BBA"/>
    <w:rsid w:val="00346C88"/>
    <w:rsid w:val="00346D7E"/>
    <w:rsid w:val="00346E0B"/>
    <w:rsid w:val="00346F23"/>
    <w:rsid w:val="00347091"/>
    <w:rsid w:val="00347177"/>
    <w:rsid w:val="003471F9"/>
    <w:rsid w:val="0034741F"/>
    <w:rsid w:val="0034744F"/>
    <w:rsid w:val="003476E7"/>
    <w:rsid w:val="00347CCD"/>
    <w:rsid w:val="00347DDC"/>
    <w:rsid w:val="00347DED"/>
    <w:rsid w:val="003492BE"/>
    <w:rsid w:val="0035002C"/>
    <w:rsid w:val="00350638"/>
    <w:rsid w:val="00350737"/>
    <w:rsid w:val="00350D73"/>
    <w:rsid w:val="00350E9A"/>
    <w:rsid w:val="00350FD3"/>
    <w:rsid w:val="00351146"/>
    <w:rsid w:val="003512AD"/>
    <w:rsid w:val="003518C2"/>
    <w:rsid w:val="00351AE4"/>
    <w:rsid w:val="00351FC8"/>
    <w:rsid w:val="0035203B"/>
    <w:rsid w:val="00352125"/>
    <w:rsid w:val="00352127"/>
    <w:rsid w:val="00352133"/>
    <w:rsid w:val="00352365"/>
    <w:rsid w:val="0035252E"/>
    <w:rsid w:val="003525E9"/>
    <w:rsid w:val="00352BE4"/>
    <w:rsid w:val="00352BFA"/>
    <w:rsid w:val="00352D93"/>
    <w:rsid w:val="00352D9B"/>
    <w:rsid w:val="00352DE5"/>
    <w:rsid w:val="00352E71"/>
    <w:rsid w:val="00352E92"/>
    <w:rsid w:val="00352EB7"/>
    <w:rsid w:val="003531E0"/>
    <w:rsid w:val="003535DC"/>
    <w:rsid w:val="003536D2"/>
    <w:rsid w:val="00353936"/>
    <w:rsid w:val="00353BB9"/>
    <w:rsid w:val="00353C9A"/>
    <w:rsid w:val="00353E3A"/>
    <w:rsid w:val="00354143"/>
    <w:rsid w:val="003543C4"/>
    <w:rsid w:val="003543ED"/>
    <w:rsid w:val="003544F9"/>
    <w:rsid w:val="0035457D"/>
    <w:rsid w:val="003546E6"/>
    <w:rsid w:val="003548F5"/>
    <w:rsid w:val="00354BBD"/>
    <w:rsid w:val="00354D22"/>
    <w:rsid w:val="00354E60"/>
    <w:rsid w:val="00355114"/>
    <w:rsid w:val="00355304"/>
    <w:rsid w:val="00355497"/>
    <w:rsid w:val="00355945"/>
    <w:rsid w:val="003559D5"/>
    <w:rsid w:val="00355D53"/>
    <w:rsid w:val="00356296"/>
    <w:rsid w:val="0035657B"/>
    <w:rsid w:val="00356808"/>
    <w:rsid w:val="003568EA"/>
    <w:rsid w:val="00356D52"/>
    <w:rsid w:val="00356EB7"/>
    <w:rsid w:val="00356EC0"/>
    <w:rsid w:val="00356F01"/>
    <w:rsid w:val="003570EE"/>
    <w:rsid w:val="00357142"/>
    <w:rsid w:val="003571CF"/>
    <w:rsid w:val="0035721D"/>
    <w:rsid w:val="00357239"/>
    <w:rsid w:val="0035756C"/>
    <w:rsid w:val="00357D28"/>
    <w:rsid w:val="00357E5C"/>
    <w:rsid w:val="0036007C"/>
    <w:rsid w:val="0036008C"/>
    <w:rsid w:val="0036041E"/>
    <w:rsid w:val="003604D4"/>
    <w:rsid w:val="00360E67"/>
    <w:rsid w:val="003611A8"/>
    <w:rsid w:val="003612CD"/>
    <w:rsid w:val="003614C4"/>
    <w:rsid w:val="00361635"/>
    <w:rsid w:val="003617DA"/>
    <w:rsid w:val="0036181D"/>
    <w:rsid w:val="00361A33"/>
    <w:rsid w:val="00361A4E"/>
    <w:rsid w:val="00361BC0"/>
    <w:rsid w:val="00362136"/>
    <w:rsid w:val="0036232C"/>
    <w:rsid w:val="0036243D"/>
    <w:rsid w:val="0036280B"/>
    <w:rsid w:val="003629E3"/>
    <w:rsid w:val="00362A25"/>
    <w:rsid w:val="00362A40"/>
    <w:rsid w:val="00362A54"/>
    <w:rsid w:val="00362D15"/>
    <w:rsid w:val="003630BA"/>
    <w:rsid w:val="00363283"/>
    <w:rsid w:val="003632E3"/>
    <w:rsid w:val="0036339D"/>
    <w:rsid w:val="0036357C"/>
    <w:rsid w:val="003635B2"/>
    <w:rsid w:val="00363755"/>
    <w:rsid w:val="00363818"/>
    <w:rsid w:val="00363835"/>
    <w:rsid w:val="00363C42"/>
    <w:rsid w:val="00363CF6"/>
    <w:rsid w:val="00363DF8"/>
    <w:rsid w:val="00363ED3"/>
    <w:rsid w:val="00363EDA"/>
    <w:rsid w:val="00363F32"/>
    <w:rsid w:val="00364054"/>
    <w:rsid w:val="003642AE"/>
    <w:rsid w:val="003642E3"/>
    <w:rsid w:val="00364490"/>
    <w:rsid w:val="003644BD"/>
    <w:rsid w:val="0036465A"/>
    <w:rsid w:val="00364813"/>
    <w:rsid w:val="00364A8D"/>
    <w:rsid w:val="00364B84"/>
    <w:rsid w:val="00364FCD"/>
    <w:rsid w:val="003650C4"/>
    <w:rsid w:val="003650DE"/>
    <w:rsid w:val="00365221"/>
    <w:rsid w:val="0036523B"/>
    <w:rsid w:val="0036558E"/>
    <w:rsid w:val="003655E3"/>
    <w:rsid w:val="00365A65"/>
    <w:rsid w:val="00365A85"/>
    <w:rsid w:val="00365B30"/>
    <w:rsid w:val="00365C59"/>
    <w:rsid w:val="00365DB4"/>
    <w:rsid w:val="00365E2B"/>
    <w:rsid w:val="0036600C"/>
    <w:rsid w:val="00366054"/>
    <w:rsid w:val="00366171"/>
    <w:rsid w:val="003662E1"/>
    <w:rsid w:val="0036635B"/>
    <w:rsid w:val="0036691D"/>
    <w:rsid w:val="00366A99"/>
    <w:rsid w:val="00366BA2"/>
    <w:rsid w:val="00366C2E"/>
    <w:rsid w:val="00366D19"/>
    <w:rsid w:val="003671A9"/>
    <w:rsid w:val="00367234"/>
    <w:rsid w:val="003676E4"/>
    <w:rsid w:val="003676F9"/>
    <w:rsid w:val="00367785"/>
    <w:rsid w:val="00367BFA"/>
    <w:rsid w:val="00367C8D"/>
    <w:rsid w:val="00367F5C"/>
    <w:rsid w:val="0037028D"/>
    <w:rsid w:val="00370517"/>
    <w:rsid w:val="003705E4"/>
    <w:rsid w:val="00370848"/>
    <w:rsid w:val="00370990"/>
    <w:rsid w:val="00370B32"/>
    <w:rsid w:val="00370B5E"/>
    <w:rsid w:val="00370BF4"/>
    <w:rsid w:val="00370DC0"/>
    <w:rsid w:val="00370FC3"/>
    <w:rsid w:val="00371081"/>
    <w:rsid w:val="003711F2"/>
    <w:rsid w:val="003713E7"/>
    <w:rsid w:val="0037145A"/>
    <w:rsid w:val="003714A0"/>
    <w:rsid w:val="003715D9"/>
    <w:rsid w:val="00371670"/>
    <w:rsid w:val="00371709"/>
    <w:rsid w:val="003719B2"/>
    <w:rsid w:val="00371C75"/>
    <w:rsid w:val="00371F2E"/>
    <w:rsid w:val="003720B9"/>
    <w:rsid w:val="0037214B"/>
    <w:rsid w:val="00372639"/>
    <w:rsid w:val="00372699"/>
    <w:rsid w:val="00372A60"/>
    <w:rsid w:val="00372B17"/>
    <w:rsid w:val="00372B5F"/>
    <w:rsid w:val="00372B61"/>
    <w:rsid w:val="00372C8C"/>
    <w:rsid w:val="00372D9A"/>
    <w:rsid w:val="00373129"/>
    <w:rsid w:val="00373177"/>
    <w:rsid w:val="00373223"/>
    <w:rsid w:val="003733D6"/>
    <w:rsid w:val="003733DC"/>
    <w:rsid w:val="00373458"/>
    <w:rsid w:val="00373495"/>
    <w:rsid w:val="003735D7"/>
    <w:rsid w:val="003735EF"/>
    <w:rsid w:val="003738C7"/>
    <w:rsid w:val="00374273"/>
    <w:rsid w:val="00374438"/>
    <w:rsid w:val="0037451C"/>
    <w:rsid w:val="00374605"/>
    <w:rsid w:val="0037509F"/>
    <w:rsid w:val="0037545A"/>
    <w:rsid w:val="003757B2"/>
    <w:rsid w:val="0037580A"/>
    <w:rsid w:val="00375B93"/>
    <w:rsid w:val="00375C17"/>
    <w:rsid w:val="00375D17"/>
    <w:rsid w:val="00376051"/>
    <w:rsid w:val="003760A4"/>
    <w:rsid w:val="00376259"/>
    <w:rsid w:val="003763DF"/>
    <w:rsid w:val="003764B3"/>
    <w:rsid w:val="003766A3"/>
    <w:rsid w:val="003768D4"/>
    <w:rsid w:val="00376AA6"/>
    <w:rsid w:val="00376AB2"/>
    <w:rsid w:val="00376CBB"/>
    <w:rsid w:val="003770FF"/>
    <w:rsid w:val="00377161"/>
    <w:rsid w:val="003773AA"/>
    <w:rsid w:val="00377658"/>
    <w:rsid w:val="0037767B"/>
    <w:rsid w:val="00377724"/>
    <w:rsid w:val="003778D9"/>
    <w:rsid w:val="003779F8"/>
    <w:rsid w:val="00377B19"/>
    <w:rsid w:val="00377DD1"/>
    <w:rsid w:val="00377DD5"/>
    <w:rsid w:val="00380520"/>
    <w:rsid w:val="003809CA"/>
    <w:rsid w:val="00380AA0"/>
    <w:rsid w:val="00380C95"/>
    <w:rsid w:val="00380D29"/>
    <w:rsid w:val="00380E5B"/>
    <w:rsid w:val="00380EE9"/>
    <w:rsid w:val="00380F4D"/>
    <w:rsid w:val="00380F55"/>
    <w:rsid w:val="003810CA"/>
    <w:rsid w:val="0038133A"/>
    <w:rsid w:val="003813A8"/>
    <w:rsid w:val="0038152C"/>
    <w:rsid w:val="00381550"/>
    <w:rsid w:val="0038191D"/>
    <w:rsid w:val="00381D83"/>
    <w:rsid w:val="003822BE"/>
    <w:rsid w:val="003826E2"/>
    <w:rsid w:val="00382796"/>
    <w:rsid w:val="0038298E"/>
    <w:rsid w:val="00382F8D"/>
    <w:rsid w:val="00383197"/>
    <w:rsid w:val="00383259"/>
    <w:rsid w:val="0038330A"/>
    <w:rsid w:val="00383464"/>
    <w:rsid w:val="00383672"/>
    <w:rsid w:val="00383988"/>
    <w:rsid w:val="00383BB2"/>
    <w:rsid w:val="00383DF2"/>
    <w:rsid w:val="00383EE3"/>
    <w:rsid w:val="003840A1"/>
    <w:rsid w:val="00384154"/>
    <w:rsid w:val="00384176"/>
    <w:rsid w:val="003841F6"/>
    <w:rsid w:val="0038448A"/>
    <w:rsid w:val="00384491"/>
    <w:rsid w:val="003847A8"/>
    <w:rsid w:val="003849C5"/>
    <w:rsid w:val="00384E66"/>
    <w:rsid w:val="00384F1B"/>
    <w:rsid w:val="00384FBE"/>
    <w:rsid w:val="00385079"/>
    <w:rsid w:val="003851A4"/>
    <w:rsid w:val="00385295"/>
    <w:rsid w:val="003854C7"/>
    <w:rsid w:val="003855A8"/>
    <w:rsid w:val="00385BDD"/>
    <w:rsid w:val="00385C1E"/>
    <w:rsid w:val="00385E4A"/>
    <w:rsid w:val="00385EC9"/>
    <w:rsid w:val="003862A1"/>
    <w:rsid w:val="0038639F"/>
    <w:rsid w:val="0038645A"/>
    <w:rsid w:val="0038683B"/>
    <w:rsid w:val="0038691C"/>
    <w:rsid w:val="00386940"/>
    <w:rsid w:val="00386AA7"/>
    <w:rsid w:val="00386ABA"/>
    <w:rsid w:val="00386C87"/>
    <w:rsid w:val="00386D2D"/>
    <w:rsid w:val="00386DEF"/>
    <w:rsid w:val="003870E6"/>
    <w:rsid w:val="003872DF"/>
    <w:rsid w:val="003874E8"/>
    <w:rsid w:val="0038788E"/>
    <w:rsid w:val="003878AF"/>
    <w:rsid w:val="00387975"/>
    <w:rsid w:val="00387AD9"/>
    <w:rsid w:val="00387C41"/>
    <w:rsid w:val="00387E5A"/>
    <w:rsid w:val="00387FD6"/>
    <w:rsid w:val="0038C8AC"/>
    <w:rsid w:val="003905F0"/>
    <w:rsid w:val="003905F5"/>
    <w:rsid w:val="0039070D"/>
    <w:rsid w:val="0039079E"/>
    <w:rsid w:val="003907DF"/>
    <w:rsid w:val="00390913"/>
    <w:rsid w:val="00390CE1"/>
    <w:rsid w:val="00390D3F"/>
    <w:rsid w:val="00390D87"/>
    <w:rsid w:val="00390F15"/>
    <w:rsid w:val="00391086"/>
    <w:rsid w:val="00391898"/>
    <w:rsid w:val="00391A30"/>
    <w:rsid w:val="00391E76"/>
    <w:rsid w:val="00391EBC"/>
    <w:rsid w:val="00391F02"/>
    <w:rsid w:val="003920D8"/>
    <w:rsid w:val="003921D7"/>
    <w:rsid w:val="00392465"/>
    <w:rsid w:val="00392521"/>
    <w:rsid w:val="003928DA"/>
    <w:rsid w:val="00392A22"/>
    <w:rsid w:val="00392A35"/>
    <w:rsid w:val="00392CE7"/>
    <w:rsid w:val="00392D49"/>
    <w:rsid w:val="00392DCF"/>
    <w:rsid w:val="00392E83"/>
    <w:rsid w:val="00393119"/>
    <w:rsid w:val="00393852"/>
    <w:rsid w:val="0039385D"/>
    <w:rsid w:val="00393AE2"/>
    <w:rsid w:val="00393AF2"/>
    <w:rsid w:val="00393C24"/>
    <w:rsid w:val="00393C3F"/>
    <w:rsid w:val="00393DCE"/>
    <w:rsid w:val="003941A2"/>
    <w:rsid w:val="00394215"/>
    <w:rsid w:val="0039427A"/>
    <w:rsid w:val="00394292"/>
    <w:rsid w:val="003942D4"/>
    <w:rsid w:val="003943FA"/>
    <w:rsid w:val="003944F5"/>
    <w:rsid w:val="00394536"/>
    <w:rsid w:val="00394577"/>
    <w:rsid w:val="0039464A"/>
    <w:rsid w:val="0039466B"/>
    <w:rsid w:val="00394728"/>
    <w:rsid w:val="00394B23"/>
    <w:rsid w:val="00394B4F"/>
    <w:rsid w:val="00394C4F"/>
    <w:rsid w:val="00394D0D"/>
    <w:rsid w:val="00395034"/>
    <w:rsid w:val="003954A6"/>
    <w:rsid w:val="0039555D"/>
    <w:rsid w:val="003957F3"/>
    <w:rsid w:val="00395892"/>
    <w:rsid w:val="003958FC"/>
    <w:rsid w:val="00395A4A"/>
    <w:rsid w:val="00395E51"/>
    <w:rsid w:val="00395F8C"/>
    <w:rsid w:val="00396191"/>
    <w:rsid w:val="003961DE"/>
    <w:rsid w:val="003964CD"/>
    <w:rsid w:val="00396647"/>
    <w:rsid w:val="003968B3"/>
    <w:rsid w:val="00396C77"/>
    <w:rsid w:val="00397320"/>
    <w:rsid w:val="0039739A"/>
    <w:rsid w:val="00397504"/>
    <w:rsid w:val="0039753C"/>
    <w:rsid w:val="0039764C"/>
    <w:rsid w:val="003977E3"/>
    <w:rsid w:val="00397CE0"/>
    <w:rsid w:val="00397D1A"/>
    <w:rsid w:val="00397F63"/>
    <w:rsid w:val="00397FB7"/>
    <w:rsid w:val="00397FB8"/>
    <w:rsid w:val="003A0036"/>
    <w:rsid w:val="003A0159"/>
    <w:rsid w:val="003A065C"/>
    <w:rsid w:val="003A075A"/>
    <w:rsid w:val="003A08AD"/>
    <w:rsid w:val="003A0E80"/>
    <w:rsid w:val="003A0F14"/>
    <w:rsid w:val="003A1748"/>
    <w:rsid w:val="003A1807"/>
    <w:rsid w:val="003A1840"/>
    <w:rsid w:val="003A1850"/>
    <w:rsid w:val="003A18A9"/>
    <w:rsid w:val="003A1A27"/>
    <w:rsid w:val="003A1B26"/>
    <w:rsid w:val="003A1C4E"/>
    <w:rsid w:val="003A1D2F"/>
    <w:rsid w:val="003A204B"/>
    <w:rsid w:val="003A21C2"/>
    <w:rsid w:val="003A22F9"/>
    <w:rsid w:val="003A235F"/>
    <w:rsid w:val="003A2850"/>
    <w:rsid w:val="003A296F"/>
    <w:rsid w:val="003A2CE3"/>
    <w:rsid w:val="003A2D34"/>
    <w:rsid w:val="003A303D"/>
    <w:rsid w:val="003A32E2"/>
    <w:rsid w:val="003A3321"/>
    <w:rsid w:val="003A3573"/>
    <w:rsid w:val="003A361C"/>
    <w:rsid w:val="003A3622"/>
    <w:rsid w:val="003A3709"/>
    <w:rsid w:val="003A3936"/>
    <w:rsid w:val="003A39D9"/>
    <w:rsid w:val="003A3AC8"/>
    <w:rsid w:val="003A3C07"/>
    <w:rsid w:val="003A3DCA"/>
    <w:rsid w:val="003A3EB5"/>
    <w:rsid w:val="003A406E"/>
    <w:rsid w:val="003A4307"/>
    <w:rsid w:val="003A441B"/>
    <w:rsid w:val="003A443C"/>
    <w:rsid w:val="003A47C3"/>
    <w:rsid w:val="003A4808"/>
    <w:rsid w:val="003A4999"/>
    <w:rsid w:val="003A4EE3"/>
    <w:rsid w:val="003A4F8D"/>
    <w:rsid w:val="003A520A"/>
    <w:rsid w:val="003A524D"/>
    <w:rsid w:val="003A52AF"/>
    <w:rsid w:val="003A5389"/>
    <w:rsid w:val="003A53B1"/>
    <w:rsid w:val="003A54FC"/>
    <w:rsid w:val="003A57B9"/>
    <w:rsid w:val="003A5B4C"/>
    <w:rsid w:val="003A5BE4"/>
    <w:rsid w:val="003A5BF7"/>
    <w:rsid w:val="003A5C3D"/>
    <w:rsid w:val="003A5C99"/>
    <w:rsid w:val="003A5CE4"/>
    <w:rsid w:val="003A5EB3"/>
    <w:rsid w:val="003A60F4"/>
    <w:rsid w:val="003A6322"/>
    <w:rsid w:val="003A6629"/>
    <w:rsid w:val="003A66EA"/>
    <w:rsid w:val="003A6BE1"/>
    <w:rsid w:val="003A6CE6"/>
    <w:rsid w:val="003A6D51"/>
    <w:rsid w:val="003A6DBA"/>
    <w:rsid w:val="003A6E59"/>
    <w:rsid w:val="003A7072"/>
    <w:rsid w:val="003A7448"/>
    <w:rsid w:val="003A76B0"/>
    <w:rsid w:val="003A78CF"/>
    <w:rsid w:val="003A799E"/>
    <w:rsid w:val="003A7E19"/>
    <w:rsid w:val="003A7F11"/>
    <w:rsid w:val="003B0097"/>
    <w:rsid w:val="003B0147"/>
    <w:rsid w:val="003B0315"/>
    <w:rsid w:val="003B03C8"/>
    <w:rsid w:val="003B05F1"/>
    <w:rsid w:val="003B0902"/>
    <w:rsid w:val="003B0A55"/>
    <w:rsid w:val="003B0AB9"/>
    <w:rsid w:val="003B0C8E"/>
    <w:rsid w:val="003B0D4C"/>
    <w:rsid w:val="003B0D6D"/>
    <w:rsid w:val="003B11F2"/>
    <w:rsid w:val="003B13A5"/>
    <w:rsid w:val="003B14AB"/>
    <w:rsid w:val="003B14DB"/>
    <w:rsid w:val="003B1602"/>
    <w:rsid w:val="003B1645"/>
    <w:rsid w:val="003B17F2"/>
    <w:rsid w:val="003B1886"/>
    <w:rsid w:val="003B1A44"/>
    <w:rsid w:val="003B1A51"/>
    <w:rsid w:val="003B1B3C"/>
    <w:rsid w:val="003B1B75"/>
    <w:rsid w:val="003B1D43"/>
    <w:rsid w:val="003B203A"/>
    <w:rsid w:val="003B20E0"/>
    <w:rsid w:val="003B226F"/>
    <w:rsid w:val="003B22B5"/>
    <w:rsid w:val="003B22F1"/>
    <w:rsid w:val="003B2339"/>
    <w:rsid w:val="003B2466"/>
    <w:rsid w:val="003B2658"/>
    <w:rsid w:val="003B28B4"/>
    <w:rsid w:val="003B2904"/>
    <w:rsid w:val="003B291D"/>
    <w:rsid w:val="003B2A0D"/>
    <w:rsid w:val="003B2D32"/>
    <w:rsid w:val="003B2ECC"/>
    <w:rsid w:val="003B3069"/>
    <w:rsid w:val="003B311A"/>
    <w:rsid w:val="003B3215"/>
    <w:rsid w:val="003B336B"/>
    <w:rsid w:val="003B340C"/>
    <w:rsid w:val="003B3482"/>
    <w:rsid w:val="003B3498"/>
    <w:rsid w:val="003B34B1"/>
    <w:rsid w:val="003B35DA"/>
    <w:rsid w:val="003B35F1"/>
    <w:rsid w:val="003B3608"/>
    <w:rsid w:val="003B3626"/>
    <w:rsid w:val="003B3729"/>
    <w:rsid w:val="003B3964"/>
    <w:rsid w:val="003B39EF"/>
    <w:rsid w:val="003B3F03"/>
    <w:rsid w:val="003B3F14"/>
    <w:rsid w:val="003B3FFF"/>
    <w:rsid w:val="003B41EF"/>
    <w:rsid w:val="003B42C7"/>
    <w:rsid w:val="003B42E0"/>
    <w:rsid w:val="003B43BB"/>
    <w:rsid w:val="003B44A6"/>
    <w:rsid w:val="003B458F"/>
    <w:rsid w:val="003B4731"/>
    <w:rsid w:val="003B4A39"/>
    <w:rsid w:val="003B4A6D"/>
    <w:rsid w:val="003B4AD6"/>
    <w:rsid w:val="003B4DDF"/>
    <w:rsid w:val="003B51FB"/>
    <w:rsid w:val="003B54E2"/>
    <w:rsid w:val="003B561C"/>
    <w:rsid w:val="003B5738"/>
    <w:rsid w:val="003B5751"/>
    <w:rsid w:val="003B59C9"/>
    <w:rsid w:val="003B5C7A"/>
    <w:rsid w:val="003B6134"/>
    <w:rsid w:val="003B6165"/>
    <w:rsid w:val="003B6168"/>
    <w:rsid w:val="003B6386"/>
    <w:rsid w:val="003B6409"/>
    <w:rsid w:val="003B641B"/>
    <w:rsid w:val="003B66F8"/>
    <w:rsid w:val="003B6903"/>
    <w:rsid w:val="003B6962"/>
    <w:rsid w:val="003B6B7D"/>
    <w:rsid w:val="003B6B9A"/>
    <w:rsid w:val="003B6CB7"/>
    <w:rsid w:val="003B6E4F"/>
    <w:rsid w:val="003B6F72"/>
    <w:rsid w:val="003B7165"/>
    <w:rsid w:val="003B7318"/>
    <w:rsid w:val="003B7671"/>
    <w:rsid w:val="003B77EA"/>
    <w:rsid w:val="003B785E"/>
    <w:rsid w:val="003B7DF5"/>
    <w:rsid w:val="003B7E78"/>
    <w:rsid w:val="003B7F51"/>
    <w:rsid w:val="003C0315"/>
    <w:rsid w:val="003C0471"/>
    <w:rsid w:val="003C08D2"/>
    <w:rsid w:val="003C091C"/>
    <w:rsid w:val="003C0AFB"/>
    <w:rsid w:val="003C0C35"/>
    <w:rsid w:val="003C0C84"/>
    <w:rsid w:val="003C0D3F"/>
    <w:rsid w:val="003C0DD9"/>
    <w:rsid w:val="003C114F"/>
    <w:rsid w:val="003C1748"/>
    <w:rsid w:val="003C186E"/>
    <w:rsid w:val="003C1885"/>
    <w:rsid w:val="003C188B"/>
    <w:rsid w:val="003C189C"/>
    <w:rsid w:val="003C18AC"/>
    <w:rsid w:val="003C1C0C"/>
    <w:rsid w:val="003C1DAD"/>
    <w:rsid w:val="003C1E3E"/>
    <w:rsid w:val="003C20BF"/>
    <w:rsid w:val="003C20E3"/>
    <w:rsid w:val="003C22E5"/>
    <w:rsid w:val="003C23DD"/>
    <w:rsid w:val="003C24F0"/>
    <w:rsid w:val="003C2545"/>
    <w:rsid w:val="003C256A"/>
    <w:rsid w:val="003C26EB"/>
    <w:rsid w:val="003C288C"/>
    <w:rsid w:val="003C2CAB"/>
    <w:rsid w:val="003C3163"/>
    <w:rsid w:val="003C31DB"/>
    <w:rsid w:val="003C33D0"/>
    <w:rsid w:val="003C341D"/>
    <w:rsid w:val="003C34D9"/>
    <w:rsid w:val="003C35EE"/>
    <w:rsid w:val="003C3605"/>
    <w:rsid w:val="003C361A"/>
    <w:rsid w:val="003C3788"/>
    <w:rsid w:val="003C37B0"/>
    <w:rsid w:val="003C3889"/>
    <w:rsid w:val="003C394D"/>
    <w:rsid w:val="003C3AA3"/>
    <w:rsid w:val="003C3CD1"/>
    <w:rsid w:val="003C3D64"/>
    <w:rsid w:val="003C3ECC"/>
    <w:rsid w:val="003C4068"/>
    <w:rsid w:val="003C4088"/>
    <w:rsid w:val="003C41DA"/>
    <w:rsid w:val="003C42E2"/>
    <w:rsid w:val="003C4379"/>
    <w:rsid w:val="003C4410"/>
    <w:rsid w:val="003C4528"/>
    <w:rsid w:val="003C4595"/>
    <w:rsid w:val="003C4790"/>
    <w:rsid w:val="003C4B93"/>
    <w:rsid w:val="003C4B96"/>
    <w:rsid w:val="003C4D06"/>
    <w:rsid w:val="003C4F51"/>
    <w:rsid w:val="003C5009"/>
    <w:rsid w:val="003C529A"/>
    <w:rsid w:val="003C53BE"/>
    <w:rsid w:val="003C55F7"/>
    <w:rsid w:val="003C5881"/>
    <w:rsid w:val="003C5A07"/>
    <w:rsid w:val="003C5A54"/>
    <w:rsid w:val="003C5EE6"/>
    <w:rsid w:val="003C61D5"/>
    <w:rsid w:val="003C6308"/>
    <w:rsid w:val="003C63C4"/>
    <w:rsid w:val="003C63EE"/>
    <w:rsid w:val="003C65EB"/>
    <w:rsid w:val="003C66D6"/>
    <w:rsid w:val="003C698A"/>
    <w:rsid w:val="003C6B7E"/>
    <w:rsid w:val="003C6BAF"/>
    <w:rsid w:val="003C6C39"/>
    <w:rsid w:val="003C6D6E"/>
    <w:rsid w:val="003C6EB7"/>
    <w:rsid w:val="003C6F11"/>
    <w:rsid w:val="003C6F64"/>
    <w:rsid w:val="003C6FA9"/>
    <w:rsid w:val="003C73D1"/>
    <w:rsid w:val="003C7621"/>
    <w:rsid w:val="003C7829"/>
    <w:rsid w:val="003C7938"/>
    <w:rsid w:val="003C7955"/>
    <w:rsid w:val="003C7A75"/>
    <w:rsid w:val="003C7C9F"/>
    <w:rsid w:val="003D017A"/>
    <w:rsid w:val="003D0313"/>
    <w:rsid w:val="003D04DC"/>
    <w:rsid w:val="003D04E5"/>
    <w:rsid w:val="003D051E"/>
    <w:rsid w:val="003D06C4"/>
    <w:rsid w:val="003D072D"/>
    <w:rsid w:val="003D0A0F"/>
    <w:rsid w:val="003D0A81"/>
    <w:rsid w:val="003D0B3B"/>
    <w:rsid w:val="003D0CC0"/>
    <w:rsid w:val="003D0DF4"/>
    <w:rsid w:val="003D0E41"/>
    <w:rsid w:val="003D0E61"/>
    <w:rsid w:val="003D10B5"/>
    <w:rsid w:val="003D10BF"/>
    <w:rsid w:val="003D116F"/>
    <w:rsid w:val="003D12A4"/>
    <w:rsid w:val="003D12D7"/>
    <w:rsid w:val="003D1713"/>
    <w:rsid w:val="003D1D65"/>
    <w:rsid w:val="003D1DBC"/>
    <w:rsid w:val="003D1E7F"/>
    <w:rsid w:val="003D2331"/>
    <w:rsid w:val="003D2C60"/>
    <w:rsid w:val="003D2CAC"/>
    <w:rsid w:val="003D2DA4"/>
    <w:rsid w:val="003D2E76"/>
    <w:rsid w:val="003D319D"/>
    <w:rsid w:val="003D348B"/>
    <w:rsid w:val="003D3596"/>
    <w:rsid w:val="003D3817"/>
    <w:rsid w:val="003D388A"/>
    <w:rsid w:val="003D38E7"/>
    <w:rsid w:val="003D3962"/>
    <w:rsid w:val="003D3B67"/>
    <w:rsid w:val="003D3BCC"/>
    <w:rsid w:val="003D3F5F"/>
    <w:rsid w:val="003D4025"/>
    <w:rsid w:val="003D4154"/>
    <w:rsid w:val="003D449D"/>
    <w:rsid w:val="003D47CC"/>
    <w:rsid w:val="003D49F7"/>
    <w:rsid w:val="003D4F7B"/>
    <w:rsid w:val="003D5090"/>
    <w:rsid w:val="003D50D0"/>
    <w:rsid w:val="003D51C9"/>
    <w:rsid w:val="003D51F2"/>
    <w:rsid w:val="003D527A"/>
    <w:rsid w:val="003D52BE"/>
    <w:rsid w:val="003D52E0"/>
    <w:rsid w:val="003D532B"/>
    <w:rsid w:val="003D5333"/>
    <w:rsid w:val="003D547D"/>
    <w:rsid w:val="003D5553"/>
    <w:rsid w:val="003D5816"/>
    <w:rsid w:val="003D5B69"/>
    <w:rsid w:val="003D5C83"/>
    <w:rsid w:val="003D5D16"/>
    <w:rsid w:val="003D5DAB"/>
    <w:rsid w:val="003D5F5A"/>
    <w:rsid w:val="003D5F5B"/>
    <w:rsid w:val="003D6095"/>
    <w:rsid w:val="003D610C"/>
    <w:rsid w:val="003D623C"/>
    <w:rsid w:val="003D637B"/>
    <w:rsid w:val="003D6501"/>
    <w:rsid w:val="003D656D"/>
    <w:rsid w:val="003D65A7"/>
    <w:rsid w:val="003D66F3"/>
    <w:rsid w:val="003D68F9"/>
    <w:rsid w:val="003D6903"/>
    <w:rsid w:val="003D6A48"/>
    <w:rsid w:val="003D6A9F"/>
    <w:rsid w:val="003D6B9C"/>
    <w:rsid w:val="003D723F"/>
    <w:rsid w:val="003D7574"/>
    <w:rsid w:val="003D7B7E"/>
    <w:rsid w:val="003D7C3A"/>
    <w:rsid w:val="003D7D6B"/>
    <w:rsid w:val="003D7E0F"/>
    <w:rsid w:val="003D7E75"/>
    <w:rsid w:val="003D7EDB"/>
    <w:rsid w:val="003E0003"/>
    <w:rsid w:val="003E0050"/>
    <w:rsid w:val="003E0051"/>
    <w:rsid w:val="003E070F"/>
    <w:rsid w:val="003E07BF"/>
    <w:rsid w:val="003E083D"/>
    <w:rsid w:val="003E09CD"/>
    <w:rsid w:val="003E0D3C"/>
    <w:rsid w:val="003E0DA8"/>
    <w:rsid w:val="003E1097"/>
    <w:rsid w:val="003E10C9"/>
    <w:rsid w:val="003E15E2"/>
    <w:rsid w:val="003E16D1"/>
    <w:rsid w:val="003E1808"/>
    <w:rsid w:val="003E1928"/>
    <w:rsid w:val="003E1A40"/>
    <w:rsid w:val="003E1AE0"/>
    <w:rsid w:val="003E1D54"/>
    <w:rsid w:val="003E2116"/>
    <w:rsid w:val="003E21FD"/>
    <w:rsid w:val="003E24AF"/>
    <w:rsid w:val="003E271B"/>
    <w:rsid w:val="003E2761"/>
    <w:rsid w:val="003E2801"/>
    <w:rsid w:val="003E2864"/>
    <w:rsid w:val="003E2882"/>
    <w:rsid w:val="003E29AC"/>
    <w:rsid w:val="003E2B54"/>
    <w:rsid w:val="003E2C3A"/>
    <w:rsid w:val="003E2CDF"/>
    <w:rsid w:val="003E2D99"/>
    <w:rsid w:val="003E309D"/>
    <w:rsid w:val="003E3258"/>
    <w:rsid w:val="003E387B"/>
    <w:rsid w:val="003E3A68"/>
    <w:rsid w:val="003E3B11"/>
    <w:rsid w:val="003E3B1E"/>
    <w:rsid w:val="003E4117"/>
    <w:rsid w:val="003E4133"/>
    <w:rsid w:val="003E4142"/>
    <w:rsid w:val="003E4449"/>
    <w:rsid w:val="003E45D4"/>
    <w:rsid w:val="003E4679"/>
    <w:rsid w:val="003E494B"/>
    <w:rsid w:val="003E4A17"/>
    <w:rsid w:val="003E4E33"/>
    <w:rsid w:val="003E4F4D"/>
    <w:rsid w:val="003E4FA7"/>
    <w:rsid w:val="003E5261"/>
    <w:rsid w:val="003E5287"/>
    <w:rsid w:val="003E5326"/>
    <w:rsid w:val="003E5366"/>
    <w:rsid w:val="003E5507"/>
    <w:rsid w:val="003E5555"/>
    <w:rsid w:val="003E55AE"/>
    <w:rsid w:val="003E562D"/>
    <w:rsid w:val="003E574F"/>
    <w:rsid w:val="003E5753"/>
    <w:rsid w:val="003E5870"/>
    <w:rsid w:val="003E58E0"/>
    <w:rsid w:val="003E599E"/>
    <w:rsid w:val="003E5C42"/>
    <w:rsid w:val="003E5D01"/>
    <w:rsid w:val="003E602E"/>
    <w:rsid w:val="003E60D2"/>
    <w:rsid w:val="003E625F"/>
    <w:rsid w:val="003E6474"/>
    <w:rsid w:val="003E64EE"/>
    <w:rsid w:val="003E65C9"/>
    <w:rsid w:val="003E660B"/>
    <w:rsid w:val="003E6913"/>
    <w:rsid w:val="003E69F8"/>
    <w:rsid w:val="003E6A3C"/>
    <w:rsid w:val="003E6ABB"/>
    <w:rsid w:val="003E6BC8"/>
    <w:rsid w:val="003E6DA3"/>
    <w:rsid w:val="003E7021"/>
    <w:rsid w:val="003E70E1"/>
    <w:rsid w:val="003E76E6"/>
    <w:rsid w:val="003E7987"/>
    <w:rsid w:val="003E7AEB"/>
    <w:rsid w:val="003E7B9D"/>
    <w:rsid w:val="003E7DF2"/>
    <w:rsid w:val="003E7FFA"/>
    <w:rsid w:val="003F0141"/>
    <w:rsid w:val="003F06CF"/>
    <w:rsid w:val="003F0A9D"/>
    <w:rsid w:val="003F0B4A"/>
    <w:rsid w:val="003F1020"/>
    <w:rsid w:val="003F1461"/>
    <w:rsid w:val="003F1607"/>
    <w:rsid w:val="003F1A08"/>
    <w:rsid w:val="003F1AFC"/>
    <w:rsid w:val="003F2081"/>
    <w:rsid w:val="003F2105"/>
    <w:rsid w:val="003F21FA"/>
    <w:rsid w:val="003F22FD"/>
    <w:rsid w:val="003F24C8"/>
    <w:rsid w:val="003F294A"/>
    <w:rsid w:val="003F2963"/>
    <w:rsid w:val="003F2981"/>
    <w:rsid w:val="003F2A2A"/>
    <w:rsid w:val="003F2AB9"/>
    <w:rsid w:val="003F2B3E"/>
    <w:rsid w:val="003F2B60"/>
    <w:rsid w:val="003F2DBF"/>
    <w:rsid w:val="003F2DC5"/>
    <w:rsid w:val="003F2F71"/>
    <w:rsid w:val="003F309D"/>
    <w:rsid w:val="003F309E"/>
    <w:rsid w:val="003F312E"/>
    <w:rsid w:val="003F3672"/>
    <w:rsid w:val="003F3685"/>
    <w:rsid w:val="003F36DD"/>
    <w:rsid w:val="003F39C6"/>
    <w:rsid w:val="003F3B04"/>
    <w:rsid w:val="003F3B36"/>
    <w:rsid w:val="003F3D58"/>
    <w:rsid w:val="003F3D6C"/>
    <w:rsid w:val="003F3F39"/>
    <w:rsid w:val="003F4046"/>
    <w:rsid w:val="003F425B"/>
    <w:rsid w:val="003F42B0"/>
    <w:rsid w:val="003F43B3"/>
    <w:rsid w:val="003F44A2"/>
    <w:rsid w:val="003F4605"/>
    <w:rsid w:val="003F48BB"/>
    <w:rsid w:val="003F4902"/>
    <w:rsid w:val="003F4953"/>
    <w:rsid w:val="003F4A35"/>
    <w:rsid w:val="003F4A4C"/>
    <w:rsid w:val="003F4AB1"/>
    <w:rsid w:val="003F4EFD"/>
    <w:rsid w:val="003F51C9"/>
    <w:rsid w:val="003F53BA"/>
    <w:rsid w:val="003F5442"/>
    <w:rsid w:val="003F5521"/>
    <w:rsid w:val="003F5965"/>
    <w:rsid w:val="003F5A35"/>
    <w:rsid w:val="003F5BAF"/>
    <w:rsid w:val="003F5C5D"/>
    <w:rsid w:val="003F5D1C"/>
    <w:rsid w:val="003F5E5F"/>
    <w:rsid w:val="003F6195"/>
    <w:rsid w:val="003F61B3"/>
    <w:rsid w:val="003F628F"/>
    <w:rsid w:val="003F62CA"/>
    <w:rsid w:val="003F69B9"/>
    <w:rsid w:val="003F69EB"/>
    <w:rsid w:val="003F6B9A"/>
    <w:rsid w:val="003F6D93"/>
    <w:rsid w:val="003F6DCE"/>
    <w:rsid w:val="003F70E0"/>
    <w:rsid w:val="003F719A"/>
    <w:rsid w:val="003F719C"/>
    <w:rsid w:val="003F72F7"/>
    <w:rsid w:val="003F73B9"/>
    <w:rsid w:val="003F7735"/>
    <w:rsid w:val="003F78F0"/>
    <w:rsid w:val="003F794C"/>
    <w:rsid w:val="003F7A04"/>
    <w:rsid w:val="003F7B9C"/>
    <w:rsid w:val="003F7C13"/>
    <w:rsid w:val="003F7CB8"/>
    <w:rsid w:val="003F7E2C"/>
    <w:rsid w:val="003F7EFB"/>
    <w:rsid w:val="003F7FDE"/>
    <w:rsid w:val="003F7FF3"/>
    <w:rsid w:val="004000DA"/>
    <w:rsid w:val="004004F5"/>
    <w:rsid w:val="004006ED"/>
    <w:rsid w:val="004007AD"/>
    <w:rsid w:val="004007B3"/>
    <w:rsid w:val="00400874"/>
    <w:rsid w:val="004008CF"/>
    <w:rsid w:val="00400BEF"/>
    <w:rsid w:val="00400CBD"/>
    <w:rsid w:val="00400F79"/>
    <w:rsid w:val="004010F7"/>
    <w:rsid w:val="0040111B"/>
    <w:rsid w:val="00401127"/>
    <w:rsid w:val="0040128B"/>
    <w:rsid w:val="004012A0"/>
    <w:rsid w:val="00401303"/>
    <w:rsid w:val="004013EE"/>
    <w:rsid w:val="0040145D"/>
    <w:rsid w:val="004014E4"/>
    <w:rsid w:val="00401ACD"/>
    <w:rsid w:val="00401C0A"/>
    <w:rsid w:val="00401CC8"/>
    <w:rsid w:val="00401E6C"/>
    <w:rsid w:val="004020C9"/>
    <w:rsid w:val="0040214F"/>
    <w:rsid w:val="00402188"/>
    <w:rsid w:val="004021FC"/>
    <w:rsid w:val="0040252C"/>
    <w:rsid w:val="00402586"/>
    <w:rsid w:val="0040270C"/>
    <w:rsid w:val="00402A13"/>
    <w:rsid w:val="00402AE5"/>
    <w:rsid w:val="00402BF0"/>
    <w:rsid w:val="00402CAB"/>
    <w:rsid w:val="00402E58"/>
    <w:rsid w:val="00402ECE"/>
    <w:rsid w:val="00402FC3"/>
    <w:rsid w:val="00402FE7"/>
    <w:rsid w:val="00403033"/>
    <w:rsid w:val="0040322B"/>
    <w:rsid w:val="004032D7"/>
    <w:rsid w:val="00403358"/>
    <w:rsid w:val="004033E8"/>
    <w:rsid w:val="0040361A"/>
    <w:rsid w:val="004036BB"/>
    <w:rsid w:val="00403B8E"/>
    <w:rsid w:val="00403D39"/>
    <w:rsid w:val="00403DB7"/>
    <w:rsid w:val="004042E0"/>
    <w:rsid w:val="004045A6"/>
    <w:rsid w:val="004047F1"/>
    <w:rsid w:val="00404AAC"/>
    <w:rsid w:val="00404C0E"/>
    <w:rsid w:val="00404FB9"/>
    <w:rsid w:val="0040562A"/>
    <w:rsid w:val="0040587E"/>
    <w:rsid w:val="00405C7D"/>
    <w:rsid w:val="00405D5E"/>
    <w:rsid w:val="00405FAD"/>
    <w:rsid w:val="0040603F"/>
    <w:rsid w:val="00406322"/>
    <w:rsid w:val="004064CF"/>
    <w:rsid w:val="004064E6"/>
    <w:rsid w:val="004067E9"/>
    <w:rsid w:val="00406AC6"/>
    <w:rsid w:val="00406B28"/>
    <w:rsid w:val="00406D34"/>
    <w:rsid w:val="00406F1D"/>
    <w:rsid w:val="00406FEF"/>
    <w:rsid w:val="00406FF0"/>
    <w:rsid w:val="0040708B"/>
    <w:rsid w:val="0040714F"/>
    <w:rsid w:val="0040716C"/>
    <w:rsid w:val="0040734A"/>
    <w:rsid w:val="004075A4"/>
    <w:rsid w:val="004077DA"/>
    <w:rsid w:val="004079F5"/>
    <w:rsid w:val="00407A1D"/>
    <w:rsid w:val="00407A47"/>
    <w:rsid w:val="00407B82"/>
    <w:rsid w:val="00407E9E"/>
    <w:rsid w:val="00407F2E"/>
    <w:rsid w:val="0041004D"/>
    <w:rsid w:val="004102A3"/>
    <w:rsid w:val="00410665"/>
    <w:rsid w:val="00410783"/>
    <w:rsid w:val="00410803"/>
    <w:rsid w:val="004109DC"/>
    <w:rsid w:val="004109F9"/>
    <w:rsid w:val="00410A7E"/>
    <w:rsid w:val="00410ACE"/>
    <w:rsid w:val="00410D67"/>
    <w:rsid w:val="00410EA2"/>
    <w:rsid w:val="004110DD"/>
    <w:rsid w:val="004111A0"/>
    <w:rsid w:val="004111E3"/>
    <w:rsid w:val="00411323"/>
    <w:rsid w:val="0041135F"/>
    <w:rsid w:val="00411439"/>
    <w:rsid w:val="0041147A"/>
    <w:rsid w:val="004114FA"/>
    <w:rsid w:val="004116F5"/>
    <w:rsid w:val="00411977"/>
    <w:rsid w:val="004119A5"/>
    <w:rsid w:val="00411B3A"/>
    <w:rsid w:val="00411C50"/>
    <w:rsid w:val="00411C53"/>
    <w:rsid w:val="00411D71"/>
    <w:rsid w:val="00411F69"/>
    <w:rsid w:val="00411FC4"/>
    <w:rsid w:val="00412249"/>
    <w:rsid w:val="00412571"/>
    <w:rsid w:val="00412640"/>
    <w:rsid w:val="00412682"/>
    <w:rsid w:val="004128E4"/>
    <w:rsid w:val="004128FF"/>
    <w:rsid w:val="00412929"/>
    <w:rsid w:val="00412A41"/>
    <w:rsid w:val="00412D71"/>
    <w:rsid w:val="00412DE1"/>
    <w:rsid w:val="00412F0F"/>
    <w:rsid w:val="00412FE9"/>
    <w:rsid w:val="0041324F"/>
    <w:rsid w:val="00413345"/>
    <w:rsid w:val="00413588"/>
    <w:rsid w:val="00413885"/>
    <w:rsid w:val="004138F1"/>
    <w:rsid w:val="00413EB6"/>
    <w:rsid w:val="00414022"/>
    <w:rsid w:val="00414451"/>
    <w:rsid w:val="0041458E"/>
    <w:rsid w:val="00414777"/>
    <w:rsid w:val="004149A1"/>
    <w:rsid w:val="00414A41"/>
    <w:rsid w:val="00414A72"/>
    <w:rsid w:val="00414BDD"/>
    <w:rsid w:val="00414D11"/>
    <w:rsid w:val="00414D27"/>
    <w:rsid w:val="00414F50"/>
    <w:rsid w:val="00415057"/>
    <w:rsid w:val="00415141"/>
    <w:rsid w:val="00415195"/>
    <w:rsid w:val="00415232"/>
    <w:rsid w:val="004152C1"/>
    <w:rsid w:val="004154CC"/>
    <w:rsid w:val="00415636"/>
    <w:rsid w:val="004158FE"/>
    <w:rsid w:val="0041597C"/>
    <w:rsid w:val="00415C60"/>
    <w:rsid w:val="00415C6A"/>
    <w:rsid w:val="00415D7A"/>
    <w:rsid w:val="00415EC9"/>
    <w:rsid w:val="0041608A"/>
    <w:rsid w:val="0041636C"/>
    <w:rsid w:val="004165F2"/>
    <w:rsid w:val="004166EA"/>
    <w:rsid w:val="0041695E"/>
    <w:rsid w:val="004169C7"/>
    <w:rsid w:val="00416A25"/>
    <w:rsid w:val="00416A40"/>
    <w:rsid w:val="00416C35"/>
    <w:rsid w:val="00416D1F"/>
    <w:rsid w:val="00416F6F"/>
    <w:rsid w:val="00416FC6"/>
    <w:rsid w:val="00417056"/>
    <w:rsid w:val="00417700"/>
    <w:rsid w:val="004177B8"/>
    <w:rsid w:val="00417B06"/>
    <w:rsid w:val="00417B9E"/>
    <w:rsid w:val="00417BF5"/>
    <w:rsid w:val="004200F1"/>
    <w:rsid w:val="004201F7"/>
    <w:rsid w:val="00420205"/>
    <w:rsid w:val="00420294"/>
    <w:rsid w:val="004206FF"/>
    <w:rsid w:val="00420A5B"/>
    <w:rsid w:val="00420B35"/>
    <w:rsid w:val="00420BE2"/>
    <w:rsid w:val="00420D5E"/>
    <w:rsid w:val="00420F2D"/>
    <w:rsid w:val="00421187"/>
    <w:rsid w:val="00421703"/>
    <w:rsid w:val="004217FC"/>
    <w:rsid w:val="0042181E"/>
    <w:rsid w:val="00421AEF"/>
    <w:rsid w:val="00421B82"/>
    <w:rsid w:val="00421C60"/>
    <w:rsid w:val="00421DC4"/>
    <w:rsid w:val="0042205B"/>
    <w:rsid w:val="0042222A"/>
    <w:rsid w:val="004222A9"/>
    <w:rsid w:val="00422359"/>
    <w:rsid w:val="00422850"/>
    <w:rsid w:val="0042287D"/>
    <w:rsid w:val="00422951"/>
    <w:rsid w:val="00422AAC"/>
    <w:rsid w:val="00422CCF"/>
    <w:rsid w:val="00422D13"/>
    <w:rsid w:val="00422F5A"/>
    <w:rsid w:val="00422FE0"/>
    <w:rsid w:val="00423500"/>
    <w:rsid w:val="004235DF"/>
    <w:rsid w:val="00423749"/>
    <w:rsid w:val="004237BE"/>
    <w:rsid w:val="00423C3C"/>
    <w:rsid w:val="004240EE"/>
    <w:rsid w:val="0042427C"/>
    <w:rsid w:val="00424534"/>
    <w:rsid w:val="00424699"/>
    <w:rsid w:val="00424701"/>
    <w:rsid w:val="00424901"/>
    <w:rsid w:val="00424A80"/>
    <w:rsid w:val="00424B78"/>
    <w:rsid w:val="00424C07"/>
    <w:rsid w:val="00424C9A"/>
    <w:rsid w:val="00424DCE"/>
    <w:rsid w:val="00424DDF"/>
    <w:rsid w:val="00424E22"/>
    <w:rsid w:val="0042512E"/>
    <w:rsid w:val="00425327"/>
    <w:rsid w:val="00425365"/>
    <w:rsid w:val="00425378"/>
    <w:rsid w:val="00425582"/>
    <w:rsid w:val="0042558F"/>
    <w:rsid w:val="004255CB"/>
    <w:rsid w:val="00425603"/>
    <w:rsid w:val="00425701"/>
    <w:rsid w:val="00425C1E"/>
    <w:rsid w:val="00425C8F"/>
    <w:rsid w:val="00425F05"/>
    <w:rsid w:val="00425FAD"/>
    <w:rsid w:val="00426552"/>
    <w:rsid w:val="0042663C"/>
    <w:rsid w:val="00426686"/>
    <w:rsid w:val="004266BF"/>
    <w:rsid w:val="004268FB"/>
    <w:rsid w:val="00426A2A"/>
    <w:rsid w:val="00426A81"/>
    <w:rsid w:val="00426AA1"/>
    <w:rsid w:val="00426B6D"/>
    <w:rsid w:val="00426DE0"/>
    <w:rsid w:val="00426F12"/>
    <w:rsid w:val="00426F7F"/>
    <w:rsid w:val="00427043"/>
    <w:rsid w:val="0042707A"/>
    <w:rsid w:val="004272DB"/>
    <w:rsid w:val="004275E3"/>
    <w:rsid w:val="004276C8"/>
    <w:rsid w:val="004278A7"/>
    <w:rsid w:val="004279FD"/>
    <w:rsid w:val="00427C00"/>
    <w:rsid w:val="00427C25"/>
    <w:rsid w:val="00427D54"/>
    <w:rsid w:val="00427F49"/>
    <w:rsid w:val="00430049"/>
    <w:rsid w:val="00430204"/>
    <w:rsid w:val="004302FF"/>
    <w:rsid w:val="004303F6"/>
    <w:rsid w:val="004304C1"/>
    <w:rsid w:val="004307A3"/>
    <w:rsid w:val="004309D9"/>
    <w:rsid w:val="00430B9D"/>
    <w:rsid w:val="00430CB4"/>
    <w:rsid w:val="00430D74"/>
    <w:rsid w:val="00430E4C"/>
    <w:rsid w:val="00431481"/>
    <w:rsid w:val="00431490"/>
    <w:rsid w:val="004314B1"/>
    <w:rsid w:val="00431750"/>
    <w:rsid w:val="004319D6"/>
    <w:rsid w:val="00432239"/>
    <w:rsid w:val="004322DA"/>
    <w:rsid w:val="00432413"/>
    <w:rsid w:val="00432477"/>
    <w:rsid w:val="00432571"/>
    <w:rsid w:val="00432716"/>
    <w:rsid w:val="00432728"/>
    <w:rsid w:val="00432789"/>
    <w:rsid w:val="00432AC9"/>
    <w:rsid w:val="00432E69"/>
    <w:rsid w:val="00432E83"/>
    <w:rsid w:val="00432F62"/>
    <w:rsid w:val="00432F7B"/>
    <w:rsid w:val="004330D3"/>
    <w:rsid w:val="004334B8"/>
    <w:rsid w:val="004335AE"/>
    <w:rsid w:val="004335C7"/>
    <w:rsid w:val="00433613"/>
    <w:rsid w:val="00433744"/>
    <w:rsid w:val="004339A7"/>
    <w:rsid w:val="00433A5D"/>
    <w:rsid w:val="00433A89"/>
    <w:rsid w:val="00433D25"/>
    <w:rsid w:val="00434069"/>
    <w:rsid w:val="0043410D"/>
    <w:rsid w:val="0043451B"/>
    <w:rsid w:val="004346B4"/>
    <w:rsid w:val="00434A06"/>
    <w:rsid w:val="00434A49"/>
    <w:rsid w:val="00434AA7"/>
    <w:rsid w:val="00434BE8"/>
    <w:rsid w:val="00434C93"/>
    <w:rsid w:val="00435303"/>
    <w:rsid w:val="00435333"/>
    <w:rsid w:val="00435431"/>
    <w:rsid w:val="0043561F"/>
    <w:rsid w:val="0043579A"/>
    <w:rsid w:val="004357F1"/>
    <w:rsid w:val="00435C7B"/>
    <w:rsid w:val="00435CC0"/>
    <w:rsid w:val="00435D1D"/>
    <w:rsid w:val="00435F2F"/>
    <w:rsid w:val="00435F54"/>
    <w:rsid w:val="004361BD"/>
    <w:rsid w:val="00436619"/>
    <w:rsid w:val="004366B7"/>
    <w:rsid w:val="00436936"/>
    <w:rsid w:val="0043693A"/>
    <w:rsid w:val="00436C41"/>
    <w:rsid w:val="00436C47"/>
    <w:rsid w:val="004370D6"/>
    <w:rsid w:val="00437113"/>
    <w:rsid w:val="0043736C"/>
    <w:rsid w:val="00437458"/>
    <w:rsid w:val="0043763F"/>
    <w:rsid w:val="004376A5"/>
    <w:rsid w:val="0043770C"/>
    <w:rsid w:val="00437717"/>
    <w:rsid w:val="00437721"/>
    <w:rsid w:val="004377FE"/>
    <w:rsid w:val="00437A59"/>
    <w:rsid w:val="00437A7E"/>
    <w:rsid w:val="00437AB2"/>
    <w:rsid w:val="00437B06"/>
    <w:rsid w:val="00437B46"/>
    <w:rsid w:val="00437B96"/>
    <w:rsid w:val="00437C23"/>
    <w:rsid w:val="00437C2B"/>
    <w:rsid w:val="00440010"/>
    <w:rsid w:val="00440063"/>
    <w:rsid w:val="004401B8"/>
    <w:rsid w:val="00440310"/>
    <w:rsid w:val="00440356"/>
    <w:rsid w:val="0044045F"/>
    <w:rsid w:val="0044062F"/>
    <w:rsid w:val="00440793"/>
    <w:rsid w:val="00440901"/>
    <w:rsid w:val="00440D4E"/>
    <w:rsid w:val="00440E18"/>
    <w:rsid w:val="00440F62"/>
    <w:rsid w:val="00441098"/>
    <w:rsid w:val="00441130"/>
    <w:rsid w:val="00441230"/>
    <w:rsid w:val="0044140D"/>
    <w:rsid w:val="0044165B"/>
    <w:rsid w:val="004418A6"/>
    <w:rsid w:val="00441A67"/>
    <w:rsid w:val="00441B20"/>
    <w:rsid w:val="00441BDD"/>
    <w:rsid w:val="00441CF4"/>
    <w:rsid w:val="00441D4E"/>
    <w:rsid w:val="00441EE9"/>
    <w:rsid w:val="00441F3C"/>
    <w:rsid w:val="0044200C"/>
    <w:rsid w:val="00442095"/>
    <w:rsid w:val="004427FA"/>
    <w:rsid w:val="00442B13"/>
    <w:rsid w:val="00442D87"/>
    <w:rsid w:val="00442EB3"/>
    <w:rsid w:val="00443825"/>
    <w:rsid w:val="004438A0"/>
    <w:rsid w:val="00443B1A"/>
    <w:rsid w:val="00443C21"/>
    <w:rsid w:val="00443C2E"/>
    <w:rsid w:val="00443C8D"/>
    <w:rsid w:val="004440A6"/>
    <w:rsid w:val="0044419A"/>
    <w:rsid w:val="00444394"/>
    <w:rsid w:val="00444404"/>
    <w:rsid w:val="00444C1B"/>
    <w:rsid w:val="00444E14"/>
    <w:rsid w:val="004450D9"/>
    <w:rsid w:val="00445115"/>
    <w:rsid w:val="00445137"/>
    <w:rsid w:val="00445232"/>
    <w:rsid w:val="00445417"/>
    <w:rsid w:val="0044555B"/>
    <w:rsid w:val="0044597E"/>
    <w:rsid w:val="00445A09"/>
    <w:rsid w:val="00445B17"/>
    <w:rsid w:val="00445B6D"/>
    <w:rsid w:val="00445C16"/>
    <w:rsid w:val="00445D9D"/>
    <w:rsid w:val="00445FDC"/>
    <w:rsid w:val="00446018"/>
    <w:rsid w:val="004460B7"/>
    <w:rsid w:val="00446267"/>
    <w:rsid w:val="004465DE"/>
    <w:rsid w:val="00446A65"/>
    <w:rsid w:val="00446B81"/>
    <w:rsid w:val="00446E14"/>
    <w:rsid w:val="00446E2A"/>
    <w:rsid w:val="00447030"/>
    <w:rsid w:val="00447269"/>
    <w:rsid w:val="004472A3"/>
    <w:rsid w:val="0044739B"/>
    <w:rsid w:val="00447785"/>
    <w:rsid w:val="004479D0"/>
    <w:rsid w:val="00447AC1"/>
    <w:rsid w:val="004502B1"/>
    <w:rsid w:val="004502D2"/>
    <w:rsid w:val="004502D6"/>
    <w:rsid w:val="00450882"/>
    <w:rsid w:val="004509E4"/>
    <w:rsid w:val="00450C34"/>
    <w:rsid w:val="00450C97"/>
    <w:rsid w:val="0045101D"/>
    <w:rsid w:val="00451063"/>
    <w:rsid w:val="00451191"/>
    <w:rsid w:val="0045121B"/>
    <w:rsid w:val="004513C3"/>
    <w:rsid w:val="0045141D"/>
    <w:rsid w:val="004514C8"/>
    <w:rsid w:val="004517D6"/>
    <w:rsid w:val="004517FC"/>
    <w:rsid w:val="00451997"/>
    <w:rsid w:val="004519BE"/>
    <w:rsid w:val="00451F05"/>
    <w:rsid w:val="0045232A"/>
    <w:rsid w:val="0045236D"/>
    <w:rsid w:val="00452439"/>
    <w:rsid w:val="00452464"/>
    <w:rsid w:val="00452762"/>
    <w:rsid w:val="00452A8B"/>
    <w:rsid w:val="00452AC1"/>
    <w:rsid w:val="00452BDA"/>
    <w:rsid w:val="00452C57"/>
    <w:rsid w:val="00452C9A"/>
    <w:rsid w:val="00452CAD"/>
    <w:rsid w:val="00452E77"/>
    <w:rsid w:val="00452EAE"/>
    <w:rsid w:val="00453691"/>
    <w:rsid w:val="004536B6"/>
    <w:rsid w:val="00453EB3"/>
    <w:rsid w:val="00453F42"/>
    <w:rsid w:val="004542C6"/>
    <w:rsid w:val="0045436A"/>
    <w:rsid w:val="00454418"/>
    <w:rsid w:val="0045444C"/>
    <w:rsid w:val="00454482"/>
    <w:rsid w:val="0045456E"/>
    <w:rsid w:val="00454599"/>
    <w:rsid w:val="004549E3"/>
    <w:rsid w:val="00454A1E"/>
    <w:rsid w:val="00454AE9"/>
    <w:rsid w:val="00454DE4"/>
    <w:rsid w:val="00454EB4"/>
    <w:rsid w:val="00455040"/>
    <w:rsid w:val="004552B7"/>
    <w:rsid w:val="004555A8"/>
    <w:rsid w:val="004555DF"/>
    <w:rsid w:val="00455697"/>
    <w:rsid w:val="00455856"/>
    <w:rsid w:val="00455929"/>
    <w:rsid w:val="00455BFF"/>
    <w:rsid w:val="00455E07"/>
    <w:rsid w:val="00455FCD"/>
    <w:rsid w:val="0045640D"/>
    <w:rsid w:val="0045645B"/>
    <w:rsid w:val="00456835"/>
    <w:rsid w:val="0045683D"/>
    <w:rsid w:val="0045685B"/>
    <w:rsid w:val="00456974"/>
    <w:rsid w:val="004569D3"/>
    <w:rsid w:val="00456B26"/>
    <w:rsid w:val="00456D1A"/>
    <w:rsid w:val="00456F04"/>
    <w:rsid w:val="00456F23"/>
    <w:rsid w:val="00456FB4"/>
    <w:rsid w:val="00457060"/>
    <w:rsid w:val="004570C6"/>
    <w:rsid w:val="0045721D"/>
    <w:rsid w:val="0045724F"/>
    <w:rsid w:val="00457353"/>
    <w:rsid w:val="00457440"/>
    <w:rsid w:val="004574D7"/>
    <w:rsid w:val="004576F5"/>
    <w:rsid w:val="004577CE"/>
    <w:rsid w:val="00457945"/>
    <w:rsid w:val="00457AC0"/>
    <w:rsid w:val="00460043"/>
    <w:rsid w:val="004602EB"/>
    <w:rsid w:val="0046056A"/>
    <w:rsid w:val="004605A8"/>
    <w:rsid w:val="004605B7"/>
    <w:rsid w:val="004606B7"/>
    <w:rsid w:val="00460A75"/>
    <w:rsid w:val="00460B31"/>
    <w:rsid w:val="00460CC1"/>
    <w:rsid w:val="00460DCD"/>
    <w:rsid w:val="00461065"/>
    <w:rsid w:val="00461211"/>
    <w:rsid w:val="00461381"/>
    <w:rsid w:val="004615B7"/>
    <w:rsid w:val="0046175F"/>
    <w:rsid w:val="0046186F"/>
    <w:rsid w:val="00461A49"/>
    <w:rsid w:val="00461A96"/>
    <w:rsid w:val="00461C42"/>
    <w:rsid w:val="00461D94"/>
    <w:rsid w:val="004622BE"/>
    <w:rsid w:val="00462981"/>
    <w:rsid w:val="00462992"/>
    <w:rsid w:val="00462EBD"/>
    <w:rsid w:val="00463114"/>
    <w:rsid w:val="004631EA"/>
    <w:rsid w:val="00463338"/>
    <w:rsid w:val="00463487"/>
    <w:rsid w:val="00463743"/>
    <w:rsid w:val="004639AA"/>
    <w:rsid w:val="004639FD"/>
    <w:rsid w:val="00463CD9"/>
    <w:rsid w:val="00463E4B"/>
    <w:rsid w:val="00463ED8"/>
    <w:rsid w:val="004641CF"/>
    <w:rsid w:val="004641F1"/>
    <w:rsid w:val="004645CF"/>
    <w:rsid w:val="00464602"/>
    <w:rsid w:val="0046462D"/>
    <w:rsid w:val="004646F3"/>
    <w:rsid w:val="004647B9"/>
    <w:rsid w:val="00464805"/>
    <w:rsid w:val="00464909"/>
    <w:rsid w:val="00464933"/>
    <w:rsid w:val="004651D9"/>
    <w:rsid w:val="00465215"/>
    <w:rsid w:val="00465260"/>
    <w:rsid w:val="00465315"/>
    <w:rsid w:val="004654A0"/>
    <w:rsid w:val="00465552"/>
    <w:rsid w:val="00465725"/>
    <w:rsid w:val="00465828"/>
    <w:rsid w:val="004658BA"/>
    <w:rsid w:val="00465B02"/>
    <w:rsid w:val="0046630A"/>
    <w:rsid w:val="0046650E"/>
    <w:rsid w:val="00466514"/>
    <w:rsid w:val="0046659A"/>
    <w:rsid w:val="0046683F"/>
    <w:rsid w:val="00466890"/>
    <w:rsid w:val="00466891"/>
    <w:rsid w:val="004669EE"/>
    <w:rsid w:val="00466BEC"/>
    <w:rsid w:val="00466C9B"/>
    <w:rsid w:val="00466D16"/>
    <w:rsid w:val="00466D6D"/>
    <w:rsid w:val="00466F83"/>
    <w:rsid w:val="00467032"/>
    <w:rsid w:val="004670C7"/>
    <w:rsid w:val="004670DB"/>
    <w:rsid w:val="004670ED"/>
    <w:rsid w:val="004672D0"/>
    <w:rsid w:val="00467562"/>
    <w:rsid w:val="0046764E"/>
    <w:rsid w:val="004676C3"/>
    <w:rsid w:val="00467711"/>
    <w:rsid w:val="004677EC"/>
    <w:rsid w:val="00467CFF"/>
    <w:rsid w:val="00467D17"/>
    <w:rsid w:val="00467DD6"/>
    <w:rsid w:val="00467FB7"/>
    <w:rsid w:val="00470313"/>
    <w:rsid w:val="004705A1"/>
    <w:rsid w:val="00470673"/>
    <w:rsid w:val="00470AC5"/>
    <w:rsid w:val="00470C2C"/>
    <w:rsid w:val="00470F8F"/>
    <w:rsid w:val="00470FAA"/>
    <w:rsid w:val="00471236"/>
    <w:rsid w:val="0047135F"/>
    <w:rsid w:val="00471531"/>
    <w:rsid w:val="004717B9"/>
    <w:rsid w:val="0047191C"/>
    <w:rsid w:val="00471BCB"/>
    <w:rsid w:val="00472468"/>
    <w:rsid w:val="004725EF"/>
    <w:rsid w:val="00472828"/>
    <w:rsid w:val="0047292A"/>
    <w:rsid w:val="00472982"/>
    <w:rsid w:val="00472EFD"/>
    <w:rsid w:val="00472F77"/>
    <w:rsid w:val="004731FE"/>
    <w:rsid w:val="00473268"/>
    <w:rsid w:val="0047341A"/>
    <w:rsid w:val="00473529"/>
    <w:rsid w:val="004735EE"/>
    <w:rsid w:val="00473638"/>
    <w:rsid w:val="0047368D"/>
    <w:rsid w:val="004736FC"/>
    <w:rsid w:val="004738C6"/>
    <w:rsid w:val="004739CA"/>
    <w:rsid w:val="00473ACB"/>
    <w:rsid w:val="00473D3C"/>
    <w:rsid w:val="00473D6C"/>
    <w:rsid w:val="00473DFE"/>
    <w:rsid w:val="00473E01"/>
    <w:rsid w:val="00473E10"/>
    <w:rsid w:val="00473F24"/>
    <w:rsid w:val="004743EB"/>
    <w:rsid w:val="0047497C"/>
    <w:rsid w:val="00474A2F"/>
    <w:rsid w:val="00474A73"/>
    <w:rsid w:val="00474A8C"/>
    <w:rsid w:val="00474AF7"/>
    <w:rsid w:val="00474BFB"/>
    <w:rsid w:val="00474C11"/>
    <w:rsid w:val="00474CB0"/>
    <w:rsid w:val="00474EAF"/>
    <w:rsid w:val="00474F9A"/>
    <w:rsid w:val="0047523E"/>
    <w:rsid w:val="004753BA"/>
    <w:rsid w:val="004758A3"/>
    <w:rsid w:val="0047592D"/>
    <w:rsid w:val="00475A3B"/>
    <w:rsid w:val="00475AF0"/>
    <w:rsid w:val="00475B4F"/>
    <w:rsid w:val="00475C61"/>
    <w:rsid w:val="00476021"/>
    <w:rsid w:val="00476033"/>
    <w:rsid w:val="0047608B"/>
    <w:rsid w:val="004763A2"/>
    <w:rsid w:val="00476491"/>
    <w:rsid w:val="00476493"/>
    <w:rsid w:val="00476496"/>
    <w:rsid w:val="0047663E"/>
    <w:rsid w:val="004769F2"/>
    <w:rsid w:val="00476B2E"/>
    <w:rsid w:val="00476C1D"/>
    <w:rsid w:val="00476EF2"/>
    <w:rsid w:val="00477136"/>
    <w:rsid w:val="0047720E"/>
    <w:rsid w:val="00477233"/>
    <w:rsid w:val="004773DF"/>
    <w:rsid w:val="00477401"/>
    <w:rsid w:val="00477416"/>
    <w:rsid w:val="0047748A"/>
    <w:rsid w:val="00477732"/>
    <w:rsid w:val="00477BE5"/>
    <w:rsid w:val="00477D57"/>
    <w:rsid w:val="00477F51"/>
    <w:rsid w:val="00477FCD"/>
    <w:rsid w:val="00480147"/>
    <w:rsid w:val="0048028E"/>
    <w:rsid w:val="004807E1"/>
    <w:rsid w:val="004808AF"/>
    <w:rsid w:val="00480994"/>
    <w:rsid w:val="00480DAA"/>
    <w:rsid w:val="004810B5"/>
    <w:rsid w:val="00481148"/>
    <w:rsid w:val="00481168"/>
    <w:rsid w:val="004811AD"/>
    <w:rsid w:val="0048158D"/>
    <w:rsid w:val="00481D16"/>
    <w:rsid w:val="00481EFA"/>
    <w:rsid w:val="00482012"/>
    <w:rsid w:val="0048237E"/>
    <w:rsid w:val="0048238B"/>
    <w:rsid w:val="00482524"/>
    <w:rsid w:val="00482550"/>
    <w:rsid w:val="00482562"/>
    <w:rsid w:val="004825C2"/>
    <w:rsid w:val="00482707"/>
    <w:rsid w:val="004828F9"/>
    <w:rsid w:val="00482941"/>
    <w:rsid w:val="00482A5D"/>
    <w:rsid w:val="00482A7E"/>
    <w:rsid w:val="00482C9F"/>
    <w:rsid w:val="00482CA6"/>
    <w:rsid w:val="00482D7C"/>
    <w:rsid w:val="00482EDD"/>
    <w:rsid w:val="00482F76"/>
    <w:rsid w:val="00482FDB"/>
    <w:rsid w:val="0048331E"/>
    <w:rsid w:val="004833A8"/>
    <w:rsid w:val="00483410"/>
    <w:rsid w:val="00483575"/>
    <w:rsid w:val="00483842"/>
    <w:rsid w:val="00483CAC"/>
    <w:rsid w:val="00483DA1"/>
    <w:rsid w:val="00483FE2"/>
    <w:rsid w:val="00483FF3"/>
    <w:rsid w:val="00484074"/>
    <w:rsid w:val="00484258"/>
    <w:rsid w:val="0048448B"/>
    <w:rsid w:val="004844A1"/>
    <w:rsid w:val="00484578"/>
    <w:rsid w:val="00484593"/>
    <w:rsid w:val="0048473F"/>
    <w:rsid w:val="004847AD"/>
    <w:rsid w:val="004849E2"/>
    <w:rsid w:val="00484B66"/>
    <w:rsid w:val="00484D6B"/>
    <w:rsid w:val="00485139"/>
    <w:rsid w:val="00485277"/>
    <w:rsid w:val="0048540C"/>
    <w:rsid w:val="004857EC"/>
    <w:rsid w:val="00485828"/>
    <w:rsid w:val="004858C4"/>
    <w:rsid w:val="004859C6"/>
    <w:rsid w:val="00485A26"/>
    <w:rsid w:val="00485A2D"/>
    <w:rsid w:val="00485AC8"/>
    <w:rsid w:val="00485FE3"/>
    <w:rsid w:val="00486019"/>
    <w:rsid w:val="00486671"/>
    <w:rsid w:val="004867A0"/>
    <w:rsid w:val="00486900"/>
    <w:rsid w:val="00486B9D"/>
    <w:rsid w:val="00486BAA"/>
    <w:rsid w:val="00486D31"/>
    <w:rsid w:val="00486D91"/>
    <w:rsid w:val="00486EDE"/>
    <w:rsid w:val="00486F2A"/>
    <w:rsid w:val="00487076"/>
    <w:rsid w:val="0048735A"/>
    <w:rsid w:val="00487469"/>
    <w:rsid w:val="00487517"/>
    <w:rsid w:val="00487880"/>
    <w:rsid w:val="0048798C"/>
    <w:rsid w:val="00487AF8"/>
    <w:rsid w:val="00487B21"/>
    <w:rsid w:val="00487BD0"/>
    <w:rsid w:val="0049014E"/>
    <w:rsid w:val="00490222"/>
    <w:rsid w:val="004903BC"/>
    <w:rsid w:val="0049053F"/>
    <w:rsid w:val="00490611"/>
    <w:rsid w:val="004906B3"/>
    <w:rsid w:val="004907E0"/>
    <w:rsid w:val="00490810"/>
    <w:rsid w:val="00490815"/>
    <w:rsid w:val="004908DD"/>
    <w:rsid w:val="00490C8C"/>
    <w:rsid w:val="00490D1F"/>
    <w:rsid w:val="00490D26"/>
    <w:rsid w:val="004910AC"/>
    <w:rsid w:val="004912EF"/>
    <w:rsid w:val="0049186B"/>
    <w:rsid w:val="004918D6"/>
    <w:rsid w:val="00491CE7"/>
    <w:rsid w:val="00491D1C"/>
    <w:rsid w:val="00491E42"/>
    <w:rsid w:val="00492072"/>
    <w:rsid w:val="004920B0"/>
    <w:rsid w:val="0049225A"/>
    <w:rsid w:val="00492379"/>
    <w:rsid w:val="00492426"/>
    <w:rsid w:val="004925F6"/>
    <w:rsid w:val="00492648"/>
    <w:rsid w:val="004926A7"/>
    <w:rsid w:val="00492927"/>
    <w:rsid w:val="00492AE5"/>
    <w:rsid w:val="00493123"/>
    <w:rsid w:val="004932E8"/>
    <w:rsid w:val="004933C4"/>
    <w:rsid w:val="004935EC"/>
    <w:rsid w:val="0049365A"/>
    <w:rsid w:val="00493728"/>
    <w:rsid w:val="004938A6"/>
    <w:rsid w:val="004938A8"/>
    <w:rsid w:val="00493B78"/>
    <w:rsid w:val="00493E3D"/>
    <w:rsid w:val="00493FBA"/>
    <w:rsid w:val="004943EA"/>
    <w:rsid w:val="004947E3"/>
    <w:rsid w:val="00494B1E"/>
    <w:rsid w:val="00494D47"/>
    <w:rsid w:val="004950C4"/>
    <w:rsid w:val="004950D3"/>
    <w:rsid w:val="00495317"/>
    <w:rsid w:val="00495433"/>
    <w:rsid w:val="0049547D"/>
    <w:rsid w:val="0049573B"/>
    <w:rsid w:val="00495783"/>
    <w:rsid w:val="004957A8"/>
    <w:rsid w:val="0049590D"/>
    <w:rsid w:val="00495AA0"/>
    <w:rsid w:val="00495C2C"/>
    <w:rsid w:val="00495D16"/>
    <w:rsid w:val="00495E24"/>
    <w:rsid w:val="00495E80"/>
    <w:rsid w:val="004961B1"/>
    <w:rsid w:val="00496218"/>
    <w:rsid w:val="0049629C"/>
    <w:rsid w:val="004963C7"/>
    <w:rsid w:val="00496481"/>
    <w:rsid w:val="0049691C"/>
    <w:rsid w:val="004969A3"/>
    <w:rsid w:val="00496DDC"/>
    <w:rsid w:val="00497215"/>
    <w:rsid w:val="00497240"/>
    <w:rsid w:val="004977A1"/>
    <w:rsid w:val="00497894"/>
    <w:rsid w:val="00497BC6"/>
    <w:rsid w:val="00497CAC"/>
    <w:rsid w:val="00497E92"/>
    <w:rsid w:val="00497EE4"/>
    <w:rsid w:val="00497F10"/>
    <w:rsid w:val="004A006E"/>
    <w:rsid w:val="004A0582"/>
    <w:rsid w:val="004A09ED"/>
    <w:rsid w:val="004A0AC8"/>
    <w:rsid w:val="004A0E0D"/>
    <w:rsid w:val="004A1273"/>
    <w:rsid w:val="004A1294"/>
    <w:rsid w:val="004A145F"/>
    <w:rsid w:val="004A1674"/>
    <w:rsid w:val="004A16EB"/>
    <w:rsid w:val="004A180E"/>
    <w:rsid w:val="004A194E"/>
    <w:rsid w:val="004A1958"/>
    <w:rsid w:val="004A19A1"/>
    <w:rsid w:val="004A1A23"/>
    <w:rsid w:val="004A1C54"/>
    <w:rsid w:val="004A1DC0"/>
    <w:rsid w:val="004A204C"/>
    <w:rsid w:val="004A2091"/>
    <w:rsid w:val="004A2299"/>
    <w:rsid w:val="004A26C4"/>
    <w:rsid w:val="004A2720"/>
    <w:rsid w:val="004A27DE"/>
    <w:rsid w:val="004A2897"/>
    <w:rsid w:val="004A2C40"/>
    <w:rsid w:val="004A2C5B"/>
    <w:rsid w:val="004A2E54"/>
    <w:rsid w:val="004A2FFC"/>
    <w:rsid w:val="004A30DE"/>
    <w:rsid w:val="004A30F4"/>
    <w:rsid w:val="004A3395"/>
    <w:rsid w:val="004A36DC"/>
    <w:rsid w:val="004A399D"/>
    <w:rsid w:val="004A3B42"/>
    <w:rsid w:val="004A3C72"/>
    <w:rsid w:val="004A3E1A"/>
    <w:rsid w:val="004A3FC0"/>
    <w:rsid w:val="004A3FFF"/>
    <w:rsid w:val="004A4117"/>
    <w:rsid w:val="004A45D0"/>
    <w:rsid w:val="004A465E"/>
    <w:rsid w:val="004A46C4"/>
    <w:rsid w:val="004A4771"/>
    <w:rsid w:val="004A47E6"/>
    <w:rsid w:val="004A4924"/>
    <w:rsid w:val="004A4C7C"/>
    <w:rsid w:val="004A4CFB"/>
    <w:rsid w:val="004A4D00"/>
    <w:rsid w:val="004A4D34"/>
    <w:rsid w:val="004A4DCD"/>
    <w:rsid w:val="004A4ED7"/>
    <w:rsid w:val="004A4F09"/>
    <w:rsid w:val="004A4FCF"/>
    <w:rsid w:val="004A4FEF"/>
    <w:rsid w:val="004A52AB"/>
    <w:rsid w:val="004A53F3"/>
    <w:rsid w:val="004A5504"/>
    <w:rsid w:val="004A556B"/>
    <w:rsid w:val="004A591E"/>
    <w:rsid w:val="004A5DE3"/>
    <w:rsid w:val="004A5F36"/>
    <w:rsid w:val="004A6058"/>
    <w:rsid w:val="004A61DC"/>
    <w:rsid w:val="004A62C1"/>
    <w:rsid w:val="004A6A17"/>
    <w:rsid w:val="004A6B83"/>
    <w:rsid w:val="004A6CEC"/>
    <w:rsid w:val="004A6F3D"/>
    <w:rsid w:val="004A6F8B"/>
    <w:rsid w:val="004A705E"/>
    <w:rsid w:val="004A70DB"/>
    <w:rsid w:val="004A7120"/>
    <w:rsid w:val="004A72DA"/>
    <w:rsid w:val="004A734C"/>
    <w:rsid w:val="004A749C"/>
    <w:rsid w:val="004A760E"/>
    <w:rsid w:val="004A771A"/>
    <w:rsid w:val="004A7B7B"/>
    <w:rsid w:val="004A7CBC"/>
    <w:rsid w:val="004A7D44"/>
    <w:rsid w:val="004A7DED"/>
    <w:rsid w:val="004B021C"/>
    <w:rsid w:val="004B02EB"/>
    <w:rsid w:val="004B035D"/>
    <w:rsid w:val="004B040B"/>
    <w:rsid w:val="004B0510"/>
    <w:rsid w:val="004B06D5"/>
    <w:rsid w:val="004B08FF"/>
    <w:rsid w:val="004B0B8C"/>
    <w:rsid w:val="004B0C32"/>
    <w:rsid w:val="004B0C7D"/>
    <w:rsid w:val="004B0D08"/>
    <w:rsid w:val="004B12F6"/>
    <w:rsid w:val="004B1560"/>
    <w:rsid w:val="004B1715"/>
    <w:rsid w:val="004B1774"/>
    <w:rsid w:val="004B1A13"/>
    <w:rsid w:val="004B1AB6"/>
    <w:rsid w:val="004B1B2E"/>
    <w:rsid w:val="004B1D22"/>
    <w:rsid w:val="004B1E76"/>
    <w:rsid w:val="004B1E89"/>
    <w:rsid w:val="004B1F87"/>
    <w:rsid w:val="004B2071"/>
    <w:rsid w:val="004B20A3"/>
    <w:rsid w:val="004B20E8"/>
    <w:rsid w:val="004B2204"/>
    <w:rsid w:val="004B221A"/>
    <w:rsid w:val="004B23A6"/>
    <w:rsid w:val="004B24ED"/>
    <w:rsid w:val="004B260A"/>
    <w:rsid w:val="004B26F9"/>
    <w:rsid w:val="004B28DF"/>
    <w:rsid w:val="004B2908"/>
    <w:rsid w:val="004B308F"/>
    <w:rsid w:val="004B30DB"/>
    <w:rsid w:val="004B3196"/>
    <w:rsid w:val="004B33CC"/>
    <w:rsid w:val="004B3474"/>
    <w:rsid w:val="004B3969"/>
    <w:rsid w:val="004B39B9"/>
    <w:rsid w:val="004B39C9"/>
    <w:rsid w:val="004B3A0A"/>
    <w:rsid w:val="004B3C3A"/>
    <w:rsid w:val="004B3CA0"/>
    <w:rsid w:val="004B3CEF"/>
    <w:rsid w:val="004B3D34"/>
    <w:rsid w:val="004B3ED2"/>
    <w:rsid w:val="004B3EDB"/>
    <w:rsid w:val="004B3EFA"/>
    <w:rsid w:val="004B4008"/>
    <w:rsid w:val="004B43BB"/>
    <w:rsid w:val="004B4595"/>
    <w:rsid w:val="004B471F"/>
    <w:rsid w:val="004B47B3"/>
    <w:rsid w:val="004B4888"/>
    <w:rsid w:val="004B4A56"/>
    <w:rsid w:val="004B4B4B"/>
    <w:rsid w:val="004B4C38"/>
    <w:rsid w:val="004B4D7F"/>
    <w:rsid w:val="004B4E07"/>
    <w:rsid w:val="004B4E25"/>
    <w:rsid w:val="004B4EBE"/>
    <w:rsid w:val="004B5207"/>
    <w:rsid w:val="004B594B"/>
    <w:rsid w:val="004B5BAB"/>
    <w:rsid w:val="004B5C2E"/>
    <w:rsid w:val="004B5D0C"/>
    <w:rsid w:val="004B6201"/>
    <w:rsid w:val="004B6210"/>
    <w:rsid w:val="004B6395"/>
    <w:rsid w:val="004B6714"/>
    <w:rsid w:val="004B686B"/>
    <w:rsid w:val="004B6A3D"/>
    <w:rsid w:val="004B6C71"/>
    <w:rsid w:val="004B73C7"/>
    <w:rsid w:val="004B7503"/>
    <w:rsid w:val="004B7537"/>
    <w:rsid w:val="004B774D"/>
    <w:rsid w:val="004B7A65"/>
    <w:rsid w:val="004B7B1E"/>
    <w:rsid w:val="004B7D17"/>
    <w:rsid w:val="004B7D4F"/>
    <w:rsid w:val="004B7F08"/>
    <w:rsid w:val="004C001C"/>
    <w:rsid w:val="004C0312"/>
    <w:rsid w:val="004C03A5"/>
    <w:rsid w:val="004C0581"/>
    <w:rsid w:val="004C05DE"/>
    <w:rsid w:val="004C0867"/>
    <w:rsid w:val="004C0BCE"/>
    <w:rsid w:val="004C0F70"/>
    <w:rsid w:val="004C15D4"/>
    <w:rsid w:val="004C17E9"/>
    <w:rsid w:val="004C1B46"/>
    <w:rsid w:val="004C1B4F"/>
    <w:rsid w:val="004C1DBB"/>
    <w:rsid w:val="004C1E16"/>
    <w:rsid w:val="004C205D"/>
    <w:rsid w:val="004C206A"/>
    <w:rsid w:val="004C22FF"/>
    <w:rsid w:val="004C26FD"/>
    <w:rsid w:val="004C2C5C"/>
    <w:rsid w:val="004C2CD3"/>
    <w:rsid w:val="004C2F98"/>
    <w:rsid w:val="004C3148"/>
    <w:rsid w:val="004C3187"/>
    <w:rsid w:val="004C33AF"/>
    <w:rsid w:val="004C349A"/>
    <w:rsid w:val="004C3564"/>
    <w:rsid w:val="004C3799"/>
    <w:rsid w:val="004C38BD"/>
    <w:rsid w:val="004C3C53"/>
    <w:rsid w:val="004C437E"/>
    <w:rsid w:val="004C461A"/>
    <w:rsid w:val="004C467E"/>
    <w:rsid w:val="004C493C"/>
    <w:rsid w:val="004C49C5"/>
    <w:rsid w:val="004C49E5"/>
    <w:rsid w:val="004C5134"/>
    <w:rsid w:val="004C52E4"/>
    <w:rsid w:val="004C54C7"/>
    <w:rsid w:val="004C5662"/>
    <w:rsid w:val="004C56A5"/>
    <w:rsid w:val="004C5747"/>
    <w:rsid w:val="004C589F"/>
    <w:rsid w:val="004C59D0"/>
    <w:rsid w:val="004C5ADD"/>
    <w:rsid w:val="004C5BC7"/>
    <w:rsid w:val="004C5D44"/>
    <w:rsid w:val="004C6496"/>
    <w:rsid w:val="004C6695"/>
    <w:rsid w:val="004C6990"/>
    <w:rsid w:val="004C6996"/>
    <w:rsid w:val="004C6D3E"/>
    <w:rsid w:val="004C6EB0"/>
    <w:rsid w:val="004C71DB"/>
    <w:rsid w:val="004C722A"/>
    <w:rsid w:val="004C727C"/>
    <w:rsid w:val="004C72EC"/>
    <w:rsid w:val="004C73B8"/>
    <w:rsid w:val="004C7435"/>
    <w:rsid w:val="004C74A3"/>
    <w:rsid w:val="004C77F1"/>
    <w:rsid w:val="004C787A"/>
    <w:rsid w:val="004C799A"/>
    <w:rsid w:val="004C79CF"/>
    <w:rsid w:val="004C7A20"/>
    <w:rsid w:val="004C7BBC"/>
    <w:rsid w:val="004C7F55"/>
    <w:rsid w:val="004C7FE5"/>
    <w:rsid w:val="004CC060"/>
    <w:rsid w:val="004D01BF"/>
    <w:rsid w:val="004D03BD"/>
    <w:rsid w:val="004D0518"/>
    <w:rsid w:val="004D05AC"/>
    <w:rsid w:val="004D0791"/>
    <w:rsid w:val="004D09B2"/>
    <w:rsid w:val="004D0D48"/>
    <w:rsid w:val="004D0E91"/>
    <w:rsid w:val="004D10ED"/>
    <w:rsid w:val="004D1253"/>
    <w:rsid w:val="004D1396"/>
    <w:rsid w:val="004D1469"/>
    <w:rsid w:val="004D1533"/>
    <w:rsid w:val="004D15EC"/>
    <w:rsid w:val="004D1AF8"/>
    <w:rsid w:val="004D1BE4"/>
    <w:rsid w:val="004D1ECE"/>
    <w:rsid w:val="004D2009"/>
    <w:rsid w:val="004D2023"/>
    <w:rsid w:val="004D204A"/>
    <w:rsid w:val="004D20BF"/>
    <w:rsid w:val="004D234F"/>
    <w:rsid w:val="004D2420"/>
    <w:rsid w:val="004D25B7"/>
    <w:rsid w:val="004D2647"/>
    <w:rsid w:val="004D2A53"/>
    <w:rsid w:val="004D2B55"/>
    <w:rsid w:val="004D2BB4"/>
    <w:rsid w:val="004D2C84"/>
    <w:rsid w:val="004D303E"/>
    <w:rsid w:val="004D30C5"/>
    <w:rsid w:val="004D332A"/>
    <w:rsid w:val="004D3372"/>
    <w:rsid w:val="004D33FB"/>
    <w:rsid w:val="004D34AF"/>
    <w:rsid w:val="004D3696"/>
    <w:rsid w:val="004D37BE"/>
    <w:rsid w:val="004D3836"/>
    <w:rsid w:val="004D3A73"/>
    <w:rsid w:val="004D3CA2"/>
    <w:rsid w:val="004D3E1E"/>
    <w:rsid w:val="004D3ED7"/>
    <w:rsid w:val="004D4162"/>
    <w:rsid w:val="004D42A9"/>
    <w:rsid w:val="004D436F"/>
    <w:rsid w:val="004D44B3"/>
    <w:rsid w:val="004D4665"/>
    <w:rsid w:val="004D4AB2"/>
    <w:rsid w:val="004D4B6D"/>
    <w:rsid w:val="004D4D55"/>
    <w:rsid w:val="004D4F54"/>
    <w:rsid w:val="004D56DD"/>
    <w:rsid w:val="004D56FE"/>
    <w:rsid w:val="004D574C"/>
    <w:rsid w:val="004D5761"/>
    <w:rsid w:val="004D5973"/>
    <w:rsid w:val="004D5BD3"/>
    <w:rsid w:val="004D5E8C"/>
    <w:rsid w:val="004D605D"/>
    <w:rsid w:val="004D607F"/>
    <w:rsid w:val="004D60AD"/>
    <w:rsid w:val="004D6161"/>
    <w:rsid w:val="004D619E"/>
    <w:rsid w:val="004D61CF"/>
    <w:rsid w:val="004D64F3"/>
    <w:rsid w:val="004D662F"/>
    <w:rsid w:val="004D66CD"/>
    <w:rsid w:val="004D66D0"/>
    <w:rsid w:val="004D67C5"/>
    <w:rsid w:val="004D6A66"/>
    <w:rsid w:val="004D6B8C"/>
    <w:rsid w:val="004D6B9D"/>
    <w:rsid w:val="004D6D09"/>
    <w:rsid w:val="004D6D2C"/>
    <w:rsid w:val="004D6ECC"/>
    <w:rsid w:val="004D6F52"/>
    <w:rsid w:val="004D6FF9"/>
    <w:rsid w:val="004D72A5"/>
    <w:rsid w:val="004D749E"/>
    <w:rsid w:val="004D753C"/>
    <w:rsid w:val="004D776C"/>
    <w:rsid w:val="004D781F"/>
    <w:rsid w:val="004D7834"/>
    <w:rsid w:val="004D7937"/>
    <w:rsid w:val="004D7A2D"/>
    <w:rsid w:val="004D7ACB"/>
    <w:rsid w:val="004E027F"/>
    <w:rsid w:val="004E036C"/>
    <w:rsid w:val="004E0385"/>
    <w:rsid w:val="004E06C2"/>
    <w:rsid w:val="004E099B"/>
    <w:rsid w:val="004E0C41"/>
    <w:rsid w:val="004E1085"/>
    <w:rsid w:val="004E1390"/>
    <w:rsid w:val="004E1596"/>
    <w:rsid w:val="004E174E"/>
    <w:rsid w:val="004E18BF"/>
    <w:rsid w:val="004E1BB0"/>
    <w:rsid w:val="004E1D6E"/>
    <w:rsid w:val="004E1F2B"/>
    <w:rsid w:val="004E2275"/>
    <w:rsid w:val="004E22B6"/>
    <w:rsid w:val="004E24DB"/>
    <w:rsid w:val="004E2524"/>
    <w:rsid w:val="004E2613"/>
    <w:rsid w:val="004E28BB"/>
    <w:rsid w:val="004E2A6A"/>
    <w:rsid w:val="004E2CD3"/>
    <w:rsid w:val="004E2ED2"/>
    <w:rsid w:val="004E2EE8"/>
    <w:rsid w:val="004E2EED"/>
    <w:rsid w:val="004E3197"/>
    <w:rsid w:val="004E31D8"/>
    <w:rsid w:val="004E3211"/>
    <w:rsid w:val="004E33F8"/>
    <w:rsid w:val="004E3636"/>
    <w:rsid w:val="004E3B8E"/>
    <w:rsid w:val="004E3CCC"/>
    <w:rsid w:val="004E3E3B"/>
    <w:rsid w:val="004E40CC"/>
    <w:rsid w:val="004E4385"/>
    <w:rsid w:val="004E44C3"/>
    <w:rsid w:val="004E47CE"/>
    <w:rsid w:val="004E4856"/>
    <w:rsid w:val="004E4D17"/>
    <w:rsid w:val="004E4D49"/>
    <w:rsid w:val="004E4F64"/>
    <w:rsid w:val="004E5116"/>
    <w:rsid w:val="004E5333"/>
    <w:rsid w:val="004E5528"/>
    <w:rsid w:val="004E55ED"/>
    <w:rsid w:val="004E593A"/>
    <w:rsid w:val="004E59B7"/>
    <w:rsid w:val="004E5D04"/>
    <w:rsid w:val="004E5FC5"/>
    <w:rsid w:val="004E5FF4"/>
    <w:rsid w:val="004E62E4"/>
    <w:rsid w:val="004E64A0"/>
    <w:rsid w:val="004E64A5"/>
    <w:rsid w:val="004E64EE"/>
    <w:rsid w:val="004E6504"/>
    <w:rsid w:val="004E677A"/>
    <w:rsid w:val="004E6A70"/>
    <w:rsid w:val="004E6C59"/>
    <w:rsid w:val="004E726B"/>
    <w:rsid w:val="004E72F2"/>
    <w:rsid w:val="004E7713"/>
    <w:rsid w:val="004E7786"/>
    <w:rsid w:val="004E786A"/>
    <w:rsid w:val="004E7A81"/>
    <w:rsid w:val="004F009D"/>
    <w:rsid w:val="004F027F"/>
    <w:rsid w:val="004F0327"/>
    <w:rsid w:val="004F032D"/>
    <w:rsid w:val="004F03A9"/>
    <w:rsid w:val="004F077B"/>
    <w:rsid w:val="004F0A6B"/>
    <w:rsid w:val="004F0ACB"/>
    <w:rsid w:val="004F0B17"/>
    <w:rsid w:val="004F0CF2"/>
    <w:rsid w:val="004F0E7E"/>
    <w:rsid w:val="004F0F20"/>
    <w:rsid w:val="004F0FAE"/>
    <w:rsid w:val="004F0FBA"/>
    <w:rsid w:val="004F1190"/>
    <w:rsid w:val="004F1633"/>
    <w:rsid w:val="004F1804"/>
    <w:rsid w:val="004F189B"/>
    <w:rsid w:val="004F18AF"/>
    <w:rsid w:val="004F18EB"/>
    <w:rsid w:val="004F1B1F"/>
    <w:rsid w:val="004F1BA5"/>
    <w:rsid w:val="004F1D53"/>
    <w:rsid w:val="004F1ECC"/>
    <w:rsid w:val="004F2374"/>
    <w:rsid w:val="004F25B8"/>
    <w:rsid w:val="004F278C"/>
    <w:rsid w:val="004F28E0"/>
    <w:rsid w:val="004F2957"/>
    <w:rsid w:val="004F2BB0"/>
    <w:rsid w:val="004F2C90"/>
    <w:rsid w:val="004F2FBC"/>
    <w:rsid w:val="004F30AD"/>
    <w:rsid w:val="004F3123"/>
    <w:rsid w:val="004F32AA"/>
    <w:rsid w:val="004F332C"/>
    <w:rsid w:val="004F34F4"/>
    <w:rsid w:val="004F35E8"/>
    <w:rsid w:val="004F367B"/>
    <w:rsid w:val="004F3845"/>
    <w:rsid w:val="004F38C9"/>
    <w:rsid w:val="004F3B01"/>
    <w:rsid w:val="004F3C2D"/>
    <w:rsid w:val="004F3D31"/>
    <w:rsid w:val="004F3D54"/>
    <w:rsid w:val="004F3ED7"/>
    <w:rsid w:val="004F4119"/>
    <w:rsid w:val="004F417C"/>
    <w:rsid w:val="004F42A2"/>
    <w:rsid w:val="004F434B"/>
    <w:rsid w:val="004F441F"/>
    <w:rsid w:val="004F46DA"/>
    <w:rsid w:val="004F46E7"/>
    <w:rsid w:val="004F47FC"/>
    <w:rsid w:val="004F4945"/>
    <w:rsid w:val="004F49AD"/>
    <w:rsid w:val="004F4AAE"/>
    <w:rsid w:val="004F4B5C"/>
    <w:rsid w:val="004F4B8C"/>
    <w:rsid w:val="004F4DF1"/>
    <w:rsid w:val="004F4E66"/>
    <w:rsid w:val="004F4EFB"/>
    <w:rsid w:val="004F5465"/>
    <w:rsid w:val="004F5614"/>
    <w:rsid w:val="004F562A"/>
    <w:rsid w:val="004F580B"/>
    <w:rsid w:val="004F5A4A"/>
    <w:rsid w:val="004F5AEC"/>
    <w:rsid w:val="004F5D25"/>
    <w:rsid w:val="004F5E65"/>
    <w:rsid w:val="004F5E7D"/>
    <w:rsid w:val="004F5FC3"/>
    <w:rsid w:val="004F5FE4"/>
    <w:rsid w:val="004F63ED"/>
    <w:rsid w:val="004F64E8"/>
    <w:rsid w:val="004F6688"/>
    <w:rsid w:val="004F68C0"/>
    <w:rsid w:val="004F6B77"/>
    <w:rsid w:val="004F6C19"/>
    <w:rsid w:val="004F6CB6"/>
    <w:rsid w:val="004F6D34"/>
    <w:rsid w:val="004F6F49"/>
    <w:rsid w:val="004F6FAC"/>
    <w:rsid w:val="004F711F"/>
    <w:rsid w:val="004F7163"/>
    <w:rsid w:val="004F729F"/>
    <w:rsid w:val="004F72DA"/>
    <w:rsid w:val="004F75DC"/>
    <w:rsid w:val="004F79DB"/>
    <w:rsid w:val="004F7B43"/>
    <w:rsid w:val="004F7D77"/>
    <w:rsid w:val="004F7DA7"/>
    <w:rsid w:val="004F7E63"/>
    <w:rsid w:val="004F7F0B"/>
    <w:rsid w:val="0050006E"/>
    <w:rsid w:val="00500168"/>
    <w:rsid w:val="00500216"/>
    <w:rsid w:val="00500260"/>
    <w:rsid w:val="005002B3"/>
    <w:rsid w:val="005002B5"/>
    <w:rsid w:val="005002FF"/>
    <w:rsid w:val="005004B9"/>
    <w:rsid w:val="00500623"/>
    <w:rsid w:val="0050070C"/>
    <w:rsid w:val="00500846"/>
    <w:rsid w:val="005009C7"/>
    <w:rsid w:val="00500AC8"/>
    <w:rsid w:val="00500AEC"/>
    <w:rsid w:val="00500AF8"/>
    <w:rsid w:val="00500FD4"/>
    <w:rsid w:val="00501136"/>
    <w:rsid w:val="0050126B"/>
    <w:rsid w:val="00501321"/>
    <w:rsid w:val="005013B7"/>
    <w:rsid w:val="0050158E"/>
    <w:rsid w:val="005016AD"/>
    <w:rsid w:val="005017E1"/>
    <w:rsid w:val="00501B3F"/>
    <w:rsid w:val="00501B8C"/>
    <w:rsid w:val="00501B9F"/>
    <w:rsid w:val="00501E5A"/>
    <w:rsid w:val="005022A8"/>
    <w:rsid w:val="00502300"/>
    <w:rsid w:val="0050257B"/>
    <w:rsid w:val="005025CB"/>
    <w:rsid w:val="005026F4"/>
    <w:rsid w:val="00502747"/>
    <w:rsid w:val="0050278A"/>
    <w:rsid w:val="005028E4"/>
    <w:rsid w:val="00502C91"/>
    <w:rsid w:val="00502F2C"/>
    <w:rsid w:val="00502FDA"/>
    <w:rsid w:val="00503216"/>
    <w:rsid w:val="0050325B"/>
    <w:rsid w:val="00503405"/>
    <w:rsid w:val="0050343A"/>
    <w:rsid w:val="005035C1"/>
    <w:rsid w:val="005036BC"/>
    <w:rsid w:val="00503834"/>
    <w:rsid w:val="00503AB7"/>
    <w:rsid w:val="00503D5F"/>
    <w:rsid w:val="00503D9C"/>
    <w:rsid w:val="0050406E"/>
    <w:rsid w:val="005042D7"/>
    <w:rsid w:val="00504535"/>
    <w:rsid w:val="005045DC"/>
    <w:rsid w:val="0050474B"/>
    <w:rsid w:val="0050498D"/>
    <w:rsid w:val="00504B28"/>
    <w:rsid w:val="00504C3F"/>
    <w:rsid w:val="00504D24"/>
    <w:rsid w:val="00505016"/>
    <w:rsid w:val="005050BE"/>
    <w:rsid w:val="00505194"/>
    <w:rsid w:val="0050525E"/>
    <w:rsid w:val="00505326"/>
    <w:rsid w:val="005054D3"/>
    <w:rsid w:val="00505514"/>
    <w:rsid w:val="005056F2"/>
    <w:rsid w:val="00505911"/>
    <w:rsid w:val="00505B03"/>
    <w:rsid w:val="00505D25"/>
    <w:rsid w:val="00505F2A"/>
    <w:rsid w:val="00505FE3"/>
    <w:rsid w:val="00506084"/>
    <w:rsid w:val="00506105"/>
    <w:rsid w:val="0050617D"/>
    <w:rsid w:val="005062CC"/>
    <w:rsid w:val="0050641B"/>
    <w:rsid w:val="00506592"/>
    <w:rsid w:val="00506770"/>
    <w:rsid w:val="00506AD7"/>
    <w:rsid w:val="00506BB1"/>
    <w:rsid w:val="00506BBE"/>
    <w:rsid w:val="00506C61"/>
    <w:rsid w:val="00506C8F"/>
    <w:rsid w:val="00506C99"/>
    <w:rsid w:val="00506D25"/>
    <w:rsid w:val="00506DF7"/>
    <w:rsid w:val="00506F5A"/>
    <w:rsid w:val="0050702B"/>
    <w:rsid w:val="00507283"/>
    <w:rsid w:val="005072C8"/>
    <w:rsid w:val="0050738F"/>
    <w:rsid w:val="0050741F"/>
    <w:rsid w:val="00507713"/>
    <w:rsid w:val="00507714"/>
    <w:rsid w:val="00507786"/>
    <w:rsid w:val="005077EE"/>
    <w:rsid w:val="005078A0"/>
    <w:rsid w:val="00507939"/>
    <w:rsid w:val="00507C98"/>
    <w:rsid w:val="00507D57"/>
    <w:rsid w:val="00507D5F"/>
    <w:rsid w:val="00507F1A"/>
    <w:rsid w:val="0050F36A"/>
    <w:rsid w:val="00510221"/>
    <w:rsid w:val="0051025A"/>
    <w:rsid w:val="005102AD"/>
    <w:rsid w:val="005102DF"/>
    <w:rsid w:val="00510329"/>
    <w:rsid w:val="00510EEF"/>
    <w:rsid w:val="005112E2"/>
    <w:rsid w:val="0051146E"/>
    <w:rsid w:val="00511759"/>
    <w:rsid w:val="00511E97"/>
    <w:rsid w:val="00512194"/>
    <w:rsid w:val="005121D8"/>
    <w:rsid w:val="005125E3"/>
    <w:rsid w:val="0051270E"/>
    <w:rsid w:val="0051286F"/>
    <w:rsid w:val="00512C2A"/>
    <w:rsid w:val="00512C8E"/>
    <w:rsid w:val="00513076"/>
    <w:rsid w:val="00513314"/>
    <w:rsid w:val="0051353D"/>
    <w:rsid w:val="005135CD"/>
    <w:rsid w:val="00513AD0"/>
    <w:rsid w:val="00513DA1"/>
    <w:rsid w:val="00513F71"/>
    <w:rsid w:val="0051404B"/>
    <w:rsid w:val="005140C8"/>
    <w:rsid w:val="0051425D"/>
    <w:rsid w:val="00514331"/>
    <w:rsid w:val="00514393"/>
    <w:rsid w:val="0051451E"/>
    <w:rsid w:val="00514759"/>
    <w:rsid w:val="005147D2"/>
    <w:rsid w:val="0051491A"/>
    <w:rsid w:val="00514C57"/>
    <w:rsid w:val="00514DDF"/>
    <w:rsid w:val="00514FEC"/>
    <w:rsid w:val="0051511D"/>
    <w:rsid w:val="005152E1"/>
    <w:rsid w:val="00515494"/>
    <w:rsid w:val="0051570E"/>
    <w:rsid w:val="00515829"/>
    <w:rsid w:val="005158BD"/>
    <w:rsid w:val="0051590D"/>
    <w:rsid w:val="00515D1E"/>
    <w:rsid w:val="005160CD"/>
    <w:rsid w:val="005161D0"/>
    <w:rsid w:val="00516310"/>
    <w:rsid w:val="005163E2"/>
    <w:rsid w:val="005164CE"/>
    <w:rsid w:val="005165F2"/>
    <w:rsid w:val="00516C24"/>
    <w:rsid w:val="00516CEA"/>
    <w:rsid w:val="00516E2F"/>
    <w:rsid w:val="00516FB6"/>
    <w:rsid w:val="00517225"/>
    <w:rsid w:val="005172B8"/>
    <w:rsid w:val="00517893"/>
    <w:rsid w:val="00517919"/>
    <w:rsid w:val="00517A3A"/>
    <w:rsid w:val="00517B28"/>
    <w:rsid w:val="00517B52"/>
    <w:rsid w:val="00517BF7"/>
    <w:rsid w:val="00517E62"/>
    <w:rsid w:val="00520097"/>
    <w:rsid w:val="005207C7"/>
    <w:rsid w:val="00520A52"/>
    <w:rsid w:val="00520D64"/>
    <w:rsid w:val="00520DEC"/>
    <w:rsid w:val="00520F03"/>
    <w:rsid w:val="00521165"/>
    <w:rsid w:val="005211CE"/>
    <w:rsid w:val="005213F9"/>
    <w:rsid w:val="005215BA"/>
    <w:rsid w:val="00521612"/>
    <w:rsid w:val="00521AB8"/>
    <w:rsid w:val="00521ADA"/>
    <w:rsid w:val="00521B17"/>
    <w:rsid w:val="00521B3D"/>
    <w:rsid w:val="00521BEF"/>
    <w:rsid w:val="00521D7F"/>
    <w:rsid w:val="0052214D"/>
    <w:rsid w:val="00522704"/>
    <w:rsid w:val="00522724"/>
    <w:rsid w:val="00522818"/>
    <w:rsid w:val="00522826"/>
    <w:rsid w:val="00522C0F"/>
    <w:rsid w:val="00522D81"/>
    <w:rsid w:val="00522E25"/>
    <w:rsid w:val="0052300D"/>
    <w:rsid w:val="00523173"/>
    <w:rsid w:val="005231E8"/>
    <w:rsid w:val="00523631"/>
    <w:rsid w:val="00523827"/>
    <w:rsid w:val="005238C9"/>
    <w:rsid w:val="005239A2"/>
    <w:rsid w:val="00523CBB"/>
    <w:rsid w:val="00523E6E"/>
    <w:rsid w:val="00523F9C"/>
    <w:rsid w:val="005241B7"/>
    <w:rsid w:val="005242AF"/>
    <w:rsid w:val="0052437F"/>
    <w:rsid w:val="005243BB"/>
    <w:rsid w:val="0052442F"/>
    <w:rsid w:val="0052445D"/>
    <w:rsid w:val="00524542"/>
    <w:rsid w:val="005246DF"/>
    <w:rsid w:val="00524900"/>
    <w:rsid w:val="00524A95"/>
    <w:rsid w:val="00524B2D"/>
    <w:rsid w:val="00524CCF"/>
    <w:rsid w:val="00524D5A"/>
    <w:rsid w:val="00524E5C"/>
    <w:rsid w:val="0052508E"/>
    <w:rsid w:val="0052515D"/>
    <w:rsid w:val="0052518B"/>
    <w:rsid w:val="00525317"/>
    <w:rsid w:val="005255EC"/>
    <w:rsid w:val="00525702"/>
    <w:rsid w:val="00525B52"/>
    <w:rsid w:val="00525B64"/>
    <w:rsid w:val="00525C4E"/>
    <w:rsid w:val="00525C7E"/>
    <w:rsid w:val="00525D57"/>
    <w:rsid w:val="00525E1A"/>
    <w:rsid w:val="00525FAE"/>
    <w:rsid w:val="0052611F"/>
    <w:rsid w:val="00526137"/>
    <w:rsid w:val="005262EB"/>
    <w:rsid w:val="00526357"/>
    <w:rsid w:val="0052635C"/>
    <w:rsid w:val="005263B8"/>
    <w:rsid w:val="005264CA"/>
    <w:rsid w:val="00526736"/>
    <w:rsid w:val="00526824"/>
    <w:rsid w:val="00526905"/>
    <w:rsid w:val="00526A7D"/>
    <w:rsid w:val="00526D18"/>
    <w:rsid w:val="00527002"/>
    <w:rsid w:val="00527131"/>
    <w:rsid w:val="005272EA"/>
    <w:rsid w:val="0052735E"/>
    <w:rsid w:val="005274D0"/>
    <w:rsid w:val="005274FB"/>
    <w:rsid w:val="00527A47"/>
    <w:rsid w:val="00527E1C"/>
    <w:rsid w:val="00527E5A"/>
    <w:rsid w:val="00527E8E"/>
    <w:rsid w:val="00527F22"/>
    <w:rsid w:val="00527F57"/>
    <w:rsid w:val="005300A3"/>
    <w:rsid w:val="00530126"/>
    <w:rsid w:val="00530250"/>
    <w:rsid w:val="00530367"/>
    <w:rsid w:val="0053038B"/>
    <w:rsid w:val="005303A6"/>
    <w:rsid w:val="005308C6"/>
    <w:rsid w:val="00530B87"/>
    <w:rsid w:val="00530D1E"/>
    <w:rsid w:val="00530F06"/>
    <w:rsid w:val="00530F66"/>
    <w:rsid w:val="00531507"/>
    <w:rsid w:val="005315C4"/>
    <w:rsid w:val="005316E4"/>
    <w:rsid w:val="0053178B"/>
    <w:rsid w:val="00531A9F"/>
    <w:rsid w:val="00531AA1"/>
    <w:rsid w:val="00531ADC"/>
    <w:rsid w:val="00532082"/>
    <w:rsid w:val="005321CB"/>
    <w:rsid w:val="00532428"/>
    <w:rsid w:val="0053244A"/>
    <w:rsid w:val="00532491"/>
    <w:rsid w:val="0053289A"/>
    <w:rsid w:val="00532925"/>
    <w:rsid w:val="00532F47"/>
    <w:rsid w:val="00533043"/>
    <w:rsid w:val="005332F7"/>
    <w:rsid w:val="00533397"/>
    <w:rsid w:val="0053355D"/>
    <w:rsid w:val="005336F8"/>
    <w:rsid w:val="0053388E"/>
    <w:rsid w:val="005339AF"/>
    <w:rsid w:val="00533ADC"/>
    <w:rsid w:val="00533C58"/>
    <w:rsid w:val="00533EFF"/>
    <w:rsid w:val="00534412"/>
    <w:rsid w:val="005344EA"/>
    <w:rsid w:val="005345FD"/>
    <w:rsid w:val="0053468F"/>
    <w:rsid w:val="005347A5"/>
    <w:rsid w:val="0053484D"/>
    <w:rsid w:val="005349B1"/>
    <w:rsid w:val="00534B8D"/>
    <w:rsid w:val="00534F5D"/>
    <w:rsid w:val="0053513F"/>
    <w:rsid w:val="00535554"/>
    <w:rsid w:val="005355BD"/>
    <w:rsid w:val="005357AA"/>
    <w:rsid w:val="005357E8"/>
    <w:rsid w:val="0053589C"/>
    <w:rsid w:val="00535BB5"/>
    <w:rsid w:val="00535E88"/>
    <w:rsid w:val="005360D4"/>
    <w:rsid w:val="005363BE"/>
    <w:rsid w:val="005363E5"/>
    <w:rsid w:val="00536A48"/>
    <w:rsid w:val="00536B27"/>
    <w:rsid w:val="00536C5E"/>
    <w:rsid w:val="00536CEB"/>
    <w:rsid w:val="005372D6"/>
    <w:rsid w:val="0053731B"/>
    <w:rsid w:val="0053755D"/>
    <w:rsid w:val="00537600"/>
    <w:rsid w:val="00537694"/>
    <w:rsid w:val="005378ED"/>
    <w:rsid w:val="00537AE7"/>
    <w:rsid w:val="00537BE0"/>
    <w:rsid w:val="00537CCE"/>
    <w:rsid w:val="00537DB4"/>
    <w:rsid w:val="00537E0D"/>
    <w:rsid w:val="00537F10"/>
    <w:rsid w:val="00537FF0"/>
    <w:rsid w:val="0054018F"/>
    <w:rsid w:val="005401FD"/>
    <w:rsid w:val="0054022F"/>
    <w:rsid w:val="005403D4"/>
    <w:rsid w:val="0054042B"/>
    <w:rsid w:val="00540448"/>
    <w:rsid w:val="00540560"/>
    <w:rsid w:val="00540635"/>
    <w:rsid w:val="005406C9"/>
    <w:rsid w:val="005409F4"/>
    <w:rsid w:val="00540B51"/>
    <w:rsid w:val="00540C81"/>
    <w:rsid w:val="00540CE1"/>
    <w:rsid w:val="00540F09"/>
    <w:rsid w:val="0054116A"/>
    <w:rsid w:val="005411E0"/>
    <w:rsid w:val="0054136B"/>
    <w:rsid w:val="00541443"/>
    <w:rsid w:val="00541557"/>
    <w:rsid w:val="00541565"/>
    <w:rsid w:val="00541711"/>
    <w:rsid w:val="00541A82"/>
    <w:rsid w:val="00541F68"/>
    <w:rsid w:val="00541FAD"/>
    <w:rsid w:val="0054206E"/>
    <w:rsid w:val="00542171"/>
    <w:rsid w:val="0054223D"/>
    <w:rsid w:val="0054238F"/>
    <w:rsid w:val="0054259C"/>
    <w:rsid w:val="00542696"/>
    <w:rsid w:val="00542908"/>
    <w:rsid w:val="00542C28"/>
    <w:rsid w:val="00542C6C"/>
    <w:rsid w:val="00543062"/>
    <w:rsid w:val="0054314E"/>
    <w:rsid w:val="005433C1"/>
    <w:rsid w:val="005433E9"/>
    <w:rsid w:val="0054381B"/>
    <w:rsid w:val="005439B2"/>
    <w:rsid w:val="005439D7"/>
    <w:rsid w:val="00543B04"/>
    <w:rsid w:val="00543E58"/>
    <w:rsid w:val="00543ED0"/>
    <w:rsid w:val="0054405D"/>
    <w:rsid w:val="00544081"/>
    <w:rsid w:val="0054460E"/>
    <w:rsid w:val="005448D1"/>
    <w:rsid w:val="00544A44"/>
    <w:rsid w:val="00544A61"/>
    <w:rsid w:val="00544A90"/>
    <w:rsid w:val="00544BC5"/>
    <w:rsid w:val="00544C54"/>
    <w:rsid w:val="00544D00"/>
    <w:rsid w:val="00544E79"/>
    <w:rsid w:val="00544ED8"/>
    <w:rsid w:val="00545038"/>
    <w:rsid w:val="00545528"/>
    <w:rsid w:val="005457E6"/>
    <w:rsid w:val="005459A0"/>
    <w:rsid w:val="00545F32"/>
    <w:rsid w:val="0054624A"/>
    <w:rsid w:val="0054628F"/>
    <w:rsid w:val="005462DA"/>
    <w:rsid w:val="005463B7"/>
    <w:rsid w:val="005463FB"/>
    <w:rsid w:val="00546564"/>
    <w:rsid w:val="00546BB2"/>
    <w:rsid w:val="00546D44"/>
    <w:rsid w:val="00546E76"/>
    <w:rsid w:val="00546EDD"/>
    <w:rsid w:val="00546F03"/>
    <w:rsid w:val="005470B3"/>
    <w:rsid w:val="0054724E"/>
    <w:rsid w:val="0054742C"/>
    <w:rsid w:val="005476D3"/>
    <w:rsid w:val="00547789"/>
    <w:rsid w:val="00547939"/>
    <w:rsid w:val="0054795B"/>
    <w:rsid w:val="0055014F"/>
    <w:rsid w:val="00550217"/>
    <w:rsid w:val="005502B0"/>
    <w:rsid w:val="00550527"/>
    <w:rsid w:val="00550592"/>
    <w:rsid w:val="005505C6"/>
    <w:rsid w:val="005505F2"/>
    <w:rsid w:val="00550AED"/>
    <w:rsid w:val="00550E98"/>
    <w:rsid w:val="0055110A"/>
    <w:rsid w:val="0055137B"/>
    <w:rsid w:val="0055143F"/>
    <w:rsid w:val="0055150E"/>
    <w:rsid w:val="00551650"/>
    <w:rsid w:val="00551A09"/>
    <w:rsid w:val="00551A20"/>
    <w:rsid w:val="00551DAA"/>
    <w:rsid w:val="00551DB4"/>
    <w:rsid w:val="00551F09"/>
    <w:rsid w:val="00551F4F"/>
    <w:rsid w:val="00551F51"/>
    <w:rsid w:val="00551F90"/>
    <w:rsid w:val="005523ED"/>
    <w:rsid w:val="00552554"/>
    <w:rsid w:val="005525F9"/>
    <w:rsid w:val="005528DC"/>
    <w:rsid w:val="00552A24"/>
    <w:rsid w:val="00552A66"/>
    <w:rsid w:val="00552AD5"/>
    <w:rsid w:val="00552B89"/>
    <w:rsid w:val="00552DFA"/>
    <w:rsid w:val="00552F28"/>
    <w:rsid w:val="00552F30"/>
    <w:rsid w:val="00553081"/>
    <w:rsid w:val="0055320B"/>
    <w:rsid w:val="005534EA"/>
    <w:rsid w:val="0055361A"/>
    <w:rsid w:val="005537FE"/>
    <w:rsid w:val="00553B05"/>
    <w:rsid w:val="00553CCF"/>
    <w:rsid w:val="00553D39"/>
    <w:rsid w:val="00553E41"/>
    <w:rsid w:val="00553F44"/>
    <w:rsid w:val="00553FEA"/>
    <w:rsid w:val="005540E1"/>
    <w:rsid w:val="00554337"/>
    <w:rsid w:val="00554434"/>
    <w:rsid w:val="00554469"/>
    <w:rsid w:val="0055447C"/>
    <w:rsid w:val="005545FB"/>
    <w:rsid w:val="005546FE"/>
    <w:rsid w:val="005547D6"/>
    <w:rsid w:val="005548D3"/>
    <w:rsid w:val="00554AF8"/>
    <w:rsid w:val="00554C8F"/>
    <w:rsid w:val="00554D63"/>
    <w:rsid w:val="00554F1F"/>
    <w:rsid w:val="00555109"/>
    <w:rsid w:val="00555248"/>
    <w:rsid w:val="00555283"/>
    <w:rsid w:val="0055534A"/>
    <w:rsid w:val="00555546"/>
    <w:rsid w:val="0055576D"/>
    <w:rsid w:val="00555838"/>
    <w:rsid w:val="00555B60"/>
    <w:rsid w:val="00555BAF"/>
    <w:rsid w:val="00555CD7"/>
    <w:rsid w:val="00555D3E"/>
    <w:rsid w:val="00555DEC"/>
    <w:rsid w:val="00555DF1"/>
    <w:rsid w:val="00555E14"/>
    <w:rsid w:val="00555E4B"/>
    <w:rsid w:val="00555E61"/>
    <w:rsid w:val="00556191"/>
    <w:rsid w:val="005561A1"/>
    <w:rsid w:val="005561F5"/>
    <w:rsid w:val="0055628A"/>
    <w:rsid w:val="005563C8"/>
    <w:rsid w:val="005563E4"/>
    <w:rsid w:val="005568BE"/>
    <w:rsid w:val="00556A29"/>
    <w:rsid w:val="00556AC0"/>
    <w:rsid w:val="00556BB6"/>
    <w:rsid w:val="00556BBA"/>
    <w:rsid w:val="00556C02"/>
    <w:rsid w:val="00556C9E"/>
    <w:rsid w:val="00556CC7"/>
    <w:rsid w:val="00556E0B"/>
    <w:rsid w:val="00556E8F"/>
    <w:rsid w:val="00556F81"/>
    <w:rsid w:val="00556FB3"/>
    <w:rsid w:val="00556FCF"/>
    <w:rsid w:val="00556FEF"/>
    <w:rsid w:val="00557290"/>
    <w:rsid w:val="0055732D"/>
    <w:rsid w:val="005573D5"/>
    <w:rsid w:val="00557417"/>
    <w:rsid w:val="005574EF"/>
    <w:rsid w:val="005574F5"/>
    <w:rsid w:val="0055790B"/>
    <w:rsid w:val="00557AEF"/>
    <w:rsid w:val="00557C7B"/>
    <w:rsid w:val="00557D3C"/>
    <w:rsid w:val="00560251"/>
    <w:rsid w:val="00560286"/>
    <w:rsid w:val="005603BE"/>
    <w:rsid w:val="005604BB"/>
    <w:rsid w:val="00560AEA"/>
    <w:rsid w:val="00560BA5"/>
    <w:rsid w:val="00560D4A"/>
    <w:rsid w:val="00560DB7"/>
    <w:rsid w:val="005611DD"/>
    <w:rsid w:val="00561454"/>
    <w:rsid w:val="00561824"/>
    <w:rsid w:val="0056197E"/>
    <w:rsid w:val="00561CB4"/>
    <w:rsid w:val="00561D2F"/>
    <w:rsid w:val="00561D67"/>
    <w:rsid w:val="0056220B"/>
    <w:rsid w:val="0056234A"/>
    <w:rsid w:val="005625D2"/>
    <w:rsid w:val="0056268B"/>
    <w:rsid w:val="00562733"/>
    <w:rsid w:val="00562811"/>
    <w:rsid w:val="005628E5"/>
    <w:rsid w:val="00562A00"/>
    <w:rsid w:val="00562E37"/>
    <w:rsid w:val="00562E8D"/>
    <w:rsid w:val="00563282"/>
    <w:rsid w:val="0056332C"/>
    <w:rsid w:val="005633F7"/>
    <w:rsid w:val="005634F0"/>
    <w:rsid w:val="00563514"/>
    <w:rsid w:val="00563800"/>
    <w:rsid w:val="005638E8"/>
    <w:rsid w:val="00563933"/>
    <w:rsid w:val="005639AA"/>
    <w:rsid w:val="00563A10"/>
    <w:rsid w:val="00563B5F"/>
    <w:rsid w:val="00563D93"/>
    <w:rsid w:val="00563DA2"/>
    <w:rsid w:val="00563E0A"/>
    <w:rsid w:val="00563FAE"/>
    <w:rsid w:val="0056448B"/>
    <w:rsid w:val="0056449F"/>
    <w:rsid w:val="0056462C"/>
    <w:rsid w:val="00564781"/>
    <w:rsid w:val="005647EF"/>
    <w:rsid w:val="00564810"/>
    <w:rsid w:val="00564C02"/>
    <w:rsid w:val="00564D6C"/>
    <w:rsid w:val="00564EC4"/>
    <w:rsid w:val="0056500C"/>
    <w:rsid w:val="005651B2"/>
    <w:rsid w:val="005652C3"/>
    <w:rsid w:val="00565492"/>
    <w:rsid w:val="00565595"/>
    <w:rsid w:val="0056566D"/>
    <w:rsid w:val="005658DB"/>
    <w:rsid w:val="00565B8F"/>
    <w:rsid w:val="00565C8A"/>
    <w:rsid w:val="00565D11"/>
    <w:rsid w:val="00565D9E"/>
    <w:rsid w:val="00565DD8"/>
    <w:rsid w:val="0056603D"/>
    <w:rsid w:val="005661AC"/>
    <w:rsid w:val="00566200"/>
    <w:rsid w:val="00566407"/>
    <w:rsid w:val="0056670D"/>
    <w:rsid w:val="0056679C"/>
    <w:rsid w:val="00566908"/>
    <w:rsid w:val="005669BD"/>
    <w:rsid w:val="00566A26"/>
    <w:rsid w:val="00566CFF"/>
    <w:rsid w:val="00566E3D"/>
    <w:rsid w:val="00566F95"/>
    <w:rsid w:val="005671F9"/>
    <w:rsid w:val="005675CA"/>
    <w:rsid w:val="005675E3"/>
    <w:rsid w:val="0056760D"/>
    <w:rsid w:val="005678E3"/>
    <w:rsid w:val="00567AF8"/>
    <w:rsid w:val="00567CE4"/>
    <w:rsid w:val="00567D65"/>
    <w:rsid w:val="00567D6F"/>
    <w:rsid w:val="00567EFE"/>
    <w:rsid w:val="0057012A"/>
    <w:rsid w:val="00570397"/>
    <w:rsid w:val="005703E4"/>
    <w:rsid w:val="005708FE"/>
    <w:rsid w:val="005709C6"/>
    <w:rsid w:val="00570D9A"/>
    <w:rsid w:val="00570F03"/>
    <w:rsid w:val="00570F18"/>
    <w:rsid w:val="00571411"/>
    <w:rsid w:val="0057146A"/>
    <w:rsid w:val="0057149A"/>
    <w:rsid w:val="005715B7"/>
    <w:rsid w:val="00571648"/>
    <w:rsid w:val="005716F6"/>
    <w:rsid w:val="00571820"/>
    <w:rsid w:val="00571841"/>
    <w:rsid w:val="005718A4"/>
    <w:rsid w:val="0057196D"/>
    <w:rsid w:val="00571B3D"/>
    <w:rsid w:val="00571F6E"/>
    <w:rsid w:val="00571FF4"/>
    <w:rsid w:val="00572085"/>
    <w:rsid w:val="005720A6"/>
    <w:rsid w:val="005720ED"/>
    <w:rsid w:val="0057212E"/>
    <w:rsid w:val="0057214E"/>
    <w:rsid w:val="005722E4"/>
    <w:rsid w:val="00572346"/>
    <w:rsid w:val="0057237D"/>
    <w:rsid w:val="00572493"/>
    <w:rsid w:val="0057249E"/>
    <w:rsid w:val="005724A9"/>
    <w:rsid w:val="005724EF"/>
    <w:rsid w:val="00572551"/>
    <w:rsid w:val="00572628"/>
    <w:rsid w:val="00572697"/>
    <w:rsid w:val="005726F2"/>
    <w:rsid w:val="005728AA"/>
    <w:rsid w:val="00572AF7"/>
    <w:rsid w:val="00572BBF"/>
    <w:rsid w:val="00572C96"/>
    <w:rsid w:val="00572E2A"/>
    <w:rsid w:val="00572EC4"/>
    <w:rsid w:val="00573119"/>
    <w:rsid w:val="00573171"/>
    <w:rsid w:val="005737AA"/>
    <w:rsid w:val="00573AE9"/>
    <w:rsid w:val="00573C1F"/>
    <w:rsid w:val="00573CC1"/>
    <w:rsid w:val="005740F2"/>
    <w:rsid w:val="005741CC"/>
    <w:rsid w:val="00574250"/>
    <w:rsid w:val="00574983"/>
    <w:rsid w:val="005749B1"/>
    <w:rsid w:val="00574A1D"/>
    <w:rsid w:val="00574BC8"/>
    <w:rsid w:val="00574C9F"/>
    <w:rsid w:val="00574D2C"/>
    <w:rsid w:val="00574FAB"/>
    <w:rsid w:val="00574FD8"/>
    <w:rsid w:val="00575001"/>
    <w:rsid w:val="0057529E"/>
    <w:rsid w:val="005752B6"/>
    <w:rsid w:val="0057534A"/>
    <w:rsid w:val="0057553F"/>
    <w:rsid w:val="005756BD"/>
    <w:rsid w:val="005756FD"/>
    <w:rsid w:val="0057591C"/>
    <w:rsid w:val="00575BD6"/>
    <w:rsid w:val="00575CF0"/>
    <w:rsid w:val="00575D2B"/>
    <w:rsid w:val="00575E68"/>
    <w:rsid w:val="00575EF3"/>
    <w:rsid w:val="00576043"/>
    <w:rsid w:val="005762B8"/>
    <w:rsid w:val="005763AB"/>
    <w:rsid w:val="005763C2"/>
    <w:rsid w:val="0057678C"/>
    <w:rsid w:val="00576CCE"/>
    <w:rsid w:val="00576D63"/>
    <w:rsid w:val="00576ECE"/>
    <w:rsid w:val="005770AC"/>
    <w:rsid w:val="00577130"/>
    <w:rsid w:val="00577237"/>
    <w:rsid w:val="005772BE"/>
    <w:rsid w:val="0057732F"/>
    <w:rsid w:val="00577335"/>
    <w:rsid w:val="00577363"/>
    <w:rsid w:val="0057742B"/>
    <w:rsid w:val="005776DA"/>
    <w:rsid w:val="005776E5"/>
    <w:rsid w:val="005778CB"/>
    <w:rsid w:val="005779B1"/>
    <w:rsid w:val="00577A34"/>
    <w:rsid w:val="00577BD5"/>
    <w:rsid w:val="00577FBC"/>
    <w:rsid w:val="0057AB8D"/>
    <w:rsid w:val="0058011A"/>
    <w:rsid w:val="00580129"/>
    <w:rsid w:val="005801BC"/>
    <w:rsid w:val="00580391"/>
    <w:rsid w:val="00580602"/>
    <w:rsid w:val="00580830"/>
    <w:rsid w:val="00580C83"/>
    <w:rsid w:val="00580D4B"/>
    <w:rsid w:val="00580EC3"/>
    <w:rsid w:val="00581274"/>
    <w:rsid w:val="0058166C"/>
    <w:rsid w:val="00581707"/>
    <w:rsid w:val="00581744"/>
    <w:rsid w:val="00581900"/>
    <w:rsid w:val="005819C5"/>
    <w:rsid w:val="00581A56"/>
    <w:rsid w:val="00581A90"/>
    <w:rsid w:val="00581B64"/>
    <w:rsid w:val="00581D4F"/>
    <w:rsid w:val="00581DBD"/>
    <w:rsid w:val="00581E5F"/>
    <w:rsid w:val="0058206D"/>
    <w:rsid w:val="0058218C"/>
    <w:rsid w:val="005823A7"/>
    <w:rsid w:val="005823FC"/>
    <w:rsid w:val="005825E0"/>
    <w:rsid w:val="00582601"/>
    <w:rsid w:val="005827DB"/>
    <w:rsid w:val="00582883"/>
    <w:rsid w:val="00582905"/>
    <w:rsid w:val="00582CC0"/>
    <w:rsid w:val="00582EB1"/>
    <w:rsid w:val="00583203"/>
    <w:rsid w:val="0058324B"/>
    <w:rsid w:val="005832EA"/>
    <w:rsid w:val="005833CA"/>
    <w:rsid w:val="00583478"/>
    <w:rsid w:val="00583509"/>
    <w:rsid w:val="00583880"/>
    <w:rsid w:val="005838B4"/>
    <w:rsid w:val="00583991"/>
    <w:rsid w:val="005839E2"/>
    <w:rsid w:val="00583B8F"/>
    <w:rsid w:val="00583C80"/>
    <w:rsid w:val="00583C93"/>
    <w:rsid w:val="00583CBE"/>
    <w:rsid w:val="00583D06"/>
    <w:rsid w:val="00583DD5"/>
    <w:rsid w:val="00583F73"/>
    <w:rsid w:val="0058484D"/>
    <w:rsid w:val="00584867"/>
    <w:rsid w:val="00584A20"/>
    <w:rsid w:val="00584ABA"/>
    <w:rsid w:val="00584B77"/>
    <w:rsid w:val="00584C50"/>
    <w:rsid w:val="00584C78"/>
    <w:rsid w:val="00584CD0"/>
    <w:rsid w:val="00584DD7"/>
    <w:rsid w:val="00584EB7"/>
    <w:rsid w:val="0058544C"/>
    <w:rsid w:val="00585480"/>
    <w:rsid w:val="00585648"/>
    <w:rsid w:val="005856D6"/>
    <w:rsid w:val="005856E2"/>
    <w:rsid w:val="00585976"/>
    <w:rsid w:val="00585B20"/>
    <w:rsid w:val="00585C33"/>
    <w:rsid w:val="00585D5B"/>
    <w:rsid w:val="00585DAB"/>
    <w:rsid w:val="00585DFC"/>
    <w:rsid w:val="00586530"/>
    <w:rsid w:val="00586546"/>
    <w:rsid w:val="00586554"/>
    <w:rsid w:val="00586891"/>
    <w:rsid w:val="00586945"/>
    <w:rsid w:val="00586B64"/>
    <w:rsid w:val="00586D84"/>
    <w:rsid w:val="00586F19"/>
    <w:rsid w:val="00586F9F"/>
    <w:rsid w:val="0058732C"/>
    <w:rsid w:val="00587570"/>
    <w:rsid w:val="00587622"/>
    <w:rsid w:val="00587643"/>
    <w:rsid w:val="005876C5"/>
    <w:rsid w:val="005877D1"/>
    <w:rsid w:val="00587B68"/>
    <w:rsid w:val="00587D54"/>
    <w:rsid w:val="00587E59"/>
    <w:rsid w:val="0059001C"/>
    <w:rsid w:val="005900B5"/>
    <w:rsid w:val="00590A03"/>
    <w:rsid w:val="00590C7C"/>
    <w:rsid w:val="00590DC5"/>
    <w:rsid w:val="00590E2A"/>
    <w:rsid w:val="0059111C"/>
    <w:rsid w:val="0059127B"/>
    <w:rsid w:val="00591389"/>
    <w:rsid w:val="0059153E"/>
    <w:rsid w:val="0059171F"/>
    <w:rsid w:val="00591911"/>
    <w:rsid w:val="00591DC0"/>
    <w:rsid w:val="00591ED7"/>
    <w:rsid w:val="005920ED"/>
    <w:rsid w:val="005920F4"/>
    <w:rsid w:val="00592131"/>
    <w:rsid w:val="005922CB"/>
    <w:rsid w:val="0059232E"/>
    <w:rsid w:val="00592382"/>
    <w:rsid w:val="00592515"/>
    <w:rsid w:val="00592A9F"/>
    <w:rsid w:val="00592B4B"/>
    <w:rsid w:val="00592CF8"/>
    <w:rsid w:val="00592DDA"/>
    <w:rsid w:val="00592E37"/>
    <w:rsid w:val="00593071"/>
    <w:rsid w:val="00593283"/>
    <w:rsid w:val="005932B5"/>
    <w:rsid w:val="005934B5"/>
    <w:rsid w:val="00593565"/>
    <w:rsid w:val="005938D7"/>
    <w:rsid w:val="00593988"/>
    <w:rsid w:val="00593A95"/>
    <w:rsid w:val="00593EFE"/>
    <w:rsid w:val="00593FC4"/>
    <w:rsid w:val="0059442E"/>
    <w:rsid w:val="005944A2"/>
    <w:rsid w:val="005944F0"/>
    <w:rsid w:val="0059451D"/>
    <w:rsid w:val="0059463F"/>
    <w:rsid w:val="005947F9"/>
    <w:rsid w:val="005949A3"/>
    <w:rsid w:val="00594B9B"/>
    <w:rsid w:val="00594BBF"/>
    <w:rsid w:val="005951F7"/>
    <w:rsid w:val="005953BE"/>
    <w:rsid w:val="0059567A"/>
    <w:rsid w:val="00595863"/>
    <w:rsid w:val="00595934"/>
    <w:rsid w:val="00595B07"/>
    <w:rsid w:val="00595D0E"/>
    <w:rsid w:val="00595D31"/>
    <w:rsid w:val="00595D52"/>
    <w:rsid w:val="00595DE1"/>
    <w:rsid w:val="00595FD8"/>
    <w:rsid w:val="00596028"/>
    <w:rsid w:val="005960DA"/>
    <w:rsid w:val="00596186"/>
    <w:rsid w:val="005961C7"/>
    <w:rsid w:val="00596235"/>
    <w:rsid w:val="00596256"/>
    <w:rsid w:val="00596751"/>
    <w:rsid w:val="005967A7"/>
    <w:rsid w:val="00596A48"/>
    <w:rsid w:val="00596AC5"/>
    <w:rsid w:val="00596B11"/>
    <w:rsid w:val="00596B31"/>
    <w:rsid w:val="00596B98"/>
    <w:rsid w:val="00596C1E"/>
    <w:rsid w:val="00596D50"/>
    <w:rsid w:val="00597163"/>
    <w:rsid w:val="005971D9"/>
    <w:rsid w:val="0059726C"/>
    <w:rsid w:val="005973B8"/>
    <w:rsid w:val="005973DA"/>
    <w:rsid w:val="00597475"/>
    <w:rsid w:val="005978C5"/>
    <w:rsid w:val="005979F8"/>
    <w:rsid w:val="00597B7E"/>
    <w:rsid w:val="00597D5A"/>
    <w:rsid w:val="00597EDE"/>
    <w:rsid w:val="00597F6B"/>
    <w:rsid w:val="005A03C5"/>
    <w:rsid w:val="005A0569"/>
    <w:rsid w:val="005A05CD"/>
    <w:rsid w:val="005A062F"/>
    <w:rsid w:val="005A0776"/>
    <w:rsid w:val="005A0AC1"/>
    <w:rsid w:val="005A0C47"/>
    <w:rsid w:val="005A0D94"/>
    <w:rsid w:val="005A1425"/>
    <w:rsid w:val="005A144F"/>
    <w:rsid w:val="005A193B"/>
    <w:rsid w:val="005A1AA3"/>
    <w:rsid w:val="005A1AC5"/>
    <w:rsid w:val="005A1BBB"/>
    <w:rsid w:val="005A1F16"/>
    <w:rsid w:val="005A20E0"/>
    <w:rsid w:val="005A2202"/>
    <w:rsid w:val="005A249D"/>
    <w:rsid w:val="005A252A"/>
    <w:rsid w:val="005A29F4"/>
    <w:rsid w:val="005A2ACB"/>
    <w:rsid w:val="005A2C7E"/>
    <w:rsid w:val="005A2FE5"/>
    <w:rsid w:val="005A3047"/>
    <w:rsid w:val="005A3129"/>
    <w:rsid w:val="005A3131"/>
    <w:rsid w:val="005A3146"/>
    <w:rsid w:val="005A325F"/>
    <w:rsid w:val="005A33D0"/>
    <w:rsid w:val="005A3561"/>
    <w:rsid w:val="005A35AD"/>
    <w:rsid w:val="005A3E4C"/>
    <w:rsid w:val="005A3F11"/>
    <w:rsid w:val="005A4043"/>
    <w:rsid w:val="005A4373"/>
    <w:rsid w:val="005A44E4"/>
    <w:rsid w:val="005A477D"/>
    <w:rsid w:val="005A4D33"/>
    <w:rsid w:val="005A4EBE"/>
    <w:rsid w:val="005A4EEC"/>
    <w:rsid w:val="005A529D"/>
    <w:rsid w:val="005A52FD"/>
    <w:rsid w:val="005A53C2"/>
    <w:rsid w:val="005A5489"/>
    <w:rsid w:val="005A5498"/>
    <w:rsid w:val="005A5664"/>
    <w:rsid w:val="005A5679"/>
    <w:rsid w:val="005A5728"/>
    <w:rsid w:val="005A5827"/>
    <w:rsid w:val="005A5837"/>
    <w:rsid w:val="005A5ABD"/>
    <w:rsid w:val="005A5C4A"/>
    <w:rsid w:val="005A5D68"/>
    <w:rsid w:val="005A6299"/>
    <w:rsid w:val="005A62A6"/>
    <w:rsid w:val="005A639D"/>
    <w:rsid w:val="005A6423"/>
    <w:rsid w:val="005A6499"/>
    <w:rsid w:val="005A64AF"/>
    <w:rsid w:val="005A65AC"/>
    <w:rsid w:val="005A6A2A"/>
    <w:rsid w:val="005A6B5A"/>
    <w:rsid w:val="005A6CB0"/>
    <w:rsid w:val="005A703B"/>
    <w:rsid w:val="005A7251"/>
    <w:rsid w:val="005A74F5"/>
    <w:rsid w:val="005A74F9"/>
    <w:rsid w:val="005A7739"/>
    <w:rsid w:val="005A77F4"/>
    <w:rsid w:val="005A78D9"/>
    <w:rsid w:val="005A7A80"/>
    <w:rsid w:val="005A7C91"/>
    <w:rsid w:val="005A7CAA"/>
    <w:rsid w:val="005A7D60"/>
    <w:rsid w:val="005B013C"/>
    <w:rsid w:val="005B014D"/>
    <w:rsid w:val="005B0236"/>
    <w:rsid w:val="005B046A"/>
    <w:rsid w:val="005B051D"/>
    <w:rsid w:val="005B0740"/>
    <w:rsid w:val="005B07F9"/>
    <w:rsid w:val="005B0A37"/>
    <w:rsid w:val="005B0A50"/>
    <w:rsid w:val="005B0BBB"/>
    <w:rsid w:val="005B0DD5"/>
    <w:rsid w:val="005B0DF7"/>
    <w:rsid w:val="005B0EE5"/>
    <w:rsid w:val="005B11B9"/>
    <w:rsid w:val="005B12B5"/>
    <w:rsid w:val="005B13CD"/>
    <w:rsid w:val="005B1520"/>
    <w:rsid w:val="005B197F"/>
    <w:rsid w:val="005B19FF"/>
    <w:rsid w:val="005B1B2B"/>
    <w:rsid w:val="005B1CA2"/>
    <w:rsid w:val="005B1F17"/>
    <w:rsid w:val="005B21E5"/>
    <w:rsid w:val="005B25F1"/>
    <w:rsid w:val="005B26D8"/>
    <w:rsid w:val="005B292E"/>
    <w:rsid w:val="005B2B56"/>
    <w:rsid w:val="005B2B7E"/>
    <w:rsid w:val="005B2BBF"/>
    <w:rsid w:val="005B2D1D"/>
    <w:rsid w:val="005B2E62"/>
    <w:rsid w:val="005B2F37"/>
    <w:rsid w:val="005B2F4E"/>
    <w:rsid w:val="005B33D4"/>
    <w:rsid w:val="005B34E6"/>
    <w:rsid w:val="005B368A"/>
    <w:rsid w:val="005B3BC3"/>
    <w:rsid w:val="005B3C67"/>
    <w:rsid w:val="005B3D50"/>
    <w:rsid w:val="005B3E5B"/>
    <w:rsid w:val="005B3E98"/>
    <w:rsid w:val="005B40DB"/>
    <w:rsid w:val="005B40E8"/>
    <w:rsid w:val="005B42CE"/>
    <w:rsid w:val="005B434F"/>
    <w:rsid w:val="005B49E4"/>
    <w:rsid w:val="005B4A25"/>
    <w:rsid w:val="005B4A40"/>
    <w:rsid w:val="005B4DAA"/>
    <w:rsid w:val="005B4E28"/>
    <w:rsid w:val="005B5078"/>
    <w:rsid w:val="005B5109"/>
    <w:rsid w:val="005B53A2"/>
    <w:rsid w:val="005B53BE"/>
    <w:rsid w:val="005B5593"/>
    <w:rsid w:val="005B56FA"/>
    <w:rsid w:val="005B59B7"/>
    <w:rsid w:val="005B5A70"/>
    <w:rsid w:val="005B5B6A"/>
    <w:rsid w:val="005B5C18"/>
    <w:rsid w:val="005B5E5E"/>
    <w:rsid w:val="005B5F18"/>
    <w:rsid w:val="005B5FE9"/>
    <w:rsid w:val="005B6205"/>
    <w:rsid w:val="005B62DD"/>
    <w:rsid w:val="005B639B"/>
    <w:rsid w:val="005B64B2"/>
    <w:rsid w:val="005B6518"/>
    <w:rsid w:val="005B6694"/>
    <w:rsid w:val="005B66D9"/>
    <w:rsid w:val="005B6777"/>
    <w:rsid w:val="005B6CB5"/>
    <w:rsid w:val="005B6D37"/>
    <w:rsid w:val="005B6D79"/>
    <w:rsid w:val="005B6EE6"/>
    <w:rsid w:val="005B712B"/>
    <w:rsid w:val="005B715B"/>
    <w:rsid w:val="005B7329"/>
    <w:rsid w:val="005B73FB"/>
    <w:rsid w:val="005B7514"/>
    <w:rsid w:val="005B7552"/>
    <w:rsid w:val="005B7638"/>
    <w:rsid w:val="005B7659"/>
    <w:rsid w:val="005B7877"/>
    <w:rsid w:val="005B7B4B"/>
    <w:rsid w:val="005B7B83"/>
    <w:rsid w:val="005B7D5D"/>
    <w:rsid w:val="005B7E2C"/>
    <w:rsid w:val="005B7ECD"/>
    <w:rsid w:val="005C003F"/>
    <w:rsid w:val="005C0052"/>
    <w:rsid w:val="005C00A8"/>
    <w:rsid w:val="005C01D7"/>
    <w:rsid w:val="005C020B"/>
    <w:rsid w:val="005C0223"/>
    <w:rsid w:val="005C0427"/>
    <w:rsid w:val="005C0A0E"/>
    <w:rsid w:val="005C0B33"/>
    <w:rsid w:val="005C0BC1"/>
    <w:rsid w:val="005C0C2D"/>
    <w:rsid w:val="005C0E02"/>
    <w:rsid w:val="005C0EBB"/>
    <w:rsid w:val="005C1379"/>
    <w:rsid w:val="005C13D4"/>
    <w:rsid w:val="005C1444"/>
    <w:rsid w:val="005C1478"/>
    <w:rsid w:val="005C1563"/>
    <w:rsid w:val="005C165D"/>
    <w:rsid w:val="005C1669"/>
    <w:rsid w:val="005C168C"/>
    <w:rsid w:val="005C1A38"/>
    <w:rsid w:val="005C1B2F"/>
    <w:rsid w:val="005C1BAB"/>
    <w:rsid w:val="005C1D3D"/>
    <w:rsid w:val="005C1E36"/>
    <w:rsid w:val="005C2175"/>
    <w:rsid w:val="005C21D2"/>
    <w:rsid w:val="005C21E2"/>
    <w:rsid w:val="005C237E"/>
    <w:rsid w:val="005C242E"/>
    <w:rsid w:val="005C27BD"/>
    <w:rsid w:val="005C28B4"/>
    <w:rsid w:val="005C296C"/>
    <w:rsid w:val="005C298A"/>
    <w:rsid w:val="005C2991"/>
    <w:rsid w:val="005C2B0D"/>
    <w:rsid w:val="005C2BFF"/>
    <w:rsid w:val="005C2C88"/>
    <w:rsid w:val="005C2D55"/>
    <w:rsid w:val="005C3105"/>
    <w:rsid w:val="005C3128"/>
    <w:rsid w:val="005C3138"/>
    <w:rsid w:val="005C3153"/>
    <w:rsid w:val="005C326D"/>
    <w:rsid w:val="005C32B3"/>
    <w:rsid w:val="005C34AF"/>
    <w:rsid w:val="005C35A1"/>
    <w:rsid w:val="005C37D6"/>
    <w:rsid w:val="005C37DF"/>
    <w:rsid w:val="005C3840"/>
    <w:rsid w:val="005C3D7B"/>
    <w:rsid w:val="005C4042"/>
    <w:rsid w:val="005C406A"/>
    <w:rsid w:val="005C4127"/>
    <w:rsid w:val="005C425A"/>
    <w:rsid w:val="005C4336"/>
    <w:rsid w:val="005C441E"/>
    <w:rsid w:val="005C44A9"/>
    <w:rsid w:val="005C46CE"/>
    <w:rsid w:val="005C49A2"/>
    <w:rsid w:val="005C4A48"/>
    <w:rsid w:val="005C4A9B"/>
    <w:rsid w:val="005C4B00"/>
    <w:rsid w:val="005C4E87"/>
    <w:rsid w:val="005C4EDA"/>
    <w:rsid w:val="005C4F6D"/>
    <w:rsid w:val="005C542B"/>
    <w:rsid w:val="005C5477"/>
    <w:rsid w:val="005C556E"/>
    <w:rsid w:val="005C558B"/>
    <w:rsid w:val="005C5826"/>
    <w:rsid w:val="005C5831"/>
    <w:rsid w:val="005C5C0B"/>
    <w:rsid w:val="005C5D16"/>
    <w:rsid w:val="005C5EFE"/>
    <w:rsid w:val="005C616D"/>
    <w:rsid w:val="005C622B"/>
    <w:rsid w:val="005C6351"/>
    <w:rsid w:val="005C68C8"/>
    <w:rsid w:val="005C6AA4"/>
    <w:rsid w:val="005C6AF9"/>
    <w:rsid w:val="005C6CB0"/>
    <w:rsid w:val="005C6DA4"/>
    <w:rsid w:val="005C6DB8"/>
    <w:rsid w:val="005C7041"/>
    <w:rsid w:val="005C7452"/>
    <w:rsid w:val="005C7BA6"/>
    <w:rsid w:val="005D0136"/>
    <w:rsid w:val="005D0173"/>
    <w:rsid w:val="005D0246"/>
    <w:rsid w:val="005D02A1"/>
    <w:rsid w:val="005D030F"/>
    <w:rsid w:val="005D0396"/>
    <w:rsid w:val="005D062D"/>
    <w:rsid w:val="005D079A"/>
    <w:rsid w:val="005D07B6"/>
    <w:rsid w:val="005D0841"/>
    <w:rsid w:val="005D0950"/>
    <w:rsid w:val="005D0981"/>
    <w:rsid w:val="005D0A94"/>
    <w:rsid w:val="005D0C6B"/>
    <w:rsid w:val="005D0E72"/>
    <w:rsid w:val="005D0E8C"/>
    <w:rsid w:val="005D0EA1"/>
    <w:rsid w:val="005D101D"/>
    <w:rsid w:val="005D105D"/>
    <w:rsid w:val="005D11B0"/>
    <w:rsid w:val="005D14B6"/>
    <w:rsid w:val="005D188E"/>
    <w:rsid w:val="005D1928"/>
    <w:rsid w:val="005D1A09"/>
    <w:rsid w:val="005D1BE0"/>
    <w:rsid w:val="005D1E38"/>
    <w:rsid w:val="005D1E3F"/>
    <w:rsid w:val="005D1F2C"/>
    <w:rsid w:val="005D1FDD"/>
    <w:rsid w:val="005D29BB"/>
    <w:rsid w:val="005D29D5"/>
    <w:rsid w:val="005D2B92"/>
    <w:rsid w:val="005D2BE6"/>
    <w:rsid w:val="005D2D8E"/>
    <w:rsid w:val="005D2E49"/>
    <w:rsid w:val="005D2FDA"/>
    <w:rsid w:val="005D32B7"/>
    <w:rsid w:val="005D33D6"/>
    <w:rsid w:val="005D34BD"/>
    <w:rsid w:val="005D35A1"/>
    <w:rsid w:val="005D3939"/>
    <w:rsid w:val="005D397B"/>
    <w:rsid w:val="005D3E55"/>
    <w:rsid w:val="005D3ED7"/>
    <w:rsid w:val="005D40D1"/>
    <w:rsid w:val="005D41FD"/>
    <w:rsid w:val="005D4823"/>
    <w:rsid w:val="005D4989"/>
    <w:rsid w:val="005D49FE"/>
    <w:rsid w:val="005D512E"/>
    <w:rsid w:val="005D5412"/>
    <w:rsid w:val="005D55B9"/>
    <w:rsid w:val="005D55C6"/>
    <w:rsid w:val="005D5629"/>
    <w:rsid w:val="005D562F"/>
    <w:rsid w:val="005D5634"/>
    <w:rsid w:val="005D582B"/>
    <w:rsid w:val="005D5A45"/>
    <w:rsid w:val="005D5A63"/>
    <w:rsid w:val="005D5CE3"/>
    <w:rsid w:val="005D5E54"/>
    <w:rsid w:val="005D5FBD"/>
    <w:rsid w:val="005D6342"/>
    <w:rsid w:val="005D636F"/>
    <w:rsid w:val="005D6579"/>
    <w:rsid w:val="005D65EC"/>
    <w:rsid w:val="005D684A"/>
    <w:rsid w:val="005D6BAE"/>
    <w:rsid w:val="005D6F3E"/>
    <w:rsid w:val="005D6FCF"/>
    <w:rsid w:val="005D703B"/>
    <w:rsid w:val="005D722A"/>
    <w:rsid w:val="005D7288"/>
    <w:rsid w:val="005D72AC"/>
    <w:rsid w:val="005D7343"/>
    <w:rsid w:val="005D73A5"/>
    <w:rsid w:val="005D73B1"/>
    <w:rsid w:val="005D77E9"/>
    <w:rsid w:val="005D7990"/>
    <w:rsid w:val="005D7A2A"/>
    <w:rsid w:val="005D7B58"/>
    <w:rsid w:val="005D7BF4"/>
    <w:rsid w:val="005D7CDF"/>
    <w:rsid w:val="005D7E41"/>
    <w:rsid w:val="005D7E91"/>
    <w:rsid w:val="005D7FDB"/>
    <w:rsid w:val="005E01F9"/>
    <w:rsid w:val="005E03E9"/>
    <w:rsid w:val="005E093F"/>
    <w:rsid w:val="005E10C0"/>
    <w:rsid w:val="005E10D7"/>
    <w:rsid w:val="005E1341"/>
    <w:rsid w:val="005E13F5"/>
    <w:rsid w:val="005E142F"/>
    <w:rsid w:val="005E153A"/>
    <w:rsid w:val="005E1598"/>
    <w:rsid w:val="005E1649"/>
    <w:rsid w:val="005E1802"/>
    <w:rsid w:val="005E1871"/>
    <w:rsid w:val="005E1B07"/>
    <w:rsid w:val="005E1B1B"/>
    <w:rsid w:val="005E1B26"/>
    <w:rsid w:val="005E1C53"/>
    <w:rsid w:val="005E1C98"/>
    <w:rsid w:val="005E1DBD"/>
    <w:rsid w:val="005E1E7E"/>
    <w:rsid w:val="005E2147"/>
    <w:rsid w:val="005E21CD"/>
    <w:rsid w:val="005E2452"/>
    <w:rsid w:val="005E24C3"/>
    <w:rsid w:val="005E25BE"/>
    <w:rsid w:val="005E286F"/>
    <w:rsid w:val="005E28A5"/>
    <w:rsid w:val="005E2B08"/>
    <w:rsid w:val="005E2B6F"/>
    <w:rsid w:val="005E2CC9"/>
    <w:rsid w:val="005E2F4D"/>
    <w:rsid w:val="005E2F9A"/>
    <w:rsid w:val="005E3217"/>
    <w:rsid w:val="005E336B"/>
    <w:rsid w:val="005E35B2"/>
    <w:rsid w:val="005E38AA"/>
    <w:rsid w:val="005E391D"/>
    <w:rsid w:val="005E3A83"/>
    <w:rsid w:val="005E3C4B"/>
    <w:rsid w:val="005E3D51"/>
    <w:rsid w:val="005E3DC2"/>
    <w:rsid w:val="005E3E78"/>
    <w:rsid w:val="005E404A"/>
    <w:rsid w:val="005E4078"/>
    <w:rsid w:val="005E40DB"/>
    <w:rsid w:val="005E4222"/>
    <w:rsid w:val="005E434B"/>
    <w:rsid w:val="005E437D"/>
    <w:rsid w:val="005E43B9"/>
    <w:rsid w:val="005E44FC"/>
    <w:rsid w:val="005E4862"/>
    <w:rsid w:val="005E49DF"/>
    <w:rsid w:val="005E4AEF"/>
    <w:rsid w:val="005E4B36"/>
    <w:rsid w:val="005E4F0C"/>
    <w:rsid w:val="005E4F97"/>
    <w:rsid w:val="005E5058"/>
    <w:rsid w:val="005E5147"/>
    <w:rsid w:val="005E53D7"/>
    <w:rsid w:val="005E5498"/>
    <w:rsid w:val="005E54A2"/>
    <w:rsid w:val="005E564E"/>
    <w:rsid w:val="005E56AB"/>
    <w:rsid w:val="005E58B0"/>
    <w:rsid w:val="005E58B6"/>
    <w:rsid w:val="005E597E"/>
    <w:rsid w:val="005E6194"/>
    <w:rsid w:val="005E68E7"/>
    <w:rsid w:val="005E696C"/>
    <w:rsid w:val="005E69D7"/>
    <w:rsid w:val="005E6AA7"/>
    <w:rsid w:val="005E6AEC"/>
    <w:rsid w:val="005E6B5F"/>
    <w:rsid w:val="005E6B81"/>
    <w:rsid w:val="005E6E34"/>
    <w:rsid w:val="005E6E5E"/>
    <w:rsid w:val="005E6F99"/>
    <w:rsid w:val="005E72E6"/>
    <w:rsid w:val="005E735C"/>
    <w:rsid w:val="005E74AB"/>
    <w:rsid w:val="005E75D0"/>
    <w:rsid w:val="005E7707"/>
    <w:rsid w:val="005E77B1"/>
    <w:rsid w:val="005E7AE3"/>
    <w:rsid w:val="005E7B28"/>
    <w:rsid w:val="005E7B6F"/>
    <w:rsid w:val="005E7B7B"/>
    <w:rsid w:val="005E7C70"/>
    <w:rsid w:val="005E7CBC"/>
    <w:rsid w:val="005E7F10"/>
    <w:rsid w:val="005F0037"/>
    <w:rsid w:val="005F00D9"/>
    <w:rsid w:val="005F027B"/>
    <w:rsid w:val="005F04DA"/>
    <w:rsid w:val="005F05B9"/>
    <w:rsid w:val="005F060F"/>
    <w:rsid w:val="005F06D8"/>
    <w:rsid w:val="005F070C"/>
    <w:rsid w:val="005F08BB"/>
    <w:rsid w:val="005F0AE3"/>
    <w:rsid w:val="005F0B74"/>
    <w:rsid w:val="005F0BA5"/>
    <w:rsid w:val="005F0BDE"/>
    <w:rsid w:val="005F0C22"/>
    <w:rsid w:val="005F12A8"/>
    <w:rsid w:val="005F135E"/>
    <w:rsid w:val="005F1361"/>
    <w:rsid w:val="005F1704"/>
    <w:rsid w:val="005F1862"/>
    <w:rsid w:val="005F187B"/>
    <w:rsid w:val="005F1937"/>
    <w:rsid w:val="005F1A0E"/>
    <w:rsid w:val="005F1A50"/>
    <w:rsid w:val="005F1A9F"/>
    <w:rsid w:val="005F1B9D"/>
    <w:rsid w:val="005F1CDA"/>
    <w:rsid w:val="005F1CE5"/>
    <w:rsid w:val="005F20CF"/>
    <w:rsid w:val="005F20F3"/>
    <w:rsid w:val="005F2131"/>
    <w:rsid w:val="005F21B2"/>
    <w:rsid w:val="005F21FD"/>
    <w:rsid w:val="005F2366"/>
    <w:rsid w:val="005F242A"/>
    <w:rsid w:val="005F2762"/>
    <w:rsid w:val="005F2911"/>
    <w:rsid w:val="005F2977"/>
    <w:rsid w:val="005F29F7"/>
    <w:rsid w:val="005F2AFB"/>
    <w:rsid w:val="005F2C55"/>
    <w:rsid w:val="005F2D6C"/>
    <w:rsid w:val="005F2F73"/>
    <w:rsid w:val="005F2F86"/>
    <w:rsid w:val="005F3062"/>
    <w:rsid w:val="005F3092"/>
    <w:rsid w:val="005F3366"/>
    <w:rsid w:val="005F3492"/>
    <w:rsid w:val="005F34B3"/>
    <w:rsid w:val="005F3924"/>
    <w:rsid w:val="005F3983"/>
    <w:rsid w:val="005F3A8D"/>
    <w:rsid w:val="005F3AE0"/>
    <w:rsid w:val="005F3AF1"/>
    <w:rsid w:val="005F3B09"/>
    <w:rsid w:val="005F3C58"/>
    <w:rsid w:val="005F3E05"/>
    <w:rsid w:val="005F3E97"/>
    <w:rsid w:val="005F40B0"/>
    <w:rsid w:val="005F4169"/>
    <w:rsid w:val="005F4435"/>
    <w:rsid w:val="005F4466"/>
    <w:rsid w:val="005F4585"/>
    <w:rsid w:val="005F47E2"/>
    <w:rsid w:val="005F48C5"/>
    <w:rsid w:val="005F48E6"/>
    <w:rsid w:val="005F4DD1"/>
    <w:rsid w:val="005F4E7D"/>
    <w:rsid w:val="005F501C"/>
    <w:rsid w:val="005F53B6"/>
    <w:rsid w:val="005F53D7"/>
    <w:rsid w:val="005F54D5"/>
    <w:rsid w:val="005F57A4"/>
    <w:rsid w:val="005F583C"/>
    <w:rsid w:val="005F58BA"/>
    <w:rsid w:val="005F5990"/>
    <w:rsid w:val="005F5C3A"/>
    <w:rsid w:val="005F5E62"/>
    <w:rsid w:val="005F5EF2"/>
    <w:rsid w:val="005F60E4"/>
    <w:rsid w:val="005F6253"/>
    <w:rsid w:val="005F6669"/>
    <w:rsid w:val="005F6C9A"/>
    <w:rsid w:val="005F6CB3"/>
    <w:rsid w:val="005F6DBE"/>
    <w:rsid w:val="005F6E6E"/>
    <w:rsid w:val="005F6FC5"/>
    <w:rsid w:val="005F71E1"/>
    <w:rsid w:val="005F71F9"/>
    <w:rsid w:val="005F752F"/>
    <w:rsid w:val="005F78CD"/>
    <w:rsid w:val="005F79CC"/>
    <w:rsid w:val="005F7BC9"/>
    <w:rsid w:val="005F7C86"/>
    <w:rsid w:val="006005E5"/>
    <w:rsid w:val="0060084D"/>
    <w:rsid w:val="00600894"/>
    <w:rsid w:val="00600B70"/>
    <w:rsid w:val="00600C9F"/>
    <w:rsid w:val="00600D19"/>
    <w:rsid w:val="00600DD1"/>
    <w:rsid w:val="00600E01"/>
    <w:rsid w:val="00600F1E"/>
    <w:rsid w:val="00601079"/>
    <w:rsid w:val="00601148"/>
    <w:rsid w:val="006011AD"/>
    <w:rsid w:val="00601247"/>
    <w:rsid w:val="006014F8"/>
    <w:rsid w:val="0060183C"/>
    <w:rsid w:val="00601845"/>
    <w:rsid w:val="0060189C"/>
    <w:rsid w:val="00601966"/>
    <w:rsid w:val="00601C31"/>
    <w:rsid w:val="00601F3A"/>
    <w:rsid w:val="0060208C"/>
    <w:rsid w:val="00602287"/>
    <w:rsid w:val="00602314"/>
    <w:rsid w:val="0060235F"/>
    <w:rsid w:val="006025CA"/>
    <w:rsid w:val="006026E9"/>
    <w:rsid w:val="00602734"/>
    <w:rsid w:val="006029F7"/>
    <w:rsid w:val="00602A8E"/>
    <w:rsid w:val="00602C95"/>
    <w:rsid w:val="00602E2E"/>
    <w:rsid w:val="00602F07"/>
    <w:rsid w:val="00602FF8"/>
    <w:rsid w:val="0060304A"/>
    <w:rsid w:val="006034CF"/>
    <w:rsid w:val="0060355A"/>
    <w:rsid w:val="00603665"/>
    <w:rsid w:val="00603729"/>
    <w:rsid w:val="006038BE"/>
    <w:rsid w:val="006039D3"/>
    <w:rsid w:val="00603AD5"/>
    <w:rsid w:val="00603EB3"/>
    <w:rsid w:val="00604223"/>
    <w:rsid w:val="0060430C"/>
    <w:rsid w:val="00604501"/>
    <w:rsid w:val="006045AA"/>
    <w:rsid w:val="00604727"/>
    <w:rsid w:val="006048B2"/>
    <w:rsid w:val="006048D1"/>
    <w:rsid w:val="00604925"/>
    <w:rsid w:val="00604B54"/>
    <w:rsid w:val="00604B68"/>
    <w:rsid w:val="00604D69"/>
    <w:rsid w:val="00604EE8"/>
    <w:rsid w:val="00604F61"/>
    <w:rsid w:val="00604FBA"/>
    <w:rsid w:val="00605028"/>
    <w:rsid w:val="00605064"/>
    <w:rsid w:val="00605179"/>
    <w:rsid w:val="00605314"/>
    <w:rsid w:val="006053AE"/>
    <w:rsid w:val="00605436"/>
    <w:rsid w:val="0060548A"/>
    <w:rsid w:val="00605504"/>
    <w:rsid w:val="006059D7"/>
    <w:rsid w:val="006059E8"/>
    <w:rsid w:val="00605C5C"/>
    <w:rsid w:val="00605D08"/>
    <w:rsid w:val="00605D69"/>
    <w:rsid w:val="00605E19"/>
    <w:rsid w:val="00605EAC"/>
    <w:rsid w:val="00606645"/>
    <w:rsid w:val="00606671"/>
    <w:rsid w:val="006067B5"/>
    <w:rsid w:val="00606C37"/>
    <w:rsid w:val="00606C99"/>
    <w:rsid w:val="00606EED"/>
    <w:rsid w:val="00606FA3"/>
    <w:rsid w:val="00607018"/>
    <w:rsid w:val="006072AF"/>
    <w:rsid w:val="00607324"/>
    <w:rsid w:val="0060758E"/>
    <w:rsid w:val="006079C3"/>
    <w:rsid w:val="00607D69"/>
    <w:rsid w:val="00607E2C"/>
    <w:rsid w:val="00607EC6"/>
    <w:rsid w:val="00610039"/>
    <w:rsid w:val="0061010A"/>
    <w:rsid w:val="00610234"/>
    <w:rsid w:val="0061034E"/>
    <w:rsid w:val="006103CC"/>
    <w:rsid w:val="0061041E"/>
    <w:rsid w:val="00610422"/>
    <w:rsid w:val="00610620"/>
    <w:rsid w:val="00610633"/>
    <w:rsid w:val="006109E3"/>
    <w:rsid w:val="00610B9F"/>
    <w:rsid w:val="00610CC9"/>
    <w:rsid w:val="00610DAF"/>
    <w:rsid w:val="00610F2C"/>
    <w:rsid w:val="006112B5"/>
    <w:rsid w:val="006112DD"/>
    <w:rsid w:val="0061148D"/>
    <w:rsid w:val="006116D1"/>
    <w:rsid w:val="00611719"/>
    <w:rsid w:val="00611742"/>
    <w:rsid w:val="006118D4"/>
    <w:rsid w:val="0061198D"/>
    <w:rsid w:val="00611995"/>
    <w:rsid w:val="00611A1F"/>
    <w:rsid w:val="00611B1B"/>
    <w:rsid w:val="00611B3B"/>
    <w:rsid w:val="00612141"/>
    <w:rsid w:val="00612355"/>
    <w:rsid w:val="0061255F"/>
    <w:rsid w:val="00612653"/>
    <w:rsid w:val="006127BA"/>
    <w:rsid w:val="00612809"/>
    <w:rsid w:val="00612864"/>
    <w:rsid w:val="00612A27"/>
    <w:rsid w:val="00612BFA"/>
    <w:rsid w:val="00612C7D"/>
    <w:rsid w:val="00612D20"/>
    <w:rsid w:val="00612E3C"/>
    <w:rsid w:val="00612E5F"/>
    <w:rsid w:val="00613035"/>
    <w:rsid w:val="00613057"/>
    <w:rsid w:val="00613059"/>
    <w:rsid w:val="006131A4"/>
    <w:rsid w:val="00613318"/>
    <w:rsid w:val="0061338C"/>
    <w:rsid w:val="006133EE"/>
    <w:rsid w:val="0061369B"/>
    <w:rsid w:val="00613799"/>
    <w:rsid w:val="00614043"/>
    <w:rsid w:val="0061412B"/>
    <w:rsid w:val="006142ED"/>
    <w:rsid w:val="006143AF"/>
    <w:rsid w:val="00614889"/>
    <w:rsid w:val="00614A06"/>
    <w:rsid w:val="00614A68"/>
    <w:rsid w:val="00614A6C"/>
    <w:rsid w:val="00614A7B"/>
    <w:rsid w:val="00614AF7"/>
    <w:rsid w:val="00614C58"/>
    <w:rsid w:val="0061509B"/>
    <w:rsid w:val="0061510C"/>
    <w:rsid w:val="0061536D"/>
    <w:rsid w:val="00615622"/>
    <w:rsid w:val="00615755"/>
    <w:rsid w:val="0061585E"/>
    <w:rsid w:val="0061598C"/>
    <w:rsid w:val="00615BBD"/>
    <w:rsid w:val="00615E21"/>
    <w:rsid w:val="00615EC3"/>
    <w:rsid w:val="00615FAC"/>
    <w:rsid w:val="006160A1"/>
    <w:rsid w:val="006161A2"/>
    <w:rsid w:val="00616225"/>
    <w:rsid w:val="00616261"/>
    <w:rsid w:val="00616292"/>
    <w:rsid w:val="00616387"/>
    <w:rsid w:val="006163F5"/>
    <w:rsid w:val="00616547"/>
    <w:rsid w:val="006169CE"/>
    <w:rsid w:val="00616ABA"/>
    <w:rsid w:val="00616C1C"/>
    <w:rsid w:val="00616C56"/>
    <w:rsid w:val="00616D4A"/>
    <w:rsid w:val="00616EC8"/>
    <w:rsid w:val="00617047"/>
    <w:rsid w:val="00617054"/>
    <w:rsid w:val="00617289"/>
    <w:rsid w:val="0061745C"/>
    <w:rsid w:val="00617483"/>
    <w:rsid w:val="006177E3"/>
    <w:rsid w:val="00617BF1"/>
    <w:rsid w:val="00617CD5"/>
    <w:rsid w:val="00617DA1"/>
    <w:rsid w:val="00617EC8"/>
    <w:rsid w:val="00617EF9"/>
    <w:rsid w:val="006201B7"/>
    <w:rsid w:val="00620214"/>
    <w:rsid w:val="006205C1"/>
    <w:rsid w:val="0062063E"/>
    <w:rsid w:val="006207F2"/>
    <w:rsid w:val="00620918"/>
    <w:rsid w:val="00620963"/>
    <w:rsid w:val="00620C53"/>
    <w:rsid w:val="00620F11"/>
    <w:rsid w:val="0062141E"/>
    <w:rsid w:val="006215AB"/>
    <w:rsid w:val="00621601"/>
    <w:rsid w:val="00621B36"/>
    <w:rsid w:val="00621BF2"/>
    <w:rsid w:val="00621C1A"/>
    <w:rsid w:val="00621D2B"/>
    <w:rsid w:val="006220AC"/>
    <w:rsid w:val="006220C6"/>
    <w:rsid w:val="00622166"/>
    <w:rsid w:val="006221D1"/>
    <w:rsid w:val="0062225C"/>
    <w:rsid w:val="0062243A"/>
    <w:rsid w:val="00622489"/>
    <w:rsid w:val="006224C3"/>
    <w:rsid w:val="00622567"/>
    <w:rsid w:val="00622694"/>
    <w:rsid w:val="006228BE"/>
    <w:rsid w:val="006228EA"/>
    <w:rsid w:val="006229A5"/>
    <w:rsid w:val="00622C0A"/>
    <w:rsid w:val="00622DDF"/>
    <w:rsid w:val="00623277"/>
    <w:rsid w:val="006232C7"/>
    <w:rsid w:val="006232F0"/>
    <w:rsid w:val="00623630"/>
    <w:rsid w:val="0062398A"/>
    <w:rsid w:val="00623A73"/>
    <w:rsid w:val="00623ADA"/>
    <w:rsid w:val="00623B6D"/>
    <w:rsid w:val="00623CF0"/>
    <w:rsid w:val="00623F31"/>
    <w:rsid w:val="00623F67"/>
    <w:rsid w:val="006240D7"/>
    <w:rsid w:val="006242D5"/>
    <w:rsid w:val="0062445D"/>
    <w:rsid w:val="006244C9"/>
    <w:rsid w:val="00624530"/>
    <w:rsid w:val="006245B6"/>
    <w:rsid w:val="00624828"/>
    <w:rsid w:val="00624B81"/>
    <w:rsid w:val="00624BAC"/>
    <w:rsid w:val="0062513D"/>
    <w:rsid w:val="00625146"/>
    <w:rsid w:val="0062517C"/>
    <w:rsid w:val="00625195"/>
    <w:rsid w:val="0062520C"/>
    <w:rsid w:val="00625317"/>
    <w:rsid w:val="00625375"/>
    <w:rsid w:val="006253D1"/>
    <w:rsid w:val="006253E5"/>
    <w:rsid w:val="006254AA"/>
    <w:rsid w:val="00625734"/>
    <w:rsid w:val="006258C7"/>
    <w:rsid w:val="00625DCC"/>
    <w:rsid w:val="00625E9A"/>
    <w:rsid w:val="00626215"/>
    <w:rsid w:val="00626271"/>
    <w:rsid w:val="00626342"/>
    <w:rsid w:val="00626982"/>
    <w:rsid w:val="00626AE8"/>
    <w:rsid w:val="00626B6E"/>
    <w:rsid w:val="00626CEA"/>
    <w:rsid w:val="00626DFF"/>
    <w:rsid w:val="00626F42"/>
    <w:rsid w:val="0062719C"/>
    <w:rsid w:val="006271B9"/>
    <w:rsid w:val="00627228"/>
    <w:rsid w:val="00627262"/>
    <w:rsid w:val="00627454"/>
    <w:rsid w:val="00627490"/>
    <w:rsid w:val="006274C4"/>
    <w:rsid w:val="006276B1"/>
    <w:rsid w:val="00627820"/>
    <w:rsid w:val="00627A17"/>
    <w:rsid w:val="00627A29"/>
    <w:rsid w:val="00627AB2"/>
    <w:rsid w:val="00627D67"/>
    <w:rsid w:val="00627ED6"/>
    <w:rsid w:val="00627F69"/>
    <w:rsid w:val="00630074"/>
    <w:rsid w:val="0063007B"/>
    <w:rsid w:val="006300FA"/>
    <w:rsid w:val="006301A1"/>
    <w:rsid w:val="006301C6"/>
    <w:rsid w:val="006301E5"/>
    <w:rsid w:val="006303D6"/>
    <w:rsid w:val="0063066D"/>
    <w:rsid w:val="00630727"/>
    <w:rsid w:val="0063073E"/>
    <w:rsid w:val="00630BC6"/>
    <w:rsid w:val="00630DE0"/>
    <w:rsid w:val="0063126E"/>
    <w:rsid w:val="0063129A"/>
    <w:rsid w:val="0063170B"/>
    <w:rsid w:val="0063172E"/>
    <w:rsid w:val="00631969"/>
    <w:rsid w:val="00631DAA"/>
    <w:rsid w:val="00631E56"/>
    <w:rsid w:val="00631E91"/>
    <w:rsid w:val="00631F3D"/>
    <w:rsid w:val="00632106"/>
    <w:rsid w:val="0063230C"/>
    <w:rsid w:val="006323AA"/>
    <w:rsid w:val="00632979"/>
    <w:rsid w:val="00632B9C"/>
    <w:rsid w:val="00632CF6"/>
    <w:rsid w:val="00632DE8"/>
    <w:rsid w:val="00632E0F"/>
    <w:rsid w:val="00632E90"/>
    <w:rsid w:val="00633163"/>
    <w:rsid w:val="0063319D"/>
    <w:rsid w:val="006334BB"/>
    <w:rsid w:val="00633948"/>
    <w:rsid w:val="00633A50"/>
    <w:rsid w:val="00633C24"/>
    <w:rsid w:val="00633E94"/>
    <w:rsid w:val="00633ED0"/>
    <w:rsid w:val="00633EE0"/>
    <w:rsid w:val="00633F5B"/>
    <w:rsid w:val="00634065"/>
    <w:rsid w:val="0063413F"/>
    <w:rsid w:val="006344CE"/>
    <w:rsid w:val="00634856"/>
    <w:rsid w:val="00634A03"/>
    <w:rsid w:val="00634EF3"/>
    <w:rsid w:val="00634FA5"/>
    <w:rsid w:val="00635099"/>
    <w:rsid w:val="00635322"/>
    <w:rsid w:val="00635432"/>
    <w:rsid w:val="00635454"/>
    <w:rsid w:val="0063582B"/>
    <w:rsid w:val="00635846"/>
    <w:rsid w:val="00635934"/>
    <w:rsid w:val="00635936"/>
    <w:rsid w:val="00635B61"/>
    <w:rsid w:val="00635B78"/>
    <w:rsid w:val="00635D96"/>
    <w:rsid w:val="00635DD8"/>
    <w:rsid w:val="0063600E"/>
    <w:rsid w:val="006360FA"/>
    <w:rsid w:val="00636377"/>
    <w:rsid w:val="00636478"/>
    <w:rsid w:val="00636970"/>
    <w:rsid w:val="00636CAA"/>
    <w:rsid w:val="00636CD8"/>
    <w:rsid w:val="00636D3F"/>
    <w:rsid w:val="00636E62"/>
    <w:rsid w:val="00636EAB"/>
    <w:rsid w:val="00637018"/>
    <w:rsid w:val="00637021"/>
    <w:rsid w:val="00637181"/>
    <w:rsid w:val="0063727B"/>
    <w:rsid w:val="00637323"/>
    <w:rsid w:val="0063745A"/>
    <w:rsid w:val="006376B3"/>
    <w:rsid w:val="006378BF"/>
    <w:rsid w:val="006379D6"/>
    <w:rsid w:val="00637A66"/>
    <w:rsid w:val="00637B4A"/>
    <w:rsid w:val="00637B91"/>
    <w:rsid w:val="00637D28"/>
    <w:rsid w:val="00637E2D"/>
    <w:rsid w:val="00640009"/>
    <w:rsid w:val="00640226"/>
    <w:rsid w:val="006402D0"/>
    <w:rsid w:val="00640560"/>
    <w:rsid w:val="006406A4"/>
    <w:rsid w:val="00640774"/>
    <w:rsid w:val="00640C30"/>
    <w:rsid w:val="00640D70"/>
    <w:rsid w:val="0064109F"/>
    <w:rsid w:val="00641150"/>
    <w:rsid w:val="006411F3"/>
    <w:rsid w:val="006413C1"/>
    <w:rsid w:val="006415B8"/>
    <w:rsid w:val="00641A6D"/>
    <w:rsid w:val="00641A7E"/>
    <w:rsid w:val="00641CBD"/>
    <w:rsid w:val="00641DA6"/>
    <w:rsid w:val="00641E97"/>
    <w:rsid w:val="00641F07"/>
    <w:rsid w:val="00641F96"/>
    <w:rsid w:val="0064207B"/>
    <w:rsid w:val="0064210D"/>
    <w:rsid w:val="006422A9"/>
    <w:rsid w:val="00642518"/>
    <w:rsid w:val="006426B1"/>
    <w:rsid w:val="006426F3"/>
    <w:rsid w:val="0064299F"/>
    <w:rsid w:val="006429E7"/>
    <w:rsid w:val="00642C2C"/>
    <w:rsid w:val="00642C34"/>
    <w:rsid w:val="00642EFB"/>
    <w:rsid w:val="00643434"/>
    <w:rsid w:val="0064390D"/>
    <w:rsid w:val="00643942"/>
    <w:rsid w:val="006439C6"/>
    <w:rsid w:val="00643A56"/>
    <w:rsid w:val="00643A9F"/>
    <w:rsid w:val="00643B91"/>
    <w:rsid w:val="00643CF9"/>
    <w:rsid w:val="00643ECD"/>
    <w:rsid w:val="00643EE4"/>
    <w:rsid w:val="00643EFC"/>
    <w:rsid w:val="00643FB5"/>
    <w:rsid w:val="00644057"/>
    <w:rsid w:val="00644872"/>
    <w:rsid w:val="00644AC5"/>
    <w:rsid w:val="00644C10"/>
    <w:rsid w:val="00644D1A"/>
    <w:rsid w:val="00644E27"/>
    <w:rsid w:val="00645089"/>
    <w:rsid w:val="00645240"/>
    <w:rsid w:val="00645251"/>
    <w:rsid w:val="00645507"/>
    <w:rsid w:val="00645636"/>
    <w:rsid w:val="0064568B"/>
    <w:rsid w:val="006456FF"/>
    <w:rsid w:val="0064581F"/>
    <w:rsid w:val="00645A5D"/>
    <w:rsid w:val="00645CFB"/>
    <w:rsid w:val="00645E2C"/>
    <w:rsid w:val="0064607F"/>
    <w:rsid w:val="006463F8"/>
    <w:rsid w:val="00646417"/>
    <w:rsid w:val="006464CE"/>
    <w:rsid w:val="00646764"/>
    <w:rsid w:val="00646A6F"/>
    <w:rsid w:val="00646BF4"/>
    <w:rsid w:val="00646CA1"/>
    <w:rsid w:val="00646E87"/>
    <w:rsid w:val="00646F83"/>
    <w:rsid w:val="00646F95"/>
    <w:rsid w:val="00647039"/>
    <w:rsid w:val="0064766B"/>
    <w:rsid w:val="00647917"/>
    <w:rsid w:val="00647940"/>
    <w:rsid w:val="00647AF6"/>
    <w:rsid w:val="00647C69"/>
    <w:rsid w:val="00647CF5"/>
    <w:rsid w:val="00647E4F"/>
    <w:rsid w:val="00647EED"/>
    <w:rsid w:val="0065013D"/>
    <w:rsid w:val="00650183"/>
    <w:rsid w:val="006506FE"/>
    <w:rsid w:val="0065074B"/>
    <w:rsid w:val="0065093C"/>
    <w:rsid w:val="00650A5A"/>
    <w:rsid w:val="00650B74"/>
    <w:rsid w:val="00650E14"/>
    <w:rsid w:val="00650E51"/>
    <w:rsid w:val="00650F9F"/>
    <w:rsid w:val="006510B1"/>
    <w:rsid w:val="00651166"/>
    <w:rsid w:val="00651175"/>
    <w:rsid w:val="006512BA"/>
    <w:rsid w:val="0065137B"/>
    <w:rsid w:val="0065143A"/>
    <w:rsid w:val="006514C9"/>
    <w:rsid w:val="006515F7"/>
    <w:rsid w:val="006519F3"/>
    <w:rsid w:val="00651DA2"/>
    <w:rsid w:val="0065207A"/>
    <w:rsid w:val="00652275"/>
    <w:rsid w:val="00652329"/>
    <w:rsid w:val="00652431"/>
    <w:rsid w:val="006526DE"/>
    <w:rsid w:val="00652941"/>
    <w:rsid w:val="00652DFB"/>
    <w:rsid w:val="006530E4"/>
    <w:rsid w:val="00653365"/>
    <w:rsid w:val="00653409"/>
    <w:rsid w:val="00653481"/>
    <w:rsid w:val="0065364A"/>
    <w:rsid w:val="0065365C"/>
    <w:rsid w:val="00653B2E"/>
    <w:rsid w:val="00653D5F"/>
    <w:rsid w:val="00653D85"/>
    <w:rsid w:val="00653DAD"/>
    <w:rsid w:val="006540B9"/>
    <w:rsid w:val="006540EE"/>
    <w:rsid w:val="0065426A"/>
    <w:rsid w:val="00654281"/>
    <w:rsid w:val="006542C0"/>
    <w:rsid w:val="006543CF"/>
    <w:rsid w:val="006543F4"/>
    <w:rsid w:val="00654510"/>
    <w:rsid w:val="00654578"/>
    <w:rsid w:val="00654B18"/>
    <w:rsid w:val="00654D0F"/>
    <w:rsid w:val="00654D97"/>
    <w:rsid w:val="00654DCF"/>
    <w:rsid w:val="00654E74"/>
    <w:rsid w:val="00654EF6"/>
    <w:rsid w:val="006552EE"/>
    <w:rsid w:val="006554CA"/>
    <w:rsid w:val="006554E8"/>
    <w:rsid w:val="00655551"/>
    <w:rsid w:val="006555DC"/>
    <w:rsid w:val="006558A1"/>
    <w:rsid w:val="00655BDE"/>
    <w:rsid w:val="00655E1C"/>
    <w:rsid w:val="006561CA"/>
    <w:rsid w:val="00656284"/>
    <w:rsid w:val="00656641"/>
    <w:rsid w:val="0065668A"/>
    <w:rsid w:val="0065685A"/>
    <w:rsid w:val="00656913"/>
    <w:rsid w:val="00656B72"/>
    <w:rsid w:val="00656C42"/>
    <w:rsid w:val="00656E1D"/>
    <w:rsid w:val="00656E9A"/>
    <w:rsid w:val="006573E5"/>
    <w:rsid w:val="00657503"/>
    <w:rsid w:val="006576D4"/>
    <w:rsid w:val="006577E7"/>
    <w:rsid w:val="00657E39"/>
    <w:rsid w:val="00657E43"/>
    <w:rsid w:val="00657EAA"/>
    <w:rsid w:val="00657F7D"/>
    <w:rsid w:val="006602A2"/>
    <w:rsid w:val="006602EB"/>
    <w:rsid w:val="006604AA"/>
    <w:rsid w:val="0066058A"/>
    <w:rsid w:val="00660729"/>
    <w:rsid w:val="0066078F"/>
    <w:rsid w:val="0066089C"/>
    <w:rsid w:val="00660B23"/>
    <w:rsid w:val="00660DCA"/>
    <w:rsid w:val="00660E3D"/>
    <w:rsid w:val="00660F5F"/>
    <w:rsid w:val="00660F82"/>
    <w:rsid w:val="00661214"/>
    <w:rsid w:val="00661393"/>
    <w:rsid w:val="006613A2"/>
    <w:rsid w:val="00661471"/>
    <w:rsid w:val="0066149B"/>
    <w:rsid w:val="006616CC"/>
    <w:rsid w:val="006618A9"/>
    <w:rsid w:val="00661C25"/>
    <w:rsid w:val="00661D6B"/>
    <w:rsid w:val="00661E03"/>
    <w:rsid w:val="00661E1C"/>
    <w:rsid w:val="00661F94"/>
    <w:rsid w:val="0066208A"/>
    <w:rsid w:val="00662877"/>
    <w:rsid w:val="00662899"/>
    <w:rsid w:val="00662CC9"/>
    <w:rsid w:val="00663221"/>
    <w:rsid w:val="006632A8"/>
    <w:rsid w:val="006632F0"/>
    <w:rsid w:val="0066341A"/>
    <w:rsid w:val="00663530"/>
    <w:rsid w:val="00663829"/>
    <w:rsid w:val="00663881"/>
    <w:rsid w:val="00663A3F"/>
    <w:rsid w:val="00663D66"/>
    <w:rsid w:val="00663D8C"/>
    <w:rsid w:val="00663E22"/>
    <w:rsid w:val="00663EF3"/>
    <w:rsid w:val="00663F4E"/>
    <w:rsid w:val="006640DA"/>
    <w:rsid w:val="006641C1"/>
    <w:rsid w:val="0066432E"/>
    <w:rsid w:val="00664383"/>
    <w:rsid w:val="006644A3"/>
    <w:rsid w:val="006645F4"/>
    <w:rsid w:val="006646A0"/>
    <w:rsid w:val="00664FEF"/>
    <w:rsid w:val="00665084"/>
    <w:rsid w:val="0066509D"/>
    <w:rsid w:val="006651F4"/>
    <w:rsid w:val="0066539E"/>
    <w:rsid w:val="006655E9"/>
    <w:rsid w:val="00665732"/>
    <w:rsid w:val="006658BE"/>
    <w:rsid w:val="00665A5B"/>
    <w:rsid w:val="00665AFD"/>
    <w:rsid w:val="00665AFF"/>
    <w:rsid w:val="00665B30"/>
    <w:rsid w:val="00665C5E"/>
    <w:rsid w:val="00665DFC"/>
    <w:rsid w:val="00665E2A"/>
    <w:rsid w:val="00665EFE"/>
    <w:rsid w:val="00665F19"/>
    <w:rsid w:val="00665F98"/>
    <w:rsid w:val="0066608D"/>
    <w:rsid w:val="0066626C"/>
    <w:rsid w:val="00666307"/>
    <w:rsid w:val="0066647E"/>
    <w:rsid w:val="0066652B"/>
    <w:rsid w:val="00666548"/>
    <w:rsid w:val="006667FA"/>
    <w:rsid w:val="00666981"/>
    <w:rsid w:val="00666A24"/>
    <w:rsid w:val="00666B82"/>
    <w:rsid w:val="00666C92"/>
    <w:rsid w:val="00666C94"/>
    <w:rsid w:val="00666E81"/>
    <w:rsid w:val="00666E86"/>
    <w:rsid w:val="00666E93"/>
    <w:rsid w:val="00666F21"/>
    <w:rsid w:val="0066730C"/>
    <w:rsid w:val="0066780E"/>
    <w:rsid w:val="00667AE5"/>
    <w:rsid w:val="00667B44"/>
    <w:rsid w:val="00670255"/>
    <w:rsid w:val="00670331"/>
    <w:rsid w:val="00670778"/>
    <w:rsid w:val="0067077B"/>
    <w:rsid w:val="00670A1D"/>
    <w:rsid w:val="00670ABA"/>
    <w:rsid w:val="00670B10"/>
    <w:rsid w:val="00670BE4"/>
    <w:rsid w:val="00670C1E"/>
    <w:rsid w:val="00670D2A"/>
    <w:rsid w:val="00670E1E"/>
    <w:rsid w:val="0067104D"/>
    <w:rsid w:val="0067106A"/>
    <w:rsid w:val="006711C9"/>
    <w:rsid w:val="006712A7"/>
    <w:rsid w:val="006712F1"/>
    <w:rsid w:val="0067134C"/>
    <w:rsid w:val="006713A2"/>
    <w:rsid w:val="006717BC"/>
    <w:rsid w:val="00671812"/>
    <w:rsid w:val="006718E6"/>
    <w:rsid w:val="00671A1E"/>
    <w:rsid w:val="00671A54"/>
    <w:rsid w:val="00671B42"/>
    <w:rsid w:val="00671E65"/>
    <w:rsid w:val="00671F4C"/>
    <w:rsid w:val="00671F8A"/>
    <w:rsid w:val="00672213"/>
    <w:rsid w:val="00672240"/>
    <w:rsid w:val="00672284"/>
    <w:rsid w:val="006722FF"/>
    <w:rsid w:val="00672490"/>
    <w:rsid w:val="006724CF"/>
    <w:rsid w:val="006724E1"/>
    <w:rsid w:val="00672673"/>
    <w:rsid w:val="006726DF"/>
    <w:rsid w:val="006727B2"/>
    <w:rsid w:val="006729D0"/>
    <w:rsid w:val="00672A57"/>
    <w:rsid w:val="00672A6A"/>
    <w:rsid w:val="00672B48"/>
    <w:rsid w:val="00672C41"/>
    <w:rsid w:val="00672C9E"/>
    <w:rsid w:val="00672D1F"/>
    <w:rsid w:val="00672D7F"/>
    <w:rsid w:val="00672D99"/>
    <w:rsid w:val="00672DAF"/>
    <w:rsid w:val="00672EA8"/>
    <w:rsid w:val="0067357C"/>
    <w:rsid w:val="00673580"/>
    <w:rsid w:val="0067366A"/>
    <w:rsid w:val="0067378C"/>
    <w:rsid w:val="0067379A"/>
    <w:rsid w:val="00673933"/>
    <w:rsid w:val="00673EDB"/>
    <w:rsid w:val="006740BB"/>
    <w:rsid w:val="00674359"/>
    <w:rsid w:val="00674480"/>
    <w:rsid w:val="00674515"/>
    <w:rsid w:val="006747EE"/>
    <w:rsid w:val="0067491F"/>
    <w:rsid w:val="00674E00"/>
    <w:rsid w:val="00674E8E"/>
    <w:rsid w:val="0067510D"/>
    <w:rsid w:val="006753B6"/>
    <w:rsid w:val="0067592C"/>
    <w:rsid w:val="00675956"/>
    <w:rsid w:val="00675D4D"/>
    <w:rsid w:val="00675E40"/>
    <w:rsid w:val="00675ED6"/>
    <w:rsid w:val="00675F73"/>
    <w:rsid w:val="00675F8F"/>
    <w:rsid w:val="00675FB9"/>
    <w:rsid w:val="006762ED"/>
    <w:rsid w:val="00676312"/>
    <w:rsid w:val="0067647C"/>
    <w:rsid w:val="00676667"/>
    <w:rsid w:val="0067668C"/>
    <w:rsid w:val="0067669A"/>
    <w:rsid w:val="006768A9"/>
    <w:rsid w:val="006768C1"/>
    <w:rsid w:val="00676922"/>
    <w:rsid w:val="006769F8"/>
    <w:rsid w:val="00676A24"/>
    <w:rsid w:val="00676C82"/>
    <w:rsid w:val="006772C9"/>
    <w:rsid w:val="00677525"/>
    <w:rsid w:val="00677989"/>
    <w:rsid w:val="0067799D"/>
    <w:rsid w:val="00677A57"/>
    <w:rsid w:val="00677A5E"/>
    <w:rsid w:val="00677A70"/>
    <w:rsid w:val="00677DA5"/>
    <w:rsid w:val="00677E3D"/>
    <w:rsid w:val="00677F1F"/>
    <w:rsid w:val="006800AC"/>
    <w:rsid w:val="00680255"/>
    <w:rsid w:val="006802C8"/>
    <w:rsid w:val="00680356"/>
    <w:rsid w:val="0068059D"/>
    <w:rsid w:val="00680820"/>
    <w:rsid w:val="00680F02"/>
    <w:rsid w:val="00681239"/>
    <w:rsid w:val="0068142D"/>
    <w:rsid w:val="0068187F"/>
    <w:rsid w:val="0068192C"/>
    <w:rsid w:val="00681971"/>
    <w:rsid w:val="006819FE"/>
    <w:rsid w:val="00681A4A"/>
    <w:rsid w:val="00681A67"/>
    <w:rsid w:val="00681B93"/>
    <w:rsid w:val="00681C5E"/>
    <w:rsid w:val="00681EB3"/>
    <w:rsid w:val="00681F04"/>
    <w:rsid w:val="00682091"/>
    <w:rsid w:val="006821BF"/>
    <w:rsid w:val="006822EB"/>
    <w:rsid w:val="00682370"/>
    <w:rsid w:val="0068242C"/>
    <w:rsid w:val="0068246B"/>
    <w:rsid w:val="0068265F"/>
    <w:rsid w:val="0068296C"/>
    <w:rsid w:val="00682980"/>
    <w:rsid w:val="00682A29"/>
    <w:rsid w:val="00682A62"/>
    <w:rsid w:val="00682C3B"/>
    <w:rsid w:val="00683055"/>
    <w:rsid w:val="0068335F"/>
    <w:rsid w:val="00683787"/>
    <w:rsid w:val="00683835"/>
    <w:rsid w:val="00683918"/>
    <w:rsid w:val="00683A8D"/>
    <w:rsid w:val="00683C30"/>
    <w:rsid w:val="00683DA0"/>
    <w:rsid w:val="00683DFE"/>
    <w:rsid w:val="00683EBB"/>
    <w:rsid w:val="006840A8"/>
    <w:rsid w:val="0068412B"/>
    <w:rsid w:val="006841FB"/>
    <w:rsid w:val="00684416"/>
    <w:rsid w:val="00684444"/>
    <w:rsid w:val="0068445A"/>
    <w:rsid w:val="006844A1"/>
    <w:rsid w:val="0068476A"/>
    <w:rsid w:val="006848B9"/>
    <w:rsid w:val="00684987"/>
    <w:rsid w:val="006849B9"/>
    <w:rsid w:val="00684B95"/>
    <w:rsid w:val="00684BA8"/>
    <w:rsid w:val="00684D20"/>
    <w:rsid w:val="00684E30"/>
    <w:rsid w:val="00684FCB"/>
    <w:rsid w:val="006851A1"/>
    <w:rsid w:val="0068527D"/>
    <w:rsid w:val="00685467"/>
    <w:rsid w:val="006854BC"/>
    <w:rsid w:val="006856C5"/>
    <w:rsid w:val="00685778"/>
    <w:rsid w:val="006859E5"/>
    <w:rsid w:val="00685B65"/>
    <w:rsid w:val="00685DD8"/>
    <w:rsid w:val="00685DE4"/>
    <w:rsid w:val="00685F10"/>
    <w:rsid w:val="00685F90"/>
    <w:rsid w:val="00685FAC"/>
    <w:rsid w:val="00685FD6"/>
    <w:rsid w:val="00685FD7"/>
    <w:rsid w:val="00686047"/>
    <w:rsid w:val="00686090"/>
    <w:rsid w:val="006861A8"/>
    <w:rsid w:val="006863E6"/>
    <w:rsid w:val="00686504"/>
    <w:rsid w:val="006865A7"/>
    <w:rsid w:val="0068664A"/>
    <w:rsid w:val="00686D64"/>
    <w:rsid w:val="00686E11"/>
    <w:rsid w:val="00687181"/>
    <w:rsid w:val="00687263"/>
    <w:rsid w:val="00687677"/>
    <w:rsid w:val="006877D0"/>
    <w:rsid w:val="006879E2"/>
    <w:rsid w:val="006879F1"/>
    <w:rsid w:val="00687A3F"/>
    <w:rsid w:val="00687B7F"/>
    <w:rsid w:val="00687F59"/>
    <w:rsid w:val="0069012B"/>
    <w:rsid w:val="00690265"/>
    <w:rsid w:val="00690874"/>
    <w:rsid w:val="00690A8C"/>
    <w:rsid w:val="00690AB2"/>
    <w:rsid w:val="00690C85"/>
    <w:rsid w:val="00690FEF"/>
    <w:rsid w:val="0069121B"/>
    <w:rsid w:val="0069124D"/>
    <w:rsid w:val="00691284"/>
    <w:rsid w:val="006913DF"/>
    <w:rsid w:val="006915C9"/>
    <w:rsid w:val="0069160C"/>
    <w:rsid w:val="006916CB"/>
    <w:rsid w:val="00691791"/>
    <w:rsid w:val="006917DF"/>
    <w:rsid w:val="00691C06"/>
    <w:rsid w:val="00691CCE"/>
    <w:rsid w:val="00691D93"/>
    <w:rsid w:val="006920DD"/>
    <w:rsid w:val="006920FC"/>
    <w:rsid w:val="00692224"/>
    <w:rsid w:val="00692938"/>
    <w:rsid w:val="00692971"/>
    <w:rsid w:val="00692B7A"/>
    <w:rsid w:val="00692D88"/>
    <w:rsid w:val="00692EC3"/>
    <w:rsid w:val="00692F91"/>
    <w:rsid w:val="0069320B"/>
    <w:rsid w:val="006932D7"/>
    <w:rsid w:val="006933BC"/>
    <w:rsid w:val="006936EF"/>
    <w:rsid w:val="00693757"/>
    <w:rsid w:val="00693804"/>
    <w:rsid w:val="00693A62"/>
    <w:rsid w:val="00693C5C"/>
    <w:rsid w:val="00693E5C"/>
    <w:rsid w:val="00693E7D"/>
    <w:rsid w:val="00693E8F"/>
    <w:rsid w:val="00693F74"/>
    <w:rsid w:val="00694119"/>
    <w:rsid w:val="006943B6"/>
    <w:rsid w:val="00694495"/>
    <w:rsid w:val="006948D3"/>
    <w:rsid w:val="00694C17"/>
    <w:rsid w:val="00694CF9"/>
    <w:rsid w:val="0069514E"/>
    <w:rsid w:val="00695164"/>
    <w:rsid w:val="006951E2"/>
    <w:rsid w:val="0069552F"/>
    <w:rsid w:val="00695686"/>
    <w:rsid w:val="00695698"/>
    <w:rsid w:val="006956AC"/>
    <w:rsid w:val="00695862"/>
    <w:rsid w:val="00695EBF"/>
    <w:rsid w:val="00695F19"/>
    <w:rsid w:val="006961B8"/>
    <w:rsid w:val="00696361"/>
    <w:rsid w:val="00696404"/>
    <w:rsid w:val="006964CC"/>
    <w:rsid w:val="006965A5"/>
    <w:rsid w:val="0069661F"/>
    <w:rsid w:val="00696716"/>
    <w:rsid w:val="006967E2"/>
    <w:rsid w:val="0069690C"/>
    <w:rsid w:val="00696B4E"/>
    <w:rsid w:val="00696D06"/>
    <w:rsid w:val="00696E19"/>
    <w:rsid w:val="00696FD5"/>
    <w:rsid w:val="0069701F"/>
    <w:rsid w:val="00697071"/>
    <w:rsid w:val="00697147"/>
    <w:rsid w:val="006971D7"/>
    <w:rsid w:val="006974D9"/>
    <w:rsid w:val="006975E2"/>
    <w:rsid w:val="0069781C"/>
    <w:rsid w:val="006978CC"/>
    <w:rsid w:val="00697A36"/>
    <w:rsid w:val="00697AD3"/>
    <w:rsid w:val="00697C44"/>
    <w:rsid w:val="00697DED"/>
    <w:rsid w:val="00697EEF"/>
    <w:rsid w:val="00697F64"/>
    <w:rsid w:val="006A00B8"/>
    <w:rsid w:val="006A04B5"/>
    <w:rsid w:val="006A0AA5"/>
    <w:rsid w:val="006A0ADA"/>
    <w:rsid w:val="006A0BD4"/>
    <w:rsid w:val="006A0D8C"/>
    <w:rsid w:val="006A10B5"/>
    <w:rsid w:val="006A1551"/>
    <w:rsid w:val="006A15B6"/>
    <w:rsid w:val="006A15E0"/>
    <w:rsid w:val="006A17A8"/>
    <w:rsid w:val="006A19E0"/>
    <w:rsid w:val="006A1A59"/>
    <w:rsid w:val="006A1AC3"/>
    <w:rsid w:val="006A1C54"/>
    <w:rsid w:val="006A1D60"/>
    <w:rsid w:val="006A201C"/>
    <w:rsid w:val="006A205B"/>
    <w:rsid w:val="006A2086"/>
    <w:rsid w:val="006A21BA"/>
    <w:rsid w:val="006A228C"/>
    <w:rsid w:val="006A22CE"/>
    <w:rsid w:val="006A258D"/>
    <w:rsid w:val="006A2834"/>
    <w:rsid w:val="006A2889"/>
    <w:rsid w:val="006A312B"/>
    <w:rsid w:val="006A321E"/>
    <w:rsid w:val="006A327C"/>
    <w:rsid w:val="006A32E3"/>
    <w:rsid w:val="006A33F9"/>
    <w:rsid w:val="006A354D"/>
    <w:rsid w:val="006A3A47"/>
    <w:rsid w:val="006A3DAB"/>
    <w:rsid w:val="006A3E43"/>
    <w:rsid w:val="006A3EDE"/>
    <w:rsid w:val="006A40F2"/>
    <w:rsid w:val="006A4143"/>
    <w:rsid w:val="006A4167"/>
    <w:rsid w:val="006A424E"/>
    <w:rsid w:val="006A4289"/>
    <w:rsid w:val="006A4426"/>
    <w:rsid w:val="006A4450"/>
    <w:rsid w:val="006A4846"/>
    <w:rsid w:val="006A4863"/>
    <w:rsid w:val="006A4952"/>
    <w:rsid w:val="006A4A77"/>
    <w:rsid w:val="006A4A8E"/>
    <w:rsid w:val="006A4BF9"/>
    <w:rsid w:val="006A4D0E"/>
    <w:rsid w:val="006A4D79"/>
    <w:rsid w:val="006A5613"/>
    <w:rsid w:val="006A5E40"/>
    <w:rsid w:val="006A5E6E"/>
    <w:rsid w:val="006A6049"/>
    <w:rsid w:val="006A60ED"/>
    <w:rsid w:val="006A6307"/>
    <w:rsid w:val="006A6391"/>
    <w:rsid w:val="006A6436"/>
    <w:rsid w:val="006A64D0"/>
    <w:rsid w:val="006A666C"/>
    <w:rsid w:val="006A67B5"/>
    <w:rsid w:val="006A689D"/>
    <w:rsid w:val="006A6A00"/>
    <w:rsid w:val="006A6A48"/>
    <w:rsid w:val="006A6A9B"/>
    <w:rsid w:val="006A6E57"/>
    <w:rsid w:val="006A6EB0"/>
    <w:rsid w:val="006A7003"/>
    <w:rsid w:val="006A70DE"/>
    <w:rsid w:val="006A70F8"/>
    <w:rsid w:val="006A724A"/>
    <w:rsid w:val="006A73CF"/>
    <w:rsid w:val="006A765D"/>
    <w:rsid w:val="006A7840"/>
    <w:rsid w:val="006A78D8"/>
    <w:rsid w:val="006A7922"/>
    <w:rsid w:val="006A797D"/>
    <w:rsid w:val="006A7AEE"/>
    <w:rsid w:val="006A7C0E"/>
    <w:rsid w:val="006A7DC1"/>
    <w:rsid w:val="006A7EE2"/>
    <w:rsid w:val="006A7F19"/>
    <w:rsid w:val="006A7FE9"/>
    <w:rsid w:val="006B0240"/>
    <w:rsid w:val="006B035A"/>
    <w:rsid w:val="006B03DC"/>
    <w:rsid w:val="006B05D7"/>
    <w:rsid w:val="006B0600"/>
    <w:rsid w:val="006B0A37"/>
    <w:rsid w:val="006B0D4F"/>
    <w:rsid w:val="006B0EA8"/>
    <w:rsid w:val="006B0F30"/>
    <w:rsid w:val="006B0F3C"/>
    <w:rsid w:val="006B16DE"/>
    <w:rsid w:val="006B1F47"/>
    <w:rsid w:val="006B1F6A"/>
    <w:rsid w:val="006B2043"/>
    <w:rsid w:val="006B2229"/>
    <w:rsid w:val="006B24B4"/>
    <w:rsid w:val="006B2658"/>
    <w:rsid w:val="006B26AC"/>
    <w:rsid w:val="006B27CD"/>
    <w:rsid w:val="006B2933"/>
    <w:rsid w:val="006B295C"/>
    <w:rsid w:val="006B2E82"/>
    <w:rsid w:val="006B2EAE"/>
    <w:rsid w:val="006B2F9C"/>
    <w:rsid w:val="006B315B"/>
    <w:rsid w:val="006B31C0"/>
    <w:rsid w:val="006B33C4"/>
    <w:rsid w:val="006B3505"/>
    <w:rsid w:val="006B36B8"/>
    <w:rsid w:val="006B3853"/>
    <w:rsid w:val="006B39AF"/>
    <w:rsid w:val="006B3B0B"/>
    <w:rsid w:val="006B3F74"/>
    <w:rsid w:val="006B42F1"/>
    <w:rsid w:val="006B46C2"/>
    <w:rsid w:val="006B48BC"/>
    <w:rsid w:val="006B4AA6"/>
    <w:rsid w:val="006B4D08"/>
    <w:rsid w:val="006B4D5A"/>
    <w:rsid w:val="006B53AB"/>
    <w:rsid w:val="006B57DE"/>
    <w:rsid w:val="006B5844"/>
    <w:rsid w:val="006B5AAB"/>
    <w:rsid w:val="006B5C6A"/>
    <w:rsid w:val="006B5EB1"/>
    <w:rsid w:val="006B5EF5"/>
    <w:rsid w:val="006B5F17"/>
    <w:rsid w:val="006B5F28"/>
    <w:rsid w:val="006B6043"/>
    <w:rsid w:val="006B612B"/>
    <w:rsid w:val="006B63EA"/>
    <w:rsid w:val="006B65E8"/>
    <w:rsid w:val="006B66DA"/>
    <w:rsid w:val="006B6708"/>
    <w:rsid w:val="006B6779"/>
    <w:rsid w:val="006B6812"/>
    <w:rsid w:val="006B689C"/>
    <w:rsid w:val="006B6915"/>
    <w:rsid w:val="006B6AFF"/>
    <w:rsid w:val="006B6FD3"/>
    <w:rsid w:val="006B7210"/>
    <w:rsid w:val="006B73EE"/>
    <w:rsid w:val="006B740E"/>
    <w:rsid w:val="006B755F"/>
    <w:rsid w:val="006B7622"/>
    <w:rsid w:val="006B7642"/>
    <w:rsid w:val="006B76F5"/>
    <w:rsid w:val="006B772F"/>
    <w:rsid w:val="006B777D"/>
    <w:rsid w:val="006B778C"/>
    <w:rsid w:val="006B7916"/>
    <w:rsid w:val="006B7A84"/>
    <w:rsid w:val="006C015D"/>
    <w:rsid w:val="006C02EA"/>
    <w:rsid w:val="006C03FF"/>
    <w:rsid w:val="006C0763"/>
    <w:rsid w:val="006C08E3"/>
    <w:rsid w:val="006C0A72"/>
    <w:rsid w:val="006C0AC9"/>
    <w:rsid w:val="006C0BF6"/>
    <w:rsid w:val="006C0C7B"/>
    <w:rsid w:val="006C0DE2"/>
    <w:rsid w:val="006C0F57"/>
    <w:rsid w:val="006C1095"/>
    <w:rsid w:val="006C118A"/>
    <w:rsid w:val="006C135E"/>
    <w:rsid w:val="006C13B6"/>
    <w:rsid w:val="006C13C8"/>
    <w:rsid w:val="006C16E1"/>
    <w:rsid w:val="006C1848"/>
    <w:rsid w:val="006C1D2B"/>
    <w:rsid w:val="006C1DD4"/>
    <w:rsid w:val="006C2279"/>
    <w:rsid w:val="006C2283"/>
    <w:rsid w:val="006C2409"/>
    <w:rsid w:val="006C2715"/>
    <w:rsid w:val="006C2AEA"/>
    <w:rsid w:val="006C2F0D"/>
    <w:rsid w:val="006C3126"/>
    <w:rsid w:val="006C3136"/>
    <w:rsid w:val="006C316A"/>
    <w:rsid w:val="006C333E"/>
    <w:rsid w:val="006C338D"/>
    <w:rsid w:val="006C360E"/>
    <w:rsid w:val="006C37E8"/>
    <w:rsid w:val="006C3B33"/>
    <w:rsid w:val="006C3BD0"/>
    <w:rsid w:val="006C410E"/>
    <w:rsid w:val="006C4384"/>
    <w:rsid w:val="006C4A3D"/>
    <w:rsid w:val="006C4D57"/>
    <w:rsid w:val="006C4E55"/>
    <w:rsid w:val="006C513E"/>
    <w:rsid w:val="006C5674"/>
    <w:rsid w:val="006C56C5"/>
    <w:rsid w:val="006C580D"/>
    <w:rsid w:val="006C5C22"/>
    <w:rsid w:val="006C5CFA"/>
    <w:rsid w:val="006C5D4F"/>
    <w:rsid w:val="006C5EE6"/>
    <w:rsid w:val="006C611F"/>
    <w:rsid w:val="006C61D8"/>
    <w:rsid w:val="006C6253"/>
    <w:rsid w:val="006C6456"/>
    <w:rsid w:val="006C6478"/>
    <w:rsid w:val="006C67AF"/>
    <w:rsid w:val="006C689B"/>
    <w:rsid w:val="006C6C7C"/>
    <w:rsid w:val="006C722A"/>
    <w:rsid w:val="006C7ABA"/>
    <w:rsid w:val="006C7BE3"/>
    <w:rsid w:val="006C7C5B"/>
    <w:rsid w:val="006C7D9D"/>
    <w:rsid w:val="006D00D7"/>
    <w:rsid w:val="006D01A1"/>
    <w:rsid w:val="006D04BC"/>
    <w:rsid w:val="006D0787"/>
    <w:rsid w:val="006D07E6"/>
    <w:rsid w:val="006D09A1"/>
    <w:rsid w:val="006D09DD"/>
    <w:rsid w:val="006D0B41"/>
    <w:rsid w:val="006D0C11"/>
    <w:rsid w:val="006D0CFE"/>
    <w:rsid w:val="006D0D00"/>
    <w:rsid w:val="006D0EE3"/>
    <w:rsid w:val="006D1067"/>
    <w:rsid w:val="006D1104"/>
    <w:rsid w:val="006D11A0"/>
    <w:rsid w:val="006D12A1"/>
    <w:rsid w:val="006D131B"/>
    <w:rsid w:val="006D1381"/>
    <w:rsid w:val="006D139D"/>
    <w:rsid w:val="006D157F"/>
    <w:rsid w:val="006D1645"/>
    <w:rsid w:val="006D1650"/>
    <w:rsid w:val="006D1673"/>
    <w:rsid w:val="006D1D28"/>
    <w:rsid w:val="006D1DCA"/>
    <w:rsid w:val="006D1E48"/>
    <w:rsid w:val="006D208B"/>
    <w:rsid w:val="006D213A"/>
    <w:rsid w:val="006D2333"/>
    <w:rsid w:val="006D23FF"/>
    <w:rsid w:val="006D24E6"/>
    <w:rsid w:val="006D25A7"/>
    <w:rsid w:val="006D273A"/>
    <w:rsid w:val="006D2AD0"/>
    <w:rsid w:val="006D2BA7"/>
    <w:rsid w:val="006D2C70"/>
    <w:rsid w:val="006D3006"/>
    <w:rsid w:val="006D3333"/>
    <w:rsid w:val="006D33C4"/>
    <w:rsid w:val="006D3418"/>
    <w:rsid w:val="006D34BE"/>
    <w:rsid w:val="006D34FB"/>
    <w:rsid w:val="006D379B"/>
    <w:rsid w:val="006D3809"/>
    <w:rsid w:val="006D39ED"/>
    <w:rsid w:val="006D3A1F"/>
    <w:rsid w:val="006D3AB0"/>
    <w:rsid w:val="006D3CEC"/>
    <w:rsid w:val="006D3D79"/>
    <w:rsid w:val="006D402D"/>
    <w:rsid w:val="006D4064"/>
    <w:rsid w:val="006D4081"/>
    <w:rsid w:val="006D4111"/>
    <w:rsid w:val="006D420A"/>
    <w:rsid w:val="006D442C"/>
    <w:rsid w:val="006D4447"/>
    <w:rsid w:val="006D4459"/>
    <w:rsid w:val="006D44CC"/>
    <w:rsid w:val="006D462D"/>
    <w:rsid w:val="006D4640"/>
    <w:rsid w:val="006D4652"/>
    <w:rsid w:val="006D46B2"/>
    <w:rsid w:val="006D4A06"/>
    <w:rsid w:val="006D4E96"/>
    <w:rsid w:val="006D4ECC"/>
    <w:rsid w:val="006D523D"/>
    <w:rsid w:val="006D528B"/>
    <w:rsid w:val="006D5744"/>
    <w:rsid w:val="006D57A7"/>
    <w:rsid w:val="006D57C1"/>
    <w:rsid w:val="006D5B4B"/>
    <w:rsid w:val="006D5C1C"/>
    <w:rsid w:val="006D5F86"/>
    <w:rsid w:val="006D607E"/>
    <w:rsid w:val="006D60BF"/>
    <w:rsid w:val="006D6118"/>
    <w:rsid w:val="006D61E2"/>
    <w:rsid w:val="006D6321"/>
    <w:rsid w:val="006D664D"/>
    <w:rsid w:val="006D6730"/>
    <w:rsid w:val="006D6DCC"/>
    <w:rsid w:val="006D6E13"/>
    <w:rsid w:val="006D6FA1"/>
    <w:rsid w:val="006D70F1"/>
    <w:rsid w:val="006D70FD"/>
    <w:rsid w:val="006D72B4"/>
    <w:rsid w:val="006D7636"/>
    <w:rsid w:val="006D7832"/>
    <w:rsid w:val="006D7855"/>
    <w:rsid w:val="006D7C67"/>
    <w:rsid w:val="006D7CB1"/>
    <w:rsid w:val="006D7D98"/>
    <w:rsid w:val="006D7DD9"/>
    <w:rsid w:val="006D7DFC"/>
    <w:rsid w:val="006D7ECD"/>
    <w:rsid w:val="006E0192"/>
    <w:rsid w:val="006E01D1"/>
    <w:rsid w:val="006E0600"/>
    <w:rsid w:val="006E0748"/>
    <w:rsid w:val="006E0797"/>
    <w:rsid w:val="006E082A"/>
    <w:rsid w:val="006E092A"/>
    <w:rsid w:val="006E09F9"/>
    <w:rsid w:val="006E0CA0"/>
    <w:rsid w:val="006E0CDD"/>
    <w:rsid w:val="006E0CF3"/>
    <w:rsid w:val="006E1040"/>
    <w:rsid w:val="006E12F7"/>
    <w:rsid w:val="006E1332"/>
    <w:rsid w:val="006E1441"/>
    <w:rsid w:val="006E14A7"/>
    <w:rsid w:val="006E1578"/>
    <w:rsid w:val="006E16DE"/>
    <w:rsid w:val="006E16E9"/>
    <w:rsid w:val="006E1A92"/>
    <w:rsid w:val="006E2019"/>
    <w:rsid w:val="006E20B0"/>
    <w:rsid w:val="006E247B"/>
    <w:rsid w:val="006E2607"/>
    <w:rsid w:val="006E270A"/>
    <w:rsid w:val="006E275C"/>
    <w:rsid w:val="006E2ADF"/>
    <w:rsid w:val="006E2AE9"/>
    <w:rsid w:val="006E2E5A"/>
    <w:rsid w:val="006E33F3"/>
    <w:rsid w:val="006E3472"/>
    <w:rsid w:val="006E3674"/>
    <w:rsid w:val="006E3802"/>
    <w:rsid w:val="006E3911"/>
    <w:rsid w:val="006E3BBF"/>
    <w:rsid w:val="006E3C34"/>
    <w:rsid w:val="006E3C8D"/>
    <w:rsid w:val="006E408B"/>
    <w:rsid w:val="006E4157"/>
    <w:rsid w:val="006E4340"/>
    <w:rsid w:val="006E439A"/>
    <w:rsid w:val="006E43C0"/>
    <w:rsid w:val="006E46EB"/>
    <w:rsid w:val="006E46FE"/>
    <w:rsid w:val="006E47A5"/>
    <w:rsid w:val="006E49AC"/>
    <w:rsid w:val="006E4AB6"/>
    <w:rsid w:val="006E4BC4"/>
    <w:rsid w:val="006E5048"/>
    <w:rsid w:val="006E5135"/>
    <w:rsid w:val="006E5174"/>
    <w:rsid w:val="006E582F"/>
    <w:rsid w:val="006E5A61"/>
    <w:rsid w:val="006E5B0C"/>
    <w:rsid w:val="006E5B21"/>
    <w:rsid w:val="006E5C0B"/>
    <w:rsid w:val="006E5F3B"/>
    <w:rsid w:val="006E5F6A"/>
    <w:rsid w:val="006E600F"/>
    <w:rsid w:val="006E609F"/>
    <w:rsid w:val="006E6213"/>
    <w:rsid w:val="006E641E"/>
    <w:rsid w:val="006E6531"/>
    <w:rsid w:val="006E65D9"/>
    <w:rsid w:val="006E68FD"/>
    <w:rsid w:val="006E69D5"/>
    <w:rsid w:val="006E6BAE"/>
    <w:rsid w:val="006E6DEE"/>
    <w:rsid w:val="006E7011"/>
    <w:rsid w:val="006E7115"/>
    <w:rsid w:val="006E726E"/>
    <w:rsid w:val="006E728B"/>
    <w:rsid w:val="006E7676"/>
    <w:rsid w:val="006E780D"/>
    <w:rsid w:val="006E7845"/>
    <w:rsid w:val="006E7A60"/>
    <w:rsid w:val="006E7B3C"/>
    <w:rsid w:val="006E7B3F"/>
    <w:rsid w:val="006E7CE5"/>
    <w:rsid w:val="006E7D8E"/>
    <w:rsid w:val="006E7DD4"/>
    <w:rsid w:val="006E7EDD"/>
    <w:rsid w:val="006E7F90"/>
    <w:rsid w:val="006F010B"/>
    <w:rsid w:val="006F0149"/>
    <w:rsid w:val="006F02F6"/>
    <w:rsid w:val="006F0311"/>
    <w:rsid w:val="006F040E"/>
    <w:rsid w:val="006F04AC"/>
    <w:rsid w:val="006F084D"/>
    <w:rsid w:val="006F0852"/>
    <w:rsid w:val="006F0A5D"/>
    <w:rsid w:val="006F0D30"/>
    <w:rsid w:val="006F0DD9"/>
    <w:rsid w:val="006F1344"/>
    <w:rsid w:val="006F135F"/>
    <w:rsid w:val="006F1412"/>
    <w:rsid w:val="006F1443"/>
    <w:rsid w:val="006F14B3"/>
    <w:rsid w:val="006F1577"/>
    <w:rsid w:val="006F16EB"/>
    <w:rsid w:val="006F1753"/>
    <w:rsid w:val="006F1AB6"/>
    <w:rsid w:val="006F1F35"/>
    <w:rsid w:val="006F206E"/>
    <w:rsid w:val="006F2379"/>
    <w:rsid w:val="006F26D3"/>
    <w:rsid w:val="006F29BC"/>
    <w:rsid w:val="006F2B3C"/>
    <w:rsid w:val="006F2E1B"/>
    <w:rsid w:val="006F2E46"/>
    <w:rsid w:val="006F2F15"/>
    <w:rsid w:val="006F31B0"/>
    <w:rsid w:val="006F3497"/>
    <w:rsid w:val="006F365E"/>
    <w:rsid w:val="006F390E"/>
    <w:rsid w:val="006F3B80"/>
    <w:rsid w:val="006F3D1C"/>
    <w:rsid w:val="006F4045"/>
    <w:rsid w:val="006F40A3"/>
    <w:rsid w:val="006F4483"/>
    <w:rsid w:val="006F46C2"/>
    <w:rsid w:val="006F46D7"/>
    <w:rsid w:val="006F47DF"/>
    <w:rsid w:val="006F47ED"/>
    <w:rsid w:val="006F53A6"/>
    <w:rsid w:val="006F53CA"/>
    <w:rsid w:val="006F53D7"/>
    <w:rsid w:val="006F5838"/>
    <w:rsid w:val="006F5B2E"/>
    <w:rsid w:val="006F5DE3"/>
    <w:rsid w:val="006F61B6"/>
    <w:rsid w:val="006F6249"/>
    <w:rsid w:val="006F63F8"/>
    <w:rsid w:val="006F66CA"/>
    <w:rsid w:val="006F66E9"/>
    <w:rsid w:val="006F6704"/>
    <w:rsid w:val="006F6758"/>
    <w:rsid w:val="006F675B"/>
    <w:rsid w:val="006F67F3"/>
    <w:rsid w:val="006F68D0"/>
    <w:rsid w:val="006F68FE"/>
    <w:rsid w:val="006F6C92"/>
    <w:rsid w:val="006F6FB0"/>
    <w:rsid w:val="006F6FFB"/>
    <w:rsid w:val="006F74F7"/>
    <w:rsid w:val="006F75A5"/>
    <w:rsid w:val="006F7AAC"/>
    <w:rsid w:val="00700088"/>
    <w:rsid w:val="007001C3"/>
    <w:rsid w:val="00700443"/>
    <w:rsid w:val="00700CA3"/>
    <w:rsid w:val="00700F44"/>
    <w:rsid w:val="0070139E"/>
    <w:rsid w:val="00701578"/>
    <w:rsid w:val="00701846"/>
    <w:rsid w:val="007019AD"/>
    <w:rsid w:val="00701D3B"/>
    <w:rsid w:val="00701E20"/>
    <w:rsid w:val="00701F3F"/>
    <w:rsid w:val="007022E1"/>
    <w:rsid w:val="00702321"/>
    <w:rsid w:val="00702418"/>
    <w:rsid w:val="00702438"/>
    <w:rsid w:val="00702611"/>
    <w:rsid w:val="007026DA"/>
    <w:rsid w:val="00702715"/>
    <w:rsid w:val="00702849"/>
    <w:rsid w:val="00702A84"/>
    <w:rsid w:val="00702C24"/>
    <w:rsid w:val="00702DEF"/>
    <w:rsid w:val="00702E96"/>
    <w:rsid w:val="00702EC4"/>
    <w:rsid w:val="007030AA"/>
    <w:rsid w:val="007033C8"/>
    <w:rsid w:val="0070345A"/>
    <w:rsid w:val="00703A84"/>
    <w:rsid w:val="00703F8A"/>
    <w:rsid w:val="007041FA"/>
    <w:rsid w:val="00704305"/>
    <w:rsid w:val="0070464C"/>
    <w:rsid w:val="00704699"/>
    <w:rsid w:val="007049F7"/>
    <w:rsid w:val="00704AAB"/>
    <w:rsid w:val="00704ACC"/>
    <w:rsid w:val="00704AE6"/>
    <w:rsid w:val="00704B6F"/>
    <w:rsid w:val="00704CBE"/>
    <w:rsid w:val="00704D58"/>
    <w:rsid w:val="00704E7C"/>
    <w:rsid w:val="00704F8D"/>
    <w:rsid w:val="00705039"/>
    <w:rsid w:val="007050A3"/>
    <w:rsid w:val="0070520A"/>
    <w:rsid w:val="0070559C"/>
    <w:rsid w:val="007056A6"/>
    <w:rsid w:val="007056D8"/>
    <w:rsid w:val="0070582D"/>
    <w:rsid w:val="00705ABC"/>
    <w:rsid w:val="00705CAB"/>
    <w:rsid w:val="00705E4E"/>
    <w:rsid w:val="007066BF"/>
    <w:rsid w:val="007067CF"/>
    <w:rsid w:val="00706934"/>
    <w:rsid w:val="007069C4"/>
    <w:rsid w:val="00706D30"/>
    <w:rsid w:val="00706D89"/>
    <w:rsid w:val="00706DB3"/>
    <w:rsid w:val="00706F87"/>
    <w:rsid w:val="007070E2"/>
    <w:rsid w:val="007071B9"/>
    <w:rsid w:val="00707267"/>
    <w:rsid w:val="0070764F"/>
    <w:rsid w:val="00707658"/>
    <w:rsid w:val="0070765F"/>
    <w:rsid w:val="007076DB"/>
    <w:rsid w:val="007076F5"/>
    <w:rsid w:val="00707E16"/>
    <w:rsid w:val="0071004A"/>
    <w:rsid w:val="00710189"/>
    <w:rsid w:val="007102C5"/>
    <w:rsid w:val="0071070F"/>
    <w:rsid w:val="00710949"/>
    <w:rsid w:val="00710D5B"/>
    <w:rsid w:val="00711100"/>
    <w:rsid w:val="007113DD"/>
    <w:rsid w:val="00711546"/>
    <w:rsid w:val="007116B4"/>
    <w:rsid w:val="007116D9"/>
    <w:rsid w:val="00711734"/>
    <w:rsid w:val="00711780"/>
    <w:rsid w:val="007117C3"/>
    <w:rsid w:val="00711B02"/>
    <w:rsid w:val="00711D01"/>
    <w:rsid w:val="00711D3A"/>
    <w:rsid w:val="00711F4B"/>
    <w:rsid w:val="0071204B"/>
    <w:rsid w:val="00712143"/>
    <w:rsid w:val="0071235B"/>
    <w:rsid w:val="007123E3"/>
    <w:rsid w:val="00712439"/>
    <w:rsid w:val="00712864"/>
    <w:rsid w:val="007128AF"/>
    <w:rsid w:val="007128DB"/>
    <w:rsid w:val="00712944"/>
    <w:rsid w:val="00712CBD"/>
    <w:rsid w:val="00712D1A"/>
    <w:rsid w:val="00712D35"/>
    <w:rsid w:val="00712D47"/>
    <w:rsid w:val="00713042"/>
    <w:rsid w:val="007130F0"/>
    <w:rsid w:val="007131C3"/>
    <w:rsid w:val="007132FE"/>
    <w:rsid w:val="00713C70"/>
    <w:rsid w:val="00713CDF"/>
    <w:rsid w:val="007141F5"/>
    <w:rsid w:val="0071445A"/>
    <w:rsid w:val="00714524"/>
    <w:rsid w:val="007145CB"/>
    <w:rsid w:val="007145D6"/>
    <w:rsid w:val="007148D0"/>
    <w:rsid w:val="007148E5"/>
    <w:rsid w:val="00714A69"/>
    <w:rsid w:val="00714CB8"/>
    <w:rsid w:val="00714D1D"/>
    <w:rsid w:val="00714E58"/>
    <w:rsid w:val="00714E95"/>
    <w:rsid w:val="007150CE"/>
    <w:rsid w:val="00715505"/>
    <w:rsid w:val="00715573"/>
    <w:rsid w:val="00715666"/>
    <w:rsid w:val="0071569A"/>
    <w:rsid w:val="00715C53"/>
    <w:rsid w:val="00715C74"/>
    <w:rsid w:val="00715F5D"/>
    <w:rsid w:val="0071613A"/>
    <w:rsid w:val="00716359"/>
    <w:rsid w:val="00716687"/>
    <w:rsid w:val="007166BC"/>
    <w:rsid w:val="00716838"/>
    <w:rsid w:val="007168A4"/>
    <w:rsid w:val="00716D21"/>
    <w:rsid w:val="00716E70"/>
    <w:rsid w:val="00716F0D"/>
    <w:rsid w:val="00717221"/>
    <w:rsid w:val="007172B3"/>
    <w:rsid w:val="00717492"/>
    <w:rsid w:val="007174D3"/>
    <w:rsid w:val="0071778B"/>
    <w:rsid w:val="00717928"/>
    <w:rsid w:val="00717985"/>
    <w:rsid w:val="007179B7"/>
    <w:rsid w:val="00717AE7"/>
    <w:rsid w:val="00717C09"/>
    <w:rsid w:val="00717D17"/>
    <w:rsid w:val="007200D3"/>
    <w:rsid w:val="00720123"/>
    <w:rsid w:val="007201CC"/>
    <w:rsid w:val="007203DC"/>
    <w:rsid w:val="0072043E"/>
    <w:rsid w:val="00720461"/>
    <w:rsid w:val="007204B0"/>
    <w:rsid w:val="007204C3"/>
    <w:rsid w:val="007205D6"/>
    <w:rsid w:val="007206C3"/>
    <w:rsid w:val="0072073B"/>
    <w:rsid w:val="007207F2"/>
    <w:rsid w:val="00720938"/>
    <w:rsid w:val="00720A58"/>
    <w:rsid w:val="00720EDE"/>
    <w:rsid w:val="00720F46"/>
    <w:rsid w:val="0072112D"/>
    <w:rsid w:val="007213C2"/>
    <w:rsid w:val="007215B5"/>
    <w:rsid w:val="007215E9"/>
    <w:rsid w:val="007218C7"/>
    <w:rsid w:val="007219EB"/>
    <w:rsid w:val="00721B70"/>
    <w:rsid w:val="00721B81"/>
    <w:rsid w:val="00721BB3"/>
    <w:rsid w:val="00721C72"/>
    <w:rsid w:val="00721D98"/>
    <w:rsid w:val="00721EAD"/>
    <w:rsid w:val="00721FA8"/>
    <w:rsid w:val="007220FC"/>
    <w:rsid w:val="00722538"/>
    <w:rsid w:val="007225CC"/>
    <w:rsid w:val="00722603"/>
    <w:rsid w:val="00722656"/>
    <w:rsid w:val="007226B5"/>
    <w:rsid w:val="00722951"/>
    <w:rsid w:val="00722B33"/>
    <w:rsid w:val="00722BB9"/>
    <w:rsid w:val="00722C19"/>
    <w:rsid w:val="00722D7D"/>
    <w:rsid w:val="00722F3C"/>
    <w:rsid w:val="0072318C"/>
    <w:rsid w:val="007231E6"/>
    <w:rsid w:val="0072343B"/>
    <w:rsid w:val="007236CA"/>
    <w:rsid w:val="00723750"/>
    <w:rsid w:val="00723771"/>
    <w:rsid w:val="0072382D"/>
    <w:rsid w:val="0072384C"/>
    <w:rsid w:val="00723B6A"/>
    <w:rsid w:val="00723F1E"/>
    <w:rsid w:val="00723FA8"/>
    <w:rsid w:val="0072409D"/>
    <w:rsid w:val="0072412F"/>
    <w:rsid w:val="0072422F"/>
    <w:rsid w:val="0072445A"/>
    <w:rsid w:val="007245DF"/>
    <w:rsid w:val="0072465D"/>
    <w:rsid w:val="007248E0"/>
    <w:rsid w:val="00724D60"/>
    <w:rsid w:val="00724E9F"/>
    <w:rsid w:val="00724EB3"/>
    <w:rsid w:val="00724F28"/>
    <w:rsid w:val="0072530C"/>
    <w:rsid w:val="0072539B"/>
    <w:rsid w:val="00725966"/>
    <w:rsid w:val="00725BD8"/>
    <w:rsid w:val="00725D85"/>
    <w:rsid w:val="00726152"/>
    <w:rsid w:val="0072617C"/>
    <w:rsid w:val="00726211"/>
    <w:rsid w:val="007262EA"/>
    <w:rsid w:val="00726374"/>
    <w:rsid w:val="007268EB"/>
    <w:rsid w:val="00726A2E"/>
    <w:rsid w:val="00726A4A"/>
    <w:rsid w:val="00726CF3"/>
    <w:rsid w:val="00726ED1"/>
    <w:rsid w:val="0072711A"/>
    <w:rsid w:val="00727170"/>
    <w:rsid w:val="007271E5"/>
    <w:rsid w:val="00727405"/>
    <w:rsid w:val="007275CC"/>
    <w:rsid w:val="0072773F"/>
    <w:rsid w:val="007278D8"/>
    <w:rsid w:val="007278F1"/>
    <w:rsid w:val="007279D8"/>
    <w:rsid w:val="00727E6D"/>
    <w:rsid w:val="007300EF"/>
    <w:rsid w:val="00730298"/>
    <w:rsid w:val="007306C0"/>
    <w:rsid w:val="007307B3"/>
    <w:rsid w:val="00730994"/>
    <w:rsid w:val="00730AFF"/>
    <w:rsid w:val="00730BE9"/>
    <w:rsid w:val="00730ECD"/>
    <w:rsid w:val="00730FB4"/>
    <w:rsid w:val="00731107"/>
    <w:rsid w:val="007313E6"/>
    <w:rsid w:val="007315F6"/>
    <w:rsid w:val="007318C7"/>
    <w:rsid w:val="007318D8"/>
    <w:rsid w:val="00731E16"/>
    <w:rsid w:val="00732227"/>
    <w:rsid w:val="00732377"/>
    <w:rsid w:val="00732496"/>
    <w:rsid w:val="00732568"/>
    <w:rsid w:val="0073276A"/>
    <w:rsid w:val="00732A99"/>
    <w:rsid w:val="00732BEE"/>
    <w:rsid w:val="00732C08"/>
    <w:rsid w:val="00732E39"/>
    <w:rsid w:val="00733328"/>
    <w:rsid w:val="00733348"/>
    <w:rsid w:val="0073398F"/>
    <w:rsid w:val="007339E6"/>
    <w:rsid w:val="00733AB8"/>
    <w:rsid w:val="00733C8F"/>
    <w:rsid w:val="00733DC1"/>
    <w:rsid w:val="00733E92"/>
    <w:rsid w:val="00733ECF"/>
    <w:rsid w:val="00733F21"/>
    <w:rsid w:val="0073402F"/>
    <w:rsid w:val="007340A7"/>
    <w:rsid w:val="00734397"/>
    <w:rsid w:val="00734477"/>
    <w:rsid w:val="007344F2"/>
    <w:rsid w:val="00734667"/>
    <w:rsid w:val="007347B8"/>
    <w:rsid w:val="00734AD8"/>
    <w:rsid w:val="00734CBE"/>
    <w:rsid w:val="00734E3B"/>
    <w:rsid w:val="00734EA0"/>
    <w:rsid w:val="007350F3"/>
    <w:rsid w:val="007350FF"/>
    <w:rsid w:val="00735156"/>
    <w:rsid w:val="0073530A"/>
    <w:rsid w:val="007353E4"/>
    <w:rsid w:val="00735455"/>
    <w:rsid w:val="00735808"/>
    <w:rsid w:val="00735A4D"/>
    <w:rsid w:val="00735A54"/>
    <w:rsid w:val="00735C8B"/>
    <w:rsid w:val="00735D1A"/>
    <w:rsid w:val="00735D76"/>
    <w:rsid w:val="00735E55"/>
    <w:rsid w:val="00735E5F"/>
    <w:rsid w:val="00735FC5"/>
    <w:rsid w:val="00736110"/>
    <w:rsid w:val="0073638D"/>
    <w:rsid w:val="007364BF"/>
    <w:rsid w:val="00736599"/>
    <w:rsid w:val="007367E3"/>
    <w:rsid w:val="0073691F"/>
    <w:rsid w:val="00736AA1"/>
    <w:rsid w:val="00736E31"/>
    <w:rsid w:val="00736F00"/>
    <w:rsid w:val="00736FCF"/>
    <w:rsid w:val="00737052"/>
    <w:rsid w:val="0073712F"/>
    <w:rsid w:val="007373E7"/>
    <w:rsid w:val="00737476"/>
    <w:rsid w:val="00737601"/>
    <w:rsid w:val="007377ED"/>
    <w:rsid w:val="00737C0D"/>
    <w:rsid w:val="00737E1B"/>
    <w:rsid w:val="00737EE8"/>
    <w:rsid w:val="00737FDD"/>
    <w:rsid w:val="007400BB"/>
    <w:rsid w:val="00740101"/>
    <w:rsid w:val="0074016B"/>
    <w:rsid w:val="00740566"/>
    <w:rsid w:val="0074070F"/>
    <w:rsid w:val="0074075E"/>
    <w:rsid w:val="007409F2"/>
    <w:rsid w:val="00740B21"/>
    <w:rsid w:val="00740C28"/>
    <w:rsid w:val="00740F1F"/>
    <w:rsid w:val="0074103C"/>
    <w:rsid w:val="007414A5"/>
    <w:rsid w:val="00741628"/>
    <w:rsid w:val="007417D0"/>
    <w:rsid w:val="007419CE"/>
    <w:rsid w:val="00741A4B"/>
    <w:rsid w:val="00741C62"/>
    <w:rsid w:val="00741C69"/>
    <w:rsid w:val="00741CB0"/>
    <w:rsid w:val="00741F0D"/>
    <w:rsid w:val="0074226E"/>
    <w:rsid w:val="007424CD"/>
    <w:rsid w:val="007424F2"/>
    <w:rsid w:val="00742761"/>
    <w:rsid w:val="00742786"/>
    <w:rsid w:val="00742A9D"/>
    <w:rsid w:val="00742C36"/>
    <w:rsid w:val="00742CFE"/>
    <w:rsid w:val="00742D2B"/>
    <w:rsid w:val="00742EA9"/>
    <w:rsid w:val="00742EF9"/>
    <w:rsid w:val="0074302C"/>
    <w:rsid w:val="007430FE"/>
    <w:rsid w:val="00743138"/>
    <w:rsid w:val="007432A4"/>
    <w:rsid w:val="007432E9"/>
    <w:rsid w:val="00743317"/>
    <w:rsid w:val="007434A2"/>
    <w:rsid w:val="0074361E"/>
    <w:rsid w:val="0074361F"/>
    <w:rsid w:val="0074369C"/>
    <w:rsid w:val="00743859"/>
    <w:rsid w:val="0074389D"/>
    <w:rsid w:val="00743A2B"/>
    <w:rsid w:val="00743AF2"/>
    <w:rsid w:val="00743B0A"/>
    <w:rsid w:val="00743C07"/>
    <w:rsid w:val="00743C33"/>
    <w:rsid w:val="00743CD9"/>
    <w:rsid w:val="00743DC2"/>
    <w:rsid w:val="00743E32"/>
    <w:rsid w:val="00743E5A"/>
    <w:rsid w:val="0074429F"/>
    <w:rsid w:val="007444F9"/>
    <w:rsid w:val="0074473A"/>
    <w:rsid w:val="00744BBB"/>
    <w:rsid w:val="00744C70"/>
    <w:rsid w:val="00744CCE"/>
    <w:rsid w:val="00744DF1"/>
    <w:rsid w:val="007451D3"/>
    <w:rsid w:val="00745450"/>
    <w:rsid w:val="00745990"/>
    <w:rsid w:val="007459BB"/>
    <w:rsid w:val="00745A8F"/>
    <w:rsid w:val="00745B4B"/>
    <w:rsid w:val="00745D90"/>
    <w:rsid w:val="00746027"/>
    <w:rsid w:val="007462BF"/>
    <w:rsid w:val="00746312"/>
    <w:rsid w:val="0074640C"/>
    <w:rsid w:val="007464EF"/>
    <w:rsid w:val="0074655B"/>
    <w:rsid w:val="0074664F"/>
    <w:rsid w:val="00746BD7"/>
    <w:rsid w:val="00746C93"/>
    <w:rsid w:val="00746D3C"/>
    <w:rsid w:val="00746EE5"/>
    <w:rsid w:val="00746F79"/>
    <w:rsid w:val="00747040"/>
    <w:rsid w:val="007470F0"/>
    <w:rsid w:val="0074757F"/>
    <w:rsid w:val="00747581"/>
    <w:rsid w:val="0074781A"/>
    <w:rsid w:val="00747C93"/>
    <w:rsid w:val="0075010C"/>
    <w:rsid w:val="00750165"/>
    <w:rsid w:val="007501B9"/>
    <w:rsid w:val="007504B9"/>
    <w:rsid w:val="007504DD"/>
    <w:rsid w:val="007506ED"/>
    <w:rsid w:val="00750830"/>
    <w:rsid w:val="00750A53"/>
    <w:rsid w:val="00750B71"/>
    <w:rsid w:val="00750EEA"/>
    <w:rsid w:val="007510A0"/>
    <w:rsid w:val="007510FC"/>
    <w:rsid w:val="00751115"/>
    <w:rsid w:val="00751235"/>
    <w:rsid w:val="00751402"/>
    <w:rsid w:val="007514DB"/>
    <w:rsid w:val="00751552"/>
    <w:rsid w:val="007515AC"/>
    <w:rsid w:val="007517BB"/>
    <w:rsid w:val="007517DE"/>
    <w:rsid w:val="0075186C"/>
    <w:rsid w:val="00751AD4"/>
    <w:rsid w:val="00751AEE"/>
    <w:rsid w:val="00751C59"/>
    <w:rsid w:val="00751CC4"/>
    <w:rsid w:val="00751EA8"/>
    <w:rsid w:val="00751F45"/>
    <w:rsid w:val="0075201B"/>
    <w:rsid w:val="0075205D"/>
    <w:rsid w:val="0075209F"/>
    <w:rsid w:val="0075227B"/>
    <w:rsid w:val="007526C8"/>
    <w:rsid w:val="007528CD"/>
    <w:rsid w:val="00752A7B"/>
    <w:rsid w:val="00752A83"/>
    <w:rsid w:val="00752B27"/>
    <w:rsid w:val="00752BB8"/>
    <w:rsid w:val="00752C14"/>
    <w:rsid w:val="00752E6E"/>
    <w:rsid w:val="00752EE5"/>
    <w:rsid w:val="007530BC"/>
    <w:rsid w:val="00753181"/>
    <w:rsid w:val="0075329E"/>
    <w:rsid w:val="007532FD"/>
    <w:rsid w:val="007534C5"/>
    <w:rsid w:val="007535CC"/>
    <w:rsid w:val="00753675"/>
    <w:rsid w:val="007536FD"/>
    <w:rsid w:val="00753C00"/>
    <w:rsid w:val="0075406C"/>
    <w:rsid w:val="00754161"/>
    <w:rsid w:val="007543A5"/>
    <w:rsid w:val="007543A6"/>
    <w:rsid w:val="007543BE"/>
    <w:rsid w:val="007543D4"/>
    <w:rsid w:val="007543E8"/>
    <w:rsid w:val="0075442A"/>
    <w:rsid w:val="00754463"/>
    <w:rsid w:val="0075446B"/>
    <w:rsid w:val="0075473F"/>
    <w:rsid w:val="00754829"/>
    <w:rsid w:val="00754B3F"/>
    <w:rsid w:val="00754C9F"/>
    <w:rsid w:val="00754D15"/>
    <w:rsid w:val="00754D52"/>
    <w:rsid w:val="00754DCA"/>
    <w:rsid w:val="00754E83"/>
    <w:rsid w:val="00755226"/>
    <w:rsid w:val="007552D9"/>
    <w:rsid w:val="007552FF"/>
    <w:rsid w:val="00755481"/>
    <w:rsid w:val="007558D1"/>
    <w:rsid w:val="00755E9E"/>
    <w:rsid w:val="00755FA7"/>
    <w:rsid w:val="007561AF"/>
    <w:rsid w:val="00756230"/>
    <w:rsid w:val="00756365"/>
    <w:rsid w:val="007566A8"/>
    <w:rsid w:val="007566CA"/>
    <w:rsid w:val="00756AAB"/>
    <w:rsid w:val="00756B71"/>
    <w:rsid w:val="00756B92"/>
    <w:rsid w:val="00756C04"/>
    <w:rsid w:val="00756FE1"/>
    <w:rsid w:val="00757155"/>
    <w:rsid w:val="00757366"/>
    <w:rsid w:val="007574D2"/>
    <w:rsid w:val="0075762B"/>
    <w:rsid w:val="007577B9"/>
    <w:rsid w:val="00757AB1"/>
    <w:rsid w:val="00757ADD"/>
    <w:rsid w:val="00757D65"/>
    <w:rsid w:val="00757D75"/>
    <w:rsid w:val="00757D8F"/>
    <w:rsid w:val="00757E50"/>
    <w:rsid w:val="00760259"/>
    <w:rsid w:val="007605AA"/>
    <w:rsid w:val="0076096E"/>
    <w:rsid w:val="00760BFE"/>
    <w:rsid w:val="00760F5B"/>
    <w:rsid w:val="00760FF5"/>
    <w:rsid w:val="00761249"/>
    <w:rsid w:val="00761251"/>
    <w:rsid w:val="007614F4"/>
    <w:rsid w:val="0076170E"/>
    <w:rsid w:val="00761822"/>
    <w:rsid w:val="00761A57"/>
    <w:rsid w:val="00761B71"/>
    <w:rsid w:val="00761D23"/>
    <w:rsid w:val="00762121"/>
    <w:rsid w:val="007621E0"/>
    <w:rsid w:val="00762395"/>
    <w:rsid w:val="007624E5"/>
    <w:rsid w:val="007626C1"/>
    <w:rsid w:val="00762A3C"/>
    <w:rsid w:val="00762B2B"/>
    <w:rsid w:val="00762B5F"/>
    <w:rsid w:val="00762D26"/>
    <w:rsid w:val="00763273"/>
    <w:rsid w:val="007632F1"/>
    <w:rsid w:val="00763314"/>
    <w:rsid w:val="007633E3"/>
    <w:rsid w:val="00763483"/>
    <w:rsid w:val="00763488"/>
    <w:rsid w:val="007637E3"/>
    <w:rsid w:val="00763A41"/>
    <w:rsid w:val="00763A78"/>
    <w:rsid w:val="00763DEF"/>
    <w:rsid w:val="00763E42"/>
    <w:rsid w:val="00763FBD"/>
    <w:rsid w:val="00764084"/>
    <w:rsid w:val="00764127"/>
    <w:rsid w:val="0076418B"/>
    <w:rsid w:val="007644DF"/>
    <w:rsid w:val="007649EE"/>
    <w:rsid w:val="00764B03"/>
    <w:rsid w:val="00764E88"/>
    <w:rsid w:val="00764F9F"/>
    <w:rsid w:val="00765495"/>
    <w:rsid w:val="007654F8"/>
    <w:rsid w:val="00765793"/>
    <w:rsid w:val="0076579B"/>
    <w:rsid w:val="007657D4"/>
    <w:rsid w:val="0076599A"/>
    <w:rsid w:val="00765B2F"/>
    <w:rsid w:val="00765D6C"/>
    <w:rsid w:val="00765E82"/>
    <w:rsid w:val="00766103"/>
    <w:rsid w:val="007661F2"/>
    <w:rsid w:val="0076624F"/>
    <w:rsid w:val="00766485"/>
    <w:rsid w:val="0076649F"/>
    <w:rsid w:val="007664AB"/>
    <w:rsid w:val="007665B4"/>
    <w:rsid w:val="007665E3"/>
    <w:rsid w:val="00766788"/>
    <w:rsid w:val="00766800"/>
    <w:rsid w:val="00766A35"/>
    <w:rsid w:val="00766A84"/>
    <w:rsid w:val="00766CC8"/>
    <w:rsid w:val="00766EBE"/>
    <w:rsid w:val="00767283"/>
    <w:rsid w:val="007674A0"/>
    <w:rsid w:val="0076765D"/>
    <w:rsid w:val="007677C6"/>
    <w:rsid w:val="00767959"/>
    <w:rsid w:val="007679F4"/>
    <w:rsid w:val="00767B3B"/>
    <w:rsid w:val="00767BDF"/>
    <w:rsid w:val="00767E75"/>
    <w:rsid w:val="00767F45"/>
    <w:rsid w:val="00767F97"/>
    <w:rsid w:val="00767FE8"/>
    <w:rsid w:val="0077006C"/>
    <w:rsid w:val="00770083"/>
    <w:rsid w:val="007700EC"/>
    <w:rsid w:val="00770241"/>
    <w:rsid w:val="00770446"/>
    <w:rsid w:val="0077055F"/>
    <w:rsid w:val="007706FA"/>
    <w:rsid w:val="00770901"/>
    <w:rsid w:val="00770AA8"/>
    <w:rsid w:val="00770BC7"/>
    <w:rsid w:val="00770DD2"/>
    <w:rsid w:val="00770DD6"/>
    <w:rsid w:val="00770DE6"/>
    <w:rsid w:val="00771080"/>
    <w:rsid w:val="007711B9"/>
    <w:rsid w:val="00771356"/>
    <w:rsid w:val="007717BC"/>
    <w:rsid w:val="00771B06"/>
    <w:rsid w:val="00771B18"/>
    <w:rsid w:val="00771BFF"/>
    <w:rsid w:val="00771E3E"/>
    <w:rsid w:val="00771E56"/>
    <w:rsid w:val="0077213F"/>
    <w:rsid w:val="007721AE"/>
    <w:rsid w:val="007722F5"/>
    <w:rsid w:val="007724E1"/>
    <w:rsid w:val="007726C1"/>
    <w:rsid w:val="0077275D"/>
    <w:rsid w:val="007727B9"/>
    <w:rsid w:val="00772A18"/>
    <w:rsid w:val="00772A9A"/>
    <w:rsid w:val="00772B50"/>
    <w:rsid w:val="00772B9A"/>
    <w:rsid w:val="00772C36"/>
    <w:rsid w:val="00772C3D"/>
    <w:rsid w:val="00773006"/>
    <w:rsid w:val="0077307D"/>
    <w:rsid w:val="007730BE"/>
    <w:rsid w:val="00773132"/>
    <w:rsid w:val="00773483"/>
    <w:rsid w:val="00773612"/>
    <w:rsid w:val="00773903"/>
    <w:rsid w:val="00773CB2"/>
    <w:rsid w:val="00773CF5"/>
    <w:rsid w:val="00773E10"/>
    <w:rsid w:val="00774048"/>
    <w:rsid w:val="00774299"/>
    <w:rsid w:val="00774397"/>
    <w:rsid w:val="007748AB"/>
    <w:rsid w:val="00774AD2"/>
    <w:rsid w:val="00774BB3"/>
    <w:rsid w:val="00774C6F"/>
    <w:rsid w:val="00774E6E"/>
    <w:rsid w:val="00774EEE"/>
    <w:rsid w:val="00775204"/>
    <w:rsid w:val="00775720"/>
    <w:rsid w:val="0077575B"/>
    <w:rsid w:val="007759F3"/>
    <w:rsid w:val="00775B83"/>
    <w:rsid w:val="00775CE1"/>
    <w:rsid w:val="00775E20"/>
    <w:rsid w:val="00776127"/>
    <w:rsid w:val="00776244"/>
    <w:rsid w:val="0077632D"/>
    <w:rsid w:val="007764BA"/>
    <w:rsid w:val="00776664"/>
    <w:rsid w:val="00776700"/>
    <w:rsid w:val="007767C3"/>
    <w:rsid w:val="007769AB"/>
    <w:rsid w:val="00776AB1"/>
    <w:rsid w:val="00776C53"/>
    <w:rsid w:val="00777529"/>
    <w:rsid w:val="0077754E"/>
    <w:rsid w:val="00777820"/>
    <w:rsid w:val="00777AF9"/>
    <w:rsid w:val="00777B90"/>
    <w:rsid w:val="00777C64"/>
    <w:rsid w:val="00777D65"/>
    <w:rsid w:val="007802A4"/>
    <w:rsid w:val="007802BB"/>
    <w:rsid w:val="007805A4"/>
    <w:rsid w:val="007805DD"/>
    <w:rsid w:val="00780615"/>
    <w:rsid w:val="007806D8"/>
    <w:rsid w:val="0078080A"/>
    <w:rsid w:val="00780842"/>
    <w:rsid w:val="007809E4"/>
    <w:rsid w:val="0078131E"/>
    <w:rsid w:val="007813BC"/>
    <w:rsid w:val="00781481"/>
    <w:rsid w:val="007814ED"/>
    <w:rsid w:val="007814F7"/>
    <w:rsid w:val="007815DD"/>
    <w:rsid w:val="007817D4"/>
    <w:rsid w:val="00781829"/>
    <w:rsid w:val="00781901"/>
    <w:rsid w:val="00781AE1"/>
    <w:rsid w:val="0078227C"/>
    <w:rsid w:val="0078228D"/>
    <w:rsid w:val="00782291"/>
    <w:rsid w:val="007822A2"/>
    <w:rsid w:val="00782345"/>
    <w:rsid w:val="00782395"/>
    <w:rsid w:val="007825CB"/>
    <w:rsid w:val="007829F5"/>
    <w:rsid w:val="00782B4F"/>
    <w:rsid w:val="00782DEE"/>
    <w:rsid w:val="00782EC1"/>
    <w:rsid w:val="0078301F"/>
    <w:rsid w:val="00783079"/>
    <w:rsid w:val="00783323"/>
    <w:rsid w:val="0078361C"/>
    <w:rsid w:val="0078376C"/>
    <w:rsid w:val="00783882"/>
    <w:rsid w:val="00783A7D"/>
    <w:rsid w:val="00783B88"/>
    <w:rsid w:val="00783BC8"/>
    <w:rsid w:val="00783D65"/>
    <w:rsid w:val="00783EB5"/>
    <w:rsid w:val="00784011"/>
    <w:rsid w:val="0078437F"/>
    <w:rsid w:val="007844ED"/>
    <w:rsid w:val="00784578"/>
    <w:rsid w:val="007845AD"/>
    <w:rsid w:val="007846E1"/>
    <w:rsid w:val="007848C9"/>
    <w:rsid w:val="00784968"/>
    <w:rsid w:val="00784A89"/>
    <w:rsid w:val="00784C82"/>
    <w:rsid w:val="00784CE9"/>
    <w:rsid w:val="00784EC5"/>
    <w:rsid w:val="007851C1"/>
    <w:rsid w:val="007851D6"/>
    <w:rsid w:val="007852A9"/>
    <w:rsid w:val="007852BF"/>
    <w:rsid w:val="0078533B"/>
    <w:rsid w:val="0078568D"/>
    <w:rsid w:val="0078583A"/>
    <w:rsid w:val="00786090"/>
    <w:rsid w:val="00786093"/>
    <w:rsid w:val="007864D3"/>
    <w:rsid w:val="0078654F"/>
    <w:rsid w:val="0078667F"/>
    <w:rsid w:val="0078669F"/>
    <w:rsid w:val="00786783"/>
    <w:rsid w:val="007867DD"/>
    <w:rsid w:val="00786D7E"/>
    <w:rsid w:val="00786DF4"/>
    <w:rsid w:val="00786F2B"/>
    <w:rsid w:val="00786F55"/>
    <w:rsid w:val="00787103"/>
    <w:rsid w:val="0078726B"/>
    <w:rsid w:val="007872BA"/>
    <w:rsid w:val="00787461"/>
    <w:rsid w:val="007875B9"/>
    <w:rsid w:val="00787732"/>
    <w:rsid w:val="0078774C"/>
    <w:rsid w:val="0078775B"/>
    <w:rsid w:val="00787836"/>
    <w:rsid w:val="0078783F"/>
    <w:rsid w:val="00787929"/>
    <w:rsid w:val="00787D73"/>
    <w:rsid w:val="00787EB9"/>
    <w:rsid w:val="007901C0"/>
    <w:rsid w:val="0079039A"/>
    <w:rsid w:val="007903B7"/>
    <w:rsid w:val="00790890"/>
    <w:rsid w:val="00790938"/>
    <w:rsid w:val="0079093C"/>
    <w:rsid w:val="007909EA"/>
    <w:rsid w:val="00790A20"/>
    <w:rsid w:val="00790C8A"/>
    <w:rsid w:val="00790DE9"/>
    <w:rsid w:val="00790EC6"/>
    <w:rsid w:val="00790FED"/>
    <w:rsid w:val="00791176"/>
    <w:rsid w:val="0079144B"/>
    <w:rsid w:val="00791698"/>
    <w:rsid w:val="00791785"/>
    <w:rsid w:val="00791D88"/>
    <w:rsid w:val="00792041"/>
    <w:rsid w:val="00792541"/>
    <w:rsid w:val="00792830"/>
    <w:rsid w:val="007929AE"/>
    <w:rsid w:val="007929D3"/>
    <w:rsid w:val="007929EF"/>
    <w:rsid w:val="00792A40"/>
    <w:rsid w:val="0079314B"/>
    <w:rsid w:val="0079320C"/>
    <w:rsid w:val="00793748"/>
    <w:rsid w:val="007938A5"/>
    <w:rsid w:val="00793E44"/>
    <w:rsid w:val="00793F51"/>
    <w:rsid w:val="007941F9"/>
    <w:rsid w:val="00794696"/>
    <w:rsid w:val="007949F5"/>
    <w:rsid w:val="00794AF5"/>
    <w:rsid w:val="00794E53"/>
    <w:rsid w:val="00794E94"/>
    <w:rsid w:val="00794EE0"/>
    <w:rsid w:val="00795037"/>
    <w:rsid w:val="007950E5"/>
    <w:rsid w:val="00795234"/>
    <w:rsid w:val="007953E8"/>
    <w:rsid w:val="0079571E"/>
    <w:rsid w:val="0079575B"/>
    <w:rsid w:val="007957A9"/>
    <w:rsid w:val="007958EF"/>
    <w:rsid w:val="007959E2"/>
    <w:rsid w:val="00795A7A"/>
    <w:rsid w:val="00795A90"/>
    <w:rsid w:val="00795BBB"/>
    <w:rsid w:val="00795C30"/>
    <w:rsid w:val="00795DDC"/>
    <w:rsid w:val="00795FDC"/>
    <w:rsid w:val="00795FEA"/>
    <w:rsid w:val="00796048"/>
    <w:rsid w:val="00796261"/>
    <w:rsid w:val="00796342"/>
    <w:rsid w:val="00796780"/>
    <w:rsid w:val="00796C11"/>
    <w:rsid w:val="00796D3B"/>
    <w:rsid w:val="00796E23"/>
    <w:rsid w:val="00796FB8"/>
    <w:rsid w:val="00797093"/>
    <w:rsid w:val="00797189"/>
    <w:rsid w:val="007971BC"/>
    <w:rsid w:val="00797412"/>
    <w:rsid w:val="007974E7"/>
    <w:rsid w:val="00797651"/>
    <w:rsid w:val="0079782A"/>
    <w:rsid w:val="00797840"/>
    <w:rsid w:val="00797A3B"/>
    <w:rsid w:val="00797D0A"/>
    <w:rsid w:val="00797D9A"/>
    <w:rsid w:val="00797E49"/>
    <w:rsid w:val="00797F11"/>
    <w:rsid w:val="00797FF7"/>
    <w:rsid w:val="007A01E6"/>
    <w:rsid w:val="007A02A2"/>
    <w:rsid w:val="007A03D2"/>
    <w:rsid w:val="007A06A7"/>
    <w:rsid w:val="007A0A3B"/>
    <w:rsid w:val="007A0A64"/>
    <w:rsid w:val="007A0ABE"/>
    <w:rsid w:val="007A0D71"/>
    <w:rsid w:val="007A0DEC"/>
    <w:rsid w:val="007A0DF4"/>
    <w:rsid w:val="007A0F37"/>
    <w:rsid w:val="007A1033"/>
    <w:rsid w:val="007A105F"/>
    <w:rsid w:val="007A10D9"/>
    <w:rsid w:val="007A1762"/>
    <w:rsid w:val="007A18BB"/>
    <w:rsid w:val="007A1903"/>
    <w:rsid w:val="007A1D14"/>
    <w:rsid w:val="007A1D60"/>
    <w:rsid w:val="007A201F"/>
    <w:rsid w:val="007A212B"/>
    <w:rsid w:val="007A226F"/>
    <w:rsid w:val="007A23F3"/>
    <w:rsid w:val="007A27BB"/>
    <w:rsid w:val="007A283B"/>
    <w:rsid w:val="007A2996"/>
    <w:rsid w:val="007A3025"/>
    <w:rsid w:val="007A313E"/>
    <w:rsid w:val="007A31E3"/>
    <w:rsid w:val="007A32AD"/>
    <w:rsid w:val="007A351F"/>
    <w:rsid w:val="007A3776"/>
    <w:rsid w:val="007A393C"/>
    <w:rsid w:val="007A3D92"/>
    <w:rsid w:val="007A3DC6"/>
    <w:rsid w:val="007A4090"/>
    <w:rsid w:val="007A4365"/>
    <w:rsid w:val="007A47E2"/>
    <w:rsid w:val="007A4811"/>
    <w:rsid w:val="007A4965"/>
    <w:rsid w:val="007A49F6"/>
    <w:rsid w:val="007A4A1F"/>
    <w:rsid w:val="007A4A99"/>
    <w:rsid w:val="007A4AFF"/>
    <w:rsid w:val="007A4CBE"/>
    <w:rsid w:val="007A4CF4"/>
    <w:rsid w:val="007A4EBB"/>
    <w:rsid w:val="007A5006"/>
    <w:rsid w:val="007A51BA"/>
    <w:rsid w:val="007A527B"/>
    <w:rsid w:val="007A542D"/>
    <w:rsid w:val="007A54DD"/>
    <w:rsid w:val="007A5530"/>
    <w:rsid w:val="007A5631"/>
    <w:rsid w:val="007A56CD"/>
    <w:rsid w:val="007A5AE2"/>
    <w:rsid w:val="007A5B46"/>
    <w:rsid w:val="007A5D24"/>
    <w:rsid w:val="007A5F97"/>
    <w:rsid w:val="007A6008"/>
    <w:rsid w:val="007A62FE"/>
    <w:rsid w:val="007A641A"/>
    <w:rsid w:val="007A64E0"/>
    <w:rsid w:val="007A66E4"/>
    <w:rsid w:val="007A6791"/>
    <w:rsid w:val="007A67CD"/>
    <w:rsid w:val="007A6CBA"/>
    <w:rsid w:val="007A6F39"/>
    <w:rsid w:val="007A70A3"/>
    <w:rsid w:val="007A70F3"/>
    <w:rsid w:val="007A7137"/>
    <w:rsid w:val="007A7189"/>
    <w:rsid w:val="007A71E8"/>
    <w:rsid w:val="007A7466"/>
    <w:rsid w:val="007A75E1"/>
    <w:rsid w:val="007A7738"/>
    <w:rsid w:val="007A788A"/>
    <w:rsid w:val="007A790C"/>
    <w:rsid w:val="007A7B7D"/>
    <w:rsid w:val="007A7CFE"/>
    <w:rsid w:val="007A7F95"/>
    <w:rsid w:val="007B0123"/>
    <w:rsid w:val="007B0148"/>
    <w:rsid w:val="007B04E9"/>
    <w:rsid w:val="007B05AF"/>
    <w:rsid w:val="007B06D8"/>
    <w:rsid w:val="007B08B9"/>
    <w:rsid w:val="007B0A39"/>
    <w:rsid w:val="007B0C1E"/>
    <w:rsid w:val="007B0D5D"/>
    <w:rsid w:val="007B0DE1"/>
    <w:rsid w:val="007B11E7"/>
    <w:rsid w:val="007B1B7E"/>
    <w:rsid w:val="007B1CD0"/>
    <w:rsid w:val="007B1D02"/>
    <w:rsid w:val="007B2253"/>
    <w:rsid w:val="007B23A9"/>
    <w:rsid w:val="007B275E"/>
    <w:rsid w:val="007B280C"/>
    <w:rsid w:val="007B2A84"/>
    <w:rsid w:val="007B2B53"/>
    <w:rsid w:val="007B2BDE"/>
    <w:rsid w:val="007B2CCC"/>
    <w:rsid w:val="007B2F86"/>
    <w:rsid w:val="007B3104"/>
    <w:rsid w:val="007B3200"/>
    <w:rsid w:val="007B3274"/>
    <w:rsid w:val="007B3645"/>
    <w:rsid w:val="007B3701"/>
    <w:rsid w:val="007B38D0"/>
    <w:rsid w:val="007B394A"/>
    <w:rsid w:val="007B39CF"/>
    <w:rsid w:val="007B39E5"/>
    <w:rsid w:val="007B3DC8"/>
    <w:rsid w:val="007B3F49"/>
    <w:rsid w:val="007B40BF"/>
    <w:rsid w:val="007B4111"/>
    <w:rsid w:val="007B4285"/>
    <w:rsid w:val="007B43E8"/>
    <w:rsid w:val="007B47B3"/>
    <w:rsid w:val="007B485C"/>
    <w:rsid w:val="007B4BF0"/>
    <w:rsid w:val="007B4C75"/>
    <w:rsid w:val="007B4C9F"/>
    <w:rsid w:val="007B4EA0"/>
    <w:rsid w:val="007B5167"/>
    <w:rsid w:val="007B5272"/>
    <w:rsid w:val="007B56CC"/>
    <w:rsid w:val="007B56D6"/>
    <w:rsid w:val="007B599F"/>
    <w:rsid w:val="007B5E26"/>
    <w:rsid w:val="007B5EE4"/>
    <w:rsid w:val="007B6295"/>
    <w:rsid w:val="007B6320"/>
    <w:rsid w:val="007B63BE"/>
    <w:rsid w:val="007B6564"/>
    <w:rsid w:val="007B6685"/>
    <w:rsid w:val="007B69BD"/>
    <w:rsid w:val="007B6B02"/>
    <w:rsid w:val="007B6BB5"/>
    <w:rsid w:val="007B6C54"/>
    <w:rsid w:val="007B6CA2"/>
    <w:rsid w:val="007B6D08"/>
    <w:rsid w:val="007B6F04"/>
    <w:rsid w:val="007B7273"/>
    <w:rsid w:val="007B74A1"/>
    <w:rsid w:val="007B74CD"/>
    <w:rsid w:val="007B75F7"/>
    <w:rsid w:val="007B775C"/>
    <w:rsid w:val="007B7B20"/>
    <w:rsid w:val="007B7B7C"/>
    <w:rsid w:val="007B7C70"/>
    <w:rsid w:val="007B7DCF"/>
    <w:rsid w:val="007C0461"/>
    <w:rsid w:val="007C0B20"/>
    <w:rsid w:val="007C0D71"/>
    <w:rsid w:val="007C0FCF"/>
    <w:rsid w:val="007C0FE2"/>
    <w:rsid w:val="007C100B"/>
    <w:rsid w:val="007C120E"/>
    <w:rsid w:val="007C1240"/>
    <w:rsid w:val="007C19B2"/>
    <w:rsid w:val="007C1D40"/>
    <w:rsid w:val="007C1FF6"/>
    <w:rsid w:val="007C20CF"/>
    <w:rsid w:val="007C214C"/>
    <w:rsid w:val="007C234F"/>
    <w:rsid w:val="007C24B0"/>
    <w:rsid w:val="007C295E"/>
    <w:rsid w:val="007C2A7D"/>
    <w:rsid w:val="007C2B41"/>
    <w:rsid w:val="007C2C8B"/>
    <w:rsid w:val="007C3110"/>
    <w:rsid w:val="007C318F"/>
    <w:rsid w:val="007C31FB"/>
    <w:rsid w:val="007C3347"/>
    <w:rsid w:val="007C34AE"/>
    <w:rsid w:val="007C34ED"/>
    <w:rsid w:val="007C36CA"/>
    <w:rsid w:val="007C36E1"/>
    <w:rsid w:val="007C3783"/>
    <w:rsid w:val="007C3975"/>
    <w:rsid w:val="007C3986"/>
    <w:rsid w:val="007C39DD"/>
    <w:rsid w:val="007C3A46"/>
    <w:rsid w:val="007C3BD1"/>
    <w:rsid w:val="007C3D46"/>
    <w:rsid w:val="007C4392"/>
    <w:rsid w:val="007C447B"/>
    <w:rsid w:val="007C45DB"/>
    <w:rsid w:val="007C464B"/>
    <w:rsid w:val="007C47DD"/>
    <w:rsid w:val="007C49CE"/>
    <w:rsid w:val="007C4B2B"/>
    <w:rsid w:val="007C4BA4"/>
    <w:rsid w:val="007C4F27"/>
    <w:rsid w:val="007C4F2C"/>
    <w:rsid w:val="007C5025"/>
    <w:rsid w:val="007C529C"/>
    <w:rsid w:val="007C5572"/>
    <w:rsid w:val="007C5760"/>
    <w:rsid w:val="007C588D"/>
    <w:rsid w:val="007C59D3"/>
    <w:rsid w:val="007C59F2"/>
    <w:rsid w:val="007C5A91"/>
    <w:rsid w:val="007C5AFB"/>
    <w:rsid w:val="007C5B90"/>
    <w:rsid w:val="007C5F5B"/>
    <w:rsid w:val="007C5FE0"/>
    <w:rsid w:val="007C6009"/>
    <w:rsid w:val="007C64B3"/>
    <w:rsid w:val="007C67D3"/>
    <w:rsid w:val="007C686E"/>
    <w:rsid w:val="007C68C8"/>
    <w:rsid w:val="007C6A99"/>
    <w:rsid w:val="007C6B3C"/>
    <w:rsid w:val="007C6B61"/>
    <w:rsid w:val="007C6C15"/>
    <w:rsid w:val="007C6C2F"/>
    <w:rsid w:val="007C6ECE"/>
    <w:rsid w:val="007C711F"/>
    <w:rsid w:val="007C717C"/>
    <w:rsid w:val="007C7309"/>
    <w:rsid w:val="007C74B3"/>
    <w:rsid w:val="007C77D2"/>
    <w:rsid w:val="007C7B21"/>
    <w:rsid w:val="007C7E04"/>
    <w:rsid w:val="007C7F99"/>
    <w:rsid w:val="007C7FB4"/>
    <w:rsid w:val="007D003D"/>
    <w:rsid w:val="007D007F"/>
    <w:rsid w:val="007D020C"/>
    <w:rsid w:val="007D02CC"/>
    <w:rsid w:val="007D03BD"/>
    <w:rsid w:val="007D0400"/>
    <w:rsid w:val="007D06D1"/>
    <w:rsid w:val="007D0971"/>
    <w:rsid w:val="007D09FC"/>
    <w:rsid w:val="007D0C4A"/>
    <w:rsid w:val="007D0D0D"/>
    <w:rsid w:val="007D0E79"/>
    <w:rsid w:val="007D1070"/>
    <w:rsid w:val="007D147D"/>
    <w:rsid w:val="007D19CF"/>
    <w:rsid w:val="007D1A5A"/>
    <w:rsid w:val="007D1CB1"/>
    <w:rsid w:val="007D1E57"/>
    <w:rsid w:val="007D1E5C"/>
    <w:rsid w:val="007D1E99"/>
    <w:rsid w:val="007D1F22"/>
    <w:rsid w:val="007D1FB0"/>
    <w:rsid w:val="007D22F7"/>
    <w:rsid w:val="007D29B5"/>
    <w:rsid w:val="007D29FE"/>
    <w:rsid w:val="007D2A8D"/>
    <w:rsid w:val="007D2B36"/>
    <w:rsid w:val="007D2D38"/>
    <w:rsid w:val="007D2E07"/>
    <w:rsid w:val="007D2E26"/>
    <w:rsid w:val="007D3065"/>
    <w:rsid w:val="007D3129"/>
    <w:rsid w:val="007D3178"/>
    <w:rsid w:val="007D3232"/>
    <w:rsid w:val="007D33A4"/>
    <w:rsid w:val="007D3783"/>
    <w:rsid w:val="007D3818"/>
    <w:rsid w:val="007D3871"/>
    <w:rsid w:val="007D3877"/>
    <w:rsid w:val="007D38BD"/>
    <w:rsid w:val="007D3A9B"/>
    <w:rsid w:val="007D3CAE"/>
    <w:rsid w:val="007D418E"/>
    <w:rsid w:val="007D41BE"/>
    <w:rsid w:val="007D43C8"/>
    <w:rsid w:val="007D4449"/>
    <w:rsid w:val="007D44A4"/>
    <w:rsid w:val="007D461A"/>
    <w:rsid w:val="007D497D"/>
    <w:rsid w:val="007D4DED"/>
    <w:rsid w:val="007D52BE"/>
    <w:rsid w:val="007D54A6"/>
    <w:rsid w:val="007D58FE"/>
    <w:rsid w:val="007D59A4"/>
    <w:rsid w:val="007D5A5D"/>
    <w:rsid w:val="007D5ACC"/>
    <w:rsid w:val="007D5FE7"/>
    <w:rsid w:val="007D6015"/>
    <w:rsid w:val="007D63F9"/>
    <w:rsid w:val="007D6402"/>
    <w:rsid w:val="007D6411"/>
    <w:rsid w:val="007D6508"/>
    <w:rsid w:val="007D65FA"/>
    <w:rsid w:val="007D67EC"/>
    <w:rsid w:val="007D67EF"/>
    <w:rsid w:val="007D689D"/>
    <w:rsid w:val="007D68B5"/>
    <w:rsid w:val="007D68C7"/>
    <w:rsid w:val="007D6A4B"/>
    <w:rsid w:val="007D6BC8"/>
    <w:rsid w:val="007D71FA"/>
    <w:rsid w:val="007D7611"/>
    <w:rsid w:val="007D76AE"/>
    <w:rsid w:val="007D7938"/>
    <w:rsid w:val="007D794E"/>
    <w:rsid w:val="007D7A39"/>
    <w:rsid w:val="007D7AB7"/>
    <w:rsid w:val="007D7B4A"/>
    <w:rsid w:val="007E02B7"/>
    <w:rsid w:val="007E052E"/>
    <w:rsid w:val="007E0594"/>
    <w:rsid w:val="007E06DF"/>
    <w:rsid w:val="007E0707"/>
    <w:rsid w:val="007E0715"/>
    <w:rsid w:val="007E07D5"/>
    <w:rsid w:val="007E09A0"/>
    <w:rsid w:val="007E0DCB"/>
    <w:rsid w:val="007E0F78"/>
    <w:rsid w:val="007E1122"/>
    <w:rsid w:val="007E1285"/>
    <w:rsid w:val="007E128F"/>
    <w:rsid w:val="007E14D8"/>
    <w:rsid w:val="007E15B0"/>
    <w:rsid w:val="007E1781"/>
    <w:rsid w:val="007E17C5"/>
    <w:rsid w:val="007E1B84"/>
    <w:rsid w:val="007E20FC"/>
    <w:rsid w:val="007E22D7"/>
    <w:rsid w:val="007E23E3"/>
    <w:rsid w:val="007E2504"/>
    <w:rsid w:val="007E256F"/>
    <w:rsid w:val="007E2596"/>
    <w:rsid w:val="007E2920"/>
    <w:rsid w:val="007E2D9B"/>
    <w:rsid w:val="007E2DC6"/>
    <w:rsid w:val="007E2F5F"/>
    <w:rsid w:val="007E3102"/>
    <w:rsid w:val="007E31C3"/>
    <w:rsid w:val="007E327A"/>
    <w:rsid w:val="007E34AC"/>
    <w:rsid w:val="007E3641"/>
    <w:rsid w:val="007E38A5"/>
    <w:rsid w:val="007E3902"/>
    <w:rsid w:val="007E3956"/>
    <w:rsid w:val="007E398B"/>
    <w:rsid w:val="007E3A17"/>
    <w:rsid w:val="007E3AFC"/>
    <w:rsid w:val="007E3B0F"/>
    <w:rsid w:val="007E3D23"/>
    <w:rsid w:val="007E3D4B"/>
    <w:rsid w:val="007E44B9"/>
    <w:rsid w:val="007E4C02"/>
    <w:rsid w:val="007E4E81"/>
    <w:rsid w:val="007E4EA4"/>
    <w:rsid w:val="007E4F3F"/>
    <w:rsid w:val="007E50E4"/>
    <w:rsid w:val="007E51FB"/>
    <w:rsid w:val="007E53D3"/>
    <w:rsid w:val="007E5413"/>
    <w:rsid w:val="007E55A6"/>
    <w:rsid w:val="007E55B4"/>
    <w:rsid w:val="007E569A"/>
    <w:rsid w:val="007E572C"/>
    <w:rsid w:val="007E5861"/>
    <w:rsid w:val="007E5D21"/>
    <w:rsid w:val="007E5D4F"/>
    <w:rsid w:val="007E5DAE"/>
    <w:rsid w:val="007E5FB7"/>
    <w:rsid w:val="007E604B"/>
    <w:rsid w:val="007E63AF"/>
    <w:rsid w:val="007E64E5"/>
    <w:rsid w:val="007E65E9"/>
    <w:rsid w:val="007E6602"/>
    <w:rsid w:val="007E670A"/>
    <w:rsid w:val="007E68C5"/>
    <w:rsid w:val="007E6A62"/>
    <w:rsid w:val="007E6B66"/>
    <w:rsid w:val="007E6C26"/>
    <w:rsid w:val="007E6D51"/>
    <w:rsid w:val="007E7069"/>
    <w:rsid w:val="007E7411"/>
    <w:rsid w:val="007E799A"/>
    <w:rsid w:val="007E7C0F"/>
    <w:rsid w:val="007E7CCF"/>
    <w:rsid w:val="007F03D0"/>
    <w:rsid w:val="007F0531"/>
    <w:rsid w:val="007F05B5"/>
    <w:rsid w:val="007F060F"/>
    <w:rsid w:val="007F0804"/>
    <w:rsid w:val="007F089C"/>
    <w:rsid w:val="007F0A8C"/>
    <w:rsid w:val="007F10E3"/>
    <w:rsid w:val="007F136C"/>
    <w:rsid w:val="007F1465"/>
    <w:rsid w:val="007F1592"/>
    <w:rsid w:val="007F15CD"/>
    <w:rsid w:val="007F1659"/>
    <w:rsid w:val="007F1B10"/>
    <w:rsid w:val="007F1E95"/>
    <w:rsid w:val="007F1F30"/>
    <w:rsid w:val="007F1F55"/>
    <w:rsid w:val="007F1FC3"/>
    <w:rsid w:val="007F2056"/>
    <w:rsid w:val="007F2343"/>
    <w:rsid w:val="007F23E2"/>
    <w:rsid w:val="007F2473"/>
    <w:rsid w:val="007F25BF"/>
    <w:rsid w:val="007F265B"/>
    <w:rsid w:val="007F2DC6"/>
    <w:rsid w:val="007F3602"/>
    <w:rsid w:val="007F366A"/>
    <w:rsid w:val="007F380D"/>
    <w:rsid w:val="007F3CF5"/>
    <w:rsid w:val="007F3DDC"/>
    <w:rsid w:val="007F4232"/>
    <w:rsid w:val="007F430E"/>
    <w:rsid w:val="007F4955"/>
    <w:rsid w:val="007F499F"/>
    <w:rsid w:val="007F4AEE"/>
    <w:rsid w:val="007F4DCE"/>
    <w:rsid w:val="007F4EC4"/>
    <w:rsid w:val="007F4F43"/>
    <w:rsid w:val="007F5087"/>
    <w:rsid w:val="007F525E"/>
    <w:rsid w:val="007F5314"/>
    <w:rsid w:val="007F57A0"/>
    <w:rsid w:val="007F5904"/>
    <w:rsid w:val="007F5A05"/>
    <w:rsid w:val="007F5A15"/>
    <w:rsid w:val="007F5D41"/>
    <w:rsid w:val="007F5EE4"/>
    <w:rsid w:val="007F60C5"/>
    <w:rsid w:val="007F6160"/>
    <w:rsid w:val="007F6168"/>
    <w:rsid w:val="007F6472"/>
    <w:rsid w:val="007F6607"/>
    <w:rsid w:val="007F6660"/>
    <w:rsid w:val="007F674E"/>
    <w:rsid w:val="007F6965"/>
    <w:rsid w:val="007F6A71"/>
    <w:rsid w:val="007F6B62"/>
    <w:rsid w:val="007F72AD"/>
    <w:rsid w:val="007F72E8"/>
    <w:rsid w:val="007F7317"/>
    <w:rsid w:val="007F7717"/>
    <w:rsid w:val="007F77C8"/>
    <w:rsid w:val="007F78E0"/>
    <w:rsid w:val="007F79F4"/>
    <w:rsid w:val="007F7BB3"/>
    <w:rsid w:val="007F7D74"/>
    <w:rsid w:val="007F7E7A"/>
    <w:rsid w:val="007F7F54"/>
    <w:rsid w:val="00800139"/>
    <w:rsid w:val="00800200"/>
    <w:rsid w:val="0080021B"/>
    <w:rsid w:val="0080022A"/>
    <w:rsid w:val="0080024B"/>
    <w:rsid w:val="008003F8"/>
    <w:rsid w:val="0080046D"/>
    <w:rsid w:val="008006C9"/>
    <w:rsid w:val="008007F9"/>
    <w:rsid w:val="00800996"/>
    <w:rsid w:val="0080099F"/>
    <w:rsid w:val="00800A96"/>
    <w:rsid w:val="00800C67"/>
    <w:rsid w:val="00800D86"/>
    <w:rsid w:val="00800D9D"/>
    <w:rsid w:val="00800E17"/>
    <w:rsid w:val="00800F4C"/>
    <w:rsid w:val="00800F53"/>
    <w:rsid w:val="00800FA2"/>
    <w:rsid w:val="00800FC2"/>
    <w:rsid w:val="008011D8"/>
    <w:rsid w:val="00801204"/>
    <w:rsid w:val="0080129F"/>
    <w:rsid w:val="00801300"/>
    <w:rsid w:val="0080150A"/>
    <w:rsid w:val="00801943"/>
    <w:rsid w:val="0080195D"/>
    <w:rsid w:val="00801CE4"/>
    <w:rsid w:val="00802442"/>
    <w:rsid w:val="00802552"/>
    <w:rsid w:val="00802643"/>
    <w:rsid w:val="00802899"/>
    <w:rsid w:val="00802926"/>
    <w:rsid w:val="008029EB"/>
    <w:rsid w:val="00802B44"/>
    <w:rsid w:val="00802B6D"/>
    <w:rsid w:val="00802B9C"/>
    <w:rsid w:val="00802D15"/>
    <w:rsid w:val="00802EC8"/>
    <w:rsid w:val="00803061"/>
    <w:rsid w:val="00803082"/>
    <w:rsid w:val="0080313D"/>
    <w:rsid w:val="008031AD"/>
    <w:rsid w:val="008031C1"/>
    <w:rsid w:val="0080364F"/>
    <w:rsid w:val="008037DB"/>
    <w:rsid w:val="00803E2B"/>
    <w:rsid w:val="00803F3A"/>
    <w:rsid w:val="008042E4"/>
    <w:rsid w:val="00804447"/>
    <w:rsid w:val="0080468D"/>
    <w:rsid w:val="00804795"/>
    <w:rsid w:val="00804947"/>
    <w:rsid w:val="008049CB"/>
    <w:rsid w:val="00805090"/>
    <w:rsid w:val="008053BE"/>
    <w:rsid w:val="008054EF"/>
    <w:rsid w:val="00805529"/>
    <w:rsid w:val="00805746"/>
    <w:rsid w:val="00805982"/>
    <w:rsid w:val="00805CDF"/>
    <w:rsid w:val="0080602E"/>
    <w:rsid w:val="00806144"/>
    <w:rsid w:val="008062A2"/>
    <w:rsid w:val="008064D1"/>
    <w:rsid w:val="00806554"/>
    <w:rsid w:val="008065C4"/>
    <w:rsid w:val="00806718"/>
    <w:rsid w:val="0080697D"/>
    <w:rsid w:val="00806BC1"/>
    <w:rsid w:val="00806D17"/>
    <w:rsid w:val="00806ED3"/>
    <w:rsid w:val="0080706E"/>
    <w:rsid w:val="008071E2"/>
    <w:rsid w:val="00807304"/>
    <w:rsid w:val="008073A9"/>
    <w:rsid w:val="00807409"/>
    <w:rsid w:val="0080772B"/>
    <w:rsid w:val="008078B7"/>
    <w:rsid w:val="00807902"/>
    <w:rsid w:val="00807B29"/>
    <w:rsid w:val="00807B49"/>
    <w:rsid w:val="00807FD3"/>
    <w:rsid w:val="00810344"/>
    <w:rsid w:val="00810412"/>
    <w:rsid w:val="0081043B"/>
    <w:rsid w:val="008104FA"/>
    <w:rsid w:val="00810511"/>
    <w:rsid w:val="00810551"/>
    <w:rsid w:val="00810987"/>
    <w:rsid w:val="00810A2F"/>
    <w:rsid w:val="00811200"/>
    <w:rsid w:val="00811313"/>
    <w:rsid w:val="008114A7"/>
    <w:rsid w:val="00811733"/>
    <w:rsid w:val="0081187C"/>
    <w:rsid w:val="00811D0F"/>
    <w:rsid w:val="00812126"/>
    <w:rsid w:val="00812178"/>
    <w:rsid w:val="008121F5"/>
    <w:rsid w:val="00812459"/>
    <w:rsid w:val="0081245D"/>
    <w:rsid w:val="0081247D"/>
    <w:rsid w:val="008125AC"/>
    <w:rsid w:val="008125E4"/>
    <w:rsid w:val="0081274D"/>
    <w:rsid w:val="00812965"/>
    <w:rsid w:val="00812B1A"/>
    <w:rsid w:val="00812B4F"/>
    <w:rsid w:val="00812D30"/>
    <w:rsid w:val="00812F25"/>
    <w:rsid w:val="008131E9"/>
    <w:rsid w:val="00813408"/>
    <w:rsid w:val="0081358D"/>
    <w:rsid w:val="008135A7"/>
    <w:rsid w:val="008136E2"/>
    <w:rsid w:val="0081393D"/>
    <w:rsid w:val="00813BDD"/>
    <w:rsid w:val="00813D80"/>
    <w:rsid w:val="00813E34"/>
    <w:rsid w:val="00813F42"/>
    <w:rsid w:val="0081454F"/>
    <w:rsid w:val="00814554"/>
    <w:rsid w:val="008148E6"/>
    <w:rsid w:val="00814947"/>
    <w:rsid w:val="00814A55"/>
    <w:rsid w:val="00814AD9"/>
    <w:rsid w:val="00814AFD"/>
    <w:rsid w:val="00814CB5"/>
    <w:rsid w:val="00814CCB"/>
    <w:rsid w:val="00814FBE"/>
    <w:rsid w:val="0081529F"/>
    <w:rsid w:val="008152FB"/>
    <w:rsid w:val="008155EC"/>
    <w:rsid w:val="008156F7"/>
    <w:rsid w:val="008159DE"/>
    <w:rsid w:val="00815A17"/>
    <w:rsid w:val="00815AE7"/>
    <w:rsid w:val="00815C31"/>
    <w:rsid w:val="008161B7"/>
    <w:rsid w:val="008161D7"/>
    <w:rsid w:val="00816474"/>
    <w:rsid w:val="00816499"/>
    <w:rsid w:val="008167DE"/>
    <w:rsid w:val="008167E4"/>
    <w:rsid w:val="00816801"/>
    <w:rsid w:val="00816824"/>
    <w:rsid w:val="00816855"/>
    <w:rsid w:val="0081692B"/>
    <w:rsid w:val="00816AB3"/>
    <w:rsid w:val="00816B6D"/>
    <w:rsid w:val="00816E69"/>
    <w:rsid w:val="008174E0"/>
    <w:rsid w:val="008176B5"/>
    <w:rsid w:val="00817718"/>
    <w:rsid w:val="008179A1"/>
    <w:rsid w:val="00817C78"/>
    <w:rsid w:val="00817E9A"/>
    <w:rsid w:val="0082039C"/>
    <w:rsid w:val="008203CF"/>
    <w:rsid w:val="008204B2"/>
    <w:rsid w:val="0082065A"/>
    <w:rsid w:val="008208CE"/>
    <w:rsid w:val="00820BDE"/>
    <w:rsid w:val="00820DE4"/>
    <w:rsid w:val="00820F01"/>
    <w:rsid w:val="00820F12"/>
    <w:rsid w:val="00820F64"/>
    <w:rsid w:val="00821014"/>
    <w:rsid w:val="008210D1"/>
    <w:rsid w:val="00821361"/>
    <w:rsid w:val="00821436"/>
    <w:rsid w:val="00821506"/>
    <w:rsid w:val="0082160A"/>
    <w:rsid w:val="0082168F"/>
    <w:rsid w:val="00821944"/>
    <w:rsid w:val="00821A41"/>
    <w:rsid w:val="00821AB1"/>
    <w:rsid w:val="008220F2"/>
    <w:rsid w:val="0082227D"/>
    <w:rsid w:val="008222F1"/>
    <w:rsid w:val="00822307"/>
    <w:rsid w:val="00822654"/>
    <w:rsid w:val="0082270B"/>
    <w:rsid w:val="008227DE"/>
    <w:rsid w:val="008228AB"/>
    <w:rsid w:val="00822A53"/>
    <w:rsid w:val="00822AE2"/>
    <w:rsid w:val="00822CD9"/>
    <w:rsid w:val="00822E71"/>
    <w:rsid w:val="00822F0A"/>
    <w:rsid w:val="00822F28"/>
    <w:rsid w:val="00822F7D"/>
    <w:rsid w:val="008231A0"/>
    <w:rsid w:val="008231BB"/>
    <w:rsid w:val="0082330A"/>
    <w:rsid w:val="008233E3"/>
    <w:rsid w:val="00823B88"/>
    <w:rsid w:val="00823CD3"/>
    <w:rsid w:val="00824012"/>
    <w:rsid w:val="00824125"/>
    <w:rsid w:val="0082426E"/>
    <w:rsid w:val="00824751"/>
    <w:rsid w:val="00824768"/>
    <w:rsid w:val="00824882"/>
    <w:rsid w:val="008249FB"/>
    <w:rsid w:val="00824BC3"/>
    <w:rsid w:val="00824CE5"/>
    <w:rsid w:val="00824D8B"/>
    <w:rsid w:val="00824D8E"/>
    <w:rsid w:val="00824E85"/>
    <w:rsid w:val="00825002"/>
    <w:rsid w:val="008250F6"/>
    <w:rsid w:val="008253BC"/>
    <w:rsid w:val="0082567D"/>
    <w:rsid w:val="008256FC"/>
    <w:rsid w:val="008257D8"/>
    <w:rsid w:val="00825801"/>
    <w:rsid w:val="008259B7"/>
    <w:rsid w:val="008259DE"/>
    <w:rsid w:val="00825C5E"/>
    <w:rsid w:val="00825D98"/>
    <w:rsid w:val="00825E57"/>
    <w:rsid w:val="00825E58"/>
    <w:rsid w:val="008263E4"/>
    <w:rsid w:val="00826841"/>
    <w:rsid w:val="0082692A"/>
    <w:rsid w:val="008269B8"/>
    <w:rsid w:val="00826A3D"/>
    <w:rsid w:val="00826B4D"/>
    <w:rsid w:val="00826C79"/>
    <w:rsid w:val="00826DFE"/>
    <w:rsid w:val="00826E5B"/>
    <w:rsid w:val="00827092"/>
    <w:rsid w:val="0082767F"/>
    <w:rsid w:val="00827914"/>
    <w:rsid w:val="00827A7A"/>
    <w:rsid w:val="00827B42"/>
    <w:rsid w:val="00827CBC"/>
    <w:rsid w:val="00827EB5"/>
    <w:rsid w:val="00827ECF"/>
    <w:rsid w:val="0083001F"/>
    <w:rsid w:val="00830454"/>
    <w:rsid w:val="00830582"/>
    <w:rsid w:val="00830725"/>
    <w:rsid w:val="008308FE"/>
    <w:rsid w:val="0083094B"/>
    <w:rsid w:val="00830B3E"/>
    <w:rsid w:val="00830BF0"/>
    <w:rsid w:val="00830C1F"/>
    <w:rsid w:val="00830D1E"/>
    <w:rsid w:val="00830ED9"/>
    <w:rsid w:val="00830EDA"/>
    <w:rsid w:val="00830EF1"/>
    <w:rsid w:val="008311FB"/>
    <w:rsid w:val="0083126E"/>
    <w:rsid w:val="00831391"/>
    <w:rsid w:val="008313EA"/>
    <w:rsid w:val="008314D1"/>
    <w:rsid w:val="00831722"/>
    <w:rsid w:val="008317B5"/>
    <w:rsid w:val="0083183E"/>
    <w:rsid w:val="00831979"/>
    <w:rsid w:val="0083199D"/>
    <w:rsid w:val="008319D8"/>
    <w:rsid w:val="00831AB4"/>
    <w:rsid w:val="00831E3C"/>
    <w:rsid w:val="00831F55"/>
    <w:rsid w:val="00832237"/>
    <w:rsid w:val="00832398"/>
    <w:rsid w:val="0083259A"/>
    <w:rsid w:val="008325F2"/>
    <w:rsid w:val="008327BD"/>
    <w:rsid w:val="00832A77"/>
    <w:rsid w:val="00832B5F"/>
    <w:rsid w:val="00832D17"/>
    <w:rsid w:val="00832F56"/>
    <w:rsid w:val="00833064"/>
    <w:rsid w:val="008331DB"/>
    <w:rsid w:val="0083332C"/>
    <w:rsid w:val="008336E2"/>
    <w:rsid w:val="00833975"/>
    <w:rsid w:val="00833A1C"/>
    <w:rsid w:val="00833DBA"/>
    <w:rsid w:val="00833F18"/>
    <w:rsid w:val="0083407A"/>
    <w:rsid w:val="008343B8"/>
    <w:rsid w:val="008345F8"/>
    <w:rsid w:val="00834A9F"/>
    <w:rsid w:val="00834AB8"/>
    <w:rsid w:val="00834D9E"/>
    <w:rsid w:val="00834DE3"/>
    <w:rsid w:val="00834E25"/>
    <w:rsid w:val="00834F15"/>
    <w:rsid w:val="00835055"/>
    <w:rsid w:val="00835111"/>
    <w:rsid w:val="0083529D"/>
    <w:rsid w:val="008354AA"/>
    <w:rsid w:val="00835523"/>
    <w:rsid w:val="0083594E"/>
    <w:rsid w:val="00835AC3"/>
    <w:rsid w:val="00835F4D"/>
    <w:rsid w:val="008362AB"/>
    <w:rsid w:val="008362DE"/>
    <w:rsid w:val="00836392"/>
    <w:rsid w:val="008363B0"/>
    <w:rsid w:val="008366D5"/>
    <w:rsid w:val="008368B0"/>
    <w:rsid w:val="00836A14"/>
    <w:rsid w:val="00836A17"/>
    <w:rsid w:val="00836B53"/>
    <w:rsid w:val="00836C00"/>
    <w:rsid w:val="00836C25"/>
    <w:rsid w:val="00836D16"/>
    <w:rsid w:val="008371C9"/>
    <w:rsid w:val="008371D8"/>
    <w:rsid w:val="00837359"/>
    <w:rsid w:val="0083735E"/>
    <w:rsid w:val="008376B3"/>
    <w:rsid w:val="00837790"/>
    <w:rsid w:val="0083779B"/>
    <w:rsid w:val="0083787A"/>
    <w:rsid w:val="00837A32"/>
    <w:rsid w:val="00837CE0"/>
    <w:rsid w:val="00837D40"/>
    <w:rsid w:val="00840169"/>
    <w:rsid w:val="0084048A"/>
    <w:rsid w:val="0084048E"/>
    <w:rsid w:val="0084079D"/>
    <w:rsid w:val="00840854"/>
    <w:rsid w:val="008409B0"/>
    <w:rsid w:val="00840FCD"/>
    <w:rsid w:val="008411D2"/>
    <w:rsid w:val="00841216"/>
    <w:rsid w:val="008416C4"/>
    <w:rsid w:val="00841906"/>
    <w:rsid w:val="00841A8D"/>
    <w:rsid w:val="008421B8"/>
    <w:rsid w:val="008421FF"/>
    <w:rsid w:val="00842248"/>
    <w:rsid w:val="00842279"/>
    <w:rsid w:val="00842550"/>
    <w:rsid w:val="00842585"/>
    <w:rsid w:val="00842649"/>
    <w:rsid w:val="00842763"/>
    <w:rsid w:val="008428C6"/>
    <w:rsid w:val="00842B80"/>
    <w:rsid w:val="00842DBA"/>
    <w:rsid w:val="00842E27"/>
    <w:rsid w:val="00842E2A"/>
    <w:rsid w:val="00842F5C"/>
    <w:rsid w:val="0084302F"/>
    <w:rsid w:val="00843061"/>
    <w:rsid w:val="008430E8"/>
    <w:rsid w:val="0084322E"/>
    <w:rsid w:val="00843314"/>
    <w:rsid w:val="008436AC"/>
    <w:rsid w:val="00843719"/>
    <w:rsid w:val="0084374F"/>
    <w:rsid w:val="00843780"/>
    <w:rsid w:val="008437EE"/>
    <w:rsid w:val="00843E4A"/>
    <w:rsid w:val="00843F93"/>
    <w:rsid w:val="00844392"/>
    <w:rsid w:val="0084450E"/>
    <w:rsid w:val="00844614"/>
    <w:rsid w:val="0084476F"/>
    <w:rsid w:val="0084478D"/>
    <w:rsid w:val="0084499A"/>
    <w:rsid w:val="008449E6"/>
    <w:rsid w:val="00844A71"/>
    <w:rsid w:val="00844B42"/>
    <w:rsid w:val="00844B6E"/>
    <w:rsid w:val="00844DBF"/>
    <w:rsid w:val="008450AE"/>
    <w:rsid w:val="008452FD"/>
    <w:rsid w:val="00845399"/>
    <w:rsid w:val="0084565E"/>
    <w:rsid w:val="0084569B"/>
    <w:rsid w:val="008456E8"/>
    <w:rsid w:val="00845725"/>
    <w:rsid w:val="00845870"/>
    <w:rsid w:val="0084591B"/>
    <w:rsid w:val="00845FB6"/>
    <w:rsid w:val="008462A5"/>
    <w:rsid w:val="008462FA"/>
    <w:rsid w:val="00846516"/>
    <w:rsid w:val="008465EA"/>
    <w:rsid w:val="008466FD"/>
    <w:rsid w:val="008467B0"/>
    <w:rsid w:val="008469E4"/>
    <w:rsid w:val="00847228"/>
    <w:rsid w:val="00847332"/>
    <w:rsid w:val="00847438"/>
    <w:rsid w:val="00847451"/>
    <w:rsid w:val="0084757C"/>
    <w:rsid w:val="0084758A"/>
    <w:rsid w:val="00847962"/>
    <w:rsid w:val="00847AF2"/>
    <w:rsid w:val="00847D0F"/>
    <w:rsid w:val="00847D58"/>
    <w:rsid w:val="00847DAB"/>
    <w:rsid w:val="00847E2F"/>
    <w:rsid w:val="00847E90"/>
    <w:rsid w:val="00847E9E"/>
    <w:rsid w:val="00847F48"/>
    <w:rsid w:val="00850032"/>
    <w:rsid w:val="0085012E"/>
    <w:rsid w:val="008501AB"/>
    <w:rsid w:val="00850218"/>
    <w:rsid w:val="00850253"/>
    <w:rsid w:val="0085044D"/>
    <w:rsid w:val="00850492"/>
    <w:rsid w:val="0085080E"/>
    <w:rsid w:val="00850A85"/>
    <w:rsid w:val="00850BAE"/>
    <w:rsid w:val="00850BD6"/>
    <w:rsid w:val="00850C45"/>
    <w:rsid w:val="00850D05"/>
    <w:rsid w:val="00851084"/>
    <w:rsid w:val="0085112E"/>
    <w:rsid w:val="0085124C"/>
    <w:rsid w:val="00851276"/>
    <w:rsid w:val="008513F2"/>
    <w:rsid w:val="00851755"/>
    <w:rsid w:val="00851760"/>
    <w:rsid w:val="00851887"/>
    <w:rsid w:val="00851A85"/>
    <w:rsid w:val="00851EC5"/>
    <w:rsid w:val="00851ECE"/>
    <w:rsid w:val="00851F6F"/>
    <w:rsid w:val="00852012"/>
    <w:rsid w:val="0085228F"/>
    <w:rsid w:val="00852326"/>
    <w:rsid w:val="00852970"/>
    <w:rsid w:val="008529C8"/>
    <w:rsid w:val="00852C75"/>
    <w:rsid w:val="0085306A"/>
    <w:rsid w:val="0085313C"/>
    <w:rsid w:val="008531D2"/>
    <w:rsid w:val="008531D3"/>
    <w:rsid w:val="00853275"/>
    <w:rsid w:val="00853517"/>
    <w:rsid w:val="008536E2"/>
    <w:rsid w:val="00853B78"/>
    <w:rsid w:val="00853B7D"/>
    <w:rsid w:val="00853E91"/>
    <w:rsid w:val="00853EF6"/>
    <w:rsid w:val="00854131"/>
    <w:rsid w:val="0085420F"/>
    <w:rsid w:val="00854797"/>
    <w:rsid w:val="00854A37"/>
    <w:rsid w:val="00854A53"/>
    <w:rsid w:val="00854BA9"/>
    <w:rsid w:val="00854D5D"/>
    <w:rsid w:val="00854D73"/>
    <w:rsid w:val="00854EBA"/>
    <w:rsid w:val="00854F8A"/>
    <w:rsid w:val="008555A1"/>
    <w:rsid w:val="00855717"/>
    <w:rsid w:val="00855744"/>
    <w:rsid w:val="00855787"/>
    <w:rsid w:val="00855864"/>
    <w:rsid w:val="00855901"/>
    <w:rsid w:val="00855F5E"/>
    <w:rsid w:val="00855F7E"/>
    <w:rsid w:val="00855F97"/>
    <w:rsid w:val="00856078"/>
    <w:rsid w:val="008563A2"/>
    <w:rsid w:val="0085687E"/>
    <w:rsid w:val="00856974"/>
    <w:rsid w:val="00856A4C"/>
    <w:rsid w:val="00856B1D"/>
    <w:rsid w:val="00856D81"/>
    <w:rsid w:val="00856DA9"/>
    <w:rsid w:val="00856E5B"/>
    <w:rsid w:val="00857043"/>
    <w:rsid w:val="00857062"/>
    <w:rsid w:val="008571B8"/>
    <w:rsid w:val="0085751A"/>
    <w:rsid w:val="008579A3"/>
    <w:rsid w:val="00857B80"/>
    <w:rsid w:val="00857C4D"/>
    <w:rsid w:val="00857CB5"/>
    <w:rsid w:val="00857D85"/>
    <w:rsid w:val="00857DF7"/>
    <w:rsid w:val="00857E24"/>
    <w:rsid w:val="00860111"/>
    <w:rsid w:val="00860225"/>
    <w:rsid w:val="0086032C"/>
    <w:rsid w:val="0086056D"/>
    <w:rsid w:val="00860719"/>
    <w:rsid w:val="008607D5"/>
    <w:rsid w:val="008607E4"/>
    <w:rsid w:val="00860EEC"/>
    <w:rsid w:val="0086116B"/>
    <w:rsid w:val="008611AA"/>
    <w:rsid w:val="00861282"/>
    <w:rsid w:val="0086151E"/>
    <w:rsid w:val="00861587"/>
    <w:rsid w:val="0086161C"/>
    <w:rsid w:val="008616A4"/>
    <w:rsid w:val="00861792"/>
    <w:rsid w:val="008619AE"/>
    <w:rsid w:val="00861C2A"/>
    <w:rsid w:val="00861CC2"/>
    <w:rsid w:val="00861E13"/>
    <w:rsid w:val="0086211C"/>
    <w:rsid w:val="0086214B"/>
    <w:rsid w:val="0086231B"/>
    <w:rsid w:val="008625FB"/>
    <w:rsid w:val="008628C8"/>
    <w:rsid w:val="008629CE"/>
    <w:rsid w:val="00862BAE"/>
    <w:rsid w:val="00862BF0"/>
    <w:rsid w:val="00862FC7"/>
    <w:rsid w:val="00863128"/>
    <w:rsid w:val="00863199"/>
    <w:rsid w:val="008631D6"/>
    <w:rsid w:val="008632FC"/>
    <w:rsid w:val="008633A8"/>
    <w:rsid w:val="0086350E"/>
    <w:rsid w:val="00863607"/>
    <w:rsid w:val="0086361C"/>
    <w:rsid w:val="00863844"/>
    <w:rsid w:val="008638B9"/>
    <w:rsid w:val="00863A40"/>
    <w:rsid w:val="00863BDF"/>
    <w:rsid w:val="00863DBA"/>
    <w:rsid w:val="00863E0A"/>
    <w:rsid w:val="00863FE9"/>
    <w:rsid w:val="0086416A"/>
    <w:rsid w:val="00864254"/>
    <w:rsid w:val="0086444B"/>
    <w:rsid w:val="00864496"/>
    <w:rsid w:val="0086496B"/>
    <w:rsid w:val="008649EF"/>
    <w:rsid w:val="00865089"/>
    <w:rsid w:val="008651A1"/>
    <w:rsid w:val="00865372"/>
    <w:rsid w:val="00865498"/>
    <w:rsid w:val="0086563D"/>
    <w:rsid w:val="008659C2"/>
    <w:rsid w:val="00865C03"/>
    <w:rsid w:val="00865CF5"/>
    <w:rsid w:val="00865D7B"/>
    <w:rsid w:val="00866044"/>
    <w:rsid w:val="00866403"/>
    <w:rsid w:val="00866533"/>
    <w:rsid w:val="00866537"/>
    <w:rsid w:val="00866778"/>
    <w:rsid w:val="008667C8"/>
    <w:rsid w:val="0086693B"/>
    <w:rsid w:val="00866976"/>
    <w:rsid w:val="00866A99"/>
    <w:rsid w:val="00866F0E"/>
    <w:rsid w:val="008672F0"/>
    <w:rsid w:val="008677B0"/>
    <w:rsid w:val="00867886"/>
    <w:rsid w:val="008678D8"/>
    <w:rsid w:val="008679C4"/>
    <w:rsid w:val="00867B94"/>
    <w:rsid w:val="00867BC3"/>
    <w:rsid w:val="00867C7F"/>
    <w:rsid w:val="00867CE7"/>
    <w:rsid w:val="00870012"/>
    <w:rsid w:val="0087001C"/>
    <w:rsid w:val="0087002B"/>
    <w:rsid w:val="0087009D"/>
    <w:rsid w:val="00870121"/>
    <w:rsid w:val="00870204"/>
    <w:rsid w:val="00870367"/>
    <w:rsid w:val="00870382"/>
    <w:rsid w:val="0087039A"/>
    <w:rsid w:val="008703E7"/>
    <w:rsid w:val="00870865"/>
    <w:rsid w:val="008709EA"/>
    <w:rsid w:val="00870CF9"/>
    <w:rsid w:val="00870D66"/>
    <w:rsid w:val="00870D9C"/>
    <w:rsid w:val="0087111C"/>
    <w:rsid w:val="008712C6"/>
    <w:rsid w:val="00871792"/>
    <w:rsid w:val="008718DC"/>
    <w:rsid w:val="008719CE"/>
    <w:rsid w:val="00871F89"/>
    <w:rsid w:val="00871FC0"/>
    <w:rsid w:val="00872890"/>
    <w:rsid w:val="008729E2"/>
    <w:rsid w:val="00872CB4"/>
    <w:rsid w:val="00872DA6"/>
    <w:rsid w:val="00872EE7"/>
    <w:rsid w:val="00872FB9"/>
    <w:rsid w:val="008730C5"/>
    <w:rsid w:val="00873309"/>
    <w:rsid w:val="008733E7"/>
    <w:rsid w:val="008735B9"/>
    <w:rsid w:val="0087363E"/>
    <w:rsid w:val="00873699"/>
    <w:rsid w:val="00873803"/>
    <w:rsid w:val="0087389C"/>
    <w:rsid w:val="0087396D"/>
    <w:rsid w:val="00873C7F"/>
    <w:rsid w:val="00873D38"/>
    <w:rsid w:val="00873FFF"/>
    <w:rsid w:val="00874045"/>
    <w:rsid w:val="00874070"/>
    <w:rsid w:val="008742A5"/>
    <w:rsid w:val="00874333"/>
    <w:rsid w:val="008744E0"/>
    <w:rsid w:val="00874743"/>
    <w:rsid w:val="008747C9"/>
    <w:rsid w:val="00874942"/>
    <w:rsid w:val="00874ACF"/>
    <w:rsid w:val="00874D10"/>
    <w:rsid w:val="00874FB1"/>
    <w:rsid w:val="008751D7"/>
    <w:rsid w:val="0087533F"/>
    <w:rsid w:val="00875645"/>
    <w:rsid w:val="00875723"/>
    <w:rsid w:val="0087575E"/>
    <w:rsid w:val="008757E9"/>
    <w:rsid w:val="00875909"/>
    <w:rsid w:val="008759F7"/>
    <w:rsid w:val="00875B33"/>
    <w:rsid w:val="00875CA4"/>
    <w:rsid w:val="00875D1B"/>
    <w:rsid w:val="00875ED9"/>
    <w:rsid w:val="00875F84"/>
    <w:rsid w:val="00876059"/>
    <w:rsid w:val="008760CA"/>
    <w:rsid w:val="008761CC"/>
    <w:rsid w:val="008761DF"/>
    <w:rsid w:val="00876305"/>
    <w:rsid w:val="00876478"/>
    <w:rsid w:val="00876482"/>
    <w:rsid w:val="00876A57"/>
    <w:rsid w:val="00876D45"/>
    <w:rsid w:val="00876DE2"/>
    <w:rsid w:val="00876E41"/>
    <w:rsid w:val="00876F67"/>
    <w:rsid w:val="0087704E"/>
    <w:rsid w:val="0087715C"/>
    <w:rsid w:val="0087717C"/>
    <w:rsid w:val="008773AA"/>
    <w:rsid w:val="00877607"/>
    <w:rsid w:val="00877757"/>
    <w:rsid w:val="0087789B"/>
    <w:rsid w:val="00877952"/>
    <w:rsid w:val="00877A42"/>
    <w:rsid w:val="00877DB0"/>
    <w:rsid w:val="00877EC6"/>
    <w:rsid w:val="00880057"/>
    <w:rsid w:val="0088005D"/>
    <w:rsid w:val="00880152"/>
    <w:rsid w:val="008802A9"/>
    <w:rsid w:val="0088047E"/>
    <w:rsid w:val="008804B1"/>
    <w:rsid w:val="008805AC"/>
    <w:rsid w:val="00880763"/>
    <w:rsid w:val="008807B1"/>
    <w:rsid w:val="008809BB"/>
    <w:rsid w:val="00880A8E"/>
    <w:rsid w:val="00880B0B"/>
    <w:rsid w:val="00880B7F"/>
    <w:rsid w:val="00880D13"/>
    <w:rsid w:val="00880D8D"/>
    <w:rsid w:val="00880E16"/>
    <w:rsid w:val="0088111B"/>
    <w:rsid w:val="0088124E"/>
    <w:rsid w:val="0088129E"/>
    <w:rsid w:val="0088162F"/>
    <w:rsid w:val="00881711"/>
    <w:rsid w:val="00881780"/>
    <w:rsid w:val="008817DC"/>
    <w:rsid w:val="0088196C"/>
    <w:rsid w:val="00881CC8"/>
    <w:rsid w:val="00881E3F"/>
    <w:rsid w:val="00882487"/>
    <w:rsid w:val="0088279A"/>
    <w:rsid w:val="00882B43"/>
    <w:rsid w:val="00882B61"/>
    <w:rsid w:val="00882C12"/>
    <w:rsid w:val="00882D6F"/>
    <w:rsid w:val="00882E8C"/>
    <w:rsid w:val="00883226"/>
    <w:rsid w:val="00883323"/>
    <w:rsid w:val="008833C2"/>
    <w:rsid w:val="00883421"/>
    <w:rsid w:val="0088366A"/>
    <w:rsid w:val="00883D61"/>
    <w:rsid w:val="00884161"/>
    <w:rsid w:val="008842DD"/>
    <w:rsid w:val="008845D1"/>
    <w:rsid w:val="00884624"/>
    <w:rsid w:val="00884899"/>
    <w:rsid w:val="008848F2"/>
    <w:rsid w:val="00884DC9"/>
    <w:rsid w:val="008850D0"/>
    <w:rsid w:val="0088518D"/>
    <w:rsid w:val="0088522F"/>
    <w:rsid w:val="00885417"/>
    <w:rsid w:val="008854C1"/>
    <w:rsid w:val="0088568D"/>
    <w:rsid w:val="008856D0"/>
    <w:rsid w:val="008856E5"/>
    <w:rsid w:val="008857A0"/>
    <w:rsid w:val="008857BC"/>
    <w:rsid w:val="00885AE6"/>
    <w:rsid w:val="00885BF8"/>
    <w:rsid w:val="00885DA9"/>
    <w:rsid w:val="00885E8F"/>
    <w:rsid w:val="00886050"/>
    <w:rsid w:val="008861A8"/>
    <w:rsid w:val="008863AB"/>
    <w:rsid w:val="0088655C"/>
    <w:rsid w:val="0088667F"/>
    <w:rsid w:val="00886687"/>
    <w:rsid w:val="00886973"/>
    <w:rsid w:val="00886BB4"/>
    <w:rsid w:val="00886BEE"/>
    <w:rsid w:val="00886C03"/>
    <w:rsid w:val="00886F91"/>
    <w:rsid w:val="00887378"/>
    <w:rsid w:val="00887642"/>
    <w:rsid w:val="00887776"/>
    <w:rsid w:val="008879E7"/>
    <w:rsid w:val="00887AF0"/>
    <w:rsid w:val="00887B1A"/>
    <w:rsid w:val="00887D7A"/>
    <w:rsid w:val="00887E12"/>
    <w:rsid w:val="00887E1C"/>
    <w:rsid w:val="0088EE6A"/>
    <w:rsid w:val="008900B9"/>
    <w:rsid w:val="0089017D"/>
    <w:rsid w:val="0089020F"/>
    <w:rsid w:val="00890302"/>
    <w:rsid w:val="00890464"/>
    <w:rsid w:val="00890498"/>
    <w:rsid w:val="00890B42"/>
    <w:rsid w:val="00890C15"/>
    <w:rsid w:val="00890C2D"/>
    <w:rsid w:val="00890CEA"/>
    <w:rsid w:val="00890F62"/>
    <w:rsid w:val="00891050"/>
    <w:rsid w:val="008912C5"/>
    <w:rsid w:val="00891336"/>
    <w:rsid w:val="008913C7"/>
    <w:rsid w:val="00891694"/>
    <w:rsid w:val="0089183A"/>
    <w:rsid w:val="008918DD"/>
    <w:rsid w:val="00891984"/>
    <w:rsid w:val="00891AD3"/>
    <w:rsid w:val="00891B96"/>
    <w:rsid w:val="00891BDF"/>
    <w:rsid w:val="00891CA9"/>
    <w:rsid w:val="00891F3C"/>
    <w:rsid w:val="00892292"/>
    <w:rsid w:val="00892356"/>
    <w:rsid w:val="008929B6"/>
    <w:rsid w:val="00892ACE"/>
    <w:rsid w:val="00893212"/>
    <w:rsid w:val="008933E4"/>
    <w:rsid w:val="0089360F"/>
    <w:rsid w:val="00893973"/>
    <w:rsid w:val="00893A76"/>
    <w:rsid w:val="00893C94"/>
    <w:rsid w:val="00893FE0"/>
    <w:rsid w:val="008942DF"/>
    <w:rsid w:val="008944AF"/>
    <w:rsid w:val="00894619"/>
    <w:rsid w:val="00894705"/>
    <w:rsid w:val="0089478B"/>
    <w:rsid w:val="008949F9"/>
    <w:rsid w:val="00894BA5"/>
    <w:rsid w:val="00894C24"/>
    <w:rsid w:val="0089509E"/>
    <w:rsid w:val="0089519A"/>
    <w:rsid w:val="00895201"/>
    <w:rsid w:val="00895526"/>
    <w:rsid w:val="00895904"/>
    <w:rsid w:val="00895BD7"/>
    <w:rsid w:val="00895C84"/>
    <w:rsid w:val="00895CD5"/>
    <w:rsid w:val="008960FC"/>
    <w:rsid w:val="00896104"/>
    <w:rsid w:val="00896849"/>
    <w:rsid w:val="00896954"/>
    <w:rsid w:val="00896AF4"/>
    <w:rsid w:val="00897076"/>
    <w:rsid w:val="00897290"/>
    <w:rsid w:val="008973CA"/>
    <w:rsid w:val="008973E8"/>
    <w:rsid w:val="0089750C"/>
    <w:rsid w:val="00897744"/>
    <w:rsid w:val="00897774"/>
    <w:rsid w:val="0089783F"/>
    <w:rsid w:val="00897856"/>
    <w:rsid w:val="008979AB"/>
    <w:rsid w:val="00897A1C"/>
    <w:rsid w:val="00897C80"/>
    <w:rsid w:val="00897CED"/>
    <w:rsid w:val="00897DF6"/>
    <w:rsid w:val="00897E60"/>
    <w:rsid w:val="00897E9F"/>
    <w:rsid w:val="00897FA7"/>
    <w:rsid w:val="00897FD9"/>
    <w:rsid w:val="008A011B"/>
    <w:rsid w:val="008A038E"/>
    <w:rsid w:val="008A03BC"/>
    <w:rsid w:val="008A04F9"/>
    <w:rsid w:val="008A07F2"/>
    <w:rsid w:val="008A0857"/>
    <w:rsid w:val="008A0AB3"/>
    <w:rsid w:val="008A0C18"/>
    <w:rsid w:val="008A0C77"/>
    <w:rsid w:val="008A0F77"/>
    <w:rsid w:val="008A1068"/>
    <w:rsid w:val="008A113D"/>
    <w:rsid w:val="008A1568"/>
    <w:rsid w:val="008A157A"/>
    <w:rsid w:val="008A168C"/>
    <w:rsid w:val="008A17CF"/>
    <w:rsid w:val="008A1886"/>
    <w:rsid w:val="008A192E"/>
    <w:rsid w:val="008A193B"/>
    <w:rsid w:val="008A1980"/>
    <w:rsid w:val="008A19A3"/>
    <w:rsid w:val="008A1CCF"/>
    <w:rsid w:val="008A1E69"/>
    <w:rsid w:val="008A202D"/>
    <w:rsid w:val="008A2044"/>
    <w:rsid w:val="008A206E"/>
    <w:rsid w:val="008A2160"/>
    <w:rsid w:val="008A2189"/>
    <w:rsid w:val="008A2301"/>
    <w:rsid w:val="008A236B"/>
    <w:rsid w:val="008A25DB"/>
    <w:rsid w:val="008A2933"/>
    <w:rsid w:val="008A298F"/>
    <w:rsid w:val="008A2A1F"/>
    <w:rsid w:val="008A2A32"/>
    <w:rsid w:val="008A2BD3"/>
    <w:rsid w:val="008A2BE5"/>
    <w:rsid w:val="008A2D84"/>
    <w:rsid w:val="008A2EEC"/>
    <w:rsid w:val="008A32F8"/>
    <w:rsid w:val="008A330F"/>
    <w:rsid w:val="008A3365"/>
    <w:rsid w:val="008A33BF"/>
    <w:rsid w:val="008A3458"/>
    <w:rsid w:val="008A37E7"/>
    <w:rsid w:val="008A39DE"/>
    <w:rsid w:val="008A39EF"/>
    <w:rsid w:val="008A3D6F"/>
    <w:rsid w:val="008A3DAA"/>
    <w:rsid w:val="008A3EA3"/>
    <w:rsid w:val="008A3EEA"/>
    <w:rsid w:val="008A40E0"/>
    <w:rsid w:val="008A40F0"/>
    <w:rsid w:val="008A4101"/>
    <w:rsid w:val="008A455C"/>
    <w:rsid w:val="008A4760"/>
    <w:rsid w:val="008A47C6"/>
    <w:rsid w:val="008A4937"/>
    <w:rsid w:val="008A49DB"/>
    <w:rsid w:val="008A4A71"/>
    <w:rsid w:val="008A4B1B"/>
    <w:rsid w:val="008A4F64"/>
    <w:rsid w:val="008A4F76"/>
    <w:rsid w:val="008A4FC0"/>
    <w:rsid w:val="008A5214"/>
    <w:rsid w:val="008A53C6"/>
    <w:rsid w:val="008A58F2"/>
    <w:rsid w:val="008A59FA"/>
    <w:rsid w:val="008A5A89"/>
    <w:rsid w:val="008A6222"/>
    <w:rsid w:val="008A639E"/>
    <w:rsid w:val="008A63EA"/>
    <w:rsid w:val="008A66CD"/>
    <w:rsid w:val="008A6793"/>
    <w:rsid w:val="008A67A8"/>
    <w:rsid w:val="008A67E1"/>
    <w:rsid w:val="008A685F"/>
    <w:rsid w:val="008A6944"/>
    <w:rsid w:val="008A6A38"/>
    <w:rsid w:val="008A6C6E"/>
    <w:rsid w:val="008A700A"/>
    <w:rsid w:val="008A7876"/>
    <w:rsid w:val="008A791F"/>
    <w:rsid w:val="008A7AFA"/>
    <w:rsid w:val="008A7B42"/>
    <w:rsid w:val="008A7CCD"/>
    <w:rsid w:val="008A7E10"/>
    <w:rsid w:val="008A7F4B"/>
    <w:rsid w:val="008B0046"/>
    <w:rsid w:val="008B03F1"/>
    <w:rsid w:val="008B0511"/>
    <w:rsid w:val="008B065E"/>
    <w:rsid w:val="008B07EC"/>
    <w:rsid w:val="008B09F7"/>
    <w:rsid w:val="008B0D29"/>
    <w:rsid w:val="008B0F78"/>
    <w:rsid w:val="008B0FCC"/>
    <w:rsid w:val="008B11A1"/>
    <w:rsid w:val="008B1546"/>
    <w:rsid w:val="008B1583"/>
    <w:rsid w:val="008B15F0"/>
    <w:rsid w:val="008B16A3"/>
    <w:rsid w:val="008B1758"/>
    <w:rsid w:val="008B17D1"/>
    <w:rsid w:val="008B1C36"/>
    <w:rsid w:val="008B1E3A"/>
    <w:rsid w:val="008B20D9"/>
    <w:rsid w:val="008B21C5"/>
    <w:rsid w:val="008B239C"/>
    <w:rsid w:val="008B23DF"/>
    <w:rsid w:val="008B29F0"/>
    <w:rsid w:val="008B2C64"/>
    <w:rsid w:val="008B2D0E"/>
    <w:rsid w:val="008B2DA0"/>
    <w:rsid w:val="008B2EC5"/>
    <w:rsid w:val="008B31B0"/>
    <w:rsid w:val="008B329E"/>
    <w:rsid w:val="008B33A0"/>
    <w:rsid w:val="008B3420"/>
    <w:rsid w:val="008B379B"/>
    <w:rsid w:val="008B3D1B"/>
    <w:rsid w:val="008B3D49"/>
    <w:rsid w:val="008B3E3F"/>
    <w:rsid w:val="008B4346"/>
    <w:rsid w:val="008B45B2"/>
    <w:rsid w:val="008B463B"/>
    <w:rsid w:val="008B47EF"/>
    <w:rsid w:val="008B48AF"/>
    <w:rsid w:val="008B48CC"/>
    <w:rsid w:val="008B494B"/>
    <w:rsid w:val="008B4D30"/>
    <w:rsid w:val="008B4DAB"/>
    <w:rsid w:val="008B4E56"/>
    <w:rsid w:val="008B4FE0"/>
    <w:rsid w:val="008B5111"/>
    <w:rsid w:val="008B5351"/>
    <w:rsid w:val="008B53D2"/>
    <w:rsid w:val="008B5525"/>
    <w:rsid w:val="008B55D6"/>
    <w:rsid w:val="008B55E6"/>
    <w:rsid w:val="008B5729"/>
    <w:rsid w:val="008B58A8"/>
    <w:rsid w:val="008B5E3B"/>
    <w:rsid w:val="008B5FE3"/>
    <w:rsid w:val="008B6028"/>
    <w:rsid w:val="008B6270"/>
    <w:rsid w:val="008B6320"/>
    <w:rsid w:val="008B6567"/>
    <w:rsid w:val="008B6593"/>
    <w:rsid w:val="008B65E7"/>
    <w:rsid w:val="008B66F5"/>
    <w:rsid w:val="008B69B4"/>
    <w:rsid w:val="008B6C4B"/>
    <w:rsid w:val="008B6CC9"/>
    <w:rsid w:val="008B6CD9"/>
    <w:rsid w:val="008B6E19"/>
    <w:rsid w:val="008B6EDF"/>
    <w:rsid w:val="008B6F77"/>
    <w:rsid w:val="008B720B"/>
    <w:rsid w:val="008B73FD"/>
    <w:rsid w:val="008B7523"/>
    <w:rsid w:val="008B7742"/>
    <w:rsid w:val="008B7805"/>
    <w:rsid w:val="008B7A64"/>
    <w:rsid w:val="008B7A71"/>
    <w:rsid w:val="008B7DDE"/>
    <w:rsid w:val="008B7EFC"/>
    <w:rsid w:val="008B7FD5"/>
    <w:rsid w:val="008B7FF1"/>
    <w:rsid w:val="008B8211"/>
    <w:rsid w:val="008C0082"/>
    <w:rsid w:val="008C016C"/>
    <w:rsid w:val="008C04EF"/>
    <w:rsid w:val="008C0590"/>
    <w:rsid w:val="008C0C4B"/>
    <w:rsid w:val="008C0DC0"/>
    <w:rsid w:val="008C0FF8"/>
    <w:rsid w:val="008C11AF"/>
    <w:rsid w:val="008C11F9"/>
    <w:rsid w:val="008C144D"/>
    <w:rsid w:val="008C159B"/>
    <w:rsid w:val="008C1608"/>
    <w:rsid w:val="008C169C"/>
    <w:rsid w:val="008C1845"/>
    <w:rsid w:val="008C191C"/>
    <w:rsid w:val="008C1A17"/>
    <w:rsid w:val="008C1A26"/>
    <w:rsid w:val="008C1DCA"/>
    <w:rsid w:val="008C2226"/>
    <w:rsid w:val="008C250F"/>
    <w:rsid w:val="008C2565"/>
    <w:rsid w:val="008C25EE"/>
    <w:rsid w:val="008C26FA"/>
    <w:rsid w:val="008C272F"/>
    <w:rsid w:val="008C29F6"/>
    <w:rsid w:val="008C2C10"/>
    <w:rsid w:val="008C2CDC"/>
    <w:rsid w:val="008C38B0"/>
    <w:rsid w:val="008C38D4"/>
    <w:rsid w:val="008C39C4"/>
    <w:rsid w:val="008C3A6B"/>
    <w:rsid w:val="008C3C92"/>
    <w:rsid w:val="008C3D2F"/>
    <w:rsid w:val="008C4010"/>
    <w:rsid w:val="008C425F"/>
    <w:rsid w:val="008C441C"/>
    <w:rsid w:val="008C45C7"/>
    <w:rsid w:val="008C498E"/>
    <w:rsid w:val="008C4C7A"/>
    <w:rsid w:val="008C4E0C"/>
    <w:rsid w:val="008C4E70"/>
    <w:rsid w:val="008C508A"/>
    <w:rsid w:val="008C522A"/>
    <w:rsid w:val="008C5294"/>
    <w:rsid w:val="008C545F"/>
    <w:rsid w:val="008C558E"/>
    <w:rsid w:val="008C5978"/>
    <w:rsid w:val="008C5A5E"/>
    <w:rsid w:val="008C5B26"/>
    <w:rsid w:val="008C5E82"/>
    <w:rsid w:val="008C5EF1"/>
    <w:rsid w:val="008C60EF"/>
    <w:rsid w:val="008C6805"/>
    <w:rsid w:val="008C68DE"/>
    <w:rsid w:val="008C6B6B"/>
    <w:rsid w:val="008C6C20"/>
    <w:rsid w:val="008C6D23"/>
    <w:rsid w:val="008C6EFD"/>
    <w:rsid w:val="008C71A1"/>
    <w:rsid w:val="008C738E"/>
    <w:rsid w:val="008C740C"/>
    <w:rsid w:val="008C74F5"/>
    <w:rsid w:val="008C76E5"/>
    <w:rsid w:val="008C7774"/>
    <w:rsid w:val="008C78A1"/>
    <w:rsid w:val="008C798C"/>
    <w:rsid w:val="008C7B36"/>
    <w:rsid w:val="008C7E75"/>
    <w:rsid w:val="008D026B"/>
    <w:rsid w:val="008D0350"/>
    <w:rsid w:val="008D0C5A"/>
    <w:rsid w:val="008D0E1A"/>
    <w:rsid w:val="008D1226"/>
    <w:rsid w:val="008D12D7"/>
    <w:rsid w:val="008D1787"/>
    <w:rsid w:val="008D200E"/>
    <w:rsid w:val="008D2644"/>
    <w:rsid w:val="008D26D2"/>
    <w:rsid w:val="008D28E4"/>
    <w:rsid w:val="008D29C9"/>
    <w:rsid w:val="008D2A12"/>
    <w:rsid w:val="008D2A89"/>
    <w:rsid w:val="008D2B16"/>
    <w:rsid w:val="008D2B2D"/>
    <w:rsid w:val="008D2D16"/>
    <w:rsid w:val="008D2E83"/>
    <w:rsid w:val="008D2ECC"/>
    <w:rsid w:val="008D3A3D"/>
    <w:rsid w:val="008D3A6E"/>
    <w:rsid w:val="008D3B4C"/>
    <w:rsid w:val="008D3C6E"/>
    <w:rsid w:val="008D3CD7"/>
    <w:rsid w:val="008D3EC8"/>
    <w:rsid w:val="008D3EF6"/>
    <w:rsid w:val="008D425F"/>
    <w:rsid w:val="008D4434"/>
    <w:rsid w:val="008D45F9"/>
    <w:rsid w:val="008D4681"/>
    <w:rsid w:val="008D46C4"/>
    <w:rsid w:val="008D4A0A"/>
    <w:rsid w:val="008D4EAE"/>
    <w:rsid w:val="008D4FEF"/>
    <w:rsid w:val="008D5110"/>
    <w:rsid w:val="008D5134"/>
    <w:rsid w:val="008D519C"/>
    <w:rsid w:val="008D5447"/>
    <w:rsid w:val="008D5461"/>
    <w:rsid w:val="008D5707"/>
    <w:rsid w:val="008D5A83"/>
    <w:rsid w:val="008D5B85"/>
    <w:rsid w:val="008D5E89"/>
    <w:rsid w:val="008D5EF3"/>
    <w:rsid w:val="008D5F0E"/>
    <w:rsid w:val="008D60B4"/>
    <w:rsid w:val="008D60D3"/>
    <w:rsid w:val="008D626E"/>
    <w:rsid w:val="008D62C0"/>
    <w:rsid w:val="008D66BE"/>
    <w:rsid w:val="008D66FE"/>
    <w:rsid w:val="008D6732"/>
    <w:rsid w:val="008D67E9"/>
    <w:rsid w:val="008D67F7"/>
    <w:rsid w:val="008D6C5D"/>
    <w:rsid w:val="008D6F52"/>
    <w:rsid w:val="008D6F5D"/>
    <w:rsid w:val="008D704E"/>
    <w:rsid w:val="008D70F0"/>
    <w:rsid w:val="008D710A"/>
    <w:rsid w:val="008D71D0"/>
    <w:rsid w:val="008D71F1"/>
    <w:rsid w:val="008D75F3"/>
    <w:rsid w:val="008D767B"/>
    <w:rsid w:val="008D78CB"/>
    <w:rsid w:val="008D7B3B"/>
    <w:rsid w:val="008D7DC5"/>
    <w:rsid w:val="008E030C"/>
    <w:rsid w:val="008E0357"/>
    <w:rsid w:val="008E03DB"/>
    <w:rsid w:val="008E0C2B"/>
    <w:rsid w:val="008E0C4A"/>
    <w:rsid w:val="008E0C85"/>
    <w:rsid w:val="008E0FFE"/>
    <w:rsid w:val="008E1018"/>
    <w:rsid w:val="008E10BB"/>
    <w:rsid w:val="008E113D"/>
    <w:rsid w:val="008E115D"/>
    <w:rsid w:val="008E116A"/>
    <w:rsid w:val="008E1508"/>
    <w:rsid w:val="008E16E8"/>
    <w:rsid w:val="008E1744"/>
    <w:rsid w:val="008E1813"/>
    <w:rsid w:val="008E188A"/>
    <w:rsid w:val="008E18AE"/>
    <w:rsid w:val="008E1C7A"/>
    <w:rsid w:val="008E1EF0"/>
    <w:rsid w:val="008E2018"/>
    <w:rsid w:val="008E232A"/>
    <w:rsid w:val="008E2359"/>
    <w:rsid w:val="008E23D5"/>
    <w:rsid w:val="008E26C2"/>
    <w:rsid w:val="008E26C8"/>
    <w:rsid w:val="008E275C"/>
    <w:rsid w:val="008E277A"/>
    <w:rsid w:val="008E27DB"/>
    <w:rsid w:val="008E27DE"/>
    <w:rsid w:val="008E280E"/>
    <w:rsid w:val="008E2813"/>
    <w:rsid w:val="008E2858"/>
    <w:rsid w:val="008E28DA"/>
    <w:rsid w:val="008E295D"/>
    <w:rsid w:val="008E2B83"/>
    <w:rsid w:val="008E2C26"/>
    <w:rsid w:val="008E2CF0"/>
    <w:rsid w:val="008E31D3"/>
    <w:rsid w:val="008E3221"/>
    <w:rsid w:val="008E3513"/>
    <w:rsid w:val="008E35C7"/>
    <w:rsid w:val="008E3708"/>
    <w:rsid w:val="008E39DC"/>
    <w:rsid w:val="008E3AC3"/>
    <w:rsid w:val="008E3B32"/>
    <w:rsid w:val="008E3C00"/>
    <w:rsid w:val="008E3C42"/>
    <w:rsid w:val="008E3DA5"/>
    <w:rsid w:val="008E3EB3"/>
    <w:rsid w:val="008E402D"/>
    <w:rsid w:val="008E4379"/>
    <w:rsid w:val="008E480E"/>
    <w:rsid w:val="008E48FA"/>
    <w:rsid w:val="008E49E0"/>
    <w:rsid w:val="008E4B8A"/>
    <w:rsid w:val="008E4E99"/>
    <w:rsid w:val="008E4E9D"/>
    <w:rsid w:val="008E50F7"/>
    <w:rsid w:val="008E5324"/>
    <w:rsid w:val="008E5A42"/>
    <w:rsid w:val="008E5B13"/>
    <w:rsid w:val="008E5DA2"/>
    <w:rsid w:val="008E5DF8"/>
    <w:rsid w:val="008E5EEC"/>
    <w:rsid w:val="008E5F86"/>
    <w:rsid w:val="008E5FB0"/>
    <w:rsid w:val="008E6045"/>
    <w:rsid w:val="008E61BA"/>
    <w:rsid w:val="008E624A"/>
    <w:rsid w:val="008E6484"/>
    <w:rsid w:val="008E66ED"/>
    <w:rsid w:val="008E6828"/>
    <w:rsid w:val="008E6A17"/>
    <w:rsid w:val="008E6B00"/>
    <w:rsid w:val="008E6C36"/>
    <w:rsid w:val="008E6C85"/>
    <w:rsid w:val="008E6C95"/>
    <w:rsid w:val="008E6E3E"/>
    <w:rsid w:val="008E7029"/>
    <w:rsid w:val="008E70C9"/>
    <w:rsid w:val="008E711C"/>
    <w:rsid w:val="008E7306"/>
    <w:rsid w:val="008E73E2"/>
    <w:rsid w:val="008E775B"/>
    <w:rsid w:val="008E7838"/>
    <w:rsid w:val="008E7986"/>
    <w:rsid w:val="008E7B52"/>
    <w:rsid w:val="008E7B90"/>
    <w:rsid w:val="008E7E30"/>
    <w:rsid w:val="008F0038"/>
    <w:rsid w:val="008F019F"/>
    <w:rsid w:val="008F02AA"/>
    <w:rsid w:val="008F06DE"/>
    <w:rsid w:val="008F0706"/>
    <w:rsid w:val="008F0772"/>
    <w:rsid w:val="008F09FE"/>
    <w:rsid w:val="008F0A5B"/>
    <w:rsid w:val="008F0B37"/>
    <w:rsid w:val="008F0C3B"/>
    <w:rsid w:val="008F0E8B"/>
    <w:rsid w:val="008F0F34"/>
    <w:rsid w:val="008F0FB8"/>
    <w:rsid w:val="008F1025"/>
    <w:rsid w:val="008F12FA"/>
    <w:rsid w:val="008F1367"/>
    <w:rsid w:val="008F164D"/>
    <w:rsid w:val="008F16A8"/>
    <w:rsid w:val="008F16D4"/>
    <w:rsid w:val="008F17AB"/>
    <w:rsid w:val="008F18C9"/>
    <w:rsid w:val="008F18EF"/>
    <w:rsid w:val="008F18F1"/>
    <w:rsid w:val="008F1B91"/>
    <w:rsid w:val="008F1C34"/>
    <w:rsid w:val="008F1D21"/>
    <w:rsid w:val="008F1EC5"/>
    <w:rsid w:val="008F1ED0"/>
    <w:rsid w:val="008F2015"/>
    <w:rsid w:val="008F203A"/>
    <w:rsid w:val="008F20C3"/>
    <w:rsid w:val="008F2409"/>
    <w:rsid w:val="008F26A9"/>
    <w:rsid w:val="008F26AF"/>
    <w:rsid w:val="008F26D8"/>
    <w:rsid w:val="008F271C"/>
    <w:rsid w:val="008F2780"/>
    <w:rsid w:val="008F2876"/>
    <w:rsid w:val="008F2BB6"/>
    <w:rsid w:val="008F2BF8"/>
    <w:rsid w:val="008F2EBB"/>
    <w:rsid w:val="008F3147"/>
    <w:rsid w:val="008F32EF"/>
    <w:rsid w:val="008F33A5"/>
    <w:rsid w:val="008F353B"/>
    <w:rsid w:val="008F36DE"/>
    <w:rsid w:val="008F37BC"/>
    <w:rsid w:val="008F3BBD"/>
    <w:rsid w:val="008F3BBF"/>
    <w:rsid w:val="008F3D13"/>
    <w:rsid w:val="008F3EC7"/>
    <w:rsid w:val="008F3F4A"/>
    <w:rsid w:val="008F4221"/>
    <w:rsid w:val="008F42AB"/>
    <w:rsid w:val="008F4434"/>
    <w:rsid w:val="008F476A"/>
    <w:rsid w:val="008F48BC"/>
    <w:rsid w:val="008F4A44"/>
    <w:rsid w:val="008F4ACA"/>
    <w:rsid w:val="008F4B69"/>
    <w:rsid w:val="008F4BA3"/>
    <w:rsid w:val="008F4BE3"/>
    <w:rsid w:val="008F4D8E"/>
    <w:rsid w:val="008F4F9F"/>
    <w:rsid w:val="008F51E2"/>
    <w:rsid w:val="008F52C0"/>
    <w:rsid w:val="008F56C4"/>
    <w:rsid w:val="008F57E0"/>
    <w:rsid w:val="008F5838"/>
    <w:rsid w:val="008F59ED"/>
    <w:rsid w:val="008F5A41"/>
    <w:rsid w:val="008F5ACE"/>
    <w:rsid w:val="008F5BA4"/>
    <w:rsid w:val="008F5D0B"/>
    <w:rsid w:val="008F5D3A"/>
    <w:rsid w:val="008F5E8E"/>
    <w:rsid w:val="008F5FDD"/>
    <w:rsid w:val="008F6009"/>
    <w:rsid w:val="008F6033"/>
    <w:rsid w:val="008F6362"/>
    <w:rsid w:val="008F64A0"/>
    <w:rsid w:val="008F6523"/>
    <w:rsid w:val="008F663B"/>
    <w:rsid w:val="008F6718"/>
    <w:rsid w:val="008F67EE"/>
    <w:rsid w:val="008F6950"/>
    <w:rsid w:val="008F6967"/>
    <w:rsid w:val="008F6A8D"/>
    <w:rsid w:val="008F6CF3"/>
    <w:rsid w:val="008F6CF4"/>
    <w:rsid w:val="008F6F11"/>
    <w:rsid w:val="008F6F75"/>
    <w:rsid w:val="008F714E"/>
    <w:rsid w:val="008F7438"/>
    <w:rsid w:val="008F74D7"/>
    <w:rsid w:val="008F75BF"/>
    <w:rsid w:val="008F774B"/>
    <w:rsid w:val="008F78D6"/>
    <w:rsid w:val="008F7972"/>
    <w:rsid w:val="008F7ACB"/>
    <w:rsid w:val="008F7D2E"/>
    <w:rsid w:val="008F7FDE"/>
    <w:rsid w:val="008F7FF7"/>
    <w:rsid w:val="00900052"/>
    <w:rsid w:val="00900105"/>
    <w:rsid w:val="009003A8"/>
    <w:rsid w:val="0090040D"/>
    <w:rsid w:val="009005F0"/>
    <w:rsid w:val="00900B2B"/>
    <w:rsid w:val="00900C8B"/>
    <w:rsid w:val="00900CFB"/>
    <w:rsid w:val="00900F14"/>
    <w:rsid w:val="00900F24"/>
    <w:rsid w:val="00901321"/>
    <w:rsid w:val="00901795"/>
    <w:rsid w:val="009017AE"/>
    <w:rsid w:val="009018F0"/>
    <w:rsid w:val="00901A24"/>
    <w:rsid w:val="00901B89"/>
    <w:rsid w:val="00901BB9"/>
    <w:rsid w:val="00901C2C"/>
    <w:rsid w:val="00901F87"/>
    <w:rsid w:val="00901F8B"/>
    <w:rsid w:val="00902199"/>
    <w:rsid w:val="0090232A"/>
    <w:rsid w:val="00902612"/>
    <w:rsid w:val="00902890"/>
    <w:rsid w:val="00902991"/>
    <w:rsid w:val="00902A41"/>
    <w:rsid w:val="00902A7D"/>
    <w:rsid w:val="00902DF9"/>
    <w:rsid w:val="00902FA0"/>
    <w:rsid w:val="00903019"/>
    <w:rsid w:val="009033D1"/>
    <w:rsid w:val="00903435"/>
    <w:rsid w:val="009036B9"/>
    <w:rsid w:val="00903812"/>
    <w:rsid w:val="00903AA3"/>
    <w:rsid w:val="00903B46"/>
    <w:rsid w:val="00903C3E"/>
    <w:rsid w:val="0090408C"/>
    <w:rsid w:val="0090411D"/>
    <w:rsid w:val="009042BB"/>
    <w:rsid w:val="009045A5"/>
    <w:rsid w:val="00904963"/>
    <w:rsid w:val="009049EE"/>
    <w:rsid w:val="00904ACD"/>
    <w:rsid w:val="00904B3F"/>
    <w:rsid w:val="00904B8B"/>
    <w:rsid w:val="00904C07"/>
    <w:rsid w:val="00904E5B"/>
    <w:rsid w:val="00904E7A"/>
    <w:rsid w:val="00905011"/>
    <w:rsid w:val="00905020"/>
    <w:rsid w:val="009051A9"/>
    <w:rsid w:val="009051AC"/>
    <w:rsid w:val="00905231"/>
    <w:rsid w:val="009053B0"/>
    <w:rsid w:val="00905537"/>
    <w:rsid w:val="009055C1"/>
    <w:rsid w:val="00905603"/>
    <w:rsid w:val="00905929"/>
    <w:rsid w:val="00905E14"/>
    <w:rsid w:val="00905F2F"/>
    <w:rsid w:val="00906581"/>
    <w:rsid w:val="009065C0"/>
    <w:rsid w:val="009067BE"/>
    <w:rsid w:val="00906CD1"/>
    <w:rsid w:val="00906D1E"/>
    <w:rsid w:val="00906F27"/>
    <w:rsid w:val="00906F34"/>
    <w:rsid w:val="00906FAF"/>
    <w:rsid w:val="009070BD"/>
    <w:rsid w:val="009071A2"/>
    <w:rsid w:val="009073EF"/>
    <w:rsid w:val="009074ED"/>
    <w:rsid w:val="00907707"/>
    <w:rsid w:val="00907947"/>
    <w:rsid w:val="00907A2C"/>
    <w:rsid w:val="00907C6A"/>
    <w:rsid w:val="00907CA7"/>
    <w:rsid w:val="00907CE5"/>
    <w:rsid w:val="00907E6F"/>
    <w:rsid w:val="00907EAE"/>
    <w:rsid w:val="009101E2"/>
    <w:rsid w:val="00910220"/>
    <w:rsid w:val="009102F9"/>
    <w:rsid w:val="0091032A"/>
    <w:rsid w:val="0091036F"/>
    <w:rsid w:val="0091046E"/>
    <w:rsid w:val="009104D6"/>
    <w:rsid w:val="009106E0"/>
    <w:rsid w:val="00910752"/>
    <w:rsid w:val="009109E7"/>
    <w:rsid w:val="00910B5A"/>
    <w:rsid w:val="00911061"/>
    <w:rsid w:val="009111AD"/>
    <w:rsid w:val="00911322"/>
    <w:rsid w:val="009114E4"/>
    <w:rsid w:val="009115F9"/>
    <w:rsid w:val="0091161D"/>
    <w:rsid w:val="009116AF"/>
    <w:rsid w:val="00911789"/>
    <w:rsid w:val="00911858"/>
    <w:rsid w:val="0091198E"/>
    <w:rsid w:val="00912429"/>
    <w:rsid w:val="00912523"/>
    <w:rsid w:val="009126E7"/>
    <w:rsid w:val="0091284A"/>
    <w:rsid w:val="00912908"/>
    <w:rsid w:val="0091295E"/>
    <w:rsid w:val="009129D5"/>
    <w:rsid w:val="00912C30"/>
    <w:rsid w:val="00912F8F"/>
    <w:rsid w:val="00912FBF"/>
    <w:rsid w:val="00913263"/>
    <w:rsid w:val="009132C4"/>
    <w:rsid w:val="009133B3"/>
    <w:rsid w:val="00913479"/>
    <w:rsid w:val="009138AE"/>
    <w:rsid w:val="00913A24"/>
    <w:rsid w:val="00913AB5"/>
    <w:rsid w:val="00913F3A"/>
    <w:rsid w:val="009145BF"/>
    <w:rsid w:val="009145DA"/>
    <w:rsid w:val="009149D3"/>
    <w:rsid w:val="00914A6F"/>
    <w:rsid w:val="00914AB3"/>
    <w:rsid w:val="00914DA0"/>
    <w:rsid w:val="00914F33"/>
    <w:rsid w:val="0091515E"/>
    <w:rsid w:val="0091524F"/>
    <w:rsid w:val="0091537E"/>
    <w:rsid w:val="00915722"/>
    <w:rsid w:val="00915872"/>
    <w:rsid w:val="00915A8C"/>
    <w:rsid w:val="00915CE2"/>
    <w:rsid w:val="00915F18"/>
    <w:rsid w:val="009160BE"/>
    <w:rsid w:val="009160F6"/>
    <w:rsid w:val="00916512"/>
    <w:rsid w:val="0091660F"/>
    <w:rsid w:val="009166EB"/>
    <w:rsid w:val="0091677E"/>
    <w:rsid w:val="00916911"/>
    <w:rsid w:val="00916B54"/>
    <w:rsid w:val="00916CFE"/>
    <w:rsid w:val="00916D08"/>
    <w:rsid w:val="00916D61"/>
    <w:rsid w:val="00916DC5"/>
    <w:rsid w:val="00916E98"/>
    <w:rsid w:val="0091720D"/>
    <w:rsid w:val="009178F5"/>
    <w:rsid w:val="00917B3E"/>
    <w:rsid w:val="00917CD5"/>
    <w:rsid w:val="009201D9"/>
    <w:rsid w:val="00920302"/>
    <w:rsid w:val="0092035F"/>
    <w:rsid w:val="0092069D"/>
    <w:rsid w:val="009206FB"/>
    <w:rsid w:val="00920741"/>
    <w:rsid w:val="00920802"/>
    <w:rsid w:val="009208EC"/>
    <w:rsid w:val="00920C1C"/>
    <w:rsid w:val="00920D8D"/>
    <w:rsid w:val="00921209"/>
    <w:rsid w:val="009212C3"/>
    <w:rsid w:val="009212DB"/>
    <w:rsid w:val="00921768"/>
    <w:rsid w:val="00921842"/>
    <w:rsid w:val="00921A2A"/>
    <w:rsid w:val="00921A6F"/>
    <w:rsid w:val="00921CD1"/>
    <w:rsid w:val="00921CDE"/>
    <w:rsid w:val="00921D40"/>
    <w:rsid w:val="00921D57"/>
    <w:rsid w:val="00921E91"/>
    <w:rsid w:val="00921F76"/>
    <w:rsid w:val="00921F90"/>
    <w:rsid w:val="00922111"/>
    <w:rsid w:val="00922174"/>
    <w:rsid w:val="00922432"/>
    <w:rsid w:val="00922548"/>
    <w:rsid w:val="009226B2"/>
    <w:rsid w:val="0092285F"/>
    <w:rsid w:val="009228B0"/>
    <w:rsid w:val="0092294D"/>
    <w:rsid w:val="00922C55"/>
    <w:rsid w:val="00922EC4"/>
    <w:rsid w:val="00922EFA"/>
    <w:rsid w:val="009230D8"/>
    <w:rsid w:val="00923147"/>
    <w:rsid w:val="009233DB"/>
    <w:rsid w:val="009237CA"/>
    <w:rsid w:val="00923ADB"/>
    <w:rsid w:val="00923BE4"/>
    <w:rsid w:val="00923F6B"/>
    <w:rsid w:val="00924127"/>
    <w:rsid w:val="00924134"/>
    <w:rsid w:val="009242FA"/>
    <w:rsid w:val="009246A8"/>
    <w:rsid w:val="009247EA"/>
    <w:rsid w:val="00924829"/>
    <w:rsid w:val="0092499B"/>
    <w:rsid w:val="00924F3D"/>
    <w:rsid w:val="00924F78"/>
    <w:rsid w:val="00925238"/>
    <w:rsid w:val="00925442"/>
    <w:rsid w:val="009256A2"/>
    <w:rsid w:val="00925706"/>
    <w:rsid w:val="0092574B"/>
    <w:rsid w:val="0092581C"/>
    <w:rsid w:val="009258A1"/>
    <w:rsid w:val="009259AE"/>
    <w:rsid w:val="00925B16"/>
    <w:rsid w:val="00925E7B"/>
    <w:rsid w:val="00925F61"/>
    <w:rsid w:val="00926396"/>
    <w:rsid w:val="009265DB"/>
    <w:rsid w:val="009265F9"/>
    <w:rsid w:val="0092685C"/>
    <w:rsid w:val="00926B6C"/>
    <w:rsid w:val="00926D70"/>
    <w:rsid w:val="00926E22"/>
    <w:rsid w:val="00926EDE"/>
    <w:rsid w:val="009270B4"/>
    <w:rsid w:val="009272A7"/>
    <w:rsid w:val="009272D0"/>
    <w:rsid w:val="00927511"/>
    <w:rsid w:val="00927514"/>
    <w:rsid w:val="00927650"/>
    <w:rsid w:val="0092783E"/>
    <w:rsid w:val="009278BB"/>
    <w:rsid w:val="00927C0C"/>
    <w:rsid w:val="00927DFE"/>
    <w:rsid w:val="00927F96"/>
    <w:rsid w:val="00928E89"/>
    <w:rsid w:val="00930239"/>
    <w:rsid w:val="0093028C"/>
    <w:rsid w:val="00930292"/>
    <w:rsid w:val="00930604"/>
    <w:rsid w:val="00930677"/>
    <w:rsid w:val="0093079E"/>
    <w:rsid w:val="00930A57"/>
    <w:rsid w:val="00930FD5"/>
    <w:rsid w:val="009310C2"/>
    <w:rsid w:val="0093141E"/>
    <w:rsid w:val="0093144E"/>
    <w:rsid w:val="0093153D"/>
    <w:rsid w:val="009315B5"/>
    <w:rsid w:val="00931634"/>
    <w:rsid w:val="0093165A"/>
    <w:rsid w:val="009317BF"/>
    <w:rsid w:val="009319F7"/>
    <w:rsid w:val="00931AEF"/>
    <w:rsid w:val="00931B61"/>
    <w:rsid w:val="00931BD6"/>
    <w:rsid w:val="00931C01"/>
    <w:rsid w:val="00931DC1"/>
    <w:rsid w:val="00931F9A"/>
    <w:rsid w:val="00931FF1"/>
    <w:rsid w:val="00932132"/>
    <w:rsid w:val="0093217D"/>
    <w:rsid w:val="00932196"/>
    <w:rsid w:val="009321C2"/>
    <w:rsid w:val="00932207"/>
    <w:rsid w:val="0093222C"/>
    <w:rsid w:val="00932312"/>
    <w:rsid w:val="0093243F"/>
    <w:rsid w:val="00932828"/>
    <w:rsid w:val="00932833"/>
    <w:rsid w:val="00932E98"/>
    <w:rsid w:val="00933183"/>
    <w:rsid w:val="0093321A"/>
    <w:rsid w:val="009332D2"/>
    <w:rsid w:val="00933478"/>
    <w:rsid w:val="0093358D"/>
    <w:rsid w:val="00933762"/>
    <w:rsid w:val="00933816"/>
    <w:rsid w:val="0093389A"/>
    <w:rsid w:val="009338BD"/>
    <w:rsid w:val="00933A59"/>
    <w:rsid w:val="00933D37"/>
    <w:rsid w:val="00933DFA"/>
    <w:rsid w:val="00934220"/>
    <w:rsid w:val="00934450"/>
    <w:rsid w:val="009345A2"/>
    <w:rsid w:val="009348DA"/>
    <w:rsid w:val="00934A60"/>
    <w:rsid w:val="00934B7A"/>
    <w:rsid w:val="00934B7C"/>
    <w:rsid w:val="00934BA7"/>
    <w:rsid w:val="00934C0D"/>
    <w:rsid w:val="0093505F"/>
    <w:rsid w:val="00935077"/>
    <w:rsid w:val="0093529A"/>
    <w:rsid w:val="009352A8"/>
    <w:rsid w:val="009355C8"/>
    <w:rsid w:val="009357A5"/>
    <w:rsid w:val="009358A5"/>
    <w:rsid w:val="009358D6"/>
    <w:rsid w:val="00935962"/>
    <w:rsid w:val="009359D7"/>
    <w:rsid w:val="00935A58"/>
    <w:rsid w:val="00935B58"/>
    <w:rsid w:val="00935C35"/>
    <w:rsid w:val="00935C45"/>
    <w:rsid w:val="00935CE8"/>
    <w:rsid w:val="00935D8D"/>
    <w:rsid w:val="00936000"/>
    <w:rsid w:val="00936220"/>
    <w:rsid w:val="009363A5"/>
    <w:rsid w:val="009363CD"/>
    <w:rsid w:val="00936563"/>
    <w:rsid w:val="0093661E"/>
    <w:rsid w:val="00936673"/>
    <w:rsid w:val="0093678F"/>
    <w:rsid w:val="00936B92"/>
    <w:rsid w:val="00936D06"/>
    <w:rsid w:val="00936D4A"/>
    <w:rsid w:val="0093706E"/>
    <w:rsid w:val="0093707D"/>
    <w:rsid w:val="00937276"/>
    <w:rsid w:val="0093756B"/>
    <w:rsid w:val="00937774"/>
    <w:rsid w:val="009377D9"/>
    <w:rsid w:val="009379A3"/>
    <w:rsid w:val="00937C76"/>
    <w:rsid w:val="00937CDE"/>
    <w:rsid w:val="00937D86"/>
    <w:rsid w:val="00937D88"/>
    <w:rsid w:val="00937D9A"/>
    <w:rsid w:val="00937E2F"/>
    <w:rsid w:val="00937F73"/>
    <w:rsid w:val="0093BE6B"/>
    <w:rsid w:val="00940019"/>
    <w:rsid w:val="009400A0"/>
    <w:rsid w:val="00940113"/>
    <w:rsid w:val="009401B7"/>
    <w:rsid w:val="00940278"/>
    <w:rsid w:val="009403DF"/>
    <w:rsid w:val="009406B0"/>
    <w:rsid w:val="009409D1"/>
    <w:rsid w:val="00940B2C"/>
    <w:rsid w:val="00940B6D"/>
    <w:rsid w:val="00940F89"/>
    <w:rsid w:val="00941187"/>
    <w:rsid w:val="00941298"/>
    <w:rsid w:val="00941337"/>
    <w:rsid w:val="009413BA"/>
    <w:rsid w:val="00941541"/>
    <w:rsid w:val="0094155B"/>
    <w:rsid w:val="009415CB"/>
    <w:rsid w:val="00941846"/>
    <w:rsid w:val="00941A68"/>
    <w:rsid w:val="00941A98"/>
    <w:rsid w:val="00941B25"/>
    <w:rsid w:val="00941C63"/>
    <w:rsid w:val="00941EBE"/>
    <w:rsid w:val="00941F61"/>
    <w:rsid w:val="009421D7"/>
    <w:rsid w:val="009425E7"/>
    <w:rsid w:val="00942713"/>
    <w:rsid w:val="0094296F"/>
    <w:rsid w:val="00942976"/>
    <w:rsid w:val="00942A32"/>
    <w:rsid w:val="00942A8C"/>
    <w:rsid w:val="00942E78"/>
    <w:rsid w:val="00942F45"/>
    <w:rsid w:val="009434F6"/>
    <w:rsid w:val="009436D3"/>
    <w:rsid w:val="00943999"/>
    <w:rsid w:val="00943ABE"/>
    <w:rsid w:val="00943CFD"/>
    <w:rsid w:val="00943E24"/>
    <w:rsid w:val="00943E51"/>
    <w:rsid w:val="00943FBC"/>
    <w:rsid w:val="0094415C"/>
    <w:rsid w:val="009441C0"/>
    <w:rsid w:val="009442CC"/>
    <w:rsid w:val="009443A4"/>
    <w:rsid w:val="00944533"/>
    <w:rsid w:val="009445E8"/>
    <w:rsid w:val="009446E5"/>
    <w:rsid w:val="00944A0B"/>
    <w:rsid w:val="00944A2A"/>
    <w:rsid w:val="00944CBF"/>
    <w:rsid w:val="00944D2A"/>
    <w:rsid w:val="00944EAF"/>
    <w:rsid w:val="00944F09"/>
    <w:rsid w:val="00945406"/>
    <w:rsid w:val="00945477"/>
    <w:rsid w:val="009455C4"/>
    <w:rsid w:val="00945618"/>
    <w:rsid w:val="0094561A"/>
    <w:rsid w:val="00945632"/>
    <w:rsid w:val="00945956"/>
    <w:rsid w:val="00945A0C"/>
    <w:rsid w:val="00945A1D"/>
    <w:rsid w:val="00945B6F"/>
    <w:rsid w:val="00945D78"/>
    <w:rsid w:val="00945DCF"/>
    <w:rsid w:val="00945E65"/>
    <w:rsid w:val="0094602D"/>
    <w:rsid w:val="009460BA"/>
    <w:rsid w:val="0094610C"/>
    <w:rsid w:val="0094611D"/>
    <w:rsid w:val="009462B1"/>
    <w:rsid w:val="00946340"/>
    <w:rsid w:val="00946395"/>
    <w:rsid w:val="009464C2"/>
    <w:rsid w:val="00946736"/>
    <w:rsid w:val="00946814"/>
    <w:rsid w:val="0094681C"/>
    <w:rsid w:val="0094684E"/>
    <w:rsid w:val="009468C2"/>
    <w:rsid w:val="0094699E"/>
    <w:rsid w:val="00946C25"/>
    <w:rsid w:val="00946EC9"/>
    <w:rsid w:val="0094703C"/>
    <w:rsid w:val="009471B2"/>
    <w:rsid w:val="0094732C"/>
    <w:rsid w:val="009474C3"/>
    <w:rsid w:val="009478D7"/>
    <w:rsid w:val="00947A44"/>
    <w:rsid w:val="00947C61"/>
    <w:rsid w:val="00947F16"/>
    <w:rsid w:val="00947F91"/>
    <w:rsid w:val="00950112"/>
    <w:rsid w:val="00950130"/>
    <w:rsid w:val="00950277"/>
    <w:rsid w:val="00950346"/>
    <w:rsid w:val="009503B5"/>
    <w:rsid w:val="0095052E"/>
    <w:rsid w:val="0095090D"/>
    <w:rsid w:val="009509CC"/>
    <w:rsid w:val="00950A10"/>
    <w:rsid w:val="00950ACD"/>
    <w:rsid w:val="00950C88"/>
    <w:rsid w:val="00950D86"/>
    <w:rsid w:val="00950EEE"/>
    <w:rsid w:val="0095128D"/>
    <w:rsid w:val="00951920"/>
    <w:rsid w:val="00951A19"/>
    <w:rsid w:val="00951AA8"/>
    <w:rsid w:val="00951BF3"/>
    <w:rsid w:val="00951C19"/>
    <w:rsid w:val="00951DD4"/>
    <w:rsid w:val="00951EAF"/>
    <w:rsid w:val="0095203F"/>
    <w:rsid w:val="00952048"/>
    <w:rsid w:val="009523ED"/>
    <w:rsid w:val="0095253C"/>
    <w:rsid w:val="00952554"/>
    <w:rsid w:val="00952905"/>
    <w:rsid w:val="00952A83"/>
    <w:rsid w:val="00953203"/>
    <w:rsid w:val="009532B8"/>
    <w:rsid w:val="0095367C"/>
    <w:rsid w:val="00953826"/>
    <w:rsid w:val="009538F8"/>
    <w:rsid w:val="00953A9E"/>
    <w:rsid w:val="00953AE9"/>
    <w:rsid w:val="00953CC1"/>
    <w:rsid w:val="00953CC5"/>
    <w:rsid w:val="00953DDE"/>
    <w:rsid w:val="00953F83"/>
    <w:rsid w:val="0095409E"/>
    <w:rsid w:val="009540A7"/>
    <w:rsid w:val="00954238"/>
    <w:rsid w:val="00954250"/>
    <w:rsid w:val="00954321"/>
    <w:rsid w:val="00954518"/>
    <w:rsid w:val="009549DF"/>
    <w:rsid w:val="00954B1C"/>
    <w:rsid w:val="00954C38"/>
    <w:rsid w:val="00954F20"/>
    <w:rsid w:val="00954F70"/>
    <w:rsid w:val="009550E8"/>
    <w:rsid w:val="009553C8"/>
    <w:rsid w:val="00955462"/>
    <w:rsid w:val="0095556E"/>
    <w:rsid w:val="00955876"/>
    <w:rsid w:val="0095593A"/>
    <w:rsid w:val="00955AD4"/>
    <w:rsid w:val="00955C32"/>
    <w:rsid w:val="009561C8"/>
    <w:rsid w:val="00956390"/>
    <w:rsid w:val="00956402"/>
    <w:rsid w:val="00956446"/>
    <w:rsid w:val="00956875"/>
    <w:rsid w:val="00956979"/>
    <w:rsid w:val="00956A3B"/>
    <w:rsid w:val="00956A9F"/>
    <w:rsid w:val="00956C3E"/>
    <w:rsid w:val="00956D6F"/>
    <w:rsid w:val="00956E10"/>
    <w:rsid w:val="00957053"/>
    <w:rsid w:val="009572EA"/>
    <w:rsid w:val="00957332"/>
    <w:rsid w:val="0095737C"/>
    <w:rsid w:val="009575CA"/>
    <w:rsid w:val="009576E8"/>
    <w:rsid w:val="0095772E"/>
    <w:rsid w:val="00957754"/>
    <w:rsid w:val="00957818"/>
    <w:rsid w:val="0095790C"/>
    <w:rsid w:val="00957922"/>
    <w:rsid w:val="009579B9"/>
    <w:rsid w:val="00957AD1"/>
    <w:rsid w:val="00957B20"/>
    <w:rsid w:val="00957F99"/>
    <w:rsid w:val="00957FE3"/>
    <w:rsid w:val="009600AB"/>
    <w:rsid w:val="009602C7"/>
    <w:rsid w:val="009602DF"/>
    <w:rsid w:val="00960659"/>
    <w:rsid w:val="009606F1"/>
    <w:rsid w:val="0096072C"/>
    <w:rsid w:val="00960833"/>
    <w:rsid w:val="00960994"/>
    <w:rsid w:val="00960B3B"/>
    <w:rsid w:val="00960B7E"/>
    <w:rsid w:val="00960E40"/>
    <w:rsid w:val="00960F12"/>
    <w:rsid w:val="00960FC9"/>
    <w:rsid w:val="009614DD"/>
    <w:rsid w:val="009614E5"/>
    <w:rsid w:val="009616F7"/>
    <w:rsid w:val="009617CE"/>
    <w:rsid w:val="00961880"/>
    <w:rsid w:val="009618BC"/>
    <w:rsid w:val="00961A4B"/>
    <w:rsid w:val="00961AB3"/>
    <w:rsid w:val="00961B53"/>
    <w:rsid w:val="00961B7E"/>
    <w:rsid w:val="00961BAB"/>
    <w:rsid w:val="00961C70"/>
    <w:rsid w:val="00961C9A"/>
    <w:rsid w:val="00961D96"/>
    <w:rsid w:val="00961F00"/>
    <w:rsid w:val="00961FC5"/>
    <w:rsid w:val="0096203C"/>
    <w:rsid w:val="00962253"/>
    <w:rsid w:val="00962291"/>
    <w:rsid w:val="009624C4"/>
    <w:rsid w:val="009625D7"/>
    <w:rsid w:val="00962672"/>
    <w:rsid w:val="00962717"/>
    <w:rsid w:val="0096276B"/>
    <w:rsid w:val="0096277A"/>
    <w:rsid w:val="0096282A"/>
    <w:rsid w:val="009628E4"/>
    <w:rsid w:val="0096292D"/>
    <w:rsid w:val="00962A66"/>
    <w:rsid w:val="00962BEB"/>
    <w:rsid w:val="00962D15"/>
    <w:rsid w:val="00962E0D"/>
    <w:rsid w:val="00962E4F"/>
    <w:rsid w:val="009631DD"/>
    <w:rsid w:val="00963705"/>
    <w:rsid w:val="009637DE"/>
    <w:rsid w:val="00963889"/>
    <w:rsid w:val="00963B72"/>
    <w:rsid w:val="00963CD7"/>
    <w:rsid w:val="00963E89"/>
    <w:rsid w:val="00963EB9"/>
    <w:rsid w:val="00963F19"/>
    <w:rsid w:val="00963F47"/>
    <w:rsid w:val="00964097"/>
    <w:rsid w:val="009640EA"/>
    <w:rsid w:val="00964155"/>
    <w:rsid w:val="009641E7"/>
    <w:rsid w:val="009644D9"/>
    <w:rsid w:val="00964620"/>
    <w:rsid w:val="0096491A"/>
    <w:rsid w:val="009649FF"/>
    <w:rsid w:val="00964A9F"/>
    <w:rsid w:val="00964F53"/>
    <w:rsid w:val="00965403"/>
    <w:rsid w:val="0096548C"/>
    <w:rsid w:val="009655A7"/>
    <w:rsid w:val="009655B0"/>
    <w:rsid w:val="00965635"/>
    <w:rsid w:val="00965779"/>
    <w:rsid w:val="00965A1C"/>
    <w:rsid w:val="00965AA2"/>
    <w:rsid w:val="00965BD9"/>
    <w:rsid w:val="00965D4F"/>
    <w:rsid w:val="00965E25"/>
    <w:rsid w:val="009661CB"/>
    <w:rsid w:val="009662BC"/>
    <w:rsid w:val="00966368"/>
    <w:rsid w:val="009665AB"/>
    <w:rsid w:val="00966809"/>
    <w:rsid w:val="0096686D"/>
    <w:rsid w:val="009668FF"/>
    <w:rsid w:val="00966900"/>
    <w:rsid w:val="00966BB6"/>
    <w:rsid w:val="00966E69"/>
    <w:rsid w:val="0096713B"/>
    <w:rsid w:val="009672D9"/>
    <w:rsid w:val="00967486"/>
    <w:rsid w:val="00967520"/>
    <w:rsid w:val="0096787B"/>
    <w:rsid w:val="009678A6"/>
    <w:rsid w:val="00967A72"/>
    <w:rsid w:val="00967C3C"/>
    <w:rsid w:val="00967D42"/>
    <w:rsid w:val="00967FC0"/>
    <w:rsid w:val="009701B9"/>
    <w:rsid w:val="009703B9"/>
    <w:rsid w:val="0097068E"/>
    <w:rsid w:val="00970694"/>
    <w:rsid w:val="009707E5"/>
    <w:rsid w:val="00970889"/>
    <w:rsid w:val="00970C32"/>
    <w:rsid w:val="00970DA2"/>
    <w:rsid w:val="00970E91"/>
    <w:rsid w:val="00970F76"/>
    <w:rsid w:val="00970FA5"/>
    <w:rsid w:val="009714D3"/>
    <w:rsid w:val="0097169E"/>
    <w:rsid w:val="00971939"/>
    <w:rsid w:val="009719EA"/>
    <w:rsid w:val="00971BF5"/>
    <w:rsid w:val="00971D1E"/>
    <w:rsid w:val="00972061"/>
    <w:rsid w:val="00972094"/>
    <w:rsid w:val="009723A5"/>
    <w:rsid w:val="009723BA"/>
    <w:rsid w:val="00972440"/>
    <w:rsid w:val="00972543"/>
    <w:rsid w:val="0097279E"/>
    <w:rsid w:val="009727EE"/>
    <w:rsid w:val="0097298F"/>
    <w:rsid w:val="00972A3E"/>
    <w:rsid w:val="00972D62"/>
    <w:rsid w:val="00972DCC"/>
    <w:rsid w:val="00972ED8"/>
    <w:rsid w:val="00973000"/>
    <w:rsid w:val="009730F9"/>
    <w:rsid w:val="009731C5"/>
    <w:rsid w:val="009732A4"/>
    <w:rsid w:val="00973537"/>
    <w:rsid w:val="0097359D"/>
    <w:rsid w:val="00973679"/>
    <w:rsid w:val="009736E1"/>
    <w:rsid w:val="009738D8"/>
    <w:rsid w:val="00973C1C"/>
    <w:rsid w:val="00973E1F"/>
    <w:rsid w:val="00973F96"/>
    <w:rsid w:val="00974024"/>
    <w:rsid w:val="0097459F"/>
    <w:rsid w:val="009745BA"/>
    <w:rsid w:val="009747F4"/>
    <w:rsid w:val="00974883"/>
    <w:rsid w:val="00974B77"/>
    <w:rsid w:val="00974E54"/>
    <w:rsid w:val="00974FEB"/>
    <w:rsid w:val="00975356"/>
    <w:rsid w:val="0097543E"/>
    <w:rsid w:val="0097550A"/>
    <w:rsid w:val="00975605"/>
    <w:rsid w:val="009756E1"/>
    <w:rsid w:val="00975C43"/>
    <w:rsid w:val="00975D7E"/>
    <w:rsid w:val="00975D9A"/>
    <w:rsid w:val="00976129"/>
    <w:rsid w:val="0097617B"/>
    <w:rsid w:val="0097625B"/>
    <w:rsid w:val="0097628B"/>
    <w:rsid w:val="009762E2"/>
    <w:rsid w:val="00976385"/>
    <w:rsid w:val="00976A1B"/>
    <w:rsid w:val="00976D3F"/>
    <w:rsid w:val="00976E1D"/>
    <w:rsid w:val="00976E7C"/>
    <w:rsid w:val="00976EE7"/>
    <w:rsid w:val="00976F9C"/>
    <w:rsid w:val="00976FB4"/>
    <w:rsid w:val="009770E5"/>
    <w:rsid w:val="009772A4"/>
    <w:rsid w:val="00977527"/>
    <w:rsid w:val="00977620"/>
    <w:rsid w:val="009779C1"/>
    <w:rsid w:val="00977B03"/>
    <w:rsid w:val="00977B76"/>
    <w:rsid w:val="0098013E"/>
    <w:rsid w:val="00980258"/>
    <w:rsid w:val="00980735"/>
    <w:rsid w:val="009809FB"/>
    <w:rsid w:val="00980B36"/>
    <w:rsid w:val="00980CED"/>
    <w:rsid w:val="0098100B"/>
    <w:rsid w:val="00981026"/>
    <w:rsid w:val="009810BE"/>
    <w:rsid w:val="00981357"/>
    <w:rsid w:val="009813BC"/>
    <w:rsid w:val="0098140C"/>
    <w:rsid w:val="00981629"/>
    <w:rsid w:val="00981721"/>
    <w:rsid w:val="00981826"/>
    <w:rsid w:val="00981B59"/>
    <w:rsid w:val="00981E8A"/>
    <w:rsid w:val="0098207C"/>
    <w:rsid w:val="00982233"/>
    <w:rsid w:val="009822EA"/>
    <w:rsid w:val="00982470"/>
    <w:rsid w:val="009825AB"/>
    <w:rsid w:val="009825E8"/>
    <w:rsid w:val="0098262C"/>
    <w:rsid w:val="009826EF"/>
    <w:rsid w:val="00982831"/>
    <w:rsid w:val="00982D34"/>
    <w:rsid w:val="00983078"/>
    <w:rsid w:val="00983121"/>
    <w:rsid w:val="0098312B"/>
    <w:rsid w:val="00983279"/>
    <w:rsid w:val="00983306"/>
    <w:rsid w:val="00983427"/>
    <w:rsid w:val="009834EE"/>
    <w:rsid w:val="00983599"/>
    <w:rsid w:val="009836BB"/>
    <w:rsid w:val="009838AE"/>
    <w:rsid w:val="00983A49"/>
    <w:rsid w:val="00983AFE"/>
    <w:rsid w:val="00983C03"/>
    <w:rsid w:val="00984137"/>
    <w:rsid w:val="009841CA"/>
    <w:rsid w:val="009842AF"/>
    <w:rsid w:val="009845D6"/>
    <w:rsid w:val="00984667"/>
    <w:rsid w:val="009846FE"/>
    <w:rsid w:val="00984EDB"/>
    <w:rsid w:val="00985159"/>
    <w:rsid w:val="009852F2"/>
    <w:rsid w:val="00985304"/>
    <w:rsid w:val="00985305"/>
    <w:rsid w:val="009853D2"/>
    <w:rsid w:val="0098550C"/>
    <w:rsid w:val="00985754"/>
    <w:rsid w:val="0098576D"/>
    <w:rsid w:val="0098579D"/>
    <w:rsid w:val="009858AD"/>
    <w:rsid w:val="00985A5E"/>
    <w:rsid w:val="00985C63"/>
    <w:rsid w:val="00985CFA"/>
    <w:rsid w:val="00985E08"/>
    <w:rsid w:val="00985EB2"/>
    <w:rsid w:val="00985F0C"/>
    <w:rsid w:val="00985FCA"/>
    <w:rsid w:val="0098611A"/>
    <w:rsid w:val="0098636B"/>
    <w:rsid w:val="009864BC"/>
    <w:rsid w:val="009864DA"/>
    <w:rsid w:val="009866EC"/>
    <w:rsid w:val="00986935"/>
    <w:rsid w:val="00986B2C"/>
    <w:rsid w:val="00986B3A"/>
    <w:rsid w:val="00986FDA"/>
    <w:rsid w:val="00987067"/>
    <w:rsid w:val="009870C0"/>
    <w:rsid w:val="0098732E"/>
    <w:rsid w:val="009874A2"/>
    <w:rsid w:val="0098779F"/>
    <w:rsid w:val="00987ADE"/>
    <w:rsid w:val="00987BE4"/>
    <w:rsid w:val="00987D41"/>
    <w:rsid w:val="00987DD1"/>
    <w:rsid w:val="00987E0C"/>
    <w:rsid w:val="0099010A"/>
    <w:rsid w:val="009901EC"/>
    <w:rsid w:val="00990398"/>
    <w:rsid w:val="009903F3"/>
    <w:rsid w:val="009911C4"/>
    <w:rsid w:val="009913D8"/>
    <w:rsid w:val="0099147C"/>
    <w:rsid w:val="00991632"/>
    <w:rsid w:val="00991767"/>
    <w:rsid w:val="009917D5"/>
    <w:rsid w:val="0099191B"/>
    <w:rsid w:val="009919CE"/>
    <w:rsid w:val="00991ABA"/>
    <w:rsid w:val="00991ADB"/>
    <w:rsid w:val="00991DE5"/>
    <w:rsid w:val="00992055"/>
    <w:rsid w:val="00992142"/>
    <w:rsid w:val="0099218C"/>
    <w:rsid w:val="009923C9"/>
    <w:rsid w:val="009923FF"/>
    <w:rsid w:val="0099268A"/>
    <w:rsid w:val="00992C20"/>
    <w:rsid w:val="00992D36"/>
    <w:rsid w:val="00992D5F"/>
    <w:rsid w:val="00992D7E"/>
    <w:rsid w:val="00992DDA"/>
    <w:rsid w:val="00992F6B"/>
    <w:rsid w:val="00993071"/>
    <w:rsid w:val="00993748"/>
    <w:rsid w:val="009937E8"/>
    <w:rsid w:val="00993FC2"/>
    <w:rsid w:val="00993FD1"/>
    <w:rsid w:val="00993FDF"/>
    <w:rsid w:val="00993FF6"/>
    <w:rsid w:val="009940B5"/>
    <w:rsid w:val="00994215"/>
    <w:rsid w:val="00994436"/>
    <w:rsid w:val="00994881"/>
    <w:rsid w:val="00994C60"/>
    <w:rsid w:val="0099500B"/>
    <w:rsid w:val="00995276"/>
    <w:rsid w:val="00995325"/>
    <w:rsid w:val="00995332"/>
    <w:rsid w:val="009954A8"/>
    <w:rsid w:val="0099572C"/>
    <w:rsid w:val="00995910"/>
    <w:rsid w:val="00995B4D"/>
    <w:rsid w:val="00995BDB"/>
    <w:rsid w:val="00995C75"/>
    <w:rsid w:val="00995D0D"/>
    <w:rsid w:val="00995D21"/>
    <w:rsid w:val="00995D70"/>
    <w:rsid w:val="00995F6A"/>
    <w:rsid w:val="00996514"/>
    <w:rsid w:val="0099676F"/>
    <w:rsid w:val="00996822"/>
    <w:rsid w:val="00996951"/>
    <w:rsid w:val="00996BCD"/>
    <w:rsid w:val="00996C30"/>
    <w:rsid w:val="00996E67"/>
    <w:rsid w:val="009972CC"/>
    <w:rsid w:val="0099744B"/>
    <w:rsid w:val="0099755C"/>
    <w:rsid w:val="009976E0"/>
    <w:rsid w:val="00997711"/>
    <w:rsid w:val="00997724"/>
    <w:rsid w:val="009978D3"/>
    <w:rsid w:val="00997969"/>
    <w:rsid w:val="00997B5B"/>
    <w:rsid w:val="00997BB9"/>
    <w:rsid w:val="00997DB8"/>
    <w:rsid w:val="00997FA1"/>
    <w:rsid w:val="009A0033"/>
    <w:rsid w:val="009A01F6"/>
    <w:rsid w:val="009A0465"/>
    <w:rsid w:val="009A0649"/>
    <w:rsid w:val="009A064B"/>
    <w:rsid w:val="009A0694"/>
    <w:rsid w:val="009A0863"/>
    <w:rsid w:val="009A08A5"/>
    <w:rsid w:val="009A0AD3"/>
    <w:rsid w:val="009A0AF8"/>
    <w:rsid w:val="009A0AFB"/>
    <w:rsid w:val="009A0C67"/>
    <w:rsid w:val="009A100A"/>
    <w:rsid w:val="009A100F"/>
    <w:rsid w:val="009A1260"/>
    <w:rsid w:val="009A12F7"/>
    <w:rsid w:val="009A1382"/>
    <w:rsid w:val="009A1541"/>
    <w:rsid w:val="009A17A5"/>
    <w:rsid w:val="009A1B0E"/>
    <w:rsid w:val="009A1EED"/>
    <w:rsid w:val="009A1F66"/>
    <w:rsid w:val="009A1FC2"/>
    <w:rsid w:val="009A20FF"/>
    <w:rsid w:val="009A226F"/>
    <w:rsid w:val="009A230D"/>
    <w:rsid w:val="009A233F"/>
    <w:rsid w:val="009A2465"/>
    <w:rsid w:val="009A286E"/>
    <w:rsid w:val="009A28B9"/>
    <w:rsid w:val="009A2A03"/>
    <w:rsid w:val="009A2A07"/>
    <w:rsid w:val="009A2C80"/>
    <w:rsid w:val="009A2CA1"/>
    <w:rsid w:val="009A2EF4"/>
    <w:rsid w:val="009A3068"/>
    <w:rsid w:val="009A3109"/>
    <w:rsid w:val="009A3197"/>
    <w:rsid w:val="009A3622"/>
    <w:rsid w:val="009A38AB"/>
    <w:rsid w:val="009A39B0"/>
    <w:rsid w:val="009A3B6E"/>
    <w:rsid w:val="009A3CCE"/>
    <w:rsid w:val="009A3DBA"/>
    <w:rsid w:val="009A3E93"/>
    <w:rsid w:val="009A410C"/>
    <w:rsid w:val="009A4136"/>
    <w:rsid w:val="009A4270"/>
    <w:rsid w:val="009A4320"/>
    <w:rsid w:val="009A45E7"/>
    <w:rsid w:val="009A4696"/>
    <w:rsid w:val="009A478C"/>
    <w:rsid w:val="009A4962"/>
    <w:rsid w:val="009A49C6"/>
    <w:rsid w:val="009A49E5"/>
    <w:rsid w:val="009A4A99"/>
    <w:rsid w:val="009A4B07"/>
    <w:rsid w:val="009A4BE9"/>
    <w:rsid w:val="009A4D8E"/>
    <w:rsid w:val="009A4DBE"/>
    <w:rsid w:val="009A51AC"/>
    <w:rsid w:val="009A578B"/>
    <w:rsid w:val="009A57C9"/>
    <w:rsid w:val="009A57E0"/>
    <w:rsid w:val="009A597B"/>
    <w:rsid w:val="009A5D8A"/>
    <w:rsid w:val="009A6100"/>
    <w:rsid w:val="009A613C"/>
    <w:rsid w:val="009A62D4"/>
    <w:rsid w:val="009A63A7"/>
    <w:rsid w:val="009A6646"/>
    <w:rsid w:val="009A66D8"/>
    <w:rsid w:val="009A67A6"/>
    <w:rsid w:val="009A6A58"/>
    <w:rsid w:val="009A6CBF"/>
    <w:rsid w:val="009A6F7F"/>
    <w:rsid w:val="009A6F8F"/>
    <w:rsid w:val="009A6FEA"/>
    <w:rsid w:val="009A7079"/>
    <w:rsid w:val="009A7608"/>
    <w:rsid w:val="009A764A"/>
    <w:rsid w:val="009A7B98"/>
    <w:rsid w:val="009A7CBE"/>
    <w:rsid w:val="009A7E01"/>
    <w:rsid w:val="009B0027"/>
    <w:rsid w:val="009B00AB"/>
    <w:rsid w:val="009B00DC"/>
    <w:rsid w:val="009B0290"/>
    <w:rsid w:val="009B08A9"/>
    <w:rsid w:val="009B0B7E"/>
    <w:rsid w:val="009B0BA1"/>
    <w:rsid w:val="009B0DAF"/>
    <w:rsid w:val="009B0E6E"/>
    <w:rsid w:val="009B11D5"/>
    <w:rsid w:val="009B1407"/>
    <w:rsid w:val="009B1440"/>
    <w:rsid w:val="009B1449"/>
    <w:rsid w:val="009B168B"/>
    <w:rsid w:val="009B17B2"/>
    <w:rsid w:val="009B1818"/>
    <w:rsid w:val="009B185B"/>
    <w:rsid w:val="009B1B2F"/>
    <w:rsid w:val="009B1B35"/>
    <w:rsid w:val="009B1B64"/>
    <w:rsid w:val="009B1C1D"/>
    <w:rsid w:val="009B1F31"/>
    <w:rsid w:val="009B2376"/>
    <w:rsid w:val="009B23BD"/>
    <w:rsid w:val="009B24A3"/>
    <w:rsid w:val="009B2879"/>
    <w:rsid w:val="009B2918"/>
    <w:rsid w:val="009B296A"/>
    <w:rsid w:val="009B2C03"/>
    <w:rsid w:val="009B2CE1"/>
    <w:rsid w:val="009B2CEE"/>
    <w:rsid w:val="009B2F70"/>
    <w:rsid w:val="009B3048"/>
    <w:rsid w:val="009B30A7"/>
    <w:rsid w:val="009B32EE"/>
    <w:rsid w:val="009B32F5"/>
    <w:rsid w:val="009B3348"/>
    <w:rsid w:val="009B367A"/>
    <w:rsid w:val="009B3741"/>
    <w:rsid w:val="009B37A1"/>
    <w:rsid w:val="009B3869"/>
    <w:rsid w:val="009B3A7B"/>
    <w:rsid w:val="009B3C01"/>
    <w:rsid w:val="009B3EFF"/>
    <w:rsid w:val="009B3F9C"/>
    <w:rsid w:val="009B40AF"/>
    <w:rsid w:val="009B40B5"/>
    <w:rsid w:val="009B41B5"/>
    <w:rsid w:val="009B42A0"/>
    <w:rsid w:val="009B45F9"/>
    <w:rsid w:val="009B491A"/>
    <w:rsid w:val="009B4E0E"/>
    <w:rsid w:val="009B53BE"/>
    <w:rsid w:val="009B53F5"/>
    <w:rsid w:val="009B5491"/>
    <w:rsid w:val="009B593F"/>
    <w:rsid w:val="009B5B12"/>
    <w:rsid w:val="009B5B79"/>
    <w:rsid w:val="009B5E33"/>
    <w:rsid w:val="009B5F64"/>
    <w:rsid w:val="009B6151"/>
    <w:rsid w:val="009B6169"/>
    <w:rsid w:val="009B61E9"/>
    <w:rsid w:val="009B620C"/>
    <w:rsid w:val="009B62EA"/>
    <w:rsid w:val="009B6318"/>
    <w:rsid w:val="009B64B8"/>
    <w:rsid w:val="009B656A"/>
    <w:rsid w:val="009B6753"/>
    <w:rsid w:val="009B6772"/>
    <w:rsid w:val="009B6931"/>
    <w:rsid w:val="009B6B29"/>
    <w:rsid w:val="009B6B9B"/>
    <w:rsid w:val="009B6BE5"/>
    <w:rsid w:val="009B6ECF"/>
    <w:rsid w:val="009B70FF"/>
    <w:rsid w:val="009B711F"/>
    <w:rsid w:val="009B723F"/>
    <w:rsid w:val="009B72E7"/>
    <w:rsid w:val="009B731B"/>
    <w:rsid w:val="009B76BB"/>
    <w:rsid w:val="009B77D2"/>
    <w:rsid w:val="009B77F2"/>
    <w:rsid w:val="009B7945"/>
    <w:rsid w:val="009B7AC0"/>
    <w:rsid w:val="009B7BC8"/>
    <w:rsid w:val="009B7D87"/>
    <w:rsid w:val="009B7E5A"/>
    <w:rsid w:val="009C00D5"/>
    <w:rsid w:val="009C012E"/>
    <w:rsid w:val="009C01ED"/>
    <w:rsid w:val="009C0229"/>
    <w:rsid w:val="009C042B"/>
    <w:rsid w:val="009C0673"/>
    <w:rsid w:val="009C068B"/>
    <w:rsid w:val="009C0B39"/>
    <w:rsid w:val="009C0B4A"/>
    <w:rsid w:val="009C0C1F"/>
    <w:rsid w:val="009C0C92"/>
    <w:rsid w:val="009C0CEF"/>
    <w:rsid w:val="009C0D4D"/>
    <w:rsid w:val="009C0E39"/>
    <w:rsid w:val="009C0E3D"/>
    <w:rsid w:val="009C1125"/>
    <w:rsid w:val="009C12E7"/>
    <w:rsid w:val="009C1393"/>
    <w:rsid w:val="009C1402"/>
    <w:rsid w:val="009C1406"/>
    <w:rsid w:val="009C157B"/>
    <w:rsid w:val="009C1705"/>
    <w:rsid w:val="009C1832"/>
    <w:rsid w:val="009C1BCF"/>
    <w:rsid w:val="009C2072"/>
    <w:rsid w:val="009C21FD"/>
    <w:rsid w:val="009C22AB"/>
    <w:rsid w:val="009C2345"/>
    <w:rsid w:val="009C2576"/>
    <w:rsid w:val="009C265E"/>
    <w:rsid w:val="009C2B72"/>
    <w:rsid w:val="009C2CDF"/>
    <w:rsid w:val="009C2E84"/>
    <w:rsid w:val="009C2E98"/>
    <w:rsid w:val="009C2EE1"/>
    <w:rsid w:val="009C2F82"/>
    <w:rsid w:val="009C2FCF"/>
    <w:rsid w:val="009C30A8"/>
    <w:rsid w:val="009C31D1"/>
    <w:rsid w:val="009C3726"/>
    <w:rsid w:val="009C384B"/>
    <w:rsid w:val="009C39E6"/>
    <w:rsid w:val="009C3B37"/>
    <w:rsid w:val="009C3E6D"/>
    <w:rsid w:val="009C3F5A"/>
    <w:rsid w:val="009C41CF"/>
    <w:rsid w:val="009C41D1"/>
    <w:rsid w:val="009C425A"/>
    <w:rsid w:val="009C4394"/>
    <w:rsid w:val="009C43B0"/>
    <w:rsid w:val="009C43D1"/>
    <w:rsid w:val="009C43DC"/>
    <w:rsid w:val="009C454A"/>
    <w:rsid w:val="009C462D"/>
    <w:rsid w:val="009C492C"/>
    <w:rsid w:val="009C49D6"/>
    <w:rsid w:val="009C4A0D"/>
    <w:rsid w:val="009C4A4A"/>
    <w:rsid w:val="009C4B7D"/>
    <w:rsid w:val="009C4C32"/>
    <w:rsid w:val="009C4CAD"/>
    <w:rsid w:val="009C4D01"/>
    <w:rsid w:val="009C4D1C"/>
    <w:rsid w:val="009C501A"/>
    <w:rsid w:val="009C505D"/>
    <w:rsid w:val="009C52CC"/>
    <w:rsid w:val="009C57E8"/>
    <w:rsid w:val="009C5A86"/>
    <w:rsid w:val="009C5F33"/>
    <w:rsid w:val="009C5F5B"/>
    <w:rsid w:val="009C61DB"/>
    <w:rsid w:val="009C61E5"/>
    <w:rsid w:val="009C62D1"/>
    <w:rsid w:val="009C6421"/>
    <w:rsid w:val="009C671E"/>
    <w:rsid w:val="009C6728"/>
    <w:rsid w:val="009C6800"/>
    <w:rsid w:val="009C6837"/>
    <w:rsid w:val="009C6DAE"/>
    <w:rsid w:val="009C7025"/>
    <w:rsid w:val="009C7114"/>
    <w:rsid w:val="009C743A"/>
    <w:rsid w:val="009C781A"/>
    <w:rsid w:val="009C7ABF"/>
    <w:rsid w:val="009C7C2E"/>
    <w:rsid w:val="009C7D8E"/>
    <w:rsid w:val="009C7DB7"/>
    <w:rsid w:val="009C7E3A"/>
    <w:rsid w:val="009C7E53"/>
    <w:rsid w:val="009C7FD1"/>
    <w:rsid w:val="009D046F"/>
    <w:rsid w:val="009D068F"/>
    <w:rsid w:val="009D08C7"/>
    <w:rsid w:val="009D08D4"/>
    <w:rsid w:val="009D08F2"/>
    <w:rsid w:val="009D0A14"/>
    <w:rsid w:val="009D0A22"/>
    <w:rsid w:val="009D0EAE"/>
    <w:rsid w:val="009D103A"/>
    <w:rsid w:val="009D10E2"/>
    <w:rsid w:val="009D1206"/>
    <w:rsid w:val="009D148D"/>
    <w:rsid w:val="009D18F4"/>
    <w:rsid w:val="009D1AAF"/>
    <w:rsid w:val="009D1AB3"/>
    <w:rsid w:val="009D1B33"/>
    <w:rsid w:val="009D1B7D"/>
    <w:rsid w:val="009D1FA3"/>
    <w:rsid w:val="009D1FDE"/>
    <w:rsid w:val="009D2010"/>
    <w:rsid w:val="009D23F5"/>
    <w:rsid w:val="009D25A4"/>
    <w:rsid w:val="009D25F4"/>
    <w:rsid w:val="009D2625"/>
    <w:rsid w:val="009D2EE1"/>
    <w:rsid w:val="009D30C2"/>
    <w:rsid w:val="009D3129"/>
    <w:rsid w:val="009D317C"/>
    <w:rsid w:val="009D320D"/>
    <w:rsid w:val="009D32B0"/>
    <w:rsid w:val="009D32BC"/>
    <w:rsid w:val="009D3382"/>
    <w:rsid w:val="009D3391"/>
    <w:rsid w:val="009D352E"/>
    <w:rsid w:val="009D368A"/>
    <w:rsid w:val="009D3A19"/>
    <w:rsid w:val="009D3BA3"/>
    <w:rsid w:val="009D3C49"/>
    <w:rsid w:val="009D3CAC"/>
    <w:rsid w:val="009D3E10"/>
    <w:rsid w:val="009D3F21"/>
    <w:rsid w:val="009D3FC6"/>
    <w:rsid w:val="009D400C"/>
    <w:rsid w:val="009D41A6"/>
    <w:rsid w:val="009D41DD"/>
    <w:rsid w:val="009D4374"/>
    <w:rsid w:val="009D44E4"/>
    <w:rsid w:val="009D459D"/>
    <w:rsid w:val="009D479E"/>
    <w:rsid w:val="009D4843"/>
    <w:rsid w:val="009D490D"/>
    <w:rsid w:val="009D4B6C"/>
    <w:rsid w:val="009D4D27"/>
    <w:rsid w:val="009D5239"/>
    <w:rsid w:val="009D52CC"/>
    <w:rsid w:val="009D53FF"/>
    <w:rsid w:val="009D5440"/>
    <w:rsid w:val="009D5654"/>
    <w:rsid w:val="009D57D1"/>
    <w:rsid w:val="009D5889"/>
    <w:rsid w:val="009D5A60"/>
    <w:rsid w:val="009D5AA9"/>
    <w:rsid w:val="009D5B8F"/>
    <w:rsid w:val="009D5C1C"/>
    <w:rsid w:val="009D5C2E"/>
    <w:rsid w:val="009D5D38"/>
    <w:rsid w:val="009D5E56"/>
    <w:rsid w:val="009D6217"/>
    <w:rsid w:val="009D64AD"/>
    <w:rsid w:val="009D66CA"/>
    <w:rsid w:val="009D6921"/>
    <w:rsid w:val="009D69D4"/>
    <w:rsid w:val="009D6AC2"/>
    <w:rsid w:val="009D6FF4"/>
    <w:rsid w:val="009D700C"/>
    <w:rsid w:val="009D71A8"/>
    <w:rsid w:val="009D72B3"/>
    <w:rsid w:val="009D72DC"/>
    <w:rsid w:val="009D72FB"/>
    <w:rsid w:val="009D7570"/>
    <w:rsid w:val="009D7672"/>
    <w:rsid w:val="009D77BF"/>
    <w:rsid w:val="009D7D3D"/>
    <w:rsid w:val="009D7E10"/>
    <w:rsid w:val="009D7EA6"/>
    <w:rsid w:val="009E0078"/>
    <w:rsid w:val="009E0086"/>
    <w:rsid w:val="009E00EE"/>
    <w:rsid w:val="009E0246"/>
    <w:rsid w:val="009E0311"/>
    <w:rsid w:val="009E03A3"/>
    <w:rsid w:val="009E057D"/>
    <w:rsid w:val="009E05CF"/>
    <w:rsid w:val="009E06B1"/>
    <w:rsid w:val="009E06D0"/>
    <w:rsid w:val="009E0BF3"/>
    <w:rsid w:val="009E0F7C"/>
    <w:rsid w:val="009E1041"/>
    <w:rsid w:val="009E1379"/>
    <w:rsid w:val="009E1488"/>
    <w:rsid w:val="009E15D8"/>
    <w:rsid w:val="009E1974"/>
    <w:rsid w:val="009E1B0A"/>
    <w:rsid w:val="009E1C0E"/>
    <w:rsid w:val="009E1CF3"/>
    <w:rsid w:val="009E1D94"/>
    <w:rsid w:val="009E2173"/>
    <w:rsid w:val="009E2199"/>
    <w:rsid w:val="009E21E7"/>
    <w:rsid w:val="009E2351"/>
    <w:rsid w:val="009E235C"/>
    <w:rsid w:val="009E2444"/>
    <w:rsid w:val="009E2548"/>
    <w:rsid w:val="009E25DF"/>
    <w:rsid w:val="009E27E6"/>
    <w:rsid w:val="009E2B0C"/>
    <w:rsid w:val="009E2BBB"/>
    <w:rsid w:val="009E2D44"/>
    <w:rsid w:val="009E2E49"/>
    <w:rsid w:val="009E2E80"/>
    <w:rsid w:val="009E3083"/>
    <w:rsid w:val="009E3333"/>
    <w:rsid w:val="009E33FB"/>
    <w:rsid w:val="009E368A"/>
    <w:rsid w:val="009E38D6"/>
    <w:rsid w:val="009E3926"/>
    <w:rsid w:val="009E399F"/>
    <w:rsid w:val="009E39B1"/>
    <w:rsid w:val="009E3AEF"/>
    <w:rsid w:val="009E3C1C"/>
    <w:rsid w:val="009E3D04"/>
    <w:rsid w:val="009E3D78"/>
    <w:rsid w:val="009E3DF3"/>
    <w:rsid w:val="009E412C"/>
    <w:rsid w:val="009E4866"/>
    <w:rsid w:val="009E48B9"/>
    <w:rsid w:val="009E4A3C"/>
    <w:rsid w:val="009E4EDD"/>
    <w:rsid w:val="009E51DA"/>
    <w:rsid w:val="009E51F7"/>
    <w:rsid w:val="009E5318"/>
    <w:rsid w:val="009E5634"/>
    <w:rsid w:val="009E56C0"/>
    <w:rsid w:val="009E57BA"/>
    <w:rsid w:val="009E5CC9"/>
    <w:rsid w:val="009E60EB"/>
    <w:rsid w:val="009E615F"/>
    <w:rsid w:val="009E6352"/>
    <w:rsid w:val="009E6449"/>
    <w:rsid w:val="009E68DD"/>
    <w:rsid w:val="009E690B"/>
    <w:rsid w:val="009E6B7A"/>
    <w:rsid w:val="009E6CD8"/>
    <w:rsid w:val="009E7010"/>
    <w:rsid w:val="009E701C"/>
    <w:rsid w:val="009E70D6"/>
    <w:rsid w:val="009E710D"/>
    <w:rsid w:val="009E748C"/>
    <w:rsid w:val="009E75A7"/>
    <w:rsid w:val="009E75BE"/>
    <w:rsid w:val="009E77C2"/>
    <w:rsid w:val="009E7BBF"/>
    <w:rsid w:val="009E7F02"/>
    <w:rsid w:val="009E7FA9"/>
    <w:rsid w:val="009E7FE3"/>
    <w:rsid w:val="009F0183"/>
    <w:rsid w:val="009F01B3"/>
    <w:rsid w:val="009F02D9"/>
    <w:rsid w:val="009F0330"/>
    <w:rsid w:val="009F0468"/>
    <w:rsid w:val="009F0B62"/>
    <w:rsid w:val="009F0C91"/>
    <w:rsid w:val="009F0DF5"/>
    <w:rsid w:val="009F11E8"/>
    <w:rsid w:val="009F12B7"/>
    <w:rsid w:val="009F1367"/>
    <w:rsid w:val="009F1395"/>
    <w:rsid w:val="009F16CB"/>
    <w:rsid w:val="009F175E"/>
    <w:rsid w:val="009F17E0"/>
    <w:rsid w:val="009F1886"/>
    <w:rsid w:val="009F1ECF"/>
    <w:rsid w:val="009F207B"/>
    <w:rsid w:val="009F209B"/>
    <w:rsid w:val="009F234C"/>
    <w:rsid w:val="009F260E"/>
    <w:rsid w:val="009F29B4"/>
    <w:rsid w:val="009F2AC2"/>
    <w:rsid w:val="009F2CC7"/>
    <w:rsid w:val="009F2D56"/>
    <w:rsid w:val="009F2D63"/>
    <w:rsid w:val="009F2E38"/>
    <w:rsid w:val="009F2EB2"/>
    <w:rsid w:val="009F3086"/>
    <w:rsid w:val="009F3408"/>
    <w:rsid w:val="009F3417"/>
    <w:rsid w:val="009F388E"/>
    <w:rsid w:val="009F38D9"/>
    <w:rsid w:val="009F39CD"/>
    <w:rsid w:val="009F3B6F"/>
    <w:rsid w:val="009F3CAB"/>
    <w:rsid w:val="009F3D95"/>
    <w:rsid w:val="009F4189"/>
    <w:rsid w:val="009F434F"/>
    <w:rsid w:val="009F4432"/>
    <w:rsid w:val="009F44B4"/>
    <w:rsid w:val="009F45FF"/>
    <w:rsid w:val="009F46B1"/>
    <w:rsid w:val="009F473B"/>
    <w:rsid w:val="009F47CF"/>
    <w:rsid w:val="009F4979"/>
    <w:rsid w:val="009F4B18"/>
    <w:rsid w:val="009F4B60"/>
    <w:rsid w:val="009F4C14"/>
    <w:rsid w:val="009F4C38"/>
    <w:rsid w:val="009F4C79"/>
    <w:rsid w:val="009F4E17"/>
    <w:rsid w:val="009F4F94"/>
    <w:rsid w:val="009F51AD"/>
    <w:rsid w:val="009F51D8"/>
    <w:rsid w:val="009F5224"/>
    <w:rsid w:val="009F53ED"/>
    <w:rsid w:val="009F544A"/>
    <w:rsid w:val="009F558A"/>
    <w:rsid w:val="009F5601"/>
    <w:rsid w:val="009F5C12"/>
    <w:rsid w:val="009F5CF9"/>
    <w:rsid w:val="009F5F64"/>
    <w:rsid w:val="009F6073"/>
    <w:rsid w:val="009F60CD"/>
    <w:rsid w:val="009F6172"/>
    <w:rsid w:val="009F62A9"/>
    <w:rsid w:val="009F63BA"/>
    <w:rsid w:val="009F663E"/>
    <w:rsid w:val="009F665D"/>
    <w:rsid w:val="009F67CD"/>
    <w:rsid w:val="009F6802"/>
    <w:rsid w:val="009F681A"/>
    <w:rsid w:val="009F6829"/>
    <w:rsid w:val="009F689B"/>
    <w:rsid w:val="009F6D8B"/>
    <w:rsid w:val="009F7134"/>
    <w:rsid w:val="009F729F"/>
    <w:rsid w:val="009F73B8"/>
    <w:rsid w:val="009F741E"/>
    <w:rsid w:val="009F7497"/>
    <w:rsid w:val="009F754F"/>
    <w:rsid w:val="009F75A9"/>
    <w:rsid w:val="009F7774"/>
    <w:rsid w:val="009F7975"/>
    <w:rsid w:val="009F7A6D"/>
    <w:rsid w:val="009F7E71"/>
    <w:rsid w:val="009F7EF3"/>
    <w:rsid w:val="00A000BF"/>
    <w:rsid w:val="00A00372"/>
    <w:rsid w:val="00A00386"/>
    <w:rsid w:val="00A00620"/>
    <w:rsid w:val="00A0075F"/>
    <w:rsid w:val="00A00A22"/>
    <w:rsid w:val="00A00B38"/>
    <w:rsid w:val="00A00C61"/>
    <w:rsid w:val="00A010AB"/>
    <w:rsid w:val="00A01253"/>
    <w:rsid w:val="00A014E5"/>
    <w:rsid w:val="00A0179B"/>
    <w:rsid w:val="00A01976"/>
    <w:rsid w:val="00A01978"/>
    <w:rsid w:val="00A01BC8"/>
    <w:rsid w:val="00A01D1B"/>
    <w:rsid w:val="00A01D44"/>
    <w:rsid w:val="00A02026"/>
    <w:rsid w:val="00A026FF"/>
    <w:rsid w:val="00A027A9"/>
    <w:rsid w:val="00A028E1"/>
    <w:rsid w:val="00A02971"/>
    <w:rsid w:val="00A029BD"/>
    <w:rsid w:val="00A029CE"/>
    <w:rsid w:val="00A03402"/>
    <w:rsid w:val="00A03537"/>
    <w:rsid w:val="00A03CFF"/>
    <w:rsid w:val="00A03FF8"/>
    <w:rsid w:val="00A0414A"/>
    <w:rsid w:val="00A041EF"/>
    <w:rsid w:val="00A0428D"/>
    <w:rsid w:val="00A043E9"/>
    <w:rsid w:val="00A049D9"/>
    <w:rsid w:val="00A04B24"/>
    <w:rsid w:val="00A04C2C"/>
    <w:rsid w:val="00A04F03"/>
    <w:rsid w:val="00A04F81"/>
    <w:rsid w:val="00A04FDF"/>
    <w:rsid w:val="00A05372"/>
    <w:rsid w:val="00A05578"/>
    <w:rsid w:val="00A0564A"/>
    <w:rsid w:val="00A05733"/>
    <w:rsid w:val="00A05BEF"/>
    <w:rsid w:val="00A06103"/>
    <w:rsid w:val="00A06121"/>
    <w:rsid w:val="00A062B2"/>
    <w:rsid w:val="00A063CC"/>
    <w:rsid w:val="00A0662C"/>
    <w:rsid w:val="00A06655"/>
    <w:rsid w:val="00A06690"/>
    <w:rsid w:val="00A06760"/>
    <w:rsid w:val="00A0684C"/>
    <w:rsid w:val="00A06924"/>
    <w:rsid w:val="00A0692F"/>
    <w:rsid w:val="00A06B93"/>
    <w:rsid w:val="00A06BF7"/>
    <w:rsid w:val="00A06D52"/>
    <w:rsid w:val="00A06E05"/>
    <w:rsid w:val="00A06F34"/>
    <w:rsid w:val="00A071D0"/>
    <w:rsid w:val="00A0734E"/>
    <w:rsid w:val="00A07428"/>
    <w:rsid w:val="00A0752A"/>
    <w:rsid w:val="00A07551"/>
    <w:rsid w:val="00A075BB"/>
    <w:rsid w:val="00A07790"/>
    <w:rsid w:val="00A07793"/>
    <w:rsid w:val="00A079E1"/>
    <w:rsid w:val="00A07AE2"/>
    <w:rsid w:val="00A07D92"/>
    <w:rsid w:val="00A1003C"/>
    <w:rsid w:val="00A1030F"/>
    <w:rsid w:val="00A10493"/>
    <w:rsid w:val="00A10808"/>
    <w:rsid w:val="00A10B68"/>
    <w:rsid w:val="00A10C59"/>
    <w:rsid w:val="00A10D4D"/>
    <w:rsid w:val="00A11188"/>
    <w:rsid w:val="00A112F9"/>
    <w:rsid w:val="00A116C1"/>
    <w:rsid w:val="00A11988"/>
    <w:rsid w:val="00A119E4"/>
    <w:rsid w:val="00A11A9F"/>
    <w:rsid w:val="00A11D1D"/>
    <w:rsid w:val="00A11D6E"/>
    <w:rsid w:val="00A120A7"/>
    <w:rsid w:val="00A120CC"/>
    <w:rsid w:val="00A12117"/>
    <w:rsid w:val="00A122FA"/>
    <w:rsid w:val="00A1230B"/>
    <w:rsid w:val="00A1253F"/>
    <w:rsid w:val="00A127DB"/>
    <w:rsid w:val="00A12960"/>
    <w:rsid w:val="00A12A27"/>
    <w:rsid w:val="00A12B21"/>
    <w:rsid w:val="00A12BDA"/>
    <w:rsid w:val="00A12C71"/>
    <w:rsid w:val="00A12C8A"/>
    <w:rsid w:val="00A12D42"/>
    <w:rsid w:val="00A12D8A"/>
    <w:rsid w:val="00A12E3F"/>
    <w:rsid w:val="00A12E46"/>
    <w:rsid w:val="00A131F8"/>
    <w:rsid w:val="00A13491"/>
    <w:rsid w:val="00A1355F"/>
    <w:rsid w:val="00A138E8"/>
    <w:rsid w:val="00A139A9"/>
    <w:rsid w:val="00A13AB8"/>
    <w:rsid w:val="00A13B0D"/>
    <w:rsid w:val="00A13B39"/>
    <w:rsid w:val="00A13BF9"/>
    <w:rsid w:val="00A13CEB"/>
    <w:rsid w:val="00A13D80"/>
    <w:rsid w:val="00A13E96"/>
    <w:rsid w:val="00A14010"/>
    <w:rsid w:val="00A14254"/>
    <w:rsid w:val="00A14404"/>
    <w:rsid w:val="00A14594"/>
    <w:rsid w:val="00A14777"/>
    <w:rsid w:val="00A14C27"/>
    <w:rsid w:val="00A14C71"/>
    <w:rsid w:val="00A14C91"/>
    <w:rsid w:val="00A151DF"/>
    <w:rsid w:val="00A15604"/>
    <w:rsid w:val="00A15619"/>
    <w:rsid w:val="00A15657"/>
    <w:rsid w:val="00A156A4"/>
    <w:rsid w:val="00A15824"/>
    <w:rsid w:val="00A158A1"/>
    <w:rsid w:val="00A159E0"/>
    <w:rsid w:val="00A15AC7"/>
    <w:rsid w:val="00A15B30"/>
    <w:rsid w:val="00A15D38"/>
    <w:rsid w:val="00A15F4A"/>
    <w:rsid w:val="00A16056"/>
    <w:rsid w:val="00A16296"/>
    <w:rsid w:val="00A162C5"/>
    <w:rsid w:val="00A16311"/>
    <w:rsid w:val="00A16327"/>
    <w:rsid w:val="00A163DC"/>
    <w:rsid w:val="00A169B3"/>
    <w:rsid w:val="00A16A14"/>
    <w:rsid w:val="00A16BBE"/>
    <w:rsid w:val="00A16DF4"/>
    <w:rsid w:val="00A16EEC"/>
    <w:rsid w:val="00A17325"/>
    <w:rsid w:val="00A1740D"/>
    <w:rsid w:val="00A1758D"/>
    <w:rsid w:val="00A17615"/>
    <w:rsid w:val="00A176F3"/>
    <w:rsid w:val="00A1770B"/>
    <w:rsid w:val="00A17A47"/>
    <w:rsid w:val="00A17AB5"/>
    <w:rsid w:val="00A17AED"/>
    <w:rsid w:val="00A17B10"/>
    <w:rsid w:val="00A17B34"/>
    <w:rsid w:val="00A17CE2"/>
    <w:rsid w:val="00A17D3D"/>
    <w:rsid w:val="00A17D8E"/>
    <w:rsid w:val="00A17EE5"/>
    <w:rsid w:val="00A2010F"/>
    <w:rsid w:val="00A2022F"/>
    <w:rsid w:val="00A20312"/>
    <w:rsid w:val="00A20816"/>
    <w:rsid w:val="00A20A8A"/>
    <w:rsid w:val="00A20E33"/>
    <w:rsid w:val="00A20FBF"/>
    <w:rsid w:val="00A20FFE"/>
    <w:rsid w:val="00A210A5"/>
    <w:rsid w:val="00A21408"/>
    <w:rsid w:val="00A21569"/>
    <w:rsid w:val="00A215EF"/>
    <w:rsid w:val="00A21622"/>
    <w:rsid w:val="00A2176C"/>
    <w:rsid w:val="00A21A2D"/>
    <w:rsid w:val="00A21AA8"/>
    <w:rsid w:val="00A21D08"/>
    <w:rsid w:val="00A21D6E"/>
    <w:rsid w:val="00A21EFE"/>
    <w:rsid w:val="00A22017"/>
    <w:rsid w:val="00A22070"/>
    <w:rsid w:val="00A22353"/>
    <w:rsid w:val="00A22511"/>
    <w:rsid w:val="00A226EE"/>
    <w:rsid w:val="00A22711"/>
    <w:rsid w:val="00A227AB"/>
    <w:rsid w:val="00A22D9C"/>
    <w:rsid w:val="00A22E7C"/>
    <w:rsid w:val="00A231C9"/>
    <w:rsid w:val="00A23248"/>
    <w:rsid w:val="00A234BA"/>
    <w:rsid w:val="00A235C2"/>
    <w:rsid w:val="00A235C3"/>
    <w:rsid w:val="00A23699"/>
    <w:rsid w:val="00A236A0"/>
    <w:rsid w:val="00A2371E"/>
    <w:rsid w:val="00A238F4"/>
    <w:rsid w:val="00A2391E"/>
    <w:rsid w:val="00A23BA3"/>
    <w:rsid w:val="00A23D48"/>
    <w:rsid w:val="00A23F83"/>
    <w:rsid w:val="00A24106"/>
    <w:rsid w:val="00A24301"/>
    <w:rsid w:val="00A246F5"/>
    <w:rsid w:val="00A24842"/>
    <w:rsid w:val="00A24864"/>
    <w:rsid w:val="00A24867"/>
    <w:rsid w:val="00A24AB8"/>
    <w:rsid w:val="00A24BE9"/>
    <w:rsid w:val="00A24CBA"/>
    <w:rsid w:val="00A24E47"/>
    <w:rsid w:val="00A24E56"/>
    <w:rsid w:val="00A24F14"/>
    <w:rsid w:val="00A25077"/>
    <w:rsid w:val="00A252DE"/>
    <w:rsid w:val="00A25371"/>
    <w:rsid w:val="00A2559F"/>
    <w:rsid w:val="00A259C3"/>
    <w:rsid w:val="00A25D2C"/>
    <w:rsid w:val="00A25E7A"/>
    <w:rsid w:val="00A25F44"/>
    <w:rsid w:val="00A26104"/>
    <w:rsid w:val="00A2621B"/>
    <w:rsid w:val="00A2623E"/>
    <w:rsid w:val="00A263F6"/>
    <w:rsid w:val="00A266CF"/>
    <w:rsid w:val="00A2685F"/>
    <w:rsid w:val="00A268CE"/>
    <w:rsid w:val="00A26CF8"/>
    <w:rsid w:val="00A27334"/>
    <w:rsid w:val="00A27764"/>
    <w:rsid w:val="00A277F2"/>
    <w:rsid w:val="00A278B2"/>
    <w:rsid w:val="00A27905"/>
    <w:rsid w:val="00A27A6F"/>
    <w:rsid w:val="00A27C44"/>
    <w:rsid w:val="00A27E79"/>
    <w:rsid w:val="00A3007F"/>
    <w:rsid w:val="00A3028E"/>
    <w:rsid w:val="00A30406"/>
    <w:rsid w:val="00A305C4"/>
    <w:rsid w:val="00A305DE"/>
    <w:rsid w:val="00A30794"/>
    <w:rsid w:val="00A3091A"/>
    <w:rsid w:val="00A30935"/>
    <w:rsid w:val="00A30CD3"/>
    <w:rsid w:val="00A31079"/>
    <w:rsid w:val="00A311BE"/>
    <w:rsid w:val="00A3152F"/>
    <w:rsid w:val="00A31802"/>
    <w:rsid w:val="00A31833"/>
    <w:rsid w:val="00A318E6"/>
    <w:rsid w:val="00A319FC"/>
    <w:rsid w:val="00A31B3A"/>
    <w:rsid w:val="00A31C13"/>
    <w:rsid w:val="00A31C9C"/>
    <w:rsid w:val="00A31D97"/>
    <w:rsid w:val="00A31DD4"/>
    <w:rsid w:val="00A31EB1"/>
    <w:rsid w:val="00A31F1B"/>
    <w:rsid w:val="00A31FAF"/>
    <w:rsid w:val="00A32068"/>
    <w:rsid w:val="00A3237B"/>
    <w:rsid w:val="00A325E7"/>
    <w:rsid w:val="00A32FC9"/>
    <w:rsid w:val="00A33267"/>
    <w:rsid w:val="00A332AF"/>
    <w:rsid w:val="00A333EB"/>
    <w:rsid w:val="00A33530"/>
    <w:rsid w:val="00A335DA"/>
    <w:rsid w:val="00A337C1"/>
    <w:rsid w:val="00A33923"/>
    <w:rsid w:val="00A339B1"/>
    <w:rsid w:val="00A33A72"/>
    <w:rsid w:val="00A33A9A"/>
    <w:rsid w:val="00A33C3A"/>
    <w:rsid w:val="00A33E8C"/>
    <w:rsid w:val="00A33EFA"/>
    <w:rsid w:val="00A340BF"/>
    <w:rsid w:val="00A34141"/>
    <w:rsid w:val="00A341C5"/>
    <w:rsid w:val="00A3436B"/>
    <w:rsid w:val="00A343AE"/>
    <w:rsid w:val="00A344CE"/>
    <w:rsid w:val="00A344FE"/>
    <w:rsid w:val="00A34508"/>
    <w:rsid w:val="00A34562"/>
    <w:rsid w:val="00A3465D"/>
    <w:rsid w:val="00A34791"/>
    <w:rsid w:val="00A34897"/>
    <w:rsid w:val="00A34B14"/>
    <w:rsid w:val="00A353BC"/>
    <w:rsid w:val="00A35434"/>
    <w:rsid w:val="00A354DB"/>
    <w:rsid w:val="00A35C60"/>
    <w:rsid w:val="00A35D37"/>
    <w:rsid w:val="00A35D6B"/>
    <w:rsid w:val="00A35D7A"/>
    <w:rsid w:val="00A35DF6"/>
    <w:rsid w:val="00A35EA4"/>
    <w:rsid w:val="00A3610D"/>
    <w:rsid w:val="00A36126"/>
    <w:rsid w:val="00A36365"/>
    <w:rsid w:val="00A3663C"/>
    <w:rsid w:val="00A366F4"/>
    <w:rsid w:val="00A3673A"/>
    <w:rsid w:val="00A3680B"/>
    <w:rsid w:val="00A368F2"/>
    <w:rsid w:val="00A36AB6"/>
    <w:rsid w:val="00A36B01"/>
    <w:rsid w:val="00A36B39"/>
    <w:rsid w:val="00A36C7C"/>
    <w:rsid w:val="00A36CCF"/>
    <w:rsid w:val="00A36F2E"/>
    <w:rsid w:val="00A36F6F"/>
    <w:rsid w:val="00A36F74"/>
    <w:rsid w:val="00A3705F"/>
    <w:rsid w:val="00A371A5"/>
    <w:rsid w:val="00A371D9"/>
    <w:rsid w:val="00A3726D"/>
    <w:rsid w:val="00A37348"/>
    <w:rsid w:val="00A374AA"/>
    <w:rsid w:val="00A376CF"/>
    <w:rsid w:val="00A37850"/>
    <w:rsid w:val="00A37856"/>
    <w:rsid w:val="00A378C7"/>
    <w:rsid w:val="00A37982"/>
    <w:rsid w:val="00A37A02"/>
    <w:rsid w:val="00A37AC1"/>
    <w:rsid w:val="00A37B8C"/>
    <w:rsid w:val="00A37CDC"/>
    <w:rsid w:val="00A37CE3"/>
    <w:rsid w:val="00A37FF1"/>
    <w:rsid w:val="00A40329"/>
    <w:rsid w:val="00A403FC"/>
    <w:rsid w:val="00A4092D"/>
    <w:rsid w:val="00A40A8F"/>
    <w:rsid w:val="00A40B33"/>
    <w:rsid w:val="00A40B94"/>
    <w:rsid w:val="00A40BE5"/>
    <w:rsid w:val="00A40D61"/>
    <w:rsid w:val="00A40DB8"/>
    <w:rsid w:val="00A40EC6"/>
    <w:rsid w:val="00A41295"/>
    <w:rsid w:val="00A4162A"/>
    <w:rsid w:val="00A4167A"/>
    <w:rsid w:val="00A4186F"/>
    <w:rsid w:val="00A4194C"/>
    <w:rsid w:val="00A41AC4"/>
    <w:rsid w:val="00A41BF3"/>
    <w:rsid w:val="00A41D7D"/>
    <w:rsid w:val="00A41F0E"/>
    <w:rsid w:val="00A423F7"/>
    <w:rsid w:val="00A424A4"/>
    <w:rsid w:val="00A424C1"/>
    <w:rsid w:val="00A425D6"/>
    <w:rsid w:val="00A426C9"/>
    <w:rsid w:val="00A429AC"/>
    <w:rsid w:val="00A42A83"/>
    <w:rsid w:val="00A42A9E"/>
    <w:rsid w:val="00A42B14"/>
    <w:rsid w:val="00A42F86"/>
    <w:rsid w:val="00A43233"/>
    <w:rsid w:val="00A43675"/>
    <w:rsid w:val="00A43710"/>
    <w:rsid w:val="00A43903"/>
    <w:rsid w:val="00A439D6"/>
    <w:rsid w:val="00A439FE"/>
    <w:rsid w:val="00A43C3A"/>
    <w:rsid w:val="00A43CE7"/>
    <w:rsid w:val="00A43EB7"/>
    <w:rsid w:val="00A43F75"/>
    <w:rsid w:val="00A43FC4"/>
    <w:rsid w:val="00A44268"/>
    <w:rsid w:val="00A445DE"/>
    <w:rsid w:val="00A4460A"/>
    <w:rsid w:val="00A4498F"/>
    <w:rsid w:val="00A449B9"/>
    <w:rsid w:val="00A449E2"/>
    <w:rsid w:val="00A44DAD"/>
    <w:rsid w:val="00A44DAF"/>
    <w:rsid w:val="00A45028"/>
    <w:rsid w:val="00A4519F"/>
    <w:rsid w:val="00A45593"/>
    <w:rsid w:val="00A45887"/>
    <w:rsid w:val="00A45930"/>
    <w:rsid w:val="00A459CF"/>
    <w:rsid w:val="00A45C15"/>
    <w:rsid w:val="00A45C75"/>
    <w:rsid w:val="00A45CB3"/>
    <w:rsid w:val="00A45D6A"/>
    <w:rsid w:val="00A45EFA"/>
    <w:rsid w:val="00A46007"/>
    <w:rsid w:val="00A46752"/>
    <w:rsid w:val="00A4687D"/>
    <w:rsid w:val="00A46A49"/>
    <w:rsid w:val="00A46AED"/>
    <w:rsid w:val="00A46C06"/>
    <w:rsid w:val="00A46E0E"/>
    <w:rsid w:val="00A46E39"/>
    <w:rsid w:val="00A47270"/>
    <w:rsid w:val="00A475D8"/>
    <w:rsid w:val="00A47709"/>
    <w:rsid w:val="00A47751"/>
    <w:rsid w:val="00A47853"/>
    <w:rsid w:val="00A4794C"/>
    <w:rsid w:val="00A479D9"/>
    <w:rsid w:val="00A47BF3"/>
    <w:rsid w:val="00A47E91"/>
    <w:rsid w:val="00A47F55"/>
    <w:rsid w:val="00A47FED"/>
    <w:rsid w:val="00A50101"/>
    <w:rsid w:val="00A5025A"/>
    <w:rsid w:val="00A50348"/>
    <w:rsid w:val="00A50655"/>
    <w:rsid w:val="00A50772"/>
    <w:rsid w:val="00A50838"/>
    <w:rsid w:val="00A50906"/>
    <w:rsid w:val="00A50995"/>
    <w:rsid w:val="00A50A7C"/>
    <w:rsid w:val="00A50BB7"/>
    <w:rsid w:val="00A50D44"/>
    <w:rsid w:val="00A510BA"/>
    <w:rsid w:val="00A5119E"/>
    <w:rsid w:val="00A512FE"/>
    <w:rsid w:val="00A5154B"/>
    <w:rsid w:val="00A51A28"/>
    <w:rsid w:val="00A51A58"/>
    <w:rsid w:val="00A51E64"/>
    <w:rsid w:val="00A521F2"/>
    <w:rsid w:val="00A52798"/>
    <w:rsid w:val="00A52806"/>
    <w:rsid w:val="00A5296D"/>
    <w:rsid w:val="00A52F23"/>
    <w:rsid w:val="00A52F4C"/>
    <w:rsid w:val="00A530AB"/>
    <w:rsid w:val="00A53333"/>
    <w:rsid w:val="00A535CD"/>
    <w:rsid w:val="00A535FF"/>
    <w:rsid w:val="00A5361C"/>
    <w:rsid w:val="00A53679"/>
    <w:rsid w:val="00A536F2"/>
    <w:rsid w:val="00A53922"/>
    <w:rsid w:val="00A539B0"/>
    <w:rsid w:val="00A53C22"/>
    <w:rsid w:val="00A53C24"/>
    <w:rsid w:val="00A53C44"/>
    <w:rsid w:val="00A53C6F"/>
    <w:rsid w:val="00A53CAE"/>
    <w:rsid w:val="00A542D2"/>
    <w:rsid w:val="00A542FC"/>
    <w:rsid w:val="00A544C6"/>
    <w:rsid w:val="00A5463D"/>
    <w:rsid w:val="00A54A1F"/>
    <w:rsid w:val="00A54B79"/>
    <w:rsid w:val="00A54D29"/>
    <w:rsid w:val="00A54D53"/>
    <w:rsid w:val="00A54D75"/>
    <w:rsid w:val="00A54F4F"/>
    <w:rsid w:val="00A54F5A"/>
    <w:rsid w:val="00A55185"/>
    <w:rsid w:val="00A5521D"/>
    <w:rsid w:val="00A552C3"/>
    <w:rsid w:val="00A5541F"/>
    <w:rsid w:val="00A5548C"/>
    <w:rsid w:val="00A557D1"/>
    <w:rsid w:val="00A5598F"/>
    <w:rsid w:val="00A55A2C"/>
    <w:rsid w:val="00A55AA6"/>
    <w:rsid w:val="00A560E6"/>
    <w:rsid w:val="00A5617D"/>
    <w:rsid w:val="00A56200"/>
    <w:rsid w:val="00A56487"/>
    <w:rsid w:val="00A567FE"/>
    <w:rsid w:val="00A56906"/>
    <w:rsid w:val="00A56A1E"/>
    <w:rsid w:val="00A56A5F"/>
    <w:rsid w:val="00A56F00"/>
    <w:rsid w:val="00A56F4B"/>
    <w:rsid w:val="00A570F3"/>
    <w:rsid w:val="00A57372"/>
    <w:rsid w:val="00A57543"/>
    <w:rsid w:val="00A576C2"/>
    <w:rsid w:val="00A576E5"/>
    <w:rsid w:val="00A57847"/>
    <w:rsid w:val="00A579D0"/>
    <w:rsid w:val="00A57A62"/>
    <w:rsid w:val="00A57B1B"/>
    <w:rsid w:val="00A57DC0"/>
    <w:rsid w:val="00A60029"/>
    <w:rsid w:val="00A6005E"/>
    <w:rsid w:val="00A600E3"/>
    <w:rsid w:val="00A60188"/>
    <w:rsid w:val="00A60631"/>
    <w:rsid w:val="00A607F3"/>
    <w:rsid w:val="00A60ADC"/>
    <w:rsid w:val="00A60ADE"/>
    <w:rsid w:val="00A60BC5"/>
    <w:rsid w:val="00A613A0"/>
    <w:rsid w:val="00A617BB"/>
    <w:rsid w:val="00A61834"/>
    <w:rsid w:val="00A6183E"/>
    <w:rsid w:val="00A6192D"/>
    <w:rsid w:val="00A61A94"/>
    <w:rsid w:val="00A61B60"/>
    <w:rsid w:val="00A61BA9"/>
    <w:rsid w:val="00A61D04"/>
    <w:rsid w:val="00A61D9A"/>
    <w:rsid w:val="00A6221C"/>
    <w:rsid w:val="00A624FC"/>
    <w:rsid w:val="00A625E5"/>
    <w:rsid w:val="00A62678"/>
    <w:rsid w:val="00A6283A"/>
    <w:rsid w:val="00A62846"/>
    <w:rsid w:val="00A62853"/>
    <w:rsid w:val="00A62A09"/>
    <w:rsid w:val="00A62A47"/>
    <w:rsid w:val="00A62F5B"/>
    <w:rsid w:val="00A63181"/>
    <w:rsid w:val="00A6320F"/>
    <w:rsid w:val="00A632FD"/>
    <w:rsid w:val="00A633B2"/>
    <w:rsid w:val="00A633E8"/>
    <w:rsid w:val="00A63502"/>
    <w:rsid w:val="00A63688"/>
    <w:rsid w:val="00A63789"/>
    <w:rsid w:val="00A6388D"/>
    <w:rsid w:val="00A63960"/>
    <w:rsid w:val="00A63A67"/>
    <w:rsid w:val="00A63D23"/>
    <w:rsid w:val="00A63D47"/>
    <w:rsid w:val="00A63D64"/>
    <w:rsid w:val="00A63FA8"/>
    <w:rsid w:val="00A64013"/>
    <w:rsid w:val="00A642E2"/>
    <w:rsid w:val="00A642E6"/>
    <w:rsid w:val="00A643A4"/>
    <w:rsid w:val="00A6440C"/>
    <w:rsid w:val="00A64584"/>
    <w:rsid w:val="00A645FB"/>
    <w:rsid w:val="00A646F9"/>
    <w:rsid w:val="00A64755"/>
    <w:rsid w:val="00A64779"/>
    <w:rsid w:val="00A6480D"/>
    <w:rsid w:val="00A64843"/>
    <w:rsid w:val="00A64B5D"/>
    <w:rsid w:val="00A64C3D"/>
    <w:rsid w:val="00A64E4E"/>
    <w:rsid w:val="00A64EF8"/>
    <w:rsid w:val="00A64FC0"/>
    <w:rsid w:val="00A650A0"/>
    <w:rsid w:val="00A650B5"/>
    <w:rsid w:val="00A656E7"/>
    <w:rsid w:val="00A65C2D"/>
    <w:rsid w:val="00A65FE6"/>
    <w:rsid w:val="00A66084"/>
    <w:rsid w:val="00A6610A"/>
    <w:rsid w:val="00A66490"/>
    <w:rsid w:val="00A66496"/>
    <w:rsid w:val="00A6658A"/>
    <w:rsid w:val="00A66867"/>
    <w:rsid w:val="00A66943"/>
    <w:rsid w:val="00A669A4"/>
    <w:rsid w:val="00A66A6C"/>
    <w:rsid w:val="00A66BC1"/>
    <w:rsid w:val="00A66F71"/>
    <w:rsid w:val="00A671A0"/>
    <w:rsid w:val="00A671FE"/>
    <w:rsid w:val="00A6720D"/>
    <w:rsid w:val="00A67251"/>
    <w:rsid w:val="00A674DB"/>
    <w:rsid w:val="00A67656"/>
    <w:rsid w:val="00A676FA"/>
    <w:rsid w:val="00A67DAE"/>
    <w:rsid w:val="00A67E47"/>
    <w:rsid w:val="00A67F60"/>
    <w:rsid w:val="00A67F8C"/>
    <w:rsid w:val="00A70483"/>
    <w:rsid w:val="00A7056A"/>
    <w:rsid w:val="00A706C1"/>
    <w:rsid w:val="00A70755"/>
    <w:rsid w:val="00A70D22"/>
    <w:rsid w:val="00A70FE8"/>
    <w:rsid w:val="00A712DC"/>
    <w:rsid w:val="00A713D5"/>
    <w:rsid w:val="00A716EB"/>
    <w:rsid w:val="00A71967"/>
    <w:rsid w:val="00A719A9"/>
    <w:rsid w:val="00A71AD8"/>
    <w:rsid w:val="00A71DAE"/>
    <w:rsid w:val="00A71F32"/>
    <w:rsid w:val="00A71F45"/>
    <w:rsid w:val="00A7226A"/>
    <w:rsid w:val="00A7238F"/>
    <w:rsid w:val="00A72395"/>
    <w:rsid w:val="00A72484"/>
    <w:rsid w:val="00A724F1"/>
    <w:rsid w:val="00A7256A"/>
    <w:rsid w:val="00A72686"/>
    <w:rsid w:val="00A7273C"/>
    <w:rsid w:val="00A728C8"/>
    <w:rsid w:val="00A72C45"/>
    <w:rsid w:val="00A72DA6"/>
    <w:rsid w:val="00A72EAD"/>
    <w:rsid w:val="00A73017"/>
    <w:rsid w:val="00A731E8"/>
    <w:rsid w:val="00A7324F"/>
    <w:rsid w:val="00A732C4"/>
    <w:rsid w:val="00A73874"/>
    <w:rsid w:val="00A738FF"/>
    <w:rsid w:val="00A73BDD"/>
    <w:rsid w:val="00A73BE1"/>
    <w:rsid w:val="00A73C76"/>
    <w:rsid w:val="00A73C8B"/>
    <w:rsid w:val="00A73CA0"/>
    <w:rsid w:val="00A73D18"/>
    <w:rsid w:val="00A73E36"/>
    <w:rsid w:val="00A73FF5"/>
    <w:rsid w:val="00A74368"/>
    <w:rsid w:val="00A743DE"/>
    <w:rsid w:val="00A74506"/>
    <w:rsid w:val="00A7458C"/>
    <w:rsid w:val="00A748B1"/>
    <w:rsid w:val="00A749D0"/>
    <w:rsid w:val="00A74A8D"/>
    <w:rsid w:val="00A74E1D"/>
    <w:rsid w:val="00A74FB9"/>
    <w:rsid w:val="00A753B2"/>
    <w:rsid w:val="00A754A7"/>
    <w:rsid w:val="00A755F9"/>
    <w:rsid w:val="00A75702"/>
    <w:rsid w:val="00A759C3"/>
    <w:rsid w:val="00A75B19"/>
    <w:rsid w:val="00A75EB1"/>
    <w:rsid w:val="00A76028"/>
    <w:rsid w:val="00A7631D"/>
    <w:rsid w:val="00A76363"/>
    <w:rsid w:val="00A765EE"/>
    <w:rsid w:val="00A76A9F"/>
    <w:rsid w:val="00A76B4C"/>
    <w:rsid w:val="00A76BAF"/>
    <w:rsid w:val="00A76BD2"/>
    <w:rsid w:val="00A76BDB"/>
    <w:rsid w:val="00A76E5F"/>
    <w:rsid w:val="00A76FA5"/>
    <w:rsid w:val="00A77708"/>
    <w:rsid w:val="00A77809"/>
    <w:rsid w:val="00A7788A"/>
    <w:rsid w:val="00A7791B"/>
    <w:rsid w:val="00A779CF"/>
    <w:rsid w:val="00A779D5"/>
    <w:rsid w:val="00A77AAC"/>
    <w:rsid w:val="00A77CA9"/>
    <w:rsid w:val="00A77D5B"/>
    <w:rsid w:val="00A77DFF"/>
    <w:rsid w:val="00A800A1"/>
    <w:rsid w:val="00A802D6"/>
    <w:rsid w:val="00A80540"/>
    <w:rsid w:val="00A80593"/>
    <w:rsid w:val="00A807E3"/>
    <w:rsid w:val="00A80826"/>
    <w:rsid w:val="00A80935"/>
    <w:rsid w:val="00A80A1E"/>
    <w:rsid w:val="00A80A65"/>
    <w:rsid w:val="00A80A98"/>
    <w:rsid w:val="00A80E2C"/>
    <w:rsid w:val="00A80E4A"/>
    <w:rsid w:val="00A80F80"/>
    <w:rsid w:val="00A81175"/>
    <w:rsid w:val="00A817CC"/>
    <w:rsid w:val="00A8185C"/>
    <w:rsid w:val="00A81924"/>
    <w:rsid w:val="00A81988"/>
    <w:rsid w:val="00A81A66"/>
    <w:rsid w:val="00A81E3C"/>
    <w:rsid w:val="00A81FFE"/>
    <w:rsid w:val="00A82042"/>
    <w:rsid w:val="00A82119"/>
    <w:rsid w:val="00A82218"/>
    <w:rsid w:val="00A823D8"/>
    <w:rsid w:val="00A823DD"/>
    <w:rsid w:val="00A824A4"/>
    <w:rsid w:val="00A82531"/>
    <w:rsid w:val="00A8294C"/>
    <w:rsid w:val="00A82974"/>
    <w:rsid w:val="00A82C22"/>
    <w:rsid w:val="00A82E29"/>
    <w:rsid w:val="00A82E54"/>
    <w:rsid w:val="00A82E67"/>
    <w:rsid w:val="00A82E8E"/>
    <w:rsid w:val="00A831CD"/>
    <w:rsid w:val="00A835E6"/>
    <w:rsid w:val="00A836D0"/>
    <w:rsid w:val="00A837CC"/>
    <w:rsid w:val="00A837EC"/>
    <w:rsid w:val="00A83806"/>
    <w:rsid w:val="00A83AAE"/>
    <w:rsid w:val="00A83D5C"/>
    <w:rsid w:val="00A83DFD"/>
    <w:rsid w:val="00A83EA0"/>
    <w:rsid w:val="00A84070"/>
    <w:rsid w:val="00A842EB"/>
    <w:rsid w:val="00A84346"/>
    <w:rsid w:val="00A84975"/>
    <w:rsid w:val="00A84ACF"/>
    <w:rsid w:val="00A84D21"/>
    <w:rsid w:val="00A84F6D"/>
    <w:rsid w:val="00A8526A"/>
    <w:rsid w:val="00A852ED"/>
    <w:rsid w:val="00A85632"/>
    <w:rsid w:val="00A8592A"/>
    <w:rsid w:val="00A85A88"/>
    <w:rsid w:val="00A85B6D"/>
    <w:rsid w:val="00A85E07"/>
    <w:rsid w:val="00A85E99"/>
    <w:rsid w:val="00A860BE"/>
    <w:rsid w:val="00A86290"/>
    <w:rsid w:val="00A86564"/>
    <w:rsid w:val="00A8668F"/>
    <w:rsid w:val="00A866A4"/>
    <w:rsid w:val="00A8680D"/>
    <w:rsid w:val="00A869C4"/>
    <w:rsid w:val="00A86A3A"/>
    <w:rsid w:val="00A86BAE"/>
    <w:rsid w:val="00A86C55"/>
    <w:rsid w:val="00A86D33"/>
    <w:rsid w:val="00A86DFD"/>
    <w:rsid w:val="00A86DFF"/>
    <w:rsid w:val="00A86E64"/>
    <w:rsid w:val="00A870E0"/>
    <w:rsid w:val="00A87214"/>
    <w:rsid w:val="00A8727C"/>
    <w:rsid w:val="00A874F1"/>
    <w:rsid w:val="00A87505"/>
    <w:rsid w:val="00A8750E"/>
    <w:rsid w:val="00A87673"/>
    <w:rsid w:val="00A876E4"/>
    <w:rsid w:val="00A87C17"/>
    <w:rsid w:val="00A87CF2"/>
    <w:rsid w:val="00A87F11"/>
    <w:rsid w:val="00A90393"/>
    <w:rsid w:val="00A905A1"/>
    <w:rsid w:val="00A905AE"/>
    <w:rsid w:val="00A906D9"/>
    <w:rsid w:val="00A906EE"/>
    <w:rsid w:val="00A90876"/>
    <w:rsid w:val="00A90A9A"/>
    <w:rsid w:val="00A90CC2"/>
    <w:rsid w:val="00A90D06"/>
    <w:rsid w:val="00A90EEF"/>
    <w:rsid w:val="00A90F1B"/>
    <w:rsid w:val="00A913C2"/>
    <w:rsid w:val="00A913EA"/>
    <w:rsid w:val="00A91796"/>
    <w:rsid w:val="00A917E1"/>
    <w:rsid w:val="00A91B5E"/>
    <w:rsid w:val="00A91B79"/>
    <w:rsid w:val="00A91BE1"/>
    <w:rsid w:val="00A91BFF"/>
    <w:rsid w:val="00A91C98"/>
    <w:rsid w:val="00A91CB8"/>
    <w:rsid w:val="00A91DD1"/>
    <w:rsid w:val="00A91DED"/>
    <w:rsid w:val="00A92079"/>
    <w:rsid w:val="00A921BF"/>
    <w:rsid w:val="00A926F0"/>
    <w:rsid w:val="00A927B5"/>
    <w:rsid w:val="00A92A5B"/>
    <w:rsid w:val="00A92C3E"/>
    <w:rsid w:val="00A9313F"/>
    <w:rsid w:val="00A93193"/>
    <w:rsid w:val="00A93208"/>
    <w:rsid w:val="00A9386B"/>
    <w:rsid w:val="00A93985"/>
    <w:rsid w:val="00A93ADD"/>
    <w:rsid w:val="00A93E5E"/>
    <w:rsid w:val="00A93FF2"/>
    <w:rsid w:val="00A940C1"/>
    <w:rsid w:val="00A9413A"/>
    <w:rsid w:val="00A944AC"/>
    <w:rsid w:val="00A94760"/>
    <w:rsid w:val="00A9484B"/>
    <w:rsid w:val="00A949C6"/>
    <w:rsid w:val="00A94AB5"/>
    <w:rsid w:val="00A94D26"/>
    <w:rsid w:val="00A94D4C"/>
    <w:rsid w:val="00A94DA2"/>
    <w:rsid w:val="00A94FBB"/>
    <w:rsid w:val="00A95030"/>
    <w:rsid w:val="00A95782"/>
    <w:rsid w:val="00A95E78"/>
    <w:rsid w:val="00A95EA6"/>
    <w:rsid w:val="00A95ED1"/>
    <w:rsid w:val="00A96021"/>
    <w:rsid w:val="00A960FB"/>
    <w:rsid w:val="00A9626E"/>
    <w:rsid w:val="00A96299"/>
    <w:rsid w:val="00A9629C"/>
    <w:rsid w:val="00A962E1"/>
    <w:rsid w:val="00A965B5"/>
    <w:rsid w:val="00A966C1"/>
    <w:rsid w:val="00A966F6"/>
    <w:rsid w:val="00A96865"/>
    <w:rsid w:val="00A96905"/>
    <w:rsid w:val="00A96B8B"/>
    <w:rsid w:val="00A96D25"/>
    <w:rsid w:val="00A96D2A"/>
    <w:rsid w:val="00A96D88"/>
    <w:rsid w:val="00A96DE1"/>
    <w:rsid w:val="00A970EA"/>
    <w:rsid w:val="00A97299"/>
    <w:rsid w:val="00A9750F"/>
    <w:rsid w:val="00A9752E"/>
    <w:rsid w:val="00A97531"/>
    <w:rsid w:val="00A975F6"/>
    <w:rsid w:val="00A9773E"/>
    <w:rsid w:val="00A97934"/>
    <w:rsid w:val="00A979E9"/>
    <w:rsid w:val="00A97FDC"/>
    <w:rsid w:val="00AA010D"/>
    <w:rsid w:val="00AA03D8"/>
    <w:rsid w:val="00AA044F"/>
    <w:rsid w:val="00AA0A83"/>
    <w:rsid w:val="00AA0BC8"/>
    <w:rsid w:val="00AA0E13"/>
    <w:rsid w:val="00AA0ED7"/>
    <w:rsid w:val="00AA12B6"/>
    <w:rsid w:val="00AA13D5"/>
    <w:rsid w:val="00AA156D"/>
    <w:rsid w:val="00AA1A3A"/>
    <w:rsid w:val="00AA1B0B"/>
    <w:rsid w:val="00AA221F"/>
    <w:rsid w:val="00AA2229"/>
    <w:rsid w:val="00AA222E"/>
    <w:rsid w:val="00AA2420"/>
    <w:rsid w:val="00AA26D5"/>
    <w:rsid w:val="00AA287F"/>
    <w:rsid w:val="00AA2917"/>
    <w:rsid w:val="00AA29E6"/>
    <w:rsid w:val="00AA29E7"/>
    <w:rsid w:val="00AA2BF7"/>
    <w:rsid w:val="00AA2C1F"/>
    <w:rsid w:val="00AA2CCA"/>
    <w:rsid w:val="00AA2EED"/>
    <w:rsid w:val="00AA2F2F"/>
    <w:rsid w:val="00AA2F5E"/>
    <w:rsid w:val="00AA314E"/>
    <w:rsid w:val="00AA31D3"/>
    <w:rsid w:val="00AA3280"/>
    <w:rsid w:val="00AA3329"/>
    <w:rsid w:val="00AA35E2"/>
    <w:rsid w:val="00AA3662"/>
    <w:rsid w:val="00AA3740"/>
    <w:rsid w:val="00AA3758"/>
    <w:rsid w:val="00AA3847"/>
    <w:rsid w:val="00AA3A79"/>
    <w:rsid w:val="00AA3B4E"/>
    <w:rsid w:val="00AA3B62"/>
    <w:rsid w:val="00AA3C6E"/>
    <w:rsid w:val="00AA4085"/>
    <w:rsid w:val="00AA4282"/>
    <w:rsid w:val="00AA4583"/>
    <w:rsid w:val="00AA47B1"/>
    <w:rsid w:val="00AA494B"/>
    <w:rsid w:val="00AA4A80"/>
    <w:rsid w:val="00AA4B7E"/>
    <w:rsid w:val="00AA4CDA"/>
    <w:rsid w:val="00AA4EA6"/>
    <w:rsid w:val="00AA4F72"/>
    <w:rsid w:val="00AA5291"/>
    <w:rsid w:val="00AA53A0"/>
    <w:rsid w:val="00AA5454"/>
    <w:rsid w:val="00AA5803"/>
    <w:rsid w:val="00AA59A4"/>
    <w:rsid w:val="00AA5BC5"/>
    <w:rsid w:val="00AA5C38"/>
    <w:rsid w:val="00AA5CA1"/>
    <w:rsid w:val="00AA5CFE"/>
    <w:rsid w:val="00AA5DE5"/>
    <w:rsid w:val="00AA621F"/>
    <w:rsid w:val="00AA63EE"/>
    <w:rsid w:val="00AA642E"/>
    <w:rsid w:val="00AA651D"/>
    <w:rsid w:val="00AA6740"/>
    <w:rsid w:val="00AA696B"/>
    <w:rsid w:val="00AA69ED"/>
    <w:rsid w:val="00AA6A1E"/>
    <w:rsid w:val="00AA6A20"/>
    <w:rsid w:val="00AA6A91"/>
    <w:rsid w:val="00AA6B7A"/>
    <w:rsid w:val="00AA6DD0"/>
    <w:rsid w:val="00AA6E8C"/>
    <w:rsid w:val="00AA6ED4"/>
    <w:rsid w:val="00AA7040"/>
    <w:rsid w:val="00AA71F7"/>
    <w:rsid w:val="00AA7433"/>
    <w:rsid w:val="00AA74A6"/>
    <w:rsid w:val="00AA76DB"/>
    <w:rsid w:val="00AA7B18"/>
    <w:rsid w:val="00AA7B9D"/>
    <w:rsid w:val="00AA7D1B"/>
    <w:rsid w:val="00AB0058"/>
    <w:rsid w:val="00AB0090"/>
    <w:rsid w:val="00AB0107"/>
    <w:rsid w:val="00AB019E"/>
    <w:rsid w:val="00AB01AE"/>
    <w:rsid w:val="00AB020B"/>
    <w:rsid w:val="00AB02B1"/>
    <w:rsid w:val="00AB0552"/>
    <w:rsid w:val="00AB0B52"/>
    <w:rsid w:val="00AB0E28"/>
    <w:rsid w:val="00AB0E80"/>
    <w:rsid w:val="00AB142A"/>
    <w:rsid w:val="00AB15AE"/>
    <w:rsid w:val="00AB1683"/>
    <w:rsid w:val="00AB16FD"/>
    <w:rsid w:val="00AB18CD"/>
    <w:rsid w:val="00AB1905"/>
    <w:rsid w:val="00AB19B4"/>
    <w:rsid w:val="00AB1A1D"/>
    <w:rsid w:val="00AB1AA6"/>
    <w:rsid w:val="00AB1AB1"/>
    <w:rsid w:val="00AB1B52"/>
    <w:rsid w:val="00AB1BD2"/>
    <w:rsid w:val="00AB1C48"/>
    <w:rsid w:val="00AB1FAD"/>
    <w:rsid w:val="00AB21AE"/>
    <w:rsid w:val="00AB231F"/>
    <w:rsid w:val="00AB23DB"/>
    <w:rsid w:val="00AB2559"/>
    <w:rsid w:val="00AB2698"/>
    <w:rsid w:val="00AB2A4C"/>
    <w:rsid w:val="00AB2CF9"/>
    <w:rsid w:val="00AB2D6F"/>
    <w:rsid w:val="00AB2D98"/>
    <w:rsid w:val="00AB2E1C"/>
    <w:rsid w:val="00AB2EC0"/>
    <w:rsid w:val="00AB2F6E"/>
    <w:rsid w:val="00AB3056"/>
    <w:rsid w:val="00AB33FF"/>
    <w:rsid w:val="00AB363A"/>
    <w:rsid w:val="00AB395B"/>
    <w:rsid w:val="00AB3C5C"/>
    <w:rsid w:val="00AB3DB7"/>
    <w:rsid w:val="00AB415D"/>
    <w:rsid w:val="00AB425E"/>
    <w:rsid w:val="00AB43BB"/>
    <w:rsid w:val="00AB449E"/>
    <w:rsid w:val="00AB4692"/>
    <w:rsid w:val="00AB47DF"/>
    <w:rsid w:val="00AB4969"/>
    <w:rsid w:val="00AB49BE"/>
    <w:rsid w:val="00AB4C95"/>
    <w:rsid w:val="00AB51B2"/>
    <w:rsid w:val="00AB52A8"/>
    <w:rsid w:val="00AB5397"/>
    <w:rsid w:val="00AB53DB"/>
    <w:rsid w:val="00AB54D0"/>
    <w:rsid w:val="00AB5640"/>
    <w:rsid w:val="00AB5807"/>
    <w:rsid w:val="00AB58CC"/>
    <w:rsid w:val="00AB5A5B"/>
    <w:rsid w:val="00AB5B39"/>
    <w:rsid w:val="00AB5B47"/>
    <w:rsid w:val="00AB5C24"/>
    <w:rsid w:val="00AB6100"/>
    <w:rsid w:val="00AB6223"/>
    <w:rsid w:val="00AB6693"/>
    <w:rsid w:val="00AB67D0"/>
    <w:rsid w:val="00AB68F4"/>
    <w:rsid w:val="00AB6A03"/>
    <w:rsid w:val="00AB6AE9"/>
    <w:rsid w:val="00AB6EB1"/>
    <w:rsid w:val="00AB70AD"/>
    <w:rsid w:val="00AB7582"/>
    <w:rsid w:val="00AB78EE"/>
    <w:rsid w:val="00AB79CE"/>
    <w:rsid w:val="00AB79ED"/>
    <w:rsid w:val="00AC0290"/>
    <w:rsid w:val="00AC056B"/>
    <w:rsid w:val="00AC05CE"/>
    <w:rsid w:val="00AC072B"/>
    <w:rsid w:val="00AC078D"/>
    <w:rsid w:val="00AC07D2"/>
    <w:rsid w:val="00AC085A"/>
    <w:rsid w:val="00AC085E"/>
    <w:rsid w:val="00AC0877"/>
    <w:rsid w:val="00AC08FD"/>
    <w:rsid w:val="00AC0A57"/>
    <w:rsid w:val="00AC0EAF"/>
    <w:rsid w:val="00AC0EDF"/>
    <w:rsid w:val="00AC135C"/>
    <w:rsid w:val="00AC1406"/>
    <w:rsid w:val="00AC1553"/>
    <w:rsid w:val="00AC17AA"/>
    <w:rsid w:val="00AC1858"/>
    <w:rsid w:val="00AC1993"/>
    <w:rsid w:val="00AC1DCC"/>
    <w:rsid w:val="00AC1ED6"/>
    <w:rsid w:val="00AC1FB0"/>
    <w:rsid w:val="00AC208D"/>
    <w:rsid w:val="00AC24D4"/>
    <w:rsid w:val="00AC256D"/>
    <w:rsid w:val="00AC26D8"/>
    <w:rsid w:val="00AC270C"/>
    <w:rsid w:val="00AC2922"/>
    <w:rsid w:val="00AC2AC5"/>
    <w:rsid w:val="00AC2E75"/>
    <w:rsid w:val="00AC311E"/>
    <w:rsid w:val="00AC3159"/>
    <w:rsid w:val="00AC318D"/>
    <w:rsid w:val="00AC31A7"/>
    <w:rsid w:val="00AC323C"/>
    <w:rsid w:val="00AC351E"/>
    <w:rsid w:val="00AC3534"/>
    <w:rsid w:val="00AC357D"/>
    <w:rsid w:val="00AC3655"/>
    <w:rsid w:val="00AC379C"/>
    <w:rsid w:val="00AC3894"/>
    <w:rsid w:val="00AC38EA"/>
    <w:rsid w:val="00AC390A"/>
    <w:rsid w:val="00AC3A42"/>
    <w:rsid w:val="00AC3D3A"/>
    <w:rsid w:val="00AC3EA2"/>
    <w:rsid w:val="00AC40F3"/>
    <w:rsid w:val="00AC44D1"/>
    <w:rsid w:val="00AC482E"/>
    <w:rsid w:val="00AC4CA9"/>
    <w:rsid w:val="00AC4D54"/>
    <w:rsid w:val="00AC4EE9"/>
    <w:rsid w:val="00AC4FB0"/>
    <w:rsid w:val="00AC56D6"/>
    <w:rsid w:val="00AC58E7"/>
    <w:rsid w:val="00AC58F8"/>
    <w:rsid w:val="00AC610E"/>
    <w:rsid w:val="00AC62E8"/>
    <w:rsid w:val="00AC6318"/>
    <w:rsid w:val="00AC63C5"/>
    <w:rsid w:val="00AC63EE"/>
    <w:rsid w:val="00AC66B4"/>
    <w:rsid w:val="00AC677F"/>
    <w:rsid w:val="00AC692B"/>
    <w:rsid w:val="00AC6BCF"/>
    <w:rsid w:val="00AC6C8C"/>
    <w:rsid w:val="00AC6F02"/>
    <w:rsid w:val="00AC72A4"/>
    <w:rsid w:val="00AC73A5"/>
    <w:rsid w:val="00AC7683"/>
    <w:rsid w:val="00AC76AD"/>
    <w:rsid w:val="00AC7B9A"/>
    <w:rsid w:val="00AC7C4A"/>
    <w:rsid w:val="00AC7C5D"/>
    <w:rsid w:val="00AD01A2"/>
    <w:rsid w:val="00AD053D"/>
    <w:rsid w:val="00AD06E2"/>
    <w:rsid w:val="00AD09B3"/>
    <w:rsid w:val="00AD0C67"/>
    <w:rsid w:val="00AD0CE1"/>
    <w:rsid w:val="00AD0D2C"/>
    <w:rsid w:val="00AD0E40"/>
    <w:rsid w:val="00AD121B"/>
    <w:rsid w:val="00AD15F0"/>
    <w:rsid w:val="00AD1636"/>
    <w:rsid w:val="00AD163A"/>
    <w:rsid w:val="00AD1673"/>
    <w:rsid w:val="00AD1A6B"/>
    <w:rsid w:val="00AD1B3F"/>
    <w:rsid w:val="00AD1DB9"/>
    <w:rsid w:val="00AD1E4A"/>
    <w:rsid w:val="00AD223C"/>
    <w:rsid w:val="00AD2809"/>
    <w:rsid w:val="00AD2870"/>
    <w:rsid w:val="00AD293D"/>
    <w:rsid w:val="00AD2C76"/>
    <w:rsid w:val="00AD2C90"/>
    <w:rsid w:val="00AD2EAB"/>
    <w:rsid w:val="00AD2EEE"/>
    <w:rsid w:val="00AD3027"/>
    <w:rsid w:val="00AD337F"/>
    <w:rsid w:val="00AD34DC"/>
    <w:rsid w:val="00AD35D5"/>
    <w:rsid w:val="00AD36F6"/>
    <w:rsid w:val="00AD39D1"/>
    <w:rsid w:val="00AD3C21"/>
    <w:rsid w:val="00AD3D35"/>
    <w:rsid w:val="00AD3D91"/>
    <w:rsid w:val="00AD40B5"/>
    <w:rsid w:val="00AD435C"/>
    <w:rsid w:val="00AD444C"/>
    <w:rsid w:val="00AD4860"/>
    <w:rsid w:val="00AD4A41"/>
    <w:rsid w:val="00AD4FEC"/>
    <w:rsid w:val="00AD52DA"/>
    <w:rsid w:val="00AD5580"/>
    <w:rsid w:val="00AD5769"/>
    <w:rsid w:val="00AD57F6"/>
    <w:rsid w:val="00AD5B76"/>
    <w:rsid w:val="00AD5E78"/>
    <w:rsid w:val="00AD5FBE"/>
    <w:rsid w:val="00AD5FDB"/>
    <w:rsid w:val="00AD6077"/>
    <w:rsid w:val="00AD6336"/>
    <w:rsid w:val="00AD655E"/>
    <w:rsid w:val="00AD660E"/>
    <w:rsid w:val="00AD6AC0"/>
    <w:rsid w:val="00AD6C6F"/>
    <w:rsid w:val="00AD6EE8"/>
    <w:rsid w:val="00AD7070"/>
    <w:rsid w:val="00AD7465"/>
    <w:rsid w:val="00AD74C7"/>
    <w:rsid w:val="00AD7542"/>
    <w:rsid w:val="00AD7552"/>
    <w:rsid w:val="00AD7D45"/>
    <w:rsid w:val="00AD7DB0"/>
    <w:rsid w:val="00AD7E26"/>
    <w:rsid w:val="00AE0190"/>
    <w:rsid w:val="00AE020E"/>
    <w:rsid w:val="00AE03E6"/>
    <w:rsid w:val="00AE04C0"/>
    <w:rsid w:val="00AE072A"/>
    <w:rsid w:val="00AE0AAB"/>
    <w:rsid w:val="00AE0FFD"/>
    <w:rsid w:val="00AE10EE"/>
    <w:rsid w:val="00AE1308"/>
    <w:rsid w:val="00AE137C"/>
    <w:rsid w:val="00AE1623"/>
    <w:rsid w:val="00AE1645"/>
    <w:rsid w:val="00AE17A5"/>
    <w:rsid w:val="00AE1C0E"/>
    <w:rsid w:val="00AE1EB2"/>
    <w:rsid w:val="00AE1F39"/>
    <w:rsid w:val="00AE1FAB"/>
    <w:rsid w:val="00AE207B"/>
    <w:rsid w:val="00AE20CC"/>
    <w:rsid w:val="00AE21CA"/>
    <w:rsid w:val="00AE222D"/>
    <w:rsid w:val="00AE228A"/>
    <w:rsid w:val="00AE24CE"/>
    <w:rsid w:val="00AE252D"/>
    <w:rsid w:val="00AE269C"/>
    <w:rsid w:val="00AE2985"/>
    <w:rsid w:val="00AE2BC9"/>
    <w:rsid w:val="00AE2BE7"/>
    <w:rsid w:val="00AE2C5C"/>
    <w:rsid w:val="00AE2D46"/>
    <w:rsid w:val="00AE2DBD"/>
    <w:rsid w:val="00AE2FDC"/>
    <w:rsid w:val="00AE2FF0"/>
    <w:rsid w:val="00AE33A8"/>
    <w:rsid w:val="00AE3691"/>
    <w:rsid w:val="00AE3761"/>
    <w:rsid w:val="00AE383C"/>
    <w:rsid w:val="00AE39E4"/>
    <w:rsid w:val="00AE3B6F"/>
    <w:rsid w:val="00AE3E61"/>
    <w:rsid w:val="00AE3EA8"/>
    <w:rsid w:val="00AE3F8D"/>
    <w:rsid w:val="00AE400C"/>
    <w:rsid w:val="00AE4166"/>
    <w:rsid w:val="00AE43B0"/>
    <w:rsid w:val="00AE43DD"/>
    <w:rsid w:val="00AE46DA"/>
    <w:rsid w:val="00AE4712"/>
    <w:rsid w:val="00AE480B"/>
    <w:rsid w:val="00AE48B0"/>
    <w:rsid w:val="00AE48D2"/>
    <w:rsid w:val="00AE4BFF"/>
    <w:rsid w:val="00AE4D27"/>
    <w:rsid w:val="00AE4DBF"/>
    <w:rsid w:val="00AE5133"/>
    <w:rsid w:val="00AE5275"/>
    <w:rsid w:val="00AE5321"/>
    <w:rsid w:val="00AE5612"/>
    <w:rsid w:val="00AE576B"/>
    <w:rsid w:val="00AE5A5D"/>
    <w:rsid w:val="00AE5B60"/>
    <w:rsid w:val="00AE5C2D"/>
    <w:rsid w:val="00AE5CCF"/>
    <w:rsid w:val="00AE5D72"/>
    <w:rsid w:val="00AE644F"/>
    <w:rsid w:val="00AE66DE"/>
    <w:rsid w:val="00AE67B5"/>
    <w:rsid w:val="00AE67D5"/>
    <w:rsid w:val="00AE680C"/>
    <w:rsid w:val="00AE6ABC"/>
    <w:rsid w:val="00AE6CAF"/>
    <w:rsid w:val="00AE6E36"/>
    <w:rsid w:val="00AE7379"/>
    <w:rsid w:val="00AE74D3"/>
    <w:rsid w:val="00AE754B"/>
    <w:rsid w:val="00AE76DD"/>
    <w:rsid w:val="00AE781F"/>
    <w:rsid w:val="00AE7855"/>
    <w:rsid w:val="00AE79B7"/>
    <w:rsid w:val="00AE7CDD"/>
    <w:rsid w:val="00AE7CFD"/>
    <w:rsid w:val="00AE7DDC"/>
    <w:rsid w:val="00AE7E15"/>
    <w:rsid w:val="00AE7E9B"/>
    <w:rsid w:val="00AE7F11"/>
    <w:rsid w:val="00AE7FF0"/>
    <w:rsid w:val="00AF009A"/>
    <w:rsid w:val="00AF0445"/>
    <w:rsid w:val="00AF0561"/>
    <w:rsid w:val="00AF0B91"/>
    <w:rsid w:val="00AF12D9"/>
    <w:rsid w:val="00AF140B"/>
    <w:rsid w:val="00AF19CB"/>
    <w:rsid w:val="00AF1B21"/>
    <w:rsid w:val="00AF1B40"/>
    <w:rsid w:val="00AF1BE9"/>
    <w:rsid w:val="00AF1C9E"/>
    <w:rsid w:val="00AF1D92"/>
    <w:rsid w:val="00AF1F78"/>
    <w:rsid w:val="00AF2519"/>
    <w:rsid w:val="00AF254B"/>
    <w:rsid w:val="00AF2636"/>
    <w:rsid w:val="00AF299B"/>
    <w:rsid w:val="00AF2A01"/>
    <w:rsid w:val="00AF2D90"/>
    <w:rsid w:val="00AF2E79"/>
    <w:rsid w:val="00AF30CC"/>
    <w:rsid w:val="00AF35FC"/>
    <w:rsid w:val="00AF36CE"/>
    <w:rsid w:val="00AF3815"/>
    <w:rsid w:val="00AF39FD"/>
    <w:rsid w:val="00AF3A90"/>
    <w:rsid w:val="00AF3CCE"/>
    <w:rsid w:val="00AF4031"/>
    <w:rsid w:val="00AF40D9"/>
    <w:rsid w:val="00AF4101"/>
    <w:rsid w:val="00AF415E"/>
    <w:rsid w:val="00AF41B5"/>
    <w:rsid w:val="00AF42F6"/>
    <w:rsid w:val="00AF44B7"/>
    <w:rsid w:val="00AF44ED"/>
    <w:rsid w:val="00AF4586"/>
    <w:rsid w:val="00AF463E"/>
    <w:rsid w:val="00AF4832"/>
    <w:rsid w:val="00AF4A01"/>
    <w:rsid w:val="00AF4AB0"/>
    <w:rsid w:val="00AF5314"/>
    <w:rsid w:val="00AF5947"/>
    <w:rsid w:val="00AF5B63"/>
    <w:rsid w:val="00AF5BE1"/>
    <w:rsid w:val="00AF5D98"/>
    <w:rsid w:val="00AF5E80"/>
    <w:rsid w:val="00AF5F35"/>
    <w:rsid w:val="00AF5F6E"/>
    <w:rsid w:val="00AF631D"/>
    <w:rsid w:val="00AF64D1"/>
    <w:rsid w:val="00AF6B93"/>
    <w:rsid w:val="00AF6E87"/>
    <w:rsid w:val="00AF6EC9"/>
    <w:rsid w:val="00AF6F4D"/>
    <w:rsid w:val="00AF72C8"/>
    <w:rsid w:val="00AF7558"/>
    <w:rsid w:val="00AF76B2"/>
    <w:rsid w:val="00AF782A"/>
    <w:rsid w:val="00AF793A"/>
    <w:rsid w:val="00AF7BFE"/>
    <w:rsid w:val="00B000A8"/>
    <w:rsid w:val="00B0045E"/>
    <w:rsid w:val="00B0061E"/>
    <w:rsid w:val="00B00A96"/>
    <w:rsid w:val="00B00B0B"/>
    <w:rsid w:val="00B00C37"/>
    <w:rsid w:val="00B00C98"/>
    <w:rsid w:val="00B00EB5"/>
    <w:rsid w:val="00B00F3C"/>
    <w:rsid w:val="00B01099"/>
    <w:rsid w:val="00B01377"/>
    <w:rsid w:val="00B014F4"/>
    <w:rsid w:val="00B0176A"/>
    <w:rsid w:val="00B0176E"/>
    <w:rsid w:val="00B0177E"/>
    <w:rsid w:val="00B01A11"/>
    <w:rsid w:val="00B01AF0"/>
    <w:rsid w:val="00B01BC8"/>
    <w:rsid w:val="00B01CCC"/>
    <w:rsid w:val="00B01F2D"/>
    <w:rsid w:val="00B021CC"/>
    <w:rsid w:val="00B023D3"/>
    <w:rsid w:val="00B028B4"/>
    <w:rsid w:val="00B02CAB"/>
    <w:rsid w:val="00B02DFE"/>
    <w:rsid w:val="00B02E53"/>
    <w:rsid w:val="00B02FAC"/>
    <w:rsid w:val="00B030F7"/>
    <w:rsid w:val="00B0340B"/>
    <w:rsid w:val="00B034CF"/>
    <w:rsid w:val="00B034FD"/>
    <w:rsid w:val="00B035DB"/>
    <w:rsid w:val="00B0362A"/>
    <w:rsid w:val="00B03A71"/>
    <w:rsid w:val="00B03B85"/>
    <w:rsid w:val="00B03DE9"/>
    <w:rsid w:val="00B03F5A"/>
    <w:rsid w:val="00B0425B"/>
    <w:rsid w:val="00B043D9"/>
    <w:rsid w:val="00B04516"/>
    <w:rsid w:val="00B0454C"/>
    <w:rsid w:val="00B04B75"/>
    <w:rsid w:val="00B04DF0"/>
    <w:rsid w:val="00B04F27"/>
    <w:rsid w:val="00B04FF8"/>
    <w:rsid w:val="00B050D4"/>
    <w:rsid w:val="00B0520E"/>
    <w:rsid w:val="00B05269"/>
    <w:rsid w:val="00B0545C"/>
    <w:rsid w:val="00B05560"/>
    <w:rsid w:val="00B0576D"/>
    <w:rsid w:val="00B05772"/>
    <w:rsid w:val="00B057E3"/>
    <w:rsid w:val="00B05994"/>
    <w:rsid w:val="00B059DB"/>
    <w:rsid w:val="00B05A87"/>
    <w:rsid w:val="00B05A8C"/>
    <w:rsid w:val="00B05B85"/>
    <w:rsid w:val="00B05E42"/>
    <w:rsid w:val="00B05EDE"/>
    <w:rsid w:val="00B05FA8"/>
    <w:rsid w:val="00B0604B"/>
    <w:rsid w:val="00B06121"/>
    <w:rsid w:val="00B0649D"/>
    <w:rsid w:val="00B066F6"/>
    <w:rsid w:val="00B0678B"/>
    <w:rsid w:val="00B067A0"/>
    <w:rsid w:val="00B06994"/>
    <w:rsid w:val="00B06B4E"/>
    <w:rsid w:val="00B06BB6"/>
    <w:rsid w:val="00B06C40"/>
    <w:rsid w:val="00B06C42"/>
    <w:rsid w:val="00B0764E"/>
    <w:rsid w:val="00B07D15"/>
    <w:rsid w:val="00B0CC26"/>
    <w:rsid w:val="00B10042"/>
    <w:rsid w:val="00B1026E"/>
    <w:rsid w:val="00B108F0"/>
    <w:rsid w:val="00B10957"/>
    <w:rsid w:val="00B10FB2"/>
    <w:rsid w:val="00B1118B"/>
    <w:rsid w:val="00B1122F"/>
    <w:rsid w:val="00B114E0"/>
    <w:rsid w:val="00B1155F"/>
    <w:rsid w:val="00B11681"/>
    <w:rsid w:val="00B116CC"/>
    <w:rsid w:val="00B118EE"/>
    <w:rsid w:val="00B118FA"/>
    <w:rsid w:val="00B11A15"/>
    <w:rsid w:val="00B11B8C"/>
    <w:rsid w:val="00B11D95"/>
    <w:rsid w:val="00B11F5E"/>
    <w:rsid w:val="00B12188"/>
    <w:rsid w:val="00B121B4"/>
    <w:rsid w:val="00B121EF"/>
    <w:rsid w:val="00B12423"/>
    <w:rsid w:val="00B126D0"/>
    <w:rsid w:val="00B12BAB"/>
    <w:rsid w:val="00B12C11"/>
    <w:rsid w:val="00B12E4A"/>
    <w:rsid w:val="00B13533"/>
    <w:rsid w:val="00B135C4"/>
    <w:rsid w:val="00B13639"/>
    <w:rsid w:val="00B13973"/>
    <w:rsid w:val="00B139B2"/>
    <w:rsid w:val="00B13CA8"/>
    <w:rsid w:val="00B13F8A"/>
    <w:rsid w:val="00B14012"/>
    <w:rsid w:val="00B14397"/>
    <w:rsid w:val="00B14425"/>
    <w:rsid w:val="00B14429"/>
    <w:rsid w:val="00B1447E"/>
    <w:rsid w:val="00B1463C"/>
    <w:rsid w:val="00B1471E"/>
    <w:rsid w:val="00B14DCB"/>
    <w:rsid w:val="00B150D3"/>
    <w:rsid w:val="00B1522C"/>
    <w:rsid w:val="00B156D5"/>
    <w:rsid w:val="00B15C35"/>
    <w:rsid w:val="00B15C64"/>
    <w:rsid w:val="00B15CB9"/>
    <w:rsid w:val="00B15F7E"/>
    <w:rsid w:val="00B15FF4"/>
    <w:rsid w:val="00B160FE"/>
    <w:rsid w:val="00B1610E"/>
    <w:rsid w:val="00B1629A"/>
    <w:rsid w:val="00B168F3"/>
    <w:rsid w:val="00B16C58"/>
    <w:rsid w:val="00B16C76"/>
    <w:rsid w:val="00B16CC5"/>
    <w:rsid w:val="00B16E47"/>
    <w:rsid w:val="00B17281"/>
    <w:rsid w:val="00B173D7"/>
    <w:rsid w:val="00B1740D"/>
    <w:rsid w:val="00B17417"/>
    <w:rsid w:val="00B17D5E"/>
    <w:rsid w:val="00B17EE1"/>
    <w:rsid w:val="00B17F48"/>
    <w:rsid w:val="00B17F61"/>
    <w:rsid w:val="00B2021D"/>
    <w:rsid w:val="00B20539"/>
    <w:rsid w:val="00B2059E"/>
    <w:rsid w:val="00B20661"/>
    <w:rsid w:val="00B207E3"/>
    <w:rsid w:val="00B20859"/>
    <w:rsid w:val="00B20A99"/>
    <w:rsid w:val="00B20D88"/>
    <w:rsid w:val="00B20FF3"/>
    <w:rsid w:val="00B21299"/>
    <w:rsid w:val="00B212AD"/>
    <w:rsid w:val="00B21883"/>
    <w:rsid w:val="00B2197C"/>
    <w:rsid w:val="00B21EBF"/>
    <w:rsid w:val="00B21F7D"/>
    <w:rsid w:val="00B21F7E"/>
    <w:rsid w:val="00B21FD4"/>
    <w:rsid w:val="00B22318"/>
    <w:rsid w:val="00B22447"/>
    <w:rsid w:val="00B2263A"/>
    <w:rsid w:val="00B22679"/>
    <w:rsid w:val="00B226A8"/>
    <w:rsid w:val="00B227C0"/>
    <w:rsid w:val="00B22839"/>
    <w:rsid w:val="00B22D0B"/>
    <w:rsid w:val="00B22F3F"/>
    <w:rsid w:val="00B230B6"/>
    <w:rsid w:val="00B23311"/>
    <w:rsid w:val="00B233D8"/>
    <w:rsid w:val="00B2354E"/>
    <w:rsid w:val="00B2356D"/>
    <w:rsid w:val="00B2371B"/>
    <w:rsid w:val="00B238C1"/>
    <w:rsid w:val="00B23B08"/>
    <w:rsid w:val="00B23F0C"/>
    <w:rsid w:val="00B23FE3"/>
    <w:rsid w:val="00B24030"/>
    <w:rsid w:val="00B24260"/>
    <w:rsid w:val="00B242C4"/>
    <w:rsid w:val="00B2444E"/>
    <w:rsid w:val="00B2470F"/>
    <w:rsid w:val="00B247C1"/>
    <w:rsid w:val="00B248B9"/>
    <w:rsid w:val="00B24A95"/>
    <w:rsid w:val="00B24B90"/>
    <w:rsid w:val="00B24D96"/>
    <w:rsid w:val="00B2508C"/>
    <w:rsid w:val="00B250B0"/>
    <w:rsid w:val="00B25163"/>
    <w:rsid w:val="00B25220"/>
    <w:rsid w:val="00B2525E"/>
    <w:rsid w:val="00B254DB"/>
    <w:rsid w:val="00B256DE"/>
    <w:rsid w:val="00B25751"/>
    <w:rsid w:val="00B25AF2"/>
    <w:rsid w:val="00B25E0F"/>
    <w:rsid w:val="00B25E3A"/>
    <w:rsid w:val="00B25FC0"/>
    <w:rsid w:val="00B26390"/>
    <w:rsid w:val="00B26393"/>
    <w:rsid w:val="00B263F3"/>
    <w:rsid w:val="00B2661C"/>
    <w:rsid w:val="00B26645"/>
    <w:rsid w:val="00B26751"/>
    <w:rsid w:val="00B26776"/>
    <w:rsid w:val="00B2691B"/>
    <w:rsid w:val="00B26A18"/>
    <w:rsid w:val="00B26A58"/>
    <w:rsid w:val="00B26AD6"/>
    <w:rsid w:val="00B26D25"/>
    <w:rsid w:val="00B26D8B"/>
    <w:rsid w:val="00B26E38"/>
    <w:rsid w:val="00B26E92"/>
    <w:rsid w:val="00B26FEA"/>
    <w:rsid w:val="00B27523"/>
    <w:rsid w:val="00B27856"/>
    <w:rsid w:val="00B278A2"/>
    <w:rsid w:val="00B27B82"/>
    <w:rsid w:val="00B27B94"/>
    <w:rsid w:val="00B27D46"/>
    <w:rsid w:val="00B27EEF"/>
    <w:rsid w:val="00B27FAE"/>
    <w:rsid w:val="00B300DE"/>
    <w:rsid w:val="00B301B8"/>
    <w:rsid w:val="00B301C2"/>
    <w:rsid w:val="00B3037B"/>
    <w:rsid w:val="00B30580"/>
    <w:rsid w:val="00B305FA"/>
    <w:rsid w:val="00B306FC"/>
    <w:rsid w:val="00B30A1C"/>
    <w:rsid w:val="00B30C91"/>
    <w:rsid w:val="00B30F7D"/>
    <w:rsid w:val="00B31121"/>
    <w:rsid w:val="00B315B3"/>
    <w:rsid w:val="00B317B1"/>
    <w:rsid w:val="00B3182D"/>
    <w:rsid w:val="00B318AD"/>
    <w:rsid w:val="00B318BF"/>
    <w:rsid w:val="00B319E8"/>
    <w:rsid w:val="00B31A06"/>
    <w:rsid w:val="00B31B85"/>
    <w:rsid w:val="00B31CFF"/>
    <w:rsid w:val="00B31E9E"/>
    <w:rsid w:val="00B31F70"/>
    <w:rsid w:val="00B32059"/>
    <w:rsid w:val="00B32069"/>
    <w:rsid w:val="00B3209B"/>
    <w:rsid w:val="00B32187"/>
    <w:rsid w:val="00B325BD"/>
    <w:rsid w:val="00B326DF"/>
    <w:rsid w:val="00B3294C"/>
    <w:rsid w:val="00B32A22"/>
    <w:rsid w:val="00B32A8A"/>
    <w:rsid w:val="00B32A8D"/>
    <w:rsid w:val="00B32C85"/>
    <w:rsid w:val="00B32CAE"/>
    <w:rsid w:val="00B32CB3"/>
    <w:rsid w:val="00B32D40"/>
    <w:rsid w:val="00B330DA"/>
    <w:rsid w:val="00B332E5"/>
    <w:rsid w:val="00B33659"/>
    <w:rsid w:val="00B336C9"/>
    <w:rsid w:val="00B3392A"/>
    <w:rsid w:val="00B3394C"/>
    <w:rsid w:val="00B33A6A"/>
    <w:rsid w:val="00B33BE8"/>
    <w:rsid w:val="00B33DF9"/>
    <w:rsid w:val="00B33E94"/>
    <w:rsid w:val="00B33F72"/>
    <w:rsid w:val="00B34195"/>
    <w:rsid w:val="00B3426F"/>
    <w:rsid w:val="00B34318"/>
    <w:rsid w:val="00B34665"/>
    <w:rsid w:val="00B3475A"/>
    <w:rsid w:val="00B347D2"/>
    <w:rsid w:val="00B348A4"/>
    <w:rsid w:val="00B348E7"/>
    <w:rsid w:val="00B34928"/>
    <w:rsid w:val="00B34A22"/>
    <w:rsid w:val="00B34C58"/>
    <w:rsid w:val="00B34C77"/>
    <w:rsid w:val="00B350AD"/>
    <w:rsid w:val="00B350B4"/>
    <w:rsid w:val="00B355A9"/>
    <w:rsid w:val="00B3577F"/>
    <w:rsid w:val="00B3578A"/>
    <w:rsid w:val="00B3590B"/>
    <w:rsid w:val="00B35955"/>
    <w:rsid w:val="00B359A1"/>
    <w:rsid w:val="00B359A9"/>
    <w:rsid w:val="00B35A52"/>
    <w:rsid w:val="00B35AD7"/>
    <w:rsid w:val="00B35E6B"/>
    <w:rsid w:val="00B35E7C"/>
    <w:rsid w:val="00B35EBA"/>
    <w:rsid w:val="00B35EE5"/>
    <w:rsid w:val="00B35F0E"/>
    <w:rsid w:val="00B361C5"/>
    <w:rsid w:val="00B366FB"/>
    <w:rsid w:val="00B3677E"/>
    <w:rsid w:val="00B36CFC"/>
    <w:rsid w:val="00B36D53"/>
    <w:rsid w:val="00B36DFE"/>
    <w:rsid w:val="00B36E03"/>
    <w:rsid w:val="00B36E58"/>
    <w:rsid w:val="00B37299"/>
    <w:rsid w:val="00B372E8"/>
    <w:rsid w:val="00B37337"/>
    <w:rsid w:val="00B375DC"/>
    <w:rsid w:val="00B37854"/>
    <w:rsid w:val="00B3797D"/>
    <w:rsid w:val="00B37A20"/>
    <w:rsid w:val="00B37AC8"/>
    <w:rsid w:val="00B37D87"/>
    <w:rsid w:val="00B401D7"/>
    <w:rsid w:val="00B404A1"/>
    <w:rsid w:val="00B40A70"/>
    <w:rsid w:val="00B40DAD"/>
    <w:rsid w:val="00B4100C"/>
    <w:rsid w:val="00B41263"/>
    <w:rsid w:val="00B4135F"/>
    <w:rsid w:val="00B4182B"/>
    <w:rsid w:val="00B41875"/>
    <w:rsid w:val="00B41A98"/>
    <w:rsid w:val="00B42245"/>
    <w:rsid w:val="00B42270"/>
    <w:rsid w:val="00B423EF"/>
    <w:rsid w:val="00B4273B"/>
    <w:rsid w:val="00B4284C"/>
    <w:rsid w:val="00B42949"/>
    <w:rsid w:val="00B42A02"/>
    <w:rsid w:val="00B42AC2"/>
    <w:rsid w:val="00B42C5A"/>
    <w:rsid w:val="00B42C77"/>
    <w:rsid w:val="00B42D64"/>
    <w:rsid w:val="00B42ED0"/>
    <w:rsid w:val="00B42F4D"/>
    <w:rsid w:val="00B43034"/>
    <w:rsid w:val="00B430EC"/>
    <w:rsid w:val="00B43115"/>
    <w:rsid w:val="00B43356"/>
    <w:rsid w:val="00B4347E"/>
    <w:rsid w:val="00B436AF"/>
    <w:rsid w:val="00B437C6"/>
    <w:rsid w:val="00B4393D"/>
    <w:rsid w:val="00B43A21"/>
    <w:rsid w:val="00B43BE2"/>
    <w:rsid w:val="00B440A5"/>
    <w:rsid w:val="00B44291"/>
    <w:rsid w:val="00B443B2"/>
    <w:rsid w:val="00B44506"/>
    <w:rsid w:val="00B44519"/>
    <w:rsid w:val="00B446C0"/>
    <w:rsid w:val="00B4477E"/>
    <w:rsid w:val="00B447C2"/>
    <w:rsid w:val="00B44BAC"/>
    <w:rsid w:val="00B44EE9"/>
    <w:rsid w:val="00B44FEA"/>
    <w:rsid w:val="00B44FF1"/>
    <w:rsid w:val="00B450EF"/>
    <w:rsid w:val="00B452A6"/>
    <w:rsid w:val="00B45338"/>
    <w:rsid w:val="00B45505"/>
    <w:rsid w:val="00B4593F"/>
    <w:rsid w:val="00B45AB4"/>
    <w:rsid w:val="00B460D2"/>
    <w:rsid w:val="00B46168"/>
    <w:rsid w:val="00B461E2"/>
    <w:rsid w:val="00B462E2"/>
    <w:rsid w:val="00B46402"/>
    <w:rsid w:val="00B46984"/>
    <w:rsid w:val="00B4698C"/>
    <w:rsid w:val="00B46BB5"/>
    <w:rsid w:val="00B47090"/>
    <w:rsid w:val="00B470A6"/>
    <w:rsid w:val="00B47431"/>
    <w:rsid w:val="00B47455"/>
    <w:rsid w:val="00B47896"/>
    <w:rsid w:val="00B47C1A"/>
    <w:rsid w:val="00B47C3D"/>
    <w:rsid w:val="00B47DF0"/>
    <w:rsid w:val="00B47F86"/>
    <w:rsid w:val="00B500FB"/>
    <w:rsid w:val="00B5022B"/>
    <w:rsid w:val="00B5042E"/>
    <w:rsid w:val="00B504D5"/>
    <w:rsid w:val="00B50686"/>
    <w:rsid w:val="00B5068F"/>
    <w:rsid w:val="00B509BE"/>
    <w:rsid w:val="00B50A3C"/>
    <w:rsid w:val="00B50B5C"/>
    <w:rsid w:val="00B50B96"/>
    <w:rsid w:val="00B50CB5"/>
    <w:rsid w:val="00B50D75"/>
    <w:rsid w:val="00B51021"/>
    <w:rsid w:val="00B510A1"/>
    <w:rsid w:val="00B5110F"/>
    <w:rsid w:val="00B51357"/>
    <w:rsid w:val="00B516F3"/>
    <w:rsid w:val="00B51704"/>
    <w:rsid w:val="00B517A8"/>
    <w:rsid w:val="00B51811"/>
    <w:rsid w:val="00B5190B"/>
    <w:rsid w:val="00B51A30"/>
    <w:rsid w:val="00B51AA9"/>
    <w:rsid w:val="00B51E18"/>
    <w:rsid w:val="00B51E34"/>
    <w:rsid w:val="00B51EB6"/>
    <w:rsid w:val="00B5214B"/>
    <w:rsid w:val="00B52788"/>
    <w:rsid w:val="00B52BA5"/>
    <w:rsid w:val="00B52BDE"/>
    <w:rsid w:val="00B52D11"/>
    <w:rsid w:val="00B52D23"/>
    <w:rsid w:val="00B52E50"/>
    <w:rsid w:val="00B531CD"/>
    <w:rsid w:val="00B531E7"/>
    <w:rsid w:val="00B5397E"/>
    <w:rsid w:val="00B53C7A"/>
    <w:rsid w:val="00B53CFF"/>
    <w:rsid w:val="00B53DEC"/>
    <w:rsid w:val="00B53E41"/>
    <w:rsid w:val="00B53F44"/>
    <w:rsid w:val="00B54257"/>
    <w:rsid w:val="00B5436F"/>
    <w:rsid w:val="00B54496"/>
    <w:rsid w:val="00B54816"/>
    <w:rsid w:val="00B5488F"/>
    <w:rsid w:val="00B54938"/>
    <w:rsid w:val="00B549A6"/>
    <w:rsid w:val="00B54DC5"/>
    <w:rsid w:val="00B54F14"/>
    <w:rsid w:val="00B54F49"/>
    <w:rsid w:val="00B55031"/>
    <w:rsid w:val="00B550DE"/>
    <w:rsid w:val="00B5521E"/>
    <w:rsid w:val="00B552C7"/>
    <w:rsid w:val="00B5531E"/>
    <w:rsid w:val="00B55325"/>
    <w:rsid w:val="00B5556B"/>
    <w:rsid w:val="00B55680"/>
    <w:rsid w:val="00B559BB"/>
    <w:rsid w:val="00B55C65"/>
    <w:rsid w:val="00B55CB3"/>
    <w:rsid w:val="00B55DC0"/>
    <w:rsid w:val="00B55F2F"/>
    <w:rsid w:val="00B5610F"/>
    <w:rsid w:val="00B561BB"/>
    <w:rsid w:val="00B5628C"/>
    <w:rsid w:val="00B5671A"/>
    <w:rsid w:val="00B567AE"/>
    <w:rsid w:val="00B567F0"/>
    <w:rsid w:val="00B569D9"/>
    <w:rsid w:val="00B56A0A"/>
    <w:rsid w:val="00B5712A"/>
    <w:rsid w:val="00B571B6"/>
    <w:rsid w:val="00B574A1"/>
    <w:rsid w:val="00B57784"/>
    <w:rsid w:val="00B57B56"/>
    <w:rsid w:val="00B57E9A"/>
    <w:rsid w:val="00B6000A"/>
    <w:rsid w:val="00B60289"/>
    <w:rsid w:val="00B6029E"/>
    <w:rsid w:val="00B606FB"/>
    <w:rsid w:val="00B60CD9"/>
    <w:rsid w:val="00B60E03"/>
    <w:rsid w:val="00B60E6A"/>
    <w:rsid w:val="00B60EF0"/>
    <w:rsid w:val="00B60FE9"/>
    <w:rsid w:val="00B6111C"/>
    <w:rsid w:val="00B612D0"/>
    <w:rsid w:val="00B613DA"/>
    <w:rsid w:val="00B615D0"/>
    <w:rsid w:val="00B61B38"/>
    <w:rsid w:val="00B61CB5"/>
    <w:rsid w:val="00B61DCB"/>
    <w:rsid w:val="00B61DFB"/>
    <w:rsid w:val="00B61FD2"/>
    <w:rsid w:val="00B6209E"/>
    <w:rsid w:val="00B62219"/>
    <w:rsid w:val="00B6240E"/>
    <w:rsid w:val="00B62540"/>
    <w:rsid w:val="00B625A1"/>
    <w:rsid w:val="00B627E1"/>
    <w:rsid w:val="00B628AE"/>
    <w:rsid w:val="00B629A0"/>
    <w:rsid w:val="00B62AC5"/>
    <w:rsid w:val="00B62B45"/>
    <w:rsid w:val="00B62CBA"/>
    <w:rsid w:val="00B62D1C"/>
    <w:rsid w:val="00B62E21"/>
    <w:rsid w:val="00B62EE2"/>
    <w:rsid w:val="00B632A3"/>
    <w:rsid w:val="00B63830"/>
    <w:rsid w:val="00B638EA"/>
    <w:rsid w:val="00B63A90"/>
    <w:rsid w:val="00B63C68"/>
    <w:rsid w:val="00B63C8A"/>
    <w:rsid w:val="00B63D8A"/>
    <w:rsid w:val="00B63DE1"/>
    <w:rsid w:val="00B63ED8"/>
    <w:rsid w:val="00B63F6A"/>
    <w:rsid w:val="00B6409F"/>
    <w:rsid w:val="00B64222"/>
    <w:rsid w:val="00B6463D"/>
    <w:rsid w:val="00B6464E"/>
    <w:rsid w:val="00B64796"/>
    <w:rsid w:val="00B648A1"/>
    <w:rsid w:val="00B648F6"/>
    <w:rsid w:val="00B649B1"/>
    <w:rsid w:val="00B64A64"/>
    <w:rsid w:val="00B64A84"/>
    <w:rsid w:val="00B64AD4"/>
    <w:rsid w:val="00B64AEB"/>
    <w:rsid w:val="00B64C71"/>
    <w:rsid w:val="00B64FE8"/>
    <w:rsid w:val="00B65020"/>
    <w:rsid w:val="00B65035"/>
    <w:rsid w:val="00B651C0"/>
    <w:rsid w:val="00B651D4"/>
    <w:rsid w:val="00B65270"/>
    <w:rsid w:val="00B653DA"/>
    <w:rsid w:val="00B655E5"/>
    <w:rsid w:val="00B655EA"/>
    <w:rsid w:val="00B65693"/>
    <w:rsid w:val="00B659C3"/>
    <w:rsid w:val="00B65E24"/>
    <w:rsid w:val="00B65F3D"/>
    <w:rsid w:val="00B65F4D"/>
    <w:rsid w:val="00B65F70"/>
    <w:rsid w:val="00B661C4"/>
    <w:rsid w:val="00B6638A"/>
    <w:rsid w:val="00B664D6"/>
    <w:rsid w:val="00B66641"/>
    <w:rsid w:val="00B66AA0"/>
    <w:rsid w:val="00B66D72"/>
    <w:rsid w:val="00B66E6D"/>
    <w:rsid w:val="00B67003"/>
    <w:rsid w:val="00B670F2"/>
    <w:rsid w:val="00B6711A"/>
    <w:rsid w:val="00B676C7"/>
    <w:rsid w:val="00B676CD"/>
    <w:rsid w:val="00B67793"/>
    <w:rsid w:val="00B679D2"/>
    <w:rsid w:val="00B67AD8"/>
    <w:rsid w:val="00B67C9B"/>
    <w:rsid w:val="00B67E07"/>
    <w:rsid w:val="00B67FCA"/>
    <w:rsid w:val="00B70148"/>
    <w:rsid w:val="00B70192"/>
    <w:rsid w:val="00B7027E"/>
    <w:rsid w:val="00B70385"/>
    <w:rsid w:val="00B7049D"/>
    <w:rsid w:val="00B7085D"/>
    <w:rsid w:val="00B70AAE"/>
    <w:rsid w:val="00B70DD3"/>
    <w:rsid w:val="00B7107E"/>
    <w:rsid w:val="00B710A9"/>
    <w:rsid w:val="00B710CB"/>
    <w:rsid w:val="00B712EB"/>
    <w:rsid w:val="00B714E9"/>
    <w:rsid w:val="00B717FC"/>
    <w:rsid w:val="00B71E92"/>
    <w:rsid w:val="00B71EE8"/>
    <w:rsid w:val="00B71EF0"/>
    <w:rsid w:val="00B7216D"/>
    <w:rsid w:val="00B72200"/>
    <w:rsid w:val="00B72211"/>
    <w:rsid w:val="00B722AD"/>
    <w:rsid w:val="00B723E6"/>
    <w:rsid w:val="00B723F9"/>
    <w:rsid w:val="00B72747"/>
    <w:rsid w:val="00B72788"/>
    <w:rsid w:val="00B7278D"/>
    <w:rsid w:val="00B72831"/>
    <w:rsid w:val="00B72B1E"/>
    <w:rsid w:val="00B72B71"/>
    <w:rsid w:val="00B72D90"/>
    <w:rsid w:val="00B7306E"/>
    <w:rsid w:val="00B73234"/>
    <w:rsid w:val="00B73344"/>
    <w:rsid w:val="00B733B3"/>
    <w:rsid w:val="00B734A2"/>
    <w:rsid w:val="00B73644"/>
    <w:rsid w:val="00B73939"/>
    <w:rsid w:val="00B73BD6"/>
    <w:rsid w:val="00B73C36"/>
    <w:rsid w:val="00B73C4E"/>
    <w:rsid w:val="00B73D02"/>
    <w:rsid w:val="00B73FB6"/>
    <w:rsid w:val="00B73FC7"/>
    <w:rsid w:val="00B74332"/>
    <w:rsid w:val="00B74415"/>
    <w:rsid w:val="00B744F8"/>
    <w:rsid w:val="00B745DC"/>
    <w:rsid w:val="00B74EFF"/>
    <w:rsid w:val="00B751B4"/>
    <w:rsid w:val="00B75390"/>
    <w:rsid w:val="00B753A3"/>
    <w:rsid w:val="00B754D5"/>
    <w:rsid w:val="00B7558E"/>
    <w:rsid w:val="00B755E0"/>
    <w:rsid w:val="00B755F4"/>
    <w:rsid w:val="00B75760"/>
    <w:rsid w:val="00B7578C"/>
    <w:rsid w:val="00B75995"/>
    <w:rsid w:val="00B75A75"/>
    <w:rsid w:val="00B75B0E"/>
    <w:rsid w:val="00B75CBF"/>
    <w:rsid w:val="00B75EBC"/>
    <w:rsid w:val="00B761CE"/>
    <w:rsid w:val="00B763BE"/>
    <w:rsid w:val="00B7691B"/>
    <w:rsid w:val="00B7692E"/>
    <w:rsid w:val="00B76951"/>
    <w:rsid w:val="00B76A3F"/>
    <w:rsid w:val="00B76D7F"/>
    <w:rsid w:val="00B76E81"/>
    <w:rsid w:val="00B77075"/>
    <w:rsid w:val="00B770DD"/>
    <w:rsid w:val="00B7725F"/>
    <w:rsid w:val="00B772E5"/>
    <w:rsid w:val="00B775E3"/>
    <w:rsid w:val="00B776D4"/>
    <w:rsid w:val="00B77905"/>
    <w:rsid w:val="00B77B01"/>
    <w:rsid w:val="00B77CEA"/>
    <w:rsid w:val="00B77CF2"/>
    <w:rsid w:val="00B77E24"/>
    <w:rsid w:val="00B80189"/>
    <w:rsid w:val="00B801FB"/>
    <w:rsid w:val="00B80272"/>
    <w:rsid w:val="00B802C2"/>
    <w:rsid w:val="00B8041D"/>
    <w:rsid w:val="00B806E5"/>
    <w:rsid w:val="00B807DA"/>
    <w:rsid w:val="00B80801"/>
    <w:rsid w:val="00B80C87"/>
    <w:rsid w:val="00B80F7B"/>
    <w:rsid w:val="00B80F9A"/>
    <w:rsid w:val="00B810AC"/>
    <w:rsid w:val="00B81254"/>
    <w:rsid w:val="00B812AB"/>
    <w:rsid w:val="00B8164B"/>
    <w:rsid w:val="00B81782"/>
    <w:rsid w:val="00B81863"/>
    <w:rsid w:val="00B8186C"/>
    <w:rsid w:val="00B819C3"/>
    <w:rsid w:val="00B81F54"/>
    <w:rsid w:val="00B8200F"/>
    <w:rsid w:val="00B824BB"/>
    <w:rsid w:val="00B82644"/>
    <w:rsid w:val="00B82704"/>
    <w:rsid w:val="00B82742"/>
    <w:rsid w:val="00B828B8"/>
    <w:rsid w:val="00B82D52"/>
    <w:rsid w:val="00B82DF5"/>
    <w:rsid w:val="00B82EC8"/>
    <w:rsid w:val="00B82F9D"/>
    <w:rsid w:val="00B82FB0"/>
    <w:rsid w:val="00B8301B"/>
    <w:rsid w:val="00B8305A"/>
    <w:rsid w:val="00B83060"/>
    <w:rsid w:val="00B83221"/>
    <w:rsid w:val="00B8337E"/>
    <w:rsid w:val="00B8342D"/>
    <w:rsid w:val="00B83B6D"/>
    <w:rsid w:val="00B83B9E"/>
    <w:rsid w:val="00B83D47"/>
    <w:rsid w:val="00B83E55"/>
    <w:rsid w:val="00B83EB3"/>
    <w:rsid w:val="00B83EE9"/>
    <w:rsid w:val="00B83F56"/>
    <w:rsid w:val="00B83F77"/>
    <w:rsid w:val="00B840E3"/>
    <w:rsid w:val="00B844D8"/>
    <w:rsid w:val="00B847F4"/>
    <w:rsid w:val="00B8489B"/>
    <w:rsid w:val="00B84962"/>
    <w:rsid w:val="00B84A01"/>
    <w:rsid w:val="00B84C53"/>
    <w:rsid w:val="00B84CF9"/>
    <w:rsid w:val="00B84EB2"/>
    <w:rsid w:val="00B84F25"/>
    <w:rsid w:val="00B85569"/>
    <w:rsid w:val="00B856D5"/>
    <w:rsid w:val="00B85E07"/>
    <w:rsid w:val="00B85FE9"/>
    <w:rsid w:val="00B862B0"/>
    <w:rsid w:val="00B8644C"/>
    <w:rsid w:val="00B8663B"/>
    <w:rsid w:val="00B86747"/>
    <w:rsid w:val="00B86B0E"/>
    <w:rsid w:val="00B86C6D"/>
    <w:rsid w:val="00B87414"/>
    <w:rsid w:val="00B874EE"/>
    <w:rsid w:val="00B87C30"/>
    <w:rsid w:val="00B87D45"/>
    <w:rsid w:val="00B87EAC"/>
    <w:rsid w:val="00B87EFF"/>
    <w:rsid w:val="00B9022C"/>
    <w:rsid w:val="00B90272"/>
    <w:rsid w:val="00B9029A"/>
    <w:rsid w:val="00B90370"/>
    <w:rsid w:val="00B905D8"/>
    <w:rsid w:val="00B90628"/>
    <w:rsid w:val="00B90702"/>
    <w:rsid w:val="00B90A43"/>
    <w:rsid w:val="00B90B9A"/>
    <w:rsid w:val="00B90C77"/>
    <w:rsid w:val="00B91041"/>
    <w:rsid w:val="00B91196"/>
    <w:rsid w:val="00B9122F"/>
    <w:rsid w:val="00B9143C"/>
    <w:rsid w:val="00B91636"/>
    <w:rsid w:val="00B9165D"/>
    <w:rsid w:val="00B91719"/>
    <w:rsid w:val="00B91BBE"/>
    <w:rsid w:val="00B91D44"/>
    <w:rsid w:val="00B91E51"/>
    <w:rsid w:val="00B92126"/>
    <w:rsid w:val="00B921CF"/>
    <w:rsid w:val="00B92264"/>
    <w:rsid w:val="00B92413"/>
    <w:rsid w:val="00B92415"/>
    <w:rsid w:val="00B926B3"/>
    <w:rsid w:val="00B92788"/>
    <w:rsid w:val="00B92834"/>
    <w:rsid w:val="00B928DE"/>
    <w:rsid w:val="00B92A6A"/>
    <w:rsid w:val="00B92B7D"/>
    <w:rsid w:val="00B92D2E"/>
    <w:rsid w:val="00B92DCE"/>
    <w:rsid w:val="00B92ECF"/>
    <w:rsid w:val="00B92F21"/>
    <w:rsid w:val="00B92F8E"/>
    <w:rsid w:val="00B933CE"/>
    <w:rsid w:val="00B9368A"/>
    <w:rsid w:val="00B93884"/>
    <w:rsid w:val="00B93C1A"/>
    <w:rsid w:val="00B93C2A"/>
    <w:rsid w:val="00B93D27"/>
    <w:rsid w:val="00B93D7E"/>
    <w:rsid w:val="00B93EEB"/>
    <w:rsid w:val="00B93F26"/>
    <w:rsid w:val="00B94676"/>
    <w:rsid w:val="00B94686"/>
    <w:rsid w:val="00B947C4"/>
    <w:rsid w:val="00B94995"/>
    <w:rsid w:val="00B949C4"/>
    <w:rsid w:val="00B94AA0"/>
    <w:rsid w:val="00B94AB4"/>
    <w:rsid w:val="00B94EF0"/>
    <w:rsid w:val="00B95313"/>
    <w:rsid w:val="00B95435"/>
    <w:rsid w:val="00B9562E"/>
    <w:rsid w:val="00B95697"/>
    <w:rsid w:val="00B957CB"/>
    <w:rsid w:val="00B957CF"/>
    <w:rsid w:val="00B959D7"/>
    <w:rsid w:val="00B95A88"/>
    <w:rsid w:val="00B95C3C"/>
    <w:rsid w:val="00B95CA2"/>
    <w:rsid w:val="00B95DB4"/>
    <w:rsid w:val="00B95E3F"/>
    <w:rsid w:val="00B95F91"/>
    <w:rsid w:val="00B96145"/>
    <w:rsid w:val="00B96335"/>
    <w:rsid w:val="00B9674A"/>
    <w:rsid w:val="00B96933"/>
    <w:rsid w:val="00B969BA"/>
    <w:rsid w:val="00B96A0E"/>
    <w:rsid w:val="00B96AF4"/>
    <w:rsid w:val="00B96C92"/>
    <w:rsid w:val="00B96D70"/>
    <w:rsid w:val="00B96E93"/>
    <w:rsid w:val="00B96EA9"/>
    <w:rsid w:val="00B971EB"/>
    <w:rsid w:val="00B97250"/>
    <w:rsid w:val="00B97526"/>
    <w:rsid w:val="00B976A0"/>
    <w:rsid w:val="00B976DD"/>
    <w:rsid w:val="00B97896"/>
    <w:rsid w:val="00B9799A"/>
    <w:rsid w:val="00B97CA7"/>
    <w:rsid w:val="00B97D3D"/>
    <w:rsid w:val="00B97FF8"/>
    <w:rsid w:val="00BA0231"/>
    <w:rsid w:val="00BA024F"/>
    <w:rsid w:val="00BA03D8"/>
    <w:rsid w:val="00BA03DD"/>
    <w:rsid w:val="00BA04D9"/>
    <w:rsid w:val="00BA067A"/>
    <w:rsid w:val="00BA084F"/>
    <w:rsid w:val="00BA08FD"/>
    <w:rsid w:val="00BA09CD"/>
    <w:rsid w:val="00BA09D2"/>
    <w:rsid w:val="00BA0AFF"/>
    <w:rsid w:val="00BA0B7A"/>
    <w:rsid w:val="00BA0F65"/>
    <w:rsid w:val="00BA0F9B"/>
    <w:rsid w:val="00BA12B9"/>
    <w:rsid w:val="00BA13FF"/>
    <w:rsid w:val="00BA1735"/>
    <w:rsid w:val="00BA1796"/>
    <w:rsid w:val="00BA1829"/>
    <w:rsid w:val="00BA1868"/>
    <w:rsid w:val="00BA1BBF"/>
    <w:rsid w:val="00BA1D17"/>
    <w:rsid w:val="00BA1E41"/>
    <w:rsid w:val="00BA1E55"/>
    <w:rsid w:val="00BA1F8B"/>
    <w:rsid w:val="00BA206D"/>
    <w:rsid w:val="00BA2097"/>
    <w:rsid w:val="00BA2139"/>
    <w:rsid w:val="00BA2219"/>
    <w:rsid w:val="00BA229F"/>
    <w:rsid w:val="00BA2301"/>
    <w:rsid w:val="00BA28C5"/>
    <w:rsid w:val="00BA2967"/>
    <w:rsid w:val="00BA2A92"/>
    <w:rsid w:val="00BA2B58"/>
    <w:rsid w:val="00BA2BEE"/>
    <w:rsid w:val="00BA2D30"/>
    <w:rsid w:val="00BA2FC3"/>
    <w:rsid w:val="00BA2FF0"/>
    <w:rsid w:val="00BA30C0"/>
    <w:rsid w:val="00BA3128"/>
    <w:rsid w:val="00BA35BE"/>
    <w:rsid w:val="00BA360E"/>
    <w:rsid w:val="00BA398C"/>
    <w:rsid w:val="00BA3B5C"/>
    <w:rsid w:val="00BA3BF4"/>
    <w:rsid w:val="00BA3C14"/>
    <w:rsid w:val="00BA3D45"/>
    <w:rsid w:val="00BA3FCC"/>
    <w:rsid w:val="00BA4575"/>
    <w:rsid w:val="00BA4601"/>
    <w:rsid w:val="00BA49D2"/>
    <w:rsid w:val="00BA4B8C"/>
    <w:rsid w:val="00BA4C1D"/>
    <w:rsid w:val="00BA4C9C"/>
    <w:rsid w:val="00BA4DF3"/>
    <w:rsid w:val="00BA4E97"/>
    <w:rsid w:val="00BA4F81"/>
    <w:rsid w:val="00BA5052"/>
    <w:rsid w:val="00BA55B9"/>
    <w:rsid w:val="00BA587F"/>
    <w:rsid w:val="00BA5AB4"/>
    <w:rsid w:val="00BA5BB0"/>
    <w:rsid w:val="00BA5C13"/>
    <w:rsid w:val="00BA5D06"/>
    <w:rsid w:val="00BA5E07"/>
    <w:rsid w:val="00BA5F80"/>
    <w:rsid w:val="00BA5FF8"/>
    <w:rsid w:val="00BA5FFF"/>
    <w:rsid w:val="00BA6006"/>
    <w:rsid w:val="00BA6061"/>
    <w:rsid w:val="00BA6246"/>
    <w:rsid w:val="00BA637F"/>
    <w:rsid w:val="00BA647A"/>
    <w:rsid w:val="00BA64AD"/>
    <w:rsid w:val="00BA669D"/>
    <w:rsid w:val="00BA68EF"/>
    <w:rsid w:val="00BA6B84"/>
    <w:rsid w:val="00BA6C32"/>
    <w:rsid w:val="00BA7078"/>
    <w:rsid w:val="00BA71C1"/>
    <w:rsid w:val="00BA7294"/>
    <w:rsid w:val="00BA74F7"/>
    <w:rsid w:val="00BA75C3"/>
    <w:rsid w:val="00BA75E5"/>
    <w:rsid w:val="00BA7659"/>
    <w:rsid w:val="00BA7B70"/>
    <w:rsid w:val="00BA7F39"/>
    <w:rsid w:val="00BA7F47"/>
    <w:rsid w:val="00BA7F9E"/>
    <w:rsid w:val="00BB00C9"/>
    <w:rsid w:val="00BB0133"/>
    <w:rsid w:val="00BB03EE"/>
    <w:rsid w:val="00BB065E"/>
    <w:rsid w:val="00BB08FA"/>
    <w:rsid w:val="00BB0A20"/>
    <w:rsid w:val="00BB0B4A"/>
    <w:rsid w:val="00BB0D9E"/>
    <w:rsid w:val="00BB0DA0"/>
    <w:rsid w:val="00BB0FCB"/>
    <w:rsid w:val="00BB0FE2"/>
    <w:rsid w:val="00BB113F"/>
    <w:rsid w:val="00BB134E"/>
    <w:rsid w:val="00BB1474"/>
    <w:rsid w:val="00BB14E7"/>
    <w:rsid w:val="00BB1532"/>
    <w:rsid w:val="00BB16C2"/>
    <w:rsid w:val="00BB19E5"/>
    <w:rsid w:val="00BB1AA5"/>
    <w:rsid w:val="00BB1C21"/>
    <w:rsid w:val="00BB1C2C"/>
    <w:rsid w:val="00BB1DC2"/>
    <w:rsid w:val="00BB1EF8"/>
    <w:rsid w:val="00BB21D7"/>
    <w:rsid w:val="00BB2381"/>
    <w:rsid w:val="00BB247B"/>
    <w:rsid w:val="00BB27E4"/>
    <w:rsid w:val="00BB281A"/>
    <w:rsid w:val="00BB29F6"/>
    <w:rsid w:val="00BB2B49"/>
    <w:rsid w:val="00BB2E76"/>
    <w:rsid w:val="00BB31A0"/>
    <w:rsid w:val="00BB347D"/>
    <w:rsid w:val="00BB3680"/>
    <w:rsid w:val="00BB3A67"/>
    <w:rsid w:val="00BB3AF7"/>
    <w:rsid w:val="00BB3B5D"/>
    <w:rsid w:val="00BB3C52"/>
    <w:rsid w:val="00BB3CB9"/>
    <w:rsid w:val="00BB3D79"/>
    <w:rsid w:val="00BB3D9E"/>
    <w:rsid w:val="00BB3F3D"/>
    <w:rsid w:val="00BB41D4"/>
    <w:rsid w:val="00BB42C4"/>
    <w:rsid w:val="00BB43AC"/>
    <w:rsid w:val="00BB43E3"/>
    <w:rsid w:val="00BB45CE"/>
    <w:rsid w:val="00BB4719"/>
    <w:rsid w:val="00BB4962"/>
    <w:rsid w:val="00BB496E"/>
    <w:rsid w:val="00BB4B5A"/>
    <w:rsid w:val="00BB4C57"/>
    <w:rsid w:val="00BB4D14"/>
    <w:rsid w:val="00BB4E53"/>
    <w:rsid w:val="00BB4F08"/>
    <w:rsid w:val="00BB4FFA"/>
    <w:rsid w:val="00BB50C4"/>
    <w:rsid w:val="00BB51C6"/>
    <w:rsid w:val="00BB53EE"/>
    <w:rsid w:val="00BB5789"/>
    <w:rsid w:val="00BB5B84"/>
    <w:rsid w:val="00BB5D19"/>
    <w:rsid w:val="00BB5EE3"/>
    <w:rsid w:val="00BB5F4C"/>
    <w:rsid w:val="00BB6092"/>
    <w:rsid w:val="00BB661E"/>
    <w:rsid w:val="00BB6B62"/>
    <w:rsid w:val="00BB7031"/>
    <w:rsid w:val="00BB7056"/>
    <w:rsid w:val="00BB7135"/>
    <w:rsid w:val="00BB7193"/>
    <w:rsid w:val="00BB743C"/>
    <w:rsid w:val="00BB74B9"/>
    <w:rsid w:val="00BB7561"/>
    <w:rsid w:val="00BB76C0"/>
    <w:rsid w:val="00BB7764"/>
    <w:rsid w:val="00BB7855"/>
    <w:rsid w:val="00BB788A"/>
    <w:rsid w:val="00BB789A"/>
    <w:rsid w:val="00BB7946"/>
    <w:rsid w:val="00BB7B85"/>
    <w:rsid w:val="00BB7C6D"/>
    <w:rsid w:val="00BB7CA4"/>
    <w:rsid w:val="00BB7E30"/>
    <w:rsid w:val="00BB7F61"/>
    <w:rsid w:val="00BC0177"/>
    <w:rsid w:val="00BC02EC"/>
    <w:rsid w:val="00BC0435"/>
    <w:rsid w:val="00BC047B"/>
    <w:rsid w:val="00BC0558"/>
    <w:rsid w:val="00BC059F"/>
    <w:rsid w:val="00BC05FC"/>
    <w:rsid w:val="00BC06A5"/>
    <w:rsid w:val="00BC0836"/>
    <w:rsid w:val="00BC0928"/>
    <w:rsid w:val="00BC0B7C"/>
    <w:rsid w:val="00BC0F53"/>
    <w:rsid w:val="00BC0F6D"/>
    <w:rsid w:val="00BC1002"/>
    <w:rsid w:val="00BC1047"/>
    <w:rsid w:val="00BC1197"/>
    <w:rsid w:val="00BC119D"/>
    <w:rsid w:val="00BC11D1"/>
    <w:rsid w:val="00BC13F0"/>
    <w:rsid w:val="00BC156B"/>
    <w:rsid w:val="00BC1912"/>
    <w:rsid w:val="00BC1A7C"/>
    <w:rsid w:val="00BC1E39"/>
    <w:rsid w:val="00BC1EA3"/>
    <w:rsid w:val="00BC1ED2"/>
    <w:rsid w:val="00BC236E"/>
    <w:rsid w:val="00BC2421"/>
    <w:rsid w:val="00BC2523"/>
    <w:rsid w:val="00BC2634"/>
    <w:rsid w:val="00BC27D4"/>
    <w:rsid w:val="00BC2A3C"/>
    <w:rsid w:val="00BC2A6A"/>
    <w:rsid w:val="00BC2DD3"/>
    <w:rsid w:val="00BC2E09"/>
    <w:rsid w:val="00BC356C"/>
    <w:rsid w:val="00BC36CC"/>
    <w:rsid w:val="00BC395B"/>
    <w:rsid w:val="00BC3BF7"/>
    <w:rsid w:val="00BC3CAC"/>
    <w:rsid w:val="00BC3D14"/>
    <w:rsid w:val="00BC3D54"/>
    <w:rsid w:val="00BC3E86"/>
    <w:rsid w:val="00BC3FD2"/>
    <w:rsid w:val="00BC40F7"/>
    <w:rsid w:val="00BC447C"/>
    <w:rsid w:val="00BC44CD"/>
    <w:rsid w:val="00BC4552"/>
    <w:rsid w:val="00BC4697"/>
    <w:rsid w:val="00BC4843"/>
    <w:rsid w:val="00BC485F"/>
    <w:rsid w:val="00BC488C"/>
    <w:rsid w:val="00BC4948"/>
    <w:rsid w:val="00BC4A16"/>
    <w:rsid w:val="00BC4C9B"/>
    <w:rsid w:val="00BC4F6A"/>
    <w:rsid w:val="00BC51BD"/>
    <w:rsid w:val="00BC5641"/>
    <w:rsid w:val="00BC5A26"/>
    <w:rsid w:val="00BC5B03"/>
    <w:rsid w:val="00BC5B5F"/>
    <w:rsid w:val="00BC5DC6"/>
    <w:rsid w:val="00BC5E93"/>
    <w:rsid w:val="00BC61E5"/>
    <w:rsid w:val="00BC63D8"/>
    <w:rsid w:val="00BC65EE"/>
    <w:rsid w:val="00BC6808"/>
    <w:rsid w:val="00BC6A91"/>
    <w:rsid w:val="00BC6B2F"/>
    <w:rsid w:val="00BC6C35"/>
    <w:rsid w:val="00BC6DCA"/>
    <w:rsid w:val="00BC6F11"/>
    <w:rsid w:val="00BC7252"/>
    <w:rsid w:val="00BC764F"/>
    <w:rsid w:val="00BC7BA9"/>
    <w:rsid w:val="00BC7C6A"/>
    <w:rsid w:val="00BC7CDF"/>
    <w:rsid w:val="00BC7D5D"/>
    <w:rsid w:val="00BC7DCF"/>
    <w:rsid w:val="00BC7EEE"/>
    <w:rsid w:val="00BC7F22"/>
    <w:rsid w:val="00BC7F70"/>
    <w:rsid w:val="00BD000E"/>
    <w:rsid w:val="00BD0012"/>
    <w:rsid w:val="00BD002D"/>
    <w:rsid w:val="00BD0094"/>
    <w:rsid w:val="00BD017F"/>
    <w:rsid w:val="00BD0220"/>
    <w:rsid w:val="00BD027A"/>
    <w:rsid w:val="00BD0390"/>
    <w:rsid w:val="00BD0678"/>
    <w:rsid w:val="00BD07B4"/>
    <w:rsid w:val="00BD081B"/>
    <w:rsid w:val="00BD0846"/>
    <w:rsid w:val="00BD0A61"/>
    <w:rsid w:val="00BD0BB3"/>
    <w:rsid w:val="00BD0D19"/>
    <w:rsid w:val="00BD0D5D"/>
    <w:rsid w:val="00BD0E38"/>
    <w:rsid w:val="00BD0E55"/>
    <w:rsid w:val="00BD0F0D"/>
    <w:rsid w:val="00BD0F2A"/>
    <w:rsid w:val="00BD0FDC"/>
    <w:rsid w:val="00BD1229"/>
    <w:rsid w:val="00BD14D1"/>
    <w:rsid w:val="00BD1897"/>
    <w:rsid w:val="00BD19DF"/>
    <w:rsid w:val="00BD1C1D"/>
    <w:rsid w:val="00BD1C39"/>
    <w:rsid w:val="00BD1E9E"/>
    <w:rsid w:val="00BD2042"/>
    <w:rsid w:val="00BD2498"/>
    <w:rsid w:val="00BD25A1"/>
    <w:rsid w:val="00BD29C4"/>
    <w:rsid w:val="00BD2A01"/>
    <w:rsid w:val="00BD2A13"/>
    <w:rsid w:val="00BD2B7C"/>
    <w:rsid w:val="00BD2E28"/>
    <w:rsid w:val="00BD2ED5"/>
    <w:rsid w:val="00BD3084"/>
    <w:rsid w:val="00BD3375"/>
    <w:rsid w:val="00BD338E"/>
    <w:rsid w:val="00BD36FE"/>
    <w:rsid w:val="00BD37CE"/>
    <w:rsid w:val="00BD3B03"/>
    <w:rsid w:val="00BD40D3"/>
    <w:rsid w:val="00BD422B"/>
    <w:rsid w:val="00BD4336"/>
    <w:rsid w:val="00BD436F"/>
    <w:rsid w:val="00BD460E"/>
    <w:rsid w:val="00BD46C1"/>
    <w:rsid w:val="00BD4A41"/>
    <w:rsid w:val="00BD4F35"/>
    <w:rsid w:val="00BD4FE7"/>
    <w:rsid w:val="00BD507D"/>
    <w:rsid w:val="00BD5097"/>
    <w:rsid w:val="00BD5396"/>
    <w:rsid w:val="00BD544C"/>
    <w:rsid w:val="00BD5739"/>
    <w:rsid w:val="00BD5899"/>
    <w:rsid w:val="00BD5D75"/>
    <w:rsid w:val="00BD60C3"/>
    <w:rsid w:val="00BD60DC"/>
    <w:rsid w:val="00BD6343"/>
    <w:rsid w:val="00BD6563"/>
    <w:rsid w:val="00BD6655"/>
    <w:rsid w:val="00BD6799"/>
    <w:rsid w:val="00BD6852"/>
    <w:rsid w:val="00BD685A"/>
    <w:rsid w:val="00BD6962"/>
    <w:rsid w:val="00BD6976"/>
    <w:rsid w:val="00BD6A24"/>
    <w:rsid w:val="00BD6A58"/>
    <w:rsid w:val="00BD6B44"/>
    <w:rsid w:val="00BD6C3B"/>
    <w:rsid w:val="00BD6C44"/>
    <w:rsid w:val="00BD7049"/>
    <w:rsid w:val="00BD710D"/>
    <w:rsid w:val="00BD72F1"/>
    <w:rsid w:val="00BD747E"/>
    <w:rsid w:val="00BD78F3"/>
    <w:rsid w:val="00BD797C"/>
    <w:rsid w:val="00BD79BF"/>
    <w:rsid w:val="00BD7A99"/>
    <w:rsid w:val="00BD7B54"/>
    <w:rsid w:val="00BD7F17"/>
    <w:rsid w:val="00BD7FD9"/>
    <w:rsid w:val="00BD7FF0"/>
    <w:rsid w:val="00BD7FF2"/>
    <w:rsid w:val="00BE00E0"/>
    <w:rsid w:val="00BE0454"/>
    <w:rsid w:val="00BE05D4"/>
    <w:rsid w:val="00BE0605"/>
    <w:rsid w:val="00BE06D1"/>
    <w:rsid w:val="00BE08BF"/>
    <w:rsid w:val="00BE0A18"/>
    <w:rsid w:val="00BE0DFA"/>
    <w:rsid w:val="00BE0EAF"/>
    <w:rsid w:val="00BE0F22"/>
    <w:rsid w:val="00BE0FC0"/>
    <w:rsid w:val="00BE109C"/>
    <w:rsid w:val="00BE11E0"/>
    <w:rsid w:val="00BE12B6"/>
    <w:rsid w:val="00BE15CE"/>
    <w:rsid w:val="00BE1B38"/>
    <w:rsid w:val="00BE205F"/>
    <w:rsid w:val="00BE210A"/>
    <w:rsid w:val="00BE217F"/>
    <w:rsid w:val="00BE2489"/>
    <w:rsid w:val="00BE2659"/>
    <w:rsid w:val="00BE26A5"/>
    <w:rsid w:val="00BE26C6"/>
    <w:rsid w:val="00BE2841"/>
    <w:rsid w:val="00BE28BC"/>
    <w:rsid w:val="00BE2939"/>
    <w:rsid w:val="00BE29E5"/>
    <w:rsid w:val="00BE2A2E"/>
    <w:rsid w:val="00BE2AD7"/>
    <w:rsid w:val="00BE2B27"/>
    <w:rsid w:val="00BE2C41"/>
    <w:rsid w:val="00BE2E60"/>
    <w:rsid w:val="00BE3213"/>
    <w:rsid w:val="00BE32C2"/>
    <w:rsid w:val="00BE3511"/>
    <w:rsid w:val="00BE35A1"/>
    <w:rsid w:val="00BE385E"/>
    <w:rsid w:val="00BE386B"/>
    <w:rsid w:val="00BE39DA"/>
    <w:rsid w:val="00BE3A02"/>
    <w:rsid w:val="00BE3EB1"/>
    <w:rsid w:val="00BE42E5"/>
    <w:rsid w:val="00BE4386"/>
    <w:rsid w:val="00BE4740"/>
    <w:rsid w:val="00BE4B0A"/>
    <w:rsid w:val="00BE4B53"/>
    <w:rsid w:val="00BE4E13"/>
    <w:rsid w:val="00BE5280"/>
    <w:rsid w:val="00BE528C"/>
    <w:rsid w:val="00BE54D3"/>
    <w:rsid w:val="00BE5508"/>
    <w:rsid w:val="00BE55A4"/>
    <w:rsid w:val="00BE5AAB"/>
    <w:rsid w:val="00BE5CD3"/>
    <w:rsid w:val="00BE5D2B"/>
    <w:rsid w:val="00BE5D62"/>
    <w:rsid w:val="00BE5DF7"/>
    <w:rsid w:val="00BE5F46"/>
    <w:rsid w:val="00BE5F90"/>
    <w:rsid w:val="00BE5FE6"/>
    <w:rsid w:val="00BE6165"/>
    <w:rsid w:val="00BE62B9"/>
    <w:rsid w:val="00BE64AA"/>
    <w:rsid w:val="00BE6536"/>
    <w:rsid w:val="00BE6754"/>
    <w:rsid w:val="00BE67FF"/>
    <w:rsid w:val="00BE6B35"/>
    <w:rsid w:val="00BE6B8D"/>
    <w:rsid w:val="00BE6C06"/>
    <w:rsid w:val="00BE6CED"/>
    <w:rsid w:val="00BE6D6B"/>
    <w:rsid w:val="00BE6DE3"/>
    <w:rsid w:val="00BE6EDB"/>
    <w:rsid w:val="00BE6F17"/>
    <w:rsid w:val="00BE70FA"/>
    <w:rsid w:val="00BE7119"/>
    <w:rsid w:val="00BE7177"/>
    <w:rsid w:val="00BE74E8"/>
    <w:rsid w:val="00BE7586"/>
    <w:rsid w:val="00BE771D"/>
    <w:rsid w:val="00BE78BB"/>
    <w:rsid w:val="00BE7A4F"/>
    <w:rsid w:val="00BE7E10"/>
    <w:rsid w:val="00BE7EDB"/>
    <w:rsid w:val="00BE7F6E"/>
    <w:rsid w:val="00BF0246"/>
    <w:rsid w:val="00BF03F4"/>
    <w:rsid w:val="00BF05A6"/>
    <w:rsid w:val="00BF0666"/>
    <w:rsid w:val="00BF07F1"/>
    <w:rsid w:val="00BF07FE"/>
    <w:rsid w:val="00BF09C3"/>
    <w:rsid w:val="00BF0AA6"/>
    <w:rsid w:val="00BF0C1D"/>
    <w:rsid w:val="00BF0D11"/>
    <w:rsid w:val="00BF0F2F"/>
    <w:rsid w:val="00BF106F"/>
    <w:rsid w:val="00BF1169"/>
    <w:rsid w:val="00BF11B1"/>
    <w:rsid w:val="00BF1479"/>
    <w:rsid w:val="00BF1617"/>
    <w:rsid w:val="00BF1F9F"/>
    <w:rsid w:val="00BF210A"/>
    <w:rsid w:val="00BF2335"/>
    <w:rsid w:val="00BF23DC"/>
    <w:rsid w:val="00BF246A"/>
    <w:rsid w:val="00BF2857"/>
    <w:rsid w:val="00BF2884"/>
    <w:rsid w:val="00BF29A9"/>
    <w:rsid w:val="00BF2D7B"/>
    <w:rsid w:val="00BF2DFA"/>
    <w:rsid w:val="00BF30C4"/>
    <w:rsid w:val="00BF31BC"/>
    <w:rsid w:val="00BF3399"/>
    <w:rsid w:val="00BF348F"/>
    <w:rsid w:val="00BF3537"/>
    <w:rsid w:val="00BF3617"/>
    <w:rsid w:val="00BF38AD"/>
    <w:rsid w:val="00BF38C4"/>
    <w:rsid w:val="00BF38F9"/>
    <w:rsid w:val="00BF39ED"/>
    <w:rsid w:val="00BF3A76"/>
    <w:rsid w:val="00BF3B06"/>
    <w:rsid w:val="00BF42C2"/>
    <w:rsid w:val="00BF4390"/>
    <w:rsid w:val="00BF44C4"/>
    <w:rsid w:val="00BF4507"/>
    <w:rsid w:val="00BF4516"/>
    <w:rsid w:val="00BF454D"/>
    <w:rsid w:val="00BF47A0"/>
    <w:rsid w:val="00BF49A8"/>
    <w:rsid w:val="00BF4B52"/>
    <w:rsid w:val="00BF4CA2"/>
    <w:rsid w:val="00BF4EEA"/>
    <w:rsid w:val="00BF50D1"/>
    <w:rsid w:val="00BF5136"/>
    <w:rsid w:val="00BF5188"/>
    <w:rsid w:val="00BF523C"/>
    <w:rsid w:val="00BF5511"/>
    <w:rsid w:val="00BF5528"/>
    <w:rsid w:val="00BF58DB"/>
    <w:rsid w:val="00BF5A13"/>
    <w:rsid w:val="00BF5A2C"/>
    <w:rsid w:val="00BF5ABE"/>
    <w:rsid w:val="00BF5FF5"/>
    <w:rsid w:val="00BF6140"/>
    <w:rsid w:val="00BF6142"/>
    <w:rsid w:val="00BF624B"/>
    <w:rsid w:val="00BF62F1"/>
    <w:rsid w:val="00BF6456"/>
    <w:rsid w:val="00BF64C2"/>
    <w:rsid w:val="00BF66AB"/>
    <w:rsid w:val="00BF6757"/>
    <w:rsid w:val="00BF6772"/>
    <w:rsid w:val="00BF6ACF"/>
    <w:rsid w:val="00BF6C5F"/>
    <w:rsid w:val="00BF6E5B"/>
    <w:rsid w:val="00BF6F88"/>
    <w:rsid w:val="00BF6FEE"/>
    <w:rsid w:val="00BF708B"/>
    <w:rsid w:val="00BF7282"/>
    <w:rsid w:val="00BF74B2"/>
    <w:rsid w:val="00BF750C"/>
    <w:rsid w:val="00BF75CC"/>
    <w:rsid w:val="00BF7796"/>
    <w:rsid w:val="00BF78CE"/>
    <w:rsid w:val="00BF79F2"/>
    <w:rsid w:val="00C0027F"/>
    <w:rsid w:val="00C00394"/>
    <w:rsid w:val="00C004AE"/>
    <w:rsid w:val="00C006CA"/>
    <w:rsid w:val="00C009DC"/>
    <w:rsid w:val="00C00AA5"/>
    <w:rsid w:val="00C00D79"/>
    <w:rsid w:val="00C00E6A"/>
    <w:rsid w:val="00C00E6D"/>
    <w:rsid w:val="00C00F15"/>
    <w:rsid w:val="00C00F84"/>
    <w:rsid w:val="00C01155"/>
    <w:rsid w:val="00C011D5"/>
    <w:rsid w:val="00C011DF"/>
    <w:rsid w:val="00C0138E"/>
    <w:rsid w:val="00C0142C"/>
    <w:rsid w:val="00C01513"/>
    <w:rsid w:val="00C015E8"/>
    <w:rsid w:val="00C017D8"/>
    <w:rsid w:val="00C019E0"/>
    <w:rsid w:val="00C01A97"/>
    <w:rsid w:val="00C01DC7"/>
    <w:rsid w:val="00C01F09"/>
    <w:rsid w:val="00C01FE3"/>
    <w:rsid w:val="00C02088"/>
    <w:rsid w:val="00C02198"/>
    <w:rsid w:val="00C02298"/>
    <w:rsid w:val="00C0255B"/>
    <w:rsid w:val="00C026F4"/>
    <w:rsid w:val="00C02896"/>
    <w:rsid w:val="00C02B28"/>
    <w:rsid w:val="00C02C93"/>
    <w:rsid w:val="00C02D3C"/>
    <w:rsid w:val="00C02F33"/>
    <w:rsid w:val="00C031AD"/>
    <w:rsid w:val="00C03417"/>
    <w:rsid w:val="00C0385F"/>
    <w:rsid w:val="00C0387E"/>
    <w:rsid w:val="00C038E0"/>
    <w:rsid w:val="00C03B77"/>
    <w:rsid w:val="00C03C83"/>
    <w:rsid w:val="00C03E93"/>
    <w:rsid w:val="00C03EF8"/>
    <w:rsid w:val="00C03F8A"/>
    <w:rsid w:val="00C04295"/>
    <w:rsid w:val="00C0437B"/>
    <w:rsid w:val="00C045A8"/>
    <w:rsid w:val="00C04679"/>
    <w:rsid w:val="00C04990"/>
    <w:rsid w:val="00C049CD"/>
    <w:rsid w:val="00C04B36"/>
    <w:rsid w:val="00C04B6C"/>
    <w:rsid w:val="00C04BAB"/>
    <w:rsid w:val="00C04C1D"/>
    <w:rsid w:val="00C04D49"/>
    <w:rsid w:val="00C04E6D"/>
    <w:rsid w:val="00C04F88"/>
    <w:rsid w:val="00C050E9"/>
    <w:rsid w:val="00C05139"/>
    <w:rsid w:val="00C054A7"/>
    <w:rsid w:val="00C054B0"/>
    <w:rsid w:val="00C056DF"/>
    <w:rsid w:val="00C05761"/>
    <w:rsid w:val="00C05A33"/>
    <w:rsid w:val="00C05DA4"/>
    <w:rsid w:val="00C05EB8"/>
    <w:rsid w:val="00C05F65"/>
    <w:rsid w:val="00C0600C"/>
    <w:rsid w:val="00C060B1"/>
    <w:rsid w:val="00C061DF"/>
    <w:rsid w:val="00C06285"/>
    <w:rsid w:val="00C0631F"/>
    <w:rsid w:val="00C064D6"/>
    <w:rsid w:val="00C067B7"/>
    <w:rsid w:val="00C0688D"/>
    <w:rsid w:val="00C069E8"/>
    <w:rsid w:val="00C06AFB"/>
    <w:rsid w:val="00C06D7C"/>
    <w:rsid w:val="00C070B7"/>
    <w:rsid w:val="00C0717B"/>
    <w:rsid w:val="00C072BC"/>
    <w:rsid w:val="00C074DD"/>
    <w:rsid w:val="00C077EC"/>
    <w:rsid w:val="00C07A0E"/>
    <w:rsid w:val="00C07AB0"/>
    <w:rsid w:val="00C07AB7"/>
    <w:rsid w:val="00C07B35"/>
    <w:rsid w:val="00C07B59"/>
    <w:rsid w:val="00C07CD4"/>
    <w:rsid w:val="00C07E93"/>
    <w:rsid w:val="00C07F16"/>
    <w:rsid w:val="00C07FA2"/>
    <w:rsid w:val="00C0FD0F"/>
    <w:rsid w:val="00C102E7"/>
    <w:rsid w:val="00C10817"/>
    <w:rsid w:val="00C10A46"/>
    <w:rsid w:val="00C10B33"/>
    <w:rsid w:val="00C10B54"/>
    <w:rsid w:val="00C10B9F"/>
    <w:rsid w:val="00C10CE8"/>
    <w:rsid w:val="00C10E4D"/>
    <w:rsid w:val="00C10F12"/>
    <w:rsid w:val="00C10F77"/>
    <w:rsid w:val="00C11187"/>
    <w:rsid w:val="00C1172C"/>
    <w:rsid w:val="00C1184A"/>
    <w:rsid w:val="00C118E2"/>
    <w:rsid w:val="00C130C0"/>
    <w:rsid w:val="00C130C1"/>
    <w:rsid w:val="00C130F6"/>
    <w:rsid w:val="00C1313B"/>
    <w:rsid w:val="00C1317C"/>
    <w:rsid w:val="00C131AF"/>
    <w:rsid w:val="00C132DA"/>
    <w:rsid w:val="00C133E5"/>
    <w:rsid w:val="00C133FC"/>
    <w:rsid w:val="00C134EE"/>
    <w:rsid w:val="00C13624"/>
    <w:rsid w:val="00C13658"/>
    <w:rsid w:val="00C1371B"/>
    <w:rsid w:val="00C137F9"/>
    <w:rsid w:val="00C13974"/>
    <w:rsid w:val="00C13A02"/>
    <w:rsid w:val="00C13C98"/>
    <w:rsid w:val="00C13D22"/>
    <w:rsid w:val="00C13DD3"/>
    <w:rsid w:val="00C13F2B"/>
    <w:rsid w:val="00C13F51"/>
    <w:rsid w:val="00C13FC4"/>
    <w:rsid w:val="00C140A7"/>
    <w:rsid w:val="00C14130"/>
    <w:rsid w:val="00C141CF"/>
    <w:rsid w:val="00C142A6"/>
    <w:rsid w:val="00C14688"/>
    <w:rsid w:val="00C147DE"/>
    <w:rsid w:val="00C14866"/>
    <w:rsid w:val="00C14B45"/>
    <w:rsid w:val="00C14C3F"/>
    <w:rsid w:val="00C14C5C"/>
    <w:rsid w:val="00C14E81"/>
    <w:rsid w:val="00C14EB7"/>
    <w:rsid w:val="00C14EF0"/>
    <w:rsid w:val="00C14F0B"/>
    <w:rsid w:val="00C14F6C"/>
    <w:rsid w:val="00C1527C"/>
    <w:rsid w:val="00C15720"/>
    <w:rsid w:val="00C1587F"/>
    <w:rsid w:val="00C15912"/>
    <w:rsid w:val="00C15F0C"/>
    <w:rsid w:val="00C1613C"/>
    <w:rsid w:val="00C162DC"/>
    <w:rsid w:val="00C1636C"/>
    <w:rsid w:val="00C164FA"/>
    <w:rsid w:val="00C1659E"/>
    <w:rsid w:val="00C167DB"/>
    <w:rsid w:val="00C167F1"/>
    <w:rsid w:val="00C16B7B"/>
    <w:rsid w:val="00C16B8F"/>
    <w:rsid w:val="00C16DEA"/>
    <w:rsid w:val="00C17036"/>
    <w:rsid w:val="00C170EA"/>
    <w:rsid w:val="00C1716F"/>
    <w:rsid w:val="00C1727F"/>
    <w:rsid w:val="00C17439"/>
    <w:rsid w:val="00C175BC"/>
    <w:rsid w:val="00C1771C"/>
    <w:rsid w:val="00C17A02"/>
    <w:rsid w:val="00C17C27"/>
    <w:rsid w:val="00C17D56"/>
    <w:rsid w:val="00C17E4D"/>
    <w:rsid w:val="00C17E92"/>
    <w:rsid w:val="00C17EF0"/>
    <w:rsid w:val="00C17F4B"/>
    <w:rsid w:val="00C17F96"/>
    <w:rsid w:val="00C2001A"/>
    <w:rsid w:val="00C20355"/>
    <w:rsid w:val="00C2037F"/>
    <w:rsid w:val="00C20419"/>
    <w:rsid w:val="00C2059A"/>
    <w:rsid w:val="00C20714"/>
    <w:rsid w:val="00C20853"/>
    <w:rsid w:val="00C208C2"/>
    <w:rsid w:val="00C208DE"/>
    <w:rsid w:val="00C2091A"/>
    <w:rsid w:val="00C20B4D"/>
    <w:rsid w:val="00C20C46"/>
    <w:rsid w:val="00C20DD7"/>
    <w:rsid w:val="00C20F07"/>
    <w:rsid w:val="00C21084"/>
    <w:rsid w:val="00C211AD"/>
    <w:rsid w:val="00C212BA"/>
    <w:rsid w:val="00C2167B"/>
    <w:rsid w:val="00C216B6"/>
    <w:rsid w:val="00C21AC2"/>
    <w:rsid w:val="00C21F09"/>
    <w:rsid w:val="00C21F35"/>
    <w:rsid w:val="00C2201E"/>
    <w:rsid w:val="00C2204B"/>
    <w:rsid w:val="00C22109"/>
    <w:rsid w:val="00C2216F"/>
    <w:rsid w:val="00C22304"/>
    <w:rsid w:val="00C2240D"/>
    <w:rsid w:val="00C2280F"/>
    <w:rsid w:val="00C22810"/>
    <w:rsid w:val="00C229AC"/>
    <w:rsid w:val="00C22C68"/>
    <w:rsid w:val="00C231D6"/>
    <w:rsid w:val="00C23204"/>
    <w:rsid w:val="00C23287"/>
    <w:rsid w:val="00C23369"/>
    <w:rsid w:val="00C2365C"/>
    <w:rsid w:val="00C23731"/>
    <w:rsid w:val="00C23771"/>
    <w:rsid w:val="00C23877"/>
    <w:rsid w:val="00C23BA0"/>
    <w:rsid w:val="00C23BD7"/>
    <w:rsid w:val="00C23C64"/>
    <w:rsid w:val="00C23D76"/>
    <w:rsid w:val="00C23F47"/>
    <w:rsid w:val="00C23F64"/>
    <w:rsid w:val="00C240B4"/>
    <w:rsid w:val="00C24232"/>
    <w:rsid w:val="00C243CE"/>
    <w:rsid w:val="00C243E6"/>
    <w:rsid w:val="00C244C0"/>
    <w:rsid w:val="00C244E1"/>
    <w:rsid w:val="00C2452C"/>
    <w:rsid w:val="00C2475C"/>
    <w:rsid w:val="00C248B1"/>
    <w:rsid w:val="00C248E7"/>
    <w:rsid w:val="00C249A4"/>
    <w:rsid w:val="00C24D3B"/>
    <w:rsid w:val="00C24D81"/>
    <w:rsid w:val="00C24F21"/>
    <w:rsid w:val="00C24F84"/>
    <w:rsid w:val="00C2507F"/>
    <w:rsid w:val="00C253A5"/>
    <w:rsid w:val="00C254BA"/>
    <w:rsid w:val="00C25505"/>
    <w:rsid w:val="00C255CD"/>
    <w:rsid w:val="00C25649"/>
    <w:rsid w:val="00C25653"/>
    <w:rsid w:val="00C257B2"/>
    <w:rsid w:val="00C2587E"/>
    <w:rsid w:val="00C2589B"/>
    <w:rsid w:val="00C258DC"/>
    <w:rsid w:val="00C25A3F"/>
    <w:rsid w:val="00C25CE2"/>
    <w:rsid w:val="00C25E00"/>
    <w:rsid w:val="00C25E64"/>
    <w:rsid w:val="00C25F9D"/>
    <w:rsid w:val="00C26038"/>
    <w:rsid w:val="00C26188"/>
    <w:rsid w:val="00C2624F"/>
    <w:rsid w:val="00C2626A"/>
    <w:rsid w:val="00C26A8A"/>
    <w:rsid w:val="00C26A97"/>
    <w:rsid w:val="00C26CEF"/>
    <w:rsid w:val="00C26D26"/>
    <w:rsid w:val="00C26DB1"/>
    <w:rsid w:val="00C26F39"/>
    <w:rsid w:val="00C270DE"/>
    <w:rsid w:val="00C27713"/>
    <w:rsid w:val="00C279B3"/>
    <w:rsid w:val="00C279C8"/>
    <w:rsid w:val="00C27AE8"/>
    <w:rsid w:val="00C27C6F"/>
    <w:rsid w:val="00C27C76"/>
    <w:rsid w:val="00C27E00"/>
    <w:rsid w:val="00C27F34"/>
    <w:rsid w:val="00C3008E"/>
    <w:rsid w:val="00C300A6"/>
    <w:rsid w:val="00C3016A"/>
    <w:rsid w:val="00C30301"/>
    <w:rsid w:val="00C30569"/>
    <w:rsid w:val="00C305B1"/>
    <w:rsid w:val="00C305D7"/>
    <w:rsid w:val="00C30670"/>
    <w:rsid w:val="00C306D2"/>
    <w:rsid w:val="00C30992"/>
    <w:rsid w:val="00C30B2B"/>
    <w:rsid w:val="00C30BD9"/>
    <w:rsid w:val="00C30BFC"/>
    <w:rsid w:val="00C30C16"/>
    <w:rsid w:val="00C30C61"/>
    <w:rsid w:val="00C30DF2"/>
    <w:rsid w:val="00C30FA9"/>
    <w:rsid w:val="00C31039"/>
    <w:rsid w:val="00C3139A"/>
    <w:rsid w:val="00C315B7"/>
    <w:rsid w:val="00C317F0"/>
    <w:rsid w:val="00C3184F"/>
    <w:rsid w:val="00C320B3"/>
    <w:rsid w:val="00C32530"/>
    <w:rsid w:val="00C32681"/>
    <w:rsid w:val="00C329EA"/>
    <w:rsid w:val="00C32D9C"/>
    <w:rsid w:val="00C32E10"/>
    <w:rsid w:val="00C32FE2"/>
    <w:rsid w:val="00C3333D"/>
    <w:rsid w:val="00C33726"/>
    <w:rsid w:val="00C3379A"/>
    <w:rsid w:val="00C33C6C"/>
    <w:rsid w:val="00C33E6A"/>
    <w:rsid w:val="00C3421B"/>
    <w:rsid w:val="00C343A0"/>
    <w:rsid w:val="00C343CF"/>
    <w:rsid w:val="00C344E2"/>
    <w:rsid w:val="00C3454B"/>
    <w:rsid w:val="00C3472E"/>
    <w:rsid w:val="00C34875"/>
    <w:rsid w:val="00C348A4"/>
    <w:rsid w:val="00C349DB"/>
    <w:rsid w:val="00C34A5C"/>
    <w:rsid w:val="00C34AA3"/>
    <w:rsid w:val="00C34C22"/>
    <w:rsid w:val="00C34E31"/>
    <w:rsid w:val="00C34EDC"/>
    <w:rsid w:val="00C34FA8"/>
    <w:rsid w:val="00C3518D"/>
    <w:rsid w:val="00C351F7"/>
    <w:rsid w:val="00C35305"/>
    <w:rsid w:val="00C35431"/>
    <w:rsid w:val="00C3575E"/>
    <w:rsid w:val="00C3585A"/>
    <w:rsid w:val="00C3586A"/>
    <w:rsid w:val="00C35C18"/>
    <w:rsid w:val="00C35C40"/>
    <w:rsid w:val="00C35D33"/>
    <w:rsid w:val="00C35DAD"/>
    <w:rsid w:val="00C35E2F"/>
    <w:rsid w:val="00C35F33"/>
    <w:rsid w:val="00C35FF0"/>
    <w:rsid w:val="00C360A6"/>
    <w:rsid w:val="00C36320"/>
    <w:rsid w:val="00C3654F"/>
    <w:rsid w:val="00C36566"/>
    <w:rsid w:val="00C3681C"/>
    <w:rsid w:val="00C368B8"/>
    <w:rsid w:val="00C36937"/>
    <w:rsid w:val="00C369B7"/>
    <w:rsid w:val="00C36A1C"/>
    <w:rsid w:val="00C36A9D"/>
    <w:rsid w:val="00C36DF0"/>
    <w:rsid w:val="00C3727B"/>
    <w:rsid w:val="00C37307"/>
    <w:rsid w:val="00C3769A"/>
    <w:rsid w:val="00C37853"/>
    <w:rsid w:val="00C37933"/>
    <w:rsid w:val="00C3793A"/>
    <w:rsid w:val="00C37D16"/>
    <w:rsid w:val="00C37E59"/>
    <w:rsid w:val="00C37F30"/>
    <w:rsid w:val="00C40263"/>
    <w:rsid w:val="00C402E6"/>
    <w:rsid w:val="00C40370"/>
    <w:rsid w:val="00C4039C"/>
    <w:rsid w:val="00C404AE"/>
    <w:rsid w:val="00C40778"/>
    <w:rsid w:val="00C40CC6"/>
    <w:rsid w:val="00C40E7A"/>
    <w:rsid w:val="00C40FCA"/>
    <w:rsid w:val="00C4101A"/>
    <w:rsid w:val="00C4107A"/>
    <w:rsid w:val="00C41145"/>
    <w:rsid w:val="00C411B7"/>
    <w:rsid w:val="00C41510"/>
    <w:rsid w:val="00C41594"/>
    <w:rsid w:val="00C415A7"/>
    <w:rsid w:val="00C4165B"/>
    <w:rsid w:val="00C4165D"/>
    <w:rsid w:val="00C41A37"/>
    <w:rsid w:val="00C41BF2"/>
    <w:rsid w:val="00C41CD4"/>
    <w:rsid w:val="00C42113"/>
    <w:rsid w:val="00C424F5"/>
    <w:rsid w:val="00C42831"/>
    <w:rsid w:val="00C429FA"/>
    <w:rsid w:val="00C42BDE"/>
    <w:rsid w:val="00C42BFC"/>
    <w:rsid w:val="00C42E82"/>
    <w:rsid w:val="00C42EF9"/>
    <w:rsid w:val="00C42EFF"/>
    <w:rsid w:val="00C42FFD"/>
    <w:rsid w:val="00C43289"/>
    <w:rsid w:val="00C4331F"/>
    <w:rsid w:val="00C43477"/>
    <w:rsid w:val="00C43485"/>
    <w:rsid w:val="00C434AA"/>
    <w:rsid w:val="00C435AE"/>
    <w:rsid w:val="00C436AD"/>
    <w:rsid w:val="00C43835"/>
    <w:rsid w:val="00C43A87"/>
    <w:rsid w:val="00C43ED3"/>
    <w:rsid w:val="00C440C2"/>
    <w:rsid w:val="00C440E5"/>
    <w:rsid w:val="00C44272"/>
    <w:rsid w:val="00C4442B"/>
    <w:rsid w:val="00C44445"/>
    <w:rsid w:val="00C444C6"/>
    <w:rsid w:val="00C444E2"/>
    <w:rsid w:val="00C44615"/>
    <w:rsid w:val="00C447C0"/>
    <w:rsid w:val="00C447D5"/>
    <w:rsid w:val="00C44A3A"/>
    <w:rsid w:val="00C44A59"/>
    <w:rsid w:val="00C44A67"/>
    <w:rsid w:val="00C44A80"/>
    <w:rsid w:val="00C44AA2"/>
    <w:rsid w:val="00C44AA6"/>
    <w:rsid w:val="00C44ADE"/>
    <w:rsid w:val="00C44BCA"/>
    <w:rsid w:val="00C44D2A"/>
    <w:rsid w:val="00C454AC"/>
    <w:rsid w:val="00C455D2"/>
    <w:rsid w:val="00C45AF2"/>
    <w:rsid w:val="00C45B05"/>
    <w:rsid w:val="00C45B12"/>
    <w:rsid w:val="00C45D17"/>
    <w:rsid w:val="00C45D57"/>
    <w:rsid w:val="00C460A7"/>
    <w:rsid w:val="00C461B6"/>
    <w:rsid w:val="00C4622E"/>
    <w:rsid w:val="00C46321"/>
    <w:rsid w:val="00C4644F"/>
    <w:rsid w:val="00C464F4"/>
    <w:rsid w:val="00C46635"/>
    <w:rsid w:val="00C4673B"/>
    <w:rsid w:val="00C467F5"/>
    <w:rsid w:val="00C469C7"/>
    <w:rsid w:val="00C469F0"/>
    <w:rsid w:val="00C46B8F"/>
    <w:rsid w:val="00C46C20"/>
    <w:rsid w:val="00C46C78"/>
    <w:rsid w:val="00C46CFE"/>
    <w:rsid w:val="00C46EA6"/>
    <w:rsid w:val="00C46F8C"/>
    <w:rsid w:val="00C472F0"/>
    <w:rsid w:val="00C4730C"/>
    <w:rsid w:val="00C4747B"/>
    <w:rsid w:val="00C478A0"/>
    <w:rsid w:val="00C47947"/>
    <w:rsid w:val="00C4798F"/>
    <w:rsid w:val="00C479FF"/>
    <w:rsid w:val="00C47A09"/>
    <w:rsid w:val="00C47AD9"/>
    <w:rsid w:val="00C47DF6"/>
    <w:rsid w:val="00C47F1B"/>
    <w:rsid w:val="00C50116"/>
    <w:rsid w:val="00C503E3"/>
    <w:rsid w:val="00C5042A"/>
    <w:rsid w:val="00C5096C"/>
    <w:rsid w:val="00C509AE"/>
    <w:rsid w:val="00C50D0F"/>
    <w:rsid w:val="00C50E4A"/>
    <w:rsid w:val="00C50F28"/>
    <w:rsid w:val="00C51095"/>
    <w:rsid w:val="00C512E8"/>
    <w:rsid w:val="00C5132D"/>
    <w:rsid w:val="00C514FB"/>
    <w:rsid w:val="00C51590"/>
    <w:rsid w:val="00C516A4"/>
    <w:rsid w:val="00C516C9"/>
    <w:rsid w:val="00C5173B"/>
    <w:rsid w:val="00C51909"/>
    <w:rsid w:val="00C51945"/>
    <w:rsid w:val="00C519B8"/>
    <w:rsid w:val="00C51B4C"/>
    <w:rsid w:val="00C51BB0"/>
    <w:rsid w:val="00C51C7C"/>
    <w:rsid w:val="00C51D9C"/>
    <w:rsid w:val="00C51E1A"/>
    <w:rsid w:val="00C51E46"/>
    <w:rsid w:val="00C521AE"/>
    <w:rsid w:val="00C52203"/>
    <w:rsid w:val="00C52206"/>
    <w:rsid w:val="00C522CD"/>
    <w:rsid w:val="00C524B5"/>
    <w:rsid w:val="00C525A3"/>
    <w:rsid w:val="00C52AFE"/>
    <w:rsid w:val="00C52B31"/>
    <w:rsid w:val="00C52CD2"/>
    <w:rsid w:val="00C53040"/>
    <w:rsid w:val="00C5310B"/>
    <w:rsid w:val="00C533CF"/>
    <w:rsid w:val="00C5397F"/>
    <w:rsid w:val="00C5399C"/>
    <w:rsid w:val="00C53A8C"/>
    <w:rsid w:val="00C54457"/>
    <w:rsid w:val="00C545D7"/>
    <w:rsid w:val="00C545D8"/>
    <w:rsid w:val="00C546AF"/>
    <w:rsid w:val="00C54991"/>
    <w:rsid w:val="00C54AE4"/>
    <w:rsid w:val="00C54AEA"/>
    <w:rsid w:val="00C54CC8"/>
    <w:rsid w:val="00C54E9B"/>
    <w:rsid w:val="00C54FC9"/>
    <w:rsid w:val="00C552A0"/>
    <w:rsid w:val="00C553BB"/>
    <w:rsid w:val="00C553C7"/>
    <w:rsid w:val="00C55431"/>
    <w:rsid w:val="00C55521"/>
    <w:rsid w:val="00C5590A"/>
    <w:rsid w:val="00C5593B"/>
    <w:rsid w:val="00C55B9E"/>
    <w:rsid w:val="00C55C86"/>
    <w:rsid w:val="00C55F5B"/>
    <w:rsid w:val="00C55F8B"/>
    <w:rsid w:val="00C560F7"/>
    <w:rsid w:val="00C563E3"/>
    <w:rsid w:val="00C564EF"/>
    <w:rsid w:val="00C56663"/>
    <w:rsid w:val="00C5666C"/>
    <w:rsid w:val="00C5670E"/>
    <w:rsid w:val="00C56817"/>
    <w:rsid w:val="00C5686B"/>
    <w:rsid w:val="00C569C7"/>
    <w:rsid w:val="00C56B36"/>
    <w:rsid w:val="00C56B43"/>
    <w:rsid w:val="00C56B8E"/>
    <w:rsid w:val="00C56BD8"/>
    <w:rsid w:val="00C56E1D"/>
    <w:rsid w:val="00C56E8A"/>
    <w:rsid w:val="00C56F05"/>
    <w:rsid w:val="00C57005"/>
    <w:rsid w:val="00C571DA"/>
    <w:rsid w:val="00C572B6"/>
    <w:rsid w:val="00C572E9"/>
    <w:rsid w:val="00C57680"/>
    <w:rsid w:val="00C576D8"/>
    <w:rsid w:val="00C57F23"/>
    <w:rsid w:val="00C59BBC"/>
    <w:rsid w:val="00C6009B"/>
    <w:rsid w:val="00C6018B"/>
    <w:rsid w:val="00C601DF"/>
    <w:rsid w:val="00C60228"/>
    <w:rsid w:val="00C60529"/>
    <w:rsid w:val="00C60758"/>
    <w:rsid w:val="00C60AC3"/>
    <w:rsid w:val="00C60CC3"/>
    <w:rsid w:val="00C60F89"/>
    <w:rsid w:val="00C60F91"/>
    <w:rsid w:val="00C60FFF"/>
    <w:rsid w:val="00C6125B"/>
    <w:rsid w:val="00C61279"/>
    <w:rsid w:val="00C613D6"/>
    <w:rsid w:val="00C6144F"/>
    <w:rsid w:val="00C6159D"/>
    <w:rsid w:val="00C618F6"/>
    <w:rsid w:val="00C61B88"/>
    <w:rsid w:val="00C61C66"/>
    <w:rsid w:val="00C61E24"/>
    <w:rsid w:val="00C620FB"/>
    <w:rsid w:val="00C623AA"/>
    <w:rsid w:val="00C62789"/>
    <w:rsid w:val="00C628C8"/>
    <w:rsid w:val="00C628FD"/>
    <w:rsid w:val="00C6290C"/>
    <w:rsid w:val="00C62E30"/>
    <w:rsid w:val="00C62F00"/>
    <w:rsid w:val="00C62FAF"/>
    <w:rsid w:val="00C630E0"/>
    <w:rsid w:val="00C63146"/>
    <w:rsid w:val="00C631F0"/>
    <w:rsid w:val="00C6323D"/>
    <w:rsid w:val="00C63370"/>
    <w:rsid w:val="00C633D6"/>
    <w:rsid w:val="00C63738"/>
    <w:rsid w:val="00C637CF"/>
    <w:rsid w:val="00C638F9"/>
    <w:rsid w:val="00C63B69"/>
    <w:rsid w:val="00C63CBA"/>
    <w:rsid w:val="00C64115"/>
    <w:rsid w:val="00C641AF"/>
    <w:rsid w:val="00C6422C"/>
    <w:rsid w:val="00C64560"/>
    <w:rsid w:val="00C645F4"/>
    <w:rsid w:val="00C645FE"/>
    <w:rsid w:val="00C646A1"/>
    <w:rsid w:val="00C646F7"/>
    <w:rsid w:val="00C64850"/>
    <w:rsid w:val="00C64998"/>
    <w:rsid w:val="00C64BB9"/>
    <w:rsid w:val="00C64C5C"/>
    <w:rsid w:val="00C64D89"/>
    <w:rsid w:val="00C6512C"/>
    <w:rsid w:val="00C65198"/>
    <w:rsid w:val="00C65235"/>
    <w:rsid w:val="00C6544F"/>
    <w:rsid w:val="00C654ED"/>
    <w:rsid w:val="00C65594"/>
    <w:rsid w:val="00C6586B"/>
    <w:rsid w:val="00C65AFD"/>
    <w:rsid w:val="00C65B0C"/>
    <w:rsid w:val="00C65B95"/>
    <w:rsid w:val="00C65CAC"/>
    <w:rsid w:val="00C65CC1"/>
    <w:rsid w:val="00C65E20"/>
    <w:rsid w:val="00C65E2F"/>
    <w:rsid w:val="00C65F09"/>
    <w:rsid w:val="00C660CA"/>
    <w:rsid w:val="00C660D4"/>
    <w:rsid w:val="00C66108"/>
    <w:rsid w:val="00C662C9"/>
    <w:rsid w:val="00C66439"/>
    <w:rsid w:val="00C66702"/>
    <w:rsid w:val="00C667CF"/>
    <w:rsid w:val="00C6690F"/>
    <w:rsid w:val="00C66913"/>
    <w:rsid w:val="00C66929"/>
    <w:rsid w:val="00C66D4D"/>
    <w:rsid w:val="00C67315"/>
    <w:rsid w:val="00C67381"/>
    <w:rsid w:val="00C67685"/>
    <w:rsid w:val="00C67742"/>
    <w:rsid w:val="00C678B7"/>
    <w:rsid w:val="00C67906"/>
    <w:rsid w:val="00C67923"/>
    <w:rsid w:val="00C67A3C"/>
    <w:rsid w:val="00C67A7C"/>
    <w:rsid w:val="00C67C04"/>
    <w:rsid w:val="00C67C3D"/>
    <w:rsid w:val="00C70007"/>
    <w:rsid w:val="00C70179"/>
    <w:rsid w:val="00C70317"/>
    <w:rsid w:val="00C70373"/>
    <w:rsid w:val="00C706D1"/>
    <w:rsid w:val="00C7098B"/>
    <w:rsid w:val="00C70C3E"/>
    <w:rsid w:val="00C70E5E"/>
    <w:rsid w:val="00C71125"/>
    <w:rsid w:val="00C713F9"/>
    <w:rsid w:val="00C71441"/>
    <w:rsid w:val="00C71460"/>
    <w:rsid w:val="00C714F1"/>
    <w:rsid w:val="00C715F5"/>
    <w:rsid w:val="00C7184B"/>
    <w:rsid w:val="00C718B1"/>
    <w:rsid w:val="00C719A7"/>
    <w:rsid w:val="00C71A5C"/>
    <w:rsid w:val="00C71ABF"/>
    <w:rsid w:val="00C71B05"/>
    <w:rsid w:val="00C71B0A"/>
    <w:rsid w:val="00C71CF4"/>
    <w:rsid w:val="00C71DF8"/>
    <w:rsid w:val="00C71E2A"/>
    <w:rsid w:val="00C71FA7"/>
    <w:rsid w:val="00C71FD1"/>
    <w:rsid w:val="00C72004"/>
    <w:rsid w:val="00C720AE"/>
    <w:rsid w:val="00C7253E"/>
    <w:rsid w:val="00C7289B"/>
    <w:rsid w:val="00C728B8"/>
    <w:rsid w:val="00C72AB4"/>
    <w:rsid w:val="00C72D4F"/>
    <w:rsid w:val="00C7309A"/>
    <w:rsid w:val="00C73185"/>
    <w:rsid w:val="00C73524"/>
    <w:rsid w:val="00C73598"/>
    <w:rsid w:val="00C735E0"/>
    <w:rsid w:val="00C73616"/>
    <w:rsid w:val="00C739FC"/>
    <w:rsid w:val="00C73AEF"/>
    <w:rsid w:val="00C73AF3"/>
    <w:rsid w:val="00C73BAB"/>
    <w:rsid w:val="00C73D31"/>
    <w:rsid w:val="00C73DF5"/>
    <w:rsid w:val="00C73F95"/>
    <w:rsid w:val="00C74012"/>
    <w:rsid w:val="00C7406A"/>
    <w:rsid w:val="00C7428F"/>
    <w:rsid w:val="00C7430A"/>
    <w:rsid w:val="00C744B7"/>
    <w:rsid w:val="00C74592"/>
    <w:rsid w:val="00C7466D"/>
    <w:rsid w:val="00C74696"/>
    <w:rsid w:val="00C746E5"/>
    <w:rsid w:val="00C748CA"/>
    <w:rsid w:val="00C74B85"/>
    <w:rsid w:val="00C74DA7"/>
    <w:rsid w:val="00C74FA3"/>
    <w:rsid w:val="00C752D3"/>
    <w:rsid w:val="00C75336"/>
    <w:rsid w:val="00C75347"/>
    <w:rsid w:val="00C75521"/>
    <w:rsid w:val="00C755AD"/>
    <w:rsid w:val="00C756C1"/>
    <w:rsid w:val="00C7570A"/>
    <w:rsid w:val="00C75863"/>
    <w:rsid w:val="00C75959"/>
    <w:rsid w:val="00C759A1"/>
    <w:rsid w:val="00C75A85"/>
    <w:rsid w:val="00C75BEE"/>
    <w:rsid w:val="00C75D6C"/>
    <w:rsid w:val="00C75EC5"/>
    <w:rsid w:val="00C75F84"/>
    <w:rsid w:val="00C760BC"/>
    <w:rsid w:val="00C7632C"/>
    <w:rsid w:val="00C766B9"/>
    <w:rsid w:val="00C7688E"/>
    <w:rsid w:val="00C76A94"/>
    <w:rsid w:val="00C76CA0"/>
    <w:rsid w:val="00C76CEC"/>
    <w:rsid w:val="00C76DEE"/>
    <w:rsid w:val="00C76DFA"/>
    <w:rsid w:val="00C76E02"/>
    <w:rsid w:val="00C76EAB"/>
    <w:rsid w:val="00C76F28"/>
    <w:rsid w:val="00C7713D"/>
    <w:rsid w:val="00C7742C"/>
    <w:rsid w:val="00C774A2"/>
    <w:rsid w:val="00C77542"/>
    <w:rsid w:val="00C77556"/>
    <w:rsid w:val="00C776A5"/>
    <w:rsid w:val="00C77721"/>
    <w:rsid w:val="00C778F5"/>
    <w:rsid w:val="00C77A76"/>
    <w:rsid w:val="00C77AB6"/>
    <w:rsid w:val="00C77BBE"/>
    <w:rsid w:val="00C77D4C"/>
    <w:rsid w:val="00C77E62"/>
    <w:rsid w:val="00C80058"/>
    <w:rsid w:val="00C80063"/>
    <w:rsid w:val="00C800A3"/>
    <w:rsid w:val="00C800B8"/>
    <w:rsid w:val="00C8059A"/>
    <w:rsid w:val="00C8060E"/>
    <w:rsid w:val="00C80A31"/>
    <w:rsid w:val="00C80CBE"/>
    <w:rsid w:val="00C80D69"/>
    <w:rsid w:val="00C80F48"/>
    <w:rsid w:val="00C8101D"/>
    <w:rsid w:val="00C81A74"/>
    <w:rsid w:val="00C81A9B"/>
    <w:rsid w:val="00C81B02"/>
    <w:rsid w:val="00C81D30"/>
    <w:rsid w:val="00C81E9F"/>
    <w:rsid w:val="00C81FE4"/>
    <w:rsid w:val="00C81FFC"/>
    <w:rsid w:val="00C82157"/>
    <w:rsid w:val="00C8220E"/>
    <w:rsid w:val="00C822D2"/>
    <w:rsid w:val="00C823C5"/>
    <w:rsid w:val="00C8243F"/>
    <w:rsid w:val="00C8299F"/>
    <w:rsid w:val="00C829C1"/>
    <w:rsid w:val="00C82D31"/>
    <w:rsid w:val="00C82F5F"/>
    <w:rsid w:val="00C82F63"/>
    <w:rsid w:val="00C83011"/>
    <w:rsid w:val="00C831AF"/>
    <w:rsid w:val="00C834CD"/>
    <w:rsid w:val="00C835CC"/>
    <w:rsid w:val="00C83753"/>
    <w:rsid w:val="00C8386A"/>
    <w:rsid w:val="00C83877"/>
    <w:rsid w:val="00C838F2"/>
    <w:rsid w:val="00C83A57"/>
    <w:rsid w:val="00C83AE3"/>
    <w:rsid w:val="00C83B25"/>
    <w:rsid w:val="00C83EDD"/>
    <w:rsid w:val="00C83F84"/>
    <w:rsid w:val="00C84096"/>
    <w:rsid w:val="00C84100"/>
    <w:rsid w:val="00C842C1"/>
    <w:rsid w:val="00C84586"/>
    <w:rsid w:val="00C849A6"/>
    <w:rsid w:val="00C84B23"/>
    <w:rsid w:val="00C84C8C"/>
    <w:rsid w:val="00C84C9B"/>
    <w:rsid w:val="00C84D0E"/>
    <w:rsid w:val="00C84D19"/>
    <w:rsid w:val="00C84E35"/>
    <w:rsid w:val="00C84ECE"/>
    <w:rsid w:val="00C85019"/>
    <w:rsid w:val="00C85029"/>
    <w:rsid w:val="00C85146"/>
    <w:rsid w:val="00C85207"/>
    <w:rsid w:val="00C852EB"/>
    <w:rsid w:val="00C8538C"/>
    <w:rsid w:val="00C854C8"/>
    <w:rsid w:val="00C854DC"/>
    <w:rsid w:val="00C85742"/>
    <w:rsid w:val="00C858D9"/>
    <w:rsid w:val="00C85971"/>
    <w:rsid w:val="00C85D0A"/>
    <w:rsid w:val="00C85D29"/>
    <w:rsid w:val="00C86023"/>
    <w:rsid w:val="00C861B8"/>
    <w:rsid w:val="00C86244"/>
    <w:rsid w:val="00C86384"/>
    <w:rsid w:val="00C8652F"/>
    <w:rsid w:val="00C86549"/>
    <w:rsid w:val="00C86654"/>
    <w:rsid w:val="00C8680B"/>
    <w:rsid w:val="00C8683E"/>
    <w:rsid w:val="00C8684B"/>
    <w:rsid w:val="00C86949"/>
    <w:rsid w:val="00C8698A"/>
    <w:rsid w:val="00C869D0"/>
    <w:rsid w:val="00C869E9"/>
    <w:rsid w:val="00C86B51"/>
    <w:rsid w:val="00C86CF7"/>
    <w:rsid w:val="00C86F8C"/>
    <w:rsid w:val="00C86FDA"/>
    <w:rsid w:val="00C86FF2"/>
    <w:rsid w:val="00C87240"/>
    <w:rsid w:val="00C8736F"/>
    <w:rsid w:val="00C8745F"/>
    <w:rsid w:val="00C87705"/>
    <w:rsid w:val="00C879E3"/>
    <w:rsid w:val="00C879F3"/>
    <w:rsid w:val="00C87D31"/>
    <w:rsid w:val="00C87D92"/>
    <w:rsid w:val="00C9001F"/>
    <w:rsid w:val="00C9064A"/>
    <w:rsid w:val="00C90662"/>
    <w:rsid w:val="00C90664"/>
    <w:rsid w:val="00C90683"/>
    <w:rsid w:val="00C907F4"/>
    <w:rsid w:val="00C90A6A"/>
    <w:rsid w:val="00C90EAA"/>
    <w:rsid w:val="00C90EC7"/>
    <w:rsid w:val="00C90F35"/>
    <w:rsid w:val="00C90F5F"/>
    <w:rsid w:val="00C90FEE"/>
    <w:rsid w:val="00C91299"/>
    <w:rsid w:val="00C91353"/>
    <w:rsid w:val="00C913A5"/>
    <w:rsid w:val="00C9142D"/>
    <w:rsid w:val="00C91488"/>
    <w:rsid w:val="00C916D7"/>
    <w:rsid w:val="00C91A3C"/>
    <w:rsid w:val="00C91A60"/>
    <w:rsid w:val="00C91B9B"/>
    <w:rsid w:val="00C91D2C"/>
    <w:rsid w:val="00C924D1"/>
    <w:rsid w:val="00C925E1"/>
    <w:rsid w:val="00C92600"/>
    <w:rsid w:val="00C9293B"/>
    <w:rsid w:val="00C92B27"/>
    <w:rsid w:val="00C92B55"/>
    <w:rsid w:val="00C92C37"/>
    <w:rsid w:val="00C92C8A"/>
    <w:rsid w:val="00C92D68"/>
    <w:rsid w:val="00C92D9B"/>
    <w:rsid w:val="00C92DC4"/>
    <w:rsid w:val="00C92DD9"/>
    <w:rsid w:val="00C92E1E"/>
    <w:rsid w:val="00C92F0E"/>
    <w:rsid w:val="00C93036"/>
    <w:rsid w:val="00C93090"/>
    <w:rsid w:val="00C931CB"/>
    <w:rsid w:val="00C9335F"/>
    <w:rsid w:val="00C933F1"/>
    <w:rsid w:val="00C93445"/>
    <w:rsid w:val="00C939BE"/>
    <w:rsid w:val="00C93CDE"/>
    <w:rsid w:val="00C93D6D"/>
    <w:rsid w:val="00C93DEA"/>
    <w:rsid w:val="00C93F5F"/>
    <w:rsid w:val="00C9423C"/>
    <w:rsid w:val="00C946A9"/>
    <w:rsid w:val="00C946B6"/>
    <w:rsid w:val="00C947AA"/>
    <w:rsid w:val="00C947D3"/>
    <w:rsid w:val="00C947F8"/>
    <w:rsid w:val="00C947F9"/>
    <w:rsid w:val="00C9487B"/>
    <w:rsid w:val="00C948C7"/>
    <w:rsid w:val="00C94C91"/>
    <w:rsid w:val="00C94D13"/>
    <w:rsid w:val="00C94DFC"/>
    <w:rsid w:val="00C94E6D"/>
    <w:rsid w:val="00C95295"/>
    <w:rsid w:val="00C9544C"/>
    <w:rsid w:val="00C95605"/>
    <w:rsid w:val="00C95646"/>
    <w:rsid w:val="00C956E3"/>
    <w:rsid w:val="00C956EE"/>
    <w:rsid w:val="00C95DCC"/>
    <w:rsid w:val="00C95E53"/>
    <w:rsid w:val="00C95F3B"/>
    <w:rsid w:val="00C95FAD"/>
    <w:rsid w:val="00C9616B"/>
    <w:rsid w:val="00C96198"/>
    <w:rsid w:val="00C96322"/>
    <w:rsid w:val="00C96417"/>
    <w:rsid w:val="00C96732"/>
    <w:rsid w:val="00C96881"/>
    <w:rsid w:val="00C9688E"/>
    <w:rsid w:val="00C96974"/>
    <w:rsid w:val="00C969F2"/>
    <w:rsid w:val="00C97123"/>
    <w:rsid w:val="00C97341"/>
    <w:rsid w:val="00C9734B"/>
    <w:rsid w:val="00C974BB"/>
    <w:rsid w:val="00C974FC"/>
    <w:rsid w:val="00C97893"/>
    <w:rsid w:val="00CA01A9"/>
    <w:rsid w:val="00CA021B"/>
    <w:rsid w:val="00CA06AD"/>
    <w:rsid w:val="00CA074D"/>
    <w:rsid w:val="00CA0894"/>
    <w:rsid w:val="00CA0B8A"/>
    <w:rsid w:val="00CA0EB0"/>
    <w:rsid w:val="00CA0F3F"/>
    <w:rsid w:val="00CA1006"/>
    <w:rsid w:val="00CA1225"/>
    <w:rsid w:val="00CA13D8"/>
    <w:rsid w:val="00CA1418"/>
    <w:rsid w:val="00CA1444"/>
    <w:rsid w:val="00CA14EF"/>
    <w:rsid w:val="00CA1733"/>
    <w:rsid w:val="00CA1A65"/>
    <w:rsid w:val="00CA1A85"/>
    <w:rsid w:val="00CA1CB1"/>
    <w:rsid w:val="00CA217A"/>
    <w:rsid w:val="00CA2265"/>
    <w:rsid w:val="00CA23F2"/>
    <w:rsid w:val="00CA24E9"/>
    <w:rsid w:val="00CA26E5"/>
    <w:rsid w:val="00CA2773"/>
    <w:rsid w:val="00CA27BD"/>
    <w:rsid w:val="00CA2A89"/>
    <w:rsid w:val="00CA2CD7"/>
    <w:rsid w:val="00CA2FE6"/>
    <w:rsid w:val="00CA30DE"/>
    <w:rsid w:val="00CA3125"/>
    <w:rsid w:val="00CA33CE"/>
    <w:rsid w:val="00CA3506"/>
    <w:rsid w:val="00CA38A2"/>
    <w:rsid w:val="00CA3DC3"/>
    <w:rsid w:val="00CA40C0"/>
    <w:rsid w:val="00CA40F2"/>
    <w:rsid w:val="00CA414C"/>
    <w:rsid w:val="00CA43B5"/>
    <w:rsid w:val="00CA49B9"/>
    <w:rsid w:val="00CA4A39"/>
    <w:rsid w:val="00CA4B9D"/>
    <w:rsid w:val="00CA4BF4"/>
    <w:rsid w:val="00CA4C01"/>
    <w:rsid w:val="00CA4D91"/>
    <w:rsid w:val="00CA4E09"/>
    <w:rsid w:val="00CA4E53"/>
    <w:rsid w:val="00CA4F82"/>
    <w:rsid w:val="00CA512C"/>
    <w:rsid w:val="00CA5292"/>
    <w:rsid w:val="00CA52A5"/>
    <w:rsid w:val="00CA52B0"/>
    <w:rsid w:val="00CA5350"/>
    <w:rsid w:val="00CA536E"/>
    <w:rsid w:val="00CA548C"/>
    <w:rsid w:val="00CA5637"/>
    <w:rsid w:val="00CA5A62"/>
    <w:rsid w:val="00CA5D7A"/>
    <w:rsid w:val="00CA6144"/>
    <w:rsid w:val="00CA614A"/>
    <w:rsid w:val="00CA634C"/>
    <w:rsid w:val="00CA6466"/>
    <w:rsid w:val="00CA656C"/>
    <w:rsid w:val="00CA667D"/>
    <w:rsid w:val="00CA66B2"/>
    <w:rsid w:val="00CA6711"/>
    <w:rsid w:val="00CA68AE"/>
    <w:rsid w:val="00CA698C"/>
    <w:rsid w:val="00CA6B9A"/>
    <w:rsid w:val="00CA6C24"/>
    <w:rsid w:val="00CA6C60"/>
    <w:rsid w:val="00CA6C94"/>
    <w:rsid w:val="00CA6CD9"/>
    <w:rsid w:val="00CA6F7B"/>
    <w:rsid w:val="00CA7091"/>
    <w:rsid w:val="00CA7190"/>
    <w:rsid w:val="00CA7276"/>
    <w:rsid w:val="00CA72AE"/>
    <w:rsid w:val="00CA7350"/>
    <w:rsid w:val="00CA741B"/>
    <w:rsid w:val="00CA741E"/>
    <w:rsid w:val="00CA761C"/>
    <w:rsid w:val="00CA776F"/>
    <w:rsid w:val="00CA78BE"/>
    <w:rsid w:val="00CA7D04"/>
    <w:rsid w:val="00CA7DB7"/>
    <w:rsid w:val="00CA7E00"/>
    <w:rsid w:val="00CA7EFD"/>
    <w:rsid w:val="00CA7F29"/>
    <w:rsid w:val="00CA7F35"/>
    <w:rsid w:val="00CA7F5F"/>
    <w:rsid w:val="00CB05A7"/>
    <w:rsid w:val="00CB07ED"/>
    <w:rsid w:val="00CB0AA3"/>
    <w:rsid w:val="00CB0C98"/>
    <w:rsid w:val="00CB0D23"/>
    <w:rsid w:val="00CB0DD9"/>
    <w:rsid w:val="00CB0F53"/>
    <w:rsid w:val="00CB0FD9"/>
    <w:rsid w:val="00CB1071"/>
    <w:rsid w:val="00CB1252"/>
    <w:rsid w:val="00CB1341"/>
    <w:rsid w:val="00CB1530"/>
    <w:rsid w:val="00CB182D"/>
    <w:rsid w:val="00CB1B10"/>
    <w:rsid w:val="00CB1B68"/>
    <w:rsid w:val="00CB1DCF"/>
    <w:rsid w:val="00CB1E9E"/>
    <w:rsid w:val="00CB1F0C"/>
    <w:rsid w:val="00CB215D"/>
    <w:rsid w:val="00CB2162"/>
    <w:rsid w:val="00CB21EB"/>
    <w:rsid w:val="00CB22D6"/>
    <w:rsid w:val="00CB239F"/>
    <w:rsid w:val="00CB2612"/>
    <w:rsid w:val="00CB2779"/>
    <w:rsid w:val="00CB2A18"/>
    <w:rsid w:val="00CB2B73"/>
    <w:rsid w:val="00CB2C2B"/>
    <w:rsid w:val="00CB2CB4"/>
    <w:rsid w:val="00CB2CDE"/>
    <w:rsid w:val="00CB3236"/>
    <w:rsid w:val="00CB335A"/>
    <w:rsid w:val="00CB3384"/>
    <w:rsid w:val="00CB3480"/>
    <w:rsid w:val="00CB3517"/>
    <w:rsid w:val="00CB3989"/>
    <w:rsid w:val="00CB3C7F"/>
    <w:rsid w:val="00CB3CBF"/>
    <w:rsid w:val="00CB3DD9"/>
    <w:rsid w:val="00CB3F2C"/>
    <w:rsid w:val="00CB41C1"/>
    <w:rsid w:val="00CB44C0"/>
    <w:rsid w:val="00CB4671"/>
    <w:rsid w:val="00CB47D6"/>
    <w:rsid w:val="00CB4870"/>
    <w:rsid w:val="00CB4886"/>
    <w:rsid w:val="00CB4B1C"/>
    <w:rsid w:val="00CB4B87"/>
    <w:rsid w:val="00CB4E60"/>
    <w:rsid w:val="00CB4FFC"/>
    <w:rsid w:val="00CB4FFF"/>
    <w:rsid w:val="00CB555A"/>
    <w:rsid w:val="00CB55D8"/>
    <w:rsid w:val="00CB5820"/>
    <w:rsid w:val="00CB58E5"/>
    <w:rsid w:val="00CB5AFF"/>
    <w:rsid w:val="00CB5C17"/>
    <w:rsid w:val="00CB5C81"/>
    <w:rsid w:val="00CB5E58"/>
    <w:rsid w:val="00CB5F41"/>
    <w:rsid w:val="00CB5FF8"/>
    <w:rsid w:val="00CB601D"/>
    <w:rsid w:val="00CB6513"/>
    <w:rsid w:val="00CB65A8"/>
    <w:rsid w:val="00CB6820"/>
    <w:rsid w:val="00CB697A"/>
    <w:rsid w:val="00CB6A4A"/>
    <w:rsid w:val="00CB6C32"/>
    <w:rsid w:val="00CB6D79"/>
    <w:rsid w:val="00CB70D2"/>
    <w:rsid w:val="00CB730A"/>
    <w:rsid w:val="00CB74CE"/>
    <w:rsid w:val="00CB77A5"/>
    <w:rsid w:val="00CB7975"/>
    <w:rsid w:val="00CB79A8"/>
    <w:rsid w:val="00CB7BBD"/>
    <w:rsid w:val="00CB7C01"/>
    <w:rsid w:val="00CB7C2F"/>
    <w:rsid w:val="00CB7CDA"/>
    <w:rsid w:val="00CB7DFC"/>
    <w:rsid w:val="00CC0027"/>
    <w:rsid w:val="00CC036C"/>
    <w:rsid w:val="00CC03C6"/>
    <w:rsid w:val="00CC0636"/>
    <w:rsid w:val="00CC071E"/>
    <w:rsid w:val="00CC0863"/>
    <w:rsid w:val="00CC0946"/>
    <w:rsid w:val="00CC0A1B"/>
    <w:rsid w:val="00CC0B60"/>
    <w:rsid w:val="00CC0B91"/>
    <w:rsid w:val="00CC0F25"/>
    <w:rsid w:val="00CC0F84"/>
    <w:rsid w:val="00CC0FA2"/>
    <w:rsid w:val="00CC1138"/>
    <w:rsid w:val="00CC11F1"/>
    <w:rsid w:val="00CC1402"/>
    <w:rsid w:val="00CC1507"/>
    <w:rsid w:val="00CC157C"/>
    <w:rsid w:val="00CC1600"/>
    <w:rsid w:val="00CC1644"/>
    <w:rsid w:val="00CC1770"/>
    <w:rsid w:val="00CC1AFF"/>
    <w:rsid w:val="00CC1C01"/>
    <w:rsid w:val="00CC1CF0"/>
    <w:rsid w:val="00CC1DF9"/>
    <w:rsid w:val="00CC1F34"/>
    <w:rsid w:val="00CC22CE"/>
    <w:rsid w:val="00CC2300"/>
    <w:rsid w:val="00CC23F3"/>
    <w:rsid w:val="00CC24F8"/>
    <w:rsid w:val="00CC275F"/>
    <w:rsid w:val="00CC285C"/>
    <w:rsid w:val="00CC2865"/>
    <w:rsid w:val="00CC2883"/>
    <w:rsid w:val="00CC2887"/>
    <w:rsid w:val="00CC2941"/>
    <w:rsid w:val="00CC2A89"/>
    <w:rsid w:val="00CC2B89"/>
    <w:rsid w:val="00CC2D7E"/>
    <w:rsid w:val="00CC2DBA"/>
    <w:rsid w:val="00CC37D9"/>
    <w:rsid w:val="00CC3AA1"/>
    <w:rsid w:val="00CC3C1A"/>
    <w:rsid w:val="00CC3C3F"/>
    <w:rsid w:val="00CC3F45"/>
    <w:rsid w:val="00CC3F64"/>
    <w:rsid w:val="00CC421C"/>
    <w:rsid w:val="00CC42F6"/>
    <w:rsid w:val="00CC4410"/>
    <w:rsid w:val="00CC4465"/>
    <w:rsid w:val="00CC44C4"/>
    <w:rsid w:val="00CC45D0"/>
    <w:rsid w:val="00CC495C"/>
    <w:rsid w:val="00CC49F8"/>
    <w:rsid w:val="00CC4B5B"/>
    <w:rsid w:val="00CC5555"/>
    <w:rsid w:val="00CC58EC"/>
    <w:rsid w:val="00CC5C01"/>
    <w:rsid w:val="00CC5F33"/>
    <w:rsid w:val="00CC5FA8"/>
    <w:rsid w:val="00CC626F"/>
    <w:rsid w:val="00CC6276"/>
    <w:rsid w:val="00CC6781"/>
    <w:rsid w:val="00CC67D0"/>
    <w:rsid w:val="00CC68DB"/>
    <w:rsid w:val="00CC69E4"/>
    <w:rsid w:val="00CC6A2A"/>
    <w:rsid w:val="00CC6B73"/>
    <w:rsid w:val="00CC6B76"/>
    <w:rsid w:val="00CC6C2B"/>
    <w:rsid w:val="00CC6F0D"/>
    <w:rsid w:val="00CC7053"/>
    <w:rsid w:val="00CC7204"/>
    <w:rsid w:val="00CC721D"/>
    <w:rsid w:val="00CC721F"/>
    <w:rsid w:val="00CC73C0"/>
    <w:rsid w:val="00CC7492"/>
    <w:rsid w:val="00CC755C"/>
    <w:rsid w:val="00CC7709"/>
    <w:rsid w:val="00CC7AC4"/>
    <w:rsid w:val="00CC7D99"/>
    <w:rsid w:val="00CC7E48"/>
    <w:rsid w:val="00CC7E76"/>
    <w:rsid w:val="00CC7EA9"/>
    <w:rsid w:val="00CC7F5D"/>
    <w:rsid w:val="00CD0105"/>
    <w:rsid w:val="00CD0124"/>
    <w:rsid w:val="00CD0145"/>
    <w:rsid w:val="00CD06C3"/>
    <w:rsid w:val="00CD098B"/>
    <w:rsid w:val="00CD09DC"/>
    <w:rsid w:val="00CD0C1F"/>
    <w:rsid w:val="00CD0C6B"/>
    <w:rsid w:val="00CD0C7A"/>
    <w:rsid w:val="00CD13EE"/>
    <w:rsid w:val="00CD151C"/>
    <w:rsid w:val="00CD1580"/>
    <w:rsid w:val="00CD1584"/>
    <w:rsid w:val="00CD192F"/>
    <w:rsid w:val="00CD19BA"/>
    <w:rsid w:val="00CD1B2B"/>
    <w:rsid w:val="00CD1B63"/>
    <w:rsid w:val="00CD1B77"/>
    <w:rsid w:val="00CD1BD0"/>
    <w:rsid w:val="00CD1CAE"/>
    <w:rsid w:val="00CD1E8E"/>
    <w:rsid w:val="00CD1FBE"/>
    <w:rsid w:val="00CD2002"/>
    <w:rsid w:val="00CD2038"/>
    <w:rsid w:val="00CD206C"/>
    <w:rsid w:val="00CD2153"/>
    <w:rsid w:val="00CD23B6"/>
    <w:rsid w:val="00CD25AF"/>
    <w:rsid w:val="00CD25E8"/>
    <w:rsid w:val="00CD2696"/>
    <w:rsid w:val="00CD26D8"/>
    <w:rsid w:val="00CD2710"/>
    <w:rsid w:val="00CD2866"/>
    <w:rsid w:val="00CD2B70"/>
    <w:rsid w:val="00CD2C16"/>
    <w:rsid w:val="00CD2DC5"/>
    <w:rsid w:val="00CD2EDF"/>
    <w:rsid w:val="00CD32CA"/>
    <w:rsid w:val="00CD32E2"/>
    <w:rsid w:val="00CD3436"/>
    <w:rsid w:val="00CD345F"/>
    <w:rsid w:val="00CD3650"/>
    <w:rsid w:val="00CD36D4"/>
    <w:rsid w:val="00CD39E4"/>
    <w:rsid w:val="00CD3ACC"/>
    <w:rsid w:val="00CD3B8B"/>
    <w:rsid w:val="00CD401B"/>
    <w:rsid w:val="00CD409E"/>
    <w:rsid w:val="00CD4286"/>
    <w:rsid w:val="00CD4359"/>
    <w:rsid w:val="00CD46A1"/>
    <w:rsid w:val="00CD46E8"/>
    <w:rsid w:val="00CD4725"/>
    <w:rsid w:val="00CD47CC"/>
    <w:rsid w:val="00CD4BFE"/>
    <w:rsid w:val="00CD4D30"/>
    <w:rsid w:val="00CD4FCA"/>
    <w:rsid w:val="00CD5194"/>
    <w:rsid w:val="00CD51B7"/>
    <w:rsid w:val="00CD550A"/>
    <w:rsid w:val="00CD5712"/>
    <w:rsid w:val="00CD5CB2"/>
    <w:rsid w:val="00CD5CC4"/>
    <w:rsid w:val="00CD604D"/>
    <w:rsid w:val="00CD6085"/>
    <w:rsid w:val="00CD60F0"/>
    <w:rsid w:val="00CD631F"/>
    <w:rsid w:val="00CD641D"/>
    <w:rsid w:val="00CD6624"/>
    <w:rsid w:val="00CD67D2"/>
    <w:rsid w:val="00CD68CC"/>
    <w:rsid w:val="00CD6C08"/>
    <w:rsid w:val="00CD6DB1"/>
    <w:rsid w:val="00CD6E28"/>
    <w:rsid w:val="00CD7289"/>
    <w:rsid w:val="00CD734C"/>
    <w:rsid w:val="00CD74BC"/>
    <w:rsid w:val="00CD75E7"/>
    <w:rsid w:val="00CD767C"/>
    <w:rsid w:val="00CD7772"/>
    <w:rsid w:val="00CD7980"/>
    <w:rsid w:val="00CD7A1A"/>
    <w:rsid w:val="00CD7B78"/>
    <w:rsid w:val="00CD7DFA"/>
    <w:rsid w:val="00CD7E42"/>
    <w:rsid w:val="00CD7EDD"/>
    <w:rsid w:val="00CE0099"/>
    <w:rsid w:val="00CE00FE"/>
    <w:rsid w:val="00CE01E9"/>
    <w:rsid w:val="00CE0224"/>
    <w:rsid w:val="00CE0389"/>
    <w:rsid w:val="00CE06D4"/>
    <w:rsid w:val="00CE0766"/>
    <w:rsid w:val="00CE0843"/>
    <w:rsid w:val="00CE085E"/>
    <w:rsid w:val="00CE08D3"/>
    <w:rsid w:val="00CE0A5A"/>
    <w:rsid w:val="00CE0F31"/>
    <w:rsid w:val="00CE1021"/>
    <w:rsid w:val="00CE110F"/>
    <w:rsid w:val="00CE11DD"/>
    <w:rsid w:val="00CE124C"/>
    <w:rsid w:val="00CE136E"/>
    <w:rsid w:val="00CE1450"/>
    <w:rsid w:val="00CE1899"/>
    <w:rsid w:val="00CE192C"/>
    <w:rsid w:val="00CE1945"/>
    <w:rsid w:val="00CE1E98"/>
    <w:rsid w:val="00CE20C9"/>
    <w:rsid w:val="00CE23CC"/>
    <w:rsid w:val="00CE2526"/>
    <w:rsid w:val="00CE25B3"/>
    <w:rsid w:val="00CE25D7"/>
    <w:rsid w:val="00CE25FC"/>
    <w:rsid w:val="00CE2AC3"/>
    <w:rsid w:val="00CE2BB4"/>
    <w:rsid w:val="00CE2CE1"/>
    <w:rsid w:val="00CE2FB5"/>
    <w:rsid w:val="00CE30CE"/>
    <w:rsid w:val="00CE31A2"/>
    <w:rsid w:val="00CE32D4"/>
    <w:rsid w:val="00CE3366"/>
    <w:rsid w:val="00CE37D7"/>
    <w:rsid w:val="00CE387B"/>
    <w:rsid w:val="00CE38A8"/>
    <w:rsid w:val="00CE39E6"/>
    <w:rsid w:val="00CE3AF1"/>
    <w:rsid w:val="00CE3B41"/>
    <w:rsid w:val="00CE3B81"/>
    <w:rsid w:val="00CE3CB4"/>
    <w:rsid w:val="00CE3D58"/>
    <w:rsid w:val="00CE3FEB"/>
    <w:rsid w:val="00CE3FF7"/>
    <w:rsid w:val="00CE409F"/>
    <w:rsid w:val="00CE4463"/>
    <w:rsid w:val="00CE46EB"/>
    <w:rsid w:val="00CE472D"/>
    <w:rsid w:val="00CE48B2"/>
    <w:rsid w:val="00CE4957"/>
    <w:rsid w:val="00CE49D4"/>
    <w:rsid w:val="00CE4BC4"/>
    <w:rsid w:val="00CE4E45"/>
    <w:rsid w:val="00CE4ED9"/>
    <w:rsid w:val="00CE4F74"/>
    <w:rsid w:val="00CE55F3"/>
    <w:rsid w:val="00CE564E"/>
    <w:rsid w:val="00CE566E"/>
    <w:rsid w:val="00CE57CA"/>
    <w:rsid w:val="00CE58D4"/>
    <w:rsid w:val="00CE5BD6"/>
    <w:rsid w:val="00CE5ECC"/>
    <w:rsid w:val="00CE6012"/>
    <w:rsid w:val="00CE617C"/>
    <w:rsid w:val="00CE6236"/>
    <w:rsid w:val="00CE624A"/>
    <w:rsid w:val="00CE6349"/>
    <w:rsid w:val="00CE639F"/>
    <w:rsid w:val="00CE6485"/>
    <w:rsid w:val="00CE65F3"/>
    <w:rsid w:val="00CE6603"/>
    <w:rsid w:val="00CE6607"/>
    <w:rsid w:val="00CE681B"/>
    <w:rsid w:val="00CE68AE"/>
    <w:rsid w:val="00CE6B0F"/>
    <w:rsid w:val="00CE6C4A"/>
    <w:rsid w:val="00CE6DA3"/>
    <w:rsid w:val="00CE6FAD"/>
    <w:rsid w:val="00CE7052"/>
    <w:rsid w:val="00CE72D4"/>
    <w:rsid w:val="00CE7405"/>
    <w:rsid w:val="00CE7411"/>
    <w:rsid w:val="00CE74DD"/>
    <w:rsid w:val="00CE76A6"/>
    <w:rsid w:val="00CE79C6"/>
    <w:rsid w:val="00CE7A04"/>
    <w:rsid w:val="00CE7A14"/>
    <w:rsid w:val="00CE7C48"/>
    <w:rsid w:val="00CE7C70"/>
    <w:rsid w:val="00CE7DBD"/>
    <w:rsid w:val="00CE7E04"/>
    <w:rsid w:val="00CE7E9C"/>
    <w:rsid w:val="00CE7EF0"/>
    <w:rsid w:val="00CE7F69"/>
    <w:rsid w:val="00CE7FAF"/>
    <w:rsid w:val="00CE7FBF"/>
    <w:rsid w:val="00CF0027"/>
    <w:rsid w:val="00CF08B5"/>
    <w:rsid w:val="00CF0E38"/>
    <w:rsid w:val="00CF1384"/>
    <w:rsid w:val="00CF151F"/>
    <w:rsid w:val="00CF17AE"/>
    <w:rsid w:val="00CF18A7"/>
    <w:rsid w:val="00CF1CA0"/>
    <w:rsid w:val="00CF1DC8"/>
    <w:rsid w:val="00CF1F40"/>
    <w:rsid w:val="00CF2276"/>
    <w:rsid w:val="00CF2313"/>
    <w:rsid w:val="00CF2385"/>
    <w:rsid w:val="00CF2443"/>
    <w:rsid w:val="00CF24F8"/>
    <w:rsid w:val="00CF2647"/>
    <w:rsid w:val="00CF2968"/>
    <w:rsid w:val="00CF29AB"/>
    <w:rsid w:val="00CF2AE5"/>
    <w:rsid w:val="00CF2B85"/>
    <w:rsid w:val="00CF2D20"/>
    <w:rsid w:val="00CF2D43"/>
    <w:rsid w:val="00CF2EF0"/>
    <w:rsid w:val="00CF2F4A"/>
    <w:rsid w:val="00CF30FC"/>
    <w:rsid w:val="00CF31D6"/>
    <w:rsid w:val="00CF33B3"/>
    <w:rsid w:val="00CF34B5"/>
    <w:rsid w:val="00CF3792"/>
    <w:rsid w:val="00CF37AC"/>
    <w:rsid w:val="00CF3E00"/>
    <w:rsid w:val="00CF4480"/>
    <w:rsid w:val="00CF4502"/>
    <w:rsid w:val="00CF4775"/>
    <w:rsid w:val="00CF47DF"/>
    <w:rsid w:val="00CF4967"/>
    <w:rsid w:val="00CF4971"/>
    <w:rsid w:val="00CF49F5"/>
    <w:rsid w:val="00CF4B47"/>
    <w:rsid w:val="00CF4B52"/>
    <w:rsid w:val="00CF4D62"/>
    <w:rsid w:val="00CF4E42"/>
    <w:rsid w:val="00CF4F67"/>
    <w:rsid w:val="00CF507F"/>
    <w:rsid w:val="00CF5258"/>
    <w:rsid w:val="00CF52AD"/>
    <w:rsid w:val="00CF5377"/>
    <w:rsid w:val="00CF571F"/>
    <w:rsid w:val="00CF584E"/>
    <w:rsid w:val="00CF5B6C"/>
    <w:rsid w:val="00CF5DFD"/>
    <w:rsid w:val="00CF5F6E"/>
    <w:rsid w:val="00CF609E"/>
    <w:rsid w:val="00CF60E1"/>
    <w:rsid w:val="00CF6284"/>
    <w:rsid w:val="00CF6295"/>
    <w:rsid w:val="00CF62BE"/>
    <w:rsid w:val="00CF6387"/>
    <w:rsid w:val="00CF63EB"/>
    <w:rsid w:val="00CF6672"/>
    <w:rsid w:val="00CF675C"/>
    <w:rsid w:val="00CF6913"/>
    <w:rsid w:val="00CF6968"/>
    <w:rsid w:val="00CF6971"/>
    <w:rsid w:val="00CF6985"/>
    <w:rsid w:val="00CF6BE5"/>
    <w:rsid w:val="00CF6C36"/>
    <w:rsid w:val="00CF6CC9"/>
    <w:rsid w:val="00CF6DF0"/>
    <w:rsid w:val="00CF6F32"/>
    <w:rsid w:val="00CF6F76"/>
    <w:rsid w:val="00CF70FA"/>
    <w:rsid w:val="00CF73A2"/>
    <w:rsid w:val="00CF73F7"/>
    <w:rsid w:val="00CF7430"/>
    <w:rsid w:val="00CF74FD"/>
    <w:rsid w:val="00CF7714"/>
    <w:rsid w:val="00CF7741"/>
    <w:rsid w:val="00CF7B12"/>
    <w:rsid w:val="00CF7D3D"/>
    <w:rsid w:val="00CF7D53"/>
    <w:rsid w:val="00CF7DF4"/>
    <w:rsid w:val="00CF7FC8"/>
    <w:rsid w:val="00D004AE"/>
    <w:rsid w:val="00D00B7E"/>
    <w:rsid w:val="00D00C97"/>
    <w:rsid w:val="00D011C6"/>
    <w:rsid w:val="00D012F0"/>
    <w:rsid w:val="00D0164B"/>
    <w:rsid w:val="00D01930"/>
    <w:rsid w:val="00D01966"/>
    <w:rsid w:val="00D01CC3"/>
    <w:rsid w:val="00D01D65"/>
    <w:rsid w:val="00D02148"/>
    <w:rsid w:val="00D0226D"/>
    <w:rsid w:val="00D023E3"/>
    <w:rsid w:val="00D024AD"/>
    <w:rsid w:val="00D025CF"/>
    <w:rsid w:val="00D025F6"/>
    <w:rsid w:val="00D026F2"/>
    <w:rsid w:val="00D0287C"/>
    <w:rsid w:val="00D02C97"/>
    <w:rsid w:val="00D0358D"/>
    <w:rsid w:val="00D035F3"/>
    <w:rsid w:val="00D0379F"/>
    <w:rsid w:val="00D0389F"/>
    <w:rsid w:val="00D03A7D"/>
    <w:rsid w:val="00D03AEB"/>
    <w:rsid w:val="00D03BD0"/>
    <w:rsid w:val="00D03CE5"/>
    <w:rsid w:val="00D03D33"/>
    <w:rsid w:val="00D03EBE"/>
    <w:rsid w:val="00D03F87"/>
    <w:rsid w:val="00D0408F"/>
    <w:rsid w:val="00D0436F"/>
    <w:rsid w:val="00D0468E"/>
    <w:rsid w:val="00D047BE"/>
    <w:rsid w:val="00D04888"/>
    <w:rsid w:val="00D04C79"/>
    <w:rsid w:val="00D04CA9"/>
    <w:rsid w:val="00D05124"/>
    <w:rsid w:val="00D05135"/>
    <w:rsid w:val="00D051D5"/>
    <w:rsid w:val="00D052E3"/>
    <w:rsid w:val="00D0536D"/>
    <w:rsid w:val="00D05812"/>
    <w:rsid w:val="00D058B2"/>
    <w:rsid w:val="00D05AD2"/>
    <w:rsid w:val="00D05E09"/>
    <w:rsid w:val="00D05E2E"/>
    <w:rsid w:val="00D06369"/>
    <w:rsid w:val="00D063AA"/>
    <w:rsid w:val="00D0647D"/>
    <w:rsid w:val="00D06531"/>
    <w:rsid w:val="00D066A2"/>
    <w:rsid w:val="00D06813"/>
    <w:rsid w:val="00D069D9"/>
    <w:rsid w:val="00D06A2E"/>
    <w:rsid w:val="00D06B2F"/>
    <w:rsid w:val="00D06CDE"/>
    <w:rsid w:val="00D06D21"/>
    <w:rsid w:val="00D06EE6"/>
    <w:rsid w:val="00D06F4F"/>
    <w:rsid w:val="00D073C0"/>
    <w:rsid w:val="00D075EA"/>
    <w:rsid w:val="00D0796D"/>
    <w:rsid w:val="00D07B4F"/>
    <w:rsid w:val="00D07D5D"/>
    <w:rsid w:val="00D07EA2"/>
    <w:rsid w:val="00D07F4E"/>
    <w:rsid w:val="00D07FEB"/>
    <w:rsid w:val="00D1006B"/>
    <w:rsid w:val="00D1007E"/>
    <w:rsid w:val="00D100C3"/>
    <w:rsid w:val="00D102E6"/>
    <w:rsid w:val="00D102F1"/>
    <w:rsid w:val="00D1040C"/>
    <w:rsid w:val="00D10493"/>
    <w:rsid w:val="00D10519"/>
    <w:rsid w:val="00D10617"/>
    <w:rsid w:val="00D10A4B"/>
    <w:rsid w:val="00D10BDD"/>
    <w:rsid w:val="00D10C22"/>
    <w:rsid w:val="00D10C69"/>
    <w:rsid w:val="00D11435"/>
    <w:rsid w:val="00D118DC"/>
    <w:rsid w:val="00D11A3F"/>
    <w:rsid w:val="00D11AF4"/>
    <w:rsid w:val="00D11D7F"/>
    <w:rsid w:val="00D11F12"/>
    <w:rsid w:val="00D12014"/>
    <w:rsid w:val="00D1215F"/>
    <w:rsid w:val="00D121DF"/>
    <w:rsid w:val="00D1247B"/>
    <w:rsid w:val="00D124CC"/>
    <w:rsid w:val="00D12701"/>
    <w:rsid w:val="00D1299E"/>
    <w:rsid w:val="00D12A91"/>
    <w:rsid w:val="00D12AE5"/>
    <w:rsid w:val="00D12B1E"/>
    <w:rsid w:val="00D12B5A"/>
    <w:rsid w:val="00D12F29"/>
    <w:rsid w:val="00D12F2C"/>
    <w:rsid w:val="00D13059"/>
    <w:rsid w:val="00D1305A"/>
    <w:rsid w:val="00D136C3"/>
    <w:rsid w:val="00D13789"/>
    <w:rsid w:val="00D138CE"/>
    <w:rsid w:val="00D13A2E"/>
    <w:rsid w:val="00D13B99"/>
    <w:rsid w:val="00D13F52"/>
    <w:rsid w:val="00D13FF5"/>
    <w:rsid w:val="00D14026"/>
    <w:rsid w:val="00D14145"/>
    <w:rsid w:val="00D1423E"/>
    <w:rsid w:val="00D1424F"/>
    <w:rsid w:val="00D14256"/>
    <w:rsid w:val="00D14294"/>
    <w:rsid w:val="00D14352"/>
    <w:rsid w:val="00D143B3"/>
    <w:rsid w:val="00D1460F"/>
    <w:rsid w:val="00D147E0"/>
    <w:rsid w:val="00D148B9"/>
    <w:rsid w:val="00D148E0"/>
    <w:rsid w:val="00D1490B"/>
    <w:rsid w:val="00D14924"/>
    <w:rsid w:val="00D14A64"/>
    <w:rsid w:val="00D14B6A"/>
    <w:rsid w:val="00D14D01"/>
    <w:rsid w:val="00D14DD2"/>
    <w:rsid w:val="00D14E44"/>
    <w:rsid w:val="00D14F79"/>
    <w:rsid w:val="00D1515A"/>
    <w:rsid w:val="00D15405"/>
    <w:rsid w:val="00D1565D"/>
    <w:rsid w:val="00D15819"/>
    <w:rsid w:val="00D15D63"/>
    <w:rsid w:val="00D15DF8"/>
    <w:rsid w:val="00D15FAE"/>
    <w:rsid w:val="00D16061"/>
    <w:rsid w:val="00D16211"/>
    <w:rsid w:val="00D162FB"/>
    <w:rsid w:val="00D16509"/>
    <w:rsid w:val="00D1656D"/>
    <w:rsid w:val="00D16625"/>
    <w:rsid w:val="00D16AE4"/>
    <w:rsid w:val="00D16C2E"/>
    <w:rsid w:val="00D16E79"/>
    <w:rsid w:val="00D16F1A"/>
    <w:rsid w:val="00D16FF5"/>
    <w:rsid w:val="00D171B4"/>
    <w:rsid w:val="00D1723B"/>
    <w:rsid w:val="00D173A3"/>
    <w:rsid w:val="00D1748C"/>
    <w:rsid w:val="00D1763D"/>
    <w:rsid w:val="00D177A3"/>
    <w:rsid w:val="00D177AC"/>
    <w:rsid w:val="00D17814"/>
    <w:rsid w:val="00D17956"/>
    <w:rsid w:val="00D17AE6"/>
    <w:rsid w:val="00D17D84"/>
    <w:rsid w:val="00D2021B"/>
    <w:rsid w:val="00D2040E"/>
    <w:rsid w:val="00D20902"/>
    <w:rsid w:val="00D20966"/>
    <w:rsid w:val="00D20AE9"/>
    <w:rsid w:val="00D20BA0"/>
    <w:rsid w:val="00D219B1"/>
    <w:rsid w:val="00D21D08"/>
    <w:rsid w:val="00D2221D"/>
    <w:rsid w:val="00D222E3"/>
    <w:rsid w:val="00D22359"/>
    <w:rsid w:val="00D2255B"/>
    <w:rsid w:val="00D226A2"/>
    <w:rsid w:val="00D22901"/>
    <w:rsid w:val="00D22B78"/>
    <w:rsid w:val="00D22CC7"/>
    <w:rsid w:val="00D22F92"/>
    <w:rsid w:val="00D2320D"/>
    <w:rsid w:val="00D23377"/>
    <w:rsid w:val="00D2348E"/>
    <w:rsid w:val="00D236C7"/>
    <w:rsid w:val="00D23735"/>
    <w:rsid w:val="00D23954"/>
    <w:rsid w:val="00D23988"/>
    <w:rsid w:val="00D23C83"/>
    <w:rsid w:val="00D23D2B"/>
    <w:rsid w:val="00D23E0E"/>
    <w:rsid w:val="00D23F76"/>
    <w:rsid w:val="00D242B4"/>
    <w:rsid w:val="00D2436D"/>
    <w:rsid w:val="00D24830"/>
    <w:rsid w:val="00D249C4"/>
    <w:rsid w:val="00D24B81"/>
    <w:rsid w:val="00D24C7C"/>
    <w:rsid w:val="00D24F53"/>
    <w:rsid w:val="00D2507D"/>
    <w:rsid w:val="00D253D8"/>
    <w:rsid w:val="00D25578"/>
    <w:rsid w:val="00D255A1"/>
    <w:rsid w:val="00D2566A"/>
    <w:rsid w:val="00D25B29"/>
    <w:rsid w:val="00D25D16"/>
    <w:rsid w:val="00D25E1E"/>
    <w:rsid w:val="00D25E9C"/>
    <w:rsid w:val="00D25EAE"/>
    <w:rsid w:val="00D25F5C"/>
    <w:rsid w:val="00D26149"/>
    <w:rsid w:val="00D264F5"/>
    <w:rsid w:val="00D2650A"/>
    <w:rsid w:val="00D265F8"/>
    <w:rsid w:val="00D26711"/>
    <w:rsid w:val="00D26901"/>
    <w:rsid w:val="00D26AEF"/>
    <w:rsid w:val="00D26D39"/>
    <w:rsid w:val="00D26DF5"/>
    <w:rsid w:val="00D27003"/>
    <w:rsid w:val="00D275A2"/>
    <w:rsid w:val="00D275AB"/>
    <w:rsid w:val="00D275FD"/>
    <w:rsid w:val="00D27910"/>
    <w:rsid w:val="00D27B1F"/>
    <w:rsid w:val="00D27D7B"/>
    <w:rsid w:val="00D300FD"/>
    <w:rsid w:val="00D3013A"/>
    <w:rsid w:val="00D30181"/>
    <w:rsid w:val="00D3026B"/>
    <w:rsid w:val="00D3028B"/>
    <w:rsid w:val="00D302A7"/>
    <w:rsid w:val="00D30488"/>
    <w:rsid w:val="00D30712"/>
    <w:rsid w:val="00D3074E"/>
    <w:rsid w:val="00D308FC"/>
    <w:rsid w:val="00D30A72"/>
    <w:rsid w:val="00D30ABD"/>
    <w:rsid w:val="00D30D4C"/>
    <w:rsid w:val="00D30EB4"/>
    <w:rsid w:val="00D312B0"/>
    <w:rsid w:val="00D31488"/>
    <w:rsid w:val="00D31537"/>
    <w:rsid w:val="00D316E3"/>
    <w:rsid w:val="00D31B36"/>
    <w:rsid w:val="00D31FD1"/>
    <w:rsid w:val="00D31FF5"/>
    <w:rsid w:val="00D32378"/>
    <w:rsid w:val="00D3274E"/>
    <w:rsid w:val="00D3296A"/>
    <w:rsid w:val="00D32A4F"/>
    <w:rsid w:val="00D32AD0"/>
    <w:rsid w:val="00D32D74"/>
    <w:rsid w:val="00D32EC1"/>
    <w:rsid w:val="00D33143"/>
    <w:rsid w:val="00D333FA"/>
    <w:rsid w:val="00D33453"/>
    <w:rsid w:val="00D335FF"/>
    <w:rsid w:val="00D336BC"/>
    <w:rsid w:val="00D3376B"/>
    <w:rsid w:val="00D3386D"/>
    <w:rsid w:val="00D33ABA"/>
    <w:rsid w:val="00D33BAB"/>
    <w:rsid w:val="00D33D2E"/>
    <w:rsid w:val="00D33EF8"/>
    <w:rsid w:val="00D34036"/>
    <w:rsid w:val="00D3407B"/>
    <w:rsid w:val="00D340E9"/>
    <w:rsid w:val="00D3432C"/>
    <w:rsid w:val="00D34375"/>
    <w:rsid w:val="00D34432"/>
    <w:rsid w:val="00D3455D"/>
    <w:rsid w:val="00D347D2"/>
    <w:rsid w:val="00D3482A"/>
    <w:rsid w:val="00D348D6"/>
    <w:rsid w:val="00D34923"/>
    <w:rsid w:val="00D349B0"/>
    <w:rsid w:val="00D349BE"/>
    <w:rsid w:val="00D34A10"/>
    <w:rsid w:val="00D34B4A"/>
    <w:rsid w:val="00D34D59"/>
    <w:rsid w:val="00D35015"/>
    <w:rsid w:val="00D351B4"/>
    <w:rsid w:val="00D3520D"/>
    <w:rsid w:val="00D353D4"/>
    <w:rsid w:val="00D354AF"/>
    <w:rsid w:val="00D35750"/>
    <w:rsid w:val="00D358A4"/>
    <w:rsid w:val="00D358C0"/>
    <w:rsid w:val="00D35949"/>
    <w:rsid w:val="00D3594D"/>
    <w:rsid w:val="00D3594E"/>
    <w:rsid w:val="00D35A66"/>
    <w:rsid w:val="00D35AB5"/>
    <w:rsid w:val="00D35AFC"/>
    <w:rsid w:val="00D35CCB"/>
    <w:rsid w:val="00D3600C"/>
    <w:rsid w:val="00D36056"/>
    <w:rsid w:val="00D36064"/>
    <w:rsid w:val="00D3608D"/>
    <w:rsid w:val="00D36559"/>
    <w:rsid w:val="00D3655E"/>
    <w:rsid w:val="00D365F3"/>
    <w:rsid w:val="00D3661D"/>
    <w:rsid w:val="00D36643"/>
    <w:rsid w:val="00D367F4"/>
    <w:rsid w:val="00D368EE"/>
    <w:rsid w:val="00D36CC3"/>
    <w:rsid w:val="00D36D54"/>
    <w:rsid w:val="00D370BF"/>
    <w:rsid w:val="00D3748E"/>
    <w:rsid w:val="00D37581"/>
    <w:rsid w:val="00D37607"/>
    <w:rsid w:val="00D37829"/>
    <w:rsid w:val="00D37859"/>
    <w:rsid w:val="00D37C97"/>
    <w:rsid w:val="00D37CF2"/>
    <w:rsid w:val="00D37E2C"/>
    <w:rsid w:val="00D37EA2"/>
    <w:rsid w:val="00D37EFC"/>
    <w:rsid w:val="00D37FE1"/>
    <w:rsid w:val="00D39D63"/>
    <w:rsid w:val="00D40034"/>
    <w:rsid w:val="00D40079"/>
    <w:rsid w:val="00D401A0"/>
    <w:rsid w:val="00D404B6"/>
    <w:rsid w:val="00D404C0"/>
    <w:rsid w:val="00D406E4"/>
    <w:rsid w:val="00D4079A"/>
    <w:rsid w:val="00D407D8"/>
    <w:rsid w:val="00D40C20"/>
    <w:rsid w:val="00D40F00"/>
    <w:rsid w:val="00D40FBF"/>
    <w:rsid w:val="00D410B9"/>
    <w:rsid w:val="00D41292"/>
    <w:rsid w:val="00D4132B"/>
    <w:rsid w:val="00D41680"/>
    <w:rsid w:val="00D416BF"/>
    <w:rsid w:val="00D416E7"/>
    <w:rsid w:val="00D418FC"/>
    <w:rsid w:val="00D41B4F"/>
    <w:rsid w:val="00D41C02"/>
    <w:rsid w:val="00D41C3F"/>
    <w:rsid w:val="00D42234"/>
    <w:rsid w:val="00D42305"/>
    <w:rsid w:val="00D423B2"/>
    <w:rsid w:val="00D4266B"/>
    <w:rsid w:val="00D427EC"/>
    <w:rsid w:val="00D428F6"/>
    <w:rsid w:val="00D42B1A"/>
    <w:rsid w:val="00D42B71"/>
    <w:rsid w:val="00D43066"/>
    <w:rsid w:val="00D432FA"/>
    <w:rsid w:val="00D434A9"/>
    <w:rsid w:val="00D434B0"/>
    <w:rsid w:val="00D43768"/>
    <w:rsid w:val="00D43943"/>
    <w:rsid w:val="00D43958"/>
    <w:rsid w:val="00D43B10"/>
    <w:rsid w:val="00D43B12"/>
    <w:rsid w:val="00D43B80"/>
    <w:rsid w:val="00D43DD9"/>
    <w:rsid w:val="00D43F1A"/>
    <w:rsid w:val="00D44411"/>
    <w:rsid w:val="00D44544"/>
    <w:rsid w:val="00D4469D"/>
    <w:rsid w:val="00D447BF"/>
    <w:rsid w:val="00D449FD"/>
    <w:rsid w:val="00D44B06"/>
    <w:rsid w:val="00D44C19"/>
    <w:rsid w:val="00D44D8B"/>
    <w:rsid w:val="00D44F65"/>
    <w:rsid w:val="00D44FB7"/>
    <w:rsid w:val="00D45098"/>
    <w:rsid w:val="00D451C5"/>
    <w:rsid w:val="00D45291"/>
    <w:rsid w:val="00D45339"/>
    <w:rsid w:val="00D45368"/>
    <w:rsid w:val="00D45393"/>
    <w:rsid w:val="00D458D2"/>
    <w:rsid w:val="00D4599F"/>
    <w:rsid w:val="00D45AEB"/>
    <w:rsid w:val="00D45B4C"/>
    <w:rsid w:val="00D45BCC"/>
    <w:rsid w:val="00D45C68"/>
    <w:rsid w:val="00D45CE8"/>
    <w:rsid w:val="00D45E44"/>
    <w:rsid w:val="00D460A8"/>
    <w:rsid w:val="00D462A2"/>
    <w:rsid w:val="00D467C6"/>
    <w:rsid w:val="00D46872"/>
    <w:rsid w:val="00D468B7"/>
    <w:rsid w:val="00D46A4C"/>
    <w:rsid w:val="00D46A9E"/>
    <w:rsid w:val="00D46C7F"/>
    <w:rsid w:val="00D46E2C"/>
    <w:rsid w:val="00D46F51"/>
    <w:rsid w:val="00D46F9F"/>
    <w:rsid w:val="00D46FC7"/>
    <w:rsid w:val="00D47053"/>
    <w:rsid w:val="00D471B5"/>
    <w:rsid w:val="00D471D6"/>
    <w:rsid w:val="00D47248"/>
    <w:rsid w:val="00D4724C"/>
    <w:rsid w:val="00D472CF"/>
    <w:rsid w:val="00D4764F"/>
    <w:rsid w:val="00D47691"/>
    <w:rsid w:val="00D47A19"/>
    <w:rsid w:val="00D47A82"/>
    <w:rsid w:val="00D47E0A"/>
    <w:rsid w:val="00D47F22"/>
    <w:rsid w:val="00D47F73"/>
    <w:rsid w:val="00D47FC6"/>
    <w:rsid w:val="00D50013"/>
    <w:rsid w:val="00D504EA"/>
    <w:rsid w:val="00D508E6"/>
    <w:rsid w:val="00D50A00"/>
    <w:rsid w:val="00D50B44"/>
    <w:rsid w:val="00D50BB0"/>
    <w:rsid w:val="00D50BB2"/>
    <w:rsid w:val="00D50CD8"/>
    <w:rsid w:val="00D50CDB"/>
    <w:rsid w:val="00D50EEE"/>
    <w:rsid w:val="00D51508"/>
    <w:rsid w:val="00D51544"/>
    <w:rsid w:val="00D515C6"/>
    <w:rsid w:val="00D5163F"/>
    <w:rsid w:val="00D51BF0"/>
    <w:rsid w:val="00D51C59"/>
    <w:rsid w:val="00D51DB1"/>
    <w:rsid w:val="00D520B0"/>
    <w:rsid w:val="00D520C4"/>
    <w:rsid w:val="00D520C9"/>
    <w:rsid w:val="00D52398"/>
    <w:rsid w:val="00D52415"/>
    <w:rsid w:val="00D524C6"/>
    <w:rsid w:val="00D525B9"/>
    <w:rsid w:val="00D528E3"/>
    <w:rsid w:val="00D52A47"/>
    <w:rsid w:val="00D52BC7"/>
    <w:rsid w:val="00D52BE6"/>
    <w:rsid w:val="00D52CA2"/>
    <w:rsid w:val="00D52CD8"/>
    <w:rsid w:val="00D52D2D"/>
    <w:rsid w:val="00D52D52"/>
    <w:rsid w:val="00D53089"/>
    <w:rsid w:val="00D53150"/>
    <w:rsid w:val="00D533F1"/>
    <w:rsid w:val="00D53477"/>
    <w:rsid w:val="00D53496"/>
    <w:rsid w:val="00D5353C"/>
    <w:rsid w:val="00D5362C"/>
    <w:rsid w:val="00D538D6"/>
    <w:rsid w:val="00D53B8A"/>
    <w:rsid w:val="00D53C59"/>
    <w:rsid w:val="00D53CAC"/>
    <w:rsid w:val="00D53D65"/>
    <w:rsid w:val="00D53E50"/>
    <w:rsid w:val="00D53E9B"/>
    <w:rsid w:val="00D53EC6"/>
    <w:rsid w:val="00D53ECB"/>
    <w:rsid w:val="00D53EF4"/>
    <w:rsid w:val="00D53FAE"/>
    <w:rsid w:val="00D53FB5"/>
    <w:rsid w:val="00D5430D"/>
    <w:rsid w:val="00D54403"/>
    <w:rsid w:val="00D54447"/>
    <w:rsid w:val="00D54529"/>
    <w:rsid w:val="00D545DD"/>
    <w:rsid w:val="00D546C1"/>
    <w:rsid w:val="00D5482C"/>
    <w:rsid w:val="00D548DB"/>
    <w:rsid w:val="00D54CBA"/>
    <w:rsid w:val="00D54DE3"/>
    <w:rsid w:val="00D54E3B"/>
    <w:rsid w:val="00D54F3F"/>
    <w:rsid w:val="00D5529B"/>
    <w:rsid w:val="00D557E8"/>
    <w:rsid w:val="00D558E9"/>
    <w:rsid w:val="00D55B49"/>
    <w:rsid w:val="00D55B67"/>
    <w:rsid w:val="00D55D55"/>
    <w:rsid w:val="00D55DBD"/>
    <w:rsid w:val="00D55F21"/>
    <w:rsid w:val="00D55F27"/>
    <w:rsid w:val="00D56004"/>
    <w:rsid w:val="00D560AF"/>
    <w:rsid w:val="00D5636F"/>
    <w:rsid w:val="00D56498"/>
    <w:rsid w:val="00D56574"/>
    <w:rsid w:val="00D5689C"/>
    <w:rsid w:val="00D569A7"/>
    <w:rsid w:val="00D569E4"/>
    <w:rsid w:val="00D56AA6"/>
    <w:rsid w:val="00D56DF7"/>
    <w:rsid w:val="00D56E5D"/>
    <w:rsid w:val="00D572C8"/>
    <w:rsid w:val="00D5740B"/>
    <w:rsid w:val="00D57608"/>
    <w:rsid w:val="00D57616"/>
    <w:rsid w:val="00D57722"/>
    <w:rsid w:val="00D57728"/>
    <w:rsid w:val="00D57746"/>
    <w:rsid w:val="00D578B0"/>
    <w:rsid w:val="00D57970"/>
    <w:rsid w:val="00D57B4C"/>
    <w:rsid w:val="00D57B52"/>
    <w:rsid w:val="00D57BB2"/>
    <w:rsid w:val="00D57C88"/>
    <w:rsid w:val="00D57DCC"/>
    <w:rsid w:val="00D57DEA"/>
    <w:rsid w:val="00D57E2F"/>
    <w:rsid w:val="00D57F29"/>
    <w:rsid w:val="00D60091"/>
    <w:rsid w:val="00D6051A"/>
    <w:rsid w:val="00D606E5"/>
    <w:rsid w:val="00D60843"/>
    <w:rsid w:val="00D60AF2"/>
    <w:rsid w:val="00D60B1D"/>
    <w:rsid w:val="00D60B40"/>
    <w:rsid w:val="00D61056"/>
    <w:rsid w:val="00D6105C"/>
    <w:rsid w:val="00D6112F"/>
    <w:rsid w:val="00D61196"/>
    <w:rsid w:val="00D61464"/>
    <w:rsid w:val="00D616EE"/>
    <w:rsid w:val="00D618D3"/>
    <w:rsid w:val="00D6194B"/>
    <w:rsid w:val="00D61953"/>
    <w:rsid w:val="00D61BB9"/>
    <w:rsid w:val="00D61C43"/>
    <w:rsid w:val="00D61F4E"/>
    <w:rsid w:val="00D6200A"/>
    <w:rsid w:val="00D62069"/>
    <w:rsid w:val="00D62157"/>
    <w:rsid w:val="00D621C2"/>
    <w:rsid w:val="00D621D6"/>
    <w:rsid w:val="00D623E4"/>
    <w:rsid w:val="00D626D0"/>
    <w:rsid w:val="00D626FC"/>
    <w:rsid w:val="00D6287C"/>
    <w:rsid w:val="00D629AE"/>
    <w:rsid w:val="00D62BA5"/>
    <w:rsid w:val="00D62E1F"/>
    <w:rsid w:val="00D62F80"/>
    <w:rsid w:val="00D63030"/>
    <w:rsid w:val="00D630DC"/>
    <w:rsid w:val="00D63181"/>
    <w:rsid w:val="00D632F9"/>
    <w:rsid w:val="00D633AC"/>
    <w:rsid w:val="00D63456"/>
    <w:rsid w:val="00D63525"/>
    <w:rsid w:val="00D635BA"/>
    <w:rsid w:val="00D635EB"/>
    <w:rsid w:val="00D63626"/>
    <w:rsid w:val="00D63948"/>
    <w:rsid w:val="00D63AD5"/>
    <w:rsid w:val="00D63CB2"/>
    <w:rsid w:val="00D63E4B"/>
    <w:rsid w:val="00D63E6A"/>
    <w:rsid w:val="00D63E80"/>
    <w:rsid w:val="00D63F54"/>
    <w:rsid w:val="00D63FCF"/>
    <w:rsid w:val="00D64247"/>
    <w:rsid w:val="00D6447C"/>
    <w:rsid w:val="00D645F5"/>
    <w:rsid w:val="00D6461A"/>
    <w:rsid w:val="00D648FE"/>
    <w:rsid w:val="00D64A94"/>
    <w:rsid w:val="00D64BFF"/>
    <w:rsid w:val="00D64E73"/>
    <w:rsid w:val="00D64EBF"/>
    <w:rsid w:val="00D6529B"/>
    <w:rsid w:val="00D653C3"/>
    <w:rsid w:val="00D657AC"/>
    <w:rsid w:val="00D6591D"/>
    <w:rsid w:val="00D65D75"/>
    <w:rsid w:val="00D6606B"/>
    <w:rsid w:val="00D6623A"/>
    <w:rsid w:val="00D6623E"/>
    <w:rsid w:val="00D66539"/>
    <w:rsid w:val="00D665F7"/>
    <w:rsid w:val="00D66D34"/>
    <w:rsid w:val="00D66D5C"/>
    <w:rsid w:val="00D66EF5"/>
    <w:rsid w:val="00D670FA"/>
    <w:rsid w:val="00D672A0"/>
    <w:rsid w:val="00D673CE"/>
    <w:rsid w:val="00D6740E"/>
    <w:rsid w:val="00D675C3"/>
    <w:rsid w:val="00D675FA"/>
    <w:rsid w:val="00D67792"/>
    <w:rsid w:val="00D67A50"/>
    <w:rsid w:val="00D67A6C"/>
    <w:rsid w:val="00D67D49"/>
    <w:rsid w:val="00D67E08"/>
    <w:rsid w:val="00D67E81"/>
    <w:rsid w:val="00D7049D"/>
    <w:rsid w:val="00D7069F"/>
    <w:rsid w:val="00D7077D"/>
    <w:rsid w:val="00D70782"/>
    <w:rsid w:val="00D708EC"/>
    <w:rsid w:val="00D709BA"/>
    <w:rsid w:val="00D70A62"/>
    <w:rsid w:val="00D70C26"/>
    <w:rsid w:val="00D70D68"/>
    <w:rsid w:val="00D70DA3"/>
    <w:rsid w:val="00D70F52"/>
    <w:rsid w:val="00D712D0"/>
    <w:rsid w:val="00D71666"/>
    <w:rsid w:val="00D718E5"/>
    <w:rsid w:val="00D7191F"/>
    <w:rsid w:val="00D71BFE"/>
    <w:rsid w:val="00D71CA7"/>
    <w:rsid w:val="00D71DAA"/>
    <w:rsid w:val="00D71F13"/>
    <w:rsid w:val="00D72070"/>
    <w:rsid w:val="00D720AE"/>
    <w:rsid w:val="00D72185"/>
    <w:rsid w:val="00D72421"/>
    <w:rsid w:val="00D724CB"/>
    <w:rsid w:val="00D724FA"/>
    <w:rsid w:val="00D7263B"/>
    <w:rsid w:val="00D72A5F"/>
    <w:rsid w:val="00D72A85"/>
    <w:rsid w:val="00D72B0F"/>
    <w:rsid w:val="00D731DA"/>
    <w:rsid w:val="00D7338B"/>
    <w:rsid w:val="00D73426"/>
    <w:rsid w:val="00D7350F"/>
    <w:rsid w:val="00D73675"/>
    <w:rsid w:val="00D73697"/>
    <w:rsid w:val="00D73934"/>
    <w:rsid w:val="00D73A19"/>
    <w:rsid w:val="00D73AC2"/>
    <w:rsid w:val="00D73FA5"/>
    <w:rsid w:val="00D7433C"/>
    <w:rsid w:val="00D743AC"/>
    <w:rsid w:val="00D744A6"/>
    <w:rsid w:val="00D744C7"/>
    <w:rsid w:val="00D744CD"/>
    <w:rsid w:val="00D74560"/>
    <w:rsid w:val="00D748F9"/>
    <w:rsid w:val="00D7493E"/>
    <w:rsid w:val="00D74DDA"/>
    <w:rsid w:val="00D74E0C"/>
    <w:rsid w:val="00D74ECA"/>
    <w:rsid w:val="00D75018"/>
    <w:rsid w:val="00D75035"/>
    <w:rsid w:val="00D750E2"/>
    <w:rsid w:val="00D75348"/>
    <w:rsid w:val="00D753EE"/>
    <w:rsid w:val="00D7565E"/>
    <w:rsid w:val="00D756E8"/>
    <w:rsid w:val="00D75781"/>
    <w:rsid w:val="00D75801"/>
    <w:rsid w:val="00D7599F"/>
    <w:rsid w:val="00D75A6C"/>
    <w:rsid w:val="00D75A72"/>
    <w:rsid w:val="00D761E3"/>
    <w:rsid w:val="00D7642E"/>
    <w:rsid w:val="00D765B6"/>
    <w:rsid w:val="00D7662A"/>
    <w:rsid w:val="00D766AC"/>
    <w:rsid w:val="00D76724"/>
    <w:rsid w:val="00D768D4"/>
    <w:rsid w:val="00D76903"/>
    <w:rsid w:val="00D76926"/>
    <w:rsid w:val="00D76AA1"/>
    <w:rsid w:val="00D76BA4"/>
    <w:rsid w:val="00D76DE9"/>
    <w:rsid w:val="00D76E03"/>
    <w:rsid w:val="00D76F58"/>
    <w:rsid w:val="00D770A2"/>
    <w:rsid w:val="00D77587"/>
    <w:rsid w:val="00D778BF"/>
    <w:rsid w:val="00D7791E"/>
    <w:rsid w:val="00D77D0B"/>
    <w:rsid w:val="00D77E81"/>
    <w:rsid w:val="00D77FA9"/>
    <w:rsid w:val="00D80325"/>
    <w:rsid w:val="00D80679"/>
    <w:rsid w:val="00D80684"/>
    <w:rsid w:val="00D8094B"/>
    <w:rsid w:val="00D809E3"/>
    <w:rsid w:val="00D80A14"/>
    <w:rsid w:val="00D80F13"/>
    <w:rsid w:val="00D8102C"/>
    <w:rsid w:val="00D8103F"/>
    <w:rsid w:val="00D81091"/>
    <w:rsid w:val="00D8156C"/>
    <w:rsid w:val="00D816BE"/>
    <w:rsid w:val="00D81D25"/>
    <w:rsid w:val="00D81E96"/>
    <w:rsid w:val="00D81EE2"/>
    <w:rsid w:val="00D8200C"/>
    <w:rsid w:val="00D82164"/>
    <w:rsid w:val="00D821C5"/>
    <w:rsid w:val="00D822B1"/>
    <w:rsid w:val="00D829F8"/>
    <w:rsid w:val="00D82AB9"/>
    <w:rsid w:val="00D82C85"/>
    <w:rsid w:val="00D82DAB"/>
    <w:rsid w:val="00D82F78"/>
    <w:rsid w:val="00D834B5"/>
    <w:rsid w:val="00D83A22"/>
    <w:rsid w:val="00D83AEC"/>
    <w:rsid w:val="00D83BFD"/>
    <w:rsid w:val="00D83E67"/>
    <w:rsid w:val="00D83EAC"/>
    <w:rsid w:val="00D83F14"/>
    <w:rsid w:val="00D842D5"/>
    <w:rsid w:val="00D84449"/>
    <w:rsid w:val="00D846DB"/>
    <w:rsid w:val="00D8480B"/>
    <w:rsid w:val="00D84863"/>
    <w:rsid w:val="00D848F6"/>
    <w:rsid w:val="00D849B1"/>
    <w:rsid w:val="00D84E5C"/>
    <w:rsid w:val="00D853BD"/>
    <w:rsid w:val="00D85660"/>
    <w:rsid w:val="00D858E4"/>
    <w:rsid w:val="00D8596D"/>
    <w:rsid w:val="00D859B4"/>
    <w:rsid w:val="00D859FA"/>
    <w:rsid w:val="00D85FAB"/>
    <w:rsid w:val="00D85FC0"/>
    <w:rsid w:val="00D860F8"/>
    <w:rsid w:val="00D861FC"/>
    <w:rsid w:val="00D8641A"/>
    <w:rsid w:val="00D86706"/>
    <w:rsid w:val="00D8681B"/>
    <w:rsid w:val="00D86ACF"/>
    <w:rsid w:val="00D86D01"/>
    <w:rsid w:val="00D8721B"/>
    <w:rsid w:val="00D8724F"/>
    <w:rsid w:val="00D8731C"/>
    <w:rsid w:val="00D87612"/>
    <w:rsid w:val="00D8763F"/>
    <w:rsid w:val="00D879BC"/>
    <w:rsid w:val="00D87BE6"/>
    <w:rsid w:val="00D87C4C"/>
    <w:rsid w:val="00D87E10"/>
    <w:rsid w:val="00D87E76"/>
    <w:rsid w:val="00D87F50"/>
    <w:rsid w:val="00D9042F"/>
    <w:rsid w:val="00D904ED"/>
    <w:rsid w:val="00D905AD"/>
    <w:rsid w:val="00D90726"/>
    <w:rsid w:val="00D907E0"/>
    <w:rsid w:val="00D90858"/>
    <w:rsid w:val="00D908AC"/>
    <w:rsid w:val="00D90BCF"/>
    <w:rsid w:val="00D90C41"/>
    <w:rsid w:val="00D90D19"/>
    <w:rsid w:val="00D90DA2"/>
    <w:rsid w:val="00D910D6"/>
    <w:rsid w:val="00D9131E"/>
    <w:rsid w:val="00D913F7"/>
    <w:rsid w:val="00D9186A"/>
    <w:rsid w:val="00D9194C"/>
    <w:rsid w:val="00D91E7F"/>
    <w:rsid w:val="00D91EAF"/>
    <w:rsid w:val="00D921A3"/>
    <w:rsid w:val="00D921C4"/>
    <w:rsid w:val="00D9227A"/>
    <w:rsid w:val="00D922AC"/>
    <w:rsid w:val="00D92312"/>
    <w:rsid w:val="00D9268A"/>
    <w:rsid w:val="00D92B77"/>
    <w:rsid w:val="00D92D06"/>
    <w:rsid w:val="00D92EE1"/>
    <w:rsid w:val="00D92F45"/>
    <w:rsid w:val="00D930B5"/>
    <w:rsid w:val="00D9314B"/>
    <w:rsid w:val="00D93679"/>
    <w:rsid w:val="00D93968"/>
    <w:rsid w:val="00D93A86"/>
    <w:rsid w:val="00D93B00"/>
    <w:rsid w:val="00D93B7D"/>
    <w:rsid w:val="00D93CBE"/>
    <w:rsid w:val="00D93DE5"/>
    <w:rsid w:val="00D942AF"/>
    <w:rsid w:val="00D9493D"/>
    <w:rsid w:val="00D94CAA"/>
    <w:rsid w:val="00D94E12"/>
    <w:rsid w:val="00D94FCD"/>
    <w:rsid w:val="00D9501A"/>
    <w:rsid w:val="00D95025"/>
    <w:rsid w:val="00D95220"/>
    <w:rsid w:val="00D952F9"/>
    <w:rsid w:val="00D95301"/>
    <w:rsid w:val="00D956E8"/>
    <w:rsid w:val="00D95749"/>
    <w:rsid w:val="00D95784"/>
    <w:rsid w:val="00D95939"/>
    <w:rsid w:val="00D9598C"/>
    <w:rsid w:val="00D95EBB"/>
    <w:rsid w:val="00D95F0F"/>
    <w:rsid w:val="00D96179"/>
    <w:rsid w:val="00D96353"/>
    <w:rsid w:val="00D96821"/>
    <w:rsid w:val="00D96D42"/>
    <w:rsid w:val="00D96D66"/>
    <w:rsid w:val="00D96E8A"/>
    <w:rsid w:val="00D97097"/>
    <w:rsid w:val="00D973E9"/>
    <w:rsid w:val="00D973F7"/>
    <w:rsid w:val="00D976A7"/>
    <w:rsid w:val="00D97711"/>
    <w:rsid w:val="00D9795A"/>
    <w:rsid w:val="00D97C11"/>
    <w:rsid w:val="00D97ED4"/>
    <w:rsid w:val="00D97F63"/>
    <w:rsid w:val="00DA00B2"/>
    <w:rsid w:val="00DA0640"/>
    <w:rsid w:val="00DA0854"/>
    <w:rsid w:val="00DA0A97"/>
    <w:rsid w:val="00DA0C9D"/>
    <w:rsid w:val="00DA0DB3"/>
    <w:rsid w:val="00DA0E45"/>
    <w:rsid w:val="00DA107B"/>
    <w:rsid w:val="00DA1172"/>
    <w:rsid w:val="00DA125A"/>
    <w:rsid w:val="00DA12BB"/>
    <w:rsid w:val="00DA132B"/>
    <w:rsid w:val="00DA15FB"/>
    <w:rsid w:val="00DA1659"/>
    <w:rsid w:val="00DA178F"/>
    <w:rsid w:val="00DA1B00"/>
    <w:rsid w:val="00DA1B19"/>
    <w:rsid w:val="00DA2269"/>
    <w:rsid w:val="00DA2377"/>
    <w:rsid w:val="00DA2436"/>
    <w:rsid w:val="00DA2474"/>
    <w:rsid w:val="00DA2736"/>
    <w:rsid w:val="00DA2905"/>
    <w:rsid w:val="00DA296B"/>
    <w:rsid w:val="00DA2A7B"/>
    <w:rsid w:val="00DA2BF1"/>
    <w:rsid w:val="00DA3053"/>
    <w:rsid w:val="00DA308D"/>
    <w:rsid w:val="00DA3105"/>
    <w:rsid w:val="00DA3218"/>
    <w:rsid w:val="00DA34C2"/>
    <w:rsid w:val="00DA34F6"/>
    <w:rsid w:val="00DA3576"/>
    <w:rsid w:val="00DA35B3"/>
    <w:rsid w:val="00DA3727"/>
    <w:rsid w:val="00DA38E3"/>
    <w:rsid w:val="00DA3B4D"/>
    <w:rsid w:val="00DA3BFE"/>
    <w:rsid w:val="00DA3F15"/>
    <w:rsid w:val="00DA4040"/>
    <w:rsid w:val="00DA40AC"/>
    <w:rsid w:val="00DA419B"/>
    <w:rsid w:val="00DA4233"/>
    <w:rsid w:val="00DA448D"/>
    <w:rsid w:val="00DA44D9"/>
    <w:rsid w:val="00DA450A"/>
    <w:rsid w:val="00DA461D"/>
    <w:rsid w:val="00DA48DC"/>
    <w:rsid w:val="00DA4932"/>
    <w:rsid w:val="00DA4C62"/>
    <w:rsid w:val="00DA4CB7"/>
    <w:rsid w:val="00DA4D02"/>
    <w:rsid w:val="00DA4F14"/>
    <w:rsid w:val="00DA4F1C"/>
    <w:rsid w:val="00DA4F77"/>
    <w:rsid w:val="00DA4F8B"/>
    <w:rsid w:val="00DA56F4"/>
    <w:rsid w:val="00DA58B9"/>
    <w:rsid w:val="00DA5B93"/>
    <w:rsid w:val="00DA5D68"/>
    <w:rsid w:val="00DA5D88"/>
    <w:rsid w:val="00DA622B"/>
    <w:rsid w:val="00DA6233"/>
    <w:rsid w:val="00DA657A"/>
    <w:rsid w:val="00DA65D1"/>
    <w:rsid w:val="00DA66BE"/>
    <w:rsid w:val="00DA67FA"/>
    <w:rsid w:val="00DA680D"/>
    <w:rsid w:val="00DA6901"/>
    <w:rsid w:val="00DA6A87"/>
    <w:rsid w:val="00DA6AD1"/>
    <w:rsid w:val="00DA6C01"/>
    <w:rsid w:val="00DA6CA0"/>
    <w:rsid w:val="00DA706C"/>
    <w:rsid w:val="00DA7195"/>
    <w:rsid w:val="00DA7283"/>
    <w:rsid w:val="00DA7362"/>
    <w:rsid w:val="00DA7611"/>
    <w:rsid w:val="00DA771D"/>
    <w:rsid w:val="00DA7813"/>
    <w:rsid w:val="00DA7A89"/>
    <w:rsid w:val="00DA7CA4"/>
    <w:rsid w:val="00DB00B7"/>
    <w:rsid w:val="00DB0217"/>
    <w:rsid w:val="00DB0384"/>
    <w:rsid w:val="00DB0512"/>
    <w:rsid w:val="00DB054E"/>
    <w:rsid w:val="00DB06FF"/>
    <w:rsid w:val="00DB075B"/>
    <w:rsid w:val="00DB09FB"/>
    <w:rsid w:val="00DB0A49"/>
    <w:rsid w:val="00DB0C93"/>
    <w:rsid w:val="00DB0E06"/>
    <w:rsid w:val="00DB0E65"/>
    <w:rsid w:val="00DB1307"/>
    <w:rsid w:val="00DB131A"/>
    <w:rsid w:val="00DB1523"/>
    <w:rsid w:val="00DB159A"/>
    <w:rsid w:val="00DB16ED"/>
    <w:rsid w:val="00DB180B"/>
    <w:rsid w:val="00DB1813"/>
    <w:rsid w:val="00DB1C6D"/>
    <w:rsid w:val="00DB1CF1"/>
    <w:rsid w:val="00DB1D14"/>
    <w:rsid w:val="00DB1DAB"/>
    <w:rsid w:val="00DB21C6"/>
    <w:rsid w:val="00DB2257"/>
    <w:rsid w:val="00DB26D1"/>
    <w:rsid w:val="00DB2A23"/>
    <w:rsid w:val="00DB2A27"/>
    <w:rsid w:val="00DB2ABC"/>
    <w:rsid w:val="00DB2AEE"/>
    <w:rsid w:val="00DB2F64"/>
    <w:rsid w:val="00DB306F"/>
    <w:rsid w:val="00DB3262"/>
    <w:rsid w:val="00DB32B2"/>
    <w:rsid w:val="00DB3532"/>
    <w:rsid w:val="00DB370E"/>
    <w:rsid w:val="00DB378E"/>
    <w:rsid w:val="00DB387F"/>
    <w:rsid w:val="00DB395A"/>
    <w:rsid w:val="00DB39CF"/>
    <w:rsid w:val="00DB3A29"/>
    <w:rsid w:val="00DB3E45"/>
    <w:rsid w:val="00DB405A"/>
    <w:rsid w:val="00DB4170"/>
    <w:rsid w:val="00DB422C"/>
    <w:rsid w:val="00DB430C"/>
    <w:rsid w:val="00DB49BA"/>
    <w:rsid w:val="00DB4C1C"/>
    <w:rsid w:val="00DB4C30"/>
    <w:rsid w:val="00DB4CE4"/>
    <w:rsid w:val="00DB4D29"/>
    <w:rsid w:val="00DB4D58"/>
    <w:rsid w:val="00DB4E2A"/>
    <w:rsid w:val="00DB536A"/>
    <w:rsid w:val="00DB5414"/>
    <w:rsid w:val="00DB5746"/>
    <w:rsid w:val="00DB5B21"/>
    <w:rsid w:val="00DB5CB4"/>
    <w:rsid w:val="00DB60E9"/>
    <w:rsid w:val="00DB619A"/>
    <w:rsid w:val="00DB6941"/>
    <w:rsid w:val="00DB6968"/>
    <w:rsid w:val="00DB6971"/>
    <w:rsid w:val="00DB6A4A"/>
    <w:rsid w:val="00DB707D"/>
    <w:rsid w:val="00DB70A8"/>
    <w:rsid w:val="00DB7170"/>
    <w:rsid w:val="00DB7203"/>
    <w:rsid w:val="00DB729E"/>
    <w:rsid w:val="00DB73BD"/>
    <w:rsid w:val="00DB73E7"/>
    <w:rsid w:val="00DB757C"/>
    <w:rsid w:val="00DB75D9"/>
    <w:rsid w:val="00DB799E"/>
    <w:rsid w:val="00DB79D6"/>
    <w:rsid w:val="00DB7B5B"/>
    <w:rsid w:val="00DB7C35"/>
    <w:rsid w:val="00DB7D4B"/>
    <w:rsid w:val="00DB7EB4"/>
    <w:rsid w:val="00DB7F09"/>
    <w:rsid w:val="00DC07CE"/>
    <w:rsid w:val="00DC0814"/>
    <w:rsid w:val="00DC0ACA"/>
    <w:rsid w:val="00DC0B5E"/>
    <w:rsid w:val="00DC0C1E"/>
    <w:rsid w:val="00DC0D0F"/>
    <w:rsid w:val="00DC0D65"/>
    <w:rsid w:val="00DC1042"/>
    <w:rsid w:val="00DC113D"/>
    <w:rsid w:val="00DC11FE"/>
    <w:rsid w:val="00DC1349"/>
    <w:rsid w:val="00DC152E"/>
    <w:rsid w:val="00DC1555"/>
    <w:rsid w:val="00DC17F6"/>
    <w:rsid w:val="00DC1859"/>
    <w:rsid w:val="00DC188E"/>
    <w:rsid w:val="00DC19A5"/>
    <w:rsid w:val="00DC1ACB"/>
    <w:rsid w:val="00DC1C33"/>
    <w:rsid w:val="00DC1EC0"/>
    <w:rsid w:val="00DC1ECC"/>
    <w:rsid w:val="00DC1ED6"/>
    <w:rsid w:val="00DC23CF"/>
    <w:rsid w:val="00DC23D7"/>
    <w:rsid w:val="00DC2484"/>
    <w:rsid w:val="00DC248F"/>
    <w:rsid w:val="00DC24FE"/>
    <w:rsid w:val="00DC2751"/>
    <w:rsid w:val="00DC2891"/>
    <w:rsid w:val="00DC2A05"/>
    <w:rsid w:val="00DC2A82"/>
    <w:rsid w:val="00DC2C52"/>
    <w:rsid w:val="00DC2F2E"/>
    <w:rsid w:val="00DC2F82"/>
    <w:rsid w:val="00DC30F9"/>
    <w:rsid w:val="00DC315D"/>
    <w:rsid w:val="00DC331F"/>
    <w:rsid w:val="00DC337E"/>
    <w:rsid w:val="00DC33AC"/>
    <w:rsid w:val="00DC34E0"/>
    <w:rsid w:val="00DC3CF1"/>
    <w:rsid w:val="00DC3D61"/>
    <w:rsid w:val="00DC3DAF"/>
    <w:rsid w:val="00DC3E7E"/>
    <w:rsid w:val="00DC3F65"/>
    <w:rsid w:val="00DC408A"/>
    <w:rsid w:val="00DC43CE"/>
    <w:rsid w:val="00DC449B"/>
    <w:rsid w:val="00DC4775"/>
    <w:rsid w:val="00DC483A"/>
    <w:rsid w:val="00DC4AF1"/>
    <w:rsid w:val="00DC4B4C"/>
    <w:rsid w:val="00DC4CFA"/>
    <w:rsid w:val="00DC4D8F"/>
    <w:rsid w:val="00DC4F7A"/>
    <w:rsid w:val="00DC5203"/>
    <w:rsid w:val="00DC553C"/>
    <w:rsid w:val="00DC587F"/>
    <w:rsid w:val="00DC5BB3"/>
    <w:rsid w:val="00DC5FAF"/>
    <w:rsid w:val="00DC6091"/>
    <w:rsid w:val="00DC6103"/>
    <w:rsid w:val="00DC6195"/>
    <w:rsid w:val="00DC619A"/>
    <w:rsid w:val="00DC62FD"/>
    <w:rsid w:val="00DC6495"/>
    <w:rsid w:val="00DC65E8"/>
    <w:rsid w:val="00DC6772"/>
    <w:rsid w:val="00DC6A70"/>
    <w:rsid w:val="00DC6E4F"/>
    <w:rsid w:val="00DC6E8B"/>
    <w:rsid w:val="00DC6EC3"/>
    <w:rsid w:val="00DC6F1E"/>
    <w:rsid w:val="00DC74DC"/>
    <w:rsid w:val="00DC7619"/>
    <w:rsid w:val="00DC7651"/>
    <w:rsid w:val="00DC7A66"/>
    <w:rsid w:val="00DC7A8D"/>
    <w:rsid w:val="00DD03AB"/>
    <w:rsid w:val="00DD049B"/>
    <w:rsid w:val="00DD07F8"/>
    <w:rsid w:val="00DD0A5A"/>
    <w:rsid w:val="00DD0D22"/>
    <w:rsid w:val="00DD0E4D"/>
    <w:rsid w:val="00DD0F41"/>
    <w:rsid w:val="00DD1070"/>
    <w:rsid w:val="00DD1355"/>
    <w:rsid w:val="00DD13DB"/>
    <w:rsid w:val="00DD15B9"/>
    <w:rsid w:val="00DD1931"/>
    <w:rsid w:val="00DD1BBB"/>
    <w:rsid w:val="00DD1CC7"/>
    <w:rsid w:val="00DD1DAE"/>
    <w:rsid w:val="00DD1E71"/>
    <w:rsid w:val="00DD1FAD"/>
    <w:rsid w:val="00DD2040"/>
    <w:rsid w:val="00DD2086"/>
    <w:rsid w:val="00DD23FF"/>
    <w:rsid w:val="00DD2416"/>
    <w:rsid w:val="00DD257B"/>
    <w:rsid w:val="00DD2BD4"/>
    <w:rsid w:val="00DD2F61"/>
    <w:rsid w:val="00DD3029"/>
    <w:rsid w:val="00DD3246"/>
    <w:rsid w:val="00DD3252"/>
    <w:rsid w:val="00DD3296"/>
    <w:rsid w:val="00DD3340"/>
    <w:rsid w:val="00DD338D"/>
    <w:rsid w:val="00DD3392"/>
    <w:rsid w:val="00DD33E0"/>
    <w:rsid w:val="00DD3428"/>
    <w:rsid w:val="00DD3516"/>
    <w:rsid w:val="00DD37BC"/>
    <w:rsid w:val="00DD3E3E"/>
    <w:rsid w:val="00DD4078"/>
    <w:rsid w:val="00DD416F"/>
    <w:rsid w:val="00DD4677"/>
    <w:rsid w:val="00DD4C3D"/>
    <w:rsid w:val="00DD4D69"/>
    <w:rsid w:val="00DD4D71"/>
    <w:rsid w:val="00DD4E35"/>
    <w:rsid w:val="00DD5222"/>
    <w:rsid w:val="00DD5247"/>
    <w:rsid w:val="00DD530D"/>
    <w:rsid w:val="00DD54DC"/>
    <w:rsid w:val="00DD5504"/>
    <w:rsid w:val="00DD559D"/>
    <w:rsid w:val="00DD55DB"/>
    <w:rsid w:val="00DD5C60"/>
    <w:rsid w:val="00DD5E6D"/>
    <w:rsid w:val="00DD6005"/>
    <w:rsid w:val="00DD62CA"/>
    <w:rsid w:val="00DD6360"/>
    <w:rsid w:val="00DD642E"/>
    <w:rsid w:val="00DD6536"/>
    <w:rsid w:val="00DD6962"/>
    <w:rsid w:val="00DD6BA3"/>
    <w:rsid w:val="00DD6BE6"/>
    <w:rsid w:val="00DD6D08"/>
    <w:rsid w:val="00DD6D19"/>
    <w:rsid w:val="00DD6D50"/>
    <w:rsid w:val="00DD6DB8"/>
    <w:rsid w:val="00DD6E63"/>
    <w:rsid w:val="00DD6F81"/>
    <w:rsid w:val="00DD712F"/>
    <w:rsid w:val="00DD7289"/>
    <w:rsid w:val="00DD7400"/>
    <w:rsid w:val="00DD74FD"/>
    <w:rsid w:val="00DD7612"/>
    <w:rsid w:val="00DD776C"/>
    <w:rsid w:val="00DD7898"/>
    <w:rsid w:val="00DD7B08"/>
    <w:rsid w:val="00DD7D7C"/>
    <w:rsid w:val="00DD7DFB"/>
    <w:rsid w:val="00DE0000"/>
    <w:rsid w:val="00DE002D"/>
    <w:rsid w:val="00DE0149"/>
    <w:rsid w:val="00DE03D4"/>
    <w:rsid w:val="00DE04D2"/>
    <w:rsid w:val="00DE0514"/>
    <w:rsid w:val="00DE05A3"/>
    <w:rsid w:val="00DE07BA"/>
    <w:rsid w:val="00DE0B0A"/>
    <w:rsid w:val="00DE0C08"/>
    <w:rsid w:val="00DE0D33"/>
    <w:rsid w:val="00DE0D5E"/>
    <w:rsid w:val="00DE1050"/>
    <w:rsid w:val="00DE12ED"/>
    <w:rsid w:val="00DE13AD"/>
    <w:rsid w:val="00DE13F6"/>
    <w:rsid w:val="00DE1494"/>
    <w:rsid w:val="00DE15EF"/>
    <w:rsid w:val="00DE183C"/>
    <w:rsid w:val="00DE1890"/>
    <w:rsid w:val="00DE19F1"/>
    <w:rsid w:val="00DE19FB"/>
    <w:rsid w:val="00DE1E90"/>
    <w:rsid w:val="00DE1F89"/>
    <w:rsid w:val="00DE20E7"/>
    <w:rsid w:val="00DE22A8"/>
    <w:rsid w:val="00DE2A40"/>
    <w:rsid w:val="00DE2AAB"/>
    <w:rsid w:val="00DE2B14"/>
    <w:rsid w:val="00DE2D26"/>
    <w:rsid w:val="00DE2FBC"/>
    <w:rsid w:val="00DE3009"/>
    <w:rsid w:val="00DE32A9"/>
    <w:rsid w:val="00DE364B"/>
    <w:rsid w:val="00DE380E"/>
    <w:rsid w:val="00DE3B2F"/>
    <w:rsid w:val="00DE3C3C"/>
    <w:rsid w:val="00DE3FCD"/>
    <w:rsid w:val="00DE4293"/>
    <w:rsid w:val="00DE48CE"/>
    <w:rsid w:val="00DE493D"/>
    <w:rsid w:val="00DE4AE5"/>
    <w:rsid w:val="00DE4BB0"/>
    <w:rsid w:val="00DE4DAD"/>
    <w:rsid w:val="00DE4EE5"/>
    <w:rsid w:val="00DE5013"/>
    <w:rsid w:val="00DE5142"/>
    <w:rsid w:val="00DE5199"/>
    <w:rsid w:val="00DE52E0"/>
    <w:rsid w:val="00DE532F"/>
    <w:rsid w:val="00DE537D"/>
    <w:rsid w:val="00DE566A"/>
    <w:rsid w:val="00DE5977"/>
    <w:rsid w:val="00DE5AC5"/>
    <w:rsid w:val="00DE5AC8"/>
    <w:rsid w:val="00DE5B7A"/>
    <w:rsid w:val="00DE5D31"/>
    <w:rsid w:val="00DE602B"/>
    <w:rsid w:val="00DE622C"/>
    <w:rsid w:val="00DE6390"/>
    <w:rsid w:val="00DE6442"/>
    <w:rsid w:val="00DE655E"/>
    <w:rsid w:val="00DE66EB"/>
    <w:rsid w:val="00DE681B"/>
    <w:rsid w:val="00DE6BB2"/>
    <w:rsid w:val="00DE6D3B"/>
    <w:rsid w:val="00DE6E3C"/>
    <w:rsid w:val="00DE6E57"/>
    <w:rsid w:val="00DE71D1"/>
    <w:rsid w:val="00DE727A"/>
    <w:rsid w:val="00DE72CF"/>
    <w:rsid w:val="00DE764A"/>
    <w:rsid w:val="00DE778F"/>
    <w:rsid w:val="00DE78AA"/>
    <w:rsid w:val="00DE78DA"/>
    <w:rsid w:val="00DE79C7"/>
    <w:rsid w:val="00DE7BF6"/>
    <w:rsid w:val="00DE7D94"/>
    <w:rsid w:val="00DF012B"/>
    <w:rsid w:val="00DF04FD"/>
    <w:rsid w:val="00DF05C8"/>
    <w:rsid w:val="00DF05DB"/>
    <w:rsid w:val="00DF05F3"/>
    <w:rsid w:val="00DF064F"/>
    <w:rsid w:val="00DF07B4"/>
    <w:rsid w:val="00DF08F4"/>
    <w:rsid w:val="00DF0942"/>
    <w:rsid w:val="00DF09BE"/>
    <w:rsid w:val="00DF0B43"/>
    <w:rsid w:val="00DF0D13"/>
    <w:rsid w:val="00DF14E1"/>
    <w:rsid w:val="00DF1585"/>
    <w:rsid w:val="00DF195C"/>
    <w:rsid w:val="00DF1C6E"/>
    <w:rsid w:val="00DF1C70"/>
    <w:rsid w:val="00DF1DEC"/>
    <w:rsid w:val="00DF1E5D"/>
    <w:rsid w:val="00DF1EB0"/>
    <w:rsid w:val="00DF20F4"/>
    <w:rsid w:val="00DF2175"/>
    <w:rsid w:val="00DF22DB"/>
    <w:rsid w:val="00DF23D3"/>
    <w:rsid w:val="00DF26EF"/>
    <w:rsid w:val="00DF295A"/>
    <w:rsid w:val="00DF29E3"/>
    <w:rsid w:val="00DF2FF0"/>
    <w:rsid w:val="00DF33B7"/>
    <w:rsid w:val="00DF3409"/>
    <w:rsid w:val="00DF36D0"/>
    <w:rsid w:val="00DF3914"/>
    <w:rsid w:val="00DF3948"/>
    <w:rsid w:val="00DF3A5C"/>
    <w:rsid w:val="00DF3A63"/>
    <w:rsid w:val="00DF3B07"/>
    <w:rsid w:val="00DF3D49"/>
    <w:rsid w:val="00DF3DE7"/>
    <w:rsid w:val="00DF3FF6"/>
    <w:rsid w:val="00DF43CA"/>
    <w:rsid w:val="00DF44A9"/>
    <w:rsid w:val="00DF45A9"/>
    <w:rsid w:val="00DF4683"/>
    <w:rsid w:val="00DF4707"/>
    <w:rsid w:val="00DF47CA"/>
    <w:rsid w:val="00DF4896"/>
    <w:rsid w:val="00DF4B42"/>
    <w:rsid w:val="00DF4D7D"/>
    <w:rsid w:val="00DF4E82"/>
    <w:rsid w:val="00DF4F68"/>
    <w:rsid w:val="00DF50D2"/>
    <w:rsid w:val="00DF512F"/>
    <w:rsid w:val="00DF513C"/>
    <w:rsid w:val="00DF529C"/>
    <w:rsid w:val="00DF533B"/>
    <w:rsid w:val="00DF53F7"/>
    <w:rsid w:val="00DF54AD"/>
    <w:rsid w:val="00DF581C"/>
    <w:rsid w:val="00DF5A0D"/>
    <w:rsid w:val="00DF5BEF"/>
    <w:rsid w:val="00DF5E39"/>
    <w:rsid w:val="00DF5F0D"/>
    <w:rsid w:val="00DF60D3"/>
    <w:rsid w:val="00DF627D"/>
    <w:rsid w:val="00DF652B"/>
    <w:rsid w:val="00DF66EC"/>
    <w:rsid w:val="00DF6714"/>
    <w:rsid w:val="00DF677F"/>
    <w:rsid w:val="00DF67D2"/>
    <w:rsid w:val="00DF6990"/>
    <w:rsid w:val="00DF69D3"/>
    <w:rsid w:val="00DF6A93"/>
    <w:rsid w:val="00DF6C38"/>
    <w:rsid w:val="00DF6D44"/>
    <w:rsid w:val="00DF6DB7"/>
    <w:rsid w:val="00DF702D"/>
    <w:rsid w:val="00DF713C"/>
    <w:rsid w:val="00DF71F1"/>
    <w:rsid w:val="00DF7CE4"/>
    <w:rsid w:val="00DF7E1D"/>
    <w:rsid w:val="00DF7FE4"/>
    <w:rsid w:val="00E0015F"/>
    <w:rsid w:val="00E002CE"/>
    <w:rsid w:val="00E0050E"/>
    <w:rsid w:val="00E00564"/>
    <w:rsid w:val="00E005EE"/>
    <w:rsid w:val="00E0077A"/>
    <w:rsid w:val="00E00997"/>
    <w:rsid w:val="00E00AF8"/>
    <w:rsid w:val="00E00D97"/>
    <w:rsid w:val="00E00E81"/>
    <w:rsid w:val="00E00EB7"/>
    <w:rsid w:val="00E00F14"/>
    <w:rsid w:val="00E010AB"/>
    <w:rsid w:val="00E010E1"/>
    <w:rsid w:val="00E01341"/>
    <w:rsid w:val="00E0147A"/>
    <w:rsid w:val="00E01645"/>
    <w:rsid w:val="00E017C0"/>
    <w:rsid w:val="00E01866"/>
    <w:rsid w:val="00E018FB"/>
    <w:rsid w:val="00E019FC"/>
    <w:rsid w:val="00E01CEB"/>
    <w:rsid w:val="00E01EF2"/>
    <w:rsid w:val="00E0201A"/>
    <w:rsid w:val="00E02115"/>
    <w:rsid w:val="00E02A5A"/>
    <w:rsid w:val="00E02DA9"/>
    <w:rsid w:val="00E02E87"/>
    <w:rsid w:val="00E02E9B"/>
    <w:rsid w:val="00E02FB6"/>
    <w:rsid w:val="00E03189"/>
    <w:rsid w:val="00E032E1"/>
    <w:rsid w:val="00E03335"/>
    <w:rsid w:val="00E036AC"/>
    <w:rsid w:val="00E036F1"/>
    <w:rsid w:val="00E0383E"/>
    <w:rsid w:val="00E038C7"/>
    <w:rsid w:val="00E03C06"/>
    <w:rsid w:val="00E03CFB"/>
    <w:rsid w:val="00E03E96"/>
    <w:rsid w:val="00E04200"/>
    <w:rsid w:val="00E0439B"/>
    <w:rsid w:val="00E0441E"/>
    <w:rsid w:val="00E046A0"/>
    <w:rsid w:val="00E04AAA"/>
    <w:rsid w:val="00E04B34"/>
    <w:rsid w:val="00E04EC4"/>
    <w:rsid w:val="00E04ED9"/>
    <w:rsid w:val="00E04F6F"/>
    <w:rsid w:val="00E04F7E"/>
    <w:rsid w:val="00E05248"/>
    <w:rsid w:val="00E0574B"/>
    <w:rsid w:val="00E058E0"/>
    <w:rsid w:val="00E05BA1"/>
    <w:rsid w:val="00E05DE7"/>
    <w:rsid w:val="00E06014"/>
    <w:rsid w:val="00E063C3"/>
    <w:rsid w:val="00E065DF"/>
    <w:rsid w:val="00E0660F"/>
    <w:rsid w:val="00E06958"/>
    <w:rsid w:val="00E069F5"/>
    <w:rsid w:val="00E06A31"/>
    <w:rsid w:val="00E06A64"/>
    <w:rsid w:val="00E06BC5"/>
    <w:rsid w:val="00E06BCE"/>
    <w:rsid w:val="00E06C07"/>
    <w:rsid w:val="00E06ECF"/>
    <w:rsid w:val="00E07020"/>
    <w:rsid w:val="00E071C9"/>
    <w:rsid w:val="00E077D0"/>
    <w:rsid w:val="00E07945"/>
    <w:rsid w:val="00E079A6"/>
    <w:rsid w:val="00E07AEA"/>
    <w:rsid w:val="00E07B1F"/>
    <w:rsid w:val="00E07D00"/>
    <w:rsid w:val="00E07DC9"/>
    <w:rsid w:val="00E07E30"/>
    <w:rsid w:val="00E07EA8"/>
    <w:rsid w:val="00E07EB8"/>
    <w:rsid w:val="00E07FB6"/>
    <w:rsid w:val="00E10105"/>
    <w:rsid w:val="00E101CF"/>
    <w:rsid w:val="00E1047A"/>
    <w:rsid w:val="00E104C5"/>
    <w:rsid w:val="00E10608"/>
    <w:rsid w:val="00E107F0"/>
    <w:rsid w:val="00E10951"/>
    <w:rsid w:val="00E1099D"/>
    <w:rsid w:val="00E109ED"/>
    <w:rsid w:val="00E109FE"/>
    <w:rsid w:val="00E10AC5"/>
    <w:rsid w:val="00E10E24"/>
    <w:rsid w:val="00E10E39"/>
    <w:rsid w:val="00E10EBA"/>
    <w:rsid w:val="00E1137A"/>
    <w:rsid w:val="00E11557"/>
    <w:rsid w:val="00E1156D"/>
    <w:rsid w:val="00E115E9"/>
    <w:rsid w:val="00E117EC"/>
    <w:rsid w:val="00E11A1F"/>
    <w:rsid w:val="00E11A23"/>
    <w:rsid w:val="00E11D47"/>
    <w:rsid w:val="00E11E11"/>
    <w:rsid w:val="00E11EF1"/>
    <w:rsid w:val="00E11F17"/>
    <w:rsid w:val="00E11FC1"/>
    <w:rsid w:val="00E11FDF"/>
    <w:rsid w:val="00E12090"/>
    <w:rsid w:val="00E121BE"/>
    <w:rsid w:val="00E12275"/>
    <w:rsid w:val="00E1228D"/>
    <w:rsid w:val="00E123BD"/>
    <w:rsid w:val="00E12473"/>
    <w:rsid w:val="00E12516"/>
    <w:rsid w:val="00E126A5"/>
    <w:rsid w:val="00E1283B"/>
    <w:rsid w:val="00E129D6"/>
    <w:rsid w:val="00E12D20"/>
    <w:rsid w:val="00E12DBE"/>
    <w:rsid w:val="00E1319D"/>
    <w:rsid w:val="00E1321F"/>
    <w:rsid w:val="00E13367"/>
    <w:rsid w:val="00E133F7"/>
    <w:rsid w:val="00E1357F"/>
    <w:rsid w:val="00E135EE"/>
    <w:rsid w:val="00E136A1"/>
    <w:rsid w:val="00E136EC"/>
    <w:rsid w:val="00E13894"/>
    <w:rsid w:val="00E1389D"/>
    <w:rsid w:val="00E13931"/>
    <w:rsid w:val="00E13A2F"/>
    <w:rsid w:val="00E13A62"/>
    <w:rsid w:val="00E13D19"/>
    <w:rsid w:val="00E14015"/>
    <w:rsid w:val="00E141D6"/>
    <w:rsid w:val="00E144C0"/>
    <w:rsid w:val="00E144CE"/>
    <w:rsid w:val="00E147F5"/>
    <w:rsid w:val="00E14A5C"/>
    <w:rsid w:val="00E14CD9"/>
    <w:rsid w:val="00E14D9B"/>
    <w:rsid w:val="00E15031"/>
    <w:rsid w:val="00E15178"/>
    <w:rsid w:val="00E1521D"/>
    <w:rsid w:val="00E153EC"/>
    <w:rsid w:val="00E1587E"/>
    <w:rsid w:val="00E15967"/>
    <w:rsid w:val="00E15971"/>
    <w:rsid w:val="00E15BE1"/>
    <w:rsid w:val="00E15DD2"/>
    <w:rsid w:val="00E15EBE"/>
    <w:rsid w:val="00E15F23"/>
    <w:rsid w:val="00E16251"/>
    <w:rsid w:val="00E16331"/>
    <w:rsid w:val="00E16617"/>
    <w:rsid w:val="00E1686E"/>
    <w:rsid w:val="00E16936"/>
    <w:rsid w:val="00E1697B"/>
    <w:rsid w:val="00E169BA"/>
    <w:rsid w:val="00E16B62"/>
    <w:rsid w:val="00E16CC9"/>
    <w:rsid w:val="00E16EA1"/>
    <w:rsid w:val="00E16EF0"/>
    <w:rsid w:val="00E17279"/>
    <w:rsid w:val="00E17363"/>
    <w:rsid w:val="00E174A3"/>
    <w:rsid w:val="00E174B8"/>
    <w:rsid w:val="00E1773A"/>
    <w:rsid w:val="00E1778E"/>
    <w:rsid w:val="00E17978"/>
    <w:rsid w:val="00E17992"/>
    <w:rsid w:val="00E17BDE"/>
    <w:rsid w:val="00E17D81"/>
    <w:rsid w:val="00E20168"/>
    <w:rsid w:val="00E20339"/>
    <w:rsid w:val="00E20357"/>
    <w:rsid w:val="00E204A6"/>
    <w:rsid w:val="00E204F8"/>
    <w:rsid w:val="00E20629"/>
    <w:rsid w:val="00E20A1D"/>
    <w:rsid w:val="00E20B4B"/>
    <w:rsid w:val="00E210F2"/>
    <w:rsid w:val="00E211FA"/>
    <w:rsid w:val="00E212A5"/>
    <w:rsid w:val="00E21910"/>
    <w:rsid w:val="00E219FD"/>
    <w:rsid w:val="00E21CB7"/>
    <w:rsid w:val="00E2204F"/>
    <w:rsid w:val="00E22124"/>
    <w:rsid w:val="00E222C5"/>
    <w:rsid w:val="00E22560"/>
    <w:rsid w:val="00E2270B"/>
    <w:rsid w:val="00E22757"/>
    <w:rsid w:val="00E22794"/>
    <w:rsid w:val="00E227A5"/>
    <w:rsid w:val="00E22888"/>
    <w:rsid w:val="00E2294A"/>
    <w:rsid w:val="00E22955"/>
    <w:rsid w:val="00E22C4C"/>
    <w:rsid w:val="00E22C66"/>
    <w:rsid w:val="00E22D94"/>
    <w:rsid w:val="00E22DB3"/>
    <w:rsid w:val="00E22DC0"/>
    <w:rsid w:val="00E23107"/>
    <w:rsid w:val="00E23682"/>
    <w:rsid w:val="00E23B86"/>
    <w:rsid w:val="00E23E31"/>
    <w:rsid w:val="00E2411F"/>
    <w:rsid w:val="00E245BE"/>
    <w:rsid w:val="00E245BF"/>
    <w:rsid w:val="00E24743"/>
    <w:rsid w:val="00E24A8F"/>
    <w:rsid w:val="00E24B53"/>
    <w:rsid w:val="00E24B96"/>
    <w:rsid w:val="00E24C6E"/>
    <w:rsid w:val="00E24DC5"/>
    <w:rsid w:val="00E25106"/>
    <w:rsid w:val="00E2521A"/>
    <w:rsid w:val="00E254E9"/>
    <w:rsid w:val="00E25516"/>
    <w:rsid w:val="00E25907"/>
    <w:rsid w:val="00E25BB7"/>
    <w:rsid w:val="00E25DB1"/>
    <w:rsid w:val="00E25FAA"/>
    <w:rsid w:val="00E26062"/>
    <w:rsid w:val="00E26407"/>
    <w:rsid w:val="00E264F8"/>
    <w:rsid w:val="00E2669C"/>
    <w:rsid w:val="00E2675F"/>
    <w:rsid w:val="00E26801"/>
    <w:rsid w:val="00E26AD6"/>
    <w:rsid w:val="00E26B39"/>
    <w:rsid w:val="00E26CC2"/>
    <w:rsid w:val="00E26EA5"/>
    <w:rsid w:val="00E26EFE"/>
    <w:rsid w:val="00E27061"/>
    <w:rsid w:val="00E270DC"/>
    <w:rsid w:val="00E27110"/>
    <w:rsid w:val="00E2744C"/>
    <w:rsid w:val="00E30073"/>
    <w:rsid w:val="00E30383"/>
    <w:rsid w:val="00E303E9"/>
    <w:rsid w:val="00E3055C"/>
    <w:rsid w:val="00E30B5D"/>
    <w:rsid w:val="00E30CA6"/>
    <w:rsid w:val="00E30D00"/>
    <w:rsid w:val="00E30DED"/>
    <w:rsid w:val="00E30E10"/>
    <w:rsid w:val="00E3153E"/>
    <w:rsid w:val="00E31B1E"/>
    <w:rsid w:val="00E31BD8"/>
    <w:rsid w:val="00E31C42"/>
    <w:rsid w:val="00E31C93"/>
    <w:rsid w:val="00E31D12"/>
    <w:rsid w:val="00E31D43"/>
    <w:rsid w:val="00E31E73"/>
    <w:rsid w:val="00E32298"/>
    <w:rsid w:val="00E3234B"/>
    <w:rsid w:val="00E323BE"/>
    <w:rsid w:val="00E3244C"/>
    <w:rsid w:val="00E324AD"/>
    <w:rsid w:val="00E3265F"/>
    <w:rsid w:val="00E3296C"/>
    <w:rsid w:val="00E32AAC"/>
    <w:rsid w:val="00E32D92"/>
    <w:rsid w:val="00E3307A"/>
    <w:rsid w:val="00E3315F"/>
    <w:rsid w:val="00E33322"/>
    <w:rsid w:val="00E33329"/>
    <w:rsid w:val="00E3333A"/>
    <w:rsid w:val="00E33EA6"/>
    <w:rsid w:val="00E33F34"/>
    <w:rsid w:val="00E33F74"/>
    <w:rsid w:val="00E3411B"/>
    <w:rsid w:val="00E3413E"/>
    <w:rsid w:val="00E342C0"/>
    <w:rsid w:val="00E34350"/>
    <w:rsid w:val="00E343F7"/>
    <w:rsid w:val="00E345A1"/>
    <w:rsid w:val="00E346D1"/>
    <w:rsid w:val="00E3470E"/>
    <w:rsid w:val="00E3499A"/>
    <w:rsid w:val="00E34A67"/>
    <w:rsid w:val="00E34EDF"/>
    <w:rsid w:val="00E34EF8"/>
    <w:rsid w:val="00E34F13"/>
    <w:rsid w:val="00E34F34"/>
    <w:rsid w:val="00E3520B"/>
    <w:rsid w:val="00E35284"/>
    <w:rsid w:val="00E352AC"/>
    <w:rsid w:val="00E353A0"/>
    <w:rsid w:val="00E355A1"/>
    <w:rsid w:val="00E358CE"/>
    <w:rsid w:val="00E35E73"/>
    <w:rsid w:val="00E361BE"/>
    <w:rsid w:val="00E365F9"/>
    <w:rsid w:val="00E36664"/>
    <w:rsid w:val="00E36683"/>
    <w:rsid w:val="00E3670A"/>
    <w:rsid w:val="00E3671B"/>
    <w:rsid w:val="00E369C9"/>
    <w:rsid w:val="00E36E05"/>
    <w:rsid w:val="00E36F37"/>
    <w:rsid w:val="00E3700A"/>
    <w:rsid w:val="00E37501"/>
    <w:rsid w:val="00E37637"/>
    <w:rsid w:val="00E377A6"/>
    <w:rsid w:val="00E379BD"/>
    <w:rsid w:val="00E379CF"/>
    <w:rsid w:val="00E37B4D"/>
    <w:rsid w:val="00E37E9D"/>
    <w:rsid w:val="00E405D3"/>
    <w:rsid w:val="00E407C3"/>
    <w:rsid w:val="00E40862"/>
    <w:rsid w:val="00E40B3B"/>
    <w:rsid w:val="00E40D03"/>
    <w:rsid w:val="00E40F4C"/>
    <w:rsid w:val="00E40FBD"/>
    <w:rsid w:val="00E40FCD"/>
    <w:rsid w:val="00E410F9"/>
    <w:rsid w:val="00E41437"/>
    <w:rsid w:val="00E41631"/>
    <w:rsid w:val="00E4173C"/>
    <w:rsid w:val="00E41C4F"/>
    <w:rsid w:val="00E41C74"/>
    <w:rsid w:val="00E41CF1"/>
    <w:rsid w:val="00E41D16"/>
    <w:rsid w:val="00E42383"/>
    <w:rsid w:val="00E42492"/>
    <w:rsid w:val="00E42512"/>
    <w:rsid w:val="00E4259A"/>
    <w:rsid w:val="00E42705"/>
    <w:rsid w:val="00E42795"/>
    <w:rsid w:val="00E42956"/>
    <w:rsid w:val="00E42CD6"/>
    <w:rsid w:val="00E42DA8"/>
    <w:rsid w:val="00E42EAE"/>
    <w:rsid w:val="00E42F27"/>
    <w:rsid w:val="00E4347E"/>
    <w:rsid w:val="00E43634"/>
    <w:rsid w:val="00E43979"/>
    <w:rsid w:val="00E43C67"/>
    <w:rsid w:val="00E44114"/>
    <w:rsid w:val="00E44151"/>
    <w:rsid w:val="00E4432F"/>
    <w:rsid w:val="00E443A0"/>
    <w:rsid w:val="00E44564"/>
    <w:rsid w:val="00E44A8E"/>
    <w:rsid w:val="00E44AFA"/>
    <w:rsid w:val="00E44BC2"/>
    <w:rsid w:val="00E44EE1"/>
    <w:rsid w:val="00E44FCC"/>
    <w:rsid w:val="00E452F9"/>
    <w:rsid w:val="00E4560D"/>
    <w:rsid w:val="00E456E4"/>
    <w:rsid w:val="00E458B4"/>
    <w:rsid w:val="00E45A35"/>
    <w:rsid w:val="00E45B09"/>
    <w:rsid w:val="00E45E6E"/>
    <w:rsid w:val="00E45EE9"/>
    <w:rsid w:val="00E460DE"/>
    <w:rsid w:val="00E461D1"/>
    <w:rsid w:val="00E461DA"/>
    <w:rsid w:val="00E462EB"/>
    <w:rsid w:val="00E463A0"/>
    <w:rsid w:val="00E465FD"/>
    <w:rsid w:val="00E46654"/>
    <w:rsid w:val="00E466D6"/>
    <w:rsid w:val="00E466FC"/>
    <w:rsid w:val="00E46746"/>
    <w:rsid w:val="00E46765"/>
    <w:rsid w:val="00E467F8"/>
    <w:rsid w:val="00E4692A"/>
    <w:rsid w:val="00E46A07"/>
    <w:rsid w:val="00E46CF9"/>
    <w:rsid w:val="00E46D28"/>
    <w:rsid w:val="00E46D63"/>
    <w:rsid w:val="00E46E64"/>
    <w:rsid w:val="00E46ED2"/>
    <w:rsid w:val="00E46F2D"/>
    <w:rsid w:val="00E47501"/>
    <w:rsid w:val="00E47830"/>
    <w:rsid w:val="00E478BF"/>
    <w:rsid w:val="00E47901"/>
    <w:rsid w:val="00E47B48"/>
    <w:rsid w:val="00E47B66"/>
    <w:rsid w:val="00E47B98"/>
    <w:rsid w:val="00E47BF3"/>
    <w:rsid w:val="00E47C05"/>
    <w:rsid w:val="00E47D44"/>
    <w:rsid w:val="00E501A7"/>
    <w:rsid w:val="00E5041D"/>
    <w:rsid w:val="00E5051F"/>
    <w:rsid w:val="00E506C9"/>
    <w:rsid w:val="00E5076B"/>
    <w:rsid w:val="00E50848"/>
    <w:rsid w:val="00E50872"/>
    <w:rsid w:val="00E50AC5"/>
    <w:rsid w:val="00E50ADE"/>
    <w:rsid w:val="00E50F8C"/>
    <w:rsid w:val="00E51270"/>
    <w:rsid w:val="00E513CB"/>
    <w:rsid w:val="00E513F4"/>
    <w:rsid w:val="00E51609"/>
    <w:rsid w:val="00E5170D"/>
    <w:rsid w:val="00E51772"/>
    <w:rsid w:val="00E51831"/>
    <w:rsid w:val="00E51886"/>
    <w:rsid w:val="00E51A34"/>
    <w:rsid w:val="00E51C4B"/>
    <w:rsid w:val="00E51C92"/>
    <w:rsid w:val="00E51D9E"/>
    <w:rsid w:val="00E51E25"/>
    <w:rsid w:val="00E51E63"/>
    <w:rsid w:val="00E51E8B"/>
    <w:rsid w:val="00E51F54"/>
    <w:rsid w:val="00E521A0"/>
    <w:rsid w:val="00E52384"/>
    <w:rsid w:val="00E52520"/>
    <w:rsid w:val="00E52C0C"/>
    <w:rsid w:val="00E52C59"/>
    <w:rsid w:val="00E5317F"/>
    <w:rsid w:val="00E5320B"/>
    <w:rsid w:val="00E53408"/>
    <w:rsid w:val="00E53441"/>
    <w:rsid w:val="00E53526"/>
    <w:rsid w:val="00E5356A"/>
    <w:rsid w:val="00E5358B"/>
    <w:rsid w:val="00E536AB"/>
    <w:rsid w:val="00E53816"/>
    <w:rsid w:val="00E539AF"/>
    <w:rsid w:val="00E53AE5"/>
    <w:rsid w:val="00E53E0A"/>
    <w:rsid w:val="00E54257"/>
    <w:rsid w:val="00E543A2"/>
    <w:rsid w:val="00E543BC"/>
    <w:rsid w:val="00E5440F"/>
    <w:rsid w:val="00E54479"/>
    <w:rsid w:val="00E548C5"/>
    <w:rsid w:val="00E55315"/>
    <w:rsid w:val="00E55571"/>
    <w:rsid w:val="00E55651"/>
    <w:rsid w:val="00E5568C"/>
    <w:rsid w:val="00E556C8"/>
    <w:rsid w:val="00E55785"/>
    <w:rsid w:val="00E55862"/>
    <w:rsid w:val="00E55C1D"/>
    <w:rsid w:val="00E55C8B"/>
    <w:rsid w:val="00E55C95"/>
    <w:rsid w:val="00E55DAC"/>
    <w:rsid w:val="00E55E99"/>
    <w:rsid w:val="00E5602C"/>
    <w:rsid w:val="00E5603E"/>
    <w:rsid w:val="00E5606B"/>
    <w:rsid w:val="00E5621A"/>
    <w:rsid w:val="00E5632C"/>
    <w:rsid w:val="00E566D7"/>
    <w:rsid w:val="00E567D2"/>
    <w:rsid w:val="00E56826"/>
    <w:rsid w:val="00E568C4"/>
    <w:rsid w:val="00E5690A"/>
    <w:rsid w:val="00E569A0"/>
    <w:rsid w:val="00E569C1"/>
    <w:rsid w:val="00E56A3E"/>
    <w:rsid w:val="00E56A48"/>
    <w:rsid w:val="00E56CB7"/>
    <w:rsid w:val="00E56E3D"/>
    <w:rsid w:val="00E56FAD"/>
    <w:rsid w:val="00E57001"/>
    <w:rsid w:val="00E573F2"/>
    <w:rsid w:val="00E574E2"/>
    <w:rsid w:val="00E5785D"/>
    <w:rsid w:val="00E579F1"/>
    <w:rsid w:val="00E57A09"/>
    <w:rsid w:val="00E57B53"/>
    <w:rsid w:val="00E57DCD"/>
    <w:rsid w:val="00E57DEB"/>
    <w:rsid w:val="00E60296"/>
    <w:rsid w:val="00E60327"/>
    <w:rsid w:val="00E60328"/>
    <w:rsid w:val="00E603FC"/>
    <w:rsid w:val="00E6044D"/>
    <w:rsid w:val="00E60BD4"/>
    <w:rsid w:val="00E60F64"/>
    <w:rsid w:val="00E610BA"/>
    <w:rsid w:val="00E61313"/>
    <w:rsid w:val="00E61535"/>
    <w:rsid w:val="00E6156F"/>
    <w:rsid w:val="00E6165C"/>
    <w:rsid w:val="00E6176E"/>
    <w:rsid w:val="00E6193E"/>
    <w:rsid w:val="00E619AE"/>
    <w:rsid w:val="00E619F8"/>
    <w:rsid w:val="00E61A03"/>
    <w:rsid w:val="00E61A7B"/>
    <w:rsid w:val="00E61CDE"/>
    <w:rsid w:val="00E61DA5"/>
    <w:rsid w:val="00E61F82"/>
    <w:rsid w:val="00E61FA7"/>
    <w:rsid w:val="00E6204B"/>
    <w:rsid w:val="00E620F3"/>
    <w:rsid w:val="00E621FF"/>
    <w:rsid w:val="00E6227C"/>
    <w:rsid w:val="00E62872"/>
    <w:rsid w:val="00E629AE"/>
    <w:rsid w:val="00E62C84"/>
    <w:rsid w:val="00E6325E"/>
    <w:rsid w:val="00E63275"/>
    <w:rsid w:val="00E63292"/>
    <w:rsid w:val="00E632DE"/>
    <w:rsid w:val="00E63355"/>
    <w:rsid w:val="00E6335F"/>
    <w:rsid w:val="00E633CD"/>
    <w:rsid w:val="00E63670"/>
    <w:rsid w:val="00E636AC"/>
    <w:rsid w:val="00E639A1"/>
    <w:rsid w:val="00E63CFC"/>
    <w:rsid w:val="00E63D56"/>
    <w:rsid w:val="00E63DD5"/>
    <w:rsid w:val="00E6454C"/>
    <w:rsid w:val="00E6468F"/>
    <w:rsid w:val="00E646BA"/>
    <w:rsid w:val="00E64969"/>
    <w:rsid w:val="00E649B8"/>
    <w:rsid w:val="00E64D1C"/>
    <w:rsid w:val="00E64DF6"/>
    <w:rsid w:val="00E64F75"/>
    <w:rsid w:val="00E6507F"/>
    <w:rsid w:val="00E65223"/>
    <w:rsid w:val="00E65684"/>
    <w:rsid w:val="00E6587F"/>
    <w:rsid w:val="00E658E2"/>
    <w:rsid w:val="00E65961"/>
    <w:rsid w:val="00E65C33"/>
    <w:rsid w:val="00E65E99"/>
    <w:rsid w:val="00E65F3C"/>
    <w:rsid w:val="00E65FF3"/>
    <w:rsid w:val="00E661E2"/>
    <w:rsid w:val="00E665A6"/>
    <w:rsid w:val="00E6668C"/>
    <w:rsid w:val="00E668EB"/>
    <w:rsid w:val="00E66B3A"/>
    <w:rsid w:val="00E66E87"/>
    <w:rsid w:val="00E67006"/>
    <w:rsid w:val="00E67232"/>
    <w:rsid w:val="00E673ED"/>
    <w:rsid w:val="00E679F3"/>
    <w:rsid w:val="00E67BF1"/>
    <w:rsid w:val="00E67C28"/>
    <w:rsid w:val="00E67EA1"/>
    <w:rsid w:val="00E67FDF"/>
    <w:rsid w:val="00E701ED"/>
    <w:rsid w:val="00E7047B"/>
    <w:rsid w:val="00E7067E"/>
    <w:rsid w:val="00E706B9"/>
    <w:rsid w:val="00E70774"/>
    <w:rsid w:val="00E70837"/>
    <w:rsid w:val="00E70A5A"/>
    <w:rsid w:val="00E70AD2"/>
    <w:rsid w:val="00E70D97"/>
    <w:rsid w:val="00E70DC1"/>
    <w:rsid w:val="00E70DCA"/>
    <w:rsid w:val="00E70F2D"/>
    <w:rsid w:val="00E71292"/>
    <w:rsid w:val="00E71412"/>
    <w:rsid w:val="00E715FD"/>
    <w:rsid w:val="00E716BB"/>
    <w:rsid w:val="00E71716"/>
    <w:rsid w:val="00E717A7"/>
    <w:rsid w:val="00E7180D"/>
    <w:rsid w:val="00E71B0A"/>
    <w:rsid w:val="00E71BF0"/>
    <w:rsid w:val="00E72066"/>
    <w:rsid w:val="00E72151"/>
    <w:rsid w:val="00E72169"/>
    <w:rsid w:val="00E72178"/>
    <w:rsid w:val="00E72188"/>
    <w:rsid w:val="00E72191"/>
    <w:rsid w:val="00E72342"/>
    <w:rsid w:val="00E723D0"/>
    <w:rsid w:val="00E7257D"/>
    <w:rsid w:val="00E725D4"/>
    <w:rsid w:val="00E72646"/>
    <w:rsid w:val="00E72840"/>
    <w:rsid w:val="00E7288D"/>
    <w:rsid w:val="00E72923"/>
    <w:rsid w:val="00E729E5"/>
    <w:rsid w:val="00E72AD3"/>
    <w:rsid w:val="00E72AFB"/>
    <w:rsid w:val="00E72E5B"/>
    <w:rsid w:val="00E72F22"/>
    <w:rsid w:val="00E72FD0"/>
    <w:rsid w:val="00E7338E"/>
    <w:rsid w:val="00E733F4"/>
    <w:rsid w:val="00E73599"/>
    <w:rsid w:val="00E73A20"/>
    <w:rsid w:val="00E73AB5"/>
    <w:rsid w:val="00E73B22"/>
    <w:rsid w:val="00E73EA3"/>
    <w:rsid w:val="00E73FA5"/>
    <w:rsid w:val="00E74262"/>
    <w:rsid w:val="00E7439E"/>
    <w:rsid w:val="00E7459D"/>
    <w:rsid w:val="00E7489A"/>
    <w:rsid w:val="00E74935"/>
    <w:rsid w:val="00E74CA2"/>
    <w:rsid w:val="00E74D4A"/>
    <w:rsid w:val="00E74E8B"/>
    <w:rsid w:val="00E74ED6"/>
    <w:rsid w:val="00E751D6"/>
    <w:rsid w:val="00E75425"/>
    <w:rsid w:val="00E7570F"/>
    <w:rsid w:val="00E75781"/>
    <w:rsid w:val="00E7581C"/>
    <w:rsid w:val="00E759A6"/>
    <w:rsid w:val="00E75A7B"/>
    <w:rsid w:val="00E75CE5"/>
    <w:rsid w:val="00E75F73"/>
    <w:rsid w:val="00E75FE3"/>
    <w:rsid w:val="00E7603E"/>
    <w:rsid w:val="00E760DA"/>
    <w:rsid w:val="00E761FB"/>
    <w:rsid w:val="00E7625A"/>
    <w:rsid w:val="00E766A6"/>
    <w:rsid w:val="00E76BC3"/>
    <w:rsid w:val="00E76C1B"/>
    <w:rsid w:val="00E76C7A"/>
    <w:rsid w:val="00E76E03"/>
    <w:rsid w:val="00E77350"/>
    <w:rsid w:val="00E7744B"/>
    <w:rsid w:val="00E7759D"/>
    <w:rsid w:val="00E7770A"/>
    <w:rsid w:val="00E77810"/>
    <w:rsid w:val="00E77A83"/>
    <w:rsid w:val="00E77BCE"/>
    <w:rsid w:val="00E77E07"/>
    <w:rsid w:val="00E77F7B"/>
    <w:rsid w:val="00E77F80"/>
    <w:rsid w:val="00E800B0"/>
    <w:rsid w:val="00E802CA"/>
    <w:rsid w:val="00E80301"/>
    <w:rsid w:val="00E804CC"/>
    <w:rsid w:val="00E80972"/>
    <w:rsid w:val="00E80C9B"/>
    <w:rsid w:val="00E810F5"/>
    <w:rsid w:val="00E81141"/>
    <w:rsid w:val="00E811BC"/>
    <w:rsid w:val="00E813BC"/>
    <w:rsid w:val="00E8175A"/>
    <w:rsid w:val="00E818CB"/>
    <w:rsid w:val="00E81AB7"/>
    <w:rsid w:val="00E81CB6"/>
    <w:rsid w:val="00E81D07"/>
    <w:rsid w:val="00E81F35"/>
    <w:rsid w:val="00E81FC5"/>
    <w:rsid w:val="00E8239F"/>
    <w:rsid w:val="00E824B0"/>
    <w:rsid w:val="00E82A3C"/>
    <w:rsid w:val="00E82B0F"/>
    <w:rsid w:val="00E82C80"/>
    <w:rsid w:val="00E82CD5"/>
    <w:rsid w:val="00E83086"/>
    <w:rsid w:val="00E832BA"/>
    <w:rsid w:val="00E83366"/>
    <w:rsid w:val="00E8336E"/>
    <w:rsid w:val="00E83442"/>
    <w:rsid w:val="00E8373E"/>
    <w:rsid w:val="00E8387C"/>
    <w:rsid w:val="00E83C26"/>
    <w:rsid w:val="00E83FE5"/>
    <w:rsid w:val="00E841C8"/>
    <w:rsid w:val="00E84232"/>
    <w:rsid w:val="00E843C5"/>
    <w:rsid w:val="00E8457B"/>
    <w:rsid w:val="00E8473B"/>
    <w:rsid w:val="00E84889"/>
    <w:rsid w:val="00E84D08"/>
    <w:rsid w:val="00E84E5D"/>
    <w:rsid w:val="00E85297"/>
    <w:rsid w:val="00E852EE"/>
    <w:rsid w:val="00E852FD"/>
    <w:rsid w:val="00E854AF"/>
    <w:rsid w:val="00E85A2A"/>
    <w:rsid w:val="00E85C3F"/>
    <w:rsid w:val="00E85C83"/>
    <w:rsid w:val="00E85CA3"/>
    <w:rsid w:val="00E85E51"/>
    <w:rsid w:val="00E8617B"/>
    <w:rsid w:val="00E861B6"/>
    <w:rsid w:val="00E8629D"/>
    <w:rsid w:val="00E862EA"/>
    <w:rsid w:val="00E8642C"/>
    <w:rsid w:val="00E866DC"/>
    <w:rsid w:val="00E8672C"/>
    <w:rsid w:val="00E86915"/>
    <w:rsid w:val="00E8693C"/>
    <w:rsid w:val="00E86A95"/>
    <w:rsid w:val="00E86B31"/>
    <w:rsid w:val="00E86C77"/>
    <w:rsid w:val="00E86E9E"/>
    <w:rsid w:val="00E8707E"/>
    <w:rsid w:val="00E8713C"/>
    <w:rsid w:val="00E871D5"/>
    <w:rsid w:val="00E87226"/>
    <w:rsid w:val="00E87368"/>
    <w:rsid w:val="00E87718"/>
    <w:rsid w:val="00E87AE4"/>
    <w:rsid w:val="00E87C72"/>
    <w:rsid w:val="00E87F90"/>
    <w:rsid w:val="00E87FE3"/>
    <w:rsid w:val="00E90237"/>
    <w:rsid w:val="00E90286"/>
    <w:rsid w:val="00E902A7"/>
    <w:rsid w:val="00E9039B"/>
    <w:rsid w:val="00E90507"/>
    <w:rsid w:val="00E9074C"/>
    <w:rsid w:val="00E907C1"/>
    <w:rsid w:val="00E90823"/>
    <w:rsid w:val="00E90966"/>
    <w:rsid w:val="00E90BDA"/>
    <w:rsid w:val="00E91219"/>
    <w:rsid w:val="00E91359"/>
    <w:rsid w:val="00E91479"/>
    <w:rsid w:val="00E914BC"/>
    <w:rsid w:val="00E91C4F"/>
    <w:rsid w:val="00E91D3B"/>
    <w:rsid w:val="00E91F5E"/>
    <w:rsid w:val="00E91FA4"/>
    <w:rsid w:val="00E920C7"/>
    <w:rsid w:val="00E920FC"/>
    <w:rsid w:val="00E92128"/>
    <w:rsid w:val="00E92159"/>
    <w:rsid w:val="00E92554"/>
    <w:rsid w:val="00E9269C"/>
    <w:rsid w:val="00E92C7A"/>
    <w:rsid w:val="00E92D64"/>
    <w:rsid w:val="00E92EED"/>
    <w:rsid w:val="00E9350F"/>
    <w:rsid w:val="00E936D8"/>
    <w:rsid w:val="00E937C3"/>
    <w:rsid w:val="00E9381B"/>
    <w:rsid w:val="00E93899"/>
    <w:rsid w:val="00E93BC3"/>
    <w:rsid w:val="00E93CA7"/>
    <w:rsid w:val="00E93CE5"/>
    <w:rsid w:val="00E93CEA"/>
    <w:rsid w:val="00E93D07"/>
    <w:rsid w:val="00E93DDA"/>
    <w:rsid w:val="00E93E15"/>
    <w:rsid w:val="00E93F76"/>
    <w:rsid w:val="00E941C7"/>
    <w:rsid w:val="00E94618"/>
    <w:rsid w:val="00E94735"/>
    <w:rsid w:val="00E947E3"/>
    <w:rsid w:val="00E94913"/>
    <w:rsid w:val="00E94B13"/>
    <w:rsid w:val="00E94BFC"/>
    <w:rsid w:val="00E94C6B"/>
    <w:rsid w:val="00E94CA6"/>
    <w:rsid w:val="00E94D69"/>
    <w:rsid w:val="00E952E2"/>
    <w:rsid w:val="00E95477"/>
    <w:rsid w:val="00E954E0"/>
    <w:rsid w:val="00E955DB"/>
    <w:rsid w:val="00E95904"/>
    <w:rsid w:val="00E95ABC"/>
    <w:rsid w:val="00E95BDB"/>
    <w:rsid w:val="00E9636B"/>
    <w:rsid w:val="00E964A3"/>
    <w:rsid w:val="00E96507"/>
    <w:rsid w:val="00E96622"/>
    <w:rsid w:val="00E9667D"/>
    <w:rsid w:val="00E96747"/>
    <w:rsid w:val="00E967A7"/>
    <w:rsid w:val="00E968B2"/>
    <w:rsid w:val="00E96993"/>
    <w:rsid w:val="00E969D5"/>
    <w:rsid w:val="00E969D6"/>
    <w:rsid w:val="00E96F7D"/>
    <w:rsid w:val="00E97176"/>
    <w:rsid w:val="00E974E0"/>
    <w:rsid w:val="00E97576"/>
    <w:rsid w:val="00E975F3"/>
    <w:rsid w:val="00E97645"/>
    <w:rsid w:val="00E977E9"/>
    <w:rsid w:val="00E97A6D"/>
    <w:rsid w:val="00E97A83"/>
    <w:rsid w:val="00E97AEC"/>
    <w:rsid w:val="00E97B53"/>
    <w:rsid w:val="00E97D06"/>
    <w:rsid w:val="00EA032F"/>
    <w:rsid w:val="00EA063A"/>
    <w:rsid w:val="00EA0742"/>
    <w:rsid w:val="00EA0851"/>
    <w:rsid w:val="00EA0A0A"/>
    <w:rsid w:val="00EA0AD5"/>
    <w:rsid w:val="00EA0B02"/>
    <w:rsid w:val="00EA0B50"/>
    <w:rsid w:val="00EA0C3E"/>
    <w:rsid w:val="00EA0F9E"/>
    <w:rsid w:val="00EA10F0"/>
    <w:rsid w:val="00EA11AB"/>
    <w:rsid w:val="00EA1547"/>
    <w:rsid w:val="00EA1858"/>
    <w:rsid w:val="00EA1963"/>
    <w:rsid w:val="00EA19F6"/>
    <w:rsid w:val="00EA1ADB"/>
    <w:rsid w:val="00EA1C79"/>
    <w:rsid w:val="00EA1C84"/>
    <w:rsid w:val="00EA1E12"/>
    <w:rsid w:val="00EA2055"/>
    <w:rsid w:val="00EA2104"/>
    <w:rsid w:val="00EA218E"/>
    <w:rsid w:val="00EA21F8"/>
    <w:rsid w:val="00EA2928"/>
    <w:rsid w:val="00EA2939"/>
    <w:rsid w:val="00EA2941"/>
    <w:rsid w:val="00EA2A02"/>
    <w:rsid w:val="00EA2CD5"/>
    <w:rsid w:val="00EA2E8B"/>
    <w:rsid w:val="00EA2EE6"/>
    <w:rsid w:val="00EA2F2F"/>
    <w:rsid w:val="00EA2F8F"/>
    <w:rsid w:val="00EA321E"/>
    <w:rsid w:val="00EA32A9"/>
    <w:rsid w:val="00EA32E7"/>
    <w:rsid w:val="00EA34C4"/>
    <w:rsid w:val="00EA34E3"/>
    <w:rsid w:val="00EA350F"/>
    <w:rsid w:val="00EA368F"/>
    <w:rsid w:val="00EA3784"/>
    <w:rsid w:val="00EA3B22"/>
    <w:rsid w:val="00EA3BBA"/>
    <w:rsid w:val="00EA3EB4"/>
    <w:rsid w:val="00EA3EDC"/>
    <w:rsid w:val="00EA3F34"/>
    <w:rsid w:val="00EA3F8B"/>
    <w:rsid w:val="00EA4187"/>
    <w:rsid w:val="00EA43CB"/>
    <w:rsid w:val="00EA4429"/>
    <w:rsid w:val="00EA444A"/>
    <w:rsid w:val="00EA45C5"/>
    <w:rsid w:val="00EA46F6"/>
    <w:rsid w:val="00EA47F1"/>
    <w:rsid w:val="00EA47FC"/>
    <w:rsid w:val="00EA484E"/>
    <w:rsid w:val="00EA485C"/>
    <w:rsid w:val="00EA4B3A"/>
    <w:rsid w:val="00EA4BD8"/>
    <w:rsid w:val="00EA4CB6"/>
    <w:rsid w:val="00EA4CDD"/>
    <w:rsid w:val="00EA4ECF"/>
    <w:rsid w:val="00EA57EF"/>
    <w:rsid w:val="00EA57F5"/>
    <w:rsid w:val="00EA5A6F"/>
    <w:rsid w:val="00EA5BBA"/>
    <w:rsid w:val="00EA5DEC"/>
    <w:rsid w:val="00EA5EDC"/>
    <w:rsid w:val="00EA5FE5"/>
    <w:rsid w:val="00EA6128"/>
    <w:rsid w:val="00EA61D8"/>
    <w:rsid w:val="00EA6516"/>
    <w:rsid w:val="00EA65C0"/>
    <w:rsid w:val="00EA65F9"/>
    <w:rsid w:val="00EA66C6"/>
    <w:rsid w:val="00EA6779"/>
    <w:rsid w:val="00EA68E1"/>
    <w:rsid w:val="00EA69CC"/>
    <w:rsid w:val="00EA6C24"/>
    <w:rsid w:val="00EA6C7A"/>
    <w:rsid w:val="00EA6F30"/>
    <w:rsid w:val="00EA70D8"/>
    <w:rsid w:val="00EA722D"/>
    <w:rsid w:val="00EA756B"/>
    <w:rsid w:val="00EA7692"/>
    <w:rsid w:val="00EA7815"/>
    <w:rsid w:val="00EA7ABE"/>
    <w:rsid w:val="00EA7B7D"/>
    <w:rsid w:val="00EA7C66"/>
    <w:rsid w:val="00EA7F26"/>
    <w:rsid w:val="00EB01DB"/>
    <w:rsid w:val="00EB0768"/>
    <w:rsid w:val="00EB07A3"/>
    <w:rsid w:val="00EB085E"/>
    <w:rsid w:val="00EB0C46"/>
    <w:rsid w:val="00EB0D76"/>
    <w:rsid w:val="00EB1525"/>
    <w:rsid w:val="00EB15F5"/>
    <w:rsid w:val="00EB1795"/>
    <w:rsid w:val="00EB186D"/>
    <w:rsid w:val="00EB198F"/>
    <w:rsid w:val="00EB1A98"/>
    <w:rsid w:val="00EB1B3D"/>
    <w:rsid w:val="00EB1BB3"/>
    <w:rsid w:val="00EB1DDF"/>
    <w:rsid w:val="00EB1EBC"/>
    <w:rsid w:val="00EB23CD"/>
    <w:rsid w:val="00EB2540"/>
    <w:rsid w:val="00EB265A"/>
    <w:rsid w:val="00EB298A"/>
    <w:rsid w:val="00EB2A06"/>
    <w:rsid w:val="00EB2B10"/>
    <w:rsid w:val="00EB2B61"/>
    <w:rsid w:val="00EB2C75"/>
    <w:rsid w:val="00EB30F3"/>
    <w:rsid w:val="00EB325D"/>
    <w:rsid w:val="00EB3694"/>
    <w:rsid w:val="00EB37FE"/>
    <w:rsid w:val="00EB394D"/>
    <w:rsid w:val="00EB3968"/>
    <w:rsid w:val="00EB3AA1"/>
    <w:rsid w:val="00EB3F62"/>
    <w:rsid w:val="00EB4101"/>
    <w:rsid w:val="00EB4106"/>
    <w:rsid w:val="00EB428A"/>
    <w:rsid w:val="00EB4524"/>
    <w:rsid w:val="00EB45B8"/>
    <w:rsid w:val="00EB46CE"/>
    <w:rsid w:val="00EB499F"/>
    <w:rsid w:val="00EB4A27"/>
    <w:rsid w:val="00EB4AAF"/>
    <w:rsid w:val="00EB4AB2"/>
    <w:rsid w:val="00EB4CF5"/>
    <w:rsid w:val="00EB4D44"/>
    <w:rsid w:val="00EB4E1E"/>
    <w:rsid w:val="00EB4EB5"/>
    <w:rsid w:val="00EB4F88"/>
    <w:rsid w:val="00EB5305"/>
    <w:rsid w:val="00EB533C"/>
    <w:rsid w:val="00EB5DEA"/>
    <w:rsid w:val="00EB5ECE"/>
    <w:rsid w:val="00EB5FA5"/>
    <w:rsid w:val="00EB6166"/>
    <w:rsid w:val="00EB6176"/>
    <w:rsid w:val="00EB62A1"/>
    <w:rsid w:val="00EB6417"/>
    <w:rsid w:val="00EB6596"/>
    <w:rsid w:val="00EB66B8"/>
    <w:rsid w:val="00EB6984"/>
    <w:rsid w:val="00EB6A75"/>
    <w:rsid w:val="00EB6A78"/>
    <w:rsid w:val="00EB6B04"/>
    <w:rsid w:val="00EB6BC3"/>
    <w:rsid w:val="00EB6C54"/>
    <w:rsid w:val="00EB6F69"/>
    <w:rsid w:val="00EB6FC4"/>
    <w:rsid w:val="00EB73F0"/>
    <w:rsid w:val="00EB7D4C"/>
    <w:rsid w:val="00EB7F80"/>
    <w:rsid w:val="00EC0528"/>
    <w:rsid w:val="00EC0561"/>
    <w:rsid w:val="00EC0678"/>
    <w:rsid w:val="00EC0777"/>
    <w:rsid w:val="00EC07F2"/>
    <w:rsid w:val="00EC0AE3"/>
    <w:rsid w:val="00EC0D27"/>
    <w:rsid w:val="00EC0D54"/>
    <w:rsid w:val="00EC0DD6"/>
    <w:rsid w:val="00EC0EE5"/>
    <w:rsid w:val="00EC10A0"/>
    <w:rsid w:val="00EC10EC"/>
    <w:rsid w:val="00EC1141"/>
    <w:rsid w:val="00EC11C7"/>
    <w:rsid w:val="00EC11CF"/>
    <w:rsid w:val="00EC1338"/>
    <w:rsid w:val="00EC13BD"/>
    <w:rsid w:val="00EC1455"/>
    <w:rsid w:val="00EC1473"/>
    <w:rsid w:val="00EC16DA"/>
    <w:rsid w:val="00EC18AB"/>
    <w:rsid w:val="00EC1CE6"/>
    <w:rsid w:val="00EC1E18"/>
    <w:rsid w:val="00EC2046"/>
    <w:rsid w:val="00EC2192"/>
    <w:rsid w:val="00EC21CA"/>
    <w:rsid w:val="00EC2279"/>
    <w:rsid w:val="00EC2338"/>
    <w:rsid w:val="00EC233E"/>
    <w:rsid w:val="00EC23D8"/>
    <w:rsid w:val="00EC26B9"/>
    <w:rsid w:val="00EC2EB3"/>
    <w:rsid w:val="00EC2F0B"/>
    <w:rsid w:val="00EC307A"/>
    <w:rsid w:val="00EC31FC"/>
    <w:rsid w:val="00EC3825"/>
    <w:rsid w:val="00EC3931"/>
    <w:rsid w:val="00EC3976"/>
    <w:rsid w:val="00EC3A58"/>
    <w:rsid w:val="00EC3A71"/>
    <w:rsid w:val="00EC3E4C"/>
    <w:rsid w:val="00EC3E61"/>
    <w:rsid w:val="00EC3E8C"/>
    <w:rsid w:val="00EC3F2E"/>
    <w:rsid w:val="00EC456C"/>
    <w:rsid w:val="00EC45F1"/>
    <w:rsid w:val="00EC46B6"/>
    <w:rsid w:val="00EC46CE"/>
    <w:rsid w:val="00EC475A"/>
    <w:rsid w:val="00EC48D6"/>
    <w:rsid w:val="00EC4B90"/>
    <w:rsid w:val="00EC4C3F"/>
    <w:rsid w:val="00EC4D11"/>
    <w:rsid w:val="00EC4ED9"/>
    <w:rsid w:val="00EC4EE4"/>
    <w:rsid w:val="00EC4F7E"/>
    <w:rsid w:val="00EC4FB4"/>
    <w:rsid w:val="00EC559C"/>
    <w:rsid w:val="00EC578F"/>
    <w:rsid w:val="00EC587F"/>
    <w:rsid w:val="00EC58A5"/>
    <w:rsid w:val="00EC58A6"/>
    <w:rsid w:val="00EC59DE"/>
    <w:rsid w:val="00EC5C93"/>
    <w:rsid w:val="00EC5CB1"/>
    <w:rsid w:val="00EC5CD7"/>
    <w:rsid w:val="00EC5E3A"/>
    <w:rsid w:val="00EC5F03"/>
    <w:rsid w:val="00EC607D"/>
    <w:rsid w:val="00EC60A3"/>
    <w:rsid w:val="00EC66A6"/>
    <w:rsid w:val="00EC68F3"/>
    <w:rsid w:val="00EC6967"/>
    <w:rsid w:val="00EC69F5"/>
    <w:rsid w:val="00EC759E"/>
    <w:rsid w:val="00EC76DC"/>
    <w:rsid w:val="00EC7934"/>
    <w:rsid w:val="00EC7E6A"/>
    <w:rsid w:val="00EC7E7B"/>
    <w:rsid w:val="00EC7EC4"/>
    <w:rsid w:val="00ED003A"/>
    <w:rsid w:val="00ED012A"/>
    <w:rsid w:val="00ED0416"/>
    <w:rsid w:val="00ED046D"/>
    <w:rsid w:val="00ED0804"/>
    <w:rsid w:val="00ED09B9"/>
    <w:rsid w:val="00ED09EB"/>
    <w:rsid w:val="00ED0B93"/>
    <w:rsid w:val="00ED0C58"/>
    <w:rsid w:val="00ED0E2C"/>
    <w:rsid w:val="00ED0EF6"/>
    <w:rsid w:val="00ED0F64"/>
    <w:rsid w:val="00ED1425"/>
    <w:rsid w:val="00ED162D"/>
    <w:rsid w:val="00ED169F"/>
    <w:rsid w:val="00ED17FD"/>
    <w:rsid w:val="00ED1990"/>
    <w:rsid w:val="00ED1D0F"/>
    <w:rsid w:val="00ED1F0D"/>
    <w:rsid w:val="00ED1FFB"/>
    <w:rsid w:val="00ED22BA"/>
    <w:rsid w:val="00ED2330"/>
    <w:rsid w:val="00ED23A2"/>
    <w:rsid w:val="00ED23A4"/>
    <w:rsid w:val="00ED242E"/>
    <w:rsid w:val="00ED2694"/>
    <w:rsid w:val="00ED2916"/>
    <w:rsid w:val="00ED29ED"/>
    <w:rsid w:val="00ED2C25"/>
    <w:rsid w:val="00ED2C85"/>
    <w:rsid w:val="00ED2C99"/>
    <w:rsid w:val="00ED3058"/>
    <w:rsid w:val="00ED32E1"/>
    <w:rsid w:val="00ED33F0"/>
    <w:rsid w:val="00ED3448"/>
    <w:rsid w:val="00ED3910"/>
    <w:rsid w:val="00ED3FC9"/>
    <w:rsid w:val="00ED3FFD"/>
    <w:rsid w:val="00ED40D0"/>
    <w:rsid w:val="00ED4597"/>
    <w:rsid w:val="00ED4719"/>
    <w:rsid w:val="00ED4A83"/>
    <w:rsid w:val="00ED4D5E"/>
    <w:rsid w:val="00ED4D7B"/>
    <w:rsid w:val="00ED4EAF"/>
    <w:rsid w:val="00ED508B"/>
    <w:rsid w:val="00ED5171"/>
    <w:rsid w:val="00ED5238"/>
    <w:rsid w:val="00ED5708"/>
    <w:rsid w:val="00ED595C"/>
    <w:rsid w:val="00ED5B03"/>
    <w:rsid w:val="00ED5C34"/>
    <w:rsid w:val="00ED5CF0"/>
    <w:rsid w:val="00ED5E82"/>
    <w:rsid w:val="00ED5F3B"/>
    <w:rsid w:val="00ED61CC"/>
    <w:rsid w:val="00ED621D"/>
    <w:rsid w:val="00ED6263"/>
    <w:rsid w:val="00ED6666"/>
    <w:rsid w:val="00ED6B06"/>
    <w:rsid w:val="00ED7030"/>
    <w:rsid w:val="00ED708E"/>
    <w:rsid w:val="00ED71FA"/>
    <w:rsid w:val="00ED748E"/>
    <w:rsid w:val="00ED770A"/>
    <w:rsid w:val="00ED771E"/>
    <w:rsid w:val="00ED78E1"/>
    <w:rsid w:val="00ED7911"/>
    <w:rsid w:val="00ED79A1"/>
    <w:rsid w:val="00ED7B6C"/>
    <w:rsid w:val="00ED7CDA"/>
    <w:rsid w:val="00ED7E53"/>
    <w:rsid w:val="00ED7E69"/>
    <w:rsid w:val="00ED7E6F"/>
    <w:rsid w:val="00ED7F5B"/>
    <w:rsid w:val="00EE0046"/>
    <w:rsid w:val="00EE00B7"/>
    <w:rsid w:val="00EE0141"/>
    <w:rsid w:val="00EE0323"/>
    <w:rsid w:val="00EE0A12"/>
    <w:rsid w:val="00EE0A2E"/>
    <w:rsid w:val="00EE0B23"/>
    <w:rsid w:val="00EE0BD2"/>
    <w:rsid w:val="00EE0C2B"/>
    <w:rsid w:val="00EE0E98"/>
    <w:rsid w:val="00EE0F07"/>
    <w:rsid w:val="00EE1619"/>
    <w:rsid w:val="00EE18DB"/>
    <w:rsid w:val="00EE1940"/>
    <w:rsid w:val="00EE1C86"/>
    <w:rsid w:val="00EE1F3C"/>
    <w:rsid w:val="00EE1FA5"/>
    <w:rsid w:val="00EE2140"/>
    <w:rsid w:val="00EE2BB9"/>
    <w:rsid w:val="00EE2E97"/>
    <w:rsid w:val="00EE2FDC"/>
    <w:rsid w:val="00EE30F2"/>
    <w:rsid w:val="00EE354A"/>
    <w:rsid w:val="00EE3610"/>
    <w:rsid w:val="00EE37F2"/>
    <w:rsid w:val="00EE391C"/>
    <w:rsid w:val="00EE39C8"/>
    <w:rsid w:val="00EE3E6D"/>
    <w:rsid w:val="00EE3E85"/>
    <w:rsid w:val="00EE40A9"/>
    <w:rsid w:val="00EE40AF"/>
    <w:rsid w:val="00EE4125"/>
    <w:rsid w:val="00EE41AE"/>
    <w:rsid w:val="00EE44D6"/>
    <w:rsid w:val="00EE4571"/>
    <w:rsid w:val="00EE46CC"/>
    <w:rsid w:val="00EE48F5"/>
    <w:rsid w:val="00EE4925"/>
    <w:rsid w:val="00EE496F"/>
    <w:rsid w:val="00EE4A67"/>
    <w:rsid w:val="00EE4BE7"/>
    <w:rsid w:val="00EE4C60"/>
    <w:rsid w:val="00EE4DEE"/>
    <w:rsid w:val="00EE4F7A"/>
    <w:rsid w:val="00EE517E"/>
    <w:rsid w:val="00EE5195"/>
    <w:rsid w:val="00EE5338"/>
    <w:rsid w:val="00EE53BA"/>
    <w:rsid w:val="00EE544D"/>
    <w:rsid w:val="00EE54A8"/>
    <w:rsid w:val="00EE5551"/>
    <w:rsid w:val="00EE5577"/>
    <w:rsid w:val="00EE55A4"/>
    <w:rsid w:val="00EE5731"/>
    <w:rsid w:val="00EE5879"/>
    <w:rsid w:val="00EE5F81"/>
    <w:rsid w:val="00EE60BD"/>
    <w:rsid w:val="00EE61DA"/>
    <w:rsid w:val="00EE6283"/>
    <w:rsid w:val="00EE66D3"/>
    <w:rsid w:val="00EE684C"/>
    <w:rsid w:val="00EE68E9"/>
    <w:rsid w:val="00EE69F4"/>
    <w:rsid w:val="00EE6A31"/>
    <w:rsid w:val="00EE6B1C"/>
    <w:rsid w:val="00EE6B37"/>
    <w:rsid w:val="00EE6CB1"/>
    <w:rsid w:val="00EE7023"/>
    <w:rsid w:val="00EE7150"/>
    <w:rsid w:val="00EE7182"/>
    <w:rsid w:val="00EE7183"/>
    <w:rsid w:val="00EE718D"/>
    <w:rsid w:val="00EE748C"/>
    <w:rsid w:val="00EE74B2"/>
    <w:rsid w:val="00EE763B"/>
    <w:rsid w:val="00EE768F"/>
    <w:rsid w:val="00EE7901"/>
    <w:rsid w:val="00EE790F"/>
    <w:rsid w:val="00EE7A5A"/>
    <w:rsid w:val="00EE7ED2"/>
    <w:rsid w:val="00EE7F94"/>
    <w:rsid w:val="00EF0053"/>
    <w:rsid w:val="00EF03F2"/>
    <w:rsid w:val="00EF04B0"/>
    <w:rsid w:val="00EF0536"/>
    <w:rsid w:val="00EF063F"/>
    <w:rsid w:val="00EF0885"/>
    <w:rsid w:val="00EF09B0"/>
    <w:rsid w:val="00EF0A98"/>
    <w:rsid w:val="00EF0AE4"/>
    <w:rsid w:val="00EF0B30"/>
    <w:rsid w:val="00EF0E26"/>
    <w:rsid w:val="00EF0E35"/>
    <w:rsid w:val="00EF0E40"/>
    <w:rsid w:val="00EF0EEF"/>
    <w:rsid w:val="00EF10F0"/>
    <w:rsid w:val="00EF1330"/>
    <w:rsid w:val="00EF14FA"/>
    <w:rsid w:val="00EF15D3"/>
    <w:rsid w:val="00EF1780"/>
    <w:rsid w:val="00EF178B"/>
    <w:rsid w:val="00EF1905"/>
    <w:rsid w:val="00EF192E"/>
    <w:rsid w:val="00EF196F"/>
    <w:rsid w:val="00EF1989"/>
    <w:rsid w:val="00EF19D5"/>
    <w:rsid w:val="00EF1C3D"/>
    <w:rsid w:val="00EF229E"/>
    <w:rsid w:val="00EF232A"/>
    <w:rsid w:val="00EF249F"/>
    <w:rsid w:val="00EF28F9"/>
    <w:rsid w:val="00EF2BFC"/>
    <w:rsid w:val="00EF2C25"/>
    <w:rsid w:val="00EF2ED0"/>
    <w:rsid w:val="00EF2FA1"/>
    <w:rsid w:val="00EF3393"/>
    <w:rsid w:val="00EF3455"/>
    <w:rsid w:val="00EF34CD"/>
    <w:rsid w:val="00EF354D"/>
    <w:rsid w:val="00EF3668"/>
    <w:rsid w:val="00EF3722"/>
    <w:rsid w:val="00EF3A33"/>
    <w:rsid w:val="00EF3A5C"/>
    <w:rsid w:val="00EF3AF3"/>
    <w:rsid w:val="00EF3C72"/>
    <w:rsid w:val="00EF4593"/>
    <w:rsid w:val="00EF4737"/>
    <w:rsid w:val="00EF48A3"/>
    <w:rsid w:val="00EF49CC"/>
    <w:rsid w:val="00EF4B03"/>
    <w:rsid w:val="00EF4CAD"/>
    <w:rsid w:val="00EF4DDF"/>
    <w:rsid w:val="00EF4E4A"/>
    <w:rsid w:val="00EF4E76"/>
    <w:rsid w:val="00EF4FA1"/>
    <w:rsid w:val="00EF5063"/>
    <w:rsid w:val="00EF5068"/>
    <w:rsid w:val="00EF5133"/>
    <w:rsid w:val="00EF520A"/>
    <w:rsid w:val="00EF522E"/>
    <w:rsid w:val="00EF52D6"/>
    <w:rsid w:val="00EF55AF"/>
    <w:rsid w:val="00EF5A5E"/>
    <w:rsid w:val="00EF5C71"/>
    <w:rsid w:val="00EF5D54"/>
    <w:rsid w:val="00EF5E57"/>
    <w:rsid w:val="00EF6013"/>
    <w:rsid w:val="00EF61EE"/>
    <w:rsid w:val="00EF6310"/>
    <w:rsid w:val="00EF647A"/>
    <w:rsid w:val="00EF64C7"/>
    <w:rsid w:val="00EF66A5"/>
    <w:rsid w:val="00EF6BFF"/>
    <w:rsid w:val="00EF6C6F"/>
    <w:rsid w:val="00EF6EDD"/>
    <w:rsid w:val="00EF70B2"/>
    <w:rsid w:val="00EF73FF"/>
    <w:rsid w:val="00EF74F3"/>
    <w:rsid w:val="00EF75ED"/>
    <w:rsid w:val="00EF77D4"/>
    <w:rsid w:val="00EF7842"/>
    <w:rsid w:val="00EF7869"/>
    <w:rsid w:val="00EF7A47"/>
    <w:rsid w:val="00EF7F6F"/>
    <w:rsid w:val="00EF7FD4"/>
    <w:rsid w:val="00F0014A"/>
    <w:rsid w:val="00F00234"/>
    <w:rsid w:val="00F002EC"/>
    <w:rsid w:val="00F0034C"/>
    <w:rsid w:val="00F00557"/>
    <w:rsid w:val="00F0056E"/>
    <w:rsid w:val="00F009D5"/>
    <w:rsid w:val="00F00C16"/>
    <w:rsid w:val="00F00C92"/>
    <w:rsid w:val="00F00CFB"/>
    <w:rsid w:val="00F00D73"/>
    <w:rsid w:val="00F00E25"/>
    <w:rsid w:val="00F01107"/>
    <w:rsid w:val="00F013F9"/>
    <w:rsid w:val="00F014AC"/>
    <w:rsid w:val="00F014BA"/>
    <w:rsid w:val="00F01513"/>
    <w:rsid w:val="00F0160B"/>
    <w:rsid w:val="00F01723"/>
    <w:rsid w:val="00F01890"/>
    <w:rsid w:val="00F0193A"/>
    <w:rsid w:val="00F01980"/>
    <w:rsid w:val="00F01985"/>
    <w:rsid w:val="00F01BFB"/>
    <w:rsid w:val="00F01CCE"/>
    <w:rsid w:val="00F01D2F"/>
    <w:rsid w:val="00F01F2B"/>
    <w:rsid w:val="00F02006"/>
    <w:rsid w:val="00F0209E"/>
    <w:rsid w:val="00F020A2"/>
    <w:rsid w:val="00F024FD"/>
    <w:rsid w:val="00F025A9"/>
    <w:rsid w:val="00F025E5"/>
    <w:rsid w:val="00F02618"/>
    <w:rsid w:val="00F0281E"/>
    <w:rsid w:val="00F02880"/>
    <w:rsid w:val="00F0291B"/>
    <w:rsid w:val="00F029C7"/>
    <w:rsid w:val="00F02C7C"/>
    <w:rsid w:val="00F02E52"/>
    <w:rsid w:val="00F03030"/>
    <w:rsid w:val="00F034B9"/>
    <w:rsid w:val="00F034C5"/>
    <w:rsid w:val="00F0359B"/>
    <w:rsid w:val="00F03702"/>
    <w:rsid w:val="00F03B45"/>
    <w:rsid w:val="00F03DD9"/>
    <w:rsid w:val="00F040EC"/>
    <w:rsid w:val="00F0418E"/>
    <w:rsid w:val="00F042F6"/>
    <w:rsid w:val="00F046AC"/>
    <w:rsid w:val="00F04A11"/>
    <w:rsid w:val="00F04D17"/>
    <w:rsid w:val="00F04D2C"/>
    <w:rsid w:val="00F04DF1"/>
    <w:rsid w:val="00F04E1B"/>
    <w:rsid w:val="00F04F47"/>
    <w:rsid w:val="00F0532D"/>
    <w:rsid w:val="00F054D4"/>
    <w:rsid w:val="00F0569F"/>
    <w:rsid w:val="00F05776"/>
    <w:rsid w:val="00F05AD3"/>
    <w:rsid w:val="00F05E7D"/>
    <w:rsid w:val="00F0605F"/>
    <w:rsid w:val="00F060A2"/>
    <w:rsid w:val="00F061C0"/>
    <w:rsid w:val="00F062DC"/>
    <w:rsid w:val="00F066AE"/>
    <w:rsid w:val="00F06934"/>
    <w:rsid w:val="00F06AA1"/>
    <w:rsid w:val="00F06CA7"/>
    <w:rsid w:val="00F06E42"/>
    <w:rsid w:val="00F06F8B"/>
    <w:rsid w:val="00F06FC4"/>
    <w:rsid w:val="00F06FED"/>
    <w:rsid w:val="00F070CF"/>
    <w:rsid w:val="00F0723B"/>
    <w:rsid w:val="00F0782D"/>
    <w:rsid w:val="00F07A31"/>
    <w:rsid w:val="00F07CC3"/>
    <w:rsid w:val="00F07DBC"/>
    <w:rsid w:val="00F0988A"/>
    <w:rsid w:val="00F101ED"/>
    <w:rsid w:val="00F107DD"/>
    <w:rsid w:val="00F1084D"/>
    <w:rsid w:val="00F10994"/>
    <w:rsid w:val="00F109E6"/>
    <w:rsid w:val="00F10BA5"/>
    <w:rsid w:val="00F10BD5"/>
    <w:rsid w:val="00F10E35"/>
    <w:rsid w:val="00F10ED2"/>
    <w:rsid w:val="00F115A6"/>
    <w:rsid w:val="00F11B06"/>
    <w:rsid w:val="00F11CA9"/>
    <w:rsid w:val="00F12072"/>
    <w:rsid w:val="00F1216B"/>
    <w:rsid w:val="00F12231"/>
    <w:rsid w:val="00F12394"/>
    <w:rsid w:val="00F1267C"/>
    <w:rsid w:val="00F129D3"/>
    <w:rsid w:val="00F12A82"/>
    <w:rsid w:val="00F12CFC"/>
    <w:rsid w:val="00F12FD7"/>
    <w:rsid w:val="00F13137"/>
    <w:rsid w:val="00F137AB"/>
    <w:rsid w:val="00F13875"/>
    <w:rsid w:val="00F138A3"/>
    <w:rsid w:val="00F13BD8"/>
    <w:rsid w:val="00F13C59"/>
    <w:rsid w:val="00F13C68"/>
    <w:rsid w:val="00F13CF1"/>
    <w:rsid w:val="00F13CFD"/>
    <w:rsid w:val="00F13EC5"/>
    <w:rsid w:val="00F13EF6"/>
    <w:rsid w:val="00F13F7A"/>
    <w:rsid w:val="00F1414C"/>
    <w:rsid w:val="00F1416C"/>
    <w:rsid w:val="00F14219"/>
    <w:rsid w:val="00F142EA"/>
    <w:rsid w:val="00F1456C"/>
    <w:rsid w:val="00F1487B"/>
    <w:rsid w:val="00F14DA3"/>
    <w:rsid w:val="00F14DD6"/>
    <w:rsid w:val="00F14FA6"/>
    <w:rsid w:val="00F14FE4"/>
    <w:rsid w:val="00F150A5"/>
    <w:rsid w:val="00F1521F"/>
    <w:rsid w:val="00F152A2"/>
    <w:rsid w:val="00F15356"/>
    <w:rsid w:val="00F153AE"/>
    <w:rsid w:val="00F15427"/>
    <w:rsid w:val="00F1544D"/>
    <w:rsid w:val="00F1549B"/>
    <w:rsid w:val="00F154A6"/>
    <w:rsid w:val="00F154EB"/>
    <w:rsid w:val="00F15B62"/>
    <w:rsid w:val="00F15B95"/>
    <w:rsid w:val="00F16338"/>
    <w:rsid w:val="00F163CD"/>
    <w:rsid w:val="00F16455"/>
    <w:rsid w:val="00F164EC"/>
    <w:rsid w:val="00F1693C"/>
    <w:rsid w:val="00F16AC5"/>
    <w:rsid w:val="00F16AF9"/>
    <w:rsid w:val="00F16E84"/>
    <w:rsid w:val="00F16F3E"/>
    <w:rsid w:val="00F16F59"/>
    <w:rsid w:val="00F1707B"/>
    <w:rsid w:val="00F170A6"/>
    <w:rsid w:val="00F1744F"/>
    <w:rsid w:val="00F177F4"/>
    <w:rsid w:val="00F17A46"/>
    <w:rsid w:val="00F17A4A"/>
    <w:rsid w:val="00F17B87"/>
    <w:rsid w:val="00F17DCE"/>
    <w:rsid w:val="00F17FDA"/>
    <w:rsid w:val="00F202BF"/>
    <w:rsid w:val="00F20518"/>
    <w:rsid w:val="00F205B0"/>
    <w:rsid w:val="00F20867"/>
    <w:rsid w:val="00F20961"/>
    <w:rsid w:val="00F20D29"/>
    <w:rsid w:val="00F20D3D"/>
    <w:rsid w:val="00F20E90"/>
    <w:rsid w:val="00F20F48"/>
    <w:rsid w:val="00F2153A"/>
    <w:rsid w:val="00F21540"/>
    <w:rsid w:val="00F215D3"/>
    <w:rsid w:val="00F2191C"/>
    <w:rsid w:val="00F21A77"/>
    <w:rsid w:val="00F21BB6"/>
    <w:rsid w:val="00F21C0A"/>
    <w:rsid w:val="00F21D66"/>
    <w:rsid w:val="00F22697"/>
    <w:rsid w:val="00F22839"/>
    <w:rsid w:val="00F2288A"/>
    <w:rsid w:val="00F229F6"/>
    <w:rsid w:val="00F22A1A"/>
    <w:rsid w:val="00F22D3D"/>
    <w:rsid w:val="00F22D80"/>
    <w:rsid w:val="00F22E61"/>
    <w:rsid w:val="00F22EEA"/>
    <w:rsid w:val="00F22F4A"/>
    <w:rsid w:val="00F22F7A"/>
    <w:rsid w:val="00F22FD5"/>
    <w:rsid w:val="00F2323A"/>
    <w:rsid w:val="00F23249"/>
    <w:rsid w:val="00F233AB"/>
    <w:rsid w:val="00F23561"/>
    <w:rsid w:val="00F2364B"/>
    <w:rsid w:val="00F23785"/>
    <w:rsid w:val="00F239AD"/>
    <w:rsid w:val="00F23B31"/>
    <w:rsid w:val="00F23C53"/>
    <w:rsid w:val="00F23CE5"/>
    <w:rsid w:val="00F23DB7"/>
    <w:rsid w:val="00F24130"/>
    <w:rsid w:val="00F24148"/>
    <w:rsid w:val="00F241CF"/>
    <w:rsid w:val="00F243C2"/>
    <w:rsid w:val="00F243C6"/>
    <w:rsid w:val="00F2449D"/>
    <w:rsid w:val="00F247AB"/>
    <w:rsid w:val="00F24BD9"/>
    <w:rsid w:val="00F24D11"/>
    <w:rsid w:val="00F25028"/>
    <w:rsid w:val="00F253F8"/>
    <w:rsid w:val="00F2547E"/>
    <w:rsid w:val="00F2549A"/>
    <w:rsid w:val="00F25570"/>
    <w:rsid w:val="00F257BE"/>
    <w:rsid w:val="00F25C2A"/>
    <w:rsid w:val="00F25CDF"/>
    <w:rsid w:val="00F25EB4"/>
    <w:rsid w:val="00F25F40"/>
    <w:rsid w:val="00F26039"/>
    <w:rsid w:val="00F26048"/>
    <w:rsid w:val="00F261DA"/>
    <w:rsid w:val="00F262F8"/>
    <w:rsid w:val="00F26342"/>
    <w:rsid w:val="00F2636F"/>
    <w:rsid w:val="00F263C9"/>
    <w:rsid w:val="00F264EC"/>
    <w:rsid w:val="00F26598"/>
    <w:rsid w:val="00F2659A"/>
    <w:rsid w:val="00F2679A"/>
    <w:rsid w:val="00F26809"/>
    <w:rsid w:val="00F26881"/>
    <w:rsid w:val="00F26B05"/>
    <w:rsid w:val="00F26BD7"/>
    <w:rsid w:val="00F26D52"/>
    <w:rsid w:val="00F26D91"/>
    <w:rsid w:val="00F26EBD"/>
    <w:rsid w:val="00F272AE"/>
    <w:rsid w:val="00F272FA"/>
    <w:rsid w:val="00F276A8"/>
    <w:rsid w:val="00F276FE"/>
    <w:rsid w:val="00F2789C"/>
    <w:rsid w:val="00F27A75"/>
    <w:rsid w:val="00F27AD2"/>
    <w:rsid w:val="00F27C6F"/>
    <w:rsid w:val="00F27E9F"/>
    <w:rsid w:val="00F27F2B"/>
    <w:rsid w:val="00F27F91"/>
    <w:rsid w:val="00F30164"/>
    <w:rsid w:val="00F30168"/>
    <w:rsid w:val="00F3021F"/>
    <w:rsid w:val="00F304E4"/>
    <w:rsid w:val="00F3057A"/>
    <w:rsid w:val="00F307CA"/>
    <w:rsid w:val="00F30A90"/>
    <w:rsid w:val="00F30AEF"/>
    <w:rsid w:val="00F30B7E"/>
    <w:rsid w:val="00F30BA5"/>
    <w:rsid w:val="00F30DF3"/>
    <w:rsid w:val="00F30F9B"/>
    <w:rsid w:val="00F30FDB"/>
    <w:rsid w:val="00F31417"/>
    <w:rsid w:val="00F31459"/>
    <w:rsid w:val="00F319E1"/>
    <w:rsid w:val="00F31D0B"/>
    <w:rsid w:val="00F31E65"/>
    <w:rsid w:val="00F31E79"/>
    <w:rsid w:val="00F3204D"/>
    <w:rsid w:val="00F3206B"/>
    <w:rsid w:val="00F320DC"/>
    <w:rsid w:val="00F322E2"/>
    <w:rsid w:val="00F32775"/>
    <w:rsid w:val="00F32839"/>
    <w:rsid w:val="00F32881"/>
    <w:rsid w:val="00F32A19"/>
    <w:rsid w:val="00F32B6C"/>
    <w:rsid w:val="00F32F5B"/>
    <w:rsid w:val="00F33527"/>
    <w:rsid w:val="00F33740"/>
    <w:rsid w:val="00F33815"/>
    <w:rsid w:val="00F33965"/>
    <w:rsid w:val="00F33ABC"/>
    <w:rsid w:val="00F33CA9"/>
    <w:rsid w:val="00F33D55"/>
    <w:rsid w:val="00F33DEE"/>
    <w:rsid w:val="00F3416E"/>
    <w:rsid w:val="00F3449C"/>
    <w:rsid w:val="00F3474A"/>
    <w:rsid w:val="00F34765"/>
    <w:rsid w:val="00F347BA"/>
    <w:rsid w:val="00F34B2D"/>
    <w:rsid w:val="00F34CD3"/>
    <w:rsid w:val="00F34D87"/>
    <w:rsid w:val="00F34E72"/>
    <w:rsid w:val="00F34F93"/>
    <w:rsid w:val="00F3500E"/>
    <w:rsid w:val="00F35980"/>
    <w:rsid w:val="00F3598C"/>
    <w:rsid w:val="00F35C14"/>
    <w:rsid w:val="00F35D2E"/>
    <w:rsid w:val="00F35D43"/>
    <w:rsid w:val="00F35D51"/>
    <w:rsid w:val="00F36003"/>
    <w:rsid w:val="00F36041"/>
    <w:rsid w:val="00F362DD"/>
    <w:rsid w:val="00F36312"/>
    <w:rsid w:val="00F36653"/>
    <w:rsid w:val="00F36690"/>
    <w:rsid w:val="00F366E0"/>
    <w:rsid w:val="00F368B3"/>
    <w:rsid w:val="00F369F0"/>
    <w:rsid w:val="00F369FF"/>
    <w:rsid w:val="00F36B45"/>
    <w:rsid w:val="00F36CCA"/>
    <w:rsid w:val="00F36CF0"/>
    <w:rsid w:val="00F36D9C"/>
    <w:rsid w:val="00F36E17"/>
    <w:rsid w:val="00F36EBA"/>
    <w:rsid w:val="00F37188"/>
    <w:rsid w:val="00F37242"/>
    <w:rsid w:val="00F3737A"/>
    <w:rsid w:val="00F374E9"/>
    <w:rsid w:val="00F37571"/>
    <w:rsid w:val="00F375CA"/>
    <w:rsid w:val="00F376AD"/>
    <w:rsid w:val="00F377A4"/>
    <w:rsid w:val="00F3788C"/>
    <w:rsid w:val="00F37ED0"/>
    <w:rsid w:val="00F37F88"/>
    <w:rsid w:val="00F4001C"/>
    <w:rsid w:val="00F403F4"/>
    <w:rsid w:val="00F4048D"/>
    <w:rsid w:val="00F40524"/>
    <w:rsid w:val="00F40631"/>
    <w:rsid w:val="00F40800"/>
    <w:rsid w:val="00F408A8"/>
    <w:rsid w:val="00F40C15"/>
    <w:rsid w:val="00F40FFF"/>
    <w:rsid w:val="00F41094"/>
    <w:rsid w:val="00F411FF"/>
    <w:rsid w:val="00F414F7"/>
    <w:rsid w:val="00F416CA"/>
    <w:rsid w:val="00F417AD"/>
    <w:rsid w:val="00F41918"/>
    <w:rsid w:val="00F41F36"/>
    <w:rsid w:val="00F41F93"/>
    <w:rsid w:val="00F42104"/>
    <w:rsid w:val="00F4218D"/>
    <w:rsid w:val="00F426A7"/>
    <w:rsid w:val="00F426E4"/>
    <w:rsid w:val="00F426EF"/>
    <w:rsid w:val="00F42810"/>
    <w:rsid w:val="00F42917"/>
    <w:rsid w:val="00F429B4"/>
    <w:rsid w:val="00F429E7"/>
    <w:rsid w:val="00F42CED"/>
    <w:rsid w:val="00F42F52"/>
    <w:rsid w:val="00F42FBF"/>
    <w:rsid w:val="00F43076"/>
    <w:rsid w:val="00F4318B"/>
    <w:rsid w:val="00F431BA"/>
    <w:rsid w:val="00F431C7"/>
    <w:rsid w:val="00F431FC"/>
    <w:rsid w:val="00F43666"/>
    <w:rsid w:val="00F4375E"/>
    <w:rsid w:val="00F438B2"/>
    <w:rsid w:val="00F43A75"/>
    <w:rsid w:val="00F43C25"/>
    <w:rsid w:val="00F43D9D"/>
    <w:rsid w:val="00F43E8E"/>
    <w:rsid w:val="00F4417F"/>
    <w:rsid w:val="00F442A6"/>
    <w:rsid w:val="00F44335"/>
    <w:rsid w:val="00F44343"/>
    <w:rsid w:val="00F443DD"/>
    <w:rsid w:val="00F44562"/>
    <w:rsid w:val="00F447FC"/>
    <w:rsid w:val="00F4485F"/>
    <w:rsid w:val="00F44978"/>
    <w:rsid w:val="00F44CA0"/>
    <w:rsid w:val="00F44D6F"/>
    <w:rsid w:val="00F44F8F"/>
    <w:rsid w:val="00F44F9F"/>
    <w:rsid w:val="00F4509F"/>
    <w:rsid w:val="00F450A3"/>
    <w:rsid w:val="00F45316"/>
    <w:rsid w:val="00F4540C"/>
    <w:rsid w:val="00F45805"/>
    <w:rsid w:val="00F4580A"/>
    <w:rsid w:val="00F45827"/>
    <w:rsid w:val="00F4589E"/>
    <w:rsid w:val="00F45CE4"/>
    <w:rsid w:val="00F45F30"/>
    <w:rsid w:val="00F45F46"/>
    <w:rsid w:val="00F461E3"/>
    <w:rsid w:val="00F46200"/>
    <w:rsid w:val="00F46288"/>
    <w:rsid w:val="00F46420"/>
    <w:rsid w:val="00F464F8"/>
    <w:rsid w:val="00F46514"/>
    <w:rsid w:val="00F46647"/>
    <w:rsid w:val="00F4667B"/>
    <w:rsid w:val="00F4682D"/>
    <w:rsid w:val="00F4687C"/>
    <w:rsid w:val="00F468D4"/>
    <w:rsid w:val="00F46F42"/>
    <w:rsid w:val="00F47087"/>
    <w:rsid w:val="00F471A9"/>
    <w:rsid w:val="00F472E4"/>
    <w:rsid w:val="00F4774E"/>
    <w:rsid w:val="00F47A20"/>
    <w:rsid w:val="00F47C97"/>
    <w:rsid w:val="00F47D54"/>
    <w:rsid w:val="00F47D77"/>
    <w:rsid w:val="00F47F5E"/>
    <w:rsid w:val="00F47FF9"/>
    <w:rsid w:val="00F50097"/>
    <w:rsid w:val="00F50152"/>
    <w:rsid w:val="00F50187"/>
    <w:rsid w:val="00F501AC"/>
    <w:rsid w:val="00F5021D"/>
    <w:rsid w:val="00F50483"/>
    <w:rsid w:val="00F50658"/>
    <w:rsid w:val="00F506D9"/>
    <w:rsid w:val="00F507B7"/>
    <w:rsid w:val="00F508E2"/>
    <w:rsid w:val="00F50AD1"/>
    <w:rsid w:val="00F50AF9"/>
    <w:rsid w:val="00F50C1B"/>
    <w:rsid w:val="00F50D50"/>
    <w:rsid w:val="00F50E21"/>
    <w:rsid w:val="00F50E9B"/>
    <w:rsid w:val="00F510E2"/>
    <w:rsid w:val="00F51315"/>
    <w:rsid w:val="00F517F5"/>
    <w:rsid w:val="00F51903"/>
    <w:rsid w:val="00F51926"/>
    <w:rsid w:val="00F51A11"/>
    <w:rsid w:val="00F51A2C"/>
    <w:rsid w:val="00F51DF3"/>
    <w:rsid w:val="00F520A0"/>
    <w:rsid w:val="00F5226D"/>
    <w:rsid w:val="00F523D6"/>
    <w:rsid w:val="00F529D5"/>
    <w:rsid w:val="00F52A0D"/>
    <w:rsid w:val="00F52BEB"/>
    <w:rsid w:val="00F52C67"/>
    <w:rsid w:val="00F53015"/>
    <w:rsid w:val="00F53332"/>
    <w:rsid w:val="00F53582"/>
    <w:rsid w:val="00F53A11"/>
    <w:rsid w:val="00F53BFA"/>
    <w:rsid w:val="00F54095"/>
    <w:rsid w:val="00F5418E"/>
    <w:rsid w:val="00F541C0"/>
    <w:rsid w:val="00F54303"/>
    <w:rsid w:val="00F5438D"/>
    <w:rsid w:val="00F543CB"/>
    <w:rsid w:val="00F543EE"/>
    <w:rsid w:val="00F545EA"/>
    <w:rsid w:val="00F549A0"/>
    <w:rsid w:val="00F54DC9"/>
    <w:rsid w:val="00F54F7B"/>
    <w:rsid w:val="00F550D4"/>
    <w:rsid w:val="00F55302"/>
    <w:rsid w:val="00F55364"/>
    <w:rsid w:val="00F55397"/>
    <w:rsid w:val="00F55700"/>
    <w:rsid w:val="00F55F3F"/>
    <w:rsid w:val="00F55FF4"/>
    <w:rsid w:val="00F560E9"/>
    <w:rsid w:val="00F561D6"/>
    <w:rsid w:val="00F5645A"/>
    <w:rsid w:val="00F5645D"/>
    <w:rsid w:val="00F5658A"/>
    <w:rsid w:val="00F565F9"/>
    <w:rsid w:val="00F5671D"/>
    <w:rsid w:val="00F56915"/>
    <w:rsid w:val="00F569F6"/>
    <w:rsid w:val="00F56AA8"/>
    <w:rsid w:val="00F56B48"/>
    <w:rsid w:val="00F56C9B"/>
    <w:rsid w:val="00F56CDE"/>
    <w:rsid w:val="00F56E64"/>
    <w:rsid w:val="00F5722A"/>
    <w:rsid w:val="00F5726E"/>
    <w:rsid w:val="00F57364"/>
    <w:rsid w:val="00F574AC"/>
    <w:rsid w:val="00F57605"/>
    <w:rsid w:val="00F578EC"/>
    <w:rsid w:val="00F579A8"/>
    <w:rsid w:val="00F57B2C"/>
    <w:rsid w:val="00F57B5F"/>
    <w:rsid w:val="00F57F39"/>
    <w:rsid w:val="00F600B8"/>
    <w:rsid w:val="00F60433"/>
    <w:rsid w:val="00F606EF"/>
    <w:rsid w:val="00F608BF"/>
    <w:rsid w:val="00F609E2"/>
    <w:rsid w:val="00F60B38"/>
    <w:rsid w:val="00F60CBB"/>
    <w:rsid w:val="00F60D56"/>
    <w:rsid w:val="00F60E3D"/>
    <w:rsid w:val="00F60F95"/>
    <w:rsid w:val="00F6101F"/>
    <w:rsid w:val="00F610BB"/>
    <w:rsid w:val="00F612CA"/>
    <w:rsid w:val="00F6148B"/>
    <w:rsid w:val="00F61A5F"/>
    <w:rsid w:val="00F61B66"/>
    <w:rsid w:val="00F61C44"/>
    <w:rsid w:val="00F61D8D"/>
    <w:rsid w:val="00F61F36"/>
    <w:rsid w:val="00F61FF1"/>
    <w:rsid w:val="00F62126"/>
    <w:rsid w:val="00F62325"/>
    <w:rsid w:val="00F6287D"/>
    <w:rsid w:val="00F62978"/>
    <w:rsid w:val="00F62BB1"/>
    <w:rsid w:val="00F62C4B"/>
    <w:rsid w:val="00F62D82"/>
    <w:rsid w:val="00F62EEF"/>
    <w:rsid w:val="00F62FB2"/>
    <w:rsid w:val="00F6300B"/>
    <w:rsid w:val="00F63318"/>
    <w:rsid w:val="00F63338"/>
    <w:rsid w:val="00F63546"/>
    <w:rsid w:val="00F6361A"/>
    <w:rsid w:val="00F63BA7"/>
    <w:rsid w:val="00F63C8F"/>
    <w:rsid w:val="00F63DB7"/>
    <w:rsid w:val="00F63E11"/>
    <w:rsid w:val="00F64201"/>
    <w:rsid w:val="00F64576"/>
    <w:rsid w:val="00F645D0"/>
    <w:rsid w:val="00F6478F"/>
    <w:rsid w:val="00F648A1"/>
    <w:rsid w:val="00F64D35"/>
    <w:rsid w:val="00F64EA0"/>
    <w:rsid w:val="00F651DA"/>
    <w:rsid w:val="00F6554A"/>
    <w:rsid w:val="00F656BB"/>
    <w:rsid w:val="00F656E4"/>
    <w:rsid w:val="00F65AE6"/>
    <w:rsid w:val="00F65B72"/>
    <w:rsid w:val="00F65CCC"/>
    <w:rsid w:val="00F65D3A"/>
    <w:rsid w:val="00F65DCC"/>
    <w:rsid w:val="00F65F9B"/>
    <w:rsid w:val="00F663E1"/>
    <w:rsid w:val="00F665D7"/>
    <w:rsid w:val="00F6668B"/>
    <w:rsid w:val="00F6674C"/>
    <w:rsid w:val="00F66916"/>
    <w:rsid w:val="00F66BE0"/>
    <w:rsid w:val="00F66C46"/>
    <w:rsid w:val="00F66CA4"/>
    <w:rsid w:val="00F66F73"/>
    <w:rsid w:val="00F66F87"/>
    <w:rsid w:val="00F66FEB"/>
    <w:rsid w:val="00F671D0"/>
    <w:rsid w:val="00F672D9"/>
    <w:rsid w:val="00F676BC"/>
    <w:rsid w:val="00F67788"/>
    <w:rsid w:val="00F6786F"/>
    <w:rsid w:val="00F67A57"/>
    <w:rsid w:val="00F67A8D"/>
    <w:rsid w:val="00F67A9D"/>
    <w:rsid w:val="00F67B34"/>
    <w:rsid w:val="00F67BA3"/>
    <w:rsid w:val="00F67BAE"/>
    <w:rsid w:val="00F67CAC"/>
    <w:rsid w:val="00F67EE2"/>
    <w:rsid w:val="00F70191"/>
    <w:rsid w:val="00F701AB"/>
    <w:rsid w:val="00F7052D"/>
    <w:rsid w:val="00F70902"/>
    <w:rsid w:val="00F709AC"/>
    <w:rsid w:val="00F70A9C"/>
    <w:rsid w:val="00F70AE9"/>
    <w:rsid w:val="00F70EE8"/>
    <w:rsid w:val="00F70F07"/>
    <w:rsid w:val="00F70FA5"/>
    <w:rsid w:val="00F710EE"/>
    <w:rsid w:val="00F71207"/>
    <w:rsid w:val="00F71A5A"/>
    <w:rsid w:val="00F71B2B"/>
    <w:rsid w:val="00F71B3D"/>
    <w:rsid w:val="00F71B9F"/>
    <w:rsid w:val="00F71D02"/>
    <w:rsid w:val="00F721D7"/>
    <w:rsid w:val="00F721ED"/>
    <w:rsid w:val="00F723D3"/>
    <w:rsid w:val="00F72624"/>
    <w:rsid w:val="00F72703"/>
    <w:rsid w:val="00F7293D"/>
    <w:rsid w:val="00F72B83"/>
    <w:rsid w:val="00F72B9A"/>
    <w:rsid w:val="00F72C38"/>
    <w:rsid w:val="00F72CE1"/>
    <w:rsid w:val="00F72DA4"/>
    <w:rsid w:val="00F72EEE"/>
    <w:rsid w:val="00F732FA"/>
    <w:rsid w:val="00F733F9"/>
    <w:rsid w:val="00F73445"/>
    <w:rsid w:val="00F734B7"/>
    <w:rsid w:val="00F735BE"/>
    <w:rsid w:val="00F7398D"/>
    <w:rsid w:val="00F73C24"/>
    <w:rsid w:val="00F74355"/>
    <w:rsid w:val="00F7477A"/>
    <w:rsid w:val="00F747FB"/>
    <w:rsid w:val="00F74828"/>
    <w:rsid w:val="00F74B7A"/>
    <w:rsid w:val="00F74E27"/>
    <w:rsid w:val="00F753CC"/>
    <w:rsid w:val="00F755A3"/>
    <w:rsid w:val="00F7563A"/>
    <w:rsid w:val="00F7578C"/>
    <w:rsid w:val="00F757D0"/>
    <w:rsid w:val="00F75803"/>
    <w:rsid w:val="00F75A3C"/>
    <w:rsid w:val="00F75A91"/>
    <w:rsid w:val="00F75E85"/>
    <w:rsid w:val="00F76139"/>
    <w:rsid w:val="00F7616F"/>
    <w:rsid w:val="00F76254"/>
    <w:rsid w:val="00F7669F"/>
    <w:rsid w:val="00F7686D"/>
    <w:rsid w:val="00F76F38"/>
    <w:rsid w:val="00F77447"/>
    <w:rsid w:val="00F774EE"/>
    <w:rsid w:val="00F7756B"/>
    <w:rsid w:val="00F77640"/>
    <w:rsid w:val="00F77655"/>
    <w:rsid w:val="00F776AC"/>
    <w:rsid w:val="00F77954"/>
    <w:rsid w:val="00F77ABF"/>
    <w:rsid w:val="00F77B37"/>
    <w:rsid w:val="00F77D9A"/>
    <w:rsid w:val="00F80179"/>
    <w:rsid w:val="00F80925"/>
    <w:rsid w:val="00F809CE"/>
    <w:rsid w:val="00F80CBE"/>
    <w:rsid w:val="00F80CC1"/>
    <w:rsid w:val="00F8103B"/>
    <w:rsid w:val="00F8110A"/>
    <w:rsid w:val="00F8111A"/>
    <w:rsid w:val="00F8112A"/>
    <w:rsid w:val="00F811F0"/>
    <w:rsid w:val="00F8125A"/>
    <w:rsid w:val="00F81494"/>
    <w:rsid w:val="00F81502"/>
    <w:rsid w:val="00F8164E"/>
    <w:rsid w:val="00F81849"/>
    <w:rsid w:val="00F81920"/>
    <w:rsid w:val="00F819A9"/>
    <w:rsid w:val="00F81A6F"/>
    <w:rsid w:val="00F81B71"/>
    <w:rsid w:val="00F81E3C"/>
    <w:rsid w:val="00F81E57"/>
    <w:rsid w:val="00F82360"/>
    <w:rsid w:val="00F82877"/>
    <w:rsid w:val="00F829AF"/>
    <w:rsid w:val="00F82BDF"/>
    <w:rsid w:val="00F82DEC"/>
    <w:rsid w:val="00F83076"/>
    <w:rsid w:val="00F8315C"/>
    <w:rsid w:val="00F831A2"/>
    <w:rsid w:val="00F8321C"/>
    <w:rsid w:val="00F83254"/>
    <w:rsid w:val="00F833F3"/>
    <w:rsid w:val="00F8355F"/>
    <w:rsid w:val="00F835EA"/>
    <w:rsid w:val="00F8391A"/>
    <w:rsid w:val="00F83B97"/>
    <w:rsid w:val="00F83D85"/>
    <w:rsid w:val="00F83E11"/>
    <w:rsid w:val="00F84001"/>
    <w:rsid w:val="00F84019"/>
    <w:rsid w:val="00F8439A"/>
    <w:rsid w:val="00F84439"/>
    <w:rsid w:val="00F844F1"/>
    <w:rsid w:val="00F84521"/>
    <w:rsid w:val="00F84816"/>
    <w:rsid w:val="00F848A5"/>
    <w:rsid w:val="00F84BAD"/>
    <w:rsid w:val="00F84C04"/>
    <w:rsid w:val="00F84D7A"/>
    <w:rsid w:val="00F84EFC"/>
    <w:rsid w:val="00F85055"/>
    <w:rsid w:val="00F85146"/>
    <w:rsid w:val="00F854BF"/>
    <w:rsid w:val="00F85599"/>
    <w:rsid w:val="00F856E0"/>
    <w:rsid w:val="00F8593A"/>
    <w:rsid w:val="00F85A30"/>
    <w:rsid w:val="00F85FCE"/>
    <w:rsid w:val="00F860A7"/>
    <w:rsid w:val="00F86131"/>
    <w:rsid w:val="00F8647E"/>
    <w:rsid w:val="00F86617"/>
    <w:rsid w:val="00F8664F"/>
    <w:rsid w:val="00F866B4"/>
    <w:rsid w:val="00F866FC"/>
    <w:rsid w:val="00F867AD"/>
    <w:rsid w:val="00F867CC"/>
    <w:rsid w:val="00F86954"/>
    <w:rsid w:val="00F869E9"/>
    <w:rsid w:val="00F86A9F"/>
    <w:rsid w:val="00F86B75"/>
    <w:rsid w:val="00F86BDB"/>
    <w:rsid w:val="00F87047"/>
    <w:rsid w:val="00F870AD"/>
    <w:rsid w:val="00F872A2"/>
    <w:rsid w:val="00F87520"/>
    <w:rsid w:val="00F8760E"/>
    <w:rsid w:val="00F8761C"/>
    <w:rsid w:val="00F87718"/>
    <w:rsid w:val="00F87791"/>
    <w:rsid w:val="00F87955"/>
    <w:rsid w:val="00F87A92"/>
    <w:rsid w:val="00F87D4F"/>
    <w:rsid w:val="00F90183"/>
    <w:rsid w:val="00F9033F"/>
    <w:rsid w:val="00F9043A"/>
    <w:rsid w:val="00F9062B"/>
    <w:rsid w:val="00F90680"/>
    <w:rsid w:val="00F9072F"/>
    <w:rsid w:val="00F90737"/>
    <w:rsid w:val="00F907FD"/>
    <w:rsid w:val="00F90AC0"/>
    <w:rsid w:val="00F90B05"/>
    <w:rsid w:val="00F90B12"/>
    <w:rsid w:val="00F90D0B"/>
    <w:rsid w:val="00F90FB7"/>
    <w:rsid w:val="00F90FC0"/>
    <w:rsid w:val="00F9122D"/>
    <w:rsid w:val="00F914E0"/>
    <w:rsid w:val="00F9159E"/>
    <w:rsid w:val="00F91636"/>
    <w:rsid w:val="00F91A28"/>
    <w:rsid w:val="00F91AAF"/>
    <w:rsid w:val="00F91DED"/>
    <w:rsid w:val="00F9206A"/>
    <w:rsid w:val="00F924A6"/>
    <w:rsid w:val="00F92575"/>
    <w:rsid w:val="00F92696"/>
    <w:rsid w:val="00F92915"/>
    <w:rsid w:val="00F9295E"/>
    <w:rsid w:val="00F92FC1"/>
    <w:rsid w:val="00F93018"/>
    <w:rsid w:val="00F930E4"/>
    <w:rsid w:val="00F932F9"/>
    <w:rsid w:val="00F936D7"/>
    <w:rsid w:val="00F93863"/>
    <w:rsid w:val="00F93ACC"/>
    <w:rsid w:val="00F93B48"/>
    <w:rsid w:val="00F93D0E"/>
    <w:rsid w:val="00F93D9C"/>
    <w:rsid w:val="00F93F32"/>
    <w:rsid w:val="00F9401E"/>
    <w:rsid w:val="00F94073"/>
    <w:rsid w:val="00F9413D"/>
    <w:rsid w:val="00F943C7"/>
    <w:rsid w:val="00F94407"/>
    <w:rsid w:val="00F94454"/>
    <w:rsid w:val="00F945C3"/>
    <w:rsid w:val="00F945F8"/>
    <w:rsid w:val="00F94745"/>
    <w:rsid w:val="00F9474A"/>
    <w:rsid w:val="00F947FE"/>
    <w:rsid w:val="00F949CC"/>
    <w:rsid w:val="00F949DC"/>
    <w:rsid w:val="00F94F2C"/>
    <w:rsid w:val="00F94F5F"/>
    <w:rsid w:val="00F94FE1"/>
    <w:rsid w:val="00F951FA"/>
    <w:rsid w:val="00F9520E"/>
    <w:rsid w:val="00F95287"/>
    <w:rsid w:val="00F9533A"/>
    <w:rsid w:val="00F955A6"/>
    <w:rsid w:val="00F95726"/>
    <w:rsid w:val="00F957F0"/>
    <w:rsid w:val="00F959CD"/>
    <w:rsid w:val="00F95BC6"/>
    <w:rsid w:val="00F95E7F"/>
    <w:rsid w:val="00F95F9F"/>
    <w:rsid w:val="00F96016"/>
    <w:rsid w:val="00F960AE"/>
    <w:rsid w:val="00F960D1"/>
    <w:rsid w:val="00F96427"/>
    <w:rsid w:val="00F964C6"/>
    <w:rsid w:val="00F969E5"/>
    <w:rsid w:val="00F96CC6"/>
    <w:rsid w:val="00F96EEE"/>
    <w:rsid w:val="00F96EFE"/>
    <w:rsid w:val="00F96F1E"/>
    <w:rsid w:val="00F971FF"/>
    <w:rsid w:val="00F9756F"/>
    <w:rsid w:val="00F9760E"/>
    <w:rsid w:val="00F976C0"/>
    <w:rsid w:val="00F979F4"/>
    <w:rsid w:val="00F97D67"/>
    <w:rsid w:val="00F97DDF"/>
    <w:rsid w:val="00FA00AC"/>
    <w:rsid w:val="00FA00E0"/>
    <w:rsid w:val="00FA0269"/>
    <w:rsid w:val="00FA04E0"/>
    <w:rsid w:val="00FA054F"/>
    <w:rsid w:val="00FA0647"/>
    <w:rsid w:val="00FA06C4"/>
    <w:rsid w:val="00FA06D7"/>
    <w:rsid w:val="00FA0723"/>
    <w:rsid w:val="00FA0888"/>
    <w:rsid w:val="00FA0A67"/>
    <w:rsid w:val="00FA0B0E"/>
    <w:rsid w:val="00FA0B63"/>
    <w:rsid w:val="00FA106E"/>
    <w:rsid w:val="00FA1154"/>
    <w:rsid w:val="00FA12EE"/>
    <w:rsid w:val="00FA14DE"/>
    <w:rsid w:val="00FA1858"/>
    <w:rsid w:val="00FA185A"/>
    <w:rsid w:val="00FA18CB"/>
    <w:rsid w:val="00FA1A6A"/>
    <w:rsid w:val="00FA1ABB"/>
    <w:rsid w:val="00FA1B3F"/>
    <w:rsid w:val="00FA1BFF"/>
    <w:rsid w:val="00FA1D00"/>
    <w:rsid w:val="00FA1D62"/>
    <w:rsid w:val="00FA1DCE"/>
    <w:rsid w:val="00FA1FCD"/>
    <w:rsid w:val="00FA2145"/>
    <w:rsid w:val="00FA237D"/>
    <w:rsid w:val="00FA2632"/>
    <w:rsid w:val="00FA277D"/>
    <w:rsid w:val="00FA29FC"/>
    <w:rsid w:val="00FA2A2B"/>
    <w:rsid w:val="00FA2B5C"/>
    <w:rsid w:val="00FA2BFE"/>
    <w:rsid w:val="00FA34D5"/>
    <w:rsid w:val="00FA354B"/>
    <w:rsid w:val="00FA3D7E"/>
    <w:rsid w:val="00FA4085"/>
    <w:rsid w:val="00FA446D"/>
    <w:rsid w:val="00FA456A"/>
    <w:rsid w:val="00FA457D"/>
    <w:rsid w:val="00FA45F8"/>
    <w:rsid w:val="00FA4666"/>
    <w:rsid w:val="00FA46E3"/>
    <w:rsid w:val="00FA485E"/>
    <w:rsid w:val="00FA488B"/>
    <w:rsid w:val="00FA491D"/>
    <w:rsid w:val="00FA49F6"/>
    <w:rsid w:val="00FA4A76"/>
    <w:rsid w:val="00FA4CBF"/>
    <w:rsid w:val="00FA4F80"/>
    <w:rsid w:val="00FA50E7"/>
    <w:rsid w:val="00FA5152"/>
    <w:rsid w:val="00FA5687"/>
    <w:rsid w:val="00FA5E85"/>
    <w:rsid w:val="00FA5F03"/>
    <w:rsid w:val="00FA5FD3"/>
    <w:rsid w:val="00FA60AE"/>
    <w:rsid w:val="00FA61A7"/>
    <w:rsid w:val="00FA6461"/>
    <w:rsid w:val="00FA6463"/>
    <w:rsid w:val="00FA64CD"/>
    <w:rsid w:val="00FA652C"/>
    <w:rsid w:val="00FA65A4"/>
    <w:rsid w:val="00FA66AC"/>
    <w:rsid w:val="00FA67E7"/>
    <w:rsid w:val="00FA6A48"/>
    <w:rsid w:val="00FA6A69"/>
    <w:rsid w:val="00FA6ACB"/>
    <w:rsid w:val="00FA6ADA"/>
    <w:rsid w:val="00FA6E73"/>
    <w:rsid w:val="00FA6FC2"/>
    <w:rsid w:val="00FA7063"/>
    <w:rsid w:val="00FA71F9"/>
    <w:rsid w:val="00FA72A3"/>
    <w:rsid w:val="00FA72A6"/>
    <w:rsid w:val="00FA736B"/>
    <w:rsid w:val="00FA747D"/>
    <w:rsid w:val="00FA7778"/>
    <w:rsid w:val="00FA77B1"/>
    <w:rsid w:val="00FA7801"/>
    <w:rsid w:val="00FA7A30"/>
    <w:rsid w:val="00FA7C20"/>
    <w:rsid w:val="00FA7FB6"/>
    <w:rsid w:val="00FB00A0"/>
    <w:rsid w:val="00FB00F4"/>
    <w:rsid w:val="00FB01CD"/>
    <w:rsid w:val="00FB0693"/>
    <w:rsid w:val="00FB082A"/>
    <w:rsid w:val="00FB0A77"/>
    <w:rsid w:val="00FB0AC4"/>
    <w:rsid w:val="00FB0C7C"/>
    <w:rsid w:val="00FB0E2C"/>
    <w:rsid w:val="00FB10A5"/>
    <w:rsid w:val="00FB1235"/>
    <w:rsid w:val="00FB162D"/>
    <w:rsid w:val="00FB186D"/>
    <w:rsid w:val="00FB1DD9"/>
    <w:rsid w:val="00FB2020"/>
    <w:rsid w:val="00FB218D"/>
    <w:rsid w:val="00FB21C7"/>
    <w:rsid w:val="00FB2354"/>
    <w:rsid w:val="00FB2411"/>
    <w:rsid w:val="00FB2988"/>
    <w:rsid w:val="00FB2F3C"/>
    <w:rsid w:val="00FB3015"/>
    <w:rsid w:val="00FB3062"/>
    <w:rsid w:val="00FB3100"/>
    <w:rsid w:val="00FB316B"/>
    <w:rsid w:val="00FB34AC"/>
    <w:rsid w:val="00FB36F3"/>
    <w:rsid w:val="00FB3707"/>
    <w:rsid w:val="00FB3729"/>
    <w:rsid w:val="00FB3835"/>
    <w:rsid w:val="00FB3CD9"/>
    <w:rsid w:val="00FB3DFA"/>
    <w:rsid w:val="00FB40B0"/>
    <w:rsid w:val="00FB480E"/>
    <w:rsid w:val="00FB4B00"/>
    <w:rsid w:val="00FB4B52"/>
    <w:rsid w:val="00FB4FF0"/>
    <w:rsid w:val="00FB50DE"/>
    <w:rsid w:val="00FB5178"/>
    <w:rsid w:val="00FB52E2"/>
    <w:rsid w:val="00FB53C5"/>
    <w:rsid w:val="00FB5696"/>
    <w:rsid w:val="00FB56DF"/>
    <w:rsid w:val="00FB59A7"/>
    <w:rsid w:val="00FB5A10"/>
    <w:rsid w:val="00FB5BC7"/>
    <w:rsid w:val="00FB5D3E"/>
    <w:rsid w:val="00FB5DBD"/>
    <w:rsid w:val="00FB624D"/>
    <w:rsid w:val="00FB6519"/>
    <w:rsid w:val="00FB66E3"/>
    <w:rsid w:val="00FB6882"/>
    <w:rsid w:val="00FB6B3D"/>
    <w:rsid w:val="00FB6E29"/>
    <w:rsid w:val="00FB7142"/>
    <w:rsid w:val="00FB71A9"/>
    <w:rsid w:val="00FB7342"/>
    <w:rsid w:val="00FB76C9"/>
    <w:rsid w:val="00FB779E"/>
    <w:rsid w:val="00FB77AE"/>
    <w:rsid w:val="00FB78B9"/>
    <w:rsid w:val="00FB7BAF"/>
    <w:rsid w:val="00FB7E2E"/>
    <w:rsid w:val="00FB7E3F"/>
    <w:rsid w:val="00FC0174"/>
    <w:rsid w:val="00FC02C6"/>
    <w:rsid w:val="00FC0450"/>
    <w:rsid w:val="00FC0541"/>
    <w:rsid w:val="00FC0552"/>
    <w:rsid w:val="00FC05BC"/>
    <w:rsid w:val="00FC07A6"/>
    <w:rsid w:val="00FC0D04"/>
    <w:rsid w:val="00FC0E9B"/>
    <w:rsid w:val="00FC1043"/>
    <w:rsid w:val="00FC123F"/>
    <w:rsid w:val="00FC1283"/>
    <w:rsid w:val="00FC17AD"/>
    <w:rsid w:val="00FC1B0A"/>
    <w:rsid w:val="00FC1B9C"/>
    <w:rsid w:val="00FC1C03"/>
    <w:rsid w:val="00FC1E3B"/>
    <w:rsid w:val="00FC1E8A"/>
    <w:rsid w:val="00FC233E"/>
    <w:rsid w:val="00FC24AE"/>
    <w:rsid w:val="00FC24D6"/>
    <w:rsid w:val="00FC27F8"/>
    <w:rsid w:val="00FC2DBC"/>
    <w:rsid w:val="00FC2E3F"/>
    <w:rsid w:val="00FC2E5D"/>
    <w:rsid w:val="00FC2F62"/>
    <w:rsid w:val="00FC303E"/>
    <w:rsid w:val="00FC3197"/>
    <w:rsid w:val="00FC326D"/>
    <w:rsid w:val="00FC365B"/>
    <w:rsid w:val="00FC3791"/>
    <w:rsid w:val="00FC39E0"/>
    <w:rsid w:val="00FC3B82"/>
    <w:rsid w:val="00FC3BCB"/>
    <w:rsid w:val="00FC3E2A"/>
    <w:rsid w:val="00FC3EDD"/>
    <w:rsid w:val="00FC3F63"/>
    <w:rsid w:val="00FC4290"/>
    <w:rsid w:val="00FC43C1"/>
    <w:rsid w:val="00FC44C3"/>
    <w:rsid w:val="00FC4508"/>
    <w:rsid w:val="00FC4924"/>
    <w:rsid w:val="00FC49DF"/>
    <w:rsid w:val="00FC4B31"/>
    <w:rsid w:val="00FC4DD0"/>
    <w:rsid w:val="00FC4E0C"/>
    <w:rsid w:val="00FC4E86"/>
    <w:rsid w:val="00FC4FF8"/>
    <w:rsid w:val="00FC5247"/>
    <w:rsid w:val="00FC532D"/>
    <w:rsid w:val="00FC5473"/>
    <w:rsid w:val="00FC5503"/>
    <w:rsid w:val="00FC557F"/>
    <w:rsid w:val="00FC5599"/>
    <w:rsid w:val="00FC5756"/>
    <w:rsid w:val="00FC57E4"/>
    <w:rsid w:val="00FC58BD"/>
    <w:rsid w:val="00FC5E04"/>
    <w:rsid w:val="00FC6067"/>
    <w:rsid w:val="00FC617A"/>
    <w:rsid w:val="00FC6460"/>
    <w:rsid w:val="00FC6477"/>
    <w:rsid w:val="00FC6A1B"/>
    <w:rsid w:val="00FC6AC9"/>
    <w:rsid w:val="00FC6C45"/>
    <w:rsid w:val="00FC6E69"/>
    <w:rsid w:val="00FC6F6D"/>
    <w:rsid w:val="00FC70FB"/>
    <w:rsid w:val="00FC727A"/>
    <w:rsid w:val="00FC72FE"/>
    <w:rsid w:val="00FC743B"/>
    <w:rsid w:val="00FC7571"/>
    <w:rsid w:val="00FC7793"/>
    <w:rsid w:val="00FC77C1"/>
    <w:rsid w:val="00FC77F2"/>
    <w:rsid w:val="00FC79EC"/>
    <w:rsid w:val="00FD01B3"/>
    <w:rsid w:val="00FD01D8"/>
    <w:rsid w:val="00FD02C3"/>
    <w:rsid w:val="00FD045B"/>
    <w:rsid w:val="00FD06F8"/>
    <w:rsid w:val="00FD07F4"/>
    <w:rsid w:val="00FD0811"/>
    <w:rsid w:val="00FD08BC"/>
    <w:rsid w:val="00FD0920"/>
    <w:rsid w:val="00FD0946"/>
    <w:rsid w:val="00FD0A1A"/>
    <w:rsid w:val="00FD0BB8"/>
    <w:rsid w:val="00FD0C43"/>
    <w:rsid w:val="00FD0FE7"/>
    <w:rsid w:val="00FD117C"/>
    <w:rsid w:val="00FD16B0"/>
    <w:rsid w:val="00FD1A8C"/>
    <w:rsid w:val="00FD1B44"/>
    <w:rsid w:val="00FD1BD7"/>
    <w:rsid w:val="00FD1C1E"/>
    <w:rsid w:val="00FD1CBA"/>
    <w:rsid w:val="00FD1E02"/>
    <w:rsid w:val="00FD1E32"/>
    <w:rsid w:val="00FD1F81"/>
    <w:rsid w:val="00FD1FD3"/>
    <w:rsid w:val="00FD20D3"/>
    <w:rsid w:val="00FD21D1"/>
    <w:rsid w:val="00FD2314"/>
    <w:rsid w:val="00FD245D"/>
    <w:rsid w:val="00FD2493"/>
    <w:rsid w:val="00FD272A"/>
    <w:rsid w:val="00FD272E"/>
    <w:rsid w:val="00FD279E"/>
    <w:rsid w:val="00FD2A17"/>
    <w:rsid w:val="00FD2F79"/>
    <w:rsid w:val="00FD3018"/>
    <w:rsid w:val="00FD317F"/>
    <w:rsid w:val="00FD33BA"/>
    <w:rsid w:val="00FD353D"/>
    <w:rsid w:val="00FD3768"/>
    <w:rsid w:val="00FD3782"/>
    <w:rsid w:val="00FD39B6"/>
    <w:rsid w:val="00FD3A41"/>
    <w:rsid w:val="00FD3A94"/>
    <w:rsid w:val="00FD3BC3"/>
    <w:rsid w:val="00FD3CC7"/>
    <w:rsid w:val="00FD4141"/>
    <w:rsid w:val="00FD416B"/>
    <w:rsid w:val="00FD41FB"/>
    <w:rsid w:val="00FD42E5"/>
    <w:rsid w:val="00FD4328"/>
    <w:rsid w:val="00FD467F"/>
    <w:rsid w:val="00FD4850"/>
    <w:rsid w:val="00FD48F4"/>
    <w:rsid w:val="00FD4A8E"/>
    <w:rsid w:val="00FD4BC7"/>
    <w:rsid w:val="00FD4C20"/>
    <w:rsid w:val="00FD4D55"/>
    <w:rsid w:val="00FD4E71"/>
    <w:rsid w:val="00FD4E9B"/>
    <w:rsid w:val="00FD4F49"/>
    <w:rsid w:val="00FD506B"/>
    <w:rsid w:val="00FD509A"/>
    <w:rsid w:val="00FD5155"/>
    <w:rsid w:val="00FD55E1"/>
    <w:rsid w:val="00FD5694"/>
    <w:rsid w:val="00FD5B58"/>
    <w:rsid w:val="00FD5C95"/>
    <w:rsid w:val="00FD60F1"/>
    <w:rsid w:val="00FD6295"/>
    <w:rsid w:val="00FD64B9"/>
    <w:rsid w:val="00FD667B"/>
    <w:rsid w:val="00FD6932"/>
    <w:rsid w:val="00FD6A38"/>
    <w:rsid w:val="00FD6BB6"/>
    <w:rsid w:val="00FD6DC8"/>
    <w:rsid w:val="00FD70B9"/>
    <w:rsid w:val="00FD7196"/>
    <w:rsid w:val="00FD720A"/>
    <w:rsid w:val="00FD736B"/>
    <w:rsid w:val="00FD74D9"/>
    <w:rsid w:val="00FD7660"/>
    <w:rsid w:val="00FD797C"/>
    <w:rsid w:val="00FD7BCD"/>
    <w:rsid w:val="00FD7C9D"/>
    <w:rsid w:val="00FD7EE2"/>
    <w:rsid w:val="00FD7EEB"/>
    <w:rsid w:val="00FD7F95"/>
    <w:rsid w:val="00FD7FB5"/>
    <w:rsid w:val="00FE011E"/>
    <w:rsid w:val="00FE02F3"/>
    <w:rsid w:val="00FE0458"/>
    <w:rsid w:val="00FE04B5"/>
    <w:rsid w:val="00FE08B0"/>
    <w:rsid w:val="00FE0A0B"/>
    <w:rsid w:val="00FE0CBF"/>
    <w:rsid w:val="00FE0D3C"/>
    <w:rsid w:val="00FE104B"/>
    <w:rsid w:val="00FE1142"/>
    <w:rsid w:val="00FE1343"/>
    <w:rsid w:val="00FE158B"/>
    <w:rsid w:val="00FE1821"/>
    <w:rsid w:val="00FE194F"/>
    <w:rsid w:val="00FE1B35"/>
    <w:rsid w:val="00FE1B8D"/>
    <w:rsid w:val="00FE1BD7"/>
    <w:rsid w:val="00FE1C62"/>
    <w:rsid w:val="00FE1CE1"/>
    <w:rsid w:val="00FE1FBD"/>
    <w:rsid w:val="00FE2171"/>
    <w:rsid w:val="00FE2287"/>
    <w:rsid w:val="00FE2403"/>
    <w:rsid w:val="00FE27C5"/>
    <w:rsid w:val="00FE2BE4"/>
    <w:rsid w:val="00FE2BFB"/>
    <w:rsid w:val="00FE2F50"/>
    <w:rsid w:val="00FE33D4"/>
    <w:rsid w:val="00FE340D"/>
    <w:rsid w:val="00FE36A0"/>
    <w:rsid w:val="00FE36F7"/>
    <w:rsid w:val="00FE3719"/>
    <w:rsid w:val="00FE379D"/>
    <w:rsid w:val="00FE38CA"/>
    <w:rsid w:val="00FE390D"/>
    <w:rsid w:val="00FE3C3D"/>
    <w:rsid w:val="00FE3DA6"/>
    <w:rsid w:val="00FE3DEE"/>
    <w:rsid w:val="00FE3FAC"/>
    <w:rsid w:val="00FE4004"/>
    <w:rsid w:val="00FE4027"/>
    <w:rsid w:val="00FE4065"/>
    <w:rsid w:val="00FE4299"/>
    <w:rsid w:val="00FE45CD"/>
    <w:rsid w:val="00FE45E0"/>
    <w:rsid w:val="00FE467E"/>
    <w:rsid w:val="00FE46C9"/>
    <w:rsid w:val="00FE479E"/>
    <w:rsid w:val="00FE4B75"/>
    <w:rsid w:val="00FE4C4F"/>
    <w:rsid w:val="00FE4D86"/>
    <w:rsid w:val="00FE4F16"/>
    <w:rsid w:val="00FE51DC"/>
    <w:rsid w:val="00FE522D"/>
    <w:rsid w:val="00FE53DE"/>
    <w:rsid w:val="00FE54F9"/>
    <w:rsid w:val="00FE556C"/>
    <w:rsid w:val="00FE55C6"/>
    <w:rsid w:val="00FE5B33"/>
    <w:rsid w:val="00FE5C70"/>
    <w:rsid w:val="00FE5DA6"/>
    <w:rsid w:val="00FE60A4"/>
    <w:rsid w:val="00FE619A"/>
    <w:rsid w:val="00FE62BD"/>
    <w:rsid w:val="00FE6630"/>
    <w:rsid w:val="00FE671D"/>
    <w:rsid w:val="00FE6978"/>
    <w:rsid w:val="00FE69C4"/>
    <w:rsid w:val="00FE69CC"/>
    <w:rsid w:val="00FE6BB3"/>
    <w:rsid w:val="00FE6E7D"/>
    <w:rsid w:val="00FE705C"/>
    <w:rsid w:val="00FE70D3"/>
    <w:rsid w:val="00FE71D3"/>
    <w:rsid w:val="00FE71DD"/>
    <w:rsid w:val="00FE7253"/>
    <w:rsid w:val="00FE75C3"/>
    <w:rsid w:val="00FE775E"/>
    <w:rsid w:val="00FE7968"/>
    <w:rsid w:val="00FE7B98"/>
    <w:rsid w:val="00FE7B9E"/>
    <w:rsid w:val="00FE7BF6"/>
    <w:rsid w:val="00FE7CFB"/>
    <w:rsid w:val="00FF0023"/>
    <w:rsid w:val="00FF042B"/>
    <w:rsid w:val="00FF048E"/>
    <w:rsid w:val="00FF061B"/>
    <w:rsid w:val="00FF069E"/>
    <w:rsid w:val="00FF0794"/>
    <w:rsid w:val="00FF08AA"/>
    <w:rsid w:val="00FF091B"/>
    <w:rsid w:val="00FF0971"/>
    <w:rsid w:val="00FF0B74"/>
    <w:rsid w:val="00FF0EFC"/>
    <w:rsid w:val="00FF1116"/>
    <w:rsid w:val="00FF2238"/>
    <w:rsid w:val="00FF2275"/>
    <w:rsid w:val="00FF2666"/>
    <w:rsid w:val="00FF270D"/>
    <w:rsid w:val="00FF2AE5"/>
    <w:rsid w:val="00FF2E93"/>
    <w:rsid w:val="00FF2FF1"/>
    <w:rsid w:val="00FF309C"/>
    <w:rsid w:val="00FF3118"/>
    <w:rsid w:val="00FF3152"/>
    <w:rsid w:val="00FF329E"/>
    <w:rsid w:val="00FF3325"/>
    <w:rsid w:val="00FF3449"/>
    <w:rsid w:val="00FF391F"/>
    <w:rsid w:val="00FF39BB"/>
    <w:rsid w:val="00FF3A5F"/>
    <w:rsid w:val="00FF3BE7"/>
    <w:rsid w:val="00FF3C9A"/>
    <w:rsid w:val="00FF4106"/>
    <w:rsid w:val="00FF4225"/>
    <w:rsid w:val="00FF42B3"/>
    <w:rsid w:val="00FF434F"/>
    <w:rsid w:val="00FF4464"/>
    <w:rsid w:val="00FF46F8"/>
    <w:rsid w:val="00FF485B"/>
    <w:rsid w:val="00FF48DB"/>
    <w:rsid w:val="00FF4A16"/>
    <w:rsid w:val="00FF4A7C"/>
    <w:rsid w:val="00FF4AE2"/>
    <w:rsid w:val="00FF4BFC"/>
    <w:rsid w:val="00FF4C0B"/>
    <w:rsid w:val="00FF4D09"/>
    <w:rsid w:val="00FF4DA6"/>
    <w:rsid w:val="00FF5057"/>
    <w:rsid w:val="00FF5323"/>
    <w:rsid w:val="00FF5383"/>
    <w:rsid w:val="00FF5454"/>
    <w:rsid w:val="00FF548C"/>
    <w:rsid w:val="00FF55A3"/>
    <w:rsid w:val="00FF56F7"/>
    <w:rsid w:val="00FF5781"/>
    <w:rsid w:val="00FF5A2B"/>
    <w:rsid w:val="00FF5AD0"/>
    <w:rsid w:val="00FF5B7D"/>
    <w:rsid w:val="00FF5C40"/>
    <w:rsid w:val="00FF5C75"/>
    <w:rsid w:val="00FF5FCB"/>
    <w:rsid w:val="00FF60E3"/>
    <w:rsid w:val="00FF62DE"/>
    <w:rsid w:val="00FF6535"/>
    <w:rsid w:val="00FF6A05"/>
    <w:rsid w:val="00FF6B71"/>
    <w:rsid w:val="00FF6D10"/>
    <w:rsid w:val="00FF6E45"/>
    <w:rsid w:val="00FF6F19"/>
    <w:rsid w:val="00FF7054"/>
    <w:rsid w:val="00FF71B9"/>
    <w:rsid w:val="00FF723B"/>
    <w:rsid w:val="00FF7266"/>
    <w:rsid w:val="00FF7270"/>
    <w:rsid w:val="00FF727D"/>
    <w:rsid w:val="00FF72C2"/>
    <w:rsid w:val="00FF7339"/>
    <w:rsid w:val="00FF73B8"/>
    <w:rsid w:val="00FF7770"/>
    <w:rsid w:val="00FF777A"/>
    <w:rsid w:val="00FF7794"/>
    <w:rsid w:val="00FF7A9E"/>
    <w:rsid w:val="00FF7AD3"/>
    <w:rsid w:val="00FF7BAD"/>
    <w:rsid w:val="00FF7C5C"/>
    <w:rsid w:val="00FF7E4B"/>
    <w:rsid w:val="0103C140"/>
    <w:rsid w:val="010E0D0C"/>
    <w:rsid w:val="011E916A"/>
    <w:rsid w:val="01228373"/>
    <w:rsid w:val="0122F0DF"/>
    <w:rsid w:val="01373FDE"/>
    <w:rsid w:val="013B288D"/>
    <w:rsid w:val="01452A0F"/>
    <w:rsid w:val="014B72B0"/>
    <w:rsid w:val="014E357D"/>
    <w:rsid w:val="014F7684"/>
    <w:rsid w:val="015413DB"/>
    <w:rsid w:val="01595D63"/>
    <w:rsid w:val="015AD7B3"/>
    <w:rsid w:val="015EEC4C"/>
    <w:rsid w:val="015FFFAE"/>
    <w:rsid w:val="0163F8CD"/>
    <w:rsid w:val="016E64B0"/>
    <w:rsid w:val="016FAEEC"/>
    <w:rsid w:val="01771C2D"/>
    <w:rsid w:val="017AFA12"/>
    <w:rsid w:val="017F1494"/>
    <w:rsid w:val="018663D8"/>
    <w:rsid w:val="018A5E15"/>
    <w:rsid w:val="0191016B"/>
    <w:rsid w:val="0192E462"/>
    <w:rsid w:val="01A22853"/>
    <w:rsid w:val="01A2D1BC"/>
    <w:rsid w:val="01A31BCA"/>
    <w:rsid w:val="01A31ED2"/>
    <w:rsid w:val="01A54FF6"/>
    <w:rsid w:val="01A764D2"/>
    <w:rsid w:val="01AA9562"/>
    <w:rsid w:val="01AAABFC"/>
    <w:rsid w:val="01AD61D3"/>
    <w:rsid w:val="01C2BADF"/>
    <w:rsid w:val="01D8BB39"/>
    <w:rsid w:val="01DD2A35"/>
    <w:rsid w:val="01DD5F1E"/>
    <w:rsid w:val="01E376BB"/>
    <w:rsid w:val="01E5E54C"/>
    <w:rsid w:val="01EC7DE7"/>
    <w:rsid w:val="01FA94C5"/>
    <w:rsid w:val="0201A660"/>
    <w:rsid w:val="0204B8AE"/>
    <w:rsid w:val="02062940"/>
    <w:rsid w:val="02097B7D"/>
    <w:rsid w:val="02215B32"/>
    <w:rsid w:val="0228AC29"/>
    <w:rsid w:val="022B4936"/>
    <w:rsid w:val="0237C9E8"/>
    <w:rsid w:val="024DEC8E"/>
    <w:rsid w:val="0257E434"/>
    <w:rsid w:val="0258B920"/>
    <w:rsid w:val="0261C0EC"/>
    <w:rsid w:val="026291F1"/>
    <w:rsid w:val="02630177"/>
    <w:rsid w:val="0273B1DA"/>
    <w:rsid w:val="02773C9F"/>
    <w:rsid w:val="0278B67A"/>
    <w:rsid w:val="02796D11"/>
    <w:rsid w:val="027CB385"/>
    <w:rsid w:val="0286EF36"/>
    <w:rsid w:val="029F07E7"/>
    <w:rsid w:val="02ACC780"/>
    <w:rsid w:val="02AF5761"/>
    <w:rsid w:val="02B942BA"/>
    <w:rsid w:val="02BA87B5"/>
    <w:rsid w:val="02BD5A5F"/>
    <w:rsid w:val="02C5D3D5"/>
    <w:rsid w:val="03003C33"/>
    <w:rsid w:val="03093E76"/>
    <w:rsid w:val="030C8156"/>
    <w:rsid w:val="030E174F"/>
    <w:rsid w:val="03109315"/>
    <w:rsid w:val="03125A5A"/>
    <w:rsid w:val="0325AC08"/>
    <w:rsid w:val="03468573"/>
    <w:rsid w:val="034A693D"/>
    <w:rsid w:val="034EB7BF"/>
    <w:rsid w:val="035A5395"/>
    <w:rsid w:val="037480EA"/>
    <w:rsid w:val="03870B20"/>
    <w:rsid w:val="0388E60F"/>
    <w:rsid w:val="038CFD51"/>
    <w:rsid w:val="038D9649"/>
    <w:rsid w:val="03A829E0"/>
    <w:rsid w:val="03AB7622"/>
    <w:rsid w:val="03AF2ACF"/>
    <w:rsid w:val="03BDFA4C"/>
    <w:rsid w:val="03C81E34"/>
    <w:rsid w:val="03DD08BB"/>
    <w:rsid w:val="03E77B15"/>
    <w:rsid w:val="03E8951B"/>
    <w:rsid w:val="03E95594"/>
    <w:rsid w:val="03EA63F0"/>
    <w:rsid w:val="03ECA1BE"/>
    <w:rsid w:val="040A2592"/>
    <w:rsid w:val="0412E901"/>
    <w:rsid w:val="04144933"/>
    <w:rsid w:val="041A19B8"/>
    <w:rsid w:val="041D2423"/>
    <w:rsid w:val="04224D35"/>
    <w:rsid w:val="04237463"/>
    <w:rsid w:val="04273A54"/>
    <w:rsid w:val="042B7469"/>
    <w:rsid w:val="0430DCDF"/>
    <w:rsid w:val="0432866B"/>
    <w:rsid w:val="0433BFDB"/>
    <w:rsid w:val="04384241"/>
    <w:rsid w:val="0438EDC6"/>
    <w:rsid w:val="043BD1E3"/>
    <w:rsid w:val="043C0EFA"/>
    <w:rsid w:val="043FEA4C"/>
    <w:rsid w:val="04411EB4"/>
    <w:rsid w:val="04442872"/>
    <w:rsid w:val="0454D19A"/>
    <w:rsid w:val="045A8678"/>
    <w:rsid w:val="045D3380"/>
    <w:rsid w:val="046F07A6"/>
    <w:rsid w:val="047730F0"/>
    <w:rsid w:val="047F7C2C"/>
    <w:rsid w:val="0481F204"/>
    <w:rsid w:val="04825FE0"/>
    <w:rsid w:val="0496BFCB"/>
    <w:rsid w:val="04A151F4"/>
    <w:rsid w:val="04A37D09"/>
    <w:rsid w:val="04A73F80"/>
    <w:rsid w:val="04C033C3"/>
    <w:rsid w:val="04C2EF40"/>
    <w:rsid w:val="04CAEB17"/>
    <w:rsid w:val="04CD42E9"/>
    <w:rsid w:val="04E21D81"/>
    <w:rsid w:val="04E56839"/>
    <w:rsid w:val="04EA1FC1"/>
    <w:rsid w:val="04F467BC"/>
    <w:rsid w:val="04FAEC3B"/>
    <w:rsid w:val="050650B2"/>
    <w:rsid w:val="051535FE"/>
    <w:rsid w:val="05278FAC"/>
    <w:rsid w:val="052C6D54"/>
    <w:rsid w:val="0549528A"/>
    <w:rsid w:val="054EBE74"/>
    <w:rsid w:val="055C7BB4"/>
    <w:rsid w:val="05661045"/>
    <w:rsid w:val="056AC0E5"/>
    <w:rsid w:val="056C7889"/>
    <w:rsid w:val="057225DA"/>
    <w:rsid w:val="058BF6D4"/>
    <w:rsid w:val="0591FCE9"/>
    <w:rsid w:val="05936775"/>
    <w:rsid w:val="05A14C0F"/>
    <w:rsid w:val="05AE17FE"/>
    <w:rsid w:val="05B092F8"/>
    <w:rsid w:val="05B0C173"/>
    <w:rsid w:val="05C0AAC3"/>
    <w:rsid w:val="05C1B60A"/>
    <w:rsid w:val="05CAD4A5"/>
    <w:rsid w:val="05CB0477"/>
    <w:rsid w:val="05CC0C69"/>
    <w:rsid w:val="05CD2570"/>
    <w:rsid w:val="05D3A8EE"/>
    <w:rsid w:val="05E1F987"/>
    <w:rsid w:val="05E3C422"/>
    <w:rsid w:val="05E5A5E9"/>
    <w:rsid w:val="060648E6"/>
    <w:rsid w:val="060869E5"/>
    <w:rsid w:val="060F377A"/>
    <w:rsid w:val="060F68DE"/>
    <w:rsid w:val="0611BF96"/>
    <w:rsid w:val="06171850"/>
    <w:rsid w:val="0620D03F"/>
    <w:rsid w:val="0625D1C5"/>
    <w:rsid w:val="063D1D33"/>
    <w:rsid w:val="06420CD7"/>
    <w:rsid w:val="06440CDA"/>
    <w:rsid w:val="0646D539"/>
    <w:rsid w:val="06482E2D"/>
    <w:rsid w:val="064C49E3"/>
    <w:rsid w:val="064D3F92"/>
    <w:rsid w:val="064DD412"/>
    <w:rsid w:val="06501743"/>
    <w:rsid w:val="0652EC13"/>
    <w:rsid w:val="06590EC3"/>
    <w:rsid w:val="0666C215"/>
    <w:rsid w:val="0668F5E7"/>
    <w:rsid w:val="066BFD3E"/>
    <w:rsid w:val="067399B2"/>
    <w:rsid w:val="0676874A"/>
    <w:rsid w:val="068C0384"/>
    <w:rsid w:val="068E9A10"/>
    <w:rsid w:val="0693100E"/>
    <w:rsid w:val="06936E5C"/>
    <w:rsid w:val="0699FA06"/>
    <w:rsid w:val="06A4378A"/>
    <w:rsid w:val="06A77AA9"/>
    <w:rsid w:val="06A8853F"/>
    <w:rsid w:val="06B217AE"/>
    <w:rsid w:val="06B7C78B"/>
    <w:rsid w:val="06C78647"/>
    <w:rsid w:val="06CA2B10"/>
    <w:rsid w:val="06D48B7E"/>
    <w:rsid w:val="06E3F7B7"/>
    <w:rsid w:val="06F80A63"/>
    <w:rsid w:val="07039574"/>
    <w:rsid w:val="070648EE"/>
    <w:rsid w:val="070DF50C"/>
    <w:rsid w:val="07101C90"/>
    <w:rsid w:val="07118861"/>
    <w:rsid w:val="0720F8B2"/>
    <w:rsid w:val="0727F16A"/>
    <w:rsid w:val="072CEC66"/>
    <w:rsid w:val="07364415"/>
    <w:rsid w:val="07372122"/>
    <w:rsid w:val="073DA22F"/>
    <w:rsid w:val="073E5B0D"/>
    <w:rsid w:val="07494F2A"/>
    <w:rsid w:val="074EB0CB"/>
    <w:rsid w:val="0762ED0A"/>
    <w:rsid w:val="0769EACE"/>
    <w:rsid w:val="076C76EA"/>
    <w:rsid w:val="07AD864E"/>
    <w:rsid w:val="07ADE3E7"/>
    <w:rsid w:val="07B07218"/>
    <w:rsid w:val="07B70420"/>
    <w:rsid w:val="07C59347"/>
    <w:rsid w:val="07C787CC"/>
    <w:rsid w:val="07CAF114"/>
    <w:rsid w:val="07DF3867"/>
    <w:rsid w:val="07FD7707"/>
    <w:rsid w:val="08056551"/>
    <w:rsid w:val="080652C5"/>
    <w:rsid w:val="0825AF9B"/>
    <w:rsid w:val="08276F7D"/>
    <w:rsid w:val="0828FDEE"/>
    <w:rsid w:val="08305231"/>
    <w:rsid w:val="0835037A"/>
    <w:rsid w:val="0837C21F"/>
    <w:rsid w:val="0837F2FC"/>
    <w:rsid w:val="083C1D7F"/>
    <w:rsid w:val="083D9F0C"/>
    <w:rsid w:val="0842B279"/>
    <w:rsid w:val="0852895D"/>
    <w:rsid w:val="0852C538"/>
    <w:rsid w:val="085E6272"/>
    <w:rsid w:val="086EB853"/>
    <w:rsid w:val="08718035"/>
    <w:rsid w:val="0875C101"/>
    <w:rsid w:val="088E9558"/>
    <w:rsid w:val="0897118F"/>
    <w:rsid w:val="089A950E"/>
    <w:rsid w:val="089E1EFA"/>
    <w:rsid w:val="089F8100"/>
    <w:rsid w:val="08A1795E"/>
    <w:rsid w:val="08A908AD"/>
    <w:rsid w:val="08AB5523"/>
    <w:rsid w:val="08AFC54D"/>
    <w:rsid w:val="08B4B86C"/>
    <w:rsid w:val="08B70EDC"/>
    <w:rsid w:val="08CDBF61"/>
    <w:rsid w:val="08D06549"/>
    <w:rsid w:val="08D06DA0"/>
    <w:rsid w:val="08D4815C"/>
    <w:rsid w:val="08D78FC7"/>
    <w:rsid w:val="08DB073D"/>
    <w:rsid w:val="08F00E4B"/>
    <w:rsid w:val="08F27A0B"/>
    <w:rsid w:val="08F73FF4"/>
    <w:rsid w:val="08F894FB"/>
    <w:rsid w:val="08FA1865"/>
    <w:rsid w:val="09002BB3"/>
    <w:rsid w:val="0904AD1E"/>
    <w:rsid w:val="0912ADF5"/>
    <w:rsid w:val="091483C7"/>
    <w:rsid w:val="09154162"/>
    <w:rsid w:val="09189653"/>
    <w:rsid w:val="092D7574"/>
    <w:rsid w:val="0931EE32"/>
    <w:rsid w:val="09374882"/>
    <w:rsid w:val="094B3D38"/>
    <w:rsid w:val="0962313F"/>
    <w:rsid w:val="0967C25F"/>
    <w:rsid w:val="0975753E"/>
    <w:rsid w:val="0991EAB9"/>
    <w:rsid w:val="099BB68B"/>
    <w:rsid w:val="09ABAC54"/>
    <w:rsid w:val="09ABCA1D"/>
    <w:rsid w:val="09AE5AC6"/>
    <w:rsid w:val="09B1476B"/>
    <w:rsid w:val="09BC046B"/>
    <w:rsid w:val="09C45971"/>
    <w:rsid w:val="09C7EBD6"/>
    <w:rsid w:val="09C99F20"/>
    <w:rsid w:val="09D73898"/>
    <w:rsid w:val="09ED3C0C"/>
    <w:rsid w:val="09EFCA86"/>
    <w:rsid w:val="09F10B54"/>
    <w:rsid w:val="09F5054B"/>
    <w:rsid w:val="09FA2D41"/>
    <w:rsid w:val="09FCB0FB"/>
    <w:rsid w:val="0A05512C"/>
    <w:rsid w:val="0A0DA14A"/>
    <w:rsid w:val="0A17F202"/>
    <w:rsid w:val="0A23FD34"/>
    <w:rsid w:val="0A284B7D"/>
    <w:rsid w:val="0A2B3E9A"/>
    <w:rsid w:val="0A2D9ACF"/>
    <w:rsid w:val="0A30F96E"/>
    <w:rsid w:val="0A4284E8"/>
    <w:rsid w:val="0A519AF4"/>
    <w:rsid w:val="0A51B0B8"/>
    <w:rsid w:val="0A555C26"/>
    <w:rsid w:val="0A6708D8"/>
    <w:rsid w:val="0A68AA96"/>
    <w:rsid w:val="0A6AE771"/>
    <w:rsid w:val="0A82C9A2"/>
    <w:rsid w:val="0A84B9BE"/>
    <w:rsid w:val="0A89B33F"/>
    <w:rsid w:val="0A8A1F77"/>
    <w:rsid w:val="0A8A4484"/>
    <w:rsid w:val="0A8AC200"/>
    <w:rsid w:val="0A9BD5A2"/>
    <w:rsid w:val="0AA09EF1"/>
    <w:rsid w:val="0AA53CE3"/>
    <w:rsid w:val="0AA731D5"/>
    <w:rsid w:val="0AAB7CAA"/>
    <w:rsid w:val="0AABA3E2"/>
    <w:rsid w:val="0AABD4D8"/>
    <w:rsid w:val="0AAE6969"/>
    <w:rsid w:val="0AB2D8F9"/>
    <w:rsid w:val="0AB8940B"/>
    <w:rsid w:val="0AB929F0"/>
    <w:rsid w:val="0ABD69B7"/>
    <w:rsid w:val="0AC849BD"/>
    <w:rsid w:val="0ACD6C3D"/>
    <w:rsid w:val="0AD43222"/>
    <w:rsid w:val="0AD5B152"/>
    <w:rsid w:val="0AEC7BA9"/>
    <w:rsid w:val="0AFF44CD"/>
    <w:rsid w:val="0B010D96"/>
    <w:rsid w:val="0B018610"/>
    <w:rsid w:val="0B03106D"/>
    <w:rsid w:val="0B1712D0"/>
    <w:rsid w:val="0B1851A5"/>
    <w:rsid w:val="0B2DD982"/>
    <w:rsid w:val="0B35D378"/>
    <w:rsid w:val="0B3D51A7"/>
    <w:rsid w:val="0B5E701B"/>
    <w:rsid w:val="0B69D14D"/>
    <w:rsid w:val="0B6D9D39"/>
    <w:rsid w:val="0B6E2733"/>
    <w:rsid w:val="0B7725DF"/>
    <w:rsid w:val="0B8CBF0C"/>
    <w:rsid w:val="0B93137E"/>
    <w:rsid w:val="0B9CF812"/>
    <w:rsid w:val="0BA41F4C"/>
    <w:rsid w:val="0BA4CC0D"/>
    <w:rsid w:val="0BAF29F6"/>
    <w:rsid w:val="0BAFF173"/>
    <w:rsid w:val="0BD4FDDD"/>
    <w:rsid w:val="0BDC5785"/>
    <w:rsid w:val="0BEC6C2E"/>
    <w:rsid w:val="0C025C01"/>
    <w:rsid w:val="0C0AE7DA"/>
    <w:rsid w:val="0C132E45"/>
    <w:rsid w:val="0C170D2C"/>
    <w:rsid w:val="0C1BC13F"/>
    <w:rsid w:val="0C27B9D4"/>
    <w:rsid w:val="0C3EB8AE"/>
    <w:rsid w:val="0C41FB48"/>
    <w:rsid w:val="0C464F1D"/>
    <w:rsid w:val="0C475BC9"/>
    <w:rsid w:val="0C5021CF"/>
    <w:rsid w:val="0C5DDF27"/>
    <w:rsid w:val="0C600240"/>
    <w:rsid w:val="0C635CB3"/>
    <w:rsid w:val="0C6D0318"/>
    <w:rsid w:val="0C799813"/>
    <w:rsid w:val="0C7B0658"/>
    <w:rsid w:val="0C7D86C2"/>
    <w:rsid w:val="0C7F466C"/>
    <w:rsid w:val="0C80FABE"/>
    <w:rsid w:val="0C810295"/>
    <w:rsid w:val="0C8D3FCA"/>
    <w:rsid w:val="0C9612AD"/>
    <w:rsid w:val="0C9BD757"/>
    <w:rsid w:val="0C9CA32D"/>
    <w:rsid w:val="0CA0831A"/>
    <w:rsid w:val="0CA68431"/>
    <w:rsid w:val="0CB24449"/>
    <w:rsid w:val="0CB2E1D7"/>
    <w:rsid w:val="0CB37138"/>
    <w:rsid w:val="0CB5FC95"/>
    <w:rsid w:val="0CC82660"/>
    <w:rsid w:val="0CD309C3"/>
    <w:rsid w:val="0CD5CC2A"/>
    <w:rsid w:val="0CE0FF7B"/>
    <w:rsid w:val="0CE2DA23"/>
    <w:rsid w:val="0CE643AA"/>
    <w:rsid w:val="0CE68228"/>
    <w:rsid w:val="0CEEA2E8"/>
    <w:rsid w:val="0CEF4EB3"/>
    <w:rsid w:val="0CF7BFE1"/>
    <w:rsid w:val="0CF86BF0"/>
    <w:rsid w:val="0CFACE7D"/>
    <w:rsid w:val="0D00BD4E"/>
    <w:rsid w:val="0D0CD53A"/>
    <w:rsid w:val="0D256C3A"/>
    <w:rsid w:val="0D2D0D0F"/>
    <w:rsid w:val="0D2EDD37"/>
    <w:rsid w:val="0D37D7D4"/>
    <w:rsid w:val="0D422F2E"/>
    <w:rsid w:val="0D48F4AB"/>
    <w:rsid w:val="0D4D66A0"/>
    <w:rsid w:val="0D52DBD7"/>
    <w:rsid w:val="0D63308E"/>
    <w:rsid w:val="0D723050"/>
    <w:rsid w:val="0D72B57B"/>
    <w:rsid w:val="0D75EC92"/>
    <w:rsid w:val="0D7C2495"/>
    <w:rsid w:val="0D945AFD"/>
    <w:rsid w:val="0D9DF956"/>
    <w:rsid w:val="0DBB792A"/>
    <w:rsid w:val="0DC9BBD5"/>
    <w:rsid w:val="0DD4D713"/>
    <w:rsid w:val="0DE008FE"/>
    <w:rsid w:val="0DE2E247"/>
    <w:rsid w:val="0DE7750B"/>
    <w:rsid w:val="0DF11D02"/>
    <w:rsid w:val="0E012B5F"/>
    <w:rsid w:val="0E049055"/>
    <w:rsid w:val="0E1184E9"/>
    <w:rsid w:val="0E12730B"/>
    <w:rsid w:val="0E13775D"/>
    <w:rsid w:val="0E184BE8"/>
    <w:rsid w:val="0E1AF5FF"/>
    <w:rsid w:val="0E1B508C"/>
    <w:rsid w:val="0E221146"/>
    <w:rsid w:val="0E28CFE6"/>
    <w:rsid w:val="0E31886B"/>
    <w:rsid w:val="0E35417C"/>
    <w:rsid w:val="0E3AF398"/>
    <w:rsid w:val="0E42DDDF"/>
    <w:rsid w:val="0E664324"/>
    <w:rsid w:val="0E77EA66"/>
    <w:rsid w:val="0E791091"/>
    <w:rsid w:val="0E85460B"/>
    <w:rsid w:val="0E875EA7"/>
    <w:rsid w:val="0E9A1001"/>
    <w:rsid w:val="0EA0BAE9"/>
    <w:rsid w:val="0EAD25B7"/>
    <w:rsid w:val="0EB57ECC"/>
    <w:rsid w:val="0EB78F65"/>
    <w:rsid w:val="0EB8600C"/>
    <w:rsid w:val="0EBF34E2"/>
    <w:rsid w:val="0EC1C009"/>
    <w:rsid w:val="0EC1E847"/>
    <w:rsid w:val="0EDEAD51"/>
    <w:rsid w:val="0EE20C0C"/>
    <w:rsid w:val="0EE3548C"/>
    <w:rsid w:val="0EE96498"/>
    <w:rsid w:val="0EF09641"/>
    <w:rsid w:val="0EF1A506"/>
    <w:rsid w:val="0EF89712"/>
    <w:rsid w:val="0EFCDC35"/>
    <w:rsid w:val="0F029F32"/>
    <w:rsid w:val="0F169C96"/>
    <w:rsid w:val="0F17D8F1"/>
    <w:rsid w:val="0F1E0BE0"/>
    <w:rsid w:val="0F26FA04"/>
    <w:rsid w:val="0F35C757"/>
    <w:rsid w:val="0F3FE73A"/>
    <w:rsid w:val="0F42BC55"/>
    <w:rsid w:val="0F4E9043"/>
    <w:rsid w:val="0F538BA9"/>
    <w:rsid w:val="0F545611"/>
    <w:rsid w:val="0F557A1A"/>
    <w:rsid w:val="0F5FC81C"/>
    <w:rsid w:val="0F683C69"/>
    <w:rsid w:val="0F6B4A0F"/>
    <w:rsid w:val="0F6CBB10"/>
    <w:rsid w:val="0F77EEFC"/>
    <w:rsid w:val="0F7BC133"/>
    <w:rsid w:val="0F7CB027"/>
    <w:rsid w:val="0F8AFF3D"/>
    <w:rsid w:val="0FA8B066"/>
    <w:rsid w:val="0FBF3520"/>
    <w:rsid w:val="0FBF743B"/>
    <w:rsid w:val="0FCB2936"/>
    <w:rsid w:val="0FCFFBE0"/>
    <w:rsid w:val="0FD1AD83"/>
    <w:rsid w:val="0FDE1E8A"/>
    <w:rsid w:val="0FE3D286"/>
    <w:rsid w:val="0FE81ADE"/>
    <w:rsid w:val="0FED2C56"/>
    <w:rsid w:val="0FED9E3E"/>
    <w:rsid w:val="0FF2B948"/>
    <w:rsid w:val="0FFBE581"/>
    <w:rsid w:val="10060341"/>
    <w:rsid w:val="1012D781"/>
    <w:rsid w:val="10182B14"/>
    <w:rsid w:val="101935B0"/>
    <w:rsid w:val="101AD707"/>
    <w:rsid w:val="101C6D63"/>
    <w:rsid w:val="101FFF55"/>
    <w:rsid w:val="1021D252"/>
    <w:rsid w:val="102288F7"/>
    <w:rsid w:val="102399B6"/>
    <w:rsid w:val="10342CF9"/>
    <w:rsid w:val="1049817E"/>
    <w:rsid w:val="104A0962"/>
    <w:rsid w:val="104B7392"/>
    <w:rsid w:val="10596538"/>
    <w:rsid w:val="10645FD5"/>
    <w:rsid w:val="106609C0"/>
    <w:rsid w:val="106DE70C"/>
    <w:rsid w:val="10717E88"/>
    <w:rsid w:val="10740040"/>
    <w:rsid w:val="1075356E"/>
    <w:rsid w:val="107CD5B6"/>
    <w:rsid w:val="1083E7EB"/>
    <w:rsid w:val="10853CF6"/>
    <w:rsid w:val="108ECC9B"/>
    <w:rsid w:val="109E40A2"/>
    <w:rsid w:val="10AAE666"/>
    <w:rsid w:val="10C1387A"/>
    <w:rsid w:val="10C2C06B"/>
    <w:rsid w:val="10D6EAE0"/>
    <w:rsid w:val="10DAECE4"/>
    <w:rsid w:val="10DB2ED1"/>
    <w:rsid w:val="10EE30DB"/>
    <w:rsid w:val="1105F46E"/>
    <w:rsid w:val="11062C4D"/>
    <w:rsid w:val="1109676C"/>
    <w:rsid w:val="11120529"/>
    <w:rsid w:val="1121969E"/>
    <w:rsid w:val="11236CBB"/>
    <w:rsid w:val="112C6DDA"/>
    <w:rsid w:val="114C2F8D"/>
    <w:rsid w:val="115304C9"/>
    <w:rsid w:val="11584993"/>
    <w:rsid w:val="116AB155"/>
    <w:rsid w:val="116E1D5E"/>
    <w:rsid w:val="117C0B7B"/>
    <w:rsid w:val="1185A969"/>
    <w:rsid w:val="118A730F"/>
    <w:rsid w:val="11989E9C"/>
    <w:rsid w:val="119A71D5"/>
    <w:rsid w:val="11A8B210"/>
    <w:rsid w:val="11A9D170"/>
    <w:rsid w:val="11AEF81F"/>
    <w:rsid w:val="11B1954D"/>
    <w:rsid w:val="11C186CE"/>
    <w:rsid w:val="11C1E6C0"/>
    <w:rsid w:val="11C71BAD"/>
    <w:rsid w:val="11CD1B3A"/>
    <w:rsid w:val="11D14B87"/>
    <w:rsid w:val="11D4D431"/>
    <w:rsid w:val="11E2CFC7"/>
    <w:rsid w:val="11EA8624"/>
    <w:rsid w:val="11EB1A93"/>
    <w:rsid w:val="11F3F1CA"/>
    <w:rsid w:val="11F7C2B2"/>
    <w:rsid w:val="11FD1C0A"/>
    <w:rsid w:val="1202C86C"/>
    <w:rsid w:val="1202D582"/>
    <w:rsid w:val="1208840C"/>
    <w:rsid w:val="12089730"/>
    <w:rsid w:val="1210A14C"/>
    <w:rsid w:val="12160B3A"/>
    <w:rsid w:val="12166DC8"/>
    <w:rsid w:val="12184486"/>
    <w:rsid w:val="1221EA14"/>
    <w:rsid w:val="123285AB"/>
    <w:rsid w:val="12362FF9"/>
    <w:rsid w:val="123BA661"/>
    <w:rsid w:val="12421714"/>
    <w:rsid w:val="124B89E1"/>
    <w:rsid w:val="125141EB"/>
    <w:rsid w:val="12779E5D"/>
    <w:rsid w:val="127A66B6"/>
    <w:rsid w:val="127E00FD"/>
    <w:rsid w:val="128C9B8B"/>
    <w:rsid w:val="12932816"/>
    <w:rsid w:val="1293AA89"/>
    <w:rsid w:val="129EAEA1"/>
    <w:rsid w:val="129FC9B0"/>
    <w:rsid w:val="12A69AAD"/>
    <w:rsid w:val="12B8A20C"/>
    <w:rsid w:val="12C80184"/>
    <w:rsid w:val="12CCB1A2"/>
    <w:rsid w:val="12DB3195"/>
    <w:rsid w:val="12E9A644"/>
    <w:rsid w:val="12EDAD04"/>
    <w:rsid w:val="12F0FB8A"/>
    <w:rsid w:val="12F53D8E"/>
    <w:rsid w:val="12FFEC01"/>
    <w:rsid w:val="130F233F"/>
    <w:rsid w:val="1320ACB9"/>
    <w:rsid w:val="132F21A7"/>
    <w:rsid w:val="1349A4F9"/>
    <w:rsid w:val="13504274"/>
    <w:rsid w:val="135272FB"/>
    <w:rsid w:val="1352F4B9"/>
    <w:rsid w:val="135EBBDB"/>
    <w:rsid w:val="1373BC92"/>
    <w:rsid w:val="1375BC0E"/>
    <w:rsid w:val="13819FE6"/>
    <w:rsid w:val="138605DF"/>
    <w:rsid w:val="13869319"/>
    <w:rsid w:val="1389FDED"/>
    <w:rsid w:val="139378DC"/>
    <w:rsid w:val="13A2B879"/>
    <w:rsid w:val="13AB0E72"/>
    <w:rsid w:val="13AE21A2"/>
    <w:rsid w:val="13B7F867"/>
    <w:rsid w:val="13B8B85E"/>
    <w:rsid w:val="13CD37CC"/>
    <w:rsid w:val="13CEF61B"/>
    <w:rsid w:val="13D340FF"/>
    <w:rsid w:val="13D4BFEB"/>
    <w:rsid w:val="13DA5EC6"/>
    <w:rsid w:val="13E746E8"/>
    <w:rsid w:val="13EA4CEF"/>
    <w:rsid w:val="13FAD3FD"/>
    <w:rsid w:val="13FB4756"/>
    <w:rsid w:val="14058725"/>
    <w:rsid w:val="140909F9"/>
    <w:rsid w:val="140ADFEE"/>
    <w:rsid w:val="140B5469"/>
    <w:rsid w:val="140E84DA"/>
    <w:rsid w:val="14125DAA"/>
    <w:rsid w:val="1422477C"/>
    <w:rsid w:val="142D9EE1"/>
    <w:rsid w:val="142ED72F"/>
    <w:rsid w:val="143C0094"/>
    <w:rsid w:val="143FE756"/>
    <w:rsid w:val="14457845"/>
    <w:rsid w:val="144F28AC"/>
    <w:rsid w:val="1451B426"/>
    <w:rsid w:val="1458FE3B"/>
    <w:rsid w:val="146694FC"/>
    <w:rsid w:val="146A4FC2"/>
    <w:rsid w:val="14715F4E"/>
    <w:rsid w:val="147CA3DE"/>
    <w:rsid w:val="1484C464"/>
    <w:rsid w:val="148D30FA"/>
    <w:rsid w:val="14925C7B"/>
    <w:rsid w:val="14A63CA2"/>
    <w:rsid w:val="14A7459D"/>
    <w:rsid w:val="14ACD941"/>
    <w:rsid w:val="14AE688A"/>
    <w:rsid w:val="14AF8394"/>
    <w:rsid w:val="14CC55A8"/>
    <w:rsid w:val="14CD777A"/>
    <w:rsid w:val="14D15535"/>
    <w:rsid w:val="14D304F3"/>
    <w:rsid w:val="14DAD93F"/>
    <w:rsid w:val="14DAFA8B"/>
    <w:rsid w:val="14DC937E"/>
    <w:rsid w:val="14DF2051"/>
    <w:rsid w:val="14F0C68E"/>
    <w:rsid w:val="14F48928"/>
    <w:rsid w:val="14F87F36"/>
    <w:rsid w:val="150E3557"/>
    <w:rsid w:val="151F01D7"/>
    <w:rsid w:val="1523CC82"/>
    <w:rsid w:val="1524BBF8"/>
    <w:rsid w:val="15269781"/>
    <w:rsid w:val="15322CC2"/>
    <w:rsid w:val="1545EC29"/>
    <w:rsid w:val="154BDDA5"/>
    <w:rsid w:val="154E9F2C"/>
    <w:rsid w:val="15540164"/>
    <w:rsid w:val="156E45D9"/>
    <w:rsid w:val="1572CB16"/>
    <w:rsid w:val="158BFAEE"/>
    <w:rsid w:val="1591EA39"/>
    <w:rsid w:val="15A4CA33"/>
    <w:rsid w:val="15A88EBC"/>
    <w:rsid w:val="15A89F67"/>
    <w:rsid w:val="15AD1588"/>
    <w:rsid w:val="15B06D6E"/>
    <w:rsid w:val="15B91392"/>
    <w:rsid w:val="15BA08F7"/>
    <w:rsid w:val="15CCE67E"/>
    <w:rsid w:val="15D8DD8A"/>
    <w:rsid w:val="15DD9281"/>
    <w:rsid w:val="15DDE576"/>
    <w:rsid w:val="15E2F1A1"/>
    <w:rsid w:val="15E34FB2"/>
    <w:rsid w:val="15EC524F"/>
    <w:rsid w:val="15F0A9AA"/>
    <w:rsid w:val="15F7B465"/>
    <w:rsid w:val="15FFEB5B"/>
    <w:rsid w:val="16089D59"/>
    <w:rsid w:val="161B378D"/>
    <w:rsid w:val="161B58D7"/>
    <w:rsid w:val="161E8B32"/>
    <w:rsid w:val="1620F4A2"/>
    <w:rsid w:val="1629A042"/>
    <w:rsid w:val="162C651C"/>
    <w:rsid w:val="163A56F4"/>
    <w:rsid w:val="163CCD36"/>
    <w:rsid w:val="163D88A6"/>
    <w:rsid w:val="164A5E6C"/>
    <w:rsid w:val="164F3509"/>
    <w:rsid w:val="1656EC7B"/>
    <w:rsid w:val="166676BF"/>
    <w:rsid w:val="166DCEC1"/>
    <w:rsid w:val="16727060"/>
    <w:rsid w:val="1678AF26"/>
    <w:rsid w:val="167E6683"/>
    <w:rsid w:val="1683174C"/>
    <w:rsid w:val="16856A39"/>
    <w:rsid w:val="168E336A"/>
    <w:rsid w:val="168F872C"/>
    <w:rsid w:val="169541EB"/>
    <w:rsid w:val="16971E7E"/>
    <w:rsid w:val="16A244F0"/>
    <w:rsid w:val="16A4E479"/>
    <w:rsid w:val="16B1872A"/>
    <w:rsid w:val="16BB622F"/>
    <w:rsid w:val="16BD5CDE"/>
    <w:rsid w:val="16D6F2B2"/>
    <w:rsid w:val="16E1416C"/>
    <w:rsid w:val="16EFBFBC"/>
    <w:rsid w:val="16F92711"/>
    <w:rsid w:val="1702264B"/>
    <w:rsid w:val="171B7181"/>
    <w:rsid w:val="171EC9C1"/>
    <w:rsid w:val="1725679F"/>
    <w:rsid w:val="17258295"/>
    <w:rsid w:val="1729B7C0"/>
    <w:rsid w:val="172B3590"/>
    <w:rsid w:val="172EA3AE"/>
    <w:rsid w:val="17412DE0"/>
    <w:rsid w:val="17433E0D"/>
    <w:rsid w:val="1746CA25"/>
    <w:rsid w:val="174A1B92"/>
    <w:rsid w:val="174BCA37"/>
    <w:rsid w:val="1761A2C0"/>
    <w:rsid w:val="176B8D48"/>
    <w:rsid w:val="17704697"/>
    <w:rsid w:val="17806BB9"/>
    <w:rsid w:val="1782251A"/>
    <w:rsid w:val="1785F9D8"/>
    <w:rsid w:val="178FD224"/>
    <w:rsid w:val="179404F1"/>
    <w:rsid w:val="1795A0B1"/>
    <w:rsid w:val="17967099"/>
    <w:rsid w:val="179A5281"/>
    <w:rsid w:val="17A7A9DA"/>
    <w:rsid w:val="17C8178E"/>
    <w:rsid w:val="17CB2209"/>
    <w:rsid w:val="17D303D6"/>
    <w:rsid w:val="17DA6B1E"/>
    <w:rsid w:val="17E3B0B9"/>
    <w:rsid w:val="17E74D75"/>
    <w:rsid w:val="17EB8FCB"/>
    <w:rsid w:val="1804458A"/>
    <w:rsid w:val="1805E5F5"/>
    <w:rsid w:val="180AA720"/>
    <w:rsid w:val="1813104C"/>
    <w:rsid w:val="181AAABE"/>
    <w:rsid w:val="181DAD29"/>
    <w:rsid w:val="1823A705"/>
    <w:rsid w:val="1826180C"/>
    <w:rsid w:val="1829106D"/>
    <w:rsid w:val="1833F4B6"/>
    <w:rsid w:val="183F0DF3"/>
    <w:rsid w:val="183FB331"/>
    <w:rsid w:val="184C9054"/>
    <w:rsid w:val="184E4410"/>
    <w:rsid w:val="18515148"/>
    <w:rsid w:val="1854C786"/>
    <w:rsid w:val="185D8787"/>
    <w:rsid w:val="185FBE9C"/>
    <w:rsid w:val="1869A465"/>
    <w:rsid w:val="186D92B7"/>
    <w:rsid w:val="1873C053"/>
    <w:rsid w:val="187D2595"/>
    <w:rsid w:val="188A8169"/>
    <w:rsid w:val="188C2622"/>
    <w:rsid w:val="1891D3FC"/>
    <w:rsid w:val="18927507"/>
    <w:rsid w:val="1893A3BA"/>
    <w:rsid w:val="1896AF1A"/>
    <w:rsid w:val="189D3875"/>
    <w:rsid w:val="18BCA08E"/>
    <w:rsid w:val="18BDBE3B"/>
    <w:rsid w:val="18C1CE05"/>
    <w:rsid w:val="18D3AC75"/>
    <w:rsid w:val="18D68A73"/>
    <w:rsid w:val="18DB548D"/>
    <w:rsid w:val="18E6BF59"/>
    <w:rsid w:val="18EC8211"/>
    <w:rsid w:val="18F617F2"/>
    <w:rsid w:val="18FC50FE"/>
    <w:rsid w:val="1901163E"/>
    <w:rsid w:val="190B8E13"/>
    <w:rsid w:val="195263ED"/>
    <w:rsid w:val="19537F1D"/>
    <w:rsid w:val="19551395"/>
    <w:rsid w:val="196A81DC"/>
    <w:rsid w:val="197C901F"/>
    <w:rsid w:val="198D2920"/>
    <w:rsid w:val="19933047"/>
    <w:rsid w:val="1993AB24"/>
    <w:rsid w:val="199EAC56"/>
    <w:rsid w:val="19A28766"/>
    <w:rsid w:val="19AA34C7"/>
    <w:rsid w:val="19AF7C18"/>
    <w:rsid w:val="19CDD2C0"/>
    <w:rsid w:val="19D2E400"/>
    <w:rsid w:val="19D4FD20"/>
    <w:rsid w:val="19D8820E"/>
    <w:rsid w:val="19D964F5"/>
    <w:rsid w:val="19F11BD6"/>
    <w:rsid w:val="19FAB525"/>
    <w:rsid w:val="19FE83C5"/>
    <w:rsid w:val="1A058440"/>
    <w:rsid w:val="1A071F67"/>
    <w:rsid w:val="1A0EAEE7"/>
    <w:rsid w:val="1A1DEADC"/>
    <w:rsid w:val="1A26A480"/>
    <w:rsid w:val="1A2EA127"/>
    <w:rsid w:val="1A32BAB4"/>
    <w:rsid w:val="1A3C096A"/>
    <w:rsid w:val="1A4BEF5E"/>
    <w:rsid w:val="1A4EB1AD"/>
    <w:rsid w:val="1A522ED6"/>
    <w:rsid w:val="1A540F71"/>
    <w:rsid w:val="1A5E7856"/>
    <w:rsid w:val="1A680AAB"/>
    <w:rsid w:val="1A6B306C"/>
    <w:rsid w:val="1A6DDC7C"/>
    <w:rsid w:val="1A73207F"/>
    <w:rsid w:val="1A7398ED"/>
    <w:rsid w:val="1A8280E4"/>
    <w:rsid w:val="1A87C69B"/>
    <w:rsid w:val="1A88863A"/>
    <w:rsid w:val="1A9176F6"/>
    <w:rsid w:val="1A9D4FE9"/>
    <w:rsid w:val="1A9F284F"/>
    <w:rsid w:val="1AA2E857"/>
    <w:rsid w:val="1AAE7E20"/>
    <w:rsid w:val="1AB78D45"/>
    <w:rsid w:val="1ABC1EEB"/>
    <w:rsid w:val="1AC785AE"/>
    <w:rsid w:val="1ACCB314"/>
    <w:rsid w:val="1AD21755"/>
    <w:rsid w:val="1ADFCD5D"/>
    <w:rsid w:val="1AF41519"/>
    <w:rsid w:val="1AF5CB7F"/>
    <w:rsid w:val="1AFC3ED5"/>
    <w:rsid w:val="1B003153"/>
    <w:rsid w:val="1B0437C8"/>
    <w:rsid w:val="1B11C86C"/>
    <w:rsid w:val="1B137E4D"/>
    <w:rsid w:val="1B1A1F46"/>
    <w:rsid w:val="1B1A3D78"/>
    <w:rsid w:val="1B1D91C3"/>
    <w:rsid w:val="1B1EE2C4"/>
    <w:rsid w:val="1B22C5C6"/>
    <w:rsid w:val="1B23585E"/>
    <w:rsid w:val="1B2B1A16"/>
    <w:rsid w:val="1B2BC0C0"/>
    <w:rsid w:val="1B2E703C"/>
    <w:rsid w:val="1B31BC9F"/>
    <w:rsid w:val="1B33891F"/>
    <w:rsid w:val="1B41308E"/>
    <w:rsid w:val="1B42A1C5"/>
    <w:rsid w:val="1B42D721"/>
    <w:rsid w:val="1B4B4C65"/>
    <w:rsid w:val="1B4F3EE0"/>
    <w:rsid w:val="1B596BD5"/>
    <w:rsid w:val="1B5C16FB"/>
    <w:rsid w:val="1B5D8CE9"/>
    <w:rsid w:val="1B65A261"/>
    <w:rsid w:val="1B68F8C5"/>
    <w:rsid w:val="1B6BC4A1"/>
    <w:rsid w:val="1B6C89D3"/>
    <w:rsid w:val="1B6E5103"/>
    <w:rsid w:val="1B75EF9E"/>
    <w:rsid w:val="1B7E2C5D"/>
    <w:rsid w:val="1B9405B9"/>
    <w:rsid w:val="1B980B93"/>
    <w:rsid w:val="1BB8C81A"/>
    <w:rsid w:val="1BC17828"/>
    <w:rsid w:val="1BC632FA"/>
    <w:rsid w:val="1BC791D6"/>
    <w:rsid w:val="1BCF0D2F"/>
    <w:rsid w:val="1BECDB76"/>
    <w:rsid w:val="1BEEC96F"/>
    <w:rsid w:val="1BF319F3"/>
    <w:rsid w:val="1BF690F3"/>
    <w:rsid w:val="1BF7842B"/>
    <w:rsid w:val="1C0846B3"/>
    <w:rsid w:val="1C0C19E0"/>
    <w:rsid w:val="1C15F582"/>
    <w:rsid w:val="1C171077"/>
    <w:rsid w:val="1C1D9115"/>
    <w:rsid w:val="1C228702"/>
    <w:rsid w:val="1C28A1B9"/>
    <w:rsid w:val="1C2D8055"/>
    <w:rsid w:val="1C350811"/>
    <w:rsid w:val="1C4D2C9E"/>
    <w:rsid w:val="1C5D8D35"/>
    <w:rsid w:val="1C65D52F"/>
    <w:rsid w:val="1C702643"/>
    <w:rsid w:val="1C7080B7"/>
    <w:rsid w:val="1C7EB2FC"/>
    <w:rsid w:val="1CB7967E"/>
    <w:rsid w:val="1CBA1F14"/>
    <w:rsid w:val="1CBC3ABE"/>
    <w:rsid w:val="1CC7A218"/>
    <w:rsid w:val="1CDF126D"/>
    <w:rsid w:val="1CF2BFC8"/>
    <w:rsid w:val="1CF47928"/>
    <w:rsid w:val="1CF528A0"/>
    <w:rsid w:val="1CFCB1B9"/>
    <w:rsid w:val="1D0B17CA"/>
    <w:rsid w:val="1D0B82F9"/>
    <w:rsid w:val="1D11986D"/>
    <w:rsid w:val="1D130040"/>
    <w:rsid w:val="1D1FD24A"/>
    <w:rsid w:val="1D20E75C"/>
    <w:rsid w:val="1D21BA84"/>
    <w:rsid w:val="1D261AA4"/>
    <w:rsid w:val="1D275AC7"/>
    <w:rsid w:val="1D284D0A"/>
    <w:rsid w:val="1D2C500A"/>
    <w:rsid w:val="1D2CA5CE"/>
    <w:rsid w:val="1D318184"/>
    <w:rsid w:val="1D3CC97B"/>
    <w:rsid w:val="1D401055"/>
    <w:rsid w:val="1D46FD00"/>
    <w:rsid w:val="1D496854"/>
    <w:rsid w:val="1D537D68"/>
    <w:rsid w:val="1D5E0D35"/>
    <w:rsid w:val="1D7A632A"/>
    <w:rsid w:val="1D842540"/>
    <w:rsid w:val="1D8EF6D4"/>
    <w:rsid w:val="1D97045D"/>
    <w:rsid w:val="1DA36CC5"/>
    <w:rsid w:val="1DAB1EAA"/>
    <w:rsid w:val="1DAB674E"/>
    <w:rsid w:val="1DAFDDCD"/>
    <w:rsid w:val="1DB674D5"/>
    <w:rsid w:val="1DC04FFA"/>
    <w:rsid w:val="1DC2BAAC"/>
    <w:rsid w:val="1DC739D0"/>
    <w:rsid w:val="1DD6BE16"/>
    <w:rsid w:val="1DD71BF5"/>
    <w:rsid w:val="1DDA52FA"/>
    <w:rsid w:val="1DE740CA"/>
    <w:rsid w:val="1DE9B37B"/>
    <w:rsid w:val="1DEF486D"/>
    <w:rsid w:val="1DF09781"/>
    <w:rsid w:val="1DF82712"/>
    <w:rsid w:val="1E12A09E"/>
    <w:rsid w:val="1E18CDD8"/>
    <w:rsid w:val="1E19FE10"/>
    <w:rsid w:val="1E1CB0C0"/>
    <w:rsid w:val="1E1D41D8"/>
    <w:rsid w:val="1E1DE460"/>
    <w:rsid w:val="1E248887"/>
    <w:rsid w:val="1E24EB01"/>
    <w:rsid w:val="1E2724F3"/>
    <w:rsid w:val="1E3F0938"/>
    <w:rsid w:val="1E4D4631"/>
    <w:rsid w:val="1E4F450F"/>
    <w:rsid w:val="1E5200DB"/>
    <w:rsid w:val="1E5D8F20"/>
    <w:rsid w:val="1E6015B9"/>
    <w:rsid w:val="1E72B7B2"/>
    <w:rsid w:val="1E782917"/>
    <w:rsid w:val="1E7D39A7"/>
    <w:rsid w:val="1E85AEAC"/>
    <w:rsid w:val="1E86AED9"/>
    <w:rsid w:val="1E89F8C9"/>
    <w:rsid w:val="1E91B58B"/>
    <w:rsid w:val="1E996FB7"/>
    <w:rsid w:val="1E9B2DDF"/>
    <w:rsid w:val="1E9C2C5F"/>
    <w:rsid w:val="1EA17FD1"/>
    <w:rsid w:val="1EA463BE"/>
    <w:rsid w:val="1EA79A9E"/>
    <w:rsid w:val="1EA80346"/>
    <w:rsid w:val="1EB3B996"/>
    <w:rsid w:val="1EBFBC20"/>
    <w:rsid w:val="1ED55A31"/>
    <w:rsid w:val="1ED67175"/>
    <w:rsid w:val="1ED76C8D"/>
    <w:rsid w:val="1EDEDF03"/>
    <w:rsid w:val="1EDFCC23"/>
    <w:rsid w:val="1EE79B5E"/>
    <w:rsid w:val="1EE9F267"/>
    <w:rsid w:val="1EF4BA75"/>
    <w:rsid w:val="1EF74415"/>
    <w:rsid w:val="1EFC9EE3"/>
    <w:rsid w:val="1F04FBAE"/>
    <w:rsid w:val="1F06E1AB"/>
    <w:rsid w:val="1F071805"/>
    <w:rsid w:val="1F0806F3"/>
    <w:rsid w:val="1F1356A5"/>
    <w:rsid w:val="1F1F7044"/>
    <w:rsid w:val="1F21496A"/>
    <w:rsid w:val="1F21ED19"/>
    <w:rsid w:val="1F3A200B"/>
    <w:rsid w:val="1F40DA24"/>
    <w:rsid w:val="1F426AA6"/>
    <w:rsid w:val="1F4F1271"/>
    <w:rsid w:val="1F4FB99C"/>
    <w:rsid w:val="1F5782AA"/>
    <w:rsid w:val="1F5C9FBE"/>
    <w:rsid w:val="1F6448F6"/>
    <w:rsid w:val="1F6D01EB"/>
    <w:rsid w:val="1F6E344A"/>
    <w:rsid w:val="1F72FCFC"/>
    <w:rsid w:val="1F884BB7"/>
    <w:rsid w:val="1F890B40"/>
    <w:rsid w:val="1F980232"/>
    <w:rsid w:val="1FAD128A"/>
    <w:rsid w:val="1FB23F65"/>
    <w:rsid w:val="1FB3AC31"/>
    <w:rsid w:val="1FB918BD"/>
    <w:rsid w:val="1FBBDF78"/>
    <w:rsid w:val="1FC57E72"/>
    <w:rsid w:val="1FC7B9B8"/>
    <w:rsid w:val="1FEB09AF"/>
    <w:rsid w:val="1FFAE9BB"/>
    <w:rsid w:val="1FFAF5EA"/>
    <w:rsid w:val="1FFCBB3C"/>
    <w:rsid w:val="20078308"/>
    <w:rsid w:val="2008911B"/>
    <w:rsid w:val="2009D83A"/>
    <w:rsid w:val="200AEA26"/>
    <w:rsid w:val="201AB94A"/>
    <w:rsid w:val="20218B5B"/>
    <w:rsid w:val="202ED0D8"/>
    <w:rsid w:val="20306574"/>
    <w:rsid w:val="2036C272"/>
    <w:rsid w:val="2042865B"/>
    <w:rsid w:val="2046AB2E"/>
    <w:rsid w:val="204E8212"/>
    <w:rsid w:val="20554FC3"/>
    <w:rsid w:val="2062A706"/>
    <w:rsid w:val="20658ECE"/>
    <w:rsid w:val="206B5B4A"/>
    <w:rsid w:val="206F9D42"/>
    <w:rsid w:val="2076FCCF"/>
    <w:rsid w:val="2079AA13"/>
    <w:rsid w:val="20820F8B"/>
    <w:rsid w:val="2084A9AA"/>
    <w:rsid w:val="2085358C"/>
    <w:rsid w:val="208DB245"/>
    <w:rsid w:val="2090770D"/>
    <w:rsid w:val="209E4C86"/>
    <w:rsid w:val="20A2EC9F"/>
    <w:rsid w:val="20A88BEC"/>
    <w:rsid w:val="20ACD73F"/>
    <w:rsid w:val="20AFDD5A"/>
    <w:rsid w:val="20B12FC0"/>
    <w:rsid w:val="20B469F5"/>
    <w:rsid w:val="20B6963B"/>
    <w:rsid w:val="20B77C9C"/>
    <w:rsid w:val="20B86999"/>
    <w:rsid w:val="20BB0195"/>
    <w:rsid w:val="20BEF4CD"/>
    <w:rsid w:val="20E0F280"/>
    <w:rsid w:val="20E6EFD4"/>
    <w:rsid w:val="20EF9680"/>
    <w:rsid w:val="20FA5CD9"/>
    <w:rsid w:val="20FD0F23"/>
    <w:rsid w:val="20FF6177"/>
    <w:rsid w:val="2104AC56"/>
    <w:rsid w:val="2107225A"/>
    <w:rsid w:val="2116EF59"/>
    <w:rsid w:val="211F10C7"/>
    <w:rsid w:val="2121C98A"/>
    <w:rsid w:val="2125FDD8"/>
    <w:rsid w:val="2134A74B"/>
    <w:rsid w:val="21366FEB"/>
    <w:rsid w:val="21465236"/>
    <w:rsid w:val="2159F01E"/>
    <w:rsid w:val="215A279F"/>
    <w:rsid w:val="215E787E"/>
    <w:rsid w:val="215F9231"/>
    <w:rsid w:val="2162C647"/>
    <w:rsid w:val="217BCB7D"/>
    <w:rsid w:val="2184648B"/>
    <w:rsid w:val="218A0606"/>
    <w:rsid w:val="218CB832"/>
    <w:rsid w:val="2194DF73"/>
    <w:rsid w:val="21987868"/>
    <w:rsid w:val="2199D004"/>
    <w:rsid w:val="21A39F63"/>
    <w:rsid w:val="21A8BD45"/>
    <w:rsid w:val="21B14EC6"/>
    <w:rsid w:val="21B8C037"/>
    <w:rsid w:val="21BC89DF"/>
    <w:rsid w:val="21BF172F"/>
    <w:rsid w:val="21BFF64E"/>
    <w:rsid w:val="21C0EF3B"/>
    <w:rsid w:val="21E73318"/>
    <w:rsid w:val="21E7D5B7"/>
    <w:rsid w:val="21F2B2A9"/>
    <w:rsid w:val="21F5EB66"/>
    <w:rsid w:val="21FC7CE6"/>
    <w:rsid w:val="21FE4B52"/>
    <w:rsid w:val="22119D38"/>
    <w:rsid w:val="221E061B"/>
    <w:rsid w:val="22212EAC"/>
    <w:rsid w:val="22244482"/>
    <w:rsid w:val="22252E02"/>
    <w:rsid w:val="222D7617"/>
    <w:rsid w:val="2245203C"/>
    <w:rsid w:val="22579F59"/>
    <w:rsid w:val="225F18BC"/>
    <w:rsid w:val="226DF88A"/>
    <w:rsid w:val="226FAA33"/>
    <w:rsid w:val="22743113"/>
    <w:rsid w:val="228010B6"/>
    <w:rsid w:val="228B937E"/>
    <w:rsid w:val="228D9EA9"/>
    <w:rsid w:val="229A796D"/>
    <w:rsid w:val="229E8161"/>
    <w:rsid w:val="22A62F41"/>
    <w:rsid w:val="22AA4F06"/>
    <w:rsid w:val="22AA7CF9"/>
    <w:rsid w:val="22B4919D"/>
    <w:rsid w:val="22B90D7A"/>
    <w:rsid w:val="22BA6CB3"/>
    <w:rsid w:val="22BD8F73"/>
    <w:rsid w:val="22C8B3A6"/>
    <w:rsid w:val="22D449C6"/>
    <w:rsid w:val="22DA9D04"/>
    <w:rsid w:val="22E4DA16"/>
    <w:rsid w:val="22F78EFC"/>
    <w:rsid w:val="2304917E"/>
    <w:rsid w:val="2308AE9B"/>
    <w:rsid w:val="230BD200"/>
    <w:rsid w:val="231098D7"/>
    <w:rsid w:val="231C3824"/>
    <w:rsid w:val="231C535A"/>
    <w:rsid w:val="23217A66"/>
    <w:rsid w:val="2323FB08"/>
    <w:rsid w:val="23265E26"/>
    <w:rsid w:val="2340AA5D"/>
    <w:rsid w:val="234605DC"/>
    <w:rsid w:val="234D5643"/>
    <w:rsid w:val="2353964B"/>
    <w:rsid w:val="23552F6A"/>
    <w:rsid w:val="235FB85C"/>
    <w:rsid w:val="236D2277"/>
    <w:rsid w:val="2373D26E"/>
    <w:rsid w:val="2375D363"/>
    <w:rsid w:val="23780391"/>
    <w:rsid w:val="238A4576"/>
    <w:rsid w:val="2394311C"/>
    <w:rsid w:val="2396F473"/>
    <w:rsid w:val="239B75D7"/>
    <w:rsid w:val="239E2D97"/>
    <w:rsid w:val="23AC6518"/>
    <w:rsid w:val="23AD15FD"/>
    <w:rsid w:val="23B8C4B3"/>
    <w:rsid w:val="23B94056"/>
    <w:rsid w:val="23C22D65"/>
    <w:rsid w:val="23C96FE8"/>
    <w:rsid w:val="23E9E276"/>
    <w:rsid w:val="23EB9F36"/>
    <w:rsid w:val="23F648AB"/>
    <w:rsid w:val="24069993"/>
    <w:rsid w:val="240C7A1B"/>
    <w:rsid w:val="24104BB6"/>
    <w:rsid w:val="2421F7DA"/>
    <w:rsid w:val="2422587E"/>
    <w:rsid w:val="242692A3"/>
    <w:rsid w:val="2428E30D"/>
    <w:rsid w:val="242B271A"/>
    <w:rsid w:val="242B4D50"/>
    <w:rsid w:val="242B65FA"/>
    <w:rsid w:val="24314D96"/>
    <w:rsid w:val="243F142B"/>
    <w:rsid w:val="24494F84"/>
    <w:rsid w:val="2450DB1C"/>
    <w:rsid w:val="24544E6D"/>
    <w:rsid w:val="245BF372"/>
    <w:rsid w:val="2462FCDC"/>
    <w:rsid w:val="2476E996"/>
    <w:rsid w:val="24841866"/>
    <w:rsid w:val="248FCBAD"/>
    <w:rsid w:val="24931755"/>
    <w:rsid w:val="2496058A"/>
    <w:rsid w:val="249D57FD"/>
    <w:rsid w:val="24AC8E33"/>
    <w:rsid w:val="24AE05EF"/>
    <w:rsid w:val="24BDF403"/>
    <w:rsid w:val="24BFD62B"/>
    <w:rsid w:val="24CFF5B5"/>
    <w:rsid w:val="24D4FB70"/>
    <w:rsid w:val="24DABBB1"/>
    <w:rsid w:val="24EC3BDC"/>
    <w:rsid w:val="24F02512"/>
    <w:rsid w:val="24F1604B"/>
    <w:rsid w:val="24FC71D0"/>
    <w:rsid w:val="250CF8CB"/>
    <w:rsid w:val="250D54B6"/>
    <w:rsid w:val="25155A18"/>
    <w:rsid w:val="251E0045"/>
    <w:rsid w:val="251E09C9"/>
    <w:rsid w:val="25248C59"/>
    <w:rsid w:val="2534E322"/>
    <w:rsid w:val="254183BA"/>
    <w:rsid w:val="254466A2"/>
    <w:rsid w:val="25458DA5"/>
    <w:rsid w:val="254BE744"/>
    <w:rsid w:val="255783BC"/>
    <w:rsid w:val="255A5930"/>
    <w:rsid w:val="256342C9"/>
    <w:rsid w:val="256CF1B2"/>
    <w:rsid w:val="2590DD21"/>
    <w:rsid w:val="259C816E"/>
    <w:rsid w:val="25A0B3E2"/>
    <w:rsid w:val="25A545EA"/>
    <w:rsid w:val="25AB7B8E"/>
    <w:rsid w:val="25ACC381"/>
    <w:rsid w:val="25B098F5"/>
    <w:rsid w:val="25B957E8"/>
    <w:rsid w:val="25C87AF3"/>
    <w:rsid w:val="25DCFB55"/>
    <w:rsid w:val="25EE5867"/>
    <w:rsid w:val="26075E59"/>
    <w:rsid w:val="260840AD"/>
    <w:rsid w:val="260BA940"/>
    <w:rsid w:val="2611982D"/>
    <w:rsid w:val="2614E266"/>
    <w:rsid w:val="261A5CF8"/>
    <w:rsid w:val="2621CA0F"/>
    <w:rsid w:val="2624D7B6"/>
    <w:rsid w:val="262E2841"/>
    <w:rsid w:val="26372E80"/>
    <w:rsid w:val="263822B1"/>
    <w:rsid w:val="264503AB"/>
    <w:rsid w:val="2647F19F"/>
    <w:rsid w:val="264B0F79"/>
    <w:rsid w:val="265774AF"/>
    <w:rsid w:val="2657899E"/>
    <w:rsid w:val="267217D2"/>
    <w:rsid w:val="2674FD85"/>
    <w:rsid w:val="267956C4"/>
    <w:rsid w:val="26952D9D"/>
    <w:rsid w:val="269762D7"/>
    <w:rsid w:val="269A5253"/>
    <w:rsid w:val="269B525B"/>
    <w:rsid w:val="26A2175B"/>
    <w:rsid w:val="26BCF880"/>
    <w:rsid w:val="26C43077"/>
    <w:rsid w:val="26C779E7"/>
    <w:rsid w:val="26CE5781"/>
    <w:rsid w:val="26CFB095"/>
    <w:rsid w:val="26D72E52"/>
    <w:rsid w:val="26D954D2"/>
    <w:rsid w:val="26DAC3FC"/>
    <w:rsid w:val="26E1B4CC"/>
    <w:rsid w:val="26E24A82"/>
    <w:rsid w:val="26E4AD16"/>
    <w:rsid w:val="26EF8C6D"/>
    <w:rsid w:val="26F10D2C"/>
    <w:rsid w:val="26F85611"/>
    <w:rsid w:val="26FD4440"/>
    <w:rsid w:val="270556A7"/>
    <w:rsid w:val="271948D7"/>
    <w:rsid w:val="27215CC5"/>
    <w:rsid w:val="27247AA4"/>
    <w:rsid w:val="27296BE6"/>
    <w:rsid w:val="272FABBC"/>
    <w:rsid w:val="273CF0A2"/>
    <w:rsid w:val="273DE222"/>
    <w:rsid w:val="27441BEE"/>
    <w:rsid w:val="276F6E66"/>
    <w:rsid w:val="276FFE60"/>
    <w:rsid w:val="27764D57"/>
    <w:rsid w:val="27792801"/>
    <w:rsid w:val="277F3584"/>
    <w:rsid w:val="27811C06"/>
    <w:rsid w:val="278C6F68"/>
    <w:rsid w:val="279D429C"/>
    <w:rsid w:val="279DD660"/>
    <w:rsid w:val="279E636C"/>
    <w:rsid w:val="27A2CD53"/>
    <w:rsid w:val="27AA7559"/>
    <w:rsid w:val="27B5C51E"/>
    <w:rsid w:val="27B6B25D"/>
    <w:rsid w:val="27C19F10"/>
    <w:rsid w:val="27C9ED08"/>
    <w:rsid w:val="27D21116"/>
    <w:rsid w:val="27D4805E"/>
    <w:rsid w:val="27D4F724"/>
    <w:rsid w:val="27DD4478"/>
    <w:rsid w:val="27E44CB5"/>
    <w:rsid w:val="27E9BD4D"/>
    <w:rsid w:val="27ED31E0"/>
    <w:rsid w:val="27FE0CCB"/>
    <w:rsid w:val="27FEF7D2"/>
    <w:rsid w:val="280C7070"/>
    <w:rsid w:val="280CB850"/>
    <w:rsid w:val="2816CBC0"/>
    <w:rsid w:val="28181C6E"/>
    <w:rsid w:val="28182758"/>
    <w:rsid w:val="281B8A69"/>
    <w:rsid w:val="281DA893"/>
    <w:rsid w:val="282248F2"/>
    <w:rsid w:val="2823808F"/>
    <w:rsid w:val="28288AF7"/>
    <w:rsid w:val="28294DC9"/>
    <w:rsid w:val="282C4EA6"/>
    <w:rsid w:val="2832E321"/>
    <w:rsid w:val="2840AEB4"/>
    <w:rsid w:val="2840D12A"/>
    <w:rsid w:val="2840DAF3"/>
    <w:rsid w:val="28473C46"/>
    <w:rsid w:val="284865C2"/>
    <w:rsid w:val="284FE3F3"/>
    <w:rsid w:val="2854CD92"/>
    <w:rsid w:val="285C59AE"/>
    <w:rsid w:val="285D67C1"/>
    <w:rsid w:val="2879991A"/>
    <w:rsid w:val="289EFF58"/>
    <w:rsid w:val="28A637AF"/>
    <w:rsid w:val="28ABE585"/>
    <w:rsid w:val="28AD5585"/>
    <w:rsid w:val="28B3E598"/>
    <w:rsid w:val="28BC1C04"/>
    <w:rsid w:val="28C62250"/>
    <w:rsid w:val="28D59700"/>
    <w:rsid w:val="28DEF801"/>
    <w:rsid w:val="28E0836D"/>
    <w:rsid w:val="28E1FCBD"/>
    <w:rsid w:val="28E6E7B4"/>
    <w:rsid w:val="28EE3283"/>
    <w:rsid w:val="28F7B8A8"/>
    <w:rsid w:val="28FE6397"/>
    <w:rsid w:val="28FFAA2F"/>
    <w:rsid w:val="2903408E"/>
    <w:rsid w:val="29161072"/>
    <w:rsid w:val="291DB28B"/>
    <w:rsid w:val="2924F4CF"/>
    <w:rsid w:val="293ABF04"/>
    <w:rsid w:val="295255BB"/>
    <w:rsid w:val="295563C0"/>
    <w:rsid w:val="2958B0F8"/>
    <w:rsid w:val="295A1A6A"/>
    <w:rsid w:val="295B43F8"/>
    <w:rsid w:val="295F237A"/>
    <w:rsid w:val="29642F69"/>
    <w:rsid w:val="2965A725"/>
    <w:rsid w:val="296C75CA"/>
    <w:rsid w:val="296D08C8"/>
    <w:rsid w:val="297757BB"/>
    <w:rsid w:val="297F838B"/>
    <w:rsid w:val="29886882"/>
    <w:rsid w:val="29896312"/>
    <w:rsid w:val="298C8DA4"/>
    <w:rsid w:val="299BC699"/>
    <w:rsid w:val="29A92283"/>
    <w:rsid w:val="29B077F1"/>
    <w:rsid w:val="29B2049A"/>
    <w:rsid w:val="29B6EA7D"/>
    <w:rsid w:val="29C5864D"/>
    <w:rsid w:val="29C69AC4"/>
    <w:rsid w:val="29C6F768"/>
    <w:rsid w:val="29CEDE40"/>
    <w:rsid w:val="29CF0407"/>
    <w:rsid w:val="29E50C7A"/>
    <w:rsid w:val="29E5F711"/>
    <w:rsid w:val="29EBEE60"/>
    <w:rsid w:val="29F2FFD1"/>
    <w:rsid w:val="2A02A414"/>
    <w:rsid w:val="2A0B47CE"/>
    <w:rsid w:val="2A1FD833"/>
    <w:rsid w:val="2A2167D7"/>
    <w:rsid w:val="2A318DB4"/>
    <w:rsid w:val="2A33BB59"/>
    <w:rsid w:val="2A3CCD6F"/>
    <w:rsid w:val="2A4176FB"/>
    <w:rsid w:val="2A496082"/>
    <w:rsid w:val="2A4B7537"/>
    <w:rsid w:val="2A4BD584"/>
    <w:rsid w:val="2A546C14"/>
    <w:rsid w:val="2A550CA7"/>
    <w:rsid w:val="2A627694"/>
    <w:rsid w:val="2A6880F0"/>
    <w:rsid w:val="2A68BDEC"/>
    <w:rsid w:val="2A77A9FF"/>
    <w:rsid w:val="2A79BA8E"/>
    <w:rsid w:val="2A8D64D5"/>
    <w:rsid w:val="2A96290E"/>
    <w:rsid w:val="2AA4FE99"/>
    <w:rsid w:val="2AA78114"/>
    <w:rsid w:val="2AAC4DBC"/>
    <w:rsid w:val="2AAD2865"/>
    <w:rsid w:val="2AB1FBE4"/>
    <w:rsid w:val="2AB2CDF8"/>
    <w:rsid w:val="2AB4F6EC"/>
    <w:rsid w:val="2AB6038D"/>
    <w:rsid w:val="2AB683A6"/>
    <w:rsid w:val="2AB819DE"/>
    <w:rsid w:val="2ABA60DD"/>
    <w:rsid w:val="2ABDEFAE"/>
    <w:rsid w:val="2AC0D44D"/>
    <w:rsid w:val="2AC93276"/>
    <w:rsid w:val="2ACA0058"/>
    <w:rsid w:val="2ACAB7F5"/>
    <w:rsid w:val="2AD229B7"/>
    <w:rsid w:val="2AD8F804"/>
    <w:rsid w:val="2AEB90AE"/>
    <w:rsid w:val="2AF45D77"/>
    <w:rsid w:val="2AF9F2FE"/>
    <w:rsid w:val="2AFE593F"/>
    <w:rsid w:val="2B029BB7"/>
    <w:rsid w:val="2B10F42F"/>
    <w:rsid w:val="2B1C2C40"/>
    <w:rsid w:val="2B289C3E"/>
    <w:rsid w:val="2B29075D"/>
    <w:rsid w:val="2B2CBE14"/>
    <w:rsid w:val="2B337CCA"/>
    <w:rsid w:val="2B36A2DC"/>
    <w:rsid w:val="2B3B0238"/>
    <w:rsid w:val="2B3C0C13"/>
    <w:rsid w:val="2B3F4C36"/>
    <w:rsid w:val="2B41CBEF"/>
    <w:rsid w:val="2B439FB4"/>
    <w:rsid w:val="2B46658E"/>
    <w:rsid w:val="2B4A27AD"/>
    <w:rsid w:val="2B4D5015"/>
    <w:rsid w:val="2B51729F"/>
    <w:rsid w:val="2B650C59"/>
    <w:rsid w:val="2B673C2D"/>
    <w:rsid w:val="2B6B9E88"/>
    <w:rsid w:val="2B6C6548"/>
    <w:rsid w:val="2B71570E"/>
    <w:rsid w:val="2B74DA05"/>
    <w:rsid w:val="2B807C9F"/>
    <w:rsid w:val="2B860ABB"/>
    <w:rsid w:val="2B862D95"/>
    <w:rsid w:val="2B8AA7A9"/>
    <w:rsid w:val="2B921CF7"/>
    <w:rsid w:val="2BA12620"/>
    <w:rsid w:val="2BA4B511"/>
    <w:rsid w:val="2BB07486"/>
    <w:rsid w:val="2BC163BF"/>
    <w:rsid w:val="2BC6A9AB"/>
    <w:rsid w:val="2BC8E0E9"/>
    <w:rsid w:val="2BCDD84E"/>
    <w:rsid w:val="2BD6F9D5"/>
    <w:rsid w:val="2BEC3C65"/>
    <w:rsid w:val="2BF9D365"/>
    <w:rsid w:val="2BFEC784"/>
    <w:rsid w:val="2C038272"/>
    <w:rsid w:val="2C05E8BD"/>
    <w:rsid w:val="2C087ECC"/>
    <w:rsid w:val="2C09235A"/>
    <w:rsid w:val="2C101D75"/>
    <w:rsid w:val="2C1BDAB9"/>
    <w:rsid w:val="2C1D0CB0"/>
    <w:rsid w:val="2C239632"/>
    <w:rsid w:val="2C2BC947"/>
    <w:rsid w:val="2C2E0682"/>
    <w:rsid w:val="2C2E1C4D"/>
    <w:rsid w:val="2C323DDB"/>
    <w:rsid w:val="2C44B2FA"/>
    <w:rsid w:val="2C46402C"/>
    <w:rsid w:val="2C560A67"/>
    <w:rsid w:val="2C63BB8A"/>
    <w:rsid w:val="2C776F37"/>
    <w:rsid w:val="2C7E6A34"/>
    <w:rsid w:val="2C8024BC"/>
    <w:rsid w:val="2C883489"/>
    <w:rsid w:val="2C96E0DE"/>
    <w:rsid w:val="2C979719"/>
    <w:rsid w:val="2CA08D51"/>
    <w:rsid w:val="2CA29D84"/>
    <w:rsid w:val="2CA46F14"/>
    <w:rsid w:val="2CA72356"/>
    <w:rsid w:val="2CAD6474"/>
    <w:rsid w:val="2CBA0212"/>
    <w:rsid w:val="2CC023DF"/>
    <w:rsid w:val="2CC0E419"/>
    <w:rsid w:val="2CC102C8"/>
    <w:rsid w:val="2CC274BC"/>
    <w:rsid w:val="2CC36E85"/>
    <w:rsid w:val="2CC94D35"/>
    <w:rsid w:val="2CCD4038"/>
    <w:rsid w:val="2CD0FF97"/>
    <w:rsid w:val="2CDBF794"/>
    <w:rsid w:val="2CE81C68"/>
    <w:rsid w:val="2CEDDF4A"/>
    <w:rsid w:val="2CEF6E89"/>
    <w:rsid w:val="2CF02DD2"/>
    <w:rsid w:val="2CF3519F"/>
    <w:rsid w:val="2CFAA076"/>
    <w:rsid w:val="2CFB76A1"/>
    <w:rsid w:val="2D01EB64"/>
    <w:rsid w:val="2D0A0BDF"/>
    <w:rsid w:val="2D0E75A2"/>
    <w:rsid w:val="2D192882"/>
    <w:rsid w:val="2D1973B1"/>
    <w:rsid w:val="2D19924A"/>
    <w:rsid w:val="2D1A9C13"/>
    <w:rsid w:val="2D3F4D4C"/>
    <w:rsid w:val="2D41AC04"/>
    <w:rsid w:val="2D485C64"/>
    <w:rsid w:val="2D523EDF"/>
    <w:rsid w:val="2D53F8DB"/>
    <w:rsid w:val="2D565E6B"/>
    <w:rsid w:val="2D570E34"/>
    <w:rsid w:val="2D67C319"/>
    <w:rsid w:val="2D732F06"/>
    <w:rsid w:val="2D8A9EC2"/>
    <w:rsid w:val="2D8C757D"/>
    <w:rsid w:val="2D967D82"/>
    <w:rsid w:val="2D9A11BC"/>
    <w:rsid w:val="2DA000AD"/>
    <w:rsid w:val="2DA2049E"/>
    <w:rsid w:val="2DAD7958"/>
    <w:rsid w:val="2DB09750"/>
    <w:rsid w:val="2DB0B17A"/>
    <w:rsid w:val="2DB3A046"/>
    <w:rsid w:val="2DC73433"/>
    <w:rsid w:val="2DD5BA5B"/>
    <w:rsid w:val="2DE283D2"/>
    <w:rsid w:val="2DEA46D1"/>
    <w:rsid w:val="2DEB276F"/>
    <w:rsid w:val="2DEE9905"/>
    <w:rsid w:val="2DEF6D1C"/>
    <w:rsid w:val="2DFAAFB5"/>
    <w:rsid w:val="2E03BFF2"/>
    <w:rsid w:val="2E05236C"/>
    <w:rsid w:val="2E069D38"/>
    <w:rsid w:val="2E0A1B1D"/>
    <w:rsid w:val="2E0C0FF3"/>
    <w:rsid w:val="2E13E491"/>
    <w:rsid w:val="2E1E562E"/>
    <w:rsid w:val="2E25DC96"/>
    <w:rsid w:val="2E38B232"/>
    <w:rsid w:val="2E3A5035"/>
    <w:rsid w:val="2E3C83E1"/>
    <w:rsid w:val="2E3E5C42"/>
    <w:rsid w:val="2E406767"/>
    <w:rsid w:val="2E474CCC"/>
    <w:rsid w:val="2E494E66"/>
    <w:rsid w:val="2E54F042"/>
    <w:rsid w:val="2E58198A"/>
    <w:rsid w:val="2E698C36"/>
    <w:rsid w:val="2E7C120B"/>
    <w:rsid w:val="2E8C6606"/>
    <w:rsid w:val="2E8DE08B"/>
    <w:rsid w:val="2E95BE9B"/>
    <w:rsid w:val="2EA2A218"/>
    <w:rsid w:val="2EACAD29"/>
    <w:rsid w:val="2EAD5348"/>
    <w:rsid w:val="2EB86928"/>
    <w:rsid w:val="2EBD1E16"/>
    <w:rsid w:val="2EBEB311"/>
    <w:rsid w:val="2ED1A8B6"/>
    <w:rsid w:val="2ED4B2EE"/>
    <w:rsid w:val="2ED93BDB"/>
    <w:rsid w:val="2EED6658"/>
    <w:rsid w:val="2EEDA04C"/>
    <w:rsid w:val="2EF6DF7D"/>
    <w:rsid w:val="2EF8564F"/>
    <w:rsid w:val="2F069707"/>
    <w:rsid w:val="2F1A3D5D"/>
    <w:rsid w:val="2F2038CD"/>
    <w:rsid w:val="2F2BEAD3"/>
    <w:rsid w:val="2F30D98C"/>
    <w:rsid w:val="2F346A68"/>
    <w:rsid w:val="2F53FE03"/>
    <w:rsid w:val="2F5808A8"/>
    <w:rsid w:val="2F59A718"/>
    <w:rsid w:val="2F5D8443"/>
    <w:rsid w:val="2F62464D"/>
    <w:rsid w:val="2F6262B5"/>
    <w:rsid w:val="2F6D4E8C"/>
    <w:rsid w:val="2F6E4CB0"/>
    <w:rsid w:val="2F70B006"/>
    <w:rsid w:val="2F77DBF9"/>
    <w:rsid w:val="2F7AA3A9"/>
    <w:rsid w:val="2F7CE618"/>
    <w:rsid w:val="2F7D314A"/>
    <w:rsid w:val="2F8534A3"/>
    <w:rsid w:val="2F8603FF"/>
    <w:rsid w:val="2F89D13A"/>
    <w:rsid w:val="2F8D8A1A"/>
    <w:rsid w:val="2FA664EF"/>
    <w:rsid w:val="2FAEC183"/>
    <w:rsid w:val="2FB7A469"/>
    <w:rsid w:val="2FBAE5CC"/>
    <w:rsid w:val="2FBEE780"/>
    <w:rsid w:val="2FD502D9"/>
    <w:rsid w:val="2FDC21C7"/>
    <w:rsid w:val="2FDF4CEA"/>
    <w:rsid w:val="2FE74E6D"/>
    <w:rsid w:val="2FEA239E"/>
    <w:rsid w:val="2FF6A364"/>
    <w:rsid w:val="2FF9A53C"/>
    <w:rsid w:val="2FFBC44E"/>
    <w:rsid w:val="30134E81"/>
    <w:rsid w:val="3019EA8F"/>
    <w:rsid w:val="3029C4DA"/>
    <w:rsid w:val="302A53F0"/>
    <w:rsid w:val="302F1FE2"/>
    <w:rsid w:val="30304532"/>
    <w:rsid w:val="304149D1"/>
    <w:rsid w:val="30424EFE"/>
    <w:rsid w:val="304AAA3C"/>
    <w:rsid w:val="304DF8A0"/>
    <w:rsid w:val="3051538A"/>
    <w:rsid w:val="30582022"/>
    <w:rsid w:val="3059ED96"/>
    <w:rsid w:val="30667D8A"/>
    <w:rsid w:val="3067E672"/>
    <w:rsid w:val="306B4C1B"/>
    <w:rsid w:val="307A2409"/>
    <w:rsid w:val="308207C7"/>
    <w:rsid w:val="3083B224"/>
    <w:rsid w:val="3090A121"/>
    <w:rsid w:val="309FC712"/>
    <w:rsid w:val="30A3D534"/>
    <w:rsid w:val="30E88326"/>
    <w:rsid w:val="30ED832D"/>
    <w:rsid w:val="30F32575"/>
    <w:rsid w:val="30F738AF"/>
    <w:rsid w:val="30F76CD8"/>
    <w:rsid w:val="30FE0843"/>
    <w:rsid w:val="30FF7982"/>
    <w:rsid w:val="30FFDDBB"/>
    <w:rsid w:val="3109B818"/>
    <w:rsid w:val="31224334"/>
    <w:rsid w:val="31268180"/>
    <w:rsid w:val="31286C4E"/>
    <w:rsid w:val="312C3B60"/>
    <w:rsid w:val="312C8649"/>
    <w:rsid w:val="312CEE3F"/>
    <w:rsid w:val="312DEDC2"/>
    <w:rsid w:val="314B79A2"/>
    <w:rsid w:val="315051D1"/>
    <w:rsid w:val="315B7D26"/>
    <w:rsid w:val="3163D282"/>
    <w:rsid w:val="31692550"/>
    <w:rsid w:val="3169AC8D"/>
    <w:rsid w:val="316BC598"/>
    <w:rsid w:val="3172A03A"/>
    <w:rsid w:val="31882BDC"/>
    <w:rsid w:val="318E375B"/>
    <w:rsid w:val="319417BD"/>
    <w:rsid w:val="3194AD87"/>
    <w:rsid w:val="319FEDC9"/>
    <w:rsid w:val="31A08BB0"/>
    <w:rsid w:val="31A5DEA8"/>
    <w:rsid w:val="31BB2B44"/>
    <w:rsid w:val="31C33DEB"/>
    <w:rsid w:val="31C6C622"/>
    <w:rsid w:val="31C78882"/>
    <w:rsid w:val="31CA41DC"/>
    <w:rsid w:val="31CE001E"/>
    <w:rsid w:val="31CECCE3"/>
    <w:rsid w:val="31D81675"/>
    <w:rsid w:val="31DB91C0"/>
    <w:rsid w:val="31E40CBE"/>
    <w:rsid w:val="31EE178A"/>
    <w:rsid w:val="31F817D5"/>
    <w:rsid w:val="31FFC3B0"/>
    <w:rsid w:val="32070C5F"/>
    <w:rsid w:val="32097F57"/>
    <w:rsid w:val="321239B1"/>
    <w:rsid w:val="32235D63"/>
    <w:rsid w:val="32261943"/>
    <w:rsid w:val="322BB3BB"/>
    <w:rsid w:val="323DC3A6"/>
    <w:rsid w:val="32435B2C"/>
    <w:rsid w:val="3254EFE3"/>
    <w:rsid w:val="32583C0B"/>
    <w:rsid w:val="325F58D8"/>
    <w:rsid w:val="32648E8A"/>
    <w:rsid w:val="326CD193"/>
    <w:rsid w:val="32788588"/>
    <w:rsid w:val="3279D85A"/>
    <w:rsid w:val="3280480E"/>
    <w:rsid w:val="32864539"/>
    <w:rsid w:val="32906BB4"/>
    <w:rsid w:val="3296785F"/>
    <w:rsid w:val="32A3EC04"/>
    <w:rsid w:val="32AD6DB5"/>
    <w:rsid w:val="32B8DE1D"/>
    <w:rsid w:val="32BC4909"/>
    <w:rsid w:val="32C6C909"/>
    <w:rsid w:val="32D45CF7"/>
    <w:rsid w:val="32D8D411"/>
    <w:rsid w:val="32E58CE7"/>
    <w:rsid w:val="32E82194"/>
    <w:rsid w:val="32EC44FF"/>
    <w:rsid w:val="32EFFD62"/>
    <w:rsid w:val="32F3B149"/>
    <w:rsid w:val="32F52BD5"/>
    <w:rsid w:val="32FED506"/>
    <w:rsid w:val="32FEDE8A"/>
    <w:rsid w:val="3309255A"/>
    <w:rsid w:val="330E8495"/>
    <w:rsid w:val="330EB414"/>
    <w:rsid w:val="33269414"/>
    <w:rsid w:val="3326D8E0"/>
    <w:rsid w:val="334847AD"/>
    <w:rsid w:val="334CB94A"/>
    <w:rsid w:val="334CDE41"/>
    <w:rsid w:val="336F0C45"/>
    <w:rsid w:val="3385DFF3"/>
    <w:rsid w:val="338BE547"/>
    <w:rsid w:val="33982D7B"/>
    <w:rsid w:val="339953DE"/>
    <w:rsid w:val="339A7EA2"/>
    <w:rsid w:val="339FD6F5"/>
    <w:rsid w:val="33AA0A4A"/>
    <w:rsid w:val="33B02A8D"/>
    <w:rsid w:val="33B0F0D4"/>
    <w:rsid w:val="33B4BF20"/>
    <w:rsid w:val="33B4C6EB"/>
    <w:rsid w:val="33C40E01"/>
    <w:rsid w:val="33D01D17"/>
    <w:rsid w:val="33D55ED2"/>
    <w:rsid w:val="33EFAA6F"/>
    <w:rsid w:val="33F11382"/>
    <w:rsid w:val="33F800ED"/>
    <w:rsid w:val="34050E9A"/>
    <w:rsid w:val="340B2904"/>
    <w:rsid w:val="3410345F"/>
    <w:rsid w:val="341713E6"/>
    <w:rsid w:val="3418BE11"/>
    <w:rsid w:val="3420BC68"/>
    <w:rsid w:val="342CB597"/>
    <w:rsid w:val="343064A6"/>
    <w:rsid w:val="344822A3"/>
    <w:rsid w:val="3452B789"/>
    <w:rsid w:val="34638D19"/>
    <w:rsid w:val="34874A9C"/>
    <w:rsid w:val="3487AC84"/>
    <w:rsid w:val="348A183D"/>
    <w:rsid w:val="348AB37E"/>
    <w:rsid w:val="348F8236"/>
    <w:rsid w:val="34B16ED5"/>
    <w:rsid w:val="34BDED4E"/>
    <w:rsid w:val="34C7ADE2"/>
    <w:rsid w:val="34CC8C7A"/>
    <w:rsid w:val="34CDC36B"/>
    <w:rsid w:val="34E3C728"/>
    <w:rsid w:val="34E93265"/>
    <w:rsid w:val="34E99A5F"/>
    <w:rsid w:val="34EC20C6"/>
    <w:rsid w:val="34EC9C5C"/>
    <w:rsid w:val="34EFF9E2"/>
    <w:rsid w:val="34FB72CD"/>
    <w:rsid w:val="3501B7ED"/>
    <w:rsid w:val="350C0FFA"/>
    <w:rsid w:val="350FE9F6"/>
    <w:rsid w:val="3519838F"/>
    <w:rsid w:val="3523BF04"/>
    <w:rsid w:val="352F0E19"/>
    <w:rsid w:val="3534F7A1"/>
    <w:rsid w:val="353C093D"/>
    <w:rsid w:val="3547D039"/>
    <w:rsid w:val="354CC9DF"/>
    <w:rsid w:val="3552B5A8"/>
    <w:rsid w:val="355AB50B"/>
    <w:rsid w:val="35725527"/>
    <w:rsid w:val="35799520"/>
    <w:rsid w:val="358A7BBA"/>
    <w:rsid w:val="3598FECF"/>
    <w:rsid w:val="35AA2A9C"/>
    <w:rsid w:val="35AF4CFD"/>
    <w:rsid w:val="35B11188"/>
    <w:rsid w:val="35B30F5D"/>
    <w:rsid w:val="35B73C91"/>
    <w:rsid w:val="35BDD43D"/>
    <w:rsid w:val="35C52DCC"/>
    <w:rsid w:val="35C927A5"/>
    <w:rsid w:val="35D330A4"/>
    <w:rsid w:val="35D8EFA1"/>
    <w:rsid w:val="35E22AFD"/>
    <w:rsid w:val="35EE82F1"/>
    <w:rsid w:val="3601A690"/>
    <w:rsid w:val="36086669"/>
    <w:rsid w:val="3613454A"/>
    <w:rsid w:val="3616B673"/>
    <w:rsid w:val="36174249"/>
    <w:rsid w:val="361D6597"/>
    <w:rsid w:val="36260924"/>
    <w:rsid w:val="36284CE6"/>
    <w:rsid w:val="3635FBDE"/>
    <w:rsid w:val="363C42F6"/>
    <w:rsid w:val="363ECAB1"/>
    <w:rsid w:val="36418C1E"/>
    <w:rsid w:val="365297BF"/>
    <w:rsid w:val="3655D1C6"/>
    <w:rsid w:val="36563205"/>
    <w:rsid w:val="36591810"/>
    <w:rsid w:val="365B3FFC"/>
    <w:rsid w:val="36634263"/>
    <w:rsid w:val="3677662A"/>
    <w:rsid w:val="367C4273"/>
    <w:rsid w:val="3683756B"/>
    <w:rsid w:val="368A1091"/>
    <w:rsid w:val="368CB84B"/>
    <w:rsid w:val="36917C04"/>
    <w:rsid w:val="3691CFBD"/>
    <w:rsid w:val="36A0FD92"/>
    <w:rsid w:val="36AB8D86"/>
    <w:rsid w:val="36AD269F"/>
    <w:rsid w:val="36B20BE0"/>
    <w:rsid w:val="36BF49B4"/>
    <w:rsid w:val="36C2FF6F"/>
    <w:rsid w:val="36C436FD"/>
    <w:rsid w:val="36CC2A5E"/>
    <w:rsid w:val="36CF528D"/>
    <w:rsid w:val="36D58165"/>
    <w:rsid w:val="36E1BA28"/>
    <w:rsid w:val="36E55AC0"/>
    <w:rsid w:val="370FC22F"/>
    <w:rsid w:val="37112088"/>
    <w:rsid w:val="371616D9"/>
    <w:rsid w:val="371734EA"/>
    <w:rsid w:val="371CD96C"/>
    <w:rsid w:val="372F8CE5"/>
    <w:rsid w:val="373B70A6"/>
    <w:rsid w:val="373FFBE7"/>
    <w:rsid w:val="3744E3B6"/>
    <w:rsid w:val="374A33FF"/>
    <w:rsid w:val="374B1E4C"/>
    <w:rsid w:val="37529939"/>
    <w:rsid w:val="37577D95"/>
    <w:rsid w:val="375CF042"/>
    <w:rsid w:val="3764FDFC"/>
    <w:rsid w:val="37692AE0"/>
    <w:rsid w:val="3771853D"/>
    <w:rsid w:val="377C73D9"/>
    <w:rsid w:val="3782B38C"/>
    <w:rsid w:val="37837B22"/>
    <w:rsid w:val="378674E2"/>
    <w:rsid w:val="378B1C55"/>
    <w:rsid w:val="378F09DC"/>
    <w:rsid w:val="379E6DCA"/>
    <w:rsid w:val="379FA682"/>
    <w:rsid w:val="37A31E50"/>
    <w:rsid w:val="37B3C8B4"/>
    <w:rsid w:val="37B8FDBE"/>
    <w:rsid w:val="37BEB353"/>
    <w:rsid w:val="37C21E50"/>
    <w:rsid w:val="37C25D46"/>
    <w:rsid w:val="37C2A43C"/>
    <w:rsid w:val="37C6115B"/>
    <w:rsid w:val="37DD42FF"/>
    <w:rsid w:val="37E040C8"/>
    <w:rsid w:val="37E2EE10"/>
    <w:rsid w:val="37E376DF"/>
    <w:rsid w:val="37E58690"/>
    <w:rsid w:val="37EC3E2A"/>
    <w:rsid w:val="37F72866"/>
    <w:rsid w:val="37FF04D7"/>
    <w:rsid w:val="38060AE0"/>
    <w:rsid w:val="380A5E94"/>
    <w:rsid w:val="380F25C4"/>
    <w:rsid w:val="38158A2C"/>
    <w:rsid w:val="3818F789"/>
    <w:rsid w:val="381B8C69"/>
    <w:rsid w:val="381DC47B"/>
    <w:rsid w:val="382083E9"/>
    <w:rsid w:val="3823453E"/>
    <w:rsid w:val="38297B39"/>
    <w:rsid w:val="3835BA39"/>
    <w:rsid w:val="3838E9AC"/>
    <w:rsid w:val="383A575C"/>
    <w:rsid w:val="383EE656"/>
    <w:rsid w:val="38453E6B"/>
    <w:rsid w:val="38488850"/>
    <w:rsid w:val="3851C3C1"/>
    <w:rsid w:val="3856EC7B"/>
    <w:rsid w:val="38602066"/>
    <w:rsid w:val="387188FE"/>
    <w:rsid w:val="38719634"/>
    <w:rsid w:val="3885E99C"/>
    <w:rsid w:val="38996A2C"/>
    <w:rsid w:val="3899823F"/>
    <w:rsid w:val="389AE694"/>
    <w:rsid w:val="389DE6E5"/>
    <w:rsid w:val="38A57647"/>
    <w:rsid w:val="38AA00CD"/>
    <w:rsid w:val="38AA79DE"/>
    <w:rsid w:val="38AA9E31"/>
    <w:rsid w:val="38B00750"/>
    <w:rsid w:val="38B46989"/>
    <w:rsid w:val="38BAE5D7"/>
    <w:rsid w:val="38CE8126"/>
    <w:rsid w:val="38D407EB"/>
    <w:rsid w:val="38DAE6D9"/>
    <w:rsid w:val="38DF9B29"/>
    <w:rsid w:val="38E95B5B"/>
    <w:rsid w:val="38EBDD5D"/>
    <w:rsid w:val="38EF6428"/>
    <w:rsid w:val="38F03C03"/>
    <w:rsid w:val="38F38646"/>
    <w:rsid w:val="38FDF28A"/>
    <w:rsid w:val="390AF23F"/>
    <w:rsid w:val="39279632"/>
    <w:rsid w:val="3934B7F5"/>
    <w:rsid w:val="39374B51"/>
    <w:rsid w:val="393B7A64"/>
    <w:rsid w:val="39482783"/>
    <w:rsid w:val="39499B51"/>
    <w:rsid w:val="3949F526"/>
    <w:rsid w:val="3953D771"/>
    <w:rsid w:val="3954387F"/>
    <w:rsid w:val="3956306B"/>
    <w:rsid w:val="395A88C5"/>
    <w:rsid w:val="395B1CD6"/>
    <w:rsid w:val="397B2ACB"/>
    <w:rsid w:val="39A40929"/>
    <w:rsid w:val="39A56406"/>
    <w:rsid w:val="39AD621C"/>
    <w:rsid w:val="39B3DE56"/>
    <w:rsid w:val="39B4EB8F"/>
    <w:rsid w:val="39B7529D"/>
    <w:rsid w:val="39BC45CD"/>
    <w:rsid w:val="39BCB3BA"/>
    <w:rsid w:val="39C32787"/>
    <w:rsid w:val="39C3B6EF"/>
    <w:rsid w:val="39C67CDA"/>
    <w:rsid w:val="39D93B89"/>
    <w:rsid w:val="39DA6A04"/>
    <w:rsid w:val="39DB2AD8"/>
    <w:rsid w:val="39E31301"/>
    <w:rsid w:val="39FF4620"/>
    <w:rsid w:val="3A022AE7"/>
    <w:rsid w:val="3A0A06C0"/>
    <w:rsid w:val="3A0A2D9E"/>
    <w:rsid w:val="3A1420C8"/>
    <w:rsid w:val="3A17F375"/>
    <w:rsid w:val="3A183527"/>
    <w:rsid w:val="3A2A148E"/>
    <w:rsid w:val="3A2D304D"/>
    <w:rsid w:val="3A379C4B"/>
    <w:rsid w:val="3A384F20"/>
    <w:rsid w:val="3A392707"/>
    <w:rsid w:val="3A3D6B87"/>
    <w:rsid w:val="3A4136EB"/>
    <w:rsid w:val="3A4499AA"/>
    <w:rsid w:val="3A489D6A"/>
    <w:rsid w:val="3A48B82A"/>
    <w:rsid w:val="3A4B7F0F"/>
    <w:rsid w:val="3A5570F3"/>
    <w:rsid w:val="3A5E0A6C"/>
    <w:rsid w:val="3A642DC6"/>
    <w:rsid w:val="3A7356B8"/>
    <w:rsid w:val="3A75F0DC"/>
    <w:rsid w:val="3A7BC913"/>
    <w:rsid w:val="3A81EC05"/>
    <w:rsid w:val="3A909559"/>
    <w:rsid w:val="3AB6941A"/>
    <w:rsid w:val="3AC42064"/>
    <w:rsid w:val="3AC59511"/>
    <w:rsid w:val="3AC86A55"/>
    <w:rsid w:val="3AC8EAAC"/>
    <w:rsid w:val="3ACA56D7"/>
    <w:rsid w:val="3ACB302C"/>
    <w:rsid w:val="3ACBB0F9"/>
    <w:rsid w:val="3ACCE45E"/>
    <w:rsid w:val="3ACFAF6F"/>
    <w:rsid w:val="3AD7A12E"/>
    <w:rsid w:val="3AEAE6CE"/>
    <w:rsid w:val="3AF139CD"/>
    <w:rsid w:val="3AFFDD59"/>
    <w:rsid w:val="3B103AE5"/>
    <w:rsid w:val="3B1042C2"/>
    <w:rsid w:val="3B159A31"/>
    <w:rsid w:val="3B18DB05"/>
    <w:rsid w:val="3B1B3AD1"/>
    <w:rsid w:val="3B1F484F"/>
    <w:rsid w:val="3B2E7A8D"/>
    <w:rsid w:val="3B34B297"/>
    <w:rsid w:val="3B3BB703"/>
    <w:rsid w:val="3B3C5599"/>
    <w:rsid w:val="3B3FBC0D"/>
    <w:rsid w:val="3B4EFAA3"/>
    <w:rsid w:val="3B5B9A91"/>
    <w:rsid w:val="3B6287FD"/>
    <w:rsid w:val="3B6BE7DC"/>
    <w:rsid w:val="3B74EB41"/>
    <w:rsid w:val="3B75877E"/>
    <w:rsid w:val="3B7D00FA"/>
    <w:rsid w:val="3B8885B9"/>
    <w:rsid w:val="3B903CB2"/>
    <w:rsid w:val="3B919D32"/>
    <w:rsid w:val="3B954F74"/>
    <w:rsid w:val="3B9D3FA2"/>
    <w:rsid w:val="3BB42187"/>
    <w:rsid w:val="3BBD44E2"/>
    <w:rsid w:val="3BBD7FD9"/>
    <w:rsid w:val="3BBDB367"/>
    <w:rsid w:val="3BBF3E34"/>
    <w:rsid w:val="3BC9C384"/>
    <w:rsid w:val="3BD65809"/>
    <w:rsid w:val="3BDA2ACB"/>
    <w:rsid w:val="3BDE2C45"/>
    <w:rsid w:val="3BDE7DE1"/>
    <w:rsid w:val="3BEC5DC9"/>
    <w:rsid w:val="3BED6497"/>
    <w:rsid w:val="3BF2B24B"/>
    <w:rsid w:val="3BF5E3EB"/>
    <w:rsid w:val="3BF83468"/>
    <w:rsid w:val="3C04092B"/>
    <w:rsid w:val="3C0A654B"/>
    <w:rsid w:val="3C0AB5DA"/>
    <w:rsid w:val="3C175E1D"/>
    <w:rsid w:val="3C1CE993"/>
    <w:rsid w:val="3C1EBB2B"/>
    <w:rsid w:val="3C24C5C6"/>
    <w:rsid w:val="3C27D46A"/>
    <w:rsid w:val="3C2B1561"/>
    <w:rsid w:val="3C3223EC"/>
    <w:rsid w:val="3C457D98"/>
    <w:rsid w:val="3C4842D0"/>
    <w:rsid w:val="3C70A1B3"/>
    <w:rsid w:val="3C76E898"/>
    <w:rsid w:val="3C7B222A"/>
    <w:rsid w:val="3C8211F2"/>
    <w:rsid w:val="3C828988"/>
    <w:rsid w:val="3C8CAB48"/>
    <w:rsid w:val="3C926F0A"/>
    <w:rsid w:val="3CB5479D"/>
    <w:rsid w:val="3CBBF491"/>
    <w:rsid w:val="3CC58A73"/>
    <w:rsid w:val="3CD05A0C"/>
    <w:rsid w:val="3CD55C60"/>
    <w:rsid w:val="3CD9EDE8"/>
    <w:rsid w:val="3CDECDE4"/>
    <w:rsid w:val="3CE516EF"/>
    <w:rsid w:val="3CF7EDFC"/>
    <w:rsid w:val="3CFD3038"/>
    <w:rsid w:val="3D1132E8"/>
    <w:rsid w:val="3D196C08"/>
    <w:rsid w:val="3D1BF36D"/>
    <w:rsid w:val="3D1CD5FF"/>
    <w:rsid w:val="3D290727"/>
    <w:rsid w:val="3D301620"/>
    <w:rsid w:val="3D3A7158"/>
    <w:rsid w:val="3D3C8164"/>
    <w:rsid w:val="3D40447F"/>
    <w:rsid w:val="3D4C9F04"/>
    <w:rsid w:val="3D4D00A9"/>
    <w:rsid w:val="3D5096CB"/>
    <w:rsid w:val="3D5C57F9"/>
    <w:rsid w:val="3D62CE42"/>
    <w:rsid w:val="3D6415F4"/>
    <w:rsid w:val="3D73D98A"/>
    <w:rsid w:val="3D752A8E"/>
    <w:rsid w:val="3D7F8F4C"/>
    <w:rsid w:val="3D894429"/>
    <w:rsid w:val="3D91DA43"/>
    <w:rsid w:val="3DABCCB8"/>
    <w:rsid w:val="3DAFA09F"/>
    <w:rsid w:val="3DB6987A"/>
    <w:rsid w:val="3DB8477F"/>
    <w:rsid w:val="3DB8B412"/>
    <w:rsid w:val="3DB8E2AA"/>
    <w:rsid w:val="3DBE8654"/>
    <w:rsid w:val="3DCEE989"/>
    <w:rsid w:val="3DD5F7CA"/>
    <w:rsid w:val="3DD8FF63"/>
    <w:rsid w:val="3DE46B45"/>
    <w:rsid w:val="3DE592FD"/>
    <w:rsid w:val="3DE78387"/>
    <w:rsid w:val="3DEB943C"/>
    <w:rsid w:val="3DF649E7"/>
    <w:rsid w:val="3E16F70B"/>
    <w:rsid w:val="3E2F5B96"/>
    <w:rsid w:val="3E313C78"/>
    <w:rsid w:val="3E385D35"/>
    <w:rsid w:val="3E3961B2"/>
    <w:rsid w:val="3E397928"/>
    <w:rsid w:val="3E465264"/>
    <w:rsid w:val="3E472E19"/>
    <w:rsid w:val="3E5E4616"/>
    <w:rsid w:val="3E6263F4"/>
    <w:rsid w:val="3E637362"/>
    <w:rsid w:val="3E67DCF6"/>
    <w:rsid w:val="3E6B2295"/>
    <w:rsid w:val="3E704471"/>
    <w:rsid w:val="3E880B9E"/>
    <w:rsid w:val="3E906124"/>
    <w:rsid w:val="3EA0FEED"/>
    <w:rsid w:val="3EABF9B4"/>
    <w:rsid w:val="3EAE6D72"/>
    <w:rsid w:val="3EB42945"/>
    <w:rsid w:val="3EB524FA"/>
    <w:rsid w:val="3EB6C5BA"/>
    <w:rsid w:val="3EB6FC7D"/>
    <w:rsid w:val="3EB71209"/>
    <w:rsid w:val="3EB7CADA"/>
    <w:rsid w:val="3EB8B73D"/>
    <w:rsid w:val="3EBCFCE7"/>
    <w:rsid w:val="3EBE5358"/>
    <w:rsid w:val="3EC50C19"/>
    <w:rsid w:val="3EC9CC95"/>
    <w:rsid w:val="3ED1B00B"/>
    <w:rsid w:val="3EDEF66B"/>
    <w:rsid w:val="3EE05E36"/>
    <w:rsid w:val="3EE2A2F0"/>
    <w:rsid w:val="3EFAF7D3"/>
    <w:rsid w:val="3EFE9A76"/>
    <w:rsid w:val="3F0964A6"/>
    <w:rsid w:val="3F0AE144"/>
    <w:rsid w:val="3F0CAD55"/>
    <w:rsid w:val="3F1CF8FB"/>
    <w:rsid w:val="3F2175D3"/>
    <w:rsid w:val="3F224161"/>
    <w:rsid w:val="3F25A104"/>
    <w:rsid w:val="3F2608AF"/>
    <w:rsid w:val="3F2790A9"/>
    <w:rsid w:val="3F2F9DB5"/>
    <w:rsid w:val="3F5C5E58"/>
    <w:rsid w:val="3F67711B"/>
    <w:rsid w:val="3F6B0A69"/>
    <w:rsid w:val="3F776BB8"/>
    <w:rsid w:val="3F7D5021"/>
    <w:rsid w:val="3F876E7D"/>
    <w:rsid w:val="3F8B5990"/>
    <w:rsid w:val="3F8E6683"/>
    <w:rsid w:val="3F926CDC"/>
    <w:rsid w:val="3F967418"/>
    <w:rsid w:val="3F9DB61E"/>
    <w:rsid w:val="3F9E2504"/>
    <w:rsid w:val="3FA0F4D1"/>
    <w:rsid w:val="3FA8BC5E"/>
    <w:rsid w:val="3FADF0CB"/>
    <w:rsid w:val="3FB3CB69"/>
    <w:rsid w:val="3FB4EAD2"/>
    <w:rsid w:val="3FD01B4B"/>
    <w:rsid w:val="3FD9CF89"/>
    <w:rsid w:val="3FDF9DB5"/>
    <w:rsid w:val="3FE465F2"/>
    <w:rsid w:val="3FE89894"/>
    <w:rsid w:val="3FED55E1"/>
    <w:rsid w:val="3FF43D34"/>
    <w:rsid w:val="402340EE"/>
    <w:rsid w:val="4033AF0D"/>
    <w:rsid w:val="403931EE"/>
    <w:rsid w:val="40454B8C"/>
    <w:rsid w:val="40455A46"/>
    <w:rsid w:val="40562FD3"/>
    <w:rsid w:val="40598082"/>
    <w:rsid w:val="406089F3"/>
    <w:rsid w:val="407361F6"/>
    <w:rsid w:val="407C2E11"/>
    <w:rsid w:val="409049E0"/>
    <w:rsid w:val="40925E59"/>
    <w:rsid w:val="4094B04B"/>
    <w:rsid w:val="4095E50F"/>
    <w:rsid w:val="409D17B4"/>
    <w:rsid w:val="40ABE7FD"/>
    <w:rsid w:val="40AF3F48"/>
    <w:rsid w:val="40B6D864"/>
    <w:rsid w:val="40B86BD3"/>
    <w:rsid w:val="40CE1724"/>
    <w:rsid w:val="40DA1344"/>
    <w:rsid w:val="40EAA3F6"/>
    <w:rsid w:val="40FF3B99"/>
    <w:rsid w:val="410AFEE8"/>
    <w:rsid w:val="41131D6E"/>
    <w:rsid w:val="41170488"/>
    <w:rsid w:val="41266861"/>
    <w:rsid w:val="412CAD87"/>
    <w:rsid w:val="4139C748"/>
    <w:rsid w:val="413DA04F"/>
    <w:rsid w:val="415571C3"/>
    <w:rsid w:val="41683715"/>
    <w:rsid w:val="416A9210"/>
    <w:rsid w:val="41760D98"/>
    <w:rsid w:val="41797FDD"/>
    <w:rsid w:val="417A4511"/>
    <w:rsid w:val="417CD0EE"/>
    <w:rsid w:val="417D056D"/>
    <w:rsid w:val="418CA4FE"/>
    <w:rsid w:val="4199FFE2"/>
    <w:rsid w:val="41A59EE6"/>
    <w:rsid w:val="41AA3B7F"/>
    <w:rsid w:val="41BBBDD4"/>
    <w:rsid w:val="41BF91DF"/>
    <w:rsid w:val="41C8FD58"/>
    <w:rsid w:val="41CA0379"/>
    <w:rsid w:val="41CC11AB"/>
    <w:rsid w:val="41CEF054"/>
    <w:rsid w:val="41E6E830"/>
    <w:rsid w:val="41E81B69"/>
    <w:rsid w:val="41EC22A9"/>
    <w:rsid w:val="41EDC33A"/>
    <w:rsid w:val="420FE0C7"/>
    <w:rsid w:val="421160BE"/>
    <w:rsid w:val="42134134"/>
    <w:rsid w:val="4214B7C5"/>
    <w:rsid w:val="4215A9FD"/>
    <w:rsid w:val="421AB421"/>
    <w:rsid w:val="421F523D"/>
    <w:rsid w:val="4221248A"/>
    <w:rsid w:val="422B7114"/>
    <w:rsid w:val="42325899"/>
    <w:rsid w:val="4234C337"/>
    <w:rsid w:val="4246842F"/>
    <w:rsid w:val="4251368D"/>
    <w:rsid w:val="42534D12"/>
    <w:rsid w:val="4256C1C7"/>
    <w:rsid w:val="4268825C"/>
    <w:rsid w:val="426926A6"/>
    <w:rsid w:val="42698622"/>
    <w:rsid w:val="42887ABA"/>
    <w:rsid w:val="42895571"/>
    <w:rsid w:val="42900C20"/>
    <w:rsid w:val="42919286"/>
    <w:rsid w:val="42962846"/>
    <w:rsid w:val="42969BB0"/>
    <w:rsid w:val="429C8EC8"/>
    <w:rsid w:val="42AB0273"/>
    <w:rsid w:val="42B151EC"/>
    <w:rsid w:val="42BB02B6"/>
    <w:rsid w:val="42C15DF0"/>
    <w:rsid w:val="42C50CFA"/>
    <w:rsid w:val="42C5524E"/>
    <w:rsid w:val="42CD143B"/>
    <w:rsid w:val="42CDA518"/>
    <w:rsid w:val="42DB4A7C"/>
    <w:rsid w:val="42E1A663"/>
    <w:rsid w:val="430153C9"/>
    <w:rsid w:val="4302314A"/>
    <w:rsid w:val="4302C333"/>
    <w:rsid w:val="43049F73"/>
    <w:rsid w:val="431140A3"/>
    <w:rsid w:val="432DE05A"/>
    <w:rsid w:val="43333096"/>
    <w:rsid w:val="433AE569"/>
    <w:rsid w:val="434E6DF7"/>
    <w:rsid w:val="43567C7C"/>
    <w:rsid w:val="435AD7DC"/>
    <w:rsid w:val="436250A8"/>
    <w:rsid w:val="436B4F0B"/>
    <w:rsid w:val="436FF2B6"/>
    <w:rsid w:val="43706C03"/>
    <w:rsid w:val="4370A659"/>
    <w:rsid w:val="437C84A4"/>
    <w:rsid w:val="4380C0E7"/>
    <w:rsid w:val="439DE7FB"/>
    <w:rsid w:val="43A644C8"/>
    <w:rsid w:val="43A6B5F8"/>
    <w:rsid w:val="43ACEA78"/>
    <w:rsid w:val="43AD1B1F"/>
    <w:rsid w:val="43B2E6E2"/>
    <w:rsid w:val="43B2FA87"/>
    <w:rsid w:val="43B6613D"/>
    <w:rsid w:val="43BB9997"/>
    <w:rsid w:val="43BCB7D3"/>
    <w:rsid w:val="43BCC371"/>
    <w:rsid w:val="43C293AA"/>
    <w:rsid w:val="43C731F4"/>
    <w:rsid w:val="43D266E6"/>
    <w:rsid w:val="43E748B2"/>
    <w:rsid w:val="43E9DC4E"/>
    <w:rsid w:val="43F3DADB"/>
    <w:rsid w:val="43F6E07B"/>
    <w:rsid w:val="4409CCA9"/>
    <w:rsid w:val="441BE07C"/>
    <w:rsid w:val="44223B97"/>
    <w:rsid w:val="442B23EC"/>
    <w:rsid w:val="442CE78A"/>
    <w:rsid w:val="443ECFCF"/>
    <w:rsid w:val="4441A407"/>
    <w:rsid w:val="444AD449"/>
    <w:rsid w:val="444EB5E4"/>
    <w:rsid w:val="4450B3B2"/>
    <w:rsid w:val="4456C385"/>
    <w:rsid w:val="44638B92"/>
    <w:rsid w:val="4467331A"/>
    <w:rsid w:val="446BE4BD"/>
    <w:rsid w:val="44765FDA"/>
    <w:rsid w:val="4486287E"/>
    <w:rsid w:val="44862F09"/>
    <w:rsid w:val="448BEB9E"/>
    <w:rsid w:val="448E0383"/>
    <w:rsid w:val="44911321"/>
    <w:rsid w:val="449B3782"/>
    <w:rsid w:val="44A5618E"/>
    <w:rsid w:val="44A9E2E4"/>
    <w:rsid w:val="44C0AB38"/>
    <w:rsid w:val="44CC6DC2"/>
    <w:rsid w:val="44CE52A7"/>
    <w:rsid w:val="44D20024"/>
    <w:rsid w:val="44DB1635"/>
    <w:rsid w:val="44E494DA"/>
    <w:rsid w:val="44E616FF"/>
    <w:rsid w:val="44E63241"/>
    <w:rsid w:val="44F3FB3F"/>
    <w:rsid w:val="4500827A"/>
    <w:rsid w:val="4505E0BB"/>
    <w:rsid w:val="450A009F"/>
    <w:rsid w:val="451CA1D0"/>
    <w:rsid w:val="4531974C"/>
    <w:rsid w:val="45497F6C"/>
    <w:rsid w:val="454A3D5C"/>
    <w:rsid w:val="4553AE68"/>
    <w:rsid w:val="4557A05F"/>
    <w:rsid w:val="45580521"/>
    <w:rsid w:val="455CE37E"/>
    <w:rsid w:val="4563E331"/>
    <w:rsid w:val="45673D4C"/>
    <w:rsid w:val="456D76DD"/>
    <w:rsid w:val="45750158"/>
    <w:rsid w:val="457BA28A"/>
    <w:rsid w:val="457DEA16"/>
    <w:rsid w:val="459BBC46"/>
    <w:rsid w:val="45B04DA8"/>
    <w:rsid w:val="45B6A52A"/>
    <w:rsid w:val="45B775C7"/>
    <w:rsid w:val="45B84AD8"/>
    <w:rsid w:val="45BAE758"/>
    <w:rsid w:val="45BBBEBC"/>
    <w:rsid w:val="45C1718A"/>
    <w:rsid w:val="45CA80B1"/>
    <w:rsid w:val="45CBA468"/>
    <w:rsid w:val="45CD9387"/>
    <w:rsid w:val="45CF4D9F"/>
    <w:rsid w:val="45D6D301"/>
    <w:rsid w:val="45D8D9A7"/>
    <w:rsid w:val="45E825AC"/>
    <w:rsid w:val="45EB4015"/>
    <w:rsid w:val="45EE084C"/>
    <w:rsid w:val="45F6A267"/>
    <w:rsid w:val="45F9D31C"/>
    <w:rsid w:val="45FB66D6"/>
    <w:rsid w:val="45FB7612"/>
    <w:rsid w:val="45FD136D"/>
    <w:rsid w:val="460058BA"/>
    <w:rsid w:val="460AE50F"/>
    <w:rsid w:val="460CF5C8"/>
    <w:rsid w:val="4610E3F4"/>
    <w:rsid w:val="461537F7"/>
    <w:rsid w:val="46168E37"/>
    <w:rsid w:val="461CBCB9"/>
    <w:rsid w:val="4622B986"/>
    <w:rsid w:val="46270479"/>
    <w:rsid w:val="462C3795"/>
    <w:rsid w:val="4633DB1F"/>
    <w:rsid w:val="4637CADF"/>
    <w:rsid w:val="4648C861"/>
    <w:rsid w:val="46524DA1"/>
    <w:rsid w:val="46616763"/>
    <w:rsid w:val="4666A2F2"/>
    <w:rsid w:val="466A6B9E"/>
    <w:rsid w:val="466DDF9A"/>
    <w:rsid w:val="46799417"/>
    <w:rsid w:val="468F3DF2"/>
    <w:rsid w:val="46954687"/>
    <w:rsid w:val="469A2F41"/>
    <w:rsid w:val="469DC444"/>
    <w:rsid w:val="46AA2AA1"/>
    <w:rsid w:val="46B7F29D"/>
    <w:rsid w:val="46C71542"/>
    <w:rsid w:val="46CB040D"/>
    <w:rsid w:val="46CB91AB"/>
    <w:rsid w:val="46D5F9F7"/>
    <w:rsid w:val="46DEBB32"/>
    <w:rsid w:val="46E56E25"/>
    <w:rsid w:val="46EB2577"/>
    <w:rsid w:val="46FA6EFF"/>
    <w:rsid w:val="470BEBC6"/>
    <w:rsid w:val="4729091C"/>
    <w:rsid w:val="472F717F"/>
    <w:rsid w:val="47317AD5"/>
    <w:rsid w:val="474793D7"/>
    <w:rsid w:val="477371C4"/>
    <w:rsid w:val="47785E27"/>
    <w:rsid w:val="477C83B4"/>
    <w:rsid w:val="47869591"/>
    <w:rsid w:val="478B1FDA"/>
    <w:rsid w:val="47905D50"/>
    <w:rsid w:val="4792E76A"/>
    <w:rsid w:val="4793444F"/>
    <w:rsid w:val="47A02D51"/>
    <w:rsid w:val="47A192BD"/>
    <w:rsid w:val="47A4C107"/>
    <w:rsid w:val="47A66DB5"/>
    <w:rsid w:val="47B20D63"/>
    <w:rsid w:val="47B85319"/>
    <w:rsid w:val="47B9D079"/>
    <w:rsid w:val="47BAFBD6"/>
    <w:rsid w:val="47C021C6"/>
    <w:rsid w:val="47C77BB8"/>
    <w:rsid w:val="47CB4D8D"/>
    <w:rsid w:val="47CDB25E"/>
    <w:rsid w:val="47D6F2C8"/>
    <w:rsid w:val="47E3C989"/>
    <w:rsid w:val="47EFFDB0"/>
    <w:rsid w:val="47F4B8BB"/>
    <w:rsid w:val="47FCB846"/>
    <w:rsid w:val="48026554"/>
    <w:rsid w:val="480EBCBF"/>
    <w:rsid w:val="48255DA2"/>
    <w:rsid w:val="482E0232"/>
    <w:rsid w:val="482E0C6B"/>
    <w:rsid w:val="482F8287"/>
    <w:rsid w:val="483942B4"/>
    <w:rsid w:val="483B6653"/>
    <w:rsid w:val="483CE25C"/>
    <w:rsid w:val="4845CCF7"/>
    <w:rsid w:val="48461A81"/>
    <w:rsid w:val="484B9519"/>
    <w:rsid w:val="484F37A8"/>
    <w:rsid w:val="4851BA39"/>
    <w:rsid w:val="485ECDA3"/>
    <w:rsid w:val="48630285"/>
    <w:rsid w:val="4863CA8A"/>
    <w:rsid w:val="4864602D"/>
    <w:rsid w:val="487FFFBB"/>
    <w:rsid w:val="4880CAB0"/>
    <w:rsid w:val="48864AB7"/>
    <w:rsid w:val="488B213A"/>
    <w:rsid w:val="488FCD34"/>
    <w:rsid w:val="48900855"/>
    <w:rsid w:val="4890365C"/>
    <w:rsid w:val="48A51B9E"/>
    <w:rsid w:val="48B977DC"/>
    <w:rsid w:val="48B9A354"/>
    <w:rsid w:val="48BC1E1B"/>
    <w:rsid w:val="48C4068A"/>
    <w:rsid w:val="48C722E7"/>
    <w:rsid w:val="48C82EB0"/>
    <w:rsid w:val="48CFFACE"/>
    <w:rsid w:val="48D489F6"/>
    <w:rsid w:val="48D67D39"/>
    <w:rsid w:val="48D72745"/>
    <w:rsid w:val="48EA8065"/>
    <w:rsid w:val="48F38D5B"/>
    <w:rsid w:val="48FB8EC7"/>
    <w:rsid w:val="48FF55B5"/>
    <w:rsid w:val="49010AAC"/>
    <w:rsid w:val="491277D6"/>
    <w:rsid w:val="4915C5A0"/>
    <w:rsid w:val="4915EA5A"/>
    <w:rsid w:val="491BFECF"/>
    <w:rsid w:val="491F0DC3"/>
    <w:rsid w:val="49200B83"/>
    <w:rsid w:val="4920178D"/>
    <w:rsid w:val="49252F97"/>
    <w:rsid w:val="49273D88"/>
    <w:rsid w:val="493386FD"/>
    <w:rsid w:val="4943D671"/>
    <w:rsid w:val="49478484"/>
    <w:rsid w:val="4949905B"/>
    <w:rsid w:val="494B1570"/>
    <w:rsid w:val="495D010B"/>
    <w:rsid w:val="495F5BE2"/>
    <w:rsid w:val="49681FD1"/>
    <w:rsid w:val="496B91E1"/>
    <w:rsid w:val="49842561"/>
    <w:rsid w:val="4985D6D2"/>
    <w:rsid w:val="498E8C58"/>
    <w:rsid w:val="49922801"/>
    <w:rsid w:val="4992D137"/>
    <w:rsid w:val="49A701E9"/>
    <w:rsid w:val="49ACDDFA"/>
    <w:rsid w:val="49ACE58F"/>
    <w:rsid w:val="49B5E011"/>
    <w:rsid w:val="49B6B93B"/>
    <w:rsid w:val="49C95614"/>
    <w:rsid w:val="49CC1C13"/>
    <w:rsid w:val="49CEA615"/>
    <w:rsid w:val="49D82213"/>
    <w:rsid w:val="49DC8906"/>
    <w:rsid w:val="49EACC6F"/>
    <w:rsid w:val="49EDD032"/>
    <w:rsid w:val="49EF3663"/>
    <w:rsid w:val="49F2015B"/>
    <w:rsid w:val="49F40FAC"/>
    <w:rsid w:val="49FF6A2F"/>
    <w:rsid w:val="4A007808"/>
    <w:rsid w:val="4A029F2D"/>
    <w:rsid w:val="4A128CA8"/>
    <w:rsid w:val="4A153E30"/>
    <w:rsid w:val="4A1F83C4"/>
    <w:rsid w:val="4A21EB85"/>
    <w:rsid w:val="4A289DD3"/>
    <w:rsid w:val="4A4BBC07"/>
    <w:rsid w:val="4A52FFED"/>
    <w:rsid w:val="4A575710"/>
    <w:rsid w:val="4A6DA8EA"/>
    <w:rsid w:val="4A707D1B"/>
    <w:rsid w:val="4A79199D"/>
    <w:rsid w:val="4A79D7ED"/>
    <w:rsid w:val="4A852CA4"/>
    <w:rsid w:val="4A8EC287"/>
    <w:rsid w:val="4A9CB944"/>
    <w:rsid w:val="4AA199A0"/>
    <w:rsid w:val="4AA4FA3F"/>
    <w:rsid w:val="4AAE1648"/>
    <w:rsid w:val="4ABDE91C"/>
    <w:rsid w:val="4ABFCCF7"/>
    <w:rsid w:val="4ACB8B60"/>
    <w:rsid w:val="4AD25B5C"/>
    <w:rsid w:val="4AD38593"/>
    <w:rsid w:val="4AD7486C"/>
    <w:rsid w:val="4AE0188E"/>
    <w:rsid w:val="4AE82743"/>
    <w:rsid w:val="4AF91301"/>
    <w:rsid w:val="4AFD909C"/>
    <w:rsid w:val="4AFF3FEC"/>
    <w:rsid w:val="4B0B53BE"/>
    <w:rsid w:val="4B1C18D8"/>
    <w:rsid w:val="4B244870"/>
    <w:rsid w:val="4B30DBB1"/>
    <w:rsid w:val="4B325177"/>
    <w:rsid w:val="4B348E67"/>
    <w:rsid w:val="4B38C10F"/>
    <w:rsid w:val="4B42C6FA"/>
    <w:rsid w:val="4B48E324"/>
    <w:rsid w:val="4B49FDE1"/>
    <w:rsid w:val="4B4A44BA"/>
    <w:rsid w:val="4B4C1530"/>
    <w:rsid w:val="4B4E6BC9"/>
    <w:rsid w:val="4B54D585"/>
    <w:rsid w:val="4B671C7E"/>
    <w:rsid w:val="4B6A0409"/>
    <w:rsid w:val="4B6A698A"/>
    <w:rsid w:val="4B761715"/>
    <w:rsid w:val="4B78FF7F"/>
    <w:rsid w:val="4B79EFFF"/>
    <w:rsid w:val="4B7BF37A"/>
    <w:rsid w:val="4B8069B8"/>
    <w:rsid w:val="4B82610A"/>
    <w:rsid w:val="4B87AA7A"/>
    <w:rsid w:val="4B87F11F"/>
    <w:rsid w:val="4B925A36"/>
    <w:rsid w:val="4B972327"/>
    <w:rsid w:val="4B9835D2"/>
    <w:rsid w:val="4B992629"/>
    <w:rsid w:val="4B9F0FE0"/>
    <w:rsid w:val="4B9F7F0F"/>
    <w:rsid w:val="4BAC9E9F"/>
    <w:rsid w:val="4BBEA116"/>
    <w:rsid w:val="4BBFBE97"/>
    <w:rsid w:val="4BC8C95C"/>
    <w:rsid w:val="4BCFC13C"/>
    <w:rsid w:val="4BD21AB3"/>
    <w:rsid w:val="4BDE4C9C"/>
    <w:rsid w:val="4BE47205"/>
    <w:rsid w:val="4BE75BB4"/>
    <w:rsid w:val="4BED5AE5"/>
    <w:rsid w:val="4BEDD443"/>
    <w:rsid w:val="4BF344CD"/>
    <w:rsid w:val="4BFF2AB0"/>
    <w:rsid w:val="4C0382B9"/>
    <w:rsid w:val="4C04BFAB"/>
    <w:rsid w:val="4C1133EC"/>
    <w:rsid w:val="4C1826C5"/>
    <w:rsid w:val="4C1A6ECF"/>
    <w:rsid w:val="4C1D75BE"/>
    <w:rsid w:val="4C259F6E"/>
    <w:rsid w:val="4C2BC19B"/>
    <w:rsid w:val="4C2E5EA1"/>
    <w:rsid w:val="4C2E69B7"/>
    <w:rsid w:val="4C2FDDEC"/>
    <w:rsid w:val="4C4166E4"/>
    <w:rsid w:val="4C47CB5E"/>
    <w:rsid w:val="4C49EBE6"/>
    <w:rsid w:val="4C512799"/>
    <w:rsid w:val="4C575BF0"/>
    <w:rsid w:val="4C59632B"/>
    <w:rsid w:val="4C5B52E5"/>
    <w:rsid w:val="4C5F30C5"/>
    <w:rsid w:val="4C70E705"/>
    <w:rsid w:val="4C74063C"/>
    <w:rsid w:val="4C760767"/>
    <w:rsid w:val="4C7E68FE"/>
    <w:rsid w:val="4C81FFEF"/>
    <w:rsid w:val="4C82E670"/>
    <w:rsid w:val="4C834CF3"/>
    <w:rsid w:val="4C897B49"/>
    <w:rsid w:val="4C929E3C"/>
    <w:rsid w:val="4C9B9358"/>
    <w:rsid w:val="4CA58736"/>
    <w:rsid w:val="4CA65E53"/>
    <w:rsid w:val="4CAB7B9A"/>
    <w:rsid w:val="4CB27030"/>
    <w:rsid w:val="4CC5AD54"/>
    <w:rsid w:val="4CCAEF6C"/>
    <w:rsid w:val="4CDE45C5"/>
    <w:rsid w:val="4CDE6473"/>
    <w:rsid w:val="4CEB2F2F"/>
    <w:rsid w:val="4D07F481"/>
    <w:rsid w:val="4D11CE00"/>
    <w:rsid w:val="4D1E35D1"/>
    <w:rsid w:val="4D206211"/>
    <w:rsid w:val="4D2C8861"/>
    <w:rsid w:val="4D318619"/>
    <w:rsid w:val="4D416910"/>
    <w:rsid w:val="4D50487C"/>
    <w:rsid w:val="4D5CCEB4"/>
    <w:rsid w:val="4D5E5392"/>
    <w:rsid w:val="4D686CA0"/>
    <w:rsid w:val="4D6987A4"/>
    <w:rsid w:val="4D796881"/>
    <w:rsid w:val="4D7CE75E"/>
    <w:rsid w:val="4D89820A"/>
    <w:rsid w:val="4D89DF69"/>
    <w:rsid w:val="4D947786"/>
    <w:rsid w:val="4D9D9AF7"/>
    <w:rsid w:val="4DA2F261"/>
    <w:rsid w:val="4DA6EF78"/>
    <w:rsid w:val="4DB1C420"/>
    <w:rsid w:val="4DB75DB9"/>
    <w:rsid w:val="4DBB2CBF"/>
    <w:rsid w:val="4DBD5715"/>
    <w:rsid w:val="4DC25770"/>
    <w:rsid w:val="4DC3BBEE"/>
    <w:rsid w:val="4DC5111A"/>
    <w:rsid w:val="4DC9D803"/>
    <w:rsid w:val="4DCC3C0E"/>
    <w:rsid w:val="4DCE56D6"/>
    <w:rsid w:val="4DCEC9A4"/>
    <w:rsid w:val="4DDC693F"/>
    <w:rsid w:val="4DEA2955"/>
    <w:rsid w:val="4DF3FD50"/>
    <w:rsid w:val="4DF7EEB3"/>
    <w:rsid w:val="4DFB6EE0"/>
    <w:rsid w:val="4E0A393F"/>
    <w:rsid w:val="4E0BE209"/>
    <w:rsid w:val="4E132448"/>
    <w:rsid w:val="4E273D26"/>
    <w:rsid w:val="4E28E8AB"/>
    <w:rsid w:val="4E2C7576"/>
    <w:rsid w:val="4E353713"/>
    <w:rsid w:val="4E57DAF8"/>
    <w:rsid w:val="4E590ECA"/>
    <w:rsid w:val="4E616BD0"/>
    <w:rsid w:val="4E6227AA"/>
    <w:rsid w:val="4E685415"/>
    <w:rsid w:val="4E6D4B4C"/>
    <w:rsid w:val="4E79FA7A"/>
    <w:rsid w:val="4E83BFDF"/>
    <w:rsid w:val="4E88629B"/>
    <w:rsid w:val="4E9672CF"/>
    <w:rsid w:val="4E9D0536"/>
    <w:rsid w:val="4EA06A7E"/>
    <w:rsid w:val="4EA8E6E1"/>
    <w:rsid w:val="4EAD6F81"/>
    <w:rsid w:val="4EB05CC6"/>
    <w:rsid w:val="4EBA81F0"/>
    <w:rsid w:val="4EC62554"/>
    <w:rsid w:val="4EC7B065"/>
    <w:rsid w:val="4EC8CF48"/>
    <w:rsid w:val="4EED7B02"/>
    <w:rsid w:val="4EF44762"/>
    <w:rsid w:val="4EF71B9C"/>
    <w:rsid w:val="4EFEB260"/>
    <w:rsid w:val="4F12B9FC"/>
    <w:rsid w:val="4F1AA998"/>
    <w:rsid w:val="4F24BD2C"/>
    <w:rsid w:val="4F32C40D"/>
    <w:rsid w:val="4F46A611"/>
    <w:rsid w:val="4F478B67"/>
    <w:rsid w:val="4F4BD7F0"/>
    <w:rsid w:val="4F4D18F2"/>
    <w:rsid w:val="4F50C81A"/>
    <w:rsid w:val="4F5A6762"/>
    <w:rsid w:val="4F5B561C"/>
    <w:rsid w:val="4F6BE130"/>
    <w:rsid w:val="4F6F8C30"/>
    <w:rsid w:val="4F750D89"/>
    <w:rsid w:val="4F8E24F2"/>
    <w:rsid w:val="4F8E6954"/>
    <w:rsid w:val="4F90A5AC"/>
    <w:rsid w:val="4F967DEE"/>
    <w:rsid w:val="4F9F1D5B"/>
    <w:rsid w:val="4FB206CA"/>
    <w:rsid w:val="4FB35E75"/>
    <w:rsid w:val="4FBA31C9"/>
    <w:rsid w:val="4FBB043F"/>
    <w:rsid w:val="4FC00CB6"/>
    <w:rsid w:val="4FD02CE4"/>
    <w:rsid w:val="4FD33C10"/>
    <w:rsid w:val="4FDACCF0"/>
    <w:rsid w:val="4FDCE9C8"/>
    <w:rsid w:val="4FDD5B66"/>
    <w:rsid w:val="4FE90A8F"/>
    <w:rsid w:val="4FEA3A7E"/>
    <w:rsid w:val="4FF4E5A3"/>
    <w:rsid w:val="4FFB46CD"/>
    <w:rsid w:val="50050A48"/>
    <w:rsid w:val="50250C29"/>
    <w:rsid w:val="50348B2F"/>
    <w:rsid w:val="503EB091"/>
    <w:rsid w:val="50407527"/>
    <w:rsid w:val="504AB5D8"/>
    <w:rsid w:val="504F4B3D"/>
    <w:rsid w:val="5053BD1E"/>
    <w:rsid w:val="505EB300"/>
    <w:rsid w:val="506095FD"/>
    <w:rsid w:val="506D0E39"/>
    <w:rsid w:val="50726012"/>
    <w:rsid w:val="50767077"/>
    <w:rsid w:val="507A1DE1"/>
    <w:rsid w:val="50808D04"/>
    <w:rsid w:val="50837F52"/>
    <w:rsid w:val="508F538D"/>
    <w:rsid w:val="50955D2E"/>
    <w:rsid w:val="50A1D25B"/>
    <w:rsid w:val="50AAF06E"/>
    <w:rsid w:val="50BD7DDB"/>
    <w:rsid w:val="50CAE203"/>
    <w:rsid w:val="50D540B6"/>
    <w:rsid w:val="50E4E612"/>
    <w:rsid w:val="51025570"/>
    <w:rsid w:val="5103F25B"/>
    <w:rsid w:val="510444EE"/>
    <w:rsid w:val="5104CEFB"/>
    <w:rsid w:val="510D6137"/>
    <w:rsid w:val="510EA2C7"/>
    <w:rsid w:val="51216E29"/>
    <w:rsid w:val="512549D3"/>
    <w:rsid w:val="5134C25C"/>
    <w:rsid w:val="51374B30"/>
    <w:rsid w:val="513991EA"/>
    <w:rsid w:val="51402A5F"/>
    <w:rsid w:val="514304FE"/>
    <w:rsid w:val="51556BD7"/>
    <w:rsid w:val="51567505"/>
    <w:rsid w:val="515FB463"/>
    <w:rsid w:val="5162B6DB"/>
    <w:rsid w:val="517458B0"/>
    <w:rsid w:val="5175751C"/>
    <w:rsid w:val="5175D1F4"/>
    <w:rsid w:val="517FECB8"/>
    <w:rsid w:val="51894241"/>
    <w:rsid w:val="518A1972"/>
    <w:rsid w:val="518D995C"/>
    <w:rsid w:val="518EED86"/>
    <w:rsid w:val="5196F65D"/>
    <w:rsid w:val="519A8499"/>
    <w:rsid w:val="519CB076"/>
    <w:rsid w:val="519CD458"/>
    <w:rsid w:val="51A62065"/>
    <w:rsid w:val="51A8128D"/>
    <w:rsid w:val="51AA595C"/>
    <w:rsid w:val="51AC070A"/>
    <w:rsid w:val="51C0E7C0"/>
    <w:rsid w:val="51CA2023"/>
    <w:rsid w:val="51CB8B44"/>
    <w:rsid w:val="51CBF85B"/>
    <w:rsid w:val="51CF0482"/>
    <w:rsid w:val="51D98539"/>
    <w:rsid w:val="51E78BBE"/>
    <w:rsid w:val="51F0B98C"/>
    <w:rsid w:val="51FD0B66"/>
    <w:rsid w:val="51FE7668"/>
    <w:rsid w:val="520B0DBE"/>
    <w:rsid w:val="52106AE2"/>
    <w:rsid w:val="5215E007"/>
    <w:rsid w:val="521ED127"/>
    <w:rsid w:val="52224319"/>
    <w:rsid w:val="523EF9F6"/>
    <w:rsid w:val="525515EE"/>
    <w:rsid w:val="52570080"/>
    <w:rsid w:val="526BC191"/>
    <w:rsid w:val="5278B6AF"/>
    <w:rsid w:val="5279B81F"/>
    <w:rsid w:val="527ABE33"/>
    <w:rsid w:val="527BB238"/>
    <w:rsid w:val="527F7C3E"/>
    <w:rsid w:val="5284D5F3"/>
    <w:rsid w:val="5291E8C7"/>
    <w:rsid w:val="52A208BD"/>
    <w:rsid w:val="52A96F62"/>
    <w:rsid w:val="52ABEC90"/>
    <w:rsid w:val="52B627BE"/>
    <w:rsid w:val="52BE5380"/>
    <w:rsid w:val="52E2C7A4"/>
    <w:rsid w:val="52E5886D"/>
    <w:rsid w:val="52F1F9FC"/>
    <w:rsid w:val="52F3138B"/>
    <w:rsid w:val="52F5C976"/>
    <w:rsid w:val="53169ED3"/>
    <w:rsid w:val="531A1D6F"/>
    <w:rsid w:val="531DA260"/>
    <w:rsid w:val="53238F4F"/>
    <w:rsid w:val="5327CB8C"/>
    <w:rsid w:val="532991BB"/>
    <w:rsid w:val="533C62D8"/>
    <w:rsid w:val="533DE4E8"/>
    <w:rsid w:val="53435179"/>
    <w:rsid w:val="5347FF32"/>
    <w:rsid w:val="53517B96"/>
    <w:rsid w:val="535A7D6D"/>
    <w:rsid w:val="536AD0BF"/>
    <w:rsid w:val="53754F53"/>
    <w:rsid w:val="537702D7"/>
    <w:rsid w:val="537EE7FB"/>
    <w:rsid w:val="5380589D"/>
    <w:rsid w:val="53827B26"/>
    <w:rsid w:val="5388986D"/>
    <w:rsid w:val="538E6C65"/>
    <w:rsid w:val="53905CCB"/>
    <w:rsid w:val="539A0D12"/>
    <w:rsid w:val="53A1596A"/>
    <w:rsid w:val="53A19B0B"/>
    <w:rsid w:val="53A40A46"/>
    <w:rsid w:val="53B250AF"/>
    <w:rsid w:val="53B42DD5"/>
    <w:rsid w:val="53D729CB"/>
    <w:rsid w:val="53DC8662"/>
    <w:rsid w:val="53F49E60"/>
    <w:rsid w:val="53FB92B6"/>
    <w:rsid w:val="54215E4B"/>
    <w:rsid w:val="542EA71F"/>
    <w:rsid w:val="5433C7D0"/>
    <w:rsid w:val="54340230"/>
    <w:rsid w:val="5436877F"/>
    <w:rsid w:val="5439BB32"/>
    <w:rsid w:val="54428A0E"/>
    <w:rsid w:val="5443F25D"/>
    <w:rsid w:val="544812A3"/>
    <w:rsid w:val="5455C4F9"/>
    <w:rsid w:val="5458AD6F"/>
    <w:rsid w:val="545980E5"/>
    <w:rsid w:val="545FBC56"/>
    <w:rsid w:val="54675504"/>
    <w:rsid w:val="546A6739"/>
    <w:rsid w:val="546EC97B"/>
    <w:rsid w:val="54709B33"/>
    <w:rsid w:val="54731133"/>
    <w:rsid w:val="5478173C"/>
    <w:rsid w:val="547B0A0B"/>
    <w:rsid w:val="547CC9E3"/>
    <w:rsid w:val="5482A147"/>
    <w:rsid w:val="54831020"/>
    <w:rsid w:val="548D9B0B"/>
    <w:rsid w:val="54997186"/>
    <w:rsid w:val="549A0162"/>
    <w:rsid w:val="549A27FC"/>
    <w:rsid w:val="54BC696D"/>
    <w:rsid w:val="54C02B88"/>
    <w:rsid w:val="54C99824"/>
    <w:rsid w:val="54D21A1A"/>
    <w:rsid w:val="54DA34FD"/>
    <w:rsid w:val="54DAEEAF"/>
    <w:rsid w:val="54DFBE06"/>
    <w:rsid w:val="54E7B601"/>
    <w:rsid w:val="54E7EA12"/>
    <w:rsid w:val="54E95C64"/>
    <w:rsid w:val="54F957AF"/>
    <w:rsid w:val="54FBDDA8"/>
    <w:rsid w:val="54FD7CE2"/>
    <w:rsid w:val="5503426E"/>
    <w:rsid w:val="55042599"/>
    <w:rsid w:val="550D4EF9"/>
    <w:rsid w:val="551AF004"/>
    <w:rsid w:val="551E7729"/>
    <w:rsid w:val="552696AE"/>
    <w:rsid w:val="552DA4E0"/>
    <w:rsid w:val="553C94C0"/>
    <w:rsid w:val="553E1759"/>
    <w:rsid w:val="5550CF2E"/>
    <w:rsid w:val="555280F9"/>
    <w:rsid w:val="5567B425"/>
    <w:rsid w:val="5568FE4B"/>
    <w:rsid w:val="55729BB2"/>
    <w:rsid w:val="55769A8C"/>
    <w:rsid w:val="557AB34D"/>
    <w:rsid w:val="557E4BE1"/>
    <w:rsid w:val="558443FA"/>
    <w:rsid w:val="5584AC62"/>
    <w:rsid w:val="559E84B6"/>
    <w:rsid w:val="559F018D"/>
    <w:rsid w:val="55A6134B"/>
    <w:rsid w:val="55A73DFF"/>
    <w:rsid w:val="55B1A98B"/>
    <w:rsid w:val="55CA99CB"/>
    <w:rsid w:val="55CCD5E5"/>
    <w:rsid w:val="55DFC919"/>
    <w:rsid w:val="55E98D6C"/>
    <w:rsid w:val="55ED3BFA"/>
    <w:rsid w:val="55F047B9"/>
    <w:rsid w:val="55F2DC5C"/>
    <w:rsid w:val="55F3C35B"/>
    <w:rsid w:val="560097FA"/>
    <w:rsid w:val="560158D2"/>
    <w:rsid w:val="56025C2F"/>
    <w:rsid w:val="561BD654"/>
    <w:rsid w:val="561F77A1"/>
    <w:rsid w:val="562BF222"/>
    <w:rsid w:val="562D97E8"/>
    <w:rsid w:val="563A1034"/>
    <w:rsid w:val="563CF193"/>
    <w:rsid w:val="5652DC44"/>
    <w:rsid w:val="5657045E"/>
    <w:rsid w:val="56581719"/>
    <w:rsid w:val="566049F4"/>
    <w:rsid w:val="566D4A08"/>
    <w:rsid w:val="566DC026"/>
    <w:rsid w:val="566E4193"/>
    <w:rsid w:val="566F34DA"/>
    <w:rsid w:val="5679EB16"/>
    <w:rsid w:val="567C0522"/>
    <w:rsid w:val="567CA48B"/>
    <w:rsid w:val="567FCC30"/>
    <w:rsid w:val="5689A4E4"/>
    <w:rsid w:val="568BAF4A"/>
    <w:rsid w:val="568F3CD0"/>
    <w:rsid w:val="569FB689"/>
    <w:rsid w:val="56A4DF20"/>
    <w:rsid w:val="56A70E1D"/>
    <w:rsid w:val="56C4C7E5"/>
    <w:rsid w:val="56C4DB61"/>
    <w:rsid w:val="56CC70A2"/>
    <w:rsid w:val="56CD4FF7"/>
    <w:rsid w:val="56D2B712"/>
    <w:rsid w:val="56D3084B"/>
    <w:rsid w:val="56D92544"/>
    <w:rsid w:val="56E70958"/>
    <w:rsid w:val="56E8DF21"/>
    <w:rsid w:val="56EE8D8C"/>
    <w:rsid w:val="56EF4D79"/>
    <w:rsid w:val="56F059B7"/>
    <w:rsid w:val="56F6611D"/>
    <w:rsid w:val="56FA6B7D"/>
    <w:rsid w:val="56FABB9B"/>
    <w:rsid w:val="56FB08C6"/>
    <w:rsid w:val="56FDFB8C"/>
    <w:rsid w:val="570547F0"/>
    <w:rsid w:val="57063B29"/>
    <w:rsid w:val="57077D2F"/>
    <w:rsid w:val="5707C919"/>
    <w:rsid w:val="570CA706"/>
    <w:rsid w:val="570D8161"/>
    <w:rsid w:val="57349855"/>
    <w:rsid w:val="5735D4F5"/>
    <w:rsid w:val="573696C9"/>
    <w:rsid w:val="573825D4"/>
    <w:rsid w:val="573BE317"/>
    <w:rsid w:val="5744BE22"/>
    <w:rsid w:val="57468D10"/>
    <w:rsid w:val="5747B458"/>
    <w:rsid w:val="57494F2B"/>
    <w:rsid w:val="57552DF5"/>
    <w:rsid w:val="57582333"/>
    <w:rsid w:val="575EE52A"/>
    <w:rsid w:val="575F72AD"/>
    <w:rsid w:val="57681767"/>
    <w:rsid w:val="5770FE2D"/>
    <w:rsid w:val="5779DB82"/>
    <w:rsid w:val="5793EC3F"/>
    <w:rsid w:val="57955906"/>
    <w:rsid w:val="57991B29"/>
    <w:rsid w:val="5799E7C0"/>
    <w:rsid w:val="579A15CF"/>
    <w:rsid w:val="579AB12F"/>
    <w:rsid w:val="579DCC80"/>
    <w:rsid w:val="579E8980"/>
    <w:rsid w:val="579EA71E"/>
    <w:rsid w:val="57A22D2C"/>
    <w:rsid w:val="57AF73CA"/>
    <w:rsid w:val="57B49DDA"/>
    <w:rsid w:val="57B70A98"/>
    <w:rsid w:val="57B9B376"/>
    <w:rsid w:val="57C0DB1C"/>
    <w:rsid w:val="57C764F9"/>
    <w:rsid w:val="57CC1BC8"/>
    <w:rsid w:val="57D9D77A"/>
    <w:rsid w:val="57E1B688"/>
    <w:rsid w:val="57E3CB43"/>
    <w:rsid w:val="57EA293B"/>
    <w:rsid w:val="57F6723D"/>
    <w:rsid w:val="57F791C1"/>
    <w:rsid w:val="57FBDCD0"/>
    <w:rsid w:val="58002278"/>
    <w:rsid w:val="5803ACE5"/>
    <w:rsid w:val="5804C6F6"/>
    <w:rsid w:val="5805DC80"/>
    <w:rsid w:val="58210456"/>
    <w:rsid w:val="58341062"/>
    <w:rsid w:val="583A3AB2"/>
    <w:rsid w:val="583D0B2F"/>
    <w:rsid w:val="583D3D80"/>
    <w:rsid w:val="583D51A1"/>
    <w:rsid w:val="583EC373"/>
    <w:rsid w:val="584332EC"/>
    <w:rsid w:val="58471898"/>
    <w:rsid w:val="584753C9"/>
    <w:rsid w:val="5850D738"/>
    <w:rsid w:val="585E8890"/>
    <w:rsid w:val="586021B5"/>
    <w:rsid w:val="5868EE57"/>
    <w:rsid w:val="58906502"/>
    <w:rsid w:val="589FFCDA"/>
    <w:rsid w:val="58A30324"/>
    <w:rsid w:val="58A9EE6C"/>
    <w:rsid w:val="58AB12D2"/>
    <w:rsid w:val="58AE8C07"/>
    <w:rsid w:val="58B10E4A"/>
    <w:rsid w:val="58B1DEDE"/>
    <w:rsid w:val="58B2FD4A"/>
    <w:rsid w:val="58B4B0D1"/>
    <w:rsid w:val="58B5A85A"/>
    <w:rsid w:val="58C21603"/>
    <w:rsid w:val="58CDB58A"/>
    <w:rsid w:val="58DD97C6"/>
    <w:rsid w:val="58E0DEC9"/>
    <w:rsid w:val="58E112B5"/>
    <w:rsid w:val="58ED68FC"/>
    <w:rsid w:val="58F13278"/>
    <w:rsid w:val="58F1E37F"/>
    <w:rsid w:val="59003AE9"/>
    <w:rsid w:val="59070B6E"/>
    <w:rsid w:val="59080A85"/>
    <w:rsid w:val="5912FFCD"/>
    <w:rsid w:val="5920E412"/>
    <w:rsid w:val="5928DBBB"/>
    <w:rsid w:val="592D4025"/>
    <w:rsid w:val="59480443"/>
    <w:rsid w:val="5949A730"/>
    <w:rsid w:val="594B239B"/>
    <w:rsid w:val="59554DEC"/>
    <w:rsid w:val="5959B0DD"/>
    <w:rsid w:val="5959DD79"/>
    <w:rsid w:val="595A1305"/>
    <w:rsid w:val="5962CD79"/>
    <w:rsid w:val="5973E2BA"/>
    <w:rsid w:val="59838E30"/>
    <w:rsid w:val="598B4A37"/>
    <w:rsid w:val="5992367C"/>
    <w:rsid w:val="5997332F"/>
    <w:rsid w:val="5998E528"/>
    <w:rsid w:val="5999F52C"/>
    <w:rsid w:val="59A4B3DE"/>
    <w:rsid w:val="59A5D9D4"/>
    <w:rsid w:val="59AF18F0"/>
    <w:rsid w:val="59B3BC2D"/>
    <w:rsid w:val="59BABEF3"/>
    <w:rsid w:val="59CC85C7"/>
    <w:rsid w:val="59D1DEED"/>
    <w:rsid w:val="59D9774C"/>
    <w:rsid w:val="59E12C64"/>
    <w:rsid w:val="59E34B7F"/>
    <w:rsid w:val="59EE16EC"/>
    <w:rsid w:val="59EE6D33"/>
    <w:rsid w:val="59FB15ED"/>
    <w:rsid w:val="59FE92C9"/>
    <w:rsid w:val="5A004C8A"/>
    <w:rsid w:val="5A01004C"/>
    <w:rsid w:val="5A046411"/>
    <w:rsid w:val="5A084F7C"/>
    <w:rsid w:val="5A1A16AC"/>
    <w:rsid w:val="5A2F72D3"/>
    <w:rsid w:val="5A355C2C"/>
    <w:rsid w:val="5A3BCC98"/>
    <w:rsid w:val="5A43928D"/>
    <w:rsid w:val="5A4D42AA"/>
    <w:rsid w:val="5A4F1BE8"/>
    <w:rsid w:val="5A4F904E"/>
    <w:rsid w:val="5A52DA20"/>
    <w:rsid w:val="5A5C085D"/>
    <w:rsid w:val="5A69E075"/>
    <w:rsid w:val="5A72DCAA"/>
    <w:rsid w:val="5A772794"/>
    <w:rsid w:val="5A83404A"/>
    <w:rsid w:val="5A8A60FA"/>
    <w:rsid w:val="5A8BE4E3"/>
    <w:rsid w:val="5A970C84"/>
    <w:rsid w:val="5A9B9BAD"/>
    <w:rsid w:val="5AA6F54A"/>
    <w:rsid w:val="5AA96E43"/>
    <w:rsid w:val="5AAA92B7"/>
    <w:rsid w:val="5AACEBC1"/>
    <w:rsid w:val="5AAE8E72"/>
    <w:rsid w:val="5AB3A7AC"/>
    <w:rsid w:val="5AC1D670"/>
    <w:rsid w:val="5AC534DE"/>
    <w:rsid w:val="5AD0BDCD"/>
    <w:rsid w:val="5AD75BDB"/>
    <w:rsid w:val="5ADCD321"/>
    <w:rsid w:val="5AEC7DB2"/>
    <w:rsid w:val="5AF07642"/>
    <w:rsid w:val="5AF07B44"/>
    <w:rsid w:val="5B065A18"/>
    <w:rsid w:val="5B1B02D3"/>
    <w:rsid w:val="5B1DDDE6"/>
    <w:rsid w:val="5B22C26F"/>
    <w:rsid w:val="5B2920CF"/>
    <w:rsid w:val="5B351DA5"/>
    <w:rsid w:val="5B3A3260"/>
    <w:rsid w:val="5B3E539E"/>
    <w:rsid w:val="5B407CCA"/>
    <w:rsid w:val="5B4D570F"/>
    <w:rsid w:val="5B5792E0"/>
    <w:rsid w:val="5B637F19"/>
    <w:rsid w:val="5B6A386A"/>
    <w:rsid w:val="5B6E9E52"/>
    <w:rsid w:val="5B7450B7"/>
    <w:rsid w:val="5B791536"/>
    <w:rsid w:val="5B83EE58"/>
    <w:rsid w:val="5B84EBC0"/>
    <w:rsid w:val="5B86F054"/>
    <w:rsid w:val="5B87E708"/>
    <w:rsid w:val="5B8BED8A"/>
    <w:rsid w:val="5B8E3773"/>
    <w:rsid w:val="5B96B63C"/>
    <w:rsid w:val="5BA7415F"/>
    <w:rsid w:val="5BA8A525"/>
    <w:rsid w:val="5BB03F97"/>
    <w:rsid w:val="5BBAF32F"/>
    <w:rsid w:val="5BC62307"/>
    <w:rsid w:val="5BCFAA29"/>
    <w:rsid w:val="5BD9A5DC"/>
    <w:rsid w:val="5C0CF167"/>
    <w:rsid w:val="5C1ABA74"/>
    <w:rsid w:val="5C357160"/>
    <w:rsid w:val="5C420BC4"/>
    <w:rsid w:val="5C4614FC"/>
    <w:rsid w:val="5C496C45"/>
    <w:rsid w:val="5C598D84"/>
    <w:rsid w:val="5C606CE3"/>
    <w:rsid w:val="5C6316C8"/>
    <w:rsid w:val="5C6644C6"/>
    <w:rsid w:val="5C7B00C7"/>
    <w:rsid w:val="5C7C748D"/>
    <w:rsid w:val="5C8AE76D"/>
    <w:rsid w:val="5C94F8A1"/>
    <w:rsid w:val="5C9BC03B"/>
    <w:rsid w:val="5C9D44DE"/>
    <w:rsid w:val="5CA6D1E4"/>
    <w:rsid w:val="5CB20C4C"/>
    <w:rsid w:val="5CC5E3D4"/>
    <w:rsid w:val="5CCF5FBC"/>
    <w:rsid w:val="5CDB5A58"/>
    <w:rsid w:val="5CDDC204"/>
    <w:rsid w:val="5CF1DD20"/>
    <w:rsid w:val="5CF40883"/>
    <w:rsid w:val="5CF43B82"/>
    <w:rsid w:val="5CF9763B"/>
    <w:rsid w:val="5D082031"/>
    <w:rsid w:val="5D0AAF1B"/>
    <w:rsid w:val="5D103DC0"/>
    <w:rsid w:val="5D11FAE5"/>
    <w:rsid w:val="5D1D186F"/>
    <w:rsid w:val="5D275A24"/>
    <w:rsid w:val="5D298CDE"/>
    <w:rsid w:val="5D40A650"/>
    <w:rsid w:val="5D4E0BA5"/>
    <w:rsid w:val="5D5921BC"/>
    <w:rsid w:val="5D603EDF"/>
    <w:rsid w:val="5D6308DB"/>
    <w:rsid w:val="5D6B90E9"/>
    <w:rsid w:val="5D6D1096"/>
    <w:rsid w:val="5D7049FF"/>
    <w:rsid w:val="5D728324"/>
    <w:rsid w:val="5D742DB7"/>
    <w:rsid w:val="5D83D4F5"/>
    <w:rsid w:val="5D84E8D8"/>
    <w:rsid w:val="5D8F5B41"/>
    <w:rsid w:val="5D9BEBBE"/>
    <w:rsid w:val="5DA3C6CA"/>
    <w:rsid w:val="5DA5E9B8"/>
    <w:rsid w:val="5DA6F13E"/>
    <w:rsid w:val="5DB56284"/>
    <w:rsid w:val="5DBF5D85"/>
    <w:rsid w:val="5DC1C606"/>
    <w:rsid w:val="5DDA2658"/>
    <w:rsid w:val="5DDA459B"/>
    <w:rsid w:val="5DDBC2D7"/>
    <w:rsid w:val="5DDEE1D8"/>
    <w:rsid w:val="5DE023AF"/>
    <w:rsid w:val="5DE3A87D"/>
    <w:rsid w:val="5DE4D2C8"/>
    <w:rsid w:val="5DE98DDB"/>
    <w:rsid w:val="5DEC23A7"/>
    <w:rsid w:val="5DF183D5"/>
    <w:rsid w:val="5DF69D99"/>
    <w:rsid w:val="5E0167FF"/>
    <w:rsid w:val="5E0246D5"/>
    <w:rsid w:val="5E03E510"/>
    <w:rsid w:val="5E03F7B0"/>
    <w:rsid w:val="5E05A14B"/>
    <w:rsid w:val="5E0E75C2"/>
    <w:rsid w:val="5E13C783"/>
    <w:rsid w:val="5E298F60"/>
    <w:rsid w:val="5E2CE818"/>
    <w:rsid w:val="5E2E13FA"/>
    <w:rsid w:val="5E30E648"/>
    <w:rsid w:val="5E36769B"/>
    <w:rsid w:val="5E4E06DE"/>
    <w:rsid w:val="5E4E9810"/>
    <w:rsid w:val="5E5174AE"/>
    <w:rsid w:val="5E63B78F"/>
    <w:rsid w:val="5E70D665"/>
    <w:rsid w:val="5E8304DF"/>
    <w:rsid w:val="5E88C087"/>
    <w:rsid w:val="5E89F9AF"/>
    <w:rsid w:val="5E954466"/>
    <w:rsid w:val="5E9658D9"/>
    <w:rsid w:val="5E9C3435"/>
    <w:rsid w:val="5E9CB2CD"/>
    <w:rsid w:val="5EA6BEDA"/>
    <w:rsid w:val="5EA72A6E"/>
    <w:rsid w:val="5EAF6E1D"/>
    <w:rsid w:val="5EB1668C"/>
    <w:rsid w:val="5EB8B719"/>
    <w:rsid w:val="5EBCAEFD"/>
    <w:rsid w:val="5EC03DFA"/>
    <w:rsid w:val="5ED58AD5"/>
    <w:rsid w:val="5ED892C5"/>
    <w:rsid w:val="5EE32635"/>
    <w:rsid w:val="5EE63199"/>
    <w:rsid w:val="5EE6F671"/>
    <w:rsid w:val="5EEE929C"/>
    <w:rsid w:val="5EEF9870"/>
    <w:rsid w:val="5F1FB944"/>
    <w:rsid w:val="5F244C16"/>
    <w:rsid w:val="5F24852C"/>
    <w:rsid w:val="5F24D77E"/>
    <w:rsid w:val="5F2DCBE7"/>
    <w:rsid w:val="5F3597C9"/>
    <w:rsid w:val="5F372057"/>
    <w:rsid w:val="5F546D39"/>
    <w:rsid w:val="5F554D7F"/>
    <w:rsid w:val="5F56F248"/>
    <w:rsid w:val="5F5CFCCC"/>
    <w:rsid w:val="5F5D5790"/>
    <w:rsid w:val="5F657F15"/>
    <w:rsid w:val="5F6AE4BE"/>
    <w:rsid w:val="5F78C00F"/>
    <w:rsid w:val="5F9161FB"/>
    <w:rsid w:val="5F9BB63A"/>
    <w:rsid w:val="5FA03E5B"/>
    <w:rsid w:val="5FA62894"/>
    <w:rsid w:val="5FA9A47C"/>
    <w:rsid w:val="5FBD7A1C"/>
    <w:rsid w:val="5FBD9D6D"/>
    <w:rsid w:val="5FC3E84E"/>
    <w:rsid w:val="5FCBB48F"/>
    <w:rsid w:val="5FD09141"/>
    <w:rsid w:val="5FD63174"/>
    <w:rsid w:val="5FDE54E6"/>
    <w:rsid w:val="5FE25CBD"/>
    <w:rsid w:val="5FE8DA7A"/>
    <w:rsid w:val="5FF39A7C"/>
    <w:rsid w:val="5FF64240"/>
    <w:rsid w:val="6003FE35"/>
    <w:rsid w:val="60062C5F"/>
    <w:rsid w:val="6014462F"/>
    <w:rsid w:val="60196B3D"/>
    <w:rsid w:val="601A12F5"/>
    <w:rsid w:val="601C94C1"/>
    <w:rsid w:val="601D7044"/>
    <w:rsid w:val="601DCC1A"/>
    <w:rsid w:val="60225304"/>
    <w:rsid w:val="602D6B68"/>
    <w:rsid w:val="6036CFAE"/>
    <w:rsid w:val="603A03C6"/>
    <w:rsid w:val="60442564"/>
    <w:rsid w:val="605195B7"/>
    <w:rsid w:val="60550CEF"/>
    <w:rsid w:val="605DB7BC"/>
    <w:rsid w:val="60614256"/>
    <w:rsid w:val="6068178F"/>
    <w:rsid w:val="606A979A"/>
    <w:rsid w:val="60710C42"/>
    <w:rsid w:val="6074A131"/>
    <w:rsid w:val="6079AEDB"/>
    <w:rsid w:val="608AA549"/>
    <w:rsid w:val="60901FB7"/>
    <w:rsid w:val="6099BE69"/>
    <w:rsid w:val="60A0469D"/>
    <w:rsid w:val="60D1DE3D"/>
    <w:rsid w:val="60D37479"/>
    <w:rsid w:val="60DA9956"/>
    <w:rsid w:val="60DE2960"/>
    <w:rsid w:val="60DFDEB1"/>
    <w:rsid w:val="60E6DF24"/>
    <w:rsid w:val="60E9D79E"/>
    <w:rsid w:val="60F41124"/>
    <w:rsid w:val="60F53B4E"/>
    <w:rsid w:val="60F8B3F5"/>
    <w:rsid w:val="61027BDE"/>
    <w:rsid w:val="61171080"/>
    <w:rsid w:val="611766C4"/>
    <w:rsid w:val="611B6CF2"/>
    <w:rsid w:val="6131A224"/>
    <w:rsid w:val="6143F0B0"/>
    <w:rsid w:val="6145E8CE"/>
    <w:rsid w:val="6154CD38"/>
    <w:rsid w:val="615521D4"/>
    <w:rsid w:val="61609AC7"/>
    <w:rsid w:val="6168FA43"/>
    <w:rsid w:val="616D4BE4"/>
    <w:rsid w:val="617103E8"/>
    <w:rsid w:val="6174FB11"/>
    <w:rsid w:val="617BD75A"/>
    <w:rsid w:val="618B9577"/>
    <w:rsid w:val="618DAD01"/>
    <w:rsid w:val="619B0502"/>
    <w:rsid w:val="619E07A8"/>
    <w:rsid w:val="61A5733A"/>
    <w:rsid w:val="61B1B64C"/>
    <w:rsid w:val="61B707C9"/>
    <w:rsid w:val="61C37D6C"/>
    <w:rsid w:val="61C4A587"/>
    <w:rsid w:val="61C90EC3"/>
    <w:rsid w:val="61C9975C"/>
    <w:rsid w:val="61CC029E"/>
    <w:rsid w:val="61D4D00E"/>
    <w:rsid w:val="61DB8744"/>
    <w:rsid w:val="61DE38D3"/>
    <w:rsid w:val="61DF1317"/>
    <w:rsid w:val="61ED6473"/>
    <w:rsid w:val="61EDBF97"/>
    <w:rsid w:val="61FD537C"/>
    <w:rsid w:val="6201F3D3"/>
    <w:rsid w:val="620859BC"/>
    <w:rsid w:val="620BC847"/>
    <w:rsid w:val="6210F4FB"/>
    <w:rsid w:val="6213C3DB"/>
    <w:rsid w:val="6214C6AC"/>
    <w:rsid w:val="62165437"/>
    <w:rsid w:val="622453F2"/>
    <w:rsid w:val="62254F51"/>
    <w:rsid w:val="6234F8FE"/>
    <w:rsid w:val="62529C93"/>
    <w:rsid w:val="626748EC"/>
    <w:rsid w:val="62702D18"/>
    <w:rsid w:val="628670B9"/>
    <w:rsid w:val="6293332F"/>
    <w:rsid w:val="6294BA9C"/>
    <w:rsid w:val="62ACF907"/>
    <w:rsid w:val="62B6DFCB"/>
    <w:rsid w:val="62BC9EBC"/>
    <w:rsid w:val="62C3DEB2"/>
    <w:rsid w:val="62CDFBE6"/>
    <w:rsid w:val="62D7BD88"/>
    <w:rsid w:val="62E1F58A"/>
    <w:rsid w:val="62E743DE"/>
    <w:rsid w:val="62EB5532"/>
    <w:rsid w:val="62ECE03D"/>
    <w:rsid w:val="62F0B5A7"/>
    <w:rsid w:val="63049503"/>
    <w:rsid w:val="63049EA5"/>
    <w:rsid w:val="630DB150"/>
    <w:rsid w:val="630E1565"/>
    <w:rsid w:val="63152DC8"/>
    <w:rsid w:val="63296582"/>
    <w:rsid w:val="632B5130"/>
    <w:rsid w:val="63354122"/>
    <w:rsid w:val="634A3957"/>
    <w:rsid w:val="6359E9D2"/>
    <w:rsid w:val="635D873D"/>
    <w:rsid w:val="635FA71E"/>
    <w:rsid w:val="636196C0"/>
    <w:rsid w:val="6362BEF0"/>
    <w:rsid w:val="63716B26"/>
    <w:rsid w:val="63786E47"/>
    <w:rsid w:val="6379C732"/>
    <w:rsid w:val="63822A3F"/>
    <w:rsid w:val="6389F955"/>
    <w:rsid w:val="638AC9F1"/>
    <w:rsid w:val="639540C3"/>
    <w:rsid w:val="639E8074"/>
    <w:rsid w:val="63A154AD"/>
    <w:rsid w:val="63A43D68"/>
    <w:rsid w:val="63B19F63"/>
    <w:rsid w:val="63D4A2BE"/>
    <w:rsid w:val="63DE3A88"/>
    <w:rsid w:val="63E2BBF5"/>
    <w:rsid w:val="63ED7A3A"/>
    <w:rsid w:val="63F40752"/>
    <w:rsid w:val="63F45271"/>
    <w:rsid w:val="64026570"/>
    <w:rsid w:val="640F2D34"/>
    <w:rsid w:val="641CA8C8"/>
    <w:rsid w:val="6424F8DB"/>
    <w:rsid w:val="643C9905"/>
    <w:rsid w:val="6441AC9B"/>
    <w:rsid w:val="6444FE41"/>
    <w:rsid w:val="644AB64B"/>
    <w:rsid w:val="64570083"/>
    <w:rsid w:val="645703A8"/>
    <w:rsid w:val="6459A937"/>
    <w:rsid w:val="645D677B"/>
    <w:rsid w:val="64757C9A"/>
    <w:rsid w:val="647A05F6"/>
    <w:rsid w:val="647E2DEB"/>
    <w:rsid w:val="6480DF81"/>
    <w:rsid w:val="6481C58C"/>
    <w:rsid w:val="6484B778"/>
    <w:rsid w:val="649602BA"/>
    <w:rsid w:val="649B009F"/>
    <w:rsid w:val="649F99DC"/>
    <w:rsid w:val="64A6770D"/>
    <w:rsid w:val="64A6781E"/>
    <w:rsid w:val="64C00457"/>
    <w:rsid w:val="64CA950C"/>
    <w:rsid w:val="64D4FABA"/>
    <w:rsid w:val="64D624EE"/>
    <w:rsid w:val="64DABAA5"/>
    <w:rsid w:val="64EA98E9"/>
    <w:rsid w:val="64F1C56B"/>
    <w:rsid w:val="64F82637"/>
    <w:rsid w:val="64F8BFAA"/>
    <w:rsid w:val="6506A153"/>
    <w:rsid w:val="65169561"/>
    <w:rsid w:val="65179CB8"/>
    <w:rsid w:val="65221F26"/>
    <w:rsid w:val="6530A513"/>
    <w:rsid w:val="653F6AD3"/>
    <w:rsid w:val="65491A3F"/>
    <w:rsid w:val="65526745"/>
    <w:rsid w:val="6558BCFC"/>
    <w:rsid w:val="655F1DA3"/>
    <w:rsid w:val="656E6C0E"/>
    <w:rsid w:val="65737A81"/>
    <w:rsid w:val="65799192"/>
    <w:rsid w:val="65823286"/>
    <w:rsid w:val="65894945"/>
    <w:rsid w:val="65A215A7"/>
    <w:rsid w:val="65B1B53F"/>
    <w:rsid w:val="65B56116"/>
    <w:rsid w:val="65BDBE86"/>
    <w:rsid w:val="65CC87D4"/>
    <w:rsid w:val="65D8A8E7"/>
    <w:rsid w:val="65EFECA4"/>
    <w:rsid w:val="65EFF865"/>
    <w:rsid w:val="65F50C6B"/>
    <w:rsid w:val="65FDD916"/>
    <w:rsid w:val="662233FC"/>
    <w:rsid w:val="6636E089"/>
    <w:rsid w:val="6638CFB7"/>
    <w:rsid w:val="66393B1F"/>
    <w:rsid w:val="663C04D2"/>
    <w:rsid w:val="664245D8"/>
    <w:rsid w:val="6650C60F"/>
    <w:rsid w:val="66561CE6"/>
    <w:rsid w:val="665D3670"/>
    <w:rsid w:val="6666CE1D"/>
    <w:rsid w:val="666DF6DD"/>
    <w:rsid w:val="66752E51"/>
    <w:rsid w:val="667B91DD"/>
    <w:rsid w:val="66813A49"/>
    <w:rsid w:val="668174DC"/>
    <w:rsid w:val="66868F87"/>
    <w:rsid w:val="668E82A6"/>
    <w:rsid w:val="66937D0C"/>
    <w:rsid w:val="669A2F4F"/>
    <w:rsid w:val="66B43691"/>
    <w:rsid w:val="66B7F0D5"/>
    <w:rsid w:val="66B826C3"/>
    <w:rsid w:val="66BC802A"/>
    <w:rsid w:val="66C76EEE"/>
    <w:rsid w:val="66CD3284"/>
    <w:rsid w:val="66E24EAB"/>
    <w:rsid w:val="66E8CAE6"/>
    <w:rsid w:val="66F2D930"/>
    <w:rsid w:val="66F49F43"/>
    <w:rsid w:val="66FC876E"/>
    <w:rsid w:val="670E07E5"/>
    <w:rsid w:val="672F0091"/>
    <w:rsid w:val="674858B1"/>
    <w:rsid w:val="6754E415"/>
    <w:rsid w:val="675AE09A"/>
    <w:rsid w:val="675C975C"/>
    <w:rsid w:val="675CDB3A"/>
    <w:rsid w:val="675CFC2D"/>
    <w:rsid w:val="6763C716"/>
    <w:rsid w:val="676E20D1"/>
    <w:rsid w:val="676F35FB"/>
    <w:rsid w:val="67712B91"/>
    <w:rsid w:val="6777511C"/>
    <w:rsid w:val="677CBB79"/>
    <w:rsid w:val="679451CE"/>
    <w:rsid w:val="67AAE897"/>
    <w:rsid w:val="67B41951"/>
    <w:rsid w:val="67BD6F23"/>
    <w:rsid w:val="67C694BF"/>
    <w:rsid w:val="67CED6BC"/>
    <w:rsid w:val="67D3F705"/>
    <w:rsid w:val="67D55E4C"/>
    <w:rsid w:val="67D94B7E"/>
    <w:rsid w:val="67DFA99E"/>
    <w:rsid w:val="67E4D3BF"/>
    <w:rsid w:val="67E8714F"/>
    <w:rsid w:val="67EB09BF"/>
    <w:rsid w:val="67F0B33C"/>
    <w:rsid w:val="67F2BFF9"/>
    <w:rsid w:val="67F45D39"/>
    <w:rsid w:val="67F5D95E"/>
    <w:rsid w:val="67FA5F08"/>
    <w:rsid w:val="67FA9A9E"/>
    <w:rsid w:val="67FE4C9B"/>
    <w:rsid w:val="68144D9B"/>
    <w:rsid w:val="681D2797"/>
    <w:rsid w:val="682E6F92"/>
    <w:rsid w:val="68331DA9"/>
    <w:rsid w:val="683AC951"/>
    <w:rsid w:val="683EEA91"/>
    <w:rsid w:val="684A54F6"/>
    <w:rsid w:val="68512E2D"/>
    <w:rsid w:val="685C69F8"/>
    <w:rsid w:val="6863BE9E"/>
    <w:rsid w:val="6872EE66"/>
    <w:rsid w:val="688B3635"/>
    <w:rsid w:val="68952342"/>
    <w:rsid w:val="689685FD"/>
    <w:rsid w:val="68AAFB29"/>
    <w:rsid w:val="68B9C486"/>
    <w:rsid w:val="68C36E5C"/>
    <w:rsid w:val="68C3B675"/>
    <w:rsid w:val="68D4B24B"/>
    <w:rsid w:val="68D94E5E"/>
    <w:rsid w:val="68D9A1BA"/>
    <w:rsid w:val="68E34FF5"/>
    <w:rsid w:val="68E36D0E"/>
    <w:rsid w:val="68E39D11"/>
    <w:rsid w:val="68E7EB8B"/>
    <w:rsid w:val="68EBBBEE"/>
    <w:rsid w:val="68EC301A"/>
    <w:rsid w:val="68F791F2"/>
    <w:rsid w:val="68FF6B00"/>
    <w:rsid w:val="6909E0FF"/>
    <w:rsid w:val="690CF479"/>
    <w:rsid w:val="6914A6FE"/>
    <w:rsid w:val="69162A0E"/>
    <w:rsid w:val="691798A6"/>
    <w:rsid w:val="691A3A2C"/>
    <w:rsid w:val="691EC834"/>
    <w:rsid w:val="691FDADD"/>
    <w:rsid w:val="6922797E"/>
    <w:rsid w:val="6924BC7C"/>
    <w:rsid w:val="693E8339"/>
    <w:rsid w:val="69404F05"/>
    <w:rsid w:val="6941289D"/>
    <w:rsid w:val="69419121"/>
    <w:rsid w:val="69430FF9"/>
    <w:rsid w:val="69444F2D"/>
    <w:rsid w:val="6945098B"/>
    <w:rsid w:val="6953F62D"/>
    <w:rsid w:val="695671D3"/>
    <w:rsid w:val="6957B655"/>
    <w:rsid w:val="6960410C"/>
    <w:rsid w:val="69719F2D"/>
    <w:rsid w:val="697D6F92"/>
    <w:rsid w:val="697FB723"/>
    <w:rsid w:val="69807BA7"/>
    <w:rsid w:val="69880D92"/>
    <w:rsid w:val="6989C006"/>
    <w:rsid w:val="698C4F22"/>
    <w:rsid w:val="69989D8A"/>
    <w:rsid w:val="69A2D56C"/>
    <w:rsid w:val="69B15187"/>
    <w:rsid w:val="69B95DE1"/>
    <w:rsid w:val="69BA0AE8"/>
    <w:rsid w:val="69BBE86D"/>
    <w:rsid w:val="69BE7C1E"/>
    <w:rsid w:val="69BF499B"/>
    <w:rsid w:val="69C0EDE6"/>
    <w:rsid w:val="69CE4465"/>
    <w:rsid w:val="69CFDFE7"/>
    <w:rsid w:val="69D69CCE"/>
    <w:rsid w:val="69DD0F82"/>
    <w:rsid w:val="69DFCA26"/>
    <w:rsid w:val="69E17F19"/>
    <w:rsid w:val="69E9E963"/>
    <w:rsid w:val="69F92A36"/>
    <w:rsid w:val="69FD1C8D"/>
    <w:rsid w:val="6A0DA4F8"/>
    <w:rsid w:val="6A1F382B"/>
    <w:rsid w:val="6A27148C"/>
    <w:rsid w:val="6A38C4F3"/>
    <w:rsid w:val="6A3D7982"/>
    <w:rsid w:val="6A449AAE"/>
    <w:rsid w:val="6A48FA97"/>
    <w:rsid w:val="6A4B5D4D"/>
    <w:rsid w:val="6A50A621"/>
    <w:rsid w:val="6A605928"/>
    <w:rsid w:val="6A8B9F8C"/>
    <w:rsid w:val="6A91CCBD"/>
    <w:rsid w:val="6A947099"/>
    <w:rsid w:val="6A9EDE78"/>
    <w:rsid w:val="6AA091A7"/>
    <w:rsid w:val="6AA7D36A"/>
    <w:rsid w:val="6AB4AD79"/>
    <w:rsid w:val="6AB6C07B"/>
    <w:rsid w:val="6ACE3463"/>
    <w:rsid w:val="6AD0A58F"/>
    <w:rsid w:val="6AD154FC"/>
    <w:rsid w:val="6AD61523"/>
    <w:rsid w:val="6AE49B84"/>
    <w:rsid w:val="6AF203ED"/>
    <w:rsid w:val="6AF71E07"/>
    <w:rsid w:val="6AF7B7F2"/>
    <w:rsid w:val="6B06CD14"/>
    <w:rsid w:val="6B070BD0"/>
    <w:rsid w:val="6B1238C3"/>
    <w:rsid w:val="6B17AD57"/>
    <w:rsid w:val="6B1A62BD"/>
    <w:rsid w:val="6B1F05F2"/>
    <w:rsid w:val="6B24F1C2"/>
    <w:rsid w:val="6B2F02A2"/>
    <w:rsid w:val="6B430531"/>
    <w:rsid w:val="6B4BE61F"/>
    <w:rsid w:val="6B4E4C36"/>
    <w:rsid w:val="6B531495"/>
    <w:rsid w:val="6B5943B7"/>
    <w:rsid w:val="6B59F24D"/>
    <w:rsid w:val="6B5B315A"/>
    <w:rsid w:val="6B63CEB5"/>
    <w:rsid w:val="6B685670"/>
    <w:rsid w:val="6B6A9B5F"/>
    <w:rsid w:val="6B6F611D"/>
    <w:rsid w:val="6B766392"/>
    <w:rsid w:val="6B789030"/>
    <w:rsid w:val="6B94C554"/>
    <w:rsid w:val="6B96D8E4"/>
    <w:rsid w:val="6B9B54F6"/>
    <w:rsid w:val="6B9E0DE8"/>
    <w:rsid w:val="6BAE0069"/>
    <w:rsid w:val="6BB150F9"/>
    <w:rsid w:val="6BB31702"/>
    <w:rsid w:val="6BB5BB3A"/>
    <w:rsid w:val="6BBB5E96"/>
    <w:rsid w:val="6BBC04E6"/>
    <w:rsid w:val="6BC633D5"/>
    <w:rsid w:val="6BD0230B"/>
    <w:rsid w:val="6BD28C62"/>
    <w:rsid w:val="6BEEDD9C"/>
    <w:rsid w:val="6BF2275E"/>
    <w:rsid w:val="6BF4FEAC"/>
    <w:rsid w:val="6C0371F0"/>
    <w:rsid w:val="6C16632B"/>
    <w:rsid w:val="6C176E5A"/>
    <w:rsid w:val="6C1E4096"/>
    <w:rsid w:val="6C21E43A"/>
    <w:rsid w:val="6C2A45D6"/>
    <w:rsid w:val="6C2C4AD4"/>
    <w:rsid w:val="6C2D67E2"/>
    <w:rsid w:val="6C36B845"/>
    <w:rsid w:val="6C37D98E"/>
    <w:rsid w:val="6C3A1D8D"/>
    <w:rsid w:val="6C40AC7A"/>
    <w:rsid w:val="6C452520"/>
    <w:rsid w:val="6C50DD1E"/>
    <w:rsid w:val="6C530A3C"/>
    <w:rsid w:val="6C53D03F"/>
    <w:rsid w:val="6C55B5E0"/>
    <w:rsid w:val="6C55F106"/>
    <w:rsid w:val="6C69F01E"/>
    <w:rsid w:val="6C6E8F97"/>
    <w:rsid w:val="6C75232B"/>
    <w:rsid w:val="6C885054"/>
    <w:rsid w:val="6C898E9F"/>
    <w:rsid w:val="6C923C4D"/>
    <w:rsid w:val="6C924231"/>
    <w:rsid w:val="6C968226"/>
    <w:rsid w:val="6C985680"/>
    <w:rsid w:val="6C9AF0DD"/>
    <w:rsid w:val="6CABC957"/>
    <w:rsid w:val="6CAEDFA9"/>
    <w:rsid w:val="6CB44509"/>
    <w:rsid w:val="6CBB7071"/>
    <w:rsid w:val="6CBFB9B2"/>
    <w:rsid w:val="6CC3933B"/>
    <w:rsid w:val="6CCC1E12"/>
    <w:rsid w:val="6CCEF367"/>
    <w:rsid w:val="6CDBB5F4"/>
    <w:rsid w:val="6CF0B5E4"/>
    <w:rsid w:val="6CFFD925"/>
    <w:rsid w:val="6D045EE6"/>
    <w:rsid w:val="6D142A44"/>
    <w:rsid w:val="6D20F3CB"/>
    <w:rsid w:val="6D240676"/>
    <w:rsid w:val="6D38199B"/>
    <w:rsid w:val="6D3999D1"/>
    <w:rsid w:val="6D3B840D"/>
    <w:rsid w:val="6D482D3A"/>
    <w:rsid w:val="6D5C1A5F"/>
    <w:rsid w:val="6D5C7FD6"/>
    <w:rsid w:val="6D62D88C"/>
    <w:rsid w:val="6D65F179"/>
    <w:rsid w:val="6D6DCE36"/>
    <w:rsid w:val="6D763691"/>
    <w:rsid w:val="6D7B367F"/>
    <w:rsid w:val="6D7E109C"/>
    <w:rsid w:val="6D8828A8"/>
    <w:rsid w:val="6D9676CD"/>
    <w:rsid w:val="6D9CA5BC"/>
    <w:rsid w:val="6DA9AB56"/>
    <w:rsid w:val="6DB3017C"/>
    <w:rsid w:val="6DB9D5B8"/>
    <w:rsid w:val="6DBB09A7"/>
    <w:rsid w:val="6DBB2FE0"/>
    <w:rsid w:val="6DBC88E1"/>
    <w:rsid w:val="6DBE1C71"/>
    <w:rsid w:val="6DBF2274"/>
    <w:rsid w:val="6DC461CA"/>
    <w:rsid w:val="6DDBB57D"/>
    <w:rsid w:val="6DE195DF"/>
    <w:rsid w:val="6DEE4D56"/>
    <w:rsid w:val="6DEF0123"/>
    <w:rsid w:val="6E196D56"/>
    <w:rsid w:val="6E1A3A9E"/>
    <w:rsid w:val="6E1A4231"/>
    <w:rsid w:val="6E1BE0B7"/>
    <w:rsid w:val="6E287172"/>
    <w:rsid w:val="6E29B03D"/>
    <w:rsid w:val="6E36CB3E"/>
    <w:rsid w:val="6E3D3529"/>
    <w:rsid w:val="6E46DD1A"/>
    <w:rsid w:val="6E4D6C9E"/>
    <w:rsid w:val="6E62308C"/>
    <w:rsid w:val="6E6EE00D"/>
    <w:rsid w:val="6E752729"/>
    <w:rsid w:val="6E8518DD"/>
    <w:rsid w:val="6E86E47D"/>
    <w:rsid w:val="6EA8A5B5"/>
    <w:rsid w:val="6ECAA7B7"/>
    <w:rsid w:val="6ECBC412"/>
    <w:rsid w:val="6ED0F69D"/>
    <w:rsid w:val="6EDA63B6"/>
    <w:rsid w:val="6EDA9241"/>
    <w:rsid w:val="6EDD5929"/>
    <w:rsid w:val="6EE429DF"/>
    <w:rsid w:val="6EF83BEE"/>
    <w:rsid w:val="6EF98A8C"/>
    <w:rsid w:val="6EFA1FC2"/>
    <w:rsid w:val="6F01F9D7"/>
    <w:rsid w:val="6F11D487"/>
    <w:rsid w:val="6F1303E9"/>
    <w:rsid w:val="6F1B7850"/>
    <w:rsid w:val="6F20AEB3"/>
    <w:rsid w:val="6F2B498C"/>
    <w:rsid w:val="6F3BF49C"/>
    <w:rsid w:val="6F470DD4"/>
    <w:rsid w:val="6F475B15"/>
    <w:rsid w:val="6F537B08"/>
    <w:rsid w:val="6F555764"/>
    <w:rsid w:val="6F559AD1"/>
    <w:rsid w:val="6F570E35"/>
    <w:rsid w:val="6F6332F7"/>
    <w:rsid w:val="6F640D17"/>
    <w:rsid w:val="6F6667A5"/>
    <w:rsid w:val="6F6C6259"/>
    <w:rsid w:val="6F70F580"/>
    <w:rsid w:val="6F8285C8"/>
    <w:rsid w:val="6F9BB3EE"/>
    <w:rsid w:val="6FAEE688"/>
    <w:rsid w:val="6FAFC084"/>
    <w:rsid w:val="6FB4A75C"/>
    <w:rsid w:val="6FB932F8"/>
    <w:rsid w:val="6FBF9A03"/>
    <w:rsid w:val="6FC0FAE8"/>
    <w:rsid w:val="6FC216B3"/>
    <w:rsid w:val="6FC2EDC8"/>
    <w:rsid w:val="6FC3518C"/>
    <w:rsid w:val="6FC7A43D"/>
    <w:rsid w:val="6FC7A8A0"/>
    <w:rsid w:val="6FCB04A3"/>
    <w:rsid w:val="6FCDEBBA"/>
    <w:rsid w:val="6FD8E4F8"/>
    <w:rsid w:val="6FD9E9FE"/>
    <w:rsid w:val="6FDB35FB"/>
    <w:rsid w:val="6FDD3876"/>
    <w:rsid w:val="6FE0140B"/>
    <w:rsid w:val="6FE98D50"/>
    <w:rsid w:val="6FF213AA"/>
    <w:rsid w:val="6FF255AA"/>
    <w:rsid w:val="6FFB9062"/>
    <w:rsid w:val="7004D10A"/>
    <w:rsid w:val="70092824"/>
    <w:rsid w:val="700C0CE3"/>
    <w:rsid w:val="70103125"/>
    <w:rsid w:val="701343E0"/>
    <w:rsid w:val="70176206"/>
    <w:rsid w:val="701D9C34"/>
    <w:rsid w:val="70213208"/>
    <w:rsid w:val="70328AA1"/>
    <w:rsid w:val="7035EE21"/>
    <w:rsid w:val="7049449E"/>
    <w:rsid w:val="7049817D"/>
    <w:rsid w:val="704BDBD2"/>
    <w:rsid w:val="705025CD"/>
    <w:rsid w:val="70521A54"/>
    <w:rsid w:val="7059D48C"/>
    <w:rsid w:val="705B00BB"/>
    <w:rsid w:val="7060D055"/>
    <w:rsid w:val="70610E80"/>
    <w:rsid w:val="70633208"/>
    <w:rsid w:val="706715DD"/>
    <w:rsid w:val="7070D903"/>
    <w:rsid w:val="7074F07A"/>
    <w:rsid w:val="707CC0A3"/>
    <w:rsid w:val="707F53B0"/>
    <w:rsid w:val="7089735B"/>
    <w:rsid w:val="708A1D29"/>
    <w:rsid w:val="708B8C25"/>
    <w:rsid w:val="7095541D"/>
    <w:rsid w:val="70A57217"/>
    <w:rsid w:val="70BD435D"/>
    <w:rsid w:val="70BE1800"/>
    <w:rsid w:val="70C45137"/>
    <w:rsid w:val="70D2B7BE"/>
    <w:rsid w:val="70D53286"/>
    <w:rsid w:val="70D786EC"/>
    <w:rsid w:val="70DAF8B1"/>
    <w:rsid w:val="70DDEB61"/>
    <w:rsid w:val="70F2A0AE"/>
    <w:rsid w:val="70F2D329"/>
    <w:rsid w:val="70F7A3A3"/>
    <w:rsid w:val="70FE23A8"/>
    <w:rsid w:val="7104006A"/>
    <w:rsid w:val="71164421"/>
    <w:rsid w:val="7116F4E0"/>
    <w:rsid w:val="711AD699"/>
    <w:rsid w:val="712A0F9D"/>
    <w:rsid w:val="712A10FC"/>
    <w:rsid w:val="712F7A95"/>
    <w:rsid w:val="71452167"/>
    <w:rsid w:val="715ADECA"/>
    <w:rsid w:val="715CCB8E"/>
    <w:rsid w:val="716AFF34"/>
    <w:rsid w:val="71707087"/>
    <w:rsid w:val="71764DA3"/>
    <w:rsid w:val="71830D90"/>
    <w:rsid w:val="7187FA15"/>
    <w:rsid w:val="7188A588"/>
    <w:rsid w:val="718B3C36"/>
    <w:rsid w:val="719A53AC"/>
    <w:rsid w:val="71ACB551"/>
    <w:rsid w:val="71AE90E4"/>
    <w:rsid w:val="71B2B025"/>
    <w:rsid w:val="71B59460"/>
    <w:rsid w:val="71C3C709"/>
    <w:rsid w:val="71CA1DD0"/>
    <w:rsid w:val="71CE085A"/>
    <w:rsid w:val="71D6877D"/>
    <w:rsid w:val="71D6A4DF"/>
    <w:rsid w:val="71DB5557"/>
    <w:rsid w:val="71DDA563"/>
    <w:rsid w:val="71DEAAF5"/>
    <w:rsid w:val="71E146FD"/>
    <w:rsid w:val="71E5F475"/>
    <w:rsid w:val="71EA77D2"/>
    <w:rsid w:val="72059585"/>
    <w:rsid w:val="7215D4D7"/>
    <w:rsid w:val="72273B2A"/>
    <w:rsid w:val="72411C1F"/>
    <w:rsid w:val="72423F16"/>
    <w:rsid w:val="724A0DE6"/>
    <w:rsid w:val="72502947"/>
    <w:rsid w:val="7256FDC8"/>
    <w:rsid w:val="72646462"/>
    <w:rsid w:val="726D7921"/>
    <w:rsid w:val="72852B37"/>
    <w:rsid w:val="7286B5C9"/>
    <w:rsid w:val="72882DC1"/>
    <w:rsid w:val="72917BDF"/>
    <w:rsid w:val="7296DE42"/>
    <w:rsid w:val="72984EDD"/>
    <w:rsid w:val="7299A714"/>
    <w:rsid w:val="729BADAA"/>
    <w:rsid w:val="72A1FE50"/>
    <w:rsid w:val="72A81AD9"/>
    <w:rsid w:val="72AF659F"/>
    <w:rsid w:val="72B9F6E8"/>
    <w:rsid w:val="72C26877"/>
    <w:rsid w:val="72C4BA8E"/>
    <w:rsid w:val="72CACBD2"/>
    <w:rsid w:val="72CE79A4"/>
    <w:rsid w:val="72D44F6F"/>
    <w:rsid w:val="72D77DF9"/>
    <w:rsid w:val="72EDB6E0"/>
    <w:rsid w:val="72F3B3A0"/>
    <w:rsid w:val="72F66B06"/>
    <w:rsid w:val="72FD5CA3"/>
    <w:rsid w:val="73041089"/>
    <w:rsid w:val="73221D9B"/>
    <w:rsid w:val="732289B8"/>
    <w:rsid w:val="732492B9"/>
    <w:rsid w:val="732F385E"/>
    <w:rsid w:val="73332780"/>
    <w:rsid w:val="734345C3"/>
    <w:rsid w:val="73441C9E"/>
    <w:rsid w:val="7345E778"/>
    <w:rsid w:val="734CF51C"/>
    <w:rsid w:val="7354B396"/>
    <w:rsid w:val="735A7AF7"/>
    <w:rsid w:val="735B8E38"/>
    <w:rsid w:val="735C7814"/>
    <w:rsid w:val="735F7A91"/>
    <w:rsid w:val="73651FAB"/>
    <w:rsid w:val="7376CB27"/>
    <w:rsid w:val="73835D8D"/>
    <w:rsid w:val="73844234"/>
    <w:rsid w:val="7385A6CF"/>
    <w:rsid w:val="739E1604"/>
    <w:rsid w:val="73AFBF2F"/>
    <w:rsid w:val="73AFEF24"/>
    <w:rsid w:val="73B8FA01"/>
    <w:rsid w:val="73BE90E7"/>
    <w:rsid w:val="73CBF801"/>
    <w:rsid w:val="73CC478B"/>
    <w:rsid w:val="73DE3C99"/>
    <w:rsid w:val="73E1F2C4"/>
    <w:rsid w:val="73EBA34D"/>
    <w:rsid w:val="73F2D174"/>
    <w:rsid w:val="74050B22"/>
    <w:rsid w:val="740CE6C6"/>
    <w:rsid w:val="741236F9"/>
    <w:rsid w:val="74173561"/>
    <w:rsid w:val="741828B3"/>
    <w:rsid w:val="7428081C"/>
    <w:rsid w:val="742F29AE"/>
    <w:rsid w:val="7433D227"/>
    <w:rsid w:val="7434F73D"/>
    <w:rsid w:val="743A8872"/>
    <w:rsid w:val="743E1A5F"/>
    <w:rsid w:val="74463FB1"/>
    <w:rsid w:val="7451F3AB"/>
    <w:rsid w:val="74594654"/>
    <w:rsid w:val="745C8C38"/>
    <w:rsid w:val="745DE660"/>
    <w:rsid w:val="74626449"/>
    <w:rsid w:val="7479BB85"/>
    <w:rsid w:val="747BD490"/>
    <w:rsid w:val="747D2C47"/>
    <w:rsid w:val="7489F755"/>
    <w:rsid w:val="7496FFFA"/>
    <w:rsid w:val="74971B8A"/>
    <w:rsid w:val="749B98E0"/>
    <w:rsid w:val="749BE391"/>
    <w:rsid w:val="74A4895C"/>
    <w:rsid w:val="74AA38A7"/>
    <w:rsid w:val="74B419AB"/>
    <w:rsid w:val="74B6D87E"/>
    <w:rsid w:val="74BFD4A1"/>
    <w:rsid w:val="74C271AB"/>
    <w:rsid w:val="74C49C6A"/>
    <w:rsid w:val="74D37801"/>
    <w:rsid w:val="74D5F4E5"/>
    <w:rsid w:val="74DA07AA"/>
    <w:rsid w:val="74DB4A9F"/>
    <w:rsid w:val="74E46086"/>
    <w:rsid w:val="74E6D511"/>
    <w:rsid w:val="74EC8B60"/>
    <w:rsid w:val="74ED2574"/>
    <w:rsid w:val="74ED5AEB"/>
    <w:rsid w:val="74EED771"/>
    <w:rsid w:val="74FBE74A"/>
    <w:rsid w:val="75007620"/>
    <w:rsid w:val="7501D452"/>
    <w:rsid w:val="75148B00"/>
    <w:rsid w:val="751B414A"/>
    <w:rsid w:val="751E5F3C"/>
    <w:rsid w:val="7520838F"/>
    <w:rsid w:val="7523F67B"/>
    <w:rsid w:val="752AA655"/>
    <w:rsid w:val="752D280F"/>
    <w:rsid w:val="752FEDA5"/>
    <w:rsid w:val="753B8680"/>
    <w:rsid w:val="753C070F"/>
    <w:rsid w:val="754F7315"/>
    <w:rsid w:val="755ADFB3"/>
    <w:rsid w:val="7579F714"/>
    <w:rsid w:val="757BF35B"/>
    <w:rsid w:val="7587AEE6"/>
    <w:rsid w:val="758AB5F5"/>
    <w:rsid w:val="75927E95"/>
    <w:rsid w:val="759C81AE"/>
    <w:rsid w:val="75A51284"/>
    <w:rsid w:val="75A853E8"/>
    <w:rsid w:val="75AA231E"/>
    <w:rsid w:val="75B59BD3"/>
    <w:rsid w:val="75B83A48"/>
    <w:rsid w:val="75C9DAA6"/>
    <w:rsid w:val="75CEB55B"/>
    <w:rsid w:val="75E4D3D9"/>
    <w:rsid w:val="75E9C436"/>
    <w:rsid w:val="75FDDCCA"/>
    <w:rsid w:val="7600A1A5"/>
    <w:rsid w:val="7611242F"/>
    <w:rsid w:val="76245736"/>
    <w:rsid w:val="7627B82E"/>
    <w:rsid w:val="763F3B88"/>
    <w:rsid w:val="76565614"/>
    <w:rsid w:val="765FABA5"/>
    <w:rsid w:val="766BBC43"/>
    <w:rsid w:val="768D57EB"/>
    <w:rsid w:val="768FCCD5"/>
    <w:rsid w:val="769382EB"/>
    <w:rsid w:val="76B292EE"/>
    <w:rsid w:val="76B6F142"/>
    <w:rsid w:val="76D11B72"/>
    <w:rsid w:val="7702BBE8"/>
    <w:rsid w:val="77059BDD"/>
    <w:rsid w:val="771DCC5D"/>
    <w:rsid w:val="772045AF"/>
    <w:rsid w:val="7728F575"/>
    <w:rsid w:val="772C28E7"/>
    <w:rsid w:val="772E463A"/>
    <w:rsid w:val="773DB284"/>
    <w:rsid w:val="7766A288"/>
    <w:rsid w:val="776ECC2C"/>
    <w:rsid w:val="7776394C"/>
    <w:rsid w:val="7799DA6B"/>
    <w:rsid w:val="779F8F0B"/>
    <w:rsid w:val="77A469EE"/>
    <w:rsid w:val="77AF6325"/>
    <w:rsid w:val="77B97BE1"/>
    <w:rsid w:val="77B998BE"/>
    <w:rsid w:val="77C43434"/>
    <w:rsid w:val="77D0A4DC"/>
    <w:rsid w:val="77D7BFDF"/>
    <w:rsid w:val="77E1C979"/>
    <w:rsid w:val="77E592EA"/>
    <w:rsid w:val="77E6F627"/>
    <w:rsid w:val="77F5C0D9"/>
    <w:rsid w:val="77FCBBAE"/>
    <w:rsid w:val="78004CAD"/>
    <w:rsid w:val="7800658D"/>
    <w:rsid w:val="780B491B"/>
    <w:rsid w:val="78159236"/>
    <w:rsid w:val="7815EEAD"/>
    <w:rsid w:val="7816F188"/>
    <w:rsid w:val="781ACD32"/>
    <w:rsid w:val="781BCFC9"/>
    <w:rsid w:val="7831BCB0"/>
    <w:rsid w:val="783D8EA1"/>
    <w:rsid w:val="78417109"/>
    <w:rsid w:val="784CA4DC"/>
    <w:rsid w:val="78520435"/>
    <w:rsid w:val="7853C45B"/>
    <w:rsid w:val="785A041B"/>
    <w:rsid w:val="785DA31B"/>
    <w:rsid w:val="785F68B9"/>
    <w:rsid w:val="786D186D"/>
    <w:rsid w:val="787194F5"/>
    <w:rsid w:val="78803BC2"/>
    <w:rsid w:val="78858358"/>
    <w:rsid w:val="788D1331"/>
    <w:rsid w:val="78911CAE"/>
    <w:rsid w:val="78953BDE"/>
    <w:rsid w:val="789AB029"/>
    <w:rsid w:val="78C117E9"/>
    <w:rsid w:val="78CB77AA"/>
    <w:rsid w:val="78D76ACB"/>
    <w:rsid w:val="78D7A327"/>
    <w:rsid w:val="78DB70A8"/>
    <w:rsid w:val="78DCE8BB"/>
    <w:rsid w:val="78EB1EDE"/>
    <w:rsid w:val="78F76BC3"/>
    <w:rsid w:val="78FE2730"/>
    <w:rsid w:val="78FF2E5F"/>
    <w:rsid w:val="790B8B5B"/>
    <w:rsid w:val="791FF59F"/>
    <w:rsid w:val="79227EDE"/>
    <w:rsid w:val="7937320D"/>
    <w:rsid w:val="793DBC79"/>
    <w:rsid w:val="79413BDD"/>
    <w:rsid w:val="7945F55C"/>
    <w:rsid w:val="7957247C"/>
    <w:rsid w:val="795848B8"/>
    <w:rsid w:val="795E518E"/>
    <w:rsid w:val="796C8954"/>
    <w:rsid w:val="797B7048"/>
    <w:rsid w:val="7981891D"/>
    <w:rsid w:val="79887E76"/>
    <w:rsid w:val="798B63E2"/>
    <w:rsid w:val="79947D9F"/>
    <w:rsid w:val="79A47A1B"/>
    <w:rsid w:val="79ABFDF1"/>
    <w:rsid w:val="79CC9F60"/>
    <w:rsid w:val="79CF90B1"/>
    <w:rsid w:val="79D4EFD8"/>
    <w:rsid w:val="79D52966"/>
    <w:rsid w:val="79EA2FD3"/>
    <w:rsid w:val="79F5ECA2"/>
    <w:rsid w:val="79F70CF2"/>
    <w:rsid w:val="79F7866B"/>
    <w:rsid w:val="7A08184D"/>
    <w:rsid w:val="7A0DC9F5"/>
    <w:rsid w:val="7A15A315"/>
    <w:rsid w:val="7A199742"/>
    <w:rsid w:val="7A1C3736"/>
    <w:rsid w:val="7A265D46"/>
    <w:rsid w:val="7A288379"/>
    <w:rsid w:val="7A2FA5A9"/>
    <w:rsid w:val="7A37E368"/>
    <w:rsid w:val="7A3D0531"/>
    <w:rsid w:val="7A3F24CC"/>
    <w:rsid w:val="7A428414"/>
    <w:rsid w:val="7A45368D"/>
    <w:rsid w:val="7A533D6A"/>
    <w:rsid w:val="7A53AB49"/>
    <w:rsid w:val="7A5ABAD8"/>
    <w:rsid w:val="7A5AF7D0"/>
    <w:rsid w:val="7A61373C"/>
    <w:rsid w:val="7A6503C2"/>
    <w:rsid w:val="7A68D3ED"/>
    <w:rsid w:val="7A70F409"/>
    <w:rsid w:val="7A75B1F5"/>
    <w:rsid w:val="7A8913ED"/>
    <w:rsid w:val="7A989D57"/>
    <w:rsid w:val="7A9DDD66"/>
    <w:rsid w:val="7A9F0BC0"/>
    <w:rsid w:val="7AA2427C"/>
    <w:rsid w:val="7AB28403"/>
    <w:rsid w:val="7AB74387"/>
    <w:rsid w:val="7AC3B37C"/>
    <w:rsid w:val="7ACB1A46"/>
    <w:rsid w:val="7ACCE79C"/>
    <w:rsid w:val="7AD5136D"/>
    <w:rsid w:val="7ADB61F7"/>
    <w:rsid w:val="7AF0BCDA"/>
    <w:rsid w:val="7AFE3D42"/>
    <w:rsid w:val="7B015088"/>
    <w:rsid w:val="7B043B4B"/>
    <w:rsid w:val="7B0850D5"/>
    <w:rsid w:val="7B0946BF"/>
    <w:rsid w:val="7B1154AD"/>
    <w:rsid w:val="7B17CDA3"/>
    <w:rsid w:val="7B1CDBC7"/>
    <w:rsid w:val="7B23C6AC"/>
    <w:rsid w:val="7B2E2DBD"/>
    <w:rsid w:val="7B3C4357"/>
    <w:rsid w:val="7B45A4BC"/>
    <w:rsid w:val="7B45DC75"/>
    <w:rsid w:val="7B4770FE"/>
    <w:rsid w:val="7B5A7525"/>
    <w:rsid w:val="7B5AA04B"/>
    <w:rsid w:val="7B64D9FE"/>
    <w:rsid w:val="7B71B449"/>
    <w:rsid w:val="7B787563"/>
    <w:rsid w:val="7B79903D"/>
    <w:rsid w:val="7B8F3198"/>
    <w:rsid w:val="7B9261BF"/>
    <w:rsid w:val="7B989937"/>
    <w:rsid w:val="7BA4D707"/>
    <w:rsid w:val="7BADEBE2"/>
    <w:rsid w:val="7BAEF822"/>
    <w:rsid w:val="7BAF82E1"/>
    <w:rsid w:val="7BB0D1D4"/>
    <w:rsid w:val="7BB34716"/>
    <w:rsid w:val="7BB9D98C"/>
    <w:rsid w:val="7BBD28CF"/>
    <w:rsid w:val="7BC2B016"/>
    <w:rsid w:val="7BC3E675"/>
    <w:rsid w:val="7BC4DB7C"/>
    <w:rsid w:val="7BC64DDC"/>
    <w:rsid w:val="7BCDEBE0"/>
    <w:rsid w:val="7BD189E5"/>
    <w:rsid w:val="7BD231F0"/>
    <w:rsid w:val="7BE16049"/>
    <w:rsid w:val="7BEA0133"/>
    <w:rsid w:val="7BEC7E89"/>
    <w:rsid w:val="7BEC8A3F"/>
    <w:rsid w:val="7BFAB9BC"/>
    <w:rsid w:val="7C026E5A"/>
    <w:rsid w:val="7C07334F"/>
    <w:rsid w:val="7C08DDDA"/>
    <w:rsid w:val="7C0FF534"/>
    <w:rsid w:val="7C131F7C"/>
    <w:rsid w:val="7C1444F0"/>
    <w:rsid w:val="7C15D4DE"/>
    <w:rsid w:val="7C1B6F8E"/>
    <w:rsid w:val="7C255A45"/>
    <w:rsid w:val="7C307407"/>
    <w:rsid w:val="7C34EDD3"/>
    <w:rsid w:val="7C37C0A7"/>
    <w:rsid w:val="7C3F367F"/>
    <w:rsid w:val="7C4AE992"/>
    <w:rsid w:val="7C4F0148"/>
    <w:rsid w:val="7C589C31"/>
    <w:rsid w:val="7C5B56F7"/>
    <w:rsid w:val="7C65D547"/>
    <w:rsid w:val="7C679006"/>
    <w:rsid w:val="7C70DE7C"/>
    <w:rsid w:val="7C85BEDE"/>
    <w:rsid w:val="7C90F2F0"/>
    <w:rsid w:val="7C9A341B"/>
    <w:rsid w:val="7C9C71EF"/>
    <w:rsid w:val="7C9FD6E7"/>
    <w:rsid w:val="7CB2DC67"/>
    <w:rsid w:val="7CB7E34C"/>
    <w:rsid w:val="7CCA622B"/>
    <w:rsid w:val="7CCA63D2"/>
    <w:rsid w:val="7CCF651A"/>
    <w:rsid w:val="7CD38A70"/>
    <w:rsid w:val="7CD5308B"/>
    <w:rsid w:val="7CE183CE"/>
    <w:rsid w:val="7CEA7856"/>
    <w:rsid w:val="7CFC0A51"/>
    <w:rsid w:val="7CFFE68C"/>
    <w:rsid w:val="7D0E317A"/>
    <w:rsid w:val="7D0F53D3"/>
    <w:rsid w:val="7D186D14"/>
    <w:rsid w:val="7D1C739E"/>
    <w:rsid w:val="7D28EDB2"/>
    <w:rsid w:val="7D4C4A3C"/>
    <w:rsid w:val="7D59FE29"/>
    <w:rsid w:val="7D6588E3"/>
    <w:rsid w:val="7D6FF398"/>
    <w:rsid w:val="7D7211B3"/>
    <w:rsid w:val="7D73AA9B"/>
    <w:rsid w:val="7D7875AA"/>
    <w:rsid w:val="7D7B094D"/>
    <w:rsid w:val="7D80B5CD"/>
    <w:rsid w:val="7D90D62C"/>
    <w:rsid w:val="7D90EDA5"/>
    <w:rsid w:val="7DA0D9EE"/>
    <w:rsid w:val="7DA352FB"/>
    <w:rsid w:val="7DB0C8CB"/>
    <w:rsid w:val="7DB385A6"/>
    <w:rsid w:val="7DB49011"/>
    <w:rsid w:val="7DBCC4AE"/>
    <w:rsid w:val="7DE25DCF"/>
    <w:rsid w:val="7DEF0281"/>
    <w:rsid w:val="7DF7506D"/>
    <w:rsid w:val="7E08DF18"/>
    <w:rsid w:val="7E136F50"/>
    <w:rsid w:val="7E152055"/>
    <w:rsid w:val="7E1C8CED"/>
    <w:rsid w:val="7E29F9FC"/>
    <w:rsid w:val="7E3BF7BF"/>
    <w:rsid w:val="7E40EAD4"/>
    <w:rsid w:val="7E450D09"/>
    <w:rsid w:val="7E46346D"/>
    <w:rsid w:val="7E4A810A"/>
    <w:rsid w:val="7E544F83"/>
    <w:rsid w:val="7E5EAE35"/>
    <w:rsid w:val="7E62D263"/>
    <w:rsid w:val="7E681EEF"/>
    <w:rsid w:val="7E6F252C"/>
    <w:rsid w:val="7E6FCBEC"/>
    <w:rsid w:val="7E88BDE8"/>
    <w:rsid w:val="7E8D9BB4"/>
    <w:rsid w:val="7E8EE4A0"/>
    <w:rsid w:val="7E9AFD91"/>
    <w:rsid w:val="7E9C0A7A"/>
    <w:rsid w:val="7E9CBADA"/>
    <w:rsid w:val="7EA88096"/>
    <w:rsid w:val="7EAB3CED"/>
    <w:rsid w:val="7EBA5246"/>
    <w:rsid w:val="7EBDE9FC"/>
    <w:rsid w:val="7EBEC82F"/>
    <w:rsid w:val="7EC6B8AA"/>
    <w:rsid w:val="7EC78ABC"/>
    <w:rsid w:val="7ECC42E8"/>
    <w:rsid w:val="7ED81F8A"/>
    <w:rsid w:val="7EE0FB21"/>
    <w:rsid w:val="7EE778F2"/>
    <w:rsid w:val="7EF00054"/>
    <w:rsid w:val="7EFAFB6C"/>
    <w:rsid w:val="7F00CD07"/>
    <w:rsid w:val="7F010B48"/>
    <w:rsid w:val="7F02A251"/>
    <w:rsid w:val="7F05F9A4"/>
    <w:rsid w:val="7F0AD8B9"/>
    <w:rsid w:val="7F10989B"/>
    <w:rsid w:val="7F116A97"/>
    <w:rsid w:val="7F12B256"/>
    <w:rsid w:val="7F19B886"/>
    <w:rsid w:val="7F2017FB"/>
    <w:rsid w:val="7F21A507"/>
    <w:rsid w:val="7F374F4C"/>
    <w:rsid w:val="7F3D816E"/>
    <w:rsid w:val="7F47493A"/>
    <w:rsid w:val="7F50BECC"/>
    <w:rsid w:val="7F5630E0"/>
    <w:rsid w:val="7F619BF0"/>
    <w:rsid w:val="7F644A11"/>
    <w:rsid w:val="7F64C145"/>
    <w:rsid w:val="7F69F132"/>
    <w:rsid w:val="7F6A3898"/>
    <w:rsid w:val="7F6A89DC"/>
    <w:rsid w:val="7F6ABAE1"/>
    <w:rsid w:val="7F6D3CC0"/>
    <w:rsid w:val="7F6E9E78"/>
    <w:rsid w:val="7F6F12D5"/>
    <w:rsid w:val="7F6F3C77"/>
    <w:rsid w:val="7F7B4920"/>
    <w:rsid w:val="7F7F74B0"/>
    <w:rsid w:val="7F8F63F3"/>
    <w:rsid w:val="7F919CFD"/>
    <w:rsid w:val="7F97FDE5"/>
    <w:rsid w:val="7F98DD95"/>
    <w:rsid w:val="7F9D4377"/>
    <w:rsid w:val="7F9D92FF"/>
    <w:rsid w:val="7FA07755"/>
    <w:rsid w:val="7FA39F7C"/>
    <w:rsid w:val="7FA505A8"/>
    <w:rsid w:val="7FBAF4A4"/>
    <w:rsid w:val="7FC3847B"/>
    <w:rsid w:val="7FCD4EA6"/>
    <w:rsid w:val="7FD7183E"/>
    <w:rsid w:val="7FD90BFA"/>
    <w:rsid w:val="7FE03AFA"/>
    <w:rsid w:val="7FF80BDE"/>
    <w:rsid w:val="7FFF478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E6AE1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FAF"/>
    <w:pPr>
      <w:jc w:val="both"/>
    </w:pPr>
    <w:rPr>
      <w:rFonts w:ascii="Times New Roman" w:hAnsi="Times New Roman"/>
      <w:sz w:val="24"/>
    </w:rPr>
  </w:style>
  <w:style w:type="paragraph" w:styleId="Heading1">
    <w:name w:val="heading 1"/>
    <w:basedOn w:val="Normal"/>
    <w:next w:val="Normal"/>
    <w:link w:val="Heading1Char"/>
    <w:uiPriority w:val="9"/>
    <w:qFormat/>
    <w:rsid w:val="00811D0F"/>
    <w:pPr>
      <w:keepNext/>
      <w:keepLines/>
      <w:numPr>
        <w:numId w:val="8"/>
      </w:numPr>
      <w:spacing w:before="360" w:after="80"/>
      <w:outlineLvl w:val="0"/>
    </w:pPr>
    <w:rPr>
      <w:rFonts w:eastAsiaTheme="majorEastAsia" w:cstheme="majorBidi"/>
      <w:color w:val="000000" w:themeColor="text1"/>
      <w:sz w:val="40"/>
      <w:szCs w:val="40"/>
    </w:rPr>
  </w:style>
  <w:style w:type="paragraph" w:styleId="Heading2">
    <w:name w:val="heading 2"/>
    <w:basedOn w:val="Normal"/>
    <w:next w:val="Normal"/>
    <w:link w:val="Heading2Char"/>
    <w:uiPriority w:val="9"/>
    <w:unhideWhenUsed/>
    <w:qFormat/>
    <w:rsid w:val="00811D0F"/>
    <w:pPr>
      <w:keepNext/>
      <w:keepLines/>
      <w:numPr>
        <w:ilvl w:val="1"/>
        <w:numId w:val="8"/>
      </w:numPr>
      <w:spacing w:before="360" w:after="80"/>
      <w:outlineLvl w:val="1"/>
    </w:pPr>
    <w:rPr>
      <w:rFonts w:eastAsiaTheme="majorEastAsia" w:cstheme="majorBidi"/>
      <w:color w:val="000000" w:themeColor="text1"/>
      <w:sz w:val="28"/>
      <w:szCs w:val="32"/>
    </w:rPr>
  </w:style>
  <w:style w:type="paragraph" w:styleId="Heading3">
    <w:name w:val="heading 3"/>
    <w:basedOn w:val="Normal"/>
    <w:next w:val="Normal"/>
    <w:link w:val="Heading3Char"/>
    <w:uiPriority w:val="9"/>
    <w:unhideWhenUsed/>
    <w:qFormat/>
    <w:rsid w:val="00BC7F22"/>
    <w:pPr>
      <w:keepNext/>
      <w:keepLines/>
      <w:numPr>
        <w:ilvl w:val="2"/>
        <w:numId w:val="8"/>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C7F22"/>
    <w:pPr>
      <w:keepNext/>
      <w:keepLines/>
      <w:numPr>
        <w:ilvl w:val="3"/>
        <w:numId w:val="8"/>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F22"/>
    <w:pPr>
      <w:keepNext/>
      <w:keepLines/>
      <w:numPr>
        <w:ilvl w:val="4"/>
        <w:numId w:val="8"/>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F22"/>
    <w:pPr>
      <w:keepNext/>
      <w:keepLines/>
      <w:numPr>
        <w:ilvl w:val="5"/>
        <w:numId w:val="8"/>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F22"/>
    <w:pPr>
      <w:keepNext/>
      <w:keepLines/>
      <w:numPr>
        <w:ilvl w:val="6"/>
        <w:numId w:val="8"/>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F22"/>
    <w:pPr>
      <w:keepNext/>
      <w:keepLines/>
      <w:numPr>
        <w:ilvl w:val="7"/>
        <w:numId w:val="8"/>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F22"/>
    <w:pPr>
      <w:keepNext/>
      <w:keepLines/>
      <w:numPr>
        <w:ilvl w:val="8"/>
        <w:numId w:val="8"/>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D0F"/>
    <w:rPr>
      <w:rFonts w:ascii="Times New Roman" w:eastAsiaTheme="majorEastAsia" w:hAnsi="Times New Roman" w:cstheme="majorBidi"/>
      <w:color w:val="000000" w:themeColor="text1"/>
      <w:sz w:val="40"/>
      <w:szCs w:val="40"/>
    </w:rPr>
  </w:style>
  <w:style w:type="character" w:customStyle="1" w:styleId="Heading2Char">
    <w:name w:val="Heading 2 Char"/>
    <w:basedOn w:val="DefaultParagraphFont"/>
    <w:link w:val="Heading2"/>
    <w:uiPriority w:val="9"/>
    <w:rsid w:val="00811D0F"/>
    <w:rPr>
      <w:rFonts w:ascii="Times New Roman" w:eastAsiaTheme="majorEastAsia" w:hAnsi="Times New Roman" w:cstheme="majorBidi"/>
      <w:color w:val="000000" w:themeColor="text1"/>
      <w:sz w:val="28"/>
      <w:szCs w:val="32"/>
    </w:rPr>
  </w:style>
  <w:style w:type="character" w:customStyle="1" w:styleId="Heading3Char">
    <w:name w:val="Heading 3 Char"/>
    <w:basedOn w:val="DefaultParagraphFont"/>
    <w:link w:val="Heading3"/>
    <w:uiPriority w:val="9"/>
    <w:rsid w:val="00BC7F22"/>
    <w:rPr>
      <w:rFonts w:ascii="Times New Roman" w:eastAsiaTheme="majorEastAsia" w:hAnsi="Times New Roman" w:cstheme="majorBidi"/>
      <w:color w:val="0F4761" w:themeColor="accent1" w:themeShade="BF"/>
      <w:sz w:val="28"/>
      <w:szCs w:val="28"/>
    </w:rPr>
  </w:style>
  <w:style w:type="character" w:customStyle="1" w:styleId="Heading4Char">
    <w:name w:val="Heading 4 Char"/>
    <w:basedOn w:val="DefaultParagraphFont"/>
    <w:link w:val="Heading4"/>
    <w:uiPriority w:val="9"/>
    <w:rsid w:val="00BC7F22"/>
    <w:rPr>
      <w:rFonts w:ascii="Times New Roman" w:eastAsiaTheme="majorEastAsia" w:hAnsi="Times New Roman" w:cstheme="majorBidi"/>
      <w:i/>
      <w:iCs/>
      <w:color w:val="0F4761" w:themeColor="accent1" w:themeShade="BF"/>
      <w:sz w:val="24"/>
    </w:rPr>
  </w:style>
  <w:style w:type="character" w:customStyle="1" w:styleId="Heading5Char">
    <w:name w:val="Heading 5 Char"/>
    <w:basedOn w:val="DefaultParagraphFont"/>
    <w:link w:val="Heading5"/>
    <w:uiPriority w:val="9"/>
    <w:semiHidden/>
    <w:rsid w:val="00BC7F22"/>
    <w:rPr>
      <w:rFonts w:ascii="Times New Roman" w:eastAsiaTheme="majorEastAsia" w:hAnsi="Times New Roman" w:cstheme="majorBidi"/>
      <w:color w:val="0F4761" w:themeColor="accent1" w:themeShade="BF"/>
      <w:sz w:val="24"/>
    </w:rPr>
  </w:style>
  <w:style w:type="character" w:customStyle="1" w:styleId="Heading6Char">
    <w:name w:val="Heading 6 Char"/>
    <w:basedOn w:val="DefaultParagraphFont"/>
    <w:link w:val="Heading6"/>
    <w:uiPriority w:val="9"/>
    <w:semiHidden/>
    <w:rsid w:val="00BC7F22"/>
    <w:rPr>
      <w:rFonts w:ascii="Times New Roman" w:eastAsiaTheme="majorEastAsia" w:hAnsi="Times New Roman" w:cstheme="majorBidi"/>
      <w:i/>
      <w:iCs/>
      <w:color w:val="595959" w:themeColor="text1" w:themeTint="A6"/>
      <w:sz w:val="24"/>
    </w:rPr>
  </w:style>
  <w:style w:type="character" w:customStyle="1" w:styleId="Heading7Char">
    <w:name w:val="Heading 7 Char"/>
    <w:basedOn w:val="DefaultParagraphFont"/>
    <w:link w:val="Heading7"/>
    <w:uiPriority w:val="9"/>
    <w:semiHidden/>
    <w:rsid w:val="00BC7F22"/>
    <w:rPr>
      <w:rFonts w:ascii="Times New Roman" w:eastAsiaTheme="majorEastAsia" w:hAnsi="Times New Roman" w:cstheme="majorBidi"/>
      <w:color w:val="595959" w:themeColor="text1" w:themeTint="A6"/>
      <w:sz w:val="24"/>
    </w:rPr>
  </w:style>
  <w:style w:type="character" w:customStyle="1" w:styleId="Heading8Char">
    <w:name w:val="Heading 8 Char"/>
    <w:basedOn w:val="DefaultParagraphFont"/>
    <w:link w:val="Heading8"/>
    <w:uiPriority w:val="9"/>
    <w:semiHidden/>
    <w:rsid w:val="00BC7F22"/>
    <w:rPr>
      <w:rFonts w:ascii="Times New Roman" w:eastAsiaTheme="majorEastAsia" w:hAnsi="Times New Roman" w:cstheme="majorBidi"/>
      <w:i/>
      <w:iCs/>
      <w:color w:val="272727" w:themeColor="text1" w:themeTint="D8"/>
      <w:sz w:val="24"/>
    </w:rPr>
  </w:style>
  <w:style w:type="character" w:customStyle="1" w:styleId="Heading9Char">
    <w:name w:val="Heading 9 Char"/>
    <w:basedOn w:val="DefaultParagraphFont"/>
    <w:link w:val="Heading9"/>
    <w:uiPriority w:val="9"/>
    <w:semiHidden/>
    <w:rsid w:val="00BC7F22"/>
    <w:rPr>
      <w:rFonts w:ascii="Times New Roman" w:eastAsiaTheme="majorEastAsia" w:hAnsi="Times New Roman" w:cstheme="majorBidi"/>
      <w:color w:val="272727" w:themeColor="text1" w:themeTint="D8"/>
      <w:sz w:val="24"/>
    </w:rPr>
  </w:style>
  <w:style w:type="paragraph" w:styleId="Title">
    <w:name w:val="Title"/>
    <w:basedOn w:val="Normal"/>
    <w:next w:val="Normal"/>
    <w:link w:val="TitleChar"/>
    <w:uiPriority w:val="10"/>
    <w:qFormat/>
    <w:rsid w:val="00BC7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F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F22"/>
    <w:pPr>
      <w:spacing w:before="160"/>
      <w:jc w:val="center"/>
    </w:pPr>
    <w:rPr>
      <w:i/>
      <w:iCs/>
      <w:color w:val="404040" w:themeColor="text1" w:themeTint="BF"/>
    </w:rPr>
  </w:style>
  <w:style w:type="character" w:customStyle="1" w:styleId="QuoteChar">
    <w:name w:val="Quote Char"/>
    <w:basedOn w:val="DefaultParagraphFont"/>
    <w:link w:val="Quote"/>
    <w:uiPriority w:val="29"/>
    <w:rsid w:val="00BC7F22"/>
    <w:rPr>
      <w:i/>
      <w:iCs/>
      <w:color w:val="404040" w:themeColor="text1" w:themeTint="BF"/>
    </w:rPr>
  </w:style>
  <w:style w:type="paragraph" w:styleId="ListParagraph">
    <w:name w:val="List Paragraph"/>
    <w:aliases w:val="PBM ART,WinDForce-Letter,Annexure,List Paragraph1,Heading 91,Report Para,Medium Grid 1 - Accent 21,Colorful List - Accent 11,Heading 911,Bullet 05,Bullets,bullets,List Paragraph2,Heading 9111,Fiche List Paragraph,Normal bullet 2,Dot pt,EC"/>
    <w:basedOn w:val="Normal"/>
    <w:link w:val="ListParagraphChar"/>
    <w:uiPriority w:val="34"/>
    <w:qFormat/>
    <w:rsid w:val="00BC7F22"/>
    <w:pPr>
      <w:ind w:left="720"/>
      <w:contextualSpacing/>
    </w:pPr>
  </w:style>
  <w:style w:type="character" w:styleId="IntenseEmphasis">
    <w:name w:val="Intense Emphasis"/>
    <w:basedOn w:val="DefaultParagraphFont"/>
    <w:uiPriority w:val="21"/>
    <w:qFormat/>
    <w:rsid w:val="00BC7F22"/>
    <w:rPr>
      <w:i/>
      <w:iCs/>
      <w:color w:val="0F4761" w:themeColor="accent1" w:themeShade="BF"/>
    </w:rPr>
  </w:style>
  <w:style w:type="paragraph" w:styleId="IntenseQuote">
    <w:name w:val="Intense Quote"/>
    <w:basedOn w:val="Normal"/>
    <w:next w:val="Normal"/>
    <w:link w:val="IntenseQuoteChar"/>
    <w:uiPriority w:val="30"/>
    <w:qFormat/>
    <w:rsid w:val="00BC7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F22"/>
    <w:rPr>
      <w:i/>
      <w:iCs/>
      <w:color w:val="0F4761" w:themeColor="accent1" w:themeShade="BF"/>
    </w:rPr>
  </w:style>
  <w:style w:type="character" w:styleId="IntenseReference">
    <w:name w:val="Intense Reference"/>
    <w:basedOn w:val="DefaultParagraphFont"/>
    <w:uiPriority w:val="32"/>
    <w:qFormat/>
    <w:rsid w:val="00BC7F22"/>
    <w:rPr>
      <w:b/>
      <w:bCs/>
      <w:smallCaps/>
      <w:color w:val="0F4761" w:themeColor="accent1" w:themeShade="BF"/>
      <w:spacing w:val="5"/>
    </w:rPr>
  </w:style>
  <w:style w:type="paragraph" w:customStyle="1" w:styleId="Pagedecouverture">
    <w:name w:val="Page de couverture"/>
    <w:basedOn w:val="Normal"/>
    <w:next w:val="Normal"/>
    <w:rsid w:val="00F62C4B"/>
    <w:pPr>
      <w:spacing w:after="0" w:line="240" w:lineRule="auto"/>
    </w:pPr>
    <w:rPr>
      <w:rFonts w:cs="Times New Roman"/>
    </w:rPr>
  </w:style>
  <w:style w:type="paragraph" w:customStyle="1" w:styleId="FooterCoverPage">
    <w:name w:val="Footer Cover Page"/>
    <w:basedOn w:val="Normal"/>
    <w:link w:val="FooterCoverPageChar"/>
    <w:rsid w:val="00F62C4B"/>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F62C4B"/>
    <w:rPr>
      <w:rFonts w:ascii="Times New Roman" w:hAnsi="Times New Roman"/>
      <w:sz w:val="24"/>
    </w:rPr>
  </w:style>
  <w:style w:type="paragraph" w:customStyle="1" w:styleId="HeaderCoverPage">
    <w:name w:val="Header Cover Page"/>
    <w:basedOn w:val="Normal"/>
    <w:link w:val="HeaderCoverPageChar"/>
    <w:rsid w:val="00F62C4B"/>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F62C4B"/>
    <w:rPr>
      <w:rFonts w:ascii="Times New Roman" w:hAnsi="Times New Roman"/>
      <w:sz w:val="24"/>
    </w:rPr>
  </w:style>
  <w:style w:type="character" w:customStyle="1" w:styleId="ListParagraphChar">
    <w:name w:val="List Paragraph Char"/>
    <w:aliases w:val="PBM ART Char,WinDForce-Letter Char,Annexure Char,List Paragraph1 Char,Heading 91 Char,Report Para Char,Medium Grid 1 - Accent 21 Char,Colorful List - Accent 11 Char,Heading 911 Char,Bullet 05 Char,Bullets Char,bullets Char,EC Char"/>
    <w:basedOn w:val="DefaultParagraphFont"/>
    <w:link w:val="ListParagraph"/>
    <w:uiPriority w:val="34"/>
    <w:qFormat/>
    <w:locked/>
    <w:rsid w:val="00F62C4B"/>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Footnote Text Char2"/>
    <w:basedOn w:val="Normal"/>
    <w:link w:val="FootnoteTextChar"/>
    <w:uiPriority w:val="99"/>
    <w:unhideWhenUsed/>
    <w:qFormat/>
    <w:rsid w:val="32E58CE7"/>
    <w:pPr>
      <w:spacing w:after="0" w:line="240" w:lineRule="auto"/>
    </w:pPr>
    <w:rPr>
      <w:sz w:val="20"/>
      <w:szCs w:val="20"/>
    </w:rPr>
  </w:style>
  <w:style w:type="paragraph" w:styleId="TOC1">
    <w:name w:val="toc 1"/>
    <w:basedOn w:val="Normal"/>
    <w:next w:val="Normal"/>
    <w:uiPriority w:val="39"/>
    <w:unhideWhenUsed/>
    <w:rsid w:val="32E58CE7"/>
    <w:pPr>
      <w:spacing w:after="100"/>
    </w:pPr>
  </w:style>
  <w:style w:type="character" w:styleId="Hyperlink">
    <w:name w:val="Hyperlink"/>
    <w:basedOn w:val="DefaultParagraphFont"/>
    <w:uiPriority w:val="99"/>
    <w:unhideWhenUsed/>
    <w:rsid w:val="32E58CE7"/>
    <w:rPr>
      <w:color w:val="467886"/>
      <w:u w:val="single"/>
    </w:rPr>
  </w:style>
  <w:style w:type="paragraph" w:styleId="TOC2">
    <w:name w:val="toc 2"/>
    <w:basedOn w:val="Normal"/>
    <w:next w:val="Normal"/>
    <w:uiPriority w:val="39"/>
    <w:unhideWhenUsed/>
    <w:rsid w:val="32E58CE7"/>
    <w:pPr>
      <w:spacing w:after="100"/>
      <w:ind w:left="220"/>
    </w:pPr>
  </w:style>
  <w:style w:type="paragraph" w:customStyle="1" w:styleId="paragraph">
    <w:name w:val="paragraph"/>
    <w:basedOn w:val="Normal"/>
    <w:rsid w:val="32E58CE7"/>
    <w:pPr>
      <w:spacing w:beforeAutospacing="1" w:afterAutospacing="1" w:line="240" w:lineRule="auto"/>
      <w:jc w:val="left"/>
    </w:pPr>
    <w:rPr>
      <w:rFonts w:eastAsiaTheme="minorEastAsia"/>
      <w:szCs w:val="24"/>
    </w:rPr>
  </w:style>
  <w:style w:type="character" w:customStyle="1" w:styleId="normaltextrun">
    <w:name w:val="normaltextrun"/>
    <w:basedOn w:val="DefaultParagraphFont"/>
    <w:rsid w:val="32E58CE7"/>
    <w:rPr>
      <w:rFonts w:asciiTheme="minorHAnsi" w:eastAsiaTheme="minorEastAsia" w:hAnsiTheme="minorHAnsi" w:cstheme="minorBidi"/>
      <w:sz w:val="22"/>
      <w:szCs w:val="22"/>
    </w:rPr>
  </w:style>
  <w:style w:type="character" w:styleId="FootnoteReference">
    <w:name w:val="footnote reference"/>
    <w:aliases w:val="Footnote reference number,Times 10 Point,Exposant 3 Point,Footnote symbol,Footnote Reference Number,Footnote Reference_LVL6,Footnote Reference_LVL61,Footnote Reference_LVL62,Footnote Reference_LVL63,Footnote Reference_LVL64,note TESI"/>
    <w:basedOn w:val="DefaultParagraphFont"/>
    <w:link w:val="FootnotesymbolCarZchn"/>
    <w:uiPriority w:val="99"/>
    <w:unhideWhenUsed/>
    <w:qFormat/>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E0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A0B"/>
  </w:style>
  <w:style w:type="paragraph" w:styleId="Footer">
    <w:name w:val="footer"/>
    <w:basedOn w:val="Normal"/>
    <w:link w:val="FooterChar"/>
    <w:uiPriority w:val="99"/>
    <w:unhideWhenUsed/>
    <w:rsid w:val="00FE0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A0B"/>
  </w:style>
  <w:style w:type="paragraph" w:styleId="CommentSubject">
    <w:name w:val="annotation subject"/>
    <w:basedOn w:val="CommentText"/>
    <w:next w:val="CommentText"/>
    <w:link w:val="CommentSubjectChar"/>
    <w:uiPriority w:val="99"/>
    <w:semiHidden/>
    <w:unhideWhenUsed/>
    <w:rsid w:val="0086214B"/>
    <w:rPr>
      <w:b/>
      <w:bCs/>
    </w:rPr>
  </w:style>
  <w:style w:type="character" w:customStyle="1" w:styleId="CommentSubjectChar">
    <w:name w:val="Comment Subject Char"/>
    <w:basedOn w:val="CommentTextChar"/>
    <w:link w:val="CommentSubject"/>
    <w:uiPriority w:val="99"/>
    <w:semiHidden/>
    <w:rsid w:val="0086214B"/>
    <w:rPr>
      <w:b/>
      <w:bCs/>
      <w:sz w:val="20"/>
      <w:szCs w:val="20"/>
    </w:rPr>
  </w:style>
  <w:style w:type="paragraph" w:styleId="EndnoteText">
    <w:name w:val="endnote text"/>
    <w:basedOn w:val="Normal"/>
    <w:link w:val="EndnoteTextChar"/>
    <w:uiPriority w:val="99"/>
    <w:semiHidden/>
    <w:unhideWhenUsed/>
    <w:rsid w:val="008804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047E"/>
    <w:rPr>
      <w:sz w:val="20"/>
      <w:szCs w:val="20"/>
    </w:rPr>
  </w:style>
  <w:style w:type="character" w:styleId="EndnoteReference">
    <w:name w:val="endnote reference"/>
    <w:basedOn w:val="DefaultParagraphFont"/>
    <w:uiPriority w:val="99"/>
    <w:semiHidden/>
    <w:unhideWhenUsed/>
    <w:rsid w:val="0088047E"/>
    <w:rPr>
      <w:vertAlign w:val="superscript"/>
    </w:rPr>
  </w:style>
  <w:style w:type="character" w:customStyle="1" w:styleId="UnresolvedMention1">
    <w:name w:val="Unresolved Mention1"/>
    <w:basedOn w:val="DefaultParagraphFont"/>
    <w:uiPriority w:val="99"/>
    <w:semiHidden/>
    <w:unhideWhenUsed/>
    <w:rsid w:val="0088047E"/>
    <w:rPr>
      <w:color w:val="605E5C"/>
      <w:shd w:val="clear" w:color="auto" w:fill="E1DFDD"/>
    </w:rPr>
  </w:style>
  <w:style w:type="character" w:customStyle="1" w:styleId="Mention1">
    <w:name w:val="Mention1"/>
    <w:basedOn w:val="DefaultParagraphFont"/>
    <w:uiPriority w:val="99"/>
    <w:unhideWhenUsed/>
    <w:rsid w:val="00C0688D"/>
    <w:rPr>
      <w:color w:val="2B579A"/>
      <w:shd w:val="clear" w:color="auto" w:fill="E1DFDD"/>
    </w:rPr>
  </w:style>
  <w:style w:type="paragraph" w:styleId="Revision">
    <w:name w:val="Revision"/>
    <w:hidden/>
    <w:uiPriority w:val="99"/>
    <w:semiHidden/>
    <w:rsid w:val="00287B5E"/>
    <w:pPr>
      <w:spacing w:after="0" w:line="240" w:lineRule="auto"/>
    </w:pPr>
    <w:rPr>
      <w:rFonts w:ascii="Times New Roman" w:hAnsi="Times New Roman"/>
      <w:sz w:val="24"/>
    </w:rPr>
  </w:style>
  <w:style w:type="character" w:styleId="FollowedHyperlink">
    <w:name w:val="FollowedHyperlink"/>
    <w:basedOn w:val="DefaultParagraphFont"/>
    <w:uiPriority w:val="99"/>
    <w:semiHidden/>
    <w:unhideWhenUsed/>
    <w:rsid w:val="003D7E75"/>
    <w:rPr>
      <w:color w:val="96607D" w:themeColor="followedHyperlink"/>
      <w:u w:val="single"/>
    </w:rPr>
  </w:style>
  <w:style w:type="paragraph" w:styleId="TOC4">
    <w:name w:val="toc 4"/>
    <w:basedOn w:val="Normal"/>
    <w:next w:val="Normal"/>
    <w:autoRedefine/>
    <w:uiPriority w:val="39"/>
    <w:unhideWhenUsed/>
    <w:rsid w:val="000521DA"/>
    <w:pPr>
      <w:spacing w:after="100"/>
      <w:ind w:left="720"/>
    </w:pPr>
  </w:style>
  <w:style w:type="paragraph" w:styleId="Caption">
    <w:name w:val="caption"/>
    <w:basedOn w:val="Normal"/>
    <w:next w:val="Normal"/>
    <w:uiPriority w:val="35"/>
    <w:unhideWhenUsed/>
    <w:qFormat/>
    <w:rsid w:val="00CB1530"/>
    <w:pPr>
      <w:spacing w:after="200" w:line="240" w:lineRule="auto"/>
    </w:pPr>
    <w:rPr>
      <w:i/>
      <w:iCs/>
      <w:color w:val="0E2841" w:themeColor="text2"/>
      <w:sz w:val="18"/>
      <w:szCs w:val="18"/>
    </w:rPr>
  </w:style>
  <w:style w:type="character" w:styleId="Strong">
    <w:name w:val="Strong"/>
    <w:basedOn w:val="DefaultParagraphFont"/>
    <w:uiPriority w:val="22"/>
    <w:qFormat/>
    <w:rsid w:val="000F211E"/>
    <w:rPr>
      <w:b/>
      <w:bCs/>
    </w:rPr>
  </w:style>
  <w:style w:type="paragraph" w:styleId="TOCHeading">
    <w:name w:val="TOC Heading"/>
    <w:basedOn w:val="Heading1"/>
    <w:next w:val="Normal"/>
    <w:uiPriority w:val="39"/>
    <w:unhideWhenUsed/>
    <w:qFormat/>
    <w:rsid w:val="00435303"/>
    <w:pPr>
      <w:spacing w:before="240" w:after="0"/>
      <w:jc w:val="left"/>
      <w:outlineLvl w:val="9"/>
    </w:pPr>
    <w:rPr>
      <w:rFonts w:asciiTheme="majorHAnsi" w:hAnsiTheme="majorHAnsi"/>
      <w:sz w:val="32"/>
      <w:szCs w:val="32"/>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basedOn w:val="DefaultParagraphFont"/>
    <w:link w:val="FootnoteText"/>
    <w:uiPriority w:val="99"/>
    <w:rsid w:val="001614E9"/>
    <w:rPr>
      <w:rFonts w:ascii="Times New Roman" w:hAnsi="Times New Roman"/>
      <w:sz w:val="20"/>
      <w:szCs w:val="20"/>
    </w:rPr>
  </w:style>
  <w:style w:type="paragraph" w:styleId="NormalWeb">
    <w:name w:val="Normal (Web)"/>
    <w:basedOn w:val="Normal"/>
    <w:uiPriority w:val="99"/>
    <w:semiHidden/>
    <w:unhideWhenUsed/>
    <w:rsid w:val="00C86FDA"/>
    <w:rPr>
      <w:rFonts w:cs="Times New Roman"/>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56B71"/>
    <w:pPr>
      <w:spacing w:line="240" w:lineRule="exact"/>
    </w:pPr>
    <w:rPr>
      <w:rFonts w:asciiTheme="minorHAnsi" w:hAnsiTheme="minorHAnsi"/>
      <w:sz w:val="22"/>
      <w:vertAlign w:val="superscript"/>
    </w:rPr>
  </w:style>
  <w:style w:type="character" w:customStyle="1" w:styleId="Marker">
    <w:name w:val="Marker"/>
    <w:basedOn w:val="DefaultParagraphFont"/>
    <w:rsid w:val="00D907E0"/>
    <w:rPr>
      <w:color w:val="0000FF"/>
      <w:shd w:val="clear" w:color="auto" w:fill="auto"/>
    </w:rPr>
  </w:style>
  <w:style w:type="paragraph" w:customStyle="1" w:styleId="FooterSensitivity">
    <w:name w:val="Footer Sensitivity"/>
    <w:basedOn w:val="Normal"/>
    <w:link w:val="FooterSensitivityChar"/>
    <w:rsid w:val="00D907E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D907E0"/>
    <w:rPr>
      <w:rFonts w:ascii="Times New Roman" w:hAnsi="Times New Roman"/>
      <w:b/>
      <w:sz w:val="32"/>
    </w:rPr>
  </w:style>
  <w:style w:type="paragraph" w:customStyle="1" w:styleId="HeaderSensitivity">
    <w:name w:val="Header Sensitivity"/>
    <w:basedOn w:val="Normal"/>
    <w:link w:val="HeaderSensitivityChar"/>
    <w:rsid w:val="00D907E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D907E0"/>
    <w:rPr>
      <w:rFonts w:ascii="Times New Roman" w:hAnsi="Times New Roman"/>
      <w:b/>
      <w:sz w:val="32"/>
    </w:rPr>
  </w:style>
  <w:style w:type="paragraph" w:customStyle="1" w:styleId="HeaderSensitivityRight">
    <w:name w:val="Header Sensitivity Right"/>
    <w:basedOn w:val="Normal"/>
    <w:link w:val="HeaderSensitivityRightChar"/>
    <w:rsid w:val="00D907E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D907E0"/>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5708">
      <w:bodyDiv w:val="1"/>
      <w:marLeft w:val="0"/>
      <w:marRight w:val="0"/>
      <w:marTop w:val="0"/>
      <w:marBottom w:val="0"/>
      <w:divBdr>
        <w:top w:val="none" w:sz="0" w:space="0" w:color="auto"/>
        <w:left w:val="none" w:sz="0" w:space="0" w:color="auto"/>
        <w:bottom w:val="none" w:sz="0" w:space="0" w:color="auto"/>
        <w:right w:val="none" w:sz="0" w:space="0" w:color="auto"/>
      </w:divBdr>
    </w:div>
    <w:div w:id="109856292">
      <w:bodyDiv w:val="1"/>
      <w:marLeft w:val="0"/>
      <w:marRight w:val="0"/>
      <w:marTop w:val="0"/>
      <w:marBottom w:val="0"/>
      <w:divBdr>
        <w:top w:val="none" w:sz="0" w:space="0" w:color="auto"/>
        <w:left w:val="none" w:sz="0" w:space="0" w:color="auto"/>
        <w:bottom w:val="none" w:sz="0" w:space="0" w:color="auto"/>
        <w:right w:val="none" w:sz="0" w:space="0" w:color="auto"/>
      </w:divBdr>
    </w:div>
    <w:div w:id="128204931">
      <w:bodyDiv w:val="1"/>
      <w:marLeft w:val="0"/>
      <w:marRight w:val="0"/>
      <w:marTop w:val="0"/>
      <w:marBottom w:val="0"/>
      <w:divBdr>
        <w:top w:val="none" w:sz="0" w:space="0" w:color="auto"/>
        <w:left w:val="none" w:sz="0" w:space="0" w:color="auto"/>
        <w:bottom w:val="none" w:sz="0" w:space="0" w:color="auto"/>
        <w:right w:val="none" w:sz="0" w:space="0" w:color="auto"/>
      </w:divBdr>
      <w:divsChild>
        <w:div w:id="1109542317">
          <w:marLeft w:val="0"/>
          <w:marRight w:val="0"/>
          <w:marTop w:val="0"/>
          <w:marBottom w:val="0"/>
          <w:divBdr>
            <w:top w:val="none" w:sz="0" w:space="0" w:color="auto"/>
            <w:left w:val="none" w:sz="0" w:space="0" w:color="auto"/>
            <w:bottom w:val="none" w:sz="0" w:space="0" w:color="auto"/>
            <w:right w:val="none" w:sz="0" w:space="0" w:color="auto"/>
          </w:divBdr>
        </w:div>
        <w:div w:id="1280527751">
          <w:marLeft w:val="0"/>
          <w:marRight w:val="0"/>
          <w:marTop w:val="0"/>
          <w:marBottom w:val="0"/>
          <w:divBdr>
            <w:top w:val="none" w:sz="0" w:space="0" w:color="auto"/>
            <w:left w:val="none" w:sz="0" w:space="0" w:color="auto"/>
            <w:bottom w:val="none" w:sz="0" w:space="0" w:color="auto"/>
            <w:right w:val="none" w:sz="0" w:space="0" w:color="auto"/>
          </w:divBdr>
        </w:div>
        <w:div w:id="1659116935">
          <w:marLeft w:val="0"/>
          <w:marRight w:val="0"/>
          <w:marTop w:val="0"/>
          <w:marBottom w:val="0"/>
          <w:divBdr>
            <w:top w:val="none" w:sz="0" w:space="0" w:color="auto"/>
            <w:left w:val="none" w:sz="0" w:space="0" w:color="auto"/>
            <w:bottom w:val="none" w:sz="0" w:space="0" w:color="auto"/>
            <w:right w:val="none" w:sz="0" w:space="0" w:color="auto"/>
          </w:divBdr>
        </w:div>
      </w:divsChild>
    </w:div>
    <w:div w:id="136190904">
      <w:bodyDiv w:val="1"/>
      <w:marLeft w:val="0"/>
      <w:marRight w:val="0"/>
      <w:marTop w:val="0"/>
      <w:marBottom w:val="0"/>
      <w:divBdr>
        <w:top w:val="none" w:sz="0" w:space="0" w:color="auto"/>
        <w:left w:val="none" w:sz="0" w:space="0" w:color="auto"/>
        <w:bottom w:val="none" w:sz="0" w:space="0" w:color="auto"/>
        <w:right w:val="none" w:sz="0" w:space="0" w:color="auto"/>
      </w:divBdr>
    </w:div>
    <w:div w:id="225457167">
      <w:bodyDiv w:val="1"/>
      <w:marLeft w:val="0"/>
      <w:marRight w:val="0"/>
      <w:marTop w:val="0"/>
      <w:marBottom w:val="0"/>
      <w:divBdr>
        <w:top w:val="none" w:sz="0" w:space="0" w:color="auto"/>
        <w:left w:val="none" w:sz="0" w:space="0" w:color="auto"/>
        <w:bottom w:val="none" w:sz="0" w:space="0" w:color="auto"/>
        <w:right w:val="none" w:sz="0" w:space="0" w:color="auto"/>
      </w:divBdr>
    </w:div>
    <w:div w:id="301930014">
      <w:bodyDiv w:val="1"/>
      <w:marLeft w:val="0"/>
      <w:marRight w:val="0"/>
      <w:marTop w:val="0"/>
      <w:marBottom w:val="0"/>
      <w:divBdr>
        <w:top w:val="none" w:sz="0" w:space="0" w:color="auto"/>
        <w:left w:val="none" w:sz="0" w:space="0" w:color="auto"/>
        <w:bottom w:val="none" w:sz="0" w:space="0" w:color="auto"/>
        <w:right w:val="none" w:sz="0" w:space="0" w:color="auto"/>
      </w:divBdr>
    </w:div>
    <w:div w:id="512458308">
      <w:bodyDiv w:val="1"/>
      <w:marLeft w:val="0"/>
      <w:marRight w:val="0"/>
      <w:marTop w:val="0"/>
      <w:marBottom w:val="0"/>
      <w:divBdr>
        <w:top w:val="none" w:sz="0" w:space="0" w:color="auto"/>
        <w:left w:val="none" w:sz="0" w:space="0" w:color="auto"/>
        <w:bottom w:val="none" w:sz="0" w:space="0" w:color="auto"/>
        <w:right w:val="none" w:sz="0" w:space="0" w:color="auto"/>
      </w:divBdr>
    </w:div>
    <w:div w:id="532546562">
      <w:bodyDiv w:val="1"/>
      <w:marLeft w:val="0"/>
      <w:marRight w:val="0"/>
      <w:marTop w:val="0"/>
      <w:marBottom w:val="0"/>
      <w:divBdr>
        <w:top w:val="none" w:sz="0" w:space="0" w:color="auto"/>
        <w:left w:val="none" w:sz="0" w:space="0" w:color="auto"/>
        <w:bottom w:val="none" w:sz="0" w:space="0" w:color="auto"/>
        <w:right w:val="none" w:sz="0" w:space="0" w:color="auto"/>
      </w:divBdr>
    </w:div>
    <w:div w:id="534659133">
      <w:bodyDiv w:val="1"/>
      <w:marLeft w:val="0"/>
      <w:marRight w:val="0"/>
      <w:marTop w:val="0"/>
      <w:marBottom w:val="0"/>
      <w:divBdr>
        <w:top w:val="none" w:sz="0" w:space="0" w:color="auto"/>
        <w:left w:val="none" w:sz="0" w:space="0" w:color="auto"/>
        <w:bottom w:val="none" w:sz="0" w:space="0" w:color="auto"/>
        <w:right w:val="none" w:sz="0" w:space="0" w:color="auto"/>
      </w:divBdr>
    </w:div>
    <w:div w:id="560210415">
      <w:bodyDiv w:val="1"/>
      <w:marLeft w:val="0"/>
      <w:marRight w:val="0"/>
      <w:marTop w:val="0"/>
      <w:marBottom w:val="0"/>
      <w:divBdr>
        <w:top w:val="none" w:sz="0" w:space="0" w:color="auto"/>
        <w:left w:val="none" w:sz="0" w:space="0" w:color="auto"/>
        <w:bottom w:val="none" w:sz="0" w:space="0" w:color="auto"/>
        <w:right w:val="none" w:sz="0" w:space="0" w:color="auto"/>
      </w:divBdr>
    </w:div>
    <w:div w:id="562252807">
      <w:bodyDiv w:val="1"/>
      <w:marLeft w:val="0"/>
      <w:marRight w:val="0"/>
      <w:marTop w:val="0"/>
      <w:marBottom w:val="0"/>
      <w:divBdr>
        <w:top w:val="none" w:sz="0" w:space="0" w:color="auto"/>
        <w:left w:val="none" w:sz="0" w:space="0" w:color="auto"/>
        <w:bottom w:val="none" w:sz="0" w:space="0" w:color="auto"/>
        <w:right w:val="none" w:sz="0" w:space="0" w:color="auto"/>
      </w:divBdr>
    </w:div>
    <w:div w:id="567303299">
      <w:bodyDiv w:val="1"/>
      <w:marLeft w:val="0"/>
      <w:marRight w:val="0"/>
      <w:marTop w:val="0"/>
      <w:marBottom w:val="0"/>
      <w:divBdr>
        <w:top w:val="none" w:sz="0" w:space="0" w:color="auto"/>
        <w:left w:val="none" w:sz="0" w:space="0" w:color="auto"/>
        <w:bottom w:val="none" w:sz="0" w:space="0" w:color="auto"/>
        <w:right w:val="none" w:sz="0" w:space="0" w:color="auto"/>
      </w:divBdr>
    </w:div>
    <w:div w:id="595792161">
      <w:bodyDiv w:val="1"/>
      <w:marLeft w:val="0"/>
      <w:marRight w:val="0"/>
      <w:marTop w:val="0"/>
      <w:marBottom w:val="0"/>
      <w:divBdr>
        <w:top w:val="none" w:sz="0" w:space="0" w:color="auto"/>
        <w:left w:val="none" w:sz="0" w:space="0" w:color="auto"/>
        <w:bottom w:val="none" w:sz="0" w:space="0" w:color="auto"/>
        <w:right w:val="none" w:sz="0" w:space="0" w:color="auto"/>
      </w:divBdr>
    </w:div>
    <w:div w:id="604389534">
      <w:bodyDiv w:val="1"/>
      <w:marLeft w:val="0"/>
      <w:marRight w:val="0"/>
      <w:marTop w:val="0"/>
      <w:marBottom w:val="0"/>
      <w:divBdr>
        <w:top w:val="none" w:sz="0" w:space="0" w:color="auto"/>
        <w:left w:val="none" w:sz="0" w:space="0" w:color="auto"/>
        <w:bottom w:val="none" w:sz="0" w:space="0" w:color="auto"/>
        <w:right w:val="none" w:sz="0" w:space="0" w:color="auto"/>
      </w:divBdr>
    </w:div>
    <w:div w:id="712342125">
      <w:bodyDiv w:val="1"/>
      <w:marLeft w:val="0"/>
      <w:marRight w:val="0"/>
      <w:marTop w:val="0"/>
      <w:marBottom w:val="0"/>
      <w:divBdr>
        <w:top w:val="none" w:sz="0" w:space="0" w:color="auto"/>
        <w:left w:val="none" w:sz="0" w:space="0" w:color="auto"/>
        <w:bottom w:val="none" w:sz="0" w:space="0" w:color="auto"/>
        <w:right w:val="none" w:sz="0" w:space="0" w:color="auto"/>
      </w:divBdr>
    </w:div>
    <w:div w:id="793213118">
      <w:bodyDiv w:val="1"/>
      <w:marLeft w:val="0"/>
      <w:marRight w:val="0"/>
      <w:marTop w:val="0"/>
      <w:marBottom w:val="0"/>
      <w:divBdr>
        <w:top w:val="none" w:sz="0" w:space="0" w:color="auto"/>
        <w:left w:val="none" w:sz="0" w:space="0" w:color="auto"/>
        <w:bottom w:val="none" w:sz="0" w:space="0" w:color="auto"/>
        <w:right w:val="none" w:sz="0" w:space="0" w:color="auto"/>
      </w:divBdr>
    </w:div>
    <w:div w:id="857735730">
      <w:bodyDiv w:val="1"/>
      <w:marLeft w:val="0"/>
      <w:marRight w:val="0"/>
      <w:marTop w:val="0"/>
      <w:marBottom w:val="0"/>
      <w:divBdr>
        <w:top w:val="none" w:sz="0" w:space="0" w:color="auto"/>
        <w:left w:val="none" w:sz="0" w:space="0" w:color="auto"/>
        <w:bottom w:val="none" w:sz="0" w:space="0" w:color="auto"/>
        <w:right w:val="none" w:sz="0" w:space="0" w:color="auto"/>
      </w:divBdr>
      <w:divsChild>
        <w:div w:id="1097823074">
          <w:marLeft w:val="0"/>
          <w:marRight w:val="0"/>
          <w:marTop w:val="0"/>
          <w:marBottom w:val="0"/>
          <w:divBdr>
            <w:top w:val="none" w:sz="0" w:space="0" w:color="auto"/>
            <w:left w:val="none" w:sz="0" w:space="0" w:color="auto"/>
            <w:bottom w:val="none" w:sz="0" w:space="0" w:color="auto"/>
            <w:right w:val="none" w:sz="0" w:space="0" w:color="auto"/>
          </w:divBdr>
        </w:div>
        <w:div w:id="1195926920">
          <w:marLeft w:val="0"/>
          <w:marRight w:val="0"/>
          <w:marTop w:val="0"/>
          <w:marBottom w:val="0"/>
          <w:divBdr>
            <w:top w:val="none" w:sz="0" w:space="0" w:color="auto"/>
            <w:left w:val="none" w:sz="0" w:space="0" w:color="auto"/>
            <w:bottom w:val="none" w:sz="0" w:space="0" w:color="auto"/>
            <w:right w:val="none" w:sz="0" w:space="0" w:color="auto"/>
          </w:divBdr>
        </w:div>
      </w:divsChild>
    </w:div>
    <w:div w:id="908225693">
      <w:bodyDiv w:val="1"/>
      <w:marLeft w:val="0"/>
      <w:marRight w:val="0"/>
      <w:marTop w:val="0"/>
      <w:marBottom w:val="0"/>
      <w:divBdr>
        <w:top w:val="none" w:sz="0" w:space="0" w:color="auto"/>
        <w:left w:val="none" w:sz="0" w:space="0" w:color="auto"/>
        <w:bottom w:val="none" w:sz="0" w:space="0" w:color="auto"/>
        <w:right w:val="none" w:sz="0" w:space="0" w:color="auto"/>
      </w:divBdr>
    </w:div>
    <w:div w:id="1031758616">
      <w:bodyDiv w:val="1"/>
      <w:marLeft w:val="0"/>
      <w:marRight w:val="0"/>
      <w:marTop w:val="0"/>
      <w:marBottom w:val="0"/>
      <w:divBdr>
        <w:top w:val="none" w:sz="0" w:space="0" w:color="auto"/>
        <w:left w:val="none" w:sz="0" w:space="0" w:color="auto"/>
        <w:bottom w:val="none" w:sz="0" w:space="0" w:color="auto"/>
        <w:right w:val="none" w:sz="0" w:space="0" w:color="auto"/>
      </w:divBdr>
    </w:div>
    <w:div w:id="1037971778">
      <w:bodyDiv w:val="1"/>
      <w:marLeft w:val="0"/>
      <w:marRight w:val="0"/>
      <w:marTop w:val="0"/>
      <w:marBottom w:val="0"/>
      <w:divBdr>
        <w:top w:val="none" w:sz="0" w:space="0" w:color="auto"/>
        <w:left w:val="none" w:sz="0" w:space="0" w:color="auto"/>
        <w:bottom w:val="none" w:sz="0" w:space="0" w:color="auto"/>
        <w:right w:val="none" w:sz="0" w:space="0" w:color="auto"/>
      </w:divBdr>
      <w:divsChild>
        <w:div w:id="1201742161">
          <w:marLeft w:val="-150"/>
          <w:marRight w:val="-150"/>
          <w:marTop w:val="0"/>
          <w:marBottom w:val="0"/>
          <w:divBdr>
            <w:top w:val="none" w:sz="0" w:space="0" w:color="auto"/>
            <w:left w:val="none" w:sz="0" w:space="0" w:color="auto"/>
            <w:bottom w:val="none" w:sz="0" w:space="0" w:color="auto"/>
            <w:right w:val="none" w:sz="0" w:space="0" w:color="auto"/>
          </w:divBdr>
          <w:divsChild>
            <w:div w:id="1363508154">
              <w:marLeft w:val="0"/>
              <w:marRight w:val="0"/>
              <w:marTop w:val="0"/>
              <w:marBottom w:val="0"/>
              <w:divBdr>
                <w:top w:val="none" w:sz="0" w:space="0" w:color="auto"/>
                <w:left w:val="none" w:sz="0" w:space="0" w:color="auto"/>
                <w:bottom w:val="none" w:sz="0" w:space="0" w:color="auto"/>
                <w:right w:val="none" w:sz="0" w:space="0" w:color="auto"/>
              </w:divBdr>
            </w:div>
            <w:div w:id="150663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20107">
      <w:bodyDiv w:val="1"/>
      <w:marLeft w:val="0"/>
      <w:marRight w:val="0"/>
      <w:marTop w:val="0"/>
      <w:marBottom w:val="0"/>
      <w:divBdr>
        <w:top w:val="none" w:sz="0" w:space="0" w:color="auto"/>
        <w:left w:val="none" w:sz="0" w:space="0" w:color="auto"/>
        <w:bottom w:val="none" w:sz="0" w:space="0" w:color="auto"/>
        <w:right w:val="none" w:sz="0" w:space="0" w:color="auto"/>
      </w:divBdr>
      <w:divsChild>
        <w:div w:id="63071886">
          <w:marLeft w:val="446"/>
          <w:marRight w:val="0"/>
          <w:marTop w:val="0"/>
          <w:marBottom w:val="0"/>
          <w:divBdr>
            <w:top w:val="none" w:sz="0" w:space="0" w:color="auto"/>
            <w:left w:val="none" w:sz="0" w:space="0" w:color="auto"/>
            <w:bottom w:val="none" w:sz="0" w:space="0" w:color="auto"/>
            <w:right w:val="none" w:sz="0" w:space="0" w:color="auto"/>
          </w:divBdr>
        </w:div>
        <w:div w:id="1062212351">
          <w:marLeft w:val="446"/>
          <w:marRight w:val="0"/>
          <w:marTop w:val="0"/>
          <w:marBottom w:val="0"/>
          <w:divBdr>
            <w:top w:val="none" w:sz="0" w:space="0" w:color="auto"/>
            <w:left w:val="none" w:sz="0" w:space="0" w:color="auto"/>
            <w:bottom w:val="none" w:sz="0" w:space="0" w:color="auto"/>
            <w:right w:val="none" w:sz="0" w:space="0" w:color="auto"/>
          </w:divBdr>
        </w:div>
        <w:div w:id="1312832219">
          <w:marLeft w:val="446"/>
          <w:marRight w:val="0"/>
          <w:marTop w:val="0"/>
          <w:marBottom w:val="0"/>
          <w:divBdr>
            <w:top w:val="none" w:sz="0" w:space="0" w:color="auto"/>
            <w:left w:val="none" w:sz="0" w:space="0" w:color="auto"/>
            <w:bottom w:val="none" w:sz="0" w:space="0" w:color="auto"/>
            <w:right w:val="none" w:sz="0" w:space="0" w:color="auto"/>
          </w:divBdr>
        </w:div>
      </w:divsChild>
    </w:div>
    <w:div w:id="1100224393">
      <w:bodyDiv w:val="1"/>
      <w:marLeft w:val="0"/>
      <w:marRight w:val="0"/>
      <w:marTop w:val="0"/>
      <w:marBottom w:val="0"/>
      <w:divBdr>
        <w:top w:val="none" w:sz="0" w:space="0" w:color="auto"/>
        <w:left w:val="none" w:sz="0" w:space="0" w:color="auto"/>
        <w:bottom w:val="none" w:sz="0" w:space="0" w:color="auto"/>
        <w:right w:val="none" w:sz="0" w:space="0" w:color="auto"/>
      </w:divBdr>
      <w:divsChild>
        <w:div w:id="815268732">
          <w:marLeft w:val="0"/>
          <w:marRight w:val="0"/>
          <w:marTop w:val="0"/>
          <w:marBottom w:val="0"/>
          <w:divBdr>
            <w:top w:val="none" w:sz="0" w:space="0" w:color="auto"/>
            <w:left w:val="none" w:sz="0" w:space="0" w:color="auto"/>
            <w:bottom w:val="none" w:sz="0" w:space="0" w:color="auto"/>
            <w:right w:val="none" w:sz="0" w:space="0" w:color="auto"/>
          </w:divBdr>
        </w:div>
        <w:div w:id="985164268">
          <w:marLeft w:val="0"/>
          <w:marRight w:val="0"/>
          <w:marTop w:val="0"/>
          <w:marBottom w:val="0"/>
          <w:divBdr>
            <w:top w:val="none" w:sz="0" w:space="0" w:color="auto"/>
            <w:left w:val="none" w:sz="0" w:space="0" w:color="auto"/>
            <w:bottom w:val="none" w:sz="0" w:space="0" w:color="auto"/>
            <w:right w:val="none" w:sz="0" w:space="0" w:color="auto"/>
          </w:divBdr>
        </w:div>
      </w:divsChild>
    </w:div>
    <w:div w:id="1164856697">
      <w:bodyDiv w:val="1"/>
      <w:marLeft w:val="0"/>
      <w:marRight w:val="0"/>
      <w:marTop w:val="0"/>
      <w:marBottom w:val="0"/>
      <w:divBdr>
        <w:top w:val="none" w:sz="0" w:space="0" w:color="auto"/>
        <w:left w:val="none" w:sz="0" w:space="0" w:color="auto"/>
        <w:bottom w:val="none" w:sz="0" w:space="0" w:color="auto"/>
        <w:right w:val="none" w:sz="0" w:space="0" w:color="auto"/>
      </w:divBdr>
    </w:div>
    <w:div w:id="1249004659">
      <w:bodyDiv w:val="1"/>
      <w:marLeft w:val="0"/>
      <w:marRight w:val="0"/>
      <w:marTop w:val="0"/>
      <w:marBottom w:val="0"/>
      <w:divBdr>
        <w:top w:val="none" w:sz="0" w:space="0" w:color="auto"/>
        <w:left w:val="none" w:sz="0" w:space="0" w:color="auto"/>
        <w:bottom w:val="none" w:sz="0" w:space="0" w:color="auto"/>
        <w:right w:val="none" w:sz="0" w:space="0" w:color="auto"/>
      </w:divBdr>
    </w:div>
    <w:div w:id="1377899272">
      <w:bodyDiv w:val="1"/>
      <w:marLeft w:val="0"/>
      <w:marRight w:val="0"/>
      <w:marTop w:val="0"/>
      <w:marBottom w:val="0"/>
      <w:divBdr>
        <w:top w:val="none" w:sz="0" w:space="0" w:color="auto"/>
        <w:left w:val="none" w:sz="0" w:space="0" w:color="auto"/>
        <w:bottom w:val="none" w:sz="0" w:space="0" w:color="auto"/>
        <w:right w:val="none" w:sz="0" w:space="0" w:color="auto"/>
      </w:divBdr>
      <w:divsChild>
        <w:div w:id="1062681563">
          <w:marLeft w:val="0"/>
          <w:marRight w:val="0"/>
          <w:marTop w:val="0"/>
          <w:marBottom w:val="0"/>
          <w:divBdr>
            <w:top w:val="none" w:sz="0" w:space="0" w:color="auto"/>
            <w:left w:val="none" w:sz="0" w:space="0" w:color="auto"/>
            <w:bottom w:val="none" w:sz="0" w:space="0" w:color="auto"/>
            <w:right w:val="none" w:sz="0" w:space="0" w:color="auto"/>
          </w:divBdr>
        </w:div>
        <w:div w:id="1992715310">
          <w:marLeft w:val="0"/>
          <w:marRight w:val="0"/>
          <w:marTop w:val="0"/>
          <w:marBottom w:val="0"/>
          <w:divBdr>
            <w:top w:val="none" w:sz="0" w:space="0" w:color="auto"/>
            <w:left w:val="none" w:sz="0" w:space="0" w:color="auto"/>
            <w:bottom w:val="none" w:sz="0" w:space="0" w:color="auto"/>
            <w:right w:val="none" w:sz="0" w:space="0" w:color="auto"/>
          </w:divBdr>
        </w:div>
      </w:divsChild>
    </w:div>
    <w:div w:id="1391803116">
      <w:bodyDiv w:val="1"/>
      <w:marLeft w:val="0"/>
      <w:marRight w:val="0"/>
      <w:marTop w:val="0"/>
      <w:marBottom w:val="0"/>
      <w:divBdr>
        <w:top w:val="none" w:sz="0" w:space="0" w:color="auto"/>
        <w:left w:val="none" w:sz="0" w:space="0" w:color="auto"/>
        <w:bottom w:val="none" w:sz="0" w:space="0" w:color="auto"/>
        <w:right w:val="none" w:sz="0" w:space="0" w:color="auto"/>
      </w:divBdr>
    </w:div>
    <w:div w:id="1444501356">
      <w:bodyDiv w:val="1"/>
      <w:marLeft w:val="0"/>
      <w:marRight w:val="0"/>
      <w:marTop w:val="0"/>
      <w:marBottom w:val="0"/>
      <w:divBdr>
        <w:top w:val="none" w:sz="0" w:space="0" w:color="auto"/>
        <w:left w:val="none" w:sz="0" w:space="0" w:color="auto"/>
        <w:bottom w:val="none" w:sz="0" w:space="0" w:color="auto"/>
        <w:right w:val="none" w:sz="0" w:space="0" w:color="auto"/>
      </w:divBdr>
    </w:div>
    <w:div w:id="1452015914">
      <w:bodyDiv w:val="1"/>
      <w:marLeft w:val="0"/>
      <w:marRight w:val="0"/>
      <w:marTop w:val="0"/>
      <w:marBottom w:val="0"/>
      <w:divBdr>
        <w:top w:val="none" w:sz="0" w:space="0" w:color="auto"/>
        <w:left w:val="none" w:sz="0" w:space="0" w:color="auto"/>
        <w:bottom w:val="none" w:sz="0" w:space="0" w:color="auto"/>
        <w:right w:val="none" w:sz="0" w:space="0" w:color="auto"/>
      </w:divBdr>
    </w:div>
    <w:div w:id="1479419497">
      <w:bodyDiv w:val="1"/>
      <w:marLeft w:val="0"/>
      <w:marRight w:val="0"/>
      <w:marTop w:val="0"/>
      <w:marBottom w:val="0"/>
      <w:divBdr>
        <w:top w:val="none" w:sz="0" w:space="0" w:color="auto"/>
        <w:left w:val="none" w:sz="0" w:space="0" w:color="auto"/>
        <w:bottom w:val="none" w:sz="0" w:space="0" w:color="auto"/>
        <w:right w:val="none" w:sz="0" w:space="0" w:color="auto"/>
      </w:divBdr>
    </w:div>
    <w:div w:id="1539587322">
      <w:bodyDiv w:val="1"/>
      <w:marLeft w:val="0"/>
      <w:marRight w:val="0"/>
      <w:marTop w:val="0"/>
      <w:marBottom w:val="0"/>
      <w:divBdr>
        <w:top w:val="none" w:sz="0" w:space="0" w:color="auto"/>
        <w:left w:val="none" w:sz="0" w:space="0" w:color="auto"/>
        <w:bottom w:val="none" w:sz="0" w:space="0" w:color="auto"/>
        <w:right w:val="none" w:sz="0" w:space="0" w:color="auto"/>
      </w:divBdr>
    </w:div>
    <w:div w:id="1547722146">
      <w:bodyDiv w:val="1"/>
      <w:marLeft w:val="0"/>
      <w:marRight w:val="0"/>
      <w:marTop w:val="0"/>
      <w:marBottom w:val="0"/>
      <w:divBdr>
        <w:top w:val="none" w:sz="0" w:space="0" w:color="auto"/>
        <w:left w:val="none" w:sz="0" w:space="0" w:color="auto"/>
        <w:bottom w:val="none" w:sz="0" w:space="0" w:color="auto"/>
        <w:right w:val="none" w:sz="0" w:space="0" w:color="auto"/>
      </w:divBdr>
    </w:div>
    <w:div w:id="1566792456">
      <w:bodyDiv w:val="1"/>
      <w:marLeft w:val="0"/>
      <w:marRight w:val="0"/>
      <w:marTop w:val="0"/>
      <w:marBottom w:val="0"/>
      <w:divBdr>
        <w:top w:val="none" w:sz="0" w:space="0" w:color="auto"/>
        <w:left w:val="none" w:sz="0" w:space="0" w:color="auto"/>
        <w:bottom w:val="none" w:sz="0" w:space="0" w:color="auto"/>
        <w:right w:val="none" w:sz="0" w:space="0" w:color="auto"/>
      </w:divBdr>
    </w:div>
    <w:div w:id="1587956243">
      <w:bodyDiv w:val="1"/>
      <w:marLeft w:val="0"/>
      <w:marRight w:val="0"/>
      <w:marTop w:val="0"/>
      <w:marBottom w:val="0"/>
      <w:divBdr>
        <w:top w:val="none" w:sz="0" w:space="0" w:color="auto"/>
        <w:left w:val="none" w:sz="0" w:space="0" w:color="auto"/>
        <w:bottom w:val="none" w:sz="0" w:space="0" w:color="auto"/>
        <w:right w:val="none" w:sz="0" w:space="0" w:color="auto"/>
      </w:divBdr>
    </w:div>
    <w:div w:id="1616980372">
      <w:bodyDiv w:val="1"/>
      <w:marLeft w:val="0"/>
      <w:marRight w:val="0"/>
      <w:marTop w:val="0"/>
      <w:marBottom w:val="0"/>
      <w:divBdr>
        <w:top w:val="none" w:sz="0" w:space="0" w:color="auto"/>
        <w:left w:val="none" w:sz="0" w:space="0" w:color="auto"/>
        <w:bottom w:val="none" w:sz="0" w:space="0" w:color="auto"/>
        <w:right w:val="none" w:sz="0" w:space="0" w:color="auto"/>
      </w:divBdr>
    </w:div>
    <w:div w:id="1643391456">
      <w:bodyDiv w:val="1"/>
      <w:marLeft w:val="0"/>
      <w:marRight w:val="0"/>
      <w:marTop w:val="0"/>
      <w:marBottom w:val="0"/>
      <w:divBdr>
        <w:top w:val="none" w:sz="0" w:space="0" w:color="auto"/>
        <w:left w:val="none" w:sz="0" w:space="0" w:color="auto"/>
        <w:bottom w:val="none" w:sz="0" w:space="0" w:color="auto"/>
        <w:right w:val="none" w:sz="0" w:space="0" w:color="auto"/>
      </w:divBdr>
    </w:div>
    <w:div w:id="1664818400">
      <w:bodyDiv w:val="1"/>
      <w:marLeft w:val="0"/>
      <w:marRight w:val="0"/>
      <w:marTop w:val="0"/>
      <w:marBottom w:val="0"/>
      <w:divBdr>
        <w:top w:val="none" w:sz="0" w:space="0" w:color="auto"/>
        <w:left w:val="none" w:sz="0" w:space="0" w:color="auto"/>
        <w:bottom w:val="none" w:sz="0" w:space="0" w:color="auto"/>
        <w:right w:val="none" w:sz="0" w:space="0" w:color="auto"/>
      </w:divBdr>
    </w:div>
    <w:div w:id="1668943798">
      <w:bodyDiv w:val="1"/>
      <w:marLeft w:val="0"/>
      <w:marRight w:val="0"/>
      <w:marTop w:val="0"/>
      <w:marBottom w:val="0"/>
      <w:divBdr>
        <w:top w:val="none" w:sz="0" w:space="0" w:color="auto"/>
        <w:left w:val="none" w:sz="0" w:space="0" w:color="auto"/>
        <w:bottom w:val="none" w:sz="0" w:space="0" w:color="auto"/>
        <w:right w:val="none" w:sz="0" w:space="0" w:color="auto"/>
      </w:divBdr>
    </w:div>
    <w:div w:id="1669795259">
      <w:bodyDiv w:val="1"/>
      <w:marLeft w:val="0"/>
      <w:marRight w:val="0"/>
      <w:marTop w:val="0"/>
      <w:marBottom w:val="0"/>
      <w:divBdr>
        <w:top w:val="none" w:sz="0" w:space="0" w:color="auto"/>
        <w:left w:val="none" w:sz="0" w:space="0" w:color="auto"/>
        <w:bottom w:val="none" w:sz="0" w:space="0" w:color="auto"/>
        <w:right w:val="none" w:sz="0" w:space="0" w:color="auto"/>
      </w:divBdr>
    </w:div>
    <w:div w:id="1822427002">
      <w:bodyDiv w:val="1"/>
      <w:marLeft w:val="0"/>
      <w:marRight w:val="0"/>
      <w:marTop w:val="0"/>
      <w:marBottom w:val="0"/>
      <w:divBdr>
        <w:top w:val="none" w:sz="0" w:space="0" w:color="auto"/>
        <w:left w:val="none" w:sz="0" w:space="0" w:color="auto"/>
        <w:bottom w:val="none" w:sz="0" w:space="0" w:color="auto"/>
        <w:right w:val="none" w:sz="0" w:space="0" w:color="auto"/>
      </w:divBdr>
    </w:div>
    <w:div w:id="1830486308">
      <w:bodyDiv w:val="1"/>
      <w:marLeft w:val="0"/>
      <w:marRight w:val="0"/>
      <w:marTop w:val="0"/>
      <w:marBottom w:val="0"/>
      <w:divBdr>
        <w:top w:val="none" w:sz="0" w:space="0" w:color="auto"/>
        <w:left w:val="none" w:sz="0" w:space="0" w:color="auto"/>
        <w:bottom w:val="none" w:sz="0" w:space="0" w:color="auto"/>
        <w:right w:val="none" w:sz="0" w:space="0" w:color="auto"/>
      </w:divBdr>
      <w:divsChild>
        <w:div w:id="1131284376">
          <w:marLeft w:val="0"/>
          <w:marRight w:val="0"/>
          <w:marTop w:val="0"/>
          <w:marBottom w:val="0"/>
          <w:divBdr>
            <w:top w:val="none" w:sz="0" w:space="0" w:color="auto"/>
            <w:left w:val="none" w:sz="0" w:space="0" w:color="auto"/>
            <w:bottom w:val="none" w:sz="0" w:space="0" w:color="auto"/>
            <w:right w:val="none" w:sz="0" w:space="0" w:color="auto"/>
          </w:divBdr>
        </w:div>
        <w:div w:id="1708792112">
          <w:marLeft w:val="0"/>
          <w:marRight w:val="0"/>
          <w:marTop w:val="0"/>
          <w:marBottom w:val="0"/>
          <w:divBdr>
            <w:top w:val="none" w:sz="0" w:space="0" w:color="auto"/>
            <w:left w:val="none" w:sz="0" w:space="0" w:color="auto"/>
            <w:bottom w:val="none" w:sz="0" w:space="0" w:color="auto"/>
            <w:right w:val="none" w:sz="0" w:space="0" w:color="auto"/>
          </w:divBdr>
        </w:div>
      </w:divsChild>
    </w:div>
    <w:div w:id="1852718677">
      <w:bodyDiv w:val="1"/>
      <w:marLeft w:val="0"/>
      <w:marRight w:val="0"/>
      <w:marTop w:val="0"/>
      <w:marBottom w:val="0"/>
      <w:divBdr>
        <w:top w:val="none" w:sz="0" w:space="0" w:color="auto"/>
        <w:left w:val="none" w:sz="0" w:space="0" w:color="auto"/>
        <w:bottom w:val="none" w:sz="0" w:space="0" w:color="auto"/>
        <w:right w:val="none" w:sz="0" w:space="0" w:color="auto"/>
      </w:divBdr>
    </w:div>
    <w:div w:id="1894147723">
      <w:bodyDiv w:val="1"/>
      <w:marLeft w:val="0"/>
      <w:marRight w:val="0"/>
      <w:marTop w:val="0"/>
      <w:marBottom w:val="0"/>
      <w:divBdr>
        <w:top w:val="none" w:sz="0" w:space="0" w:color="auto"/>
        <w:left w:val="none" w:sz="0" w:space="0" w:color="auto"/>
        <w:bottom w:val="none" w:sz="0" w:space="0" w:color="auto"/>
        <w:right w:val="none" w:sz="0" w:space="0" w:color="auto"/>
      </w:divBdr>
      <w:divsChild>
        <w:div w:id="319427795">
          <w:marLeft w:val="-150"/>
          <w:marRight w:val="-150"/>
          <w:marTop w:val="0"/>
          <w:marBottom w:val="0"/>
          <w:divBdr>
            <w:top w:val="none" w:sz="0" w:space="0" w:color="auto"/>
            <w:left w:val="none" w:sz="0" w:space="0" w:color="auto"/>
            <w:bottom w:val="none" w:sz="0" w:space="0" w:color="auto"/>
            <w:right w:val="none" w:sz="0" w:space="0" w:color="auto"/>
          </w:divBdr>
          <w:divsChild>
            <w:div w:id="203980038">
              <w:marLeft w:val="0"/>
              <w:marRight w:val="0"/>
              <w:marTop w:val="0"/>
              <w:marBottom w:val="0"/>
              <w:divBdr>
                <w:top w:val="none" w:sz="0" w:space="0" w:color="auto"/>
                <w:left w:val="none" w:sz="0" w:space="0" w:color="auto"/>
                <w:bottom w:val="none" w:sz="0" w:space="0" w:color="auto"/>
                <w:right w:val="none" w:sz="0" w:space="0" w:color="auto"/>
              </w:divBdr>
            </w:div>
            <w:div w:id="8755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61123">
      <w:bodyDiv w:val="1"/>
      <w:marLeft w:val="0"/>
      <w:marRight w:val="0"/>
      <w:marTop w:val="0"/>
      <w:marBottom w:val="0"/>
      <w:divBdr>
        <w:top w:val="none" w:sz="0" w:space="0" w:color="auto"/>
        <w:left w:val="none" w:sz="0" w:space="0" w:color="auto"/>
        <w:bottom w:val="none" w:sz="0" w:space="0" w:color="auto"/>
        <w:right w:val="none" w:sz="0" w:space="0" w:color="auto"/>
      </w:divBdr>
      <w:divsChild>
        <w:div w:id="263464940">
          <w:marLeft w:val="446"/>
          <w:marRight w:val="0"/>
          <w:marTop w:val="0"/>
          <w:marBottom w:val="0"/>
          <w:divBdr>
            <w:top w:val="none" w:sz="0" w:space="0" w:color="auto"/>
            <w:left w:val="none" w:sz="0" w:space="0" w:color="auto"/>
            <w:bottom w:val="none" w:sz="0" w:space="0" w:color="auto"/>
            <w:right w:val="none" w:sz="0" w:space="0" w:color="auto"/>
          </w:divBdr>
        </w:div>
        <w:div w:id="456602628">
          <w:marLeft w:val="446"/>
          <w:marRight w:val="0"/>
          <w:marTop w:val="0"/>
          <w:marBottom w:val="0"/>
          <w:divBdr>
            <w:top w:val="none" w:sz="0" w:space="0" w:color="auto"/>
            <w:left w:val="none" w:sz="0" w:space="0" w:color="auto"/>
            <w:bottom w:val="none" w:sz="0" w:space="0" w:color="auto"/>
            <w:right w:val="none" w:sz="0" w:space="0" w:color="auto"/>
          </w:divBdr>
        </w:div>
        <w:div w:id="645860496">
          <w:marLeft w:val="446"/>
          <w:marRight w:val="0"/>
          <w:marTop w:val="0"/>
          <w:marBottom w:val="0"/>
          <w:divBdr>
            <w:top w:val="none" w:sz="0" w:space="0" w:color="auto"/>
            <w:left w:val="none" w:sz="0" w:space="0" w:color="auto"/>
            <w:bottom w:val="none" w:sz="0" w:space="0" w:color="auto"/>
            <w:right w:val="none" w:sz="0" w:space="0" w:color="auto"/>
          </w:divBdr>
        </w:div>
      </w:divsChild>
    </w:div>
    <w:div w:id="1937906549">
      <w:bodyDiv w:val="1"/>
      <w:marLeft w:val="0"/>
      <w:marRight w:val="0"/>
      <w:marTop w:val="0"/>
      <w:marBottom w:val="0"/>
      <w:divBdr>
        <w:top w:val="none" w:sz="0" w:space="0" w:color="auto"/>
        <w:left w:val="none" w:sz="0" w:space="0" w:color="auto"/>
        <w:bottom w:val="none" w:sz="0" w:space="0" w:color="auto"/>
        <w:right w:val="none" w:sz="0" w:space="0" w:color="auto"/>
      </w:divBdr>
    </w:div>
    <w:div w:id="1943027459">
      <w:bodyDiv w:val="1"/>
      <w:marLeft w:val="0"/>
      <w:marRight w:val="0"/>
      <w:marTop w:val="0"/>
      <w:marBottom w:val="0"/>
      <w:divBdr>
        <w:top w:val="none" w:sz="0" w:space="0" w:color="auto"/>
        <w:left w:val="none" w:sz="0" w:space="0" w:color="auto"/>
        <w:bottom w:val="none" w:sz="0" w:space="0" w:color="auto"/>
        <w:right w:val="none" w:sz="0" w:space="0" w:color="auto"/>
      </w:divBdr>
    </w:div>
    <w:div w:id="1947081866">
      <w:bodyDiv w:val="1"/>
      <w:marLeft w:val="0"/>
      <w:marRight w:val="0"/>
      <w:marTop w:val="0"/>
      <w:marBottom w:val="0"/>
      <w:divBdr>
        <w:top w:val="none" w:sz="0" w:space="0" w:color="auto"/>
        <w:left w:val="none" w:sz="0" w:space="0" w:color="auto"/>
        <w:bottom w:val="none" w:sz="0" w:space="0" w:color="auto"/>
        <w:right w:val="none" w:sz="0" w:space="0" w:color="auto"/>
      </w:divBdr>
    </w:div>
    <w:div w:id="1991981030">
      <w:bodyDiv w:val="1"/>
      <w:marLeft w:val="0"/>
      <w:marRight w:val="0"/>
      <w:marTop w:val="0"/>
      <w:marBottom w:val="0"/>
      <w:divBdr>
        <w:top w:val="none" w:sz="0" w:space="0" w:color="auto"/>
        <w:left w:val="none" w:sz="0" w:space="0" w:color="auto"/>
        <w:bottom w:val="none" w:sz="0" w:space="0" w:color="auto"/>
        <w:right w:val="none" w:sz="0" w:space="0" w:color="auto"/>
      </w:divBdr>
    </w:div>
    <w:div w:id="2047368873">
      <w:bodyDiv w:val="1"/>
      <w:marLeft w:val="0"/>
      <w:marRight w:val="0"/>
      <w:marTop w:val="0"/>
      <w:marBottom w:val="0"/>
      <w:divBdr>
        <w:top w:val="none" w:sz="0" w:space="0" w:color="auto"/>
        <w:left w:val="none" w:sz="0" w:space="0" w:color="auto"/>
        <w:bottom w:val="none" w:sz="0" w:space="0" w:color="auto"/>
        <w:right w:val="none" w:sz="0" w:space="0" w:color="auto"/>
      </w:divBdr>
    </w:div>
    <w:div w:id="2060128025">
      <w:bodyDiv w:val="1"/>
      <w:marLeft w:val="0"/>
      <w:marRight w:val="0"/>
      <w:marTop w:val="0"/>
      <w:marBottom w:val="0"/>
      <w:divBdr>
        <w:top w:val="none" w:sz="0" w:space="0" w:color="auto"/>
        <w:left w:val="none" w:sz="0" w:space="0" w:color="auto"/>
        <w:bottom w:val="none" w:sz="0" w:space="0" w:color="auto"/>
        <w:right w:val="none" w:sz="0" w:space="0" w:color="auto"/>
      </w:divBdr>
      <w:divsChild>
        <w:div w:id="47265616">
          <w:marLeft w:val="0"/>
          <w:marRight w:val="0"/>
          <w:marTop w:val="0"/>
          <w:marBottom w:val="0"/>
          <w:divBdr>
            <w:top w:val="none" w:sz="0" w:space="0" w:color="auto"/>
            <w:left w:val="none" w:sz="0" w:space="0" w:color="auto"/>
            <w:bottom w:val="none" w:sz="0" w:space="0" w:color="auto"/>
            <w:right w:val="none" w:sz="0" w:space="0" w:color="auto"/>
          </w:divBdr>
        </w:div>
        <w:div w:id="174078109">
          <w:marLeft w:val="0"/>
          <w:marRight w:val="0"/>
          <w:marTop w:val="0"/>
          <w:marBottom w:val="0"/>
          <w:divBdr>
            <w:top w:val="none" w:sz="0" w:space="0" w:color="auto"/>
            <w:left w:val="none" w:sz="0" w:space="0" w:color="auto"/>
            <w:bottom w:val="none" w:sz="0" w:space="0" w:color="auto"/>
            <w:right w:val="none" w:sz="0" w:space="0" w:color="auto"/>
          </w:divBdr>
        </w:div>
        <w:div w:id="667027523">
          <w:marLeft w:val="0"/>
          <w:marRight w:val="0"/>
          <w:marTop w:val="0"/>
          <w:marBottom w:val="0"/>
          <w:divBdr>
            <w:top w:val="none" w:sz="0" w:space="0" w:color="auto"/>
            <w:left w:val="none" w:sz="0" w:space="0" w:color="auto"/>
            <w:bottom w:val="none" w:sz="0" w:space="0" w:color="auto"/>
            <w:right w:val="none" w:sz="0" w:space="0" w:color="auto"/>
          </w:divBdr>
        </w:div>
      </w:divsChild>
    </w:div>
    <w:div w:id="211598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cordis.europa.eu/project/id/101160532"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rdis.europa.eu/project/id/101160532"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080/09613218.2024.2400467" TargetMode="External"/><Relationship Id="rId13" Type="http://schemas.openxmlformats.org/officeDocument/2006/relationships/hyperlink" Target="https://new-european-bauhaus.europa.eu/index_en" TargetMode="External"/><Relationship Id="rId18" Type="http://schemas.openxmlformats.org/officeDocument/2006/relationships/hyperlink" Target="https://employment-social-affairs.ec.europa.eu/policies-and-activities/skills-and-qualifications/working-together/blueprint-sectoral-cooperation-skills_en" TargetMode="External"/><Relationship Id="rId3" Type="http://schemas.openxmlformats.org/officeDocument/2006/relationships/hyperlink" Target="https://link.springer.com/article/10.1007/s10098-024-03023-6?utm" TargetMode="External"/><Relationship Id="rId7" Type="http://schemas.openxmlformats.org/officeDocument/2006/relationships/hyperlink" Target="https://ec.europa.eu/docsroom/documents/53854" TargetMode="External"/><Relationship Id="rId12" Type="http://schemas.openxmlformats.org/officeDocument/2006/relationships/hyperlink" Target="https://monitor-industrial-ecosystems.ec.europa.eu/sites/default/files/2025-06/EMI_WP4_Construction_report_2024_Final.pdf" TargetMode="External"/><Relationship Id="rId17" Type="http://schemas.openxmlformats.org/officeDocument/2006/relationships/hyperlink" Target="https://www.cedefop.europa.eu/en/data-insights/greening-eu-construction-sector" TargetMode="External"/><Relationship Id="rId2" Type="http://schemas.openxmlformats.org/officeDocument/2006/relationships/hyperlink" Target="https://single-market-economy.ec.europa.eu/industry/sustainability/buildings-and-construction_en" TargetMode="External"/><Relationship Id="rId16" Type="http://schemas.openxmlformats.org/officeDocument/2006/relationships/hyperlink" Target="https://www.cedefop.europa.eu/en/data-insights/greening-eu-construction-sector" TargetMode="External"/><Relationship Id="rId1" Type="http://schemas.openxmlformats.org/officeDocument/2006/relationships/hyperlink" Target="https://www.eib.org/attachments/lucalli/20240238_econ_eibis_2024_eu_en.pdf" TargetMode="External"/><Relationship Id="rId6" Type="http://schemas.openxmlformats.org/officeDocument/2006/relationships/hyperlink" Target="http://data.europa.eu/eli/reg/2024/3110/oj" TargetMode="External"/><Relationship Id="rId11" Type="http://schemas.openxmlformats.org/officeDocument/2006/relationships/hyperlink" Target="https://ec.europa.eu/eurostat/web/interactive-publications/digitalisation-2025" TargetMode="External"/><Relationship Id="rId5" Type="http://schemas.openxmlformats.org/officeDocument/2006/relationships/hyperlink" Target="https://bio-build.eu/" TargetMode="External"/><Relationship Id="rId15" Type="http://schemas.openxmlformats.org/officeDocument/2006/relationships/hyperlink" Target="https://publications.jrc.ec.europa.eu/repository/handle/JRC135470" TargetMode="External"/><Relationship Id="rId10" Type="http://schemas.openxmlformats.org/officeDocument/2006/relationships/hyperlink" Target="https://www.eib.org/attachments/lucalli/20240238_econ_eibis_2024_eu_en.pdf" TargetMode="External"/><Relationship Id="rId19" Type="http://schemas.openxmlformats.org/officeDocument/2006/relationships/hyperlink" Target="https://single-market-economy.ec.europa.eu/sectors/construction/construction-transition-pathway_en" TargetMode="External"/><Relationship Id="rId4" Type="http://schemas.openxmlformats.org/officeDocument/2006/relationships/hyperlink" Target="https://link.springer.com/article/10.1007/s10098-024-03023-6?utm" TargetMode="External"/><Relationship Id="rId9" Type="http://schemas.openxmlformats.org/officeDocument/2006/relationships/hyperlink" Target="https://public-buyers-community.ec.europa.eu/communities/bim-and-public-procurement" TargetMode="External"/><Relationship Id="rId14" Type="http://schemas.openxmlformats.org/officeDocument/2006/relationships/hyperlink" Target="http://data.europa.eu/eli/dir/2024/1275/oj" TargetMode="External"/></Relationship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070C0"/>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9782E-D0EF-4068-B8EF-005B4457C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8780</Words>
  <Characters>50050</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58713</CharactersWithSpaces>
  <SharedDoc>false</SharedDoc>
  <HLinks>
    <vt:vector size="114" baseType="variant">
      <vt:variant>
        <vt:i4>720997</vt:i4>
      </vt:variant>
      <vt:variant>
        <vt:i4>60</vt:i4>
      </vt:variant>
      <vt:variant>
        <vt:i4>0</vt:i4>
      </vt:variant>
      <vt:variant>
        <vt:i4>5</vt:i4>
      </vt:variant>
      <vt:variant>
        <vt:lpwstr>https://single-market-economy.ec.europa.eu/sectors/construction/construction-transition-pathway_en</vt:lpwstr>
      </vt:variant>
      <vt:variant>
        <vt:lpwstr/>
      </vt:variant>
      <vt:variant>
        <vt:i4>1572897</vt:i4>
      </vt:variant>
      <vt:variant>
        <vt:i4>57</vt:i4>
      </vt:variant>
      <vt:variant>
        <vt:i4>0</vt:i4>
      </vt:variant>
      <vt:variant>
        <vt:i4>5</vt:i4>
      </vt:variant>
      <vt:variant>
        <vt:lpwstr>https://employment-social-affairs.ec.europa.eu/policies-and-activities/skills-and-qualifications/working-together/blueprint-sectoral-cooperation-skills_en</vt:lpwstr>
      </vt:variant>
      <vt:variant>
        <vt:lpwstr/>
      </vt:variant>
      <vt:variant>
        <vt:i4>1179665</vt:i4>
      </vt:variant>
      <vt:variant>
        <vt:i4>54</vt:i4>
      </vt:variant>
      <vt:variant>
        <vt:i4>0</vt:i4>
      </vt:variant>
      <vt:variant>
        <vt:i4>5</vt:i4>
      </vt:variant>
      <vt:variant>
        <vt:lpwstr>https://www.cedefop.europa.eu/en/data-insights/greening-eu-construction-sector</vt:lpwstr>
      </vt:variant>
      <vt:variant>
        <vt:lpwstr>:~:text=Vocational%20education%20and%20training%20(VET,communication%20and%20collaboration%20with%20others.&amp;text=Source:%20Cedefop%20second%20European%20Skills%20and%20Jobs%20Survey%20(2021).</vt:lpwstr>
      </vt:variant>
      <vt:variant>
        <vt:i4>65606</vt:i4>
      </vt:variant>
      <vt:variant>
        <vt:i4>51</vt:i4>
      </vt:variant>
      <vt:variant>
        <vt:i4>0</vt:i4>
      </vt:variant>
      <vt:variant>
        <vt:i4>5</vt:i4>
      </vt:variant>
      <vt:variant>
        <vt:lpwstr>https://publications.jrc.ec.europa.eu/repository/handle/JRC135470</vt:lpwstr>
      </vt:variant>
      <vt:variant>
        <vt:lpwstr/>
      </vt:variant>
      <vt:variant>
        <vt:i4>6684776</vt:i4>
      </vt:variant>
      <vt:variant>
        <vt:i4>48</vt:i4>
      </vt:variant>
      <vt:variant>
        <vt:i4>0</vt:i4>
      </vt:variant>
      <vt:variant>
        <vt:i4>5</vt:i4>
      </vt:variant>
      <vt:variant>
        <vt:lpwstr>http://data.europa.eu/eli/dir/2024/1275/oj</vt:lpwstr>
      </vt:variant>
      <vt:variant>
        <vt:lpwstr/>
      </vt:variant>
      <vt:variant>
        <vt:i4>458768</vt:i4>
      </vt:variant>
      <vt:variant>
        <vt:i4>45</vt:i4>
      </vt:variant>
      <vt:variant>
        <vt:i4>0</vt:i4>
      </vt:variant>
      <vt:variant>
        <vt:i4>5</vt:i4>
      </vt:variant>
      <vt:variant>
        <vt:lpwstr>https://eur-lex.europa.eu/legal-content/EN/TXT/?uri=CELEX:52021DC0573</vt:lpwstr>
      </vt:variant>
      <vt:variant>
        <vt:lpwstr/>
      </vt:variant>
      <vt:variant>
        <vt:i4>5570687</vt:i4>
      </vt:variant>
      <vt:variant>
        <vt:i4>42</vt:i4>
      </vt:variant>
      <vt:variant>
        <vt:i4>0</vt:i4>
      </vt:variant>
      <vt:variant>
        <vt:i4>5</vt:i4>
      </vt:variant>
      <vt:variant>
        <vt:lpwstr>https://monitor-industrial-ecosystems.ec.europa.eu/sites/default/files/2025-06/EMI_WP4_Construction_report_2024_Final.pdf</vt:lpwstr>
      </vt:variant>
      <vt:variant>
        <vt:lpwstr/>
      </vt:variant>
      <vt:variant>
        <vt:i4>2228329</vt:i4>
      </vt:variant>
      <vt:variant>
        <vt:i4>39</vt:i4>
      </vt:variant>
      <vt:variant>
        <vt:i4>0</vt:i4>
      </vt:variant>
      <vt:variant>
        <vt:i4>5</vt:i4>
      </vt:variant>
      <vt:variant>
        <vt:lpwstr>https://ec.europa.eu/eurostat/web/interactive-publications/digitalisation-2025</vt:lpwstr>
      </vt:variant>
      <vt:variant>
        <vt:lpwstr/>
      </vt:variant>
      <vt:variant>
        <vt:i4>262243</vt:i4>
      </vt:variant>
      <vt:variant>
        <vt:i4>36</vt:i4>
      </vt:variant>
      <vt:variant>
        <vt:i4>0</vt:i4>
      </vt:variant>
      <vt:variant>
        <vt:i4>5</vt:i4>
      </vt:variant>
      <vt:variant>
        <vt:lpwstr>https://www.eib.org/attachments/lucalli/20240238_econ_eibis_2024_eu_en.pdf</vt:lpwstr>
      </vt:variant>
      <vt:variant>
        <vt:lpwstr/>
      </vt:variant>
      <vt:variant>
        <vt:i4>7471137</vt:i4>
      </vt:variant>
      <vt:variant>
        <vt:i4>33</vt:i4>
      </vt:variant>
      <vt:variant>
        <vt:i4>0</vt:i4>
      </vt:variant>
      <vt:variant>
        <vt:i4>5</vt:i4>
      </vt:variant>
      <vt:variant>
        <vt:lpwstr>https://public-buyers-community.ec.europa.eu/communities/bim-and-public-procurement</vt:lpwstr>
      </vt:variant>
      <vt:variant>
        <vt:lpwstr/>
      </vt:variant>
      <vt:variant>
        <vt:i4>327746</vt:i4>
      </vt:variant>
      <vt:variant>
        <vt:i4>30</vt:i4>
      </vt:variant>
      <vt:variant>
        <vt:i4>0</vt:i4>
      </vt:variant>
      <vt:variant>
        <vt:i4>5</vt:i4>
      </vt:variant>
      <vt:variant>
        <vt:lpwstr>https://doi.org/10.1080/09613218.2024.2400467</vt:lpwstr>
      </vt:variant>
      <vt:variant>
        <vt:lpwstr/>
      </vt:variant>
      <vt:variant>
        <vt:i4>5832798</vt:i4>
      </vt:variant>
      <vt:variant>
        <vt:i4>24</vt:i4>
      </vt:variant>
      <vt:variant>
        <vt:i4>0</vt:i4>
      </vt:variant>
      <vt:variant>
        <vt:i4>5</vt:i4>
      </vt:variant>
      <vt:variant>
        <vt:lpwstr>https://ec.europa.eu/docsroom/documents/53854</vt:lpwstr>
      </vt:variant>
      <vt:variant>
        <vt:lpwstr/>
      </vt:variant>
      <vt:variant>
        <vt:i4>7209069</vt:i4>
      </vt:variant>
      <vt:variant>
        <vt:i4>21</vt:i4>
      </vt:variant>
      <vt:variant>
        <vt:i4>0</vt:i4>
      </vt:variant>
      <vt:variant>
        <vt:i4>5</vt:i4>
      </vt:variant>
      <vt:variant>
        <vt:lpwstr>http://data.europa.eu/eli/reg/2024/3110/oj</vt:lpwstr>
      </vt:variant>
      <vt:variant>
        <vt:lpwstr/>
      </vt:variant>
      <vt:variant>
        <vt:i4>1114186</vt:i4>
      </vt:variant>
      <vt:variant>
        <vt:i4>18</vt:i4>
      </vt:variant>
      <vt:variant>
        <vt:i4>0</vt:i4>
      </vt:variant>
      <vt:variant>
        <vt:i4>5</vt:i4>
      </vt:variant>
      <vt:variant>
        <vt:lpwstr>https://link.springer.com/article/10.1007/s10098-024-03023-6?utm</vt:lpwstr>
      </vt:variant>
      <vt:variant>
        <vt:lpwstr/>
      </vt:variant>
      <vt:variant>
        <vt:i4>1507399</vt:i4>
      </vt:variant>
      <vt:variant>
        <vt:i4>15</vt:i4>
      </vt:variant>
      <vt:variant>
        <vt:i4>0</vt:i4>
      </vt:variant>
      <vt:variant>
        <vt:i4>5</vt:i4>
      </vt:variant>
      <vt:variant>
        <vt:lpwstr>https://bio-build.eu/</vt:lpwstr>
      </vt:variant>
      <vt:variant>
        <vt:lpwstr/>
      </vt:variant>
      <vt:variant>
        <vt:i4>4063326</vt:i4>
      </vt:variant>
      <vt:variant>
        <vt:i4>12</vt:i4>
      </vt:variant>
      <vt:variant>
        <vt:i4>0</vt:i4>
      </vt:variant>
      <vt:variant>
        <vt:i4>5</vt:i4>
      </vt:variant>
      <vt:variant>
        <vt:lpwstr>https://single-market-economy.ec.europa.eu/industry/sustainability/buildings-and-construction_en</vt:lpwstr>
      </vt:variant>
      <vt:variant>
        <vt:lpwstr/>
      </vt:variant>
      <vt:variant>
        <vt:i4>262243</vt:i4>
      </vt:variant>
      <vt:variant>
        <vt:i4>9</vt:i4>
      </vt:variant>
      <vt:variant>
        <vt:i4>0</vt:i4>
      </vt:variant>
      <vt:variant>
        <vt:i4>5</vt:i4>
      </vt:variant>
      <vt:variant>
        <vt:lpwstr>https://www.eib.org/attachments/lucalli/20240238_econ_eibis_2024_eu_en.pdf</vt:lpwstr>
      </vt:variant>
      <vt:variant>
        <vt:lpwstr/>
      </vt:variant>
      <vt:variant>
        <vt:i4>5570669</vt:i4>
      </vt:variant>
      <vt:variant>
        <vt:i4>0</vt:i4>
      </vt:variant>
      <vt:variant>
        <vt:i4>0</vt:i4>
      </vt:variant>
      <vt:variant>
        <vt:i4>5</vt:i4>
      </vt:variant>
      <vt:variant>
        <vt:lpwstr>mailto:roman.horvath@ec.europa.eu</vt:lpwstr>
      </vt:variant>
      <vt:variant>
        <vt:lpwstr/>
      </vt:variant>
      <vt:variant>
        <vt:i4>2031636</vt:i4>
      </vt:variant>
      <vt:variant>
        <vt:i4>0</vt:i4>
      </vt:variant>
      <vt:variant>
        <vt:i4>0</vt:i4>
      </vt:variant>
      <vt:variant>
        <vt:i4>5</vt:i4>
      </vt:variant>
      <vt:variant>
        <vt:lpwstr>https://cordis.europa.eu/project/id/101160532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2025-12-15T15:21:00Z</dcterms:created>
  <dcterms:modified xsi:type="dcterms:W3CDTF">2026-01-15T17:37:00Z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2025-12-12T08:32:18Z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853e8dd0-4a9d-4754-b7df-0cf430829afe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