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36755" w14:textId="27FD3A3A" w:rsidR="009142AF" w:rsidRDefault="00E865D3" w:rsidP="00E865D3">
      <w:pPr>
        <w:pStyle w:val="Pagedecouverture"/>
        <w:rPr>
          <w:noProof/>
          <w:shd w:val="clear" w:color="auto" w:fill="FFFFFF"/>
        </w:rPr>
      </w:pPr>
      <w:bookmarkStart w:id="0" w:name="LW_BM_COVERPAGE"/>
      <w:r>
        <w:rPr>
          <w:noProof/>
          <w:shd w:val="clear" w:color="auto" w:fill="FFFFFF"/>
        </w:rPr>
        <w:pict w14:anchorId="2EC60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9E66E41-E82A-4C18-BB7F-2D41951916A2" style="width:455.15pt;height:271.85pt">
            <v:imagedata r:id="rId8" o:title=""/>
          </v:shape>
        </w:pict>
      </w:r>
    </w:p>
    <w:bookmarkEnd w:id="0"/>
    <w:p w14:paraId="37A8427B" w14:textId="77777777" w:rsidR="009142AF" w:rsidRDefault="009142AF" w:rsidP="009142AF">
      <w:pPr>
        <w:rPr>
          <w:noProof/>
          <w:shd w:val="clear" w:color="auto" w:fill="FFFFFF"/>
        </w:rPr>
        <w:sectPr w:rsidR="009142AF" w:rsidSect="00E865D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6E66C1A" w14:textId="30CDFE82" w:rsidR="00C12F42" w:rsidRPr="00C12F42" w:rsidRDefault="00C12F42" w:rsidP="00C12F42">
      <w:pPr>
        <w:pStyle w:val="Typedudocument"/>
        <w:rPr>
          <w:noProof/>
        </w:rPr>
      </w:pPr>
      <w:bookmarkStart w:id="1" w:name="_GoBack"/>
      <w:bookmarkEnd w:id="1"/>
      <w:r w:rsidRPr="00C12F42">
        <w:rPr>
          <w:noProof/>
        </w:rPr>
        <w:lastRenderedPageBreak/>
        <w:t>COMMUNICATION DE LA COMMISSION</w:t>
      </w:r>
    </w:p>
    <w:p w14:paraId="5B3D0129" w14:textId="4E627090" w:rsidR="00C12F42" w:rsidRPr="00C12F42" w:rsidRDefault="00C12F42" w:rsidP="00C12F42">
      <w:pPr>
        <w:pStyle w:val="Titreobjet"/>
        <w:rPr>
          <w:noProof/>
        </w:rPr>
      </w:pPr>
      <w:r w:rsidRPr="00C12F42">
        <w:rPr>
          <w:noProof/>
        </w:rPr>
        <w:t>Stratégie «Battery Booster»</w:t>
      </w:r>
    </w:p>
    <w:p w14:paraId="331DD5EA" w14:textId="4D80A4BF" w:rsidR="005B3FE8" w:rsidRPr="00BA282A" w:rsidRDefault="009D4243" w:rsidP="00BA282A">
      <w:pPr>
        <w:jc w:val="both"/>
        <w:rPr>
          <w:rFonts w:ascii="Times New Roman" w:hAnsi="Times New Roman" w:cs="Times New Roman"/>
          <w:noProof/>
        </w:rPr>
      </w:pPr>
      <w:r>
        <w:rPr>
          <w:rFonts w:ascii="Times New Roman" w:hAnsi="Times New Roman"/>
          <w:b/>
          <w:noProof/>
        </w:rPr>
        <w:t>L’industrie européenne des batteries joue un rôle central dans les efforts déployés par l’Union pour atteindre ses objectifs climatiques et renforcer sa résilience économique, sa sécurité énergétique et ses capacités de défense</w:t>
      </w:r>
      <w:r>
        <w:rPr>
          <w:rFonts w:ascii="Times New Roman" w:hAnsi="Times New Roman"/>
          <w:noProof/>
        </w:rPr>
        <w:t>. Sous l’effet de l’électrification dans de nombreux secteurs, notamment celui des véhicules électriques, ainsi que dans des marchés émergents tels que l’aviation électrique et le transport maritime, la demande de batteries en Europe devrait monter en flèche au cours des prochaines années. Les batteries jouent également un rôle crucial dans le stockage d’énergie à l’échelle du réseau, en renforçant la résilience du système énergétique, ainsi que dans les applications de défense, ce qui souligne leur importance stratégique. Conjuguée à la poursuite de la décarbonation du secteur de l’électricité, cette évolution permettra de réduire la facture des importations d’énergie et notre dépendance géopolitique à l’égard des combustibles fossiles importés.</w:t>
      </w:r>
    </w:p>
    <w:p w14:paraId="1F46C97F" w14:textId="2263D848" w:rsidR="009F63C0" w:rsidRPr="00B45490" w:rsidRDefault="009F63C0" w:rsidP="00BA282A">
      <w:pPr>
        <w:jc w:val="both"/>
        <w:rPr>
          <w:rFonts w:ascii="Times New Roman" w:hAnsi="Times New Roman" w:cs="Times New Roman"/>
          <w:b/>
          <w:bCs/>
          <w:noProof/>
        </w:rPr>
      </w:pPr>
      <w:r>
        <w:rPr>
          <w:rFonts w:ascii="Times New Roman" w:hAnsi="Times New Roman"/>
          <w:noProof/>
        </w:rPr>
        <w:t xml:space="preserve">Au cours de la dernière décennie, </w:t>
      </w:r>
      <w:r>
        <w:rPr>
          <w:rFonts w:ascii="Times New Roman" w:hAnsi="Times New Roman"/>
          <w:b/>
          <w:noProof/>
        </w:rPr>
        <w:t>les mesures prises par l’UE afin de renforcer la chaîne de valeur de la fabrication de batteries ont permis de débloquer des investissements substantiels</w:t>
      </w:r>
      <w:r>
        <w:rPr>
          <w:rFonts w:ascii="Times New Roman" w:hAnsi="Times New Roman"/>
          <w:noProof/>
        </w:rPr>
        <w:t>, portés par la croissance rapide du secteur. Sous l’impulsion de l’alliance européenne pour les batteries, lancée en 2017, et de projets importants d’intérêt européen commun (PIIEC) spécifiques</w:t>
      </w:r>
      <w:r>
        <w:rPr>
          <w:rStyle w:val="FootnoteReference"/>
          <w:noProof/>
        </w:rPr>
        <w:footnoteReference w:id="2"/>
      </w:r>
      <w:r>
        <w:rPr>
          <w:rFonts w:ascii="Times New Roman" w:hAnsi="Times New Roman"/>
          <w:noProof/>
        </w:rPr>
        <w:t>, la capacité de fabrication de cellules de batteries est passée de seulement 1 GWh en 2017 à plus de 200 GWh aujourd’hui, ce qui s’est traduit par des investissements d’environ 33 milliards d’EUR jusqu’en 2025 dans les seules usines de batteries</w:t>
      </w:r>
      <w:r>
        <w:rPr>
          <w:rStyle w:val="FootnoteReference"/>
          <w:rFonts w:ascii="Times New Roman" w:hAnsi="Times New Roman" w:cs="Times New Roman"/>
          <w:noProof/>
        </w:rPr>
        <w:footnoteReference w:id="3"/>
      </w:r>
      <w:r>
        <w:rPr>
          <w:rFonts w:ascii="Times New Roman" w:hAnsi="Times New Roman"/>
          <w:noProof/>
        </w:rPr>
        <w:t>. Les segments intermédiaires ont également connu un essor considérable, marqué par une production accrue de composants critiques tels que les matières actives de cathode et d’anode, les électrolytes, les séparateurs et les liants.</w:t>
      </w:r>
    </w:p>
    <w:p w14:paraId="4DD90C88" w14:textId="07106C8E" w:rsidR="001246D5" w:rsidRDefault="00C31518" w:rsidP="00BA282A">
      <w:pPr>
        <w:jc w:val="both"/>
        <w:rPr>
          <w:rFonts w:ascii="Times New Roman" w:hAnsi="Times New Roman" w:cs="Times New Roman"/>
          <w:noProof/>
        </w:rPr>
      </w:pPr>
      <w:r>
        <w:rPr>
          <w:rFonts w:ascii="Times New Roman" w:hAnsi="Times New Roman"/>
          <w:b/>
          <w:noProof/>
        </w:rPr>
        <w:t>Toutefois, les conditions qui</w:t>
      </w:r>
      <w:r w:rsidR="00BE2CFD">
        <w:rPr>
          <w:rFonts w:ascii="Times New Roman" w:hAnsi="Times New Roman"/>
          <w:b/>
          <w:noProof/>
        </w:rPr>
        <w:t xml:space="preserve"> </w:t>
      </w:r>
      <w:r>
        <w:rPr>
          <w:rFonts w:ascii="Times New Roman" w:hAnsi="Times New Roman"/>
          <w:b/>
          <w:noProof/>
        </w:rPr>
        <w:t>avaient favorisé cette croissance dans un premier temps ont évolué ces dernières années</w:t>
      </w:r>
      <w:r>
        <w:rPr>
          <w:rFonts w:ascii="Times New Roman" w:hAnsi="Times New Roman"/>
          <w:noProof/>
        </w:rPr>
        <w:t>. Une combinaison de défis structurels et externes met en péril la capacité de l’écosystème des batteries de l’UE à se développer correctement et risque d’aggraver la dépendance stratégique à l’égard des technologies de pays tiers. Cette situation présente également des risques pour la sécurité économique. À cause du ralentissement qui en découle, de nombreux projets sont annulés, revus à la baisse ou retardés.</w:t>
      </w:r>
    </w:p>
    <w:p w14:paraId="5C3369C8" w14:textId="3ACAF9EC" w:rsidR="008A49CB" w:rsidRPr="005952E6" w:rsidRDefault="00961756" w:rsidP="00BA282A">
      <w:pPr>
        <w:jc w:val="both"/>
        <w:rPr>
          <w:rFonts w:ascii="Times New Roman" w:hAnsi="Times New Roman" w:cs="Times New Roman"/>
          <w:noProof/>
        </w:rPr>
      </w:pPr>
      <w:r>
        <w:rPr>
          <w:rFonts w:ascii="Times New Roman" w:hAnsi="Times New Roman"/>
          <w:noProof/>
        </w:rPr>
        <w:t xml:space="preserve">L’un des défis à relever est la </w:t>
      </w:r>
      <w:r>
        <w:rPr>
          <w:rFonts w:ascii="Times New Roman" w:hAnsi="Times New Roman"/>
          <w:b/>
          <w:noProof/>
        </w:rPr>
        <w:t>surcapacité mondiale tout au long de la chaîne de valeur des batteries</w:t>
      </w:r>
      <w:r>
        <w:rPr>
          <w:rFonts w:ascii="Times New Roman" w:hAnsi="Times New Roman"/>
          <w:noProof/>
        </w:rPr>
        <w:t>, qui est à l’origine d’une concurrence intense par les prix. En 2025, la fabrication mondiale de batteries a dépassé 4 000 Gwh, tandis que la demande mondiale était inférieure à 2 000 GWh. Il s’agit là d’un défi structurel pour la chaîne de valeur européenne des batteries, car la compétitivité nécessite d’être capable de produire à grande échelle, ce qui n’est possible qu’après une phase de montée en puissance coûteuse durant laquelle les coûts de production sont beaucoup plus élevés que ceux supportés par les fabricants bien établis. Cette situation fait obstacle à la production à grande échelle.</w:t>
      </w:r>
    </w:p>
    <w:p w14:paraId="79323289" w14:textId="5EC8471C" w:rsidR="00BF6573" w:rsidRPr="005952E6" w:rsidRDefault="00426FE6" w:rsidP="00BA282A">
      <w:pPr>
        <w:jc w:val="both"/>
        <w:rPr>
          <w:rFonts w:ascii="Times New Roman" w:hAnsi="Times New Roman" w:cs="Times New Roman"/>
          <w:noProof/>
        </w:rPr>
      </w:pPr>
      <w:r>
        <w:rPr>
          <w:rFonts w:ascii="Times New Roman" w:hAnsi="Times New Roman"/>
          <w:noProof/>
        </w:rPr>
        <w:t xml:space="preserve">En outre, la concurrence mondiale ne s’exerce pas dans un </w:t>
      </w:r>
      <w:r>
        <w:rPr>
          <w:rFonts w:ascii="Times New Roman" w:hAnsi="Times New Roman"/>
          <w:b/>
          <w:noProof/>
        </w:rPr>
        <w:t xml:space="preserve">environnement de concurrence équitable, ce qui nuit à l’écosystème européen des batteries. </w:t>
      </w:r>
      <w:r>
        <w:rPr>
          <w:rFonts w:ascii="Times New Roman" w:hAnsi="Times New Roman"/>
          <w:noProof/>
        </w:rPr>
        <w:t xml:space="preserve">De nombreux concurrents de pays tiers bénéficient </w:t>
      </w:r>
      <w:r>
        <w:rPr>
          <w:rFonts w:ascii="Times New Roman" w:hAnsi="Times New Roman"/>
          <w:noProof/>
        </w:rPr>
        <w:lastRenderedPageBreak/>
        <w:t xml:space="preserve">de subventions publiques importantes, ce qui leur permet de réduire leurs coûts et de se livrer à une expansion agressive, tant au niveau national qu’au niveau international. Contrairement aux subventions étrangères, qui visent principalement à soutenir l’industrie manufacturière, la stratégie de l’Europe est trop peu axée sur des mesures efficaces d’approvisionnement en batteries au sein du marché unique, et accorde une attention insuffisante au développement d’une chaîne d’approvisionnement intérieure compétitive. Les fabricants européens s’en trouvent désavantagés. À l’heure actuelle, de nombreux concurrents bénéficient d’un double subventionnement, soit une aide à la production au niveau national et une aide axée sur la demande au niveau de l’UE. Cette situation n’est plus acceptable. </w:t>
      </w:r>
    </w:p>
    <w:p w14:paraId="46748543" w14:textId="5C25DC2D" w:rsidR="000C3B40" w:rsidRDefault="00487FD3" w:rsidP="00177EF5">
      <w:pPr>
        <w:spacing w:after="120"/>
        <w:jc w:val="both"/>
        <w:rPr>
          <w:rFonts w:ascii="Times New Roman" w:hAnsi="Times New Roman" w:cs="Times New Roman"/>
          <w:noProof/>
        </w:rPr>
      </w:pPr>
      <w:r>
        <w:rPr>
          <w:rFonts w:ascii="Times New Roman" w:hAnsi="Times New Roman"/>
          <w:noProof/>
        </w:rPr>
        <w:t xml:space="preserve">Malgré les efforts considérables déployés pour mettre en place une chaîne de valeur des batteries à l’échelle locale, </w:t>
      </w:r>
      <w:r>
        <w:rPr>
          <w:rFonts w:ascii="Times New Roman" w:hAnsi="Times New Roman"/>
          <w:b/>
          <w:noProof/>
        </w:rPr>
        <w:t>l’Union est devenue un importateur net de batteries</w:t>
      </w:r>
      <w:r>
        <w:rPr>
          <w:rFonts w:ascii="Times New Roman" w:hAnsi="Times New Roman"/>
          <w:noProof/>
        </w:rPr>
        <w:t>, l’industrie des batteries étant fortement concentrée sur certains marchés. En 2024, l’UE a importé environ 28 milliards d’EUR de batteries, dont 22 milliards d’EUR provenaient uniquement de Chine</w:t>
      </w:r>
      <w:r>
        <w:rPr>
          <w:rStyle w:val="FootnoteReference"/>
          <w:rFonts w:ascii="Times New Roman" w:hAnsi="Times New Roman" w:cs="Times New Roman"/>
          <w:noProof/>
        </w:rPr>
        <w:footnoteReference w:id="4"/>
      </w:r>
      <w:r>
        <w:rPr>
          <w:rFonts w:ascii="Times New Roman" w:hAnsi="Times New Roman"/>
          <w:noProof/>
        </w:rPr>
        <w:t>. À l’heure actuelle, la Chine domine la production mondiale de batteries. Elle représente environ 83 % de la capacité mondiale en 2024, ce qui dépasse largement sa demande intérieure</w:t>
      </w:r>
      <w:r>
        <w:rPr>
          <w:rStyle w:val="FootnoteReference"/>
          <w:rFonts w:ascii="Times New Roman" w:hAnsi="Times New Roman" w:cs="Times New Roman"/>
          <w:noProof/>
        </w:rPr>
        <w:footnoteReference w:id="5"/>
      </w:r>
      <w:r>
        <w:rPr>
          <w:rFonts w:ascii="Times New Roman" w:hAnsi="Times New Roman"/>
          <w:noProof/>
        </w:rPr>
        <w:t>, et exerce une emprise encore plus forte sur le niveau intermédiaire de la chaîne d’approvisionnement des batteries et en amont de celle-ci. La Chine occupe une position dominante systémique sur l’ensemble de la chaîne de valeur des batteries, ce qui crée des dépendances critiques et des goulets d’étranglement dans la chaîne d’approvisionnement pour les composants et technologies critiques en amont. Cette situation lui permet de gonfler les coûts des intrants, ce qui pourrait encore nuire à la compétitivité des fabricants de l’UE, et de mettre en place des restrictions à l’exportation, comme elle l’a fait en ce qui concerne ses technologies de pointe dans le domaine des batteries. Le risque est que la dépendance à l’égard des technologies de batteries étrangères non seulement nuise à la compétitivité industrielle de l’UE, mais entraîne également un retard de l’UE dans les applications critiques de défense et de sécurité énergétique.</w:t>
      </w:r>
    </w:p>
    <w:p w14:paraId="26338F00" w14:textId="69073A98" w:rsidR="00E02CEB" w:rsidRDefault="000C3B40" w:rsidP="00BA282A">
      <w:pPr>
        <w:jc w:val="both"/>
        <w:rPr>
          <w:rFonts w:ascii="Times New Roman" w:hAnsi="Times New Roman" w:cs="Times New Roman"/>
          <w:noProof/>
        </w:rPr>
      </w:pPr>
      <w:r>
        <w:rPr>
          <w:rFonts w:ascii="Times New Roman" w:hAnsi="Times New Roman"/>
          <w:b/>
          <w:noProof/>
        </w:rPr>
        <w:t xml:space="preserve">La stratégie industrielle affirmée de la Chine tire parti des investissements directs étrangers </w:t>
      </w:r>
      <w:r>
        <w:rPr>
          <w:rFonts w:ascii="Times New Roman" w:hAnsi="Times New Roman"/>
          <w:noProof/>
        </w:rPr>
        <w:t>pour étendre la domination du pays sur le marché. Ces dernières années, des entreprises étrangères ont acquis des projets critiques et mis en place des opérations se limitant à l’assemblage. En conséquence, les dépendances stratégiques à l’égard des fournisseurs extérieurs augmentent, ce qui rend l’Europe plus vulnérable à la manipulation des prix, aux ruptures d’approvisionnement et aux chocs géopolitiques. L’Europe ne peut se permettre de répéter les erreurs stratégiques commises par le passé en matière de dépendances énergétiques. Les batteries sont l’une des technologies clés recensées dans la stratégie de l’UE en matière de sécurité économique. Préserver la souveraineté technologique dans un secteur qui constitue la pierre angulaire de l’électrification n’est pas un choix, mais une nécessité impérieuse.</w:t>
      </w:r>
    </w:p>
    <w:p w14:paraId="60FDDD90" w14:textId="77159623" w:rsidR="007A58BB" w:rsidRDefault="00805A82" w:rsidP="00BA282A">
      <w:pPr>
        <w:spacing w:after="120"/>
        <w:jc w:val="both"/>
        <w:rPr>
          <w:rFonts w:ascii="Times New Roman" w:hAnsi="Times New Roman" w:cs="Times New Roman"/>
          <w:noProof/>
        </w:rPr>
      </w:pPr>
      <w:r>
        <w:rPr>
          <w:rFonts w:ascii="Times New Roman" w:hAnsi="Times New Roman"/>
          <w:noProof/>
        </w:rPr>
        <w:t xml:space="preserve">Ces défis exigent </w:t>
      </w:r>
      <w:r>
        <w:rPr>
          <w:rFonts w:ascii="Times New Roman" w:hAnsi="Times New Roman"/>
          <w:b/>
          <w:noProof/>
        </w:rPr>
        <w:t>que des mesures d’urgence soient prises tout au long de la chaîne de valeur des batteries de l’Union, dans le cadre d’une stratégie industrielle solide qui exploite au mieux et développe la chaîne de valeur sur l’ensemble du territoire de l’UE</w:t>
      </w:r>
      <w:r>
        <w:rPr>
          <w:rFonts w:ascii="Times New Roman" w:hAnsi="Times New Roman"/>
          <w:noProof/>
        </w:rPr>
        <w:t xml:space="preserve">. Dans le contexte de la transition de l’industrie automobile vers des véhicules à émissions nulles, l’UE est confrontée à une diminution de la valeur ajoutée tout au long de la chaîne de valeur. Dans un véhicule à moteur à combustion interne, le pourcentage de composants originaires de l’UE dépasse 80 %. Dans un véhicule électrique, la batterie représente 30 à 40 % du coût, ce qui réduit à moins de 50 % le pourcentage de composants originaires de l’UE dans la plupart de ces véhicules actuellement. Dans un marché en pleine croissance qui devrait atteindre 250 milliards d’EUR par an d’ici à 2030 (soit l’équivalent du PIB de la Grèce), nous maintenons l’objectif fixé dans le plan d’action en faveur du secteur automobile de parvenir à une valeur ajoutée européenne de plus de 50 % tout au long de la chaîne de valeur d’ici à 2030. </w:t>
      </w:r>
    </w:p>
    <w:p w14:paraId="18E1F6AB" w14:textId="124A3206" w:rsidR="00B72F1A" w:rsidRDefault="006A5E13" w:rsidP="00B72F1A">
      <w:pPr>
        <w:jc w:val="both"/>
        <w:rPr>
          <w:rFonts w:ascii="Times New Roman" w:hAnsi="Times New Roman" w:cs="Times New Roman"/>
          <w:i/>
          <w:iCs/>
          <w:noProof/>
        </w:rPr>
      </w:pPr>
      <w:r>
        <w:rPr>
          <w:rFonts w:ascii="Times New Roman" w:hAnsi="Times New Roman"/>
          <w:noProof/>
        </w:rPr>
        <w:t xml:space="preserve">C’est la raison pour laquelle la Commission présente de </w:t>
      </w:r>
      <w:r>
        <w:rPr>
          <w:rFonts w:ascii="Times New Roman" w:hAnsi="Times New Roman"/>
          <w:b/>
          <w:noProof/>
        </w:rPr>
        <w:t>nouveaux arguments économiques en faveur de la fabrication de batteries en Europe</w:t>
      </w:r>
      <w:r>
        <w:rPr>
          <w:rFonts w:ascii="Times New Roman" w:hAnsi="Times New Roman"/>
          <w:noProof/>
        </w:rPr>
        <w:t>, allant de la sécurisation des matières premières à l’accroissement de la production, en passant par la garantie d’accords d’achat de production et de conditions de concurrence équitables. S’appuyant sur des initiatives antérieures telles que le règlement sur les batteries, le règlement pour une industrie «zéro net», le plan d’action en faveur du secteur automobile et le plan d’action stratégique sur les batteries, la stratégie «Battery Booster» s’articule autour de six piliers. Elle est conçue dans le but: 1) de débloquer les investissements, 2) de développer une chaîne de valeur en amont résiliente, 3) d’aligner les investissements étrangers sur les intérêts stratégiques de l’Europe, 4) de stimuler la demande de batteries fabriquées dans l’UE, 5) d’accélérer la recherche, l’innovation et le développement des compétences pour la chaîne de valeur des batteries et 6) de coordonner les actions visant à maximiser son incidence dans toute l’Europe.</w:t>
      </w:r>
    </w:p>
    <w:p w14:paraId="0FCBB35A" w14:textId="77777777" w:rsidR="00B72F1A" w:rsidRDefault="00B72F1A">
      <w:pPr>
        <w:rPr>
          <w:rFonts w:ascii="Times New Roman" w:hAnsi="Times New Roman" w:cs="Times New Roman"/>
          <w:i/>
          <w:iCs/>
          <w:noProof/>
        </w:rPr>
      </w:pPr>
      <w:r>
        <w:rPr>
          <w:noProof/>
        </w:rPr>
        <w:br w:type="page"/>
      </w:r>
    </w:p>
    <w:p w14:paraId="458C4D33" w14:textId="2A6956DC" w:rsidR="001744A2" w:rsidRDefault="00A24D44" w:rsidP="00B72F1A">
      <w:pPr>
        <w:jc w:val="center"/>
        <w:rPr>
          <w:rFonts w:ascii="Times New Roman" w:hAnsi="Times New Roman" w:cs="Times New Roman"/>
          <w:b/>
          <w:bCs/>
          <w:i/>
          <w:iCs/>
          <w:noProof/>
        </w:rPr>
      </w:pPr>
      <w:r>
        <w:rPr>
          <w:rFonts w:ascii="Times New Roman" w:hAnsi="Times New Roman"/>
          <w:i/>
          <w:noProof/>
        </w:rPr>
        <w:t>Graphique 1. Les six piliers de la stratégie «Battery Booster»</w:t>
      </w:r>
    </w:p>
    <w:p w14:paraId="46315FD5" w14:textId="33D77DAF" w:rsidR="00BD7965" w:rsidRDefault="00A843BC" w:rsidP="00BD7965">
      <w:pPr>
        <w:jc w:val="center"/>
        <w:rPr>
          <w:rFonts w:ascii="Times New Roman" w:hAnsi="Times New Roman" w:cs="Times New Roman"/>
          <w:b/>
          <w:bCs/>
          <w:i/>
          <w:iCs/>
          <w:noProof/>
        </w:rPr>
      </w:pPr>
      <w:r>
        <w:rPr>
          <w:rFonts w:ascii="Times New Roman" w:hAnsi="Times New Roman"/>
          <w:b/>
          <w:i/>
          <w:noProof/>
          <w:lang w:val="en-GB" w:eastAsia="en-GB"/>
        </w:rPr>
        <w:drawing>
          <wp:inline distT="0" distB="0" distL="0" distR="0" wp14:anchorId="6CFD7D03" wp14:editId="53E27A2E">
            <wp:extent cx="4021137" cy="3909734"/>
            <wp:effectExtent l="0" t="0" r="0" b="0"/>
            <wp:docPr id="913359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59566"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4021137" cy="3909734"/>
                    </a:xfrm>
                    <a:prstGeom prst="rect">
                      <a:avLst/>
                    </a:prstGeom>
                  </pic:spPr>
                </pic:pic>
              </a:graphicData>
            </a:graphic>
          </wp:inline>
        </w:drawing>
      </w:r>
    </w:p>
    <w:p w14:paraId="6C281A62" w14:textId="77777777" w:rsidR="00B72F1A" w:rsidRDefault="00B72F1A">
      <w:pPr>
        <w:rPr>
          <w:rFonts w:ascii="Times New Roman" w:hAnsi="Times New Roman" w:cs="Times New Roman"/>
          <w:b/>
          <w:bCs/>
          <w:i/>
          <w:iCs/>
          <w:noProof/>
        </w:rPr>
      </w:pPr>
    </w:p>
    <w:p w14:paraId="7837B879" w14:textId="0D23F0A3" w:rsidR="00343B17" w:rsidRDefault="00343B17" w:rsidP="00763AFC">
      <w:pPr>
        <w:rPr>
          <w:rFonts w:ascii="Times New Roman" w:hAnsi="Times New Roman" w:cs="Times New Roman"/>
          <w:b/>
          <w:bCs/>
          <w:i/>
          <w:iCs/>
          <w:noProof/>
        </w:rPr>
      </w:pPr>
      <w:r>
        <w:rPr>
          <w:rFonts w:ascii="Times New Roman" w:hAnsi="Times New Roman"/>
          <w:b/>
          <w:i/>
          <w:noProof/>
        </w:rPr>
        <w:t>Pilier I: soutenir la montée en puissance des fabricants de l’UE en les aidant financièrement</w:t>
      </w:r>
    </w:p>
    <w:p w14:paraId="7D258923" w14:textId="4908E3DD" w:rsidR="00E71904" w:rsidRPr="002E3C72" w:rsidRDefault="00A54822" w:rsidP="004066F6">
      <w:pPr>
        <w:jc w:val="both"/>
        <w:rPr>
          <w:rFonts w:ascii="Times New Roman" w:hAnsi="Times New Roman" w:cs="Times New Roman"/>
          <w:noProof/>
        </w:rPr>
      </w:pPr>
      <w:r>
        <w:rPr>
          <w:rFonts w:ascii="Times New Roman" w:hAnsi="Times New Roman"/>
          <w:noProof/>
        </w:rPr>
        <w:t xml:space="preserve">Il est impératif de </w:t>
      </w:r>
      <w:r>
        <w:rPr>
          <w:rFonts w:ascii="Times New Roman" w:hAnsi="Times New Roman"/>
          <w:b/>
          <w:noProof/>
        </w:rPr>
        <w:t>soutenir la production de batteries dans l’UE pour répondre aux défis internationaux urgents et aux difficultés rencontrées par l’industrie pour accroître sa production</w:t>
      </w:r>
      <w:r>
        <w:rPr>
          <w:rFonts w:ascii="Times New Roman" w:hAnsi="Times New Roman"/>
          <w:noProof/>
        </w:rPr>
        <w:t>.</w:t>
      </w:r>
      <w:r>
        <w:rPr>
          <w:rFonts w:ascii="Times New Roman" w:hAnsi="Times New Roman"/>
          <w:b/>
          <w:noProof/>
        </w:rPr>
        <w:t xml:space="preserve"> </w:t>
      </w:r>
      <w:r>
        <w:rPr>
          <w:rFonts w:ascii="Times New Roman" w:hAnsi="Times New Roman"/>
          <w:noProof/>
        </w:rPr>
        <w:t>Compte tenu de la nécessité de disposer d’infrastructures industrielles à grande échelle, d’équipements de pointe et de normes de qualité et de sécurité strictes, la fabrication de cellules de batteries requiert d’importantes dépenses d’investissement. En outre, la phase de montée en puissance se caractérise généralement par des coûts élevés et de faibles recettes en raison des taux de rebut élevés, du temps nécessaire pour lancer la production et des faibles rendements. Cette phase comporte également une longue période d’apprentissage des compétences nécessaires pour maîtriser et affiner le processus de fabrication. Afin de sécuriser la réserve actuelle de projets, d’encourager de nouveaux investissements du secteur privé et de renforcer la sécurité de l’approvisionnement des industries de l’automobile et du stockage de l’énergie, la Commission s’est engagée à mettre en œuvre des mesures de soutien financier ciblées.</w:t>
      </w:r>
    </w:p>
    <w:p w14:paraId="1E2692C2" w14:textId="4C099568" w:rsidR="00D636F1" w:rsidRDefault="00343B17" w:rsidP="004538AD">
      <w:pPr>
        <w:jc w:val="both"/>
        <w:rPr>
          <w:rFonts w:ascii="Times New Roman" w:eastAsia="Times New Roman" w:hAnsi="Times New Roman" w:cs="Times New Roman"/>
          <w:noProof/>
        </w:rPr>
      </w:pPr>
      <w:r>
        <w:rPr>
          <w:rFonts w:ascii="Times New Roman" w:hAnsi="Times New Roman"/>
          <w:noProof/>
        </w:rPr>
        <w:t xml:space="preserve">En décembre 2024, au titre du Fonds pour l’innovation, la Commission européenne a dégagé </w:t>
      </w:r>
      <w:r>
        <w:rPr>
          <w:rFonts w:ascii="Times New Roman" w:hAnsi="Times New Roman"/>
          <w:b/>
          <w:noProof/>
        </w:rPr>
        <w:t>1 milliard d’EUR de subventions pour soutenir des projets de fabrication de cellules de batteries de véhicules électriques</w:t>
      </w:r>
      <w:r>
        <w:rPr>
          <w:rFonts w:ascii="Times New Roman" w:hAnsi="Times New Roman"/>
          <w:noProof/>
        </w:rPr>
        <w:t>. Elle a également fourni, au titre de ce même Fonds, un complément au programme InvestEU de 200 millions d’EUR (sous la forme de garanties de prêts) afin de soutenir des projets innovants tout au long de la chaîne de valeur européenne de la fabrication de batteries. Dans le cadre du thème relatif à la mise au point de technologies propres de l’appel en cours concernant les technologies «zéro net», doté d’un budget de 1 milliard d’EUR, un soutien est également disponible pour le recyclage des batteries et pour la chaîne de valeur des batteries en amont, notamment la matière active de la cathode et la matière active de l’anode, qui sont des composants essentiels des batteries lithium-ion. Par ailleurs, l’instrument relatif aux investissements en matière d’innovation interrégionale (I3) soutient l’expansion de projets d’innovation interrégionaux parvenus à maturité tout au long de chaînes de valeur stratégiques européennes, telles que l’industrie des batteries</w:t>
      </w:r>
      <w:r>
        <w:rPr>
          <w:rStyle w:val="FootnoteReference"/>
          <w:rFonts w:ascii="Times New Roman" w:hAnsi="Times New Roman" w:cs="Times New Roman"/>
          <w:noProof/>
        </w:rPr>
        <w:footnoteReference w:id="6"/>
      </w:r>
      <w:r>
        <w:rPr>
          <w:noProof/>
        </w:rPr>
        <w:t>.</w:t>
      </w:r>
    </w:p>
    <w:p w14:paraId="4BD66E8B" w14:textId="2A4936E7" w:rsidR="007D1739" w:rsidRDefault="007D1739" w:rsidP="007D1739">
      <w:pPr>
        <w:jc w:val="both"/>
        <w:rPr>
          <w:rFonts w:ascii="Times New Roman" w:hAnsi="Times New Roman" w:cs="Times New Roman"/>
          <w:noProof/>
        </w:rPr>
      </w:pPr>
      <w:r>
        <w:rPr>
          <w:rFonts w:ascii="Times New Roman" w:hAnsi="Times New Roman"/>
          <w:noProof/>
        </w:rPr>
        <w:t xml:space="preserve">Sur la base de ces premières étapes, la Commission européenne met actuellement en place la </w:t>
      </w:r>
      <w:r>
        <w:rPr>
          <w:rFonts w:ascii="Times New Roman" w:hAnsi="Times New Roman"/>
          <w:b/>
          <w:noProof/>
        </w:rPr>
        <w:t>facilité «Battery Booster», qui permettra de mobiliser 1,5 milliard d’EUR de financements au titre du Fonds pour l’innovation afin de soutenir les fabricants européens de cellules de batterie</w:t>
      </w:r>
      <w:r>
        <w:rPr>
          <w:rFonts w:ascii="Times New Roman" w:hAnsi="Times New Roman"/>
          <w:noProof/>
        </w:rPr>
        <w:t xml:space="preserve"> durant la phase de montée en puissance. Cette aide prendra la forme de prêts sans intérêt, qui seront accordés par tranches et fondés sur les performances, c’est-à-dire liés à la réalisation de jalons spécifiques en fonction des progrès accomplis dans la mise en œuvre du plan d’affaires jusqu’à ce que les projets parviennent à une production à grande échelle et à des niveaux plus élevés de viabilité commerciale. Le respect du règlement (UE, Euratom) 2024/2509, de la directive 2003/87/CE et du règlement délégué (UE) 2019/856 sera assuré lors de la conception et de la mise en œuvre de la facilité. L’objectif général est de veiller à ce que le soutien public catalyse les investissements du secteur privé, accélère le déploiement industriel et renforce la position de l’Europe sur le marché mondial des batteries.</w:t>
      </w:r>
    </w:p>
    <w:p w14:paraId="68C050AB" w14:textId="0E8E8621" w:rsidR="009B10C9" w:rsidRPr="00214E40" w:rsidRDefault="009B10C9" w:rsidP="00214E40">
      <w:pPr>
        <w:spacing w:line="257" w:lineRule="auto"/>
        <w:jc w:val="both"/>
        <w:rPr>
          <w:rFonts w:ascii="Times New Roman" w:eastAsia="Times New Roman" w:hAnsi="Times New Roman" w:cs="Times New Roman"/>
          <w:noProof/>
        </w:rPr>
      </w:pPr>
      <w:r>
        <w:rPr>
          <w:rFonts w:ascii="Times New Roman" w:hAnsi="Times New Roman"/>
          <w:noProof/>
        </w:rPr>
        <w:t>En ce qui concerne la participation accrue des États membres, la Commission a déjà reconnu, dans l’encadrement des aides d’État dans le cadre du pacte pour une industrie propre, la situation spécifique des producteurs de technologies propres, tels que les fabricants de batteries, particulièrement confrontés à une concurrence mondiale déloyale, à des dépassements de coûts imprévus ou à des incertitudes quant à la demande future. Elle a en outre précisé que les États membres peuvent fournir un financement, y compris sous la forme de fonds propres et de quasi-fonds propres, aux conditions du marché, parallèlement aux opérateurs privés, ce qui peut contribuer à résoudre le problème susmentionné relatif à la capacité limitée des fournisseurs établis dans l’UE à absorber les chocs en raison de leur faible assise financière. La Commission invite les États membres à recourir à ces possibilités existantes, qui peuvent contribuer à résoudre les problèmes graves auxquels l’industrie est confrontée, tout en offrant des perspectives de retombées positives pour les contribuables une fois que les niveaux de production permettront une fabrication rentable.</w:t>
      </w:r>
    </w:p>
    <w:p w14:paraId="2BB8231A" w14:textId="320B54AF" w:rsidR="009B7A4E" w:rsidRDefault="005F6EFB" w:rsidP="00C84BE1">
      <w:pPr>
        <w:jc w:val="both"/>
        <w:rPr>
          <w:rFonts w:ascii="Times New Roman" w:hAnsi="Times New Roman" w:cs="Times New Roman"/>
          <w:noProof/>
        </w:rPr>
      </w:pPr>
      <w:r>
        <w:rPr>
          <w:rFonts w:ascii="Times New Roman" w:hAnsi="Times New Roman"/>
          <w:noProof/>
        </w:rPr>
        <w:t>À moyen terme, dans le cadre du prochain budget pluriannuel de l’UE à partir de 2028, la proposition relative</w:t>
      </w:r>
      <w:r>
        <w:rPr>
          <w:rFonts w:ascii="Times New Roman" w:hAnsi="Times New Roman"/>
          <w:b/>
          <w:noProof/>
        </w:rPr>
        <w:t xml:space="preserve"> </w:t>
      </w:r>
      <w:r>
        <w:rPr>
          <w:rFonts w:ascii="Times New Roman" w:hAnsi="Times New Roman"/>
          <w:noProof/>
        </w:rPr>
        <w:t xml:space="preserve">à un Fonds européen pour la compétitivité prévoit un </w:t>
      </w:r>
      <w:r>
        <w:rPr>
          <w:rFonts w:ascii="Times New Roman" w:hAnsi="Times New Roman"/>
          <w:b/>
          <w:noProof/>
        </w:rPr>
        <w:t>soutien aux «actions visant à accélérer la production», y compris dans le secteur des technologies propres comme l’industrie des batteries.</w:t>
      </w:r>
      <w:r>
        <w:rPr>
          <w:rFonts w:ascii="Times New Roman" w:hAnsi="Times New Roman"/>
          <w:noProof/>
        </w:rPr>
        <w:t xml:space="preserve"> D’ici là, la facilité «Battery Booster» fournira à l’industrie une solution de transition, en apportant un soutien immédiat jusqu’à ce que le cadre dudit Fonds soit pleinement opérationnel. </w:t>
      </w:r>
    </w:p>
    <w:p w14:paraId="665A5ECA" w14:textId="77777777" w:rsidR="00902CFF" w:rsidRDefault="00254935" w:rsidP="00C84BE1">
      <w:pPr>
        <w:jc w:val="both"/>
        <w:rPr>
          <w:rFonts w:ascii="Times New Roman" w:hAnsi="Times New Roman" w:cs="Times New Roman"/>
          <w:noProof/>
        </w:rPr>
      </w:pPr>
      <w:r>
        <w:rPr>
          <w:rFonts w:ascii="Times New Roman" w:hAnsi="Times New Roman"/>
          <w:noProof/>
        </w:rPr>
        <w:t xml:space="preserve">Cette mesure reconnaît la nécessité urgente d’agir rapidement pour améliorer les capacités de production de batteries de l’UE afin d’atteindre et de maintenir un avantage concurrentiel sur le marché mondial. </w:t>
      </w:r>
    </w:p>
    <w:p w14:paraId="1B8B2EEB" w14:textId="77777777" w:rsidR="00CA766B" w:rsidRDefault="00CA766B" w:rsidP="00C84BE1">
      <w:pPr>
        <w:jc w:val="both"/>
        <w:rPr>
          <w:rFonts w:ascii="Times New Roman" w:hAnsi="Times New Roman" w:cs="Times New Roman"/>
          <w:noProof/>
        </w:rPr>
      </w:pPr>
    </w:p>
    <w:p w14:paraId="2F5AA584" w14:textId="77777777" w:rsidR="00484D4E" w:rsidRDefault="00484D4E" w:rsidP="00C84BE1">
      <w:pPr>
        <w:jc w:val="both"/>
        <w:rPr>
          <w:rFonts w:ascii="Times New Roman" w:hAnsi="Times New Roman" w:cs="Times New Roman"/>
          <w:noProof/>
        </w:rPr>
      </w:pPr>
    </w:p>
    <w:p w14:paraId="01391AD2" w14:textId="77777777" w:rsidR="00484D4E" w:rsidRDefault="00484D4E" w:rsidP="00C84BE1">
      <w:pPr>
        <w:jc w:val="both"/>
        <w:rPr>
          <w:rFonts w:ascii="Times New Roman" w:hAnsi="Times New Roman" w:cs="Times New Roman"/>
          <w:noProof/>
        </w:rPr>
      </w:pPr>
    </w:p>
    <w:p w14:paraId="0D34B328" w14:textId="77777777" w:rsidR="00484D4E" w:rsidRDefault="00484D4E" w:rsidP="00C84BE1">
      <w:pPr>
        <w:jc w:val="both"/>
        <w:rPr>
          <w:rFonts w:ascii="Times New Roman" w:hAnsi="Times New Roman" w:cs="Times New Roman"/>
          <w:noProof/>
        </w:rPr>
      </w:pPr>
    </w:p>
    <w:p w14:paraId="0914F720" w14:textId="77777777" w:rsidR="00484D4E" w:rsidRDefault="00484D4E" w:rsidP="00C84BE1">
      <w:pPr>
        <w:jc w:val="both"/>
        <w:rPr>
          <w:rFonts w:ascii="Times New Roman" w:hAnsi="Times New Roman" w:cs="Times New Roman"/>
          <w:noProof/>
        </w:rPr>
      </w:pPr>
    </w:p>
    <w:p w14:paraId="6D5631C8" w14:textId="77777777" w:rsidR="00484D4E" w:rsidRDefault="00484D4E" w:rsidP="00C84BE1">
      <w:pPr>
        <w:jc w:val="both"/>
        <w:rPr>
          <w:rFonts w:ascii="Times New Roman" w:hAnsi="Times New Roman" w:cs="Times New Roman"/>
          <w:noProof/>
        </w:rPr>
      </w:pPr>
    </w:p>
    <w:p w14:paraId="5FC4B0AC" w14:textId="77777777" w:rsidR="00484D4E" w:rsidRDefault="00484D4E" w:rsidP="00C84BE1">
      <w:pPr>
        <w:jc w:val="both"/>
        <w:rPr>
          <w:rFonts w:ascii="Times New Roman" w:hAnsi="Times New Roman" w:cs="Times New Roman"/>
          <w:noProof/>
        </w:rPr>
      </w:pPr>
    </w:p>
    <w:p w14:paraId="6A28EA03" w14:textId="77777777" w:rsidR="00902CFF" w:rsidRDefault="00902CFF" w:rsidP="37C99B08">
      <w:pPr>
        <w:jc w:val="center"/>
        <w:rPr>
          <w:rFonts w:ascii="Times New Roman" w:hAnsi="Times New Roman" w:cs="Times New Roman"/>
          <w:i/>
          <w:iCs/>
          <w:noProof/>
        </w:rPr>
      </w:pPr>
      <w:r>
        <w:rPr>
          <w:rFonts w:ascii="Times New Roman" w:hAnsi="Times New Roman"/>
          <w:i/>
          <w:noProof/>
        </w:rPr>
        <w:t>Graphique 2. Soutien financier</w:t>
      </w:r>
    </w:p>
    <w:p w14:paraId="105F4C93" w14:textId="4A01F1AB" w:rsidR="00C84BE1" w:rsidRDefault="0076708A" w:rsidP="006A6E5F">
      <w:pPr>
        <w:jc w:val="center"/>
        <w:rPr>
          <w:rFonts w:ascii="Times New Roman" w:hAnsi="Times New Roman" w:cs="Times New Roman"/>
          <w:noProof/>
        </w:rPr>
      </w:pPr>
      <w:r>
        <w:rPr>
          <w:rFonts w:ascii="Times New Roman" w:hAnsi="Times New Roman"/>
          <w:i/>
          <w:noProof/>
          <w:lang w:val="en-GB" w:eastAsia="en-GB"/>
        </w:rPr>
        <w:drawing>
          <wp:inline distT="0" distB="0" distL="0" distR="0" wp14:anchorId="423291BE" wp14:editId="7823CF52">
            <wp:extent cx="5013335" cy="2126519"/>
            <wp:effectExtent l="0" t="0" r="0" b="7620"/>
            <wp:docPr id="1027127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27212"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13335" cy="2126519"/>
                    </a:xfrm>
                    <a:prstGeom prst="rect">
                      <a:avLst/>
                    </a:prstGeom>
                  </pic:spPr>
                </pic:pic>
              </a:graphicData>
            </a:graphic>
          </wp:inline>
        </w:drawing>
      </w:r>
    </w:p>
    <w:p w14:paraId="4EC35633" w14:textId="77777777" w:rsidR="00CA766B" w:rsidRDefault="00CA766B" w:rsidP="001F2E4E">
      <w:pPr>
        <w:spacing w:line="257" w:lineRule="auto"/>
        <w:jc w:val="both"/>
        <w:rPr>
          <w:rFonts w:ascii="Times New Roman" w:eastAsia="Times New Roman" w:hAnsi="Times New Roman" w:cs="Times New Roman"/>
          <w:noProof/>
        </w:rPr>
      </w:pPr>
    </w:p>
    <w:p w14:paraId="175866C4" w14:textId="6AF57D5C" w:rsidR="001F2E4E" w:rsidRPr="00C84BE1" w:rsidRDefault="001F2E4E" w:rsidP="001F2E4E">
      <w:pPr>
        <w:spacing w:line="257" w:lineRule="auto"/>
        <w:jc w:val="both"/>
        <w:rPr>
          <w:rFonts w:ascii="Times New Roman" w:eastAsia="Times New Roman" w:hAnsi="Times New Roman" w:cs="Times New Roman"/>
          <w:noProof/>
        </w:rPr>
      </w:pPr>
      <w:r>
        <w:rPr>
          <w:rFonts w:ascii="Times New Roman" w:hAnsi="Times New Roman"/>
          <w:noProof/>
        </w:rPr>
        <w:t xml:space="preserve">En ce qui concerne le </w:t>
      </w:r>
      <w:r>
        <w:rPr>
          <w:rFonts w:ascii="Times New Roman" w:hAnsi="Times New Roman"/>
          <w:b/>
          <w:noProof/>
        </w:rPr>
        <w:t>renforcement de l’économie circulaire</w:t>
      </w:r>
      <w:r>
        <w:rPr>
          <w:rFonts w:ascii="Times New Roman" w:hAnsi="Times New Roman"/>
          <w:noProof/>
        </w:rPr>
        <w:t>, les États membres sont également invités à tirer pleinement parti des possibilités existantes en matière d’aides d’État prévues par les lignes directrices concernant les aides d’État au climat, à la protection de l’environnement et à l’énergie afin d’encourager l’utilisation efficace des ressources et la transition vers une économie circulaire.</w:t>
      </w:r>
    </w:p>
    <w:p w14:paraId="67C6E549" w14:textId="4A144295" w:rsidR="00B72F1A" w:rsidRDefault="00F73876">
      <w:pPr>
        <w:rPr>
          <w:rFonts w:ascii="Times New Roman" w:hAnsi="Times New Roman" w:cs="Times New Roman"/>
          <w:noProof/>
        </w:rPr>
      </w:pPr>
      <w:r>
        <w:rPr>
          <w:rFonts w:ascii="Times New Roman" w:hAnsi="Times New Roman"/>
          <w:noProof/>
          <w:lang w:val="en-GB" w:eastAsia="en-GB"/>
        </w:rPr>
        <mc:AlternateContent>
          <mc:Choice Requires="wps">
            <w:drawing>
              <wp:anchor distT="45720" distB="45720" distL="114300" distR="114300" simplePos="0" relativeHeight="251658241" behindDoc="0" locked="0" layoutInCell="1" allowOverlap="1" wp14:anchorId="3500DCD8" wp14:editId="0F346186">
                <wp:simplePos x="0" y="0"/>
                <wp:positionH relativeFrom="margin">
                  <wp:posOffset>-84599</wp:posOffset>
                </wp:positionH>
                <wp:positionV relativeFrom="paragraph">
                  <wp:posOffset>484</wp:posOffset>
                </wp:positionV>
                <wp:extent cx="5733415" cy="1404620"/>
                <wp:effectExtent l="0" t="0" r="19685" b="27940"/>
                <wp:wrapSquare wrapText="bothSides"/>
                <wp:docPr id="13637586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3415" cy="1404620"/>
                        </a:xfrm>
                        <a:prstGeom prst="rect">
                          <a:avLst/>
                        </a:prstGeom>
                        <a:solidFill>
                          <a:srgbClr val="FFFFFF"/>
                        </a:solidFill>
                        <a:ln w="9525">
                          <a:solidFill>
                            <a:srgbClr val="000000"/>
                          </a:solidFill>
                          <a:miter lim="800000"/>
                          <a:headEnd/>
                          <a:tailEnd/>
                        </a:ln>
                      </wps:spPr>
                      <wps:txbx>
                        <w:txbxContent>
                          <w:p w14:paraId="3F8A7DE9" w14:textId="0902792D" w:rsidR="00343B17" w:rsidRPr="00CE644C" w:rsidRDefault="00343B17" w:rsidP="00343B17">
                            <w:pPr>
                              <w:jc w:val="both"/>
                              <w:rPr>
                                <w:rFonts w:ascii="Times New Roman" w:hAnsi="Times New Roman" w:cs="Times New Roman"/>
                                <w:b/>
                                <w:bCs/>
                              </w:rPr>
                            </w:pPr>
                            <w:r>
                              <w:rPr>
                                <w:rFonts w:ascii="Times New Roman" w:hAnsi="Times New Roman"/>
                                <w:b/>
                              </w:rPr>
                              <w:t>Actions phares</w:t>
                            </w:r>
                          </w:p>
                          <w:p w14:paraId="7DAA48C7" w14:textId="473B01CF" w:rsidR="00803FDE" w:rsidRPr="00803FDE" w:rsidRDefault="00803FDE" w:rsidP="00803FDE">
                            <w:pPr>
                              <w:pStyle w:val="ListParagraph"/>
                              <w:numPr>
                                <w:ilvl w:val="0"/>
                                <w:numId w:val="23"/>
                              </w:numPr>
                              <w:jc w:val="both"/>
                              <w:rPr>
                                <w:rFonts w:ascii="Times New Roman" w:hAnsi="Times New Roman" w:cs="Times New Roman"/>
                              </w:rPr>
                            </w:pPr>
                            <w:r>
                              <w:rPr>
                                <w:rFonts w:ascii="Times New Roman" w:hAnsi="Times New Roman"/>
                              </w:rPr>
                              <w:t>En décembre 2024, 1 milliard d’EUR de subventions ont été dégagés au titre du Fonds pour l’innovation pour soutenir des projets de fabrication de cellules de batteries de véhicules électriques. En outre, la Commission collabore avec la BEI pour garantir la pleine utilisation du complément de 200 millions d’EUR fourni à InvestEU sous la forme de garanties de prêts au titre du Fonds pour l’innovation.</w:t>
                            </w:r>
                          </w:p>
                          <w:p w14:paraId="08B6EB4A" w14:textId="77777777" w:rsidR="00803FDE" w:rsidRPr="00407621" w:rsidRDefault="00803FDE" w:rsidP="00803FDE">
                            <w:pPr>
                              <w:pStyle w:val="ListParagraph"/>
                              <w:jc w:val="both"/>
                              <w:rPr>
                                <w:rFonts w:ascii="Times New Roman" w:hAnsi="Times New Roman" w:cs="Times New Roman"/>
                                <w:i/>
                                <w:iCs/>
                              </w:rPr>
                            </w:pPr>
                          </w:p>
                          <w:p w14:paraId="6C6D260F" w14:textId="142E4848" w:rsidR="00803FDE" w:rsidRPr="00763AFC" w:rsidRDefault="00803FDE" w:rsidP="00803FDE">
                            <w:pPr>
                              <w:pStyle w:val="ListParagraph"/>
                              <w:numPr>
                                <w:ilvl w:val="0"/>
                                <w:numId w:val="23"/>
                              </w:numPr>
                              <w:jc w:val="both"/>
                              <w:rPr>
                                <w:rFonts w:ascii="Times New Roman" w:hAnsi="Times New Roman" w:cs="Times New Roman"/>
                                <w:i/>
                              </w:rPr>
                            </w:pPr>
                            <w:r>
                              <w:rPr>
                                <w:rFonts w:ascii="Times New Roman" w:hAnsi="Times New Roman"/>
                              </w:rPr>
                              <w:t>Au titre de ce même Fonds, 1,5 milliard d’EUR seront fournis en faveur de la facilité «Battery Booster» sous la forme de prêts sans intérêt, l’objectif étant que les entreprises sélectionnées reçoivent la première tranche de cette aide en 2026.</w:t>
                            </w:r>
                          </w:p>
                          <w:p w14:paraId="5413E7D7" w14:textId="77777777" w:rsidR="00B3468E" w:rsidRPr="00406F72" w:rsidRDefault="00B3468E" w:rsidP="00406F72">
                            <w:pPr>
                              <w:pStyle w:val="ListParagraph"/>
                              <w:jc w:val="both"/>
                              <w:rPr>
                                <w:rFonts w:ascii="Times New Roman" w:hAnsi="Times New Roman" w:cs="Times New Roman"/>
                                <w:i/>
                              </w:rPr>
                            </w:pPr>
                          </w:p>
                          <w:p w14:paraId="7C12C81A" w14:textId="27632608" w:rsidR="00C66710" w:rsidRPr="00406F72" w:rsidRDefault="008C13F1" w:rsidP="00406F72">
                            <w:pPr>
                              <w:pStyle w:val="ListParagraph"/>
                              <w:numPr>
                                <w:ilvl w:val="0"/>
                                <w:numId w:val="23"/>
                              </w:numPr>
                              <w:jc w:val="both"/>
                              <w:rPr>
                                <w:rFonts w:ascii="Times New Roman" w:hAnsi="Times New Roman" w:cs="Times New Roman"/>
                              </w:rPr>
                            </w:pPr>
                            <w:r>
                              <w:rPr>
                                <w:rFonts w:ascii="Times New Roman" w:hAnsi="Times New Roman"/>
                              </w:rPr>
                              <w:t xml:space="preserve">Dans le cadre du prochain budget pluriannuel, un soutien sera fourni au titre du Fonds européen pour la compétitivité.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00DCD8" id="_x0000_t202" coordsize="21600,21600" o:spt="202" path="m,l,21600r21600,l21600,xe">
                <v:stroke joinstyle="miter"/>
                <v:path gradientshapeok="t" o:connecttype="rect"/>
              </v:shapetype>
              <v:shape id="_x0000_s1026" type="#_x0000_t202" style="position:absolute;margin-left:-6.65pt;margin-top:.05pt;width:451.45pt;height:110.6pt;z-index:25165824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">
                <v:textbox style="mso-fit-shape-to-text:t">
                  <w:txbxContent>
                    <w:p w14:paraId="3F8A7DE9" w14:textId="0902792D" w:rsidR="00343B17" w:rsidRPr="00CE644C" w:rsidRDefault="00343B17" w:rsidP="00343B17">
                      <w:pPr>
                        <w:jc w:val="both"/>
                        <w:rPr>
                          <w:rFonts w:ascii="Times New Roman" w:hAnsi="Times New Roman" w:cs="Times New Roman"/>
                          <w:b/>
                          <w:bCs/>
                        </w:rPr>
                      </w:pPr>
                      <w:r>
                        <w:rPr>
                          <w:rFonts w:ascii="Times New Roman" w:hAnsi="Times New Roman"/>
                          <w:b/>
                        </w:rPr>
                        <w:t>Actions phares</w:t>
                      </w:r>
                    </w:p>
                    <w:p w14:paraId="7DAA48C7" w14:textId="473B01CF" w:rsidR="00803FDE" w:rsidRPr="00803FDE" w:rsidRDefault="00803FDE" w:rsidP="00803FDE">
                      <w:pPr>
                        <w:pStyle w:val="ListParagraph"/>
                        <w:numPr>
                          <w:ilvl w:val="0"/>
                          <w:numId w:val="23"/>
                        </w:numPr>
                        <w:jc w:val="both"/>
                        <w:rPr>
                          <w:rFonts w:ascii="Times New Roman" w:hAnsi="Times New Roman" w:cs="Times New Roman"/>
                        </w:rPr>
                      </w:pPr>
                      <w:r>
                        <w:rPr>
                          <w:rFonts w:ascii="Times New Roman" w:hAnsi="Times New Roman"/>
                        </w:rPr>
                        <w:t>En décembre 2024, 1 milliard d’EUR de subventions ont été dégagés au titre du Fonds pour l’innovation pour soutenir des projets de fabrication de cellules de batteries de véhicules électriques. En outre, la Commission collabore avec la BEI pour garantir la pleine utilisation du complément de 200 millions d’EUR fourni à InvestEU sous la forme de garanties de prêts au titre du Fonds pour l’innovation.</w:t>
                      </w:r>
                    </w:p>
                    <w:p w14:paraId="08B6EB4A" w14:textId="77777777" w:rsidR="00803FDE" w:rsidRPr="00407621" w:rsidRDefault="00803FDE" w:rsidP="00803FDE">
                      <w:pPr>
                        <w:pStyle w:val="ListParagraph"/>
                        <w:jc w:val="both"/>
                        <w:rPr>
                          <w:rFonts w:ascii="Times New Roman" w:hAnsi="Times New Roman" w:cs="Times New Roman"/>
                          <w:i/>
                          <w:iCs/>
                        </w:rPr>
                      </w:pPr>
                    </w:p>
                    <w:p w14:paraId="6C6D260F" w14:textId="142E4848" w:rsidR="00803FDE" w:rsidRPr="00763AFC" w:rsidRDefault="00803FDE" w:rsidP="00803FDE">
                      <w:pPr>
                        <w:pStyle w:val="ListParagraph"/>
                        <w:numPr>
                          <w:ilvl w:val="0"/>
                          <w:numId w:val="23"/>
                        </w:numPr>
                        <w:jc w:val="both"/>
                        <w:rPr>
                          <w:rFonts w:ascii="Times New Roman" w:hAnsi="Times New Roman" w:cs="Times New Roman"/>
                          <w:i/>
                        </w:rPr>
                      </w:pPr>
                      <w:r>
                        <w:rPr>
                          <w:rFonts w:ascii="Times New Roman" w:hAnsi="Times New Roman"/>
                        </w:rPr>
                        <w:t>Au titre de ce même Fonds, 1,5 milliard d’EUR seront fournis en faveur de la facilité «Battery Booster» sous la forme de prêts sans intérêt, l’objectif étant que les entreprises sélectionnées reçoivent la première tranche de cette aide en 2026.</w:t>
                      </w:r>
                    </w:p>
                    <w:p w14:paraId="5413E7D7" w14:textId="77777777" w:rsidR="00B3468E" w:rsidRPr="00406F72" w:rsidRDefault="00B3468E" w:rsidP="00406F72">
                      <w:pPr>
                        <w:pStyle w:val="ListParagraph"/>
                        <w:jc w:val="both"/>
                        <w:rPr>
                          <w:rFonts w:ascii="Times New Roman" w:hAnsi="Times New Roman" w:cs="Times New Roman"/>
                          <w:i/>
                        </w:rPr>
                      </w:pPr>
                    </w:p>
                    <w:p w14:paraId="7C12C81A" w14:textId="27632608" w:rsidR="00C66710" w:rsidRPr="00406F72" w:rsidRDefault="008C13F1" w:rsidP="00406F72">
                      <w:pPr>
                        <w:pStyle w:val="ListParagraph"/>
                        <w:numPr>
                          <w:ilvl w:val="0"/>
                          <w:numId w:val="23"/>
                        </w:numPr>
                        <w:jc w:val="both"/>
                        <w:rPr>
                          <w:rFonts w:ascii="Times New Roman" w:hAnsi="Times New Roman" w:cs="Times New Roman"/>
                        </w:rPr>
                      </w:pPr>
                      <w:r>
                        <w:rPr>
                          <w:rFonts w:ascii="Times New Roman" w:hAnsi="Times New Roman"/>
                        </w:rPr>
                        <w:t xml:space="preserve">Dans le cadre du prochain budget pluriannuel, un soutien sera fourni au titre du Fonds européen pour la compétitivité. </w:t>
                      </w:r>
                    </w:p>
                  </w:txbxContent>
                </v:textbox>
                <w10:wrap type="square" anchorx="margin"/>
              </v:shape>
            </w:pict>
          </mc:Fallback>
        </mc:AlternateContent>
      </w:r>
    </w:p>
    <w:p w14:paraId="67A89EB8" w14:textId="292C3E61" w:rsidR="00CC3EFC" w:rsidRDefault="00CC3EFC" w:rsidP="00763AFC">
      <w:pPr>
        <w:rPr>
          <w:rFonts w:ascii="Times New Roman" w:hAnsi="Times New Roman" w:cs="Times New Roman"/>
          <w:b/>
          <w:bCs/>
          <w:i/>
          <w:iCs/>
          <w:noProof/>
        </w:rPr>
      </w:pPr>
      <w:r>
        <w:rPr>
          <w:rFonts w:ascii="Times New Roman" w:hAnsi="Times New Roman"/>
          <w:b/>
          <w:i/>
          <w:noProof/>
        </w:rPr>
        <w:t>Pilier II: développer une chaîne de valeur en amont résiliente pour l’accès aux matières premières et aux intrants</w:t>
      </w:r>
    </w:p>
    <w:p w14:paraId="349ADA84" w14:textId="6988124F" w:rsidR="00980EF9" w:rsidRDefault="00980EF9" w:rsidP="00980EF9">
      <w:pPr>
        <w:jc w:val="both"/>
        <w:rPr>
          <w:rFonts w:ascii="Times New Roman" w:hAnsi="Times New Roman" w:cs="Times New Roman"/>
          <w:noProof/>
        </w:rPr>
      </w:pPr>
      <w:r>
        <w:rPr>
          <w:rFonts w:ascii="Times New Roman" w:hAnsi="Times New Roman"/>
          <w:noProof/>
        </w:rPr>
        <w:t xml:space="preserve">L’industrie des batteries de l’UE est confrontée à </w:t>
      </w:r>
      <w:r>
        <w:rPr>
          <w:rFonts w:ascii="Times New Roman" w:hAnsi="Times New Roman"/>
          <w:b/>
          <w:noProof/>
        </w:rPr>
        <w:t>des difficultés liées à la chaîne d’approvisionnement imputables aux tensions géopolitiques et à sa dépendance à l’égard d’un petit nombre de fournisseurs de pays tiers</w:t>
      </w:r>
      <w:r>
        <w:rPr>
          <w:rFonts w:ascii="Times New Roman" w:hAnsi="Times New Roman"/>
          <w:noProof/>
        </w:rPr>
        <w:t>, notamment</w:t>
      </w:r>
      <w:r>
        <w:rPr>
          <w:rFonts w:ascii="Times New Roman" w:hAnsi="Times New Roman"/>
          <w:b/>
          <w:noProof/>
        </w:rPr>
        <w:t xml:space="preserve"> </w:t>
      </w:r>
      <w:r>
        <w:rPr>
          <w:rFonts w:ascii="Times New Roman" w:hAnsi="Times New Roman"/>
          <w:noProof/>
        </w:rPr>
        <w:t xml:space="preserve">en ce qui concerne les matières premières critiques. Cette dépendance crée un risque de ruptures d’approvisionnement et d’augmentation des coûts, ce qui entrave les efforts visant à mettre en place une chaîne de valeur sûre. </w:t>
      </w:r>
    </w:p>
    <w:p w14:paraId="2304D822" w14:textId="422AB98E" w:rsidR="00980EF9" w:rsidRPr="00514B5E" w:rsidRDefault="00D4419A" w:rsidP="00980EF9">
      <w:pPr>
        <w:jc w:val="both"/>
        <w:rPr>
          <w:rFonts w:ascii="Times New Roman" w:hAnsi="Times New Roman" w:cs="Times New Roman"/>
          <w:noProof/>
        </w:rPr>
      </w:pPr>
      <w:r>
        <w:rPr>
          <w:rFonts w:ascii="Times New Roman" w:hAnsi="Times New Roman"/>
          <w:noProof/>
        </w:rPr>
        <w:t xml:space="preserve">La Commission européenne a pris d’importantes mesures pour </w:t>
      </w:r>
      <w:r>
        <w:rPr>
          <w:rFonts w:ascii="Times New Roman" w:hAnsi="Times New Roman"/>
          <w:b/>
          <w:noProof/>
        </w:rPr>
        <w:t>soutenir le développement de projets stratégiques dans le secteur des matières premières liés à la production de batteries</w:t>
      </w:r>
      <w:r>
        <w:rPr>
          <w:rFonts w:ascii="Times New Roman" w:hAnsi="Times New Roman"/>
          <w:noProof/>
        </w:rPr>
        <w:t xml:space="preserve">. Plus tôt dans l’année, elle a sélectionné 32 projets dans l’UE axés sur les matières premières pour batteries, telles que le lithium, le nickel et le graphite, et 10 projets en dehors de l’UE, tous ces projets étant considérés comme stratégiques au titre du règlement sur les matières premières critiques. Ces projets pourront bénéficier de procédures d’octroi de permis simplifiées et d’un financement coordonné. La Commission a lancé un deuxième appel à projets stratégiques, invitant les promoteurs de projets à soumettre leur demande au plus tard le 15 janvier 2026. </w:t>
      </w:r>
    </w:p>
    <w:p w14:paraId="161C62D2" w14:textId="77777777" w:rsidR="00B72F1A" w:rsidRDefault="00B72F1A" w:rsidP="009E5FD2">
      <w:pPr>
        <w:jc w:val="center"/>
        <w:rPr>
          <w:rFonts w:ascii="Times New Roman" w:hAnsi="Times New Roman" w:cs="Times New Roman"/>
          <w:noProof/>
        </w:rPr>
      </w:pPr>
    </w:p>
    <w:p w14:paraId="3F43276A" w14:textId="19CADA10" w:rsidR="00F651EB" w:rsidRDefault="00F651EB" w:rsidP="009E5FD2">
      <w:pPr>
        <w:jc w:val="center"/>
        <w:rPr>
          <w:rFonts w:ascii="Times New Roman" w:hAnsi="Times New Roman" w:cs="Times New Roman"/>
          <w:noProof/>
        </w:rPr>
      </w:pPr>
      <w:r>
        <w:rPr>
          <w:rFonts w:ascii="Times New Roman" w:hAnsi="Times New Roman"/>
          <w:noProof/>
        </w:rPr>
        <w:t xml:space="preserve">Graphique 3. </w:t>
      </w:r>
      <w:r>
        <w:rPr>
          <w:rFonts w:ascii="Times New Roman" w:hAnsi="Times New Roman"/>
          <w:i/>
          <w:noProof/>
        </w:rPr>
        <w:t>Projets stratégiques dans le secteur des matières premières critiques liés à la production de batteries</w:t>
      </w:r>
    </w:p>
    <w:p w14:paraId="14F8ACF6" w14:textId="141A1D03" w:rsidR="00F651EB" w:rsidRDefault="00F651EB" w:rsidP="009E5FD2">
      <w:pPr>
        <w:jc w:val="center"/>
        <w:rPr>
          <w:rFonts w:ascii="Times New Roman" w:hAnsi="Times New Roman" w:cs="Times New Roman"/>
          <w:noProof/>
        </w:rPr>
      </w:pPr>
      <w:r>
        <w:rPr>
          <w:noProof/>
          <w:lang w:val="en-GB" w:eastAsia="en-GB"/>
        </w:rPr>
        <w:drawing>
          <wp:inline distT="0" distB="0" distL="0" distR="0" wp14:anchorId="48D7B350" wp14:editId="2ED16630">
            <wp:extent cx="3003338" cy="3839710"/>
            <wp:effectExtent l="0" t="0" r="6985" b="8890"/>
            <wp:docPr id="486936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36447"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3003338" cy="3839710"/>
                    </a:xfrm>
                    <a:prstGeom prst="rect">
                      <a:avLst/>
                    </a:prstGeom>
                  </pic:spPr>
                </pic:pic>
              </a:graphicData>
            </a:graphic>
          </wp:inline>
        </w:drawing>
      </w:r>
    </w:p>
    <w:p w14:paraId="1D117DCB" w14:textId="77777777" w:rsidR="00980EF9" w:rsidRDefault="00980EF9" w:rsidP="009E5FD2">
      <w:pPr>
        <w:jc w:val="center"/>
        <w:rPr>
          <w:rFonts w:ascii="Times New Roman" w:hAnsi="Times New Roman" w:cs="Times New Roman"/>
          <w:noProof/>
        </w:rPr>
      </w:pPr>
    </w:p>
    <w:p w14:paraId="73F848EC" w14:textId="77777777" w:rsidR="00CC3EFC" w:rsidRDefault="00CC3EFC" w:rsidP="00CC3EFC">
      <w:pPr>
        <w:jc w:val="both"/>
        <w:rPr>
          <w:rFonts w:ascii="Times New Roman" w:hAnsi="Times New Roman" w:cs="Times New Roman"/>
          <w:noProof/>
        </w:rPr>
      </w:pPr>
      <w:r>
        <w:rPr>
          <w:rFonts w:ascii="Times New Roman" w:hAnsi="Times New Roman"/>
          <w:noProof/>
        </w:rPr>
        <w:t xml:space="preserve">Afin d’accélérer </w:t>
      </w:r>
      <w:r>
        <w:rPr>
          <w:rFonts w:ascii="Times New Roman" w:hAnsi="Times New Roman"/>
          <w:b/>
          <w:noProof/>
        </w:rPr>
        <w:t>la diversification de l’approvisionnement en matières premières pour batteries</w:t>
      </w:r>
      <w:r>
        <w:rPr>
          <w:rFonts w:ascii="Times New Roman" w:hAnsi="Times New Roman"/>
          <w:noProof/>
        </w:rPr>
        <w:t xml:space="preserve">, la Commission a également adopté le plan d’action RESourceEU, qui mobilisera 3 milliards d’EUR de fonds de l’UE au cours des 12 prochains mois pour apporter un soutien direct à la chaîne de valeur des matières premières critiques. </w:t>
      </w:r>
    </w:p>
    <w:p w14:paraId="171287F6" w14:textId="57A22027" w:rsidR="00CC3EFC" w:rsidRDefault="00CC3EFC" w:rsidP="00CC3EFC">
      <w:pPr>
        <w:jc w:val="both"/>
        <w:rPr>
          <w:rFonts w:ascii="Times New Roman" w:hAnsi="Times New Roman" w:cs="Times New Roman"/>
          <w:noProof/>
        </w:rPr>
      </w:pPr>
      <w:r>
        <w:rPr>
          <w:rFonts w:ascii="Times New Roman" w:hAnsi="Times New Roman"/>
          <w:noProof/>
        </w:rPr>
        <w:t xml:space="preserve">L’accord intervenu récemment entre le Conseil et le Parlement européen sur le renforcement du programme InvestEU augmente la garantie de l’UE de 2,9 milliards d’EUR, l’objectif étant de débloquer près de 55 milliards d’EUR d’investissements publics et privés supplémentaires. Cela permettra notamment de soutenir des projets dans le domaine des matières premières critiques, à tous les stades du développement, allant du soutien aux start-up jusqu’à la phase d’expansion et de déploiement. Au total, la Commission prévoit de mobiliser des </w:t>
      </w:r>
      <w:r>
        <w:rPr>
          <w:rFonts w:ascii="Times New Roman" w:hAnsi="Times New Roman"/>
          <w:b/>
          <w:noProof/>
        </w:rPr>
        <w:t xml:space="preserve">investissements au titre de la facilité InvestEU d’environ 6 milliards d’EUR d’ici à 2027, dont au moins, sur la période 2026-2027, 2 milliards d’EUR </w:t>
      </w:r>
      <w:r>
        <w:rPr>
          <w:rFonts w:ascii="Times New Roman" w:hAnsi="Times New Roman"/>
          <w:noProof/>
        </w:rPr>
        <w:t>en faveur</w:t>
      </w:r>
      <w:r>
        <w:rPr>
          <w:rFonts w:ascii="Times New Roman" w:hAnsi="Times New Roman"/>
          <w:b/>
          <w:noProof/>
        </w:rPr>
        <w:t xml:space="preserve"> </w:t>
      </w:r>
      <w:r>
        <w:rPr>
          <w:rFonts w:ascii="Times New Roman" w:hAnsi="Times New Roman"/>
          <w:noProof/>
        </w:rPr>
        <w:t>d’investissements dans les matières premières critiques. Elle stimulera la réserve de projets par l’intermédiaire de la plateforme de conseil InvestEU.</w:t>
      </w:r>
    </w:p>
    <w:p w14:paraId="3CF6B685" w14:textId="38962A5A" w:rsidR="00CC3EFC" w:rsidRPr="005952E6" w:rsidRDefault="00CC3EFC" w:rsidP="00CC3EFC">
      <w:pPr>
        <w:jc w:val="both"/>
        <w:rPr>
          <w:rFonts w:ascii="Times New Roman" w:hAnsi="Times New Roman" w:cs="Times New Roman"/>
          <w:b/>
          <w:bCs/>
          <w:noProof/>
        </w:rPr>
      </w:pPr>
      <w:r>
        <w:rPr>
          <w:rFonts w:ascii="Times New Roman" w:hAnsi="Times New Roman"/>
          <w:noProof/>
        </w:rPr>
        <w:t xml:space="preserve">La Commission a recensé des projets pertinents visant à réduire de 30 à 50 % la dépendance de l’UE à l’égard des matières premières d’un seul pays d’origine d’ici à 2029 ou plus tôt. La Commission suivra de près les progrès accomplis dans la définition des besoins de financement et l’accélération de la préparation au marché, au moyen de la plateforme de financement des matières premières critiques et du centre des matières premières critiques, qui seront mis en place en 2026. En outre, en mars 2026, la Commission lancera le premier cycle du </w:t>
      </w:r>
      <w:r>
        <w:rPr>
          <w:rFonts w:ascii="Times New Roman" w:hAnsi="Times New Roman"/>
          <w:b/>
          <w:noProof/>
        </w:rPr>
        <w:t>mécanisme pour les matières premières dans le cadre de la plateforme de l’UE pour l’énergie et les matières premières</w:t>
      </w:r>
      <w:r>
        <w:rPr>
          <w:rFonts w:ascii="Times New Roman" w:hAnsi="Times New Roman"/>
          <w:noProof/>
        </w:rPr>
        <w:t>. Il ciblera les chaînes de valeur des terres rares, des batteries et des matières premières utilisées pour la défense immédiatement disponibles ou bientôt disponibles.</w:t>
      </w:r>
    </w:p>
    <w:p w14:paraId="5FC4D119" w14:textId="14E956EA" w:rsidR="00CC3EFC" w:rsidRDefault="00CC3EFC" w:rsidP="00CC3EFC">
      <w:pPr>
        <w:jc w:val="both"/>
        <w:rPr>
          <w:rFonts w:ascii="Times New Roman" w:hAnsi="Times New Roman" w:cs="Times New Roman"/>
          <w:noProof/>
        </w:rPr>
      </w:pPr>
      <w:r>
        <w:rPr>
          <w:rFonts w:ascii="Times New Roman" w:hAnsi="Times New Roman"/>
          <w:noProof/>
        </w:rPr>
        <w:t xml:space="preserve">Il est tout aussi important de </w:t>
      </w:r>
      <w:r>
        <w:rPr>
          <w:rFonts w:ascii="Times New Roman" w:hAnsi="Times New Roman"/>
          <w:b/>
          <w:noProof/>
        </w:rPr>
        <w:t>recycler les ressources disponibles en Europe</w:t>
      </w:r>
      <w:r>
        <w:rPr>
          <w:rFonts w:ascii="Times New Roman" w:hAnsi="Times New Roman"/>
          <w:noProof/>
        </w:rPr>
        <w:t xml:space="preserve"> afin de renforcer la chaîne de valeur des batteries de l’Union. C’est pourquoi, en s’appuyant sur l’annonce faite récemment dans le plan d’action RESourceEU et sur l’acte d’exécution relatif à l’étiquetage prévu par le règlement sur les batteries, la Commission prendra des mesures pour faciliter la valorisation et le recyclage des matières premières pour batteries. Le recyclage des batteries nécessite par ailleurs un accès au broyat noir ainsi qu’une capacité de raffinage suffisante, ce qui reste un défi pour l’industrie européenne.  </w:t>
      </w:r>
    </w:p>
    <w:p w14:paraId="1C96A28C" w14:textId="77777777" w:rsidR="00CC3EFC" w:rsidRDefault="00CC3EFC" w:rsidP="00CC3EFC">
      <w:pPr>
        <w:jc w:val="both"/>
        <w:rPr>
          <w:rFonts w:ascii="Times New Roman" w:hAnsi="Times New Roman" w:cs="Times New Roman"/>
          <w:noProof/>
        </w:rPr>
      </w:pPr>
      <w:bookmarkStart w:id="2" w:name="_Hlk216514337"/>
      <w:r>
        <w:rPr>
          <w:rFonts w:ascii="Times New Roman" w:hAnsi="Times New Roman"/>
          <w:noProof/>
        </w:rPr>
        <w:t xml:space="preserve">Comme décidé en mars 2025, </w:t>
      </w:r>
      <w:r>
        <w:rPr>
          <w:rFonts w:ascii="Times New Roman" w:hAnsi="Times New Roman"/>
          <w:b/>
          <w:noProof/>
        </w:rPr>
        <w:t>les déchets de batteries lithium-ion et le broyat noir seront classés comme déchets dangereux</w:t>
      </w:r>
      <w:r>
        <w:rPr>
          <w:rFonts w:ascii="Times New Roman" w:hAnsi="Times New Roman"/>
          <w:noProof/>
        </w:rPr>
        <w:t xml:space="preserve"> à partir de décembre 2026. Cela signifie que les exportations de ces déchets vers des pays non membres de l’OCDE seront interdites après cette date. La Commission s’emploiera à mettre en œuvre cette interdiction de manière efficace, en empêchant tout contournement, et présentera, si nécessaire, des mesures supplémentaires visant à restreindre davantage les exportations de broyat noir. </w:t>
      </w:r>
    </w:p>
    <w:bookmarkEnd w:id="2"/>
    <w:p w14:paraId="5824CF58" w14:textId="494CB6D2" w:rsidR="002B0030" w:rsidRDefault="002B0030" w:rsidP="00CC3EFC">
      <w:pPr>
        <w:jc w:val="both"/>
        <w:rPr>
          <w:rFonts w:ascii="Times New Roman" w:hAnsi="Times New Roman" w:cs="Times New Roman"/>
          <w:noProof/>
        </w:rPr>
      </w:pPr>
      <w:r>
        <w:rPr>
          <w:rFonts w:ascii="Times New Roman" w:hAnsi="Times New Roman"/>
          <w:noProof/>
        </w:rPr>
        <w:t xml:space="preserve">Il est également essentiel de valoriser le lithium, le cobalt et le nickel contenus dans le broyat noir au sein de l’UE. Les installations de recyclage destinées à extraire des matières contenues dans le broyat noir se développent, mais ne représentent qu’une petite partie de la future demande européenne et doivent encore être améliorées. Pour relever ces défis, il est nécessaire d’investir massivement dans les installations de recyclage des batteries et d’intensifier le soutien financier accordé à cette activité. </w:t>
      </w:r>
    </w:p>
    <w:p w14:paraId="7D08F167" w14:textId="579719D2" w:rsidR="00CC3EFC" w:rsidRDefault="00CC3EFC" w:rsidP="00CC3EFC">
      <w:pPr>
        <w:jc w:val="both"/>
        <w:rPr>
          <w:rFonts w:ascii="Times New Roman" w:hAnsi="Times New Roman" w:cs="Times New Roman"/>
          <w:noProof/>
        </w:rPr>
      </w:pPr>
      <w:r>
        <w:rPr>
          <w:rFonts w:ascii="Times New Roman" w:hAnsi="Times New Roman"/>
          <w:noProof/>
        </w:rPr>
        <w:t xml:space="preserve">Sur la base de ce programme ambitieux, annoncé dans le plan d’action RESourceEU, nous franchissons, avec la stratégie «Battery Booster», une nouvelle étape dans le développement de la chaîne de valeur en amont du secteur des batteries. Jusqu’à 300 millions d’EUR seront utilisés pour soutenir des projets dans le domaine des matières premières critiques cruciaux pour la chaîne de valeur des batteries. Ils concerneront notamment le lithium, le cobalt, le nickel, le manganèse et le graphite. Ce soutien permettra de combler une lacune importante du marché: en effet, un grand nombre de promoteurs de projets dans le domaine des matières premières pour batteries font face à des coûts initiaux élevés pour augmenter leur production, alors qu’ils ne disposent que d’une assise financière limitée. Au cours du troisième trimestre de l’année 2026, la Commission adoptera également un </w:t>
      </w:r>
      <w:r>
        <w:rPr>
          <w:rFonts w:ascii="Times New Roman" w:hAnsi="Times New Roman"/>
          <w:b/>
          <w:noProof/>
        </w:rPr>
        <w:t>acte législatif sur l’économie circulaire,</w:t>
      </w:r>
      <w:r>
        <w:rPr>
          <w:rFonts w:ascii="Times New Roman" w:hAnsi="Times New Roman"/>
          <w:noProof/>
        </w:rPr>
        <w:t xml:space="preserve"> qui permettra d’accélérer la transition circulaire et ainsi de renforcer la durabilité, la résilience et la compétitivité de l’Union en tirant parti du marché unique. Ce règlement permettra de simplifier et d’harmoniser la réglementation, de réduire les coûts des activités circulaires transfrontières et de créer un marché unique des déchets et des matières premières secondaires.</w:t>
      </w:r>
    </w:p>
    <w:p w14:paraId="5B21E6AA" w14:textId="77777777" w:rsidR="00CC3EFC" w:rsidRPr="008C0C88" w:rsidRDefault="00CC3EFC" w:rsidP="00CC3EFC">
      <w:pPr>
        <w:jc w:val="both"/>
        <w:rPr>
          <w:rFonts w:ascii="Times New Roman" w:hAnsi="Times New Roman" w:cs="Times New Roman"/>
          <w:i/>
          <w:noProof/>
          <w:highlight w:val="yellow"/>
        </w:rPr>
      </w:pPr>
    </w:p>
    <w:p w14:paraId="3E9AF77A" w14:textId="02AA0F81" w:rsidR="00CC3EFC" w:rsidRDefault="00CC3EFC" w:rsidP="00CC3EFC">
      <w:pPr>
        <w:jc w:val="both"/>
        <w:rPr>
          <w:rFonts w:ascii="Times New Roman" w:hAnsi="Times New Roman" w:cs="Times New Roman"/>
          <w:noProof/>
        </w:rPr>
      </w:pPr>
      <w:r>
        <w:rPr>
          <w:rFonts w:ascii="Times New Roman" w:hAnsi="Times New Roman"/>
          <w:noProof/>
          <w:lang w:val="en-GB" w:eastAsia="en-GB"/>
        </w:rPr>
        <mc:AlternateContent>
          <mc:Choice Requires="wps">
            <w:drawing>
              <wp:inline distT="45720" distB="45720" distL="114300" distR="114300" wp14:anchorId="6C756B13" wp14:editId="6F99A6CB">
                <wp:extent cx="5727700" cy="2136141"/>
                <wp:effectExtent l="0" t="0" r="25400" b="13970"/>
                <wp:docPr id="988430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27700" cy="2136141"/>
                        </a:xfrm>
                        <a:prstGeom prst="rect">
                          <a:avLst/>
                        </a:prstGeom>
                        <a:solidFill>
                          <a:srgbClr val="FFFFFF"/>
                        </a:solidFill>
                        <a:ln w="9525">
                          <a:solidFill>
                            <a:srgbClr val="000000"/>
                          </a:solidFill>
                          <a:miter/>
                        </a:ln>
                      </wps:spPr>
                      <wps:txbx>
                        <w:txbxContent>
                          <w:p w14:paraId="40D85857" w14:textId="77777777" w:rsidR="00CC3EFC" w:rsidRPr="00CE644C" w:rsidRDefault="00CC3EFC" w:rsidP="00CC3EFC">
                            <w:pPr>
                              <w:spacing w:line="276" w:lineRule="auto"/>
                              <w:jc w:val="both"/>
                              <w:rPr>
                                <w:rFonts w:ascii="Times New Roman" w:hAnsi="Times New Roman" w:cs="Times New Roman"/>
                                <w:b/>
                                <w:bCs/>
                                <w:kern w:val="0"/>
                                <w14:ligatures w14:val="none"/>
                              </w:rPr>
                            </w:pPr>
                            <w:r>
                              <w:rPr>
                                <w:rFonts w:ascii="Times New Roman" w:hAnsi="Times New Roman"/>
                                <w:b/>
                              </w:rPr>
                              <w:t>Actions phares</w:t>
                            </w:r>
                          </w:p>
                          <w:p w14:paraId="2DDB86B0" w14:textId="4CB2A5C3" w:rsidR="00677F67" w:rsidRDefault="00CC3EFC" w:rsidP="00677F67">
                            <w:pPr>
                              <w:pStyle w:val="ListParagraph"/>
                              <w:numPr>
                                <w:ilvl w:val="0"/>
                                <w:numId w:val="21"/>
                              </w:numPr>
                              <w:spacing w:line="276" w:lineRule="auto"/>
                              <w:jc w:val="both"/>
                              <w:rPr>
                                <w:rFonts w:ascii="Times New Roman" w:hAnsi="Times New Roman" w:cs="Times New Roman"/>
                              </w:rPr>
                            </w:pPr>
                            <w:r>
                              <w:rPr>
                                <w:rFonts w:ascii="Times New Roman" w:hAnsi="Times New Roman"/>
                              </w:rPr>
                              <w:t>Mise en œuvre du plan d’action RESourceEU afin d’accélérer le déploiement de projets tout au long de la chaîne d’approvisionnement en matières premières pour batteries.</w:t>
                            </w:r>
                          </w:p>
                          <w:p w14:paraId="1543A55B" w14:textId="77777777" w:rsidR="00677F67" w:rsidRPr="00677F67" w:rsidRDefault="00677F67" w:rsidP="00677F67">
                            <w:pPr>
                              <w:pStyle w:val="ListParagraph"/>
                              <w:spacing w:line="276" w:lineRule="auto"/>
                              <w:jc w:val="both"/>
                              <w:rPr>
                                <w:rFonts w:ascii="Times New Roman" w:hAnsi="Times New Roman" w:cs="Times New Roman"/>
                              </w:rPr>
                            </w:pPr>
                          </w:p>
                          <w:p w14:paraId="71F7702C" w14:textId="11841956" w:rsidR="00677F67" w:rsidRDefault="00FA5A81" w:rsidP="00677F67">
                            <w:pPr>
                              <w:pStyle w:val="ListParagraph"/>
                              <w:numPr>
                                <w:ilvl w:val="0"/>
                                <w:numId w:val="21"/>
                              </w:numPr>
                              <w:spacing w:line="276" w:lineRule="auto"/>
                              <w:jc w:val="both"/>
                              <w:rPr>
                                <w:rFonts w:ascii="Times New Roman" w:hAnsi="Times New Roman" w:cs="Times New Roman"/>
                              </w:rPr>
                            </w:pPr>
                            <w:r>
                              <w:rPr>
                                <w:rFonts w:ascii="Times New Roman" w:hAnsi="Times New Roman"/>
                              </w:rPr>
                              <w:t>Financement d’un montant maximal de 300 millions d’EUR au titre du Fonds pour l’innovation en faveur de projets dans le domaine des matières premières critiques dans la chaîne de valeur des batteries.</w:t>
                            </w:r>
                          </w:p>
                          <w:p w14:paraId="6BB33D45" w14:textId="77777777" w:rsidR="00677F67" w:rsidRPr="00677F67" w:rsidRDefault="00677F67" w:rsidP="00677F67">
                            <w:pPr>
                              <w:pStyle w:val="ListParagraph"/>
                              <w:spacing w:line="276" w:lineRule="auto"/>
                              <w:jc w:val="both"/>
                              <w:rPr>
                                <w:rFonts w:ascii="Times New Roman" w:hAnsi="Times New Roman" w:cs="Times New Roman"/>
                              </w:rPr>
                            </w:pPr>
                          </w:p>
                          <w:p w14:paraId="2F271A77" w14:textId="77777777" w:rsidR="00677F67" w:rsidRDefault="00CC3EFC" w:rsidP="00677F67">
                            <w:pPr>
                              <w:pStyle w:val="ListParagraph"/>
                              <w:numPr>
                                <w:ilvl w:val="0"/>
                                <w:numId w:val="21"/>
                              </w:numPr>
                              <w:spacing w:line="276" w:lineRule="auto"/>
                              <w:jc w:val="both"/>
                              <w:rPr>
                                <w:rFonts w:ascii="Times New Roman" w:hAnsi="Times New Roman" w:cs="Times New Roman"/>
                              </w:rPr>
                            </w:pPr>
                            <w:r>
                              <w:rPr>
                                <w:rFonts w:ascii="Times New Roman" w:hAnsi="Times New Roman"/>
                              </w:rPr>
                              <w:t>Lancement du deuxième appel à projets stratégiques au titre du règlement sur les matières premières critiques (date limite: 15 janvier 2026).</w:t>
                            </w:r>
                          </w:p>
                          <w:p w14:paraId="6F60C4E9" w14:textId="77777777" w:rsidR="00677F67" w:rsidRDefault="00677F67" w:rsidP="00677F67">
                            <w:pPr>
                              <w:pStyle w:val="ListParagraph"/>
                              <w:spacing w:line="276" w:lineRule="auto"/>
                              <w:jc w:val="both"/>
                              <w:rPr>
                                <w:rFonts w:ascii="Times New Roman" w:hAnsi="Times New Roman" w:cs="Times New Roman"/>
                              </w:rPr>
                            </w:pPr>
                          </w:p>
                          <w:p w14:paraId="1B09F27E" w14:textId="735A6EFD" w:rsidR="00CC3EFC" w:rsidRPr="00677F67" w:rsidRDefault="00CC3EFC" w:rsidP="00677F67">
                            <w:pPr>
                              <w:pStyle w:val="ListParagraph"/>
                              <w:numPr>
                                <w:ilvl w:val="0"/>
                                <w:numId w:val="21"/>
                              </w:numPr>
                              <w:spacing w:line="276" w:lineRule="auto"/>
                              <w:jc w:val="both"/>
                              <w:rPr>
                                <w:rFonts w:ascii="Times New Roman" w:hAnsi="Times New Roman" w:cs="Times New Roman"/>
                              </w:rPr>
                            </w:pPr>
                            <w:r>
                              <w:rPr>
                                <w:rFonts w:ascii="Times New Roman" w:hAnsi="Times New Roman"/>
                              </w:rPr>
                              <w:t>Lancement, en mars 2026, du premier cycle du mécanisme pour les matières premières dans le cadre de la plateforme de l’UE pour l’énergie et les matières premières.</w:t>
                            </w:r>
                          </w:p>
                        </w:txbxContent>
                      </wps:txbx>
                      <wps:bodyPr wrap="square" lIns="91440" tIns="45720" rIns="91440" bIns="45720" anchor="t">
                        <a:spAutoFit/>
                      </wps:bodyPr>
                    </wps:wsp>
                  </a:graphicData>
                </a:graphic>
              </wp:inline>
            </w:drawing>
          </mc:Choice>
          <mc:Fallback>
            <w:pict>
              <v:rect w14:anchorId="6C756B13" id="Text Box 2" o:spid="_x0000_s1027" style="width:451pt;height:16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">
                <v:textbox style="mso-fit-shape-to-text:t">
                  <w:txbxContent>
                    <w:p w14:paraId="40D85857" w14:textId="77777777" w:rsidR="00CC3EFC" w:rsidRPr="00CE644C" w:rsidRDefault="00CC3EFC" w:rsidP="00CC3EFC">
                      <w:pPr>
                        <w:spacing w:line="276" w:lineRule="auto"/>
                        <w:jc w:val="both"/>
                        <w:rPr>
                          <w:rFonts w:ascii="Times New Roman" w:hAnsi="Times New Roman" w:cs="Times New Roman"/>
                          <w:b/>
                          <w:bCs/>
                          <w:kern w:val="0"/>
                          <w14:ligatures w14:val="none"/>
                        </w:rPr>
                      </w:pPr>
                      <w:r>
                        <w:rPr>
                          <w:rFonts w:ascii="Times New Roman" w:hAnsi="Times New Roman"/>
                          <w:b/>
                        </w:rPr>
                        <w:t>Actions phares</w:t>
                      </w:r>
                    </w:p>
                    <w:p w14:paraId="2DDB86B0" w14:textId="4CB2A5C3" w:rsidR="00677F67" w:rsidRDefault="00CC3EFC" w:rsidP="00677F67">
                      <w:pPr>
                        <w:pStyle w:val="ListParagraph"/>
                        <w:numPr>
                          <w:ilvl w:val="0"/>
                          <w:numId w:val="21"/>
                        </w:numPr>
                        <w:spacing w:line="276" w:lineRule="auto"/>
                        <w:jc w:val="both"/>
                        <w:rPr>
                          <w:rFonts w:ascii="Times New Roman" w:hAnsi="Times New Roman" w:cs="Times New Roman"/>
                        </w:rPr>
                      </w:pPr>
                      <w:r>
                        <w:rPr>
                          <w:rFonts w:ascii="Times New Roman" w:hAnsi="Times New Roman"/>
                        </w:rPr>
                        <w:t>Mise en œuvre du plan d’action RESourceEU afin d’accélérer le déploiement de projets tout au long de la chaîne d’approvisionnement en matières premières pour batteries.</w:t>
                      </w:r>
                    </w:p>
                    <w:p w14:paraId="1543A55B" w14:textId="77777777" w:rsidR="00677F67" w:rsidRPr="00677F67" w:rsidRDefault="00677F67" w:rsidP="00677F67">
                      <w:pPr>
                        <w:pStyle w:val="ListParagraph"/>
                        <w:spacing w:line="276" w:lineRule="auto"/>
                        <w:jc w:val="both"/>
                        <w:rPr>
                          <w:rFonts w:ascii="Times New Roman" w:hAnsi="Times New Roman" w:cs="Times New Roman"/>
                        </w:rPr>
                      </w:pPr>
                    </w:p>
                    <w:p w14:paraId="71F7702C" w14:textId="11841956" w:rsidR="00677F67" w:rsidRDefault="00FA5A81" w:rsidP="00677F67">
                      <w:pPr>
                        <w:pStyle w:val="ListParagraph"/>
                        <w:numPr>
                          <w:ilvl w:val="0"/>
                          <w:numId w:val="21"/>
                        </w:numPr>
                        <w:spacing w:line="276" w:lineRule="auto"/>
                        <w:jc w:val="both"/>
                        <w:rPr>
                          <w:rFonts w:ascii="Times New Roman" w:hAnsi="Times New Roman" w:cs="Times New Roman"/>
                        </w:rPr>
                      </w:pPr>
                      <w:r>
                        <w:rPr>
                          <w:rFonts w:ascii="Times New Roman" w:hAnsi="Times New Roman"/>
                        </w:rPr>
                        <w:t>Financement d’un montant maximal de 300 millions d’EUR au titre du Fonds pour l’innovation en faveur de projets dans le domaine des matières premières critiques dans la chaîne de valeur des batteries.</w:t>
                      </w:r>
                    </w:p>
                    <w:p w14:paraId="6BB33D45" w14:textId="77777777" w:rsidR="00677F67" w:rsidRPr="00677F67" w:rsidRDefault="00677F67" w:rsidP="00677F67">
                      <w:pPr>
                        <w:pStyle w:val="ListParagraph"/>
                        <w:spacing w:line="276" w:lineRule="auto"/>
                        <w:jc w:val="both"/>
                        <w:rPr>
                          <w:rFonts w:ascii="Times New Roman" w:hAnsi="Times New Roman" w:cs="Times New Roman"/>
                        </w:rPr>
                      </w:pPr>
                    </w:p>
                    <w:p w14:paraId="2F271A77" w14:textId="77777777" w:rsidR="00677F67" w:rsidRDefault="00CC3EFC" w:rsidP="00677F67">
                      <w:pPr>
                        <w:pStyle w:val="ListParagraph"/>
                        <w:numPr>
                          <w:ilvl w:val="0"/>
                          <w:numId w:val="21"/>
                        </w:numPr>
                        <w:spacing w:line="276" w:lineRule="auto"/>
                        <w:jc w:val="both"/>
                        <w:rPr>
                          <w:rFonts w:ascii="Times New Roman" w:hAnsi="Times New Roman" w:cs="Times New Roman"/>
                        </w:rPr>
                      </w:pPr>
                      <w:r>
                        <w:rPr>
                          <w:rFonts w:ascii="Times New Roman" w:hAnsi="Times New Roman"/>
                        </w:rPr>
                        <w:t>Lancement du deuxième appel à projets stratégiques au titre du règlement sur les matières premières critiques (date limite: 15 janvier 2026).</w:t>
                      </w:r>
                    </w:p>
                    <w:p w14:paraId="6F60C4E9" w14:textId="77777777" w:rsidR="00677F67" w:rsidRDefault="00677F67" w:rsidP="00677F67">
                      <w:pPr>
                        <w:pStyle w:val="ListParagraph"/>
                        <w:spacing w:line="276" w:lineRule="auto"/>
                        <w:jc w:val="both"/>
                        <w:rPr>
                          <w:rFonts w:ascii="Times New Roman" w:hAnsi="Times New Roman" w:cs="Times New Roman"/>
                        </w:rPr>
                      </w:pPr>
                    </w:p>
                    <w:p w14:paraId="1B09F27E" w14:textId="735A6EFD" w:rsidR="00CC3EFC" w:rsidRPr="00677F67" w:rsidRDefault="00CC3EFC" w:rsidP="00677F67">
                      <w:pPr>
                        <w:pStyle w:val="ListParagraph"/>
                        <w:numPr>
                          <w:ilvl w:val="0"/>
                          <w:numId w:val="21"/>
                        </w:numPr>
                        <w:spacing w:line="276" w:lineRule="auto"/>
                        <w:jc w:val="both"/>
                        <w:rPr>
                          <w:rFonts w:ascii="Times New Roman" w:hAnsi="Times New Roman" w:cs="Times New Roman"/>
                        </w:rPr>
                      </w:pPr>
                      <w:r>
                        <w:rPr>
                          <w:rFonts w:ascii="Times New Roman" w:hAnsi="Times New Roman"/>
                        </w:rPr>
                        <w:t>Lancement, en mars 2026, du premier cycle du mécanisme pour les matières premières dans le cadre de la plateforme de l’UE pour l’énergie et les matières premières.</w:t>
                      </w:r>
                    </w:p>
                  </w:txbxContent>
                </v:textbox>
                <w10:anchorlock/>
              </v:rect>
            </w:pict>
          </mc:Fallback>
        </mc:AlternateContent>
      </w:r>
    </w:p>
    <w:p w14:paraId="31D8C4D7" w14:textId="77777777" w:rsidR="00B72F1A" w:rsidRPr="00C84BE1" w:rsidRDefault="00B72F1A">
      <w:pPr>
        <w:rPr>
          <w:rFonts w:ascii="Times New Roman" w:hAnsi="Times New Roman" w:cs="Times New Roman"/>
          <w:noProof/>
        </w:rPr>
      </w:pPr>
    </w:p>
    <w:p w14:paraId="3D2E8F15" w14:textId="49B80F37" w:rsidR="005F6EFB" w:rsidRPr="005952E6" w:rsidRDefault="005F6EFB" w:rsidP="00763AFC">
      <w:pPr>
        <w:rPr>
          <w:rFonts w:ascii="Times New Roman" w:hAnsi="Times New Roman" w:cs="Times New Roman"/>
          <w:b/>
          <w:bCs/>
          <w:i/>
          <w:iCs/>
          <w:noProof/>
        </w:rPr>
      </w:pPr>
      <w:r>
        <w:rPr>
          <w:rFonts w:ascii="Times New Roman" w:hAnsi="Times New Roman"/>
          <w:b/>
          <w:i/>
          <w:noProof/>
        </w:rPr>
        <w:t>Pilier III: garantir des investissements à valeur ajoutée et des conditions de concurrence équitables pour l’industrie de l’UE</w:t>
      </w:r>
    </w:p>
    <w:p w14:paraId="5F57FB01" w14:textId="5BB26DA7" w:rsidR="0003788D" w:rsidRDefault="001B70AC" w:rsidP="004066F6">
      <w:pPr>
        <w:jc w:val="both"/>
        <w:rPr>
          <w:rFonts w:ascii="Times New Roman" w:hAnsi="Times New Roman" w:cs="Times New Roman"/>
          <w:noProof/>
        </w:rPr>
      </w:pPr>
      <w:r>
        <w:rPr>
          <w:rFonts w:ascii="Times New Roman" w:hAnsi="Times New Roman"/>
          <w:noProof/>
        </w:rPr>
        <w:t xml:space="preserve">Les fabricants européens de batteries font face à des turbulences géopolitiques et à une concurrence étrangère féroce sur un marché qui </w:t>
      </w:r>
      <w:r>
        <w:rPr>
          <w:rFonts w:ascii="Times New Roman" w:hAnsi="Times New Roman"/>
          <w:b/>
          <w:noProof/>
        </w:rPr>
        <w:t>ne dispose pas de conditions de concurrence véritablement équitables en matière de commerce et d’investissement</w:t>
      </w:r>
      <w:r>
        <w:rPr>
          <w:rFonts w:ascii="Times New Roman" w:hAnsi="Times New Roman"/>
          <w:noProof/>
        </w:rPr>
        <w:t xml:space="preserve">. Cette situation laisse dès lors la porte ouverte à des importations des produits issus d’une concurrence déloyale dans l’écosystème des batteries de l’UE. Les acteurs étrangers s’intéressent de plus en plus aux investissements dans le secteur des batteries. Toutefois, l’UE ne dispose actuellement pas de conditions claires permettant de garantir que les investissements apportent une valeur ajoutée. En l’absence de garanties solides, l’UE reste exposée à une concentration des participations étrangères, à un contrôle technologique externe et à une intégration limitée dans les chaînes d’approvisionnement européennes. </w:t>
      </w:r>
    </w:p>
    <w:p w14:paraId="052F0439" w14:textId="06A64734" w:rsidR="00DC2BA7" w:rsidRDefault="001B70AC" w:rsidP="004066F6">
      <w:pPr>
        <w:jc w:val="both"/>
        <w:rPr>
          <w:rFonts w:ascii="Times New Roman" w:hAnsi="Times New Roman" w:cs="Times New Roman"/>
          <w:noProof/>
        </w:rPr>
      </w:pPr>
      <w:r>
        <w:rPr>
          <w:rFonts w:ascii="Times New Roman" w:hAnsi="Times New Roman"/>
          <w:noProof/>
        </w:rPr>
        <w:t xml:space="preserve">Par conséquent, la Commission envisage de proposer un </w:t>
      </w:r>
      <w:r>
        <w:rPr>
          <w:rFonts w:ascii="Times New Roman" w:hAnsi="Times New Roman"/>
          <w:b/>
          <w:noProof/>
        </w:rPr>
        <w:t>nouvel ensemble de conditions</w:t>
      </w:r>
      <w:r>
        <w:rPr>
          <w:rFonts w:ascii="Times New Roman" w:hAnsi="Times New Roman"/>
          <w:noProof/>
        </w:rPr>
        <w:t xml:space="preserve"> permettant de </w:t>
      </w:r>
      <w:bookmarkStart w:id="3" w:name="_Hlk216357722"/>
      <w:r>
        <w:rPr>
          <w:rFonts w:ascii="Times New Roman" w:hAnsi="Times New Roman"/>
          <w:b/>
          <w:noProof/>
        </w:rPr>
        <w:t xml:space="preserve">garantir que les investissements directs étrangers, </w:t>
      </w:r>
      <w:bookmarkEnd w:id="3"/>
      <w:r>
        <w:rPr>
          <w:rFonts w:ascii="Times New Roman" w:hAnsi="Times New Roman"/>
          <w:b/>
          <w:noProof/>
        </w:rPr>
        <w:t xml:space="preserve">y compris ceux dans la chaîne de valeur des batteries, présentent des avantages manifestes </w:t>
      </w:r>
      <w:r>
        <w:rPr>
          <w:rFonts w:ascii="Times New Roman" w:hAnsi="Times New Roman"/>
          <w:noProof/>
        </w:rPr>
        <w:t>pour la compétitivité et la résilience de l’Europe. Il convient que les projets dans des segments stratégiques allant du traitement des matières à la fabrication et au recyclage des cellules créent de la valeur pour l’économie de l’UE. Ils pourraient donc être soumis à certaines conditions relatives à la gouvernance, à une participation étrangère maximale, au transfert de technologies, à la recherche et au développement, au développement de la main-d’œuvre et à l’intégration de la chaîne d’approvisionnement.</w:t>
      </w:r>
    </w:p>
    <w:p w14:paraId="01ED6DF2" w14:textId="375D0C7F" w:rsidR="00AF6527" w:rsidRDefault="005F6EFB" w:rsidP="008A36D4">
      <w:pPr>
        <w:jc w:val="both"/>
        <w:rPr>
          <w:rFonts w:ascii="Times New Roman" w:hAnsi="Times New Roman" w:cs="Times New Roman"/>
          <w:noProof/>
        </w:rPr>
      </w:pPr>
      <w:r>
        <w:rPr>
          <w:rFonts w:ascii="Times New Roman" w:hAnsi="Times New Roman"/>
          <w:noProof/>
        </w:rPr>
        <w:t xml:space="preserve">Conformément aux objectifs du pacte pour une industrie propre et du plan d’action en faveur du secteur automobile, l’UE doit continuer à </w:t>
      </w:r>
      <w:r>
        <w:rPr>
          <w:rFonts w:ascii="Times New Roman" w:hAnsi="Times New Roman"/>
          <w:b/>
          <w:noProof/>
        </w:rPr>
        <w:t>mettre en place des partenariats stratégiques pour renforcer la résilience de sa chaîne d’approvisionnement</w:t>
      </w:r>
      <w:r>
        <w:rPr>
          <w:rFonts w:ascii="Times New Roman" w:hAnsi="Times New Roman"/>
          <w:noProof/>
        </w:rPr>
        <w:t xml:space="preserve">. Le protocole d’accord sur les batteries signé en septembre 2025 entre les associations sectorielles européennes et japonaises permettra de renforcer la coopération sur des aspects essentiels tels que le recyclage et la circularité, le partage des données et les compétences. Afin de renforcer les capacités de fabrication de l’UE, nous continuerons à développer et à diversifier les chaînes d’approvisionnement avec les pays partenaires internationaux ainsi qu’à réduire les risques qui y sont liés. </w:t>
      </w:r>
    </w:p>
    <w:p w14:paraId="20EA4648" w14:textId="34064984" w:rsidR="00443EF9" w:rsidRPr="00FE218D" w:rsidRDefault="00EA1730" w:rsidP="008A36D4">
      <w:pPr>
        <w:jc w:val="both"/>
        <w:rPr>
          <w:rFonts w:ascii="Times New Roman" w:hAnsi="Times New Roman" w:cs="Times New Roman"/>
          <w:iCs/>
          <w:noProof/>
        </w:rPr>
      </w:pPr>
      <w:r>
        <w:rPr>
          <w:rFonts w:ascii="Times New Roman" w:hAnsi="Times New Roman"/>
          <w:noProof/>
        </w:rPr>
        <w:t xml:space="preserve">Parallèlement, la Commission continuera d’utiliser les outils dont elle dispose pour garantir des conditions de concurrence équitables au sein du marché unique, notamment en enquêtant, le cas échéant, au titre du </w:t>
      </w:r>
      <w:r>
        <w:rPr>
          <w:rFonts w:ascii="Times New Roman" w:hAnsi="Times New Roman"/>
          <w:b/>
          <w:noProof/>
        </w:rPr>
        <w:t>règlement relatif aux subventions étrangères</w:t>
      </w:r>
      <w:r>
        <w:rPr>
          <w:rFonts w:ascii="Times New Roman" w:hAnsi="Times New Roman"/>
          <w:noProof/>
        </w:rPr>
        <w:t>, sur les distorsions de concurrence potentielles causées dans la chaîne de valeur des batteries par des subventions étrangères. Elle promouvra ainsi une concurrence loyale dans tous les États membres. En outre, la Commission suivra activement l’évolution de la situation concernant les instruments de sécurité économique et de défense commerciale pour les batteries. Ce suivi est essentiel pour maintenir la stabilité du marché et garantir des conditions commerciales équitables dans tous les secteurs.</w:t>
      </w:r>
    </w:p>
    <w:p w14:paraId="48FAB5D7" w14:textId="2AB0BAEB" w:rsidR="00B72F1A" w:rsidRDefault="003D5CD0" w:rsidP="00763AFC">
      <w:pPr>
        <w:jc w:val="both"/>
        <w:rPr>
          <w:rFonts w:ascii="Times New Roman" w:hAnsi="Times New Roman" w:cs="Times New Roman"/>
          <w:b/>
          <w:bCs/>
          <w:i/>
          <w:iCs/>
          <w:noProof/>
        </w:rPr>
      </w:pPr>
      <w:r>
        <w:rPr>
          <w:rFonts w:ascii="Times New Roman" w:hAnsi="Times New Roman"/>
          <w:b/>
          <w:noProof/>
          <w:highlight w:val="yellow"/>
          <w:lang w:val="en-GB" w:eastAsia="en-GB"/>
        </w:rPr>
        <mc:AlternateContent>
          <mc:Choice Requires="wps">
            <w:drawing>
              <wp:anchor distT="45720" distB="45720" distL="114300" distR="114300" simplePos="0" relativeHeight="251658242" behindDoc="0" locked="0" layoutInCell="1" allowOverlap="1" wp14:anchorId="69D16316" wp14:editId="71C50E04">
                <wp:simplePos x="0" y="0"/>
                <wp:positionH relativeFrom="margin">
                  <wp:align>left</wp:align>
                </wp:positionH>
                <wp:positionV relativeFrom="paragraph">
                  <wp:posOffset>596</wp:posOffset>
                </wp:positionV>
                <wp:extent cx="5798185" cy="1404620"/>
                <wp:effectExtent l="0" t="0" r="12065" b="10795"/>
                <wp:wrapSquare wrapText="bothSides"/>
                <wp:docPr id="1197003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1404620"/>
                        </a:xfrm>
                        <a:prstGeom prst="rect">
                          <a:avLst/>
                        </a:prstGeom>
                        <a:solidFill>
                          <a:srgbClr val="FFFFFF"/>
                        </a:solidFill>
                        <a:ln w="9525">
                          <a:solidFill>
                            <a:srgbClr val="000000"/>
                          </a:solidFill>
                          <a:miter lim="800000"/>
                          <a:headEnd/>
                          <a:tailEnd/>
                        </a:ln>
                      </wps:spPr>
                      <wps:txbx>
                        <w:txbxContent>
                          <w:p w14:paraId="41475E95" w14:textId="017C4CD2" w:rsidR="005F6EFB" w:rsidRPr="00CE644C" w:rsidRDefault="005F6EFB" w:rsidP="005F6EFB">
                            <w:pPr>
                              <w:jc w:val="both"/>
                              <w:rPr>
                                <w:rFonts w:ascii="Times New Roman" w:hAnsi="Times New Roman" w:cs="Times New Roman"/>
                                <w:b/>
                                <w:bCs/>
                              </w:rPr>
                            </w:pPr>
                            <w:r>
                              <w:rPr>
                                <w:rFonts w:ascii="Times New Roman" w:hAnsi="Times New Roman"/>
                                <w:b/>
                              </w:rPr>
                              <w:t>Actions phares</w:t>
                            </w:r>
                          </w:p>
                          <w:p w14:paraId="6A045A7C" w14:textId="1D4C316E" w:rsidR="005F6EFB" w:rsidRPr="00CE644C" w:rsidRDefault="005F6EFB" w:rsidP="007611E8">
                            <w:pPr>
                              <w:pStyle w:val="ListParagraph"/>
                              <w:numPr>
                                <w:ilvl w:val="0"/>
                                <w:numId w:val="24"/>
                              </w:numPr>
                              <w:jc w:val="both"/>
                              <w:rPr>
                                <w:rFonts w:ascii="Times New Roman" w:hAnsi="Times New Roman" w:cs="Times New Roman"/>
                              </w:rPr>
                            </w:pPr>
                            <w:r>
                              <w:rPr>
                                <w:rFonts w:ascii="Times New Roman" w:hAnsi="Times New Roman"/>
                              </w:rPr>
                              <w:t xml:space="preserve">Adoption de conditions relatives aux IDE visant à garantir que les investissements directs étrangers apportent une valeur ajoutée, parmi lesquelles des conditions en matière de transfert de technologies et d’intégration de la chaîne d’approvisionnement </w:t>
                            </w:r>
                          </w:p>
                          <w:p w14:paraId="44103784" w14:textId="2C48707F" w:rsidR="005F6EFB" w:rsidRPr="00AF7002" w:rsidRDefault="00F63B99" w:rsidP="00AF7002">
                            <w:pPr>
                              <w:pStyle w:val="ListParagraph"/>
                              <w:numPr>
                                <w:ilvl w:val="0"/>
                                <w:numId w:val="24"/>
                              </w:numPr>
                              <w:jc w:val="both"/>
                              <w:rPr>
                                <w:rFonts w:ascii="Times New Roman" w:hAnsi="Times New Roman" w:cs="Times New Roman"/>
                              </w:rPr>
                            </w:pPr>
                            <w:r>
                              <w:rPr>
                                <w:rFonts w:ascii="Times New Roman" w:hAnsi="Times New Roman"/>
                              </w:rPr>
                              <w:t>«Diplomatie des batteries» – dialogues avec des partenaires mondiaux visant à renforcer et à diversifier les chaînes d’approvisionnement.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D16316" id="_x0000_s1028" type="#_x0000_t202" style="position:absolute;left:0;text-align:left;margin-left:0;margin-top:.05pt;width:456.55pt;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">
                <v:textbox style="mso-fit-shape-to-text:t">
                  <w:txbxContent>
                    <w:p w14:paraId="41475E95" w14:textId="017C4CD2" w:rsidR="005F6EFB" w:rsidRPr="00CE644C" w:rsidRDefault="005F6EFB" w:rsidP="005F6EFB">
                      <w:pPr>
                        <w:jc w:val="both"/>
                        <w:rPr>
                          <w:rFonts w:ascii="Times New Roman" w:hAnsi="Times New Roman" w:cs="Times New Roman"/>
                          <w:b/>
                          <w:bCs/>
                        </w:rPr>
                      </w:pPr>
                      <w:r>
                        <w:rPr>
                          <w:rFonts w:ascii="Times New Roman" w:hAnsi="Times New Roman"/>
                          <w:b/>
                        </w:rPr>
                        <w:t>Actions phares</w:t>
                      </w:r>
                    </w:p>
                    <w:p w14:paraId="6A045A7C" w14:textId="1D4C316E" w:rsidR="005F6EFB" w:rsidRPr="00CE644C" w:rsidRDefault="005F6EFB" w:rsidP="007611E8">
                      <w:pPr>
                        <w:pStyle w:val="ListParagraph"/>
                        <w:numPr>
                          <w:ilvl w:val="0"/>
                          <w:numId w:val="24"/>
                        </w:numPr>
                        <w:jc w:val="both"/>
                        <w:rPr>
                          <w:rFonts w:ascii="Times New Roman" w:hAnsi="Times New Roman" w:cs="Times New Roman"/>
                        </w:rPr>
                      </w:pPr>
                      <w:r>
                        <w:rPr>
                          <w:rFonts w:ascii="Times New Roman" w:hAnsi="Times New Roman"/>
                        </w:rPr>
                        <w:t xml:space="preserve">Adoption de conditions relatives aux IDE visant à garantir que les investissements directs étrangers apportent une valeur ajoutée, parmi lesquelles des conditions en matière de transfert de technologies et d’intégration de la chaîne d’approvisionnement </w:t>
                      </w:r>
                    </w:p>
                    <w:p w14:paraId="44103784" w14:textId="2C48707F" w:rsidR="005F6EFB" w:rsidRPr="00AF7002" w:rsidRDefault="00F63B99" w:rsidP="00AF7002">
                      <w:pPr>
                        <w:pStyle w:val="ListParagraph"/>
                        <w:numPr>
                          <w:ilvl w:val="0"/>
                          <w:numId w:val="24"/>
                        </w:numPr>
                        <w:jc w:val="both"/>
                        <w:rPr>
                          <w:rFonts w:ascii="Times New Roman" w:hAnsi="Times New Roman" w:cs="Times New Roman"/>
                        </w:rPr>
                      </w:pPr>
                      <w:r>
                        <w:rPr>
                          <w:rFonts w:ascii="Times New Roman" w:hAnsi="Times New Roman"/>
                        </w:rPr>
                        <w:t>«Diplomatie des batteries» – dialogues avec des partenaires mondiaux visant à renforcer et à diversifier les chaînes d’approvisionnement.</w:t>
                      </w:r>
                    </w:p>
                  </w:txbxContent>
                </v:textbox>
                <w10:wrap type="square" anchorx="margin"/>
              </v:shape>
            </w:pict>
          </mc:Fallback>
        </mc:AlternateContent>
      </w:r>
    </w:p>
    <w:p w14:paraId="7E6089A8" w14:textId="425ACA80" w:rsidR="00A33516" w:rsidRPr="005952E6" w:rsidRDefault="009352D8" w:rsidP="00763AFC">
      <w:pPr>
        <w:rPr>
          <w:rFonts w:ascii="Times New Roman" w:hAnsi="Times New Roman" w:cs="Times New Roman"/>
          <w:i/>
          <w:iCs/>
          <w:noProof/>
        </w:rPr>
      </w:pPr>
      <w:r>
        <w:rPr>
          <w:rFonts w:ascii="Times New Roman" w:hAnsi="Times New Roman"/>
          <w:b/>
          <w:i/>
          <w:noProof/>
        </w:rPr>
        <w:t xml:space="preserve">Pilier IV: soutenir les achats de produits fabriqués dans l’UE, renforcer la résilience et la durabilité </w:t>
      </w:r>
    </w:p>
    <w:p w14:paraId="2B62CB07" w14:textId="462DBEE7" w:rsidR="00934018" w:rsidRPr="00E17F2D" w:rsidRDefault="00630350" w:rsidP="004066F6">
      <w:pPr>
        <w:jc w:val="both"/>
        <w:rPr>
          <w:rFonts w:ascii="Times New Roman" w:hAnsi="Times New Roman" w:cs="Times New Roman"/>
          <w:b/>
          <w:noProof/>
        </w:rPr>
      </w:pPr>
      <w:r>
        <w:rPr>
          <w:rFonts w:ascii="Times New Roman" w:hAnsi="Times New Roman"/>
          <w:noProof/>
        </w:rPr>
        <w:t>Afin de favoriser l’émergence d’une chaîne de valeur européenne résiliente pour les batteries et de stimuler la demande, la Commission encouragera la création de marchés pilotes pour les batteries, composants et matériaux fabriqués dans l’UE en tirant parti de l’ampleur et de la prévisibilité des besoins de l’UE en batteries.</w:t>
      </w:r>
      <w:r>
        <w:rPr>
          <w:rFonts w:ascii="Times New Roman" w:hAnsi="Times New Roman"/>
          <w:b/>
          <w:noProof/>
        </w:rPr>
        <w:t xml:space="preserve"> </w:t>
      </w:r>
    </w:p>
    <w:p w14:paraId="0DC75FAE" w14:textId="17E2AE86" w:rsidR="006F0BD3" w:rsidRDefault="0031628E" w:rsidP="004066F6">
      <w:pPr>
        <w:jc w:val="both"/>
        <w:rPr>
          <w:rFonts w:ascii="Times New Roman" w:hAnsi="Times New Roman" w:cs="Times New Roman"/>
          <w:noProof/>
        </w:rPr>
      </w:pPr>
      <w:bookmarkStart w:id="4" w:name="_Hlk215847973"/>
      <w:r>
        <w:rPr>
          <w:rFonts w:ascii="Times New Roman" w:hAnsi="Times New Roman"/>
          <w:noProof/>
        </w:rPr>
        <w:t xml:space="preserve">Dans le cadre de l’acte législatif pour l’accélération de l’activité industrielle, la Commission proposera de mettre en place des </w:t>
      </w:r>
      <w:r>
        <w:rPr>
          <w:rFonts w:ascii="Times New Roman" w:hAnsi="Times New Roman"/>
          <w:b/>
          <w:noProof/>
        </w:rPr>
        <w:t>exigences en matière de contenu originaire de l’UE applicables aux batteries et à leurs composants</w:t>
      </w:r>
      <w:r>
        <w:rPr>
          <w:rFonts w:ascii="Times New Roman" w:hAnsi="Times New Roman"/>
          <w:noProof/>
        </w:rPr>
        <w:t>, conformément aux engagements juridiques internationaux de l’UE et aux règles applicables en matière d’aides d’État.</w:t>
      </w:r>
      <w:bookmarkEnd w:id="4"/>
      <w:r>
        <w:rPr>
          <w:rFonts w:ascii="Times New Roman" w:hAnsi="Times New Roman"/>
          <w:b/>
          <w:noProof/>
        </w:rPr>
        <w:t xml:space="preserve"> </w:t>
      </w:r>
      <w:r>
        <w:rPr>
          <w:rFonts w:ascii="Times New Roman" w:hAnsi="Times New Roman"/>
          <w:noProof/>
        </w:rPr>
        <w:t xml:space="preserve">Ces exigences seront conçues de manière à garantir que les fonds publics sont affectés à la fabrication et à l’emploi dans l’UE, afin d’aider les fabricants de batteries de l’UE à se développer et à maîtriser plus rapidement les processus industriels. Elles seront également conçues pour débloquer et attirer des capitaux privés dans les segments les plus stratégiques de la chaîne de valeur des batteries. </w:t>
      </w:r>
    </w:p>
    <w:p w14:paraId="40B966FA" w14:textId="0DA93693" w:rsidR="00854113" w:rsidRDefault="0052521E" w:rsidP="00854113">
      <w:pPr>
        <w:jc w:val="both"/>
        <w:rPr>
          <w:rFonts w:ascii="Times New Roman" w:hAnsi="Times New Roman" w:cs="Times New Roman"/>
          <w:noProof/>
        </w:rPr>
      </w:pPr>
      <w:r>
        <w:rPr>
          <w:rFonts w:ascii="Times New Roman" w:hAnsi="Times New Roman"/>
          <w:noProof/>
        </w:rPr>
        <w:t xml:space="preserve">Les exigences en matière de contenu originaire de l’UE contribueront à assurer la </w:t>
      </w:r>
      <w:r>
        <w:rPr>
          <w:rFonts w:ascii="Times New Roman" w:hAnsi="Times New Roman"/>
          <w:b/>
          <w:noProof/>
        </w:rPr>
        <w:t>pleine utilisation des capacités de fabrication existantes pour les composants de batteries essentiels</w:t>
      </w:r>
      <w:r>
        <w:rPr>
          <w:rFonts w:ascii="Times New Roman" w:hAnsi="Times New Roman"/>
          <w:noProof/>
        </w:rPr>
        <w:t>, chaque fois qu’un soutien de l’UE ou des États membres sera fourni, ainsi que le succès de la mise en œuvre des projets planifiés, annoncés ou en attente. L’ancrage d’un plus grand nombre d’étapes de la chaîne de valeur des batteries en Europe permettra non seulement de réduire l’exposition de l’industrie européenne des batteries aux risques géopolitiques, mais aussi de veiller à ce que les fonds publics soient utilisés pour créer une résilience industrielle européenne et une compétitivité durable. Lesdites exigences peuvent également avoir une incidence positive sur l’extraction et la transformation des matières premières critiques, domaines dans lesquels il est essentiel de créer une demande forte et prévisible pour réduire les risques d’investissement.</w:t>
      </w:r>
    </w:p>
    <w:p w14:paraId="6CD088A7" w14:textId="71F4043B" w:rsidR="00457CA5" w:rsidRDefault="00E64BDA" w:rsidP="00457CA5">
      <w:pPr>
        <w:jc w:val="both"/>
        <w:rPr>
          <w:rFonts w:ascii="Times New Roman" w:hAnsi="Times New Roman" w:cs="Times New Roman"/>
          <w:noProof/>
        </w:rPr>
      </w:pPr>
      <w:r>
        <w:rPr>
          <w:rFonts w:ascii="Times New Roman" w:hAnsi="Times New Roman"/>
          <w:noProof/>
        </w:rPr>
        <w:t>La Commission examinera également comment la production, en Europe, de drones destinés à l’industrie de la défense peut davantage contribuer à réduire les risques liés au processus d’intensification de la chaîne de valeur des batteries.</w:t>
      </w:r>
    </w:p>
    <w:p w14:paraId="1DB8B147" w14:textId="1690C7D4" w:rsidR="001C22D9" w:rsidRPr="00F63B99" w:rsidRDefault="001C22D9" w:rsidP="37C99B08">
      <w:pPr>
        <w:jc w:val="both"/>
        <w:rPr>
          <w:rFonts w:ascii="Times New Roman" w:hAnsi="Times New Roman" w:cs="Times New Roman"/>
          <w:noProof/>
        </w:rPr>
      </w:pPr>
      <w:r>
        <w:rPr>
          <w:rFonts w:ascii="Times New Roman" w:hAnsi="Times New Roman"/>
          <w:noProof/>
        </w:rPr>
        <w:t xml:space="preserve">Cela viendra compléter les exigences déjà applicables en vertu du règlement pour une industrie «zéro net», qui impose aux États membres d’inclure des </w:t>
      </w:r>
      <w:r>
        <w:rPr>
          <w:rFonts w:ascii="Times New Roman" w:hAnsi="Times New Roman"/>
          <w:b/>
          <w:noProof/>
        </w:rPr>
        <w:t>critères de résilience dans tous les régimes de subventions nouveaux ou actualisés en faveur des véhicules électriques</w:t>
      </w:r>
      <w:r>
        <w:rPr>
          <w:rFonts w:ascii="Times New Roman" w:hAnsi="Times New Roman"/>
          <w:noProof/>
        </w:rPr>
        <w:t xml:space="preserve"> à partir de janvier 2026. La Commission publie aujourd’hui une communication dans laquelle elle fournit des orientations sur la manière dont ces dispositions devraient être mises en œuvre dans la pratique.</w:t>
      </w:r>
    </w:p>
    <w:p w14:paraId="359DC6E5" w14:textId="4B4EC331" w:rsidR="00A32F95" w:rsidRPr="00D47170" w:rsidRDefault="00153FFF" w:rsidP="37C99B08">
      <w:pPr>
        <w:jc w:val="both"/>
        <w:rPr>
          <w:rFonts w:ascii="Times New Roman" w:hAnsi="Times New Roman"/>
          <w:noProof/>
        </w:rPr>
      </w:pPr>
      <w:r>
        <w:rPr>
          <w:rFonts w:ascii="Times New Roman" w:hAnsi="Times New Roman"/>
          <w:noProof/>
        </w:rPr>
        <w:t xml:space="preserve">Parallèlement, les travaux en cours pour mettre en œuvre le règlement sur les batteries progressent afin de </w:t>
      </w:r>
      <w:r>
        <w:rPr>
          <w:rFonts w:ascii="Times New Roman" w:hAnsi="Times New Roman"/>
          <w:b/>
          <w:noProof/>
        </w:rPr>
        <w:t>renforcer le marché unique européen des batteries</w:t>
      </w:r>
      <w:r>
        <w:rPr>
          <w:rFonts w:ascii="Times New Roman" w:hAnsi="Times New Roman"/>
          <w:noProof/>
        </w:rPr>
        <w:t>. Une transparence accrue et la mise à disposition de davantage d’informations au moyen de l’étiquetage, notamment des informations sur l’empreinte carbone, permettront également d’améliorer la durabilité tout au long de la chaîne de valeur.</w:t>
      </w:r>
    </w:p>
    <w:p w14:paraId="536607AE" w14:textId="2CE90BD3" w:rsidR="004066F6" w:rsidRPr="006A6E5F" w:rsidRDefault="006B3DC4" w:rsidP="004066F6">
      <w:pPr>
        <w:spacing w:line="257" w:lineRule="auto"/>
        <w:jc w:val="both"/>
        <w:rPr>
          <w:rFonts w:ascii="Times New Roman" w:hAnsi="Times New Roman" w:cs="Times New Roman"/>
          <w:noProof/>
        </w:rPr>
      </w:pPr>
      <w:r>
        <w:rPr>
          <w:rFonts w:ascii="Times New Roman" w:hAnsi="Times New Roman"/>
          <w:noProof/>
        </w:rPr>
        <w:t>Il convient de poursuivre la mise en place d’initiatives et le développement de technologies afin de répondre aux besoins réels des conducteurs, en évitant les surdimensionnements inutiles, et de faciliter et réduire les coûts liés à la réparation et au recyclage, par exemple au moyen de la normalisation.</w:t>
      </w:r>
    </w:p>
    <w:p w14:paraId="2AEDD110" w14:textId="77777777" w:rsidR="004D53E7" w:rsidRPr="006A6E5F" w:rsidRDefault="004D53E7" w:rsidP="004066F6">
      <w:pPr>
        <w:spacing w:line="257" w:lineRule="auto"/>
        <w:jc w:val="both"/>
        <w:rPr>
          <w:rFonts w:ascii="Times New Roman" w:hAnsi="Times New Roman" w:cs="Times New Roman"/>
          <w:noProof/>
        </w:rPr>
      </w:pPr>
    </w:p>
    <w:p w14:paraId="0836CA06" w14:textId="27A30AF7" w:rsidR="00443EF9" w:rsidRDefault="441E558A" w:rsidP="37E484A6">
      <w:pPr>
        <w:spacing w:line="257" w:lineRule="auto"/>
        <w:jc w:val="both"/>
        <w:rPr>
          <w:rFonts w:ascii="Times New Roman" w:hAnsi="Times New Roman" w:cs="Times New Roman"/>
          <w:noProof/>
        </w:rPr>
      </w:pPr>
      <w:r>
        <w:rPr>
          <w:noProof/>
          <w:lang w:val="en-GB" w:eastAsia="en-GB"/>
        </w:rPr>
        <mc:AlternateContent>
          <mc:Choice Requires="wps">
            <w:drawing>
              <wp:inline distT="45720" distB="45720" distL="114300" distR="114300" wp14:anchorId="00B1A8CA" wp14:editId="59BAF1C5">
                <wp:extent cx="5763260" cy="1598798"/>
                <wp:effectExtent l="0" t="0" r="27940" b="20955"/>
                <wp:docPr id="675253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260" cy="1598798"/>
                        </a:xfrm>
                        <a:prstGeom prst="rect">
                          <a:avLst/>
                        </a:prstGeom>
                        <a:solidFill>
                          <a:srgbClr val="FFFFFF"/>
                        </a:solidFill>
                        <a:ln w="9525">
                          <a:solidFill>
                            <a:srgbClr val="000000"/>
                          </a:solidFill>
                          <a:miter lim="800000"/>
                          <a:headEnd/>
                          <a:tailEnd/>
                        </a:ln>
                      </wps:spPr>
                      <wps:txbx>
                        <w:txbxContent>
                          <w:p w14:paraId="78E659D9" w14:textId="67EA901F" w:rsidR="00FE2D6E" w:rsidRPr="00CE644C" w:rsidRDefault="00FE2D6E" w:rsidP="00FE2D6E">
                            <w:pPr>
                              <w:jc w:val="both"/>
                              <w:rPr>
                                <w:rFonts w:ascii="Times New Roman" w:hAnsi="Times New Roman" w:cs="Times New Roman"/>
                                <w:b/>
                                <w:bCs/>
                              </w:rPr>
                            </w:pPr>
                            <w:r>
                              <w:rPr>
                                <w:rFonts w:ascii="Times New Roman" w:hAnsi="Times New Roman"/>
                                <w:b/>
                              </w:rPr>
                              <w:t>Actions phares</w:t>
                            </w:r>
                          </w:p>
                          <w:p w14:paraId="3811CC79" w14:textId="0B92B805" w:rsidR="00FE2D6E" w:rsidRDefault="0063151D" w:rsidP="008D7E21">
                            <w:pPr>
                              <w:pStyle w:val="ListParagraph"/>
                              <w:numPr>
                                <w:ilvl w:val="0"/>
                                <w:numId w:val="25"/>
                              </w:numPr>
                              <w:jc w:val="both"/>
                              <w:rPr>
                                <w:rFonts w:ascii="Times New Roman" w:hAnsi="Times New Roman" w:cs="Times New Roman"/>
                              </w:rPr>
                            </w:pPr>
                            <w:r>
                              <w:rPr>
                                <w:rFonts w:ascii="Times New Roman" w:hAnsi="Times New Roman"/>
                              </w:rPr>
                              <w:t xml:space="preserve">Dans le cadre de l’IAA, proposer de nouvelles exigences en matière de contenu originaire de l’UE en ce qui concerne les batteries de véhicules électriques et les systèmes de stockage d’énergie par batterie. </w:t>
                            </w:r>
                          </w:p>
                          <w:p w14:paraId="6A69AF43" w14:textId="77777777" w:rsidR="008D7E21" w:rsidRPr="00517A6D" w:rsidRDefault="008D7E21" w:rsidP="00517A6D">
                            <w:pPr>
                              <w:pStyle w:val="ListParagraph"/>
                              <w:jc w:val="both"/>
                              <w:rPr>
                                <w:rFonts w:ascii="Times New Roman" w:hAnsi="Times New Roman" w:cs="Times New Roman"/>
                              </w:rPr>
                            </w:pPr>
                          </w:p>
                          <w:p w14:paraId="7F0B4A97" w14:textId="3F7B64C4" w:rsidR="00E82438" w:rsidRDefault="00E82438" w:rsidP="008D7E21">
                            <w:pPr>
                              <w:pStyle w:val="ListParagraph"/>
                              <w:numPr>
                                <w:ilvl w:val="0"/>
                                <w:numId w:val="25"/>
                              </w:numPr>
                              <w:jc w:val="both"/>
                              <w:rPr>
                                <w:rFonts w:ascii="Times New Roman" w:hAnsi="Times New Roman" w:cs="Times New Roman"/>
                              </w:rPr>
                            </w:pPr>
                            <w:r>
                              <w:rPr>
                                <w:rFonts w:ascii="Times New Roman" w:hAnsi="Times New Roman"/>
                              </w:rPr>
                              <w:t>Conformément à l’article 28 du règlement pour une industrie «zéro net», les régimes d’aide aux véhicules électriques créés ou mis à jour à partir du 1</w:t>
                            </w:r>
                            <w:r>
                              <w:rPr>
                                <w:rFonts w:ascii="Times New Roman" w:hAnsi="Times New Roman"/>
                                <w:vertAlign w:val="superscript"/>
                              </w:rPr>
                              <w:t>er</w:t>
                            </w:r>
                            <w:r>
                              <w:rPr>
                                <w:rFonts w:ascii="Times New Roman" w:hAnsi="Times New Roman"/>
                              </w:rPr>
                              <w:t> janvier 2026 devraient promouvoir l’achat de véhicules à émissions nulles équipés d’un système de propulsion électrique dont les composants – y compris l’assemblage-batteries – proviennent de sources d’approvisionnement diversifiées. Cela contribuera à réduire la dépendance de l’UE à l’égard des véhicules et des batteries chinois.</w:t>
                            </w:r>
                          </w:p>
                          <w:p w14:paraId="3426639C" w14:textId="6CFAEB79" w:rsidR="000311A6" w:rsidRPr="007611E8" w:rsidRDefault="000311A6" w:rsidP="004D53E7">
                            <w:pPr>
                              <w:jc w:val="both"/>
                              <w:rPr>
                                <w:highlight w:val="yellow"/>
                              </w:rPr>
                            </w:pPr>
                          </w:p>
                        </w:txbxContent>
                      </wps:txbx>
                      <wps:bodyPr rot="0" vert="horz" wrap="square" lIns="91440" tIns="45720" rIns="91440" bIns="45720" anchor="t" anchorCtr="0">
                        <a:noAutofit/>
                      </wps:bodyPr>
                    </wps:wsp>
                  </a:graphicData>
                </a:graphic>
              </wp:inline>
            </w:drawing>
          </mc:Choice>
          <mc:Fallback>
            <w:pict>
              <v:shape w14:anchorId="00B1A8CA" id="_x0000_s1029" type="#_x0000_t202" style="width:453.8pt;height:12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">
                <v:textbox>
                  <w:txbxContent>
                    <w:p w14:paraId="78E659D9" w14:textId="67EA901F" w:rsidR="00FE2D6E" w:rsidRPr="00CE644C" w:rsidRDefault="00FE2D6E" w:rsidP="00FE2D6E">
                      <w:pPr>
                        <w:jc w:val="both"/>
                        <w:rPr>
                          <w:rFonts w:ascii="Times New Roman" w:hAnsi="Times New Roman" w:cs="Times New Roman"/>
                          <w:b/>
                          <w:bCs/>
                        </w:rPr>
                      </w:pPr>
                      <w:r>
                        <w:rPr>
                          <w:rFonts w:ascii="Times New Roman" w:hAnsi="Times New Roman"/>
                          <w:b/>
                        </w:rPr>
                        <w:t>Actions phares</w:t>
                      </w:r>
                    </w:p>
                    <w:p w14:paraId="3811CC79" w14:textId="0B92B805" w:rsidR="00FE2D6E" w:rsidRDefault="0063151D" w:rsidP="008D7E21">
                      <w:pPr>
                        <w:pStyle w:val="ListParagraph"/>
                        <w:numPr>
                          <w:ilvl w:val="0"/>
                          <w:numId w:val="25"/>
                        </w:numPr>
                        <w:jc w:val="both"/>
                        <w:rPr>
                          <w:rFonts w:ascii="Times New Roman" w:hAnsi="Times New Roman" w:cs="Times New Roman"/>
                        </w:rPr>
                      </w:pPr>
                      <w:r>
                        <w:rPr>
                          <w:rFonts w:ascii="Times New Roman" w:hAnsi="Times New Roman"/>
                        </w:rPr>
                        <w:t xml:space="preserve">Dans le cadre de l’IAA, proposer de nouvelles exigences en matière de contenu originaire de l’UE en ce qui concerne les batteries de véhicules électriques et les systèmes de stockage d’énergie par batterie. </w:t>
                      </w:r>
                    </w:p>
                    <w:p w14:paraId="6A69AF43" w14:textId="77777777" w:rsidR="008D7E21" w:rsidRPr="00517A6D" w:rsidRDefault="008D7E21" w:rsidP="00517A6D">
                      <w:pPr>
                        <w:pStyle w:val="ListParagraph"/>
                        <w:jc w:val="both"/>
                        <w:rPr>
                          <w:rFonts w:ascii="Times New Roman" w:hAnsi="Times New Roman" w:cs="Times New Roman"/>
                        </w:rPr>
                      </w:pPr>
                    </w:p>
                    <w:p w14:paraId="7F0B4A97" w14:textId="3F7B64C4" w:rsidR="00E82438" w:rsidRDefault="00E82438" w:rsidP="008D7E21">
                      <w:pPr>
                        <w:pStyle w:val="ListParagraph"/>
                        <w:numPr>
                          <w:ilvl w:val="0"/>
                          <w:numId w:val="25"/>
                        </w:numPr>
                        <w:jc w:val="both"/>
                        <w:rPr>
                          <w:rFonts w:ascii="Times New Roman" w:hAnsi="Times New Roman" w:cs="Times New Roman"/>
                        </w:rPr>
                      </w:pPr>
                      <w:r>
                        <w:rPr>
                          <w:rFonts w:ascii="Times New Roman" w:hAnsi="Times New Roman"/>
                        </w:rPr>
                        <w:t>Conformément à l’article 28 du règlement pour une industrie «zéro net», les régimes d’aide aux véhicules électriques créés ou mis à jour à partir du 1</w:t>
                      </w:r>
                      <w:r>
                        <w:rPr>
                          <w:rFonts w:ascii="Times New Roman" w:hAnsi="Times New Roman"/>
                          <w:vertAlign w:val="superscript"/>
                        </w:rPr>
                        <w:t>er</w:t>
                      </w:r>
                      <w:r>
                        <w:rPr>
                          <w:rFonts w:ascii="Times New Roman" w:hAnsi="Times New Roman"/>
                        </w:rPr>
                        <w:t> janvier 2026 devraient promouvoir l’achat de véhicules à émissions nulles équipés d’un système de propulsion électrique dont les composants – y compris l’assemblage-batteries – proviennent de sources d’approvisionnement diversifiées. Cela contribuera à réduire la dépendance de l’UE à l’égard des véhicules et des batteries chinois.</w:t>
                      </w:r>
                    </w:p>
                    <w:p w14:paraId="3426639C" w14:textId="6CFAEB79" w:rsidR="000311A6" w:rsidRPr="007611E8" w:rsidRDefault="000311A6" w:rsidP="004D53E7">
                      <w:pPr>
                        <w:jc w:val="both"/>
                        <w:rPr>
                          <w:highlight w:val="yellow"/>
                        </w:rPr>
                      </w:pPr>
                    </w:p>
                  </w:txbxContent>
                </v:textbox>
                <w10:anchorlock/>
              </v:shape>
            </w:pict>
          </mc:Fallback>
        </mc:AlternateContent>
      </w:r>
    </w:p>
    <w:p w14:paraId="2CF910C7" w14:textId="190EB668" w:rsidR="74890145" w:rsidRDefault="74890145" w:rsidP="74890145">
      <w:pPr>
        <w:spacing w:line="257" w:lineRule="auto"/>
        <w:jc w:val="both"/>
        <w:rPr>
          <w:rFonts w:ascii="Times New Roman" w:hAnsi="Times New Roman" w:cs="Times New Roman"/>
          <w:i/>
          <w:iCs/>
          <w:noProof/>
        </w:rPr>
      </w:pPr>
    </w:p>
    <w:p w14:paraId="24879481" w14:textId="531A3C40" w:rsidR="6F353024" w:rsidRPr="005952E6" w:rsidRDefault="6F353024" w:rsidP="00763AFC">
      <w:pPr>
        <w:rPr>
          <w:rFonts w:ascii="Times New Roman" w:hAnsi="Times New Roman" w:cs="Times New Roman"/>
          <w:noProof/>
        </w:rPr>
      </w:pPr>
      <w:r>
        <w:rPr>
          <w:rFonts w:ascii="Times New Roman" w:hAnsi="Times New Roman"/>
          <w:b/>
          <w:i/>
          <w:noProof/>
        </w:rPr>
        <w:t xml:space="preserve">Pilier V: stimuler la recherche, l’innovation et le développement des compétences pour la chaîne de valeur des batteries de l’Union </w:t>
      </w:r>
    </w:p>
    <w:p w14:paraId="39A27167" w14:textId="30863D17" w:rsidR="6F353024" w:rsidRPr="005952E6" w:rsidRDefault="00E00EC8" w:rsidP="004066F6">
      <w:pPr>
        <w:spacing w:line="257" w:lineRule="auto"/>
        <w:jc w:val="both"/>
        <w:rPr>
          <w:rFonts w:ascii="Times New Roman" w:hAnsi="Times New Roman" w:cs="Times New Roman"/>
          <w:noProof/>
        </w:rPr>
      </w:pPr>
      <w:r>
        <w:rPr>
          <w:rFonts w:ascii="Times New Roman" w:hAnsi="Times New Roman"/>
          <w:b/>
          <w:noProof/>
        </w:rPr>
        <w:t xml:space="preserve">L’industrie des batteries reste une industrie naissante qui recèle un énorme potentiel d’innovation et de croissance. </w:t>
      </w:r>
      <w:r>
        <w:rPr>
          <w:rFonts w:ascii="Times New Roman" w:hAnsi="Times New Roman"/>
          <w:noProof/>
        </w:rPr>
        <w:t xml:space="preserve">L’UE doit veiller à ce que son écosystème des batteries se développe, suive le rythme des progrès technologiques mondiaux et reste à l’avant-garde dans le domaine de la technologie des batteries. Pour rester compétitive tant dans la production de batteries que dans le développement technologique, l’UE doit investir davantage dans la recherche et le développement (R&amp;D) afin de mettre au point de nouvelles technologies de batteries, d’améliorer le recyclage des batteries et de combler les lacunes critiques dans la chaîne de valeur. </w:t>
      </w:r>
    </w:p>
    <w:p w14:paraId="02D6C749" w14:textId="6E4E11B6" w:rsidR="6F353024" w:rsidRPr="005952E6" w:rsidRDefault="6F353024" w:rsidP="004066F6">
      <w:pPr>
        <w:spacing w:line="257" w:lineRule="auto"/>
        <w:jc w:val="both"/>
        <w:rPr>
          <w:rFonts w:ascii="Times New Roman" w:hAnsi="Times New Roman" w:cs="Times New Roman"/>
          <w:noProof/>
        </w:rPr>
      </w:pPr>
      <w:r>
        <w:rPr>
          <w:rFonts w:ascii="Times New Roman" w:hAnsi="Times New Roman"/>
          <w:noProof/>
        </w:rPr>
        <w:t xml:space="preserve">Cette démarche n’est pas nouvelle: </w:t>
      </w:r>
      <w:r>
        <w:rPr>
          <w:rFonts w:ascii="Times New Roman" w:hAnsi="Times New Roman"/>
          <w:b/>
          <w:noProof/>
        </w:rPr>
        <w:t>l’UE développe et renforce son écosystème de R&amp;D en matière de batteries depuis de nombreuses années, mais elle doit à présent accélérer et développer cet écosystème.</w:t>
      </w:r>
      <w:r>
        <w:rPr>
          <w:rFonts w:ascii="Times New Roman" w:hAnsi="Times New Roman"/>
          <w:noProof/>
        </w:rPr>
        <w:t xml:space="preserve"> Au cours de la période 2021-2027, l’UE entend débloquer jusqu’à 925 millions d’EUR pour soutenir le partenariat Batt4EU d’Horizon Europe. Cette initiative stratégique</w:t>
      </w:r>
      <w:r>
        <w:rPr>
          <w:rFonts w:ascii="Times New Roman" w:hAnsi="Times New Roman"/>
          <w:noProof/>
          <w:sz w:val="24"/>
        </w:rPr>
        <w:t xml:space="preserve"> </w:t>
      </w:r>
      <w:r>
        <w:rPr>
          <w:rFonts w:ascii="Times New Roman" w:hAnsi="Times New Roman"/>
          <w:noProof/>
        </w:rPr>
        <w:t>sous-tend le développement de technologies différenciatrices dans le domaine des matériaux pour batteries, de la conception et de la fabrication des cellules et du recyclage des batteries, en tirant parti des synergies entre les applications pour batteries dans le domaine des transports et du stockage d’électricité. Entre 2025 et 2027, ledit partenariat soutiendra des projets de recherche et d’innovation (R&amp;I) tout au long de la chaîne de valeur, pour une valeur totale de 382 millions d’EUR. Le partenariat de spécialisation intelligente sur les matériaux avancés pour batteries destinées à l’électromobilité et au stockage stationnaire de l’énergie permet aux régions d’aligner leurs priorités en matière d’innovation et de collaborer dans le cadre de tels projets</w:t>
      </w:r>
      <w:r>
        <w:rPr>
          <w:rStyle w:val="FootnoteReference"/>
          <w:rFonts w:ascii="Times New Roman" w:eastAsia="Aptos" w:hAnsi="Times New Roman" w:cs="Times New Roman"/>
          <w:noProof/>
        </w:rPr>
        <w:footnoteReference w:id="7"/>
      </w:r>
      <w:r>
        <w:rPr>
          <w:noProof/>
        </w:rPr>
        <w:t>.</w:t>
      </w:r>
      <w:r>
        <w:rPr>
          <w:rFonts w:ascii="Times New Roman" w:hAnsi="Times New Roman"/>
          <w:noProof/>
        </w:rPr>
        <w:t xml:space="preserve"> En outre, en septembre 2025, les parties prenantes du partenariat Batt4EU et des deux autres partenariats d’Horizon Europe pertinents pour le secteur automobile (2Zero et CCAM) ont signé un protocole d’accord avec la Commission européenne afin d’aligner les priorités stratégiques dans le but de stimuler la compétitivité de l’industrie automobile de l’UE et d’élaborer un programme stratégique commun de recherche et d’innovation. Dans le même temps, la Commission étudiera d’autres possibilités de financer des activités de recherche et d’innovation visant à améliorer les technologies de cellules de batterie. En outre, au moyen d’un appel à propositions spécifique au titre du programme de financement de l’Accélérateur, qui sera lancé en 2026, le CEI financera les start-up et les PME qui développent des matériaux avancés pour le stockage de l’énergie. </w:t>
      </w:r>
    </w:p>
    <w:p w14:paraId="2ED02274" w14:textId="7089789F" w:rsidR="0042367E" w:rsidRDefault="0042367E" w:rsidP="008F0D01">
      <w:pPr>
        <w:spacing w:line="257" w:lineRule="auto"/>
        <w:jc w:val="both"/>
        <w:rPr>
          <w:rFonts w:ascii="Times New Roman" w:eastAsia="Aptos" w:hAnsi="Times New Roman" w:cs="Times New Roman"/>
          <w:noProof/>
        </w:rPr>
      </w:pPr>
      <w:r>
        <w:rPr>
          <w:rFonts w:ascii="Times New Roman" w:hAnsi="Times New Roman"/>
          <w:b/>
          <w:noProof/>
        </w:rPr>
        <w:t>À l’avenir, l’alignement et la défragmentation des initiatives de recherche publiques et privées</w:t>
      </w:r>
      <w:r>
        <w:rPr>
          <w:rFonts w:ascii="Times New Roman" w:hAnsi="Times New Roman"/>
          <w:noProof/>
        </w:rPr>
        <w:t xml:space="preserve"> constitueront un facteur clé de réussite pour une chaîne de valeur des batteries de l’Union compétitive. Dans le cadre du plan stratégique européen pour les technologies énergétiques (SET) remanié, désormais ancré dans le règlement pour une industrie «zéro net», le groupe de travail sur la mise en œuvre des technologies des batteries (dirigé par les États membres et la Commission européenne et soutenu par le secteur privé et le monde universitaire) présentera un plan commun d’investissement et de mise en œuvre en 2026. </w:t>
      </w:r>
    </w:p>
    <w:p w14:paraId="316C20E0" w14:textId="05B75A16" w:rsidR="008319D4" w:rsidRDefault="6F353024" w:rsidP="008F0D01">
      <w:pPr>
        <w:spacing w:line="257" w:lineRule="auto"/>
        <w:jc w:val="both"/>
        <w:rPr>
          <w:rFonts w:ascii="Times New Roman" w:eastAsia="Aptos" w:hAnsi="Times New Roman" w:cs="Times New Roman"/>
          <w:noProof/>
        </w:rPr>
      </w:pPr>
      <w:r>
        <w:rPr>
          <w:rFonts w:ascii="Times New Roman" w:hAnsi="Times New Roman"/>
          <w:noProof/>
        </w:rPr>
        <w:t xml:space="preserve">Ce plan recensera les ressources disponibles et définira les engagements pris par les États membres et les parties prenantes en matière de mise en œuvre et d’investissement afin de répondre aux priorités et aux objectifs communs des secteurs public et privé dans le domaine de la R&amp;I. Il sera axé sur les caractéristiques chimiques des batteries à haute performance de nouvelle génération, y compris celles utilisées dans les applications militaires, tout en cherchant à remédier aux problèmes des lignes de production à faible volume dans le cadre des premiers accords d’achat. Ce plan jettera les bases d’une nouvelle programmation coordonnée dans le domaine de la R&amp;I qui, s’appuyant sur les initiatives financées au titre du pilier II de la présente stratégie, sera conçue pour stimuler la compétitivité dans les technologies de batteries afin d’améliorer le processus de fabrication et de recyclage des batteries et de développer des machines fabriquées dans l’UE destinées à la production de batteries, à de nouveaux concepts de batteries et à de nouveaux matériaux pour batteries utilisés dans toutes les applications. Cela soutiendra les travaux menés dans le cadre de l’outil de coordination de la compétitivité (pilier VI).  </w:t>
      </w:r>
    </w:p>
    <w:p w14:paraId="7E94AD0A" w14:textId="3C0197E4" w:rsidR="00DB63D0" w:rsidRDefault="009F735B" w:rsidP="008F0D01">
      <w:pPr>
        <w:spacing w:line="257" w:lineRule="auto"/>
        <w:jc w:val="both"/>
        <w:rPr>
          <w:rFonts w:ascii="Times New Roman" w:eastAsia="Aptos" w:hAnsi="Times New Roman" w:cs="Times New Roman"/>
          <w:noProof/>
        </w:rPr>
      </w:pPr>
      <w:r>
        <w:rPr>
          <w:rFonts w:ascii="Times New Roman" w:hAnsi="Times New Roman"/>
          <w:noProof/>
        </w:rPr>
        <w:t>Compte tenu de l’évolution rapide des technologies, il importe également de veiller à ce que le secteur des batteries dispose d’une main-d’œuvre possédant les compétences appropriées, ce qui suppose de se concentrer en permanence sur le développement des compétences ainsi que sur le perfectionnement et la reconversion professionnels. L’observatoire de veille stratégique sur les besoins en compétences, établi dans le cadre de l’union des compétences, jouera un rôle clé dans l’identification des besoins en compétences et le suivi continu de la demande. Il contribuera au processus du Semestre européen, ce qui permettra de renforcer l’attention des décideurs politiques et de mobiliser les financements nécessaires. En raison de l’évolution croissante du secteur, l’ajustement de l’offre de compétences à la demande nécessitera des investissements provenant à la fois de sources publiques (fonds de l’UE, projets soutenus par l’UE) et privées, disponibles sur une période stable.</w:t>
      </w:r>
    </w:p>
    <w:p w14:paraId="2D357E2C" w14:textId="5D670BD1" w:rsidR="00B71BCC" w:rsidRDefault="00A63B76" w:rsidP="008F0D01">
      <w:pPr>
        <w:spacing w:line="257" w:lineRule="auto"/>
        <w:jc w:val="both"/>
        <w:rPr>
          <w:rFonts w:ascii="Times New Roman" w:eastAsia="Aptos" w:hAnsi="Times New Roman" w:cs="Times New Roman"/>
          <w:noProof/>
        </w:rPr>
      </w:pPr>
      <w:r>
        <w:rPr>
          <w:rFonts w:ascii="Times New Roman" w:hAnsi="Times New Roman"/>
          <w:noProof/>
          <w:color w:val="000000" w:themeColor="text1"/>
        </w:rPr>
        <w:t>Pour renforcer la capacité de production de batteries de l’UE, il est nécessaire de disposer d’une importante main-d’œuvre qualifiée. D’autres actions devraient s’appuyer sur les enseignements tirés des académies de l’industrie «zéro net», notamment l’Académie européenne de l’alliance pour les batteries. Par l’intermédiaire de ces académies, la Commission soutient l’éducation et la formation relative au perfectionnement et à la reconversion professionnels dans le domaine des batteries dans l’ensemble de l’UE. Cela nécessite la mobilisation d’acteurs européens, qu’il s’agisse d’acteurs du secteur, d’autorités des États membres (y compris aux niveaux régional et local) ou de prestataires d’enseignement et de formation et de partenaires sociaux.</w:t>
      </w:r>
    </w:p>
    <w:p w14:paraId="59F0E600" w14:textId="242CD0FC" w:rsidR="00B875D2" w:rsidRPr="00B875D2" w:rsidRDefault="00B875D2" w:rsidP="004066F6">
      <w:pPr>
        <w:spacing w:line="257" w:lineRule="auto"/>
        <w:jc w:val="both"/>
        <w:rPr>
          <w:rFonts w:ascii="Times New Roman" w:eastAsia="Aptos" w:hAnsi="Times New Roman" w:cs="Times New Roman"/>
          <w:noProof/>
        </w:rPr>
      </w:pPr>
      <w:r>
        <w:rPr>
          <w:rFonts w:ascii="Times New Roman" w:hAnsi="Times New Roman"/>
          <w:noProof/>
        </w:rPr>
        <w:t xml:space="preserve">La Commission étudiera également d’autres moyens pratiques de soutenir l’innovation européenne en matière de fabrication de batteries, en tenant compte des cadres et outils existants. Il peut s’agir notamment de fournir, si nécessaire, des orientations sur les possibilités d’une coopération plus étroite entre les acteurs de l’industrie des batteries afin de travailler conjointement sur de nouveaux projets de R&amp;I.   </w:t>
      </w:r>
    </w:p>
    <w:p w14:paraId="44E59FD4" w14:textId="6389EC79" w:rsidR="006336CD" w:rsidRPr="00B875D2" w:rsidRDefault="006336CD" w:rsidP="004066F6">
      <w:pPr>
        <w:spacing w:line="257" w:lineRule="auto"/>
        <w:jc w:val="both"/>
        <w:rPr>
          <w:rFonts w:ascii="Times New Roman" w:eastAsia="Aptos" w:hAnsi="Times New Roman" w:cs="Times New Roman"/>
          <w:noProof/>
        </w:rPr>
      </w:pPr>
      <w:r>
        <w:rPr>
          <w:rFonts w:ascii="Times New Roman" w:hAnsi="Times New Roman"/>
          <w:noProof/>
          <w:lang w:val="en-GB" w:eastAsia="en-GB"/>
        </w:rPr>
        <mc:AlternateContent>
          <mc:Choice Requires="wps">
            <w:drawing>
              <wp:anchor distT="45720" distB="45720" distL="114300" distR="114300" simplePos="0" relativeHeight="251658240" behindDoc="0" locked="0" layoutInCell="1" allowOverlap="1" wp14:anchorId="6C5CCD7D" wp14:editId="3D41C1D6">
                <wp:simplePos x="0" y="0"/>
                <wp:positionH relativeFrom="margin">
                  <wp:align>right</wp:align>
                </wp:positionH>
                <wp:positionV relativeFrom="paragraph">
                  <wp:posOffset>244475</wp:posOffset>
                </wp:positionV>
                <wp:extent cx="5712460" cy="1404620"/>
                <wp:effectExtent l="0" t="0" r="21590" b="27940"/>
                <wp:wrapSquare wrapText="bothSides"/>
                <wp:docPr id="490283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1404620"/>
                        </a:xfrm>
                        <a:prstGeom prst="rect">
                          <a:avLst/>
                        </a:prstGeom>
                        <a:solidFill>
                          <a:srgbClr val="FFFFFF"/>
                        </a:solidFill>
                        <a:ln w="9525">
                          <a:solidFill>
                            <a:srgbClr val="000000"/>
                          </a:solidFill>
                          <a:miter lim="800000"/>
                          <a:headEnd/>
                          <a:tailEnd/>
                        </a:ln>
                      </wps:spPr>
                      <wps:txbx>
                        <w:txbxContent>
                          <w:p w14:paraId="4EF901CD" w14:textId="39E22350" w:rsidR="00BE5F84" w:rsidRPr="009124D3" w:rsidRDefault="00BE5F84" w:rsidP="00BE5F84">
                            <w:pPr>
                              <w:jc w:val="both"/>
                              <w:rPr>
                                <w:rFonts w:ascii="Times New Roman" w:hAnsi="Times New Roman" w:cs="Times New Roman"/>
                                <w:b/>
                                <w:bCs/>
                              </w:rPr>
                            </w:pPr>
                            <w:r>
                              <w:rPr>
                                <w:rFonts w:ascii="Times New Roman" w:hAnsi="Times New Roman"/>
                                <w:b/>
                              </w:rPr>
                              <w:t>Actions phares</w:t>
                            </w:r>
                          </w:p>
                          <w:p w14:paraId="41C70305" w14:textId="27353EE4" w:rsidR="00BE5F84" w:rsidRDefault="00BE7D70" w:rsidP="0061338A">
                            <w:pPr>
                              <w:pStyle w:val="ListParagraph"/>
                              <w:numPr>
                                <w:ilvl w:val="0"/>
                                <w:numId w:val="26"/>
                              </w:numPr>
                              <w:jc w:val="both"/>
                              <w:rPr>
                                <w:rFonts w:ascii="Times New Roman" w:eastAsia="Aptos" w:hAnsi="Times New Roman" w:cs="Times New Roman"/>
                              </w:rPr>
                            </w:pPr>
                            <w:r>
                              <w:rPr>
                                <w:rFonts w:ascii="Times New Roman" w:hAnsi="Times New Roman"/>
                              </w:rPr>
                              <w:t xml:space="preserve">Soutenir, dans le cadre d’Horizon Europe, le développement de nouveaux concepts de batteries, de nouveaux matériaux pour batteries, de nouvelles technologies de fabrication de cellules et d’une chaîne de valeur européenne complète des batteries. </w:t>
                            </w:r>
                          </w:p>
                          <w:p w14:paraId="09506621" w14:textId="77777777" w:rsidR="0061338A" w:rsidRPr="00517A6D" w:rsidRDefault="0061338A" w:rsidP="00517A6D">
                            <w:pPr>
                              <w:pStyle w:val="ListParagraph"/>
                              <w:jc w:val="both"/>
                              <w:rPr>
                                <w:rFonts w:ascii="Times New Roman" w:eastAsia="Aptos" w:hAnsi="Times New Roman" w:cs="Times New Roman"/>
                              </w:rPr>
                            </w:pPr>
                          </w:p>
                          <w:p w14:paraId="0ACB9FBA" w14:textId="41D8DD53" w:rsidR="00BE5F84" w:rsidRPr="00517A6D" w:rsidRDefault="00BE5F84" w:rsidP="00517A6D">
                            <w:pPr>
                              <w:pStyle w:val="ListParagraph"/>
                              <w:numPr>
                                <w:ilvl w:val="0"/>
                                <w:numId w:val="26"/>
                              </w:numPr>
                              <w:jc w:val="both"/>
                              <w:rPr>
                                <w:rFonts w:ascii="Times New Roman" w:hAnsi="Times New Roman" w:cs="Times New Roman"/>
                                <w:i/>
                                <w:iCs/>
                              </w:rPr>
                            </w:pPr>
                            <w:r>
                              <w:rPr>
                                <w:rFonts w:ascii="Times New Roman" w:hAnsi="Times New Roman"/>
                              </w:rPr>
                              <w:t>Intégrer les programmes de R&amp;I connexes des États membres et mieux aligner ces derniers sur la R&amp;I européenne au moyen du plan SET.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5CCD7D" id="_x0000_s1030" type="#_x0000_t202" style="position:absolute;left:0;text-align:left;margin-left:398.6pt;margin-top:19.25pt;width:449.8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">
                <v:textbox style="mso-fit-shape-to-text:t">
                  <w:txbxContent>
                    <w:p w14:paraId="4EF901CD" w14:textId="39E22350" w:rsidR="00BE5F84" w:rsidRPr="009124D3" w:rsidRDefault="00BE5F84" w:rsidP="00BE5F84">
                      <w:pPr>
                        <w:jc w:val="both"/>
                        <w:rPr>
                          <w:rFonts w:ascii="Times New Roman" w:hAnsi="Times New Roman" w:cs="Times New Roman"/>
                          <w:b/>
                          <w:bCs/>
                        </w:rPr>
                      </w:pPr>
                      <w:r>
                        <w:rPr>
                          <w:rFonts w:ascii="Times New Roman" w:hAnsi="Times New Roman"/>
                          <w:b/>
                        </w:rPr>
                        <w:t>Actions phares</w:t>
                      </w:r>
                    </w:p>
                    <w:p w14:paraId="41C70305" w14:textId="27353EE4" w:rsidR="00BE5F84" w:rsidRDefault="00BE7D70" w:rsidP="0061338A">
                      <w:pPr>
                        <w:pStyle w:val="ListParagraph"/>
                        <w:numPr>
                          <w:ilvl w:val="0"/>
                          <w:numId w:val="26"/>
                        </w:numPr>
                        <w:jc w:val="both"/>
                        <w:rPr>
                          <w:rFonts w:ascii="Times New Roman" w:eastAsia="Aptos" w:hAnsi="Times New Roman" w:cs="Times New Roman"/>
                        </w:rPr>
                      </w:pPr>
                      <w:r>
                        <w:rPr>
                          <w:rFonts w:ascii="Times New Roman" w:hAnsi="Times New Roman"/>
                        </w:rPr>
                        <w:t xml:space="preserve">Soutenir, dans le cadre d’Horizon Europe, le développement de nouveaux concepts de batteries, de nouveaux matériaux pour batteries, de nouvelles technologies de fabrication de cellules et d’une chaîne de valeur européenne complète des batteries. </w:t>
                      </w:r>
                    </w:p>
                    <w:p w14:paraId="09506621" w14:textId="77777777" w:rsidR="0061338A" w:rsidRPr="00517A6D" w:rsidRDefault="0061338A" w:rsidP="00517A6D">
                      <w:pPr>
                        <w:pStyle w:val="ListParagraph"/>
                        <w:jc w:val="both"/>
                        <w:rPr>
                          <w:rFonts w:ascii="Times New Roman" w:eastAsia="Aptos" w:hAnsi="Times New Roman" w:cs="Times New Roman"/>
                        </w:rPr>
                      </w:pPr>
                    </w:p>
                    <w:p w14:paraId="0ACB9FBA" w14:textId="41D8DD53" w:rsidR="00BE5F84" w:rsidRPr="00517A6D" w:rsidRDefault="00BE5F84" w:rsidP="00517A6D">
                      <w:pPr>
                        <w:pStyle w:val="ListParagraph"/>
                        <w:numPr>
                          <w:ilvl w:val="0"/>
                          <w:numId w:val="26"/>
                        </w:numPr>
                        <w:jc w:val="both"/>
                        <w:rPr>
                          <w:rFonts w:ascii="Times New Roman" w:hAnsi="Times New Roman" w:cs="Times New Roman"/>
                          <w:i/>
                          <w:iCs/>
                        </w:rPr>
                      </w:pPr>
                      <w:r>
                        <w:rPr>
                          <w:rFonts w:ascii="Times New Roman" w:hAnsi="Times New Roman"/>
                        </w:rPr>
                        <w:t>Intégrer les programmes de R&amp;I connexes des États membres et mieux aligner ces derniers sur la R&amp;I européenne au moyen du plan SET.</w:t>
                      </w:r>
                    </w:p>
                  </w:txbxContent>
                </v:textbox>
                <w10:wrap type="square" anchorx="margin"/>
              </v:shape>
            </w:pict>
          </mc:Fallback>
        </mc:AlternateContent>
      </w:r>
    </w:p>
    <w:p w14:paraId="0AA05307" w14:textId="77777777" w:rsidR="00B72F1A" w:rsidRPr="005952E6" w:rsidRDefault="00B72F1A">
      <w:pPr>
        <w:rPr>
          <w:rFonts w:ascii="Times New Roman" w:eastAsia="Aptos" w:hAnsi="Times New Roman" w:cs="Times New Roman"/>
          <w:b/>
          <w:bCs/>
          <w:noProof/>
          <w:color w:val="000000" w:themeColor="text1"/>
          <w:u w:val="single"/>
        </w:rPr>
      </w:pPr>
    </w:p>
    <w:p w14:paraId="3E8FE519" w14:textId="21FE99AB" w:rsidR="00055056" w:rsidRPr="005952E6" w:rsidRDefault="15EC761C" w:rsidP="00763AFC">
      <w:pPr>
        <w:rPr>
          <w:rFonts w:ascii="Times New Roman" w:eastAsia="Aptos" w:hAnsi="Times New Roman" w:cs="Times New Roman"/>
          <w:b/>
          <w:bCs/>
          <w:i/>
          <w:iCs/>
          <w:noProof/>
        </w:rPr>
      </w:pPr>
      <w:r>
        <w:rPr>
          <w:rFonts w:ascii="Times New Roman" w:hAnsi="Times New Roman"/>
          <w:b/>
          <w:i/>
          <w:noProof/>
        </w:rPr>
        <w:t xml:space="preserve">Pilier VI: coordonner les actions visant à maximiser l’incidence dans toute l’Europe </w:t>
      </w:r>
    </w:p>
    <w:p w14:paraId="4943B78B" w14:textId="2BA2D05E" w:rsidR="00B92A7E" w:rsidRDefault="00246440" w:rsidP="00867154">
      <w:pPr>
        <w:spacing w:line="257" w:lineRule="auto"/>
        <w:jc w:val="both"/>
        <w:rPr>
          <w:rFonts w:ascii="Times New Roman" w:eastAsia="Times New Roman" w:hAnsi="Times New Roman" w:cs="Times New Roman"/>
          <w:noProof/>
        </w:rPr>
      </w:pPr>
      <w:r>
        <w:rPr>
          <w:rFonts w:ascii="Times New Roman" w:hAnsi="Times New Roman"/>
          <w:noProof/>
          <w:color w:val="000000" w:themeColor="text1"/>
        </w:rPr>
        <w:t xml:space="preserve">La stratégie «Battery Booster» reflète </w:t>
      </w:r>
      <w:r>
        <w:rPr>
          <w:rFonts w:ascii="Times New Roman" w:hAnsi="Times New Roman"/>
          <w:b/>
          <w:noProof/>
          <w:color w:val="000000" w:themeColor="text1"/>
        </w:rPr>
        <w:t>la stratégie industrielle globale de l’Europe pour l’ensemble de la chaîne de valeur des batteries</w:t>
      </w:r>
      <w:r>
        <w:rPr>
          <w:rFonts w:ascii="Times New Roman" w:hAnsi="Times New Roman"/>
          <w:noProof/>
          <w:color w:val="000000" w:themeColor="text1"/>
        </w:rPr>
        <w:t>. Pour que l’initiative soit un succès, il convient que le soutien soit coordonné et la mise en œuvre cohérente dans l’ensemble de l’écosystème. La Commission et les États membres doivent prendre des mesures communes, aux côtés des établissements financiers et des opérateurs du marché, pour donner une impulsion cohérente et efficace.</w:t>
      </w:r>
    </w:p>
    <w:p w14:paraId="38A5C5F8" w14:textId="27DD5691" w:rsidR="00D32E85" w:rsidRPr="00DD2372" w:rsidRDefault="15EC761C" w:rsidP="00C02BAE">
      <w:pPr>
        <w:spacing w:line="257" w:lineRule="auto"/>
        <w:jc w:val="both"/>
        <w:rPr>
          <w:rFonts w:ascii="Times New Roman" w:eastAsia="Aptos" w:hAnsi="Times New Roman" w:cs="Times New Roman"/>
          <w:noProof/>
          <w:color w:val="000000" w:themeColor="text1"/>
        </w:rPr>
      </w:pPr>
      <w:r>
        <w:rPr>
          <w:rFonts w:ascii="Times New Roman" w:hAnsi="Times New Roman"/>
          <w:noProof/>
          <w:color w:val="000000" w:themeColor="text1"/>
        </w:rPr>
        <w:t xml:space="preserve">La Commission prévoit de mettre en place un </w:t>
      </w:r>
      <w:r>
        <w:rPr>
          <w:rFonts w:ascii="Times New Roman" w:hAnsi="Times New Roman"/>
          <w:b/>
          <w:noProof/>
          <w:color w:val="000000" w:themeColor="text1"/>
        </w:rPr>
        <w:t>nouvel outil de coordination de la compétitivité</w:t>
      </w:r>
      <w:r>
        <w:rPr>
          <w:rFonts w:ascii="Times New Roman" w:hAnsi="Times New Roman"/>
          <w:noProof/>
          <w:color w:val="000000" w:themeColor="text1"/>
        </w:rPr>
        <w:t>, conçu pour coordonner l’action au niveau européen avec l’action menée au niveau national, et pour assurer la cohérence entre les priorités communes des États membres en matière de compétitivité dans des domaines clés et dans des projets d’importance stratégique et d’intérêt européen commun</w:t>
      </w:r>
      <w:r>
        <w:rPr>
          <w:rStyle w:val="FootnoteReference"/>
          <w:rFonts w:ascii="Times New Roman" w:eastAsia="Aptos" w:hAnsi="Times New Roman" w:cs="Times New Roman"/>
          <w:noProof/>
          <w:color w:val="000000" w:themeColor="text1"/>
        </w:rPr>
        <w:footnoteReference w:id="8"/>
      </w:r>
      <w:r>
        <w:rPr>
          <w:rFonts w:ascii="Times New Roman" w:hAnsi="Times New Roman"/>
          <w:noProof/>
          <w:color w:val="000000" w:themeColor="text1"/>
        </w:rPr>
        <w:t>. En ce qui concerne le secteur des batteries, l’objectif premier sera d’aligner les actions prises au niveau transfrontière et à l’échelle de l’UE afin d’accroître l’incidence économique dans toute l’Europe.</w:t>
      </w:r>
    </w:p>
    <w:p w14:paraId="3821EF0E" w14:textId="10596E13" w:rsidR="001E0AD9" w:rsidRPr="007B6492" w:rsidRDefault="002F0076" w:rsidP="0091320B">
      <w:pPr>
        <w:spacing w:line="257" w:lineRule="auto"/>
        <w:jc w:val="center"/>
        <w:rPr>
          <w:rFonts w:ascii="Times New Roman" w:eastAsia="Aptos" w:hAnsi="Times New Roman" w:cs="Times New Roman"/>
          <w:bCs/>
          <w:i/>
          <w:noProof/>
        </w:rPr>
      </w:pPr>
      <w:r>
        <w:rPr>
          <w:rFonts w:ascii="Times New Roman" w:hAnsi="Times New Roman"/>
          <w:i/>
          <w:noProof/>
        </w:rPr>
        <w:t>Figure 4. Projets de l’UE liés aux batteries, d’après les annonces de l’industrie</w:t>
      </w:r>
    </w:p>
    <w:p w14:paraId="2B5010A4" w14:textId="115B9D0C" w:rsidR="00055056" w:rsidRDefault="00C54B84" w:rsidP="00B57256">
      <w:pPr>
        <w:spacing w:line="257" w:lineRule="auto"/>
        <w:jc w:val="center"/>
        <w:rPr>
          <w:rFonts w:ascii="Times New Roman" w:eastAsia="Aptos" w:hAnsi="Times New Roman" w:cs="Times New Roman"/>
          <w:b/>
          <w:i/>
          <w:noProof/>
        </w:rPr>
      </w:pPr>
      <w:r>
        <w:rPr>
          <w:rFonts w:ascii="Times New Roman" w:hAnsi="Times New Roman"/>
          <w:i/>
          <w:noProof/>
          <w:lang w:val="en-GB" w:eastAsia="en-GB"/>
        </w:rPr>
        <w:drawing>
          <wp:inline distT="0" distB="0" distL="0" distR="0" wp14:anchorId="075955B9" wp14:editId="5F71A799">
            <wp:extent cx="2768004" cy="3260615"/>
            <wp:effectExtent l="0" t="0" r="0" b="0"/>
            <wp:docPr id="386216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16824"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2771393" cy="3264608"/>
                    </a:xfrm>
                    <a:prstGeom prst="rect">
                      <a:avLst/>
                    </a:prstGeom>
                  </pic:spPr>
                </pic:pic>
              </a:graphicData>
            </a:graphic>
          </wp:inline>
        </w:drawing>
      </w:r>
    </w:p>
    <w:p w14:paraId="5E52A82F" w14:textId="77777777" w:rsidR="00B57256" w:rsidRPr="00B57256" w:rsidRDefault="00B57256" w:rsidP="00B57256">
      <w:pPr>
        <w:spacing w:line="257" w:lineRule="auto"/>
        <w:jc w:val="center"/>
        <w:rPr>
          <w:rFonts w:ascii="Times New Roman" w:eastAsia="Aptos" w:hAnsi="Times New Roman" w:cs="Times New Roman"/>
          <w:b/>
          <w:i/>
          <w:noProof/>
        </w:rPr>
      </w:pPr>
    </w:p>
    <w:p w14:paraId="3796BB54" w14:textId="2BAEE9CC" w:rsidR="15EC761C" w:rsidRPr="00BA7E79" w:rsidRDefault="15EC761C" w:rsidP="004066F6">
      <w:pPr>
        <w:spacing w:line="257" w:lineRule="auto"/>
        <w:jc w:val="both"/>
        <w:rPr>
          <w:rFonts w:ascii="Times New Roman" w:eastAsia="Aptos" w:hAnsi="Times New Roman" w:cs="Times New Roman"/>
          <w:i/>
          <w:iCs/>
          <w:noProof/>
        </w:rPr>
      </w:pPr>
      <w:r>
        <w:rPr>
          <w:rFonts w:ascii="Times New Roman" w:hAnsi="Times New Roman"/>
          <w:noProof/>
          <w:color w:val="000000" w:themeColor="text1"/>
        </w:rPr>
        <w:t>Un projet pilote du CCT sera mis en place pour le secteur des batteries afin de soutenir la bonne mise en œuvre des mesures annoncées dans le cadre de la stratégie «Battery Booster». L’objectif de ce projet pilote sera:</w:t>
      </w:r>
    </w:p>
    <w:p w14:paraId="244338DF" w14:textId="714ECA32" w:rsidR="00461F9B" w:rsidRPr="00461F9B" w:rsidRDefault="0061338A" w:rsidP="00C83954">
      <w:pPr>
        <w:pStyle w:val="ListParagraph"/>
        <w:numPr>
          <w:ilvl w:val="0"/>
          <w:numId w:val="19"/>
        </w:numPr>
        <w:jc w:val="both"/>
        <w:rPr>
          <w:rFonts w:ascii="Times New Roman" w:eastAsia="Aptos" w:hAnsi="Times New Roman" w:cs="Times New Roman"/>
          <w:noProof/>
          <w:color w:val="000000" w:themeColor="text1"/>
        </w:rPr>
      </w:pPr>
      <w:r>
        <w:rPr>
          <w:rFonts w:ascii="Times New Roman" w:hAnsi="Times New Roman"/>
          <w:b/>
          <w:noProof/>
          <w:color w:val="000000" w:themeColor="text1"/>
        </w:rPr>
        <w:t>d’échanger des informations sur les compétences, les aspects financiers et la recherche et l’innovation</w:t>
      </w:r>
      <w:r>
        <w:rPr>
          <w:rFonts w:ascii="Times New Roman" w:hAnsi="Times New Roman"/>
          <w:noProof/>
          <w:color w:val="000000" w:themeColor="text1"/>
        </w:rPr>
        <w:t xml:space="preserve">, en particulier sur les programmes de formation ainsi que de perfectionnement et de reconversion professionnels; </w:t>
      </w:r>
    </w:p>
    <w:p w14:paraId="3A915D2E" w14:textId="77777777" w:rsidR="0053624B" w:rsidRPr="00C83954" w:rsidRDefault="0053624B" w:rsidP="0053624B">
      <w:pPr>
        <w:pStyle w:val="ListParagraph"/>
        <w:numPr>
          <w:ilvl w:val="0"/>
          <w:numId w:val="19"/>
        </w:numPr>
        <w:jc w:val="both"/>
        <w:rPr>
          <w:rFonts w:ascii="Times New Roman" w:eastAsia="Aptos" w:hAnsi="Times New Roman" w:cs="Times New Roman"/>
          <w:noProof/>
          <w:color w:val="000000" w:themeColor="text1"/>
        </w:rPr>
      </w:pPr>
      <w:r>
        <w:rPr>
          <w:rFonts w:ascii="Times New Roman" w:hAnsi="Times New Roman"/>
          <w:b/>
          <w:noProof/>
          <w:color w:val="000000" w:themeColor="text1"/>
        </w:rPr>
        <w:t>d’aligner les investissements tout au long de la chaîne de valeur européenne des batteries</w:t>
      </w:r>
      <w:r>
        <w:rPr>
          <w:rFonts w:ascii="Times New Roman" w:hAnsi="Times New Roman"/>
          <w:noProof/>
          <w:color w:val="000000" w:themeColor="text1"/>
        </w:rPr>
        <w:t xml:space="preserve">, entre les instruments de financement de l’UE et nationaux, ainsi qu’avec les investisseurs privés; </w:t>
      </w:r>
    </w:p>
    <w:p w14:paraId="75B07052" w14:textId="5CB985EA" w:rsidR="0053624B" w:rsidRPr="00C83954" w:rsidRDefault="0053624B" w:rsidP="0053624B">
      <w:pPr>
        <w:pStyle w:val="ListParagraph"/>
        <w:numPr>
          <w:ilvl w:val="0"/>
          <w:numId w:val="19"/>
        </w:numPr>
        <w:jc w:val="both"/>
        <w:rPr>
          <w:rFonts w:ascii="Times New Roman" w:eastAsia="Aptos" w:hAnsi="Times New Roman" w:cs="Times New Roman"/>
          <w:noProof/>
          <w:color w:val="000000" w:themeColor="text1"/>
        </w:rPr>
      </w:pPr>
      <w:r>
        <w:rPr>
          <w:rFonts w:ascii="Times New Roman" w:hAnsi="Times New Roman"/>
          <w:b/>
          <w:noProof/>
          <w:color w:val="000000" w:themeColor="text1"/>
        </w:rPr>
        <w:t xml:space="preserve">d’aligner et de renforcer les engagements des États membres </w:t>
      </w:r>
      <w:r>
        <w:rPr>
          <w:rFonts w:ascii="Times New Roman" w:hAnsi="Times New Roman"/>
          <w:noProof/>
          <w:color w:val="000000" w:themeColor="text1"/>
        </w:rPr>
        <w:t xml:space="preserve">à mettre en œuvre des mesures axées sur la demande, par exemple les exigences en matière de fabrication de produits en Europe; </w:t>
      </w:r>
    </w:p>
    <w:p w14:paraId="575B7DF0" w14:textId="76AFD1FA" w:rsidR="00B72F1A" w:rsidRPr="00C83954" w:rsidRDefault="0061338A" w:rsidP="37C99B08">
      <w:pPr>
        <w:pStyle w:val="ListParagraph"/>
        <w:ind w:left="360"/>
        <w:jc w:val="both"/>
        <w:rPr>
          <w:rFonts w:ascii="Times New Roman" w:eastAsia="Aptos" w:hAnsi="Times New Roman" w:cs="Times New Roman"/>
          <w:noProof/>
          <w:color w:val="000000" w:themeColor="text1"/>
        </w:rPr>
      </w:pPr>
      <w:r>
        <w:rPr>
          <w:noProof/>
          <w:lang w:val="en-GB" w:eastAsia="en-GB"/>
        </w:rPr>
        <mc:AlternateContent>
          <mc:Choice Requires="wps">
            <w:drawing>
              <wp:inline distT="45720" distB="45720" distL="114300" distR="114300" wp14:anchorId="459D5CD3" wp14:editId="228E0865">
                <wp:extent cx="5798185" cy="1404620"/>
                <wp:effectExtent l="0" t="0" r="12065" b="14605"/>
                <wp:docPr id="1301264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185" cy="1404620"/>
                        </a:xfrm>
                        <a:prstGeom prst="rect">
                          <a:avLst/>
                        </a:prstGeom>
                        <a:solidFill>
                          <a:srgbClr val="FFFFFF"/>
                        </a:solidFill>
                        <a:ln w="9525">
                          <a:solidFill>
                            <a:srgbClr val="000000"/>
                          </a:solidFill>
                          <a:miter lim="800000"/>
                          <a:headEnd/>
                          <a:tailEnd/>
                        </a:ln>
                      </wps:spPr>
                      <wps:txbx>
                        <w:txbxContent>
                          <w:p w14:paraId="05409A44" w14:textId="042BE548" w:rsidR="0078035F" w:rsidRPr="005952E6" w:rsidRDefault="0078035F" w:rsidP="0078035F">
                            <w:pPr>
                              <w:jc w:val="both"/>
                              <w:rPr>
                                <w:rFonts w:ascii="Times New Roman" w:hAnsi="Times New Roman" w:cs="Times New Roman"/>
                                <w:b/>
                                <w:bCs/>
                              </w:rPr>
                            </w:pPr>
                            <w:r>
                              <w:rPr>
                                <w:rFonts w:ascii="Times New Roman" w:hAnsi="Times New Roman"/>
                                <w:b/>
                              </w:rPr>
                              <w:t>Actions phares</w:t>
                            </w:r>
                          </w:p>
                          <w:p w14:paraId="2A71CD1D" w14:textId="11AABB7C" w:rsidR="0078035F" w:rsidRPr="00517A6D" w:rsidRDefault="007F6EA1" w:rsidP="00517A6D">
                            <w:pPr>
                              <w:pStyle w:val="ListParagraph"/>
                              <w:numPr>
                                <w:ilvl w:val="0"/>
                                <w:numId w:val="27"/>
                              </w:numPr>
                              <w:jc w:val="both"/>
                              <w:rPr>
                                <w:rFonts w:ascii="Times New Roman" w:hAnsi="Times New Roman" w:cs="Times New Roman"/>
                              </w:rPr>
                            </w:pPr>
                            <w:r>
                              <w:rPr>
                                <w:rFonts w:ascii="Times New Roman" w:hAnsi="Times New Roman"/>
                              </w:rPr>
                              <w:t xml:space="preserve">Mettre au point un </w:t>
                            </w:r>
                            <w:r>
                              <w:rPr>
                                <w:rFonts w:ascii="Times New Roman" w:hAnsi="Times New Roman"/>
                                <w:color w:val="000000" w:themeColor="text1"/>
                              </w:rPr>
                              <w:t>outil pilote de coordination de la compétitivité afin de promouvoir l’alignement stratégique entre l’UE, les États membres et les régions, dans le but de favoriser un écosystème des batteries solide et compétitif en Europe.</w:t>
                            </w:r>
                          </w:p>
                        </w:txbxContent>
                      </wps:txbx>
                      <wps:bodyPr rot="0" vert="horz" wrap="square" lIns="91440" tIns="45720" rIns="91440" bIns="45720" anchor="t" anchorCtr="0">
                        <a:spAutoFit/>
                      </wps:bodyPr>
                    </wps:wsp>
                  </a:graphicData>
                </a:graphic>
              </wp:inline>
            </w:drawing>
          </mc:Choice>
          <mc:Fallback>
            <w:pict>
              <v:shape w14:anchorId="459D5CD3" id="_x0000_s1031" type="#_x0000_t202" style="width:456.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">
                <v:textbox style="mso-fit-shape-to-text:t">
                  <w:txbxContent>
                    <w:p w14:paraId="05409A44" w14:textId="042BE548" w:rsidR="0078035F" w:rsidRPr="005952E6" w:rsidRDefault="0078035F" w:rsidP="0078035F">
                      <w:pPr>
                        <w:jc w:val="both"/>
                        <w:rPr>
                          <w:rFonts w:ascii="Times New Roman" w:hAnsi="Times New Roman" w:cs="Times New Roman"/>
                          <w:b/>
                          <w:bCs/>
                        </w:rPr>
                      </w:pPr>
                      <w:r>
                        <w:rPr>
                          <w:rFonts w:ascii="Times New Roman" w:hAnsi="Times New Roman"/>
                          <w:b/>
                        </w:rPr>
                        <w:t>Actions phares</w:t>
                      </w:r>
                    </w:p>
                    <w:p w14:paraId="2A71CD1D" w14:textId="11AABB7C" w:rsidR="0078035F" w:rsidRPr="00517A6D" w:rsidRDefault="007F6EA1" w:rsidP="00517A6D">
                      <w:pPr>
                        <w:pStyle w:val="ListParagraph"/>
                        <w:numPr>
                          <w:ilvl w:val="0"/>
                          <w:numId w:val="27"/>
                        </w:numPr>
                        <w:jc w:val="both"/>
                        <w:rPr>
                          <w:rFonts w:ascii="Times New Roman" w:hAnsi="Times New Roman" w:cs="Times New Roman"/>
                        </w:rPr>
                      </w:pPr>
                      <w:r>
                        <w:rPr>
                          <w:rFonts w:ascii="Times New Roman" w:hAnsi="Times New Roman"/>
                        </w:rPr>
                        <w:t xml:space="preserve">Mettre au point un </w:t>
                      </w:r>
                      <w:r>
                        <w:rPr>
                          <w:rFonts w:ascii="Times New Roman" w:hAnsi="Times New Roman"/>
                          <w:color w:val="000000" w:themeColor="text1"/>
                        </w:rPr>
                        <w:t>outil pilote de coordination de la compétitivité afin de promouvoir l’alignement stratégique entre l’UE, les États membres et les régions, dans le but de favoriser un écosystème des batteries solide et compétitif en Europe.</w:t>
                      </w:r>
                    </w:p>
                  </w:txbxContent>
                </v:textbox>
                <w10:anchorlock/>
              </v:shape>
            </w:pict>
          </mc:Fallback>
        </mc:AlternateContent>
      </w:r>
    </w:p>
    <w:p w14:paraId="3C090508" w14:textId="77777777" w:rsidR="006A501C" w:rsidRDefault="006A501C" w:rsidP="00763AFC">
      <w:pPr>
        <w:pStyle w:val="ListParagraph"/>
        <w:ind w:left="360"/>
        <w:jc w:val="both"/>
        <w:rPr>
          <w:noProof/>
        </w:rPr>
      </w:pPr>
    </w:p>
    <w:p w14:paraId="55AD087F" w14:textId="57E8791E" w:rsidR="00D96441" w:rsidRDefault="00D96441" w:rsidP="004066F6">
      <w:pPr>
        <w:spacing w:before="240" w:after="240"/>
        <w:jc w:val="both"/>
        <w:rPr>
          <w:rFonts w:ascii="Times New Roman" w:hAnsi="Times New Roman" w:cs="Times New Roman"/>
          <w:b/>
          <w:bCs/>
          <w:noProof/>
        </w:rPr>
      </w:pPr>
      <w:r>
        <w:rPr>
          <w:rFonts w:ascii="Times New Roman" w:hAnsi="Times New Roman"/>
          <w:b/>
          <w:noProof/>
        </w:rPr>
        <w:t>Conclusions – prochaines étapes</w:t>
      </w:r>
    </w:p>
    <w:p w14:paraId="1F6E410E" w14:textId="4579B61F" w:rsidR="00A31C65" w:rsidRPr="004066F6" w:rsidRDefault="00E94B8B" w:rsidP="004066F6">
      <w:pPr>
        <w:spacing w:before="240" w:after="240"/>
        <w:jc w:val="both"/>
        <w:rPr>
          <w:rFonts w:ascii="Times New Roman" w:hAnsi="Times New Roman" w:cs="Times New Roman"/>
          <w:noProof/>
        </w:rPr>
      </w:pPr>
      <w:r>
        <w:rPr>
          <w:rFonts w:ascii="Times New Roman" w:hAnsi="Times New Roman"/>
          <w:b/>
          <w:noProof/>
        </w:rPr>
        <w:t>La chaîne de valeur européenne des batteries est à un tournant</w:t>
      </w:r>
      <w:r>
        <w:rPr>
          <w:rFonts w:ascii="Times New Roman" w:hAnsi="Times New Roman"/>
          <w:noProof/>
        </w:rPr>
        <w:t xml:space="preserve">. Le temps est compté. La stratégie «Battery Booster» vise à accélérer la mise en œuvre de la stratégie de l’UE pour les batteries en s’attaquant à tous les goulets d’étranglement dans la chaîne de valeur et en soutenant l’ensemble de l’écosystème afin de permettre son développement rapide. </w:t>
      </w:r>
    </w:p>
    <w:p w14:paraId="7939E831" w14:textId="2BF839B6" w:rsidR="0083256D" w:rsidRDefault="00A31C65" w:rsidP="005E3CCE">
      <w:pPr>
        <w:jc w:val="both"/>
        <w:rPr>
          <w:rFonts w:ascii="Times New Roman" w:hAnsi="Times New Roman" w:cs="Times New Roman"/>
          <w:noProof/>
        </w:rPr>
      </w:pPr>
      <w:r>
        <w:rPr>
          <w:rFonts w:ascii="Times New Roman" w:hAnsi="Times New Roman"/>
          <w:noProof/>
        </w:rPr>
        <w:t xml:space="preserve">La stratégie «Battery Booster» permet de présenter immédiatement de nouveaux arguments économiques en faveur de la fabrication de batteries dans l’Union européenne et sur l’ensemble de son territoire. Une mise en œuvre rapide est d’une importance capitale pour fournir aux opérateurs de l’UE les outils dont ils ont besoin pour se développer, renforcer leur résilience, être compétitifs et rester à la pointe de l’innovation. </w:t>
      </w:r>
    </w:p>
    <w:p w14:paraId="37CD74FC" w14:textId="440A5473" w:rsidR="001C3A8D" w:rsidRPr="00D47170" w:rsidRDefault="008826EA" w:rsidP="37C99B08">
      <w:pPr>
        <w:jc w:val="both"/>
        <w:rPr>
          <w:rFonts w:ascii="Times New Roman" w:hAnsi="Times New Roman"/>
          <w:b/>
          <w:bCs/>
          <w:i/>
          <w:iCs/>
          <w:noProof/>
        </w:rPr>
      </w:pPr>
      <w:bookmarkStart w:id="5" w:name="_Hlk216512867"/>
      <w:r>
        <w:rPr>
          <w:rFonts w:ascii="Times New Roman" w:hAnsi="Times New Roman"/>
          <w:b/>
          <w:noProof/>
        </w:rPr>
        <w:t>La Commission procédera immédiatement à la mise en place de la facilité «Battery Booster»</w:t>
      </w:r>
      <w:r>
        <w:rPr>
          <w:rFonts w:ascii="Times New Roman" w:hAnsi="Times New Roman"/>
          <w:noProof/>
        </w:rPr>
        <w:t xml:space="preserve"> afin d’accélérer la montée en puissance des fabricants européens de cellules de batterie. Elle entend lancer un appel à propositions dans ce domaine au cours du premier trimestre de 2026, l’objectif étant que les entreprises sélectionnées reçoivent la première tranche d’aide en 2026.</w:t>
      </w:r>
    </w:p>
    <w:bookmarkEnd w:id="5"/>
    <w:p w14:paraId="2720E9F0" w14:textId="5E0DBCC4" w:rsidR="00426101" w:rsidRPr="00426101" w:rsidRDefault="006B2BC4" w:rsidP="00426101">
      <w:pPr>
        <w:jc w:val="both"/>
        <w:rPr>
          <w:rFonts w:ascii="Times New Roman" w:hAnsi="Times New Roman" w:cs="Times New Roman"/>
          <w:noProof/>
        </w:rPr>
      </w:pPr>
      <w:r>
        <w:rPr>
          <w:rFonts w:ascii="Times New Roman" w:hAnsi="Times New Roman"/>
          <w:b/>
          <w:noProof/>
        </w:rPr>
        <w:t>Le mois prochain, la Commission proposera l’acte législatif pour l’accélération de l’activité industrielle afin de soutenir les marchés pilotes pour les batteries et composants de batteries de fabrication européenne et de garantir des investissements étrangers à valeur ajoutée dans l’UE.</w:t>
      </w:r>
      <w:r>
        <w:rPr>
          <w:rFonts w:ascii="Times New Roman" w:hAnsi="Times New Roman"/>
          <w:noProof/>
        </w:rPr>
        <w:t xml:space="preserve"> Ces mesures sont essentielles pour permettre à l’industrie européenne des batteries de renforcer sa compétitivité dans un écosystème mondial qui évolue de plus en plus vite. Dans l’intervalle, à partir de janvier 2026,</w:t>
      </w:r>
      <w:r>
        <w:rPr>
          <w:rFonts w:ascii="Times New Roman" w:hAnsi="Times New Roman"/>
          <w:b/>
          <w:noProof/>
        </w:rPr>
        <w:t xml:space="preserve"> les États membres doivent commencer à appliquer les critères de résilience et de durabilité du règlement pour une industrie «zéro net» dans les régimes d’aide publique nouveaux ou actualisés. La Commission encourage en outre les États membres à utiliser pleinement les outils de filtrage des investissements étrangers</w:t>
      </w:r>
      <w:r>
        <w:rPr>
          <w:rFonts w:ascii="Times New Roman" w:hAnsi="Times New Roman"/>
          <w:noProof/>
        </w:rPr>
        <w:t>.</w:t>
      </w:r>
    </w:p>
    <w:p w14:paraId="0976EB31" w14:textId="0D20A259" w:rsidR="00E510FC" w:rsidRPr="005952E6" w:rsidRDefault="00E510FC" w:rsidP="0282471E">
      <w:pPr>
        <w:jc w:val="both"/>
        <w:rPr>
          <w:rFonts w:ascii="Times New Roman" w:hAnsi="Times New Roman" w:cs="Times New Roman"/>
          <w:noProof/>
        </w:rPr>
      </w:pPr>
    </w:p>
    <w:sectPr w:rsidR="00E510FC" w:rsidRPr="005952E6" w:rsidSect="009142AF">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AA57A" w14:textId="77777777" w:rsidR="0009072A" w:rsidRDefault="0009072A" w:rsidP="004D2F32">
      <w:pPr>
        <w:spacing w:after="0" w:line="240" w:lineRule="auto"/>
      </w:pPr>
      <w:r>
        <w:separator/>
      </w:r>
    </w:p>
  </w:endnote>
  <w:endnote w:type="continuationSeparator" w:id="0">
    <w:p w14:paraId="1EF559E4" w14:textId="77777777" w:rsidR="0009072A" w:rsidRDefault="0009072A" w:rsidP="004D2F32">
      <w:pPr>
        <w:spacing w:after="0" w:line="240" w:lineRule="auto"/>
      </w:pPr>
      <w:r>
        <w:continuationSeparator/>
      </w:r>
    </w:p>
  </w:endnote>
  <w:endnote w:type="continuationNotice" w:id="1">
    <w:p w14:paraId="4B61E6DE" w14:textId="77777777" w:rsidR="0009072A" w:rsidRDefault="000907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F7297" w14:textId="05A7B096" w:rsidR="00E865D3" w:rsidRPr="00E865D3" w:rsidRDefault="00E865D3" w:rsidP="00E865D3">
    <w:pPr>
      <w:pStyle w:val="FooterCoverPage"/>
      <w:rPr>
        <w:rFonts w:ascii="Arial" w:hAnsi="Arial" w:cs="Arial"/>
        <w:b/>
        <w:sz w:val="48"/>
      </w:rPr>
    </w:pPr>
    <w:r w:rsidRPr="00E865D3">
      <w:rPr>
        <w:rFonts w:ascii="Arial" w:hAnsi="Arial" w:cs="Arial"/>
        <w:b/>
        <w:sz w:val="48"/>
      </w:rPr>
      <w:t>FR</w:t>
    </w:r>
    <w:r w:rsidRPr="00E865D3">
      <w:rPr>
        <w:rFonts w:ascii="Arial" w:hAnsi="Arial" w:cs="Arial"/>
        <w:b/>
        <w:sz w:val="48"/>
      </w:rPr>
      <w:tab/>
    </w:r>
    <w:r w:rsidRPr="00E865D3">
      <w:rPr>
        <w:rFonts w:ascii="Arial" w:hAnsi="Arial" w:cs="Arial"/>
        <w:b/>
        <w:sz w:val="48"/>
      </w:rPr>
      <w:tab/>
    </w:r>
    <w:r w:rsidRPr="00E865D3">
      <w:tab/>
    </w:r>
    <w:r w:rsidRPr="00E865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4A870" w14:textId="10B3ACD0" w:rsidR="00E865D3" w:rsidRPr="00E865D3" w:rsidRDefault="00E865D3" w:rsidP="00E865D3">
    <w:pPr>
      <w:pStyle w:val="FooterCoverPage"/>
      <w:rPr>
        <w:rFonts w:ascii="Arial" w:hAnsi="Arial" w:cs="Arial"/>
        <w:b/>
        <w:sz w:val="48"/>
      </w:rPr>
    </w:pPr>
    <w:r w:rsidRPr="00E865D3">
      <w:rPr>
        <w:rFonts w:ascii="Arial" w:hAnsi="Arial" w:cs="Arial"/>
        <w:b/>
        <w:sz w:val="48"/>
      </w:rPr>
      <w:t>FR</w:t>
    </w:r>
    <w:r w:rsidRPr="00E865D3">
      <w:rPr>
        <w:rFonts w:ascii="Arial" w:hAnsi="Arial" w:cs="Arial"/>
        <w:b/>
        <w:sz w:val="48"/>
      </w:rPr>
      <w:tab/>
    </w:r>
    <w:r w:rsidRPr="00E865D3">
      <w:rPr>
        <w:rFonts w:ascii="Arial" w:hAnsi="Arial" w:cs="Arial"/>
        <w:b/>
        <w:sz w:val="48"/>
      </w:rPr>
      <w:tab/>
    </w:r>
    <w:r w:rsidRPr="00E865D3">
      <w:tab/>
    </w:r>
    <w:r w:rsidRPr="00E865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A137C" w14:textId="77777777" w:rsidR="00E865D3" w:rsidRPr="00E865D3" w:rsidRDefault="00E865D3" w:rsidP="00E865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0906F" w14:textId="77777777" w:rsidR="00365615" w:rsidRPr="00E2322E" w:rsidRDefault="00365615" w:rsidP="00E2322E">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74956"/>
      <w:docPartObj>
        <w:docPartGallery w:val="Page Numbers (Bottom of Page)"/>
        <w:docPartUnique/>
      </w:docPartObj>
    </w:sdtPr>
    <w:sdtEndPr>
      <w:rPr>
        <w:noProof/>
      </w:rPr>
    </w:sdtEndPr>
    <w:sdtContent>
      <w:p w14:paraId="1BE25C47" w14:textId="03A0E1E0" w:rsidR="009142AF" w:rsidRDefault="009142AF">
        <w:pPr>
          <w:pStyle w:val="Footer"/>
          <w:jc w:val="right"/>
        </w:pPr>
        <w:r>
          <w:fldChar w:fldCharType="begin"/>
        </w:r>
        <w:r>
          <w:instrText xml:space="preserve"> PAGE   \* MERGEFORMAT </w:instrText>
        </w:r>
        <w:r>
          <w:fldChar w:fldCharType="separate"/>
        </w:r>
        <w:r w:rsidR="00E865D3">
          <w:rPr>
            <w:noProof/>
          </w:rPr>
          <w:t>3</w:t>
        </w:r>
        <w:r>
          <w:fldChar w:fldCharType="end"/>
        </w:r>
      </w:p>
    </w:sdtContent>
  </w:sdt>
  <w:p w14:paraId="55FAC811" w14:textId="77777777" w:rsidR="009142AF" w:rsidRDefault="009142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A3401" w14:textId="77777777" w:rsidR="00365615" w:rsidRDefault="003656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D61F0" w14:textId="77777777" w:rsidR="0009072A" w:rsidRDefault="0009072A" w:rsidP="004D2F32">
      <w:pPr>
        <w:spacing w:after="0" w:line="240" w:lineRule="auto"/>
      </w:pPr>
      <w:r>
        <w:separator/>
      </w:r>
    </w:p>
  </w:footnote>
  <w:footnote w:type="continuationSeparator" w:id="0">
    <w:p w14:paraId="5BEF5AB2" w14:textId="77777777" w:rsidR="0009072A" w:rsidRDefault="0009072A" w:rsidP="004D2F32">
      <w:pPr>
        <w:spacing w:after="0" w:line="240" w:lineRule="auto"/>
      </w:pPr>
      <w:r>
        <w:continuationSeparator/>
      </w:r>
    </w:p>
  </w:footnote>
  <w:footnote w:type="continuationNotice" w:id="1">
    <w:p w14:paraId="63D03B3A" w14:textId="77777777" w:rsidR="0009072A" w:rsidRDefault="0009072A">
      <w:pPr>
        <w:spacing w:after="0" w:line="240" w:lineRule="auto"/>
      </w:pPr>
    </w:p>
  </w:footnote>
  <w:footnote w:id="2">
    <w:p w14:paraId="4C634D0C" w14:textId="11A1BEA0" w:rsidR="38C26A22" w:rsidRPr="00A25D92" w:rsidRDefault="38C26A22" w:rsidP="00763AFC">
      <w:pPr>
        <w:jc w:val="both"/>
        <w:rPr>
          <w:rFonts w:ascii="Times New Roman" w:hAnsi="Times New Roman" w:cs="Times New Roman"/>
          <w:kern w:val="0"/>
          <w:sz w:val="20"/>
          <w:szCs w:val="20"/>
          <w14:ligatures w14:val="none"/>
        </w:rPr>
      </w:pPr>
      <w:r>
        <w:rPr>
          <w:rStyle w:val="FootnoteReference"/>
          <w:rFonts w:ascii="Times New Roman" w:hAnsi="Times New Roman"/>
          <w:kern w:val="0"/>
          <w:sz w:val="20"/>
          <w:szCs w:val="20"/>
          <w:lang w:val="en-GB"/>
          <w14:ligatures w14:val="none"/>
        </w:rPr>
        <w:footnoteRef/>
      </w:r>
      <w:r>
        <w:rPr>
          <w:rStyle w:val="FootnoteReference"/>
          <w:rFonts w:ascii="Times New Roman" w:hAnsi="Times New Roman"/>
          <w:sz w:val="20"/>
        </w:rPr>
        <w:t xml:space="preserve"> </w:t>
      </w:r>
      <w:r>
        <w:rPr>
          <w:rFonts w:ascii="Times New Roman" w:hAnsi="Times New Roman"/>
          <w:sz w:val="20"/>
        </w:rPr>
        <w:t>En 2019 et 2021, la Commission a approuvé deux PIIEC dans le domaine des batteries. Ces projets prévoyaient l’octroi d’aides d’État d’un montant maximal de 6,1 milliards d’EUR à 59 entreprises dans 12 États membres en vue de mobiliser plus de 13,8 milliards d’EUR d’investissements privés supplémentaires. Ces PIIEC soutiennent des activités ambitieuses de recherche et de développement afin d’apporter des innovations tout au long de la chaîne de valeur des batteries, notamment l’extraction et la transformation de matières premières, le développement de matériaux chimiques avancés, la conception de cellules de batteries et leur intégration dans des applications telles que les véhicules électriques, ainsi que le recyclage de batteries usagées.</w:t>
      </w:r>
    </w:p>
  </w:footnote>
  <w:footnote w:id="3">
    <w:p w14:paraId="567265DE" w14:textId="6CC6865F" w:rsidR="000C5A1C" w:rsidRPr="00BE2CFD" w:rsidRDefault="000C5A1C">
      <w:pPr>
        <w:pStyle w:val="FootnoteText"/>
        <w:rPr>
          <w:rFonts w:cs="Times New Roman"/>
          <w:lang w:val="en-IE"/>
        </w:rPr>
      </w:pPr>
      <w:r>
        <w:rPr>
          <w:rStyle w:val="FootnoteReference"/>
        </w:rPr>
        <w:footnoteRef/>
      </w:r>
      <w:r w:rsidRPr="00BE2CFD">
        <w:rPr>
          <w:lang w:val="en-IE"/>
        </w:rPr>
        <w:t xml:space="preserve"> BloombergNEF.</w:t>
      </w:r>
    </w:p>
  </w:footnote>
  <w:footnote w:id="4">
    <w:p w14:paraId="7C99CC72" w14:textId="5299C984" w:rsidR="00791DC4" w:rsidRPr="00BE2CFD" w:rsidRDefault="00791DC4">
      <w:pPr>
        <w:pStyle w:val="FootnoteText"/>
        <w:rPr>
          <w:lang w:val="en-IE"/>
        </w:rPr>
      </w:pPr>
      <w:r>
        <w:rPr>
          <w:rStyle w:val="FootnoteReference"/>
        </w:rPr>
        <w:footnoteRef/>
      </w:r>
      <w:r w:rsidRPr="00BE2CFD">
        <w:rPr>
          <w:lang w:val="en-IE"/>
        </w:rPr>
        <w:t xml:space="preserve"> Bruegel Clean Tech Tracker.</w:t>
      </w:r>
    </w:p>
  </w:footnote>
  <w:footnote w:id="5">
    <w:p w14:paraId="180BDAA2" w14:textId="72F4AD06" w:rsidR="00791DC4" w:rsidRPr="00F6552C" w:rsidRDefault="00791DC4">
      <w:pPr>
        <w:pStyle w:val="FootnoteText"/>
      </w:pPr>
      <w:r>
        <w:rPr>
          <w:rStyle w:val="FootnoteReference"/>
        </w:rPr>
        <w:footnoteRef/>
      </w:r>
      <w:r>
        <w:t xml:space="preserve"> BloombergNEF.</w:t>
      </w:r>
    </w:p>
  </w:footnote>
  <w:footnote w:id="6">
    <w:p w14:paraId="1CC06D61" w14:textId="271F3CB9" w:rsidR="00EA4887" w:rsidRPr="00323097" w:rsidRDefault="00EA4887" w:rsidP="00EA4887">
      <w:pPr>
        <w:pStyle w:val="FootnoteText"/>
      </w:pPr>
      <w:r>
        <w:rPr>
          <w:rStyle w:val="FootnoteReference"/>
        </w:rPr>
        <w:footnoteRef/>
      </w:r>
      <w:r>
        <w:t xml:space="preserve"> Un exemple est le projet BATMASS, qui vise à créer une chaîne de valeur européenne circulaire pour les batteries et des solutions en matière de recyclage et de réutilisation mûres pour l’investissement.</w:t>
      </w:r>
    </w:p>
  </w:footnote>
  <w:footnote w:id="7">
    <w:p w14:paraId="28D94748" w14:textId="280E1654" w:rsidR="002E285C" w:rsidRPr="00323097" w:rsidRDefault="002E285C" w:rsidP="002E285C">
      <w:pPr>
        <w:pStyle w:val="FootnoteText"/>
      </w:pPr>
      <w:r>
        <w:rPr>
          <w:rStyle w:val="FootnoteReference"/>
        </w:rPr>
        <w:footnoteRef/>
      </w:r>
      <w:r>
        <w:t xml:space="preserve"> Advanced Materials for Batteries for Electro-mobility and Stationary Energy Storage (Matériaux avancés pour batteries destinées à l’électromobilité et au stockage stationnaire de l’énergie), https://ec.europa.eu/regional_policy/policy/communities-and-networks/s3-community-of-practice/partnership_industrial_mod_advanced_materials_en.</w:t>
      </w:r>
    </w:p>
  </w:footnote>
  <w:footnote w:id="8">
    <w:p w14:paraId="779EB3EF" w14:textId="10438722" w:rsidR="000932D0" w:rsidRPr="000932D0" w:rsidRDefault="000932D0">
      <w:pPr>
        <w:pStyle w:val="FootnoteText"/>
      </w:pPr>
      <w:r>
        <w:rPr>
          <w:rStyle w:val="FootnoteReference"/>
        </w:rPr>
        <w:footnoteRef/>
      </w:r>
      <w:r>
        <w:tab/>
        <w:t>Commission européenne (2025), Communication de la Commission au Parlement européen, au Conseil européen, au Conseil, au Comité économique et social et au Comité des régions, «Une boussole pour la compétitivité de l’UE» [COM(2025) 30 final], Bruxelles, 29 janvier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ACEDB" w14:textId="77777777" w:rsidR="00E865D3" w:rsidRPr="00E865D3" w:rsidRDefault="00E865D3" w:rsidP="00E865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6F7BB" w14:textId="77777777" w:rsidR="00E865D3" w:rsidRPr="00E865D3" w:rsidRDefault="00E865D3" w:rsidP="00E865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F44C6" w14:textId="77777777" w:rsidR="00E865D3" w:rsidRPr="00E865D3" w:rsidRDefault="00E865D3" w:rsidP="00E865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3C05D" w14:textId="77777777" w:rsidR="00365615" w:rsidRDefault="003656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ACA6B" w14:textId="77777777" w:rsidR="009142AF" w:rsidRDefault="009142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4A39E" w14:textId="77777777" w:rsidR="00365615" w:rsidRDefault="00365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68D8"/>
    <w:multiLevelType w:val="hybridMultilevel"/>
    <w:tmpl w:val="7E96A85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4593CE5"/>
    <w:multiLevelType w:val="hybridMultilevel"/>
    <w:tmpl w:val="5320426A"/>
    <w:lvl w:ilvl="0" w:tplc="9BB6357E">
      <w:start w:val="1"/>
      <w:numFmt w:val="bullet"/>
      <w:lvlText w:val="-"/>
      <w:lvlJc w:val="left"/>
      <w:pPr>
        <w:ind w:left="720" w:hanging="360"/>
      </w:pPr>
      <w:rPr>
        <w:rFonts w:ascii="Aptos" w:hAnsi="Aptos" w:hint="default"/>
      </w:rPr>
    </w:lvl>
    <w:lvl w:ilvl="1" w:tplc="9878B3F2" w:tentative="1">
      <w:start w:val="1"/>
      <w:numFmt w:val="bullet"/>
      <w:lvlText w:val="o"/>
      <w:lvlJc w:val="left"/>
      <w:pPr>
        <w:ind w:left="1440" w:hanging="360"/>
      </w:pPr>
      <w:rPr>
        <w:rFonts w:ascii="Courier New" w:hAnsi="Courier New" w:hint="default"/>
      </w:rPr>
    </w:lvl>
    <w:lvl w:ilvl="2" w:tplc="F172499A" w:tentative="1">
      <w:start w:val="1"/>
      <w:numFmt w:val="bullet"/>
      <w:lvlText w:val=""/>
      <w:lvlJc w:val="left"/>
      <w:pPr>
        <w:ind w:left="2160" w:hanging="360"/>
      </w:pPr>
      <w:rPr>
        <w:rFonts w:ascii="Wingdings" w:hAnsi="Wingdings" w:hint="default"/>
      </w:rPr>
    </w:lvl>
    <w:lvl w:ilvl="3" w:tplc="26E809F0" w:tentative="1">
      <w:start w:val="1"/>
      <w:numFmt w:val="bullet"/>
      <w:lvlText w:val=""/>
      <w:lvlJc w:val="left"/>
      <w:pPr>
        <w:ind w:left="2880" w:hanging="360"/>
      </w:pPr>
      <w:rPr>
        <w:rFonts w:ascii="Symbol" w:hAnsi="Symbol" w:hint="default"/>
      </w:rPr>
    </w:lvl>
    <w:lvl w:ilvl="4" w:tplc="7990F8C0" w:tentative="1">
      <w:start w:val="1"/>
      <w:numFmt w:val="bullet"/>
      <w:lvlText w:val="o"/>
      <w:lvlJc w:val="left"/>
      <w:pPr>
        <w:ind w:left="3600" w:hanging="360"/>
      </w:pPr>
      <w:rPr>
        <w:rFonts w:ascii="Courier New" w:hAnsi="Courier New" w:hint="default"/>
      </w:rPr>
    </w:lvl>
    <w:lvl w:ilvl="5" w:tplc="9410D4D2" w:tentative="1">
      <w:start w:val="1"/>
      <w:numFmt w:val="bullet"/>
      <w:lvlText w:val=""/>
      <w:lvlJc w:val="left"/>
      <w:pPr>
        <w:ind w:left="4320" w:hanging="360"/>
      </w:pPr>
      <w:rPr>
        <w:rFonts w:ascii="Wingdings" w:hAnsi="Wingdings" w:hint="default"/>
      </w:rPr>
    </w:lvl>
    <w:lvl w:ilvl="6" w:tplc="32D2F95C" w:tentative="1">
      <w:start w:val="1"/>
      <w:numFmt w:val="bullet"/>
      <w:lvlText w:val=""/>
      <w:lvlJc w:val="left"/>
      <w:pPr>
        <w:ind w:left="5040" w:hanging="360"/>
      </w:pPr>
      <w:rPr>
        <w:rFonts w:ascii="Symbol" w:hAnsi="Symbol" w:hint="default"/>
      </w:rPr>
    </w:lvl>
    <w:lvl w:ilvl="7" w:tplc="DCC8A62A" w:tentative="1">
      <w:start w:val="1"/>
      <w:numFmt w:val="bullet"/>
      <w:lvlText w:val="o"/>
      <w:lvlJc w:val="left"/>
      <w:pPr>
        <w:ind w:left="5760" w:hanging="360"/>
      </w:pPr>
      <w:rPr>
        <w:rFonts w:ascii="Courier New" w:hAnsi="Courier New" w:hint="default"/>
      </w:rPr>
    </w:lvl>
    <w:lvl w:ilvl="8" w:tplc="17CE88B6" w:tentative="1">
      <w:start w:val="1"/>
      <w:numFmt w:val="bullet"/>
      <w:lvlText w:val=""/>
      <w:lvlJc w:val="left"/>
      <w:pPr>
        <w:ind w:left="6480" w:hanging="360"/>
      </w:pPr>
      <w:rPr>
        <w:rFonts w:ascii="Wingdings" w:hAnsi="Wingdings" w:hint="default"/>
      </w:rPr>
    </w:lvl>
  </w:abstractNum>
  <w:abstractNum w:abstractNumId="2" w15:restartNumberingAfterBreak="0">
    <w:nsid w:val="1759725B"/>
    <w:multiLevelType w:val="hybridMultilevel"/>
    <w:tmpl w:val="EDB61A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D1D0BEA"/>
    <w:multiLevelType w:val="hybridMultilevel"/>
    <w:tmpl w:val="95D21B16"/>
    <w:lvl w:ilvl="0" w:tplc="4E849334">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B9397A"/>
    <w:multiLevelType w:val="hybridMultilevel"/>
    <w:tmpl w:val="C922921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7F4FF5"/>
    <w:multiLevelType w:val="hybridMultilevel"/>
    <w:tmpl w:val="BF5CA470"/>
    <w:lvl w:ilvl="0" w:tplc="50229976">
      <w:start w:val="1"/>
      <w:numFmt w:val="bullet"/>
      <w:lvlText w:val="-"/>
      <w:lvlJc w:val="left"/>
      <w:pPr>
        <w:ind w:left="360" w:hanging="360"/>
      </w:pPr>
      <w:rPr>
        <w:rFonts w:ascii="Times New Roman" w:eastAsia="Aptos"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36BB2F"/>
    <w:multiLevelType w:val="hybridMultilevel"/>
    <w:tmpl w:val="FFFFFFFF"/>
    <w:lvl w:ilvl="0" w:tplc="0FEE7B6E">
      <w:start w:val="1"/>
      <w:numFmt w:val="decimal"/>
      <w:lvlText w:val="%1."/>
      <w:lvlJc w:val="left"/>
      <w:pPr>
        <w:ind w:left="720" w:hanging="360"/>
      </w:pPr>
      <w:rPr>
        <w:rFonts w:ascii="Aptos" w:hAnsi="Aptos" w:hint="default"/>
      </w:rPr>
    </w:lvl>
    <w:lvl w:ilvl="1" w:tplc="97EC9EC0">
      <w:start w:val="1"/>
      <w:numFmt w:val="lowerLetter"/>
      <w:lvlText w:val="%2."/>
      <w:lvlJc w:val="left"/>
      <w:pPr>
        <w:ind w:left="1440" w:hanging="360"/>
      </w:pPr>
    </w:lvl>
    <w:lvl w:ilvl="2" w:tplc="BF804C14">
      <w:start w:val="1"/>
      <w:numFmt w:val="lowerRoman"/>
      <w:lvlText w:val="%3."/>
      <w:lvlJc w:val="right"/>
      <w:pPr>
        <w:ind w:left="2160" w:hanging="180"/>
      </w:pPr>
    </w:lvl>
    <w:lvl w:ilvl="3" w:tplc="F7DC5F7E">
      <w:start w:val="1"/>
      <w:numFmt w:val="decimal"/>
      <w:lvlText w:val="%4."/>
      <w:lvlJc w:val="left"/>
      <w:pPr>
        <w:ind w:left="2880" w:hanging="360"/>
      </w:pPr>
    </w:lvl>
    <w:lvl w:ilvl="4" w:tplc="EECA3CDA">
      <w:start w:val="1"/>
      <w:numFmt w:val="lowerLetter"/>
      <w:lvlText w:val="%5."/>
      <w:lvlJc w:val="left"/>
      <w:pPr>
        <w:ind w:left="3600" w:hanging="360"/>
      </w:pPr>
    </w:lvl>
    <w:lvl w:ilvl="5" w:tplc="E6F6EF3C">
      <w:start w:val="1"/>
      <w:numFmt w:val="lowerRoman"/>
      <w:lvlText w:val="%6."/>
      <w:lvlJc w:val="right"/>
      <w:pPr>
        <w:ind w:left="4320" w:hanging="180"/>
      </w:pPr>
    </w:lvl>
    <w:lvl w:ilvl="6" w:tplc="905EEFC2">
      <w:start w:val="1"/>
      <w:numFmt w:val="decimal"/>
      <w:lvlText w:val="%7."/>
      <w:lvlJc w:val="left"/>
      <w:pPr>
        <w:ind w:left="5040" w:hanging="360"/>
      </w:pPr>
    </w:lvl>
    <w:lvl w:ilvl="7" w:tplc="719271F6">
      <w:start w:val="1"/>
      <w:numFmt w:val="lowerLetter"/>
      <w:lvlText w:val="%8."/>
      <w:lvlJc w:val="left"/>
      <w:pPr>
        <w:ind w:left="5760" w:hanging="360"/>
      </w:pPr>
    </w:lvl>
    <w:lvl w:ilvl="8" w:tplc="69E884C2">
      <w:start w:val="1"/>
      <w:numFmt w:val="lowerRoman"/>
      <w:lvlText w:val="%9."/>
      <w:lvlJc w:val="right"/>
      <w:pPr>
        <w:ind w:left="6480" w:hanging="180"/>
      </w:pPr>
    </w:lvl>
  </w:abstractNum>
  <w:abstractNum w:abstractNumId="7" w15:restartNumberingAfterBreak="0">
    <w:nsid w:val="2B384445"/>
    <w:multiLevelType w:val="hybridMultilevel"/>
    <w:tmpl w:val="8E9A34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F394B71"/>
    <w:multiLevelType w:val="multilevel"/>
    <w:tmpl w:val="742C361A"/>
    <w:lvl w:ilvl="0">
      <w:start w:val="1"/>
      <w:numFmt w:val="decimal"/>
      <w:lvlText w:val="%1."/>
      <w:lvlJc w:val="left"/>
      <w:pPr>
        <w:tabs>
          <w:tab w:val="num" w:pos="720"/>
        </w:tabs>
        <w:ind w:left="720" w:hanging="360"/>
      </w:pPr>
      <w:rPr>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FF2E7B"/>
    <w:multiLevelType w:val="hybridMultilevel"/>
    <w:tmpl w:val="FFFFFFFF"/>
    <w:lvl w:ilvl="0" w:tplc="B406B7B6">
      <w:start w:val="1"/>
      <w:numFmt w:val="bullet"/>
      <w:lvlText w:val="-"/>
      <w:lvlJc w:val="left"/>
      <w:pPr>
        <w:ind w:left="720" w:hanging="360"/>
      </w:pPr>
      <w:rPr>
        <w:rFonts w:ascii="Aptos" w:hAnsi="Aptos" w:hint="default"/>
      </w:rPr>
    </w:lvl>
    <w:lvl w:ilvl="1" w:tplc="71B24000">
      <w:start w:val="1"/>
      <w:numFmt w:val="bullet"/>
      <w:lvlText w:val="o"/>
      <w:lvlJc w:val="left"/>
      <w:pPr>
        <w:ind w:left="1440" w:hanging="360"/>
      </w:pPr>
      <w:rPr>
        <w:rFonts w:ascii="Courier New" w:hAnsi="Courier New" w:hint="default"/>
      </w:rPr>
    </w:lvl>
    <w:lvl w:ilvl="2" w:tplc="A66054AC">
      <w:start w:val="1"/>
      <w:numFmt w:val="bullet"/>
      <w:lvlText w:val=""/>
      <w:lvlJc w:val="left"/>
      <w:pPr>
        <w:ind w:left="2160" w:hanging="360"/>
      </w:pPr>
      <w:rPr>
        <w:rFonts w:ascii="Wingdings" w:hAnsi="Wingdings" w:hint="default"/>
      </w:rPr>
    </w:lvl>
    <w:lvl w:ilvl="3" w:tplc="DE2E2EAE">
      <w:start w:val="1"/>
      <w:numFmt w:val="bullet"/>
      <w:lvlText w:val=""/>
      <w:lvlJc w:val="left"/>
      <w:pPr>
        <w:ind w:left="2880" w:hanging="360"/>
      </w:pPr>
      <w:rPr>
        <w:rFonts w:ascii="Symbol" w:hAnsi="Symbol" w:hint="default"/>
      </w:rPr>
    </w:lvl>
    <w:lvl w:ilvl="4" w:tplc="232CAC22">
      <w:start w:val="1"/>
      <w:numFmt w:val="bullet"/>
      <w:lvlText w:val="o"/>
      <w:lvlJc w:val="left"/>
      <w:pPr>
        <w:ind w:left="3600" w:hanging="360"/>
      </w:pPr>
      <w:rPr>
        <w:rFonts w:ascii="Courier New" w:hAnsi="Courier New" w:hint="default"/>
      </w:rPr>
    </w:lvl>
    <w:lvl w:ilvl="5" w:tplc="10B8C978">
      <w:start w:val="1"/>
      <w:numFmt w:val="bullet"/>
      <w:lvlText w:val=""/>
      <w:lvlJc w:val="left"/>
      <w:pPr>
        <w:ind w:left="4320" w:hanging="360"/>
      </w:pPr>
      <w:rPr>
        <w:rFonts w:ascii="Wingdings" w:hAnsi="Wingdings" w:hint="default"/>
      </w:rPr>
    </w:lvl>
    <w:lvl w:ilvl="6" w:tplc="906633E2">
      <w:start w:val="1"/>
      <w:numFmt w:val="bullet"/>
      <w:lvlText w:val=""/>
      <w:lvlJc w:val="left"/>
      <w:pPr>
        <w:ind w:left="5040" w:hanging="360"/>
      </w:pPr>
      <w:rPr>
        <w:rFonts w:ascii="Symbol" w:hAnsi="Symbol" w:hint="default"/>
      </w:rPr>
    </w:lvl>
    <w:lvl w:ilvl="7" w:tplc="BF28F17E">
      <w:start w:val="1"/>
      <w:numFmt w:val="bullet"/>
      <w:lvlText w:val="o"/>
      <w:lvlJc w:val="left"/>
      <w:pPr>
        <w:ind w:left="5760" w:hanging="360"/>
      </w:pPr>
      <w:rPr>
        <w:rFonts w:ascii="Courier New" w:hAnsi="Courier New" w:hint="default"/>
      </w:rPr>
    </w:lvl>
    <w:lvl w:ilvl="8" w:tplc="0972A9A0">
      <w:start w:val="1"/>
      <w:numFmt w:val="bullet"/>
      <w:lvlText w:val=""/>
      <w:lvlJc w:val="left"/>
      <w:pPr>
        <w:ind w:left="6480" w:hanging="360"/>
      </w:pPr>
      <w:rPr>
        <w:rFonts w:ascii="Wingdings" w:hAnsi="Wingdings" w:hint="default"/>
      </w:rPr>
    </w:lvl>
  </w:abstractNum>
  <w:abstractNum w:abstractNumId="10" w15:restartNumberingAfterBreak="0">
    <w:nsid w:val="3CC478FD"/>
    <w:multiLevelType w:val="hybridMultilevel"/>
    <w:tmpl w:val="0D1E92B6"/>
    <w:lvl w:ilvl="0" w:tplc="5EB4B90E">
      <w:start w:val="1"/>
      <w:numFmt w:val="bullet"/>
      <w:lvlText w:val="-"/>
      <w:lvlJc w:val="left"/>
      <w:pPr>
        <w:ind w:left="720" w:hanging="360"/>
      </w:pPr>
      <w:rPr>
        <w:rFonts w:ascii="Symbol" w:hAnsi="Symbol" w:hint="default"/>
      </w:rPr>
    </w:lvl>
    <w:lvl w:ilvl="1" w:tplc="EB4C5576">
      <w:start w:val="1"/>
      <w:numFmt w:val="bullet"/>
      <w:lvlText w:val="-"/>
      <w:lvlJc w:val="left"/>
      <w:pPr>
        <w:ind w:left="360" w:hanging="360"/>
      </w:pPr>
      <w:rPr>
        <w:rFonts w:ascii="Aptos" w:hAnsi="Aptos" w:hint="default"/>
      </w:rPr>
    </w:lvl>
    <w:lvl w:ilvl="2" w:tplc="E9A631DC">
      <w:start w:val="1"/>
      <w:numFmt w:val="bullet"/>
      <w:lvlText w:val=""/>
      <w:lvlJc w:val="left"/>
      <w:pPr>
        <w:ind w:left="1980" w:hanging="360"/>
      </w:pPr>
      <w:rPr>
        <w:rFonts w:ascii="Wingdings" w:hAnsi="Wingdings" w:hint="default"/>
      </w:rPr>
    </w:lvl>
    <w:lvl w:ilvl="3" w:tplc="27544082" w:tentative="1">
      <w:start w:val="1"/>
      <w:numFmt w:val="decimal"/>
      <w:lvlText w:val="%4."/>
      <w:lvlJc w:val="left"/>
      <w:pPr>
        <w:ind w:left="2520" w:hanging="360"/>
      </w:pPr>
    </w:lvl>
    <w:lvl w:ilvl="4" w:tplc="32D2E9E6" w:tentative="1">
      <w:start w:val="1"/>
      <w:numFmt w:val="lowerLetter"/>
      <w:lvlText w:val="%5."/>
      <w:lvlJc w:val="left"/>
      <w:pPr>
        <w:ind w:left="3240" w:hanging="360"/>
      </w:pPr>
    </w:lvl>
    <w:lvl w:ilvl="5" w:tplc="9B8CEACA" w:tentative="1">
      <w:start w:val="1"/>
      <w:numFmt w:val="lowerRoman"/>
      <w:lvlText w:val="%6."/>
      <w:lvlJc w:val="right"/>
      <w:pPr>
        <w:ind w:left="3960" w:hanging="180"/>
      </w:pPr>
    </w:lvl>
    <w:lvl w:ilvl="6" w:tplc="D7847EE6" w:tentative="1">
      <w:start w:val="1"/>
      <w:numFmt w:val="decimal"/>
      <w:lvlText w:val="%7."/>
      <w:lvlJc w:val="left"/>
      <w:pPr>
        <w:ind w:left="4680" w:hanging="360"/>
      </w:pPr>
    </w:lvl>
    <w:lvl w:ilvl="7" w:tplc="9FF28CF0" w:tentative="1">
      <w:start w:val="1"/>
      <w:numFmt w:val="lowerLetter"/>
      <w:lvlText w:val="%8."/>
      <w:lvlJc w:val="left"/>
      <w:pPr>
        <w:ind w:left="5400" w:hanging="360"/>
      </w:pPr>
    </w:lvl>
    <w:lvl w:ilvl="8" w:tplc="6150D5DA" w:tentative="1">
      <w:start w:val="1"/>
      <w:numFmt w:val="lowerRoman"/>
      <w:lvlText w:val="%9."/>
      <w:lvlJc w:val="right"/>
      <w:pPr>
        <w:ind w:left="6120" w:hanging="180"/>
      </w:pPr>
    </w:lvl>
  </w:abstractNum>
  <w:abstractNum w:abstractNumId="11" w15:restartNumberingAfterBreak="0">
    <w:nsid w:val="406D6382"/>
    <w:multiLevelType w:val="hybridMultilevel"/>
    <w:tmpl w:val="04BC064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45C12DD7"/>
    <w:multiLevelType w:val="hybridMultilevel"/>
    <w:tmpl w:val="FFFFFFFF"/>
    <w:lvl w:ilvl="0" w:tplc="B1B62D7E">
      <w:start w:val="1"/>
      <w:numFmt w:val="bullet"/>
      <w:lvlText w:val=""/>
      <w:lvlJc w:val="left"/>
      <w:pPr>
        <w:ind w:left="720" w:hanging="360"/>
      </w:pPr>
      <w:rPr>
        <w:rFonts w:ascii="Aptos" w:hAnsi="Aptos" w:hint="default"/>
      </w:rPr>
    </w:lvl>
    <w:lvl w:ilvl="1" w:tplc="AB88F174">
      <w:start w:val="1"/>
      <w:numFmt w:val="bullet"/>
      <w:lvlText w:val="o"/>
      <w:lvlJc w:val="left"/>
      <w:pPr>
        <w:ind w:left="1440" w:hanging="360"/>
      </w:pPr>
      <w:rPr>
        <w:rFonts w:ascii="Courier New" w:hAnsi="Courier New" w:hint="default"/>
      </w:rPr>
    </w:lvl>
    <w:lvl w:ilvl="2" w:tplc="863408E6">
      <w:start w:val="1"/>
      <w:numFmt w:val="bullet"/>
      <w:lvlText w:val=""/>
      <w:lvlJc w:val="left"/>
      <w:pPr>
        <w:ind w:left="2160" w:hanging="360"/>
      </w:pPr>
      <w:rPr>
        <w:rFonts w:ascii="Wingdings" w:hAnsi="Wingdings" w:hint="default"/>
      </w:rPr>
    </w:lvl>
    <w:lvl w:ilvl="3" w:tplc="D02A87B2">
      <w:start w:val="1"/>
      <w:numFmt w:val="bullet"/>
      <w:lvlText w:val=""/>
      <w:lvlJc w:val="left"/>
      <w:pPr>
        <w:ind w:left="2880" w:hanging="360"/>
      </w:pPr>
      <w:rPr>
        <w:rFonts w:ascii="Symbol" w:hAnsi="Symbol" w:hint="default"/>
      </w:rPr>
    </w:lvl>
    <w:lvl w:ilvl="4" w:tplc="1B8E80FC">
      <w:start w:val="1"/>
      <w:numFmt w:val="bullet"/>
      <w:lvlText w:val="o"/>
      <w:lvlJc w:val="left"/>
      <w:pPr>
        <w:ind w:left="3600" w:hanging="360"/>
      </w:pPr>
      <w:rPr>
        <w:rFonts w:ascii="Courier New" w:hAnsi="Courier New" w:hint="default"/>
      </w:rPr>
    </w:lvl>
    <w:lvl w:ilvl="5" w:tplc="B366D2F2">
      <w:start w:val="1"/>
      <w:numFmt w:val="bullet"/>
      <w:lvlText w:val=""/>
      <w:lvlJc w:val="left"/>
      <w:pPr>
        <w:ind w:left="4320" w:hanging="360"/>
      </w:pPr>
      <w:rPr>
        <w:rFonts w:ascii="Wingdings" w:hAnsi="Wingdings" w:hint="default"/>
      </w:rPr>
    </w:lvl>
    <w:lvl w:ilvl="6" w:tplc="337C7C22">
      <w:start w:val="1"/>
      <w:numFmt w:val="bullet"/>
      <w:lvlText w:val=""/>
      <w:lvlJc w:val="left"/>
      <w:pPr>
        <w:ind w:left="5040" w:hanging="360"/>
      </w:pPr>
      <w:rPr>
        <w:rFonts w:ascii="Symbol" w:hAnsi="Symbol" w:hint="default"/>
      </w:rPr>
    </w:lvl>
    <w:lvl w:ilvl="7" w:tplc="AA66A614">
      <w:start w:val="1"/>
      <w:numFmt w:val="bullet"/>
      <w:lvlText w:val="o"/>
      <w:lvlJc w:val="left"/>
      <w:pPr>
        <w:ind w:left="5760" w:hanging="360"/>
      </w:pPr>
      <w:rPr>
        <w:rFonts w:ascii="Courier New" w:hAnsi="Courier New" w:hint="default"/>
      </w:rPr>
    </w:lvl>
    <w:lvl w:ilvl="8" w:tplc="C5249D62">
      <w:start w:val="1"/>
      <w:numFmt w:val="bullet"/>
      <w:lvlText w:val=""/>
      <w:lvlJc w:val="left"/>
      <w:pPr>
        <w:ind w:left="6480" w:hanging="360"/>
      </w:pPr>
      <w:rPr>
        <w:rFonts w:ascii="Wingdings" w:hAnsi="Wingdings" w:hint="default"/>
      </w:rPr>
    </w:lvl>
  </w:abstractNum>
  <w:abstractNum w:abstractNumId="13" w15:restartNumberingAfterBreak="0">
    <w:nsid w:val="45C8FE0B"/>
    <w:multiLevelType w:val="hybridMultilevel"/>
    <w:tmpl w:val="FFFFFFFF"/>
    <w:lvl w:ilvl="0" w:tplc="FCF27970">
      <w:start w:val="1"/>
      <w:numFmt w:val="bullet"/>
      <w:lvlText w:val="-"/>
      <w:lvlJc w:val="left"/>
      <w:pPr>
        <w:ind w:left="720" w:hanging="360"/>
      </w:pPr>
      <w:rPr>
        <w:rFonts w:ascii="Aptos" w:hAnsi="Aptos" w:hint="default"/>
      </w:rPr>
    </w:lvl>
    <w:lvl w:ilvl="1" w:tplc="5A8C3534">
      <w:start w:val="1"/>
      <w:numFmt w:val="bullet"/>
      <w:lvlText w:val="o"/>
      <w:lvlJc w:val="left"/>
      <w:pPr>
        <w:ind w:left="1440" w:hanging="360"/>
      </w:pPr>
      <w:rPr>
        <w:rFonts w:ascii="Courier New" w:hAnsi="Courier New" w:hint="default"/>
      </w:rPr>
    </w:lvl>
    <w:lvl w:ilvl="2" w:tplc="54E41F3C">
      <w:start w:val="1"/>
      <w:numFmt w:val="bullet"/>
      <w:lvlText w:val=""/>
      <w:lvlJc w:val="left"/>
      <w:pPr>
        <w:ind w:left="2160" w:hanging="360"/>
      </w:pPr>
      <w:rPr>
        <w:rFonts w:ascii="Wingdings" w:hAnsi="Wingdings" w:hint="default"/>
      </w:rPr>
    </w:lvl>
    <w:lvl w:ilvl="3" w:tplc="932C6E86">
      <w:start w:val="1"/>
      <w:numFmt w:val="bullet"/>
      <w:lvlText w:val=""/>
      <w:lvlJc w:val="left"/>
      <w:pPr>
        <w:ind w:left="2880" w:hanging="360"/>
      </w:pPr>
      <w:rPr>
        <w:rFonts w:ascii="Symbol" w:hAnsi="Symbol" w:hint="default"/>
      </w:rPr>
    </w:lvl>
    <w:lvl w:ilvl="4" w:tplc="892CE6D6">
      <w:start w:val="1"/>
      <w:numFmt w:val="bullet"/>
      <w:lvlText w:val="o"/>
      <w:lvlJc w:val="left"/>
      <w:pPr>
        <w:ind w:left="3600" w:hanging="360"/>
      </w:pPr>
      <w:rPr>
        <w:rFonts w:ascii="Courier New" w:hAnsi="Courier New" w:hint="default"/>
      </w:rPr>
    </w:lvl>
    <w:lvl w:ilvl="5" w:tplc="41B8AA52">
      <w:start w:val="1"/>
      <w:numFmt w:val="bullet"/>
      <w:lvlText w:val=""/>
      <w:lvlJc w:val="left"/>
      <w:pPr>
        <w:ind w:left="4320" w:hanging="360"/>
      </w:pPr>
      <w:rPr>
        <w:rFonts w:ascii="Wingdings" w:hAnsi="Wingdings" w:hint="default"/>
      </w:rPr>
    </w:lvl>
    <w:lvl w:ilvl="6" w:tplc="91085CB2">
      <w:start w:val="1"/>
      <w:numFmt w:val="bullet"/>
      <w:lvlText w:val=""/>
      <w:lvlJc w:val="left"/>
      <w:pPr>
        <w:ind w:left="5040" w:hanging="360"/>
      </w:pPr>
      <w:rPr>
        <w:rFonts w:ascii="Symbol" w:hAnsi="Symbol" w:hint="default"/>
      </w:rPr>
    </w:lvl>
    <w:lvl w:ilvl="7" w:tplc="B3A68032">
      <w:start w:val="1"/>
      <w:numFmt w:val="bullet"/>
      <w:lvlText w:val="o"/>
      <w:lvlJc w:val="left"/>
      <w:pPr>
        <w:ind w:left="5760" w:hanging="360"/>
      </w:pPr>
      <w:rPr>
        <w:rFonts w:ascii="Courier New" w:hAnsi="Courier New" w:hint="default"/>
      </w:rPr>
    </w:lvl>
    <w:lvl w:ilvl="8" w:tplc="800E2B06">
      <w:start w:val="1"/>
      <w:numFmt w:val="bullet"/>
      <w:lvlText w:val=""/>
      <w:lvlJc w:val="left"/>
      <w:pPr>
        <w:ind w:left="6480" w:hanging="360"/>
      </w:pPr>
      <w:rPr>
        <w:rFonts w:ascii="Wingdings" w:hAnsi="Wingdings" w:hint="default"/>
      </w:rPr>
    </w:lvl>
  </w:abstractNum>
  <w:abstractNum w:abstractNumId="14" w15:restartNumberingAfterBreak="0">
    <w:nsid w:val="48291787"/>
    <w:multiLevelType w:val="hybridMultilevel"/>
    <w:tmpl w:val="56D21C6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E277B2F"/>
    <w:multiLevelType w:val="hybridMultilevel"/>
    <w:tmpl w:val="F600038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6717BB3"/>
    <w:multiLevelType w:val="hybridMultilevel"/>
    <w:tmpl w:val="E7D6AB0A"/>
    <w:lvl w:ilvl="0" w:tplc="6FC438A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9CB0DB8"/>
    <w:multiLevelType w:val="hybridMultilevel"/>
    <w:tmpl w:val="DA50E0B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E0415FF"/>
    <w:multiLevelType w:val="multilevel"/>
    <w:tmpl w:val="F78A15C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391CA17"/>
    <w:multiLevelType w:val="hybridMultilevel"/>
    <w:tmpl w:val="FFFFFFFF"/>
    <w:lvl w:ilvl="0" w:tplc="0F78E146">
      <w:start w:val="1"/>
      <w:numFmt w:val="bullet"/>
      <w:lvlText w:val="-"/>
      <w:lvlJc w:val="left"/>
      <w:pPr>
        <w:ind w:left="720" w:hanging="360"/>
      </w:pPr>
      <w:rPr>
        <w:rFonts w:ascii="Aptos" w:hAnsi="Aptos" w:hint="default"/>
      </w:rPr>
    </w:lvl>
    <w:lvl w:ilvl="1" w:tplc="DB003FDA">
      <w:start w:val="1"/>
      <w:numFmt w:val="bullet"/>
      <w:lvlText w:val="o"/>
      <w:lvlJc w:val="left"/>
      <w:pPr>
        <w:ind w:left="1440" w:hanging="360"/>
      </w:pPr>
      <w:rPr>
        <w:rFonts w:ascii="Courier New" w:hAnsi="Courier New" w:hint="default"/>
      </w:rPr>
    </w:lvl>
    <w:lvl w:ilvl="2" w:tplc="E01660A4">
      <w:start w:val="1"/>
      <w:numFmt w:val="bullet"/>
      <w:lvlText w:val=""/>
      <w:lvlJc w:val="left"/>
      <w:pPr>
        <w:ind w:left="2160" w:hanging="360"/>
      </w:pPr>
      <w:rPr>
        <w:rFonts w:ascii="Wingdings" w:hAnsi="Wingdings" w:hint="default"/>
      </w:rPr>
    </w:lvl>
    <w:lvl w:ilvl="3" w:tplc="C86C5070">
      <w:start w:val="1"/>
      <w:numFmt w:val="bullet"/>
      <w:lvlText w:val=""/>
      <w:lvlJc w:val="left"/>
      <w:pPr>
        <w:ind w:left="2880" w:hanging="360"/>
      </w:pPr>
      <w:rPr>
        <w:rFonts w:ascii="Symbol" w:hAnsi="Symbol" w:hint="default"/>
      </w:rPr>
    </w:lvl>
    <w:lvl w:ilvl="4" w:tplc="4D10CF74">
      <w:start w:val="1"/>
      <w:numFmt w:val="bullet"/>
      <w:lvlText w:val="o"/>
      <w:lvlJc w:val="left"/>
      <w:pPr>
        <w:ind w:left="3600" w:hanging="360"/>
      </w:pPr>
      <w:rPr>
        <w:rFonts w:ascii="Courier New" w:hAnsi="Courier New" w:hint="default"/>
      </w:rPr>
    </w:lvl>
    <w:lvl w:ilvl="5" w:tplc="48D8F85C">
      <w:start w:val="1"/>
      <w:numFmt w:val="bullet"/>
      <w:lvlText w:val=""/>
      <w:lvlJc w:val="left"/>
      <w:pPr>
        <w:ind w:left="4320" w:hanging="360"/>
      </w:pPr>
      <w:rPr>
        <w:rFonts w:ascii="Wingdings" w:hAnsi="Wingdings" w:hint="default"/>
      </w:rPr>
    </w:lvl>
    <w:lvl w:ilvl="6" w:tplc="861419BC">
      <w:start w:val="1"/>
      <w:numFmt w:val="bullet"/>
      <w:lvlText w:val=""/>
      <w:lvlJc w:val="left"/>
      <w:pPr>
        <w:ind w:left="5040" w:hanging="360"/>
      </w:pPr>
      <w:rPr>
        <w:rFonts w:ascii="Symbol" w:hAnsi="Symbol" w:hint="default"/>
      </w:rPr>
    </w:lvl>
    <w:lvl w:ilvl="7" w:tplc="A3ECFD72">
      <w:start w:val="1"/>
      <w:numFmt w:val="bullet"/>
      <w:lvlText w:val="o"/>
      <w:lvlJc w:val="left"/>
      <w:pPr>
        <w:ind w:left="5760" w:hanging="360"/>
      </w:pPr>
      <w:rPr>
        <w:rFonts w:ascii="Courier New" w:hAnsi="Courier New" w:hint="default"/>
      </w:rPr>
    </w:lvl>
    <w:lvl w:ilvl="8" w:tplc="C66CB996">
      <w:start w:val="1"/>
      <w:numFmt w:val="bullet"/>
      <w:lvlText w:val=""/>
      <w:lvlJc w:val="left"/>
      <w:pPr>
        <w:ind w:left="6480" w:hanging="360"/>
      </w:pPr>
      <w:rPr>
        <w:rFonts w:ascii="Wingdings" w:hAnsi="Wingdings" w:hint="default"/>
      </w:rPr>
    </w:lvl>
  </w:abstractNum>
  <w:abstractNum w:abstractNumId="20" w15:restartNumberingAfterBreak="0">
    <w:nsid w:val="64BA7B19"/>
    <w:multiLevelType w:val="multilevel"/>
    <w:tmpl w:val="7A06D83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A228DD4"/>
    <w:multiLevelType w:val="hybridMultilevel"/>
    <w:tmpl w:val="FFFFFFFF"/>
    <w:lvl w:ilvl="0" w:tplc="8B14FA5A">
      <w:start w:val="1"/>
      <w:numFmt w:val="decimal"/>
      <w:lvlText w:val="%1."/>
      <w:lvlJc w:val="left"/>
      <w:pPr>
        <w:ind w:left="720" w:hanging="360"/>
      </w:pPr>
    </w:lvl>
    <w:lvl w:ilvl="1" w:tplc="E3DC3580">
      <w:start w:val="1"/>
      <w:numFmt w:val="lowerLetter"/>
      <w:lvlText w:val="%2."/>
      <w:lvlJc w:val="left"/>
      <w:pPr>
        <w:ind w:left="1440" w:hanging="360"/>
      </w:pPr>
    </w:lvl>
    <w:lvl w:ilvl="2" w:tplc="C846CEBC">
      <w:start w:val="1"/>
      <w:numFmt w:val="bullet"/>
      <w:lvlText w:val=""/>
      <w:lvlJc w:val="left"/>
      <w:pPr>
        <w:ind w:left="2160" w:hanging="360"/>
      </w:pPr>
      <w:rPr>
        <w:rFonts w:ascii="Wingdings" w:hAnsi="Wingdings" w:hint="default"/>
      </w:rPr>
    </w:lvl>
    <w:lvl w:ilvl="3" w:tplc="89422380">
      <w:start w:val="1"/>
      <w:numFmt w:val="bullet"/>
      <w:lvlText w:val=""/>
      <w:lvlJc w:val="left"/>
      <w:pPr>
        <w:ind w:left="2880" w:hanging="360"/>
      </w:pPr>
      <w:rPr>
        <w:rFonts w:ascii="Symbol" w:hAnsi="Symbol" w:hint="default"/>
      </w:rPr>
    </w:lvl>
    <w:lvl w:ilvl="4" w:tplc="56D6A3A2">
      <w:start w:val="1"/>
      <w:numFmt w:val="bullet"/>
      <w:lvlText w:val="o"/>
      <w:lvlJc w:val="left"/>
      <w:pPr>
        <w:ind w:left="3600" w:hanging="360"/>
      </w:pPr>
      <w:rPr>
        <w:rFonts w:ascii="Courier New" w:hAnsi="Courier New" w:hint="default"/>
      </w:rPr>
    </w:lvl>
    <w:lvl w:ilvl="5" w:tplc="FC88B41C">
      <w:start w:val="1"/>
      <w:numFmt w:val="bullet"/>
      <w:lvlText w:val=""/>
      <w:lvlJc w:val="left"/>
      <w:pPr>
        <w:ind w:left="4320" w:hanging="360"/>
      </w:pPr>
      <w:rPr>
        <w:rFonts w:ascii="Wingdings" w:hAnsi="Wingdings" w:hint="default"/>
      </w:rPr>
    </w:lvl>
    <w:lvl w:ilvl="6" w:tplc="21B0E8E2">
      <w:start w:val="1"/>
      <w:numFmt w:val="bullet"/>
      <w:lvlText w:val=""/>
      <w:lvlJc w:val="left"/>
      <w:pPr>
        <w:ind w:left="5040" w:hanging="360"/>
      </w:pPr>
      <w:rPr>
        <w:rFonts w:ascii="Symbol" w:hAnsi="Symbol" w:hint="default"/>
      </w:rPr>
    </w:lvl>
    <w:lvl w:ilvl="7" w:tplc="C5AC0A88">
      <w:start w:val="1"/>
      <w:numFmt w:val="bullet"/>
      <w:lvlText w:val="o"/>
      <w:lvlJc w:val="left"/>
      <w:pPr>
        <w:ind w:left="5760" w:hanging="360"/>
      </w:pPr>
      <w:rPr>
        <w:rFonts w:ascii="Courier New" w:hAnsi="Courier New" w:hint="default"/>
      </w:rPr>
    </w:lvl>
    <w:lvl w:ilvl="8" w:tplc="68BC73D6">
      <w:start w:val="1"/>
      <w:numFmt w:val="bullet"/>
      <w:lvlText w:val=""/>
      <w:lvlJc w:val="left"/>
      <w:pPr>
        <w:ind w:left="6480" w:hanging="360"/>
      </w:pPr>
      <w:rPr>
        <w:rFonts w:ascii="Wingdings" w:hAnsi="Wingdings" w:hint="default"/>
      </w:rPr>
    </w:lvl>
  </w:abstractNum>
  <w:abstractNum w:abstractNumId="22" w15:restartNumberingAfterBreak="0">
    <w:nsid w:val="76586321"/>
    <w:multiLevelType w:val="multilevel"/>
    <w:tmpl w:val="763EB090"/>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63090C"/>
    <w:multiLevelType w:val="multilevel"/>
    <w:tmpl w:val="6EA89A88"/>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B11E031"/>
    <w:multiLevelType w:val="hybridMultilevel"/>
    <w:tmpl w:val="FFFFFFFF"/>
    <w:lvl w:ilvl="0" w:tplc="CB7E1DC2">
      <w:start w:val="1"/>
      <w:numFmt w:val="bullet"/>
      <w:lvlText w:val="-"/>
      <w:lvlJc w:val="left"/>
      <w:pPr>
        <w:ind w:left="720" w:hanging="360"/>
      </w:pPr>
      <w:rPr>
        <w:rFonts w:ascii="Aptos" w:hAnsi="Aptos" w:hint="default"/>
      </w:rPr>
    </w:lvl>
    <w:lvl w:ilvl="1" w:tplc="1D06C894">
      <w:start w:val="1"/>
      <w:numFmt w:val="bullet"/>
      <w:lvlText w:val="o"/>
      <w:lvlJc w:val="left"/>
      <w:pPr>
        <w:ind w:left="1440" w:hanging="360"/>
      </w:pPr>
      <w:rPr>
        <w:rFonts w:ascii="Courier New" w:hAnsi="Courier New" w:hint="default"/>
      </w:rPr>
    </w:lvl>
    <w:lvl w:ilvl="2" w:tplc="591E5CB6">
      <w:start w:val="1"/>
      <w:numFmt w:val="bullet"/>
      <w:lvlText w:val=""/>
      <w:lvlJc w:val="left"/>
      <w:pPr>
        <w:ind w:left="2160" w:hanging="360"/>
      </w:pPr>
      <w:rPr>
        <w:rFonts w:ascii="Wingdings" w:hAnsi="Wingdings" w:hint="default"/>
      </w:rPr>
    </w:lvl>
    <w:lvl w:ilvl="3" w:tplc="33D272BC">
      <w:start w:val="1"/>
      <w:numFmt w:val="bullet"/>
      <w:lvlText w:val=""/>
      <w:lvlJc w:val="left"/>
      <w:pPr>
        <w:ind w:left="2880" w:hanging="360"/>
      </w:pPr>
      <w:rPr>
        <w:rFonts w:ascii="Symbol" w:hAnsi="Symbol" w:hint="default"/>
      </w:rPr>
    </w:lvl>
    <w:lvl w:ilvl="4" w:tplc="37E47CE0">
      <w:start w:val="1"/>
      <w:numFmt w:val="bullet"/>
      <w:lvlText w:val="o"/>
      <w:lvlJc w:val="left"/>
      <w:pPr>
        <w:ind w:left="3600" w:hanging="360"/>
      </w:pPr>
      <w:rPr>
        <w:rFonts w:ascii="Courier New" w:hAnsi="Courier New" w:hint="default"/>
      </w:rPr>
    </w:lvl>
    <w:lvl w:ilvl="5" w:tplc="3574F6E4">
      <w:start w:val="1"/>
      <w:numFmt w:val="bullet"/>
      <w:lvlText w:val=""/>
      <w:lvlJc w:val="left"/>
      <w:pPr>
        <w:ind w:left="4320" w:hanging="360"/>
      </w:pPr>
      <w:rPr>
        <w:rFonts w:ascii="Wingdings" w:hAnsi="Wingdings" w:hint="default"/>
      </w:rPr>
    </w:lvl>
    <w:lvl w:ilvl="6" w:tplc="278A2AA6">
      <w:start w:val="1"/>
      <w:numFmt w:val="bullet"/>
      <w:lvlText w:val=""/>
      <w:lvlJc w:val="left"/>
      <w:pPr>
        <w:ind w:left="5040" w:hanging="360"/>
      </w:pPr>
      <w:rPr>
        <w:rFonts w:ascii="Symbol" w:hAnsi="Symbol" w:hint="default"/>
      </w:rPr>
    </w:lvl>
    <w:lvl w:ilvl="7" w:tplc="954E3F14">
      <w:start w:val="1"/>
      <w:numFmt w:val="bullet"/>
      <w:lvlText w:val="o"/>
      <w:lvlJc w:val="left"/>
      <w:pPr>
        <w:ind w:left="5760" w:hanging="360"/>
      </w:pPr>
      <w:rPr>
        <w:rFonts w:ascii="Courier New" w:hAnsi="Courier New" w:hint="default"/>
      </w:rPr>
    </w:lvl>
    <w:lvl w:ilvl="8" w:tplc="59C89ED0">
      <w:start w:val="1"/>
      <w:numFmt w:val="bullet"/>
      <w:lvlText w:val=""/>
      <w:lvlJc w:val="left"/>
      <w:pPr>
        <w:ind w:left="6480" w:hanging="360"/>
      </w:pPr>
      <w:rPr>
        <w:rFonts w:ascii="Wingdings" w:hAnsi="Wingdings" w:hint="default"/>
      </w:rPr>
    </w:lvl>
  </w:abstractNum>
  <w:abstractNum w:abstractNumId="25" w15:restartNumberingAfterBreak="0">
    <w:nsid w:val="7CA22204"/>
    <w:multiLevelType w:val="hybridMultilevel"/>
    <w:tmpl w:val="726E641E"/>
    <w:lvl w:ilvl="0" w:tplc="82546AAA">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D4D4586"/>
    <w:multiLevelType w:val="hybridMultilevel"/>
    <w:tmpl w:val="8570BB16"/>
    <w:lvl w:ilvl="0" w:tplc="626666A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8"/>
  </w:num>
  <w:num w:numId="4">
    <w:abstractNumId w:val="10"/>
  </w:num>
  <w:num w:numId="5">
    <w:abstractNumId w:val="19"/>
  </w:num>
  <w:num w:numId="6">
    <w:abstractNumId w:val="12"/>
  </w:num>
  <w:num w:numId="7">
    <w:abstractNumId w:val="9"/>
  </w:num>
  <w:num w:numId="8">
    <w:abstractNumId w:val="21"/>
  </w:num>
  <w:num w:numId="9">
    <w:abstractNumId w:val="20"/>
  </w:num>
  <w:num w:numId="10">
    <w:abstractNumId w:val="18"/>
  </w:num>
  <w:num w:numId="11">
    <w:abstractNumId w:val="22"/>
  </w:num>
  <w:num w:numId="12">
    <w:abstractNumId w:val="23"/>
  </w:num>
  <w:num w:numId="13">
    <w:abstractNumId w:val="1"/>
  </w:num>
  <w:num w:numId="14">
    <w:abstractNumId w:val="16"/>
  </w:num>
  <w:num w:numId="15">
    <w:abstractNumId w:val="13"/>
  </w:num>
  <w:num w:numId="16">
    <w:abstractNumId w:val="24"/>
  </w:num>
  <w:num w:numId="17">
    <w:abstractNumId w:val="6"/>
  </w:num>
  <w:num w:numId="18">
    <w:abstractNumId w:val="25"/>
  </w:num>
  <w:num w:numId="19">
    <w:abstractNumId w:val="5"/>
  </w:num>
  <w:num w:numId="20">
    <w:abstractNumId w:val="3"/>
  </w:num>
  <w:num w:numId="21">
    <w:abstractNumId w:val="4"/>
  </w:num>
  <w:num w:numId="22">
    <w:abstractNumId w:val="26"/>
  </w:num>
  <w:num w:numId="23">
    <w:abstractNumId w:val="7"/>
  </w:num>
  <w:num w:numId="24">
    <w:abstractNumId w:val="15"/>
  </w:num>
  <w:num w:numId="25">
    <w:abstractNumId w:val="14"/>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49E66E41-E82A-4C18-BB7F-2D41951916A2"/>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le "/>
    <w:docVar w:name="LW_EMISSION_SUFFIX" w:val=" "/>
    <w:docVar w:name="LW_ID_DOCTYPE_NONLW" w:val="CP-00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5) 89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égie «Battery Booster»&lt;/FMT&gt;"/>
    <w:docVar w:name="LW_TYPE.DOC.CP" w:val="COMMUNICATION DE LA COMMISSION"/>
    <w:docVar w:name="LW_TYPE.DOC.CP.USERTEXT" w:val="&lt;EMPTY&gt;"/>
    <w:docVar w:name="LwApiVersions" w:val="LW4CoDe 1.24.5.0; LW 9.2, Build 20251112"/>
  </w:docVars>
  <w:rsids>
    <w:rsidRoot w:val="00D1580F"/>
    <w:rsid w:val="00000079"/>
    <w:rsid w:val="0000032C"/>
    <w:rsid w:val="00000483"/>
    <w:rsid w:val="0000048E"/>
    <w:rsid w:val="000004EA"/>
    <w:rsid w:val="00000A53"/>
    <w:rsid w:val="00000A8C"/>
    <w:rsid w:val="00000BDD"/>
    <w:rsid w:val="00000F85"/>
    <w:rsid w:val="0000117F"/>
    <w:rsid w:val="000011EB"/>
    <w:rsid w:val="00001268"/>
    <w:rsid w:val="0000160C"/>
    <w:rsid w:val="0000199B"/>
    <w:rsid w:val="00001A73"/>
    <w:rsid w:val="00001DE6"/>
    <w:rsid w:val="00001DFA"/>
    <w:rsid w:val="00001E93"/>
    <w:rsid w:val="00001E9B"/>
    <w:rsid w:val="0000256D"/>
    <w:rsid w:val="00002A9F"/>
    <w:rsid w:val="00002CD1"/>
    <w:rsid w:val="00002F4B"/>
    <w:rsid w:val="000032AE"/>
    <w:rsid w:val="000034FA"/>
    <w:rsid w:val="000044E3"/>
    <w:rsid w:val="00004B65"/>
    <w:rsid w:val="00005B4B"/>
    <w:rsid w:val="00005C01"/>
    <w:rsid w:val="00005D9F"/>
    <w:rsid w:val="00005E7F"/>
    <w:rsid w:val="0000620F"/>
    <w:rsid w:val="0000622B"/>
    <w:rsid w:val="000062AB"/>
    <w:rsid w:val="00006514"/>
    <w:rsid w:val="0000683B"/>
    <w:rsid w:val="00006A2C"/>
    <w:rsid w:val="00006A91"/>
    <w:rsid w:val="00006A93"/>
    <w:rsid w:val="00006D12"/>
    <w:rsid w:val="00007655"/>
    <w:rsid w:val="0000789A"/>
    <w:rsid w:val="00007926"/>
    <w:rsid w:val="00007A6D"/>
    <w:rsid w:val="00010154"/>
    <w:rsid w:val="000101ED"/>
    <w:rsid w:val="00010482"/>
    <w:rsid w:val="000105B4"/>
    <w:rsid w:val="0001071A"/>
    <w:rsid w:val="00010E4F"/>
    <w:rsid w:val="00010EBE"/>
    <w:rsid w:val="00010F51"/>
    <w:rsid w:val="00010F93"/>
    <w:rsid w:val="0001148E"/>
    <w:rsid w:val="00011504"/>
    <w:rsid w:val="00011785"/>
    <w:rsid w:val="00011F7F"/>
    <w:rsid w:val="00012239"/>
    <w:rsid w:val="000123EB"/>
    <w:rsid w:val="000124F9"/>
    <w:rsid w:val="00012804"/>
    <w:rsid w:val="0001287B"/>
    <w:rsid w:val="00012A33"/>
    <w:rsid w:val="00012EFA"/>
    <w:rsid w:val="000138C6"/>
    <w:rsid w:val="00013D33"/>
    <w:rsid w:val="00013D8D"/>
    <w:rsid w:val="000144A3"/>
    <w:rsid w:val="0001455F"/>
    <w:rsid w:val="000146F6"/>
    <w:rsid w:val="00014758"/>
    <w:rsid w:val="00014792"/>
    <w:rsid w:val="00014A3A"/>
    <w:rsid w:val="00014E91"/>
    <w:rsid w:val="00014F82"/>
    <w:rsid w:val="00014FA1"/>
    <w:rsid w:val="00014FF9"/>
    <w:rsid w:val="000151BA"/>
    <w:rsid w:val="0001543C"/>
    <w:rsid w:val="0001577B"/>
    <w:rsid w:val="0001586A"/>
    <w:rsid w:val="00015BFF"/>
    <w:rsid w:val="00015C3B"/>
    <w:rsid w:val="00015DC6"/>
    <w:rsid w:val="00015ED1"/>
    <w:rsid w:val="00015F9C"/>
    <w:rsid w:val="000160B1"/>
    <w:rsid w:val="000166DD"/>
    <w:rsid w:val="00016712"/>
    <w:rsid w:val="000169DF"/>
    <w:rsid w:val="00017252"/>
    <w:rsid w:val="000177A2"/>
    <w:rsid w:val="00017BDA"/>
    <w:rsid w:val="00017E5B"/>
    <w:rsid w:val="00020457"/>
    <w:rsid w:val="0002051F"/>
    <w:rsid w:val="000207C9"/>
    <w:rsid w:val="000207CE"/>
    <w:rsid w:val="00020A0A"/>
    <w:rsid w:val="00020D56"/>
    <w:rsid w:val="00020DFA"/>
    <w:rsid w:val="00020FCE"/>
    <w:rsid w:val="0002114E"/>
    <w:rsid w:val="00021B25"/>
    <w:rsid w:val="00021D0A"/>
    <w:rsid w:val="00021F31"/>
    <w:rsid w:val="000225EF"/>
    <w:rsid w:val="000236EB"/>
    <w:rsid w:val="00023AC0"/>
    <w:rsid w:val="00023C39"/>
    <w:rsid w:val="00023DBB"/>
    <w:rsid w:val="00023F4F"/>
    <w:rsid w:val="000242AF"/>
    <w:rsid w:val="000243B3"/>
    <w:rsid w:val="000245AD"/>
    <w:rsid w:val="0002480F"/>
    <w:rsid w:val="0002499B"/>
    <w:rsid w:val="00024A6F"/>
    <w:rsid w:val="00024AC4"/>
    <w:rsid w:val="00024C23"/>
    <w:rsid w:val="00024C5F"/>
    <w:rsid w:val="00024CA8"/>
    <w:rsid w:val="00024CE0"/>
    <w:rsid w:val="00024EC8"/>
    <w:rsid w:val="0002554C"/>
    <w:rsid w:val="00025646"/>
    <w:rsid w:val="00025A1C"/>
    <w:rsid w:val="00025E09"/>
    <w:rsid w:val="00025EE1"/>
    <w:rsid w:val="00025F97"/>
    <w:rsid w:val="00025FED"/>
    <w:rsid w:val="0002609F"/>
    <w:rsid w:val="00026251"/>
    <w:rsid w:val="0002626C"/>
    <w:rsid w:val="0002644B"/>
    <w:rsid w:val="00026ACD"/>
    <w:rsid w:val="00026E85"/>
    <w:rsid w:val="00027017"/>
    <w:rsid w:val="00027183"/>
    <w:rsid w:val="00027873"/>
    <w:rsid w:val="00027D00"/>
    <w:rsid w:val="00027D7C"/>
    <w:rsid w:val="00027F0F"/>
    <w:rsid w:val="00027F6F"/>
    <w:rsid w:val="00030496"/>
    <w:rsid w:val="00030B72"/>
    <w:rsid w:val="00030B8C"/>
    <w:rsid w:val="00030BA9"/>
    <w:rsid w:val="000311A6"/>
    <w:rsid w:val="0003191D"/>
    <w:rsid w:val="000319E7"/>
    <w:rsid w:val="00031DB2"/>
    <w:rsid w:val="000321FE"/>
    <w:rsid w:val="000323A0"/>
    <w:rsid w:val="000324C2"/>
    <w:rsid w:val="00032639"/>
    <w:rsid w:val="0003264E"/>
    <w:rsid w:val="000326DA"/>
    <w:rsid w:val="00032821"/>
    <w:rsid w:val="00032BA4"/>
    <w:rsid w:val="000330A0"/>
    <w:rsid w:val="000330BB"/>
    <w:rsid w:val="0003356E"/>
    <w:rsid w:val="000337BE"/>
    <w:rsid w:val="00033960"/>
    <w:rsid w:val="00033A69"/>
    <w:rsid w:val="00033A6A"/>
    <w:rsid w:val="00033D73"/>
    <w:rsid w:val="00033E01"/>
    <w:rsid w:val="00033EF6"/>
    <w:rsid w:val="00034CAF"/>
    <w:rsid w:val="00034D3C"/>
    <w:rsid w:val="00034D6A"/>
    <w:rsid w:val="00034F32"/>
    <w:rsid w:val="00035564"/>
    <w:rsid w:val="00035B98"/>
    <w:rsid w:val="00035E31"/>
    <w:rsid w:val="00035F99"/>
    <w:rsid w:val="000361D7"/>
    <w:rsid w:val="000362BB"/>
    <w:rsid w:val="000366F9"/>
    <w:rsid w:val="000368AE"/>
    <w:rsid w:val="00036A9C"/>
    <w:rsid w:val="00036CC8"/>
    <w:rsid w:val="00036DDB"/>
    <w:rsid w:val="00036E72"/>
    <w:rsid w:val="0003729C"/>
    <w:rsid w:val="0003788D"/>
    <w:rsid w:val="00037B32"/>
    <w:rsid w:val="00037C10"/>
    <w:rsid w:val="00037C3D"/>
    <w:rsid w:val="00037C92"/>
    <w:rsid w:val="00037D26"/>
    <w:rsid w:val="00037F73"/>
    <w:rsid w:val="0004006D"/>
    <w:rsid w:val="000404E7"/>
    <w:rsid w:val="00040940"/>
    <w:rsid w:val="00040A14"/>
    <w:rsid w:val="000414C7"/>
    <w:rsid w:val="0004161F"/>
    <w:rsid w:val="00041C59"/>
    <w:rsid w:val="00041C78"/>
    <w:rsid w:val="00041CC0"/>
    <w:rsid w:val="00041D2D"/>
    <w:rsid w:val="00042182"/>
    <w:rsid w:val="00042208"/>
    <w:rsid w:val="000425FB"/>
    <w:rsid w:val="00042609"/>
    <w:rsid w:val="00042A8A"/>
    <w:rsid w:val="00042B8A"/>
    <w:rsid w:val="00042CDA"/>
    <w:rsid w:val="00042D1B"/>
    <w:rsid w:val="0004307B"/>
    <w:rsid w:val="000435B0"/>
    <w:rsid w:val="000435BA"/>
    <w:rsid w:val="00043884"/>
    <w:rsid w:val="00043A01"/>
    <w:rsid w:val="00043A17"/>
    <w:rsid w:val="00044573"/>
    <w:rsid w:val="00044803"/>
    <w:rsid w:val="000448CA"/>
    <w:rsid w:val="00044911"/>
    <w:rsid w:val="00044BAA"/>
    <w:rsid w:val="00044C70"/>
    <w:rsid w:val="00044E65"/>
    <w:rsid w:val="00045184"/>
    <w:rsid w:val="00045715"/>
    <w:rsid w:val="0004587F"/>
    <w:rsid w:val="0004608E"/>
    <w:rsid w:val="0004616D"/>
    <w:rsid w:val="0004651C"/>
    <w:rsid w:val="00046768"/>
    <w:rsid w:val="000469A1"/>
    <w:rsid w:val="000469B5"/>
    <w:rsid w:val="000469D0"/>
    <w:rsid w:val="00046CD1"/>
    <w:rsid w:val="00047004"/>
    <w:rsid w:val="000471DC"/>
    <w:rsid w:val="0004751D"/>
    <w:rsid w:val="000476CD"/>
    <w:rsid w:val="00047B88"/>
    <w:rsid w:val="00050028"/>
    <w:rsid w:val="00050744"/>
    <w:rsid w:val="000507C3"/>
    <w:rsid w:val="000509C9"/>
    <w:rsid w:val="00050A6C"/>
    <w:rsid w:val="00050AF0"/>
    <w:rsid w:val="00050C4C"/>
    <w:rsid w:val="00050F67"/>
    <w:rsid w:val="00051154"/>
    <w:rsid w:val="00051417"/>
    <w:rsid w:val="00051784"/>
    <w:rsid w:val="00051789"/>
    <w:rsid w:val="00051838"/>
    <w:rsid w:val="0005189D"/>
    <w:rsid w:val="00051A2F"/>
    <w:rsid w:val="00051C98"/>
    <w:rsid w:val="00051CF4"/>
    <w:rsid w:val="0005224F"/>
    <w:rsid w:val="000522A1"/>
    <w:rsid w:val="00052463"/>
    <w:rsid w:val="00052517"/>
    <w:rsid w:val="00052926"/>
    <w:rsid w:val="00052F05"/>
    <w:rsid w:val="00052F40"/>
    <w:rsid w:val="000530F3"/>
    <w:rsid w:val="000532F4"/>
    <w:rsid w:val="0005350C"/>
    <w:rsid w:val="0005395D"/>
    <w:rsid w:val="0005403A"/>
    <w:rsid w:val="000540E0"/>
    <w:rsid w:val="000543CE"/>
    <w:rsid w:val="00054715"/>
    <w:rsid w:val="00054A9B"/>
    <w:rsid w:val="00054CCD"/>
    <w:rsid w:val="00054D65"/>
    <w:rsid w:val="00054D8D"/>
    <w:rsid w:val="00054F38"/>
    <w:rsid w:val="00055056"/>
    <w:rsid w:val="00055099"/>
    <w:rsid w:val="00055345"/>
    <w:rsid w:val="000556F0"/>
    <w:rsid w:val="00055FEB"/>
    <w:rsid w:val="0005608D"/>
    <w:rsid w:val="00056D77"/>
    <w:rsid w:val="00056E40"/>
    <w:rsid w:val="00056EBB"/>
    <w:rsid w:val="0005703C"/>
    <w:rsid w:val="000576DB"/>
    <w:rsid w:val="00057701"/>
    <w:rsid w:val="0005785E"/>
    <w:rsid w:val="000579B0"/>
    <w:rsid w:val="00057A66"/>
    <w:rsid w:val="000602A6"/>
    <w:rsid w:val="0006066E"/>
    <w:rsid w:val="00060EDB"/>
    <w:rsid w:val="00061143"/>
    <w:rsid w:val="00061331"/>
    <w:rsid w:val="000613C8"/>
    <w:rsid w:val="000613E5"/>
    <w:rsid w:val="00061A9E"/>
    <w:rsid w:val="000623C5"/>
    <w:rsid w:val="0006261D"/>
    <w:rsid w:val="000628AC"/>
    <w:rsid w:val="00062A33"/>
    <w:rsid w:val="00062ACE"/>
    <w:rsid w:val="00062C37"/>
    <w:rsid w:val="00062D93"/>
    <w:rsid w:val="000638F3"/>
    <w:rsid w:val="00063F0C"/>
    <w:rsid w:val="00064174"/>
    <w:rsid w:val="00064386"/>
    <w:rsid w:val="00064772"/>
    <w:rsid w:val="000648C8"/>
    <w:rsid w:val="000650DE"/>
    <w:rsid w:val="000652EB"/>
    <w:rsid w:val="0006531B"/>
    <w:rsid w:val="00065700"/>
    <w:rsid w:val="00065775"/>
    <w:rsid w:val="00065902"/>
    <w:rsid w:val="00065911"/>
    <w:rsid w:val="00065935"/>
    <w:rsid w:val="00065B1F"/>
    <w:rsid w:val="0006676E"/>
    <w:rsid w:val="00066921"/>
    <w:rsid w:val="00066B79"/>
    <w:rsid w:val="00066C91"/>
    <w:rsid w:val="00066F00"/>
    <w:rsid w:val="00066FCD"/>
    <w:rsid w:val="000670EB"/>
    <w:rsid w:val="00067BCD"/>
    <w:rsid w:val="00070D71"/>
    <w:rsid w:val="00071044"/>
    <w:rsid w:val="00071060"/>
    <w:rsid w:val="000713F5"/>
    <w:rsid w:val="00071433"/>
    <w:rsid w:val="00071490"/>
    <w:rsid w:val="0007198D"/>
    <w:rsid w:val="000719A7"/>
    <w:rsid w:val="00071B3A"/>
    <w:rsid w:val="00071BBF"/>
    <w:rsid w:val="0007228C"/>
    <w:rsid w:val="00072362"/>
    <w:rsid w:val="00072376"/>
    <w:rsid w:val="00072444"/>
    <w:rsid w:val="00072463"/>
    <w:rsid w:val="0007260C"/>
    <w:rsid w:val="000726C3"/>
    <w:rsid w:val="00072F4F"/>
    <w:rsid w:val="000733E7"/>
    <w:rsid w:val="0007380E"/>
    <w:rsid w:val="00073AE7"/>
    <w:rsid w:val="00073BAA"/>
    <w:rsid w:val="00073C24"/>
    <w:rsid w:val="00073CE5"/>
    <w:rsid w:val="00073D09"/>
    <w:rsid w:val="00073F44"/>
    <w:rsid w:val="00074B1A"/>
    <w:rsid w:val="000756C9"/>
    <w:rsid w:val="00075798"/>
    <w:rsid w:val="000760E8"/>
    <w:rsid w:val="00076271"/>
    <w:rsid w:val="00076623"/>
    <w:rsid w:val="000766F7"/>
    <w:rsid w:val="00076B4D"/>
    <w:rsid w:val="00076B69"/>
    <w:rsid w:val="00076FEA"/>
    <w:rsid w:val="000773A2"/>
    <w:rsid w:val="000775E3"/>
    <w:rsid w:val="0007782E"/>
    <w:rsid w:val="00077847"/>
    <w:rsid w:val="00077BD0"/>
    <w:rsid w:val="0008019C"/>
    <w:rsid w:val="000801E4"/>
    <w:rsid w:val="000802EB"/>
    <w:rsid w:val="00080537"/>
    <w:rsid w:val="00080DE1"/>
    <w:rsid w:val="00080F06"/>
    <w:rsid w:val="00080F91"/>
    <w:rsid w:val="00081028"/>
    <w:rsid w:val="0008115E"/>
    <w:rsid w:val="00081233"/>
    <w:rsid w:val="000812AE"/>
    <w:rsid w:val="00081498"/>
    <w:rsid w:val="000815C6"/>
    <w:rsid w:val="00081B72"/>
    <w:rsid w:val="0008206A"/>
    <w:rsid w:val="0008263F"/>
    <w:rsid w:val="0008275A"/>
    <w:rsid w:val="00082A4C"/>
    <w:rsid w:val="00082B1B"/>
    <w:rsid w:val="00082B63"/>
    <w:rsid w:val="00082E0B"/>
    <w:rsid w:val="000830EC"/>
    <w:rsid w:val="0008328B"/>
    <w:rsid w:val="000833C3"/>
    <w:rsid w:val="000833F4"/>
    <w:rsid w:val="00083567"/>
    <w:rsid w:val="000835D7"/>
    <w:rsid w:val="00083774"/>
    <w:rsid w:val="00083915"/>
    <w:rsid w:val="00083A11"/>
    <w:rsid w:val="00083A67"/>
    <w:rsid w:val="00084060"/>
    <w:rsid w:val="00084436"/>
    <w:rsid w:val="00084799"/>
    <w:rsid w:val="000848BC"/>
    <w:rsid w:val="00084CE1"/>
    <w:rsid w:val="00084D93"/>
    <w:rsid w:val="00084DF4"/>
    <w:rsid w:val="00084E2B"/>
    <w:rsid w:val="00084E2C"/>
    <w:rsid w:val="00084F46"/>
    <w:rsid w:val="000851CF"/>
    <w:rsid w:val="00085511"/>
    <w:rsid w:val="000855CB"/>
    <w:rsid w:val="000858DC"/>
    <w:rsid w:val="00085AC8"/>
    <w:rsid w:val="00085B9F"/>
    <w:rsid w:val="00085DDA"/>
    <w:rsid w:val="0008657B"/>
    <w:rsid w:val="0008669C"/>
    <w:rsid w:val="00086782"/>
    <w:rsid w:val="00086A17"/>
    <w:rsid w:val="00086B7E"/>
    <w:rsid w:val="00086F7E"/>
    <w:rsid w:val="0008715F"/>
    <w:rsid w:val="00087302"/>
    <w:rsid w:val="000874DC"/>
    <w:rsid w:val="0008750B"/>
    <w:rsid w:val="00087B31"/>
    <w:rsid w:val="00087CE4"/>
    <w:rsid w:val="00087F78"/>
    <w:rsid w:val="000902FF"/>
    <w:rsid w:val="0009056B"/>
    <w:rsid w:val="000905E4"/>
    <w:rsid w:val="0009072A"/>
    <w:rsid w:val="000908B3"/>
    <w:rsid w:val="00090C4F"/>
    <w:rsid w:val="000916BA"/>
    <w:rsid w:val="00091986"/>
    <w:rsid w:val="000919CC"/>
    <w:rsid w:val="00091B7C"/>
    <w:rsid w:val="00092429"/>
    <w:rsid w:val="0009242A"/>
    <w:rsid w:val="00092585"/>
    <w:rsid w:val="0009266A"/>
    <w:rsid w:val="00092790"/>
    <w:rsid w:val="000929C3"/>
    <w:rsid w:val="00092AC4"/>
    <w:rsid w:val="00092ADF"/>
    <w:rsid w:val="00092BAE"/>
    <w:rsid w:val="00092D78"/>
    <w:rsid w:val="00093012"/>
    <w:rsid w:val="00093096"/>
    <w:rsid w:val="000930FB"/>
    <w:rsid w:val="000932D0"/>
    <w:rsid w:val="000933A2"/>
    <w:rsid w:val="00093678"/>
    <w:rsid w:val="0009373E"/>
    <w:rsid w:val="000939DD"/>
    <w:rsid w:val="00093A1E"/>
    <w:rsid w:val="0009423A"/>
    <w:rsid w:val="0009431B"/>
    <w:rsid w:val="00094410"/>
    <w:rsid w:val="000944F0"/>
    <w:rsid w:val="00094804"/>
    <w:rsid w:val="000948B5"/>
    <w:rsid w:val="00094A55"/>
    <w:rsid w:val="00094AF8"/>
    <w:rsid w:val="00094C8F"/>
    <w:rsid w:val="00094F16"/>
    <w:rsid w:val="00095250"/>
    <w:rsid w:val="000953CC"/>
    <w:rsid w:val="0009540C"/>
    <w:rsid w:val="00095810"/>
    <w:rsid w:val="0009583C"/>
    <w:rsid w:val="00095B4A"/>
    <w:rsid w:val="00095B9C"/>
    <w:rsid w:val="00095C00"/>
    <w:rsid w:val="00096090"/>
    <w:rsid w:val="00096611"/>
    <w:rsid w:val="000967ED"/>
    <w:rsid w:val="00096D07"/>
    <w:rsid w:val="00096E0C"/>
    <w:rsid w:val="0009712C"/>
    <w:rsid w:val="00097967"/>
    <w:rsid w:val="00097CC7"/>
    <w:rsid w:val="00097EF3"/>
    <w:rsid w:val="000A011D"/>
    <w:rsid w:val="000A0136"/>
    <w:rsid w:val="000A045C"/>
    <w:rsid w:val="000A05E1"/>
    <w:rsid w:val="000A071B"/>
    <w:rsid w:val="000A095C"/>
    <w:rsid w:val="000A09AA"/>
    <w:rsid w:val="000A0B1E"/>
    <w:rsid w:val="000A0D92"/>
    <w:rsid w:val="000A0FE3"/>
    <w:rsid w:val="000A13DE"/>
    <w:rsid w:val="000A15A8"/>
    <w:rsid w:val="000A16E1"/>
    <w:rsid w:val="000A176C"/>
    <w:rsid w:val="000A17C8"/>
    <w:rsid w:val="000A18B7"/>
    <w:rsid w:val="000A197A"/>
    <w:rsid w:val="000A1989"/>
    <w:rsid w:val="000A1C49"/>
    <w:rsid w:val="000A2102"/>
    <w:rsid w:val="000A2258"/>
    <w:rsid w:val="000A2784"/>
    <w:rsid w:val="000A2C7D"/>
    <w:rsid w:val="000A317A"/>
    <w:rsid w:val="000A364E"/>
    <w:rsid w:val="000A3D7D"/>
    <w:rsid w:val="000A3DEC"/>
    <w:rsid w:val="000A3E5B"/>
    <w:rsid w:val="000A3EED"/>
    <w:rsid w:val="000A407F"/>
    <w:rsid w:val="000A4261"/>
    <w:rsid w:val="000A4428"/>
    <w:rsid w:val="000A442B"/>
    <w:rsid w:val="000A442C"/>
    <w:rsid w:val="000A4837"/>
    <w:rsid w:val="000A4CFC"/>
    <w:rsid w:val="000A4D79"/>
    <w:rsid w:val="000A4F93"/>
    <w:rsid w:val="000A51D4"/>
    <w:rsid w:val="000A531E"/>
    <w:rsid w:val="000A5572"/>
    <w:rsid w:val="000A569E"/>
    <w:rsid w:val="000A5791"/>
    <w:rsid w:val="000A589D"/>
    <w:rsid w:val="000A5B1C"/>
    <w:rsid w:val="000A5C2B"/>
    <w:rsid w:val="000A6368"/>
    <w:rsid w:val="000A65CB"/>
    <w:rsid w:val="000A6CBB"/>
    <w:rsid w:val="000A6FFF"/>
    <w:rsid w:val="000A7354"/>
    <w:rsid w:val="000A73AA"/>
    <w:rsid w:val="000A7896"/>
    <w:rsid w:val="000A797E"/>
    <w:rsid w:val="000A7A64"/>
    <w:rsid w:val="000A7A7F"/>
    <w:rsid w:val="000B0837"/>
    <w:rsid w:val="000B08EB"/>
    <w:rsid w:val="000B0A73"/>
    <w:rsid w:val="000B0A85"/>
    <w:rsid w:val="000B0B67"/>
    <w:rsid w:val="000B0EAC"/>
    <w:rsid w:val="000B1270"/>
    <w:rsid w:val="000B155C"/>
    <w:rsid w:val="000B167A"/>
    <w:rsid w:val="000B1801"/>
    <w:rsid w:val="000B1AD8"/>
    <w:rsid w:val="000B1BC4"/>
    <w:rsid w:val="000B1CBC"/>
    <w:rsid w:val="000B1F06"/>
    <w:rsid w:val="000B1F73"/>
    <w:rsid w:val="000B2020"/>
    <w:rsid w:val="000B26E0"/>
    <w:rsid w:val="000B26F1"/>
    <w:rsid w:val="000B2BEC"/>
    <w:rsid w:val="000B2F6F"/>
    <w:rsid w:val="000B3033"/>
    <w:rsid w:val="000B3165"/>
    <w:rsid w:val="000B32D4"/>
    <w:rsid w:val="000B35DF"/>
    <w:rsid w:val="000B3C79"/>
    <w:rsid w:val="000B4864"/>
    <w:rsid w:val="000B48B9"/>
    <w:rsid w:val="000B4CF4"/>
    <w:rsid w:val="000B5183"/>
    <w:rsid w:val="000B52B3"/>
    <w:rsid w:val="000B5394"/>
    <w:rsid w:val="000B5698"/>
    <w:rsid w:val="000B5B4F"/>
    <w:rsid w:val="000B62EF"/>
    <w:rsid w:val="000B67A2"/>
    <w:rsid w:val="000B69AF"/>
    <w:rsid w:val="000B6A8B"/>
    <w:rsid w:val="000B6D0D"/>
    <w:rsid w:val="000B7332"/>
    <w:rsid w:val="000B75EF"/>
    <w:rsid w:val="000B776A"/>
    <w:rsid w:val="000B7B69"/>
    <w:rsid w:val="000B7DEF"/>
    <w:rsid w:val="000B7E5E"/>
    <w:rsid w:val="000C0319"/>
    <w:rsid w:val="000C043B"/>
    <w:rsid w:val="000C0730"/>
    <w:rsid w:val="000C08D6"/>
    <w:rsid w:val="000C09BF"/>
    <w:rsid w:val="000C0B41"/>
    <w:rsid w:val="000C0BF3"/>
    <w:rsid w:val="000C0DDB"/>
    <w:rsid w:val="000C17C4"/>
    <w:rsid w:val="000C18FA"/>
    <w:rsid w:val="000C1DCB"/>
    <w:rsid w:val="000C219D"/>
    <w:rsid w:val="000C225C"/>
    <w:rsid w:val="000C22FC"/>
    <w:rsid w:val="000C2D2B"/>
    <w:rsid w:val="000C301B"/>
    <w:rsid w:val="000C324D"/>
    <w:rsid w:val="000C34CD"/>
    <w:rsid w:val="000C3654"/>
    <w:rsid w:val="000C387F"/>
    <w:rsid w:val="000C3923"/>
    <w:rsid w:val="000C3A76"/>
    <w:rsid w:val="000C3AA9"/>
    <w:rsid w:val="000C3B40"/>
    <w:rsid w:val="000C3EA2"/>
    <w:rsid w:val="000C40D2"/>
    <w:rsid w:val="000C44F3"/>
    <w:rsid w:val="000C4651"/>
    <w:rsid w:val="000C498A"/>
    <w:rsid w:val="000C4AB9"/>
    <w:rsid w:val="000C4F59"/>
    <w:rsid w:val="000C57C3"/>
    <w:rsid w:val="000C5821"/>
    <w:rsid w:val="000C59E9"/>
    <w:rsid w:val="000C5A1C"/>
    <w:rsid w:val="000C5B29"/>
    <w:rsid w:val="000C5BB5"/>
    <w:rsid w:val="000C5E2D"/>
    <w:rsid w:val="000C5F45"/>
    <w:rsid w:val="000C673C"/>
    <w:rsid w:val="000C7047"/>
    <w:rsid w:val="000C7184"/>
    <w:rsid w:val="000C7290"/>
    <w:rsid w:val="000C7379"/>
    <w:rsid w:val="000C7B5E"/>
    <w:rsid w:val="000C7E02"/>
    <w:rsid w:val="000D007A"/>
    <w:rsid w:val="000D0097"/>
    <w:rsid w:val="000D01AF"/>
    <w:rsid w:val="000D06B2"/>
    <w:rsid w:val="000D07D2"/>
    <w:rsid w:val="000D0999"/>
    <w:rsid w:val="000D0D6F"/>
    <w:rsid w:val="000D0D86"/>
    <w:rsid w:val="000D0E67"/>
    <w:rsid w:val="000D0F87"/>
    <w:rsid w:val="000D0FFC"/>
    <w:rsid w:val="000D10B4"/>
    <w:rsid w:val="000D10F4"/>
    <w:rsid w:val="000D14CF"/>
    <w:rsid w:val="000D14D7"/>
    <w:rsid w:val="000D1F54"/>
    <w:rsid w:val="000D2101"/>
    <w:rsid w:val="000D3239"/>
    <w:rsid w:val="000D341C"/>
    <w:rsid w:val="000D349C"/>
    <w:rsid w:val="000D3585"/>
    <w:rsid w:val="000D35CC"/>
    <w:rsid w:val="000D3D78"/>
    <w:rsid w:val="000D3E42"/>
    <w:rsid w:val="000D4112"/>
    <w:rsid w:val="000D43FC"/>
    <w:rsid w:val="000D47A9"/>
    <w:rsid w:val="000D4AB2"/>
    <w:rsid w:val="000D4C12"/>
    <w:rsid w:val="000D4C3B"/>
    <w:rsid w:val="000D536B"/>
    <w:rsid w:val="000D57F0"/>
    <w:rsid w:val="000D58F7"/>
    <w:rsid w:val="000D59F2"/>
    <w:rsid w:val="000D5B10"/>
    <w:rsid w:val="000D5D9C"/>
    <w:rsid w:val="000D5F55"/>
    <w:rsid w:val="000D6216"/>
    <w:rsid w:val="000D6413"/>
    <w:rsid w:val="000D6704"/>
    <w:rsid w:val="000D6E8C"/>
    <w:rsid w:val="000D70BC"/>
    <w:rsid w:val="000D76E9"/>
    <w:rsid w:val="000D7A1B"/>
    <w:rsid w:val="000D7CB2"/>
    <w:rsid w:val="000D7D30"/>
    <w:rsid w:val="000E06D9"/>
    <w:rsid w:val="000E08EE"/>
    <w:rsid w:val="000E0A8A"/>
    <w:rsid w:val="000E0B5E"/>
    <w:rsid w:val="000E0C9D"/>
    <w:rsid w:val="000E0D9A"/>
    <w:rsid w:val="000E1297"/>
    <w:rsid w:val="000E12D2"/>
    <w:rsid w:val="000E14B7"/>
    <w:rsid w:val="000E190B"/>
    <w:rsid w:val="000E197A"/>
    <w:rsid w:val="000E1B59"/>
    <w:rsid w:val="000E1DFC"/>
    <w:rsid w:val="000E2062"/>
    <w:rsid w:val="000E27FD"/>
    <w:rsid w:val="000E2CEA"/>
    <w:rsid w:val="000E3485"/>
    <w:rsid w:val="000E34EA"/>
    <w:rsid w:val="000E364E"/>
    <w:rsid w:val="000E379F"/>
    <w:rsid w:val="000E383F"/>
    <w:rsid w:val="000E39E6"/>
    <w:rsid w:val="000E3AB9"/>
    <w:rsid w:val="000E413A"/>
    <w:rsid w:val="000E418F"/>
    <w:rsid w:val="000E45C3"/>
    <w:rsid w:val="000E5421"/>
    <w:rsid w:val="000E56A9"/>
    <w:rsid w:val="000E58A0"/>
    <w:rsid w:val="000E5924"/>
    <w:rsid w:val="000E5CB4"/>
    <w:rsid w:val="000E5D2E"/>
    <w:rsid w:val="000E6121"/>
    <w:rsid w:val="000E6151"/>
    <w:rsid w:val="000E6202"/>
    <w:rsid w:val="000E63A6"/>
    <w:rsid w:val="000E65E0"/>
    <w:rsid w:val="000E68B4"/>
    <w:rsid w:val="000E6B01"/>
    <w:rsid w:val="000E6B3A"/>
    <w:rsid w:val="000E6C0F"/>
    <w:rsid w:val="000E6D70"/>
    <w:rsid w:val="000E6F35"/>
    <w:rsid w:val="000E7358"/>
    <w:rsid w:val="000E75E9"/>
    <w:rsid w:val="000E7634"/>
    <w:rsid w:val="000E775F"/>
    <w:rsid w:val="000E79B0"/>
    <w:rsid w:val="000E7BD4"/>
    <w:rsid w:val="000F036C"/>
    <w:rsid w:val="000F0714"/>
    <w:rsid w:val="000F0903"/>
    <w:rsid w:val="000F0B82"/>
    <w:rsid w:val="000F0DB3"/>
    <w:rsid w:val="000F10A4"/>
    <w:rsid w:val="000F1423"/>
    <w:rsid w:val="000F14E3"/>
    <w:rsid w:val="000F1698"/>
    <w:rsid w:val="000F17D7"/>
    <w:rsid w:val="000F1B51"/>
    <w:rsid w:val="000F1D27"/>
    <w:rsid w:val="000F2334"/>
    <w:rsid w:val="000F236D"/>
    <w:rsid w:val="000F2381"/>
    <w:rsid w:val="000F2996"/>
    <w:rsid w:val="000F2C00"/>
    <w:rsid w:val="000F2E1F"/>
    <w:rsid w:val="000F3576"/>
    <w:rsid w:val="000F3848"/>
    <w:rsid w:val="000F3A17"/>
    <w:rsid w:val="000F3BB1"/>
    <w:rsid w:val="000F3BEA"/>
    <w:rsid w:val="000F3BF1"/>
    <w:rsid w:val="000F3D2C"/>
    <w:rsid w:val="000F4214"/>
    <w:rsid w:val="000F42CA"/>
    <w:rsid w:val="000F4DA1"/>
    <w:rsid w:val="000F5535"/>
    <w:rsid w:val="000F5A28"/>
    <w:rsid w:val="000F5C43"/>
    <w:rsid w:val="000F5E9A"/>
    <w:rsid w:val="000F66A3"/>
    <w:rsid w:val="000F6AA0"/>
    <w:rsid w:val="000F6CBD"/>
    <w:rsid w:val="000F6F99"/>
    <w:rsid w:val="000F73EE"/>
    <w:rsid w:val="000F74B4"/>
    <w:rsid w:val="000F7833"/>
    <w:rsid w:val="000F7C99"/>
    <w:rsid w:val="000F7DDB"/>
    <w:rsid w:val="00100280"/>
    <w:rsid w:val="00100312"/>
    <w:rsid w:val="0010056D"/>
    <w:rsid w:val="0010064E"/>
    <w:rsid w:val="00100A74"/>
    <w:rsid w:val="00100B7E"/>
    <w:rsid w:val="00100E21"/>
    <w:rsid w:val="0010109E"/>
    <w:rsid w:val="001019B3"/>
    <w:rsid w:val="00101B75"/>
    <w:rsid w:val="00101BC4"/>
    <w:rsid w:val="00101C14"/>
    <w:rsid w:val="00101CA1"/>
    <w:rsid w:val="00101D65"/>
    <w:rsid w:val="00101DE6"/>
    <w:rsid w:val="00101F2D"/>
    <w:rsid w:val="0010234F"/>
    <w:rsid w:val="001023DC"/>
    <w:rsid w:val="00102614"/>
    <w:rsid w:val="00102881"/>
    <w:rsid w:val="00102C44"/>
    <w:rsid w:val="00102C68"/>
    <w:rsid w:val="00102E0C"/>
    <w:rsid w:val="00102E6E"/>
    <w:rsid w:val="00102E76"/>
    <w:rsid w:val="00102FD0"/>
    <w:rsid w:val="00103009"/>
    <w:rsid w:val="001031C8"/>
    <w:rsid w:val="00103669"/>
    <w:rsid w:val="0010380B"/>
    <w:rsid w:val="001038C9"/>
    <w:rsid w:val="00103945"/>
    <w:rsid w:val="00103B6A"/>
    <w:rsid w:val="00103E65"/>
    <w:rsid w:val="001040A3"/>
    <w:rsid w:val="00104683"/>
    <w:rsid w:val="00104936"/>
    <w:rsid w:val="00104BD4"/>
    <w:rsid w:val="00104D69"/>
    <w:rsid w:val="00105004"/>
    <w:rsid w:val="001051A8"/>
    <w:rsid w:val="001052A0"/>
    <w:rsid w:val="0010551E"/>
    <w:rsid w:val="00105807"/>
    <w:rsid w:val="00105839"/>
    <w:rsid w:val="0010591C"/>
    <w:rsid w:val="00105D75"/>
    <w:rsid w:val="00106112"/>
    <w:rsid w:val="00106226"/>
    <w:rsid w:val="001062A4"/>
    <w:rsid w:val="00106418"/>
    <w:rsid w:val="0010694C"/>
    <w:rsid w:val="00106EFB"/>
    <w:rsid w:val="00106F48"/>
    <w:rsid w:val="00106FDB"/>
    <w:rsid w:val="0010721D"/>
    <w:rsid w:val="0010732A"/>
    <w:rsid w:val="00107366"/>
    <w:rsid w:val="00107899"/>
    <w:rsid w:val="00107914"/>
    <w:rsid w:val="001079CF"/>
    <w:rsid w:val="00107B93"/>
    <w:rsid w:val="00107DF7"/>
    <w:rsid w:val="001100BE"/>
    <w:rsid w:val="001100FC"/>
    <w:rsid w:val="00110262"/>
    <w:rsid w:val="001106BE"/>
    <w:rsid w:val="00110B2D"/>
    <w:rsid w:val="00110CC6"/>
    <w:rsid w:val="00110F7C"/>
    <w:rsid w:val="0011154C"/>
    <w:rsid w:val="001117F0"/>
    <w:rsid w:val="00111BC9"/>
    <w:rsid w:val="00111C11"/>
    <w:rsid w:val="00111C3C"/>
    <w:rsid w:val="00111D5C"/>
    <w:rsid w:val="001124B0"/>
    <w:rsid w:val="00112AEA"/>
    <w:rsid w:val="00112C93"/>
    <w:rsid w:val="0011308C"/>
    <w:rsid w:val="00113163"/>
    <w:rsid w:val="0011317D"/>
    <w:rsid w:val="0011320F"/>
    <w:rsid w:val="00113673"/>
    <w:rsid w:val="00113BB3"/>
    <w:rsid w:val="00114475"/>
    <w:rsid w:val="00114677"/>
    <w:rsid w:val="001148C1"/>
    <w:rsid w:val="00114E0B"/>
    <w:rsid w:val="001154C9"/>
    <w:rsid w:val="001159B7"/>
    <w:rsid w:val="00115DBA"/>
    <w:rsid w:val="00115E0D"/>
    <w:rsid w:val="00116054"/>
    <w:rsid w:val="00116565"/>
    <w:rsid w:val="00116687"/>
    <w:rsid w:val="001167C7"/>
    <w:rsid w:val="00116C99"/>
    <w:rsid w:val="00116E13"/>
    <w:rsid w:val="00117113"/>
    <w:rsid w:val="00117274"/>
    <w:rsid w:val="0011754C"/>
    <w:rsid w:val="001179C5"/>
    <w:rsid w:val="00117AE5"/>
    <w:rsid w:val="00117C47"/>
    <w:rsid w:val="00117C62"/>
    <w:rsid w:val="00117D72"/>
    <w:rsid w:val="00117E6E"/>
    <w:rsid w:val="00117EBE"/>
    <w:rsid w:val="001200EC"/>
    <w:rsid w:val="001201B5"/>
    <w:rsid w:val="001203C9"/>
    <w:rsid w:val="00120444"/>
    <w:rsid w:val="001204A3"/>
    <w:rsid w:val="00120560"/>
    <w:rsid w:val="00121060"/>
    <w:rsid w:val="00121419"/>
    <w:rsid w:val="001218BA"/>
    <w:rsid w:val="00121E5B"/>
    <w:rsid w:val="0012211A"/>
    <w:rsid w:val="00122591"/>
    <w:rsid w:val="00122761"/>
    <w:rsid w:val="00122799"/>
    <w:rsid w:val="00122868"/>
    <w:rsid w:val="00122948"/>
    <w:rsid w:val="00122A3A"/>
    <w:rsid w:val="00122ACF"/>
    <w:rsid w:val="00122BA7"/>
    <w:rsid w:val="00122D0C"/>
    <w:rsid w:val="00122F38"/>
    <w:rsid w:val="0012313D"/>
    <w:rsid w:val="001234CC"/>
    <w:rsid w:val="00123876"/>
    <w:rsid w:val="001238CF"/>
    <w:rsid w:val="00123CB3"/>
    <w:rsid w:val="00123F46"/>
    <w:rsid w:val="001246CC"/>
    <w:rsid w:val="001246D5"/>
    <w:rsid w:val="001247E8"/>
    <w:rsid w:val="00124FC2"/>
    <w:rsid w:val="0012521E"/>
    <w:rsid w:val="001254D6"/>
    <w:rsid w:val="00125926"/>
    <w:rsid w:val="00125AB8"/>
    <w:rsid w:val="00125B24"/>
    <w:rsid w:val="00125D19"/>
    <w:rsid w:val="00125D1D"/>
    <w:rsid w:val="00125D5B"/>
    <w:rsid w:val="00125E2F"/>
    <w:rsid w:val="001260DF"/>
    <w:rsid w:val="0012674F"/>
    <w:rsid w:val="001272A9"/>
    <w:rsid w:val="0012762A"/>
    <w:rsid w:val="001276F6"/>
    <w:rsid w:val="00127724"/>
    <w:rsid w:val="0012783E"/>
    <w:rsid w:val="00127910"/>
    <w:rsid w:val="00127CA6"/>
    <w:rsid w:val="00127D65"/>
    <w:rsid w:val="00130875"/>
    <w:rsid w:val="001309B5"/>
    <w:rsid w:val="00130B95"/>
    <w:rsid w:val="00130BC7"/>
    <w:rsid w:val="00130C0A"/>
    <w:rsid w:val="00130CD1"/>
    <w:rsid w:val="00130DAD"/>
    <w:rsid w:val="00131161"/>
    <w:rsid w:val="001313A4"/>
    <w:rsid w:val="00131413"/>
    <w:rsid w:val="001314F3"/>
    <w:rsid w:val="0013158F"/>
    <w:rsid w:val="001315D5"/>
    <w:rsid w:val="001317A5"/>
    <w:rsid w:val="00132037"/>
    <w:rsid w:val="00132212"/>
    <w:rsid w:val="0013235F"/>
    <w:rsid w:val="001325A3"/>
    <w:rsid w:val="00132AC8"/>
    <w:rsid w:val="00132FB3"/>
    <w:rsid w:val="00133077"/>
    <w:rsid w:val="00133261"/>
    <w:rsid w:val="00133274"/>
    <w:rsid w:val="001332D6"/>
    <w:rsid w:val="001334F0"/>
    <w:rsid w:val="00133573"/>
    <w:rsid w:val="00133A69"/>
    <w:rsid w:val="00133BAF"/>
    <w:rsid w:val="00133C62"/>
    <w:rsid w:val="0013416B"/>
    <w:rsid w:val="0013451F"/>
    <w:rsid w:val="0013467A"/>
    <w:rsid w:val="00134FFF"/>
    <w:rsid w:val="00135216"/>
    <w:rsid w:val="00135656"/>
    <w:rsid w:val="00135774"/>
    <w:rsid w:val="00135D64"/>
    <w:rsid w:val="00135E80"/>
    <w:rsid w:val="00135EC6"/>
    <w:rsid w:val="00135FED"/>
    <w:rsid w:val="00136035"/>
    <w:rsid w:val="00136583"/>
    <w:rsid w:val="00136663"/>
    <w:rsid w:val="00136672"/>
    <w:rsid w:val="00136983"/>
    <w:rsid w:val="001369AB"/>
    <w:rsid w:val="00136A22"/>
    <w:rsid w:val="00136B16"/>
    <w:rsid w:val="00136FF1"/>
    <w:rsid w:val="00137094"/>
    <w:rsid w:val="001375FD"/>
    <w:rsid w:val="00137C44"/>
    <w:rsid w:val="00137D0A"/>
    <w:rsid w:val="00137DF0"/>
    <w:rsid w:val="00140098"/>
    <w:rsid w:val="0014044F"/>
    <w:rsid w:val="00140688"/>
    <w:rsid w:val="001406CB"/>
    <w:rsid w:val="00140BAF"/>
    <w:rsid w:val="00140FDF"/>
    <w:rsid w:val="001411E9"/>
    <w:rsid w:val="001413F8"/>
    <w:rsid w:val="00141787"/>
    <w:rsid w:val="00141E8D"/>
    <w:rsid w:val="0014204D"/>
    <w:rsid w:val="00143325"/>
    <w:rsid w:val="00143766"/>
    <w:rsid w:val="0014397C"/>
    <w:rsid w:val="00143EF5"/>
    <w:rsid w:val="00143FBF"/>
    <w:rsid w:val="0014411E"/>
    <w:rsid w:val="001441FD"/>
    <w:rsid w:val="00144243"/>
    <w:rsid w:val="00144519"/>
    <w:rsid w:val="001445FF"/>
    <w:rsid w:val="001446DC"/>
    <w:rsid w:val="001447F1"/>
    <w:rsid w:val="0014493D"/>
    <w:rsid w:val="00145306"/>
    <w:rsid w:val="001453F2"/>
    <w:rsid w:val="00145429"/>
    <w:rsid w:val="001457F9"/>
    <w:rsid w:val="00145A6C"/>
    <w:rsid w:val="00145B74"/>
    <w:rsid w:val="0014646D"/>
    <w:rsid w:val="00146539"/>
    <w:rsid w:val="001466AA"/>
    <w:rsid w:val="00146711"/>
    <w:rsid w:val="00146BD5"/>
    <w:rsid w:val="00146CE5"/>
    <w:rsid w:val="00146F26"/>
    <w:rsid w:val="00146F6F"/>
    <w:rsid w:val="00147381"/>
    <w:rsid w:val="001478D5"/>
    <w:rsid w:val="00147AF9"/>
    <w:rsid w:val="00147D3C"/>
    <w:rsid w:val="001501A7"/>
    <w:rsid w:val="001504D1"/>
    <w:rsid w:val="001504DC"/>
    <w:rsid w:val="0015082E"/>
    <w:rsid w:val="00150ED2"/>
    <w:rsid w:val="0015145E"/>
    <w:rsid w:val="001515A3"/>
    <w:rsid w:val="00151634"/>
    <w:rsid w:val="00151893"/>
    <w:rsid w:val="0015193D"/>
    <w:rsid w:val="001519A6"/>
    <w:rsid w:val="00151A75"/>
    <w:rsid w:val="00151EF2"/>
    <w:rsid w:val="00152165"/>
    <w:rsid w:val="00152169"/>
    <w:rsid w:val="001526D1"/>
    <w:rsid w:val="001527CB"/>
    <w:rsid w:val="00152932"/>
    <w:rsid w:val="00152943"/>
    <w:rsid w:val="00152952"/>
    <w:rsid w:val="001529FA"/>
    <w:rsid w:val="0015360C"/>
    <w:rsid w:val="00153647"/>
    <w:rsid w:val="0015382A"/>
    <w:rsid w:val="00153FFF"/>
    <w:rsid w:val="001548BE"/>
    <w:rsid w:val="00154C31"/>
    <w:rsid w:val="00154D04"/>
    <w:rsid w:val="00154F72"/>
    <w:rsid w:val="00155265"/>
    <w:rsid w:val="00155912"/>
    <w:rsid w:val="00155D23"/>
    <w:rsid w:val="00156174"/>
    <w:rsid w:val="0015622A"/>
    <w:rsid w:val="001569D1"/>
    <w:rsid w:val="00156BA7"/>
    <w:rsid w:val="001575E9"/>
    <w:rsid w:val="001575FB"/>
    <w:rsid w:val="0015762A"/>
    <w:rsid w:val="00157816"/>
    <w:rsid w:val="00157930"/>
    <w:rsid w:val="00157E98"/>
    <w:rsid w:val="001602A8"/>
    <w:rsid w:val="0016038C"/>
    <w:rsid w:val="001605A6"/>
    <w:rsid w:val="00160DD9"/>
    <w:rsid w:val="00161446"/>
    <w:rsid w:val="001614E9"/>
    <w:rsid w:val="001615AF"/>
    <w:rsid w:val="0016194E"/>
    <w:rsid w:val="00161A3A"/>
    <w:rsid w:val="00162201"/>
    <w:rsid w:val="00162269"/>
    <w:rsid w:val="00162475"/>
    <w:rsid w:val="0016269A"/>
    <w:rsid w:val="001629D2"/>
    <w:rsid w:val="00162F48"/>
    <w:rsid w:val="00163263"/>
    <w:rsid w:val="00163557"/>
    <w:rsid w:val="00163CFF"/>
    <w:rsid w:val="00163DA9"/>
    <w:rsid w:val="00163ECC"/>
    <w:rsid w:val="0016401A"/>
    <w:rsid w:val="00164373"/>
    <w:rsid w:val="00164B45"/>
    <w:rsid w:val="00164D64"/>
    <w:rsid w:val="00164E81"/>
    <w:rsid w:val="00165350"/>
    <w:rsid w:val="0016548D"/>
    <w:rsid w:val="001659F6"/>
    <w:rsid w:val="00165AAB"/>
    <w:rsid w:val="00165ADB"/>
    <w:rsid w:val="00165B9E"/>
    <w:rsid w:val="00165F2B"/>
    <w:rsid w:val="001660A1"/>
    <w:rsid w:val="001662F4"/>
    <w:rsid w:val="001663C8"/>
    <w:rsid w:val="001664E5"/>
    <w:rsid w:val="001666FC"/>
    <w:rsid w:val="00166D55"/>
    <w:rsid w:val="00167292"/>
    <w:rsid w:val="0016734A"/>
    <w:rsid w:val="0016751B"/>
    <w:rsid w:val="00167629"/>
    <w:rsid w:val="00167701"/>
    <w:rsid w:val="0016777A"/>
    <w:rsid w:val="00167831"/>
    <w:rsid w:val="00167B97"/>
    <w:rsid w:val="00167C90"/>
    <w:rsid w:val="00167CE9"/>
    <w:rsid w:val="00167DFD"/>
    <w:rsid w:val="00167F0A"/>
    <w:rsid w:val="001700CD"/>
    <w:rsid w:val="001701C2"/>
    <w:rsid w:val="0017042E"/>
    <w:rsid w:val="00170865"/>
    <w:rsid w:val="00170954"/>
    <w:rsid w:val="00170D70"/>
    <w:rsid w:val="001710BC"/>
    <w:rsid w:val="001713A4"/>
    <w:rsid w:val="0017146E"/>
    <w:rsid w:val="00171A0E"/>
    <w:rsid w:val="00171BF3"/>
    <w:rsid w:val="00172139"/>
    <w:rsid w:val="001723C8"/>
    <w:rsid w:val="00172B52"/>
    <w:rsid w:val="00172B80"/>
    <w:rsid w:val="00172B98"/>
    <w:rsid w:val="00172D23"/>
    <w:rsid w:val="0017318E"/>
    <w:rsid w:val="001731BB"/>
    <w:rsid w:val="00173362"/>
    <w:rsid w:val="0017336B"/>
    <w:rsid w:val="00173D36"/>
    <w:rsid w:val="00173F6D"/>
    <w:rsid w:val="001744A2"/>
    <w:rsid w:val="001744DA"/>
    <w:rsid w:val="001749BB"/>
    <w:rsid w:val="001753D8"/>
    <w:rsid w:val="0017549F"/>
    <w:rsid w:val="001754C4"/>
    <w:rsid w:val="001754CF"/>
    <w:rsid w:val="001756E9"/>
    <w:rsid w:val="00175735"/>
    <w:rsid w:val="001757A5"/>
    <w:rsid w:val="0017593A"/>
    <w:rsid w:val="00175EBE"/>
    <w:rsid w:val="00175F3B"/>
    <w:rsid w:val="00175F93"/>
    <w:rsid w:val="001760DB"/>
    <w:rsid w:val="00176291"/>
    <w:rsid w:val="001764E3"/>
    <w:rsid w:val="00176A44"/>
    <w:rsid w:val="00176A6C"/>
    <w:rsid w:val="00176C66"/>
    <w:rsid w:val="001772DE"/>
    <w:rsid w:val="00177EF5"/>
    <w:rsid w:val="00180161"/>
    <w:rsid w:val="0018055F"/>
    <w:rsid w:val="001807F1"/>
    <w:rsid w:val="00180E85"/>
    <w:rsid w:val="00181193"/>
    <w:rsid w:val="00181301"/>
    <w:rsid w:val="001816F5"/>
    <w:rsid w:val="001817FE"/>
    <w:rsid w:val="00181C3A"/>
    <w:rsid w:val="00182156"/>
    <w:rsid w:val="0018259C"/>
    <w:rsid w:val="001825BA"/>
    <w:rsid w:val="001829FC"/>
    <w:rsid w:val="00183065"/>
    <w:rsid w:val="00183167"/>
    <w:rsid w:val="00183390"/>
    <w:rsid w:val="00183400"/>
    <w:rsid w:val="00183F79"/>
    <w:rsid w:val="001841A4"/>
    <w:rsid w:val="00184306"/>
    <w:rsid w:val="001847C9"/>
    <w:rsid w:val="00184FDC"/>
    <w:rsid w:val="00185100"/>
    <w:rsid w:val="0018553A"/>
    <w:rsid w:val="0018562D"/>
    <w:rsid w:val="00185778"/>
    <w:rsid w:val="00185A41"/>
    <w:rsid w:val="00185DF0"/>
    <w:rsid w:val="00185E0B"/>
    <w:rsid w:val="00185FB4"/>
    <w:rsid w:val="00186190"/>
    <w:rsid w:val="0018632F"/>
    <w:rsid w:val="00186A34"/>
    <w:rsid w:val="00186EE2"/>
    <w:rsid w:val="00187164"/>
    <w:rsid w:val="00187C5D"/>
    <w:rsid w:val="00187CFA"/>
    <w:rsid w:val="00187E51"/>
    <w:rsid w:val="001900BB"/>
    <w:rsid w:val="00190569"/>
    <w:rsid w:val="0019065D"/>
    <w:rsid w:val="00190B7A"/>
    <w:rsid w:val="00190D36"/>
    <w:rsid w:val="00190D8C"/>
    <w:rsid w:val="00190E61"/>
    <w:rsid w:val="001919A6"/>
    <w:rsid w:val="00191B50"/>
    <w:rsid w:val="00191F32"/>
    <w:rsid w:val="00191F41"/>
    <w:rsid w:val="00191FBE"/>
    <w:rsid w:val="00192118"/>
    <w:rsid w:val="001922DC"/>
    <w:rsid w:val="00192E40"/>
    <w:rsid w:val="00192F82"/>
    <w:rsid w:val="0019308F"/>
    <w:rsid w:val="001930F9"/>
    <w:rsid w:val="0019375E"/>
    <w:rsid w:val="001938C1"/>
    <w:rsid w:val="00193987"/>
    <w:rsid w:val="00193A08"/>
    <w:rsid w:val="00193B58"/>
    <w:rsid w:val="00194093"/>
    <w:rsid w:val="00194497"/>
    <w:rsid w:val="00194653"/>
    <w:rsid w:val="00194AAE"/>
    <w:rsid w:val="00194BFB"/>
    <w:rsid w:val="00194DA4"/>
    <w:rsid w:val="00194FD9"/>
    <w:rsid w:val="00195089"/>
    <w:rsid w:val="00195BF2"/>
    <w:rsid w:val="00195D02"/>
    <w:rsid w:val="00195D06"/>
    <w:rsid w:val="00195DA3"/>
    <w:rsid w:val="00195F16"/>
    <w:rsid w:val="001960D7"/>
    <w:rsid w:val="00196533"/>
    <w:rsid w:val="0019679E"/>
    <w:rsid w:val="00196953"/>
    <w:rsid w:val="00196957"/>
    <w:rsid w:val="00196CBE"/>
    <w:rsid w:val="001975FC"/>
    <w:rsid w:val="001977C9"/>
    <w:rsid w:val="00197F70"/>
    <w:rsid w:val="001A029A"/>
    <w:rsid w:val="001A053B"/>
    <w:rsid w:val="001A070D"/>
    <w:rsid w:val="001A0717"/>
    <w:rsid w:val="001A07E2"/>
    <w:rsid w:val="001A0922"/>
    <w:rsid w:val="001A0D19"/>
    <w:rsid w:val="001A0E17"/>
    <w:rsid w:val="001A1021"/>
    <w:rsid w:val="001A1209"/>
    <w:rsid w:val="001A1958"/>
    <w:rsid w:val="001A1A95"/>
    <w:rsid w:val="001A1C01"/>
    <w:rsid w:val="001A241A"/>
    <w:rsid w:val="001A25E7"/>
    <w:rsid w:val="001A2F69"/>
    <w:rsid w:val="001A30CA"/>
    <w:rsid w:val="001A391C"/>
    <w:rsid w:val="001A39F8"/>
    <w:rsid w:val="001A3ABC"/>
    <w:rsid w:val="001A3D79"/>
    <w:rsid w:val="001A40E1"/>
    <w:rsid w:val="001A427A"/>
    <w:rsid w:val="001A4423"/>
    <w:rsid w:val="001A465A"/>
    <w:rsid w:val="001A4D1D"/>
    <w:rsid w:val="001A5316"/>
    <w:rsid w:val="001A5356"/>
    <w:rsid w:val="001A54E7"/>
    <w:rsid w:val="001A59FB"/>
    <w:rsid w:val="001A5B0C"/>
    <w:rsid w:val="001A5FF0"/>
    <w:rsid w:val="001A6531"/>
    <w:rsid w:val="001A6EB4"/>
    <w:rsid w:val="001A71E7"/>
    <w:rsid w:val="001A757E"/>
    <w:rsid w:val="001A7ADD"/>
    <w:rsid w:val="001A7DA8"/>
    <w:rsid w:val="001A7EA2"/>
    <w:rsid w:val="001A7FEE"/>
    <w:rsid w:val="001B0CE3"/>
    <w:rsid w:val="001B0D96"/>
    <w:rsid w:val="001B1924"/>
    <w:rsid w:val="001B1960"/>
    <w:rsid w:val="001B1AC9"/>
    <w:rsid w:val="001B1C84"/>
    <w:rsid w:val="001B1E22"/>
    <w:rsid w:val="001B1FD2"/>
    <w:rsid w:val="001B2114"/>
    <w:rsid w:val="001B21A8"/>
    <w:rsid w:val="001B24E3"/>
    <w:rsid w:val="001B25D5"/>
    <w:rsid w:val="001B28C4"/>
    <w:rsid w:val="001B3042"/>
    <w:rsid w:val="001B3065"/>
    <w:rsid w:val="001B30AD"/>
    <w:rsid w:val="001B3939"/>
    <w:rsid w:val="001B3A34"/>
    <w:rsid w:val="001B3AE0"/>
    <w:rsid w:val="001B3EAF"/>
    <w:rsid w:val="001B3F79"/>
    <w:rsid w:val="001B4169"/>
    <w:rsid w:val="001B442B"/>
    <w:rsid w:val="001B486C"/>
    <w:rsid w:val="001B4977"/>
    <w:rsid w:val="001B51B2"/>
    <w:rsid w:val="001B5383"/>
    <w:rsid w:val="001B539F"/>
    <w:rsid w:val="001B5437"/>
    <w:rsid w:val="001B54EB"/>
    <w:rsid w:val="001B56C4"/>
    <w:rsid w:val="001B57A4"/>
    <w:rsid w:val="001B5967"/>
    <w:rsid w:val="001B5AD7"/>
    <w:rsid w:val="001B5F01"/>
    <w:rsid w:val="001B61A1"/>
    <w:rsid w:val="001B6510"/>
    <w:rsid w:val="001B6D64"/>
    <w:rsid w:val="001B70AC"/>
    <w:rsid w:val="001B742E"/>
    <w:rsid w:val="001B7485"/>
    <w:rsid w:val="001B768C"/>
    <w:rsid w:val="001B7794"/>
    <w:rsid w:val="001B78E9"/>
    <w:rsid w:val="001B7A02"/>
    <w:rsid w:val="001B7BC9"/>
    <w:rsid w:val="001C01A5"/>
    <w:rsid w:val="001C0311"/>
    <w:rsid w:val="001C04CB"/>
    <w:rsid w:val="001C06BD"/>
    <w:rsid w:val="001C0742"/>
    <w:rsid w:val="001C0EBF"/>
    <w:rsid w:val="001C1094"/>
    <w:rsid w:val="001C15AD"/>
    <w:rsid w:val="001C16C2"/>
    <w:rsid w:val="001C19D2"/>
    <w:rsid w:val="001C1CBA"/>
    <w:rsid w:val="001C1FE1"/>
    <w:rsid w:val="001C2211"/>
    <w:rsid w:val="001C22D9"/>
    <w:rsid w:val="001C2671"/>
    <w:rsid w:val="001C26FD"/>
    <w:rsid w:val="001C3466"/>
    <w:rsid w:val="001C3537"/>
    <w:rsid w:val="001C3657"/>
    <w:rsid w:val="001C389E"/>
    <w:rsid w:val="001C3A8D"/>
    <w:rsid w:val="001C3D4D"/>
    <w:rsid w:val="001C4126"/>
    <w:rsid w:val="001C44BD"/>
    <w:rsid w:val="001C4596"/>
    <w:rsid w:val="001C45E8"/>
    <w:rsid w:val="001C4A02"/>
    <w:rsid w:val="001C4A6F"/>
    <w:rsid w:val="001C4BBF"/>
    <w:rsid w:val="001C50E4"/>
    <w:rsid w:val="001C560A"/>
    <w:rsid w:val="001C5748"/>
    <w:rsid w:val="001C5829"/>
    <w:rsid w:val="001C5C1B"/>
    <w:rsid w:val="001C5C9C"/>
    <w:rsid w:val="001C6081"/>
    <w:rsid w:val="001C617E"/>
    <w:rsid w:val="001C64BB"/>
    <w:rsid w:val="001C67FF"/>
    <w:rsid w:val="001C6820"/>
    <w:rsid w:val="001C6896"/>
    <w:rsid w:val="001C706F"/>
    <w:rsid w:val="001C713B"/>
    <w:rsid w:val="001C79B0"/>
    <w:rsid w:val="001C79C7"/>
    <w:rsid w:val="001C7A57"/>
    <w:rsid w:val="001C7D36"/>
    <w:rsid w:val="001D0058"/>
    <w:rsid w:val="001D010D"/>
    <w:rsid w:val="001D0189"/>
    <w:rsid w:val="001D0196"/>
    <w:rsid w:val="001D069D"/>
    <w:rsid w:val="001D08A7"/>
    <w:rsid w:val="001D0AA6"/>
    <w:rsid w:val="001D0B3B"/>
    <w:rsid w:val="001D0CE5"/>
    <w:rsid w:val="001D1237"/>
    <w:rsid w:val="001D1335"/>
    <w:rsid w:val="001D1352"/>
    <w:rsid w:val="001D13CA"/>
    <w:rsid w:val="001D1469"/>
    <w:rsid w:val="001D181C"/>
    <w:rsid w:val="001D1DD0"/>
    <w:rsid w:val="001D213A"/>
    <w:rsid w:val="001D249A"/>
    <w:rsid w:val="001D24C1"/>
    <w:rsid w:val="001D2628"/>
    <w:rsid w:val="001D26FA"/>
    <w:rsid w:val="001D2D5B"/>
    <w:rsid w:val="001D2F54"/>
    <w:rsid w:val="001D325E"/>
    <w:rsid w:val="001D464D"/>
    <w:rsid w:val="001D48D8"/>
    <w:rsid w:val="001D4C86"/>
    <w:rsid w:val="001D4E53"/>
    <w:rsid w:val="001D5354"/>
    <w:rsid w:val="001D53BF"/>
    <w:rsid w:val="001D5434"/>
    <w:rsid w:val="001D5DC4"/>
    <w:rsid w:val="001D6013"/>
    <w:rsid w:val="001D6607"/>
    <w:rsid w:val="001D67E1"/>
    <w:rsid w:val="001D6982"/>
    <w:rsid w:val="001D69A3"/>
    <w:rsid w:val="001D6ADD"/>
    <w:rsid w:val="001D6CF5"/>
    <w:rsid w:val="001D7090"/>
    <w:rsid w:val="001D7171"/>
    <w:rsid w:val="001D71F4"/>
    <w:rsid w:val="001D7265"/>
    <w:rsid w:val="001D7685"/>
    <w:rsid w:val="001D77D1"/>
    <w:rsid w:val="001D7B43"/>
    <w:rsid w:val="001D7C2B"/>
    <w:rsid w:val="001D7D8C"/>
    <w:rsid w:val="001D7F73"/>
    <w:rsid w:val="001D7FB2"/>
    <w:rsid w:val="001E03F3"/>
    <w:rsid w:val="001E0774"/>
    <w:rsid w:val="001E078D"/>
    <w:rsid w:val="001E080B"/>
    <w:rsid w:val="001E0AD9"/>
    <w:rsid w:val="001E0B5F"/>
    <w:rsid w:val="001E0E00"/>
    <w:rsid w:val="001E0EA9"/>
    <w:rsid w:val="001E1079"/>
    <w:rsid w:val="001E12FC"/>
    <w:rsid w:val="001E12FE"/>
    <w:rsid w:val="001E13F8"/>
    <w:rsid w:val="001E189B"/>
    <w:rsid w:val="001E1C1B"/>
    <w:rsid w:val="001E1CC5"/>
    <w:rsid w:val="001E26B2"/>
    <w:rsid w:val="001E28D3"/>
    <w:rsid w:val="001E2CA1"/>
    <w:rsid w:val="001E2D90"/>
    <w:rsid w:val="001E3507"/>
    <w:rsid w:val="001E35CD"/>
    <w:rsid w:val="001E38AF"/>
    <w:rsid w:val="001E3A6D"/>
    <w:rsid w:val="001E3C0B"/>
    <w:rsid w:val="001E3D3C"/>
    <w:rsid w:val="001E3E7F"/>
    <w:rsid w:val="001E4210"/>
    <w:rsid w:val="001E445E"/>
    <w:rsid w:val="001E4615"/>
    <w:rsid w:val="001E480C"/>
    <w:rsid w:val="001E4CB4"/>
    <w:rsid w:val="001E4ED3"/>
    <w:rsid w:val="001E518E"/>
    <w:rsid w:val="001E5822"/>
    <w:rsid w:val="001E62CC"/>
    <w:rsid w:val="001E6377"/>
    <w:rsid w:val="001E638A"/>
    <w:rsid w:val="001E6659"/>
    <w:rsid w:val="001E66D9"/>
    <w:rsid w:val="001E6790"/>
    <w:rsid w:val="001E69B2"/>
    <w:rsid w:val="001E6C75"/>
    <w:rsid w:val="001E6F8D"/>
    <w:rsid w:val="001E7007"/>
    <w:rsid w:val="001E73D8"/>
    <w:rsid w:val="001E7719"/>
    <w:rsid w:val="001E7D7B"/>
    <w:rsid w:val="001F031F"/>
    <w:rsid w:val="001F0334"/>
    <w:rsid w:val="001F06C1"/>
    <w:rsid w:val="001F0ABD"/>
    <w:rsid w:val="001F0D75"/>
    <w:rsid w:val="001F18DF"/>
    <w:rsid w:val="001F1C56"/>
    <w:rsid w:val="001F1CA0"/>
    <w:rsid w:val="001F1D85"/>
    <w:rsid w:val="001F205F"/>
    <w:rsid w:val="001F22B2"/>
    <w:rsid w:val="001F252E"/>
    <w:rsid w:val="001F25B7"/>
    <w:rsid w:val="001F2909"/>
    <w:rsid w:val="001F2C69"/>
    <w:rsid w:val="001F2E10"/>
    <w:rsid w:val="001F2E4E"/>
    <w:rsid w:val="001F2F2F"/>
    <w:rsid w:val="001F2FA6"/>
    <w:rsid w:val="001F3127"/>
    <w:rsid w:val="001F380E"/>
    <w:rsid w:val="001F3A63"/>
    <w:rsid w:val="001F3CEB"/>
    <w:rsid w:val="001F3DB4"/>
    <w:rsid w:val="001F3ECD"/>
    <w:rsid w:val="001F444E"/>
    <w:rsid w:val="001F44BD"/>
    <w:rsid w:val="001F46F4"/>
    <w:rsid w:val="001F4832"/>
    <w:rsid w:val="001F4A88"/>
    <w:rsid w:val="001F4B94"/>
    <w:rsid w:val="001F4C9F"/>
    <w:rsid w:val="001F558F"/>
    <w:rsid w:val="001F56C6"/>
    <w:rsid w:val="001F5892"/>
    <w:rsid w:val="001F5973"/>
    <w:rsid w:val="001F5A6A"/>
    <w:rsid w:val="001F5A89"/>
    <w:rsid w:val="001F5ABC"/>
    <w:rsid w:val="001F5CA9"/>
    <w:rsid w:val="001F5E67"/>
    <w:rsid w:val="001F62C1"/>
    <w:rsid w:val="001F63ED"/>
    <w:rsid w:val="001F6A8F"/>
    <w:rsid w:val="001F7406"/>
    <w:rsid w:val="001F760C"/>
    <w:rsid w:val="001F763E"/>
    <w:rsid w:val="002001D7"/>
    <w:rsid w:val="002003CE"/>
    <w:rsid w:val="0020049B"/>
    <w:rsid w:val="002004CA"/>
    <w:rsid w:val="00200791"/>
    <w:rsid w:val="002008B5"/>
    <w:rsid w:val="00200D4A"/>
    <w:rsid w:val="00200ED4"/>
    <w:rsid w:val="002011FE"/>
    <w:rsid w:val="00201536"/>
    <w:rsid w:val="002016CB"/>
    <w:rsid w:val="00201704"/>
    <w:rsid w:val="002018D8"/>
    <w:rsid w:val="002019D4"/>
    <w:rsid w:val="00201AD3"/>
    <w:rsid w:val="00202210"/>
    <w:rsid w:val="002022BE"/>
    <w:rsid w:val="00202393"/>
    <w:rsid w:val="0020271F"/>
    <w:rsid w:val="0020285E"/>
    <w:rsid w:val="0020298F"/>
    <w:rsid w:val="00202D48"/>
    <w:rsid w:val="00202F08"/>
    <w:rsid w:val="002032E7"/>
    <w:rsid w:val="0020340C"/>
    <w:rsid w:val="00203412"/>
    <w:rsid w:val="00203889"/>
    <w:rsid w:val="00203F05"/>
    <w:rsid w:val="00204324"/>
    <w:rsid w:val="00204351"/>
    <w:rsid w:val="002044BE"/>
    <w:rsid w:val="00204917"/>
    <w:rsid w:val="00204ACE"/>
    <w:rsid w:val="00204B2A"/>
    <w:rsid w:val="00204E8E"/>
    <w:rsid w:val="00205850"/>
    <w:rsid w:val="00205C97"/>
    <w:rsid w:val="00205EE7"/>
    <w:rsid w:val="002060D3"/>
    <w:rsid w:val="002064B0"/>
    <w:rsid w:val="0020666F"/>
    <w:rsid w:val="00206EB6"/>
    <w:rsid w:val="00206FDB"/>
    <w:rsid w:val="002070F2"/>
    <w:rsid w:val="00207131"/>
    <w:rsid w:val="002071EC"/>
    <w:rsid w:val="00207554"/>
    <w:rsid w:val="002077C0"/>
    <w:rsid w:val="00207A0E"/>
    <w:rsid w:val="00207A27"/>
    <w:rsid w:val="00207D98"/>
    <w:rsid w:val="00207DD1"/>
    <w:rsid w:val="00207ED3"/>
    <w:rsid w:val="0021004C"/>
    <w:rsid w:val="002101E7"/>
    <w:rsid w:val="00210804"/>
    <w:rsid w:val="00210C36"/>
    <w:rsid w:val="002113EA"/>
    <w:rsid w:val="00211693"/>
    <w:rsid w:val="0021184C"/>
    <w:rsid w:val="00211893"/>
    <w:rsid w:val="00212186"/>
    <w:rsid w:val="002122FA"/>
    <w:rsid w:val="00212572"/>
    <w:rsid w:val="002125AC"/>
    <w:rsid w:val="00212A79"/>
    <w:rsid w:val="00212CAD"/>
    <w:rsid w:val="0021318C"/>
    <w:rsid w:val="002132A7"/>
    <w:rsid w:val="00213631"/>
    <w:rsid w:val="002139EA"/>
    <w:rsid w:val="00213C09"/>
    <w:rsid w:val="002140A4"/>
    <w:rsid w:val="002140A5"/>
    <w:rsid w:val="00214721"/>
    <w:rsid w:val="00214822"/>
    <w:rsid w:val="00214904"/>
    <w:rsid w:val="00214915"/>
    <w:rsid w:val="00214CFF"/>
    <w:rsid w:val="00214E39"/>
    <w:rsid w:val="00214E40"/>
    <w:rsid w:val="002154D4"/>
    <w:rsid w:val="002155B8"/>
    <w:rsid w:val="002160ED"/>
    <w:rsid w:val="002160F1"/>
    <w:rsid w:val="0021684A"/>
    <w:rsid w:val="00216C56"/>
    <w:rsid w:val="00216CEF"/>
    <w:rsid w:val="00216FB0"/>
    <w:rsid w:val="002170B7"/>
    <w:rsid w:val="002172BB"/>
    <w:rsid w:val="002172FE"/>
    <w:rsid w:val="002176C2"/>
    <w:rsid w:val="002178F2"/>
    <w:rsid w:val="00217988"/>
    <w:rsid w:val="002179E8"/>
    <w:rsid w:val="00217DF2"/>
    <w:rsid w:val="00220191"/>
    <w:rsid w:val="0022065D"/>
    <w:rsid w:val="002206A3"/>
    <w:rsid w:val="00220921"/>
    <w:rsid w:val="00220BF0"/>
    <w:rsid w:val="00220E9F"/>
    <w:rsid w:val="00220EA0"/>
    <w:rsid w:val="00220F2B"/>
    <w:rsid w:val="002217A6"/>
    <w:rsid w:val="002218FB"/>
    <w:rsid w:val="002219CD"/>
    <w:rsid w:val="00221BE8"/>
    <w:rsid w:val="00221C52"/>
    <w:rsid w:val="00221D37"/>
    <w:rsid w:val="0022207D"/>
    <w:rsid w:val="0022208C"/>
    <w:rsid w:val="0022234F"/>
    <w:rsid w:val="00222394"/>
    <w:rsid w:val="00222416"/>
    <w:rsid w:val="002225B8"/>
    <w:rsid w:val="00222907"/>
    <w:rsid w:val="00222A94"/>
    <w:rsid w:val="00222ACD"/>
    <w:rsid w:val="00222F14"/>
    <w:rsid w:val="0022316A"/>
    <w:rsid w:val="00223210"/>
    <w:rsid w:val="002237CA"/>
    <w:rsid w:val="00223858"/>
    <w:rsid w:val="00223945"/>
    <w:rsid w:val="002239D9"/>
    <w:rsid w:val="00223AA3"/>
    <w:rsid w:val="00223C01"/>
    <w:rsid w:val="00223F3F"/>
    <w:rsid w:val="00224249"/>
    <w:rsid w:val="002243A3"/>
    <w:rsid w:val="002245E6"/>
    <w:rsid w:val="002249C1"/>
    <w:rsid w:val="00224B13"/>
    <w:rsid w:val="00224B41"/>
    <w:rsid w:val="00224E7B"/>
    <w:rsid w:val="00224F2D"/>
    <w:rsid w:val="00225086"/>
    <w:rsid w:val="002250B8"/>
    <w:rsid w:val="0022535D"/>
    <w:rsid w:val="0022541D"/>
    <w:rsid w:val="00225721"/>
    <w:rsid w:val="00225920"/>
    <w:rsid w:val="00225A2D"/>
    <w:rsid w:val="00225B47"/>
    <w:rsid w:val="00225BB6"/>
    <w:rsid w:val="00225C0D"/>
    <w:rsid w:val="002260F4"/>
    <w:rsid w:val="00226351"/>
    <w:rsid w:val="0022648F"/>
    <w:rsid w:val="0022695E"/>
    <w:rsid w:val="00226984"/>
    <w:rsid w:val="00226A21"/>
    <w:rsid w:val="00226D31"/>
    <w:rsid w:val="0022722D"/>
    <w:rsid w:val="00227922"/>
    <w:rsid w:val="00227A2B"/>
    <w:rsid w:val="00227F22"/>
    <w:rsid w:val="002300A6"/>
    <w:rsid w:val="0023018C"/>
    <w:rsid w:val="002301B8"/>
    <w:rsid w:val="002302D8"/>
    <w:rsid w:val="0023035F"/>
    <w:rsid w:val="00230C1A"/>
    <w:rsid w:val="00230DD8"/>
    <w:rsid w:val="0023156F"/>
    <w:rsid w:val="00232380"/>
    <w:rsid w:val="0023257D"/>
    <w:rsid w:val="00232B2D"/>
    <w:rsid w:val="00232F33"/>
    <w:rsid w:val="002332A0"/>
    <w:rsid w:val="002332A2"/>
    <w:rsid w:val="00233424"/>
    <w:rsid w:val="0023351B"/>
    <w:rsid w:val="00233524"/>
    <w:rsid w:val="0023355F"/>
    <w:rsid w:val="00233661"/>
    <w:rsid w:val="0023390F"/>
    <w:rsid w:val="00233AF8"/>
    <w:rsid w:val="002347C6"/>
    <w:rsid w:val="00234B83"/>
    <w:rsid w:val="00234E85"/>
    <w:rsid w:val="00234F73"/>
    <w:rsid w:val="0023503D"/>
    <w:rsid w:val="00235899"/>
    <w:rsid w:val="0023599F"/>
    <w:rsid w:val="00235CE3"/>
    <w:rsid w:val="00235D80"/>
    <w:rsid w:val="00235DD6"/>
    <w:rsid w:val="00235F9B"/>
    <w:rsid w:val="0023603F"/>
    <w:rsid w:val="0023639C"/>
    <w:rsid w:val="002363A1"/>
    <w:rsid w:val="00236654"/>
    <w:rsid w:val="002367BA"/>
    <w:rsid w:val="00236A5F"/>
    <w:rsid w:val="002375DD"/>
    <w:rsid w:val="002376F2"/>
    <w:rsid w:val="00237757"/>
    <w:rsid w:val="00237AC7"/>
    <w:rsid w:val="00237B86"/>
    <w:rsid w:val="002401FB"/>
    <w:rsid w:val="002403DC"/>
    <w:rsid w:val="0024067D"/>
    <w:rsid w:val="00240871"/>
    <w:rsid w:val="00240A31"/>
    <w:rsid w:val="00240C56"/>
    <w:rsid w:val="00240F05"/>
    <w:rsid w:val="002411B2"/>
    <w:rsid w:val="0024121C"/>
    <w:rsid w:val="00241508"/>
    <w:rsid w:val="00241B99"/>
    <w:rsid w:val="00241EEC"/>
    <w:rsid w:val="00242010"/>
    <w:rsid w:val="00242294"/>
    <w:rsid w:val="00242574"/>
    <w:rsid w:val="0024259A"/>
    <w:rsid w:val="00242878"/>
    <w:rsid w:val="00242DAB"/>
    <w:rsid w:val="0024304A"/>
    <w:rsid w:val="002434D3"/>
    <w:rsid w:val="00243517"/>
    <w:rsid w:val="002435D7"/>
    <w:rsid w:val="002436CA"/>
    <w:rsid w:val="00243A1A"/>
    <w:rsid w:val="00243BF9"/>
    <w:rsid w:val="00243CBE"/>
    <w:rsid w:val="00244614"/>
    <w:rsid w:val="0024488F"/>
    <w:rsid w:val="00244E88"/>
    <w:rsid w:val="00244EFF"/>
    <w:rsid w:val="002453DA"/>
    <w:rsid w:val="002454ED"/>
    <w:rsid w:val="00245600"/>
    <w:rsid w:val="00245772"/>
    <w:rsid w:val="00245C43"/>
    <w:rsid w:val="002461C5"/>
    <w:rsid w:val="0024622E"/>
    <w:rsid w:val="00246440"/>
    <w:rsid w:val="0024646A"/>
    <w:rsid w:val="002465CC"/>
    <w:rsid w:val="0024665E"/>
    <w:rsid w:val="002466E0"/>
    <w:rsid w:val="00246AC3"/>
    <w:rsid w:val="00246B03"/>
    <w:rsid w:val="00246BE7"/>
    <w:rsid w:val="00246EAC"/>
    <w:rsid w:val="00246EC7"/>
    <w:rsid w:val="002471F6"/>
    <w:rsid w:val="00247250"/>
    <w:rsid w:val="00247587"/>
    <w:rsid w:val="0024795C"/>
    <w:rsid w:val="00247B1A"/>
    <w:rsid w:val="00247BB6"/>
    <w:rsid w:val="00247D90"/>
    <w:rsid w:val="00247DED"/>
    <w:rsid w:val="00247EE1"/>
    <w:rsid w:val="00247FF5"/>
    <w:rsid w:val="0025049B"/>
    <w:rsid w:val="002507B0"/>
    <w:rsid w:val="00250811"/>
    <w:rsid w:val="00250AB0"/>
    <w:rsid w:val="00250C71"/>
    <w:rsid w:val="00250D2C"/>
    <w:rsid w:val="00250D92"/>
    <w:rsid w:val="00250DFB"/>
    <w:rsid w:val="00251676"/>
    <w:rsid w:val="00251A08"/>
    <w:rsid w:val="0025229C"/>
    <w:rsid w:val="00252379"/>
    <w:rsid w:val="002523B4"/>
    <w:rsid w:val="0025241E"/>
    <w:rsid w:val="002524BD"/>
    <w:rsid w:val="002524D6"/>
    <w:rsid w:val="00252597"/>
    <w:rsid w:val="002525CB"/>
    <w:rsid w:val="0025271A"/>
    <w:rsid w:val="002529B6"/>
    <w:rsid w:val="002529C3"/>
    <w:rsid w:val="00252B30"/>
    <w:rsid w:val="00252DF3"/>
    <w:rsid w:val="00252F2E"/>
    <w:rsid w:val="00252F80"/>
    <w:rsid w:val="002531C9"/>
    <w:rsid w:val="00253438"/>
    <w:rsid w:val="00253775"/>
    <w:rsid w:val="0025381B"/>
    <w:rsid w:val="002538B2"/>
    <w:rsid w:val="002538C7"/>
    <w:rsid w:val="002539CB"/>
    <w:rsid w:val="00253A8D"/>
    <w:rsid w:val="00253BC9"/>
    <w:rsid w:val="00253BD2"/>
    <w:rsid w:val="00253D86"/>
    <w:rsid w:val="00253E84"/>
    <w:rsid w:val="0025428A"/>
    <w:rsid w:val="0025442C"/>
    <w:rsid w:val="0025444E"/>
    <w:rsid w:val="002547A0"/>
    <w:rsid w:val="0025489A"/>
    <w:rsid w:val="00254935"/>
    <w:rsid w:val="00254AC9"/>
    <w:rsid w:val="00254FDB"/>
    <w:rsid w:val="00255077"/>
    <w:rsid w:val="00255327"/>
    <w:rsid w:val="0025560D"/>
    <w:rsid w:val="0025570E"/>
    <w:rsid w:val="002560BA"/>
    <w:rsid w:val="00256263"/>
    <w:rsid w:val="002562A0"/>
    <w:rsid w:val="00256790"/>
    <w:rsid w:val="00256B97"/>
    <w:rsid w:val="00256D78"/>
    <w:rsid w:val="002570DF"/>
    <w:rsid w:val="002573AD"/>
    <w:rsid w:val="002574D9"/>
    <w:rsid w:val="00257915"/>
    <w:rsid w:val="00257E76"/>
    <w:rsid w:val="00257FF3"/>
    <w:rsid w:val="002602C8"/>
    <w:rsid w:val="00260530"/>
    <w:rsid w:val="002606DE"/>
    <w:rsid w:val="00260A23"/>
    <w:rsid w:val="00260C90"/>
    <w:rsid w:val="00260D7A"/>
    <w:rsid w:val="00260EC6"/>
    <w:rsid w:val="00260F34"/>
    <w:rsid w:val="0026105B"/>
    <w:rsid w:val="00261682"/>
    <w:rsid w:val="0026196B"/>
    <w:rsid w:val="0026198B"/>
    <w:rsid w:val="00261C9B"/>
    <w:rsid w:val="00261E5B"/>
    <w:rsid w:val="00262116"/>
    <w:rsid w:val="002623C8"/>
    <w:rsid w:val="0026262A"/>
    <w:rsid w:val="0026265E"/>
    <w:rsid w:val="002627B2"/>
    <w:rsid w:val="00262EFA"/>
    <w:rsid w:val="002634C4"/>
    <w:rsid w:val="002635A4"/>
    <w:rsid w:val="002638FE"/>
    <w:rsid w:val="00263ADA"/>
    <w:rsid w:val="00263DA9"/>
    <w:rsid w:val="00263EC4"/>
    <w:rsid w:val="0026419E"/>
    <w:rsid w:val="00264775"/>
    <w:rsid w:val="00265175"/>
    <w:rsid w:val="002657E7"/>
    <w:rsid w:val="00265C37"/>
    <w:rsid w:val="00265E10"/>
    <w:rsid w:val="0026648F"/>
    <w:rsid w:val="002664AD"/>
    <w:rsid w:val="002667DD"/>
    <w:rsid w:val="00266889"/>
    <w:rsid w:val="002668D4"/>
    <w:rsid w:val="00266982"/>
    <w:rsid w:val="00267626"/>
    <w:rsid w:val="00267DF4"/>
    <w:rsid w:val="002701C7"/>
    <w:rsid w:val="00270334"/>
    <w:rsid w:val="002708B8"/>
    <w:rsid w:val="00271816"/>
    <w:rsid w:val="00271B2C"/>
    <w:rsid w:val="00271DE3"/>
    <w:rsid w:val="002722B0"/>
    <w:rsid w:val="00272563"/>
    <w:rsid w:val="002725BA"/>
    <w:rsid w:val="002727A2"/>
    <w:rsid w:val="0027287B"/>
    <w:rsid w:val="00272971"/>
    <w:rsid w:val="0027298F"/>
    <w:rsid w:val="00272C9E"/>
    <w:rsid w:val="00272F57"/>
    <w:rsid w:val="00272FC2"/>
    <w:rsid w:val="002730A8"/>
    <w:rsid w:val="002733B9"/>
    <w:rsid w:val="002736FF"/>
    <w:rsid w:val="002739DC"/>
    <w:rsid w:val="00273F5E"/>
    <w:rsid w:val="002740CA"/>
    <w:rsid w:val="002741A7"/>
    <w:rsid w:val="002741DD"/>
    <w:rsid w:val="00274353"/>
    <w:rsid w:val="002749A9"/>
    <w:rsid w:val="00274ADD"/>
    <w:rsid w:val="00274BC9"/>
    <w:rsid w:val="00274E61"/>
    <w:rsid w:val="002752AF"/>
    <w:rsid w:val="002758FB"/>
    <w:rsid w:val="00275DCC"/>
    <w:rsid w:val="00275F52"/>
    <w:rsid w:val="002763B3"/>
    <w:rsid w:val="00276459"/>
    <w:rsid w:val="002764A3"/>
    <w:rsid w:val="00276554"/>
    <w:rsid w:val="002768D3"/>
    <w:rsid w:val="00276DD9"/>
    <w:rsid w:val="00277165"/>
    <w:rsid w:val="00277687"/>
    <w:rsid w:val="00277A18"/>
    <w:rsid w:val="00277AE7"/>
    <w:rsid w:val="00277B26"/>
    <w:rsid w:val="00277D85"/>
    <w:rsid w:val="00278715"/>
    <w:rsid w:val="00280139"/>
    <w:rsid w:val="002801B5"/>
    <w:rsid w:val="002804CE"/>
    <w:rsid w:val="002804F8"/>
    <w:rsid w:val="00280E54"/>
    <w:rsid w:val="00281023"/>
    <w:rsid w:val="002810A1"/>
    <w:rsid w:val="00281289"/>
    <w:rsid w:val="00281417"/>
    <w:rsid w:val="00281988"/>
    <w:rsid w:val="002819C4"/>
    <w:rsid w:val="00281DE2"/>
    <w:rsid w:val="00281ECA"/>
    <w:rsid w:val="00281FF8"/>
    <w:rsid w:val="002820FC"/>
    <w:rsid w:val="002826A6"/>
    <w:rsid w:val="0028297C"/>
    <w:rsid w:val="00282CDE"/>
    <w:rsid w:val="002831B0"/>
    <w:rsid w:val="002831DE"/>
    <w:rsid w:val="0028354A"/>
    <w:rsid w:val="0028364D"/>
    <w:rsid w:val="0028366E"/>
    <w:rsid w:val="002836D8"/>
    <w:rsid w:val="00283A32"/>
    <w:rsid w:val="00283A47"/>
    <w:rsid w:val="00283D05"/>
    <w:rsid w:val="00283D0C"/>
    <w:rsid w:val="00283DA0"/>
    <w:rsid w:val="00284163"/>
    <w:rsid w:val="002841AD"/>
    <w:rsid w:val="002841B7"/>
    <w:rsid w:val="002841FF"/>
    <w:rsid w:val="002846FB"/>
    <w:rsid w:val="00284774"/>
    <w:rsid w:val="0028482C"/>
    <w:rsid w:val="002848B0"/>
    <w:rsid w:val="00284946"/>
    <w:rsid w:val="00284B2B"/>
    <w:rsid w:val="00284B43"/>
    <w:rsid w:val="00284CB0"/>
    <w:rsid w:val="002851E7"/>
    <w:rsid w:val="00285587"/>
    <w:rsid w:val="002855CD"/>
    <w:rsid w:val="002857C7"/>
    <w:rsid w:val="002858EC"/>
    <w:rsid w:val="00285CDE"/>
    <w:rsid w:val="002861D1"/>
    <w:rsid w:val="00286383"/>
    <w:rsid w:val="002866E2"/>
    <w:rsid w:val="0028681F"/>
    <w:rsid w:val="00286BFA"/>
    <w:rsid w:val="00287331"/>
    <w:rsid w:val="00287644"/>
    <w:rsid w:val="00290073"/>
    <w:rsid w:val="0029069D"/>
    <w:rsid w:val="002906D8"/>
    <w:rsid w:val="00290716"/>
    <w:rsid w:val="00290B50"/>
    <w:rsid w:val="00290F65"/>
    <w:rsid w:val="00291673"/>
    <w:rsid w:val="00291684"/>
    <w:rsid w:val="002917EC"/>
    <w:rsid w:val="002919B0"/>
    <w:rsid w:val="00291A72"/>
    <w:rsid w:val="00291BF6"/>
    <w:rsid w:val="00291D0E"/>
    <w:rsid w:val="0029201C"/>
    <w:rsid w:val="002924FE"/>
    <w:rsid w:val="00292688"/>
    <w:rsid w:val="002927A8"/>
    <w:rsid w:val="00292886"/>
    <w:rsid w:val="00292904"/>
    <w:rsid w:val="002930AD"/>
    <w:rsid w:val="002931B0"/>
    <w:rsid w:val="002931D2"/>
    <w:rsid w:val="0029333D"/>
    <w:rsid w:val="0029354E"/>
    <w:rsid w:val="002935C2"/>
    <w:rsid w:val="0029372B"/>
    <w:rsid w:val="002939E0"/>
    <w:rsid w:val="00293C9A"/>
    <w:rsid w:val="00294306"/>
    <w:rsid w:val="0029453A"/>
    <w:rsid w:val="002949B4"/>
    <w:rsid w:val="00294A0E"/>
    <w:rsid w:val="00294A70"/>
    <w:rsid w:val="002951AB"/>
    <w:rsid w:val="002953CF"/>
    <w:rsid w:val="00295764"/>
    <w:rsid w:val="00295A95"/>
    <w:rsid w:val="00295C40"/>
    <w:rsid w:val="00295CA2"/>
    <w:rsid w:val="00295EF6"/>
    <w:rsid w:val="002964A6"/>
    <w:rsid w:val="00296A09"/>
    <w:rsid w:val="00296AC8"/>
    <w:rsid w:val="00296EF1"/>
    <w:rsid w:val="002971B9"/>
    <w:rsid w:val="002972B8"/>
    <w:rsid w:val="002972F7"/>
    <w:rsid w:val="002974FE"/>
    <w:rsid w:val="002975A3"/>
    <w:rsid w:val="00297630"/>
    <w:rsid w:val="00297B70"/>
    <w:rsid w:val="00297F9D"/>
    <w:rsid w:val="002A05A4"/>
    <w:rsid w:val="002A0699"/>
    <w:rsid w:val="002A07EE"/>
    <w:rsid w:val="002A08CC"/>
    <w:rsid w:val="002A0E62"/>
    <w:rsid w:val="002A1964"/>
    <w:rsid w:val="002A1A5B"/>
    <w:rsid w:val="002A1D21"/>
    <w:rsid w:val="002A220A"/>
    <w:rsid w:val="002A23F8"/>
    <w:rsid w:val="002A28DF"/>
    <w:rsid w:val="002A2B61"/>
    <w:rsid w:val="002A2BEF"/>
    <w:rsid w:val="002A2CBA"/>
    <w:rsid w:val="002A37C8"/>
    <w:rsid w:val="002A394C"/>
    <w:rsid w:val="002A396C"/>
    <w:rsid w:val="002A39F6"/>
    <w:rsid w:val="002A4037"/>
    <w:rsid w:val="002A409A"/>
    <w:rsid w:val="002A465E"/>
    <w:rsid w:val="002A46FC"/>
    <w:rsid w:val="002A4D05"/>
    <w:rsid w:val="002A508B"/>
    <w:rsid w:val="002A54CE"/>
    <w:rsid w:val="002A571E"/>
    <w:rsid w:val="002A5788"/>
    <w:rsid w:val="002A5B64"/>
    <w:rsid w:val="002A5D30"/>
    <w:rsid w:val="002A6087"/>
    <w:rsid w:val="002A60DD"/>
    <w:rsid w:val="002A62DB"/>
    <w:rsid w:val="002A63C9"/>
    <w:rsid w:val="002A6473"/>
    <w:rsid w:val="002A681C"/>
    <w:rsid w:val="002A69B6"/>
    <w:rsid w:val="002A7026"/>
    <w:rsid w:val="002A75CB"/>
    <w:rsid w:val="002A7EC7"/>
    <w:rsid w:val="002B0030"/>
    <w:rsid w:val="002B02CD"/>
    <w:rsid w:val="002B032C"/>
    <w:rsid w:val="002B0AF5"/>
    <w:rsid w:val="002B0B0A"/>
    <w:rsid w:val="002B12AC"/>
    <w:rsid w:val="002B159B"/>
    <w:rsid w:val="002B1662"/>
    <w:rsid w:val="002B1774"/>
    <w:rsid w:val="002B18FA"/>
    <w:rsid w:val="002B1C27"/>
    <w:rsid w:val="002B25D8"/>
    <w:rsid w:val="002B2A25"/>
    <w:rsid w:val="002B2C07"/>
    <w:rsid w:val="002B2F00"/>
    <w:rsid w:val="002B2F9D"/>
    <w:rsid w:val="002B30BB"/>
    <w:rsid w:val="002B3339"/>
    <w:rsid w:val="002B3660"/>
    <w:rsid w:val="002B366A"/>
    <w:rsid w:val="002B3C1A"/>
    <w:rsid w:val="002B3CA2"/>
    <w:rsid w:val="002B422F"/>
    <w:rsid w:val="002B46A0"/>
    <w:rsid w:val="002B4845"/>
    <w:rsid w:val="002B4ACD"/>
    <w:rsid w:val="002B58BA"/>
    <w:rsid w:val="002B5C9B"/>
    <w:rsid w:val="002B5E08"/>
    <w:rsid w:val="002B61C6"/>
    <w:rsid w:val="002B64E2"/>
    <w:rsid w:val="002B66E9"/>
    <w:rsid w:val="002B704A"/>
    <w:rsid w:val="002B712B"/>
    <w:rsid w:val="002B759F"/>
    <w:rsid w:val="002B76C5"/>
    <w:rsid w:val="002B7C82"/>
    <w:rsid w:val="002B7D28"/>
    <w:rsid w:val="002B7EF4"/>
    <w:rsid w:val="002C0042"/>
    <w:rsid w:val="002C02A3"/>
    <w:rsid w:val="002C0C96"/>
    <w:rsid w:val="002C0CC5"/>
    <w:rsid w:val="002C0D1A"/>
    <w:rsid w:val="002C0D43"/>
    <w:rsid w:val="002C0F60"/>
    <w:rsid w:val="002C1360"/>
    <w:rsid w:val="002C198D"/>
    <w:rsid w:val="002C22EF"/>
    <w:rsid w:val="002C2D1D"/>
    <w:rsid w:val="002C2D70"/>
    <w:rsid w:val="002C2F88"/>
    <w:rsid w:val="002C2FD1"/>
    <w:rsid w:val="002C3002"/>
    <w:rsid w:val="002C319F"/>
    <w:rsid w:val="002C337B"/>
    <w:rsid w:val="002C3672"/>
    <w:rsid w:val="002C38F6"/>
    <w:rsid w:val="002C3AC9"/>
    <w:rsid w:val="002C3C6A"/>
    <w:rsid w:val="002C4311"/>
    <w:rsid w:val="002C45A9"/>
    <w:rsid w:val="002C4665"/>
    <w:rsid w:val="002C47B2"/>
    <w:rsid w:val="002C4857"/>
    <w:rsid w:val="002C497D"/>
    <w:rsid w:val="002C4AA2"/>
    <w:rsid w:val="002C4C54"/>
    <w:rsid w:val="002C4E72"/>
    <w:rsid w:val="002C54D2"/>
    <w:rsid w:val="002C55F2"/>
    <w:rsid w:val="002C585A"/>
    <w:rsid w:val="002C6215"/>
    <w:rsid w:val="002C62B7"/>
    <w:rsid w:val="002C62E1"/>
    <w:rsid w:val="002C666E"/>
    <w:rsid w:val="002C68AB"/>
    <w:rsid w:val="002C6941"/>
    <w:rsid w:val="002C6CE6"/>
    <w:rsid w:val="002C70B1"/>
    <w:rsid w:val="002C76C0"/>
    <w:rsid w:val="002C76FE"/>
    <w:rsid w:val="002C7BB1"/>
    <w:rsid w:val="002D0136"/>
    <w:rsid w:val="002D0244"/>
    <w:rsid w:val="002D0376"/>
    <w:rsid w:val="002D0992"/>
    <w:rsid w:val="002D0A03"/>
    <w:rsid w:val="002D0E86"/>
    <w:rsid w:val="002D1327"/>
    <w:rsid w:val="002D152F"/>
    <w:rsid w:val="002D1A2A"/>
    <w:rsid w:val="002D1A97"/>
    <w:rsid w:val="002D2404"/>
    <w:rsid w:val="002D2A95"/>
    <w:rsid w:val="002D2A9F"/>
    <w:rsid w:val="002D2ACB"/>
    <w:rsid w:val="002D2CF6"/>
    <w:rsid w:val="002D2DFB"/>
    <w:rsid w:val="002D3687"/>
    <w:rsid w:val="002D373E"/>
    <w:rsid w:val="002D3865"/>
    <w:rsid w:val="002D3EBF"/>
    <w:rsid w:val="002D3F2B"/>
    <w:rsid w:val="002D4434"/>
    <w:rsid w:val="002D46EA"/>
    <w:rsid w:val="002D47BF"/>
    <w:rsid w:val="002D4D04"/>
    <w:rsid w:val="002D4D68"/>
    <w:rsid w:val="002D5362"/>
    <w:rsid w:val="002D57A0"/>
    <w:rsid w:val="002D584C"/>
    <w:rsid w:val="002D5A3F"/>
    <w:rsid w:val="002D5B51"/>
    <w:rsid w:val="002D5CF5"/>
    <w:rsid w:val="002D5EC8"/>
    <w:rsid w:val="002D6042"/>
    <w:rsid w:val="002D6A18"/>
    <w:rsid w:val="002D6D19"/>
    <w:rsid w:val="002D6F66"/>
    <w:rsid w:val="002D71C5"/>
    <w:rsid w:val="002D7CBE"/>
    <w:rsid w:val="002E00A8"/>
    <w:rsid w:val="002E0421"/>
    <w:rsid w:val="002E11EB"/>
    <w:rsid w:val="002E121D"/>
    <w:rsid w:val="002E15D2"/>
    <w:rsid w:val="002E179B"/>
    <w:rsid w:val="002E18BD"/>
    <w:rsid w:val="002E1D54"/>
    <w:rsid w:val="002E1D9C"/>
    <w:rsid w:val="002E2003"/>
    <w:rsid w:val="002E2396"/>
    <w:rsid w:val="002E285C"/>
    <w:rsid w:val="002E2A9F"/>
    <w:rsid w:val="002E2B4B"/>
    <w:rsid w:val="002E3A14"/>
    <w:rsid w:val="002E3C72"/>
    <w:rsid w:val="002E3E33"/>
    <w:rsid w:val="002E4242"/>
    <w:rsid w:val="002E429E"/>
    <w:rsid w:val="002E4547"/>
    <w:rsid w:val="002E466C"/>
    <w:rsid w:val="002E4770"/>
    <w:rsid w:val="002E48CF"/>
    <w:rsid w:val="002E49BD"/>
    <w:rsid w:val="002E49D3"/>
    <w:rsid w:val="002E4FAA"/>
    <w:rsid w:val="002E504D"/>
    <w:rsid w:val="002E516A"/>
    <w:rsid w:val="002E54ED"/>
    <w:rsid w:val="002E5971"/>
    <w:rsid w:val="002E5AED"/>
    <w:rsid w:val="002E5BFD"/>
    <w:rsid w:val="002E5F10"/>
    <w:rsid w:val="002E613C"/>
    <w:rsid w:val="002E62BF"/>
    <w:rsid w:val="002E6714"/>
    <w:rsid w:val="002E674E"/>
    <w:rsid w:val="002E6B39"/>
    <w:rsid w:val="002E767D"/>
    <w:rsid w:val="002E772E"/>
    <w:rsid w:val="002E7742"/>
    <w:rsid w:val="002E7A23"/>
    <w:rsid w:val="002E7BAE"/>
    <w:rsid w:val="002E7D42"/>
    <w:rsid w:val="002E7FEE"/>
    <w:rsid w:val="002F0076"/>
    <w:rsid w:val="002F00B8"/>
    <w:rsid w:val="002F02AF"/>
    <w:rsid w:val="002F03C2"/>
    <w:rsid w:val="002F05C6"/>
    <w:rsid w:val="002F071F"/>
    <w:rsid w:val="002F0ED2"/>
    <w:rsid w:val="002F0FFC"/>
    <w:rsid w:val="002F1230"/>
    <w:rsid w:val="002F12AD"/>
    <w:rsid w:val="002F1357"/>
    <w:rsid w:val="002F13C9"/>
    <w:rsid w:val="002F157C"/>
    <w:rsid w:val="002F165D"/>
    <w:rsid w:val="002F1A1A"/>
    <w:rsid w:val="002F202C"/>
    <w:rsid w:val="002F2350"/>
    <w:rsid w:val="002F244A"/>
    <w:rsid w:val="002F25FE"/>
    <w:rsid w:val="002F2961"/>
    <w:rsid w:val="002F2F89"/>
    <w:rsid w:val="002F3167"/>
    <w:rsid w:val="002F3335"/>
    <w:rsid w:val="002F33CE"/>
    <w:rsid w:val="002F3440"/>
    <w:rsid w:val="002F3486"/>
    <w:rsid w:val="002F3577"/>
    <w:rsid w:val="002F3A17"/>
    <w:rsid w:val="002F3B86"/>
    <w:rsid w:val="002F3D84"/>
    <w:rsid w:val="002F3DE1"/>
    <w:rsid w:val="002F3E61"/>
    <w:rsid w:val="002F438B"/>
    <w:rsid w:val="002F439E"/>
    <w:rsid w:val="002F4415"/>
    <w:rsid w:val="002F4472"/>
    <w:rsid w:val="002F4534"/>
    <w:rsid w:val="002F486D"/>
    <w:rsid w:val="002F4C4B"/>
    <w:rsid w:val="002F4D55"/>
    <w:rsid w:val="002F5257"/>
    <w:rsid w:val="002F5536"/>
    <w:rsid w:val="002F5592"/>
    <w:rsid w:val="002F5627"/>
    <w:rsid w:val="002F56C9"/>
    <w:rsid w:val="002F56F9"/>
    <w:rsid w:val="002F5826"/>
    <w:rsid w:val="002F5E0B"/>
    <w:rsid w:val="002F6087"/>
    <w:rsid w:val="002F60EE"/>
    <w:rsid w:val="002F6138"/>
    <w:rsid w:val="002F6B90"/>
    <w:rsid w:val="002F6BC0"/>
    <w:rsid w:val="002F709A"/>
    <w:rsid w:val="002F719E"/>
    <w:rsid w:val="002F7224"/>
    <w:rsid w:val="002F7272"/>
    <w:rsid w:val="002F732D"/>
    <w:rsid w:val="0030058A"/>
    <w:rsid w:val="00300754"/>
    <w:rsid w:val="0030085E"/>
    <w:rsid w:val="00300BEF"/>
    <w:rsid w:val="00300EF1"/>
    <w:rsid w:val="00301264"/>
    <w:rsid w:val="003014CE"/>
    <w:rsid w:val="00301BAD"/>
    <w:rsid w:val="00302023"/>
    <w:rsid w:val="00302104"/>
    <w:rsid w:val="003021F5"/>
    <w:rsid w:val="003022D0"/>
    <w:rsid w:val="00302452"/>
    <w:rsid w:val="003025E6"/>
    <w:rsid w:val="0030262F"/>
    <w:rsid w:val="00302705"/>
    <w:rsid w:val="00302956"/>
    <w:rsid w:val="00302D04"/>
    <w:rsid w:val="00302F01"/>
    <w:rsid w:val="00302FE2"/>
    <w:rsid w:val="003030E9"/>
    <w:rsid w:val="0030321F"/>
    <w:rsid w:val="003034DF"/>
    <w:rsid w:val="00303502"/>
    <w:rsid w:val="00303E4F"/>
    <w:rsid w:val="00304C53"/>
    <w:rsid w:val="00304D78"/>
    <w:rsid w:val="0030519B"/>
    <w:rsid w:val="00305894"/>
    <w:rsid w:val="00305D96"/>
    <w:rsid w:val="003062F9"/>
    <w:rsid w:val="00306482"/>
    <w:rsid w:val="00306801"/>
    <w:rsid w:val="0030720D"/>
    <w:rsid w:val="00307620"/>
    <w:rsid w:val="0030773A"/>
    <w:rsid w:val="00307889"/>
    <w:rsid w:val="00307AC3"/>
    <w:rsid w:val="00307C83"/>
    <w:rsid w:val="00307D1D"/>
    <w:rsid w:val="00307DE8"/>
    <w:rsid w:val="00307FD4"/>
    <w:rsid w:val="00310071"/>
    <w:rsid w:val="0031024C"/>
    <w:rsid w:val="003106E4"/>
    <w:rsid w:val="00310C2F"/>
    <w:rsid w:val="00310C74"/>
    <w:rsid w:val="00310D9E"/>
    <w:rsid w:val="00311076"/>
    <w:rsid w:val="003114BA"/>
    <w:rsid w:val="00311953"/>
    <w:rsid w:val="00311C31"/>
    <w:rsid w:val="00311E84"/>
    <w:rsid w:val="00311EB4"/>
    <w:rsid w:val="00311F2C"/>
    <w:rsid w:val="0031213A"/>
    <w:rsid w:val="003127B0"/>
    <w:rsid w:val="00312AD2"/>
    <w:rsid w:val="00312F4C"/>
    <w:rsid w:val="0031315D"/>
    <w:rsid w:val="003133C8"/>
    <w:rsid w:val="00313ACA"/>
    <w:rsid w:val="00313D19"/>
    <w:rsid w:val="00313E0D"/>
    <w:rsid w:val="00313E68"/>
    <w:rsid w:val="003142C1"/>
    <w:rsid w:val="0031490A"/>
    <w:rsid w:val="00314981"/>
    <w:rsid w:val="00314B06"/>
    <w:rsid w:val="00314B4A"/>
    <w:rsid w:val="0031522F"/>
    <w:rsid w:val="00315384"/>
    <w:rsid w:val="003157DA"/>
    <w:rsid w:val="00315A8D"/>
    <w:rsid w:val="00315B66"/>
    <w:rsid w:val="00315BA2"/>
    <w:rsid w:val="00315DDD"/>
    <w:rsid w:val="00316283"/>
    <w:rsid w:val="0031628E"/>
    <w:rsid w:val="003168E5"/>
    <w:rsid w:val="003169E2"/>
    <w:rsid w:val="00316A75"/>
    <w:rsid w:val="00316EC6"/>
    <w:rsid w:val="00317214"/>
    <w:rsid w:val="00317410"/>
    <w:rsid w:val="003175A0"/>
    <w:rsid w:val="00317B74"/>
    <w:rsid w:val="00317C1F"/>
    <w:rsid w:val="00317E80"/>
    <w:rsid w:val="00317EAA"/>
    <w:rsid w:val="00317F34"/>
    <w:rsid w:val="00320169"/>
    <w:rsid w:val="003202A8"/>
    <w:rsid w:val="00320422"/>
    <w:rsid w:val="003204D3"/>
    <w:rsid w:val="00320CF3"/>
    <w:rsid w:val="00320DB4"/>
    <w:rsid w:val="00320E61"/>
    <w:rsid w:val="003210A5"/>
    <w:rsid w:val="003212D5"/>
    <w:rsid w:val="00321406"/>
    <w:rsid w:val="00321605"/>
    <w:rsid w:val="003216BC"/>
    <w:rsid w:val="0032177A"/>
    <w:rsid w:val="00321811"/>
    <w:rsid w:val="00321B70"/>
    <w:rsid w:val="00321B7F"/>
    <w:rsid w:val="00322675"/>
    <w:rsid w:val="00322C4F"/>
    <w:rsid w:val="00323076"/>
    <w:rsid w:val="0032316F"/>
    <w:rsid w:val="0032364A"/>
    <w:rsid w:val="00323A70"/>
    <w:rsid w:val="00323C23"/>
    <w:rsid w:val="003242D0"/>
    <w:rsid w:val="003244EB"/>
    <w:rsid w:val="0032450D"/>
    <w:rsid w:val="00324B30"/>
    <w:rsid w:val="00324B87"/>
    <w:rsid w:val="00324E9A"/>
    <w:rsid w:val="00324F1A"/>
    <w:rsid w:val="003251DB"/>
    <w:rsid w:val="00325410"/>
    <w:rsid w:val="00325522"/>
    <w:rsid w:val="0032588E"/>
    <w:rsid w:val="003258A6"/>
    <w:rsid w:val="00325BC9"/>
    <w:rsid w:val="00325CC5"/>
    <w:rsid w:val="00326003"/>
    <w:rsid w:val="003264BB"/>
    <w:rsid w:val="003267E7"/>
    <w:rsid w:val="00326D2D"/>
    <w:rsid w:val="00326DE9"/>
    <w:rsid w:val="00326EE4"/>
    <w:rsid w:val="00326F6D"/>
    <w:rsid w:val="003274B3"/>
    <w:rsid w:val="003276D6"/>
    <w:rsid w:val="00327835"/>
    <w:rsid w:val="00327B93"/>
    <w:rsid w:val="00327ED1"/>
    <w:rsid w:val="003301FF"/>
    <w:rsid w:val="00330259"/>
    <w:rsid w:val="00330640"/>
    <w:rsid w:val="003306D2"/>
    <w:rsid w:val="003306EC"/>
    <w:rsid w:val="00330718"/>
    <w:rsid w:val="00330A22"/>
    <w:rsid w:val="00330D32"/>
    <w:rsid w:val="00330F1B"/>
    <w:rsid w:val="00331828"/>
    <w:rsid w:val="003319B3"/>
    <w:rsid w:val="00331D09"/>
    <w:rsid w:val="00331D7D"/>
    <w:rsid w:val="00331EAA"/>
    <w:rsid w:val="003320D9"/>
    <w:rsid w:val="00332582"/>
    <w:rsid w:val="003326A5"/>
    <w:rsid w:val="003329C9"/>
    <w:rsid w:val="00332A09"/>
    <w:rsid w:val="00332D94"/>
    <w:rsid w:val="00332DD4"/>
    <w:rsid w:val="00333567"/>
    <w:rsid w:val="00333F51"/>
    <w:rsid w:val="00334152"/>
    <w:rsid w:val="00334261"/>
    <w:rsid w:val="003343AF"/>
    <w:rsid w:val="00334532"/>
    <w:rsid w:val="003348A1"/>
    <w:rsid w:val="00334A98"/>
    <w:rsid w:val="00334CCE"/>
    <w:rsid w:val="00334DA2"/>
    <w:rsid w:val="00334F96"/>
    <w:rsid w:val="003356F0"/>
    <w:rsid w:val="00335745"/>
    <w:rsid w:val="0033585E"/>
    <w:rsid w:val="003363BC"/>
    <w:rsid w:val="00336C48"/>
    <w:rsid w:val="00336D47"/>
    <w:rsid w:val="0033706A"/>
    <w:rsid w:val="00337095"/>
    <w:rsid w:val="003372D8"/>
    <w:rsid w:val="003374B1"/>
    <w:rsid w:val="00337573"/>
    <w:rsid w:val="00337800"/>
    <w:rsid w:val="003378AB"/>
    <w:rsid w:val="00337943"/>
    <w:rsid w:val="00337A0C"/>
    <w:rsid w:val="00337A7E"/>
    <w:rsid w:val="00337B09"/>
    <w:rsid w:val="0034012E"/>
    <w:rsid w:val="003405A2"/>
    <w:rsid w:val="00340ACC"/>
    <w:rsid w:val="00340D04"/>
    <w:rsid w:val="00340F1E"/>
    <w:rsid w:val="003411F3"/>
    <w:rsid w:val="0034121B"/>
    <w:rsid w:val="00341C50"/>
    <w:rsid w:val="00341D2D"/>
    <w:rsid w:val="00341FD9"/>
    <w:rsid w:val="0034206C"/>
    <w:rsid w:val="0034232B"/>
    <w:rsid w:val="0034246F"/>
    <w:rsid w:val="00342701"/>
    <w:rsid w:val="00342B79"/>
    <w:rsid w:val="00342F2B"/>
    <w:rsid w:val="003430FC"/>
    <w:rsid w:val="0034311A"/>
    <w:rsid w:val="00343625"/>
    <w:rsid w:val="003438A6"/>
    <w:rsid w:val="00343AFE"/>
    <w:rsid w:val="00343B17"/>
    <w:rsid w:val="0034434B"/>
    <w:rsid w:val="003443E4"/>
    <w:rsid w:val="003444D6"/>
    <w:rsid w:val="0034450A"/>
    <w:rsid w:val="00344546"/>
    <w:rsid w:val="00344846"/>
    <w:rsid w:val="00344994"/>
    <w:rsid w:val="00344CBF"/>
    <w:rsid w:val="00344D2A"/>
    <w:rsid w:val="00344E1F"/>
    <w:rsid w:val="003451F2"/>
    <w:rsid w:val="003453F7"/>
    <w:rsid w:val="003453FE"/>
    <w:rsid w:val="003458A3"/>
    <w:rsid w:val="00345D2F"/>
    <w:rsid w:val="00345E2E"/>
    <w:rsid w:val="00345F51"/>
    <w:rsid w:val="003461FE"/>
    <w:rsid w:val="003463B6"/>
    <w:rsid w:val="003464E5"/>
    <w:rsid w:val="00346D85"/>
    <w:rsid w:val="003470C6"/>
    <w:rsid w:val="003479BB"/>
    <w:rsid w:val="00347D53"/>
    <w:rsid w:val="00350948"/>
    <w:rsid w:val="003509E3"/>
    <w:rsid w:val="00350DFE"/>
    <w:rsid w:val="00350F54"/>
    <w:rsid w:val="003511F2"/>
    <w:rsid w:val="003518BF"/>
    <w:rsid w:val="00351D03"/>
    <w:rsid w:val="00351EB1"/>
    <w:rsid w:val="0035282D"/>
    <w:rsid w:val="003528A9"/>
    <w:rsid w:val="003528D7"/>
    <w:rsid w:val="00352AFA"/>
    <w:rsid w:val="003531CE"/>
    <w:rsid w:val="0035329E"/>
    <w:rsid w:val="00353490"/>
    <w:rsid w:val="0035361C"/>
    <w:rsid w:val="00353AAD"/>
    <w:rsid w:val="00353BCE"/>
    <w:rsid w:val="003541F2"/>
    <w:rsid w:val="003542FB"/>
    <w:rsid w:val="0035473A"/>
    <w:rsid w:val="00354F83"/>
    <w:rsid w:val="00355070"/>
    <w:rsid w:val="00355130"/>
    <w:rsid w:val="0035556C"/>
    <w:rsid w:val="0035574D"/>
    <w:rsid w:val="00355996"/>
    <w:rsid w:val="00355B5B"/>
    <w:rsid w:val="00355B5E"/>
    <w:rsid w:val="00355E12"/>
    <w:rsid w:val="003560EF"/>
    <w:rsid w:val="00356311"/>
    <w:rsid w:val="003569EC"/>
    <w:rsid w:val="00356CF4"/>
    <w:rsid w:val="00356D61"/>
    <w:rsid w:val="0035757C"/>
    <w:rsid w:val="0035799A"/>
    <w:rsid w:val="00357B85"/>
    <w:rsid w:val="00357D1C"/>
    <w:rsid w:val="00357E3F"/>
    <w:rsid w:val="0036028C"/>
    <w:rsid w:val="00360863"/>
    <w:rsid w:val="003609CC"/>
    <w:rsid w:val="00360F3E"/>
    <w:rsid w:val="0036110B"/>
    <w:rsid w:val="0036140D"/>
    <w:rsid w:val="0036143C"/>
    <w:rsid w:val="00361A04"/>
    <w:rsid w:val="00361D5E"/>
    <w:rsid w:val="00361E05"/>
    <w:rsid w:val="0036251E"/>
    <w:rsid w:val="00362907"/>
    <w:rsid w:val="00362980"/>
    <w:rsid w:val="00362F70"/>
    <w:rsid w:val="00362FAA"/>
    <w:rsid w:val="00363029"/>
    <w:rsid w:val="0036397D"/>
    <w:rsid w:val="003639AD"/>
    <w:rsid w:val="00363A87"/>
    <w:rsid w:val="00363F1C"/>
    <w:rsid w:val="00364023"/>
    <w:rsid w:val="00364262"/>
    <w:rsid w:val="00364380"/>
    <w:rsid w:val="003644EE"/>
    <w:rsid w:val="00364BD5"/>
    <w:rsid w:val="00364E24"/>
    <w:rsid w:val="00365211"/>
    <w:rsid w:val="0036540E"/>
    <w:rsid w:val="0036543C"/>
    <w:rsid w:val="00365456"/>
    <w:rsid w:val="0036547C"/>
    <w:rsid w:val="003654E7"/>
    <w:rsid w:val="00365615"/>
    <w:rsid w:val="003659EC"/>
    <w:rsid w:val="00365B03"/>
    <w:rsid w:val="00365C66"/>
    <w:rsid w:val="00365D6E"/>
    <w:rsid w:val="00365FC5"/>
    <w:rsid w:val="00366909"/>
    <w:rsid w:val="00366D16"/>
    <w:rsid w:val="00366F48"/>
    <w:rsid w:val="003674C0"/>
    <w:rsid w:val="003676A3"/>
    <w:rsid w:val="003677BA"/>
    <w:rsid w:val="003679FD"/>
    <w:rsid w:val="00367AE4"/>
    <w:rsid w:val="003701DB"/>
    <w:rsid w:val="00370892"/>
    <w:rsid w:val="00370A1F"/>
    <w:rsid w:val="00370B4D"/>
    <w:rsid w:val="003711A6"/>
    <w:rsid w:val="00371A7A"/>
    <w:rsid w:val="00371DC4"/>
    <w:rsid w:val="0037232A"/>
    <w:rsid w:val="003723D4"/>
    <w:rsid w:val="003724D3"/>
    <w:rsid w:val="003724DD"/>
    <w:rsid w:val="00372A14"/>
    <w:rsid w:val="00372AAF"/>
    <w:rsid w:val="00372BE2"/>
    <w:rsid w:val="00372CCA"/>
    <w:rsid w:val="00372CE9"/>
    <w:rsid w:val="00372CF6"/>
    <w:rsid w:val="00372F4C"/>
    <w:rsid w:val="00373429"/>
    <w:rsid w:val="003734C6"/>
    <w:rsid w:val="0037359B"/>
    <w:rsid w:val="003741D3"/>
    <w:rsid w:val="00374315"/>
    <w:rsid w:val="003745B6"/>
    <w:rsid w:val="00374CB8"/>
    <w:rsid w:val="00374CBD"/>
    <w:rsid w:val="00374EF4"/>
    <w:rsid w:val="0037500D"/>
    <w:rsid w:val="00375610"/>
    <w:rsid w:val="00375725"/>
    <w:rsid w:val="00375C12"/>
    <w:rsid w:val="0037613A"/>
    <w:rsid w:val="00376197"/>
    <w:rsid w:val="00376231"/>
    <w:rsid w:val="00376465"/>
    <w:rsid w:val="003769AB"/>
    <w:rsid w:val="00376A0E"/>
    <w:rsid w:val="00376CF3"/>
    <w:rsid w:val="00376DA2"/>
    <w:rsid w:val="003770D5"/>
    <w:rsid w:val="00377154"/>
    <w:rsid w:val="003776E6"/>
    <w:rsid w:val="00377789"/>
    <w:rsid w:val="003778D8"/>
    <w:rsid w:val="00377958"/>
    <w:rsid w:val="00377EBF"/>
    <w:rsid w:val="003800E0"/>
    <w:rsid w:val="0038062E"/>
    <w:rsid w:val="003806B4"/>
    <w:rsid w:val="00380FD9"/>
    <w:rsid w:val="003815A8"/>
    <w:rsid w:val="0038161F"/>
    <w:rsid w:val="003816CA"/>
    <w:rsid w:val="00381AF1"/>
    <w:rsid w:val="00381B29"/>
    <w:rsid w:val="00381D86"/>
    <w:rsid w:val="00381F12"/>
    <w:rsid w:val="003827DC"/>
    <w:rsid w:val="00382853"/>
    <w:rsid w:val="003829E1"/>
    <w:rsid w:val="00382F96"/>
    <w:rsid w:val="00383350"/>
    <w:rsid w:val="003833B8"/>
    <w:rsid w:val="003834AE"/>
    <w:rsid w:val="00383948"/>
    <w:rsid w:val="00383975"/>
    <w:rsid w:val="00383A28"/>
    <w:rsid w:val="00383B99"/>
    <w:rsid w:val="00384B63"/>
    <w:rsid w:val="00384C68"/>
    <w:rsid w:val="00384F68"/>
    <w:rsid w:val="00385132"/>
    <w:rsid w:val="003852E1"/>
    <w:rsid w:val="00385614"/>
    <w:rsid w:val="00385791"/>
    <w:rsid w:val="003859CA"/>
    <w:rsid w:val="00385C3C"/>
    <w:rsid w:val="00385E1E"/>
    <w:rsid w:val="00386287"/>
    <w:rsid w:val="00386352"/>
    <w:rsid w:val="003863AB"/>
    <w:rsid w:val="00386701"/>
    <w:rsid w:val="003868DD"/>
    <w:rsid w:val="00386AC0"/>
    <w:rsid w:val="00386AFF"/>
    <w:rsid w:val="00386EFC"/>
    <w:rsid w:val="00387156"/>
    <w:rsid w:val="003875A8"/>
    <w:rsid w:val="00390286"/>
    <w:rsid w:val="00390734"/>
    <w:rsid w:val="00391000"/>
    <w:rsid w:val="00391386"/>
    <w:rsid w:val="0039194F"/>
    <w:rsid w:val="003919EF"/>
    <w:rsid w:val="00391A51"/>
    <w:rsid w:val="00391C57"/>
    <w:rsid w:val="00391E7D"/>
    <w:rsid w:val="00391FF5"/>
    <w:rsid w:val="00392201"/>
    <w:rsid w:val="003928F6"/>
    <w:rsid w:val="003929A7"/>
    <w:rsid w:val="00392CA5"/>
    <w:rsid w:val="00392DE5"/>
    <w:rsid w:val="00392EC2"/>
    <w:rsid w:val="0039320E"/>
    <w:rsid w:val="00393F5C"/>
    <w:rsid w:val="00394353"/>
    <w:rsid w:val="00394372"/>
    <w:rsid w:val="00394719"/>
    <w:rsid w:val="003947A3"/>
    <w:rsid w:val="0039497B"/>
    <w:rsid w:val="00394B65"/>
    <w:rsid w:val="00394B99"/>
    <w:rsid w:val="00394EA5"/>
    <w:rsid w:val="00394F23"/>
    <w:rsid w:val="003953A4"/>
    <w:rsid w:val="003957BA"/>
    <w:rsid w:val="00395B1E"/>
    <w:rsid w:val="00396412"/>
    <w:rsid w:val="00396415"/>
    <w:rsid w:val="00396428"/>
    <w:rsid w:val="003965F8"/>
    <w:rsid w:val="003975F5"/>
    <w:rsid w:val="0039761E"/>
    <w:rsid w:val="003A0299"/>
    <w:rsid w:val="003A0485"/>
    <w:rsid w:val="003A05C9"/>
    <w:rsid w:val="003A071B"/>
    <w:rsid w:val="003A0830"/>
    <w:rsid w:val="003A0894"/>
    <w:rsid w:val="003A0D6F"/>
    <w:rsid w:val="003A1063"/>
    <w:rsid w:val="003A10C2"/>
    <w:rsid w:val="003A11C9"/>
    <w:rsid w:val="003A13ED"/>
    <w:rsid w:val="003A160E"/>
    <w:rsid w:val="003A174A"/>
    <w:rsid w:val="003A19AA"/>
    <w:rsid w:val="003A22E1"/>
    <w:rsid w:val="003A2381"/>
    <w:rsid w:val="003A24B3"/>
    <w:rsid w:val="003A2A22"/>
    <w:rsid w:val="003A2ABF"/>
    <w:rsid w:val="003A2C7E"/>
    <w:rsid w:val="003A3351"/>
    <w:rsid w:val="003A337C"/>
    <w:rsid w:val="003A36F0"/>
    <w:rsid w:val="003A3737"/>
    <w:rsid w:val="003A3A3C"/>
    <w:rsid w:val="003A3A81"/>
    <w:rsid w:val="003A3DC8"/>
    <w:rsid w:val="003A3F9B"/>
    <w:rsid w:val="003A4EDB"/>
    <w:rsid w:val="003A51FE"/>
    <w:rsid w:val="003A52B0"/>
    <w:rsid w:val="003A5630"/>
    <w:rsid w:val="003A5C78"/>
    <w:rsid w:val="003A67BA"/>
    <w:rsid w:val="003A6A6A"/>
    <w:rsid w:val="003A6FB5"/>
    <w:rsid w:val="003A7734"/>
    <w:rsid w:val="003A7856"/>
    <w:rsid w:val="003A789F"/>
    <w:rsid w:val="003A7E09"/>
    <w:rsid w:val="003A7FF4"/>
    <w:rsid w:val="003B0124"/>
    <w:rsid w:val="003B0174"/>
    <w:rsid w:val="003B017A"/>
    <w:rsid w:val="003B02EC"/>
    <w:rsid w:val="003B055D"/>
    <w:rsid w:val="003B0890"/>
    <w:rsid w:val="003B0947"/>
    <w:rsid w:val="003B0BBE"/>
    <w:rsid w:val="003B15BD"/>
    <w:rsid w:val="003B1684"/>
    <w:rsid w:val="003B1DCE"/>
    <w:rsid w:val="003B1DE6"/>
    <w:rsid w:val="003B2290"/>
    <w:rsid w:val="003B25A0"/>
    <w:rsid w:val="003B29E6"/>
    <w:rsid w:val="003B2B7A"/>
    <w:rsid w:val="003B2BED"/>
    <w:rsid w:val="003B2CD7"/>
    <w:rsid w:val="003B3894"/>
    <w:rsid w:val="003B39B7"/>
    <w:rsid w:val="003B39B9"/>
    <w:rsid w:val="003B3D34"/>
    <w:rsid w:val="003B44F8"/>
    <w:rsid w:val="003B4677"/>
    <w:rsid w:val="003B4745"/>
    <w:rsid w:val="003B47D9"/>
    <w:rsid w:val="003B4800"/>
    <w:rsid w:val="003B4B2D"/>
    <w:rsid w:val="003B4BE6"/>
    <w:rsid w:val="003B4C8F"/>
    <w:rsid w:val="003B5123"/>
    <w:rsid w:val="003B5194"/>
    <w:rsid w:val="003B51CB"/>
    <w:rsid w:val="003B572B"/>
    <w:rsid w:val="003B5A0B"/>
    <w:rsid w:val="003B5A58"/>
    <w:rsid w:val="003B614A"/>
    <w:rsid w:val="003B6265"/>
    <w:rsid w:val="003B628F"/>
    <w:rsid w:val="003B62A1"/>
    <w:rsid w:val="003B670A"/>
    <w:rsid w:val="003B67E1"/>
    <w:rsid w:val="003B6BBE"/>
    <w:rsid w:val="003B6F4C"/>
    <w:rsid w:val="003B70E6"/>
    <w:rsid w:val="003B717A"/>
    <w:rsid w:val="003B7255"/>
    <w:rsid w:val="003B72EC"/>
    <w:rsid w:val="003B744A"/>
    <w:rsid w:val="003B7D53"/>
    <w:rsid w:val="003C0112"/>
    <w:rsid w:val="003C032E"/>
    <w:rsid w:val="003C052F"/>
    <w:rsid w:val="003C062D"/>
    <w:rsid w:val="003C0757"/>
    <w:rsid w:val="003C0BF9"/>
    <w:rsid w:val="003C0FB1"/>
    <w:rsid w:val="003C10D8"/>
    <w:rsid w:val="003C126D"/>
    <w:rsid w:val="003C1402"/>
    <w:rsid w:val="003C16B0"/>
    <w:rsid w:val="003C1712"/>
    <w:rsid w:val="003C1FBC"/>
    <w:rsid w:val="003C21E5"/>
    <w:rsid w:val="003C24EB"/>
    <w:rsid w:val="003C25BE"/>
    <w:rsid w:val="003C2B27"/>
    <w:rsid w:val="003C2BE5"/>
    <w:rsid w:val="003C3396"/>
    <w:rsid w:val="003C380E"/>
    <w:rsid w:val="003C3A37"/>
    <w:rsid w:val="003C3B93"/>
    <w:rsid w:val="003C3EB4"/>
    <w:rsid w:val="003C44D4"/>
    <w:rsid w:val="003C4859"/>
    <w:rsid w:val="003C4A1D"/>
    <w:rsid w:val="003C4C25"/>
    <w:rsid w:val="003C4CDA"/>
    <w:rsid w:val="003C51D5"/>
    <w:rsid w:val="003C55BE"/>
    <w:rsid w:val="003C55FF"/>
    <w:rsid w:val="003C5C32"/>
    <w:rsid w:val="003C5D2F"/>
    <w:rsid w:val="003C5EDC"/>
    <w:rsid w:val="003C5F7E"/>
    <w:rsid w:val="003C6135"/>
    <w:rsid w:val="003C61A8"/>
    <w:rsid w:val="003C62D8"/>
    <w:rsid w:val="003C68CE"/>
    <w:rsid w:val="003C69A1"/>
    <w:rsid w:val="003C6FB2"/>
    <w:rsid w:val="003C7012"/>
    <w:rsid w:val="003C75EC"/>
    <w:rsid w:val="003C76AD"/>
    <w:rsid w:val="003C7802"/>
    <w:rsid w:val="003C7C14"/>
    <w:rsid w:val="003C7C73"/>
    <w:rsid w:val="003D0010"/>
    <w:rsid w:val="003D0220"/>
    <w:rsid w:val="003D0735"/>
    <w:rsid w:val="003D088E"/>
    <w:rsid w:val="003D0DA8"/>
    <w:rsid w:val="003D0FF0"/>
    <w:rsid w:val="003D1017"/>
    <w:rsid w:val="003D13B9"/>
    <w:rsid w:val="003D1CB2"/>
    <w:rsid w:val="003D1EA8"/>
    <w:rsid w:val="003D2102"/>
    <w:rsid w:val="003D2356"/>
    <w:rsid w:val="003D291C"/>
    <w:rsid w:val="003D2B14"/>
    <w:rsid w:val="003D2D9B"/>
    <w:rsid w:val="003D35EA"/>
    <w:rsid w:val="003D37BD"/>
    <w:rsid w:val="003D39A6"/>
    <w:rsid w:val="003D3A16"/>
    <w:rsid w:val="003D3DCE"/>
    <w:rsid w:val="003D3FA8"/>
    <w:rsid w:val="003D3FBD"/>
    <w:rsid w:val="003D41E4"/>
    <w:rsid w:val="003D42D4"/>
    <w:rsid w:val="003D44A5"/>
    <w:rsid w:val="003D463E"/>
    <w:rsid w:val="003D48D7"/>
    <w:rsid w:val="003D4944"/>
    <w:rsid w:val="003D499A"/>
    <w:rsid w:val="003D4F2A"/>
    <w:rsid w:val="003D50AE"/>
    <w:rsid w:val="003D50F6"/>
    <w:rsid w:val="003D5704"/>
    <w:rsid w:val="003D57D7"/>
    <w:rsid w:val="003D5B93"/>
    <w:rsid w:val="003D5C55"/>
    <w:rsid w:val="003D5CD0"/>
    <w:rsid w:val="003D5D66"/>
    <w:rsid w:val="003D5FC4"/>
    <w:rsid w:val="003D61B0"/>
    <w:rsid w:val="003D65EF"/>
    <w:rsid w:val="003D6975"/>
    <w:rsid w:val="003D6B55"/>
    <w:rsid w:val="003D774B"/>
    <w:rsid w:val="003D7819"/>
    <w:rsid w:val="003D7A04"/>
    <w:rsid w:val="003D7AF1"/>
    <w:rsid w:val="003E015B"/>
    <w:rsid w:val="003E0759"/>
    <w:rsid w:val="003E1388"/>
    <w:rsid w:val="003E15EE"/>
    <w:rsid w:val="003E1DBE"/>
    <w:rsid w:val="003E1F4F"/>
    <w:rsid w:val="003E20F2"/>
    <w:rsid w:val="003E242B"/>
    <w:rsid w:val="003E27AC"/>
    <w:rsid w:val="003E2F68"/>
    <w:rsid w:val="003E315D"/>
    <w:rsid w:val="003E32B5"/>
    <w:rsid w:val="003E32F8"/>
    <w:rsid w:val="003E3374"/>
    <w:rsid w:val="003E3626"/>
    <w:rsid w:val="003E386A"/>
    <w:rsid w:val="003E3B3C"/>
    <w:rsid w:val="003E3D3F"/>
    <w:rsid w:val="003E3E05"/>
    <w:rsid w:val="003E412B"/>
    <w:rsid w:val="003E4363"/>
    <w:rsid w:val="003E43FB"/>
    <w:rsid w:val="003E4D00"/>
    <w:rsid w:val="003E4FD0"/>
    <w:rsid w:val="003E52F1"/>
    <w:rsid w:val="003E570E"/>
    <w:rsid w:val="003E5938"/>
    <w:rsid w:val="003E5952"/>
    <w:rsid w:val="003E5982"/>
    <w:rsid w:val="003E5B61"/>
    <w:rsid w:val="003E5CF2"/>
    <w:rsid w:val="003E6455"/>
    <w:rsid w:val="003E64B8"/>
    <w:rsid w:val="003E6582"/>
    <w:rsid w:val="003E67FB"/>
    <w:rsid w:val="003E702F"/>
    <w:rsid w:val="003E7328"/>
    <w:rsid w:val="003E7456"/>
    <w:rsid w:val="003E74E5"/>
    <w:rsid w:val="003E7690"/>
    <w:rsid w:val="003E793A"/>
    <w:rsid w:val="003F0022"/>
    <w:rsid w:val="003F08A7"/>
    <w:rsid w:val="003F0A1F"/>
    <w:rsid w:val="003F11BA"/>
    <w:rsid w:val="003F17BC"/>
    <w:rsid w:val="003F17F7"/>
    <w:rsid w:val="003F18BE"/>
    <w:rsid w:val="003F1AAB"/>
    <w:rsid w:val="003F1B3C"/>
    <w:rsid w:val="003F1CE2"/>
    <w:rsid w:val="003F1F1F"/>
    <w:rsid w:val="003F2160"/>
    <w:rsid w:val="003F21C4"/>
    <w:rsid w:val="003F23E8"/>
    <w:rsid w:val="003F25DA"/>
    <w:rsid w:val="003F28AA"/>
    <w:rsid w:val="003F291C"/>
    <w:rsid w:val="003F2C36"/>
    <w:rsid w:val="003F2C3E"/>
    <w:rsid w:val="003F2DD8"/>
    <w:rsid w:val="003F2E81"/>
    <w:rsid w:val="003F2FC1"/>
    <w:rsid w:val="003F3503"/>
    <w:rsid w:val="003F3691"/>
    <w:rsid w:val="003F381C"/>
    <w:rsid w:val="003F3D13"/>
    <w:rsid w:val="003F40EB"/>
    <w:rsid w:val="003F4265"/>
    <w:rsid w:val="003F4AAB"/>
    <w:rsid w:val="003F4D9A"/>
    <w:rsid w:val="003F4EFD"/>
    <w:rsid w:val="003F55B0"/>
    <w:rsid w:val="003F5623"/>
    <w:rsid w:val="003F5709"/>
    <w:rsid w:val="003F58D4"/>
    <w:rsid w:val="003F59FD"/>
    <w:rsid w:val="003F5A2A"/>
    <w:rsid w:val="003F5B36"/>
    <w:rsid w:val="003F5D0E"/>
    <w:rsid w:val="003F5E28"/>
    <w:rsid w:val="003F608B"/>
    <w:rsid w:val="003F6224"/>
    <w:rsid w:val="003F67B2"/>
    <w:rsid w:val="003F6958"/>
    <w:rsid w:val="003F74A0"/>
    <w:rsid w:val="003F7A4C"/>
    <w:rsid w:val="003F7BF4"/>
    <w:rsid w:val="003F7C69"/>
    <w:rsid w:val="003F7FC5"/>
    <w:rsid w:val="00400097"/>
    <w:rsid w:val="0040010F"/>
    <w:rsid w:val="0040056F"/>
    <w:rsid w:val="0040057F"/>
    <w:rsid w:val="004006DC"/>
    <w:rsid w:val="00400905"/>
    <w:rsid w:val="00400D73"/>
    <w:rsid w:val="00401641"/>
    <w:rsid w:val="00401919"/>
    <w:rsid w:val="00401933"/>
    <w:rsid w:val="00401AAB"/>
    <w:rsid w:val="00401FCE"/>
    <w:rsid w:val="0040205D"/>
    <w:rsid w:val="004021FF"/>
    <w:rsid w:val="00402436"/>
    <w:rsid w:val="00402464"/>
    <w:rsid w:val="0040247C"/>
    <w:rsid w:val="004027E4"/>
    <w:rsid w:val="00402924"/>
    <w:rsid w:val="004029AC"/>
    <w:rsid w:val="00402A49"/>
    <w:rsid w:val="00402B36"/>
    <w:rsid w:val="00402C23"/>
    <w:rsid w:val="00402EFA"/>
    <w:rsid w:val="00403413"/>
    <w:rsid w:val="0040352E"/>
    <w:rsid w:val="004038A9"/>
    <w:rsid w:val="00403E4B"/>
    <w:rsid w:val="00403F54"/>
    <w:rsid w:val="00404160"/>
    <w:rsid w:val="0040434D"/>
    <w:rsid w:val="004043F4"/>
    <w:rsid w:val="0040465B"/>
    <w:rsid w:val="004048B4"/>
    <w:rsid w:val="00404BD2"/>
    <w:rsid w:val="00404CFB"/>
    <w:rsid w:val="00404D11"/>
    <w:rsid w:val="00404FC9"/>
    <w:rsid w:val="00405262"/>
    <w:rsid w:val="00405439"/>
    <w:rsid w:val="00405553"/>
    <w:rsid w:val="00405692"/>
    <w:rsid w:val="00405C0A"/>
    <w:rsid w:val="00405D00"/>
    <w:rsid w:val="004061A1"/>
    <w:rsid w:val="004064FD"/>
    <w:rsid w:val="00406523"/>
    <w:rsid w:val="004066F6"/>
    <w:rsid w:val="00406A44"/>
    <w:rsid w:val="00406A95"/>
    <w:rsid w:val="00406C30"/>
    <w:rsid w:val="00406F72"/>
    <w:rsid w:val="0040707E"/>
    <w:rsid w:val="00407291"/>
    <w:rsid w:val="0040734B"/>
    <w:rsid w:val="00407609"/>
    <w:rsid w:val="004076C0"/>
    <w:rsid w:val="00407909"/>
    <w:rsid w:val="004079A5"/>
    <w:rsid w:val="004079F8"/>
    <w:rsid w:val="00407F6B"/>
    <w:rsid w:val="004104E6"/>
    <w:rsid w:val="00410546"/>
    <w:rsid w:val="00410941"/>
    <w:rsid w:val="00410A1A"/>
    <w:rsid w:val="00410A67"/>
    <w:rsid w:val="0041111C"/>
    <w:rsid w:val="004116F2"/>
    <w:rsid w:val="0041183E"/>
    <w:rsid w:val="004118A6"/>
    <w:rsid w:val="004118D3"/>
    <w:rsid w:val="00411A70"/>
    <w:rsid w:val="00411F06"/>
    <w:rsid w:val="00412F8B"/>
    <w:rsid w:val="00413024"/>
    <w:rsid w:val="00413168"/>
    <w:rsid w:val="0041376C"/>
    <w:rsid w:val="0041393E"/>
    <w:rsid w:val="00413B60"/>
    <w:rsid w:val="00413E11"/>
    <w:rsid w:val="00413FC0"/>
    <w:rsid w:val="00414330"/>
    <w:rsid w:val="0041466C"/>
    <w:rsid w:val="00414B7D"/>
    <w:rsid w:val="00414E78"/>
    <w:rsid w:val="00414F7A"/>
    <w:rsid w:val="004155B5"/>
    <w:rsid w:val="004156ED"/>
    <w:rsid w:val="004159C7"/>
    <w:rsid w:val="00415C42"/>
    <w:rsid w:val="00415E7A"/>
    <w:rsid w:val="0041659D"/>
    <w:rsid w:val="00416D35"/>
    <w:rsid w:val="00416D3E"/>
    <w:rsid w:val="00416E4A"/>
    <w:rsid w:val="00416E5B"/>
    <w:rsid w:val="004172CE"/>
    <w:rsid w:val="00417657"/>
    <w:rsid w:val="0041767C"/>
    <w:rsid w:val="004177CE"/>
    <w:rsid w:val="00417848"/>
    <w:rsid w:val="004179D3"/>
    <w:rsid w:val="00417F4F"/>
    <w:rsid w:val="00417F6D"/>
    <w:rsid w:val="0042011F"/>
    <w:rsid w:val="00420260"/>
    <w:rsid w:val="0042028B"/>
    <w:rsid w:val="004205ED"/>
    <w:rsid w:val="00420EE3"/>
    <w:rsid w:val="00421079"/>
    <w:rsid w:val="004212D1"/>
    <w:rsid w:val="00421318"/>
    <w:rsid w:val="00421392"/>
    <w:rsid w:val="00421760"/>
    <w:rsid w:val="004219A2"/>
    <w:rsid w:val="00421B4D"/>
    <w:rsid w:val="00421B6C"/>
    <w:rsid w:val="00421D65"/>
    <w:rsid w:val="00422488"/>
    <w:rsid w:val="00422947"/>
    <w:rsid w:val="00422C09"/>
    <w:rsid w:val="00422E77"/>
    <w:rsid w:val="004232A0"/>
    <w:rsid w:val="0042335B"/>
    <w:rsid w:val="00423550"/>
    <w:rsid w:val="0042367E"/>
    <w:rsid w:val="004236D1"/>
    <w:rsid w:val="004238A6"/>
    <w:rsid w:val="00423979"/>
    <w:rsid w:val="00423F44"/>
    <w:rsid w:val="0042405A"/>
    <w:rsid w:val="0042462D"/>
    <w:rsid w:val="0042480C"/>
    <w:rsid w:val="004248A3"/>
    <w:rsid w:val="004248C0"/>
    <w:rsid w:val="00424B82"/>
    <w:rsid w:val="00425205"/>
    <w:rsid w:val="004252EB"/>
    <w:rsid w:val="00425516"/>
    <w:rsid w:val="0042566C"/>
    <w:rsid w:val="00425859"/>
    <w:rsid w:val="00425C73"/>
    <w:rsid w:val="0042607E"/>
    <w:rsid w:val="00426101"/>
    <w:rsid w:val="0042649F"/>
    <w:rsid w:val="00426734"/>
    <w:rsid w:val="00426F67"/>
    <w:rsid w:val="00426FE6"/>
    <w:rsid w:val="0042722D"/>
    <w:rsid w:val="00427606"/>
    <w:rsid w:val="00427897"/>
    <w:rsid w:val="00427DBC"/>
    <w:rsid w:val="00427FF4"/>
    <w:rsid w:val="00430AB3"/>
    <w:rsid w:val="00430DF6"/>
    <w:rsid w:val="00431296"/>
    <w:rsid w:val="004314B3"/>
    <w:rsid w:val="00431B7F"/>
    <w:rsid w:val="00432092"/>
    <w:rsid w:val="00432BA8"/>
    <w:rsid w:val="0043304A"/>
    <w:rsid w:val="0043384A"/>
    <w:rsid w:val="0043394B"/>
    <w:rsid w:val="00433BA5"/>
    <w:rsid w:val="00433C0B"/>
    <w:rsid w:val="00433C12"/>
    <w:rsid w:val="0043400D"/>
    <w:rsid w:val="004340D7"/>
    <w:rsid w:val="004342B0"/>
    <w:rsid w:val="00434436"/>
    <w:rsid w:val="00434613"/>
    <w:rsid w:val="004347C9"/>
    <w:rsid w:val="00434B17"/>
    <w:rsid w:val="00434C91"/>
    <w:rsid w:val="004353DF"/>
    <w:rsid w:val="004353F6"/>
    <w:rsid w:val="0043558E"/>
    <w:rsid w:val="00435849"/>
    <w:rsid w:val="0043591D"/>
    <w:rsid w:val="00435A2E"/>
    <w:rsid w:val="004361C4"/>
    <w:rsid w:val="004363C1"/>
    <w:rsid w:val="00436460"/>
    <w:rsid w:val="004368DC"/>
    <w:rsid w:val="00436995"/>
    <w:rsid w:val="00436A49"/>
    <w:rsid w:val="00436CD0"/>
    <w:rsid w:val="00436E8B"/>
    <w:rsid w:val="004372CB"/>
    <w:rsid w:val="00437417"/>
    <w:rsid w:val="0043755F"/>
    <w:rsid w:val="0043763E"/>
    <w:rsid w:val="00437C28"/>
    <w:rsid w:val="00437DB3"/>
    <w:rsid w:val="00437E4A"/>
    <w:rsid w:val="00440601"/>
    <w:rsid w:val="00440645"/>
    <w:rsid w:val="00440A8C"/>
    <w:rsid w:val="00440AB0"/>
    <w:rsid w:val="00440AE7"/>
    <w:rsid w:val="004419C6"/>
    <w:rsid w:val="00441AEF"/>
    <w:rsid w:val="00441C7F"/>
    <w:rsid w:val="00441CB0"/>
    <w:rsid w:val="00441D80"/>
    <w:rsid w:val="00441DD4"/>
    <w:rsid w:val="00441E5C"/>
    <w:rsid w:val="00441FA6"/>
    <w:rsid w:val="00442356"/>
    <w:rsid w:val="004425C4"/>
    <w:rsid w:val="00442B54"/>
    <w:rsid w:val="00443343"/>
    <w:rsid w:val="0044385E"/>
    <w:rsid w:val="00443EF9"/>
    <w:rsid w:val="00443F98"/>
    <w:rsid w:val="004440D4"/>
    <w:rsid w:val="00444162"/>
    <w:rsid w:val="00444729"/>
    <w:rsid w:val="004447B5"/>
    <w:rsid w:val="00444F8C"/>
    <w:rsid w:val="0044524F"/>
    <w:rsid w:val="004452D3"/>
    <w:rsid w:val="0044532F"/>
    <w:rsid w:val="0044555A"/>
    <w:rsid w:val="0044559E"/>
    <w:rsid w:val="00445AB1"/>
    <w:rsid w:val="004462AB"/>
    <w:rsid w:val="0044675A"/>
    <w:rsid w:val="004467E5"/>
    <w:rsid w:val="00446AF0"/>
    <w:rsid w:val="00446DE5"/>
    <w:rsid w:val="00446E96"/>
    <w:rsid w:val="0044720A"/>
    <w:rsid w:val="00447233"/>
    <w:rsid w:val="004478CD"/>
    <w:rsid w:val="0044794A"/>
    <w:rsid w:val="004479FB"/>
    <w:rsid w:val="00447A72"/>
    <w:rsid w:val="00447C44"/>
    <w:rsid w:val="00447CBE"/>
    <w:rsid w:val="00447D28"/>
    <w:rsid w:val="00447E3E"/>
    <w:rsid w:val="00447FA2"/>
    <w:rsid w:val="00450068"/>
    <w:rsid w:val="004500AD"/>
    <w:rsid w:val="00450106"/>
    <w:rsid w:val="00450148"/>
    <w:rsid w:val="004504D0"/>
    <w:rsid w:val="004508B1"/>
    <w:rsid w:val="004509E7"/>
    <w:rsid w:val="00450A97"/>
    <w:rsid w:val="00450BEF"/>
    <w:rsid w:val="00450F42"/>
    <w:rsid w:val="00450FE2"/>
    <w:rsid w:val="004511EC"/>
    <w:rsid w:val="0045133B"/>
    <w:rsid w:val="00451BD0"/>
    <w:rsid w:val="00451BF6"/>
    <w:rsid w:val="004520B1"/>
    <w:rsid w:val="0045215A"/>
    <w:rsid w:val="004523F0"/>
    <w:rsid w:val="0045241B"/>
    <w:rsid w:val="00452425"/>
    <w:rsid w:val="0045255E"/>
    <w:rsid w:val="00452B3A"/>
    <w:rsid w:val="00452E7D"/>
    <w:rsid w:val="00452EDF"/>
    <w:rsid w:val="00453474"/>
    <w:rsid w:val="004534F5"/>
    <w:rsid w:val="0045367A"/>
    <w:rsid w:val="004538AD"/>
    <w:rsid w:val="00453B1E"/>
    <w:rsid w:val="00453BE2"/>
    <w:rsid w:val="00453E28"/>
    <w:rsid w:val="004540DA"/>
    <w:rsid w:val="00454737"/>
    <w:rsid w:val="0045473E"/>
    <w:rsid w:val="004547BC"/>
    <w:rsid w:val="00454A0B"/>
    <w:rsid w:val="00454B0C"/>
    <w:rsid w:val="00454C65"/>
    <w:rsid w:val="00454DA2"/>
    <w:rsid w:val="004552AC"/>
    <w:rsid w:val="00455540"/>
    <w:rsid w:val="004561E6"/>
    <w:rsid w:val="0045632A"/>
    <w:rsid w:val="0045648F"/>
    <w:rsid w:val="004568ED"/>
    <w:rsid w:val="00456902"/>
    <w:rsid w:val="0045696C"/>
    <w:rsid w:val="00456A28"/>
    <w:rsid w:val="00456B64"/>
    <w:rsid w:val="00456E9C"/>
    <w:rsid w:val="00456F49"/>
    <w:rsid w:val="00457960"/>
    <w:rsid w:val="00457A71"/>
    <w:rsid w:val="00457BFF"/>
    <w:rsid w:val="00457CA5"/>
    <w:rsid w:val="00457E22"/>
    <w:rsid w:val="00460656"/>
    <w:rsid w:val="00460BCF"/>
    <w:rsid w:val="00460DF1"/>
    <w:rsid w:val="00460E07"/>
    <w:rsid w:val="00460E50"/>
    <w:rsid w:val="00461167"/>
    <w:rsid w:val="004612AE"/>
    <w:rsid w:val="00461571"/>
    <w:rsid w:val="00461F53"/>
    <w:rsid w:val="00461F9B"/>
    <w:rsid w:val="0046233C"/>
    <w:rsid w:val="004628CB"/>
    <w:rsid w:val="004629D5"/>
    <w:rsid w:val="00462A2D"/>
    <w:rsid w:val="00462B35"/>
    <w:rsid w:val="00463079"/>
    <w:rsid w:val="00463240"/>
    <w:rsid w:val="004639FF"/>
    <w:rsid w:val="00463D92"/>
    <w:rsid w:val="0046431F"/>
    <w:rsid w:val="004643C0"/>
    <w:rsid w:val="004647CD"/>
    <w:rsid w:val="00464B95"/>
    <w:rsid w:val="004650E8"/>
    <w:rsid w:val="004655EC"/>
    <w:rsid w:val="00465A1E"/>
    <w:rsid w:val="00465B3C"/>
    <w:rsid w:val="00465C99"/>
    <w:rsid w:val="00465F47"/>
    <w:rsid w:val="0046605A"/>
    <w:rsid w:val="00466182"/>
    <w:rsid w:val="00466752"/>
    <w:rsid w:val="00466B73"/>
    <w:rsid w:val="00466CC4"/>
    <w:rsid w:val="00466CF8"/>
    <w:rsid w:val="00467338"/>
    <w:rsid w:val="004674FF"/>
    <w:rsid w:val="00467887"/>
    <w:rsid w:val="00467920"/>
    <w:rsid w:val="00467AE4"/>
    <w:rsid w:val="00467FAB"/>
    <w:rsid w:val="00470443"/>
    <w:rsid w:val="0047051C"/>
    <w:rsid w:val="00470653"/>
    <w:rsid w:val="004706AB"/>
    <w:rsid w:val="004708A1"/>
    <w:rsid w:val="004708D6"/>
    <w:rsid w:val="00470935"/>
    <w:rsid w:val="00470A3E"/>
    <w:rsid w:val="00470AAF"/>
    <w:rsid w:val="00470D49"/>
    <w:rsid w:val="004712D8"/>
    <w:rsid w:val="00471845"/>
    <w:rsid w:val="0047188F"/>
    <w:rsid w:val="00471B99"/>
    <w:rsid w:val="00471D70"/>
    <w:rsid w:val="00471DAB"/>
    <w:rsid w:val="00471F8A"/>
    <w:rsid w:val="00471FAF"/>
    <w:rsid w:val="004722E5"/>
    <w:rsid w:val="004722F8"/>
    <w:rsid w:val="00472868"/>
    <w:rsid w:val="004728A6"/>
    <w:rsid w:val="00472AED"/>
    <w:rsid w:val="00472AEE"/>
    <w:rsid w:val="00472ED9"/>
    <w:rsid w:val="00472F8B"/>
    <w:rsid w:val="004733BB"/>
    <w:rsid w:val="00473585"/>
    <w:rsid w:val="004735A2"/>
    <w:rsid w:val="004736D9"/>
    <w:rsid w:val="00474198"/>
    <w:rsid w:val="004741ED"/>
    <w:rsid w:val="00474264"/>
    <w:rsid w:val="0047430D"/>
    <w:rsid w:val="00474C68"/>
    <w:rsid w:val="00474DFE"/>
    <w:rsid w:val="00474E91"/>
    <w:rsid w:val="004752F4"/>
    <w:rsid w:val="00475315"/>
    <w:rsid w:val="004754D2"/>
    <w:rsid w:val="00475765"/>
    <w:rsid w:val="00475A38"/>
    <w:rsid w:val="00475A7E"/>
    <w:rsid w:val="00475CCA"/>
    <w:rsid w:val="00475EC0"/>
    <w:rsid w:val="00475F20"/>
    <w:rsid w:val="00475FBA"/>
    <w:rsid w:val="004761C1"/>
    <w:rsid w:val="00476407"/>
    <w:rsid w:val="004769D5"/>
    <w:rsid w:val="00476F27"/>
    <w:rsid w:val="00477143"/>
    <w:rsid w:val="0047786A"/>
    <w:rsid w:val="00477AB0"/>
    <w:rsid w:val="00477D7C"/>
    <w:rsid w:val="00480292"/>
    <w:rsid w:val="00480889"/>
    <w:rsid w:val="004809F7"/>
    <w:rsid w:val="00480A59"/>
    <w:rsid w:val="00480C40"/>
    <w:rsid w:val="00480D9F"/>
    <w:rsid w:val="0048117E"/>
    <w:rsid w:val="0048159C"/>
    <w:rsid w:val="004816EB"/>
    <w:rsid w:val="00481A21"/>
    <w:rsid w:val="00481B10"/>
    <w:rsid w:val="00481BAF"/>
    <w:rsid w:val="00481F83"/>
    <w:rsid w:val="00482091"/>
    <w:rsid w:val="004820C2"/>
    <w:rsid w:val="00482573"/>
    <w:rsid w:val="00482DF1"/>
    <w:rsid w:val="00482F8D"/>
    <w:rsid w:val="00482FCA"/>
    <w:rsid w:val="00483A5B"/>
    <w:rsid w:val="00483B96"/>
    <w:rsid w:val="00483CB7"/>
    <w:rsid w:val="00483F05"/>
    <w:rsid w:val="00483F58"/>
    <w:rsid w:val="00483FDC"/>
    <w:rsid w:val="0048409A"/>
    <w:rsid w:val="00484343"/>
    <w:rsid w:val="00484466"/>
    <w:rsid w:val="0048457C"/>
    <w:rsid w:val="0048473D"/>
    <w:rsid w:val="00484910"/>
    <w:rsid w:val="00484D48"/>
    <w:rsid w:val="00484D4E"/>
    <w:rsid w:val="00485060"/>
    <w:rsid w:val="0048535A"/>
    <w:rsid w:val="00485445"/>
    <w:rsid w:val="004855D4"/>
    <w:rsid w:val="004856F5"/>
    <w:rsid w:val="00485BDF"/>
    <w:rsid w:val="00485C82"/>
    <w:rsid w:val="00486182"/>
    <w:rsid w:val="00486515"/>
    <w:rsid w:val="00486685"/>
    <w:rsid w:val="004866BD"/>
    <w:rsid w:val="00486849"/>
    <w:rsid w:val="004868A9"/>
    <w:rsid w:val="00486CD8"/>
    <w:rsid w:val="00486E4D"/>
    <w:rsid w:val="00486EFC"/>
    <w:rsid w:val="00487217"/>
    <w:rsid w:val="004872C2"/>
    <w:rsid w:val="0048761B"/>
    <w:rsid w:val="004878B0"/>
    <w:rsid w:val="004878F7"/>
    <w:rsid w:val="00487FD3"/>
    <w:rsid w:val="00490591"/>
    <w:rsid w:val="00490649"/>
    <w:rsid w:val="00490E5F"/>
    <w:rsid w:val="004915F4"/>
    <w:rsid w:val="0049163C"/>
    <w:rsid w:val="0049168A"/>
    <w:rsid w:val="00491840"/>
    <w:rsid w:val="004919CF"/>
    <w:rsid w:val="00491A95"/>
    <w:rsid w:val="00491AF3"/>
    <w:rsid w:val="00491FE1"/>
    <w:rsid w:val="00492021"/>
    <w:rsid w:val="004920D4"/>
    <w:rsid w:val="004922EB"/>
    <w:rsid w:val="004922F8"/>
    <w:rsid w:val="0049249B"/>
    <w:rsid w:val="004927A8"/>
    <w:rsid w:val="004928E9"/>
    <w:rsid w:val="00492A7A"/>
    <w:rsid w:val="00492B1C"/>
    <w:rsid w:val="00492B38"/>
    <w:rsid w:val="00492C56"/>
    <w:rsid w:val="00492CCC"/>
    <w:rsid w:val="00492E7D"/>
    <w:rsid w:val="00492F85"/>
    <w:rsid w:val="00493096"/>
    <w:rsid w:val="004931B0"/>
    <w:rsid w:val="0049336B"/>
    <w:rsid w:val="004933EA"/>
    <w:rsid w:val="004936D1"/>
    <w:rsid w:val="00493B6C"/>
    <w:rsid w:val="00493D8D"/>
    <w:rsid w:val="00493FAB"/>
    <w:rsid w:val="00494370"/>
    <w:rsid w:val="00494581"/>
    <w:rsid w:val="00494852"/>
    <w:rsid w:val="00495547"/>
    <w:rsid w:val="00495863"/>
    <w:rsid w:val="00495878"/>
    <w:rsid w:val="004961DA"/>
    <w:rsid w:val="0049661D"/>
    <w:rsid w:val="004966C2"/>
    <w:rsid w:val="00496CB4"/>
    <w:rsid w:val="00497610"/>
    <w:rsid w:val="00497685"/>
    <w:rsid w:val="00497B43"/>
    <w:rsid w:val="00497DD8"/>
    <w:rsid w:val="00497E1B"/>
    <w:rsid w:val="00497EDC"/>
    <w:rsid w:val="004A0070"/>
    <w:rsid w:val="004A031D"/>
    <w:rsid w:val="004A0334"/>
    <w:rsid w:val="004A0572"/>
    <w:rsid w:val="004A0780"/>
    <w:rsid w:val="004A081A"/>
    <w:rsid w:val="004A089A"/>
    <w:rsid w:val="004A0AE6"/>
    <w:rsid w:val="004A0AF6"/>
    <w:rsid w:val="004A0EF1"/>
    <w:rsid w:val="004A11F6"/>
    <w:rsid w:val="004A1BDC"/>
    <w:rsid w:val="004A1C44"/>
    <w:rsid w:val="004A1E8F"/>
    <w:rsid w:val="004A1F2C"/>
    <w:rsid w:val="004A2018"/>
    <w:rsid w:val="004A2068"/>
    <w:rsid w:val="004A2269"/>
    <w:rsid w:val="004A28EB"/>
    <w:rsid w:val="004A2D46"/>
    <w:rsid w:val="004A3346"/>
    <w:rsid w:val="004A37EA"/>
    <w:rsid w:val="004A3852"/>
    <w:rsid w:val="004A3B37"/>
    <w:rsid w:val="004A3EAF"/>
    <w:rsid w:val="004A3F16"/>
    <w:rsid w:val="004A3F3F"/>
    <w:rsid w:val="004A42BC"/>
    <w:rsid w:val="004A42E9"/>
    <w:rsid w:val="004A4711"/>
    <w:rsid w:val="004A47CA"/>
    <w:rsid w:val="004A491B"/>
    <w:rsid w:val="004A4FAF"/>
    <w:rsid w:val="004A5401"/>
    <w:rsid w:val="004A56DA"/>
    <w:rsid w:val="004A5EBE"/>
    <w:rsid w:val="004A5F54"/>
    <w:rsid w:val="004A658E"/>
    <w:rsid w:val="004A6A5B"/>
    <w:rsid w:val="004A6C8F"/>
    <w:rsid w:val="004A6E6C"/>
    <w:rsid w:val="004A75D5"/>
    <w:rsid w:val="004A7A07"/>
    <w:rsid w:val="004A7DEE"/>
    <w:rsid w:val="004A7FC1"/>
    <w:rsid w:val="004B0096"/>
    <w:rsid w:val="004B01B4"/>
    <w:rsid w:val="004B03B6"/>
    <w:rsid w:val="004B04DF"/>
    <w:rsid w:val="004B08F8"/>
    <w:rsid w:val="004B0AF0"/>
    <w:rsid w:val="004B0DD5"/>
    <w:rsid w:val="004B0E2A"/>
    <w:rsid w:val="004B10CD"/>
    <w:rsid w:val="004B10D9"/>
    <w:rsid w:val="004B11E8"/>
    <w:rsid w:val="004B155E"/>
    <w:rsid w:val="004B181A"/>
    <w:rsid w:val="004B1BF7"/>
    <w:rsid w:val="004B1C9E"/>
    <w:rsid w:val="004B1CDB"/>
    <w:rsid w:val="004B1CF2"/>
    <w:rsid w:val="004B21AE"/>
    <w:rsid w:val="004B2514"/>
    <w:rsid w:val="004B2540"/>
    <w:rsid w:val="004B258A"/>
    <w:rsid w:val="004B288A"/>
    <w:rsid w:val="004B2C38"/>
    <w:rsid w:val="004B2C48"/>
    <w:rsid w:val="004B2D09"/>
    <w:rsid w:val="004B2E1D"/>
    <w:rsid w:val="004B33E0"/>
    <w:rsid w:val="004B3569"/>
    <w:rsid w:val="004B3596"/>
    <w:rsid w:val="004B3A41"/>
    <w:rsid w:val="004B3DF0"/>
    <w:rsid w:val="004B3FD1"/>
    <w:rsid w:val="004B424E"/>
    <w:rsid w:val="004B4297"/>
    <w:rsid w:val="004B4637"/>
    <w:rsid w:val="004B4968"/>
    <w:rsid w:val="004B49A2"/>
    <w:rsid w:val="004B49BA"/>
    <w:rsid w:val="004B4B8C"/>
    <w:rsid w:val="004B4C4A"/>
    <w:rsid w:val="004B4E11"/>
    <w:rsid w:val="004B50D1"/>
    <w:rsid w:val="004B5191"/>
    <w:rsid w:val="004B51BF"/>
    <w:rsid w:val="004B5416"/>
    <w:rsid w:val="004B58BE"/>
    <w:rsid w:val="004B5CF3"/>
    <w:rsid w:val="004B5D6C"/>
    <w:rsid w:val="004B5E47"/>
    <w:rsid w:val="004B640F"/>
    <w:rsid w:val="004B665E"/>
    <w:rsid w:val="004B6907"/>
    <w:rsid w:val="004B6BD3"/>
    <w:rsid w:val="004B6BDF"/>
    <w:rsid w:val="004B6C7B"/>
    <w:rsid w:val="004B6E95"/>
    <w:rsid w:val="004B6EA3"/>
    <w:rsid w:val="004B6EEF"/>
    <w:rsid w:val="004B7477"/>
    <w:rsid w:val="004B74F7"/>
    <w:rsid w:val="004B750E"/>
    <w:rsid w:val="004C0347"/>
    <w:rsid w:val="004C065F"/>
    <w:rsid w:val="004C07F1"/>
    <w:rsid w:val="004C0976"/>
    <w:rsid w:val="004C0A9A"/>
    <w:rsid w:val="004C0BB6"/>
    <w:rsid w:val="004C0EFC"/>
    <w:rsid w:val="004C13AD"/>
    <w:rsid w:val="004C176B"/>
    <w:rsid w:val="004C1827"/>
    <w:rsid w:val="004C1A69"/>
    <w:rsid w:val="004C1A94"/>
    <w:rsid w:val="004C1C93"/>
    <w:rsid w:val="004C1F49"/>
    <w:rsid w:val="004C1FEA"/>
    <w:rsid w:val="004C2245"/>
    <w:rsid w:val="004C2390"/>
    <w:rsid w:val="004C2833"/>
    <w:rsid w:val="004C2A47"/>
    <w:rsid w:val="004C2BEE"/>
    <w:rsid w:val="004C2C1C"/>
    <w:rsid w:val="004C2C5E"/>
    <w:rsid w:val="004C2CDC"/>
    <w:rsid w:val="004C31B9"/>
    <w:rsid w:val="004C3353"/>
    <w:rsid w:val="004C3425"/>
    <w:rsid w:val="004C369C"/>
    <w:rsid w:val="004C3D7A"/>
    <w:rsid w:val="004C3D7B"/>
    <w:rsid w:val="004C3F88"/>
    <w:rsid w:val="004C4568"/>
    <w:rsid w:val="004C494F"/>
    <w:rsid w:val="004C49A1"/>
    <w:rsid w:val="004C4A0A"/>
    <w:rsid w:val="004C4A22"/>
    <w:rsid w:val="004C4BC6"/>
    <w:rsid w:val="004C5204"/>
    <w:rsid w:val="004C5378"/>
    <w:rsid w:val="004C5501"/>
    <w:rsid w:val="004C553F"/>
    <w:rsid w:val="004C5738"/>
    <w:rsid w:val="004C5810"/>
    <w:rsid w:val="004C5894"/>
    <w:rsid w:val="004C5EF8"/>
    <w:rsid w:val="004C63B2"/>
    <w:rsid w:val="004C6615"/>
    <w:rsid w:val="004C66A2"/>
    <w:rsid w:val="004C6AA7"/>
    <w:rsid w:val="004C6AB1"/>
    <w:rsid w:val="004C7196"/>
    <w:rsid w:val="004C73AA"/>
    <w:rsid w:val="004C74B3"/>
    <w:rsid w:val="004C74F6"/>
    <w:rsid w:val="004C762F"/>
    <w:rsid w:val="004C7A9D"/>
    <w:rsid w:val="004C7C7E"/>
    <w:rsid w:val="004D0277"/>
    <w:rsid w:val="004D081D"/>
    <w:rsid w:val="004D0CBB"/>
    <w:rsid w:val="004D0EEF"/>
    <w:rsid w:val="004D0F06"/>
    <w:rsid w:val="004D1089"/>
    <w:rsid w:val="004D1622"/>
    <w:rsid w:val="004D195B"/>
    <w:rsid w:val="004D1B1F"/>
    <w:rsid w:val="004D1C82"/>
    <w:rsid w:val="004D1D8D"/>
    <w:rsid w:val="004D2105"/>
    <w:rsid w:val="004D2313"/>
    <w:rsid w:val="004D24C1"/>
    <w:rsid w:val="004D261E"/>
    <w:rsid w:val="004D2838"/>
    <w:rsid w:val="004D2A1D"/>
    <w:rsid w:val="004D2B37"/>
    <w:rsid w:val="004D2F32"/>
    <w:rsid w:val="004D41D2"/>
    <w:rsid w:val="004D468B"/>
    <w:rsid w:val="004D4D77"/>
    <w:rsid w:val="004D524C"/>
    <w:rsid w:val="004D53E7"/>
    <w:rsid w:val="004D5532"/>
    <w:rsid w:val="004D5CE1"/>
    <w:rsid w:val="004D6336"/>
    <w:rsid w:val="004D64AA"/>
    <w:rsid w:val="004D66EF"/>
    <w:rsid w:val="004D68F1"/>
    <w:rsid w:val="004D6AEE"/>
    <w:rsid w:val="004D6C79"/>
    <w:rsid w:val="004D7602"/>
    <w:rsid w:val="004D76AB"/>
    <w:rsid w:val="004D7774"/>
    <w:rsid w:val="004D7882"/>
    <w:rsid w:val="004E0183"/>
    <w:rsid w:val="004E0282"/>
    <w:rsid w:val="004E0805"/>
    <w:rsid w:val="004E0ED1"/>
    <w:rsid w:val="004E0FB7"/>
    <w:rsid w:val="004E1537"/>
    <w:rsid w:val="004E1557"/>
    <w:rsid w:val="004E1DEA"/>
    <w:rsid w:val="004E249B"/>
    <w:rsid w:val="004E24CA"/>
    <w:rsid w:val="004E2811"/>
    <w:rsid w:val="004E2A07"/>
    <w:rsid w:val="004E2B43"/>
    <w:rsid w:val="004E2E6E"/>
    <w:rsid w:val="004E31F6"/>
    <w:rsid w:val="004E3277"/>
    <w:rsid w:val="004E3659"/>
    <w:rsid w:val="004E3987"/>
    <w:rsid w:val="004E3AD8"/>
    <w:rsid w:val="004E3BC9"/>
    <w:rsid w:val="004E3CEE"/>
    <w:rsid w:val="004E3E2A"/>
    <w:rsid w:val="004E3F2B"/>
    <w:rsid w:val="004E4A44"/>
    <w:rsid w:val="004E4D05"/>
    <w:rsid w:val="004E4D89"/>
    <w:rsid w:val="004E4F81"/>
    <w:rsid w:val="004E50A2"/>
    <w:rsid w:val="004E5122"/>
    <w:rsid w:val="004E5644"/>
    <w:rsid w:val="004E56AF"/>
    <w:rsid w:val="004E622D"/>
    <w:rsid w:val="004E6283"/>
    <w:rsid w:val="004E63BA"/>
    <w:rsid w:val="004E6AEB"/>
    <w:rsid w:val="004E6E4F"/>
    <w:rsid w:val="004E73E3"/>
    <w:rsid w:val="004E7451"/>
    <w:rsid w:val="004E775E"/>
    <w:rsid w:val="004E7A66"/>
    <w:rsid w:val="004E7E67"/>
    <w:rsid w:val="004F010D"/>
    <w:rsid w:val="004F024C"/>
    <w:rsid w:val="004F02EB"/>
    <w:rsid w:val="004F0309"/>
    <w:rsid w:val="004F05E5"/>
    <w:rsid w:val="004F08C6"/>
    <w:rsid w:val="004F0BDE"/>
    <w:rsid w:val="004F0D33"/>
    <w:rsid w:val="004F0D3E"/>
    <w:rsid w:val="004F15AE"/>
    <w:rsid w:val="004F1665"/>
    <w:rsid w:val="004F1697"/>
    <w:rsid w:val="004F181E"/>
    <w:rsid w:val="004F195D"/>
    <w:rsid w:val="004F19FE"/>
    <w:rsid w:val="004F1A5D"/>
    <w:rsid w:val="004F1B7E"/>
    <w:rsid w:val="004F1CE7"/>
    <w:rsid w:val="004F1F58"/>
    <w:rsid w:val="004F203F"/>
    <w:rsid w:val="004F284B"/>
    <w:rsid w:val="004F28AA"/>
    <w:rsid w:val="004F2B1E"/>
    <w:rsid w:val="004F2EFF"/>
    <w:rsid w:val="004F2F77"/>
    <w:rsid w:val="004F3106"/>
    <w:rsid w:val="004F31EC"/>
    <w:rsid w:val="004F3288"/>
    <w:rsid w:val="004F32BF"/>
    <w:rsid w:val="004F3628"/>
    <w:rsid w:val="004F391F"/>
    <w:rsid w:val="004F3DC1"/>
    <w:rsid w:val="004F4110"/>
    <w:rsid w:val="004F4596"/>
    <w:rsid w:val="004F486B"/>
    <w:rsid w:val="004F490B"/>
    <w:rsid w:val="004F5773"/>
    <w:rsid w:val="004F5A14"/>
    <w:rsid w:val="004F5B93"/>
    <w:rsid w:val="004F612E"/>
    <w:rsid w:val="004F65D8"/>
    <w:rsid w:val="004F6699"/>
    <w:rsid w:val="004F6B96"/>
    <w:rsid w:val="004F6C12"/>
    <w:rsid w:val="004F6E27"/>
    <w:rsid w:val="004F715F"/>
    <w:rsid w:val="004F7547"/>
    <w:rsid w:val="004F76E7"/>
    <w:rsid w:val="004F76FD"/>
    <w:rsid w:val="004F77CA"/>
    <w:rsid w:val="004F7F77"/>
    <w:rsid w:val="004F7FEE"/>
    <w:rsid w:val="004F7FFD"/>
    <w:rsid w:val="0050076A"/>
    <w:rsid w:val="00500D45"/>
    <w:rsid w:val="00500E5F"/>
    <w:rsid w:val="005015CB"/>
    <w:rsid w:val="005019F3"/>
    <w:rsid w:val="00501C20"/>
    <w:rsid w:val="0050207A"/>
    <w:rsid w:val="00502105"/>
    <w:rsid w:val="0050245D"/>
    <w:rsid w:val="0050272A"/>
    <w:rsid w:val="00502960"/>
    <w:rsid w:val="00502B45"/>
    <w:rsid w:val="00502B7A"/>
    <w:rsid w:val="005031F2"/>
    <w:rsid w:val="00503538"/>
    <w:rsid w:val="00503560"/>
    <w:rsid w:val="00503824"/>
    <w:rsid w:val="0050383A"/>
    <w:rsid w:val="00503C20"/>
    <w:rsid w:val="00504085"/>
    <w:rsid w:val="00504520"/>
    <w:rsid w:val="0050489B"/>
    <w:rsid w:val="00504946"/>
    <w:rsid w:val="00504A41"/>
    <w:rsid w:val="00504AAB"/>
    <w:rsid w:val="00504DFD"/>
    <w:rsid w:val="00504F3A"/>
    <w:rsid w:val="0050522D"/>
    <w:rsid w:val="0050557E"/>
    <w:rsid w:val="005058D2"/>
    <w:rsid w:val="00505A79"/>
    <w:rsid w:val="00505C33"/>
    <w:rsid w:val="00505D24"/>
    <w:rsid w:val="00505D7F"/>
    <w:rsid w:val="00505F01"/>
    <w:rsid w:val="0050635B"/>
    <w:rsid w:val="005065D7"/>
    <w:rsid w:val="005066A6"/>
    <w:rsid w:val="00506D75"/>
    <w:rsid w:val="0050723A"/>
    <w:rsid w:val="00507385"/>
    <w:rsid w:val="005078DA"/>
    <w:rsid w:val="00507B09"/>
    <w:rsid w:val="00507B1B"/>
    <w:rsid w:val="00507BEC"/>
    <w:rsid w:val="00507C0F"/>
    <w:rsid w:val="00507D8E"/>
    <w:rsid w:val="00507F5A"/>
    <w:rsid w:val="005103D5"/>
    <w:rsid w:val="00510746"/>
    <w:rsid w:val="00510879"/>
    <w:rsid w:val="00510FCA"/>
    <w:rsid w:val="005117A6"/>
    <w:rsid w:val="00511BD5"/>
    <w:rsid w:val="00511D0F"/>
    <w:rsid w:val="00512215"/>
    <w:rsid w:val="00512260"/>
    <w:rsid w:val="005122AF"/>
    <w:rsid w:val="005127E7"/>
    <w:rsid w:val="00512BC5"/>
    <w:rsid w:val="00512D98"/>
    <w:rsid w:val="005134DB"/>
    <w:rsid w:val="005139E9"/>
    <w:rsid w:val="00513C78"/>
    <w:rsid w:val="00513C83"/>
    <w:rsid w:val="005141E3"/>
    <w:rsid w:val="00514413"/>
    <w:rsid w:val="00514AD0"/>
    <w:rsid w:val="00514B5E"/>
    <w:rsid w:val="00514C1B"/>
    <w:rsid w:val="00514C26"/>
    <w:rsid w:val="00514D00"/>
    <w:rsid w:val="00514F5C"/>
    <w:rsid w:val="00515589"/>
    <w:rsid w:val="005155DA"/>
    <w:rsid w:val="00515977"/>
    <w:rsid w:val="00515FCE"/>
    <w:rsid w:val="0051612C"/>
    <w:rsid w:val="00516525"/>
    <w:rsid w:val="00516694"/>
    <w:rsid w:val="00516878"/>
    <w:rsid w:val="00516A7A"/>
    <w:rsid w:val="00516B24"/>
    <w:rsid w:val="00516E58"/>
    <w:rsid w:val="005170CA"/>
    <w:rsid w:val="00517323"/>
    <w:rsid w:val="0051743A"/>
    <w:rsid w:val="005174C5"/>
    <w:rsid w:val="00517A60"/>
    <w:rsid w:val="00517A6D"/>
    <w:rsid w:val="00517F26"/>
    <w:rsid w:val="0052011A"/>
    <w:rsid w:val="005203D6"/>
    <w:rsid w:val="00520938"/>
    <w:rsid w:val="00520BA8"/>
    <w:rsid w:val="00520E2E"/>
    <w:rsid w:val="00521040"/>
    <w:rsid w:val="0052145E"/>
    <w:rsid w:val="0052172E"/>
    <w:rsid w:val="00522690"/>
    <w:rsid w:val="00522817"/>
    <w:rsid w:val="00522959"/>
    <w:rsid w:val="00522BC3"/>
    <w:rsid w:val="00522EF0"/>
    <w:rsid w:val="005232B7"/>
    <w:rsid w:val="0052373F"/>
    <w:rsid w:val="00523765"/>
    <w:rsid w:val="00523A24"/>
    <w:rsid w:val="00523D06"/>
    <w:rsid w:val="00523FAE"/>
    <w:rsid w:val="0052400C"/>
    <w:rsid w:val="00524386"/>
    <w:rsid w:val="005243D9"/>
    <w:rsid w:val="00524495"/>
    <w:rsid w:val="005244C8"/>
    <w:rsid w:val="00524AFC"/>
    <w:rsid w:val="00524D73"/>
    <w:rsid w:val="00525062"/>
    <w:rsid w:val="0052521E"/>
    <w:rsid w:val="00525741"/>
    <w:rsid w:val="005259BE"/>
    <w:rsid w:val="00525A1B"/>
    <w:rsid w:val="00525B72"/>
    <w:rsid w:val="00526548"/>
    <w:rsid w:val="0052656F"/>
    <w:rsid w:val="0052664A"/>
    <w:rsid w:val="00526865"/>
    <w:rsid w:val="00526E6C"/>
    <w:rsid w:val="005270B5"/>
    <w:rsid w:val="0052763A"/>
    <w:rsid w:val="005277BE"/>
    <w:rsid w:val="005278F9"/>
    <w:rsid w:val="00527B2C"/>
    <w:rsid w:val="005301A3"/>
    <w:rsid w:val="005302DC"/>
    <w:rsid w:val="00530321"/>
    <w:rsid w:val="0053077B"/>
    <w:rsid w:val="0053080B"/>
    <w:rsid w:val="00530936"/>
    <w:rsid w:val="00530BE1"/>
    <w:rsid w:val="00530CFA"/>
    <w:rsid w:val="00531097"/>
    <w:rsid w:val="00531118"/>
    <w:rsid w:val="00531287"/>
    <w:rsid w:val="00531310"/>
    <w:rsid w:val="00531359"/>
    <w:rsid w:val="005319D6"/>
    <w:rsid w:val="00531BC8"/>
    <w:rsid w:val="00531D93"/>
    <w:rsid w:val="00531F8C"/>
    <w:rsid w:val="005322F2"/>
    <w:rsid w:val="0053233A"/>
    <w:rsid w:val="00532477"/>
    <w:rsid w:val="005324DB"/>
    <w:rsid w:val="00532BA5"/>
    <w:rsid w:val="00532DF9"/>
    <w:rsid w:val="00532EB7"/>
    <w:rsid w:val="00533585"/>
    <w:rsid w:val="005338B1"/>
    <w:rsid w:val="005339B9"/>
    <w:rsid w:val="00533A5F"/>
    <w:rsid w:val="00533C60"/>
    <w:rsid w:val="00533EE0"/>
    <w:rsid w:val="005341CC"/>
    <w:rsid w:val="00534392"/>
    <w:rsid w:val="00534634"/>
    <w:rsid w:val="005349A9"/>
    <w:rsid w:val="00534A22"/>
    <w:rsid w:val="00534C66"/>
    <w:rsid w:val="00534EA2"/>
    <w:rsid w:val="00535188"/>
    <w:rsid w:val="00535254"/>
    <w:rsid w:val="00535376"/>
    <w:rsid w:val="0053552C"/>
    <w:rsid w:val="0053562C"/>
    <w:rsid w:val="0053566A"/>
    <w:rsid w:val="00535B46"/>
    <w:rsid w:val="00535C6C"/>
    <w:rsid w:val="00535EF1"/>
    <w:rsid w:val="00535FB9"/>
    <w:rsid w:val="0053624B"/>
    <w:rsid w:val="00536428"/>
    <w:rsid w:val="0053678C"/>
    <w:rsid w:val="00536CAF"/>
    <w:rsid w:val="00536E18"/>
    <w:rsid w:val="00536F7C"/>
    <w:rsid w:val="0053701F"/>
    <w:rsid w:val="005373A7"/>
    <w:rsid w:val="00537432"/>
    <w:rsid w:val="00537715"/>
    <w:rsid w:val="00537C1E"/>
    <w:rsid w:val="00537D71"/>
    <w:rsid w:val="00537DD8"/>
    <w:rsid w:val="00537DF1"/>
    <w:rsid w:val="00537F71"/>
    <w:rsid w:val="005401C4"/>
    <w:rsid w:val="00540A44"/>
    <w:rsid w:val="00540C0E"/>
    <w:rsid w:val="0054105F"/>
    <w:rsid w:val="00541133"/>
    <w:rsid w:val="0054118B"/>
    <w:rsid w:val="005412D7"/>
    <w:rsid w:val="005418D6"/>
    <w:rsid w:val="00541974"/>
    <w:rsid w:val="005419CE"/>
    <w:rsid w:val="00541CBF"/>
    <w:rsid w:val="00542824"/>
    <w:rsid w:val="00542FCB"/>
    <w:rsid w:val="005432AD"/>
    <w:rsid w:val="00543340"/>
    <w:rsid w:val="005433CC"/>
    <w:rsid w:val="0054349B"/>
    <w:rsid w:val="00544261"/>
    <w:rsid w:val="00544899"/>
    <w:rsid w:val="00544A15"/>
    <w:rsid w:val="00544F0C"/>
    <w:rsid w:val="00545146"/>
    <w:rsid w:val="005454EB"/>
    <w:rsid w:val="0054589B"/>
    <w:rsid w:val="00545D51"/>
    <w:rsid w:val="00545E8B"/>
    <w:rsid w:val="00546DB4"/>
    <w:rsid w:val="00546F00"/>
    <w:rsid w:val="005470B5"/>
    <w:rsid w:val="0054758F"/>
    <w:rsid w:val="005476DA"/>
    <w:rsid w:val="00547882"/>
    <w:rsid w:val="00547B11"/>
    <w:rsid w:val="00547CB8"/>
    <w:rsid w:val="00547D94"/>
    <w:rsid w:val="00547EEB"/>
    <w:rsid w:val="00550018"/>
    <w:rsid w:val="00550075"/>
    <w:rsid w:val="005506D6"/>
    <w:rsid w:val="005506E7"/>
    <w:rsid w:val="005509A7"/>
    <w:rsid w:val="00550CE4"/>
    <w:rsid w:val="00550D30"/>
    <w:rsid w:val="00550F7C"/>
    <w:rsid w:val="005513C8"/>
    <w:rsid w:val="005513CF"/>
    <w:rsid w:val="005514B9"/>
    <w:rsid w:val="0055196C"/>
    <w:rsid w:val="00551ADC"/>
    <w:rsid w:val="00551C56"/>
    <w:rsid w:val="00551E3C"/>
    <w:rsid w:val="00551FD1"/>
    <w:rsid w:val="005524DD"/>
    <w:rsid w:val="00552700"/>
    <w:rsid w:val="00552D86"/>
    <w:rsid w:val="00552E18"/>
    <w:rsid w:val="00552F15"/>
    <w:rsid w:val="00553635"/>
    <w:rsid w:val="005536C0"/>
    <w:rsid w:val="005537F2"/>
    <w:rsid w:val="005538C8"/>
    <w:rsid w:val="00553CE9"/>
    <w:rsid w:val="00553D48"/>
    <w:rsid w:val="0055451E"/>
    <w:rsid w:val="005545C9"/>
    <w:rsid w:val="00554A60"/>
    <w:rsid w:val="00554D8D"/>
    <w:rsid w:val="00554EB6"/>
    <w:rsid w:val="00555285"/>
    <w:rsid w:val="00555777"/>
    <w:rsid w:val="00555A6A"/>
    <w:rsid w:val="00555C36"/>
    <w:rsid w:val="00555C3B"/>
    <w:rsid w:val="00555D0F"/>
    <w:rsid w:val="00555F2E"/>
    <w:rsid w:val="00555FA8"/>
    <w:rsid w:val="005562BF"/>
    <w:rsid w:val="005564B0"/>
    <w:rsid w:val="0055669F"/>
    <w:rsid w:val="005566D7"/>
    <w:rsid w:val="0055675C"/>
    <w:rsid w:val="00556A90"/>
    <w:rsid w:val="005577DB"/>
    <w:rsid w:val="00557CA1"/>
    <w:rsid w:val="00560004"/>
    <w:rsid w:val="00560091"/>
    <w:rsid w:val="00560228"/>
    <w:rsid w:val="00560691"/>
    <w:rsid w:val="00560694"/>
    <w:rsid w:val="00560908"/>
    <w:rsid w:val="00560BE7"/>
    <w:rsid w:val="00560C0E"/>
    <w:rsid w:val="00560E04"/>
    <w:rsid w:val="00560ED4"/>
    <w:rsid w:val="005610D2"/>
    <w:rsid w:val="005612D4"/>
    <w:rsid w:val="0056135B"/>
    <w:rsid w:val="005613D0"/>
    <w:rsid w:val="0056177E"/>
    <w:rsid w:val="00561B40"/>
    <w:rsid w:val="00561F51"/>
    <w:rsid w:val="00562197"/>
    <w:rsid w:val="005629B9"/>
    <w:rsid w:val="0056374E"/>
    <w:rsid w:val="00563C3F"/>
    <w:rsid w:val="00564266"/>
    <w:rsid w:val="005644F9"/>
    <w:rsid w:val="005649ED"/>
    <w:rsid w:val="00564EEA"/>
    <w:rsid w:val="00565026"/>
    <w:rsid w:val="005650F1"/>
    <w:rsid w:val="005652A1"/>
    <w:rsid w:val="00565459"/>
    <w:rsid w:val="00565586"/>
    <w:rsid w:val="00565A4F"/>
    <w:rsid w:val="00565B55"/>
    <w:rsid w:val="00565C21"/>
    <w:rsid w:val="00566122"/>
    <w:rsid w:val="00566233"/>
    <w:rsid w:val="0056626B"/>
    <w:rsid w:val="005664A5"/>
    <w:rsid w:val="0056651E"/>
    <w:rsid w:val="0056679B"/>
    <w:rsid w:val="00566ABA"/>
    <w:rsid w:val="00566B04"/>
    <w:rsid w:val="00566CEC"/>
    <w:rsid w:val="00567128"/>
    <w:rsid w:val="0056728E"/>
    <w:rsid w:val="005672E1"/>
    <w:rsid w:val="005674FB"/>
    <w:rsid w:val="005675ED"/>
    <w:rsid w:val="005676FA"/>
    <w:rsid w:val="00567E87"/>
    <w:rsid w:val="00570034"/>
    <w:rsid w:val="0057014D"/>
    <w:rsid w:val="00570340"/>
    <w:rsid w:val="00570394"/>
    <w:rsid w:val="005704BB"/>
    <w:rsid w:val="0057080F"/>
    <w:rsid w:val="005709A4"/>
    <w:rsid w:val="00570BE3"/>
    <w:rsid w:val="00570D1F"/>
    <w:rsid w:val="00570DA5"/>
    <w:rsid w:val="005712B4"/>
    <w:rsid w:val="005713C0"/>
    <w:rsid w:val="005713DC"/>
    <w:rsid w:val="00571A2F"/>
    <w:rsid w:val="00571CDC"/>
    <w:rsid w:val="00571D24"/>
    <w:rsid w:val="00571EA4"/>
    <w:rsid w:val="00571EC3"/>
    <w:rsid w:val="0057209E"/>
    <w:rsid w:val="0057229D"/>
    <w:rsid w:val="005724AD"/>
    <w:rsid w:val="005725D1"/>
    <w:rsid w:val="00572604"/>
    <w:rsid w:val="005726B8"/>
    <w:rsid w:val="005727DA"/>
    <w:rsid w:val="00572B37"/>
    <w:rsid w:val="00572C98"/>
    <w:rsid w:val="00572C99"/>
    <w:rsid w:val="00572F2B"/>
    <w:rsid w:val="00572F94"/>
    <w:rsid w:val="0057314E"/>
    <w:rsid w:val="00573217"/>
    <w:rsid w:val="00573A7E"/>
    <w:rsid w:val="00573B49"/>
    <w:rsid w:val="00573B6D"/>
    <w:rsid w:val="00573C95"/>
    <w:rsid w:val="00573F01"/>
    <w:rsid w:val="00574659"/>
    <w:rsid w:val="005746E5"/>
    <w:rsid w:val="00574D3C"/>
    <w:rsid w:val="00574F89"/>
    <w:rsid w:val="0057514B"/>
    <w:rsid w:val="00575386"/>
    <w:rsid w:val="00575765"/>
    <w:rsid w:val="005757B8"/>
    <w:rsid w:val="00575899"/>
    <w:rsid w:val="00575A52"/>
    <w:rsid w:val="00575BF7"/>
    <w:rsid w:val="00575F90"/>
    <w:rsid w:val="005769F4"/>
    <w:rsid w:val="00576FAB"/>
    <w:rsid w:val="00577362"/>
    <w:rsid w:val="00577559"/>
    <w:rsid w:val="005775AE"/>
    <w:rsid w:val="00577661"/>
    <w:rsid w:val="00577903"/>
    <w:rsid w:val="00577AF0"/>
    <w:rsid w:val="00577DA6"/>
    <w:rsid w:val="0058007A"/>
    <w:rsid w:val="0058019D"/>
    <w:rsid w:val="005804F5"/>
    <w:rsid w:val="005805EB"/>
    <w:rsid w:val="00580631"/>
    <w:rsid w:val="00580F96"/>
    <w:rsid w:val="0058112A"/>
    <w:rsid w:val="005815E8"/>
    <w:rsid w:val="005818C4"/>
    <w:rsid w:val="00581EBE"/>
    <w:rsid w:val="0058212C"/>
    <w:rsid w:val="005822A4"/>
    <w:rsid w:val="005824C7"/>
    <w:rsid w:val="00582BA9"/>
    <w:rsid w:val="00582F06"/>
    <w:rsid w:val="00583249"/>
    <w:rsid w:val="005832AB"/>
    <w:rsid w:val="005834AE"/>
    <w:rsid w:val="00583A9D"/>
    <w:rsid w:val="00583ED3"/>
    <w:rsid w:val="00584399"/>
    <w:rsid w:val="00584614"/>
    <w:rsid w:val="005849B9"/>
    <w:rsid w:val="0058501B"/>
    <w:rsid w:val="0058506E"/>
    <w:rsid w:val="005850D9"/>
    <w:rsid w:val="00585221"/>
    <w:rsid w:val="00585464"/>
    <w:rsid w:val="005856D0"/>
    <w:rsid w:val="00585A22"/>
    <w:rsid w:val="00585E72"/>
    <w:rsid w:val="00585EB9"/>
    <w:rsid w:val="0058646E"/>
    <w:rsid w:val="005867C5"/>
    <w:rsid w:val="005867DB"/>
    <w:rsid w:val="005869D6"/>
    <w:rsid w:val="00586C23"/>
    <w:rsid w:val="00586DB8"/>
    <w:rsid w:val="005872A7"/>
    <w:rsid w:val="005872B6"/>
    <w:rsid w:val="00587489"/>
    <w:rsid w:val="005876C5"/>
    <w:rsid w:val="005878DC"/>
    <w:rsid w:val="00587938"/>
    <w:rsid w:val="00587CDE"/>
    <w:rsid w:val="00587D0D"/>
    <w:rsid w:val="00587DD5"/>
    <w:rsid w:val="00587EE8"/>
    <w:rsid w:val="00587F35"/>
    <w:rsid w:val="005900B7"/>
    <w:rsid w:val="005904BA"/>
    <w:rsid w:val="005905BF"/>
    <w:rsid w:val="00590BB7"/>
    <w:rsid w:val="00590C6F"/>
    <w:rsid w:val="00590C9E"/>
    <w:rsid w:val="00590D32"/>
    <w:rsid w:val="005914F0"/>
    <w:rsid w:val="0059188C"/>
    <w:rsid w:val="00592040"/>
    <w:rsid w:val="00592059"/>
    <w:rsid w:val="005921B1"/>
    <w:rsid w:val="00592367"/>
    <w:rsid w:val="005923A0"/>
    <w:rsid w:val="00592424"/>
    <w:rsid w:val="00592976"/>
    <w:rsid w:val="00592C26"/>
    <w:rsid w:val="00592DF8"/>
    <w:rsid w:val="0059351C"/>
    <w:rsid w:val="0059366D"/>
    <w:rsid w:val="005939B6"/>
    <w:rsid w:val="00593BEB"/>
    <w:rsid w:val="00593E0C"/>
    <w:rsid w:val="00593EB8"/>
    <w:rsid w:val="00595134"/>
    <w:rsid w:val="005952E6"/>
    <w:rsid w:val="005954C7"/>
    <w:rsid w:val="00595C73"/>
    <w:rsid w:val="0059651B"/>
    <w:rsid w:val="00596C24"/>
    <w:rsid w:val="00596C66"/>
    <w:rsid w:val="00596D91"/>
    <w:rsid w:val="00597164"/>
    <w:rsid w:val="0059755F"/>
    <w:rsid w:val="0059768E"/>
    <w:rsid w:val="005976E9"/>
    <w:rsid w:val="00597898"/>
    <w:rsid w:val="00597CE7"/>
    <w:rsid w:val="00597D8F"/>
    <w:rsid w:val="00597F9B"/>
    <w:rsid w:val="00597FB8"/>
    <w:rsid w:val="005A020E"/>
    <w:rsid w:val="005A0346"/>
    <w:rsid w:val="005A066B"/>
    <w:rsid w:val="005A07DC"/>
    <w:rsid w:val="005A0C26"/>
    <w:rsid w:val="005A0C4C"/>
    <w:rsid w:val="005A0E2C"/>
    <w:rsid w:val="005A15B2"/>
    <w:rsid w:val="005A169F"/>
    <w:rsid w:val="005A19D1"/>
    <w:rsid w:val="005A19EC"/>
    <w:rsid w:val="005A1ADB"/>
    <w:rsid w:val="005A1B59"/>
    <w:rsid w:val="005A1F54"/>
    <w:rsid w:val="005A205F"/>
    <w:rsid w:val="005A20B2"/>
    <w:rsid w:val="005A2512"/>
    <w:rsid w:val="005A25FA"/>
    <w:rsid w:val="005A26E3"/>
    <w:rsid w:val="005A2808"/>
    <w:rsid w:val="005A2838"/>
    <w:rsid w:val="005A2B45"/>
    <w:rsid w:val="005A35EF"/>
    <w:rsid w:val="005A3A92"/>
    <w:rsid w:val="005A3CE6"/>
    <w:rsid w:val="005A3FE4"/>
    <w:rsid w:val="005A41B6"/>
    <w:rsid w:val="005A4216"/>
    <w:rsid w:val="005A4545"/>
    <w:rsid w:val="005A459F"/>
    <w:rsid w:val="005A4B1A"/>
    <w:rsid w:val="005A4D2A"/>
    <w:rsid w:val="005A4FC0"/>
    <w:rsid w:val="005A4FDB"/>
    <w:rsid w:val="005A51A5"/>
    <w:rsid w:val="005A523B"/>
    <w:rsid w:val="005A57E0"/>
    <w:rsid w:val="005A5E40"/>
    <w:rsid w:val="005A5FE4"/>
    <w:rsid w:val="005A6303"/>
    <w:rsid w:val="005A6313"/>
    <w:rsid w:val="005A63C5"/>
    <w:rsid w:val="005A64F3"/>
    <w:rsid w:val="005A6524"/>
    <w:rsid w:val="005A677E"/>
    <w:rsid w:val="005A6A38"/>
    <w:rsid w:val="005A7595"/>
    <w:rsid w:val="005A77EB"/>
    <w:rsid w:val="005A7EF8"/>
    <w:rsid w:val="005B009B"/>
    <w:rsid w:val="005B029F"/>
    <w:rsid w:val="005B0644"/>
    <w:rsid w:val="005B071B"/>
    <w:rsid w:val="005B0B45"/>
    <w:rsid w:val="005B0C6C"/>
    <w:rsid w:val="005B0D5E"/>
    <w:rsid w:val="005B1202"/>
    <w:rsid w:val="005B1250"/>
    <w:rsid w:val="005B134D"/>
    <w:rsid w:val="005B16AA"/>
    <w:rsid w:val="005B187E"/>
    <w:rsid w:val="005B1924"/>
    <w:rsid w:val="005B1A6A"/>
    <w:rsid w:val="005B1AFF"/>
    <w:rsid w:val="005B20DD"/>
    <w:rsid w:val="005B2441"/>
    <w:rsid w:val="005B2517"/>
    <w:rsid w:val="005B26D0"/>
    <w:rsid w:val="005B26D9"/>
    <w:rsid w:val="005B299D"/>
    <w:rsid w:val="005B2B28"/>
    <w:rsid w:val="005B2C13"/>
    <w:rsid w:val="005B3061"/>
    <w:rsid w:val="005B3374"/>
    <w:rsid w:val="005B3437"/>
    <w:rsid w:val="005B34DB"/>
    <w:rsid w:val="005B3FE8"/>
    <w:rsid w:val="005B4165"/>
    <w:rsid w:val="005B421A"/>
    <w:rsid w:val="005B46CF"/>
    <w:rsid w:val="005B49B0"/>
    <w:rsid w:val="005B4AB6"/>
    <w:rsid w:val="005B4B27"/>
    <w:rsid w:val="005B4BBC"/>
    <w:rsid w:val="005B4EBC"/>
    <w:rsid w:val="005B54BC"/>
    <w:rsid w:val="005B5EA2"/>
    <w:rsid w:val="005B5ED1"/>
    <w:rsid w:val="005B6277"/>
    <w:rsid w:val="005B63D0"/>
    <w:rsid w:val="005B656F"/>
    <w:rsid w:val="005B6630"/>
    <w:rsid w:val="005B6B29"/>
    <w:rsid w:val="005B6D44"/>
    <w:rsid w:val="005B6F99"/>
    <w:rsid w:val="005B748C"/>
    <w:rsid w:val="005B78E0"/>
    <w:rsid w:val="005B7929"/>
    <w:rsid w:val="005C0025"/>
    <w:rsid w:val="005C0101"/>
    <w:rsid w:val="005C036A"/>
    <w:rsid w:val="005C071C"/>
    <w:rsid w:val="005C0CEE"/>
    <w:rsid w:val="005C0EAE"/>
    <w:rsid w:val="005C1ADA"/>
    <w:rsid w:val="005C1F2F"/>
    <w:rsid w:val="005C232B"/>
    <w:rsid w:val="005C240F"/>
    <w:rsid w:val="005C259C"/>
    <w:rsid w:val="005C2681"/>
    <w:rsid w:val="005C2756"/>
    <w:rsid w:val="005C3325"/>
    <w:rsid w:val="005C3414"/>
    <w:rsid w:val="005C34D6"/>
    <w:rsid w:val="005C370D"/>
    <w:rsid w:val="005C37CD"/>
    <w:rsid w:val="005C3849"/>
    <w:rsid w:val="005C3886"/>
    <w:rsid w:val="005C3940"/>
    <w:rsid w:val="005C3B2E"/>
    <w:rsid w:val="005C3FD3"/>
    <w:rsid w:val="005C417B"/>
    <w:rsid w:val="005C4225"/>
    <w:rsid w:val="005C4396"/>
    <w:rsid w:val="005C43E9"/>
    <w:rsid w:val="005C454B"/>
    <w:rsid w:val="005C4561"/>
    <w:rsid w:val="005C4991"/>
    <w:rsid w:val="005C4A76"/>
    <w:rsid w:val="005C4AC6"/>
    <w:rsid w:val="005C4DA0"/>
    <w:rsid w:val="005C4E95"/>
    <w:rsid w:val="005C5346"/>
    <w:rsid w:val="005C59D3"/>
    <w:rsid w:val="005C6371"/>
    <w:rsid w:val="005C63A5"/>
    <w:rsid w:val="005C63AA"/>
    <w:rsid w:val="005C6BC9"/>
    <w:rsid w:val="005C70E1"/>
    <w:rsid w:val="005C7399"/>
    <w:rsid w:val="005C7612"/>
    <w:rsid w:val="005C788B"/>
    <w:rsid w:val="005C798E"/>
    <w:rsid w:val="005C7BC9"/>
    <w:rsid w:val="005C7E50"/>
    <w:rsid w:val="005D0BF9"/>
    <w:rsid w:val="005D0CC1"/>
    <w:rsid w:val="005D0F31"/>
    <w:rsid w:val="005D0FA5"/>
    <w:rsid w:val="005D11CC"/>
    <w:rsid w:val="005D142D"/>
    <w:rsid w:val="005D1457"/>
    <w:rsid w:val="005D1589"/>
    <w:rsid w:val="005D15B1"/>
    <w:rsid w:val="005D1760"/>
    <w:rsid w:val="005D1999"/>
    <w:rsid w:val="005D19EB"/>
    <w:rsid w:val="005D1A45"/>
    <w:rsid w:val="005D1DB7"/>
    <w:rsid w:val="005D1DC0"/>
    <w:rsid w:val="005D1F6F"/>
    <w:rsid w:val="005D2A8F"/>
    <w:rsid w:val="005D30C8"/>
    <w:rsid w:val="005D389C"/>
    <w:rsid w:val="005D3B72"/>
    <w:rsid w:val="005D3DBB"/>
    <w:rsid w:val="005D4317"/>
    <w:rsid w:val="005D439A"/>
    <w:rsid w:val="005D4745"/>
    <w:rsid w:val="005D5675"/>
    <w:rsid w:val="005D5B09"/>
    <w:rsid w:val="005D6484"/>
    <w:rsid w:val="005D660D"/>
    <w:rsid w:val="005D69E9"/>
    <w:rsid w:val="005D6BE6"/>
    <w:rsid w:val="005D72F1"/>
    <w:rsid w:val="005D7B7D"/>
    <w:rsid w:val="005E0D91"/>
    <w:rsid w:val="005E1081"/>
    <w:rsid w:val="005E16DF"/>
    <w:rsid w:val="005E23C5"/>
    <w:rsid w:val="005E2766"/>
    <w:rsid w:val="005E2859"/>
    <w:rsid w:val="005E29FA"/>
    <w:rsid w:val="005E2CBA"/>
    <w:rsid w:val="005E308B"/>
    <w:rsid w:val="005E30FD"/>
    <w:rsid w:val="005E3512"/>
    <w:rsid w:val="005E3BCB"/>
    <w:rsid w:val="005E3CCE"/>
    <w:rsid w:val="005E3E00"/>
    <w:rsid w:val="005E4594"/>
    <w:rsid w:val="005E46FD"/>
    <w:rsid w:val="005E4A15"/>
    <w:rsid w:val="005E4E8E"/>
    <w:rsid w:val="005E5017"/>
    <w:rsid w:val="005E5610"/>
    <w:rsid w:val="005E56A2"/>
    <w:rsid w:val="005E56FB"/>
    <w:rsid w:val="005E5932"/>
    <w:rsid w:val="005E5A1A"/>
    <w:rsid w:val="005E5CCC"/>
    <w:rsid w:val="005E5F61"/>
    <w:rsid w:val="005E635B"/>
    <w:rsid w:val="005E657C"/>
    <w:rsid w:val="005E71D7"/>
    <w:rsid w:val="005E72BD"/>
    <w:rsid w:val="005E72E1"/>
    <w:rsid w:val="005E77E9"/>
    <w:rsid w:val="005E7990"/>
    <w:rsid w:val="005E7E77"/>
    <w:rsid w:val="005E7E94"/>
    <w:rsid w:val="005F03E2"/>
    <w:rsid w:val="005F0476"/>
    <w:rsid w:val="005F0484"/>
    <w:rsid w:val="005F05B6"/>
    <w:rsid w:val="005F0A3F"/>
    <w:rsid w:val="005F111D"/>
    <w:rsid w:val="005F11B8"/>
    <w:rsid w:val="005F148C"/>
    <w:rsid w:val="005F1545"/>
    <w:rsid w:val="005F156C"/>
    <w:rsid w:val="005F15A1"/>
    <w:rsid w:val="005F1C6A"/>
    <w:rsid w:val="005F2AEE"/>
    <w:rsid w:val="005F2D6F"/>
    <w:rsid w:val="005F30BC"/>
    <w:rsid w:val="005F3221"/>
    <w:rsid w:val="005F3400"/>
    <w:rsid w:val="005F39FA"/>
    <w:rsid w:val="005F3B01"/>
    <w:rsid w:val="005F3B3E"/>
    <w:rsid w:val="005F46EA"/>
    <w:rsid w:val="005F4A32"/>
    <w:rsid w:val="005F5009"/>
    <w:rsid w:val="005F52A9"/>
    <w:rsid w:val="005F55C6"/>
    <w:rsid w:val="005F5BF5"/>
    <w:rsid w:val="005F5C1F"/>
    <w:rsid w:val="005F5D5D"/>
    <w:rsid w:val="005F6150"/>
    <w:rsid w:val="005F6308"/>
    <w:rsid w:val="005F63F3"/>
    <w:rsid w:val="005F6656"/>
    <w:rsid w:val="005F66F3"/>
    <w:rsid w:val="005F6754"/>
    <w:rsid w:val="005F67F3"/>
    <w:rsid w:val="005F67F6"/>
    <w:rsid w:val="005F680F"/>
    <w:rsid w:val="005F696A"/>
    <w:rsid w:val="005F6A7C"/>
    <w:rsid w:val="005F6CFC"/>
    <w:rsid w:val="005F6EFB"/>
    <w:rsid w:val="005F723B"/>
    <w:rsid w:val="005F7310"/>
    <w:rsid w:val="005F7AFC"/>
    <w:rsid w:val="005F7C2A"/>
    <w:rsid w:val="005F7ECA"/>
    <w:rsid w:val="005F7F8D"/>
    <w:rsid w:val="00600329"/>
    <w:rsid w:val="006008B3"/>
    <w:rsid w:val="00600C5B"/>
    <w:rsid w:val="00600CF1"/>
    <w:rsid w:val="00600E4D"/>
    <w:rsid w:val="00601A71"/>
    <w:rsid w:val="00601C58"/>
    <w:rsid w:val="0060208F"/>
    <w:rsid w:val="006022EE"/>
    <w:rsid w:val="00602340"/>
    <w:rsid w:val="00602518"/>
    <w:rsid w:val="006027A0"/>
    <w:rsid w:val="00602919"/>
    <w:rsid w:val="00603153"/>
    <w:rsid w:val="006031D7"/>
    <w:rsid w:val="0060324D"/>
    <w:rsid w:val="006032AE"/>
    <w:rsid w:val="00603334"/>
    <w:rsid w:val="0060361D"/>
    <w:rsid w:val="006036A4"/>
    <w:rsid w:val="006038F3"/>
    <w:rsid w:val="0060396E"/>
    <w:rsid w:val="00603B87"/>
    <w:rsid w:val="00603C76"/>
    <w:rsid w:val="00603F69"/>
    <w:rsid w:val="00603FC8"/>
    <w:rsid w:val="0060406B"/>
    <w:rsid w:val="0060415D"/>
    <w:rsid w:val="006042F1"/>
    <w:rsid w:val="0060445E"/>
    <w:rsid w:val="00604674"/>
    <w:rsid w:val="0060467D"/>
    <w:rsid w:val="0060489F"/>
    <w:rsid w:val="006050AC"/>
    <w:rsid w:val="0060510B"/>
    <w:rsid w:val="00605AF1"/>
    <w:rsid w:val="00605DED"/>
    <w:rsid w:val="00605FF9"/>
    <w:rsid w:val="00606085"/>
    <w:rsid w:val="00606170"/>
    <w:rsid w:val="006062EA"/>
    <w:rsid w:val="0060671C"/>
    <w:rsid w:val="00606FEC"/>
    <w:rsid w:val="00607260"/>
    <w:rsid w:val="006102CC"/>
    <w:rsid w:val="0061030B"/>
    <w:rsid w:val="006104CA"/>
    <w:rsid w:val="006107F7"/>
    <w:rsid w:val="00610BC5"/>
    <w:rsid w:val="00610CED"/>
    <w:rsid w:val="00610D86"/>
    <w:rsid w:val="00610EED"/>
    <w:rsid w:val="00610F44"/>
    <w:rsid w:val="00611044"/>
    <w:rsid w:val="0061120C"/>
    <w:rsid w:val="00611682"/>
    <w:rsid w:val="00611A73"/>
    <w:rsid w:val="00611BB7"/>
    <w:rsid w:val="00611BFF"/>
    <w:rsid w:val="00611C3C"/>
    <w:rsid w:val="00611FDB"/>
    <w:rsid w:val="006122FE"/>
    <w:rsid w:val="006126DB"/>
    <w:rsid w:val="006126F1"/>
    <w:rsid w:val="0061289C"/>
    <w:rsid w:val="006128D0"/>
    <w:rsid w:val="00612B7E"/>
    <w:rsid w:val="00612C3F"/>
    <w:rsid w:val="00612C74"/>
    <w:rsid w:val="00612DEC"/>
    <w:rsid w:val="0061338A"/>
    <w:rsid w:val="006133BF"/>
    <w:rsid w:val="00613437"/>
    <w:rsid w:val="006134EC"/>
    <w:rsid w:val="00614015"/>
    <w:rsid w:val="0061421D"/>
    <w:rsid w:val="0061423E"/>
    <w:rsid w:val="00614321"/>
    <w:rsid w:val="00614458"/>
    <w:rsid w:val="0061493C"/>
    <w:rsid w:val="00614B29"/>
    <w:rsid w:val="00614BB3"/>
    <w:rsid w:val="00614C1F"/>
    <w:rsid w:val="00614F29"/>
    <w:rsid w:val="006154E3"/>
    <w:rsid w:val="006158EA"/>
    <w:rsid w:val="00615A5A"/>
    <w:rsid w:val="00615FAB"/>
    <w:rsid w:val="0061612A"/>
    <w:rsid w:val="0061624B"/>
    <w:rsid w:val="006163C1"/>
    <w:rsid w:val="00616626"/>
    <w:rsid w:val="006166BD"/>
    <w:rsid w:val="0061719C"/>
    <w:rsid w:val="006172BE"/>
    <w:rsid w:val="006178BB"/>
    <w:rsid w:val="006179A1"/>
    <w:rsid w:val="00617C74"/>
    <w:rsid w:val="00617D9F"/>
    <w:rsid w:val="006200B5"/>
    <w:rsid w:val="006201AD"/>
    <w:rsid w:val="00620BEE"/>
    <w:rsid w:val="00620C03"/>
    <w:rsid w:val="006210CA"/>
    <w:rsid w:val="006213B3"/>
    <w:rsid w:val="0062189B"/>
    <w:rsid w:val="006218CC"/>
    <w:rsid w:val="00621ABA"/>
    <w:rsid w:val="00621E49"/>
    <w:rsid w:val="006220D4"/>
    <w:rsid w:val="0062214A"/>
    <w:rsid w:val="006221B7"/>
    <w:rsid w:val="00622301"/>
    <w:rsid w:val="00622698"/>
    <w:rsid w:val="00622846"/>
    <w:rsid w:val="00622B8E"/>
    <w:rsid w:val="00622C02"/>
    <w:rsid w:val="0062305A"/>
    <w:rsid w:val="00623065"/>
    <w:rsid w:val="0062307E"/>
    <w:rsid w:val="0062340F"/>
    <w:rsid w:val="00623DDE"/>
    <w:rsid w:val="00623E1A"/>
    <w:rsid w:val="00624190"/>
    <w:rsid w:val="0062473A"/>
    <w:rsid w:val="006247DD"/>
    <w:rsid w:val="00624A62"/>
    <w:rsid w:val="00624B70"/>
    <w:rsid w:val="00624BB2"/>
    <w:rsid w:val="00624E4D"/>
    <w:rsid w:val="006252B5"/>
    <w:rsid w:val="00625327"/>
    <w:rsid w:val="006253C5"/>
    <w:rsid w:val="006253EE"/>
    <w:rsid w:val="006256B1"/>
    <w:rsid w:val="006256BE"/>
    <w:rsid w:val="00625B17"/>
    <w:rsid w:val="00625B38"/>
    <w:rsid w:val="00625E33"/>
    <w:rsid w:val="00626027"/>
    <w:rsid w:val="006260BB"/>
    <w:rsid w:val="006265A6"/>
    <w:rsid w:val="006265DE"/>
    <w:rsid w:val="00626B0A"/>
    <w:rsid w:val="00626B7B"/>
    <w:rsid w:val="00626F61"/>
    <w:rsid w:val="00627365"/>
    <w:rsid w:val="00627C99"/>
    <w:rsid w:val="00627D0D"/>
    <w:rsid w:val="00627D1E"/>
    <w:rsid w:val="00630253"/>
    <w:rsid w:val="00630263"/>
    <w:rsid w:val="00630350"/>
    <w:rsid w:val="00630376"/>
    <w:rsid w:val="006304AB"/>
    <w:rsid w:val="0063069B"/>
    <w:rsid w:val="00630720"/>
    <w:rsid w:val="006311BE"/>
    <w:rsid w:val="0063151D"/>
    <w:rsid w:val="00631A17"/>
    <w:rsid w:val="00631BF8"/>
    <w:rsid w:val="00631CE3"/>
    <w:rsid w:val="00631EAA"/>
    <w:rsid w:val="00631F33"/>
    <w:rsid w:val="00632C4C"/>
    <w:rsid w:val="006332CD"/>
    <w:rsid w:val="006333A3"/>
    <w:rsid w:val="0063353F"/>
    <w:rsid w:val="006335B9"/>
    <w:rsid w:val="006336B2"/>
    <w:rsid w:val="006336CD"/>
    <w:rsid w:val="006337B1"/>
    <w:rsid w:val="0063388E"/>
    <w:rsid w:val="00634115"/>
    <w:rsid w:val="0063421D"/>
    <w:rsid w:val="00634285"/>
    <w:rsid w:val="006345C5"/>
    <w:rsid w:val="006346E0"/>
    <w:rsid w:val="00634B17"/>
    <w:rsid w:val="00634B53"/>
    <w:rsid w:val="00634B62"/>
    <w:rsid w:val="00634D24"/>
    <w:rsid w:val="00634ECA"/>
    <w:rsid w:val="00634F19"/>
    <w:rsid w:val="00635167"/>
    <w:rsid w:val="00635575"/>
    <w:rsid w:val="0063564C"/>
    <w:rsid w:val="00635A03"/>
    <w:rsid w:val="00635BE7"/>
    <w:rsid w:val="006360DA"/>
    <w:rsid w:val="00636160"/>
    <w:rsid w:val="0063714D"/>
    <w:rsid w:val="00637477"/>
    <w:rsid w:val="00637626"/>
    <w:rsid w:val="006376CA"/>
    <w:rsid w:val="00637738"/>
    <w:rsid w:val="0063787D"/>
    <w:rsid w:val="006378AC"/>
    <w:rsid w:val="00637A9C"/>
    <w:rsid w:val="00637B98"/>
    <w:rsid w:val="00640125"/>
    <w:rsid w:val="006408F4"/>
    <w:rsid w:val="00640AB6"/>
    <w:rsid w:val="00640D3F"/>
    <w:rsid w:val="006414D2"/>
    <w:rsid w:val="006419BC"/>
    <w:rsid w:val="00641CC6"/>
    <w:rsid w:val="00641E91"/>
    <w:rsid w:val="00641F8D"/>
    <w:rsid w:val="006421D2"/>
    <w:rsid w:val="0064220F"/>
    <w:rsid w:val="006426AD"/>
    <w:rsid w:val="00642A64"/>
    <w:rsid w:val="00642A8B"/>
    <w:rsid w:val="00642BD8"/>
    <w:rsid w:val="00642F67"/>
    <w:rsid w:val="00642FC2"/>
    <w:rsid w:val="00642FD1"/>
    <w:rsid w:val="00642FF8"/>
    <w:rsid w:val="0064301C"/>
    <w:rsid w:val="0064312D"/>
    <w:rsid w:val="006434CB"/>
    <w:rsid w:val="00643881"/>
    <w:rsid w:val="0064393E"/>
    <w:rsid w:val="00643BB2"/>
    <w:rsid w:val="00643E9C"/>
    <w:rsid w:val="006444F6"/>
    <w:rsid w:val="00644808"/>
    <w:rsid w:val="00644943"/>
    <w:rsid w:val="00644A3A"/>
    <w:rsid w:val="00644CAC"/>
    <w:rsid w:val="00644D93"/>
    <w:rsid w:val="00644DCC"/>
    <w:rsid w:val="00644E54"/>
    <w:rsid w:val="00644F9B"/>
    <w:rsid w:val="0064570C"/>
    <w:rsid w:val="006457A3"/>
    <w:rsid w:val="006458BF"/>
    <w:rsid w:val="00645A70"/>
    <w:rsid w:val="00645C46"/>
    <w:rsid w:val="00645D42"/>
    <w:rsid w:val="00645DD1"/>
    <w:rsid w:val="00645F61"/>
    <w:rsid w:val="00645FEC"/>
    <w:rsid w:val="00646462"/>
    <w:rsid w:val="00646756"/>
    <w:rsid w:val="006467D9"/>
    <w:rsid w:val="00646EA8"/>
    <w:rsid w:val="006471CD"/>
    <w:rsid w:val="00647428"/>
    <w:rsid w:val="006477BD"/>
    <w:rsid w:val="00647829"/>
    <w:rsid w:val="00647BE7"/>
    <w:rsid w:val="006502DB"/>
    <w:rsid w:val="00650D1D"/>
    <w:rsid w:val="0065111C"/>
    <w:rsid w:val="00651176"/>
    <w:rsid w:val="006511A1"/>
    <w:rsid w:val="006516F9"/>
    <w:rsid w:val="00651721"/>
    <w:rsid w:val="006521EA"/>
    <w:rsid w:val="006522FC"/>
    <w:rsid w:val="00652303"/>
    <w:rsid w:val="00652883"/>
    <w:rsid w:val="00652D15"/>
    <w:rsid w:val="00652D2A"/>
    <w:rsid w:val="00652DA5"/>
    <w:rsid w:val="00653AB0"/>
    <w:rsid w:val="0065420B"/>
    <w:rsid w:val="00654293"/>
    <w:rsid w:val="00654299"/>
    <w:rsid w:val="006542A0"/>
    <w:rsid w:val="006542F4"/>
    <w:rsid w:val="00654BC5"/>
    <w:rsid w:val="00654FD3"/>
    <w:rsid w:val="0065511F"/>
    <w:rsid w:val="0065522A"/>
    <w:rsid w:val="00655565"/>
    <w:rsid w:val="00655797"/>
    <w:rsid w:val="00655833"/>
    <w:rsid w:val="00655B91"/>
    <w:rsid w:val="00655D62"/>
    <w:rsid w:val="00655FCF"/>
    <w:rsid w:val="00656473"/>
    <w:rsid w:val="006564B2"/>
    <w:rsid w:val="00656798"/>
    <w:rsid w:val="00657254"/>
    <w:rsid w:val="0065727D"/>
    <w:rsid w:val="006572D4"/>
    <w:rsid w:val="00657380"/>
    <w:rsid w:val="00657397"/>
    <w:rsid w:val="0065754A"/>
    <w:rsid w:val="00657636"/>
    <w:rsid w:val="00657B19"/>
    <w:rsid w:val="00657EFA"/>
    <w:rsid w:val="00660055"/>
    <w:rsid w:val="0066008C"/>
    <w:rsid w:val="00660223"/>
    <w:rsid w:val="00660343"/>
    <w:rsid w:val="00660819"/>
    <w:rsid w:val="00660900"/>
    <w:rsid w:val="00660951"/>
    <w:rsid w:val="00660DA4"/>
    <w:rsid w:val="00660DE2"/>
    <w:rsid w:val="00661058"/>
    <w:rsid w:val="00661413"/>
    <w:rsid w:val="006617E3"/>
    <w:rsid w:val="00661BB3"/>
    <w:rsid w:val="00661D90"/>
    <w:rsid w:val="00661DE2"/>
    <w:rsid w:val="00662007"/>
    <w:rsid w:val="006622E4"/>
    <w:rsid w:val="00662358"/>
    <w:rsid w:val="00662362"/>
    <w:rsid w:val="0066239B"/>
    <w:rsid w:val="00662818"/>
    <w:rsid w:val="00662DBD"/>
    <w:rsid w:val="006630C4"/>
    <w:rsid w:val="00663251"/>
    <w:rsid w:val="00663588"/>
    <w:rsid w:val="0066374D"/>
    <w:rsid w:val="00663ABD"/>
    <w:rsid w:val="00663F33"/>
    <w:rsid w:val="00664140"/>
    <w:rsid w:val="006644B7"/>
    <w:rsid w:val="00664A08"/>
    <w:rsid w:val="00664B4F"/>
    <w:rsid w:val="00664BFE"/>
    <w:rsid w:val="00665179"/>
    <w:rsid w:val="0066532B"/>
    <w:rsid w:val="0066535A"/>
    <w:rsid w:val="00665627"/>
    <w:rsid w:val="0066570F"/>
    <w:rsid w:val="00665895"/>
    <w:rsid w:val="006659F0"/>
    <w:rsid w:val="00665CD7"/>
    <w:rsid w:val="006662EF"/>
    <w:rsid w:val="00666350"/>
    <w:rsid w:val="00666382"/>
    <w:rsid w:val="006669C9"/>
    <w:rsid w:val="00666B74"/>
    <w:rsid w:val="00666F1F"/>
    <w:rsid w:val="0066700D"/>
    <w:rsid w:val="006673F7"/>
    <w:rsid w:val="0066759A"/>
    <w:rsid w:val="006678DB"/>
    <w:rsid w:val="00667D55"/>
    <w:rsid w:val="006700FE"/>
    <w:rsid w:val="00670247"/>
    <w:rsid w:val="0067032F"/>
    <w:rsid w:val="006703C3"/>
    <w:rsid w:val="00670408"/>
    <w:rsid w:val="00670624"/>
    <w:rsid w:val="006707F5"/>
    <w:rsid w:val="00670FE1"/>
    <w:rsid w:val="00671346"/>
    <w:rsid w:val="006716B3"/>
    <w:rsid w:val="00671962"/>
    <w:rsid w:val="00671BD4"/>
    <w:rsid w:val="00671DBD"/>
    <w:rsid w:val="0067211F"/>
    <w:rsid w:val="0067277D"/>
    <w:rsid w:val="006729A0"/>
    <w:rsid w:val="00672ECA"/>
    <w:rsid w:val="00672F3C"/>
    <w:rsid w:val="0067319B"/>
    <w:rsid w:val="00673D41"/>
    <w:rsid w:val="006740F2"/>
    <w:rsid w:val="006742AC"/>
    <w:rsid w:val="00674748"/>
    <w:rsid w:val="006747B4"/>
    <w:rsid w:val="006747ED"/>
    <w:rsid w:val="00675205"/>
    <w:rsid w:val="006755A0"/>
    <w:rsid w:val="0067581E"/>
    <w:rsid w:val="00675C9E"/>
    <w:rsid w:val="00675DDD"/>
    <w:rsid w:val="00675F5F"/>
    <w:rsid w:val="006760B5"/>
    <w:rsid w:val="00676165"/>
    <w:rsid w:val="00676229"/>
    <w:rsid w:val="0067687F"/>
    <w:rsid w:val="0067690C"/>
    <w:rsid w:val="0067691C"/>
    <w:rsid w:val="00676A0D"/>
    <w:rsid w:val="00676DE3"/>
    <w:rsid w:val="00676FB6"/>
    <w:rsid w:val="006770F9"/>
    <w:rsid w:val="00677232"/>
    <w:rsid w:val="00677352"/>
    <w:rsid w:val="006776D3"/>
    <w:rsid w:val="00677733"/>
    <w:rsid w:val="0067798F"/>
    <w:rsid w:val="00677AF7"/>
    <w:rsid w:val="00677F10"/>
    <w:rsid w:val="00677F67"/>
    <w:rsid w:val="00680436"/>
    <w:rsid w:val="00680900"/>
    <w:rsid w:val="00680A9F"/>
    <w:rsid w:val="00680BFA"/>
    <w:rsid w:val="00680C79"/>
    <w:rsid w:val="00680CAD"/>
    <w:rsid w:val="00680D8C"/>
    <w:rsid w:val="00681658"/>
    <w:rsid w:val="0068198A"/>
    <w:rsid w:val="00681AAD"/>
    <w:rsid w:val="00681BFF"/>
    <w:rsid w:val="00681C51"/>
    <w:rsid w:val="00681C7B"/>
    <w:rsid w:val="00681F0A"/>
    <w:rsid w:val="00682304"/>
    <w:rsid w:val="00682BD7"/>
    <w:rsid w:val="00682BDF"/>
    <w:rsid w:val="00682DC6"/>
    <w:rsid w:val="00682E2D"/>
    <w:rsid w:val="00682F39"/>
    <w:rsid w:val="006831AB"/>
    <w:rsid w:val="006832A8"/>
    <w:rsid w:val="00683781"/>
    <w:rsid w:val="00683A86"/>
    <w:rsid w:val="00683ADE"/>
    <w:rsid w:val="00683BA0"/>
    <w:rsid w:val="00683D20"/>
    <w:rsid w:val="00683FB9"/>
    <w:rsid w:val="00684281"/>
    <w:rsid w:val="006842B2"/>
    <w:rsid w:val="0068466C"/>
    <w:rsid w:val="006849CB"/>
    <w:rsid w:val="00684B0D"/>
    <w:rsid w:val="00684DFE"/>
    <w:rsid w:val="00684EDF"/>
    <w:rsid w:val="0068501A"/>
    <w:rsid w:val="00685094"/>
    <w:rsid w:val="00685334"/>
    <w:rsid w:val="006855D2"/>
    <w:rsid w:val="006858BB"/>
    <w:rsid w:val="00685DD0"/>
    <w:rsid w:val="00685DF6"/>
    <w:rsid w:val="00685ECD"/>
    <w:rsid w:val="0068612F"/>
    <w:rsid w:val="006861E5"/>
    <w:rsid w:val="0068668F"/>
    <w:rsid w:val="00687049"/>
    <w:rsid w:val="0068763E"/>
    <w:rsid w:val="00687673"/>
    <w:rsid w:val="006877EC"/>
    <w:rsid w:val="00687AD3"/>
    <w:rsid w:val="00687E2E"/>
    <w:rsid w:val="00687FAF"/>
    <w:rsid w:val="0069013B"/>
    <w:rsid w:val="00690195"/>
    <w:rsid w:val="0069056E"/>
    <w:rsid w:val="00690938"/>
    <w:rsid w:val="00690A4F"/>
    <w:rsid w:val="00690B7F"/>
    <w:rsid w:val="0069105F"/>
    <w:rsid w:val="0069138D"/>
    <w:rsid w:val="006913D1"/>
    <w:rsid w:val="00691600"/>
    <w:rsid w:val="00691A3C"/>
    <w:rsid w:val="00691F74"/>
    <w:rsid w:val="0069226A"/>
    <w:rsid w:val="00692310"/>
    <w:rsid w:val="006923AD"/>
    <w:rsid w:val="00692509"/>
    <w:rsid w:val="00692975"/>
    <w:rsid w:val="00692DC9"/>
    <w:rsid w:val="0069388D"/>
    <w:rsid w:val="006938E3"/>
    <w:rsid w:val="0069401A"/>
    <w:rsid w:val="00694B14"/>
    <w:rsid w:val="00694BB8"/>
    <w:rsid w:val="00694D11"/>
    <w:rsid w:val="00694E93"/>
    <w:rsid w:val="006951C9"/>
    <w:rsid w:val="0069624E"/>
    <w:rsid w:val="00696311"/>
    <w:rsid w:val="0069672B"/>
    <w:rsid w:val="0069677E"/>
    <w:rsid w:val="00696849"/>
    <w:rsid w:val="00696E10"/>
    <w:rsid w:val="006976D1"/>
    <w:rsid w:val="00697B42"/>
    <w:rsid w:val="00697BB5"/>
    <w:rsid w:val="00697CA7"/>
    <w:rsid w:val="006A0250"/>
    <w:rsid w:val="006A02CF"/>
    <w:rsid w:val="006A05D5"/>
    <w:rsid w:val="006A0E34"/>
    <w:rsid w:val="006A1DF0"/>
    <w:rsid w:val="006A201A"/>
    <w:rsid w:val="006A20A7"/>
    <w:rsid w:val="006A20CF"/>
    <w:rsid w:val="006A24A0"/>
    <w:rsid w:val="006A2719"/>
    <w:rsid w:val="006A2CB3"/>
    <w:rsid w:val="006A3174"/>
    <w:rsid w:val="006A32F7"/>
    <w:rsid w:val="006A3483"/>
    <w:rsid w:val="006A34E9"/>
    <w:rsid w:val="006A36EF"/>
    <w:rsid w:val="006A37D4"/>
    <w:rsid w:val="006A3B50"/>
    <w:rsid w:val="006A3DF6"/>
    <w:rsid w:val="006A3F96"/>
    <w:rsid w:val="006A4002"/>
    <w:rsid w:val="006A44CD"/>
    <w:rsid w:val="006A45FB"/>
    <w:rsid w:val="006A4914"/>
    <w:rsid w:val="006A4E9B"/>
    <w:rsid w:val="006A4FAC"/>
    <w:rsid w:val="006A501C"/>
    <w:rsid w:val="006A5294"/>
    <w:rsid w:val="006A5410"/>
    <w:rsid w:val="006A5773"/>
    <w:rsid w:val="006A5DFD"/>
    <w:rsid w:val="006A5E13"/>
    <w:rsid w:val="006A5E90"/>
    <w:rsid w:val="006A5F16"/>
    <w:rsid w:val="006A6C4A"/>
    <w:rsid w:val="006A6D82"/>
    <w:rsid w:val="006A6E01"/>
    <w:rsid w:val="006A6E5F"/>
    <w:rsid w:val="006A7199"/>
    <w:rsid w:val="006A721E"/>
    <w:rsid w:val="006A7763"/>
    <w:rsid w:val="006A794A"/>
    <w:rsid w:val="006A7A88"/>
    <w:rsid w:val="006A7CCD"/>
    <w:rsid w:val="006B037D"/>
    <w:rsid w:val="006B06F0"/>
    <w:rsid w:val="006B0794"/>
    <w:rsid w:val="006B086A"/>
    <w:rsid w:val="006B105F"/>
    <w:rsid w:val="006B1097"/>
    <w:rsid w:val="006B11B8"/>
    <w:rsid w:val="006B169F"/>
    <w:rsid w:val="006B1E3D"/>
    <w:rsid w:val="006B237B"/>
    <w:rsid w:val="006B237F"/>
    <w:rsid w:val="006B2472"/>
    <w:rsid w:val="006B26F4"/>
    <w:rsid w:val="006B2BC3"/>
    <w:rsid w:val="006B2BC4"/>
    <w:rsid w:val="006B3D34"/>
    <w:rsid w:val="006B3DC4"/>
    <w:rsid w:val="006B3E45"/>
    <w:rsid w:val="006B457D"/>
    <w:rsid w:val="006B46C5"/>
    <w:rsid w:val="006B479A"/>
    <w:rsid w:val="006B4A54"/>
    <w:rsid w:val="006B4A74"/>
    <w:rsid w:val="006B4B49"/>
    <w:rsid w:val="006B4B5F"/>
    <w:rsid w:val="006B4C1F"/>
    <w:rsid w:val="006B4E5D"/>
    <w:rsid w:val="006B5740"/>
    <w:rsid w:val="006B59FD"/>
    <w:rsid w:val="006B5B12"/>
    <w:rsid w:val="006B5E80"/>
    <w:rsid w:val="006B61AB"/>
    <w:rsid w:val="006B64BD"/>
    <w:rsid w:val="006B656C"/>
    <w:rsid w:val="006B65C0"/>
    <w:rsid w:val="006B6812"/>
    <w:rsid w:val="006B69DE"/>
    <w:rsid w:val="006B6BEC"/>
    <w:rsid w:val="006B7182"/>
    <w:rsid w:val="006B7715"/>
    <w:rsid w:val="006B7905"/>
    <w:rsid w:val="006B7C73"/>
    <w:rsid w:val="006C0155"/>
    <w:rsid w:val="006C03BC"/>
    <w:rsid w:val="006C0473"/>
    <w:rsid w:val="006C0830"/>
    <w:rsid w:val="006C08FD"/>
    <w:rsid w:val="006C0BA6"/>
    <w:rsid w:val="006C0BFA"/>
    <w:rsid w:val="006C0D97"/>
    <w:rsid w:val="006C11D6"/>
    <w:rsid w:val="006C132F"/>
    <w:rsid w:val="006C1509"/>
    <w:rsid w:val="006C1676"/>
    <w:rsid w:val="006C18D0"/>
    <w:rsid w:val="006C19F9"/>
    <w:rsid w:val="006C1AAD"/>
    <w:rsid w:val="006C1E90"/>
    <w:rsid w:val="006C1EDB"/>
    <w:rsid w:val="006C1FE7"/>
    <w:rsid w:val="006C206D"/>
    <w:rsid w:val="006C20A4"/>
    <w:rsid w:val="006C2177"/>
    <w:rsid w:val="006C27E9"/>
    <w:rsid w:val="006C2A80"/>
    <w:rsid w:val="006C333B"/>
    <w:rsid w:val="006C3346"/>
    <w:rsid w:val="006C3AE4"/>
    <w:rsid w:val="006C3DF4"/>
    <w:rsid w:val="006C3FAC"/>
    <w:rsid w:val="006C4563"/>
    <w:rsid w:val="006C46A9"/>
    <w:rsid w:val="006C509E"/>
    <w:rsid w:val="006C51C5"/>
    <w:rsid w:val="006C5422"/>
    <w:rsid w:val="006C596C"/>
    <w:rsid w:val="006C5D57"/>
    <w:rsid w:val="006C5E13"/>
    <w:rsid w:val="006C5EC0"/>
    <w:rsid w:val="006C6101"/>
    <w:rsid w:val="006C64EA"/>
    <w:rsid w:val="006C670A"/>
    <w:rsid w:val="006C6C2F"/>
    <w:rsid w:val="006C727C"/>
    <w:rsid w:val="006C77D9"/>
    <w:rsid w:val="006C7B5B"/>
    <w:rsid w:val="006C7CE4"/>
    <w:rsid w:val="006D0E8D"/>
    <w:rsid w:val="006D0EAF"/>
    <w:rsid w:val="006D0F5E"/>
    <w:rsid w:val="006D0FCB"/>
    <w:rsid w:val="006D1608"/>
    <w:rsid w:val="006D1753"/>
    <w:rsid w:val="006D17DD"/>
    <w:rsid w:val="006D199D"/>
    <w:rsid w:val="006D1C18"/>
    <w:rsid w:val="006D1ECB"/>
    <w:rsid w:val="006D215B"/>
    <w:rsid w:val="006D216C"/>
    <w:rsid w:val="006D21FA"/>
    <w:rsid w:val="006D247D"/>
    <w:rsid w:val="006D258A"/>
    <w:rsid w:val="006D2850"/>
    <w:rsid w:val="006D2870"/>
    <w:rsid w:val="006D2D5F"/>
    <w:rsid w:val="006D2FEC"/>
    <w:rsid w:val="006D32AC"/>
    <w:rsid w:val="006D3483"/>
    <w:rsid w:val="006D4062"/>
    <w:rsid w:val="006D41A2"/>
    <w:rsid w:val="006D421B"/>
    <w:rsid w:val="006D4631"/>
    <w:rsid w:val="006D47A0"/>
    <w:rsid w:val="006D47D4"/>
    <w:rsid w:val="006D4C1B"/>
    <w:rsid w:val="006D4CF7"/>
    <w:rsid w:val="006D4F48"/>
    <w:rsid w:val="006D512C"/>
    <w:rsid w:val="006D5215"/>
    <w:rsid w:val="006D52A7"/>
    <w:rsid w:val="006D56D8"/>
    <w:rsid w:val="006D5872"/>
    <w:rsid w:val="006D58AD"/>
    <w:rsid w:val="006D595F"/>
    <w:rsid w:val="006D5BE3"/>
    <w:rsid w:val="006D5F6B"/>
    <w:rsid w:val="006D5FB2"/>
    <w:rsid w:val="006D67E2"/>
    <w:rsid w:val="006D67EA"/>
    <w:rsid w:val="006D686F"/>
    <w:rsid w:val="006D6F5F"/>
    <w:rsid w:val="006D729A"/>
    <w:rsid w:val="006D72D0"/>
    <w:rsid w:val="006D7A75"/>
    <w:rsid w:val="006D7B17"/>
    <w:rsid w:val="006D7D36"/>
    <w:rsid w:val="006E0268"/>
    <w:rsid w:val="006E0604"/>
    <w:rsid w:val="006E07D3"/>
    <w:rsid w:val="006E07E2"/>
    <w:rsid w:val="006E087B"/>
    <w:rsid w:val="006E0B18"/>
    <w:rsid w:val="006E0CA6"/>
    <w:rsid w:val="006E0D87"/>
    <w:rsid w:val="006E0EDF"/>
    <w:rsid w:val="006E0FBB"/>
    <w:rsid w:val="006E10B4"/>
    <w:rsid w:val="006E119B"/>
    <w:rsid w:val="006E1589"/>
    <w:rsid w:val="006E1848"/>
    <w:rsid w:val="006E1E4B"/>
    <w:rsid w:val="006E276C"/>
    <w:rsid w:val="006E27FB"/>
    <w:rsid w:val="006E2956"/>
    <w:rsid w:val="006E2B9D"/>
    <w:rsid w:val="006E2E0A"/>
    <w:rsid w:val="006E2E20"/>
    <w:rsid w:val="006E33BF"/>
    <w:rsid w:val="006E33FC"/>
    <w:rsid w:val="006E3650"/>
    <w:rsid w:val="006E378E"/>
    <w:rsid w:val="006E38C9"/>
    <w:rsid w:val="006E3C47"/>
    <w:rsid w:val="006E4008"/>
    <w:rsid w:val="006E403F"/>
    <w:rsid w:val="006E43CA"/>
    <w:rsid w:val="006E4519"/>
    <w:rsid w:val="006E493E"/>
    <w:rsid w:val="006E4B3D"/>
    <w:rsid w:val="006E4BA2"/>
    <w:rsid w:val="006E4BE2"/>
    <w:rsid w:val="006E5339"/>
    <w:rsid w:val="006E53CF"/>
    <w:rsid w:val="006E58B7"/>
    <w:rsid w:val="006E5AF8"/>
    <w:rsid w:val="006E607F"/>
    <w:rsid w:val="006E64D1"/>
    <w:rsid w:val="006E6694"/>
    <w:rsid w:val="006E66CD"/>
    <w:rsid w:val="006E6A30"/>
    <w:rsid w:val="006E6CDB"/>
    <w:rsid w:val="006E7021"/>
    <w:rsid w:val="006E72D9"/>
    <w:rsid w:val="006E7482"/>
    <w:rsid w:val="006E7675"/>
    <w:rsid w:val="006E780B"/>
    <w:rsid w:val="006E7E31"/>
    <w:rsid w:val="006E7F15"/>
    <w:rsid w:val="006F01C7"/>
    <w:rsid w:val="006F056B"/>
    <w:rsid w:val="006F0725"/>
    <w:rsid w:val="006F0BD3"/>
    <w:rsid w:val="006F0CB5"/>
    <w:rsid w:val="006F0DA4"/>
    <w:rsid w:val="006F16AB"/>
    <w:rsid w:val="006F1FCD"/>
    <w:rsid w:val="006F27FB"/>
    <w:rsid w:val="006F28D7"/>
    <w:rsid w:val="006F2931"/>
    <w:rsid w:val="006F29F9"/>
    <w:rsid w:val="006F2C0B"/>
    <w:rsid w:val="006F2C57"/>
    <w:rsid w:val="006F324E"/>
    <w:rsid w:val="006F32ED"/>
    <w:rsid w:val="006F3CE6"/>
    <w:rsid w:val="006F3DA3"/>
    <w:rsid w:val="006F3EBB"/>
    <w:rsid w:val="006F3FD3"/>
    <w:rsid w:val="006F4321"/>
    <w:rsid w:val="006F4E39"/>
    <w:rsid w:val="006F4EE0"/>
    <w:rsid w:val="006F50BC"/>
    <w:rsid w:val="006F5158"/>
    <w:rsid w:val="006F5452"/>
    <w:rsid w:val="006F54AB"/>
    <w:rsid w:val="006F573E"/>
    <w:rsid w:val="006F575C"/>
    <w:rsid w:val="006F62B5"/>
    <w:rsid w:val="006F6718"/>
    <w:rsid w:val="006F67E1"/>
    <w:rsid w:val="006F6BB8"/>
    <w:rsid w:val="006F6CA4"/>
    <w:rsid w:val="006F71A1"/>
    <w:rsid w:val="006F747B"/>
    <w:rsid w:val="006F783F"/>
    <w:rsid w:val="006F7CD6"/>
    <w:rsid w:val="006F7F4E"/>
    <w:rsid w:val="00700069"/>
    <w:rsid w:val="007004A5"/>
    <w:rsid w:val="007004DD"/>
    <w:rsid w:val="00700B4B"/>
    <w:rsid w:val="00700C64"/>
    <w:rsid w:val="00700DDC"/>
    <w:rsid w:val="00700E2C"/>
    <w:rsid w:val="0070123E"/>
    <w:rsid w:val="0070138A"/>
    <w:rsid w:val="00701E66"/>
    <w:rsid w:val="0070223D"/>
    <w:rsid w:val="00702469"/>
    <w:rsid w:val="00702D98"/>
    <w:rsid w:val="00702DE2"/>
    <w:rsid w:val="007033DC"/>
    <w:rsid w:val="00703468"/>
    <w:rsid w:val="007036EC"/>
    <w:rsid w:val="00703808"/>
    <w:rsid w:val="007038C7"/>
    <w:rsid w:val="0070391B"/>
    <w:rsid w:val="00703971"/>
    <w:rsid w:val="00703AE7"/>
    <w:rsid w:val="00703B98"/>
    <w:rsid w:val="00703C5E"/>
    <w:rsid w:val="00703C97"/>
    <w:rsid w:val="007041C3"/>
    <w:rsid w:val="00704500"/>
    <w:rsid w:val="00704A72"/>
    <w:rsid w:val="00704B5D"/>
    <w:rsid w:val="00704BCE"/>
    <w:rsid w:val="00704E30"/>
    <w:rsid w:val="007053D9"/>
    <w:rsid w:val="00705491"/>
    <w:rsid w:val="007054CD"/>
    <w:rsid w:val="00705F07"/>
    <w:rsid w:val="007061D0"/>
    <w:rsid w:val="00706316"/>
    <w:rsid w:val="00706B98"/>
    <w:rsid w:val="00706BE8"/>
    <w:rsid w:val="00706D42"/>
    <w:rsid w:val="00707706"/>
    <w:rsid w:val="007078E9"/>
    <w:rsid w:val="00707B0F"/>
    <w:rsid w:val="00707D13"/>
    <w:rsid w:val="007101C1"/>
    <w:rsid w:val="007102F7"/>
    <w:rsid w:val="00710431"/>
    <w:rsid w:val="007104A6"/>
    <w:rsid w:val="007104C6"/>
    <w:rsid w:val="007106DE"/>
    <w:rsid w:val="007107E1"/>
    <w:rsid w:val="0071085B"/>
    <w:rsid w:val="00710C4E"/>
    <w:rsid w:val="00711C75"/>
    <w:rsid w:val="00711E4F"/>
    <w:rsid w:val="00711F82"/>
    <w:rsid w:val="007121CD"/>
    <w:rsid w:val="00712249"/>
    <w:rsid w:val="00713406"/>
    <w:rsid w:val="0071349E"/>
    <w:rsid w:val="007134AB"/>
    <w:rsid w:val="00713ACB"/>
    <w:rsid w:val="00713DC6"/>
    <w:rsid w:val="007141D3"/>
    <w:rsid w:val="00714476"/>
    <w:rsid w:val="00714B5A"/>
    <w:rsid w:val="00714D26"/>
    <w:rsid w:val="007151FC"/>
    <w:rsid w:val="007152D0"/>
    <w:rsid w:val="0071535F"/>
    <w:rsid w:val="007157BE"/>
    <w:rsid w:val="00715E6D"/>
    <w:rsid w:val="00715F04"/>
    <w:rsid w:val="00716081"/>
    <w:rsid w:val="00716168"/>
    <w:rsid w:val="007163D1"/>
    <w:rsid w:val="0071662C"/>
    <w:rsid w:val="00716B3F"/>
    <w:rsid w:val="00716D5F"/>
    <w:rsid w:val="00716DAB"/>
    <w:rsid w:val="00716DB6"/>
    <w:rsid w:val="0071701C"/>
    <w:rsid w:val="00717ADC"/>
    <w:rsid w:val="007200B0"/>
    <w:rsid w:val="00720798"/>
    <w:rsid w:val="007207E0"/>
    <w:rsid w:val="00720817"/>
    <w:rsid w:val="00720B37"/>
    <w:rsid w:val="00721046"/>
    <w:rsid w:val="007210AC"/>
    <w:rsid w:val="00721473"/>
    <w:rsid w:val="0072161C"/>
    <w:rsid w:val="0072175E"/>
    <w:rsid w:val="00721B0B"/>
    <w:rsid w:val="00721B92"/>
    <w:rsid w:val="00721C31"/>
    <w:rsid w:val="00722AB0"/>
    <w:rsid w:val="00722C2D"/>
    <w:rsid w:val="00722EB5"/>
    <w:rsid w:val="00723184"/>
    <w:rsid w:val="00723DB1"/>
    <w:rsid w:val="00723FA5"/>
    <w:rsid w:val="00724096"/>
    <w:rsid w:val="00724323"/>
    <w:rsid w:val="00724395"/>
    <w:rsid w:val="0072481B"/>
    <w:rsid w:val="00724BE9"/>
    <w:rsid w:val="00725069"/>
    <w:rsid w:val="0072512C"/>
    <w:rsid w:val="00725288"/>
    <w:rsid w:val="00725D54"/>
    <w:rsid w:val="00725F20"/>
    <w:rsid w:val="00725F2C"/>
    <w:rsid w:val="007260BA"/>
    <w:rsid w:val="00726113"/>
    <w:rsid w:val="007269D5"/>
    <w:rsid w:val="00726E78"/>
    <w:rsid w:val="00727245"/>
    <w:rsid w:val="007274BF"/>
    <w:rsid w:val="007275FA"/>
    <w:rsid w:val="007276D9"/>
    <w:rsid w:val="007277D6"/>
    <w:rsid w:val="007278FA"/>
    <w:rsid w:val="007279EC"/>
    <w:rsid w:val="00727AEB"/>
    <w:rsid w:val="0073032C"/>
    <w:rsid w:val="007309D2"/>
    <w:rsid w:val="00730A2B"/>
    <w:rsid w:val="00730A80"/>
    <w:rsid w:val="00731231"/>
    <w:rsid w:val="00731564"/>
    <w:rsid w:val="00731853"/>
    <w:rsid w:val="00731901"/>
    <w:rsid w:val="00731ACD"/>
    <w:rsid w:val="00731ADA"/>
    <w:rsid w:val="00731D2F"/>
    <w:rsid w:val="00732545"/>
    <w:rsid w:val="0073272D"/>
    <w:rsid w:val="007328C9"/>
    <w:rsid w:val="00732B0E"/>
    <w:rsid w:val="00732E28"/>
    <w:rsid w:val="00733409"/>
    <w:rsid w:val="007336F6"/>
    <w:rsid w:val="00733A99"/>
    <w:rsid w:val="00733F59"/>
    <w:rsid w:val="00734EC8"/>
    <w:rsid w:val="00734EDE"/>
    <w:rsid w:val="007351C4"/>
    <w:rsid w:val="0073564B"/>
    <w:rsid w:val="0073572D"/>
    <w:rsid w:val="0073584E"/>
    <w:rsid w:val="00735CEC"/>
    <w:rsid w:val="00735E13"/>
    <w:rsid w:val="0073611D"/>
    <w:rsid w:val="007364EF"/>
    <w:rsid w:val="00736B89"/>
    <w:rsid w:val="00737165"/>
    <w:rsid w:val="0073765E"/>
    <w:rsid w:val="007377AE"/>
    <w:rsid w:val="00737832"/>
    <w:rsid w:val="007378FF"/>
    <w:rsid w:val="00737DCB"/>
    <w:rsid w:val="00740331"/>
    <w:rsid w:val="00740380"/>
    <w:rsid w:val="007403E6"/>
    <w:rsid w:val="0074073F"/>
    <w:rsid w:val="00740D9D"/>
    <w:rsid w:val="00740E4D"/>
    <w:rsid w:val="007410A7"/>
    <w:rsid w:val="00741336"/>
    <w:rsid w:val="007413D8"/>
    <w:rsid w:val="0074169A"/>
    <w:rsid w:val="0074199A"/>
    <w:rsid w:val="00741BC3"/>
    <w:rsid w:val="00741D11"/>
    <w:rsid w:val="0074205B"/>
    <w:rsid w:val="0074206F"/>
    <w:rsid w:val="007423CD"/>
    <w:rsid w:val="0074242F"/>
    <w:rsid w:val="007428C7"/>
    <w:rsid w:val="00742B1E"/>
    <w:rsid w:val="00742F65"/>
    <w:rsid w:val="0074303B"/>
    <w:rsid w:val="0074309B"/>
    <w:rsid w:val="00743CE8"/>
    <w:rsid w:val="0074424B"/>
    <w:rsid w:val="0074469F"/>
    <w:rsid w:val="00744727"/>
    <w:rsid w:val="00744BB4"/>
    <w:rsid w:val="00744C94"/>
    <w:rsid w:val="00744F6A"/>
    <w:rsid w:val="007450C1"/>
    <w:rsid w:val="00745144"/>
    <w:rsid w:val="00745903"/>
    <w:rsid w:val="007461E7"/>
    <w:rsid w:val="007462EC"/>
    <w:rsid w:val="00746E62"/>
    <w:rsid w:val="007472EF"/>
    <w:rsid w:val="00747353"/>
    <w:rsid w:val="00747357"/>
    <w:rsid w:val="00747892"/>
    <w:rsid w:val="00747D11"/>
    <w:rsid w:val="00747D41"/>
    <w:rsid w:val="0075029C"/>
    <w:rsid w:val="00750634"/>
    <w:rsid w:val="00750A35"/>
    <w:rsid w:val="00750A3F"/>
    <w:rsid w:val="00751211"/>
    <w:rsid w:val="00751508"/>
    <w:rsid w:val="00751607"/>
    <w:rsid w:val="00751AFD"/>
    <w:rsid w:val="0075247D"/>
    <w:rsid w:val="00752843"/>
    <w:rsid w:val="0075300A"/>
    <w:rsid w:val="007531C7"/>
    <w:rsid w:val="00753752"/>
    <w:rsid w:val="00753771"/>
    <w:rsid w:val="00753798"/>
    <w:rsid w:val="00753820"/>
    <w:rsid w:val="00753A2C"/>
    <w:rsid w:val="00753CCF"/>
    <w:rsid w:val="007541FE"/>
    <w:rsid w:val="00754250"/>
    <w:rsid w:val="007542ED"/>
    <w:rsid w:val="0075444F"/>
    <w:rsid w:val="00754452"/>
    <w:rsid w:val="007548A7"/>
    <w:rsid w:val="0075498E"/>
    <w:rsid w:val="00754A28"/>
    <w:rsid w:val="00754AF8"/>
    <w:rsid w:val="007551A9"/>
    <w:rsid w:val="00755526"/>
    <w:rsid w:val="007556C4"/>
    <w:rsid w:val="00755756"/>
    <w:rsid w:val="00755AFE"/>
    <w:rsid w:val="00755BB7"/>
    <w:rsid w:val="00755E7A"/>
    <w:rsid w:val="007563BF"/>
    <w:rsid w:val="007563C2"/>
    <w:rsid w:val="0075666C"/>
    <w:rsid w:val="007566A5"/>
    <w:rsid w:val="00756B54"/>
    <w:rsid w:val="007570E2"/>
    <w:rsid w:val="0075724F"/>
    <w:rsid w:val="00757395"/>
    <w:rsid w:val="00757537"/>
    <w:rsid w:val="0075760A"/>
    <w:rsid w:val="0075765D"/>
    <w:rsid w:val="0075789D"/>
    <w:rsid w:val="00757D79"/>
    <w:rsid w:val="00757DCD"/>
    <w:rsid w:val="0076023F"/>
    <w:rsid w:val="007602FD"/>
    <w:rsid w:val="00760497"/>
    <w:rsid w:val="007605CB"/>
    <w:rsid w:val="00760668"/>
    <w:rsid w:val="00760889"/>
    <w:rsid w:val="00760B91"/>
    <w:rsid w:val="00760BD0"/>
    <w:rsid w:val="00761010"/>
    <w:rsid w:val="007610E7"/>
    <w:rsid w:val="00761143"/>
    <w:rsid w:val="007611E8"/>
    <w:rsid w:val="007612C9"/>
    <w:rsid w:val="00761518"/>
    <w:rsid w:val="0076183F"/>
    <w:rsid w:val="00761C3C"/>
    <w:rsid w:val="00761CDB"/>
    <w:rsid w:val="007620D4"/>
    <w:rsid w:val="007621F6"/>
    <w:rsid w:val="00762657"/>
    <w:rsid w:val="00762684"/>
    <w:rsid w:val="007627D0"/>
    <w:rsid w:val="007627FC"/>
    <w:rsid w:val="00762E93"/>
    <w:rsid w:val="0076311F"/>
    <w:rsid w:val="0076320A"/>
    <w:rsid w:val="0076324A"/>
    <w:rsid w:val="0076348C"/>
    <w:rsid w:val="00763495"/>
    <w:rsid w:val="007634AE"/>
    <w:rsid w:val="007634E6"/>
    <w:rsid w:val="007635A2"/>
    <w:rsid w:val="007636F9"/>
    <w:rsid w:val="007638A1"/>
    <w:rsid w:val="007639E5"/>
    <w:rsid w:val="00763AFC"/>
    <w:rsid w:val="007640F3"/>
    <w:rsid w:val="007642D8"/>
    <w:rsid w:val="0076570D"/>
    <w:rsid w:val="00765940"/>
    <w:rsid w:val="00765AE2"/>
    <w:rsid w:val="0076631B"/>
    <w:rsid w:val="00766352"/>
    <w:rsid w:val="00766589"/>
    <w:rsid w:val="00766A5E"/>
    <w:rsid w:val="0076708A"/>
    <w:rsid w:val="00767523"/>
    <w:rsid w:val="007676E7"/>
    <w:rsid w:val="00767DA4"/>
    <w:rsid w:val="00770014"/>
    <w:rsid w:val="00770282"/>
    <w:rsid w:val="00770732"/>
    <w:rsid w:val="00770959"/>
    <w:rsid w:val="00770A75"/>
    <w:rsid w:val="00770C76"/>
    <w:rsid w:val="00770DF8"/>
    <w:rsid w:val="0077140B"/>
    <w:rsid w:val="00771ABD"/>
    <w:rsid w:val="00771B3D"/>
    <w:rsid w:val="00771FC6"/>
    <w:rsid w:val="007722F2"/>
    <w:rsid w:val="00772A44"/>
    <w:rsid w:val="00772BA7"/>
    <w:rsid w:val="0077325D"/>
    <w:rsid w:val="00773330"/>
    <w:rsid w:val="007734D7"/>
    <w:rsid w:val="0077371A"/>
    <w:rsid w:val="00773988"/>
    <w:rsid w:val="00773CA0"/>
    <w:rsid w:val="00773CC8"/>
    <w:rsid w:val="0077424C"/>
    <w:rsid w:val="00774315"/>
    <w:rsid w:val="007743CC"/>
    <w:rsid w:val="007743ED"/>
    <w:rsid w:val="0077445D"/>
    <w:rsid w:val="0077456E"/>
    <w:rsid w:val="007746C7"/>
    <w:rsid w:val="0077487E"/>
    <w:rsid w:val="007748F7"/>
    <w:rsid w:val="00774AF6"/>
    <w:rsid w:val="00774D53"/>
    <w:rsid w:val="00774E60"/>
    <w:rsid w:val="00774F30"/>
    <w:rsid w:val="007752EC"/>
    <w:rsid w:val="00775458"/>
    <w:rsid w:val="00775588"/>
    <w:rsid w:val="007758CC"/>
    <w:rsid w:val="00775948"/>
    <w:rsid w:val="00775B26"/>
    <w:rsid w:val="00775F52"/>
    <w:rsid w:val="007761AA"/>
    <w:rsid w:val="0077646D"/>
    <w:rsid w:val="007764A5"/>
    <w:rsid w:val="007766A1"/>
    <w:rsid w:val="0077692B"/>
    <w:rsid w:val="00776E50"/>
    <w:rsid w:val="0077706F"/>
    <w:rsid w:val="007770D6"/>
    <w:rsid w:val="007775CB"/>
    <w:rsid w:val="00777747"/>
    <w:rsid w:val="00777BF4"/>
    <w:rsid w:val="00777D2C"/>
    <w:rsid w:val="007800AD"/>
    <w:rsid w:val="00780206"/>
    <w:rsid w:val="007802FB"/>
    <w:rsid w:val="0078035F"/>
    <w:rsid w:val="00780437"/>
    <w:rsid w:val="007804B4"/>
    <w:rsid w:val="00780798"/>
    <w:rsid w:val="00780B46"/>
    <w:rsid w:val="00780F63"/>
    <w:rsid w:val="00780FCE"/>
    <w:rsid w:val="0078116D"/>
    <w:rsid w:val="007811ED"/>
    <w:rsid w:val="00781351"/>
    <w:rsid w:val="007815C7"/>
    <w:rsid w:val="007815D2"/>
    <w:rsid w:val="00781801"/>
    <w:rsid w:val="007818A9"/>
    <w:rsid w:val="00782042"/>
    <w:rsid w:val="007820C5"/>
    <w:rsid w:val="00782553"/>
    <w:rsid w:val="00782AA9"/>
    <w:rsid w:val="00782C12"/>
    <w:rsid w:val="00782FFB"/>
    <w:rsid w:val="00783716"/>
    <w:rsid w:val="00783B85"/>
    <w:rsid w:val="00783F5C"/>
    <w:rsid w:val="00783FC9"/>
    <w:rsid w:val="00783FFA"/>
    <w:rsid w:val="007843C3"/>
    <w:rsid w:val="007847D5"/>
    <w:rsid w:val="007847E1"/>
    <w:rsid w:val="00784876"/>
    <w:rsid w:val="00784A16"/>
    <w:rsid w:val="00784A7F"/>
    <w:rsid w:val="00784C52"/>
    <w:rsid w:val="0078553B"/>
    <w:rsid w:val="007856C0"/>
    <w:rsid w:val="007858B7"/>
    <w:rsid w:val="00785B1C"/>
    <w:rsid w:val="00785B41"/>
    <w:rsid w:val="00785B49"/>
    <w:rsid w:val="00785FCC"/>
    <w:rsid w:val="00786226"/>
    <w:rsid w:val="0078629B"/>
    <w:rsid w:val="007863CB"/>
    <w:rsid w:val="00786563"/>
    <w:rsid w:val="00786591"/>
    <w:rsid w:val="0078679E"/>
    <w:rsid w:val="00786857"/>
    <w:rsid w:val="007868A3"/>
    <w:rsid w:val="00786932"/>
    <w:rsid w:val="00786A29"/>
    <w:rsid w:val="00786A30"/>
    <w:rsid w:val="00786BF5"/>
    <w:rsid w:val="00786CF3"/>
    <w:rsid w:val="00786F89"/>
    <w:rsid w:val="0078744F"/>
    <w:rsid w:val="00787B27"/>
    <w:rsid w:val="00790233"/>
    <w:rsid w:val="00790290"/>
    <w:rsid w:val="007905AA"/>
    <w:rsid w:val="007905BD"/>
    <w:rsid w:val="007908E0"/>
    <w:rsid w:val="0079095C"/>
    <w:rsid w:val="00790E32"/>
    <w:rsid w:val="00790E8B"/>
    <w:rsid w:val="00790FDB"/>
    <w:rsid w:val="0079107A"/>
    <w:rsid w:val="007911D1"/>
    <w:rsid w:val="007913AD"/>
    <w:rsid w:val="00791716"/>
    <w:rsid w:val="00791743"/>
    <w:rsid w:val="00791853"/>
    <w:rsid w:val="00791877"/>
    <w:rsid w:val="007918B3"/>
    <w:rsid w:val="00791B5D"/>
    <w:rsid w:val="00791DC4"/>
    <w:rsid w:val="00791E3E"/>
    <w:rsid w:val="007923D6"/>
    <w:rsid w:val="007926EA"/>
    <w:rsid w:val="007929E9"/>
    <w:rsid w:val="00793005"/>
    <w:rsid w:val="0079304D"/>
    <w:rsid w:val="007930D6"/>
    <w:rsid w:val="007933A7"/>
    <w:rsid w:val="0079341F"/>
    <w:rsid w:val="00793F15"/>
    <w:rsid w:val="00793F17"/>
    <w:rsid w:val="0079401F"/>
    <w:rsid w:val="007941FE"/>
    <w:rsid w:val="00794311"/>
    <w:rsid w:val="0079455C"/>
    <w:rsid w:val="0079456F"/>
    <w:rsid w:val="007945E4"/>
    <w:rsid w:val="0079482D"/>
    <w:rsid w:val="00794871"/>
    <w:rsid w:val="007949F4"/>
    <w:rsid w:val="00794BDC"/>
    <w:rsid w:val="00794F76"/>
    <w:rsid w:val="007950F8"/>
    <w:rsid w:val="00795574"/>
    <w:rsid w:val="007956B2"/>
    <w:rsid w:val="00795CD9"/>
    <w:rsid w:val="00796418"/>
    <w:rsid w:val="007964D6"/>
    <w:rsid w:val="0079685C"/>
    <w:rsid w:val="0079690F"/>
    <w:rsid w:val="00796F65"/>
    <w:rsid w:val="00797292"/>
    <w:rsid w:val="00797AC0"/>
    <w:rsid w:val="00797CD1"/>
    <w:rsid w:val="00797D45"/>
    <w:rsid w:val="007A0C2B"/>
    <w:rsid w:val="007A0C6C"/>
    <w:rsid w:val="007A0D01"/>
    <w:rsid w:val="007A117E"/>
    <w:rsid w:val="007A11D8"/>
    <w:rsid w:val="007A1344"/>
    <w:rsid w:val="007A1367"/>
    <w:rsid w:val="007A1487"/>
    <w:rsid w:val="007A16D8"/>
    <w:rsid w:val="007A1995"/>
    <w:rsid w:val="007A1B06"/>
    <w:rsid w:val="007A1F87"/>
    <w:rsid w:val="007A1FA5"/>
    <w:rsid w:val="007A221C"/>
    <w:rsid w:val="007A2444"/>
    <w:rsid w:val="007A26D9"/>
    <w:rsid w:val="007A2739"/>
    <w:rsid w:val="007A2951"/>
    <w:rsid w:val="007A2D1C"/>
    <w:rsid w:val="007A2EA3"/>
    <w:rsid w:val="007A2FB3"/>
    <w:rsid w:val="007A3223"/>
    <w:rsid w:val="007A3322"/>
    <w:rsid w:val="007A3562"/>
    <w:rsid w:val="007A416C"/>
    <w:rsid w:val="007A435A"/>
    <w:rsid w:val="007A456F"/>
    <w:rsid w:val="007A478B"/>
    <w:rsid w:val="007A4B3E"/>
    <w:rsid w:val="007A4F56"/>
    <w:rsid w:val="007A539E"/>
    <w:rsid w:val="007A56B3"/>
    <w:rsid w:val="007A571B"/>
    <w:rsid w:val="007A58BB"/>
    <w:rsid w:val="007A5A38"/>
    <w:rsid w:val="007A5D02"/>
    <w:rsid w:val="007A5E73"/>
    <w:rsid w:val="007A6649"/>
    <w:rsid w:val="007A68A6"/>
    <w:rsid w:val="007A6D21"/>
    <w:rsid w:val="007A737B"/>
    <w:rsid w:val="007A7997"/>
    <w:rsid w:val="007A79AE"/>
    <w:rsid w:val="007A7CA4"/>
    <w:rsid w:val="007A7F2F"/>
    <w:rsid w:val="007B0236"/>
    <w:rsid w:val="007B04B1"/>
    <w:rsid w:val="007B0BFE"/>
    <w:rsid w:val="007B13BC"/>
    <w:rsid w:val="007B1BA5"/>
    <w:rsid w:val="007B1D4A"/>
    <w:rsid w:val="007B1ECB"/>
    <w:rsid w:val="007B21AD"/>
    <w:rsid w:val="007B2226"/>
    <w:rsid w:val="007B22A9"/>
    <w:rsid w:val="007B2662"/>
    <w:rsid w:val="007B282F"/>
    <w:rsid w:val="007B2AC2"/>
    <w:rsid w:val="007B2C85"/>
    <w:rsid w:val="007B2DD1"/>
    <w:rsid w:val="007B30FD"/>
    <w:rsid w:val="007B3205"/>
    <w:rsid w:val="007B3423"/>
    <w:rsid w:val="007B35A9"/>
    <w:rsid w:val="007B3695"/>
    <w:rsid w:val="007B386F"/>
    <w:rsid w:val="007B394F"/>
    <w:rsid w:val="007B3974"/>
    <w:rsid w:val="007B3C02"/>
    <w:rsid w:val="007B3D14"/>
    <w:rsid w:val="007B3FC5"/>
    <w:rsid w:val="007B4007"/>
    <w:rsid w:val="007B402D"/>
    <w:rsid w:val="007B40D0"/>
    <w:rsid w:val="007B4124"/>
    <w:rsid w:val="007B418E"/>
    <w:rsid w:val="007B436C"/>
    <w:rsid w:val="007B4B96"/>
    <w:rsid w:val="007B4F6A"/>
    <w:rsid w:val="007B506C"/>
    <w:rsid w:val="007B5145"/>
    <w:rsid w:val="007B51B8"/>
    <w:rsid w:val="007B52F7"/>
    <w:rsid w:val="007B5323"/>
    <w:rsid w:val="007B543D"/>
    <w:rsid w:val="007B5535"/>
    <w:rsid w:val="007B599F"/>
    <w:rsid w:val="007B59A0"/>
    <w:rsid w:val="007B5F26"/>
    <w:rsid w:val="007B60F3"/>
    <w:rsid w:val="007B63CB"/>
    <w:rsid w:val="007B6492"/>
    <w:rsid w:val="007B6A1A"/>
    <w:rsid w:val="007B6AC9"/>
    <w:rsid w:val="007B6AF5"/>
    <w:rsid w:val="007B6B73"/>
    <w:rsid w:val="007B701C"/>
    <w:rsid w:val="007B72F2"/>
    <w:rsid w:val="007B74AE"/>
    <w:rsid w:val="007B762C"/>
    <w:rsid w:val="007B7C20"/>
    <w:rsid w:val="007C0060"/>
    <w:rsid w:val="007C0517"/>
    <w:rsid w:val="007C09B9"/>
    <w:rsid w:val="007C0C21"/>
    <w:rsid w:val="007C0D5A"/>
    <w:rsid w:val="007C0F0B"/>
    <w:rsid w:val="007C11E8"/>
    <w:rsid w:val="007C126D"/>
    <w:rsid w:val="007C1397"/>
    <w:rsid w:val="007C16FA"/>
    <w:rsid w:val="007C190F"/>
    <w:rsid w:val="007C192D"/>
    <w:rsid w:val="007C1CB9"/>
    <w:rsid w:val="007C1F8F"/>
    <w:rsid w:val="007C235F"/>
    <w:rsid w:val="007C244B"/>
    <w:rsid w:val="007C247F"/>
    <w:rsid w:val="007C2661"/>
    <w:rsid w:val="007C2ABD"/>
    <w:rsid w:val="007C2E9F"/>
    <w:rsid w:val="007C3288"/>
    <w:rsid w:val="007C3329"/>
    <w:rsid w:val="007C33EF"/>
    <w:rsid w:val="007C3675"/>
    <w:rsid w:val="007C39E0"/>
    <w:rsid w:val="007C3B97"/>
    <w:rsid w:val="007C3D25"/>
    <w:rsid w:val="007C4105"/>
    <w:rsid w:val="007C4415"/>
    <w:rsid w:val="007C441F"/>
    <w:rsid w:val="007C451A"/>
    <w:rsid w:val="007C468A"/>
    <w:rsid w:val="007C49E4"/>
    <w:rsid w:val="007C5283"/>
    <w:rsid w:val="007C52AD"/>
    <w:rsid w:val="007C59F5"/>
    <w:rsid w:val="007C5C8B"/>
    <w:rsid w:val="007C5E99"/>
    <w:rsid w:val="007C60D7"/>
    <w:rsid w:val="007C68A9"/>
    <w:rsid w:val="007C6B9F"/>
    <w:rsid w:val="007C6F6E"/>
    <w:rsid w:val="007C7127"/>
    <w:rsid w:val="007C7C3A"/>
    <w:rsid w:val="007C7F01"/>
    <w:rsid w:val="007C7FFA"/>
    <w:rsid w:val="007D016C"/>
    <w:rsid w:val="007D0186"/>
    <w:rsid w:val="007D0783"/>
    <w:rsid w:val="007D08B0"/>
    <w:rsid w:val="007D0D3E"/>
    <w:rsid w:val="007D0FB0"/>
    <w:rsid w:val="007D1672"/>
    <w:rsid w:val="007D1739"/>
    <w:rsid w:val="007D1C17"/>
    <w:rsid w:val="007D208E"/>
    <w:rsid w:val="007D215F"/>
    <w:rsid w:val="007D2583"/>
    <w:rsid w:val="007D284C"/>
    <w:rsid w:val="007D2A44"/>
    <w:rsid w:val="007D2E93"/>
    <w:rsid w:val="007D30A6"/>
    <w:rsid w:val="007D3212"/>
    <w:rsid w:val="007D3320"/>
    <w:rsid w:val="007D3592"/>
    <w:rsid w:val="007D36F5"/>
    <w:rsid w:val="007D4111"/>
    <w:rsid w:val="007D4232"/>
    <w:rsid w:val="007D4392"/>
    <w:rsid w:val="007D44D3"/>
    <w:rsid w:val="007D4919"/>
    <w:rsid w:val="007D4D06"/>
    <w:rsid w:val="007D4EAA"/>
    <w:rsid w:val="007D4ECB"/>
    <w:rsid w:val="007D50AF"/>
    <w:rsid w:val="007D5146"/>
    <w:rsid w:val="007D536A"/>
    <w:rsid w:val="007D5875"/>
    <w:rsid w:val="007D5E7B"/>
    <w:rsid w:val="007D5F4D"/>
    <w:rsid w:val="007D69B0"/>
    <w:rsid w:val="007D6B6D"/>
    <w:rsid w:val="007D6DBE"/>
    <w:rsid w:val="007D702A"/>
    <w:rsid w:val="007D71C0"/>
    <w:rsid w:val="007D723C"/>
    <w:rsid w:val="007D72EE"/>
    <w:rsid w:val="007D73AC"/>
    <w:rsid w:val="007D754A"/>
    <w:rsid w:val="007D784E"/>
    <w:rsid w:val="007D792F"/>
    <w:rsid w:val="007E0012"/>
    <w:rsid w:val="007E0064"/>
    <w:rsid w:val="007E06E2"/>
    <w:rsid w:val="007E0A07"/>
    <w:rsid w:val="007E0AF1"/>
    <w:rsid w:val="007E0D12"/>
    <w:rsid w:val="007E0D6F"/>
    <w:rsid w:val="007E0EE7"/>
    <w:rsid w:val="007E0F98"/>
    <w:rsid w:val="007E13B3"/>
    <w:rsid w:val="007E176E"/>
    <w:rsid w:val="007E1774"/>
    <w:rsid w:val="007E1817"/>
    <w:rsid w:val="007E1C1C"/>
    <w:rsid w:val="007E1C55"/>
    <w:rsid w:val="007E1C73"/>
    <w:rsid w:val="007E1ECB"/>
    <w:rsid w:val="007E2018"/>
    <w:rsid w:val="007E2587"/>
    <w:rsid w:val="007E25E7"/>
    <w:rsid w:val="007E2842"/>
    <w:rsid w:val="007E2A6A"/>
    <w:rsid w:val="007E2EB4"/>
    <w:rsid w:val="007E2ECA"/>
    <w:rsid w:val="007E3159"/>
    <w:rsid w:val="007E317E"/>
    <w:rsid w:val="007E356A"/>
    <w:rsid w:val="007E3F85"/>
    <w:rsid w:val="007E417C"/>
    <w:rsid w:val="007E44EB"/>
    <w:rsid w:val="007E47D4"/>
    <w:rsid w:val="007E4C91"/>
    <w:rsid w:val="007E5131"/>
    <w:rsid w:val="007E524A"/>
    <w:rsid w:val="007E5344"/>
    <w:rsid w:val="007E5768"/>
    <w:rsid w:val="007E5C5A"/>
    <w:rsid w:val="007E5E61"/>
    <w:rsid w:val="007E6016"/>
    <w:rsid w:val="007E62A9"/>
    <w:rsid w:val="007E6322"/>
    <w:rsid w:val="007E651D"/>
    <w:rsid w:val="007E6739"/>
    <w:rsid w:val="007E69EB"/>
    <w:rsid w:val="007E70EC"/>
    <w:rsid w:val="007E724B"/>
    <w:rsid w:val="007E7476"/>
    <w:rsid w:val="007E7769"/>
    <w:rsid w:val="007E7B5A"/>
    <w:rsid w:val="007E7F09"/>
    <w:rsid w:val="007F0095"/>
    <w:rsid w:val="007F0342"/>
    <w:rsid w:val="007F0518"/>
    <w:rsid w:val="007F05ED"/>
    <w:rsid w:val="007F088E"/>
    <w:rsid w:val="007F09DD"/>
    <w:rsid w:val="007F0B35"/>
    <w:rsid w:val="007F0E97"/>
    <w:rsid w:val="007F11FE"/>
    <w:rsid w:val="007F1352"/>
    <w:rsid w:val="007F2402"/>
    <w:rsid w:val="007F25E0"/>
    <w:rsid w:val="007F27FB"/>
    <w:rsid w:val="007F2B5C"/>
    <w:rsid w:val="007F2DD0"/>
    <w:rsid w:val="007F2F2E"/>
    <w:rsid w:val="007F308D"/>
    <w:rsid w:val="007F30FF"/>
    <w:rsid w:val="007F3126"/>
    <w:rsid w:val="007F31C7"/>
    <w:rsid w:val="007F359D"/>
    <w:rsid w:val="007F36AC"/>
    <w:rsid w:val="007F37CF"/>
    <w:rsid w:val="007F3CA9"/>
    <w:rsid w:val="007F40F7"/>
    <w:rsid w:val="007F460A"/>
    <w:rsid w:val="007F4AE4"/>
    <w:rsid w:val="007F5026"/>
    <w:rsid w:val="007F58F0"/>
    <w:rsid w:val="007F5A40"/>
    <w:rsid w:val="007F5C9E"/>
    <w:rsid w:val="007F63F5"/>
    <w:rsid w:val="007F6656"/>
    <w:rsid w:val="007F6782"/>
    <w:rsid w:val="007F6A0A"/>
    <w:rsid w:val="007F6A89"/>
    <w:rsid w:val="007F6AF4"/>
    <w:rsid w:val="007F6EA1"/>
    <w:rsid w:val="007F6F27"/>
    <w:rsid w:val="007F705D"/>
    <w:rsid w:val="007F74AC"/>
    <w:rsid w:val="007F768A"/>
    <w:rsid w:val="007F7F37"/>
    <w:rsid w:val="007F7FEB"/>
    <w:rsid w:val="008004A2"/>
    <w:rsid w:val="0080059E"/>
    <w:rsid w:val="00800B48"/>
    <w:rsid w:val="0080148D"/>
    <w:rsid w:val="0080162B"/>
    <w:rsid w:val="0080176F"/>
    <w:rsid w:val="00801B9D"/>
    <w:rsid w:val="00801F1A"/>
    <w:rsid w:val="008024E1"/>
    <w:rsid w:val="0080250F"/>
    <w:rsid w:val="0080273B"/>
    <w:rsid w:val="008027DC"/>
    <w:rsid w:val="00802E7E"/>
    <w:rsid w:val="00802F73"/>
    <w:rsid w:val="00802FCD"/>
    <w:rsid w:val="0080342A"/>
    <w:rsid w:val="008037A1"/>
    <w:rsid w:val="008038F6"/>
    <w:rsid w:val="00803A3D"/>
    <w:rsid w:val="00803FDE"/>
    <w:rsid w:val="0080409C"/>
    <w:rsid w:val="00804402"/>
    <w:rsid w:val="00804ABC"/>
    <w:rsid w:val="00804B36"/>
    <w:rsid w:val="00804D70"/>
    <w:rsid w:val="00804EC5"/>
    <w:rsid w:val="00804F43"/>
    <w:rsid w:val="00804F98"/>
    <w:rsid w:val="008054A4"/>
    <w:rsid w:val="00805A82"/>
    <w:rsid w:val="0080606B"/>
    <w:rsid w:val="008061EA"/>
    <w:rsid w:val="00806282"/>
    <w:rsid w:val="0080641F"/>
    <w:rsid w:val="008064DC"/>
    <w:rsid w:val="0080669A"/>
    <w:rsid w:val="008066E6"/>
    <w:rsid w:val="00806DE0"/>
    <w:rsid w:val="008071A1"/>
    <w:rsid w:val="00807492"/>
    <w:rsid w:val="008075EE"/>
    <w:rsid w:val="008078D6"/>
    <w:rsid w:val="008078E8"/>
    <w:rsid w:val="00807A3C"/>
    <w:rsid w:val="00807B3E"/>
    <w:rsid w:val="00807C18"/>
    <w:rsid w:val="00807C2C"/>
    <w:rsid w:val="00807FC1"/>
    <w:rsid w:val="008103A7"/>
    <w:rsid w:val="00810829"/>
    <w:rsid w:val="008111E5"/>
    <w:rsid w:val="008116A7"/>
    <w:rsid w:val="008117DA"/>
    <w:rsid w:val="00811B15"/>
    <w:rsid w:val="00812345"/>
    <w:rsid w:val="00812467"/>
    <w:rsid w:val="00812848"/>
    <w:rsid w:val="008128B1"/>
    <w:rsid w:val="00812939"/>
    <w:rsid w:val="00812A59"/>
    <w:rsid w:val="00813096"/>
    <w:rsid w:val="0081311B"/>
    <w:rsid w:val="008134FA"/>
    <w:rsid w:val="0081392A"/>
    <w:rsid w:val="00813A7C"/>
    <w:rsid w:val="0081412D"/>
    <w:rsid w:val="008146C7"/>
    <w:rsid w:val="00814947"/>
    <w:rsid w:val="008149A6"/>
    <w:rsid w:val="008154BF"/>
    <w:rsid w:val="00815915"/>
    <w:rsid w:val="00815E97"/>
    <w:rsid w:val="008168EE"/>
    <w:rsid w:val="00816A1D"/>
    <w:rsid w:val="00816B5E"/>
    <w:rsid w:val="00816BA7"/>
    <w:rsid w:val="00816BC4"/>
    <w:rsid w:val="0081767E"/>
    <w:rsid w:val="008178EE"/>
    <w:rsid w:val="00817ACC"/>
    <w:rsid w:val="00817CA1"/>
    <w:rsid w:val="00817D49"/>
    <w:rsid w:val="00817DCC"/>
    <w:rsid w:val="00817E1A"/>
    <w:rsid w:val="0082014E"/>
    <w:rsid w:val="008201E3"/>
    <w:rsid w:val="00820AB6"/>
    <w:rsid w:val="00820BA4"/>
    <w:rsid w:val="0082193D"/>
    <w:rsid w:val="00821BAF"/>
    <w:rsid w:val="00821BCB"/>
    <w:rsid w:val="00822046"/>
    <w:rsid w:val="008225CF"/>
    <w:rsid w:val="00822B06"/>
    <w:rsid w:val="00822B1D"/>
    <w:rsid w:val="0082303D"/>
    <w:rsid w:val="00823450"/>
    <w:rsid w:val="0082362A"/>
    <w:rsid w:val="00823A9C"/>
    <w:rsid w:val="008240B2"/>
    <w:rsid w:val="0082434D"/>
    <w:rsid w:val="00824421"/>
    <w:rsid w:val="00824423"/>
    <w:rsid w:val="008247A0"/>
    <w:rsid w:val="0082481E"/>
    <w:rsid w:val="0082498D"/>
    <w:rsid w:val="008256C7"/>
    <w:rsid w:val="008257E2"/>
    <w:rsid w:val="00825B2F"/>
    <w:rsid w:val="00825CD1"/>
    <w:rsid w:val="00825CEF"/>
    <w:rsid w:val="00826018"/>
    <w:rsid w:val="0082619B"/>
    <w:rsid w:val="008265D4"/>
    <w:rsid w:val="00826771"/>
    <w:rsid w:val="00826970"/>
    <w:rsid w:val="008270DD"/>
    <w:rsid w:val="008274B5"/>
    <w:rsid w:val="00827563"/>
    <w:rsid w:val="0082758D"/>
    <w:rsid w:val="0082759F"/>
    <w:rsid w:val="0082766D"/>
    <w:rsid w:val="00827B69"/>
    <w:rsid w:val="00827E24"/>
    <w:rsid w:val="0083053C"/>
    <w:rsid w:val="0083060D"/>
    <w:rsid w:val="008309E0"/>
    <w:rsid w:val="00830A21"/>
    <w:rsid w:val="00830C42"/>
    <w:rsid w:val="00830C6D"/>
    <w:rsid w:val="00830D43"/>
    <w:rsid w:val="00830D9F"/>
    <w:rsid w:val="008311D7"/>
    <w:rsid w:val="008319A5"/>
    <w:rsid w:val="008319D4"/>
    <w:rsid w:val="008321B4"/>
    <w:rsid w:val="0083240F"/>
    <w:rsid w:val="00832433"/>
    <w:rsid w:val="008324B3"/>
    <w:rsid w:val="00832502"/>
    <w:rsid w:val="0083256D"/>
    <w:rsid w:val="0083286F"/>
    <w:rsid w:val="00832BBE"/>
    <w:rsid w:val="00832F7B"/>
    <w:rsid w:val="008332A8"/>
    <w:rsid w:val="008336E3"/>
    <w:rsid w:val="00833789"/>
    <w:rsid w:val="008337D4"/>
    <w:rsid w:val="00833A64"/>
    <w:rsid w:val="00834430"/>
    <w:rsid w:val="00834BBC"/>
    <w:rsid w:val="00834DB7"/>
    <w:rsid w:val="00835055"/>
    <w:rsid w:val="0083519F"/>
    <w:rsid w:val="00835621"/>
    <w:rsid w:val="008357D8"/>
    <w:rsid w:val="00835A1B"/>
    <w:rsid w:val="00835AB3"/>
    <w:rsid w:val="00836275"/>
    <w:rsid w:val="00836D70"/>
    <w:rsid w:val="00836F09"/>
    <w:rsid w:val="00836F0A"/>
    <w:rsid w:val="00836FC7"/>
    <w:rsid w:val="00837546"/>
    <w:rsid w:val="00837E51"/>
    <w:rsid w:val="00837E7B"/>
    <w:rsid w:val="00837F17"/>
    <w:rsid w:val="00840129"/>
    <w:rsid w:val="00840168"/>
    <w:rsid w:val="008405DF"/>
    <w:rsid w:val="008407E7"/>
    <w:rsid w:val="008407F1"/>
    <w:rsid w:val="00840933"/>
    <w:rsid w:val="00840F3A"/>
    <w:rsid w:val="008411AD"/>
    <w:rsid w:val="008411BF"/>
    <w:rsid w:val="008415BA"/>
    <w:rsid w:val="008416F0"/>
    <w:rsid w:val="00841A51"/>
    <w:rsid w:val="00841A84"/>
    <w:rsid w:val="008420BD"/>
    <w:rsid w:val="00842388"/>
    <w:rsid w:val="008425E6"/>
    <w:rsid w:val="00843264"/>
    <w:rsid w:val="00843AB8"/>
    <w:rsid w:val="00843BED"/>
    <w:rsid w:val="00843CF3"/>
    <w:rsid w:val="00843F62"/>
    <w:rsid w:val="0084416A"/>
    <w:rsid w:val="00844289"/>
    <w:rsid w:val="00844544"/>
    <w:rsid w:val="00844736"/>
    <w:rsid w:val="00844906"/>
    <w:rsid w:val="00844CB3"/>
    <w:rsid w:val="00844D85"/>
    <w:rsid w:val="00845101"/>
    <w:rsid w:val="00845836"/>
    <w:rsid w:val="00845855"/>
    <w:rsid w:val="008459C2"/>
    <w:rsid w:val="00845E5C"/>
    <w:rsid w:val="00846055"/>
    <w:rsid w:val="00846617"/>
    <w:rsid w:val="00846796"/>
    <w:rsid w:val="008479D3"/>
    <w:rsid w:val="00847DAD"/>
    <w:rsid w:val="008502EA"/>
    <w:rsid w:val="008503E9"/>
    <w:rsid w:val="008507F0"/>
    <w:rsid w:val="0085084F"/>
    <w:rsid w:val="00850980"/>
    <w:rsid w:val="00850D3F"/>
    <w:rsid w:val="00851014"/>
    <w:rsid w:val="008510E7"/>
    <w:rsid w:val="00851613"/>
    <w:rsid w:val="008521C4"/>
    <w:rsid w:val="0085226F"/>
    <w:rsid w:val="008525D4"/>
    <w:rsid w:val="008525E0"/>
    <w:rsid w:val="008525F6"/>
    <w:rsid w:val="0085261F"/>
    <w:rsid w:val="008526C7"/>
    <w:rsid w:val="00852921"/>
    <w:rsid w:val="00852AD4"/>
    <w:rsid w:val="0085384E"/>
    <w:rsid w:val="008538B4"/>
    <w:rsid w:val="0085397C"/>
    <w:rsid w:val="00853BFB"/>
    <w:rsid w:val="00853D08"/>
    <w:rsid w:val="00853E16"/>
    <w:rsid w:val="00854113"/>
    <w:rsid w:val="008541FA"/>
    <w:rsid w:val="008542FB"/>
    <w:rsid w:val="00854399"/>
    <w:rsid w:val="008545F2"/>
    <w:rsid w:val="008546F7"/>
    <w:rsid w:val="00854898"/>
    <w:rsid w:val="00854BA5"/>
    <w:rsid w:val="00854C53"/>
    <w:rsid w:val="00854D79"/>
    <w:rsid w:val="0085540C"/>
    <w:rsid w:val="00855680"/>
    <w:rsid w:val="008556E4"/>
    <w:rsid w:val="0085596A"/>
    <w:rsid w:val="00855EEB"/>
    <w:rsid w:val="0085604E"/>
    <w:rsid w:val="00856258"/>
    <w:rsid w:val="008562D1"/>
    <w:rsid w:val="008566BE"/>
    <w:rsid w:val="00856968"/>
    <w:rsid w:val="00856C21"/>
    <w:rsid w:val="00856C36"/>
    <w:rsid w:val="00857299"/>
    <w:rsid w:val="008572BD"/>
    <w:rsid w:val="0085760D"/>
    <w:rsid w:val="0085769D"/>
    <w:rsid w:val="00857C6C"/>
    <w:rsid w:val="00857D46"/>
    <w:rsid w:val="00857FBA"/>
    <w:rsid w:val="008601AB"/>
    <w:rsid w:val="00860274"/>
    <w:rsid w:val="00860908"/>
    <w:rsid w:val="008609D1"/>
    <w:rsid w:val="00860E7D"/>
    <w:rsid w:val="00861517"/>
    <w:rsid w:val="008617F5"/>
    <w:rsid w:val="00861801"/>
    <w:rsid w:val="00861948"/>
    <w:rsid w:val="008619F4"/>
    <w:rsid w:val="00861DC1"/>
    <w:rsid w:val="00862049"/>
    <w:rsid w:val="0086211A"/>
    <w:rsid w:val="0086216C"/>
    <w:rsid w:val="00862797"/>
    <w:rsid w:val="00862938"/>
    <w:rsid w:val="00862F7C"/>
    <w:rsid w:val="00863177"/>
    <w:rsid w:val="00863681"/>
    <w:rsid w:val="00863B5D"/>
    <w:rsid w:val="0086409C"/>
    <w:rsid w:val="00864249"/>
    <w:rsid w:val="00864556"/>
    <w:rsid w:val="00864928"/>
    <w:rsid w:val="00864BFC"/>
    <w:rsid w:val="00864C33"/>
    <w:rsid w:val="00864F55"/>
    <w:rsid w:val="00864F93"/>
    <w:rsid w:val="0086536A"/>
    <w:rsid w:val="00865733"/>
    <w:rsid w:val="00865737"/>
    <w:rsid w:val="00865813"/>
    <w:rsid w:val="00865ABD"/>
    <w:rsid w:val="00865AC4"/>
    <w:rsid w:val="00865C37"/>
    <w:rsid w:val="00866301"/>
    <w:rsid w:val="0086679A"/>
    <w:rsid w:val="0086679C"/>
    <w:rsid w:val="00866965"/>
    <w:rsid w:val="00866A46"/>
    <w:rsid w:val="00866A9F"/>
    <w:rsid w:val="00866FE1"/>
    <w:rsid w:val="0086707B"/>
    <w:rsid w:val="00867154"/>
    <w:rsid w:val="00867529"/>
    <w:rsid w:val="00867562"/>
    <w:rsid w:val="008675A6"/>
    <w:rsid w:val="00867FD6"/>
    <w:rsid w:val="008706EC"/>
    <w:rsid w:val="00870B13"/>
    <w:rsid w:val="00871113"/>
    <w:rsid w:val="00871226"/>
    <w:rsid w:val="00871786"/>
    <w:rsid w:val="00871886"/>
    <w:rsid w:val="00871A6E"/>
    <w:rsid w:val="00871DA7"/>
    <w:rsid w:val="00871E8F"/>
    <w:rsid w:val="00871EF1"/>
    <w:rsid w:val="00872088"/>
    <w:rsid w:val="0087239F"/>
    <w:rsid w:val="00872A9C"/>
    <w:rsid w:val="00872DD2"/>
    <w:rsid w:val="00872F4E"/>
    <w:rsid w:val="00873147"/>
    <w:rsid w:val="00873218"/>
    <w:rsid w:val="008732DE"/>
    <w:rsid w:val="00873C2D"/>
    <w:rsid w:val="0087410C"/>
    <w:rsid w:val="008741DA"/>
    <w:rsid w:val="00874789"/>
    <w:rsid w:val="008749BE"/>
    <w:rsid w:val="00874D3B"/>
    <w:rsid w:val="00874F08"/>
    <w:rsid w:val="00874F7C"/>
    <w:rsid w:val="00874F92"/>
    <w:rsid w:val="00875092"/>
    <w:rsid w:val="008758F2"/>
    <w:rsid w:val="00875962"/>
    <w:rsid w:val="00875C29"/>
    <w:rsid w:val="00875EDD"/>
    <w:rsid w:val="008762BE"/>
    <w:rsid w:val="00876542"/>
    <w:rsid w:val="00876812"/>
    <w:rsid w:val="00876AB6"/>
    <w:rsid w:val="00876CB2"/>
    <w:rsid w:val="00877626"/>
    <w:rsid w:val="008778E3"/>
    <w:rsid w:val="00877AB7"/>
    <w:rsid w:val="00880528"/>
    <w:rsid w:val="0088079E"/>
    <w:rsid w:val="00880815"/>
    <w:rsid w:val="00880D69"/>
    <w:rsid w:val="00880E2D"/>
    <w:rsid w:val="008810D9"/>
    <w:rsid w:val="0088239B"/>
    <w:rsid w:val="008823BB"/>
    <w:rsid w:val="008826EA"/>
    <w:rsid w:val="00882AC4"/>
    <w:rsid w:val="00883033"/>
    <w:rsid w:val="00883592"/>
    <w:rsid w:val="00883AB7"/>
    <w:rsid w:val="00883CE3"/>
    <w:rsid w:val="00883E66"/>
    <w:rsid w:val="008842B0"/>
    <w:rsid w:val="00884406"/>
    <w:rsid w:val="0088452D"/>
    <w:rsid w:val="0088465B"/>
    <w:rsid w:val="00884674"/>
    <w:rsid w:val="008848D9"/>
    <w:rsid w:val="00884955"/>
    <w:rsid w:val="008849DD"/>
    <w:rsid w:val="00884E1B"/>
    <w:rsid w:val="0088511D"/>
    <w:rsid w:val="008853BF"/>
    <w:rsid w:val="00885B32"/>
    <w:rsid w:val="00885BD4"/>
    <w:rsid w:val="00885CA5"/>
    <w:rsid w:val="00885E2E"/>
    <w:rsid w:val="00885ECF"/>
    <w:rsid w:val="008861CD"/>
    <w:rsid w:val="0088672A"/>
    <w:rsid w:val="00886A70"/>
    <w:rsid w:val="00886BD9"/>
    <w:rsid w:val="00886E87"/>
    <w:rsid w:val="0088736B"/>
    <w:rsid w:val="00887482"/>
    <w:rsid w:val="00887693"/>
    <w:rsid w:val="00887B14"/>
    <w:rsid w:val="0089018F"/>
    <w:rsid w:val="0089038F"/>
    <w:rsid w:val="008903D1"/>
    <w:rsid w:val="008904BB"/>
    <w:rsid w:val="008904FA"/>
    <w:rsid w:val="00890890"/>
    <w:rsid w:val="008908C4"/>
    <w:rsid w:val="00890FA1"/>
    <w:rsid w:val="00890FA7"/>
    <w:rsid w:val="00890FE1"/>
    <w:rsid w:val="008910F6"/>
    <w:rsid w:val="00891191"/>
    <w:rsid w:val="00891391"/>
    <w:rsid w:val="00891700"/>
    <w:rsid w:val="00891712"/>
    <w:rsid w:val="008918D4"/>
    <w:rsid w:val="00891AAE"/>
    <w:rsid w:val="00891AD7"/>
    <w:rsid w:val="00891B2A"/>
    <w:rsid w:val="00892066"/>
    <w:rsid w:val="008924FE"/>
    <w:rsid w:val="0089256E"/>
    <w:rsid w:val="00893092"/>
    <w:rsid w:val="008938FF"/>
    <w:rsid w:val="00893A08"/>
    <w:rsid w:val="00893C2F"/>
    <w:rsid w:val="00893E3B"/>
    <w:rsid w:val="00894086"/>
    <w:rsid w:val="0089424F"/>
    <w:rsid w:val="008942D2"/>
    <w:rsid w:val="0089442D"/>
    <w:rsid w:val="00894476"/>
    <w:rsid w:val="008945C0"/>
    <w:rsid w:val="00894855"/>
    <w:rsid w:val="00894C43"/>
    <w:rsid w:val="00894E3B"/>
    <w:rsid w:val="00894FA3"/>
    <w:rsid w:val="00895047"/>
    <w:rsid w:val="0089526D"/>
    <w:rsid w:val="0089579A"/>
    <w:rsid w:val="00895AF5"/>
    <w:rsid w:val="00895CD7"/>
    <w:rsid w:val="00895E8C"/>
    <w:rsid w:val="008960C1"/>
    <w:rsid w:val="008964E9"/>
    <w:rsid w:val="00897027"/>
    <w:rsid w:val="008972F5"/>
    <w:rsid w:val="0089757C"/>
    <w:rsid w:val="008976A4"/>
    <w:rsid w:val="008979AC"/>
    <w:rsid w:val="00897AAE"/>
    <w:rsid w:val="008A00E6"/>
    <w:rsid w:val="008A019B"/>
    <w:rsid w:val="008A0393"/>
    <w:rsid w:val="008A05B2"/>
    <w:rsid w:val="008A05C9"/>
    <w:rsid w:val="008A0645"/>
    <w:rsid w:val="008A071E"/>
    <w:rsid w:val="008A072B"/>
    <w:rsid w:val="008A08B6"/>
    <w:rsid w:val="008A09D4"/>
    <w:rsid w:val="008A122E"/>
    <w:rsid w:val="008A1283"/>
    <w:rsid w:val="008A1481"/>
    <w:rsid w:val="008A15EB"/>
    <w:rsid w:val="008A1A9B"/>
    <w:rsid w:val="008A1E29"/>
    <w:rsid w:val="008A20A1"/>
    <w:rsid w:val="008A2293"/>
    <w:rsid w:val="008A23E2"/>
    <w:rsid w:val="008A2608"/>
    <w:rsid w:val="008A2CB4"/>
    <w:rsid w:val="008A2CC8"/>
    <w:rsid w:val="008A337C"/>
    <w:rsid w:val="008A35B3"/>
    <w:rsid w:val="008A361E"/>
    <w:rsid w:val="008A36D4"/>
    <w:rsid w:val="008A39B6"/>
    <w:rsid w:val="008A39EE"/>
    <w:rsid w:val="008A3DE6"/>
    <w:rsid w:val="008A4160"/>
    <w:rsid w:val="008A425F"/>
    <w:rsid w:val="008A433A"/>
    <w:rsid w:val="008A4475"/>
    <w:rsid w:val="008A49CB"/>
    <w:rsid w:val="008A540D"/>
    <w:rsid w:val="008A55CD"/>
    <w:rsid w:val="008A5876"/>
    <w:rsid w:val="008A5877"/>
    <w:rsid w:val="008A596A"/>
    <w:rsid w:val="008A5B8D"/>
    <w:rsid w:val="008A6C95"/>
    <w:rsid w:val="008A6DAE"/>
    <w:rsid w:val="008A6EA7"/>
    <w:rsid w:val="008A6F71"/>
    <w:rsid w:val="008A71A2"/>
    <w:rsid w:val="008A71DD"/>
    <w:rsid w:val="008A753E"/>
    <w:rsid w:val="008A7743"/>
    <w:rsid w:val="008A791C"/>
    <w:rsid w:val="008B002C"/>
    <w:rsid w:val="008B01EF"/>
    <w:rsid w:val="008B0343"/>
    <w:rsid w:val="008B06A2"/>
    <w:rsid w:val="008B0AAF"/>
    <w:rsid w:val="008B10A1"/>
    <w:rsid w:val="008B1212"/>
    <w:rsid w:val="008B1304"/>
    <w:rsid w:val="008B13A8"/>
    <w:rsid w:val="008B1611"/>
    <w:rsid w:val="008B18B2"/>
    <w:rsid w:val="008B18D1"/>
    <w:rsid w:val="008B1917"/>
    <w:rsid w:val="008B1919"/>
    <w:rsid w:val="008B1C6E"/>
    <w:rsid w:val="008B1E30"/>
    <w:rsid w:val="008B20E7"/>
    <w:rsid w:val="008B243F"/>
    <w:rsid w:val="008B250D"/>
    <w:rsid w:val="008B2CB1"/>
    <w:rsid w:val="008B2DF8"/>
    <w:rsid w:val="008B3277"/>
    <w:rsid w:val="008B34E3"/>
    <w:rsid w:val="008B36E2"/>
    <w:rsid w:val="008B38BE"/>
    <w:rsid w:val="008B39A0"/>
    <w:rsid w:val="008B39F2"/>
    <w:rsid w:val="008B3D14"/>
    <w:rsid w:val="008B3D7F"/>
    <w:rsid w:val="008B3F06"/>
    <w:rsid w:val="008B3F7D"/>
    <w:rsid w:val="008B43EE"/>
    <w:rsid w:val="008B49FA"/>
    <w:rsid w:val="008B4AF1"/>
    <w:rsid w:val="008B4E16"/>
    <w:rsid w:val="008B4FA7"/>
    <w:rsid w:val="008B5686"/>
    <w:rsid w:val="008B5785"/>
    <w:rsid w:val="008B5ACE"/>
    <w:rsid w:val="008B5C67"/>
    <w:rsid w:val="008B5F1A"/>
    <w:rsid w:val="008B733C"/>
    <w:rsid w:val="008B7390"/>
    <w:rsid w:val="008B7451"/>
    <w:rsid w:val="008B789C"/>
    <w:rsid w:val="008B7EA1"/>
    <w:rsid w:val="008B7F20"/>
    <w:rsid w:val="008C0231"/>
    <w:rsid w:val="008C0283"/>
    <w:rsid w:val="008C0976"/>
    <w:rsid w:val="008C0983"/>
    <w:rsid w:val="008C0C88"/>
    <w:rsid w:val="008C11AF"/>
    <w:rsid w:val="008C1208"/>
    <w:rsid w:val="008C1271"/>
    <w:rsid w:val="008C13F1"/>
    <w:rsid w:val="008C1DE7"/>
    <w:rsid w:val="008C1FA8"/>
    <w:rsid w:val="008C21D7"/>
    <w:rsid w:val="008C2474"/>
    <w:rsid w:val="008C260D"/>
    <w:rsid w:val="008C2C53"/>
    <w:rsid w:val="008C3231"/>
    <w:rsid w:val="008C3411"/>
    <w:rsid w:val="008C37BC"/>
    <w:rsid w:val="008C3A8B"/>
    <w:rsid w:val="008C3AED"/>
    <w:rsid w:val="008C3EC1"/>
    <w:rsid w:val="008C4341"/>
    <w:rsid w:val="008C4777"/>
    <w:rsid w:val="008C4878"/>
    <w:rsid w:val="008C5136"/>
    <w:rsid w:val="008C57CD"/>
    <w:rsid w:val="008C5883"/>
    <w:rsid w:val="008C5947"/>
    <w:rsid w:val="008C5A81"/>
    <w:rsid w:val="008C60D1"/>
    <w:rsid w:val="008C65C5"/>
    <w:rsid w:val="008C67A6"/>
    <w:rsid w:val="008C6862"/>
    <w:rsid w:val="008C6866"/>
    <w:rsid w:val="008C695A"/>
    <w:rsid w:val="008C7BB1"/>
    <w:rsid w:val="008C7CB5"/>
    <w:rsid w:val="008C7DAA"/>
    <w:rsid w:val="008C7F61"/>
    <w:rsid w:val="008D009A"/>
    <w:rsid w:val="008D0335"/>
    <w:rsid w:val="008D0387"/>
    <w:rsid w:val="008D07DA"/>
    <w:rsid w:val="008D1335"/>
    <w:rsid w:val="008D144E"/>
    <w:rsid w:val="008D16EA"/>
    <w:rsid w:val="008D1C4F"/>
    <w:rsid w:val="008D1EE2"/>
    <w:rsid w:val="008D2096"/>
    <w:rsid w:val="008D2476"/>
    <w:rsid w:val="008D25B9"/>
    <w:rsid w:val="008D2682"/>
    <w:rsid w:val="008D2C9F"/>
    <w:rsid w:val="008D2F0E"/>
    <w:rsid w:val="008D2F4C"/>
    <w:rsid w:val="008D36FF"/>
    <w:rsid w:val="008D3C96"/>
    <w:rsid w:val="008D3F34"/>
    <w:rsid w:val="008D3FA0"/>
    <w:rsid w:val="008D4975"/>
    <w:rsid w:val="008D4A1F"/>
    <w:rsid w:val="008D4C72"/>
    <w:rsid w:val="008D4F74"/>
    <w:rsid w:val="008D52CD"/>
    <w:rsid w:val="008D5A58"/>
    <w:rsid w:val="008D5EE3"/>
    <w:rsid w:val="008D5F1D"/>
    <w:rsid w:val="008D5FB9"/>
    <w:rsid w:val="008D649A"/>
    <w:rsid w:val="008D65DC"/>
    <w:rsid w:val="008D6A10"/>
    <w:rsid w:val="008D6C06"/>
    <w:rsid w:val="008D6D37"/>
    <w:rsid w:val="008D6E25"/>
    <w:rsid w:val="008D6EDA"/>
    <w:rsid w:val="008D74FB"/>
    <w:rsid w:val="008D7580"/>
    <w:rsid w:val="008D7788"/>
    <w:rsid w:val="008D77CC"/>
    <w:rsid w:val="008D7812"/>
    <w:rsid w:val="008D7A88"/>
    <w:rsid w:val="008D7D67"/>
    <w:rsid w:val="008D7E21"/>
    <w:rsid w:val="008D7EBF"/>
    <w:rsid w:val="008E0031"/>
    <w:rsid w:val="008E01F2"/>
    <w:rsid w:val="008E030F"/>
    <w:rsid w:val="008E0328"/>
    <w:rsid w:val="008E0B3E"/>
    <w:rsid w:val="008E0DE4"/>
    <w:rsid w:val="008E0E72"/>
    <w:rsid w:val="008E1269"/>
    <w:rsid w:val="008E12DF"/>
    <w:rsid w:val="008E1602"/>
    <w:rsid w:val="008E17FE"/>
    <w:rsid w:val="008E19F4"/>
    <w:rsid w:val="008E1BFE"/>
    <w:rsid w:val="008E23D0"/>
    <w:rsid w:val="008E24D3"/>
    <w:rsid w:val="008E284B"/>
    <w:rsid w:val="008E2A41"/>
    <w:rsid w:val="008E2CEF"/>
    <w:rsid w:val="008E2D71"/>
    <w:rsid w:val="008E3270"/>
    <w:rsid w:val="008E3397"/>
    <w:rsid w:val="008E37CB"/>
    <w:rsid w:val="008E385C"/>
    <w:rsid w:val="008E3867"/>
    <w:rsid w:val="008E38C4"/>
    <w:rsid w:val="008E3C4E"/>
    <w:rsid w:val="008E4371"/>
    <w:rsid w:val="008E4585"/>
    <w:rsid w:val="008E4684"/>
    <w:rsid w:val="008E4868"/>
    <w:rsid w:val="008E4A06"/>
    <w:rsid w:val="008E4CB3"/>
    <w:rsid w:val="008E4D02"/>
    <w:rsid w:val="008E4E81"/>
    <w:rsid w:val="008E50C8"/>
    <w:rsid w:val="008E50E6"/>
    <w:rsid w:val="008E52E5"/>
    <w:rsid w:val="008E540F"/>
    <w:rsid w:val="008E5421"/>
    <w:rsid w:val="008E5701"/>
    <w:rsid w:val="008E57FD"/>
    <w:rsid w:val="008E5993"/>
    <w:rsid w:val="008E5A69"/>
    <w:rsid w:val="008E5A99"/>
    <w:rsid w:val="008E5BA0"/>
    <w:rsid w:val="008E5FF3"/>
    <w:rsid w:val="008E601E"/>
    <w:rsid w:val="008E6025"/>
    <w:rsid w:val="008E6C50"/>
    <w:rsid w:val="008E6ED2"/>
    <w:rsid w:val="008E7463"/>
    <w:rsid w:val="008E7540"/>
    <w:rsid w:val="008E7873"/>
    <w:rsid w:val="008E7FBF"/>
    <w:rsid w:val="008F013E"/>
    <w:rsid w:val="008F01A3"/>
    <w:rsid w:val="008F03F4"/>
    <w:rsid w:val="008F04CE"/>
    <w:rsid w:val="008F061B"/>
    <w:rsid w:val="008F0791"/>
    <w:rsid w:val="008F0827"/>
    <w:rsid w:val="008F085E"/>
    <w:rsid w:val="008F0AEC"/>
    <w:rsid w:val="008F0D01"/>
    <w:rsid w:val="008F0D0E"/>
    <w:rsid w:val="008F1545"/>
    <w:rsid w:val="008F1549"/>
    <w:rsid w:val="008F178F"/>
    <w:rsid w:val="008F1939"/>
    <w:rsid w:val="008F1A71"/>
    <w:rsid w:val="008F1B37"/>
    <w:rsid w:val="008F1CDD"/>
    <w:rsid w:val="008F20CC"/>
    <w:rsid w:val="008F2192"/>
    <w:rsid w:val="008F2A61"/>
    <w:rsid w:val="008F2B6E"/>
    <w:rsid w:val="008F2C43"/>
    <w:rsid w:val="008F2D7C"/>
    <w:rsid w:val="008F3026"/>
    <w:rsid w:val="008F31C0"/>
    <w:rsid w:val="008F3221"/>
    <w:rsid w:val="008F3A39"/>
    <w:rsid w:val="008F3B86"/>
    <w:rsid w:val="008F3DAF"/>
    <w:rsid w:val="008F451E"/>
    <w:rsid w:val="008F4859"/>
    <w:rsid w:val="008F4C3E"/>
    <w:rsid w:val="008F4CB9"/>
    <w:rsid w:val="008F4D3A"/>
    <w:rsid w:val="008F4EFB"/>
    <w:rsid w:val="008F5070"/>
    <w:rsid w:val="008F533E"/>
    <w:rsid w:val="008F57FD"/>
    <w:rsid w:val="008F5C45"/>
    <w:rsid w:val="008F5DD3"/>
    <w:rsid w:val="008F6101"/>
    <w:rsid w:val="008F6387"/>
    <w:rsid w:val="008F63B6"/>
    <w:rsid w:val="008F6471"/>
    <w:rsid w:val="008F669B"/>
    <w:rsid w:val="008F6843"/>
    <w:rsid w:val="008F6CBC"/>
    <w:rsid w:val="008F75E3"/>
    <w:rsid w:val="008F76EF"/>
    <w:rsid w:val="008F7704"/>
    <w:rsid w:val="008F7796"/>
    <w:rsid w:val="008F7CF5"/>
    <w:rsid w:val="008F7F40"/>
    <w:rsid w:val="008F7FBC"/>
    <w:rsid w:val="009004F1"/>
    <w:rsid w:val="0090067B"/>
    <w:rsid w:val="00900843"/>
    <w:rsid w:val="00900D16"/>
    <w:rsid w:val="00900DAB"/>
    <w:rsid w:val="009010ED"/>
    <w:rsid w:val="00901222"/>
    <w:rsid w:val="009013BB"/>
    <w:rsid w:val="00901512"/>
    <w:rsid w:val="0090156C"/>
    <w:rsid w:val="009015E2"/>
    <w:rsid w:val="00901663"/>
    <w:rsid w:val="00901776"/>
    <w:rsid w:val="00901B88"/>
    <w:rsid w:val="0090219F"/>
    <w:rsid w:val="00902366"/>
    <w:rsid w:val="00902638"/>
    <w:rsid w:val="009026DC"/>
    <w:rsid w:val="00902A6A"/>
    <w:rsid w:val="00902CFF"/>
    <w:rsid w:val="00902DBF"/>
    <w:rsid w:val="00902FB9"/>
    <w:rsid w:val="0090303D"/>
    <w:rsid w:val="00903094"/>
    <w:rsid w:val="009032B4"/>
    <w:rsid w:val="009033A3"/>
    <w:rsid w:val="00903512"/>
    <w:rsid w:val="00903567"/>
    <w:rsid w:val="0090358B"/>
    <w:rsid w:val="009036E7"/>
    <w:rsid w:val="0090397D"/>
    <w:rsid w:val="00903DA5"/>
    <w:rsid w:val="00903EB5"/>
    <w:rsid w:val="00903FB7"/>
    <w:rsid w:val="00904499"/>
    <w:rsid w:val="0090455D"/>
    <w:rsid w:val="009047FE"/>
    <w:rsid w:val="00904B67"/>
    <w:rsid w:val="009051B2"/>
    <w:rsid w:val="0090562C"/>
    <w:rsid w:val="00905692"/>
    <w:rsid w:val="009057D4"/>
    <w:rsid w:val="0090605F"/>
    <w:rsid w:val="009060D2"/>
    <w:rsid w:val="00906417"/>
    <w:rsid w:val="00906751"/>
    <w:rsid w:val="00906954"/>
    <w:rsid w:val="00906FFD"/>
    <w:rsid w:val="009071FC"/>
    <w:rsid w:val="00907294"/>
    <w:rsid w:val="00907569"/>
    <w:rsid w:val="0090793F"/>
    <w:rsid w:val="009079A1"/>
    <w:rsid w:val="00907A47"/>
    <w:rsid w:val="00907B6C"/>
    <w:rsid w:val="00907C10"/>
    <w:rsid w:val="00907C89"/>
    <w:rsid w:val="0091001A"/>
    <w:rsid w:val="009105BA"/>
    <w:rsid w:val="009105C2"/>
    <w:rsid w:val="00910C3D"/>
    <w:rsid w:val="00910D48"/>
    <w:rsid w:val="00910D5B"/>
    <w:rsid w:val="00910FBA"/>
    <w:rsid w:val="0091118D"/>
    <w:rsid w:val="009111D5"/>
    <w:rsid w:val="0091141C"/>
    <w:rsid w:val="0091144F"/>
    <w:rsid w:val="009117FF"/>
    <w:rsid w:val="00911CBD"/>
    <w:rsid w:val="00911DF3"/>
    <w:rsid w:val="009122CC"/>
    <w:rsid w:val="009124D3"/>
    <w:rsid w:val="00912559"/>
    <w:rsid w:val="009128AD"/>
    <w:rsid w:val="00912F83"/>
    <w:rsid w:val="0091319F"/>
    <w:rsid w:val="0091320B"/>
    <w:rsid w:val="00913255"/>
    <w:rsid w:val="0091352D"/>
    <w:rsid w:val="00913856"/>
    <w:rsid w:val="0091392D"/>
    <w:rsid w:val="0091417D"/>
    <w:rsid w:val="009142AF"/>
    <w:rsid w:val="00914324"/>
    <w:rsid w:val="009143D0"/>
    <w:rsid w:val="009149A7"/>
    <w:rsid w:val="009151EF"/>
    <w:rsid w:val="00915200"/>
    <w:rsid w:val="00915F43"/>
    <w:rsid w:val="009160BD"/>
    <w:rsid w:val="00916257"/>
    <w:rsid w:val="00916465"/>
    <w:rsid w:val="009164A2"/>
    <w:rsid w:val="009165BF"/>
    <w:rsid w:val="009168B1"/>
    <w:rsid w:val="00916AFF"/>
    <w:rsid w:val="00916B41"/>
    <w:rsid w:val="00916C12"/>
    <w:rsid w:val="009171AC"/>
    <w:rsid w:val="0091725E"/>
    <w:rsid w:val="0091731B"/>
    <w:rsid w:val="00917925"/>
    <w:rsid w:val="00917934"/>
    <w:rsid w:val="00917943"/>
    <w:rsid w:val="00917A3D"/>
    <w:rsid w:val="00917BD6"/>
    <w:rsid w:val="00917F1A"/>
    <w:rsid w:val="0092008F"/>
    <w:rsid w:val="00920530"/>
    <w:rsid w:val="0092054B"/>
    <w:rsid w:val="009206B7"/>
    <w:rsid w:val="00920808"/>
    <w:rsid w:val="00920BFC"/>
    <w:rsid w:val="009213A0"/>
    <w:rsid w:val="00921595"/>
    <w:rsid w:val="00921666"/>
    <w:rsid w:val="009217C1"/>
    <w:rsid w:val="00921A28"/>
    <w:rsid w:val="00921A7D"/>
    <w:rsid w:val="00921FB6"/>
    <w:rsid w:val="00922A1A"/>
    <w:rsid w:val="00923182"/>
    <w:rsid w:val="0092349F"/>
    <w:rsid w:val="00923580"/>
    <w:rsid w:val="009237B0"/>
    <w:rsid w:val="009237CD"/>
    <w:rsid w:val="00923A4A"/>
    <w:rsid w:val="00923B2D"/>
    <w:rsid w:val="009247EF"/>
    <w:rsid w:val="00924A52"/>
    <w:rsid w:val="00924AC5"/>
    <w:rsid w:val="00924C74"/>
    <w:rsid w:val="00924CC3"/>
    <w:rsid w:val="00924E11"/>
    <w:rsid w:val="0092519D"/>
    <w:rsid w:val="00925427"/>
    <w:rsid w:val="00925795"/>
    <w:rsid w:val="0092586A"/>
    <w:rsid w:val="00925D8A"/>
    <w:rsid w:val="00925DA5"/>
    <w:rsid w:val="00925F1B"/>
    <w:rsid w:val="00925FF3"/>
    <w:rsid w:val="009263E0"/>
    <w:rsid w:val="009264FE"/>
    <w:rsid w:val="0092691F"/>
    <w:rsid w:val="009269BF"/>
    <w:rsid w:val="00927516"/>
    <w:rsid w:val="00927678"/>
    <w:rsid w:val="009279D0"/>
    <w:rsid w:val="00927B57"/>
    <w:rsid w:val="0093052E"/>
    <w:rsid w:val="009305DE"/>
    <w:rsid w:val="009306B9"/>
    <w:rsid w:val="00930803"/>
    <w:rsid w:val="00930894"/>
    <w:rsid w:val="00930BCE"/>
    <w:rsid w:val="00930E6E"/>
    <w:rsid w:val="00930F54"/>
    <w:rsid w:val="009311D3"/>
    <w:rsid w:val="009316AC"/>
    <w:rsid w:val="00931748"/>
    <w:rsid w:val="0093186C"/>
    <w:rsid w:val="00931A8D"/>
    <w:rsid w:val="009325A9"/>
    <w:rsid w:val="00932895"/>
    <w:rsid w:val="00932CB8"/>
    <w:rsid w:val="00933091"/>
    <w:rsid w:val="0093323B"/>
    <w:rsid w:val="00933434"/>
    <w:rsid w:val="00933AC9"/>
    <w:rsid w:val="00933D11"/>
    <w:rsid w:val="00934018"/>
    <w:rsid w:val="009347F0"/>
    <w:rsid w:val="009348C3"/>
    <w:rsid w:val="009348F0"/>
    <w:rsid w:val="009349A5"/>
    <w:rsid w:val="00934A37"/>
    <w:rsid w:val="00935291"/>
    <w:rsid w:val="009352D8"/>
    <w:rsid w:val="009352E5"/>
    <w:rsid w:val="00935312"/>
    <w:rsid w:val="009356A9"/>
    <w:rsid w:val="0093581E"/>
    <w:rsid w:val="00935994"/>
    <w:rsid w:val="00935C07"/>
    <w:rsid w:val="00936010"/>
    <w:rsid w:val="0093608B"/>
    <w:rsid w:val="0093688E"/>
    <w:rsid w:val="00936B6E"/>
    <w:rsid w:val="00936C72"/>
    <w:rsid w:val="00936FCD"/>
    <w:rsid w:val="0093729D"/>
    <w:rsid w:val="009376CB"/>
    <w:rsid w:val="00937782"/>
    <w:rsid w:val="009377B0"/>
    <w:rsid w:val="00937C3B"/>
    <w:rsid w:val="00937FA2"/>
    <w:rsid w:val="009402EB"/>
    <w:rsid w:val="00940413"/>
    <w:rsid w:val="00940FBF"/>
    <w:rsid w:val="0094104A"/>
    <w:rsid w:val="0094126A"/>
    <w:rsid w:val="009412A9"/>
    <w:rsid w:val="00941434"/>
    <w:rsid w:val="009418E3"/>
    <w:rsid w:val="00941AF0"/>
    <w:rsid w:val="00941D0D"/>
    <w:rsid w:val="0094210D"/>
    <w:rsid w:val="0094223B"/>
    <w:rsid w:val="009423CB"/>
    <w:rsid w:val="0094258A"/>
    <w:rsid w:val="00942DAB"/>
    <w:rsid w:val="00942E4D"/>
    <w:rsid w:val="00942F3A"/>
    <w:rsid w:val="00943224"/>
    <w:rsid w:val="00943247"/>
    <w:rsid w:val="009433BB"/>
    <w:rsid w:val="009433FF"/>
    <w:rsid w:val="009435E0"/>
    <w:rsid w:val="00943F97"/>
    <w:rsid w:val="00943FD7"/>
    <w:rsid w:val="0094434D"/>
    <w:rsid w:val="0094444B"/>
    <w:rsid w:val="0094469D"/>
    <w:rsid w:val="009446FC"/>
    <w:rsid w:val="00944824"/>
    <w:rsid w:val="0094487E"/>
    <w:rsid w:val="009448F3"/>
    <w:rsid w:val="009449A0"/>
    <w:rsid w:val="00944B0B"/>
    <w:rsid w:val="00944B4A"/>
    <w:rsid w:val="00944D0F"/>
    <w:rsid w:val="00944E1C"/>
    <w:rsid w:val="0094504D"/>
    <w:rsid w:val="009458C3"/>
    <w:rsid w:val="00945C04"/>
    <w:rsid w:val="00945EB1"/>
    <w:rsid w:val="00946266"/>
    <w:rsid w:val="009463B0"/>
    <w:rsid w:val="009463E7"/>
    <w:rsid w:val="009464E1"/>
    <w:rsid w:val="0094696F"/>
    <w:rsid w:val="00946D4B"/>
    <w:rsid w:val="00946D75"/>
    <w:rsid w:val="00946FE3"/>
    <w:rsid w:val="00947222"/>
    <w:rsid w:val="0094726F"/>
    <w:rsid w:val="00947AAC"/>
    <w:rsid w:val="009505C9"/>
    <w:rsid w:val="00950CF9"/>
    <w:rsid w:val="00950EC1"/>
    <w:rsid w:val="00951235"/>
    <w:rsid w:val="00951555"/>
    <w:rsid w:val="00951720"/>
    <w:rsid w:val="00951CBD"/>
    <w:rsid w:val="0095215C"/>
    <w:rsid w:val="009521C6"/>
    <w:rsid w:val="00952366"/>
    <w:rsid w:val="00952440"/>
    <w:rsid w:val="0095247D"/>
    <w:rsid w:val="0095267E"/>
    <w:rsid w:val="00952CFB"/>
    <w:rsid w:val="009531AE"/>
    <w:rsid w:val="009532AD"/>
    <w:rsid w:val="009535F6"/>
    <w:rsid w:val="009538FB"/>
    <w:rsid w:val="00953C33"/>
    <w:rsid w:val="00953DBE"/>
    <w:rsid w:val="00953F3D"/>
    <w:rsid w:val="00954AD8"/>
    <w:rsid w:val="00954C7B"/>
    <w:rsid w:val="0095503D"/>
    <w:rsid w:val="00955185"/>
    <w:rsid w:val="0095557E"/>
    <w:rsid w:val="00955F1B"/>
    <w:rsid w:val="00955F58"/>
    <w:rsid w:val="00956019"/>
    <w:rsid w:val="009561CC"/>
    <w:rsid w:val="00956381"/>
    <w:rsid w:val="0095642E"/>
    <w:rsid w:val="00956568"/>
    <w:rsid w:val="00956574"/>
    <w:rsid w:val="009565A3"/>
    <w:rsid w:val="00956766"/>
    <w:rsid w:val="009568B5"/>
    <w:rsid w:val="00956A18"/>
    <w:rsid w:val="00956AD7"/>
    <w:rsid w:val="00956B14"/>
    <w:rsid w:val="0095728D"/>
    <w:rsid w:val="0095744D"/>
    <w:rsid w:val="009575F6"/>
    <w:rsid w:val="009577A2"/>
    <w:rsid w:val="009577C3"/>
    <w:rsid w:val="009578B6"/>
    <w:rsid w:val="00957CEB"/>
    <w:rsid w:val="00957D55"/>
    <w:rsid w:val="00957F9A"/>
    <w:rsid w:val="00960169"/>
    <w:rsid w:val="0096031D"/>
    <w:rsid w:val="009603D8"/>
    <w:rsid w:val="009604AC"/>
    <w:rsid w:val="009606D2"/>
    <w:rsid w:val="009607DF"/>
    <w:rsid w:val="009609BB"/>
    <w:rsid w:val="009610AB"/>
    <w:rsid w:val="0096138E"/>
    <w:rsid w:val="009613C1"/>
    <w:rsid w:val="0096158C"/>
    <w:rsid w:val="00961756"/>
    <w:rsid w:val="00961EF7"/>
    <w:rsid w:val="0096239A"/>
    <w:rsid w:val="009623A4"/>
    <w:rsid w:val="009625B8"/>
    <w:rsid w:val="009625CB"/>
    <w:rsid w:val="00962B6F"/>
    <w:rsid w:val="00962C6E"/>
    <w:rsid w:val="009634BA"/>
    <w:rsid w:val="0096362D"/>
    <w:rsid w:val="00963A60"/>
    <w:rsid w:val="00963A83"/>
    <w:rsid w:val="00963B2F"/>
    <w:rsid w:val="00963B4D"/>
    <w:rsid w:val="00963B61"/>
    <w:rsid w:val="00963C8D"/>
    <w:rsid w:val="009640D4"/>
    <w:rsid w:val="009643F5"/>
    <w:rsid w:val="00964407"/>
    <w:rsid w:val="00964869"/>
    <w:rsid w:val="00964B26"/>
    <w:rsid w:val="00964F33"/>
    <w:rsid w:val="00964FA0"/>
    <w:rsid w:val="00965383"/>
    <w:rsid w:val="00965AAE"/>
    <w:rsid w:val="009662FF"/>
    <w:rsid w:val="00966401"/>
    <w:rsid w:val="0096701D"/>
    <w:rsid w:val="009670DB"/>
    <w:rsid w:val="00967127"/>
    <w:rsid w:val="0096726A"/>
    <w:rsid w:val="00967394"/>
    <w:rsid w:val="009675C0"/>
    <w:rsid w:val="00967838"/>
    <w:rsid w:val="00967F30"/>
    <w:rsid w:val="00970078"/>
    <w:rsid w:val="009706A4"/>
    <w:rsid w:val="00970B3A"/>
    <w:rsid w:val="0097107A"/>
    <w:rsid w:val="009710E9"/>
    <w:rsid w:val="009712B5"/>
    <w:rsid w:val="009713A5"/>
    <w:rsid w:val="00971490"/>
    <w:rsid w:val="009715E1"/>
    <w:rsid w:val="009717B6"/>
    <w:rsid w:val="00971B18"/>
    <w:rsid w:val="00971BB0"/>
    <w:rsid w:val="00971DB5"/>
    <w:rsid w:val="00971E1A"/>
    <w:rsid w:val="00971FFC"/>
    <w:rsid w:val="0097200E"/>
    <w:rsid w:val="00972180"/>
    <w:rsid w:val="0097218D"/>
    <w:rsid w:val="00972229"/>
    <w:rsid w:val="00972420"/>
    <w:rsid w:val="00972548"/>
    <w:rsid w:val="00972A69"/>
    <w:rsid w:val="00972CA7"/>
    <w:rsid w:val="0097325C"/>
    <w:rsid w:val="009733B0"/>
    <w:rsid w:val="009734BD"/>
    <w:rsid w:val="00973650"/>
    <w:rsid w:val="00973787"/>
    <w:rsid w:val="00973DE3"/>
    <w:rsid w:val="00973F2D"/>
    <w:rsid w:val="00974304"/>
    <w:rsid w:val="0097437F"/>
    <w:rsid w:val="00974ADD"/>
    <w:rsid w:val="00974DB1"/>
    <w:rsid w:val="00974E3C"/>
    <w:rsid w:val="00974F51"/>
    <w:rsid w:val="0097538C"/>
    <w:rsid w:val="009754C3"/>
    <w:rsid w:val="00975816"/>
    <w:rsid w:val="00975938"/>
    <w:rsid w:val="009759B2"/>
    <w:rsid w:val="00975A46"/>
    <w:rsid w:val="00975A69"/>
    <w:rsid w:val="00975BCD"/>
    <w:rsid w:val="00975C01"/>
    <w:rsid w:val="00975F89"/>
    <w:rsid w:val="00976146"/>
    <w:rsid w:val="00976448"/>
    <w:rsid w:val="0097673C"/>
    <w:rsid w:val="00976E85"/>
    <w:rsid w:val="00977225"/>
    <w:rsid w:val="00977491"/>
    <w:rsid w:val="00977D41"/>
    <w:rsid w:val="00977D8E"/>
    <w:rsid w:val="00980206"/>
    <w:rsid w:val="00980D17"/>
    <w:rsid w:val="00980EF9"/>
    <w:rsid w:val="00981104"/>
    <w:rsid w:val="009814A8"/>
    <w:rsid w:val="00981757"/>
    <w:rsid w:val="00981B8D"/>
    <w:rsid w:val="00981BD1"/>
    <w:rsid w:val="00981F2D"/>
    <w:rsid w:val="00982601"/>
    <w:rsid w:val="00982ADF"/>
    <w:rsid w:val="00982B22"/>
    <w:rsid w:val="00982C90"/>
    <w:rsid w:val="00983056"/>
    <w:rsid w:val="0098319B"/>
    <w:rsid w:val="00983224"/>
    <w:rsid w:val="009839EB"/>
    <w:rsid w:val="00983EB4"/>
    <w:rsid w:val="009840F6"/>
    <w:rsid w:val="00984294"/>
    <w:rsid w:val="00984A97"/>
    <w:rsid w:val="00984D39"/>
    <w:rsid w:val="00985097"/>
    <w:rsid w:val="009852C4"/>
    <w:rsid w:val="00985C63"/>
    <w:rsid w:val="00985C74"/>
    <w:rsid w:val="00985E71"/>
    <w:rsid w:val="00985E8F"/>
    <w:rsid w:val="009860F3"/>
    <w:rsid w:val="00986212"/>
    <w:rsid w:val="009863A6"/>
    <w:rsid w:val="00986BC5"/>
    <w:rsid w:val="009870E9"/>
    <w:rsid w:val="00987188"/>
    <w:rsid w:val="00987478"/>
    <w:rsid w:val="009874D3"/>
    <w:rsid w:val="00987579"/>
    <w:rsid w:val="009875F8"/>
    <w:rsid w:val="0098781C"/>
    <w:rsid w:val="00987823"/>
    <w:rsid w:val="00987866"/>
    <w:rsid w:val="00987912"/>
    <w:rsid w:val="009879BF"/>
    <w:rsid w:val="00987D69"/>
    <w:rsid w:val="00987D75"/>
    <w:rsid w:val="0099056D"/>
    <w:rsid w:val="009905D2"/>
    <w:rsid w:val="00990BE2"/>
    <w:rsid w:val="00990DAE"/>
    <w:rsid w:val="00991261"/>
    <w:rsid w:val="0099148B"/>
    <w:rsid w:val="009914FB"/>
    <w:rsid w:val="00991918"/>
    <w:rsid w:val="0099196D"/>
    <w:rsid w:val="00991989"/>
    <w:rsid w:val="00991C82"/>
    <w:rsid w:val="00991DB5"/>
    <w:rsid w:val="00991FF9"/>
    <w:rsid w:val="00992172"/>
    <w:rsid w:val="00992198"/>
    <w:rsid w:val="0099222F"/>
    <w:rsid w:val="0099258A"/>
    <w:rsid w:val="00992687"/>
    <w:rsid w:val="00992F2E"/>
    <w:rsid w:val="00992F40"/>
    <w:rsid w:val="0099302C"/>
    <w:rsid w:val="00993B13"/>
    <w:rsid w:val="00993D3C"/>
    <w:rsid w:val="0099406B"/>
    <w:rsid w:val="0099413C"/>
    <w:rsid w:val="0099420E"/>
    <w:rsid w:val="00994CB3"/>
    <w:rsid w:val="00994FFC"/>
    <w:rsid w:val="00995A21"/>
    <w:rsid w:val="00995A26"/>
    <w:rsid w:val="00995BFF"/>
    <w:rsid w:val="00995CC0"/>
    <w:rsid w:val="00995D61"/>
    <w:rsid w:val="009967A8"/>
    <w:rsid w:val="00996B7C"/>
    <w:rsid w:val="00996FD0"/>
    <w:rsid w:val="0099710F"/>
    <w:rsid w:val="00997661"/>
    <w:rsid w:val="0099769B"/>
    <w:rsid w:val="0099773C"/>
    <w:rsid w:val="009979B5"/>
    <w:rsid w:val="00997A29"/>
    <w:rsid w:val="00997DF8"/>
    <w:rsid w:val="00997E82"/>
    <w:rsid w:val="009A093D"/>
    <w:rsid w:val="009A09EB"/>
    <w:rsid w:val="009A0ABC"/>
    <w:rsid w:val="009A0B5C"/>
    <w:rsid w:val="009A0D68"/>
    <w:rsid w:val="009A0E57"/>
    <w:rsid w:val="009A119E"/>
    <w:rsid w:val="009A1233"/>
    <w:rsid w:val="009A2571"/>
    <w:rsid w:val="009A2AF5"/>
    <w:rsid w:val="009A2C28"/>
    <w:rsid w:val="009A2D70"/>
    <w:rsid w:val="009A314D"/>
    <w:rsid w:val="009A3197"/>
    <w:rsid w:val="009A32CB"/>
    <w:rsid w:val="009A3331"/>
    <w:rsid w:val="009A33F4"/>
    <w:rsid w:val="009A36C7"/>
    <w:rsid w:val="009A3793"/>
    <w:rsid w:val="009A3AA6"/>
    <w:rsid w:val="009A3B6F"/>
    <w:rsid w:val="009A3EB4"/>
    <w:rsid w:val="009A47F9"/>
    <w:rsid w:val="009A4A01"/>
    <w:rsid w:val="009A514F"/>
    <w:rsid w:val="009A515E"/>
    <w:rsid w:val="009A53B5"/>
    <w:rsid w:val="009A5458"/>
    <w:rsid w:val="009A5538"/>
    <w:rsid w:val="009A5578"/>
    <w:rsid w:val="009A5643"/>
    <w:rsid w:val="009A56BE"/>
    <w:rsid w:val="009A5744"/>
    <w:rsid w:val="009A5B77"/>
    <w:rsid w:val="009A5D6D"/>
    <w:rsid w:val="009A5E24"/>
    <w:rsid w:val="009A61C8"/>
    <w:rsid w:val="009A6219"/>
    <w:rsid w:val="009A63FB"/>
    <w:rsid w:val="009A67D7"/>
    <w:rsid w:val="009A680A"/>
    <w:rsid w:val="009A6B6E"/>
    <w:rsid w:val="009A6F50"/>
    <w:rsid w:val="009A718B"/>
    <w:rsid w:val="009A71F8"/>
    <w:rsid w:val="009A720D"/>
    <w:rsid w:val="009A75D2"/>
    <w:rsid w:val="009A76DC"/>
    <w:rsid w:val="009A7D60"/>
    <w:rsid w:val="009A7DC9"/>
    <w:rsid w:val="009B0056"/>
    <w:rsid w:val="009B052D"/>
    <w:rsid w:val="009B07CB"/>
    <w:rsid w:val="009B098B"/>
    <w:rsid w:val="009B0A74"/>
    <w:rsid w:val="009B0E03"/>
    <w:rsid w:val="009B0EAB"/>
    <w:rsid w:val="009B1044"/>
    <w:rsid w:val="009B10C9"/>
    <w:rsid w:val="009B16A4"/>
    <w:rsid w:val="009B16B4"/>
    <w:rsid w:val="009B185E"/>
    <w:rsid w:val="009B1900"/>
    <w:rsid w:val="009B1AB0"/>
    <w:rsid w:val="009B1D17"/>
    <w:rsid w:val="009B1D26"/>
    <w:rsid w:val="009B23D8"/>
    <w:rsid w:val="009B275E"/>
    <w:rsid w:val="009B2D14"/>
    <w:rsid w:val="009B3470"/>
    <w:rsid w:val="009B3921"/>
    <w:rsid w:val="009B3B6C"/>
    <w:rsid w:val="009B3E98"/>
    <w:rsid w:val="009B3EB9"/>
    <w:rsid w:val="009B3FFE"/>
    <w:rsid w:val="009B4026"/>
    <w:rsid w:val="009B4639"/>
    <w:rsid w:val="009B46EF"/>
    <w:rsid w:val="009B4792"/>
    <w:rsid w:val="009B47D2"/>
    <w:rsid w:val="009B494D"/>
    <w:rsid w:val="009B4B36"/>
    <w:rsid w:val="009B4D43"/>
    <w:rsid w:val="009B4EDF"/>
    <w:rsid w:val="009B4FA9"/>
    <w:rsid w:val="009B50AE"/>
    <w:rsid w:val="009B516C"/>
    <w:rsid w:val="009B5347"/>
    <w:rsid w:val="009B57C4"/>
    <w:rsid w:val="009B5E20"/>
    <w:rsid w:val="009B5F74"/>
    <w:rsid w:val="009B60A4"/>
    <w:rsid w:val="009B6177"/>
    <w:rsid w:val="009B620A"/>
    <w:rsid w:val="009B6345"/>
    <w:rsid w:val="009B637B"/>
    <w:rsid w:val="009B6498"/>
    <w:rsid w:val="009B660B"/>
    <w:rsid w:val="009B6C64"/>
    <w:rsid w:val="009B70B4"/>
    <w:rsid w:val="009B7138"/>
    <w:rsid w:val="009B72E9"/>
    <w:rsid w:val="009B778D"/>
    <w:rsid w:val="009B7A4E"/>
    <w:rsid w:val="009B7AE8"/>
    <w:rsid w:val="009B7DCE"/>
    <w:rsid w:val="009B7E10"/>
    <w:rsid w:val="009C00FE"/>
    <w:rsid w:val="009C0194"/>
    <w:rsid w:val="009C09FA"/>
    <w:rsid w:val="009C0B3B"/>
    <w:rsid w:val="009C0C2E"/>
    <w:rsid w:val="009C1069"/>
    <w:rsid w:val="009C115A"/>
    <w:rsid w:val="009C1324"/>
    <w:rsid w:val="009C18A0"/>
    <w:rsid w:val="009C198D"/>
    <w:rsid w:val="009C1B8A"/>
    <w:rsid w:val="009C1E50"/>
    <w:rsid w:val="009C2017"/>
    <w:rsid w:val="009C21A3"/>
    <w:rsid w:val="009C22D8"/>
    <w:rsid w:val="009C2480"/>
    <w:rsid w:val="009C26DF"/>
    <w:rsid w:val="009C2A3E"/>
    <w:rsid w:val="009C2F0E"/>
    <w:rsid w:val="009C31A0"/>
    <w:rsid w:val="009C347C"/>
    <w:rsid w:val="009C3991"/>
    <w:rsid w:val="009C3B73"/>
    <w:rsid w:val="009C3F95"/>
    <w:rsid w:val="009C43C3"/>
    <w:rsid w:val="009C4900"/>
    <w:rsid w:val="009C4A7D"/>
    <w:rsid w:val="009C4C40"/>
    <w:rsid w:val="009C4F4E"/>
    <w:rsid w:val="009C4FDA"/>
    <w:rsid w:val="009C549C"/>
    <w:rsid w:val="009C5623"/>
    <w:rsid w:val="009C5831"/>
    <w:rsid w:val="009C63BD"/>
    <w:rsid w:val="009C6460"/>
    <w:rsid w:val="009C690F"/>
    <w:rsid w:val="009C6CAA"/>
    <w:rsid w:val="009C7182"/>
    <w:rsid w:val="009C73B6"/>
    <w:rsid w:val="009C78BD"/>
    <w:rsid w:val="009C7B9C"/>
    <w:rsid w:val="009C7D0E"/>
    <w:rsid w:val="009C7D51"/>
    <w:rsid w:val="009D0257"/>
    <w:rsid w:val="009D07D9"/>
    <w:rsid w:val="009D0EED"/>
    <w:rsid w:val="009D1260"/>
    <w:rsid w:val="009D1493"/>
    <w:rsid w:val="009D151E"/>
    <w:rsid w:val="009D1DE0"/>
    <w:rsid w:val="009D1E09"/>
    <w:rsid w:val="009D1ED7"/>
    <w:rsid w:val="009D234E"/>
    <w:rsid w:val="009D248D"/>
    <w:rsid w:val="009D261B"/>
    <w:rsid w:val="009D2F5B"/>
    <w:rsid w:val="009D30C9"/>
    <w:rsid w:val="009D333F"/>
    <w:rsid w:val="009D3743"/>
    <w:rsid w:val="009D375D"/>
    <w:rsid w:val="009D3BC1"/>
    <w:rsid w:val="009D423F"/>
    <w:rsid w:val="009D4243"/>
    <w:rsid w:val="009D4C0F"/>
    <w:rsid w:val="009D4CC0"/>
    <w:rsid w:val="009D4EB2"/>
    <w:rsid w:val="009D4FFA"/>
    <w:rsid w:val="009D5271"/>
    <w:rsid w:val="009D5A2E"/>
    <w:rsid w:val="009D5A4D"/>
    <w:rsid w:val="009D5B57"/>
    <w:rsid w:val="009D5BD9"/>
    <w:rsid w:val="009D5C88"/>
    <w:rsid w:val="009D5F97"/>
    <w:rsid w:val="009D5FC1"/>
    <w:rsid w:val="009D6074"/>
    <w:rsid w:val="009D6278"/>
    <w:rsid w:val="009D6325"/>
    <w:rsid w:val="009D67BB"/>
    <w:rsid w:val="009D67F5"/>
    <w:rsid w:val="009D683E"/>
    <w:rsid w:val="009D6C01"/>
    <w:rsid w:val="009D6D34"/>
    <w:rsid w:val="009D738E"/>
    <w:rsid w:val="009D75EE"/>
    <w:rsid w:val="009D78E0"/>
    <w:rsid w:val="009D79B7"/>
    <w:rsid w:val="009D7BF7"/>
    <w:rsid w:val="009D7D43"/>
    <w:rsid w:val="009E00D3"/>
    <w:rsid w:val="009E00DF"/>
    <w:rsid w:val="009E0348"/>
    <w:rsid w:val="009E078E"/>
    <w:rsid w:val="009E08CA"/>
    <w:rsid w:val="009E0B50"/>
    <w:rsid w:val="009E0BBF"/>
    <w:rsid w:val="009E0C93"/>
    <w:rsid w:val="009E0D6B"/>
    <w:rsid w:val="009E0DF6"/>
    <w:rsid w:val="009E0F72"/>
    <w:rsid w:val="009E111E"/>
    <w:rsid w:val="009E1548"/>
    <w:rsid w:val="009E19C6"/>
    <w:rsid w:val="009E214D"/>
    <w:rsid w:val="009E2307"/>
    <w:rsid w:val="009E24DA"/>
    <w:rsid w:val="009E2545"/>
    <w:rsid w:val="009E2A41"/>
    <w:rsid w:val="009E2E99"/>
    <w:rsid w:val="009E2F28"/>
    <w:rsid w:val="009E309D"/>
    <w:rsid w:val="009E326A"/>
    <w:rsid w:val="009E32D0"/>
    <w:rsid w:val="009E3354"/>
    <w:rsid w:val="009E386A"/>
    <w:rsid w:val="009E38C4"/>
    <w:rsid w:val="009E3B03"/>
    <w:rsid w:val="009E3DD0"/>
    <w:rsid w:val="009E3E93"/>
    <w:rsid w:val="009E3FC4"/>
    <w:rsid w:val="009E4238"/>
    <w:rsid w:val="009E424F"/>
    <w:rsid w:val="009E52E6"/>
    <w:rsid w:val="009E53A2"/>
    <w:rsid w:val="009E5460"/>
    <w:rsid w:val="009E5B64"/>
    <w:rsid w:val="009E5FD2"/>
    <w:rsid w:val="009E6029"/>
    <w:rsid w:val="009E6037"/>
    <w:rsid w:val="009E6112"/>
    <w:rsid w:val="009E6322"/>
    <w:rsid w:val="009E63FB"/>
    <w:rsid w:val="009E6421"/>
    <w:rsid w:val="009E65D8"/>
    <w:rsid w:val="009E6C2B"/>
    <w:rsid w:val="009E6EC7"/>
    <w:rsid w:val="009E7016"/>
    <w:rsid w:val="009E76EF"/>
    <w:rsid w:val="009E7B14"/>
    <w:rsid w:val="009F0BCF"/>
    <w:rsid w:val="009F0DBD"/>
    <w:rsid w:val="009F14A2"/>
    <w:rsid w:val="009F14FA"/>
    <w:rsid w:val="009F15C4"/>
    <w:rsid w:val="009F16E4"/>
    <w:rsid w:val="009F1756"/>
    <w:rsid w:val="009F1987"/>
    <w:rsid w:val="009F1C76"/>
    <w:rsid w:val="009F2444"/>
    <w:rsid w:val="009F299B"/>
    <w:rsid w:val="009F2ABA"/>
    <w:rsid w:val="009F2D17"/>
    <w:rsid w:val="009F2EB3"/>
    <w:rsid w:val="009F35C6"/>
    <w:rsid w:val="009F394E"/>
    <w:rsid w:val="009F3CE9"/>
    <w:rsid w:val="009F3D1B"/>
    <w:rsid w:val="009F3DBB"/>
    <w:rsid w:val="009F3DCD"/>
    <w:rsid w:val="009F4056"/>
    <w:rsid w:val="009F4221"/>
    <w:rsid w:val="009F436C"/>
    <w:rsid w:val="009F4405"/>
    <w:rsid w:val="009F4482"/>
    <w:rsid w:val="009F449A"/>
    <w:rsid w:val="009F4588"/>
    <w:rsid w:val="009F4874"/>
    <w:rsid w:val="009F4C5E"/>
    <w:rsid w:val="009F524E"/>
    <w:rsid w:val="009F5277"/>
    <w:rsid w:val="009F52AE"/>
    <w:rsid w:val="009F545C"/>
    <w:rsid w:val="009F5570"/>
    <w:rsid w:val="009F59E8"/>
    <w:rsid w:val="009F5BC7"/>
    <w:rsid w:val="009F5BE0"/>
    <w:rsid w:val="009F5D2D"/>
    <w:rsid w:val="009F61C4"/>
    <w:rsid w:val="009F6235"/>
    <w:rsid w:val="009F63A5"/>
    <w:rsid w:val="009F63C0"/>
    <w:rsid w:val="009F6FC9"/>
    <w:rsid w:val="009F7043"/>
    <w:rsid w:val="009F7153"/>
    <w:rsid w:val="009F735B"/>
    <w:rsid w:val="009F7584"/>
    <w:rsid w:val="009F758D"/>
    <w:rsid w:val="009F77C5"/>
    <w:rsid w:val="009F7BE4"/>
    <w:rsid w:val="009F7FD6"/>
    <w:rsid w:val="00A00296"/>
    <w:rsid w:val="00A003EE"/>
    <w:rsid w:val="00A00865"/>
    <w:rsid w:val="00A008C9"/>
    <w:rsid w:val="00A01702"/>
    <w:rsid w:val="00A01839"/>
    <w:rsid w:val="00A021D1"/>
    <w:rsid w:val="00A02282"/>
    <w:rsid w:val="00A024C1"/>
    <w:rsid w:val="00A02BFE"/>
    <w:rsid w:val="00A02F4E"/>
    <w:rsid w:val="00A03139"/>
    <w:rsid w:val="00A03165"/>
    <w:rsid w:val="00A031AB"/>
    <w:rsid w:val="00A03273"/>
    <w:rsid w:val="00A03397"/>
    <w:rsid w:val="00A0342A"/>
    <w:rsid w:val="00A03487"/>
    <w:rsid w:val="00A03536"/>
    <w:rsid w:val="00A036C5"/>
    <w:rsid w:val="00A03947"/>
    <w:rsid w:val="00A03B85"/>
    <w:rsid w:val="00A03EAE"/>
    <w:rsid w:val="00A03EE0"/>
    <w:rsid w:val="00A03F14"/>
    <w:rsid w:val="00A0403E"/>
    <w:rsid w:val="00A0415A"/>
    <w:rsid w:val="00A0496F"/>
    <w:rsid w:val="00A04A14"/>
    <w:rsid w:val="00A04B0F"/>
    <w:rsid w:val="00A04B22"/>
    <w:rsid w:val="00A04BDC"/>
    <w:rsid w:val="00A04DEA"/>
    <w:rsid w:val="00A059B4"/>
    <w:rsid w:val="00A05A57"/>
    <w:rsid w:val="00A05BC4"/>
    <w:rsid w:val="00A05C20"/>
    <w:rsid w:val="00A05D3A"/>
    <w:rsid w:val="00A05D8C"/>
    <w:rsid w:val="00A0658A"/>
    <w:rsid w:val="00A069BC"/>
    <w:rsid w:val="00A06A26"/>
    <w:rsid w:val="00A06FF7"/>
    <w:rsid w:val="00A07AD0"/>
    <w:rsid w:val="00A07F8B"/>
    <w:rsid w:val="00A10066"/>
    <w:rsid w:val="00A10494"/>
    <w:rsid w:val="00A10579"/>
    <w:rsid w:val="00A106D1"/>
    <w:rsid w:val="00A107C9"/>
    <w:rsid w:val="00A10B67"/>
    <w:rsid w:val="00A10D4B"/>
    <w:rsid w:val="00A111B3"/>
    <w:rsid w:val="00A11554"/>
    <w:rsid w:val="00A11D6F"/>
    <w:rsid w:val="00A12409"/>
    <w:rsid w:val="00A128A1"/>
    <w:rsid w:val="00A12A4D"/>
    <w:rsid w:val="00A13066"/>
    <w:rsid w:val="00A1332C"/>
    <w:rsid w:val="00A133BD"/>
    <w:rsid w:val="00A135BA"/>
    <w:rsid w:val="00A14030"/>
    <w:rsid w:val="00A143DA"/>
    <w:rsid w:val="00A1442E"/>
    <w:rsid w:val="00A1461C"/>
    <w:rsid w:val="00A14807"/>
    <w:rsid w:val="00A14851"/>
    <w:rsid w:val="00A1488A"/>
    <w:rsid w:val="00A1529C"/>
    <w:rsid w:val="00A156B0"/>
    <w:rsid w:val="00A156EF"/>
    <w:rsid w:val="00A157B8"/>
    <w:rsid w:val="00A15805"/>
    <w:rsid w:val="00A1584D"/>
    <w:rsid w:val="00A159FB"/>
    <w:rsid w:val="00A15B30"/>
    <w:rsid w:val="00A15BAB"/>
    <w:rsid w:val="00A15D6A"/>
    <w:rsid w:val="00A15FFA"/>
    <w:rsid w:val="00A160FE"/>
    <w:rsid w:val="00A169FC"/>
    <w:rsid w:val="00A16CF5"/>
    <w:rsid w:val="00A16D73"/>
    <w:rsid w:val="00A16F5B"/>
    <w:rsid w:val="00A171F2"/>
    <w:rsid w:val="00A177EE"/>
    <w:rsid w:val="00A1788F"/>
    <w:rsid w:val="00A17A6C"/>
    <w:rsid w:val="00A2005B"/>
    <w:rsid w:val="00A2010C"/>
    <w:rsid w:val="00A2029C"/>
    <w:rsid w:val="00A202B2"/>
    <w:rsid w:val="00A20447"/>
    <w:rsid w:val="00A208E8"/>
    <w:rsid w:val="00A20B0A"/>
    <w:rsid w:val="00A20F08"/>
    <w:rsid w:val="00A20F2A"/>
    <w:rsid w:val="00A210E0"/>
    <w:rsid w:val="00A21269"/>
    <w:rsid w:val="00A215F6"/>
    <w:rsid w:val="00A21952"/>
    <w:rsid w:val="00A21F3E"/>
    <w:rsid w:val="00A223F0"/>
    <w:rsid w:val="00A22424"/>
    <w:rsid w:val="00A233AE"/>
    <w:rsid w:val="00A23479"/>
    <w:rsid w:val="00A23527"/>
    <w:rsid w:val="00A23A09"/>
    <w:rsid w:val="00A23B2E"/>
    <w:rsid w:val="00A23BEF"/>
    <w:rsid w:val="00A23D95"/>
    <w:rsid w:val="00A2400A"/>
    <w:rsid w:val="00A2428D"/>
    <w:rsid w:val="00A242E6"/>
    <w:rsid w:val="00A2436A"/>
    <w:rsid w:val="00A24742"/>
    <w:rsid w:val="00A24A9A"/>
    <w:rsid w:val="00A24B9F"/>
    <w:rsid w:val="00A24D44"/>
    <w:rsid w:val="00A24E6F"/>
    <w:rsid w:val="00A24F4C"/>
    <w:rsid w:val="00A254AE"/>
    <w:rsid w:val="00A25625"/>
    <w:rsid w:val="00A25877"/>
    <w:rsid w:val="00A25D92"/>
    <w:rsid w:val="00A25E6D"/>
    <w:rsid w:val="00A25E9F"/>
    <w:rsid w:val="00A25FD7"/>
    <w:rsid w:val="00A26847"/>
    <w:rsid w:val="00A26876"/>
    <w:rsid w:val="00A2690E"/>
    <w:rsid w:val="00A26B65"/>
    <w:rsid w:val="00A26BF3"/>
    <w:rsid w:val="00A27151"/>
    <w:rsid w:val="00A27183"/>
    <w:rsid w:val="00A2730E"/>
    <w:rsid w:val="00A27344"/>
    <w:rsid w:val="00A27357"/>
    <w:rsid w:val="00A27658"/>
    <w:rsid w:val="00A279A4"/>
    <w:rsid w:val="00A30017"/>
    <w:rsid w:val="00A3063C"/>
    <w:rsid w:val="00A30827"/>
    <w:rsid w:val="00A308E6"/>
    <w:rsid w:val="00A30EFE"/>
    <w:rsid w:val="00A3155E"/>
    <w:rsid w:val="00A31619"/>
    <w:rsid w:val="00A31682"/>
    <w:rsid w:val="00A31C65"/>
    <w:rsid w:val="00A32310"/>
    <w:rsid w:val="00A32311"/>
    <w:rsid w:val="00A32647"/>
    <w:rsid w:val="00A327F2"/>
    <w:rsid w:val="00A32F95"/>
    <w:rsid w:val="00A334B9"/>
    <w:rsid w:val="00A334F1"/>
    <w:rsid w:val="00A33516"/>
    <w:rsid w:val="00A33541"/>
    <w:rsid w:val="00A335B1"/>
    <w:rsid w:val="00A33EB5"/>
    <w:rsid w:val="00A34068"/>
    <w:rsid w:val="00A346B8"/>
    <w:rsid w:val="00A346EA"/>
    <w:rsid w:val="00A34D25"/>
    <w:rsid w:val="00A35427"/>
    <w:rsid w:val="00A35868"/>
    <w:rsid w:val="00A35D57"/>
    <w:rsid w:val="00A36108"/>
    <w:rsid w:val="00A3615E"/>
    <w:rsid w:val="00A3618B"/>
    <w:rsid w:val="00A362FD"/>
    <w:rsid w:val="00A36938"/>
    <w:rsid w:val="00A36A38"/>
    <w:rsid w:val="00A371B5"/>
    <w:rsid w:val="00A372B8"/>
    <w:rsid w:val="00A37364"/>
    <w:rsid w:val="00A37AC7"/>
    <w:rsid w:val="00A37AFB"/>
    <w:rsid w:val="00A37F75"/>
    <w:rsid w:val="00A4024A"/>
    <w:rsid w:val="00A40473"/>
    <w:rsid w:val="00A4073E"/>
    <w:rsid w:val="00A41078"/>
    <w:rsid w:val="00A41305"/>
    <w:rsid w:val="00A41324"/>
    <w:rsid w:val="00A41395"/>
    <w:rsid w:val="00A413D2"/>
    <w:rsid w:val="00A41558"/>
    <w:rsid w:val="00A417A8"/>
    <w:rsid w:val="00A419E2"/>
    <w:rsid w:val="00A41C99"/>
    <w:rsid w:val="00A41DC4"/>
    <w:rsid w:val="00A41E18"/>
    <w:rsid w:val="00A41E5F"/>
    <w:rsid w:val="00A4214E"/>
    <w:rsid w:val="00A4225D"/>
    <w:rsid w:val="00A424C8"/>
    <w:rsid w:val="00A42507"/>
    <w:rsid w:val="00A42868"/>
    <w:rsid w:val="00A42A84"/>
    <w:rsid w:val="00A42C94"/>
    <w:rsid w:val="00A42D28"/>
    <w:rsid w:val="00A4307B"/>
    <w:rsid w:val="00A431F6"/>
    <w:rsid w:val="00A432FB"/>
    <w:rsid w:val="00A43476"/>
    <w:rsid w:val="00A43E01"/>
    <w:rsid w:val="00A44422"/>
    <w:rsid w:val="00A4478E"/>
    <w:rsid w:val="00A44ACA"/>
    <w:rsid w:val="00A44F2A"/>
    <w:rsid w:val="00A450CA"/>
    <w:rsid w:val="00A451AA"/>
    <w:rsid w:val="00A4530F"/>
    <w:rsid w:val="00A45C51"/>
    <w:rsid w:val="00A46138"/>
    <w:rsid w:val="00A46AE8"/>
    <w:rsid w:val="00A46D3E"/>
    <w:rsid w:val="00A46E96"/>
    <w:rsid w:val="00A471A8"/>
    <w:rsid w:val="00A47678"/>
    <w:rsid w:val="00A4780A"/>
    <w:rsid w:val="00A47C0D"/>
    <w:rsid w:val="00A50820"/>
    <w:rsid w:val="00A50C08"/>
    <w:rsid w:val="00A50C54"/>
    <w:rsid w:val="00A50EC5"/>
    <w:rsid w:val="00A51132"/>
    <w:rsid w:val="00A51165"/>
    <w:rsid w:val="00A5118A"/>
    <w:rsid w:val="00A5142D"/>
    <w:rsid w:val="00A51524"/>
    <w:rsid w:val="00A519B5"/>
    <w:rsid w:val="00A51C0C"/>
    <w:rsid w:val="00A51C64"/>
    <w:rsid w:val="00A521A1"/>
    <w:rsid w:val="00A5284C"/>
    <w:rsid w:val="00A52BEF"/>
    <w:rsid w:val="00A53073"/>
    <w:rsid w:val="00A5314A"/>
    <w:rsid w:val="00A5393E"/>
    <w:rsid w:val="00A53946"/>
    <w:rsid w:val="00A53B9C"/>
    <w:rsid w:val="00A53DF2"/>
    <w:rsid w:val="00A53E48"/>
    <w:rsid w:val="00A543E0"/>
    <w:rsid w:val="00A54559"/>
    <w:rsid w:val="00A54822"/>
    <w:rsid w:val="00A54AFA"/>
    <w:rsid w:val="00A54E0D"/>
    <w:rsid w:val="00A54E26"/>
    <w:rsid w:val="00A54F0B"/>
    <w:rsid w:val="00A5500B"/>
    <w:rsid w:val="00A55250"/>
    <w:rsid w:val="00A55487"/>
    <w:rsid w:val="00A55C9B"/>
    <w:rsid w:val="00A56276"/>
    <w:rsid w:val="00A564FA"/>
    <w:rsid w:val="00A56513"/>
    <w:rsid w:val="00A56B29"/>
    <w:rsid w:val="00A56C68"/>
    <w:rsid w:val="00A56DCE"/>
    <w:rsid w:val="00A56F00"/>
    <w:rsid w:val="00A56F86"/>
    <w:rsid w:val="00A57232"/>
    <w:rsid w:val="00A5737C"/>
    <w:rsid w:val="00A57486"/>
    <w:rsid w:val="00A5767F"/>
    <w:rsid w:val="00A57693"/>
    <w:rsid w:val="00A577AD"/>
    <w:rsid w:val="00A57A45"/>
    <w:rsid w:val="00A57F14"/>
    <w:rsid w:val="00A6009C"/>
    <w:rsid w:val="00A600CD"/>
    <w:rsid w:val="00A60560"/>
    <w:rsid w:val="00A60846"/>
    <w:rsid w:val="00A60BAD"/>
    <w:rsid w:val="00A6112C"/>
    <w:rsid w:val="00A614CB"/>
    <w:rsid w:val="00A61703"/>
    <w:rsid w:val="00A61809"/>
    <w:rsid w:val="00A61975"/>
    <w:rsid w:val="00A61CB5"/>
    <w:rsid w:val="00A62081"/>
    <w:rsid w:val="00A6211B"/>
    <w:rsid w:val="00A62551"/>
    <w:rsid w:val="00A63386"/>
    <w:rsid w:val="00A637F1"/>
    <w:rsid w:val="00A63812"/>
    <w:rsid w:val="00A6390B"/>
    <w:rsid w:val="00A63992"/>
    <w:rsid w:val="00A63B59"/>
    <w:rsid w:val="00A63B76"/>
    <w:rsid w:val="00A63CEB"/>
    <w:rsid w:val="00A64038"/>
    <w:rsid w:val="00A641A9"/>
    <w:rsid w:val="00A643E3"/>
    <w:rsid w:val="00A6445F"/>
    <w:rsid w:val="00A645E4"/>
    <w:rsid w:val="00A6480D"/>
    <w:rsid w:val="00A64A42"/>
    <w:rsid w:val="00A64B72"/>
    <w:rsid w:val="00A651B9"/>
    <w:rsid w:val="00A653A9"/>
    <w:rsid w:val="00A6565B"/>
    <w:rsid w:val="00A65ADB"/>
    <w:rsid w:val="00A65C05"/>
    <w:rsid w:val="00A66329"/>
    <w:rsid w:val="00A66648"/>
    <w:rsid w:val="00A66CCC"/>
    <w:rsid w:val="00A66CE2"/>
    <w:rsid w:val="00A673E2"/>
    <w:rsid w:val="00A67457"/>
    <w:rsid w:val="00A67634"/>
    <w:rsid w:val="00A677A4"/>
    <w:rsid w:val="00A67849"/>
    <w:rsid w:val="00A67D2B"/>
    <w:rsid w:val="00A67EE6"/>
    <w:rsid w:val="00A67F12"/>
    <w:rsid w:val="00A708DA"/>
    <w:rsid w:val="00A70A1B"/>
    <w:rsid w:val="00A70C53"/>
    <w:rsid w:val="00A70FF5"/>
    <w:rsid w:val="00A715AB"/>
    <w:rsid w:val="00A7169C"/>
    <w:rsid w:val="00A71799"/>
    <w:rsid w:val="00A71931"/>
    <w:rsid w:val="00A71C04"/>
    <w:rsid w:val="00A71ECA"/>
    <w:rsid w:val="00A71F36"/>
    <w:rsid w:val="00A725B3"/>
    <w:rsid w:val="00A72B5D"/>
    <w:rsid w:val="00A72BC2"/>
    <w:rsid w:val="00A72F6D"/>
    <w:rsid w:val="00A73208"/>
    <w:rsid w:val="00A732A7"/>
    <w:rsid w:val="00A73337"/>
    <w:rsid w:val="00A73370"/>
    <w:rsid w:val="00A73408"/>
    <w:rsid w:val="00A7383C"/>
    <w:rsid w:val="00A7398B"/>
    <w:rsid w:val="00A73B30"/>
    <w:rsid w:val="00A73B8D"/>
    <w:rsid w:val="00A742EB"/>
    <w:rsid w:val="00A74426"/>
    <w:rsid w:val="00A74703"/>
    <w:rsid w:val="00A74854"/>
    <w:rsid w:val="00A7510A"/>
    <w:rsid w:val="00A751C9"/>
    <w:rsid w:val="00A75357"/>
    <w:rsid w:val="00A755AF"/>
    <w:rsid w:val="00A756AB"/>
    <w:rsid w:val="00A756FC"/>
    <w:rsid w:val="00A75FD5"/>
    <w:rsid w:val="00A761C5"/>
    <w:rsid w:val="00A761D2"/>
    <w:rsid w:val="00A764D2"/>
    <w:rsid w:val="00A76BB5"/>
    <w:rsid w:val="00A76E46"/>
    <w:rsid w:val="00A77747"/>
    <w:rsid w:val="00A778CB"/>
    <w:rsid w:val="00A77A63"/>
    <w:rsid w:val="00A77D9C"/>
    <w:rsid w:val="00A801EC"/>
    <w:rsid w:val="00A80240"/>
    <w:rsid w:val="00A80701"/>
    <w:rsid w:val="00A80B6F"/>
    <w:rsid w:val="00A80C99"/>
    <w:rsid w:val="00A81676"/>
    <w:rsid w:val="00A816CC"/>
    <w:rsid w:val="00A81778"/>
    <w:rsid w:val="00A81905"/>
    <w:rsid w:val="00A821A9"/>
    <w:rsid w:val="00A82480"/>
    <w:rsid w:val="00A8258C"/>
    <w:rsid w:val="00A82D53"/>
    <w:rsid w:val="00A82E51"/>
    <w:rsid w:val="00A82F23"/>
    <w:rsid w:val="00A83503"/>
    <w:rsid w:val="00A83B99"/>
    <w:rsid w:val="00A83BEC"/>
    <w:rsid w:val="00A8406A"/>
    <w:rsid w:val="00A843BC"/>
    <w:rsid w:val="00A8454D"/>
    <w:rsid w:val="00A84C25"/>
    <w:rsid w:val="00A855AE"/>
    <w:rsid w:val="00A85618"/>
    <w:rsid w:val="00A85F0C"/>
    <w:rsid w:val="00A862B8"/>
    <w:rsid w:val="00A86488"/>
    <w:rsid w:val="00A86550"/>
    <w:rsid w:val="00A8656F"/>
    <w:rsid w:val="00A86958"/>
    <w:rsid w:val="00A86AD3"/>
    <w:rsid w:val="00A86B0A"/>
    <w:rsid w:val="00A87187"/>
    <w:rsid w:val="00A874B5"/>
    <w:rsid w:val="00A87CCE"/>
    <w:rsid w:val="00A87DC3"/>
    <w:rsid w:val="00A87E61"/>
    <w:rsid w:val="00A900DA"/>
    <w:rsid w:val="00A90767"/>
    <w:rsid w:val="00A9081C"/>
    <w:rsid w:val="00A90823"/>
    <w:rsid w:val="00A90B39"/>
    <w:rsid w:val="00A91017"/>
    <w:rsid w:val="00A91345"/>
    <w:rsid w:val="00A91446"/>
    <w:rsid w:val="00A91451"/>
    <w:rsid w:val="00A917B9"/>
    <w:rsid w:val="00A9199B"/>
    <w:rsid w:val="00A91B29"/>
    <w:rsid w:val="00A91D45"/>
    <w:rsid w:val="00A921F3"/>
    <w:rsid w:val="00A92524"/>
    <w:rsid w:val="00A926D3"/>
    <w:rsid w:val="00A926D7"/>
    <w:rsid w:val="00A92780"/>
    <w:rsid w:val="00A92B7E"/>
    <w:rsid w:val="00A92E09"/>
    <w:rsid w:val="00A92EA1"/>
    <w:rsid w:val="00A92F1D"/>
    <w:rsid w:val="00A92F6C"/>
    <w:rsid w:val="00A931FE"/>
    <w:rsid w:val="00A9328D"/>
    <w:rsid w:val="00A934F0"/>
    <w:rsid w:val="00A937D2"/>
    <w:rsid w:val="00A93A0B"/>
    <w:rsid w:val="00A93E24"/>
    <w:rsid w:val="00A94183"/>
    <w:rsid w:val="00A943AE"/>
    <w:rsid w:val="00A944B7"/>
    <w:rsid w:val="00A9474F"/>
    <w:rsid w:val="00A94956"/>
    <w:rsid w:val="00A94BBE"/>
    <w:rsid w:val="00A95073"/>
    <w:rsid w:val="00A95256"/>
    <w:rsid w:val="00A9579E"/>
    <w:rsid w:val="00A958CF"/>
    <w:rsid w:val="00A959ED"/>
    <w:rsid w:val="00A95EDD"/>
    <w:rsid w:val="00A9617D"/>
    <w:rsid w:val="00A963AC"/>
    <w:rsid w:val="00A96A2D"/>
    <w:rsid w:val="00A96BA2"/>
    <w:rsid w:val="00A96F48"/>
    <w:rsid w:val="00AA0064"/>
    <w:rsid w:val="00AA006F"/>
    <w:rsid w:val="00AA096C"/>
    <w:rsid w:val="00AA0D0F"/>
    <w:rsid w:val="00AA0DB4"/>
    <w:rsid w:val="00AA0F1A"/>
    <w:rsid w:val="00AA1274"/>
    <w:rsid w:val="00AA16A6"/>
    <w:rsid w:val="00AA1AA8"/>
    <w:rsid w:val="00AA1ED7"/>
    <w:rsid w:val="00AA1F04"/>
    <w:rsid w:val="00AA1F52"/>
    <w:rsid w:val="00AA1FB4"/>
    <w:rsid w:val="00AA20D0"/>
    <w:rsid w:val="00AA216F"/>
    <w:rsid w:val="00AA2187"/>
    <w:rsid w:val="00AA2B1E"/>
    <w:rsid w:val="00AA2C56"/>
    <w:rsid w:val="00AA2D41"/>
    <w:rsid w:val="00AA318F"/>
    <w:rsid w:val="00AA3472"/>
    <w:rsid w:val="00AA3A1B"/>
    <w:rsid w:val="00AA3D38"/>
    <w:rsid w:val="00AA3DCC"/>
    <w:rsid w:val="00AA4169"/>
    <w:rsid w:val="00AA41C0"/>
    <w:rsid w:val="00AA486E"/>
    <w:rsid w:val="00AA4D0E"/>
    <w:rsid w:val="00AA4D24"/>
    <w:rsid w:val="00AA536F"/>
    <w:rsid w:val="00AA5390"/>
    <w:rsid w:val="00AA55F5"/>
    <w:rsid w:val="00AA5629"/>
    <w:rsid w:val="00AA5E48"/>
    <w:rsid w:val="00AA607A"/>
    <w:rsid w:val="00AA6261"/>
    <w:rsid w:val="00AA634B"/>
    <w:rsid w:val="00AA6A3B"/>
    <w:rsid w:val="00AA6DBE"/>
    <w:rsid w:val="00AA6F35"/>
    <w:rsid w:val="00AA6F9D"/>
    <w:rsid w:val="00AA71FB"/>
    <w:rsid w:val="00AA7221"/>
    <w:rsid w:val="00AA7482"/>
    <w:rsid w:val="00AA7920"/>
    <w:rsid w:val="00AB058E"/>
    <w:rsid w:val="00AB0FCC"/>
    <w:rsid w:val="00AB1052"/>
    <w:rsid w:val="00AB1149"/>
    <w:rsid w:val="00AB144F"/>
    <w:rsid w:val="00AB1463"/>
    <w:rsid w:val="00AB149D"/>
    <w:rsid w:val="00AB155F"/>
    <w:rsid w:val="00AB19A7"/>
    <w:rsid w:val="00AB1C8F"/>
    <w:rsid w:val="00AB2206"/>
    <w:rsid w:val="00AB257D"/>
    <w:rsid w:val="00AB2F13"/>
    <w:rsid w:val="00AB32F9"/>
    <w:rsid w:val="00AB3325"/>
    <w:rsid w:val="00AB34FC"/>
    <w:rsid w:val="00AB366A"/>
    <w:rsid w:val="00AB3680"/>
    <w:rsid w:val="00AB3752"/>
    <w:rsid w:val="00AB3A4D"/>
    <w:rsid w:val="00AB4169"/>
    <w:rsid w:val="00AB4518"/>
    <w:rsid w:val="00AB46A6"/>
    <w:rsid w:val="00AB4882"/>
    <w:rsid w:val="00AB5231"/>
    <w:rsid w:val="00AB5540"/>
    <w:rsid w:val="00AB5944"/>
    <w:rsid w:val="00AB5B4E"/>
    <w:rsid w:val="00AB5E32"/>
    <w:rsid w:val="00AB5F35"/>
    <w:rsid w:val="00AB62CA"/>
    <w:rsid w:val="00AB67BE"/>
    <w:rsid w:val="00AB6912"/>
    <w:rsid w:val="00AB6B7B"/>
    <w:rsid w:val="00AB7229"/>
    <w:rsid w:val="00AB77B2"/>
    <w:rsid w:val="00AB788B"/>
    <w:rsid w:val="00AB7896"/>
    <w:rsid w:val="00AB7C93"/>
    <w:rsid w:val="00AB7CEF"/>
    <w:rsid w:val="00AC05C8"/>
    <w:rsid w:val="00AC0764"/>
    <w:rsid w:val="00AC084C"/>
    <w:rsid w:val="00AC0992"/>
    <w:rsid w:val="00AC0E2A"/>
    <w:rsid w:val="00AC1139"/>
    <w:rsid w:val="00AC12AE"/>
    <w:rsid w:val="00AC1682"/>
    <w:rsid w:val="00AC17E4"/>
    <w:rsid w:val="00AC185E"/>
    <w:rsid w:val="00AC1D83"/>
    <w:rsid w:val="00AC1DD8"/>
    <w:rsid w:val="00AC1E8E"/>
    <w:rsid w:val="00AC1F9D"/>
    <w:rsid w:val="00AC20CF"/>
    <w:rsid w:val="00AC2390"/>
    <w:rsid w:val="00AC25F6"/>
    <w:rsid w:val="00AC2681"/>
    <w:rsid w:val="00AC2701"/>
    <w:rsid w:val="00AC2950"/>
    <w:rsid w:val="00AC2C4D"/>
    <w:rsid w:val="00AC2D4E"/>
    <w:rsid w:val="00AC2EE6"/>
    <w:rsid w:val="00AC2FF6"/>
    <w:rsid w:val="00AC31C6"/>
    <w:rsid w:val="00AC355A"/>
    <w:rsid w:val="00AC35A2"/>
    <w:rsid w:val="00AC35EB"/>
    <w:rsid w:val="00AC3C61"/>
    <w:rsid w:val="00AC3E81"/>
    <w:rsid w:val="00AC400F"/>
    <w:rsid w:val="00AC468B"/>
    <w:rsid w:val="00AC476B"/>
    <w:rsid w:val="00AC4A84"/>
    <w:rsid w:val="00AC4DC2"/>
    <w:rsid w:val="00AC51D1"/>
    <w:rsid w:val="00AC536F"/>
    <w:rsid w:val="00AC5698"/>
    <w:rsid w:val="00AC56AC"/>
    <w:rsid w:val="00AC56BC"/>
    <w:rsid w:val="00AC5770"/>
    <w:rsid w:val="00AC580E"/>
    <w:rsid w:val="00AC59C6"/>
    <w:rsid w:val="00AC5C3D"/>
    <w:rsid w:val="00AC5D7F"/>
    <w:rsid w:val="00AC6571"/>
    <w:rsid w:val="00AC6A7F"/>
    <w:rsid w:val="00AC6D63"/>
    <w:rsid w:val="00AC742D"/>
    <w:rsid w:val="00AC768B"/>
    <w:rsid w:val="00AC77A5"/>
    <w:rsid w:val="00AC7DFA"/>
    <w:rsid w:val="00AD00E7"/>
    <w:rsid w:val="00AD017C"/>
    <w:rsid w:val="00AD03CD"/>
    <w:rsid w:val="00AD04B7"/>
    <w:rsid w:val="00AD04F5"/>
    <w:rsid w:val="00AD06A8"/>
    <w:rsid w:val="00AD06BD"/>
    <w:rsid w:val="00AD0AAC"/>
    <w:rsid w:val="00AD0CDE"/>
    <w:rsid w:val="00AD0EBE"/>
    <w:rsid w:val="00AD1362"/>
    <w:rsid w:val="00AD1AB8"/>
    <w:rsid w:val="00AD262C"/>
    <w:rsid w:val="00AD2711"/>
    <w:rsid w:val="00AD29DB"/>
    <w:rsid w:val="00AD2AC3"/>
    <w:rsid w:val="00AD2C37"/>
    <w:rsid w:val="00AD2DCE"/>
    <w:rsid w:val="00AD2DE7"/>
    <w:rsid w:val="00AD378D"/>
    <w:rsid w:val="00AD3837"/>
    <w:rsid w:val="00AD3864"/>
    <w:rsid w:val="00AD3988"/>
    <w:rsid w:val="00AD398B"/>
    <w:rsid w:val="00AD3A28"/>
    <w:rsid w:val="00AD3D7B"/>
    <w:rsid w:val="00AD3E01"/>
    <w:rsid w:val="00AD3E56"/>
    <w:rsid w:val="00AD459E"/>
    <w:rsid w:val="00AD4798"/>
    <w:rsid w:val="00AD4870"/>
    <w:rsid w:val="00AD4A49"/>
    <w:rsid w:val="00AD4ACD"/>
    <w:rsid w:val="00AD4B64"/>
    <w:rsid w:val="00AD4D93"/>
    <w:rsid w:val="00AD4F7F"/>
    <w:rsid w:val="00AD5011"/>
    <w:rsid w:val="00AD5030"/>
    <w:rsid w:val="00AD5046"/>
    <w:rsid w:val="00AD55A1"/>
    <w:rsid w:val="00AD5893"/>
    <w:rsid w:val="00AD5999"/>
    <w:rsid w:val="00AD599B"/>
    <w:rsid w:val="00AD5A96"/>
    <w:rsid w:val="00AD5D9C"/>
    <w:rsid w:val="00AD61BC"/>
    <w:rsid w:val="00AD64A7"/>
    <w:rsid w:val="00AD64BF"/>
    <w:rsid w:val="00AD695A"/>
    <w:rsid w:val="00AD6C48"/>
    <w:rsid w:val="00AD7682"/>
    <w:rsid w:val="00AD770F"/>
    <w:rsid w:val="00AD7BE1"/>
    <w:rsid w:val="00AD7C53"/>
    <w:rsid w:val="00AD7D44"/>
    <w:rsid w:val="00AE0D64"/>
    <w:rsid w:val="00AE0EF8"/>
    <w:rsid w:val="00AE11F0"/>
    <w:rsid w:val="00AE16A3"/>
    <w:rsid w:val="00AE183B"/>
    <w:rsid w:val="00AE1BDE"/>
    <w:rsid w:val="00AE1C28"/>
    <w:rsid w:val="00AE1D9D"/>
    <w:rsid w:val="00AE1E63"/>
    <w:rsid w:val="00AE23C4"/>
    <w:rsid w:val="00AE246D"/>
    <w:rsid w:val="00AE24BB"/>
    <w:rsid w:val="00AE24E5"/>
    <w:rsid w:val="00AE263E"/>
    <w:rsid w:val="00AE264F"/>
    <w:rsid w:val="00AE27FF"/>
    <w:rsid w:val="00AE2867"/>
    <w:rsid w:val="00AE2D3E"/>
    <w:rsid w:val="00AE2F7B"/>
    <w:rsid w:val="00AE315F"/>
    <w:rsid w:val="00AE342D"/>
    <w:rsid w:val="00AE36E1"/>
    <w:rsid w:val="00AE3C4A"/>
    <w:rsid w:val="00AE3E5B"/>
    <w:rsid w:val="00AE3EA0"/>
    <w:rsid w:val="00AE4110"/>
    <w:rsid w:val="00AE4242"/>
    <w:rsid w:val="00AE453D"/>
    <w:rsid w:val="00AE4609"/>
    <w:rsid w:val="00AE4706"/>
    <w:rsid w:val="00AE5014"/>
    <w:rsid w:val="00AE5124"/>
    <w:rsid w:val="00AE52F1"/>
    <w:rsid w:val="00AE550D"/>
    <w:rsid w:val="00AE5AC5"/>
    <w:rsid w:val="00AE5B86"/>
    <w:rsid w:val="00AE5CF0"/>
    <w:rsid w:val="00AE5D27"/>
    <w:rsid w:val="00AE5F51"/>
    <w:rsid w:val="00AE6693"/>
    <w:rsid w:val="00AE6721"/>
    <w:rsid w:val="00AE674B"/>
    <w:rsid w:val="00AE67D0"/>
    <w:rsid w:val="00AE6F1C"/>
    <w:rsid w:val="00AE6FDE"/>
    <w:rsid w:val="00AE73B4"/>
    <w:rsid w:val="00AE74A4"/>
    <w:rsid w:val="00AE7732"/>
    <w:rsid w:val="00AE77AF"/>
    <w:rsid w:val="00AE7CA5"/>
    <w:rsid w:val="00AE7D6A"/>
    <w:rsid w:val="00AE7DCB"/>
    <w:rsid w:val="00AF0081"/>
    <w:rsid w:val="00AF02DB"/>
    <w:rsid w:val="00AF047E"/>
    <w:rsid w:val="00AF051D"/>
    <w:rsid w:val="00AF0741"/>
    <w:rsid w:val="00AF0763"/>
    <w:rsid w:val="00AF0DC9"/>
    <w:rsid w:val="00AF1041"/>
    <w:rsid w:val="00AF10FD"/>
    <w:rsid w:val="00AF1492"/>
    <w:rsid w:val="00AF1842"/>
    <w:rsid w:val="00AF1BDB"/>
    <w:rsid w:val="00AF1EEB"/>
    <w:rsid w:val="00AF2019"/>
    <w:rsid w:val="00AF22F3"/>
    <w:rsid w:val="00AF2461"/>
    <w:rsid w:val="00AF2C54"/>
    <w:rsid w:val="00AF2C70"/>
    <w:rsid w:val="00AF2D92"/>
    <w:rsid w:val="00AF2DAD"/>
    <w:rsid w:val="00AF40E0"/>
    <w:rsid w:val="00AF4113"/>
    <w:rsid w:val="00AF4393"/>
    <w:rsid w:val="00AF43D7"/>
    <w:rsid w:val="00AF4BA7"/>
    <w:rsid w:val="00AF5010"/>
    <w:rsid w:val="00AF517D"/>
    <w:rsid w:val="00AF5345"/>
    <w:rsid w:val="00AF562F"/>
    <w:rsid w:val="00AF5679"/>
    <w:rsid w:val="00AF5F6C"/>
    <w:rsid w:val="00AF6118"/>
    <w:rsid w:val="00AF6527"/>
    <w:rsid w:val="00AF66C3"/>
    <w:rsid w:val="00AF68A3"/>
    <w:rsid w:val="00AF6BE7"/>
    <w:rsid w:val="00AF7002"/>
    <w:rsid w:val="00AF71F0"/>
    <w:rsid w:val="00AF74BD"/>
    <w:rsid w:val="00AF75FD"/>
    <w:rsid w:val="00AF7887"/>
    <w:rsid w:val="00AF7954"/>
    <w:rsid w:val="00AF79A7"/>
    <w:rsid w:val="00AF7D7F"/>
    <w:rsid w:val="00B002AE"/>
    <w:rsid w:val="00B00357"/>
    <w:rsid w:val="00B00462"/>
    <w:rsid w:val="00B0066E"/>
    <w:rsid w:val="00B00AB1"/>
    <w:rsid w:val="00B00EA3"/>
    <w:rsid w:val="00B010BD"/>
    <w:rsid w:val="00B0123F"/>
    <w:rsid w:val="00B01606"/>
    <w:rsid w:val="00B01799"/>
    <w:rsid w:val="00B025F7"/>
    <w:rsid w:val="00B02E8E"/>
    <w:rsid w:val="00B02F7F"/>
    <w:rsid w:val="00B034C9"/>
    <w:rsid w:val="00B03BFA"/>
    <w:rsid w:val="00B03FC0"/>
    <w:rsid w:val="00B0426C"/>
    <w:rsid w:val="00B042C7"/>
    <w:rsid w:val="00B0436A"/>
    <w:rsid w:val="00B0446E"/>
    <w:rsid w:val="00B04597"/>
    <w:rsid w:val="00B04FE8"/>
    <w:rsid w:val="00B0546A"/>
    <w:rsid w:val="00B05612"/>
    <w:rsid w:val="00B05792"/>
    <w:rsid w:val="00B058A9"/>
    <w:rsid w:val="00B05D55"/>
    <w:rsid w:val="00B064C1"/>
    <w:rsid w:val="00B06F2A"/>
    <w:rsid w:val="00B0732D"/>
    <w:rsid w:val="00B07331"/>
    <w:rsid w:val="00B075C7"/>
    <w:rsid w:val="00B07E67"/>
    <w:rsid w:val="00B100A4"/>
    <w:rsid w:val="00B100A6"/>
    <w:rsid w:val="00B1074B"/>
    <w:rsid w:val="00B10751"/>
    <w:rsid w:val="00B10867"/>
    <w:rsid w:val="00B1093C"/>
    <w:rsid w:val="00B10985"/>
    <w:rsid w:val="00B10A92"/>
    <w:rsid w:val="00B10BD4"/>
    <w:rsid w:val="00B10E2E"/>
    <w:rsid w:val="00B10EF5"/>
    <w:rsid w:val="00B1131B"/>
    <w:rsid w:val="00B1143F"/>
    <w:rsid w:val="00B1196F"/>
    <w:rsid w:val="00B11CBE"/>
    <w:rsid w:val="00B1204C"/>
    <w:rsid w:val="00B128D4"/>
    <w:rsid w:val="00B12A04"/>
    <w:rsid w:val="00B12BFB"/>
    <w:rsid w:val="00B13120"/>
    <w:rsid w:val="00B1320E"/>
    <w:rsid w:val="00B13EB3"/>
    <w:rsid w:val="00B14039"/>
    <w:rsid w:val="00B140B5"/>
    <w:rsid w:val="00B143D9"/>
    <w:rsid w:val="00B14592"/>
    <w:rsid w:val="00B14D5B"/>
    <w:rsid w:val="00B14EB4"/>
    <w:rsid w:val="00B15AA7"/>
    <w:rsid w:val="00B15CE4"/>
    <w:rsid w:val="00B15E55"/>
    <w:rsid w:val="00B16071"/>
    <w:rsid w:val="00B16386"/>
    <w:rsid w:val="00B167B5"/>
    <w:rsid w:val="00B1686B"/>
    <w:rsid w:val="00B16AC1"/>
    <w:rsid w:val="00B16CC3"/>
    <w:rsid w:val="00B1746B"/>
    <w:rsid w:val="00B176F5"/>
    <w:rsid w:val="00B17ACE"/>
    <w:rsid w:val="00B17F58"/>
    <w:rsid w:val="00B17FB5"/>
    <w:rsid w:val="00B2015F"/>
    <w:rsid w:val="00B20568"/>
    <w:rsid w:val="00B205DF"/>
    <w:rsid w:val="00B20CC3"/>
    <w:rsid w:val="00B20D15"/>
    <w:rsid w:val="00B20F58"/>
    <w:rsid w:val="00B211AC"/>
    <w:rsid w:val="00B21788"/>
    <w:rsid w:val="00B218BF"/>
    <w:rsid w:val="00B2198A"/>
    <w:rsid w:val="00B21B47"/>
    <w:rsid w:val="00B21D98"/>
    <w:rsid w:val="00B21DFC"/>
    <w:rsid w:val="00B21E8C"/>
    <w:rsid w:val="00B2233A"/>
    <w:rsid w:val="00B22548"/>
    <w:rsid w:val="00B22E3F"/>
    <w:rsid w:val="00B22F7D"/>
    <w:rsid w:val="00B233F2"/>
    <w:rsid w:val="00B23BAB"/>
    <w:rsid w:val="00B23EE7"/>
    <w:rsid w:val="00B23EFF"/>
    <w:rsid w:val="00B24455"/>
    <w:rsid w:val="00B24795"/>
    <w:rsid w:val="00B24A61"/>
    <w:rsid w:val="00B25385"/>
    <w:rsid w:val="00B25894"/>
    <w:rsid w:val="00B25AB9"/>
    <w:rsid w:val="00B25C9E"/>
    <w:rsid w:val="00B26269"/>
    <w:rsid w:val="00B26644"/>
    <w:rsid w:val="00B26B24"/>
    <w:rsid w:val="00B26C67"/>
    <w:rsid w:val="00B26EA0"/>
    <w:rsid w:val="00B2795A"/>
    <w:rsid w:val="00B27C7A"/>
    <w:rsid w:val="00B27CE5"/>
    <w:rsid w:val="00B30377"/>
    <w:rsid w:val="00B30573"/>
    <w:rsid w:val="00B305B6"/>
    <w:rsid w:val="00B3078C"/>
    <w:rsid w:val="00B30942"/>
    <w:rsid w:val="00B311DE"/>
    <w:rsid w:val="00B31226"/>
    <w:rsid w:val="00B31348"/>
    <w:rsid w:val="00B31352"/>
    <w:rsid w:val="00B313A9"/>
    <w:rsid w:val="00B31506"/>
    <w:rsid w:val="00B3154B"/>
    <w:rsid w:val="00B318E6"/>
    <w:rsid w:val="00B319CD"/>
    <w:rsid w:val="00B31A35"/>
    <w:rsid w:val="00B32593"/>
    <w:rsid w:val="00B3263F"/>
    <w:rsid w:val="00B327E2"/>
    <w:rsid w:val="00B32806"/>
    <w:rsid w:val="00B32AF9"/>
    <w:rsid w:val="00B33009"/>
    <w:rsid w:val="00B3306A"/>
    <w:rsid w:val="00B33226"/>
    <w:rsid w:val="00B3325C"/>
    <w:rsid w:val="00B333F3"/>
    <w:rsid w:val="00B336A1"/>
    <w:rsid w:val="00B3396B"/>
    <w:rsid w:val="00B33B87"/>
    <w:rsid w:val="00B33CF8"/>
    <w:rsid w:val="00B33DA9"/>
    <w:rsid w:val="00B33E09"/>
    <w:rsid w:val="00B3427A"/>
    <w:rsid w:val="00B342BC"/>
    <w:rsid w:val="00B342E1"/>
    <w:rsid w:val="00B344C8"/>
    <w:rsid w:val="00B3468E"/>
    <w:rsid w:val="00B34C45"/>
    <w:rsid w:val="00B34F2A"/>
    <w:rsid w:val="00B35321"/>
    <w:rsid w:val="00B35524"/>
    <w:rsid w:val="00B35D17"/>
    <w:rsid w:val="00B362A7"/>
    <w:rsid w:val="00B365DA"/>
    <w:rsid w:val="00B36A48"/>
    <w:rsid w:val="00B36D3C"/>
    <w:rsid w:val="00B36D87"/>
    <w:rsid w:val="00B36E05"/>
    <w:rsid w:val="00B36F61"/>
    <w:rsid w:val="00B36FC5"/>
    <w:rsid w:val="00B36FDB"/>
    <w:rsid w:val="00B37180"/>
    <w:rsid w:val="00B372B5"/>
    <w:rsid w:val="00B37779"/>
    <w:rsid w:val="00B37839"/>
    <w:rsid w:val="00B37D1F"/>
    <w:rsid w:val="00B40905"/>
    <w:rsid w:val="00B4093D"/>
    <w:rsid w:val="00B40D18"/>
    <w:rsid w:val="00B41276"/>
    <w:rsid w:val="00B413F9"/>
    <w:rsid w:val="00B414C1"/>
    <w:rsid w:val="00B414EB"/>
    <w:rsid w:val="00B41875"/>
    <w:rsid w:val="00B41B63"/>
    <w:rsid w:val="00B41D5F"/>
    <w:rsid w:val="00B41F92"/>
    <w:rsid w:val="00B41FDC"/>
    <w:rsid w:val="00B42496"/>
    <w:rsid w:val="00B42ED1"/>
    <w:rsid w:val="00B42FC7"/>
    <w:rsid w:val="00B431BA"/>
    <w:rsid w:val="00B434B4"/>
    <w:rsid w:val="00B4351B"/>
    <w:rsid w:val="00B435C4"/>
    <w:rsid w:val="00B43D73"/>
    <w:rsid w:val="00B43FE7"/>
    <w:rsid w:val="00B440A4"/>
    <w:rsid w:val="00B444D1"/>
    <w:rsid w:val="00B4450C"/>
    <w:rsid w:val="00B4489D"/>
    <w:rsid w:val="00B44906"/>
    <w:rsid w:val="00B45490"/>
    <w:rsid w:val="00B45653"/>
    <w:rsid w:val="00B45B4D"/>
    <w:rsid w:val="00B45CC5"/>
    <w:rsid w:val="00B4653C"/>
    <w:rsid w:val="00B46D77"/>
    <w:rsid w:val="00B46ED4"/>
    <w:rsid w:val="00B46ED6"/>
    <w:rsid w:val="00B47737"/>
    <w:rsid w:val="00B477E4"/>
    <w:rsid w:val="00B47805"/>
    <w:rsid w:val="00B47AF5"/>
    <w:rsid w:val="00B47DCE"/>
    <w:rsid w:val="00B47DE6"/>
    <w:rsid w:val="00B504D6"/>
    <w:rsid w:val="00B50580"/>
    <w:rsid w:val="00B50759"/>
    <w:rsid w:val="00B50800"/>
    <w:rsid w:val="00B50983"/>
    <w:rsid w:val="00B50A7E"/>
    <w:rsid w:val="00B50D7C"/>
    <w:rsid w:val="00B50FBD"/>
    <w:rsid w:val="00B51C29"/>
    <w:rsid w:val="00B51C86"/>
    <w:rsid w:val="00B52599"/>
    <w:rsid w:val="00B525B5"/>
    <w:rsid w:val="00B527F1"/>
    <w:rsid w:val="00B52B1E"/>
    <w:rsid w:val="00B52B65"/>
    <w:rsid w:val="00B52D2B"/>
    <w:rsid w:val="00B52DD1"/>
    <w:rsid w:val="00B5329E"/>
    <w:rsid w:val="00B53306"/>
    <w:rsid w:val="00B5342E"/>
    <w:rsid w:val="00B53743"/>
    <w:rsid w:val="00B53977"/>
    <w:rsid w:val="00B539DB"/>
    <w:rsid w:val="00B539F6"/>
    <w:rsid w:val="00B53A9A"/>
    <w:rsid w:val="00B53BBC"/>
    <w:rsid w:val="00B53F3E"/>
    <w:rsid w:val="00B543BF"/>
    <w:rsid w:val="00B546F9"/>
    <w:rsid w:val="00B549BD"/>
    <w:rsid w:val="00B55461"/>
    <w:rsid w:val="00B554F9"/>
    <w:rsid w:val="00B557CF"/>
    <w:rsid w:val="00B55B7B"/>
    <w:rsid w:val="00B55C41"/>
    <w:rsid w:val="00B55D36"/>
    <w:rsid w:val="00B560E6"/>
    <w:rsid w:val="00B563CB"/>
    <w:rsid w:val="00B56548"/>
    <w:rsid w:val="00B567CD"/>
    <w:rsid w:val="00B56901"/>
    <w:rsid w:val="00B56BE9"/>
    <w:rsid w:val="00B56DE6"/>
    <w:rsid w:val="00B56EAA"/>
    <w:rsid w:val="00B5711B"/>
    <w:rsid w:val="00B57256"/>
    <w:rsid w:val="00B575A3"/>
    <w:rsid w:val="00B57AAA"/>
    <w:rsid w:val="00B57E6B"/>
    <w:rsid w:val="00B57E8D"/>
    <w:rsid w:val="00B60090"/>
    <w:rsid w:val="00B605D1"/>
    <w:rsid w:val="00B60830"/>
    <w:rsid w:val="00B60A39"/>
    <w:rsid w:val="00B60A3C"/>
    <w:rsid w:val="00B60ACF"/>
    <w:rsid w:val="00B60BDA"/>
    <w:rsid w:val="00B60C55"/>
    <w:rsid w:val="00B60C92"/>
    <w:rsid w:val="00B60CC7"/>
    <w:rsid w:val="00B60D9B"/>
    <w:rsid w:val="00B6114F"/>
    <w:rsid w:val="00B613EE"/>
    <w:rsid w:val="00B6192E"/>
    <w:rsid w:val="00B61CCB"/>
    <w:rsid w:val="00B61E2C"/>
    <w:rsid w:val="00B624F4"/>
    <w:rsid w:val="00B62A10"/>
    <w:rsid w:val="00B63007"/>
    <w:rsid w:val="00B63359"/>
    <w:rsid w:val="00B6349B"/>
    <w:rsid w:val="00B63778"/>
    <w:rsid w:val="00B638C7"/>
    <w:rsid w:val="00B63B95"/>
    <w:rsid w:val="00B642CF"/>
    <w:rsid w:val="00B64777"/>
    <w:rsid w:val="00B65099"/>
    <w:rsid w:val="00B65160"/>
    <w:rsid w:val="00B652FF"/>
    <w:rsid w:val="00B6574A"/>
    <w:rsid w:val="00B657DB"/>
    <w:rsid w:val="00B659C9"/>
    <w:rsid w:val="00B65B1F"/>
    <w:rsid w:val="00B65B42"/>
    <w:rsid w:val="00B65DDF"/>
    <w:rsid w:val="00B65E40"/>
    <w:rsid w:val="00B65EE8"/>
    <w:rsid w:val="00B66055"/>
    <w:rsid w:val="00B6613C"/>
    <w:rsid w:val="00B6635D"/>
    <w:rsid w:val="00B6653C"/>
    <w:rsid w:val="00B666B6"/>
    <w:rsid w:val="00B669E5"/>
    <w:rsid w:val="00B66E5A"/>
    <w:rsid w:val="00B66ED5"/>
    <w:rsid w:val="00B6731A"/>
    <w:rsid w:val="00B674C0"/>
    <w:rsid w:val="00B675D8"/>
    <w:rsid w:val="00B67955"/>
    <w:rsid w:val="00B67C56"/>
    <w:rsid w:val="00B67C87"/>
    <w:rsid w:val="00B7001D"/>
    <w:rsid w:val="00B7096B"/>
    <w:rsid w:val="00B70AA0"/>
    <w:rsid w:val="00B70B8C"/>
    <w:rsid w:val="00B70C52"/>
    <w:rsid w:val="00B70CA4"/>
    <w:rsid w:val="00B70CB5"/>
    <w:rsid w:val="00B70CD8"/>
    <w:rsid w:val="00B70CF9"/>
    <w:rsid w:val="00B7102E"/>
    <w:rsid w:val="00B7109F"/>
    <w:rsid w:val="00B713F8"/>
    <w:rsid w:val="00B71654"/>
    <w:rsid w:val="00B71BCC"/>
    <w:rsid w:val="00B71D36"/>
    <w:rsid w:val="00B72313"/>
    <w:rsid w:val="00B724DB"/>
    <w:rsid w:val="00B72696"/>
    <w:rsid w:val="00B72F1A"/>
    <w:rsid w:val="00B72F24"/>
    <w:rsid w:val="00B730EE"/>
    <w:rsid w:val="00B73392"/>
    <w:rsid w:val="00B735B8"/>
    <w:rsid w:val="00B738B4"/>
    <w:rsid w:val="00B74135"/>
    <w:rsid w:val="00B7443A"/>
    <w:rsid w:val="00B74810"/>
    <w:rsid w:val="00B7481C"/>
    <w:rsid w:val="00B74FDE"/>
    <w:rsid w:val="00B75D35"/>
    <w:rsid w:val="00B75EAE"/>
    <w:rsid w:val="00B761BE"/>
    <w:rsid w:val="00B7646C"/>
    <w:rsid w:val="00B76768"/>
    <w:rsid w:val="00B76AB2"/>
    <w:rsid w:val="00B76B5E"/>
    <w:rsid w:val="00B76E58"/>
    <w:rsid w:val="00B76EA7"/>
    <w:rsid w:val="00B77100"/>
    <w:rsid w:val="00B771F3"/>
    <w:rsid w:val="00B772D7"/>
    <w:rsid w:val="00B772EF"/>
    <w:rsid w:val="00B7746F"/>
    <w:rsid w:val="00B77635"/>
    <w:rsid w:val="00B777F0"/>
    <w:rsid w:val="00B77B37"/>
    <w:rsid w:val="00B77E87"/>
    <w:rsid w:val="00B77F6C"/>
    <w:rsid w:val="00B8017C"/>
    <w:rsid w:val="00B8096B"/>
    <w:rsid w:val="00B809E0"/>
    <w:rsid w:val="00B80A59"/>
    <w:rsid w:val="00B80B14"/>
    <w:rsid w:val="00B80DFA"/>
    <w:rsid w:val="00B80DFE"/>
    <w:rsid w:val="00B8108C"/>
    <w:rsid w:val="00B8134F"/>
    <w:rsid w:val="00B81390"/>
    <w:rsid w:val="00B8140C"/>
    <w:rsid w:val="00B816BB"/>
    <w:rsid w:val="00B817B1"/>
    <w:rsid w:val="00B8188D"/>
    <w:rsid w:val="00B818EA"/>
    <w:rsid w:val="00B819B0"/>
    <w:rsid w:val="00B81AF0"/>
    <w:rsid w:val="00B81BB2"/>
    <w:rsid w:val="00B81EED"/>
    <w:rsid w:val="00B81F14"/>
    <w:rsid w:val="00B81F68"/>
    <w:rsid w:val="00B8217D"/>
    <w:rsid w:val="00B82295"/>
    <w:rsid w:val="00B8252E"/>
    <w:rsid w:val="00B82543"/>
    <w:rsid w:val="00B82A77"/>
    <w:rsid w:val="00B82B4A"/>
    <w:rsid w:val="00B82C8E"/>
    <w:rsid w:val="00B82D56"/>
    <w:rsid w:val="00B83084"/>
    <w:rsid w:val="00B8310E"/>
    <w:rsid w:val="00B8326B"/>
    <w:rsid w:val="00B835AD"/>
    <w:rsid w:val="00B83620"/>
    <w:rsid w:val="00B83898"/>
    <w:rsid w:val="00B83D03"/>
    <w:rsid w:val="00B83DB2"/>
    <w:rsid w:val="00B83FD9"/>
    <w:rsid w:val="00B840AB"/>
    <w:rsid w:val="00B84BDC"/>
    <w:rsid w:val="00B84D83"/>
    <w:rsid w:val="00B855B7"/>
    <w:rsid w:val="00B856BD"/>
    <w:rsid w:val="00B85CC2"/>
    <w:rsid w:val="00B85E5E"/>
    <w:rsid w:val="00B86983"/>
    <w:rsid w:val="00B869A3"/>
    <w:rsid w:val="00B869F4"/>
    <w:rsid w:val="00B86B49"/>
    <w:rsid w:val="00B86B4C"/>
    <w:rsid w:val="00B86CC2"/>
    <w:rsid w:val="00B86D55"/>
    <w:rsid w:val="00B86DC6"/>
    <w:rsid w:val="00B86E5F"/>
    <w:rsid w:val="00B8700F"/>
    <w:rsid w:val="00B87416"/>
    <w:rsid w:val="00B875D2"/>
    <w:rsid w:val="00B8763B"/>
    <w:rsid w:val="00B87716"/>
    <w:rsid w:val="00B87830"/>
    <w:rsid w:val="00B87D2B"/>
    <w:rsid w:val="00B87E4F"/>
    <w:rsid w:val="00B90062"/>
    <w:rsid w:val="00B900DA"/>
    <w:rsid w:val="00B9032E"/>
    <w:rsid w:val="00B90360"/>
    <w:rsid w:val="00B90CD4"/>
    <w:rsid w:val="00B90DDE"/>
    <w:rsid w:val="00B90FB2"/>
    <w:rsid w:val="00B9110B"/>
    <w:rsid w:val="00B914D6"/>
    <w:rsid w:val="00B915F3"/>
    <w:rsid w:val="00B9222B"/>
    <w:rsid w:val="00B9264F"/>
    <w:rsid w:val="00B927F4"/>
    <w:rsid w:val="00B929BC"/>
    <w:rsid w:val="00B92A7E"/>
    <w:rsid w:val="00B92CAF"/>
    <w:rsid w:val="00B92D45"/>
    <w:rsid w:val="00B93032"/>
    <w:rsid w:val="00B93208"/>
    <w:rsid w:val="00B93388"/>
    <w:rsid w:val="00B93E7F"/>
    <w:rsid w:val="00B93FB8"/>
    <w:rsid w:val="00B94199"/>
    <w:rsid w:val="00B945D4"/>
    <w:rsid w:val="00B94655"/>
    <w:rsid w:val="00B94958"/>
    <w:rsid w:val="00B949A8"/>
    <w:rsid w:val="00B94F03"/>
    <w:rsid w:val="00B94FF4"/>
    <w:rsid w:val="00B951EF"/>
    <w:rsid w:val="00B95327"/>
    <w:rsid w:val="00B95491"/>
    <w:rsid w:val="00B957B4"/>
    <w:rsid w:val="00B96056"/>
    <w:rsid w:val="00B963BE"/>
    <w:rsid w:val="00B96597"/>
    <w:rsid w:val="00B969DC"/>
    <w:rsid w:val="00B96B5E"/>
    <w:rsid w:val="00B96B71"/>
    <w:rsid w:val="00B96D18"/>
    <w:rsid w:val="00B974D7"/>
    <w:rsid w:val="00B979B0"/>
    <w:rsid w:val="00B979E3"/>
    <w:rsid w:val="00B97C0A"/>
    <w:rsid w:val="00B97D6F"/>
    <w:rsid w:val="00B97E12"/>
    <w:rsid w:val="00BA054E"/>
    <w:rsid w:val="00BA0A36"/>
    <w:rsid w:val="00BA0CB3"/>
    <w:rsid w:val="00BA0ED9"/>
    <w:rsid w:val="00BA0F94"/>
    <w:rsid w:val="00BA10B8"/>
    <w:rsid w:val="00BA1101"/>
    <w:rsid w:val="00BA1309"/>
    <w:rsid w:val="00BA13B4"/>
    <w:rsid w:val="00BA17A3"/>
    <w:rsid w:val="00BA1A79"/>
    <w:rsid w:val="00BA1CCE"/>
    <w:rsid w:val="00BA1D4B"/>
    <w:rsid w:val="00BA25C6"/>
    <w:rsid w:val="00BA272E"/>
    <w:rsid w:val="00BA282A"/>
    <w:rsid w:val="00BA288D"/>
    <w:rsid w:val="00BA2C79"/>
    <w:rsid w:val="00BA2F43"/>
    <w:rsid w:val="00BA2FF7"/>
    <w:rsid w:val="00BA3339"/>
    <w:rsid w:val="00BA3E9E"/>
    <w:rsid w:val="00BA3EC7"/>
    <w:rsid w:val="00BA41EC"/>
    <w:rsid w:val="00BA4549"/>
    <w:rsid w:val="00BA4606"/>
    <w:rsid w:val="00BA4832"/>
    <w:rsid w:val="00BA493C"/>
    <w:rsid w:val="00BA4BC0"/>
    <w:rsid w:val="00BA4E79"/>
    <w:rsid w:val="00BA4FF7"/>
    <w:rsid w:val="00BA522F"/>
    <w:rsid w:val="00BA5294"/>
    <w:rsid w:val="00BA5958"/>
    <w:rsid w:val="00BA5F6D"/>
    <w:rsid w:val="00BA63C2"/>
    <w:rsid w:val="00BA65C1"/>
    <w:rsid w:val="00BA6600"/>
    <w:rsid w:val="00BA6F60"/>
    <w:rsid w:val="00BA7035"/>
    <w:rsid w:val="00BA787F"/>
    <w:rsid w:val="00BA7E79"/>
    <w:rsid w:val="00BB0150"/>
    <w:rsid w:val="00BB0368"/>
    <w:rsid w:val="00BB03CD"/>
    <w:rsid w:val="00BB0984"/>
    <w:rsid w:val="00BB0A7C"/>
    <w:rsid w:val="00BB0C51"/>
    <w:rsid w:val="00BB0E40"/>
    <w:rsid w:val="00BB102E"/>
    <w:rsid w:val="00BB1573"/>
    <w:rsid w:val="00BB16D3"/>
    <w:rsid w:val="00BB1842"/>
    <w:rsid w:val="00BB1A57"/>
    <w:rsid w:val="00BB2203"/>
    <w:rsid w:val="00BB220D"/>
    <w:rsid w:val="00BB23CB"/>
    <w:rsid w:val="00BB2530"/>
    <w:rsid w:val="00BB273B"/>
    <w:rsid w:val="00BB2840"/>
    <w:rsid w:val="00BB2990"/>
    <w:rsid w:val="00BB29B6"/>
    <w:rsid w:val="00BB2A00"/>
    <w:rsid w:val="00BB2BDC"/>
    <w:rsid w:val="00BB2CD3"/>
    <w:rsid w:val="00BB2CFE"/>
    <w:rsid w:val="00BB2E0D"/>
    <w:rsid w:val="00BB30C2"/>
    <w:rsid w:val="00BB3343"/>
    <w:rsid w:val="00BB39F3"/>
    <w:rsid w:val="00BB3B31"/>
    <w:rsid w:val="00BB3D29"/>
    <w:rsid w:val="00BB42FE"/>
    <w:rsid w:val="00BB4D84"/>
    <w:rsid w:val="00BB4E9D"/>
    <w:rsid w:val="00BB4ED2"/>
    <w:rsid w:val="00BB5399"/>
    <w:rsid w:val="00BB5459"/>
    <w:rsid w:val="00BB584D"/>
    <w:rsid w:val="00BB5BDA"/>
    <w:rsid w:val="00BB5D6B"/>
    <w:rsid w:val="00BB5DD4"/>
    <w:rsid w:val="00BB67F3"/>
    <w:rsid w:val="00BB68B9"/>
    <w:rsid w:val="00BB7068"/>
    <w:rsid w:val="00BB730C"/>
    <w:rsid w:val="00BB745A"/>
    <w:rsid w:val="00BB7DA9"/>
    <w:rsid w:val="00BC0138"/>
    <w:rsid w:val="00BC0614"/>
    <w:rsid w:val="00BC08E2"/>
    <w:rsid w:val="00BC0904"/>
    <w:rsid w:val="00BC0A23"/>
    <w:rsid w:val="00BC0DE2"/>
    <w:rsid w:val="00BC0F48"/>
    <w:rsid w:val="00BC0FC4"/>
    <w:rsid w:val="00BC13B9"/>
    <w:rsid w:val="00BC1592"/>
    <w:rsid w:val="00BC1721"/>
    <w:rsid w:val="00BC1A3C"/>
    <w:rsid w:val="00BC1C7D"/>
    <w:rsid w:val="00BC1D32"/>
    <w:rsid w:val="00BC1D4F"/>
    <w:rsid w:val="00BC1E82"/>
    <w:rsid w:val="00BC2162"/>
    <w:rsid w:val="00BC22B1"/>
    <w:rsid w:val="00BC28B5"/>
    <w:rsid w:val="00BC2901"/>
    <w:rsid w:val="00BC29F8"/>
    <w:rsid w:val="00BC2BC3"/>
    <w:rsid w:val="00BC2F4C"/>
    <w:rsid w:val="00BC306D"/>
    <w:rsid w:val="00BC315A"/>
    <w:rsid w:val="00BC3196"/>
    <w:rsid w:val="00BC360F"/>
    <w:rsid w:val="00BC3616"/>
    <w:rsid w:val="00BC3A0B"/>
    <w:rsid w:val="00BC410E"/>
    <w:rsid w:val="00BC41C1"/>
    <w:rsid w:val="00BC4361"/>
    <w:rsid w:val="00BC456B"/>
    <w:rsid w:val="00BC4F73"/>
    <w:rsid w:val="00BC50E2"/>
    <w:rsid w:val="00BC510D"/>
    <w:rsid w:val="00BC5172"/>
    <w:rsid w:val="00BC52AD"/>
    <w:rsid w:val="00BC533B"/>
    <w:rsid w:val="00BC53B0"/>
    <w:rsid w:val="00BC5B23"/>
    <w:rsid w:val="00BC5D49"/>
    <w:rsid w:val="00BC5DAD"/>
    <w:rsid w:val="00BC5DEA"/>
    <w:rsid w:val="00BC5E05"/>
    <w:rsid w:val="00BC5FA7"/>
    <w:rsid w:val="00BC608A"/>
    <w:rsid w:val="00BC60C2"/>
    <w:rsid w:val="00BC6273"/>
    <w:rsid w:val="00BC641F"/>
    <w:rsid w:val="00BC6481"/>
    <w:rsid w:val="00BC677F"/>
    <w:rsid w:val="00BC68F3"/>
    <w:rsid w:val="00BC692A"/>
    <w:rsid w:val="00BC6951"/>
    <w:rsid w:val="00BC6A18"/>
    <w:rsid w:val="00BC6CA3"/>
    <w:rsid w:val="00BC704B"/>
    <w:rsid w:val="00BC74F2"/>
    <w:rsid w:val="00BC7884"/>
    <w:rsid w:val="00BC7B0C"/>
    <w:rsid w:val="00BC7CC7"/>
    <w:rsid w:val="00BC7D86"/>
    <w:rsid w:val="00BC7F07"/>
    <w:rsid w:val="00BD06C8"/>
    <w:rsid w:val="00BD0A9C"/>
    <w:rsid w:val="00BD1039"/>
    <w:rsid w:val="00BD120F"/>
    <w:rsid w:val="00BD12E3"/>
    <w:rsid w:val="00BD1368"/>
    <w:rsid w:val="00BD174E"/>
    <w:rsid w:val="00BD19B4"/>
    <w:rsid w:val="00BD1CE7"/>
    <w:rsid w:val="00BD1D6F"/>
    <w:rsid w:val="00BD20A5"/>
    <w:rsid w:val="00BD2548"/>
    <w:rsid w:val="00BD2940"/>
    <w:rsid w:val="00BD2A0B"/>
    <w:rsid w:val="00BD2D20"/>
    <w:rsid w:val="00BD3296"/>
    <w:rsid w:val="00BD359E"/>
    <w:rsid w:val="00BD37F8"/>
    <w:rsid w:val="00BD3D2B"/>
    <w:rsid w:val="00BD45A1"/>
    <w:rsid w:val="00BD471E"/>
    <w:rsid w:val="00BD4923"/>
    <w:rsid w:val="00BD494A"/>
    <w:rsid w:val="00BD4BCC"/>
    <w:rsid w:val="00BD4DFB"/>
    <w:rsid w:val="00BD4E24"/>
    <w:rsid w:val="00BD5219"/>
    <w:rsid w:val="00BD53E8"/>
    <w:rsid w:val="00BD5553"/>
    <w:rsid w:val="00BD5591"/>
    <w:rsid w:val="00BD584C"/>
    <w:rsid w:val="00BD5B4A"/>
    <w:rsid w:val="00BD5D29"/>
    <w:rsid w:val="00BD5E10"/>
    <w:rsid w:val="00BD5FD7"/>
    <w:rsid w:val="00BD6048"/>
    <w:rsid w:val="00BD63AF"/>
    <w:rsid w:val="00BD6D22"/>
    <w:rsid w:val="00BD70DB"/>
    <w:rsid w:val="00BD7219"/>
    <w:rsid w:val="00BD737B"/>
    <w:rsid w:val="00BD7965"/>
    <w:rsid w:val="00BD7EA0"/>
    <w:rsid w:val="00BD7FD4"/>
    <w:rsid w:val="00BE0265"/>
    <w:rsid w:val="00BE05D8"/>
    <w:rsid w:val="00BE06B6"/>
    <w:rsid w:val="00BE0B8E"/>
    <w:rsid w:val="00BE0D21"/>
    <w:rsid w:val="00BE100F"/>
    <w:rsid w:val="00BE102A"/>
    <w:rsid w:val="00BE10B6"/>
    <w:rsid w:val="00BE139B"/>
    <w:rsid w:val="00BE1765"/>
    <w:rsid w:val="00BE1850"/>
    <w:rsid w:val="00BE1B74"/>
    <w:rsid w:val="00BE1D71"/>
    <w:rsid w:val="00BE1DFC"/>
    <w:rsid w:val="00BE1F7D"/>
    <w:rsid w:val="00BE1FB8"/>
    <w:rsid w:val="00BE2456"/>
    <w:rsid w:val="00BE28D8"/>
    <w:rsid w:val="00BE2CFD"/>
    <w:rsid w:val="00BE31D3"/>
    <w:rsid w:val="00BE3535"/>
    <w:rsid w:val="00BE3BFF"/>
    <w:rsid w:val="00BE3ED3"/>
    <w:rsid w:val="00BE400F"/>
    <w:rsid w:val="00BE404B"/>
    <w:rsid w:val="00BE4058"/>
    <w:rsid w:val="00BE40E5"/>
    <w:rsid w:val="00BE4282"/>
    <w:rsid w:val="00BE49A0"/>
    <w:rsid w:val="00BE4C48"/>
    <w:rsid w:val="00BE4CFE"/>
    <w:rsid w:val="00BE506E"/>
    <w:rsid w:val="00BE50BD"/>
    <w:rsid w:val="00BE5125"/>
    <w:rsid w:val="00BE52E4"/>
    <w:rsid w:val="00BE541D"/>
    <w:rsid w:val="00BE54BD"/>
    <w:rsid w:val="00BE591C"/>
    <w:rsid w:val="00BE5932"/>
    <w:rsid w:val="00BE5E30"/>
    <w:rsid w:val="00BE5F84"/>
    <w:rsid w:val="00BE6044"/>
    <w:rsid w:val="00BE61E3"/>
    <w:rsid w:val="00BE65D9"/>
    <w:rsid w:val="00BE6990"/>
    <w:rsid w:val="00BE6DE4"/>
    <w:rsid w:val="00BE6EE1"/>
    <w:rsid w:val="00BE7041"/>
    <w:rsid w:val="00BE70B0"/>
    <w:rsid w:val="00BE737E"/>
    <w:rsid w:val="00BE7784"/>
    <w:rsid w:val="00BE7D70"/>
    <w:rsid w:val="00BE7F0C"/>
    <w:rsid w:val="00BF0933"/>
    <w:rsid w:val="00BF0A4B"/>
    <w:rsid w:val="00BF0B2A"/>
    <w:rsid w:val="00BF0CA1"/>
    <w:rsid w:val="00BF1274"/>
    <w:rsid w:val="00BF1440"/>
    <w:rsid w:val="00BF2911"/>
    <w:rsid w:val="00BF2C2D"/>
    <w:rsid w:val="00BF2DD4"/>
    <w:rsid w:val="00BF2E8A"/>
    <w:rsid w:val="00BF2FD8"/>
    <w:rsid w:val="00BF3080"/>
    <w:rsid w:val="00BF326F"/>
    <w:rsid w:val="00BF3A8D"/>
    <w:rsid w:val="00BF3C8B"/>
    <w:rsid w:val="00BF41B8"/>
    <w:rsid w:val="00BF46DB"/>
    <w:rsid w:val="00BF4751"/>
    <w:rsid w:val="00BF4788"/>
    <w:rsid w:val="00BF499F"/>
    <w:rsid w:val="00BF4C97"/>
    <w:rsid w:val="00BF4F8F"/>
    <w:rsid w:val="00BF5082"/>
    <w:rsid w:val="00BF56B4"/>
    <w:rsid w:val="00BF6573"/>
    <w:rsid w:val="00BF6975"/>
    <w:rsid w:val="00BF6B82"/>
    <w:rsid w:val="00BF6E6C"/>
    <w:rsid w:val="00BF6FFE"/>
    <w:rsid w:val="00BF7696"/>
    <w:rsid w:val="00BF7B51"/>
    <w:rsid w:val="00BF7FA7"/>
    <w:rsid w:val="00C000DC"/>
    <w:rsid w:val="00C0019D"/>
    <w:rsid w:val="00C002C8"/>
    <w:rsid w:val="00C00558"/>
    <w:rsid w:val="00C008D0"/>
    <w:rsid w:val="00C01073"/>
    <w:rsid w:val="00C011E9"/>
    <w:rsid w:val="00C01509"/>
    <w:rsid w:val="00C01534"/>
    <w:rsid w:val="00C026C8"/>
    <w:rsid w:val="00C02B70"/>
    <w:rsid w:val="00C02BAE"/>
    <w:rsid w:val="00C039F6"/>
    <w:rsid w:val="00C040EA"/>
    <w:rsid w:val="00C042A4"/>
    <w:rsid w:val="00C04586"/>
    <w:rsid w:val="00C046DC"/>
    <w:rsid w:val="00C04ABB"/>
    <w:rsid w:val="00C04C88"/>
    <w:rsid w:val="00C04D5A"/>
    <w:rsid w:val="00C05046"/>
    <w:rsid w:val="00C053D2"/>
    <w:rsid w:val="00C05A86"/>
    <w:rsid w:val="00C05C14"/>
    <w:rsid w:val="00C05C92"/>
    <w:rsid w:val="00C05CD3"/>
    <w:rsid w:val="00C05F10"/>
    <w:rsid w:val="00C061AB"/>
    <w:rsid w:val="00C06250"/>
    <w:rsid w:val="00C06329"/>
    <w:rsid w:val="00C06486"/>
    <w:rsid w:val="00C065C2"/>
    <w:rsid w:val="00C069F6"/>
    <w:rsid w:val="00C06AB0"/>
    <w:rsid w:val="00C06B42"/>
    <w:rsid w:val="00C06E33"/>
    <w:rsid w:val="00C070CD"/>
    <w:rsid w:val="00C0714C"/>
    <w:rsid w:val="00C072E3"/>
    <w:rsid w:val="00C0751B"/>
    <w:rsid w:val="00C075C3"/>
    <w:rsid w:val="00C07A53"/>
    <w:rsid w:val="00C07B5E"/>
    <w:rsid w:val="00C07C43"/>
    <w:rsid w:val="00C07F9B"/>
    <w:rsid w:val="00C102AA"/>
    <w:rsid w:val="00C104F0"/>
    <w:rsid w:val="00C106BE"/>
    <w:rsid w:val="00C10D25"/>
    <w:rsid w:val="00C10E1E"/>
    <w:rsid w:val="00C10EA0"/>
    <w:rsid w:val="00C11489"/>
    <w:rsid w:val="00C11668"/>
    <w:rsid w:val="00C11B2F"/>
    <w:rsid w:val="00C125F2"/>
    <w:rsid w:val="00C128C5"/>
    <w:rsid w:val="00C129DC"/>
    <w:rsid w:val="00C12A16"/>
    <w:rsid w:val="00C12F42"/>
    <w:rsid w:val="00C12FFF"/>
    <w:rsid w:val="00C131D3"/>
    <w:rsid w:val="00C133AA"/>
    <w:rsid w:val="00C13533"/>
    <w:rsid w:val="00C13614"/>
    <w:rsid w:val="00C137B6"/>
    <w:rsid w:val="00C13805"/>
    <w:rsid w:val="00C13844"/>
    <w:rsid w:val="00C1414E"/>
    <w:rsid w:val="00C143D6"/>
    <w:rsid w:val="00C14491"/>
    <w:rsid w:val="00C14C3B"/>
    <w:rsid w:val="00C14EBF"/>
    <w:rsid w:val="00C14F07"/>
    <w:rsid w:val="00C15314"/>
    <w:rsid w:val="00C1568C"/>
    <w:rsid w:val="00C159F5"/>
    <w:rsid w:val="00C15B55"/>
    <w:rsid w:val="00C15CE3"/>
    <w:rsid w:val="00C15DB4"/>
    <w:rsid w:val="00C1625B"/>
    <w:rsid w:val="00C162D9"/>
    <w:rsid w:val="00C16378"/>
    <w:rsid w:val="00C16484"/>
    <w:rsid w:val="00C16506"/>
    <w:rsid w:val="00C1654C"/>
    <w:rsid w:val="00C167C3"/>
    <w:rsid w:val="00C16965"/>
    <w:rsid w:val="00C16A38"/>
    <w:rsid w:val="00C16BA2"/>
    <w:rsid w:val="00C16D42"/>
    <w:rsid w:val="00C17164"/>
    <w:rsid w:val="00C1732E"/>
    <w:rsid w:val="00C173BF"/>
    <w:rsid w:val="00C17501"/>
    <w:rsid w:val="00C175F9"/>
    <w:rsid w:val="00C17761"/>
    <w:rsid w:val="00C17F1C"/>
    <w:rsid w:val="00C2047F"/>
    <w:rsid w:val="00C204C1"/>
    <w:rsid w:val="00C2052E"/>
    <w:rsid w:val="00C207C2"/>
    <w:rsid w:val="00C207E2"/>
    <w:rsid w:val="00C20C14"/>
    <w:rsid w:val="00C20CEA"/>
    <w:rsid w:val="00C20D26"/>
    <w:rsid w:val="00C22167"/>
    <w:rsid w:val="00C2231F"/>
    <w:rsid w:val="00C2236A"/>
    <w:rsid w:val="00C22583"/>
    <w:rsid w:val="00C22759"/>
    <w:rsid w:val="00C229A8"/>
    <w:rsid w:val="00C22A02"/>
    <w:rsid w:val="00C22CAD"/>
    <w:rsid w:val="00C22F3F"/>
    <w:rsid w:val="00C2317E"/>
    <w:rsid w:val="00C23370"/>
    <w:rsid w:val="00C23534"/>
    <w:rsid w:val="00C23955"/>
    <w:rsid w:val="00C23C8D"/>
    <w:rsid w:val="00C24112"/>
    <w:rsid w:val="00C2452F"/>
    <w:rsid w:val="00C246A3"/>
    <w:rsid w:val="00C249FD"/>
    <w:rsid w:val="00C24C99"/>
    <w:rsid w:val="00C25339"/>
    <w:rsid w:val="00C2583E"/>
    <w:rsid w:val="00C259A0"/>
    <w:rsid w:val="00C25C44"/>
    <w:rsid w:val="00C26165"/>
    <w:rsid w:val="00C262FB"/>
    <w:rsid w:val="00C263FF"/>
    <w:rsid w:val="00C26564"/>
    <w:rsid w:val="00C2670F"/>
    <w:rsid w:val="00C26878"/>
    <w:rsid w:val="00C26B25"/>
    <w:rsid w:val="00C26B83"/>
    <w:rsid w:val="00C26F6B"/>
    <w:rsid w:val="00C271A1"/>
    <w:rsid w:val="00C271C8"/>
    <w:rsid w:val="00C27885"/>
    <w:rsid w:val="00C27DE9"/>
    <w:rsid w:val="00C27F73"/>
    <w:rsid w:val="00C300B2"/>
    <w:rsid w:val="00C305D6"/>
    <w:rsid w:val="00C30D6F"/>
    <w:rsid w:val="00C30E90"/>
    <w:rsid w:val="00C310D7"/>
    <w:rsid w:val="00C31518"/>
    <w:rsid w:val="00C31555"/>
    <w:rsid w:val="00C31799"/>
    <w:rsid w:val="00C317D2"/>
    <w:rsid w:val="00C31A69"/>
    <w:rsid w:val="00C31D12"/>
    <w:rsid w:val="00C32810"/>
    <w:rsid w:val="00C32821"/>
    <w:rsid w:val="00C328F6"/>
    <w:rsid w:val="00C32920"/>
    <w:rsid w:val="00C32A47"/>
    <w:rsid w:val="00C32F6A"/>
    <w:rsid w:val="00C32F8D"/>
    <w:rsid w:val="00C3323E"/>
    <w:rsid w:val="00C33A3F"/>
    <w:rsid w:val="00C33DA6"/>
    <w:rsid w:val="00C33EC5"/>
    <w:rsid w:val="00C34119"/>
    <w:rsid w:val="00C34467"/>
    <w:rsid w:val="00C34992"/>
    <w:rsid w:val="00C34E0A"/>
    <w:rsid w:val="00C34EBF"/>
    <w:rsid w:val="00C351DF"/>
    <w:rsid w:val="00C3522B"/>
    <w:rsid w:val="00C35564"/>
    <w:rsid w:val="00C35C9D"/>
    <w:rsid w:val="00C35CCD"/>
    <w:rsid w:val="00C35FB3"/>
    <w:rsid w:val="00C363EF"/>
    <w:rsid w:val="00C365D8"/>
    <w:rsid w:val="00C3660D"/>
    <w:rsid w:val="00C36663"/>
    <w:rsid w:val="00C3698F"/>
    <w:rsid w:val="00C36D59"/>
    <w:rsid w:val="00C37A8E"/>
    <w:rsid w:val="00C37AE0"/>
    <w:rsid w:val="00C37B5C"/>
    <w:rsid w:val="00C37DB5"/>
    <w:rsid w:val="00C37ED5"/>
    <w:rsid w:val="00C403DA"/>
    <w:rsid w:val="00C4051C"/>
    <w:rsid w:val="00C40671"/>
    <w:rsid w:val="00C40717"/>
    <w:rsid w:val="00C40C29"/>
    <w:rsid w:val="00C40D3D"/>
    <w:rsid w:val="00C419D5"/>
    <w:rsid w:val="00C41C20"/>
    <w:rsid w:val="00C41C93"/>
    <w:rsid w:val="00C41DF8"/>
    <w:rsid w:val="00C41FF3"/>
    <w:rsid w:val="00C4200F"/>
    <w:rsid w:val="00C424D0"/>
    <w:rsid w:val="00C42600"/>
    <w:rsid w:val="00C42990"/>
    <w:rsid w:val="00C42A6B"/>
    <w:rsid w:val="00C42B16"/>
    <w:rsid w:val="00C42CCD"/>
    <w:rsid w:val="00C43270"/>
    <w:rsid w:val="00C43362"/>
    <w:rsid w:val="00C43406"/>
    <w:rsid w:val="00C436A4"/>
    <w:rsid w:val="00C43846"/>
    <w:rsid w:val="00C439BC"/>
    <w:rsid w:val="00C43A82"/>
    <w:rsid w:val="00C43C5D"/>
    <w:rsid w:val="00C440F4"/>
    <w:rsid w:val="00C4478D"/>
    <w:rsid w:val="00C447B9"/>
    <w:rsid w:val="00C44B0D"/>
    <w:rsid w:val="00C450A2"/>
    <w:rsid w:val="00C4516C"/>
    <w:rsid w:val="00C4572C"/>
    <w:rsid w:val="00C457D4"/>
    <w:rsid w:val="00C459E1"/>
    <w:rsid w:val="00C45B77"/>
    <w:rsid w:val="00C45D57"/>
    <w:rsid w:val="00C464BA"/>
    <w:rsid w:val="00C4676E"/>
    <w:rsid w:val="00C46783"/>
    <w:rsid w:val="00C468B5"/>
    <w:rsid w:val="00C4694A"/>
    <w:rsid w:val="00C469EF"/>
    <w:rsid w:val="00C46FCD"/>
    <w:rsid w:val="00C46FCE"/>
    <w:rsid w:val="00C47211"/>
    <w:rsid w:val="00C473B2"/>
    <w:rsid w:val="00C47475"/>
    <w:rsid w:val="00C474D9"/>
    <w:rsid w:val="00C47681"/>
    <w:rsid w:val="00C47DBD"/>
    <w:rsid w:val="00C50123"/>
    <w:rsid w:val="00C50402"/>
    <w:rsid w:val="00C50591"/>
    <w:rsid w:val="00C50AA7"/>
    <w:rsid w:val="00C50D83"/>
    <w:rsid w:val="00C50EDB"/>
    <w:rsid w:val="00C50FEA"/>
    <w:rsid w:val="00C51758"/>
    <w:rsid w:val="00C5177A"/>
    <w:rsid w:val="00C51796"/>
    <w:rsid w:val="00C517E6"/>
    <w:rsid w:val="00C5181F"/>
    <w:rsid w:val="00C519B4"/>
    <w:rsid w:val="00C51BD3"/>
    <w:rsid w:val="00C51D6D"/>
    <w:rsid w:val="00C52480"/>
    <w:rsid w:val="00C524BC"/>
    <w:rsid w:val="00C52511"/>
    <w:rsid w:val="00C52673"/>
    <w:rsid w:val="00C52AF5"/>
    <w:rsid w:val="00C52E60"/>
    <w:rsid w:val="00C52F18"/>
    <w:rsid w:val="00C52F98"/>
    <w:rsid w:val="00C5304F"/>
    <w:rsid w:val="00C53261"/>
    <w:rsid w:val="00C53567"/>
    <w:rsid w:val="00C5395A"/>
    <w:rsid w:val="00C539DA"/>
    <w:rsid w:val="00C53A6D"/>
    <w:rsid w:val="00C53C28"/>
    <w:rsid w:val="00C53D0D"/>
    <w:rsid w:val="00C53EB5"/>
    <w:rsid w:val="00C541D0"/>
    <w:rsid w:val="00C54468"/>
    <w:rsid w:val="00C54871"/>
    <w:rsid w:val="00C54B0F"/>
    <w:rsid w:val="00C54B84"/>
    <w:rsid w:val="00C54D5B"/>
    <w:rsid w:val="00C5501A"/>
    <w:rsid w:val="00C55460"/>
    <w:rsid w:val="00C55494"/>
    <w:rsid w:val="00C5559B"/>
    <w:rsid w:val="00C555E6"/>
    <w:rsid w:val="00C556AC"/>
    <w:rsid w:val="00C556D2"/>
    <w:rsid w:val="00C55887"/>
    <w:rsid w:val="00C55889"/>
    <w:rsid w:val="00C55A11"/>
    <w:rsid w:val="00C55B73"/>
    <w:rsid w:val="00C56384"/>
    <w:rsid w:val="00C5663A"/>
    <w:rsid w:val="00C56CF5"/>
    <w:rsid w:val="00C56D9C"/>
    <w:rsid w:val="00C56DBD"/>
    <w:rsid w:val="00C56ECA"/>
    <w:rsid w:val="00C5713F"/>
    <w:rsid w:val="00C572BE"/>
    <w:rsid w:val="00C57687"/>
    <w:rsid w:val="00C5797B"/>
    <w:rsid w:val="00C579DB"/>
    <w:rsid w:val="00C57AF0"/>
    <w:rsid w:val="00C57C38"/>
    <w:rsid w:val="00C57FDB"/>
    <w:rsid w:val="00C6003E"/>
    <w:rsid w:val="00C60372"/>
    <w:rsid w:val="00C6070C"/>
    <w:rsid w:val="00C6079D"/>
    <w:rsid w:val="00C60F94"/>
    <w:rsid w:val="00C60FE6"/>
    <w:rsid w:val="00C60FE8"/>
    <w:rsid w:val="00C61517"/>
    <w:rsid w:val="00C6166B"/>
    <w:rsid w:val="00C61686"/>
    <w:rsid w:val="00C6175B"/>
    <w:rsid w:val="00C618F5"/>
    <w:rsid w:val="00C61AEB"/>
    <w:rsid w:val="00C61BB2"/>
    <w:rsid w:val="00C61DAF"/>
    <w:rsid w:val="00C61DD0"/>
    <w:rsid w:val="00C621CD"/>
    <w:rsid w:val="00C622CB"/>
    <w:rsid w:val="00C624B5"/>
    <w:rsid w:val="00C624C5"/>
    <w:rsid w:val="00C62AC3"/>
    <w:rsid w:val="00C62B4E"/>
    <w:rsid w:val="00C630AF"/>
    <w:rsid w:val="00C6327A"/>
    <w:rsid w:val="00C63377"/>
    <w:rsid w:val="00C63418"/>
    <w:rsid w:val="00C6345C"/>
    <w:rsid w:val="00C634BB"/>
    <w:rsid w:val="00C63BF6"/>
    <w:rsid w:val="00C63E92"/>
    <w:rsid w:val="00C63F57"/>
    <w:rsid w:val="00C64301"/>
    <w:rsid w:val="00C643E6"/>
    <w:rsid w:val="00C64826"/>
    <w:rsid w:val="00C64AE2"/>
    <w:rsid w:val="00C64D67"/>
    <w:rsid w:val="00C64E05"/>
    <w:rsid w:val="00C64EB8"/>
    <w:rsid w:val="00C65584"/>
    <w:rsid w:val="00C6558C"/>
    <w:rsid w:val="00C655CD"/>
    <w:rsid w:val="00C65AB9"/>
    <w:rsid w:val="00C65FBA"/>
    <w:rsid w:val="00C660AB"/>
    <w:rsid w:val="00C66129"/>
    <w:rsid w:val="00C66459"/>
    <w:rsid w:val="00C66710"/>
    <w:rsid w:val="00C667AB"/>
    <w:rsid w:val="00C66B4E"/>
    <w:rsid w:val="00C66C40"/>
    <w:rsid w:val="00C66C89"/>
    <w:rsid w:val="00C66D6D"/>
    <w:rsid w:val="00C66EBC"/>
    <w:rsid w:val="00C66F18"/>
    <w:rsid w:val="00C6711C"/>
    <w:rsid w:val="00C6742B"/>
    <w:rsid w:val="00C675E8"/>
    <w:rsid w:val="00C67B39"/>
    <w:rsid w:val="00C7001F"/>
    <w:rsid w:val="00C7018B"/>
    <w:rsid w:val="00C70488"/>
    <w:rsid w:val="00C705B5"/>
    <w:rsid w:val="00C70827"/>
    <w:rsid w:val="00C70C05"/>
    <w:rsid w:val="00C70E28"/>
    <w:rsid w:val="00C7115E"/>
    <w:rsid w:val="00C71512"/>
    <w:rsid w:val="00C71665"/>
    <w:rsid w:val="00C717F5"/>
    <w:rsid w:val="00C7196C"/>
    <w:rsid w:val="00C7218F"/>
    <w:rsid w:val="00C72377"/>
    <w:rsid w:val="00C7268E"/>
    <w:rsid w:val="00C72A4B"/>
    <w:rsid w:val="00C72EFD"/>
    <w:rsid w:val="00C731F7"/>
    <w:rsid w:val="00C73683"/>
    <w:rsid w:val="00C737E5"/>
    <w:rsid w:val="00C73A1D"/>
    <w:rsid w:val="00C73CEF"/>
    <w:rsid w:val="00C73E2C"/>
    <w:rsid w:val="00C74064"/>
    <w:rsid w:val="00C745A7"/>
    <w:rsid w:val="00C746E2"/>
    <w:rsid w:val="00C74E85"/>
    <w:rsid w:val="00C7530B"/>
    <w:rsid w:val="00C753A5"/>
    <w:rsid w:val="00C758C0"/>
    <w:rsid w:val="00C75ACB"/>
    <w:rsid w:val="00C75BC5"/>
    <w:rsid w:val="00C75F44"/>
    <w:rsid w:val="00C763A4"/>
    <w:rsid w:val="00C76727"/>
    <w:rsid w:val="00C76919"/>
    <w:rsid w:val="00C76BB3"/>
    <w:rsid w:val="00C76FE0"/>
    <w:rsid w:val="00C76FFA"/>
    <w:rsid w:val="00C77096"/>
    <w:rsid w:val="00C776A9"/>
    <w:rsid w:val="00C776D5"/>
    <w:rsid w:val="00C777A3"/>
    <w:rsid w:val="00C77D19"/>
    <w:rsid w:val="00C77DA3"/>
    <w:rsid w:val="00C77E20"/>
    <w:rsid w:val="00C8018C"/>
    <w:rsid w:val="00C8018E"/>
    <w:rsid w:val="00C80C57"/>
    <w:rsid w:val="00C80C87"/>
    <w:rsid w:val="00C80CCC"/>
    <w:rsid w:val="00C80E1E"/>
    <w:rsid w:val="00C81321"/>
    <w:rsid w:val="00C814E1"/>
    <w:rsid w:val="00C81689"/>
    <w:rsid w:val="00C817E5"/>
    <w:rsid w:val="00C818BF"/>
    <w:rsid w:val="00C81AB0"/>
    <w:rsid w:val="00C81B13"/>
    <w:rsid w:val="00C81E0E"/>
    <w:rsid w:val="00C8212F"/>
    <w:rsid w:val="00C825FE"/>
    <w:rsid w:val="00C82D8D"/>
    <w:rsid w:val="00C82E23"/>
    <w:rsid w:val="00C83358"/>
    <w:rsid w:val="00C8350E"/>
    <w:rsid w:val="00C83667"/>
    <w:rsid w:val="00C836F7"/>
    <w:rsid w:val="00C8380B"/>
    <w:rsid w:val="00C83954"/>
    <w:rsid w:val="00C83C1B"/>
    <w:rsid w:val="00C83E57"/>
    <w:rsid w:val="00C83FB6"/>
    <w:rsid w:val="00C84388"/>
    <w:rsid w:val="00C8449A"/>
    <w:rsid w:val="00C84630"/>
    <w:rsid w:val="00C849D8"/>
    <w:rsid w:val="00C84BE1"/>
    <w:rsid w:val="00C84D4D"/>
    <w:rsid w:val="00C84D5B"/>
    <w:rsid w:val="00C84F6F"/>
    <w:rsid w:val="00C85261"/>
    <w:rsid w:val="00C855D1"/>
    <w:rsid w:val="00C85A1C"/>
    <w:rsid w:val="00C85E1B"/>
    <w:rsid w:val="00C86A8C"/>
    <w:rsid w:val="00C86BAC"/>
    <w:rsid w:val="00C86CBD"/>
    <w:rsid w:val="00C86CCB"/>
    <w:rsid w:val="00C86E75"/>
    <w:rsid w:val="00C87043"/>
    <w:rsid w:val="00C871B5"/>
    <w:rsid w:val="00C872AB"/>
    <w:rsid w:val="00C875A8"/>
    <w:rsid w:val="00C87673"/>
    <w:rsid w:val="00C876B7"/>
    <w:rsid w:val="00C87857"/>
    <w:rsid w:val="00C87D05"/>
    <w:rsid w:val="00C87D7F"/>
    <w:rsid w:val="00C903E4"/>
    <w:rsid w:val="00C9063A"/>
    <w:rsid w:val="00C9079B"/>
    <w:rsid w:val="00C90802"/>
    <w:rsid w:val="00C90943"/>
    <w:rsid w:val="00C909ED"/>
    <w:rsid w:val="00C90AFD"/>
    <w:rsid w:val="00C91014"/>
    <w:rsid w:val="00C91278"/>
    <w:rsid w:val="00C9150B"/>
    <w:rsid w:val="00C9153B"/>
    <w:rsid w:val="00C9196F"/>
    <w:rsid w:val="00C91BFF"/>
    <w:rsid w:val="00C91D9A"/>
    <w:rsid w:val="00C92052"/>
    <w:rsid w:val="00C920CD"/>
    <w:rsid w:val="00C921E3"/>
    <w:rsid w:val="00C92201"/>
    <w:rsid w:val="00C92417"/>
    <w:rsid w:val="00C92A7F"/>
    <w:rsid w:val="00C92C2B"/>
    <w:rsid w:val="00C92EA5"/>
    <w:rsid w:val="00C9309E"/>
    <w:rsid w:val="00C931B6"/>
    <w:rsid w:val="00C9386F"/>
    <w:rsid w:val="00C93985"/>
    <w:rsid w:val="00C93D2D"/>
    <w:rsid w:val="00C93EEF"/>
    <w:rsid w:val="00C93FB2"/>
    <w:rsid w:val="00C94308"/>
    <w:rsid w:val="00C946CC"/>
    <w:rsid w:val="00C94A68"/>
    <w:rsid w:val="00C94D41"/>
    <w:rsid w:val="00C94E57"/>
    <w:rsid w:val="00C950E7"/>
    <w:rsid w:val="00C95223"/>
    <w:rsid w:val="00C95472"/>
    <w:rsid w:val="00C95A35"/>
    <w:rsid w:val="00C95E28"/>
    <w:rsid w:val="00C95EA4"/>
    <w:rsid w:val="00C96202"/>
    <w:rsid w:val="00C965C3"/>
    <w:rsid w:val="00C9673B"/>
    <w:rsid w:val="00C9688E"/>
    <w:rsid w:val="00C96DBF"/>
    <w:rsid w:val="00C9719A"/>
    <w:rsid w:val="00C9722E"/>
    <w:rsid w:val="00C9735B"/>
    <w:rsid w:val="00C9736B"/>
    <w:rsid w:val="00C97DD3"/>
    <w:rsid w:val="00CA0812"/>
    <w:rsid w:val="00CA096E"/>
    <w:rsid w:val="00CA0C02"/>
    <w:rsid w:val="00CA0D92"/>
    <w:rsid w:val="00CA0DC1"/>
    <w:rsid w:val="00CA0E4A"/>
    <w:rsid w:val="00CA0F1F"/>
    <w:rsid w:val="00CA11BE"/>
    <w:rsid w:val="00CA15B4"/>
    <w:rsid w:val="00CA15EA"/>
    <w:rsid w:val="00CA1BAC"/>
    <w:rsid w:val="00CA1DFD"/>
    <w:rsid w:val="00CA1E8C"/>
    <w:rsid w:val="00CA21E0"/>
    <w:rsid w:val="00CA27BE"/>
    <w:rsid w:val="00CA2A9E"/>
    <w:rsid w:val="00CA2B0E"/>
    <w:rsid w:val="00CA2EF5"/>
    <w:rsid w:val="00CA2EFE"/>
    <w:rsid w:val="00CA2F67"/>
    <w:rsid w:val="00CA33C8"/>
    <w:rsid w:val="00CA3429"/>
    <w:rsid w:val="00CA36C5"/>
    <w:rsid w:val="00CA3EEF"/>
    <w:rsid w:val="00CA3F99"/>
    <w:rsid w:val="00CA42DA"/>
    <w:rsid w:val="00CA473E"/>
    <w:rsid w:val="00CA4784"/>
    <w:rsid w:val="00CA4D7F"/>
    <w:rsid w:val="00CA4FE1"/>
    <w:rsid w:val="00CA52FE"/>
    <w:rsid w:val="00CA5321"/>
    <w:rsid w:val="00CA53CD"/>
    <w:rsid w:val="00CA5591"/>
    <w:rsid w:val="00CA57F1"/>
    <w:rsid w:val="00CA5A12"/>
    <w:rsid w:val="00CA5F82"/>
    <w:rsid w:val="00CA5FEB"/>
    <w:rsid w:val="00CA652E"/>
    <w:rsid w:val="00CA677E"/>
    <w:rsid w:val="00CA6C02"/>
    <w:rsid w:val="00CA6C76"/>
    <w:rsid w:val="00CA766B"/>
    <w:rsid w:val="00CA76B4"/>
    <w:rsid w:val="00CA788C"/>
    <w:rsid w:val="00CA78DB"/>
    <w:rsid w:val="00CA7AEC"/>
    <w:rsid w:val="00CA7F67"/>
    <w:rsid w:val="00CB0353"/>
    <w:rsid w:val="00CB05A6"/>
    <w:rsid w:val="00CB05DA"/>
    <w:rsid w:val="00CB08D3"/>
    <w:rsid w:val="00CB0903"/>
    <w:rsid w:val="00CB0BF5"/>
    <w:rsid w:val="00CB0C5E"/>
    <w:rsid w:val="00CB0F0B"/>
    <w:rsid w:val="00CB0FB5"/>
    <w:rsid w:val="00CB1385"/>
    <w:rsid w:val="00CB13AA"/>
    <w:rsid w:val="00CB1700"/>
    <w:rsid w:val="00CB171C"/>
    <w:rsid w:val="00CB1BDE"/>
    <w:rsid w:val="00CB1D06"/>
    <w:rsid w:val="00CB219E"/>
    <w:rsid w:val="00CB2364"/>
    <w:rsid w:val="00CB2385"/>
    <w:rsid w:val="00CB2A27"/>
    <w:rsid w:val="00CB2D04"/>
    <w:rsid w:val="00CB2DA5"/>
    <w:rsid w:val="00CB3729"/>
    <w:rsid w:val="00CB3933"/>
    <w:rsid w:val="00CB395B"/>
    <w:rsid w:val="00CB3A02"/>
    <w:rsid w:val="00CB3A05"/>
    <w:rsid w:val="00CB3AA8"/>
    <w:rsid w:val="00CB3E7A"/>
    <w:rsid w:val="00CB404C"/>
    <w:rsid w:val="00CB40BD"/>
    <w:rsid w:val="00CB45DF"/>
    <w:rsid w:val="00CB4860"/>
    <w:rsid w:val="00CB4867"/>
    <w:rsid w:val="00CB4A5A"/>
    <w:rsid w:val="00CB4ABC"/>
    <w:rsid w:val="00CB4D75"/>
    <w:rsid w:val="00CB5298"/>
    <w:rsid w:val="00CB5A83"/>
    <w:rsid w:val="00CB5B75"/>
    <w:rsid w:val="00CB5E02"/>
    <w:rsid w:val="00CB5EE2"/>
    <w:rsid w:val="00CB62D3"/>
    <w:rsid w:val="00CB62EB"/>
    <w:rsid w:val="00CB65BF"/>
    <w:rsid w:val="00CB6965"/>
    <w:rsid w:val="00CB6B26"/>
    <w:rsid w:val="00CB7153"/>
    <w:rsid w:val="00CB73F9"/>
    <w:rsid w:val="00CB76C3"/>
    <w:rsid w:val="00CB78DA"/>
    <w:rsid w:val="00CB7A88"/>
    <w:rsid w:val="00CB7AC5"/>
    <w:rsid w:val="00CB7BAB"/>
    <w:rsid w:val="00CC00A8"/>
    <w:rsid w:val="00CC0341"/>
    <w:rsid w:val="00CC0374"/>
    <w:rsid w:val="00CC0C0A"/>
    <w:rsid w:val="00CC0CD7"/>
    <w:rsid w:val="00CC0DD4"/>
    <w:rsid w:val="00CC0ECF"/>
    <w:rsid w:val="00CC10FE"/>
    <w:rsid w:val="00CC134C"/>
    <w:rsid w:val="00CC1407"/>
    <w:rsid w:val="00CC1858"/>
    <w:rsid w:val="00CC1BE1"/>
    <w:rsid w:val="00CC1BEC"/>
    <w:rsid w:val="00CC1D37"/>
    <w:rsid w:val="00CC1E89"/>
    <w:rsid w:val="00CC202E"/>
    <w:rsid w:val="00CC2380"/>
    <w:rsid w:val="00CC2575"/>
    <w:rsid w:val="00CC2806"/>
    <w:rsid w:val="00CC2861"/>
    <w:rsid w:val="00CC2864"/>
    <w:rsid w:val="00CC2962"/>
    <w:rsid w:val="00CC2E0D"/>
    <w:rsid w:val="00CC2FBE"/>
    <w:rsid w:val="00CC310C"/>
    <w:rsid w:val="00CC3373"/>
    <w:rsid w:val="00CC3774"/>
    <w:rsid w:val="00CC3795"/>
    <w:rsid w:val="00CC37E7"/>
    <w:rsid w:val="00CC383D"/>
    <w:rsid w:val="00CC3BE5"/>
    <w:rsid w:val="00CC3D60"/>
    <w:rsid w:val="00CC3DD5"/>
    <w:rsid w:val="00CC3EFC"/>
    <w:rsid w:val="00CC4235"/>
    <w:rsid w:val="00CC46CE"/>
    <w:rsid w:val="00CC4711"/>
    <w:rsid w:val="00CC4884"/>
    <w:rsid w:val="00CC48F8"/>
    <w:rsid w:val="00CC493C"/>
    <w:rsid w:val="00CC4986"/>
    <w:rsid w:val="00CC49F2"/>
    <w:rsid w:val="00CC4E5D"/>
    <w:rsid w:val="00CC4EBE"/>
    <w:rsid w:val="00CC4F97"/>
    <w:rsid w:val="00CC522B"/>
    <w:rsid w:val="00CC5495"/>
    <w:rsid w:val="00CC580D"/>
    <w:rsid w:val="00CC5C90"/>
    <w:rsid w:val="00CC5E99"/>
    <w:rsid w:val="00CC5EFD"/>
    <w:rsid w:val="00CC6094"/>
    <w:rsid w:val="00CC6291"/>
    <w:rsid w:val="00CC6A96"/>
    <w:rsid w:val="00CC70FE"/>
    <w:rsid w:val="00CC71D8"/>
    <w:rsid w:val="00CC738A"/>
    <w:rsid w:val="00CC73B5"/>
    <w:rsid w:val="00CC7547"/>
    <w:rsid w:val="00CC7A8E"/>
    <w:rsid w:val="00CD0242"/>
    <w:rsid w:val="00CD025A"/>
    <w:rsid w:val="00CD0365"/>
    <w:rsid w:val="00CD0922"/>
    <w:rsid w:val="00CD0EF7"/>
    <w:rsid w:val="00CD1495"/>
    <w:rsid w:val="00CD15B1"/>
    <w:rsid w:val="00CD1700"/>
    <w:rsid w:val="00CD1794"/>
    <w:rsid w:val="00CD1906"/>
    <w:rsid w:val="00CD1B5B"/>
    <w:rsid w:val="00CD1CA6"/>
    <w:rsid w:val="00CD1F87"/>
    <w:rsid w:val="00CD202F"/>
    <w:rsid w:val="00CD207B"/>
    <w:rsid w:val="00CD2294"/>
    <w:rsid w:val="00CD22F5"/>
    <w:rsid w:val="00CD24DD"/>
    <w:rsid w:val="00CD26B3"/>
    <w:rsid w:val="00CD26CD"/>
    <w:rsid w:val="00CD2912"/>
    <w:rsid w:val="00CD2AB0"/>
    <w:rsid w:val="00CD2C48"/>
    <w:rsid w:val="00CD30E1"/>
    <w:rsid w:val="00CD3E62"/>
    <w:rsid w:val="00CD4074"/>
    <w:rsid w:val="00CD40F4"/>
    <w:rsid w:val="00CD44B1"/>
    <w:rsid w:val="00CD4F0F"/>
    <w:rsid w:val="00CD5077"/>
    <w:rsid w:val="00CD535D"/>
    <w:rsid w:val="00CD53B6"/>
    <w:rsid w:val="00CD5746"/>
    <w:rsid w:val="00CD5796"/>
    <w:rsid w:val="00CD57D3"/>
    <w:rsid w:val="00CD57DB"/>
    <w:rsid w:val="00CD5978"/>
    <w:rsid w:val="00CD6486"/>
    <w:rsid w:val="00CD64B9"/>
    <w:rsid w:val="00CD66BF"/>
    <w:rsid w:val="00CD6760"/>
    <w:rsid w:val="00CD6893"/>
    <w:rsid w:val="00CD6C8B"/>
    <w:rsid w:val="00CD6D8A"/>
    <w:rsid w:val="00CD72F0"/>
    <w:rsid w:val="00CD7B17"/>
    <w:rsid w:val="00CE0025"/>
    <w:rsid w:val="00CE01E7"/>
    <w:rsid w:val="00CE0739"/>
    <w:rsid w:val="00CE16AE"/>
    <w:rsid w:val="00CE16B8"/>
    <w:rsid w:val="00CE1958"/>
    <w:rsid w:val="00CE1A1B"/>
    <w:rsid w:val="00CE2549"/>
    <w:rsid w:val="00CE282F"/>
    <w:rsid w:val="00CE292C"/>
    <w:rsid w:val="00CE2B23"/>
    <w:rsid w:val="00CE303F"/>
    <w:rsid w:val="00CE30AF"/>
    <w:rsid w:val="00CE350E"/>
    <w:rsid w:val="00CE392F"/>
    <w:rsid w:val="00CE39F2"/>
    <w:rsid w:val="00CE3F99"/>
    <w:rsid w:val="00CE418B"/>
    <w:rsid w:val="00CE4333"/>
    <w:rsid w:val="00CE4809"/>
    <w:rsid w:val="00CE4D23"/>
    <w:rsid w:val="00CE55F1"/>
    <w:rsid w:val="00CE5705"/>
    <w:rsid w:val="00CE59B6"/>
    <w:rsid w:val="00CE5A7D"/>
    <w:rsid w:val="00CE5AFE"/>
    <w:rsid w:val="00CE5FB6"/>
    <w:rsid w:val="00CE6098"/>
    <w:rsid w:val="00CE62D0"/>
    <w:rsid w:val="00CE6340"/>
    <w:rsid w:val="00CE6409"/>
    <w:rsid w:val="00CE644C"/>
    <w:rsid w:val="00CE67DA"/>
    <w:rsid w:val="00CE6F1A"/>
    <w:rsid w:val="00CE6F30"/>
    <w:rsid w:val="00CE7278"/>
    <w:rsid w:val="00CE7670"/>
    <w:rsid w:val="00CE77FE"/>
    <w:rsid w:val="00CE78A9"/>
    <w:rsid w:val="00CE7ABD"/>
    <w:rsid w:val="00CE7B71"/>
    <w:rsid w:val="00CE7BBC"/>
    <w:rsid w:val="00CE7C40"/>
    <w:rsid w:val="00CF0037"/>
    <w:rsid w:val="00CF01E6"/>
    <w:rsid w:val="00CF081D"/>
    <w:rsid w:val="00CF0825"/>
    <w:rsid w:val="00CF0A77"/>
    <w:rsid w:val="00CF0A8B"/>
    <w:rsid w:val="00CF0A8D"/>
    <w:rsid w:val="00CF0D67"/>
    <w:rsid w:val="00CF1110"/>
    <w:rsid w:val="00CF15C6"/>
    <w:rsid w:val="00CF184B"/>
    <w:rsid w:val="00CF18C3"/>
    <w:rsid w:val="00CF1A3C"/>
    <w:rsid w:val="00CF1AB4"/>
    <w:rsid w:val="00CF1AFE"/>
    <w:rsid w:val="00CF1EC5"/>
    <w:rsid w:val="00CF2029"/>
    <w:rsid w:val="00CF2185"/>
    <w:rsid w:val="00CF22DA"/>
    <w:rsid w:val="00CF231E"/>
    <w:rsid w:val="00CF2335"/>
    <w:rsid w:val="00CF2453"/>
    <w:rsid w:val="00CF2567"/>
    <w:rsid w:val="00CF280F"/>
    <w:rsid w:val="00CF2ADD"/>
    <w:rsid w:val="00CF2B9F"/>
    <w:rsid w:val="00CF2C60"/>
    <w:rsid w:val="00CF2EC2"/>
    <w:rsid w:val="00CF3205"/>
    <w:rsid w:val="00CF32E6"/>
    <w:rsid w:val="00CF3654"/>
    <w:rsid w:val="00CF37F4"/>
    <w:rsid w:val="00CF381A"/>
    <w:rsid w:val="00CF3A03"/>
    <w:rsid w:val="00CF3A1C"/>
    <w:rsid w:val="00CF3BCD"/>
    <w:rsid w:val="00CF3CCA"/>
    <w:rsid w:val="00CF3F7C"/>
    <w:rsid w:val="00CF4172"/>
    <w:rsid w:val="00CF41C8"/>
    <w:rsid w:val="00CF4B6C"/>
    <w:rsid w:val="00CF4C5F"/>
    <w:rsid w:val="00CF4D88"/>
    <w:rsid w:val="00CF4DC4"/>
    <w:rsid w:val="00CF5015"/>
    <w:rsid w:val="00CF50AD"/>
    <w:rsid w:val="00CF54B3"/>
    <w:rsid w:val="00CF54BA"/>
    <w:rsid w:val="00CF5584"/>
    <w:rsid w:val="00CF57A1"/>
    <w:rsid w:val="00CF581A"/>
    <w:rsid w:val="00CF592E"/>
    <w:rsid w:val="00CF5B42"/>
    <w:rsid w:val="00CF6044"/>
    <w:rsid w:val="00CF67C6"/>
    <w:rsid w:val="00CF6D6F"/>
    <w:rsid w:val="00CF6DB8"/>
    <w:rsid w:val="00CF6F85"/>
    <w:rsid w:val="00CF6FB0"/>
    <w:rsid w:val="00CF7058"/>
    <w:rsid w:val="00CF79C2"/>
    <w:rsid w:val="00CF7D9B"/>
    <w:rsid w:val="00CF7E73"/>
    <w:rsid w:val="00CF7E77"/>
    <w:rsid w:val="00CF7EF1"/>
    <w:rsid w:val="00CF7F42"/>
    <w:rsid w:val="00CF7F85"/>
    <w:rsid w:val="00D00186"/>
    <w:rsid w:val="00D004ED"/>
    <w:rsid w:val="00D00897"/>
    <w:rsid w:val="00D00B7D"/>
    <w:rsid w:val="00D00BFD"/>
    <w:rsid w:val="00D01804"/>
    <w:rsid w:val="00D01CAF"/>
    <w:rsid w:val="00D02355"/>
    <w:rsid w:val="00D02735"/>
    <w:rsid w:val="00D028FC"/>
    <w:rsid w:val="00D02CCD"/>
    <w:rsid w:val="00D02ED3"/>
    <w:rsid w:val="00D034DF"/>
    <w:rsid w:val="00D036B7"/>
    <w:rsid w:val="00D03984"/>
    <w:rsid w:val="00D03DD7"/>
    <w:rsid w:val="00D04106"/>
    <w:rsid w:val="00D04BA5"/>
    <w:rsid w:val="00D04C4F"/>
    <w:rsid w:val="00D04D75"/>
    <w:rsid w:val="00D04D78"/>
    <w:rsid w:val="00D04F3D"/>
    <w:rsid w:val="00D05029"/>
    <w:rsid w:val="00D050FC"/>
    <w:rsid w:val="00D05287"/>
    <w:rsid w:val="00D053B9"/>
    <w:rsid w:val="00D055D6"/>
    <w:rsid w:val="00D056A8"/>
    <w:rsid w:val="00D05918"/>
    <w:rsid w:val="00D05B39"/>
    <w:rsid w:val="00D066C1"/>
    <w:rsid w:val="00D069FF"/>
    <w:rsid w:val="00D06B12"/>
    <w:rsid w:val="00D06B87"/>
    <w:rsid w:val="00D06C66"/>
    <w:rsid w:val="00D06CAC"/>
    <w:rsid w:val="00D06D2C"/>
    <w:rsid w:val="00D06E70"/>
    <w:rsid w:val="00D073E0"/>
    <w:rsid w:val="00D076A1"/>
    <w:rsid w:val="00D07873"/>
    <w:rsid w:val="00D07CA6"/>
    <w:rsid w:val="00D07DEC"/>
    <w:rsid w:val="00D07E89"/>
    <w:rsid w:val="00D109C8"/>
    <w:rsid w:val="00D10A93"/>
    <w:rsid w:val="00D10F49"/>
    <w:rsid w:val="00D110ED"/>
    <w:rsid w:val="00D119AA"/>
    <w:rsid w:val="00D11D0D"/>
    <w:rsid w:val="00D11E3D"/>
    <w:rsid w:val="00D11EE9"/>
    <w:rsid w:val="00D11FB9"/>
    <w:rsid w:val="00D122B9"/>
    <w:rsid w:val="00D125A1"/>
    <w:rsid w:val="00D12960"/>
    <w:rsid w:val="00D129F4"/>
    <w:rsid w:val="00D12AFE"/>
    <w:rsid w:val="00D12BAE"/>
    <w:rsid w:val="00D12D5F"/>
    <w:rsid w:val="00D12F83"/>
    <w:rsid w:val="00D13222"/>
    <w:rsid w:val="00D135FB"/>
    <w:rsid w:val="00D13B55"/>
    <w:rsid w:val="00D13ED4"/>
    <w:rsid w:val="00D142E4"/>
    <w:rsid w:val="00D142F9"/>
    <w:rsid w:val="00D14492"/>
    <w:rsid w:val="00D14913"/>
    <w:rsid w:val="00D14DCA"/>
    <w:rsid w:val="00D14ED6"/>
    <w:rsid w:val="00D1580F"/>
    <w:rsid w:val="00D1596C"/>
    <w:rsid w:val="00D163CA"/>
    <w:rsid w:val="00D16825"/>
    <w:rsid w:val="00D1690F"/>
    <w:rsid w:val="00D16A45"/>
    <w:rsid w:val="00D16B0D"/>
    <w:rsid w:val="00D16B5A"/>
    <w:rsid w:val="00D16CFB"/>
    <w:rsid w:val="00D16DFC"/>
    <w:rsid w:val="00D16E42"/>
    <w:rsid w:val="00D172AA"/>
    <w:rsid w:val="00D17544"/>
    <w:rsid w:val="00D1768A"/>
    <w:rsid w:val="00D17C88"/>
    <w:rsid w:val="00D2015F"/>
    <w:rsid w:val="00D203D0"/>
    <w:rsid w:val="00D20443"/>
    <w:rsid w:val="00D2104D"/>
    <w:rsid w:val="00D211E2"/>
    <w:rsid w:val="00D218A4"/>
    <w:rsid w:val="00D21F34"/>
    <w:rsid w:val="00D22662"/>
    <w:rsid w:val="00D22B07"/>
    <w:rsid w:val="00D23171"/>
    <w:rsid w:val="00D23237"/>
    <w:rsid w:val="00D238F7"/>
    <w:rsid w:val="00D23BAB"/>
    <w:rsid w:val="00D23C72"/>
    <w:rsid w:val="00D23E7E"/>
    <w:rsid w:val="00D23F71"/>
    <w:rsid w:val="00D2430A"/>
    <w:rsid w:val="00D24315"/>
    <w:rsid w:val="00D244AC"/>
    <w:rsid w:val="00D248AD"/>
    <w:rsid w:val="00D24BCC"/>
    <w:rsid w:val="00D2505E"/>
    <w:rsid w:val="00D2508C"/>
    <w:rsid w:val="00D257E9"/>
    <w:rsid w:val="00D259AC"/>
    <w:rsid w:val="00D259CE"/>
    <w:rsid w:val="00D25A37"/>
    <w:rsid w:val="00D25D60"/>
    <w:rsid w:val="00D26185"/>
    <w:rsid w:val="00D262FE"/>
    <w:rsid w:val="00D268A1"/>
    <w:rsid w:val="00D26C88"/>
    <w:rsid w:val="00D2729E"/>
    <w:rsid w:val="00D27431"/>
    <w:rsid w:val="00D2752A"/>
    <w:rsid w:val="00D278DA"/>
    <w:rsid w:val="00D27A1F"/>
    <w:rsid w:val="00D27D9D"/>
    <w:rsid w:val="00D27ECA"/>
    <w:rsid w:val="00D27F43"/>
    <w:rsid w:val="00D30A54"/>
    <w:rsid w:val="00D3185A"/>
    <w:rsid w:val="00D31997"/>
    <w:rsid w:val="00D31C22"/>
    <w:rsid w:val="00D31D16"/>
    <w:rsid w:val="00D31FCA"/>
    <w:rsid w:val="00D32600"/>
    <w:rsid w:val="00D32A46"/>
    <w:rsid w:val="00D32E85"/>
    <w:rsid w:val="00D32F3F"/>
    <w:rsid w:val="00D32F63"/>
    <w:rsid w:val="00D3342A"/>
    <w:rsid w:val="00D334FA"/>
    <w:rsid w:val="00D33655"/>
    <w:rsid w:val="00D336E7"/>
    <w:rsid w:val="00D33B55"/>
    <w:rsid w:val="00D33C31"/>
    <w:rsid w:val="00D33DDC"/>
    <w:rsid w:val="00D340A6"/>
    <w:rsid w:val="00D340B5"/>
    <w:rsid w:val="00D341AC"/>
    <w:rsid w:val="00D3423C"/>
    <w:rsid w:val="00D35423"/>
    <w:rsid w:val="00D35431"/>
    <w:rsid w:val="00D35754"/>
    <w:rsid w:val="00D35803"/>
    <w:rsid w:val="00D35C73"/>
    <w:rsid w:val="00D3600C"/>
    <w:rsid w:val="00D36B6D"/>
    <w:rsid w:val="00D36C78"/>
    <w:rsid w:val="00D36D78"/>
    <w:rsid w:val="00D3703B"/>
    <w:rsid w:val="00D37649"/>
    <w:rsid w:val="00D37B5B"/>
    <w:rsid w:val="00D37C05"/>
    <w:rsid w:val="00D37E01"/>
    <w:rsid w:val="00D37F6B"/>
    <w:rsid w:val="00D400F6"/>
    <w:rsid w:val="00D402D9"/>
    <w:rsid w:val="00D40350"/>
    <w:rsid w:val="00D408CC"/>
    <w:rsid w:val="00D40927"/>
    <w:rsid w:val="00D40E2E"/>
    <w:rsid w:val="00D40FE6"/>
    <w:rsid w:val="00D4139D"/>
    <w:rsid w:val="00D414C3"/>
    <w:rsid w:val="00D41517"/>
    <w:rsid w:val="00D41765"/>
    <w:rsid w:val="00D4179D"/>
    <w:rsid w:val="00D41949"/>
    <w:rsid w:val="00D41B15"/>
    <w:rsid w:val="00D41B1E"/>
    <w:rsid w:val="00D41D9C"/>
    <w:rsid w:val="00D42132"/>
    <w:rsid w:val="00D42455"/>
    <w:rsid w:val="00D424BA"/>
    <w:rsid w:val="00D42D44"/>
    <w:rsid w:val="00D42FAB"/>
    <w:rsid w:val="00D42FB4"/>
    <w:rsid w:val="00D43232"/>
    <w:rsid w:val="00D4344F"/>
    <w:rsid w:val="00D435B3"/>
    <w:rsid w:val="00D4376D"/>
    <w:rsid w:val="00D439BF"/>
    <w:rsid w:val="00D43A48"/>
    <w:rsid w:val="00D43CFB"/>
    <w:rsid w:val="00D43E7E"/>
    <w:rsid w:val="00D4409B"/>
    <w:rsid w:val="00D4419A"/>
    <w:rsid w:val="00D44331"/>
    <w:rsid w:val="00D443B7"/>
    <w:rsid w:val="00D44723"/>
    <w:rsid w:val="00D4492A"/>
    <w:rsid w:val="00D44D03"/>
    <w:rsid w:val="00D44D84"/>
    <w:rsid w:val="00D44E7A"/>
    <w:rsid w:val="00D451DC"/>
    <w:rsid w:val="00D45214"/>
    <w:rsid w:val="00D45382"/>
    <w:rsid w:val="00D458E5"/>
    <w:rsid w:val="00D45914"/>
    <w:rsid w:val="00D45ACC"/>
    <w:rsid w:val="00D45B45"/>
    <w:rsid w:val="00D45BD6"/>
    <w:rsid w:val="00D45DBF"/>
    <w:rsid w:val="00D45E53"/>
    <w:rsid w:val="00D45F92"/>
    <w:rsid w:val="00D45F9F"/>
    <w:rsid w:val="00D45FAF"/>
    <w:rsid w:val="00D46204"/>
    <w:rsid w:val="00D464D8"/>
    <w:rsid w:val="00D465CE"/>
    <w:rsid w:val="00D4676D"/>
    <w:rsid w:val="00D46A5A"/>
    <w:rsid w:val="00D46DEC"/>
    <w:rsid w:val="00D47170"/>
    <w:rsid w:val="00D471BD"/>
    <w:rsid w:val="00D4726D"/>
    <w:rsid w:val="00D472DB"/>
    <w:rsid w:val="00D47472"/>
    <w:rsid w:val="00D47A65"/>
    <w:rsid w:val="00D47F0F"/>
    <w:rsid w:val="00D5001C"/>
    <w:rsid w:val="00D50040"/>
    <w:rsid w:val="00D5078F"/>
    <w:rsid w:val="00D50863"/>
    <w:rsid w:val="00D50A55"/>
    <w:rsid w:val="00D50D2A"/>
    <w:rsid w:val="00D51472"/>
    <w:rsid w:val="00D5185E"/>
    <w:rsid w:val="00D51D20"/>
    <w:rsid w:val="00D51F4C"/>
    <w:rsid w:val="00D5231C"/>
    <w:rsid w:val="00D52432"/>
    <w:rsid w:val="00D52615"/>
    <w:rsid w:val="00D528C1"/>
    <w:rsid w:val="00D531DF"/>
    <w:rsid w:val="00D545D9"/>
    <w:rsid w:val="00D5473F"/>
    <w:rsid w:val="00D54CF2"/>
    <w:rsid w:val="00D54EC5"/>
    <w:rsid w:val="00D550F8"/>
    <w:rsid w:val="00D55175"/>
    <w:rsid w:val="00D556F0"/>
    <w:rsid w:val="00D55998"/>
    <w:rsid w:val="00D55BAA"/>
    <w:rsid w:val="00D55C8E"/>
    <w:rsid w:val="00D55DFD"/>
    <w:rsid w:val="00D56BAE"/>
    <w:rsid w:val="00D56BE4"/>
    <w:rsid w:val="00D56D69"/>
    <w:rsid w:val="00D5721C"/>
    <w:rsid w:val="00D57282"/>
    <w:rsid w:val="00D57328"/>
    <w:rsid w:val="00D5765B"/>
    <w:rsid w:val="00D57688"/>
    <w:rsid w:val="00D57777"/>
    <w:rsid w:val="00D57867"/>
    <w:rsid w:val="00D579B8"/>
    <w:rsid w:val="00D57B57"/>
    <w:rsid w:val="00D57D4F"/>
    <w:rsid w:val="00D57DB0"/>
    <w:rsid w:val="00D60021"/>
    <w:rsid w:val="00D6019D"/>
    <w:rsid w:val="00D601C4"/>
    <w:rsid w:val="00D606E6"/>
    <w:rsid w:val="00D60824"/>
    <w:rsid w:val="00D6096E"/>
    <w:rsid w:val="00D60C3B"/>
    <w:rsid w:val="00D61333"/>
    <w:rsid w:val="00D6177D"/>
    <w:rsid w:val="00D61A50"/>
    <w:rsid w:val="00D61B39"/>
    <w:rsid w:val="00D61B6F"/>
    <w:rsid w:val="00D61B98"/>
    <w:rsid w:val="00D61EC6"/>
    <w:rsid w:val="00D61FA1"/>
    <w:rsid w:val="00D61FFB"/>
    <w:rsid w:val="00D62024"/>
    <w:rsid w:val="00D62464"/>
    <w:rsid w:val="00D62649"/>
    <w:rsid w:val="00D626FD"/>
    <w:rsid w:val="00D62760"/>
    <w:rsid w:val="00D628F6"/>
    <w:rsid w:val="00D629A0"/>
    <w:rsid w:val="00D62BDC"/>
    <w:rsid w:val="00D62FB5"/>
    <w:rsid w:val="00D636F1"/>
    <w:rsid w:val="00D63837"/>
    <w:rsid w:val="00D63B89"/>
    <w:rsid w:val="00D63BC4"/>
    <w:rsid w:val="00D63C31"/>
    <w:rsid w:val="00D6418F"/>
    <w:rsid w:val="00D644E5"/>
    <w:rsid w:val="00D64563"/>
    <w:rsid w:val="00D64655"/>
    <w:rsid w:val="00D647E3"/>
    <w:rsid w:val="00D64AA6"/>
    <w:rsid w:val="00D64B6F"/>
    <w:rsid w:val="00D64E0A"/>
    <w:rsid w:val="00D64E34"/>
    <w:rsid w:val="00D64EE6"/>
    <w:rsid w:val="00D650AA"/>
    <w:rsid w:val="00D6521D"/>
    <w:rsid w:val="00D65277"/>
    <w:rsid w:val="00D65310"/>
    <w:rsid w:val="00D65401"/>
    <w:rsid w:val="00D65521"/>
    <w:rsid w:val="00D65D8C"/>
    <w:rsid w:val="00D6650C"/>
    <w:rsid w:val="00D66AAE"/>
    <w:rsid w:val="00D66F3F"/>
    <w:rsid w:val="00D66FEE"/>
    <w:rsid w:val="00D67070"/>
    <w:rsid w:val="00D672EE"/>
    <w:rsid w:val="00D67609"/>
    <w:rsid w:val="00D67629"/>
    <w:rsid w:val="00D67BBE"/>
    <w:rsid w:val="00D70289"/>
    <w:rsid w:val="00D70603"/>
    <w:rsid w:val="00D706DA"/>
    <w:rsid w:val="00D70ADF"/>
    <w:rsid w:val="00D710F1"/>
    <w:rsid w:val="00D7110B"/>
    <w:rsid w:val="00D7160F"/>
    <w:rsid w:val="00D717CB"/>
    <w:rsid w:val="00D72D7C"/>
    <w:rsid w:val="00D734F8"/>
    <w:rsid w:val="00D7365C"/>
    <w:rsid w:val="00D73BA7"/>
    <w:rsid w:val="00D73D6F"/>
    <w:rsid w:val="00D73F51"/>
    <w:rsid w:val="00D73FEE"/>
    <w:rsid w:val="00D74036"/>
    <w:rsid w:val="00D74217"/>
    <w:rsid w:val="00D74338"/>
    <w:rsid w:val="00D745C7"/>
    <w:rsid w:val="00D74A80"/>
    <w:rsid w:val="00D74AA3"/>
    <w:rsid w:val="00D74B59"/>
    <w:rsid w:val="00D74C8F"/>
    <w:rsid w:val="00D74CCE"/>
    <w:rsid w:val="00D74FC8"/>
    <w:rsid w:val="00D7515D"/>
    <w:rsid w:val="00D75259"/>
    <w:rsid w:val="00D755C1"/>
    <w:rsid w:val="00D756A4"/>
    <w:rsid w:val="00D75980"/>
    <w:rsid w:val="00D75FBA"/>
    <w:rsid w:val="00D761BB"/>
    <w:rsid w:val="00D76485"/>
    <w:rsid w:val="00D766F5"/>
    <w:rsid w:val="00D76A14"/>
    <w:rsid w:val="00D77133"/>
    <w:rsid w:val="00D777FC"/>
    <w:rsid w:val="00D77B3A"/>
    <w:rsid w:val="00D805FD"/>
    <w:rsid w:val="00D80867"/>
    <w:rsid w:val="00D80876"/>
    <w:rsid w:val="00D80B30"/>
    <w:rsid w:val="00D80DB5"/>
    <w:rsid w:val="00D80F39"/>
    <w:rsid w:val="00D810A5"/>
    <w:rsid w:val="00D81188"/>
    <w:rsid w:val="00D8124B"/>
    <w:rsid w:val="00D812D8"/>
    <w:rsid w:val="00D813EA"/>
    <w:rsid w:val="00D81731"/>
    <w:rsid w:val="00D82221"/>
    <w:rsid w:val="00D8260E"/>
    <w:rsid w:val="00D827DE"/>
    <w:rsid w:val="00D82CA4"/>
    <w:rsid w:val="00D83090"/>
    <w:rsid w:val="00D83EB1"/>
    <w:rsid w:val="00D8459A"/>
    <w:rsid w:val="00D845FD"/>
    <w:rsid w:val="00D846BA"/>
    <w:rsid w:val="00D8530D"/>
    <w:rsid w:val="00D8535B"/>
    <w:rsid w:val="00D85511"/>
    <w:rsid w:val="00D85724"/>
    <w:rsid w:val="00D85A51"/>
    <w:rsid w:val="00D85A92"/>
    <w:rsid w:val="00D85C6F"/>
    <w:rsid w:val="00D85D5D"/>
    <w:rsid w:val="00D85EEC"/>
    <w:rsid w:val="00D861AD"/>
    <w:rsid w:val="00D8778F"/>
    <w:rsid w:val="00D9018D"/>
    <w:rsid w:val="00D902CC"/>
    <w:rsid w:val="00D9032B"/>
    <w:rsid w:val="00D90B12"/>
    <w:rsid w:val="00D90D16"/>
    <w:rsid w:val="00D90D3E"/>
    <w:rsid w:val="00D90F67"/>
    <w:rsid w:val="00D91044"/>
    <w:rsid w:val="00D912B8"/>
    <w:rsid w:val="00D917B8"/>
    <w:rsid w:val="00D91C7C"/>
    <w:rsid w:val="00D935BD"/>
    <w:rsid w:val="00D93807"/>
    <w:rsid w:val="00D9384A"/>
    <w:rsid w:val="00D93D42"/>
    <w:rsid w:val="00D93DEA"/>
    <w:rsid w:val="00D93FB8"/>
    <w:rsid w:val="00D94007"/>
    <w:rsid w:val="00D94240"/>
    <w:rsid w:val="00D946D5"/>
    <w:rsid w:val="00D9481B"/>
    <w:rsid w:val="00D94933"/>
    <w:rsid w:val="00D94C71"/>
    <w:rsid w:val="00D95463"/>
    <w:rsid w:val="00D954C4"/>
    <w:rsid w:val="00D954E9"/>
    <w:rsid w:val="00D9559E"/>
    <w:rsid w:val="00D955C4"/>
    <w:rsid w:val="00D95704"/>
    <w:rsid w:val="00D95A8E"/>
    <w:rsid w:val="00D95CBD"/>
    <w:rsid w:val="00D95DC0"/>
    <w:rsid w:val="00D95EE2"/>
    <w:rsid w:val="00D95F2F"/>
    <w:rsid w:val="00D96441"/>
    <w:rsid w:val="00D96E37"/>
    <w:rsid w:val="00D9706E"/>
    <w:rsid w:val="00D973FE"/>
    <w:rsid w:val="00D975D3"/>
    <w:rsid w:val="00D97917"/>
    <w:rsid w:val="00D97AE8"/>
    <w:rsid w:val="00D97D27"/>
    <w:rsid w:val="00D97F2E"/>
    <w:rsid w:val="00DA0016"/>
    <w:rsid w:val="00DA01BC"/>
    <w:rsid w:val="00DA033E"/>
    <w:rsid w:val="00DA0862"/>
    <w:rsid w:val="00DA10D4"/>
    <w:rsid w:val="00DA1173"/>
    <w:rsid w:val="00DA191B"/>
    <w:rsid w:val="00DA194B"/>
    <w:rsid w:val="00DA1A26"/>
    <w:rsid w:val="00DA1B98"/>
    <w:rsid w:val="00DA1C8A"/>
    <w:rsid w:val="00DA219F"/>
    <w:rsid w:val="00DA2287"/>
    <w:rsid w:val="00DA22B3"/>
    <w:rsid w:val="00DA2372"/>
    <w:rsid w:val="00DA251E"/>
    <w:rsid w:val="00DA2562"/>
    <w:rsid w:val="00DA294E"/>
    <w:rsid w:val="00DA2D7B"/>
    <w:rsid w:val="00DA3142"/>
    <w:rsid w:val="00DA3DA4"/>
    <w:rsid w:val="00DA3FD4"/>
    <w:rsid w:val="00DA44FF"/>
    <w:rsid w:val="00DA46A7"/>
    <w:rsid w:val="00DA4786"/>
    <w:rsid w:val="00DA4C4B"/>
    <w:rsid w:val="00DA4C8D"/>
    <w:rsid w:val="00DA4F2F"/>
    <w:rsid w:val="00DA50F5"/>
    <w:rsid w:val="00DA52AC"/>
    <w:rsid w:val="00DA534C"/>
    <w:rsid w:val="00DA53C5"/>
    <w:rsid w:val="00DA546C"/>
    <w:rsid w:val="00DA5718"/>
    <w:rsid w:val="00DA5779"/>
    <w:rsid w:val="00DA5964"/>
    <w:rsid w:val="00DA5E9A"/>
    <w:rsid w:val="00DA5F3B"/>
    <w:rsid w:val="00DA5F96"/>
    <w:rsid w:val="00DA607D"/>
    <w:rsid w:val="00DA60B2"/>
    <w:rsid w:val="00DA6553"/>
    <w:rsid w:val="00DA65D6"/>
    <w:rsid w:val="00DA6683"/>
    <w:rsid w:val="00DA69B7"/>
    <w:rsid w:val="00DA6AF6"/>
    <w:rsid w:val="00DA6DC0"/>
    <w:rsid w:val="00DA75B1"/>
    <w:rsid w:val="00DA7C79"/>
    <w:rsid w:val="00DA7D0B"/>
    <w:rsid w:val="00DA7E69"/>
    <w:rsid w:val="00DB0021"/>
    <w:rsid w:val="00DB04D1"/>
    <w:rsid w:val="00DB05A8"/>
    <w:rsid w:val="00DB08A9"/>
    <w:rsid w:val="00DB0958"/>
    <w:rsid w:val="00DB096A"/>
    <w:rsid w:val="00DB0CAF"/>
    <w:rsid w:val="00DB130A"/>
    <w:rsid w:val="00DB1386"/>
    <w:rsid w:val="00DB14E2"/>
    <w:rsid w:val="00DB15F9"/>
    <w:rsid w:val="00DB1C7C"/>
    <w:rsid w:val="00DB206C"/>
    <w:rsid w:val="00DB20B8"/>
    <w:rsid w:val="00DB21A9"/>
    <w:rsid w:val="00DB255E"/>
    <w:rsid w:val="00DB2E0E"/>
    <w:rsid w:val="00DB2F9C"/>
    <w:rsid w:val="00DB3088"/>
    <w:rsid w:val="00DB3249"/>
    <w:rsid w:val="00DB35FF"/>
    <w:rsid w:val="00DB3980"/>
    <w:rsid w:val="00DB3CDA"/>
    <w:rsid w:val="00DB4085"/>
    <w:rsid w:val="00DB41F2"/>
    <w:rsid w:val="00DB438F"/>
    <w:rsid w:val="00DB4561"/>
    <w:rsid w:val="00DB46E6"/>
    <w:rsid w:val="00DB494E"/>
    <w:rsid w:val="00DB4C38"/>
    <w:rsid w:val="00DB4CFB"/>
    <w:rsid w:val="00DB4ED0"/>
    <w:rsid w:val="00DB4F58"/>
    <w:rsid w:val="00DB4F96"/>
    <w:rsid w:val="00DB5279"/>
    <w:rsid w:val="00DB5A7F"/>
    <w:rsid w:val="00DB5BA7"/>
    <w:rsid w:val="00DB5D30"/>
    <w:rsid w:val="00DB621D"/>
    <w:rsid w:val="00DB63D0"/>
    <w:rsid w:val="00DB6918"/>
    <w:rsid w:val="00DB697F"/>
    <w:rsid w:val="00DB6B43"/>
    <w:rsid w:val="00DB6C1E"/>
    <w:rsid w:val="00DB6D14"/>
    <w:rsid w:val="00DB6DB4"/>
    <w:rsid w:val="00DB6F18"/>
    <w:rsid w:val="00DB72B6"/>
    <w:rsid w:val="00DB73F4"/>
    <w:rsid w:val="00DB745D"/>
    <w:rsid w:val="00DB790F"/>
    <w:rsid w:val="00DB7A9E"/>
    <w:rsid w:val="00DB7B3A"/>
    <w:rsid w:val="00DB7CBC"/>
    <w:rsid w:val="00DC0DB9"/>
    <w:rsid w:val="00DC0DDE"/>
    <w:rsid w:val="00DC1092"/>
    <w:rsid w:val="00DC10F6"/>
    <w:rsid w:val="00DC1748"/>
    <w:rsid w:val="00DC1856"/>
    <w:rsid w:val="00DC19F0"/>
    <w:rsid w:val="00DC1AA7"/>
    <w:rsid w:val="00DC1D15"/>
    <w:rsid w:val="00DC21EC"/>
    <w:rsid w:val="00DC2204"/>
    <w:rsid w:val="00DC2437"/>
    <w:rsid w:val="00DC2684"/>
    <w:rsid w:val="00DC2BA7"/>
    <w:rsid w:val="00DC2CDA"/>
    <w:rsid w:val="00DC3298"/>
    <w:rsid w:val="00DC38D5"/>
    <w:rsid w:val="00DC395B"/>
    <w:rsid w:val="00DC39FE"/>
    <w:rsid w:val="00DC3EC8"/>
    <w:rsid w:val="00DC4207"/>
    <w:rsid w:val="00DC441A"/>
    <w:rsid w:val="00DC4648"/>
    <w:rsid w:val="00DC46C3"/>
    <w:rsid w:val="00DC471F"/>
    <w:rsid w:val="00DC4741"/>
    <w:rsid w:val="00DC4809"/>
    <w:rsid w:val="00DC4F5A"/>
    <w:rsid w:val="00DC50FD"/>
    <w:rsid w:val="00DC5650"/>
    <w:rsid w:val="00DC57F6"/>
    <w:rsid w:val="00DC591E"/>
    <w:rsid w:val="00DC5D60"/>
    <w:rsid w:val="00DC5DC3"/>
    <w:rsid w:val="00DC5EAC"/>
    <w:rsid w:val="00DC66E8"/>
    <w:rsid w:val="00DC6C6F"/>
    <w:rsid w:val="00DC6D44"/>
    <w:rsid w:val="00DC6EC0"/>
    <w:rsid w:val="00DC6FFD"/>
    <w:rsid w:val="00DC76DB"/>
    <w:rsid w:val="00DC7820"/>
    <w:rsid w:val="00DC7C2A"/>
    <w:rsid w:val="00DC7F9F"/>
    <w:rsid w:val="00DD0311"/>
    <w:rsid w:val="00DD0336"/>
    <w:rsid w:val="00DD0633"/>
    <w:rsid w:val="00DD0739"/>
    <w:rsid w:val="00DD0BD2"/>
    <w:rsid w:val="00DD0E12"/>
    <w:rsid w:val="00DD0EF5"/>
    <w:rsid w:val="00DD0F97"/>
    <w:rsid w:val="00DD112D"/>
    <w:rsid w:val="00DD11BA"/>
    <w:rsid w:val="00DD1246"/>
    <w:rsid w:val="00DD1444"/>
    <w:rsid w:val="00DD194D"/>
    <w:rsid w:val="00DD1A7B"/>
    <w:rsid w:val="00DD1D40"/>
    <w:rsid w:val="00DD2372"/>
    <w:rsid w:val="00DD2524"/>
    <w:rsid w:val="00DD2A91"/>
    <w:rsid w:val="00DD2D90"/>
    <w:rsid w:val="00DD2DAE"/>
    <w:rsid w:val="00DD3081"/>
    <w:rsid w:val="00DD39F8"/>
    <w:rsid w:val="00DD3BCC"/>
    <w:rsid w:val="00DD3E11"/>
    <w:rsid w:val="00DD3E16"/>
    <w:rsid w:val="00DD4026"/>
    <w:rsid w:val="00DD4381"/>
    <w:rsid w:val="00DD4A34"/>
    <w:rsid w:val="00DD4C92"/>
    <w:rsid w:val="00DD4ECD"/>
    <w:rsid w:val="00DD4EF3"/>
    <w:rsid w:val="00DD54B4"/>
    <w:rsid w:val="00DD54B5"/>
    <w:rsid w:val="00DD550C"/>
    <w:rsid w:val="00DD5FC0"/>
    <w:rsid w:val="00DD7408"/>
    <w:rsid w:val="00DD7972"/>
    <w:rsid w:val="00DD7AD6"/>
    <w:rsid w:val="00DD7C79"/>
    <w:rsid w:val="00DD7E00"/>
    <w:rsid w:val="00DE0298"/>
    <w:rsid w:val="00DE0990"/>
    <w:rsid w:val="00DE0CD8"/>
    <w:rsid w:val="00DE156F"/>
    <w:rsid w:val="00DE1860"/>
    <w:rsid w:val="00DE1AA6"/>
    <w:rsid w:val="00DE20AA"/>
    <w:rsid w:val="00DE3018"/>
    <w:rsid w:val="00DE34DA"/>
    <w:rsid w:val="00DE353A"/>
    <w:rsid w:val="00DE3814"/>
    <w:rsid w:val="00DE384E"/>
    <w:rsid w:val="00DE386A"/>
    <w:rsid w:val="00DE3D00"/>
    <w:rsid w:val="00DE4275"/>
    <w:rsid w:val="00DE43B0"/>
    <w:rsid w:val="00DE4505"/>
    <w:rsid w:val="00DE45F0"/>
    <w:rsid w:val="00DE46EC"/>
    <w:rsid w:val="00DE48A6"/>
    <w:rsid w:val="00DE48F0"/>
    <w:rsid w:val="00DE4AEE"/>
    <w:rsid w:val="00DE4B3C"/>
    <w:rsid w:val="00DE55DB"/>
    <w:rsid w:val="00DE57E5"/>
    <w:rsid w:val="00DE5AEB"/>
    <w:rsid w:val="00DE5CA1"/>
    <w:rsid w:val="00DE5D53"/>
    <w:rsid w:val="00DE60D7"/>
    <w:rsid w:val="00DE6491"/>
    <w:rsid w:val="00DE64E0"/>
    <w:rsid w:val="00DE6640"/>
    <w:rsid w:val="00DE676D"/>
    <w:rsid w:val="00DE6816"/>
    <w:rsid w:val="00DE6CB7"/>
    <w:rsid w:val="00DE6D8F"/>
    <w:rsid w:val="00DE6E80"/>
    <w:rsid w:val="00DE71DD"/>
    <w:rsid w:val="00DE74E6"/>
    <w:rsid w:val="00DE75D7"/>
    <w:rsid w:val="00DE7A3B"/>
    <w:rsid w:val="00DE7A91"/>
    <w:rsid w:val="00DE7E85"/>
    <w:rsid w:val="00DE7FD1"/>
    <w:rsid w:val="00DF0596"/>
    <w:rsid w:val="00DF0620"/>
    <w:rsid w:val="00DF09D8"/>
    <w:rsid w:val="00DF1363"/>
    <w:rsid w:val="00DF1ADF"/>
    <w:rsid w:val="00DF1BAD"/>
    <w:rsid w:val="00DF1E15"/>
    <w:rsid w:val="00DF20E3"/>
    <w:rsid w:val="00DF21B3"/>
    <w:rsid w:val="00DF229E"/>
    <w:rsid w:val="00DF23B2"/>
    <w:rsid w:val="00DF2C1E"/>
    <w:rsid w:val="00DF2F86"/>
    <w:rsid w:val="00DF3513"/>
    <w:rsid w:val="00DF38C3"/>
    <w:rsid w:val="00DF395E"/>
    <w:rsid w:val="00DF398F"/>
    <w:rsid w:val="00DF3A97"/>
    <w:rsid w:val="00DF3BA7"/>
    <w:rsid w:val="00DF3C1D"/>
    <w:rsid w:val="00DF3D1B"/>
    <w:rsid w:val="00DF3EC5"/>
    <w:rsid w:val="00DF41DB"/>
    <w:rsid w:val="00DF42D3"/>
    <w:rsid w:val="00DF4419"/>
    <w:rsid w:val="00DF472E"/>
    <w:rsid w:val="00DF4D89"/>
    <w:rsid w:val="00DF4F0B"/>
    <w:rsid w:val="00DF5168"/>
    <w:rsid w:val="00DF5361"/>
    <w:rsid w:val="00DF54EC"/>
    <w:rsid w:val="00DF563A"/>
    <w:rsid w:val="00DF5BD6"/>
    <w:rsid w:val="00DF6ECD"/>
    <w:rsid w:val="00DF7010"/>
    <w:rsid w:val="00DF70D1"/>
    <w:rsid w:val="00DF7424"/>
    <w:rsid w:val="00DF7554"/>
    <w:rsid w:val="00DF755C"/>
    <w:rsid w:val="00DF7ADE"/>
    <w:rsid w:val="00E0034C"/>
    <w:rsid w:val="00E005F7"/>
    <w:rsid w:val="00E00920"/>
    <w:rsid w:val="00E00BD4"/>
    <w:rsid w:val="00E00C11"/>
    <w:rsid w:val="00E00E51"/>
    <w:rsid w:val="00E00EC8"/>
    <w:rsid w:val="00E00F7C"/>
    <w:rsid w:val="00E0103F"/>
    <w:rsid w:val="00E01207"/>
    <w:rsid w:val="00E0134B"/>
    <w:rsid w:val="00E01916"/>
    <w:rsid w:val="00E01C67"/>
    <w:rsid w:val="00E01CFB"/>
    <w:rsid w:val="00E01EF0"/>
    <w:rsid w:val="00E024B9"/>
    <w:rsid w:val="00E02A68"/>
    <w:rsid w:val="00E02C0A"/>
    <w:rsid w:val="00E02C45"/>
    <w:rsid w:val="00E02CEB"/>
    <w:rsid w:val="00E0333E"/>
    <w:rsid w:val="00E03406"/>
    <w:rsid w:val="00E034B0"/>
    <w:rsid w:val="00E034BC"/>
    <w:rsid w:val="00E035B6"/>
    <w:rsid w:val="00E03AB9"/>
    <w:rsid w:val="00E041EC"/>
    <w:rsid w:val="00E04233"/>
    <w:rsid w:val="00E045B5"/>
    <w:rsid w:val="00E04839"/>
    <w:rsid w:val="00E04E06"/>
    <w:rsid w:val="00E052F7"/>
    <w:rsid w:val="00E05594"/>
    <w:rsid w:val="00E0559D"/>
    <w:rsid w:val="00E0577F"/>
    <w:rsid w:val="00E05A4D"/>
    <w:rsid w:val="00E05F5C"/>
    <w:rsid w:val="00E063B2"/>
    <w:rsid w:val="00E067B6"/>
    <w:rsid w:val="00E069FB"/>
    <w:rsid w:val="00E06C49"/>
    <w:rsid w:val="00E06DBF"/>
    <w:rsid w:val="00E06EA3"/>
    <w:rsid w:val="00E06ED3"/>
    <w:rsid w:val="00E077E0"/>
    <w:rsid w:val="00E07BB6"/>
    <w:rsid w:val="00E10014"/>
    <w:rsid w:val="00E105DD"/>
    <w:rsid w:val="00E10618"/>
    <w:rsid w:val="00E1062B"/>
    <w:rsid w:val="00E10783"/>
    <w:rsid w:val="00E10AA1"/>
    <w:rsid w:val="00E10B8F"/>
    <w:rsid w:val="00E10CE9"/>
    <w:rsid w:val="00E11179"/>
    <w:rsid w:val="00E11972"/>
    <w:rsid w:val="00E11B12"/>
    <w:rsid w:val="00E11F17"/>
    <w:rsid w:val="00E11FFA"/>
    <w:rsid w:val="00E12023"/>
    <w:rsid w:val="00E124CA"/>
    <w:rsid w:val="00E12982"/>
    <w:rsid w:val="00E12ADE"/>
    <w:rsid w:val="00E12BEF"/>
    <w:rsid w:val="00E12CC5"/>
    <w:rsid w:val="00E12D49"/>
    <w:rsid w:val="00E12D9C"/>
    <w:rsid w:val="00E12DB7"/>
    <w:rsid w:val="00E12E15"/>
    <w:rsid w:val="00E12E96"/>
    <w:rsid w:val="00E12EB1"/>
    <w:rsid w:val="00E12EF0"/>
    <w:rsid w:val="00E12F5E"/>
    <w:rsid w:val="00E1304E"/>
    <w:rsid w:val="00E1304F"/>
    <w:rsid w:val="00E131CA"/>
    <w:rsid w:val="00E134F2"/>
    <w:rsid w:val="00E137F9"/>
    <w:rsid w:val="00E13995"/>
    <w:rsid w:val="00E13EA1"/>
    <w:rsid w:val="00E14058"/>
    <w:rsid w:val="00E14476"/>
    <w:rsid w:val="00E144B6"/>
    <w:rsid w:val="00E1452E"/>
    <w:rsid w:val="00E146F9"/>
    <w:rsid w:val="00E1507A"/>
    <w:rsid w:val="00E151BD"/>
    <w:rsid w:val="00E15256"/>
    <w:rsid w:val="00E15496"/>
    <w:rsid w:val="00E154BC"/>
    <w:rsid w:val="00E15648"/>
    <w:rsid w:val="00E157FB"/>
    <w:rsid w:val="00E15CED"/>
    <w:rsid w:val="00E160EA"/>
    <w:rsid w:val="00E16307"/>
    <w:rsid w:val="00E16719"/>
    <w:rsid w:val="00E16CD4"/>
    <w:rsid w:val="00E16DA0"/>
    <w:rsid w:val="00E17117"/>
    <w:rsid w:val="00E172D6"/>
    <w:rsid w:val="00E17584"/>
    <w:rsid w:val="00E1768B"/>
    <w:rsid w:val="00E179CC"/>
    <w:rsid w:val="00E17DE8"/>
    <w:rsid w:val="00E17F2D"/>
    <w:rsid w:val="00E20009"/>
    <w:rsid w:val="00E20233"/>
    <w:rsid w:val="00E20337"/>
    <w:rsid w:val="00E20BAD"/>
    <w:rsid w:val="00E20DB1"/>
    <w:rsid w:val="00E21AC1"/>
    <w:rsid w:val="00E21BDA"/>
    <w:rsid w:val="00E22451"/>
    <w:rsid w:val="00E22AAE"/>
    <w:rsid w:val="00E22E2C"/>
    <w:rsid w:val="00E2302B"/>
    <w:rsid w:val="00E23065"/>
    <w:rsid w:val="00E231D5"/>
    <w:rsid w:val="00E2322E"/>
    <w:rsid w:val="00E236E3"/>
    <w:rsid w:val="00E2383C"/>
    <w:rsid w:val="00E23DAF"/>
    <w:rsid w:val="00E23DDF"/>
    <w:rsid w:val="00E24206"/>
    <w:rsid w:val="00E24262"/>
    <w:rsid w:val="00E24DD6"/>
    <w:rsid w:val="00E25214"/>
    <w:rsid w:val="00E25315"/>
    <w:rsid w:val="00E254EA"/>
    <w:rsid w:val="00E2556F"/>
    <w:rsid w:val="00E25A22"/>
    <w:rsid w:val="00E25AEA"/>
    <w:rsid w:val="00E25C07"/>
    <w:rsid w:val="00E25F1F"/>
    <w:rsid w:val="00E263C5"/>
    <w:rsid w:val="00E265C1"/>
    <w:rsid w:val="00E267F7"/>
    <w:rsid w:val="00E269A8"/>
    <w:rsid w:val="00E26B57"/>
    <w:rsid w:val="00E26EB8"/>
    <w:rsid w:val="00E27335"/>
    <w:rsid w:val="00E27443"/>
    <w:rsid w:val="00E27562"/>
    <w:rsid w:val="00E27803"/>
    <w:rsid w:val="00E27A0B"/>
    <w:rsid w:val="00E27A30"/>
    <w:rsid w:val="00E27D00"/>
    <w:rsid w:val="00E27E06"/>
    <w:rsid w:val="00E27E40"/>
    <w:rsid w:val="00E30AB1"/>
    <w:rsid w:val="00E30AB9"/>
    <w:rsid w:val="00E30BDF"/>
    <w:rsid w:val="00E30EBF"/>
    <w:rsid w:val="00E31066"/>
    <w:rsid w:val="00E31F17"/>
    <w:rsid w:val="00E324CF"/>
    <w:rsid w:val="00E32784"/>
    <w:rsid w:val="00E3296B"/>
    <w:rsid w:val="00E32CA1"/>
    <w:rsid w:val="00E32DD2"/>
    <w:rsid w:val="00E334AD"/>
    <w:rsid w:val="00E336F8"/>
    <w:rsid w:val="00E33776"/>
    <w:rsid w:val="00E33933"/>
    <w:rsid w:val="00E33BB9"/>
    <w:rsid w:val="00E33E9C"/>
    <w:rsid w:val="00E3418A"/>
    <w:rsid w:val="00E34629"/>
    <w:rsid w:val="00E349C7"/>
    <w:rsid w:val="00E34AA9"/>
    <w:rsid w:val="00E34CAD"/>
    <w:rsid w:val="00E35228"/>
    <w:rsid w:val="00E3535A"/>
    <w:rsid w:val="00E354C5"/>
    <w:rsid w:val="00E35D30"/>
    <w:rsid w:val="00E3649F"/>
    <w:rsid w:val="00E365F9"/>
    <w:rsid w:val="00E369FF"/>
    <w:rsid w:val="00E36D1C"/>
    <w:rsid w:val="00E36F5C"/>
    <w:rsid w:val="00E3709A"/>
    <w:rsid w:val="00E37305"/>
    <w:rsid w:val="00E37BBA"/>
    <w:rsid w:val="00E37DD5"/>
    <w:rsid w:val="00E400EE"/>
    <w:rsid w:val="00E40B46"/>
    <w:rsid w:val="00E40C86"/>
    <w:rsid w:val="00E40CA3"/>
    <w:rsid w:val="00E41107"/>
    <w:rsid w:val="00E41341"/>
    <w:rsid w:val="00E414AC"/>
    <w:rsid w:val="00E415FF"/>
    <w:rsid w:val="00E4173F"/>
    <w:rsid w:val="00E41932"/>
    <w:rsid w:val="00E41A4B"/>
    <w:rsid w:val="00E41B92"/>
    <w:rsid w:val="00E42111"/>
    <w:rsid w:val="00E42490"/>
    <w:rsid w:val="00E424F7"/>
    <w:rsid w:val="00E4277D"/>
    <w:rsid w:val="00E428F1"/>
    <w:rsid w:val="00E429D0"/>
    <w:rsid w:val="00E42A02"/>
    <w:rsid w:val="00E42EAA"/>
    <w:rsid w:val="00E42EDD"/>
    <w:rsid w:val="00E42FB1"/>
    <w:rsid w:val="00E43202"/>
    <w:rsid w:val="00E4335B"/>
    <w:rsid w:val="00E4354E"/>
    <w:rsid w:val="00E436F6"/>
    <w:rsid w:val="00E438FC"/>
    <w:rsid w:val="00E43BC0"/>
    <w:rsid w:val="00E44095"/>
    <w:rsid w:val="00E4421E"/>
    <w:rsid w:val="00E442A9"/>
    <w:rsid w:val="00E445D8"/>
    <w:rsid w:val="00E447FA"/>
    <w:rsid w:val="00E44998"/>
    <w:rsid w:val="00E44A6E"/>
    <w:rsid w:val="00E44C91"/>
    <w:rsid w:val="00E45364"/>
    <w:rsid w:val="00E454F6"/>
    <w:rsid w:val="00E45773"/>
    <w:rsid w:val="00E45864"/>
    <w:rsid w:val="00E45DF2"/>
    <w:rsid w:val="00E45F2D"/>
    <w:rsid w:val="00E46247"/>
    <w:rsid w:val="00E4637A"/>
    <w:rsid w:val="00E4670E"/>
    <w:rsid w:val="00E4676F"/>
    <w:rsid w:val="00E46EAF"/>
    <w:rsid w:val="00E46FA5"/>
    <w:rsid w:val="00E47135"/>
    <w:rsid w:val="00E471D9"/>
    <w:rsid w:val="00E473D1"/>
    <w:rsid w:val="00E47A1E"/>
    <w:rsid w:val="00E47AAD"/>
    <w:rsid w:val="00E47E16"/>
    <w:rsid w:val="00E50B8E"/>
    <w:rsid w:val="00E50D1F"/>
    <w:rsid w:val="00E510C9"/>
    <w:rsid w:val="00E510FC"/>
    <w:rsid w:val="00E511E3"/>
    <w:rsid w:val="00E51769"/>
    <w:rsid w:val="00E51B0C"/>
    <w:rsid w:val="00E51BE2"/>
    <w:rsid w:val="00E51C33"/>
    <w:rsid w:val="00E51CCF"/>
    <w:rsid w:val="00E51FAF"/>
    <w:rsid w:val="00E520F0"/>
    <w:rsid w:val="00E521F4"/>
    <w:rsid w:val="00E522C1"/>
    <w:rsid w:val="00E5260F"/>
    <w:rsid w:val="00E52F24"/>
    <w:rsid w:val="00E530A0"/>
    <w:rsid w:val="00E53326"/>
    <w:rsid w:val="00E53967"/>
    <w:rsid w:val="00E53DC8"/>
    <w:rsid w:val="00E53ECE"/>
    <w:rsid w:val="00E54418"/>
    <w:rsid w:val="00E547C2"/>
    <w:rsid w:val="00E548F7"/>
    <w:rsid w:val="00E54955"/>
    <w:rsid w:val="00E549B0"/>
    <w:rsid w:val="00E54BD8"/>
    <w:rsid w:val="00E54BEF"/>
    <w:rsid w:val="00E54FD5"/>
    <w:rsid w:val="00E554E5"/>
    <w:rsid w:val="00E558EE"/>
    <w:rsid w:val="00E55976"/>
    <w:rsid w:val="00E55D45"/>
    <w:rsid w:val="00E55E4F"/>
    <w:rsid w:val="00E561B0"/>
    <w:rsid w:val="00E562D1"/>
    <w:rsid w:val="00E564C0"/>
    <w:rsid w:val="00E5652B"/>
    <w:rsid w:val="00E56573"/>
    <w:rsid w:val="00E5668A"/>
    <w:rsid w:val="00E567B0"/>
    <w:rsid w:val="00E569A2"/>
    <w:rsid w:val="00E56F30"/>
    <w:rsid w:val="00E5740B"/>
    <w:rsid w:val="00E60223"/>
    <w:rsid w:val="00E6029C"/>
    <w:rsid w:val="00E60338"/>
    <w:rsid w:val="00E6050D"/>
    <w:rsid w:val="00E60AC2"/>
    <w:rsid w:val="00E60DD9"/>
    <w:rsid w:val="00E61126"/>
    <w:rsid w:val="00E615DD"/>
    <w:rsid w:val="00E6164E"/>
    <w:rsid w:val="00E61B19"/>
    <w:rsid w:val="00E61D9F"/>
    <w:rsid w:val="00E623E4"/>
    <w:rsid w:val="00E62579"/>
    <w:rsid w:val="00E62BBB"/>
    <w:rsid w:val="00E62C9F"/>
    <w:rsid w:val="00E633AA"/>
    <w:rsid w:val="00E6353E"/>
    <w:rsid w:val="00E64097"/>
    <w:rsid w:val="00E6454D"/>
    <w:rsid w:val="00E64672"/>
    <w:rsid w:val="00E64A2A"/>
    <w:rsid w:val="00E64BDA"/>
    <w:rsid w:val="00E654A8"/>
    <w:rsid w:val="00E658EF"/>
    <w:rsid w:val="00E6628E"/>
    <w:rsid w:val="00E66439"/>
    <w:rsid w:val="00E66E71"/>
    <w:rsid w:val="00E672B8"/>
    <w:rsid w:val="00E67B43"/>
    <w:rsid w:val="00E67BE8"/>
    <w:rsid w:val="00E67CC3"/>
    <w:rsid w:val="00E67E1F"/>
    <w:rsid w:val="00E67E83"/>
    <w:rsid w:val="00E70389"/>
    <w:rsid w:val="00E70A92"/>
    <w:rsid w:val="00E71904"/>
    <w:rsid w:val="00E71C4B"/>
    <w:rsid w:val="00E71DA1"/>
    <w:rsid w:val="00E72568"/>
    <w:rsid w:val="00E7276B"/>
    <w:rsid w:val="00E73757"/>
    <w:rsid w:val="00E73A14"/>
    <w:rsid w:val="00E7400F"/>
    <w:rsid w:val="00E74195"/>
    <w:rsid w:val="00E74404"/>
    <w:rsid w:val="00E74510"/>
    <w:rsid w:val="00E7454C"/>
    <w:rsid w:val="00E7468F"/>
    <w:rsid w:val="00E746B7"/>
    <w:rsid w:val="00E74A4A"/>
    <w:rsid w:val="00E74F3D"/>
    <w:rsid w:val="00E74FC9"/>
    <w:rsid w:val="00E752DA"/>
    <w:rsid w:val="00E75768"/>
    <w:rsid w:val="00E757E9"/>
    <w:rsid w:val="00E75AE8"/>
    <w:rsid w:val="00E75D96"/>
    <w:rsid w:val="00E75FD8"/>
    <w:rsid w:val="00E76011"/>
    <w:rsid w:val="00E76046"/>
    <w:rsid w:val="00E7610D"/>
    <w:rsid w:val="00E76459"/>
    <w:rsid w:val="00E77034"/>
    <w:rsid w:val="00E77053"/>
    <w:rsid w:val="00E77078"/>
    <w:rsid w:val="00E773DE"/>
    <w:rsid w:val="00E775A0"/>
    <w:rsid w:val="00E77727"/>
    <w:rsid w:val="00E77CA0"/>
    <w:rsid w:val="00E77DAF"/>
    <w:rsid w:val="00E77DE6"/>
    <w:rsid w:val="00E77E31"/>
    <w:rsid w:val="00E800F4"/>
    <w:rsid w:val="00E801DE"/>
    <w:rsid w:val="00E8033E"/>
    <w:rsid w:val="00E80724"/>
    <w:rsid w:val="00E807D2"/>
    <w:rsid w:val="00E8093A"/>
    <w:rsid w:val="00E80DC5"/>
    <w:rsid w:val="00E810C0"/>
    <w:rsid w:val="00E812D2"/>
    <w:rsid w:val="00E81D77"/>
    <w:rsid w:val="00E81DB8"/>
    <w:rsid w:val="00E820B8"/>
    <w:rsid w:val="00E82438"/>
    <w:rsid w:val="00E82730"/>
    <w:rsid w:val="00E828EE"/>
    <w:rsid w:val="00E82A0F"/>
    <w:rsid w:val="00E82BB2"/>
    <w:rsid w:val="00E82C48"/>
    <w:rsid w:val="00E83609"/>
    <w:rsid w:val="00E83712"/>
    <w:rsid w:val="00E83EF5"/>
    <w:rsid w:val="00E840A4"/>
    <w:rsid w:val="00E84189"/>
    <w:rsid w:val="00E84806"/>
    <w:rsid w:val="00E84C8F"/>
    <w:rsid w:val="00E85470"/>
    <w:rsid w:val="00E8575D"/>
    <w:rsid w:val="00E85781"/>
    <w:rsid w:val="00E8579F"/>
    <w:rsid w:val="00E857AE"/>
    <w:rsid w:val="00E85998"/>
    <w:rsid w:val="00E85CA6"/>
    <w:rsid w:val="00E8608E"/>
    <w:rsid w:val="00E860DE"/>
    <w:rsid w:val="00E86475"/>
    <w:rsid w:val="00E865D3"/>
    <w:rsid w:val="00E865E5"/>
    <w:rsid w:val="00E867DF"/>
    <w:rsid w:val="00E86A33"/>
    <w:rsid w:val="00E870AE"/>
    <w:rsid w:val="00E870DB"/>
    <w:rsid w:val="00E8744E"/>
    <w:rsid w:val="00E8758F"/>
    <w:rsid w:val="00E87599"/>
    <w:rsid w:val="00E8789F"/>
    <w:rsid w:val="00E87B5F"/>
    <w:rsid w:val="00E87DCE"/>
    <w:rsid w:val="00E9046D"/>
    <w:rsid w:val="00E90DA9"/>
    <w:rsid w:val="00E910CD"/>
    <w:rsid w:val="00E918CD"/>
    <w:rsid w:val="00E919A3"/>
    <w:rsid w:val="00E91A00"/>
    <w:rsid w:val="00E91A26"/>
    <w:rsid w:val="00E92250"/>
    <w:rsid w:val="00E926F7"/>
    <w:rsid w:val="00E92771"/>
    <w:rsid w:val="00E927CB"/>
    <w:rsid w:val="00E92855"/>
    <w:rsid w:val="00E928B8"/>
    <w:rsid w:val="00E928C9"/>
    <w:rsid w:val="00E92DFC"/>
    <w:rsid w:val="00E92F66"/>
    <w:rsid w:val="00E935D3"/>
    <w:rsid w:val="00E939FA"/>
    <w:rsid w:val="00E93D95"/>
    <w:rsid w:val="00E940A1"/>
    <w:rsid w:val="00E94809"/>
    <w:rsid w:val="00E94AC6"/>
    <w:rsid w:val="00E94B8B"/>
    <w:rsid w:val="00E9515D"/>
    <w:rsid w:val="00E95C06"/>
    <w:rsid w:val="00E95F51"/>
    <w:rsid w:val="00E962A9"/>
    <w:rsid w:val="00E96856"/>
    <w:rsid w:val="00E968EA"/>
    <w:rsid w:val="00E96A56"/>
    <w:rsid w:val="00E96A7A"/>
    <w:rsid w:val="00E96E3E"/>
    <w:rsid w:val="00E96FCB"/>
    <w:rsid w:val="00E971E0"/>
    <w:rsid w:val="00E974BB"/>
    <w:rsid w:val="00E97690"/>
    <w:rsid w:val="00E977A9"/>
    <w:rsid w:val="00E978F4"/>
    <w:rsid w:val="00E97DFF"/>
    <w:rsid w:val="00E97E2D"/>
    <w:rsid w:val="00EA01FC"/>
    <w:rsid w:val="00EA0354"/>
    <w:rsid w:val="00EA03F7"/>
    <w:rsid w:val="00EA0638"/>
    <w:rsid w:val="00EA08E8"/>
    <w:rsid w:val="00EA0C13"/>
    <w:rsid w:val="00EA1002"/>
    <w:rsid w:val="00EA127E"/>
    <w:rsid w:val="00EA12B0"/>
    <w:rsid w:val="00EA1420"/>
    <w:rsid w:val="00EA1425"/>
    <w:rsid w:val="00EA1730"/>
    <w:rsid w:val="00EA1B15"/>
    <w:rsid w:val="00EA1B9D"/>
    <w:rsid w:val="00EA1F8C"/>
    <w:rsid w:val="00EA233D"/>
    <w:rsid w:val="00EA2854"/>
    <w:rsid w:val="00EA2882"/>
    <w:rsid w:val="00EA2D4C"/>
    <w:rsid w:val="00EA34A5"/>
    <w:rsid w:val="00EA39AE"/>
    <w:rsid w:val="00EA3F20"/>
    <w:rsid w:val="00EA403A"/>
    <w:rsid w:val="00EA43B1"/>
    <w:rsid w:val="00EA4611"/>
    <w:rsid w:val="00EA4887"/>
    <w:rsid w:val="00EA529D"/>
    <w:rsid w:val="00EA5730"/>
    <w:rsid w:val="00EA59AD"/>
    <w:rsid w:val="00EA5C3F"/>
    <w:rsid w:val="00EA5CEB"/>
    <w:rsid w:val="00EA5E8A"/>
    <w:rsid w:val="00EA5EAF"/>
    <w:rsid w:val="00EA5F03"/>
    <w:rsid w:val="00EA606A"/>
    <w:rsid w:val="00EA6413"/>
    <w:rsid w:val="00EA6A71"/>
    <w:rsid w:val="00EA6CC7"/>
    <w:rsid w:val="00EA7303"/>
    <w:rsid w:val="00EA73E5"/>
    <w:rsid w:val="00EA755D"/>
    <w:rsid w:val="00EA762A"/>
    <w:rsid w:val="00EA7AEC"/>
    <w:rsid w:val="00EB041B"/>
    <w:rsid w:val="00EB0488"/>
    <w:rsid w:val="00EB0627"/>
    <w:rsid w:val="00EB0942"/>
    <w:rsid w:val="00EB0C37"/>
    <w:rsid w:val="00EB0E1C"/>
    <w:rsid w:val="00EB0E5D"/>
    <w:rsid w:val="00EB0ECC"/>
    <w:rsid w:val="00EB1B37"/>
    <w:rsid w:val="00EB1B3D"/>
    <w:rsid w:val="00EB1C2A"/>
    <w:rsid w:val="00EB1C3F"/>
    <w:rsid w:val="00EB1C5F"/>
    <w:rsid w:val="00EB2226"/>
    <w:rsid w:val="00EB2551"/>
    <w:rsid w:val="00EB286C"/>
    <w:rsid w:val="00EB2AF6"/>
    <w:rsid w:val="00EB2C9F"/>
    <w:rsid w:val="00EB3028"/>
    <w:rsid w:val="00EB3261"/>
    <w:rsid w:val="00EB32F0"/>
    <w:rsid w:val="00EB3490"/>
    <w:rsid w:val="00EB37D7"/>
    <w:rsid w:val="00EB3977"/>
    <w:rsid w:val="00EB39CD"/>
    <w:rsid w:val="00EB3B3B"/>
    <w:rsid w:val="00EB3B3E"/>
    <w:rsid w:val="00EB3DCD"/>
    <w:rsid w:val="00EB3E1B"/>
    <w:rsid w:val="00EB4198"/>
    <w:rsid w:val="00EB42F9"/>
    <w:rsid w:val="00EB432C"/>
    <w:rsid w:val="00EB45D0"/>
    <w:rsid w:val="00EB45DF"/>
    <w:rsid w:val="00EB46D0"/>
    <w:rsid w:val="00EB48F8"/>
    <w:rsid w:val="00EB4912"/>
    <w:rsid w:val="00EB4DCA"/>
    <w:rsid w:val="00EB51C6"/>
    <w:rsid w:val="00EB5279"/>
    <w:rsid w:val="00EB5284"/>
    <w:rsid w:val="00EB5402"/>
    <w:rsid w:val="00EB5B37"/>
    <w:rsid w:val="00EB5BEB"/>
    <w:rsid w:val="00EB5CAB"/>
    <w:rsid w:val="00EB6135"/>
    <w:rsid w:val="00EB6226"/>
    <w:rsid w:val="00EB633C"/>
    <w:rsid w:val="00EB6445"/>
    <w:rsid w:val="00EB6839"/>
    <w:rsid w:val="00EB6D3E"/>
    <w:rsid w:val="00EB6E8A"/>
    <w:rsid w:val="00EB7034"/>
    <w:rsid w:val="00EB71F3"/>
    <w:rsid w:val="00EB752E"/>
    <w:rsid w:val="00EB77BF"/>
    <w:rsid w:val="00EB7DD1"/>
    <w:rsid w:val="00EC0189"/>
    <w:rsid w:val="00EC049B"/>
    <w:rsid w:val="00EC07C2"/>
    <w:rsid w:val="00EC0A3E"/>
    <w:rsid w:val="00EC0BFB"/>
    <w:rsid w:val="00EC0CFD"/>
    <w:rsid w:val="00EC0DEF"/>
    <w:rsid w:val="00EC15D6"/>
    <w:rsid w:val="00EC1A2E"/>
    <w:rsid w:val="00EC1C9E"/>
    <w:rsid w:val="00EC1FFE"/>
    <w:rsid w:val="00EC20AA"/>
    <w:rsid w:val="00EC21E7"/>
    <w:rsid w:val="00EC25AE"/>
    <w:rsid w:val="00EC28D5"/>
    <w:rsid w:val="00EC2C1C"/>
    <w:rsid w:val="00EC2CB4"/>
    <w:rsid w:val="00EC2FEF"/>
    <w:rsid w:val="00EC3653"/>
    <w:rsid w:val="00EC3D39"/>
    <w:rsid w:val="00EC3EAA"/>
    <w:rsid w:val="00EC42B9"/>
    <w:rsid w:val="00EC4357"/>
    <w:rsid w:val="00EC4972"/>
    <w:rsid w:val="00EC52A6"/>
    <w:rsid w:val="00EC569F"/>
    <w:rsid w:val="00EC59B2"/>
    <w:rsid w:val="00EC5D4D"/>
    <w:rsid w:val="00EC69BA"/>
    <w:rsid w:val="00EC6A62"/>
    <w:rsid w:val="00EC6B0F"/>
    <w:rsid w:val="00EC6E32"/>
    <w:rsid w:val="00EC6F49"/>
    <w:rsid w:val="00EC76F0"/>
    <w:rsid w:val="00EC79E2"/>
    <w:rsid w:val="00EC7A20"/>
    <w:rsid w:val="00EC7B8A"/>
    <w:rsid w:val="00EC7C1A"/>
    <w:rsid w:val="00EC7C49"/>
    <w:rsid w:val="00EC7E1D"/>
    <w:rsid w:val="00ED0653"/>
    <w:rsid w:val="00ED07A1"/>
    <w:rsid w:val="00ED0AEB"/>
    <w:rsid w:val="00ED10D6"/>
    <w:rsid w:val="00ED16A7"/>
    <w:rsid w:val="00ED1B41"/>
    <w:rsid w:val="00ED25BA"/>
    <w:rsid w:val="00ED271E"/>
    <w:rsid w:val="00ED2B8E"/>
    <w:rsid w:val="00ED2F1B"/>
    <w:rsid w:val="00ED307F"/>
    <w:rsid w:val="00ED3233"/>
    <w:rsid w:val="00ED352F"/>
    <w:rsid w:val="00ED35C7"/>
    <w:rsid w:val="00ED35D8"/>
    <w:rsid w:val="00ED3931"/>
    <w:rsid w:val="00ED3BAD"/>
    <w:rsid w:val="00ED3FA6"/>
    <w:rsid w:val="00ED3FC4"/>
    <w:rsid w:val="00ED403D"/>
    <w:rsid w:val="00ED41B1"/>
    <w:rsid w:val="00ED47C9"/>
    <w:rsid w:val="00ED487F"/>
    <w:rsid w:val="00ED5752"/>
    <w:rsid w:val="00ED5DF3"/>
    <w:rsid w:val="00ED5F04"/>
    <w:rsid w:val="00ED61E3"/>
    <w:rsid w:val="00ED674D"/>
    <w:rsid w:val="00ED67B5"/>
    <w:rsid w:val="00ED691C"/>
    <w:rsid w:val="00ED6F6F"/>
    <w:rsid w:val="00ED73A1"/>
    <w:rsid w:val="00ED762C"/>
    <w:rsid w:val="00ED7A17"/>
    <w:rsid w:val="00ED7D4E"/>
    <w:rsid w:val="00EE0051"/>
    <w:rsid w:val="00EE01AD"/>
    <w:rsid w:val="00EE03D4"/>
    <w:rsid w:val="00EE03D8"/>
    <w:rsid w:val="00EE04BF"/>
    <w:rsid w:val="00EE0951"/>
    <w:rsid w:val="00EE0C88"/>
    <w:rsid w:val="00EE0DF4"/>
    <w:rsid w:val="00EE10A2"/>
    <w:rsid w:val="00EE112F"/>
    <w:rsid w:val="00EE1478"/>
    <w:rsid w:val="00EE1537"/>
    <w:rsid w:val="00EE1711"/>
    <w:rsid w:val="00EE1DB9"/>
    <w:rsid w:val="00EE1F18"/>
    <w:rsid w:val="00EE20DC"/>
    <w:rsid w:val="00EE2356"/>
    <w:rsid w:val="00EE2760"/>
    <w:rsid w:val="00EE27FF"/>
    <w:rsid w:val="00EE2976"/>
    <w:rsid w:val="00EE337F"/>
    <w:rsid w:val="00EE3A20"/>
    <w:rsid w:val="00EE4595"/>
    <w:rsid w:val="00EE4789"/>
    <w:rsid w:val="00EE48D0"/>
    <w:rsid w:val="00EE4A49"/>
    <w:rsid w:val="00EE4AFC"/>
    <w:rsid w:val="00EE4F43"/>
    <w:rsid w:val="00EE5367"/>
    <w:rsid w:val="00EE5F3A"/>
    <w:rsid w:val="00EE6189"/>
    <w:rsid w:val="00EE6433"/>
    <w:rsid w:val="00EE66B6"/>
    <w:rsid w:val="00EE6C54"/>
    <w:rsid w:val="00EE746C"/>
    <w:rsid w:val="00EE748A"/>
    <w:rsid w:val="00EE756B"/>
    <w:rsid w:val="00EE7885"/>
    <w:rsid w:val="00EE78EC"/>
    <w:rsid w:val="00EE7A01"/>
    <w:rsid w:val="00EE7DAC"/>
    <w:rsid w:val="00EF0544"/>
    <w:rsid w:val="00EF06BE"/>
    <w:rsid w:val="00EF0FBA"/>
    <w:rsid w:val="00EF11E1"/>
    <w:rsid w:val="00EF15F1"/>
    <w:rsid w:val="00EF19A6"/>
    <w:rsid w:val="00EF21E3"/>
    <w:rsid w:val="00EF29F2"/>
    <w:rsid w:val="00EF2A06"/>
    <w:rsid w:val="00EF2A09"/>
    <w:rsid w:val="00EF2B9F"/>
    <w:rsid w:val="00EF2F15"/>
    <w:rsid w:val="00EF2F9C"/>
    <w:rsid w:val="00EF3243"/>
    <w:rsid w:val="00EF368F"/>
    <w:rsid w:val="00EF38B7"/>
    <w:rsid w:val="00EF3A02"/>
    <w:rsid w:val="00EF3B79"/>
    <w:rsid w:val="00EF40A0"/>
    <w:rsid w:val="00EF40FD"/>
    <w:rsid w:val="00EF4693"/>
    <w:rsid w:val="00EF4F04"/>
    <w:rsid w:val="00EF5095"/>
    <w:rsid w:val="00EF59ED"/>
    <w:rsid w:val="00EF5F3E"/>
    <w:rsid w:val="00EF65B8"/>
    <w:rsid w:val="00EF6758"/>
    <w:rsid w:val="00EF6F53"/>
    <w:rsid w:val="00EF72EF"/>
    <w:rsid w:val="00EF75D9"/>
    <w:rsid w:val="00EF7AFA"/>
    <w:rsid w:val="00EF7CBD"/>
    <w:rsid w:val="00EF7F83"/>
    <w:rsid w:val="00F0003C"/>
    <w:rsid w:val="00F002C1"/>
    <w:rsid w:val="00F00469"/>
    <w:rsid w:val="00F004E1"/>
    <w:rsid w:val="00F008EE"/>
    <w:rsid w:val="00F00A69"/>
    <w:rsid w:val="00F00B54"/>
    <w:rsid w:val="00F00CE0"/>
    <w:rsid w:val="00F01005"/>
    <w:rsid w:val="00F013A0"/>
    <w:rsid w:val="00F01CB3"/>
    <w:rsid w:val="00F01CD0"/>
    <w:rsid w:val="00F01ED4"/>
    <w:rsid w:val="00F0217A"/>
    <w:rsid w:val="00F02393"/>
    <w:rsid w:val="00F02528"/>
    <w:rsid w:val="00F02576"/>
    <w:rsid w:val="00F0298D"/>
    <w:rsid w:val="00F02B35"/>
    <w:rsid w:val="00F02E48"/>
    <w:rsid w:val="00F03074"/>
    <w:rsid w:val="00F03271"/>
    <w:rsid w:val="00F0329E"/>
    <w:rsid w:val="00F03467"/>
    <w:rsid w:val="00F0365F"/>
    <w:rsid w:val="00F03B19"/>
    <w:rsid w:val="00F03B2F"/>
    <w:rsid w:val="00F03BB2"/>
    <w:rsid w:val="00F0425F"/>
    <w:rsid w:val="00F046E9"/>
    <w:rsid w:val="00F04854"/>
    <w:rsid w:val="00F049CA"/>
    <w:rsid w:val="00F04ABD"/>
    <w:rsid w:val="00F04AE9"/>
    <w:rsid w:val="00F04C89"/>
    <w:rsid w:val="00F04D02"/>
    <w:rsid w:val="00F05081"/>
    <w:rsid w:val="00F054BD"/>
    <w:rsid w:val="00F059ED"/>
    <w:rsid w:val="00F05A84"/>
    <w:rsid w:val="00F05DB7"/>
    <w:rsid w:val="00F06332"/>
    <w:rsid w:val="00F068A2"/>
    <w:rsid w:val="00F06CD6"/>
    <w:rsid w:val="00F06FB0"/>
    <w:rsid w:val="00F07220"/>
    <w:rsid w:val="00F075C4"/>
    <w:rsid w:val="00F101CE"/>
    <w:rsid w:val="00F102BD"/>
    <w:rsid w:val="00F1050D"/>
    <w:rsid w:val="00F1085A"/>
    <w:rsid w:val="00F10B44"/>
    <w:rsid w:val="00F112F5"/>
    <w:rsid w:val="00F114F3"/>
    <w:rsid w:val="00F117C1"/>
    <w:rsid w:val="00F121B1"/>
    <w:rsid w:val="00F122F7"/>
    <w:rsid w:val="00F1255F"/>
    <w:rsid w:val="00F12649"/>
    <w:rsid w:val="00F1268E"/>
    <w:rsid w:val="00F12734"/>
    <w:rsid w:val="00F127AB"/>
    <w:rsid w:val="00F12B4B"/>
    <w:rsid w:val="00F14049"/>
    <w:rsid w:val="00F1477D"/>
    <w:rsid w:val="00F148D9"/>
    <w:rsid w:val="00F14926"/>
    <w:rsid w:val="00F14A63"/>
    <w:rsid w:val="00F14E23"/>
    <w:rsid w:val="00F14EBF"/>
    <w:rsid w:val="00F1530A"/>
    <w:rsid w:val="00F15412"/>
    <w:rsid w:val="00F154FF"/>
    <w:rsid w:val="00F1566E"/>
    <w:rsid w:val="00F15ED0"/>
    <w:rsid w:val="00F16624"/>
    <w:rsid w:val="00F16C9D"/>
    <w:rsid w:val="00F16DFC"/>
    <w:rsid w:val="00F16EFF"/>
    <w:rsid w:val="00F17029"/>
    <w:rsid w:val="00F17085"/>
    <w:rsid w:val="00F17163"/>
    <w:rsid w:val="00F172A4"/>
    <w:rsid w:val="00F175DD"/>
    <w:rsid w:val="00F175E2"/>
    <w:rsid w:val="00F177A1"/>
    <w:rsid w:val="00F2022B"/>
    <w:rsid w:val="00F20446"/>
    <w:rsid w:val="00F205B6"/>
    <w:rsid w:val="00F20701"/>
    <w:rsid w:val="00F2094C"/>
    <w:rsid w:val="00F209A2"/>
    <w:rsid w:val="00F20A3B"/>
    <w:rsid w:val="00F20B95"/>
    <w:rsid w:val="00F20E85"/>
    <w:rsid w:val="00F20ED9"/>
    <w:rsid w:val="00F21456"/>
    <w:rsid w:val="00F215FE"/>
    <w:rsid w:val="00F217A8"/>
    <w:rsid w:val="00F21A38"/>
    <w:rsid w:val="00F22692"/>
    <w:rsid w:val="00F2270E"/>
    <w:rsid w:val="00F22821"/>
    <w:rsid w:val="00F229F5"/>
    <w:rsid w:val="00F22D1E"/>
    <w:rsid w:val="00F22E76"/>
    <w:rsid w:val="00F230DE"/>
    <w:rsid w:val="00F233FC"/>
    <w:rsid w:val="00F23776"/>
    <w:rsid w:val="00F237CE"/>
    <w:rsid w:val="00F2386A"/>
    <w:rsid w:val="00F23A75"/>
    <w:rsid w:val="00F23C05"/>
    <w:rsid w:val="00F23FE4"/>
    <w:rsid w:val="00F24C60"/>
    <w:rsid w:val="00F24FC3"/>
    <w:rsid w:val="00F25143"/>
    <w:rsid w:val="00F252D5"/>
    <w:rsid w:val="00F25308"/>
    <w:rsid w:val="00F25384"/>
    <w:rsid w:val="00F25824"/>
    <w:rsid w:val="00F25B78"/>
    <w:rsid w:val="00F25F0E"/>
    <w:rsid w:val="00F263AC"/>
    <w:rsid w:val="00F263CF"/>
    <w:rsid w:val="00F265E0"/>
    <w:rsid w:val="00F268C4"/>
    <w:rsid w:val="00F26AB2"/>
    <w:rsid w:val="00F26AE8"/>
    <w:rsid w:val="00F26E90"/>
    <w:rsid w:val="00F271FB"/>
    <w:rsid w:val="00F2725D"/>
    <w:rsid w:val="00F27334"/>
    <w:rsid w:val="00F27503"/>
    <w:rsid w:val="00F275A2"/>
    <w:rsid w:val="00F27B30"/>
    <w:rsid w:val="00F3002B"/>
    <w:rsid w:val="00F30819"/>
    <w:rsid w:val="00F308AC"/>
    <w:rsid w:val="00F3095D"/>
    <w:rsid w:val="00F30ADD"/>
    <w:rsid w:val="00F30B18"/>
    <w:rsid w:val="00F30BD6"/>
    <w:rsid w:val="00F30EFD"/>
    <w:rsid w:val="00F313B5"/>
    <w:rsid w:val="00F313E3"/>
    <w:rsid w:val="00F31734"/>
    <w:rsid w:val="00F31897"/>
    <w:rsid w:val="00F31DD0"/>
    <w:rsid w:val="00F31DE7"/>
    <w:rsid w:val="00F32135"/>
    <w:rsid w:val="00F32475"/>
    <w:rsid w:val="00F32775"/>
    <w:rsid w:val="00F32CCA"/>
    <w:rsid w:val="00F32EA4"/>
    <w:rsid w:val="00F334BF"/>
    <w:rsid w:val="00F334D5"/>
    <w:rsid w:val="00F33819"/>
    <w:rsid w:val="00F33889"/>
    <w:rsid w:val="00F33CF5"/>
    <w:rsid w:val="00F33E62"/>
    <w:rsid w:val="00F34032"/>
    <w:rsid w:val="00F34A48"/>
    <w:rsid w:val="00F34A69"/>
    <w:rsid w:val="00F35281"/>
    <w:rsid w:val="00F352E0"/>
    <w:rsid w:val="00F357BB"/>
    <w:rsid w:val="00F35D1D"/>
    <w:rsid w:val="00F35E7B"/>
    <w:rsid w:val="00F3612B"/>
    <w:rsid w:val="00F36130"/>
    <w:rsid w:val="00F36453"/>
    <w:rsid w:val="00F36624"/>
    <w:rsid w:val="00F36660"/>
    <w:rsid w:val="00F367B2"/>
    <w:rsid w:val="00F36A69"/>
    <w:rsid w:val="00F37312"/>
    <w:rsid w:val="00F375F3"/>
    <w:rsid w:val="00F37DFF"/>
    <w:rsid w:val="00F40207"/>
    <w:rsid w:val="00F4062B"/>
    <w:rsid w:val="00F40807"/>
    <w:rsid w:val="00F40833"/>
    <w:rsid w:val="00F4086E"/>
    <w:rsid w:val="00F409B5"/>
    <w:rsid w:val="00F409BB"/>
    <w:rsid w:val="00F41067"/>
    <w:rsid w:val="00F411AF"/>
    <w:rsid w:val="00F41DA0"/>
    <w:rsid w:val="00F42E81"/>
    <w:rsid w:val="00F42FEC"/>
    <w:rsid w:val="00F43159"/>
    <w:rsid w:val="00F4320C"/>
    <w:rsid w:val="00F43250"/>
    <w:rsid w:val="00F433A1"/>
    <w:rsid w:val="00F43461"/>
    <w:rsid w:val="00F436DA"/>
    <w:rsid w:val="00F43BBD"/>
    <w:rsid w:val="00F43BED"/>
    <w:rsid w:val="00F43D1E"/>
    <w:rsid w:val="00F44001"/>
    <w:rsid w:val="00F443A1"/>
    <w:rsid w:val="00F4458E"/>
    <w:rsid w:val="00F44CE0"/>
    <w:rsid w:val="00F452B1"/>
    <w:rsid w:val="00F45343"/>
    <w:rsid w:val="00F45356"/>
    <w:rsid w:val="00F453B4"/>
    <w:rsid w:val="00F45F04"/>
    <w:rsid w:val="00F46573"/>
    <w:rsid w:val="00F468CB"/>
    <w:rsid w:val="00F46D32"/>
    <w:rsid w:val="00F473C9"/>
    <w:rsid w:val="00F474E1"/>
    <w:rsid w:val="00F47516"/>
    <w:rsid w:val="00F475C4"/>
    <w:rsid w:val="00F477C9"/>
    <w:rsid w:val="00F47853"/>
    <w:rsid w:val="00F50130"/>
    <w:rsid w:val="00F501C7"/>
    <w:rsid w:val="00F50443"/>
    <w:rsid w:val="00F509A0"/>
    <w:rsid w:val="00F50A35"/>
    <w:rsid w:val="00F50CD7"/>
    <w:rsid w:val="00F510D6"/>
    <w:rsid w:val="00F51269"/>
    <w:rsid w:val="00F51304"/>
    <w:rsid w:val="00F51CE7"/>
    <w:rsid w:val="00F51D4B"/>
    <w:rsid w:val="00F522EE"/>
    <w:rsid w:val="00F52447"/>
    <w:rsid w:val="00F526FB"/>
    <w:rsid w:val="00F527D9"/>
    <w:rsid w:val="00F529D0"/>
    <w:rsid w:val="00F52B48"/>
    <w:rsid w:val="00F52FD1"/>
    <w:rsid w:val="00F52FEF"/>
    <w:rsid w:val="00F5302C"/>
    <w:rsid w:val="00F530D1"/>
    <w:rsid w:val="00F533BA"/>
    <w:rsid w:val="00F538D7"/>
    <w:rsid w:val="00F53A19"/>
    <w:rsid w:val="00F53CBD"/>
    <w:rsid w:val="00F5438F"/>
    <w:rsid w:val="00F5452F"/>
    <w:rsid w:val="00F54C34"/>
    <w:rsid w:val="00F54DBA"/>
    <w:rsid w:val="00F54F53"/>
    <w:rsid w:val="00F553AF"/>
    <w:rsid w:val="00F555F6"/>
    <w:rsid w:val="00F5564D"/>
    <w:rsid w:val="00F556C3"/>
    <w:rsid w:val="00F5573E"/>
    <w:rsid w:val="00F55ABE"/>
    <w:rsid w:val="00F55CEA"/>
    <w:rsid w:val="00F560EE"/>
    <w:rsid w:val="00F56166"/>
    <w:rsid w:val="00F5627E"/>
    <w:rsid w:val="00F5709F"/>
    <w:rsid w:val="00F570CC"/>
    <w:rsid w:val="00F57148"/>
    <w:rsid w:val="00F57258"/>
    <w:rsid w:val="00F5725C"/>
    <w:rsid w:val="00F572D7"/>
    <w:rsid w:val="00F574F1"/>
    <w:rsid w:val="00F57CB5"/>
    <w:rsid w:val="00F57F51"/>
    <w:rsid w:val="00F600A8"/>
    <w:rsid w:val="00F6046F"/>
    <w:rsid w:val="00F6055D"/>
    <w:rsid w:val="00F60599"/>
    <w:rsid w:val="00F60696"/>
    <w:rsid w:val="00F609D7"/>
    <w:rsid w:val="00F60B2A"/>
    <w:rsid w:val="00F60DC8"/>
    <w:rsid w:val="00F611D3"/>
    <w:rsid w:val="00F611F5"/>
    <w:rsid w:val="00F612BC"/>
    <w:rsid w:val="00F61AEA"/>
    <w:rsid w:val="00F61DC2"/>
    <w:rsid w:val="00F625BA"/>
    <w:rsid w:val="00F6292E"/>
    <w:rsid w:val="00F629A5"/>
    <w:rsid w:val="00F62A56"/>
    <w:rsid w:val="00F63028"/>
    <w:rsid w:val="00F6315B"/>
    <w:rsid w:val="00F6389C"/>
    <w:rsid w:val="00F63AD1"/>
    <w:rsid w:val="00F63B7F"/>
    <w:rsid w:val="00F63B99"/>
    <w:rsid w:val="00F63BE8"/>
    <w:rsid w:val="00F63CBD"/>
    <w:rsid w:val="00F63D21"/>
    <w:rsid w:val="00F64029"/>
    <w:rsid w:val="00F64649"/>
    <w:rsid w:val="00F64A97"/>
    <w:rsid w:val="00F64B86"/>
    <w:rsid w:val="00F64F7A"/>
    <w:rsid w:val="00F6514A"/>
    <w:rsid w:val="00F651D5"/>
    <w:rsid w:val="00F651EB"/>
    <w:rsid w:val="00F6526B"/>
    <w:rsid w:val="00F652D2"/>
    <w:rsid w:val="00F6552C"/>
    <w:rsid w:val="00F6566D"/>
    <w:rsid w:val="00F6573B"/>
    <w:rsid w:val="00F658CA"/>
    <w:rsid w:val="00F65BFE"/>
    <w:rsid w:val="00F65C4F"/>
    <w:rsid w:val="00F65F65"/>
    <w:rsid w:val="00F66046"/>
    <w:rsid w:val="00F6631A"/>
    <w:rsid w:val="00F6632A"/>
    <w:rsid w:val="00F6635E"/>
    <w:rsid w:val="00F66512"/>
    <w:rsid w:val="00F66C1E"/>
    <w:rsid w:val="00F66CC8"/>
    <w:rsid w:val="00F67073"/>
    <w:rsid w:val="00F673E0"/>
    <w:rsid w:val="00F67466"/>
    <w:rsid w:val="00F6762C"/>
    <w:rsid w:val="00F677BB"/>
    <w:rsid w:val="00F679C9"/>
    <w:rsid w:val="00F67AB3"/>
    <w:rsid w:val="00F67C3B"/>
    <w:rsid w:val="00F67FD5"/>
    <w:rsid w:val="00F700D0"/>
    <w:rsid w:val="00F701ED"/>
    <w:rsid w:val="00F70671"/>
    <w:rsid w:val="00F70918"/>
    <w:rsid w:val="00F70921"/>
    <w:rsid w:val="00F7097F"/>
    <w:rsid w:val="00F70C04"/>
    <w:rsid w:val="00F70E34"/>
    <w:rsid w:val="00F70F5A"/>
    <w:rsid w:val="00F71026"/>
    <w:rsid w:val="00F711AE"/>
    <w:rsid w:val="00F714A8"/>
    <w:rsid w:val="00F719D6"/>
    <w:rsid w:val="00F71A82"/>
    <w:rsid w:val="00F71A8B"/>
    <w:rsid w:val="00F71BFF"/>
    <w:rsid w:val="00F71C6F"/>
    <w:rsid w:val="00F71D92"/>
    <w:rsid w:val="00F71F61"/>
    <w:rsid w:val="00F71F90"/>
    <w:rsid w:val="00F721BC"/>
    <w:rsid w:val="00F721E2"/>
    <w:rsid w:val="00F723E6"/>
    <w:rsid w:val="00F727C6"/>
    <w:rsid w:val="00F7280D"/>
    <w:rsid w:val="00F72917"/>
    <w:rsid w:val="00F72924"/>
    <w:rsid w:val="00F72B8F"/>
    <w:rsid w:val="00F73351"/>
    <w:rsid w:val="00F73767"/>
    <w:rsid w:val="00F737AA"/>
    <w:rsid w:val="00F73876"/>
    <w:rsid w:val="00F73CA9"/>
    <w:rsid w:val="00F73F8B"/>
    <w:rsid w:val="00F74DFA"/>
    <w:rsid w:val="00F74E61"/>
    <w:rsid w:val="00F74EB9"/>
    <w:rsid w:val="00F750F8"/>
    <w:rsid w:val="00F7528A"/>
    <w:rsid w:val="00F75431"/>
    <w:rsid w:val="00F7598A"/>
    <w:rsid w:val="00F75A35"/>
    <w:rsid w:val="00F75AAE"/>
    <w:rsid w:val="00F75D04"/>
    <w:rsid w:val="00F7600A"/>
    <w:rsid w:val="00F763B0"/>
    <w:rsid w:val="00F766FF"/>
    <w:rsid w:val="00F76879"/>
    <w:rsid w:val="00F768E8"/>
    <w:rsid w:val="00F7783E"/>
    <w:rsid w:val="00F778E6"/>
    <w:rsid w:val="00F7791B"/>
    <w:rsid w:val="00F779F1"/>
    <w:rsid w:val="00F80269"/>
    <w:rsid w:val="00F808EE"/>
    <w:rsid w:val="00F80973"/>
    <w:rsid w:val="00F80A11"/>
    <w:rsid w:val="00F80A2A"/>
    <w:rsid w:val="00F80D55"/>
    <w:rsid w:val="00F80EB0"/>
    <w:rsid w:val="00F81165"/>
    <w:rsid w:val="00F81179"/>
    <w:rsid w:val="00F81359"/>
    <w:rsid w:val="00F818A3"/>
    <w:rsid w:val="00F819E5"/>
    <w:rsid w:val="00F82001"/>
    <w:rsid w:val="00F82B9B"/>
    <w:rsid w:val="00F83015"/>
    <w:rsid w:val="00F83502"/>
    <w:rsid w:val="00F836C9"/>
    <w:rsid w:val="00F837A1"/>
    <w:rsid w:val="00F83910"/>
    <w:rsid w:val="00F839BB"/>
    <w:rsid w:val="00F83BEE"/>
    <w:rsid w:val="00F84B14"/>
    <w:rsid w:val="00F84BFD"/>
    <w:rsid w:val="00F85293"/>
    <w:rsid w:val="00F85B9C"/>
    <w:rsid w:val="00F85BDB"/>
    <w:rsid w:val="00F85EA8"/>
    <w:rsid w:val="00F8625B"/>
    <w:rsid w:val="00F86A16"/>
    <w:rsid w:val="00F86F45"/>
    <w:rsid w:val="00F87671"/>
    <w:rsid w:val="00F87678"/>
    <w:rsid w:val="00F903B7"/>
    <w:rsid w:val="00F9053D"/>
    <w:rsid w:val="00F906A5"/>
    <w:rsid w:val="00F90C25"/>
    <w:rsid w:val="00F90E9F"/>
    <w:rsid w:val="00F90F4B"/>
    <w:rsid w:val="00F910DB"/>
    <w:rsid w:val="00F91178"/>
    <w:rsid w:val="00F911DB"/>
    <w:rsid w:val="00F91466"/>
    <w:rsid w:val="00F91573"/>
    <w:rsid w:val="00F915D8"/>
    <w:rsid w:val="00F919C2"/>
    <w:rsid w:val="00F91CDA"/>
    <w:rsid w:val="00F91EFC"/>
    <w:rsid w:val="00F9222F"/>
    <w:rsid w:val="00F922D7"/>
    <w:rsid w:val="00F922FE"/>
    <w:rsid w:val="00F923F6"/>
    <w:rsid w:val="00F92562"/>
    <w:rsid w:val="00F925EA"/>
    <w:rsid w:val="00F9261E"/>
    <w:rsid w:val="00F92FB2"/>
    <w:rsid w:val="00F93144"/>
    <w:rsid w:val="00F9328F"/>
    <w:rsid w:val="00F9332D"/>
    <w:rsid w:val="00F93375"/>
    <w:rsid w:val="00F93499"/>
    <w:rsid w:val="00F93BF9"/>
    <w:rsid w:val="00F93C80"/>
    <w:rsid w:val="00F93CE5"/>
    <w:rsid w:val="00F941B0"/>
    <w:rsid w:val="00F9433C"/>
    <w:rsid w:val="00F94449"/>
    <w:rsid w:val="00F9444F"/>
    <w:rsid w:val="00F9459F"/>
    <w:rsid w:val="00F948E4"/>
    <w:rsid w:val="00F9498A"/>
    <w:rsid w:val="00F94B26"/>
    <w:rsid w:val="00F94B2B"/>
    <w:rsid w:val="00F95193"/>
    <w:rsid w:val="00F95248"/>
    <w:rsid w:val="00F9566F"/>
    <w:rsid w:val="00F95937"/>
    <w:rsid w:val="00F95EB7"/>
    <w:rsid w:val="00F95F16"/>
    <w:rsid w:val="00F95FBE"/>
    <w:rsid w:val="00F96195"/>
    <w:rsid w:val="00F963AF"/>
    <w:rsid w:val="00F9679B"/>
    <w:rsid w:val="00F96EEA"/>
    <w:rsid w:val="00F973D0"/>
    <w:rsid w:val="00F97598"/>
    <w:rsid w:val="00F975DB"/>
    <w:rsid w:val="00F97665"/>
    <w:rsid w:val="00F97712"/>
    <w:rsid w:val="00F97BF5"/>
    <w:rsid w:val="00F97C9D"/>
    <w:rsid w:val="00FA0B75"/>
    <w:rsid w:val="00FA108C"/>
    <w:rsid w:val="00FA117A"/>
    <w:rsid w:val="00FA11C6"/>
    <w:rsid w:val="00FA1526"/>
    <w:rsid w:val="00FA1798"/>
    <w:rsid w:val="00FA1C7C"/>
    <w:rsid w:val="00FA1D7B"/>
    <w:rsid w:val="00FA1EB3"/>
    <w:rsid w:val="00FA1F3E"/>
    <w:rsid w:val="00FA207A"/>
    <w:rsid w:val="00FA2823"/>
    <w:rsid w:val="00FA29DA"/>
    <w:rsid w:val="00FA2A21"/>
    <w:rsid w:val="00FA2A63"/>
    <w:rsid w:val="00FA2C56"/>
    <w:rsid w:val="00FA3356"/>
    <w:rsid w:val="00FA3B12"/>
    <w:rsid w:val="00FA3CD2"/>
    <w:rsid w:val="00FA3CE5"/>
    <w:rsid w:val="00FA3ED5"/>
    <w:rsid w:val="00FA43BF"/>
    <w:rsid w:val="00FA46BB"/>
    <w:rsid w:val="00FA472D"/>
    <w:rsid w:val="00FA487A"/>
    <w:rsid w:val="00FA4A43"/>
    <w:rsid w:val="00FA4D7C"/>
    <w:rsid w:val="00FA4DB3"/>
    <w:rsid w:val="00FA4F76"/>
    <w:rsid w:val="00FA5188"/>
    <w:rsid w:val="00FA547F"/>
    <w:rsid w:val="00FA59DA"/>
    <w:rsid w:val="00FA5A81"/>
    <w:rsid w:val="00FA649E"/>
    <w:rsid w:val="00FA6899"/>
    <w:rsid w:val="00FA6AC3"/>
    <w:rsid w:val="00FA6E0F"/>
    <w:rsid w:val="00FA72BE"/>
    <w:rsid w:val="00FA7570"/>
    <w:rsid w:val="00FA791C"/>
    <w:rsid w:val="00FB037A"/>
    <w:rsid w:val="00FB0AB1"/>
    <w:rsid w:val="00FB0AD2"/>
    <w:rsid w:val="00FB0C1B"/>
    <w:rsid w:val="00FB11C0"/>
    <w:rsid w:val="00FB157D"/>
    <w:rsid w:val="00FB186D"/>
    <w:rsid w:val="00FB1A4D"/>
    <w:rsid w:val="00FB1F20"/>
    <w:rsid w:val="00FB1FC3"/>
    <w:rsid w:val="00FB21E2"/>
    <w:rsid w:val="00FB225B"/>
    <w:rsid w:val="00FB234F"/>
    <w:rsid w:val="00FB271D"/>
    <w:rsid w:val="00FB27A5"/>
    <w:rsid w:val="00FB2A58"/>
    <w:rsid w:val="00FB2D19"/>
    <w:rsid w:val="00FB2DBB"/>
    <w:rsid w:val="00FB2EB3"/>
    <w:rsid w:val="00FB2F8E"/>
    <w:rsid w:val="00FB3090"/>
    <w:rsid w:val="00FB32CA"/>
    <w:rsid w:val="00FB3670"/>
    <w:rsid w:val="00FB3869"/>
    <w:rsid w:val="00FB3AA3"/>
    <w:rsid w:val="00FB3BC7"/>
    <w:rsid w:val="00FB3C8C"/>
    <w:rsid w:val="00FB45BA"/>
    <w:rsid w:val="00FB45F6"/>
    <w:rsid w:val="00FB472E"/>
    <w:rsid w:val="00FB48AC"/>
    <w:rsid w:val="00FB4A97"/>
    <w:rsid w:val="00FB4B80"/>
    <w:rsid w:val="00FB4BA9"/>
    <w:rsid w:val="00FB4F32"/>
    <w:rsid w:val="00FB5298"/>
    <w:rsid w:val="00FB5538"/>
    <w:rsid w:val="00FB57E8"/>
    <w:rsid w:val="00FB58A4"/>
    <w:rsid w:val="00FB5C2A"/>
    <w:rsid w:val="00FB5C58"/>
    <w:rsid w:val="00FB5C81"/>
    <w:rsid w:val="00FB60B4"/>
    <w:rsid w:val="00FB612C"/>
    <w:rsid w:val="00FB6452"/>
    <w:rsid w:val="00FB65BE"/>
    <w:rsid w:val="00FB6657"/>
    <w:rsid w:val="00FB6902"/>
    <w:rsid w:val="00FB6943"/>
    <w:rsid w:val="00FB69B3"/>
    <w:rsid w:val="00FB6AD2"/>
    <w:rsid w:val="00FB70F5"/>
    <w:rsid w:val="00FB71B9"/>
    <w:rsid w:val="00FB76AC"/>
    <w:rsid w:val="00FB7911"/>
    <w:rsid w:val="00FB7AEA"/>
    <w:rsid w:val="00FC0180"/>
    <w:rsid w:val="00FC02AF"/>
    <w:rsid w:val="00FC0386"/>
    <w:rsid w:val="00FC0893"/>
    <w:rsid w:val="00FC0917"/>
    <w:rsid w:val="00FC0D9A"/>
    <w:rsid w:val="00FC0F83"/>
    <w:rsid w:val="00FC127D"/>
    <w:rsid w:val="00FC16B0"/>
    <w:rsid w:val="00FC175A"/>
    <w:rsid w:val="00FC1EF4"/>
    <w:rsid w:val="00FC200E"/>
    <w:rsid w:val="00FC2395"/>
    <w:rsid w:val="00FC2722"/>
    <w:rsid w:val="00FC27A5"/>
    <w:rsid w:val="00FC29DD"/>
    <w:rsid w:val="00FC3615"/>
    <w:rsid w:val="00FC39AF"/>
    <w:rsid w:val="00FC3B02"/>
    <w:rsid w:val="00FC3BE5"/>
    <w:rsid w:val="00FC3C7C"/>
    <w:rsid w:val="00FC40D6"/>
    <w:rsid w:val="00FC4138"/>
    <w:rsid w:val="00FC419F"/>
    <w:rsid w:val="00FC4362"/>
    <w:rsid w:val="00FC4425"/>
    <w:rsid w:val="00FC47DE"/>
    <w:rsid w:val="00FC4A6E"/>
    <w:rsid w:val="00FC50B3"/>
    <w:rsid w:val="00FC53DA"/>
    <w:rsid w:val="00FC55ED"/>
    <w:rsid w:val="00FC57D1"/>
    <w:rsid w:val="00FC5DCF"/>
    <w:rsid w:val="00FC5DD0"/>
    <w:rsid w:val="00FC6411"/>
    <w:rsid w:val="00FC6428"/>
    <w:rsid w:val="00FC6602"/>
    <w:rsid w:val="00FC697C"/>
    <w:rsid w:val="00FC6B3B"/>
    <w:rsid w:val="00FC6D29"/>
    <w:rsid w:val="00FC6E31"/>
    <w:rsid w:val="00FC7079"/>
    <w:rsid w:val="00FC729B"/>
    <w:rsid w:val="00FC73B1"/>
    <w:rsid w:val="00FC7AF8"/>
    <w:rsid w:val="00FC7C4D"/>
    <w:rsid w:val="00FD018D"/>
    <w:rsid w:val="00FD05B4"/>
    <w:rsid w:val="00FD068E"/>
    <w:rsid w:val="00FD0973"/>
    <w:rsid w:val="00FD0A5C"/>
    <w:rsid w:val="00FD10B5"/>
    <w:rsid w:val="00FD10F5"/>
    <w:rsid w:val="00FD1250"/>
    <w:rsid w:val="00FD12E7"/>
    <w:rsid w:val="00FD1813"/>
    <w:rsid w:val="00FD1943"/>
    <w:rsid w:val="00FD1A2B"/>
    <w:rsid w:val="00FD1BA3"/>
    <w:rsid w:val="00FD1DF8"/>
    <w:rsid w:val="00FD1F5E"/>
    <w:rsid w:val="00FD2251"/>
    <w:rsid w:val="00FD22C5"/>
    <w:rsid w:val="00FD28E1"/>
    <w:rsid w:val="00FD2A30"/>
    <w:rsid w:val="00FD3013"/>
    <w:rsid w:val="00FD306D"/>
    <w:rsid w:val="00FD31AD"/>
    <w:rsid w:val="00FD393D"/>
    <w:rsid w:val="00FD3C1D"/>
    <w:rsid w:val="00FD3D27"/>
    <w:rsid w:val="00FD4998"/>
    <w:rsid w:val="00FD4B3B"/>
    <w:rsid w:val="00FD4D53"/>
    <w:rsid w:val="00FD4DD4"/>
    <w:rsid w:val="00FD5025"/>
    <w:rsid w:val="00FD5073"/>
    <w:rsid w:val="00FD5194"/>
    <w:rsid w:val="00FD5292"/>
    <w:rsid w:val="00FD5488"/>
    <w:rsid w:val="00FD5537"/>
    <w:rsid w:val="00FD55FE"/>
    <w:rsid w:val="00FD57E0"/>
    <w:rsid w:val="00FD5B43"/>
    <w:rsid w:val="00FD5C80"/>
    <w:rsid w:val="00FD5C96"/>
    <w:rsid w:val="00FD5EBB"/>
    <w:rsid w:val="00FD5FE7"/>
    <w:rsid w:val="00FD6227"/>
    <w:rsid w:val="00FD630A"/>
    <w:rsid w:val="00FD637D"/>
    <w:rsid w:val="00FD6608"/>
    <w:rsid w:val="00FD666E"/>
    <w:rsid w:val="00FD6940"/>
    <w:rsid w:val="00FD6D9C"/>
    <w:rsid w:val="00FD75BB"/>
    <w:rsid w:val="00FD7761"/>
    <w:rsid w:val="00FD7785"/>
    <w:rsid w:val="00FD7A1E"/>
    <w:rsid w:val="00FD7B5B"/>
    <w:rsid w:val="00FE004D"/>
    <w:rsid w:val="00FE01C9"/>
    <w:rsid w:val="00FE0230"/>
    <w:rsid w:val="00FE04DB"/>
    <w:rsid w:val="00FE061A"/>
    <w:rsid w:val="00FE0A27"/>
    <w:rsid w:val="00FE0B94"/>
    <w:rsid w:val="00FE0D68"/>
    <w:rsid w:val="00FE0F1F"/>
    <w:rsid w:val="00FE10C1"/>
    <w:rsid w:val="00FE116B"/>
    <w:rsid w:val="00FE12D7"/>
    <w:rsid w:val="00FE19CF"/>
    <w:rsid w:val="00FE218D"/>
    <w:rsid w:val="00FE2269"/>
    <w:rsid w:val="00FE2530"/>
    <w:rsid w:val="00FE2D6E"/>
    <w:rsid w:val="00FE2EA1"/>
    <w:rsid w:val="00FE315B"/>
    <w:rsid w:val="00FE317D"/>
    <w:rsid w:val="00FE3366"/>
    <w:rsid w:val="00FE35FD"/>
    <w:rsid w:val="00FE376B"/>
    <w:rsid w:val="00FE38C1"/>
    <w:rsid w:val="00FE3BCA"/>
    <w:rsid w:val="00FE4166"/>
    <w:rsid w:val="00FE46FD"/>
    <w:rsid w:val="00FE4EAE"/>
    <w:rsid w:val="00FE5802"/>
    <w:rsid w:val="00FE5D66"/>
    <w:rsid w:val="00FE5FAB"/>
    <w:rsid w:val="00FE6104"/>
    <w:rsid w:val="00FE6322"/>
    <w:rsid w:val="00FE63E5"/>
    <w:rsid w:val="00FE6753"/>
    <w:rsid w:val="00FE67B9"/>
    <w:rsid w:val="00FE6EED"/>
    <w:rsid w:val="00FE6F0A"/>
    <w:rsid w:val="00FE6F14"/>
    <w:rsid w:val="00FE6F7C"/>
    <w:rsid w:val="00FE6FFD"/>
    <w:rsid w:val="00FE7371"/>
    <w:rsid w:val="00FE7591"/>
    <w:rsid w:val="00FE77FE"/>
    <w:rsid w:val="00FE78EA"/>
    <w:rsid w:val="00FE7A83"/>
    <w:rsid w:val="00FF0023"/>
    <w:rsid w:val="00FF0044"/>
    <w:rsid w:val="00FF0350"/>
    <w:rsid w:val="00FF09C3"/>
    <w:rsid w:val="00FF0A3B"/>
    <w:rsid w:val="00FF0CF1"/>
    <w:rsid w:val="00FF0FF3"/>
    <w:rsid w:val="00FF18A9"/>
    <w:rsid w:val="00FF1D7B"/>
    <w:rsid w:val="00FF1E0F"/>
    <w:rsid w:val="00FF21EE"/>
    <w:rsid w:val="00FF22BC"/>
    <w:rsid w:val="00FF2621"/>
    <w:rsid w:val="00FF27FD"/>
    <w:rsid w:val="00FF2827"/>
    <w:rsid w:val="00FF28E7"/>
    <w:rsid w:val="00FF2CD7"/>
    <w:rsid w:val="00FF2DB3"/>
    <w:rsid w:val="00FF301F"/>
    <w:rsid w:val="00FF31C4"/>
    <w:rsid w:val="00FF331C"/>
    <w:rsid w:val="00FF374C"/>
    <w:rsid w:val="00FF4279"/>
    <w:rsid w:val="00FF43FF"/>
    <w:rsid w:val="00FF4AC2"/>
    <w:rsid w:val="00FF4D75"/>
    <w:rsid w:val="00FF4EEE"/>
    <w:rsid w:val="00FF4FD1"/>
    <w:rsid w:val="00FF5329"/>
    <w:rsid w:val="00FF53EE"/>
    <w:rsid w:val="00FF5594"/>
    <w:rsid w:val="00FF5599"/>
    <w:rsid w:val="00FF55CA"/>
    <w:rsid w:val="00FF5694"/>
    <w:rsid w:val="00FF57E2"/>
    <w:rsid w:val="00FF5936"/>
    <w:rsid w:val="00FF5B6F"/>
    <w:rsid w:val="00FF5D60"/>
    <w:rsid w:val="00FF5F9B"/>
    <w:rsid w:val="00FF6494"/>
    <w:rsid w:val="00FF68BD"/>
    <w:rsid w:val="00FF6930"/>
    <w:rsid w:val="00FF6BDD"/>
    <w:rsid w:val="00FF6CC5"/>
    <w:rsid w:val="00FF6D14"/>
    <w:rsid w:val="00FF6F88"/>
    <w:rsid w:val="00FF7267"/>
    <w:rsid w:val="00FF76CE"/>
    <w:rsid w:val="00FF7C08"/>
    <w:rsid w:val="00FF7C88"/>
    <w:rsid w:val="00FF7E5A"/>
    <w:rsid w:val="0101ABC2"/>
    <w:rsid w:val="012FBD47"/>
    <w:rsid w:val="01B399B6"/>
    <w:rsid w:val="01B3F1FF"/>
    <w:rsid w:val="027AAC37"/>
    <w:rsid w:val="0282471E"/>
    <w:rsid w:val="02EA7D56"/>
    <w:rsid w:val="037B750F"/>
    <w:rsid w:val="03B1416C"/>
    <w:rsid w:val="03C48620"/>
    <w:rsid w:val="03D991CD"/>
    <w:rsid w:val="04172C78"/>
    <w:rsid w:val="047B0E29"/>
    <w:rsid w:val="04846E98"/>
    <w:rsid w:val="04C80F1E"/>
    <w:rsid w:val="053B3D87"/>
    <w:rsid w:val="059FF10D"/>
    <w:rsid w:val="05D1216E"/>
    <w:rsid w:val="05D7E67C"/>
    <w:rsid w:val="05DF34C1"/>
    <w:rsid w:val="05F521C2"/>
    <w:rsid w:val="05F5E382"/>
    <w:rsid w:val="0627521B"/>
    <w:rsid w:val="063F1219"/>
    <w:rsid w:val="06ACB399"/>
    <w:rsid w:val="06D5575C"/>
    <w:rsid w:val="06EFF6C3"/>
    <w:rsid w:val="0711DED2"/>
    <w:rsid w:val="074D6A5D"/>
    <w:rsid w:val="0795E3A9"/>
    <w:rsid w:val="07A6A6C1"/>
    <w:rsid w:val="07AED6AF"/>
    <w:rsid w:val="07B1FA8E"/>
    <w:rsid w:val="07C6EFFF"/>
    <w:rsid w:val="07D51216"/>
    <w:rsid w:val="07F9F072"/>
    <w:rsid w:val="082AEB8E"/>
    <w:rsid w:val="08A06E80"/>
    <w:rsid w:val="08EF98FC"/>
    <w:rsid w:val="093FE9F4"/>
    <w:rsid w:val="0953DE14"/>
    <w:rsid w:val="0998818D"/>
    <w:rsid w:val="09FBAC94"/>
    <w:rsid w:val="09FF135D"/>
    <w:rsid w:val="0A211D0F"/>
    <w:rsid w:val="0A22D9F3"/>
    <w:rsid w:val="0A4971B5"/>
    <w:rsid w:val="0A70A1B6"/>
    <w:rsid w:val="0A9C18B8"/>
    <w:rsid w:val="0B0D9560"/>
    <w:rsid w:val="0BAC2F34"/>
    <w:rsid w:val="0BE09812"/>
    <w:rsid w:val="0BF65B56"/>
    <w:rsid w:val="0BFCCEA4"/>
    <w:rsid w:val="0C2C72AD"/>
    <w:rsid w:val="0C420AFF"/>
    <w:rsid w:val="0C9072BA"/>
    <w:rsid w:val="0D1D0D9B"/>
    <w:rsid w:val="0D58BE62"/>
    <w:rsid w:val="0D5AB6F8"/>
    <w:rsid w:val="0D6BFDF1"/>
    <w:rsid w:val="0DB1580E"/>
    <w:rsid w:val="0DB73741"/>
    <w:rsid w:val="0E055695"/>
    <w:rsid w:val="0E540CAF"/>
    <w:rsid w:val="0E55E2FD"/>
    <w:rsid w:val="0F7D9512"/>
    <w:rsid w:val="0FA80168"/>
    <w:rsid w:val="0FC63BC9"/>
    <w:rsid w:val="0FCE6FCF"/>
    <w:rsid w:val="1007B71C"/>
    <w:rsid w:val="1015114B"/>
    <w:rsid w:val="102D0195"/>
    <w:rsid w:val="104AE631"/>
    <w:rsid w:val="104DEBB8"/>
    <w:rsid w:val="10543B05"/>
    <w:rsid w:val="10AC9CB5"/>
    <w:rsid w:val="10B3E7F7"/>
    <w:rsid w:val="10B401D3"/>
    <w:rsid w:val="10DF4572"/>
    <w:rsid w:val="111D4F3D"/>
    <w:rsid w:val="113EA04B"/>
    <w:rsid w:val="122373B6"/>
    <w:rsid w:val="12343A36"/>
    <w:rsid w:val="12B7CF6A"/>
    <w:rsid w:val="12E71D71"/>
    <w:rsid w:val="133999F3"/>
    <w:rsid w:val="133EE3CE"/>
    <w:rsid w:val="136C4FE3"/>
    <w:rsid w:val="13E8BD8C"/>
    <w:rsid w:val="14145419"/>
    <w:rsid w:val="141C7DB8"/>
    <w:rsid w:val="1444E9C7"/>
    <w:rsid w:val="14EC5E30"/>
    <w:rsid w:val="150885DB"/>
    <w:rsid w:val="152AF39D"/>
    <w:rsid w:val="15831D46"/>
    <w:rsid w:val="15B4CF70"/>
    <w:rsid w:val="15BD74AD"/>
    <w:rsid w:val="15EB7416"/>
    <w:rsid w:val="15EC761C"/>
    <w:rsid w:val="160EAF76"/>
    <w:rsid w:val="168AD6A5"/>
    <w:rsid w:val="16B0DBE2"/>
    <w:rsid w:val="16CBE621"/>
    <w:rsid w:val="16EFF8A8"/>
    <w:rsid w:val="170003EB"/>
    <w:rsid w:val="177D8804"/>
    <w:rsid w:val="17AAEC82"/>
    <w:rsid w:val="17F46714"/>
    <w:rsid w:val="1812D7D7"/>
    <w:rsid w:val="1867EB05"/>
    <w:rsid w:val="18B505EA"/>
    <w:rsid w:val="18DB3294"/>
    <w:rsid w:val="190FD63F"/>
    <w:rsid w:val="1933811A"/>
    <w:rsid w:val="19394246"/>
    <w:rsid w:val="19510022"/>
    <w:rsid w:val="19838312"/>
    <w:rsid w:val="1A362D74"/>
    <w:rsid w:val="1A374266"/>
    <w:rsid w:val="1A598BCD"/>
    <w:rsid w:val="1A88356F"/>
    <w:rsid w:val="1AA71211"/>
    <w:rsid w:val="1AFE8972"/>
    <w:rsid w:val="1B37FF7C"/>
    <w:rsid w:val="1B83DB75"/>
    <w:rsid w:val="1B88D0CC"/>
    <w:rsid w:val="1BBE3283"/>
    <w:rsid w:val="1BBF5596"/>
    <w:rsid w:val="1BE18A39"/>
    <w:rsid w:val="1C02E219"/>
    <w:rsid w:val="1C0E6E1A"/>
    <w:rsid w:val="1C4D676E"/>
    <w:rsid w:val="1C502AE6"/>
    <w:rsid w:val="1CF38D6D"/>
    <w:rsid w:val="1D0F6467"/>
    <w:rsid w:val="1D21735F"/>
    <w:rsid w:val="1E4FC579"/>
    <w:rsid w:val="1E54918E"/>
    <w:rsid w:val="1E62C0B2"/>
    <w:rsid w:val="1F8EF616"/>
    <w:rsid w:val="1F9B059D"/>
    <w:rsid w:val="1F9DFCD6"/>
    <w:rsid w:val="1FD1F007"/>
    <w:rsid w:val="1FDAA9F2"/>
    <w:rsid w:val="1FE24AEA"/>
    <w:rsid w:val="1FF8F8D1"/>
    <w:rsid w:val="20279B84"/>
    <w:rsid w:val="20334CF5"/>
    <w:rsid w:val="206C7F1C"/>
    <w:rsid w:val="2090E071"/>
    <w:rsid w:val="20B6DC1A"/>
    <w:rsid w:val="20CF4047"/>
    <w:rsid w:val="20F775CE"/>
    <w:rsid w:val="21076570"/>
    <w:rsid w:val="2112E45A"/>
    <w:rsid w:val="21286B3B"/>
    <w:rsid w:val="2191EA71"/>
    <w:rsid w:val="21B444B7"/>
    <w:rsid w:val="21B5BEA3"/>
    <w:rsid w:val="21CDB04E"/>
    <w:rsid w:val="2212AD78"/>
    <w:rsid w:val="2289C3E5"/>
    <w:rsid w:val="229C27E7"/>
    <w:rsid w:val="22D6FE8F"/>
    <w:rsid w:val="22EAC967"/>
    <w:rsid w:val="23033B10"/>
    <w:rsid w:val="230B48B1"/>
    <w:rsid w:val="234E962A"/>
    <w:rsid w:val="238DA83D"/>
    <w:rsid w:val="23AFF98D"/>
    <w:rsid w:val="23C76B0E"/>
    <w:rsid w:val="241B73B2"/>
    <w:rsid w:val="244C6F03"/>
    <w:rsid w:val="2464332B"/>
    <w:rsid w:val="246E00AE"/>
    <w:rsid w:val="2473EEF6"/>
    <w:rsid w:val="250EEC65"/>
    <w:rsid w:val="252A05F5"/>
    <w:rsid w:val="25362944"/>
    <w:rsid w:val="2541A9B2"/>
    <w:rsid w:val="2579BB41"/>
    <w:rsid w:val="25B2E72D"/>
    <w:rsid w:val="260E9211"/>
    <w:rsid w:val="26202133"/>
    <w:rsid w:val="267B6918"/>
    <w:rsid w:val="2680F19D"/>
    <w:rsid w:val="2709C2A6"/>
    <w:rsid w:val="271406A9"/>
    <w:rsid w:val="2768440D"/>
    <w:rsid w:val="27E64A1C"/>
    <w:rsid w:val="27F05EC7"/>
    <w:rsid w:val="2861763E"/>
    <w:rsid w:val="28C13FA0"/>
    <w:rsid w:val="28DCA373"/>
    <w:rsid w:val="29013476"/>
    <w:rsid w:val="2973E4F3"/>
    <w:rsid w:val="29769EDC"/>
    <w:rsid w:val="2999C427"/>
    <w:rsid w:val="299AA803"/>
    <w:rsid w:val="29DD313F"/>
    <w:rsid w:val="29E54F72"/>
    <w:rsid w:val="29EBD9A7"/>
    <w:rsid w:val="2A0D0FD0"/>
    <w:rsid w:val="2A23CFC2"/>
    <w:rsid w:val="2A395011"/>
    <w:rsid w:val="2A62B02E"/>
    <w:rsid w:val="2A8885A4"/>
    <w:rsid w:val="2AF29ED8"/>
    <w:rsid w:val="2B3DB19B"/>
    <w:rsid w:val="2BEE6DE4"/>
    <w:rsid w:val="2C2A480C"/>
    <w:rsid w:val="2CFC0990"/>
    <w:rsid w:val="2D44EEE6"/>
    <w:rsid w:val="2D65C71B"/>
    <w:rsid w:val="2D6855EE"/>
    <w:rsid w:val="2D6D9A74"/>
    <w:rsid w:val="2D7EC944"/>
    <w:rsid w:val="2DF564EF"/>
    <w:rsid w:val="2E56A696"/>
    <w:rsid w:val="2E79C537"/>
    <w:rsid w:val="2E834A3F"/>
    <w:rsid w:val="2EC32800"/>
    <w:rsid w:val="2F060A1D"/>
    <w:rsid w:val="2F309055"/>
    <w:rsid w:val="30413F77"/>
    <w:rsid w:val="3051012B"/>
    <w:rsid w:val="309087E1"/>
    <w:rsid w:val="3097F89A"/>
    <w:rsid w:val="30B293B8"/>
    <w:rsid w:val="30E24687"/>
    <w:rsid w:val="3103FB3B"/>
    <w:rsid w:val="310D227C"/>
    <w:rsid w:val="310D80B8"/>
    <w:rsid w:val="3131DDE3"/>
    <w:rsid w:val="31A958BB"/>
    <w:rsid w:val="322E4C33"/>
    <w:rsid w:val="3251D0D0"/>
    <w:rsid w:val="32BC9B72"/>
    <w:rsid w:val="32C83E7A"/>
    <w:rsid w:val="3359B399"/>
    <w:rsid w:val="33708D0F"/>
    <w:rsid w:val="33B1A103"/>
    <w:rsid w:val="33F2C04C"/>
    <w:rsid w:val="340BE380"/>
    <w:rsid w:val="3416F028"/>
    <w:rsid w:val="34D664F0"/>
    <w:rsid w:val="353454A2"/>
    <w:rsid w:val="35684E99"/>
    <w:rsid w:val="360B2A47"/>
    <w:rsid w:val="3644EF80"/>
    <w:rsid w:val="364AAE38"/>
    <w:rsid w:val="36665B69"/>
    <w:rsid w:val="369298E6"/>
    <w:rsid w:val="36B455EF"/>
    <w:rsid w:val="36CBC5E1"/>
    <w:rsid w:val="36E4FD7A"/>
    <w:rsid w:val="36F68FB7"/>
    <w:rsid w:val="37121FF8"/>
    <w:rsid w:val="37413341"/>
    <w:rsid w:val="37436762"/>
    <w:rsid w:val="3759EED0"/>
    <w:rsid w:val="379767FA"/>
    <w:rsid w:val="37C99B08"/>
    <w:rsid w:val="37E484A6"/>
    <w:rsid w:val="37EDE7FF"/>
    <w:rsid w:val="38107F60"/>
    <w:rsid w:val="38192C2B"/>
    <w:rsid w:val="38BAF9C8"/>
    <w:rsid w:val="38C26A22"/>
    <w:rsid w:val="38E7F0D7"/>
    <w:rsid w:val="392986DD"/>
    <w:rsid w:val="3941A91D"/>
    <w:rsid w:val="3981A4E3"/>
    <w:rsid w:val="39B81682"/>
    <w:rsid w:val="39BF58DD"/>
    <w:rsid w:val="39C3525F"/>
    <w:rsid w:val="39C8C749"/>
    <w:rsid w:val="39E4CEEB"/>
    <w:rsid w:val="3A4ED8C1"/>
    <w:rsid w:val="3A8020B4"/>
    <w:rsid w:val="3ACEB336"/>
    <w:rsid w:val="3ACF3601"/>
    <w:rsid w:val="3AE81F73"/>
    <w:rsid w:val="3AF55839"/>
    <w:rsid w:val="3B0CAB29"/>
    <w:rsid w:val="3B1ECCAE"/>
    <w:rsid w:val="3B36ADCE"/>
    <w:rsid w:val="3B4D676C"/>
    <w:rsid w:val="3C3B3FFD"/>
    <w:rsid w:val="3C4257FA"/>
    <w:rsid w:val="3D06591C"/>
    <w:rsid w:val="3D408C28"/>
    <w:rsid w:val="3D4DF350"/>
    <w:rsid w:val="3D92C64A"/>
    <w:rsid w:val="3DAD51C3"/>
    <w:rsid w:val="3DF07186"/>
    <w:rsid w:val="3EC52747"/>
    <w:rsid w:val="3F263E1F"/>
    <w:rsid w:val="3F34463E"/>
    <w:rsid w:val="3F3EF217"/>
    <w:rsid w:val="3F616662"/>
    <w:rsid w:val="3F830DED"/>
    <w:rsid w:val="3FB8239E"/>
    <w:rsid w:val="3FFE8AF6"/>
    <w:rsid w:val="4041755E"/>
    <w:rsid w:val="40472B0D"/>
    <w:rsid w:val="405FF6AF"/>
    <w:rsid w:val="409245C0"/>
    <w:rsid w:val="4092B52E"/>
    <w:rsid w:val="41170C4E"/>
    <w:rsid w:val="41347030"/>
    <w:rsid w:val="4144794F"/>
    <w:rsid w:val="417632A7"/>
    <w:rsid w:val="417FCCD2"/>
    <w:rsid w:val="418B3043"/>
    <w:rsid w:val="41DF6948"/>
    <w:rsid w:val="41F700DB"/>
    <w:rsid w:val="42013DB1"/>
    <w:rsid w:val="424B9084"/>
    <w:rsid w:val="42850857"/>
    <w:rsid w:val="42A7226D"/>
    <w:rsid w:val="42DD98F8"/>
    <w:rsid w:val="4312913E"/>
    <w:rsid w:val="4373E41B"/>
    <w:rsid w:val="43832308"/>
    <w:rsid w:val="43876EAA"/>
    <w:rsid w:val="4389AA73"/>
    <w:rsid w:val="43A59D77"/>
    <w:rsid w:val="43AB3285"/>
    <w:rsid w:val="43CE50D4"/>
    <w:rsid w:val="43E8583A"/>
    <w:rsid w:val="441E558A"/>
    <w:rsid w:val="442D4BC2"/>
    <w:rsid w:val="4445B515"/>
    <w:rsid w:val="445443B2"/>
    <w:rsid w:val="446DFDF1"/>
    <w:rsid w:val="447EA87C"/>
    <w:rsid w:val="4485849A"/>
    <w:rsid w:val="44BF5E00"/>
    <w:rsid w:val="44C5C0F4"/>
    <w:rsid w:val="44CADBEA"/>
    <w:rsid w:val="44E8F8E0"/>
    <w:rsid w:val="4516E771"/>
    <w:rsid w:val="456A1511"/>
    <w:rsid w:val="4572FBAC"/>
    <w:rsid w:val="45FC393D"/>
    <w:rsid w:val="4648312D"/>
    <w:rsid w:val="465177DD"/>
    <w:rsid w:val="4659A314"/>
    <w:rsid w:val="469AD1C6"/>
    <w:rsid w:val="46A129F6"/>
    <w:rsid w:val="46AF9FE1"/>
    <w:rsid w:val="47448233"/>
    <w:rsid w:val="4751D2F0"/>
    <w:rsid w:val="4756FB42"/>
    <w:rsid w:val="48134C55"/>
    <w:rsid w:val="48304649"/>
    <w:rsid w:val="483233F8"/>
    <w:rsid w:val="48B4CBEB"/>
    <w:rsid w:val="48DF3296"/>
    <w:rsid w:val="49427F0A"/>
    <w:rsid w:val="496E05B0"/>
    <w:rsid w:val="49923ECF"/>
    <w:rsid w:val="49E79329"/>
    <w:rsid w:val="49F0D660"/>
    <w:rsid w:val="4AA90BA1"/>
    <w:rsid w:val="4AB21349"/>
    <w:rsid w:val="4AC49991"/>
    <w:rsid w:val="4AEAC859"/>
    <w:rsid w:val="4B461ED8"/>
    <w:rsid w:val="4B58CE02"/>
    <w:rsid w:val="4B8D6EA8"/>
    <w:rsid w:val="4BF8EB15"/>
    <w:rsid w:val="4C948E54"/>
    <w:rsid w:val="4CCAF1AA"/>
    <w:rsid w:val="4D0E6F60"/>
    <w:rsid w:val="4D3636BB"/>
    <w:rsid w:val="4DB587D1"/>
    <w:rsid w:val="4DF6878C"/>
    <w:rsid w:val="4E37922A"/>
    <w:rsid w:val="4E78B085"/>
    <w:rsid w:val="4EE65253"/>
    <w:rsid w:val="4F323E9F"/>
    <w:rsid w:val="4F40362B"/>
    <w:rsid w:val="4FC530EA"/>
    <w:rsid w:val="4FD0C9C8"/>
    <w:rsid w:val="50063DF5"/>
    <w:rsid w:val="506919B6"/>
    <w:rsid w:val="50FEE90A"/>
    <w:rsid w:val="51185723"/>
    <w:rsid w:val="51E8D0D6"/>
    <w:rsid w:val="51F2CA32"/>
    <w:rsid w:val="52AD16F1"/>
    <w:rsid w:val="52BA735C"/>
    <w:rsid w:val="52C68D15"/>
    <w:rsid w:val="52EF43C9"/>
    <w:rsid w:val="530EEF26"/>
    <w:rsid w:val="53184869"/>
    <w:rsid w:val="5350AEE9"/>
    <w:rsid w:val="53709046"/>
    <w:rsid w:val="53B7284D"/>
    <w:rsid w:val="53CB4191"/>
    <w:rsid w:val="53CBEE03"/>
    <w:rsid w:val="547088F9"/>
    <w:rsid w:val="54970AE3"/>
    <w:rsid w:val="54F7E445"/>
    <w:rsid w:val="551E0EAA"/>
    <w:rsid w:val="555248FA"/>
    <w:rsid w:val="55590CB1"/>
    <w:rsid w:val="5582B0F0"/>
    <w:rsid w:val="55AC5991"/>
    <w:rsid w:val="55DBC1FB"/>
    <w:rsid w:val="55F36928"/>
    <w:rsid w:val="55F74AA0"/>
    <w:rsid w:val="55F8A41B"/>
    <w:rsid w:val="5611C5D5"/>
    <w:rsid w:val="5656B086"/>
    <w:rsid w:val="569E90EE"/>
    <w:rsid w:val="56B07D78"/>
    <w:rsid w:val="56E7D535"/>
    <w:rsid w:val="573B2050"/>
    <w:rsid w:val="574345EA"/>
    <w:rsid w:val="5745514A"/>
    <w:rsid w:val="5755604C"/>
    <w:rsid w:val="57D5167B"/>
    <w:rsid w:val="57DAFCF7"/>
    <w:rsid w:val="57FBD67D"/>
    <w:rsid w:val="5808BF55"/>
    <w:rsid w:val="586EE749"/>
    <w:rsid w:val="588C44B8"/>
    <w:rsid w:val="5896864A"/>
    <w:rsid w:val="58A4ACBD"/>
    <w:rsid w:val="58D23623"/>
    <w:rsid w:val="58DBCDE7"/>
    <w:rsid w:val="596C76CB"/>
    <w:rsid w:val="5998149F"/>
    <w:rsid w:val="599BFB27"/>
    <w:rsid w:val="59AB1B6E"/>
    <w:rsid w:val="59FFE109"/>
    <w:rsid w:val="5AE0FD19"/>
    <w:rsid w:val="5AEAC6ED"/>
    <w:rsid w:val="5B20580A"/>
    <w:rsid w:val="5B3FDB56"/>
    <w:rsid w:val="5B57385D"/>
    <w:rsid w:val="5BA6F8D0"/>
    <w:rsid w:val="5BB0E4E3"/>
    <w:rsid w:val="5BC30267"/>
    <w:rsid w:val="5BE353F0"/>
    <w:rsid w:val="5BEF7DD3"/>
    <w:rsid w:val="5BF7AD37"/>
    <w:rsid w:val="5C236395"/>
    <w:rsid w:val="5C44BE0C"/>
    <w:rsid w:val="5C7FE7D3"/>
    <w:rsid w:val="5CAE0FF5"/>
    <w:rsid w:val="5CB14572"/>
    <w:rsid w:val="5CEE1387"/>
    <w:rsid w:val="5D678969"/>
    <w:rsid w:val="5D909024"/>
    <w:rsid w:val="5DAA99CA"/>
    <w:rsid w:val="5DC365C2"/>
    <w:rsid w:val="5DEECDE6"/>
    <w:rsid w:val="5DFA9EBA"/>
    <w:rsid w:val="5DFFB0B1"/>
    <w:rsid w:val="5E1728A9"/>
    <w:rsid w:val="5E8BCF96"/>
    <w:rsid w:val="5EBBFE8E"/>
    <w:rsid w:val="5EC8CDEB"/>
    <w:rsid w:val="5ECED034"/>
    <w:rsid w:val="5F1A0307"/>
    <w:rsid w:val="5F29531D"/>
    <w:rsid w:val="5F7782D4"/>
    <w:rsid w:val="5FAFF341"/>
    <w:rsid w:val="5FC81686"/>
    <w:rsid w:val="5FE00B6F"/>
    <w:rsid w:val="600AC84C"/>
    <w:rsid w:val="602DDF06"/>
    <w:rsid w:val="604081C9"/>
    <w:rsid w:val="60E51A78"/>
    <w:rsid w:val="6178FFD6"/>
    <w:rsid w:val="617D7662"/>
    <w:rsid w:val="61C3FF36"/>
    <w:rsid w:val="61D50B22"/>
    <w:rsid w:val="624EF9EB"/>
    <w:rsid w:val="625BB4B6"/>
    <w:rsid w:val="62B5B66B"/>
    <w:rsid w:val="63203952"/>
    <w:rsid w:val="635BF7A0"/>
    <w:rsid w:val="6361C257"/>
    <w:rsid w:val="63ABC682"/>
    <w:rsid w:val="6412DAFC"/>
    <w:rsid w:val="642D9856"/>
    <w:rsid w:val="646027A6"/>
    <w:rsid w:val="6477AB68"/>
    <w:rsid w:val="648A0B54"/>
    <w:rsid w:val="64ABC0CE"/>
    <w:rsid w:val="64AFD828"/>
    <w:rsid w:val="6526F18D"/>
    <w:rsid w:val="653D4CC7"/>
    <w:rsid w:val="657CA3F5"/>
    <w:rsid w:val="6597A846"/>
    <w:rsid w:val="65A8B721"/>
    <w:rsid w:val="6630F799"/>
    <w:rsid w:val="664C1706"/>
    <w:rsid w:val="665A6040"/>
    <w:rsid w:val="66A47CD2"/>
    <w:rsid w:val="66B658A6"/>
    <w:rsid w:val="66C81660"/>
    <w:rsid w:val="66EC7582"/>
    <w:rsid w:val="66F19CFE"/>
    <w:rsid w:val="6723FF36"/>
    <w:rsid w:val="6783FDBD"/>
    <w:rsid w:val="6789FC00"/>
    <w:rsid w:val="67BA8C41"/>
    <w:rsid w:val="67D1AD9B"/>
    <w:rsid w:val="67D237DE"/>
    <w:rsid w:val="67EB9D56"/>
    <w:rsid w:val="6805C4E8"/>
    <w:rsid w:val="68238E38"/>
    <w:rsid w:val="68AD68C6"/>
    <w:rsid w:val="68BEB49B"/>
    <w:rsid w:val="68C6959D"/>
    <w:rsid w:val="68F949E4"/>
    <w:rsid w:val="68FB507D"/>
    <w:rsid w:val="69B0AE6C"/>
    <w:rsid w:val="69DE0808"/>
    <w:rsid w:val="6A10BFAF"/>
    <w:rsid w:val="6A341BB3"/>
    <w:rsid w:val="6A428810"/>
    <w:rsid w:val="6A4C650D"/>
    <w:rsid w:val="6A5176C1"/>
    <w:rsid w:val="6A5C5222"/>
    <w:rsid w:val="6A731F8B"/>
    <w:rsid w:val="6ADB9C32"/>
    <w:rsid w:val="6B2B41B2"/>
    <w:rsid w:val="6B398E79"/>
    <w:rsid w:val="6B6038A7"/>
    <w:rsid w:val="6B76A0E6"/>
    <w:rsid w:val="6B839B31"/>
    <w:rsid w:val="6BA27F2D"/>
    <w:rsid w:val="6BC86260"/>
    <w:rsid w:val="6BECE7B8"/>
    <w:rsid w:val="6C3FECE9"/>
    <w:rsid w:val="6CABAE1E"/>
    <w:rsid w:val="6CF4D06B"/>
    <w:rsid w:val="6CFAE4DA"/>
    <w:rsid w:val="6D4A70E2"/>
    <w:rsid w:val="6D834AE6"/>
    <w:rsid w:val="6DD3519F"/>
    <w:rsid w:val="6E57199C"/>
    <w:rsid w:val="6E6F6F7A"/>
    <w:rsid w:val="6E7AD90E"/>
    <w:rsid w:val="6F1CB342"/>
    <w:rsid w:val="6F353024"/>
    <w:rsid w:val="6F7BF005"/>
    <w:rsid w:val="6F9B14D1"/>
    <w:rsid w:val="7034BA75"/>
    <w:rsid w:val="70904771"/>
    <w:rsid w:val="70FFE4C1"/>
    <w:rsid w:val="71E6D2B6"/>
    <w:rsid w:val="71E97EC3"/>
    <w:rsid w:val="72311BF2"/>
    <w:rsid w:val="7233D6D8"/>
    <w:rsid w:val="727231A5"/>
    <w:rsid w:val="72796363"/>
    <w:rsid w:val="7286E2A7"/>
    <w:rsid w:val="729B6727"/>
    <w:rsid w:val="731016C3"/>
    <w:rsid w:val="732B21FA"/>
    <w:rsid w:val="733E8A9E"/>
    <w:rsid w:val="73DD8107"/>
    <w:rsid w:val="73F5A7CC"/>
    <w:rsid w:val="740D6681"/>
    <w:rsid w:val="7419E4F5"/>
    <w:rsid w:val="743EAE08"/>
    <w:rsid w:val="74890145"/>
    <w:rsid w:val="74C47429"/>
    <w:rsid w:val="74CF5E6D"/>
    <w:rsid w:val="74D2FA6A"/>
    <w:rsid w:val="74D41BDB"/>
    <w:rsid w:val="7518892E"/>
    <w:rsid w:val="754DC86F"/>
    <w:rsid w:val="758A5F29"/>
    <w:rsid w:val="75EC1D40"/>
    <w:rsid w:val="767F0780"/>
    <w:rsid w:val="76B7E0A0"/>
    <w:rsid w:val="76C4CFDA"/>
    <w:rsid w:val="76DCD04A"/>
    <w:rsid w:val="76E91A64"/>
    <w:rsid w:val="7719778F"/>
    <w:rsid w:val="774CA641"/>
    <w:rsid w:val="77623322"/>
    <w:rsid w:val="7779D50D"/>
    <w:rsid w:val="77C5E166"/>
    <w:rsid w:val="77EE6203"/>
    <w:rsid w:val="7816F893"/>
    <w:rsid w:val="78216000"/>
    <w:rsid w:val="78560B0A"/>
    <w:rsid w:val="789D0996"/>
    <w:rsid w:val="78A9A7C4"/>
    <w:rsid w:val="78C1E55B"/>
    <w:rsid w:val="78E29F36"/>
    <w:rsid w:val="78E98423"/>
    <w:rsid w:val="791874EA"/>
    <w:rsid w:val="791B15D0"/>
    <w:rsid w:val="797C2684"/>
    <w:rsid w:val="798C2BC0"/>
    <w:rsid w:val="79A6F386"/>
    <w:rsid w:val="79B13AF6"/>
    <w:rsid w:val="79CA9E31"/>
    <w:rsid w:val="79D63263"/>
    <w:rsid w:val="79F1839B"/>
    <w:rsid w:val="79F6DB91"/>
    <w:rsid w:val="79FEA8F2"/>
    <w:rsid w:val="7B1E679C"/>
    <w:rsid w:val="7B22C0D3"/>
    <w:rsid w:val="7B27C944"/>
    <w:rsid w:val="7B407C39"/>
    <w:rsid w:val="7BA993F7"/>
    <w:rsid w:val="7C09DEB1"/>
    <w:rsid w:val="7CAD2218"/>
    <w:rsid w:val="7D632AEE"/>
    <w:rsid w:val="7DC419C1"/>
    <w:rsid w:val="7DC7F545"/>
    <w:rsid w:val="7DDE10E4"/>
    <w:rsid w:val="7E5B9198"/>
    <w:rsid w:val="7EE5ECBD"/>
    <w:rsid w:val="7F1D8BD3"/>
    <w:rsid w:val="7F2BAF39"/>
    <w:rsid w:val="7F49C6C4"/>
    <w:rsid w:val="7F98B383"/>
    <w:rsid w:val="7FAF7CA0"/>
    <w:rsid w:val="7FFFEF2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799E8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58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8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8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8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8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8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8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8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8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8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8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8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8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8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8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8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8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80F"/>
    <w:rPr>
      <w:rFonts w:eastAsiaTheme="majorEastAsia" w:cstheme="majorBidi"/>
      <w:color w:val="272727" w:themeColor="text1" w:themeTint="D8"/>
    </w:rPr>
  </w:style>
  <w:style w:type="paragraph" w:styleId="Title">
    <w:name w:val="Title"/>
    <w:basedOn w:val="Normal"/>
    <w:next w:val="Normal"/>
    <w:link w:val="TitleChar"/>
    <w:uiPriority w:val="10"/>
    <w:qFormat/>
    <w:rsid w:val="00D158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8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8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8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80F"/>
    <w:pPr>
      <w:spacing w:before="160"/>
      <w:jc w:val="center"/>
    </w:pPr>
    <w:rPr>
      <w:i/>
      <w:iCs/>
      <w:color w:val="404040" w:themeColor="text1" w:themeTint="BF"/>
    </w:rPr>
  </w:style>
  <w:style w:type="character" w:customStyle="1" w:styleId="QuoteChar">
    <w:name w:val="Quote Char"/>
    <w:basedOn w:val="DefaultParagraphFont"/>
    <w:link w:val="Quote"/>
    <w:uiPriority w:val="29"/>
    <w:rsid w:val="00D1580F"/>
    <w:rPr>
      <w:i/>
      <w:iCs/>
      <w:color w:val="404040" w:themeColor="text1" w:themeTint="BF"/>
    </w:rPr>
  </w:style>
  <w:style w:type="paragraph" w:styleId="ListParagraph">
    <w:name w:val="List Paragraph"/>
    <w:basedOn w:val="Normal"/>
    <w:uiPriority w:val="34"/>
    <w:qFormat/>
    <w:rsid w:val="00D1580F"/>
    <w:pPr>
      <w:ind w:left="720"/>
      <w:contextualSpacing/>
    </w:pPr>
  </w:style>
  <w:style w:type="character" w:styleId="IntenseEmphasis">
    <w:name w:val="Intense Emphasis"/>
    <w:basedOn w:val="DefaultParagraphFont"/>
    <w:uiPriority w:val="21"/>
    <w:qFormat/>
    <w:rsid w:val="00D1580F"/>
    <w:rPr>
      <w:i/>
      <w:iCs/>
      <w:color w:val="0F4761" w:themeColor="accent1" w:themeShade="BF"/>
    </w:rPr>
  </w:style>
  <w:style w:type="paragraph" w:styleId="IntenseQuote">
    <w:name w:val="Intense Quote"/>
    <w:basedOn w:val="Normal"/>
    <w:next w:val="Normal"/>
    <w:link w:val="IntenseQuoteChar"/>
    <w:uiPriority w:val="30"/>
    <w:qFormat/>
    <w:rsid w:val="00D158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80F"/>
    <w:rPr>
      <w:i/>
      <w:iCs/>
      <w:color w:val="0F4761" w:themeColor="accent1" w:themeShade="BF"/>
    </w:rPr>
  </w:style>
  <w:style w:type="character" w:styleId="IntenseReference">
    <w:name w:val="Intense Reference"/>
    <w:basedOn w:val="DefaultParagraphFont"/>
    <w:uiPriority w:val="32"/>
    <w:qFormat/>
    <w:rsid w:val="00D1580F"/>
    <w:rPr>
      <w:b/>
      <w:bCs/>
      <w:smallCaps/>
      <w:color w:val="0F4761" w:themeColor="accent1" w:themeShade="BF"/>
      <w:spacing w:val="5"/>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4D2F32"/>
    <w:pPr>
      <w:spacing w:after="0" w:line="240" w:lineRule="auto"/>
      <w:jc w:val="both"/>
    </w:pPr>
    <w:rPr>
      <w:rFonts w:ascii="Times New Roman" w:hAnsi="Times New Roman"/>
      <w:kern w:val="0"/>
      <w:sz w:val="20"/>
      <w:szCs w:val="20"/>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D2F32"/>
    <w:rPr>
      <w:rFonts w:ascii="Times New Roman" w:hAnsi="Times New Roman"/>
      <w:kern w:val="0"/>
      <w:sz w:val="20"/>
      <w:szCs w:val="20"/>
      <w:lang w:val="fr-FR"/>
      <w14:ligatures w14:val="none"/>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SUPERSCharCharCharCharCharCharCharChar"/>
    <w:unhideWhenUsed/>
    <w:qFormat/>
    <w:rsid w:val="004D2F3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4D2F32"/>
    <w:pPr>
      <w:spacing w:line="240" w:lineRule="exact"/>
      <w:jc w:val="both"/>
    </w:pPr>
    <w:rPr>
      <w:vertAlign w:val="superscript"/>
    </w:rPr>
  </w:style>
  <w:style w:type="character" w:styleId="CommentReference">
    <w:name w:val="annotation reference"/>
    <w:basedOn w:val="DefaultParagraphFont"/>
    <w:uiPriority w:val="99"/>
    <w:semiHidden/>
    <w:unhideWhenUsed/>
    <w:rsid w:val="00BA41EC"/>
    <w:rPr>
      <w:sz w:val="16"/>
      <w:szCs w:val="16"/>
    </w:rPr>
  </w:style>
  <w:style w:type="paragraph" w:styleId="CommentText">
    <w:name w:val="annotation text"/>
    <w:basedOn w:val="Normal"/>
    <w:link w:val="CommentTextChar"/>
    <w:uiPriority w:val="99"/>
    <w:unhideWhenUsed/>
    <w:rsid w:val="00BA41EC"/>
    <w:pPr>
      <w:spacing w:line="240" w:lineRule="auto"/>
    </w:pPr>
    <w:rPr>
      <w:sz w:val="20"/>
      <w:szCs w:val="20"/>
    </w:rPr>
  </w:style>
  <w:style w:type="character" w:customStyle="1" w:styleId="CommentTextChar">
    <w:name w:val="Comment Text Char"/>
    <w:basedOn w:val="DefaultParagraphFont"/>
    <w:link w:val="CommentText"/>
    <w:uiPriority w:val="99"/>
    <w:rsid w:val="00BA41EC"/>
    <w:rPr>
      <w:sz w:val="20"/>
      <w:szCs w:val="20"/>
    </w:rPr>
  </w:style>
  <w:style w:type="paragraph" w:styleId="CommentSubject">
    <w:name w:val="annotation subject"/>
    <w:basedOn w:val="CommentText"/>
    <w:next w:val="CommentText"/>
    <w:link w:val="CommentSubjectChar"/>
    <w:uiPriority w:val="99"/>
    <w:semiHidden/>
    <w:unhideWhenUsed/>
    <w:rsid w:val="00BA41EC"/>
    <w:rPr>
      <w:b/>
      <w:bCs/>
    </w:rPr>
  </w:style>
  <w:style w:type="character" w:customStyle="1" w:styleId="CommentSubjectChar">
    <w:name w:val="Comment Subject Char"/>
    <w:basedOn w:val="CommentTextChar"/>
    <w:link w:val="CommentSubject"/>
    <w:uiPriority w:val="99"/>
    <w:semiHidden/>
    <w:rsid w:val="00BA41EC"/>
    <w:rPr>
      <w:b/>
      <w:bCs/>
      <w:sz w:val="20"/>
      <w:szCs w:val="20"/>
    </w:rPr>
  </w:style>
  <w:style w:type="paragraph" w:styleId="Header">
    <w:name w:val="header"/>
    <w:basedOn w:val="Normal"/>
    <w:link w:val="HeaderChar"/>
    <w:uiPriority w:val="99"/>
    <w:unhideWhenUsed/>
    <w:rsid w:val="00CC23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380"/>
  </w:style>
  <w:style w:type="paragraph" w:styleId="Footer">
    <w:name w:val="footer"/>
    <w:basedOn w:val="Normal"/>
    <w:link w:val="FooterChar"/>
    <w:uiPriority w:val="99"/>
    <w:unhideWhenUsed/>
    <w:rsid w:val="00CC23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380"/>
  </w:style>
  <w:style w:type="character" w:styleId="Hyperlink">
    <w:name w:val="Hyperlink"/>
    <w:basedOn w:val="DefaultParagraphFont"/>
    <w:uiPriority w:val="99"/>
    <w:unhideWhenUsed/>
    <w:rsid w:val="00587EE8"/>
    <w:rPr>
      <w:color w:val="467886" w:themeColor="hyperlink"/>
      <w:u w:val="single"/>
    </w:rPr>
  </w:style>
  <w:style w:type="paragraph" w:styleId="Revision">
    <w:name w:val="Revision"/>
    <w:hidden/>
    <w:uiPriority w:val="99"/>
    <w:semiHidden/>
    <w:rsid w:val="00F26E90"/>
    <w:pPr>
      <w:spacing w:after="0" w:line="240" w:lineRule="auto"/>
    </w:pPr>
  </w:style>
  <w:style w:type="character" w:customStyle="1" w:styleId="Mention1">
    <w:name w:val="Mention1"/>
    <w:basedOn w:val="DefaultParagraphFont"/>
    <w:uiPriority w:val="99"/>
    <w:unhideWhenUsed/>
    <w:rsid w:val="000628AC"/>
    <w:rPr>
      <w:color w:val="2B579A"/>
      <w:shd w:val="clear" w:color="auto" w:fill="E1DFDD"/>
    </w:rPr>
  </w:style>
  <w:style w:type="character" w:customStyle="1" w:styleId="UnresolvedMention1">
    <w:name w:val="Unresolved Mention1"/>
    <w:basedOn w:val="DefaultParagraphFont"/>
    <w:uiPriority w:val="99"/>
    <w:semiHidden/>
    <w:unhideWhenUsed/>
    <w:rsid w:val="004922F8"/>
    <w:rPr>
      <w:color w:val="605E5C"/>
      <w:shd w:val="clear" w:color="auto" w:fill="E1DFDD"/>
    </w:rPr>
  </w:style>
  <w:style w:type="paragraph" w:styleId="NormalWeb">
    <w:name w:val="Normal (Web)"/>
    <w:basedOn w:val="Normal"/>
    <w:uiPriority w:val="99"/>
    <w:unhideWhenUsed/>
    <w:rsid w:val="00F92F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arker">
    <w:name w:val="Marker"/>
    <w:basedOn w:val="DefaultParagraphFont"/>
    <w:rsid w:val="009142AF"/>
    <w:rPr>
      <w:color w:val="0000FF"/>
      <w:shd w:val="clear" w:color="auto" w:fill="auto"/>
    </w:rPr>
  </w:style>
  <w:style w:type="paragraph" w:customStyle="1" w:styleId="Pagedecouverture">
    <w:name w:val="Page de couverture"/>
    <w:basedOn w:val="Normal"/>
    <w:next w:val="Normal"/>
    <w:link w:val="PagedecouvertureChar"/>
    <w:rsid w:val="009142AF"/>
    <w:pPr>
      <w:spacing w:after="0" w:line="240" w:lineRule="auto"/>
      <w:jc w:val="both"/>
    </w:pPr>
    <w:rPr>
      <w:rFonts w:ascii="Times New Roman" w:hAnsi="Times New Roman" w:cs="Times New Roman"/>
      <w:kern w:val="0"/>
      <w:sz w:val="24"/>
      <w14:ligatures w14:val="none"/>
    </w:rPr>
  </w:style>
  <w:style w:type="paragraph" w:customStyle="1" w:styleId="Typedudocument">
    <w:name w:val="Type du document"/>
    <w:basedOn w:val="Normal"/>
    <w:next w:val="Normal"/>
    <w:rsid w:val="009142AF"/>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9142AF"/>
    <w:pPr>
      <w:spacing w:before="360" w:after="360" w:line="240" w:lineRule="auto"/>
      <w:jc w:val="center"/>
    </w:pPr>
    <w:rPr>
      <w:rFonts w:ascii="Times New Roman" w:hAnsi="Times New Roman" w:cs="Times New Roman"/>
      <w:b/>
      <w:kern w:val="0"/>
      <w:sz w:val="24"/>
      <w14:ligatures w14:val="none"/>
    </w:rPr>
  </w:style>
  <w:style w:type="paragraph" w:customStyle="1" w:styleId="FooterCoverPage">
    <w:name w:val="Footer Cover Page"/>
    <w:basedOn w:val="Normal"/>
    <w:link w:val="FooterCoverPageChar"/>
    <w:rsid w:val="009142A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142AF"/>
    <w:rPr>
      <w:rFonts w:ascii="Times New Roman" w:hAnsi="Times New Roman" w:cs="Times New Roman"/>
      <w:kern w:val="0"/>
      <w:sz w:val="24"/>
      <w14:ligatures w14:val="none"/>
    </w:rPr>
  </w:style>
  <w:style w:type="character" w:customStyle="1" w:styleId="FooterCoverPageChar">
    <w:name w:val="Footer Cover Page Char"/>
    <w:basedOn w:val="PagedecouvertureChar"/>
    <w:link w:val="FooterCoverPage"/>
    <w:rsid w:val="009142AF"/>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rsid w:val="009142A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142AF"/>
    <w:rPr>
      <w:rFonts w:ascii="Times New Roman" w:hAnsi="Times New Roman" w:cs="Times New Roman"/>
      <w:b/>
      <w:kern w:val="0"/>
      <w:sz w:val="32"/>
      <w14:ligatures w14:val="none"/>
    </w:rPr>
  </w:style>
  <w:style w:type="paragraph" w:customStyle="1" w:styleId="HeaderCoverPage">
    <w:name w:val="Header Cover Page"/>
    <w:basedOn w:val="Normal"/>
    <w:link w:val="HeaderCoverPageChar"/>
    <w:rsid w:val="009142A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142AF"/>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rsid w:val="009142A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142AF"/>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rsid w:val="009606D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142AF"/>
    <w:rPr>
      <w:rFonts w:ascii="Times New Roman" w:hAnsi="Times New Roman" w:cs="Times New Roman"/>
      <w:kern w:val="0"/>
      <w:sz w:val="28"/>
      <w14:ligatures w14:val="none"/>
    </w:rPr>
  </w:style>
  <w:style w:type="paragraph" w:customStyle="1" w:styleId="Disclaimer">
    <w:name w:val="Disclaimer"/>
    <w:basedOn w:val="Normal"/>
    <w:rsid w:val="00F71F6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9606D2"/>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9606D2"/>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9606D2"/>
    <w:pPr>
      <w:spacing w:after="0" w:line="276" w:lineRule="auto"/>
      <w:ind w:left="5103"/>
    </w:pPr>
    <w:rPr>
      <w:rFonts w:ascii="Times New Roman" w:hAnsi="Times New Roman" w:cs="Times New Roman"/>
      <w:i/>
      <w:kern w:val="0"/>
      <w:sz w:val="28"/>
      <w14:ligatures w14:val="none"/>
    </w:rPr>
  </w:style>
  <w:style w:type="paragraph" w:styleId="BalloonText">
    <w:name w:val="Balloon Text"/>
    <w:basedOn w:val="Normal"/>
    <w:link w:val="BalloonTextChar"/>
    <w:uiPriority w:val="99"/>
    <w:semiHidden/>
    <w:unhideWhenUsed/>
    <w:rsid w:val="00763A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A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1677">
      <w:bodyDiv w:val="1"/>
      <w:marLeft w:val="0"/>
      <w:marRight w:val="0"/>
      <w:marTop w:val="0"/>
      <w:marBottom w:val="0"/>
      <w:divBdr>
        <w:top w:val="none" w:sz="0" w:space="0" w:color="auto"/>
        <w:left w:val="none" w:sz="0" w:space="0" w:color="auto"/>
        <w:bottom w:val="none" w:sz="0" w:space="0" w:color="auto"/>
        <w:right w:val="none" w:sz="0" w:space="0" w:color="auto"/>
      </w:divBdr>
    </w:div>
    <w:div w:id="190846761">
      <w:bodyDiv w:val="1"/>
      <w:marLeft w:val="0"/>
      <w:marRight w:val="0"/>
      <w:marTop w:val="0"/>
      <w:marBottom w:val="0"/>
      <w:divBdr>
        <w:top w:val="none" w:sz="0" w:space="0" w:color="auto"/>
        <w:left w:val="none" w:sz="0" w:space="0" w:color="auto"/>
        <w:bottom w:val="none" w:sz="0" w:space="0" w:color="auto"/>
        <w:right w:val="none" w:sz="0" w:space="0" w:color="auto"/>
      </w:divBdr>
    </w:div>
    <w:div w:id="524635025">
      <w:bodyDiv w:val="1"/>
      <w:marLeft w:val="0"/>
      <w:marRight w:val="0"/>
      <w:marTop w:val="0"/>
      <w:marBottom w:val="0"/>
      <w:divBdr>
        <w:top w:val="none" w:sz="0" w:space="0" w:color="auto"/>
        <w:left w:val="none" w:sz="0" w:space="0" w:color="auto"/>
        <w:bottom w:val="none" w:sz="0" w:space="0" w:color="auto"/>
        <w:right w:val="none" w:sz="0" w:space="0" w:color="auto"/>
      </w:divBdr>
    </w:div>
    <w:div w:id="526407319">
      <w:bodyDiv w:val="1"/>
      <w:marLeft w:val="0"/>
      <w:marRight w:val="0"/>
      <w:marTop w:val="0"/>
      <w:marBottom w:val="0"/>
      <w:divBdr>
        <w:top w:val="none" w:sz="0" w:space="0" w:color="auto"/>
        <w:left w:val="none" w:sz="0" w:space="0" w:color="auto"/>
        <w:bottom w:val="none" w:sz="0" w:space="0" w:color="auto"/>
        <w:right w:val="none" w:sz="0" w:space="0" w:color="auto"/>
      </w:divBdr>
    </w:div>
    <w:div w:id="726807871">
      <w:bodyDiv w:val="1"/>
      <w:marLeft w:val="0"/>
      <w:marRight w:val="0"/>
      <w:marTop w:val="0"/>
      <w:marBottom w:val="0"/>
      <w:divBdr>
        <w:top w:val="none" w:sz="0" w:space="0" w:color="auto"/>
        <w:left w:val="none" w:sz="0" w:space="0" w:color="auto"/>
        <w:bottom w:val="none" w:sz="0" w:space="0" w:color="auto"/>
        <w:right w:val="none" w:sz="0" w:space="0" w:color="auto"/>
      </w:divBdr>
      <w:divsChild>
        <w:div w:id="352272479">
          <w:marLeft w:val="0"/>
          <w:marRight w:val="0"/>
          <w:marTop w:val="0"/>
          <w:marBottom w:val="0"/>
          <w:divBdr>
            <w:top w:val="none" w:sz="0" w:space="0" w:color="auto"/>
            <w:left w:val="none" w:sz="0" w:space="0" w:color="auto"/>
            <w:bottom w:val="none" w:sz="0" w:space="0" w:color="auto"/>
            <w:right w:val="none" w:sz="0" w:space="0" w:color="auto"/>
          </w:divBdr>
        </w:div>
        <w:div w:id="445782048">
          <w:marLeft w:val="0"/>
          <w:marRight w:val="0"/>
          <w:marTop w:val="0"/>
          <w:marBottom w:val="0"/>
          <w:divBdr>
            <w:top w:val="none" w:sz="0" w:space="0" w:color="auto"/>
            <w:left w:val="none" w:sz="0" w:space="0" w:color="auto"/>
            <w:bottom w:val="none" w:sz="0" w:space="0" w:color="auto"/>
            <w:right w:val="none" w:sz="0" w:space="0" w:color="auto"/>
          </w:divBdr>
        </w:div>
        <w:div w:id="858667670">
          <w:marLeft w:val="0"/>
          <w:marRight w:val="0"/>
          <w:marTop w:val="0"/>
          <w:marBottom w:val="0"/>
          <w:divBdr>
            <w:top w:val="none" w:sz="0" w:space="0" w:color="auto"/>
            <w:left w:val="none" w:sz="0" w:space="0" w:color="auto"/>
            <w:bottom w:val="none" w:sz="0" w:space="0" w:color="auto"/>
            <w:right w:val="none" w:sz="0" w:space="0" w:color="auto"/>
          </w:divBdr>
        </w:div>
        <w:div w:id="1846363138">
          <w:marLeft w:val="0"/>
          <w:marRight w:val="0"/>
          <w:marTop w:val="0"/>
          <w:marBottom w:val="0"/>
          <w:divBdr>
            <w:top w:val="none" w:sz="0" w:space="0" w:color="auto"/>
            <w:left w:val="none" w:sz="0" w:space="0" w:color="auto"/>
            <w:bottom w:val="none" w:sz="0" w:space="0" w:color="auto"/>
            <w:right w:val="none" w:sz="0" w:space="0" w:color="auto"/>
          </w:divBdr>
        </w:div>
        <w:div w:id="1942451911">
          <w:marLeft w:val="0"/>
          <w:marRight w:val="0"/>
          <w:marTop w:val="0"/>
          <w:marBottom w:val="0"/>
          <w:divBdr>
            <w:top w:val="none" w:sz="0" w:space="0" w:color="auto"/>
            <w:left w:val="none" w:sz="0" w:space="0" w:color="auto"/>
            <w:bottom w:val="none" w:sz="0" w:space="0" w:color="auto"/>
            <w:right w:val="none" w:sz="0" w:space="0" w:color="auto"/>
          </w:divBdr>
        </w:div>
      </w:divsChild>
    </w:div>
    <w:div w:id="733352566">
      <w:bodyDiv w:val="1"/>
      <w:marLeft w:val="0"/>
      <w:marRight w:val="0"/>
      <w:marTop w:val="0"/>
      <w:marBottom w:val="0"/>
      <w:divBdr>
        <w:top w:val="none" w:sz="0" w:space="0" w:color="auto"/>
        <w:left w:val="none" w:sz="0" w:space="0" w:color="auto"/>
        <w:bottom w:val="none" w:sz="0" w:space="0" w:color="auto"/>
        <w:right w:val="none" w:sz="0" w:space="0" w:color="auto"/>
      </w:divBdr>
    </w:div>
    <w:div w:id="841748120">
      <w:bodyDiv w:val="1"/>
      <w:marLeft w:val="0"/>
      <w:marRight w:val="0"/>
      <w:marTop w:val="0"/>
      <w:marBottom w:val="0"/>
      <w:divBdr>
        <w:top w:val="none" w:sz="0" w:space="0" w:color="auto"/>
        <w:left w:val="none" w:sz="0" w:space="0" w:color="auto"/>
        <w:bottom w:val="none" w:sz="0" w:space="0" w:color="auto"/>
        <w:right w:val="none" w:sz="0" w:space="0" w:color="auto"/>
      </w:divBdr>
      <w:divsChild>
        <w:div w:id="560991510">
          <w:marLeft w:val="0"/>
          <w:marRight w:val="0"/>
          <w:marTop w:val="0"/>
          <w:marBottom w:val="0"/>
          <w:divBdr>
            <w:top w:val="none" w:sz="0" w:space="0" w:color="auto"/>
            <w:left w:val="none" w:sz="0" w:space="0" w:color="auto"/>
            <w:bottom w:val="none" w:sz="0" w:space="0" w:color="auto"/>
            <w:right w:val="none" w:sz="0" w:space="0" w:color="auto"/>
          </w:divBdr>
        </w:div>
        <w:div w:id="676538260">
          <w:marLeft w:val="0"/>
          <w:marRight w:val="0"/>
          <w:marTop w:val="0"/>
          <w:marBottom w:val="0"/>
          <w:divBdr>
            <w:top w:val="none" w:sz="0" w:space="0" w:color="auto"/>
            <w:left w:val="none" w:sz="0" w:space="0" w:color="auto"/>
            <w:bottom w:val="none" w:sz="0" w:space="0" w:color="auto"/>
            <w:right w:val="none" w:sz="0" w:space="0" w:color="auto"/>
          </w:divBdr>
        </w:div>
        <w:div w:id="1642153213">
          <w:marLeft w:val="0"/>
          <w:marRight w:val="0"/>
          <w:marTop w:val="0"/>
          <w:marBottom w:val="0"/>
          <w:divBdr>
            <w:top w:val="none" w:sz="0" w:space="0" w:color="auto"/>
            <w:left w:val="none" w:sz="0" w:space="0" w:color="auto"/>
            <w:bottom w:val="none" w:sz="0" w:space="0" w:color="auto"/>
            <w:right w:val="none" w:sz="0" w:space="0" w:color="auto"/>
          </w:divBdr>
        </w:div>
        <w:div w:id="1677223848">
          <w:marLeft w:val="0"/>
          <w:marRight w:val="0"/>
          <w:marTop w:val="0"/>
          <w:marBottom w:val="0"/>
          <w:divBdr>
            <w:top w:val="none" w:sz="0" w:space="0" w:color="auto"/>
            <w:left w:val="none" w:sz="0" w:space="0" w:color="auto"/>
            <w:bottom w:val="none" w:sz="0" w:space="0" w:color="auto"/>
            <w:right w:val="none" w:sz="0" w:space="0" w:color="auto"/>
          </w:divBdr>
        </w:div>
        <w:div w:id="2125802330">
          <w:marLeft w:val="0"/>
          <w:marRight w:val="0"/>
          <w:marTop w:val="0"/>
          <w:marBottom w:val="0"/>
          <w:divBdr>
            <w:top w:val="none" w:sz="0" w:space="0" w:color="auto"/>
            <w:left w:val="none" w:sz="0" w:space="0" w:color="auto"/>
            <w:bottom w:val="none" w:sz="0" w:space="0" w:color="auto"/>
            <w:right w:val="none" w:sz="0" w:space="0" w:color="auto"/>
          </w:divBdr>
        </w:div>
      </w:divsChild>
    </w:div>
    <w:div w:id="968440625">
      <w:bodyDiv w:val="1"/>
      <w:marLeft w:val="0"/>
      <w:marRight w:val="0"/>
      <w:marTop w:val="0"/>
      <w:marBottom w:val="0"/>
      <w:divBdr>
        <w:top w:val="none" w:sz="0" w:space="0" w:color="auto"/>
        <w:left w:val="none" w:sz="0" w:space="0" w:color="auto"/>
        <w:bottom w:val="none" w:sz="0" w:space="0" w:color="auto"/>
        <w:right w:val="none" w:sz="0" w:space="0" w:color="auto"/>
      </w:divBdr>
    </w:div>
    <w:div w:id="1002732737">
      <w:bodyDiv w:val="1"/>
      <w:marLeft w:val="0"/>
      <w:marRight w:val="0"/>
      <w:marTop w:val="0"/>
      <w:marBottom w:val="0"/>
      <w:divBdr>
        <w:top w:val="none" w:sz="0" w:space="0" w:color="auto"/>
        <w:left w:val="none" w:sz="0" w:space="0" w:color="auto"/>
        <w:bottom w:val="none" w:sz="0" w:space="0" w:color="auto"/>
        <w:right w:val="none" w:sz="0" w:space="0" w:color="auto"/>
      </w:divBdr>
    </w:div>
    <w:div w:id="1023483753">
      <w:bodyDiv w:val="1"/>
      <w:marLeft w:val="0"/>
      <w:marRight w:val="0"/>
      <w:marTop w:val="0"/>
      <w:marBottom w:val="0"/>
      <w:divBdr>
        <w:top w:val="none" w:sz="0" w:space="0" w:color="auto"/>
        <w:left w:val="none" w:sz="0" w:space="0" w:color="auto"/>
        <w:bottom w:val="none" w:sz="0" w:space="0" w:color="auto"/>
        <w:right w:val="none" w:sz="0" w:space="0" w:color="auto"/>
      </w:divBdr>
    </w:div>
    <w:div w:id="1123615092">
      <w:bodyDiv w:val="1"/>
      <w:marLeft w:val="0"/>
      <w:marRight w:val="0"/>
      <w:marTop w:val="0"/>
      <w:marBottom w:val="0"/>
      <w:divBdr>
        <w:top w:val="none" w:sz="0" w:space="0" w:color="auto"/>
        <w:left w:val="none" w:sz="0" w:space="0" w:color="auto"/>
        <w:bottom w:val="none" w:sz="0" w:space="0" w:color="auto"/>
        <w:right w:val="none" w:sz="0" w:space="0" w:color="auto"/>
      </w:divBdr>
    </w:div>
    <w:div w:id="1229464707">
      <w:bodyDiv w:val="1"/>
      <w:marLeft w:val="0"/>
      <w:marRight w:val="0"/>
      <w:marTop w:val="0"/>
      <w:marBottom w:val="0"/>
      <w:divBdr>
        <w:top w:val="none" w:sz="0" w:space="0" w:color="auto"/>
        <w:left w:val="none" w:sz="0" w:space="0" w:color="auto"/>
        <w:bottom w:val="none" w:sz="0" w:space="0" w:color="auto"/>
        <w:right w:val="none" w:sz="0" w:space="0" w:color="auto"/>
      </w:divBdr>
    </w:div>
    <w:div w:id="1241794126">
      <w:bodyDiv w:val="1"/>
      <w:marLeft w:val="0"/>
      <w:marRight w:val="0"/>
      <w:marTop w:val="0"/>
      <w:marBottom w:val="0"/>
      <w:divBdr>
        <w:top w:val="none" w:sz="0" w:space="0" w:color="auto"/>
        <w:left w:val="none" w:sz="0" w:space="0" w:color="auto"/>
        <w:bottom w:val="none" w:sz="0" w:space="0" w:color="auto"/>
        <w:right w:val="none" w:sz="0" w:space="0" w:color="auto"/>
      </w:divBdr>
    </w:div>
    <w:div w:id="1272475537">
      <w:bodyDiv w:val="1"/>
      <w:marLeft w:val="0"/>
      <w:marRight w:val="0"/>
      <w:marTop w:val="0"/>
      <w:marBottom w:val="0"/>
      <w:divBdr>
        <w:top w:val="none" w:sz="0" w:space="0" w:color="auto"/>
        <w:left w:val="none" w:sz="0" w:space="0" w:color="auto"/>
        <w:bottom w:val="none" w:sz="0" w:space="0" w:color="auto"/>
        <w:right w:val="none" w:sz="0" w:space="0" w:color="auto"/>
      </w:divBdr>
    </w:div>
    <w:div w:id="1281375464">
      <w:bodyDiv w:val="1"/>
      <w:marLeft w:val="0"/>
      <w:marRight w:val="0"/>
      <w:marTop w:val="0"/>
      <w:marBottom w:val="0"/>
      <w:divBdr>
        <w:top w:val="none" w:sz="0" w:space="0" w:color="auto"/>
        <w:left w:val="none" w:sz="0" w:space="0" w:color="auto"/>
        <w:bottom w:val="none" w:sz="0" w:space="0" w:color="auto"/>
        <w:right w:val="none" w:sz="0" w:space="0" w:color="auto"/>
      </w:divBdr>
    </w:div>
    <w:div w:id="1480150267">
      <w:bodyDiv w:val="1"/>
      <w:marLeft w:val="0"/>
      <w:marRight w:val="0"/>
      <w:marTop w:val="0"/>
      <w:marBottom w:val="0"/>
      <w:divBdr>
        <w:top w:val="none" w:sz="0" w:space="0" w:color="auto"/>
        <w:left w:val="none" w:sz="0" w:space="0" w:color="auto"/>
        <w:bottom w:val="none" w:sz="0" w:space="0" w:color="auto"/>
        <w:right w:val="none" w:sz="0" w:space="0" w:color="auto"/>
      </w:divBdr>
    </w:div>
    <w:div w:id="1597445575">
      <w:bodyDiv w:val="1"/>
      <w:marLeft w:val="0"/>
      <w:marRight w:val="0"/>
      <w:marTop w:val="0"/>
      <w:marBottom w:val="0"/>
      <w:divBdr>
        <w:top w:val="none" w:sz="0" w:space="0" w:color="auto"/>
        <w:left w:val="none" w:sz="0" w:space="0" w:color="auto"/>
        <w:bottom w:val="none" w:sz="0" w:space="0" w:color="auto"/>
        <w:right w:val="none" w:sz="0" w:space="0" w:color="auto"/>
      </w:divBdr>
    </w:div>
    <w:div w:id="1658683179">
      <w:bodyDiv w:val="1"/>
      <w:marLeft w:val="0"/>
      <w:marRight w:val="0"/>
      <w:marTop w:val="0"/>
      <w:marBottom w:val="0"/>
      <w:divBdr>
        <w:top w:val="none" w:sz="0" w:space="0" w:color="auto"/>
        <w:left w:val="none" w:sz="0" w:space="0" w:color="auto"/>
        <w:bottom w:val="none" w:sz="0" w:space="0" w:color="auto"/>
        <w:right w:val="none" w:sz="0" w:space="0" w:color="auto"/>
      </w:divBdr>
    </w:div>
    <w:div w:id="1674338349">
      <w:bodyDiv w:val="1"/>
      <w:marLeft w:val="0"/>
      <w:marRight w:val="0"/>
      <w:marTop w:val="0"/>
      <w:marBottom w:val="0"/>
      <w:divBdr>
        <w:top w:val="none" w:sz="0" w:space="0" w:color="auto"/>
        <w:left w:val="none" w:sz="0" w:space="0" w:color="auto"/>
        <w:bottom w:val="none" w:sz="0" w:space="0" w:color="auto"/>
        <w:right w:val="none" w:sz="0" w:space="0" w:color="auto"/>
      </w:divBdr>
    </w:div>
    <w:div w:id="1902136859">
      <w:bodyDiv w:val="1"/>
      <w:marLeft w:val="0"/>
      <w:marRight w:val="0"/>
      <w:marTop w:val="0"/>
      <w:marBottom w:val="0"/>
      <w:divBdr>
        <w:top w:val="none" w:sz="0" w:space="0" w:color="auto"/>
        <w:left w:val="none" w:sz="0" w:space="0" w:color="auto"/>
        <w:bottom w:val="none" w:sz="0" w:space="0" w:color="auto"/>
        <w:right w:val="none" w:sz="0" w:space="0" w:color="auto"/>
      </w:divBdr>
    </w:div>
    <w:div w:id="206518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BC431-5431-4A8E-B72B-9A0F26A5B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5787</Words>
  <Characters>32988</Characters>
  <Application>Microsoft Office Word</Application>
  <DocSecurity>0</DocSecurity>
  <Lines>274</Lines>
  <Paragraphs>77</Paragraphs>
  <ScaleCrop>false</ScaleCrop>
  <Manager/>
  <Company/>
  <LinksUpToDate>false</LinksUpToDate>
  <CharactersWithSpaces>38698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2025-12-15T19:38:00Z</dcterms:created>
  <dcterms:modified xsi:type="dcterms:W3CDTF">2026-01-23T10:40:00Z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2025-12-15T19:01:28Z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44b03673-9bf7-4532-a625-e9777876c0c0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CP-001</vt:lpwstr>
  </property>
</Properties>
</file>