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CA2154" w14:textId="287C34F8" w:rsidR="00B3564D" w:rsidRPr="002177B3" w:rsidRDefault="00276C85" w:rsidP="00276C85">
      <w:pPr>
        <w:pStyle w:val="Pagedecouverture"/>
        <w:rPr>
          <w:noProof/>
        </w:rPr>
      </w:pPr>
      <w:bookmarkStart w:id="0" w:name="LW_BM_COVERPAGE"/>
      <w:r>
        <w:rPr>
          <w:noProof/>
        </w:rPr>
        <w:pict w14:anchorId="620A26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7D4BB216-C697-412A-AF3B-DA35FB5B39DB" style="width:455.15pt;height:324.25pt">
            <v:imagedata r:id="rId8" o:title=""/>
          </v:shape>
        </w:pict>
      </w:r>
    </w:p>
    <w:bookmarkEnd w:id="0"/>
    <w:p w14:paraId="656D4C4F" w14:textId="77777777" w:rsidR="00B3564D" w:rsidRPr="002177B3" w:rsidRDefault="00B3564D" w:rsidP="00B3564D">
      <w:pPr>
        <w:rPr>
          <w:noProof/>
          <w:lang w:val="en-GB"/>
        </w:rPr>
        <w:sectPr w:rsidR="00B3564D" w:rsidRPr="002177B3" w:rsidSect="00276C85">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356FDB6C" w14:textId="77777777" w:rsidR="00E8446E" w:rsidRPr="002177B3" w:rsidRDefault="00E8446E" w:rsidP="00E8446E">
      <w:pPr>
        <w:spacing w:before="100" w:beforeAutospacing="1" w:after="100" w:afterAutospacing="1"/>
        <w:rPr>
          <w:b/>
          <w:bCs/>
          <w:smallCaps/>
          <w:noProof/>
        </w:rPr>
      </w:pPr>
      <w:bookmarkStart w:id="1" w:name="_Toc180668869"/>
      <w:bookmarkStart w:id="2" w:name="_GoBack"/>
      <w:bookmarkEnd w:id="2"/>
      <w:r>
        <w:rPr>
          <w:b/>
          <w:smallCaps/>
          <w:noProof/>
        </w:rPr>
        <w:lastRenderedPageBreak/>
        <w:t xml:space="preserve">L’importance géostratégique de la région de la mer Noire </w:t>
      </w:r>
    </w:p>
    <w:p w14:paraId="1518A66C" w14:textId="79B46E3D" w:rsidR="003757E3" w:rsidRDefault="003757E3" w:rsidP="003757E3">
      <w:pPr>
        <w:spacing w:after="0"/>
        <w:rPr>
          <w:noProof/>
        </w:rPr>
      </w:pPr>
      <w:r>
        <w:rPr>
          <w:noProof/>
        </w:rPr>
        <w:t xml:space="preserve">La </w:t>
      </w:r>
      <w:r>
        <w:rPr>
          <w:b/>
          <w:noProof/>
        </w:rPr>
        <w:t>mer Noire est une zone de grande importance géostratégique reliant l’Europe à l’Asie</w:t>
      </w:r>
      <w:r>
        <w:rPr>
          <w:noProof/>
        </w:rPr>
        <w:t>, qui offre un potentiel inexploité pour le développement économique, des voies de transit stratégiques, en particulier pour l’accès aux ressources énergétiques et à des matières premières critiques.</w:t>
      </w:r>
    </w:p>
    <w:p w14:paraId="7969D9F6" w14:textId="26C0EFFB" w:rsidR="003757E3" w:rsidRDefault="003757E3" w:rsidP="00992C17">
      <w:pPr>
        <w:spacing w:after="0"/>
        <w:rPr>
          <w:noProof/>
          <w:lang w:eastAsia="en-IE"/>
        </w:rPr>
      </w:pPr>
    </w:p>
    <w:p w14:paraId="373AA0BB" w14:textId="5DFD6FEA" w:rsidR="002177B3" w:rsidRPr="00B26690" w:rsidRDefault="003757E3" w:rsidP="00992C17">
      <w:pPr>
        <w:spacing w:after="0"/>
        <w:rPr>
          <w:noProof/>
        </w:rPr>
      </w:pPr>
      <w:r>
        <w:rPr>
          <w:noProof/>
        </w:rPr>
        <w:t>Son importance cruciale est mise en lumière par la guerre d’agression menée par la Russie contre l’Ukraine, qui a ébranlé les fondements de l’ordre international fondé sur des règles et révélé les vulnérabilités de la sécurité européenne et régionale. Ce conflit a affaibli la sécurité régionale, qui se trouve aujourd’hui à son niveau le plus bas depuis la guerre froide, et appelle une réaction forte et coordonnée de l’Union européenne. Dans ce paysage géopolitique en pleine mutation, au sein duquel la région de la mer Noire occupe une place centrale, l’</w:t>
      </w:r>
      <w:r>
        <w:rPr>
          <w:b/>
          <w:noProof/>
        </w:rPr>
        <w:t>UE propose une approche globale</w:t>
      </w:r>
      <w:r>
        <w:rPr>
          <w:noProof/>
        </w:rPr>
        <w:t xml:space="preserve"> dans le but de soutenir la résilience démocratique d’une région vitale pour la stabilité et la prospérité de l’Europe, et de défendre nos intérêts.</w:t>
      </w:r>
    </w:p>
    <w:p w14:paraId="5F34EB3E" w14:textId="77777777" w:rsidR="002177B3" w:rsidRPr="00B26690" w:rsidRDefault="002177B3" w:rsidP="002177B3">
      <w:pPr>
        <w:spacing w:after="0"/>
        <w:rPr>
          <w:noProof/>
          <w:lang w:eastAsia="en-IE"/>
        </w:rPr>
      </w:pPr>
    </w:p>
    <w:p w14:paraId="0C31840A" w14:textId="19F625AE" w:rsidR="002177B3" w:rsidRPr="00D65AE5" w:rsidRDefault="002177B3" w:rsidP="002177B3">
      <w:pPr>
        <w:rPr>
          <w:bCs/>
          <w:noProof/>
        </w:rPr>
      </w:pPr>
      <w:r>
        <w:rPr>
          <w:noProof/>
        </w:rPr>
        <w:t xml:space="preserve">L’UE est déterminée à soutenir l’Ukraine et ses voisins, en faisant respecter leur indépendance, leur souveraineté et leur intégrité territoriale, en encourageant la paix et le dialogue, en fournissant des garanties de sécurité et en contribuant au redressement et à la reconstruction. La </w:t>
      </w:r>
      <w:r>
        <w:rPr>
          <w:b/>
          <w:noProof/>
        </w:rPr>
        <w:t>sécurité dans la région de la mer Noire</w:t>
      </w:r>
      <w:r>
        <w:rPr>
          <w:noProof/>
        </w:rPr>
        <w:t xml:space="preserve"> devra également être au cœur d’une paix juste, globale et durable. </w:t>
      </w:r>
    </w:p>
    <w:p w14:paraId="62A3374B" w14:textId="77777777" w:rsidR="002177B3" w:rsidRPr="001833D8" w:rsidRDefault="002177B3" w:rsidP="002177B3">
      <w:pPr>
        <w:rPr>
          <w:b/>
          <w:noProof/>
        </w:rPr>
      </w:pPr>
      <w:r>
        <w:rPr>
          <w:noProof/>
        </w:rPr>
        <w:t xml:space="preserve">Un certain nombre de pays de la région sont sur la voie de l’adhésion à l’UE ou d’un alignement plus étroit sur celle-ci. Le processus d’élargissement, l’intégration progressive des pays candidats dans le marché intérieur et les partenariats intégrés dans la région libéreront le potentiel économique, renforceront l’état de droit et accéléreront les réformes. </w:t>
      </w:r>
      <w:r>
        <w:rPr>
          <w:b/>
          <w:noProof/>
        </w:rPr>
        <w:t xml:space="preserve">La paix et la sécurité sont les fondements de cette approche renouvelée. </w:t>
      </w:r>
    </w:p>
    <w:p w14:paraId="2A8D12E9" w14:textId="77C05E0C" w:rsidR="002177B3" w:rsidRPr="002177B3" w:rsidRDefault="002177B3" w:rsidP="002177B3">
      <w:pPr>
        <w:rPr>
          <w:noProof/>
        </w:rPr>
      </w:pPr>
      <w:r>
        <w:rPr>
          <w:noProof/>
        </w:rPr>
        <w:t xml:space="preserve">Outre pour son voisinage immédiat, la mer Noire revêt une importance mondiale. En tant que lien essentiel entre l’Europe, le Caucase du Sud, l’Asie centrale et la Méditerranée orientale, la région de la mer Noire joue un rôle stratégique dans la sécurité européenne et mondiale, le commerce international, la sécurité énergétique et la sécurité alimentaire (notamment en ce qui concerne les céréales). Forts d’une population de près de </w:t>
      </w:r>
      <w:r>
        <w:rPr>
          <w:b/>
          <w:noProof/>
        </w:rPr>
        <w:t>174 millions d’habitants</w:t>
      </w:r>
      <w:r>
        <w:rPr>
          <w:rStyle w:val="FootnoteReference"/>
          <w:noProof/>
        </w:rPr>
        <w:footnoteReference w:id="2"/>
      </w:r>
      <w:r>
        <w:rPr>
          <w:noProof/>
        </w:rPr>
        <w:t>, les États bordant la mer Noire</w:t>
      </w:r>
      <w:r>
        <w:rPr>
          <w:noProof/>
          <w:vertAlign w:val="superscript"/>
        </w:rPr>
        <w:footnoteReference w:id="3"/>
      </w:r>
      <w:r>
        <w:rPr>
          <w:noProof/>
        </w:rPr>
        <w:t xml:space="preserve"> (à l’exclusion de la Russie) génèrent un PIB d’environ </w:t>
      </w:r>
      <w:r>
        <w:rPr>
          <w:b/>
          <w:noProof/>
        </w:rPr>
        <w:t>2 000 milliards d’EUR</w:t>
      </w:r>
      <w:r>
        <w:rPr>
          <w:noProof/>
          <w:vertAlign w:val="superscript"/>
        </w:rPr>
        <w:footnoteReference w:id="4"/>
      </w:r>
      <w:r>
        <w:rPr>
          <w:noProof/>
        </w:rPr>
        <w:t>. L’</w:t>
      </w:r>
      <w:r>
        <w:rPr>
          <w:b/>
          <w:noProof/>
        </w:rPr>
        <w:t xml:space="preserve">UE est le premier partenaire commercial </w:t>
      </w:r>
      <w:r>
        <w:rPr>
          <w:noProof/>
        </w:rPr>
        <w:t>de la plupart des pays de la région de la mer Noire, avec un volume d’échanges global de</w:t>
      </w:r>
      <w:r>
        <w:rPr>
          <w:b/>
          <w:noProof/>
        </w:rPr>
        <w:t xml:space="preserve"> 310 milliards d’EUR</w:t>
      </w:r>
      <w:r>
        <w:rPr>
          <w:rStyle w:val="FootnoteReference"/>
          <w:noProof/>
        </w:rPr>
        <w:footnoteReference w:id="5"/>
      </w:r>
      <w:r>
        <w:rPr>
          <w:noProof/>
        </w:rPr>
        <w:t>, et le deuxième partenaire commercial le plus important de l’Asie centrale</w:t>
      </w:r>
      <w:r>
        <w:rPr>
          <w:rStyle w:val="FootnoteReference"/>
          <w:noProof/>
        </w:rPr>
        <w:footnoteReference w:id="6"/>
      </w:r>
      <w:r>
        <w:rPr>
          <w:noProof/>
        </w:rPr>
        <w:t xml:space="preserve">. Le renforcement de notre coopération et la consolidation des liens économiques contribueront à la </w:t>
      </w:r>
      <w:r>
        <w:rPr>
          <w:b/>
          <w:noProof/>
        </w:rPr>
        <w:t xml:space="preserve">compétitivité de la région et de l’UE elle-même. </w:t>
      </w:r>
    </w:p>
    <w:p w14:paraId="011B463F" w14:textId="6F32D0D1" w:rsidR="002177B3" w:rsidRPr="002177B3" w:rsidRDefault="002177B3" w:rsidP="002177B3">
      <w:pPr>
        <w:rPr>
          <w:noProof/>
        </w:rPr>
      </w:pPr>
      <w:r>
        <w:rPr>
          <w:noProof/>
        </w:rPr>
        <w:t>Outre son importance géopolitique et économique, la mer Noire est un pôle dynamique d’innovation et de culture. Les défis environnementaux liés à la</w:t>
      </w:r>
      <w:r>
        <w:rPr>
          <w:b/>
          <w:noProof/>
        </w:rPr>
        <w:t xml:space="preserve"> mer Noire nécessitent également que l’on renforce la coopération régionale,</w:t>
      </w:r>
      <w:r>
        <w:rPr>
          <w:noProof/>
        </w:rPr>
        <w:t xml:space="preserve"> afin de protéger les écosystèmes marins, de développer l’économie bleue et d’accroître la résilience climatique des communautés côtières. Une mer Noire sûre et sécurisée est essentielle pour garantir la liberté de navigation, ainsi que la sûreté et la sécurité maritimes. Par ailleurs, nous devons nous attaquer sans plus attendre aux menaces hybrides, telles que les cyberattaques, les campagnes de désinformation et les manipulations de l’information et ingérences étrangères.</w:t>
      </w:r>
    </w:p>
    <w:p w14:paraId="0E628AF3" w14:textId="77777777" w:rsidR="002177B3" w:rsidRPr="002177B3" w:rsidRDefault="002177B3" w:rsidP="002177B3">
      <w:pPr>
        <w:keepNext/>
        <w:keepLines/>
        <w:ind w:left="357" w:hanging="357"/>
        <w:rPr>
          <w:bCs/>
          <w:smallCaps/>
          <w:noProof/>
        </w:rPr>
      </w:pPr>
      <w:r>
        <w:rPr>
          <w:b/>
          <w:smallCaps/>
          <w:noProof/>
        </w:rPr>
        <w:lastRenderedPageBreak/>
        <w:t>L’approche stratégique de l’UE: un pôle de sécurité, de stabilité et de prospérité</w:t>
      </w:r>
    </w:p>
    <w:p w14:paraId="75793842" w14:textId="4DDD8ACD" w:rsidR="002177B3" w:rsidRDefault="002177B3" w:rsidP="002177B3">
      <w:pPr>
        <w:pBdr>
          <w:top w:val="single" w:sz="4" w:space="1" w:color="auto"/>
          <w:left w:val="single" w:sz="4" w:space="4" w:color="auto"/>
          <w:bottom w:val="single" w:sz="4" w:space="1" w:color="auto"/>
          <w:right w:val="single" w:sz="4" w:space="4" w:color="auto"/>
        </w:pBdr>
        <w:rPr>
          <w:noProof/>
        </w:rPr>
      </w:pPr>
      <w:r>
        <w:rPr>
          <w:noProof/>
        </w:rPr>
        <w:t xml:space="preserve">Au cœur de cette </w:t>
      </w:r>
      <w:r>
        <w:rPr>
          <w:b/>
          <w:noProof/>
        </w:rPr>
        <w:t>stratégie</w:t>
      </w:r>
      <w:r>
        <w:rPr>
          <w:noProof/>
        </w:rPr>
        <w:t xml:space="preserve"> se trouve un projet politique: faire progresser la paix et la sécurité, le développement économique et le renforcement démocratique dans une région soumise à des pressions géopolitiques de plus en plus fortes. L’UE veut faire de la région de la mer Noire un espace sûr, interconnecté et prospère, ancré dans des valeurs communes et une coopération régionale. Sa stratégie reconnaît le rôle de la mer Noire en tant que passerelle essentielle entre l’Europe et le Caucase du Sud, l’Asie centrale et au-delà, et est étayée par des investissements ciblés dans les infrastructures de transport, énergétiques et numériques destinés à accroître la connectivité et les échanges commerciaux. L’amélioration de la connectivité intrarégionale et interrégionale sera cruciale pour accélérer l’indépendance énergétique</w:t>
      </w:r>
      <w:r w:rsidR="00DE40A6">
        <w:rPr>
          <w:noProof/>
        </w:rPr>
        <w:t xml:space="preserve"> et </w:t>
      </w:r>
      <w:r>
        <w:rPr>
          <w:noProof/>
        </w:rPr>
        <w:t xml:space="preserve">l’intégration des énergies renouvelables </w:t>
      </w:r>
      <w:r w:rsidR="00DE40A6">
        <w:rPr>
          <w:noProof/>
        </w:rPr>
        <w:t>ainsi que pour</w:t>
      </w:r>
      <w:r>
        <w:rPr>
          <w:noProof/>
        </w:rPr>
        <w:t xml:space="preserve"> garantir la stabilité et la résilience du système énergétique. Les défis régionaux seront abordés dans le cadre de </w:t>
      </w:r>
      <w:r>
        <w:rPr>
          <w:b/>
          <w:noProof/>
        </w:rPr>
        <w:t>partenariats mutuellement bénéfiques</w:t>
      </w:r>
      <w:r>
        <w:rPr>
          <w:noProof/>
        </w:rPr>
        <w:t xml:space="preserve"> visant à promouvoir la sécurité, la prospérité, la stabilité et la résilience à long terme. </w:t>
      </w:r>
    </w:p>
    <w:p w14:paraId="5A4FF787" w14:textId="10E99C72" w:rsidR="002177B3" w:rsidRPr="002177B3" w:rsidRDefault="004C0DF1" w:rsidP="002177B3">
      <w:pPr>
        <w:keepLines/>
        <w:rPr>
          <w:noProof/>
        </w:rPr>
      </w:pPr>
      <w:r>
        <w:rPr>
          <w:noProof/>
        </w:rPr>
        <w:t xml:space="preserve">Cette stratégie regroupe les instruments internes et externes de l’UE au sein d’un seul et même cadre. Au titre de la stratégie «Global Gateway», l’UE entend mobiliser des investissements stratégiques, approfondir les partenariats et apporter des avantages concrets dans le cadre d’une approche «Équipe Europe», en renforçant le rôle de l’Europe en tant qu’acteur géopolitique fiable. En réponse à l’évolution du contexte géopolitique, la nouvelle approche stratégique de l’UE pour la région de la mer Noire exposée dans la présente communication conjointe propose de multiples pistes pour resserrer les liens de </w:t>
      </w:r>
      <w:r>
        <w:rPr>
          <w:b/>
          <w:noProof/>
        </w:rPr>
        <w:t>coopération avec l’Ukraine, la République de Moldavie, la Géorgie, la Turquie, l’Arménie et l’Azerbaïdjan</w:t>
      </w:r>
      <w:r>
        <w:rPr>
          <w:noProof/>
        </w:rPr>
        <w:t xml:space="preserve">, ainsi qu’avec les partenaires et organisations concernés. </w:t>
      </w:r>
    </w:p>
    <w:p w14:paraId="48D7DC3F" w14:textId="25C56497" w:rsidR="002177B3" w:rsidRPr="00AA5AC1" w:rsidRDefault="002177B3" w:rsidP="002177B3">
      <w:pPr>
        <w:keepLines/>
        <w:spacing w:before="100" w:beforeAutospacing="1" w:after="100" w:afterAutospacing="1"/>
        <w:rPr>
          <w:rFonts w:eastAsiaTheme="minorEastAsia"/>
          <w:noProof/>
        </w:rPr>
      </w:pPr>
      <w:r>
        <w:rPr>
          <w:noProof/>
        </w:rPr>
        <w:t>L’</w:t>
      </w:r>
      <w:r>
        <w:rPr>
          <w:b/>
          <w:noProof/>
        </w:rPr>
        <w:t>Union est amenée à assumer un rôle et une responsabilité de plus en plus importants dans la région de la mer Noire</w:t>
      </w:r>
      <w:r>
        <w:rPr>
          <w:noProof/>
        </w:rPr>
        <w:t xml:space="preserve">, en particulier avec l’ouverture de négociations d’adhésion avec l’Ukraine et la République de Moldavie, ainsi qu’avec la Géorgie, si le pays devait revenir sur la voie de l’adhésion à l’UE. Le </w:t>
      </w:r>
      <w:r>
        <w:rPr>
          <w:b/>
          <w:noProof/>
        </w:rPr>
        <w:t>processus d’élargissement de l’Union est un investissement stratégique</w:t>
      </w:r>
      <w:r>
        <w:rPr>
          <w:noProof/>
        </w:rPr>
        <w:t xml:space="preserve"> pour renforcer la sécurité et la résilience régionales. L’UE entend soutenir les partenaires souhaitant intégrer l’Union en renforçant l’état de droit, la démocratie et la résilience au changement climatique. L’intégration progressive des pays candidats et leur participation aux initiatives de l’UE offriront des avantages concrets aux citoyens et aideront ces pays à faire face aux défis avant même leur adhésion. L’UE travaillera en étroite collaboration avec ses partenaires afin de les aider à s’aligner sur sa politique étrangère et de sécurité commune, y compris en ce qui concerne les sanctions et la politique de défense. Une attention particulière sera accordée à l’application des mesures restrictives prises par l’UE à l’encontre de la Russie et de la Biélorussie, notamment à la lutte contre le contournement des sanctions.</w:t>
      </w:r>
    </w:p>
    <w:p w14:paraId="13A89E56" w14:textId="3EDD98AC" w:rsidR="0071397B" w:rsidRDefault="002177B3" w:rsidP="00934E25">
      <w:pPr>
        <w:pStyle w:val="Briefinglist1"/>
        <w:numPr>
          <w:ilvl w:val="0"/>
          <w:numId w:val="0"/>
        </w:numPr>
        <w:rPr>
          <w:rFonts w:ascii="Times New Roman" w:hAnsi="Times New Roman" w:cs="Times New Roman"/>
          <w:noProof/>
          <w:sz w:val="24"/>
        </w:rPr>
      </w:pPr>
      <w:r>
        <w:rPr>
          <w:rFonts w:ascii="Times New Roman" w:hAnsi="Times New Roman"/>
          <w:noProof/>
          <w:sz w:val="24"/>
        </w:rPr>
        <w:t xml:space="preserve">Dans la région de la mer Noire, l’Union européenne concentre son action sur la paix et le droit international en vue de libérer le potentiel </w:t>
      </w:r>
      <w:r w:rsidR="00E4479A" w:rsidRPr="00E4479A">
        <w:rPr>
          <w:rFonts w:ascii="Times New Roman" w:hAnsi="Times New Roman"/>
          <w:noProof/>
          <w:sz w:val="24"/>
        </w:rPr>
        <w:t>en matière de croissance économique, d’investissements durables et de connectivité régionale renforcée</w:t>
      </w:r>
      <w:r>
        <w:rPr>
          <w:rFonts w:ascii="Times New Roman" w:hAnsi="Times New Roman"/>
          <w:noProof/>
          <w:sz w:val="24"/>
        </w:rPr>
        <w:t xml:space="preserve">. À cet égard, il est essentiel de soutenir </w:t>
      </w:r>
      <w:r>
        <w:rPr>
          <w:rFonts w:ascii="Times New Roman" w:hAnsi="Times New Roman"/>
          <w:b/>
          <w:noProof/>
          <w:sz w:val="24"/>
        </w:rPr>
        <w:t>la résilience, la sécurité et la reconstruction globales de l’Ukraine,</w:t>
      </w:r>
      <w:r>
        <w:rPr>
          <w:rFonts w:ascii="Times New Roman" w:hAnsi="Times New Roman"/>
          <w:noProof/>
          <w:sz w:val="24"/>
        </w:rPr>
        <w:t xml:space="preserve"> ainsi que la paix et la stabilité dans le </w:t>
      </w:r>
      <w:r>
        <w:rPr>
          <w:rFonts w:ascii="Times New Roman" w:hAnsi="Times New Roman"/>
          <w:b/>
          <w:noProof/>
          <w:sz w:val="24"/>
        </w:rPr>
        <w:t>Caucase du Sud</w:t>
      </w:r>
      <w:r>
        <w:rPr>
          <w:rFonts w:ascii="Times New Roman" w:hAnsi="Times New Roman"/>
          <w:noProof/>
          <w:sz w:val="24"/>
        </w:rPr>
        <w:t>, et en particulier la normalisation des relations entre l’Arménie et l’Azerbaïdjan</w:t>
      </w:r>
      <w:r w:rsidR="00567C26">
        <w:rPr>
          <w:rFonts w:ascii="Times New Roman" w:hAnsi="Times New Roman"/>
          <w:noProof/>
          <w:sz w:val="24"/>
        </w:rPr>
        <w:t xml:space="preserve">, </w:t>
      </w:r>
      <w:r>
        <w:rPr>
          <w:rFonts w:ascii="Times New Roman" w:hAnsi="Times New Roman"/>
          <w:noProof/>
          <w:sz w:val="24"/>
        </w:rPr>
        <w:t>notamment par la signature rapide du traité de paix, ainsi que la normalisation des relations entre l’Arménie et la Turquie.</w:t>
      </w:r>
    </w:p>
    <w:p w14:paraId="64F1350A" w14:textId="2C74519C" w:rsidR="00977FD0" w:rsidRPr="00977FD0" w:rsidRDefault="00977FD0" w:rsidP="00977FD0">
      <w:pPr>
        <w:pStyle w:val="Briefinglist1"/>
        <w:numPr>
          <w:ilvl w:val="0"/>
          <w:numId w:val="0"/>
        </w:numPr>
        <w:rPr>
          <w:rFonts w:ascii="Times New Roman" w:hAnsi="Times New Roman" w:cs="Times New Roman"/>
          <w:noProof/>
          <w:sz w:val="24"/>
        </w:rPr>
      </w:pPr>
      <w:r>
        <w:rPr>
          <w:rFonts w:ascii="Times New Roman" w:hAnsi="Times New Roman"/>
          <w:noProof/>
          <w:sz w:val="24"/>
        </w:rPr>
        <w:lastRenderedPageBreak/>
        <w:t xml:space="preserve">Il importe également d’adopter </w:t>
      </w:r>
      <w:r>
        <w:rPr>
          <w:rFonts w:ascii="Times New Roman" w:hAnsi="Times New Roman"/>
          <w:b/>
          <w:noProof/>
          <w:sz w:val="24"/>
        </w:rPr>
        <w:t>une approche coordonnée avec la Turquie</w:t>
      </w:r>
      <w:r>
        <w:rPr>
          <w:rFonts w:ascii="Times New Roman" w:hAnsi="Times New Roman"/>
          <w:noProof/>
          <w:sz w:val="24"/>
        </w:rPr>
        <w:t xml:space="preserve">, un partenaire d’importance stratégique qui est aussi un pays candidat. La restauration du dialogue </w:t>
      </w:r>
      <w:r>
        <w:rPr>
          <w:rFonts w:ascii="Times New Roman" w:hAnsi="Times New Roman"/>
          <w:b/>
          <w:noProof/>
          <w:sz w:val="24"/>
        </w:rPr>
        <w:t>reste fondamentale</w:t>
      </w:r>
      <w:r>
        <w:rPr>
          <w:rFonts w:ascii="Times New Roman" w:hAnsi="Times New Roman"/>
          <w:noProof/>
          <w:sz w:val="24"/>
        </w:rPr>
        <w:t>, comme indiqué dans la communication conjointe de la Commission de novembre 2023</w:t>
      </w:r>
      <w:r>
        <w:rPr>
          <w:rStyle w:val="FootnoteReference"/>
          <w:rFonts w:ascii="Times New Roman" w:hAnsi="Times New Roman"/>
          <w:noProof/>
          <w:sz w:val="24"/>
        </w:rPr>
        <w:footnoteReference w:id="7"/>
      </w:r>
      <w:r>
        <w:rPr>
          <w:rFonts w:ascii="Times New Roman" w:hAnsi="Times New Roman"/>
          <w:noProof/>
          <w:sz w:val="24"/>
        </w:rPr>
        <w:t xml:space="preserve"> et les conclusions pertinentes du Conseil européen</w:t>
      </w:r>
      <w:r>
        <w:rPr>
          <w:rStyle w:val="FootnoteReference"/>
          <w:rFonts w:ascii="Times New Roman" w:hAnsi="Times New Roman"/>
          <w:noProof/>
          <w:sz w:val="24"/>
        </w:rPr>
        <w:footnoteReference w:id="8"/>
      </w:r>
      <w:r>
        <w:rPr>
          <w:rFonts w:ascii="Times New Roman" w:hAnsi="Times New Roman"/>
          <w:noProof/>
          <w:sz w:val="24"/>
        </w:rPr>
        <w:t>. Il s’agit d’une responsabilité commune envers la paix et la stabilité dans la région, fondée sur la charte des Nations unies et le droit international. La Turquie et l’Union européenne souhaitent toutes deux mettre fin à la guerre d’agression menée par la Russie contre l’Ukraine, dans le respect de l’intégrité territoriale et de la souveraineté de l’Ukraine, et garantir la sécurité dans la région. L’engagement de la Turquie dans les efforts diplomatiques, notamment en facilitant l’initiative céréalière de la mer Noire</w:t>
      </w:r>
      <w:r>
        <w:rPr>
          <w:rStyle w:val="FootnoteReference"/>
          <w:rFonts w:ascii="Times New Roman" w:hAnsi="Times New Roman"/>
          <w:noProof/>
          <w:sz w:val="24"/>
        </w:rPr>
        <w:footnoteReference w:id="9"/>
      </w:r>
      <w:r>
        <w:rPr>
          <w:rFonts w:ascii="Times New Roman" w:hAnsi="Times New Roman"/>
          <w:noProof/>
          <w:sz w:val="24"/>
        </w:rPr>
        <w:t xml:space="preserve"> et les échanges de prisonniers, démontre son importance en tant qu’acteur économique et sécuritaire. La Turquie peut en outre jouer un rôle constructif dans la lutte contre la flotte fantôme russe et contribuer aux efforts visant à renforcer la sécurité maritime, la sécurité énergétique et la connectivité conformément au droit international et aux conventions pertinentes. La Turquie et l’Union européenne ont conclu une union douanière et sont des partenaires commerciaux importants l’un pour l’autre.</w:t>
      </w:r>
    </w:p>
    <w:p w14:paraId="284629C3" w14:textId="77777777" w:rsidR="00977FD0" w:rsidRPr="004F6065" w:rsidRDefault="00977FD0" w:rsidP="001833D8">
      <w:pPr>
        <w:keepNext/>
        <w:keepLines/>
        <w:ind w:left="357" w:hanging="357"/>
        <w:rPr>
          <w:b/>
          <w:noProof/>
          <w:lang w:val="fr-BE"/>
        </w:rPr>
      </w:pPr>
    </w:p>
    <w:p w14:paraId="195AA8A9" w14:textId="76E41D54" w:rsidR="00981933" w:rsidRPr="003D5038" w:rsidRDefault="00981933" w:rsidP="00981933">
      <w:pPr>
        <w:keepNext/>
        <w:keepLines/>
        <w:ind w:left="357" w:hanging="357"/>
        <w:rPr>
          <w:b/>
          <w:bCs/>
          <w:smallCaps/>
          <w:noProof/>
          <w:u w:val="single"/>
        </w:rPr>
      </w:pPr>
      <w:r>
        <w:rPr>
          <w:b/>
          <w:noProof/>
          <w:u w:val="single"/>
        </w:rPr>
        <w:t>Trois piliers pour la coopération future entre l’UE et la mer Noire</w:t>
      </w:r>
    </w:p>
    <w:p w14:paraId="46052054" w14:textId="58726866" w:rsidR="00981933" w:rsidRPr="001833D8" w:rsidRDefault="00981933" w:rsidP="00981933">
      <w:pPr>
        <w:rPr>
          <w:noProof/>
        </w:rPr>
      </w:pPr>
      <w:r>
        <w:rPr>
          <w:noProof/>
        </w:rPr>
        <w:t xml:space="preserve">La coopération future avec la région de la mer Noire s’articulera autour de trois grands piliers: </w:t>
      </w:r>
    </w:p>
    <w:p w14:paraId="4DB6148D" w14:textId="34C37037" w:rsidR="00981933" w:rsidRPr="003D5038" w:rsidRDefault="00B149A9" w:rsidP="00981933">
      <w:pPr>
        <w:numPr>
          <w:ilvl w:val="0"/>
          <w:numId w:val="61"/>
        </w:numPr>
        <w:contextualSpacing/>
        <w:rPr>
          <w:noProof/>
        </w:rPr>
      </w:pPr>
      <w:r>
        <w:rPr>
          <w:noProof/>
        </w:rPr>
        <w:t xml:space="preserve">renforcer la </w:t>
      </w:r>
      <w:r>
        <w:rPr>
          <w:b/>
          <w:noProof/>
        </w:rPr>
        <w:t>sécurité</w:t>
      </w:r>
      <w:r>
        <w:rPr>
          <w:noProof/>
        </w:rPr>
        <w:t>, la stabilité et la résilience;</w:t>
      </w:r>
    </w:p>
    <w:p w14:paraId="5D3F3D7D" w14:textId="5CBD2EDA" w:rsidR="00981933" w:rsidRPr="00824769" w:rsidRDefault="00981933" w:rsidP="00981933">
      <w:pPr>
        <w:numPr>
          <w:ilvl w:val="0"/>
          <w:numId w:val="61"/>
        </w:numPr>
        <w:contextualSpacing/>
        <w:rPr>
          <w:noProof/>
        </w:rPr>
      </w:pPr>
      <w:r>
        <w:rPr>
          <w:noProof/>
        </w:rPr>
        <w:t xml:space="preserve">favoriser </w:t>
      </w:r>
      <w:r>
        <w:rPr>
          <w:b/>
          <w:noProof/>
        </w:rPr>
        <w:t xml:space="preserve">une croissance et une prospérité </w:t>
      </w:r>
      <w:r>
        <w:rPr>
          <w:noProof/>
        </w:rPr>
        <w:t>durables</w:t>
      </w:r>
      <w:r w:rsidRPr="002C2AB4">
        <w:rPr>
          <w:bCs/>
          <w:noProof/>
        </w:rPr>
        <w:t>;</w:t>
      </w:r>
    </w:p>
    <w:p w14:paraId="5E26BD33" w14:textId="6C6D62CE" w:rsidR="00981933" w:rsidRPr="003D5038" w:rsidRDefault="00981933" w:rsidP="00981933">
      <w:pPr>
        <w:numPr>
          <w:ilvl w:val="0"/>
          <w:numId w:val="61"/>
        </w:numPr>
        <w:contextualSpacing/>
        <w:rPr>
          <w:noProof/>
        </w:rPr>
      </w:pPr>
      <w:r>
        <w:rPr>
          <w:noProof/>
        </w:rPr>
        <w:t xml:space="preserve">promouvoir la protection de l’environnement, la résilience et la </w:t>
      </w:r>
      <w:r>
        <w:rPr>
          <w:b/>
          <w:noProof/>
        </w:rPr>
        <w:t>préparation</w:t>
      </w:r>
      <w:r>
        <w:rPr>
          <w:noProof/>
        </w:rPr>
        <w:t xml:space="preserve"> </w:t>
      </w:r>
      <w:r w:rsidR="002C2AB4">
        <w:rPr>
          <w:noProof/>
        </w:rPr>
        <w:t xml:space="preserve">face </w:t>
      </w:r>
      <w:r>
        <w:rPr>
          <w:noProof/>
        </w:rPr>
        <w:t xml:space="preserve">au changement climatique, </w:t>
      </w:r>
      <w:r w:rsidR="002C2AB4">
        <w:rPr>
          <w:noProof/>
        </w:rPr>
        <w:t xml:space="preserve">ainsi que </w:t>
      </w:r>
      <w:r>
        <w:rPr>
          <w:noProof/>
        </w:rPr>
        <w:t>la protection civile.</w:t>
      </w:r>
    </w:p>
    <w:p w14:paraId="0939567B" w14:textId="371B2616" w:rsidR="0029615E" w:rsidRPr="004F6065" w:rsidRDefault="0029615E" w:rsidP="001833D8">
      <w:pPr>
        <w:ind w:left="1440"/>
        <w:contextualSpacing/>
        <w:rPr>
          <w:noProof/>
          <w:lang w:val="fr-BE"/>
        </w:rPr>
      </w:pPr>
    </w:p>
    <w:p w14:paraId="0F3530BC" w14:textId="79DFFC94" w:rsidR="00981933" w:rsidRPr="003D5038" w:rsidRDefault="00981933" w:rsidP="00981933">
      <w:pPr>
        <w:rPr>
          <w:noProof/>
        </w:rPr>
      </w:pPr>
      <w:r>
        <w:rPr>
          <w:noProof/>
        </w:rPr>
        <w:t xml:space="preserve">Afin d’accroître l’effet souhaité des actions conjointes, des </w:t>
      </w:r>
      <w:r>
        <w:rPr>
          <w:b/>
          <w:noProof/>
        </w:rPr>
        <w:t>initiatives phares</w:t>
      </w:r>
      <w:r>
        <w:rPr>
          <w:noProof/>
        </w:rPr>
        <w:t xml:space="preserve"> seront mises en œuvre dans le cadre de chacun de ces piliers. Ces initiatives permettront de relever les défis immédiats liés aux conflits et à la sécurité et de libérer le potentiel de croissance de la région.</w:t>
      </w:r>
    </w:p>
    <w:p w14:paraId="5013C42A" w14:textId="7E148AC6" w:rsidR="002177B3" w:rsidRPr="002177B3" w:rsidRDefault="002177B3" w:rsidP="002177B3">
      <w:pPr>
        <w:keepNext/>
        <w:ind w:left="357" w:hanging="357"/>
        <w:rPr>
          <w:b/>
          <w:bCs/>
          <w:noProof/>
          <w:u w:val="single"/>
        </w:rPr>
      </w:pPr>
      <w:r>
        <w:rPr>
          <w:b/>
          <w:noProof/>
          <w:u w:val="single"/>
        </w:rPr>
        <w:t>Perspectives pour l’engagement de l’UE</w:t>
      </w:r>
    </w:p>
    <w:p w14:paraId="215960BE" w14:textId="381C051F" w:rsidR="002177B3" w:rsidRPr="002177B3" w:rsidRDefault="002177B3" w:rsidP="001833D8">
      <w:pPr>
        <w:spacing w:before="100" w:beforeAutospacing="1" w:after="100" w:afterAutospacing="1"/>
        <w:rPr>
          <w:noProof/>
        </w:rPr>
      </w:pPr>
      <w:r>
        <w:rPr>
          <w:noProof/>
        </w:rPr>
        <w:t xml:space="preserve">L’approche stratégique de l’UE est </w:t>
      </w:r>
      <w:r>
        <w:rPr>
          <w:b/>
          <w:noProof/>
        </w:rPr>
        <w:t>un cadre tourné vers l’avenir</w:t>
      </w:r>
      <w:r>
        <w:rPr>
          <w:noProof/>
        </w:rPr>
        <w:t xml:space="preserve">, combinant des mesures à court et à plus long terme. </w:t>
      </w:r>
    </w:p>
    <w:p w14:paraId="7CE1188F" w14:textId="25FD379A" w:rsidR="002177B3" w:rsidRPr="002177B3" w:rsidRDefault="002177B3" w:rsidP="001833D8">
      <w:pPr>
        <w:spacing w:before="100" w:beforeAutospacing="1" w:after="100" w:afterAutospacing="1"/>
        <w:rPr>
          <w:b/>
          <w:bCs/>
          <w:noProof/>
        </w:rPr>
      </w:pPr>
      <w:r>
        <w:rPr>
          <w:noProof/>
        </w:rPr>
        <w:t>Pour exploiter le potentiel de la région de la mer Noire, l’UE entreprendra les actions suivantes.</w:t>
      </w:r>
    </w:p>
    <w:p w14:paraId="62782759" w14:textId="4329D1BF" w:rsidR="002177B3" w:rsidRPr="002177B3" w:rsidRDefault="002177B3" w:rsidP="002177B3">
      <w:pPr>
        <w:numPr>
          <w:ilvl w:val="0"/>
          <w:numId w:val="64"/>
        </w:numPr>
        <w:spacing w:before="100" w:beforeAutospacing="1" w:after="100" w:afterAutospacing="1"/>
        <w:rPr>
          <w:noProof/>
        </w:rPr>
      </w:pPr>
      <w:r>
        <w:rPr>
          <w:b/>
          <w:noProof/>
        </w:rPr>
        <w:t>Approfondissement des partenariats</w:t>
      </w:r>
      <w:r>
        <w:rPr>
          <w:noProof/>
        </w:rPr>
        <w:t>: renforcer les liens bilatéraux avec les pays de la mer Noire afin de favoriser la sécurité et la prospérité régionales, tout en établissant des interconnexions avec l’UE et en stimulant la coopération interrégionale, notamment la coopération avec la mer Baltique.</w:t>
      </w:r>
    </w:p>
    <w:p w14:paraId="368A75D9" w14:textId="77777777" w:rsidR="002177B3" w:rsidRPr="002177B3" w:rsidRDefault="002177B3" w:rsidP="002177B3">
      <w:pPr>
        <w:numPr>
          <w:ilvl w:val="0"/>
          <w:numId w:val="64"/>
        </w:numPr>
        <w:spacing w:before="100" w:beforeAutospacing="1" w:after="100" w:afterAutospacing="1"/>
        <w:rPr>
          <w:noProof/>
        </w:rPr>
      </w:pPr>
      <w:r>
        <w:rPr>
          <w:b/>
          <w:noProof/>
        </w:rPr>
        <w:t>Sécurité et résolution des conflits</w:t>
      </w:r>
      <w:r>
        <w:rPr>
          <w:noProof/>
        </w:rPr>
        <w:t>: soutenir la paix et la résolution des conflits, notamment en améliorant la médiation et la facilitation du dialogue, et en intensifiant la coopération en vue du développement des capacités, de la mobilité militaire et du déminage. Il s’agit également de soutenir la négociation et la surveillance des cessez-le-feu et de faciliter des efforts inclusifs de consolidation de la paix.</w:t>
      </w:r>
    </w:p>
    <w:p w14:paraId="78D7CA9D" w14:textId="77777777" w:rsidR="002177B3" w:rsidRPr="002177B3" w:rsidRDefault="002177B3" w:rsidP="002177B3">
      <w:pPr>
        <w:numPr>
          <w:ilvl w:val="0"/>
          <w:numId w:val="64"/>
        </w:numPr>
        <w:spacing w:before="100" w:beforeAutospacing="1" w:after="100" w:afterAutospacing="1"/>
        <w:rPr>
          <w:noProof/>
        </w:rPr>
      </w:pPr>
      <w:r>
        <w:rPr>
          <w:b/>
          <w:noProof/>
        </w:rPr>
        <w:t>Protection de l’état de droit et de la démocratie</w:t>
      </w:r>
      <w:r>
        <w:rPr>
          <w:noProof/>
        </w:rPr>
        <w:t xml:space="preserve">: renforcer la résilience de la société, notamment par l’indépendance et l’efficacité du pouvoir judiciaire, ainsi que par la lutte contre la corruption et la criminalité organisée, le renforcement de la cybersécurité, la lutte contre les activités de </w:t>
      </w:r>
      <w:r>
        <w:rPr>
          <w:noProof/>
        </w:rPr>
        <w:lastRenderedPageBreak/>
        <w:t xml:space="preserve">manipulation de l’information et d’ingérence étrangères et la désinformation, et par l’amélioration des droits fondamentaux et de l’égalité de genre. </w:t>
      </w:r>
    </w:p>
    <w:p w14:paraId="0984DF80" w14:textId="77777777" w:rsidR="002177B3" w:rsidRPr="002177B3" w:rsidRDefault="002177B3" w:rsidP="002177B3">
      <w:pPr>
        <w:numPr>
          <w:ilvl w:val="0"/>
          <w:numId w:val="64"/>
        </w:numPr>
        <w:spacing w:before="100" w:beforeAutospacing="1" w:after="100" w:afterAutospacing="1"/>
        <w:contextualSpacing/>
        <w:rPr>
          <w:noProof/>
        </w:rPr>
      </w:pPr>
      <w:r>
        <w:rPr>
          <w:b/>
          <w:noProof/>
        </w:rPr>
        <w:t>Intégration du marché énergétique</w:t>
      </w:r>
      <w:r>
        <w:rPr>
          <w:noProof/>
        </w:rPr>
        <w:t xml:space="preserve">: faire avancer les réformes pour permettre l’intensification des échanges d’énergie par-delà les frontières, faciliter le déploiement de capacités de production d’énergies renouvelables, diversifier l’approvisionnement énergétique de façon à réduire la dépendance à l’égard de la Russie, améliorer la compétitivité industrielle, accroître l’accès des ménages à une énergie abordable et, en fin de compte, renforcer la sécurité énergétique. </w:t>
      </w:r>
    </w:p>
    <w:p w14:paraId="497EEBB8" w14:textId="77777777" w:rsidR="002177B3" w:rsidRPr="002177B3" w:rsidRDefault="002177B3" w:rsidP="002177B3">
      <w:pPr>
        <w:numPr>
          <w:ilvl w:val="0"/>
          <w:numId w:val="64"/>
        </w:numPr>
        <w:spacing w:before="100" w:beforeAutospacing="1" w:after="100" w:afterAutospacing="1"/>
        <w:contextualSpacing/>
        <w:rPr>
          <w:noProof/>
        </w:rPr>
      </w:pPr>
      <w:r>
        <w:rPr>
          <w:b/>
          <w:noProof/>
        </w:rPr>
        <w:t>Efficacité énergétique et décarbonation</w:t>
      </w:r>
      <w:r>
        <w:rPr>
          <w:noProof/>
        </w:rPr>
        <w:t>: promouvoir les mesures d’efficacité énergétique en vue de réduire la consommation d’énergie et les émissions de gaz à effet de serre conformément à la trajectoire de décarbonation et aux engagements internationaux de l’UE, et soutenir la transition de la région vers une économie à faibles émissions.</w:t>
      </w:r>
    </w:p>
    <w:p w14:paraId="2525D0DB" w14:textId="77777777" w:rsidR="002177B3" w:rsidRPr="00824769" w:rsidRDefault="002177B3" w:rsidP="002177B3">
      <w:pPr>
        <w:numPr>
          <w:ilvl w:val="0"/>
          <w:numId w:val="64"/>
        </w:numPr>
        <w:spacing w:before="100" w:beforeAutospacing="1" w:after="100" w:afterAutospacing="1"/>
        <w:contextualSpacing/>
        <w:rPr>
          <w:noProof/>
        </w:rPr>
      </w:pPr>
      <w:r>
        <w:rPr>
          <w:b/>
          <w:noProof/>
        </w:rPr>
        <w:t>Développement des infrastructures</w:t>
      </w:r>
      <w:r>
        <w:rPr>
          <w:noProof/>
        </w:rPr>
        <w:t>: améliorer la connectivité en développant des infrastructures de transport et des infrastructures énergétiques et numériques alignées sur les réseaux transeuropéens, reliant l’Europe, l’Asie et la Méditerranée.</w:t>
      </w:r>
    </w:p>
    <w:p w14:paraId="4C6AF042" w14:textId="77777777" w:rsidR="00B149A9" w:rsidRPr="002177B3" w:rsidRDefault="00B149A9" w:rsidP="00B149A9">
      <w:pPr>
        <w:numPr>
          <w:ilvl w:val="0"/>
          <w:numId w:val="64"/>
        </w:numPr>
        <w:spacing w:before="100" w:beforeAutospacing="1" w:after="100" w:afterAutospacing="1"/>
        <w:contextualSpacing/>
        <w:rPr>
          <w:noProof/>
        </w:rPr>
      </w:pPr>
      <w:r>
        <w:rPr>
          <w:b/>
          <w:noProof/>
        </w:rPr>
        <w:t>Commerce</w:t>
      </w:r>
      <w:r>
        <w:rPr>
          <w:noProof/>
        </w:rPr>
        <w:t>: maximiser les avantages économiques mutuels en améliorant les relations commerciales, en encourageant les investissements avec participation du secteur privé, et en poussant plus avant l’intégration économique. Il s’agit notamment de garantir l’accès aux matières premières critiques d’Asie centrale via le corridor de transport transcaspien relié à une région de la mer Noire stable et sûre.</w:t>
      </w:r>
      <w:r>
        <w:rPr>
          <w:b/>
          <w:noProof/>
        </w:rPr>
        <w:t xml:space="preserve"> </w:t>
      </w:r>
    </w:p>
    <w:p w14:paraId="669FF949" w14:textId="5D92FEE3" w:rsidR="003F6235" w:rsidRPr="00824769" w:rsidRDefault="005377BC" w:rsidP="003F6235">
      <w:pPr>
        <w:numPr>
          <w:ilvl w:val="0"/>
          <w:numId w:val="64"/>
        </w:numPr>
        <w:spacing w:before="100" w:beforeAutospacing="1" w:after="100" w:afterAutospacing="1"/>
        <w:contextualSpacing/>
        <w:rPr>
          <w:noProof/>
          <w:spacing w:val="0"/>
          <w:sz w:val="22"/>
          <w:szCs w:val="22"/>
        </w:rPr>
      </w:pPr>
      <w:r>
        <w:rPr>
          <w:b/>
          <w:noProof/>
        </w:rPr>
        <w:t xml:space="preserve">Préparation et résilience: </w:t>
      </w:r>
      <w:r>
        <w:rPr>
          <w:noProof/>
        </w:rPr>
        <w:t xml:space="preserve">renforcer la collaboration et les échanges de bonnes pratiques de façon à anticiper, détecter, prévenir et gérer les menaces et les incidents, en vue notamment de relever les défis communs en mer Baltique, y compris pour lutter contre la manipulation de l’information, et améliorer la protection des infrastructures critiques (notamment tous les types d’infrastructures énergétiques) contre les menaces hybrides. Améliorer la capacité de </w:t>
      </w:r>
      <w:r w:rsidR="00CF7CA6">
        <w:rPr>
          <w:noProof/>
        </w:rPr>
        <w:t>rétablissement</w:t>
      </w:r>
      <w:r>
        <w:rPr>
          <w:noProof/>
        </w:rPr>
        <w:t>.</w:t>
      </w:r>
    </w:p>
    <w:p w14:paraId="036D36BC" w14:textId="77777777" w:rsidR="002177B3" w:rsidRPr="002177B3" w:rsidRDefault="002177B3" w:rsidP="002177B3">
      <w:pPr>
        <w:numPr>
          <w:ilvl w:val="0"/>
          <w:numId w:val="64"/>
        </w:numPr>
        <w:spacing w:before="100" w:beforeAutospacing="1" w:after="100" w:afterAutospacing="1"/>
        <w:contextualSpacing/>
        <w:rPr>
          <w:noProof/>
        </w:rPr>
      </w:pPr>
      <w:r>
        <w:rPr>
          <w:b/>
          <w:noProof/>
        </w:rPr>
        <w:t>Protection de l’environnement et changement climatique</w:t>
      </w:r>
      <w:r>
        <w:rPr>
          <w:noProof/>
        </w:rPr>
        <w:t>: renforcer la coopération régionale en matière de protection et de restauration de l’environnement afin de préserver le potentiel de l’économie bleue et d’accroître la résilience des communautés côtières, tout en s’attaquant aux menaces environnementales plus larges et aux incidences du changement climatique et de la dégradation de l’environnement, et en encourageant les pratiques durables.</w:t>
      </w:r>
    </w:p>
    <w:p w14:paraId="0FD98C03" w14:textId="1E4CB69E" w:rsidR="002177B3" w:rsidRPr="001833D8" w:rsidRDefault="002177B3" w:rsidP="002177B3">
      <w:pPr>
        <w:numPr>
          <w:ilvl w:val="0"/>
          <w:numId w:val="64"/>
        </w:numPr>
        <w:spacing w:before="100" w:beforeAutospacing="1" w:after="100" w:afterAutospacing="1"/>
        <w:contextualSpacing/>
        <w:rPr>
          <w:strike/>
          <w:noProof/>
        </w:rPr>
      </w:pPr>
      <w:r>
        <w:rPr>
          <w:b/>
          <w:noProof/>
        </w:rPr>
        <w:t xml:space="preserve">Éducation, compétences et recherche: </w:t>
      </w:r>
      <w:r>
        <w:rPr>
          <w:noProof/>
        </w:rPr>
        <w:t xml:space="preserve">renforcer les liens entre le secteur de la recherche et le monde universitaire, et promouvoir la qualité et la coopération dans le domaine de l’éducation. Promouvoir le développement des compétences et les politiques de l’emploi dans l’ensemble de la région, conformément aux objectifs de l’Union des compétences. </w:t>
      </w:r>
    </w:p>
    <w:p w14:paraId="7484E6FD" w14:textId="48B4BD41" w:rsidR="002177B3" w:rsidRPr="00824769" w:rsidRDefault="002177B3" w:rsidP="002177B3">
      <w:pPr>
        <w:numPr>
          <w:ilvl w:val="0"/>
          <w:numId w:val="64"/>
        </w:numPr>
        <w:spacing w:before="100" w:beforeAutospacing="1" w:after="100" w:afterAutospacing="1"/>
        <w:contextualSpacing/>
        <w:rPr>
          <w:noProof/>
        </w:rPr>
      </w:pPr>
      <w:r>
        <w:rPr>
          <w:b/>
          <w:noProof/>
        </w:rPr>
        <w:t>Industrie de la défense:</w:t>
      </w:r>
      <w:r>
        <w:rPr>
          <w:noProof/>
        </w:rPr>
        <w:t xml:space="preserve"> coopérer dans le domaine du développement des actifs industriels liés à la défense dans la région.</w:t>
      </w:r>
    </w:p>
    <w:p w14:paraId="3BFBBA32" w14:textId="461D0C2B" w:rsidR="001D21A1" w:rsidRPr="00C0460B" w:rsidRDefault="001D21A1" w:rsidP="00824769">
      <w:pPr>
        <w:pStyle w:val="ListParagraph"/>
        <w:numPr>
          <w:ilvl w:val="0"/>
          <w:numId w:val="64"/>
        </w:numPr>
        <w:rPr>
          <w:noProof/>
        </w:rPr>
      </w:pPr>
      <w:r>
        <w:rPr>
          <w:b/>
          <w:noProof/>
        </w:rPr>
        <w:t>Culture</w:t>
      </w:r>
      <w:r>
        <w:rPr>
          <w:noProof/>
        </w:rPr>
        <w:t>: renforcer les échanges et la coopération culturels afin de libérer le potentiel de croissance, favoriser la résilience de la société et promouvoir les valeurs communes et la compréhension mutuelle.</w:t>
      </w:r>
    </w:p>
    <w:p w14:paraId="3643FDB1" w14:textId="77777777" w:rsidR="002177B3" w:rsidRPr="004F6065" w:rsidRDefault="002177B3" w:rsidP="002177B3">
      <w:pPr>
        <w:spacing w:before="100" w:beforeAutospacing="1" w:after="100" w:afterAutospacing="1"/>
        <w:ind w:left="720"/>
        <w:contextualSpacing/>
        <w:rPr>
          <w:noProof/>
          <w:sz w:val="18"/>
          <w:lang w:val="fr-BE"/>
        </w:rPr>
      </w:pPr>
    </w:p>
    <w:p w14:paraId="299E7F75" w14:textId="056B95E8" w:rsidR="002177B3" w:rsidRPr="002177B3" w:rsidRDefault="002177B3" w:rsidP="002177B3">
      <w:pPr>
        <w:rPr>
          <w:noProof/>
        </w:rPr>
      </w:pPr>
      <w:r>
        <w:rPr>
          <w:noProof/>
        </w:rPr>
        <w:t xml:space="preserve">Aux fins de la mise en œuvre de cette stratégie, l’UE s’appuiera sur une série de </w:t>
      </w:r>
      <w:r>
        <w:rPr>
          <w:b/>
          <w:noProof/>
        </w:rPr>
        <w:t>partenariats</w:t>
      </w:r>
      <w:r>
        <w:rPr>
          <w:noProof/>
        </w:rPr>
        <w:t xml:space="preserve"> et de cadres de coopération avec les pays de la région de la mer Noire, notamment les accords d’association/zones de libre-échange approfondi et complet (ALEAC) avec l’Ukraine</w:t>
      </w:r>
      <w:r>
        <w:rPr>
          <w:noProof/>
          <w:vertAlign w:val="superscript"/>
          <w:lang w:val="en-GB"/>
        </w:rPr>
        <w:footnoteReference w:id="10"/>
      </w:r>
      <w:r>
        <w:rPr>
          <w:noProof/>
        </w:rPr>
        <w:t>, la République de Moldavie</w:t>
      </w:r>
      <w:r>
        <w:rPr>
          <w:noProof/>
          <w:vertAlign w:val="superscript"/>
          <w:lang w:val="en-GB"/>
        </w:rPr>
        <w:footnoteReference w:id="11"/>
      </w:r>
      <w:r>
        <w:rPr>
          <w:noProof/>
        </w:rPr>
        <w:t xml:space="preserve"> (et leurs cadres de négociation respectifs avec l’UE) et la Géorgie</w:t>
      </w:r>
      <w:r>
        <w:rPr>
          <w:noProof/>
          <w:vertAlign w:val="superscript"/>
          <w:lang w:val="en-GB"/>
        </w:rPr>
        <w:footnoteReference w:id="12"/>
      </w:r>
      <w:r>
        <w:rPr>
          <w:noProof/>
        </w:rPr>
        <w:t>, l’accord d’association avec la Turquie</w:t>
      </w:r>
      <w:r>
        <w:rPr>
          <w:noProof/>
          <w:vertAlign w:val="superscript"/>
          <w:lang w:val="en-GB"/>
        </w:rPr>
        <w:footnoteReference w:id="13"/>
      </w:r>
      <w:r>
        <w:rPr>
          <w:noProof/>
        </w:rPr>
        <w:t xml:space="preserve">, la communication conjointe du haut représentant/vice-président (HR/VP) et de la Commission européenne de novembre 2023 sur l’état des relations entre l’UE et la Turquie dans les domaines politique, économique et </w:t>
      </w:r>
      <w:r>
        <w:rPr>
          <w:noProof/>
        </w:rPr>
        <w:lastRenderedPageBreak/>
        <w:t>commercial</w:t>
      </w:r>
      <w:r>
        <w:rPr>
          <w:noProof/>
          <w:vertAlign w:val="superscript"/>
          <w:lang w:val="en-GB"/>
        </w:rPr>
        <w:footnoteReference w:id="14"/>
      </w:r>
      <w:r>
        <w:rPr>
          <w:noProof/>
        </w:rPr>
        <w:t xml:space="preserve"> et conformément aux conclusions du Conseil européen, l’accord de partenariat global et renforcé avec l’Arménie</w:t>
      </w:r>
      <w:r>
        <w:rPr>
          <w:noProof/>
          <w:vertAlign w:val="superscript"/>
          <w:lang w:val="en-GB"/>
        </w:rPr>
        <w:footnoteReference w:id="15"/>
      </w:r>
      <w:r>
        <w:rPr>
          <w:noProof/>
        </w:rPr>
        <w:t xml:space="preserve"> et l’accord de partenariat et de coopération avec l’Azerbaïdjan</w:t>
      </w:r>
      <w:r>
        <w:rPr>
          <w:noProof/>
          <w:vertAlign w:val="superscript"/>
          <w:lang w:val="en-GB"/>
        </w:rPr>
        <w:footnoteReference w:id="16"/>
      </w:r>
      <w:r>
        <w:rPr>
          <w:noProof/>
        </w:rPr>
        <w:t xml:space="preserve">, ainsi que les cadres de coopération régionale de la </w:t>
      </w:r>
      <w:r>
        <w:rPr>
          <w:b/>
          <w:noProof/>
        </w:rPr>
        <w:t>synergie de la mer Noire</w:t>
      </w:r>
      <w:r>
        <w:rPr>
          <w:b/>
          <w:bCs/>
          <w:noProof/>
          <w:vertAlign w:val="superscript"/>
          <w:lang w:val="en-GB"/>
        </w:rPr>
        <w:footnoteReference w:id="17"/>
      </w:r>
      <w:r>
        <w:rPr>
          <w:noProof/>
        </w:rPr>
        <w:t xml:space="preserve">, le </w:t>
      </w:r>
      <w:r>
        <w:rPr>
          <w:b/>
          <w:noProof/>
        </w:rPr>
        <w:t>programme maritime commun pour la mer Noire</w:t>
      </w:r>
      <w:r>
        <w:rPr>
          <w:b/>
          <w:bCs/>
          <w:noProof/>
          <w:vertAlign w:val="superscript"/>
          <w:lang w:val="en-GB"/>
        </w:rPr>
        <w:footnoteReference w:id="18"/>
      </w:r>
      <w:r>
        <w:rPr>
          <w:noProof/>
        </w:rPr>
        <w:t xml:space="preserve"> le </w:t>
      </w:r>
      <w:r>
        <w:rPr>
          <w:b/>
          <w:noProof/>
        </w:rPr>
        <w:t xml:space="preserve">programme stratégique de recherche et d’innovation </w:t>
      </w:r>
      <w:r>
        <w:rPr>
          <w:noProof/>
        </w:rPr>
        <w:t>(PSRI)</w:t>
      </w:r>
      <w:r>
        <w:rPr>
          <w:noProof/>
          <w:vertAlign w:val="superscript"/>
          <w:lang w:val="en-GB"/>
        </w:rPr>
        <w:footnoteReference w:id="19"/>
      </w:r>
      <w:r>
        <w:rPr>
          <w:noProof/>
        </w:rPr>
        <w:t xml:space="preserve">, le </w:t>
      </w:r>
      <w:r>
        <w:rPr>
          <w:b/>
          <w:noProof/>
        </w:rPr>
        <w:t>programme Interreg NEXT «Bassin de la mer Noire»</w:t>
      </w:r>
      <w:r>
        <w:rPr>
          <w:b/>
          <w:bCs/>
          <w:noProof/>
          <w:vertAlign w:val="superscript"/>
          <w:lang w:val="en-GB"/>
        </w:rPr>
        <w:footnoteReference w:id="20"/>
      </w:r>
      <w:r>
        <w:rPr>
          <w:b/>
          <w:noProof/>
        </w:rPr>
        <w:t xml:space="preserve">, </w:t>
      </w:r>
      <w:r>
        <w:rPr>
          <w:noProof/>
        </w:rPr>
        <w:t xml:space="preserve">et les </w:t>
      </w:r>
      <w:r>
        <w:rPr>
          <w:b/>
          <w:noProof/>
        </w:rPr>
        <w:t>corridors de solidarité UE-Ukraine</w:t>
      </w:r>
      <w:r>
        <w:rPr>
          <w:noProof/>
          <w:vertAlign w:val="superscript"/>
          <w:lang w:val="en-GB"/>
        </w:rPr>
        <w:footnoteReference w:id="21"/>
      </w:r>
      <w:r>
        <w:rPr>
          <w:noProof/>
        </w:rPr>
        <w:t xml:space="preserve">. </w:t>
      </w:r>
    </w:p>
    <w:p w14:paraId="408C759C" w14:textId="77777777" w:rsidR="002177B3" w:rsidRPr="002177B3" w:rsidRDefault="002177B3" w:rsidP="002177B3">
      <w:pPr>
        <w:rPr>
          <w:noProof/>
        </w:rPr>
      </w:pPr>
      <w:r>
        <w:rPr>
          <w:noProof/>
        </w:rPr>
        <w:t xml:space="preserve">Le </w:t>
      </w:r>
      <w:r>
        <w:rPr>
          <w:b/>
          <w:noProof/>
        </w:rPr>
        <w:t>partenariat oriental</w:t>
      </w:r>
      <w:r>
        <w:rPr>
          <w:noProof/>
          <w:vertAlign w:val="superscript"/>
          <w:lang w:val="en-GB"/>
        </w:rPr>
        <w:footnoteReference w:id="22"/>
      </w:r>
      <w:r>
        <w:rPr>
          <w:noProof/>
        </w:rPr>
        <w:t xml:space="preserve">, en particulier, a joué un rôle important dans le soutien à des réformes essentielles, la promotion de la coopération et des investissements, le dialogue avec les jeunes et la société civile, et le resserrement des liens entre l’UE et les partenaires intéressés, ainsi que dans la coopération régionale. La région de la mer Noire occupe une place centrale dans le cadre du partenariat oriental revigoré, qui s’articulera autour d’un programme de connectivité régionale spécifique. </w:t>
      </w:r>
    </w:p>
    <w:p w14:paraId="6788ADCC" w14:textId="0B629CA8" w:rsidR="002177B3" w:rsidRPr="002177B3" w:rsidRDefault="002177B3" w:rsidP="002177B3">
      <w:pPr>
        <w:rPr>
          <w:noProof/>
        </w:rPr>
      </w:pPr>
      <w:r>
        <w:rPr>
          <w:b/>
          <w:noProof/>
        </w:rPr>
        <w:t>«Global Gateway»</w:t>
      </w:r>
      <w:r>
        <w:rPr>
          <w:noProof/>
          <w:vertAlign w:val="superscript"/>
          <w:lang w:val="en-GB"/>
        </w:rPr>
        <w:footnoteReference w:id="23"/>
      </w:r>
      <w:r>
        <w:rPr>
          <w:noProof/>
        </w:rPr>
        <w:t xml:space="preserve">, la stratégie de l’UE visant à promouvoir le développement d’infrastructures durables et de qualité dans le monde, constituera un cadre essentiel pour mobiliser des investissements dans la connectivité et favoriser le renforcement des liens commerciaux entre l’UE et l’ensemble de la région de la mer Noire, conformément à la mise en œuvre de la politique relative aux réseaux transeuropéens. Elle est déjà activement mise en œuvre en Ukraine, en Moldavie, dans le Caucase du Sud et en Asie centrale. La mer Noire sert de connexion cruciale entre l’UE et l’Asie centrale, et joue un rôle central dans l’amélioration de la connectivité et la promotion des échanges commerciaux. Avec la région comme point de mire stratégique, des investissements importants sont actuellement mobilisés pour renforcer les infrastructures de transport ainsi que les infrastructures énergétiques et numériques afin d’améliorer encore les liens transcontinentaux entre l’Europe et l’Asie et la sécurité des chaînes d’approvisionnement mondiales. </w:t>
      </w:r>
    </w:p>
    <w:p w14:paraId="5880003B" w14:textId="77777777" w:rsidR="00BA4CCE" w:rsidRPr="00EA7BD4" w:rsidRDefault="00BA4CCE" w:rsidP="00BA4CCE">
      <w:pPr>
        <w:pStyle w:val="HEADING1"/>
        <w:numPr>
          <w:ilvl w:val="0"/>
          <w:numId w:val="0"/>
        </w:numPr>
        <w:rPr>
          <w:noProof/>
        </w:rPr>
      </w:pPr>
      <w:bookmarkStart w:id="3" w:name="da"/>
      <w:bookmarkEnd w:id="1"/>
      <w:bookmarkEnd w:id="3"/>
      <w:r>
        <w:rPr>
          <w:noProof/>
        </w:rPr>
        <w:t>1. Sécurité, stabilité et résilience</w:t>
      </w:r>
    </w:p>
    <w:p w14:paraId="4195B300" w14:textId="2DDCC064" w:rsidR="00BA4CCE" w:rsidRPr="00EA7BD4" w:rsidRDefault="00BA4CCE" w:rsidP="00BA4CCE">
      <w:pPr>
        <w:pStyle w:val="HEADING1"/>
        <w:numPr>
          <w:ilvl w:val="0"/>
          <w:numId w:val="0"/>
        </w:numPr>
        <w:rPr>
          <w:b w:val="0"/>
          <w:bCs w:val="0"/>
          <w:smallCaps w:val="0"/>
          <w:noProof/>
        </w:rPr>
      </w:pPr>
      <w:r>
        <w:rPr>
          <w:b w:val="0"/>
          <w:smallCaps w:val="0"/>
          <w:noProof/>
        </w:rPr>
        <w:t xml:space="preserve">La sécurité dans la région de la mer Noire et en Europe est étroitement liée à </w:t>
      </w:r>
      <w:r>
        <w:rPr>
          <w:smallCaps w:val="0"/>
          <w:noProof/>
        </w:rPr>
        <w:t>la sécurité de l’Ukraine</w:t>
      </w:r>
      <w:r>
        <w:rPr>
          <w:b w:val="0"/>
          <w:smallCaps w:val="0"/>
          <w:noProof/>
        </w:rPr>
        <w:t xml:space="preserve">. L’UE poursuivra les actions visant à contribuer aux garanties de sécurité en faveur de l’Ukraine, y compris dans le domaine maritime. La sûreté maritime de la mer Noire est essentielle pour rassurer les partenaires régionaux et libérer le potentiel inexploité de cette région. </w:t>
      </w:r>
    </w:p>
    <w:p w14:paraId="2700D022" w14:textId="303D2A3A" w:rsidR="00BA4CCE" w:rsidRPr="00EA7BD4" w:rsidRDefault="00BA4CCE" w:rsidP="00BA4CCE">
      <w:pPr>
        <w:pStyle w:val="HEADING1"/>
        <w:numPr>
          <w:ilvl w:val="0"/>
          <w:numId w:val="0"/>
        </w:numPr>
        <w:rPr>
          <w:noProof/>
        </w:rPr>
      </w:pPr>
      <w:r>
        <w:rPr>
          <w:b w:val="0"/>
          <w:smallCaps w:val="0"/>
          <w:noProof/>
        </w:rPr>
        <w:t>L’UE devrait intensifier, soutenir et coordonner les efforts des États membres et des partenaires visant à renforcer les capacités et les moyens maritimes aux fins de la surveillance maritime, notamment pour la surveillance d’un éventuel cessez-le-feu maritime, les efforts de déminage, la protection des infrastructures critiques, les patrouilles des lignes maritimes commerciales, la lutte contre les menaces hybrides, dans le but de décourager de futures agressions dans la région et, lorsque les conditions le permettront, de consolider la paix.</w:t>
      </w:r>
      <w:r>
        <w:rPr>
          <w:noProof/>
        </w:rPr>
        <w:t xml:space="preserve"> </w:t>
      </w:r>
    </w:p>
    <w:p w14:paraId="653D669D" w14:textId="6ECE0797" w:rsidR="00BA4CCE" w:rsidRPr="00EA7BD4" w:rsidRDefault="00BA4CCE" w:rsidP="00BA4CCE">
      <w:pPr>
        <w:pStyle w:val="HEADING1"/>
        <w:numPr>
          <w:ilvl w:val="0"/>
          <w:numId w:val="0"/>
        </w:numPr>
        <w:rPr>
          <w:b w:val="0"/>
          <w:bCs w:val="0"/>
          <w:smallCaps w:val="0"/>
          <w:noProof/>
        </w:rPr>
      </w:pPr>
      <w:r>
        <w:rPr>
          <w:b w:val="0"/>
          <w:smallCaps w:val="0"/>
          <w:noProof/>
        </w:rPr>
        <w:lastRenderedPageBreak/>
        <w:t>L’UE aidera ses États membres et les pays partenaires de la mer Noire qui partagent les mêmes valeurs à renforcer leur défense et à acquérir les capacités nécessaires pour faire face aux menaces grandissantes et multiformes, notamment au moyen du train de mesures en matière de défense approuvé récemment</w:t>
      </w:r>
      <w:r>
        <w:rPr>
          <w:rStyle w:val="FootnoteReference"/>
          <w:b w:val="0"/>
          <w:bCs w:val="0"/>
          <w:smallCaps w:val="0"/>
          <w:noProof/>
          <w:lang w:val="en-GB"/>
        </w:rPr>
        <w:footnoteReference w:id="24"/>
      </w:r>
      <w:r>
        <w:rPr>
          <w:b w:val="0"/>
          <w:smallCaps w:val="0"/>
          <w:noProof/>
        </w:rPr>
        <w:t xml:space="preserve"> et soutenu par le financement prévu dans le cadre du plan «ReArm Europe» à l’horizon 2030</w:t>
      </w:r>
      <w:r>
        <w:rPr>
          <w:rStyle w:val="FootnoteReference"/>
          <w:b w:val="0"/>
          <w:bCs w:val="0"/>
          <w:smallCaps w:val="0"/>
          <w:noProof/>
          <w:lang w:val="en-GB"/>
        </w:rPr>
        <w:footnoteReference w:id="25"/>
      </w:r>
      <w:r>
        <w:rPr>
          <w:b w:val="0"/>
          <w:smallCaps w:val="0"/>
          <w:noProof/>
        </w:rPr>
        <w:t>. L’intégration de l’industrie ukrainienne de la défense dans la base industrielle et technologique de défense européenne (BITDE) et l’accroissement des investissements dans les nouvelles technologies contribueront au renforcement des capacités maritimes en mer Noire.</w:t>
      </w:r>
    </w:p>
    <w:p w14:paraId="7F969310" w14:textId="5636C54A" w:rsidR="00BA4CCE" w:rsidRPr="002177B3" w:rsidRDefault="00BA4CCE" w:rsidP="00BA4CCE">
      <w:pPr>
        <w:rPr>
          <w:noProof/>
        </w:rPr>
      </w:pPr>
      <w:r>
        <w:rPr>
          <w:noProof/>
        </w:rPr>
        <w:t>L’UE accroît son engagement auprès des pays de la région de la mer Noire par des dialogues en matière de sécurité et de défense, le renforcement des capacités, des actions de déminage, le déploiement de missions relevant de la politique de sécurité et de défense commune (PSDC) de l’UE et la fourniture d’un soutien au titre de la facilité européenne pour la paix (FEP). L’adoption de plusieurs initiatives de sécurité, par exemple la stratégie de sûreté maritime de l’UE révisée</w:t>
      </w:r>
      <w:r>
        <w:rPr>
          <w:rStyle w:val="FootnoteReference"/>
          <w:noProof/>
          <w:lang w:val="en-GB"/>
        </w:rPr>
        <w:footnoteReference w:id="26"/>
      </w:r>
      <w:r>
        <w:rPr>
          <w:rFonts w:ascii="Times New Roman Bold" w:hAnsi="Times New Roman Bold"/>
          <w:noProof/>
        </w:rPr>
        <w:t xml:space="preserve"> </w:t>
      </w:r>
      <w:r>
        <w:rPr>
          <w:noProof/>
        </w:rPr>
        <w:t>ou la lutte contre les menaces hybrides</w:t>
      </w:r>
      <w:r>
        <w:rPr>
          <w:rStyle w:val="FootnoteReference"/>
          <w:rFonts w:eastAsiaTheme="majorEastAsia"/>
          <w:noProof/>
          <w:lang w:val="en-GB"/>
        </w:rPr>
        <w:footnoteReference w:id="27"/>
      </w:r>
      <w:r w:rsidRPr="004F6065">
        <w:rPr>
          <w:rStyle w:val="FootnoteReference"/>
          <w:rFonts w:eastAsiaTheme="majorEastAsia"/>
          <w:noProof/>
          <w:lang w:val="fr-BE"/>
        </w:rPr>
        <w:t xml:space="preserve"> </w:t>
      </w:r>
      <w:r>
        <w:rPr>
          <w:noProof/>
        </w:rPr>
        <w:t>, et le renforcement de la sûreté des infrastructures maritimes critiques</w:t>
      </w:r>
      <w:r>
        <w:rPr>
          <w:rStyle w:val="FootnoteReference"/>
          <w:rFonts w:eastAsiaTheme="majorEastAsia"/>
          <w:noProof/>
          <w:lang w:val="en-GB"/>
        </w:rPr>
        <w:footnoteReference w:id="28"/>
      </w:r>
      <w:r>
        <w:rPr>
          <w:noProof/>
        </w:rPr>
        <w:t xml:space="preserve"> offrent de nouvelles possibilités pour l’amélioration de la sécurité dans la région. Le </w:t>
      </w:r>
      <w:r>
        <w:rPr>
          <w:b/>
          <w:noProof/>
        </w:rPr>
        <w:t>partenariat stratégique de l’UE avec l’OTAN</w:t>
      </w:r>
      <w:r>
        <w:rPr>
          <w:noProof/>
        </w:rPr>
        <w:t xml:space="preserve"> et les formats et domaines de coopération établis au niveau du personnel peuvent être davantage exploités.</w:t>
      </w:r>
    </w:p>
    <w:p w14:paraId="4E94BA95" w14:textId="77777777" w:rsidR="00BA4CCE" w:rsidRPr="002177B3" w:rsidDel="00BF0472" w:rsidRDefault="00BA4CCE" w:rsidP="00BA4CCE">
      <w:pPr>
        <w:pBdr>
          <w:top w:val="single" w:sz="4" w:space="1" w:color="auto"/>
          <w:left w:val="single" w:sz="4" w:space="4" w:color="auto"/>
          <w:bottom w:val="single" w:sz="4" w:space="1" w:color="auto"/>
          <w:right w:val="single" w:sz="4" w:space="4" w:color="auto"/>
        </w:pBdr>
        <w:rPr>
          <w:b/>
          <w:bCs/>
          <w:smallCaps/>
          <w:noProof/>
        </w:rPr>
      </w:pPr>
      <w:r>
        <w:rPr>
          <w:b/>
          <w:smallCaps/>
          <w:noProof/>
        </w:rPr>
        <w:t>Initiative phare 1: sûreté maritime de la mer Noire</w:t>
      </w:r>
    </w:p>
    <w:p w14:paraId="3AC6C404" w14:textId="5D479C76"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00000" w:themeColor="text1"/>
        </w:rPr>
        <w:t>À court terme et de manière prioritaire en raison de la guerre d’agression menée par la Russie, la Commission et la haute représentante proposent de mettre en place une</w:t>
      </w:r>
      <w:r>
        <w:rPr>
          <w:noProof/>
          <w:color w:val="0D0D0D" w:themeColor="text1" w:themeTint="F2"/>
        </w:rPr>
        <w:t xml:space="preserve"> </w:t>
      </w:r>
      <w:r>
        <w:rPr>
          <w:b/>
          <w:noProof/>
          <w:color w:val="0D0D0D" w:themeColor="text1" w:themeTint="F2"/>
        </w:rPr>
        <w:t>plateforme pour la sûreté maritime de la mer Noire</w:t>
      </w:r>
      <w:r>
        <w:rPr>
          <w:noProof/>
          <w:color w:val="0D0D0D" w:themeColor="text1" w:themeTint="F2"/>
        </w:rPr>
        <w:t>, en s’appuyant sur les contributions de l’UE et des États de la mer Noire pour renforcer la sécurité et la sûreté</w:t>
      </w:r>
      <w:r w:rsidR="00562F05">
        <w:rPr>
          <w:noProof/>
          <w:color w:val="0D0D0D" w:themeColor="text1" w:themeTint="F2"/>
        </w:rPr>
        <w:t xml:space="preserve"> </w:t>
      </w:r>
      <w:r>
        <w:rPr>
          <w:noProof/>
          <w:color w:val="0D0D0D" w:themeColor="text1" w:themeTint="F2"/>
        </w:rPr>
        <w:t xml:space="preserve">et protéger les infrastructures maritimes critiques ainsi que le milieu marin. </w:t>
      </w:r>
    </w:p>
    <w:p w14:paraId="765A97C7" w14:textId="58E5CED4" w:rsidR="00BA4CCE" w:rsidRPr="00A47D8B"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La plateforme améliorera l’appréciation de la situation maritime et le partage d’informations sur la mer Noire, la surveillance en temps réel depuis l’espace jusqu’aux fonds marins</w:t>
      </w:r>
      <w:r w:rsidR="00562F05">
        <w:rPr>
          <w:noProof/>
          <w:color w:val="0D0D0D" w:themeColor="text1" w:themeTint="F2"/>
        </w:rPr>
        <w:t xml:space="preserve"> </w:t>
      </w:r>
      <w:r>
        <w:rPr>
          <w:noProof/>
          <w:color w:val="0D0D0D" w:themeColor="text1" w:themeTint="F2"/>
        </w:rPr>
        <w:t>et l’alerte précoce en cas de menaces potentielles et d’activités malveillantes. Elle comprendra les services suivants:</w:t>
      </w:r>
    </w:p>
    <w:p w14:paraId="0C7DB4B1" w14:textId="00DA8B97"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échange d’informations en temps réel sur la situation en matière de sécurité, grâce à des systèmes plus intégrés et interopérables, notamment par l’intermédiaire de l’Agence européenne pour la sécurité maritime, et en mettant en place des plateformes de partage d’informations de l’UE ainsi qu’en fournissant, dans la mesure du possible, des services des agences de l’UE à l’Ukraine et aux États littoraux partageant les mêmes valeurs;</w:t>
      </w:r>
    </w:p>
    <w:p w14:paraId="4D89A678" w14:textId="3D831E72" w:rsidR="00BA4CCE" w:rsidRPr="002177B3"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xml:space="preserve">- surveillance des infrastructures maritimes critiques, notamment des câbles sous-marins, des installations en mer, des opérations gazières et éoliennes au large des côtes roumaines et bulgares, et des capacités maritimes connexes, en utilisant des technologies existantes et nouvelles telles que les capteurs sous-marins, les navires sans pilote/téléguidés et les programmes de surveillance par drone (aériens, de surface, sous-marins). </w:t>
      </w:r>
      <w:r w:rsidR="000D433D">
        <w:rPr>
          <w:noProof/>
          <w:color w:val="0D0D0D" w:themeColor="text1" w:themeTint="F2"/>
        </w:rPr>
        <w:t>Cette surveillance</w:t>
      </w:r>
      <w:r>
        <w:rPr>
          <w:noProof/>
          <w:color w:val="0D0D0D" w:themeColor="text1" w:themeTint="F2"/>
        </w:rPr>
        <w:t xml:space="preserve"> permettra, le cas échéant, de prendre des mesures préventives</w:t>
      </w:r>
      <w:r w:rsidR="000D433D">
        <w:rPr>
          <w:noProof/>
          <w:color w:val="0D0D0D" w:themeColor="text1" w:themeTint="F2"/>
        </w:rPr>
        <w:t>;</w:t>
      </w:r>
    </w:p>
    <w:p w14:paraId="34C41DF7" w14:textId="2FE4E5BE" w:rsidR="00BA4CCE" w:rsidRPr="00EA7BD4" w:rsidRDefault="00BA4CCE"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lastRenderedPageBreak/>
        <w:t>- contribution aux décisions relatives à l’activation, à l’accélération ou à l’adaptation de projets de coopération en cours et prévus (y compris dans le cadre de la CSP</w:t>
      </w:r>
      <w:r>
        <w:rPr>
          <w:rStyle w:val="FootnoteReference"/>
          <w:noProof/>
        </w:rPr>
        <w:footnoteReference w:id="29"/>
      </w:r>
      <w:r>
        <w:rPr>
          <w:noProof/>
          <w:color w:val="0D0D0D" w:themeColor="text1" w:themeTint="F2"/>
        </w:rPr>
        <w:t xml:space="preserve"> et du FED</w:t>
      </w:r>
      <w:r>
        <w:rPr>
          <w:rStyle w:val="FootnoteReference"/>
          <w:noProof/>
        </w:rPr>
        <w:footnoteReference w:id="30"/>
      </w:r>
      <w:r>
        <w:rPr>
          <w:noProof/>
          <w:color w:val="0D0D0D" w:themeColor="text1" w:themeTint="F2"/>
        </w:rPr>
        <w:t>) qui soutiennent les travaux visant à développer des moyens et/ou des capacités maritimes pour surveiller et protéger les infrastructures maritimes critiques, notamment en soutenant les moyens et services fondés sur l’observation et les télécommunications par satellite. Elle mettra à profit les capacités offertes par le programme spatial de l’UE, en particulier le service Copernicus de surveillance maritime</w:t>
      </w:r>
      <w:r>
        <w:rPr>
          <w:rStyle w:val="FootnoteReference"/>
          <w:noProof/>
          <w:lang w:val="en-GB"/>
        </w:rPr>
        <w:footnoteReference w:id="31"/>
      </w:r>
      <w:r w:rsidR="000D433D">
        <w:rPr>
          <w:noProof/>
          <w:color w:val="0D0D0D" w:themeColor="text1" w:themeTint="F2"/>
        </w:rPr>
        <w:t>;</w:t>
      </w:r>
    </w:p>
    <w:p w14:paraId="62BE546F" w14:textId="343938C3" w:rsidR="00BA4CCE" w:rsidRPr="001833D8" w:rsidRDefault="00BA4CCE" w:rsidP="00BA4CCE">
      <w:pPr>
        <w:pBdr>
          <w:top w:val="single" w:sz="4" w:space="1" w:color="auto"/>
          <w:left w:val="single" w:sz="4" w:space="4" w:color="auto"/>
          <w:bottom w:val="single" w:sz="4" w:space="1" w:color="auto"/>
          <w:right w:val="single" w:sz="4" w:space="4" w:color="auto"/>
        </w:pBdr>
        <w:rPr>
          <w:noProof/>
        </w:rPr>
      </w:pPr>
      <w:r>
        <w:rPr>
          <w:noProof/>
          <w:color w:val="0D0D0D" w:themeColor="text1" w:themeTint="F2"/>
        </w:rPr>
        <w:t xml:space="preserve">- un mécanisme </w:t>
      </w:r>
      <w:r>
        <w:rPr>
          <w:b/>
          <w:noProof/>
        </w:rPr>
        <w:t>d’élargissement de la coopération des garde-côtes dans le bassin de la mer Noire, sur le modèle des mécanismes existants</w:t>
      </w:r>
      <w:r>
        <w:rPr>
          <w:rStyle w:val="FootnoteReference"/>
          <w:noProof/>
          <w:lang w:val="en-GB"/>
        </w:rPr>
        <w:footnoteReference w:id="32"/>
      </w:r>
      <w:r w:rsidR="000D433D" w:rsidRPr="000D433D">
        <w:rPr>
          <w:bCs/>
          <w:noProof/>
        </w:rPr>
        <w:t>;</w:t>
      </w:r>
    </w:p>
    <w:p w14:paraId="3ABA2002" w14:textId="3286ADA9" w:rsidR="00BA4CCE" w:rsidRPr="00EA7BD4" w:rsidDel="00BF0472" w:rsidRDefault="008121F9" w:rsidP="00BA4CCE">
      <w:pPr>
        <w:pBdr>
          <w:top w:val="single" w:sz="4" w:space="1" w:color="auto"/>
          <w:left w:val="single" w:sz="4" w:space="4" w:color="auto"/>
          <w:bottom w:val="single" w:sz="4" w:space="1" w:color="auto"/>
          <w:right w:val="single" w:sz="4" w:space="4" w:color="auto"/>
        </w:pBdr>
        <w:rPr>
          <w:noProof/>
          <w:color w:val="0D0D0D" w:themeColor="text1" w:themeTint="F2"/>
        </w:rPr>
      </w:pPr>
      <w:r>
        <w:rPr>
          <w:noProof/>
          <w:color w:val="0D0D0D" w:themeColor="text1" w:themeTint="F2"/>
        </w:rPr>
        <w:t xml:space="preserve">D’ici la fin de l’été, </w:t>
      </w:r>
      <w:bookmarkStart w:id="4" w:name="_Hlk199178531"/>
      <w:r>
        <w:rPr>
          <w:noProof/>
          <w:color w:val="0D0D0D" w:themeColor="text1" w:themeTint="F2"/>
        </w:rPr>
        <w:t>la Commission et la haute représentante répertorieront les besoins spécifiques</w:t>
      </w:r>
      <w:bookmarkEnd w:id="4"/>
      <w:r>
        <w:rPr>
          <w:noProof/>
          <w:color w:val="0D0D0D" w:themeColor="text1" w:themeTint="F2"/>
        </w:rPr>
        <w:t xml:space="preserve"> et présenteront des options opérationnelles, notamment en ce qui concerne les outils de la PESC et de la PSDC et la stratégie de sûreté maritime de l’UE</w:t>
      </w:r>
      <w:r>
        <w:rPr>
          <w:rStyle w:val="FootnoteReference"/>
          <w:noProof/>
          <w:color w:val="0D0D0D" w:themeColor="text1" w:themeTint="F2"/>
          <w:lang w:val="en-GB"/>
        </w:rPr>
        <w:footnoteReference w:id="33"/>
      </w:r>
      <w:r>
        <w:rPr>
          <w:noProof/>
          <w:color w:val="0D0D0D" w:themeColor="text1" w:themeTint="F2"/>
        </w:rPr>
        <w:t>.</w:t>
      </w:r>
    </w:p>
    <w:p w14:paraId="116AC5F8" w14:textId="30B227E7" w:rsidR="00BA4CCE" w:rsidRPr="00EA7BD4" w:rsidRDefault="00BA4CCE" w:rsidP="00BA4CCE">
      <w:pPr>
        <w:pStyle w:val="Heading2"/>
        <w:rPr>
          <w:noProof/>
        </w:rPr>
      </w:pPr>
      <w:r>
        <w:rPr>
          <w:noProof/>
        </w:rPr>
        <w:t>1.1</w:t>
      </w:r>
      <w:r>
        <w:rPr>
          <w:noProof/>
        </w:rPr>
        <w:tab/>
        <w:t>Soutenir la coopération régionale en matière de déminage et de sûreté, de défense et de sécurité maritimes</w:t>
      </w:r>
    </w:p>
    <w:p w14:paraId="48397B62" w14:textId="293E77D6" w:rsidR="00BA4CCE" w:rsidRPr="002177B3" w:rsidRDefault="00BA4CCE" w:rsidP="00BA4CCE">
      <w:pPr>
        <w:spacing w:after="120"/>
        <w:rPr>
          <w:noProof/>
        </w:rPr>
      </w:pPr>
      <w:r>
        <w:rPr>
          <w:noProof/>
        </w:rPr>
        <w:t xml:space="preserve">Le principal défi en mer Noire est le danger que représentent les zones minées dans les eaux des États riverains, les mines dérivantes et les autres munitions non explosées (MNE), qui font peser de graves risques sur la sûreté maritime, la sécurité, les activités de l’économie bleue et l’environnement marin. En s’appuyant sur l’initiative trilatérale existante en matière de déminage menée en mer Noire par la Bulgarie, la Roumanie et la Turquie, et en coordination avec celle-ci, </w:t>
      </w:r>
      <w:r>
        <w:rPr>
          <w:b/>
          <w:noProof/>
        </w:rPr>
        <w:t>l’UE s’emploiera à faire des côtes de la mer Noire et de la région une zone sans mines, une condition essentielle au développement de corridors de transport facilitant les échanges commerciaux</w:t>
      </w:r>
      <w:r>
        <w:rPr>
          <w:noProof/>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6CACE476" w14:textId="77777777" w:rsidTr="00761186">
        <w:tc>
          <w:tcPr>
            <w:tcW w:w="9628" w:type="dxa"/>
            <w:shd w:val="clear" w:color="auto" w:fill="D9D9D9" w:themeFill="background1" w:themeFillShade="D9"/>
          </w:tcPr>
          <w:p w14:paraId="603F3298" w14:textId="77777777" w:rsidR="00BA4CCE" w:rsidRPr="002177B3" w:rsidRDefault="00BA4CCE" w:rsidP="00761186">
            <w:pPr>
              <w:spacing w:after="0"/>
              <w:rPr>
                <w:noProof/>
              </w:rPr>
            </w:pPr>
            <w:r>
              <w:rPr>
                <w:b/>
                <w:noProof/>
              </w:rPr>
              <w:t>Les actions clés</w:t>
            </w:r>
            <w:r>
              <w:rPr>
                <w:noProof/>
              </w:rPr>
              <w:t xml:space="preserve"> consistent notamment à: </w:t>
            </w:r>
          </w:p>
          <w:p w14:paraId="7384E2CF" w14:textId="045768D3" w:rsidR="00BA4CCE" w:rsidRPr="002A1BFF" w:rsidRDefault="00BA4CCE" w:rsidP="00761186">
            <w:pPr>
              <w:pStyle w:val="ListParagraph"/>
              <w:numPr>
                <w:ilvl w:val="0"/>
                <w:numId w:val="9"/>
              </w:numPr>
              <w:spacing w:after="0"/>
              <w:ind w:left="709"/>
              <w:rPr>
                <w:noProof/>
              </w:rPr>
            </w:pPr>
            <w:bookmarkStart w:id="5" w:name="_Hlk198791623"/>
            <w:r>
              <w:rPr>
                <w:noProof/>
              </w:rPr>
              <w:t xml:space="preserve">engager et rechercher des synergies dans le domaine du </w:t>
            </w:r>
            <w:r>
              <w:rPr>
                <w:b/>
                <w:noProof/>
              </w:rPr>
              <w:t>déminage</w:t>
            </w:r>
            <w:r>
              <w:rPr>
                <w:noProof/>
              </w:rPr>
              <w:t xml:space="preserve"> avec des pays et organisations partenaires de la région qui partagent les mêmes valeurs, dans une perspective à long terme; </w:t>
            </w:r>
          </w:p>
          <w:p w14:paraId="4BFE0720" w14:textId="285D0B98" w:rsidR="00BA4CCE" w:rsidRPr="002A1BFF" w:rsidRDefault="004210FA" w:rsidP="00761186">
            <w:pPr>
              <w:pStyle w:val="ListParagraph"/>
              <w:numPr>
                <w:ilvl w:val="0"/>
                <w:numId w:val="9"/>
              </w:numPr>
              <w:spacing w:after="0"/>
              <w:ind w:left="709"/>
              <w:rPr>
                <w:noProof/>
              </w:rPr>
            </w:pPr>
            <w:r>
              <w:rPr>
                <w:noProof/>
              </w:rPr>
              <w:t xml:space="preserve">utiliser les programmes et projets de l’UE relevant du Fonds européen pour les affaires maritimes, la pêche et l’aquaculture (Feampa), d’HORIZON et d’Interreg pour cartographier et évaluer l’état des </w:t>
            </w:r>
            <w:r>
              <w:rPr>
                <w:b/>
                <w:noProof/>
              </w:rPr>
              <w:t>MNE</w:t>
            </w:r>
            <w:r>
              <w:rPr>
                <w:noProof/>
              </w:rPr>
              <w:t>;</w:t>
            </w:r>
          </w:p>
          <w:p w14:paraId="58D90574" w14:textId="38B515A3" w:rsidR="00F613FA" w:rsidRPr="000D35A6" w:rsidRDefault="00F613FA" w:rsidP="00F613FA">
            <w:pPr>
              <w:pStyle w:val="ListParagraph"/>
              <w:numPr>
                <w:ilvl w:val="0"/>
                <w:numId w:val="9"/>
              </w:numPr>
              <w:spacing w:before="0" w:after="0"/>
              <w:ind w:left="709"/>
              <w:rPr>
                <w:noProof/>
              </w:rPr>
            </w:pPr>
            <w:bookmarkStart w:id="6" w:name="_Hlk198980602"/>
            <w:r>
              <w:rPr>
                <w:b/>
                <w:noProof/>
              </w:rPr>
              <w:t>mettre à profit l’instrument SAFE et le programme pour l’industrie européenne de la défense (EDIP)</w:t>
            </w:r>
            <w:r>
              <w:rPr>
                <w:noProof/>
              </w:rPr>
              <w:t xml:space="preserve"> afin de créer des possibilités de collaboration en vue d’investissements dans de nouvelles technologies de défense;</w:t>
            </w:r>
          </w:p>
          <w:bookmarkEnd w:id="6"/>
          <w:p w14:paraId="6B642E10" w14:textId="03A81A5B" w:rsidR="00BA4CCE" w:rsidRPr="002177B3" w:rsidRDefault="00BA4CCE" w:rsidP="00761186">
            <w:pPr>
              <w:pStyle w:val="ListParagraph"/>
              <w:numPr>
                <w:ilvl w:val="0"/>
                <w:numId w:val="9"/>
              </w:numPr>
              <w:spacing w:after="0"/>
              <w:ind w:left="709"/>
              <w:rPr>
                <w:noProof/>
              </w:rPr>
            </w:pPr>
            <w:r>
              <w:rPr>
                <w:noProof/>
              </w:rPr>
              <w:t xml:space="preserve">gérer les risques concrets pour la sûreté maritime et l’environnement en mer Noire posés par la </w:t>
            </w:r>
            <w:r>
              <w:rPr>
                <w:b/>
                <w:noProof/>
              </w:rPr>
              <w:t>flotte fantôme</w:t>
            </w:r>
            <w:r>
              <w:rPr>
                <w:noProof/>
              </w:rPr>
              <w:t xml:space="preserve"> utilisée par la Russie; </w:t>
            </w:r>
            <w:bookmarkEnd w:id="5"/>
          </w:p>
          <w:p w14:paraId="7D481B0A" w14:textId="66D847D7" w:rsidR="00BA4CCE" w:rsidRPr="002177B3" w:rsidRDefault="00BA4CCE" w:rsidP="00761186">
            <w:pPr>
              <w:pStyle w:val="ListParagraph"/>
              <w:numPr>
                <w:ilvl w:val="0"/>
                <w:numId w:val="9"/>
              </w:numPr>
              <w:spacing w:after="0"/>
              <w:ind w:left="709"/>
              <w:rPr>
                <w:noProof/>
              </w:rPr>
            </w:pPr>
            <w:r>
              <w:rPr>
                <w:b/>
                <w:noProof/>
              </w:rPr>
              <w:t>chercher à établir des partenariats avec le secteur privé et le secteur du transport maritime</w:t>
            </w:r>
            <w:r>
              <w:rPr>
                <w:noProof/>
              </w:rPr>
              <w:t xml:space="preserve"> en vue de l’élaboration de </w:t>
            </w:r>
            <w:r w:rsidR="005045D9">
              <w:rPr>
                <w:noProof/>
              </w:rPr>
              <w:t>bonnes</w:t>
            </w:r>
            <w:r>
              <w:rPr>
                <w:noProof/>
              </w:rPr>
              <w:t xml:space="preserve"> pratiques pour prévenir les incidents et assurer la protection et la résilience des infrastructures sous-marines critiques;</w:t>
            </w:r>
          </w:p>
          <w:p w14:paraId="524238F5" w14:textId="46F22384" w:rsidR="00BA4CCE" w:rsidRPr="002177B3" w:rsidRDefault="004210FA" w:rsidP="00761186">
            <w:pPr>
              <w:pStyle w:val="ListParagraph"/>
              <w:numPr>
                <w:ilvl w:val="0"/>
                <w:numId w:val="9"/>
              </w:numPr>
              <w:spacing w:after="0"/>
              <w:ind w:left="709"/>
              <w:rPr>
                <w:noProof/>
              </w:rPr>
            </w:pPr>
            <w:r>
              <w:rPr>
                <w:b/>
                <w:noProof/>
              </w:rPr>
              <w:t>mise en œuvre intégrale du code international pour la sûreté des navires et des installations portuaires</w:t>
            </w:r>
            <w:r>
              <w:rPr>
                <w:rStyle w:val="FootnoteReference"/>
                <w:noProof/>
                <w:lang w:val="en-GB"/>
              </w:rPr>
              <w:footnoteReference w:id="34"/>
            </w:r>
            <w:r>
              <w:rPr>
                <w:noProof/>
              </w:rPr>
              <w:t xml:space="preserve"> (ISPS) et de l’acquis de l’UE en matière de sûreté maritime dans l’ensemble des États membres de l’UE et des pays candidats; </w:t>
            </w:r>
          </w:p>
          <w:p w14:paraId="518FDF40" w14:textId="72A5543D" w:rsidR="00BA4CCE" w:rsidRPr="002177B3" w:rsidRDefault="00BA4CCE" w:rsidP="00761186">
            <w:pPr>
              <w:pStyle w:val="ListParagraph"/>
              <w:numPr>
                <w:ilvl w:val="0"/>
                <w:numId w:val="9"/>
              </w:numPr>
              <w:spacing w:after="0"/>
              <w:ind w:left="709"/>
              <w:rPr>
                <w:bCs/>
                <w:noProof/>
              </w:rPr>
            </w:pPr>
            <w:r>
              <w:rPr>
                <w:b/>
                <w:noProof/>
              </w:rPr>
              <w:lastRenderedPageBreak/>
              <w:t>maintien des contacts et du dialogue avec les pays tiers concernés</w:t>
            </w:r>
            <w:r>
              <w:rPr>
                <w:noProof/>
              </w:rPr>
              <w:t xml:space="preserve"> et collaboration avec les partenaires internationaux, notamment l’Organisation maritime internationale (OMI), afin d’établir et de faire respecter des normes strictes en matière de sûreté et de sécurité maritimes.</w:t>
            </w:r>
          </w:p>
          <w:p w14:paraId="177488B2" w14:textId="77777777" w:rsidR="00BA4CCE" w:rsidRPr="004F6065" w:rsidRDefault="00BA4CCE" w:rsidP="00761186">
            <w:pPr>
              <w:pStyle w:val="ListParagraph"/>
              <w:spacing w:after="0"/>
              <w:ind w:left="851"/>
              <w:rPr>
                <w:noProof/>
                <w:lang w:val="fr-BE"/>
              </w:rPr>
            </w:pPr>
          </w:p>
        </w:tc>
      </w:tr>
    </w:tbl>
    <w:p w14:paraId="3FC56DDD" w14:textId="77777777" w:rsidR="00BA4CCE" w:rsidRPr="004F6065" w:rsidRDefault="00BA4CCE" w:rsidP="00BA4CCE">
      <w:pPr>
        <w:spacing w:after="120"/>
        <w:rPr>
          <w:b/>
          <w:noProof/>
          <w:lang w:val="fr-BE"/>
        </w:rPr>
      </w:pPr>
    </w:p>
    <w:p w14:paraId="14149FD0" w14:textId="77777777" w:rsidR="00BA4CCE" w:rsidRPr="002177B3" w:rsidRDefault="00BA4CCE" w:rsidP="00BA4CCE">
      <w:pPr>
        <w:keepNext/>
        <w:rPr>
          <w:b/>
          <w:noProof/>
        </w:rPr>
      </w:pPr>
      <w:r>
        <w:rPr>
          <w:b/>
          <w:noProof/>
        </w:rPr>
        <w:t>1.2</w:t>
      </w:r>
      <w:r>
        <w:rPr>
          <w:noProof/>
        </w:rPr>
        <w:tab/>
      </w:r>
      <w:r>
        <w:rPr>
          <w:b/>
          <w:noProof/>
        </w:rPr>
        <w:t>Améliorer la mobilité militaire et les infrastructures à double usage</w:t>
      </w:r>
    </w:p>
    <w:p w14:paraId="7643B0F2" w14:textId="002F075A" w:rsidR="00BA4CCE" w:rsidRPr="002177B3" w:rsidRDefault="00BA4CCE" w:rsidP="00BA4CCE">
      <w:pPr>
        <w:spacing w:before="240"/>
        <w:rPr>
          <w:b/>
          <w:noProof/>
        </w:rPr>
      </w:pPr>
      <w:r>
        <w:rPr>
          <w:noProof/>
        </w:rPr>
        <w:t xml:space="preserve">Un volet essentiel de l’action est lié à la nécessité d’accroître la mobilité militaire dans et autour de la mer Noire, et de faciliter les projets d’infrastructures à double usage dans les États membres de l’UE, en y associant également les pays voisins, dans les domaines terrestre, maritime et aérien. </w:t>
      </w:r>
      <w:r>
        <w:rPr>
          <w:b/>
          <w:noProof/>
        </w:rPr>
        <w:t>L’amélioration de la mobilité militaire</w:t>
      </w:r>
      <w:r>
        <w:rPr>
          <w:noProof/>
        </w:rPr>
        <w:t xml:space="preserve"> dans la région, tout en apportant une nette valeur ajoutée à la sécurité de l’UE, offrira également </w:t>
      </w:r>
      <w:r>
        <w:rPr>
          <w:b/>
          <w:noProof/>
        </w:rPr>
        <w:t>d’autres avantages pour la sécurité de l’UE ainsi que pour la sécurité et la reconstruction de l’Ukraine</w:t>
      </w:r>
      <w:r>
        <w:rPr>
          <w:noProof/>
        </w:rPr>
        <w:t>.</w:t>
      </w:r>
    </w:p>
    <w:p w14:paraId="1DE83192" w14:textId="77777777" w:rsidR="00BA4CCE" w:rsidRPr="002177B3" w:rsidRDefault="00BA4CCE" w:rsidP="00BA4CCE">
      <w:pPr>
        <w:spacing w:before="240"/>
        <w:rPr>
          <w:rFonts w:eastAsiaTheme="minorEastAsia"/>
          <w:noProof/>
        </w:rPr>
      </w:pPr>
      <w:r>
        <w:rPr>
          <w:noProof/>
        </w:rPr>
        <w:t>Au cœur de la mobilité militaire figure la nécessité de moderniser d’urgence les infrastructures de transport à double usage tout au long du réseau de mobilité militaire existant – qui comprend des itinéraires de transport multimodaux reliés par des plateformes logistiques – afin qu’elles soient capables de supporter des mouvements militaires potentiellement lourds et de grande envergure. Les ports d’embarquement et de débarquement de l’UE situés en mer Noire et sur le Danube, ainsi que les infrastructures ferroviaires et routières qui les relient, sont essentiels pour permettre la mobilité militaire. La capacité de déplacer rapidement des équipements militaires et des troupes vers l’Ukraine constituera une garantie de sécurité supplémentaire pour décourager toute agression future.</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2D133CE8" w14:textId="77777777" w:rsidTr="00761186">
        <w:tc>
          <w:tcPr>
            <w:tcW w:w="9628" w:type="dxa"/>
            <w:shd w:val="clear" w:color="auto" w:fill="D9D9D9" w:themeFill="background1" w:themeFillShade="D9"/>
          </w:tcPr>
          <w:p w14:paraId="6FC2790A" w14:textId="77777777" w:rsidR="00BA4CCE" w:rsidRPr="002177B3" w:rsidRDefault="00BA4CCE" w:rsidP="008B0A03">
            <w:pPr>
              <w:keepNext/>
              <w:spacing w:after="120"/>
              <w:rPr>
                <w:noProof/>
              </w:rPr>
            </w:pPr>
            <w:r>
              <w:rPr>
                <w:b/>
                <w:noProof/>
              </w:rPr>
              <w:t>Les actions clés</w:t>
            </w:r>
            <w:r>
              <w:rPr>
                <w:noProof/>
              </w:rPr>
              <w:t xml:space="preserve"> consistent notamment à:</w:t>
            </w:r>
          </w:p>
          <w:p w14:paraId="12AA6E05" w14:textId="487B3CDB" w:rsidR="00BA4CCE" w:rsidRPr="002177B3" w:rsidRDefault="00BA4CCE" w:rsidP="008B0A03">
            <w:pPr>
              <w:pStyle w:val="ListParagraph"/>
              <w:keepNext/>
              <w:numPr>
                <w:ilvl w:val="0"/>
                <w:numId w:val="9"/>
              </w:numPr>
              <w:spacing w:after="0"/>
              <w:ind w:left="709"/>
              <w:rPr>
                <w:noProof/>
              </w:rPr>
            </w:pPr>
            <w:r>
              <w:rPr>
                <w:b/>
                <w:noProof/>
              </w:rPr>
              <w:t xml:space="preserve">moderniser les infrastructures de transport </w:t>
            </w:r>
            <w:r>
              <w:rPr>
                <w:noProof/>
              </w:rPr>
              <w:t>afin qu’elles soient prêtes pour un double usage;</w:t>
            </w:r>
          </w:p>
          <w:p w14:paraId="2F4B732F" w14:textId="77777777" w:rsidR="00BA4CCE" w:rsidRDefault="00BA4CCE" w:rsidP="008B0A03">
            <w:pPr>
              <w:pStyle w:val="ListParagraph"/>
              <w:keepNext/>
              <w:numPr>
                <w:ilvl w:val="0"/>
                <w:numId w:val="9"/>
              </w:numPr>
              <w:spacing w:after="0"/>
              <w:ind w:left="709"/>
              <w:rPr>
                <w:noProof/>
              </w:rPr>
            </w:pPr>
            <w:r>
              <w:rPr>
                <w:b/>
                <w:noProof/>
              </w:rPr>
              <w:t>équiper un nombre suffisant de ports maritimes et fluviaux et d’aéroports de la région,</w:t>
            </w:r>
            <w:r>
              <w:rPr>
                <w:noProof/>
              </w:rPr>
              <w:t xml:space="preserve"> en particulier sur les</w:t>
            </w:r>
            <w:r>
              <w:rPr>
                <w:b/>
                <w:noProof/>
              </w:rPr>
              <w:t xml:space="preserve"> corridors de mobilité militaire</w:t>
            </w:r>
            <w:r>
              <w:rPr>
                <w:noProof/>
              </w:rPr>
              <w:t>, des infrastructures spécialisées nécessaires pour charger/décharger des équipements et du matériel militaires surdimensionnés et extrêmement lourds, et prévoir un espace de stockage suffisant pour permettre un acheminement intérieur aisé des cargaisons;</w:t>
            </w:r>
          </w:p>
          <w:p w14:paraId="4AE2F300" w14:textId="415CF80E" w:rsidR="0005169B" w:rsidRPr="0005169B" w:rsidRDefault="00264208" w:rsidP="008B0A03">
            <w:pPr>
              <w:pStyle w:val="ListParagraph"/>
              <w:keepNext/>
              <w:numPr>
                <w:ilvl w:val="0"/>
                <w:numId w:val="9"/>
              </w:numPr>
              <w:spacing w:after="0"/>
              <w:ind w:left="709"/>
              <w:rPr>
                <w:noProof/>
              </w:rPr>
            </w:pPr>
            <w:r>
              <w:rPr>
                <w:b/>
                <w:noProof/>
              </w:rPr>
              <w:t>protéger l</w:t>
            </w:r>
            <w:r w:rsidR="0005169B">
              <w:rPr>
                <w:b/>
                <w:noProof/>
              </w:rPr>
              <w:t>es infrastructures critiques</w:t>
            </w:r>
            <w:r w:rsidR="0005169B">
              <w:rPr>
                <w:noProof/>
              </w:rPr>
              <w:t xml:space="preserve">, y compris </w:t>
            </w:r>
            <w:r>
              <w:rPr>
                <w:noProof/>
              </w:rPr>
              <w:t>l</w:t>
            </w:r>
            <w:r w:rsidR="0005169B">
              <w:rPr>
                <w:noProof/>
              </w:rPr>
              <w:t xml:space="preserve">es corridors de mobilité militaire et </w:t>
            </w:r>
            <w:r>
              <w:rPr>
                <w:noProof/>
              </w:rPr>
              <w:t>l</w:t>
            </w:r>
            <w:r w:rsidR="0005169B">
              <w:rPr>
                <w:noProof/>
              </w:rPr>
              <w:t>es plateformes économiques et énergétiques;</w:t>
            </w:r>
          </w:p>
          <w:p w14:paraId="7C8EA2D8" w14:textId="46612778" w:rsidR="00BA4CCE" w:rsidRPr="002177B3" w:rsidRDefault="007604E7" w:rsidP="00761186">
            <w:pPr>
              <w:pStyle w:val="ListParagraph"/>
              <w:numPr>
                <w:ilvl w:val="0"/>
                <w:numId w:val="9"/>
              </w:numPr>
              <w:spacing w:after="0"/>
              <w:ind w:left="709"/>
              <w:rPr>
                <w:noProof/>
              </w:rPr>
            </w:pPr>
            <w:r>
              <w:rPr>
                <w:noProof/>
              </w:rPr>
              <w:t xml:space="preserve">en collaboration avec les partenaires, œuvrer à l’élaboration de mécanismes permettant de garantir la transparence et la fiabilité </w:t>
            </w:r>
            <w:r>
              <w:rPr>
                <w:b/>
                <w:noProof/>
              </w:rPr>
              <w:t>de la propriété et de la gestion</w:t>
            </w:r>
            <w:r>
              <w:rPr>
                <w:noProof/>
              </w:rPr>
              <w:t xml:space="preserve"> des ports et des infrastructures maritimes critiques, notamment par la mise en œuvre du mécanisme de filtrage des investissements directs étrangers</w:t>
            </w:r>
            <w:r>
              <w:rPr>
                <w:rStyle w:val="FootnoteReference"/>
                <w:noProof/>
              </w:rPr>
              <w:footnoteReference w:id="35"/>
            </w:r>
            <w:r>
              <w:rPr>
                <w:noProof/>
              </w:rPr>
              <w:t xml:space="preserve"> dans l’UE. </w:t>
            </w:r>
          </w:p>
          <w:p w14:paraId="070A3155" w14:textId="77777777" w:rsidR="00BA4CCE" w:rsidRPr="004F6065" w:rsidRDefault="00BA4CCE" w:rsidP="00761186">
            <w:pPr>
              <w:pStyle w:val="ListParagraph"/>
              <w:spacing w:after="0"/>
              <w:ind w:left="709"/>
              <w:rPr>
                <w:noProof/>
                <w:lang w:val="fr-BE"/>
              </w:rPr>
            </w:pPr>
          </w:p>
        </w:tc>
      </w:tr>
    </w:tbl>
    <w:p w14:paraId="56145E81" w14:textId="77777777" w:rsidR="00BA4CCE" w:rsidRPr="004F6065" w:rsidRDefault="00BA4CCE" w:rsidP="00BA4CCE">
      <w:pPr>
        <w:rPr>
          <w:b/>
          <w:bCs/>
          <w:noProof/>
          <w:lang w:val="fr-BE"/>
        </w:rPr>
      </w:pPr>
    </w:p>
    <w:p w14:paraId="667A6CFA" w14:textId="77777777" w:rsidR="00BA4CCE" w:rsidRPr="002177B3" w:rsidRDefault="00BA4CCE" w:rsidP="001833D8">
      <w:pPr>
        <w:keepNext/>
        <w:keepLines/>
        <w:rPr>
          <w:noProof/>
        </w:rPr>
      </w:pPr>
      <w:r>
        <w:rPr>
          <w:b/>
          <w:noProof/>
        </w:rPr>
        <w:t>1.3</w:t>
      </w:r>
      <w:r>
        <w:rPr>
          <w:noProof/>
        </w:rPr>
        <w:tab/>
      </w:r>
      <w:bookmarkStart w:id="7" w:name="_Hlk198113857"/>
      <w:r>
        <w:rPr>
          <w:b/>
          <w:noProof/>
        </w:rPr>
        <w:t>Lutter contre les menaces hybrides</w:t>
      </w:r>
      <w:bookmarkEnd w:id="7"/>
    </w:p>
    <w:p w14:paraId="01B3A52A" w14:textId="25C68B2D" w:rsidR="00BA4CCE" w:rsidRPr="002177B3" w:rsidRDefault="00BA4CCE" w:rsidP="00BA4CCE">
      <w:pPr>
        <w:rPr>
          <w:noProof/>
        </w:rPr>
      </w:pPr>
      <w:r>
        <w:rPr>
          <w:noProof/>
        </w:rPr>
        <w:t xml:space="preserve">Les pays de la région de la mer Noire, leurs sociétés et leurs infrastructures sont </w:t>
      </w:r>
      <w:r>
        <w:rPr>
          <w:b/>
          <w:noProof/>
        </w:rPr>
        <w:t>la cible de menaces hybrides, notamment de cybermenaces, de campagnes de désinformation</w:t>
      </w:r>
      <w:r>
        <w:rPr>
          <w:noProof/>
        </w:rPr>
        <w:t xml:space="preserve"> et de </w:t>
      </w:r>
      <w:r>
        <w:rPr>
          <w:b/>
          <w:noProof/>
        </w:rPr>
        <w:t>manipulations de l’information et d’ingérence étrangères</w:t>
      </w:r>
      <w:r>
        <w:rPr>
          <w:noProof/>
        </w:rPr>
        <w:t xml:space="preserve">. L’UE et la région de la mer Noire bénéficieront du renforcement de la coopération dans ces domaines, en particulier avec la région de la mer Baltique, qui permettra une meilleure compréhension commune de </w:t>
      </w:r>
      <w:r>
        <w:rPr>
          <w:b/>
          <w:noProof/>
        </w:rPr>
        <w:t>l’état de la menace, de ses acteurs et de ses méthodes</w:t>
      </w:r>
      <w:r>
        <w:rPr>
          <w:noProof/>
        </w:rPr>
        <w:t xml:space="preserve">, ainsi que de l’échange des approches stratégiques, des réponses et des </w:t>
      </w:r>
      <w:r w:rsidR="004306F0">
        <w:rPr>
          <w:noProof/>
        </w:rPr>
        <w:t>bonnes</w:t>
      </w:r>
      <w:r>
        <w:rPr>
          <w:noProof/>
        </w:rPr>
        <w:t xml:space="preserve"> pratiques. L’UE propose des </w:t>
      </w:r>
      <w:r>
        <w:rPr>
          <w:noProof/>
        </w:rPr>
        <w:lastRenderedPageBreak/>
        <w:t xml:space="preserve">instruments, tels que sa boîte à outils hybride et sa boîte à outils cyberdiplomatique, à utiliser pour faire face à ces menaces spécifiques et renforcer la résilience de la région.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30F5FA13" w14:textId="77777777" w:rsidTr="00761186">
        <w:tc>
          <w:tcPr>
            <w:tcW w:w="9628" w:type="dxa"/>
            <w:shd w:val="clear" w:color="auto" w:fill="D9D9D9" w:themeFill="background1" w:themeFillShade="D9"/>
          </w:tcPr>
          <w:p w14:paraId="63D3F6C6" w14:textId="77777777" w:rsidR="00BA4CCE" w:rsidRPr="002177B3" w:rsidRDefault="00BA4CCE" w:rsidP="00761186">
            <w:pPr>
              <w:rPr>
                <w:noProof/>
              </w:rPr>
            </w:pPr>
            <w:r>
              <w:rPr>
                <w:b/>
                <w:noProof/>
              </w:rPr>
              <w:t>Les actions clés</w:t>
            </w:r>
            <w:r>
              <w:rPr>
                <w:noProof/>
              </w:rPr>
              <w:t xml:space="preserve"> consistent notamment à:</w:t>
            </w:r>
          </w:p>
          <w:p w14:paraId="55AF04D0" w14:textId="1595006C" w:rsidR="00BA4CCE" w:rsidRPr="00473535" w:rsidRDefault="00BA4CCE" w:rsidP="00761186">
            <w:pPr>
              <w:pStyle w:val="ListParagraph"/>
              <w:numPr>
                <w:ilvl w:val="0"/>
                <w:numId w:val="8"/>
              </w:numPr>
              <w:spacing w:after="0"/>
              <w:rPr>
                <w:noProof/>
              </w:rPr>
            </w:pPr>
            <w:r>
              <w:rPr>
                <w:noProof/>
              </w:rPr>
              <w:t xml:space="preserve">mettre en place un </w:t>
            </w:r>
            <w:r>
              <w:rPr>
                <w:b/>
                <w:noProof/>
              </w:rPr>
              <w:t>réseau de mécanismes de réaction conjoints</w:t>
            </w:r>
            <w:r>
              <w:rPr>
                <w:noProof/>
              </w:rPr>
              <w:t xml:space="preserve"> qui réduisent l’espace disponible pour des manipulations de l’information et ingérences étrangères et des campagnes de désinformation, y compris dans les zones rurales et frontalières; </w:t>
            </w:r>
          </w:p>
          <w:p w14:paraId="36588C36" w14:textId="7CDF77F8" w:rsidR="00BA4CCE" w:rsidRPr="002177B3" w:rsidRDefault="00BA4CCE" w:rsidP="00761186">
            <w:pPr>
              <w:pStyle w:val="ListParagraph"/>
              <w:numPr>
                <w:ilvl w:val="0"/>
                <w:numId w:val="8"/>
              </w:numPr>
              <w:rPr>
                <w:noProof/>
              </w:rPr>
            </w:pPr>
            <w:r>
              <w:rPr>
                <w:b/>
                <w:noProof/>
              </w:rPr>
              <w:t>renforcer les capacités, la coopération et le partage d’informations</w:t>
            </w:r>
            <w:r>
              <w:rPr>
                <w:noProof/>
              </w:rPr>
              <w:t xml:space="preserve"> dans le domaine des menaces hybrides et des cybermenaces, notamment pour les infrastructures critiques, dans l’ensemble de la région en s’appuyant sur les missions spécifiques menées dans la région dans le cadre de la PSDC et en mettant à profit les projets et cadres de l’UE, tels que l’étude sur les risques hybrides et les équipes d’intervention rapide en cas de menaces hybrides, ou en coordination avec l’OTAN et d’autres pays partageant les mêmes valeurs;</w:t>
            </w:r>
          </w:p>
          <w:p w14:paraId="7E07B5A0" w14:textId="77777777" w:rsidR="00BA4CCE" w:rsidRPr="002177B3" w:rsidRDefault="00BA4CCE" w:rsidP="00761186">
            <w:pPr>
              <w:pStyle w:val="ListParagraph"/>
              <w:numPr>
                <w:ilvl w:val="0"/>
                <w:numId w:val="8"/>
              </w:numPr>
              <w:spacing w:after="0"/>
              <w:rPr>
                <w:noProof/>
              </w:rPr>
            </w:pPr>
            <w:r>
              <w:rPr>
                <w:noProof/>
              </w:rPr>
              <w:t xml:space="preserve">participer à des </w:t>
            </w:r>
            <w:r>
              <w:rPr>
                <w:b/>
                <w:noProof/>
              </w:rPr>
              <w:t>actions coordonnées pour imposer des coûts aux acteurs malveillants</w:t>
            </w:r>
            <w:r>
              <w:rPr>
                <w:noProof/>
              </w:rPr>
              <w:t xml:space="preserve"> par des démarches, des déclarations, l’attribution de sanctions, en exploitant pleinement les boîtes à outils hybride et cyberdiplomatique, ainsi que la boîte à outils sur les manipulations de l’information et ingérences étrangères, de l’UE;</w:t>
            </w:r>
          </w:p>
          <w:p w14:paraId="08CFBC4E" w14:textId="77777777" w:rsidR="00BA4CCE" w:rsidRPr="002177B3" w:rsidRDefault="00BA4CCE" w:rsidP="00761186">
            <w:pPr>
              <w:pStyle w:val="ListParagraph"/>
              <w:numPr>
                <w:ilvl w:val="0"/>
                <w:numId w:val="8"/>
              </w:numPr>
              <w:spacing w:after="0"/>
              <w:rPr>
                <w:noProof/>
              </w:rPr>
            </w:pPr>
            <w:r>
              <w:rPr>
                <w:b/>
                <w:noProof/>
              </w:rPr>
              <w:t>renforcer la capacité des pays partenaires à utiliser les technologies innovantes</w:t>
            </w:r>
            <w:r>
              <w:rPr>
                <w:noProof/>
              </w:rPr>
              <w:t xml:space="preserve"> et l’intelligence artificielle comme outils de lutte contre la désinformation et les activités de manipulation de l’information et d’ingérences étrangères, en combinaison avec des actions sur mesure visant à promouvoir </w:t>
            </w:r>
            <w:r>
              <w:rPr>
                <w:b/>
                <w:noProof/>
              </w:rPr>
              <w:t>l’éducation aux médias</w:t>
            </w:r>
            <w:r>
              <w:rPr>
                <w:noProof/>
              </w:rPr>
              <w:t xml:space="preserve"> et l’esprit critique parmi la population, favorisant ainsi une culture de l’engagement démocratique;</w:t>
            </w:r>
          </w:p>
          <w:p w14:paraId="2477B582" w14:textId="77777777" w:rsidR="00BA4CCE" w:rsidRPr="002177B3" w:rsidRDefault="00BA4CCE" w:rsidP="00761186">
            <w:pPr>
              <w:pStyle w:val="ListParagraph"/>
              <w:numPr>
                <w:ilvl w:val="0"/>
                <w:numId w:val="8"/>
              </w:numPr>
              <w:spacing w:after="0"/>
              <w:rPr>
                <w:noProof/>
              </w:rPr>
            </w:pPr>
            <w:r>
              <w:rPr>
                <w:noProof/>
              </w:rPr>
              <w:t xml:space="preserve">renforcer la coopération entre les réseaux régionaux de vérificateurs de faits, en s’appuyant sur le plan d’action de l’UE pour la démocratie et sur le train de mesures de défense de la démocratie; </w:t>
            </w:r>
          </w:p>
          <w:p w14:paraId="11CBA54D" w14:textId="519BACFF" w:rsidR="00C0644E" w:rsidRPr="002177B3" w:rsidRDefault="00BA4CCE" w:rsidP="00C0644E">
            <w:pPr>
              <w:pStyle w:val="ListParagraph"/>
              <w:numPr>
                <w:ilvl w:val="0"/>
                <w:numId w:val="8"/>
              </w:numPr>
              <w:spacing w:after="0"/>
              <w:rPr>
                <w:noProof/>
              </w:rPr>
            </w:pPr>
            <w:r>
              <w:rPr>
                <w:noProof/>
              </w:rPr>
              <w:t xml:space="preserve">améliorer les processus multipartites visant à </w:t>
            </w:r>
            <w:r>
              <w:rPr>
                <w:b/>
                <w:noProof/>
              </w:rPr>
              <w:t>atténuer les risques sur les plateformes en ligne</w:t>
            </w:r>
            <w:r>
              <w:rPr>
                <w:noProof/>
              </w:rPr>
              <w:t xml:space="preserve"> et protéger les droits fondamentaux en ligne, conformément aux normes internationales en matière de droits de l’homme.</w:t>
            </w:r>
          </w:p>
          <w:p w14:paraId="4DB196E0" w14:textId="77777777" w:rsidR="00BA4CCE" w:rsidRPr="004F6065" w:rsidRDefault="00BA4CCE" w:rsidP="00005956">
            <w:pPr>
              <w:spacing w:after="0"/>
              <w:rPr>
                <w:noProof/>
                <w:lang w:val="fr-BE"/>
              </w:rPr>
            </w:pPr>
          </w:p>
        </w:tc>
      </w:tr>
    </w:tbl>
    <w:p w14:paraId="6787778D" w14:textId="77777777" w:rsidR="00BA4CCE" w:rsidRPr="004F6065" w:rsidRDefault="00BA4CCE" w:rsidP="00BA4CCE">
      <w:pPr>
        <w:rPr>
          <w:b/>
          <w:bCs/>
          <w:noProof/>
          <w:lang w:val="fr-BE"/>
        </w:rPr>
      </w:pPr>
    </w:p>
    <w:p w14:paraId="53025575" w14:textId="77777777" w:rsidR="00BA4CCE" w:rsidRPr="002177B3" w:rsidRDefault="00BA4CCE" w:rsidP="00BA4CCE">
      <w:pPr>
        <w:rPr>
          <w:b/>
          <w:bCs/>
          <w:noProof/>
        </w:rPr>
      </w:pPr>
      <w:r>
        <w:rPr>
          <w:b/>
          <w:noProof/>
        </w:rPr>
        <w:t>1.4</w:t>
      </w:r>
      <w:r>
        <w:rPr>
          <w:noProof/>
        </w:rPr>
        <w:tab/>
      </w:r>
      <w:bookmarkStart w:id="8" w:name="_Hlk198207206"/>
      <w:r>
        <w:rPr>
          <w:b/>
          <w:noProof/>
        </w:rPr>
        <w:t>Lutter contre la criminalité organisée et les trafics</w:t>
      </w:r>
      <w:bookmarkEnd w:id="8"/>
      <w:r>
        <w:rPr>
          <w:b/>
          <w:noProof/>
        </w:rPr>
        <w:t xml:space="preserve"> </w:t>
      </w:r>
    </w:p>
    <w:p w14:paraId="1B953F4D" w14:textId="3B61A303" w:rsidR="00BA4CCE" w:rsidRPr="002177B3" w:rsidRDefault="00FD3BD4" w:rsidP="00BA4CCE">
      <w:pPr>
        <w:spacing w:after="160"/>
        <w:rPr>
          <w:noProof/>
        </w:rPr>
      </w:pPr>
      <w:r>
        <w:rPr>
          <w:noProof/>
        </w:rPr>
        <w:t>Conformément à ProtectEU, la stratégie européenne de sécurité intérieure</w:t>
      </w:r>
      <w:r>
        <w:rPr>
          <w:rStyle w:val="FootnoteReference"/>
          <w:noProof/>
          <w:lang w:val="en-GB"/>
        </w:rPr>
        <w:footnoteReference w:id="36"/>
      </w:r>
      <w:r>
        <w:rPr>
          <w:noProof/>
        </w:rPr>
        <w:t xml:space="preserve">, l’UE aide activement ses voisins à faire face aux menaces émergentes, à approfondir la collaboration opérationnelle, à faciliter l’échange d’informations et à renforcer les capacités conformément aux normes de l’UE. La Commission européenne, la priorité «armes à feu» de la plateforme pluridisciplinaire européenne contre les menaces criminelles (EMPACT) et Europol ont fait part de leurs préoccupations quant à la prolifération potentielle des armes à feu et des explosifs provenant des hostilités militaires contre l’Ukraine. L’UE renforcera la coopération dans la lutte contre la criminalité organisée, en se concentrant plus particulièrement sur la lutte contre la traite des êtres humains, le trafic d’armes à feu et le trafic de drogue. </w:t>
      </w:r>
    </w:p>
    <w:tbl>
      <w:tblPr>
        <w:tblStyle w:val="TableGrid"/>
        <w:tblW w:w="0" w:type="auto"/>
        <w:shd w:val="clear" w:color="auto" w:fill="D9D9D9" w:themeFill="background1" w:themeFillShade="D9"/>
        <w:tblLook w:val="04A0" w:firstRow="1" w:lastRow="0" w:firstColumn="1" w:lastColumn="0" w:noHBand="0" w:noVBand="1"/>
      </w:tblPr>
      <w:tblGrid>
        <w:gridCol w:w="9628"/>
      </w:tblGrid>
      <w:tr w:rsidR="00BA4CCE" w:rsidRPr="002177B3" w14:paraId="09EECBAC" w14:textId="77777777" w:rsidTr="00761186">
        <w:tc>
          <w:tcPr>
            <w:tcW w:w="9628" w:type="dxa"/>
            <w:shd w:val="clear" w:color="auto" w:fill="D9D9D9" w:themeFill="background1" w:themeFillShade="D9"/>
          </w:tcPr>
          <w:p w14:paraId="47AA1FA0" w14:textId="77777777" w:rsidR="00BA4CCE" w:rsidRPr="002177B3" w:rsidRDefault="00BA4CCE" w:rsidP="008B0A03">
            <w:pPr>
              <w:keepNext/>
              <w:spacing w:after="160"/>
              <w:rPr>
                <w:rFonts w:eastAsiaTheme="minorEastAsia"/>
                <w:noProof/>
              </w:rPr>
            </w:pPr>
            <w:r>
              <w:rPr>
                <w:b/>
                <w:noProof/>
              </w:rPr>
              <w:lastRenderedPageBreak/>
              <w:t>Les actions clés</w:t>
            </w:r>
            <w:r>
              <w:rPr>
                <w:noProof/>
              </w:rPr>
              <w:t xml:space="preserve"> consistent notamment à:</w:t>
            </w:r>
          </w:p>
          <w:p w14:paraId="648C0EDF" w14:textId="689ABDD9" w:rsidR="00BA4CCE" w:rsidRPr="002177B3" w:rsidRDefault="00BA4CCE" w:rsidP="00761186">
            <w:pPr>
              <w:numPr>
                <w:ilvl w:val="0"/>
                <w:numId w:val="7"/>
              </w:numPr>
              <w:spacing w:after="160"/>
              <w:rPr>
                <w:rFonts w:eastAsiaTheme="minorEastAsia"/>
                <w:noProof/>
              </w:rPr>
            </w:pPr>
            <w:r>
              <w:rPr>
                <w:b/>
                <w:noProof/>
              </w:rPr>
              <w:t xml:space="preserve">encourager les pays partenaires à participer à </w:t>
            </w:r>
            <w:r>
              <w:rPr>
                <w:noProof/>
              </w:rPr>
              <w:t>la plateforme pluridisciplinaire européenne contre les menaces criminelles</w:t>
            </w:r>
            <w:r>
              <w:rPr>
                <w:rStyle w:val="FootnoteReference"/>
                <w:noProof/>
                <w:lang w:val="en-GB"/>
              </w:rPr>
              <w:footnoteReference w:id="37"/>
            </w:r>
            <w:r>
              <w:rPr>
                <w:noProof/>
              </w:rPr>
              <w:t xml:space="preserve"> (</w:t>
            </w:r>
            <w:r>
              <w:rPr>
                <w:b/>
                <w:noProof/>
              </w:rPr>
              <w:t>EMPACT)</w:t>
            </w:r>
            <w:r>
              <w:rPr>
                <w:noProof/>
              </w:rPr>
              <w:t xml:space="preserve"> pour lutter contre la criminalité organisée et à assurer la direction ou la codirection de plans d’action opérationnels dans des domaines prioritaires au niveau régional; </w:t>
            </w:r>
          </w:p>
          <w:p w14:paraId="6C23615E" w14:textId="6CAF52E2" w:rsidR="00BA4CCE" w:rsidRPr="002177B3" w:rsidRDefault="00BA4CCE" w:rsidP="00761186">
            <w:pPr>
              <w:numPr>
                <w:ilvl w:val="0"/>
                <w:numId w:val="7"/>
              </w:numPr>
              <w:spacing w:after="160"/>
              <w:rPr>
                <w:rFonts w:eastAsiaTheme="minorEastAsia"/>
                <w:noProof/>
              </w:rPr>
            </w:pPr>
            <w:r>
              <w:rPr>
                <w:noProof/>
              </w:rPr>
              <w:t xml:space="preserve">renforcer </w:t>
            </w:r>
            <w:r>
              <w:rPr>
                <w:b/>
                <w:noProof/>
              </w:rPr>
              <w:t>les partenariats</w:t>
            </w:r>
            <w:bookmarkStart w:id="9" w:name="_Hlk198207414"/>
            <w:r>
              <w:rPr>
                <w:b/>
                <w:noProof/>
              </w:rPr>
              <w:t xml:space="preserve"> </w:t>
            </w:r>
            <w:bookmarkEnd w:id="9"/>
            <w:r>
              <w:rPr>
                <w:b/>
                <w:noProof/>
              </w:rPr>
              <w:t>entre les services répressifs et les autorités frontalières et douanières de la région de la mer Noire</w:t>
            </w:r>
            <w:r>
              <w:rPr>
                <w:noProof/>
              </w:rPr>
              <w:t>, d’une part</w:t>
            </w:r>
            <w:r>
              <w:rPr>
                <w:b/>
                <w:noProof/>
              </w:rPr>
              <w:t xml:space="preserve">, </w:t>
            </w:r>
            <w:r>
              <w:rPr>
                <w:noProof/>
              </w:rPr>
              <w:t>et Frontex, Eurojust, Europol et le CEPOL, d’autre part;</w:t>
            </w:r>
          </w:p>
          <w:p w14:paraId="245B439E" w14:textId="4EE704CB" w:rsidR="00BA4CCE" w:rsidRPr="002177B3" w:rsidRDefault="00BA4CCE" w:rsidP="00761186">
            <w:pPr>
              <w:numPr>
                <w:ilvl w:val="0"/>
                <w:numId w:val="7"/>
              </w:numPr>
              <w:spacing w:after="160"/>
              <w:rPr>
                <w:rFonts w:eastAsiaTheme="minorEastAsia"/>
                <w:noProof/>
              </w:rPr>
            </w:pPr>
            <w:r>
              <w:rPr>
                <w:noProof/>
              </w:rPr>
              <w:t xml:space="preserve">mettre en place un programme visant à renforcer la </w:t>
            </w:r>
            <w:r>
              <w:rPr>
                <w:b/>
                <w:noProof/>
              </w:rPr>
              <w:t>coopération entre experts</w:t>
            </w:r>
            <w:r>
              <w:rPr>
                <w:noProof/>
              </w:rPr>
              <w:t xml:space="preserve"> dans la</w:t>
            </w:r>
            <w:r>
              <w:rPr>
                <w:b/>
                <w:noProof/>
              </w:rPr>
              <w:t xml:space="preserve"> prévention et la lutte contre la corruption</w:t>
            </w:r>
            <w:r>
              <w:rPr>
                <w:noProof/>
              </w:rPr>
              <w:t xml:space="preserve">, notamment dans les ports, en mettant l’accent sur la limitation de l’influence des groupes criminels organisés; </w:t>
            </w:r>
          </w:p>
          <w:p w14:paraId="5C3DD099" w14:textId="77777777" w:rsidR="00BA4CCE" w:rsidRPr="002177B3" w:rsidRDefault="00BA4CCE" w:rsidP="00761186">
            <w:pPr>
              <w:numPr>
                <w:ilvl w:val="0"/>
                <w:numId w:val="7"/>
              </w:numPr>
              <w:spacing w:after="160"/>
              <w:rPr>
                <w:rFonts w:eastAsiaTheme="minorEastAsia"/>
                <w:noProof/>
              </w:rPr>
            </w:pPr>
            <w:r>
              <w:rPr>
                <w:noProof/>
              </w:rPr>
              <w:t xml:space="preserve">renforcer la </w:t>
            </w:r>
            <w:r>
              <w:rPr>
                <w:b/>
                <w:noProof/>
              </w:rPr>
              <w:t>coopération judiciaire</w:t>
            </w:r>
            <w:r>
              <w:rPr>
                <w:noProof/>
              </w:rPr>
              <w:t xml:space="preserve"> par l’entraide judiciaire, en se concentrant plus particulièrement sur le recouvrement des avoirs et la coopération avec les agences de l’UE;  </w:t>
            </w:r>
          </w:p>
          <w:p w14:paraId="4A78735E" w14:textId="77777777" w:rsidR="00BA4CCE" w:rsidRPr="002177B3" w:rsidRDefault="00BA4CCE" w:rsidP="00761186">
            <w:pPr>
              <w:numPr>
                <w:ilvl w:val="0"/>
                <w:numId w:val="7"/>
              </w:numPr>
              <w:spacing w:after="160"/>
              <w:rPr>
                <w:rFonts w:eastAsiaTheme="minorEastAsia"/>
                <w:noProof/>
              </w:rPr>
            </w:pPr>
            <w:r>
              <w:rPr>
                <w:b/>
                <w:noProof/>
              </w:rPr>
              <w:t>améliorer les connaissances fondées sur les données</w:t>
            </w:r>
            <w:r>
              <w:rPr>
                <w:noProof/>
              </w:rPr>
              <w:t xml:space="preserve"> pour traquer la corruption, le blanchiment d’argent, le contournement des sanctions, la criminalité organisée, le trafic et la contrebande de marchandises.</w:t>
            </w:r>
          </w:p>
        </w:tc>
      </w:tr>
    </w:tbl>
    <w:p w14:paraId="31A7B7BF" w14:textId="55F5498B" w:rsidR="0079413F" w:rsidRPr="002177B3" w:rsidRDefault="00E211A7" w:rsidP="009F2A81">
      <w:pPr>
        <w:pStyle w:val="Heading10"/>
        <w:rPr>
          <w:noProof/>
        </w:rPr>
      </w:pPr>
      <w:r>
        <w:rPr>
          <w:rFonts w:ascii="Times New Roman" w:hAnsi="Times New Roman"/>
          <w:b/>
          <w:smallCaps/>
          <w:noProof/>
          <w:color w:val="auto"/>
          <w:sz w:val="24"/>
        </w:rPr>
        <w:t>2.</w:t>
      </w:r>
      <w:r>
        <w:rPr>
          <w:noProof/>
        </w:rPr>
        <w:tab/>
      </w:r>
      <w:r>
        <w:rPr>
          <w:rFonts w:ascii="Times New Roman" w:hAnsi="Times New Roman"/>
          <w:b/>
          <w:smallCaps/>
          <w:noProof/>
          <w:color w:val="auto"/>
          <w:sz w:val="24"/>
        </w:rPr>
        <w:t>Croissance et prospérité</w:t>
      </w:r>
    </w:p>
    <w:p w14:paraId="051B6468" w14:textId="0C0088CF" w:rsidR="008B755A" w:rsidRPr="002177B3" w:rsidRDefault="007A3055" w:rsidP="00BC48B6">
      <w:pPr>
        <w:rPr>
          <w:noProof/>
        </w:rPr>
      </w:pPr>
      <w:bookmarkStart w:id="10" w:name="_Hlk196259131"/>
      <w:r>
        <w:rPr>
          <w:noProof/>
        </w:rPr>
        <w:t xml:space="preserve">La région de la mer Noire est une </w:t>
      </w:r>
      <w:r>
        <w:rPr>
          <w:b/>
          <w:noProof/>
        </w:rPr>
        <w:t>zone économique stratégique</w:t>
      </w:r>
      <w:r>
        <w:rPr>
          <w:noProof/>
        </w:rPr>
        <w:t xml:space="preserve">. L’UE continuera de diversifier les </w:t>
      </w:r>
      <w:r>
        <w:rPr>
          <w:b/>
          <w:noProof/>
        </w:rPr>
        <w:t>corridors de transport</w:t>
      </w:r>
      <w:r>
        <w:rPr>
          <w:noProof/>
        </w:rPr>
        <w:t xml:space="preserve"> et de développer des </w:t>
      </w:r>
      <w:r>
        <w:rPr>
          <w:b/>
          <w:noProof/>
        </w:rPr>
        <w:t>réseaux de connectivité numérique et énergétique</w:t>
      </w:r>
      <w:r>
        <w:rPr>
          <w:noProof/>
        </w:rPr>
        <w:t xml:space="preserve"> alternatifs, résilients et sûrs. Les défis et les possibilités liés à la connectivité s’étendent bien au-delà de la mer Noire. Il est donc nécessaire de mettre en place </w:t>
      </w:r>
      <w:r>
        <w:rPr>
          <w:b/>
          <w:noProof/>
        </w:rPr>
        <w:t>un programme de connectivité régionale, aligné sur les réseaux transeuropéens élargis</w:t>
      </w:r>
      <w:r>
        <w:rPr>
          <w:noProof/>
        </w:rPr>
        <w:t xml:space="preserve">, qui englobe tous les partenaires principaux de l’UE, de la région de la mer Noire, du Caucase du Sud et d’Asie centrale. Conformément à la trajectoire de décarbonation et aux engagements internationaux de l’UE, le programme de connectivité stimulera les chaînes de valeur, la compétitivité et la croissance économique dans la région. </w:t>
      </w:r>
    </w:p>
    <w:p w14:paraId="2F5364E9" w14:textId="77777777" w:rsidR="001679D5" w:rsidRPr="002177B3" w:rsidRDefault="001679D5" w:rsidP="001679D5">
      <w:pPr>
        <w:pBdr>
          <w:top w:val="single" w:sz="8" w:space="1" w:color="000000"/>
          <w:left w:val="single" w:sz="8" w:space="4" w:color="000000"/>
          <w:bottom w:val="single" w:sz="8" w:space="1" w:color="000000"/>
          <w:right w:val="single" w:sz="8" w:space="4" w:color="000000"/>
        </w:pBdr>
        <w:rPr>
          <w:b/>
          <w:bCs/>
          <w:noProof/>
        </w:rPr>
      </w:pPr>
      <w:r>
        <w:rPr>
          <w:b/>
          <w:noProof/>
        </w:rPr>
        <w:t xml:space="preserve">Initiative phare 2: </w:t>
      </w:r>
      <w:r>
        <w:rPr>
          <w:b/>
          <w:smallCaps/>
          <w:noProof/>
        </w:rPr>
        <w:t xml:space="preserve">programme de connectivité </w:t>
      </w:r>
    </w:p>
    <w:p w14:paraId="2D530142" w14:textId="2BB78774" w:rsidR="001679D5" w:rsidRPr="002177B3" w:rsidRDefault="001679D5" w:rsidP="001679D5">
      <w:pPr>
        <w:pBdr>
          <w:top w:val="single" w:sz="8" w:space="1" w:color="000000"/>
          <w:left w:val="single" w:sz="8" w:space="4" w:color="000000"/>
          <w:bottom w:val="single" w:sz="8" w:space="1" w:color="000000"/>
          <w:right w:val="single" w:sz="8" w:space="4" w:color="000000"/>
        </w:pBdr>
        <w:rPr>
          <w:b/>
          <w:bCs/>
          <w:noProof/>
        </w:rPr>
      </w:pPr>
      <w:r>
        <w:rPr>
          <w:noProof/>
        </w:rPr>
        <w:t xml:space="preserve">L’UE élaborera un </w:t>
      </w:r>
      <w:r>
        <w:rPr>
          <w:b/>
          <w:noProof/>
        </w:rPr>
        <w:t>programme de connectivité reliant l’Europe à l’Asie centrale via le Caucase du Sud</w:t>
      </w:r>
      <w:r>
        <w:rPr>
          <w:noProof/>
        </w:rPr>
        <w:t>.</w:t>
      </w:r>
      <w:r>
        <w:rPr>
          <w:b/>
          <w:noProof/>
        </w:rPr>
        <w:t xml:space="preserve"> </w:t>
      </w:r>
    </w:p>
    <w:p w14:paraId="646406CF" w14:textId="77777777" w:rsidR="001679D5" w:rsidRPr="002177B3" w:rsidRDefault="001679D5" w:rsidP="001679D5">
      <w:pPr>
        <w:pBdr>
          <w:top w:val="single" w:sz="8" w:space="1" w:color="000000"/>
          <w:left w:val="single" w:sz="8" w:space="4" w:color="000000"/>
          <w:bottom w:val="single" w:sz="8" w:space="1" w:color="000000"/>
          <w:right w:val="single" w:sz="8" w:space="4" w:color="000000"/>
        </w:pBdr>
        <w:rPr>
          <w:noProof/>
        </w:rPr>
      </w:pPr>
      <w:r>
        <w:rPr>
          <w:b/>
          <w:noProof/>
        </w:rPr>
        <w:t xml:space="preserve">Corridors de transport: </w:t>
      </w:r>
      <w:r>
        <w:rPr>
          <w:noProof/>
        </w:rPr>
        <w:t xml:space="preserve">le programme complétera les nouveaux corridors de transport européens «mer Baltique-mer Noire-mer Égée» et «Rhin-Danube». Conformément aux règlements de l’UE relatifs aux réseaux transeuropéens, le programme de connectivité sera mis en œuvre par l’intermédiaire de partenariats avec les pays et régions participants. </w:t>
      </w:r>
    </w:p>
    <w:p w14:paraId="6C661820" w14:textId="617DD94B" w:rsidR="001679D5" w:rsidRPr="002177B3" w:rsidRDefault="001679D5" w:rsidP="001679D5">
      <w:pPr>
        <w:pBdr>
          <w:top w:val="single" w:sz="8" w:space="1" w:color="000000"/>
          <w:left w:val="single" w:sz="8" w:space="4" w:color="000000"/>
          <w:bottom w:val="single" w:sz="8" w:space="1" w:color="000000"/>
          <w:right w:val="single" w:sz="8" w:space="4" w:color="000000"/>
        </w:pBdr>
        <w:rPr>
          <w:strike/>
          <w:noProof/>
        </w:rPr>
      </w:pPr>
      <w:r>
        <w:rPr>
          <w:b/>
          <w:noProof/>
        </w:rPr>
        <w:t>Liens dans le domaine de l’énergie verte:</w:t>
      </w:r>
      <w:r>
        <w:rPr>
          <w:noProof/>
        </w:rPr>
        <w:t xml:space="preserve"> les investissements stratégiques faciliteront les échanges d’énergie au sein de la région, contribueront à l’intégration du marché et créeront une union de l’énergie plus large. Cela permettra une plus grande intégration des sources d’énergie renouvelables intermittentes dans les systèmes énergétiques et, à terme, de renforcer la sécurité énergétique et de rendre l’énergie plus abordable. Des pistes pour déployer de nouveaux câbles sous-marins en mer Noire seront étudiées. </w:t>
      </w:r>
    </w:p>
    <w:p w14:paraId="23B8772B" w14:textId="67FDD88B" w:rsidR="001679D5" w:rsidRPr="002177B3" w:rsidRDefault="001679D5" w:rsidP="001679D5">
      <w:pPr>
        <w:pBdr>
          <w:top w:val="single" w:sz="8" w:space="1" w:color="000000"/>
          <w:left w:val="single" w:sz="8" w:space="4" w:color="000000"/>
          <w:bottom w:val="single" w:sz="8" w:space="1" w:color="000000"/>
          <w:right w:val="single" w:sz="8" w:space="4" w:color="000000"/>
        </w:pBdr>
        <w:rPr>
          <w:noProof/>
        </w:rPr>
      </w:pPr>
      <w:r>
        <w:rPr>
          <w:b/>
          <w:noProof/>
        </w:rPr>
        <w:lastRenderedPageBreak/>
        <w:t>Liaisons numériques avec la mer Noire:</w:t>
      </w:r>
      <w:r>
        <w:rPr>
          <w:noProof/>
        </w:rPr>
        <w:t xml:space="preserve"> des connexions internet sûres et à haut débit seront établies dans la région, lorsque les conditions le permettront, afin de contribuer à des flux de données sûrs et sécurisés et d’intensifier la coopération en matière de compétences numériques, de respect de la vie privée et d’innovation, moteurs essentiels de la compétitivité. Les liaisons numériques aideront également à renforcer la résilience numérique de l’UE et de ses partenaires et contribueront à l’intégration numérique à l’échelon régional.</w:t>
      </w:r>
    </w:p>
    <w:p w14:paraId="7FCEED2C" w14:textId="137219BB" w:rsidR="00B13C3F" w:rsidRPr="002177B3" w:rsidRDefault="00B13C3F" w:rsidP="00A56292">
      <w:pPr>
        <w:rPr>
          <w:noProof/>
        </w:rPr>
      </w:pPr>
      <w:r>
        <w:rPr>
          <w:noProof/>
        </w:rPr>
        <w:t xml:space="preserve">Le partenariat oriental, en tant que cadre stratégique et ambitieux fondé sur des valeurs communes, un intérêt mutuel et un sentiment d’appropriation partagé, contribuera au développement du programme de connectivité sur la base des partenariats et des mécanismes de gouvernance existants dans les secteurs du commerce, de l’énergie, des transports et du numérique. L’alignement des règles et des normes dans la région sur la base d’intérêts communs dans le cadre du </w:t>
      </w:r>
      <w:r>
        <w:rPr>
          <w:b/>
          <w:noProof/>
        </w:rPr>
        <w:t>partenariat oriental</w:t>
      </w:r>
      <w:r>
        <w:rPr>
          <w:noProof/>
        </w:rPr>
        <w:t xml:space="preserve"> améliorera l’environnement des entreprises et du commerce et ouvrira des possibilités d’investissement dans la région de la mer Noire et au-delà.</w:t>
      </w:r>
    </w:p>
    <w:p w14:paraId="0A40E3BF" w14:textId="5D4E3B3F" w:rsidR="009D3106" w:rsidRPr="002177B3" w:rsidRDefault="00785443" w:rsidP="009F2A81">
      <w:pPr>
        <w:rPr>
          <w:noProof/>
        </w:rPr>
      </w:pPr>
      <w:r>
        <w:rPr>
          <w:noProof/>
        </w:rPr>
        <w:t>L’UE exploitera pleinement le potentiel du réseau existant d’</w:t>
      </w:r>
      <w:r>
        <w:rPr>
          <w:b/>
          <w:noProof/>
        </w:rPr>
        <w:t>accords commerciaux</w:t>
      </w:r>
      <w:r>
        <w:rPr>
          <w:rStyle w:val="FootnoteReference"/>
          <w:b/>
          <w:bCs/>
          <w:noProof/>
          <w:lang w:val="en-GB"/>
        </w:rPr>
        <w:footnoteReference w:id="38"/>
      </w:r>
      <w:r>
        <w:rPr>
          <w:b/>
          <w:noProof/>
        </w:rPr>
        <w:t xml:space="preserve"> </w:t>
      </w:r>
      <w:r>
        <w:rPr>
          <w:noProof/>
        </w:rPr>
        <w:t>conclus avec ses partenaires de la mer Noire (l’</w:t>
      </w:r>
      <w:r>
        <w:rPr>
          <w:b/>
          <w:noProof/>
        </w:rPr>
        <w:t>union douanière et les zones de libre-échange approfondi et complet</w:t>
      </w:r>
      <w:r>
        <w:rPr>
          <w:noProof/>
        </w:rPr>
        <w:t xml:space="preserve"> actuellement en vigueur), qui constitue une base solide pour le développement de chaînes de valeur transfrontières et la poursuite de l’intégration commerciale régionale, et a déjà entraîné une augmentation substantielle du volume d’échanges dans la région.</w:t>
      </w:r>
    </w:p>
    <w:p w14:paraId="18417371" w14:textId="77777777" w:rsidR="007D0FA2" w:rsidRPr="002177B3" w:rsidRDefault="007D0FA2" w:rsidP="007D0FA2">
      <w:pPr>
        <w:rPr>
          <w:noProof/>
        </w:rPr>
      </w:pPr>
      <w:r>
        <w:rPr>
          <w:noProof/>
        </w:rPr>
        <w:t>La facilité pour l’Ukraine</w:t>
      </w:r>
      <w:r>
        <w:rPr>
          <w:rStyle w:val="FootnoteReference"/>
          <w:noProof/>
          <w:lang w:val="en-GB"/>
        </w:rPr>
        <w:footnoteReference w:id="39"/>
      </w:r>
      <w:r>
        <w:rPr>
          <w:noProof/>
        </w:rPr>
        <w:t>, la facilité pour les réformes et la croissance en faveur de la République de Moldavie</w:t>
      </w:r>
      <w:r>
        <w:rPr>
          <w:rStyle w:val="FootnoteReference"/>
          <w:noProof/>
          <w:lang w:val="en-GB"/>
        </w:rPr>
        <w:footnoteReference w:id="40"/>
      </w:r>
      <w:r>
        <w:rPr>
          <w:noProof/>
        </w:rPr>
        <w:t>, le plan de l’UE pour la résilience et la croissance pour l’Arménie</w:t>
      </w:r>
      <w:r>
        <w:rPr>
          <w:rStyle w:val="FootnoteReference"/>
          <w:noProof/>
          <w:lang w:val="en-GB"/>
        </w:rPr>
        <w:footnoteReference w:id="41"/>
      </w:r>
      <w:r>
        <w:rPr>
          <w:noProof/>
        </w:rPr>
        <w:t xml:space="preserve"> et les investissements en Azerbaïdjan dans le cadre de la stratégie «Global Gateway» créeront des possibilités supplémentaires à cet égard. En outre, l’exploitation du potentiel lié à l’</w:t>
      </w:r>
      <w:r>
        <w:rPr>
          <w:b/>
          <w:noProof/>
        </w:rPr>
        <w:t xml:space="preserve">intégration progressive des pays candidats dans le marché unique de l’UE, </w:t>
      </w:r>
      <w:r>
        <w:rPr>
          <w:noProof/>
        </w:rPr>
        <w:t>combinée à des</w:t>
      </w:r>
      <w:r>
        <w:rPr>
          <w:b/>
          <w:noProof/>
        </w:rPr>
        <w:t xml:space="preserve"> réformes </w:t>
      </w:r>
      <w:r>
        <w:rPr>
          <w:noProof/>
        </w:rPr>
        <w:t xml:space="preserve">dans tous les pays partenaires de la région de la mer Noire dans les domaines de </w:t>
      </w:r>
      <w:r>
        <w:rPr>
          <w:b/>
          <w:noProof/>
        </w:rPr>
        <w:t>l’état de droit, de la justice et de la lutte contre la corruption,</w:t>
      </w:r>
      <w:r>
        <w:rPr>
          <w:noProof/>
        </w:rPr>
        <w:t xml:space="preserve"> attirera de nouveaux investissements et de nouveaux débouchés commerciaux. </w:t>
      </w:r>
    </w:p>
    <w:p w14:paraId="5C93DC6D" w14:textId="77777777" w:rsidR="00BC48B6" w:rsidRPr="002177B3" w:rsidRDefault="00BC48B6" w:rsidP="00BC48B6">
      <w:pPr>
        <w:rPr>
          <w:noProof/>
        </w:rPr>
      </w:pPr>
      <w:r>
        <w:rPr>
          <w:noProof/>
        </w:rPr>
        <w:t xml:space="preserve">Le soutien à la </w:t>
      </w:r>
      <w:r>
        <w:rPr>
          <w:b/>
          <w:noProof/>
        </w:rPr>
        <w:t>numérisation</w:t>
      </w:r>
      <w:r>
        <w:rPr>
          <w:noProof/>
        </w:rPr>
        <w:t xml:space="preserve"> constituant indéniablement un moteur de la connectivité régionale et un catalyseur de l’innovation et de la croissance, il sera intégré dans toutes les activités de l’approche stratégique de l’UE. Le potentiel des outils numériques sera pleinement mis à profit pour sécuriser les infrastructures critiques de transport et d’énergie.</w:t>
      </w:r>
    </w:p>
    <w:p w14:paraId="03A8D2D2" w14:textId="1FDC1409" w:rsidR="00A808A7" w:rsidRPr="002177B3" w:rsidRDefault="00F92CDB" w:rsidP="009F2A81">
      <w:pPr>
        <w:rPr>
          <w:noProof/>
        </w:rPr>
      </w:pPr>
      <w:r>
        <w:rPr>
          <w:noProof/>
        </w:rPr>
        <w:t xml:space="preserve">La coopération dans les domaines de la </w:t>
      </w:r>
      <w:r>
        <w:rPr>
          <w:b/>
          <w:noProof/>
        </w:rPr>
        <w:t xml:space="preserve">transition numérique, de l’écologisation de l’économie, de l’éducation, de la culture, de la recherche, de la science </w:t>
      </w:r>
      <w:r>
        <w:rPr>
          <w:noProof/>
        </w:rPr>
        <w:t>et de l’</w:t>
      </w:r>
      <w:r>
        <w:rPr>
          <w:b/>
          <w:noProof/>
        </w:rPr>
        <w:t>innovation</w:t>
      </w:r>
      <w:r>
        <w:rPr>
          <w:noProof/>
        </w:rPr>
        <w:t xml:space="preserve"> conférera une dimension humaine à la nouvelle approche de l’UE dans la région de la mer Noire. </w:t>
      </w:r>
      <w:bookmarkEnd w:id="10"/>
    </w:p>
    <w:p w14:paraId="3A2A1EAE" w14:textId="17EFB5D6" w:rsidR="006E5123" w:rsidRPr="00300924" w:rsidRDefault="00356127" w:rsidP="00691ACA">
      <w:pPr>
        <w:spacing w:after="160" w:line="259" w:lineRule="auto"/>
        <w:jc w:val="left"/>
        <w:rPr>
          <w:b/>
          <w:bCs/>
          <w:noProof/>
        </w:rPr>
      </w:pPr>
      <w:r>
        <w:rPr>
          <w:b/>
          <w:noProof/>
        </w:rPr>
        <w:t>2.1</w:t>
      </w:r>
      <w:r>
        <w:rPr>
          <w:noProof/>
        </w:rPr>
        <w:tab/>
      </w:r>
      <w:r>
        <w:rPr>
          <w:b/>
          <w:noProof/>
        </w:rPr>
        <w:t>Renforcer la connectivité et la sécurité énergétique</w:t>
      </w:r>
    </w:p>
    <w:p w14:paraId="56FF4123" w14:textId="63F60015" w:rsidR="00162C33" w:rsidRPr="002177B3" w:rsidRDefault="00454A58" w:rsidP="00454A58">
      <w:pPr>
        <w:rPr>
          <w:rFonts w:eastAsiaTheme="minorEastAsia"/>
          <w:noProof/>
        </w:rPr>
      </w:pPr>
      <w:bookmarkStart w:id="11" w:name="_Hlk197060439"/>
      <w:r>
        <w:rPr>
          <w:noProof/>
        </w:rPr>
        <w:t xml:space="preserve">La guerre d’agression menée par la Russie a d’importantes répercussions négatives sur la </w:t>
      </w:r>
      <w:r>
        <w:rPr>
          <w:b/>
          <w:noProof/>
        </w:rPr>
        <w:t>dynamique commerciale</w:t>
      </w:r>
      <w:r>
        <w:rPr>
          <w:noProof/>
        </w:rPr>
        <w:t xml:space="preserve"> dans la région de la mer Noire et dans le monde. La perturbation des exportations ukrainiennes de céréales a initialement contribué à la hausse des prix des denrées alimentaires et à l’insécurité alimentaire au niveau mondial. En réaction à ces perturbations, les corridors de solidarité UE-Ukraine</w:t>
      </w:r>
      <w:r>
        <w:rPr>
          <w:rStyle w:val="FootnoteReference"/>
          <w:rFonts w:eastAsiaTheme="minorEastAsia"/>
          <w:noProof/>
          <w:lang w:val="en-GB"/>
        </w:rPr>
        <w:footnoteReference w:id="42"/>
      </w:r>
      <w:r>
        <w:rPr>
          <w:noProof/>
        </w:rPr>
        <w:t xml:space="preserve"> ont créé de nouveaux itinéraires de transport, fournissant ainsi une aide vitale à l’économie ukrainienne. Plus important encore, ces corridors continuent de fournir de nouveaux itinéraires de transport essentiels, notamment pour les exportations de produits non agricoles ukrainiens vers l’UE ainsi que pour les exportations de l’UE vers l’Ukraine. La valeur totale des échanges réalisés via les corridors de solidarité depuis mai 2022 s’élève à </w:t>
      </w:r>
      <w:r>
        <w:rPr>
          <w:b/>
          <w:noProof/>
        </w:rPr>
        <w:t>environ 213 milliards d’EUR</w:t>
      </w:r>
      <w:r>
        <w:rPr>
          <w:noProof/>
        </w:rPr>
        <w:t xml:space="preserve">, dont </w:t>
      </w:r>
      <w:r>
        <w:rPr>
          <w:b/>
          <w:noProof/>
        </w:rPr>
        <w:t>quelque 150 milliards d’EUR</w:t>
      </w:r>
      <w:r>
        <w:rPr>
          <w:noProof/>
        </w:rPr>
        <w:t xml:space="preserve"> d’importations vers l’Ukraine. Plus de </w:t>
      </w:r>
      <w:r>
        <w:rPr>
          <w:b/>
          <w:noProof/>
        </w:rPr>
        <w:t>deux milliards d’EUR</w:t>
      </w:r>
      <w:r>
        <w:rPr>
          <w:noProof/>
        </w:rPr>
        <w:t xml:space="preserve"> ont été mobilisés pour renforcer les corridors de solidarité, notamment grâce à des contributions de la Commission, de la Banque européenne d’investissement, de la Banque européenne pour la reconstruction et le développement et de la Banque mondiale</w:t>
      </w:r>
      <w:r>
        <w:rPr>
          <w:rStyle w:val="FootnoteReference"/>
          <w:rFonts w:eastAsiaTheme="minorEastAsia"/>
          <w:noProof/>
        </w:rPr>
        <w:footnoteReference w:id="43"/>
      </w:r>
      <w:r>
        <w:rPr>
          <w:noProof/>
        </w:rPr>
        <w:t xml:space="preserve">. La mise en place réussie d’un nouveau corridor maritime par l’Ukraine a permis la reprise des exportations de céréales à partir des ports ukrainiens de la mer Noire, une opération également facilitée par le maintien de la capacité des ports ukrainiens situés sur le Danube qui sont directement reliés aux ports maritimes de la mer Noire ou de l’UE. </w:t>
      </w:r>
    </w:p>
    <w:p w14:paraId="5FD371B7" w14:textId="6F6E011D" w:rsidR="00454A58" w:rsidRDefault="00454A58" w:rsidP="009F2A81">
      <w:pPr>
        <w:rPr>
          <w:noProof/>
        </w:rPr>
      </w:pPr>
      <w:r>
        <w:rPr>
          <w:noProof/>
        </w:rPr>
        <w:t>Malgré ces opérations fructueuses, les attaques régulières et ciblées de la Russie continuent d’entraver les transports et les investissements en général dans des projets et des infrastructures régionaux, et donnent lieu à des frais d’assurance élevés. Des investissements importants seront nécessaires non seulement pour reconstruire les infrastructures de transport dans la région de la mer Noire et du Danube gravement endommagées à la suite d’attaques répétées, ce qui a eu des répercussions négatives sur le commerce, augmenté les coûts et compromis la fiabilité des transports, mais aussi pour améliorer et moderniser les infrastructures, les systèmes logistiques et les équipements de contrôle aux frontières obsolètes afin de les mettre en conformité avec les normes de l’UE.</w:t>
      </w:r>
    </w:p>
    <w:p w14:paraId="645F030C" w14:textId="6495E3F2" w:rsidR="00163CC7" w:rsidRDefault="00163CC7" w:rsidP="00163CC7">
      <w:pPr>
        <w:rPr>
          <w:noProof/>
        </w:rPr>
      </w:pPr>
      <w:r>
        <w:rPr>
          <w:noProof/>
        </w:rPr>
        <w:t xml:space="preserve">En réponse directe aux conséquences négatives de la guerre d’agression menée par la Russie sur la dynamique des échanges dans la région de la mer Noire et à l’échelle mondiale, le volume des échanges via le </w:t>
      </w:r>
      <w:r>
        <w:rPr>
          <w:b/>
          <w:noProof/>
        </w:rPr>
        <w:t>corridor de transport transcaspien</w:t>
      </w:r>
      <w:r>
        <w:rPr>
          <w:noProof/>
        </w:rPr>
        <w:t xml:space="preserve"> (TCTC) a doublé en 2022, une forte augmentation de la demande ayant entraîné une augmentation substantielle du trafic de conteneurs. Une lutte efficace contre les goulets d’étranglement et les pénuries de capacités permettrait de créer une solution de substitution économiquement viable pour les opérateurs du secteur privé cherchant à diversifier les routes commerciales, tout en réduisant le temps de transit estimé actuellement à 14-45 jours</w:t>
      </w:r>
      <w:r>
        <w:rPr>
          <w:rStyle w:val="FootnoteReference"/>
          <w:noProof/>
        </w:rPr>
        <w:footnoteReference w:id="44"/>
      </w:r>
      <w:r>
        <w:rPr>
          <w:noProof/>
        </w:rPr>
        <w:t>.</w:t>
      </w:r>
    </w:p>
    <w:p w14:paraId="7CE7DB24" w14:textId="785D69E5" w:rsidR="6511F8CB" w:rsidRPr="002177B3" w:rsidRDefault="002760C8" w:rsidP="009F2A81">
      <w:pPr>
        <w:rPr>
          <w:noProof/>
        </w:rPr>
      </w:pPr>
      <w:r>
        <w:rPr>
          <w:noProof/>
        </w:rPr>
        <w:t>La coopération avec les partenaires régionaux, en particulier l’Azerbaïdjan</w:t>
      </w:r>
      <w:r>
        <w:rPr>
          <w:rStyle w:val="FootnoteReference"/>
          <w:noProof/>
          <w:lang w:val="en-GB"/>
        </w:rPr>
        <w:footnoteReference w:id="45"/>
      </w:r>
      <w:r>
        <w:rPr>
          <w:noProof/>
        </w:rPr>
        <w:t>, est l’une des actions essentielles pour soutenir les efforts déployés par l’UE afin de supprimer progressivement les importations d’énergie russe restantes et accélérer la diversification énergétique, comme indiqué dans la feuille de route REPowerEU</w:t>
      </w:r>
      <w:r>
        <w:rPr>
          <w:rStyle w:val="FootnoteReference"/>
          <w:noProof/>
          <w:lang w:val="en-GB"/>
        </w:rPr>
        <w:footnoteReference w:id="46"/>
      </w:r>
      <w:r>
        <w:rPr>
          <w:noProof/>
        </w:rPr>
        <w:t>, et ainsi renforcer la sécurité énergétique de l’Union. En tant qu’hôte de la COP 29, l’Azerbaïdjan s’est en outre engagé en faveur de la décarbonation et du processus multilatéral, qui constitue une priorité centrale pour l’UE.</w:t>
      </w:r>
    </w:p>
    <w:p w14:paraId="42996A79" w14:textId="6A2DAD6B" w:rsidR="00554A1C" w:rsidRPr="002177B3" w:rsidRDefault="00DF0193" w:rsidP="009F2A81">
      <w:pPr>
        <w:rPr>
          <w:strike/>
          <w:noProof/>
        </w:rPr>
      </w:pPr>
      <w:bookmarkStart w:id="12" w:name="_Hlk197060579"/>
      <w:bookmarkEnd w:id="11"/>
      <w:r>
        <w:rPr>
          <w:noProof/>
        </w:rPr>
        <w:t>La région de la mer Noire offre un potentiel considérable et diversifié de sources d’</w:t>
      </w:r>
      <w:r>
        <w:rPr>
          <w:b/>
          <w:noProof/>
        </w:rPr>
        <w:t>énergie renouvelables</w:t>
      </w:r>
      <w:r>
        <w:rPr>
          <w:noProof/>
        </w:rPr>
        <w:t xml:space="preserve"> pour générer des gains d’efficacité énergétique, qui peut être exploité pour décarboner les économies conformément aux engagements internationaux des pays. Ce potentiel fait de la région un partenaire énergétique important pour l’UE et les autres régions. </w:t>
      </w:r>
      <w:bookmarkEnd w:id="12"/>
      <w:r>
        <w:rPr>
          <w:noProof/>
        </w:rPr>
        <w:t xml:space="preserve">L’accélération du déploiement des carburants renouvelables sera indispensable pour réduire la dépendance extérieure à l’égard des combustibles fossiles. La coopération technique et financière a renforcé la sécurité énergétique et accéléré la transition énergétique. </w:t>
      </w:r>
      <w:bookmarkStart w:id="13" w:name="_Hlk197060693"/>
      <w:r>
        <w:rPr>
          <w:noProof/>
        </w:rPr>
        <w:t>Dans le même temps, il convient de renforcer la coopération énergétique dans la région de la mer Noire</w:t>
      </w:r>
      <w:r>
        <w:rPr>
          <w:rStyle w:val="FootnoteReference"/>
          <w:noProof/>
          <w:lang w:val="en-GB"/>
        </w:rPr>
        <w:footnoteReference w:id="47"/>
      </w:r>
      <w:r>
        <w:rPr>
          <w:noProof/>
        </w:rPr>
        <w:t xml:space="preserve"> pour relever les défis communs, réduire la dépendance à l’égard des importations et rationaliser les différents environnements réglementaires qui entravent les interconnexions et l’intégration du marché de l’énergie. En investissant dans des projets transfrontières en matière d’interconnexion énergétique et d’énergies renouvelables, et en approfondissant ces projets, l’UE et les pays partenaires jetteront les bases de marchés régionaux de l’énergie véritablement intégrés qui soutiennent la décarbonation, renforcent la résilience et ouvrent de nouvelles possibilités d’investissement pour le déploiement de technologies propres. L’UE collaborera étroitement avec ses partenaires régionaux pour définir une trajectoire commune. Plusieurs projets d’infrastructure sont déjà en cours de discussion, dont une connexion électrique avec la région de la mer Noire. L’UE est prête à les étudier en vue d’un éventuel soutien en tant que projet d’intérêt mutuel et à rechercher des moyens de promouvoir l’élargissement des liens en matière d’énergie verte à l’ensemble de la région, également dans le cadre de la stratégie «Global Gateway» ou avec la Banque européenne d’investissement.</w:t>
      </w:r>
    </w:p>
    <w:bookmarkEnd w:id="13"/>
    <w:p w14:paraId="108ABE58" w14:textId="6E580348" w:rsidR="00DD67B1" w:rsidRDefault="00D20C17" w:rsidP="009F2A81">
      <w:pPr>
        <w:rPr>
          <w:noProof/>
        </w:rPr>
      </w:pPr>
      <w:r>
        <w:rPr>
          <w:noProof/>
        </w:rPr>
        <w:t xml:space="preserve">En ce qui concerne la </w:t>
      </w:r>
      <w:r>
        <w:rPr>
          <w:b/>
          <w:noProof/>
        </w:rPr>
        <w:t>sûreté nucléaire</w:t>
      </w:r>
      <w:r>
        <w:rPr>
          <w:noProof/>
        </w:rPr>
        <w:t xml:space="preserve">, les centrales nucléaires situées autour de la région de la mer Noire sont également exposées à de multiples risques, notamment des risques liés aux catastrophes naturelles et aux conflits armés. Les pays qui ont opté pour l’énergie nucléaire doivent respecter les normes les plus strictes en matière de sûreté, de sécurité et de non-prolifération nucléaires.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359BA2FA"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3321A44D" w14:textId="77777777" w:rsidR="00464695" w:rsidRDefault="00397CBA" w:rsidP="00464695">
            <w:pPr>
              <w:rPr>
                <w:b/>
                <w:bCs/>
                <w:noProof/>
              </w:rPr>
            </w:pPr>
            <w:r>
              <w:rPr>
                <w:b/>
                <w:noProof/>
              </w:rPr>
              <w:t>Les actions clés</w:t>
            </w:r>
            <w:r>
              <w:rPr>
                <w:noProof/>
              </w:rPr>
              <w:t xml:space="preserve"> sont les suivantes: </w:t>
            </w:r>
          </w:p>
          <w:p w14:paraId="42CB8799" w14:textId="77777777" w:rsidR="00464695" w:rsidRDefault="00102D39" w:rsidP="00464695">
            <w:pPr>
              <w:pStyle w:val="ListParagraph"/>
              <w:numPr>
                <w:ilvl w:val="0"/>
                <w:numId w:val="78"/>
              </w:numPr>
              <w:rPr>
                <w:noProof/>
              </w:rPr>
            </w:pPr>
            <w:r>
              <w:rPr>
                <w:b/>
                <w:noProof/>
              </w:rPr>
              <w:t>la coordination de la planification des investissements et le développement d’infrastructures stratégiques transfrontalières en matière douanière et de transport sur le réseau RTE</w:t>
            </w:r>
            <w:r>
              <w:rPr>
                <w:b/>
                <w:noProof/>
              </w:rPr>
              <w:noBreakHyphen/>
              <w:t>T élargi</w:t>
            </w:r>
            <w:r>
              <w:rPr>
                <w:noProof/>
              </w:rPr>
              <w:t xml:space="preserve"> et l’exploitation de liaisons de transport multimodales améliorées, y compris des liaisons ferroviaires, routières et fluviales avec les principaux ports de la mer Noire et des liaisons avec la région du Danube, renforceront la position de la région en tant que pôle commercial vital ainsi que son rôle clé dans le corridor de transport transcaspien;</w:t>
            </w:r>
          </w:p>
          <w:p w14:paraId="057DD4A7" w14:textId="77777777" w:rsidR="00464695" w:rsidRDefault="00102D39" w:rsidP="00464695">
            <w:pPr>
              <w:pStyle w:val="ListParagraph"/>
              <w:numPr>
                <w:ilvl w:val="0"/>
                <w:numId w:val="78"/>
              </w:numPr>
              <w:rPr>
                <w:noProof/>
              </w:rPr>
            </w:pPr>
            <w:r>
              <w:rPr>
                <w:b/>
                <w:noProof/>
              </w:rPr>
              <w:t xml:space="preserve">la transition vers un système de transport et de port maritime plus propre, plus sûr, plus économe en énergie et décarboné. </w:t>
            </w:r>
            <w:r>
              <w:rPr>
                <w:noProof/>
              </w:rPr>
              <w:t>Combler les lacunes des cadres réglementaires, accroître l’efficacité des administrations maritimes et encourager l’échange de bonnes pratiques et le renforcement des institutions sont autant de mesures qui permettront la transition vers un transport et un système de port maritime plus propres, plus sûrs, plus économes en énergie et décarbonés;</w:t>
            </w:r>
          </w:p>
          <w:p w14:paraId="032D44D0" w14:textId="77777777" w:rsidR="00464695" w:rsidRDefault="00102D39" w:rsidP="00464695">
            <w:pPr>
              <w:pStyle w:val="ListParagraph"/>
              <w:numPr>
                <w:ilvl w:val="0"/>
                <w:numId w:val="78"/>
              </w:numPr>
              <w:rPr>
                <w:noProof/>
              </w:rPr>
            </w:pPr>
            <w:r>
              <w:rPr>
                <w:b/>
                <w:noProof/>
              </w:rPr>
              <w:t xml:space="preserve">il est possible de prendre des mesures en faveur de l’efficacité énergétique et d’accroître l’utilisation des sources d’énergie renouvelables </w:t>
            </w:r>
            <w:r w:rsidRPr="00A04E34">
              <w:rPr>
                <w:bCs/>
                <w:noProof/>
              </w:rPr>
              <w:t>en</w:t>
            </w:r>
            <w:r>
              <w:rPr>
                <w:noProof/>
              </w:rPr>
              <w:t xml:space="preserve"> améliorant la planification du développement du réseau, la convergence des cadres réglementaires et des codes de réseau, les projets transfrontières potentiels dans le domaine des énergies renouvelables, les projets pilotes tels que les parcs éoliens flottants en mer ou les systèmes géothermiques améliorés. Ces actions peuvent contribuer à la décarbonation du chauffage, de l’industrie et des transports en soutenant l’électrification et l’hydrogène propre; </w:t>
            </w:r>
          </w:p>
          <w:p w14:paraId="5ED06C37" w14:textId="46A2B818" w:rsidR="00F37513" w:rsidRPr="00661EEA" w:rsidRDefault="00F37513" w:rsidP="00464695">
            <w:pPr>
              <w:pStyle w:val="ListParagraph"/>
              <w:numPr>
                <w:ilvl w:val="0"/>
                <w:numId w:val="78"/>
              </w:numPr>
              <w:rPr>
                <w:bCs/>
                <w:noProof/>
              </w:rPr>
            </w:pPr>
            <w:r>
              <w:rPr>
                <w:b/>
                <w:noProof/>
              </w:rPr>
              <w:t xml:space="preserve">matières premières critiques. </w:t>
            </w:r>
            <w:r>
              <w:rPr>
                <w:noProof/>
              </w:rPr>
              <w:t xml:space="preserve">Approfondir la coopération dans le domaine des matières premières critiques afin de garantir des chaînes d’approvisionnement durables et diversifiées ainsi qu’une prospérité mutuelle, notamment dans le cadre du suivi du sommet UE-Asie centrale;   </w:t>
            </w:r>
          </w:p>
          <w:p w14:paraId="54613995" w14:textId="4209C460" w:rsidR="00102D39" w:rsidRPr="00464695" w:rsidRDefault="00102D39" w:rsidP="00464695">
            <w:pPr>
              <w:pStyle w:val="ListParagraph"/>
              <w:numPr>
                <w:ilvl w:val="0"/>
                <w:numId w:val="78"/>
              </w:numPr>
              <w:rPr>
                <w:noProof/>
              </w:rPr>
            </w:pPr>
            <w:r>
              <w:rPr>
                <w:b/>
                <w:noProof/>
              </w:rPr>
              <w:t xml:space="preserve">renforcer la sécurité énergétique et la protection des infrastructures. </w:t>
            </w:r>
            <w:r>
              <w:rPr>
                <w:noProof/>
              </w:rPr>
              <w:t>La sécurité énergétique et la protection des infrastructures seront renforcées par l’amélioration de la sécurité physique, l’optimisation des flux d’énergie au moyen de réseaux intelligents et la protection des câbles sous-marins existants en mer Noire contre les menaces pour la sécurité, conformément au plan d’action de l’UE sur la sécurité des câbles</w:t>
            </w:r>
            <w:r>
              <w:rPr>
                <w:rStyle w:val="FootnoteReference"/>
                <w:rFonts w:eastAsiaTheme="minorEastAsia"/>
                <w:noProof/>
                <w:lang w:val="en-GB"/>
              </w:rPr>
              <w:footnoteReference w:id="48"/>
            </w:r>
            <w:r w:rsidR="00A04E34">
              <w:rPr>
                <w:noProof/>
              </w:rPr>
              <w:t>;</w:t>
            </w:r>
          </w:p>
          <w:p w14:paraId="17E8F463" w14:textId="249A4686" w:rsidR="00283AA7" w:rsidRPr="00844253" w:rsidRDefault="00283AA7" w:rsidP="00300924">
            <w:pPr>
              <w:pStyle w:val="ListParagraph"/>
              <w:numPr>
                <w:ilvl w:val="0"/>
                <w:numId w:val="78"/>
              </w:numPr>
              <w:rPr>
                <w:bCs/>
                <w:noProof/>
              </w:rPr>
            </w:pPr>
            <w:r>
              <w:rPr>
                <w:noProof/>
              </w:rPr>
              <w:t xml:space="preserve">soutenir les liens énergétiques entre les pays riverains de la mer Noire, et en particulier la création d’un </w:t>
            </w:r>
            <w:r>
              <w:rPr>
                <w:b/>
                <w:noProof/>
              </w:rPr>
              <w:t>corridor d’énergie verte</w:t>
            </w:r>
            <w:r>
              <w:rPr>
                <w:noProof/>
              </w:rPr>
              <w:t xml:space="preserve"> reliant la production d’énergie propre dans la région du Caucase aux marchés de l’UE à l’aide, par exemple, d’interconnexions électriques sous-marines, sous la mer Noire;</w:t>
            </w:r>
          </w:p>
          <w:p w14:paraId="57B575AB" w14:textId="77777777" w:rsidR="00102D39" w:rsidRPr="00634498" w:rsidRDefault="00102D39" w:rsidP="00102D39">
            <w:pPr>
              <w:pStyle w:val="ListParagraph"/>
              <w:keepNext/>
              <w:keepLines/>
              <w:numPr>
                <w:ilvl w:val="0"/>
                <w:numId w:val="78"/>
              </w:numPr>
              <w:rPr>
                <w:b/>
                <w:bCs/>
                <w:noProof/>
              </w:rPr>
            </w:pPr>
            <w:r>
              <w:rPr>
                <w:b/>
                <w:noProof/>
              </w:rPr>
              <w:t>le niveau le plus élevé de sûreté nucléaire</w:t>
            </w:r>
            <w:r>
              <w:rPr>
                <w:noProof/>
              </w:rPr>
              <w:t xml:space="preserve"> continuera d’être assuré grâce à la coopération avec les partenaires régionaux dans les domaines de la sûreté, de la sécurité et des garanties nucléaires;</w:t>
            </w:r>
          </w:p>
          <w:p w14:paraId="43EEA779" w14:textId="67700D04" w:rsidR="00397CBA" w:rsidRPr="00844253" w:rsidRDefault="00102D39" w:rsidP="00300924">
            <w:pPr>
              <w:pStyle w:val="ListParagraph"/>
              <w:numPr>
                <w:ilvl w:val="0"/>
                <w:numId w:val="78"/>
              </w:numPr>
              <w:rPr>
                <w:noProof/>
              </w:rPr>
            </w:pPr>
            <w:r>
              <w:rPr>
                <w:noProof/>
              </w:rPr>
              <w:t>il est nécessaire de</w:t>
            </w:r>
            <w:r>
              <w:rPr>
                <w:b/>
                <w:noProof/>
              </w:rPr>
              <w:t xml:space="preserve"> créer des liaisons numériques et un environnement numérique fiable</w:t>
            </w:r>
            <w:r>
              <w:rPr>
                <w:noProof/>
              </w:rPr>
              <w:t xml:space="preserve"> afin de permettre une coopération sûre entre les services répressifs, la numérisation des procédures douanières, les initiatives de guichet unique et l’interopérabilité transfrontière des services numériques, ainsi que les actions visant à numériser les entreprises et à promouvoir les compétences numériques, l’innovation et la recherche.</w:t>
            </w:r>
          </w:p>
        </w:tc>
      </w:tr>
    </w:tbl>
    <w:p w14:paraId="053CC09D" w14:textId="77777777" w:rsidR="00115A14" w:rsidRPr="004F6065" w:rsidRDefault="00115A14" w:rsidP="00115A14">
      <w:pPr>
        <w:rPr>
          <w:noProof/>
          <w:lang w:val="fr-BE"/>
        </w:rPr>
      </w:pPr>
    </w:p>
    <w:p w14:paraId="59E61D9D" w14:textId="1D1730B8" w:rsidR="007B23B5" w:rsidRPr="002177B3" w:rsidRDefault="00356127" w:rsidP="009F2A81">
      <w:pPr>
        <w:pStyle w:val="Heading2"/>
        <w:rPr>
          <w:noProof/>
        </w:rPr>
      </w:pPr>
      <w:r>
        <w:rPr>
          <w:noProof/>
        </w:rPr>
        <w:t>2.2</w:t>
      </w:r>
      <w:r>
        <w:rPr>
          <w:noProof/>
        </w:rPr>
        <w:tab/>
        <w:t xml:space="preserve">Un développement intégré pour une région de la mer Noire compétitive </w:t>
      </w:r>
    </w:p>
    <w:p w14:paraId="6C0AE441" w14:textId="409E5959" w:rsidR="0097187B" w:rsidRPr="002177B3" w:rsidRDefault="004A13CB" w:rsidP="009F2A81">
      <w:pPr>
        <w:rPr>
          <w:b/>
          <w:bCs/>
          <w:noProof/>
        </w:rPr>
      </w:pPr>
      <w:r>
        <w:rPr>
          <w:noProof/>
        </w:rPr>
        <w:t>Parallèlement à la connectivité, la modernisation et la décarbonation des secteurs clés de l’économie, notamment l’économie bleue et l’agriculture, stimuleront la croissance économique et la compétitivité dans la région. Au cours de ce processus, il convient de donner la priorité à la cohésion et à un développement équilibré afin de créer une économie plus prospère et plus résiliente, dans laquelle toutes les régions et toutes les communautés peuvent bénéficier d’une croissance et d’un développement durables.</w:t>
      </w:r>
    </w:p>
    <w:p w14:paraId="78E371BE" w14:textId="57AAC38E" w:rsidR="00CD11FB" w:rsidRPr="002177B3" w:rsidRDefault="00042166" w:rsidP="009F2A81">
      <w:pPr>
        <w:rPr>
          <w:noProof/>
        </w:rPr>
      </w:pPr>
      <w:r>
        <w:rPr>
          <w:noProof/>
        </w:rPr>
        <w:t xml:space="preserve">Des avancées concrètes ont été réalisées dans l’économie bleue dans la région de la mer Noire grâce au </w:t>
      </w:r>
      <w:r>
        <w:rPr>
          <w:b/>
          <w:noProof/>
        </w:rPr>
        <w:t>programme maritime commun pour la mer Noire</w:t>
      </w:r>
      <w:r>
        <w:rPr>
          <w:rStyle w:val="FootnoteReference"/>
          <w:noProof/>
          <w:lang w:val="en-GB"/>
        </w:rPr>
        <w:footnoteReference w:id="49"/>
      </w:r>
      <w:r>
        <w:rPr>
          <w:noProof/>
        </w:rPr>
        <w:t xml:space="preserve">, soutenu par l’UE, dans les domaines de la gestion de la pollution marine, de l’entrepreneuriat de l’économie bleue, du tourisme côtier, de l’innovation et de la protection de l’environnement. Dans le cadre de la Commission générale des pêches pour la Méditerranée (CGPM), la pêche et l’aquaculture durables en mer Noire resteront un domaine d’intérêt commun essentiel et procureront des avantages substantiels à long terme, bien au-delà du secteur de la pêche et de l’aquaculture. </w:t>
      </w:r>
    </w:p>
    <w:p w14:paraId="488F8806" w14:textId="42FBF666" w:rsidR="00022A7C" w:rsidRPr="002177B3" w:rsidRDefault="00022A7C" w:rsidP="009F2A81">
      <w:pPr>
        <w:rPr>
          <w:noProof/>
        </w:rPr>
      </w:pPr>
      <w:r>
        <w:rPr>
          <w:noProof/>
        </w:rPr>
        <w:t>L’</w:t>
      </w:r>
      <w:r>
        <w:rPr>
          <w:b/>
          <w:noProof/>
        </w:rPr>
        <w:t>agriculture</w:t>
      </w:r>
      <w:r>
        <w:rPr>
          <w:noProof/>
        </w:rPr>
        <w:t xml:space="preserve"> est un autre domaine d’une importance cruciale pour le développement régional intégré. L’exportation de denrées alimentaires de base telles que le blé, le maïs et l’huile de tournesol, en particulier à destination de partenaires mondiaux, joue un rôle essentiel dans la sécurité alimentaire mondiale. Le maintien de ces voies d’exportation traditionnelles, qui ont été perturbées par la guerre d’agression menée par la Russie, est vital et contribue à la stabilité de l’approvisionnement alimentaire mondial. Pour libérer tout le potentiel de la région, il convient d’adopter une approche multidimensionnelle du développement agricole axée sur le renforcement des normes appliquées à la production agricole, les capacités commerciales et notamment la logistique alimentaire, ainsi que la promotion de pratiques agricoles durables qui réduisent au minimum l’empreinte écologique du secteur et son exposition au changement climatique. Les possibilités de coopération entre les partenaires pour faire face aux dépendances critiques seront explorées. </w:t>
      </w:r>
    </w:p>
    <w:p w14:paraId="45622DB7" w14:textId="251E64E8" w:rsidR="004501C2" w:rsidRPr="002177B3" w:rsidRDefault="00F3719D" w:rsidP="009F2A81">
      <w:pPr>
        <w:rPr>
          <w:noProof/>
        </w:rPr>
      </w:pPr>
      <w:r>
        <w:rPr>
          <w:noProof/>
        </w:rPr>
        <w:t>L’</w:t>
      </w:r>
      <w:r>
        <w:rPr>
          <w:b/>
          <w:noProof/>
        </w:rPr>
        <w:t>éducation, les compétences, la recherche et l’innovation</w:t>
      </w:r>
      <w:r>
        <w:rPr>
          <w:noProof/>
        </w:rPr>
        <w:t xml:space="preserve"> sont des moteurs essentiels de la compétitivité et de la croissance économique. L’UE s’appuiera sur les partenariats existants avec ses homologues de la région de la mer Noire, y compris ceux établis dans le cadre du programme Erasmus+, afin d’évaluer les besoins en compétences, d’améliorer la qualité de l’éducation et de doter les citoyens des compétences nécessaires pour pouvoir faire face à l’évolution de la société et du marché du travail et pour stimuler la croissance future. </w:t>
      </w:r>
    </w:p>
    <w:p w14:paraId="62808FA8" w14:textId="7947B9B5" w:rsidR="00BF51C8" w:rsidRPr="002177B3" w:rsidRDefault="008067B8" w:rsidP="009F2A81">
      <w:pPr>
        <w:rPr>
          <w:noProof/>
        </w:rPr>
      </w:pPr>
      <w:r>
        <w:rPr>
          <w:noProof/>
        </w:rPr>
        <w:t xml:space="preserve">La région de la mer Noire peut également bénéficier d’une consolidation des liens en matière de recherche et d’innovation avec l’écosystème de l’innovation et des jeunes pousses de l’UE, qui permettra la </w:t>
      </w:r>
      <w:r>
        <w:rPr>
          <w:b/>
          <w:noProof/>
        </w:rPr>
        <w:t>commercialisation des résultats de la recherche</w:t>
      </w:r>
      <w:r>
        <w:rPr>
          <w:noProof/>
        </w:rPr>
        <w:t xml:space="preserve"> et stimulera les gains de productivité et les gains économiques pour l’ensemble de la région. La coopération scientifique peut créer des passerelles dans la région et au-delà. La plupart des partenaires de la région sont déjà associés aux programmes-cadres de l’UE pour </w:t>
      </w:r>
      <w:r>
        <w:rPr>
          <w:b/>
          <w:noProof/>
        </w:rPr>
        <w:t>la recherche et l’innovation</w:t>
      </w:r>
      <w:r>
        <w:rPr>
          <w:noProof/>
        </w:rPr>
        <w:t xml:space="preserve"> et peuvent accéder aux services de formation et de soutien au renforcement des capacités fournis par le Centre commun de recherche de la Commission européenne. La participation de la région aux programmes-cadres ne fait que croître. Des initiatives telles que l</w:t>
      </w:r>
      <w:r w:rsidR="00047B69">
        <w:rPr>
          <w:noProof/>
        </w:rPr>
        <w:t>’</w:t>
      </w:r>
      <w:r>
        <w:rPr>
          <w:noProof/>
        </w:rPr>
        <w:t xml:space="preserve">initiative «Danube and Black Sea lighthouse» (Phare du Danube et de la mer Noire) menée dans le cadre de la mission de l’UE «Restaurer notre océan et notre milieu aquatique d’ici à 2030» soutiennent la recherche et l’innovation en eau douce et en mer, en réunissant les acteurs locaux et les acteurs du secteur dans la région. Le partenariat pour une économie bleue durable se concentre également sur la mer Noire. L’initiative BIOEAST a pour objectif d’étendre ses activités à l’Ukraine, à la République de Moldavie et aux Balkans occidentaux dans le domaine de l’agriculture, de la sylviculture et de l’aquaculture fondées sur la connaissance dans le cadre de la bioéconomie. </w:t>
      </w:r>
    </w:p>
    <w:p w14:paraId="7914197D" w14:textId="24D6CE06" w:rsidR="001F08E7" w:rsidRPr="002177B3" w:rsidRDefault="0044725D" w:rsidP="009F2A81">
      <w:pPr>
        <w:rPr>
          <w:noProof/>
        </w:rPr>
      </w:pPr>
      <w:r>
        <w:rPr>
          <w:noProof/>
        </w:rPr>
        <w:t xml:space="preserve">Le soutien de l’UE à la </w:t>
      </w:r>
      <w:r>
        <w:rPr>
          <w:b/>
          <w:noProof/>
        </w:rPr>
        <w:t>cohésion territoriale</w:t>
      </w:r>
      <w:r>
        <w:rPr>
          <w:noProof/>
        </w:rPr>
        <w:t xml:space="preserve"> par l’intermédiaire du programme </w:t>
      </w:r>
      <w:r>
        <w:rPr>
          <w:b/>
          <w:noProof/>
        </w:rPr>
        <w:t>Interreg NEXT «Bassin de la mer Noire»</w:t>
      </w:r>
      <w:r>
        <w:rPr>
          <w:noProof/>
        </w:rPr>
        <w:t xml:space="preserve"> contribuera à réduire les écarts entre les différentes zones en ce qui concerne les possibilités de développement et à faire de la région de la mer Noire un lieu de vie, de travail et d’investissement plus attractif. Il s’agit notamment de soutenir le renforcement des structures de gouvernance régionales et de développer les capacités administratives et d’investissement en ce qui concerne les projets locaux et régionaux, en particulier pour les pays qui sont sur la voie de l’adhésion à l’UE. L’UE et ses partenaires poursuivront également leur coopération en vue d’améliorer l’égalité de genre, notamment en comblant le fossé et les écarts de rémunération entre les hommes et les femmes, ainsi que d’améliorer l’accès à des services de soins de qualité et abordables pour les personnes dans le besoin, y compris pour les enfants et les personnes âgées, afin de faciliter une participation active au marché du travail, essentielle au développement des communautés et à la prospérité globale de la région. </w:t>
      </w: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397CBA" w:rsidRPr="002177B3" w14:paraId="7719F448" w14:textId="77777777" w:rsidTr="00761186">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8834EC4" w14:textId="77777777" w:rsidR="00397CBA" w:rsidRPr="002177B3" w:rsidRDefault="00397CBA" w:rsidP="00761186">
            <w:pPr>
              <w:rPr>
                <w:noProof/>
                <w:color w:val="000000"/>
              </w:rPr>
            </w:pPr>
            <w:bookmarkStart w:id="14" w:name="_Hlk198803237"/>
            <w:r>
              <w:rPr>
                <w:b/>
                <w:noProof/>
                <w:color w:val="000000"/>
              </w:rPr>
              <w:t>Les actions clés</w:t>
            </w:r>
            <w:r>
              <w:rPr>
                <w:noProof/>
                <w:color w:val="000000"/>
              </w:rPr>
              <w:t xml:space="preserve"> consistent notamment à: </w:t>
            </w:r>
          </w:p>
          <w:p w14:paraId="19891034" w14:textId="6AF1E516" w:rsidR="00D12914" w:rsidRDefault="00D12914" w:rsidP="00D12914">
            <w:pPr>
              <w:pStyle w:val="ListParagraph"/>
              <w:numPr>
                <w:ilvl w:val="0"/>
                <w:numId w:val="80"/>
              </w:numPr>
              <w:rPr>
                <w:bCs/>
                <w:noProof/>
              </w:rPr>
            </w:pPr>
            <w:r>
              <w:rPr>
                <w:b/>
                <w:noProof/>
              </w:rPr>
              <w:t xml:space="preserve">donner la priorité aux investissements dans l’économie bleue. </w:t>
            </w:r>
            <w:r>
              <w:rPr>
                <w:noProof/>
              </w:rPr>
              <w:t xml:space="preserve">L’UE mobilisera des investissements dans des projets relatifs à l’économie bleue, y compris l’aquaculture durable et le tourisme côtier et maritime, en renforçant la participation des communautés locales et des parties prenantes régionales. Renforcer leurs capacités, notamment en ce qui concerne les priorités du futur pacte européen pour les océans; </w:t>
            </w:r>
          </w:p>
          <w:p w14:paraId="3A3F4E4B" w14:textId="77777777" w:rsidR="00D12914" w:rsidRDefault="00D12914" w:rsidP="00D12914">
            <w:pPr>
              <w:pStyle w:val="ListParagraph"/>
              <w:numPr>
                <w:ilvl w:val="0"/>
                <w:numId w:val="80"/>
              </w:numPr>
              <w:rPr>
                <w:noProof/>
              </w:rPr>
            </w:pPr>
            <w:r>
              <w:rPr>
                <w:b/>
                <w:noProof/>
              </w:rPr>
              <w:t>mobiliser les investissements du secteur privé en faveur de l’économie bleue.</w:t>
            </w:r>
            <w:r>
              <w:rPr>
                <w:noProof/>
              </w:rPr>
              <w:t xml:space="preserve"> Faciliter l’accès aux mécanismes de financement pour les PME innovantes, mobiliser le secteur privé et tirer parti des mécanismes de financement permettant des investissements à plus grande échelle dans l’économie bleue, notamment dans le cadre des fonds de la politique de cohésion de l’UE, sont autant de mesures qui renforceront la compétitivité et la décarbonation des secteurs clés de l’économie bleue ainsi que leur capacité d’innovation;</w:t>
            </w:r>
          </w:p>
          <w:p w14:paraId="29AB5DF4" w14:textId="26ACB5A3" w:rsidR="00D12914" w:rsidRDefault="00D12914" w:rsidP="00D12914">
            <w:pPr>
              <w:pStyle w:val="ListParagraph"/>
              <w:numPr>
                <w:ilvl w:val="0"/>
                <w:numId w:val="80"/>
              </w:numPr>
              <w:rPr>
                <w:noProof/>
              </w:rPr>
            </w:pPr>
            <w:r>
              <w:rPr>
                <w:b/>
                <w:noProof/>
              </w:rPr>
              <w:t xml:space="preserve">parvenir à une utilisation durable des ressources marines. </w:t>
            </w:r>
            <w:r>
              <w:rPr>
                <w:noProof/>
              </w:rPr>
              <w:t>Améliorer la planification de l’espace maritime dans le bassin maritime, assurer une gestion efficace des pêches</w:t>
            </w:r>
            <w:r>
              <w:rPr>
                <w:rStyle w:val="FootnoteReference"/>
                <w:noProof/>
                <w:lang w:val="en-GB"/>
              </w:rPr>
              <w:footnoteReference w:id="50"/>
            </w:r>
            <w:r>
              <w:rPr>
                <w:noProof/>
              </w:rPr>
              <w:t xml:space="preserve"> et une aquaculture durable afin de garantir une utilisation équilibrée et durable de l’espace marin et des ressources biologiques de la mer</w:t>
            </w:r>
            <w:r w:rsidR="007B409A">
              <w:rPr>
                <w:noProof/>
              </w:rPr>
              <w:t>;</w:t>
            </w:r>
          </w:p>
          <w:p w14:paraId="2E4010CA" w14:textId="77777777" w:rsidR="00D12914" w:rsidRPr="004555DC" w:rsidRDefault="00D12914" w:rsidP="00D12914">
            <w:pPr>
              <w:pStyle w:val="ListParagraph"/>
              <w:numPr>
                <w:ilvl w:val="0"/>
                <w:numId w:val="80"/>
              </w:numPr>
              <w:rPr>
                <w:noProof/>
              </w:rPr>
            </w:pPr>
            <w:r>
              <w:rPr>
                <w:b/>
                <w:noProof/>
              </w:rPr>
              <w:t xml:space="preserve">préserver les routes commerciales traditionnelles vers les partenaires mondiaux, tout en renforçant les normes de production et l’agriculture durable. </w:t>
            </w:r>
            <w:r>
              <w:rPr>
                <w:noProof/>
              </w:rPr>
              <w:t>L’UE facilitera et préservera les routes commerciales établies, en particulier vers les partenaires mondiaux, y compris le transport et le stockage de produits alimentaires, tout en améliorant les normes de production et les pratiques agricoles durables, notamment l’utilisation rationnelle de l’énergie et de l’eau;</w:t>
            </w:r>
          </w:p>
          <w:p w14:paraId="6AD0E33B" w14:textId="47296C92" w:rsidR="00D12914" w:rsidRPr="002E05C1" w:rsidRDefault="00D12914" w:rsidP="00D12914">
            <w:pPr>
              <w:pStyle w:val="ListParagraph"/>
              <w:numPr>
                <w:ilvl w:val="0"/>
                <w:numId w:val="80"/>
              </w:numPr>
              <w:rPr>
                <w:noProof/>
              </w:rPr>
            </w:pPr>
            <w:r>
              <w:rPr>
                <w:b/>
                <w:noProof/>
              </w:rPr>
              <w:t xml:space="preserve">spécialisation intelligente par-delà les frontières. </w:t>
            </w:r>
            <w:r>
              <w:rPr>
                <w:noProof/>
              </w:rPr>
              <w:t>L’UE intensifiera sa coopération par-delà les frontières avec ses partenaires de la mer Noire dans le domaine de la spécialisation intelligente afin de favoriser l’intégration économique régionale</w:t>
            </w:r>
            <w:r w:rsidR="002B62C9">
              <w:rPr>
                <w:noProof/>
              </w:rPr>
              <w:t>;</w:t>
            </w:r>
          </w:p>
          <w:p w14:paraId="7F3CA1A8" w14:textId="1F239BBB" w:rsidR="005D762F" w:rsidRPr="002E05C1" w:rsidRDefault="002B62C9" w:rsidP="005D762F">
            <w:pPr>
              <w:pStyle w:val="ListParagraph"/>
              <w:numPr>
                <w:ilvl w:val="0"/>
                <w:numId w:val="80"/>
              </w:numPr>
              <w:rPr>
                <w:noProof/>
              </w:rPr>
            </w:pPr>
            <w:r>
              <w:rPr>
                <w:noProof/>
              </w:rPr>
              <w:t>s</w:t>
            </w:r>
            <w:r w:rsidR="005D762F">
              <w:rPr>
                <w:noProof/>
              </w:rPr>
              <w:t xml:space="preserve">outenir la coopération en matière de </w:t>
            </w:r>
            <w:r w:rsidR="005D762F">
              <w:rPr>
                <w:b/>
                <w:noProof/>
              </w:rPr>
              <w:t>cohésion territoriale</w:t>
            </w:r>
            <w:r w:rsidR="005D762F">
              <w:rPr>
                <w:noProof/>
              </w:rPr>
              <w:t xml:space="preserve"> et de développement, notamment en ce qui concerne l’amélioration de l’accès aux services, en particulier à des services de soins de qualité pour les personnes dans le besoin dans la société</w:t>
            </w:r>
            <w:r>
              <w:rPr>
                <w:noProof/>
              </w:rPr>
              <w:t>;</w:t>
            </w:r>
          </w:p>
          <w:p w14:paraId="6AAA4412" w14:textId="4452C058" w:rsidR="00D12914" w:rsidRPr="00324EA1" w:rsidRDefault="00D12914" w:rsidP="00D12914">
            <w:pPr>
              <w:pStyle w:val="ListParagraph"/>
              <w:numPr>
                <w:ilvl w:val="0"/>
                <w:numId w:val="80"/>
              </w:numPr>
              <w:rPr>
                <w:noProof/>
              </w:rPr>
            </w:pPr>
            <w:r>
              <w:rPr>
                <w:b/>
                <w:noProof/>
              </w:rPr>
              <w:t xml:space="preserve">investisseurs et dialogues avec les entreprises. </w:t>
            </w:r>
            <w:r>
              <w:rPr>
                <w:noProof/>
              </w:rPr>
              <w:t xml:space="preserve">L’UE intensifiera la </w:t>
            </w:r>
            <w:r>
              <w:rPr>
                <w:b/>
                <w:noProof/>
              </w:rPr>
              <w:t>participation du secteur privé</w:t>
            </w:r>
            <w:r>
              <w:rPr>
                <w:noProof/>
              </w:rPr>
              <w:t xml:space="preserve"> par des dialogues entre entreprises et des actions de sensibilisation spécifiques et sur mesure facilitant les partenariats commerciaux entre les entreprises de l’UE, notamment les PME, et celles des pays partenaires; ainsi que par l</w:t>
            </w:r>
            <w:r w:rsidR="002B62C9">
              <w:rPr>
                <w:noProof/>
              </w:rPr>
              <w:t>’</w:t>
            </w:r>
            <w:r>
              <w:rPr>
                <w:noProof/>
              </w:rPr>
              <w:t>utilisation d’instruments financiers pour réduire les risques liés aux investissements innovants présentant un potentiel de croissance, tant dans les domaines de l’industrie civile que de l’industrie de la défense, notamment pour la protection de l’environnement marin;</w:t>
            </w:r>
          </w:p>
          <w:p w14:paraId="21024746" w14:textId="0212C434" w:rsidR="00D12914" w:rsidRDefault="00D12914" w:rsidP="00D12914">
            <w:pPr>
              <w:pStyle w:val="ListParagraph"/>
              <w:numPr>
                <w:ilvl w:val="0"/>
                <w:numId w:val="80"/>
              </w:numPr>
              <w:rPr>
                <w:noProof/>
              </w:rPr>
            </w:pPr>
            <w:r>
              <w:rPr>
                <w:b/>
                <w:noProof/>
              </w:rPr>
              <w:t>renforcer la coopération et les synergies avec les cadres et initiatives régionaux au-delà de la région de la mer Noire,</w:t>
            </w:r>
            <w:r>
              <w:rPr>
                <w:noProof/>
              </w:rPr>
              <w:t xml:space="preserve"> en direction d’autres bassins maritimes tels que la mer Caspienne, la mer Baltique, la Méditerranée occidentale, l’Atlantique et la mer du Nord au sens large, ainsi qu’avec les stratégies macrorégionales, telles que la stratégie macrorégionale pour le Danube. Des partenariats macrorégionaux seront déployés dans des domaines thématiques tels que la bioéconomie (bleue), la biomasse, le lien entre l’alimentation et l’eau</w:t>
            </w:r>
            <w:r w:rsidR="002B62C9">
              <w:rPr>
                <w:noProof/>
              </w:rPr>
              <w:t>;</w:t>
            </w:r>
          </w:p>
          <w:p w14:paraId="6F750F02" w14:textId="7A717F35" w:rsidR="00D12914" w:rsidRPr="00324EA1" w:rsidRDefault="002B62C9" w:rsidP="00D12914">
            <w:pPr>
              <w:pStyle w:val="ListParagraph"/>
              <w:numPr>
                <w:ilvl w:val="0"/>
                <w:numId w:val="80"/>
              </w:numPr>
              <w:rPr>
                <w:noProof/>
              </w:rPr>
            </w:pPr>
            <w:r>
              <w:rPr>
                <w:b/>
                <w:noProof/>
              </w:rPr>
              <w:t>mettre</w:t>
            </w:r>
            <w:r w:rsidR="00D12914">
              <w:rPr>
                <w:b/>
                <w:noProof/>
              </w:rPr>
              <w:t xml:space="preserve"> en œuvre </w:t>
            </w:r>
            <w:r>
              <w:rPr>
                <w:b/>
                <w:noProof/>
              </w:rPr>
              <w:t>le</w:t>
            </w:r>
            <w:r w:rsidR="00D12914">
              <w:rPr>
                <w:b/>
                <w:noProof/>
              </w:rPr>
              <w:t xml:space="preserve"> programme stratégique de recherche et d’innovation pour la mer Noire, qui définit</w:t>
            </w:r>
            <w:r w:rsidR="00D12914">
              <w:rPr>
                <w:noProof/>
              </w:rPr>
              <w:t xml:space="preserve"> des priorités régionales communes, dont l’économie bleue et les infrastructures de recherche, ainsi que l’éducation et le renforcement des capacités. Nous nous appuierons sur les travaux du réseau opérationnel des bailleurs de fonds, faciliterons la fixation conjointe des priorités et l’élaboration d’éventuels appels de fonds ciblés qui répondent aux besoins spécifiques de la région</w:t>
            </w:r>
            <w:r>
              <w:rPr>
                <w:noProof/>
              </w:rPr>
              <w:t>;</w:t>
            </w:r>
          </w:p>
          <w:p w14:paraId="78CDC3F9" w14:textId="3C096222" w:rsidR="00D12914" w:rsidRPr="00324EA1" w:rsidRDefault="002B62C9" w:rsidP="00D12914">
            <w:pPr>
              <w:pStyle w:val="ListParagraph"/>
              <w:numPr>
                <w:ilvl w:val="0"/>
                <w:numId w:val="80"/>
              </w:numPr>
              <w:rPr>
                <w:noProof/>
              </w:rPr>
            </w:pPr>
            <w:r>
              <w:rPr>
                <w:noProof/>
              </w:rPr>
              <w:t>l</w:t>
            </w:r>
            <w:r w:rsidR="00D12914">
              <w:rPr>
                <w:noProof/>
              </w:rPr>
              <w:t xml:space="preserve">’UE s’appuiera sur le programme Erasmus+, en </w:t>
            </w:r>
            <w:r w:rsidR="00D12914">
              <w:rPr>
                <w:b/>
                <w:noProof/>
              </w:rPr>
              <w:t>encourageant les partenariats, en renforçant la coopération, en modernisant les programmes d’études et en accroissant la mobilité</w:t>
            </w:r>
            <w:r w:rsidR="00D12914">
              <w:rPr>
                <w:noProof/>
              </w:rPr>
              <w:t xml:space="preserve"> entre </w:t>
            </w:r>
            <w:r w:rsidR="00D12914">
              <w:rPr>
                <w:b/>
                <w:noProof/>
              </w:rPr>
              <w:t>les établissements d’enseignement et de formation de la région de la mer Noire et les États membres de l’UE</w:t>
            </w:r>
            <w:r w:rsidR="00D12914">
              <w:rPr>
                <w:noProof/>
              </w:rPr>
              <w:t xml:space="preserve">, notamment dans le domaine de l’enseignement et de la formation professionnels (EFP) et de l’enseignement supérieur, afin de doter les travailleurs et les demandeurs d’emploi des compétences nécessaires et de favoriser le développement des talents par la reconversion et le perfectionnement professionnels conformément aux objectifs de l’union des compétences; </w:t>
            </w:r>
          </w:p>
          <w:p w14:paraId="76E510AE" w14:textId="77777777" w:rsidR="00D12914" w:rsidRPr="00324EA1" w:rsidRDefault="00D12914" w:rsidP="00B032D0">
            <w:pPr>
              <w:pStyle w:val="ListParagraph"/>
              <w:numPr>
                <w:ilvl w:val="0"/>
                <w:numId w:val="80"/>
              </w:numPr>
              <w:rPr>
                <w:noProof/>
              </w:rPr>
            </w:pPr>
            <w:r>
              <w:rPr>
                <w:b/>
                <w:noProof/>
              </w:rPr>
              <w:t xml:space="preserve">diplomatie scientifique. </w:t>
            </w:r>
            <w:r>
              <w:rPr>
                <w:noProof/>
              </w:rPr>
              <w:t xml:space="preserve">Des liens plus étroits seront établis entre l’Espace européen de la recherche et les partenaires de la mer Noire, qui permettront une plus grande mobilité des chercheurs, renforceront leur capacité de mener des recherches libres et contribueront à la sécurité de la recherche; </w:t>
            </w:r>
          </w:p>
          <w:p w14:paraId="732FDF79" w14:textId="69D9BD1A" w:rsidR="003520E6" w:rsidRPr="00324EA1" w:rsidRDefault="003520E6" w:rsidP="00B032D0">
            <w:pPr>
              <w:pStyle w:val="ListParagraph"/>
              <w:numPr>
                <w:ilvl w:val="0"/>
                <w:numId w:val="80"/>
              </w:numPr>
              <w:rPr>
                <w:noProof/>
              </w:rPr>
            </w:pPr>
            <w:r>
              <w:rPr>
                <w:b/>
                <w:noProof/>
              </w:rPr>
              <w:t xml:space="preserve">diplomatie culturelle. </w:t>
            </w:r>
            <w:r>
              <w:rPr>
                <w:noProof/>
              </w:rPr>
              <w:t>En s’appuyant sur le programme «Europe créative», l’UE encouragera la coopération dans les secteurs de la culture et de la création avec les partenaires de la région de la mer Noire;</w:t>
            </w:r>
          </w:p>
          <w:p w14:paraId="64FA9FCD" w14:textId="0BB2D927" w:rsidR="00397CBA" w:rsidRDefault="00D12914" w:rsidP="006348C0">
            <w:pPr>
              <w:pStyle w:val="ListParagraph"/>
              <w:numPr>
                <w:ilvl w:val="0"/>
                <w:numId w:val="80"/>
              </w:numPr>
              <w:rPr>
                <w:noProof/>
              </w:rPr>
            </w:pPr>
            <w:r>
              <w:rPr>
                <w:b/>
                <w:noProof/>
              </w:rPr>
              <w:t>améliorer la connectivité numérique entre les universités des pays de la mer Noire et le monde universitaire</w:t>
            </w:r>
            <w:r w:rsidR="002B62C9">
              <w:rPr>
                <w:b/>
                <w:noProof/>
              </w:rPr>
              <w:t xml:space="preserve"> </w:t>
            </w:r>
            <w:r>
              <w:rPr>
                <w:noProof/>
              </w:rPr>
              <w:t>et organiser des échanges avec la Méditerranée afin d’acquérir une expérience pertinente. Il s’agira notamment de tirer parti des possibilités offertes par les projets de coopération Horizon Europe ainsi que dans le cadre des pôles européens d’innovation numérique récemment créés dans la région</w:t>
            </w:r>
            <w:r w:rsidR="002B62C9">
              <w:rPr>
                <w:noProof/>
              </w:rPr>
              <w:t>;</w:t>
            </w:r>
          </w:p>
          <w:p w14:paraId="7527133D" w14:textId="494F8608" w:rsidR="00492740" w:rsidRPr="002177B3" w:rsidRDefault="002B62C9" w:rsidP="006348C0">
            <w:pPr>
              <w:pStyle w:val="ListParagraph"/>
              <w:numPr>
                <w:ilvl w:val="0"/>
                <w:numId w:val="80"/>
              </w:numPr>
              <w:rPr>
                <w:noProof/>
              </w:rPr>
            </w:pPr>
            <w:r>
              <w:rPr>
                <w:noProof/>
                <w:color w:val="000000"/>
              </w:rPr>
              <w:t>p</w:t>
            </w:r>
            <w:r w:rsidR="00492740">
              <w:rPr>
                <w:noProof/>
                <w:color w:val="000000"/>
              </w:rPr>
              <w:t>réparer un «</w:t>
            </w:r>
            <w:r w:rsidR="00492740">
              <w:rPr>
                <w:b/>
                <w:noProof/>
                <w:color w:val="000000"/>
              </w:rPr>
              <w:t>jumeau numérique de la mer Noire</w:t>
            </w:r>
            <w:r w:rsidR="00492740">
              <w:rPr>
                <w:noProof/>
                <w:color w:val="000000"/>
              </w:rPr>
              <w:t>» lié au jumeau numérique européen de l’océan afin de soutenir la résilience, de surveiller la pollution, de contribuer à la protection de la biodiversité, d’améliorer la coordination du trafic des navires et les aspects liés à la sûreté maritime, et de faciliter le partage des données par-delà des frontières</w:t>
            </w:r>
            <w:r>
              <w:rPr>
                <w:noProof/>
                <w:color w:val="000000"/>
              </w:rPr>
              <w:t>.</w:t>
            </w:r>
          </w:p>
        </w:tc>
      </w:tr>
      <w:bookmarkEnd w:id="14"/>
    </w:tbl>
    <w:p w14:paraId="4C87D744" w14:textId="77777777" w:rsidR="008C156E" w:rsidRPr="004F6065" w:rsidRDefault="008C156E" w:rsidP="008C156E">
      <w:pPr>
        <w:pStyle w:val="ListParagraph"/>
        <w:ind w:left="0"/>
        <w:rPr>
          <w:noProof/>
          <w:lang w:val="fr-BE"/>
        </w:rPr>
      </w:pPr>
    </w:p>
    <w:p w14:paraId="6D75C450" w14:textId="77777777" w:rsidR="00243453" w:rsidRPr="002177B3" w:rsidRDefault="003459A3" w:rsidP="00FE6044">
      <w:pPr>
        <w:pStyle w:val="HEADING1"/>
        <w:keepNext/>
        <w:keepLines/>
        <w:ind w:left="357" w:hanging="357"/>
        <w:rPr>
          <w:noProof/>
        </w:rPr>
      </w:pPr>
      <w:r>
        <w:rPr>
          <w:noProof/>
        </w:rPr>
        <w:t xml:space="preserve">protection de l’environnement, résilience et préparation au changement climatique, protection civile </w:t>
      </w:r>
    </w:p>
    <w:p w14:paraId="5EF371A3" w14:textId="6A88E79D" w:rsidR="00452684" w:rsidRPr="002177B3" w:rsidRDefault="00452684" w:rsidP="00452684">
      <w:pPr>
        <w:rPr>
          <w:noProof/>
        </w:rPr>
      </w:pPr>
      <w:r>
        <w:rPr>
          <w:noProof/>
        </w:rPr>
        <w:t xml:space="preserve">La région de la mer Noire présente un </w:t>
      </w:r>
      <w:r>
        <w:rPr>
          <w:b/>
          <w:noProof/>
        </w:rPr>
        <w:t>profil très complexe en ce qui concerne les catastrophes</w:t>
      </w:r>
      <w:r>
        <w:rPr>
          <w:noProof/>
        </w:rPr>
        <w:t xml:space="preserve">. Elle est exposée à des </w:t>
      </w:r>
      <w:r>
        <w:rPr>
          <w:b/>
          <w:noProof/>
        </w:rPr>
        <w:t>risques de catastrophes très divers</w:t>
      </w:r>
      <w:r>
        <w:rPr>
          <w:noProof/>
        </w:rPr>
        <w:t>, des tremblements de terre jusqu’aux inondations en passant par les glissements de terrain, les feux de forêt et feux souterrains, et les fluctuations extrêmes des températures. Les effets du changement climatique se font davantage sentir dans cette région que dans le reste de l’Europe: la température à la surface de la mer augmente deux fois plus vite qu’en mer du Nord</w:t>
      </w:r>
      <w:r>
        <w:rPr>
          <w:rStyle w:val="FootnoteReference"/>
          <w:noProof/>
        </w:rPr>
        <w:footnoteReference w:id="51"/>
      </w:r>
      <w:r>
        <w:rPr>
          <w:noProof/>
        </w:rPr>
        <w:t>, la quantité de débris marins représente près du double de celle de la mer Méditerranée</w:t>
      </w:r>
      <w:r w:rsidR="008F7229">
        <w:rPr>
          <w:noProof/>
        </w:rPr>
        <w:t xml:space="preserve"> </w:t>
      </w:r>
      <w:r>
        <w:rPr>
          <w:noProof/>
        </w:rPr>
        <w:t>et les concentrations de nombreux polluants dépassent les seuils de toxicité. La région est sujette à l’élévation du niveau de la mer et vulnérable aux risques industriels, chimiques, biologiques, radiologiques et nucléaires, qui représentent des menaces importantes pour les économies et les moyens de subsistance de ces pays</w:t>
      </w:r>
      <w:r>
        <w:rPr>
          <w:rStyle w:val="FootnoteReference"/>
          <w:noProof/>
          <w:lang w:val="en-GB"/>
        </w:rPr>
        <w:footnoteReference w:id="52"/>
      </w:r>
      <w:r>
        <w:rPr>
          <w:noProof/>
        </w:rPr>
        <w:t xml:space="preserve">. </w:t>
      </w:r>
    </w:p>
    <w:p w14:paraId="3C5B5D58" w14:textId="7A2B0D60" w:rsidR="00452684" w:rsidRPr="002177B3" w:rsidRDefault="00452684" w:rsidP="00452684">
      <w:pPr>
        <w:rPr>
          <w:noProof/>
        </w:rPr>
      </w:pPr>
      <w:r>
        <w:rPr>
          <w:noProof/>
        </w:rPr>
        <w:t>Dans le milieu marin, la dégradation de l’environnement</w:t>
      </w:r>
      <w:r>
        <w:rPr>
          <w:rStyle w:val="FootnoteReference"/>
          <w:noProof/>
          <w:lang w:val="en-GB"/>
        </w:rPr>
        <w:footnoteReference w:id="53"/>
      </w:r>
      <w:r>
        <w:rPr>
          <w:noProof/>
        </w:rPr>
        <w:t xml:space="preserve"> est encore aggravée par les actions menées par la Russie dans sa guerre contre l’Ukraine</w:t>
      </w:r>
      <w:r>
        <w:rPr>
          <w:rStyle w:val="FootnoteReference"/>
          <w:noProof/>
          <w:lang w:val="en-GB"/>
        </w:rPr>
        <w:footnoteReference w:id="54"/>
      </w:r>
      <w:r>
        <w:rPr>
          <w:noProof/>
        </w:rPr>
        <w:t>, comme l’illustrent la destruction du barrage de Nova Kakhovka</w:t>
      </w:r>
      <w:r>
        <w:rPr>
          <w:rStyle w:val="FootnoteReference"/>
          <w:noProof/>
          <w:lang w:val="en-GB"/>
        </w:rPr>
        <w:footnoteReference w:id="55"/>
      </w:r>
      <w:r>
        <w:rPr>
          <w:noProof/>
        </w:rPr>
        <w:t xml:space="preserve"> ainsi que l’utilisation de mines dérivantes et d’autres explosifs. Les risques de catastrophes marines persistent en raison de la possibilité d’accidents avec des navires-citernes, ainsi que de la pollution qui atteint la mer via les rivières. </w:t>
      </w:r>
    </w:p>
    <w:p w14:paraId="1818DEB9" w14:textId="22E09EE3" w:rsidR="00452684" w:rsidRPr="002177B3" w:rsidRDefault="00452684" w:rsidP="00452684">
      <w:pPr>
        <w:rPr>
          <w:noProof/>
        </w:rPr>
      </w:pPr>
      <w:r>
        <w:rPr>
          <w:noProof/>
        </w:rPr>
        <w:t>L’approche «</w:t>
      </w:r>
      <w:r>
        <w:rPr>
          <w:b/>
          <w:noProof/>
        </w:rPr>
        <w:t>de la source à la mer</w:t>
      </w:r>
      <w:r>
        <w:rPr>
          <w:noProof/>
        </w:rPr>
        <w:t>», qui reconnaît les liens entre les eaux intérieures et la pollution marine, est particulièrement pertinente en ce qui concerne la mer Noire, compte tenu de son vaste bassin versant et de son potentiel de croissance de l’aquaculture. L’UE soutiendra cette approche dans la région conformément à la future stratégie européenne de résilience pour l’eau, au pacte européen sur les océans, à la directive-cadre «Stratégie pour le milieu marin»</w:t>
      </w:r>
      <w:r>
        <w:rPr>
          <w:rStyle w:val="FootnoteReference"/>
          <w:noProof/>
          <w:lang w:val="en-GB"/>
        </w:rPr>
        <w:footnoteReference w:id="56"/>
      </w:r>
      <w:r>
        <w:rPr>
          <w:noProof/>
        </w:rPr>
        <w:t xml:space="preserve"> et à la directive-cadre de l’UE sur l’eau</w:t>
      </w:r>
      <w:r>
        <w:rPr>
          <w:rStyle w:val="FootnoteReference"/>
          <w:noProof/>
          <w:lang w:val="en-GB"/>
        </w:rPr>
        <w:footnoteReference w:id="57"/>
      </w:r>
      <w:r>
        <w:rPr>
          <w:noProof/>
        </w:rPr>
        <w:t xml:space="preserve">. </w:t>
      </w:r>
    </w:p>
    <w:p w14:paraId="0D252C50" w14:textId="77777777" w:rsidR="00452684" w:rsidRPr="002177B3" w:rsidRDefault="00452684" w:rsidP="00452684">
      <w:pPr>
        <w:rPr>
          <w:noProof/>
        </w:rPr>
      </w:pPr>
      <w:r>
        <w:rPr>
          <w:noProof/>
        </w:rPr>
        <w:t xml:space="preserve">Les pays de la mer Noire concernés par l’élargissement de l’UE, dont l’Ukraine, la République de Moldavie, la Géorgie et la Turquie (dans le cadre de l’élargissement de l’UE), ainsi que l’Arménie en tant que partenaire associé, se sont engagés à respecter la législation de l’UE relative à l’eau et au milieu marin et à atteindre les </w:t>
      </w:r>
      <w:r>
        <w:rPr>
          <w:b/>
          <w:noProof/>
        </w:rPr>
        <w:t>objectifs mondiaux en matière de protection des océans</w:t>
      </w:r>
      <w:r>
        <w:rPr>
          <w:noProof/>
        </w:rPr>
        <w:t xml:space="preserve">, notamment la restauration de 30 % de l’ensemble des écosystèmes dégradés et la conservation des terres, des eaux et des mers d’ici à 2030. </w:t>
      </w:r>
    </w:p>
    <w:tbl>
      <w:tblPr>
        <w:tblW w:w="10070" w:type="dxa"/>
        <w:tblInd w:w="-10" w:type="dxa"/>
        <w:tblCellMar>
          <w:left w:w="0" w:type="dxa"/>
          <w:right w:w="0" w:type="dxa"/>
        </w:tblCellMar>
        <w:tblLook w:val="04A0" w:firstRow="1" w:lastRow="0" w:firstColumn="1" w:lastColumn="0" w:noHBand="0" w:noVBand="1"/>
      </w:tblPr>
      <w:tblGrid>
        <w:gridCol w:w="10070"/>
      </w:tblGrid>
      <w:tr w:rsidR="00452684" w:rsidRPr="002177B3" w14:paraId="10AF765E" w14:textId="77777777" w:rsidTr="00452684">
        <w:tc>
          <w:tcPr>
            <w:tcW w:w="1007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621A904" w14:textId="77777777" w:rsidR="00452684" w:rsidRPr="00742C5A" w:rsidRDefault="00452684" w:rsidP="00452684">
            <w:pPr>
              <w:rPr>
                <w:noProof/>
              </w:rPr>
            </w:pPr>
            <w:r>
              <w:rPr>
                <w:b/>
                <w:noProof/>
              </w:rPr>
              <w:t>INITIATIVE PHARE 3:</w:t>
            </w:r>
            <w:r>
              <w:rPr>
                <w:noProof/>
              </w:rPr>
              <w:t xml:space="preserve"> </w:t>
            </w:r>
            <w:r>
              <w:rPr>
                <w:b/>
                <w:noProof/>
              </w:rPr>
              <w:t>renforcer la préparation des communautés côtières et des secteurs de l’économie bleue</w:t>
            </w:r>
            <w:r>
              <w:rPr>
                <w:noProof/>
              </w:rPr>
              <w:t xml:space="preserve"> </w:t>
            </w:r>
          </w:p>
          <w:p w14:paraId="345DE1E2" w14:textId="122EA461" w:rsidR="00452684" w:rsidRPr="002177B3" w:rsidRDefault="00452684" w:rsidP="00452684">
            <w:pPr>
              <w:rPr>
                <w:noProof/>
              </w:rPr>
            </w:pPr>
            <w:r>
              <w:rPr>
                <w:noProof/>
              </w:rPr>
              <w:t>Améliorer la préparation pour anticiper et gérer les risques liés au changement climatique</w:t>
            </w:r>
            <w:r w:rsidR="008F7229">
              <w:rPr>
                <w:noProof/>
              </w:rPr>
              <w:t xml:space="preserve"> ainsi que </w:t>
            </w:r>
            <w:r>
              <w:rPr>
                <w:noProof/>
              </w:rPr>
              <w:t>pour réagir à ceux-ci, en s’appuyant sur les politiques des pays de la mer Noire en matière d’adaptation au changement climatique et en s’inspirant des bonnes pratiques de l’UE. L’accent sera mis, en particulier, sur la coopération avec les autorités locales, les organisations de la société civile et les autres parties prenantes sur le terrain, y compris la jeunesse.</w:t>
            </w:r>
          </w:p>
        </w:tc>
      </w:tr>
    </w:tbl>
    <w:p w14:paraId="1CF62706" w14:textId="77777777" w:rsidR="00452684" w:rsidRPr="002177B3" w:rsidRDefault="00452684" w:rsidP="00452684">
      <w:pPr>
        <w:rPr>
          <w:noProof/>
        </w:rPr>
      </w:pPr>
    </w:p>
    <w:tbl>
      <w:tblPr>
        <w:tblW w:w="10070" w:type="dxa"/>
        <w:tblInd w:w="-10" w:type="dxa"/>
        <w:shd w:val="clear" w:color="auto" w:fill="D9D9D9"/>
        <w:tblCellMar>
          <w:left w:w="0" w:type="dxa"/>
          <w:right w:w="0" w:type="dxa"/>
        </w:tblCellMar>
        <w:tblLook w:val="04A0" w:firstRow="1" w:lastRow="0" w:firstColumn="1" w:lastColumn="0" w:noHBand="0" w:noVBand="1"/>
      </w:tblPr>
      <w:tblGrid>
        <w:gridCol w:w="10070"/>
      </w:tblGrid>
      <w:tr w:rsidR="00452684" w:rsidRPr="002177B3" w14:paraId="000A80B0" w14:textId="77777777" w:rsidTr="00452684">
        <w:tc>
          <w:tcPr>
            <w:tcW w:w="1007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hideMark/>
          </w:tcPr>
          <w:p w14:paraId="2A43C029" w14:textId="77777777" w:rsidR="00452684" w:rsidRPr="002177B3" w:rsidRDefault="00452684" w:rsidP="00633854">
            <w:pPr>
              <w:rPr>
                <w:noProof/>
              </w:rPr>
            </w:pPr>
            <w:bookmarkStart w:id="15" w:name="_Hlk198802966"/>
            <w:r>
              <w:rPr>
                <w:b/>
                <w:noProof/>
                <w:color w:val="000000"/>
              </w:rPr>
              <w:t>Les actions clés</w:t>
            </w:r>
            <w:r>
              <w:rPr>
                <w:noProof/>
                <w:color w:val="000000"/>
              </w:rPr>
              <w:t xml:space="preserve"> consistent notamment à: </w:t>
            </w:r>
          </w:p>
          <w:p w14:paraId="042FBA77" w14:textId="2285529E" w:rsidR="00452684" w:rsidRPr="00633854" w:rsidRDefault="00452684" w:rsidP="00633854">
            <w:pPr>
              <w:pStyle w:val="ListParagraph"/>
              <w:numPr>
                <w:ilvl w:val="0"/>
                <w:numId w:val="29"/>
              </w:numPr>
              <w:spacing w:after="120"/>
              <w:rPr>
                <w:noProof/>
              </w:rPr>
            </w:pPr>
            <w:r>
              <w:rPr>
                <w:b/>
                <w:noProof/>
                <w:color w:val="000000"/>
              </w:rPr>
              <w:t>lutter contre les dommages environnementaux causés par la guerre d’agression menée par la Russie contre l’Ukraine</w:t>
            </w:r>
            <w:r>
              <w:rPr>
                <w:noProof/>
                <w:color w:val="000000"/>
              </w:rPr>
              <w:t>, en accordant une attention particulière à la réduction de la contamination, à la prévention des déversements d’hydrocarbures et à la restauration des écosystèmes et des zones protégées touchés;</w:t>
            </w:r>
          </w:p>
          <w:p w14:paraId="1EAC6590" w14:textId="15DE7E3B" w:rsidR="00032ECD" w:rsidRDefault="00AB4335" w:rsidP="001833D8">
            <w:pPr>
              <w:pStyle w:val="ListParagraph"/>
              <w:numPr>
                <w:ilvl w:val="0"/>
                <w:numId w:val="29"/>
              </w:numPr>
              <w:spacing w:after="120"/>
              <w:rPr>
                <w:noProof/>
              </w:rPr>
            </w:pPr>
            <w:r>
              <w:rPr>
                <w:noProof/>
              </w:rPr>
              <w:t xml:space="preserve">relever les défis environnementaux dans la région en faisant appel aux </w:t>
            </w:r>
            <w:r>
              <w:rPr>
                <w:b/>
                <w:noProof/>
              </w:rPr>
              <w:t>nouvelles technologies</w:t>
            </w:r>
            <w:r>
              <w:rPr>
                <w:noProof/>
              </w:rPr>
              <w:t xml:space="preserve">, notamment dans les domaines de la défense et de l’espace; </w:t>
            </w:r>
          </w:p>
          <w:p w14:paraId="4BB886B7" w14:textId="1E14CA95" w:rsidR="00452684" w:rsidRPr="003F6687" w:rsidRDefault="00452684" w:rsidP="001833D8">
            <w:pPr>
              <w:pStyle w:val="ListParagraph"/>
              <w:numPr>
                <w:ilvl w:val="0"/>
                <w:numId w:val="29"/>
              </w:numPr>
              <w:spacing w:after="120"/>
              <w:rPr>
                <w:noProof/>
              </w:rPr>
            </w:pPr>
            <w:r>
              <w:rPr>
                <w:noProof/>
                <w:color w:val="000000"/>
              </w:rPr>
              <w:t>l’UE permettra aux partenaires de la mer Noire de rejoindre le système européen de sensibilisation aux inondations</w:t>
            </w:r>
            <w:r>
              <w:rPr>
                <w:rStyle w:val="FootnoteReference"/>
                <w:noProof/>
                <w:color w:val="000000"/>
                <w:lang w:val="en-GB"/>
              </w:rPr>
              <w:footnoteReference w:id="58"/>
            </w:r>
            <w:r>
              <w:rPr>
                <w:noProof/>
                <w:color w:val="000000"/>
              </w:rPr>
              <w:t>, le système européen d’information sur les feux de forêt</w:t>
            </w:r>
            <w:r>
              <w:rPr>
                <w:rStyle w:val="FootnoteReference"/>
                <w:noProof/>
                <w:color w:val="000000"/>
                <w:lang w:val="en-GB"/>
              </w:rPr>
              <w:footnoteReference w:id="59"/>
            </w:r>
            <w:r>
              <w:rPr>
                <w:noProof/>
                <w:color w:val="000000"/>
              </w:rPr>
              <w:t xml:space="preserve"> et l’Observatoire européen de la sécheresse; </w:t>
            </w:r>
          </w:p>
          <w:p w14:paraId="0114F9B8" w14:textId="2FB01A01" w:rsidR="00452684" w:rsidRPr="003F6687" w:rsidRDefault="00452684" w:rsidP="001833D8">
            <w:pPr>
              <w:pStyle w:val="ListParagraph"/>
              <w:numPr>
                <w:ilvl w:val="0"/>
                <w:numId w:val="29"/>
              </w:numPr>
              <w:spacing w:after="120"/>
              <w:rPr>
                <w:noProof/>
              </w:rPr>
            </w:pPr>
            <w:r>
              <w:rPr>
                <w:b/>
                <w:noProof/>
                <w:color w:val="000000"/>
              </w:rPr>
              <w:t>établir une coopération scientifique</w:t>
            </w:r>
            <w:r>
              <w:rPr>
                <w:noProof/>
                <w:color w:val="000000"/>
              </w:rPr>
              <w:t xml:space="preserve"> en collaboration avec le </w:t>
            </w:r>
            <w:r>
              <w:rPr>
                <w:b/>
                <w:noProof/>
                <w:color w:val="000000"/>
              </w:rPr>
              <w:t>service Copernicus de gestion des urgences</w:t>
            </w:r>
            <w:r>
              <w:rPr>
                <w:noProof/>
                <w:color w:val="000000"/>
              </w:rPr>
              <w:t xml:space="preserve">; </w:t>
            </w:r>
          </w:p>
          <w:p w14:paraId="1CBCB627" w14:textId="73D06D38" w:rsidR="00452684" w:rsidRPr="003F6687" w:rsidRDefault="00452684" w:rsidP="001833D8">
            <w:pPr>
              <w:pStyle w:val="ListParagraph"/>
              <w:numPr>
                <w:ilvl w:val="0"/>
                <w:numId w:val="29"/>
              </w:numPr>
              <w:spacing w:after="120"/>
              <w:rPr>
                <w:noProof/>
              </w:rPr>
            </w:pPr>
            <w:r>
              <w:rPr>
                <w:b/>
                <w:noProof/>
                <w:color w:val="000000"/>
              </w:rPr>
              <w:t xml:space="preserve">étendre la surveillance conjointe, l’échange de données et l’évaluation de la qualité de l’environnement et des risques liés à la pollution et au climat, </w:t>
            </w:r>
            <w:r>
              <w:rPr>
                <w:noProof/>
                <w:color w:val="000000"/>
              </w:rPr>
              <w:t>sur la base, entre autres, de la plateforme de données environnementales de la mer Noire</w:t>
            </w:r>
            <w:r>
              <w:rPr>
                <w:rStyle w:val="FootnoteReference"/>
                <w:noProof/>
                <w:color w:val="000000"/>
                <w:lang w:val="en-GB"/>
              </w:rPr>
              <w:footnoteReference w:id="60"/>
            </w:r>
            <w:r>
              <w:rPr>
                <w:noProof/>
                <w:color w:val="000000"/>
              </w:rPr>
              <w:t>. Les systèmes de données pertinents seront progressivement connectés au réseau européen d’observation et de données du milieu marin</w:t>
            </w:r>
            <w:r>
              <w:rPr>
                <w:rStyle w:val="FootnoteReference"/>
                <w:noProof/>
                <w:color w:val="000000"/>
                <w:lang w:val="en-GB"/>
              </w:rPr>
              <w:footnoteReference w:id="61"/>
            </w:r>
            <w:r>
              <w:rPr>
                <w:noProof/>
                <w:color w:val="000000"/>
              </w:rPr>
              <w:t xml:space="preserve"> et au service Copernicus de surveillance du milieu marin, en particulier à son centre de surveillance et de prévision pour la mer Noire</w:t>
            </w:r>
            <w:r>
              <w:rPr>
                <w:rStyle w:val="FootnoteReference"/>
                <w:noProof/>
                <w:color w:val="000000"/>
                <w:lang w:val="en-GB"/>
              </w:rPr>
              <w:footnoteReference w:id="62"/>
            </w:r>
            <w:r>
              <w:rPr>
                <w:noProof/>
                <w:color w:val="000000"/>
              </w:rPr>
              <w:t>;</w:t>
            </w:r>
          </w:p>
          <w:p w14:paraId="0EA4B364" w14:textId="15D67956" w:rsidR="00452684" w:rsidRPr="003F6687" w:rsidRDefault="00452684" w:rsidP="001833D8">
            <w:pPr>
              <w:pStyle w:val="ListParagraph"/>
              <w:numPr>
                <w:ilvl w:val="0"/>
                <w:numId w:val="29"/>
              </w:numPr>
              <w:spacing w:after="120"/>
              <w:rPr>
                <w:noProof/>
              </w:rPr>
            </w:pPr>
            <w:r>
              <w:rPr>
                <w:b/>
                <w:noProof/>
                <w:color w:val="000000"/>
              </w:rPr>
              <w:t>renforcer la coopération et la gouvernance régionales en matière d’environnement</w:t>
            </w:r>
            <w:r>
              <w:rPr>
                <w:noProof/>
                <w:color w:val="000000"/>
              </w:rPr>
              <w:t>, notamment par l’adhésion de l’UE à la convention de Bucarest sur la protection de la mer Noire;</w:t>
            </w:r>
          </w:p>
          <w:p w14:paraId="58F0C2CC" w14:textId="77777777" w:rsidR="00A72B32" w:rsidRPr="00A72B32" w:rsidRDefault="00452684" w:rsidP="001833D8">
            <w:pPr>
              <w:pStyle w:val="ListParagraph"/>
              <w:numPr>
                <w:ilvl w:val="0"/>
                <w:numId w:val="29"/>
              </w:numPr>
              <w:spacing w:after="120"/>
              <w:rPr>
                <w:noProof/>
              </w:rPr>
            </w:pPr>
            <w:r>
              <w:rPr>
                <w:b/>
                <w:noProof/>
                <w:color w:val="000000"/>
              </w:rPr>
              <w:t>engager un dialogue stratégique</w:t>
            </w:r>
            <w:r>
              <w:rPr>
                <w:noProof/>
                <w:color w:val="000000"/>
              </w:rPr>
              <w:t xml:space="preserve"> et présenter des </w:t>
            </w:r>
            <w:r>
              <w:rPr>
                <w:b/>
                <w:noProof/>
                <w:color w:val="000000"/>
              </w:rPr>
              <w:t>initiatives conjointes visant à améliorer la résilience environnementale et climatique, y compris la résilience dans le domaine de l’eau</w:t>
            </w:r>
            <w:r>
              <w:rPr>
                <w:noProof/>
                <w:color w:val="000000"/>
              </w:rPr>
              <w:t>; renforcer le rôle de la société civile et promouvoir le dialogue avec les organismes du secteur privé;</w:t>
            </w:r>
          </w:p>
          <w:p w14:paraId="32F2925C" w14:textId="5E9D7079" w:rsidR="00452684" w:rsidRPr="00A72B32" w:rsidRDefault="00452684" w:rsidP="001833D8">
            <w:pPr>
              <w:pStyle w:val="ListParagraph"/>
              <w:numPr>
                <w:ilvl w:val="0"/>
                <w:numId w:val="29"/>
              </w:numPr>
              <w:spacing w:after="120"/>
              <w:rPr>
                <w:noProof/>
              </w:rPr>
            </w:pPr>
            <w:r>
              <w:rPr>
                <w:b/>
                <w:noProof/>
                <w:color w:val="000000"/>
              </w:rPr>
              <w:t>renforcer la coopération régionale en matière de préparation</w:t>
            </w:r>
            <w:r>
              <w:rPr>
                <w:noProof/>
                <w:color w:val="000000"/>
              </w:rPr>
              <w:t xml:space="preserve"> par une compréhension commune des crises et de leurs implications; établir des critères minimaux pour la préparation aux risques liés à l’environnement, au climat et aux catastrophes naturelles; et améliorer les réseaux de communication; </w:t>
            </w:r>
          </w:p>
          <w:p w14:paraId="1EE5AC70" w14:textId="2C3E1D19" w:rsidR="00452684" w:rsidRPr="00A72B32" w:rsidRDefault="00452684" w:rsidP="001833D8">
            <w:pPr>
              <w:pStyle w:val="ListParagraph"/>
              <w:numPr>
                <w:ilvl w:val="0"/>
                <w:numId w:val="29"/>
              </w:numPr>
              <w:spacing w:after="120"/>
              <w:rPr>
                <w:noProof/>
              </w:rPr>
            </w:pPr>
            <w:r>
              <w:rPr>
                <w:noProof/>
                <w:color w:val="000000"/>
              </w:rPr>
              <w:t xml:space="preserve">dans la mesure du possible, </w:t>
            </w:r>
            <w:r>
              <w:rPr>
                <w:b/>
                <w:noProof/>
                <w:color w:val="000000"/>
              </w:rPr>
              <w:t>associer les pays de la mer Noire</w:t>
            </w:r>
            <w:r>
              <w:rPr>
                <w:noProof/>
                <w:color w:val="000000"/>
              </w:rPr>
              <w:t xml:space="preserve"> aux initiatives pertinentes de l’UE en matière de préparation, conformément à la stratégie européenne pour une union de la préparation</w:t>
            </w:r>
            <w:r>
              <w:rPr>
                <w:rStyle w:val="FootnoteReference"/>
                <w:noProof/>
                <w:color w:val="000000"/>
                <w:lang w:val="en-GB"/>
              </w:rPr>
              <w:footnoteReference w:id="63"/>
            </w:r>
            <w:r>
              <w:rPr>
                <w:noProof/>
                <w:color w:val="000000"/>
              </w:rPr>
              <w:t xml:space="preserve"> et au cadre de gestion des crises. À cette fin, l’UE s’appuiera sur la coopération liée au </w:t>
            </w:r>
            <w:r>
              <w:rPr>
                <w:b/>
                <w:noProof/>
                <w:color w:val="000000"/>
              </w:rPr>
              <w:t>mécanisme de protection civile de l’Union</w:t>
            </w:r>
            <w:r>
              <w:rPr>
                <w:noProof/>
                <w:color w:val="000000"/>
              </w:rPr>
              <w:t xml:space="preserve"> et à d’autres cadres; </w:t>
            </w:r>
          </w:p>
          <w:p w14:paraId="6C15166F" w14:textId="52C9EB8C" w:rsidR="00AB4335" w:rsidRPr="00492740" w:rsidRDefault="00452684" w:rsidP="001833D8">
            <w:pPr>
              <w:pStyle w:val="ListParagraph"/>
              <w:numPr>
                <w:ilvl w:val="0"/>
                <w:numId w:val="29"/>
              </w:numPr>
              <w:spacing w:after="120"/>
              <w:rPr>
                <w:noProof/>
              </w:rPr>
            </w:pPr>
            <w:r>
              <w:rPr>
                <w:noProof/>
                <w:color w:val="000000"/>
              </w:rPr>
              <w:t xml:space="preserve">mettre en place la «résilience de la mer Noire» en tant que plateforme pluripartite pour la préparation et la réaction aux incidents maritimes. </w:t>
            </w:r>
            <w:r>
              <w:rPr>
                <w:b/>
                <w:noProof/>
                <w:color w:val="000000"/>
              </w:rPr>
              <w:t>Mettre l’accent sur le renforcement des systèmes de gestion des catastrophes</w:t>
            </w:r>
            <w:r>
              <w:rPr>
                <w:noProof/>
                <w:color w:val="000000"/>
              </w:rPr>
              <w:t xml:space="preserve"> par l’amélioration des plans d’urgence et des systèmes d’alerte précoce, l’harmonisation des instructions permanentes, la mise à jour des évaluations nationales des risques de catastrophe et la réalisation d’exercices supplémentaires grandeur nature, le cas échéant. </w:t>
            </w:r>
          </w:p>
        </w:tc>
      </w:tr>
      <w:bookmarkEnd w:id="15"/>
    </w:tbl>
    <w:p w14:paraId="2DF783D4" w14:textId="77777777" w:rsidR="00452684" w:rsidRPr="004F6065" w:rsidRDefault="00452684" w:rsidP="00452684">
      <w:pPr>
        <w:ind w:left="720"/>
        <w:rPr>
          <w:b/>
          <w:bCs/>
          <w:noProof/>
          <w:lang w:val="fr-BE"/>
        </w:rPr>
      </w:pPr>
    </w:p>
    <w:p w14:paraId="003390AE" w14:textId="77777777" w:rsidR="2F927092" w:rsidRPr="002177B3" w:rsidRDefault="00F75C7A" w:rsidP="00743C53">
      <w:pPr>
        <w:keepNext/>
        <w:keepLines/>
        <w:spacing w:after="0"/>
        <w:rPr>
          <w:b/>
          <w:bCs/>
          <w:noProof/>
        </w:rPr>
      </w:pPr>
      <w:r>
        <w:rPr>
          <w:b/>
          <w:noProof/>
        </w:rPr>
        <w:t>CONCLUSION</w:t>
      </w:r>
    </w:p>
    <w:p w14:paraId="55420D18" w14:textId="77777777" w:rsidR="00A808A7" w:rsidRPr="004F6065" w:rsidRDefault="00A808A7" w:rsidP="00743C53">
      <w:pPr>
        <w:keepNext/>
        <w:keepLines/>
        <w:spacing w:after="0"/>
        <w:rPr>
          <w:noProof/>
          <w:lang w:val="fr-BE"/>
        </w:rPr>
      </w:pPr>
    </w:p>
    <w:p w14:paraId="61FD402A" w14:textId="1BEFB8BF" w:rsidR="00A808A7" w:rsidRPr="002177B3" w:rsidRDefault="00A808A7" w:rsidP="00743C53">
      <w:pPr>
        <w:keepNext/>
        <w:keepLines/>
        <w:spacing w:after="0"/>
        <w:rPr>
          <w:noProof/>
        </w:rPr>
      </w:pPr>
      <w:r>
        <w:rPr>
          <w:noProof/>
        </w:rPr>
        <w:t xml:space="preserve">Cette approche stratégique pour la région de la mer Noire régira les initiatives et les politiques de l’UE en faveur </w:t>
      </w:r>
      <w:r>
        <w:rPr>
          <w:b/>
          <w:noProof/>
        </w:rPr>
        <w:t>de la sécurité et de la résilience démocratique, d’une croissance inclusive et durable et d’une meilleure connectivité pour l’UE et ses partenaires de la mer Noire par l’intermédiaire de partenariats mutuellement bénéfiques</w:t>
      </w:r>
      <w:r>
        <w:rPr>
          <w:noProof/>
        </w:rPr>
        <w:t xml:space="preserve">. </w:t>
      </w:r>
    </w:p>
    <w:p w14:paraId="4B936971" w14:textId="77777777" w:rsidR="00A808A7" w:rsidRPr="004F6065" w:rsidRDefault="00A808A7" w:rsidP="00743C53">
      <w:pPr>
        <w:keepNext/>
        <w:keepLines/>
        <w:spacing w:after="0"/>
        <w:rPr>
          <w:noProof/>
          <w:lang w:val="fr-BE"/>
        </w:rPr>
      </w:pPr>
    </w:p>
    <w:p w14:paraId="7140FA40" w14:textId="77777777" w:rsidR="002A6E2E" w:rsidRPr="002177B3" w:rsidRDefault="79D1828C" w:rsidP="00743C53">
      <w:pPr>
        <w:keepNext/>
        <w:keepLines/>
        <w:spacing w:after="0"/>
        <w:rPr>
          <w:noProof/>
        </w:rPr>
      </w:pPr>
      <w:r>
        <w:rPr>
          <w:noProof/>
        </w:rPr>
        <w:t xml:space="preserve">Dans ce contexte, l’UE poursuivra ses efforts pour promouvoir </w:t>
      </w:r>
      <w:r>
        <w:rPr>
          <w:b/>
          <w:noProof/>
        </w:rPr>
        <w:t>la démocratie, les droits de l’homme, la bonne gouvernance, l’état de droit</w:t>
      </w:r>
      <w:r>
        <w:rPr>
          <w:noProof/>
        </w:rPr>
        <w:t xml:space="preserve">, la résolution des conflits et la consolidation inclusive de la paix dans le respect de </w:t>
      </w:r>
      <w:r>
        <w:rPr>
          <w:b/>
          <w:noProof/>
        </w:rPr>
        <w:t>l’ordre international fondé sur le droit international</w:t>
      </w:r>
      <w:r>
        <w:rPr>
          <w:noProof/>
        </w:rPr>
        <w:t>.</w:t>
      </w:r>
      <w:r>
        <w:rPr>
          <w:b/>
          <w:noProof/>
        </w:rPr>
        <w:t xml:space="preserve"> </w:t>
      </w:r>
      <w:r>
        <w:rPr>
          <w:noProof/>
        </w:rPr>
        <w:t>L’objectif est d’assurer la croissance économique à long terme, la résilience, la protection et la restauration de l’environnement, ainsi qu’une coopération renforcée, tout en soutenant l’intégration de la région dans l’UE au moyen d’initiatives et de partenariats stratégiques.</w:t>
      </w:r>
    </w:p>
    <w:p w14:paraId="64CD6029" w14:textId="77777777" w:rsidR="002A6E2E" w:rsidRPr="004F6065" w:rsidRDefault="002A6E2E" w:rsidP="009F2A81">
      <w:pPr>
        <w:spacing w:after="0"/>
        <w:rPr>
          <w:noProof/>
          <w:lang w:val="fr-BE"/>
        </w:rPr>
      </w:pPr>
    </w:p>
    <w:p w14:paraId="35EEE8ED" w14:textId="64A2CF1C" w:rsidR="0098343B" w:rsidRPr="002177B3" w:rsidRDefault="006B497C" w:rsidP="009F2A81">
      <w:pPr>
        <w:spacing w:after="0"/>
        <w:rPr>
          <w:noProof/>
        </w:rPr>
      </w:pPr>
      <w:r>
        <w:rPr>
          <w:noProof/>
        </w:rPr>
        <w:t xml:space="preserve">L’UE mettra en œuvre la nouvelle approche stratégique de la mer Noire en </w:t>
      </w:r>
      <w:r>
        <w:rPr>
          <w:b/>
          <w:noProof/>
        </w:rPr>
        <w:t>synergie avec le processus d’élargissement et la politique du partenariat oriental</w:t>
      </w:r>
      <w:r>
        <w:rPr>
          <w:noProof/>
        </w:rPr>
        <w:t xml:space="preserve">, qui fournit un cadre de coopération bien établi. Elle renforcera le dialogue et la collaboration avec les partenaires stratégiques de la région de la mer Noire en mettant à profit les actions du partenariat oriental dans tous les domaines clés, y compris les échanges </w:t>
      </w:r>
      <w:r>
        <w:rPr>
          <w:b/>
          <w:noProof/>
        </w:rPr>
        <w:t>interpersonnels</w:t>
      </w:r>
      <w:r>
        <w:rPr>
          <w:noProof/>
        </w:rPr>
        <w:t xml:space="preserve"> et l’</w:t>
      </w:r>
      <w:r>
        <w:rPr>
          <w:b/>
          <w:noProof/>
        </w:rPr>
        <w:t>engagement de la société civile</w:t>
      </w:r>
      <w:r>
        <w:rPr>
          <w:noProof/>
        </w:rPr>
        <w:t>, ainsi que la coopération dans les domaines de l’éducation, de la culture, de la jeunesse et de l’égalité de genre, qui conférera une dimension humaine importante à l’approche de l’UE.</w:t>
      </w:r>
    </w:p>
    <w:p w14:paraId="296A9262" w14:textId="77777777" w:rsidR="003C60B8" w:rsidRPr="004F6065" w:rsidRDefault="003C60B8" w:rsidP="009F2A81">
      <w:pPr>
        <w:spacing w:after="0"/>
        <w:rPr>
          <w:bCs/>
          <w:noProof/>
          <w:lang w:val="fr-BE"/>
        </w:rPr>
      </w:pPr>
    </w:p>
    <w:p w14:paraId="787E7B9C" w14:textId="6F294E8B" w:rsidR="00184D2B" w:rsidRPr="002177B3" w:rsidRDefault="00184D2B" w:rsidP="009F2A81">
      <w:pPr>
        <w:rPr>
          <w:noProof/>
        </w:rPr>
      </w:pPr>
      <w:r>
        <w:rPr>
          <w:noProof/>
        </w:rPr>
        <w:t>Cette approche stratégique développe également les liens de l’UE avec</w:t>
      </w:r>
      <w:r>
        <w:rPr>
          <w:b/>
          <w:noProof/>
        </w:rPr>
        <w:t xml:space="preserve"> le Caucase et l’Asie centrale</w:t>
      </w:r>
      <w:r>
        <w:rPr>
          <w:noProof/>
        </w:rPr>
        <w:t>. Elle s’appuie sur la feuille de route commune visant à approfondir les relations entre l’UE et l’Asie centrale</w:t>
      </w:r>
      <w:r>
        <w:rPr>
          <w:rStyle w:val="FootnoteReference"/>
          <w:noProof/>
          <w:lang w:val="en-GB"/>
        </w:rPr>
        <w:footnoteReference w:id="64"/>
      </w:r>
      <w:r>
        <w:rPr>
          <w:noProof/>
        </w:rPr>
        <w:t xml:space="preserve"> et sur les résultats du sommet UE-Asie centrale d’avril 2025, les progrès dans ce domaine étant guidés par un </w:t>
      </w:r>
      <w:r>
        <w:rPr>
          <w:b/>
          <w:noProof/>
        </w:rPr>
        <w:t>objectif de connectivité</w:t>
      </w:r>
      <w:r>
        <w:rPr>
          <w:noProof/>
        </w:rPr>
        <w:t xml:space="preserve"> régionale consistant à accroître les échanges commerciaux et à mettre l’accent sur les secteurs clés que sont le transport, l’énergie et la connectivité numérique. </w:t>
      </w:r>
    </w:p>
    <w:p w14:paraId="275910DA" w14:textId="4F4F37C2" w:rsidR="000652CC" w:rsidRPr="002177B3" w:rsidRDefault="00184D2B" w:rsidP="009F2A81">
      <w:pPr>
        <w:rPr>
          <w:noProof/>
        </w:rPr>
      </w:pPr>
      <w:r>
        <w:rPr>
          <w:noProof/>
        </w:rPr>
        <w:t xml:space="preserve">L’UE poursuivra son action visant à promouvoir la prospérité et la stabilité économique dans la région par des </w:t>
      </w:r>
      <w:r>
        <w:rPr>
          <w:b/>
          <w:noProof/>
        </w:rPr>
        <w:t>investissements dans le cadre de la stratégie «Global Gateway»</w:t>
      </w:r>
      <w:r>
        <w:rPr>
          <w:noProof/>
        </w:rPr>
        <w:t>, complétés par des financements provenant des États membres de l’UE, des institutions financières de développement (IFD) et de la Banque européenne d’investissement (BEI), dans le respect du cadre de coopération convenu par l’UE avec chaque partenaire, suivant une approche «</w:t>
      </w:r>
      <w:r>
        <w:rPr>
          <w:b/>
          <w:noProof/>
        </w:rPr>
        <w:t>Équipe Europe</w:t>
      </w:r>
      <w:r>
        <w:rPr>
          <w:noProof/>
        </w:rPr>
        <w:t xml:space="preserve">». En outre, </w:t>
      </w:r>
      <w:bookmarkStart w:id="16" w:name="_Hlk198028222"/>
      <w:r>
        <w:rPr>
          <w:noProof/>
        </w:rPr>
        <w:t>l’UE s’efforcera de maximiser le potentiel de synergies grâce aux investissements et aux réformes entrepris dans le cadre du plan pour l’Ukraine, du plan de croissance pour la République de Moldavie, du train de mesures en faveur de la résilience et de la croissance de l’Arménie, et à des investissements en Azerbaïdjan et dans l’ensemble de la région dans le cadre de la stratégie «Global Gateway»</w:t>
      </w:r>
      <w:bookmarkEnd w:id="16"/>
      <w:r>
        <w:rPr>
          <w:noProof/>
        </w:rPr>
        <w:t xml:space="preserve">. </w:t>
      </w:r>
    </w:p>
    <w:p w14:paraId="1EE8345E" w14:textId="6A0A0400" w:rsidR="00353EF1" w:rsidRPr="002177B3" w:rsidRDefault="28A05016" w:rsidP="009F2A81">
      <w:pPr>
        <w:spacing w:before="240" w:after="0"/>
        <w:rPr>
          <w:noProof/>
        </w:rPr>
      </w:pPr>
      <w:r>
        <w:rPr>
          <w:noProof/>
        </w:rPr>
        <w:t xml:space="preserve">La mise en œuvre des activités décrites dans le présent document dépendra de </w:t>
      </w:r>
      <w:r>
        <w:rPr>
          <w:b/>
          <w:noProof/>
        </w:rPr>
        <w:t>l’évolution de la situation en matière de sécurité</w:t>
      </w:r>
      <w:r>
        <w:rPr>
          <w:noProof/>
        </w:rPr>
        <w:t xml:space="preserve"> en mer Noire. Les activités peuvent être mises en œuvre au moyen d’instruments de financement existants et des disponibilités budgétaires pour la période couverte par le cadre financier pluriannuel 2021</w:t>
      </w:r>
      <w:r>
        <w:rPr>
          <w:noProof/>
        </w:rPr>
        <w:noBreakHyphen/>
        <w:t xml:space="preserve">2027, notamment par l’intermédiaire de l’instrument de voisinage, de coopération au développement et de coopération internationale (IVCDCI), de l’instrument d’aide de préadhésion (IAP III), du mécanisme pour l’interconnexion en Europe, d’Horizon Europe, du Fonds européen de la défense (FED) et du programme de l’UE pour l’innovation dans le domaine de la défense (EUDIS), de la politique de cohésion (FEDER), du programme pour une Europe numérique, d’InvestEU, du programme LIFE, d’Erasmus+, du plan «ReArm Europe», de la facilité européenne pour la paix et de la facilité pour l’Ukraine. </w:t>
      </w:r>
    </w:p>
    <w:p w14:paraId="4D2DC454" w14:textId="77777777" w:rsidR="00353EF1" w:rsidRPr="002177B3" w:rsidRDefault="28A05016" w:rsidP="009F2A81">
      <w:pPr>
        <w:spacing w:after="0"/>
        <w:rPr>
          <w:noProof/>
        </w:rPr>
      </w:pPr>
      <w:r>
        <w:rPr>
          <w:noProof/>
        </w:rPr>
        <w:t xml:space="preserve"> </w:t>
      </w:r>
    </w:p>
    <w:p w14:paraId="6FD19D9C" w14:textId="77777777" w:rsidR="00353EF1" w:rsidRPr="002177B3" w:rsidRDefault="4C21C7FB" w:rsidP="009F2A81">
      <w:pPr>
        <w:spacing w:after="0"/>
        <w:rPr>
          <w:noProof/>
        </w:rPr>
      </w:pPr>
      <w:r>
        <w:rPr>
          <w:noProof/>
        </w:rPr>
        <w:t xml:space="preserve">La Commission et la haute représentante proposent d’organiser une </w:t>
      </w:r>
      <w:r>
        <w:rPr>
          <w:b/>
          <w:noProof/>
        </w:rPr>
        <w:t>réunion ministérielle spécifique au niveau de l’UE</w:t>
      </w:r>
      <w:r>
        <w:rPr>
          <w:noProof/>
        </w:rPr>
        <w:t xml:space="preserve"> avec les pays partenaires de la région de la mer Noire afin de développer et de faire avancer différents aspects de la coopération dans le cadre de la nouvelle approche de l’UE à l’égard de la région de la mer Noire, sur la base d’une trajectoire définie d’un commun accord. Des réunions ministérielles de suivi pourraient être organisées, le cas échéant, afin de surveiller et d’évaluer l’état d’avancement des actions spécifiques convenues dans ce contexte. </w:t>
      </w:r>
    </w:p>
    <w:p w14:paraId="5798545E" w14:textId="77777777" w:rsidR="4C21C7FB" w:rsidRPr="004F6065" w:rsidRDefault="4C21C7FB" w:rsidP="009F2A81">
      <w:pPr>
        <w:spacing w:after="0"/>
        <w:rPr>
          <w:noProof/>
          <w:lang w:val="fr-BE"/>
        </w:rPr>
      </w:pPr>
    </w:p>
    <w:p w14:paraId="09E98D2B" w14:textId="77777777" w:rsidR="00545B43" w:rsidRDefault="2E937DC2" w:rsidP="7D0513B3">
      <w:pPr>
        <w:spacing w:after="0"/>
        <w:rPr>
          <w:noProof/>
        </w:rPr>
      </w:pPr>
      <w:r>
        <w:rPr>
          <w:noProof/>
        </w:rPr>
        <w:t>La Commission et la haute représentante invitent le Parlement européen et le Conseil à approuver l’approche exposée dans la présente communication conjointe et à œuvrer de concert à sa mise en œuvre et à son réexamen.</w:t>
      </w:r>
    </w:p>
    <w:p w14:paraId="5D5E35FF" w14:textId="09DD0DB8" w:rsidR="002C14F0" w:rsidRDefault="002C14F0" w:rsidP="7D0513B3">
      <w:pPr>
        <w:spacing w:after="0"/>
        <w:rPr>
          <w:noProof/>
        </w:rPr>
      </w:pPr>
      <w:r>
        <w:rPr>
          <w:noProof/>
        </w:rPr>
        <w:t xml:space="preserve">La Commission et la haute représentante présenteront un premier rapport sur la mise en œuvre de cette approche stratégique à l’égard de la région de la mer Noire après un an. </w:t>
      </w:r>
    </w:p>
    <w:p w14:paraId="32592452" w14:textId="3027BE84" w:rsidR="005F1BF5" w:rsidRPr="004F6065" w:rsidRDefault="005F1BF5" w:rsidP="001833D8">
      <w:pPr>
        <w:spacing w:after="0"/>
        <w:rPr>
          <w:noProof/>
          <w:lang w:val="fr-BE"/>
        </w:rPr>
      </w:pPr>
    </w:p>
    <w:p w14:paraId="23132160" w14:textId="7B3A7A88" w:rsidR="00F40655" w:rsidRDefault="00401B21" w:rsidP="005C57F4">
      <w:pPr>
        <w:spacing w:after="160" w:line="259" w:lineRule="auto"/>
        <w:jc w:val="left"/>
        <w:rPr>
          <w:noProof/>
          <w:sz w:val="18"/>
          <w:szCs w:val="18"/>
        </w:rPr>
      </w:pPr>
      <w:r w:rsidRPr="00401B21">
        <w:rPr>
          <w:noProof/>
          <w:lang w:val="en-GB" w:eastAsia="en-GB"/>
        </w:rPr>
        <w:drawing>
          <wp:inline distT="0" distB="0" distL="0" distR="0" wp14:anchorId="0D7BB76F" wp14:editId="3AE40EEC">
            <wp:extent cx="6120130" cy="3388995"/>
            <wp:effectExtent l="0" t="0" r="0" b="1905"/>
            <wp:docPr id="249793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793492" name=""/>
                    <pic:cNvPicPr/>
                  </pic:nvPicPr>
                  <pic:blipFill>
                    <a:blip r:embed="rId15"/>
                    <a:stretch>
                      <a:fillRect/>
                    </a:stretch>
                  </pic:blipFill>
                  <pic:spPr>
                    <a:xfrm>
                      <a:off x="0" y="0"/>
                      <a:ext cx="6120130" cy="3388995"/>
                    </a:xfrm>
                    <a:prstGeom prst="rect">
                      <a:avLst/>
                    </a:prstGeom>
                  </pic:spPr>
                </pic:pic>
              </a:graphicData>
            </a:graphic>
          </wp:inline>
        </w:drawing>
      </w:r>
    </w:p>
    <w:p w14:paraId="0A090986" w14:textId="6ED8C382" w:rsidR="00401B21" w:rsidRPr="00810007" w:rsidRDefault="00401B21" w:rsidP="005C57F4">
      <w:pPr>
        <w:spacing w:after="160" w:line="259" w:lineRule="auto"/>
        <w:jc w:val="left"/>
        <w:rPr>
          <w:noProof/>
          <w:sz w:val="18"/>
          <w:szCs w:val="18"/>
        </w:rPr>
      </w:pPr>
      <w:r w:rsidRPr="00401B21">
        <w:rPr>
          <w:noProof/>
          <w:lang w:val="en-GB" w:eastAsia="en-GB"/>
        </w:rPr>
        <w:drawing>
          <wp:inline distT="0" distB="0" distL="0" distR="0" wp14:anchorId="0CD157D4" wp14:editId="6C54BE40">
            <wp:extent cx="6120130" cy="3314700"/>
            <wp:effectExtent l="0" t="0" r="0" b="0"/>
            <wp:docPr id="1278727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872754" name=""/>
                    <pic:cNvPicPr/>
                  </pic:nvPicPr>
                  <pic:blipFill>
                    <a:blip r:embed="rId16"/>
                    <a:stretch>
                      <a:fillRect/>
                    </a:stretch>
                  </pic:blipFill>
                  <pic:spPr>
                    <a:xfrm>
                      <a:off x="0" y="0"/>
                      <a:ext cx="6120130" cy="3314700"/>
                    </a:xfrm>
                    <a:prstGeom prst="rect">
                      <a:avLst/>
                    </a:prstGeom>
                  </pic:spPr>
                </pic:pic>
              </a:graphicData>
            </a:graphic>
          </wp:inline>
        </w:drawing>
      </w:r>
    </w:p>
    <w:sectPr w:rsidR="00401B21" w:rsidRPr="00810007" w:rsidSect="00B3564D">
      <w:headerReference w:type="even" r:id="rId17"/>
      <w:headerReference w:type="default" r:id="rId18"/>
      <w:footerReference w:type="even" r:id="rId19"/>
      <w:footerReference w:type="default" r:id="rId20"/>
      <w:headerReference w:type="first" r:id="rId21"/>
      <w:footerReference w:type="first" r:id="rId22"/>
      <w:pgSz w:w="11906" w:h="16838"/>
      <w:pgMar w:top="1134" w:right="1134" w:bottom="1134" w:left="1134"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73E698" w14:textId="77777777" w:rsidR="00D85F7F" w:rsidRDefault="00D85F7F" w:rsidP="00BA216E">
      <w:pPr>
        <w:spacing w:after="0"/>
      </w:pPr>
      <w:r>
        <w:separator/>
      </w:r>
    </w:p>
  </w:endnote>
  <w:endnote w:type="continuationSeparator" w:id="0">
    <w:p w14:paraId="0688AF0B" w14:textId="77777777" w:rsidR="00D85F7F" w:rsidRDefault="00D85F7F" w:rsidP="00BA216E">
      <w:pPr>
        <w:spacing w:after="0"/>
      </w:pPr>
      <w:r>
        <w:continuationSeparator/>
      </w:r>
    </w:p>
  </w:endnote>
  <w:endnote w:type="continuationNotice" w:id="1">
    <w:p w14:paraId="2ECFEFF2" w14:textId="77777777" w:rsidR="00D85F7F" w:rsidRDefault="00D85F7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ヒラギノ角ゴ Pro W3">
    <w:altName w:val="MS Gothic"/>
    <w:charset w:val="80"/>
    <w:family w:val="auto"/>
    <w:pitch w:val="variable"/>
    <w:sig w:usb0="00000000" w:usb1="08070000" w:usb2="00000010" w:usb3="00000000" w:csb0="00020000" w:csb1="00000000"/>
  </w:font>
  <w:font w:name="EC Square Sans Pro">
    <w:altName w:val="Bahnschrift Light"/>
    <w:charset w:val="00"/>
    <w:family w:val="swiss"/>
    <w:pitch w:val="variable"/>
    <w:sig w:usb0="20000287" w:usb1="00000001"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Times New Roman Bold">
    <w:panose1 w:val="02020803070505020304"/>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5F523A" w14:textId="1350DCDB" w:rsidR="00276C85" w:rsidRPr="00276C85" w:rsidRDefault="00276C85" w:rsidP="00276C85">
    <w:pPr>
      <w:pStyle w:val="FooterCoverPage"/>
      <w:rPr>
        <w:rFonts w:ascii="Arial" w:hAnsi="Arial" w:cs="Arial"/>
        <w:b/>
        <w:sz w:val="48"/>
      </w:rPr>
    </w:pPr>
    <w:r w:rsidRPr="00276C85">
      <w:rPr>
        <w:rFonts w:ascii="Arial" w:hAnsi="Arial" w:cs="Arial"/>
        <w:b/>
        <w:sz w:val="48"/>
      </w:rPr>
      <w:t>FR</w:t>
    </w:r>
    <w:r w:rsidRPr="00276C85">
      <w:rPr>
        <w:rFonts w:ascii="Arial" w:hAnsi="Arial" w:cs="Arial"/>
        <w:b/>
        <w:sz w:val="48"/>
      </w:rPr>
      <w:tab/>
    </w:r>
    <w:r w:rsidRPr="00276C85">
      <w:rPr>
        <w:rFonts w:ascii="Arial" w:hAnsi="Arial" w:cs="Arial"/>
        <w:b/>
        <w:sz w:val="48"/>
      </w:rPr>
      <w:tab/>
    </w:r>
    <w:r w:rsidRPr="00276C85">
      <w:tab/>
    </w:r>
    <w:r w:rsidRPr="00276C85">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86A1CC" w14:textId="5A11A80D" w:rsidR="00276C85" w:rsidRPr="00276C85" w:rsidRDefault="00276C85" w:rsidP="00276C85">
    <w:pPr>
      <w:pStyle w:val="FooterCoverPage"/>
      <w:rPr>
        <w:rFonts w:ascii="Arial" w:hAnsi="Arial" w:cs="Arial"/>
        <w:b/>
        <w:sz w:val="48"/>
      </w:rPr>
    </w:pPr>
    <w:r w:rsidRPr="00276C85">
      <w:rPr>
        <w:rFonts w:ascii="Arial" w:hAnsi="Arial" w:cs="Arial"/>
        <w:b/>
        <w:sz w:val="48"/>
      </w:rPr>
      <w:t>FR</w:t>
    </w:r>
    <w:r w:rsidRPr="00276C85">
      <w:rPr>
        <w:rFonts w:ascii="Arial" w:hAnsi="Arial" w:cs="Arial"/>
        <w:b/>
        <w:sz w:val="48"/>
      </w:rPr>
      <w:tab/>
    </w:r>
    <w:r w:rsidRPr="00276C85">
      <w:rPr>
        <w:rFonts w:ascii="Arial" w:hAnsi="Arial" w:cs="Arial"/>
        <w:b/>
        <w:sz w:val="48"/>
      </w:rPr>
      <w:tab/>
    </w:r>
    <w:r w:rsidRPr="00276C85">
      <w:tab/>
    </w:r>
    <w:r w:rsidRPr="00276C8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E35AA1" w14:textId="77777777" w:rsidR="00276C85" w:rsidRPr="00276C85" w:rsidRDefault="00276C85" w:rsidP="00276C8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E0A5FA" w14:textId="77777777" w:rsidR="00CF4922" w:rsidRDefault="00CF4922" w:rsidP="00C7313C">
    <w:pPr>
      <w:pStyle w:val="Footer"/>
    </w:pPr>
  </w:p>
  <w:p w14:paraId="374C1B4C" w14:textId="77777777" w:rsidR="00CF4922" w:rsidRDefault="00CF4922" w:rsidP="00C7313C"/>
  <w:p w14:paraId="7DC00447" w14:textId="77777777" w:rsidR="00CF4922" w:rsidRDefault="00CF4922" w:rsidP="00C7313C"/>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4306465"/>
      <w:docPartObj>
        <w:docPartGallery w:val="Page Numbers (Bottom of Page)"/>
        <w:docPartUnique/>
      </w:docPartObj>
    </w:sdtPr>
    <w:sdtEndPr>
      <w:rPr>
        <w:noProof/>
      </w:rPr>
    </w:sdtEndPr>
    <w:sdtContent>
      <w:p w14:paraId="6FA12428" w14:textId="72B8EC7A" w:rsidR="00CF4922" w:rsidRDefault="00CF4922" w:rsidP="008B0033">
        <w:pPr>
          <w:pStyle w:val="Footer"/>
          <w:jc w:val="center"/>
        </w:pPr>
        <w:r>
          <w:fldChar w:fldCharType="begin"/>
        </w:r>
        <w:r>
          <w:instrText xml:space="preserve"> PAGE   \* MERGEFORMAT </w:instrText>
        </w:r>
        <w:r>
          <w:fldChar w:fldCharType="separate"/>
        </w:r>
        <w:r w:rsidR="00276C85">
          <w:rPr>
            <w:noProof/>
          </w:rPr>
          <w:t>2</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3BB603" w14:textId="77777777" w:rsidR="00CF4922" w:rsidRDefault="00CF492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A09282" w14:textId="77777777" w:rsidR="00D85F7F" w:rsidRDefault="00D85F7F" w:rsidP="00BA216E">
      <w:pPr>
        <w:spacing w:after="0"/>
      </w:pPr>
      <w:r>
        <w:separator/>
      </w:r>
    </w:p>
  </w:footnote>
  <w:footnote w:type="continuationSeparator" w:id="0">
    <w:p w14:paraId="1F0615C9" w14:textId="77777777" w:rsidR="00D85F7F" w:rsidRDefault="00D85F7F" w:rsidP="00BA216E">
      <w:pPr>
        <w:spacing w:after="0"/>
      </w:pPr>
      <w:r>
        <w:continuationSeparator/>
      </w:r>
    </w:p>
  </w:footnote>
  <w:footnote w:type="continuationNotice" w:id="1">
    <w:p w14:paraId="5A60C0D7" w14:textId="77777777" w:rsidR="00D85F7F" w:rsidRDefault="00D85F7F">
      <w:pPr>
        <w:spacing w:after="0"/>
      </w:pPr>
    </w:p>
  </w:footnote>
  <w:footnote w:id="2">
    <w:p w14:paraId="0A6FF0AB" w14:textId="77777777" w:rsidR="006F1723" w:rsidRPr="006C3E6B" w:rsidRDefault="006F1723" w:rsidP="006F1723">
      <w:pPr>
        <w:pStyle w:val="FootnoteText"/>
      </w:pPr>
      <w:r>
        <w:rPr>
          <w:rStyle w:val="FootnoteReference"/>
        </w:rPr>
        <w:footnoteRef/>
      </w:r>
      <w:r>
        <w:t xml:space="preserve"> FMI, «Perspectives de l’économie mondiale», avril 2025.</w:t>
      </w:r>
    </w:p>
  </w:footnote>
  <w:footnote w:id="3">
    <w:p w14:paraId="018059EF" w14:textId="77777777" w:rsidR="002177B3" w:rsidRPr="002420F3" w:rsidRDefault="002177B3" w:rsidP="002177B3">
      <w:pPr>
        <w:pStyle w:val="FootnoteText"/>
      </w:pPr>
      <w:r>
        <w:rPr>
          <w:rStyle w:val="FootnoteReference"/>
        </w:rPr>
        <w:footnoteRef/>
      </w:r>
      <w:r>
        <w:t xml:space="preserve"> L’Arménie, l’Azerbaïdjan, la Géorgie, la République de Moldavie, l’Ukraine, la Turquie, ainsi que les États membres de l’UE que sont la Bulgarie, la Grèce et la Roumanie – sans la Russie. </w:t>
      </w:r>
    </w:p>
  </w:footnote>
  <w:footnote w:id="4">
    <w:p w14:paraId="3406CBBD" w14:textId="77777777" w:rsidR="002177B3" w:rsidRPr="00680ECA" w:rsidRDefault="002177B3" w:rsidP="002177B3">
      <w:pPr>
        <w:pStyle w:val="FootnoteText"/>
        <w:jc w:val="left"/>
      </w:pPr>
      <w:r>
        <w:rPr>
          <w:rStyle w:val="FootnoteReference"/>
          <w:rFonts w:eastAsiaTheme="majorEastAsia"/>
        </w:rPr>
        <w:footnoteRef/>
      </w:r>
      <w:r>
        <w:t xml:space="preserve"> </w:t>
      </w:r>
      <w:r>
        <w:rPr>
          <w:rStyle w:val="Hyperlink"/>
        </w:rPr>
        <w:t xml:space="preserve"> Données Eurostat 2023 (https://ec.europa.eu/eurostat/data/database).</w:t>
      </w:r>
      <w:r>
        <w:t xml:space="preserve"> </w:t>
      </w:r>
    </w:p>
  </w:footnote>
  <w:footnote w:id="5">
    <w:p w14:paraId="15AE0D7F" w14:textId="5F055939" w:rsidR="00C841C9" w:rsidRPr="004F6065" w:rsidRDefault="00C841C9">
      <w:pPr>
        <w:pStyle w:val="FootnoteText"/>
        <w:rPr>
          <w:lang w:val="en-US"/>
        </w:rPr>
      </w:pPr>
      <w:r>
        <w:rPr>
          <w:rStyle w:val="FootnoteReference"/>
        </w:rPr>
        <w:footnoteRef/>
      </w:r>
      <w:r w:rsidRPr="004F6065">
        <w:rPr>
          <w:lang w:val="en-US"/>
        </w:rPr>
        <w:t xml:space="preserve"> Source: FMI, OMC, CNUCED.</w:t>
      </w:r>
    </w:p>
  </w:footnote>
  <w:footnote w:id="6">
    <w:p w14:paraId="31F4AC39" w14:textId="77777777" w:rsidR="008B2551" w:rsidRPr="004F6065" w:rsidRDefault="008B2551" w:rsidP="008B2551">
      <w:pPr>
        <w:pStyle w:val="FootnoteText"/>
        <w:rPr>
          <w:lang w:val="en-US"/>
        </w:rPr>
      </w:pPr>
      <w:r>
        <w:rPr>
          <w:rStyle w:val="FootnoteReference"/>
        </w:rPr>
        <w:footnoteRef/>
      </w:r>
      <w:r w:rsidRPr="004F6065">
        <w:rPr>
          <w:lang w:val="en-US"/>
        </w:rPr>
        <w:t xml:space="preserve"> </w:t>
      </w:r>
      <w:hyperlink r:id="rId1" w:history="1">
        <w:r w:rsidRPr="004F6065">
          <w:rPr>
            <w:rStyle w:val="Hyperlink"/>
            <w:lang w:val="en-US"/>
          </w:rPr>
          <w:t>https://www.consilium.europa.eu/fr/meetings/international-summit/2025/04/04/</w:t>
        </w:r>
      </w:hyperlink>
      <w:r w:rsidRPr="004F6065">
        <w:rPr>
          <w:lang w:val="en-US"/>
        </w:rPr>
        <w:t>.</w:t>
      </w:r>
    </w:p>
  </w:footnote>
  <w:footnote w:id="7">
    <w:p w14:paraId="680720EB" w14:textId="6BD6F136" w:rsidR="00977FD0" w:rsidRPr="00977FD0" w:rsidRDefault="00977FD0">
      <w:pPr>
        <w:pStyle w:val="FootnoteText"/>
      </w:pPr>
      <w:r>
        <w:rPr>
          <w:rStyle w:val="FootnoteReference"/>
        </w:rPr>
        <w:footnoteRef/>
      </w:r>
      <w:r>
        <w:t xml:space="preserve"> Communication conjointe au Conseil européen, «État des relations entre l’UE et la Turquie dans les domaines politique, économique et commercial», JOIN (2023) 50 final.</w:t>
      </w:r>
    </w:p>
  </w:footnote>
  <w:footnote w:id="8">
    <w:p w14:paraId="5CB700DB" w14:textId="667979D8" w:rsidR="00977FD0" w:rsidRPr="00977FD0" w:rsidRDefault="00977FD0">
      <w:pPr>
        <w:pStyle w:val="FootnoteText"/>
      </w:pPr>
      <w:r>
        <w:rPr>
          <w:rStyle w:val="FootnoteReference"/>
        </w:rPr>
        <w:footnoteRef/>
      </w:r>
      <w:r>
        <w:t xml:space="preserve"> Conformément aux conclusions du Conseil de juin 2021 et d’avril 2024.</w:t>
      </w:r>
    </w:p>
  </w:footnote>
  <w:footnote w:id="9">
    <w:p w14:paraId="08987F23" w14:textId="24C85409" w:rsidR="00977FD0" w:rsidRPr="00977FD0" w:rsidRDefault="00977FD0">
      <w:pPr>
        <w:pStyle w:val="FootnoteText"/>
      </w:pPr>
      <w:r>
        <w:rPr>
          <w:rStyle w:val="FootnoteReference"/>
        </w:rPr>
        <w:footnoteRef/>
      </w:r>
      <w:r>
        <w:t xml:space="preserve"> Initiative sur la sécurité du transport des céréales et des denrées alimentaires en provenance des ports ukrainiens, lancée en Turquie le 22 juillet 2022 (https://www.consilium.europa.eu/fr/infographics/ukrainian-grain-exports-explained).</w:t>
      </w:r>
    </w:p>
  </w:footnote>
  <w:footnote w:id="10">
    <w:p w14:paraId="5893E648" w14:textId="77777777" w:rsidR="002177B3" w:rsidRDefault="002177B3" w:rsidP="002177B3">
      <w:pPr>
        <w:pStyle w:val="FootnoteText"/>
      </w:pPr>
      <w:r>
        <w:rPr>
          <w:rStyle w:val="FootnoteReference"/>
        </w:rPr>
        <w:footnoteRef/>
      </w:r>
      <w:r>
        <w:t xml:space="preserve"> JO L 161 du 29.5.2014, p. 3.</w:t>
      </w:r>
    </w:p>
  </w:footnote>
  <w:footnote w:id="11">
    <w:p w14:paraId="3CF64CE5" w14:textId="77777777" w:rsidR="002177B3" w:rsidRDefault="002177B3" w:rsidP="002177B3">
      <w:pPr>
        <w:pStyle w:val="FootnoteText"/>
      </w:pPr>
      <w:r>
        <w:rPr>
          <w:rStyle w:val="FootnoteReference"/>
        </w:rPr>
        <w:footnoteRef/>
      </w:r>
      <w:r>
        <w:t xml:space="preserve"> JO L 260 du 30.8.2014, p. 4.</w:t>
      </w:r>
    </w:p>
  </w:footnote>
  <w:footnote w:id="12">
    <w:p w14:paraId="4FF0C6E1" w14:textId="77777777" w:rsidR="002177B3" w:rsidRDefault="002177B3" w:rsidP="002177B3">
      <w:pPr>
        <w:pStyle w:val="FootnoteText"/>
      </w:pPr>
      <w:r>
        <w:rPr>
          <w:rStyle w:val="FootnoteReference"/>
        </w:rPr>
        <w:footnoteRef/>
      </w:r>
      <w:r>
        <w:t xml:space="preserve"> JO L 261 du 30.8.2014, p. 4.</w:t>
      </w:r>
    </w:p>
  </w:footnote>
  <w:footnote w:id="13">
    <w:p w14:paraId="630A8FD6" w14:textId="77777777" w:rsidR="002177B3" w:rsidRDefault="002177B3" w:rsidP="002177B3">
      <w:pPr>
        <w:pStyle w:val="FootnoteText"/>
      </w:pPr>
      <w:r>
        <w:rPr>
          <w:rStyle w:val="FootnoteReference"/>
        </w:rPr>
        <w:footnoteRef/>
      </w:r>
      <w:r>
        <w:t xml:space="preserve"> Accord créant une association entre la Communauté économique européenne et la Turquie (JO L 361 du 31.12.1977, p. 29).</w:t>
      </w:r>
    </w:p>
  </w:footnote>
  <w:footnote w:id="14">
    <w:p w14:paraId="273CE660" w14:textId="77777777" w:rsidR="002177B3" w:rsidRPr="00196C3B" w:rsidRDefault="002177B3" w:rsidP="002177B3">
      <w:pPr>
        <w:pStyle w:val="FootnoteText"/>
      </w:pPr>
      <w:r>
        <w:rPr>
          <w:rStyle w:val="FootnoteReference"/>
        </w:rPr>
        <w:footnoteRef/>
      </w:r>
      <w:r>
        <w:t xml:space="preserve"> https://eur-lex.europa.eu/legal-content/FR/ALL/?uri=celex:52023JC0050. </w:t>
      </w:r>
    </w:p>
  </w:footnote>
  <w:footnote w:id="15">
    <w:p w14:paraId="665EBE59" w14:textId="77777777" w:rsidR="002177B3" w:rsidRDefault="002177B3" w:rsidP="002177B3">
      <w:pPr>
        <w:pStyle w:val="FootnoteText"/>
      </w:pPr>
      <w:r>
        <w:rPr>
          <w:rStyle w:val="FootnoteReference"/>
        </w:rPr>
        <w:footnoteRef/>
      </w:r>
      <w:r>
        <w:t xml:space="preserve"> JO L 23 du 26.1.2018, p. 4.</w:t>
      </w:r>
    </w:p>
  </w:footnote>
  <w:footnote w:id="16">
    <w:p w14:paraId="5BB9557D" w14:textId="77777777" w:rsidR="002177B3" w:rsidRDefault="002177B3" w:rsidP="002177B3">
      <w:pPr>
        <w:pStyle w:val="FootnoteText"/>
      </w:pPr>
      <w:r>
        <w:rPr>
          <w:rStyle w:val="FootnoteReference"/>
        </w:rPr>
        <w:footnoteRef/>
      </w:r>
      <w:r>
        <w:t xml:space="preserve"> JO L 246 du 17.9.1999, p. 3.</w:t>
      </w:r>
    </w:p>
  </w:footnote>
  <w:footnote w:id="17">
    <w:p w14:paraId="70119198" w14:textId="77777777" w:rsidR="002177B3" w:rsidRDefault="002177B3" w:rsidP="002177B3">
      <w:pPr>
        <w:pStyle w:val="FootnoteText"/>
      </w:pPr>
      <w:r>
        <w:rPr>
          <w:rStyle w:val="FootnoteReference"/>
        </w:rPr>
        <w:footnoteRef/>
      </w:r>
      <w:r>
        <w:t xml:space="preserve"> Créée en 2007, la synergie de la mer Noire a atteint ses objectifs, en facilitant une stratégie spécifique au bassin maritime et en favorisant une véritable coopération entre les parties prenantes régionales dans des domaines tels que la coopération maritime, la recherche et l’innovation marines et les investissements dans l’économie bleue. </w:t>
      </w:r>
    </w:p>
  </w:footnote>
  <w:footnote w:id="18">
    <w:p w14:paraId="6D0B77B7" w14:textId="77777777" w:rsidR="002177B3" w:rsidRDefault="002177B3" w:rsidP="002177B3">
      <w:pPr>
        <w:pStyle w:val="FootnoteText"/>
      </w:pPr>
      <w:r>
        <w:rPr>
          <w:rStyle w:val="FootnoteReference"/>
        </w:rPr>
        <w:footnoteRef/>
      </w:r>
      <w:r>
        <w:t xml:space="preserve"> https://black-sea-maritime-agenda.ec.europa.eu/.</w:t>
      </w:r>
    </w:p>
  </w:footnote>
  <w:footnote w:id="19">
    <w:p w14:paraId="6BFC9F4A" w14:textId="219F645F" w:rsidR="002177B3" w:rsidRPr="004F6065" w:rsidRDefault="002177B3" w:rsidP="002177B3">
      <w:pPr>
        <w:pStyle w:val="FootnoteText"/>
        <w:rPr>
          <w:lang w:val="en-US"/>
        </w:rPr>
      </w:pPr>
      <w:r>
        <w:rPr>
          <w:rStyle w:val="FootnoteReference"/>
        </w:rPr>
        <w:footnoteRef/>
      </w:r>
      <w:r w:rsidRPr="004F6065">
        <w:rPr>
          <w:lang w:val="en-US"/>
        </w:rPr>
        <w:t xml:space="preserve"> </w:t>
      </w:r>
      <w:hyperlink r:id="rId2" w:history="1">
        <w:r w:rsidRPr="004F6065">
          <w:rPr>
            <w:rStyle w:val="Hyperlink"/>
            <w:lang w:val="en-US"/>
          </w:rPr>
          <w:t>https://www.sust-black.ro/Black Sea Strategic Research and Innovation Agenda.pdf</w:t>
        </w:r>
      </w:hyperlink>
    </w:p>
  </w:footnote>
  <w:footnote w:id="20">
    <w:p w14:paraId="5577C4CE" w14:textId="77777777" w:rsidR="002177B3" w:rsidRDefault="002177B3" w:rsidP="002177B3">
      <w:pPr>
        <w:pStyle w:val="FootnoteText"/>
      </w:pPr>
      <w:r>
        <w:rPr>
          <w:rStyle w:val="FootnoteReference"/>
        </w:rPr>
        <w:footnoteRef/>
      </w:r>
      <w:r>
        <w:t xml:space="preserve"> Programme de coopération transnationale associant huit pays de la région de la mer Noire: la Roumanie, la Bulgarie, la Grèce, l’Arménie, la Géorgie, la République de Moldavie, la Turquie et l’Ukraine (https://www.blacksea-cbc.net/).</w:t>
      </w:r>
    </w:p>
  </w:footnote>
  <w:footnote w:id="21">
    <w:p w14:paraId="6EC5F477" w14:textId="77777777" w:rsidR="002177B3" w:rsidRDefault="002177B3" w:rsidP="002177B3">
      <w:pPr>
        <w:pStyle w:val="FootnoteText"/>
      </w:pPr>
      <w:r>
        <w:rPr>
          <w:rStyle w:val="FootnoteReference"/>
        </w:rPr>
        <w:footnoteRef/>
      </w:r>
      <w:r>
        <w:t xml:space="preserve"> https://commission.europa.eu/topics/eu-solidarity-ukraine/eu-assistance-ukraine/eu-ukraine-solidarity-lanes_fr.</w:t>
      </w:r>
    </w:p>
  </w:footnote>
  <w:footnote w:id="22">
    <w:p w14:paraId="3B406D12" w14:textId="77777777" w:rsidR="002177B3" w:rsidRPr="00987743" w:rsidRDefault="002177B3" w:rsidP="002177B3">
      <w:pPr>
        <w:pStyle w:val="FootnoteText"/>
      </w:pPr>
      <w:r>
        <w:rPr>
          <w:rStyle w:val="FootnoteReference"/>
        </w:rPr>
        <w:footnoteRef/>
      </w:r>
      <w:r>
        <w:t xml:space="preserve"> Communication conjointe «La politique du partenariat oriental au</w:t>
      </w:r>
      <w:r>
        <w:noBreakHyphen/>
        <w:t>delà de 2020: Renforcer la résilience – un partenariat oriental qui profite à tous» [JOIN(2020) 7].</w:t>
      </w:r>
    </w:p>
    <w:p w14:paraId="31A51E7C" w14:textId="77777777" w:rsidR="002177B3" w:rsidRPr="004F6065" w:rsidRDefault="002177B3" w:rsidP="002177B3">
      <w:pPr>
        <w:pStyle w:val="FootnoteText"/>
        <w:rPr>
          <w:sz w:val="4"/>
          <w:szCs w:val="4"/>
          <w:lang w:val="fr-BE"/>
        </w:rPr>
      </w:pPr>
    </w:p>
  </w:footnote>
  <w:footnote w:id="23">
    <w:p w14:paraId="268F57CF" w14:textId="77777777" w:rsidR="002177B3" w:rsidRPr="00C11E2D" w:rsidRDefault="002177B3" w:rsidP="002177B3">
      <w:pPr>
        <w:pStyle w:val="FootnoteText"/>
      </w:pPr>
      <w:r>
        <w:rPr>
          <w:rStyle w:val="FootnoteReference"/>
        </w:rPr>
        <w:footnoteRef/>
      </w:r>
      <w:r>
        <w:t xml:space="preserve"> Communication conjointe de la Commission au Parlement européen, au Conseil, au Comité économique et social européen, au Comité des régions et à la Banque européenne d’investissement – La stratégie «Global Gateway» [JOIN(2021) 30 final].</w:t>
      </w:r>
    </w:p>
  </w:footnote>
  <w:footnote w:id="24">
    <w:p w14:paraId="290835E4" w14:textId="77777777" w:rsidR="00BA4CCE" w:rsidRDefault="00BA4CCE" w:rsidP="00BA4CCE">
      <w:pPr>
        <w:pStyle w:val="FootnoteText"/>
      </w:pPr>
      <w:r>
        <w:rPr>
          <w:rStyle w:val="FootnoteReference"/>
        </w:rPr>
        <w:footnoteRef/>
      </w:r>
      <w:r>
        <w:t xml:space="preserve"> Livre blanc sur la préparation de la défense européenne à l’horizon 2030, (</w:t>
      </w:r>
      <w:hyperlink r:id="rId3" w:history="1">
        <w:r>
          <w:rPr>
            <w:rStyle w:val="Hyperlink"/>
          </w:rPr>
          <w:t>30b50d2c-49aa-4250-9ca6-27a0347cf009_en</w:t>
        </w:r>
      </w:hyperlink>
      <w:r>
        <w:t>), proposition de nouvel instrument «Agir pour la sécurité de l’Europe» (SAFE) et communication sur l’activation de la clause dérogatoire nationale prévue dans le pacte de stabilité et de croissance.</w:t>
      </w:r>
    </w:p>
  </w:footnote>
  <w:footnote w:id="25">
    <w:p w14:paraId="13954029" w14:textId="7F40101D" w:rsidR="006E2A08" w:rsidRDefault="006E2A08">
      <w:pPr>
        <w:pStyle w:val="FootnoteText"/>
      </w:pPr>
      <w:r>
        <w:rPr>
          <w:rStyle w:val="FootnoteReference"/>
        </w:rPr>
        <w:footnoteRef/>
      </w:r>
      <w:r>
        <w:t xml:space="preserve"> Livre blanc conjoint, «Préparation de la défense européenne à l’horizon 2030» [JOIN(2025) 120 final].</w:t>
      </w:r>
    </w:p>
  </w:footnote>
  <w:footnote w:id="26">
    <w:p w14:paraId="132DD8EC" w14:textId="6729F569" w:rsidR="007739D5" w:rsidRPr="00C13D26" w:rsidRDefault="007739D5" w:rsidP="007739D5">
      <w:pPr>
        <w:pStyle w:val="FootnoteText"/>
      </w:pPr>
      <w:r>
        <w:rPr>
          <w:rStyle w:val="FootnoteReference"/>
        </w:rPr>
        <w:footnoteRef/>
      </w:r>
      <w:r>
        <w:t xml:space="preserve"> Conclusions du Conseil du 24 octobre 2023 sur la stratégie de sûreté maritime de l’UE (SSMUE) révisée et son plan d’action.</w:t>
      </w:r>
    </w:p>
  </w:footnote>
  <w:footnote w:id="27">
    <w:p w14:paraId="3B082C58" w14:textId="77777777" w:rsidR="00BA4CCE" w:rsidRPr="00770FE7" w:rsidRDefault="00BA4CCE" w:rsidP="00BA4CCE">
      <w:pPr>
        <w:pStyle w:val="FootnoteText"/>
      </w:pPr>
      <w:r>
        <w:rPr>
          <w:rStyle w:val="FootnoteReference"/>
          <w:rFonts w:eastAsiaTheme="majorEastAsia"/>
        </w:rPr>
        <w:footnoteRef/>
      </w:r>
      <w:r>
        <w:t xml:space="preserve"> Cadre directeur de 2024 pour la mise en place des équipes d’intervention rapide de l’UE en cas de menaces hybrides.</w:t>
      </w:r>
    </w:p>
  </w:footnote>
  <w:footnote w:id="28">
    <w:p w14:paraId="4399EE81" w14:textId="77777777" w:rsidR="00BA4CCE" w:rsidRPr="00770FE7" w:rsidRDefault="00BA4CCE" w:rsidP="00BA4CCE">
      <w:pPr>
        <w:pStyle w:val="FootnoteText"/>
      </w:pPr>
      <w:r>
        <w:rPr>
          <w:rStyle w:val="FootnoteReference"/>
          <w:rFonts w:eastAsiaTheme="majorEastAsia"/>
        </w:rPr>
        <w:footnoteRef/>
      </w:r>
      <w:r>
        <w:t xml:space="preserve"> Communication conjointe de 2025 sur le plan d’action de l’UE sur la sécurité des câbles [JOIN(2025) 9 final].</w:t>
      </w:r>
    </w:p>
  </w:footnote>
  <w:footnote w:id="29">
    <w:p w14:paraId="035FB018" w14:textId="77777777" w:rsidR="00BA4CCE" w:rsidRPr="004663E6" w:rsidRDefault="00BA4CCE" w:rsidP="00BA4CCE">
      <w:pPr>
        <w:pStyle w:val="FootnoteText"/>
      </w:pPr>
      <w:r>
        <w:rPr>
          <w:rStyle w:val="FootnoteReference"/>
        </w:rPr>
        <w:footnoteRef/>
      </w:r>
      <w:r>
        <w:t xml:space="preserve"> Coopération structurée permanente, conçue pour permettre aux États membres de l’UE d’élaborer des projets de défense communs, de renforcer les capacités militaires et d’améliorer la coopération en matière de défense dans tous les domaines opérationnels.</w:t>
      </w:r>
    </w:p>
  </w:footnote>
  <w:footnote w:id="30">
    <w:p w14:paraId="50E3C8F3" w14:textId="4DA0F4CF" w:rsidR="00226462" w:rsidRPr="001833D8" w:rsidRDefault="00BA4CCE" w:rsidP="001833D8">
      <w:pPr>
        <w:spacing w:after="0"/>
        <w:rPr>
          <w:sz w:val="20"/>
        </w:rPr>
      </w:pPr>
      <w:r>
        <w:rPr>
          <w:rStyle w:val="FootnoteReference"/>
          <w:sz w:val="20"/>
          <w:szCs w:val="20"/>
        </w:rPr>
        <w:footnoteRef/>
      </w:r>
      <w:r>
        <w:rPr>
          <w:sz w:val="20"/>
        </w:rPr>
        <w:t xml:space="preserve"> </w:t>
      </w:r>
      <w:r w:rsidRPr="004F6065">
        <w:rPr>
          <w:sz w:val="20"/>
          <w:szCs w:val="20"/>
        </w:rPr>
        <w:t>Le Fonds européen de la défense (FED) est un outil financier conçu pour soutenir le développement de technologies de défense de pointe et encourager la collaboration entre les États membres de l’UE sur des projets communs dans le domaine de la défense. Il vise à renforcer l’autonomie stratégique de l’Europe et à améliorer ses capacités de défense.</w:t>
      </w:r>
    </w:p>
  </w:footnote>
  <w:footnote w:id="31">
    <w:p w14:paraId="78A0A194" w14:textId="77777777" w:rsidR="00BA4CCE" w:rsidRPr="00A1104B" w:rsidRDefault="00BA4CCE" w:rsidP="00226462">
      <w:pPr>
        <w:pStyle w:val="FootnoteText"/>
      </w:pPr>
      <w:r>
        <w:rPr>
          <w:rStyle w:val="FootnoteReference"/>
        </w:rPr>
        <w:footnoteRef/>
      </w:r>
      <w:r>
        <w:t xml:space="preserve"> </w:t>
      </w:r>
      <w:hyperlink r:id="rId4" w:history="1">
        <w:r>
          <w:rPr>
            <w:rStyle w:val="Hyperlink"/>
          </w:rPr>
          <w:t>Service Copernicus de surveillance maritime - AESM - Agence européenne pour la sécurité maritime</w:t>
        </w:r>
      </w:hyperlink>
      <w:r>
        <w:t>.</w:t>
      </w:r>
    </w:p>
  </w:footnote>
  <w:footnote w:id="32">
    <w:p w14:paraId="3087C2B7" w14:textId="15689CE4" w:rsidR="00F21A67" w:rsidRPr="00F21A67" w:rsidRDefault="00F21A67" w:rsidP="00226462">
      <w:pPr>
        <w:pStyle w:val="FootnoteText"/>
      </w:pPr>
      <w:r>
        <w:rPr>
          <w:rStyle w:val="FootnoteReference"/>
        </w:rPr>
        <w:footnoteRef/>
      </w:r>
      <w:r>
        <w:t xml:space="preserve"> </w:t>
      </w:r>
      <w:hyperlink r:id="rId5" w:history="1">
        <w:r>
          <w:rPr>
            <w:rStyle w:val="Hyperlink"/>
          </w:rPr>
          <w:t>Forum des fonctions des garde-côtes de la Méditerranée (MedCFGG) |</w:t>
        </w:r>
      </w:hyperlink>
      <w:hyperlink r:id="rId6" w:history="1">
        <w:r>
          <w:rPr>
            <w:rStyle w:val="Hyperlink"/>
          </w:rPr>
          <w:t xml:space="preserve"> Coopération européenne concernant les fonctions de garde-côtes</w:t>
        </w:r>
      </w:hyperlink>
    </w:p>
  </w:footnote>
  <w:footnote w:id="33">
    <w:p w14:paraId="63220025" w14:textId="41501718" w:rsidR="00902E4B" w:rsidRPr="00902E4B" w:rsidRDefault="00902E4B">
      <w:pPr>
        <w:pStyle w:val="FootnoteText"/>
      </w:pPr>
      <w:r>
        <w:rPr>
          <w:rStyle w:val="FootnoteReference"/>
        </w:rPr>
        <w:footnoteRef/>
      </w:r>
      <w:r>
        <w:t xml:space="preserve"> JOIN/2023/8 du 10 mars 2023.</w:t>
      </w:r>
    </w:p>
  </w:footnote>
  <w:footnote w:id="34">
    <w:p w14:paraId="1CAE11BE" w14:textId="77777777" w:rsidR="00BA4CCE" w:rsidRDefault="00BA4CCE" w:rsidP="00BA4CCE">
      <w:pPr>
        <w:pStyle w:val="FootnoteText"/>
      </w:pPr>
      <w:r>
        <w:rPr>
          <w:rStyle w:val="FootnoteReference"/>
        </w:rPr>
        <w:footnoteRef/>
      </w:r>
      <w:r>
        <w:t xml:space="preserve"> https://www.imo.org/fr/OurWork/Security/Pages/SOLAS-XI-2%20ISPS%20Code.aspx.</w:t>
      </w:r>
    </w:p>
  </w:footnote>
  <w:footnote w:id="35">
    <w:p w14:paraId="4BD2754D" w14:textId="77777777" w:rsidR="00BA4CCE" w:rsidRPr="00E0311B" w:rsidRDefault="00BA4CCE" w:rsidP="00BA4CCE">
      <w:pPr>
        <w:pStyle w:val="FootnoteText"/>
      </w:pPr>
      <w:r>
        <w:rPr>
          <w:rStyle w:val="FootnoteReference"/>
        </w:rPr>
        <w:footnoteRef/>
      </w:r>
      <w:r>
        <w:t xml:space="preserve"> Règlement (UE) 2019/452.</w:t>
      </w:r>
    </w:p>
  </w:footnote>
  <w:footnote w:id="36">
    <w:p w14:paraId="21363558" w14:textId="2D920477" w:rsidR="00452019" w:rsidRPr="00452019" w:rsidRDefault="00452019">
      <w:pPr>
        <w:pStyle w:val="FootnoteText"/>
      </w:pPr>
      <w:r>
        <w:rPr>
          <w:rStyle w:val="FootnoteReference"/>
        </w:rPr>
        <w:footnoteRef/>
      </w:r>
      <w:r>
        <w:t xml:space="preserve"> COM(2025) 148 final.</w:t>
      </w:r>
    </w:p>
  </w:footnote>
  <w:footnote w:id="37">
    <w:p w14:paraId="0A6E5F50" w14:textId="77777777" w:rsidR="00941980" w:rsidRDefault="00941980"/>
    <w:p w14:paraId="63EAE87B" w14:textId="77777777" w:rsidR="00BA4CCE" w:rsidRDefault="00BA4CCE" w:rsidP="00BA4CCE"/>
  </w:footnote>
  <w:footnote w:id="38">
    <w:p w14:paraId="1D43D5E7" w14:textId="635F39BC" w:rsidR="006348C0" w:rsidRDefault="006348C0">
      <w:pPr>
        <w:pStyle w:val="FootnoteText"/>
      </w:pPr>
      <w:r>
        <w:rPr>
          <w:rStyle w:val="FootnoteReference"/>
        </w:rPr>
        <w:footnoteRef/>
      </w:r>
      <w:r>
        <w:t xml:space="preserve"> La zone de libre-échange approfondi et complet entre l’UE et l’Ukraine est le volet commercial de l’accord d’association, qui est pleinement en vigueur depuis le 1</w:t>
      </w:r>
      <w:r>
        <w:rPr>
          <w:vertAlign w:val="superscript"/>
        </w:rPr>
        <w:t>er</w:t>
      </w:r>
      <w:r>
        <w:t> septembre 2017. Le plan d’action prioritaire pour une meilleure mise en œuvre de la zone de libre-échange approfondi et complet entre l’UE et l’Ukraine, qui a été créé pour la première fois en 2021, a été prolongé et sa dernière version couvre la période 2025-2026. De même, des zones de libre-échange approfondi et complet pour la Géorgie et la Moldavie font partie des accords d’association conclus avec ces deux pays, qui sont tous deux pleinement entrés en vigueur le 1</w:t>
      </w:r>
      <w:r>
        <w:rPr>
          <w:vertAlign w:val="superscript"/>
        </w:rPr>
        <w:t>er</w:t>
      </w:r>
      <w:r>
        <w:t> juillet 2016. L’accord de partenariat global et renforcé entre l’UE et l’Arménie est officiellement entré en vigueur le 1</w:t>
      </w:r>
      <w:r>
        <w:rPr>
          <w:vertAlign w:val="superscript"/>
        </w:rPr>
        <w:t>er</w:t>
      </w:r>
      <w:r>
        <w:t> mars 2021. L’accord de partenariat global et renforcé est un accord non préférentiel qui vise à améliorer encore les échanges entre l’UE et l’Arménie en améliorant l’environnement réglementaire des entreprises et en facilitant le commerce des services. L’accord de partenariat et de coopération (APC) entre l’UE et l’Azerbaïdjan est en vigueur depuis juillet 1999. Dans le domaine du commerce, l’APC est un accord non préférentiel, qui prévoit un rapprochement progressif de la législation et des procédures de l’Azerbaïdjan avec les principales lois et normes européennes et internationales en matière de commerce.</w:t>
      </w:r>
    </w:p>
  </w:footnote>
  <w:footnote w:id="39">
    <w:p w14:paraId="21F681A8" w14:textId="77777777" w:rsidR="007D0FA2" w:rsidRPr="00C46FE8" w:rsidRDefault="007D0FA2" w:rsidP="007D0FA2">
      <w:pPr>
        <w:pStyle w:val="FootnoteText"/>
      </w:pPr>
      <w:r>
        <w:rPr>
          <w:rStyle w:val="FootnoteReference"/>
        </w:rPr>
        <w:footnoteRef/>
      </w:r>
      <w:r>
        <w:t xml:space="preserve"> </w:t>
      </w:r>
      <w:hyperlink r:id="rId7" w:history="1">
        <w:r>
          <w:rPr>
            <w:rStyle w:val="Hyperlink"/>
          </w:rPr>
          <w:t>Facilité pour l’Ukraine - Commission européenne</w:t>
        </w:r>
      </w:hyperlink>
      <w:r>
        <w:t>.</w:t>
      </w:r>
    </w:p>
  </w:footnote>
  <w:footnote w:id="40">
    <w:p w14:paraId="08D8C813" w14:textId="77777777" w:rsidR="007D0FA2" w:rsidRPr="00395D38" w:rsidRDefault="007D0FA2" w:rsidP="007D0FA2">
      <w:pPr>
        <w:pStyle w:val="FootnoteText"/>
      </w:pPr>
      <w:r>
        <w:rPr>
          <w:rStyle w:val="FootnoteReference"/>
        </w:rPr>
        <w:footnoteRef/>
      </w:r>
      <w:r>
        <w:t xml:space="preserve"> </w:t>
      </w:r>
      <w:hyperlink r:id="rId8" w:history="1">
        <w:r>
          <w:rPr>
            <w:rStyle w:val="Hyperlink"/>
          </w:rPr>
          <w:t>Commission adopts €1.8 billion support package to underpin the Republic of Moldova’s economic growth plan on its path to the EU (la Commission adopte un train de mesures de soutien d’un montant de 1,8 milliard d’EUR pour soutenir le plan de croissance économique de la République de Moldavie sur la voie de l’adhésion à l’UE) - Commission européenne</w:t>
        </w:r>
      </w:hyperlink>
      <w:r>
        <w:t>.</w:t>
      </w:r>
    </w:p>
  </w:footnote>
  <w:footnote w:id="41">
    <w:p w14:paraId="7F8043A9" w14:textId="77777777" w:rsidR="007D0FA2" w:rsidRPr="00E759BA" w:rsidRDefault="007D0FA2" w:rsidP="007D0FA2">
      <w:pPr>
        <w:pStyle w:val="FootnoteText"/>
      </w:pPr>
      <w:r>
        <w:rPr>
          <w:rStyle w:val="FootnoteReference"/>
        </w:rPr>
        <w:footnoteRef/>
      </w:r>
      <w:r>
        <w:t xml:space="preserve"> </w:t>
      </w:r>
      <w:hyperlink r:id="rId9" w:history="1">
        <w:r>
          <w:rPr>
            <w:rStyle w:val="Hyperlink"/>
          </w:rPr>
          <w:t>Press statement by President von der Leyen on a Resilience and Growth Plan for Armenia (Déclaration à la presse de la présidente von der Leyen concernant un plan de résilience et de croissance pour l’Arménie) - Commission européenne</w:t>
        </w:r>
      </w:hyperlink>
      <w:r>
        <w:t>.</w:t>
      </w:r>
    </w:p>
  </w:footnote>
  <w:footnote w:id="42">
    <w:p w14:paraId="2503510A" w14:textId="77777777" w:rsidR="00454A58" w:rsidRPr="00867D45" w:rsidRDefault="00454A58" w:rsidP="00454A58">
      <w:pPr>
        <w:pStyle w:val="FootnoteText"/>
      </w:pPr>
      <w:r>
        <w:rPr>
          <w:rStyle w:val="FootnoteReference"/>
        </w:rPr>
        <w:footnoteRef/>
      </w:r>
      <w:r>
        <w:t xml:space="preserve"> https://commission.europa.eu/topics/eu-solidarity-ukraine/eu-assistance-ukraine/eu-ukraine-solidarity-lanes_fr.</w:t>
      </w:r>
    </w:p>
  </w:footnote>
  <w:footnote w:id="43">
    <w:p w14:paraId="0B48A6DB" w14:textId="77777777" w:rsidR="00454A58" w:rsidRPr="007107B6" w:rsidRDefault="00454A58" w:rsidP="00454A58">
      <w:pPr>
        <w:pStyle w:val="FootnoteText"/>
      </w:pPr>
      <w:r>
        <w:rPr>
          <w:rStyle w:val="FootnoteReference"/>
        </w:rPr>
        <w:footnoteRef/>
      </w:r>
      <w:r>
        <w:t xml:space="preserve"> </w:t>
      </w:r>
      <w:hyperlink r:id="rId10" w:history="1">
        <w:r>
          <w:rPr>
            <w:rStyle w:val="Hyperlink"/>
          </w:rPr>
          <w:t>Corridors de solidarité UE-Ukraine - Commission européenne</w:t>
        </w:r>
      </w:hyperlink>
      <w:r>
        <w:t>.</w:t>
      </w:r>
    </w:p>
  </w:footnote>
  <w:footnote w:id="44">
    <w:p w14:paraId="6556B2E0" w14:textId="7E4A908D" w:rsidR="004A42BF" w:rsidRPr="004A42BF" w:rsidRDefault="004A42BF">
      <w:pPr>
        <w:pStyle w:val="FootnoteText"/>
      </w:pPr>
      <w:r>
        <w:rPr>
          <w:rStyle w:val="FootnoteReference"/>
        </w:rPr>
        <w:footnoteRef/>
      </w:r>
      <w:r>
        <w:t xml:space="preserve"> </w:t>
      </w:r>
      <w:hyperlink r:id="rId11" w:history="1">
        <w:r>
          <w:rPr>
            <w:rStyle w:val="Hyperlink"/>
          </w:rPr>
          <w:t>Banque européenne pour la reconstruction et le développement, «Sustainable transport connections between Europe and Central Asia» (liaisons de transport durables entre l’Europe et l’Asie centrale), 2023</w:t>
        </w:r>
      </w:hyperlink>
      <w:r>
        <w:t>.</w:t>
      </w:r>
    </w:p>
  </w:footnote>
  <w:footnote w:id="45">
    <w:p w14:paraId="7B12FAB6" w14:textId="77777777" w:rsidR="00063233" w:rsidRPr="00063233" w:rsidRDefault="00063233">
      <w:pPr>
        <w:pStyle w:val="FootnoteText"/>
      </w:pPr>
      <w:r>
        <w:rPr>
          <w:rStyle w:val="FootnoteReference"/>
        </w:rPr>
        <w:footnoteRef/>
      </w:r>
      <w:r>
        <w:t xml:space="preserve"> Voir le protocole d’accord sur un partenariat stratégique dans le domaine de l’énergie signé le 18 juillet 2022.</w:t>
      </w:r>
    </w:p>
  </w:footnote>
  <w:footnote w:id="46">
    <w:p w14:paraId="254FD2B0" w14:textId="151C2611" w:rsidR="006E2A08" w:rsidRDefault="006E2A08" w:rsidP="006E2A08">
      <w:pPr>
        <w:pStyle w:val="FootnoteText"/>
      </w:pPr>
      <w:r>
        <w:rPr>
          <w:rStyle w:val="FootnoteReference"/>
        </w:rPr>
        <w:footnoteRef/>
      </w:r>
      <w:r>
        <w:t xml:space="preserve"> Communication de la Commission au Parlement européen, au Conseil, au Comité économique et social européen et au Comité des régions intitulée «Roadmap towards ending Russian energy imports» (feuille de route visant à mettre un terme aux importations d’énergie russe) (COM/2025/440 final/2).</w:t>
      </w:r>
    </w:p>
  </w:footnote>
  <w:footnote w:id="47">
    <w:p w14:paraId="222905F7" w14:textId="77777777" w:rsidR="00CF4922" w:rsidRDefault="00CF4922">
      <w:pPr>
        <w:pStyle w:val="FootnoteText"/>
      </w:pPr>
      <w:r>
        <w:rPr>
          <w:rStyle w:val="FootnoteReference"/>
        </w:rPr>
        <w:footnoteRef/>
      </w:r>
      <w:r>
        <w:t xml:space="preserve"> L’adhésion de la Géorgie, de la République de Moldavie et de l’Ukraine à la Communauté de l’énergie a contribué à l’avancement des réformes sectorielles et de l’alignement sur l’acquis de l’UE. De même, l’initiative pour la connexion gazière pour l’Europe centrale et du Sud-Est (CESEC) favorise le dialogue entre la République de Moldavie et l’Ukraine avec leurs homologues des pays des Balkans occidentaux en vue de relever les défis énergétiques communs.</w:t>
      </w:r>
    </w:p>
  </w:footnote>
  <w:footnote w:id="48">
    <w:p w14:paraId="08625B0E" w14:textId="736C0051" w:rsidR="00102D39" w:rsidRPr="00172397" w:rsidRDefault="00102D39" w:rsidP="00102D39">
      <w:pPr>
        <w:pStyle w:val="FootnoteText"/>
      </w:pPr>
      <w:r>
        <w:rPr>
          <w:rStyle w:val="FootnoteReference"/>
        </w:rPr>
        <w:footnoteRef/>
      </w:r>
      <w:r>
        <w:t xml:space="preserve"> JOIN(2025) 9 final du 21.2.2025.</w:t>
      </w:r>
    </w:p>
  </w:footnote>
  <w:footnote w:id="49">
    <w:p w14:paraId="3414D74E" w14:textId="77777777" w:rsidR="00CF4922" w:rsidRPr="0016242C" w:rsidRDefault="00CF4922">
      <w:pPr>
        <w:pStyle w:val="FootnoteText"/>
      </w:pPr>
      <w:r>
        <w:rPr>
          <w:rStyle w:val="FootnoteReference"/>
        </w:rPr>
        <w:footnoteRef/>
      </w:r>
      <w:r>
        <w:t xml:space="preserve"> Commission européenne, Programme maritime commun pour la mer Noire, 21 mai 2019.</w:t>
      </w:r>
    </w:p>
  </w:footnote>
  <w:footnote w:id="50">
    <w:p w14:paraId="69B01FF5" w14:textId="77777777" w:rsidR="00D12914" w:rsidRDefault="00D12914" w:rsidP="00D12914">
      <w:pPr>
        <w:pStyle w:val="FootnoteText"/>
      </w:pPr>
      <w:r>
        <w:rPr>
          <w:rStyle w:val="FootnoteReference"/>
        </w:rPr>
        <w:footnoteRef/>
      </w:r>
      <w:r>
        <w:t xml:space="preserve"> Notamment dans le cadre de la Commission générale des pêches pour la Méditerranée,</w:t>
      </w:r>
    </w:p>
  </w:footnote>
  <w:footnote w:id="51">
    <w:p w14:paraId="24C27B06" w14:textId="3BDB04C3" w:rsidR="006348C0" w:rsidRDefault="006348C0">
      <w:pPr>
        <w:pStyle w:val="FootnoteText"/>
      </w:pPr>
      <w:r>
        <w:rPr>
          <w:rStyle w:val="FootnoteReference"/>
        </w:rPr>
        <w:footnoteRef/>
      </w:r>
      <w:r>
        <w:t xml:space="preserve"> </w:t>
      </w:r>
      <w:hyperlink r:id="rId12" w:history="1">
        <w:r>
          <w:rPr>
            <w:rStyle w:val="Hyperlink"/>
          </w:rPr>
          <w:t>European sea surface temperature (température de surface de la mer dans l’UE) |</w:t>
        </w:r>
      </w:hyperlink>
      <w:hyperlink r:id="rId13" w:history="1">
        <w:r>
          <w:rPr>
            <w:rStyle w:val="Hyperlink"/>
          </w:rPr>
          <w:t xml:space="preserve"> page d’accueil de l’Agence européenne pour l’environnement</w:t>
        </w:r>
      </w:hyperlink>
      <w:r>
        <w:t>.</w:t>
      </w:r>
    </w:p>
  </w:footnote>
  <w:footnote w:id="52">
    <w:p w14:paraId="3D1B62EF" w14:textId="0C779B4A" w:rsidR="006348C0" w:rsidRDefault="006348C0">
      <w:pPr>
        <w:pStyle w:val="FootnoteText"/>
      </w:pPr>
      <w:r>
        <w:rPr>
          <w:rStyle w:val="FootnoteReference"/>
        </w:rPr>
        <w:footnoteRef/>
      </w:r>
      <w:r>
        <w:t xml:space="preserve"> D’après les conclusions du projet conjoint UE-PNUD «Improving Environmental Monitoring in the Black Sea» (améliorer la surveillance de l’environnement en mer Noire)(https://www.undp.org/ukraine/press-releases/black-sea-twice-polluted-marine-litter-mediterranean-sea-eu-projects-survey).</w:t>
      </w:r>
    </w:p>
  </w:footnote>
  <w:footnote w:id="53">
    <w:p w14:paraId="77807FE1" w14:textId="40622210" w:rsidR="006348C0" w:rsidRDefault="006348C0">
      <w:pPr>
        <w:pStyle w:val="FootnoteText"/>
      </w:pPr>
      <w:r>
        <w:rPr>
          <w:rStyle w:val="FootnoteReference"/>
        </w:rPr>
        <w:footnoteRef/>
      </w:r>
      <w:r>
        <w:t xml:space="preserve"> https://emblasproject.org/wp-content/uploads/2022/03/EMBLAS_Scientific-Report_ISBN-978-617-8111-01-4-web.pdf.</w:t>
      </w:r>
    </w:p>
  </w:footnote>
  <w:footnote w:id="54">
    <w:p w14:paraId="21389FF6" w14:textId="446E9F33" w:rsidR="006348C0" w:rsidRDefault="006348C0">
      <w:pPr>
        <w:pStyle w:val="FootnoteText"/>
      </w:pPr>
      <w:r>
        <w:rPr>
          <w:rStyle w:val="FootnoteReference"/>
        </w:rPr>
        <w:footnoteRef/>
      </w:r>
      <w:r>
        <w:t xml:space="preserve"> Belis, C., Petrosian, A., Turos, O., Maremuhka, T., Morhulova, V., Kona, A., Djatkov, D., Caudullo, G., Ceccherini, G., Beck, P.S.A., San</w:t>
      </w:r>
      <w:r>
        <w:noBreakHyphen/>
        <w:t xml:space="preserve">Miguel, J., Arias Navarro, C., Wojda, P., Jones, A., Hanke, G., Mariani, G. et Carravieri, A., </w:t>
      </w:r>
      <w:r>
        <w:rPr>
          <w:i/>
        </w:rPr>
        <w:t>Status of Environment and Climate in Ukraine</w:t>
      </w:r>
      <w:r>
        <w:t xml:space="preserve"> (état de l’environnement et du climat en Ukraine), Office des publications de l’UE, Luxembourg, 2025 (https://data.europa.eu/doi/10.2760/6292177), JRC141480.</w:t>
      </w:r>
    </w:p>
  </w:footnote>
  <w:footnote w:id="55">
    <w:p w14:paraId="60AD22AB" w14:textId="1C7C63E1" w:rsidR="006348C0" w:rsidRPr="00D740C2" w:rsidRDefault="006348C0">
      <w:pPr>
        <w:pStyle w:val="FootnoteText"/>
      </w:pPr>
      <w:r>
        <w:rPr>
          <w:rStyle w:val="FootnoteReference"/>
        </w:rPr>
        <w:footnoteRef/>
      </w:r>
      <w:r>
        <w:t xml:space="preserve"> Programme des Nations unies pour l’environnement (2023). </w:t>
      </w:r>
      <w:r>
        <w:rPr>
          <w:i/>
        </w:rPr>
        <w:t>Rapid Environmental Assessment of Kakhovka Dam Breach</w:t>
      </w:r>
      <w:r>
        <w:t xml:space="preserve"> (évaluation environnementale rapide de la rupture du barrage de Kakhovka); Ukraine, 2023. Nairobi, Kenya. https://wedocs.unep.org/20.500.11822/43696.</w:t>
      </w:r>
    </w:p>
  </w:footnote>
  <w:footnote w:id="56">
    <w:p w14:paraId="24892DEF" w14:textId="56686D09" w:rsidR="006348C0" w:rsidRPr="00D740C2" w:rsidRDefault="006348C0">
      <w:pPr>
        <w:pStyle w:val="FootnoteText"/>
      </w:pPr>
      <w:r>
        <w:rPr>
          <w:rStyle w:val="FootnoteReference"/>
        </w:rPr>
        <w:footnoteRef/>
      </w:r>
      <w:r>
        <w:t xml:space="preserve"> JO L 164 du 25.6.2008, p. 19.</w:t>
      </w:r>
    </w:p>
  </w:footnote>
  <w:footnote w:id="57">
    <w:p w14:paraId="1E3C1F11" w14:textId="0FD9CC5A" w:rsidR="006348C0" w:rsidRPr="00D740C2" w:rsidRDefault="006348C0">
      <w:pPr>
        <w:pStyle w:val="FootnoteText"/>
      </w:pPr>
      <w:r>
        <w:rPr>
          <w:rStyle w:val="FootnoteReference"/>
        </w:rPr>
        <w:footnoteRef/>
      </w:r>
      <w:r>
        <w:t xml:space="preserve"> JO L 327 du 22.12.2000, p. 1.</w:t>
      </w:r>
    </w:p>
  </w:footnote>
  <w:footnote w:id="58">
    <w:p w14:paraId="796140B6" w14:textId="4F68DF29" w:rsidR="006348C0" w:rsidRDefault="006348C0">
      <w:pPr>
        <w:pStyle w:val="FootnoteText"/>
      </w:pPr>
      <w:r>
        <w:rPr>
          <w:rStyle w:val="FootnoteReference"/>
        </w:rPr>
        <w:footnoteRef/>
      </w:r>
      <w:r>
        <w:t xml:space="preserve"> La Bulgarie, la Géorgie, la Roumanie et l’Ukraine font partie du réseau EFAS.</w:t>
      </w:r>
    </w:p>
  </w:footnote>
  <w:footnote w:id="59">
    <w:p w14:paraId="5866B71C" w14:textId="0C9C01D4" w:rsidR="006348C0" w:rsidRDefault="006348C0">
      <w:pPr>
        <w:pStyle w:val="FootnoteText"/>
      </w:pPr>
      <w:r>
        <w:rPr>
          <w:rStyle w:val="FootnoteReference"/>
        </w:rPr>
        <w:footnoteRef/>
      </w:r>
      <w:r>
        <w:t xml:space="preserve"> Tous les pays de la région font partie du groupe d’experts sur les incendies de forêt.</w:t>
      </w:r>
    </w:p>
  </w:footnote>
  <w:footnote w:id="60">
    <w:p w14:paraId="33E14D4C" w14:textId="25C03C5D" w:rsidR="006348C0" w:rsidRDefault="006348C0">
      <w:pPr>
        <w:pStyle w:val="FootnoteText"/>
      </w:pPr>
      <w:r>
        <w:rPr>
          <w:rStyle w:val="FootnoteReference"/>
        </w:rPr>
        <w:footnoteRef/>
      </w:r>
      <w:r>
        <w:t xml:space="preserve"> https://blackseadb.org/.</w:t>
      </w:r>
    </w:p>
  </w:footnote>
  <w:footnote w:id="61">
    <w:p w14:paraId="67A10674" w14:textId="2B12A227" w:rsidR="006348C0" w:rsidRDefault="006348C0">
      <w:pPr>
        <w:pStyle w:val="FootnoteText"/>
      </w:pPr>
      <w:r>
        <w:rPr>
          <w:rStyle w:val="FootnoteReference"/>
        </w:rPr>
        <w:footnoteRef/>
      </w:r>
      <w:r>
        <w:t xml:space="preserve"> https://emodnet.ec.europa.eu/en.</w:t>
      </w:r>
    </w:p>
  </w:footnote>
  <w:footnote w:id="62">
    <w:p w14:paraId="1DFAF216" w14:textId="707E7417" w:rsidR="006348C0" w:rsidRDefault="006348C0">
      <w:pPr>
        <w:pStyle w:val="FootnoteText"/>
      </w:pPr>
      <w:r>
        <w:rPr>
          <w:rStyle w:val="FootnoteReference"/>
        </w:rPr>
        <w:footnoteRef/>
      </w:r>
      <w:r>
        <w:t xml:space="preserve"> </w:t>
      </w:r>
      <w:hyperlink r:id="rId14" w:history="1">
        <w:r>
          <w:rPr>
            <w:rStyle w:val="Hyperlink"/>
          </w:rPr>
          <w:t>Mer Noire – Centre de surveillance et de prévision (BS MFC) |</w:t>
        </w:r>
      </w:hyperlink>
      <w:hyperlink r:id="rId15" w:history="1">
        <w:r>
          <w:rPr>
            <w:rStyle w:val="Hyperlink"/>
          </w:rPr>
          <w:t xml:space="preserve"> CMEMS</w:t>
        </w:r>
      </w:hyperlink>
      <w:r>
        <w:t>.</w:t>
      </w:r>
    </w:p>
  </w:footnote>
  <w:footnote w:id="63">
    <w:p w14:paraId="28FD8D3D" w14:textId="2EF62ACF" w:rsidR="00A72B32" w:rsidRPr="004F6065" w:rsidRDefault="00A72B32">
      <w:pPr>
        <w:pStyle w:val="FootnoteText"/>
        <w:rPr>
          <w:lang w:val="en-US"/>
        </w:rPr>
      </w:pPr>
      <w:r>
        <w:rPr>
          <w:rStyle w:val="FootnoteReference"/>
        </w:rPr>
        <w:footnoteRef/>
      </w:r>
      <w:r w:rsidRPr="004F6065">
        <w:rPr>
          <w:lang w:val="en-US"/>
        </w:rPr>
        <w:t xml:space="preserve"> </w:t>
      </w:r>
      <w:r w:rsidRPr="004F6065">
        <w:rPr>
          <w:color w:val="000000"/>
          <w:lang w:val="en-US"/>
        </w:rPr>
        <w:t>JOIN/2025/130 final.</w:t>
      </w:r>
    </w:p>
  </w:footnote>
  <w:footnote w:id="64">
    <w:p w14:paraId="52B3E684" w14:textId="77777777" w:rsidR="00CF4922" w:rsidRPr="004F6065" w:rsidRDefault="00CF4922">
      <w:pPr>
        <w:pStyle w:val="FootnoteText"/>
        <w:rPr>
          <w:lang w:val="en-US"/>
        </w:rPr>
      </w:pPr>
      <w:r>
        <w:rPr>
          <w:rStyle w:val="FootnoteReference"/>
        </w:rPr>
        <w:footnoteRef/>
      </w:r>
      <w:r w:rsidRPr="004F6065">
        <w:rPr>
          <w:lang w:val="en-US"/>
        </w:rPr>
        <w:t xml:space="preserve"> https://data.consilium.europa.eu/doc/document/ST-14587-2023-INIT/en/pdf.</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A31C71" w14:textId="77777777" w:rsidR="00276C85" w:rsidRPr="00276C85" w:rsidRDefault="00276C85" w:rsidP="00276C85">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3C1AA" w14:textId="77777777" w:rsidR="00276C85" w:rsidRPr="00276C85" w:rsidRDefault="00276C85" w:rsidP="00276C8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53DC02" w14:textId="77777777" w:rsidR="00276C85" w:rsidRPr="00276C85" w:rsidRDefault="00276C85" w:rsidP="00276C8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4ED815" w14:textId="77777777" w:rsidR="00CF4922" w:rsidRDefault="00CF4922" w:rsidP="00C7313C">
    <w:pPr>
      <w:pStyle w:val="Header"/>
    </w:pPr>
  </w:p>
  <w:p w14:paraId="0EC4882E" w14:textId="77777777" w:rsidR="00CF4922" w:rsidRDefault="00CF4922" w:rsidP="00C7313C"/>
  <w:p w14:paraId="24A90B94" w14:textId="77777777" w:rsidR="00CF4922" w:rsidRDefault="00CF4922" w:rsidP="00C7313C"/>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4801F0" w14:textId="29B28BE6" w:rsidR="00CF4922" w:rsidRDefault="00276C85" w:rsidP="008B0033">
    <w:pPr>
      <w:pStyle w:val="Header"/>
    </w:pPr>
    <w:sdt>
      <w:sdtPr>
        <w:id w:val="-1451006484"/>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9" behindDoc="0" locked="0" layoutInCell="0" allowOverlap="1" wp14:anchorId="6EFC5325" wp14:editId="610EA993">
                  <wp:simplePos x="0" y="0"/>
                  <wp:positionH relativeFrom="rightMargin">
                    <wp:align>center</wp:align>
                  </wp:positionH>
                  <wp:positionV relativeFrom="margin">
                    <wp:align>bottom</wp:align>
                  </wp:positionV>
                  <wp:extent cx="510540" cy="2183130"/>
                  <wp:effectExtent l="0" t="0" r="3810" b="0"/>
                  <wp:wrapNone/>
                  <wp:docPr id="1105903824" name="Rectangle 11059038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2BD1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6EFC5325" id="Rectangle 1105903824" o:spid="_x0000_s1026" style="position:absolute;left:0;text-align:left;margin-left:0;margin-top:0;width:40.2pt;height:171.9pt;z-index:251658249;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RruwIAAMcFAAAOAAAAZHJzL2Uyb0RvYy54bWysVNuO0zAQfUfiHyy/Z3Op2ybRpqulaRDS&#10;AisWPsBNnMYisYPtNl0h/p2x0+vuCwLyYGU89sycM8dze7fvWrRjSnMpMhzeBBgxUcqKi02Gv30t&#10;vBgjbaioaCsFy/Az0/hu8fbN7dCnLJKNbCumEAQROh36DDfG9Knv67JhHdU3smcCnLVUHTVgqo1f&#10;KTpA9K71oyCY+YNUVa9kybSG3Xx04oWLX9esNJ/rWjOD2gxDbcatyq1ru/qLW5puFO0bXh7KoH9R&#10;RUe5gKSnUDk1FG0VfxWq46WSWtbmppSdL+ual8xhADRh8ALNU0N75rAAObo/0aT/X9jy0+5RIV5B&#10;78JgmgSTOCIYCdpBr74Ae1RsWoYufEDY0OsU7j31j8pC1v2DLL9rJOSygePsXik5NIxWUGZoCfav&#10;LlhDw1W0Hj7KCtLQrZGOu32tOhsQWEF716LnU4vY3qASNqdQJYFGluCKwngSTlwPfZoeb/dKm/dM&#10;dsj+ZFgBCBed7h60sdXQ9HjEJhOy4G3rZNCKqw04OO5AbrhqfbYK19WfSZCs4lVMPBLNVh4J8ty7&#10;L5bEmxXhfJpP8uUyD3/ZvCFJG15VTNg0R4WF5M86eND6qI2TxrRseWXD2ZK02qyXrUI7Cgov3Oc4&#10;B8/5mH9dhiMBsLyAFEYkeBclXjGL5x4pyNRL5kHsBWHyLpkFJCF5cQ3pgQv275DQkOFkGk1dly6K&#10;foEtcN9rbDTtuIEZ0vIuw/HpEE2tBFeicq01lLfj/wUVtvwzFdDuY6OdYK1GR62b/XoPUaxw17J6&#10;BukqCcoCFcLggx+7RnMwB5gjGdY/tlQxjNoPAl5AEhKrV+MMMp1HYKhLz/rSQ0XZSBhPpVEYjcbS&#10;jONq2yu+aSBdOBLV38O7KbiT9Lm0w2uDaeGQHSabHUeXtjt1nr+L3wAAAP//AwBQSwMEFAAGAAgA&#10;AAAhAEqHzzbaAAAABAEAAA8AAABkcnMvZG93bnJldi54bWxMj8FqwzAQRO+F/oPYQm6NnCYE41oO&#10;pdBLCIQmPeS4kbaWqbUylpwof1+1l/ayMMww87beJNeLC42h86xgMS9AEGtvOm4VfBzfHksQISIb&#10;7D2TghsF2DT3dzVWxl/5nS6H2IpcwqFCBTbGoZIyaEsOw9wPxNn79KPDmOXYSjPiNZe7Xj4VxVo6&#10;7DgvWBzo1ZL+OkxOwXGdTjpNpwXtdNlqpL11271Ss4f08gwiUop/YfjBz+jQZKazn9gE0SvIj8Tf&#10;m72yWIE4K1iuliXIppb/4ZtvAAAA//8DAFBLAQItABQABgAIAAAAIQC2gziS/gAAAOEBAAATAAAA&#10;AAAAAAAAAAAAAAAAAABbQ29udGVudF9UeXBlc10ueG1sUEsBAi0AFAAGAAgAAAAhADj9If/WAAAA&#10;lAEAAAsAAAAAAAAAAAAAAAAALwEAAF9yZWxzLy5yZWxzUEsBAi0AFAAGAAgAAAAhADJJBGu7AgAA&#10;xwUAAA4AAAAAAAAAAAAAAAAALgIAAGRycy9lMm9Eb2MueG1sUEsBAi0AFAAGAAgAAAAhAEqHzzba&#10;AAAABAEAAA8AAAAAAAAAAAAAAAAAFQUAAGRycy9kb3ducmV2LnhtbFBLBQYAAAAABAAEAPMAAAAc&#10;BgAAAAA=&#10;" o:allowincell="f" filled="f" stroked="f">
                  <v:textbox style="layout-flow:vertical;mso-layout-flow-alt:bottom-to-top;mso-fit-shape-to-text:t">
                    <w:txbxContent>
                      <w:p w14:paraId="2892BD1D"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8" behindDoc="0" locked="0" layoutInCell="0" allowOverlap="1" wp14:anchorId="0A8C656A" wp14:editId="471B5465">
                  <wp:simplePos x="0" y="0"/>
                  <wp:positionH relativeFrom="rightMargin">
                    <wp:align>center</wp:align>
                  </wp:positionH>
                  <wp:positionV relativeFrom="margin">
                    <wp:align>bottom</wp:align>
                  </wp:positionV>
                  <wp:extent cx="510540" cy="2183130"/>
                  <wp:effectExtent l="0" t="0" r="3810" b="0"/>
                  <wp:wrapNone/>
                  <wp:docPr id="767838086" name="Rectangle 7678380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0B1D9"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0A8C656A" id="Rectangle 767838086" o:spid="_x0000_s1027" style="position:absolute;left:0;text-align:left;margin-left:0;margin-top:0;width:40.2pt;height:171.9pt;z-index:251658248;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RPCvgIAAMwFAAAOAAAAZHJzL2Uyb0RvYy54bWysVNuOmzAQfa/Uf7D8znIJEEBLVtsQqkrb&#10;dtVtP8ABE6yCTW0nZFX13zs2ue6+VG15sBiPPTPnzPHc3u37Du2oVEzwHPs3HkaUV6JmfJPjb19L&#10;J8FIacJr0glOc/xMFb5bvH1zOw4ZDUQruppKBEG4ysYhx63WQ+a6qmppT9SNGCgHZyNkTzSYcuPW&#10;kowQve/cwPNidxSyHqSoqFKwW0xOvLDxm4ZW+nPTKKpRl2OoTdtV2nVtVndxS7KNJEPLqkMZ5C+q&#10;6AnjkPQUqiCaoK1kr0L1rJJCiUbfVKJ3RdOwiloMgMb3XqB5aslALRYgRw0nmtT/C1t92j1KxOoc&#10;z+N5Mku8JMaIkx5a9QXII3zTUXR2AV3joDK49TQ8SgNYDQ+i+q4QF8sWTtN7KcXYUlJDkb6h1726&#10;YAwFV9F6/ChqyEK2Wljm9o3sTUDgBO1tg55PDaJ7jSrYjHwvCqGNFbgCP5n5M9tBl2TH24NU+j0V&#10;PTI/OZaAwUYnuwelTTUkOx4xybgoWddZEXT8agMOTjuQG64an6nC9vRn6qWrZJWEThjEKyf0isK5&#10;L5ehE5f+PCpmxXJZ+L9MXj/MWlbXlJs0R3354Z/176D0SRknhSnRsdqEMyUpuVkvO4l2BPRd2s9y&#10;Dp7zMfe6DEsCYHkByQ9C712QOmWczJ2wDCMnnXuJ4/npuzT2wjQsymtID4zTf4eExhynURDZLl0U&#10;/QKbZ7/X2EjWMw0TpGN9jpPTIZIZCa54bVurCeum/wsqTPlnKqDdx0ZbwRqNTlrX+/XePhCrZqPf&#10;taifQcFSgMBAjDD94MeswRzMEYZJjtWPLZEUo+4Dh4eQ+qGRrbZGGM0DMOSlZ33pIbxqBcyoSkuM&#10;JmOpp5m1HSTbtJDOn/ga7uH5lMwq+1za4dHByLAAD+PNzKRL2546D+HFbwA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AqBE8K+&#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D80B1D9"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7" behindDoc="0" locked="0" layoutInCell="0" allowOverlap="1" wp14:anchorId="7E818C11" wp14:editId="4AE75F29">
                  <wp:simplePos x="0" y="0"/>
                  <wp:positionH relativeFrom="rightMargin">
                    <wp:align>center</wp:align>
                  </wp:positionH>
                  <wp:positionV relativeFrom="margin">
                    <wp:align>bottom</wp:align>
                  </wp:positionV>
                  <wp:extent cx="510540" cy="2183130"/>
                  <wp:effectExtent l="0" t="0" r="3810" b="0"/>
                  <wp:wrapNone/>
                  <wp:docPr id="965540169" name="Rectangle 9655401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D5BE2"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E818C11" id="Rectangle 965540169" o:spid="_x0000_s1028" style="position:absolute;left:0;text-align:left;margin-left:0;margin-top:0;width:40.2pt;height:171.9pt;z-index:251658247;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M/cvQIAAMwFAAAOAAAAZHJzL2Uyb0RvYy54bWysVG1vmzAQ/j5p/8HydwqmkARUUrUhTJO6&#10;rVq3H+CACdbAZrYTUlX77zubvLZfpm18sDifffc8d4/v5nbXtWjLlOZSZJhcBRgxUcqKi3WGv38r&#10;vBlG2lBR0VYKluFnpvHt/P27m6FPWSgb2VZMIQgidDr0GW6M6VPf12XDOqqvZM8EOGupOmrAVGu/&#10;UnSA6F3rh0Ew8Qepql7JkmkNu/noxHMXv65Zab7UtWYGtRkGbMatyq0ru/rzG5quFe0bXu5h0L9A&#10;0VEuIOkxVE4NRRvF34TqeKmklrW5KmXny7rmJXMcgA0JXrF5amjPHBcoju6PZdL/L2z5efuoEK8y&#10;nEziOArIJMFI0A5a9RWKR8W6ZejkgnINvU7h1lP/qCxh3T/I8odGQi4aOM3ulJJDw2gFIIktr39x&#10;wRoarqLV8ElWkIVujHSV29WqswGhJmjnGvR8bBDbGVTCZkwCwIhRCa6QzK7JteugT9PD7V5p84HJ&#10;DtmfDCvg4KLT7YM2Fg1ND0dsMiEL3rZOBK242ICD4w7khqvWZ1G4nr4kQbKcLWeRF4WTpRcFee7d&#10;FYvImxRkGufX+WKRk182L4nShlcVEzbNQV8k+rP+7ZU+KuOoMC1bXtlwFpJW69WiVWhLQd+F+1zN&#10;wXM65l/CcEUALq8okTAK7sPEKyazqRcVUewl02DmBSS5TyZBlER5cUnpgQv275TQANKLw9h16Qz0&#10;K26B+95yo2nHDUyQlncZnh0P0dRKcCkq11pDeTv+n5XCwj+VAtp9aLQTrNXoqHWzW+3cAwltdqvf&#10;layeQcFKgsBAjDD94Meu4RTMAYZJhvXPDVUMo/ajgIeQkMjK1jgjiqchGOrcszr3UFE2EmZUaRRG&#10;o7Ew48za9IqvG0hHxnr1d/B8Cu6UfYK2f3QwMhzB/XizM+ncdqdOQ3j+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eRjP3L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F1D5BE2"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6" behindDoc="0" locked="0" layoutInCell="0" allowOverlap="1" wp14:anchorId="293A92D2" wp14:editId="471F3D7B">
                  <wp:simplePos x="0" y="0"/>
                  <wp:positionH relativeFrom="rightMargin">
                    <wp:align>center</wp:align>
                  </wp:positionH>
                  <wp:positionV relativeFrom="margin">
                    <wp:align>bottom</wp:align>
                  </wp:positionV>
                  <wp:extent cx="510540" cy="2183130"/>
                  <wp:effectExtent l="0" t="0" r="3810" b="0"/>
                  <wp:wrapNone/>
                  <wp:docPr id="414111069" name="Rectangle 4141110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68FC7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93A92D2" id="Rectangle 414111069" o:spid="_x0000_s1029" style="position:absolute;left:0;text-align:left;margin-left:0;margin-top:0;width:40.2pt;height:171.9pt;z-index:25165824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X20CvQIAAMwFAAAOAAAAZHJzL2Uyb0RvYy54bWysVNuO0zAQfUfiHyy/ZxOn7iXRpqulbRDS&#10;AisWPsBNnMYisYPtNl0h/p2x0+vuCwLyYGU89sycM8dze7dvG7Tj2gglM0xuIoy4LFQp5CbD377m&#10;wQwjY5ksWaMkz/AzN/hu/vbNbd+lPFa1akquEQSRJu27DNfWdmkYmqLmLTM3quMSnJXSLbNg6k1Y&#10;atZD9LYJ4yiahL3SZadVwY2B3eXgxHMfv6p4YT9XleEWNRmG2qxftV/Xbg3ntyzdaNbVojiUwf6i&#10;ipYJCUlPoZbMMrTV4lWoVhRaGVXZm0K1oaoqUXCPAdCQ6AWap5p13GMBckx3osn8v7DFp92jRqLM&#10;MCWUEBJNEowka6FVX4A8JjcNR2cX0NV3JoVbT92jdoBN96CK7wZJtajhNL/XWvU1ZyUUSRy94dUF&#10;Zxi4itb9R1VCFra1yjO3r3TrAgInaO8b9HxqEN9bVMDmmERjCm0swBWT2YiMfAdDlh5vd9rY91y1&#10;yP1kWAMGH53tHox11bD0eMQlkyoXTeNF0MirDTg47EBuuOp8rgrf059JlKxmqxkNaDxZBTRaLoP7&#10;fEGDSU6m4+VouVgsyS+Xl9C0FmXJpUtz1Behf9a/g9IHZZwUZlQjShfOlWT0Zr1oNNox0HfuP885&#10;eM7HwusyPAmA5QUkEtPoXZwE+WQ2DWhOx0EyjWZBRJJ3ySSiCV3m15AehOT/Dgn1GU7G8dh36aLo&#10;F9gi/73GxtJWWJggjWgzPDsdYqmT4EqWvrWWiWb4v6DClX+mAtp9bLQXrNPooHW7X+/9Axm57E6/&#10;a1U+g4K1AoGBGGH6wY9b4ymYPQyTDJsfW6Y5Rs0HCQ8hIdTJ1nqDjqcxGPrSs770MFnUCmZUYTVG&#10;g7Gww8zadlpsakhHBr66e3g+ufDKPpd2eHQwMjzAw3hzM+nS9qfOQ3j+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DV9tAr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4C68FC73"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5" behindDoc="0" locked="0" layoutInCell="0" allowOverlap="1" wp14:anchorId="1486848F" wp14:editId="07981282">
                  <wp:simplePos x="0" y="0"/>
                  <wp:positionH relativeFrom="rightMargin">
                    <wp:align>center</wp:align>
                  </wp:positionH>
                  <wp:positionV relativeFrom="margin">
                    <wp:align>bottom</wp:align>
                  </wp:positionV>
                  <wp:extent cx="510540" cy="2183130"/>
                  <wp:effectExtent l="0" t="0" r="3810" b="0"/>
                  <wp:wrapNone/>
                  <wp:docPr id="850264811" name="Rectangle 8502648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063B3"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486848F" id="Rectangle 850264811" o:spid="_x0000_s1030" style="position:absolute;left:0;text-align:left;margin-left:0;margin-top:0;width:40.2pt;height:171.9pt;z-index:251658245;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wvtvQIAAMwFAAAOAAAAZHJzL2Uyb0RvYy54bWysVNtu1DAQfUfiHyy/p7nU2U2iZquy2SCk&#10;AhWFD/AmzsYisYPtbbZC/DtjZ6/tCwLyYGU89sycM8dzc7vrO/TElOZS5Di8CjBiopI1F5scf/ta&#10;eglG2lBR004KluNnpvHt4u2bm3HIWCRb2dVMIQgidDYOOW6NGTLf11XLeqqv5MAEOBupemrAVBu/&#10;VnSE6H3nR0Ew80ep6kHJimkNu8XkxAsXv2lYZT43jWYGdTmG2oxblVvXdvUXNzTbKDq0vNqXQf+i&#10;ip5yAUmPoQpqKNoq/ipUzysltWzMVSV7XzYNr5jDAGjC4AWax5YOzGEBcvRwpEn/v7DVp6cHhXid&#10;4yQOohlJwhAjQXto1Rcgj4pNx9DJBXSNg87g1uPwoCxgPdzL6rtGQi5bOM3ulJJjy2gNRYaWXv/i&#10;gjU0XEXr8aOsIQvdGumY2zWqtwGBE7RzDXo+NojtDKpgMw6DmEAbK3BFYXIdXrsO+jQ73B6UNu+Z&#10;7JH9ybECDC46fbrXxlZDs8MRm0zIknedE0EnLjbg4LQDueGq9dkqXE9/pkG6SlYJ8Ug0W3kkKArv&#10;rlwSb1aG87i4LpbLIvxl84Yka3ldM2HTHPQVkj/r317pkzKOCtOy47UNZ0vSarNedgo9UdB36T7H&#10;OXhOx/zLMhwJgOUFpDAiwbso9cpZMvdISWIvnQeJF4Tpu3QWkJQU5SWkey7Yv0NCY47TOIpdl86K&#10;foEtcN9rbDTruYEJ0vEeJHw8RDMrwZWoXWsN5d30f0aFLf9EBbT70GgnWKvRSetmt965B0Jsdqvf&#10;tayfQcFKgsBAjDD94Meu0RzMEYZJjvWPLVUMo+6DgIeQhsTK1jiDxPMIDHXuWZ97qKhaCTOqMgqj&#10;yViaaWZtB8U3LaQLJ76GO3g+JXfKPpW2f3QwMhzA/XizM+ncdqdOQ3jxGw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GCcL7b0C&#10;AADM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00063B3"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4" behindDoc="0" locked="0" layoutInCell="0" allowOverlap="1" wp14:anchorId="700AAD50" wp14:editId="64A7B6B8">
                  <wp:simplePos x="0" y="0"/>
                  <wp:positionH relativeFrom="rightMargin">
                    <wp:align>center</wp:align>
                  </wp:positionH>
                  <wp:positionV relativeFrom="margin">
                    <wp:align>bottom</wp:align>
                  </wp:positionV>
                  <wp:extent cx="510540" cy="2183130"/>
                  <wp:effectExtent l="0" t="0" r="3810" b="0"/>
                  <wp:wrapNone/>
                  <wp:docPr id="10293859" name="Rectangle 102938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6737A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00AAD50" id="Rectangle 10293859" o:spid="_x0000_s1031" style="position:absolute;left:0;text-align:left;margin-left:0;margin-top:0;width:40.2pt;height:171.9pt;z-index:25165824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5DCvQIAAMoFAAAOAAAAZHJzL2Uyb0RvYy54bWysVNuOmzAQfa/Uf7D8znIJJICWrHZDqCpt&#10;21W3/QAHTLAKNrWdkNWq/96xyX1fqrY8WIzHnpkz53hu73Zdi7ZUKiZ4hv0bDyPKS1Exvs7w92+F&#10;E2OkNOEVaQWnGX6hCt/N37+7HfqUBqIRbUUlgiBcpUOf4UbrPnVdVTa0I+pG9JSDsxayIxpMuXYr&#10;SQaI3rVu4HlTdxCy6qUoqVKwm49OPLfx65qW+ktdK6pRm2GoTdtV2nVlVnd+S9K1JH3Dyn0Z5C+q&#10;6AjjkPQYKieaoI1kb0J1rJRCiVrflKJzRV2zkloMgMb3rtA8N6SnFgs0R/XHNqn/F7b8vH2SiFXA&#10;nRckkzhKMOKkA6a+Qu8IX7cUHT3QrKFXKdx57p+kgav6R1H+UIiLRQOH6b2UYmgoqaBE3zTXvbhg&#10;DAVX0Wr4JCpIQjZa2L7tatmZgNARtLP0vBzpoTuNStiMfC8KgcQSXIEfT/yJ5c8l6eF2L5X+QEWH&#10;zE+GJUCw0cn2UWlTDUkPR0wyLgrWtlYCLb/YgIPjDuSGq8ZnqrCMviZesoyXceiEwXTphF6eO/fF&#10;InSmhT+L8km+WOT+L5PXD9OGVRXlJs1BXX74Z+ztdT7q4qgvJVpWmXCmJCXXq0Ur0ZaAugv72Z6D&#10;53TMvSzDNgGwXEHyg9B7CBKnmMYzJyzCyElmXux4fvKQTL0wCfPiEtIj4/TfIaEhw0kURJals6Kv&#10;sHn2e4uNpB3TMD9a1mU4Ph4iqZHgkleWWk1YO/6ftcKUf2oF0H0g2grWaHTUut6tdvZ5RCa70e9K&#10;VC+gYClAYCBGmH3wY9ZgBuYAoyTD6ueGSIpR+5HDQ0j80MhWWyOMZgEY8tyzOvcQXjYCJlSpJUaj&#10;sdDjxNr0kq0bSOeP/erv4fkUzCr7VNr+0cHAsAD3w81MpHPbnjqN4PlvAAAA//8DAFBLAwQUAAYA&#10;CAAAACEASofPNtoAAAAEAQAADwAAAGRycy9kb3ducmV2LnhtbEyPwWrDMBBE74X+g9hCbo2cJgTj&#10;Wg6l0EsIhCY95LiRtpaptTKWnCh/X7WX9rIwzDDztt4k14sLjaHzrGAxL0AQa286bhV8HN8eSxAh&#10;IhvsPZOCGwXYNPd3NVbGX/mdLofYilzCoUIFNsahkjJoSw7D3A/E2fv0o8OY5dhKM+I1l7tePhXF&#10;WjrsOC9YHOjVkv46TE7BcZ1OOk2nBe102WqkvXXbvVKzh/TyDCJSin9h+MHP6NBkprOf2ATRK8iP&#10;xN+bvbJYgTgrWK6WJcimlv/hm28AAAD//wMAUEsBAi0AFAAGAAgAAAAhALaDOJL+AAAA4QEAABMA&#10;AAAAAAAAAAAAAAAAAAAAAFtDb250ZW50X1R5cGVzXS54bWxQSwECLQAUAAYACAAAACEAOP0h/9YA&#10;AACUAQAACwAAAAAAAAAAAAAAAAAvAQAAX3JlbHMvLnJlbHNQSwECLQAUAAYACAAAACEAaAuQwr0C&#10;AADKBQAADgAAAAAAAAAAAAAAAAAuAgAAZHJzL2Uyb0RvYy54bWxQSwECLQAUAAYACAAAACEASofP&#10;NtoAAAAEAQAADwAAAAAAAAAAAAAAAAAXBQAAZHJzL2Rvd25yZXYueG1sUEsFBgAAAAAEAAQA8wAA&#10;AB4GAAAAAA==&#10;" o:allowincell="f" filled="f" stroked="f">
                  <v:textbox style="layout-flow:vertical;mso-layout-flow-alt:bottom-to-top;mso-fit-shape-to-text:t">
                    <w:txbxContent>
                      <w:p w14:paraId="746737AA"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3" behindDoc="0" locked="0" layoutInCell="0" allowOverlap="1" wp14:anchorId="111996F9" wp14:editId="1DC1980A">
                  <wp:simplePos x="0" y="0"/>
                  <wp:positionH relativeFrom="rightMargin">
                    <wp:align>center</wp:align>
                  </wp:positionH>
                  <wp:positionV relativeFrom="margin">
                    <wp:align>bottom</wp:align>
                  </wp:positionV>
                  <wp:extent cx="510540" cy="2183130"/>
                  <wp:effectExtent l="0" t="0" r="3810" b="0"/>
                  <wp:wrapNone/>
                  <wp:docPr id="2033891601" name="Rectangle 20338916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7BEB0A"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111996F9" id="Rectangle 2033891601" o:spid="_x0000_s1032" style="position:absolute;left:0;text-align:left;margin-left:0;margin-top:0;width:40.2pt;height:171.9pt;z-index:251658243;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E5vwIAAM4FAAAOAAAAZHJzL2Uyb0RvYy54bWysVNuOmzAQfa/Uf7D8zoIJSQAtWW1DqCpt&#10;21W3/QAHTLAKNrWdkFXVf+/Y5Lr7UrXlwWI89sycM8dze7fvWrRjSnMpMkxuAoyYKGXFxSbD374W&#10;XoyRNlRUtJWCZfiZaXy3ePvmduhTFspGthVTCIIInQ59hhtj+tT3ddmwjuob2TMBzlqqjhow1cav&#10;FB0getf6YRDM/EGqqleyZFrDbj468cLFr2tWms91rZlBbYahNuNW5da1Xf3FLU03ivYNLw9l0L+o&#10;oqNcQNJTqJwairaKvwrV8VJJLWtzU8rOl3XNS+YwABoSvEDz1NCeOSxAju5PNOn/F7b8tHtUiFcZ&#10;DoPJJE7ILCAYCdpBr74Ae1RsWoYufEDY0OsU7j31j8pC1v2DLL9rJOSygePsXik5NIxWUCaxBPtX&#10;F6yh4SpaDx9lBWno1kjH3b5WnQ0IrKC9a9HzqUVsb1AJm1MSTCNoZAmukMQTMnE99Gl6vN0rbd4z&#10;2SH7k2EFIFx0unvQxlZD0+MRm0zIgretk0Errjbg4LgDueGq9dkqXFd/JkGyildx5EXhbOVFQZ57&#10;98Uy8mYFmU/zSb5c5uSXzUuitOFVxYRNc1QYif6sgwetj9o4aUzLllc2nC1Jq8162Sq0o6Dwwn2O&#10;c/Ccj/nXZTgSAMsLSCSMgndh4hWzeO5FRTT1knkQewFJ3iWzIEqivLiG9MAF+3dIaMhwMg2nrksX&#10;Rb/AFrjvNTaadtzADGl5l+H4dIimVoIrUbnWGsrb8f+CClv+mQpo97HRTrBWo6PWzX69d09kZrNb&#10;/a5l9QwKVhIEBmKE+Qc/dg3nYA4wTjKsf2ypYhi1HwQ8hIREVrbGGdF0HoKhLj3rSw8VZSNhSpVG&#10;YTQaSzNOrW2v+KaBdGTkq7+H51Nwp+xzaYdHB0PDATwMODuVLm136jyGF78BAAD//wMAUEsDBBQA&#10;BgAIAAAAIQBKh8822gAAAAQBAAAPAAAAZHJzL2Rvd25yZXYueG1sTI/BasMwEETvhf6D2EJujZwm&#10;BONaDqXQSwiEJj3kuJG2lqm1MpacKH9ftZf2sjDMMPO23iTXiwuNofOsYDEvQBBrbzpuFXwc3x5L&#10;ECEiG+w9k4IbBdg093c1VsZf+Z0uh9iKXMKhQgU2xqGSMmhLDsPcD8TZ+/Sjw5jl2Eoz4jWXu14+&#10;FcVaOuw4L1gc6NWS/jpMTsFxnU46TacF7XTZaqS9ddu9UrOH9PIMIlKKf2H4wc/o0GSms5/YBNEr&#10;yI/E35u9sliBOCtYrpYlyKaW/+GbbwAAAP//AwBQSwECLQAUAAYACAAAACEAtoM4kv4AAADhAQAA&#10;EwAAAAAAAAAAAAAAAAAAAAAAW0NvbnRlbnRfVHlwZXNdLnhtbFBLAQItABQABgAIAAAAIQA4/SH/&#10;1gAAAJQBAAALAAAAAAAAAAAAAAAAAC8BAABfcmVscy8ucmVsc1BLAQItABQABgAIAAAAIQDAe+E5&#10;vwIAAM4FAAAOAAAAAAAAAAAAAAAAAC4CAABkcnMvZTJvRG9jLnhtbFBLAQItABQABgAIAAAAIQBK&#10;h8822gAAAAQBAAAPAAAAAAAAAAAAAAAAABkFAABkcnMvZG93bnJldi54bWxQSwUGAAAAAAQABADz&#10;AAAAIAYAAAAA&#10;" o:allowincell="f" filled="f" stroked="f">
                  <v:textbox style="layout-flow:vertical;mso-layout-flow-alt:bottom-to-top;mso-fit-shape-to-text:t">
                    <w:txbxContent>
                      <w:p w14:paraId="507BEB0A" w14:textId="77777777" w:rsidR="00CF4922" w:rsidRDefault="00CF4922" w:rsidP="00C7313C">
                        <w:pPr>
                          <w:pStyle w:val="Footer"/>
                          <w:rPr>
                            <w:rFonts w:eastAsiaTheme="majorEastAsia"/>
                          </w:rPr>
                        </w:pPr>
                      </w:p>
                    </w:txbxContent>
                  </v:textbox>
                  <w10:wrap anchorx="margin" anchory="margin"/>
                </v:rect>
              </w:pict>
            </mc:Fallback>
          </mc:AlternateContent>
        </w:r>
        <w:r w:rsidR="00815FC9">
          <w:rPr>
            <w:noProof/>
            <w:lang w:val="en-GB" w:eastAsia="en-GB"/>
          </w:rPr>
          <mc:AlternateContent>
            <mc:Choice Requires="wps">
              <w:drawing>
                <wp:anchor distT="0" distB="0" distL="114300" distR="114300" simplePos="0" relativeHeight="251658242" behindDoc="0" locked="0" layoutInCell="0" allowOverlap="1" wp14:anchorId="26F27959" wp14:editId="3F260A46">
                  <wp:simplePos x="0" y="0"/>
                  <wp:positionH relativeFrom="rightMargin">
                    <wp:align>center</wp:align>
                  </wp:positionH>
                  <wp:positionV relativeFrom="margin">
                    <wp:align>bottom</wp:align>
                  </wp:positionV>
                  <wp:extent cx="510540" cy="2183130"/>
                  <wp:effectExtent l="0" t="0" r="3810" b="0"/>
                  <wp:wrapNone/>
                  <wp:docPr id="610099889" name="Rectangle 6100998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144F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6F27959" id="Rectangle 610099889" o:spid="_x0000_s1033" style="position:absolute;left:0;text-align:left;margin-left:0;margin-top:0;width:40.2pt;height:171.9pt;z-index:251658242;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4eSvgIAAMwFAAAOAAAAZHJzL2Uyb0RvYy54bWysVG1vmzAQ/j5p/8HydwqmJAFUUrUhTJO6&#10;rVq3H+CACdbAZrYTUlX77zubvLZfpm18sDiffXfPc4/v5nbXtWjLlOZSZJhcBRgxUcqKi3WGv38r&#10;vBgjbaioaCsFy/Az0/h2/v7dzdCnLJSNbCumEAQROh36DDfG9Knv67JhHdVXsmcCnLVUHTVgqrVf&#10;KTpA9K71wyCY+oNUVa9kybSG3Xx04rmLX9esNF/qWjOD2gxDbcatyq0ru/rzG5quFe0bXu7LoH9R&#10;RUe5gKTHUDk1FG0UfxOq46WSWtbmqpSdL+ual8xhADQkeIXmqaE9c1iAHN0fadL/L2z5efuoEK8y&#10;PCVBkCRxnGAkaAet+grkUbFuGTq5gK6h1ynceuoflQWs+wdZ/tBIyEUDp9mdUnJoGK2gSGLp9S8u&#10;WEPDVbQaPskKstCNkY65Xa06GxA4QTvXoOdjg9jOoBI2JySYRNDGElwhia/JteugT9PD7V5p84HJ&#10;DtmfDCvA4KLT7YM2thqaHo7YZEIWvG2dCFpxsQEHxx3IDVetz1bhevqSBMkyXsaRF4XTpRcFee7d&#10;FYvImxZkNsmv88UiJ79sXhKlDa8qJmyag75I9Gf92yt9VMZRYVq2vLLhbElarVeLVqEtBX0X7nOc&#10;g+d0zL8sw5EAWF5BImEU3IeJV0zjmRcV0cRLZkHsBSS5T6ZBlER5cQnpgQv275DQkOFkEk5cl86K&#10;foUtcN9bbDTtuIEJ0vIuw/HxEE2tBJeicq01lLfj/xkVtvwTFdDuQ6OdYK1GR62b3WrnHsjMZrf6&#10;XcnqGRSsJAgMxAjTD37sGs7AHGCYZFj/3FDFMGo/CngICYmsbI0zosksBEOde1bnHirKRsKMKo3C&#10;aDQWZpxZm17xdQPpyMhXfwfPp+BO2afS9o8ORoYDuB9vdiad2+7UaQjPfwM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HPjh5K+&#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16B144F7"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1014877458"/>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1" behindDoc="0" locked="0" layoutInCell="0" allowOverlap="1" wp14:anchorId="7235DCAA" wp14:editId="175F5627">
                  <wp:simplePos x="0" y="0"/>
                  <wp:positionH relativeFrom="rightMargin">
                    <wp:align>center</wp:align>
                  </wp:positionH>
                  <wp:positionV relativeFrom="margin">
                    <wp:align>bottom</wp:align>
                  </wp:positionV>
                  <wp:extent cx="510540" cy="2183130"/>
                  <wp:effectExtent l="0" t="0" r="3810" b="0"/>
                  <wp:wrapNone/>
                  <wp:docPr id="642980152" name="Rectangle 642980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11BE0D"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235DCAA" id="Rectangle 642980152" o:spid="_x0000_s1034" style="position:absolute;left:0;text-align:left;margin-left:0;margin-top:0;width:40.2pt;height:171.9pt;z-index:251658241;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7WTvgIAAMwFAAAOAAAAZHJzL2Uyb0RvYy54bWysVNtu1DAQfUfiHyy/p7nU2U2iZquy2SCk&#10;AhWFD/AmzsYisYPtbbZC/DtjZ6/tCwLyYGU89sycM8dzc7vrO/TElOZS5Di8CjBiopI1F5scf/ta&#10;eglG2lBR004KluNnpvHt4u2bm3HIWCRb2dVMIQgidDYOOW6NGTLf11XLeqqv5MAEOBupemrAVBu/&#10;VnSE6H3nR0Ew80ep6kHJimkNu8XkxAsXv2lYZT43jWYGdTmG2oxblVvXdvUXNzTbKDq0vNqXQf+i&#10;ip5yAUmPoQpqKNoq/ipUzysltWzMVSV7XzYNr5jDAGjC4AWax5YOzGEBcvRwpEn/v7DVp6cHhXid&#10;4xmJ0iQI4wgjQXto1Rcgj4pNx9DJBXSNg87g1uPwoCxgPdzL6rtGQi5bOM3ulJJjy2gNRYaWXv/i&#10;gjU0XEXr8aOsIQvdGumY2zWqtwGBE7RzDXo+NojtDKpgMw6DmEAbK3BFYXIdXrsO+jQ73B6UNu+Z&#10;7JH9ybECDC46fbrXxlZDs8MRm0zIknedE0EnLjbg4LQDueGq9dkqXE9/pkG6SlYJ8Ug0W3kkKArv&#10;rlwSb1aG87i4LpbLIvxl84Yka3ldM2HTHPQVkj/r317pkzKOCtOy47UNZ0vSarNedgo9UdB36T7H&#10;OXhOx/zLMhwJgOUFpDAiwbso9cpZMvdISWIvnQeJF4Tpu3QWkJQU5SWkey7Yv0NCY47TOIpdl86K&#10;foEtcN9rbDTruYEJ0vE+x8nxEM2sBFeidq01lHfT/xkVtvwTFdDuQ6OdYK1GJ62b3XrnHkhis1v9&#10;rmX9DApWEgQGYoTpBz92jeZgjjBMcqx/bKliGHUfBDyENCRWtsYZJJ5HYKhzz/rcQ0XVSphRlVEY&#10;TcbSTDNrOyi+aSFdOPE13MHzKblT9qm0/aODkeEA7sebnUnntjt1GsKL3wA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MI7tZO+&#10;AgAAzA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E11BE0D" w14:textId="77777777" w:rsidR="00CF4922" w:rsidRDefault="00CF4922" w:rsidP="00C7313C">
                        <w:pPr>
                          <w:pStyle w:val="Footer"/>
                          <w:rPr>
                            <w:rFonts w:eastAsiaTheme="majorEastAsia"/>
                          </w:rPr>
                        </w:pPr>
                      </w:p>
                    </w:txbxContent>
                  </v:textbox>
                  <w10:wrap anchorx="margin" anchory="margin"/>
                </v:rect>
              </w:pict>
            </mc:Fallback>
          </mc:AlternateContent>
        </w:r>
      </w:sdtContent>
    </w:sdt>
    <w:sdt>
      <w:sdtPr>
        <w:id w:val="652332405"/>
        <w:docPartObj>
          <w:docPartGallery w:val="Page Numbers (Margins)"/>
          <w:docPartUnique/>
        </w:docPartObj>
      </w:sdtPr>
      <w:sdtEndPr/>
      <w:sdtContent>
        <w:r w:rsidR="00815FC9">
          <w:rPr>
            <w:noProof/>
            <w:lang w:val="en-GB" w:eastAsia="en-GB"/>
          </w:rPr>
          <mc:AlternateContent>
            <mc:Choice Requires="wps">
              <w:drawing>
                <wp:anchor distT="0" distB="0" distL="114300" distR="114300" simplePos="0" relativeHeight="251658240" behindDoc="0" locked="0" layoutInCell="0" allowOverlap="1" wp14:anchorId="3F78DB54" wp14:editId="1A82F218">
                  <wp:simplePos x="0" y="0"/>
                  <wp:positionH relativeFrom="rightMargin">
                    <wp:align>center</wp:align>
                  </wp:positionH>
                  <wp:positionV relativeFrom="margin">
                    <wp:align>bottom</wp:align>
                  </wp:positionV>
                  <wp:extent cx="510540" cy="2183130"/>
                  <wp:effectExtent l="0" t="0" r="3810" b="0"/>
                  <wp:wrapNone/>
                  <wp:docPr id="1749477370" name="Rectangle 1749477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BF9E57" w14:textId="77777777" w:rsidR="00CF4922" w:rsidRDefault="00CF4922" w:rsidP="00C7313C">
                              <w:pPr>
                                <w:pStyle w:val="Footer"/>
                                <w:rPr>
                                  <w:rFonts w:eastAsiaTheme="majorEastAsia"/>
                                </w:rPr>
                              </w:pP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3F78DB54" id="Rectangle 1749477370" o:spid="_x0000_s1035" style="position:absolute;left:0;text-align:left;margin-left:0;margin-top:0;width:40.2pt;height:171.9pt;z-index:251658240;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3gl3vgIAAM4FAAAOAAAAZHJzL2Uyb0RvYy54bWysVNuO0zAQfUfiHyy/Z3Np0ly06WppGoS0&#10;wIqFD3ATp7FI7GC7TVeIf2fs9Lr7goA8WBmPPTPnzPHc3u37Du2oVEzwHPs3HkaUV6JmfJPjb19L&#10;J8FIacJr0glOc/xMFb5bvH1zOw4ZDUQruppKBEG4ysYhx63WQ+a6qmppT9SNGCgHZyNkTzSYcuPW&#10;kowQve/cwPPm7ihkPUhRUaVgt5iceGHjNw2t9OemUVSjLsdQm7artOvarO7ilmQbSYaWVYcyyF9U&#10;0RPGIekpVEE0QVvJXoXqWSWFEo2+qUTviqZhFbUYAI3vvUDz1JKBWixAjhpONKn/F7b6tHuUiNXQ&#10;uzhMwziexUATJz306guwR/imo+jCB4SNg8rg3tPwKA1kNTyI6rtCXCxbOE7vpRRjS0kNZfqGYPfq&#10;gjEUXEXr8aOoIQ3ZamG52zeyNwGBFbS3LXo+tYjuNapgM/K9KIQKK3AFfjLzZ7aHLsmOtwep9Hsq&#10;emR+ciwBhI1Odg9Km2pIdjxiknFRsq6zMuj41QYcnHYgN1w1PlOF7erP1EtXySoJnTCYr5zQKwrn&#10;vlyGzrz046iYFctl4f8yef0wa1ldU27SHBXmh3/WwYPWJ22cNKZEx2oTzpSk5Ga97CTaEVB4aT/L&#10;OXjOx9zrMiwJgOUFJD8IvXdB6pTzJHbCMoycNPYSx/PTd+ncA3UU5TWkB8bpv0NCY47TKIhsly6K&#10;foHNs99rbCTrmYYZ0rE+x8npEMmMBFe8tq3VhHXT/wUVpvwzFdDuY6OtYI1GJ63r/Xpvn0hqshv9&#10;rkX9DAqWAgQGYoT5Bz9mDczrGWGc5Fj92BJJMeo+cHgIqR8a2WprhFEcgCEvPetLD+FVK2BKVVpi&#10;NBlLPU2t7SDZpoV0/sTXcA/Pp2RW2efSDo8OhoYFeBhwZipd2vbUeQwvfgM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PPeCXe+&#10;AgAAzgUAAA4AAAAAAAAAAAAAAAAALgIAAGRycy9lMm9Eb2MueG1sUEsBAi0AFAAGAAgAAAAhAEqH&#10;zzbaAAAABAEAAA8AAAAAAAAAAAAAAAAAGAUAAGRycy9kb3ducmV2LnhtbFBLBQYAAAAABAAEAPMA&#10;AAAfBgAAAAA=&#10;" o:allowincell="f" filled="f" stroked="f">
                  <v:textbox style="layout-flow:vertical;mso-layout-flow-alt:bottom-to-top;mso-fit-shape-to-text:t">
                    <w:txbxContent>
                      <w:p w14:paraId="27BF9E57" w14:textId="77777777" w:rsidR="00CF4922" w:rsidRDefault="00CF4922" w:rsidP="00C7313C">
                        <w:pPr>
                          <w:pStyle w:val="Footer"/>
                          <w:rPr>
                            <w:rFonts w:eastAsiaTheme="majorEastAsia"/>
                          </w:rPr>
                        </w:pPr>
                      </w:p>
                    </w:txbxContent>
                  </v:textbox>
                  <w10:wrap anchorx="margin" anchory="margin"/>
                </v:rect>
              </w:pict>
            </mc:Fallback>
          </mc:AlternateContent>
        </w:r>
      </w:sdtContent>
    </w:sdt>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CB7441" w14:textId="77777777" w:rsidR="00CF4922" w:rsidRDefault="00CF49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694086A"/>
    <w:lvl w:ilvl="0">
      <w:start w:val="1"/>
      <w:numFmt w:val="bullet"/>
      <w:pStyle w:val="ListBullet3"/>
      <w:lvlText w:val=""/>
      <w:lvlJc w:val="left"/>
      <w:pPr>
        <w:tabs>
          <w:tab w:val="num" w:pos="3619"/>
        </w:tabs>
        <w:ind w:left="3619" w:hanging="360"/>
      </w:pPr>
      <w:rPr>
        <w:rFonts w:ascii="Symbol" w:hAnsi="Symbol" w:hint="default"/>
      </w:rPr>
    </w:lvl>
  </w:abstractNum>
  <w:abstractNum w:abstractNumId="1" w15:restartNumberingAfterBreak="0">
    <w:nsid w:val="FFFFFF88"/>
    <w:multiLevelType w:val="singleLevel"/>
    <w:tmpl w:val="CED6A7F2"/>
    <w:lvl w:ilvl="0">
      <w:start w:val="1"/>
      <w:numFmt w:val="decimal"/>
      <w:pStyle w:val="ListNumber"/>
      <w:lvlText w:val="%1."/>
      <w:lvlJc w:val="left"/>
      <w:pPr>
        <w:tabs>
          <w:tab w:val="num" w:pos="360"/>
        </w:tabs>
        <w:ind w:left="360" w:hanging="360"/>
      </w:pPr>
    </w:lvl>
  </w:abstractNum>
  <w:abstractNum w:abstractNumId="2" w15:restartNumberingAfterBreak="0">
    <w:nsid w:val="FFFFFF89"/>
    <w:multiLevelType w:val="singleLevel"/>
    <w:tmpl w:val="2326B3F6"/>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1CF4EEB"/>
    <w:multiLevelType w:val="hybridMultilevel"/>
    <w:tmpl w:val="04F81BEC"/>
    <w:lvl w:ilvl="0" w:tplc="8A0EDA18">
      <w:start w:val="1"/>
      <w:numFmt w:val="upperLetter"/>
      <w:lvlText w:val="%1."/>
      <w:lvlJc w:val="left"/>
      <w:pPr>
        <w:ind w:left="720" w:hanging="360"/>
      </w:pPr>
    </w:lvl>
    <w:lvl w:ilvl="1" w:tplc="71B0DF28">
      <w:start w:val="1"/>
      <w:numFmt w:val="lowerLetter"/>
      <w:lvlText w:val="%2."/>
      <w:lvlJc w:val="left"/>
      <w:pPr>
        <w:ind w:left="1440" w:hanging="360"/>
      </w:pPr>
    </w:lvl>
    <w:lvl w:ilvl="2" w:tplc="9BDA6F8A">
      <w:start w:val="1"/>
      <w:numFmt w:val="lowerRoman"/>
      <w:lvlText w:val="%3."/>
      <w:lvlJc w:val="right"/>
      <w:pPr>
        <w:ind w:left="2160" w:hanging="180"/>
      </w:pPr>
    </w:lvl>
    <w:lvl w:ilvl="3" w:tplc="709A3E56">
      <w:start w:val="1"/>
      <w:numFmt w:val="decimal"/>
      <w:lvlText w:val="%4."/>
      <w:lvlJc w:val="left"/>
      <w:pPr>
        <w:ind w:left="2880" w:hanging="360"/>
      </w:pPr>
    </w:lvl>
    <w:lvl w:ilvl="4" w:tplc="FCC6FAE0">
      <w:start w:val="1"/>
      <w:numFmt w:val="lowerLetter"/>
      <w:lvlText w:val="%5."/>
      <w:lvlJc w:val="left"/>
      <w:pPr>
        <w:ind w:left="3600" w:hanging="360"/>
      </w:pPr>
    </w:lvl>
    <w:lvl w:ilvl="5" w:tplc="F10AAE1E">
      <w:start w:val="1"/>
      <w:numFmt w:val="lowerRoman"/>
      <w:lvlText w:val="%6."/>
      <w:lvlJc w:val="right"/>
      <w:pPr>
        <w:ind w:left="4320" w:hanging="180"/>
      </w:pPr>
    </w:lvl>
    <w:lvl w:ilvl="6" w:tplc="23EC7344">
      <w:start w:val="1"/>
      <w:numFmt w:val="decimal"/>
      <w:lvlText w:val="%7."/>
      <w:lvlJc w:val="left"/>
      <w:pPr>
        <w:ind w:left="5040" w:hanging="360"/>
      </w:pPr>
    </w:lvl>
    <w:lvl w:ilvl="7" w:tplc="5BF2BCBA">
      <w:start w:val="1"/>
      <w:numFmt w:val="lowerLetter"/>
      <w:lvlText w:val="%8."/>
      <w:lvlJc w:val="left"/>
      <w:pPr>
        <w:ind w:left="5760" w:hanging="360"/>
      </w:pPr>
    </w:lvl>
    <w:lvl w:ilvl="8" w:tplc="AC2CB93C">
      <w:start w:val="1"/>
      <w:numFmt w:val="lowerRoman"/>
      <w:lvlText w:val="%9."/>
      <w:lvlJc w:val="right"/>
      <w:pPr>
        <w:ind w:left="6480" w:hanging="180"/>
      </w:pPr>
    </w:lvl>
  </w:abstractNum>
  <w:abstractNum w:abstractNumId="4" w15:restartNumberingAfterBreak="0">
    <w:nsid w:val="02DA097E"/>
    <w:multiLevelType w:val="hybridMultilevel"/>
    <w:tmpl w:val="FB6269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05540DC0"/>
    <w:multiLevelType w:val="multilevel"/>
    <w:tmpl w:val="3D2E905A"/>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AC02854"/>
    <w:multiLevelType w:val="hybridMultilevel"/>
    <w:tmpl w:val="A8B6C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8C6205"/>
    <w:multiLevelType w:val="hybridMultilevel"/>
    <w:tmpl w:val="2A1605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F501AAA"/>
    <w:multiLevelType w:val="hybridMultilevel"/>
    <w:tmpl w:val="3DBA9288"/>
    <w:lvl w:ilvl="0" w:tplc="18090001">
      <w:start w:val="1"/>
      <w:numFmt w:val="bullet"/>
      <w:lvlText w:val=""/>
      <w:lvlJc w:val="left"/>
      <w:pPr>
        <w:ind w:left="927" w:hanging="360"/>
      </w:pPr>
      <w:rPr>
        <w:rFonts w:ascii="Symbol" w:hAnsi="Symbol" w:hint="default"/>
      </w:rPr>
    </w:lvl>
    <w:lvl w:ilvl="1" w:tplc="18090003">
      <w:start w:val="1"/>
      <w:numFmt w:val="bullet"/>
      <w:lvlText w:val="o"/>
      <w:lvlJc w:val="left"/>
      <w:pPr>
        <w:ind w:left="1647" w:hanging="360"/>
      </w:pPr>
      <w:rPr>
        <w:rFonts w:ascii="Courier New" w:hAnsi="Courier New" w:cs="Courier New" w:hint="default"/>
      </w:rPr>
    </w:lvl>
    <w:lvl w:ilvl="2" w:tplc="18090005">
      <w:start w:val="1"/>
      <w:numFmt w:val="bullet"/>
      <w:lvlText w:val=""/>
      <w:lvlJc w:val="left"/>
      <w:pPr>
        <w:ind w:left="2367" w:hanging="360"/>
      </w:pPr>
      <w:rPr>
        <w:rFonts w:ascii="Wingdings" w:hAnsi="Wingdings" w:hint="default"/>
      </w:rPr>
    </w:lvl>
    <w:lvl w:ilvl="3" w:tplc="18090001">
      <w:start w:val="1"/>
      <w:numFmt w:val="bullet"/>
      <w:lvlText w:val=""/>
      <w:lvlJc w:val="left"/>
      <w:pPr>
        <w:ind w:left="3087" w:hanging="360"/>
      </w:pPr>
      <w:rPr>
        <w:rFonts w:ascii="Symbol" w:hAnsi="Symbol" w:hint="default"/>
      </w:rPr>
    </w:lvl>
    <w:lvl w:ilvl="4" w:tplc="18090003">
      <w:start w:val="1"/>
      <w:numFmt w:val="bullet"/>
      <w:lvlText w:val="o"/>
      <w:lvlJc w:val="left"/>
      <w:pPr>
        <w:ind w:left="3807" w:hanging="360"/>
      </w:pPr>
      <w:rPr>
        <w:rFonts w:ascii="Courier New" w:hAnsi="Courier New" w:cs="Courier New" w:hint="default"/>
      </w:rPr>
    </w:lvl>
    <w:lvl w:ilvl="5" w:tplc="18090005">
      <w:start w:val="1"/>
      <w:numFmt w:val="bullet"/>
      <w:lvlText w:val=""/>
      <w:lvlJc w:val="left"/>
      <w:pPr>
        <w:ind w:left="4527" w:hanging="360"/>
      </w:pPr>
      <w:rPr>
        <w:rFonts w:ascii="Wingdings" w:hAnsi="Wingdings" w:hint="default"/>
      </w:rPr>
    </w:lvl>
    <w:lvl w:ilvl="6" w:tplc="18090001">
      <w:start w:val="1"/>
      <w:numFmt w:val="bullet"/>
      <w:lvlText w:val=""/>
      <w:lvlJc w:val="left"/>
      <w:pPr>
        <w:ind w:left="5247" w:hanging="360"/>
      </w:pPr>
      <w:rPr>
        <w:rFonts w:ascii="Symbol" w:hAnsi="Symbol" w:hint="default"/>
      </w:rPr>
    </w:lvl>
    <w:lvl w:ilvl="7" w:tplc="18090003">
      <w:start w:val="1"/>
      <w:numFmt w:val="bullet"/>
      <w:lvlText w:val="o"/>
      <w:lvlJc w:val="left"/>
      <w:pPr>
        <w:ind w:left="5967" w:hanging="360"/>
      </w:pPr>
      <w:rPr>
        <w:rFonts w:ascii="Courier New" w:hAnsi="Courier New" w:cs="Courier New" w:hint="default"/>
      </w:rPr>
    </w:lvl>
    <w:lvl w:ilvl="8" w:tplc="18090005">
      <w:start w:val="1"/>
      <w:numFmt w:val="bullet"/>
      <w:lvlText w:val=""/>
      <w:lvlJc w:val="left"/>
      <w:pPr>
        <w:ind w:left="6687" w:hanging="360"/>
      </w:pPr>
      <w:rPr>
        <w:rFonts w:ascii="Wingdings" w:hAnsi="Wingdings" w:hint="default"/>
      </w:rPr>
    </w:lvl>
  </w:abstractNum>
  <w:abstractNum w:abstractNumId="9" w15:restartNumberingAfterBreak="0">
    <w:nsid w:val="127120B1"/>
    <w:multiLevelType w:val="hybridMultilevel"/>
    <w:tmpl w:val="9B7C4DBC"/>
    <w:lvl w:ilvl="0" w:tplc="0407000B">
      <w:start w:val="1"/>
      <w:numFmt w:val="bullet"/>
      <w:lvlText w:val=""/>
      <w:lvlJc w:val="left"/>
      <w:pPr>
        <w:ind w:left="1800" w:hanging="360"/>
      </w:pPr>
      <w:rPr>
        <w:rFonts w:ascii="Wingdings" w:hAnsi="Wingdings" w:hint="default"/>
      </w:rPr>
    </w:lvl>
    <w:lvl w:ilvl="1" w:tplc="04070003" w:tentative="1">
      <w:start w:val="1"/>
      <w:numFmt w:val="bullet"/>
      <w:lvlText w:val="o"/>
      <w:lvlJc w:val="left"/>
      <w:pPr>
        <w:ind w:left="2520" w:hanging="360"/>
      </w:pPr>
      <w:rPr>
        <w:rFonts w:ascii="Courier New" w:hAnsi="Courier New" w:cs="Courier New" w:hint="default"/>
      </w:rPr>
    </w:lvl>
    <w:lvl w:ilvl="2" w:tplc="04070005" w:tentative="1">
      <w:start w:val="1"/>
      <w:numFmt w:val="bullet"/>
      <w:lvlText w:val=""/>
      <w:lvlJc w:val="left"/>
      <w:pPr>
        <w:ind w:left="3240" w:hanging="360"/>
      </w:pPr>
      <w:rPr>
        <w:rFonts w:ascii="Wingdings" w:hAnsi="Wingdings" w:hint="default"/>
      </w:rPr>
    </w:lvl>
    <w:lvl w:ilvl="3" w:tplc="04070001" w:tentative="1">
      <w:start w:val="1"/>
      <w:numFmt w:val="bullet"/>
      <w:lvlText w:val=""/>
      <w:lvlJc w:val="left"/>
      <w:pPr>
        <w:ind w:left="3960" w:hanging="360"/>
      </w:pPr>
      <w:rPr>
        <w:rFonts w:ascii="Symbol" w:hAnsi="Symbol" w:hint="default"/>
      </w:rPr>
    </w:lvl>
    <w:lvl w:ilvl="4" w:tplc="04070003" w:tentative="1">
      <w:start w:val="1"/>
      <w:numFmt w:val="bullet"/>
      <w:lvlText w:val="o"/>
      <w:lvlJc w:val="left"/>
      <w:pPr>
        <w:ind w:left="4680" w:hanging="360"/>
      </w:pPr>
      <w:rPr>
        <w:rFonts w:ascii="Courier New" w:hAnsi="Courier New" w:cs="Courier New" w:hint="default"/>
      </w:rPr>
    </w:lvl>
    <w:lvl w:ilvl="5" w:tplc="04070005" w:tentative="1">
      <w:start w:val="1"/>
      <w:numFmt w:val="bullet"/>
      <w:lvlText w:val=""/>
      <w:lvlJc w:val="left"/>
      <w:pPr>
        <w:ind w:left="5400" w:hanging="360"/>
      </w:pPr>
      <w:rPr>
        <w:rFonts w:ascii="Wingdings" w:hAnsi="Wingdings" w:hint="default"/>
      </w:rPr>
    </w:lvl>
    <w:lvl w:ilvl="6" w:tplc="04070001" w:tentative="1">
      <w:start w:val="1"/>
      <w:numFmt w:val="bullet"/>
      <w:lvlText w:val=""/>
      <w:lvlJc w:val="left"/>
      <w:pPr>
        <w:ind w:left="6120" w:hanging="360"/>
      </w:pPr>
      <w:rPr>
        <w:rFonts w:ascii="Symbol" w:hAnsi="Symbol" w:hint="default"/>
      </w:rPr>
    </w:lvl>
    <w:lvl w:ilvl="7" w:tplc="04070003" w:tentative="1">
      <w:start w:val="1"/>
      <w:numFmt w:val="bullet"/>
      <w:lvlText w:val="o"/>
      <w:lvlJc w:val="left"/>
      <w:pPr>
        <w:ind w:left="6840" w:hanging="360"/>
      </w:pPr>
      <w:rPr>
        <w:rFonts w:ascii="Courier New" w:hAnsi="Courier New" w:cs="Courier New" w:hint="default"/>
      </w:rPr>
    </w:lvl>
    <w:lvl w:ilvl="8" w:tplc="04070005" w:tentative="1">
      <w:start w:val="1"/>
      <w:numFmt w:val="bullet"/>
      <w:lvlText w:val=""/>
      <w:lvlJc w:val="left"/>
      <w:pPr>
        <w:ind w:left="7560" w:hanging="360"/>
      </w:pPr>
      <w:rPr>
        <w:rFonts w:ascii="Wingdings" w:hAnsi="Wingdings" w:hint="default"/>
      </w:rPr>
    </w:lvl>
  </w:abstractNum>
  <w:abstractNum w:abstractNumId="10" w15:restartNumberingAfterBreak="0">
    <w:nsid w:val="12D82016"/>
    <w:multiLevelType w:val="multilevel"/>
    <w:tmpl w:val="91145730"/>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48B4FB2"/>
    <w:multiLevelType w:val="hybridMultilevel"/>
    <w:tmpl w:val="CD525BC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2" w15:restartNumberingAfterBreak="0">
    <w:nsid w:val="14996626"/>
    <w:multiLevelType w:val="hybridMultilevel"/>
    <w:tmpl w:val="F0A4845A"/>
    <w:lvl w:ilvl="0" w:tplc="FFFFFFFF">
      <w:start w:val="1"/>
      <w:numFmt w:val="bullet"/>
      <w:pStyle w:val="Briefinglist1"/>
      <w:lvlText w:val="·"/>
      <w:lvlJc w:val="left"/>
      <w:pPr>
        <w:tabs>
          <w:tab w:val="num" w:pos="284"/>
        </w:tabs>
        <w:ind w:left="284" w:hanging="284"/>
      </w:pPr>
      <w:rPr>
        <w:rFonts w:ascii="Symbol" w:hAnsi="Symbol" w:hint="default"/>
        <w:b w:val="0"/>
        <w:i w:val="0"/>
        <w:color w:val="auto"/>
      </w:rPr>
    </w:lvl>
    <w:lvl w:ilvl="1" w:tplc="F0E4EA32">
      <w:start w:val="1"/>
      <w:numFmt w:val="bullet"/>
      <w:lvlText w:val=""/>
      <w:lvlJc w:val="left"/>
      <w:pPr>
        <w:tabs>
          <w:tab w:val="num" w:pos="1440"/>
        </w:tabs>
        <w:ind w:left="1440" w:hanging="360"/>
      </w:pPr>
      <w:rPr>
        <w:rFonts w:ascii="Symbol" w:hAnsi="Symbol" w:hint="default"/>
        <w:lang w:val="en-US"/>
      </w:rPr>
    </w:lvl>
    <w:lvl w:ilvl="2" w:tplc="AF84FF14">
      <w:start w:val="1"/>
      <w:numFmt w:val="bullet"/>
      <w:lvlText w:val=""/>
      <w:lvlJc w:val="left"/>
      <w:pPr>
        <w:tabs>
          <w:tab w:val="num" w:pos="2160"/>
        </w:tabs>
        <w:ind w:left="2160" w:hanging="360"/>
      </w:pPr>
      <w:rPr>
        <w:rFonts w:ascii="Symbol" w:hAnsi="Symbol"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B2BA6A"/>
    <w:multiLevelType w:val="hybridMultilevel"/>
    <w:tmpl w:val="E7C4F8BE"/>
    <w:lvl w:ilvl="0" w:tplc="4F12B758">
      <w:start w:val="1"/>
      <w:numFmt w:val="bullet"/>
      <w:lvlText w:val="·"/>
      <w:lvlJc w:val="left"/>
      <w:pPr>
        <w:ind w:left="720" w:hanging="360"/>
      </w:pPr>
      <w:rPr>
        <w:rFonts w:ascii="Symbol" w:hAnsi="Symbol" w:hint="default"/>
      </w:rPr>
    </w:lvl>
    <w:lvl w:ilvl="1" w:tplc="3CC6F4A4">
      <w:start w:val="1"/>
      <w:numFmt w:val="bullet"/>
      <w:lvlText w:val="o"/>
      <w:lvlJc w:val="left"/>
      <w:pPr>
        <w:ind w:left="1440" w:hanging="360"/>
      </w:pPr>
      <w:rPr>
        <w:rFonts w:ascii="Courier New" w:hAnsi="Courier New" w:hint="default"/>
      </w:rPr>
    </w:lvl>
    <w:lvl w:ilvl="2" w:tplc="ED824C18">
      <w:start w:val="1"/>
      <w:numFmt w:val="bullet"/>
      <w:lvlText w:val=""/>
      <w:lvlJc w:val="left"/>
      <w:pPr>
        <w:ind w:left="2160" w:hanging="360"/>
      </w:pPr>
      <w:rPr>
        <w:rFonts w:ascii="Wingdings" w:hAnsi="Wingdings" w:hint="default"/>
      </w:rPr>
    </w:lvl>
    <w:lvl w:ilvl="3" w:tplc="BDF852E0">
      <w:start w:val="1"/>
      <w:numFmt w:val="bullet"/>
      <w:lvlText w:val=""/>
      <w:lvlJc w:val="left"/>
      <w:pPr>
        <w:ind w:left="2880" w:hanging="360"/>
      </w:pPr>
      <w:rPr>
        <w:rFonts w:ascii="Symbol" w:hAnsi="Symbol" w:hint="default"/>
      </w:rPr>
    </w:lvl>
    <w:lvl w:ilvl="4" w:tplc="C630D732">
      <w:start w:val="1"/>
      <w:numFmt w:val="bullet"/>
      <w:lvlText w:val="o"/>
      <w:lvlJc w:val="left"/>
      <w:pPr>
        <w:ind w:left="3600" w:hanging="360"/>
      </w:pPr>
      <w:rPr>
        <w:rFonts w:ascii="Courier New" w:hAnsi="Courier New" w:hint="default"/>
      </w:rPr>
    </w:lvl>
    <w:lvl w:ilvl="5" w:tplc="4E48A3E8">
      <w:start w:val="1"/>
      <w:numFmt w:val="bullet"/>
      <w:lvlText w:val=""/>
      <w:lvlJc w:val="left"/>
      <w:pPr>
        <w:ind w:left="4320" w:hanging="360"/>
      </w:pPr>
      <w:rPr>
        <w:rFonts w:ascii="Wingdings" w:hAnsi="Wingdings" w:hint="default"/>
      </w:rPr>
    </w:lvl>
    <w:lvl w:ilvl="6" w:tplc="AEC447F4">
      <w:start w:val="1"/>
      <w:numFmt w:val="bullet"/>
      <w:lvlText w:val=""/>
      <w:lvlJc w:val="left"/>
      <w:pPr>
        <w:ind w:left="5040" w:hanging="360"/>
      </w:pPr>
      <w:rPr>
        <w:rFonts w:ascii="Symbol" w:hAnsi="Symbol" w:hint="default"/>
      </w:rPr>
    </w:lvl>
    <w:lvl w:ilvl="7" w:tplc="B31CB102">
      <w:start w:val="1"/>
      <w:numFmt w:val="bullet"/>
      <w:lvlText w:val="o"/>
      <w:lvlJc w:val="left"/>
      <w:pPr>
        <w:ind w:left="5760" w:hanging="360"/>
      </w:pPr>
      <w:rPr>
        <w:rFonts w:ascii="Courier New" w:hAnsi="Courier New" w:hint="default"/>
      </w:rPr>
    </w:lvl>
    <w:lvl w:ilvl="8" w:tplc="32428720">
      <w:start w:val="1"/>
      <w:numFmt w:val="bullet"/>
      <w:lvlText w:val=""/>
      <w:lvlJc w:val="left"/>
      <w:pPr>
        <w:ind w:left="6480" w:hanging="360"/>
      </w:pPr>
      <w:rPr>
        <w:rFonts w:ascii="Wingdings" w:hAnsi="Wingdings" w:hint="default"/>
      </w:rPr>
    </w:lvl>
  </w:abstractNum>
  <w:abstractNum w:abstractNumId="14" w15:restartNumberingAfterBreak="0">
    <w:nsid w:val="19AA3A9A"/>
    <w:multiLevelType w:val="hybridMultilevel"/>
    <w:tmpl w:val="A7D875D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9AB7123"/>
    <w:multiLevelType w:val="hybridMultilevel"/>
    <w:tmpl w:val="35266AAE"/>
    <w:lvl w:ilvl="0" w:tplc="222E9B7C">
      <w:start w:val="1"/>
      <w:numFmt w:val="bullet"/>
      <w:lvlText w:val=""/>
      <w:lvlJc w:val="left"/>
      <w:pPr>
        <w:ind w:left="5040" w:hanging="360"/>
      </w:pPr>
      <w:rPr>
        <w:rFonts w:ascii="Symbol" w:hAnsi="Symbol"/>
      </w:rPr>
    </w:lvl>
    <w:lvl w:ilvl="1" w:tplc="68DAEF86">
      <w:start w:val="1"/>
      <w:numFmt w:val="bullet"/>
      <w:lvlText w:val=""/>
      <w:lvlJc w:val="left"/>
      <w:pPr>
        <w:ind w:left="5040" w:hanging="360"/>
      </w:pPr>
      <w:rPr>
        <w:rFonts w:ascii="Symbol" w:hAnsi="Symbol"/>
      </w:rPr>
    </w:lvl>
    <w:lvl w:ilvl="2" w:tplc="A296E312">
      <w:start w:val="1"/>
      <w:numFmt w:val="bullet"/>
      <w:lvlText w:val=""/>
      <w:lvlJc w:val="left"/>
      <w:pPr>
        <w:ind w:left="5040" w:hanging="360"/>
      </w:pPr>
      <w:rPr>
        <w:rFonts w:ascii="Symbol" w:hAnsi="Symbol"/>
      </w:rPr>
    </w:lvl>
    <w:lvl w:ilvl="3" w:tplc="D6D4087E">
      <w:start w:val="1"/>
      <w:numFmt w:val="bullet"/>
      <w:lvlText w:val=""/>
      <w:lvlJc w:val="left"/>
      <w:pPr>
        <w:ind w:left="5040" w:hanging="360"/>
      </w:pPr>
      <w:rPr>
        <w:rFonts w:ascii="Symbol" w:hAnsi="Symbol"/>
      </w:rPr>
    </w:lvl>
    <w:lvl w:ilvl="4" w:tplc="33246330">
      <w:start w:val="1"/>
      <w:numFmt w:val="bullet"/>
      <w:lvlText w:val=""/>
      <w:lvlJc w:val="left"/>
      <w:pPr>
        <w:ind w:left="5040" w:hanging="360"/>
      </w:pPr>
      <w:rPr>
        <w:rFonts w:ascii="Symbol" w:hAnsi="Symbol"/>
      </w:rPr>
    </w:lvl>
    <w:lvl w:ilvl="5" w:tplc="B83A1C3E">
      <w:start w:val="1"/>
      <w:numFmt w:val="bullet"/>
      <w:lvlText w:val=""/>
      <w:lvlJc w:val="left"/>
      <w:pPr>
        <w:ind w:left="5040" w:hanging="360"/>
      </w:pPr>
      <w:rPr>
        <w:rFonts w:ascii="Symbol" w:hAnsi="Symbol"/>
      </w:rPr>
    </w:lvl>
    <w:lvl w:ilvl="6" w:tplc="ED489F98">
      <w:start w:val="1"/>
      <w:numFmt w:val="bullet"/>
      <w:lvlText w:val=""/>
      <w:lvlJc w:val="left"/>
      <w:pPr>
        <w:ind w:left="5040" w:hanging="360"/>
      </w:pPr>
      <w:rPr>
        <w:rFonts w:ascii="Symbol" w:hAnsi="Symbol"/>
      </w:rPr>
    </w:lvl>
    <w:lvl w:ilvl="7" w:tplc="FA206936">
      <w:start w:val="1"/>
      <w:numFmt w:val="bullet"/>
      <w:lvlText w:val=""/>
      <w:lvlJc w:val="left"/>
      <w:pPr>
        <w:ind w:left="5040" w:hanging="360"/>
      </w:pPr>
      <w:rPr>
        <w:rFonts w:ascii="Symbol" w:hAnsi="Symbol"/>
      </w:rPr>
    </w:lvl>
    <w:lvl w:ilvl="8" w:tplc="A192E016">
      <w:start w:val="1"/>
      <w:numFmt w:val="bullet"/>
      <w:lvlText w:val=""/>
      <w:lvlJc w:val="left"/>
      <w:pPr>
        <w:ind w:left="5040" w:hanging="360"/>
      </w:pPr>
      <w:rPr>
        <w:rFonts w:ascii="Symbol" w:hAnsi="Symbol"/>
      </w:rPr>
    </w:lvl>
  </w:abstractNum>
  <w:abstractNum w:abstractNumId="16" w15:restartNumberingAfterBreak="0">
    <w:nsid w:val="1C699A9D"/>
    <w:multiLevelType w:val="hybridMultilevel"/>
    <w:tmpl w:val="63C4D278"/>
    <w:lvl w:ilvl="0" w:tplc="C56AE640">
      <w:start w:val="1"/>
      <w:numFmt w:val="bullet"/>
      <w:lvlText w:val=""/>
      <w:lvlJc w:val="left"/>
      <w:pPr>
        <w:ind w:left="-3096" w:hanging="360"/>
      </w:pPr>
      <w:rPr>
        <w:rFonts w:ascii="Symbol" w:hAnsi="Symbol" w:hint="default"/>
      </w:rPr>
    </w:lvl>
    <w:lvl w:ilvl="1" w:tplc="C55CCE14">
      <w:start w:val="1"/>
      <w:numFmt w:val="bullet"/>
      <w:lvlText w:val="o"/>
      <w:lvlJc w:val="left"/>
      <w:pPr>
        <w:ind w:left="-2376" w:hanging="360"/>
      </w:pPr>
      <w:rPr>
        <w:rFonts w:ascii="Courier New" w:hAnsi="Courier New" w:hint="default"/>
      </w:rPr>
    </w:lvl>
    <w:lvl w:ilvl="2" w:tplc="8402D928">
      <w:start w:val="1"/>
      <w:numFmt w:val="bullet"/>
      <w:lvlText w:val=""/>
      <w:lvlJc w:val="left"/>
      <w:pPr>
        <w:ind w:left="-1656" w:hanging="360"/>
      </w:pPr>
      <w:rPr>
        <w:rFonts w:ascii="Wingdings" w:hAnsi="Wingdings" w:hint="default"/>
      </w:rPr>
    </w:lvl>
    <w:lvl w:ilvl="3" w:tplc="8C84504E">
      <w:start w:val="1"/>
      <w:numFmt w:val="bullet"/>
      <w:lvlText w:val=""/>
      <w:lvlJc w:val="left"/>
      <w:pPr>
        <w:ind w:left="-936" w:hanging="360"/>
      </w:pPr>
      <w:rPr>
        <w:rFonts w:ascii="Symbol" w:hAnsi="Symbol" w:hint="default"/>
      </w:rPr>
    </w:lvl>
    <w:lvl w:ilvl="4" w:tplc="54A826AC">
      <w:start w:val="1"/>
      <w:numFmt w:val="bullet"/>
      <w:lvlText w:val="o"/>
      <w:lvlJc w:val="left"/>
      <w:pPr>
        <w:ind w:left="-216" w:hanging="360"/>
      </w:pPr>
      <w:rPr>
        <w:rFonts w:ascii="Courier New" w:hAnsi="Courier New" w:hint="default"/>
      </w:rPr>
    </w:lvl>
    <w:lvl w:ilvl="5" w:tplc="E1FACEEE">
      <w:start w:val="1"/>
      <w:numFmt w:val="bullet"/>
      <w:lvlText w:val=""/>
      <w:lvlJc w:val="left"/>
      <w:pPr>
        <w:ind w:left="504" w:hanging="360"/>
      </w:pPr>
      <w:rPr>
        <w:rFonts w:ascii="Wingdings" w:hAnsi="Wingdings" w:hint="default"/>
      </w:rPr>
    </w:lvl>
    <w:lvl w:ilvl="6" w:tplc="09D81A7C">
      <w:start w:val="1"/>
      <w:numFmt w:val="bullet"/>
      <w:lvlText w:val=""/>
      <w:lvlJc w:val="left"/>
      <w:pPr>
        <w:ind w:left="1224" w:hanging="360"/>
      </w:pPr>
      <w:rPr>
        <w:rFonts w:ascii="Symbol" w:hAnsi="Symbol" w:hint="default"/>
      </w:rPr>
    </w:lvl>
    <w:lvl w:ilvl="7" w:tplc="8D1E45BE">
      <w:start w:val="1"/>
      <w:numFmt w:val="bullet"/>
      <w:lvlText w:val="o"/>
      <w:lvlJc w:val="left"/>
      <w:pPr>
        <w:ind w:left="1944" w:hanging="360"/>
      </w:pPr>
      <w:rPr>
        <w:rFonts w:ascii="Courier New" w:hAnsi="Courier New" w:hint="default"/>
      </w:rPr>
    </w:lvl>
    <w:lvl w:ilvl="8" w:tplc="149615EC">
      <w:start w:val="1"/>
      <w:numFmt w:val="bullet"/>
      <w:lvlText w:val=""/>
      <w:lvlJc w:val="left"/>
      <w:pPr>
        <w:ind w:left="2664" w:hanging="360"/>
      </w:pPr>
      <w:rPr>
        <w:rFonts w:ascii="Wingdings" w:hAnsi="Wingdings" w:hint="default"/>
      </w:rPr>
    </w:lvl>
  </w:abstractNum>
  <w:abstractNum w:abstractNumId="17" w15:restartNumberingAfterBreak="0">
    <w:nsid w:val="1D703B17"/>
    <w:multiLevelType w:val="hybridMultilevel"/>
    <w:tmpl w:val="07162C24"/>
    <w:lvl w:ilvl="0" w:tplc="C04A4CDC">
      <w:start w:val="1"/>
      <w:numFmt w:val="bullet"/>
      <w:lvlText w:val="·"/>
      <w:lvlJc w:val="left"/>
      <w:pPr>
        <w:ind w:left="720" w:hanging="360"/>
      </w:pPr>
      <w:rPr>
        <w:rFonts w:ascii="Symbol" w:hAnsi="Symbol" w:hint="default"/>
      </w:rPr>
    </w:lvl>
    <w:lvl w:ilvl="1" w:tplc="0C462D0C">
      <w:start w:val="1"/>
      <w:numFmt w:val="bullet"/>
      <w:lvlText w:val="o"/>
      <w:lvlJc w:val="left"/>
      <w:pPr>
        <w:ind w:left="1440" w:hanging="360"/>
      </w:pPr>
      <w:rPr>
        <w:rFonts w:ascii="Courier New" w:hAnsi="Courier New" w:hint="default"/>
      </w:rPr>
    </w:lvl>
    <w:lvl w:ilvl="2" w:tplc="B26A3D14">
      <w:start w:val="1"/>
      <w:numFmt w:val="bullet"/>
      <w:lvlText w:val=""/>
      <w:lvlJc w:val="left"/>
      <w:pPr>
        <w:ind w:left="2160" w:hanging="360"/>
      </w:pPr>
      <w:rPr>
        <w:rFonts w:ascii="Wingdings" w:hAnsi="Wingdings" w:hint="default"/>
      </w:rPr>
    </w:lvl>
    <w:lvl w:ilvl="3" w:tplc="A3CAF394">
      <w:start w:val="1"/>
      <w:numFmt w:val="bullet"/>
      <w:lvlText w:val=""/>
      <w:lvlJc w:val="left"/>
      <w:pPr>
        <w:ind w:left="2880" w:hanging="360"/>
      </w:pPr>
      <w:rPr>
        <w:rFonts w:ascii="Symbol" w:hAnsi="Symbol" w:hint="default"/>
      </w:rPr>
    </w:lvl>
    <w:lvl w:ilvl="4" w:tplc="FDA64CB4">
      <w:start w:val="1"/>
      <w:numFmt w:val="bullet"/>
      <w:lvlText w:val="o"/>
      <w:lvlJc w:val="left"/>
      <w:pPr>
        <w:ind w:left="3600" w:hanging="360"/>
      </w:pPr>
      <w:rPr>
        <w:rFonts w:ascii="Courier New" w:hAnsi="Courier New" w:hint="default"/>
      </w:rPr>
    </w:lvl>
    <w:lvl w:ilvl="5" w:tplc="20140C0A">
      <w:start w:val="1"/>
      <w:numFmt w:val="bullet"/>
      <w:lvlText w:val=""/>
      <w:lvlJc w:val="left"/>
      <w:pPr>
        <w:ind w:left="4320" w:hanging="360"/>
      </w:pPr>
      <w:rPr>
        <w:rFonts w:ascii="Wingdings" w:hAnsi="Wingdings" w:hint="default"/>
      </w:rPr>
    </w:lvl>
    <w:lvl w:ilvl="6" w:tplc="3A86742E">
      <w:start w:val="1"/>
      <w:numFmt w:val="bullet"/>
      <w:lvlText w:val=""/>
      <w:lvlJc w:val="left"/>
      <w:pPr>
        <w:ind w:left="5040" w:hanging="360"/>
      </w:pPr>
      <w:rPr>
        <w:rFonts w:ascii="Symbol" w:hAnsi="Symbol" w:hint="default"/>
      </w:rPr>
    </w:lvl>
    <w:lvl w:ilvl="7" w:tplc="8500B184">
      <w:start w:val="1"/>
      <w:numFmt w:val="bullet"/>
      <w:lvlText w:val="o"/>
      <w:lvlJc w:val="left"/>
      <w:pPr>
        <w:ind w:left="5760" w:hanging="360"/>
      </w:pPr>
      <w:rPr>
        <w:rFonts w:ascii="Courier New" w:hAnsi="Courier New" w:hint="default"/>
      </w:rPr>
    </w:lvl>
    <w:lvl w:ilvl="8" w:tplc="B01001D4">
      <w:start w:val="1"/>
      <w:numFmt w:val="bullet"/>
      <w:lvlText w:val=""/>
      <w:lvlJc w:val="left"/>
      <w:pPr>
        <w:ind w:left="6480" w:hanging="360"/>
      </w:pPr>
      <w:rPr>
        <w:rFonts w:ascii="Wingdings" w:hAnsi="Wingdings" w:hint="default"/>
      </w:rPr>
    </w:lvl>
  </w:abstractNum>
  <w:abstractNum w:abstractNumId="18" w15:restartNumberingAfterBreak="0">
    <w:nsid w:val="1E8A3B8A"/>
    <w:multiLevelType w:val="hybridMultilevel"/>
    <w:tmpl w:val="DD3A9826"/>
    <w:lvl w:ilvl="0" w:tplc="CF382F8A">
      <w:start w:val="1"/>
      <w:numFmt w:val="upperLetter"/>
      <w:lvlText w:val="%1."/>
      <w:lvlJc w:val="left"/>
      <w:pPr>
        <w:ind w:left="720" w:hanging="360"/>
      </w:pPr>
    </w:lvl>
    <w:lvl w:ilvl="1" w:tplc="1C6A62D8">
      <w:start w:val="1"/>
      <w:numFmt w:val="lowerLetter"/>
      <w:lvlText w:val="%2."/>
      <w:lvlJc w:val="left"/>
      <w:pPr>
        <w:ind w:left="1440" w:hanging="360"/>
      </w:pPr>
    </w:lvl>
    <w:lvl w:ilvl="2" w:tplc="6BA28CD8">
      <w:start w:val="1"/>
      <w:numFmt w:val="lowerRoman"/>
      <w:lvlText w:val="%3."/>
      <w:lvlJc w:val="right"/>
      <w:pPr>
        <w:ind w:left="2160" w:hanging="180"/>
      </w:pPr>
    </w:lvl>
    <w:lvl w:ilvl="3" w:tplc="AAC492C2">
      <w:start w:val="1"/>
      <w:numFmt w:val="decimal"/>
      <w:lvlText w:val="%4."/>
      <w:lvlJc w:val="left"/>
      <w:pPr>
        <w:ind w:left="2880" w:hanging="360"/>
      </w:pPr>
    </w:lvl>
    <w:lvl w:ilvl="4" w:tplc="8924B192">
      <w:start w:val="1"/>
      <w:numFmt w:val="lowerLetter"/>
      <w:lvlText w:val="%5."/>
      <w:lvlJc w:val="left"/>
      <w:pPr>
        <w:ind w:left="3600" w:hanging="360"/>
      </w:pPr>
    </w:lvl>
    <w:lvl w:ilvl="5" w:tplc="DB7847A8">
      <w:start w:val="1"/>
      <w:numFmt w:val="lowerRoman"/>
      <w:lvlText w:val="%6."/>
      <w:lvlJc w:val="right"/>
      <w:pPr>
        <w:ind w:left="4320" w:hanging="180"/>
      </w:pPr>
    </w:lvl>
    <w:lvl w:ilvl="6" w:tplc="5C1C21BC">
      <w:start w:val="1"/>
      <w:numFmt w:val="decimal"/>
      <w:lvlText w:val="%7."/>
      <w:lvlJc w:val="left"/>
      <w:pPr>
        <w:ind w:left="5040" w:hanging="360"/>
      </w:pPr>
    </w:lvl>
    <w:lvl w:ilvl="7" w:tplc="A3823222">
      <w:start w:val="1"/>
      <w:numFmt w:val="lowerLetter"/>
      <w:lvlText w:val="%8."/>
      <w:lvlJc w:val="left"/>
      <w:pPr>
        <w:ind w:left="5760" w:hanging="360"/>
      </w:pPr>
    </w:lvl>
    <w:lvl w:ilvl="8" w:tplc="C346F052">
      <w:start w:val="1"/>
      <w:numFmt w:val="lowerRoman"/>
      <w:lvlText w:val="%9."/>
      <w:lvlJc w:val="right"/>
      <w:pPr>
        <w:ind w:left="6480" w:hanging="180"/>
      </w:pPr>
    </w:lvl>
  </w:abstractNum>
  <w:abstractNum w:abstractNumId="19" w15:restartNumberingAfterBreak="0">
    <w:nsid w:val="1F524851"/>
    <w:multiLevelType w:val="multilevel"/>
    <w:tmpl w:val="00D653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204E7606"/>
    <w:multiLevelType w:val="hybridMultilevel"/>
    <w:tmpl w:val="9B28D458"/>
    <w:lvl w:ilvl="0" w:tplc="E1806812">
      <w:start w:val="1"/>
      <w:numFmt w:val="bullet"/>
      <w:lvlText w:val="·"/>
      <w:lvlJc w:val="left"/>
      <w:pPr>
        <w:ind w:left="1440" w:hanging="360"/>
      </w:pPr>
      <w:rPr>
        <w:rFonts w:ascii="Symbol" w:hAnsi="Symbol" w:hint="default"/>
      </w:rPr>
    </w:lvl>
    <w:lvl w:ilvl="1" w:tplc="DF9A9FD0">
      <w:start w:val="1"/>
      <w:numFmt w:val="bullet"/>
      <w:lvlText w:val="o"/>
      <w:lvlJc w:val="left"/>
      <w:pPr>
        <w:ind w:left="2160" w:hanging="360"/>
      </w:pPr>
      <w:rPr>
        <w:rFonts w:ascii="Courier New" w:hAnsi="Courier New" w:hint="default"/>
      </w:rPr>
    </w:lvl>
    <w:lvl w:ilvl="2" w:tplc="87DC9DB6">
      <w:start w:val="1"/>
      <w:numFmt w:val="bullet"/>
      <w:lvlText w:val=""/>
      <w:lvlJc w:val="left"/>
      <w:pPr>
        <w:ind w:left="2880" w:hanging="360"/>
      </w:pPr>
      <w:rPr>
        <w:rFonts w:ascii="Wingdings" w:hAnsi="Wingdings" w:hint="default"/>
      </w:rPr>
    </w:lvl>
    <w:lvl w:ilvl="3" w:tplc="EF7CFBB6">
      <w:start w:val="1"/>
      <w:numFmt w:val="bullet"/>
      <w:lvlText w:val=""/>
      <w:lvlJc w:val="left"/>
      <w:pPr>
        <w:ind w:left="3600" w:hanging="360"/>
      </w:pPr>
      <w:rPr>
        <w:rFonts w:ascii="Symbol" w:hAnsi="Symbol" w:hint="default"/>
      </w:rPr>
    </w:lvl>
    <w:lvl w:ilvl="4" w:tplc="0CA2EE2A">
      <w:start w:val="1"/>
      <w:numFmt w:val="bullet"/>
      <w:lvlText w:val="o"/>
      <w:lvlJc w:val="left"/>
      <w:pPr>
        <w:ind w:left="4320" w:hanging="360"/>
      </w:pPr>
      <w:rPr>
        <w:rFonts w:ascii="Courier New" w:hAnsi="Courier New" w:hint="default"/>
      </w:rPr>
    </w:lvl>
    <w:lvl w:ilvl="5" w:tplc="5372961C">
      <w:start w:val="1"/>
      <w:numFmt w:val="bullet"/>
      <w:lvlText w:val=""/>
      <w:lvlJc w:val="left"/>
      <w:pPr>
        <w:ind w:left="5040" w:hanging="360"/>
      </w:pPr>
      <w:rPr>
        <w:rFonts w:ascii="Wingdings" w:hAnsi="Wingdings" w:hint="default"/>
      </w:rPr>
    </w:lvl>
    <w:lvl w:ilvl="6" w:tplc="3D08BA64">
      <w:start w:val="1"/>
      <w:numFmt w:val="bullet"/>
      <w:lvlText w:val=""/>
      <w:lvlJc w:val="left"/>
      <w:pPr>
        <w:ind w:left="5760" w:hanging="360"/>
      </w:pPr>
      <w:rPr>
        <w:rFonts w:ascii="Symbol" w:hAnsi="Symbol" w:hint="default"/>
      </w:rPr>
    </w:lvl>
    <w:lvl w:ilvl="7" w:tplc="431E2654">
      <w:start w:val="1"/>
      <w:numFmt w:val="bullet"/>
      <w:lvlText w:val="o"/>
      <w:lvlJc w:val="left"/>
      <w:pPr>
        <w:ind w:left="6480" w:hanging="360"/>
      </w:pPr>
      <w:rPr>
        <w:rFonts w:ascii="Courier New" w:hAnsi="Courier New" w:hint="default"/>
      </w:rPr>
    </w:lvl>
    <w:lvl w:ilvl="8" w:tplc="A68CB7BE">
      <w:start w:val="1"/>
      <w:numFmt w:val="bullet"/>
      <w:lvlText w:val=""/>
      <w:lvlJc w:val="left"/>
      <w:pPr>
        <w:ind w:left="7200" w:hanging="360"/>
      </w:pPr>
      <w:rPr>
        <w:rFonts w:ascii="Wingdings" w:hAnsi="Wingdings" w:hint="default"/>
      </w:rPr>
    </w:lvl>
  </w:abstractNum>
  <w:abstractNum w:abstractNumId="21" w15:restartNumberingAfterBreak="0">
    <w:nsid w:val="214F1626"/>
    <w:multiLevelType w:val="hybridMultilevel"/>
    <w:tmpl w:val="DB2CC95C"/>
    <w:lvl w:ilvl="0" w:tplc="80E0A7C8">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2" w15:restartNumberingAfterBreak="0">
    <w:nsid w:val="28796F2C"/>
    <w:multiLevelType w:val="hybridMultilevel"/>
    <w:tmpl w:val="97BC8678"/>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DA54A2B"/>
    <w:multiLevelType w:val="hybridMultilevel"/>
    <w:tmpl w:val="1B82AF22"/>
    <w:lvl w:ilvl="0" w:tplc="FFFFFFFF">
      <w:start w:val="1"/>
      <w:numFmt w:val="bullet"/>
      <w:lvlText w:val="·"/>
      <w:lvlJc w:val="left"/>
      <w:pPr>
        <w:ind w:left="1080" w:hanging="360"/>
      </w:pPr>
      <w:rPr>
        <w:rFonts w:ascii="Calibri" w:hAnsi="Calibri"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DC1799A"/>
    <w:multiLevelType w:val="hybridMultilevel"/>
    <w:tmpl w:val="1226B51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FAE6834"/>
    <w:multiLevelType w:val="hybridMultilevel"/>
    <w:tmpl w:val="D60063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3077E3DA"/>
    <w:multiLevelType w:val="hybridMultilevel"/>
    <w:tmpl w:val="938A9F2A"/>
    <w:lvl w:ilvl="0" w:tplc="AF9696AC">
      <w:start w:val="1"/>
      <w:numFmt w:val="bullet"/>
      <w:lvlText w:val="·"/>
      <w:lvlJc w:val="left"/>
      <w:pPr>
        <w:ind w:left="460" w:hanging="360"/>
      </w:pPr>
      <w:rPr>
        <w:rFonts w:ascii="Symbol" w:hAnsi="Symbol" w:hint="default"/>
      </w:rPr>
    </w:lvl>
    <w:lvl w:ilvl="1" w:tplc="E0DCE0B6">
      <w:start w:val="1"/>
      <w:numFmt w:val="bullet"/>
      <w:lvlText w:val="o"/>
      <w:lvlJc w:val="left"/>
      <w:pPr>
        <w:ind w:left="1180" w:hanging="360"/>
      </w:pPr>
      <w:rPr>
        <w:rFonts w:ascii="Courier New" w:hAnsi="Courier New" w:hint="default"/>
      </w:rPr>
    </w:lvl>
    <w:lvl w:ilvl="2" w:tplc="458C9338">
      <w:start w:val="1"/>
      <w:numFmt w:val="bullet"/>
      <w:lvlText w:val=""/>
      <w:lvlJc w:val="left"/>
      <w:pPr>
        <w:ind w:left="1900" w:hanging="360"/>
      </w:pPr>
      <w:rPr>
        <w:rFonts w:ascii="Wingdings" w:hAnsi="Wingdings" w:hint="default"/>
      </w:rPr>
    </w:lvl>
    <w:lvl w:ilvl="3" w:tplc="5AEA5AC2">
      <w:start w:val="1"/>
      <w:numFmt w:val="bullet"/>
      <w:lvlText w:val=""/>
      <w:lvlJc w:val="left"/>
      <w:pPr>
        <w:ind w:left="2620" w:hanging="360"/>
      </w:pPr>
      <w:rPr>
        <w:rFonts w:ascii="Symbol" w:hAnsi="Symbol" w:hint="default"/>
      </w:rPr>
    </w:lvl>
    <w:lvl w:ilvl="4" w:tplc="2FBA5E82">
      <w:start w:val="1"/>
      <w:numFmt w:val="bullet"/>
      <w:lvlText w:val="o"/>
      <w:lvlJc w:val="left"/>
      <w:pPr>
        <w:ind w:left="3340" w:hanging="360"/>
      </w:pPr>
      <w:rPr>
        <w:rFonts w:ascii="Courier New" w:hAnsi="Courier New" w:hint="default"/>
      </w:rPr>
    </w:lvl>
    <w:lvl w:ilvl="5" w:tplc="03E0E08A">
      <w:start w:val="1"/>
      <w:numFmt w:val="bullet"/>
      <w:lvlText w:val=""/>
      <w:lvlJc w:val="left"/>
      <w:pPr>
        <w:ind w:left="4060" w:hanging="360"/>
      </w:pPr>
      <w:rPr>
        <w:rFonts w:ascii="Wingdings" w:hAnsi="Wingdings" w:hint="default"/>
      </w:rPr>
    </w:lvl>
    <w:lvl w:ilvl="6" w:tplc="CF8EEF48">
      <w:start w:val="1"/>
      <w:numFmt w:val="bullet"/>
      <w:lvlText w:val=""/>
      <w:lvlJc w:val="left"/>
      <w:pPr>
        <w:ind w:left="4780" w:hanging="360"/>
      </w:pPr>
      <w:rPr>
        <w:rFonts w:ascii="Symbol" w:hAnsi="Symbol" w:hint="default"/>
      </w:rPr>
    </w:lvl>
    <w:lvl w:ilvl="7" w:tplc="32CC41EE">
      <w:start w:val="1"/>
      <w:numFmt w:val="bullet"/>
      <w:lvlText w:val="o"/>
      <w:lvlJc w:val="left"/>
      <w:pPr>
        <w:ind w:left="5500" w:hanging="360"/>
      </w:pPr>
      <w:rPr>
        <w:rFonts w:ascii="Courier New" w:hAnsi="Courier New" w:hint="default"/>
      </w:rPr>
    </w:lvl>
    <w:lvl w:ilvl="8" w:tplc="A3C0685C">
      <w:start w:val="1"/>
      <w:numFmt w:val="bullet"/>
      <w:lvlText w:val=""/>
      <w:lvlJc w:val="left"/>
      <w:pPr>
        <w:ind w:left="6220" w:hanging="360"/>
      </w:pPr>
      <w:rPr>
        <w:rFonts w:ascii="Wingdings" w:hAnsi="Wingdings" w:hint="default"/>
      </w:rPr>
    </w:lvl>
  </w:abstractNum>
  <w:abstractNum w:abstractNumId="27" w15:restartNumberingAfterBreak="0">
    <w:nsid w:val="30DA4B15"/>
    <w:multiLevelType w:val="hybridMultilevel"/>
    <w:tmpl w:val="6DB2A5B4"/>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316D5278"/>
    <w:multiLevelType w:val="multilevel"/>
    <w:tmpl w:val="D45AFC5E"/>
    <w:name w:val="List Number 2__1"/>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9" w15:restartNumberingAfterBreak="0">
    <w:nsid w:val="31C479FD"/>
    <w:multiLevelType w:val="hybridMultilevel"/>
    <w:tmpl w:val="567C62C8"/>
    <w:lvl w:ilvl="0" w:tplc="18090015">
      <w:start w:val="1"/>
      <w:numFmt w:val="upp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0" w15:restartNumberingAfterBreak="0">
    <w:nsid w:val="350321FD"/>
    <w:multiLevelType w:val="multilevel"/>
    <w:tmpl w:val="FFFFFFFF"/>
    <w:lvl w:ilvl="0">
      <w:start w:val="1"/>
      <w:numFmt w:val="decimal"/>
      <w:lvlText w:val="%1."/>
      <w:lvlJc w:val="left"/>
      <w:pPr>
        <w:ind w:left="221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38FDE5A6"/>
    <w:multiLevelType w:val="hybridMultilevel"/>
    <w:tmpl w:val="F0FEDF72"/>
    <w:lvl w:ilvl="0" w:tplc="A89E45A8">
      <w:start w:val="1"/>
      <w:numFmt w:val="bullet"/>
      <w:lvlText w:val="·"/>
      <w:lvlJc w:val="left"/>
      <w:pPr>
        <w:ind w:left="1440" w:hanging="360"/>
      </w:pPr>
      <w:rPr>
        <w:rFonts w:ascii="Symbol" w:hAnsi="Symbol" w:hint="default"/>
      </w:rPr>
    </w:lvl>
    <w:lvl w:ilvl="1" w:tplc="A860E9FA">
      <w:start w:val="1"/>
      <w:numFmt w:val="bullet"/>
      <w:lvlText w:val="o"/>
      <w:lvlJc w:val="left"/>
      <w:pPr>
        <w:ind w:left="2160" w:hanging="360"/>
      </w:pPr>
      <w:rPr>
        <w:rFonts w:ascii="Courier New" w:hAnsi="Courier New" w:hint="default"/>
      </w:rPr>
    </w:lvl>
    <w:lvl w:ilvl="2" w:tplc="BAA24CDE">
      <w:start w:val="1"/>
      <w:numFmt w:val="bullet"/>
      <w:lvlText w:val=""/>
      <w:lvlJc w:val="left"/>
      <w:pPr>
        <w:ind w:left="2880" w:hanging="360"/>
      </w:pPr>
      <w:rPr>
        <w:rFonts w:ascii="Wingdings" w:hAnsi="Wingdings" w:hint="default"/>
      </w:rPr>
    </w:lvl>
    <w:lvl w:ilvl="3" w:tplc="433A9282">
      <w:start w:val="1"/>
      <w:numFmt w:val="bullet"/>
      <w:lvlText w:val=""/>
      <w:lvlJc w:val="left"/>
      <w:pPr>
        <w:ind w:left="3600" w:hanging="360"/>
      </w:pPr>
      <w:rPr>
        <w:rFonts w:ascii="Symbol" w:hAnsi="Symbol" w:hint="default"/>
      </w:rPr>
    </w:lvl>
    <w:lvl w:ilvl="4" w:tplc="1B2AA3C8">
      <w:start w:val="1"/>
      <w:numFmt w:val="bullet"/>
      <w:lvlText w:val="o"/>
      <w:lvlJc w:val="left"/>
      <w:pPr>
        <w:ind w:left="4320" w:hanging="360"/>
      </w:pPr>
      <w:rPr>
        <w:rFonts w:ascii="Courier New" w:hAnsi="Courier New" w:hint="default"/>
      </w:rPr>
    </w:lvl>
    <w:lvl w:ilvl="5" w:tplc="CB868804">
      <w:start w:val="1"/>
      <w:numFmt w:val="bullet"/>
      <w:lvlText w:val=""/>
      <w:lvlJc w:val="left"/>
      <w:pPr>
        <w:ind w:left="5040" w:hanging="360"/>
      </w:pPr>
      <w:rPr>
        <w:rFonts w:ascii="Wingdings" w:hAnsi="Wingdings" w:hint="default"/>
      </w:rPr>
    </w:lvl>
    <w:lvl w:ilvl="6" w:tplc="8AA4541E">
      <w:start w:val="1"/>
      <w:numFmt w:val="bullet"/>
      <w:lvlText w:val=""/>
      <w:lvlJc w:val="left"/>
      <w:pPr>
        <w:ind w:left="5760" w:hanging="360"/>
      </w:pPr>
      <w:rPr>
        <w:rFonts w:ascii="Symbol" w:hAnsi="Symbol" w:hint="default"/>
      </w:rPr>
    </w:lvl>
    <w:lvl w:ilvl="7" w:tplc="9362BDCA">
      <w:start w:val="1"/>
      <w:numFmt w:val="bullet"/>
      <w:lvlText w:val="o"/>
      <w:lvlJc w:val="left"/>
      <w:pPr>
        <w:ind w:left="6480" w:hanging="360"/>
      </w:pPr>
      <w:rPr>
        <w:rFonts w:ascii="Courier New" w:hAnsi="Courier New" w:hint="default"/>
      </w:rPr>
    </w:lvl>
    <w:lvl w:ilvl="8" w:tplc="A36007B0">
      <w:start w:val="1"/>
      <w:numFmt w:val="bullet"/>
      <w:lvlText w:val=""/>
      <w:lvlJc w:val="left"/>
      <w:pPr>
        <w:ind w:left="7200" w:hanging="360"/>
      </w:pPr>
      <w:rPr>
        <w:rFonts w:ascii="Wingdings" w:hAnsi="Wingdings" w:hint="default"/>
      </w:rPr>
    </w:lvl>
  </w:abstractNum>
  <w:abstractNum w:abstractNumId="32" w15:restartNumberingAfterBreak="0">
    <w:nsid w:val="3C9449A7"/>
    <w:multiLevelType w:val="hybridMultilevel"/>
    <w:tmpl w:val="2EA283F4"/>
    <w:lvl w:ilvl="0" w:tplc="18090001">
      <w:start w:val="1"/>
      <w:numFmt w:val="bullet"/>
      <w:lvlText w:val=""/>
      <w:lvlJc w:val="left"/>
      <w:pPr>
        <w:ind w:left="-1595" w:hanging="360"/>
      </w:pPr>
      <w:rPr>
        <w:rFonts w:ascii="Symbol" w:hAnsi="Symbol" w:hint="default"/>
      </w:rPr>
    </w:lvl>
    <w:lvl w:ilvl="1" w:tplc="18090003" w:tentative="1">
      <w:start w:val="1"/>
      <w:numFmt w:val="bullet"/>
      <w:lvlText w:val="o"/>
      <w:lvlJc w:val="left"/>
      <w:pPr>
        <w:ind w:left="-875" w:hanging="360"/>
      </w:pPr>
      <w:rPr>
        <w:rFonts w:ascii="Courier New" w:hAnsi="Courier New" w:cs="Courier New" w:hint="default"/>
      </w:rPr>
    </w:lvl>
    <w:lvl w:ilvl="2" w:tplc="18090005" w:tentative="1">
      <w:start w:val="1"/>
      <w:numFmt w:val="bullet"/>
      <w:lvlText w:val=""/>
      <w:lvlJc w:val="left"/>
      <w:pPr>
        <w:ind w:left="-155" w:hanging="360"/>
      </w:pPr>
      <w:rPr>
        <w:rFonts w:ascii="Wingdings" w:hAnsi="Wingdings" w:hint="default"/>
      </w:rPr>
    </w:lvl>
    <w:lvl w:ilvl="3" w:tplc="18090001" w:tentative="1">
      <w:start w:val="1"/>
      <w:numFmt w:val="bullet"/>
      <w:lvlText w:val=""/>
      <w:lvlJc w:val="left"/>
      <w:pPr>
        <w:ind w:left="565" w:hanging="360"/>
      </w:pPr>
      <w:rPr>
        <w:rFonts w:ascii="Symbol" w:hAnsi="Symbol" w:hint="default"/>
      </w:rPr>
    </w:lvl>
    <w:lvl w:ilvl="4" w:tplc="18090003" w:tentative="1">
      <w:start w:val="1"/>
      <w:numFmt w:val="bullet"/>
      <w:lvlText w:val="o"/>
      <w:lvlJc w:val="left"/>
      <w:pPr>
        <w:ind w:left="1285" w:hanging="360"/>
      </w:pPr>
      <w:rPr>
        <w:rFonts w:ascii="Courier New" w:hAnsi="Courier New" w:cs="Courier New" w:hint="default"/>
      </w:rPr>
    </w:lvl>
    <w:lvl w:ilvl="5" w:tplc="18090005" w:tentative="1">
      <w:start w:val="1"/>
      <w:numFmt w:val="bullet"/>
      <w:lvlText w:val=""/>
      <w:lvlJc w:val="left"/>
      <w:pPr>
        <w:ind w:left="2005" w:hanging="360"/>
      </w:pPr>
      <w:rPr>
        <w:rFonts w:ascii="Wingdings" w:hAnsi="Wingdings" w:hint="default"/>
      </w:rPr>
    </w:lvl>
    <w:lvl w:ilvl="6" w:tplc="18090001" w:tentative="1">
      <w:start w:val="1"/>
      <w:numFmt w:val="bullet"/>
      <w:lvlText w:val=""/>
      <w:lvlJc w:val="left"/>
      <w:pPr>
        <w:ind w:left="2725" w:hanging="360"/>
      </w:pPr>
      <w:rPr>
        <w:rFonts w:ascii="Symbol" w:hAnsi="Symbol" w:hint="default"/>
      </w:rPr>
    </w:lvl>
    <w:lvl w:ilvl="7" w:tplc="18090003" w:tentative="1">
      <w:start w:val="1"/>
      <w:numFmt w:val="bullet"/>
      <w:lvlText w:val="o"/>
      <w:lvlJc w:val="left"/>
      <w:pPr>
        <w:ind w:left="3445" w:hanging="360"/>
      </w:pPr>
      <w:rPr>
        <w:rFonts w:ascii="Courier New" w:hAnsi="Courier New" w:cs="Courier New" w:hint="default"/>
      </w:rPr>
    </w:lvl>
    <w:lvl w:ilvl="8" w:tplc="18090005" w:tentative="1">
      <w:start w:val="1"/>
      <w:numFmt w:val="bullet"/>
      <w:lvlText w:val=""/>
      <w:lvlJc w:val="left"/>
      <w:pPr>
        <w:ind w:left="4165" w:hanging="360"/>
      </w:pPr>
      <w:rPr>
        <w:rFonts w:ascii="Wingdings" w:hAnsi="Wingdings" w:hint="default"/>
      </w:rPr>
    </w:lvl>
  </w:abstractNum>
  <w:abstractNum w:abstractNumId="33" w15:restartNumberingAfterBreak="0">
    <w:nsid w:val="3E161589"/>
    <w:multiLevelType w:val="hybridMultilevel"/>
    <w:tmpl w:val="A5B0F202"/>
    <w:lvl w:ilvl="0" w:tplc="F41C76F2">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EA80574"/>
    <w:multiLevelType w:val="hybridMultilevel"/>
    <w:tmpl w:val="DCA40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3EEC1C44"/>
    <w:multiLevelType w:val="hybridMultilevel"/>
    <w:tmpl w:val="5F747AB6"/>
    <w:lvl w:ilvl="0" w:tplc="276CC586">
      <w:start w:val="1"/>
      <w:numFmt w:val="upperLetter"/>
      <w:lvlText w:val="%1."/>
      <w:lvlJc w:val="left"/>
      <w:pPr>
        <w:ind w:left="720" w:hanging="360"/>
      </w:pPr>
    </w:lvl>
    <w:lvl w:ilvl="1" w:tplc="4566E934">
      <w:start w:val="1"/>
      <w:numFmt w:val="lowerLetter"/>
      <w:lvlText w:val="%2."/>
      <w:lvlJc w:val="left"/>
      <w:pPr>
        <w:ind w:left="1440" w:hanging="360"/>
      </w:pPr>
    </w:lvl>
    <w:lvl w:ilvl="2" w:tplc="F30228A0">
      <w:start w:val="1"/>
      <w:numFmt w:val="lowerRoman"/>
      <w:lvlText w:val="%3."/>
      <w:lvlJc w:val="right"/>
      <w:pPr>
        <w:ind w:left="2160" w:hanging="180"/>
      </w:pPr>
    </w:lvl>
    <w:lvl w:ilvl="3" w:tplc="DE145114">
      <w:start w:val="1"/>
      <w:numFmt w:val="decimal"/>
      <w:lvlText w:val="%4."/>
      <w:lvlJc w:val="left"/>
      <w:pPr>
        <w:ind w:left="2880" w:hanging="360"/>
      </w:pPr>
    </w:lvl>
    <w:lvl w:ilvl="4" w:tplc="F06C0196">
      <w:start w:val="1"/>
      <w:numFmt w:val="lowerLetter"/>
      <w:lvlText w:val="%5."/>
      <w:lvlJc w:val="left"/>
      <w:pPr>
        <w:ind w:left="3600" w:hanging="360"/>
      </w:pPr>
    </w:lvl>
    <w:lvl w:ilvl="5" w:tplc="47C8230E">
      <w:start w:val="1"/>
      <w:numFmt w:val="lowerRoman"/>
      <w:lvlText w:val="%6."/>
      <w:lvlJc w:val="right"/>
      <w:pPr>
        <w:ind w:left="4320" w:hanging="180"/>
      </w:pPr>
    </w:lvl>
    <w:lvl w:ilvl="6" w:tplc="50A89934">
      <w:start w:val="1"/>
      <w:numFmt w:val="decimal"/>
      <w:lvlText w:val="%7."/>
      <w:lvlJc w:val="left"/>
      <w:pPr>
        <w:ind w:left="5040" w:hanging="360"/>
      </w:pPr>
    </w:lvl>
    <w:lvl w:ilvl="7" w:tplc="ECCAC34C">
      <w:start w:val="1"/>
      <w:numFmt w:val="lowerLetter"/>
      <w:lvlText w:val="%8."/>
      <w:lvlJc w:val="left"/>
      <w:pPr>
        <w:ind w:left="5760" w:hanging="360"/>
      </w:pPr>
    </w:lvl>
    <w:lvl w:ilvl="8" w:tplc="E1A882BE">
      <w:start w:val="1"/>
      <w:numFmt w:val="lowerRoman"/>
      <w:lvlText w:val="%9."/>
      <w:lvlJc w:val="right"/>
      <w:pPr>
        <w:ind w:left="6480" w:hanging="180"/>
      </w:pPr>
    </w:lvl>
  </w:abstractNum>
  <w:abstractNum w:abstractNumId="36" w15:restartNumberingAfterBreak="0">
    <w:nsid w:val="3F0E4455"/>
    <w:multiLevelType w:val="hybridMultilevel"/>
    <w:tmpl w:val="3326AD9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7" w15:restartNumberingAfterBreak="0">
    <w:nsid w:val="40FF3789"/>
    <w:multiLevelType w:val="multilevel"/>
    <w:tmpl w:val="70E6AA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328125C"/>
    <w:multiLevelType w:val="hybridMultilevel"/>
    <w:tmpl w:val="F8BAC23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4432720D"/>
    <w:multiLevelType w:val="hybridMultilevel"/>
    <w:tmpl w:val="5A8E81C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45C440F8"/>
    <w:multiLevelType w:val="hybridMultilevel"/>
    <w:tmpl w:val="871A600E"/>
    <w:lvl w:ilvl="0" w:tplc="18090001">
      <w:start w:val="1"/>
      <w:numFmt w:val="bullet"/>
      <w:lvlText w:val=""/>
      <w:lvlJc w:val="left"/>
      <w:pPr>
        <w:ind w:left="873" w:hanging="360"/>
      </w:pPr>
      <w:rPr>
        <w:rFonts w:ascii="Symbol" w:hAnsi="Symbol" w:hint="default"/>
      </w:rPr>
    </w:lvl>
    <w:lvl w:ilvl="1" w:tplc="FFFFFFFF" w:tentative="1">
      <w:start w:val="1"/>
      <w:numFmt w:val="bullet"/>
      <w:lvlText w:val="o"/>
      <w:lvlJc w:val="left"/>
      <w:pPr>
        <w:ind w:left="1593" w:hanging="360"/>
      </w:pPr>
      <w:rPr>
        <w:rFonts w:ascii="Courier New" w:hAnsi="Courier New" w:cs="Courier New" w:hint="default"/>
      </w:rPr>
    </w:lvl>
    <w:lvl w:ilvl="2" w:tplc="FFFFFFFF" w:tentative="1">
      <w:start w:val="1"/>
      <w:numFmt w:val="bullet"/>
      <w:lvlText w:val=""/>
      <w:lvlJc w:val="left"/>
      <w:pPr>
        <w:ind w:left="2313" w:hanging="360"/>
      </w:pPr>
      <w:rPr>
        <w:rFonts w:ascii="Wingdings" w:hAnsi="Wingdings" w:hint="default"/>
      </w:rPr>
    </w:lvl>
    <w:lvl w:ilvl="3" w:tplc="FFFFFFFF" w:tentative="1">
      <w:start w:val="1"/>
      <w:numFmt w:val="bullet"/>
      <w:lvlText w:val=""/>
      <w:lvlJc w:val="left"/>
      <w:pPr>
        <w:ind w:left="3033" w:hanging="360"/>
      </w:pPr>
      <w:rPr>
        <w:rFonts w:ascii="Symbol" w:hAnsi="Symbol" w:hint="default"/>
      </w:rPr>
    </w:lvl>
    <w:lvl w:ilvl="4" w:tplc="FFFFFFFF" w:tentative="1">
      <w:start w:val="1"/>
      <w:numFmt w:val="bullet"/>
      <w:lvlText w:val="o"/>
      <w:lvlJc w:val="left"/>
      <w:pPr>
        <w:ind w:left="3753" w:hanging="360"/>
      </w:pPr>
      <w:rPr>
        <w:rFonts w:ascii="Courier New" w:hAnsi="Courier New" w:cs="Courier New" w:hint="default"/>
      </w:rPr>
    </w:lvl>
    <w:lvl w:ilvl="5" w:tplc="FFFFFFFF" w:tentative="1">
      <w:start w:val="1"/>
      <w:numFmt w:val="bullet"/>
      <w:lvlText w:val=""/>
      <w:lvlJc w:val="left"/>
      <w:pPr>
        <w:ind w:left="4473" w:hanging="360"/>
      </w:pPr>
      <w:rPr>
        <w:rFonts w:ascii="Wingdings" w:hAnsi="Wingdings" w:hint="default"/>
      </w:rPr>
    </w:lvl>
    <w:lvl w:ilvl="6" w:tplc="FFFFFFFF" w:tentative="1">
      <w:start w:val="1"/>
      <w:numFmt w:val="bullet"/>
      <w:lvlText w:val=""/>
      <w:lvlJc w:val="left"/>
      <w:pPr>
        <w:ind w:left="5193" w:hanging="360"/>
      </w:pPr>
      <w:rPr>
        <w:rFonts w:ascii="Symbol" w:hAnsi="Symbol" w:hint="default"/>
      </w:rPr>
    </w:lvl>
    <w:lvl w:ilvl="7" w:tplc="FFFFFFFF" w:tentative="1">
      <w:start w:val="1"/>
      <w:numFmt w:val="bullet"/>
      <w:lvlText w:val="o"/>
      <w:lvlJc w:val="left"/>
      <w:pPr>
        <w:ind w:left="5913" w:hanging="360"/>
      </w:pPr>
      <w:rPr>
        <w:rFonts w:ascii="Courier New" w:hAnsi="Courier New" w:cs="Courier New" w:hint="default"/>
      </w:rPr>
    </w:lvl>
    <w:lvl w:ilvl="8" w:tplc="FFFFFFFF" w:tentative="1">
      <w:start w:val="1"/>
      <w:numFmt w:val="bullet"/>
      <w:lvlText w:val=""/>
      <w:lvlJc w:val="left"/>
      <w:pPr>
        <w:ind w:left="6633" w:hanging="360"/>
      </w:pPr>
      <w:rPr>
        <w:rFonts w:ascii="Wingdings" w:hAnsi="Wingdings" w:hint="default"/>
      </w:rPr>
    </w:lvl>
  </w:abstractNum>
  <w:abstractNum w:abstractNumId="41" w15:restartNumberingAfterBreak="0">
    <w:nsid w:val="45CE440A"/>
    <w:multiLevelType w:val="hybridMultilevel"/>
    <w:tmpl w:val="0A3CFF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49CF5001"/>
    <w:multiLevelType w:val="hybridMultilevel"/>
    <w:tmpl w:val="15522F1A"/>
    <w:lvl w:ilvl="0" w:tplc="FFFFFFFF">
      <w:start w:val="1"/>
      <w:numFmt w:val="decimal"/>
      <w:lvlText w:val="%1."/>
      <w:lvlJc w:val="left"/>
      <w:pPr>
        <w:ind w:left="720" w:hanging="360"/>
      </w:p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3" w15:restartNumberingAfterBreak="0">
    <w:nsid w:val="4B1B0C57"/>
    <w:multiLevelType w:val="hybridMultilevel"/>
    <w:tmpl w:val="1DF48E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B2F03A3"/>
    <w:multiLevelType w:val="hybridMultilevel"/>
    <w:tmpl w:val="782EF174"/>
    <w:lvl w:ilvl="0" w:tplc="FFFFFFFF">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5" w15:restartNumberingAfterBreak="0">
    <w:nsid w:val="4D0C058A"/>
    <w:multiLevelType w:val="singleLevel"/>
    <w:tmpl w:val="BAE8D90E"/>
    <w:name w:val="NumPar"/>
    <w:lvl w:ilvl="0">
      <w:start w:val="1"/>
      <w:numFmt w:val="bullet"/>
      <w:lvlRestart w:val="0"/>
      <w:pStyle w:val="ListDash1"/>
      <w:lvlText w:val="–"/>
      <w:lvlJc w:val="left"/>
      <w:pPr>
        <w:tabs>
          <w:tab w:val="num" w:pos="1134"/>
        </w:tabs>
        <w:ind w:left="1134" w:hanging="283"/>
      </w:pPr>
      <w:rPr>
        <w:rFonts w:ascii="Times New Roman" w:hAnsi="Times New Roman"/>
      </w:rPr>
    </w:lvl>
  </w:abstractNum>
  <w:abstractNum w:abstractNumId="46" w15:restartNumberingAfterBreak="0">
    <w:nsid w:val="4E776287"/>
    <w:multiLevelType w:val="hybridMultilevel"/>
    <w:tmpl w:val="354E6C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F5C3D1C"/>
    <w:multiLevelType w:val="hybridMultilevel"/>
    <w:tmpl w:val="D110F2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4FC44A05"/>
    <w:multiLevelType w:val="hybridMultilevel"/>
    <w:tmpl w:val="C23870AE"/>
    <w:lvl w:ilvl="0" w:tplc="D0E6B6F8">
      <w:start w:val="1"/>
      <w:numFmt w:val="upp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49" w15:restartNumberingAfterBreak="0">
    <w:nsid w:val="50DA7E30"/>
    <w:multiLevelType w:val="hybridMultilevel"/>
    <w:tmpl w:val="9358409E"/>
    <w:lvl w:ilvl="0" w:tplc="66DA45C0">
      <w:start w:val="1"/>
      <w:numFmt w:val="decimal"/>
      <w:lvlText w:val="%1."/>
      <w:lvlJc w:val="left"/>
      <w:pPr>
        <w:ind w:left="720" w:hanging="360"/>
      </w:pPr>
    </w:lvl>
    <w:lvl w:ilvl="1" w:tplc="589858A6">
      <w:start w:val="1"/>
      <w:numFmt w:val="decimal"/>
      <w:lvlText w:val="%2."/>
      <w:lvlJc w:val="left"/>
      <w:pPr>
        <w:ind w:left="720" w:hanging="360"/>
      </w:pPr>
    </w:lvl>
    <w:lvl w:ilvl="2" w:tplc="4650F1C4">
      <w:start w:val="1"/>
      <w:numFmt w:val="decimal"/>
      <w:lvlText w:val="%3."/>
      <w:lvlJc w:val="left"/>
      <w:pPr>
        <w:ind w:left="720" w:hanging="360"/>
      </w:pPr>
    </w:lvl>
    <w:lvl w:ilvl="3" w:tplc="7E866C6C">
      <w:start w:val="1"/>
      <w:numFmt w:val="decimal"/>
      <w:lvlText w:val="%4."/>
      <w:lvlJc w:val="left"/>
      <w:pPr>
        <w:ind w:left="720" w:hanging="360"/>
      </w:pPr>
    </w:lvl>
    <w:lvl w:ilvl="4" w:tplc="0358C87A">
      <w:start w:val="1"/>
      <w:numFmt w:val="decimal"/>
      <w:lvlText w:val="%5."/>
      <w:lvlJc w:val="left"/>
      <w:pPr>
        <w:ind w:left="720" w:hanging="360"/>
      </w:pPr>
    </w:lvl>
    <w:lvl w:ilvl="5" w:tplc="9424B2A2">
      <w:start w:val="1"/>
      <w:numFmt w:val="decimal"/>
      <w:lvlText w:val="%6."/>
      <w:lvlJc w:val="left"/>
      <w:pPr>
        <w:ind w:left="720" w:hanging="360"/>
      </w:pPr>
    </w:lvl>
    <w:lvl w:ilvl="6" w:tplc="660662D2">
      <w:start w:val="1"/>
      <w:numFmt w:val="decimal"/>
      <w:lvlText w:val="%7."/>
      <w:lvlJc w:val="left"/>
      <w:pPr>
        <w:ind w:left="720" w:hanging="360"/>
      </w:pPr>
    </w:lvl>
    <w:lvl w:ilvl="7" w:tplc="9F225ED0">
      <w:start w:val="1"/>
      <w:numFmt w:val="decimal"/>
      <w:lvlText w:val="%8."/>
      <w:lvlJc w:val="left"/>
      <w:pPr>
        <w:ind w:left="720" w:hanging="360"/>
      </w:pPr>
    </w:lvl>
    <w:lvl w:ilvl="8" w:tplc="B944DA6E">
      <w:start w:val="1"/>
      <w:numFmt w:val="decimal"/>
      <w:lvlText w:val="%9."/>
      <w:lvlJc w:val="left"/>
      <w:pPr>
        <w:ind w:left="720" w:hanging="360"/>
      </w:pPr>
    </w:lvl>
  </w:abstractNum>
  <w:abstractNum w:abstractNumId="50" w15:restartNumberingAfterBreak="0">
    <w:nsid w:val="522B0048"/>
    <w:multiLevelType w:val="hybridMultilevel"/>
    <w:tmpl w:val="D054B6F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532C0A8D"/>
    <w:multiLevelType w:val="hybridMultilevel"/>
    <w:tmpl w:val="238E608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2" w15:restartNumberingAfterBreak="0">
    <w:nsid w:val="58F03C7B"/>
    <w:multiLevelType w:val="singleLevel"/>
    <w:tmpl w:val="04822C5E"/>
    <w:name w:val="Tiret 2__1"/>
    <w:lvl w:ilvl="0">
      <w:start w:val="1"/>
      <w:numFmt w:val="bullet"/>
      <w:lvlRestart w:val="0"/>
      <w:pStyle w:val="Tiret2"/>
      <w:lvlText w:val="–"/>
      <w:lvlJc w:val="left"/>
      <w:pPr>
        <w:tabs>
          <w:tab w:val="num" w:pos="1984"/>
        </w:tabs>
        <w:ind w:left="1984" w:hanging="567"/>
      </w:pPr>
    </w:lvl>
  </w:abstractNum>
  <w:abstractNum w:abstractNumId="53" w15:restartNumberingAfterBreak="0">
    <w:nsid w:val="5A495B65"/>
    <w:multiLevelType w:val="hybridMultilevel"/>
    <w:tmpl w:val="597A0634"/>
    <w:lvl w:ilvl="0" w:tplc="04070015">
      <w:start w:val="1"/>
      <w:numFmt w:val="decimal"/>
      <w:lvlText w:val="(%1)"/>
      <w:lvlJc w:val="left"/>
      <w:pPr>
        <w:ind w:left="1068" w:hanging="360"/>
      </w:pPr>
    </w:lvl>
    <w:lvl w:ilvl="1" w:tplc="04070019">
      <w:start w:val="1"/>
      <w:numFmt w:val="lowerLetter"/>
      <w:lvlText w:val="%2."/>
      <w:lvlJc w:val="left"/>
      <w:pPr>
        <w:ind w:left="1788" w:hanging="360"/>
      </w:pPr>
    </w:lvl>
    <w:lvl w:ilvl="2" w:tplc="0407001B">
      <w:start w:val="1"/>
      <w:numFmt w:val="lowerRoman"/>
      <w:lvlText w:val="%3."/>
      <w:lvlJc w:val="right"/>
      <w:pPr>
        <w:ind w:left="2508" w:hanging="180"/>
      </w:pPr>
    </w:lvl>
    <w:lvl w:ilvl="3" w:tplc="0407000F">
      <w:start w:val="1"/>
      <w:numFmt w:val="decimal"/>
      <w:lvlText w:val="%4."/>
      <w:lvlJc w:val="left"/>
      <w:pPr>
        <w:ind w:left="3228" w:hanging="360"/>
      </w:pPr>
    </w:lvl>
    <w:lvl w:ilvl="4" w:tplc="04070019">
      <w:start w:val="1"/>
      <w:numFmt w:val="lowerLetter"/>
      <w:lvlText w:val="%5."/>
      <w:lvlJc w:val="left"/>
      <w:pPr>
        <w:ind w:left="3948" w:hanging="360"/>
      </w:pPr>
    </w:lvl>
    <w:lvl w:ilvl="5" w:tplc="0407001B">
      <w:start w:val="1"/>
      <w:numFmt w:val="lowerRoman"/>
      <w:lvlText w:val="%6."/>
      <w:lvlJc w:val="right"/>
      <w:pPr>
        <w:ind w:left="4668" w:hanging="180"/>
      </w:pPr>
    </w:lvl>
    <w:lvl w:ilvl="6" w:tplc="0407000F">
      <w:start w:val="1"/>
      <w:numFmt w:val="decimal"/>
      <w:lvlText w:val="%7."/>
      <w:lvlJc w:val="left"/>
      <w:pPr>
        <w:ind w:left="5388" w:hanging="360"/>
      </w:pPr>
    </w:lvl>
    <w:lvl w:ilvl="7" w:tplc="04070019">
      <w:start w:val="1"/>
      <w:numFmt w:val="lowerLetter"/>
      <w:lvlText w:val="%8."/>
      <w:lvlJc w:val="left"/>
      <w:pPr>
        <w:ind w:left="6108" w:hanging="360"/>
      </w:pPr>
    </w:lvl>
    <w:lvl w:ilvl="8" w:tplc="0407001B">
      <w:start w:val="1"/>
      <w:numFmt w:val="lowerRoman"/>
      <w:lvlText w:val="%9."/>
      <w:lvlJc w:val="right"/>
      <w:pPr>
        <w:ind w:left="6828" w:hanging="180"/>
      </w:pPr>
    </w:lvl>
  </w:abstractNum>
  <w:abstractNum w:abstractNumId="54" w15:restartNumberingAfterBreak="0">
    <w:nsid w:val="5CBE308F"/>
    <w:multiLevelType w:val="hybridMultilevel"/>
    <w:tmpl w:val="41CA3FE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5" w15:restartNumberingAfterBreak="0">
    <w:nsid w:val="5D3F0867"/>
    <w:multiLevelType w:val="hybridMultilevel"/>
    <w:tmpl w:val="EE6E8120"/>
    <w:styleLink w:val="ImportedStyle1"/>
    <w:lvl w:ilvl="0" w:tplc="23C6A964">
      <w:start w:val="1"/>
      <w:numFmt w:val="decimal"/>
      <w:lvlText w:val="%1."/>
      <w:lvlJc w:val="left"/>
      <w:pPr>
        <w:ind w:left="90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DC54282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A4CEF92">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52F2618A">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BC865F2">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55B8FFA2">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948A1D1C">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0FECC94">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F482C558">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6" w15:restartNumberingAfterBreak="0">
    <w:nsid w:val="5F034AE3"/>
    <w:multiLevelType w:val="hybridMultilevel"/>
    <w:tmpl w:val="B756FD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7" w15:restartNumberingAfterBreak="0">
    <w:nsid w:val="6093421E"/>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8" w15:restartNumberingAfterBreak="0">
    <w:nsid w:val="67637F6A"/>
    <w:multiLevelType w:val="multilevel"/>
    <w:tmpl w:val="85CC5FBC"/>
    <w:lvl w:ilvl="0">
      <w:start w:val="3"/>
      <w:numFmt w:val="decimal"/>
      <w:pStyle w:val="HEADING1"/>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9" w15:restartNumberingAfterBreak="0">
    <w:nsid w:val="69DA2BE4"/>
    <w:multiLevelType w:val="hybridMultilevel"/>
    <w:tmpl w:val="EE7A57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B4B5805"/>
    <w:multiLevelType w:val="hybridMultilevel"/>
    <w:tmpl w:val="5C627ED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1" w15:restartNumberingAfterBreak="0">
    <w:nsid w:val="6B6D78A9"/>
    <w:multiLevelType w:val="hybridMultilevel"/>
    <w:tmpl w:val="DB64160A"/>
    <w:lvl w:ilvl="0" w:tplc="FE0E022E">
      <w:start w:val="3"/>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2" w15:restartNumberingAfterBreak="0">
    <w:nsid w:val="6C1771FC"/>
    <w:multiLevelType w:val="hybridMultilevel"/>
    <w:tmpl w:val="50DEC34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3" w15:restartNumberingAfterBreak="0">
    <w:nsid w:val="6D0C0CFA"/>
    <w:multiLevelType w:val="hybridMultilevel"/>
    <w:tmpl w:val="FFFFFFFF"/>
    <w:lvl w:ilvl="0" w:tplc="0AA6F736">
      <w:start w:val="1"/>
      <w:numFmt w:val="bullet"/>
      <w:lvlText w:val=""/>
      <w:lvlJc w:val="left"/>
      <w:pPr>
        <w:ind w:left="720" w:hanging="360"/>
      </w:pPr>
      <w:rPr>
        <w:rFonts w:ascii="Symbol" w:hAnsi="Symbol" w:hint="default"/>
      </w:rPr>
    </w:lvl>
    <w:lvl w:ilvl="1" w:tplc="86EEDB10">
      <w:start w:val="1"/>
      <w:numFmt w:val="bullet"/>
      <w:lvlText w:val="o"/>
      <w:lvlJc w:val="left"/>
      <w:pPr>
        <w:ind w:left="1440" w:hanging="360"/>
      </w:pPr>
      <w:rPr>
        <w:rFonts w:ascii="Courier New" w:hAnsi="Courier New" w:hint="default"/>
      </w:rPr>
    </w:lvl>
    <w:lvl w:ilvl="2" w:tplc="A2D41F78">
      <w:start w:val="1"/>
      <w:numFmt w:val="bullet"/>
      <w:lvlText w:val=""/>
      <w:lvlJc w:val="left"/>
      <w:pPr>
        <w:ind w:left="2160" w:hanging="360"/>
      </w:pPr>
      <w:rPr>
        <w:rFonts w:ascii="Wingdings" w:hAnsi="Wingdings" w:hint="default"/>
      </w:rPr>
    </w:lvl>
    <w:lvl w:ilvl="3" w:tplc="88EC6432">
      <w:start w:val="1"/>
      <w:numFmt w:val="bullet"/>
      <w:lvlText w:val=""/>
      <w:lvlJc w:val="left"/>
      <w:pPr>
        <w:ind w:left="2880" w:hanging="360"/>
      </w:pPr>
      <w:rPr>
        <w:rFonts w:ascii="Symbol" w:hAnsi="Symbol" w:hint="default"/>
      </w:rPr>
    </w:lvl>
    <w:lvl w:ilvl="4" w:tplc="44BE9584">
      <w:start w:val="1"/>
      <w:numFmt w:val="bullet"/>
      <w:lvlText w:val="o"/>
      <w:lvlJc w:val="left"/>
      <w:pPr>
        <w:ind w:left="3600" w:hanging="360"/>
      </w:pPr>
      <w:rPr>
        <w:rFonts w:ascii="Courier New" w:hAnsi="Courier New" w:hint="default"/>
      </w:rPr>
    </w:lvl>
    <w:lvl w:ilvl="5" w:tplc="8C541A88">
      <w:start w:val="1"/>
      <w:numFmt w:val="bullet"/>
      <w:lvlText w:val=""/>
      <w:lvlJc w:val="left"/>
      <w:pPr>
        <w:ind w:left="4320" w:hanging="360"/>
      </w:pPr>
      <w:rPr>
        <w:rFonts w:ascii="Wingdings" w:hAnsi="Wingdings" w:hint="default"/>
      </w:rPr>
    </w:lvl>
    <w:lvl w:ilvl="6" w:tplc="173A5A74">
      <w:start w:val="1"/>
      <w:numFmt w:val="bullet"/>
      <w:lvlText w:val=""/>
      <w:lvlJc w:val="left"/>
      <w:pPr>
        <w:ind w:left="5040" w:hanging="360"/>
      </w:pPr>
      <w:rPr>
        <w:rFonts w:ascii="Symbol" w:hAnsi="Symbol" w:hint="default"/>
      </w:rPr>
    </w:lvl>
    <w:lvl w:ilvl="7" w:tplc="77CC3880">
      <w:start w:val="1"/>
      <w:numFmt w:val="bullet"/>
      <w:lvlText w:val="o"/>
      <w:lvlJc w:val="left"/>
      <w:pPr>
        <w:ind w:left="5760" w:hanging="360"/>
      </w:pPr>
      <w:rPr>
        <w:rFonts w:ascii="Courier New" w:hAnsi="Courier New" w:hint="default"/>
      </w:rPr>
    </w:lvl>
    <w:lvl w:ilvl="8" w:tplc="D0921282">
      <w:start w:val="1"/>
      <w:numFmt w:val="bullet"/>
      <w:lvlText w:val=""/>
      <w:lvlJc w:val="left"/>
      <w:pPr>
        <w:ind w:left="6480" w:hanging="360"/>
      </w:pPr>
      <w:rPr>
        <w:rFonts w:ascii="Wingdings" w:hAnsi="Wingdings" w:hint="default"/>
      </w:rPr>
    </w:lvl>
  </w:abstractNum>
  <w:abstractNum w:abstractNumId="64" w15:restartNumberingAfterBreak="0">
    <w:nsid w:val="6D0F18A0"/>
    <w:multiLevelType w:val="hybridMultilevel"/>
    <w:tmpl w:val="5D9E096A"/>
    <w:lvl w:ilvl="0" w:tplc="276CC586">
      <w:start w:val="1"/>
      <w:numFmt w:val="upp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5" w15:restartNumberingAfterBreak="0">
    <w:nsid w:val="6DB6331D"/>
    <w:multiLevelType w:val="multilevel"/>
    <w:tmpl w:val="487AE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15:restartNumberingAfterBreak="0">
    <w:nsid w:val="6F22316E"/>
    <w:multiLevelType w:val="hybridMultilevel"/>
    <w:tmpl w:val="9984C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70DD2AD0"/>
    <w:multiLevelType w:val="hybridMultilevel"/>
    <w:tmpl w:val="5EB007C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8" w15:restartNumberingAfterBreak="0">
    <w:nsid w:val="710B769C"/>
    <w:multiLevelType w:val="hybridMultilevel"/>
    <w:tmpl w:val="6A7806AC"/>
    <w:lvl w:ilvl="0" w:tplc="FFFFFFFF">
      <w:start w:val="1"/>
      <w:numFmt w:val="bullet"/>
      <w:lvlText w:val="·"/>
      <w:lvlJc w:val="left"/>
      <w:pPr>
        <w:ind w:left="873" w:hanging="360"/>
      </w:pPr>
      <w:rPr>
        <w:rFonts w:ascii="Symbol" w:hAnsi="Symbol" w:hint="default"/>
      </w:rPr>
    </w:lvl>
    <w:lvl w:ilvl="1" w:tplc="18090003" w:tentative="1">
      <w:start w:val="1"/>
      <w:numFmt w:val="bullet"/>
      <w:lvlText w:val="o"/>
      <w:lvlJc w:val="left"/>
      <w:pPr>
        <w:ind w:left="1593" w:hanging="360"/>
      </w:pPr>
      <w:rPr>
        <w:rFonts w:ascii="Courier New" w:hAnsi="Courier New" w:cs="Courier New" w:hint="default"/>
      </w:rPr>
    </w:lvl>
    <w:lvl w:ilvl="2" w:tplc="18090005" w:tentative="1">
      <w:start w:val="1"/>
      <w:numFmt w:val="bullet"/>
      <w:lvlText w:val=""/>
      <w:lvlJc w:val="left"/>
      <w:pPr>
        <w:ind w:left="2313" w:hanging="360"/>
      </w:pPr>
      <w:rPr>
        <w:rFonts w:ascii="Wingdings" w:hAnsi="Wingdings" w:hint="default"/>
      </w:rPr>
    </w:lvl>
    <w:lvl w:ilvl="3" w:tplc="18090001" w:tentative="1">
      <w:start w:val="1"/>
      <w:numFmt w:val="bullet"/>
      <w:lvlText w:val=""/>
      <w:lvlJc w:val="left"/>
      <w:pPr>
        <w:ind w:left="3033" w:hanging="360"/>
      </w:pPr>
      <w:rPr>
        <w:rFonts w:ascii="Symbol" w:hAnsi="Symbol" w:hint="default"/>
      </w:rPr>
    </w:lvl>
    <w:lvl w:ilvl="4" w:tplc="18090003" w:tentative="1">
      <w:start w:val="1"/>
      <w:numFmt w:val="bullet"/>
      <w:lvlText w:val="o"/>
      <w:lvlJc w:val="left"/>
      <w:pPr>
        <w:ind w:left="3753" w:hanging="360"/>
      </w:pPr>
      <w:rPr>
        <w:rFonts w:ascii="Courier New" w:hAnsi="Courier New" w:cs="Courier New" w:hint="default"/>
      </w:rPr>
    </w:lvl>
    <w:lvl w:ilvl="5" w:tplc="18090005" w:tentative="1">
      <w:start w:val="1"/>
      <w:numFmt w:val="bullet"/>
      <w:lvlText w:val=""/>
      <w:lvlJc w:val="left"/>
      <w:pPr>
        <w:ind w:left="4473" w:hanging="360"/>
      </w:pPr>
      <w:rPr>
        <w:rFonts w:ascii="Wingdings" w:hAnsi="Wingdings" w:hint="default"/>
      </w:rPr>
    </w:lvl>
    <w:lvl w:ilvl="6" w:tplc="18090001" w:tentative="1">
      <w:start w:val="1"/>
      <w:numFmt w:val="bullet"/>
      <w:lvlText w:val=""/>
      <w:lvlJc w:val="left"/>
      <w:pPr>
        <w:ind w:left="5193" w:hanging="360"/>
      </w:pPr>
      <w:rPr>
        <w:rFonts w:ascii="Symbol" w:hAnsi="Symbol" w:hint="default"/>
      </w:rPr>
    </w:lvl>
    <w:lvl w:ilvl="7" w:tplc="18090003" w:tentative="1">
      <w:start w:val="1"/>
      <w:numFmt w:val="bullet"/>
      <w:lvlText w:val="o"/>
      <w:lvlJc w:val="left"/>
      <w:pPr>
        <w:ind w:left="5913" w:hanging="360"/>
      </w:pPr>
      <w:rPr>
        <w:rFonts w:ascii="Courier New" w:hAnsi="Courier New" w:cs="Courier New" w:hint="default"/>
      </w:rPr>
    </w:lvl>
    <w:lvl w:ilvl="8" w:tplc="18090005" w:tentative="1">
      <w:start w:val="1"/>
      <w:numFmt w:val="bullet"/>
      <w:lvlText w:val=""/>
      <w:lvlJc w:val="left"/>
      <w:pPr>
        <w:ind w:left="6633" w:hanging="360"/>
      </w:pPr>
      <w:rPr>
        <w:rFonts w:ascii="Wingdings" w:hAnsi="Wingdings" w:hint="default"/>
      </w:rPr>
    </w:lvl>
  </w:abstractNum>
  <w:abstractNum w:abstractNumId="69" w15:restartNumberingAfterBreak="0">
    <w:nsid w:val="730A1AED"/>
    <w:multiLevelType w:val="hybridMultilevel"/>
    <w:tmpl w:val="58E85428"/>
    <w:lvl w:ilvl="0" w:tplc="152814EE">
      <w:start w:val="1"/>
      <w:numFmt w:val="bullet"/>
      <w:lvlText w:val=""/>
      <w:lvlJc w:val="left"/>
      <w:pPr>
        <w:ind w:left="1020" w:hanging="360"/>
      </w:pPr>
      <w:rPr>
        <w:rFonts w:ascii="Symbol" w:hAnsi="Symbol"/>
      </w:rPr>
    </w:lvl>
    <w:lvl w:ilvl="1" w:tplc="491C1F44">
      <w:start w:val="1"/>
      <w:numFmt w:val="bullet"/>
      <w:lvlText w:val=""/>
      <w:lvlJc w:val="left"/>
      <w:pPr>
        <w:ind w:left="1020" w:hanging="360"/>
      </w:pPr>
      <w:rPr>
        <w:rFonts w:ascii="Symbol" w:hAnsi="Symbol"/>
      </w:rPr>
    </w:lvl>
    <w:lvl w:ilvl="2" w:tplc="BF720370">
      <w:start w:val="1"/>
      <w:numFmt w:val="bullet"/>
      <w:lvlText w:val=""/>
      <w:lvlJc w:val="left"/>
      <w:pPr>
        <w:ind w:left="1020" w:hanging="360"/>
      </w:pPr>
      <w:rPr>
        <w:rFonts w:ascii="Symbol" w:hAnsi="Symbol"/>
      </w:rPr>
    </w:lvl>
    <w:lvl w:ilvl="3" w:tplc="37F64056">
      <w:start w:val="1"/>
      <w:numFmt w:val="bullet"/>
      <w:lvlText w:val=""/>
      <w:lvlJc w:val="left"/>
      <w:pPr>
        <w:ind w:left="1020" w:hanging="360"/>
      </w:pPr>
      <w:rPr>
        <w:rFonts w:ascii="Symbol" w:hAnsi="Symbol"/>
      </w:rPr>
    </w:lvl>
    <w:lvl w:ilvl="4" w:tplc="7EBEBEA2">
      <w:start w:val="1"/>
      <w:numFmt w:val="bullet"/>
      <w:lvlText w:val=""/>
      <w:lvlJc w:val="left"/>
      <w:pPr>
        <w:ind w:left="1020" w:hanging="360"/>
      </w:pPr>
      <w:rPr>
        <w:rFonts w:ascii="Symbol" w:hAnsi="Symbol"/>
      </w:rPr>
    </w:lvl>
    <w:lvl w:ilvl="5" w:tplc="F59CEF80">
      <w:start w:val="1"/>
      <w:numFmt w:val="bullet"/>
      <w:lvlText w:val=""/>
      <w:lvlJc w:val="left"/>
      <w:pPr>
        <w:ind w:left="1020" w:hanging="360"/>
      </w:pPr>
      <w:rPr>
        <w:rFonts w:ascii="Symbol" w:hAnsi="Symbol"/>
      </w:rPr>
    </w:lvl>
    <w:lvl w:ilvl="6" w:tplc="AF0C0698">
      <w:start w:val="1"/>
      <w:numFmt w:val="bullet"/>
      <w:lvlText w:val=""/>
      <w:lvlJc w:val="left"/>
      <w:pPr>
        <w:ind w:left="1020" w:hanging="360"/>
      </w:pPr>
      <w:rPr>
        <w:rFonts w:ascii="Symbol" w:hAnsi="Symbol"/>
      </w:rPr>
    </w:lvl>
    <w:lvl w:ilvl="7" w:tplc="577CC498">
      <w:start w:val="1"/>
      <w:numFmt w:val="bullet"/>
      <w:lvlText w:val=""/>
      <w:lvlJc w:val="left"/>
      <w:pPr>
        <w:ind w:left="1020" w:hanging="360"/>
      </w:pPr>
      <w:rPr>
        <w:rFonts w:ascii="Symbol" w:hAnsi="Symbol"/>
      </w:rPr>
    </w:lvl>
    <w:lvl w:ilvl="8" w:tplc="6F966312">
      <w:start w:val="1"/>
      <w:numFmt w:val="bullet"/>
      <w:lvlText w:val=""/>
      <w:lvlJc w:val="left"/>
      <w:pPr>
        <w:ind w:left="1020" w:hanging="360"/>
      </w:pPr>
      <w:rPr>
        <w:rFonts w:ascii="Symbol" w:hAnsi="Symbol"/>
      </w:rPr>
    </w:lvl>
  </w:abstractNum>
  <w:abstractNum w:abstractNumId="70" w15:restartNumberingAfterBreak="0">
    <w:nsid w:val="76A15306"/>
    <w:multiLevelType w:val="multilevel"/>
    <w:tmpl w:val="32E2759E"/>
    <w:name w:val="List Number 1__1"/>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1" w15:restartNumberingAfterBreak="0">
    <w:nsid w:val="777928E6"/>
    <w:multiLevelType w:val="hybridMultilevel"/>
    <w:tmpl w:val="6D860A6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2" w15:restartNumberingAfterBreak="0">
    <w:nsid w:val="79093E36"/>
    <w:multiLevelType w:val="hybridMultilevel"/>
    <w:tmpl w:val="EF726E66"/>
    <w:lvl w:ilvl="0" w:tplc="B5C844B2">
      <w:start w:val="1"/>
      <w:numFmt w:val="bullet"/>
      <w:lvlText w:val="·"/>
      <w:lvlJc w:val="left"/>
      <w:pPr>
        <w:ind w:left="360" w:hanging="360"/>
      </w:pPr>
      <w:rPr>
        <w:rFonts w:ascii="Symbol" w:hAnsi="Symbol" w:hint="default"/>
      </w:rPr>
    </w:lvl>
    <w:lvl w:ilvl="1" w:tplc="E4ECC48C">
      <w:start w:val="1"/>
      <w:numFmt w:val="bullet"/>
      <w:lvlText w:val="o"/>
      <w:lvlJc w:val="left"/>
      <w:pPr>
        <w:ind w:left="1080" w:hanging="360"/>
      </w:pPr>
      <w:rPr>
        <w:rFonts w:ascii="Courier New" w:hAnsi="Courier New" w:hint="default"/>
      </w:rPr>
    </w:lvl>
    <w:lvl w:ilvl="2" w:tplc="BEB83532">
      <w:start w:val="1"/>
      <w:numFmt w:val="bullet"/>
      <w:lvlText w:val=""/>
      <w:lvlJc w:val="left"/>
      <w:pPr>
        <w:ind w:left="1800" w:hanging="360"/>
      </w:pPr>
      <w:rPr>
        <w:rFonts w:ascii="Wingdings" w:hAnsi="Wingdings" w:hint="default"/>
      </w:rPr>
    </w:lvl>
    <w:lvl w:ilvl="3" w:tplc="104EF406">
      <w:start w:val="1"/>
      <w:numFmt w:val="bullet"/>
      <w:lvlText w:val=""/>
      <w:lvlJc w:val="left"/>
      <w:pPr>
        <w:ind w:left="2520" w:hanging="360"/>
      </w:pPr>
      <w:rPr>
        <w:rFonts w:ascii="Symbol" w:hAnsi="Symbol" w:hint="default"/>
      </w:rPr>
    </w:lvl>
    <w:lvl w:ilvl="4" w:tplc="249847CC">
      <w:start w:val="1"/>
      <w:numFmt w:val="bullet"/>
      <w:lvlText w:val="o"/>
      <w:lvlJc w:val="left"/>
      <w:pPr>
        <w:ind w:left="3240" w:hanging="360"/>
      </w:pPr>
      <w:rPr>
        <w:rFonts w:ascii="Courier New" w:hAnsi="Courier New" w:hint="default"/>
      </w:rPr>
    </w:lvl>
    <w:lvl w:ilvl="5" w:tplc="E8301606">
      <w:start w:val="1"/>
      <w:numFmt w:val="bullet"/>
      <w:lvlText w:val=""/>
      <w:lvlJc w:val="left"/>
      <w:pPr>
        <w:ind w:left="3960" w:hanging="360"/>
      </w:pPr>
      <w:rPr>
        <w:rFonts w:ascii="Wingdings" w:hAnsi="Wingdings" w:hint="default"/>
      </w:rPr>
    </w:lvl>
    <w:lvl w:ilvl="6" w:tplc="2FDEA288">
      <w:start w:val="1"/>
      <w:numFmt w:val="bullet"/>
      <w:lvlText w:val=""/>
      <w:lvlJc w:val="left"/>
      <w:pPr>
        <w:ind w:left="4680" w:hanging="360"/>
      </w:pPr>
      <w:rPr>
        <w:rFonts w:ascii="Symbol" w:hAnsi="Symbol" w:hint="default"/>
      </w:rPr>
    </w:lvl>
    <w:lvl w:ilvl="7" w:tplc="E24AF150">
      <w:start w:val="1"/>
      <w:numFmt w:val="bullet"/>
      <w:lvlText w:val="o"/>
      <w:lvlJc w:val="left"/>
      <w:pPr>
        <w:ind w:left="5400" w:hanging="360"/>
      </w:pPr>
      <w:rPr>
        <w:rFonts w:ascii="Courier New" w:hAnsi="Courier New" w:hint="default"/>
      </w:rPr>
    </w:lvl>
    <w:lvl w:ilvl="8" w:tplc="0F62A422">
      <w:start w:val="1"/>
      <w:numFmt w:val="bullet"/>
      <w:lvlText w:val=""/>
      <w:lvlJc w:val="left"/>
      <w:pPr>
        <w:ind w:left="6120" w:hanging="360"/>
      </w:pPr>
      <w:rPr>
        <w:rFonts w:ascii="Wingdings" w:hAnsi="Wingdings" w:hint="default"/>
      </w:rPr>
    </w:lvl>
  </w:abstractNum>
  <w:abstractNum w:abstractNumId="73" w15:restartNumberingAfterBreak="0">
    <w:nsid w:val="7C27367A"/>
    <w:multiLevelType w:val="hybridMultilevel"/>
    <w:tmpl w:val="40D4693C"/>
    <w:lvl w:ilvl="0" w:tplc="FFFFFFFF">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7EC519F3"/>
    <w:multiLevelType w:val="hybridMultilevel"/>
    <w:tmpl w:val="40D4693C"/>
    <w:lvl w:ilvl="0" w:tplc="88780C2E">
      <w:start w:val="1"/>
      <w:numFmt w:val="decimal"/>
      <w:lvlText w:val="%1)"/>
      <w:lvlJc w:val="left"/>
      <w:pPr>
        <w:ind w:left="720" w:hanging="360"/>
      </w:pPr>
      <w:rPr>
        <w:rFonts w:hint="default"/>
        <w:b/>
        <w:bCs/>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35"/>
  </w:num>
  <w:num w:numId="2">
    <w:abstractNumId w:val="18"/>
  </w:num>
  <w:num w:numId="3">
    <w:abstractNumId w:val="3"/>
  </w:num>
  <w:num w:numId="4">
    <w:abstractNumId w:val="13"/>
  </w:num>
  <w:num w:numId="5">
    <w:abstractNumId w:val="20"/>
  </w:num>
  <w:num w:numId="6">
    <w:abstractNumId w:val="17"/>
  </w:num>
  <w:num w:numId="7">
    <w:abstractNumId w:val="26"/>
  </w:num>
  <w:num w:numId="8">
    <w:abstractNumId w:val="72"/>
  </w:num>
  <w:num w:numId="9">
    <w:abstractNumId w:val="31"/>
  </w:num>
  <w:num w:numId="10">
    <w:abstractNumId w:val="16"/>
  </w:num>
  <w:num w:numId="11">
    <w:abstractNumId w:val="58"/>
  </w:num>
  <w:num w:numId="12">
    <w:abstractNumId w:val="52"/>
  </w:num>
  <w:num w:numId="13">
    <w:abstractNumId w:val="45"/>
  </w:num>
  <w:num w:numId="14">
    <w:abstractNumId w:val="28"/>
    <w:lvlOverride w:ilvl="0">
      <w:startOverride w:val="1"/>
    </w:lvlOverride>
    <w:lvlOverride w:ilvl="1">
      <w:startOverride w:val="1"/>
    </w:lvlOverride>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num>
  <w:num w:numId="16">
    <w:abstractNumId w:val="70"/>
  </w:num>
  <w:num w:numId="17">
    <w:abstractNumId w:val="0"/>
  </w:num>
  <w:num w:numId="18">
    <w:abstractNumId w:val="1"/>
  </w:num>
  <w:num w:numId="19">
    <w:abstractNumId w:val="51"/>
  </w:num>
  <w:num w:numId="20">
    <w:abstractNumId w:val="36"/>
  </w:num>
  <w:num w:numId="21">
    <w:abstractNumId w:val="54"/>
  </w:num>
  <w:num w:numId="22">
    <w:abstractNumId w:val="68"/>
  </w:num>
  <w:num w:numId="23">
    <w:abstractNumId w:val="55"/>
  </w:num>
  <w:num w:numId="24">
    <w:abstractNumId w:val="23"/>
  </w:num>
  <w:num w:numId="25">
    <w:abstractNumId w:val="22"/>
  </w:num>
  <w:num w:numId="26">
    <w:abstractNumId w:val="7"/>
  </w:num>
  <w:num w:numId="27">
    <w:abstractNumId w:val="40"/>
  </w:num>
  <w:num w:numId="28">
    <w:abstractNumId w:val="32"/>
  </w:num>
  <w:num w:numId="29">
    <w:abstractNumId w:val="4"/>
  </w:num>
  <w:num w:numId="30">
    <w:abstractNumId w:val="62"/>
  </w:num>
  <w:num w:numId="31">
    <w:abstractNumId w:val="25"/>
  </w:num>
  <w:num w:numId="32">
    <w:abstractNumId w:val="39"/>
  </w:num>
  <w:num w:numId="33">
    <w:abstractNumId w:val="47"/>
  </w:num>
  <w:num w:numId="34">
    <w:abstractNumId w:val="59"/>
  </w:num>
  <w:num w:numId="35">
    <w:abstractNumId w:val="11"/>
  </w:num>
  <w:num w:numId="36">
    <w:abstractNumId w:val="41"/>
  </w:num>
  <w:num w:numId="37">
    <w:abstractNumId w:val="42"/>
  </w:num>
  <w:num w:numId="38">
    <w:abstractNumId w:val="71"/>
  </w:num>
  <w:num w:numId="39">
    <w:abstractNumId w:val="43"/>
  </w:num>
  <w:num w:numId="40">
    <w:abstractNumId w:val="67"/>
  </w:num>
  <w:num w:numId="41">
    <w:abstractNumId w:val="8"/>
  </w:num>
  <w:num w:numId="42">
    <w:abstractNumId w:val="4"/>
  </w:num>
  <w:num w:numId="43">
    <w:abstractNumId w:val="61"/>
  </w:num>
  <w:num w:numId="44">
    <w:abstractNumId w:val="21"/>
  </w:num>
  <w:num w:numId="45">
    <w:abstractNumId w:val="50"/>
  </w:num>
  <w:num w:numId="46">
    <w:abstractNumId w:val="33"/>
  </w:num>
  <w:num w:numId="47">
    <w:abstractNumId w:val="64"/>
  </w:num>
  <w:num w:numId="48">
    <w:abstractNumId w:val="29"/>
  </w:num>
  <w:num w:numId="49">
    <w:abstractNumId w:val="10"/>
  </w:num>
  <w:num w:numId="50">
    <w:abstractNumId w:val="5"/>
  </w:num>
  <w:num w:numId="51">
    <w:abstractNumId w:val="38"/>
  </w:num>
  <w:num w:numId="52">
    <w:abstractNumId w:val="48"/>
  </w:num>
  <w:num w:numId="53">
    <w:abstractNumId w:val="44"/>
  </w:num>
  <w:num w:numId="54">
    <w:abstractNumId w:val="27"/>
  </w:num>
  <w:num w:numId="55">
    <w:abstractNumId w:val="16"/>
  </w:num>
  <w:num w:numId="56">
    <w:abstractNumId w:val="14"/>
  </w:num>
  <w:num w:numId="57">
    <w:abstractNumId w:val="30"/>
  </w:num>
  <w:num w:numId="58">
    <w:abstractNumId w:val="60"/>
  </w:num>
  <w:num w:numId="59">
    <w:abstractNumId w:val="63"/>
  </w:num>
  <w:num w:numId="60">
    <w:abstractNumId w:val="49"/>
  </w:num>
  <w:num w:numId="61">
    <w:abstractNumId w:val="9"/>
  </w:num>
  <w:num w:numId="62">
    <w:abstractNumId w:val="66"/>
  </w:num>
  <w:num w:numId="63">
    <w:abstractNumId w:val="58"/>
  </w:num>
  <w:num w:numId="64">
    <w:abstractNumId w:val="34"/>
  </w:num>
  <w:num w:numId="65">
    <w:abstractNumId w:val="37"/>
  </w:num>
  <w:num w:numId="66">
    <w:abstractNumId w:val="58"/>
  </w:num>
  <w:num w:numId="67">
    <w:abstractNumId w:val="19"/>
  </w:num>
  <w:num w:numId="68">
    <w:abstractNumId w:val="69"/>
  </w:num>
  <w:num w:numId="69">
    <w:abstractNumId w:val="15"/>
  </w:num>
  <w:num w:numId="70">
    <w:abstractNumId w:val="72"/>
  </w:num>
  <w:num w:numId="71">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5"/>
  </w:num>
  <w:num w:numId="73">
    <w:abstractNumId w:val="74"/>
  </w:num>
  <w:num w:numId="74">
    <w:abstractNumId w:val="57"/>
  </w:num>
  <w:num w:numId="75">
    <w:abstractNumId w:val="24"/>
  </w:num>
  <w:num w:numId="76">
    <w:abstractNumId w:val="73"/>
  </w:num>
  <w:num w:numId="77">
    <w:abstractNumId w:val="12"/>
  </w:num>
  <w:num w:numId="78">
    <w:abstractNumId w:val="56"/>
  </w:num>
  <w:num w:numId="79">
    <w:abstractNumId w:val="46"/>
  </w:num>
  <w:num w:numId="80">
    <w:abstractNumId w:val="6"/>
  </w:num>
  <w:num w:numId="81">
    <w:abstractNumId w:val="12"/>
  </w:num>
  <w:numIdMacAtCleanup w:val="7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D4BB216-C697-412A-AF3B-DA35FB5B39DB"/>
    <w:docVar w:name="LW_COVERPAGE_TYPE" w:val="1"/>
    <w:docVar w:name="LW_CROSSREFERENCE" w:val="&lt;UNUSED&gt;"/>
    <w:docVar w:name="LW_DocType" w:val="NORMAL"/>
    <w:docVar w:name="LW_EMISSION" w:val="28.5.2025"/>
    <w:docVar w:name="LW_EMISSION_ISODATE" w:val="2025-05-28"/>
    <w:docVar w:name="LW_EMISSION_LOCATION" w:val="BRX"/>
    <w:docVar w:name="LW_EMISSION_PREFIX" w:val="Bruxelles, le "/>
    <w:docVar w:name="LW_EMISSION_SUFFIX" w:val=" "/>
    <w:docVar w:name="LW_ID_DOCTYPE_NONLW" w:val="CP-015"/>
    <w:docVar w:name="LW_LANGUE" w:val="FR"/>
    <w:docVar w:name="LW_LEVEL_OF_SENSITIVITY" w:val="Standard treatment"/>
    <w:docVar w:name="LW_NOM.INST" w:val="COMMISSION EUROPÉENNE"/>
    <w:docVar w:name="LW_NOM.INST_JOINTDOC" w:val="LE HAUT REPRÉSENTANT DE_x000b_L'UNION POUR LES AFFAIRES_x000b_ÉTRANGÈRES ET LA_x000b_POLITIQUE DE SÉCURITÉ"/>
    <w:docVar w:name="LW_PART_NBR" w:val="1"/>
    <w:docVar w:name="LW_PART_NBR_TOTAL" w:val="1"/>
    <w:docVar w:name="LW_REF.INST.NEW" w:val="JOIN"/>
    <w:docVar w:name="LW_REF.INST.NEW_ADOPTED" w:val="final"/>
    <w:docVar w:name="LW_REF.INST.NEW_TEXT" w:val="(2025) 13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u8217?approche stratégique de l\u8217?Union européenne à l\u8217?égard de la région de la mer Noire_x000d__x000d__x000b__x000d__x000d__x000b_"/>
    <w:docVar w:name="LW_TYPE.DOC.CP" w:val="COMMUNICATION CONJOINTE AU PARLEMENT EUROPÉEN ET AU CONSEIL"/>
    <w:docVar w:name="LW_TYPE.DOC.CP.USERTEXT" w:val="&lt;EMPTY&gt;"/>
    <w:docVar w:name="LwApiVersions" w:val="LW4CoDe 1.24.5.0; LW 9.0, Build 20240221"/>
  </w:docVars>
  <w:rsids>
    <w:rsidRoot w:val="00483AF2"/>
    <w:rsid w:val="00000225"/>
    <w:rsid w:val="00000447"/>
    <w:rsid w:val="0000065A"/>
    <w:rsid w:val="00000A8C"/>
    <w:rsid w:val="00000AB8"/>
    <w:rsid w:val="00000B9B"/>
    <w:rsid w:val="00000E25"/>
    <w:rsid w:val="00000EE3"/>
    <w:rsid w:val="00000F95"/>
    <w:rsid w:val="00001107"/>
    <w:rsid w:val="000011D4"/>
    <w:rsid w:val="000011E7"/>
    <w:rsid w:val="000014BA"/>
    <w:rsid w:val="0000150B"/>
    <w:rsid w:val="0000163D"/>
    <w:rsid w:val="0000164D"/>
    <w:rsid w:val="00001C7E"/>
    <w:rsid w:val="00001CB1"/>
    <w:rsid w:val="00001CFA"/>
    <w:rsid w:val="00001D96"/>
    <w:rsid w:val="00002101"/>
    <w:rsid w:val="0000233A"/>
    <w:rsid w:val="00002927"/>
    <w:rsid w:val="000029C2"/>
    <w:rsid w:val="00002A23"/>
    <w:rsid w:val="00002E4C"/>
    <w:rsid w:val="00003010"/>
    <w:rsid w:val="000035CC"/>
    <w:rsid w:val="0000371B"/>
    <w:rsid w:val="0000393B"/>
    <w:rsid w:val="00003CD6"/>
    <w:rsid w:val="00003DF8"/>
    <w:rsid w:val="00003EBA"/>
    <w:rsid w:val="00004155"/>
    <w:rsid w:val="000041CE"/>
    <w:rsid w:val="000044BE"/>
    <w:rsid w:val="00004780"/>
    <w:rsid w:val="00004853"/>
    <w:rsid w:val="00004886"/>
    <w:rsid w:val="0000491A"/>
    <w:rsid w:val="00004A15"/>
    <w:rsid w:val="00004A5A"/>
    <w:rsid w:val="00004A9D"/>
    <w:rsid w:val="00004DC5"/>
    <w:rsid w:val="00005076"/>
    <w:rsid w:val="0000509C"/>
    <w:rsid w:val="000051E8"/>
    <w:rsid w:val="0000578E"/>
    <w:rsid w:val="00005793"/>
    <w:rsid w:val="000057C6"/>
    <w:rsid w:val="00005956"/>
    <w:rsid w:val="000059B0"/>
    <w:rsid w:val="00005A1E"/>
    <w:rsid w:val="00005B01"/>
    <w:rsid w:val="00005B7D"/>
    <w:rsid w:val="00005B9A"/>
    <w:rsid w:val="00005DC0"/>
    <w:rsid w:val="00005FCB"/>
    <w:rsid w:val="000062CF"/>
    <w:rsid w:val="00006312"/>
    <w:rsid w:val="000064E2"/>
    <w:rsid w:val="00006532"/>
    <w:rsid w:val="00006613"/>
    <w:rsid w:val="0000668A"/>
    <w:rsid w:val="000066E9"/>
    <w:rsid w:val="000066FC"/>
    <w:rsid w:val="0000691D"/>
    <w:rsid w:val="00006965"/>
    <w:rsid w:val="00006A4C"/>
    <w:rsid w:val="00006A76"/>
    <w:rsid w:val="00006BCA"/>
    <w:rsid w:val="00006C0A"/>
    <w:rsid w:val="00006D2E"/>
    <w:rsid w:val="0000707E"/>
    <w:rsid w:val="00007081"/>
    <w:rsid w:val="000070A2"/>
    <w:rsid w:val="0000745D"/>
    <w:rsid w:val="000074A2"/>
    <w:rsid w:val="000076A3"/>
    <w:rsid w:val="000076C3"/>
    <w:rsid w:val="00007EB0"/>
    <w:rsid w:val="00007EC9"/>
    <w:rsid w:val="0001031F"/>
    <w:rsid w:val="000103B2"/>
    <w:rsid w:val="00010433"/>
    <w:rsid w:val="000104B9"/>
    <w:rsid w:val="000109C8"/>
    <w:rsid w:val="000109F4"/>
    <w:rsid w:val="00011076"/>
    <w:rsid w:val="00011109"/>
    <w:rsid w:val="0001120D"/>
    <w:rsid w:val="00011426"/>
    <w:rsid w:val="0001143E"/>
    <w:rsid w:val="00011838"/>
    <w:rsid w:val="00011A4C"/>
    <w:rsid w:val="00011C29"/>
    <w:rsid w:val="00011CCC"/>
    <w:rsid w:val="0001200B"/>
    <w:rsid w:val="00012140"/>
    <w:rsid w:val="0001223C"/>
    <w:rsid w:val="0001246F"/>
    <w:rsid w:val="000124CD"/>
    <w:rsid w:val="000127A7"/>
    <w:rsid w:val="000129A4"/>
    <w:rsid w:val="00012D90"/>
    <w:rsid w:val="00012F6F"/>
    <w:rsid w:val="00013385"/>
    <w:rsid w:val="000135A7"/>
    <w:rsid w:val="0001366D"/>
    <w:rsid w:val="00013730"/>
    <w:rsid w:val="00013902"/>
    <w:rsid w:val="00013943"/>
    <w:rsid w:val="00013B34"/>
    <w:rsid w:val="00013E2D"/>
    <w:rsid w:val="00013EAD"/>
    <w:rsid w:val="000140B9"/>
    <w:rsid w:val="0001411D"/>
    <w:rsid w:val="00014135"/>
    <w:rsid w:val="00014237"/>
    <w:rsid w:val="0001426F"/>
    <w:rsid w:val="000142CC"/>
    <w:rsid w:val="00014522"/>
    <w:rsid w:val="000147DF"/>
    <w:rsid w:val="000148C1"/>
    <w:rsid w:val="00014B72"/>
    <w:rsid w:val="00014DA6"/>
    <w:rsid w:val="00014F15"/>
    <w:rsid w:val="00014FD5"/>
    <w:rsid w:val="00015391"/>
    <w:rsid w:val="000153E9"/>
    <w:rsid w:val="00015749"/>
    <w:rsid w:val="00015800"/>
    <w:rsid w:val="00015814"/>
    <w:rsid w:val="000159EB"/>
    <w:rsid w:val="00015A52"/>
    <w:rsid w:val="00015A64"/>
    <w:rsid w:val="00015B71"/>
    <w:rsid w:val="00015B75"/>
    <w:rsid w:val="00015C3F"/>
    <w:rsid w:val="00015E99"/>
    <w:rsid w:val="0001610C"/>
    <w:rsid w:val="0001616E"/>
    <w:rsid w:val="000162A8"/>
    <w:rsid w:val="0001645D"/>
    <w:rsid w:val="0001647B"/>
    <w:rsid w:val="000164BA"/>
    <w:rsid w:val="000165AA"/>
    <w:rsid w:val="00016958"/>
    <w:rsid w:val="00016974"/>
    <w:rsid w:val="00016B0B"/>
    <w:rsid w:val="00016B33"/>
    <w:rsid w:val="00016D03"/>
    <w:rsid w:val="00016F60"/>
    <w:rsid w:val="000171B9"/>
    <w:rsid w:val="0001740C"/>
    <w:rsid w:val="00017564"/>
    <w:rsid w:val="00017624"/>
    <w:rsid w:val="00017C0F"/>
    <w:rsid w:val="00017E8C"/>
    <w:rsid w:val="00020067"/>
    <w:rsid w:val="0002032E"/>
    <w:rsid w:val="0002037F"/>
    <w:rsid w:val="00020384"/>
    <w:rsid w:val="000206CB"/>
    <w:rsid w:val="000206FD"/>
    <w:rsid w:val="00020715"/>
    <w:rsid w:val="000207F0"/>
    <w:rsid w:val="00020A6E"/>
    <w:rsid w:val="00020BFB"/>
    <w:rsid w:val="00020C22"/>
    <w:rsid w:val="00020F55"/>
    <w:rsid w:val="0002105C"/>
    <w:rsid w:val="000210AB"/>
    <w:rsid w:val="000210FB"/>
    <w:rsid w:val="0002120A"/>
    <w:rsid w:val="00021341"/>
    <w:rsid w:val="0002139B"/>
    <w:rsid w:val="0002163F"/>
    <w:rsid w:val="00021832"/>
    <w:rsid w:val="000218BA"/>
    <w:rsid w:val="00021965"/>
    <w:rsid w:val="00021A37"/>
    <w:rsid w:val="00021AE9"/>
    <w:rsid w:val="00021CCD"/>
    <w:rsid w:val="00021E8E"/>
    <w:rsid w:val="00022033"/>
    <w:rsid w:val="00022097"/>
    <w:rsid w:val="00022375"/>
    <w:rsid w:val="0002268D"/>
    <w:rsid w:val="000228B4"/>
    <w:rsid w:val="00022A7C"/>
    <w:rsid w:val="00022AC6"/>
    <w:rsid w:val="00022AE5"/>
    <w:rsid w:val="000230CB"/>
    <w:rsid w:val="00023589"/>
    <w:rsid w:val="000236A9"/>
    <w:rsid w:val="000236B9"/>
    <w:rsid w:val="000236DE"/>
    <w:rsid w:val="000239E1"/>
    <w:rsid w:val="00023A33"/>
    <w:rsid w:val="00023BCD"/>
    <w:rsid w:val="00023BE3"/>
    <w:rsid w:val="0002407D"/>
    <w:rsid w:val="0002407F"/>
    <w:rsid w:val="000242BC"/>
    <w:rsid w:val="000246FC"/>
    <w:rsid w:val="0002496B"/>
    <w:rsid w:val="00024A4A"/>
    <w:rsid w:val="00024AB2"/>
    <w:rsid w:val="00024C32"/>
    <w:rsid w:val="00024C64"/>
    <w:rsid w:val="00024EAE"/>
    <w:rsid w:val="00024FD0"/>
    <w:rsid w:val="000252F6"/>
    <w:rsid w:val="00025318"/>
    <w:rsid w:val="00025725"/>
    <w:rsid w:val="00025783"/>
    <w:rsid w:val="00025A4E"/>
    <w:rsid w:val="00025BDF"/>
    <w:rsid w:val="00025C39"/>
    <w:rsid w:val="00025F54"/>
    <w:rsid w:val="000260EA"/>
    <w:rsid w:val="0002693A"/>
    <w:rsid w:val="0002698F"/>
    <w:rsid w:val="00026EBA"/>
    <w:rsid w:val="000270DA"/>
    <w:rsid w:val="00027189"/>
    <w:rsid w:val="000273B9"/>
    <w:rsid w:val="000273EC"/>
    <w:rsid w:val="000274C7"/>
    <w:rsid w:val="0002787B"/>
    <w:rsid w:val="000278A0"/>
    <w:rsid w:val="000278BC"/>
    <w:rsid w:val="000279D0"/>
    <w:rsid w:val="000279F7"/>
    <w:rsid w:val="00027A08"/>
    <w:rsid w:val="00027E5A"/>
    <w:rsid w:val="0003017C"/>
    <w:rsid w:val="00030210"/>
    <w:rsid w:val="00030393"/>
    <w:rsid w:val="000303ED"/>
    <w:rsid w:val="000304DD"/>
    <w:rsid w:val="000305E0"/>
    <w:rsid w:val="00030699"/>
    <w:rsid w:val="00030D7E"/>
    <w:rsid w:val="00030DA6"/>
    <w:rsid w:val="00030DB3"/>
    <w:rsid w:val="00030E78"/>
    <w:rsid w:val="00030F8C"/>
    <w:rsid w:val="00031409"/>
    <w:rsid w:val="00031494"/>
    <w:rsid w:val="000314F5"/>
    <w:rsid w:val="000316AC"/>
    <w:rsid w:val="000316CC"/>
    <w:rsid w:val="00031989"/>
    <w:rsid w:val="00031B0A"/>
    <w:rsid w:val="00031B36"/>
    <w:rsid w:val="00031DAA"/>
    <w:rsid w:val="000320E9"/>
    <w:rsid w:val="00032220"/>
    <w:rsid w:val="000324D2"/>
    <w:rsid w:val="00032DA1"/>
    <w:rsid w:val="00032ECD"/>
    <w:rsid w:val="00033059"/>
    <w:rsid w:val="0003310F"/>
    <w:rsid w:val="0003314F"/>
    <w:rsid w:val="000333E1"/>
    <w:rsid w:val="00033691"/>
    <w:rsid w:val="00033705"/>
    <w:rsid w:val="00033813"/>
    <w:rsid w:val="00033863"/>
    <w:rsid w:val="0003388F"/>
    <w:rsid w:val="00033A19"/>
    <w:rsid w:val="00033E46"/>
    <w:rsid w:val="00033E52"/>
    <w:rsid w:val="00033EAD"/>
    <w:rsid w:val="00034112"/>
    <w:rsid w:val="000342DA"/>
    <w:rsid w:val="000343E7"/>
    <w:rsid w:val="0003449F"/>
    <w:rsid w:val="00034662"/>
    <w:rsid w:val="00034685"/>
    <w:rsid w:val="0003470B"/>
    <w:rsid w:val="00034A00"/>
    <w:rsid w:val="00034A4A"/>
    <w:rsid w:val="00034A70"/>
    <w:rsid w:val="000352A4"/>
    <w:rsid w:val="000354B6"/>
    <w:rsid w:val="00035519"/>
    <w:rsid w:val="00035793"/>
    <w:rsid w:val="00035A23"/>
    <w:rsid w:val="00035A5F"/>
    <w:rsid w:val="00035D2E"/>
    <w:rsid w:val="00036113"/>
    <w:rsid w:val="000361E8"/>
    <w:rsid w:val="000362F0"/>
    <w:rsid w:val="00036823"/>
    <w:rsid w:val="0003698C"/>
    <w:rsid w:val="00036D01"/>
    <w:rsid w:val="00036E5B"/>
    <w:rsid w:val="000378BD"/>
    <w:rsid w:val="000379D9"/>
    <w:rsid w:val="00037B3D"/>
    <w:rsid w:val="00037F3A"/>
    <w:rsid w:val="00040052"/>
    <w:rsid w:val="0004007D"/>
    <w:rsid w:val="00040181"/>
    <w:rsid w:val="00040183"/>
    <w:rsid w:val="000401CE"/>
    <w:rsid w:val="0004064D"/>
    <w:rsid w:val="00040739"/>
    <w:rsid w:val="000408F5"/>
    <w:rsid w:val="000409CC"/>
    <w:rsid w:val="00040AF3"/>
    <w:rsid w:val="00040C2B"/>
    <w:rsid w:val="0004115B"/>
    <w:rsid w:val="00041364"/>
    <w:rsid w:val="00041470"/>
    <w:rsid w:val="00041755"/>
    <w:rsid w:val="00041944"/>
    <w:rsid w:val="00041A18"/>
    <w:rsid w:val="00041B79"/>
    <w:rsid w:val="00041EE4"/>
    <w:rsid w:val="00041F03"/>
    <w:rsid w:val="00042098"/>
    <w:rsid w:val="000420F7"/>
    <w:rsid w:val="00042166"/>
    <w:rsid w:val="0004229E"/>
    <w:rsid w:val="000424A4"/>
    <w:rsid w:val="000424F8"/>
    <w:rsid w:val="0004294D"/>
    <w:rsid w:val="00042AE7"/>
    <w:rsid w:val="00042E38"/>
    <w:rsid w:val="00042EA3"/>
    <w:rsid w:val="0004302C"/>
    <w:rsid w:val="00043097"/>
    <w:rsid w:val="000430F0"/>
    <w:rsid w:val="000431D5"/>
    <w:rsid w:val="0004336A"/>
    <w:rsid w:val="000433F8"/>
    <w:rsid w:val="00043937"/>
    <w:rsid w:val="0004398B"/>
    <w:rsid w:val="00043BB5"/>
    <w:rsid w:val="00043C07"/>
    <w:rsid w:val="00043CB6"/>
    <w:rsid w:val="00043F0E"/>
    <w:rsid w:val="00044117"/>
    <w:rsid w:val="00044152"/>
    <w:rsid w:val="000441A8"/>
    <w:rsid w:val="0004424B"/>
    <w:rsid w:val="000443DD"/>
    <w:rsid w:val="000444D8"/>
    <w:rsid w:val="0004493C"/>
    <w:rsid w:val="000449A6"/>
    <w:rsid w:val="00044F22"/>
    <w:rsid w:val="00044FDF"/>
    <w:rsid w:val="000450EA"/>
    <w:rsid w:val="00045140"/>
    <w:rsid w:val="00045171"/>
    <w:rsid w:val="00045461"/>
    <w:rsid w:val="000456C1"/>
    <w:rsid w:val="0004575C"/>
    <w:rsid w:val="00045934"/>
    <w:rsid w:val="0004597C"/>
    <w:rsid w:val="000459B9"/>
    <w:rsid w:val="00045C56"/>
    <w:rsid w:val="00045DD8"/>
    <w:rsid w:val="00046152"/>
    <w:rsid w:val="0004657F"/>
    <w:rsid w:val="0004659D"/>
    <w:rsid w:val="000465C4"/>
    <w:rsid w:val="00046828"/>
    <w:rsid w:val="000469C0"/>
    <w:rsid w:val="00046E4D"/>
    <w:rsid w:val="00047160"/>
    <w:rsid w:val="000472D3"/>
    <w:rsid w:val="00047374"/>
    <w:rsid w:val="0004771E"/>
    <w:rsid w:val="00047756"/>
    <w:rsid w:val="00047A71"/>
    <w:rsid w:val="00047B69"/>
    <w:rsid w:val="000504B3"/>
    <w:rsid w:val="0005079C"/>
    <w:rsid w:val="00050A49"/>
    <w:rsid w:val="00050ADF"/>
    <w:rsid w:val="00050BC1"/>
    <w:rsid w:val="00050F2A"/>
    <w:rsid w:val="00050F62"/>
    <w:rsid w:val="0005158A"/>
    <w:rsid w:val="0005169B"/>
    <w:rsid w:val="00051779"/>
    <w:rsid w:val="000517F6"/>
    <w:rsid w:val="00051892"/>
    <w:rsid w:val="00051A71"/>
    <w:rsid w:val="00051B5A"/>
    <w:rsid w:val="00051E39"/>
    <w:rsid w:val="00051E65"/>
    <w:rsid w:val="00051E8B"/>
    <w:rsid w:val="0005213A"/>
    <w:rsid w:val="000521F8"/>
    <w:rsid w:val="000522F5"/>
    <w:rsid w:val="00052549"/>
    <w:rsid w:val="000525E1"/>
    <w:rsid w:val="00052613"/>
    <w:rsid w:val="0005284E"/>
    <w:rsid w:val="00052BC5"/>
    <w:rsid w:val="00052D9E"/>
    <w:rsid w:val="00052DAA"/>
    <w:rsid w:val="00052E53"/>
    <w:rsid w:val="00052FE4"/>
    <w:rsid w:val="00053109"/>
    <w:rsid w:val="000531B5"/>
    <w:rsid w:val="000532E4"/>
    <w:rsid w:val="000535B7"/>
    <w:rsid w:val="00053664"/>
    <w:rsid w:val="00053667"/>
    <w:rsid w:val="0005379F"/>
    <w:rsid w:val="000538BA"/>
    <w:rsid w:val="000539A3"/>
    <w:rsid w:val="00053A2C"/>
    <w:rsid w:val="00053DCE"/>
    <w:rsid w:val="00053ED2"/>
    <w:rsid w:val="00053ED3"/>
    <w:rsid w:val="00053F24"/>
    <w:rsid w:val="000540B2"/>
    <w:rsid w:val="00054154"/>
    <w:rsid w:val="00054173"/>
    <w:rsid w:val="00054283"/>
    <w:rsid w:val="00054353"/>
    <w:rsid w:val="00054413"/>
    <w:rsid w:val="00054415"/>
    <w:rsid w:val="000544A6"/>
    <w:rsid w:val="000547F7"/>
    <w:rsid w:val="00054BD7"/>
    <w:rsid w:val="00054BF9"/>
    <w:rsid w:val="00054F15"/>
    <w:rsid w:val="000553E8"/>
    <w:rsid w:val="000553EC"/>
    <w:rsid w:val="0005543B"/>
    <w:rsid w:val="000556CD"/>
    <w:rsid w:val="00055728"/>
    <w:rsid w:val="00055778"/>
    <w:rsid w:val="00055948"/>
    <w:rsid w:val="00055B9C"/>
    <w:rsid w:val="00055CA4"/>
    <w:rsid w:val="00055D77"/>
    <w:rsid w:val="00055E9D"/>
    <w:rsid w:val="00055EE3"/>
    <w:rsid w:val="00056088"/>
    <w:rsid w:val="000561F0"/>
    <w:rsid w:val="00056296"/>
    <w:rsid w:val="000562D9"/>
    <w:rsid w:val="000565B2"/>
    <w:rsid w:val="00056692"/>
    <w:rsid w:val="00056CF9"/>
    <w:rsid w:val="00056FF8"/>
    <w:rsid w:val="00057082"/>
    <w:rsid w:val="000570CA"/>
    <w:rsid w:val="000571D8"/>
    <w:rsid w:val="00057254"/>
    <w:rsid w:val="000572C8"/>
    <w:rsid w:val="0005745B"/>
    <w:rsid w:val="000574A8"/>
    <w:rsid w:val="000574F7"/>
    <w:rsid w:val="00057885"/>
    <w:rsid w:val="0005789D"/>
    <w:rsid w:val="00057A35"/>
    <w:rsid w:val="00057A41"/>
    <w:rsid w:val="00057BD6"/>
    <w:rsid w:val="00057E09"/>
    <w:rsid w:val="00060023"/>
    <w:rsid w:val="000600F7"/>
    <w:rsid w:val="0006044D"/>
    <w:rsid w:val="00060519"/>
    <w:rsid w:val="000605CC"/>
    <w:rsid w:val="00060738"/>
    <w:rsid w:val="00060D41"/>
    <w:rsid w:val="0006101E"/>
    <w:rsid w:val="000615D7"/>
    <w:rsid w:val="00061740"/>
    <w:rsid w:val="000617B2"/>
    <w:rsid w:val="00061EA2"/>
    <w:rsid w:val="000620EB"/>
    <w:rsid w:val="00062500"/>
    <w:rsid w:val="00062528"/>
    <w:rsid w:val="00062701"/>
    <w:rsid w:val="0006282E"/>
    <w:rsid w:val="00062885"/>
    <w:rsid w:val="00062974"/>
    <w:rsid w:val="00062C44"/>
    <w:rsid w:val="00062F71"/>
    <w:rsid w:val="00063233"/>
    <w:rsid w:val="00063265"/>
    <w:rsid w:val="00063367"/>
    <w:rsid w:val="0006336D"/>
    <w:rsid w:val="0006352E"/>
    <w:rsid w:val="00063588"/>
    <w:rsid w:val="00063958"/>
    <w:rsid w:val="000639F1"/>
    <w:rsid w:val="00063A82"/>
    <w:rsid w:val="00063AE6"/>
    <w:rsid w:val="0006400C"/>
    <w:rsid w:val="000640CB"/>
    <w:rsid w:val="0006428E"/>
    <w:rsid w:val="0006430C"/>
    <w:rsid w:val="0006462C"/>
    <w:rsid w:val="00064928"/>
    <w:rsid w:val="00064A66"/>
    <w:rsid w:val="00064B61"/>
    <w:rsid w:val="00064B9C"/>
    <w:rsid w:val="00064C08"/>
    <w:rsid w:val="00064DCF"/>
    <w:rsid w:val="000652B0"/>
    <w:rsid w:val="000652CC"/>
    <w:rsid w:val="000653D0"/>
    <w:rsid w:val="00065459"/>
    <w:rsid w:val="00065564"/>
    <w:rsid w:val="0006559E"/>
    <w:rsid w:val="00065715"/>
    <w:rsid w:val="00065AAA"/>
    <w:rsid w:val="00065B9A"/>
    <w:rsid w:val="00065FFA"/>
    <w:rsid w:val="000660DA"/>
    <w:rsid w:val="00066133"/>
    <w:rsid w:val="0006623A"/>
    <w:rsid w:val="00066315"/>
    <w:rsid w:val="000666AB"/>
    <w:rsid w:val="00066752"/>
    <w:rsid w:val="000668D4"/>
    <w:rsid w:val="00066970"/>
    <w:rsid w:val="00066A0C"/>
    <w:rsid w:val="00066BF4"/>
    <w:rsid w:val="00066F16"/>
    <w:rsid w:val="00066F40"/>
    <w:rsid w:val="00066FFD"/>
    <w:rsid w:val="0006700E"/>
    <w:rsid w:val="00067100"/>
    <w:rsid w:val="00067155"/>
    <w:rsid w:val="000672ED"/>
    <w:rsid w:val="000674E4"/>
    <w:rsid w:val="00067500"/>
    <w:rsid w:val="00067512"/>
    <w:rsid w:val="000675A9"/>
    <w:rsid w:val="00067655"/>
    <w:rsid w:val="000676C6"/>
    <w:rsid w:val="00067EB4"/>
    <w:rsid w:val="00067F28"/>
    <w:rsid w:val="00067FB4"/>
    <w:rsid w:val="0007009A"/>
    <w:rsid w:val="000701C4"/>
    <w:rsid w:val="000702D5"/>
    <w:rsid w:val="000706C9"/>
    <w:rsid w:val="00070DD0"/>
    <w:rsid w:val="00070F83"/>
    <w:rsid w:val="0007110E"/>
    <w:rsid w:val="00071338"/>
    <w:rsid w:val="0007144D"/>
    <w:rsid w:val="000714A9"/>
    <w:rsid w:val="000715F6"/>
    <w:rsid w:val="000716D8"/>
    <w:rsid w:val="00071C42"/>
    <w:rsid w:val="00071CAE"/>
    <w:rsid w:val="00071DF6"/>
    <w:rsid w:val="00071F4E"/>
    <w:rsid w:val="00072607"/>
    <w:rsid w:val="00072AC7"/>
    <w:rsid w:val="00072B56"/>
    <w:rsid w:val="00072B7D"/>
    <w:rsid w:val="00072E67"/>
    <w:rsid w:val="00072F65"/>
    <w:rsid w:val="000732CC"/>
    <w:rsid w:val="00073413"/>
    <w:rsid w:val="0007370A"/>
    <w:rsid w:val="000737D8"/>
    <w:rsid w:val="00073856"/>
    <w:rsid w:val="00073914"/>
    <w:rsid w:val="00073AF1"/>
    <w:rsid w:val="00073B4A"/>
    <w:rsid w:val="00073CBD"/>
    <w:rsid w:val="00073EB0"/>
    <w:rsid w:val="00073F21"/>
    <w:rsid w:val="0007422E"/>
    <w:rsid w:val="00074245"/>
    <w:rsid w:val="00074267"/>
    <w:rsid w:val="00074376"/>
    <w:rsid w:val="0007448F"/>
    <w:rsid w:val="000745ED"/>
    <w:rsid w:val="000746A4"/>
    <w:rsid w:val="00074806"/>
    <w:rsid w:val="00074AA3"/>
    <w:rsid w:val="00074ACD"/>
    <w:rsid w:val="00074CC1"/>
    <w:rsid w:val="00074D98"/>
    <w:rsid w:val="00074E8C"/>
    <w:rsid w:val="00074EA1"/>
    <w:rsid w:val="00074EB9"/>
    <w:rsid w:val="00074F14"/>
    <w:rsid w:val="000751C0"/>
    <w:rsid w:val="0007528A"/>
    <w:rsid w:val="0007533D"/>
    <w:rsid w:val="00075426"/>
    <w:rsid w:val="00075722"/>
    <w:rsid w:val="000757FD"/>
    <w:rsid w:val="00075839"/>
    <w:rsid w:val="000758D0"/>
    <w:rsid w:val="00075CE8"/>
    <w:rsid w:val="00075E7C"/>
    <w:rsid w:val="00075F81"/>
    <w:rsid w:val="000762DF"/>
    <w:rsid w:val="0007676F"/>
    <w:rsid w:val="00076774"/>
    <w:rsid w:val="0007699A"/>
    <w:rsid w:val="00076C60"/>
    <w:rsid w:val="00076C8D"/>
    <w:rsid w:val="00076D76"/>
    <w:rsid w:val="00077066"/>
    <w:rsid w:val="00077584"/>
    <w:rsid w:val="0007778A"/>
    <w:rsid w:val="00077AED"/>
    <w:rsid w:val="00077BFE"/>
    <w:rsid w:val="00077CEF"/>
    <w:rsid w:val="00077DC8"/>
    <w:rsid w:val="00077E4D"/>
    <w:rsid w:val="00077F12"/>
    <w:rsid w:val="00077FAA"/>
    <w:rsid w:val="00080051"/>
    <w:rsid w:val="0008024C"/>
    <w:rsid w:val="0008045C"/>
    <w:rsid w:val="000806F1"/>
    <w:rsid w:val="00080936"/>
    <w:rsid w:val="00080FFA"/>
    <w:rsid w:val="000810E8"/>
    <w:rsid w:val="00081124"/>
    <w:rsid w:val="00081166"/>
    <w:rsid w:val="00081247"/>
    <w:rsid w:val="0008124A"/>
    <w:rsid w:val="000812CE"/>
    <w:rsid w:val="0008183E"/>
    <w:rsid w:val="000819CD"/>
    <w:rsid w:val="00081B4F"/>
    <w:rsid w:val="00081B9A"/>
    <w:rsid w:val="00081D3B"/>
    <w:rsid w:val="0008226F"/>
    <w:rsid w:val="0008227D"/>
    <w:rsid w:val="0008237B"/>
    <w:rsid w:val="0008273A"/>
    <w:rsid w:val="000827EB"/>
    <w:rsid w:val="00082823"/>
    <w:rsid w:val="000828CF"/>
    <w:rsid w:val="0008290E"/>
    <w:rsid w:val="0008293F"/>
    <w:rsid w:val="000829D7"/>
    <w:rsid w:val="00082F52"/>
    <w:rsid w:val="000830ED"/>
    <w:rsid w:val="00083279"/>
    <w:rsid w:val="00083480"/>
    <w:rsid w:val="00083552"/>
    <w:rsid w:val="000836A8"/>
    <w:rsid w:val="0008393E"/>
    <w:rsid w:val="0008398A"/>
    <w:rsid w:val="000839C4"/>
    <w:rsid w:val="000839C7"/>
    <w:rsid w:val="00083B3F"/>
    <w:rsid w:val="00083CB3"/>
    <w:rsid w:val="00083DFD"/>
    <w:rsid w:val="00083F65"/>
    <w:rsid w:val="00084246"/>
    <w:rsid w:val="00084284"/>
    <w:rsid w:val="000843B3"/>
    <w:rsid w:val="000844EF"/>
    <w:rsid w:val="00084523"/>
    <w:rsid w:val="0008454D"/>
    <w:rsid w:val="00084598"/>
    <w:rsid w:val="000845AA"/>
    <w:rsid w:val="00084924"/>
    <w:rsid w:val="000849E5"/>
    <w:rsid w:val="000849F3"/>
    <w:rsid w:val="00084AAA"/>
    <w:rsid w:val="000852B1"/>
    <w:rsid w:val="00085375"/>
    <w:rsid w:val="0008546C"/>
    <w:rsid w:val="00085655"/>
    <w:rsid w:val="00085766"/>
    <w:rsid w:val="000859B1"/>
    <w:rsid w:val="00085AF1"/>
    <w:rsid w:val="00085CBF"/>
    <w:rsid w:val="00085D46"/>
    <w:rsid w:val="00085EE0"/>
    <w:rsid w:val="00086111"/>
    <w:rsid w:val="0008625F"/>
    <w:rsid w:val="00086372"/>
    <w:rsid w:val="000869B0"/>
    <w:rsid w:val="00086A6F"/>
    <w:rsid w:val="00086A85"/>
    <w:rsid w:val="00086B6A"/>
    <w:rsid w:val="00086BEB"/>
    <w:rsid w:val="00086D77"/>
    <w:rsid w:val="00086E66"/>
    <w:rsid w:val="00087163"/>
    <w:rsid w:val="0008755E"/>
    <w:rsid w:val="000879A8"/>
    <w:rsid w:val="00087A6E"/>
    <w:rsid w:val="00087A7A"/>
    <w:rsid w:val="00087CF4"/>
    <w:rsid w:val="00090542"/>
    <w:rsid w:val="000906D5"/>
    <w:rsid w:val="000908C5"/>
    <w:rsid w:val="00090DF6"/>
    <w:rsid w:val="00090F51"/>
    <w:rsid w:val="0009113B"/>
    <w:rsid w:val="00091250"/>
    <w:rsid w:val="0009141E"/>
    <w:rsid w:val="000914FA"/>
    <w:rsid w:val="00091666"/>
    <w:rsid w:val="000916CC"/>
    <w:rsid w:val="000916FB"/>
    <w:rsid w:val="000917B6"/>
    <w:rsid w:val="00091818"/>
    <w:rsid w:val="00091A26"/>
    <w:rsid w:val="00091B0D"/>
    <w:rsid w:val="00091BBA"/>
    <w:rsid w:val="00091F12"/>
    <w:rsid w:val="00091F2B"/>
    <w:rsid w:val="0009216F"/>
    <w:rsid w:val="00092491"/>
    <w:rsid w:val="00092641"/>
    <w:rsid w:val="000927BF"/>
    <w:rsid w:val="0009288B"/>
    <w:rsid w:val="000928D6"/>
    <w:rsid w:val="000928DA"/>
    <w:rsid w:val="00092C63"/>
    <w:rsid w:val="00092C65"/>
    <w:rsid w:val="00092C6D"/>
    <w:rsid w:val="00093267"/>
    <w:rsid w:val="0009366A"/>
    <w:rsid w:val="00093815"/>
    <w:rsid w:val="0009386E"/>
    <w:rsid w:val="00093B0B"/>
    <w:rsid w:val="00093DCE"/>
    <w:rsid w:val="0009401F"/>
    <w:rsid w:val="000942D3"/>
    <w:rsid w:val="000942DD"/>
    <w:rsid w:val="00094451"/>
    <w:rsid w:val="000949BA"/>
    <w:rsid w:val="00094C09"/>
    <w:rsid w:val="00094C5B"/>
    <w:rsid w:val="00094F15"/>
    <w:rsid w:val="000955DF"/>
    <w:rsid w:val="000959C8"/>
    <w:rsid w:val="00095C22"/>
    <w:rsid w:val="00095D5F"/>
    <w:rsid w:val="00095E8A"/>
    <w:rsid w:val="00095EF2"/>
    <w:rsid w:val="00095F3A"/>
    <w:rsid w:val="00095F5A"/>
    <w:rsid w:val="00095FA0"/>
    <w:rsid w:val="00095FE4"/>
    <w:rsid w:val="00095FED"/>
    <w:rsid w:val="0009636F"/>
    <w:rsid w:val="000967B2"/>
    <w:rsid w:val="00096C64"/>
    <w:rsid w:val="00096DF5"/>
    <w:rsid w:val="00096E4A"/>
    <w:rsid w:val="00097229"/>
    <w:rsid w:val="000972A0"/>
    <w:rsid w:val="0009778C"/>
    <w:rsid w:val="000978D6"/>
    <w:rsid w:val="00097CC3"/>
    <w:rsid w:val="000A00D7"/>
    <w:rsid w:val="000A0174"/>
    <w:rsid w:val="000A01A0"/>
    <w:rsid w:val="000A01ED"/>
    <w:rsid w:val="000A0272"/>
    <w:rsid w:val="000A0284"/>
    <w:rsid w:val="000A02F1"/>
    <w:rsid w:val="000A03FB"/>
    <w:rsid w:val="000A0703"/>
    <w:rsid w:val="000A07A0"/>
    <w:rsid w:val="000A09B0"/>
    <w:rsid w:val="000A0AFC"/>
    <w:rsid w:val="000A0D89"/>
    <w:rsid w:val="000A113B"/>
    <w:rsid w:val="000A13D6"/>
    <w:rsid w:val="000A166E"/>
    <w:rsid w:val="000A1C5A"/>
    <w:rsid w:val="000A1D61"/>
    <w:rsid w:val="000A1D6D"/>
    <w:rsid w:val="000A1F53"/>
    <w:rsid w:val="000A206E"/>
    <w:rsid w:val="000A246F"/>
    <w:rsid w:val="000A2475"/>
    <w:rsid w:val="000A270B"/>
    <w:rsid w:val="000A2895"/>
    <w:rsid w:val="000A2D8D"/>
    <w:rsid w:val="000A2E6E"/>
    <w:rsid w:val="000A34B7"/>
    <w:rsid w:val="000A35EA"/>
    <w:rsid w:val="000A3719"/>
    <w:rsid w:val="000A3775"/>
    <w:rsid w:val="000A391A"/>
    <w:rsid w:val="000A3947"/>
    <w:rsid w:val="000A3B37"/>
    <w:rsid w:val="000A3C53"/>
    <w:rsid w:val="000A3CCD"/>
    <w:rsid w:val="000A3CCE"/>
    <w:rsid w:val="000A3D9A"/>
    <w:rsid w:val="000A3E04"/>
    <w:rsid w:val="000A3F0A"/>
    <w:rsid w:val="000A443C"/>
    <w:rsid w:val="000A44AD"/>
    <w:rsid w:val="000A45DB"/>
    <w:rsid w:val="000A466A"/>
    <w:rsid w:val="000A48AD"/>
    <w:rsid w:val="000A49D5"/>
    <w:rsid w:val="000A4C5F"/>
    <w:rsid w:val="000A4DBB"/>
    <w:rsid w:val="000A5136"/>
    <w:rsid w:val="000A5515"/>
    <w:rsid w:val="000A5730"/>
    <w:rsid w:val="000A577A"/>
    <w:rsid w:val="000A59C7"/>
    <w:rsid w:val="000A5C5C"/>
    <w:rsid w:val="000A5C7F"/>
    <w:rsid w:val="000A5EF5"/>
    <w:rsid w:val="000A6046"/>
    <w:rsid w:val="000A6138"/>
    <w:rsid w:val="000A65AB"/>
    <w:rsid w:val="000A68A1"/>
    <w:rsid w:val="000A6A0C"/>
    <w:rsid w:val="000A6AE2"/>
    <w:rsid w:val="000A6B6B"/>
    <w:rsid w:val="000A6EC2"/>
    <w:rsid w:val="000A71FB"/>
    <w:rsid w:val="000A74A5"/>
    <w:rsid w:val="000A7598"/>
    <w:rsid w:val="000A7600"/>
    <w:rsid w:val="000A76F2"/>
    <w:rsid w:val="000A7730"/>
    <w:rsid w:val="000A79A9"/>
    <w:rsid w:val="000A7AA1"/>
    <w:rsid w:val="000A7D3C"/>
    <w:rsid w:val="000A7DF0"/>
    <w:rsid w:val="000A7F7F"/>
    <w:rsid w:val="000A7FF5"/>
    <w:rsid w:val="000B0425"/>
    <w:rsid w:val="000B0458"/>
    <w:rsid w:val="000B0608"/>
    <w:rsid w:val="000B0AF8"/>
    <w:rsid w:val="000B0CE4"/>
    <w:rsid w:val="000B0E0C"/>
    <w:rsid w:val="000B1095"/>
    <w:rsid w:val="000B13AA"/>
    <w:rsid w:val="000B140D"/>
    <w:rsid w:val="000B15A6"/>
    <w:rsid w:val="000B1806"/>
    <w:rsid w:val="000B1B3B"/>
    <w:rsid w:val="000B1C95"/>
    <w:rsid w:val="000B20F1"/>
    <w:rsid w:val="000B2118"/>
    <w:rsid w:val="000B2165"/>
    <w:rsid w:val="000B2182"/>
    <w:rsid w:val="000B2310"/>
    <w:rsid w:val="000B2473"/>
    <w:rsid w:val="000B261F"/>
    <w:rsid w:val="000B262B"/>
    <w:rsid w:val="000B2970"/>
    <w:rsid w:val="000B2A0A"/>
    <w:rsid w:val="000B2AA0"/>
    <w:rsid w:val="000B2BC2"/>
    <w:rsid w:val="000B2C8A"/>
    <w:rsid w:val="000B2F74"/>
    <w:rsid w:val="000B2FAA"/>
    <w:rsid w:val="000B334C"/>
    <w:rsid w:val="000B3350"/>
    <w:rsid w:val="000B343D"/>
    <w:rsid w:val="000B3492"/>
    <w:rsid w:val="000B350F"/>
    <w:rsid w:val="000B357E"/>
    <w:rsid w:val="000B3646"/>
    <w:rsid w:val="000B3971"/>
    <w:rsid w:val="000B39E8"/>
    <w:rsid w:val="000B3A9D"/>
    <w:rsid w:val="000B3BF7"/>
    <w:rsid w:val="000B3C12"/>
    <w:rsid w:val="000B3EF1"/>
    <w:rsid w:val="000B425C"/>
    <w:rsid w:val="000B433D"/>
    <w:rsid w:val="000B4357"/>
    <w:rsid w:val="000B4471"/>
    <w:rsid w:val="000B45E6"/>
    <w:rsid w:val="000B4741"/>
    <w:rsid w:val="000B495E"/>
    <w:rsid w:val="000B4D57"/>
    <w:rsid w:val="000B4E1A"/>
    <w:rsid w:val="000B51EE"/>
    <w:rsid w:val="000B52E9"/>
    <w:rsid w:val="000B536E"/>
    <w:rsid w:val="000B53D9"/>
    <w:rsid w:val="000B54C7"/>
    <w:rsid w:val="000B55A2"/>
    <w:rsid w:val="000B5651"/>
    <w:rsid w:val="000B573B"/>
    <w:rsid w:val="000B579B"/>
    <w:rsid w:val="000B58B7"/>
    <w:rsid w:val="000B5906"/>
    <w:rsid w:val="000B5AA9"/>
    <w:rsid w:val="000B5B23"/>
    <w:rsid w:val="000B5B5D"/>
    <w:rsid w:val="000B5CA5"/>
    <w:rsid w:val="000B5DD7"/>
    <w:rsid w:val="000B5E91"/>
    <w:rsid w:val="000B60A9"/>
    <w:rsid w:val="000B643B"/>
    <w:rsid w:val="000B6657"/>
    <w:rsid w:val="000B66D2"/>
    <w:rsid w:val="000B676E"/>
    <w:rsid w:val="000B6CCE"/>
    <w:rsid w:val="000B6D41"/>
    <w:rsid w:val="000B7102"/>
    <w:rsid w:val="000B7105"/>
    <w:rsid w:val="000B7661"/>
    <w:rsid w:val="000B774F"/>
    <w:rsid w:val="000B7976"/>
    <w:rsid w:val="000B7A1D"/>
    <w:rsid w:val="000B7BE2"/>
    <w:rsid w:val="000B7C6C"/>
    <w:rsid w:val="000B7DCF"/>
    <w:rsid w:val="000C0093"/>
    <w:rsid w:val="000C013A"/>
    <w:rsid w:val="000C017B"/>
    <w:rsid w:val="000C023A"/>
    <w:rsid w:val="000C043B"/>
    <w:rsid w:val="000C0832"/>
    <w:rsid w:val="000C0846"/>
    <w:rsid w:val="000C08AA"/>
    <w:rsid w:val="000C095A"/>
    <w:rsid w:val="000C0A0C"/>
    <w:rsid w:val="000C0A3B"/>
    <w:rsid w:val="000C0BB7"/>
    <w:rsid w:val="000C0C3D"/>
    <w:rsid w:val="000C0C88"/>
    <w:rsid w:val="000C1033"/>
    <w:rsid w:val="000C105B"/>
    <w:rsid w:val="000C1385"/>
    <w:rsid w:val="000C13C4"/>
    <w:rsid w:val="000C13C6"/>
    <w:rsid w:val="000C1435"/>
    <w:rsid w:val="000C14C3"/>
    <w:rsid w:val="000C14EE"/>
    <w:rsid w:val="000C160B"/>
    <w:rsid w:val="000C1688"/>
    <w:rsid w:val="000C17F3"/>
    <w:rsid w:val="000C1C02"/>
    <w:rsid w:val="000C1FE3"/>
    <w:rsid w:val="000C20C5"/>
    <w:rsid w:val="000C2147"/>
    <w:rsid w:val="000C21F3"/>
    <w:rsid w:val="000C2278"/>
    <w:rsid w:val="000C22BA"/>
    <w:rsid w:val="000C244A"/>
    <w:rsid w:val="000C259D"/>
    <w:rsid w:val="000C28EC"/>
    <w:rsid w:val="000C2C51"/>
    <w:rsid w:val="000C2CB7"/>
    <w:rsid w:val="000C2DBD"/>
    <w:rsid w:val="000C2E17"/>
    <w:rsid w:val="000C3087"/>
    <w:rsid w:val="000C31B3"/>
    <w:rsid w:val="000C3208"/>
    <w:rsid w:val="000C3253"/>
    <w:rsid w:val="000C32BD"/>
    <w:rsid w:val="000C32EA"/>
    <w:rsid w:val="000C32FC"/>
    <w:rsid w:val="000C34B6"/>
    <w:rsid w:val="000C3599"/>
    <w:rsid w:val="000C3711"/>
    <w:rsid w:val="000C3A03"/>
    <w:rsid w:val="000C3A69"/>
    <w:rsid w:val="000C3A98"/>
    <w:rsid w:val="000C3BBF"/>
    <w:rsid w:val="000C3C32"/>
    <w:rsid w:val="000C3F56"/>
    <w:rsid w:val="000C40A1"/>
    <w:rsid w:val="000C412B"/>
    <w:rsid w:val="000C4587"/>
    <w:rsid w:val="000C4607"/>
    <w:rsid w:val="000C46F9"/>
    <w:rsid w:val="000C47AE"/>
    <w:rsid w:val="000C4A2B"/>
    <w:rsid w:val="000C4CF3"/>
    <w:rsid w:val="000C4E5D"/>
    <w:rsid w:val="000C5010"/>
    <w:rsid w:val="000C52D6"/>
    <w:rsid w:val="000C52EE"/>
    <w:rsid w:val="000C5302"/>
    <w:rsid w:val="000C538A"/>
    <w:rsid w:val="000C5491"/>
    <w:rsid w:val="000C5A8D"/>
    <w:rsid w:val="000C5AEF"/>
    <w:rsid w:val="000C5B4F"/>
    <w:rsid w:val="000C5C0F"/>
    <w:rsid w:val="000C5C98"/>
    <w:rsid w:val="000C5F80"/>
    <w:rsid w:val="000C5FC2"/>
    <w:rsid w:val="000C62D5"/>
    <w:rsid w:val="000C62EB"/>
    <w:rsid w:val="000C67DE"/>
    <w:rsid w:val="000C69D1"/>
    <w:rsid w:val="000C6ED9"/>
    <w:rsid w:val="000C6F3B"/>
    <w:rsid w:val="000C6FA1"/>
    <w:rsid w:val="000C6FC0"/>
    <w:rsid w:val="000C7051"/>
    <w:rsid w:val="000C73B0"/>
    <w:rsid w:val="000C76EB"/>
    <w:rsid w:val="000C7991"/>
    <w:rsid w:val="000C7A63"/>
    <w:rsid w:val="000C7E82"/>
    <w:rsid w:val="000D00B0"/>
    <w:rsid w:val="000D01D1"/>
    <w:rsid w:val="000D02D6"/>
    <w:rsid w:val="000D0625"/>
    <w:rsid w:val="000D06C5"/>
    <w:rsid w:val="000D0752"/>
    <w:rsid w:val="000D0C7E"/>
    <w:rsid w:val="000D0E3F"/>
    <w:rsid w:val="000D108A"/>
    <w:rsid w:val="000D11E5"/>
    <w:rsid w:val="000D124D"/>
    <w:rsid w:val="000D13A3"/>
    <w:rsid w:val="000D1443"/>
    <w:rsid w:val="000D156A"/>
    <w:rsid w:val="000D1580"/>
    <w:rsid w:val="000D18AB"/>
    <w:rsid w:val="000D192E"/>
    <w:rsid w:val="000D1A0C"/>
    <w:rsid w:val="000D1B50"/>
    <w:rsid w:val="000D1BB2"/>
    <w:rsid w:val="000D1CBF"/>
    <w:rsid w:val="000D1EFA"/>
    <w:rsid w:val="000D20E7"/>
    <w:rsid w:val="000D2307"/>
    <w:rsid w:val="000D26AD"/>
    <w:rsid w:val="000D2720"/>
    <w:rsid w:val="000D2913"/>
    <w:rsid w:val="000D2953"/>
    <w:rsid w:val="000D29BE"/>
    <w:rsid w:val="000D2A47"/>
    <w:rsid w:val="000D2EA8"/>
    <w:rsid w:val="000D30ED"/>
    <w:rsid w:val="000D3321"/>
    <w:rsid w:val="000D354A"/>
    <w:rsid w:val="000D35A6"/>
    <w:rsid w:val="000D3604"/>
    <w:rsid w:val="000D3646"/>
    <w:rsid w:val="000D3CE9"/>
    <w:rsid w:val="000D3D73"/>
    <w:rsid w:val="000D3DCB"/>
    <w:rsid w:val="000D433D"/>
    <w:rsid w:val="000D4383"/>
    <w:rsid w:val="000D445D"/>
    <w:rsid w:val="000D44A5"/>
    <w:rsid w:val="000D4689"/>
    <w:rsid w:val="000D46B9"/>
    <w:rsid w:val="000D4B13"/>
    <w:rsid w:val="000D4C35"/>
    <w:rsid w:val="000D4C46"/>
    <w:rsid w:val="000D4EFE"/>
    <w:rsid w:val="000D5333"/>
    <w:rsid w:val="000D5352"/>
    <w:rsid w:val="000D545C"/>
    <w:rsid w:val="000D556C"/>
    <w:rsid w:val="000D5588"/>
    <w:rsid w:val="000D57B6"/>
    <w:rsid w:val="000D580F"/>
    <w:rsid w:val="000D5927"/>
    <w:rsid w:val="000D5A0A"/>
    <w:rsid w:val="000D5BA0"/>
    <w:rsid w:val="000D5CE5"/>
    <w:rsid w:val="000D5D74"/>
    <w:rsid w:val="000D5EB4"/>
    <w:rsid w:val="000D5FB1"/>
    <w:rsid w:val="000D5FCB"/>
    <w:rsid w:val="000D6194"/>
    <w:rsid w:val="000D6302"/>
    <w:rsid w:val="000D63AE"/>
    <w:rsid w:val="000D67AE"/>
    <w:rsid w:val="000D6933"/>
    <w:rsid w:val="000D6CF4"/>
    <w:rsid w:val="000D6EEA"/>
    <w:rsid w:val="000D702E"/>
    <w:rsid w:val="000D724B"/>
    <w:rsid w:val="000D7501"/>
    <w:rsid w:val="000D7A25"/>
    <w:rsid w:val="000D7A6F"/>
    <w:rsid w:val="000D7BDE"/>
    <w:rsid w:val="000D7C41"/>
    <w:rsid w:val="000D7D3E"/>
    <w:rsid w:val="000D7DC6"/>
    <w:rsid w:val="000D7E04"/>
    <w:rsid w:val="000E0560"/>
    <w:rsid w:val="000E0644"/>
    <w:rsid w:val="000E07B0"/>
    <w:rsid w:val="000E082E"/>
    <w:rsid w:val="000E08B7"/>
    <w:rsid w:val="000E0BD0"/>
    <w:rsid w:val="000E0C4E"/>
    <w:rsid w:val="000E0CFD"/>
    <w:rsid w:val="000E0DBF"/>
    <w:rsid w:val="000E108A"/>
    <w:rsid w:val="000E11A2"/>
    <w:rsid w:val="000E14B5"/>
    <w:rsid w:val="000E14BD"/>
    <w:rsid w:val="000E1529"/>
    <w:rsid w:val="000E1608"/>
    <w:rsid w:val="000E1691"/>
    <w:rsid w:val="000E172B"/>
    <w:rsid w:val="000E17E2"/>
    <w:rsid w:val="000E1974"/>
    <w:rsid w:val="000E1A80"/>
    <w:rsid w:val="000E1DE5"/>
    <w:rsid w:val="000E1ECB"/>
    <w:rsid w:val="000E226A"/>
    <w:rsid w:val="000E239D"/>
    <w:rsid w:val="000E2699"/>
    <w:rsid w:val="000E2B99"/>
    <w:rsid w:val="000E2C3E"/>
    <w:rsid w:val="000E2C92"/>
    <w:rsid w:val="000E2DF0"/>
    <w:rsid w:val="000E3028"/>
    <w:rsid w:val="000E31BC"/>
    <w:rsid w:val="000E3387"/>
    <w:rsid w:val="000E3550"/>
    <w:rsid w:val="000E358A"/>
    <w:rsid w:val="000E3647"/>
    <w:rsid w:val="000E3DDC"/>
    <w:rsid w:val="000E3EA3"/>
    <w:rsid w:val="000E3F35"/>
    <w:rsid w:val="000E425E"/>
    <w:rsid w:val="000E4374"/>
    <w:rsid w:val="000E4441"/>
    <w:rsid w:val="000E444E"/>
    <w:rsid w:val="000E476F"/>
    <w:rsid w:val="000E4B77"/>
    <w:rsid w:val="000E4E70"/>
    <w:rsid w:val="000E4FE1"/>
    <w:rsid w:val="000E4FE9"/>
    <w:rsid w:val="000E502F"/>
    <w:rsid w:val="000E5086"/>
    <w:rsid w:val="000E5090"/>
    <w:rsid w:val="000E5292"/>
    <w:rsid w:val="000E546F"/>
    <w:rsid w:val="000E5A09"/>
    <w:rsid w:val="000E5BE8"/>
    <w:rsid w:val="000E6456"/>
    <w:rsid w:val="000E6A72"/>
    <w:rsid w:val="000E6B12"/>
    <w:rsid w:val="000E7059"/>
    <w:rsid w:val="000E72F0"/>
    <w:rsid w:val="000E75D2"/>
    <w:rsid w:val="000E7B56"/>
    <w:rsid w:val="000E7C34"/>
    <w:rsid w:val="000E7C7F"/>
    <w:rsid w:val="000E7E18"/>
    <w:rsid w:val="000F00B4"/>
    <w:rsid w:val="000F0101"/>
    <w:rsid w:val="000F0225"/>
    <w:rsid w:val="000F04B2"/>
    <w:rsid w:val="000F06A2"/>
    <w:rsid w:val="000F06A5"/>
    <w:rsid w:val="000F06B5"/>
    <w:rsid w:val="000F0754"/>
    <w:rsid w:val="000F08CF"/>
    <w:rsid w:val="000F0B69"/>
    <w:rsid w:val="000F0C5A"/>
    <w:rsid w:val="000F0E07"/>
    <w:rsid w:val="000F0E98"/>
    <w:rsid w:val="000F0FAB"/>
    <w:rsid w:val="000F0FD9"/>
    <w:rsid w:val="000F1044"/>
    <w:rsid w:val="000F128E"/>
    <w:rsid w:val="000F12AA"/>
    <w:rsid w:val="000F12FD"/>
    <w:rsid w:val="000F150A"/>
    <w:rsid w:val="000F1A30"/>
    <w:rsid w:val="000F1A40"/>
    <w:rsid w:val="000F1E27"/>
    <w:rsid w:val="000F2107"/>
    <w:rsid w:val="000F211E"/>
    <w:rsid w:val="000F2214"/>
    <w:rsid w:val="000F2260"/>
    <w:rsid w:val="000F228A"/>
    <w:rsid w:val="000F2414"/>
    <w:rsid w:val="000F247B"/>
    <w:rsid w:val="000F26D2"/>
    <w:rsid w:val="000F28D6"/>
    <w:rsid w:val="000F2970"/>
    <w:rsid w:val="000F2C11"/>
    <w:rsid w:val="000F2D8E"/>
    <w:rsid w:val="000F2EA5"/>
    <w:rsid w:val="000F2EC5"/>
    <w:rsid w:val="000F2F65"/>
    <w:rsid w:val="000F2FAD"/>
    <w:rsid w:val="000F3021"/>
    <w:rsid w:val="000F30A1"/>
    <w:rsid w:val="000F317D"/>
    <w:rsid w:val="000F3202"/>
    <w:rsid w:val="000F3257"/>
    <w:rsid w:val="000F32F8"/>
    <w:rsid w:val="000F352E"/>
    <w:rsid w:val="000F3ACE"/>
    <w:rsid w:val="000F3D86"/>
    <w:rsid w:val="000F3E01"/>
    <w:rsid w:val="000F3EC3"/>
    <w:rsid w:val="000F3F7D"/>
    <w:rsid w:val="000F3F9F"/>
    <w:rsid w:val="000F41D9"/>
    <w:rsid w:val="000F452D"/>
    <w:rsid w:val="000F45DD"/>
    <w:rsid w:val="000F492C"/>
    <w:rsid w:val="000F4956"/>
    <w:rsid w:val="000F4A23"/>
    <w:rsid w:val="000F4A50"/>
    <w:rsid w:val="000F4CA9"/>
    <w:rsid w:val="000F5280"/>
    <w:rsid w:val="000F52D0"/>
    <w:rsid w:val="000F55D6"/>
    <w:rsid w:val="000F57D8"/>
    <w:rsid w:val="000F59C3"/>
    <w:rsid w:val="000F5B51"/>
    <w:rsid w:val="000F5B91"/>
    <w:rsid w:val="000F5BB3"/>
    <w:rsid w:val="000F5C75"/>
    <w:rsid w:val="000F5CFB"/>
    <w:rsid w:val="000F613A"/>
    <w:rsid w:val="000F6625"/>
    <w:rsid w:val="000F6870"/>
    <w:rsid w:val="000F6885"/>
    <w:rsid w:val="000F6917"/>
    <w:rsid w:val="000F69E7"/>
    <w:rsid w:val="000F6BC1"/>
    <w:rsid w:val="000F6C22"/>
    <w:rsid w:val="000F6CA2"/>
    <w:rsid w:val="000F6ED1"/>
    <w:rsid w:val="000F6FFB"/>
    <w:rsid w:val="000F7009"/>
    <w:rsid w:val="000F7161"/>
    <w:rsid w:val="000F7185"/>
    <w:rsid w:val="000F72A9"/>
    <w:rsid w:val="000F7AF8"/>
    <w:rsid w:val="000F7CD7"/>
    <w:rsid w:val="000F7EC0"/>
    <w:rsid w:val="00100054"/>
    <w:rsid w:val="0010009E"/>
    <w:rsid w:val="0010019B"/>
    <w:rsid w:val="00100214"/>
    <w:rsid w:val="001002BF"/>
    <w:rsid w:val="0010033F"/>
    <w:rsid w:val="001003A3"/>
    <w:rsid w:val="001007B4"/>
    <w:rsid w:val="00100868"/>
    <w:rsid w:val="00100956"/>
    <w:rsid w:val="001009F7"/>
    <w:rsid w:val="00100DD7"/>
    <w:rsid w:val="00100DE3"/>
    <w:rsid w:val="0010102D"/>
    <w:rsid w:val="00101064"/>
    <w:rsid w:val="001011D8"/>
    <w:rsid w:val="0010172A"/>
    <w:rsid w:val="00101755"/>
    <w:rsid w:val="00101B02"/>
    <w:rsid w:val="00101C20"/>
    <w:rsid w:val="00101D23"/>
    <w:rsid w:val="00101DF6"/>
    <w:rsid w:val="0010208F"/>
    <w:rsid w:val="00102302"/>
    <w:rsid w:val="00102988"/>
    <w:rsid w:val="00102B4F"/>
    <w:rsid w:val="00102BEA"/>
    <w:rsid w:val="00102D39"/>
    <w:rsid w:val="00102E29"/>
    <w:rsid w:val="00103005"/>
    <w:rsid w:val="00103079"/>
    <w:rsid w:val="001031C3"/>
    <w:rsid w:val="001031E1"/>
    <w:rsid w:val="001033D5"/>
    <w:rsid w:val="0010359F"/>
    <w:rsid w:val="001037D7"/>
    <w:rsid w:val="00103817"/>
    <w:rsid w:val="001039C7"/>
    <w:rsid w:val="00103D23"/>
    <w:rsid w:val="00103E4C"/>
    <w:rsid w:val="00103F53"/>
    <w:rsid w:val="001040FE"/>
    <w:rsid w:val="0010429E"/>
    <w:rsid w:val="00104823"/>
    <w:rsid w:val="00104922"/>
    <w:rsid w:val="00104984"/>
    <w:rsid w:val="00104BE1"/>
    <w:rsid w:val="00104C80"/>
    <w:rsid w:val="00104CCD"/>
    <w:rsid w:val="00104E1A"/>
    <w:rsid w:val="00104E42"/>
    <w:rsid w:val="00104F2F"/>
    <w:rsid w:val="001050D8"/>
    <w:rsid w:val="00105283"/>
    <w:rsid w:val="00105302"/>
    <w:rsid w:val="00105749"/>
    <w:rsid w:val="00105830"/>
    <w:rsid w:val="001058A0"/>
    <w:rsid w:val="001059C7"/>
    <w:rsid w:val="00105C88"/>
    <w:rsid w:val="00105DE3"/>
    <w:rsid w:val="00105E5E"/>
    <w:rsid w:val="00105FB4"/>
    <w:rsid w:val="0010648B"/>
    <w:rsid w:val="0010649B"/>
    <w:rsid w:val="00106697"/>
    <w:rsid w:val="001067A3"/>
    <w:rsid w:val="0010684F"/>
    <w:rsid w:val="00106AFD"/>
    <w:rsid w:val="00106B65"/>
    <w:rsid w:val="001070D6"/>
    <w:rsid w:val="00107106"/>
    <w:rsid w:val="00107122"/>
    <w:rsid w:val="0010757C"/>
    <w:rsid w:val="0010789B"/>
    <w:rsid w:val="0010792F"/>
    <w:rsid w:val="00107A0F"/>
    <w:rsid w:val="00107CB6"/>
    <w:rsid w:val="001102E5"/>
    <w:rsid w:val="001102FB"/>
    <w:rsid w:val="00110373"/>
    <w:rsid w:val="001104AA"/>
    <w:rsid w:val="0011074F"/>
    <w:rsid w:val="00110B0E"/>
    <w:rsid w:val="00110F10"/>
    <w:rsid w:val="0011113C"/>
    <w:rsid w:val="00111217"/>
    <w:rsid w:val="00111241"/>
    <w:rsid w:val="001112A9"/>
    <w:rsid w:val="001115EF"/>
    <w:rsid w:val="001117D9"/>
    <w:rsid w:val="001118EA"/>
    <w:rsid w:val="00111DA3"/>
    <w:rsid w:val="00111EE8"/>
    <w:rsid w:val="00111F2E"/>
    <w:rsid w:val="00111FE9"/>
    <w:rsid w:val="00112158"/>
    <w:rsid w:val="001122BE"/>
    <w:rsid w:val="0011285D"/>
    <w:rsid w:val="0011292A"/>
    <w:rsid w:val="00112989"/>
    <w:rsid w:val="001129EC"/>
    <w:rsid w:val="001129F1"/>
    <w:rsid w:val="00112A54"/>
    <w:rsid w:val="00112BE6"/>
    <w:rsid w:val="00112C31"/>
    <w:rsid w:val="00112C91"/>
    <w:rsid w:val="00112E71"/>
    <w:rsid w:val="00113157"/>
    <w:rsid w:val="00113188"/>
    <w:rsid w:val="001131DD"/>
    <w:rsid w:val="00113584"/>
    <w:rsid w:val="00113A04"/>
    <w:rsid w:val="00113C2A"/>
    <w:rsid w:val="00113D9D"/>
    <w:rsid w:val="00113EC7"/>
    <w:rsid w:val="00113EE1"/>
    <w:rsid w:val="00113F2D"/>
    <w:rsid w:val="00114021"/>
    <w:rsid w:val="0011417F"/>
    <w:rsid w:val="001145EB"/>
    <w:rsid w:val="001146B6"/>
    <w:rsid w:val="0011474C"/>
    <w:rsid w:val="001148A3"/>
    <w:rsid w:val="00114947"/>
    <w:rsid w:val="001149ED"/>
    <w:rsid w:val="00114CCC"/>
    <w:rsid w:val="00114D73"/>
    <w:rsid w:val="00114E05"/>
    <w:rsid w:val="00114F3C"/>
    <w:rsid w:val="00114F93"/>
    <w:rsid w:val="0011510D"/>
    <w:rsid w:val="001153A8"/>
    <w:rsid w:val="00115A14"/>
    <w:rsid w:val="00115BFE"/>
    <w:rsid w:val="001162B3"/>
    <w:rsid w:val="001163EA"/>
    <w:rsid w:val="00116434"/>
    <w:rsid w:val="00116528"/>
    <w:rsid w:val="0011664D"/>
    <w:rsid w:val="00116961"/>
    <w:rsid w:val="00116AC3"/>
    <w:rsid w:val="00116B62"/>
    <w:rsid w:val="00116BBE"/>
    <w:rsid w:val="00116C85"/>
    <w:rsid w:val="00116EC0"/>
    <w:rsid w:val="00116F1D"/>
    <w:rsid w:val="0011701C"/>
    <w:rsid w:val="001170C2"/>
    <w:rsid w:val="001171BE"/>
    <w:rsid w:val="00117289"/>
    <w:rsid w:val="001172C6"/>
    <w:rsid w:val="001173AD"/>
    <w:rsid w:val="00117789"/>
    <w:rsid w:val="00117AC1"/>
    <w:rsid w:val="00117B6C"/>
    <w:rsid w:val="00117C40"/>
    <w:rsid w:val="00117DDF"/>
    <w:rsid w:val="00117DF5"/>
    <w:rsid w:val="00117FA7"/>
    <w:rsid w:val="001202D0"/>
    <w:rsid w:val="00120399"/>
    <w:rsid w:val="001206D8"/>
    <w:rsid w:val="001207B4"/>
    <w:rsid w:val="00120A50"/>
    <w:rsid w:val="00120A81"/>
    <w:rsid w:val="00120AC2"/>
    <w:rsid w:val="00120B3F"/>
    <w:rsid w:val="00120FEA"/>
    <w:rsid w:val="001216F7"/>
    <w:rsid w:val="00121A5E"/>
    <w:rsid w:val="00121AE2"/>
    <w:rsid w:val="00121B1A"/>
    <w:rsid w:val="00121BAC"/>
    <w:rsid w:val="00121C36"/>
    <w:rsid w:val="00121EBA"/>
    <w:rsid w:val="00121EF3"/>
    <w:rsid w:val="00121FD4"/>
    <w:rsid w:val="0012204F"/>
    <w:rsid w:val="00122315"/>
    <w:rsid w:val="0012233C"/>
    <w:rsid w:val="00122365"/>
    <w:rsid w:val="001223AC"/>
    <w:rsid w:val="0012266C"/>
    <w:rsid w:val="0012268E"/>
    <w:rsid w:val="00122842"/>
    <w:rsid w:val="0012289C"/>
    <w:rsid w:val="001229AE"/>
    <w:rsid w:val="001230D6"/>
    <w:rsid w:val="00123162"/>
    <w:rsid w:val="00123271"/>
    <w:rsid w:val="0012334B"/>
    <w:rsid w:val="001233A2"/>
    <w:rsid w:val="00123731"/>
    <w:rsid w:val="00123743"/>
    <w:rsid w:val="00123784"/>
    <w:rsid w:val="00123846"/>
    <w:rsid w:val="00123959"/>
    <w:rsid w:val="00123AA3"/>
    <w:rsid w:val="00123AFB"/>
    <w:rsid w:val="00123C53"/>
    <w:rsid w:val="001240A5"/>
    <w:rsid w:val="00124229"/>
    <w:rsid w:val="00124316"/>
    <w:rsid w:val="00124347"/>
    <w:rsid w:val="00124351"/>
    <w:rsid w:val="00124453"/>
    <w:rsid w:val="00124484"/>
    <w:rsid w:val="0012467B"/>
    <w:rsid w:val="001246E4"/>
    <w:rsid w:val="00124714"/>
    <w:rsid w:val="00124749"/>
    <w:rsid w:val="00124827"/>
    <w:rsid w:val="00124AA8"/>
    <w:rsid w:val="00124D22"/>
    <w:rsid w:val="00124DF5"/>
    <w:rsid w:val="00124F34"/>
    <w:rsid w:val="00124F85"/>
    <w:rsid w:val="001252DA"/>
    <w:rsid w:val="0012535F"/>
    <w:rsid w:val="001254EB"/>
    <w:rsid w:val="0012577F"/>
    <w:rsid w:val="00125C2D"/>
    <w:rsid w:val="00125EDB"/>
    <w:rsid w:val="00125FE4"/>
    <w:rsid w:val="0012659E"/>
    <w:rsid w:val="001265A8"/>
    <w:rsid w:val="001265B6"/>
    <w:rsid w:val="00126824"/>
    <w:rsid w:val="00126885"/>
    <w:rsid w:val="0012688B"/>
    <w:rsid w:val="001269D4"/>
    <w:rsid w:val="00126C16"/>
    <w:rsid w:val="00126D6E"/>
    <w:rsid w:val="00126E03"/>
    <w:rsid w:val="00126E25"/>
    <w:rsid w:val="00126EB6"/>
    <w:rsid w:val="00126FA4"/>
    <w:rsid w:val="001271B2"/>
    <w:rsid w:val="001277B5"/>
    <w:rsid w:val="00127857"/>
    <w:rsid w:val="001279EE"/>
    <w:rsid w:val="00127A5A"/>
    <w:rsid w:val="00127AE5"/>
    <w:rsid w:val="00127C49"/>
    <w:rsid w:val="00127DBF"/>
    <w:rsid w:val="001305AB"/>
    <w:rsid w:val="00130656"/>
    <w:rsid w:val="00130727"/>
    <w:rsid w:val="001307ED"/>
    <w:rsid w:val="001307F5"/>
    <w:rsid w:val="00130B21"/>
    <w:rsid w:val="00130CA3"/>
    <w:rsid w:val="00130F2E"/>
    <w:rsid w:val="001310CD"/>
    <w:rsid w:val="00131125"/>
    <w:rsid w:val="0013126D"/>
    <w:rsid w:val="001315A5"/>
    <w:rsid w:val="001316D0"/>
    <w:rsid w:val="0013199C"/>
    <w:rsid w:val="001319A5"/>
    <w:rsid w:val="00131A82"/>
    <w:rsid w:val="00131B55"/>
    <w:rsid w:val="00131C8B"/>
    <w:rsid w:val="00131F95"/>
    <w:rsid w:val="0013220A"/>
    <w:rsid w:val="001322D8"/>
    <w:rsid w:val="00132466"/>
    <w:rsid w:val="001324C4"/>
    <w:rsid w:val="00132719"/>
    <w:rsid w:val="00132A1C"/>
    <w:rsid w:val="00132A24"/>
    <w:rsid w:val="00132D9A"/>
    <w:rsid w:val="00133144"/>
    <w:rsid w:val="001333CA"/>
    <w:rsid w:val="00133631"/>
    <w:rsid w:val="0013399B"/>
    <w:rsid w:val="00133B61"/>
    <w:rsid w:val="00133C41"/>
    <w:rsid w:val="00133CBD"/>
    <w:rsid w:val="00133E22"/>
    <w:rsid w:val="0013407D"/>
    <w:rsid w:val="001340BA"/>
    <w:rsid w:val="0013418C"/>
    <w:rsid w:val="0013430D"/>
    <w:rsid w:val="001343A8"/>
    <w:rsid w:val="00134503"/>
    <w:rsid w:val="0013466C"/>
    <w:rsid w:val="00134815"/>
    <w:rsid w:val="0013487E"/>
    <w:rsid w:val="0013497A"/>
    <w:rsid w:val="0013498D"/>
    <w:rsid w:val="00134A8C"/>
    <w:rsid w:val="00134B23"/>
    <w:rsid w:val="00134B7E"/>
    <w:rsid w:val="00135025"/>
    <w:rsid w:val="001351C4"/>
    <w:rsid w:val="0013543D"/>
    <w:rsid w:val="001356B2"/>
    <w:rsid w:val="001356CA"/>
    <w:rsid w:val="00135AAF"/>
    <w:rsid w:val="00135D5A"/>
    <w:rsid w:val="00135D92"/>
    <w:rsid w:val="00135E7B"/>
    <w:rsid w:val="00135E8C"/>
    <w:rsid w:val="00135F10"/>
    <w:rsid w:val="00135FF0"/>
    <w:rsid w:val="00136146"/>
    <w:rsid w:val="00136688"/>
    <w:rsid w:val="0013669D"/>
    <w:rsid w:val="001368F4"/>
    <w:rsid w:val="00136C49"/>
    <w:rsid w:val="00136EAF"/>
    <w:rsid w:val="00137269"/>
    <w:rsid w:val="001372A6"/>
    <w:rsid w:val="0013730A"/>
    <w:rsid w:val="00137448"/>
    <w:rsid w:val="0013786A"/>
    <w:rsid w:val="001378E6"/>
    <w:rsid w:val="00137973"/>
    <w:rsid w:val="00137977"/>
    <w:rsid w:val="00137ABF"/>
    <w:rsid w:val="00137B1A"/>
    <w:rsid w:val="00137C63"/>
    <w:rsid w:val="00137D2D"/>
    <w:rsid w:val="00137FB5"/>
    <w:rsid w:val="00137FE1"/>
    <w:rsid w:val="001401D4"/>
    <w:rsid w:val="0014027C"/>
    <w:rsid w:val="0014047E"/>
    <w:rsid w:val="0014050F"/>
    <w:rsid w:val="00140650"/>
    <w:rsid w:val="00140A3A"/>
    <w:rsid w:val="00140BE3"/>
    <w:rsid w:val="00140F7A"/>
    <w:rsid w:val="00141095"/>
    <w:rsid w:val="00141158"/>
    <w:rsid w:val="001413DD"/>
    <w:rsid w:val="00141480"/>
    <w:rsid w:val="001414B3"/>
    <w:rsid w:val="0014182D"/>
    <w:rsid w:val="001419A0"/>
    <w:rsid w:val="00141AD6"/>
    <w:rsid w:val="00141B93"/>
    <w:rsid w:val="001421F0"/>
    <w:rsid w:val="0014276D"/>
    <w:rsid w:val="0014289A"/>
    <w:rsid w:val="00142CCF"/>
    <w:rsid w:val="00142E8D"/>
    <w:rsid w:val="00142F07"/>
    <w:rsid w:val="00142F31"/>
    <w:rsid w:val="00142FCF"/>
    <w:rsid w:val="00143130"/>
    <w:rsid w:val="0014316F"/>
    <w:rsid w:val="001431B3"/>
    <w:rsid w:val="001431CB"/>
    <w:rsid w:val="00143382"/>
    <w:rsid w:val="0014340E"/>
    <w:rsid w:val="00143694"/>
    <w:rsid w:val="001436B5"/>
    <w:rsid w:val="0014385F"/>
    <w:rsid w:val="00143B5C"/>
    <w:rsid w:val="00143DB3"/>
    <w:rsid w:val="00143F97"/>
    <w:rsid w:val="001441CC"/>
    <w:rsid w:val="00144545"/>
    <w:rsid w:val="00144D74"/>
    <w:rsid w:val="00144DEB"/>
    <w:rsid w:val="00144F6B"/>
    <w:rsid w:val="00145293"/>
    <w:rsid w:val="0014551E"/>
    <w:rsid w:val="0014558C"/>
    <w:rsid w:val="0014559E"/>
    <w:rsid w:val="0014560C"/>
    <w:rsid w:val="001457B5"/>
    <w:rsid w:val="001458AF"/>
    <w:rsid w:val="00145920"/>
    <w:rsid w:val="00145D13"/>
    <w:rsid w:val="00145D3D"/>
    <w:rsid w:val="00145E5A"/>
    <w:rsid w:val="00145E98"/>
    <w:rsid w:val="001461C4"/>
    <w:rsid w:val="001461D5"/>
    <w:rsid w:val="0014641C"/>
    <w:rsid w:val="00146930"/>
    <w:rsid w:val="0014694E"/>
    <w:rsid w:val="00146C35"/>
    <w:rsid w:val="00146D3A"/>
    <w:rsid w:val="00146DC5"/>
    <w:rsid w:val="00146DCE"/>
    <w:rsid w:val="00146E6F"/>
    <w:rsid w:val="001471A4"/>
    <w:rsid w:val="001471E5"/>
    <w:rsid w:val="0014723C"/>
    <w:rsid w:val="0014747F"/>
    <w:rsid w:val="00147677"/>
    <w:rsid w:val="001477A2"/>
    <w:rsid w:val="0014792B"/>
    <w:rsid w:val="00147A5E"/>
    <w:rsid w:val="00147CF9"/>
    <w:rsid w:val="00147EBE"/>
    <w:rsid w:val="00147EED"/>
    <w:rsid w:val="00147F1A"/>
    <w:rsid w:val="00147FEC"/>
    <w:rsid w:val="001503CD"/>
    <w:rsid w:val="00150643"/>
    <w:rsid w:val="001508AA"/>
    <w:rsid w:val="0015097F"/>
    <w:rsid w:val="001509DE"/>
    <w:rsid w:val="00150BAC"/>
    <w:rsid w:val="00150C9D"/>
    <w:rsid w:val="00150CD3"/>
    <w:rsid w:val="00150D13"/>
    <w:rsid w:val="00150E2F"/>
    <w:rsid w:val="00150ED4"/>
    <w:rsid w:val="00151154"/>
    <w:rsid w:val="00151200"/>
    <w:rsid w:val="0015131E"/>
    <w:rsid w:val="00151625"/>
    <w:rsid w:val="001519A7"/>
    <w:rsid w:val="00151A85"/>
    <w:rsid w:val="00151B55"/>
    <w:rsid w:val="00151E8A"/>
    <w:rsid w:val="001522BC"/>
    <w:rsid w:val="001523B2"/>
    <w:rsid w:val="001524BE"/>
    <w:rsid w:val="00152818"/>
    <w:rsid w:val="00152990"/>
    <w:rsid w:val="00152CFC"/>
    <w:rsid w:val="001530DA"/>
    <w:rsid w:val="0015325E"/>
    <w:rsid w:val="00153265"/>
    <w:rsid w:val="00153276"/>
    <w:rsid w:val="00153344"/>
    <w:rsid w:val="001537AC"/>
    <w:rsid w:val="0015394B"/>
    <w:rsid w:val="00153C3A"/>
    <w:rsid w:val="00153F2E"/>
    <w:rsid w:val="001541E9"/>
    <w:rsid w:val="0015422E"/>
    <w:rsid w:val="001542E5"/>
    <w:rsid w:val="0015446D"/>
    <w:rsid w:val="001545C1"/>
    <w:rsid w:val="00154829"/>
    <w:rsid w:val="00154A24"/>
    <w:rsid w:val="00154CC1"/>
    <w:rsid w:val="001551A0"/>
    <w:rsid w:val="001553C8"/>
    <w:rsid w:val="00155450"/>
    <w:rsid w:val="001555D5"/>
    <w:rsid w:val="00155620"/>
    <w:rsid w:val="001556F0"/>
    <w:rsid w:val="00155A5E"/>
    <w:rsid w:val="00155B53"/>
    <w:rsid w:val="00155B5C"/>
    <w:rsid w:val="00155C3D"/>
    <w:rsid w:val="00155C71"/>
    <w:rsid w:val="00155E1A"/>
    <w:rsid w:val="00155E6E"/>
    <w:rsid w:val="00155F2F"/>
    <w:rsid w:val="00156401"/>
    <w:rsid w:val="00156471"/>
    <w:rsid w:val="00156473"/>
    <w:rsid w:val="001565A6"/>
    <w:rsid w:val="00156746"/>
    <w:rsid w:val="001567BD"/>
    <w:rsid w:val="00156A2B"/>
    <w:rsid w:val="00156B63"/>
    <w:rsid w:val="00156B92"/>
    <w:rsid w:val="00156CA6"/>
    <w:rsid w:val="00156F0D"/>
    <w:rsid w:val="00156F19"/>
    <w:rsid w:val="00156FE9"/>
    <w:rsid w:val="00157265"/>
    <w:rsid w:val="001572F4"/>
    <w:rsid w:val="001576A9"/>
    <w:rsid w:val="0015770D"/>
    <w:rsid w:val="001577AF"/>
    <w:rsid w:val="00157E4D"/>
    <w:rsid w:val="0015ED57"/>
    <w:rsid w:val="001604E2"/>
    <w:rsid w:val="0016075B"/>
    <w:rsid w:val="00160BD3"/>
    <w:rsid w:val="00160C5E"/>
    <w:rsid w:val="00160CFB"/>
    <w:rsid w:val="00160D29"/>
    <w:rsid w:val="00160F21"/>
    <w:rsid w:val="00161059"/>
    <w:rsid w:val="001611E5"/>
    <w:rsid w:val="0016158D"/>
    <w:rsid w:val="001615CC"/>
    <w:rsid w:val="0016160D"/>
    <w:rsid w:val="001616FA"/>
    <w:rsid w:val="00161878"/>
    <w:rsid w:val="001618F2"/>
    <w:rsid w:val="00161911"/>
    <w:rsid w:val="001619AB"/>
    <w:rsid w:val="001619FD"/>
    <w:rsid w:val="00161A48"/>
    <w:rsid w:val="00161B9E"/>
    <w:rsid w:val="00161C57"/>
    <w:rsid w:val="00161C6D"/>
    <w:rsid w:val="00161CBF"/>
    <w:rsid w:val="00161D11"/>
    <w:rsid w:val="00162087"/>
    <w:rsid w:val="0016242C"/>
    <w:rsid w:val="00162631"/>
    <w:rsid w:val="0016263B"/>
    <w:rsid w:val="00162B7C"/>
    <w:rsid w:val="00162C33"/>
    <w:rsid w:val="00162C67"/>
    <w:rsid w:val="00162FF1"/>
    <w:rsid w:val="00163195"/>
    <w:rsid w:val="00163234"/>
    <w:rsid w:val="0016343F"/>
    <w:rsid w:val="001637E9"/>
    <w:rsid w:val="0016380C"/>
    <w:rsid w:val="00163BA5"/>
    <w:rsid w:val="00163CC7"/>
    <w:rsid w:val="00164075"/>
    <w:rsid w:val="001640BD"/>
    <w:rsid w:val="00164257"/>
    <w:rsid w:val="001642B1"/>
    <w:rsid w:val="001645D8"/>
    <w:rsid w:val="00164641"/>
    <w:rsid w:val="001647E4"/>
    <w:rsid w:val="001647E9"/>
    <w:rsid w:val="00164DCC"/>
    <w:rsid w:val="0016529E"/>
    <w:rsid w:val="0016534E"/>
    <w:rsid w:val="0016536C"/>
    <w:rsid w:val="001653D5"/>
    <w:rsid w:val="00165767"/>
    <w:rsid w:val="00165AC8"/>
    <w:rsid w:val="00165B07"/>
    <w:rsid w:val="00165D63"/>
    <w:rsid w:val="00165DD7"/>
    <w:rsid w:val="00165EEF"/>
    <w:rsid w:val="001662E2"/>
    <w:rsid w:val="0016651F"/>
    <w:rsid w:val="00166576"/>
    <w:rsid w:val="001665A6"/>
    <w:rsid w:val="00166926"/>
    <w:rsid w:val="00166935"/>
    <w:rsid w:val="0016698F"/>
    <w:rsid w:val="00167619"/>
    <w:rsid w:val="00167723"/>
    <w:rsid w:val="00167873"/>
    <w:rsid w:val="001679D5"/>
    <w:rsid w:val="00167CD7"/>
    <w:rsid w:val="00170116"/>
    <w:rsid w:val="001705C9"/>
    <w:rsid w:val="00170A8C"/>
    <w:rsid w:val="00170BD8"/>
    <w:rsid w:val="00170D9F"/>
    <w:rsid w:val="00170F24"/>
    <w:rsid w:val="00170F3B"/>
    <w:rsid w:val="00170FFC"/>
    <w:rsid w:val="00171045"/>
    <w:rsid w:val="0017120C"/>
    <w:rsid w:val="00171339"/>
    <w:rsid w:val="00171519"/>
    <w:rsid w:val="00171578"/>
    <w:rsid w:val="00171774"/>
    <w:rsid w:val="0017177A"/>
    <w:rsid w:val="0017177C"/>
    <w:rsid w:val="0017197A"/>
    <w:rsid w:val="00171F3B"/>
    <w:rsid w:val="00172146"/>
    <w:rsid w:val="00172397"/>
    <w:rsid w:val="001725F7"/>
    <w:rsid w:val="001728D2"/>
    <w:rsid w:val="00172901"/>
    <w:rsid w:val="00172C40"/>
    <w:rsid w:val="00172D9A"/>
    <w:rsid w:val="00172E2E"/>
    <w:rsid w:val="00172FD2"/>
    <w:rsid w:val="0017328F"/>
    <w:rsid w:val="001736CA"/>
    <w:rsid w:val="001736E6"/>
    <w:rsid w:val="001739E7"/>
    <w:rsid w:val="00173DFA"/>
    <w:rsid w:val="00173E15"/>
    <w:rsid w:val="0017410B"/>
    <w:rsid w:val="0017424E"/>
    <w:rsid w:val="0017450D"/>
    <w:rsid w:val="0017488F"/>
    <w:rsid w:val="00174AA8"/>
    <w:rsid w:val="00174C5E"/>
    <w:rsid w:val="00174D5B"/>
    <w:rsid w:val="00174DC9"/>
    <w:rsid w:val="00174E38"/>
    <w:rsid w:val="00174E69"/>
    <w:rsid w:val="00174F7D"/>
    <w:rsid w:val="00174FFE"/>
    <w:rsid w:val="00175178"/>
    <w:rsid w:val="001751CE"/>
    <w:rsid w:val="0017525F"/>
    <w:rsid w:val="001754B6"/>
    <w:rsid w:val="0017567E"/>
    <w:rsid w:val="00175C8E"/>
    <w:rsid w:val="00175CC9"/>
    <w:rsid w:val="00175D8D"/>
    <w:rsid w:val="00175F0D"/>
    <w:rsid w:val="001760D7"/>
    <w:rsid w:val="00176294"/>
    <w:rsid w:val="00176334"/>
    <w:rsid w:val="00176365"/>
    <w:rsid w:val="001765FA"/>
    <w:rsid w:val="001766C3"/>
    <w:rsid w:val="001766F6"/>
    <w:rsid w:val="00176A01"/>
    <w:rsid w:val="00176A1E"/>
    <w:rsid w:val="00176A56"/>
    <w:rsid w:val="00176AC3"/>
    <w:rsid w:val="00176B7A"/>
    <w:rsid w:val="00176D9C"/>
    <w:rsid w:val="00176F65"/>
    <w:rsid w:val="00176F9D"/>
    <w:rsid w:val="00177165"/>
    <w:rsid w:val="001774C1"/>
    <w:rsid w:val="00177507"/>
    <w:rsid w:val="001776AE"/>
    <w:rsid w:val="00177900"/>
    <w:rsid w:val="00177B19"/>
    <w:rsid w:val="00177B90"/>
    <w:rsid w:val="00177C69"/>
    <w:rsid w:val="00180020"/>
    <w:rsid w:val="001803BE"/>
    <w:rsid w:val="0018078C"/>
    <w:rsid w:val="0018082D"/>
    <w:rsid w:val="00180844"/>
    <w:rsid w:val="00180A23"/>
    <w:rsid w:val="00180A87"/>
    <w:rsid w:val="00180BB8"/>
    <w:rsid w:val="00180C5E"/>
    <w:rsid w:val="00180CD4"/>
    <w:rsid w:val="00180E26"/>
    <w:rsid w:val="00180E83"/>
    <w:rsid w:val="0018131F"/>
    <w:rsid w:val="001817DC"/>
    <w:rsid w:val="001818D3"/>
    <w:rsid w:val="00181A3F"/>
    <w:rsid w:val="00181A43"/>
    <w:rsid w:val="00181BF0"/>
    <w:rsid w:val="00181CD0"/>
    <w:rsid w:val="00181D4B"/>
    <w:rsid w:val="00181E50"/>
    <w:rsid w:val="00181EC3"/>
    <w:rsid w:val="00182021"/>
    <w:rsid w:val="00182061"/>
    <w:rsid w:val="001820AA"/>
    <w:rsid w:val="00182518"/>
    <w:rsid w:val="00182AD6"/>
    <w:rsid w:val="00182B87"/>
    <w:rsid w:val="00182ED1"/>
    <w:rsid w:val="00183007"/>
    <w:rsid w:val="00183114"/>
    <w:rsid w:val="00183210"/>
    <w:rsid w:val="0018321F"/>
    <w:rsid w:val="001832BA"/>
    <w:rsid w:val="001833D8"/>
    <w:rsid w:val="00183567"/>
    <w:rsid w:val="00183577"/>
    <w:rsid w:val="001835BC"/>
    <w:rsid w:val="00183B51"/>
    <w:rsid w:val="00183B7A"/>
    <w:rsid w:val="00183E2C"/>
    <w:rsid w:val="001840D1"/>
    <w:rsid w:val="00184168"/>
    <w:rsid w:val="001841B4"/>
    <w:rsid w:val="0018458B"/>
    <w:rsid w:val="00184696"/>
    <w:rsid w:val="0018471E"/>
    <w:rsid w:val="0018483D"/>
    <w:rsid w:val="00184846"/>
    <w:rsid w:val="001849CF"/>
    <w:rsid w:val="00184AC5"/>
    <w:rsid w:val="00184D0D"/>
    <w:rsid w:val="00184D15"/>
    <w:rsid w:val="00184D2B"/>
    <w:rsid w:val="00184E72"/>
    <w:rsid w:val="00185031"/>
    <w:rsid w:val="001850A0"/>
    <w:rsid w:val="00185175"/>
    <w:rsid w:val="001851E7"/>
    <w:rsid w:val="0018589A"/>
    <w:rsid w:val="001858C5"/>
    <w:rsid w:val="00185B13"/>
    <w:rsid w:val="00186090"/>
    <w:rsid w:val="001863CF"/>
    <w:rsid w:val="001864E6"/>
    <w:rsid w:val="0018655F"/>
    <w:rsid w:val="00186FC5"/>
    <w:rsid w:val="00187020"/>
    <w:rsid w:val="001870F9"/>
    <w:rsid w:val="00187100"/>
    <w:rsid w:val="00187339"/>
    <w:rsid w:val="0018743B"/>
    <w:rsid w:val="00187666"/>
    <w:rsid w:val="0018776B"/>
    <w:rsid w:val="00187A43"/>
    <w:rsid w:val="00187A99"/>
    <w:rsid w:val="00187B95"/>
    <w:rsid w:val="00187D52"/>
    <w:rsid w:val="00187DE7"/>
    <w:rsid w:val="00187EF0"/>
    <w:rsid w:val="00190333"/>
    <w:rsid w:val="0019059A"/>
    <w:rsid w:val="001906B4"/>
    <w:rsid w:val="00190A47"/>
    <w:rsid w:val="00190D25"/>
    <w:rsid w:val="00190E2B"/>
    <w:rsid w:val="001913DE"/>
    <w:rsid w:val="00191455"/>
    <w:rsid w:val="001916E6"/>
    <w:rsid w:val="0019173D"/>
    <w:rsid w:val="00191831"/>
    <w:rsid w:val="001919B8"/>
    <w:rsid w:val="001919E2"/>
    <w:rsid w:val="00191BA0"/>
    <w:rsid w:val="00191D7D"/>
    <w:rsid w:val="00192012"/>
    <w:rsid w:val="001920BD"/>
    <w:rsid w:val="001921B9"/>
    <w:rsid w:val="001925CF"/>
    <w:rsid w:val="00192969"/>
    <w:rsid w:val="0019296D"/>
    <w:rsid w:val="00192A4F"/>
    <w:rsid w:val="00192CE6"/>
    <w:rsid w:val="00192F1F"/>
    <w:rsid w:val="00193095"/>
    <w:rsid w:val="00193685"/>
    <w:rsid w:val="001936FD"/>
    <w:rsid w:val="0019376C"/>
    <w:rsid w:val="00193A54"/>
    <w:rsid w:val="00193ABE"/>
    <w:rsid w:val="00193B4D"/>
    <w:rsid w:val="00193CEC"/>
    <w:rsid w:val="00193F5C"/>
    <w:rsid w:val="001940C3"/>
    <w:rsid w:val="001942E6"/>
    <w:rsid w:val="0019434F"/>
    <w:rsid w:val="0019481A"/>
    <w:rsid w:val="0019496B"/>
    <w:rsid w:val="00194A40"/>
    <w:rsid w:val="00194E8B"/>
    <w:rsid w:val="00194FF3"/>
    <w:rsid w:val="00195070"/>
    <w:rsid w:val="001950F5"/>
    <w:rsid w:val="001951EE"/>
    <w:rsid w:val="00195255"/>
    <w:rsid w:val="00195291"/>
    <w:rsid w:val="0019530A"/>
    <w:rsid w:val="00195333"/>
    <w:rsid w:val="00195B4B"/>
    <w:rsid w:val="00196288"/>
    <w:rsid w:val="0019648B"/>
    <w:rsid w:val="00196500"/>
    <w:rsid w:val="001966A6"/>
    <w:rsid w:val="0019689D"/>
    <w:rsid w:val="001971E4"/>
    <w:rsid w:val="0019724E"/>
    <w:rsid w:val="00197348"/>
    <w:rsid w:val="001975B7"/>
    <w:rsid w:val="0019770A"/>
    <w:rsid w:val="00197845"/>
    <w:rsid w:val="001978A9"/>
    <w:rsid w:val="00197ABC"/>
    <w:rsid w:val="00197B37"/>
    <w:rsid w:val="00197BFD"/>
    <w:rsid w:val="00197E5D"/>
    <w:rsid w:val="00197FA2"/>
    <w:rsid w:val="001A00D3"/>
    <w:rsid w:val="001A0266"/>
    <w:rsid w:val="001A03C8"/>
    <w:rsid w:val="001A0508"/>
    <w:rsid w:val="001A0704"/>
    <w:rsid w:val="001A08DF"/>
    <w:rsid w:val="001A0A19"/>
    <w:rsid w:val="001A0A3F"/>
    <w:rsid w:val="001A0B15"/>
    <w:rsid w:val="001A0B26"/>
    <w:rsid w:val="001A0B66"/>
    <w:rsid w:val="001A0C27"/>
    <w:rsid w:val="001A0C52"/>
    <w:rsid w:val="001A1019"/>
    <w:rsid w:val="001A12DD"/>
    <w:rsid w:val="001A138D"/>
    <w:rsid w:val="001A13F4"/>
    <w:rsid w:val="001A160D"/>
    <w:rsid w:val="001A1630"/>
    <w:rsid w:val="001A182A"/>
    <w:rsid w:val="001A19C9"/>
    <w:rsid w:val="001A1B05"/>
    <w:rsid w:val="001A1B69"/>
    <w:rsid w:val="001A1E4C"/>
    <w:rsid w:val="001A1E60"/>
    <w:rsid w:val="001A1E95"/>
    <w:rsid w:val="001A1F90"/>
    <w:rsid w:val="001A1FB7"/>
    <w:rsid w:val="001A20CD"/>
    <w:rsid w:val="001A24EA"/>
    <w:rsid w:val="001A260F"/>
    <w:rsid w:val="001A26B1"/>
    <w:rsid w:val="001A27D3"/>
    <w:rsid w:val="001A28FA"/>
    <w:rsid w:val="001A2D58"/>
    <w:rsid w:val="001A2FF3"/>
    <w:rsid w:val="001A3032"/>
    <w:rsid w:val="001A3384"/>
    <w:rsid w:val="001A33AC"/>
    <w:rsid w:val="001A3653"/>
    <w:rsid w:val="001A395D"/>
    <w:rsid w:val="001A3A29"/>
    <w:rsid w:val="001A3A4A"/>
    <w:rsid w:val="001A3A8E"/>
    <w:rsid w:val="001A3B01"/>
    <w:rsid w:val="001A3D3E"/>
    <w:rsid w:val="001A3DC7"/>
    <w:rsid w:val="001A3FB5"/>
    <w:rsid w:val="001A42D9"/>
    <w:rsid w:val="001A42E9"/>
    <w:rsid w:val="001A442C"/>
    <w:rsid w:val="001A4444"/>
    <w:rsid w:val="001A457C"/>
    <w:rsid w:val="001A4642"/>
    <w:rsid w:val="001A4705"/>
    <w:rsid w:val="001A47F0"/>
    <w:rsid w:val="001A4837"/>
    <w:rsid w:val="001A499F"/>
    <w:rsid w:val="001A4B7A"/>
    <w:rsid w:val="001A4C81"/>
    <w:rsid w:val="001A4D17"/>
    <w:rsid w:val="001A4DA6"/>
    <w:rsid w:val="001A4F83"/>
    <w:rsid w:val="001A55B9"/>
    <w:rsid w:val="001A57A7"/>
    <w:rsid w:val="001A59F1"/>
    <w:rsid w:val="001A5A78"/>
    <w:rsid w:val="001A5B94"/>
    <w:rsid w:val="001A5BE9"/>
    <w:rsid w:val="001A5D2A"/>
    <w:rsid w:val="001A5E2F"/>
    <w:rsid w:val="001A6302"/>
    <w:rsid w:val="001A639A"/>
    <w:rsid w:val="001A63E7"/>
    <w:rsid w:val="001A694B"/>
    <w:rsid w:val="001A69F1"/>
    <w:rsid w:val="001A6B61"/>
    <w:rsid w:val="001A6D6A"/>
    <w:rsid w:val="001A6E30"/>
    <w:rsid w:val="001A711E"/>
    <w:rsid w:val="001A7293"/>
    <w:rsid w:val="001A75F6"/>
    <w:rsid w:val="001A7773"/>
    <w:rsid w:val="001A78CD"/>
    <w:rsid w:val="001A7905"/>
    <w:rsid w:val="001A7AD8"/>
    <w:rsid w:val="001A7C95"/>
    <w:rsid w:val="001B0056"/>
    <w:rsid w:val="001B02D7"/>
    <w:rsid w:val="001B0440"/>
    <w:rsid w:val="001B0447"/>
    <w:rsid w:val="001B05C0"/>
    <w:rsid w:val="001B0817"/>
    <w:rsid w:val="001B09E3"/>
    <w:rsid w:val="001B0B59"/>
    <w:rsid w:val="001B0BF5"/>
    <w:rsid w:val="001B0CDC"/>
    <w:rsid w:val="001B0D93"/>
    <w:rsid w:val="001B0EB6"/>
    <w:rsid w:val="001B0EFE"/>
    <w:rsid w:val="001B10EA"/>
    <w:rsid w:val="001B1243"/>
    <w:rsid w:val="001B14C5"/>
    <w:rsid w:val="001B1526"/>
    <w:rsid w:val="001B163A"/>
    <w:rsid w:val="001B1644"/>
    <w:rsid w:val="001B18B7"/>
    <w:rsid w:val="001B1A87"/>
    <w:rsid w:val="001B1A88"/>
    <w:rsid w:val="001B1B09"/>
    <w:rsid w:val="001B1CCD"/>
    <w:rsid w:val="001B1F23"/>
    <w:rsid w:val="001B223F"/>
    <w:rsid w:val="001B227E"/>
    <w:rsid w:val="001B2440"/>
    <w:rsid w:val="001B2580"/>
    <w:rsid w:val="001B2622"/>
    <w:rsid w:val="001B282A"/>
    <w:rsid w:val="001B28D8"/>
    <w:rsid w:val="001B2914"/>
    <w:rsid w:val="001B2925"/>
    <w:rsid w:val="001B2A75"/>
    <w:rsid w:val="001B2C13"/>
    <w:rsid w:val="001B2D93"/>
    <w:rsid w:val="001B32C3"/>
    <w:rsid w:val="001B3567"/>
    <w:rsid w:val="001B3A51"/>
    <w:rsid w:val="001B3B03"/>
    <w:rsid w:val="001B3C45"/>
    <w:rsid w:val="001B3CC4"/>
    <w:rsid w:val="001B3EEC"/>
    <w:rsid w:val="001B4317"/>
    <w:rsid w:val="001B43FE"/>
    <w:rsid w:val="001B44CE"/>
    <w:rsid w:val="001B4709"/>
    <w:rsid w:val="001B493A"/>
    <w:rsid w:val="001B4ABA"/>
    <w:rsid w:val="001B4D65"/>
    <w:rsid w:val="001B4D73"/>
    <w:rsid w:val="001B4E53"/>
    <w:rsid w:val="001B4F8B"/>
    <w:rsid w:val="001B5226"/>
    <w:rsid w:val="001B5457"/>
    <w:rsid w:val="001B54CF"/>
    <w:rsid w:val="001B5899"/>
    <w:rsid w:val="001B59B1"/>
    <w:rsid w:val="001B5DE5"/>
    <w:rsid w:val="001B6441"/>
    <w:rsid w:val="001B6452"/>
    <w:rsid w:val="001B66EA"/>
    <w:rsid w:val="001B675D"/>
    <w:rsid w:val="001B67C6"/>
    <w:rsid w:val="001B682F"/>
    <w:rsid w:val="001B6B76"/>
    <w:rsid w:val="001B6B99"/>
    <w:rsid w:val="001B6EA4"/>
    <w:rsid w:val="001B6ED4"/>
    <w:rsid w:val="001B723E"/>
    <w:rsid w:val="001B7264"/>
    <w:rsid w:val="001B730A"/>
    <w:rsid w:val="001B76D8"/>
    <w:rsid w:val="001B76DA"/>
    <w:rsid w:val="001B7766"/>
    <w:rsid w:val="001B779E"/>
    <w:rsid w:val="001B781B"/>
    <w:rsid w:val="001B7A07"/>
    <w:rsid w:val="001B7A54"/>
    <w:rsid w:val="001B7AFB"/>
    <w:rsid w:val="001B7B72"/>
    <w:rsid w:val="001B7D6A"/>
    <w:rsid w:val="001C0362"/>
    <w:rsid w:val="001C0485"/>
    <w:rsid w:val="001C060E"/>
    <w:rsid w:val="001C0E55"/>
    <w:rsid w:val="001C0EC3"/>
    <w:rsid w:val="001C10BA"/>
    <w:rsid w:val="001C1116"/>
    <w:rsid w:val="001C11EE"/>
    <w:rsid w:val="001C14C8"/>
    <w:rsid w:val="001C1619"/>
    <w:rsid w:val="001C188A"/>
    <w:rsid w:val="001C18FB"/>
    <w:rsid w:val="001C1911"/>
    <w:rsid w:val="001C1A19"/>
    <w:rsid w:val="001C1BB0"/>
    <w:rsid w:val="001C1D51"/>
    <w:rsid w:val="001C1E97"/>
    <w:rsid w:val="001C1F4A"/>
    <w:rsid w:val="001C207D"/>
    <w:rsid w:val="001C21A1"/>
    <w:rsid w:val="001C21C1"/>
    <w:rsid w:val="001C2205"/>
    <w:rsid w:val="001C225D"/>
    <w:rsid w:val="001C22DF"/>
    <w:rsid w:val="001C2401"/>
    <w:rsid w:val="001C2446"/>
    <w:rsid w:val="001C27C1"/>
    <w:rsid w:val="001C312B"/>
    <w:rsid w:val="001C3427"/>
    <w:rsid w:val="001C3525"/>
    <w:rsid w:val="001C358D"/>
    <w:rsid w:val="001C3DA6"/>
    <w:rsid w:val="001C3E03"/>
    <w:rsid w:val="001C4002"/>
    <w:rsid w:val="001C4193"/>
    <w:rsid w:val="001C43A0"/>
    <w:rsid w:val="001C43C6"/>
    <w:rsid w:val="001C43D8"/>
    <w:rsid w:val="001C4419"/>
    <w:rsid w:val="001C44FA"/>
    <w:rsid w:val="001C468C"/>
    <w:rsid w:val="001C46A5"/>
    <w:rsid w:val="001C4863"/>
    <w:rsid w:val="001C4CF3"/>
    <w:rsid w:val="001C4D3E"/>
    <w:rsid w:val="001C4DFE"/>
    <w:rsid w:val="001C50D7"/>
    <w:rsid w:val="001C5161"/>
    <w:rsid w:val="001C535B"/>
    <w:rsid w:val="001C5397"/>
    <w:rsid w:val="001C548E"/>
    <w:rsid w:val="001C5497"/>
    <w:rsid w:val="001C56FE"/>
    <w:rsid w:val="001C581E"/>
    <w:rsid w:val="001C58B0"/>
    <w:rsid w:val="001C5980"/>
    <w:rsid w:val="001C5BBD"/>
    <w:rsid w:val="001C5DD0"/>
    <w:rsid w:val="001C5F1D"/>
    <w:rsid w:val="001C6039"/>
    <w:rsid w:val="001C6412"/>
    <w:rsid w:val="001C6536"/>
    <w:rsid w:val="001C6581"/>
    <w:rsid w:val="001C6598"/>
    <w:rsid w:val="001C65DA"/>
    <w:rsid w:val="001C6600"/>
    <w:rsid w:val="001C661E"/>
    <w:rsid w:val="001C6995"/>
    <w:rsid w:val="001C6A18"/>
    <w:rsid w:val="001C6A7D"/>
    <w:rsid w:val="001C6E1C"/>
    <w:rsid w:val="001C7612"/>
    <w:rsid w:val="001C79F6"/>
    <w:rsid w:val="001C7BBC"/>
    <w:rsid w:val="001C7C7A"/>
    <w:rsid w:val="001C7DF5"/>
    <w:rsid w:val="001C7EC0"/>
    <w:rsid w:val="001C7FEE"/>
    <w:rsid w:val="001C7FEF"/>
    <w:rsid w:val="001D04CA"/>
    <w:rsid w:val="001D080E"/>
    <w:rsid w:val="001D088C"/>
    <w:rsid w:val="001D09F5"/>
    <w:rsid w:val="001D0AC8"/>
    <w:rsid w:val="001D0B80"/>
    <w:rsid w:val="001D0CF8"/>
    <w:rsid w:val="001D0D87"/>
    <w:rsid w:val="001D1058"/>
    <w:rsid w:val="001D16C7"/>
    <w:rsid w:val="001D1813"/>
    <w:rsid w:val="001D1AD5"/>
    <w:rsid w:val="001D1BA1"/>
    <w:rsid w:val="001D1EAD"/>
    <w:rsid w:val="001D1FF0"/>
    <w:rsid w:val="001D21A1"/>
    <w:rsid w:val="001D21F1"/>
    <w:rsid w:val="001D2268"/>
    <w:rsid w:val="001D2424"/>
    <w:rsid w:val="001D246B"/>
    <w:rsid w:val="001D2594"/>
    <w:rsid w:val="001D266C"/>
    <w:rsid w:val="001D28A3"/>
    <w:rsid w:val="001D28B8"/>
    <w:rsid w:val="001D2956"/>
    <w:rsid w:val="001D2AB2"/>
    <w:rsid w:val="001D2F6D"/>
    <w:rsid w:val="001D3002"/>
    <w:rsid w:val="001D314F"/>
    <w:rsid w:val="001D321F"/>
    <w:rsid w:val="001D34D2"/>
    <w:rsid w:val="001D3631"/>
    <w:rsid w:val="001D364B"/>
    <w:rsid w:val="001D3747"/>
    <w:rsid w:val="001D38BD"/>
    <w:rsid w:val="001D39FB"/>
    <w:rsid w:val="001D3A33"/>
    <w:rsid w:val="001D3B31"/>
    <w:rsid w:val="001D3B42"/>
    <w:rsid w:val="001D3B5B"/>
    <w:rsid w:val="001D3C5B"/>
    <w:rsid w:val="001D3CE5"/>
    <w:rsid w:val="001D3E64"/>
    <w:rsid w:val="001D41CD"/>
    <w:rsid w:val="001D423C"/>
    <w:rsid w:val="001D4352"/>
    <w:rsid w:val="001D442C"/>
    <w:rsid w:val="001D45BA"/>
    <w:rsid w:val="001D487C"/>
    <w:rsid w:val="001D48E9"/>
    <w:rsid w:val="001D506D"/>
    <w:rsid w:val="001D527D"/>
    <w:rsid w:val="001D53B2"/>
    <w:rsid w:val="001D5486"/>
    <w:rsid w:val="001D54A2"/>
    <w:rsid w:val="001D562F"/>
    <w:rsid w:val="001D5632"/>
    <w:rsid w:val="001D590B"/>
    <w:rsid w:val="001D5B4E"/>
    <w:rsid w:val="001D6104"/>
    <w:rsid w:val="001D61BF"/>
    <w:rsid w:val="001D64F1"/>
    <w:rsid w:val="001D6618"/>
    <w:rsid w:val="001D66A8"/>
    <w:rsid w:val="001D6778"/>
    <w:rsid w:val="001D6BB6"/>
    <w:rsid w:val="001D6BF4"/>
    <w:rsid w:val="001D6ED6"/>
    <w:rsid w:val="001D7089"/>
    <w:rsid w:val="001D72B6"/>
    <w:rsid w:val="001D75A1"/>
    <w:rsid w:val="001D7841"/>
    <w:rsid w:val="001D7850"/>
    <w:rsid w:val="001D7CF2"/>
    <w:rsid w:val="001D7E07"/>
    <w:rsid w:val="001D7F71"/>
    <w:rsid w:val="001E00D2"/>
    <w:rsid w:val="001E00FF"/>
    <w:rsid w:val="001E0380"/>
    <w:rsid w:val="001E04B2"/>
    <w:rsid w:val="001E0516"/>
    <w:rsid w:val="001E058D"/>
    <w:rsid w:val="001E0592"/>
    <w:rsid w:val="001E05A2"/>
    <w:rsid w:val="001E05FA"/>
    <w:rsid w:val="001E09D3"/>
    <w:rsid w:val="001E0CD5"/>
    <w:rsid w:val="001E0D00"/>
    <w:rsid w:val="001E0D0F"/>
    <w:rsid w:val="001E0D51"/>
    <w:rsid w:val="001E0DE6"/>
    <w:rsid w:val="001E0ECC"/>
    <w:rsid w:val="001E0FAF"/>
    <w:rsid w:val="001E1029"/>
    <w:rsid w:val="001E15B5"/>
    <w:rsid w:val="001E167E"/>
    <w:rsid w:val="001E16CE"/>
    <w:rsid w:val="001E17A2"/>
    <w:rsid w:val="001E17CC"/>
    <w:rsid w:val="001E1813"/>
    <w:rsid w:val="001E18AD"/>
    <w:rsid w:val="001E1A1C"/>
    <w:rsid w:val="001E1F25"/>
    <w:rsid w:val="001E2054"/>
    <w:rsid w:val="001E2065"/>
    <w:rsid w:val="001E209D"/>
    <w:rsid w:val="001E21F5"/>
    <w:rsid w:val="001E2488"/>
    <w:rsid w:val="001E25C8"/>
    <w:rsid w:val="001E26FE"/>
    <w:rsid w:val="001E28AA"/>
    <w:rsid w:val="001E2C42"/>
    <w:rsid w:val="001E2C7E"/>
    <w:rsid w:val="001E2CBF"/>
    <w:rsid w:val="001E2FFF"/>
    <w:rsid w:val="001E32BD"/>
    <w:rsid w:val="001E357C"/>
    <w:rsid w:val="001E3CB1"/>
    <w:rsid w:val="001E3D30"/>
    <w:rsid w:val="001E3D47"/>
    <w:rsid w:val="001E4036"/>
    <w:rsid w:val="001E40DD"/>
    <w:rsid w:val="001E41B2"/>
    <w:rsid w:val="001E41ED"/>
    <w:rsid w:val="001E43AA"/>
    <w:rsid w:val="001E43B5"/>
    <w:rsid w:val="001E4411"/>
    <w:rsid w:val="001E44A9"/>
    <w:rsid w:val="001E458D"/>
    <w:rsid w:val="001E45B4"/>
    <w:rsid w:val="001E474B"/>
    <w:rsid w:val="001E47AF"/>
    <w:rsid w:val="001E495A"/>
    <w:rsid w:val="001E4E48"/>
    <w:rsid w:val="001E5364"/>
    <w:rsid w:val="001E545F"/>
    <w:rsid w:val="001E5D3F"/>
    <w:rsid w:val="001E5D54"/>
    <w:rsid w:val="001E5E4E"/>
    <w:rsid w:val="001E5F6E"/>
    <w:rsid w:val="001E6097"/>
    <w:rsid w:val="001E63F6"/>
    <w:rsid w:val="001E64EC"/>
    <w:rsid w:val="001E66F7"/>
    <w:rsid w:val="001E6826"/>
    <w:rsid w:val="001E685C"/>
    <w:rsid w:val="001E6C25"/>
    <w:rsid w:val="001E6EA0"/>
    <w:rsid w:val="001E6F5B"/>
    <w:rsid w:val="001E73BA"/>
    <w:rsid w:val="001E75C0"/>
    <w:rsid w:val="001E77AC"/>
    <w:rsid w:val="001E7862"/>
    <w:rsid w:val="001E79AA"/>
    <w:rsid w:val="001E7CA1"/>
    <w:rsid w:val="001E7CC1"/>
    <w:rsid w:val="001E7DD8"/>
    <w:rsid w:val="001F0065"/>
    <w:rsid w:val="001F013F"/>
    <w:rsid w:val="001F0258"/>
    <w:rsid w:val="001F04D2"/>
    <w:rsid w:val="001F08E7"/>
    <w:rsid w:val="001F0B4A"/>
    <w:rsid w:val="001F0C68"/>
    <w:rsid w:val="001F0CAA"/>
    <w:rsid w:val="001F0E32"/>
    <w:rsid w:val="001F138F"/>
    <w:rsid w:val="001F1709"/>
    <w:rsid w:val="001F190B"/>
    <w:rsid w:val="001F1E73"/>
    <w:rsid w:val="001F1F9F"/>
    <w:rsid w:val="001F1FDC"/>
    <w:rsid w:val="001F242A"/>
    <w:rsid w:val="001F2937"/>
    <w:rsid w:val="001F2D59"/>
    <w:rsid w:val="001F2FFE"/>
    <w:rsid w:val="001F30DA"/>
    <w:rsid w:val="001F330A"/>
    <w:rsid w:val="001F3316"/>
    <w:rsid w:val="001F3587"/>
    <w:rsid w:val="001F375F"/>
    <w:rsid w:val="001F3899"/>
    <w:rsid w:val="001F3934"/>
    <w:rsid w:val="001F3A0E"/>
    <w:rsid w:val="001F3A0F"/>
    <w:rsid w:val="001F3E60"/>
    <w:rsid w:val="001F3F94"/>
    <w:rsid w:val="001F4084"/>
    <w:rsid w:val="001F4145"/>
    <w:rsid w:val="001F414B"/>
    <w:rsid w:val="001F4297"/>
    <w:rsid w:val="001F43C0"/>
    <w:rsid w:val="001F47B1"/>
    <w:rsid w:val="001F47EC"/>
    <w:rsid w:val="001F4874"/>
    <w:rsid w:val="001F4922"/>
    <w:rsid w:val="001F4E1B"/>
    <w:rsid w:val="001F4E8A"/>
    <w:rsid w:val="001F5194"/>
    <w:rsid w:val="001F5407"/>
    <w:rsid w:val="001F540C"/>
    <w:rsid w:val="001F554C"/>
    <w:rsid w:val="001F5574"/>
    <w:rsid w:val="001F563C"/>
    <w:rsid w:val="001F575F"/>
    <w:rsid w:val="001F5907"/>
    <w:rsid w:val="001F5938"/>
    <w:rsid w:val="001F5BBE"/>
    <w:rsid w:val="001F5CC6"/>
    <w:rsid w:val="001F611F"/>
    <w:rsid w:val="001F6327"/>
    <w:rsid w:val="001F650B"/>
    <w:rsid w:val="001F65CC"/>
    <w:rsid w:val="001F67B2"/>
    <w:rsid w:val="001F6966"/>
    <w:rsid w:val="001F6C3C"/>
    <w:rsid w:val="001F7093"/>
    <w:rsid w:val="001F7307"/>
    <w:rsid w:val="001F758D"/>
    <w:rsid w:val="001F7609"/>
    <w:rsid w:val="001F7630"/>
    <w:rsid w:val="001F7655"/>
    <w:rsid w:val="001F7BCB"/>
    <w:rsid w:val="001F7C24"/>
    <w:rsid w:val="001F7C61"/>
    <w:rsid w:val="001F7C94"/>
    <w:rsid w:val="001F7D44"/>
    <w:rsid w:val="001F7DE0"/>
    <w:rsid w:val="001F7E20"/>
    <w:rsid w:val="001F7E52"/>
    <w:rsid w:val="0020009B"/>
    <w:rsid w:val="00200122"/>
    <w:rsid w:val="0020014E"/>
    <w:rsid w:val="002003EA"/>
    <w:rsid w:val="00200473"/>
    <w:rsid w:val="0020049A"/>
    <w:rsid w:val="002006B5"/>
    <w:rsid w:val="002007FE"/>
    <w:rsid w:val="0020087A"/>
    <w:rsid w:val="00200D0B"/>
    <w:rsid w:val="00200E3C"/>
    <w:rsid w:val="00200EB4"/>
    <w:rsid w:val="00200F9B"/>
    <w:rsid w:val="002010A7"/>
    <w:rsid w:val="002011EE"/>
    <w:rsid w:val="00201278"/>
    <w:rsid w:val="002013CE"/>
    <w:rsid w:val="0020166E"/>
    <w:rsid w:val="00201969"/>
    <w:rsid w:val="00201E52"/>
    <w:rsid w:val="00201F41"/>
    <w:rsid w:val="00201F94"/>
    <w:rsid w:val="002021CB"/>
    <w:rsid w:val="002024C5"/>
    <w:rsid w:val="002025BD"/>
    <w:rsid w:val="0020268B"/>
    <w:rsid w:val="002028EC"/>
    <w:rsid w:val="00202963"/>
    <w:rsid w:val="00202D0B"/>
    <w:rsid w:val="00202E30"/>
    <w:rsid w:val="00203225"/>
    <w:rsid w:val="00203847"/>
    <w:rsid w:val="00203DE9"/>
    <w:rsid w:val="0020405D"/>
    <w:rsid w:val="00204068"/>
    <w:rsid w:val="002040C9"/>
    <w:rsid w:val="002043A8"/>
    <w:rsid w:val="00204692"/>
    <w:rsid w:val="002046D6"/>
    <w:rsid w:val="00204838"/>
    <w:rsid w:val="00204893"/>
    <w:rsid w:val="00204B8D"/>
    <w:rsid w:val="00204BAD"/>
    <w:rsid w:val="00204D96"/>
    <w:rsid w:val="00204DBB"/>
    <w:rsid w:val="00204E41"/>
    <w:rsid w:val="00204EF1"/>
    <w:rsid w:val="00204F90"/>
    <w:rsid w:val="002050AD"/>
    <w:rsid w:val="0020526C"/>
    <w:rsid w:val="002052C6"/>
    <w:rsid w:val="002057E2"/>
    <w:rsid w:val="00205916"/>
    <w:rsid w:val="00205A64"/>
    <w:rsid w:val="00205D9D"/>
    <w:rsid w:val="00205DC3"/>
    <w:rsid w:val="00205E2A"/>
    <w:rsid w:val="00206023"/>
    <w:rsid w:val="00206176"/>
    <w:rsid w:val="00206230"/>
    <w:rsid w:val="002062F0"/>
    <w:rsid w:val="002063E2"/>
    <w:rsid w:val="0020660B"/>
    <w:rsid w:val="0020663E"/>
    <w:rsid w:val="0020663F"/>
    <w:rsid w:val="00206790"/>
    <w:rsid w:val="00206DEF"/>
    <w:rsid w:val="00206E3D"/>
    <w:rsid w:val="00206EB7"/>
    <w:rsid w:val="00206FA4"/>
    <w:rsid w:val="0020738C"/>
    <w:rsid w:val="002073B5"/>
    <w:rsid w:val="002075BE"/>
    <w:rsid w:val="00207781"/>
    <w:rsid w:val="002078C5"/>
    <w:rsid w:val="00207A09"/>
    <w:rsid w:val="00207B4B"/>
    <w:rsid w:val="00207D2B"/>
    <w:rsid w:val="0021004C"/>
    <w:rsid w:val="0021014E"/>
    <w:rsid w:val="0021024E"/>
    <w:rsid w:val="0021055D"/>
    <w:rsid w:val="002109C6"/>
    <w:rsid w:val="00210B4D"/>
    <w:rsid w:val="00210F76"/>
    <w:rsid w:val="00211194"/>
    <w:rsid w:val="00211303"/>
    <w:rsid w:val="0021144E"/>
    <w:rsid w:val="002115B7"/>
    <w:rsid w:val="002115DB"/>
    <w:rsid w:val="002117E1"/>
    <w:rsid w:val="002119CC"/>
    <w:rsid w:val="00211A85"/>
    <w:rsid w:val="00212035"/>
    <w:rsid w:val="0021254B"/>
    <w:rsid w:val="00212623"/>
    <w:rsid w:val="00212742"/>
    <w:rsid w:val="00212B31"/>
    <w:rsid w:val="00212CE4"/>
    <w:rsid w:val="00212CE6"/>
    <w:rsid w:val="00212D52"/>
    <w:rsid w:val="00212E4A"/>
    <w:rsid w:val="002130A4"/>
    <w:rsid w:val="002130F4"/>
    <w:rsid w:val="0021319C"/>
    <w:rsid w:val="002133AA"/>
    <w:rsid w:val="00213908"/>
    <w:rsid w:val="00213E1C"/>
    <w:rsid w:val="00213FD4"/>
    <w:rsid w:val="0021403A"/>
    <w:rsid w:val="0021404C"/>
    <w:rsid w:val="00214201"/>
    <w:rsid w:val="00214273"/>
    <w:rsid w:val="00214424"/>
    <w:rsid w:val="002144C9"/>
    <w:rsid w:val="002145E4"/>
    <w:rsid w:val="0021474B"/>
    <w:rsid w:val="002147BB"/>
    <w:rsid w:val="00214A1E"/>
    <w:rsid w:val="00214B41"/>
    <w:rsid w:val="00214C14"/>
    <w:rsid w:val="00214F56"/>
    <w:rsid w:val="00215055"/>
    <w:rsid w:val="00215226"/>
    <w:rsid w:val="002152DA"/>
    <w:rsid w:val="00215394"/>
    <w:rsid w:val="0021540B"/>
    <w:rsid w:val="0021565D"/>
    <w:rsid w:val="0021578D"/>
    <w:rsid w:val="002157AB"/>
    <w:rsid w:val="0021589A"/>
    <w:rsid w:val="00215900"/>
    <w:rsid w:val="0021597B"/>
    <w:rsid w:val="00215CF1"/>
    <w:rsid w:val="00216018"/>
    <w:rsid w:val="002161A0"/>
    <w:rsid w:val="002164F0"/>
    <w:rsid w:val="00216567"/>
    <w:rsid w:val="00216750"/>
    <w:rsid w:val="002167E0"/>
    <w:rsid w:val="00216879"/>
    <w:rsid w:val="00216978"/>
    <w:rsid w:val="002169F2"/>
    <w:rsid w:val="00216A16"/>
    <w:rsid w:val="00216BBC"/>
    <w:rsid w:val="00216E55"/>
    <w:rsid w:val="00216EBD"/>
    <w:rsid w:val="00216F58"/>
    <w:rsid w:val="00216F64"/>
    <w:rsid w:val="00217026"/>
    <w:rsid w:val="002170C2"/>
    <w:rsid w:val="002170E7"/>
    <w:rsid w:val="00217136"/>
    <w:rsid w:val="00217299"/>
    <w:rsid w:val="0021733A"/>
    <w:rsid w:val="00217379"/>
    <w:rsid w:val="00217488"/>
    <w:rsid w:val="002174E7"/>
    <w:rsid w:val="00217653"/>
    <w:rsid w:val="002177B3"/>
    <w:rsid w:val="002178BE"/>
    <w:rsid w:val="002179DE"/>
    <w:rsid w:val="00217ABC"/>
    <w:rsid w:val="00217B72"/>
    <w:rsid w:val="00217BB9"/>
    <w:rsid w:val="00217EEF"/>
    <w:rsid w:val="00217F67"/>
    <w:rsid w:val="00217FF8"/>
    <w:rsid w:val="00220623"/>
    <w:rsid w:val="00220825"/>
    <w:rsid w:val="0022087C"/>
    <w:rsid w:val="00220B4F"/>
    <w:rsid w:val="00220B5E"/>
    <w:rsid w:val="00220B84"/>
    <w:rsid w:val="00220CB7"/>
    <w:rsid w:val="00220D92"/>
    <w:rsid w:val="00220DF6"/>
    <w:rsid w:val="00221065"/>
    <w:rsid w:val="00221149"/>
    <w:rsid w:val="002213DF"/>
    <w:rsid w:val="0022149E"/>
    <w:rsid w:val="00221530"/>
    <w:rsid w:val="0022159C"/>
    <w:rsid w:val="00221B9A"/>
    <w:rsid w:val="00221E1E"/>
    <w:rsid w:val="00221E5D"/>
    <w:rsid w:val="002223D5"/>
    <w:rsid w:val="00222B33"/>
    <w:rsid w:val="00222B6A"/>
    <w:rsid w:val="00222CB7"/>
    <w:rsid w:val="00222E6C"/>
    <w:rsid w:val="00222FA1"/>
    <w:rsid w:val="0022334C"/>
    <w:rsid w:val="0022340A"/>
    <w:rsid w:val="002234AF"/>
    <w:rsid w:val="00223605"/>
    <w:rsid w:val="0022375C"/>
    <w:rsid w:val="00223CA6"/>
    <w:rsid w:val="00223E16"/>
    <w:rsid w:val="002241F1"/>
    <w:rsid w:val="002242B9"/>
    <w:rsid w:val="002244DB"/>
    <w:rsid w:val="0022458A"/>
    <w:rsid w:val="002249E1"/>
    <w:rsid w:val="00224B41"/>
    <w:rsid w:val="00224C38"/>
    <w:rsid w:val="00224CC8"/>
    <w:rsid w:val="00224DD4"/>
    <w:rsid w:val="0022514A"/>
    <w:rsid w:val="00225328"/>
    <w:rsid w:val="0022547B"/>
    <w:rsid w:val="002256B6"/>
    <w:rsid w:val="002257E2"/>
    <w:rsid w:val="002257FE"/>
    <w:rsid w:val="0022582D"/>
    <w:rsid w:val="002260F6"/>
    <w:rsid w:val="00226462"/>
    <w:rsid w:val="0022653D"/>
    <w:rsid w:val="002266A4"/>
    <w:rsid w:val="00226A00"/>
    <w:rsid w:val="00226D13"/>
    <w:rsid w:val="00227007"/>
    <w:rsid w:val="002271F1"/>
    <w:rsid w:val="00227306"/>
    <w:rsid w:val="00227436"/>
    <w:rsid w:val="00227498"/>
    <w:rsid w:val="00227780"/>
    <w:rsid w:val="00227A3B"/>
    <w:rsid w:val="00227A96"/>
    <w:rsid w:val="00227F0E"/>
    <w:rsid w:val="0023035D"/>
    <w:rsid w:val="00230381"/>
    <w:rsid w:val="002303DC"/>
    <w:rsid w:val="00230418"/>
    <w:rsid w:val="00230927"/>
    <w:rsid w:val="00230B44"/>
    <w:rsid w:val="00230CC4"/>
    <w:rsid w:val="00230FA0"/>
    <w:rsid w:val="00231355"/>
    <w:rsid w:val="002313EA"/>
    <w:rsid w:val="002314A5"/>
    <w:rsid w:val="002314B0"/>
    <w:rsid w:val="00231563"/>
    <w:rsid w:val="00231573"/>
    <w:rsid w:val="00231629"/>
    <w:rsid w:val="00231659"/>
    <w:rsid w:val="00231782"/>
    <w:rsid w:val="0023178A"/>
    <w:rsid w:val="0023182F"/>
    <w:rsid w:val="002318C9"/>
    <w:rsid w:val="002318E7"/>
    <w:rsid w:val="002319D1"/>
    <w:rsid w:val="00231A22"/>
    <w:rsid w:val="00231B64"/>
    <w:rsid w:val="00231CAF"/>
    <w:rsid w:val="00231EF1"/>
    <w:rsid w:val="00231FF9"/>
    <w:rsid w:val="002320D4"/>
    <w:rsid w:val="0023220E"/>
    <w:rsid w:val="00232276"/>
    <w:rsid w:val="002322C0"/>
    <w:rsid w:val="00232499"/>
    <w:rsid w:val="00232581"/>
    <w:rsid w:val="002328B9"/>
    <w:rsid w:val="0023291E"/>
    <w:rsid w:val="00232CA5"/>
    <w:rsid w:val="00232CBF"/>
    <w:rsid w:val="00232DE8"/>
    <w:rsid w:val="00232F45"/>
    <w:rsid w:val="002330D6"/>
    <w:rsid w:val="00233190"/>
    <w:rsid w:val="00233361"/>
    <w:rsid w:val="00233469"/>
    <w:rsid w:val="002336ED"/>
    <w:rsid w:val="002338A7"/>
    <w:rsid w:val="0023393C"/>
    <w:rsid w:val="0023395B"/>
    <w:rsid w:val="00233ADB"/>
    <w:rsid w:val="00233BFD"/>
    <w:rsid w:val="00233D49"/>
    <w:rsid w:val="00233E90"/>
    <w:rsid w:val="00233F7B"/>
    <w:rsid w:val="002341A8"/>
    <w:rsid w:val="002341B8"/>
    <w:rsid w:val="002341E4"/>
    <w:rsid w:val="00234526"/>
    <w:rsid w:val="002345E4"/>
    <w:rsid w:val="00234703"/>
    <w:rsid w:val="00234764"/>
    <w:rsid w:val="00234902"/>
    <w:rsid w:val="00234B54"/>
    <w:rsid w:val="00234B80"/>
    <w:rsid w:val="0023533C"/>
    <w:rsid w:val="0023540B"/>
    <w:rsid w:val="0023545A"/>
    <w:rsid w:val="002354DC"/>
    <w:rsid w:val="00235503"/>
    <w:rsid w:val="00235A59"/>
    <w:rsid w:val="00235AA7"/>
    <w:rsid w:val="00235C65"/>
    <w:rsid w:val="00235F5B"/>
    <w:rsid w:val="00236155"/>
    <w:rsid w:val="002361BB"/>
    <w:rsid w:val="00236224"/>
    <w:rsid w:val="00236328"/>
    <w:rsid w:val="0023638B"/>
    <w:rsid w:val="002364EE"/>
    <w:rsid w:val="00236594"/>
    <w:rsid w:val="002365CE"/>
    <w:rsid w:val="00236677"/>
    <w:rsid w:val="00236743"/>
    <w:rsid w:val="00236802"/>
    <w:rsid w:val="00236973"/>
    <w:rsid w:val="00236C5D"/>
    <w:rsid w:val="00236D80"/>
    <w:rsid w:val="00236EB6"/>
    <w:rsid w:val="00236F8E"/>
    <w:rsid w:val="0023717B"/>
    <w:rsid w:val="00237437"/>
    <w:rsid w:val="00237589"/>
    <w:rsid w:val="00237687"/>
    <w:rsid w:val="002376FC"/>
    <w:rsid w:val="0023773F"/>
    <w:rsid w:val="00237AE5"/>
    <w:rsid w:val="00237AF6"/>
    <w:rsid w:val="00237CDD"/>
    <w:rsid w:val="00237CE1"/>
    <w:rsid w:val="00240243"/>
    <w:rsid w:val="0024027E"/>
    <w:rsid w:val="002402AB"/>
    <w:rsid w:val="002406E8"/>
    <w:rsid w:val="0024092A"/>
    <w:rsid w:val="00240966"/>
    <w:rsid w:val="00240DA2"/>
    <w:rsid w:val="00240E44"/>
    <w:rsid w:val="00240E5F"/>
    <w:rsid w:val="002412F2"/>
    <w:rsid w:val="00241373"/>
    <w:rsid w:val="0024154C"/>
    <w:rsid w:val="002415A7"/>
    <w:rsid w:val="0024168D"/>
    <w:rsid w:val="00241821"/>
    <w:rsid w:val="00241906"/>
    <w:rsid w:val="00241908"/>
    <w:rsid w:val="00241A65"/>
    <w:rsid w:val="00241BCF"/>
    <w:rsid w:val="00241BEC"/>
    <w:rsid w:val="00241E4A"/>
    <w:rsid w:val="0024201A"/>
    <w:rsid w:val="002420C0"/>
    <w:rsid w:val="002420C8"/>
    <w:rsid w:val="002420F3"/>
    <w:rsid w:val="002421BF"/>
    <w:rsid w:val="002421FE"/>
    <w:rsid w:val="0024227A"/>
    <w:rsid w:val="0024227E"/>
    <w:rsid w:val="002425C9"/>
    <w:rsid w:val="002425EF"/>
    <w:rsid w:val="00242787"/>
    <w:rsid w:val="002427FF"/>
    <w:rsid w:val="002429C4"/>
    <w:rsid w:val="00242ADD"/>
    <w:rsid w:val="00242BC7"/>
    <w:rsid w:val="00242CBD"/>
    <w:rsid w:val="00242F98"/>
    <w:rsid w:val="0024304D"/>
    <w:rsid w:val="00243324"/>
    <w:rsid w:val="002433C6"/>
    <w:rsid w:val="00243453"/>
    <w:rsid w:val="00243538"/>
    <w:rsid w:val="0024358E"/>
    <w:rsid w:val="00243719"/>
    <w:rsid w:val="002437CD"/>
    <w:rsid w:val="002438EC"/>
    <w:rsid w:val="002439ED"/>
    <w:rsid w:val="00243C06"/>
    <w:rsid w:val="00243C95"/>
    <w:rsid w:val="00243DA5"/>
    <w:rsid w:val="0024412A"/>
    <w:rsid w:val="00244200"/>
    <w:rsid w:val="00244299"/>
    <w:rsid w:val="002443CD"/>
    <w:rsid w:val="002445CE"/>
    <w:rsid w:val="00244667"/>
    <w:rsid w:val="00244A92"/>
    <w:rsid w:val="00244B3D"/>
    <w:rsid w:val="00244CA3"/>
    <w:rsid w:val="00244EE3"/>
    <w:rsid w:val="00244F5A"/>
    <w:rsid w:val="00245180"/>
    <w:rsid w:val="002451D2"/>
    <w:rsid w:val="00245288"/>
    <w:rsid w:val="002452CF"/>
    <w:rsid w:val="002452F8"/>
    <w:rsid w:val="00245495"/>
    <w:rsid w:val="00245596"/>
    <w:rsid w:val="00245857"/>
    <w:rsid w:val="00245C66"/>
    <w:rsid w:val="00245D3B"/>
    <w:rsid w:val="00245EDA"/>
    <w:rsid w:val="0024643D"/>
    <w:rsid w:val="0024666D"/>
    <w:rsid w:val="00246766"/>
    <w:rsid w:val="00246794"/>
    <w:rsid w:val="0024693D"/>
    <w:rsid w:val="002469D2"/>
    <w:rsid w:val="00246B1D"/>
    <w:rsid w:val="00246D09"/>
    <w:rsid w:val="00246D68"/>
    <w:rsid w:val="00246ED6"/>
    <w:rsid w:val="00247350"/>
    <w:rsid w:val="0024750D"/>
    <w:rsid w:val="00247848"/>
    <w:rsid w:val="00247939"/>
    <w:rsid w:val="00247B31"/>
    <w:rsid w:val="00247B70"/>
    <w:rsid w:val="00247C86"/>
    <w:rsid w:val="00247D0F"/>
    <w:rsid w:val="00247E61"/>
    <w:rsid w:val="00247FC9"/>
    <w:rsid w:val="0025021F"/>
    <w:rsid w:val="00250251"/>
    <w:rsid w:val="00250803"/>
    <w:rsid w:val="00250836"/>
    <w:rsid w:val="00250AF0"/>
    <w:rsid w:val="00250B5F"/>
    <w:rsid w:val="00250CEE"/>
    <w:rsid w:val="00250D29"/>
    <w:rsid w:val="00250E19"/>
    <w:rsid w:val="0025107F"/>
    <w:rsid w:val="002510F7"/>
    <w:rsid w:val="002512BE"/>
    <w:rsid w:val="002512E1"/>
    <w:rsid w:val="00251378"/>
    <w:rsid w:val="00251450"/>
    <w:rsid w:val="002515D9"/>
    <w:rsid w:val="0025174F"/>
    <w:rsid w:val="00251760"/>
    <w:rsid w:val="00251774"/>
    <w:rsid w:val="002517B2"/>
    <w:rsid w:val="0025182B"/>
    <w:rsid w:val="0025186F"/>
    <w:rsid w:val="002518F1"/>
    <w:rsid w:val="00251AB1"/>
    <w:rsid w:val="00251B57"/>
    <w:rsid w:val="00251B9F"/>
    <w:rsid w:val="00251E8C"/>
    <w:rsid w:val="00251FE0"/>
    <w:rsid w:val="00252262"/>
    <w:rsid w:val="0025227E"/>
    <w:rsid w:val="002522A9"/>
    <w:rsid w:val="0025231F"/>
    <w:rsid w:val="00252428"/>
    <w:rsid w:val="00252B53"/>
    <w:rsid w:val="00252C81"/>
    <w:rsid w:val="00252C9C"/>
    <w:rsid w:val="00252EFB"/>
    <w:rsid w:val="00252F32"/>
    <w:rsid w:val="00253442"/>
    <w:rsid w:val="00253676"/>
    <w:rsid w:val="00253688"/>
    <w:rsid w:val="0025371E"/>
    <w:rsid w:val="00253D2F"/>
    <w:rsid w:val="00254158"/>
    <w:rsid w:val="00254330"/>
    <w:rsid w:val="002546A9"/>
    <w:rsid w:val="00254A3D"/>
    <w:rsid w:val="00254A64"/>
    <w:rsid w:val="00254B4D"/>
    <w:rsid w:val="00254E92"/>
    <w:rsid w:val="00254F92"/>
    <w:rsid w:val="00255092"/>
    <w:rsid w:val="002550D0"/>
    <w:rsid w:val="002551E2"/>
    <w:rsid w:val="00255238"/>
    <w:rsid w:val="00255292"/>
    <w:rsid w:val="00255434"/>
    <w:rsid w:val="00255609"/>
    <w:rsid w:val="0025575B"/>
    <w:rsid w:val="0025587B"/>
    <w:rsid w:val="00255A8C"/>
    <w:rsid w:val="002563DD"/>
    <w:rsid w:val="00256502"/>
    <w:rsid w:val="0025670A"/>
    <w:rsid w:val="0025683D"/>
    <w:rsid w:val="00256A9E"/>
    <w:rsid w:val="00256EAC"/>
    <w:rsid w:val="00256EF9"/>
    <w:rsid w:val="00256F6F"/>
    <w:rsid w:val="002571C7"/>
    <w:rsid w:val="0025729E"/>
    <w:rsid w:val="0025737D"/>
    <w:rsid w:val="002574A5"/>
    <w:rsid w:val="002577EF"/>
    <w:rsid w:val="00257856"/>
    <w:rsid w:val="00257869"/>
    <w:rsid w:val="00257954"/>
    <w:rsid w:val="00257980"/>
    <w:rsid w:val="00257AC1"/>
    <w:rsid w:val="00257C5F"/>
    <w:rsid w:val="00257CFD"/>
    <w:rsid w:val="002601B2"/>
    <w:rsid w:val="002602E7"/>
    <w:rsid w:val="00260416"/>
    <w:rsid w:val="00260463"/>
    <w:rsid w:val="0026065D"/>
    <w:rsid w:val="0026077E"/>
    <w:rsid w:val="002607B3"/>
    <w:rsid w:val="00260831"/>
    <w:rsid w:val="00260848"/>
    <w:rsid w:val="00260A57"/>
    <w:rsid w:val="00260A8C"/>
    <w:rsid w:val="00260A99"/>
    <w:rsid w:val="00260C3F"/>
    <w:rsid w:val="00260C69"/>
    <w:rsid w:val="00260F2F"/>
    <w:rsid w:val="00261018"/>
    <w:rsid w:val="00261360"/>
    <w:rsid w:val="00261DF4"/>
    <w:rsid w:val="00261E36"/>
    <w:rsid w:val="00261E5F"/>
    <w:rsid w:val="00261F3F"/>
    <w:rsid w:val="00261FAD"/>
    <w:rsid w:val="00262032"/>
    <w:rsid w:val="002622E8"/>
    <w:rsid w:val="0026286B"/>
    <w:rsid w:val="00262A2A"/>
    <w:rsid w:val="00262A56"/>
    <w:rsid w:val="00262BD0"/>
    <w:rsid w:val="00262D50"/>
    <w:rsid w:val="00263064"/>
    <w:rsid w:val="0026347F"/>
    <w:rsid w:val="0026352A"/>
    <w:rsid w:val="00263710"/>
    <w:rsid w:val="00263813"/>
    <w:rsid w:val="00263BD2"/>
    <w:rsid w:val="00263CDB"/>
    <w:rsid w:val="00263D7F"/>
    <w:rsid w:val="0026410C"/>
    <w:rsid w:val="0026416D"/>
    <w:rsid w:val="00264208"/>
    <w:rsid w:val="00264665"/>
    <w:rsid w:val="00264AAD"/>
    <w:rsid w:val="00264EC7"/>
    <w:rsid w:val="0026508A"/>
    <w:rsid w:val="00265185"/>
    <w:rsid w:val="002651D4"/>
    <w:rsid w:val="00265297"/>
    <w:rsid w:val="0026554C"/>
    <w:rsid w:val="0026561A"/>
    <w:rsid w:val="002656DF"/>
    <w:rsid w:val="00265769"/>
    <w:rsid w:val="00265770"/>
    <w:rsid w:val="002657D9"/>
    <w:rsid w:val="00265B64"/>
    <w:rsid w:val="00266127"/>
    <w:rsid w:val="00266200"/>
    <w:rsid w:val="002665FE"/>
    <w:rsid w:val="00266667"/>
    <w:rsid w:val="00266A87"/>
    <w:rsid w:val="00266B90"/>
    <w:rsid w:val="00266C6D"/>
    <w:rsid w:val="00266D65"/>
    <w:rsid w:val="00266F06"/>
    <w:rsid w:val="00267284"/>
    <w:rsid w:val="002672D1"/>
    <w:rsid w:val="002672F4"/>
    <w:rsid w:val="00267633"/>
    <w:rsid w:val="00267D19"/>
    <w:rsid w:val="0027003A"/>
    <w:rsid w:val="0027009D"/>
    <w:rsid w:val="00270135"/>
    <w:rsid w:val="002701DB"/>
    <w:rsid w:val="0027039C"/>
    <w:rsid w:val="00270584"/>
    <w:rsid w:val="0027072B"/>
    <w:rsid w:val="00270866"/>
    <w:rsid w:val="0027091F"/>
    <w:rsid w:val="00270BA9"/>
    <w:rsid w:val="00270BD1"/>
    <w:rsid w:val="00270DAF"/>
    <w:rsid w:val="00270E12"/>
    <w:rsid w:val="00270E1D"/>
    <w:rsid w:val="00270F18"/>
    <w:rsid w:val="00271066"/>
    <w:rsid w:val="00271081"/>
    <w:rsid w:val="00271283"/>
    <w:rsid w:val="00271327"/>
    <w:rsid w:val="002713C4"/>
    <w:rsid w:val="0027153D"/>
    <w:rsid w:val="002718EF"/>
    <w:rsid w:val="002719B1"/>
    <w:rsid w:val="00271DF7"/>
    <w:rsid w:val="00271F34"/>
    <w:rsid w:val="0027232A"/>
    <w:rsid w:val="0027233B"/>
    <w:rsid w:val="00272473"/>
    <w:rsid w:val="00272914"/>
    <w:rsid w:val="00272987"/>
    <w:rsid w:val="00272AB1"/>
    <w:rsid w:val="00272C02"/>
    <w:rsid w:val="00272D46"/>
    <w:rsid w:val="00272E18"/>
    <w:rsid w:val="0027309E"/>
    <w:rsid w:val="002731C9"/>
    <w:rsid w:val="0027324D"/>
    <w:rsid w:val="0027342B"/>
    <w:rsid w:val="00273515"/>
    <w:rsid w:val="00273990"/>
    <w:rsid w:val="002739A8"/>
    <w:rsid w:val="00273A96"/>
    <w:rsid w:val="002740F8"/>
    <w:rsid w:val="002741FB"/>
    <w:rsid w:val="002746B9"/>
    <w:rsid w:val="00274A9D"/>
    <w:rsid w:val="00274CDE"/>
    <w:rsid w:val="00274CFC"/>
    <w:rsid w:val="002750A1"/>
    <w:rsid w:val="002753C2"/>
    <w:rsid w:val="002754EE"/>
    <w:rsid w:val="002755BB"/>
    <w:rsid w:val="0027560B"/>
    <w:rsid w:val="00275761"/>
    <w:rsid w:val="002759E7"/>
    <w:rsid w:val="002759EB"/>
    <w:rsid w:val="00275A26"/>
    <w:rsid w:val="00275AFB"/>
    <w:rsid w:val="00275B92"/>
    <w:rsid w:val="00275C1C"/>
    <w:rsid w:val="002760C8"/>
    <w:rsid w:val="002761E3"/>
    <w:rsid w:val="0027626E"/>
    <w:rsid w:val="0027663F"/>
    <w:rsid w:val="002766FD"/>
    <w:rsid w:val="002767AA"/>
    <w:rsid w:val="002768F4"/>
    <w:rsid w:val="00276B0E"/>
    <w:rsid w:val="00276C85"/>
    <w:rsid w:val="00276EE9"/>
    <w:rsid w:val="00276FA0"/>
    <w:rsid w:val="00276FB2"/>
    <w:rsid w:val="00277255"/>
    <w:rsid w:val="00277396"/>
    <w:rsid w:val="00277522"/>
    <w:rsid w:val="002776DD"/>
    <w:rsid w:val="002777EE"/>
    <w:rsid w:val="002778E0"/>
    <w:rsid w:val="002778FB"/>
    <w:rsid w:val="002779F9"/>
    <w:rsid w:val="00277B79"/>
    <w:rsid w:val="00277C05"/>
    <w:rsid w:val="00277FCB"/>
    <w:rsid w:val="00280354"/>
    <w:rsid w:val="0028036C"/>
    <w:rsid w:val="002803E0"/>
    <w:rsid w:val="0028049A"/>
    <w:rsid w:val="00280553"/>
    <w:rsid w:val="00280593"/>
    <w:rsid w:val="002805B5"/>
    <w:rsid w:val="0028071A"/>
    <w:rsid w:val="00280984"/>
    <w:rsid w:val="00280AA8"/>
    <w:rsid w:val="00280C71"/>
    <w:rsid w:val="00281128"/>
    <w:rsid w:val="00281199"/>
    <w:rsid w:val="002811DF"/>
    <w:rsid w:val="00281254"/>
    <w:rsid w:val="00281323"/>
    <w:rsid w:val="002813B9"/>
    <w:rsid w:val="00281518"/>
    <w:rsid w:val="00281563"/>
    <w:rsid w:val="002815A6"/>
    <w:rsid w:val="00281831"/>
    <w:rsid w:val="00281877"/>
    <w:rsid w:val="00281886"/>
    <w:rsid w:val="00281964"/>
    <w:rsid w:val="00281E55"/>
    <w:rsid w:val="0028204E"/>
    <w:rsid w:val="002820B3"/>
    <w:rsid w:val="0028210B"/>
    <w:rsid w:val="002823A1"/>
    <w:rsid w:val="0028243E"/>
    <w:rsid w:val="0028251A"/>
    <w:rsid w:val="002825D8"/>
    <w:rsid w:val="00282909"/>
    <w:rsid w:val="00282A41"/>
    <w:rsid w:val="00282AC7"/>
    <w:rsid w:val="00282E55"/>
    <w:rsid w:val="00282EC8"/>
    <w:rsid w:val="00282F11"/>
    <w:rsid w:val="00282F28"/>
    <w:rsid w:val="0028302C"/>
    <w:rsid w:val="00283056"/>
    <w:rsid w:val="00283172"/>
    <w:rsid w:val="00283344"/>
    <w:rsid w:val="002834DC"/>
    <w:rsid w:val="00283537"/>
    <w:rsid w:val="00283692"/>
    <w:rsid w:val="0028372E"/>
    <w:rsid w:val="00283754"/>
    <w:rsid w:val="002837CC"/>
    <w:rsid w:val="00283AA7"/>
    <w:rsid w:val="00283C49"/>
    <w:rsid w:val="00283C66"/>
    <w:rsid w:val="00283E83"/>
    <w:rsid w:val="00284002"/>
    <w:rsid w:val="002841E2"/>
    <w:rsid w:val="002844A6"/>
    <w:rsid w:val="00284705"/>
    <w:rsid w:val="00284A49"/>
    <w:rsid w:val="00284D99"/>
    <w:rsid w:val="0028523A"/>
    <w:rsid w:val="00285253"/>
    <w:rsid w:val="002853D9"/>
    <w:rsid w:val="002856B2"/>
    <w:rsid w:val="00285E47"/>
    <w:rsid w:val="00285F20"/>
    <w:rsid w:val="00285F84"/>
    <w:rsid w:val="00285FA8"/>
    <w:rsid w:val="00286177"/>
    <w:rsid w:val="002862CB"/>
    <w:rsid w:val="002862D7"/>
    <w:rsid w:val="00286603"/>
    <w:rsid w:val="00286671"/>
    <w:rsid w:val="00286788"/>
    <w:rsid w:val="00286A26"/>
    <w:rsid w:val="00286AB7"/>
    <w:rsid w:val="00286BDC"/>
    <w:rsid w:val="00286D1A"/>
    <w:rsid w:val="00286E72"/>
    <w:rsid w:val="00286EE6"/>
    <w:rsid w:val="00286F83"/>
    <w:rsid w:val="002871A0"/>
    <w:rsid w:val="00287249"/>
    <w:rsid w:val="00287283"/>
    <w:rsid w:val="00287332"/>
    <w:rsid w:val="002874E4"/>
    <w:rsid w:val="00287882"/>
    <w:rsid w:val="00287A98"/>
    <w:rsid w:val="00287CFF"/>
    <w:rsid w:val="00287FFC"/>
    <w:rsid w:val="0029070B"/>
    <w:rsid w:val="002907D7"/>
    <w:rsid w:val="00290A14"/>
    <w:rsid w:val="002911BD"/>
    <w:rsid w:val="0029125F"/>
    <w:rsid w:val="00291891"/>
    <w:rsid w:val="002918C2"/>
    <w:rsid w:val="00291989"/>
    <w:rsid w:val="00291ABC"/>
    <w:rsid w:val="00291B88"/>
    <w:rsid w:val="00291C06"/>
    <w:rsid w:val="00291C58"/>
    <w:rsid w:val="00292352"/>
    <w:rsid w:val="002924AE"/>
    <w:rsid w:val="0029264A"/>
    <w:rsid w:val="002926BC"/>
    <w:rsid w:val="00292757"/>
    <w:rsid w:val="00292A54"/>
    <w:rsid w:val="00292C31"/>
    <w:rsid w:val="00292D6C"/>
    <w:rsid w:val="00292E7B"/>
    <w:rsid w:val="00292EB2"/>
    <w:rsid w:val="00293004"/>
    <w:rsid w:val="0029307D"/>
    <w:rsid w:val="00293189"/>
    <w:rsid w:val="00293190"/>
    <w:rsid w:val="0029332F"/>
    <w:rsid w:val="002935D0"/>
    <w:rsid w:val="0029386A"/>
    <w:rsid w:val="00293B32"/>
    <w:rsid w:val="00293D31"/>
    <w:rsid w:val="00293DED"/>
    <w:rsid w:val="00293E75"/>
    <w:rsid w:val="00293E8F"/>
    <w:rsid w:val="00293EA5"/>
    <w:rsid w:val="00293F5F"/>
    <w:rsid w:val="00294294"/>
    <w:rsid w:val="002943FF"/>
    <w:rsid w:val="00294458"/>
    <w:rsid w:val="002945ED"/>
    <w:rsid w:val="00294714"/>
    <w:rsid w:val="0029471C"/>
    <w:rsid w:val="002947FC"/>
    <w:rsid w:val="002948E5"/>
    <w:rsid w:val="00294A4C"/>
    <w:rsid w:val="00294B26"/>
    <w:rsid w:val="00294D08"/>
    <w:rsid w:val="00294F30"/>
    <w:rsid w:val="00294F3D"/>
    <w:rsid w:val="00295229"/>
    <w:rsid w:val="002953A7"/>
    <w:rsid w:val="002953AD"/>
    <w:rsid w:val="00295544"/>
    <w:rsid w:val="0029615E"/>
    <w:rsid w:val="002963A3"/>
    <w:rsid w:val="002963F3"/>
    <w:rsid w:val="00296809"/>
    <w:rsid w:val="002969E6"/>
    <w:rsid w:val="00296A0B"/>
    <w:rsid w:val="00296AB5"/>
    <w:rsid w:val="00296EF8"/>
    <w:rsid w:val="00296FFF"/>
    <w:rsid w:val="0029718B"/>
    <w:rsid w:val="002974FF"/>
    <w:rsid w:val="002976E8"/>
    <w:rsid w:val="002976F4"/>
    <w:rsid w:val="0029785F"/>
    <w:rsid w:val="00297991"/>
    <w:rsid w:val="002979BD"/>
    <w:rsid w:val="00297A0D"/>
    <w:rsid w:val="00297C36"/>
    <w:rsid w:val="00297F88"/>
    <w:rsid w:val="0029AD15"/>
    <w:rsid w:val="002A031A"/>
    <w:rsid w:val="002A04D9"/>
    <w:rsid w:val="002A051C"/>
    <w:rsid w:val="002A06F7"/>
    <w:rsid w:val="002A0746"/>
    <w:rsid w:val="002A08B8"/>
    <w:rsid w:val="002A0A26"/>
    <w:rsid w:val="002A0ED9"/>
    <w:rsid w:val="002A114C"/>
    <w:rsid w:val="002A165B"/>
    <w:rsid w:val="002A16BA"/>
    <w:rsid w:val="002A182F"/>
    <w:rsid w:val="002A1870"/>
    <w:rsid w:val="002A1A8E"/>
    <w:rsid w:val="002A1BFF"/>
    <w:rsid w:val="002A1D5C"/>
    <w:rsid w:val="002A1D97"/>
    <w:rsid w:val="002A253D"/>
    <w:rsid w:val="002A25B5"/>
    <w:rsid w:val="002A2698"/>
    <w:rsid w:val="002A26A9"/>
    <w:rsid w:val="002A2751"/>
    <w:rsid w:val="002A27BA"/>
    <w:rsid w:val="002A2854"/>
    <w:rsid w:val="002A28F1"/>
    <w:rsid w:val="002A29BC"/>
    <w:rsid w:val="002A2A7C"/>
    <w:rsid w:val="002A2C1E"/>
    <w:rsid w:val="002A2D3E"/>
    <w:rsid w:val="002A2DA6"/>
    <w:rsid w:val="002A2E14"/>
    <w:rsid w:val="002A2ED1"/>
    <w:rsid w:val="002A2F83"/>
    <w:rsid w:val="002A3278"/>
    <w:rsid w:val="002A32A2"/>
    <w:rsid w:val="002A343D"/>
    <w:rsid w:val="002A3627"/>
    <w:rsid w:val="002A38A6"/>
    <w:rsid w:val="002A38B0"/>
    <w:rsid w:val="002A38DA"/>
    <w:rsid w:val="002A38E8"/>
    <w:rsid w:val="002A3ABA"/>
    <w:rsid w:val="002A3ABB"/>
    <w:rsid w:val="002A3B08"/>
    <w:rsid w:val="002A3B61"/>
    <w:rsid w:val="002A3D38"/>
    <w:rsid w:val="002A3E55"/>
    <w:rsid w:val="002A3F5E"/>
    <w:rsid w:val="002A41CD"/>
    <w:rsid w:val="002A4308"/>
    <w:rsid w:val="002A44A8"/>
    <w:rsid w:val="002A4512"/>
    <w:rsid w:val="002A4549"/>
    <w:rsid w:val="002A4796"/>
    <w:rsid w:val="002A48AA"/>
    <w:rsid w:val="002A4C84"/>
    <w:rsid w:val="002A4F3C"/>
    <w:rsid w:val="002A53D8"/>
    <w:rsid w:val="002A550E"/>
    <w:rsid w:val="002A5A50"/>
    <w:rsid w:val="002A5A5C"/>
    <w:rsid w:val="002A5D5F"/>
    <w:rsid w:val="002A62E8"/>
    <w:rsid w:val="002A658A"/>
    <w:rsid w:val="002A6A8A"/>
    <w:rsid w:val="002A6E2E"/>
    <w:rsid w:val="002A6E34"/>
    <w:rsid w:val="002A71B5"/>
    <w:rsid w:val="002A7214"/>
    <w:rsid w:val="002A75AB"/>
    <w:rsid w:val="002A7E9E"/>
    <w:rsid w:val="002B0262"/>
    <w:rsid w:val="002B038E"/>
    <w:rsid w:val="002B03AD"/>
    <w:rsid w:val="002B03E7"/>
    <w:rsid w:val="002B05DD"/>
    <w:rsid w:val="002B0747"/>
    <w:rsid w:val="002B085B"/>
    <w:rsid w:val="002B0885"/>
    <w:rsid w:val="002B093E"/>
    <w:rsid w:val="002B0A5A"/>
    <w:rsid w:val="002B0B1D"/>
    <w:rsid w:val="002B0E28"/>
    <w:rsid w:val="002B0E64"/>
    <w:rsid w:val="002B0F7E"/>
    <w:rsid w:val="002B11BA"/>
    <w:rsid w:val="002B11CB"/>
    <w:rsid w:val="002B1420"/>
    <w:rsid w:val="002B1458"/>
    <w:rsid w:val="002B1548"/>
    <w:rsid w:val="002B154F"/>
    <w:rsid w:val="002B15A9"/>
    <w:rsid w:val="002B1754"/>
    <w:rsid w:val="002B1818"/>
    <w:rsid w:val="002B1876"/>
    <w:rsid w:val="002B19BF"/>
    <w:rsid w:val="002B1A11"/>
    <w:rsid w:val="002B1F3B"/>
    <w:rsid w:val="002B1F8E"/>
    <w:rsid w:val="002B1FB6"/>
    <w:rsid w:val="002B217F"/>
    <w:rsid w:val="002B2255"/>
    <w:rsid w:val="002B2356"/>
    <w:rsid w:val="002B23A7"/>
    <w:rsid w:val="002B25F6"/>
    <w:rsid w:val="002B2685"/>
    <w:rsid w:val="002B2903"/>
    <w:rsid w:val="002B2958"/>
    <w:rsid w:val="002B2B83"/>
    <w:rsid w:val="002B2BD5"/>
    <w:rsid w:val="002B2D54"/>
    <w:rsid w:val="002B2DC2"/>
    <w:rsid w:val="002B2E80"/>
    <w:rsid w:val="002B2EBF"/>
    <w:rsid w:val="002B2FFF"/>
    <w:rsid w:val="002B30C6"/>
    <w:rsid w:val="002B31D7"/>
    <w:rsid w:val="002B32C0"/>
    <w:rsid w:val="002B34C1"/>
    <w:rsid w:val="002B37A7"/>
    <w:rsid w:val="002B386E"/>
    <w:rsid w:val="002B3B15"/>
    <w:rsid w:val="002B3B53"/>
    <w:rsid w:val="002B3F1B"/>
    <w:rsid w:val="002B3FBC"/>
    <w:rsid w:val="002B3FD0"/>
    <w:rsid w:val="002B42B6"/>
    <w:rsid w:val="002B4343"/>
    <w:rsid w:val="002B438C"/>
    <w:rsid w:val="002B48AE"/>
    <w:rsid w:val="002B490F"/>
    <w:rsid w:val="002B49C9"/>
    <w:rsid w:val="002B4A2B"/>
    <w:rsid w:val="002B4A3E"/>
    <w:rsid w:val="002B4B30"/>
    <w:rsid w:val="002B4BB5"/>
    <w:rsid w:val="002B4E72"/>
    <w:rsid w:val="002B4EA5"/>
    <w:rsid w:val="002B4F2A"/>
    <w:rsid w:val="002B4F40"/>
    <w:rsid w:val="002B4F64"/>
    <w:rsid w:val="002B4FA7"/>
    <w:rsid w:val="002B4FF0"/>
    <w:rsid w:val="002B5084"/>
    <w:rsid w:val="002B52BC"/>
    <w:rsid w:val="002B5366"/>
    <w:rsid w:val="002B54D5"/>
    <w:rsid w:val="002B5869"/>
    <w:rsid w:val="002B5993"/>
    <w:rsid w:val="002B59D7"/>
    <w:rsid w:val="002B5C29"/>
    <w:rsid w:val="002B5FC8"/>
    <w:rsid w:val="002B615C"/>
    <w:rsid w:val="002B6258"/>
    <w:rsid w:val="002B62C9"/>
    <w:rsid w:val="002B62CA"/>
    <w:rsid w:val="002B6403"/>
    <w:rsid w:val="002B6498"/>
    <w:rsid w:val="002B6734"/>
    <w:rsid w:val="002B6ACF"/>
    <w:rsid w:val="002B6AD6"/>
    <w:rsid w:val="002B6BE3"/>
    <w:rsid w:val="002B6C38"/>
    <w:rsid w:val="002B6D77"/>
    <w:rsid w:val="002B6DE2"/>
    <w:rsid w:val="002B6E5C"/>
    <w:rsid w:val="002B701D"/>
    <w:rsid w:val="002B70A1"/>
    <w:rsid w:val="002B70B1"/>
    <w:rsid w:val="002B7400"/>
    <w:rsid w:val="002B7634"/>
    <w:rsid w:val="002B766A"/>
    <w:rsid w:val="002B76A0"/>
    <w:rsid w:val="002B7A74"/>
    <w:rsid w:val="002B7D7A"/>
    <w:rsid w:val="002B7F7C"/>
    <w:rsid w:val="002C0AE3"/>
    <w:rsid w:val="002C0BC8"/>
    <w:rsid w:val="002C0BD5"/>
    <w:rsid w:val="002C0CEC"/>
    <w:rsid w:val="002C103E"/>
    <w:rsid w:val="002C128F"/>
    <w:rsid w:val="002C1329"/>
    <w:rsid w:val="002C14F0"/>
    <w:rsid w:val="002C1569"/>
    <w:rsid w:val="002C1A34"/>
    <w:rsid w:val="002C1A3C"/>
    <w:rsid w:val="002C1B92"/>
    <w:rsid w:val="002C1D0A"/>
    <w:rsid w:val="002C1DF8"/>
    <w:rsid w:val="002C1FFB"/>
    <w:rsid w:val="002C27B1"/>
    <w:rsid w:val="002C2AB4"/>
    <w:rsid w:val="002C2AF0"/>
    <w:rsid w:val="002C2B07"/>
    <w:rsid w:val="002C2BA9"/>
    <w:rsid w:val="002C2C10"/>
    <w:rsid w:val="002C2E8A"/>
    <w:rsid w:val="002C2FB8"/>
    <w:rsid w:val="002C3026"/>
    <w:rsid w:val="002C3330"/>
    <w:rsid w:val="002C337E"/>
    <w:rsid w:val="002C35BD"/>
    <w:rsid w:val="002C36E1"/>
    <w:rsid w:val="002C37EC"/>
    <w:rsid w:val="002C3DD2"/>
    <w:rsid w:val="002C3ED8"/>
    <w:rsid w:val="002C3FE0"/>
    <w:rsid w:val="002C4047"/>
    <w:rsid w:val="002C41D0"/>
    <w:rsid w:val="002C45D2"/>
    <w:rsid w:val="002C4843"/>
    <w:rsid w:val="002C4A0F"/>
    <w:rsid w:val="002C4BDC"/>
    <w:rsid w:val="002C4D06"/>
    <w:rsid w:val="002C4D86"/>
    <w:rsid w:val="002C4DEF"/>
    <w:rsid w:val="002C4F5E"/>
    <w:rsid w:val="002C4F71"/>
    <w:rsid w:val="002C5099"/>
    <w:rsid w:val="002C5158"/>
    <w:rsid w:val="002C5540"/>
    <w:rsid w:val="002C5624"/>
    <w:rsid w:val="002C56FB"/>
    <w:rsid w:val="002C5759"/>
    <w:rsid w:val="002C585C"/>
    <w:rsid w:val="002C5908"/>
    <w:rsid w:val="002C5AC8"/>
    <w:rsid w:val="002C5AEC"/>
    <w:rsid w:val="002C5D84"/>
    <w:rsid w:val="002C6008"/>
    <w:rsid w:val="002C600E"/>
    <w:rsid w:val="002C66F6"/>
    <w:rsid w:val="002C6701"/>
    <w:rsid w:val="002C67A9"/>
    <w:rsid w:val="002C6911"/>
    <w:rsid w:val="002C6E21"/>
    <w:rsid w:val="002C71D8"/>
    <w:rsid w:val="002C76A4"/>
    <w:rsid w:val="002C7815"/>
    <w:rsid w:val="002C79B5"/>
    <w:rsid w:val="002C7B01"/>
    <w:rsid w:val="002C7B88"/>
    <w:rsid w:val="002C7D32"/>
    <w:rsid w:val="002C7E59"/>
    <w:rsid w:val="002C7F5F"/>
    <w:rsid w:val="002D02BC"/>
    <w:rsid w:val="002D05E0"/>
    <w:rsid w:val="002D05E9"/>
    <w:rsid w:val="002D0627"/>
    <w:rsid w:val="002D089B"/>
    <w:rsid w:val="002D0936"/>
    <w:rsid w:val="002D0ED3"/>
    <w:rsid w:val="002D0F47"/>
    <w:rsid w:val="002D1139"/>
    <w:rsid w:val="002D14B8"/>
    <w:rsid w:val="002D1748"/>
    <w:rsid w:val="002D17E3"/>
    <w:rsid w:val="002D1AE9"/>
    <w:rsid w:val="002D1B6B"/>
    <w:rsid w:val="002D1C49"/>
    <w:rsid w:val="002D1C81"/>
    <w:rsid w:val="002D1DDA"/>
    <w:rsid w:val="002D1E60"/>
    <w:rsid w:val="002D1F4D"/>
    <w:rsid w:val="002D2096"/>
    <w:rsid w:val="002D2170"/>
    <w:rsid w:val="002D2249"/>
    <w:rsid w:val="002D228F"/>
    <w:rsid w:val="002D2436"/>
    <w:rsid w:val="002D2719"/>
    <w:rsid w:val="002D2722"/>
    <w:rsid w:val="002D2804"/>
    <w:rsid w:val="002D29DB"/>
    <w:rsid w:val="002D2A0A"/>
    <w:rsid w:val="002D2BB3"/>
    <w:rsid w:val="002D2CD1"/>
    <w:rsid w:val="002D2E18"/>
    <w:rsid w:val="002D2F4B"/>
    <w:rsid w:val="002D34E2"/>
    <w:rsid w:val="002D3870"/>
    <w:rsid w:val="002D3BD1"/>
    <w:rsid w:val="002D3D68"/>
    <w:rsid w:val="002D3DA9"/>
    <w:rsid w:val="002D3E4C"/>
    <w:rsid w:val="002D411D"/>
    <w:rsid w:val="002D46D3"/>
    <w:rsid w:val="002D46EA"/>
    <w:rsid w:val="002D4721"/>
    <w:rsid w:val="002D4E74"/>
    <w:rsid w:val="002D4F0A"/>
    <w:rsid w:val="002D566D"/>
    <w:rsid w:val="002D5686"/>
    <w:rsid w:val="002D5A72"/>
    <w:rsid w:val="002D5A96"/>
    <w:rsid w:val="002D5D12"/>
    <w:rsid w:val="002D5DA6"/>
    <w:rsid w:val="002D5E11"/>
    <w:rsid w:val="002D5ED6"/>
    <w:rsid w:val="002D61F8"/>
    <w:rsid w:val="002D62B6"/>
    <w:rsid w:val="002D62F2"/>
    <w:rsid w:val="002D6337"/>
    <w:rsid w:val="002D6448"/>
    <w:rsid w:val="002D6564"/>
    <w:rsid w:val="002D6646"/>
    <w:rsid w:val="002D6664"/>
    <w:rsid w:val="002D6B10"/>
    <w:rsid w:val="002D6CED"/>
    <w:rsid w:val="002D6F16"/>
    <w:rsid w:val="002D7080"/>
    <w:rsid w:val="002D7326"/>
    <w:rsid w:val="002D7492"/>
    <w:rsid w:val="002D7780"/>
    <w:rsid w:val="002D77AB"/>
    <w:rsid w:val="002D7A36"/>
    <w:rsid w:val="002D7AD6"/>
    <w:rsid w:val="002D7ADB"/>
    <w:rsid w:val="002D7D77"/>
    <w:rsid w:val="002D7F35"/>
    <w:rsid w:val="002D7F6E"/>
    <w:rsid w:val="002E007E"/>
    <w:rsid w:val="002E0237"/>
    <w:rsid w:val="002E03A9"/>
    <w:rsid w:val="002E0490"/>
    <w:rsid w:val="002E05C1"/>
    <w:rsid w:val="002E069F"/>
    <w:rsid w:val="002E06B4"/>
    <w:rsid w:val="002E07E3"/>
    <w:rsid w:val="002E0A8C"/>
    <w:rsid w:val="002E0B93"/>
    <w:rsid w:val="002E0BC3"/>
    <w:rsid w:val="002E0D5E"/>
    <w:rsid w:val="002E0F06"/>
    <w:rsid w:val="002E102C"/>
    <w:rsid w:val="002E10F7"/>
    <w:rsid w:val="002E1108"/>
    <w:rsid w:val="002E11A3"/>
    <w:rsid w:val="002E13C1"/>
    <w:rsid w:val="002E1549"/>
    <w:rsid w:val="002E162A"/>
    <w:rsid w:val="002E188A"/>
    <w:rsid w:val="002E18A9"/>
    <w:rsid w:val="002E18D7"/>
    <w:rsid w:val="002E1952"/>
    <w:rsid w:val="002E1A73"/>
    <w:rsid w:val="002E1A79"/>
    <w:rsid w:val="002E1AA0"/>
    <w:rsid w:val="002E1B6B"/>
    <w:rsid w:val="002E1E99"/>
    <w:rsid w:val="002E2182"/>
    <w:rsid w:val="002E23E7"/>
    <w:rsid w:val="002E2589"/>
    <w:rsid w:val="002E27A7"/>
    <w:rsid w:val="002E2931"/>
    <w:rsid w:val="002E2A5E"/>
    <w:rsid w:val="002E2B07"/>
    <w:rsid w:val="002E31DA"/>
    <w:rsid w:val="002E34F0"/>
    <w:rsid w:val="002E358B"/>
    <w:rsid w:val="002E36EC"/>
    <w:rsid w:val="002E3B51"/>
    <w:rsid w:val="002E3BEB"/>
    <w:rsid w:val="002E3CBC"/>
    <w:rsid w:val="002E3D0C"/>
    <w:rsid w:val="002E3E99"/>
    <w:rsid w:val="002E4218"/>
    <w:rsid w:val="002E42A2"/>
    <w:rsid w:val="002E443F"/>
    <w:rsid w:val="002E44D9"/>
    <w:rsid w:val="002E45E6"/>
    <w:rsid w:val="002E460A"/>
    <w:rsid w:val="002E4679"/>
    <w:rsid w:val="002E46B7"/>
    <w:rsid w:val="002E48F3"/>
    <w:rsid w:val="002E492E"/>
    <w:rsid w:val="002E4954"/>
    <w:rsid w:val="002E49C7"/>
    <w:rsid w:val="002E4B1F"/>
    <w:rsid w:val="002E4C7A"/>
    <w:rsid w:val="002E4D27"/>
    <w:rsid w:val="002E4F1D"/>
    <w:rsid w:val="002E502C"/>
    <w:rsid w:val="002E5099"/>
    <w:rsid w:val="002E5196"/>
    <w:rsid w:val="002E5219"/>
    <w:rsid w:val="002E5236"/>
    <w:rsid w:val="002E534C"/>
    <w:rsid w:val="002E585B"/>
    <w:rsid w:val="002E5BA1"/>
    <w:rsid w:val="002E60E5"/>
    <w:rsid w:val="002E66D3"/>
    <w:rsid w:val="002E679E"/>
    <w:rsid w:val="002E6B72"/>
    <w:rsid w:val="002E6E16"/>
    <w:rsid w:val="002E7225"/>
    <w:rsid w:val="002E7375"/>
    <w:rsid w:val="002E74AC"/>
    <w:rsid w:val="002E751E"/>
    <w:rsid w:val="002E7A10"/>
    <w:rsid w:val="002E7B10"/>
    <w:rsid w:val="002E7CB9"/>
    <w:rsid w:val="002E7D53"/>
    <w:rsid w:val="002E7E4A"/>
    <w:rsid w:val="002E7FC2"/>
    <w:rsid w:val="002F0194"/>
    <w:rsid w:val="002F019B"/>
    <w:rsid w:val="002F01C6"/>
    <w:rsid w:val="002F03FF"/>
    <w:rsid w:val="002F0678"/>
    <w:rsid w:val="002F0794"/>
    <w:rsid w:val="002F07E5"/>
    <w:rsid w:val="002F0AEB"/>
    <w:rsid w:val="002F0B0B"/>
    <w:rsid w:val="002F0BC6"/>
    <w:rsid w:val="002F0CF8"/>
    <w:rsid w:val="002F1190"/>
    <w:rsid w:val="002F146A"/>
    <w:rsid w:val="002F1634"/>
    <w:rsid w:val="002F1A67"/>
    <w:rsid w:val="002F1A79"/>
    <w:rsid w:val="002F1AF5"/>
    <w:rsid w:val="002F1BEE"/>
    <w:rsid w:val="002F1D24"/>
    <w:rsid w:val="002F1DFC"/>
    <w:rsid w:val="002F1FA2"/>
    <w:rsid w:val="002F21D5"/>
    <w:rsid w:val="002F2264"/>
    <w:rsid w:val="002F235D"/>
    <w:rsid w:val="002F23AB"/>
    <w:rsid w:val="002F25A3"/>
    <w:rsid w:val="002F2732"/>
    <w:rsid w:val="002F286C"/>
    <w:rsid w:val="002F2916"/>
    <w:rsid w:val="002F2A53"/>
    <w:rsid w:val="002F2BC2"/>
    <w:rsid w:val="002F2CEB"/>
    <w:rsid w:val="002F2F0F"/>
    <w:rsid w:val="002F3020"/>
    <w:rsid w:val="002F31CC"/>
    <w:rsid w:val="002F3201"/>
    <w:rsid w:val="002F322F"/>
    <w:rsid w:val="002F33AE"/>
    <w:rsid w:val="002F3422"/>
    <w:rsid w:val="002F35AD"/>
    <w:rsid w:val="002F3CE4"/>
    <w:rsid w:val="002F3E50"/>
    <w:rsid w:val="002F3EB0"/>
    <w:rsid w:val="002F4457"/>
    <w:rsid w:val="002F4516"/>
    <w:rsid w:val="002F4673"/>
    <w:rsid w:val="002F47B7"/>
    <w:rsid w:val="002F47D0"/>
    <w:rsid w:val="002F4947"/>
    <w:rsid w:val="002F4995"/>
    <w:rsid w:val="002F49F2"/>
    <w:rsid w:val="002F4C9C"/>
    <w:rsid w:val="002F51E0"/>
    <w:rsid w:val="002F52DC"/>
    <w:rsid w:val="002F5322"/>
    <w:rsid w:val="002F5348"/>
    <w:rsid w:val="002F5535"/>
    <w:rsid w:val="002F553F"/>
    <w:rsid w:val="002F59C3"/>
    <w:rsid w:val="002F5AE0"/>
    <w:rsid w:val="002F6136"/>
    <w:rsid w:val="002F639B"/>
    <w:rsid w:val="002F658A"/>
    <w:rsid w:val="002F6720"/>
    <w:rsid w:val="002F692C"/>
    <w:rsid w:val="002F6EA8"/>
    <w:rsid w:val="002F792E"/>
    <w:rsid w:val="002F79FD"/>
    <w:rsid w:val="002F7B13"/>
    <w:rsid w:val="002F7B17"/>
    <w:rsid w:val="002F7C82"/>
    <w:rsid w:val="002F7D19"/>
    <w:rsid w:val="002F7E05"/>
    <w:rsid w:val="00300086"/>
    <w:rsid w:val="00300122"/>
    <w:rsid w:val="003002EF"/>
    <w:rsid w:val="00300525"/>
    <w:rsid w:val="0030065A"/>
    <w:rsid w:val="0030076A"/>
    <w:rsid w:val="003008FF"/>
    <w:rsid w:val="00300924"/>
    <w:rsid w:val="003009E0"/>
    <w:rsid w:val="00300A73"/>
    <w:rsid w:val="00300C75"/>
    <w:rsid w:val="00300F64"/>
    <w:rsid w:val="0030113B"/>
    <w:rsid w:val="0030115B"/>
    <w:rsid w:val="0030122A"/>
    <w:rsid w:val="0030153A"/>
    <w:rsid w:val="003015B8"/>
    <w:rsid w:val="00301652"/>
    <w:rsid w:val="00301676"/>
    <w:rsid w:val="003016EB"/>
    <w:rsid w:val="003018AE"/>
    <w:rsid w:val="003018C6"/>
    <w:rsid w:val="003018CB"/>
    <w:rsid w:val="003018D9"/>
    <w:rsid w:val="0030191F"/>
    <w:rsid w:val="003019B2"/>
    <w:rsid w:val="00301CCB"/>
    <w:rsid w:val="00301E19"/>
    <w:rsid w:val="00301EE7"/>
    <w:rsid w:val="003022A1"/>
    <w:rsid w:val="00302AD9"/>
    <w:rsid w:val="00302C19"/>
    <w:rsid w:val="00302D6C"/>
    <w:rsid w:val="00302EA1"/>
    <w:rsid w:val="00302F8A"/>
    <w:rsid w:val="00302FEB"/>
    <w:rsid w:val="00303059"/>
    <w:rsid w:val="003036FB"/>
    <w:rsid w:val="00303817"/>
    <w:rsid w:val="003038B0"/>
    <w:rsid w:val="00303977"/>
    <w:rsid w:val="003039F2"/>
    <w:rsid w:val="00303D15"/>
    <w:rsid w:val="00303DFF"/>
    <w:rsid w:val="00303E0E"/>
    <w:rsid w:val="00304480"/>
    <w:rsid w:val="003044FB"/>
    <w:rsid w:val="003049CF"/>
    <w:rsid w:val="00304B94"/>
    <w:rsid w:val="00304C29"/>
    <w:rsid w:val="00304C81"/>
    <w:rsid w:val="00304C93"/>
    <w:rsid w:val="00304DBA"/>
    <w:rsid w:val="00304DDC"/>
    <w:rsid w:val="00304E4C"/>
    <w:rsid w:val="003050D7"/>
    <w:rsid w:val="003050FD"/>
    <w:rsid w:val="00305442"/>
    <w:rsid w:val="0030548B"/>
    <w:rsid w:val="003054A4"/>
    <w:rsid w:val="00305614"/>
    <w:rsid w:val="003056E7"/>
    <w:rsid w:val="003057B0"/>
    <w:rsid w:val="003057B8"/>
    <w:rsid w:val="003057CD"/>
    <w:rsid w:val="00305873"/>
    <w:rsid w:val="00305FB0"/>
    <w:rsid w:val="00306301"/>
    <w:rsid w:val="0030639F"/>
    <w:rsid w:val="003063A1"/>
    <w:rsid w:val="00306596"/>
    <w:rsid w:val="003067CE"/>
    <w:rsid w:val="003067DC"/>
    <w:rsid w:val="00306883"/>
    <w:rsid w:val="003069C5"/>
    <w:rsid w:val="003071DD"/>
    <w:rsid w:val="003073ED"/>
    <w:rsid w:val="00307430"/>
    <w:rsid w:val="00307552"/>
    <w:rsid w:val="00307904"/>
    <w:rsid w:val="00307A73"/>
    <w:rsid w:val="00307BD6"/>
    <w:rsid w:val="00307D96"/>
    <w:rsid w:val="00307DD5"/>
    <w:rsid w:val="0031017A"/>
    <w:rsid w:val="0031017E"/>
    <w:rsid w:val="003103FF"/>
    <w:rsid w:val="00310488"/>
    <w:rsid w:val="003107D6"/>
    <w:rsid w:val="00310B37"/>
    <w:rsid w:val="0031100A"/>
    <w:rsid w:val="003113C6"/>
    <w:rsid w:val="003114C6"/>
    <w:rsid w:val="003117CC"/>
    <w:rsid w:val="003118C1"/>
    <w:rsid w:val="003119DF"/>
    <w:rsid w:val="00311CA0"/>
    <w:rsid w:val="00311ECC"/>
    <w:rsid w:val="00311FB8"/>
    <w:rsid w:val="0031220C"/>
    <w:rsid w:val="00312B78"/>
    <w:rsid w:val="003130B1"/>
    <w:rsid w:val="0031331D"/>
    <w:rsid w:val="003134F9"/>
    <w:rsid w:val="0031350F"/>
    <w:rsid w:val="00313526"/>
    <w:rsid w:val="00313564"/>
    <w:rsid w:val="003135D5"/>
    <w:rsid w:val="003136A9"/>
    <w:rsid w:val="00313C85"/>
    <w:rsid w:val="00313CA2"/>
    <w:rsid w:val="00313CB2"/>
    <w:rsid w:val="00313F90"/>
    <w:rsid w:val="003140C5"/>
    <w:rsid w:val="00314115"/>
    <w:rsid w:val="0031414D"/>
    <w:rsid w:val="00314222"/>
    <w:rsid w:val="0031442F"/>
    <w:rsid w:val="0031457E"/>
    <w:rsid w:val="003145E3"/>
    <w:rsid w:val="00314785"/>
    <w:rsid w:val="003148EC"/>
    <w:rsid w:val="00314AB6"/>
    <w:rsid w:val="00314AD9"/>
    <w:rsid w:val="00315037"/>
    <w:rsid w:val="003150E6"/>
    <w:rsid w:val="0031515D"/>
    <w:rsid w:val="003151DC"/>
    <w:rsid w:val="0031549D"/>
    <w:rsid w:val="003155CF"/>
    <w:rsid w:val="003156C0"/>
    <w:rsid w:val="0031579D"/>
    <w:rsid w:val="00315941"/>
    <w:rsid w:val="00315A4D"/>
    <w:rsid w:val="00315A54"/>
    <w:rsid w:val="00315B53"/>
    <w:rsid w:val="00315CE0"/>
    <w:rsid w:val="00315D69"/>
    <w:rsid w:val="00315FD8"/>
    <w:rsid w:val="003160DD"/>
    <w:rsid w:val="003162AD"/>
    <w:rsid w:val="00316472"/>
    <w:rsid w:val="00316488"/>
    <w:rsid w:val="00316504"/>
    <w:rsid w:val="00316828"/>
    <w:rsid w:val="00316C98"/>
    <w:rsid w:val="00316D7C"/>
    <w:rsid w:val="00316DEB"/>
    <w:rsid w:val="00316E02"/>
    <w:rsid w:val="00316F58"/>
    <w:rsid w:val="00317234"/>
    <w:rsid w:val="0031742C"/>
    <w:rsid w:val="00317477"/>
    <w:rsid w:val="00317702"/>
    <w:rsid w:val="00317919"/>
    <w:rsid w:val="00317986"/>
    <w:rsid w:val="00317BF5"/>
    <w:rsid w:val="00317C0F"/>
    <w:rsid w:val="00317D65"/>
    <w:rsid w:val="00317E3E"/>
    <w:rsid w:val="00317FE9"/>
    <w:rsid w:val="00320049"/>
    <w:rsid w:val="00320072"/>
    <w:rsid w:val="003206ED"/>
    <w:rsid w:val="003208C9"/>
    <w:rsid w:val="0032099B"/>
    <w:rsid w:val="00320B13"/>
    <w:rsid w:val="00320B1B"/>
    <w:rsid w:val="00320BC8"/>
    <w:rsid w:val="00320F80"/>
    <w:rsid w:val="00321312"/>
    <w:rsid w:val="00321BC4"/>
    <w:rsid w:val="00321C75"/>
    <w:rsid w:val="00321D85"/>
    <w:rsid w:val="00321EE3"/>
    <w:rsid w:val="00321F8F"/>
    <w:rsid w:val="00322029"/>
    <w:rsid w:val="003221AA"/>
    <w:rsid w:val="00322587"/>
    <w:rsid w:val="003228E1"/>
    <w:rsid w:val="00322994"/>
    <w:rsid w:val="00322ABD"/>
    <w:rsid w:val="00322ADA"/>
    <w:rsid w:val="00322BA3"/>
    <w:rsid w:val="00322F46"/>
    <w:rsid w:val="00322FC1"/>
    <w:rsid w:val="00323313"/>
    <w:rsid w:val="003233CD"/>
    <w:rsid w:val="003238A8"/>
    <w:rsid w:val="00323967"/>
    <w:rsid w:val="00323DB8"/>
    <w:rsid w:val="0032415F"/>
    <w:rsid w:val="003241DC"/>
    <w:rsid w:val="003242BF"/>
    <w:rsid w:val="0032452D"/>
    <w:rsid w:val="0032474B"/>
    <w:rsid w:val="00324946"/>
    <w:rsid w:val="003249D3"/>
    <w:rsid w:val="00324EA1"/>
    <w:rsid w:val="00324F50"/>
    <w:rsid w:val="00325364"/>
    <w:rsid w:val="003253D2"/>
    <w:rsid w:val="0032548A"/>
    <w:rsid w:val="00325522"/>
    <w:rsid w:val="00325525"/>
    <w:rsid w:val="00325615"/>
    <w:rsid w:val="0032579E"/>
    <w:rsid w:val="003258C9"/>
    <w:rsid w:val="00325966"/>
    <w:rsid w:val="00325B9C"/>
    <w:rsid w:val="00325DA7"/>
    <w:rsid w:val="00325F6D"/>
    <w:rsid w:val="00325F7F"/>
    <w:rsid w:val="0032606A"/>
    <w:rsid w:val="0032608D"/>
    <w:rsid w:val="00326222"/>
    <w:rsid w:val="0032624E"/>
    <w:rsid w:val="003262FE"/>
    <w:rsid w:val="003266EB"/>
    <w:rsid w:val="003266F6"/>
    <w:rsid w:val="00326706"/>
    <w:rsid w:val="00326893"/>
    <w:rsid w:val="0032698B"/>
    <w:rsid w:val="00326AD9"/>
    <w:rsid w:val="00326BC8"/>
    <w:rsid w:val="00326CD1"/>
    <w:rsid w:val="00326EC3"/>
    <w:rsid w:val="00327124"/>
    <w:rsid w:val="003271D2"/>
    <w:rsid w:val="00327237"/>
    <w:rsid w:val="00327372"/>
    <w:rsid w:val="003273C0"/>
    <w:rsid w:val="003277A8"/>
    <w:rsid w:val="00327A76"/>
    <w:rsid w:val="00327A7F"/>
    <w:rsid w:val="00327BF0"/>
    <w:rsid w:val="00327CA8"/>
    <w:rsid w:val="0033013A"/>
    <w:rsid w:val="0033017D"/>
    <w:rsid w:val="003302E8"/>
    <w:rsid w:val="0033032D"/>
    <w:rsid w:val="00330438"/>
    <w:rsid w:val="0033054C"/>
    <w:rsid w:val="003305DE"/>
    <w:rsid w:val="003307FF"/>
    <w:rsid w:val="003308C0"/>
    <w:rsid w:val="003309C0"/>
    <w:rsid w:val="00330CDE"/>
    <w:rsid w:val="00330E3E"/>
    <w:rsid w:val="003310F2"/>
    <w:rsid w:val="00331329"/>
    <w:rsid w:val="003313AD"/>
    <w:rsid w:val="00331523"/>
    <w:rsid w:val="003319B6"/>
    <w:rsid w:val="00331CC2"/>
    <w:rsid w:val="00331D13"/>
    <w:rsid w:val="00331EB9"/>
    <w:rsid w:val="003320F8"/>
    <w:rsid w:val="00332134"/>
    <w:rsid w:val="00332312"/>
    <w:rsid w:val="003325BC"/>
    <w:rsid w:val="00332A7B"/>
    <w:rsid w:val="00332BF5"/>
    <w:rsid w:val="00332C9E"/>
    <w:rsid w:val="00332D1A"/>
    <w:rsid w:val="00332D28"/>
    <w:rsid w:val="00332D45"/>
    <w:rsid w:val="00332D55"/>
    <w:rsid w:val="00332D91"/>
    <w:rsid w:val="00332DD2"/>
    <w:rsid w:val="00332E9F"/>
    <w:rsid w:val="003332E8"/>
    <w:rsid w:val="00333BC0"/>
    <w:rsid w:val="00333CA5"/>
    <w:rsid w:val="00333CB1"/>
    <w:rsid w:val="00333D19"/>
    <w:rsid w:val="00334077"/>
    <w:rsid w:val="00334546"/>
    <w:rsid w:val="0033472B"/>
    <w:rsid w:val="00334929"/>
    <w:rsid w:val="003349C4"/>
    <w:rsid w:val="00334A5A"/>
    <w:rsid w:val="00334A8A"/>
    <w:rsid w:val="00334C8F"/>
    <w:rsid w:val="00334CAB"/>
    <w:rsid w:val="00334E8C"/>
    <w:rsid w:val="00334FC1"/>
    <w:rsid w:val="00335041"/>
    <w:rsid w:val="003352B7"/>
    <w:rsid w:val="0033540E"/>
    <w:rsid w:val="0033555C"/>
    <w:rsid w:val="00335752"/>
    <w:rsid w:val="003357E5"/>
    <w:rsid w:val="00335AD3"/>
    <w:rsid w:val="00335BFF"/>
    <w:rsid w:val="00335C76"/>
    <w:rsid w:val="00335CD8"/>
    <w:rsid w:val="00335E12"/>
    <w:rsid w:val="00335F1A"/>
    <w:rsid w:val="00335F3B"/>
    <w:rsid w:val="00336079"/>
    <w:rsid w:val="003361DD"/>
    <w:rsid w:val="003361E8"/>
    <w:rsid w:val="00336269"/>
    <w:rsid w:val="00336336"/>
    <w:rsid w:val="00336386"/>
    <w:rsid w:val="003363B9"/>
    <w:rsid w:val="003366C6"/>
    <w:rsid w:val="003367AD"/>
    <w:rsid w:val="003367E8"/>
    <w:rsid w:val="0033716F"/>
    <w:rsid w:val="0033723A"/>
    <w:rsid w:val="0033727C"/>
    <w:rsid w:val="0033739A"/>
    <w:rsid w:val="003378FB"/>
    <w:rsid w:val="00337952"/>
    <w:rsid w:val="003379AE"/>
    <w:rsid w:val="00337B61"/>
    <w:rsid w:val="00337B93"/>
    <w:rsid w:val="00337CBD"/>
    <w:rsid w:val="00337F4F"/>
    <w:rsid w:val="00340028"/>
    <w:rsid w:val="0034012A"/>
    <w:rsid w:val="003401E8"/>
    <w:rsid w:val="00340228"/>
    <w:rsid w:val="0034032B"/>
    <w:rsid w:val="0034037F"/>
    <w:rsid w:val="0034043B"/>
    <w:rsid w:val="0034054B"/>
    <w:rsid w:val="00340886"/>
    <w:rsid w:val="0034094A"/>
    <w:rsid w:val="00340971"/>
    <w:rsid w:val="00340A1B"/>
    <w:rsid w:val="00340A7A"/>
    <w:rsid w:val="00340C34"/>
    <w:rsid w:val="00340D22"/>
    <w:rsid w:val="00340D79"/>
    <w:rsid w:val="00340DD8"/>
    <w:rsid w:val="00340DDE"/>
    <w:rsid w:val="00340F53"/>
    <w:rsid w:val="0034106C"/>
    <w:rsid w:val="003410E7"/>
    <w:rsid w:val="003413C9"/>
    <w:rsid w:val="0034146E"/>
    <w:rsid w:val="0034158F"/>
    <w:rsid w:val="00341722"/>
    <w:rsid w:val="00341B77"/>
    <w:rsid w:val="00341D1E"/>
    <w:rsid w:val="00341E17"/>
    <w:rsid w:val="00341FD9"/>
    <w:rsid w:val="003424CC"/>
    <w:rsid w:val="00342536"/>
    <w:rsid w:val="0034258E"/>
    <w:rsid w:val="003429E7"/>
    <w:rsid w:val="00342B83"/>
    <w:rsid w:val="00342FC1"/>
    <w:rsid w:val="00343158"/>
    <w:rsid w:val="00343183"/>
    <w:rsid w:val="0034368B"/>
    <w:rsid w:val="003436B9"/>
    <w:rsid w:val="003436CD"/>
    <w:rsid w:val="00343B08"/>
    <w:rsid w:val="00343DA0"/>
    <w:rsid w:val="00344387"/>
    <w:rsid w:val="00344672"/>
    <w:rsid w:val="00344CB9"/>
    <w:rsid w:val="00344DA1"/>
    <w:rsid w:val="00344E01"/>
    <w:rsid w:val="00344E71"/>
    <w:rsid w:val="00344F84"/>
    <w:rsid w:val="003450BA"/>
    <w:rsid w:val="00345395"/>
    <w:rsid w:val="0034547E"/>
    <w:rsid w:val="0034561F"/>
    <w:rsid w:val="003456FE"/>
    <w:rsid w:val="00345719"/>
    <w:rsid w:val="003459A3"/>
    <w:rsid w:val="003459AC"/>
    <w:rsid w:val="00345A83"/>
    <w:rsid w:val="00345D6B"/>
    <w:rsid w:val="00345D73"/>
    <w:rsid w:val="00345DE5"/>
    <w:rsid w:val="00345F20"/>
    <w:rsid w:val="003461E7"/>
    <w:rsid w:val="003464EE"/>
    <w:rsid w:val="0034656E"/>
    <w:rsid w:val="00346584"/>
    <w:rsid w:val="00346660"/>
    <w:rsid w:val="00346719"/>
    <w:rsid w:val="003468FE"/>
    <w:rsid w:val="00346B2A"/>
    <w:rsid w:val="00346C8F"/>
    <w:rsid w:val="00346E53"/>
    <w:rsid w:val="00346FA0"/>
    <w:rsid w:val="00347304"/>
    <w:rsid w:val="0034742F"/>
    <w:rsid w:val="00347493"/>
    <w:rsid w:val="003474DD"/>
    <w:rsid w:val="00347579"/>
    <w:rsid w:val="003476A7"/>
    <w:rsid w:val="003476FA"/>
    <w:rsid w:val="003477F5"/>
    <w:rsid w:val="00347807"/>
    <w:rsid w:val="00347953"/>
    <w:rsid w:val="00347C21"/>
    <w:rsid w:val="00347D57"/>
    <w:rsid w:val="00347D5D"/>
    <w:rsid w:val="00347EA3"/>
    <w:rsid w:val="00350131"/>
    <w:rsid w:val="00350198"/>
    <w:rsid w:val="003501DC"/>
    <w:rsid w:val="00350535"/>
    <w:rsid w:val="0035066B"/>
    <w:rsid w:val="00350804"/>
    <w:rsid w:val="00350B10"/>
    <w:rsid w:val="00350CF9"/>
    <w:rsid w:val="00350E31"/>
    <w:rsid w:val="00350ED3"/>
    <w:rsid w:val="00350ED6"/>
    <w:rsid w:val="003510DD"/>
    <w:rsid w:val="0035116A"/>
    <w:rsid w:val="0035119D"/>
    <w:rsid w:val="003514F5"/>
    <w:rsid w:val="003517F7"/>
    <w:rsid w:val="00351831"/>
    <w:rsid w:val="0035187B"/>
    <w:rsid w:val="00351890"/>
    <w:rsid w:val="00351C21"/>
    <w:rsid w:val="00351C46"/>
    <w:rsid w:val="00351D2E"/>
    <w:rsid w:val="00351D8D"/>
    <w:rsid w:val="003520E6"/>
    <w:rsid w:val="00352114"/>
    <w:rsid w:val="0035218E"/>
    <w:rsid w:val="003521C9"/>
    <w:rsid w:val="003524C4"/>
    <w:rsid w:val="0035251E"/>
    <w:rsid w:val="00352745"/>
    <w:rsid w:val="003528BC"/>
    <w:rsid w:val="00352938"/>
    <w:rsid w:val="00352B8E"/>
    <w:rsid w:val="00352C10"/>
    <w:rsid w:val="00352C5B"/>
    <w:rsid w:val="00352D29"/>
    <w:rsid w:val="00352D38"/>
    <w:rsid w:val="00352E45"/>
    <w:rsid w:val="00352E4D"/>
    <w:rsid w:val="00352E60"/>
    <w:rsid w:val="00352E77"/>
    <w:rsid w:val="00352EF2"/>
    <w:rsid w:val="00352FD7"/>
    <w:rsid w:val="00353629"/>
    <w:rsid w:val="003536E7"/>
    <w:rsid w:val="00353747"/>
    <w:rsid w:val="00353802"/>
    <w:rsid w:val="00353870"/>
    <w:rsid w:val="003538DF"/>
    <w:rsid w:val="00353BAA"/>
    <w:rsid w:val="00353BC7"/>
    <w:rsid w:val="00353D8E"/>
    <w:rsid w:val="00353EF1"/>
    <w:rsid w:val="00353F00"/>
    <w:rsid w:val="003543A0"/>
    <w:rsid w:val="003546F8"/>
    <w:rsid w:val="00354E26"/>
    <w:rsid w:val="00354F17"/>
    <w:rsid w:val="00355701"/>
    <w:rsid w:val="003559DE"/>
    <w:rsid w:val="00355BE9"/>
    <w:rsid w:val="00355F9F"/>
    <w:rsid w:val="00355FFE"/>
    <w:rsid w:val="00356127"/>
    <w:rsid w:val="00356150"/>
    <w:rsid w:val="0035625C"/>
    <w:rsid w:val="003564A0"/>
    <w:rsid w:val="0035673E"/>
    <w:rsid w:val="00356824"/>
    <w:rsid w:val="00356893"/>
    <w:rsid w:val="00356AA5"/>
    <w:rsid w:val="00356D29"/>
    <w:rsid w:val="00356DA0"/>
    <w:rsid w:val="00356DB3"/>
    <w:rsid w:val="00356F92"/>
    <w:rsid w:val="00357179"/>
    <w:rsid w:val="00357197"/>
    <w:rsid w:val="00357259"/>
    <w:rsid w:val="00357402"/>
    <w:rsid w:val="0035740E"/>
    <w:rsid w:val="0035752D"/>
    <w:rsid w:val="0035768F"/>
    <w:rsid w:val="003576CB"/>
    <w:rsid w:val="00357ABE"/>
    <w:rsid w:val="00357C0D"/>
    <w:rsid w:val="00357D56"/>
    <w:rsid w:val="00357E55"/>
    <w:rsid w:val="00357EC6"/>
    <w:rsid w:val="00357F3C"/>
    <w:rsid w:val="00360044"/>
    <w:rsid w:val="00360097"/>
    <w:rsid w:val="00360126"/>
    <w:rsid w:val="0036018B"/>
    <w:rsid w:val="0036037C"/>
    <w:rsid w:val="003603F6"/>
    <w:rsid w:val="003605F3"/>
    <w:rsid w:val="003606CA"/>
    <w:rsid w:val="00360A25"/>
    <w:rsid w:val="00360E02"/>
    <w:rsid w:val="00360F4C"/>
    <w:rsid w:val="0036120D"/>
    <w:rsid w:val="00361404"/>
    <w:rsid w:val="0036182F"/>
    <w:rsid w:val="00361887"/>
    <w:rsid w:val="003618A1"/>
    <w:rsid w:val="003618F7"/>
    <w:rsid w:val="003619CF"/>
    <w:rsid w:val="003619D7"/>
    <w:rsid w:val="00361A97"/>
    <w:rsid w:val="00361C3E"/>
    <w:rsid w:val="00361EF9"/>
    <w:rsid w:val="00361F3C"/>
    <w:rsid w:val="00362020"/>
    <w:rsid w:val="00362429"/>
    <w:rsid w:val="00362570"/>
    <w:rsid w:val="003627D7"/>
    <w:rsid w:val="00362805"/>
    <w:rsid w:val="0036285C"/>
    <w:rsid w:val="00363080"/>
    <w:rsid w:val="003630E6"/>
    <w:rsid w:val="003632BE"/>
    <w:rsid w:val="0036391A"/>
    <w:rsid w:val="0036397D"/>
    <w:rsid w:val="00363ACA"/>
    <w:rsid w:val="00363C02"/>
    <w:rsid w:val="00363C08"/>
    <w:rsid w:val="00363D41"/>
    <w:rsid w:val="00363D8F"/>
    <w:rsid w:val="00363EFE"/>
    <w:rsid w:val="00363FF9"/>
    <w:rsid w:val="003640C7"/>
    <w:rsid w:val="00364364"/>
    <w:rsid w:val="0036445B"/>
    <w:rsid w:val="00364467"/>
    <w:rsid w:val="00364565"/>
    <w:rsid w:val="00364789"/>
    <w:rsid w:val="00364800"/>
    <w:rsid w:val="00364803"/>
    <w:rsid w:val="00364AEA"/>
    <w:rsid w:val="00364B66"/>
    <w:rsid w:val="00364DC4"/>
    <w:rsid w:val="00364EED"/>
    <w:rsid w:val="00365473"/>
    <w:rsid w:val="0036549B"/>
    <w:rsid w:val="003654E3"/>
    <w:rsid w:val="0036550B"/>
    <w:rsid w:val="00365578"/>
    <w:rsid w:val="003655ED"/>
    <w:rsid w:val="0036578E"/>
    <w:rsid w:val="0036592B"/>
    <w:rsid w:val="003659DC"/>
    <w:rsid w:val="00365A62"/>
    <w:rsid w:val="00365E00"/>
    <w:rsid w:val="00365EB6"/>
    <w:rsid w:val="00365EE3"/>
    <w:rsid w:val="00365FF2"/>
    <w:rsid w:val="003660AA"/>
    <w:rsid w:val="00366440"/>
    <w:rsid w:val="00366805"/>
    <w:rsid w:val="00366B37"/>
    <w:rsid w:val="00366E66"/>
    <w:rsid w:val="00366EFD"/>
    <w:rsid w:val="00367257"/>
    <w:rsid w:val="00367354"/>
    <w:rsid w:val="003675FF"/>
    <w:rsid w:val="003677E7"/>
    <w:rsid w:val="00367875"/>
    <w:rsid w:val="00367ADE"/>
    <w:rsid w:val="00367AE6"/>
    <w:rsid w:val="00367EC3"/>
    <w:rsid w:val="00367F4E"/>
    <w:rsid w:val="00367FBB"/>
    <w:rsid w:val="003704AB"/>
    <w:rsid w:val="0037057C"/>
    <w:rsid w:val="003708DF"/>
    <w:rsid w:val="00370E8D"/>
    <w:rsid w:val="0037101C"/>
    <w:rsid w:val="003711CD"/>
    <w:rsid w:val="00371264"/>
    <w:rsid w:val="003713F4"/>
    <w:rsid w:val="003715F1"/>
    <w:rsid w:val="00371650"/>
    <w:rsid w:val="003716A5"/>
    <w:rsid w:val="003718A3"/>
    <w:rsid w:val="003719D2"/>
    <w:rsid w:val="003719DE"/>
    <w:rsid w:val="00371BF2"/>
    <w:rsid w:val="00371C3F"/>
    <w:rsid w:val="00371EB7"/>
    <w:rsid w:val="00372136"/>
    <w:rsid w:val="0037236B"/>
    <w:rsid w:val="0037254A"/>
    <w:rsid w:val="003725D8"/>
    <w:rsid w:val="00372721"/>
    <w:rsid w:val="0037284B"/>
    <w:rsid w:val="00372A16"/>
    <w:rsid w:val="00372B4C"/>
    <w:rsid w:val="00372BE8"/>
    <w:rsid w:val="00372DAB"/>
    <w:rsid w:val="0037309A"/>
    <w:rsid w:val="00373429"/>
    <w:rsid w:val="00373438"/>
    <w:rsid w:val="00373536"/>
    <w:rsid w:val="0037357F"/>
    <w:rsid w:val="00373B0B"/>
    <w:rsid w:val="00373B6B"/>
    <w:rsid w:val="00373C16"/>
    <w:rsid w:val="00373D09"/>
    <w:rsid w:val="00373E36"/>
    <w:rsid w:val="003741A6"/>
    <w:rsid w:val="0037460D"/>
    <w:rsid w:val="003748FC"/>
    <w:rsid w:val="003749A4"/>
    <w:rsid w:val="00374B12"/>
    <w:rsid w:val="00374E79"/>
    <w:rsid w:val="00374F37"/>
    <w:rsid w:val="00374F99"/>
    <w:rsid w:val="00374FFF"/>
    <w:rsid w:val="003751F0"/>
    <w:rsid w:val="003753C3"/>
    <w:rsid w:val="00375437"/>
    <w:rsid w:val="003757AF"/>
    <w:rsid w:val="003757E3"/>
    <w:rsid w:val="00375822"/>
    <w:rsid w:val="00375AB8"/>
    <w:rsid w:val="00375BA2"/>
    <w:rsid w:val="00375E31"/>
    <w:rsid w:val="003760F4"/>
    <w:rsid w:val="003761DE"/>
    <w:rsid w:val="0037647F"/>
    <w:rsid w:val="003765E9"/>
    <w:rsid w:val="00376707"/>
    <w:rsid w:val="003767FD"/>
    <w:rsid w:val="00376829"/>
    <w:rsid w:val="00376C2A"/>
    <w:rsid w:val="00376CEA"/>
    <w:rsid w:val="00376D9D"/>
    <w:rsid w:val="00376EFC"/>
    <w:rsid w:val="00376F78"/>
    <w:rsid w:val="00376FB9"/>
    <w:rsid w:val="00377042"/>
    <w:rsid w:val="003770F9"/>
    <w:rsid w:val="00377109"/>
    <w:rsid w:val="00377398"/>
    <w:rsid w:val="003773AD"/>
    <w:rsid w:val="00377588"/>
    <w:rsid w:val="003779A0"/>
    <w:rsid w:val="00377A99"/>
    <w:rsid w:val="00377FEF"/>
    <w:rsid w:val="003801E7"/>
    <w:rsid w:val="003804AA"/>
    <w:rsid w:val="00380511"/>
    <w:rsid w:val="003806B1"/>
    <w:rsid w:val="00380904"/>
    <w:rsid w:val="00380991"/>
    <w:rsid w:val="003809DE"/>
    <w:rsid w:val="00380A26"/>
    <w:rsid w:val="00380B60"/>
    <w:rsid w:val="00380BF9"/>
    <w:rsid w:val="00380DDF"/>
    <w:rsid w:val="00380E56"/>
    <w:rsid w:val="00380F56"/>
    <w:rsid w:val="00380F6D"/>
    <w:rsid w:val="003813FF"/>
    <w:rsid w:val="00381600"/>
    <w:rsid w:val="00381842"/>
    <w:rsid w:val="003819F4"/>
    <w:rsid w:val="00381C26"/>
    <w:rsid w:val="00381D04"/>
    <w:rsid w:val="00381DF1"/>
    <w:rsid w:val="003820F1"/>
    <w:rsid w:val="003823CB"/>
    <w:rsid w:val="003824DB"/>
    <w:rsid w:val="003824E1"/>
    <w:rsid w:val="0038252F"/>
    <w:rsid w:val="00382973"/>
    <w:rsid w:val="00382992"/>
    <w:rsid w:val="00382D8C"/>
    <w:rsid w:val="00382E4A"/>
    <w:rsid w:val="00382F60"/>
    <w:rsid w:val="003830A2"/>
    <w:rsid w:val="003831DA"/>
    <w:rsid w:val="0038322C"/>
    <w:rsid w:val="00383426"/>
    <w:rsid w:val="003834E2"/>
    <w:rsid w:val="00383840"/>
    <w:rsid w:val="003838F9"/>
    <w:rsid w:val="00383A4C"/>
    <w:rsid w:val="00383AF8"/>
    <w:rsid w:val="00383B2F"/>
    <w:rsid w:val="00383C3D"/>
    <w:rsid w:val="0038403C"/>
    <w:rsid w:val="003840C8"/>
    <w:rsid w:val="003842EA"/>
    <w:rsid w:val="00384339"/>
    <w:rsid w:val="00384455"/>
    <w:rsid w:val="003844CD"/>
    <w:rsid w:val="0038469B"/>
    <w:rsid w:val="0038473F"/>
    <w:rsid w:val="00384754"/>
    <w:rsid w:val="003848A4"/>
    <w:rsid w:val="00384A8C"/>
    <w:rsid w:val="00384E67"/>
    <w:rsid w:val="00385131"/>
    <w:rsid w:val="003852E1"/>
    <w:rsid w:val="0038546C"/>
    <w:rsid w:val="00385726"/>
    <w:rsid w:val="00385776"/>
    <w:rsid w:val="00385A35"/>
    <w:rsid w:val="00385AC5"/>
    <w:rsid w:val="00386034"/>
    <w:rsid w:val="003860D8"/>
    <w:rsid w:val="003865D3"/>
    <w:rsid w:val="003869DE"/>
    <w:rsid w:val="00386A22"/>
    <w:rsid w:val="00386A86"/>
    <w:rsid w:val="00386C20"/>
    <w:rsid w:val="00386C35"/>
    <w:rsid w:val="00386DA6"/>
    <w:rsid w:val="00386DF3"/>
    <w:rsid w:val="00386FB2"/>
    <w:rsid w:val="003870B2"/>
    <w:rsid w:val="003870E1"/>
    <w:rsid w:val="0038744B"/>
    <w:rsid w:val="0038746A"/>
    <w:rsid w:val="0038758D"/>
    <w:rsid w:val="00387B08"/>
    <w:rsid w:val="00387B12"/>
    <w:rsid w:val="00387C64"/>
    <w:rsid w:val="00387C98"/>
    <w:rsid w:val="003903A7"/>
    <w:rsid w:val="00390DED"/>
    <w:rsid w:val="00390E46"/>
    <w:rsid w:val="0039102F"/>
    <w:rsid w:val="003912A8"/>
    <w:rsid w:val="00391510"/>
    <w:rsid w:val="0039173A"/>
    <w:rsid w:val="00391794"/>
    <w:rsid w:val="003917CF"/>
    <w:rsid w:val="00391A66"/>
    <w:rsid w:val="00391ACA"/>
    <w:rsid w:val="00391B8A"/>
    <w:rsid w:val="00391D83"/>
    <w:rsid w:val="00391FC4"/>
    <w:rsid w:val="00392611"/>
    <w:rsid w:val="0039298A"/>
    <w:rsid w:val="00392CE2"/>
    <w:rsid w:val="00392D90"/>
    <w:rsid w:val="00392E30"/>
    <w:rsid w:val="00392E8B"/>
    <w:rsid w:val="00392F4C"/>
    <w:rsid w:val="003937AB"/>
    <w:rsid w:val="00393B44"/>
    <w:rsid w:val="00393D3B"/>
    <w:rsid w:val="00393DD9"/>
    <w:rsid w:val="00393E08"/>
    <w:rsid w:val="00394405"/>
    <w:rsid w:val="0039473D"/>
    <w:rsid w:val="00394801"/>
    <w:rsid w:val="00394852"/>
    <w:rsid w:val="00394B4A"/>
    <w:rsid w:val="00394BDA"/>
    <w:rsid w:val="00394C6A"/>
    <w:rsid w:val="00394D3E"/>
    <w:rsid w:val="00395097"/>
    <w:rsid w:val="003951EB"/>
    <w:rsid w:val="0039545D"/>
    <w:rsid w:val="00395481"/>
    <w:rsid w:val="003956A3"/>
    <w:rsid w:val="003956C8"/>
    <w:rsid w:val="0039583C"/>
    <w:rsid w:val="00395A47"/>
    <w:rsid w:val="00395B57"/>
    <w:rsid w:val="00395C48"/>
    <w:rsid w:val="00395D38"/>
    <w:rsid w:val="00395D78"/>
    <w:rsid w:val="00395DE2"/>
    <w:rsid w:val="00395E86"/>
    <w:rsid w:val="00396237"/>
    <w:rsid w:val="0039655A"/>
    <w:rsid w:val="003965C6"/>
    <w:rsid w:val="00396824"/>
    <w:rsid w:val="003968AD"/>
    <w:rsid w:val="0039699E"/>
    <w:rsid w:val="00396A24"/>
    <w:rsid w:val="00396AC5"/>
    <w:rsid w:val="003971F5"/>
    <w:rsid w:val="00397287"/>
    <w:rsid w:val="00397410"/>
    <w:rsid w:val="00397BB3"/>
    <w:rsid w:val="00397CBA"/>
    <w:rsid w:val="003A0142"/>
    <w:rsid w:val="003A031D"/>
    <w:rsid w:val="003A0982"/>
    <w:rsid w:val="003A0994"/>
    <w:rsid w:val="003A0B3A"/>
    <w:rsid w:val="003A0FEA"/>
    <w:rsid w:val="003A126F"/>
    <w:rsid w:val="003A1334"/>
    <w:rsid w:val="003A13C8"/>
    <w:rsid w:val="003A14A9"/>
    <w:rsid w:val="003A14B2"/>
    <w:rsid w:val="003A153E"/>
    <w:rsid w:val="003A1938"/>
    <w:rsid w:val="003A1A40"/>
    <w:rsid w:val="003A1AEB"/>
    <w:rsid w:val="003A1B54"/>
    <w:rsid w:val="003A1E0E"/>
    <w:rsid w:val="003A1F68"/>
    <w:rsid w:val="003A2020"/>
    <w:rsid w:val="003A2147"/>
    <w:rsid w:val="003A21A5"/>
    <w:rsid w:val="003A2373"/>
    <w:rsid w:val="003A24AF"/>
    <w:rsid w:val="003A26A1"/>
    <w:rsid w:val="003A28AD"/>
    <w:rsid w:val="003A2B84"/>
    <w:rsid w:val="003A2BFB"/>
    <w:rsid w:val="003A2D5E"/>
    <w:rsid w:val="003A3181"/>
    <w:rsid w:val="003A3189"/>
    <w:rsid w:val="003A31CF"/>
    <w:rsid w:val="003A3354"/>
    <w:rsid w:val="003A35D7"/>
    <w:rsid w:val="003A39D4"/>
    <w:rsid w:val="003A3D4C"/>
    <w:rsid w:val="003A3F7D"/>
    <w:rsid w:val="003A4263"/>
    <w:rsid w:val="003A42EF"/>
    <w:rsid w:val="003A4364"/>
    <w:rsid w:val="003A44B1"/>
    <w:rsid w:val="003A4889"/>
    <w:rsid w:val="003A4BE4"/>
    <w:rsid w:val="003A4D46"/>
    <w:rsid w:val="003A5000"/>
    <w:rsid w:val="003A5592"/>
    <w:rsid w:val="003A57A2"/>
    <w:rsid w:val="003A57D6"/>
    <w:rsid w:val="003A591A"/>
    <w:rsid w:val="003A5921"/>
    <w:rsid w:val="003A5B9F"/>
    <w:rsid w:val="003A5C9E"/>
    <w:rsid w:val="003A5E6F"/>
    <w:rsid w:val="003A5F7C"/>
    <w:rsid w:val="003A5FBE"/>
    <w:rsid w:val="003A5FDA"/>
    <w:rsid w:val="003A653D"/>
    <w:rsid w:val="003A66B1"/>
    <w:rsid w:val="003A68B2"/>
    <w:rsid w:val="003A68EE"/>
    <w:rsid w:val="003A6A62"/>
    <w:rsid w:val="003A6B80"/>
    <w:rsid w:val="003A6E94"/>
    <w:rsid w:val="003A6F24"/>
    <w:rsid w:val="003A770E"/>
    <w:rsid w:val="003A77F9"/>
    <w:rsid w:val="003A78C9"/>
    <w:rsid w:val="003A78E8"/>
    <w:rsid w:val="003B005B"/>
    <w:rsid w:val="003B00E1"/>
    <w:rsid w:val="003B022A"/>
    <w:rsid w:val="003B028D"/>
    <w:rsid w:val="003B0632"/>
    <w:rsid w:val="003B070E"/>
    <w:rsid w:val="003B0887"/>
    <w:rsid w:val="003B0967"/>
    <w:rsid w:val="003B0A6F"/>
    <w:rsid w:val="003B0AD6"/>
    <w:rsid w:val="003B0E69"/>
    <w:rsid w:val="003B0EE1"/>
    <w:rsid w:val="003B14F4"/>
    <w:rsid w:val="003B1AB8"/>
    <w:rsid w:val="003B1E2D"/>
    <w:rsid w:val="003B1EF5"/>
    <w:rsid w:val="003B1EF8"/>
    <w:rsid w:val="003B1F1E"/>
    <w:rsid w:val="003B210B"/>
    <w:rsid w:val="003B214B"/>
    <w:rsid w:val="003B2400"/>
    <w:rsid w:val="003B2773"/>
    <w:rsid w:val="003B2864"/>
    <w:rsid w:val="003B2C48"/>
    <w:rsid w:val="003B2D0B"/>
    <w:rsid w:val="003B2F54"/>
    <w:rsid w:val="003B3122"/>
    <w:rsid w:val="003B324B"/>
    <w:rsid w:val="003B330D"/>
    <w:rsid w:val="003B33B7"/>
    <w:rsid w:val="003B33D0"/>
    <w:rsid w:val="003B366F"/>
    <w:rsid w:val="003B3AB5"/>
    <w:rsid w:val="003B3D21"/>
    <w:rsid w:val="003B3D22"/>
    <w:rsid w:val="003B3ED3"/>
    <w:rsid w:val="003B3F65"/>
    <w:rsid w:val="003B402F"/>
    <w:rsid w:val="003B41E8"/>
    <w:rsid w:val="003B43F3"/>
    <w:rsid w:val="003B44C3"/>
    <w:rsid w:val="003B45E8"/>
    <w:rsid w:val="003B494B"/>
    <w:rsid w:val="003B4C1E"/>
    <w:rsid w:val="003B500D"/>
    <w:rsid w:val="003B50B3"/>
    <w:rsid w:val="003B50B5"/>
    <w:rsid w:val="003B5563"/>
    <w:rsid w:val="003B5674"/>
    <w:rsid w:val="003B592E"/>
    <w:rsid w:val="003B5958"/>
    <w:rsid w:val="003B5963"/>
    <w:rsid w:val="003B5998"/>
    <w:rsid w:val="003B59B9"/>
    <w:rsid w:val="003B5A21"/>
    <w:rsid w:val="003B5A67"/>
    <w:rsid w:val="003B5CEC"/>
    <w:rsid w:val="003B5E0F"/>
    <w:rsid w:val="003B5E66"/>
    <w:rsid w:val="003B5ECF"/>
    <w:rsid w:val="003B60C7"/>
    <w:rsid w:val="003B626A"/>
    <w:rsid w:val="003B6323"/>
    <w:rsid w:val="003B633B"/>
    <w:rsid w:val="003B649F"/>
    <w:rsid w:val="003B65F6"/>
    <w:rsid w:val="003B671B"/>
    <w:rsid w:val="003B673E"/>
    <w:rsid w:val="003B6914"/>
    <w:rsid w:val="003B6B83"/>
    <w:rsid w:val="003B6C6D"/>
    <w:rsid w:val="003B707B"/>
    <w:rsid w:val="003B7142"/>
    <w:rsid w:val="003B74E0"/>
    <w:rsid w:val="003B7841"/>
    <w:rsid w:val="003B7B1B"/>
    <w:rsid w:val="003B7B96"/>
    <w:rsid w:val="003B7C9A"/>
    <w:rsid w:val="003B7F03"/>
    <w:rsid w:val="003C02AD"/>
    <w:rsid w:val="003C037F"/>
    <w:rsid w:val="003C03EE"/>
    <w:rsid w:val="003C04E9"/>
    <w:rsid w:val="003C04F8"/>
    <w:rsid w:val="003C057A"/>
    <w:rsid w:val="003C0602"/>
    <w:rsid w:val="003C0661"/>
    <w:rsid w:val="003C0811"/>
    <w:rsid w:val="003C0876"/>
    <w:rsid w:val="003C0B1D"/>
    <w:rsid w:val="003C0BDC"/>
    <w:rsid w:val="003C0C86"/>
    <w:rsid w:val="003C1116"/>
    <w:rsid w:val="003C1284"/>
    <w:rsid w:val="003C12BF"/>
    <w:rsid w:val="003C144F"/>
    <w:rsid w:val="003C1471"/>
    <w:rsid w:val="003C18C8"/>
    <w:rsid w:val="003C19A2"/>
    <w:rsid w:val="003C1B4E"/>
    <w:rsid w:val="003C1DDE"/>
    <w:rsid w:val="003C2067"/>
    <w:rsid w:val="003C2393"/>
    <w:rsid w:val="003C26A5"/>
    <w:rsid w:val="003C2A4B"/>
    <w:rsid w:val="003C2CD8"/>
    <w:rsid w:val="003C2F2D"/>
    <w:rsid w:val="003C2F64"/>
    <w:rsid w:val="003C31B6"/>
    <w:rsid w:val="003C3234"/>
    <w:rsid w:val="003C326D"/>
    <w:rsid w:val="003C33CF"/>
    <w:rsid w:val="003C36A6"/>
    <w:rsid w:val="003C370E"/>
    <w:rsid w:val="003C39B8"/>
    <w:rsid w:val="003C3B2A"/>
    <w:rsid w:val="003C3D68"/>
    <w:rsid w:val="003C3E5D"/>
    <w:rsid w:val="003C3EC5"/>
    <w:rsid w:val="003C40D4"/>
    <w:rsid w:val="003C4A40"/>
    <w:rsid w:val="003C4A4C"/>
    <w:rsid w:val="003C4D9E"/>
    <w:rsid w:val="003C5010"/>
    <w:rsid w:val="003C5119"/>
    <w:rsid w:val="003C54A4"/>
    <w:rsid w:val="003C5721"/>
    <w:rsid w:val="003C581B"/>
    <w:rsid w:val="003C5884"/>
    <w:rsid w:val="003C58F6"/>
    <w:rsid w:val="003C5DAF"/>
    <w:rsid w:val="003C5E74"/>
    <w:rsid w:val="003C5EEF"/>
    <w:rsid w:val="003C60B8"/>
    <w:rsid w:val="003C619B"/>
    <w:rsid w:val="003C61F9"/>
    <w:rsid w:val="003C62AF"/>
    <w:rsid w:val="003C6310"/>
    <w:rsid w:val="003C65D2"/>
    <w:rsid w:val="003C694E"/>
    <w:rsid w:val="003C6A25"/>
    <w:rsid w:val="003C6BD7"/>
    <w:rsid w:val="003C6EF6"/>
    <w:rsid w:val="003C7030"/>
    <w:rsid w:val="003C707C"/>
    <w:rsid w:val="003C7277"/>
    <w:rsid w:val="003C732B"/>
    <w:rsid w:val="003C7621"/>
    <w:rsid w:val="003C7638"/>
    <w:rsid w:val="003C7990"/>
    <w:rsid w:val="003C79A7"/>
    <w:rsid w:val="003C7A29"/>
    <w:rsid w:val="003C7ADA"/>
    <w:rsid w:val="003D03B1"/>
    <w:rsid w:val="003D0494"/>
    <w:rsid w:val="003D05B1"/>
    <w:rsid w:val="003D0CA8"/>
    <w:rsid w:val="003D0DE7"/>
    <w:rsid w:val="003D1054"/>
    <w:rsid w:val="003D137C"/>
    <w:rsid w:val="003D1531"/>
    <w:rsid w:val="003D17ED"/>
    <w:rsid w:val="003D1A5D"/>
    <w:rsid w:val="003D1AD6"/>
    <w:rsid w:val="003D1C43"/>
    <w:rsid w:val="003D1CDC"/>
    <w:rsid w:val="003D1DDE"/>
    <w:rsid w:val="003D1DE1"/>
    <w:rsid w:val="003D1E99"/>
    <w:rsid w:val="003D217B"/>
    <w:rsid w:val="003D24F7"/>
    <w:rsid w:val="003D253A"/>
    <w:rsid w:val="003D25B2"/>
    <w:rsid w:val="003D26A5"/>
    <w:rsid w:val="003D2852"/>
    <w:rsid w:val="003D2A77"/>
    <w:rsid w:val="003D2B9C"/>
    <w:rsid w:val="003D2BFE"/>
    <w:rsid w:val="003D2E31"/>
    <w:rsid w:val="003D2F61"/>
    <w:rsid w:val="003D2F66"/>
    <w:rsid w:val="003D2FAD"/>
    <w:rsid w:val="003D3016"/>
    <w:rsid w:val="003D3060"/>
    <w:rsid w:val="003D3419"/>
    <w:rsid w:val="003D36AE"/>
    <w:rsid w:val="003D3772"/>
    <w:rsid w:val="003D3834"/>
    <w:rsid w:val="003D38F0"/>
    <w:rsid w:val="003D396C"/>
    <w:rsid w:val="003D39E9"/>
    <w:rsid w:val="003D405C"/>
    <w:rsid w:val="003D4227"/>
    <w:rsid w:val="003D422E"/>
    <w:rsid w:val="003D4424"/>
    <w:rsid w:val="003D443B"/>
    <w:rsid w:val="003D461C"/>
    <w:rsid w:val="003D4ADA"/>
    <w:rsid w:val="003D4B95"/>
    <w:rsid w:val="003D4BA3"/>
    <w:rsid w:val="003D4CD6"/>
    <w:rsid w:val="003D4CDC"/>
    <w:rsid w:val="003D4E08"/>
    <w:rsid w:val="003D4EF9"/>
    <w:rsid w:val="003D5038"/>
    <w:rsid w:val="003D51F4"/>
    <w:rsid w:val="003D5508"/>
    <w:rsid w:val="003D560C"/>
    <w:rsid w:val="003D5658"/>
    <w:rsid w:val="003D5C89"/>
    <w:rsid w:val="003D6199"/>
    <w:rsid w:val="003D61C8"/>
    <w:rsid w:val="003D6337"/>
    <w:rsid w:val="003D65E8"/>
    <w:rsid w:val="003D65FC"/>
    <w:rsid w:val="003D6771"/>
    <w:rsid w:val="003D6B56"/>
    <w:rsid w:val="003D6C23"/>
    <w:rsid w:val="003D6E35"/>
    <w:rsid w:val="003D6EAE"/>
    <w:rsid w:val="003D7072"/>
    <w:rsid w:val="003D70EA"/>
    <w:rsid w:val="003D7146"/>
    <w:rsid w:val="003D721A"/>
    <w:rsid w:val="003D739F"/>
    <w:rsid w:val="003D7A9A"/>
    <w:rsid w:val="003D7B3C"/>
    <w:rsid w:val="003D7DC4"/>
    <w:rsid w:val="003D7FB5"/>
    <w:rsid w:val="003D7FF4"/>
    <w:rsid w:val="003E026A"/>
    <w:rsid w:val="003E0273"/>
    <w:rsid w:val="003E031D"/>
    <w:rsid w:val="003E0364"/>
    <w:rsid w:val="003E03A5"/>
    <w:rsid w:val="003E03E1"/>
    <w:rsid w:val="003E044F"/>
    <w:rsid w:val="003E0808"/>
    <w:rsid w:val="003E08F6"/>
    <w:rsid w:val="003E09E1"/>
    <w:rsid w:val="003E0CA7"/>
    <w:rsid w:val="003E0D37"/>
    <w:rsid w:val="003E0D3B"/>
    <w:rsid w:val="003E0E0D"/>
    <w:rsid w:val="003E0E16"/>
    <w:rsid w:val="003E0E77"/>
    <w:rsid w:val="003E1010"/>
    <w:rsid w:val="003E1116"/>
    <w:rsid w:val="003E1207"/>
    <w:rsid w:val="003E13D5"/>
    <w:rsid w:val="003E13D8"/>
    <w:rsid w:val="003E1547"/>
    <w:rsid w:val="003E1605"/>
    <w:rsid w:val="003E163D"/>
    <w:rsid w:val="003E17D3"/>
    <w:rsid w:val="003E17DF"/>
    <w:rsid w:val="003E1911"/>
    <w:rsid w:val="003E199A"/>
    <w:rsid w:val="003E1C37"/>
    <w:rsid w:val="003E1CCD"/>
    <w:rsid w:val="003E1EFA"/>
    <w:rsid w:val="003E1F22"/>
    <w:rsid w:val="003E1F4B"/>
    <w:rsid w:val="003E2114"/>
    <w:rsid w:val="003E2277"/>
    <w:rsid w:val="003E23A3"/>
    <w:rsid w:val="003E259C"/>
    <w:rsid w:val="003E29D5"/>
    <w:rsid w:val="003E2BAB"/>
    <w:rsid w:val="003E2E49"/>
    <w:rsid w:val="003E2FCE"/>
    <w:rsid w:val="003E352E"/>
    <w:rsid w:val="003E3627"/>
    <w:rsid w:val="003E367C"/>
    <w:rsid w:val="003E3831"/>
    <w:rsid w:val="003E3868"/>
    <w:rsid w:val="003E3947"/>
    <w:rsid w:val="003E3AFE"/>
    <w:rsid w:val="003E3C36"/>
    <w:rsid w:val="003E3CAD"/>
    <w:rsid w:val="003E417F"/>
    <w:rsid w:val="003E4347"/>
    <w:rsid w:val="003E43B1"/>
    <w:rsid w:val="003E4541"/>
    <w:rsid w:val="003E4A09"/>
    <w:rsid w:val="003E4CB1"/>
    <w:rsid w:val="003E4D46"/>
    <w:rsid w:val="003E4F46"/>
    <w:rsid w:val="003E4F61"/>
    <w:rsid w:val="003E4FE6"/>
    <w:rsid w:val="003E50C5"/>
    <w:rsid w:val="003E519C"/>
    <w:rsid w:val="003E52D2"/>
    <w:rsid w:val="003E53D5"/>
    <w:rsid w:val="003E562A"/>
    <w:rsid w:val="003E574B"/>
    <w:rsid w:val="003E5C1D"/>
    <w:rsid w:val="003E5DD9"/>
    <w:rsid w:val="003E5DFB"/>
    <w:rsid w:val="003E60A3"/>
    <w:rsid w:val="003E6212"/>
    <w:rsid w:val="003E62C4"/>
    <w:rsid w:val="003E63BC"/>
    <w:rsid w:val="003E6710"/>
    <w:rsid w:val="003E6786"/>
    <w:rsid w:val="003E688C"/>
    <w:rsid w:val="003E69AE"/>
    <w:rsid w:val="003E6B44"/>
    <w:rsid w:val="003E6C2E"/>
    <w:rsid w:val="003E6CB5"/>
    <w:rsid w:val="003E6DD4"/>
    <w:rsid w:val="003E7621"/>
    <w:rsid w:val="003E7872"/>
    <w:rsid w:val="003E78F4"/>
    <w:rsid w:val="003E79AA"/>
    <w:rsid w:val="003E79CA"/>
    <w:rsid w:val="003E7BD2"/>
    <w:rsid w:val="003E7C4A"/>
    <w:rsid w:val="003F008E"/>
    <w:rsid w:val="003F02D9"/>
    <w:rsid w:val="003F0429"/>
    <w:rsid w:val="003F0557"/>
    <w:rsid w:val="003F0700"/>
    <w:rsid w:val="003F08F8"/>
    <w:rsid w:val="003F0C48"/>
    <w:rsid w:val="003F0CCF"/>
    <w:rsid w:val="003F0F3B"/>
    <w:rsid w:val="003F10A8"/>
    <w:rsid w:val="003F1192"/>
    <w:rsid w:val="003F1306"/>
    <w:rsid w:val="003F175B"/>
    <w:rsid w:val="003F182C"/>
    <w:rsid w:val="003F199A"/>
    <w:rsid w:val="003F19B1"/>
    <w:rsid w:val="003F1BCE"/>
    <w:rsid w:val="003F1C79"/>
    <w:rsid w:val="003F1DC3"/>
    <w:rsid w:val="003F1DC6"/>
    <w:rsid w:val="003F2026"/>
    <w:rsid w:val="003F2082"/>
    <w:rsid w:val="003F217C"/>
    <w:rsid w:val="003F21EE"/>
    <w:rsid w:val="003F2283"/>
    <w:rsid w:val="003F22D7"/>
    <w:rsid w:val="003F23AA"/>
    <w:rsid w:val="003F23D3"/>
    <w:rsid w:val="003F23E8"/>
    <w:rsid w:val="003F243F"/>
    <w:rsid w:val="003F278E"/>
    <w:rsid w:val="003F2825"/>
    <w:rsid w:val="003F29DB"/>
    <w:rsid w:val="003F2A71"/>
    <w:rsid w:val="003F2ABA"/>
    <w:rsid w:val="003F2CB9"/>
    <w:rsid w:val="003F2CF2"/>
    <w:rsid w:val="003F30EE"/>
    <w:rsid w:val="003F3147"/>
    <w:rsid w:val="003F3177"/>
    <w:rsid w:val="003F32DA"/>
    <w:rsid w:val="003F32EE"/>
    <w:rsid w:val="003F3457"/>
    <w:rsid w:val="003F3490"/>
    <w:rsid w:val="003F3527"/>
    <w:rsid w:val="003F35A2"/>
    <w:rsid w:val="003F39BB"/>
    <w:rsid w:val="003F3A0D"/>
    <w:rsid w:val="003F3B2F"/>
    <w:rsid w:val="003F3BE8"/>
    <w:rsid w:val="003F3D98"/>
    <w:rsid w:val="003F400C"/>
    <w:rsid w:val="003F410D"/>
    <w:rsid w:val="003F44CE"/>
    <w:rsid w:val="003F496C"/>
    <w:rsid w:val="003F4C60"/>
    <w:rsid w:val="003F4EC1"/>
    <w:rsid w:val="003F50CD"/>
    <w:rsid w:val="003F5732"/>
    <w:rsid w:val="003F5775"/>
    <w:rsid w:val="003F599F"/>
    <w:rsid w:val="003F5B7F"/>
    <w:rsid w:val="003F5F41"/>
    <w:rsid w:val="003F601A"/>
    <w:rsid w:val="003F606E"/>
    <w:rsid w:val="003F6103"/>
    <w:rsid w:val="003F614D"/>
    <w:rsid w:val="003F617F"/>
    <w:rsid w:val="003F61DF"/>
    <w:rsid w:val="003F6229"/>
    <w:rsid w:val="003F6235"/>
    <w:rsid w:val="003F645E"/>
    <w:rsid w:val="003F6687"/>
    <w:rsid w:val="003F6C8F"/>
    <w:rsid w:val="003F6D7C"/>
    <w:rsid w:val="003F6DE9"/>
    <w:rsid w:val="003F70AD"/>
    <w:rsid w:val="003F7198"/>
    <w:rsid w:val="003F72AD"/>
    <w:rsid w:val="003F73B4"/>
    <w:rsid w:val="003F7A78"/>
    <w:rsid w:val="003F7DDF"/>
    <w:rsid w:val="003F7E72"/>
    <w:rsid w:val="0040016A"/>
    <w:rsid w:val="004001B8"/>
    <w:rsid w:val="00400391"/>
    <w:rsid w:val="004004C2"/>
    <w:rsid w:val="0040068A"/>
    <w:rsid w:val="0040074A"/>
    <w:rsid w:val="00400A8B"/>
    <w:rsid w:val="00400BE2"/>
    <w:rsid w:val="00400DCB"/>
    <w:rsid w:val="004013FA"/>
    <w:rsid w:val="0040148F"/>
    <w:rsid w:val="00401777"/>
    <w:rsid w:val="0040178C"/>
    <w:rsid w:val="00401B21"/>
    <w:rsid w:val="00401BA9"/>
    <w:rsid w:val="00401CF0"/>
    <w:rsid w:val="00401D3D"/>
    <w:rsid w:val="00401E1B"/>
    <w:rsid w:val="00401F9D"/>
    <w:rsid w:val="00402035"/>
    <w:rsid w:val="0040226C"/>
    <w:rsid w:val="00402361"/>
    <w:rsid w:val="004025AE"/>
    <w:rsid w:val="00402774"/>
    <w:rsid w:val="0040278C"/>
    <w:rsid w:val="0040279F"/>
    <w:rsid w:val="004027A3"/>
    <w:rsid w:val="00402A0D"/>
    <w:rsid w:val="00402A75"/>
    <w:rsid w:val="00402CF9"/>
    <w:rsid w:val="00402D0C"/>
    <w:rsid w:val="00403183"/>
    <w:rsid w:val="004033C3"/>
    <w:rsid w:val="004034FF"/>
    <w:rsid w:val="00403744"/>
    <w:rsid w:val="00403748"/>
    <w:rsid w:val="00403794"/>
    <w:rsid w:val="0040399B"/>
    <w:rsid w:val="00403E69"/>
    <w:rsid w:val="0040400F"/>
    <w:rsid w:val="0040419C"/>
    <w:rsid w:val="004041D1"/>
    <w:rsid w:val="00404262"/>
    <w:rsid w:val="00404392"/>
    <w:rsid w:val="004044D8"/>
    <w:rsid w:val="0040475E"/>
    <w:rsid w:val="00404770"/>
    <w:rsid w:val="004048E4"/>
    <w:rsid w:val="00404989"/>
    <w:rsid w:val="0040498C"/>
    <w:rsid w:val="004049F6"/>
    <w:rsid w:val="00404CAA"/>
    <w:rsid w:val="00404DA2"/>
    <w:rsid w:val="00404E93"/>
    <w:rsid w:val="00405047"/>
    <w:rsid w:val="004053C5"/>
    <w:rsid w:val="004054E0"/>
    <w:rsid w:val="00405508"/>
    <w:rsid w:val="004058F0"/>
    <w:rsid w:val="00405980"/>
    <w:rsid w:val="00405994"/>
    <w:rsid w:val="004059D9"/>
    <w:rsid w:val="00405CCE"/>
    <w:rsid w:val="00405E5A"/>
    <w:rsid w:val="00405F65"/>
    <w:rsid w:val="00405FB0"/>
    <w:rsid w:val="004060B0"/>
    <w:rsid w:val="00406197"/>
    <w:rsid w:val="00406358"/>
    <w:rsid w:val="00406900"/>
    <w:rsid w:val="004069B6"/>
    <w:rsid w:val="004069F3"/>
    <w:rsid w:val="00406ABF"/>
    <w:rsid w:val="00406CC3"/>
    <w:rsid w:val="00406DB1"/>
    <w:rsid w:val="004070B1"/>
    <w:rsid w:val="004071B6"/>
    <w:rsid w:val="004071E7"/>
    <w:rsid w:val="00407205"/>
    <w:rsid w:val="00407422"/>
    <w:rsid w:val="004074AF"/>
    <w:rsid w:val="00407764"/>
    <w:rsid w:val="004078BB"/>
    <w:rsid w:val="00407C24"/>
    <w:rsid w:val="00407C69"/>
    <w:rsid w:val="004102C0"/>
    <w:rsid w:val="004103AD"/>
    <w:rsid w:val="0041053B"/>
    <w:rsid w:val="00410633"/>
    <w:rsid w:val="00410719"/>
    <w:rsid w:val="00410DF5"/>
    <w:rsid w:val="00410EF9"/>
    <w:rsid w:val="00410FBD"/>
    <w:rsid w:val="004110C1"/>
    <w:rsid w:val="0041110C"/>
    <w:rsid w:val="00411115"/>
    <w:rsid w:val="004111F9"/>
    <w:rsid w:val="004112B6"/>
    <w:rsid w:val="00411325"/>
    <w:rsid w:val="0041136B"/>
    <w:rsid w:val="00411858"/>
    <w:rsid w:val="00411A7B"/>
    <w:rsid w:val="00411D15"/>
    <w:rsid w:val="00411D18"/>
    <w:rsid w:val="00411D5D"/>
    <w:rsid w:val="00411DD4"/>
    <w:rsid w:val="00411F48"/>
    <w:rsid w:val="004120A5"/>
    <w:rsid w:val="004120DB"/>
    <w:rsid w:val="004126F7"/>
    <w:rsid w:val="004127C9"/>
    <w:rsid w:val="00412D9F"/>
    <w:rsid w:val="00412EFF"/>
    <w:rsid w:val="00412F5B"/>
    <w:rsid w:val="00413061"/>
    <w:rsid w:val="004130BC"/>
    <w:rsid w:val="004131DA"/>
    <w:rsid w:val="004132A8"/>
    <w:rsid w:val="0041331B"/>
    <w:rsid w:val="004134AD"/>
    <w:rsid w:val="004134D2"/>
    <w:rsid w:val="00413729"/>
    <w:rsid w:val="00413790"/>
    <w:rsid w:val="004138CE"/>
    <w:rsid w:val="00413CEC"/>
    <w:rsid w:val="00413DA1"/>
    <w:rsid w:val="00413F9E"/>
    <w:rsid w:val="00414142"/>
    <w:rsid w:val="00414144"/>
    <w:rsid w:val="00414220"/>
    <w:rsid w:val="004146DB"/>
    <w:rsid w:val="0041475A"/>
    <w:rsid w:val="004147A1"/>
    <w:rsid w:val="004148A2"/>
    <w:rsid w:val="00414911"/>
    <w:rsid w:val="00414A3B"/>
    <w:rsid w:val="00414AD0"/>
    <w:rsid w:val="00414D08"/>
    <w:rsid w:val="00414EC7"/>
    <w:rsid w:val="00414FCE"/>
    <w:rsid w:val="0041502B"/>
    <w:rsid w:val="00415159"/>
    <w:rsid w:val="004151A5"/>
    <w:rsid w:val="004152D3"/>
    <w:rsid w:val="004154B5"/>
    <w:rsid w:val="004154BD"/>
    <w:rsid w:val="0041551C"/>
    <w:rsid w:val="00415614"/>
    <w:rsid w:val="004156CF"/>
    <w:rsid w:val="004156D1"/>
    <w:rsid w:val="0041588B"/>
    <w:rsid w:val="00415A22"/>
    <w:rsid w:val="00415B48"/>
    <w:rsid w:val="00415BD7"/>
    <w:rsid w:val="004160BE"/>
    <w:rsid w:val="004163CA"/>
    <w:rsid w:val="00416515"/>
    <w:rsid w:val="004165FC"/>
    <w:rsid w:val="00416B5F"/>
    <w:rsid w:val="00416C12"/>
    <w:rsid w:val="00416C14"/>
    <w:rsid w:val="00416C85"/>
    <w:rsid w:val="00416CDD"/>
    <w:rsid w:val="00416D5C"/>
    <w:rsid w:val="00416FBF"/>
    <w:rsid w:val="00416FF8"/>
    <w:rsid w:val="004170B3"/>
    <w:rsid w:val="00417387"/>
    <w:rsid w:val="00417474"/>
    <w:rsid w:val="00417607"/>
    <w:rsid w:val="004176E2"/>
    <w:rsid w:val="0041785E"/>
    <w:rsid w:val="00417C53"/>
    <w:rsid w:val="00417CBF"/>
    <w:rsid w:val="00417CD2"/>
    <w:rsid w:val="00417ED2"/>
    <w:rsid w:val="00420169"/>
    <w:rsid w:val="0042030A"/>
    <w:rsid w:val="00420424"/>
    <w:rsid w:val="0042060B"/>
    <w:rsid w:val="0042068B"/>
    <w:rsid w:val="004207B0"/>
    <w:rsid w:val="004209DB"/>
    <w:rsid w:val="00420B38"/>
    <w:rsid w:val="00420DA9"/>
    <w:rsid w:val="00420F69"/>
    <w:rsid w:val="0042107F"/>
    <w:rsid w:val="004210FA"/>
    <w:rsid w:val="004211C0"/>
    <w:rsid w:val="00421499"/>
    <w:rsid w:val="0042168B"/>
    <w:rsid w:val="00421807"/>
    <w:rsid w:val="00421859"/>
    <w:rsid w:val="00421B05"/>
    <w:rsid w:val="004224D0"/>
    <w:rsid w:val="004227EA"/>
    <w:rsid w:val="00422A4E"/>
    <w:rsid w:val="00422A75"/>
    <w:rsid w:val="00422D5A"/>
    <w:rsid w:val="00423096"/>
    <w:rsid w:val="00423178"/>
    <w:rsid w:val="004231E2"/>
    <w:rsid w:val="00423213"/>
    <w:rsid w:val="004232EC"/>
    <w:rsid w:val="0042335E"/>
    <w:rsid w:val="0042337F"/>
    <w:rsid w:val="004234BF"/>
    <w:rsid w:val="00423758"/>
    <w:rsid w:val="00423932"/>
    <w:rsid w:val="00423BD8"/>
    <w:rsid w:val="00423EB5"/>
    <w:rsid w:val="00423F65"/>
    <w:rsid w:val="00424083"/>
    <w:rsid w:val="004240D1"/>
    <w:rsid w:val="0042420C"/>
    <w:rsid w:val="0042427E"/>
    <w:rsid w:val="00424484"/>
    <w:rsid w:val="004244D2"/>
    <w:rsid w:val="00424962"/>
    <w:rsid w:val="004249DE"/>
    <w:rsid w:val="00424D17"/>
    <w:rsid w:val="00424DDD"/>
    <w:rsid w:val="004251F0"/>
    <w:rsid w:val="0042538B"/>
    <w:rsid w:val="0042560B"/>
    <w:rsid w:val="00425698"/>
    <w:rsid w:val="004258A4"/>
    <w:rsid w:val="004258BE"/>
    <w:rsid w:val="004259B4"/>
    <w:rsid w:val="004259F9"/>
    <w:rsid w:val="00425A0C"/>
    <w:rsid w:val="00425A9B"/>
    <w:rsid w:val="00425C69"/>
    <w:rsid w:val="00426126"/>
    <w:rsid w:val="00426212"/>
    <w:rsid w:val="00426234"/>
    <w:rsid w:val="00426394"/>
    <w:rsid w:val="0042639F"/>
    <w:rsid w:val="004265CC"/>
    <w:rsid w:val="00426787"/>
    <w:rsid w:val="00426AE4"/>
    <w:rsid w:val="00426C0C"/>
    <w:rsid w:val="00426C86"/>
    <w:rsid w:val="00426CC8"/>
    <w:rsid w:val="00426D5D"/>
    <w:rsid w:val="00426DA3"/>
    <w:rsid w:val="00426E01"/>
    <w:rsid w:val="0042738F"/>
    <w:rsid w:val="00427395"/>
    <w:rsid w:val="004274BA"/>
    <w:rsid w:val="004274D0"/>
    <w:rsid w:val="00427534"/>
    <w:rsid w:val="004275FD"/>
    <w:rsid w:val="004276CF"/>
    <w:rsid w:val="004277A1"/>
    <w:rsid w:val="00427AA1"/>
    <w:rsid w:val="00427AA3"/>
    <w:rsid w:val="00427AA7"/>
    <w:rsid w:val="00427BA8"/>
    <w:rsid w:val="00427DBC"/>
    <w:rsid w:val="00427E3F"/>
    <w:rsid w:val="00427E8E"/>
    <w:rsid w:val="00427F90"/>
    <w:rsid w:val="00427FC5"/>
    <w:rsid w:val="0043015A"/>
    <w:rsid w:val="004301AF"/>
    <w:rsid w:val="0043020D"/>
    <w:rsid w:val="0043038A"/>
    <w:rsid w:val="004303F0"/>
    <w:rsid w:val="0043040E"/>
    <w:rsid w:val="004306F0"/>
    <w:rsid w:val="0043079A"/>
    <w:rsid w:val="004307E5"/>
    <w:rsid w:val="00430836"/>
    <w:rsid w:val="0043084F"/>
    <w:rsid w:val="004309BA"/>
    <w:rsid w:val="00430A97"/>
    <w:rsid w:val="00430B1D"/>
    <w:rsid w:val="00430C06"/>
    <w:rsid w:val="00430CA8"/>
    <w:rsid w:val="00430D36"/>
    <w:rsid w:val="00430FEF"/>
    <w:rsid w:val="0043145F"/>
    <w:rsid w:val="00431594"/>
    <w:rsid w:val="00431D36"/>
    <w:rsid w:val="00431D89"/>
    <w:rsid w:val="00431ECF"/>
    <w:rsid w:val="00431FFB"/>
    <w:rsid w:val="0043214B"/>
    <w:rsid w:val="00432222"/>
    <w:rsid w:val="0043223B"/>
    <w:rsid w:val="004323CF"/>
    <w:rsid w:val="004325F0"/>
    <w:rsid w:val="004327BC"/>
    <w:rsid w:val="00432924"/>
    <w:rsid w:val="00432B2F"/>
    <w:rsid w:val="00432B37"/>
    <w:rsid w:val="00432CCA"/>
    <w:rsid w:val="00432D6F"/>
    <w:rsid w:val="00432F3F"/>
    <w:rsid w:val="00433126"/>
    <w:rsid w:val="004331CF"/>
    <w:rsid w:val="00433627"/>
    <w:rsid w:val="004337DF"/>
    <w:rsid w:val="00433A90"/>
    <w:rsid w:val="00433F98"/>
    <w:rsid w:val="004341A6"/>
    <w:rsid w:val="004342A6"/>
    <w:rsid w:val="0043452D"/>
    <w:rsid w:val="00434599"/>
    <w:rsid w:val="0043479D"/>
    <w:rsid w:val="004347B7"/>
    <w:rsid w:val="004347FC"/>
    <w:rsid w:val="00434900"/>
    <w:rsid w:val="004349C6"/>
    <w:rsid w:val="00434BC6"/>
    <w:rsid w:val="00434BD7"/>
    <w:rsid w:val="00434F0D"/>
    <w:rsid w:val="004350B8"/>
    <w:rsid w:val="004350D4"/>
    <w:rsid w:val="0043516E"/>
    <w:rsid w:val="0043532A"/>
    <w:rsid w:val="0043549F"/>
    <w:rsid w:val="00435611"/>
    <w:rsid w:val="004356F2"/>
    <w:rsid w:val="004358E8"/>
    <w:rsid w:val="00435B0E"/>
    <w:rsid w:val="00435D14"/>
    <w:rsid w:val="00435F1A"/>
    <w:rsid w:val="00436017"/>
    <w:rsid w:val="00436022"/>
    <w:rsid w:val="00436210"/>
    <w:rsid w:val="0043628D"/>
    <w:rsid w:val="0043637F"/>
    <w:rsid w:val="00436717"/>
    <w:rsid w:val="00436790"/>
    <w:rsid w:val="004367E1"/>
    <w:rsid w:val="00436892"/>
    <w:rsid w:val="004368B6"/>
    <w:rsid w:val="004369D9"/>
    <w:rsid w:val="00436C42"/>
    <w:rsid w:val="00436CED"/>
    <w:rsid w:val="00436DCC"/>
    <w:rsid w:val="00437102"/>
    <w:rsid w:val="004371C4"/>
    <w:rsid w:val="004371F3"/>
    <w:rsid w:val="00437210"/>
    <w:rsid w:val="00437405"/>
    <w:rsid w:val="004374CF"/>
    <w:rsid w:val="004377A5"/>
    <w:rsid w:val="00437B83"/>
    <w:rsid w:val="00437C43"/>
    <w:rsid w:val="00437E21"/>
    <w:rsid w:val="00437FB6"/>
    <w:rsid w:val="00437FD7"/>
    <w:rsid w:val="0043C625"/>
    <w:rsid w:val="00440355"/>
    <w:rsid w:val="0044049E"/>
    <w:rsid w:val="004404B4"/>
    <w:rsid w:val="004405C3"/>
    <w:rsid w:val="00440610"/>
    <w:rsid w:val="004406D1"/>
    <w:rsid w:val="0044083E"/>
    <w:rsid w:val="0044089C"/>
    <w:rsid w:val="0044089F"/>
    <w:rsid w:val="00440A45"/>
    <w:rsid w:val="00440B06"/>
    <w:rsid w:val="00440DD4"/>
    <w:rsid w:val="00440DE4"/>
    <w:rsid w:val="00441279"/>
    <w:rsid w:val="00441280"/>
    <w:rsid w:val="00441324"/>
    <w:rsid w:val="004413CC"/>
    <w:rsid w:val="004415D5"/>
    <w:rsid w:val="004417FC"/>
    <w:rsid w:val="004418CD"/>
    <w:rsid w:val="00441D2A"/>
    <w:rsid w:val="00441F76"/>
    <w:rsid w:val="004420AB"/>
    <w:rsid w:val="00442361"/>
    <w:rsid w:val="004424CA"/>
    <w:rsid w:val="00442558"/>
    <w:rsid w:val="00442660"/>
    <w:rsid w:val="004427BF"/>
    <w:rsid w:val="00442868"/>
    <w:rsid w:val="00442968"/>
    <w:rsid w:val="004429EA"/>
    <w:rsid w:val="00442C19"/>
    <w:rsid w:val="00442E58"/>
    <w:rsid w:val="00442E68"/>
    <w:rsid w:val="00442E9F"/>
    <w:rsid w:val="0044307B"/>
    <w:rsid w:val="0044317B"/>
    <w:rsid w:val="0044348C"/>
    <w:rsid w:val="00443694"/>
    <w:rsid w:val="00443A93"/>
    <w:rsid w:val="00443AB5"/>
    <w:rsid w:val="00443FAC"/>
    <w:rsid w:val="00444074"/>
    <w:rsid w:val="00444673"/>
    <w:rsid w:val="0044479C"/>
    <w:rsid w:val="00444B18"/>
    <w:rsid w:val="00444CC2"/>
    <w:rsid w:val="0044503C"/>
    <w:rsid w:val="0044517D"/>
    <w:rsid w:val="004451C0"/>
    <w:rsid w:val="00445244"/>
    <w:rsid w:val="004456B5"/>
    <w:rsid w:val="004458EA"/>
    <w:rsid w:val="00445A67"/>
    <w:rsid w:val="00445BF5"/>
    <w:rsid w:val="00445CC6"/>
    <w:rsid w:val="00445EB3"/>
    <w:rsid w:val="00445EF3"/>
    <w:rsid w:val="00445FD6"/>
    <w:rsid w:val="0044610C"/>
    <w:rsid w:val="00446257"/>
    <w:rsid w:val="0044630A"/>
    <w:rsid w:val="00446488"/>
    <w:rsid w:val="004465C4"/>
    <w:rsid w:val="00446944"/>
    <w:rsid w:val="00446D41"/>
    <w:rsid w:val="00446DB7"/>
    <w:rsid w:val="00446F46"/>
    <w:rsid w:val="0044707D"/>
    <w:rsid w:val="0044725D"/>
    <w:rsid w:val="004472F8"/>
    <w:rsid w:val="00447305"/>
    <w:rsid w:val="00447506"/>
    <w:rsid w:val="004476C0"/>
    <w:rsid w:val="00447A98"/>
    <w:rsid w:val="00447B9D"/>
    <w:rsid w:val="00447D1B"/>
    <w:rsid w:val="00447D63"/>
    <w:rsid w:val="00447E51"/>
    <w:rsid w:val="00447F3D"/>
    <w:rsid w:val="00447FEE"/>
    <w:rsid w:val="004501C2"/>
    <w:rsid w:val="004503C9"/>
    <w:rsid w:val="0045050B"/>
    <w:rsid w:val="004507B1"/>
    <w:rsid w:val="004509FA"/>
    <w:rsid w:val="00450A68"/>
    <w:rsid w:val="00450C06"/>
    <w:rsid w:val="00450C4D"/>
    <w:rsid w:val="00450E9C"/>
    <w:rsid w:val="00450FBD"/>
    <w:rsid w:val="0045116D"/>
    <w:rsid w:val="00451315"/>
    <w:rsid w:val="004513F7"/>
    <w:rsid w:val="004515E8"/>
    <w:rsid w:val="00451751"/>
    <w:rsid w:val="00451761"/>
    <w:rsid w:val="00451B6B"/>
    <w:rsid w:val="00451C98"/>
    <w:rsid w:val="00451DE4"/>
    <w:rsid w:val="00452019"/>
    <w:rsid w:val="00452055"/>
    <w:rsid w:val="004520F6"/>
    <w:rsid w:val="004522C9"/>
    <w:rsid w:val="004522CB"/>
    <w:rsid w:val="004523DD"/>
    <w:rsid w:val="00452496"/>
    <w:rsid w:val="004524DE"/>
    <w:rsid w:val="00452521"/>
    <w:rsid w:val="00452684"/>
    <w:rsid w:val="00452799"/>
    <w:rsid w:val="004529F4"/>
    <w:rsid w:val="00452A81"/>
    <w:rsid w:val="00452DE1"/>
    <w:rsid w:val="00452E4E"/>
    <w:rsid w:val="00453220"/>
    <w:rsid w:val="00453238"/>
    <w:rsid w:val="0045328D"/>
    <w:rsid w:val="00453400"/>
    <w:rsid w:val="0045342C"/>
    <w:rsid w:val="00453502"/>
    <w:rsid w:val="004537F8"/>
    <w:rsid w:val="00453CAE"/>
    <w:rsid w:val="00453D08"/>
    <w:rsid w:val="00453E8A"/>
    <w:rsid w:val="00453EB9"/>
    <w:rsid w:val="00453EF9"/>
    <w:rsid w:val="0045406F"/>
    <w:rsid w:val="004541F0"/>
    <w:rsid w:val="00454346"/>
    <w:rsid w:val="00454421"/>
    <w:rsid w:val="00454437"/>
    <w:rsid w:val="004546E6"/>
    <w:rsid w:val="004546E7"/>
    <w:rsid w:val="00454792"/>
    <w:rsid w:val="0045484C"/>
    <w:rsid w:val="00454A58"/>
    <w:rsid w:val="00454B1E"/>
    <w:rsid w:val="00454E04"/>
    <w:rsid w:val="00455227"/>
    <w:rsid w:val="0045526F"/>
    <w:rsid w:val="0045544F"/>
    <w:rsid w:val="00455541"/>
    <w:rsid w:val="004555FC"/>
    <w:rsid w:val="00455600"/>
    <w:rsid w:val="0045563A"/>
    <w:rsid w:val="00455A74"/>
    <w:rsid w:val="00455ADB"/>
    <w:rsid w:val="00455C6E"/>
    <w:rsid w:val="00455EB0"/>
    <w:rsid w:val="00456046"/>
    <w:rsid w:val="004560A1"/>
    <w:rsid w:val="004561AB"/>
    <w:rsid w:val="004565B8"/>
    <w:rsid w:val="004567AC"/>
    <w:rsid w:val="004568B4"/>
    <w:rsid w:val="00456BF1"/>
    <w:rsid w:val="00456C0D"/>
    <w:rsid w:val="00456F42"/>
    <w:rsid w:val="0045708E"/>
    <w:rsid w:val="00457125"/>
    <w:rsid w:val="004571BF"/>
    <w:rsid w:val="0045748E"/>
    <w:rsid w:val="00457550"/>
    <w:rsid w:val="004575D8"/>
    <w:rsid w:val="00457BFA"/>
    <w:rsid w:val="00457E11"/>
    <w:rsid w:val="00457EB0"/>
    <w:rsid w:val="00457EF9"/>
    <w:rsid w:val="00460222"/>
    <w:rsid w:val="0046086A"/>
    <w:rsid w:val="00460B46"/>
    <w:rsid w:val="00460DDC"/>
    <w:rsid w:val="00460F88"/>
    <w:rsid w:val="00460F8C"/>
    <w:rsid w:val="00461285"/>
    <w:rsid w:val="0046132F"/>
    <w:rsid w:val="00461673"/>
    <w:rsid w:val="004618EE"/>
    <w:rsid w:val="00461C94"/>
    <w:rsid w:val="00461D28"/>
    <w:rsid w:val="00461DBD"/>
    <w:rsid w:val="00461E30"/>
    <w:rsid w:val="0046272D"/>
    <w:rsid w:val="00462738"/>
    <w:rsid w:val="004628D5"/>
    <w:rsid w:val="00462930"/>
    <w:rsid w:val="00462963"/>
    <w:rsid w:val="00462989"/>
    <w:rsid w:val="00462AA8"/>
    <w:rsid w:val="00462B0A"/>
    <w:rsid w:val="00462CB8"/>
    <w:rsid w:val="00462EDD"/>
    <w:rsid w:val="004632CC"/>
    <w:rsid w:val="004633F0"/>
    <w:rsid w:val="004637CE"/>
    <w:rsid w:val="00463868"/>
    <w:rsid w:val="00463901"/>
    <w:rsid w:val="00463A78"/>
    <w:rsid w:val="00463BDC"/>
    <w:rsid w:val="00463EA0"/>
    <w:rsid w:val="00463F93"/>
    <w:rsid w:val="00464352"/>
    <w:rsid w:val="00464372"/>
    <w:rsid w:val="004644FB"/>
    <w:rsid w:val="00464673"/>
    <w:rsid w:val="00464695"/>
    <w:rsid w:val="004649F6"/>
    <w:rsid w:val="00464D94"/>
    <w:rsid w:val="00464E5B"/>
    <w:rsid w:val="00464F15"/>
    <w:rsid w:val="00464FDC"/>
    <w:rsid w:val="004652E6"/>
    <w:rsid w:val="00465722"/>
    <w:rsid w:val="004657F0"/>
    <w:rsid w:val="00465933"/>
    <w:rsid w:val="00465990"/>
    <w:rsid w:val="004659D3"/>
    <w:rsid w:val="00465DCA"/>
    <w:rsid w:val="00465EE3"/>
    <w:rsid w:val="004660D8"/>
    <w:rsid w:val="004661A1"/>
    <w:rsid w:val="004662BC"/>
    <w:rsid w:val="004663E6"/>
    <w:rsid w:val="004665E9"/>
    <w:rsid w:val="00466985"/>
    <w:rsid w:val="004669FE"/>
    <w:rsid w:val="00466AAC"/>
    <w:rsid w:val="00466BDD"/>
    <w:rsid w:val="00466ECA"/>
    <w:rsid w:val="00467073"/>
    <w:rsid w:val="004671F8"/>
    <w:rsid w:val="00467246"/>
    <w:rsid w:val="00467331"/>
    <w:rsid w:val="00467385"/>
    <w:rsid w:val="0046739F"/>
    <w:rsid w:val="0046768D"/>
    <w:rsid w:val="00467696"/>
    <w:rsid w:val="004677C7"/>
    <w:rsid w:val="00467B57"/>
    <w:rsid w:val="00467D1A"/>
    <w:rsid w:val="00467E6D"/>
    <w:rsid w:val="00467E8F"/>
    <w:rsid w:val="00467E96"/>
    <w:rsid w:val="00467FC8"/>
    <w:rsid w:val="004701C6"/>
    <w:rsid w:val="004708F3"/>
    <w:rsid w:val="00470919"/>
    <w:rsid w:val="00470A5B"/>
    <w:rsid w:val="00470AD7"/>
    <w:rsid w:val="00470B60"/>
    <w:rsid w:val="00470BB8"/>
    <w:rsid w:val="00470C8C"/>
    <w:rsid w:val="00470CD2"/>
    <w:rsid w:val="00470D3F"/>
    <w:rsid w:val="00470E10"/>
    <w:rsid w:val="00470E24"/>
    <w:rsid w:val="00470E47"/>
    <w:rsid w:val="00470F85"/>
    <w:rsid w:val="004711FB"/>
    <w:rsid w:val="004712FD"/>
    <w:rsid w:val="004714B6"/>
    <w:rsid w:val="004714DA"/>
    <w:rsid w:val="0047199E"/>
    <w:rsid w:val="004719F9"/>
    <w:rsid w:val="00471B5D"/>
    <w:rsid w:val="00471BCA"/>
    <w:rsid w:val="00472275"/>
    <w:rsid w:val="00472621"/>
    <w:rsid w:val="00472936"/>
    <w:rsid w:val="004729EA"/>
    <w:rsid w:val="00472C87"/>
    <w:rsid w:val="00472FB2"/>
    <w:rsid w:val="0047307C"/>
    <w:rsid w:val="00473369"/>
    <w:rsid w:val="00473535"/>
    <w:rsid w:val="00473547"/>
    <w:rsid w:val="004735BA"/>
    <w:rsid w:val="00473827"/>
    <w:rsid w:val="00473B9A"/>
    <w:rsid w:val="00473D6B"/>
    <w:rsid w:val="00473DB8"/>
    <w:rsid w:val="00473E2C"/>
    <w:rsid w:val="00473E50"/>
    <w:rsid w:val="00473F98"/>
    <w:rsid w:val="0047401B"/>
    <w:rsid w:val="00474075"/>
    <w:rsid w:val="00474389"/>
    <w:rsid w:val="00474951"/>
    <w:rsid w:val="0047497F"/>
    <w:rsid w:val="00474B9E"/>
    <w:rsid w:val="00474DEB"/>
    <w:rsid w:val="00474F00"/>
    <w:rsid w:val="00475043"/>
    <w:rsid w:val="0047517F"/>
    <w:rsid w:val="0047522A"/>
    <w:rsid w:val="004757F0"/>
    <w:rsid w:val="004757F9"/>
    <w:rsid w:val="004758F9"/>
    <w:rsid w:val="00475CBF"/>
    <w:rsid w:val="00476046"/>
    <w:rsid w:val="004762F3"/>
    <w:rsid w:val="0047642E"/>
    <w:rsid w:val="0047646E"/>
    <w:rsid w:val="004765C2"/>
    <w:rsid w:val="004765F2"/>
    <w:rsid w:val="0047674D"/>
    <w:rsid w:val="00476C74"/>
    <w:rsid w:val="00476CB6"/>
    <w:rsid w:val="00476D98"/>
    <w:rsid w:val="00476EB7"/>
    <w:rsid w:val="00476FC8"/>
    <w:rsid w:val="00476FC9"/>
    <w:rsid w:val="0047714E"/>
    <w:rsid w:val="00477302"/>
    <w:rsid w:val="0047747E"/>
    <w:rsid w:val="00477598"/>
    <w:rsid w:val="004775D7"/>
    <w:rsid w:val="0047766F"/>
    <w:rsid w:val="004776C2"/>
    <w:rsid w:val="004776F1"/>
    <w:rsid w:val="00477701"/>
    <w:rsid w:val="00477823"/>
    <w:rsid w:val="0047787F"/>
    <w:rsid w:val="0047796E"/>
    <w:rsid w:val="00477AE7"/>
    <w:rsid w:val="00477E4D"/>
    <w:rsid w:val="00477FA4"/>
    <w:rsid w:val="004802A8"/>
    <w:rsid w:val="00480329"/>
    <w:rsid w:val="004803C1"/>
    <w:rsid w:val="00480514"/>
    <w:rsid w:val="004806CF"/>
    <w:rsid w:val="004807A3"/>
    <w:rsid w:val="0048083E"/>
    <w:rsid w:val="004809C4"/>
    <w:rsid w:val="00480B05"/>
    <w:rsid w:val="00480E8B"/>
    <w:rsid w:val="004811A7"/>
    <w:rsid w:val="004816C8"/>
    <w:rsid w:val="00481A13"/>
    <w:rsid w:val="004822D0"/>
    <w:rsid w:val="00482399"/>
    <w:rsid w:val="00482425"/>
    <w:rsid w:val="0048242B"/>
    <w:rsid w:val="004824EB"/>
    <w:rsid w:val="0048276C"/>
    <w:rsid w:val="004827DB"/>
    <w:rsid w:val="00482893"/>
    <w:rsid w:val="00482A19"/>
    <w:rsid w:val="00482BCD"/>
    <w:rsid w:val="004832E4"/>
    <w:rsid w:val="0048344D"/>
    <w:rsid w:val="004837CD"/>
    <w:rsid w:val="0048389D"/>
    <w:rsid w:val="00483A33"/>
    <w:rsid w:val="00483AD2"/>
    <w:rsid w:val="00483AF2"/>
    <w:rsid w:val="00483B13"/>
    <w:rsid w:val="00483D69"/>
    <w:rsid w:val="00483E5E"/>
    <w:rsid w:val="00483F36"/>
    <w:rsid w:val="00483F66"/>
    <w:rsid w:val="00483FE3"/>
    <w:rsid w:val="004840FD"/>
    <w:rsid w:val="0048466A"/>
    <w:rsid w:val="00484671"/>
    <w:rsid w:val="00484910"/>
    <w:rsid w:val="0048494F"/>
    <w:rsid w:val="00484A21"/>
    <w:rsid w:val="00484AAE"/>
    <w:rsid w:val="00484B9D"/>
    <w:rsid w:val="00484F45"/>
    <w:rsid w:val="00485291"/>
    <w:rsid w:val="004853E6"/>
    <w:rsid w:val="00485568"/>
    <w:rsid w:val="00485960"/>
    <w:rsid w:val="00485A2F"/>
    <w:rsid w:val="00485A97"/>
    <w:rsid w:val="00485DEB"/>
    <w:rsid w:val="004864B6"/>
    <w:rsid w:val="004865A5"/>
    <w:rsid w:val="00486764"/>
    <w:rsid w:val="0048678F"/>
    <w:rsid w:val="0048692F"/>
    <w:rsid w:val="00486994"/>
    <w:rsid w:val="004869B8"/>
    <w:rsid w:val="00486A38"/>
    <w:rsid w:val="00486AB6"/>
    <w:rsid w:val="00486ACC"/>
    <w:rsid w:val="00486D3C"/>
    <w:rsid w:val="00486E6A"/>
    <w:rsid w:val="00486EAF"/>
    <w:rsid w:val="004871CD"/>
    <w:rsid w:val="00487385"/>
    <w:rsid w:val="0048761E"/>
    <w:rsid w:val="0048776B"/>
    <w:rsid w:val="004877F1"/>
    <w:rsid w:val="0048784F"/>
    <w:rsid w:val="00487C68"/>
    <w:rsid w:val="00487CAF"/>
    <w:rsid w:val="00487DF6"/>
    <w:rsid w:val="0049012B"/>
    <w:rsid w:val="0049034C"/>
    <w:rsid w:val="00490471"/>
    <w:rsid w:val="004905CD"/>
    <w:rsid w:val="004907AC"/>
    <w:rsid w:val="00490A5B"/>
    <w:rsid w:val="00490B8C"/>
    <w:rsid w:val="00490E0E"/>
    <w:rsid w:val="0049120B"/>
    <w:rsid w:val="004913BA"/>
    <w:rsid w:val="004915B2"/>
    <w:rsid w:val="004917D5"/>
    <w:rsid w:val="00491BC0"/>
    <w:rsid w:val="00491C52"/>
    <w:rsid w:val="00491E73"/>
    <w:rsid w:val="0049204C"/>
    <w:rsid w:val="0049205C"/>
    <w:rsid w:val="004921CA"/>
    <w:rsid w:val="004921E4"/>
    <w:rsid w:val="00492291"/>
    <w:rsid w:val="004922A9"/>
    <w:rsid w:val="0049245E"/>
    <w:rsid w:val="0049250C"/>
    <w:rsid w:val="004926E0"/>
    <w:rsid w:val="00492740"/>
    <w:rsid w:val="00492784"/>
    <w:rsid w:val="004927E7"/>
    <w:rsid w:val="004928E5"/>
    <w:rsid w:val="00492AB1"/>
    <w:rsid w:val="00492C85"/>
    <w:rsid w:val="00492C8B"/>
    <w:rsid w:val="00492F4C"/>
    <w:rsid w:val="00493967"/>
    <w:rsid w:val="00493A23"/>
    <w:rsid w:val="00493B89"/>
    <w:rsid w:val="00493C30"/>
    <w:rsid w:val="00493CD0"/>
    <w:rsid w:val="00493DAF"/>
    <w:rsid w:val="00493FB1"/>
    <w:rsid w:val="004941B7"/>
    <w:rsid w:val="0049423B"/>
    <w:rsid w:val="00494254"/>
    <w:rsid w:val="00494437"/>
    <w:rsid w:val="00494628"/>
    <w:rsid w:val="004947F4"/>
    <w:rsid w:val="00494900"/>
    <w:rsid w:val="00494924"/>
    <w:rsid w:val="00494A25"/>
    <w:rsid w:val="00494B48"/>
    <w:rsid w:val="00494D26"/>
    <w:rsid w:val="00494E84"/>
    <w:rsid w:val="00494E96"/>
    <w:rsid w:val="00495171"/>
    <w:rsid w:val="004952DC"/>
    <w:rsid w:val="00495376"/>
    <w:rsid w:val="004956C9"/>
    <w:rsid w:val="004957C8"/>
    <w:rsid w:val="00495811"/>
    <w:rsid w:val="00495867"/>
    <w:rsid w:val="00495FF0"/>
    <w:rsid w:val="0049603B"/>
    <w:rsid w:val="0049606E"/>
    <w:rsid w:val="0049647C"/>
    <w:rsid w:val="004965E4"/>
    <w:rsid w:val="004966E1"/>
    <w:rsid w:val="004966EE"/>
    <w:rsid w:val="00496808"/>
    <w:rsid w:val="0049696D"/>
    <w:rsid w:val="00496A1A"/>
    <w:rsid w:val="00496ACA"/>
    <w:rsid w:val="00496ACB"/>
    <w:rsid w:val="00496C44"/>
    <w:rsid w:val="00496E13"/>
    <w:rsid w:val="00497414"/>
    <w:rsid w:val="00497443"/>
    <w:rsid w:val="00497455"/>
    <w:rsid w:val="00497708"/>
    <w:rsid w:val="0049783D"/>
    <w:rsid w:val="0049798E"/>
    <w:rsid w:val="00497B08"/>
    <w:rsid w:val="00497BC0"/>
    <w:rsid w:val="00497F3F"/>
    <w:rsid w:val="00497FC7"/>
    <w:rsid w:val="0049A8D9"/>
    <w:rsid w:val="004A00DF"/>
    <w:rsid w:val="004A035B"/>
    <w:rsid w:val="004A0396"/>
    <w:rsid w:val="004A03A9"/>
    <w:rsid w:val="004A06A9"/>
    <w:rsid w:val="004A087B"/>
    <w:rsid w:val="004A0949"/>
    <w:rsid w:val="004A0B22"/>
    <w:rsid w:val="004A0F61"/>
    <w:rsid w:val="004A103F"/>
    <w:rsid w:val="004A11C0"/>
    <w:rsid w:val="004A134C"/>
    <w:rsid w:val="004A13CB"/>
    <w:rsid w:val="004A1403"/>
    <w:rsid w:val="004A1694"/>
    <w:rsid w:val="004A1809"/>
    <w:rsid w:val="004A1878"/>
    <w:rsid w:val="004A1937"/>
    <w:rsid w:val="004A1939"/>
    <w:rsid w:val="004A1974"/>
    <w:rsid w:val="004A1AAB"/>
    <w:rsid w:val="004A1AF2"/>
    <w:rsid w:val="004A1AF5"/>
    <w:rsid w:val="004A1B69"/>
    <w:rsid w:val="004A1D4D"/>
    <w:rsid w:val="004A1E0F"/>
    <w:rsid w:val="004A1FE1"/>
    <w:rsid w:val="004A20EB"/>
    <w:rsid w:val="004A24AC"/>
    <w:rsid w:val="004A2661"/>
    <w:rsid w:val="004A29D4"/>
    <w:rsid w:val="004A2B5E"/>
    <w:rsid w:val="004A2CAD"/>
    <w:rsid w:val="004A2E83"/>
    <w:rsid w:val="004A31C8"/>
    <w:rsid w:val="004A3307"/>
    <w:rsid w:val="004A33A5"/>
    <w:rsid w:val="004A33B6"/>
    <w:rsid w:val="004A38A2"/>
    <w:rsid w:val="004A3964"/>
    <w:rsid w:val="004A39EC"/>
    <w:rsid w:val="004A3A0C"/>
    <w:rsid w:val="004A3A4F"/>
    <w:rsid w:val="004A3D3B"/>
    <w:rsid w:val="004A3D47"/>
    <w:rsid w:val="004A3DA8"/>
    <w:rsid w:val="004A3E55"/>
    <w:rsid w:val="004A3EC7"/>
    <w:rsid w:val="004A41AE"/>
    <w:rsid w:val="004A4221"/>
    <w:rsid w:val="004A4295"/>
    <w:rsid w:val="004A42BF"/>
    <w:rsid w:val="004A44F7"/>
    <w:rsid w:val="004A471A"/>
    <w:rsid w:val="004A48E9"/>
    <w:rsid w:val="004A4905"/>
    <w:rsid w:val="004A4C77"/>
    <w:rsid w:val="004A4DF4"/>
    <w:rsid w:val="004A4E2D"/>
    <w:rsid w:val="004A4FB6"/>
    <w:rsid w:val="004A52F7"/>
    <w:rsid w:val="004A5471"/>
    <w:rsid w:val="004A5489"/>
    <w:rsid w:val="004A54E3"/>
    <w:rsid w:val="004A54F0"/>
    <w:rsid w:val="004A5A37"/>
    <w:rsid w:val="004A5C06"/>
    <w:rsid w:val="004A5E89"/>
    <w:rsid w:val="004A5F42"/>
    <w:rsid w:val="004A607D"/>
    <w:rsid w:val="004A61B9"/>
    <w:rsid w:val="004A61C5"/>
    <w:rsid w:val="004A63CF"/>
    <w:rsid w:val="004A65CD"/>
    <w:rsid w:val="004A67F7"/>
    <w:rsid w:val="004A6DB8"/>
    <w:rsid w:val="004A6F4E"/>
    <w:rsid w:val="004A6F64"/>
    <w:rsid w:val="004A717E"/>
    <w:rsid w:val="004A731E"/>
    <w:rsid w:val="004A7577"/>
    <w:rsid w:val="004A7587"/>
    <w:rsid w:val="004A7778"/>
    <w:rsid w:val="004A781B"/>
    <w:rsid w:val="004A79A1"/>
    <w:rsid w:val="004A7A37"/>
    <w:rsid w:val="004A7ACF"/>
    <w:rsid w:val="004A7D6D"/>
    <w:rsid w:val="004A7E43"/>
    <w:rsid w:val="004A7F47"/>
    <w:rsid w:val="004B000D"/>
    <w:rsid w:val="004B026B"/>
    <w:rsid w:val="004B02EA"/>
    <w:rsid w:val="004B03D2"/>
    <w:rsid w:val="004B05B9"/>
    <w:rsid w:val="004B060C"/>
    <w:rsid w:val="004B0705"/>
    <w:rsid w:val="004B0815"/>
    <w:rsid w:val="004B095D"/>
    <w:rsid w:val="004B0A10"/>
    <w:rsid w:val="004B1083"/>
    <w:rsid w:val="004B10E4"/>
    <w:rsid w:val="004B11B1"/>
    <w:rsid w:val="004B1273"/>
    <w:rsid w:val="004B1B5D"/>
    <w:rsid w:val="004B1BF8"/>
    <w:rsid w:val="004B1C32"/>
    <w:rsid w:val="004B1D6D"/>
    <w:rsid w:val="004B1DD8"/>
    <w:rsid w:val="004B21D1"/>
    <w:rsid w:val="004B2356"/>
    <w:rsid w:val="004B290A"/>
    <w:rsid w:val="004B299D"/>
    <w:rsid w:val="004B29D0"/>
    <w:rsid w:val="004B2B48"/>
    <w:rsid w:val="004B2DAF"/>
    <w:rsid w:val="004B2E01"/>
    <w:rsid w:val="004B30AE"/>
    <w:rsid w:val="004B3149"/>
    <w:rsid w:val="004B35B0"/>
    <w:rsid w:val="004B3810"/>
    <w:rsid w:val="004B384A"/>
    <w:rsid w:val="004B391A"/>
    <w:rsid w:val="004B3921"/>
    <w:rsid w:val="004B394B"/>
    <w:rsid w:val="004B39D5"/>
    <w:rsid w:val="004B3C73"/>
    <w:rsid w:val="004B3EFD"/>
    <w:rsid w:val="004B4437"/>
    <w:rsid w:val="004B46E8"/>
    <w:rsid w:val="004B487D"/>
    <w:rsid w:val="004B4944"/>
    <w:rsid w:val="004B4E17"/>
    <w:rsid w:val="004B4F9D"/>
    <w:rsid w:val="004B5077"/>
    <w:rsid w:val="004B50B5"/>
    <w:rsid w:val="004B51CF"/>
    <w:rsid w:val="004B54CD"/>
    <w:rsid w:val="004B590C"/>
    <w:rsid w:val="004B5CB5"/>
    <w:rsid w:val="004B5CE3"/>
    <w:rsid w:val="004B5E85"/>
    <w:rsid w:val="004B6058"/>
    <w:rsid w:val="004B6319"/>
    <w:rsid w:val="004B63C9"/>
    <w:rsid w:val="004B647E"/>
    <w:rsid w:val="004B650A"/>
    <w:rsid w:val="004B68A7"/>
    <w:rsid w:val="004B6A62"/>
    <w:rsid w:val="004B6BEA"/>
    <w:rsid w:val="004B6BF2"/>
    <w:rsid w:val="004B6F22"/>
    <w:rsid w:val="004B6F68"/>
    <w:rsid w:val="004B703D"/>
    <w:rsid w:val="004B705F"/>
    <w:rsid w:val="004B7547"/>
    <w:rsid w:val="004B76E6"/>
    <w:rsid w:val="004B784E"/>
    <w:rsid w:val="004B7A2B"/>
    <w:rsid w:val="004B7B93"/>
    <w:rsid w:val="004B7CE1"/>
    <w:rsid w:val="004B7FA7"/>
    <w:rsid w:val="004C0233"/>
    <w:rsid w:val="004C0291"/>
    <w:rsid w:val="004C030B"/>
    <w:rsid w:val="004C064A"/>
    <w:rsid w:val="004C0690"/>
    <w:rsid w:val="004C0719"/>
    <w:rsid w:val="004C0763"/>
    <w:rsid w:val="004C07AC"/>
    <w:rsid w:val="004C08F8"/>
    <w:rsid w:val="004C0AF4"/>
    <w:rsid w:val="004C0DF1"/>
    <w:rsid w:val="004C0E10"/>
    <w:rsid w:val="004C1175"/>
    <w:rsid w:val="004C13F3"/>
    <w:rsid w:val="004C145F"/>
    <w:rsid w:val="004C1557"/>
    <w:rsid w:val="004C1625"/>
    <w:rsid w:val="004C17CD"/>
    <w:rsid w:val="004C1A5E"/>
    <w:rsid w:val="004C1EAC"/>
    <w:rsid w:val="004C1F40"/>
    <w:rsid w:val="004C208F"/>
    <w:rsid w:val="004C2102"/>
    <w:rsid w:val="004C2374"/>
    <w:rsid w:val="004C23A4"/>
    <w:rsid w:val="004C2481"/>
    <w:rsid w:val="004C24CB"/>
    <w:rsid w:val="004C2868"/>
    <w:rsid w:val="004C2F37"/>
    <w:rsid w:val="004C3434"/>
    <w:rsid w:val="004C344F"/>
    <w:rsid w:val="004C3884"/>
    <w:rsid w:val="004C38A1"/>
    <w:rsid w:val="004C38D5"/>
    <w:rsid w:val="004C3923"/>
    <w:rsid w:val="004C3BC2"/>
    <w:rsid w:val="004C3C2A"/>
    <w:rsid w:val="004C3C3E"/>
    <w:rsid w:val="004C3CB6"/>
    <w:rsid w:val="004C3CC4"/>
    <w:rsid w:val="004C3D54"/>
    <w:rsid w:val="004C3DB1"/>
    <w:rsid w:val="004C3E07"/>
    <w:rsid w:val="004C3E09"/>
    <w:rsid w:val="004C3FCC"/>
    <w:rsid w:val="004C3FF2"/>
    <w:rsid w:val="004C401D"/>
    <w:rsid w:val="004C4315"/>
    <w:rsid w:val="004C43D0"/>
    <w:rsid w:val="004C458A"/>
    <w:rsid w:val="004C4741"/>
    <w:rsid w:val="004C474F"/>
    <w:rsid w:val="004C47D5"/>
    <w:rsid w:val="004C47F6"/>
    <w:rsid w:val="004C4E40"/>
    <w:rsid w:val="004C4E8E"/>
    <w:rsid w:val="004C4F84"/>
    <w:rsid w:val="004C5047"/>
    <w:rsid w:val="004C51A0"/>
    <w:rsid w:val="004C5278"/>
    <w:rsid w:val="004C53BD"/>
    <w:rsid w:val="004C5458"/>
    <w:rsid w:val="004C54CC"/>
    <w:rsid w:val="004C56E7"/>
    <w:rsid w:val="004C5722"/>
    <w:rsid w:val="004C5727"/>
    <w:rsid w:val="004C57B5"/>
    <w:rsid w:val="004C595E"/>
    <w:rsid w:val="004C5A31"/>
    <w:rsid w:val="004C5B6D"/>
    <w:rsid w:val="004C6322"/>
    <w:rsid w:val="004C6436"/>
    <w:rsid w:val="004C6502"/>
    <w:rsid w:val="004C6560"/>
    <w:rsid w:val="004C658B"/>
    <w:rsid w:val="004C66DB"/>
    <w:rsid w:val="004C67C9"/>
    <w:rsid w:val="004C68F1"/>
    <w:rsid w:val="004C6CBA"/>
    <w:rsid w:val="004C6CDC"/>
    <w:rsid w:val="004C6F2A"/>
    <w:rsid w:val="004C7022"/>
    <w:rsid w:val="004C7097"/>
    <w:rsid w:val="004C7110"/>
    <w:rsid w:val="004C7155"/>
    <w:rsid w:val="004C71DF"/>
    <w:rsid w:val="004C7305"/>
    <w:rsid w:val="004C7332"/>
    <w:rsid w:val="004C74B0"/>
    <w:rsid w:val="004C7678"/>
    <w:rsid w:val="004C77C1"/>
    <w:rsid w:val="004C7C10"/>
    <w:rsid w:val="004C7D73"/>
    <w:rsid w:val="004C7FE2"/>
    <w:rsid w:val="004D0069"/>
    <w:rsid w:val="004D01C0"/>
    <w:rsid w:val="004D025C"/>
    <w:rsid w:val="004D0626"/>
    <w:rsid w:val="004D06B9"/>
    <w:rsid w:val="004D06C0"/>
    <w:rsid w:val="004D0849"/>
    <w:rsid w:val="004D08D2"/>
    <w:rsid w:val="004D0C50"/>
    <w:rsid w:val="004D0CEE"/>
    <w:rsid w:val="004D0FEF"/>
    <w:rsid w:val="004D1073"/>
    <w:rsid w:val="004D1087"/>
    <w:rsid w:val="004D11A7"/>
    <w:rsid w:val="004D12FF"/>
    <w:rsid w:val="004D131D"/>
    <w:rsid w:val="004D136C"/>
    <w:rsid w:val="004D150E"/>
    <w:rsid w:val="004D16E8"/>
    <w:rsid w:val="004D1C8B"/>
    <w:rsid w:val="004D1CE9"/>
    <w:rsid w:val="004D1E54"/>
    <w:rsid w:val="004D2013"/>
    <w:rsid w:val="004D203A"/>
    <w:rsid w:val="004D2180"/>
    <w:rsid w:val="004D2324"/>
    <w:rsid w:val="004D2590"/>
    <w:rsid w:val="004D25CB"/>
    <w:rsid w:val="004D2638"/>
    <w:rsid w:val="004D26F5"/>
    <w:rsid w:val="004D278A"/>
    <w:rsid w:val="004D2A92"/>
    <w:rsid w:val="004D2AD8"/>
    <w:rsid w:val="004D2C67"/>
    <w:rsid w:val="004D2D25"/>
    <w:rsid w:val="004D2D36"/>
    <w:rsid w:val="004D3161"/>
    <w:rsid w:val="004D323B"/>
    <w:rsid w:val="004D34E4"/>
    <w:rsid w:val="004D35E6"/>
    <w:rsid w:val="004D360D"/>
    <w:rsid w:val="004D3881"/>
    <w:rsid w:val="004D3CE3"/>
    <w:rsid w:val="004D3D76"/>
    <w:rsid w:val="004D3EB0"/>
    <w:rsid w:val="004D3EE3"/>
    <w:rsid w:val="004D4001"/>
    <w:rsid w:val="004D407A"/>
    <w:rsid w:val="004D41BF"/>
    <w:rsid w:val="004D41FF"/>
    <w:rsid w:val="004D46DE"/>
    <w:rsid w:val="004D4A8C"/>
    <w:rsid w:val="004D4B8F"/>
    <w:rsid w:val="004D4FB4"/>
    <w:rsid w:val="004D534F"/>
    <w:rsid w:val="004D53BE"/>
    <w:rsid w:val="004D5731"/>
    <w:rsid w:val="004D5906"/>
    <w:rsid w:val="004D59EB"/>
    <w:rsid w:val="004D5A3B"/>
    <w:rsid w:val="004D5A54"/>
    <w:rsid w:val="004D5DC4"/>
    <w:rsid w:val="004D63DA"/>
    <w:rsid w:val="004D64FF"/>
    <w:rsid w:val="004D668B"/>
    <w:rsid w:val="004D67FA"/>
    <w:rsid w:val="004D6829"/>
    <w:rsid w:val="004D6897"/>
    <w:rsid w:val="004D68B6"/>
    <w:rsid w:val="004D6952"/>
    <w:rsid w:val="004D6ABD"/>
    <w:rsid w:val="004D6E02"/>
    <w:rsid w:val="004D6F73"/>
    <w:rsid w:val="004D7288"/>
    <w:rsid w:val="004D7450"/>
    <w:rsid w:val="004D7485"/>
    <w:rsid w:val="004D75F9"/>
    <w:rsid w:val="004D7799"/>
    <w:rsid w:val="004D7A20"/>
    <w:rsid w:val="004D7B85"/>
    <w:rsid w:val="004D7E87"/>
    <w:rsid w:val="004E0028"/>
    <w:rsid w:val="004E0428"/>
    <w:rsid w:val="004E04B5"/>
    <w:rsid w:val="004E08D9"/>
    <w:rsid w:val="004E0AE8"/>
    <w:rsid w:val="004E0B83"/>
    <w:rsid w:val="004E0F7B"/>
    <w:rsid w:val="004E11B5"/>
    <w:rsid w:val="004E15C5"/>
    <w:rsid w:val="004E15CE"/>
    <w:rsid w:val="004E19FC"/>
    <w:rsid w:val="004E1A5C"/>
    <w:rsid w:val="004E1A81"/>
    <w:rsid w:val="004E1A94"/>
    <w:rsid w:val="004E1AB5"/>
    <w:rsid w:val="004E1B9A"/>
    <w:rsid w:val="004E1BEE"/>
    <w:rsid w:val="004E1CA3"/>
    <w:rsid w:val="004E1CA6"/>
    <w:rsid w:val="004E1D14"/>
    <w:rsid w:val="004E1E65"/>
    <w:rsid w:val="004E1EBA"/>
    <w:rsid w:val="004E1F44"/>
    <w:rsid w:val="004E22C7"/>
    <w:rsid w:val="004E256D"/>
    <w:rsid w:val="004E25C9"/>
    <w:rsid w:val="004E2677"/>
    <w:rsid w:val="004E2B23"/>
    <w:rsid w:val="004E318E"/>
    <w:rsid w:val="004E31FF"/>
    <w:rsid w:val="004E327D"/>
    <w:rsid w:val="004E35F5"/>
    <w:rsid w:val="004E38AF"/>
    <w:rsid w:val="004E3A99"/>
    <w:rsid w:val="004E3B21"/>
    <w:rsid w:val="004E3C90"/>
    <w:rsid w:val="004E43DB"/>
    <w:rsid w:val="004E4504"/>
    <w:rsid w:val="004E463A"/>
    <w:rsid w:val="004E47EA"/>
    <w:rsid w:val="004E48EF"/>
    <w:rsid w:val="004E4B1E"/>
    <w:rsid w:val="004E4B4C"/>
    <w:rsid w:val="004E4D3C"/>
    <w:rsid w:val="004E4E00"/>
    <w:rsid w:val="004E4F97"/>
    <w:rsid w:val="004E552D"/>
    <w:rsid w:val="004E5556"/>
    <w:rsid w:val="004E584C"/>
    <w:rsid w:val="004E58FA"/>
    <w:rsid w:val="004E6015"/>
    <w:rsid w:val="004E6234"/>
    <w:rsid w:val="004E6471"/>
    <w:rsid w:val="004E6523"/>
    <w:rsid w:val="004E6DC1"/>
    <w:rsid w:val="004E71C5"/>
    <w:rsid w:val="004E72C9"/>
    <w:rsid w:val="004E7320"/>
    <w:rsid w:val="004E73A7"/>
    <w:rsid w:val="004E74D7"/>
    <w:rsid w:val="004E7679"/>
    <w:rsid w:val="004E7761"/>
    <w:rsid w:val="004E7D5A"/>
    <w:rsid w:val="004E7E63"/>
    <w:rsid w:val="004E7F0F"/>
    <w:rsid w:val="004F0092"/>
    <w:rsid w:val="004F01C2"/>
    <w:rsid w:val="004F0258"/>
    <w:rsid w:val="004F03C0"/>
    <w:rsid w:val="004F0711"/>
    <w:rsid w:val="004F0898"/>
    <w:rsid w:val="004F0907"/>
    <w:rsid w:val="004F0A92"/>
    <w:rsid w:val="004F0CBF"/>
    <w:rsid w:val="004F0DC1"/>
    <w:rsid w:val="004F0FBE"/>
    <w:rsid w:val="004F10E6"/>
    <w:rsid w:val="004F1480"/>
    <w:rsid w:val="004F14B1"/>
    <w:rsid w:val="004F1522"/>
    <w:rsid w:val="004F168D"/>
    <w:rsid w:val="004F17C9"/>
    <w:rsid w:val="004F1851"/>
    <w:rsid w:val="004F1897"/>
    <w:rsid w:val="004F18ED"/>
    <w:rsid w:val="004F19F2"/>
    <w:rsid w:val="004F1CF3"/>
    <w:rsid w:val="004F1D0B"/>
    <w:rsid w:val="004F1F60"/>
    <w:rsid w:val="004F1F7E"/>
    <w:rsid w:val="004F2389"/>
    <w:rsid w:val="004F24D3"/>
    <w:rsid w:val="004F26F7"/>
    <w:rsid w:val="004F29F9"/>
    <w:rsid w:val="004F2BC7"/>
    <w:rsid w:val="004F2CC8"/>
    <w:rsid w:val="004F2DB7"/>
    <w:rsid w:val="004F2FAF"/>
    <w:rsid w:val="004F30AC"/>
    <w:rsid w:val="004F32DC"/>
    <w:rsid w:val="004F3341"/>
    <w:rsid w:val="004F34FD"/>
    <w:rsid w:val="004F37DC"/>
    <w:rsid w:val="004F386B"/>
    <w:rsid w:val="004F38F2"/>
    <w:rsid w:val="004F3A39"/>
    <w:rsid w:val="004F3A82"/>
    <w:rsid w:val="004F3CD4"/>
    <w:rsid w:val="004F3E8B"/>
    <w:rsid w:val="004F3F70"/>
    <w:rsid w:val="004F3FC6"/>
    <w:rsid w:val="004F4354"/>
    <w:rsid w:val="004F45A3"/>
    <w:rsid w:val="004F461E"/>
    <w:rsid w:val="004F46DD"/>
    <w:rsid w:val="004F46FC"/>
    <w:rsid w:val="004F47CD"/>
    <w:rsid w:val="004F4A2D"/>
    <w:rsid w:val="004F4E1B"/>
    <w:rsid w:val="004F4E8F"/>
    <w:rsid w:val="004F5137"/>
    <w:rsid w:val="004F521E"/>
    <w:rsid w:val="004F53C6"/>
    <w:rsid w:val="004F548C"/>
    <w:rsid w:val="004F54A7"/>
    <w:rsid w:val="004F5540"/>
    <w:rsid w:val="004F55B3"/>
    <w:rsid w:val="004F5609"/>
    <w:rsid w:val="004F6062"/>
    <w:rsid w:val="004F6065"/>
    <w:rsid w:val="004F6241"/>
    <w:rsid w:val="004F642B"/>
    <w:rsid w:val="004F6645"/>
    <w:rsid w:val="004F6684"/>
    <w:rsid w:val="004F6803"/>
    <w:rsid w:val="004F6899"/>
    <w:rsid w:val="004F69C1"/>
    <w:rsid w:val="004F6A6D"/>
    <w:rsid w:val="004F6CED"/>
    <w:rsid w:val="004F708A"/>
    <w:rsid w:val="004F71D1"/>
    <w:rsid w:val="004F7468"/>
    <w:rsid w:val="004F763E"/>
    <w:rsid w:val="004F7710"/>
    <w:rsid w:val="004F79BC"/>
    <w:rsid w:val="004F7FD0"/>
    <w:rsid w:val="005003BE"/>
    <w:rsid w:val="0050048C"/>
    <w:rsid w:val="005005C0"/>
    <w:rsid w:val="0050060D"/>
    <w:rsid w:val="00500874"/>
    <w:rsid w:val="00500962"/>
    <w:rsid w:val="005009FF"/>
    <w:rsid w:val="00500D3F"/>
    <w:rsid w:val="00500D48"/>
    <w:rsid w:val="00500D59"/>
    <w:rsid w:val="00500EBB"/>
    <w:rsid w:val="005012F8"/>
    <w:rsid w:val="00501611"/>
    <w:rsid w:val="005017C5"/>
    <w:rsid w:val="0050189E"/>
    <w:rsid w:val="00501B7F"/>
    <w:rsid w:val="00501BDB"/>
    <w:rsid w:val="00501C3E"/>
    <w:rsid w:val="00501FD1"/>
    <w:rsid w:val="00502189"/>
    <w:rsid w:val="00502289"/>
    <w:rsid w:val="0050285A"/>
    <w:rsid w:val="0050294C"/>
    <w:rsid w:val="00502F98"/>
    <w:rsid w:val="00502F9B"/>
    <w:rsid w:val="00503022"/>
    <w:rsid w:val="00503043"/>
    <w:rsid w:val="00503063"/>
    <w:rsid w:val="0050323B"/>
    <w:rsid w:val="0050347F"/>
    <w:rsid w:val="00503502"/>
    <w:rsid w:val="005037FB"/>
    <w:rsid w:val="0050383A"/>
    <w:rsid w:val="00503DE1"/>
    <w:rsid w:val="00503F3A"/>
    <w:rsid w:val="0050418A"/>
    <w:rsid w:val="0050425B"/>
    <w:rsid w:val="00504452"/>
    <w:rsid w:val="005045D9"/>
    <w:rsid w:val="005045E0"/>
    <w:rsid w:val="00504718"/>
    <w:rsid w:val="0050491F"/>
    <w:rsid w:val="00504A1A"/>
    <w:rsid w:val="00504A57"/>
    <w:rsid w:val="00504A77"/>
    <w:rsid w:val="00504AE6"/>
    <w:rsid w:val="00504C39"/>
    <w:rsid w:val="00504D52"/>
    <w:rsid w:val="00504E90"/>
    <w:rsid w:val="00504E95"/>
    <w:rsid w:val="00504F48"/>
    <w:rsid w:val="00505017"/>
    <w:rsid w:val="0050549E"/>
    <w:rsid w:val="005056B7"/>
    <w:rsid w:val="005058BF"/>
    <w:rsid w:val="00505A7A"/>
    <w:rsid w:val="00505B5D"/>
    <w:rsid w:val="00505BB0"/>
    <w:rsid w:val="00505C58"/>
    <w:rsid w:val="00505DF2"/>
    <w:rsid w:val="00506154"/>
    <w:rsid w:val="00506378"/>
    <w:rsid w:val="005064DB"/>
    <w:rsid w:val="00506599"/>
    <w:rsid w:val="005065BB"/>
    <w:rsid w:val="005066C6"/>
    <w:rsid w:val="005068C6"/>
    <w:rsid w:val="00507009"/>
    <w:rsid w:val="00507078"/>
    <w:rsid w:val="005070DB"/>
    <w:rsid w:val="00510272"/>
    <w:rsid w:val="0051029E"/>
    <w:rsid w:val="005105FD"/>
    <w:rsid w:val="00510625"/>
    <w:rsid w:val="005106A7"/>
    <w:rsid w:val="00510827"/>
    <w:rsid w:val="00510837"/>
    <w:rsid w:val="005109A6"/>
    <w:rsid w:val="005109EB"/>
    <w:rsid w:val="00510BF3"/>
    <w:rsid w:val="00510E87"/>
    <w:rsid w:val="00510F1A"/>
    <w:rsid w:val="00511039"/>
    <w:rsid w:val="00511294"/>
    <w:rsid w:val="005112EF"/>
    <w:rsid w:val="00511319"/>
    <w:rsid w:val="005114EF"/>
    <w:rsid w:val="005114F9"/>
    <w:rsid w:val="0051168F"/>
    <w:rsid w:val="00511897"/>
    <w:rsid w:val="00511ACB"/>
    <w:rsid w:val="00511CF7"/>
    <w:rsid w:val="00511D39"/>
    <w:rsid w:val="00512032"/>
    <w:rsid w:val="00512296"/>
    <w:rsid w:val="00512327"/>
    <w:rsid w:val="00512660"/>
    <w:rsid w:val="005126B4"/>
    <w:rsid w:val="00512746"/>
    <w:rsid w:val="005128E3"/>
    <w:rsid w:val="00512A00"/>
    <w:rsid w:val="00512A7F"/>
    <w:rsid w:val="00512AD2"/>
    <w:rsid w:val="00512BDB"/>
    <w:rsid w:val="00512C0A"/>
    <w:rsid w:val="00512F3D"/>
    <w:rsid w:val="005130BC"/>
    <w:rsid w:val="005131B2"/>
    <w:rsid w:val="00513276"/>
    <w:rsid w:val="00513305"/>
    <w:rsid w:val="00513320"/>
    <w:rsid w:val="0051354C"/>
    <w:rsid w:val="005135D4"/>
    <w:rsid w:val="00513731"/>
    <w:rsid w:val="00513908"/>
    <w:rsid w:val="00513B38"/>
    <w:rsid w:val="00513DA5"/>
    <w:rsid w:val="00513ECE"/>
    <w:rsid w:val="00514412"/>
    <w:rsid w:val="0051449E"/>
    <w:rsid w:val="00514585"/>
    <w:rsid w:val="005146A7"/>
    <w:rsid w:val="00514746"/>
    <w:rsid w:val="0051479B"/>
    <w:rsid w:val="00514DC6"/>
    <w:rsid w:val="00514E2B"/>
    <w:rsid w:val="00515399"/>
    <w:rsid w:val="00515516"/>
    <w:rsid w:val="00515643"/>
    <w:rsid w:val="00515817"/>
    <w:rsid w:val="00515ACD"/>
    <w:rsid w:val="00515D72"/>
    <w:rsid w:val="00515FB5"/>
    <w:rsid w:val="005163B5"/>
    <w:rsid w:val="00516479"/>
    <w:rsid w:val="005165FF"/>
    <w:rsid w:val="00516778"/>
    <w:rsid w:val="005167F8"/>
    <w:rsid w:val="00516A73"/>
    <w:rsid w:val="00516D72"/>
    <w:rsid w:val="00517036"/>
    <w:rsid w:val="00517040"/>
    <w:rsid w:val="005172E1"/>
    <w:rsid w:val="005179C8"/>
    <w:rsid w:val="00517AA1"/>
    <w:rsid w:val="00517B10"/>
    <w:rsid w:val="00517E24"/>
    <w:rsid w:val="00517E5D"/>
    <w:rsid w:val="00517FDC"/>
    <w:rsid w:val="005204C1"/>
    <w:rsid w:val="005206DA"/>
    <w:rsid w:val="005208B2"/>
    <w:rsid w:val="00520B15"/>
    <w:rsid w:val="00520D04"/>
    <w:rsid w:val="00520F2E"/>
    <w:rsid w:val="00520FC6"/>
    <w:rsid w:val="005210AC"/>
    <w:rsid w:val="005211C9"/>
    <w:rsid w:val="005211EF"/>
    <w:rsid w:val="00521234"/>
    <w:rsid w:val="005212C4"/>
    <w:rsid w:val="00521686"/>
    <w:rsid w:val="00521767"/>
    <w:rsid w:val="00521B27"/>
    <w:rsid w:val="00521DE8"/>
    <w:rsid w:val="0052240A"/>
    <w:rsid w:val="00522574"/>
    <w:rsid w:val="005225D2"/>
    <w:rsid w:val="005226EF"/>
    <w:rsid w:val="00522873"/>
    <w:rsid w:val="005228D2"/>
    <w:rsid w:val="00522AA8"/>
    <w:rsid w:val="00522B12"/>
    <w:rsid w:val="00522D68"/>
    <w:rsid w:val="00522E77"/>
    <w:rsid w:val="005235D1"/>
    <w:rsid w:val="00523923"/>
    <w:rsid w:val="00523AA1"/>
    <w:rsid w:val="00523C4D"/>
    <w:rsid w:val="00523FF7"/>
    <w:rsid w:val="0052402A"/>
    <w:rsid w:val="005242FB"/>
    <w:rsid w:val="0052461A"/>
    <w:rsid w:val="0052466F"/>
    <w:rsid w:val="005247BB"/>
    <w:rsid w:val="005247E5"/>
    <w:rsid w:val="00524C8A"/>
    <w:rsid w:val="00524CA7"/>
    <w:rsid w:val="00524CB8"/>
    <w:rsid w:val="00524D25"/>
    <w:rsid w:val="00524F5A"/>
    <w:rsid w:val="00524F73"/>
    <w:rsid w:val="005250A6"/>
    <w:rsid w:val="00525114"/>
    <w:rsid w:val="0052539B"/>
    <w:rsid w:val="005253B7"/>
    <w:rsid w:val="0052540F"/>
    <w:rsid w:val="0052542D"/>
    <w:rsid w:val="005259C8"/>
    <w:rsid w:val="005259FC"/>
    <w:rsid w:val="00525A8E"/>
    <w:rsid w:val="00525AFA"/>
    <w:rsid w:val="00525BFB"/>
    <w:rsid w:val="00525DA1"/>
    <w:rsid w:val="00525FFD"/>
    <w:rsid w:val="00526218"/>
    <w:rsid w:val="0052675C"/>
    <w:rsid w:val="005267B0"/>
    <w:rsid w:val="00526B56"/>
    <w:rsid w:val="00526B88"/>
    <w:rsid w:val="00526F29"/>
    <w:rsid w:val="005270BB"/>
    <w:rsid w:val="005271C4"/>
    <w:rsid w:val="005274E3"/>
    <w:rsid w:val="00527831"/>
    <w:rsid w:val="005278BB"/>
    <w:rsid w:val="0053002F"/>
    <w:rsid w:val="005301CF"/>
    <w:rsid w:val="005303CE"/>
    <w:rsid w:val="00530415"/>
    <w:rsid w:val="005304CA"/>
    <w:rsid w:val="0053081D"/>
    <w:rsid w:val="0053087E"/>
    <w:rsid w:val="005309FD"/>
    <w:rsid w:val="00530A80"/>
    <w:rsid w:val="00530C0D"/>
    <w:rsid w:val="00530DB8"/>
    <w:rsid w:val="00530E9B"/>
    <w:rsid w:val="00530F86"/>
    <w:rsid w:val="005311B1"/>
    <w:rsid w:val="005311FA"/>
    <w:rsid w:val="00531441"/>
    <w:rsid w:val="005314B8"/>
    <w:rsid w:val="0053182E"/>
    <w:rsid w:val="00531ADB"/>
    <w:rsid w:val="00531BE0"/>
    <w:rsid w:val="00531C5E"/>
    <w:rsid w:val="00531E35"/>
    <w:rsid w:val="00531F3C"/>
    <w:rsid w:val="0053220F"/>
    <w:rsid w:val="0053223D"/>
    <w:rsid w:val="00532384"/>
    <w:rsid w:val="00532491"/>
    <w:rsid w:val="0053268B"/>
    <w:rsid w:val="00532929"/>
    <w:rsid w:val="00532949"/>
    <w:rsid w:val="00532B60"/>
    <w:rsid w:val="00532C22"/>
    <w:rsid w:val="00532C8A"/>
    <w:rsid w:val="00532D11"/>
    <w:rsid w:val="00532DAA"/>
    <w:rsid w:val="00532F0C"/>
    <w:rsid w:val="00532F64"/>
    <w:rsid w:val="005330DC"/>
    <w:rsid w:val="00533119"/>
    <w:rsid w:val="005331D9"/>
    <w:rsid w:val="00533242"/>
    <w:rsid w:val="005333CF"/>
    <w:rsid w:val="00533470"/>
    <w:rsid w:val="00533A2A"/>
    <w:rsid w:val="00533A6C"/>
    <w:rsid w:val="00533AEF"/>
    <w:rsid w:val="00533F3F"/>
    <w:rsid w:val="0053402D"/>
    <w:rsid w:val="005341CA"/>
    <w:rsid w:val="005342A4"/>
    <w:rsid w:val="00534349"/>
    <w:rsid w:val="005344E4"/>
    <w:rsid w:val="00534563"/>
    <w:rsid w:val="0053462B"/>
    <w:rsid w:val="00534724"/>
    <w:rsid w:val="0053477B"/>
    <w:rsid w:val="005348CF"/>
    <w:rsid w:val="00534AD2"/>
    <w:rsid w:val="00534C40"/>
    <w:rsid w:val="00534ED7"/>
    <w:rsid w:val="00535768"/>
    <w:rsid w:val="00535A02"/>
    <w:rsid w:val="00535B70"/>
    <w:rsid w:val="00535EC8"/>
    <w:rsid w:val="00536412"/>
    <w:rsid w:val="005364DC"/>
    <w:rsid w:val="0053655F"/>
    <w:rsid w:val="0053661D"/>
    <w:rsid w:val="00536F1E"/>
    <w:rsid w:val="0053707A"/>
    <w:rsid w:val="0053719F"/>
    <w:rsid w:val="00537411"/>
    <w:rsid w:val="005374B5"/>
    <w:rsid w:val="00537746"/>
    <w:rsid w:val="005377BC"/>
    <w:rsid w:val="00537864"/>
    <w:rsid w:val="005379AE"/>
    <w:rsid w:val="005379EA"/>
    <w:rsid w:val="00537D79"/>
    <w:rsid w:val="0054008C"/>
    <w:rsid w:val="0054022F"/>
    <w:rsid w:val="00540291"/>
    <w:rsid w:val="00540408"/>
    <w:rsid w:val="005404AF"/>
    <w:rsid w:val="005405C2"/>
    <w:rsid w:val="005406E2"/>
    <w:rsid w:val="0054070C"/>
    <w:rsid w:val="005407AE"/>
    <w:rsid w:val="00540B33"/>
    <w:rsid w:val="00540CA1"/>
    <w:rsid w:val="00540D64"/>
    <w:rsid w:val="00540EC9"/>
    <w:rsid w:val="00540F69"/>
    <w:rsid w:val="00541060"/>
    <w:rsid w:val="0054118D"/>
    <w:rsid w:val="005413D1"/>
    <w:rsid w:val="005415F1"/>
    <w:rsid w:val="00541A95"/>
    <w:rsid w:val="00541ABB"/>
    <w:rsid w:val="00541BA7"/>
    <w:rsid w:val="00541C20"/>
    <w:rsid w:val="00541EF2"/>
    <w:rsid w:val="00541F2A"/>
    <w:rsid w:val="005424CF"/>
    <w:rsid w:val="0054255A"/>
    <w:rsid w:val="00542598"/>
    <w:rsid w:val="005425A4"/>
    <w:rsid w:val="00542624"/>
    <w:rsid w:val="00542DF8"/>
    <w:rsid w:val="00542ECA"/>
    <w:rsid w:val="00542EDA"/>
    <w:rsid w:val="005430EF"/>
    <w:rsid w:val="0054326F"/>
    <w:rsid w:val="005434D1"/>
    <w:rsid w:val="00543582"/>
    <w:rsid w:val="0054365D"/>
    <w:rsid w:val="00543897"/>
    <w:rsid w:val="005438A1"/>
    <w:rsid w:val="0054422C"/>
    <w:rsid w:val="00544584"/>
    <w:rsid w:val="00544611"/>
    <w:rsid w:val="00544751"/>
    <w:rsid w:val="0054496F"/>
    <w:rsid w:val="005449F4"/>
    <w:rsid w:val="00544B7F"/>
    <w:rsid w:val="00544BDD"/>
    <w:rsid w:val="00544C53"/>
    <w:rsid w:val="00544C8F"/>
    <w:rsid w:val="00544EAB"/>
    <w:rsid w:val="00544F47"/>
    <w:rsid w:val="00545172"/>
    <w:rsid w:val="005453CF"/>
    <w:rsid w:val="00545596"/>
    <w:rsid w:val="00545717"/>
    <w:rsid w:val="00545808"/>
    <w:rsid w:val="00545941"/>
    <w:rsid w:val="00545AC7"/>
    <w:rsid w:val="00545B43"/>
    <w:rsid w:val="00546458"/>
    <w:rsid w:val="005467AC"/>
    <w:rsid w:val="005467BF"/>
    <w:rsid w:val="005468C2"/>
    <w:rsid w:val="005468CF"/>
    <w:rsid w:val="00546AE0"/>
    <w:rsid w:val="00546B17"/>
    <w:rsid w:val="00546B8C"/>
    <w:rsid w:val="00546CAA"/>
    <w:rsid w:val="00546F75"/>
    <w:rsid w:val="00547469"/>
    <w:rsid w:val="005475BD"/>
    <w:rsid w:val="005475DF"/>
    <w:rsid w:val="005476FC"/>
    <w:rsid w:val="00547803"/>
    <w:rsid w:val="00547AAB"/>
    <w:rsid w:val="00547ABF"/>
    <w:rsid w:val="00547C2E"/>
    <w:rsid w:val="00547E85"/>
    <w:rsid w:val="00547F28"/>
    <w:rsid w:val="00550211"/>
    <w:rsid w:val="0055023B"/>
    <w:rsid w:val="005504A7"/>
    <w:rsid w:val="00550656"/>
    <w:rsid w:val="00550675"/>
    <w:rsid w:val="00550BEA"/>
    <w:rsid w:val="00551058"/>
    <w:rsid w:val="005512C6"/>
    <w:rsid w:val="005514EC"/>
    <w:rsid w:val="00551547"/>
    <w:rsid w:val="005517F3"/>
    <w:rsid w:val="00551B58"/>
    <w:rsid w:val="00551D3E"/>
    <w:rsid w:val="00551EF9"/>
    <w:rsid w:val="0055204E"/>
    <w:rsid w:val="005524A3"/>
    <w:rsid w:val="00552600"/>
    <w:rsid w:val="005526D6"/>
    <w:rsid w:val="005529D1"/>
    <w:rsid w:val="005529D4"/>
    <w:rsid w:val="00552B05"/>
    <w:rsid w:val="00552BCE"/>
    <w:rsid w:val="00552C3C"/>
    <w:rsid w:val="00552D9F"/>
    <w:rsid w:val="00552E44"/>
    <w:rsid w:val="00552FAF"/>
    <w:rsid w:val="00553002"/>
    <w:rsid w:val="005534D4"/>
    <w:rsid w:val="005537FC"/>
    <w:rsid w:val="005539C1"/>
    <w:rsid w:val="00553A48"/>
    <w:rsid w:val="00553BEC"/>
    <w:rsid w:val="00553C59"/>
    <w:rsid w:val="00553E4F"/>
    <w:rsid w:val="00553FC9"/>
    <w:rsid w:val="00553FD1"/>
    <w:rsid w:val="0055406B"/>
    <w:rsid w:val="00554080"/>
    <w:rsid w:val="005542D5"/>
    <w:rsid w:val="0055455B"/>
    <w:rsid w:val="00554592"/>
    <w:rsid w:val="005545FD"/>
    <w:rsid w:val="00554763"/>
    <w:rsid w:val="00554A1A"/>
    <w:rsid w:val="00554A1C"/>
    <w:rsid w:val="00554A90"/>
    <w:rsid w:val="00554CA3"/>
    <w:rsid w:val="00554F73"/>
    <w:rsid w:val="00555061"/>
    <w:rsid w:val="0055517B"/>
    <w:rsid w:val="00555350"/>
    <w:rsid w:val="005556F9"/>
    <w:rsid w:val="005557FC"/>
    <w:rsid w:val="0055583F"/>
    <w:rsid w:val="00555987"/>
    <w:rsid w:val="00555A64"/>
    <w:rsid w:val="00555B60"/>
    <w:rsid w:val="00555B7B"/>
    <w:rsid w:val="00556005"/>
    <w:rsid w:val="00556016"/>
    <w:rsid w:val="005560F0"/>
    <w:rsid w:val="00556534"/>
    <w:rsid w:val="005565BD"/>
    <w:rsid w:val="0055672B"/>
    <w:rsid w:val="005567DC"/>
    <w:rsid w:val="0055693A"/>
    <w:rsid w:val="005569A7"/>
    <w:rsid w:val="00556A1B"/>
    <w:rsid w:val="00556A97"/>
    <w:rsid w:val="00556D1E"/>
    <w:rsid w:val="00556DB5"/>
    <w:rsid w:val="005571E3"/>
    <w:rsid w:val="005574A1"/>
    <w:rsid w:val="005574CF"/>
    <w:rsid w:val="005576E7"/>
    <w:rsid w:val="00557705"/>
    <w:rsid w:val="00557749"/>
    <w:rsid w:val="00557838"/>
    <w:rsid w:val="00557962"/>
    <w:rsid w:val="00557B0F"/>
    <w:rsid w:val="00557BAC"/>
    <w:rsid w:val="00557C4E"/>
    <w:rsid w:val="0056021B"/>
    <w:rsid w:val="00560244"/>
    <w:rsid w:val="00560265"/>
    <w:rsid w:val="00560473"/>
    <w:rsid w:val="00560833"/>
    <w:rsid w:val="00560834"/>
    <w:rsid w:val="00560CE2"/>
    <w:rsid w:val="00560F9B"/>
    <w:rsid w:val="0056100C"/>
    <w:rsid w:val="005614BE"/>
    <w:rsid w:val="005614E0"/>
    <w:rsid w:val="005615BC"/>
    <w:rsid w:val="005617A7"/>
    <w:rsid w:val="00561A3E"/>
    <w:rsid w:val="00561A92"/>
    <w:rsid w:val="00561EF3"/>
    <w:rsid w:val="005621E3"/>
    <w:rsid w:val="0056233B"/>
    <w:rsid w:val="005623FE"/>
    <w:rsid w:val="0056240D"/>
    <w:rsid w:val="00562729"/>
    <w:rsid w:val="00562C82"/>
    <w:rsid w:val="00562DD4"/>
    <w:rsid w:val="00562F05"/>
    <w:rsid w:val="00562FA1"/>
    <w:rsid w:val="00563464"/>
    <w:rsid w:val="0056350F"/>
    <w:rsid w:val="005635D2"/>
    <w:rsid w:val="00563802"/>
    <w:rsid w:val="00563815"/>
    <w:rsid w:val="00563907"/>
    <w:rsid w:val="0056396E"/>
    <w:rsid w:val="00563988"/>
    <w:rsid w:val="00563AFD"/>
    <w:rsid w:val="00563BE9"/>
    <w:rsid w:val="00563C2F"/>
    <w:rsid w:val="005640BE"/>
    <w:rsid w:val="005642FE"/>
    <w:rsid w:val="00564325"/>
    <w:rsid w:val="00564577"/>
    <w:rsid w:val="005647F7"/>
    <w:rsid w:val="00564C7A"/>
    <w:rsid w:val="00564CE3"/>
    <w:rsid w:val="00564D3B"/>
    <w:rsid w:val="00564D6A"/>
    <w:rsid w:val="00565389"/>
    <w:rsid w:val="0056594C"/>
    <w:rsid w:val="00565A27"/>
    <w:rsid w:val="00565A43"/>
    <w:rsid w:val="00565BB1"/>
    <w:rsid w:val="00565CC2"/>
    <w:rsid w:val="00565DE1"/>
    <w:rsid w:val="00565EA9"/>
    <w:rsid w:val="0056616F"/>
    <w:rsid w:val="00566331"/>
    <w:rsid w:val="00566438"/>
    <w:rsid w:val="00566A84"/>
    <w:rsid w:val="00566DB1"/>
    <w:rsid w:val="00567014"/>
    <w:rsid w:val="00567176"/>
    <w:rsid w:val="005672E9"/>
    <w:rsid w:val="00567301"/>
    <w:rsid w:val="0056740A"/>
    <w:rsid w:val="005674EC"/>
    <w:rsid w:val="00567551"/>
    <w:rsid w:val="005676D2"/>
    <w:rsid w:val="0056791C"/>
    <w:rsid w:val="00567A79"/>
    <w:rsid w:val="00567BBF"/>
    <w:rsid w:val="00567C26"/>
    <w:rsid w:val="00570178"/>
    <w:rsid w:val="0057021A"/>
    <w:rsid w:val="00570955"/>
    <w:rsid w:val="00570A1D"/>
    <w:rsid w:val="00570BC0"/>
    <w:rsid w:val="00570C48"/>
    <w:rsid w:val="00570CBE"/>
    <w:rsid w:val="005710B3"/>
    <w:rsid w:val="00571350"/>
    <w:rsid w:val="00571478"/>
    <w:rsid w:val="005714ED"/>
    <w:rsid w:val="0057151A"/>
    <w:rsid w:val="005715A9"/>
    <w:rsid w:val="00571623"/>
    <w:rsid w:val="0057183A"/>
    <w:rsid w:val="00571876"/>
    <w:rsid w:val="005718E6"/>
    <w:rsid w:val="00571909"/>
    <w:rsid w:val="00571966"/>
    <w:rsid w:val="00571977"/>
    <w:rsid w:val="00571A93"/>
    <w:rsid w:val="00571AA3"/>
    <w:rsid w:val="00571AC4"/>
    <w:rsid w:val="00571BFD"/>
    <w:rsid w:val="00571CB2"/>
    <w:rsid w:val="00571CFC"/>
    <w:rsid w:val="00571E2F"/>
    <w:rsid w:val="00571E89"/>
    <w:rsid w:val="00571F49"/>
    <w:rsid w:val="00571F78"/>
    <w:rsid w:val="005720E8"/>
    <w:rsid w:val="0057278D"/>
    <w:rsid w:val="00572797"/>
    <w:rsid w:val="0057282B"/>
    <w:rsid w:val="005728BE"/>
    <w:rsid w:val="005728FD"/>
    <w:rsid w:val="00572B97"/>
    <w:rsid w:val="005734DC"/>
    <w:rsid w:val="0057351E"/>
    <w:rsid w:val="00573670"/>
    <w:rsid w:val="0057367D"/>
    <w:rsid w:val="00573702"/>
    <w:rsid w:val="005738BA"/>
    <w:rsid w:val="00573B7C"/>
    <w:rsid w:val="00573BFE"/>
    <w:rsid w:val="00573FF5"/>
    <w:rsid w:val="0057423F"/>
    <w:rsid w:val="00574244"/>
    <w:rsid w:val="0057434E"/>
    <w:rsid w:val="0057452D"/>
    <w:rsid w:val="00574A04"/>
    <w:rsid w:val="00574B43"/>
    <w:rsid w:val="00574DCF"/>
    <w:rsid w:val="00574E0C"/>
    <w:rsid w:val="00574EE9"/>
    <w:rsid w:val="00575352"/>
    <w:rsid w:val="0057553B"/>
    <w:rsid w:val="00575850"/>
    <w:rsid w:val="00575863"/>
    <w:rsid w:val="0057588F"/>
    <w:rsid w:val="0057589C"/>
    <w:rsid w:val="00575A16"/>
    <w:rsid w:val="00575A62"/>
    <w:rsid w:val="00575A8B"/>
    <w:rsid w:val="00575C2D"/>
    <w:rsid w:val="005762E8"/>
    <w:rsid w:val="005765F7"/>
    <w:rsid w:val="005768F0"/>
    <w:rsid w:val="00576C74"/>
    <w:rsid w:val="00576DCD"/>
    <w:rsid w:val="00576DD5"/>
    <w:rsid w:val="00576E16"/>
    <w:rsid w:val="00576F55"/>
    <w:rsid w:val="00577067"/>
    <w:rsid w:val="005772AD"/>
    <w:rsid w:val="005773F2"/>
    <w:rsid w:val="00577491"/>
    <w:rsid w:val="0057775F"/>
    <w:rsid w:val="00577987"/>
    <w:rsid w:val="00577A96"/>
    <w:rsid w:val="00577BE9"/>
    <w:rsid w:val="00577FF1"/>
    <w:rsid w:val="005801BB"/>
    <w:rsid w:val="0058023B"/>
    <w:rsid w:val="00580271"/>
    <w:rsid w:val="005807D7"/>
    <w:rsid w:val="005807FC"/>
    <w:rsid w:val="00580B41"/>
    <w:rsid w:val="00580DA7"/>
    <w:rsid w:val="00580DBD"/>
    <w:rsid w:val="00580E92"/>
    <w:rsid w:val="00580F8D"/>
    <w:rsid w:val="00581030"/>
    <w:rsid w:val="00581660"/>
    <w:rsid w:val="00581C90"/>
    <w:rsid w:val="00581DA6"/>
    <w:rsid w:val="00581E15"/>
    <w:rsid w:val="00582075"/>
    <w:rsid w:val="005820A3"/>
    <w:rsid w:val="00582420"/>
    <w:rsid w:val="005825A5"/>
    <w:rsid w:val="0058291E"/>
    <w:rsid w:val="00582994"/>
    <w:rsid w:val="00582B90"/>
    <w:rsid w:val="00582E81"/>
    <w:rsid w:val="00582F9E"/>
    <w:rsid w:val="00583118"/>
    <w:rsid w:val="00583195"/>
    <w:rsid w:val="005835C2"/>
    <w:rsid w:val="00583677"/>
    <w:rsid w:val="005838F3"/>
    <w:rsid w:val="00583CBF"/>
    <w:rsid w:val="00583D15"/>
    <w:rsid w:val="00583F8B"/>
    <w:rsid w:val="0058428F"/>
    <w:rsid w:val="00584574"/>
    <w:rsid w:val="0058462F"/>
    <w:rsid w:val="00584A92"/>
    <w:rsid w:val="00584C4C"/>
    <w:rsid w:val="00584C6B"/>
    <w:rsid w:val="00584D10"/>
    <w:rsid w:val="00584DB6"/>
    <w:rsid w:val="00584EC1"/>
    <w:rsid w:val="00584FA1"/>
    <w:rsid w:val="00585133"/>
    <w:rsid w:val="005853AE"/>
    <w:rsid w:val="00585887"/>
    <w:rsid w:val="005858D1"/>
    <w:rsid w:val="005859D3"/>
    <w:rsid w:val="00585B35"/>
    <w:rsid w:val="00585D01"/>
    <w:rsid w:val="00585D52"/>
    <w:rsid w:val="00585F1C"/>
    <w:rsid w:val="00585FFB"/>
    <w:rsid w:val="0058664A"/>
    <w:rsid w:val="005866E7"/>
    <w:rsid w:val="005867E1"/>
    <w:rsid w:val="0058685C"/>
    <w:rsid w:val="00586FB4"/>
    <w:rsid w:val="00587205"/>
    <w:rsid w:val="0058737B"/>
    <w:rsid w:val="005875DC"/>
    <w:rsid w:val="005875E7"/>
    <w:rsid w:val="00587652"/>
    <w:rsid w:val="005876D0"/>
    <w:rsid w:val="005876F3"/>
    <w:rsid w:val="005877B4"/>
    <w:rsid w:val="0058796C"/>
    <w:rsid w:val="00587A05"/>
    <w:rsid w:val="0059005D"/>
    <w:rsid w:val="00590162"/>
    <w:rsid w:val="005902D2"/>
    <w:rsid w:val="00590636"/>
    <w:rsid w:val="005906FD"/>
    <w:rsid w:val="00590B5D"/>
    <w:rsid w:val="00590EF4"/>
    <w:rsid w:val="00590F36"/>
    <w:rsid w:val="00590F71"/>
    <w:rsid w:val="0059103F"/>
    <w:rsid w:val="005911A0"/>
    <w:rsid w:val="005911CD"/>
    <w:rsid w:val="00591231"/>
    <w:rsid w:val="005914BD"/>
    <w:rsid w:val="00591742"/>
    <w:rsid w:val="005917FD"/>
    <w:rsid w:val="00591BE8"/>
    <w:rsid w:val="00591D58"/>
    <w:rsid w:val="00591FFD"/>
    <w:rsid w:val="005920E9"/>
    <w:rsid w:val="005921BB"/>
    <w:rsid w:val="0059245F"/>
    <w:rsid w:val="005926CF"/>
    <w:rsid w:val="00592870"/>
    <w:rsid w:val="0059289B"/>
    <w:rsid w:val="0059297A"/>
    <w:rsid w:val="0059298A"/>
    <w:rsid w:val="00592A22"/>
    <w:rsid w:val="00592CEB"/>
    <w:rsid w:val="00592D28"/>
    <w:rsid w:val="00592F9C"/>
    <w:rsid w:val="0059307C"/>
    <w:rsid w:val="0059322E"/>
    <w:rsid w:val="00593290"/>
    <w:rsid w:val="00593538"/>
    <w:rsid w:val="0059398A"/>
    <w:rsid w:val="005939FE"/>
    <w:rsid w:val="00593AAF"/>
    <w:rsid w:val="00593B32"/>
    <w:rsid w:val="00593C47"/>
    <w:rsid w:val="00594584"/>
    <w:rsid w:val="005946E9"/>
    <w:rsid w:val="00594B58"/>
    <w:rsid w:val="00594BDF"/>
    <w:rsid w:val="00594C2F"/>
    <w:rsid w:val="00594D14"/>
    <w:rsid w:val="00594D1F"/>
    <w:rsid w:val="00594D73"/>
    <w:rsid w:val="0059503C"/>
    <w:rsid w:val="0059505A"/>
    <w:rsid w:val="00595376"/>
    <w:rsid w:val="00595980"/>
    <w:rsid w:val="00595B6C"/>
    <w:rsid w:val="00595BE2"/>
    <w:rsid w:val="00595BFD"/>
    <w:rsid w:val="00596183"/>
    <w:rsid w:val="005961E6"/>
    <w:rsid w:val="005964D7"/>
    <w:rsid w:val="00596604"/>
    <w:rsid w:val="0059685A"/>
    <w:rsid w:val="0059698A"/>
    <w:rsid w:val="00596CB6"/>
    <w:rsid w:val="00596EB6"/>
    <w:rsid w:val="00596EF3"/>
    <w:rsid w:val="00597021"/>
    <w:rsid w:val="005971E0"/>
    <w:rsid w:val="00597292"/>
    <w:rsid w:val="00597598"/>
    <w:rsid w:val="005977BE"/>
    <w:rsid w:val="005977D8"/>
    <w:rsid w:val="00597AB7"/>
    <w:rsid w:val="00597AD5"/>
    <w:rsid w:val="00597B02"/>
    <w:rsid w:val="005A014E"/>
    <w:rsid w:val="005A01CC"/>
    <w:rsid w:val="005A03FB"/>
    <w:rsid w:val="005A049B"/>
    <w:rsid w:val="005A04B7"/>
    <w:rsid w:val="005A05A1"/>
    <w:rsid w:val="005A05D8"/>
    <w:rsid w:val="005A065E"/>
    <w:rsid w:val="005A08AC"/>
    <w:rsid w:val="005A08FA"/>
    <w:rsid w:val="005A0C39"/>
    <w:rsid w:val="005A1023"/>
    <w:rsid w:val="005A10C4"/>
    <w:rsid w:val="005A10F8"/>
    <w:rsid w:val="005A15D7"/>
    <w:rsid w:val="005A18D3"/>
    <w:rsid w:val="005A1A51"/>
    <w:rsid w:val="005A1B6C"/>
    <w:rsid w:val="005A1C13"/>
    <w:rsid w:val="005A1D8C"/>
    <w:rsid w:val="005A1EC0"/>
    <w:rsid w:val="005A1F56"/>
    <w:rsid w:val="005A1FFB"/>
    <w:rsid w:val="005A225F"/>
    <w:rsid w:val="005A22E1"/>
    <w:rsid w:val="005A2448"/>
    <w:rsid w:val="005A2639"/>
    <w:rsid w:val="005A2746"/>
    <w:rsid w:val="005A2883"/>
    <w:rsid w:val="005A28E2"/>
    <w:rsid w:val="005A3239"/>
    <w:rsid w:val="005A33A5"/>
    <w:rsid w:val="005A33F7"/>
    <w:rsid w:val="005A3493"/>
    <w:rsid w:val="005A3496"/>
    <w:rsid w:val="005A3549"/>
    <w:rsid w:val="005A35C1"/>
    <w:rsid w:val="005A36A0"/>
    <w:rsid w:val="005A377E"/>
    <w:rsid w:val="005A39B9"/>
    <w:rsid w:val="005A39D2"/>
    <w:rsid w:val="005A3BD1"/>
    <w:rsid w:val="005A3C87"/>
    <w:rsid w:val="005A3F32"/>
    <w:rsid w:val="005A42E9"/>
    <w:rsid w:val="005A44F4"/>
    <w:rsid w:val="005A460A"/>
    <w:rsid w:val="005A46D7"/>
    <w:rsid w:val="005A4934"/>
    <w:rsid w:val="005A4C0F"/>
    <w:rsid w:val="005A4E62"/>
    <w:rsid w:val="005A4F61"/>
    <w:rsid w:val="005A4FB2"/>
    <w:rsid w:val="005A5000"/>
    <w:rsid w:val="005A5018"/>
    <w:rsid w:val="005A54A9"/>
    <w:rsid w:val="005A5524"/>
    <w:rsid w:val="005A5540"/>
    <w:rsid w:val="005A5850"/>
    <w:rsid w:val="005A58D7"/>
    <w:rsid w:val="005A58E0"/>
    <w:rsid w:val="005A5A4D"/>
    <w:rsid w:val="005A5B0D"/>
    <w:rsid w:val="005A5E5C"/>
    <w:rsid w:val="005A5F01"/>
    <w:rsid w:val="005A5FAC"/>
    <w:rsid w:val="005A5FD2"/>
    <w:rsid w:val="005A5FDF"/>
    <w:rsid w:val="005A6032"/>
    <w:rsid w:val="005A60D2"/>
    <w:rsid w:val="005A622B"/>
    <w:rsid w:val="005A6455"/>
    <w:rsid w:val="005A6579"/>
    <w:rsid w:val="005A65CB"/>
    <w:rsid w:val="005A66C5"/>
    <w:rsid w:val="005A66E1"/>
    <w:rsid w:val="005A66E4"/>
    <w:rsid w:val="005A6807"/>
    <w:rsid w:val="005A695E"/>
    <w:rsid w:val="005A698B"/>
    <w:rsid w:val="005A69A8"/>
    <w:rsid w:val="005A6AAC"/>
    <w:rsid w:val="005A6AEF"/>
    <w:rsid w:val="005A6FA2"/>
    <w:rsid w:val="005A70C0"/>
    <w:rsid w:val="005A7185"/>
    <w:rsid w:val="005A71A7"/>
    <w:rsid w:val="005A738F"/>
    <w:rsid w:val="005A73BF"/>
    <w:rsid w:val="005A74D6"/>
    <w:rsid w:val="005A750F"/>
    <w:rsid w:val="005A75D9"/>
    <w:rsid w:val="005A782F"/>
    <w:rsid w:val="005A79A3"/>
    <w:rsid w:val="005A79E5"/>
    <w:rsid w:val="005A7D20"/>
    <w:rsid w:val="005A7D5B"/>
    <w:rsid w:val="005A7DA5"/>
    <w:rsid w:val="005A7DC7"/>
    <w:rsid w:val="005B0310"/>
    <w:rsid w:val="005B03D3"/>
    <w:rsid w:val="005B03FF"/>
    <w:rsid w:val="005B047D"/>
    <w:rsid w:val="005B05AD"/>
    <w:rsid w:val="005B0769"/>
    <w:rsid w:val="005B0954"/>
    <w:rsid w:val="005B0B4D"/>
    <w:rsid w:val="005B0BFC"/>
    <w:rsid w:val="005B0C14"/>
    <w:rsid w:val="005B0D26"/>
    <w:rsid w:val="005B0DB8"/>
    <w:rsid w:val="005B0E89"/>
    <w:rsid w:val="005B131C"/>
    <w:rsid w:val="005B13AA"/>
    <w:rsid w:val="005B13D9"/>
    <w:rsid w:val="005B16BE"/>
    <w:rsid w:val="005B16D2"/>
    <w:rsid w:val="005B17A5"/>
    <w:rsid w:val="005B1920"/>
    <w:rsid w:val="005B19C6"/>
    <w:rsid w:val="005B1C8F"/>
    <w:rsid w:val="005B1DF5"/>
    <w:rsid w:val="005B1E24"/>
    <w:rsid w:val="005B1EA9"/>
    <w:rsid w:val="005B1F98"/>
    <w:rsid w:val="005B2264"/>
    <w:rsid w:val="005B23D9"/>
    <w:rsid w:val="005B24DF"/>
    <w:rsid w:val="005B25DD"/>
    <w:rsid w:val="005B2810"/>
    <w:rsid w:val="005B2975"/>
    <w:rsid w:val="005B2CA8"/>
    <w:rsid w:val="005B2D4F"/>
    <w:rsid w:val="005B2E2A"/>
    <w:rsid w:val="005B2EDC"/>
    <w:rsid w:val="005B338A"/>
    <w:rsid w:val="005B3416"/>
    <w:rsid w:val="005B388B"/>
    <w:rsid w:val="005B3B65"/>
    <w:rsid w:val="005B3CFC"/>
    <w:rsid w:val="005B3DB6"/>
    <w:rsid w:val="005B42A5"/>
    <w:rsid w:val="005B42B1"/>
    <w:rsid w:val="005B4808"/>
    <w:rsid w:val="005B4BE9"/>
    <w:rsid w:val="005B4C80"/>
    <w:rsid w:val="005B4CA1"/>
    <w:rsid w:val="005B4D37"/>
    <w:rsid w:val="005B4ED2"/>
    <w:rsid w:val="005B5180"/>
    <w:rsid w:val="005B5233"/>
    <w:rsid w:val="005B5360"/>
    <w:rsid w:val="005B56D1"/>
    <w:rsid w:val="005B591F"/>
    <w:rsid w:val="005B594B"/>
    <w:rsid w:val="005B5BE4"/>
    <w:rsid w:val="005B5EA2"/>
    <w:rsid w:val="005B5F00"/>
    <w:rsid w:val="005B6059"/>
    <w:rsid w:val="005B61CA"/>
    <w:rsid w:val="005B61F1"/>
    <w:rsid w:val="005B642E"/>
    <w:rsid w:val="005B6461"/>
    <w:rsid w:val="005B66FD"/>
    <w:rsid w:val="005B699A"/>
    <w:rsid w:val="005B6B94"/>
    <w:rsid w:val="005B6B9D"/>
    <w:rsid w:val="005B6C96"/>
    <w:rsid w:val="005B6F21"/>
    <w:rsid w:val="005B6FF2"/>
    <w:rsid w:val="005B705C"/>
    <w:rsid w:val="005B706B"/>
    <w:rsid w:val="005B734E"/>
    <w:rsid w:val="005B756C"/>
    <w:rsid w:val="005B7A88"/>
    <w:rsid w:val="005B7A95"/>
    <w:rsid w:val="005B7CD2"/>
    <w:rsid w:val="005B7F7A"/>
    <w:rsid w:val="005C00ED"/>
    <w:rsid w:val="005C0608"/>
    <w:rsid w:val="005C0613"/>
    <w:rsid w:val="005C070B"/>
    <w:rsid w:val="005C09D3"/>
    <w:rsid w:val="005C0A5F"/>
    <w:rsid w:val="005C0B11"/>
    <w:rsid w:val="005C0C6E"/>
    <w:rsid w:val="005C0CC3"/>
    <w:rsid w:val="005C0FB3"/>
    <w:rsid w:val="005C1278"/>
    <w:rsid w:val="005C15CA"/>
    <w:rsid w:val="005C15EA"/>
    <w:rsid w:val="005C16AF"/>
    <w:rsid w:val="005C1A1B"/>
    <w:rsid w:val="005C1BDC"/>
    <w:rsid w:val="005C1D5A"/>
    <w:rsid w:val="005C1EA2"/>
    <w:rsid w:val="005C1FFA"/>
    <w:rsid w:val="005C2244"/>
    <w:rsid w:val="005C22CE"/>
    <w:rsid w:val="005C2370"/>
    <w:rsid w:val="005C2469"/>
    <w:rsid w:val="005C24AC"/>
    <w:rsid w:val="005C256D"/>
    <w:rsid w:val="005C279F"/>
    <w:rsid w:val="005C2C93"/>
    <w:rsid w:val="005C2D16"/>
    <w:rsid w:val="005C2E4E"/>
    <w:rsid w:val="005C2ECA"/>
    <w:rsid w:val="005C2F63"/>
    <w:rsid w:val="005C353A"/>
    <w:rsid w:val="005C388B"/>
    <w:rsid w:val="005C3A72"/>
    <w:rsid w:val="005C3C9E"/>
    <w:rsid w:val="005C3D3F"/>
    <w:rsid w:val="005C419B"/>
    <w:rsid w:val="005C43E6"/>
    <w:rsid w:val="005C45DA"/>
    <w:rsid w:val="005C467D"/>
    <w:rsid w:val="005C4779"/>
    <w:rsid w:val="005C4D0D"/>
    <w:rsid w:val="005C4D6A"/>
    <w:rsid w:val="005C50CE"/>
    <w:rsid w:val="005C50D0"/>
    <w:rsid w:val="005C5249"/>
    <w:rsid w:val="005C52FE"/>
    <w:rsid w:val="005C5314"/>
    <w:rsid w:val="005C5487"/>
    <w:rsid w:val="005C57F4"/>
    <w:rsid w:val="005C5B4F"/>
    <w:rsid w:val="005C5D10"/>
    <w:rsid w:val="005C5DE7"/>
    <w:rsid w:val="005C5F87"/>
    <w:rsid w:val="005C60E2"/>
    <w:rsid w:val="005C618E"/>
    <w:rsid w:val="005C6230"/>
    <w:rsid w:val="005C6619"/>
    <w:rsid w:val="005C6745"/>
    <w:rsid w:val="005C68E3"/>
    <w:rsid w:val="005C69E1"/>
    <w:rsid w:val="005C6C76"/>
    <w:rsid w:val="005C6DE5"/>
    <w:rsid w:val="005C6FD0"/>
    <w:rsid w:val="005C7042"/>
    <w:rsid w:val="005C70A3"/>
    <w:rsid w:val="005C72E8"/>
    <w:rsid w:val="005C75C0"/>
    <w:rsid w:val="005C7724"/>
    <w:rsid w:val="005C7D1E"/>
    <w:rsid w:val="005C7F2D"/>
    <w:rsid w:val="005D00F2"/>
    <w:rsid w:val="005D0317"/>
    <w:rsid w:val="005D08FE"/>
    <w:rsid w:val="005D09ED"/>
    <w:rsid w:val="005D0ECD"/>
    <w:rsid w:val="005D103B"/>
    <w:rsid w:val="005D1127"/>
    <w:rsid w:val="005D15F4"/>
    <w:rsid w:val="005D1600"/>
    <w:rsid w:val="005D16F9"/>
    <w:rsid w:val="005D18AE"/>
    <w:rsid w:val="005D18CA"/>
    <w:rsid w:val="005D1A83"/>
    <w:rsid w:val="005D1AB5"/>
    <w:rsid w:val="005D1AFC"/>
    <w:rsid w:val="005D1C4E"/>
    <w:rsid w:val="005D2071"/>
    <w:rsid w:val="005D23DC"/>
    <w:rsid w:val="005D2425"/>
    <w:rsid w:val="005D26E5"/>
    <w:rsid w:val="005D2ABA"/>
    <w:rsid w:val="005D2C62"/>
    <w:rsid w:val="005D2C9D"/>
    <w:rsid w:val="005D2E26"/>
    <w:rsid w:val="005D2EA6"/>
    <w:rsid w:val="005D2EAE"/>
    <w:rsid w:val="005D304C"/>
    <w:rsid w:val="005D3368"/>
    <w:rsid w:val="005D3571"/>
    <w:rsid w:val="005D37C0"/>
    <w:rsid w:val="005D3975"/>
    <w:rsid w:val="005D39BE"/>
    <w:rsid w:val="005D3B50"/>
    <w:rsid w:val="005D3F4B"/>
    <w:rsid w:val="005D3F6C"/>
    <w:rsid w:val="005D4128"/>
    <w:rsid w:val="005D422E"/>
    <w:rsid w:val="005D43F0"/>
    <w:rsid w:val="005D4583"/>
    <w:rsid w:val="005D49CC"/>
    <w:rsid w:val="005D4A09"/>
    <w:rsid w:val="005D4B24"/>
    <w:rsid w:val="005D4D87"/>
    <w:rsid w:val="005D4EB4"/>
    <w:rsid w:val="005D5483"/>
    <w:rsid w:val="005D5935"/>
    <w:rsid w:val="005D593C"/>
    <w:rsid w:val="005D59CA"/>
    <w:rsid w:val="005D5C2B"/>
    <w:rsid w:val="005D5F0F"/>
    <w:rsid w:val="005D6175"/>
    <w:rsid w:val="005D6193"/>
    <w:rsid w:val="005D6234"/>
    <w:rsid w:val="005D64F6"/>
    <w:rsid w:val="005D68DD"/>
    <w:rsid w:val="005D6A64"/>
    <w:rsid w:val="005D6D46"/>
    <w:rsid w:val="005D6E84"/>
    <w:rsid w:val="005D6F36"/>
    <w:rsid w:val="005D6F60"/>
    <w:rsid w:val="005D6F67"/>
    <w:rsid w:val="005D70CE"/>
    <w:rsid w:val="005D71DF"/>
    <w:rsid w:val="005D72BE"/>
    <w:rsid w:val="005D743A"/>
    <w:rsid w:val="005D7492"/>
    <w:rsid w:val="005D7554"/>
    <w:rsid w:val="005D759D"/>
    <w:rsid w:val="005D762F"/>
    <w:rsid w:val="005D7721"/>
    <w:rsid w:val="005D78C4"/>
    <w:rsid w:val="005D78E7"/>
    <w:rsid w:val="005D7AE5"/>
    <w:rsid w:val="005D7AFE"/>
    <w:rsid w:val="005E0055"/>
    <w:rsid w:val="005E011D"/>
    <w:rsid w:val="005E01DE"/>
    <w:rsid w:val="005E051E"/>
    <w:rsid w:val="005E067E"/>
    <w:rsid w:val="005E08E7"/>
    <w:rsid w:val="005E0EB8"/>
    <w:rsid w:val="005E0EB9"/>
    <w:rsid w:val="005E0FB8"/>
    <w:rsid w:val="005E1314"/>
    <w:rsid w:val="005E1395"/>
    <w:rsid w:val="005E14AC"/>
    <w:rsid w:val="005E18BD"/>
    <w:rsid w:val="005E191B"/>
    <w:rsid w:val="005E1F01"/>
    <w:rsid w:val="005E2042"/>
    <w:rsid w:val="005E210C"/>
    <w:rsid w:val="005E219E"/>
    <w:rsid w:val="005E21E9"/>
    <w:rsid w:val="005E227C"/>
    <w:rsid w:val="005E2448"/>
    <w:rsid w:val="005E2689"/>
    <w:rsid w:val="005E2799"/>
    <w:rsid w:val="005E27D4"/>
    <w:rsid w:val="005E27D9"/>
    <w:rsid w:val="005E2A3C"/>
    <w:rsid w:val="005E2B80"/>
    <w:rsid w:val="005E2D7B"/>
    <w:rsid w:val="005E2F0A"/>
    <w:rsid w:val="005E2F6E"/>
    <w:rsid w:val="005E2FF2"/>
    <w:rsid w:val="005E3055"/>
    <w:rsid w:val="005E317A"/>
    <w:rsid w:val="005E3203"/>
    <w:rsid w:val="005E37B4"/>
    <w:rsid w:val="005E3839"/>
    <w:rsid w:val="005E384F"/>
    <w:rsid w:val="005E3A28"/>
    <w:rsid w:val="005E3C71"/>
    <w:rsid w:val="005E3D35"/>
    <w:rsid w:val="005E3D36"/>
    <w:rsid w:val="005E3DAE"/>
    <w:rsid w:val="005E3F88"/>
    <w:rsid w:val="005E41A3"/>
    <w:rsid w:val="005E41D4"/>
    <w:rsid w:val="005E45D0"/>
    <w:rsid w:val="005E4612"/>
    <w:rsid w:val="005E46E3"/>
    <w:rsid w:val="005E46E4"/>
    <w:rsid w:val="005E495F"/>
    <w:rsid w:val="005E4CA7"/>
    <w:rsid w:val="005E4DB1"/>
    <w:rsid w:val="005E4F57"/>
    <w:rsid w:val="005E4FA1"/>
    <w:rsid w:val="005E505C"/>
    <w:rsid w:val="005E52DC"/>
    <w:rsid w:val="005E5647"/>
    <w:rsid w:val="005E5794"/>
    <w:rsid w:val="005E5A11"/>
    <w:rsid w:val="005E5A9F"/>
    <w:rsid w:val="005E5AA4"/>
    <w:rsid w:val="005E5EFF"/>
    <w:rsid w:val="005E5F22"/>
    <w:rsid w:val="005E610B"/>
    <w:rsid w:val="005E6131"/>
    <w:rsid w:val="005E61E4"/>
    <w:rsid w:val="005E6388"/>
    <w:rsid w:val="005E63C8"/>
    <w:rsid w:val="005E64BD"/>
    <w:rsid w:val="005E6837"/>
    <w:rsid w:val="005E6905"/>
    <w:rsid w:val="005E6A93"/>
    <w:rsid w:val="005E6BC8"/>
    <w:rsid w:val="005E6C55"/>
    <w:rsid w:val="005E6F88"/>
    <w:rsid w:val="005E6FA0"/>
    <w:rsid w:val="005E70AC"/>
    <w:rsid w:val="005E714C"/>
    <w:rsid w:val="005E7285"/>
    <w:rsid w:val="005E737E"/>
    <w:rsid w:val="005E7397"/>
    <w:rsid w:val="005E74B9"/>
    <w:rsid w:val="005E775C"/>
    <w:rsid w:val="005E78CB"/>
    <w:rsid w:val="005E7936"/>
    <w:rsid w:val="005E7B08"/>
    <w:rsid w:val="005E7B09"/>
    <w:rsid w:val="005F00F3"/>
    <w:rsid w:val="005F0322"/>
    <w:rsid w:val="005F04CE"/>
    <w:rsid w:val="005F0645"/>
    <w:rsid w:val="005F06D6"/>
    <w:rsid w:val="005F0897"/>
    <w:rsid w:val="005F0B14"/>
    <w:rsid w:val="005F0B8E"/>
    <w:rsid w:val="005F0BFD"/>
    <w:rsid w:val="005F0C17"/>
    <w:rsid w:val="005F0CB1"/>
    <w:rsid w:val="005F0D50"/>
    <w:rsid w:val="005F0DF2"/>
    <w:rsid w:val="005F0DFA"/>
    <w:rsid w:val="005F0E11"/>
    <w:rsid w:val="005F0EF6"/>
    <w:rsid w:val="005F0F19"/>
    <w:rsid w:val="005F1291"/>
    <w:rsid w:val="005F12DF"/>
    <w:rsid w:val="005F145F"/>
    <w:rsid w:val="005F1662"/>
    <w:rsid w:val="005F1A39"/>
    <w:rsid w:val="005F1B67"/>
    <w:rsid w:val="005F1BAB"/>
    <w:rsid w:val="005F1BF5"/>
    <w:rsid w:val="005F1D0F"/>
    <w:rsid w:val="005F1F3B"/>
    <w:rsid w:val="005F1F5C"/>
    <w:rsid w:val="005F2016"/>
    <w:rsid w:val="005F208D"/>
    <w:rsid w:val="005F2326"/>
    <w:rsid w:val="005F2778"/>
    <w:rsid w:val="005F2872"/>
    <w:rsid w:val="005F2B8E"/>
    <w:rsid w:val="005F2C2A"/>
    <w:rsid w:val="005F30AD"/>
    <w:rsid w:val="005F3251"/>
    <w:rsid w:val="005F35A9"/>
    <w:rsid w:val="005F36B1"/>
    <w:rsid w:val="005F36E5"/>
    <w:rsid w:val="005F4446"/>
    <w:rsid w:val="005F44B3"/>
    <w:rsid w:val="005F4713"/>
    <w:rsid w:val="005F47BC"/>
    <w:rsid w:val="005F4819"/>
    <w:rsid w:val="005F4959"/>
    <w:rsid w:val="005F4C0D"/>
    <w:rsid w:val="005F4DF6"/>
    <w:rsid w:val="005F5067"/>
    <w:rsid w:val="005F52DD"/>
    <w:rsid w:val="005F5550"/>
    <w:rsid w:val="005F55CB"/>
    <w:rsid w:val="005F5740"/>
    <w:rsid w:val="005F5CA1"/>
    <w:rsid w:val="005F5CE7"/>
    <w:rsid w:val="005F5DAD"/>
    <w:rsid w:val="005F621B"/>
    <w:rsid w:val="005F6B23"/>
    <w:rsid w:val="005F6E86"/>
    <w:rsid w:val="005F71C2"/>
    <w:rsid w:val="005F7316"/>
    <w:rsid w:val="005F7517"/>
    <w:rsid w:val="005F758D"/>
    <w:rsid w:val="005F79A4"/>
    <w:rsid w:val="005F7A2B"/>
    <w:rsid w:val="005F7F86"/>
    <w:rsid w:val="005F7FC1"/>
    <w:rsid w:val="005F7FF4"/>
    <w:rsid w:val="005F8A9A"/>
    <w:rsid w:val="00600113"/>
    <w:rsid w:val="006005E6"/>
    <w:rsid w:val="00600748"/>
    <w:rsid w:val="00600840"/>
    <w:rsid w:val="00600903"/>
    <w:rsid w:val="006009EF"/>
    <w:rsid w:val="00600E82"/>
    <w:rsid w:val="00600F05"/>
    <w:rsid w:val="0060128D"/>
    <w:rsid w:val="006013E5"/>
    <w:rsid w:val="006015A9"/>
    <w:rsid w:val="006015C5"/>
    <w:rsid w:val="00601758"/>
    <w:rsid w:val="0060178A"/>
    <w:rsid w:val="0060197B"/>
    <w:rsid w:val="00601C1C"/>
    <w:rsid w:val="00601CFA"/>
    <w:rsid w:val="00601E9D"/>
    <w:rsid w:val="00602754"/>
    <w:rsid w:val="006029EA"/>
    <w:rsid w:val="00602B34"/>
    <w:rsid w:val="00602CD1"/>
    <w:rsid w:val="00602CF8"/>
    <w:rsid w:val="006030AC"/>
    <w:rsid w:val="006031F6"/>
    <w:rsid w:val="00603371"/>
    <w:rsid w:val="00603571"/>
    <w:rsid w:val="00603687"/>
    <w:rsid w:val="0060374A"/>
    <w:rsid w:val="00603938"/>
    <w:rsid w:val="00603BDB"/>
    <w:rsid w:val="00603C97"/>
    <w:rsid w:val="00603D03"/>
    <w:rsid w:val="00603E8B"/>
    <w:rsid w:val="00604128"/>
    <w:rsid w:val="006041A5"/>
    <w:rsid w:val="00604300"/>
    <w:rsid w:val="006045A2"/>
    <w:rsid w:val="00604743"/>
    <w:rsid w:val="00604838"/>
    <w:rsid w:val="006049F7"/>
    <w:rsid w:val="00604AA9"/>
    <w:rsid w:val="00604BA5"/>
    <w:rsid w:val="00604DB4"/>
    <w:rsid w:val="0060531E"/>
    <w:rsid w:val="00605BA3"/>
    <w:rsid w:val="00605D63"/>
    <w:rsid w:val="00605EB8"/>
    <w:rsid w:val="00605FBF"/>
    <w:rsid w:val="006060A5"/>
    <w:rsid w:val="006062AA"/>
    <w:rsid w:val="0060648F"/>
    <w:rsid w:val="006064AC"/>
    <w:rsid w:val="00606763"/>
    <w:rsid w:val="0060681C"/>
    <w:rsid w:val="0060695B"/>
    <w:rsid w:val="00606A8F"/>
    <w:rsid w:val="00606B71"/>
    <w:rsid w:val="0060707B"/>
    <w:rsid w:val="0060724C"/>
    <w:rsid w:val="0060733A"/>
    <w:rsid w:val="00607650"/>
    <w:rsid w:val="006076A7"/>
    <w:rsid w:val="006076AB"/>
    <w:rsid w:val="00607774"/>
    <w:rsid w:val="00607819"/>
    <w:rsid w:val="0060793B"/>
    <w:rsid w:val="00607C1C"/>
    <w:rsid w:val="00607CA8"/>
    <w:rsid w:val="00607CDA"/>
    <w:rsid w:val="00607D37"/>
    <w:rsid w:val="0061003F"/>
    <w:rsid w:val="00610348"/>
    <w:rsid w:val="00610377"/>
    <w:rsid w:val="006103F6"/>
    <w:rsid w:val="006108AD"/>
    <w:rsid w:val="006108F3"/>
    <w:rsid w:val="00610AF8"/>
    <w:rsid w:val="00610BA9"/>
    <w:rsid w:val="00610BCF"/>
    <w:rsid w:val="00610D21"/>
    <w:rsid w:val="00610D35"/>
    <w:rsid w:val="00610D6E"/>
    <w:rsid w:val="006112AF"/>
    <w:rsid w:val="00611348"/>
    <w:rsid w:val="0061161A"/>
    <w:rsid w:val="0061162F"/>
    <w:rsid w:val="006117C7"/>
    <w:rsid w:val="0061183D"/>
    <w:rsid w:val="00611947"/>
    <w:rsid w:val="006119C5"/>
    <w:rsid w:val="006119E7"/>
    <w:rsid w:val="00611BF7"/>
    <w:rsid w:val="00611C1D"/>
    <w:rsid w:val="00611CA8"/>
    <w:rsid w:val="00611D74"/>
    <w:rsid w:val="00611E8B"/>
    <w:rsid w:val="00611EE5"/>
    <w:rsid w:val="00611F59"/>
    <w:rsid w:val="00612239"/>
    <w:rsid w:val="00612501"/>
    <w:rsid w:val="00612855"/>
    <w:rsid w:val="00612C0E"/>
    <w:rsid w:val="006130F4"/>
    <w:rsid w:val="006131AD"/>
    <w:rsid w:val="006131C0"/>
    <w:rsid w:val="006133B0"/>
    <w:rsid w:val="00613646"/>
    <w:rsid w:val="00613676"/>
    <w:rsid w:val="006137A0"/>
    <w:rsid w:val="00613A09"/>
    <w:rsid w:val="00613AE8"/>
    <w:rsid w:val="00613C22"/>
    <w:rsid w:val="00614228"/>
    <w:rsid w:val="00614262"/>
    <w:rsid w:val="006142E1"/>
    <w:rsid w:val="006145F4"/>
    <w:rsid w:val="00614653"/>
    <w:rsid w:val="0061480B"/>
    <w:rsid w:val="00614BF0"/>
    <w:rsid w:val="00614D09"/>
    <w:rsid w:val="00614DD3"/>
    <w:rsid w:val="00614DE8"/>
    <w:rsid w:val="0061507E"/>
    <w:rsid w:val="0061510F"/>
    <w:rsid w:val="006151FC"/>
    <w:rsid w:val="006153D0"/>
    <w:rsid w:val="0061578B"/>
    <w:rsid w:val="006158F2"/>
    <w:rsid w:val="00615B80"/>
    <w:rsid w:val="00615BD2"/>
    <w:rsid w:val="00615C99"/>
    <w:rsid w:val="00615E8D"/>
    <w:rsid w:val="00615EB7"/>
    <w:rsid w:val="006162A6"/>
    <w:rsid w:val="006162E1"/>
    <w:rsid w:val="006163F1"/>
    <w:rsid w:val="006168C4"/>
    <w:rsid w:val="00616A5D"/>
    <w:rsid w:val="00616C17"/>
    <w:rsid w:val="00616C21"/>
    <w:rsid w:val="00616C37"/>
    <w:rsid w:val="00616E8F"/>
    <w:rsid w:val="00616F5A"/>
    <w:rsid w:val="006175FE"/>
    <w:rsid w:val="00617704"/>
    <w:rsid w:val="0061775E"/>
    <w:rsid w:val="00617898"/>
    <w:rsid w:val="006179B4"/>
    <w:rsid w:val="00617A43"/>
    <w:rsid w:val="00617C51"/>
    <w:rsid w:val="00617D9C"/>
    <w:rsid w:val="0062012C"/>
    <w:rsid w:val="0062017D"/>
    <w:rsid w:val="00620235"/>
    <w:rsid w:val="00620344"/>
    <w:rsid w:val="0062037E"/>
    <w:rsid w:val="00620988"/>
    <w:rsid w:val="006209D4"/>
    <w:rsid w:val="00620C35"/>
    <w:rsid w:val="00620CAE"/>
    <w:rsid w:val="006213CC"/>
    <w:rsid w:val="00621404"/>
    <w:rsid w:val="00621471"/>
    <w:rsid w:val="00621758"/>
    <w:rsid w:val="00621C4C"/>
    <w:rsid w:val="00621DBB"/>
    <w:rsid w:val="0062219A"/>
    <w:rsid w:val="006221A6"/>
    <w:rsid w:val="0062223C"/>
    <w:rsid w:val="00622269"/>
    <w:rsid w:val="00622569"/>
    <w:rsid w:val="006226E5"/>
    <w:rsid w:val="00622845"/>
    <w:rsid w:val="006229AB"/>
    <w:rsid w:val="00622AA4"/>
    <w:rsid w:val="00622EC0"/>
    <w:rsid w:val="00622FB9"/>
    <w:rsid w:val="0062311C"/>
    <w:rsid w:val="0062327E"/>
    <w:rsid w:val="006232F8"/>
    <w:rsid w:val="0062365F"/>
    <w:rsid w:val="00623830"/>
    <w:rsid w:val="006238CA"/>
    <w:rsid w:val="006238E8"/>
    <w:rsid w:val="00623987"/>
    <w:rsid w:val="006239FB"/>
    <w:rsid w:val="00623AD5"/>
    <w:rsid w:val="00623D9B"/>
    <w:rsid w:val="006240A5"/>
    <w:rsid w:val="006240B4"/>
    <w:rsid w:val="006241D0"/>
    <w:rsid w:val="0062427D"/>
    <w:rsid w:val="006243B9"/>
    <w:rsid w:val="0062442D"/>
    <w:rsid w:val="0062463E"/>
    <w:rsid w:val="00624BBB"/>
    <w:rsid w:val="00624C74"/>
    <w:rsid w:val="00624CF3"/>
    <w:rsid w:val="00624D03"/>
    <w:rsid w:val="0062504C"/>
    <w:rsid w:val="00625087"/>
    <w:rsid w:val="0062516F"/>
    <w:rsid w:val="0062543A"/>
    <w:rsid w:val="00625569"/>
    <w:rsid w:val="006256C4"/>
    <w:rsid w:val="00625790"/>
    <w:rsid w:val="00625B5B"/>
    <w:rsid w:val="00625CEE"/>
    <w:rsid w:val="00625DB5"/>
    <w:rsid w:val="00625E32"/>
    <w:rsid w:val="0062604F"/>
    <w:rsid w:val="006260AC"/>
    <w:rsid w:val="00626187"/>
    <w:rsid w:val="00626299"/>
    <w:rsid w:val="00626342"/>
    <w:rsid w:val="006265B1"/>
    <w:rsid w:val="0062665E"/>
    <w:rsid w:val="00626787"/>
    <w:rsid w:val="00626958"/>
    <w:rsid w:val="00626A6D"/>
    <w:rsid w:val="00626BAF"/>
    <w:rsid w:val="00626C4F"/>
    <w:rsid w:val="006272FE"/>
    <w:rsid w:val="00627417"/>
    <w:rsid w:val="0062784F"/>
    <w:rsid w:val="00627A5A"/>
    <w:rsid w:val="00627DD3"/>
    <w:rsid w:val="00627DDC"/>
    <w:rsid w:val="0063009C"/>
    <w:rsid w:val="00630311"/>
    <w:rsid w:val="006303D4"/>
    <w:rsid w:val="006305D9"/>
    <w:rsid w:val="0063082B"/>
    <w:rsid w:val="006308A3"/>
    <w:rsid w:val="00630CA3"/>
    <w:rsid w:val="00630EB2"/>
    <w:rsid w:val="00631489"/>
    <w:rsid w:val="0063177B"/>
    <w:rsid w:val="00631844"/>
    <w:rsid w:val="00631990"/>
    <w:rsid w:val="006319D5"/>
    <w:rsid w:val="006319DF"/>
    <w:rsid w:val="00631AC9"/>
    <w:rsid w:val="00631B52"/>
    <w:rsid w:val="00631B5F"/>
    <w:rsid w:val="00631B82"/>
    <w:rsid w:val="00631CAF"/>
    <w:rsid w:val="00631DEB"/>
    <w:rsid w:val="006320C1"/>
    <w:rsid w:val="006321CE"/>
    <w:rsid w:val="0063248E"/>
    <w:rsid w:val="0063254D"/>
    <w:rsid w:val="0063260C"/>
    <w:rsid w:val="00632613"/>
    <w:rsid w:val="00632740"/>
    <w:rsid w:val="006329E1"/>
    <w:rsid w:val="00632DE7"/>
    <w:rsid w:val="00632E71"/>
    <w:rsid w:val="006330E6"/>
    <w:rsid w:val="0063322D"/>
    <w:rsid w:val="006333BD"/>
    <w:rsid w:val="00633697"/>
    <w:rsid w:val="006337C2"/>
    <w:rsid w:val="00633854"/>
    <w:rsid w:val="00633EC3"/>
    <w:rsid w:val="00634485"/>
    <w:rsid w:val="00634542"/>
    <w:rsid w:val="0063475A"/>
    <w:rsid w:val="00634798"/>
    <w:rsid w:val="0063484F"/>
    <w:rsid w:val="0063489A"/>
    <w:rsid w:val="006348C0"/>
    <w:rsid w:val="00634A71"/>
    <w:rsid w:val="00634B5F"/>
    <w:rsid w:val="00634B81"/>
    <w:rsid w:val="00634CEC"/>
    <w:rsid w:val="00634EF2"/>
    <w:rsid w:val="00635295"/>
    <w:rsid w:val="0063537A"/>
    <w:rsid w:val="006353D2"/>
    <w:rsid w:val="006355F1"/>
    <w:rsid w:val="00635614"/>
    <w:rsid w:val="00635637"/>
    <w:rsid w:val="006357EE"/>
    <w:rsid w:val="00635895"/>
    <w:rsid w:val="0063590C"/>
    <w:rsid w:val="00635E70"/>
    <w:rsid w:val="00635FFD"/>
    <w:rsid w:val="0063605A"/>
    <w:rsid w:val="006361C5"/>
    <w:rsid w:val="006362D7"/>
    <w:rsid w:val="006365C5"/>
    <w:rsid w:val="006365F4"/>
    <w:rsid w:val="00636B92"/>
    <w:rsid w:val="00636BA9"/>
    <w:rsid w:val="00636DE7"/>
    <w:rsid w:val="00636F6F"/>
    <w:rsid w:val="0063742D"/>
    <w:rsid w:val="00637514"/>
    <w:rsid w:val="0063784E"/>
    <w:rsid w:val="00637C35"/>
    <w:rsid w:val="00637CCF"/>
    <w:rsid w:val="00637DB8"/>
    <w:rsid w:val="0063D2F2"/>
    <w:rsid w:val="00640076"/>
    <w:rsid w:val="006400A8"/>
    <w:rsid w:val="00640297"/>
    <w:rsid w:val="00640300"/>
    <w:rsid w:val="00640382"/>
    <w:rsid w:val="006403F6"/>
    <w:rsid w:val="006406EC"/>
    <w:rsid w:val="006409A9"/>
    <w:rsid w:val="00640B69"/>
    <w:rsid w:val="00640C65"/>
    <w:rsid w:val="00640F1F"/>
    <w:rsid w:val="00640F95"/>
    <w:rsid w:val="0064109E"/>
    <w:rsid w:val="00641165"/>
    <w:rsid w:val="00641196"/>
    <w:rsid w:val="00641405"/>
    <w:rsid w:val="0064140A"/>
    <w:rsid w:val="006415CF"/>
    <w:rsid w:val="0064163F"/>
    <w:rsid w:val="00641BAA"/>
    <w:rsid w:val="00641DBE"/>
    <w:rsid w:val="00641DC5"/>
    <w:rsid w:val="00642047"/>
    <w:rsid w:val="0064205B"/>
    <w:rsid w:val="006424A3"/>
    <w:rsid w:val="006424E3"/>
    <w:rsid w:val="00642942"/>
    <w:rsid w:val="00642A01"/>
    <w:rsid w:val="00642A3E"/>
    <w:rsid w:val="00642DA8"/>
    <w:rsid w:val="00643016"/>
    <w:rsid w:val="00643043"/>
    <w:rsid w:val="0064326E"/>
    <w:rsid w:val="00643729"/>
    <w:rsid w:val="00643A0F"/>
    <w:rsid w:val="00643B5B"/>
    <w:rsid w:val="00643DDD"/>
    <w:rsid w:val="00643DF4"/>
    <w:rsid w:val="00643E6F"/>
    <w:rsid w:val="00644020"/>
    <w:rsid w:val="0064428A"/>
    <w:rsid w:val="006442A7"/>
    <w:rsid w:val="006442B8"/>
    <w:rsid w:val="0064436E"/>
    <w:rsid w:val="0064453D"/>
    <w:rsid w:val="006446B2"/>
    <w:rsid w:val="006446D6"/>
    <w:rsid w:val="0064470A"/>
    <w:rsid w:val="0064476A"/>
    <w:rsid w:val="0064481F"/>
    <w:rsid w:val="006448C6"/>
    <w:rsid w:val="00644F59"/>
    <w:rsid w:val="00645184"/>
    <w:rsid w:val="006451DC"/>
    <w:rsid w:val="006451FA"/>
    <w:rsid w:val="0064542B"/>
    <w:rsid w:val="0064552D"/>
    <w:rsid w:val="006456E9"/>
    <w:rsid w:val="006459FB"/>
    <w:rsid w:val="00645BD6"/>
    <w:rsid w:val="00645F43"/>
    <w:rsid w:val="00645F9E"/>
    <w:rsid w:val="00645FB2"/>
    <w:rsid w:val="006460BF"/>
    <w:rsid w:val="00646110"/>
    <w:rsid w:val="006461DB"/>
    <w:rsid w:val="006462B6"/>
    <w:rsid w:val="006462F0"/>
    <w:rsid w:val="0064638E"/>
    <w:rsid w:val="0064659D"/>
    <w:rsid w:val="00646684"/>
    <w:rsid w:val="006469AD"/>
    <w:rsid w:val="00646A9E"/>
    <w:rsid w:val="00646AA2"/>
    <w:rsid w:val="00646AEC"/>
    <w:rsid w:val="00646AFC"/>
    <w:rsid w:val="00646EB6"/>
    <w:rsid w:val="006470DD"/>
    <w:rsid w:val="006470E4"/>
    <w:rsid w:val="0064722F"/>
    <w:rsid w:val="00647370"/>
    <w:rsid w:val="0064764B"/>
    <w:rsid w:val="006476D4"/>
    <w:rsid w:val="006476FC"/>
    <w:rsid w:val="006477A4"/>
    <w:rsid w:val="00647A4E"/>
    <w:rsid w:val="00647A9D"/>
    <w:rsid w:val="00647B05"/>
    <w:rsid w:val="00647B2E"/>
    <w:rsid w:val="00647F0A"/>
    <w:rsid w:val="00650119"/>
    <w:rsid w:val="00650435"/>
    <w:rsid w:val="0065050A"/>
    <w:rsid w:val="006505DB"/>
    <w:rsid w:val="006506B1"/>
    <w:rsid w:val="00650B10"/>
    <w:rsid w:val="00650B97"/>
    <w:rsid w:val="00650B9E"/>
    <w:rsid w:val="00650D0E"/>
    <w:rsid w:val="00650DA5"/>
    <w:rsid w:val="00650DD6"/>
    <w:rsid w:val="00650E61"/>
    <w:rsid w:val="00651044"/>
    <w:rsid w:val="006511C9"/>
    <w:rsid w:val="006512CC"/>
    <w:rsid w:val="00651303"/>
    <w:rsid w:val="00651438"/>
    <w:rsid w:val="006517EE"/>
    <w:rsid w:val="0065187F"/>
    <w:rsid w:val="006518C8"/>
    <w:rsid w:val="00651A62"/>
    <w:rsid w:val="00651E8E"/>
    <w:rsid w:val="006521F5"/>
    <w:rsid w:val="006523FC"/>
    <w:rsid w:val="0065241E"/>
    <w:rsid w:val="006524BF"/>
    <w:rsid w:val="006525AC"/>
    <w:rsid w:val="006527AF"/>
    <w:rsid w:val="006528FA"/>
    <w:rsid w:val="00652BEB"/>
    <w:rsid w:val="00652C87"/>
    <w:rsid w:val="00652CEF"/>
    <w:rsid w:val="00652D2E"/>
    <w:rsid w:val="00652D65"/>
    <w:rsid w:val="00653007"/>
    <w:rsid w:val="006531BD"/>
    <w:rsid w:val="006531E0"/>
    <w:rsid w:val="00653596"/>
    <w:rsid w:val="00653763"/>
    <w:rsid w:val="00653905"/>
    <w:rsid w:val="00653A64"/>
    <w:rsid w:val="00653C0E"/>
    <w:rsid w:val="00653D3A"/>
    <w:rsid w:val="00653D86"/>
    <w:rsid w:val="00653E61"/>
    <w:rsid w:val="00653F09"/>
    <w:rsid w:val="006542E3"/>
    <w:rsid w:val="00654396"/>
    <w:rsid w:val="006546C1"/>
    <w:rsid w:val="00654A19"/>
    <w:rsid w:val="00654DDB"/>
    <w:rsid w:val="00655028"/>
    <w:rsid w:val="006551F3"/>
    <w:rsid w:val="006553D3"/>
    <w:rsid w:val="006553ED"/>
    <w:rsid w:val="00655513"/>
    <w:rsid w:val="0065568C"/>
    <w:rsid w:val="0065581F"/>
    <w:rsid w:val="00655BEC"/>
    <w:rsid w:val="00655F9F"/>
    <w:rsid w:val="006565DE"/>
    <w:rsid w:val="006565FD"/>
    <w:rsid w:val="006566C3"/>
    <w:rsid w:val="006568E2"/>
    <w:rsid w:val="006568F2"/>
    <w:rsid w:val="00656BC1"/>
    <w:rsid w:val="00656BCD"/>
    <w:rsid w:val="00656C91"/>
    <w:rsid w:val="00656DBC"/>
    <w:rsid w:val="00656E90"/>
    <w:rsid w:val="00656F93"/>
    <w:rsid w:val="006573D3"/>
    <w:rsid w:val="006576B5"/>
    <w:rsid w:val="0065778C"/>
    <w:rsid w:val="006578FB"/>
    <w:rsid w:val="00657FA0"/>
    <w:rsid w:val="0066004C"/>
    <w:rsid w:val="00660162"/>
    <w:rsid w:val="00660230"/>
    <w:rsid w:val="0066031E"/>
    <w:rsid w:val="00660441"/>
    <w:rsid w:val="00660735"/>
    <w:rsid w:val="006608F4"/>
    <w:rsid w:val="00660969"/>
    <w:rsid w:val="00660A57"/>
    <w:rsid w:val="006613A0"/>
    <w:rsid w:val="006613F9"/>
    <w:rsid w:val="00661517"/>
    <w:rsid w:val="00661599"/>
    <w:rsid w:val="00661671"/>
    <w:rsid w:val="00661741"/>
    <w:rsid w:val="00661B06"/>
    <w:rsid w:val="00661CC9"/>
    <w:rsid w:val="00661ECD"/>
    <w:rsid w:val="00661EEA"/>
    <w:rsid w:val="00661FFF"/>
    <w:rsid w:val="0066208B"/>
    <w:rsid w:val="006623F9"/>
    <w:rsid w:val="00662524"/>
    <w:rsid w:val="0066264E"/>
    <w:rsid w:val="006627AF"/>
    <w:rsid w:val="00662881"/>
    <w:rsid w:val="00662C80"/>
    <w:rsid w:val="00662CB5"/>
    <w:rsid w:val="00662DED"/>
    <w:rsid w:val="00662FBD"/>
    <w:rsid w:val="0066314E"/>
    <w:rsid w:val="006632CC"/>
    <w:rsid w:val="0066346B"/>
    <w:rsid w:val="0066353B"/>
    <w:rsid w:val="00663842"/>
    <w:rsid w:val="00663CB2"/>
    <w:rsid w:val="00663CC9"/>
    <w:rsid w:val="00663D07"/>
    <w:rsid w:val="00663E83"/>
    <w:rsid w:val="006640AF"/>
    <w:rsid w:val="00664147"/>
    <w:rsid w:val="0066465D"/>
    <w:rsid w:val="006646D6"/>
    <w:rsid w:val="006646DF"/>
    <w:rsid w:val="006647A0"/>
    <w:rsid w:val="006647F6"/>
    <w:rsid w:val="0066483E"/>
    <w:rsid w:val="0066488E"/>
    <w:rsid w:val="006649C9"/>
    <w:rsid w:val="00664ADA"/>
    <w:rsid w:val="00664B35"/>
    <w:rsid w:val="00664FAA"/>
    <w:rsid w:val="006653AB"/>
    <w:rsid w:val="0066552F"/>
    <w:rsid w:val="00665694"/>
    <w:rsid w:val="0066585A"/>
    <w:rsid w:val="00665A70"/>
    <w:rsid w:val="00665AF5"/>
    <w:rsid w:val="00665B24"/>
    <w:rsid w:val="00665BDA"/>
    <w:rsid w:val="00665DDC"/>
    <w:rsid w:val="00665E87"/>
    <w:rsid w:val="00665F04"/>
    <w:rsid w:val="00665F60"/>
    <w:rsid w:val="0066645D"/>
    <w:rsid w:val="0066662C"/>
    <w:rsid w:val="0066686A"/>
    <w:rsid w:val="00666B60"/>
    <w:rsid w:val="00666BC5"/>
    <w:rsid w:val="00666C53"/>
    <w:rsid w:val="00666CB3"/>
    <w:rsid w:val="00666EBC"/>
    <w:rsid w:val="00666ECA"/>
    <w:rsid w:val="00666F90"/>
    <w:rsid w:val="006670C2"/>
    <w:rsid w:val="0066719C"/>
    <w:rsid w:val="006672B4"/>
    <w:rsid w:val="0066749B"/>
    <w:rsid w:val="006675F0"/>
    <w:rsid w:val="00667D6B"/>
    <w:rsid w:val="00667E5E"/>
    <w:rsid w:val="0067000A"/>
    <w:rsid w:val="0067000C"/>
    <w:rsid w:val="00670105"/>
    <w:rsid w:val="006701EA"/>
    <w:rsid w:val="0067026C"/>
    <w:rsid w:val="006702DD"/>
    <w:rsid w:val="00670445"/>
    <w:rsid w:val="00670672"/>
    <w:rsid w:val="006707B8"/>
    <w:rsid w:val="006710BD"/>
    <w:rsid w:val="00671479"/>
    <w:rsid w:val="006718BE"/>
    <w:rsid w:val="00671A69"/>
    <w:rsid w:val="00671D9B"/>
    <w:rsid w:val="00671E25"/>
    <w:rsid w:val="00671F0C"/>
    <w:rsid w:val="00671FD6"/>
    <w:rsid w:val="006723A9"/>
    <w:rsid w:val="006723FB"/>
    <w:rsid w:val="0067256B"/>
    <w:rsid w:val="00672744"/>
    <w:rsid w:val="00672AB8"/>
    <w:rsid w:val="00672B87"/>
    <w:rsid w:val="00672C06"/>
    <w:rsid w:val="00672E74"/>
    <w:rsid w:val="006730B6"/>
    <w:rsid w:val="006730BA"/>
    <w:rsid w:val="0067311F"/>
    <w:rsid w:val="0067330F"/>
    <w:rsid w:val="006733D2"/>
    <w:rsid w:val="006733F2"/>
    <w:rsid w:val="00673415"/>
    <w:rsid w:val="00673773"/>
    <w:rsid w:val="00673884"/>
    <w:rsid w:val="006738A4"/>
    <w:rsid w:val="006738B6"/>
    <w:rsid w:val="006739F2"/>
    <w:rsid w:val="00673A2F"/>
    <w:rsid w:val="00673ABA"/>
    <w:rsid w:val="00673F58"/>
    <w:rsid w:val="006741E7"/>
    <w:rsid w:val="0067425F"/>
    <w:rsid w:val="0067441C"/>
    <w:rsid w:val="00674455"/>
    <w:rsid w:val="0067451A"/>
    <w:rsid w:val="0067459C"/>
    <w:rsid w:val="00674690"/>
    <w:rsid w:val="006747B9"/>
    <w:rsid w:val="00674836"/>
    <w:rsid w:val="00674D34"/>
    <w:rsid w:val="00674D97"/>
    <w:rsid w:val="00674F2B"/>
    <w:rsid w:val="00674F88"/>
    <w:rsid w:val="00674FCB"/>
    <w:rsid w:val="00675034"/>
    <w:rsid w:val="0067511F"/>
    <w:rsid w:val="00675161"/>
    <w:rsid w:val="006751C3"/>
    <w:rsid w:val="00675220"/>
    <w:rsid w:val="0067528D"/>
    <w:rsid w:val="006756FF"/>
    <w:rsid w:val="00675981"/>
    <w:rsid w:val="00675A62"/>
    <w:rsid w:val="00675A79"/>
    <w:rsid w:val="00675C22"/>
    <w:rsid w:val="00675C24"/>
    <w:rsid w:val="00675DA6"/>
    <w:rsid w:val="00675E31"/>
    <w:rsid w:val="006760F9"/>
    <w:rsid w:val="0067644F"/>
    <w:rsid w:val="00676680"/>
    <w:rsid w:val="006766D8"/>
    <w:rsid w:val="00676B0E"/>
    <w:rsid w:val="00676B16"/>
    <w:rsid w:val="00676DBC"/>
    <w:rsid w:val="00676F31"/>
    <w:rsid w:val="00676FA5"/>
    <w:rsid w:val="0067704E"/>
    <w:rsid w:val="006770A2"/>
    <w:rsid w:val="00677767"/>
    <w:rsid w:val="0067798E"/>
    <w:rsid w:val="00677A61"/>
    <w:rsid w:val="00677CD7"/>
    <w:rsid w:val="00677D1E"/>
    <w:rsid w:val="00677D27"/>
    <w:rsid w:val="00677E84"/>
    <w:rsid w:val="00680058"/>
    <w:rsid w:val="0068009A"/>
    <w:rsid w:val="0068018F"/>
    <w:rsid w:val="00680226"/>
    <w:rsid w:val="00680248"/>
    <w:rsid w:val="006802A3"/>
    <w:rsid w:val="00680527"/>
    <w:rsid w:val="00680565"/>
    <w:rsid w:val="00680735"/>
    <w:rsid w:val="00680833"/>
    <w:rsid w:val="0068089C"/>
    <w:rsid w:val="006809C4"/>
    <w:rsid w:val="00680AA4"/>
    <w:rsid w:val="00680AA8"/>
    <w:rsid w:val="00680AB6"/>
    <w:rsid w:val="00680ACA"/>
    <w:rsid w:val="00680ECA"/>
    <w:rsid w:val="00680FE9"/>
    <w:rsid w:val="00681122"/>
    <w:rsid w:val="00681460"/>
    <w:rsid w:val="006814DA"/>
    <w:rsid w:val="00681554"/>
    <w:rsid w:val="00681659"/>
    <w:rsid w:val="00681712"/>
    <w:rsid w:val="00681828"/>
    <w:rsid w:val="00681A12"/>
    <w:rsid w:val="0068204F"/>
    <w:rsid w:val="00682122"/>
    <w:rsid w:val="006822D3"/>
    <w:rsid w:val="00682327"/>
    <w:rsid w:val="006827F2"/>
    <w:rsid w:val="00683009"/>
    <w:rsid w:val="00683296"/>
    <w:rsid w:val="0068387B"/>
    <w:rsid w:val="00683B57"/>
    <w:rsid w:val="00683CDB"/>
    <w:rsid w:val="00683D69"/>
    <w:rsid w:val="00683F01"/>
    <w:rsid w:val="0068414D"/>
    <w:rsid w:val="0068417C"/>
    <w:rsid w:val="006842BF"/>
    <w:rsid w:val="00684382"/>
    <w:rsid w:val="006843D9"/>
    <w:rsid w:val="00684583"/>
    <w:rsid w:val="006846AC"/>
    <w:rsid w:val="006847A1"/>
    <w:rsid w:val="00684CC9"/>
    <w:rsid w:val="00684DFB"/>
    <w:rsid w:val="00684E87"/>
    <w:rsid w:val="00684E9D"/>
    <w:rsid w:val="0068501D"/>
    <w:rsid w:val="00685152"/>
    <w:rsid w:val="006852DC"/>
    <w:rsid w:val="0068531A"/>
    <w:rsid w:val="0068555B"/>
    <w:rsid w:val="00685998"/>
    <w:rsid w:val="00685A6C"/>
    <w:rsid w:val="00685B8C"/>
    <w:rsid w:val="00685BB7"/>
    <w:rsid w:val="00685D5A"/>
    <w:rsid w:val="00685F2C"/>
    <w:rsid w:val="00686103"/>
    <w:rsid w:val="00686119"/>
    <w:rsid w:val="00686278"/>
    <w:rsid w:val="006862C1"/>
    <w:rsid w:val="00686548"/>
    <w:rsid w:val="0068689B"/>
    <w:rsid w:val="006868DB"/>
    <w:rsid w:val="0068691A"/>
    <w:rsid w:val="00686C0A"/>
    <w:rsid w:val="00686D03"/>
    <w:rsid w:val="0068728F"/>
    <w:rsid w:val="006873A9"/>
    <w:rsid w:val="006874A5"/>
    <w:rsid w:val="006874AF"/>
    <w:rsid w:val="00687527"/>
    <w:rsid w:val="00687607"/>
    <w:rsid w:val="00687990"/>
    <w:rsid w:val="00687B23"/>
    <w:rsid w:val="00687C19"/>
    <w:rsid w:val="00687DB2"/>
    <w:rsid w:val="00687DEA"/>
    <w:rsid w:val="00687DF8"/>
    <w:rsid w:val="0069016F"/>
    <w:rsid w:val="0069024E"/>
    <w:rsid w:val="006905AA"/>
    <w:rsid w:val="0069090A"/>
    <w:rsid w:val="00690AF7"/>
    <w:rsid w:val="00690D15"/>
    <w:rsid w:val="00690D9D"/>
    <w:rsid w:val="00690DB8"/>
    <w:rsid w:val="00690DFA"/>
    <w:rsid w:val="00690E0F"/>
    <w:rsid w:val="006911DF"/>
    <w:rsid w:val="006912BB"/>
    <w:rsid w:val="006913C5"/>
    <w:rsid w:val="006913C7"/>
    <w:rsid w:val="00691418"/>
    <w:rsid w:val="00691979"/>
    <w:rsid w:val="00691ACA"/>
    <w:rsid w:val="00691AD6"/>
    <w:rsid w:val="00691DEC"/>
    <w:rsid w:val="00691E7C"/>
    <w:rsid w:val="00691EE1"/>
    <w:rsid w:val="0069210A"/>
    <w:rsid w:val="0069214E"/>
    <w:rsid w:val="00692322"/>
    <w:rsid w:val="006924AD"/>
    <w:rsid w:val="00692780"/>
    <w:rsid w:val="00692A8C"/>
    <w:rsid w:val="00692CE8"/>
    <w:rsid w:val="00692E35"/>
    <w:rsid w:val="00692E7C"/>
    <w:rsid w:val="00692FC5"/>
    <w:rsid w:val="00693066"/>
    <w:rsid w:val="0069329B"/>
    <w:rsid w:val="0069337A"/>
    <w:rsid w:val="0069337E"/>
    <w:rsid w:val="0069346B"/>
    <w:rsid w:val="006934F1"/>
    <w:rsid w:val="006938B7"/>
    <w:rsid w:val="006938CF"/>
    <w:rsid w:val="006939EA"/>
    <w:rsid w:val="00693B84"/>
    <w:rsid w:val="00693E45"/>
    <w:rsid w:val="00693FB1"/>
    <w:rsid w:val="00693FE7"/>
    <w:rsid w:val="00694019"/>
    <w:rsid w:val="00694135"/>
    <w:rsid w:val="006941FA"/>
    <w:rsid w:val="00694418"/>
    <w:rsid w:val="0069491F"/>
    <w:rsid w:val="006949DD"/>
    <w:rsid w:val="00694D96"/>
    <w:rsid w:val="00694EC4"/>
    <w:rsid w:val="00694FB8"/>
    <w:rsid w:val="00694FD5"/>
    <w:rsid w:val="00695321"/>
    <w:rsid w:val="00695571"/>
    <w:rsid w:val="0069574E"/>
    <w:rsid w:val="00695799"/>
    <w:rsid w:val="00695966"/>
    <w:rsid w:val="00695999"/>
    <w:rsid w:val="006959DF"/>
    <w:rsid w:val="00695D35"/>
    <w:rsid w:val="00695E47"/>
    <w:rsid w:val="0069616E"/>
    <w:rsid w:val="006968C7"/>
    <w:rsid w:val="006969A9"/>
    <w:rsid w:val="00696A2B"/>
    <w:rsid w:val="00696A77"/>
    <w:rsid w:val="00696B41"/>
    <w:rsid w:val="00696B6F"/>
    <w:rsid w:val="00696F85"/>
    <w:rsid w:val="006971A2"/>
    <w:rsid w:val="006972E1"/>
    <w:rsid w:val="00697350"/>
    <w:rsid w:val="006973FE"/>
    <w:rsid w:val="0069751F"/>
    <w:rsid w:val="006976AD"/>
    <w:rsid w:val="006978E7"/>
    <w:rsid w:val="00697B4E"/>
    <w:rsid w:val="006A016C"/>
    <w:rsid w:val="006A0200"/>
    <w:rsid w:val="006A03C5"/>
    <w:rsid w:val="006A03E7"/>
    <w:rsid w:val="006A044D"/>
    <w:rsid w:val="006A0490"/>
    <w:rsid w:val="006A05EB"/>
    <w:rsid w:val="006A06BC"/>
    <w:rsid w:val="006A08D8"/>
    <w:rsid w:val="006A0965"/>
    <w:rsid w:val="006A09CA"/>
    <w:rsid w:val="006A0AC0"/>
    <w:rsid w:val="006A0AF5"/>
    <w:rsid w:val="006A0FE5"/>
    <w:rsid w:val="006A10D4"/>
    <w:rsid w:val="006A1139"/>
    <w:rsid w:val="006A118C"/>
    <w:rsid w:val="006A1271"/>
    <w:rsid w:val="006A150E"/>
    <w:rsid w:val="006A17C1"/>
    <w:rsid w:val="006A19C4"/>
    <w:rsid w:val="006A1A23"/>
    <w:rsid w:val="006A2071"/>
    <w:rsid w:val="006A20B6"/>
    <w:rsid w:val="006A2694"/>
    <w:rsid w:val="006A295C"/>
    <w:rsid w:val="006A29C0"/>
    <w:rsid w:val="006A2AD6"/>
    <w:rsid w:val="006A2B79"/>
    <w:rsid w:val="006A2C23"/>
    <w:rsid w:val="006A2E6B"/>
    <w:rsid w:val="006A3076"/>
    <w:rsid w:val="006A3198"/>
    <w:rsid w:val="006A3299"/>
    <w:rsid w:val="006A3341"/>
    <w:rsid w:val="006A3415"/>
    <w:rsid w:val="006A341B"/>
    <w:rsid w:val="006A348F"/>
    <w:rsid w:val="006A358F"/>
    <w:rsid w:val="006A3934"/>
    <w:rsid w:val="006A3A33"/>
    <w:rsid w:val="006A3B9D"/>
    <w:rsid w:val="006A41FA"/>
    <w:rsid w:val="006A4490"/>
    <w:rsid w:val="006A4901"/>
    <w:rsid w:val="006A4AAB"/>
    <w:rsid w:val="006A4B91"/>
    <w:rsid w:val="006A5204"/>
    <w:rsid w:val="006A5222"/>
    <w:rsid w:val="006A532B"/>
    <w:rsid w:val="006A540D"/>
    <w:rsid w:val="006A5592"/>
    <w:rsid w:val="006A58BE"/>
    <w:rsid w:val="006A5BE6"/>
    <w:rsid w:val="006A6279"/>
    <w:rsid w:val="006A6359"/>
    <w:rsid w:val="006A63AE"/>
    <w:rsid w:val="006A64DE"/>
    <w:rsid w:val="006A6637"/>
    <w:rsid w:val="006A66FA"/>
    <w:rsid w:val="006A687C"/>
    <w:rsid w:val="006A6B35"/>
    <w:rsid w:val="006A6BF7"/>
    <w:rsid w:val="006A6E8C"/>
    <w:rsid w:val="006A6F6D"/>
    <w:rsid w:val="006A708B"/>
    <w:rsid w:val="006A7167"/>
    <w:rsid w:val="006A7290"/>
    <w:rsid w:val="006A7334"/>
    <w:rsid w:val="006A74AA"/>
    <w:rsid w:val="006A76A2"/>
    <w:rsid w:val="006A7854"/>
    <w:rsid w:val="006A7A40"/>
    <w:rsid w:val="006A7B94"/>
    <w:rsid w:val="006A7C1B"/>
    <w:rsid w:val="006A7D15"/>
    <w:rsid w:val="006A7D7A"/>
    <w:rsid w:val="006B0674"/>
    <w:rsid w:val="006B06DC"/>
    <w:rsid w:val="006B0724"/>
    <w:rsid w:val="006B0763"/>
    <w:rsid w:val="006B0926"/>
    <w:rsid w:val="006B094E"/>
    <w:rsid w:val="006B0C41"/>
    <w:rsid w:val="006B0C42"/>
    <w:rsid w:val="006B0CED"/>
    <w:rsid w:val="006B10FB"/>
    <w:rsid w:val="006B1270"/>
    <w:rsid w:val="006B12A9"/>
    <w:rsid w:val="006B12E2"/>
    <w:rsid w:val="006B1368"/>
    <w:rsid w:val="006B1615"/>
    <w:rsid w:val="006B16AB"/>
    <w:rsid w:val="006B16D6"/>
    <w:rsid w:val="006B16D8"/>
    <w:rsid w:val="006B1708"/>
    <w:rsid w:val="006B1748"/>
    <w:rsid w:val="006B17A4"/>
    <w:rsid w:val="006B1891"/>
    <w:rsid w:val="006B18EE"/>
    <w:rsid w:val="006B1974"/>
    <w:rsid w:val="006B1B43"/>
    <w:rsid w:val="006B1C2E"/>
    <w:rsid w:val="006B2291"/>
    <w:rsid w:val="006B2469"/>
    <w:rsid w:val="006B2535"/>
    <w:rsid w:val="006B28D7"/>
    <w:rsid w:val="006B2E3F"/>
    <w:rsid w:val="006B3196"/>
    <w:rsid w:val="006B33A8"/>
    <w:rsid w:val="006B3785"/>
    <w:rsid w:val="006B3786"/>
    <w:rsid w:val="006B37F3"/>
    <w:rsid w:val="006B380A"/>
    <w:rsid w:val="006B385D"/>
    <w:rsid w:val="006B3AB6"/>
    <w:rsid w:val="006B3CE8"/>
    <w:rsid w:val="006B40E3"/>
    <w:rsid w:val="006B40EF"/>
    <w:rsid w:val="006B4135"/>
    <w:rsid w:val="006B4175"/>
    <w:rsid w:val="006B46A9"/>
    <w:rsid w:val="006B497C"/>
    <w:rsid w:val="006B4C71"/>
    <w:rsid w:val="006B4EB7"/>
    <w:rsid w:val="006B4EC0"/>
    <w:rsid w:val="006B4EC9"/>
    <w:rsid w:val="006B4F40"/>
    <w:rsid w:val="006B5235"/>
    <w:rsid w:val="006B5421"/>
    <w:rsid w:val="006B549F"/>
    <w:rsid w:val="006B5504"/>
    <w:rsid w:val="006B5615"/>
    <w:rsid w:val="006B5AA3"/>
    <w:rsid w:val="006B5B1F"/>
    <w:rsid w:val="006B5CDF"/>
    <w:rsid w:val="006B5D81"/>
    <w:rsid w:val="006B5E42"/>
    <w:rsid w:val="006B5EB5"/>
    <w:rsid w:val="006B5F4A"/>
    <w:rsid w:val="006B6036"/>
    <w:rsid w:val="006B6942"/>
    <w:rsid w:val="006B69D3"/>
    <w:rsid w:val="006B6AD9"/>
    <w:rsid w:val="006B6C8A"/>
    <w:rsid w:val="006B6D0B"/>
    <w:rsid w:val="006B6E31"/>
    <w:rsid w:val="006B702D"/>
    <w:rsid w:val="006B707A"/>
    <w:rsid w:val="006B7111"/>
    <w:rsid w:val="006B72D2"/>
    <w:rsid w:val="006B7659"/>
    <w:rsid w:val="006B76D3"/>
    <w:rsid w:val="006B7906"/>
    <w:rsid w:val="006B7BF4"/>
    <w:rsid w:val="006B7D30"/>
    <w:rsid w:val="006B7DAB"/>
    <w:rsid w:val="006C0256"/>
    <w:rsid w:val="006C0379"/>
    <w:rsid w:val="006C051C"/>
    <w:rsid w:val="006C054B"/>
    <w:rsid w:val="006C0691"/>
    <w:rsid w:val="006C0B57"/>
    <w:rsid w:val="006C0BBD"/>
    <w:rsid w:val="006C0D3C"/>
    <w:rsid w:val="006C0DC8"/>
    <w:rsid w:val="006C0DCD"/>
    <w:rsid w:val="006C1205"/>
    <w:rsid w:val="006C1261"/>
    <w:rsid w:val="006C1420"/>
    <w:rsid w:val="006C16F1"/>
    <w:rsid w:val="006C1822"/>
    <w:rsid w:val="006C191B"/>
    <w:rsid w:val="006C1A01"/>
    <w:rsid w:val="006C1B6F"/>
    <w:rsid w:val="006C1EA3"/>
    <w:rsid w:val="006C1F2C"/>
    <w:rsid w:val="006C1FF9"/>
    <w:rsid w:val="006C207C"/>
    <w:rsid w:val="006C23C1"/>
    <w:rsid w:val="006C23D2"/>
    <w:rsid w:val="006C2462"/>
    <w:rsid w:val="006C28F1"/>
    <w:rsid w:val="006C2A10"/>
    <w:rsid w:val="006C2CE0"/>
    <w:rsid w:val="006C2E54"/>
    <w:rsid w:val="006C2E8C"/>
    <w:rsid w:val="006C2EDE"/>
    <w:rsid w:val="006C2F32"/>
    <w:rsid w:val="006C2FA6"/>
    <w:rsid w:val="006C2FF7"/>
    <w:rsid w:val="006C3084"/>
    <w:rsid w:val="006C30C9"/>
    <w:rsid w:val="006C32C7"/>
    <w:rsid w:val="006C35D8"/>
    <w:rsid w:val="006C3600"/>
    <w:rsid w:val="006C3638"/>
    <w:rsid w:val="006C36AE"/>
    <w:rsid w:val="006C384D"/>
    <w:rsid w:val="006C396F"/>
    <w:rsid w:val="006C3A74"/>
    <w:rsid w:val="006C3AEC"/>
    <w:rsid w:val="006C3B1C"/>
    <w:rsid w:val="006C3C0A"/>
    <w:rsid w:val="006C3DB6"/>
    <w:rsid w:val="006C3EE4"/>
    <w:rsid w:val="006C4042"/>
    <w:rsid w:val="006C4061"/>
    <w:rsid w:val="006C40EF"/>
    <w:rsid w:val="006C41ED"/>
    <w:rsid w:val="006C4242"/>
    <w:rsid w:val="006C43CE"/>
    <w:rsid w:val="006C44BC"/>
    <w:rsid w:val="006C450C"/>
    <w:rsid w:val="006C4703"/>
    <w:rsid w:val="006C499F"/>
    <w:rsid w:val="006C4CEB"/>
    <w:rsid w:val="006C4FD9"/>
    <w:rsid w:val="006C55E9"/>
    <w:rsid w:val="006C5953"/>
    <w:rsid w:val="006C5EB6"/>
    <w:rsid w:val="006C61D5"/>
    <w:rsid w:val="006C624C"/>
    <w:rsid w:val="006C645A"/>
    <w:rsid w:val="006C6500"/>
    <w:rsid w:val="006C657A"/>
    <w:rsid w:val="006C66CA"/>
    <w:rsid w:val="006C66FF"/>
    <w:rsid w:val="006C67C8"/>
    <w:rsid w:val="006C6990"/>
    <w:rsid w:val="006C6CD4"/>
    <w:rsid w:val="006C6DD3"/>
    <w:rsid w:val="006C6E33"/>
    <w:rsid w:val="006C6E4F"/>
    <w:rsid w:val="006C6E95"/>
    <w:rsid w:val="006C6EC2"/>
    <w:rsid w:val="006C7233"/>
    <w:rsid w:val="006C7375"/>
    <w:rsid w:val="006C77CD"/>
    <w:rsid w:val="006C7878"/>
    <w:rsid w:val="006C789C"/>
    <w:rsid w:val="006C78D2"/>
    <w:rsid w:val="006C7940"/>
    <w:rsid w:val="006C7CDC"/>
    <w:rsid w:val="006D03FA"/>
    <w:rsid w:val="006D0B70"/>
    <w:rsid w:val="006D0C63"/>
    <w:rsid w:val="006D0CAC"/>
    <w:rsid w:val="006D0CC6"/>
    <w:rsid w:val="006D0D96"/>
    <w:rsid w:val="006D0E0B"/>
    <w:rsid w:val="006D0E35"/>
    <w:rsid w:val="006D0F4A"/>
    <w:rsid w:val="006D1636"/>
    <w:rsid w:val="006D16D3"/>
    <w:rsid w:val="006D1DF5"/>
    <w:rsid w:val="006D1E29"/>
    <w:rsid w:val="006D20C4"/>
    <w:rsid w:val="006D21FB"/>
    <w:rsid w:val="006D2BC0"/>
    <w:rsid w:val="006D2EB3"/>
    <w:rsid w:val="006D2EB5"/>
    <w:rsid w:val="006D2F91"/>
    <w:rsid w:val="006D335F"/>
    <w:rsid w:val="006D33E8"/>
    <w:rsid w:val="006D33FE"/>
    <w:rsid w:val="006D3417"/>
    <w:rsid w:val="006D3538"/>
    <w:rsid w:val="006D3547"/>
    <w:rsid w:val="006D36FC"/>
    <w:rsid w:val="006D375E"/>
    <w:rsid w:val="006D3ADC"/>
    <w:rsid w:val="006D3AE0"/>
    <w:rsid w:val="006D3BF5"/>
    <w:rsid w:val="006D3C69"/>
    <w:rsid w:val="006D3DE4"/>
    <w:rsid w:val="006D3E13"/>
    <w:rsid w:val="006D3FF2"/>
    <w:rsid w:val="006D418C"/>
    <w:rsid w:val="006D425C"/>
    <w:rsid w:val="006D43B3"/>
    <w:rsid w:val="006D43F9"/>
    <w:rsid w:val="006D4453"/>
    <w:rsid w:val="006D4499"/>
    <w:rsid w:val="006D464E"/>
    <w:rsid w:val="006D47B3"/>
    <w:rsid w:val="006D4BC7"/>
    <w:rsid w:val="006D4DBB"/>
    <w:rsid w:val="006D4FFF"/>
    <w:rsid w:val="006D5493"/>
    <w:rsid w:val="006D59C5"/>
    <w:rsid w:val="006D5C0E"/>
    <w:rsid w:val="006D5CC9"/>
    <w:rsid w:val="006D5E53"/>
    <w:rsid w:val="006D5EA4"/>
    <w:rsid w:val="006D5ECA"/>
    <w:rsid w:val="006D5FD3"/>
    <w:rsid w:val="006D66BB"/>
    <w:rsid w:val="006D66EC"/>
    <w:rsid w:val="006D675F"/>
    <w:rsid w:val="006D6A34"/>
    <w:rsid w:val="006D6BDE"/>
    <w:rsid w:val="006D6DBF"/>
    <w:rsid w:val="006D6DC7"/>
    <w:rsid w:val="006D6EED"/>
    <w:rsid w:val="006D6F22"/>
    <w:rsid w:val="006D6FE9"/>
    <w:rsid w:val="006D7020"/>
    <w:rsid w:val="006D7200"/>
    <w:rsid w:val="006D756E"/>
    <w:rsid w:val="006D75F5"/>
    <w:rsid w:val="006D764C"/>
    <w:rsid w:val="006D76E4"/>
    <w:rsid w:val="006D7950"/>
    <w:rsid w:val="006D7AC1"/>
    <w:rsid w:val="006D7B68"/>
    <w:rsid w:val="006D7CC7"/>
    <w:rsid w:val="006D7F32"/>
    <w:rsid w:val="006DA1EE"/>
    <w:rsid w:val="006E01DF"/>
    <w:rsid w:val="006E022E"/>
    <w:rsid w:val="006E03F2"/>
    <w:rsid w:val="006E0510"/>
    <w:rsid w:val="006E0761"/>
    <w:rsid w:val="006E07AE"/>
    <w:rsid w:val="006E0927"/>
    <w:rsid w:val="006E0A0F"/>
    <w:rsid w:val="006E0A12"/>
    <w:rsid w:val="006E0FC1"/>
    <w:rsid w:val="006E0FC2"/>
    <w:rsid w:val="006E1227"/>
    <w:rsid w:val="006E1458"/>
    <w:rsid w:val="006E15BC"/>
    <w:rsid w:val="006E1662"/>
    <w:rsid w:val="006E183E"/>
    <w:rsid w:val="006E188C"/>
    <w:rsid w:val="006E197D"/>
    <w:rsid w:val="006E1A3C"/>
    <w:rsid w:val="006E1C35"/>
    <w:rsid w:val="006E2146"/>
    <w:rsid w:val="006E254F"/>
    <w:rsid w:val="006E2612"/>
    <w:rsid w:val="006E26C9"/>
    <w:rsid w:val="006E2A08"/>
    <w:rsid w:val="006E2CE3"/>
    <w:rsid w:val="006E2CEA"/>
    <w:rsid w:val="006E2DAE"/>
    <w:rsid w:val="006E2E59"/>
    <w:rsid w:val="006E2F36"/>
    <w:rsid w:val="006E2FC6"/>
    <w:rsid w:val="006E305E"/>
    <w:rsid w:val="006E3108"/>
    <w:rsid w:val="006E31DE"/>
    <w:rsid w:val="006E32DB"/>
    <w:rsid w:val="006E360C"/>
    <w:rsid w:val="006E3629"/>
    <w:rsid w:val="006E366F"/>
    <w:rsid w:val="006E36A6"/>
    <w:rsid w:val="006E3837"/>
    <w:rsid w:val="006E38C7"/>
    <w:rsid w:val="006E3918"/>
    <w:rsid w:val="006E3B88"/>
    <w:rsid w:val="006E3C34"/>
    <w:rsid w:val="006E3D0E"/>
    <w:rsid w:val="006E3D85"/>
    <w:rsid w:val="006E406E"/>
    <w:rsid w:val="006E411F"/>
    <w:rsid w:val="006E4996"/>
    <w:rsid w:val="006E49C7"/>
    <w:rsid w:val="006E4A3E"/>
    <w:rsid w:val="006E5078"/>
    <w:rsid w:val="006E5123"/>
    <w:rsid w:val="006E513B"/>
    <w:rsid w:val="006E5157"/>
    <w:rsid w:val="006E58BE"/>
    <w:rsid w:val="006E591C"/>
    <w:rsid w:val="006E5A7E"/>
    <w:rsid w:val="006E5AFA"/>
    <w:rsid w:val="006E5C1D"/>
    <w:rsid w:val="006E5C9E"/>
    <w:rsid w:val="006E5E03"/>
    <w:rsid w:val="006E5ED5"/>
    <w:rsid w:val="006E6093"/>
    <w:rsid w:val="006E6479"/>
    <w:rsid w:val="006E672A"/>
    <w:rsid w:val="006E69FA"/>
    <w:rsid w:val="006E6BA4"/>
    <w:rsid w:val="006E6CE7"/>
    <w:rsid w:val="006E6F51"/>
    <w:rsid w:val="006E6FD2"/>
    <w:rsid w:val="006E7145"/>
    <w:rsid w:val="006E720D"/>
    <w:rsid w:val="006E7278"/>
    <w:rsid w:val="006E7319"/>
    <w:rsid w:val="006E7A6F"/>
    <w:rsid w:val="006E7CE6"/>
    <w:rsid w:val="006E7CE9"/>
    <w:rsid w:val="006E7FE7"/>
    <w:rsid w:val="006F008A"/>
    <w:rsid w:val="006F01AD"/>
    <w:rsid w:val="006F02E5"/>
    <w:rsid w:val="006F0430"/>
    <w:rsid w:val="006F04B6"/>
    <w:rsid w:val="006F04BC"/>
    <w:rsid w:val="006F0778"/>
    <w:rsid w:val="006F0A4D"/>
    <w:rsid w:val="006F0B27"/>
    <w:rsid w:val="006F0E29"/>
    <w:rsid w:val="006F0E3D"/>
    <w:rsid w:val="006F0E91"/>
    <w:rsid w:val="006F1193"/>
    <w:rsid w:val="006F129F"/>
    <w:rsid w:val="006F13E3"/>
    <w:rsid w:val="006F1641"/>
    <w:rsid w:val="006F16F3"/>
    <w:rsid w:val="006F1723"/>
    <w:rsid w:val="006F18AF"/>
    <w:rsid w:val="006F18B2"/>
    <w:rsid w:val="006F18C6"/>
    <w:rsid w:val="006F1922"/>
    <w:rsid w:val="006F196E"/>
    <w:rsid w:val="006F1FD1"/>
    <w:rsid w:val="006F2050"/>
    <w:rsid w:val="006F2224"/>
    <w:rsid w:val="006F2301"/>
    <w:rsid w:val="006F23EE"/>
    <w:rsid w:val="006F2875"/>
    <w:rsid w:val="006F2B2E"/>
    <w:rsid w:val="006F2C58"/>
    <w:rsid w:val="006F2C9A"/>
    <w:rsid w:val="006F2DB7"/>
    <w:rsid w:val="006F34A2"/>
    <w:rsid w:val="006F361E"/>
    <w:rsid w:val="006F3677"/>
    <w:rsid w:val="006F3868"/>
    <w:rsid w:val="006F39C6"/>
    <w:rsid w:val="006F3DB4"/>
    <w:rsid w:val="006F4058"/>
    <w:rsid w:val="006F4076"/>
    <w:rsid w:val="006F419D"/>
    <w:rsid w:val="006F41F6"/>
    <w:rsid w:val="006F4364"/>
    <w:rsid w:val="006F43DB"/>
    <w:rsid w:val="006F4533"/>
    <w:rsid w:val="006F4617"/>
    <w:rsid w:val="006F47AF"/>
    <w:rsid w:val="006F4B86"/>
    <w:rsid w:val="006F4EBF"/>
    <w:rsid w:val="006F4F6C"/>
    <w:rsid w:val="006F4F8F"/>
    <w:rsid w:val="006F5046"/>
    <w:rsid w:val="006F52A9"/>
    <w:rsid w:val="006F5339"/>
    <w:rsid w:val="006F54AB"/>
    <w:rsid w:val="006F5511"/>
    <w:rsid w:val="006F5569"/>
    <w:rsid w:val="006F5711"/>
    <w:rsid w:val="006F581E"/>
    <w:rsid w:val="006F5B11"/>
    <w:rsid w:val="006F5B30"/>
    <w:rsid w:val="006F5B61"/>
    <w:rsid w:val="006F5CED"/>
    <w:rsid w:val="006F5D9D"/>
    <w:rsid w:val="006F5ED4"/>
    <w:rsid w:val="006F6262"/>
    <w:rsid w:val="006F6263"/>
    <w:rsid w:val="006F6688"/>
    <w:rsid w:val="006F6849"/>
    <w:rsid w:val="006F6872"/>
    <w:rsid w:val="006F69DF"/>
    <w:rsid w:val="006F6A35"/>
    <w:rsid w:val="006F6B3A"/>
    <w:rsid w:val="006F6C8B"/>
    <w:rsid w:val="006F6E28"/>
    <w:rsid w:val="006F7081"/>
    <w:rsid w:val="006F7337"/>
    <w:rsid w:val="006F75A5"/>
    <w:rsid w:val="006F7744"/>
    <w:rsid w:val="006F794D"/>
    <w:rsid w:val="006F79A9"/>
    <w:rsid w:val="006F79B6"/>
    <w:rsid w:val="006F7A4E"/>
    <w:rsid w:val="006F7DCC"/>
    <w:rsid w:val="006F7E1D"/>
    <w:rsid w:val="006F7E9F"/>
    <w:rsid w:val="0070010A"/>
    <w:rsid w:val="007001AF"/>
    <w:rsid w:val="007001E1"/>
    <w:rsid w:val="007002D1"/>
    <w:rsid w:val="007002D7"/>
    <w:rsid w:val="007003FE"/>
    <w:rsid w:val="0070045A"/>
    <w:rsid w:val="00700490"/>
    <w:rsid w:val="007006BF"/>
    <w:rsid w:val="007007C8"/>
    <w:rsid w:val="00700B49"/>
    <w:rsid w:val="007011AF"/>
    <w:rsid w:val="007014D1"/>
    <w:rsid w:val="00701587"/>
    <w:rsid w:val="0070167E"/>
    <w:rsid w:val="00701A62"/>
    <w:rsid w:val="00701AB9"/>
    <w:rsid w:val="00701B75"/>
    <w:rsid w:val="00701D11"/>
    <w:rsid w:val="007020AB"/>
    <w:rsid w:val="00702157"/>
    <w:rsid w:val="00702339"/>
    <w:rsid w:val="007026B0"/>
    <w:rsid w:val="00702B46"/>
    <w:rsid w:val="00702F1F"/>
    <w:rsid w:val="00703554"/>
    <w:rsid w:val="0070365B"/>
    <w:rsid w:val="00703916"/>
    <w:rsid w:val="00703A1A"/>
    <w:rsid w:val="00703A2A"/>
    <w:rsid w:val="00703A46"/>
    <w:rsid w:val="00703B69"/>
    <w:rsid w:val="00703CEB"/>
    <w:rsid w:val="00703D51"/>
    <w:rsid w:val="00703D8F"/>
    <w:rsid w:val="00704213"/>
    <w:rsid w:val="007042C7"/>
    <w:rsid w:val="0070447B"/>
    <w:rsid w:val="007044DF"/>
    <w:rsid w:val="007045CD"/>
    <w:rsid w:val="00704A8E"/>
    <w:rsid w:val="00704C74"/>
    <w:rsid w:val="00704E5A"/>
    <w:rsid w:val="00704F7E"/>
    <w:rsid w:val="00705015"/>
    <w:rsid w:val="00705263"/>
    <w:rsid w:val="007056F6"/>
    <w:rsid w:val="00705C68"/>
    <w:rsid w:val="00705CAA"/>
    <w:rsid w:val="00706057"/>
    <w:rsid w:val="007064E5"/>
    <w:rsid w:val="00706520"/>
    <w:rsid w:val="0070680E"/>
    <w:rsid w:val="0070683D"/>
    <w:rsid w:val="007068D9"/>
    <w:rsid w:val="00706992"/>
    <w:rsid w:val="007069F5"/>
    <w:rsid w:val="00706B07"/>
    <w:rsid w:val="00706DB3"/>
    <w:rsid w:val="00706DF1"/>
    <w:rsid w:val="00706E07"/>
    <w:rsid w:val="00707125"/>
    <w:rsid w:val="00707260"/>
    <w:rsid w:val="007072ED"/>
    <w:rsid w:val="00707392"/>
    <w:rsid w:val="00707411"/>
    <w:rsid w:val="00707515"/>
    <w:rsid w:val="0070778B"/>
    <w:rsid w:val="007079FB"/>
    <w:rsid w:val="00707ADD"/>
    <w:rsid w:val="00707BB1"/>
    <w:rsid w:val="00707C61"/>
    <w:rsid w:val="00707E96"/>
    <w:rsid w:val="00710288"/>
    <w:rsid w:val="00710319"/>
    <w:rsid w:val="00710330"/>
    <w:rsid w:val="00710460"/>
    <w:rsid w:val="007107B6"/>
    <w:rsid w:val="00710A0F"/>
    <w:rsid w:val="00710B1E"/>
    <w:rsid w:val="00710DE4"/>
    <w:rsid w:val="00711182"/>
    <w:rsid w:val="00711349"/>
    <w:rsid w:val="007115D8"/>
    <w:rsid w:val="007116F1"/>
    <w:rsid w:val="007117FC"/>
    <w:rsid w:val="00711843"/>
    <w:rsid w:val="00711B56"/>
    <w:rsid w:val="00711C87"/>
    <w:rsid w:val="00711E9E"/>
    <w:rsid w:val="007120C5"/>
    <w:rsid w:val="007122ED"/>
    <w:rsid w:val="00712629"/>
    <w:rsid w:val="00712EC2"/>
    <w:rsid w:val="0071302A"/>
    <w:rsid w:val="00713064"/>
    <w:rsid w:val="0071309E"/>
    <w:rsid w:val="00713289"/>
    <w:rsid w:val="007134D7"/>
    <w:rsid w:val="007137EC"/>
    <w:rsid w:val="0071384C"/>
    <w:rsid w:val="0071397B"/>
    <w:rsid w:val="00713A82"/>
    <w:rsid w:val="00713FB6"/>
    <w:rsid w:val="00713FC5"/>
    <w:rsid w:val="00713FE7"/>
    <w:rsid w:val="00714109"/>
    <w:rsid w:val="00714337"/>
    <w:rsid w:val="00714387"/>
    <w:rsid w:val="0071488C"/>
    <w:rsid w:val="007148C9"/>
    <w:rsid w:val="00714AE9"/>
    <w:rsid w:val="00714B1C"/>
    <w:rsid w:val="00714B8A"/>
    <w:rsid w:val="007150F8"/>
    <w:rsid w:val="007153A5"/>
    <w:rsid w:val="00715510"/>
    <w:rsid w:val="007158E6"/>
    <w:rsid w:val="00715935"/>
    <w:rsid w:val="00715A86"/>
    <w:rsid w:val="00715B6E"/>
    <w:rsid w:val="00715C29"/>
    <w:rsid w:val="00715CDA"/>
    <w:rsid w:val="00715CE8"/>
    <w:rsid w:val="00716462"/>
    <w:rsid w:val="00716814"/>
    <w:rsid w:val="0071693D"/>
    <w:rsid w:val="00716EB2"/>
    <w:rsid w:val="00717071"/>
    <w:rsid w:val="00717148"/>
    <w:rsid w:val="00717369"/>
    <w:rsid w:val="00717596"/>
    <w:rsid w:val="0071766C"/>
    <w:rsid w:val="007176D0"/>
    <w:rsid w:val="0071779B"/>
    <w:rsid w:val="00717B0B"/>
    <w:rsid w:val="00717B61"/>
    <w:rsid w:val="00717E62"/>
    <w:rsid w:val="00720498"/>
    <w:rsid w:val="007205C9"/>
    <w:rsid w:val="00720626"/>
    <w:rsid w:val="00720CD9"/>
    <w:rsid w:val="00720CFC"/>
    <w:rsid w:val="00720EB0"/>
    <w:rsid w:val="0072104A"/>
    <w:rsid w:val="00721063"/>
    <w:rsid w:val="007211C3"/>
    <w:rsid w:val="00721504"/>
    <w:rsid w:val="007217DE"/>
    <w:rsid w:val="007218AC"/>
    <w:rsid w:val="00721966"/>
    <w:rsid w:val="00721982"/>
    <w:rsid w:val="007221AF"/>
    <w:rsid w:val="0072221E"/>
    <w:rsid w:val="00722329"/>
    <w:rsid w:val="007223BA"/>
    <w:rsid w:val="00722540"/>
    <w:rsid w:val="007225CC"/>
    <w:rsid w:val="007229D9"/>
    <w:rsid w:val="00722B6A"/>
    <w:rsid w:val="00722D65"/>
    <w:rsid w:val="007230EC"/>
    <w:rsid w:val="007232FF"/>
    <w:rsid w:val="00723427"/>
    <w:rsid w:val="00723549"/>
    <w:rsid w:val="007235D5"/>
    <w:rsid w:val="007236E3"/>
    <w:rsid w:val="0072388E"/>
    <w:rsid w:val="007238A7"/>
    <w:rsid w:val="00723CAC"/>
    <w:rsid w:val="00723CB9"/>
    <w:rsid w:val="00723FC2"/>
    <w:rsid w:val="00723FDE"/>
    <w:rsid w:val="007243A5"/>
    <w:rsid w:val="007243B6"/>
    <w:rsid w:val="00724461"/>
    <w:rsid w:val="0072459B"/>
    <w:rsid w:val="007245C5"/>
    <w:rsid w:val="007247F3"/>
    <w:rsid w:val="00724811"/>
    <w:rsid w:val="007248D1"/>
    <w:rsid w:val="007248EA"/>
    <w:rsid w:val="00724A28"/>
    <w:rsid w:val="00724BBB"/>
    <w:rsid w:val="00724EBD"/>
    <w:rsid w:val="0072523B"/>
    <w:rsid w:val="0072551C"/>
    <w:rsid w:val="007256BE"/>
    <w:rsid w:val="0072578D"/>
    <w:rsid w:val="007258E3"/>
    <w:rsid w:val="0072592A"/>
    <w:rsid w:val="00725981"/>
    <w:rsid w:val="00725B3E"/>
    <w:rsid w:val="00725BD8"/>
    <w:rsid w:val="00725C73"/>
    <w:rsid w:val="00725DB5"/>
    <w:rsid w:val="00725E7B"/>
    <w:rsid w:val="00725EEB"/>
    <w:rsid w:val="007262BD"/>
    <w:rsid w:val="007263E0"/>
    <w:rsid w:val="00726521"/>
    <w:rsid w:val="0072670B"/>
    <w:rsid w:val="007269F9"/>
    <w:rsid w:val="00726C8B"/>
    <w:rsid w:val="00726C9E"/>
    <w:rsid w:val="00726EB1"/>
    <w:rsid w:val="00726F6B"/>
    <w:rsid w:val="007271DD"/>
    <w:rsid w:val="0072748C"/>
    <w:rsid w:val="00727653"/>
    <w:rsid w:val="007276BA"/>
    <w:rsid w:val="007276E5"/>
    <w:rsid w:val="0072783B"/>
    <w:rsid w:val="00727891"/>
    <w:rsid w:val="00727A23"/>
    <w:rsid w:val="00727D61"/>
    <w:rsid w:val="00727F31"/>
    <w:rsid w:val="00727F77"/>
    <w:rsid w:val="00727FDD"/>
    <w:rsid w:val="00727FE4"/>
    <w:rsid w:val="00730189"/>
    <w:rsid w:val="0073042C"/>
    <w:rsid w:val="00730481"/>
    <w:rsid w:val="007304EF"/>
    <w:rsid w:val="00730567"/>
    <w:rsid w:val="007305AD"/>
    <w:rsid w:val="0073064F"/>
    <w:rsid w:val="00730854"/>
    <w:rsid w:val="00730B6D"/>
    <w:rsid w:val="00730C39"/>
    <w:rsid w:val="00730D94"/>
    <w:rsid w:val="00731109"/>
    <w:rsid w:val="00731201"/>
    <w:rsid w:val="00731320"/>
    <w:rsid w:val="0073134A"/>
    <w:rsid w:val="00731421"/>
    <w:rsid w:val="007315B1"/>
    <w:rsid w:val="007315BA"/>
    <w:rsid w:val="00731630"/>
    <w:rsid w:val="00731BA6"/>
    <w:rsid w:val="00731CF5"/>
    <w:rsid w:val="0073201B"/>
    <w:rsid w:val="00732357"/>
    <w:rsid w:val="00732364"/>
    <w:rsid w:val="007324C9"/>
    <w:rsid w:val="007326F9"/>
    <w:rsid w:val="00732AB7"/>
    <w:rsid w:val="00732B7E"/>
    <w:rsid w:val="00732C4B"/>
    <w:rsid w:val="00732C88"/>
    <w:rsid w:val="00732DC2"/>
    <w:rsid w:val="00732F68"/>
    <w:rsid w:val="007330B9"/>
    <w:rsid w:val="007331AE"/>
    <w:rsid w:val="00733371"/>
    <w:rsid w:val="00733477"/>
    <w:rsid w:val="007334A6"/>
    <w:rsid w:val="007334C5"/>
    <w:rsid w:val="00733554"/>
    <w:rsid w:val="00733725"/>
    <w:rsid w:val="007338D7"/>
    <w:rsid w:val="00733AD4"/>
    <w:rsid w:val="00733B55"/>
    <w:rsid w:val="00733CE5"/>
    <w:rsid w:val="00733E00"/>
    <w:rsid w:val="00733F09"/>
    <w:rsid w:val="007342CF"/>
    <w:rsid w:val="00734341"/>
    <w:rsid w:val="007343D0"/>
    <w:rsid w:val="0073447D"/>
    <w:rsid w:val="0073457B"/>
    <w:rsid w:val="0073486F"/>
    <w:rsid w:val="007348BA"/>
    <w:rsid w:val="00734A94"/>
    <w:rsid w:val="00734DA6"/>
    <w:rsid w:val="00735374"/>
    <w:rsid w:val="0073562C"/>
    <w:rsid w:val="0073574A"/>
    <w:rsid w:val="00735A7B"/>
    <w:rsid w:val="00735CEC"/>
    <w:rsid w:val="00735D06"/>
    <w:rsid w:val="00735EC3"/>
    <w:rsid w:val="00735FB9"/>
    <w:rsid w:val="00735FD6"/>
    <w:rsid w:val="00736258"/>
    <w:rsid w:val="007362E1"/>
    <w:rsid w:val="00736450"/>
    <w:rsid w:val="007364AC"/>
    <w:rsid w:val="0073663F"/>
    <w:rsid w:val="00736773"/>
    <w:rsid w:val="00736863"/>
    <w:rsid w:val="00736A26"/>
    <w:rsid w:val="00736C14"/>
    <w:rsid w:val="00736D78"/>
    <w:rsid w:val="00736EF7"/>
    <w:rsid w:val="00737001"/>
    <w:rsid w:val="0073717F"/>
    <w:rsid w:val="00737392"/>
    <w:rsid w:val="00737723"/>
    <w:rsid w:val="007377C1"/>
    <w:rsid w:val="00737900"/>
    <w:rsid w:val="0073790C"/>
    <w:rsid w:val="00737952"/>
    <w:rsid w:val="00737AC5"/>
    <w:rsid w:val="00737C3F"/>
    <w:rsid w:val="00737CB1"/>
    <w:rsid w:val="00737D23"/>
    <w:rsid w:val="00737E0E"/>
    <w:rsid w:val="00737E97"/>
    <w:rsid w:val="00737F31"/>
    <w:rsid w:val="00737FD2"/>
    <w:rsid w:val="00740170"/>
    <w:rsid w:val="00740253"/>
    <w:rsid w:val="007406C2"/>
    <w:rsid w:val="00740702"/>
    <w:rsid w:val="00740B92"/>
    <w:rsid w:val="00740CFB"/>
    <w:rsid w:val="00741088"/>
    <w:rsid w:val="007413E1"/>
    <w:rsid w:val="00741448"/>
    <w:rsid w:val="007414F1"/>
    <w:rsid w:val="007416C9"/>
    <w:rsid w:val="00741994"/>
    <w:rsid w:val="00741B0B"/>
    <w:rsid w:val="00741E2F"/>
    <w:rsid w:val="007422CD"/>
    <w:rsid w:val="0074230C"/>
    <w:rsid w:val="00742378"/>
    <w:rsid w:val="007426AF"/>
    <w:rsid w:val="007429BF"/>
    <w:rsid w:val="00742B94"/>
    <w:rsid w:val="00742C5A"/>
    <w:rsid w:val="00742F23"/>
    <w:rsid w:val="00743144"/>
    <w:rsid w:val="00743208"/>
    <w:rsid w:val="00743348"/>
    <w:rsid w:val="0074345B"/>
    <w:rsid w:val="00743641"/>
    <w:rsid w:val="007436FD"/>
    <w:rsid w:val="00743846"/>
    <w:rsid w:val="00743AA5"/>
    <w:rsid w:val="00743C53"/>
    <w:rsid w:val="00743D51"/>
    <w:rsid w:val="00743F3F"/>
    <w:rsid w:val="007440C7"/>
    <w:rsid w:val="00744140"/>
    <w:rsid w:val="007444B3"/>
    <w:rsid w:val="00744AC8"/>
    <w:rsid w:val="007450E3"/>
    <w:rsid w:val="0074513F"/>
    <w:rsid w:val="0074520D"/>
    <w:rsid w:val="00745440"/>
    <w:rsid w:val="00745497"/>
    <w:rsid w:val="0074551B"/>
    <w:rsid w:val="007458B2"/>
    <w:rsid w:val="007458BE"/>
    <w:rsid w:val="00745C12"/>
    <w:rsid w:val="00745D17"/>
    <w:rsid w:val="00746077"/>
    <w:rsid w:val="007464F9"/>
    <w:rsid w:val="00746772"/>
    <w:rsid w:val="007467B8"/>
    <w:rsid w:val="007468CB"/>
    <w:rsid w:val="007468E4"/>
    <w:rsid w:val="00746B55"/>
    <w:rsid w:val="00746C6F"/>
    <w:rsid w:val="00746CA6"/>
    <w:rsid w:val="0074700B"/>
    <w:rsid w:val="0074722B"/>
    <w:rsid w:val="0074728C"/>
    <w:rsid w:val="0074739E"/>
    <w:rsid w:val="00747418"/>
    <w:rsid w:val="00747742"/>
    <w:rsid w:val="0074785C"/>
    <w:rsid w:val="0074797D"/>
    <w:rsid w:val="00747C39"/>
    <w:rsid w:val="00747CD4"/>
    <w:rsid w:val="00747D3E"/>
    <w:rsid w:val="00747F6D"/>
    <w:rsid w:val="00747FFE"/>
    <w:rsid w:val="00750034"/>
    <w:rsid w:val="0075062E"/>
    <w:rsid w:val="0075089E"/>
    <w:rsid w:val="00750A39"/>
    <w:rsid w:val="00750A55"/>
    <w:rsid w:val="00750DEC"/>
    <w:rsid w:val="00750EDB"/>
    <w:rsid w:val="00750F10"/>
    <w:rsid w:val="00751127"/>
    <w:rsid w:val="007513E7"/>
    <w:rsid w:val="00751410"/>
    <w:rsid w:val="00751416"/>
    <w:rsid w:val="00751469"/>
    <w:rsid w:val="00751476"/>
    <w:rsid w:val="00751532"/>
    <w:rsid w:val="00751917"/>
    <w:rsid w:val="00751965"/>
    <w:rsid w:val="00751B6B"/>
    <w:rsid w:val="00751C0C"/>
    <w:rsid w:val="00751CCD"/>
    <w:rsid w:val="00751D19"/>
    <w:rsid w:val="00751DC4"/>
    <w:rsid w:val="00751F27"/>
    <w:rsid w:val="00751F9D"/>
    <w:rsid w:val="00752258"/>
    <w:rsid w:val="007526C0"/>
    <w:rsid w:val="007528F7"/>
    <w:rsid w:val="0075293C"/>
    <w:rsid w:val="0075293E"/>
    <w:rsid w:val="00752AE9"/>
    <w:rsid w:val="00752BE5"/>
    <w:rsid w:val="00752E84"/>
    <w:rsid w:val="00752F06"/>
    <w:rsid w:val="00752F60"/>
    <w:rsid w:val="007531C0"/>
    <w:rsid w:val="007531F5"/>
    <w:rsid w:val="007536ED"/>
    <w:rsid w:val="00753A4E"/>
    <w:rsid w:val="00753D01"/>
    <w:rsid w:val="00753D29"/>
    <w:rsid w:val="00753FAF"/>
    <w:rsid w:val="00754201"/>
    <w:rsid w:val="00754364"/>
    <w:rsid w:val="00754485"/>
    <w:rsid w:val="007546C0"/>
    <w:rsid w:val="00754786"/>
    <w:rsid w:val="007547EF"/>
    <w:rsid w:val="00754850"/>
    <w:rsid w:val="00754BED"/>
    <w:rsid w:val="00754CF3"/>
    <w:rsid w:val="00754DC2"/>
    <w:rsid w:val="007553DB"/>
    <w:rsid w:val="007554FE"/>
    <w:rsid w:val="0075552E"/>
    <w:rsid w:val="007556A3"/>
    <w:rsid w:val="007557AB"/>
    <w:rsid w:val="007557D5"/>
    <w:rsid w:val="007558E6"/>
    <w:rsid w:val="00755E1B"/>
    <w:rsid w:val="0075603A"/>
    <w:rsid w:val="00756910"/>
    <w:rsid w:val="0075697A"/>
    <w:rsid w:val="00756995"/>
    <w:rsid w:val="00756AB4"/>
    <w:rsid w:val="00756CCD"/>
    <w:rsid w:val="00756F53"/>
    <w:rsid w:val="00756F7B"/>
    <w:rsid w:val="0075700D"/>
    <w:rsid w:val="007570BA"/>
    <w:rsid w:val="00757165"/>
    <w:rsid w:val="007571A1"/>
    <w:rsid w:val="00757252"/>
    <w:rsid w:val="007572E0"/>
    <w:rsid w:val="0075748A"/>
    <w:rsid w:val="00757802"/>
    <w:rsid w:val="00757D1E"/>
    <w:rsid w:val="0076005F"/>
    <w:rsid w:val="00760400"/>
    <w:rsid w:val="007604E7"/>
    <w:rsid w:val="00760582"/>
    <w:rsid w:val="0076066F"/>
    <w:rsid w:val="0076084F"/>
    <w:rsid w:val="00760883"/>
    <w:rsid w:val="007608DB"/>
    <w:rsid w:val="00760910"/>
    <w:rsid w:val="00760DCE"/>
    <w:rsid w:val="00760FC0"/>
    <w:rsid w:val="00761186"/>
    <w:rsid w:val="007612FE"/>
    <w:rsid w:val="007613BF"/>
    <w:rsid w:val="007613E4"/>
    <w:rsid w:val="007615FE"/>
    <w:rsid w:val="00761675"/>
    <w:rsid w:val="007616CA"/>
    <w:rsid w:val="00761707"/>
    <w:rsid w:val="00761840"/>
    <w:rsid w:val="0076193D"/>
    <w:rsid w:val="00761C90"/>
    <w:rsid w:val="00761E11"/>
    <w:rsid w:val="007621F5"/>
    <w:rsid w:val="007625E2"/>
    <w:rsid w:val="00762B80"/>
    <w:rsid w:val="00762CED"/>
    <w:rsid w:val="00762D5F"/>
    <w:rsid w:val="00763213"/>
    <w:rsid w:val="0076341A"/>
    <w:rsid w:val="00763433"/>
    <w:rsid w:val="007635C7"/>
    <w:rsid w:val="0076390A"/>
    <w:rsid w:val="00763CEA"/>
    <w:rsid w:val="00763E77"/>
    <w:rsid w:val="007641EA"/>
    <w:rsid w:val="0076465A"/>
    <w:rsid w:val="007647A0"/>
    <w:rsid w:val="007647DF"/>
    <w:rsid w:val="0076487A"/>
    <w:rsid w:val="00764A19"/>
    <w:rsid w:val="00764AD6"/>
    <w:rsid w:val="00764CAA"/>
    <w:rsid w:val="00764E83"/>
    <w:rsid w:val="00765011"/>
    <w:rsid w:val="0076524B"/>
    <w:rsid w:val="00765281"/>
    <w:rsid w:val="00765353"/>
    <w:rsid w:val="0076569D"/>
    <w:rsid w:val="007656F0"/>
    <w:rsid w:val="00765C2E"/>
    <w:rsid w:val="00765DD0"/>
    <w:rsid w:val="007660AB"/>
    <w:rsid w:val="00766112"/>
    <w:rsid w:val="0076622C"/>
    <w:rsid w:val="007665A0"/>
    <w:rsid w:val="007665C4"/>
    <w:rsid w:val="007667EB"/>
    <w:rsid w:val="007667EE"/>
    <w:rsid w:val="00766DD3"/>
    <w:rsid w:val="00766E3E"/>
    <w:rsid w:val="00766EA0"/>
    <w:rsid w:val="00766F25"/>
    <w:rsid w:val="007670D4"/>
    <w:rsid w:val="0076710E"/>
    <w:rsid w:val="00767388"/>
    <w:rsid w:val="007673AA"/>
    <w:rsid w:val="00767661"/>
    <w:rsid w:val="00767787"/>
    <w:rsid w:val="007679E1"/>
    <w:rsid w:val="00767B0D"/>
    <w:rsid w:val="00767B27"/>
    <w:rsid w:val="00767F79"/>
    <w:rsid w:val="00767FC2"/>
    <w:rsid w:val="0077037A"/>
    <w:rsid w:val="0077062C"/>
    <w:rsid w:val="00770634"/>
    <w:rsid w:val="007707DE"/>
    <w:rsid w:val="0077086E"/>
    <w:rsid w:val="0077090A"/>
    <w:rsid w:val="00770D36"/>
    <w:rsid w:val="00770E2B"/>
    <w:rsid w:val="00770E5B"/>
    <w:rsid w:val="00770ED6"/>
    <w:rsid w:val="00770FE7"/>
    <w:rsid w:val="00771214"/>
    <w:rsid w:val="00771BA5"/>
    <w:rsid w:val="00771DB5"/>
    <w:rsid w:val="00771F01"/>
    <w:rsid w:val="0077202F"/>
    <w:rsid w:val="0077218B"/>
    <w:rsid w:val="007724C4"/>
    <w:rsid w:val="00772951"/>
    <w:rsid w:val="00772AA7"/>
    <w:rsid w:val="00772C60"/>
    <w:rsid w:val="00772CC0"/>
    <w:rsid w:val="007732DB"/>
    <w:rsid w:val="00773845"/>
    <w:rsid w:val="007739D5"/>
    <w:rsid w:val="00773CC9"/>
    <w:rsid w:val="00773D3F"/>
    <w:rsid w:val="00773F1F"/>
    <w:rsid w:val="00773FBB"/>
    <w:rsid w:val="00774129"/>
    <w:rsid w:val="0077448C"/>
    <w:rsid w:val="00774505"/>
    <w:rsid w:val="00774533"/>
    <w:rsid w:val="0077455E"/>
    <w:rsid w:val="007748F3"/>
    <w:rsid w:val="007749AB"/>
    <w:rsid w:val="00774B59"/>
    <w:rsid w:val="00774C6D"/>
    <w:rsid w:val="00774F97"/>
    <w:rsid w:val="00775087"/>
    <w:rsid w:val="007754FA"/>
    <w:rsid w:val="00775640"/>
    <w:rsid w:val="007756CA"/>
    <w:rsid w:val="00775725"/>
    <w:rsid w:val="00775791"/>
    <w:rsid w:val="00775904"/>
    <w:rsid w:val="00775E62"/>
    <w:rsid w:val="00775EF7"/>
    <w:rsid w:val="0077600E"/>
    <w:rsid w:val="007761CD"/>
    <w:rsid w:val="007762C9"/>
    <w:rsid w:val="00776480"/>
    <w:rsid w:val="007764F5"/>
    <w:rsid w:val="0077666B"/>
    <w:rsid w:val="00776877"/>
    <w:rsid w:val="00776951"/>
    <w:rsid w:val="00776AE7"/>
    <w:rsid w:val="00776AEA"/>
    <w:rsid w:val="00776B83"/>
    <w:rsid w:val="00776C12"/>
    <w:rsid w:val="00776C56"/>
    <w:rsid w:val="00776CF8"/>
    <w:rsid w:val="00776E48"/>
    <w:rsid w:val="00777027"/>
    <w:rsid w:val="0077723C"/>
    <w:rsid w:val="007772D5"/>
    <w:rsid w:val="007776FC"/>
    <w:rsid w:val="00777A43"/>
    <w:rsid w:val="00777C78"/>
    <w:rsid w:val="00777DB7"/>
    <w:rsid w:val="00777DF2"/>
    <w:rsid w:val="00777F08"/>
    <w:rsid w:val="00780043"/>
    <w:rsid w:val="0078014D"/>
    <w:rsid w:val="007801FB"/>
    <w:rsid w:val="007801FF"/>
    <w:rsid w:val="00780C4B"/>
    <w:rsid w:val="007810EB"/>
    <w:rsid w:val="007811BB"/>
    <w:rsid w:val="007812A4"/>
    <w:rsid w:val="007812F4"/>
    <w:rsid w:val="007817A4"/>
    <w:rsid w:val="00781856"/>
    <w:rsid w:val="00781922"/>
    <w:rsid w:val="00781B60"/>
    <w:rsid w:val="00781DEF"/>
    <w:rsid w:val="00782039"/>
    <w:rsid w:val="007820A0"/>
    <w:rsid w:val="007820F3"/>
    <w:rsid w:val="00782487"/>
    <w:rsid w:val="0078253C"/>
    <w:rsid w:val="007825EA"/>
    <w:rsid w:val="00782657"/>
    <w:rsid w:val="00782672"/>
    <w:rsid w:val="007826B7"/>
    <w:rsid w:val="00782719"/>
    <w:rsid w:val="007828CB"/>
    <w:rsid w:val="00782945"/>
    <w:rsid w:val="0078294D"/>
    <w:rsid w:val="00782B9A"/>
    <w:rsid w:val="00782BE6"/>
    <w:rsid w:val="00782C70"/>
    <w:rsid w:val="00782D00"/>
    <w:rsid w:val="00782E0E"/>
    <w:rsid w:val="00782EC7"/>
    <w:rsid w:val="00782EE9"/>
    <w:rsid w:val="0078314B"/>
    <w:rsid w:val="007831D5"/>
    <w:rsid w:val="007832B4"/>
    <w:rsid w:val="00783546"/>
    <w:rsid w:val="00783616"/>
    <w:rsid w:val="00783772"/>
    <w:rsid w:val="00783826"/>
    <w:rsid w:val="00783A9F"/>
    <w:rsid w:val="00783B66"/>
    <w:rsid w:val="00783BB2"/>
    <w:rsid w:val="00783C28"/>
    <w:rsid w:val="00783E32"/>
    <w:rsid w:val="00783E37"/>
    <w:rsid w:val="00783EB1"/>
    <w:rsid w:val="00783EF7"/>
    <w:rsid w:val="0078408C"/>
    <w:rsid w:val="007840D4"/>
    <w:rsid w:val="007842E1"/>
    <w:rsid w:val="00784343"/>
    <w:rsid w:val="00784421"/>
    <w:rsid w:val="00784468"/>
    <w:rsid w:val="00784987"/>
    <w:rsid w:val="00784CF0"/>
    <w:rsid w:val="007851FE"/>
    <w:rsid w:val="007852E9"/>
    <w:rsid w:val="00785443"/>
    <w:rsid w:val="0078544D"/>
    <w:rsid w:val="00785493"/>
    <w:rsid w:val="00785710"/>
    <w:rsid w:val="00785B0B"/>
    <w:rsid w:val="00785B40"/>
    <w:rsid w:val="00785B66"/>
    <w:rsid w:val="00785BB1"/>
    <w:rsid w:val="00785D38"/>
    <w:rsid w:val="00785DED"/>
    <w:rsid w:val="00785FBC"/>
    <w:rsid w:val="0078612C"/>
    <w:rsid w:val="00786232"/>
    <w:rsid w:val="007862D0"/>
    <w:rsid w:val="00786365"/>
    <w:rsid w:val="007863CE"/>
    <w:rsid w:val="007863DB"/>
    <w:rsid w:val="00786822"/>
    <w:rsid w:val="0078684A"/>
    <w:rsid w:val="00786BF4"/>
    <w:rsid w:val="00787209"/>
    <w:rsid w:val="00787399"/>
    <w:rsid w:val="007875F6"/>
    <w:rsid w:val="00787718"/>
    <w:rsid w:val="007879E8"/>
    <w:rsid w:val="00787AEE"/>
    <w:rsid w:val="00787CC2"/>
    <w:rsid w:val="00787E6F"/>
    <w:rsid w:val="00787F06"/>
    <w:rsid w:val="00787F26"/>
    <w:rsid w:val="00787FAB"/>
    <w:rsid w:val="00790131"/>
    <w:rsid w:val="007903FE"/>
    <w:rsid w:val="0079055F"/>
    <w:rsid w:val="0079060C"/>
    <w:rsid w:val="0079070F"/>
    <w:rsid w:val="0079072A"/>
    <w:rsid w:val="00790796"/>
    <w:rsid w:val="007909E9"/>
    <w:rsid w:val="00790B77"/>
    <w:rsid w:val="00790F4B"/>
    <w:rsid w:val="00790F7D"/>
    <w:rsid w:val="00790F8E"/>
    <w:rsid w:val="00790F95"/>
    <w:rsid w:val="007910D8"/>
    <w:rsid w:val="00791118"/>
    <w:rsid w:val="00791418"/>
    <w:rsid w:val="0079148F"/>
    <w:rsid w:val="007917F5"/>
    <w:rsid w:val="00791842"/>
    <w:rsid w:val="007918A0"/>
    <w:rsid w:val="00791CAD"/>
    <w:rsid w:val="00791F40"/>
    <w:rsid w:val="00792029"/>
    <w:rsid w:val="007920B8"/>
    <w:rsid w:val="00792139"/>
    <w:rsid w:val="0079235E"/>
    <w:rsid w:val="00792515"/>
    <w:rsid w:val="0079258A"/>
    <w:rsid w:val="007925EE"/>
    <w:rsid w:val="00792770"/>
    <w:rsid w:val="00792844"/>
    <w:rsid w:val="007929A1"/>
    <w:rsid w:val="00792AB4"/>
    <w:rsid w:val="00792BCF"/>
    <w:rsid w:val="00792C9C"/>
    <w:rsid w:val="00792D5D"/>
    <w:rsid w:val="00792D96"/>
    <w:rsid w:val="00792FD9"/>
    <w:rsid w:val="007931D5"/>
    <w:rsid w:val="00793219"/>
    <w:rsid w:val="00793301"/>
    <w:rsid w:val="007933BD"/>
    <w:rsid w:val="00793408"/>
    <w:rsid w:val="007934CE"/>
    <w:rsid w:val="007938B1"/>
    <w:rsid w:val="00793A64"/>
    <w:rsid w:val="00793C7E"/>
    <w:rsid w:val="00793E73"/>
    <w:rsid w:val="00793F7D"/>
    <w:rsid w:val="0079413F"/>
    <w:rsid w:val="0079452C"/>
    <w:rsid w:val="00794DE8"/>
    <w:rsid w:val="00794E08"/>
    <w:rsid w:val="00794E35"/>
    <w:rsid w:val="00794EA6"/>
    <w:rsid w:val="00794EEA"/>
    <w:rsid w:val="00794FCD"/>
    <w:rsid w:val="00795149"/>
    <w:rsid w:val="00795344"/>
    <w:rsid w:val="0079549A"/>
    <w:rsid w:val="007955FF"/>
    <w:rsid w:val="00795686"/>
    <w:rsid w:val="0079596E"/>
    <w:rsid w:val="00795BBA"/>
    <w:rsid w:val="00795C3E"/>
    <w:rsid w:val="00795F69"/>
    <w:rsid w:val="00795F9F"/>
    <w:rsid w:val="0079616B"/>
    <w:rsid w:val="00796776"/>
    <w:rsid w:val="007968D9"/>
    <w:rsid w:val="00796A1D"/>
    <w:rsid w:val="00796B0C"/>
    <w:rsid w:val="00796B95"/>
    <w:rsid w:val="00796C46"/>
    <w:rsid w:val="00796CA9"/>
    <w:rsid w:val="00796D6D"/>
    <w:rsid w:val="00796E08"/>
    <w:rsid w:val="00797290"/>
    <w:rsid w:val="007973DA"/>
    <w:rsid w:val="0079763A"/>
    <w:rsid w:val="00797688"/>
    <w:rsid w:val="00797715"/>
    <w:rsid w:val="00797718"/>
    <w:rsid w:val="00797A68"/>
    <w:rsid w:val="00797AAA"/>
    <w:rsid w:val="00797B72"/>
    <w:rsid w:val="00797DAF"/>
    <w:rsid w:val="00797DBF"/>
    <w:rsid w:val="00797F29"/>
    <w:rsid w:val="00797F6C"/>
    <w:rsid w:val="007A0017"/>
    <w:rsid w:val="007A023C"/>
    <w:rsid w:val="007A02BE"/>
    <w:rsid w:val="007A059E"/>
    <w:rsid w:val="007A08C3"/>
    <w:rsid w:val="007A091D"/>
    <w:rsid w:val="007A09B2"/>
    <w:rsid w:val="007A0CE0"/>
    <w:rsid w:val="007A0D9E"/>
    <w:rsid w:val="007A0F4C"/>
    <w:rsid w:val="007A10B4"/>
    <w:rsid w:val="007A10D9"/>
    <w:rsid w:val="007A1273"/>
    <w:rsid w:val="007A12EF"/>
    <w:rsid w:val="007A13C0"/>
    <w:rsid w:val="007A156F"/>
    <w:rsid w:val="007A1749"/>
    <w:rsid w:val="007A18DF"/>
    <w:rsid w:val="007A19D7"/>
    <w:rsid w:val="007A1B7C"/>
    <w:rsid w:val="007A1C3E"/>
    <w:rsid w:val="007A1F14"/>
    <w:rsid w:val="007A20DE"/>
    <w:rsid w:val="007A228A"/>
    <w:rsid w:val="007A2502"/>
    <w:rsid w:val="007A2B88"/>
    <w:rsid w:val="007A2C90"/>
    <w:rsid w:val="007A2D79"/>
    <w:rsid w:val="007A2DC0"/>
    <w:rsid w:val="007A304B"/>
    <w:rsid w:val="007A3055"/>
    <w:rsid w:val="007A319B"/>
    <w:rsid w:val="007A33B1"/>
    <w:rsid w:val="007A343F"/>
    <w:rsid w:val="007A3510"/>
    <w:rsid w:val="007A363D"/>
    <w:rsid w:val="007A399C"/>
    <w:rsid w:val="007A3A6C"/>
    <w:rsid w:val="007A3B7E"/>
    <w:rsid w:val="007A3C50"/>
    <w:rsid w:val="007A3D39"/>
    <w:rsid w:val="007A4005"/>
    <w:rsid w:val="007A4118"/>
    <w:rsid w:val="007A4298"/>
    <w:rsid w:val="007A4725"/>
    <w:rsid w:val="007A4751"/>
    <w:rsid w:val="007A4898"/>
    <w:rsid w:val="007A490F"/>
    <w:rsid w:val="007A493D"/>
    <w:rsid w:val="007A4C21"/>
    <w:rsid w:val="007A4C5F"/>
    <w:rsid w:val="007A4C9E"/>
    <w:rsid w:val="007A4FD2"/>
    <w:rsid w:val="007A501A"/>
    <w:rsid w:val="007A50D0"/>
    <w:rsid w:val="007A52C5"/>
    <w:rsid w:val="007A5333"/>
    <w:rsid w:val="007A55E9"/>
    <w:rsid w:val="007A579C"/>
    <w:rsid w:val="007A5AF1"/>
    <w:rsid w:val="007A5E6B"/>
    <w:rsid w:val="007A5E9A"/>
    <w:rsid w:val="007A62B2"/>
    <w:rsid w:val="007A64EE"/>
    <w:rsid w:val="007A6510"/>
    <w:rsid w:val="007A66A7"/>
    <w:rsid w:val="007A6866"/>
    <w:rsid w:val="007A6951"/>
    <w:rsid w:val="007A69D6"/>
    <w:rsid w:val="007A6BE1"/>
    <w:rsid w:val="007A6C88"/>
    <w:rsid w:val="007A6F42"/>
    <w:rsid w:val="007A71C6"/>
    <w:rsid w:val="007A73DA"/>
    <w:rsid w:val="007A7577"/>
    <w:rsid w:val="007A77B6"/>
    <w:rsid w:val="007A7898"/>
    <w:rsid w:val="007A791B"/>
    <w:rsid w:val="007A7B06"/>
    <w:rsid w:val="007A7EA6"/>
    <w:rsid w:val="007A7EA9"/>
    <w:rsid w:val="007A7FE0"/>
    <w:rsid w:val="007B0054"/>
    <w:rsid w:val="007B0771"/>
    <w:rsid w:val="007B07FF"/>
    <w:rsid w:val="007B095E"/>
    <w:rsid w:val="007B0A62"/>
    <w:rsid w:val="007B0B25"/>
    <w:rsid w:val="007B0B45"/>
    <w:rsid w:val="007B0D61"/>
    <w:rsid w:val="007B0EAE"/>
    <w:rsid w:val="007B0EF3"/>
    <w:rsid w:val="007B10A1"/>
    <w:rsid w:val="007B116A"/>
    <w:rsid w:val="007B12E8"/>
    <w:rsid w:val="007B1681"/>
    <w:rsid w:val="007B1768"/>
    <w:rsid w:val="007B184F"/>
    <w:rsid w:val="007B1A09"/>
    <w:rsid w:val="007B1AE6"/>
    <w:rsid w:val="007B1E99"/>
    <w:rsid w:val="007B2056"/>
    <w:rsid w:val="007B23B5"/>
    <w:rsid w:val="007B2647"/>
    <w:rsid w:val="007B2847"/>
    <w:rsid w:val="007B2B0E"/>
    <w:rsid w:val="007B2B2C"/>
    <w:rsid w:val="007B2BB3"/>
    <w:rsid w:val="007B2D97"/>
    <w:rsid w:val="007B2E56"/>
    <w:rsid w:val="007B2F19"/>
    <w:rsid w:val="007B312E"/>
    <w:rsid w:val="007B3210"/>
    <w:rsid w:val="007B3358"/>
    <w:rsid w:val="007B3559"/>
    <w:rsid w:val="007B35C0"/>
    <w:rsid w:val="007B36E7"/>
    <w:rsid w:val="007B3E90"/>
    <w:rsid w:val="007B3EA9"/>
    <w:rsid w:val="007B3F84"/>
    <w:rsid w:val="007B409A"/>
    <w:rsid w:val="007B4261"/>
    <w:rsid w:val="007B4266"/>
    <w:rsid w:val="007B429B"/>
    <w:rsid w:val="007B46B3"/>
    <w:rsid w:val="007B4780"/>
    <w:rsid w:val="007B478A"/>
    <w:rsid w:val="007B47CA"/>
    <w:rsid w:val="007B4963"/>
    <w:rsid w:val="007B49F8"/>
    <w:rsid w:val="007B4A06"/>
    <w:rsid w:val="007B4A66"/>
    <w:rsid w:val="007B4B31"/>
    <w:rsid w:val="007B4BFB"/>
    <w:rsid w:val="007B4E5F"/>
    <w:rsid w:val="007B504C"/>
    <w:rsid w:val="007B50A2"/>
    <w:rsid w:val="007B51E7"/>
    <w:rsid w:val="007B53E5"/>
    <w:rsid w:val="007B5672"/>
    <w:rsid w:val="007B59C8"/>
    <w:rsid w:val="007B5A6C"/>
    <w:rsid w:val="007B5AA6"/>
    <w:rsid w:val="007B5C2B"/>
    <w:rsid w:val="007B5CBA"/>
    <w:rsid w:val="007B5E32"/>
    <w:rsid w:val="007B5EB9"/>
    <w:rsid w:val="007B618A"/>
    <w:rsid w:val="007B61EE"/>
    <w:rsid w:val="007B6204"/>
    <w:rsid w:val="007B657E"/>
    <w:rsid w:val="007B6643"/>
    <w:rsid w:val="007B6745"/>
    <w:rsid w:val="007B67BA"/>
    <w:rsid w:val="007B6A12"/>
    <w:rsid w:val="007B6A6F"/>
    <w:rsid w:val="007B6A88"/>
    <w:rsid w:val="007B6B00"/>
    <w:rsid w:val="007B6D7F"/>
    <w:rsid w:val="007B6EDB"/>
    <w:rsid w:val="007B7048"/>
    <w:rsid w:val="007B713F"/>
    <w:rsid w:val="007B7319"/>
    <w:rsid w:val="007B754A"/>
    <w:rsid w:val="007B7643"/>
    <w:rsid w:val="007B7654"/>
    <w:rsid w:val="007B7D26"/>
    <w:rsid w:val="007B7D45"/>
    <w:rsid w:val="007B7DF6"/>
    <w:rsid w:val="007B7F5E"/>
    <w:rsid w:val="007B7F7D"/>
    <w:rsid w:val="007C0088"/>
    <w:rsid w:val="007C0130"/>
    <w:rsid w:val="007C01FD"/>
    <w:rsid w:val="007C04CB"/>
    <w:rsid w:val="007C0534"/>
    <w:rsid w:val="007C070B"/>
    <w:rsid w:val="007C0726"/>
    <w:rsid w:val="007C0CB2"/>
    <w:rsid w:val="007C0E3D"/>
    <w:rsid w:val="007C1457"/>
    <w:rsid w:val="007C1B45"/>
    <w:rsid w:val="007C1C73"/>
    <w:rsid w:val="007C1EB5"/>
    <w:rsid w:val="007C1F0A"/>
    <w:rsid w:val="007C208E"/>
    <w:rsid w:val="007C2159"/>
    <w:rsid w:val="007C2221"/>
    <w:rsid w:val="007C2269"/>
    <w:rsid w:val="007C27BE"/>
    <w:rsid w:val="007C2875"/>
    <w:rsid w:val="007C29CE"/>
    <w:rsid w:val="007C2C97"/>
    <w:rsid w:val="007C2CE4"/>
    <w:rsid w:val="007C3101"/>
    <w:rsid w:val="007C3739"/>
    <w:rsid w:val="007C37C3"/>
    <w:rsid w:val="007C39EB"/>
    <w:rsid w:val="007C3B63"/>
    <w:rsid w:val="007C3E58"/>
    <w:rsid w:val="007C44BB"/>
    <w:rsid w:val="007C46B9"/>
    <w:rsid w:val="007C4752"/>
    <w:rsid w:val="007C4855"/>
    <w:rsid w:val="007C4F1A"/>
    <w:rsid w:val="007C4F3B"/>
    <w:rsid w:val="007C50DE"/>
    <w:rsid w:val="007C51A3"/>
    <w:rsid w:val="007C5222"/>
    <w:rsid w:val="007C5483"/>
    <w:rsid w:val="007C550D"/>
    <w:rsid w:val="007C567B"/>
    <w:rsid w:val="007C568B"/>
    <w:rsid w:val="007C594A"/>
    <w:rsid w:val="007C59F2"/>
    <w:rsid w:val="007C5BEE"/>
    <w:rsid w:val="007C5C08"/>
    <w:rsid w:val="007C5CFB"/>
    <w:rsid w:val="007C613F"/>
    <w:rsid w:val="007C6292"/>
    <w:rsid w:val="007C632A"/>
    <w:rsid w:val="007C655C"/>
    <w:rsid w:val="007C65B3"/>
    <w:rsid w:val="007C67BC"/>
    <w:rsid w:val="007C689F"/>
    <w:rsid w:val="007C6A15"/>
    <w:rsid w:val="007C6A66"/>
    <w:rsid w:val="007C6CA9"/>
    <w:rsid w:val="007C7090"/>
    <w:rsid w:val="007C710B"/>
    <w:rsid w:val="007C7336"/>
    <w:rsid w:val="007C7433"/>
    <w:rsid w:val="007C7463"/>
    <w:rsid w:val="007C7996"/>
    <w:rsid w:val="007C7B4C"/>
    <w:rsid w:val="007C7D51"/>
    <w:rsid w:val="007C7E1C"/>
    <w:rsid w:val="007D00A2"/>
    <w:rsid w:val="007D011B"/>
    <w:rsid w:val="007D0163"/>
    <w:rsid w:val="007D024C"/>
    <w:rsid w:val="007D0252"/>
    <w:rsid w:val="007D02F5"/>
    <w:rsid w:val="007D038E"/>
    <w:rsid w:val="007D04E8"/>
    <w:rsid w:val="007D05E2"/>
    <w:rsid w:val="007D064C"/>
    <w:rsid w:val="007D06A2"/>
    <w:rsid w:val="007D0776"/>
    <w:rsid w:val="007D08CC"/>
    <w:rsid w:val="007D08F5"/>
    <w:rsid w:val="007D0AC8"/>
    <w:rsid w:val="007D0E84"/>
    <w:rsid w:val="007D0F13"/>
    <w:rsid w:val="007D0F62"/>
    <w:rsid w:val="007D0FA2"/>
    <w:rsid w:val="007D1005"/>
    <w:rsid w:val="007D115E"/>
    <w:rsid w:val="007D123B"/>
    <w:rsid w:val="007D13C1"/>
    <w:rsid w:val="007D1470"/>
    <w:rsid w:val="007D17BE"/>
    <w:rsid w:val="007D1B38"/>
    <w:rsid w:val="007D1C90"/>
    <w:rsid w:val="007D1D1F"/>
    <w:rsid w:val="007D1D4B"/>
    <w:rsid w:val="007D1DA0"/>
    <w:rsid w:val="007D20FD"/>
    <w:rsid w:val="007D2293"/>
    <w:rsid w:val="007D230C"/>
    <w:rsid w:val="007D235A"/>
    <w:rsid w:val="007D24B9"/>
    <w:rsid w:val="007D25CD"/>
    <w:rsid w:val="007D265A"/>
    <w:rsid w:val="007D2873"/>
    <w:rsid w:val="007D2930"/>
    <w:rsid w:val="007D2B53"/>
    <w:rsid w:val="007D2C75"/>
    <w:rsid w:val="007D2F64"/>
    <w:rsid w:val="007D31FE"/>
    <w:rsid w:val="007D339E"/>
    <w:rsid w:val="007D39B3"/>
    <w:rsid w:val="007D39B9"/>
    <w:rsid w:val="007D3D94"/>
    <w:rsid w:val="007D3F57"/>
    <w:rsid w:val="007D4029"/>
    <w:rsid w:val="007D43F7"/>
    <w:rsid w:val="007D44EA"/>
    <w:rsid w:val="007D4547"/>
    <w:rsid w:val="007D47CE"/>
    <w:rsid w:val="007D48F3"/>
    <w:rsid w:val="007D4A9E"/>
    <w:rsid w:val="007D4B66"/>
    <w:rsid w:val="007D4DBE"/>
    <w:rsid w:val="007D4FB7"/>
    <w:rsid w:val="007D52D4"/>
    <w:rsid w:val="007D52E8"/>
    <w:rsid w:val="007D5373"/>
    <w:rsid w:val="007D55BC"/>
    <w:rsid w:val="007D565A"/>
    <w:rsid w:val="007D5863"/>
    <w:rsid w:val="007D5E52"/>
    <w:rsid w:val="007D5E63"/>
    <w:rsid w:val="007D5E8A"/>
    <w:rsid w:val="007D5EA2"/>
    <w:rsid w:val="007D6131"/>
    <w:rsid w:val="007D64D7"/>
    <w:rsid w:val="007D6602"/>
    <w:rsid w:val="007D6638"/>
    <w:rsid w:val="007D6A89"/>
    <w:rsid w:val="007D6B31"/>
    <w:rsid w:val="007D6DCB"/>
    <w:rsid w:val="007D7034"/>
    <w:rsid w:val="007D7042"/>
    <w:rsid w:val="007D71EC"/>
    <w:rsid w:val="007D74CA"/>
    <w:rsid w:val="007D75AB"/>
    <w:rsid w:val="007D7738"/>
    <w:rsid w:val="007D7817"/>
    <w:rsid w:val="007D7A81"/>
    <w:rsid w:val="007E00D9"/>
    <w:rsid w:val="007E012D"/>
    <w:rsid w:val="007E0793"/>
    <w:rsid w:val="007E08C5"/>
    <w:rsid w:val="007E0B90"/>
    <w:rsid w:val="007E0D0E"/>
    <w:rsid w:val="007E0FB7"/>
    <w:rsid w:val="007E12C7"/>
    <w:rsid w:val="007E1441"/>
    <w:rsid w:val="007E1553"/>
    <w:rsid w:val="007E1661"/>
    <w:rsid w:val="007E1662"/>
    <w:rsid w:val="007E17DA"/>
    <w:rsid w:val="007E17E3"/>
    <w:rsid w:val="007E19A7"/>
    <w:rsid w:val="007E1FAD"/>
    <w:rsid w:val="007E2076"/>
    <w:rsid w:val="007E20C3"/>
    <w:rsid w:val="007E218D"/>
    <w:rsid w:val="007E21C8"/>
    <w:rsid w:val="007E2573"/>
    <w:rsid w:val="007E27BA"/>
    <w:rsid w:val="007E2BBF"/>
    <w:rsid w:val="007E2E13"/>
    <w:rsid w:val="007E2F31"/>
    <w:rsid w:val="007E2FFC"/>
    <w:rsid w:val="007E3310"/>
    <w:rsid w:val="007E340A"/>
    <w:rsid w:val="007E3786"/>
    <w:rsid w:val="007E3CBD"/>
    <w:rsid w:val="007E3D30"/>
    <w:rsid w:val="007E3E5A"/>
    <w:rsid w:val="007E4049"/>
    <w:rsid w:val="007E406C"/>
    <w:rsid w:val="007E4073"/>
    <w:rsid w:val="007E40F2"/>
    <w:rsid w:val="007E4177"/>
    <w:rsid w:val="007E4494"/>
    <w:rsid w:val="007E4578"/>
    <w:rsid w:val="007E46A3"/>
    <w:rsid w:val="007E490E"/>
    <w:rsid w:val="007E4982"/>
    <w:rsid w:val="007E4C7C"/>
    <w:rsid w:val="007E5126"/>
    <w:rsid w:val="007E51B8"/>
    <w:rsid w:val="007E51BA"/>
    <w:rsid w:val="007E5471"/>
    <w:rsid w:val="007E568B"/>
    <w:rsid w:val="007E56B7"/>
    <w:rsid w:val="007E56E4"/>
    <w:rsid w:val="007E5815"/>
    <w:rsid w:val="007E5948"/>
    <w:rsid w:val="007E5A07"/>
    <w:rsid w:val="007E5CE0"/>
    <w:rsid w:val="007E5D75"/>
    <w:rsid w:val="007E5F82"/>
    <w:rsid w:val="007E5F86"/>
    <w:rsid w:val="007E6002"/>
    <w:rsid w:val="007E6061"/>
    <w:rsid w:val="007E64E5"/>
    <w:rsid w:val="007E677A"/>
    <w:rsid w:val="007E6A80"/>
    <w:rsid w:val="007E6AC6"/>
    <w:rsid w:val="007E6CE4"/>
    <w:rsid w:val="007E6FF1"/>
    <w:rsid w:val="007E7029"/>
    <w:rsid w:val="007E7038"/>
    <w:rsid w:val="007E7194"/>
    <w:rsid w:val="007E71BF"/>
    <w:rsid w:val="007E744C"/>
    <w:rsid w:val="007E75EB"/>
    <w:rsid w:val="007E7693"/>
    <w:rsid w:val="007E77CF"/>
    <w:rsid w:val="007E78E7"/>
    <w:rsid w:val="007E78EA"/>
    <w:rsid w:val="007E7A96"/>
    <w:rsid w:val="007E7C2C"/>
    <w:rsid w:val="007E7D5A"/>
    <w:rsid w:val="007E7DD5"/>
    <w:rsid w:val="007E7DEE"/>
    <w:rsid w:val="007E7E1C"/>
    <w:rsid w:val="007E7E39"/>
    <w:rsid w:val="007F002A"/>
    <w:rsid w:val="007F0034"/>
    <w:rsid w:val="007F0048"/>
    <w:rsid w:val="007F010E"/>
    <w:rsid w:val="007F0530"/>
    <w:rsid w:val="007F063D"/>
    <w:rsid w:val="007F068B"/>
    <w:rsid w:val="007F08CF"/>
    <w:rsid w:val="007F094A"/>
    <w:rsid w:val="007F0D7F"/>
    <w:rsid w:val="007F0FAA"/>
    <w:rsid w:val="007F1060"/>
    <w:rsid w:val="007F1568"/>
    <w:rsid w:val="007F16EC"/>
    <w:rsid w:val="007F18E2"/>
    <w:rsid w:val="007F19CA"/>
    <w:rsid w:val="007F1AC9"/>
    <w:rsid w:val="007F1AFE"/>
    <w:rsid w:val="007F1BC2"/>
    <w:rsid w:val="007F1EAF"/>
    <w:rsid w:val="007F208A"/>
    <w:rsid w:val="007F2132"/>
    <w:rsid w:val="007F217E"/>
    <w:rsid w:val="007F25B7"/>
    <w:rsid w:val="007F2651"/>
    <w:rsid w:val="007F2805"/>
    <w:rsid w:val="007F28D1"/>
    <w:rsid w:val="007F29A5"/>
    <w:rsid w:val="007F2C19"/>
    <w:rsid w:val="007F2F8E"/>
    <w:rsid w:val="007F2FDF"/>
    <w:rsid w:val="007F304B"/>
    <w:rsid w:val="007F3212"/>
    <w:rsid w:val="007F3842"/>
    <w:rsid w:val="007F3BA6"/>
    <w:rsid w:val="007F3BF8"/>
    <w:rsid w:val="007F3ECB"/>
    <w:rsid w:val="007F3EE1"/>
    <w:rsid w:val="007F40AD"/>
    <w:rsid w:val="007F40DB"/>
    <w:rsid w:val="007F421B"/>
    <w:rsid w:val="007F4530"/>
    <w:rsid w:val="007F4622"/>
    <w:rsid w:val="007F465D"/>
    <w:rsid w:val="007F47B8"/>
    <w:rsid w:val="007F488A"/>
    <w:rsid w:val="007F49FA"/>
    <w:rsid w:val="007F4B1C"/>
    <w:rsid w:val="007F4D6D"/>
    <w:rsid w:val="007F51EC"/>
    <w:rsid w:val="007F52FF"/>
    <w:rsid w:val="007F55CE"/>
    <w:rsid w:val="007F572D"/>
    <w:rsid w:val="007F57A6"/>
    <w:rsid w:val="007F5943"/>
    <w:rsid w:val="007F5AD8"/>
    <w:rsid w:val="007F5CA2"/>
    <w:rsid w:val="007F5DBA"/>
    <w:rsid w:val="007F5FA8"/>
    <w:rsid w:val="007F609B"/>
    <w:rsid w:val="007F6156"/>
    <w:rsid w:val="007F657E"/>
    <w:rsid w:val="007F6585"/>
    <w:rsid w:val="007F65AA"/>
    <w:rsid w:val="007F66FF"/>
    <w:rsid w:val="007F6974"/>
    <w:rsid w:val="007F69B8"/>
    <w:rsid w:val="007F70B9"/>
    <w:rsid w:val="007F7580"/>
    <w:rsid w:val="007F77D2"/>
    <w:rsid w:val="007F785A"/>
    <w:rsid w:val="007F7883"/>
    <w:rsid w:val="007F78F5"/>
    <w:rsid w:val="007F7DC1"/>
    <w:rsid w:val="007F7EE0"/>
    <w:rsid w:val="0080008F"/>
    <w:rsid w:val="0080010E"/>
    <w:rsid w:val="00800113"/>
    <w:rsid w:val="00800210"/>
    <w:rsid w:val="00800221"/>
    <w:rsid w:val="00800495"/>
    <w:rsid w:val="008005AF"/>
    <w:rsid w:val="008008D5"/>
    <w:rsid w:val="00800B5F"/>
    <w:rsid w:val="00800BF7"/>
    <w:rsid w:val="00800F30"/>
    <w:rsid w:val="00800FFD"/>
    <w:rsid w:val="0080121B"/>
    <w:rsid w:val="00801405"/>
    <w:rsid w:val="00801619"/>
    <w:rsid w:val="0080164A"/>
    <w:rsid w:val="00801709"/>
    <w:rsid w:val="0080177D"/>
    <w:rsid w:val="00801797"/>
    <w:rsid w:val="008018E2"/>
    <w:rsid w:val="008019B3"/>
    <w:rsid w:val="0080207F"/>
    <w:rsid w:val="00802553"/>
    <w:rsid w:val="008025FB"/>
    <w:rsid w:val="00802701"/>
    <w:rsid w:val="008027B4"/>
    <w:rsid w:val="008029AC"/>
    <w:rsid w:val="00802A1D"/>
    <w:rsid w:val="00802E2B"/>
    <w:rsid w:val="00802FFE"/>
    <w:rsid w:val="0080347F"/>
    <w:rsid w:val="008034AA"/>
    <w:rsid w:val="0080352D"/>
    <w:rsid w:val="008037FA"/>
    <w:rsid w:val="008039ED"/>
    <w:rsid w:val="00803CE1"/>
    <w:rsid w:val="00803E9C"/>
    <w:rsid w:val="00803FDE"/>
    <w:rsid w:val="00804484"/>
    <w:rsid w:val="008045A5"/>
    <w:rsid w:val="0080461A"/>
    <w:rsid w:val="00804A19"/>
    <w:rsid w:val="00804AA9"/>
    <w:rsid w:val="00804BA7"/>
    <w:rsid w:val="00804D69"/>
    <w:rsid w:val="00805019"/>
    <w:rsid w:val="00805205"/>
    <w:rsid w:val="0080536E"/>
    <w:rsid w:val="008055FA"/>
    <w:rsid w:val="0080575A"/>
    <w:rsid w:val="00805A05"/>
    <w:rsid w:val="00805C2B"/>
    <w:rsid w:val="00805D73"/>
    <w:rsid w:val="00805DAF"/>
    <w:rsid w:val="00805F14"/>
    <w:rsid w:val="00806063"/>
    <w:rsid w:val="008061D4"/>
    <w:rsid w:val="00806268"/>
    <w:rsid w:val="00806304"/>
    <w:rsid w:val="008067B8"/>
    <w:rsid w:val="00806AF0"/>
    <w:rsid w:val="00806E6B"/>
    <w:rsid w:val="00807257"/>
    <w:rsid w:val="00807492"/>
    <w:rsid w:val="008076B5"/>
    <w:rsid w:val="008077F5"/>
    <w:rsid w:val="008078E0"/>
    <w:rsid w:val="008078EA"/>
    <w:rsid w:val="00807AB1"/>
    <w:rsid w:val="00807F90"/>
    <w:rsid w:val="00807F95"/>
    <w:rsid w:val="00807FA4"/>
    <w:rsid w:val="00810007"/>
    <w:rsid w:val="008102E1"/>
    <w:rsid w:val="008106CB"/>
    <w:rsid w:val="00810812"/>
    <w:rsid w:val="00810CE4"/>
    <w:rsid w:val="00810E1C"/>
    <w:rsid w:val="0081138B"/>
    <w:rsid w:val="008115F8"/>
    <w:rsid w:val="00811693"/>
    <w:rsid w:val="008116BD"/>
    <w:rsid w:val="0081176F"/>
    <w:rsid w:val="0081177D"/>
    <w:rsid w:val="00811B90"/>
    <w:rsid w:val="00811D0C"/>
    <w:rsid w:val="00811E73"/>
    <w:rsid w:val="008121A2"/>
    <w:rsid w:val="008121F9"/>
    <w:rsid w:val="0081222D"/>
    <w:rsid w:val="008122C8"/>
    <w:rsid w:val="0081238E"/>
    <w:rsid w:val="0081254E"/>
    <w:rsid w:val="00812A34"/>
    <w:rsid w:val="00812AC7"/>
    <w:rsid w:val="00812AF7"/>
    <w:rsid w:val="00812BB4"/>
    <w:rsid w:val="00812C6A"/>
    <w:rsid w:val="00812C8F"/>
    <w:rsid w:val="00812D69"/>
    <w:rsid w:val="00812EA1"/>
    <w:rsid w:val="00812F8B"/>
    <w:rsid w:val="008132F8"/>
    <w:rsid w:val="00813781"/>
    <w:rsid w:val="008137FF"/>
    <w:rsid w:val="008138E1"/>
    <w:rsid w:val="008138E6"/>
    <w:rsid w:val="00813AAA"/>
    <w:rsid w:val="00813BAC"/>
    <w:rsid w:val="00813C0A"/>
    <w:rsid w:val="00813CC9"/>
    <w:rsid w:val="00813DF7"/>
    <w:rsid w:val="00813F3B"/>
    <w:rsid w:val="0081427A"/>
    <w:rsid w:val="00814474"/>
    <w:rsid w:val="00814683"/>
    <w:rsid w:val="00814694"/>
    <w:rsid w:val="008147BD"/>
    <w:rsid w:val="008148A9"/>
    <w:rsid w:val="00814CE0"/>
    <w:rsid w:val="00814D11"/>
    <w:rsid w:val="00814E1D"/>
    <w:rsid w:val="00814EC2"/>
    <w:rsid w:val="008150B9"/>
    <w:rsid w:val="008150D9"/>
    <w:rsid w:val="008153E3"/>
    <w:rsid w:val="008153F8"/>
    <w:rsid w:val="0081566D"/>
    <w:rsid w:val="008158E6"/>
    <w:rsid w:val="00815A86"/>
    <w:rsid w:val="00815C55"/>
    <w:rsid w:val="00815E63"/>
    <w:rsid w:val="00815F2E"/>
    <w:rsid w:val="00815FC9"/>
    <w:rsid w:val="008162BD"/>
    <w:rsid w:val="008163C8"/>
    <w:rsid w:val="0081646B"/>
    <w:rsid w:val="00816485"/>
    <w:rsid w:val="008164FC"/>
    <w:rsid w:val="0081685B"/>
    <w:rsid w:val="008168B7"/>
    <w:rsid w:val="00816D50"/>
    <w:rsid w:val="008171D1"/>
    <w:rsid w:val="00817275"/>
    <w:rsid w:val="0081731A"/>
    <w:rsid w:val="0081732A"/>
    <w:rsid w:val="00817349"/>
    <w:rsid w:val="00817CDE"/>
    <w:rsid w:val="00817E9C"/>
    <w:rsid w:val="008200A4"/>
    <w:rsid w:val="00820206"/>
    <w:rsid w:val="008202C8"/>
    <w:rsid w:val="00820416"/>
    <w:rsid w:val="00820593"/>
    <w:rsid w:val="00820B4A"/>
    <w:rsid w:val="00820DEE"/>
    <w:rsid w:val="00820E3C"/>
    <w:rsid w:val="00821035"/>
    <w:rsid w:val="00821180"/>
    <w:rsid w:val="0082141D"/>
    <w:rsid w:val="00821707"/>
    <w:rsid w:val="008219A9"/>
    <w:rsid w:val="008219BE"/>
    <w:rsid w:val="00821C7F"/>
    <w:rsid w:val="00821FFA"/>
    <w:rsid w:val="0082216D"/>
    <w:rsid w:val="00822261"/>
    <w:rsid w:val="008222CE"/>
    <w:rsid w:val="00822736"/>
    <w:rsid w:val="008228F7"/>
    <w:rsid w:val="00822983"/>
    <w:rsid w:val="008229CF"/>
    <w:rsid w:val="00822AFB"/>
    <w:rsid w:val="00822B3E"/>
    <w:rsid w:val="00822C31"/>
    <w:rsid w:val="00822CBD"/>
    <w:rsid w:val="00822DCE"/>
    <w:rsid w:val="00822EF8"/>
    <w:rsid w:val="0082303B"/>
    <w:rsid w:val="00823156"/>
    <w:rsid w:val="00823749"/>
    <w:rsid w:val="008239E2"/>
    <w:rsid w:val="00823ACF"/>
    <w:rsid w:val="00823D42"/>
    <w:rsid w:val="00823DF5"/>
    <w:rsid w:val="008240E6"/>
    <w:rsid w:val="0082427E"/>
    <w:rsid w:val="008245B7"/>
    <w:rsid w:val="00824769"/>
    <w:rsid w:val="0082478A"/>
    <w:rsid w:val="008249AB"/>
    <w:rsid w:val="00824A2B"/>
    <w:rsid w:val="00824AD7"/>
    <w:rsid w:val="00824BC3"/>
    <w:rsid w:val="00824BC7"/>
    <w:rsid w:val="00824C74"/>
    <w:rsid w:val="00824F38"/>
    <w:rsid w:val="00824F6D"/>
    <w:rsid w:val="00825AC3"/>
    <w:rsid w:val="00825DEE"/>
    <w:rsid w:val="00825F2D"/>
    <w:rsid w:val="00825FCE"/>
    <w:rsid w:val="00826062"/>
    <w:rsid w:val="008262D7"/>
    <w:rsid w:val="008263AE"/>
    <w:rsid w:val="008263DE"/>
    <w:rsid w:val="008264ED"/>
    <w:rsid w:val="0082674D"/>
    <w:rsid w:val="00826775"/>
    <w:rsid w:val="0082686A"/>
    <w:rsid w:val="00826EC4"/>
    <w:rsid w:val="00826EF7"/>
    <w:rsid w:val="0082711C"/>
    <w:rsid w:val="00827315"/>
    <w:rsid w:val="00827470"/>
    <w:rsid w:val="008274C2"/>
    <w:rsid w:val="008274E9"/>
    <w:rsid w:val="0082766E"/>
    <w:rsid w:val="00827A7A"/>
    <w:rsid w:val="00827B20"/>
    <w:rsid w:val="00827E07"/>
    <w:rsid w:val="00827FFD"/>
    <w:rsid w:val="0083037C"/>
    <w:rsid w:val="0083050F"/>
    <w:rsid w:val="00830524"/>
    <w:rsid w:val="008306F8"/>
    <w:rsid w:val="0083072F"/>
    <w:rsid w:val="00830905"/>
    <w:rsid w:val="00830C91"/>
    <w:rsid w:val="00830D94"/>
    <w:rsid w:val="00830E46"/>
    <w:rsid w:val="008313C1"/>
    <w:rsid w:val="008313F3"/>
    <w:rsid w:val="00831576"/>
    <w:rsid w:val="008315A0"/>
    <w:rsid w:val="00831785"/>
    <w:rsid w:val="0083195A"/>
    <w:rsid w:val="008319A9"/>
    <w:rsid w:val="00831A2C"/>
    <w:rsid w:val="00831C2F"/>
    <w:rsid w:val="00831C5C"/>
    <w:rsid w:val="00831C64"/>
    <w:rsid w:val="00831D26"/>
    <w:rsid w:val="00832282"/>
    <w:rsid w:val="008323B8"/>
    <w:rsid w:val="008323CB"/>
    <w:rsid w:val="00832427"/>
    <w:rsid w:val="008324DF"/>
    <w:rsid w:val="00832516"/>
    <w:rsid w:val="00832731"/>
    <w:rsid w:val="00832B93"/>
    <w:rsid w:val="00832C4A"/>
    <w:rsid w:val="0083310B"/>
    <w:rsid w:val="008331EF"/>
    <w:rsid w:val="008333E2"/>
    <w:rsid w:val="0083348D"/>
    <w:rsid w:val="008334F6"/>
    <w:rsid w:val="00833857"/>
    <w:rsid w:val="00833908"/>
    <w:rsid w:val="00833958"/>
    <w:rsid w:val="00833BEC"/>
    <w:rsid w:val="00833C5D"/>
    <w:rsid w:val="00833F4E"/>
    <w:rsid w:val="008340ED"/>
    <w:rsid w:val="008342E3"/>
    <w:rsid w:val="00834384"/>
    <w:rsid w:val="008343DD"/>
    <w:rsid w:val="008344BB"/>
    <w:rsid w:val="00834561"/>
    <w:rsid w:val="00834595"/>
    <w:rsid w:val="0083493A"/>
    <w:rsid w:val="00834A74"/>
    <w:rsid w:val="00834A9C"/>
    <w:rsid w:val="00834B1E"/>
    <w:rsid w:val="00834BD8"/>
    <w:rsid w:val="00834BE8"/>
    <w:rsid w:val="00834C1C"/>
    <w:rsid w:val="00834FE9"/>
    <w:rsid w:val="0083501A"/>
    <w:rsid w:val="008350A2"/>
    <w:rsid w:val="008352BF"/>
    <w:rsid w:val="00835428"/>
    <w:rsid w:val="00835451"/>
    <w:rsid w:val="0083552F"/>
    <w:rsid w:val="00835543"/>
    <w:rsid w:val="008357CB"/>
    <w:rsid w:val="00835867"/>
    <w:rsid w:val="00835BFF"/>
    <w:rsid w:val="00835D37"/>
    <w:rsid w:val="008361E8"/>
    <w:rsid w:val="0083628B"/>
    <w:rsid w:val="0083675F"/>
    <w:rsid w:val="0083696C"/>
    <w:rsid w:val="00837098"/>
    <w:rsid w:val="008370B4"/>
    <w:rsid w:val="0083717E"/>
    <w:rsid w:val="008371AD"/>
    <w:rsid w:val="0083729F"/>
    <w:rsid w:val="00837575"/>
    <w:rsid w:val="0083794F"/>
    <w:rsid w:val="008379BC"/>
    <w:rsid w:val="00837ABB"/>
    <w:rsid w:val="00837C14"/>
    <w:rsid w:val="00837CB6"/>
    <w:rsid w:val="00837D7A"/>
    <w:rsid w:val="00837E96"/>
    <w:rsid w:val="00837EC6"/>
    <w:rsid w:val="00837FE8"/>
    <w:rsid w:val="00840028"/>
    <w:rsid w:val="00840129"/>
    <w:rsid w:val="00840186"/>
    <w:rsid w:val="008402FE"/>
    <w:rsid w:val="00840573"/>
    <w:rsid w:val="0084061F"/>
    <w:rsid w:val="00840AEE"/>
    <w:rsid w:val="00840FDD"/>
    <w:rsid w:val="0084101F"/>
    <w:rsid w:val="0084114D"/>
    <w:rsid w:val="00841202"/>
    <w:rsid w:val="00841384"/>
    <w:rsid w:val="00841466"/>
    <w:rsid w:val="008414B9"/>
    <w:rsid w:val="00841646"/>
    <w:rsid w:val="008416AC"/>
    <w:rsid w:val="00841890"/>
    <w:rsid w:val="00841980"/>
    <w:rsid w:val="00841B5A"/>
    <w:rsid w:val="00841C0F"/>
    <w:rsid w:val="00841E9A"/>
    <w:rsid w:val="00842670"/>
    <w:rsid w:val="00842772"/>
    <w:rsid w:val="00842892"/>
    <w:rsid w:val="00842C37"/>
    <w:rsid w:val="00842E2D"/>
    <w:rsid w:val="0084321C"/>
    <w:rsid w:val="00843228"/>
    <w:rsid w:val="00843324"/>
    <w:rsid w:val="008434C7"/>
    <w:rsid w:val="008438AA"/>
    <w:rsid w:val="00843F0B"/>
    <w:rsid w:val="0084407E"/>
    <w:rsid w:val="008441DC"/>
    <w:rsid w:val="00844253"/>
    <w:rsid w:val="008443EE"/>
    <w:rsid w:val="00844704"/>
    <w:rsid w:val="00844716"/>
    <w:rsid w:val="0084488F"/>
    <w:rsid w:val="00844905"/>
    <w:rsid w:val="00844D14"/>
    <w:rsid w:val="00844E47"/>
    <w:rsid w:val="00844F32"/>
    <w:rsid w:val="00844F59"/>
    <w:rsid w:val="00845058"/>
    <w:rsid w:val="00845253"/>
    <w:rsid w:val="00845256"/>
    <w:rsid w:val="0084531A"/>
    <w:rsid w:val="008454B0"/>
    <w:rsid w:val="008456B2"/>
    <w:rsid w:val="0084582E"/>
    <w:rsid w:val="00845B5D"/>
    <w:rsid w:val="00845DA1"/>
    <w:rsid w:val="00845DFB"/>
    <w:rsid w:val="008462FB"/>
    <w:rsid w:val="00846418"/>
    <w:rsid w:val="00846432"/>
    <w:rsid w:val="0084656A"/>
    <w:rsid w:val="0084662F"/>
    <w:rsid w:val="00846640"/>
    <w:rsid w:val="008466D9"/>
    <w:rsid w:val="00846818"/>
    <w:rsid w:val="00846863"/>
    <w:rsid w:val="008468E7"/>
    <w:rsid w:val="00846914"/>
    <w:rsid w:val="008469BF"/>
    <w:rsid w:val="00846B08"/>
    <w:rsid w:val="00846BBA"/>
    <w:rsid w:val="00846D26"/>
    <w:rsid w:val="00846F22"/>
    <w:rsid w:val="00846FA2"/>
    <w:rsid w:val="0084705D"/>
    <w:rsid w:val="008470FE"/>
    <w:rsid w:val="00847209"/>
    <w:rsid w:val="00847372"/>
    <w:rsid w:val="0084746C"/>
    <w:rsid w:val="0084781E"/>
    <w:rsid w:val="00847A06"/>
    <w:rsid w:val="00847A5F"/>
    <w:rsid w:val="00847BAD"/>
    <w:rsid w:val="00847C8F"/>
    <w:rsid w:val="00847CB4"/>
    <w:rsid w:val="00847CC2"/>
    <w:rsid w:val="00847D9E"/>
    <w:rsid w:val="00850069"/>
    <w:rsid w:val="008500C1"/>
    <w:rsid w:val="008501C2"/>
    <w:rsid w:val="0085034D"/>
    <w:rsid w:val="00850507"/>
    <w:rsid w:val="00850590"/>
    <w:rsid w:val="0085062B"/>
    <w:rsid w:val="0085082E"/>
    <w:rsid w:val="00850B60"/>
    <w:rsid w:val="00850D59"/>
    <w:rsid w:val="00850E68"/>
    <w:rsid w:val="00850E8B"/>
    <w:rsid w:val="00850F9D"/>
    <w:rsid w:val="00851209"/>
    <w:rsid w:val="00851298"/>
    <w:rsid w:val="008518DA"/>
    <w:rsid w:val="00851A17"/>
    <w:rsid w:val="00851B63"/>
    <w:rsid w:val="00851FE0"/>
    <w:rsid w:val="00852052"/>
    <w:rsid w:val="00852225"/>
    <w:rsid w:val="0085245A"/>
    <w:rsid w:val="0085248C"/>
    <w:rsid w:val="008524E3"/>
    <w:rsid w:val="00852637"/>
    <w:rsid w:val="008526FE"/>
    <w:rsid w:val="00852832"/>
    <w:rsid w:val="00852938"/>
    <w:rsid w:val="008532F9"/>
    <w:rsid w:val="00853428"/>
    <w:rsid w:val="008535D1"/>
    <w:rsid w:val="00853677"/>
    <w:rsid w:val="0085418C"/>
    <w:rsid w:val="00854379"/>
    <w:rsid w:val="008544EC"/>
    <w:rsid w:val="008546B3"/>
    <w:rsid w:val="00854A2A"/>
    <w:rsid w:val="00854C41"/>
    <w:rsid w:val="00854D3A"/>
    <w:rsid w:val="00854F7E"/>
    <w:rsid w:val="0085509D"/>
    <w:rsid w:val="00855154"/>
    <w:rsid w:val="00855191"/>
    <w:rsid w:val="00855215"/>
    <w:rsid w:val="00855280"/>
    <w:rsid w:val="00855465"/>
    <w:rsid w:val="0085580C"/>
    <w:rsid w:val="00855845"/>
    <w:rsid w:val="00855C07"/>
    <w:rsid w:val="00855D6E"/>
    <w:rsid w:val="00856111"/>
    <w:rsid w:val="00856264"/>
    <w:rsid w:val="00856461"/>
    <w:rsid w:val="008566C0"/>
    <w:rsid w:val="0085671D"/>
    <w:rsid w:val="00856B14"/>
    <w:rsid w:val="00856B48"/>
    <w:rsid w:val="00856DA3"/>
    <w:rsid w:val="00856E9F"/>
    <w:rsid w:val="008571AC"/>
    <w:rsid w:val="008571CB"/>
    <w:rsid w:val="008575FF"/>
    <w:rsid w:val="00857622"/>
    <w:rsid w:val="008576AF"/>
    <w:rsid w:val="0085788E"/>
    <w:rsid w:val="008578E6"/>
    <w:rsid w:val="0085799B"/>
    <w:rsid w:val="00857C00"/>
    <w:rsid w:val="00857D48"/>
    <w:rsid w:val="00860065"/>
    <w:rsid w:val="008600DD"/>
    <w:rsid w:val="00860197"/>
    <w:rsid w:val="0086021E"/>
    <w:rsid w:val="008604FC"/>
    <w:rsid w:val="008606B0"/>
    <w:rsid w:val="00860A4A"/>
    <w:rsid w:val="00860AEF"/>
    <w:rsid w:val="00860BB3"/>
    <w:rsid w:val="00860D32"/>
    <w:rsid w:val="00860EB4"/>
    <w:rsid w:val="0086108D"/>
    <w:rsid w:val="00861373"/>
    <w:rsid w:val="008613B2"/>
    <w:rsid w:val="00861615"/>
    <w:rsid w:val="0086163B"/>
    <w:rsid w:val="00861649"/>
    <w:rsid w:val="0086166E"/>
    <w:rsid w:val="008617CB"/>
    <w:rsid w:val="008618AD"/>
    <w:rsid w:val="008618D4"/>
    <w:rsid w:val="008618DB"/>
    <w:rsid w:val="0086198B"/>
    <w:rsid w:val="00861A99"/>
    <w:rsid w:val="00861DC5"/>
    <w:rsid w:val="00861E6E"/>
    <w:rsid w:val="00861FEE"/>
    <w:rsid w:val="008620D9"/>
    <w:rsid w:val="00862248"/>
    <w:rsid w:val="0086252F"/>
    <w:rsid w:val="00862627"/>
    <w:rsid w:val="0086264E"/>
    <w:rsid w:val="0086273E"/>
    <w:rsid w:val="00862774"/>
    <w:rsid w:val="00862789"/>
    <w:rsid w:val="0086285E"/>
    <w:rsid w:val="008628E2"/>
    <w:rsid w:val="00862FF3"/>
    <w:rsid w:val="00863275"/>
    <w:rsid w:val="008637B3"/>
    <w:rsid w:val="00863C06"/>
    <w:rsid w:val="00863D49"/>
    <w:rsid w:val="00863D7F"/>
    <w:rsid w:val="00864021"/>
    <w:rsid w:val="00864106"/>
    <w:rsid w:val="0086452E"/>
    <w:rsid w:val="008648C0"/>
    <w:rsid w:val="008648E4"/>
    <w:rsid w:val="00864C53"/>
    <w:rsid w:val="00864D79"/>
    <w:rsid w:val="00864F7B"/>
    <w:rsid w:val="008653AB"/>
    <w:rsid w:val="00865433"/>
    <w:rsid w:val="00865561"/>
    <w:rsid w:val="00865679"/>
    <w:rsid w:val="008656B1"/>
    <w:rsid w:val="0086587C"/>
    <w:rsid w:val="00865A89"/>
    <w:rsid w:val="00865C60"/>
    <w:rsid w:val="00865D45"/>
    <w:rsid w:val="00865E54"/>
    <w:rsid w:val="00865E97"/>
    <w:rsid w:val="00866035"/>
    <w:rsid w:val="0086616B"/>
    <w:rsid w:val="00866181"/>
    <w:rsid w:val="00866287"/>
    <w:rsid w:val="008664B9"/>
    <w:rsid w:val="00866745"/>
    <w:rsid w:val="008668F8"/>
    <w:rsid w:val="00866980"/>
    <w:rsid w:val="00866AC4"/>
    <w:rsid w:val="00866B0B"/>
    <w:rsid w:val="00866B34"/>
    <w:rsid w:val="00866C8E"/>
    <w:rsid w:val="00866DC9"/>
    <w:rsid w:val="00866F27"/>
    <w:rsid w:val="008670EE"/>
    <w:rsid w:val="00867385"/>
    <w:rsid w:val="008675A1"/>
    <w:rsid w:val="008677DE"/>
    <w:rsid w:val="00867B04"/>
    <w:rsid w:val="00867C74"/>
    <w:rsid w:val="00867DD6"/>
    <w:rsid w:val="00867E21"/>
    <w:rsid w:val="00867F0D"/>
    <w:rsid w:val="00867FEC"/>
    <w:rsid w:val="0087001F"/>
    <w:rsid w:val="0087019D"/>
    <w:rsid w:val="00870BCC"/>
    <w:rsid w:val="00870C36"/>
    <w:rsid w:val="00870DA8"/>
    <w:rsid w:val="00871039"/>
    <w:rsid w:val="008710A7"/>
    <w:rsid w:val="008711BB"/>
    <w:rsid w:val="008712FA"/>
    <w:rsid w:val="008714B9"/>
    <w:rsid w:val="00871588"/>
    <w:rsid w:val="008715BE"/>
    <w:rsid w:val="008715D0"/>
    <w:rsid w:val="00871C53"/>
    <w:rsid w:val="00871D91"/>
    <w:rsid w:val="00871E58"/>
    <w:rsid w:val="00871F66"/>
    <w:rsid w:val="0087210C"/>
    <w:rsid w:val="0087214D"/>
    <w:rsid w:val="00872173"/>
    <w:rsid w:val="00872221"/>
    <w:rsid w:val="0087222D"/>
    <w:rsid w:val="008722E3"/>
    <w:rsid w:val="00872408"/>
    <w:rsid w:val="008725DF"/>
    <w:rsid w:val="00872684"/>
    <w:rsid w:val="0087269E"/>
    <w:rsid w:val="008726FE"/>
    <w:rsid w:val="00872A96"/>
    <w:rsid w:val="00872F4F"/>
    <w:rsid w:val="00873009"/>
    <w:rsid w:val="00873159"/>
    <w:rsid w:val="00873325"/>
    <w:rsid w:val="00873425"/>
    <w:rsid w:val="00873452"/>
    <w:rsid w:val="0087350F"/>
    <w:rsid w:val="008736CD"/>
    <w:rsid w:val="008737AE"/>
    <w:rsid w:val="00873A77"/>
    <w:rsid w:val="00873C04"/>
    <w:rsid w:val="00873C19"/>
    <w:rsid w:val="00873C2F"/>
    <w:rsid w:val="00873C6B"/>
    <w:rsid w:val="00873F3F"/>
    <w:rsid w:val="00874011"/>
    <w:rsid w:val="008741E6"/>
    <w:rsid w:val="00874256"/>
    <w:rsid w:val="0087427D"/>
    <w:rsid w:val="008743B8"/>
    <w:rsid w:val="008745E8"/>
    <w:rsid w:val="008746CB"/>
    <w:rsid w:val="008746D5"/>
    <w:rsid w:val="00874806"/>
    <w:rsid w:val="00874CB1"/>
    <w:rsid w:val="00874E30"/>
    <w:rsid w:val="00874E62"/>
    <w:rsid w:val="00874F6A"/>
    <w:rsid w:val="0087537A"/>
    <w:rsid w:val="00875387"/>
    <w:rsid w:val="00875524"/>
    <w:rsid w:val="00875563"/>
    <w:rsid w:val="008758F6"/>
    <w:rsid w:val="00875AB3"/>
    <w:rsid w:val="00875B81"/>
    <w:rsid w:val="00875C0A"/>
    <w:rsid w:val="008762F3"/>
    <w:rsid w:val="008763F3"/>
    <w:rsid w:val="0087646F"/>
    <w:rsid w:val="008765D6"/>
    <w:rsid w:val="0087679B"/>
    <w:rsid w:val="00876813"/>
    <w:rsid w:val="008768E8"/>
    <w:rsid w:val="00876D66"/>
    <w:rsid w:val="00876D97"/>
    <w:rsid w:val="00876D98"/>
    <w:rsid w:val="00876E6C"/>
    <w:rsid w:val="00876E88"/>
    <w:rsid w:val="00876E89"/>
    <w:rsid w:val="00876F90"/>
    <w:rsid w:val="0087734A"/>
    <w:rsid w:val="00877383"/>
    <w:rsid w:val="00877465"/>
    <w:rsid w:val="00877588"/>
    <w:rsid w:val="00877639"/>
    <w:rsid w:val="00877AB1"/>
    <w:rsid w:val="00877F8C"/>
    <w:rsid w:val="0088029A"/>
    <w:rsid w:val="008802E1"/>
    <w:rsid w:val="0088031D"/>
    <w:rsid w:val="008803BA"/>
    <w:rsid w:val="008803D9"/>
    <w:rsid w:val="00880410"/>
    <w:rsid w:val="00880518"/>
    <w:rsid w:val="0088052B"/>
    <w:rsid w:val="00880531"/>
    <w:rsid w:val="00880589"/>
    <w:rsid w:val="00880748"/>
    <w:rsid w:val="00880834"/>
    <w:rsid w:val="00880A38"/>
    <w:rsid w:val="00880B8C"/>
    <w:rsid w:val="00880D9B"/>
    <w:rsid w:val="00880DED"/>
    <w:rsid w:val="00880EF2"/>
    <w:rsid w:val="00880F97"/>
    <w:rsid w:val="008814CA"/>
    <w:rsid w:val="008815DC"/>
    <w:rsid w:val="008815ED"/>
    <w:rsid w:val="00881851"/>
    <w:rsid w:val="008819E1"/>
    <w:rsid w:val="00882076"/>
    <w:rsid w:val="008823E6"/>
    <w:rsid w:val="0088256F"/>
    <w:rsid w:val="00882600"/>
    <w:rsid w:val="0088270D"/>
    <w:rsid w:val="00882AB0"/>
    <w:rsid w:val="00882D95"/>
    <w:rsid w:val="00882E19"/>
    <w:rsid w:val="00882EB8"/>
    <w:rsid w:val="00882EC6"/>
    <w:rsid w:val="00882ED2"/>
    <w:rsid w:val="00882F7F"/>
    <w:rsid w:val="00883001"/>
    <w:rsid w:val="0088310B"/>
    <w:rsid w:val="0088324E"/>
    <w:rsid w:val="00883598"/>
    <w:rsid w:val="00883766"/>
    <w:rsid w:val="008837BE"/>
    <w:rsid w:val="00883819"/>
    <w:rsid w:val="00883A21"/>
    <w:rsid w:val="00883B55"/>
    <w:rsid w:val="00883B8C"/>
    <w:rsid w:val="00883BB3"/>
    <w:rsid w:val="00883C44"/>
    <w:rsid w:val="00883CDE"/>
    <w:rsid w:val="00883D84"/>
    <w:rsid w:val="00883DBB"/>
    <w:rsid w:val="008847D4"/>
    <w:rsid w:val="008849DE"/>
    <w:rsid w:val="00884DA5"/>
    <w:rsid w:val="0088505C"/>
    <w:rsid w:val="00885120"/>
    <w:rsid w:val="00885153"/>
    <w:rsid w:val="00885263"/>
    <w:rsid w:val="00885286"/>
    <w:rsid w:val="0088547A"/>
    <w:rsid w:val="008858D8"/>
    <w:rsid w:val="008859E4"/>
    <w:rsid w:val="00885DC9"/>
    <w:rsid w:val="00885E4C"/>
    <w:rsid w:val="00885F72"/>
    <w:rsid w:val="0088617E"/>
    <w:rsid w:val="008864E8"/>
    <w:rsid w:val="0088655B"/>
    <w:rsid w:val="0088655C"/>
    <w:rsid w:val="008869FB"/>
    <w:rsid w:val="00886AEF"/>
    <w:rsid w:val="00886BCC"/>
    <w:rsid w:val="00886C95"/>
    <w:rsid w:val="00886F09"/>
    <w:rsid w:val="0088700E"/>
    <w:rsid w:val="00887238"/>
    <w:rsid w:val="0088724F"/>
    <w:rsid w:val="0088727D"/>
    <w:rsid w:val="00887326"/>
    <w:rsid w:val="00887338"/>
    <w:rsid w:val="00887368"/>
    <w:rsid w:val="008873B0"/>
    <w:rsid w:val="0088753F"/>
    <w:rsid w:val="00887AD0"/>
    <w:rsid w:val="00887C2C"/>
    <w:rsid w:val="008901EB"/>
    <w:rsid w:val="00890340"/>
    <w:rsid w:val="00890404"/>
    <w:rsid w:val="00890445"/>
    <w:rsid w:val="0089063B"/>
    <w:rsid w:val="00890989"/>
    <w:rsid w:val="00890A0F"/>
    <w:rsid w:val="00890B1C"/>
    <w:rsid w:val="00890DDA"/>
    <w:rsid w:val="00890E02"/>
    <w:rsid w:val="00890F28"/>
    <w:rsid w:val="0089104D"/>
    <w:rsid w:val="00891050"/>
    <w:rsid w:val="00891216"/>
    <w:rsid w:val="00891A23"/>
    <w:rsid w:val="00891B34"/>
    <w:rsid w:val="00891B6F"/>
    <w:rsid w:val="00891B80"/>
    <w:rsid w:val="00891CF7"/>
    <w:rsid w:val="00891F37"/>
    <w:rsid w:val="00892098"/>
    <w:rsid w:val="0089235C"/>
    <w:rsid w:val="008924A1"/>
    <w:rsid w:val="00892603"/>
    <w:rsid w:val="008929D2"/>
    <w:rsid w:val="00892A3E"/>
    <w:rsid w:val="00892D47"/>
    <w:rsid w:val="00892D79"/>
    <w:rsid w:val="00892EEC"/>
    <w:rsid w:val="00893489"/>
    <w:rsid w:val="008935FB"/>
    <w:rsid w:val="00893905"/>
    <w:rsid w:val="0089399F"/>
    <w:rsid w:val="008939A4"/>
    <w:rsid w:val="008939EF"/>
    <w:rsid w:val="00893C4A"/>
    <w:rsid w:val="00893D22"/>
    <w:rsid w:val="00893D76"/>
    <w:rsid w:val="00893FAB"/>
    <w:rsid w:val="00893FE4"/>
    <w:rsid w:val="00894141"/>
    <w:rsid w:val="00894249"/>
    <w:rsid w:val="0089427D"/>
    <w:rsid w:val="0089468D"/>
    <w:rsid w:val="00894A2C"/>
    <w:rsid w:val="00894BB9"/>
    <w:rsid w:val="00894F04"/>
    <w:rsid w:val="00894F8B"/>
    <w:rsid w:val="008951A2"/>
    <w:rsid w:val="0089521D"/>
    <w:rsid w:val="00895453"/>
    <w:rsid w:val="0089560E"/>
    <w:rsid w:val="00895613"/>
    <w:rsid w:val="00895674"/>
    <w:rsid w:val="008956D2"/>
    <w:rsid w:val="00895AFC"/>
    <w:rsid w:val="00895BB8"/>
    <w:rsid w:val="00895BE2"/>
    <w:rsid w:val="00895CD0"/>
    <w:rsid w:val="00895CF5"/>
    <w:rsid w:val="00895F57"/>
    <w:rsid w:val="008962A2"/>
    <w:rsid w:val="008962DD"/>
    <w:rsid w:val="0089673D"/>
    <w:rsid w:val="0089674A"/>
    <w:rsid w:val="00896827"/>
    <w:rsid w:val="00896A16"/>
    <w:rsid w:val="00896A65"/>
    <w:rsid w:val="00896ACF"/>
    <w:rsid w:val="00896B6A"/>
    <w:rsid w:val="00896BD6"/>
    <w:rsid w:val="00896D3F"/>
    <w:rsid w:val="00896DF9"/>
    <w:rsid w:val="00896E06"/>
    <w:rsid w:val="00896E53"/>
    <w:rsid w:val="00896EBE"/>
    <w:rsid w:val="00896FA2"/>
    <w:rsid w:val="0089707B"/>
    <w:rsid w:val="008974A0"/>
    <w:rsid w:val="0089777B"/>
    <w:rsid w:val="00897A56"/>
    <w:rsid w:val="00897AA7"/>
    <w:rsid w:val="00897B27"/>
    <w:rsid w:val="00897D03"/>
    <w:rsid w:val="0089A924"/>
    <w:rsid w:val="008A0042"/>
    <w:rsid w:val="008A00EC"/>
    <w:rsid w:val="008A05C5"/>
    <w:rsid w:val="008A0624"/>
    <w:rsid w:val="008A0E7D"/>
    <w:rsid w:val="008A107E"/>
    <w:rsid w:val="008A1165"/>
    <w:rsid w:val="008A11FA"/>
    <w:rsid w:val="008A12CD"/>
    <w:rsid w:val="008A161C"/>
    <w:rsid w:val="008A1938"/>
    <w:rsid w:val="008A198C"/>
    <w:rsid w:val="008A1A4D"/>
    <w:rsid w:val="008A1C27"/>
    <w:rsid w:val="008A1C2B"/>
    <w:rsid w:val="008A1CCC"/>
    <w:rsid w:val="008A1D48"/>
    <w:rsid w:val="008A2067"/>
    <w:rsid w:val="008A22B6"/>
    <w:rsid w:val="008A233C"/>
    <w:rsid w:val="008A2348"/>
    <w:rsid w:val="008A289B"/>
    <w:rsid w:val="008A2A9E"/>
    <w:rsid w:val="008A2AAE"/>
    <w:rsid w:val="008A2CE9"/>
    <w:rsid w:val="008A2D0D"/>
    <w:rsid w:val="008A32AD"/>
    <w:rsid w:val="008A341F"/>
    <w:rsid w:val="008A35A3"/>
    <w:rsid w:val="008A3674"/>
    <w:rsid w:val="008A37B0"/>
    <w:rsid w:val="008A37CB"/>
    <w:rsid w:val="008A3863"/>
    <w:rsid w:val="008A3B8F"/>
    <w:rsid w:val="008A3C1D"/>
    <w:rsid w:val="008A3C3E"/>
    <w:rsid w:val="008A3D60"/>
    <w:rsid w:val="008A3DD5"/>
    <w:rsid w:val="008A3E43"/>
    <w:rsid w:val="008A3F67"/>
    <w:rsid w:val="008A3F83"/>
    <w:rsid w:val="008A403F"/>
    <w:rsid w:val="008A40D6"/>
    <w:rsid w:val="008A4559"/>
    <w:rsid w:val="008A4922"/>
    <w:rsid w:val="008A4D3E"/>
    <w:rsid w:val="008A4D50"/>
    <w:rsid w:val="008A4DB4"/>
    <w:rsid w:val="008A4EC7"/>
    <w:rsid w:val="008A51BA"/>
    <w:rsid w:val="008A5463"/>
    <w:rsid w:val="008A55CF"/>
    <w:rsid w:val="008A5675"/>
    <w:rsid w:val="008A57DE"/>
    <w:rsid w:val="008A5999"/>
    <w:rsid w:val="008A6133"/>
    <w:rsid w:val="008A6475"/>
    <w:rsid w:val="008A6661"/>
    <w:rsid w:val="008A686C"/>
    <w:rsid w:val="008A6A87"/>
    <w:rsid w:val="008A6FF3"/>
    <w:rsid w:val="008A7046"/>
    <w:rsid w:val="008A70C3"/>
    <w:rsid w:val="008A7285"/>
    <w:rsid w:val="008A7760"/>
    <w:rsid w:val="008A77AB"/>
    <w:rsid w:val="008A7890"/>
    <w:rsid w:val="008A7A49"/>
    <w:rsid w:val="008A7AC3"/>
    <w:rsid w:val="008A7AE1"/>
    <w:rsid w:val="008A7C09"/>
    <w:rsid w:val="008A7E4A"/>
    <w:rsid w:val="008A7ECD"/>
    <w:rsid w:val="008A7F26"/>
    <w:rsid w:val="008A7FBB"/>
    <w:rsid w:val="008B000F"/>
    <w:rsid w:val="008B0033"/>
    <w:rsid w:val="008B0174"/>
    <w:rsid w:val="008B0285"/>
    <w:rsid w:val="008B028B"/>
    <w:rsid w:val="008B03F0"/>
    <w:rsid w:val="008B046F"/>
    <w:rsid w:val="008B0578"/>
    <w:rsid w:val="008B063D"/>
    <w:rsid w:val="008B06F1"/>
    <w:rsid w:val="008B07DF"/>
    <w:rsid w:val="008B07E3"/>
    <w:rsid w:val="008B0894"/>
    <w:rsid w:val="008B08B4"/>
    <w:rsid w:val="008B09DA"/>
    <w:rsid w:val="008B0A03"/>
    <w:rsid w:val="008B0A62"/>
    <w:rsid w:val="008B0B18"/>
    <w:rsid w:val="008B0CFF"/>
    <w:rsid w:val="008B0E73"/>
    <w:rsid w:val="008B0ED1"/>
    <w:rsid w:val="008B1250"/>
    <w:rsid w:val="008B15DE"/>
    <w:rsid w:val="008B1781"/>
    <w:rsid w:val="008B183F"/>
    <w:rsid w:val="008B1BBF"/>
    <w:rsid w:val="008B1D40"/>
    <w:rsid w:val="008B2077"/>
    <w:rsid w:val="008B212D"/>
    <w:rsid w:val="008B218F"/>
    <w:rsid w:val="008B2298"/>
    <w:rsid w:val="008B2542"/>
    <w:rsid w:val="008B2551"/>
    <w:rsid w:val="008B26A8"/>
    <w:rsid w:val="008B273E"/>
    <w:rsid w:val="008B27E4"/>
    <w:rsid w:val="008B28AD"/>
    <w:rsid w:val="008B2A4B"/>
    <w:rsid w:val="008B2CDC"/>
    <w:rsid w:val="008B2F39"/>
    <w:rsid w:val="008B3224"/>
    <w:rsid w:val="008B3258"/>
    <w:rsid w:val="008B32AD"/>
    <w:rsid w:val="008B3347"/>
    <w:rsid w:val="008B3410"/>
    <w:rsid w:val="008B3918"/>
    <w:rsid w:val="008B3A44"/>
    <w:rsid w:val="008B3B02"/>
    <w:rsid w:val="008B3FEC"/>
    <w:rsid w:val="008B4010"/>
    <w:rsid w:val="008B419F"/>
    <w:rsid w:val="008B42F3"/>
    <w:rsid w:val="008B4321"/>
    <w:rsid w:val="008B498C"/>
    <w:rsid w:val="008B4A4E"/>
    <w:rsid w:val="008B4B5E"/>
    <w:rsid w:val="008B4BA0"/>
    <w:rsid w:val="008B4BEE"/>
    <w:rsid w:val="008B4C92"/>
    <w:rsid w:val="008B4DDB"/>
    <w:rsid w:val="008B4F08"/>
    <w:rsid w:val="008B4F16"/>
    <w:rsid w:val="008B5029"/>
    <w:rsid w:val="008B5249"/>
    <w:rsid w:val="008B53C8"/>
    <w:rsid w:val="008B55F7"/>
    <w:rsid w:val="008B574A"/>
    <w:rsid w:val="008B599D"/>
    <w:rsid w:val="008B5BC1"/>
    <w:rsid w:val="008B5D73"/>
    <w:rsid w:val="008B63E9"/>
    <w:rsid w:val="008B64EE"/>
    <w:rsid w:val="008B6550"/>
    <w:rsid w:val="008B65BA"/>
    <w:rsid w:val="008B673B"/>
    <w:rsid w:val="008B690D"/>
    <w:rsid w:val="008B6A6A"/>
    <w:rsid w:val="008B6C76"/>
    <w:rsid w:val="008B6D18"/>
    <w:rsid w:val="008B6F1F"/>
    <w:rsid w:val="008B755A"/>
    <w:rsid w:val="008B75BB"/>
    <w:rsid w:val="008B7844"/>
    <w:rsid w:val="008B79D1"/>
    <w:rsid w:val="008B79EB"/>
    <w:rsid w:val="008B7A1A"/>
    <w:rsid w:val="008B7A1E"/>
    <w:rsid w:val="008B7B7E"/>
    <w:rsid w:val="008B7DBD"/>
    <w:rsid w:val="008B7E07"/>
    <w:rsid w:val="008C06B4"/>
    <w:rsid w:val="008C072D"/>
    <w:rsid w:val="008C094E"/>
    <w:rsid w:val="008C0BA5"/>
    <w:rsid w:val="008C0D0F"/>
    <w:rsid w:val="008C120F"/>
    <w:rsid w:val="008C121B"/>
    <w:rsid w:val="008C1265"/>
    <w:rsid w:val="008C156E"/>
    <w:rsid w:val="008C1583"/>
    <w:rsid w:val="008C15A6"/>
    <w:rsid w:val="008C1730"/>
    <w:rsid w:val="008C19A4"/>
    <w:rsid w:val="008C19B8"/>
    <w:rsid w:val="008C1AC3"/>
    <w:rsid w:val="008C1CBA"/>
    <w:rsid w:val="008C20C9"/>
    <w:rsid w:val="008C218E"/>
    <w:rsid w:val="008C247B"/>
    <w:rsid w:val="008C253C"/>
    <w:rsid w:val="008C253F"/>
    <w:rsid w:val="008C25F5"/>
    <w:rsid w:val="008C271E"/>
    <w:rsid w:val="008C27DF"/>
    <w:rsid w:val="008C2C41"/>
    <w:rsid w:val="008C2E18"/>
    <w:rsid w:val="008C2E36"/>
    <w:rsid w:val="008C2F48"/>
    <w:rsid w:val="008C2F83"/>
    <w:rsid w:val="008C3286"/>
    <w:rsid w:val="008C362E"/>
    <w:rsid w:val="008C3AA0"/>
    <w:rsid w:val="008C3ACD"/>
    <w:rsid w:val="008C3E81"/>
    <w:rsid w:val="008C412F"/>
    <w:rsid w:val="008C430C"/>
    <w:rsid w:val="008C44CF"/>
    <w:rsid w:val="008C4851"/>
    <w:rsid w:val="008C4910"/>
    <w:rsid w:val="008C4B55"/>
    <w:rsid w:val="008C4D2D"/>
    <w:rsid w:val="008C4EE8"/>
    <w:rsid w:val="008C4F74"/>
    <w:rsid w:val="008C51EC"/>
    <w:rsid w:val="008C563E"/>
    <w:rsid w:val="008C564B"/>
    <w:rsid w:val="008C5F59"/>
    <w:rsid w:val="008C63CA"/>
    <w:rsid w:val="008C63D8"/>
    <w:rsid w:val="008C647A"/>
    <w:rsid w:val="008C64F3"/>
    <w:rsid w:val="008C66E2"/>
    <w:rsid w:val="008C6874"/>
    <w:rsid w:val="008C6A2F"/>
    <w:rsid w:val="008C6B25"/>
    <w:rsid w:val="008C6CC8"/>
    <w:rsid w:val="008C6DFF"/>
    <w:rsid w:val="008C6E0F"/>
    <w:rsid w:val="008C6E91"/>
    <w:rsid w:val="008C7185"/>
    <w:rsid w:val="008C7249"/>
    <w:rsid w:val="008C725E"/>
    <w:rsid w:val="008C72AD"/>
    <w:rsid w:val="008C7446"/>
    <w:rsid w:val="008C7647"/>
    <w:rsid w:val="008C7A28"/>
    <w:rsid w:val="008C7A29"/>
    <w:rsid w:val="008C7C74"/>
    <w:rsid w:val="008C7CEA"/>
    <w:rsid w:val="008C7D18"/>
    <w:rsid w:val="008C7E01"/>
    <w:rsid w:val="008D0051"/>
    <w:rsid w:val="008D01FA"/>
    <w:rsid w:val="008D021C"/>
    <w:rsid w:val="008D0B38"/>
    <w:rsid w:val="008D0B89"/>
    <w:rsid w:val="008D104D"/>
    <w:rsid w:val="008D11CB"/>
    <w:rsid w:val="008D12E0"/>
    <w:rsid w:val="008D1408"/>
    <w:rsid w:val="008D14EC"/>
    <w:rsid w:val="008D157E"/>
    <w:rsid w:val="008D1903"/>
    <w:rsid w:val="008D1C2C"/>
    <w:rsid w:val="008D1F7D"/>
    <w:rsid w:val="008D1F9B"/>
    <w:rsid w:val="008D1FF2"/>
    <w:rsid w:val="008D22E1"/>
    <w:rsid w:val="008D24FF"/>
    <w:rsid w:val="008D268A"/>
    <w:rsid w:val="008D2744"/>
    <w:rsid w:val="008D27AD"/>
    <w:rsid w:val="008D27BB"/>
    <w:rsid w:val="008D2930"/>
    <w:rsid w:val="008D2952"/>
    <w:rsid w:val="008D2C39"/>
    <w:rsid w:val="008D348C"/>
    <w:rsid w:val="008D37DE"/>
    <w:rsid w:val="008D381C"/>
    <w:rsid w:val="008D395C"/>
    <w:rsid w:val="008D3A72"/>
    <w:rsid w:val="008D3DDA"/>
    <w:rsid w:val="008D3E49"/>
    <w:rsid w:val="008D3E53"/>
    <w:rsid w:val="008D405B"/>
    <w:rsid w:val="008D429D"/>
    <w:rsid w:val="008D453C"/>
    <w:rsid w:val="008D47FB"/>
    <w:rsid w:val="008D4937"/>
    <w:rsid w:val="008D49E6"/>
    <w:rsid w:val="008D4AE5"/>
    <w:rsid w:val="008D4DF4"/>
    <w:rsid w:val="008D4F00"/>
    <w:rsid w:val="008D4F75"/>
    <w:rsid w:val="008D517F"/>
    <w:rsid w:val="008D520C"/>
    <w:rsid w:val="008D527A"/>
    <w:rsid w:val="008D5363"/>
    <w:rsid w:val="008D542C"/>
    <w:rsid w:val="008D5493"/>
    <w:rsid w:val="008D54F5"/>
    <w:rsid w:val="008D5650"/>
    <w:rsid w:val="008D56AA"/>
    <w:rsid w:val="008D5742"/>
    <w:rsid w:val="008D5C9B"/>
    <w:rsid w:val="008D5D21"/>
    <w:rsid w:val="008D5E0D"/>
    <w:rsid w:val="008D5FCF"/>
    <w:rsid w:val="008D6174"/>
    <w:rsid w:val="008D63B0"/>
    <w:rsid w:val="008D63E6"/>
    <w:rsid w:val="008D6714"/>
    <w:rsid w:val="008D6C7A"/>
    <w:rsid w:val="008D6C96"/>
    <w:rsid w:val="008D6CFB"/>
    <w:rsid w:val="008D6D6B"/>
    <w:rsid w:val="008D6E97"/>
    <w:rsid w:val="008D742C"/>
    <w:rsid w:val="008D7529"/>
    <w:rsid w:val="008D772B"/>
    <w:rsid w:val="008D7AC2"/>
    <w:rsid w:val="008D7CB8"/>
    <w:rsid w:val="008D7D8B"/>
    <w:rsid w:val="008D7E52"/>
    <w:rsid w:val="008D7FC8"/>
    <w:rsid w:val="008E0149"/>
    <w:rsid w:val="008E02B7"/>
    <w:rsid w:val="008E0314"/>
    <w:rsid w:val="008E0357"/>
    <w:rsid w:val="008E0674"/>
    <w:rsid w:val="008E0A90"/>
    <w:rsid w:val="008E0B03"/>
    <w:rsid w:val="008E0BF9"/>
    <w:rsid w:val="008E0CAD"/>
    <w:rsid w:val="008E0CD7"/>
    <w:rsid w:val="008E0D76"/>
    <w:rsid w:val="008E0DA4"/>
    <w:rsid w:val="008E1164"/>
    <w:rsid w:val="008E15B5"/>
    <w:rsid w:val="008E16BC"/>
    <w:rsid w:val="008E17FD"/>
    <w:rsid w:val="008E18E1"/>
    <w:rsid w:val="008E18E8"/>
    <w:rsid w:val="008E19F5"/>
    <w:rsid w:val="008E1B6F"/>
    <w:rsid w:val="008E1FE1"/>
    <w:rsid w:val="008E2183"/>
    <w:rsid w:val="008E218F"/>
    <w:rsid w:val="008E21C4"/>
    <w:rsid w:val="008E224C"/>
    <w:rsid w:val="008E263E"/>
    <w:rsid w:val="008E26E5"/>
    <w:rsid w:val="008E2B23"/>
    <w:rsid w:val="008E2B67"/>
    <w:rsid w:val="008E2B68"/>
    <w:rsid w:val="008E2C7F"/>
    <w:rsid w:val="008E2CE4"/>
    <w:rsid w:val="008E2E3A"/>
    <w:rsid w:val="008E2EC7"/>
    <w:rsid w:val="008E2ED5"/>
    <w:rsid w:val="008E2EE8"/>
    <w:rsid w:val="008E2F1B"/>
    <w:rsid w:val="008E2F50"/>
    <w:rsid w:val="008E3554"/>
    <w:rsid w:val="008E3567"/>
    <w:rsid w:val="008E36FE"/>
    <w:rsid w:val="008E38A5"/>
    <w:rsid w:val="008E394C"/>
    <w:rsid w:val="008E3A7F"/>
    <w:rsid w:val="008E3E23"/>
    <w:rsid w:val="008E40C7"/>
    <w:rsid w:val="008E411B"/>
    <w:rsid w:val="008E41B5"/>
    <w:rsid w:val="008E4309"/>
    <w:rsid w:val="008E447E"/>
    <w:rsid w:val="008E45C8"/>
    <w:rsid w:val="008E46BC"/>
    <w:rsid w:val="008E46BD"/>
    <w:rsid w:val="008E47A5"/>
    <w:rsid w:val="008E482C"/>
    <w:rsid w:val="008E49EA"/>
    <w:rsid w:val="008E4C45"/>
    <w:rsid w:val="008E4CA4"/>
    <w:rsid w:val="008E4CE5"/>
    <w:rsid w:val="008E4E5F"/>
    <w:rsid w:val="008E4FB9"/>
    <w:rsid w:val="008E540A"/>
    <w:rsid w:val="008E54B5"/>
    <w:rsid w:val="008E5647"/>
    <w:rsid w:val="008E5656"/>
    <w:rsid w:val="008E595A"/>
    <w:rsid w:val="008E5B77"/>
    <w:rsid w:val="008E5ECB"/>
    <w:rsid w:val="008E5EEB"/>
    <w:rsid w:val="008E613E"/>
    <w:rsid w:val="008E6359"/>
    <w:rsid w:val="008E6385"/>
    <w:rsid w:val="008E640C"/>
    <w:rsid w:val="008E65BA"/>
    <w:rsid w:val="008E6698"/>
    <w:rsid w:val="008E6735"/>
    <w:rsid w:val="008E6A24"/>
    <w:rsid w:val="008E6AB5"/>
    <w:rsid w:val="008E6B47"/>
    <w:rsid w:val="008E6B68"/>
    <w:rsid w:val="008E72AE"/>
    <w:rsid w:val="008E75F2"/>
    <w:rsid w:val="008E7674"/>
    <w:rsid w:val="008E78BC"/>
    <w:rsid w:val="008E78C5"/>
    <w:rsid w:val="008E78FB"/>
    <w:rsid w:val="008E7A6F"/>
    <w:rsid w:val="008E7C80"/>
    <w:rsid w:val="008E7EEB"/>
    <w:rsid w:val="008EE597"/>
    <w:rsid w:val="008F0213"/>
    <w:rsid w:val="008F0264"/>
    <w:rsid w:val="008F041C"/>
    <w:rsid w:val="008F04D7"/>
    <w:rsid w:val="008F05A4"/>
    <w:rsid w:val="008F0B31"/>
    <w:rsid w:val="008F0E7E"/>
    <w:rsid w:val="008F1228"/>
    <w:rsid w:val="008F13D6"/>
    <w:rsid w:val="008F13FE"/>
    <w:rsid w:val="008F1515"/>
    <w:rsid w:val="008F1761"/>
    <w:rsid w:val="008F177D"/>
    <w:rsid w:val="008F1BC0"/>
    <w:rsid w:val="008F1C7C"/>
    <w:rsid w:val="008F1CEA"/>
    <w:rsid w:val="008F218D"/>
    <w:rsid w:val="008F21B5"/>
    <w:rsid w:val="008F23C5"/>
    <w:rsid w:val="008F244A"/>
    <w:rsid w:val="008F247E"/>
    <w:rsid w:val="008F270D"/>
    <w:rsid w:val="008F2771"/>
    <w:rsid w:val="008F29D9"/>
    <w:rsid w:val="008F3026"/>
    <w:rsid w:val="008F3276"/>
    <w:rsid w:val="008F32BE"/>
    <w:rsid w:val="008F361E"/>
    <w:rsid w:val="008F3628"/>
    <w:rsid w:val="008F3A7C"/>
    <w:rsid w:val="008F3E26"/>
    <w:rsid w:val="008F3F49"/>
    <w:rsid w:val="008F4052"/>
    <w:rsid w:val="008F441C"/>
    <w:rsid w:val="008F4848"/>
    <w:rsid w:val="008F49D0"/>
    <w:rsid w:val="008F4AE7"/>
    <w:rsid w:val="008F4F69"/>
    <w:rsid w:val="008F4FD6"/>
    <w:rsid w:val="008F5122"/>
    <w:rsid w:val="008F51FF"/>
    <w:rsid w:val="008F523A"/>
    <w:rsid w:val="008F5246"/>
    <w:rsid w:val="008F5499"/>
    <w:rsid w:val="008F54DE"/>
    <w:rsid w:val="008F56DD"/>
    <w:rsid w:val="008F5778"/>
    <w:rsid w:val="008F58D9"/>
    <w:rsid w:val="008F5A2E"/>
    <w:rsid w:val="008F5BAB"/>
    <w:rsid w:val="008F601A"/>
    <w:rsid w:val="008F6161"/>
    <w:rsid w:val="008F63B1"/>
    <w:rsid w:val="008F648D"/>
    <w:rsid w:val="008F668E"/>
    <w:rsid w:val="008F6807"/>
    <w:rsid w:val="008F69C1"/>
    <w:rsid w:val="008F6A4A"/>
    <w:rsid w:val="008F6A71"/>
    <w:rsid w:val="008F6BFB"/>
    <w:rsid w:val="008F6D6D"/>
    <w:rsid w:val="008F71C4"/>
    <w:rsid w:val="008F7229"/>
    <w:rsid w:val="008F726F"/>
    <w:rsid w:val="008F76C4"/>
    <w:rsid w:val="008F7A73"/>
    <w:rsid w:val="008F7B07"/>
    <w:rsid w:val="008F7BF1"/>
    <w:rsid w:val="008F7E44"/>
    <w:rsid w:val="0090009E"/>
    <w:rsid w:val="00900493"/>
    <w:rsid w:val="00900652"/>
    <w:rsid w:val="00900703"/>
    <w:rsid w:val="009007B8"/>
    <w:rsid w:val="009007C9"/>
    <w:rsid w:val="00900B9E"/>
    <w:rsid w:val="00900F48"/>
    <w:rsid w:val="00901129"/>
    <w:rsid w:val="009011F5"/>
    <w:rsid w:val="0090181A"/>
    <w:rsid w:val="00901887"/>
    <w:rsid w:val="00901954"/>
    <w:rsid w:val="00901994"/>
    <w:rsid w:val="009019D3"/>
    <w:rsid w:val="00901A84"/>
    <w:rsid w:val="00901B11"/>
    <w:rsid w:val="00901BF3"/>
    <w:rsid w:val="00901CAD"/>
    <w:rsid w:val="00901D50"/>
    <w:rsid w:val="00901E8E"/>
    <w:rsid w:val="00902349"/>
    <w:rsid w:val="00902362"/>
    <w:rsid w:val="009023B0"/>
    <w:rsid w:val="009023CD"/>
    <w:rsid w:val="0090283B"/>
    <w:rsid w:val="009029AC"/>
    <w:rsid w:val="00902A18"/>
    <w:rsid w:val="00902AA5"/>
    <w:rsid w:val="00902ABE"/>
    <w:rsid w:val="00902CF2"/>
    <w:rsid w:val="00902D17"/>
    <w:rsid w:val="00902E4B"/>
    <w:rsid w:val="009031CB"/>
    <w:rsid w:val="0090320D"/>
    <w:rsid w:val="009034E8"/>
    <w:rsid w:val="009036FA"/>
    <w:rsid w:val="00903730"/>
    <w:rsid w:val="00903870"/>
    <w:rsid w:val="00903878"/>
    <w:rsid w:val="00903F07"/>
    <w:rsid w:val="0090407D"/>
    <w:rsid w:val="00904645"/>
    <w:rsid w:val="0090467D"/>
    <w:rsid w:val="009046AC"/>
    <w:rsid w:val="00904828"/>
    <w:rsid w:val="00904CF9"/>
    <w:rsid w:val="00904D1F"/>
    <w:rsid w:val="00904FB3"/>
    <w:rsid w:val="0090500D"/>
    <w:rsid w:val="00905054"/>
    <w:rsid w:val="00905149"/>
    <w:rsid w:val="009051F1"/>
    <w:rsid w:val="00905458"/>
    <w:rsid w:val="00905813"/>
    <w:rsid w:val="00905DCB"/>
    <w:rsid w:val="00905EB5"/>
    <w:rsid w:val="00905F21"/>
    <w:rsid w:val="0090617C"/>
    <w:rsid w:val="009062FC"/>
    <w:rsid w:val="00906377"/>
    <w:rsid w:val="0090638C"/>
    <w:rsid w:val="0090641B"/>
    <w:rsid w:val="009064FE"/>
    <w:rsid w:val="0090669D"/>
    <w:rsid w:val="00906879"/>
    <w:rsid w:val="00906C10"/>
    <w:rsid w:val="00906E60"/>
    <w:rsid w:val="00907650"/>
    <w:rsid w:val="00907743"/>
    <w:rsid w:val="0090774D"/>
    <w:rsid w:val="00907782"/>
    <w:rsid w:val="009078C7"/>
    <w:rsid w:val="00907A3C"/>
    <w:rsid w:val="00907A9B"/>
    <w:rsid w:val="00907BCD"/>
    <w:rsid w:val="00907C5C"/>
    <w:rsid w:val="00907D72"/>
    <w:rsid w:val="00907EB0"/>
    <w:rsid w:val="00907F5A"/>
    <w:rsid w:val="009101EF"/>
    <w:rsid w:val="009102AB"/>
    <w:rsid w:val="0091039C"/>
    <w:rsid w:val="009104A2"/>
    <w:rsid w:val="00910520"/>
    <w:rsid w:val="00910B16"/>
    <w:rsid w:val="00910B2E"/>
    <w:rsid w:val="00910C25"/>
    <w:rsid w:val="00910FC6"/>
    <w:rsid w:val="009112E9"/>
    <w:rsid w:val="0091168D"/>
    <w:rsid w:val="00911A09"/>
    <w:rsid w:val="00911A5F"/>
    <w:rsid w:val="0091202E"/>
    <w:rsid w:val="00912183"/>
    <w:rsid w:val="0091218D"/>
    <w:rsid w:val="00912311"/>
    <w:rsid w:val="00912462"/>
    <w:rsid w:val="009124E5"/>
    <w:rsid w:val="00912556"/>
    <w:rsid w:val="00912581"/>
    <w:rsid w:val="00912585"/>
    <w:rsid w:val="009125C4"/>
    <w:rsid w:val="009125FC"/>
    <w:rsid w:val="009128BB"/>
    <w:rsid w:val="009129EC"/>
    <w:rsid w:val="00912C88"/>
    <w:rsid w:val="00912D5F"/>
    <w:rsid w:val="00912F9C"/>
    <w:rsid w:val="00912FE4"/>
    <w:rsid w:val="009131B8"/>
    <w:rsid w:val="00913359"/>
    <w:rsid w:val="009135D2"/>
    <w:rsid w:val="009136CD"/>
    <w:rsid w:val="00913AA1"/>
    <w:rsid w:val="009140E8"/>
    <w:rsid w:val="00914157"/>
    <w:rsid w:val="00914180"/>
    <w:rsid w:val="009142F9"/>
    <w:rsid w:val="009144D5"/>
    <w:rsid w:val="0091459D"/>
    <w:rsid w:val="009145A4"/>
    <w:rsid w:val="009145EB"/>
    <w:rsid w:val="00914774"/>
    <w:rsid w:val="00914911"/>
    <w:rsid w:val="00914AD2"/>
    <w:rsid w:val="00914D3B"/>
    <w:rsid w:val="00914DB9"/>
    <w:rsid w:val="00914E62"/>
    <w:rsid w:val="00914F0F"/>
    <w:rsid w:val="00915159"/>
    <w:rsid w:val="009152AF"/>
    <w:rsid w:val="0091536A"/>
    <w:rsid w:val="0091556C"/>
    <w:rsid w:val="009155CA"/>
    <w:rsid w:val="00915636"/>
    <w:rsid w:val="00915707"/>
    <w:rsid w:val="009158A6"/>
    <w:rsid w:val="009159AA"/>
    <w:rsid w:val="009159B0"/>
    <w:rsid w:val="00915C86"/>
    <w:rsid w:val="009162AF"/>
    <w:rsid w:val="009167F7"/>
    <w:rsid w:val="00916E06"/>
    <w:rsid w:val="00916EDC"/>
    <w:rsid w:val="00916F3B"/>
    <w:rsid w:val="009170CB"/>
    <w:rsid w:val="009170E3"/>
    <w:rsid w:val="00917209"/>
    <w:rsid w:val="009174B9"/>
    <w:rsid w:val="0091796C"/>
    <w:rsid w:val="00917992"/>
    <w:rsid w:val="00917A34"/>
    <w:rsid w:val="00917C19"/>
    <w:rsid w:val="00917CF1"/>
    <w:rsid w:val="00917D86"/>
    <w:rsid w:val="00917E04"/>
    <w:rsid w:val="00917F83"/>
    <w:rsid w:val="00920291"/>
    <w:rsid w:val="009204CE"/>
    <w:rsid w:val="009204DA"/>
    <w:rsid w:val="00920584"/>
    <w:rsid w:val="00920598"/>
    <w:rsid w:val="009206E2"/>
    <w:rsid w:val="009206F4"/>
    <w:rsid w:val="00920978"/>
    <w:rsid w:val="00920D99"/>
    <w:rsid w:val="00920E05"/>
    <w:rsid w:val="0092115D"/>
    <w:rsid w:val="00921179"/>
    <w:rsid w:val="00921285"/>
    <w:rsid w:val="00921323"/>
    <w:rsid w:val="009213B8"/>
    <w:rsid w:val="00921552"/>
    <w:rsid w:val="0092189D"/>
    <w:rsid w:val="00921B7C"/>
    <w:rsid w:val="00921EA3"/>
    <w:rsid w:val="00921ECA"/>
    <w:rsid w:val="00922356"/>
    <w:rsid w:val="009224E4"/>
    <w:rsid w:val="0092256E"/>
    <w:rsid w:val="00922675"/>
    <w:rsid w:val="00922726"/>
    <w:rsid w:val="009227A7"/>
    <w:rsid w:val="00922980"/>
    <w:rsid w:val="00922A34"/>
    <w:rsid w:val="00922A3A"/>
    <w:rsid w:val="00922CDF"/>
    <w:rsid w:val="009234F2"/>
    <w:rsid w:val="009235CF"/>
    <w:rsid w:val="0092372C"/>
    <w:rsid w:val="0092374A"/>
    <w:rsid w:val="00923931"/>
    <w:rsid w:val="00923946"/>
    <w:rsid w:val="00923C08"/>
    <w:rsid w:val="00923E72"/>
    <w:rsid w:val="00923F3F"/>
    <w:rsid w:val="00923F92"/>
    <w:rsid w:val="00924374"/>
    <w:rsid w:val="00924390"/>
    <w:rsid w:val="009243B0"/>
    <w:rsid w:val="00924551"/>
    <w:rsid w:val="009246D6"/>
    <w:rsid w:val="009248D1"/>
    <w:rsid w:val="00924B0E"/>
    <w:rsid w:val="00924B7D"/>
    <w:rsid w:val="00924BC2"/>
    <w:rsid w:val="00924D5A"/>
    <w:rsid w:val="00924F57"/>
    <w:rsid w:val="00925165"/>
    <w:rsid w:val="009253CE"/>
    <w:rsid w:val="00925665"/>
    <w:rsid w:val="009258D9"/>
    <w:rsid w:val="009259A6"/>
    <w:rsid w:val="00925B78"/>
    <w:rsid w:val="00925C23"/>
    <w:rsid w:val="00925CEC"/>
    <w:rsid w:val="0092609A"/>
    <w:rsid w:val="0092626B"/>
    <w:rsid w:val="0092638C"/>
    <w:rsid w:val="009263AC"/>
    <w:rsid w:val="009263FE"/>
    <w:rsid w:val="009264BF"/>
    <w:rsid w:val="00926856"/>
    <w:rsid w:val="00926A29"/>
    <w:rsid w:val="00926D94"/>
    <w:rsid w:val="0092707E"/>
    <w:rsid w:val="00927241"/>
    <w:rsid w:val="00927278"/>
    <w:rsid w:val="00927286"/>
    <w:rsid w:val="00927530"/>
    <w:rsid w:val="00927617"/>
    <w:rsid w:val="0092796A"/>
    <w:rsid w:val="009279BB"/>
    <w:rsid w:val="00927A58"/>
    <w:rsid w:val="00927BF5"/>
    <w:rsid w:val="00927C2A"/>
    <w:rsid w:val="00927D13"/>
    <w:rsid w:val="00927E27"/>
    <w:rsid w:val="00927EA7"/>
    <w:rsid w:val="00927FF7"/>
    <w:rsid w:val="009300D7"/>
    <w:rsid w:val="00930240"/>
    <w:rsid w:val="00930324"/>
    <w:rsid w:val="0093041B"/>
    <w:rsid w:val="0093047E"/>
    <w:rsid w:val="0093053B"/>
    <w:rsid w:val="00930670"/>
    <w:rsid w:val="009306E5"/>
    <w:rsid w:val="00930837"/>
    <w:rsid w:val="00930847"/>
    <w:rsid w:val="00930936"/>
    <w:rsid w:val="009309E3"/>
    <w:rsid w:val="00930A9E"/>
    <w:rsid w:val="00930ACD"/>
    <w:rsid w:val="00930AF6"/>
    <w:rsid w:val="00930BC4"/>
    <w:rsid w:val="00930BFB"/>
    <w:rsid w:val="00930FB8"/>
    <w:rsid w:val="0093103B"/>
    <w:rsid w:val="009310DA"/>
    <w:rsid w:val="00931205"/>
    <w:rsid w:val="00931596"/>
    <w:rsid w:val="009315C8"/>
    <w:rsid w:val="009319D0"/>
    <w:rsid w:val="00931BDE"/>
    <w:rsid w:val="00931EE0"/>
    <w:rsid w:val="00931F0D"/>
    <w:rsid w:val="00931F73"/>
    <w:rsid w:val="00931F9D"/>
    <w:rsid w:val="009320B4"/>
    <w:rsid w:val="00932118"/>
    <w:rsid w:val="00932234"/>
    <w:rsid w:val="00932486"/>
    <w:rsid w:val="009325A5"/>
    <w:rsid w:val="009325E1"/>
    <w:rsid w:val="009328E1"/>
    <w:rsid w:val="00932EB6"/>
    <w:rsid w:val="00932EFD"/>
    <w:rsid w:val="00933120"/>
    <w:rsid w:val="0093329A"/>
    <w:rsid w:val="009332CB"/>
    <w:rsid w:val="0093343C"/>
    <w:rsid w:val="009338D3"/>
    <w:rsid w:val="00933908"/>
    <w:rsid w:val="00933B04"/>
    <w:rsid w:val="00933C57"/>
    <w:rsid w:val="00933EC6"/>
    <w:rsid w:val="00933F57"/>
    <w:rsid w:val="009341FA"/>
    <w:rsid w:val="00934218"/>
    <w:rsid w:val="0093467B"/>
    <w:rsid w:val="00934A2F"/>
    <w:rsid w:val="00934B2F"/>
    <w:rsid w:val="00934E1E"/>
    <w:rsid w:val="00934E25"/>
    <w:rsid w:val="00934F2A"/>
    <w:rsid w:val="00935163"/>
    <w:rsid w:val="009353AB"/>
    <w:rsid w:val="00935718"/>
    <w:rsid w:val="00935C9D"/>
    <w:rsid w:val="00935CCC"/>
    <w:rsid w:val="00935E4B"/>
    <w:rsid w:val="00936170"/>
    <w:rsid w:val="009362A0"/>
    <w:rsid w:val="0093659F"/>
    <w:rsid w:val="00936756"/>
    <w:rsid w:val="009367AF"/>
    <w:rsid w:val="009367FF"/>
    <w:rsid w:val="0093680F"/>
    <w:rsid w:val="00936A70"/>
    <w:rsid w:val="00936C31"/>
    <w:rsid w:val="00936CD8"/>
    <w:rsid w:val="00936E6D"/>
    <w:rsid w:val="00937083"/>
    <w:rsid w:val="00937091"/>
    <w:rsid w:val="0093716C"/>
    <w:rsid w:val="0093722B"/>
    <w:rsid w:val="0093733C"/>
    <w:rsid w:val="009374AB"/>
    <w:rsid w:val="00937544"/>
    <w:rsid w:val="009376A4"/>
    <w:rsid w:val="0093794F"/>
    <w:rsid w:val="009379B9"/>
    <w:rsid w:val="00937A8E"/>
    <w:rsid w:val="00937A92"/>
    <w:rsid w:val="00937ADE"/>
    <w:rsid w:val="0094004C"/>
    <w:rsid w:val="009400C3"/>
    <w:rsid w:val="009402AC"/>
    <w:rsid w:val="00940557"/>
    <w:rsid w:val="00940594"/>
    <w:rsid w:val="0094061E"/>
    <w:rsid w:val="009409C3"/>
    <w:rsid w:val="00940F1C"/>
    <w:rsid w:val="00941111"/>
    <w:rsid w:val="00941125"/>
    <w:rsid w:val="009413EE"/>
    <w:rsid w:val="00941484"/>
    <w:rsid w:val="009417D8"/>
    <w:rsid w:val="00941895"/>
    <w:rsid w:val="009418D2"/>
    <w:rsid w:val="00941980"/>
    <w:rsid w:val="00941D2F"/>
    <w:rsid w:val="00941DBE"/>
    <w:rsid w:val="00941EDD"/>
    <w:rsid w:val="009421E8"/>
    <w:rsid w:val="0094227B"/>
    <w:rsid w:val="00942980"/>
    <w:rsid w:val="00942AFE"/>
    <w:rsid w:val="00942DA2"/>
    <w:rsid w:val="00942EBE"/>
    <w:rsid w:val="00942FF3"/>
    <w:rsid w:val="0094305F"/>
    <w:rsid w:val="0094320E"/>
    <w:rsid w:val="0094348C"/>
    <w:rsid w:val="00943635"/>
    <w:rsid w:val="00943895"/>
    <w:rsid w:val="00943A7D"/>
    <w:rsid w:val="00944052"/>
    <w:rsid w:val="0094411E"/>
    <w:rsid w:val="0094418D"/>
    <w:rsid w:val="00944281"/>
    <w:rsid w:val="009442F8"/>
    <w:rsid w:val="00944502"/>
    <w:rsid w:val="009445CE"/>
    <w:rsid w:val="0094479D"/>
    <w:rsid w:val="009448A3"/>
    <w:rsid w:val="009448FC"/>
    <w:rsid w:val="00944A68"/>
    <w:rsid w:val="00944A8B"/>
    <w:rsid w:val="00944B49"/>
    <w:rsid w:val="00944B90"/>
    <w:rsid w:val="00944BA9"/>
    <w:rsid w:val="00944DDE"/>
    <w:rsid w:val="00944DFE"/>
    <w:rsid w:val="00945041"/>
    <w:rsid w:val="00945329"/>
    <w:rsid w:val="00945416"/>
    <w:rsid w:val="00945452"/>
    <w:rsid w:val="0094560F"/>
    <w:rsid w:val="009456AD"/>
    <w:rsid w:val="00945775"/>
    <w:rsid w:val="009457B1"/>
    <w:rsid w:val="0094583E"/>
    <w:rsid w:val="009459CF"/>
    <w:rsid w:val="009459F8"/>
    <w:rsid w:val="00945A63"/>
    <w:rsid w:val="00945BCF"/>
    <w:rsid w:val="00946138"/>
    <w:rsid w:val="009462A4"/>
    <w:rsid w:val="009462BB"/>
    <w:rsid w:val="009464C6"/>
    <w:rsid w:val="009467D3"/>
    <w:rsid w:val="009468D5"/>
    <w:rsid w:val="009468F6"/>
    <w:rsid w:val="00946904"/>
    <w:rsid w:val="00946A9C"/>
    <w:rsid w:val="00946D7D"/>
    <w:rsid w:val="00946E1D"/>
    <w:rsid w:val="00946F0C"/>
    <w:rsid w:val="0094737B"/>
    <w:rsid w:val="00947578"/>
    <w:rsid w:val="0094761F"/>
    <w:rsid w:val="0094780D"/>
    <w:rsid w:val="00947B46"/>
    <w:rsid w:val="00947C7A"/>
    <w:rsid w:val="00947EF8"/>
    <w:rsid w:val="00947F34"/>
    <w:rsid w:val="0095040A"/>
    <w:rsid w:val="00950618"/>
    <w:rsid w:val="00950971"/>
    <w:rsid w:val="00950A90"/>
    <w:rsid w:val="00950B37"/>
    <w:rsid w:val="00950B69"/>
    <w:rsid w:val="00950C7D"/>
    <w:rsid w:val="00950E69"/>
    <w:rsid w:val="00950FA6"/>
    <w:rsid w:val="009512EE"/>
    <w:rsid w:val="0095140E"/>
    <w:rsid w:val="0095147B"/>
    <w:rsid w:val="009518AA"/>
    <w:rsid w:val="009518C6"/>
    <w:rsid w:val="00951928"/>
    <w:rsid w:val="0095194E"/>
    <w:rsid w:val="00951B03"/>
    <w:rsid w:val="00951B80"/>
    <w:rsid w:val="00951CC3"/>
    <w:rsid w:val="00951F68"/>
    <w:rsid w:val="00952085"/>
    <w:rsid w:val="009520A8"/>
    <w:rsid w:val="00952220"/>
    <w:rsid w:val="0095225B"/>
    <w:rsid w:val="009528A4"/>
    <w:rsid w:val="00952B5F"/>
    <w:rsid w:val="00952C86"/>
    <w:rsid w:val="00952E60"/>
    <w:rsid w:val="009530EC"/>
    <w:rsid w:val="00953139"/>
    <w:rsid w:val="009531EC"/>
    <w:rsid w:val="0095326E"/>
    <w:rsid w:val="0095346D"/>
    <w:rsid w:val="00953551"/>
    <w:rsid w:val="009537FA"/>
    <w:rsid w:val="009539B9"/>
    <w:rsid w:val="00953AF1"/>
    <w:rsid w:val="00953CF6"/>
    <w:rsid w:val="00953DD0"/>
    <w:rsid w:val="00953E12"/>
    <w:rsid w:val="009540D7"/>
    <w:rsid w:val="0095412A"/>
    <w:rsid w:val="009541B1"/>
    <w:rsid w:val="00954415"/>
    <w:rsid w:val="00954423"/>
    <w:rsid w:val="0095451D"/>
    <w:rsid w:val="009546DA"/>
    <w:rsid w:val="00954752"/>
    <w:rsid w:val="009549B7"/>
    <w:rsid w:val="00954BEC"/>
    <w:rsid w:val="00954E82"/>
    <w:rsid w:val="009551B3"/>
    <w:rsid w:val="009552AF"/>
    <w:rsid w:val="009553B4"/>
    <w:rsid w:val="00955495"/>
    <w:rsid w:val="0095555E"/>
    <w:rsid w:val="0095564C"/>
    <w:rsid w:val="009556C2"/>
    <w:rsid w:val="00955859"/>
    <w:rsid w:val="00955906"/>
    <w:rsid w:val="00955B1E"/>
    <w:rsid w:val="00955B8A"/>
    <w:rsid w:val="00955B8F"/>
    <w:rsid w:val="00955F90"/>
    <w:rsid w:val="00956112"/>
    <w:rsid w:val="00956181"/>
    <w:rsid w:val="00956262"/>
    <w:rsid w:val="009562D5"/>
    <w:rsid w:val="00956315"/>
    <w:rsid w:val="009565ED"/>
    <w:rsid w:val="0095664D"/>
    <w:rsid w:val="009566BA"/>
    <w:rsid w:val="009566EE"/>
    <w:rsid w:val="00956741"/>
    <w:rsid w:val="009568D7"/>
    <w:rsid w:val="00956ABB"/>
    <w:rsid w:val="00956ADC"/>
    <w:rsid w:val="00956DB9"/>
    <w:rsid w:val="00956F6C"/>
    <w:rsid w:val="0095702E"/>
    <w:rsid w:val="00957061"/>
    <w:rsid w:val="009572D5"/>
    <w:rsid w:val="00957409"/>
    <w:rsid w:val="00957506"/>
    <w:rsid w:val="00957860"/>
    <w:rsid w:val="00957888"/>
    <w:rsid w:val="00957934"/>
    <w:rsid w:val="00957C28"/>
    <w:rsid w:val="00957C2F"/>
    <w:rsid w:val="00957D34"/>
    <w:rsid w:val="00957E44"/>
    <w:rsid w:val="00957E86"/>
    <w:rsid w:val="0096018C"/>
    <w:rsid w:val="009601E0"/>
    <w:rsid w:val="00960264"/>
    <w:rsid w:val="0096035C"/>
    <w:rsid w:val="009603E2"/>
    <w:rsid w:val="0096044E"/>
    <w:rsid w:val="00960503"/>
    <w:rsid w:val="009605CE"/>
    <w:rsid w:val="0096069E"/>
    <w:rsid w:val="00960A1A"/>
    <w:rsid w:val="00960A9D"/>
    <w:rsid w:val="00960ADF"/>
    <w:rsid w:val="00960C99"/>
    <w:rsid w:val="00960E52"/>
    <w:rsid w:val="00960FCD"/>
    <w:rsid w:val="00961143"/>
    <w:rsid w:val="00961185"/>
    <w:rsid w:val="00961381"/>
    <w:rsid w:val="00961549"/>
    <w:rsid w:val="0096168A"/>
    <w:rsid w:val="009616DA"/>
    <w:rsid w:val="009616DE"/>
    <w:rsid w:val="00961A14"/>
    <w:rsid w:val="00961C61"/>
    <w:rsid w:val="00961E4B"/>
    <w:rsid w:val="009620CC"/>
    <w:rsid w:val="0096219A"/>
    <w:rsid w:val="009621D0"/>
    <w:rsid w:val="009623D1"/>
    <w:rsid w:val="009624EE"/>
    <w:rsid w:val="009625CB"/>
    <w:rsid w:val="009629CE"/>
    <w:rsid w:val="00962BB8"/>
    <w:rsid w:val="00962E48"/>
    <w:rsid w:val="00962EC9"/>
    <w:rsid w:val="009633A5"/>
    <w:rsid w:val="009633AB"/>
    <w:rsid w:val="0096341A"/>
    <w:rsid w:val="009634C1"/>
    <w:rsid w:val="0096354D"/>
    <w:rsid w:val="009635E5"/>
    <w:rsid w:val="00963626"/>
    <w:rsid w:val="00963D57"/>
    <w:rsid w:val="00963E03"/>
    <w:rsid w:val="00963F07"/>
    <w:rsid w:val="00963F0C"/>
    <w:rsid w:val="009640D9"/>
    <w:rsid w:val="009641E1"/>
    <w:rsid w:val="009641EF"/>
    <w:rsid w:val="0096422B"/>
    <w:rsid w:val="00964474"/>
    <w:rsid w:val="00964615"/>
    <w:rsid w:val="00964B3A"/>
    <w:rsid w:val="00964D39"/>
    <w:rsid w:val="00964D49"/>
    <w:rsid w:val="009652C8"/>
    <w:rsid w:val="0096531C"/>
    <w:rsid w:val="009656E1"/>
    <w:rsid w:val="009657A0"/>
    <w:rsid w:val="00965B48"/>
    <w:rsid w:val="00965BB3"/>
    <w:rsid w:val="00965F98"/>
    <w:rsid w:val="009660B9"/>
    <w:rsid w:val="0096630A"/>
    <w:rsid w:val="009664A3"/>
    <w:rsid w:val="00966822"/>
    <w:rsid w:val="00966A63"/>
    <w:rsid w:val="00966EAA"/>
    <w:rsid w:val="009670FC"/>
    <w:rsid w:val="00967496"/>
    <w:rsid w:val="009674B4"/>
    <w:rsid w:val="009674F8"/>
    <w:rsid w:val="00967583"/>
    <w:rsid w:val="00967591"/>
    <w:rsid w:val="0096774A"/>
    <w:rsid w:val="009677B5"/>
    <w:rsid w:val="00967981"/>
    <w:rsid w:val="00967AEE"/>
    <w:rsid w:val="00967B57"/>
    <w:rsid w:val="00967C36"/>
    <w:rsid w:val="00967C97"/>
    <w:rsid w:val="00967DBB"/>
    <w:rsid w:val="00967E92"/>
    <w:rsid w:val="00967FED"/>
    <w:rsid w:val="00970149"/>
    <w:rsid w:val="00970288"/>
    <w:rsid w:val="00970299"/>
    <w:rsid w:val="00970315"/>
    <w:rsid w:val="00970781"/>
    <w:rsid w:val="00970ABB"/>
    <w:rsid w:val="00970ADF"/>
    <w:rsid w:val="00970B18"/>
    <w:rsid w:val="00970B94"/>
    <w:rsid w:val="00970CA5"/>
    <w:rsid w:val="00970E1B"/>
    <w:rsid w:val="009712D4"/>
    <w:rsid w:val="009716DD"/>
    <w:rsid w:val="00971715"/>
    <w:rsid w:val="00971748"/>
    <w:rsid w:val="0097187B"/>
    <w:rsid w:val="00971B96"/>
    <w:rsid w:val="00971BEF"/>
    <w:rsid w:val="00971C20"/>
    <w:rsid w:val="00971ED3"/>
    <w:rsid w:val="009721A0"/>
    <w:rsid w:val="00972240"/>
    <w:rsid w:val="00972273"/>
    <w:rsid w:val="009723FD"/>
    <w:rsid w:val="009727CE"/>
    <w:rsid w:val="009727F5"/>
    <w:rsid w:val="00972ADF"/>
    <w:rsid w:val="00972B87"/>
    <w:rsid w:val="00972BA9"/>
    <w:rsid w:val="00972BFC"/>
    <w:rsid w:val="00972CFB"/>
    <w:rsid w:val="00972F3E"/>
    <w:rsid w:val="00973102"/>
    <w:rsid w:val="00973751"/>
    <w:rsid w:val="00973B9B"/>
    <w:rsid w:val="00973CAB"/>
    <w:rsid w:val="00973E26"/>
    <w:rsid w:val="00973EB1"/>
    <w:rsid w:val="00973F74"/>
    <w:rsid w:val="009740E2"/>
    <w:rsid w:val="0097416F"/>
    <w:rsid w:val="009741CC"/>
    <w:rsid w:val="009741DD"/>
    <w:rsid w:val="00974242"/>
    <w:rsid w:val="009744FF"/>
    <w:rsid w:val="0097464B"/>
    <w:rsid w:val="009746DF"/>
    <w:rsid w:val="0097492E"/>
    <w:rsid w:val="00974955"/>
    <w:rsid w:val="00974A7F"/>
    <w:rsid w:val="00974BD3"/>
    <w:rsid w:val="00974DF3"/>
    <w:rsid w:val="00974EAB"/>
    <w:rsid w:val="0097542C"/>
    <w:rsid w:val="0097596C"/>
    <w:rsid w:val="00975A0D"/>
    <w:rsid w:val="00975A33"/>
    <w:rsid w:val="00975A65"/>
    <w:rsid w:val="00975ABC"/>
    <w:rsid w:val="00975DC5"/>
    <w:rsid w:val="00975E91"/>
    <w:rsid w:val="00976400"/>
    <w:rsid w:val="00976517"/>
    <w:rsid w:val="00976556"/>
    <w:rsid w:val="009766B0"/>
    <w:rsid w:val="009766FF"/>
    <w:rsid w:val="009767B1"/>
    <w:rsid w:val="00976820"/>
    <w:rsid w:val="00976B60"/>
    <w:rsid w:val="00976BF9"/>
    <w:rsid w:val="00976C1A"/>
    <w:rsid w:val="00976D49"/>
    <w:rsid w:val="00976EE9"/>
    <w:rsid w:val="00977126"/>
    <w:rsid w:val="0097734A"/>
    <w:rsid w:val="00977441"/>
    <w:rsid w:val="00977461"/>
    <w:rsid w:val="00977834"/>
    <w:rsid w:val="00977DA1"/>
    <w:rsid w:val="00977E80"/>
    <w:rsid w:val="00977ECD"/>
    <w:rsid w:val="00977FD0"/>
    <w:rsid w:val="00977FEF"/>
    <w:rsid w:val="00980223"/>
    <w:rsid w:val="00980292"/>
    <w:rsid w:val="009809A4"/>
    <w:rsid w:val="009809CB"/>
    <w:rsid w:val="00980CA9"/>
    <w:rsid w:val="00980EB1"/>
    <w:rsid w:val="00980F32"/>
    <w:rsid w:val="0098127F"/>
    <w:rsid w:val="0098164B"/>
    <w:rsid w:val="00981933"/>
    <w:rsid w:val="00981A72"/>
    <w:rsid w:val="00981AD1"/>
    <w:rsid w:val="00981B02"/>
    <w:rsid w:val="00981C26"/>
    <w:rsid w:val="00981D02"/>
    <w:rsid w:val="00982309"/>
    <w:rsid w:val="00982662"/>
    <w:rsid w:val="009827B9"/>
    <w:rsid w:val="00982CFE"/>
    <w:rsid w:val="00982DE4"/>
    <w:rsid w:val="009831F7"/>
    <w:rsid w:val="009832EE"/>
    <w:rsid w:val="009832F1"/>
    <w:rsid w:val="009833FD"/>
    <w:rsid w:val="0098343B"/>
    <w:rsid w:val="009835E1"/>
    <w:rsid w:val="00983879"/>
    <w:rsid w:val="00983918"/>
    <w:rsid w:val="00983B33"/>
    <w:rsid w:val="00983E8F"/>
    <w:rsid w:val="009840B7"/>
    <w:rsid w:val="0098420B"/>
    <w:rsid w:val="00984412"/>
    <w:rsid w:val="009844A0"/>
    <w:rsid w:val="00984718"/>
    <w:rsid w:val="0098484B"/>
    <w:rsid w:val="00984993"/>
    <w:rsid w:val="00984BBC"/>
    <w:rsid w:val="00984BE1"/>
    <w:rsid w:val="00985029"/>
    <w:rsid w:val="0098520E"/>
    <w:rsid w:val="009852C2"/>
    <w:rsid w:val="00985633"/>
    <w:rsid w:val="00985651"/>
    <w:rsid w:val="0098566C"/>
    <w:rsid w:val="0098570A"/>
    <w:rsid w:val="00985784"/>
    <w:rsid w:val="009858C9"/>
    <w:rsid w:val="00985A2A"/>
    <w:rsid w:val="00985A79"/>
    <w:rsid w:val="00985C6B"/>
    <w:rsid w:val="00985FA5"/>
    <w:rsid w:val="009861ED"/>
    <w:rsid w:val="009864D7"/>
    <w:rsid w:val="0098676F"/>
    <w:rsid w:val="00986A9E"/>
    <w:rsid w:val="00986DB6"/>
    <w:rsid w:val="00986E74"/>
    <w:rsid w:val="0098706C"/>
    <w:rsid w:val="00987210"/>
    <w:rsid w:val="0098753F"/>
    <w:rsid w:val="00987743"/>
    <w:rsid w:val="0098781D"/>
    <w:rsid w:val="00987869"/>
    <w:rsid w:val="009879B8"/>
    <w:rsid w:val="00987A90"/>
    <w:rsid w:val="00987D71"/>
    <w:rsid w:val="00987EE4"/>
    <w:rsid w:val="00987EF8"/>
    <w:rsid w:val="009900AF"/>
    <w:rsid w:val="009905E3"/>
    <w:rsid w:val="00990B4B"/>
    <w:rsid w:val="00990CD1"/>
    <w:rsid w:val="00990E81"/>
    <w:rsid w:val="00990E8E"/>
    <w:rsid w:val="00990FD4"/>
    <w:rsid w:val="00991082"/>
    <w:rsid w:val="009913D9"/>
    <w:rsid w:val="0099175D"/>
    <w:rsid w:val="009919A0"/>
    <w:rsid w:val="00991A46"/>
    <w:rsid w:val="00991F8A"/>
    <w:rsid w:val="00991FB8"/>
    <w:rsid w:val="009923F1"/>
    <w:rsid w:val="00992506"/>
    <w:rsid w:val="009925FF"/>
    <w:rsid w:val="00992987"/>
    <w:rsid w:val="00992A5F"/>
    <w:rsid w:val="00992C17"/>
    <w:rsid w:val="00992C86"/>
    <w:rsid w:val="00992E77"/>
    <w:rsid w:val="00993112"/>
    <w:rsid w:val="009932EB"/>
    <w:rsid w:val="0099333C"/>
    <w:rsid w:val="009934E2"/>
    <w:rsid w:val="00993646"/>
    <w:rsid w:val="0099365A"/>
    <w:rsid w:val="009936D0"/>
    <w:rsid w:val="0099370F"/>
    <w:rsid w:val="0099383D"/>
    <w:rsid w:val="00993947"/>
    <w:rsid w:val="00993B72"/>
    <w:rsid w:val="00993C58"/>
    <w:rsid w:val="00994034"/>
    <w:rsid w:val="009940D9"/>
    <w:rsid w:val="009941FE"/>
    <w:rsid w:val="0099427F"/>
    <w:rsid w:val="00994318"/>
    <w:rsid w:val="009945A8"/>
    <w:rsid w:val="00994653"/>
    <w:rsid w:val="00994865"/>
    <w:rsid w:val="00994921"/>
    <w:rsid w:val="009949A3"/>
    <w:rsid w:val="00994A56"/>
    <w:rsid w:val="00994B2F"/>
    <w:rsid w:val="00994BAD"/>
    <w:rsid w:val="00994C86"/>
    <w:rsid w:val="00994E35"/>
    <w:rsid w:val="00995033"/>
    <w:rsid w:val="00995553"/>
    <w:rsid w:val="0099561A"/>
    <w:rsid w:val="009956DD"/>
    <w:rsid w:val="00995777"/>
    <w:rsid w:val="00995786"/>
    <w:rsid w:val="009959AB"/>
    <w:rsid w:val="00995E42"/>
    <w:rsid w:val="00996088"/>
    <w:rsid w:val="00996103"/>
    <w:rsid w:val="00996230"/>
    <w:rsid w:val="009963A5"/>
    <w:rsid w:val="00996778"/>
    <w:rsid w:val="00996A5F"/>
    <w:rsid w:val="00996A8D"/>
    <w:rsid w:val="00996C15"/>
    <w:rsid w:val="00996D0A"/>
    <w:rsid w:val="00996E7A"/>
    <w:rsid w:val="00996ECF"/>
    <w:rsid w:val="00996FAF"/>
    <w:rsid w:val="0099712E"/>
    <w:rsid w:val="00997146"/>
    <w:rsid w:val="009973F5"/>
    <w:rsid w:val="00997481"/>
    <w:rsid w:val="0099771B"/>
    <w:rsid w:val="00997779"/>
    <w:rsid w:val="00997831"/>
    <w:rsid w:val="00997927"/>
    <w:rsid w:val="00997BFC"/>
    <w:rsid w:val="00997CEF"/>
    <w:rsid w:val="00997D82"/>
    <w:rsid w:val="00997F67"/>
    <w:rsid w:val="009A002B"/>
    <w:rsid w:val="009A0398"/>
    <w:rsid w:val="009A042D"/>
    <w:rsid w:val="009A088C"/>
    <w:rsid w:val="009A098E"/>
    <w:rsid w:val="009A0C52"/>
    <w:rsid w:val="009A0D48"/>
    <w:rsid w:val="009A0EC3"/>
    <w:rsid w:val="009A0F12"/>
    <w:rsid w:val="009A1088"/>
    <w:rsid w:val="009A16B6"/>
    <w:rsid w:val="009A189D"/>
    <w:rsid w:val="009A18D6"/>
    <w:rsid w:val="009A1915"/>
    <w:rsid w:val="009A1985"/>
    <w:rsid w:val="009A1B35"/>
    <w:rsid w:val="009A1B65"/>
    <w:rsid w:val="009A1E55"/>
    <w:rsid w:val="009A2396"/>
    <w:rsid w:val="009A25E2"/>
    <w:rsid w:val="009A2B7D"/>
    <w:rsid w:val="009A2C70"/>
    <w:rsid w:val="009A324C"/>
    <w:rsid w:val="009A343A"/>
    <w:rsid w:val="009A3920"/>
    <w:rsid w:val="009A3A0D"/>
    <w:rsid w:val="009A3B5D"/>
    <w:rsid w:val="009A3BB5"/>
    <w:rsid w:val="009A3BF9"/>
    <w:rsid w:val="009A3F3B"/>
    <w:rsid w:val="009A44EE"/>
    <w:rsid w:val="009A487D"/>
    <w:rsid w:val="009A4E00"/>
    <w:rsid w:val="009A4EAA"/>
    <w:rsid w:val="009A52EC"/>
    <w:rsid w:val="009A548E"/>
    <w:rsid w:val="009A55DD"/>
    <w:rsid w:val="009A5632"/>
    <w:rsid w:val="009A5656"/>
    <w:rsid w:val="009A56C4"/>
    <w:rsid w:val="009A577D"/>
    <w:rsid w:val="009A5903"/>
    <w:rsid w:val="009A594C"/>
    <w:rsid w:val="009A5A44"/>
    <w:rsid w:val="009A5DB1"/>
    <w:rsid w:val="009A5E1F"/>
    <w:rsid w:val="009A5EDF"/>
    <w:rsid w:val="009A5FFA"/>
    <w:rsid w:val="009A6309"/>
    <w:rsid w:val="009A6835"/>
    <w:rsid w:val="009A6AFE"/>
    <w:rsid w:val="009A6C0F"/>
    <w:rsid w:val="009A6ED0"/>
    <w:rsid w:val="009A6FE6"/>
    <w:rsid w:val="009A734A"/>
    <w:rsid w:val="009A7731"/>
    <w:rsid w:val="009A7788"/>
    <w:rsid w:val="009A7A9A"/>
    <w:rsid w:val="009A7CC2"/>
    <w:rsid w:val="009A7F91"/>
    <w:rsid w:val="009B00BF"/>
    <w:rsid w:val="009B05A9"/>
    <w:rsid w:val="009B0771"/>
    <w:rsid w:val="009B0A6A"/>
    <w:rsid w:val="009B0ADA"/>
    <w:rsid w:val="009B0ADC"/>
    <w:rsid w:val="009B0BA1"/>
    <w:rsid w:val="009B0BCE"/>
    <w:rsid w:val="009B0CEA"/>
    <w:rsid w:val="009B103C"/>
    <w:rsid w:val="009B1224"/>
    <w:rsid w:val="009B15A1"/>
    <w:rsid w:val="009B17EA"/>
    <w:rsid w:val="009B195F"/>
    <w:rsid w:val="009B1D0E"/>
    <w:rsid w:val="009B1DC4"/>
    <w:rsid w:val="009B1E5E"/>
    <w:rsid w:val="009B2178"/>
    <w:rsid w:val="009B225B"/>
    <w:rsid w:val="009B24FD"/>
    <w:rsid w:val="009B265F"/>
    <w:rsid w:val="009B2737"/>
    <w:rsid w:val="009B2760"/>
    <w:rsid w:val="009B2931"/>
    <w:rsid w:val="009B29B8"/>
    <w:rsid w:val="009B29D9"/>
    <w:rsid w:val="009B2ACB"/>
    <w:rsid w:val="009B2F00"/>
    <w:rsid w:val="009B2F2C"/>
    <w:rsid w:val="009B2F58"/>
    <w:rsid w:val="009B305A"/>
    <w:rsid w:val="009B32BB"/>
    <w:rsid w:val="009B3334"/>
    <w:rsid w:val="009B341A"/>
    <w:rsid w:val="009B36B4"/>
    <w:rsid w:val="009B3F01"/>
    <w:rsid w:val="009B414E"/>
    <w:rsid w:val="009B417D"/>
    <w:rsid w:val="009B4496"/>
    <w:rsid w:val="009B4A1B"/>
    <w:rsid w:val="009B4AB6"/>
    <w:rsid w:val="009B4B7B"/>
    <w:rsid w:val="009B4D07"/>
    <w:rsid w:val="009B4E57"/>
    <w:rsid w:val="009B500D"/>
    <w:rsid w:val="009B564F"/>
    <w:rsid w:val="009B5670"/>
    <w:rsid w:val="009B5744"/>
    <w:rsid w:val="009B57B6"/>
    <w:rsid w:val="009B5B6C"/>
    <w:rsid w:val="009B5CFA"/>
    <w:rsid w:val="009B643F"/>
    <w:rsid w:val="009B653A"/>
    <w:rsid w:val="009B657D"/>
    <w:rsid w:val="009B6637"/>
    <w:rsid w:val="009B66C9"/>
    <w:rsid w:val="009B6941"/>
    <w:rsid w:val="009B6973"/>
    <w:rsid w:val="009B6C0D"/>
    <w:rsid w:val="009B6E97"/>
    <w:rsid w:val="009B7074"/>
    <w:rsid w:val="009B7264"/>
    <w:rsid w:val="009B72B7"/>
    <w:rsid w:val="009B74A1"/>
    <w:rsid w:val="009B7556"/>
    <w:rsid w:val="009B757E"/>
    <w:rsid w:val="009B78EC"/>
    <w:rsid w:val="009B7A0F"/>
    <w:rsid w:val="009B7AEE"/>
    <w:rsid w:val="009B7AFD"/>
    <w:rsid w:val="009B7BAA"/>
    <w:rsid w:val="009B7D8F"/>
    <w:rsid w:val="009B7E07"/>
    <w:rsid w:val="009BC5D4"/>
    <w:rsid w:val="009C001B"/>
    <w:rsid w:val="009C0075"/>
    <w:rsid w:val="009C0160"/>
    <w:rsid w:val="009C027B"/>
    <w:rsid w:val="009C0336"/>
    <w:rsid w:val="009C06A1"/>
    <w:rsid w:val="009C073B"/>
    <w:rsid w:val="009C0797"/>
    <w:rsid w:val="009C0B8F"/>
    <w:rsid w:val="009C0BAE"/>
    <w:rsid w:val="009C0BB9"/>
    <w:rsid w:val="009C0CDA"/>
    <w:rsid w:val="009C0D39"/>
    <w:rsid w:val="009C1341"/>
    <w:rsid w:val="009C1342"/>
    <w:rsid w:val="009C140F"/>
    <w:rsid w:val="009C163D"/>
    <w:rsid w:val="009C16DD"/>
    <w:rsid w:val="009C175A"/>
    <w:rsid w:val="009C1CCD"/>
    <w:rsid w:val="009C1D2C"/>
    <w:rsid w:val="009C1D4A"/>
    <w:rsid w:val="009C1F4F"/>
    <w:rsid w:val="009C1FAA"/>
    <w:rsid w:val="009C1FCA"/>
    <w:rsid w:val="009C20A6"/>
    <w:rsid w:val="009C2154"/>
    <w:rsid w:val="009C2392"/>
    <w:rsid w:val="009C23FB"/>
    <w:rsid w:val="009C244D"/>
    <w:rsid w:val="009C2481"/>
    <w:rsid w:val="009C2543"/>
    <w:rsid w:val="009C2553"/>
    <w:rsid w:val="009C2B5A"/>
    <w:rsid w:val="009C2E20"/>
    <w:rsid w:val="009C328A"/>
    <w:rsid w:val="009C3514"/>
    <w:rsid w:val="009C35FA"/>
    <w:rsid w:val="009C36DB"/>
    <w:rsid w:val="009C36E8"/>
    <w:rsid w:val="009C3834"/>
    <w:rsid w:val="009C3B0A"/>
    <w:rsid w:val="009C3C4D"/>
    <w:rsid w:val="009C410C"/>
    <w:rsid w:val="009C4300"/>
    <w:rsid w:val="009C4383"/>
    <w:rsid w:val="009C43DB"/>
    <w:rsid w:val="009C4576"/>
    <w:rsid w:val="009C458E"/>
    <w:rsid w:val="009C47BF"/>
    <w:rsid w:val="009C4A8A"/>
    <w:rsid w:val="009C4B04"/>
    <w:rsid w:val="009C4B6C"/>
    <w:rsid w:val="009C4BA3"/>
    <w:rsid w:val="009C4D21"/>
    <w:rsid w:val="009C4FB2"/>
    <w:rsid w:val="009C5323"/>
    <w:rsid w:val="009C56BE"/>
    <w:rsid w:val="009C576F"/>
    <w:rsid w:val="009C57D5"/>
    <w:rsid w:val="009C5AA4"/>
    <w:rsid w:val="009C5AF2"/>
    <w:rsid w:val="009C5C0E"/>
    <w:rsid w:val="009C5C53"/>
    <w:rsid w:val="009C5DBF"/>
    <w:rsid w:val="009C61A4"/>
    <w:rsid w:val="009C6283"/>
    <w:rsid w:val="009C6497"/>
    <w:rsid w:val="009C64A0"/>
    <w:rsid w:val="009C655D"/>
    <w:rsid w:val="009C668B"/>
    <w:rsid w:val="009C6959"/>
    <w:rsid w:val="009C6E71"/>
    <w:rsid w:val="009C71E0"/>
    <w:rsid w:val="009C741A"/>
    <w:rsid w:val="009C7716"/>
    <w:rsid w:val="009C7890"/>
    <w:rsid w:val="009C78A9"/>
    <w:rsid w:val="009C79B2"/>
    <w:rsid w:val="009C7A0E"/>
    <w:rsid w:val="009C7C57"/>
    <w:rsid w:val="009D0296"/>
    <w:rsid w:val="009D0388"/>
    <w:rsid w:val="009D03E5"/>
    <w:rsid w:val="009D056B"/>
    <w:rsid w:val="009D06ED"/>
    <w:rsid w:val="009D0A35"/>
    <w:rsid w:val="009D0AE4"/>
    <w:rsid w:val="009D0B8A"/>
    <w:rsid w:val="009D0C68"/>
    <w:rsid w:val="009D109E"/>
    <w:rsid w:val="009D1203"/>
    <w:rsid w:val="009D1460"/>
    <w:rsid w:val="009D1592"/>
    <w:rsid w:val="009D1640"/>
    <w:rsid w:val="009D1703"/>
    <w:rsid w:val="009D177E"/>
    <w:rsid w:val="009D17B2"/>
    <w:rsid w:val="009D184F"/>
    <w:rsid w:val="009D1989"/>
    <w:rsid w:val="009D1CAA"/>
    <w:rsid w:val="009D1DC6"/>
    <w:rsid w:val="009D1E37"/>
    <w:rsid w:val="009D1E7F"/>
    <w:rsid w:val="009D2274"/>
    <w:rsid w:val="009D2487"/>
    <w:rsid w:val="009D24A8"/>
    <w:rsid w:val="009D2505"/>
    <w:rsid w:val="009D25DA"/>
    <w:rsid w:val="009D28B4"/>
    <w:rsid w:val="009D2921"/>
    <w:rsid w:val="009D29A4"/>
    <w:rsid w:val="009D29EB"/>
    <w:rsid w:val="009D2A94"/>
    <w:rsid w:val="009D2B26"/>
    <w:rsid w:val="009D2DD4"/>
    <w:rsid w:val="009D2EE9"/>
    <w:rsid w:val="009D304C"/>
    <w:rsid w:val="009D3106"/>
    <w:rsid w:val="009D317E"/>
    <w:rsid w:val="009D330B"/>
    <w:rsid w:val="009D333A"/>
    <w:rsid w:val="009D33AA"/>
    <w:rsid w:val="009D38E0"/>
    <w:rsid w:val="009D3B93"/>
    <w:rsid w:val="009D3E80"/>
    <w:rsid w:val="009D401A"/>
    <w:rsid w:val="009D4262"/>
    <w:rsid w:val="009D46BF"/>
    <w:rsid w:val="009D46E6"/>
    <w:rsid w:val="009D46FB"/>
    <w:rsid w:val="009D4F38"/>
    <w:rsid w:val="009D516E"/>
    <w:rsid w:val="009D521A"/>
    <w:rsid w:val="009D5229"/>
    <w:rsid w:val="009D5231"/>
    <w:rsid w:val="009D52FC"/>
    <w:rsid w:val="009D597B"/>
    <w:rsid w:val="009D5D63"/>
    <w:rsid w:val="009D5E2F"/>
    <w:rsid w:val="009D5ECD"/>
    <w:rsid w:val="009D5FED"/>
    <w:rsid w:val="009D6142"/>
    <w:rsid w:val="009D6254"/>
    <w:rsid w:val="009D634A"/>
    <w:rsid w:val="009D648C"/>
    <w:rsid w:val="009D66C3"/>
    <w:rsid w:val="009D67E5"/>
    <w:rsid w:val="009D6912"/>
    <w:rsid w:val="009D6944"/>
    <w:rsid w:val="009D6985"/>
    <w:rsid w:val="009D6AA5"/>
    <w:rsid w:val="009D6BC7"/>
    <w:rsid w:val="009D6C4D"/>
    <w:rsid w:val="009D6C7F"/>
    <w:rsid w:val="009D703E"/>
    <w:rsid w:val="009D708C"/>
    <w:rsid w:val="009D70C5"/>
    <w:rsid w:val="009D7140"/>
    <w:rsid w:val="009D72AE"/>
    <w:rsid w:val="009D72B2"/>
    <w:rsid w:val="009D772B"/>
    <w:rsid w:val="009D778B"/>
    <w:rsid w:val="009D7A78"/>
    <w:rsid w:val="009D7B00"/>
    <w:rsid w:val="009D7EC1"/>
    <w:rsid w:val="009E008A"/>
    <w:rsid w:val="009E01D6"/>
    <w:rsid w:val="009E02FC"/>
    <w:rsid w:val="009E072A"/>
    <w:rsid w:val="009E0BFE"/>
    <w:rsid w:val="009E0C04"/>
    <w:rsid w:val="009E0CDE"/>
    <w:rsid w:val="009E0EF6"/>
    <w:rsid w:val="009E0F10"/>
    <w:rsid w:val="009E107B"/>
    <w:rsid w:val="009E14A2"/>
    <w:rsid w:val="009E1B76"/>
    <w:rsid w:val="009E1BA2"/>
    <w:rsid w:val="009E1E70"/>
    <w:rsid w:val="009E1EC9"/>
    <w:rsid w:val="009E2034"/>
    <w:rsid w:val="009E2195"/>
    <w:rsid w:val="009E22CD"/>
    <w:rsid w:val="009E25EE"/>
    <w:rsid w:val="009E2622"/>
    <w:rsid w:val="009E2773"/>
    <w:rsid w:val="009E2BC4"/>
    <w:rsid w:val="009E2C3B"/>
    <w:rsid w:val="009E2D1A"/>
    <w:rsid w:val="009E320F"/>
    <w:rsid w:val="009E3AD7"/>
    <w:rsid w:val="009E3CC7"/>
    <w:rsid w:val="009E3E93"/>
    <w:rsid w:val="009E3F72"/>
    <w:rsid w:val="009E4109"/>
    <w:rsid w:val="009E426E"/>
    <w:rsid w:val="009E42C4"/>
    <w:rsid w:val="009E4302"/>
    <w:rsid w:val="009E4742"/>
    <w:rsid w:val="009E4782"/>
    <w:rsid w:val="009E4788"/>
    <w:rsid w:val="009E4A17"/>
    <w:rsid w:val="009E4AEB"/>
    <w:rsid w:val="009E5148"/>
    <w:rsid w:val="009E51FF"/>
    <w:rsid w:val="009E54ED"/>
    <w:rsid w:val="009E56FF"/>
    <w:rsid w:val="009E5888"/>
    <w:rsid w:val="009E5922"/>
    <w:rsid w:val="009E5A3A"/>
    <w:rsid w:val="009E5BAA"/>
    <w:rsid w:val="009E5D41"/>
    <w:rsid w:val="009E601E"/>
    <w:rsid w:val="009E61EA"/>
    <w:rsid w:val="009E62EF"/>
    <w:rsid w:val="009E64DF"/>
    <w:rsid w:val="009E679F"/>
    <w:rsid w:val="009E67F5"/>
    <w:rsid w:val="009E726E"/>
    <w:rsid w:val="009E729A"/>
    <w:rsid w:val="009E72B5"/>
    <w:rsid w:val="009E739E"/>
    <w:rsid w:val="009E7409"/>
    <w:rsid w:val="009E79CE"/>
    <w:rsid w:val="009E79D3"/>
    <w:rsid w:val="009E7E28"/>
    <w:rsid w:val="009E7EBC"/>
    <w:rsid w:val="009E7F89"/>
    <w:rsid w:val="009F0209"/>
    <w:rsid w:val="009F02A5"/>
    <w:rsid w:val="009F04CF"/>
    <w:rsid w:val="009F063C"/>
    <w:rsid w:val="009F068C"/>
    <w:rsid w:val="009F06E3"/>
    <w:rsid w:val="009F081C"/>
    <w:rsid w:val="009F0AD3"/>
    <w:rsid w:val="009F0B11"/>
    <w:rsid w:val="009F0C28"/>
    <w:rsid w:val="009F0C45"/>
    <w:rsid w:val="009F0ED9"/>
    <w:rsid w:val="009F108B"/>
    <w:rsid w:val="009F1183"/>
    <w:rsid w:val="009F12A6"/>
    <w:rsid w:val="009F1338"/>
    <w:rsid w:val="009F1557"/>
    <w:rsid w:val="009F1786"/>
    <w:rsid w:val="009F196F"/>
    <w:rsid w:val="009F1A8B"/>
    <w:rsid w:val="009F1B3A"/>
    <w:rsid w:val="009F1C0B"/>
    <w:rsid w:val="009F1D6B"/>
    <w:rsid w:val="009F222C"/>
    <w:rsid w:val="009F2257"/>
    <w:rsid w:val="009F2312"/>
    <w:rsid w:val="009F276D"/>
    <w:rsid w:val="009F28CD"/>
    <w:rsid w:val="009F2A81"/>
    <w:rsid w:val="009F2C4E"/>
    <w:rsid w:val="009F2D97"/>
    <w:rsid w:val="009F2FF7"/>
    <w:rsid w:val="009F30F5"/>
    <w:rsid w:val="009F3162"/>
    <w:rsid w:val="009F3807"/>
    <w:rsid w:val="009F38E1"/>
    <w:rsid w:val="009F3A1F"/>
    <w:rsid w:val="009F3AC6"/>
    <w:rsid w:val="009F3B72"/>
    <w:rsid w:val="009F3C21"/>
    <w:rsid w:val="009F3D9B"/>
    <w:rsid w:val="009F3E60"/>
    <w:rsid w:val="009F3F14"/>
    <w:rsid w:val="009F401F"/>
    <w:rsid w:val="009F40A6"/>
    <w:rsid w:val="009F41E2"/>
    <w:rsid w:val="009F421F"/>
    <w:rsid w:val="009F42B0"/>
    <w:rsid w:val="009F4593"/>
    <w:rsid w:val="009F4890"/>
    <w:rsid w:val="009F4DCA"/>
    <w:rsid w:val="009F4EAC"/>
    <w:rsid w:val="009F5044"/>
    <w:rsid w:val="009F50A3"/>
    <w:rsid w:val="009F5293"/>
    <w:rsid w:val="009F5848"/>
    <w:rsid w:val="009F5C49"/>
    <w:rsid w:val="009F5FC9"/>
    <w:rsid w:val="009F6003"/>
    <w:rsid w:val="009F608D"/>
    <w:rsid w:val="009F6308"/>
    <w:rsid w:val="009F66F3"/>
    <w:rsid w:val="009F6950"/>
    <w:rsid w:val="009F6B4B"/>
    <w:rsid w:val="009F6CEF"/>
    <w:rsid w:val="009F6E29"/>
    <w:rsid w:val="009F6F2C"/>
    <w:rsid w:val="009F7126"/>
    <w:rsid w:val="009F72D1"/>
    <w:rsid w:val="009F7693"/>
    <w:rsid w:val="009F77A0"/>
    <w:rsid w:val="009F77C0"/>
    <w:rsid w:val="009F797F"/>
    <w:rsid w:val="009F7A76"/>
    <w:rsid w:val="009F7AEF"/>
    <w:rsid w:val="009F7BF0"/>
    <w:rsid w:val="009F7DB9"/>
    <w:rsid w:val="009F7EA0"/>
    <w:rsid w:val="00A00136"/>
    <w:rsid w:val="00A00147"/>
    <w:rsid w:val="00A0037E"/>
    <w:rsid w:val="00A003C0"/>
    <w:rsid w:val="00A00668"/>
    <w:rsid w:val="00A008A7"/>
    <w:rsid w:val="00A00ADC"/>
    <w:rsid w:val="00A00FF1"/>
    <w:rsid w:val="00A010A3"/>
    <w:rsid w:val="00A010B3"/>
    <w:rsid w:val="00A01118"/>
    <w:rsid w:val="00A01187"/>
    <w:rsid w:val="00A0147E"/>
    <w:rsid w:val="00A014C7"/>
    <w:rsid w:val="00A014E4"/>
    <w:rsid w:val="00A014EA"/>
    <w:rsid w:val="00A015FF"/>
    <w:rsid w:val="00A016FA"/>
    <w:rsid w:val="00A0179D"/>
    <w:rsid w:val="00A017DB"/>
    <w:rsid w:val="00A017F7"/>
    <w:rsid w:val="00A019C9"/>
    <w:rsid w:val="00A01A08"/>
    <w:rsid w:val="00A01BA2"/>
    <w:rsid w:val="00A01C66"/>
    <w:rsid w:val="00A01DE3"/>
    <w:rsid w:val="00A02214"/>
    <w:rsid w:val="00A023F6"/>
    <w:rsid w:val="00A02480"/>
    <w:rsid w:val="00A02541"/>
    <w:rsid w:val="00A0260C"/>
    <w:rsid w:val="00A02748"/>
    <w:rsid w:val="00A027F8"/>
    <w:rsid w:val="00A02AE7"/>
    <w:rsid w:val="00A02B19"/>
    <w:rsid w:val="00A02B45"/>
    <w:rsid w:val="00A02BFB"/>
    <w:rsid w:val="00A02C95"/>
    <w:rsid w:val="00A02CB7"/>
    <w:rsid w:val="00A02DE2"/>
    <w:rsid w:val="00A02E2A"/>
    <w:rsid w:val="00A03070"/>
    <w:rsid w:val="00A031D0"/>
    <w:rsid w:val="00A03202"/>
    <w:rsid w:val="00A034E9"/>
    <w:rsid w:val="00A03876"/>
    <w:rsid w:val="00A039A4"/>
    <w:rsid w:val="00A03E23"/>
    <w:rsid w:val="00A03EEC"/>
    <w:rsid w:val="00A0436B"/>
    <w:rsid w:val="00A043D4"/>
    <w:rsid w:val="00A0486D"/>
    <w:rsid w:val="00A048FA"/>
    <w:rsid w:val="00A04E19"/>
    <w:rsid w:val="00A04E34"/>
    <w:rsid w:val="00A04E6C"/>
    <w:rsid w:val="00A04FAF"/>
    <w:rsid w:val="00A05043"/>
    <w:rsid w:val="00A05163"/>
    <w:rsid w:val="00A0524D"/>
    <w:rsid w:val="00A0535B"/>
    <w:rsid w:val="00A055FF"/>
    <w:rsid w:val="00A057C8"/>
    <w:rsid w:val="00A0583D"/>
    <w:rsid w:val="00A05C99"/>
    <w:rsid w:val="00A05D7B"/>
    <w:rsid w:val="00A05EEE"/>
    <w:rsid w:val="00A062E1"/>
    <w:rsid w:val="00A063CE"/>
    <w:rsid w:val="00A066B4"/>
    <w:rsid w:val="00A068C8"/>
    <w:rsid w:val="00A06935"/>
    <w:rsid w:val="00A06ED0"/>
    <w:rsid w:val="00A0734D"/>
    <w:rsid w:val="00A0737B"/>
    <w:rsid w:val="00A0757F"/>
    <w:rsid w:val="00A07655"/>
    <w:rsid w:val="00A0767A"/>
    <w:rsid w:val="00A077BB"/>
    <w:rsid w:val="00A07C23"/>
    <w:rsid w:val="00A07D1B"/>
    <w:rsid w:val="00A07D82"/>
    <w:rsid w:val="00A07FE4"/>
    <w:rsid w:val="00A10081"/>
    <w:rsid w:val="00A103E6"/>
    <w:rsid w:val="00A1046D"/>
    <w:rsid w:val="00A10514"/>
    <w:rsid w:val="00A1067B"/>
    <w:rsid w:val="00A106BA"/>
    <w:rsid w:val="00A10740"/>
    <w:rsid w:val="00A107B9"/>
    <w:rsid w:val="00A10AD0"/>
    <w:rsid w:val="00A10C52"/>
    <w:rsid w:val="00A10CE1"/>
    <w:rsid w:val="00A10DC7"/>
    <w:rsid w:val="00A1114F"/>
    <w:rsid w:val="00A11166"/>
    <w:rsid w:val="00A11240"/>
    <w:rsid w:val="00A11291"/>
    <w:rsid w:val="00A112D7"/>
    <w:rsid w:val="00A113B5"/>
    <w:rsid w:val="00A113C4"/>
    <w:rsid w:val="00A1148E"/>
    <w:rsid w:val="00A11A0F"/>
    <w:rsid w:val="00A11A48"/>
    <w:rsid w:val="00A11D73"/>
    <w:rsid w:val="00A11E27"/>
    <w:rsid w:val="00A11E8B"/>
    <w:rsid w:val="00A11FA7"/>
    <w:rsid w:val="00A12199"/>
    <w:rsid w:val="00A121A0"/>
    <w:rsid w:val="00A122B1"/>
    <w:rsid w:val="00A125AC"/>
    <w:rsid w:val="00A1281D"/>
    <w:rsid w:val="00A12983"/>
    <w:rsid w:val="00A12BD9"/>
    <w:rsid w:val="00A12C5E"/>
    <w:rsid w:val="00A12E66"/>
    <w:rsid w:val="00A12E6F"/>
    <w:rsid w:val="00A12FB1"/>
    <w:rsid w:val="00A130F9"/>
    <w:rsid w:val="00A13197"/>
    <w:rsid w:val="00A13517"/>
    <w:rsid w:val="00A135FB"/>
    <w:rsid w:val="00A13841"/>
    <w:rsid w:val="00A13851"/>
    <w:rsid w:val="00A13854"/>
    <w:rsid w:val="00A1386D"/>
    <w:rsid w:val="00A138C3"/>
    <w:rsid w:val="00A139EE"/>
    <w:rsid w:val="00A13A75"/>
    <w:rsid w:val="00A13AD6"/>
    <w:rsid w:val="00A13D20"/>
    <w:rsid w:val="00A14187"/>
    <w:rsid w:val="00A14229"/>
    <w:rsid w:val="00A14278"/>
    <w:rsid w:val="00A143FE"/>
    <w:rsid w:val="00A146F1"/>
    <w:rsid w:val="00A14AA9"/>
    <w:rsid w:val="00A14CC1"/>
    <w:rsid w:val="00A14D78"/>
    <w:rsid w:val="00A14EBD"/>
    <w:rsid w:val="00A14F88"/>
    <w:rsid w:val="00A14F9C"/>
    <w:rsid w:val="00A150A5"/>
    <w:rsid w:val="00A150AC"/>
    <w:rsid w:val="00A15398"/>
    <w:rsid w:val="00A153F5"/>
    <w:rsid w:val="00A15438"/>
    <w:rsid w:val="00A15491"/>
    <w:rsid w:val="00A15590"/>
    <w:rsid w:val="00A15808"/>
    <w:rsid w:val="00A1595E"/>
    <w:rsid w:val="00A159EC"/>
    <w:rsid w:val="00A15B48"/>
    <w:rsid w:val="00A16049"/>
    <w:rsid w:val="00A1606E"/>
    <w:rsid w:val="00A16761"/>
    <w:rsid w:val="00A16889"/>
    <w:rsid w:val="00A16BF3"/>
    <w:rsid w:val="00A16D2A"/>
    <w:rsid w:val="00A16E31"/>
    <w:rsid w:val="00A16F32"/>
    <w:rsid w:val="00A176AC"/>
    <w:rsid w:val="00A176EF"/>
    <w:rsid w:val="00A17825"/>
    <w:rsid w:val="00A1789C"/>
    <w:rsid w:val="00A178B4"/>
    <w:rsid w:val="00A178BF"/>
    <w:rsid w:val="00A17912"/>
    <w:rsid w:val="00A17A7A"/>
    <w:rsid w:val="00A17B57"/>
    <w:rsid w:val="00A17D89"/>
    <w:rsid w:val="00A20027"/>
    <w:rsid w:val="00A200EA"/>
    <w:rsid w:val="00A20103"/>
    <w:rsid w:val="00A2018B"/>
    <w:rsid w:val="00A204C5"/>
    <w:rsid w:val="00A2068B"/>
    <w:rsid w:val="00A20753"/>
    <w:rsid w:val="00A20784"/>
    <w:rsid w:val="00A207CF"/>
    <w:rsid w:val="00A2089B"/>
    <w:rsid w:val="00A20EB6"/>
    <w:rsid w:val="00A21431"/>
    <w:rsid w:val="00A21466"/>
    <w:rsid w:val="00A2240E"/>
    <w:rsid w:val="00A22606"/>
    <w:rsid w:val="00A227EA"/>
    <w:rsid w:val="00A22948"/>
    <w:rsid w:val="00A22B93"/>
    <w:rsid w:val="00A22D44"/>
    <w:rsid w:val="00A22FFE"/>
    <w:rsid w:val="00A23290"/>
    <w:rsid w:val="00A23380"/>
    <w:rsid w:val="00A23501"/>
    <w:rsid w:val="00A2390D"/>
    <w:rsid w:val="00A23949"/>
    <w:rsid w:val="00A2399E"/>
    <w:rsid w:val="00A239AB"/>
    <w:rsid w:val="00A23C65"/>
    <w:rsid w:val="00A23D12"/>
    <w:rsid w:val="00A23D5F"/>
    <w:rsid w:val="00A23D62"/>
    <w:rsid w:val="00A23ECA"/>
    <w:rsid w:val="00A240C0"/>
    <w:rsid w:val="00A24172"/>
    <w:rsid w:val="00A242E6"/>
    <w:rsid w:val="00A2444D"/>
    <w:rsid w:val="00A2456C"/>
    <w:rsid w:val="00A24584"/>
    <w:rsid w:val="00A245F8"/>
    <w:rsid w:val="00A24748"/>
    <w:rsid w:val="00A24757"/>
    <w:rsid w:val="00A2485C"/>
    <w:rsid w:val="00A24B74"/>
    <w:rsid w:val="00A24B95"/>
    <w:rsid w:val="00A24C3E"/>
    <w:rsid w:val="00A24C4A"/>
    <w:rsid w:val="00A24FFF"/>
    <w:rsid w:val="00A2516A"/>
    <w:rsid w:val="00A251AF"/>
    <w:rsid w:val="00A252AC"/>
    <w:rsid w:val="00A25303"/>
    <w:rsid w:val="00A25AEB"/>
    <w:rsid w:val="00A25BA1"/>
    <w:rsid w:val="00A25D64"/>
    <w:rsid w:val="00A25D88"/>
    <w:rsid w:val="00A25E59"/>
    <w:rsid w:val="00A25E6B"/>
    <w:rsid w:val="00A25F3C"/>
    <w:rsid w:val="00A25F4F"/>
    <w:rsid w:val="00A2629B"/>
    <w:rsid w:val="00A262DE"/>
    <w:rsid w:val="00A2665F"/>
    <w:rsid w:val="00A2671E"/>
    <w:rsid w:val="00A2672C"/>
    <w:rsid w:val="00A26A49"/>
    <w:rsid w:val="00A26CB6"/>
    <w:rsid w:val="00A278B6"/>
    <w:rsid w:val="00A2797E"/>
    <w:rsid w:val="00A27A6A"/>
    <w:rsid w:val="00A27ABC"/>
    <w:rsid w:val="00A27E8D"/>
    <w:rsid w:val="00A27F6A"/>
    <w:rsid w:val="00A30283"/>
    <w:rsid w:val="00A30393"/>
    <w:rsid w:val="00A30575"/>
    <w:rsid w:val="00A305DD"/>
    <w:rsid w:val="00A3065B"/>
    <w:rsid w:val="00A30689"/>
    <w:rsid w:val="00A3094D"/>
    <w:rsid w:val="00A30E1D"/>
    <w:rsid w:val="00A31875"/>
    <w:rsid w:val="00A3197F"/>
    <w:rsid w:val="00A31A32"/>
    <w:rsid w:val="00A31EFB"/>
    <w:rsid w:val="00A31F05"/>
    <w:rsid w:val="00A31FB4"/>
    <w:rsid w:val="00A31FCF"/>
    <w:rsid w:val="00A32558"/>
    <w:rsid w:val="00A32651"/>
    <w:rsid w:val="00A32678"/>
    <w:rsid w:val="00A326E6"/>
    <w:rsid w:val="00A32797"/>
    <w:rsid w:val="00A32963"/>
    <w:rsid w:val="00A32A6D"/>
    <w:rsid w:val="00A32D2B"/>
    <w:rsid w:val="00A32E48"/>
    <w:rsid w:val="00A32EFF"/>
    <w:rsid w:val="00A32FA9"/>
    <w:rsid w:val="00A3307C"/>
    <w:rsid w:val="00A331A3"/>
    <w:rsid w:val="00A333D2"/>
    <w:rsid w:val="00A337C8"/>
    <w:rsid w:val="00A33847"/>
    <w:rsid w:val="00A33954"/>
    <w:rsid w:val="00A3399E"/>
    <w:rsid w:val="00A33B4F"/>
    <w:rsid w:val="00A33BB0"/>
    <w:rsid w:val="00A33C87"/>
    <w:rsid w:val="00A33DAC"/>
    <w:rsid w:val="00A33F06"/>
    <w:rsid w:val="00A33F3A"/>
    <w:rsid w:val="00A3434D"/>
    <w:rsid w:val="00A3455F"/>
    <w:rsid w:val="00A3474D"/>
    <w:rsid w:val="00A3489C"/>
    <w:rsid w:val="00A348E5"/>
    <w:rsid w:val="00A34A02"/>
    <w:rsid w:val="00A34B76"/>
    <w:rsid w:val="00A34C09"/>
    <w:rsid w:val="00A34C29"/>
    <w:rsid w:val="00A34C61"/>
    <w:rsid w:val="00A35130"/>
    <w:rsid w:val="00A35230"/>
    <w:rsid w:val="00A35373"/>
    <w:rsid w:val="00A354C2"/>
    <w:rsid w:val="00A358C9"/>
    <w:rsid w:val="00A35A13"/>
    <w:rsid w:val="00A35BAF"/>
    <w:rsid w:val="00A36210"/>
    <w:rsid w:val="00A3646E"/>
    <w:rsid w:val="00A36708"/>
    <w:rsid w:val="00A36D58"/>
    <w:rsid w:val="00A36D87"/>
    <w:rsid w:val="00A37188"/>
    <w:rsid w:val="00A37286"/>
    <w:rsid w:val="00A3740B"/>
    <w:rsid w:val="00A3758C"/>
    <w:rsid w:val="00A376A2"/>
    <w:rsid w:val="00A376C4"/>
    <w:rsid w:val="00A379D5"/>
    <w:rsid w:val="00A37BC5"/>
    <w:rsid w:val="00A37C81"/>
    <w:rsid w:val="00A37DB3"/>
    <w:rsid w:val="00A37EA0"/>
    <w:rsid w:val="00A37F24"/>
    <w:rsid w:val="00A4012F"/>
    <w:rsid w:val="00A40289"/>
    <w:rsid w:val="00A402D8"/>
    <w:rsid w:val="00A402E1"/>
    <w:rsid w:val="00A40462"/>
    <w:rsid w:val="00A4055D"/>
    <w:rsid w:val="00A40718"/>
    <w:rsid w:val="00A409B6"/>
    <w:rsid w:val="00A40A10"/>
    <w:rsid w:val="00A40AC6"/>
    <w:rsid w:val="00A40F6A"/>
    <w:rsid w:val="00A4119E"/>
    <w:rsid w:val="00A411D8"/>
    <w:rsid w:val="00A4135B"/>
    <w:rsid w:val="00A413A0"/>
    <w:rsid w:val="00A414A5"/>
    <w:rsid w:val="00A4151C"/>
    <w:rsid w:val="00A41871"/>
    <w:rsid w:val="00A41B89"/>
    <w:rsid w:val="00A41D35"/>
    <w:rsid w:val="00A41D78"/>
    <w:rsid w:val="00A42790"/>
    <w:rsid w:val="00A42980"/>
    <w:rsid w:val="00A42A49"/>
    <w:rsid w:val="00A42B1F"/>
    <w:rsid w:val="00A43480"/>
    <w:rsid w:val="00A434AC"/>
    <w:rsid w:val="00A43503"/>
    <w:rsid w:val="00A4357C"/>
    <w:rsid w:val="00A43A38"/>
    <w:rsid w:val="00A43C84"/>
    <w:rsid w:val="00A43CA0"/>
    <w:rsid w:val="00A43DE9"/>
    <w:rsid w:val="00A43E59"/>
    <w:rsid w:val="00A441CE"/>
    <w:rsid w:val="00A44233"/>
    <w:rsid w:val="00A44342"/>
    <w:rsid w:val="00A44554"/>
    <w:rsid w:val="00A44630"/>
    <w:rsid w:val="00A4479A"/>
    <w:rsid w:val="00A4487E"/>
    <w:rsid w:val="00A4491B"/>
    <w:rsid w:val="00A44AC9"/>
    <w:rsid w:val="00A44BA1"/>
    <w:rsid w:val="00A44BC8"/>
    <w:rsid w:val="00A44C54"/>
    <w:rsid w:val="00A44F6C"/>
    <w:rsid w:val="00A4509B"/>
    <w:rsid w:val="00A4516F"/>
    <w:rsid w:val="00A45255"/>
    <w:rsid w:val="00A452F0"/>
    <w:rsid w:val="00A4532D"/>
    <w:rsid w:val="00A45750"/>
    <w:rsid w:val="00A4584E"/>
    <w:rsid w:val="00A45ACB"/>
    <w:rsid w:val="00A45B1B"/>
    <w:rsid w:val="00A45B4E"/>
    <w:rsid w:val="00A45C22"/>
    <w:rsid w:val="00A45C9B"/>
    <w:rsid w:val="00A4600F"/>
    <w:rsid w:val="00A463FF"/>
    <w:rsid w:val="00A469A8"/>
    <w:rsid w:val="00A46A17"/>
    <w:rsid w:val="00A46CB1"/>
    <w:rsid w:val="00A46DF8"/>
    <w:rsid w:val="00A46FA1"/>
    <w:rsid w:val="00A46FCB"/>
    <w:rsid w:val="00A477EB"/>
    <w:rsid w:val="00A4782D"/>
    <w:rsid w:val="00A478ED"/>
    <w:rsid w:val="00A47AB8"/>
    <w:rsid w:val="00A47D8B"/>
    <w:rsid w:val="00A47EA9"/>
    <w:rsid w:val="00A47ED8"/>
    <w:rsid w:val="00A50021"/>
    <w:rsid w:val="00A5010F"/>
    <w:rsid w:val="00A5014F"/>
    <w:rsid w:val="00A50539"/>
    <w:rsid w:val="00A50631"/>
    <w:rsid w:val="00A50701"/>
    <w:rsid w:val="00A509C9"/>
    <w:rsid w:val="00A50A23"/>
    <w:rsid w:val="00A50C3A"/>
    <w:rsid w:val="00A50CEE"/>
    <w:rsid w:val="00A50E34"/>
    <w:rsid w:val="00A51358"/>
    <w:rsid w:val="00A513E0"/>
    <w:rsid w:val="00A51441"/>
    <w:rsid w:val="00A51544"/>
    <w:rsid w:val="00A51809"/>
    <w:rsid w:val="00A51828"/>
    <w:rsid w:val="00A51BA9"/>
    <w:rsid w:val="00A51C5C"/>
    <w:rsid w:val="00A51EB9"/>
    <w:rsid w:val="00A51EF9"/>
    <w:rsid w:val="00A52119"/>
    <w:rsid w:val="00A5212D"/>
    <w:rsid w:val="00A5214D"/>
    <w:rsid w:val="00A521DB"/>
    <w:rsid w:val="00A52220"/>
    <w:rsid w:val="00A52522"/>
    <w:rsid w:val="00A52621"/>
    <w:rsid w:val="00A52746"/>
    <w:rsid w:val="00A527F5"/>
    <w:rsid w:val="00A52EFA"/>
    <w:rsid w:val="00A53090"/>
    <w:rsid w:val="00A531FF"/>
    <w:rsid w:val="00A532DF"/>
    <w:rsid w:val="00A532ED"/>
    <w:rsid w:val="00A533CA"/>
    <w:rsid w:val="00A535A5"/>
    <w:rsid w:val="00A535E0"/>
    <w:rsid w:val="00A53747"/>
    <w:rsid w:val="00A53892"/>
    <w:rsid w:val="00A53A04"/>
    <w:rsid w:val="00A53C3A"/>
    <w:rsid w:val="00A53D11"/>
    <w:rsid w:val="00A53E5F"/>
    <w:rsid w:val="00A53EAE"/>
    <w:rsid w:val="00A546A5"/>
    <w:rsid w:val="00A54B12"/>
    <w:rsid w:val="00A54CA8"/>
    <w:rsid w:val="00A550C7"/>
    <w:rsid w:val="00A550F8"/>
    <w:rsid w:val="00A55299"/>
    <w:rsid w:val="00A552D8"/>
    <w:rsid w:val="00A5533D"/>
    <w:rsid w:val="00A5542B"/>
    <w:rsid w:val="00A55614"/>
    <w:rsid w:val="00A55829"/>
    <w:rsid w:val="00A55C08"/>
    <w:rsid w:val="00A55D85"/>
    <w:rsid w:val="00A55DF3"/>
    <w:rsid w:val="00A55FAD"/>
    <w:rsid w:val="00A5616A"/>
    <w:rsid w:val="00A561E7"/>
    <w:rsid w:val="00A56292"/>
    <w:rsid w:val="00A565C9"/>
    <w:rsid w:val="00A566DD"/>
    <w:rsid w:val="00A56A08"/>
    <w:rsid w:val="00A56AED"/>
    <w:rsid w:val="00A56C17"/>
    <w:rsid w:val="00A57010"/>
    <w:rsid w:val="00A57161"/>
    <w:rsid w:val="00A572F1"/>
    <w:rsid w:val="00A574E8"/>
    <w:rsid w:val="00A57539"/>
    <w:rsid w:val="00A578CA"/>
    <w:rsid w:val="00A57935"/>
    <w:rsid w:val="00A57A6C"/>
    <w:rsid w:val="00A57E00"/>
    <w:rsid w:val="00A60004"/>
    <w:rsid w:val="00A60219"/>
    <w:rsid w:val="00A6036C"/>
    <w:rsid w:val="00A603D9"/>
    <w:rsid w:val="00A6057A"/>
    <w:rsid w:val="00A606A4"/>
    <w:rsid w:val="00A6071E"/>
    <w:rsid w:val="00A608E9"/>
    <w:rsid w:val="00A60A5C"/>
    <w:rsid w:val="00A613CA"/>
    <w:rsid w:val="00A616C5"/>
    <w:rsid w:val="00A617C0"/>
    <w:rsid w:val="00A61953"/>
    <w:rsid w:val="00A61D52"/>
    <w:rsid w:val="00A61DE0"/>
    <w:rsid w:val="00A61DF6"/>
    <w:rsid w:val="00A61EEE"/>
    <w:rsid w:val="00A6226C"/>
    <w:rsid w:val="00A623CF"/>
    <w:rsid w:val="00A624A3"/>
    <w:rsid w:val="00A6258D"/>
    <w:rsid w:val="00A62698"/>
    <w:rsid w:val="00A62875"/>
    <w:rsid w:val="00A629D9"/>
    <w:rsid w:val="00A62A11"/>
    <w:rsid w:val="00A62FED"/>
    <w:rsid w:val="00A6323B"/>
    <w:rsid w:val="00A63240"/>
    <w:rsid w:val="00A6325C"/>
    <w:rsid w:val="00A63536"/>
    <w:rsid w:val="00A635C1"/>
    <w:rsid w:val="00A63B52"/>
    <w:rsid w:val="00A63BC3"/>
    <w:rsid w:val="00A63ECE"/>
    <w:rsid w:val="00A63F8D"/>
    <w:rsid w:val="00A6418B"/>
    <w:rsid w:val="00A644D0"/>
    <w:rsid w:val="00A646C3"/>
    <w:rsid w:val="00A6475B"/>
    <w:rsid w:val="00A64893"/>
    <w:rsid w:val="00A64941"/>
    <w:rsid w:val="00A64984"/>
    <w:rsid w:val="00A64C44"/>
    <w:rsid w:val="00A64E17"/>
    <w:rsid w:val="00A64E2C"/>
    <w:rsid w:val="00A64F4C"/>
    <w:rsid w:val="00A650CF"/>
    <w:rsid w:val="00A651A7"/>
    <w:rsid w:val="00A6536F"/>
    <w:rsid w:val="00A65463"/>
    <w:rsid w:val="00A65515"/>
    <w:rsid w:val="00A6570B"/>
    <w:rsid w:val="00A6571B"/>
    <w:rsid w:val="00A65815"/>
    <w:rsid w:val="00A65B03"/>
    <w:rsid w:val="00A65C5B"/>
    <w:rsid w:val="00A65CA1"/>
    <w:rsid w:val="00A65ECC"/>
    <w:rsid w:val="00A660D4"/>
    <w:rsid w:val="00A661CD"/>
    <w:rsid w:val="00A664F9"/>
    <w:rsid w:val="00A66656"/>
    <w:rsid w:val="00A6669D"/>
    <w:rsid w:val="00A666BB"/>
    <w:rsid w:val="00A666F1"/>
    <w:rsid w:val="00A667D9"/>
    <w:rsid w:val="00A66979"/>
    <w:rsid w:val="00A66C65"/>
    <w:rsid w:val="00A66D9A"/>
    <w:rsid w:val="00A672BB"/>
    <w:rsid w:val="00A67585"/>
    <w:rsid w:val="00A676BD"/>
    <w:rsid w:val="00A67AF9"/>
    <w:rsid w:val="00A67CA3"/>
    <w:rsid w:val="00A67DA8"/>
    <w:rsid w:val="00A67E3B"/>
    <w:rsid w:val="00A67EFA"/>
    <w:rsid w:val="00A67FAA"/>
    <w:rsid w:val="00A6CCC8"/>
    <w:rsid w:val="00A70174"/>
    <w:rsid w:val="00A70269"/>
    <w:rsid w:val="00A70371"/>
    <w:rsid w:val="00A70477"/>
    <w:rsid w:val="00A70A15"/>
    <w:rsid w:val="00A71029"/>
    <w:rsid w:val="00A7115C"/>
    <w:rsid w:val="00A711C9"/>
    <w:rsid w:val="00A7131A"/>
    <w:rsid w:val="00A71346"/>
    <w:rsid w:val="00A71600"/>
    <w:rsid w:val="00A7165F"/>
    <w:rsid w:val="00A71721"/>
    <w:rsid w:val="00A71A61"/>
    <w:rsid w:val="00A71C9B"/>
    <w:rsid w:val="00A71D50"/>
    <w:rsid w:val="00A71D78"/>
    <w:rsid w:val="00A71DFB"/>
    <w:rsid w:val="00A7208F"/>
    <w:rsid w:val="00A720E3"/>
    <w:rsid w:val="00A7219B"/>
    <w:rsid w:val="00A722BA"/>
    <w:rsid w:val="00A726C6"/>
    <w:rsid w:val="00A72776"/>
    <w:rsid w:val="00A72950"/>
    <w:rsid w:val="00A729F4"/>
    <w:rsid w:val="00A72B32"/>
    <w:rsid w:val="00A72CA0"/>
    <w:rsid w:val="00A72D86"/>
    <w:rsid w:val="00A72E52"/>
    <w:rsid w:val="00A7307F"/>
    <w:rsid w:val="00A7317F"/>
    <w:rsid w:val="00A731B7"/>
    <w:rsid w:val="00A73715"/>
    <w:rsid w:val="00A73980"/>
    <w:rsid w:val="00A73CE7"/>
    <w:rsid w:val="00A7401C"/>
    <w:rsid w:val="00A7403A"/>
    <w:rsid w:val="00A743D0"/>
    <w:rsid w:val="00A749B0"/>
    <w:rsid w:val="00A74BE3"/>
    <w:rsid w:val="00A74EE0"/>
    <w:rsid w:val="00A74EEE"/>
    <w:rsid w:val="00A7508D"/>
    <w:rsid w:val="00A752F5"/>
    <w:rsid w:val="00A7538E"/>
    <w:rsid w:val="00A755E2"/>
    <w:rsid w:val="00A755EC"/>
    <w:rsid w:val="00A756CB"/>
    <w:rsid w:val="00A7589C"/>
    <w:rsid w:val="00A7599B"/>
    <w:rsid w:val="00A75AD3"/>
    <w:rsid w:val="00A75AF1"/>
    <w:rsid w:val="00A75B60"/>
    <w:rsid w:val="00A75DB0"/>
    <w:rsid w:val="00A75E11"/>
    <w:rsid w:val="00A760EB"/>
    <w:rsid w:val="00A7617F"/>
    <w:rsid w:val="00A76197"/>
    <w:rsid w:val="00A766DE"/>
    <w:rsid w:val="00A767A8"/>
    <w:rsid w:val="00A76D99"/>
    <w:rsid w:val="00A77050"/>
    <w:rsid w:val="00A771DF"/>
    <w:rsid w:val="00A77257"/>
    <w:rsid w:val="00A77305"/>
    <w:rsid w:val="00A77331"/>
    <w:rsid w:val="00A774EA"/>
    <w:rsid w:val="00A7754E"/>
    <w:rsid w:val="00A7776F"/>
    <w:rsid w:val="00A77A97"/>
    <w:rsid w:val="00A77B42"/>
    <w:rsid w:val="00A77CD0"/>
    <w:rsid w:val="00A801AC"/>
    <w:rsid w:val="00A801F9"/>
    <w:rsid w:val="00A80343"/>
    <w:rsid w:val="00A8043A"/>
    <w:rsid w:val="00A8048F"/>
    <w:rsid w:val="00A808A7"/>
    <w:rsid w:val="00A80D58"/>
    <w:rsid w:val="00A80F18"/>
    <w:rsid w:val="00A80F6D"/>
    <w:rsid w:val="00A810D2"/>
    <w:rsid w:val="00A8133B"/>
    <w:rsid w:val="00A81386"/>
    <w:rsid w:val="00A8150A"/>
    <w:rsid w:val="00A8156B"/>
    <w:rsid w:val="00A81624"/>
    <w:rsid w:val="00A8169D"/>
    <w:rsid w:val="00A81723"/>
    <w:rsid w:val="00A819DC"/>
    <w:rsid w:val="00A819F0"/>
    <w:rsid w:val="00A81A0F"/>
    <w:rsid w:val="00A81A9D"/>
    <w:rsid w:val="00A81AA8"/>
    <w:rsid w:val="00A81DA3"/>
    <w:rsid w:val="00A8206F"/>
    <w:rsid w:val="00A820F5"/>
    <w:rsid w:val="00A82158"/>
    <w:rsid w:val="00A82379"/>
    <w:rsid w:val="00A824CA"/>
    <w:rsid w:val="00A82969"/>
    <w:rsid w:val="00A82AE7"/>
    <w:rsid w:val="00A82CEC"/>
    <w:rsid w:val="00A8309E"/>
    <w:rsid w:val="00A836CC"/>
    <w:rsid w:val="00A83A31"/>
    <w:rsid w:val="00A8425A"/>
    <w:rsid w:val="00A84568"/>
    <w:rsid w:val="00A847A2"/>
    <w:rsid w:val="00A84A40"/>
    <w:rsid w:val="00A84BEC"/>
    <w:rsid w:val="00A84D26"/>
    <w:rsid w:val="00A84FDE"/>
    <w:rsid w:val="00A850A6"/>
    <w:rsid w:val="00A85201"/>
    <w:rsid w:val="00A857CE"/>
    <w:rsid w:val="00A8587F"/>
    <w:rsid w:val="00A85E19"/>
    <w:rsid w:val="00A85E77"/>
    <w:rsid w:val="00A85F2F"/>
    <w:rsid w:val="00A86731"/>
    <w:rsid w:val="00A868C8"/>
    <w:rsid w:val="00A86AFC"/>
    <w:rsid w:val="00A86CA0"/>
    <w:rsid w:val="00A86F32"/>
    <w:rsid w:val="00A8727B"/>
    <w:rsid w:val="00A87288"/>
    <w:rsid w:val="00A8753E"/>
    <w:rsid w:val="00A875BC"/>
    <w:rsid w:val="00A875F0"/>
    <w:rsid w:val="00A87618"/>
    <w:rsid w:val="00A87888"/>
    <w:rsid w:val="00A87C7B"/>
    <w:rsid w:val="00A87CDA"/>
    <w:rsid w:val="00A87DF2"/>
    <w:rsid w:val="00A9000A"/>
    <w:rsid w:val="00A9024E"/>
    <w:rsid w:val="00A904EA"/>
    <w:rsid w:val="00A9051E"/>
    <w:rsid w:val="00A90665"/>
    <w:rsid w:val="00A906A2"/>
    <w:rsid w:val="00A90AA2"/>
    <w:rsid w:val="00A90B8B"/>
    <w:rsid w:val="00A90E62"/>
    <w:rsid w:val="00A90FAB"/>
    <w:rsid w:val="00A90FEF"/>
    <w:rsid w:val="00A9158E"/>
    <w:rsid w:val="00A915F9"/>
    <w:rsid w:val="00A917D2"/>
    <w:rsid w:val="00A91AB7"/>
    <w:rsid w:val="00A91E13"/>
    <w:rsid w:val="00A92097"/>
    <w:rsid w:val="00A92230"/>
    <w:rsid w:val="00A92495"/>
    <w:rsid w:val="00A9262E"/>
    <w:rsid w:val="00A92922"/>
    <w:rsid w:val="00A9292D"/>
    <w:rsid w:val="00A9293E"/>
    <w:rsid w:val="00A92A02"/>
    <w:rsid w:val="00A92A3F"/>
    <w:rsid w:val="00A92AA0"/>
    <w:rsid w:val="00A92AC2"/>
    <w:rsid w:val="00A92AC6"/>
    <w:rsid w:val="00A92B9C"/>
    <w:rsid w:val="00A92C9F"/>
    <w:rsid w:val="00A92D65"/>
    <w:rsid w:val="00A92D74"/>
    <w:rsid w:val="00A92FB8"/>
    <w:rsid w:val="00A92FC5"/>
    <w:rsid w:val="00A93342"/>
    <w:rsid w:val="00A93359"/>
    <w:rsid w:val="00A9355C"/>
    <w:rsid w:val="00A93700"/>
    <w:rsid w:val="00A93C8F"/>
    <w:rsid w:val="00A93EA4"/>
    <w:rsid w:val="00A940DA"/>
    <w:rsid w:val="00A9421E"/>
    <w:rsid w:val="00A9451B"/>
    <w:rsid w:val="00A94A85"/>
    <w:rsid w:val="00A94B26"/>
    <w:rsid w:val="00A94E80"/>
    <w:rsid w:val="00A950E2"/>
    <w:rsid w:val="00A9510B"/>
    <w:rsid w:val="00A951CB"/>
    <w:rsid w:val="00A9522E"/>
    <w:rsid w:val="00A953AA"/>
    <w:rsid w:val="00A954EF"/>
    <w:rsid w:val="00A95934"/>
    <w:rsid w:val="00A95B48"/>
    <w:rsid w:val="00A95B5A"/>
    <w:rsid w:val="00A95CAA"/>
    <w:rsid w:val="00A96056"/>
    <w:rsid w:val="00A961DE"/>
    <w:rsid w:val="00A96370"/>
    <w:rsid w:val="00A964F5"/>
    <w:rsid w:val="00A96757"/>
    <w:rsid w:val="00A96D07"/>
    <w:rsid w:val="00A96E4A"/>
    <w:rsid w:val="00A97167"/>
    <w:rsid w:val="00A972F2"/>
    <w:rsid w:val="00A9733D"/>
    <w:rsid w:val="00A974C6"/>
    <w:rsid w:val="00A9759C"/>
    <w:rsid w:val="00A97618"/>
    <w:rsid w:val="00A97707"/>
    <w:rsid w:val="00A97B4F"/>
    <w:rsid w:val="00A97B7C"/>
    <w:rsid w:val="00A97B97"/>
    <w:rsid w:val="00A97BCA"/>
    <w:rsid w:val="00A97C63"/>
    <w:rsid w:val="00A97F35"/>
    <w:rsid w:val="00A97FC1"/>
    <w:rsid w:val="00AA0036"/>
    <w:rsid w:val="00AA02BC"/>
    <w:rsid w:val="00AA0709"/>
    <w:rsid w:val="00AA087A"/>
    <w:rsid w:val="00AA089C"/>
    <w:rsid w:val="00AA0964"/>
    <w:rsid w:val="00AA0AC8"/>
    <w:rsid w:val="00AA0B44"/>
    <w:rsid w:val="00AA0B45"/>
    <w:rsid w:val="00AA0C79"/>
    <w:rsid w:val="00AA0CCF"/>
    <w:rsid w:val="00AA0D51"/>
    <w:rsid w:val="00AA0DC2"/>
    <w:rsid w:val="00AA0E2A"/>
    <w:rsid w:val="00AA1137"/>
    <w:rsid w:val="00AA14B6"/>
    <w:rsid w:val="00AA173D"/>
    <w:rsid w:val="00AA19E2"/>
    <w:rsid w:val="00AA1E46"/>
    <w:rsid w:val="00AA1ED3"/>
    <w:rsid w:val="00AA2495"/>
    <w:rsid w:val="00AA2540"/>
    <w:rsid w:val="00AA2BD3"/>
    <w:rsid w:val="00AA2CB5"/>
    <w:rsid w:val="00AA2CC7"/>
    <w:rsid w:val="00AA30BA"/>
    <w:rsid w:val="00AA3138"/>
    <w:rsid w:val="00AA34B8"/>
    <w:rsid w:val="00AA360C"/>
    <w:rsid w:val="00AA362D"/>
    <w:rsid w:val="00AA37DE"/>
    <w:rsid w:val="00AA40FF"/>
    <w:rsid w:val="00AA415B"/>
    <w:rsid w:val="00AA4196"/>
    <w:rsid w:val="00AA4445"/>
    <w:rsid w:val="00AA4C48"/>
    <w:rsid w:val="00AA4D90"/>
    <w:rsid w:val="00AA4E83"/>
    <w:rsid w:val="00AA500B"/>
    <w:rsid w:val="00AA507D"/>
    <w:rsid w:val="00AA5103"/>
    <w:rsid w:val="00AA51D6"/>
    <w:rsid w:val="00AA57D9"/>
    <w:rsid w:val="00AA582E"/>
    <w:rsid w:val="00AA5872"/>
    <w:rsid w:val="00AA5895"/>
    <w:rsid w:val="00AA5925"/>
    <w:rsid w:val="00AA5AC1"/>
    <w:rsid w:val="00AA5C5C"/>
    <w:rsid w:val="00AA5F12"/>
    <w:rsid w:val="00AA5FF2"/>
    <w:rsid w:val="00AA60C1"/>
    <w:rsid w:val="00AA621A"/>
    <w:rsid w:val="00AA62C3"/>
    <w:rsid w:val="00AA655F"/>
    <w:rsid w:val="00AA674B"/>
    <w:rsid w:val="00AA6909"/>
    <w:rsid w:val="00AA696E"/>
    <w:rsid w:val="00AA6A7C"/>
    <w:rsid w:val="00AA6E2C"/>
    <w:rsid w:val="00AA703B"/>
    <w:rsid w:val="00AA7418"/>
    <w:rsid w:val="00AA75A2"/>
    <w:rsid w:val="00AA770F"/>
    <w:rsid w:val="00AA7756"/>
    <w:rsid w:val="00AA77E6"/>
    <w:rsid w:val="00AA792D"/>
    <w:rsid w:val="00AA7B38"/>
    <w:rsid w:val="00AA7D57"/>
    <w:rsid w:val="00AA7FFD"/>
    <w:rsid w:val="00AB0279"/>
    <w:rsid w:val="00AB06F1"/>
    <w:rsid w:val="00AB084F"/>
    <w:rsid w:val="00AB0A28"/>
    <w:rsid w:val="00AB0AC8"/>
    <w:rsid w:val="00AB0DD2"/>
    <w:rsid w:val="00AB0F5A"/>
    <w:rsid w:val="00AB0FCB"/>
    <w:rsid w:val="00AB14D8"/>
    <w:rsid w:val="00AB17EC"/>
    <w:rsid w:val="00AB17F3"/>
    <w:rsid w:val="00AB1965"/>
    <w:rsid w:val="00AB1E5D"/>
    <w:rsid w:val="00AB1F7E"/>
    <w:rsid w:val="00AB21AB"/>
    <w:rsid w:val="00AB236D"/>
    <w:rsid w:val="00AB25B6"/>
    <w:rsid w:val="00AB25BF"/>
    <w:rsid w:val="00AB25CC"/>
    <w:rsid w:val="00AB25CD"/>
    <w:rsid w:val="00AB28B6"/>
    <w:rsid w:val="00AB297D"/>
    <w:rsid w:val="00AB29BA"/>
    <w:rsid w:val="00AB2CA2"/>
    <w:rsid w:val="00AB2E6D"/>
    <w:rsid w:val="00AB3002"/>
    <w:rsid w:val="00AB3029"/>
    <w:rsid w:val="00AB30F7"/>
    <w:rsid w:val="00AB3250"/>
    <w:rsid w:val="00AB325F"/>
    <w:rsid w:val="00AB3269"/>
    <w:rsid w:val="00AB3777"/>
    <w:rsid w:val="00AB387A"/>
    <w:rsid w:val="00AB39FD"/>
    <w:rsid w:val="00AB3C0C"/>
    <w:rsid w:val="00AB3E0C"/>
    <w:rsid w:val="00AB40BB"/>
    <w:rsid w:val="00AB40DD"/>
    <w:rsid w:val="00AB412D"/>
    <w:rsid w:val="00AB4335"/>
    <w:rsid w:val="00AB43E7"/>
    <w:rsid w:val="00AB4613"/>
    <w:rsid w:val="00AB4625"/>
    <w:rsid w:val="00AB47A8"/>
    <w:rsid w:val="00AB48D0"/>
    <w:rsid w:val="00AB494A"/>
    <w:rsid w:val="00AB4C09"/>
    <w:rsid w:val="00AB506A"/>
    <w:rsid w:val="00AB5142"/>
    <w:rsid w:val="00AB51D6"/>
    <w:rsid w:val="00AB52CF"/>
    <w:rsid w:val="00AB53B5"/>
    <w:rsid w:val="00AB5467"/>
    <w:rsid w:val="00AB54BF"/>
    <w:rsid w:val="00AB57AF"/>
    <w:rsid w:val="00AB59A3"/>
    <w:rsid w:val="00AB5B32"/>
    <w:rsid w:val="00AB5C12"/>
    <w:rsid w:val="00AB5C1E"/>
    <w:rsid w:val="00AB61FC"/>
    <w:rsid w:val="00AB6348"/>
    <w:rsid w:val="00AB63F1"/>
    <w:rsid w:val="00AB6552"/>
    <w:rsid w:val="00AB68B4"/>
    <w:rsid w:val="00AB6FAF"/>
    <w:rsid w:val="00AB7042"/>
    <w:rsid w:val="00AB7299"/>
    <w:rsid w:val="00AB756C"/>
    <w:rsid w:val="00AB7663"/>
    <w:rsid w:val="00AB7865"/>
    <w:rsid w:val="00AB7A3C"/>
    <w:rsid w:val="00AB7B19"/>
    <w:rsid w:val="00AB7C7F"/>
    <w:rsid w:val="00AC0024"/>
    <w:rsid w:val="00AC00B5"/>
    <w:rsid w:val="00AC01B7"/>
    <w:rsid w:val="00AC0354"/>
    <w:rsid w:val="00AC052A"/>
    <w:rsid w:val="00AC073D"/>
    <w:rsid w:val="00AC07E7"/>
    <w:rsid w:val="00AC088E"/>
    <w:rsid w:val="00AC0B6B"/>
    <w:rsid w:val="00AC0C70"/>
    <w:rsid w:val="00AC0ED7"/>
    <w:rsid w:val="00AC105C"/>
    <w:rsid w:val="00AC1136"/>
    <w:rsid w:val="00AC1185"/>
    <w:rsid w:val="00AC1483"/>
    <w:rsid w:val="00AC15B6"/>
    <w:rsid w:val="00AC19F5"/>
    <w:rsid w:val="00AC1BC9"/>
    <w:rsid w:val="00AC1C7D"/>
    <w:rsid w:val="00AC2131"/>
    <w:rsid w:val="00AC213E"/>
    <w:rsid w:val="00AC22BC"/>
    <w:rsid w:val="00AC255F"/>
    <w:rsid w:val="00AC2672"/>
    <w:rsid w:val="00AC2D86"/>
    <w:rsid w:val="00AC2E20"/>
    <w:rsid w:val="00AC369E"/>
    <w:rsid w:val="00AC36A6"/>
    <w:rsid w:val="00AC3C02"/>
    <w:rsid w:val="00AC3DB9"/>
    <w:rsid w:val="00AC3DE7"/>
    <w:rsid w:val="00AC3EE3"/>
    <w:rsid w:val="00AC3FBD"/>
    <w:rsid w:val="00AC42DB"/>
    <w:rsid w:val="00AC4714"/>
    <w:rsid w:val="00AC4A39"/>
    <w:rsid w:val="00AC4BFB"/>
    <w:rsid w:val="00AC4DD0"/>
    <w:rsid w:val="00AC4F87"/>
    <w:rsid w:val="00AC5027"/>
    <w:rsid w:val="00AC5135"/>
    <w:rsid w:val="00AC5238"/>
    <w:rsid w:val="00AC551C"/>
    <w:rsid w:val="00AC55BE"/>
    <w:rsid w:val="00AC5B2E"/>
    <w:rsid w:val="00AC5DF1"/>
    <w:rsid w:val="00AC5E25"/>
    <w:rsid w:val="00AC60CC"/>
    <w:rsid w:val="00AC672A"/>
    <w:rsid w:val="00AC6A13"/>
    <w:rsid w:val="00AC7162"/>
    <w:rsid w:val="00AC7337"/>
    <w:rsid w:val="00AC76AE"/>
    <w:rsid w:val="00AC7717"/>
    <w:rsid w:val="00AC7725"/>
    <w:rsid w:val="00AC7837"/>
    <w:rsid w:val="00AC787D"/>
    <w:rsid w:val="00AC79E7"/>
    <w:rsid w:val="00AC7F4F"/>
    <w:rsid w:val="00AC7F96"/>
    <w:rsid w:val="00AD0341"/>
    <w:rsid w:val="00AD0718"/>
    <w:rsid w:val="00AD07C8"/>
    <w:rsid w:val="00AD0A7F"/>
    <w:rsid w:val="00AD0F4F"/>
    <w:rsid w:val="00AD114F"/>
    <w:rsid w:val="00AD1548"/>
    <w:rsid w:val="00AD175B"/>
    <w:rsid w:val="00AD18C9"/>
    <w:rsid w:val="00AD1904"/>
    <w:rsid w:val="00AD1A1C"/>
    <w:rsid w:val="00AD1C39"/>
    <w:rsid w:val="00AD1C85"/>
    <w:rsid w:val="00AD20A6"/>
    <w:rsid w:val="00AD2347"/>
    <w:rsid w:val="00AD2413"/>
    <w:rsid w:val="00AD249E"/>
    <w:rsid w:val="00AD24F3"/>
    <w:rsid w:val="00AD25EF"/>
    <w:rsid w:val="00AD27AD"/>
    <w:rsid w:val="00AD2934"/>
    <w:rsid w:val="00AD2A15"/>
    <w:rsid w:val="00AD2AFD"/>
    <w:rsid w:val="00AD2D0E"/>
    <w:rsid w:val="00AD2D7D"/>
    <w:rsid w:val="00AD2E5E"/>
    <w:rsid w:val="00AD2F26"/>
    <w:rsid w:val="00AD3094"/>
    <w:rsid w:val="00AD3296"/>
    <w:rsid w:val="00AD3407"/>
    <w:rsid w:val="00AD3444"/>
    <w:rsid w:val="00AD354A"/>
    <w:rsid w:val="00AD35A9"/>
    <w:rsid w:val="00AD36D3"/>
    <w:rsid w:val="00AD3946"/>
    <w:rsid w:val="00AD3CCA"/>
    <w:rsid w:val="00AD3CFC"/>
    <w:rsid w:val="00AD3E8C"/>
    <w:rsid w:val="00AD4388"/>
    <w:rsid w:val="00AD43B2"/>
    <w:rsid w:val="00AD4411"/>
    <w:rsid w:val="00AD4463"/>
    <w:rsid w:val="00AD446C"/>
    <w:rsid w:val="00AD4EAD"/>
    <w:rsid w:val="00AD4F73"/>
    <w:rsid w:val="00AD57F7"/>
    <w:rsid w:val="00AD58A9"/>
    <w:rsid w:val="00AD5AEA"/>
    <w:rsid w:val="00AD5CD7"/>
    <w:rsid w:val="00AD611B"/>
    <w:rsid w:val="00AD6172"/>
    <w:rsid w:val="00AD63D9"/>
    <w:rsid w:val="00AD6540"/>
    <w:rsid w:val="00AD6679"/>
    <w:rsid w:val="00AD6839"/>
    <w:rsid w:val="00AD699F"/>
    <w:rsid w:val="00AD703C"/>
    <w:rsid w:val="00AD7288"/>
    <w:rsid w:val="00AD72E5"/>
    <w:rsid w:val="00AD73F7"/>
    <w:rsid w:val="00AD73FC"/>
    <w:rsid w:val="00AD752E"/>
    <w:rsid w:val="00AD75CE"/>
    <w:rsid w:val="00AD77C1"/>
    <w:rsid w:val="00AD77D6"/>
    <w:rsid w:val="00AD793C"/>
    <w:rsid w:val="00AD7A59"/>
    <w:rsid w:val="00AD7A64"/>
    <w:rsid w:val="00AD7B6C"/>
    <w:rsid w:val="00AD7C43"/>
    <w:rsid w:val="00AD7D8A"/>
    <w:rsid w:val="00AD7F78"/>
    <w:rsid w:val="00AD7FF1"/>
    <w:rsid w:val="00ADC8B9"/>
    <w:rsid w:val="00AE0019"/>
    <w:rsid w:val="00AE0231"/>
    <w:rsid w:val="00AE0347"/>
    <w:rsid w:val="00AE03F9"/>
    <w:rsid w:val="00AE04BF"/>
    <w:rsid w:val="00AE0717"/>
    <w:rsid w:val="00AE074A"/>
    <w:rsid w:val="00AE078C"/>
    <w:rsid w:val="00AE0813"/>
    <w:rsid w:val="00AE09D5"/>
    <w:rsid w:val="00AE0B0D"/>
    <w:rsid w:val="00AE0D00"/>
    <w:rsid w:val="00AE0D96"/>
    <w:rsid w:val="00AE0F1F"/>
    <w:rsid w:val="00AE0F7A"/>
    <w:rsid w:val="00AE11A0"/>
    <w:rsid w:val="00AE11F0"/>
    <w:rsid w:val="00AE143A"/>
    <w:rsid w:val="00AE1582"/>
    <w:rsid w:val="00AE1934"/>
    <w:rsid w:val="00AE194E"/>
    <w:rsid w:val="00AE1CED"/>
    <w:rsid w:val="00AE2038"/>
    <w:rsid w:val="00AE20A4"/>
    <w:rsid w:val="00AE2164"/>
    <w:rsid w:val="00AE2637"/>
    <w:rsid w:val="00AE2701"/>
    <w:rsid w:val="00AE278D"/>
    <w:rsid w:val="00AE2DA1"/>
    <w:rsid w:val="00AE2FE5"/>
    <w:rsid w:val="00AE34DB"/>
    <w:rsid w:val="00AE36B1"/>
    <w:rsid w:val="00AE3739"/>
    <w:rsid w:val="00AE3E20"/>
    <w:rsid w:val="00AE3E79"/>
    <w:rsid w:val="00AE3F90"/>
    <w:rsid w:val="00AE401C"/>
    <w:rsid w:val="00AE416A"/>
    <w:rsid w:val="00AE41B3"/>
    <w:rsid w:val="00AE4262"/>
    <w:rsid w:val="00AE4317"/>
    <w:rsid w:val="00AE4BB6"/>
    <w:rsid w:val="00AE4C3B"/>
    <w:rsid w:val="00AE4CF5"/>
    <w:rsid w:val="00AE4E8F"/>
    <w:rsid w:val="00AE5041"/>
    <w:rsid w:val="00AE50FE"/>
    <w:rsid w:val="00AE5121"/>
    <w:rsid w:val="00AE5241"/>
    <w:rsid w:val="00AE5297"/>
    <w:rsid w:val="00AE55D6"/>
    <w:rsid w:val="00AE56A3"/>
    <w:rsid w:val="00AE5A2D"/>
    <w:rsid w:val="00AE5DF8"/>
    <w:rsid w:val="00AE5EEF"/>
    <w:rsid w:val="00AE5F06"/>
    <w:rsid w:val="00AE5F7E"/>
    <w:rsid w:val="00AE5F8A"/>
    <w:rsid w:val="00AE6042"/>
    <w:rsid w:val="00AE60FE"/>
    <w:rsid w:val="00AE6163"/>
    <w:rsid w:val="00AE642D"/>
    <w:rsid w:val="00AE64A3"/>
    <w:rsid w:val="00AE6709"/>
    <w:rsid w:val="00AE6836"/>
    <w:rsid w:val="00AE695A"/>
    <w:rsid w:val="00AE6966"/>
    <w:rsid w:val="00AE69A4"/>
    <w:rsid w:val="00AE6AFC"/>
    <w:rsid w:val="00AE6D47"/>
    <w:rsid w:val="00AE6E33"/>
    <w:rsid w:val="00AE6E36"/>
    <w:rsid w:val="00AE6E4C"/>
    <w:rsid w:val="00AE7074"/>
    <w:rsid w:val="00AE71F3"/>
    <w:rsid w:val="00AE738C"/>
    <w:rsid w:val="00AE7436"/>
    <w:rsid w:val="00AE797B"/>
    <w:rsid w:val="00AE79E8"/>
    <w:rsid w:val="00AE7C5D"/>
    <w:rsid w:val="00AE7ECD"/>
    <w:rsid w:val="00AEB3D2"/>
    <w:rsid w:val="00AF0110"/>
    <w:rsid w:val="00AF055E"/>
    <w:rsid w:val="00AF0882"/>
    <w:rsid w:val="00AF1054"/>
    <w:rsid w:val="00AF11C1"/>
    <w:rsid w:val="00AF11FB"/>
    <w:rsid w:val="00AF129B"/>
    <w:rsid w:val="00AF13E1"/>
    <w:rsid w:val="00AF1429"/>
    <w:rsid w:val="00AF17BF"/>
    <w:rsid w:val="00AF17F8"/>
    <w:rsid w:val="00AF1BAF"/>
    <w:rsid w:val="00AF1CC1"/>
    <w:rsid w:val="00AF1CE5"/>
    <w:rsid w:val="00AF1E13"/>
    <w:rsid w:val="00AF1E9D"/>
    <w:rsid w:val="00AF22C2"/>
    <w:rsid w:val="00AF2364"/>
    <w:rsid w:val="00AF24D4"/>
    <w:rsid w:val="00AF2534"/>
    <w:rsid w:val="00AF25F4"/>
    <w:rsid w:val="00AF283E"/>
    <w:rsid w:val="00AF2866"/>
    <w:rsid w:val="00AF2885"/>
    <w:rsid w:val="00AF294C"/>
    <w:rsid w:val="00AF2B37"/>
    <w:rsid w:val="00AF2DF1"/>
    <w:rsid w:val="00AF2FDB"/>
    <w:rsid w:val="00AF309E"/>
    <w:rsid w:val="00AF3338"/>
    <w:rsid w:val="00AF35BF"/>
    <w:rsid w:val="00AF360F"/>
    <w:rsid w:val="00AF3810"/>
    <w:rsid w:val="00AF38F1"/>
    <w:rsid w:val="00AF39F9"/>
    <w:rsid w:val="00AF39FB"/>
    <w:rsid w:val="00AF3EA3"/>
    <w:rsid w:val="00AF3F40"/>
    <w:rsid w:val="00AF3F41"/>
    <w:rsid w:val="00AF3FB3"/>
    <w:rsid w:val="00AF3FC4"/>
    <w:rsid w:val="00AF406C"/>
    <w:rsid w:val="00AF451F"/>
    <w:rsid w:val="00AF4529"/>
    <w:rsid w:val="00AF4AC1"/>
    <w:rsid w:val="00AF4BCC"/>
    <w:rsid w:val="00AF4FF0"/>
    <w:rsid w:val="00AF50E7"/>
    <w:rsid w:val="00AF5122"/>
    <w:rsid w:val="00AF5233"/>
    <w:rsid w:val="00AF52D7"/>
    <w:rsid w:val="00AF5366"/>
    <w:rsid w:val="00AF55AD"/>
    <w:rsid w:val="00AF57F2"/>
    <w:rsid w:val="00AF580E"/>
    <w:rsid w:val="00AF5834"/>
    <w:rsid w:val="00AF5A15"/>
    <w:rsid w:val="00AF5C59"/>
    <w:rsid w:val="00AF5DC3"/>
    <w:rsid w:val="00AF5EDC"/>
    <w:rsid w:val="00AF5F5B"/>
    <w:rsid w:val="00AF5F8D"/>
    <w:rsid w:val="00AF605B"/>
    <w:rsid w:val="00AF6082"/>
    <w:rsid w:val="00AF6091"/>
    <w:rsid w:val="00AF6133"/>
    <w:rsid w:val="00AF642E"/>
    <w:rsid w:val="00AF6634"/>
    <w:rsid w:val="00AF6988"/>
    <w:rsid w:val="00AF6E14"/>
    <w:rsid w:val="00AF6ECD"/>
    <w:rsid w:val="00AF6EFE"/>
    <w:rsid w:val="00AF701D"/>
    <w:rsid w:val="00AF71A4"/>
    <w:rsid w:val="00AF7352"/>
    <w:rsid w:val="00AF7678"/>
    <w:rsid w:val="00AF76FF"/>
    <w:rsid w:val="00AF77F2"/>
    <w:rsid w:val="00AF78E4"/>
    <w:rsid w:val="00AF79B8"/>
    <w:rsid w:val="00AF7EAB"/>
    <w:rsid w:val="00B004C6"/>
    <w:rsid w:val="00B004DD"/>
    <w:rsid w:val="00B00784"/>
    <w:rsid w:val="00B00828"/>
    <w:rsid w:val="00B010AF"/>
    <w:rsid w:val="00B01183"/>
    <w:rsid w:val="00B01342"/>
    <w:rsid w:val="00B0160D"/>
    <w:rsid w:val="00B016B4"/>
    <w:rsid w:val="00B01752"/>
    <w:rsid w:val="00B01902"/>
    <w:rsid w:val="00B01B05"/>
    <w:rsid w:val="00B01B3F"/>
    <w:rsid w:val="00B01B75"/>
    <w:rsid w:val="00B01E97"/>
    <w:rsid w:val="00B020B5"/>
    <w:rsid w:val="00B0237C"/>
    <w:rsid w:val="00B026A4"/>
    <w:rsid w:val="00B02886"/>
    <w:rsid w:val="00B028A6"/>
    <w:rsid w:val="00B028AA"/>
    <w:rsid w:val="00B02B23"/>
    <w:rsid w:val="00B02B56"/>
    <w:rsid w:val="00B02C69"/>
    <w:rsid w:val="00B02DAE"/>
    <w:rsid w:val="00B02E02"/>
    <w:rsid w:val="00B02EBF"/>
    <w:rsid w:val="00B030CC"/>
    <w:rsid w:val="00B03141"/>
    <w:rsid w:val="00B032D0"/>
    <w:rsid w:val="00B035D1"/>
    <w:rsid w:val="00B03656"/>
    <w:rsid w:val="00B038D2"/>
    <w:rsid w:val="00B03963"/>
    <w:rsid w:val="00B03A4F"/>
    <w:rsid w:val="00B03B9C"/>
    <w:rsid w:val="00B03F93"/>
    <w:rsid w:val="00B03FEB"/>
    <w:rsid w:val="00B04039"/>
    <w:rsid w:val="00B04050"/>
    <w:rsid w:val="00B040C9"/>
    <w:rsid w:val="00B04403"/>
    <w:rsid w:val="00B0463B"/>
    <w:rsid w:val="00B048E2"/>
    <w:rsid w:val="00B048F2"/>
    <w:rsid w:val="00B04C43"/>
    <w:rsid w:val="00B04D3F"/>
    <w:rsid w:val="00B05322"/>
    <w:rsid w:val="00B053AC"/>
    <w:rsid w:val="00B05716"/>
    <w:rsid w:val="00B05B0D"/>
    <w:rsid w:val="00B05B24"/>
    <w:rsid w:val="00B05B78"/>
    <w:rsid w:val="00B05E0B"/>
    <w:rsid w:val="00B05F3A"/>
    <w:rsid w:val="00B0657A"/>
    <w:rsid w:val="00B06591"/>
    <w:rsid w:val="00B0666B"/>
    <w:rsid w:val="00B06A12"/>
    <w:rsid w:val="00B06C15"/>
    <w:rsid w:val="00B06D01"/>
    <w:rsid w:val="00B06E0C"/>
    <w:rsid w:val="00B07079"/>
    <w:rsid w:val="00B070A5"/>
    <w:rsid w:val="00B0712D"/>
    <w:rsid w:val="00B075F0"/>
    <w:rsid w:val="00B0761E"/>
    <w:rsid w:val="00B076DE"/>
    <w:rsid w:val="00B0775B"/>
    <w:rsid w:val="00B07A54"/>
    <w:rsid w:val="00B07A72"/>
    <w:rsid w:val="00B07A7F"/>
    <w:rsid w:val="00B10240"/>
    <w:rsid w:val="00B10248"/>
    <w:rsid w:val="00B103A2"/>
    <w:rsid w:val="00B104A7"/>
    <w:rsid w:val="00B106B6"/>
    <w:rsid w:val="00B109E0"/>
    <w:rsid w:val="00B10B64"/>
    <w:rsid w:val="00B10F38"/>
    <w:rsid w:val="00B10F81"/>
    <w:rsid w:val="00B110AE"/>
    <w:rsid w:val="00B112FC"/>
    <w:rsid w:val="00B11CDA"/>
    <w:rsid w:val="00B11DCF"/>
    <w:rsid w:val="00B11E55"/>
    <w:rsid w:val="00B11FF9"/>
    <w:rsid w:val="00B1202F"/>
    <w:rsid w:val="00B12045"/>
    <w:rsid w:val="00B12190"/>
    <w:rsid w:val="00B12201"/>
    <w:rsid w:val="00B1227D"/>
    <w:rsid w:val="00B12350"/>
    <w:rsid w:val="00B1239C"/>
    <w:rsid w:val="00B12552"/>
    <w:rsid w:val="00B1258A"/>
    <w:rsid w:val="00B126BD"/>
    <w:rsid w:val="00B12728"/>
    <w:rsid w:val="00B12826"/>
    <w:rsid w:val="00B12B14"/>
    <w:rsid w:val="00B12B66"/>
    <w:rsid w:val="00B12D68"/>
    <w:rsid w:val="00B12DF1"/>
    <w:rsid w:val="00B130D4"/>
    <w:rsid w:val="00B13452"/>
    <w:rsid w:val="00B135BE"/>
    <w:rsid w:val="00B13603"/>
    <w:rsid w:val="00B13658"/>
    <w:rsid w:val="00B137E0"/>
    <w:rsid w:val="00B137E2"/>
    <w:rsid w:val="00B13C3F"/>
    <w:rsid w:val="00B13C7B"/>
    <w:rsid w:val="00B13CC0"/>
    <w:rsid w:val="00B13DC0"/>
    <w:rsid w:val="00B1419E"/>
    <w:rsid w:val="00B14387"/>
    <w:rsid w:val="00B143A9"/>
    <w:rsid w:val="00B1447F"/>
    <w:rsid w:val="00B14594"/>
    <w:rsid w:val="00B145FE"/>
    <w:rsid w:val="00B14623"/>
    <w:rsid w:val="00B149A9"/>
    <w:rsid w:val="00B14E1F"/>
    <w:rsid w:val="00B14E96"/>
    <w:rsid w:val="00B14F7F"/>
    <w:rsid w:val="00B15037"/>
    <w:rsid w:val="00B1522C"/>
    <w:rsid w:val="00B15390"/>
    <w:rsid w:val="00B154B5"/>
    <w:rsid w:val="00B154CF"/>
    <w:rsid w:val="00B15C89"/>
    <w:rsid w:val="00B15CA4"/>
    <w:rsid w:val="00B15D1E"/>
    <w:rsid w:val="00B15D4A"/>
    <w:rsid w:val="00B15ED1"/>
    <w:rsid w:val="00B15F75"/>
    <w:rsid w:val="00B15FF2"/>
    <w:rsid w:val="00B16367"/>
    <w:rsid w:val="00B16421"/>
    <w:rsid w:val="00B165B0"/>
    <w:rsid w:val="00B16785"/>
    <w:rsid w:val="00B16A62"/>
    <w:rsid w:val="00B16BC5"/>
    <w:rsid w:val="00B16D7B"/>
    <w:rsid w:val="00B16D87"/>
    <w:rsid w:val="00B16ED9"/>
    <w:rsid w:val="00B17086"/>
    <w:rsid w:val="00B170BF"/>
    <w:rsid w:val="00B17133"/>
    <w:rsid w:val="00B171D2"/>
    <w:rsid w:val="00B173B4"/>
    <w:rsid w:val="00B17415"/>
    <w:rsid w:val="00B17477"/>
    <w:rsid w:val="00B174AE"/>
    <w:rsid w:val="00B17668"/>
    <w:rsid w:val="00B17718"/>
    <w:rsid w:val="00B178B4"/>
    <w:rsid w:val="00B17A52"/>
    <w:rsid w:val="00B17B12"/>
    <w:rsid w:val="00B17F40"/>
    <w:rsid w:val="00B2048E"/>
    <w:rsid w:val="00B20785"/>
    <w:rsid w:val="00B2082A"/>
    <w:rsid w:val="00B21135"/>
    <w:rsid w:val="00B2124C"/>
    <w:rsid w:val="00B21494"/>
    <w:rsid w:val="00B218CA"/>
    <w:rsid w:val="00B21A0E"/>
    <w:rsid w:val="00B21AB5"/>
    <w:rsid w:val="00B21DFB"/>
    <w:rsid w:val="00B21E77"/>
    <w:rsid w:val="00B22054"/>
    <w:rsid w:val="00B220AB"/>
    <w:rsid w:val="00B223BB"/>
    <w:rsid w:val="00B223D6"/>
    <w:rsid w:val="00B22470"/>
    <w:rsid w:val="00B22473"/>
    <w:rsid w:val="00B227D7"/>
    <w:rsid w:val="00B229BC"/>
    <w:rsid w:val="00B22A0B"/>
    <w:rsid w:val="00B22A8E"/>
    <w:rsid w:val="00B22ED3"/>
    <w:rsid w:val="00B23252"/>
    <w:rsid w:val="00B23312"/>
    <w:rsid w:val="00B2345E"/>
    <w:rsid w:val="00B235B4"/>
    <w:rsid w:val="00B235C5"/>
    <w:rsid w:val="00B2384D"/>
    <w:rsid w:val="00B238EC"/>
    <w:rsid w:val="00B23C00"/>
    <w:rsid w:val="00B23C89"/>
    <w:rsid w:val="00B244F3"/>
    <w:rsid w:val="00B246DF"/>
    <w:rsid w:val="00B2475C"/>
    <w:rsid w:val="00B24990"/>
    <w:rsid w:val="00B24B24"/>
    <w:rsid w:val="00B25082"/>
    <w:rsid w:val="00B250CF"/>
    <w:rsid w:val="00B250E9"/>
    <w:rsid w:val="00B25355"/>
    <w:rsid w:val="00B255D3"/>
    <w:rsid w:val="00B25715"/>
    <w:rsid w:val="00B257AD"/>
    <w:rsid w:val="00B258E4"/>
    <w:rsid w:val="00B25EB2"/>
    <w:rsid w:val="00B25F41"/>
    <w:rsid w:val="00B260CB"/>
    <w:rsid w:val="00B26196"/>
    <w:rsid w:val="00B26365"/>
    <w:rsid w:val="00B26466"/>
    <w:rsid w:val="00B26487"/>
    <w:rsid w:val="00B2652C"/>
    <w:rsid w:val="00B26690"/>
    <w:rsid w:val="00B2674B"/>
    <w:rsid w:val="00B26A57"/>
    <w:rsid w:val="00B26AC7"/>
    <w:rsid w:val="00B26B14"/>
    <w:rsid w:val="00B26DD7"/>
    <w:rsid w:val="00B26F8A"/>
    <w:rsid w:val="00B27078"/>
    <w:rsid w:val="00B270B8"/>
    <w:rsid w:val="00B27142"/>
    <w:rsid w:val="00B27231"/>
    <w:rsid w:val="00B27296"/>
    <w:rsid w:val="00B272DB"/>
    <w:rsid w:val="00B278DB"/>
    <w:rsid w:val="00B27A1D"/>
    <w:rsid w:val="00B27B09"/>
    <w:rsid w:val="00B27B43"/>
    <w:rsid w:val="00B27D6B"/>
    <w:rsid w:val="00B30123"/>
    <w:rsid w:val="00B3014C"/>
    <w:rsid w:val="00B30164"/>
    <w:rsid w:val="00B301C8"/>
    <w:rsid w:val="00B303CC"/>
    <w:rsid w:val="00B30537"/>
    <w:rsid w:val="00B30732"/>
    <w:rsid w:val="00B3083D"/>
    <w:rsid w:val="00B30861"/>
    <w:rsid w:val="00B309AC"/>
    <w:rsid w:val="00B309EE"/>
    <w:rsid w:val="00B30AF7"/>
    <w:rsid w:val="00B30B85"/>
    <w:rsid w:val="00B30DAD"/>
    <w:rsid w:val="00B313EA"/>
    <w:rsid w:val="00B3173D"/>
    <w:rsid w:val="00B31984"/>
    <w:rsid w:val="00B319FA"/>
    <w:rsid w:val="00B31E2A"/>
    <w:rsid w:val="00B31F29"/>
    <w:rsid w:val="00B31F2D"/>
    <w:rsid w:val="00B31FC3"/>
    <w:rsid w:val="00B31FE9"/>
    <w:rsid w:val="00B320B9"/>
    <w:rsid w:val="00B322E0"/>
    <w:rsid w:val="00B32372"/>
    <w:rsid w:val="00B32774"/>
    <w:rsid w:val="00B32C83"/>
    <w:rsid w:val="00B32E6A"/>
    <w:rsid w:val="00B33122"/>
    <w:rsid w:val="00B33289"/>
    <w:rsid w:val="00B3330F"/>
    <w:rsid w:val="00B333A2"/>
    <w:rsid w:val="00B33434"/>
    <w:rsid w:val="00B33435"/>
    <w:rsid w:val="00B3344B"/>
    <w:rsid w:val="00B3356A"/>
    <w:rsid w:val="00B336EA"/>
    <w:rsid w:val="00B3374A"/>
    <w:rsid w:val="00B33755"/>
    <w:rsid w:val="00B33772"/>
    <w:rsid w:val="00B33A2C"/>
    <w:rsid w:val="00B33B24"/>
    <w:rsid w:val="00B33BCE"/>
    <w:rsid w:val="00B34022"/>
    <w:rsid w:val="00B340B6"/>
    <w:rsid w:val="00B340D7"/>
    <w:rsid w:val="00B3431C"/>
    <w:rsid w:val="00B3445B"/>
    <w:rsid w:val="00B34489"/>
    <w:rsid w:val="00B34721"/>
    <w:rsid w:val="00B3473D"/>
    <w:rsid w:val="00B347F6"/>
    <w:rsid w:val="00B349D0"/>
    <w:rsid w:val="00B34BAC"/>
    <w:rsid w:val="00B34C15"/>
    <w:rsid w:val="00B34EE5"/>
    <w:rsid w:val="00B351D3"/>
    <w:rsid w:val="00B351F5"/>
    <w:rsid w:val="00B3527B"/>
    <w:rsid w:val="00B3533C"/>
    <w:rsid w:val="00B3549F"/>
    <w:rsid w:val="00B354FE"/>
    <w:rsid w:val="00B355B7"/>
    <w:rsid w:val="00B35619"/>
    <w:rsid w:val="00B3564D"/>
    <w:rsid w:val="00B3599B"/>
    <w:rsid w:val="00B35B54"/>
    <w:rsid w:val="00B35C12"/>
    <w:rsid w:val="00B35C69"/>
    <w:rsid w:val="00B35EA8"/>
    <w:rsid w:val="00B360BF"/>
    <w:rsid w:val="00B360E6"/>
    <w:rsid w:val="00B36136"/>
    <w:rsid w:val="00B3625F"/>
    <w:rsid w:val="00B365DF"/>
    <w:rsid w:val="00B36932"/>
    <w:rsid w:val="00B3699C"/>
    <w:rsid w:val="00B36C75"/>
    <w:rsid w:val="00B36E5B"/>
    <w:rsid w:val="00B36F20"/>
    <w:rsid w:val="00B36FA0"/>
    <w:rsid w:val="00B36FA2"/>
    <w:rsid w:val="00B372FD"/>
    <w:rsid w:val="00B37380"/>
    <w:rsid w:val="00B3758D"/>
    <w:rsid w:val="00B37750"/>
    <w:rsid w:val="00B378EF"/>
    <w:rsid w:val="00B37F70"/>
    <w:rsid w:val="00B4032A"/>
    <w:rsid w:val="00B40502"/>
    <w:rsid w:val="00B4094D"/>
    <w:rsid w:val="00B40D01"/>
    <w:rsid w:val="00B40DB6"/>
    <w:rsid w:val="00B410A0"/>
    <w:rsid w:val="00B4137A"/>
    <w:rsid w:val="00B41993"/>
    <w:rsid w:val="00B41B06"/>
    <w:rsid w:val="00B41CB5"/>
    <w:rsid w:val="00B41E0E"/>
    <w:rsid w:val="00B421DA"/>
    <w:rsid w:val="00B422C6"/>
    <w:rsid w:val="00B422D0"/>
    <w:rsid w:val="00B42436"/>
    <w:rsid w:val="00B4260D"/>
    <w:rsid w:val="00B4277E"/>
    <w:rsid w:val="00B427EB"/>
    <w:rsid w:val="00B4284C"/>
    <w:rsid w:val="00B42CD2"/>
    <w:rsid w:val="00B42CFC"/>
    <w:rsid w:val="00B42F64"/>
    <w:rsid w:val="00B43015"/>
    <w:rsid w:val="00B432D0"/>
    <w:rsid w:val="00B43333"/>
    <w:rsid w:val="00B4344D"/>
    <w:rsid w:val="00B434D4"/>
    <w:rsid w:val="00B43795"/>
    <w:rsid w:val="00B437E1"/>
    <w:rsid w:val="00B43B07"/>
    <w:rsid w:val="00B43B1E"/>
    <w:rsid w:val="00B43BF8"/>
    <w:rsid w:val="00B43FAA"/>
    <w:rsid w:val="00B44023"/>
    <w:rsid w:val="00B44114"/>
    <w:rsid w:val="00B4413C"/>
    <w:rsid w:val="00B441AA"/>
    <w:rsid w:val="00B44255"/>
    <w:rsid w:val="00B44464"/>
    <w:rsid w:val="00B444C2"/>
    <w:rsid w:val="00B444DF"/>
    <w:rsid w:val="00B44589"/>
    <w:rsid w:val="00B4458F"/>
    <w:rsid w:val="00B44825"/>
    <w:rsid w:val="00B4487D"/>
    <w:rsid w:val="00B44ABB"/>
    <w:rsid w:val="00B44D17"/>
    <w:rsid w:val="00B44F33"/>
    <w:rsid w:val="00B44FDE"/>
    <w:rsid w:val="00B4520A"/>
    <w:rsid w:val="00B45213"/>
    <w:rsid w:val="00B45216"/>
    <w:rsid w:val="00B45667"/>
    <w:rsid w:val="00B4577E"/>
    <w:rsid w:val="00B4586A"/>
    <w:rsid w:val="00B4589C"/>
    <w:rsid w:val="00B45987"/>
    <w:rsid w:val="00B45993"/>
    <w:rsid w:val="00B45BEB"/>
    <w:rsid w:val="00B45C66"/>
    <w:rsid w:val="00B45FB3"/>
    <w:rsid w:val="00B46094"/>
    <w:rsid w:val="00B460E0"/>
    <w:rsid w:val="00B46323"/>
    <w:rsid w:val="00B468F2"/>
    <w:rsid w:val="00B46B48"/>
    <w:rsid w:val="00B46E96"/>
    <w:rsid w:val="00B47C62"/>
    <w:rsid w:val="00B47C94"/>
    <w:rsid w:val="00B47CC4"/>
    <w:rsid w:val="00B50489"/>
    <w:rsid w:val="00B50534"/>
    <w:rsid w:val="00B5063A"/>
    <w:rsid w:val="00B5090B"/>
    <w:rsid w:val="00B50A6B"/>
    <w:rsid w:val="00B5119C"/>
    <w:rsid w:val="00B512B4"/>
    <w:rsid w:val="00B513E0"/>
    <w:rsid w:val="00B51673"/>
    <w:rsid w:val="00B517D6"/>
    <w:rsid w:val="00B51A9A"/>
    <w:rsid w:val="00B51C12"/>
    <w:rsid w:val="00B51D39"/>
    <w:rsid w:val="00B51D8B"/>
    <w:rsid w:val="00B51EA4"/>
    <w:rsid w:val="00B51EA6"/>
    <w:rsid w:val="00B51EB8"/>
    <w:rsid w:val="00B51F85"/>
    <w:rsid w:val="00B52311"/>
    <w:rsid w:val="00B52BDE"/>
    <w:rsid w:val="00B52D3C"/>
    <w:rsid w:val="00B52DF5"/>
    <w:rsid w:val="00B52E8F"/>
    <w:rsid w:val="00B52F99"/>
    <w:rsid w:val="00B53081"/>
    <w:rsid w:val="00B5309F"/>
    <w:rsid w:val="00B53239"/>
    <w:rsid w:val="00B533FD"/>
    <w:rsid w:val="00B535E2"/>
    <w:rsid w:val="00B53623"/>
    <w:rsid w:val="00B5373E"/>
    <w:rsid w:val="00B5383B"/>
    <w:rsid w:val="00B539D9"/>
    <w:rsid w:val="00B53A47"/>
    <w:rsid w:val="00B53A90"/>
    <w:rsid w:val="00B53BD1"/>
    <w:rsid w:val="00B53C19"/>
    <w:rsid w:val="00B53CB2"/>
    <w:rsid w:val="00B53DFB"/>
    <w:rsid w:val="00B53E75"/>
    <w:rsid w:val="00B53EF8"/>
    <w:rsid w:val="00B53F5D"/>
    <w:rsid w:val="00B53F8C"/>
    <w:rsid w:val="00B53FDE"/>
    <w:rsid w:val="00B54085"/>
    <w:rsid w:val="00B54167"/>
    <w:rsid w:val="00B54390"/>
    <w:rsid w:val="00B545F9"/>
    <w:rsid w:val="00B54A23"/>
    <w:rsid w:val="00B54A5B"/>
    <w:rsid w:val="00B54AD1"/>
    <w:rsid w:val="00B5531E"/>
    <w:rsid w:val="00B553A2"/>
    <w:rsid w:val="00B55502"/>
    <w:rsid w:val="00B55552"/>
    <w:rsid w:val="00B55797"/>
    <w:rsid w:val="00B557AF"/>
    <w:rsid w:val="00B557B9"/>
    <w:rsid w:val="00B55807"/>
    <w:rsid w:val="00B5599E"/>
    <w:rsid w:val="00B55A29"/>
    <w:rsid w:val="00B55B9D"/>
    <w:rsid w:val="00B55E5D"/>
    <w:rsid w:val="00B56091"/>
    <w:rsid w:val="00B56177"/>
    <w:rsid w:val="00B563C8"/>
    <w:rsid w:val="00B564F2"/>
    <w:rsid w:val="00B5659D"/>
    <w:rsid w:val="00B568D9"/>
    <w:rsid w:val="00B56D4B"/>
    <w:rsid w:val="00B56E03"/>
    <w:rsid w:val="00B56F3C"/>
    <w:rsid w:val="00B56F98"/>
    <w:rsid w:val="00B5701F"/>
    <w:rsid w:val="00B5702C"/>
    <w:rsid w:val="00B5704E"/>
    <w:rsid w:val="00B57283"/>
    <w:rsid w:val="00B5756D"/>
    <w:rsid w:val="00B5756E"/>
    <w:rsid w:val="00B57896"/>
    <w:rsid w:val="00B578B1"/>
    <w:rsid w:val="00B578B9"/>
    <w:rsid w:val="00B579E7"/>
    <w:rsid w:val="00B57A68"/>
    <w:rsid w:val="00B57C33"/>
    <w:rsid w:val="00B57C7B"/>
    <w:rsid w:val="00B57CE8"/>
    <w:rsid w:val="00B57CE9"/>
    <w:rsid w:val="00B57D59"/>
    <w:rsid w:val="00B57DA5"/>
    <w:rsid w:val="00B57DCC"/>
    <w:rsid w:val="00B57E8B"/>
    <w:rsid w:val="00B57F65"/>
    <w:rsid w:val="00B6013C"/>
    <w:rsid w:val="00B60423"/>
    <w:rsid w:val="00B60629"/>
    <w:rsid w:val="00B60663"/>
    <w:rsid w:val="00B6076F"/>
    <w:rsid w:val="00B6097F"/>
    <w:rsid w:val="00B60B89"/>
    <w:rsid w:val="00B60C4B"/>
    <w:rsid w:val="00B60C8E"/>
    <w:rsid w:val="00B60CF0"/>
    <w:rsid w:val="00B60DE6"/>
    <w:rsid w:val="00B60EDB"/>
    <w:rsid w:val="00B6109F"/>
    <w:rsid w:val="00B61233"/>
    <w:rsid w:val="00B613EE"/>
    <w:rsid w:val="00B615B1"/>
    <w:rsid w:val="00B616ED"/>
    <w:rsid w:val="00B61777"/>
    <w:rsid w:val="00B61DCC"/>
    <w:rsid w:val="00B6200D"/>
    <w:rsid w:val="00B620E2"/>
    <w:rsid w:val="00B62725"/>
    <w:rsid w:val="00B62810"/>
    <w:rsid w:val="00B62831"/>
    <w:rsid w:val="00B629B9"/>
    <w:rsid w:val="00B62A51"/>
    <w:rsid w:val="00B62B4D"/>
    <w:rsid w:val="00B62C3B"/>
    <w:rsid w:val="00B62D8A"/>
    <w:rsid w:val="00B62DA5"/>
    <w:rsid w:val="00B62F8A"/>
    <w:rsid w:val="00B62FA1"/>
    <w:rsid w:val="00B63081"/>
    <w:rsid w:val="00B6314C"/>
    <w:rsid w:val="00B6325B"/>
    <w:rsid w:val="00B633F7"/>
    <w:rsid w:val="00B634C8"/>
    <w:rsid w:val="00B6384C"/>
    <w:rsid w:val="00B638ED"/>
    <w:rsid w:val="00B63B27"/>
    <w:rsid w:val="00B642AA"/>
    <w:rsid w:val="00B642CB"/>
    <w:rsid w:val="00B64656"/>
    <w:rsid w:val="00B646A2"/>
    <w:rsid w:val="00B6485F"/>
    <w:rsid w:val="00B648B5"/>
    <w:rsid w:val="00B64A12"/>
    <w:rsid w:val="00B64A35"/>
    <w:rsid w:val="00B64D3A"/>
    <w:rsid w:val="00B64D94"/>
    <w:rsid w:val="00B64DC8"/>
    <w:rsid w:val="00B64E1B"/>
    <w:rsid w:val="00B64F11"/>
    <w:rsid w:val="00B64F86"/>
    <w:rsid w:val="00B64FBE"/>
    <w:rsid w:val="00B65066"/>
    <w:rsid w:val="00B652A1"/>
    <w:rsid w:val="00B653A0"/>
    <w:rsid w:val="00B656F9"/>
    <w:rsid w:val="00B657FF"/>
    <w:rsid w:val="00B6597C"/>
    <w:rsid w:val="00B65A8A"/>
    <w:rsid w:val="00B65C31"/>
    <w:rsid w:val="00B65D4C"/>
    <w:rsid w:val="00B65D6D"/>
    <w:rsid w:val="00B66197"/>
    <w:rsid w:val="00B661D7"/>
    <w:rsid w:val="00B66255"/>
    <w:rsid w:val="00B66273"/>
    <w:rsid w:val="00B662C3"/>
    <w:rsid w:val="00B6655B"/>
    <w:rsid w:val="00B665C5"/>
    <w:rsid w:val="00B66681"/>
    <w:rsid w:val="00B66787"/>
    <w:rsid w:val="00B66941"/>
    <w:rsid w:val="00B66BD0"/>
    <w:rsid w:val="00B66BD9"/>
    <w:rsid w:val="00B66C47"/>
    <w:rsid w:val="00B66DFE"/>
    <w:rsid w:val="00B66EA9"/>
    <w:rsid w:val="00B66FFD"/>
    <w:rsid w:val="00B6732F"/>
    <w:rsid w:val="00B6733B"/>
    <w:rsid w:val="00B67379"/>
    <w:rsid w:val="00B67446"/>
    <w:rsid w:val="00B67748"/>
    <w:rsid w:val="00B67C51"/>
    <w:rsid w:val="00B67E0D"/>
    <w:rsid w:val="00B67E87"/>
    <w:rsid w:val="00B70144"/>
    <w:rsid w:val="00B7048B"/>
    <w:rsid w:val="00B70525"/>
    <w:rsid w:val="00B70663"/>
    <w:rsid w:val="00B7074E"/>
    <w:rsid w:val="00B70761"/>
    <w:rsid w:val="00B70BAE"/>
    <w:rsid w:val="00B70C5C"/>
    <w:rsid w:val="00B70D8B"/>
    <w:rsid w:val="00B70FE7"/>
    <w:rsid w:val="00B70FF0"/>
    <w:rsid w:val="00B71115"/>
    <w:rsid w:val="00B71614"/>
    <w:rsid w:val="00B7170D"/>
    <w:rsid w:val="00B7179D"/>
    <w:rsid w:val="00B71861"/>
    <w:rsid w:val="00B71932"/>
    <w:rsid w:val="00B71BDD"/>
    <w:rsid w:val="00B72183"/>
    <w:rsid w:val="00B7228C"/>
    <w:rsid w:val="00B72427"/>
    <w:rsid w:val="00B724E3"/>
    <w:rsid w:val="00B727D3"/>
    <w:rsid w:val="00B72843"/>
    <w:rsid w:val="00B7290B"/>
    <w:rsid w:val="00B72B59"/>
    <w:rsid w:val="00B72D80"/>
    <w:rsid w:val="00B72DF5"/>
    <w:rsid w:val="00B72ED5"/>
    <w:rsid w:val="00B7369B"/>
    <w:rsid w:val="00B738EB"/>
    <w:rsid w:val="00B73927"/>
    <w:rsid w:val="00B73AF9"/>
    <w:rsid w:val="00B73B44"/>
    <w:rsid w:val="00B73B73"/>
    <w:rsid w:val="00B73C42"/>
    <w:rsid w:val="00B73E1A"/>
    <w:rsid w:val="00B73E77"/>
    <w:rsid w:val="00B73F60"/>
    <w:rsid w:val="00B740D6"/>
    <w:rsid w:val="00B740E1"/>
    <w:rsid w:val="00B74535"/>
    <w:rsid w:val="00B74788"/>
    <w:rsid w:val="00B74947"/>
    <w:rsid w:val="00B74C8B"/>
    <w:rsid w:val="00B74D72"/>
    <w:rsid w:val="00B74D7D"/>
    <w:rsid w:val="00B74E8D"/>
    <w:rsid w:val="00B74EA3"/>
    <w:rsid w:val="00B75072"/>
    <w:rsid w:val="00B75155"/>
    <w:rsid w:val="00B752B1"/>
    <w:rsid w:val="00B7533B"/>
    <w:rsid w:val="00B755F0"/>
    <w:rsid w:val="00B756F8"/>
    <w:rsid w:val="00B75753"/>
    <w:rsid w:val="00B7575A"/>
    <w:rsid w:val="00B7586C"/>
    <w:rsid w:val="00B759B0"/>
    <w:rsid w:val="00B75F96"/>
    <w:rsid w:val="00B760AF"/>
    <w:rsid w:val="00B763D4"/>
    <w:rsid w:val="00B765B1"/>
    <w:rsid w:val="00B76706"/>
    <w:rsid w:val="00B76812"/>
    <w:rsid w:val="00B769F2"/>
    <w:rsid w:val="00B76D58"/>
    <w:rsid w:val="00B76DCD"/>
    <w:rsid w:val="00B76E0D"/>
    <w:rsid w:val="00B77197"/>
    <w:rsid w:val="00B773A9"/>
    <w:rsid w:val="00B776E7"/>
    <w:rsid w:val="00B778A0"/>
    <w:rsid w:val="00B77AB6"/>
    <w:rsid w:val="00B77AF1"/>
    <w:rsid w:val="00B77AFA"/>
    <w:rsid w:val="00B77B24"/>
    <w:rsid w:val="00B77B82"/>
    <w:rsid w:val="00B77D8B"/>
    <w:rsid w:val="00B77E7B"/>
    <w:rsid w:val="00B78BAC"/>
    <w:rsid w:val="00B8058E"/>
    <w:rsid w:val="00B80753"/>
    <w:rsid w:val="00B80BA0"/>
    <w:rsid w:val="00B80D30"/>
    <w:rsid w:val="00B80D9F"/>
    <w:rsid w:val="00B80F52"/>
    <w:rsid w:val="00B81383"/>
    <w:rsid w:val="00B81395"/>
    <w:rsid w:val="00B81458"/>
    <w:rsid w:val="00B816DD"/>
    <w:rsid w:val="00B817C6"/>
    <w:rsid w:val="00B818AF"/>
    <w:rsid w:val="00B81C19"/>
    <w:rsid w:val="00B81C6E"/>
    <w:rsid w:val="00B81E66"/>
    <w:rsid w:val="00B81EDB"/>
    <w:rsid w:val="00B81F67"/>
    <w:rsid w:val="00B8217F"/>
    <w:rsid w:val="00B821D7"/>
    <w:rsid w:val="00B822C6"/>
    <w:rsid w:val="00B82430"/>
    <w:rsid w:val="00B824FE"/>
    <w:rsid w:val="00B82663"/>
    <w:rsid w:val="00B8269F"/>
    <w:rsid w:val="00B82A95"/>
    <w:rsid w:val="00B82B52"/>
    <w:rsid w:val="00B82DF0"/>
    <w:rsid w:val="00B82E73"/>
    <w:rsid w:val="00B83029"/>
    <w:rsid w:val="00B83763"/>
    <w:rsid w:val="00B83B10"/>
    <w:rsid w:val="00B83B37"/>
    <w:rsid w:val="00B83CF3"/>
    <w:rsid w:val="00B83EA3"/>
    <w:rsid w:val="00B83F27"/>
    <w:rsid w:val="00B83F74"/>
    <w:rsid w:val="00B84089"/>
    <w:rsid w:val="00B8437E"/>
    <w:rsid w:val="00B84417"/>
    <w:rsid w:val="00B845BB"/>
    <w:rsid w:val="00B8470D"/>
    <w:rsid w:val="00B847AF"/>
    <w:rsid w:val="00B84A3C"/>
    <w:rsid w:val="00B84BEF"/>
    <w:rsid w:val="00B84E46"/>
    <w:rsid w:val="00B850C0"/>
    <w:rsid w:val="00B85197"/>
    <w:rsid w:val="00B85293"/>
    <w:rsid w:val="00B85372"/>
    <w:rsid w:val="00B853AA"/>
    <w:rsid w:val="00B8541E"/>
    <w:rsid w:val="00B857E3"/>
    <w:rsid w:val="00B85C72"/>
    <w:rsid w:val="00B85D12"/>
    <w:rsid w:val="00B85F74"/>
    <w:rsid w:val="00B860D5"/>
    <w:rsid w:val="00B860D8"/>
    <w:rsid w:val="00B86262"/>
    <w:rsid w:val="00B862DD"/>
    <w:rsid w:val="00B863DD"/>
    <w:rsid w:val="00B866CA"/>
    <w:rsid w:val="00B8681A"/>
    <w:rsid w:val="00B86886"/>
    <w:rsid w:val="00B868AF"/>
    <w:rsid w:val="00B86995"/>
    <w:rsid w:val="00B86AB4"/>
    <w:rsid w:val="00B86B6B"/>
    <w:rsid w:val="00B86C72"/>
    <w:rsid w:val="00B86C77"/>
    <w:rsid w:val="00B86D75"/>
    <w:rsid w:val="00B86E95"/>
    <w:rsid w:val="00B86F88"/>
    <w:rsid w:val="00B87229"/>
    <w:rsid w:val="00B872B8"/>
    <w:rsid w:val="00B874E4"/>
    <w:rsid w:val="00B8758B"/>
    <w:rsid w:val="00B878E0"/>
    <w:rsid w:val="00B87B1D"/>
    <w:rsid w:val="00B87F27"/>
    <w:rsid w:val="00B9004E"/>
    <w:rsid w:val="00B901BD"/>
    <w:rsid w:val="00B9036D"/>
    <w:rsid w:val="00B903D3"/>
    <w:rsid w:val="00B9048D"/>
    <w:rsid w:val="00B905BE"/>
    <w:rsid w:val="00B90638"/>
    <w:rsid w:val="00B9072B"/>
    <w:rsid w:val="00B90B12"/>
    <w:rsid w:val="00B90B64"/>
    <w:rsid w:val="00B90C16"/>
    <w:rsid w:val="00B91064"/>
    <w:rsid w:val="00B910A3"/>
    <w:rsid w:val="00B91225"/>
    <w:rsid w:val="00B9123A"/>
    <w:rsid w:val="00B91496"/>
    <w:rsid w:val="00B915A0"/>
    <w:rsid w:val="00B9173F"/>
    <w:rsid w:val="00B91852"/>
    <w:rsid w:val="00B91861"/>
    <w:rsid w:val="00B92057"/>
    <w:rsid w:val="00B920B5"/>
    <w:rsid w:val="00B9292C"/>
    <w:rsid w:val="00B92A8F"/>
    <w:rsid w:val="00B92BBD"/>
    <w:rsid w:val="00B92C14"/>
    <w:rsid w:val="00B930C1"/>
    <w:rsid w:val="00B93419"/>
    <w:rsid w:val="00B93495"/>
    <w:rsid w:val="00B935C8"/>
    <w:rsid w:val="00B93641"/>
    <w:rsid w:val="00B93668"/>
    <w:rsid w:val="00B9370E"/>
    <w:rsid w:val="00B93753"/>
    <w:rsid w:val="00B93886"/>
    <w:rsid w:val="00B9391F"/>
    <w:rsid w:val="00B93982"/>
    <w:rsid w:val="00B93A66"/>
    <w:rsid w:val="00B93BE5"/>
    <w:rsid w:val="00B9439E"/>
    <w:rsid w:val="00B943E7"/>
    <w:rsid w:val="00B945D2"/>
    <w:rsid w:val="00B947FB"/>
    <w:rsid w:val="00B94856"/>
    <w:rsid w:val="00B949AC"/>
    <w:rsid w:val="00B94AC6"/>
    <w:rsid w:val="00B94AE6"/>
    <w:rsid w:val="00B94D4A"/>
    <w:rsid w:val="00B94E97"/>
    <w:rsid w:val="00B94F34"/>
    <w:rsid w:val="00B9507D"/>
    <w:rsid w:val="00B952D4"/>
    <w:rsid w:val="00B95560"/>
    <w:rsid w:val="00B95657"/>
    <w:rsid w:val="00B9594F"/>
    <w:rsid w:val="00B95B5C"/>
    <w:rsid w:val="00B95B89"/>
    <w:rsid w:val="00B95CCB"/>
    <w:rsid w:val="00B95ED6"/>
    <w:rsid w:val="00B95F1F"/>
    <w:rsid w:val="00B96013"/>
    <w:rsid w:val="00B96185"/>
    <w:rsid w:val="00B961AD"/>
    <w:rsid w:val="00B96544"/>
    <w:rsid w:val="00B9659D"/>
    <w:rsid w:val="00B96617"/>
    <w:rsid w:val="00B966B9"/>
    <w:rsid w:val="00B96A3A"/>
    <w:rsid w:val="00B96A6A"/>
    <w:rsid w:val="00B96D6D"/>
    <w:rsid w:val="00B96DED"/>
    <w:rsid w:val="00B971F0"/>
    <w:rsid w:val="00B9732F"/>
    <w:rsid w:val="00B97453"/>
    <w:rsid w:val="00B976B5"/>
    <w:rsid w:val="00B97806"/>
    <w:rsid w:val="00B97824"/>
    <w:rsid w:val="00B97949"/>
    <w:rsid w:val="00B979D6"/>
    <w:rsid w:val="00B979E9"/>
    <w:rsid w:val="00B97C0D"/>
    <w:rsid w:val="00B97C7B"/>
    <w:rsid w:val="00B97C89"/>
    <w:rsid w:val="00B97D8E"/>
    <w:rsid w:val="00BA03B8"/>
    <w:rsid w:val="00BA05E8"/>
    <w:rsid w:val="00BA073B"/>
    <w:rsid w:val="00BA08F3"/>
    <w:rsid w:val="00BA0927"/>
    <w:rsid w:val="00BA098D"/>
    <w:rsid w:val="00BA0CD2"/>
    <w:rsid w:val="00BA0D12"/>
    <w:rsid w:val="00BA0D44"/>
    <w:rsid w:val="00BA0EE9"/>
    <w:rsid w:val="00BA1350"/>
    <w:rsid w:val="00BA13E1"/>
    <w:rsid w:val="00BA1508"/>
    <w:rsid w:val="00BA15DD"/>
    <w:rsid w:val="00BA178F"/>
    <w:rsid w:val="00BA193C"/>
    <w:rsid w:val="00BA1AAE"/>
    <w:rsid w:val="00BA1D31"/>
    <w:rsid w:val="00BA2168"/>
    <w:rsid w:val="00BA216E"/>
    <w:rsid w:val="00BA264F"/>
    <w:rsid w:val="00BA2784"/>
    <w:rsid w:val="00BA28B0"/>
    <w:rsid w:val="00BA2950"/>
    <w:rsid w:val="00BA2C63"/>
    <w:rsid w:val="00BA2CF6"/>
    <w:rsid w:val="00BA2CFB"/>
    <w:rsid w:val="00BA2D92"/>
    <w:rsid w:val="00BA2EF7"/>
    <w:rsid w:val="00BA3179"/>
    <w:rsid w:val="00BA33DC"/>
    <w:rsid w:val="00BA34AC"/>
    <w:rsid w:val="00BA362C"/>
    <w:rsid w:val="00BA3A4C"/>
    <w:rsid w:val="00BA3CFF"/>
    <w:rsid w:val="00BA3D6A"/>
    <w:rsid w:val="00BA4175"/>
    <w:rsid w:val="00BA42B9"/>
    <w:rsid w:val="00BA434E"/>
    <w:rsid w:val="00BA43D6"/>
    <w:rsid w:val="00BA4469"/>
    <w:rsid w:val="00BA44C6"/>
    <w:rsid w:val="00BA44F8"/>
    <w:rsid w:val="00BA459C"/>
    <w:rsid w:val="00BA45B6"/>
    <w:rsid w:val="00BA47C9"/>
    <w:rsid w:val="00BA4B35"/>
    <w:rsid w:val="00BA4CB6"/>
    <w:rsid w:val="00BA4CCE"/>
    <w:rsid w:val="00BA4E6D"/>
    <w:rsid w:val="00BA4F52"/>
    <w:rsid w:val="00BA4F5C"/>
    <w:rsid w:val="00BA50D5"/>
    <w:rsid w:val="00BA572F"/>
    <w:rsid w:val="00BA5A93"/>
    <w:rsid w:val="00BA6164"/>
    <w:rsid w:val="00BA639E"/>
    <w:rsid w:val="00BA665C"/>
    <w:rsid w:val="00BA6947"/>
    <w:rsid w:val="00BA6E5A"/>
    <w:rsid w:val="00BA6FCF"/>
    <w:rsid w:val="00BA713F"/>
    <w:rsid w:val="00BA71A9"/>
    <w:rsid w:val="00BA7343"/>
    <w:rsid w:val="00BA73EC"/>
    <w:rsid w:val="00BA73FF"/>
    <w:rsid w:val="00BA7416"/>
    <w:rsid w:val="00BA74B7"/>
    <w:rsid w:val="00BA75A0"/>
    <w:rsid w:val="00BA7728"/>
    <w:rsid w:val="00BA7730"/>
    <w:rsid w:val="00BA77C2"/>
    <w:rsid w:val="00BA7837"/>
    <w:rsid w:val="00BA7843"/>
    <w:rsid w:val="00BA7B1D"/>
    <w:rsid w:val="00BA7BD3"/>
    <w:rsid w:val="00BA7C8F"/>
    <w:rsid w:val="00BB046C"/>
    <w:rsid w:val="00BB0554"/>
    <w:rsid w:val="00BB05C0"/>
    <w:rsid w:val="00BB0716"/>
    <w:rsid w:val="00BB098B"/>
    <w:rsid w:val="00BB09BD"/>
    <w:rsid w:val="00BB09FF"/>
    <w:rsid w:val="00BB0BD2"/>
    <w:rsid w:val="00BB0C62"/>
    <w:rsid w:val="00BB0D5A"/>
    <w:rsid w:val="00BB11CD"/>
    <w:rsid w:val="00BB1366"/>
    <w:rsid w:val="00BB1984"/>
    <w:rsid w:val="00BB19E7"/>
    <w:rsid w:val="00BB1BDD"/>
    <w:rsid w:val="00BB1C20"/>
    <w:rsid w:val="00BB1E02"/>
    <w:rsid w:val="00BB200F"/>
    <w:rsid w:val="00BB21A4"/>
    <w:rsid w:val="00BB227D"/>
    <w:rsid w:val="00BB23F1"/>
    <w:rsid w:val="00BB2650"/>
    <w:rsid w:val="00BB26C3"/>
    <w:rsid w:val="00BB2900"/>
    <w:rsid w:val="00BB29FE"/>
    <w:rsid w:val="00BB2AB8"/>
    <w:rsid w:val="00BB2B04"/>
    <w:rsid w:val="00BB2BE0"/>
    <w:rsid w:val="00BB2F18"/>
    <w:rsid w:val="00BB2F81"/>
    <w:rsid w:val="00BB31E7"/>
    <w:rsid w:val="00BB32E7"/>
    <w:rsid w:val="00BB3348"/>
    <w:rsid w:val="00BB3893"/>
    <w:rsid w:val="00BB3BDA"/>
    <w:rsid w:val="00BB3C8B"/>
    <w:rsid w:val="00BB3CBA"/>
    <w:rsid w:val="00BB3E36"/>
    <w:rsid w:val="00BB3FF5"/>
    <w:rsid w:val="00BB403C"/>
    <w:rsid w:val="00BB41A9"/>
    <w:rsid w:val="00BB4639"/>
    <w:rsid w:val="00BB482C"/>
    <w:rsid w:val="00BB4946"/>
    <w:rsid w:val="00BB4C70"/>
    <w:rsid w:val="00BB4D6C"/>
    <w:rsid w:val="00BB4DBE"/>
    <w:rsid w:val="00BB4E12"/>
    <w:rsid w:val="00BB51EF"/>
    <w:rsid w:val="00BB529E"/>
    <w:rsid w:val="00BB533C"/>
    <w:rsid w:val="00BB5375"/>
    <w:rsid w:val="00BB5376"/>
    <w:rsid w:val="00BB53F7"/>
    <w:rsid w:val="00BB5ABC"/>
    <w:rsid w:val="00BB5B49"/>
    <w:rsid w:val="00BB5C58"/>
    <w:rsid w:val="00BB5D11"/>
    <w:rsid w:val="00BB5E23"/>
    <w:rsid w:val="00BB5F56"/>
    <w:rsid w:val="00BB6063"/>
    <w:rsid w:val="00BB642F"/>
    <w:rsid w:val="00BB6810"/>
    <w:rsid w:val="00BB6924"/>
    <w:rsid w:val="00BB6D96"/>
    <w:rsid w:val="00BB6F9C"/>
    <w:rsid w:val="00BB7045"/>
    <w:rsid w:val="00BB7205"/>
    <w:rsid w:val="00BB72BD"/>
    <w:rsid w:val="00BB7510"/>
    <w:rsid w:val="00BB7519"/>
    <w:rsid w:val="00BB7640"/>
    <w:rsid w:val="00BB7AAB"/>
    <w:rsid w:val="00BB7B84"/>
    <w:rsid w:val="00BB7D99"/>
    <w:rsid w:val="00BB7F18"/>
    <w:rsid w:val="00BB7FBA"/>
    <w:rsid w:val="00BC004B"/>
    <w:rsid w:val="00BC0098"/>
    <w:rsid w:val="00BC0256"/>
    <w:rsid w:val="00BC0269"/>
    <w:rsid w:val="00BC05B5"/>
    <w:rsid w:val="00BC0656"/>
    <w:rsid w:val="00BC0669"/>
    <w:rsid w:val="00BC0972"/>
    <w:rsid w:val="00BC0E45"/>
    <w:rsid w:val="00BC0ECB"/>
    <w:rsid w:val="00BC0FF0"/>
    <w:rsid w:val="00BC128E"/>
    <w:rsid w:val="00BC132B"/>
    <w:rsid w:val="00BC132D"/>
    <w:rsid w:val="00BC1415"/>
    <w:rsid w:val="00BC1675"/>
    <w:rsid w:val="00BC172C"/>
    <w:rsid w:val="00BC1A9F"/>
    <w:rsid w:val="00BC1D54"/>
    <w:rsid w:val="00BC1DBA"/>
    <w:rsid w:val="00BC1FFD"/>
    <w:rsid w:val="00BC21DC"/>
    <w:rsid w:val="00BC2320"/>
    <w:rsid w:val="00BC25FB"/>
    <w:rsid w:val="00BC27FA"/>
    <w:rsid w:val="00BC2858"/>
    <w:rsid w:val="00BC2B7C"/>
    <w:rsid w:val="00BC2CA9"/>
    <w:rsid w:val="00BC2CDC"/>
    <w:rsid w:val="00BC2E73"/>
    <w:rsid w:val="00BC32FB"/>
    <w:rsid w:val="00BC380C"/>
    <w:rsid w:val="00BC3942"/>
    <w:rsid w:val="00BC3EE1"/>
    <w:rsid w:val="00BC417E"/>
    <w:rsid w:val="00BC41A7"/>
    <w:rsid w:val="00BC42DA"/>
    <w:rsid w:val="00BC4549"/>
    <w:rsid w:val="00BC45C4"/>
    <w:rsid w:val="00BC4698"/>
    <w:rsid w:val="00BC485D"/>
    <w:rsid w:val="00BC48B6"/>
    <w:rsid w:val="00BC4986"/>
    <w:rsid w:val="00BC4A66"/>
    <w:rsid w:val="00BC4B37"/>
    <w:rsid w:val="00BC4B45"/>
    <w:rsid w:val="00BC4C63"/>
    <w:rsid w:val="00BC4D2B"/>
    <w:rsid w:val="00BC4DE5"/>
    <w:rsid w:val="00BC506A"/>
    <w:rsid w:val="00BC5200"/>
    <w:rsid w:val="00BC52A6"/>
    <w:rsid w:val="00BC54BD"/>
    <w:rsid w:val="00BC562D"/>
    <w:rsid w:val="00BC5695"/>
    <w:rsid w:val="00BC58CC"/>
    <w:rsid w:val="00BC5B4A"/>
    <w:rsid w:val="00BC5B53"/>
    <w:rsid w:val="00BC5B92"/>
    <w:rsid w:val="00BC5D9F"/>
    <w:rsid w:val="00BC607C"/>
    <w:rsid w:val="00BC60DA"/>
    <w:rsid w:val="00BC619B"/>
    <w:rsid w:val="00BC622A"/>
    <w:rsid w:val="00BC6303"/>
    <w:rsid w:val="00BC674A"/>
    <w:rsid w:val="00BC6829"/>
    <w:rsid w:val="00BC69B0"/>
    <w:rsid w:val="00BC6C98"/>
    <w:rsid w:val="00BC6FAE"/>
    <w:rsid w:val="00BC70CB"/>
    <w:rsid w:val="00BC7573"/>
    <w:rsid w:val="00BC779E"/>
    <w:rsid w:val="00BC7A18"/>
    <w:rsid w:val="00BC7ABA"/>
    <w:rsid w:val="00BC7ADA"/>
    <w:rsid w:val="00BC7B4C"/>
    <w:rsid w:val="00BC7C0F"/>
    <w:rsid w:val="00BC7C55"/>
    <w:rsid w:val="00BC7D50"/>
    <w:rsid w:val="00BD0365"/>
    <w:rsid w:val="00BD08E1"/>
    <w:rsid w:val="00BD0E6B"/>
    <w:rsid w:val="00BD0F71"/>
    <w:rsid w:val="00BD1181"/>
    <w:rsid w:val="00BD1197"/>
    <w:rsid w:val="00BD1492"/>
    <w:rsid w:val="00BD1799"/>
    <w:rsid w:val="00BD19B6"/>
    <w:rsid w:val="00BD1AC9"/>
    <w:rsid w:val="00BD1CF1"/>
    <w:rsid w:val="00BD1D8F"/>
    <w:rsid w:val="00BD1DBA"/>
    <w:rsid w:val="00BD1E0C"/>
    <w:rsid w:val="00BD1EDD"/>
    <w:rsid w:val="00BD23B6"/>
    <w:rsid w:val="00BD2400"/>
    <w:rsid w:val="00BD26EE"/>
    <w:rsid w:val="00BD277E"/>
    <w:rsid w:val="00BD2C19"/>
    <w:rsid w:val="00BD30A5"/>
    <w:rsid w:val="00BD31E7"/>
    <w:rsid w:val="00BD3799"/>
    <w:rsid w:val="00BD37CE"/>
    <w:rsid w:val="00BD3BB7"/>
    <w:rsid w:val="00BD3CBC"/>
    <w:rsid w:val="00BD41ED"/>
    <w:rsid w:val="00BD43FE"/>
    <w:rsid w:val="00BD46D7"/>
    <w:rsid w:val="00BD498E"/>
    <w:rsid w:val="00BD4AC3"/>
    <w:rsid w:val="00BD4B83"/>
    <w:rsid w:val="00BD4E6D"/>
    <w:rsid w:val="00BD501F"/>
    <w:rsid w:val="00BD5159"/>
    <w:rsid w:val="00BD546D"/>
    <w:rsid w:val="00BD54DA"/>
    <w:rsid w:val="00BD55A9"/>
    <w:rsid w:val="00BD57A2"/>
    <w:rsid w:val="00BD581F"/>
    <w:rsid w:val="00BD5BC8"/>
    <w:rsid w:val="00BD5DA0"/>
    <w:rsid w:val="00BD5EE8"/>
    <w:rsid w:val="00BD6141"/>
    <w:rsid w:val="00BD63EB"/>
    <w:rsid w:val="00BD65B7"/>
    <w:rsid w:val="00BD6624"/>
    <w:rsid w:val="00BD6908"/>
    <w:rsid w:val="00BD6B51"/>
    <w:rsid w:val="00BD6BA0"/>
    <w:rsid w:val="00BD6CC7"/>
    <w:rsid w:val="00BD6D2B"/>
    <w:rsid w:val="00BD6E04"/>
    <w:rsid w:val="00BD6EAE"/>
    <w:rsid w:val="00BD70D4"/>
    <w:rsid w:val="00BD7358"/>
    <w:rsid w:val="00BD73CF"/>
    <w:rsid w:val="00BD7498"/>
    <w:rsid w:val="00BD74AE"/>
    <w:rsid w:val="00BD76F9"/>
    <w:rsid w:val="00BD78B6"/>
    <w:rsid w:val="00BD7B11"/>
    <w:rsid w:val="00BD7DF0"/>
    <w:rsid w:val="00BE051D"/>
    <w:rsid w:val="00BE0840"/>
    <w:rsid w:val="00BE0CEA"/>
    <w:rsid w:val="00BE1024"/>
    <w:rsid w:val="00BE1026"/>
    <w:rsid w:val="00BE13DB"/>
    <w:rsid w:val="00BE1422"/>
    <w:rsid w:val="00BE1452"/>
    <w:rsid w:val="00BE1455"/>
    <w:rsid w:val="00BE150F"/>
    <w:rsid w:val="00BE1775"/>
    <w:rsid w:val="00BE17D6"/>
    <w:rsid w:val="00BE18D1"/>
    <w:rsid w:val="00BE19B7"/>
    <w:rsid w:val="00BE1BE0"/>
    <w:rsid w:val="00BE1C18"/>
    <w:rsid w:val="00BE1F8A"/>
    <w:rsid w:val="00BE227D"/>
    <w:rsid w:val="00BE2311"/>
    <w:rsid w:val="00BE25C5"/>
    <w:rsid w:val="00BE2919"/>
    <w:rsid w:val="00BE2CCF"/>
    <w:rsid w:val="00BE30F7"/>
    <w:rsid w:val="00BE3465"/>
    <w:rsid w:val="00BE36F1"/>
    <w:rsid w:val="00BE3941"/>
    <w:rsid w:val="00BE394A"/>
    <w:rsid w:val="00BE3D49"/>
    <w:rsid w:val="00BE4388"/>
    <w:rsid w:val="00BE4486"/>
    <w:rsid w:val="00BE44B0"/>
    <w:rsid w:val="00BE46EE"/>
    <w:rsid w:val="00BE493A"/>
    <w:rsid w:val="00BE49D4"/>
    <w:rsid w:val="00BE4A08"/>
    <w:rsid w:val="00BE4C3F"/>
    <w:rsid w:val="00BE4CF0"/>
    <w:rsid w:val="00BE4D2F"/>
    <w:rsid w:val="00BE513D"/>
    <w:rsid w:val="00BE5352"/>
    <w:rsid w:val="00BE5441"/>
    <w:rsid w:val="00BE5534"/>
    <w:rsid w:val="00BE5ABF"/>
    <w:rsid w:val="00BE5B6C"/>
    <w:rsid w:val="00BE5B86"/>
    <w:rsid w:val="00BE5B8D"/>
    <w:rsid w:val="00BE6089"/>
    <w:rsid w:val="00BE608F"/>
    <w:rsid w:val="00BE6344"/>
    <w:rsid w:val="00BE67E3"/>
    <w:rsid w:val="00BE693D"/>
    <w:rsid w:val="00BE6C91"/>
    <w:rsid w:val="00BE6E27"/>
    <w:rsid w:val="00BE6F91"/>
    <w:rsid w:val="00BE6FDC"/>
    <w:rsid w:val="00BE7044"/>
    <w:rsid w:val="00BE70E8"/>
    <w:rsid w:val="00BE74E2"/>
    <w:rsid w:val="00BE7568"/>
    <w:rsid w:val="00BE7644"/>
    <w:rsid w:val="00BE76A3"/>
    <w:rsid w:val="00BE7776"/>
    <w:rsid w:val="00BE78C4"/>
    <w:rsid w:val="00BE7B8D"/>
    <w:rsid w:val="00BE7BB2"/>
    <w:rsid w:val="00BE7F76"/>
    <w:rsid w:val="00BE7F99"/>
    <w:rsid w:val="00BF00AE"/>
    <w:rsid w:val="00BF00FA"/>
    <w:rsid w:val="00BF06FA"/>
    <w:rsid w:val="00BF08EE"/>
    <w:rsid w:val="00BF0A90"/>
    <w:rsid w:val="00BF0B67"/>
    <w:rsid w:val="00BF0C01"/>
    <w:rsid w:val="00BF0CBF"/>
    <w:rsid w:val="00BF0EDD"/>
    <w:rsid w:val="00BF10F4"/>
    <w:rsid w:val="00BF133C"/>
    <w:rsid w:val="00BF1670"/>
    <w:rsid w:val="00BF16F0"/>
    <w:rsid w:val="00BF181C"/>
    <w:rsid w:val="00BF19AC"/>
    <w:rsid w:val="00BF2336"/>
    <w:rsid w:val="00BF2431"/>
    <w:rsid w:val="00BF24C7"/>
    <w:rsid w:val="00BF2651"/>
    <w:rsid w:val="00BF2673"/>
    <w:rsid w:val="00BF2945"/>
    <w:rsid w:val="00BF29C9"/>
    <w:rsid w:val="00BF2AD3"/>
    <w:rsid w:val="00BF2FB3"/>
    <w:rsid w:val="00BF335E"/>
    <w:rsid w:val="00BF3386"/>
    <w:rsid w:val="00BF3561"/>
    <w:rsid w:val="00BF3611"/>
    <w:rsid w:val="00BF36BF"/>
    <w:rsid w:val="00BF37A4"/>
    <w:rsid w:val="00BF37FA"/>
    <w:rsid w:val="00BF37FE"/>
    <w:rsid w:val="00BF38E6"/>
    <w:rsid w:val="00BF39BA"/>
    <w:rsid w:val="00BF3A2F"/>
    <w:rsid w:val="00BF3ACA"/>
    <w:rsid w:val="00BF3CE9"/>
    <w:rsid w:val="00BF3E58"/>
    <w:rsid w:val="00BF3E78"/>
    <w:rsid w:val="00BF43E4"/>
    <w:rsid w:val="00BF43FC"/>
    <w:rsid w:val="00BF449A"/>
    <w:rsid w:val="00BF46DF"/>
    <w:rsid w:val="00BF47DE"/>
    <w:rsid w:val="00BF4823"/>
    <w:rsid w:val="00BF4A1D"/>
    <w:rsid w:val="00BF4C6D"/>
    <w:rsid w:val="00BF4C74"/>
    <w:rsid w:val="00BF4C7C"/>
    <w:rsid w:val="00BF4DC8"/>
    <w:rsid w:val="00BF4FBE"/>
    <w:rsid w:val="00BF5085"/>
    <w:rsid w:val="00BF51C8"/>
    <w:rsid w:val="00BF5228"/>
    <w:rsid w:val="00BF543B"/>
    <w:rsid w:val="00BF5991"/>
    <w:rsid w:val="00BF5B0F"/>
    <w:rsid w:val="00BF6074"/>
    <w:rsid w:val="00BF609E"/>
    <w:rsid w:val="00BF618D"/>
    <w:rsid w:val="00BF61AC"/>
    <w:rsid w:val="00BF62D5"/>
    <w:rsid w:val="00BF639C"/>
    <w:rsid w:val="00BF6405"/>
    <w:rsid w:val="00BF6565"/>
    <w:rsid w:val="00BF66AC"/>
    <w:rsid w:val="00BF685E"/>
    <w:rsid w:val="00BF6924"/>
    <w:rsid w:val="00BF6932"/>
    <w:rsid w:val="00BF6EE6"/>
    <w:rsid w:val="00BF6FAC"/>
    <w:rsid w:val="00BF6FFA"/>
    <w:rsid w:val="00BF7060"/>
    <w:rsid w:val="00BF7154"/>
    <w:rsid w:val="00BF719C"/>
    <w:rsid w:val="00BF71FB"/>
    <w:rsid w:val="00BF7211"/>
    <w:rsid w:val="00BF72C3"/>
    <w:rsid w:val="00BF76CC"/>
    <w:rsid w:val="00BF7EB3"/>
    <w:rsid w:val="00BF7FDE"/>
    <w:rsid w:val="00C00086"/>
    <w:rsid w:val="00C00460"/>
    <w:rsid w:val="00C004D7"/>
    <w:rsid w:val="00C00689"/>
    <w:rsid w:val="00C00785"/>
    <w:rsid w:val="00C00973"/>
    <w:rsid w:val="00C00F29"/>
    <w:rsid w:val="00C010AB"/>
    <w:rsid w:val="00C013D2"/>
    <w:rsid w:val="00C01444"/>
    <w:rsid w:val="00C01A67"/>
    <w:rsid w:val="00C01B69"/>
    <w:rsid w:val="00C01EA6"/>
    <w:rsid w:val="00C01F43"/>
    <w:rsid w:val="00C02234"/>
    <w:rsid w:val="00C02548"/>
    <w:rsid w:val="00C025C9"/>
    <w:rsid w:val="00C02F73"/>
    <w:rsid w:val="00C03140"/>
    <w:rsid w:val="00C0343D"/>
    <w:rsid w:val="00C03626"/>
    <w:rsid w:val="00C0366B"/>
    <w:rsid w:val="00C03764"/>
    <w:rsid w:val="00C0382D"/>
    <w:rsid w:val="00C0388D"/>
    <w:rsid w:val="00C03F25"/>
    <w:rsid w:val="00C03FFC"/>
    <w:rsid w:val="00C04077"/>
    <w:rsid w:val="00C04101"/>
    <w:rsid w:val="00C043A5"/>
    <w:rsid w:val="00C0441E"/>
    <w:rsid w:val="00C04597"/>
    <w:rsid w:val="00C0460B"/>
    <w:rsid w:val="00C04654"/>
    <w:rsid w:val="00C049BF"/>
    <w:rsid w:val="00C04B36"/>
    <w:rsid w:val="00C04CA5"/>
    <w:rsid w:val="00C04D17"/>
    <w:rsid w:val="00C04DB7"/>
    <w:rsid w:val="00C04DE3"/>
    <w:rsid w:val="00C04ECF"/>
    <w:rsid w:val="00C04F94"/>
    <w:rsid w:val="00C05511"/>
    <w:rsid w:val="00C055DE"/>
    <w:rsid w:val="00C056BD"/>
    <w:rsid w:val="00C05C31"/>
    <w:rsid w:val="00C05CE9"/>
    <w:rsid w:val="00C05D19"/>
    <w:rsid w:val="00C05D3B"/>
    <w:rsid w:val="00C05D77"/>
    <w:rsid w:val="00C05EEC"/>
    <w:rsid w:val="00C062EC"/>
    <w:rsid w:val="00C0644E"/>
    <w:rsid w:val="00C064CE"/>
    <w:rsid w:val="00C06582"/>
    <w:rsid w:val="00C06756"/>
    <w:rsid w:val="00C0689B"/>
    <w:rsid w:val="00C06D1B"/>
    <w:rsid w:val="00C07405"/>
    <w:rsid w:val="00C07792"/>
    <w:rsid w:val="00C07865"/>
    <w:rsid w:val="00C07A99"/>
    <w:rsid w:val="00C07B9A"/>
    <w:rsid w:val="00C07FC6"/>
    <w:rsid w:val="00C0ABC2"/>
    <w:rsid w:val="00C10082"/>
    <w:rsid w:val="00C101B2"/>
    <w:rsid w:val="00C1021C"/>
    <w:rsid w:val="00C10240"/>
    <w:rsid w:val="00C104F1"/>
    <w:rsid w:val="00C10979"/>
    <w:rsid w:val="00C10A5A"/>
    <w:rsid w:val="00C10A63"/>
    <w:rsid w:val="00C110DC"/>
    <w:rsid w:val="00C113FE"/>
    <w:rsid w:val="00C11662"/>
    <w:rsid w:val="00C1186C"/>
    <w:rsid w:val="00C1199A"/>
    <w:rsid w:val="00C11C22"/>
    <w:rsid w:val="00C11E2D"/>
    <w:rsid w:val="00C120BA"/>
    <w:rsid w:val="00C12126"/>
    <w:rsid w:val="00C1215D"/>
    <w:rsid w:val="00C12174"/>
    <w:rsid w:val="00C1222E"/>
    <w:rsid w:val="00C1234E"/>
    <w:rsid w:val="00C1237B"/>
    <w:rsid w:val="00C12523"/>
    <w:rsid w:val="00C12534"/>
    <w:rsid w:val="00C12556"/>
    <w:rsid w:val="00C128EE"/>
    <w:rsid w:val="00C128F1"/>
    <w:rsid w:val="00C12B3F"/>
    <w:rsid w:val="00C12B82"/>
    <w:rsid w:val="00C12C95"/>
    <w:rsid w:val="00C12CF9"/>
    <w:rsid w:val="00C12D62"/>
    <w:rsid w:val="00C12DE2"/>
    <w:rsid w:val="00C132A2"/>
    <w:rsid w:val="00C135C5"/>
    <w:rsid w:val="00C1361B"/>
    <w:rsid w:val="00C13776"/>
    <w:rsid w:val="00C137D4"/>
    <w:rsid w:val="00C13928"/>
    <w:rsid w:val="00C13936"/>
    <w:rsid w:val="00C139B2"/>
    <w:rsid w:val="00C13BDB"/>
    <w:rsid w:val="00C13D26"/>
    <w:rsid w:val="00C13DB2"/>
    <w:rsid w:val="00C14046"/>
    <w:rsid w:val="00C141F6"/>
    <w:rsid w:val="00C14216"/>
    <w:rsid w:val="00C14343"/>
    <w:rsid w:val="00C143BE"/>
    <w:rsid w:val="00C144D6"/>
    <w:rsid w:val="00C145E5"/>
    <w:rsid w:val="00C14614"/>
    <w:rsid w:val="00C14929"/>
    <w:rsid w:val="00C14935"/>
    <w:rsid w:val="00C14EA4"/>
    <w:rsid w:val="00C14EB7"/>
    <w:rsid w:val="00C15401"/>
    <w:rsid w:val="00C1588F"/>
    <w:rsid w:val="00C158CA"/>
    <w:rsid w:val="00C159E8"/>
    <w:rsid w:val="00C159FD"/>
    <w:rsid w:val="00C15AA8"/>
    <w:rsid w:val="00C15CA8"/>
    <w:rsid w:val="00C15CB8"/>
    <w:rsid w:val="00C15EC2"/>
    <w:rsid w:val="00C15EC5"/>
    <w:rsid w:val="00C15EF5"/>
    <w:rsid w:val="00C15FD5"/>
    <w:rsid w:val="00C16234"/>
    <w:rsid w:val="00C1696A"/>
    <w:rsid w:val="00C16A58"/>
    <w:rsid w:val="00C16A9E"/>
    <w:rsid w:val="00C16CAA"/>
    <w:rsid w:val="00C16E3F"/>
    <w:rsid w:val="00C16E84"/>
    <w:rsid w:val="00C1769D"/>
    <w:rsid w:val="00C1785B"/>
    <w:rsid w:val="00C178B5"/>
    <w:rsid w:val="00C17D21"/>
    <w:rsid w:val="00C17E16"/>
    <w:rsid w:val="00C201D7"/>
    <w:rsid w:val="00C20368"/>
    <w:rsid w:val="00C20C8F"/>
    <w:rsid w:val="00C20E76"/>
    <w:rsid w:val="00C2117E"/>
    <w:rsid w:val="00C21280"/>
    <w:rsid w:val="00C212AF"/>
    <w:rsid w:val="00C2135B"/>
    <w:rsid w:val="00C2155F"/>
    <w:rsid w:val="00C215B8"/>
    <w:rsid w:val="00C2185B"/>
    <w:rsid w:val="00C219F2"/>
    <w:rsid w:val="00C21A0D"/>
    <w:rsid w:val="00C21CD1"/>
    <w:rsid w:val="00C21FCB"/>
    <w:rsid w:val="00C2240C"/>
    <w:rsid w:val="00C22452"/>
    <w:rsid w:val="00C224A4"/>
    <w:rsid w:val="00C224AA"/>
    <w:rsid w:val="00C22660"/>
    <w:rsid w:val="00C2268F"/>
    <w:rsid w:val="00C22E53"/>
    <w:rsid w:val="00C2324D"/>
    <w:rsid w:val="00C23254"/>
    <w:rsid w:val="00C237EC"/>
    <w:rsid w:val="00C23A4A"/>
    <w:rsid w:val="00C23D32"/>
    <w:rsid w:val="00C23EC8"/>
    <w:rsid w:val="00C242AD"/>
    <w:rsid w:val="00C2435A"/>
    <w:rsid w:val="00C244BC"/>
    <w:rsid w:val="00C248E8"/>
    <w:rsid w:val="00C24B66"/>
    <w:rsid w:val="00C24C20"/>
    <w:rsid w:val="00C24F53"/>
    <w:rsid w:val="00C25161"/>
    <w:rsid w:val="00C253A7"/>
    <w:rsid w:val="00C255FB"/>
    <w:rsid w:val="00C2645A"/>
    <w:rsid w:val="00C265EF"/>
    <w:rsid w:val="00C26A79"/>
    <w:rsid w:val="00C26F3D"/>
    <w:rsid w:val="00C26F6B"/>
    <w:rsid w:val="00C27131"/>
    <w:rsid w:val="00C2717E"/>
    <w:rsid w:val="00C27326"/>
    <w:rsid w:val="00C273BC"/>
    <w:rsid w:val="00C273CB"/>
    <w:rsid w:val="00C27472"/>
    <w:rsid w:val="00C27556"/>
    <w:rsid w:val="00C27812"/>
    <w:rsid w:val="00C2796A"/>
    <w:rsid w:val="00C27AC1"/>
    <w:rsid w:val="00C27BD3"/>
    <w:rsid w:val="00C27C28"/>
    <w:rsid w:val="00C27E4F"/>
    <w:rsid w:val="00C27FA5"/>
    <w:rsid w:val="00C30375"/>
    <w:rsid w:val="00C30401"/>
    <w:rsid w:val="00C306AA"/>
    <w:rsid w:val="00C30820"/>
    <w:rsid w:val="00C30902"/>
    <w:rsid w:val="00C3092B"/>
    <w:rsid w:val="00C30B05"/>
    <w:rsid w:val="00C30BCC"/>
    <w:rsid w:val="00C31529"/>
    <w:rsid w:val="00C31843"/>
    <w:rsid w:val="00C3193D"/>
    <w:rsid w:val="00C3199E"/>
    <w:rsid w:val="00C31D09"/>
    <w:rsid w:val="00C31E69"/>
    <w:rsid w:val="00C32366"/>
    <w:rsid w:val="00C323A9"/>
    <w:rsid w:val="00C32617"/>
    <w:rsid w:val="00C32686"/>
    <w:rsid w:val="00C326B3"/>
    <w:rsid w:val="00C327E0"/>
    <w:rsid w:val="00C32874"/>
    <w:rsid w:val="00C32903"/>
    <w:rsid w:val="00C32CD5"/>
    <w:rsid w:val="00C32E53"/>
    <w:rsid w:val="00C3307F"/>
    <w:rsid w:val="00C330FE"/>
    <w:rsid w:val="00C33CBA"/>
    <w:rsid w:val="00C33FE1"/>
    <w:rsid w:val="00C34135"/>
    <w:rsid w:val="00C3469D"/>
    <w:rsid w:val="00C34882"/>
    <w:rsid w:val="00C348C7"/>
    <w:rsid w:val="00C34A70"/>
    <w:rsid w:val="00C34C87"/>
    <w:rsid w:val="00C34C93"/>
    <w:rsid w:val="00C34CBB"/>
    <w:rsid w:val="00C34D08"/>
    <w:rsid w:val="00C34E4B"/>
    <w:rsid w:val="00C350EC"/>
    <w:rsid w:val="00C3518F"/>
    <w:rsid w:val="00C352A8"/>
    <w:rsid w:val="00C35345"/>
    <w:rsid w:val="00C3536C"/>
    <w:rsid w:val="00C3566D"/>
    <w:rsid w:val="00C357A0"/>
    <w:rsid w:val="00C357AD"/>
    <w:rsid w:val="00C3586A"/>
    <w:rsid w:val="00C358E4"/>
    <w:rsid w:val="00C35923"/>
    <w:rsid w:val="00C35A80"/>
    <w:rsid w:val="00C35C42"/>
    <w:rsid w:val="00C35E32"/>
    <w:rsid w:val="00C35E46"/>
    <w:rsid w:val="00C35E7E"/>
    <w:rsid w:val="00C3600E"/>
    <w:rsid w:val="00C36298"/>
    <w:rsid w:val="00C362AF"/>
    <w:rsid w:val="00C365E3"/>
    <w:rsid w:val="00C3695A"/>
    <w:rsid w:val="00C36CE7"/>
    <w:rsid w:val="00C36D81"/>
    <w:rsid w:val="00C36E77"/>
    <w:rsid w:val="00C3781A"/>
    <w:rsid w:val="00C378AA"/>
    <w:rsid w:val="00C37C01"/>
    <w:rsid w:val="00C37CE3"/>
    <w:rsid w:val="00C37E0E"/>
    <w:rsid w:val="00C37E15"/>
    <w:rsid w:val="00C37F12"/>
    <w:rsid w:val="00C3977B"/>
    <w:rsid w:val="00C40326"/>
    <w:rsid w:val="00C40358"/>
    <w:rsid w:val="00C40373"/>
    <w:rsid w:val="00C405B2"/>
    <w:rsid w:val="00C40625"/>
    <w:rsid w:val="00C4086D"/>
    <w:rsid w:val="00C408B7"/>
    <w:rsid w:val="00C409EB"/>
    <w:rsid w:val="00C40B0E"/>
    <w:rsid w:val="00C40B95"/>
    <w:rsid w:val="00C40BF7"/>
    <w:rsid w:val="00C40C6F"/>
    <w:rsid w:val="00C40D4C"/>
    <w:rsid w:val="00C40E7B"/>
    <w:rsid w:val="00C40EE3"/>
    <w:rsid w:val="00C41050"/>
    <w:rsid w:val="00C4110F"/>
    <w:rsid w:val="00C4112B"/>
    <w:rsid w:val="00C411D6"/>
    <w:rsid w:val="00C41363"/>
    <w:rsid w:val="00C41421"/>
    <w:rsid w:val="00C416DD"/>
    <w:rsid w:val="00C41759"/>
    <w:rsid w:val="00C41799"/>
    <w:rsid w:val="00C41BEA"/>
    <w:rsid w:val="00C41CD9"/>
    <w:rsid w:val="00C41D58"/>
    <w:rsid w:val="00C41E50"/>
    <w:rsid w:val="00C42174"/>
    <w:rsid w:val="00C421AC"/>
    <w:rsid w:val="00C4220A"/>
    <w:rsid w:val="00C42218"/>
    <w:rsid w:val="00C42248"/>
    <w:rsid w:val="00C423F9"/>
    <w:rsid w:val="00C4241D"/>
    <w:rsid w:val="00C42985"/>
    <w:rsid w:val="00C42CAD"/>
    <w:rsid w:val="00C4373F"/>
    <w:rsid w:val="00C43819"/>
    <w:rsid w:val="00C43A31"/>
    <w:rsid w:val="00C43AFB"/>
    <w:rsid w:val="00C43BF7"/>
    <w:rsid w:val="00C43CB7"/>
    <w:rsid w:val="00C43F9C"/>
    <w:rsid w:val="00C440B9"/>
    <w:rsid w:val="00C443DD"/>
    <w:rsid w:val="00C4464E"/>
    <w:rsid w:val="00C446D4"/>
    <w:rsid w:val="00C4481E"/>
    <w:rsid w:val="00C44852"/>
    <w:rsid w:val="00C448B0"/>
    <w:rsid w:val="00C44A1D"/>
    <w:rsid w:val="00C44A82"/>
    <w:rsid w:val="00C44AA8"/>
    <w:rsid w:val="00C44BBA"/>
    <w:rsid w:val="00C44BDF"/>
    <w:rsid w:val="00C44DD8"/>
    <w:rsid w:val="00C44DE2"/>
    <w:rsid w:val="00C44FA0"/>
    <w:rsid w:val="00C44FEE"/>
    <w:rsid w:val="00C4536F"/>
    <w:rsid w:val="00C453AF"/>
    <w:rsid w:val="00C45605"/>
    <w:rsid w:val="00C45843"/>
    <w:rsid w:val="00C4591A"/>
    <w:rsid w:val="00C4592A"/>
    <w:rsid w:val="00C45A1C"/>
    <w:rsid w:val="00C45C41"/>
    <w:rsid w:val="00C45C61"/>
    <w:rsid w:val="00C45CAC"/>
    <w:rsid w:val="00C45E3F"/>
    <w:rsid w:val="00C45F95"/>
    <w:rsid w:val="00C45F96"/>
    <w:rsid w:val="00C460E0"/>
    <w:rsid w:val="00C460E5"/>
    <w:rsid w:val="00C46555"/>
    <w:rsid w:val="00C467A7"/>
    <w:rsid w:val="00C469B0"/>
    <w:rsid w:val="00C46A05"/>
    <w:rsid w:val="00C46B33"/>
    <w:rsid w:val="00C46C09"/>
    <w:rsid w:val="00C46CA4"/>
    <w:rsid w:val="00C46FE8"/>
    <w:rsid w:val="00C47517"/>
    <w:rsid w:val="00C47548"/>
    <w:rsid w:val="00C477C8"/>
    <w:rsid w:val="00C477FD"/>
    <w:rsid w:val="00C47943"/>
    <w:rsid w:val="00C47AA2"/>
    <w:rsid w:val="00C47B8F"/>
    <w:rsid w:val="00C47F8B"/>
    <w:rsid w:val="00C50077"/>
    <w:rsid w:val="00C501CC"/>
    <w:rsid w:val="00C501E2"/>
    <w:rsid w:val="00C502A1"/>
    <w:rsid w:val="00C502D1"/>
    <w:rsid w:val="00C502EA"/>
    <w:rsid w:val="00C504E3"/>
    <w:rsid w:val="00C50699"/>
    <w:rsid w:val="00C50858"/>
    <w:rsid w:val="00C5089D"/>
    <w:rsid w:val="00C50914"/>
    <w:rsid w:val="00C50991"/>
    <w:rsid w:val="00C50A10"/>
    <w:rsid w:val="00C50A6E"/>
    <w:rsid w:val="00C50B45"/>
    <w:rsid w:val="00C50B72"/>
    <w:rsid w:val="00C50C07"/>
    <w:rsid w:val="00C50DB4"/>
    <w:rsid w:val="00C50F91"/>
    <w:rsid w:val="00C51007"/>
    <w:rsid w:val="00C5107B"/>
    <w:rsid w:val="00C5113C"/>
    <w:rsid w:val="00C51369"/>
    <w:rsid w:val="00C51937"/>
    <w:rsid w:val="00C51D86"/>
    <w:rsid w:val="00C51DD3"/>
    <w:rsid w:val="00C51F12"/>
    <w:rsid w:val="00C52219"/>
    <w:rsid w:val="00C522F1"/>
    <w:rsid w:val="00C52387"/>
    <w:rsid w:val="00C527B5"/>
    <w:rsid w:val="00C52B04"/>
    <w:rsid w:val="00C52B56"/>
    <w:rsid w:val="00C52CFA"/>
    <w:rsid w:val="00C52D3E"/>
    <w:rsid w:val="00C52E9E"/>
    <w:rsid w:val="00C52EF4"/>
    <w:rsid w:val="00C52F6B"/>
    <w:rsid w:val="00C52FEF"/>
    <w:rsid w:val="00C53280"/>
    <w:rsid w:val="00C534A8"/>
    <w:rsid w:val="00C53609"/>
    <w:rsid w:val="00C53671"/>
    <w:rsid w:val="00C536DA"/>
    <w:rsid w:val="00C5388A"/>
    <w:rsid w:val="00C538AC"/>
    <w:rsid w:val="00C53913"/>
    <w:rsid w:val="00C5399C"/>
    <w:rsid w:val="00C539EB"/>
    <w:rsid w:val="00C53BF6"/>
    <w:rsid w:val="00C53C18"/>
    <w:rsid w:val="00C53DE7"/>
    <w:rsid w:val="00C53E36"/>
    <w:rsid w:val="00C53E41"/>
    <w:rsid w:val="00C5407A"/>
    <w:rsid w:val="00C5414C"/>
    <w:rsid w:val="00C5432A"/>
    <w:rsid w:val="00C54716"/>
    <w:rsid w:val="00C54769"/>
    <w:rsid w:val="00C54950"/>
    <w:rsid w:val="00C549C6"/>
    <w:rsid w:val="00C54B7D"/>
    <w:rsid w:val="00C54C32"/>
    <w:rsid w:val="00C54D2E"/>
    <w:rsid w:val="00C54E50"/>
    <w:rsid w:val="00C54F0A"/>
    <w:rsid w:val="00C55171"/>
    <w:rsid w:val="00C553FF"/>
    <w:rsid w:val="00C55406"/>
    <w:rsid w:val="00C554A4"/>
    <w:rsid w:val="00C55740"/>
    <w:rsid w:val="00C5586C"/>
    <w:rsid w:val="00C558F7"/>
    <w:rsid w:val="00C55A8C"/>
    <w:rsid w:val="00C5607F"/>
    <w:rsid w:val="00C562B8"/>
    <w:rsid w:val="00C569DF"/>
    <w:rsid w:val="00C56BD0"/>
    <w:rsid w:val="00C56DE9"/>
    <w:rsid w:val="00C56ED0"/>
    <w:rsid w:val="00C56FA4"/>
    <w:rsid w:val="00C56FD6"/>
    <w:rsid w:val="00C570D2"/>
    <w:rsid w:val="00C570E9"/>
    <w:rsid w:val="00C571FB"/>
    <w:rsid w:val="00C574BE"/>
    <w:rsid w:val="00C57504"/>
    <w:rsid w:val="00C57747"/>
    <w:rsid w:val="00C57AA7"/>
    <w:rsid w:val="00C57C65"/>
    <w:rsid w:val="00C57D5F"/>
    <w:rsid w:val="00C57D77"/>
    <w:rsid w:val="00C57E6E"/>
    <w:rsid w:val="00C57EB1"/>
    <w:rsid w:val="00C600A1"/>
    <w:rsid w:val="00C602DE"/>
    <w:rsid w:val="00C60322"/>
    <w:rsid w:val="00C60524"/>
    <w:rsid w:val="00C60727"/>
    <w:rsid w:val="00C609DB"/>
    <w:rsid w:val="00C60AF4"/>
    <w:rsid w:val="00C60DDC"/>
    <w:rsid w:val="00C60E1A"/>
    <w:rsid w:val="00C60E82"/>
    <w:rsid w:val="00C60F22"/>
    <w:rsid w:val="00C61471"/>
    <w:rsid w:val="00C614A8"/>
    <w:rsid w:val="00C619F5"/>
    <w:rsid w:val="00C61B86"/>
    <w:rsid w:val="00C61E42"/>
    <w:rsid w:val="00C61FE9"/>
    <w:rsid w:val="00C620B7"/>
    <w:rsid w:val="00C62168"/>
    <w:rsid w:val="00C62270"/>
    <w:rsid w:val="00C6227B"/>
    <w:rsid w:val="00C62290"/>
    <w:rsid w:val="00C623CB"/>
    <w:rsid w:val="00C623F4"/>
    <w:rsid w:val="00C6267D"/>
    <w:rsid w:val="00C62853"/>
    <w:rsid w:val="00C62DF7"/>
    <w:rsid w:val="00C62EAB"/>
    <w:rsid w:val="00C62FE7"/>
    <w:rsid w:val="00C62FFC"/>
    <w:rsid w:val="00C633C0"/>
    <w:rsid w:val="00C633CC"/>
    <w:rsid w:val="00C6344E"/>
    <w:rsid w:val="00C634F9"/>
    <w:rsid w:val="00C63538"/>
    <w:rsid w:val="00C6389B"/>
    <w:rsid w:val="00C63E0B"/>
    <w:rsid w:val="00C63E1A"/>
    <w:rsid w:val="00C63F57"/>
    <w:rsid w:val="00C63F63"/>
    <w:rsid w:val="00C64197"/>
    <w:rsid w:val="00C642ED"/>
    <w:rsid w:val="00C64853"/>
    <w:rsid w:val="00C64880"/>
    <w:rsid w:val="00C64B7D"/>
    <w:rsid w:val="00C64BB8"/>
    <w:rsid w:val="00C64D83"/>
    <w:rsid w:val="00C64E0A"/>
    <w:rsid w:val="00C64E2F"/>
    <w:rsid w:val="00C64EBA"/>
    <w:rsid w:val="00C64F68"/>
    <w:rsid w:val="00C65091"/>
    <w:rsid w:val="00C650DE"/>
    <w:rsid w:val="00C6517F"/>
    <w:rsid w:val="00C6538E"/>
    <w:rsid w:val="00C653BB"/>
    <w:rsid w:val="00C65AD6"/>
    <w:rsid w:val="00C65F46"/>
    <w:rsid w:val="00C66073"/>
    <w:rsid w:val="00C661E0"/>
    <w:rsid w:val="00C66451"/>
    <w:rsid w:val="00C66467"/>
    <w:rsid w:val="00C664F9"/>
    <w:rsid w:val="00C665D6"/>
    <w:rsid w:val="00C669FB"/>
    <w:rsid w:val="00C66C5A"/>
    <w:rsid w:val="00C66DE3"/>
    <w:rsid w:val="00C67095"/>
    <w:rsid w:val="00C67215"/>
    <w:rsid w:val="00C6764A"/>
    <w:rsid w:val="00C6774B"/>
    <w:rsid w:val="00C67782"/>
    <w:rsid w:val="00C677CF"/>
    <w:rsid w:val="00C677E7"/>
    <w:rsid w:val="00C678DA"/>
    <w:rsid w:val="00C67B0E"/>
    <w:rsid w:val="00C67C04"/>
    <w:rsid w:val="00C70016"/>
    <w:rsid w:val="00C70109"/>
    <w:rsid w:val="00C702FC"/>
    <w:rsid w:val="00C708D6"/>
    <w:rsid w:val="00C70E3D"/>
    <w:rsid w:val="00C70F3D"/>
    <w:rsid w:val="00C70F8C"/>
    <w:rsid w:val="00C70F9D"/>
    <w:rsid w:val="00C70FC1"/>
    <w:rsid w:val="00C7132E"/>
    <w:rsid w:val="00C71472"/>
    <w:rsid w:val="00C71478"/>
    <w:rsid w:val="00C716B3"/>
    <w:rsid w:val="00C718CB"/>
    <w:rsid w:val="00C71C15"/>
    <w:rsid w:val="00C71DF6"/>
    <w:rsid w:val="00C71FDE"/>
    <w:rsid w:val="00C72380"/>
    <w:rsid w:val="00C72425"/>
    <w:rsid w:val="00C7273D"/>
    <w:rsid w:val="00C727B2"/>
    <w:rsid w:val="00C728AB"/>
    <w:rsid w:val="00C728BB"/>
    <w:rsid w:val="00C72B33"/>
    <w:rsid w:val="00C72EC1"/>
    <w:rsid w:val="00C72F0E"/>
    <w:rsid w:val="00C72FAC"/>
    <w:rsid w:val="00C72FC4"/>
    <w:rsid w:val="00C730D8"/>
    <w:rsid w:val="00C7313C"/>
    <w:rsid w:val="00C733D9"/>
    <w:rsid w:val="00C73512"/>
    <w:rsid w:val="00C73C47"/>
    <w:rsid w:val="00C73C64"/>
    <w:rsid w:val="00C73DE3"/>
    <w:rsid w:val="00C73FEB"/>
    <w:rsid w:val="00C74101"/>
    <w:rsid w:val="00C743A3"/>
    <w:rsid w:val="00C745C4"/>
    <w:rsid w:val="00C747B5"/>
    <w:rsid w:val="00C7486B"/>
    <w:rsid w:val="00C748A4"/>
    <w:rsid w:val="00C74AFC"/>
    <w:rsid w:val="00C74C76"/>
    <w:rsid w:val="00C75000"/>
    <w:rsid w:val="00C751BD"/>
    <w:rsid w:val="00C751D3"/>
    <w:rsid w:val="00C75309"/>
    <w:rsid w:val="00C7532D"/>
    <w:rsid w:val="00C754A9"/>
    <w:rsid w:val="00C754D3"/>
    <w:rsid w:val="00C75536"/>
    <w:rsid w:val="00C755A4"/>
    <w:rsid w:val="00C755D7"/>
    <w:rsid w:val="00C75649"/>
    <w:rsid w:val="00C75778"/>
    <w:rsid w:val="00C7587C"/>
    <w:rsid w:val="00C75B74"/>
    <w:rsid w:val="00C75C48"/>
    <w:rsid w:val="00C76221"/>
    <w:rsid w:val="00C76303"/>
    <w:rsid w:val="00C76531"/>
    <w:rsid w:val="00C765AF"/>
    <w:rsid w:val="00C7684D"/>
    <w:rsid w:val="00C76A94"/>
    <w:rsid w:val="00C76B33"/>
    <w:rsid w:val="00C76C40"/>
    <w:rsid w:val="00C76F7D"/>
    <w:rsid w:val="00C771BC"/>
    <w:rsid w:val="00C77392"/>
    <w:rsid w:val="00C7761D"/>
    <w:rsid w:val="00C77676"/>
    <w:rsid w:val="00C777A3"/>
    <w:rsid w:val="00C7787B"/>
    <w:rsid w:val="00C778CA"/>
    <w:rsid w:val="00C77963"/>
    <w:rsid w:val="00C77B09"/>
    <w:rsid w:val="00C77B85"/>
    <w:rsid w:val="00C77C6E"/>
    <w:rsid w:val="00C77DE6"/>
    <w:rsid w:val="00C77FC3"/>
    <w:rsid w:val="00C77FCF"/>
    <w:rsid w:val="00C803E0"/>
    <w:rsid w:val="00C80433"/>
    <w:rsid w:val="00C80457"/>
    <w:rsid w:val="00C80759"/>
    <w:rsid w:val="00C8089C"/>
    <w:rsid w:val="00C80982"/>
    <w:rsid w:val="00C80AE7"/>
    <w:rsid w:val="00C80F00"/>
    <w:rsid w:val="00C80FDA"/>
    <w:rsid w:val="00C80FF8"/>
    <w:rsid w:val="00C8109C"/>
    <w:rsid w:val="00C81230"/>
    <w:rsid w:val="00C81412"/>
    <w:rsid w:val="00C815AD"/>
    <w:rsid w:val="00C818D8"/>
    <w:rsid w:val="00C8191D"/>
    <w:rsid w:val="00C819DD"/>
    <w:rsid w:val="00C81CC2"/>
    <w:rsid w:val="00C81D77"/>
    <w:rsid w:val="00C81D8F"/>
    <w:rsid w:val="00C81DAA"/>
    <w:rsid w:val="00C81EF4"/>
    <w:rsid w:val="00C81F72"/>
    <w:rsid w:val="00C82334"/>
    <w:rsid w:val="00C82539"/>
    <w:rsid w:val="00C827F0"/>
    <w:rsid w:val="00C83178"/>
    <w:rsid w:val="00C83248"/>
    <w:rsid w:val="00C8337F"/>
    <w:rsid w:val="00C83409"/>
    <w:rsid w:val="00C8357E"/>
    <w:rsid w:val="00C83AE7"/>
    <w:rsid w:val="00C83C38"/>
    <w:rsid w:val="00C83D91"/>
    <w:rsid w:val="00C83DCB"/>
    <w:rsid w:val="00C83E55"/>
    <w:rsid w:val="00C84023"/>
    <w:rsid w:val="00C84043"/>
    <w:rsid w:val="00C840F9"/>
    <w:rsid w:val="00C841C9"/>
    <w:rsid w:val="00C84424"/>
    <w:rsid w:val="00C848A1"/>
    <w:rsid w:val="00C84968"/>
    <w:rsid w:val="00C84E86"/>
    <w:rsid w:val="00C850EB"/>
    <w:rsid w:val="00C8526C"/>
    <w:rsid w:val="00C85273"/>
    <w:rsid w:val="00C85615"/>
    <w:rsid w:val="00C85787"/>
    <w:rsid w:val="00C85A86"/>
    <w:rsid w:val="00C85BDB"/>
    <w:rsid w:val="00C85C8E"/>
    <w:rsid w:val="00C85E29"/>
    <w:rsid w:val="00C85FD7"/>
    <w:rsid w:val="00C860B5"/>
    <w:rsid w:val="00C8624F"/>
    <w:rsid w:val="00C86664"/>
    <w:rsid w:val="00C86938"/>
    <w:rsid w:val="00C869BF"/>
    <w:rsid w:val="00C86C95"/>
    <w:rsid w:val="00C86E5D"/>
    <w:rsid w:val="00C86EA5"/>
    <w:rsid w:val="00C86F50"/>
    <w:rsid w:val="00C86FA6"/>
    <w:rsid w:val="00C871CA"/>
    <w:rsid w:val="00C871F8"/>
    <w:rsid w:val="00C87231"/>
    <w:rsid w:val="00C8731C"/>
    <w:rsid w:val="00C8738B"/>
    <w:rsid w:val="00C8751F"/>
    <w:rsid w:val="00C8784C"/>
    <w:rsid w:val="00C87F41"/>
    <w:rsid w:val="00C87F93"/>
    <w:rsid w:val="00C87F94"/>
    <w:rsid w:val="00C8FC0A"/>
    <w:rsid w:val="00C9005B"/>
    <w:rsid w:val="00C900BB"/>
    <w:rsid w:val="00C901B3"/>
    <w:rsid w:val="00C9026F"/>
    <w:rsid w:val="00C90393"/>
    <w:rsid w:val="00C905D8"/>
    <w:rsid w:val="00C90837"/>
    <w:rsid w:val="00C908C9"/>
    <w:rsid w:val="00C90B1C"/>
    <w:rsid w:val="00C90CAB"/>
    <w:rsid w:val="00C90F84"/>
    <w:rsid w:val="00C91281"/>
    <w:rsid w:val="00C9136D"/>
    <w:rsid w:val="00C91379"/>
    <w:rsid w:val="00C913E5"/>
    <w:rsid w:val="00C916D1"/>
    <w:rsid w:val="00C91882"/>
    <w:rsid w:val="00C918E6"/>
    <w:rsid w:val="00C9199D"/>
    <w:rsid w:val="00C91BA6"/>
    <w:rsid w:val="00C91BB2"/>
    <w:rsid w:val="00C91CC1"/>
    <w:rsid w:val="00C91DEA"/>
    <w:rsid w:val="00C92039"/>
    <w:rsid w:val="00C92155"/>
    <w:rsid w:val="00C923C1"/>
    <w:rsid w:val="00C92540"/>
    <w:rsid w:val="00C92692"/>
    <w:rsid w:val="00C92888"/>
    <w:rsid w:val="00C92B85"/>
    <w:rsid w:val="00C92BFB"/>
    <w:rsid w:val="00C92E6F"/>
    <w:rsid w:val="00C93059"/>
    <w:rsid w:val="00C93281"/>
    <w:rsid w:val="00C9345E"/>
    <w:rsid w:val="00C93612"/>
    <w:rsid w:val="00C93614"/>
    <w:rsid w:val="00C937B2"/>
    <w:rsid w:val="00C93A32"/>
    <w:rsid w:val="00C93B0B"/>
    <w:rsid w:val="00C93B39"/>
    <w:rsid w:val="00C93E44"/>
    <w:rsid w:val="00C9409A"/>
    <w:rsid w:val="00C941B2"/>
    <w:rsid w:val="00C941D7"/>
    <w:rsid w:val="00C941ED"/>
    <w:rsid w:val="00C9426B"/>
    <w:rsid w:val="00C942D4"/>
    <w:rsid w:val="00C943D4"/>
    <w:rsid w:val="00C943E1"/>
    <w:rsid w:val="00C94480"/>
    <w:rsid w:val="00C94D62"/>
    <w:rsid w:val="00C9503A"/>
    <w:rsid w:val="00C95081"/>
    <w:rsid w:val="00C95235"/>
    <w:rsid w:val="00C952B3"/>
    <w:rsid w:val="00C95370"/>
    <w:rsid w:val="00C953FF"/>
    <w:rsid w:val="00C95564"/>
    <w:rsid w:val="00C95593"/>
    <w:rsid w:val="00C95731"/>
    <w:rsid w:val="00C9578B"/>
    <w:rsid w:val="00C9590F"/>
    <w:rsid w:val="00C95A41"/>
    <w:rsid w:val="00C95C91"/>
    <w:rsid w:val="00C96077"/>
    <w:rsid w:val="00C9612E"/>
    <w:rsid w:val="00C961B3"/>
    <w:rsid w:val="00C96209"/>
    <w:rsid w:val="00C9654B"/>
    <w:rsid w:val="00C9673B"/>
    <w:rsid w:val="00C96782"/>
    <w:rsid w:val="00C9679F"/>
    <w:rsid w:val="00C96964"/>
    <w:rsid w:val="00C96A6C"/>
    <w:rsid w:val="00C96ACA"/>
    <w:rsid w:val="00C96D4C"/>
    <w:rsid w:val="00C96F57"/>
    <w:rsid w:val="00C97060"/>
    <w:rsid w:val="00C97083"/>
    <w:rsid w:val="00C970DB"/>
    <w:rsid w:val="00C970FE"/>
    <w:rsid w:val="00C97159"/>
    <w:rsid w:val="00C97285"/>
    <w:rsid w:val="00C972C5"/>
    <w:rsid w:val="00C974FF"/>
    <w:rsid w:val="00C9761A"/>
    <w:rsid w:val="00C97713"/>
    <w:rsid w:val="00C977A4"/>
    <w:rsid w:val="00C97AB8"/>
    <w:rsid w:val="00C97AE2"/>
    <w:rsid w:val="00C97CE7"/>
    <w:rsid w:val="00CA012B"/>
    <w:rsid w:val="00CA0134"/>
    <w:rsid w:val="00CA0286"/>
    <w:rsid w:val="00CA05E6"/>
    <w:rsid w:val="00CA07AB"/>
    <w:rsid w:val="00CA0BCE"/>
    <w:rsid w:val="00CA0BE4"/>
    <w:rsid w:val="00CA0C93"/>
    <w:rsid w:val="00CA0DC5"/>
    <w:rsid w:val="00CA0E51"/>
    <w:rsid w:val="00CA125E"/>
    <w:rsid w:val="00CA1368"/>
    <w:rsid w:val="00CA13DE"/>
    <w:rsid w:val="00CA14C2"/>
    <w:rsid w:val="00CA153C"/>
    <w:rsid w:val="00CA1936"/>
    <w:rsid w:val="00CA1B10"/>
    <w:rsid w:val="00CA1B54"/>
    <w:rsid w:val="00CA1B9A"/>
    <w:rsid w:val="00CA1E1F"/>
    <w:rsid w:val="00CA1E2D"/>
    <w:rsid w:val="00CA1E93"/>
    <w:rsid w:val="00CA1F77"/>
    <w:rsid w:val="00CA2345"/>
    <w:rsid w:val="00CA2559"/>
    <w:rsid w:val="00CA255C"/>
    <w:rsid w:val="00CA2603"/>
    <w:rsid w:val="00CA26F9"/>
    <w:rsid w:val="00CA2715"/>
    <w:rsid w:val="00CA2823"/>
    <w:rsid w:val="00CA2B13"/>
    <w:rsid w:val="00CA2CFE"/>
    <w:rsid w:val="00CA2D02"/>
    <w:rsid w:val="00CA2E3F"/>
    <w:rsid w:val="00CA3280"/>
    <w:rsid w:val="00CA342B"/>
    <w:rsid w:val="00CA3489"/>
    <w:rsid w:val="00CA3573"/>
    <w:rsid w:val="00CA357C"/>
    <w:rsid w:val="00CA3709"/>
    <w:rsid w:val="00CA3797"/>
    <w:rsid w:val="00CA37C2"/>
    <w:rsid w:val="00CA3875"/>
    <w:rsid w:val="00CA391F"/>
    <w:rsid w:val="00CA3A46"/>
    <w:rsid w:val="00CA3AB9"/>
    <w:rsid w:val="00CA3C0F"/>
    <w:rsid w:val="00CA3E37"/>
    <w:rsid w:val="00CA3F15"/>
    <w:rsid w:val="00CA3FFC"/>
    <w:rsid w:val="00CA45E5"/>
    <w:rsid w:val="00CA45F4"/>
    <w:rsid w:val="00CA4862"/>
    <w:rsid w:val="00CA491E"/>
    <w:rsid w:val="00CA55FE"/>
    <w:rsid w:val="00CA573F"/>
    <w:rsid w:val="00CA5A77"/>
    <w:rsid w:val="00CA5B76"/>
    <w:rsid w:val="00CA5C0E"/>
    <w:rsid w:val="00CA5E8E"/>
    <w:rsid w:val="00CA5F19"/>
    <w:rsid w:val="00CA5F90"/>
    <w:rsid w:val="00CA6252"/>
    <w:rsid w:val="00CA62D5"/>
    <w:rsid w:val="00CA63DA"/>
    <w:rsid w:val="00CA6408"/>
    <w:rsid w:val="00CA65A0"/>
    <w:rsid w:val="00CA665C"/>
    <w:rsid w:val="00CA6913"/>
    <w:rsid w:val="00CA6B0B"/>
    <w:rsid w:val="00CA6CDF"/>
    <w:rsid w:val="00CA6F5F"/>
    <w:rsid w:val="00CA71EA"/>
    <w:rsid w:val="00CA7365"/>
    <w:rsid w:val="00CA74B5"/>
    <w:rsid w:val="00CA75D4"/>
    <w:rsid w:val="00CA764F"/>
    <w:rsid w:val="00CA7721"/>
    <w:rsid w:val="00CA7D6F"/>
    <w:rsid w:val="00CA7DC0"/>
    <w:rsid w:val="00CA7EC6"/>
    <w:rsid w:val="00CB060F"/>
    <w:rsid w:val="00CB088D"/>
    <w:rsid w:val="00CB08A3"/>
    <w:rsid w:val="00CB0AFF"/>
    <w:rsid w:val="00CB0C08"/>
    <w:rsid w:val="00CB0CD7"/>
    <w:rsid w:val="00CB0DAD"/>
    <w:rsid w:val="00CB0DFB"/>
    <w:rsid w:val="00CB113F"/>
    <w:rsid w:val="00CB12F5"/>
    <w:rsid w:val="00CB13F0"/>
    <w:rsid w:val="00CB14E5"/>
    <w:rsid w:val="00CB16F4"/>
    <w:rsid w:val="00CB170B"/>
    <w:rsid w:val="00CB187A"/>
    <w:rsid w:val="00CB18CC"/>
    <w:rsid w:val="00CB1995"/>
    <w:rsid w:val="00CB1A54"/>
    <w:rsid w:val="00CB1C02"/>
    <w:rsid w:val="00CB1C48"/>
    <w:rsid w:val="00CB1D4A"/>
    <w:rsid w:val="00CB20E2"/>
    <w:rsid w:val="00CB25B5"/>
    <w:rsid w:val="00CB283D"/>
    <w:rsid w:val="00CB28D7"/>
    <w:rsid w:val="00CB2B67"/>
    <w:rsid w:val="00CB2EBB"/>
    <w:rsid w:val="00CB307B"/>
    <w:rsid w:val="00CB31C0"/>
    <w:rsid w:val="00CB380C"/>
    <w:rsid w:val="00CB39AD"/>
    <w:rsid w:val="00CB39D7"/>
    <w:rsid w:val="00CB3A82"/>
    <w:rsid w:val="00CB3B83"/>
    <w:rsid w:val="00CB3BDD"/>
    <w:rsid w:val="00CB3FF7"/>
    <w:rsid w:val="00CB4127"/>
    <w:rsid w:val="00CB4133"/>
    <w:rsid w:val="00CB45EE"/>
    <w:rsid w:val="00CB462E"/>
    <w:rsid w:val="00CB4755"/>
    <w:rsid w:val="00CB48F6"/>
    <w:rsid w:val="00CB4B77"/>
    <w:rsid w:val="00CB4C3E"/>
    <w:rsid w:val="00CB4EF5"/>
    <w:rsid w:val="00CB4F5D"/>
    <w:rsid w:val="00CB4F62"/>
    <w:rsid w:val="00CB4FDF"/>
    <w:rsid w:val="00CB51CB"/>
    <w:rsid w:val="00CB5273"/>
    <w:rsid w:val="00CB5400"/>
    <w:rsid w:val="00CB570D"/>
    <w:rsid w:val="00CB572B"/>
    <w:rsid w:val="00CB5808"/>
    <w:rsid w:val="00CB5817"/>
    <w:rsid w:val="00CB581F"/>
    <w:rsid w:val="00CB5849"/>
    <w:rsid w:val="00CB5934"/>
    <w:rsid w:val="00CB5A37"/>
    <w:rsid w:val="00CB5B74"/>
    <w:rsid w:val="00CB5D66"/>
    <w:rsid w:val="00CB6220"/>
    <w:rsid w:val="00CB63A6"/>
    <w:rsid w:val="00CB6639"/>
    <w:rsid w:val="00CB683A"/>
    <w:rsid w:val="00CB6FC5"/>
    <w:rsid w:val="00CB6FE3"/>
    <w:rsid w:val="00CB73B9"/>
    <w:rsid w:val="00CB77B6"/>
    <w:rsid w:val="00CB7BC4"/>
    <w:rsid w:val="00CB7BCA"/>
    <w:rsid w:val="00CB7C7B"/>
    <w:rsid w:val="00CB7CCB"/>
    <w:rsid w:val="00CB7D37"/>
    <w:rsid w:val="00CB7EA9"/>
    <w:rsid w:val="00CC00DF"/>
    <w:rsid w:val="00CC0133"/>
    <w:rsid w:val="00CC0208"/>
    <w:rsid w:val="00CC02F0"/>
    <w:rsid w:val="00CC0563"/>
    <w:rsid w:val="00CC0701"/>
    <w:rsid w:val="00CC0770"/>
    <w:rsid w:val="00CC0D4A"/>
    <w:rsid w:val="00CC0F53"/>
    <w:rsid w:val="00CC1009"/>
    <w:rsid w:val="00CC12D3"/>
    <w:rsid w:val="00CC1468"/>
    <w:rsid w:val="00CC16FC"/>
    <w:rsid w:val="00CC1713"/>
    <w:rsid w:val="00CC1768"/>
    <w:rsid w:val="00CC1785"/>
    <w:rsid w:val="00CC183F"/>
    <w:rsid w:val="00CC195D"/>
    <w:rsid w:val="00CC19A1"/>
    <w:rsid w:val="00CC1B4F"/>
    <w:rsid w:val="00CC1B82"/>
    <w:rsid w:val="00CC2326"/>
    <w:rsid w:val="00CC2374"/>
    <w:rsid w:val="00CC24CD"/>
    <w:rsid w:val="00CC27F8"/>
    <w:rsid w:val="00CC2A91"/>
    <w:rsid w:val="00CC2C8D"/>
    <w:rsid w:val="00CC2E49"/>
    <w:rsid w:val="00CC31EF"/>
    <w:rsid w:val="00CC32A7"/>
    <w:rsid w:val="00CC33CD"/>
    <w:rsid w:val="00CC343C"/>
    <w:rsid w:val="00CC3793"/>
    <w:rsid w:val="00CC397B"/>
    <w:rsid w:val="00CC3A46"/>
    <w:rsid w:val="00CC3B12"/>
    <w:rsid w:val="00CC40B8"/>
    <w:rsid w:val="00CC42ED"/>
    <w:rsid w:val="00CC4547"/>
    <w:rsid w:val="00CC4A5C"/>
    <w:rsid w:val="00CC4B7D"/>
    <w:rsid w:val="00CC4CBF"/>
    <w:rsid w:val="00CC4D76"/>
    <w:rsid w:val="00CC5123"/>
    <w:rsid w:val="00CC515A"/>
    <w:rsid w:val="00CC518C"/>
    <w:rsid w:val="00CC5431"/>
    <w:rsid w:val="00CC55D8"/>
    <w:rsid w:val="00CC562C"/>
    <w:rsid w:val="00CC572B"/>
    <w:rsid w:val="00CC5768"/>
    <w:rsid w:val="00CC5772"/>
    <w:rsid w:val="00CC5848"/>
    <w:rsid w:val="00CC5A18"/>
    <w:rsid w:val="00CC5AD0"/>
    <w:rsid w:val="00CC5AE9"/>
    <w:rsid w:val="00CC5E4E"/>
    <w:rsid w:val="00CC5F65"/>
    <w:rsid w:val="00CC6089"/>
    <w:rsid w:val="00CC6114"/>
    <w:rsid w:val="00CC63D5"/>
    <w:rsid w:val="00CC63E4"/>
    <w:rsid w:val="00CC64C6"/>
    <w:rsid w:val="00CC6529"/>
    <w:rsid w:val="00CC6574"/>
    <w:rsid w:val="00CC65A8"/>
    <w:rsid w:val="00CC65AD"/>
    <w:rsid w:val="00CC66DF"/>
    <w:rsid w:val="00CC6AE1"/>
    <w:rsid w:val="00CC6B3B"/>
    <w:rsid w:val="00CC6C48"/>
    <w:rsid w:val="00CC6E5A"/>
    <w:rsid w:val="00CC6F95"/>
    <w:rsid w:val="00CC703F"/>
    <w:rsid w:val="00CC70CA"/>
    <w:rsid w:val="00CC70E4"/>
    <w:rsid w:val="00CC70ED"/>
    <w:rsid w:val="00CC7104"/>
    <w:rsid w:val="00CC7843"/>
    <w:rsid w:val="00CC7A63"/>
    <w:rsid w:val="00CC7B4E"/>
    <w:rsid w:val="00CC7C43"/>
    <w:rsid w:val="00CC7C46"/>
    <w:rsid w:val="00CC7C95"/>
    <w:rsid w:val="00CC7D28"/>
    <w:rsid w:val="00CC7F58"/>
    <w:rsid w:val="00CC9FCA"/>
    <w:rsid w:val="00CD0182"/>
    <w:rsid w:val="00CD0587"/>
    <w:rsid w:val="00CD07D7"/>
    <w:rsid w:val="00CD0815"/>
    <w:rsid w:val="00CD0D3E"/>
    <w:rsid w:val="00CD0E1F"/>
    <w:rsid w:val="00CD0F26"/>
    <w:rsid w:val="00CD0F91"/>
    <w:rsid w:val="00CD0FE3"/>
    <w:rsid w:val="00CD1035"/>
    <w:rsid w:val="00CD11FB"/>
    <w:rsid w:val="00CD1287"/>
    <w:rsid w:val="00CD14AF"/>
    <w:rsid w:val="00CD1682"/>
    <w:rsid w:val="00CD18B8"/>
    <w:rsid w:val="00CD1AF3"/>
    <w:rsid w:val="00CD1C8E"/>
    <w:rsid w:val="00CD1E1D"/>
    <w:rsid w:val="00CD1E81"/>
    <w:rsid w:val="00CD218C"/>
    <w:rsid w:val="00CD2233"/>
    <w:rsid w:val="00CD2287"/>
    <w:rsid w:val="00CD2687"/>
    <w:rsid w:val="00CD2731"/>
    <w:rsid w:val="00CD27DF"/>
    <w:rsid w:val="00CD27FC"/>
    <w:rsid w:val="00CD2C6B"/>
    <w:rsid w:val="00CD2D5D"/>
    <w:rsid w:val="00CD2FA7"/>
    <w:rsid w:val="00CD3035"/>
    <w:rsid w:val="00CD34CC"/>
    <w:rsid w:val="00CD35D5"/>
    <w:rsid w:val="00CD3600"/>
    <w:rsid w:val="00CD3662"/>
    <w:rsid w:val="00CD369D"/>
    <w:rsid w:val="00CD37A7"/>
    <w:rsid w:val="00CD3911"/>
    <w:rsid w:val="00CD3D0F"/>
    <w:rsid w:val="00CD41D0"/>
    <w:rsid w:val="00CD4302"/>
    <w:rsid w:val="00CD4687"/>
    <w:rsid w:val="00CD4858"/>
    <w:rsid w:val="00CD4B0B"/>
    <w:rsid w:val="00CD4B94"/>
    <w:rsid w:val="00CD4C25"/>
    <w:rsid w:val="00CD4C55"/>
    <w:rsid w:val="00CD4D21"/>
    <w:rsid w:val="00CD4D89"/>
    <w:rsid w:val="00CD4DEC"/>
    <w:rsid w:val="00CD4EE1"/>
    <w:rsid w:val="00CD4FCB"/>
    <w:rsid w:val="00CD4FF9"/>
    <w:rsid w:val="00CD505A"/>
    <w:rsid w:val="00CD5503"/>
    <w:rsid w:val="00CD56DA"/>
    <w:rsid w:val="00CD58DE"/>
    <w:rsid w:val="00CD598E"/>
    <w:rsid w:val="00CD5B2A"/>
    <w:rsid w:val="00CD5B34"/>
    <w:rsid w:val="00CD5D20"/>
    <w:rsid w:val="00CD5D54"/>
    <w:rsid w:val="00CD5ECD"/>
    <w:rsid w:val="00CD5EE6"/>
    <w:rsid w:val="00CD6045"/>
    <w:rsid w:val="00CD62A9"/>
    <w:rsid w:val="00CD652F"/>
    <w:rsid w:val="00CD6537"/>
    <w:rsid w:val="00CD6871"/>
    <w:rsid w:val="00CD70F2"/>
    <w:rsid w:val="00CD7125"/>
    <w:rsid w:val="00CD7173"/>
    <w:rsid w:val="00CD72E6"/>
    <w:rsid w:val="00CD74B7"/>
    <w:rsid w:val="00CD765D"/>
    <w:rsid w:val="00CD7814"/>
    <w:rsid w:val="00CD787C"/>
    <w:rsid w:val="00CD7CC7"/>
    <w:rsid w:val="00CD7F85"/>
    <w:rsid w:val="00CE026E"/>
    <w:rsid w:val="00CE0364"/>
    <w:rsid w:val="00CE03B1"/>
    <w:rsid w:val="00CE0581"/>
    <w:rsid w:val="00CE0736"/>
    <w:rsid w:val="00CE0786"/>
    <w:rsid w:val="00CE07BB"/>
    <w:rsid w:val="00CE0965"/>
    <w:rsid w:val="00CE09E7"/>
    <w:rsid w:val="00CE0B6E"/>
    <w:rsid w:val="00CE0DBE"/>
    <w:rsid w:val="00CE0E69"/>
    <w:rsid w:val="00CE0FC5"/>
    <w:rsid w:val="00CE1129"/>
    <w:rsid w:val="00CE163B"/>
    <w:rsid w:val="00CE17D3"/>
    <w:rsid w:val="00CE1B4B"/>
    <w:rsid w:val="00CE1CF6"/>
    <w:rsid w:val="00CE1D07"/>
    <w:rsid w:val="00CE1E27"/>
    <w:rsid w:val="00CE1F6F"/>
    <w:rsid w:val="00CE2076"/>
    <w:rsid w:val="00CE2188"/>
    <w:rsid w:val="00CE22CA"/>
    <w:rsid w:val="00CE2341"/>
    <w:rsid w:val="00CE24BC"/>
    <w:rsid w:val="00CE25D8"/>
    <w:rsid w:val="00CE2879"/>
    <w:rsid w:val="00CE2BD4"/>
    <w:rsid w:val="00CE2E7D"/>
    <w:rsid w:val="00CE3102"/>
    <w:rsid w:val="00CE32C4"/>
    <w:rsid w:val="00CE3773"/>
    <w:rsid w:val="00CE37BF"/>
    <w:rsid w:val="00CE3869"/>
    <w:rsid w:val="00CE387D"/>
    <w:rsid w:val="00CE3A56"/>
    <w:rsid w:val="00CE40FA"/>
    <w:rsid w:val="00CE410D"/>
    <w:rsid w:val="00CE4387"/>
    <w:rsid w:val="00CE44DE"/>
    <w:rsid w:val="00CE4595"/>
    <w:rsid w:val="00CE4AC7"/>
    <w:rsid w:val="00CE4C17"/>
    <w:rsid w:val="00CE4C77"/>
    <w:rsid w:val="00CE4E5A"/>
    <w:rsid w:val="00CE4EBD"/>
    <w:rsid w:val="00CE50C1"/>
    <w:rsid w:val="00CE52AF"/>
    <w:rsid w:val="00CE546C"/>
    <w:rsid w:val="00CE548A"/>
    <w:rsid w:val="00CE55CC"/>
    <w:rsid w:val="00CE56E8"/>
    <w:rsid w:val="00CE58CD"/>
    <w:rsid w:val="00CE58DF"/>
    <w:rsid w:val="00CE5E73"/>
    <w:rsid w:val="00CE5EBF"/>
    <w:rsid w:val="00CE5F50"/>
    <w:rsid w:val="00CE5F97"/>
    <w:rsid w:val="00CE5FE5"/>
    <w:rsid w:val="00CE6179"/>
    <w:rsid w:val="00CE61B3"/>
    <w:rsid w:val="00CE622A"/>
    <w:rsid w:val="00CE62F7"/>
    <w:rsid w:val="00CE640A"/>
    <w:rsid w:val="00CE656E"/>
    <w:rsid w:val="00CE67A7"/>
    <w:rsid w:val="00CE690C"/>
    <w:rsid w:val="00CE6B4A"/>
    <w:rsid w:val="00CE6B97"/>
    <w:rsid w:val="00CE6E4C"/>
    <w:rsid w:val="00CE6F1B"/>
    <w:rsid w:val="00CE723C"/>
    <w:rsid w:val="00CE723E"/>
    <w:rsid w:val="00CE728C"/>
    <w:rsid w:val="00CE7652"/>
    <w:rsid w:val="00CE7AA0"/>
    <w:rsid w:val="00CE7AA1"/>
    <w:rsid w:val="00CE7D35"/>
    <w:rsid w:val="00CE7DCB"/>
    <w:rsid w:val="00CF002B"/>
    <w:rsid w:val="00CF00AC"/>
    <w:rsid w:val="00CF0138"/>
    <w:rsid w:val="00CF019C"/>
    <w:rsid w:val="00CF0315"/>
    <w:rsid w:val="00CF031E"/>
    <w:rsid w:val="00CF06A9"/>
    <w:rsid w:val="00CF0B30"/>
    <w:rsid w:val="00CF0C28"/>
    <w:rsid w:val="00CF0D56"/>
    <w:rsid w:val="00CF0DD8"/>
    <w:rsid w:val="00CF0DFB"/>
    <w:rsid w:val="00CF0F90"/>
    <w:rsid w:val="00CF10C3"/>
    <w:rsid w:val="00CF1216"/>
    <w:rsid w:val="00CF123B"/>
    <w:rsid w:val="00CF13B5"/>
    <w:rsid w:val="00CF155C"/>
    <w:rsid w:val="00CF17C3"/>
    <w:rsid w:val="00CF1C62"/>
    <w:rsid w:val="00CF1F11"/>
    <w:rsid w:val="00CF206C"/>
    <w:rsid w:val="00CF20EE"/>
    <w:rsid w:val="00CF2215"/>
    <w:rsid w:val="00CF2342"/>
    <w:rsid w:val="00CF23C1"/>
    <w:rsid w:val="00CF24C3"/>
    <w:rsid w:val="00CF24F4"/>
    <w:rsid w:val="00CF2692"/>
    <w:rsid w:val="00CF28D3"/>
    <w:rsid w:val="00CF2938"/>
    <w:rsid w:val="00CF293E"/>
    <w:rsid w:val="00CF2984"/>
    <w:rsid w:val="00CF2BF4"/>
    <w:rsid w:val="00CF2C89"/>
    <w:rsid w:val="00CF2F5C"/>
    <w:rsid w:val="00CF320C"/>
    <w:rsid w:val="00CF3272"/>
    <w:rsid w:val="00CF3279"/>
    <w:rsid w:val="00CF3282"/>
    <w:rsid w:val="00CF3294"/>
    <w:rsid w:val="00CF33FC"/>
    <w:rsid w:val="00CF3419"/>
    <w:rsid w:val="00CF3527"/>
    <w:rsid w:val="00CF3582"/>
    <w:rsid w:val="00CF35F9"/>
    <w:rsid w:val="00CF368F"/>
    <w:rsid w:val="00CF3DD6"/>
    <w:rsid w:val="00CF4437"/>
    <w:rsid w:val="00CF4579"/>
    <w:rsid w:val="00CF45DB"/>
    <w:rsid w:val="00CF4670"/>
    <w:rsid w:val="00CF4922"/>
    <w:rsid w:val="00CF4A0B"/>
    <w:rsid w:val="00CF4BBC"/>
    <w:rsid w:val="00CF4C69"/>
    <w:rsid w:val="00CF4D8E"/>
    <w:rsid w:val="00CF4E0F"/>
    <w:rsid w:val="00CF5460"/>
    <w:rsid w:val="00CF5466"/>
    <w:rsid w:val="00CF56D1"/>
    <w:rsid w:val="00CF591C"/>
    <w:rsid w:val="00CF5E22"/>
    <w:rsid w:val="00CF5E56"/>
    <w:rsid w:val="00CF6141"/>
    <w:rsid w:val="00CF624A"/>
    <w:rsid w:val="00CF6762"/>
    <w:rsid w:val="00CF6810"/>
    <w:rsid w:val="00CF69D0"/>
    <w:rsid w:val="00CF6A9A"/>
    <w:rsid w:val="00CF6B3E"/>
    <w:rsid w:val="00CF6C13"/>
    <w:rsid w:val="00CF6CA9"/>
    <w:rsid w:val="00CF75D2"/>
    <w:rsid w:val="00CF78A7"/>
    <w:rsid w:val="00CF7CA6"/>
    <w:rsid w:val="00D00054"/>
    <w:rsid w:val="00D00242"/>
    <w:rsid w:val="00D0044E"/>
    <w:rsid w:val="00D00689"/>
    <w:rsid w:val="00D007F5"/>
    <w:rsid w:val="00D00992"/>
    <w:rsid w:val="00D00CC1"/>
    <w:rsid w:val="00D00E41"/>
    <w:rsid w:val="00D01264"/>
    <w:rsid w:val="00D0150D"/>
    <w:rsid w:val="00D0172D"/>
    <w:rsid w:val="00D01736"/>
    <w:rsid w:val="00D01D78"/>
    <w:rsid w:val="00D01DF3"/>
    <w:rsid w:val="00D01E28"/>
    <w:rsid w:val="00D020B7"/>
    <w:rsid w:val="00D020B8"/>
    <w:rsid w:val="00D022DE"/>
    <w:rsid w:val="00D023BB"/>
    <w:rsid w:val="00D02429"/>
    <w:rsid w:val="00D024F3"/>
    <w:rsid w:val="00D02651"/>
    <w:rsid w:val="00D0272B"/>
    <w:rsid w:val="00D0277D"/>
    <w:rsid w:val="00D028CD"/>
    <w:rsid w:val="00D029F8"/>
    <w:rsid w:val="00D02B1F"/>
    <w:rsid w:val="00D02C55"/>
    <w:rsid w:val="00D02DD8"/>
    <w:rsid w:val="00D02E84"/>
    <w:rsid w:val="00D03089"/>
    <w:rsid w:val="00D037E6"/>
    <w:rsid w:val="00D03821"/>
    <w:rsid w:val="00D0387E"/>
    <w:rsid w:val="00D039AC"/>
    <w:rsid w:val="00D039BB"/>
    <w:rsid w:val="00D03B80"/>
    <w:rsid w:val="00D03C38"/>
    <w:rsid w:val="00D03CD2"/>
    <w:rsid w:val="00D0406F"/>
    <w:rsid w:val="00D04098"/>
    <w:rsid w:val="00D04173"/>
    <w:rsid w:val="00D04335"/>
    <w:rsid w:val="00D046AB"/>
    <w:rsid w:val="00D0487A"/>
    <w:rsid w:val="00D048DA"/>
    <w:rsid w:val="00D049BA"/>
    <w:rsid w:val="00D04A32"/>
    <w:rsid w:val="00D04A67"/>
    <w:rsid w:val="00D04AFB"/>
    <w:rsid w:val="00D04EAB"/>
    <w:rsid w:val="00D05078"/>
    <w:rsid w:val="00D05081"/>
    <w:rsid w:val="00D050A6"/>
    <w:rsid w:val="00D050F8"/>
    <w:rsid w:val="00D052BC"/>
    <w:rsid w:val="00D05391"/>
    <w:rsid w:val="00D057AF"/>
    <w:rsid w:val="00D057DC"/>
    <w:rsid w:val="00D05813"/>
    <w:rsid w:val="00D05823"/>
    <w:rsid w:val="00D05B20"/>
    <w:rsid w:val="00D05C49"/>
    <w:rsid w:val="00D05F0C"/>
    <w:rsid w:val="00D05F72"/>
    <w:rsid w:val="00D0610B"/>
    <w:rsid w:val="00D06899"/>
    <w:rsid w:val="00D06AC3"/>
    <w:rsid w:val="00D06BF5"/>
    <w:rsid w:val="00D06CB0"/>
    <w:rsid w:val="00D07174"/>
    <w:rsid w:val="00D07214"/>
    <w:rsid w:val="00D07408"/>
    <w:rsid w:val="00D076F5"/>
    <w:rsid w:val="00D07914"/>
    <w:rsid w:val="00D07D19"/>
    <w:rsid w:val="00D07D33"/>
    <w:rsid w:val="00D07FB8"/>
    <w:rsid w:val="00D1012B"/>
    <w:rsid w:val="00D10697"/>
    <w:rsid w:val="00D10B15"/>
    <w:rsid w:val="00D10BD4"/>
    <w:rsid w:val="00D10C6D"/>
    <w:rsid w:val="00D11042"/>
    <w:rsid w:val="00D113C6"/>
    <w:rsid w:val="00D113E4"/>
    <w:rsid w:val="00D114B2"/>
    <w:rsid w:val="00D114FE"/>
    <w:rsid w:val="00D11547"/>
    <w:rsid w:val="00D1155A"/>
    <w:rsid w:val="00D115B5"/>
    <w:rsid w:val="00D11601"/>
    <w:rsid w:val="00D118E0"/>
    <w:rsid w:val="00D11AD3"/>
    <w:rsid w:val="00D11BEB"/>
    <w:rsid w:val="00D1215D"/>
    <w:rsid w:val="00D12522"/>
    <w:rsid w:val="00D127D2"/>
    <w:rsid w:val="00D12855"/>
    <w:rsid w:val="00D12914"/>
    <w:rsid w:val="00D12DEE"/>
    <w:rsid w:val="00D12E75"/>
    <w:rsid w:val="00D12FCE"/>
    <w:rsid w:val="00D130A2"/>
    <w:rsid w:val="00D13184"/>
    <w:rsid w:val="00D13264"/>
    <w:rsid w:val="00D132EA"/>
    <w:rsid w:val="00D13512"/>
    <w:rsid w:val="00D13571"/>
    <w:rsid w:val="00D13603"/>
    <w:rsid w:val="00D13A89"/>
    <w:rsid w:val="00D13C7B"/>
    <w:rsid w:val="00D13C9B"/>
    <w:rsid w:val="00D13D30"/>
    <w:rsid w:val="00D13D88"/>
    <w:rsid w:val="00D1415E"/>
    <w:rsid w:val="00D14218"/>
    <w:rsid w:val="00D14412"/>
    <w:rsid w:val="00D14432"/>
    <w:rsid w:val="00D147D5"/>
    <w:rsid w:val="00D14815"/>
    <w:rsid w:val="00D14B4D"/>
    <w:rsid w:val="00D14C88"/>
    <w:rsid w:val="00D14C97"/>
    <w:rsid w:val="00D14D5E"/>
    <w:rsid w:val="00D14E84"/>
    <w:rsid w:val="00D14F54"/>
    <w:rsid w:val="00D152B7"/>
    <w:rsid w:val="00D15363"/>
    <w:rsid w:val="00D155B8"/>
    <w:rsid w:val="00D157E4"/>
    <w:rsid w:val="00D15B56"/>
    <w:rsid w:val="00D15F69"/>
    <w:rsid w:val="00D15FB3"/>
    <w:rsid w:val="00D15FC5"/>
    <w:rsid w:val="00D16619"/>
    <w:rsid w:val="00D1676E"/>
    <w:rsid w:val="00D167DD"/>
    <w:rsid w:val="00D16929"/>
    <w:rsid w:val="00D1696C"/>
    <w:rsid w:val="00D16B37"/>
    <w:rsid w:val="00D16D1E"/>
    <w:rsid w:val="00D16E49"/>
    <w:rsid w:val="00D16E83"/>
    <w:rsid w:val="00D172D9"/>
    <w:rsid w:val="00D1733D"/>
    <w:rsid w:val="00D173DA"/>
    <w:rsid w:val="00D17467"/>
    <w:rsid w:val="00D174D4"/>
    <w:rsid w:val="00D175F9"/>
    <w:rsid w:val="00D17640"/>
    <w:rsid w:val="00D1779D"/>
    <w:rsid w:val="00D1783E"/>
    <w:rsid w:val="00D179C3"/>
    <w:rsid w:val="00D179E3"/>
    <w:rsid w:val="00D17A8D"/>
    <w:rsid w:val="00D17D34"/>
    <w:rsid w:val="00D17F27"/>
    <w:rsid w:val="00D17FAB"/>
    <w:rsid w:val="00D20146"/>
    <w:rsid w:val="00D2020B"/>
    <w:rsid w:val="00D202EA"/>
    <w:rsid w:val="00D20307"/>
    <w:rsid w:val="00D20376"/>
    <w:rsid w:val="00D2038D"/>
    <w:rsid w:val="00D207BD"/>
    <w:rsid w:val="00D20C17"/>
    <w:rsid w:val="00D20C50"/>
    <w:rsid w:val="00D20E51"/>
    <w:rsid w:val="00D20E93"/>
    <w:rsid w:val="00D21399"/>
    <w:rsid w:val="00D213EE"/>
    <w:rsid w:val="00D215B4"/>
    <w:rsid w:val="00D216E8"/>
    <w:rsid w:val="00D21966"/>
    <w:rsid w:val="00D21B6E"/>
    <w:rsid w:val="00D21BBE"/>
    <w:rsid w:val="00D21BD7"/>
    <w:rsid w:val="00D21C32"/>
    <w:rsid w:val="00D21DB3"/>
    <w:rsid w:val="00D21EFB"/>
    <w:rsid w:val="00D22217"/>
    <w:rsid w:val="00D2225B"/>
    <w:rsid w:val="00D222E9"/>
    <w:rsid w:val="00D227E0"/>
    <w:rsid w:val="00D22836"/>
    <w:rsid w:val="00D228FB"/>
    <w:rsid w:val="00D22F6F"/>
    <w:rsid w:val="00D22FF4"/>
    <w:rsid w:val="00D23138"/>
    <w:rsid w:val="00D2346E"/>
    <w:rsid w:val="00D234EC"/>
    <w:rsid w:val="00D235E0"/>
    <w:rsid w:val="00D23643"/>
    <w:rsid w:val="00D237F3"/>
    <w:rsid w:val="00D2390E"/>
    <w:rsid w:val="00D23965"/>
    <w:rsid w:val="00D23B86"/>
    <w:rsid w:val="00D23DB7"/>
    <w:rsid w:val="00D23DCC"/>
    <w:rsid w:val="00D23E0B"/>
    <w:rsid w:val="00D23F8B"/>
    <w:rsid w:val="00D24164"/>
    <w:rsid w:val="00D2419C"/>
    <w:rsid w:val="00D241C2"/>
    <w:rsid w:val="00D24209"/>
    <w:rsid w:val="00D24C5B"/>
    <w:rsid w:val="00D24C69"/>
    <w:rsid w:val="00D24EF7"/>
    <w:rsid w:val="00D25244"/>
    <w:rsid w:val="00D25352"/>
    <w:rsid w:val="00D255F7"/>
    <w:rsid w:val="00D2565A"/>
    <w:rsid w:val="00D25861"/>
    <w:rsid w:val="00D25AF5"/>
    <w:rsid w:val="00D25B4B"/>
    <w:rsid w:val="00D25BA7"/>
    <w:rsid w:val="00D25C57"/>
    <w:rsid w:val="00D25CF5"/>
    <w:rsid w:val="00D25E28"/>
    <w:rsid w:val="00D260D1"/>
    <w:rsid w:val="00D26163"/>
    <w:rsid w:val="00D26278"/>
    <w:rsid w:val="00D262FF"/>
    <w:rsid w:val="00D26483"/>
    <w:rsid w:val="00D264A7"/>
    <w:rsid w:val="00D264A9"/>
    <w:rsid w:val="00D2654B"/>
    <w:rsid w:val="00D26741"/>
    <w:rsid w:val="00D268B4"/>
    <w:rsid w:val="00D2696F"/>
    <w:rsid w:val="00D269C2"/>
    <w:rsid w:val="00D26A6C"/>
    <w:rsid w:val="00D26AF3"/>
    <w:rsid w:val="00D26CDA"/>
    <w:rsid w:val="00D26D3C"/>
    <w:rsid w:val="00D26D70"/>
    <w:rsid w:val="00D26E27"/>
    <w:rsid w:val="00D27A8F"/>
    <w:rsid w:val="00D27B1D"/>
    <w:rsid w:val="00D27C5B"/>
    <w:rsid w:val="00D27C84"/>
    <w:rsid w:val="00D27DCD"/>
    <w:rsid w:val="00D27F65"/>
    <w:rsid w:val="00D300E6"/>
    <w:rsid w:val="00D30110"/>
    <w:rsid w:val="00D30309"/>
    <w:rsid w:val="00D30328"/>
    <w:rsid w:val="00D30484"/>
    <w:rsid w:val="00D305BA"/>
    <w:rsid w:val="00D30695"/>
    <w:rsid w:val="00D308A4"/>
    <w:rsid w:val="00D308FC"/>
    <w:rsid w:val="00D30A3E"/>
    <w:rsid w:val="00D30B75"/>
    <w:rsid w:val="00D30CF1"/>
    <w:rsid w:val="00D30D61"/>
    <w:rsid w:val="00D30E9B"/>
    <w:rsid w:val="00D31191"/>
    <w:rsid w:val="00D311EB"/>
    <w:rsid w:val="00D3129A"/>
    <w:rsid w:val="00D31538"/>
    <w:rsid w:val="00D317A7"/>
    <w:rsid w:val="00D3181D"/>
    <w:rsid w:val="00D31922"/>
    <w:rsid w:val="00D31A4A"/>
    <w:rsid w:val="00D31BD8"/>
    <w:rsid w:val="00D31BED"/>
    <w:rsid w:val="00D31C62"/>
    <w:rsid w:val="00D32207"/>
    <w:rsid w:val="00D323D0"/>
    <w:rsid w:val="00D32469"/>
    <w:rsid w:val="00D328D9"/>
    <w:rsid w:val="00D32DFA"/>
    <w:rsid w:val="00D32F3B"/>
    <w:rsid w:val="00D332CC"/>
    <w:rsid w:val="00D332D3"/>
    <w:rsid w:val="00D3332C"/>
    <w:rsid w:val="00D333B7"/>
    <w:rsid w:val="00D33565"/>
    <w:rsid w:val="00D336E6"/>
    <w:rsid w:val="00D336F8"/>
    <w:rsid w:val="00D337D1"/>
    <w:rsid w:val="00D337D7"/>
    <w:rsid w:val="00D3391B"/>
    <w:rsid w:val="00D33CB5"/>
    <w:rsid w:val="00D33CF6"/>
    <w:rsid w:val="00D33DEC"/>
    <w:rsid w:val="00D344D3"/>
    <w:rsid w:val="00D347FB"/>
    <w:rsid w:val="00D349CB"/>
    <w:rsid w:val="00D34A8E"/>
    <w:rsid w:val="00D34B91"/>
    <w:rsid w:val="00D34CCF"/>
    <w:rsid w:val="00D34CEF"/>
    <w:rsid w:val="00D34D2F"/>
    <w:rsid w:val="00D34F03"/>
    <w:rsid w:val="00D35046"/>
    <w:rsid w:val="00D3536E"/>
    <w:rsid w:val="00D353A2"/>
    <w:rsid w:val="00D35F97"/>
    <w:rsid w:val="00D360C3"/>
    <w:rsid w:val="00D3621E"/>
    <w:rsid w:val="00D36318"/>
    <w:rsid w:val="00D3670E"/>
    <w:rsid w:val="00D36A17"/>
    <w:rsid w:val="00D36B13"/>
    <w:rsid w:val="00D36BE3"/>
    <w:rsid w:val="00D36E8E"/>
    <w:rsid w:val="00D36F48"/>
    <w:rsid w:val="00D372AF"/>
    <w:rsid w:val="00D378BD"/>
    <w:rsid w:val="00D37901"/>
    <w:rsid w:val="00D37A05"/>
    <w:rsid w:val="00D37AA4"/>
    <w:rsid w:val="00D37ACD"/>
    <w:rsid w:val="00D37C81"/>
    <w:rsid w:val="00D37CE6"/>
    <w:rsid w:val="00D37F7F"/>
    <w:rsid w:val="00D40011"/>
    <w:rsid w:val="00D40040"/>
    <w:rsid w:val="00D40085"/>
    <w:rsid w:val="00D4061B"/>
    <w:rsid w:val="00D4095A"/>
    <w:rsid w:val="00D40E56"/>
    <w:rsid w:val="00D41A27"/>
    <w:rsid w:val="00D41A2A"/>
    <w:rsid w:val="00D41AC2"/>
    <w:rsid w:val="00D41B82"/>
    <w:rsid w:val="00D41D25"/>
    <w:rsid w:val="00D420C1"/>
    <w:rsid w:val="00D421DE"/>
    <w:rsid w:val="00D42300"/>
    <w:rsid w:val="00D42570"/>
    <w:rsid w:val="00D427DC"/>
    <w:rsid w:val="00D428F4"/>
    <w:rsid w:val="00D42AFF"/>
    <w:rsid w:val="00D42BD0"/>
    <w:rsid w:val="00D42DBF"/>
    <w:rsid w:val="00D42E71"/>
    <w:rsid w:val="00D42F84"/>
    <w:rsid w:val="00D43022"/>
    <w:rsid w:val="00D43193"/>
    <w:rsid w:val="00D43330"/>
    <w:rsid w:val="00D434C6"/>
    <w:rsid w:val="00D43844"/>
    <w:rsid w:val="00D43A7C"/>
    <w:rsid w:val="00D43C95"/>
    <w:rsid w:val="00D43D91"/>
    <w:rsid w:val="00D43E50"/>
    <w:rsid w:val="00D44035"/>
    <w:rsid w:val="00D44189"/>
    <w:rsid w:val="00D44555"/>
    <w:rsid w:val="00D4457D"/>
    <w:rsid w:val="00D44627"/>
    <w:rsid w:val="00D44794"/>
    <w:rsid w:val="00D44834"/>
    <w:rsid w:val="00D44A1D"/>
    <w:rsid w:val="00D44A8A"/>
    <w:rsid w:val="00D44B55"/>
    <w:rsid w:val="00D44C58"/>
    <w:rsid w:val="00D450E1"/>
    <w:rsid w:val="00D45198"/>
    <w:rsid w:val="00D45254"/>
    <w:rsid w:val="00D4528E"/>
    <w:rsid w:val="00D452E9"/>
    <w:rsid w:val="00D45390"/>
    <w:rsid w:val="00D453BA"/>
    <w:rsid w:val="00D453C0"/>
    <w:rsid w:val="00D453EF"/>
    <w:rsid w:val="00D4578D"/>
    <w:rsid w:val="00D459DA"/>
    <w:rsid w:val="00D45C2E"/>
    <w:rsid w:val="00D45DFC"/>
    <w:rsid w:val="00D45F89"/>
    <w:rsid w:val="00D460F3"/>
    <w:rsid w:val="00D46158"/>
    <w:rsid w:val="00D4618B"/>
    <w:rsid w:val="00D4626B"/>
    <w:rsid w:val="00D4633D"/>
    <w:rsid w:val="00D46482"/>
    <w:rsid w:val="00D464D1"/>
    <w:rsid w:val="00D46AA3"/>
    <w:rsid w:val="00D46B51"/>
    <w:rsid w:val="00D47078"/>
    <w:rsid w:val="00D4727F"/>
    <w:rsid w:val="00D473BE"/>
    <w:rsid w:val="00D474C4"/>
    <w:rsid w:val="00D475E4"/>
    <w:rsid w:val="00D4777D"/>
    <w:rsid w:val="00D479ED"/>
    <w:rsid w:val="00D47BAF"/>
    <w:rsid w:val="00D47C55"/>
    <w:rsid w:val="00D47FE8"/>
    <w:rsid w:val="00D5039D"/>
    <w:rsid w:val="00D504AD"/>
    <w:rsid w:val="00D504D8"/>
    <w:rsid w:val="00D506B7"/>
    <w:rsid w:val="00D509A4"/>
    <w:rsid w:val="00D509D1"/>
    <w:rsid w:val="00D509E8"/>
    <w:rsid w:val="00D509F6"/>
    <w:rsid w:val="00D50AFD"/>
    <w:rsid w:val="00D50AFF"/>
    <w:rsid w:val="00D50C48"/>
    <w:rsid w:val="00D50D2A"/>
    <w:rsid w:val="00D50D82"/>
    <w:rsid w:val="00D50EF5"/>
    <w:rsid w:val="00D50F9E"/>
    <w:rsid w:val="00D51006"/>
    <w:rsid w:val="00D51098"/>
    <w:rsid w:val="00D513B4"/>
    <w:rsid w:val="00D514BF"/>
    <w:rsid w:val="00D5151A"/>
    <w:rsid w:val="00D51640"/>
    <w:rsid w:val="00D5165B"/>
    <w:rsid w:val="00D518E5"/>
    <w:rsid w:val="00D51A0D"/>
    <w:rsid w:val="00D51B09"/>
    <w:rsid w:val="00D51F01"/>
    <w:rsid w:val="00D52129"/>
    <w:rsid w:val="00D52304"/>
    <w:rsid w:val="00D52541"/>
    <w:rsid w:val="00D5260A"/>
    <w:rsid w:val="00D5260B"/>
    <w:rsid w:val="00D5299B"/>
    <w:rsid w:val="00D52A03"/>
    <w:rsid w:val="00D52AA6"/>
    <w:rsid w:val="00D52D2F"/>
    <w:rsid w:val="00D52DBE"/>
    <w:rsid w:val="00D52E2E"/>
    <w:rsid w:val="00D53183"/>
    <w:rsid w:val="00D53663"/>
    <w:rsid w:val="00D537BC"/>
    <w:rsid w:val="00D538E8"/>
    <w:rsid w:val="00D53D1E"/>
    <w:rsid w:val="00D53E79"/>
    <w:rsid w:val="00D53F90"/>
    <w:rsid w:val="00D540A4"/>
    <w:rsid w:val="00D541B1"/>
    <w:rsid w:val="00D54230"/>
    <w:rsid w:val="00D54454"/>
    <w:rsid w:val="00D544E3"/>
    <w:rsid w:val="00D54507"/>
    <w:rsid w:val="00D5467F"/>
    <w:rsid w:val="00D54801"/>
    <w:rsid w:val="00D54B99"/>
    <w:rsid w:val="00D54D8F"/>
    <w:rsid w:val="00D54EA7"/>
    <w:rsid w:val="00D55248"/>
    <w:rsid w:val="00D5527D"/>
    <w:rsid w:val="00D553E2"/>
    <w:rsid w:val="00D55770"/>
    <w:rsid w:val="00D5579B"/>
    <w:rsid w:val="00D55C55"/>
    <w:rsid w:val="00D55D57"/>
    <w:rsid w:val="00D55E16"/>
    <w:rsid w:val="00D560C0"/>
    <w:rsid w:val="00D562B6"/>
    <w:rsid w:val="00D562F6"/>
    <w:rsid w:val="00D565FE"/>
    <w:rsid w:val="00D566A0"/>
    <w:rsid w:val="00D56736"/>
    <w:rsid w:val="00D567AB"/>
    <w:rsid w:val="00D569B2"/>
    <w:rsid w:val="00D56E0E"/>
    <w:rsid w:val="00D57183"/>
    <w:rsid w:val="00D571F1"/>
    <w:rsid w:val="00D572B3"/>
    <w:rsid w:val="00D57373"/>
    <w:rsid w:val="00D57490"/>
    <w:rsid w:val="00D577CC"/>
    <w:rsid w:val="00D578B5"/>
    <w:rsid w:val="00D5792D"/>
    <w:rsid w:val="00D57970"/>
    <w:rsid w:val="00D579EA"/>
    <w:rsid w:val="00D57A71"/>
    <w:rsid w:val="00D57C22"/>
    <w:rsid w:val="00D57CB3"/>
    <w:rsid w:val="00D57D16"/>
    <w:rsid w:val="00D60093"/>
    <w:rsid w:val="00D603B6"/>
    <w:rsid w:val="00D6046F"/>
    <w:rsid w:val="00D605DE"/>
    <w:rsid w:val="00D6067C"/>
    <w:rsid w:val="00D606AE"/>
    <w:rsid w:val="00D60797"/>
    <w:rsid w:val="00D607C4"/>
    <w:rsid w:val="00D609A7"/>
    <w:rsid w:val="00D60A74"/>
    <w:rsid w:val="00D60C28"/>
    <w:rsid w:val="00D60DE9"/>
    <w:rsid w:val="00D60F76"/>
    <w:rsid w:val="00D61123"/>
    <w:rsid w:val="00D61136"/>
    <w:rsid w:val="00D61185"/>
    <w:rsid w:val="00D612AA"/>
    <w:rsid w:val="00D614E2"/>
    <w:rsid w:val="00D61533"/>
    <w:rsid w:val="00D6186E"/>
    <w:rsid w:val="00D61939"/>
    <w:rsid w:val="00D61B59"/>
    <w:rsid w:val="00D61C00"/>
    <w:rsid w:val="00D61D2E"/>
    <w:rsid w:val="00D61D5C"/>
    <w:rsid w:val="00D620C6"/>
    <w:rsid w:val="00D62328"/>
    <w:rsid w:val="00D623A5"/>
    <w:rsid w:val="00D627B0"/>
    <w:rsid w:val="00D62A1F"/>
    <w:rsid w:val="00D62B3D"/>
    <w:rsid w:val="00D62BB5"/>
    <w:rsid w:val="00D62C97"/>
    <w:rsid w:val="00D62D25"/>
    <w:rsid w:val="00D62D3A"/>
    <w:rsid w:val="00D62FFD"/>
    <w:rsid w:val="00D631D5"/>
    <w:rsid w:val="00D63280"/>
    <w:rsid w:val="00D63420"/>
    <w:rsid w:val="00D6345D"/>
    <w:rsid w:val="00D634B3"/>
    <w:rsid w:val="00D63645"/>
    <w:rsid w:val="00D63706"/>
    <w:rsid w:val="00D63976"/>
    <w:rsid w:val="00D63A24"/>
    <w:rsid w:val="00D63A47"/>
    <w:rsid w:val="00D63B0E"/>
    <w:rsid w:val="00D63DBD"/>
    <w:rsid w:val="00D64188"/>
    <w:rsid w:val="00D642FC"/>
    <w:rsid w:val="00D645B6"/>
    <w:rsid w:val="00D647C6"/>
    <w:rsid w:val="00D6496D"/>
    <w:rsid w:val="00D64CA0"/>
    <w:rsid w:val="00D64D37"/>
    <w:rsid w:val="00D64EC5"/>
    <w:rsid w:val="00D64F41"/>
    <w:rsid w:val="00D64FB1"/>
    <w:rsid w:val="00D65243"/>
    <w:rsid w:val="00D653BA"/>
    <w:rsid w:val="00D653EF"/>
    <w:rsid w:val="00D655B5"/>
    <w:rsid w:val="00D65632"/>
    <w:rsid w:val="00D65AE5"/>
    <w:rsid w:val="00D65D2B"/>
    <w:rsid w:val="00D662B5"/>
    <w:rsid w:val="00D66324"/>
    <w:rsid w:val="00D66691"/>
    <w:rsid w:val="00D666F0"/>
    <w:rsid w:val="00D668AB"/>
    <w:rsid w:val="00D6697F"/>
    <w:rsid w:val="00D669BD"/>
    <w:rsid w:val="00D669DC"/>
    <w:rsid w:val="00D66ACB"/>
    <w:rsid w:val="00D66B1F"/>
    <w:rsid w:val="00D66D22"/>
    <w:rsid w:val="00D66EAE"/>
    <w:rsid w:val="00D67049"/>
    <w:rsid w:val="00D6759F"/>
    <w:rsid w:val="00D677AD"/>
    <w:rsid w:val="00D677C9"/>
    <w:rsid w:val="00D67965"/>
    <w:rsid w:val="00D679AA"/>
    <w:rsid w:val="00D679FC"/>
    <w:rsid w:val="00D67AA5"/>
    <w:rsid w:val="00D67D33"/>
    <w:rsid w:val="00D67D57"/>
    <w:rsid w:val="00D7002E"/>
    <w:rsid w:val="00D70106"/>
    <w:rsid w:val="00D701D4"/>
    <w:rsid w:val="00D70666"/>
    <w:rsid w:val="00D706C5"/>
    <w:rsid w:val="00D709F0"/>
    <w:rsid w:val="00D70D02"/>
    <w:rsid w:val="00D70E6E"/>
    <w:rsid w:val="00D7107C"/>
    <w:rsid w:val="00D710B9"/>
    <w:rsid w:val="00D71848"/>
    <w:rsid w:val="00D71921"/>
    <w:rsid w:val="00D71A31"/>
    <w:rsid w:val="00D71A7B"/>
    <w:rsid w:val="00D71B5E"/>
    <w:rsid w:val="00D71CAD"/>
    <w:rsid w:val="00D71E48"/>
    <w:rsid w:val="00D71ECC"/>
    <w:rsid w:val="00D720BD"/>
    <w:rsid w:val="00D721EB"/>
    <w:rsid w:val="00D72305"/>
    <w:rsid w:val="00D7246D"/>
    <w:rsid w:val="00D7286E"/>
    <w:rsid w:val="00D72B7C"/>
    <w:rsid w:val="00D72D1A"/>
    <w:rsid w:val="00D72D89"/>
    <w:rsid w:val="00D72DDE"/>
    <w:rsid w:val="00D72DEB"/>
    <w:rsid w:val="00D72E53"/>
    <w:rsid w:val="00D732B5"/>
    <w:rsid w:val="00D73611"/>
    <w:rsid w:val="00D73966"/>
    <w:rsid w:val="00D73995"/>
    <w:rsid w:val="00D73B62"/>
    <w:rsid w:val="00D73C10"/>
    <w:rsid w:val="00D73C33"/>
    <w:rsid w:val="00D73D62"/>
    <w:rsid w:val="00D73FD3"/>
    <w:rsid w:val="00D73FD9"/>
    <w:rsid w:val="00D740C2"/>
    <w:rsid w:val="00D741D5"/>
    <w:rsid w:val="00D742CC"/>
    <w:rsid w:val="00D74581"/>
    <w:rsid w:val="00D745CC"/>
    <w:rsid w:val="00D74947"/>
    <w:rsid w:val="00D749B3"/>
    <w:rsid w:val="00D74A6C"/>
    <w:rsid w:val="00D74E39"/>
    <w:rsid w:val="00D74E88"/>
    <w:rsid w:val="00D75212"/>
    <w:rsid w:val="00D75268"/>
    <w:rsid w:val="00D7537B"/>
    <w:rsid w:val="00D754C7"/>
    <w:rsid w:val="00D75612"/>
    <w:rsid w:val="00D75663"/>
    <w:rsid w:val="00D7567D"/>
    <w:rsid w:val="00D75A56"/>
    <w:rsid w:val="00D75F16"/>
    <w:rsid w:val="00D75F77"/>
    <w:rsid w:val="00D75FC8"/>
    <w:rsid w:val="00D76245"/>
    <w:rsid w:val="00D767AC"/>
    <w:rsid w:val="00D76D97"/>
    <w:rsid w:val="00D76DF4"/>
    <w:rsid w:val="00D76E56"/>
    <w:rsid w:val="00D7799C"/>
    <w:rsid w:val="00D77B32"/>
    <w:rsid w:val="00D80021"/>
    <w:rsid w:val="00D802E8"/>
    <w:rsid w:val="00D80517"/>
    <w:rsid w:val="00D8059F"/>
    <w:rsid w:val="00D807FC"/>
    <w:rsid w:val="00D80A94"/>
    <w:rsid w:val="00D80C89"/>
    <w:rsid w:val="00D80D5A"/>
    <w:rsid w:val="00D80ECA"/>
    <w:rsid w:val="00D80F2E"/>
    <w:rsid w:val="00D80F80"/>
    <w:rsid w:val="00D814CC"/>
    <w:rsid w:val="00D81B3F"/>
    <w:rsid w:val="00D81BD2"/>
    <w:rsid w:val="00D824BC"/>
    <w:rsid w:val="00D82634"/>
    <w:rsid w:val="00D8267C"/>
    <w:rsid w:val="00D8271D"/>
    <w:rsid w:val="00D829BB"/>
    <w:rsid w:val="00D82B80"/>
    <w:rsid w:val="00D82DFD"/>
    <w:rsid w:val="00D82FEF"/>
    <w:rsid w:val="00D83108"/>
    <w:rsid w:val="00D835BC"/>
    <w:rsid w:val="00D83693"/>
    <w:rsid w:val="00D836AD"/>
    <w:rsid w:val="00D83712"/>
    <w:rsid w:val="00D8377C"/>
    <w:rsid w:val="00D837A8"/>
    <w:rsid w:val="00D83920"/>
    <w:rsid w:val="00D839A9"/>
    <w:rsid w:val="00D83ACB"/>
    <w:rsid w:val="00D83AE2"/>
    <w:rsid w:val="00D83BE1"/>
    <w:rsid w:val="00D83CCE"/>
    <w:rsid w:val="00D83D1F"/>
    <w:rsid w:val="00D83F3E"/>
    <w:rsid w:val="00D83FCE"/>
    <w:rsid w:val="00D84022"/>
    <w:rsid w:val="00D84047"/>
    <w:rsid w:val="00D8441F"/>
    <w:rsid w:val="00D845B9"/>
    <w:rsid w:val="00D84689"/>
    <w:rsid w:val="00D84812"/>
    <w:rsid w:val="00D84913"/>
    <w:rsid w:val="00D84A4D"/>
    <w:rsid w:val="00D84CAD"/>
    <w:rsid w:val="00D84E30"/>
    <w:rsid w:val="00D84EE5"/>
    <w:rsid w:val="00D84F67"/>
    <w:rsid w:val="00D850DA"/>
    <w:rsid w:val="00D85135"/>
    <w:rsid w:val="00D8521B"/>
    <w:rsid w:val="00D8532F"/>
    <w:rsid w:val="00D85586"/>
    <w:rsid w:val="00D85621"/>
    <w:rsid w:val="00D856AE"/>
    <w:rsid w:val="00D858AE"/>
    <w:rsid w:val="00D8598C"/>
    <w:rsid w:val="00D859B2"/>
    <w:rsid w:val="00D85BF1"/>
    <w:rsid w:val="00D85D1D"/>
    <w:rsid w:val="00D85EE9"/>
    <w:rsid w:val="00D85F7F"/>
    <w:rsid w:val="00D86229"/>
    <w:rsid w:val="00D862EA"/>
    <w:rsid w:val="00D8635B"/>
    <w:rsid w:val="00D86624"/>
    <w:rsid w:val="00D86669"/>
    <w:rsid w:val="00D8683A"/>
    <w:rsid w:val="00D8688F"/>
    <w:rsid w:val="00D86A2A"/>
    <w:rsid w:val="00D86A7D"/>
    <w:rsid w:val="00D86B18"/>
    <w:rsid w:val="00D86C49"/>
    <w:rsid w:val="00D86C4A"/>
    <w:rsid w:val="00D874C8"/>
    <w:rsid w:val="00D876F0"/>
    <w:rsid w:val="00D8795B"/>
    <w:rsid w:val="00D87BF4"/>
    <w:rsid w:val="00D87E77"/>
    <w:rsid w:val="00D9000B"/>
    <w:rsid w:val="00D90325"/>
    <w:rsid w:val="00D9032E"/>
    <w:rsid w:val="00D904E8"/>
    <w:rsid w:val="00D904FE"/>
    <w:rsid w:val="00D9065A"/>
    <w:rsid w:val="00D906A6"/>
    <w:rsid w:val="00D90B3D"/>
    <w:rsid w:val="00D90C26"/>
    <w:rsid w:val="00D90CFF"/>
    <w:rsid w:val="00D90E6C"/>
    <w:rsid w:val="00D91274"/>
    <w:rsid w:val="00D914ED"/>
    <w:rsid w:val="00D91597"/>
    <w:rsid w:val="00D915BE"/>
    <w:rsid w:val="00D919B5"/>
    <w:rsid w:val="00D91BF6"/>
    <w:rsid w:val="00D91C6A"/>
    <w:rsid w:val="00D91CD0"/>
    <w:rsid w:val="00D91CDE"/>
    <w:rsid w:val="00D91E0B"/>
    <w:rsid w:val="00D91F9D"/>
    <w:rsid w:val="00D92346"/>
    <w:rsid w:val="00D92541"/>
    <w:rsid w:val="00D926DE"/>
    <w:rsid w:val="00D92759"/>
    <w:rsid w:val="00D927A1"/>
    <w:rsid w:val="00D9298C"/>
    <w:rsid w:val="00D92A4E"/>
    <w:rsid w:val="00D92ACB"/>
    <w:rsid w:val="00D92C19"/>
    <w:rsid w:val="00D92D96"/>
    <w:rsid w:val="00D92DD3"/>
    <w:rsid w:val="00D930F1"/>
    <w:rsid w:val="00D93200"/>
    <w:rsid w:val="00D93206"/>
    <w:rsid w:val="00D93212"/>
    <w:rsid w:val="00D93560"/>
    <w:rsid w:val="00D93604"/>
    <w:rsid w:val="00D9367A"/>
    <w:rsid w:val="00D93974"/>
    <w:rsid w:val="00D93A4D"/>
    <w:rsid w:val="00D93AAA"/>
    <w:rsid w:val="00D93BDB"/>
    <w:rsid w:val="00D93BEB"/>
    <w:rsid w:val="00D93D75"/>
    <w:rsid w:val="00D94051"/>
    <w:rsid w:val="00D940F7"/>
    <w:rsid w:val="00D944A6"/>
    <w:rsid w:val="00D94920"/>
    <w:rsid w:val="00D94D79"/>
    <w:rsid w:val="00D94E4F"/>
    <w:rsid w:val="00D94EA0"/>
    <w:rsid w:val="00D9525F"/>
    <w:rsid w:val="00D95368"/>
    <w:rsid w:val="00D957B3"/>
    <w:rsid w:val="00D95833"/>
    <w:rsid w:val="00D95A6E"/>
    <w:rsid w:val="00D95A77"/>
    <w:rsid w:val="00D95B2B"/>
    <w:rsid w:val="00D95B4C"/>
    <w:rsid w:val="00D95C64"/>
    <w:rsid w:val="00D95EFA"/>
    <w:rsid w:val="00D96128"/>
    <w:rsid w:val="00D96203"/>
    <w:rsid w:val="00D96216"/>
    <w:rsid w:val="00D96331"/>
    <w:rsid w:val="00D96545"/>
    <w:rsid w:val="00D966B2"/>
    <w:rsid w:val="00D96894"/>
    <w:rsid w:val="00D969C9"/>
    <w:rsid w:val="00D96AD1"/>
    <w:rsid w:val="00D96B1C"/>
    <w:rsid w:val="00D96C39"/>
    <w:rsid w:val="00D96D5D"/>
    <w:rsid w:val="00D96DA7"/>
    <w:rsid w:val="00D96EAD"/>
    <w:rsid w:val="00D97396"/>
    <w:rsid w:val="00D979EB"/>
    <w:rsid w:val="00D979F1"/>
    <w:rsid w:val="00D97C7A"/>
    <w:rsid w:val="00D97C7B"/>
    <w:rsid w:val="00D97C87"/>
    <w:rsid w:val="00D97E67"/>
    <w:rsid w:val="00D97FE3"/>
    <w:rsid w:val="00D97FE8"/>
    <w:rsid w:val="00DA006A"/>
    <w:rsid w:val="00DA00D1"/>
    <w:rsid w:val="00DA0137"/>
    <w:rsid w:val="00DA03A1"/>
    <w:rsid w:val="00DA044B"/>
    <w:rsid w:val="00DA072F"/>
    <w:rsid w:val="00DA09F8"/>
    <w:rsid w:val="00DA0B45"/>
    <w:rsid w:val="00DA0D0A"/>
    <w:rsid w:val="00DA0DFD"/>
    <w:rsid w:val="00DA0EC1"/>
    <w:rsid w:val="00DA0EED"/>
    <w:rsid w:val="00DA0F6A"/>
    <w:rsid w:val="00DA101C"/>
    <w:rsid w:val="00DA14E1"/>
    <w:rsid w:val="00DA14EB"/>
    <w:rsid w:val="00DA15C5"/>
    <w:rsid w:val="00DA1732"/>
    <w:rsid w:val="00DA17F8"/>
    <w:rsid w:val="00DA1892"/>
    <w:rsid w:val="00DA1B17"/>
    <w:rsid w:val="00DA1BA9"/>
    <w:rsid w:val="00DA1DA9"/>
    <w:rsid w:val="00DA1F0C"/>
    <w:rsid w:val="00DA2048"/>
    <w:rsid w:val="00DA2122"/>
    <w:rsid w:val="00DA23CA"/>
    <w:rsid w:val="00DA273C"/>
    <w:rsid w:val="00DA2874"/>
    <w:rsid w:val="00DA2AB7"/>
    <w:rsid w:val="00DA2C65"/>
    <w:rsid w:val="00DA2D72"/>
    <w:rsid w:val="00DA303C"/>
    <w:rsid w:val="00DA35DB"/>
    <w:rsid w:val="00DA3979"/>
    <w:rsid w:val="00DA3A96"/>
    <w:rsid w:val="00DA3BE4"/>
    <w:rsid w:val="00DA3F8A"/>
    <w:rsid w:val="00DA3F94"/>
    <w:rsid w:val="00DA3F97"/>
    <w:rsid w:val="00DA3FD3"/>
    <w:rsid w:val="00DA401A"/>
    <w:rsid w:val="00DA40C8"/>
    <w:rsid w:val="00DA4103"/>
    <w:rsid w:val="00DA41EB"/>
    <w:rsid w:val="00DA443F"/>
    <w:rsid w:val="00DA44C1"/>
    <w:rsid w:val="00DA45E2"/>
    <w:rsid w:val="00DA4636"/>
    <w:rsid w:val="00DA4699"/>
    <w:rsid w:val="00DA4E87"/>
    <w:rsid w:val="00DA504B"/>
    <w:rsid w:val="00DA5178"/>
    <w:rsid w:val="00DA533B"/>
    <w:rsid w:val="00DA59C4"/>
    <w:rsid w:val="00DA5B90"/>
    <w:rsid w:val="00DA5D6D"/>
    <w:rsid w:val="00DA62A7"/>
    <w:rsid w:val="00DA62E6"/>
    <w:rsid w:val="00DA6350"/>
    <w:rsid w:val="00DA64BF"/>
    <w:rsid w:val="00DA6519"/>
    <w:rsid w:val="00DA659C"/>
    <w:rsid w:val="00DA69F2"/>
    <w:rsid w:val="00DA6D0A"/>
    <w:rsid w:val="00DA6D6E"/>
    <w:rsid w:val="00DA6D98"/>
    <w:rsid w:val="00DA6FAC"/>
    <w:rsid w:val="00DA7030"/>
    <w:rsid w:val="00DA70C0"/>
    <w:rsid w:val="00DA70F3"/>
    <w:rsid w:val="00DA7426"/>
    <w:rsid w:val="00DA7495"/>
    <w:rsid w:val="00DA74BB"/>
    <w:rsid w:val="00DA750C"/>
    <w:rsid w:val="00DA75E9"/>
    <w:rsid w:val="00DA78C3"/>
    <w:rsid w:val="00DA7D86"/>
    <w:rsid w:val="00DA7EFD"/>
    <w:rsid w:val="00DA7F6C"/>
    <w:rsid w:val="00DB0053"/>
    <w:rsid w:val="00DB00F2"/>
    <w:rsid w:val="00DB027F"/>
    <w:rsid w:val="00DB0412"/>
    <w:rsid w:val="00DB051F"/>
    <w:rsid w:val="00DB06DF"/>
    <w:rsid w:val="00DB070E"/>
    <w:rsid w:val="00DB0870"/>
    <w:rsid w:val="00DB08FF"/>
    <w:rsid w:val="00DB09BD"/>
    <w:rsid w:val="00DB0C2F"/>
    <w:rsid w:val="00DB0DA5"/>
    <w:rsid w:val="00DB0EC9"/>
    <w:rsid w:val="00DB1012"/>
    <w:rsid w:val="00DB1138"/>
    <w:rsid w:val="00DB1264"/>
    <w:rsid w:val="00DB137F"/>
    <w:rsid w:val="00DB1650"/>
    <w:rsid w:val="00DB1778"/>
    <w:rsid w:val="00DB1A1D"/>
    <w:rsid w:val="00DB1A68"/>
    <w:rsid w:val="00DB1A79"/>
    <w:rsid w:val="00DB1AE9"/>
    <w:rsid w:val="00DB1C76"/>
    <w:rsid w:val="00DB1CCE"/>
    <w:rsid w:val="00DB1DE7"/>
    <w:rsid w:val="00DB1FD1"/>
    <w:rsid w:val="00DB22D6"/>
    <w:rsid w:val="00DB2426"/>
    <w:rsid w:val="00DB2507"/>
    <w:rsid w:val="00DB255B"/>
    <w:rsid w:val="00DB2600"/>
    <w:rsid w:val="00DB2921"/>
    <w:rsid w:val="00DB2C6B"/>
    <w:rsid w:val="00DB2E50"/>
    <w:rsid w:val="00DB325C"/>
    <w:rsid w:val="00DB35A3"/>
    <w:rsid w:val="00DB36FB"/>
    <w:rsid w:val="00DB376F"/>
    <w:rsid w:val="00DB3B7C"/>
    <w:rsid w:val="00DB3F0F"/>
    <w:rsid w:val="00DB3F36"/>
    <w:rsid w:val="00DB4004"/>
    <w:rsid w:val="00DB42AC"/>
    <w:rsid w:val="00DB44A3"/>
    <w:rsid w:val="00DB44D1"/>
    <w:rsid w:val="00DB481E"/>
    <w:rsid w:val="00DB482D"/>
    <w:rsid w:val="00DB48A4"/>
    <w:rsid w:val="00DB4BCA"/>
    <w:rsid w:val="00DB4DEE"/>
    <w:rsid w:val="00DB51F2"/>
    <w:rsid w:val="00DB543F"/>
    <w:rsid w:val="00DB5567"/>
    <w:rsid w:val="00DB56F5"/>
    <w:rsid w:val="00DB5730"/>
    <w:rsid w:val="00DB594F"/>
    <w:rsid w:val="00DB59DD"/>
    <w:rsid w:val="00DB5BCF"/>
    <w:rsid w:val="00DB5EEF"/>
    <w:rsid w:val="00DB5EF8"/>
    <w:rsid w:val="00DB628E"/>
    <w:rsid w:val="00DB6373"/>
    <w:rsid w:val="00DB637C"/>
    <w:rsid w:val="00DB6409"/>
    <w:rsid w:val="00DB6480"/>
    <w:rsid w:val="00DB671A"/>
    <w:rsid w:val="00DB696F"/>
    <w:rsid w:val="00DB6A6D"/>
    <w:rsid w:val="00DB6A97"/>
    <w:rsid w:val="00DB6B67"/>
    <w:rsid w:val="00DB7184"/>
    <w:rsid w:val="00DB744E"/>
    <w:rsid w:val="00DB749A"/>
    <w:rsid w:val="00DB7504"/>
    <w:rsid w:val="00DB7934"/>
    <w:rsid w:val="00DB796D"/>
    <w:rsid w:val="00DB7AC0"/>
    <w:rsid w:val="00DB7EDB"/>
    <w:rsid w:val="00DB7EDD"/>
    <w:rsid w:val="00DC0016"/>
    <w:rsid w:val="00DC0CF8"/>
    <w:rsid w:val="00DC0EC3"/>
    <w:rsid w:val="00DC0F5D"/>
    <w:rsid w:val="00DC10C7"/>
    <w:rsid w:val="00DC1210"/>
    <w:rsid w:val="00DC128A"/>
    <w:rsid w:val="00DC1836"/>
    <w:rsid w:val="00DC1C0D"/>
    <w:rsid w:val="00DC1FD2"/>
    <w:rsid w:val="00DC20AD"/>
    <w:rsid w:val="00DC2156"/>
    <w:rsid w:val="00DC2697"/>
    <w:rsid w:val="00DC2827"/>
    <w:rsid w:val="00DC287C"/>
    <w:rsid w:val="00DC2ADA"/>
    <w:rsid w:val="00DC2BD1"/>
    <w:rsid w:val="00DC2F62"/>
    <w:rsid w:val="00DC3076"/>
    <w:rsid w:val="00DC314E"/>
    <w:rsid w:val="00DC331B"/>
    <w:rsid w:val="00DC33AC"/>
    <w:rsid w:val="00DC352A"/>
    <w:rsid w:val="00DC3546"/>
    <w:rsid w:val="00DC359B"/>
    <w:rsid w:val="00DC3787"/>
    <w:rsid w:val="00DC37BD"/>
    <w:rsid w:val="00DC3DE5"/>
    <w:rsid w:val="00DC3F70"/>
    <w:rsid w:val="00DC4039"/>
    <w:rsid w:val="00DC40AE"/>
    <w:rsid w:val="00DC42F2"/>
    <w:rsid w:val="00DC42F3"/>
    <w:rsid w:val="00DC4664"/>
    <w:rsid w:val="00DC46FF"/>
    <w:rsid w:val="00DC475C"/>
    <w:rsid w:val="00DC4862"/>
    <w:rsid w:val="00DC4A77"/>
    <w:rsid w:val="00DC4C76"/>
    <w:rsid w:val="00DC4EEF"/>
    <w:rsid w:val="00DC5243"/>
    <w:rsid w:val="00DC5497"/>
    <w:rsid w:val="00DC54B0"/>
    <w:rsid w:val="00DC550A"/>
    <w:rsid w:val="00DC571D"/>
    <w:rsid w:val="00DC5735"/>
    <w:rsid w:val="00DC57DE"/>
    <w:rsid w:val="00DC5A44"/>
    <w:rsid w:val="00DC5D20"/>
    <w:rsid w:val="00DC5D3D"/>
    <w:rsid w:val="00DC5E6B"/>
    <w:rsid w:val="00DC6468"/>
    <w:rsid w:val="00DC663C"/>
    <w:rsid w:val="00DC6673"/>
    <w:rsid w:val="00DC66C1"/>
    <w:rsid w:val="00DC6B64"/>
    <w:rsid w:val="00DC6E1D"/>
    <w:rsid w:val="00DC70EF"/>
    <w:rsid w:val="00DC73DA"/>
    <w:rsid w:val="00DC742A"/>
    <w:rsid w:val="00DC75A7"/>
    <w:rsid w:val="00DC78E6"/>
    <w:rsid w:val="00DC7B7F"/>
    <w:rsid w:val="00DC7BD2"/>
    <w:rsid w:val="00DC7C7C"/>
    <w:rsid w:val="00DC7E43"/>
    <w:rsid w:val="00DC7FC0"/>
    <w:rsid w:val="00DD00D8"/>
    <w:rsid w:val="00DD027E"/>
    <w:rsid w:val="00DD038E"/>
    <w:rsid w:val="00DD046F"/>
    <w:rsid w:val="00DD05FF"/>
    <w:rsid w:val="00DD07D7"/>
    <w:rsid w:val="00DD09F4"/>
    <w:rsid w:val="00DD0C2F"/>
    <w:rsid w:val="00DD0D26"/>
    <w:rsid w:val="00DD0D59"/>
    <w:rsid w:val="00DD1038"/>
    <w:rsid w:val="00DD123E"/>
    <w:rsid w:val="00DD1350"/>
    <w:rsid w:val="00DD149B"/>
    <w:rsid w:val="00DD153C"/>
    <w:rsid w:val="00DD165A"/>
    <w:rsid w:val="00DD1852"/>
    <w:rsid w:val="00DD185F"/>
    <w:rsid w:val="00DD1BC5"/>
    <w:rsid w:val="00DD1BE9"/>
    <w:rsid w:val="00DD1C63"/>
    <w:rsid w:val="00DD1EC8"/>
    <w:rsid w:val="00DD205C"/>
    <w:rsid w:val="00DD2159"/>
    <w:rsid w:val="00DD23DB"/>
    <w:rsid w:val="00DD25E2"/>
    <w:rsid w:val="00DD2678"/>
    <w:rsid w:val="00DD274E"/>
    <w:rsid w:val="00DD2772"/>
    <w:rsid w:val="00DD2796"/>
    <w:rsid w:val="00DD298B"/>
    <w:rsid w:val="00DD2B7C"/>
    <w:rsid w:val="00DD2CE4"/>
    <w:rsid w:val="00DD31A8"/>
    <w:rsid w:val="00DD31DD"/>
    <w:rsid w:val="00DD3220"/>
    <w:rsid w:val="00DD3270"/>
    <w:rsid w:val="00DD32B8"/>
    <w:rsid w:val="00DD33A4"/>
    <w:rsid w:val="00DD3699"/>
    <w:rsid w:val="00DD3780"/>
    <w:rsid w:val="00DD3A8B"/>
    <w:rsid w:val="00DD3DF8"/>
    <w:rsid w:val="00DD43F2"/>
    <w:rsid w:val="00DD43FB"/>
    <w:rsid w:val="00DD4575"/>
    <w:rsid w:val="00DD475C"/>
    <w:rsid w:val="00DD4795"/>
    <w:rsid w:val="00DD494D"/>
    <w:rsid w:val="00DD4B21"/>
    <w:rsid w:val="00DD4D6F"/>
    <w:rsid w:val="00DD4F14"/>
    <w:rsid w:val="00DD4FDF"/>
    <w:rsid w:val="00DD5042"/>
    <w:rsid w:val="00DD599B"/>
    <w:rsid w:val="00DD59B5"/>
    <w:rsid w:val="00DD5B0E"/>
    <w:rsid w:val="00DD5B94"/>
    <w:rsid w:val="00DD5CF7"/>
    <w:rsid w:val="00DD5D15"/>
    <w:rsid w:val="00DD61B5"/>
    <w:rsid w:val="00DD634F"/>
    <w:rsid w:val="00DD63F4"/>
    <w:rsid w:val="00DD67B1"/>
    <w:rsid w:val="00DD681A"/>
    <w:rsid w:val="00DD6844"/>
    <w:rsid w:val="00DD6882"/>
    <w:rsid w:val="00DD68B0"/>
    <w:rsid w:val="00DD6A2B"/>
    <w:rsid w:val="00DD6D29"/>
    <w:rsid w:val="00DD6D8E"/>
    <w:rsid w:val="00DD6E63"/>
    <w:rsid w:val="00DD6F52"/>
    <w:rsid w:val="00DD71FF"/>
    <w:rsid w:val="00DD7534"/>
    <w:rsid w:val="00DD75D3"/>
    <w:rsid w:val="00DD76B9"/>
    <w:rsid w:val="00DD77D0"/>
    <w:rsid w:val="00DD78A4"/>
    <w:rsid w:val="00DD78BE"/>
    <w:rsid w:val="00DD7A7D"/>
    <w:rsid w:val="00DD7B99"/>
    <w:rsid w:val="00DD7C69"/>
    <w:rsid w:val="00DD7CA8"/>
    <w:rsid w:val="00DD7DDC"/>
    <w:rsid w:val="00DD7F11"/>
    <w:rsid w:val="00DD7F99"/>
    <w:rsid w:val="00DE00B0"/>
    <w:rsid w:val="00DE02EC"/>
    <w:rsid w:val="00DE0427"/>
    <w:rsid w:val="00DE043F"/>
    <w:rsid w:val="00DE04E4"/>
    <w:rsid w:val="00DE0772"/>
    <w:rsid w:val="00DE08D3"/>
    <w:rsid w:val="00DE09AC"/>
    <w:rsid w:val="00DE0A48"/>
    <w:rsid w:val="00DE0ABF"/>
    <w:rsid w:val="00DE0BB3"/>
    <w:rsid w:val="00DE0CBE"/>
    <w:rsid w:val="00DE0F5C"/>
    <w:rsid w:val="00DE1077"/>
    <w:rsid w:val="00DE1107"/>
    <w:rsid w:val="00DE12CA"/>
    <w:rsid w:val="00DE1372"/>
    <w:rsid w:val="00DE13A2"/>
    <w:rsid w:val="00DE14C8"/>
    <w:rsid w:val="00DE14E7"/>
    <w:rsid w:val="00DE1606"/>
    <w:rsid w:val="00DE16C8"/>
    <w:rsid w:val="00DE19A7"/>
    <w:rsid w:val="00DE1C52"/>
    <w:rsid w:val="00DE1CEB"/>
    <w:rsid w:val="00DE1D32"/>
    <w:rsid w:val="00DE1D50"/>
    <w:rsid w:val="00DE1F7F"/>
    <w:rsid w:val="00DE2081"/>
    <w:rsid w:val="00DE217C"/>
    <w:rsid w:val="00DE21D9"/>
    <w:rsid w:val="00DE2684"/>
    <w:rsid w:val="00DE26D7"/>
    <w:rsid w:val="00DE2BC6"/>
    <w:rsid w:val="00DE2E40"/>
    <w:rsid w:val="00DE2F50"/>
    <w:rsid w:val="00DE2FD5"/>
    <w:rsid w:val="00DE3016"/>
    <w:rsid w:val="00DE3373"/>
    <w:rsid w:val="00DE35E0"/>
    <w:rsid w:val="00DE3657"/>
    <w:rsid w:val="00DE37A2"/>
    <w:rsid w:val="00DE37BA"/>
    <w:rsid w:val="00DE37C3"/>
    <w:rsid w:val="00DE3C58"/>
    <w:rsid w:val="00DE3E89"/>
    <w:rsid w:val="00DE40A6"/>
    <w:rsid w:val="00DE40EC"/>
    <w:rsid w:val="00DE4130"/>
    <w:rsid w:val="00DE42C6"/>
    <w:rsid w:val="00DE4311"/>
    <w:rsid w:val="00DE4334"/>
    <w:rsid w:val="00DE442A"/>
    <w:rsid w:val="00DE45CC"/>
    <w:rsid w:val="00DE45D2"/>
    <w:rsid w:val="00DE4976"/>
    <w:rsid w:val="00DE4C3A"/>
    <w:rsid w:val="00DE4CD8"/>
    <w:rsid w:val="00DE4F4E"/>
    <w:rsid w:val="00DE5036"/>
    <w:rsid w:val="00DE50B2"/>
    <w:rsid w:val="00DE5266"/>
    <w:rsid w:val="00DE542D"/>
    <w:rsid w:val="00DE54C6"/>
    <w:rsid w:val="00DE5548"/>
    <w:rsid w:val="00DE55B4"/>
    <w:rsid w:val="00DE5704"/>
    <w:rsid w:val="00DE5923"/>
    <w:rsid w:val="00DE5962"/>
    <w:rsid w:val="00DE5C1A"/>
    <w:rsid w:val="00DE5C9D"/>
    <w:rsid w:val="00DE5FDE"/>
    <w:rsid w:val="00DE601E"/>
    <w:rsid w:val="00DE619B"/>
    <w:rsid w:val="00DE64F4"/>
    <w:rsid w:val="00DE67A4"/>
    <w:rsid w:val="00DE6A1A"/>
    <w:rsid w:val="00DE6B11"/>
    <w:rsid w:val="00DE6D18"/>
    <w:rsid w:val="00DE721F"/>
    <w:rsid w:val="00DE7229"/>
    <w:rsid w:val="00DE724F"/>
    <w:rsid w:val="00DE732E"/>
    <w:rsid w:val="00DE733B"/>
    <w:rsid w:val="00DE7494"/>
    <w:rsid w:val="00DE76BE"/>
    <w:rsid w:val="00DE7708"/>
    <w:rsid w:val="00DE77AD"/>
    <w:rsid w:val="00DF00CA"/>
    <w:rsid w:val="00DF0193"/>
    <w:rsid w:val="00DF03BB"/>
    <w:rsid w:val="00DF03DC"/>
    <w:rsid w:val="00DF0448"/>
    <w:rsid w:val="00DF053B"/>
    <w:rsid w:val="00DF0636"/>
    <w:rsid w:val="00DF08D1"/>
    <w:rsid w:val="00DF0B88"/>
    <w:rsid w:val="00DF0BAD"/>
    <w:rsid w:val="00DF0BB1"/>
    <w:rsid w:val="00DF0CC2"/>
    <w:rsid w:val="00DF0EC1"/>
    <w:rsid w:val="00DF0F8F"/>
    <w:rsid w:val="00DF1064"/>
    <w:rsid w:val="00DF1215"/>
    <w:rsid w:val="00DF1224"/>
    <w:rsid w:val="00DF139F"/>
    <w:rsid w:val="00DF13AC"/>
    <w:rsid w:val="00DF14D3"/>
    <w:rsid w:val="00DF1A71"/>
    <w:rsid w:val="00DF1AF0"/>
    <w:rsid w:val="00DF1FC8"/>
    <w:rsid w:val="00DF1FF8"/>
    <w:rsid w:val="00DF218F"/>
    <w:rsid w:val="00DF21AF"/>
    <w:rsid w:val="00DF23AC"/>
    <w:rsid w:val="00DF2421"/>
    <w:rsid w:val="00DF27FF"/>
    <w:rsid w:val="00DF2B3C"/>
    <w:rsid w:val="00DF2D81"/>
    <w:rsid w:val="00DF3226"/>
    <w:rsid w:val="00DF34FF"/>
    <w:rsid w:val="00DF364C"/>
    <w:rsid w:val="00DF3923"/>
    <w:rsid w:val="00DF39AE"/>
    <w:rsid w:val="00DF39E0"/>
    <w:rsid w:val="00DF3D92"/>
    <w:rsid w:val="00DF3F0C"/>
    <w:rsid w:val="00DF3F2D"/>
    <w:rsid w:val="00DF3FDF"/>
    <w:rsid w:val="00DF44EF"/>
    <w:rsid w:val="00DF4589"/>
    <w:rsid w:val="00DF4757"/>
    <w:rsid w:val="00DF4929"/>
    <w:rsid w:val="00DF496B"/>
    <w:rsid w:val="00DF4ACF"/>
    <w:rsid w:val="00DF4C24"/>
    <w:rsid w:val="00DF4C50"/>
    <w:rsid w:val="00DF4D27"/>
    <w:rsid w:val="00DF4D37"/>
    <w:rsid w:val="00DF50EF"/>
    <w:rsid w:val="00DF5166"/>
    <w:rsid w:val="00DF531E"/>
    <w:rsid w:val="00DF5377"/>
    <w:rsid w:val="00DF53BE"/>
    <w:rsid w:val="00DF5AB3"/>
    <w:rsid w:val="00DF5E71"/>
    <w:rsid w:val="00DF5FF7"/>
    <w:rsid w:val="00DF605D"/>
    <w:rsid w:val="00DF6527"/>
    <w:rsid w:val="00DF66C1"/>
    <w:rsid w:val="00DF66EE"/>
    <w:rsid w:val="00DF6808"/>
    <w:rsid w:val="00DF68B6"/>
    <w:rsid w:val="00DF6CA6"/>
    <w:rsid w:val="00DF6F06"/>
    <w:rsid w:val="00DF709B"/>
    <w:rsid w:val="00DF72F0"/>
    <w:rsid w:val="00DF7339"/>
    <w:rsid w:val="00DF7376"/>
    <w:rsid w:val="00DF776F"/>
    <w:rsid w:val="00DF7832"/>
    <w:rsid w:val="00DF78CA"/>
    <w:rsid w:val="00DF796A"/>
    <w:rsid w:val="00DF7A60"/>
    <w:rsid w:val="00DF7A93"/>
    <w:rsid w:val="00DF7AA1"/>
    <w:rsid w:val="00DF7B4C"/>
    <w:rsid w:val="00DF7C44"/>
    <w:rsid w:val="00E00005"/>
    <w:rsid w:val="00E00192"/>
    <w:rsid w:val="00E0040A"/>
    <w:rsid w:val="00E0042A"/>
    <w:rsid w:val="00E004AD"/>
    <w:rsid w:val="00E006A3"/>
    <w:rsid w:val="00E00BF7"/>
    <w:rsid w:val="00E00D0E"/>
    <w:rsid w:val="00E00DD3"/>
    <w:rsid w:val="00E00E31"/>
    <w:rsid w:val="00E00F73"/>
    <w:rsid w:val="00E00FDC"/>
    <w:rsid w:val="00E01023"/>
    <w:rsid w:val="00E011A3"/>
    <w:rsid w:val="00E01407"/>
    <w:rsid w:val="00E0149B"/>
    <w:rsid w:val="00E01508"/>
    <w:rsid w:val="00E01681"/>
    <w:rsid w:val="00E01777"/>
    <w:rsid w:val="00E0177C"/>
    <w:rsid w:val="00E018A7"/>
    <w:rsid w:val="00E01C52"/>
    <w:rsid w:val="00E01C86"/>
    <w:rsid w:val="00E01FBE"/>
    <w:rsid w:val="00E01FE5"/>
    <w:rsid w:val="00E020DA"/>
    <w:rsid w:val="00E024FB"/>
    <w:rsid w:val="00E02572"/>
    <w:rsid w:val="00E026CD"/>
    <w:rsid w:val="00E02B8D"/>
    <w:rsid w:val="00E02BA4"/>
    <w:rsid w:val="00E02E63"/>
    <w:rsid w:val="00E02ECC"/>
    <w:rsid w:val="00E0311B"/>
    <w:rsid w:val="00E032D4"/>
    <w:rsid w:val="00E032E6"/>
    <w:rsid w:val="00E0351F"/>
    <w:rsid w:val="00E035AE"/>
    <w:rsid w:val="00E037CC"/>
    <w:rsid w:val="00E03B7A"/>
    <w:rsid w:val="00E03BE2"/>
    <w:rsid w:val="00E03CC6"/>
    <w:rsid w:val="00E03DC4"/>
    <w:rsid w:val="00E04134"/>
    <w:rsid w:val="00E04169"/>
    <w:rsid w:val="00E042B7"/>
    <w:rsid w:val="00E04344"/>
    <w:rsid w:val="00E04612"/>
    <w:rsid w:val="00E0493D"/>
    <w:rsid w:val="00E04C30"/>
    <w:rsid w:val="00E04C4D"/>
    <w:rsid w:val="00E04EAC"/>
    <w:rsid w:val="00E04FD2"/>
    <w:rsid w:val="00E05030"/>
    <w:rsid w:val="00E05058"/>
    <w:rsid w:val="00E0507D"/>
    <w:rsid w:val="00E05328"/>
    <w:rsid w:val="00E05448"/>
    <w:rsid w:val="00E056A1"/>
    <w:rsid w:val="00E05D33"/>
    <w:rsid w:val="00E05F73"/>
    <w:rsid w:val="00E0615A"/>
    <w:rsid w:val="00E06255"/>
    <w:rsid w:val="00E06265"/>
    <w:rsid w:val="00E06755"/>
    <w:rsid w:val="00E06922"/>
    <w:rsid w:val="00E06938"/>
    <w:rsid w:val="00E06C37"/>
    <w:rsid w:val="00E06C4A"/>
    <w:rsid w:val="00E06C4B"/>
    <w:rsid w:val="00E06C70"/>
    <w:rsid w:val="00E06D75"/>
    <w:rsid w:val="00E06FCD"/>
    <w:rsid w:val="00E070CA"/>
    <w:rsid w:val="00E074CA"/>
    <w:rsid w:val="00E077F1"/>
    <w:rsid w:val="00E0783F"/>
    <w:rsid w:val="00E07847"/>
    <w:rsid w:val="00E07E3B"/>
    <w:rsid w:val="00E07FC8"/>
    <w:rsid w:val="00E100BC"/>
    <w:rsid w:val="00E104D6"/>
    <w:rsid w:val="00E105B2"/>
    <w:rsid w:val="00E1067D"/>
    <w:rsid w:val="00E10782"/>
    <w:rsid w:val="00E1081B"/>
    <w:rsid w:val="00E10951"/>
    <w:rsid w:val="00E10981"/>
    <w:rsid w:val="00E10D28"/>
    <w:rsid w:val="00E10D59"/>
    <w:rsid w:val="00E10ECC"/>
    <w:rsid w:val="00E1115D"/>
    <w:rsid w:val="00E1123F"/>
    <w:rsid w:val="00E112EB"/>
    <w:rsid w:val="00E113E5"/>
    <w:rsid w:val="00E1162D"/>
    <w:rsid w:val="00E11BED"/>
    <w:rsid w:val="00E11C9D"/>
    <w:rsid w:val="00E11F0F"/>
    <w:rsid w:val="00E11F38"/>
    <w:rsid w:val="00E11F43"/>
    <w:rsid w:val="00E12323"/>
    <w:rsid w:val="00E124D9"/>
    <w:rsid w:val="00E1262C"/>
    <w:rsid w:val="00E128F8"/>
    <w:rsid w:val="00E12B91"/>
    <w:rsid w:val="00E12F69"/>
    <w:rsid w:val="00E130E0"/>
    <w:rsid w:val="00E130F4"/>
    <w:rsid w:val="00E132AF"/>
    <w:rsid w:val="00E135FD"/>
    <w:rsid w:val="00E13605"/>
    <w:rsid w:val="00E138DC"/>
    <w:rsid w:val="00E13B43"/>
    <w:rsid w:val="00E13B45"/>
    <w:rsid w:val="00E13C3B"/>
    <w:rsid w:val="00E13D14"/>
    <w:rsid w:val="00E13D53"/>
    <w:rsid w:val="00E13F1D"/>
    <w:rsid w:val="00E1400C"/>
    <w:rsid w:val="00E1403A"/>
    <w:rsid w:val="00E1419E"/>
    <w:rsid w:val="00E14237"/>
    <w:rsid w:val="00E142EB"/>
    <w:rsid w:val="00E14319"/>
    <w:rsid w:val="00E144B8"/>
    <w:rsid w:val="00E14642"/>
    <w:rsid w:val="00E14974"/>
    <w:rsid w:val="00E14B1E"/>
    <w:rsid w:val="00E14B76"/>
    <w:rsid w:val="00E14D58"/>
    <w:rsid w:val="00E15071"/>
    <w:rsid w:val="00E150AC"/>
    <w:rsid w:val="00E15348"/>
    <w:rsid w:val="00E15788"/>
    <w:rsid w:val="00E15850"/>
    <w:rsid w:val="00E15DAB"/>
    <w:rsid w:val="00E162FF"/>
    <w:rsid w:val="00E163D6"/>
    <w:rsid w:val="00E1640E"/>
    <w:rsid w:val="00E165EC"/>
    <w:rsid w:val="00E166C9"/>
    <w:rsid w:val="00E167E3"/>
    <w:rsid w:val="00E16AB9"/>
    <w:rsid w:val="00E16BF0"/>
    <w:rsid w:val="00E16C4D"/>
    <w:rsid w:val="00E16CC9"/>
    <w:rsid w:val="00E16D74"/>
    <w:rsid w:val="00E16DAC"/>
    <w:rsid w:val="00E16F38"/>
    <w:rsid w:val="00E17219"/>
    <w:rsid w:val="00E17361"/>
    <w:rsid w:val="00E1736F"/>
    <w:rsid w:val="00E1773D"/>
    <w:rsid w:val="00E1797F"/>
    <w:rsid w:val="00E17B95"/>
    <w:rsid w:val="00E17C01"/>
    <w:rsid w:val="00E17E6F"/>
    <w:rsid w:val="00E20982"/>
    <w:rsid w:val="00E20CA1"/>
    <w:rsid w:val="00E20D68"/>
    <w:rsid w:val="00E20D79"/>
    <w:rsid w:val="00E20DAF"/>
    <w:rsid w:val="00E20E07"/>
    <w:rsid w:val="00E21190"/>
    <w:rsid w:val="00E211A7"/>
    <w:rsid w:val="00E211C1"/>
    <w:rsid w:val="00E2131D"/>
    <w:rsid w:val="00E2134E"/>
    <w:rsid w:val="00E214BF"/>
    <w:rsid w:val="00E217F6"/>
    <w:rsid w:val="00E21BFF"/>
    <w:rsid w:val="00E22001"/>
    <w:rsid w:val="00E22143"/>
    <w:rsid w:val="00E22238"/>
    <w:rsid w:val="00E222C3"/>
    <w:rsid w:val="00E223DE"/>
    <w:rsid w:val="00E2250C"/>
    <w:rsid w:val="00E225A1"/>
    <w:rsid w:val="00E22662"/>
    <w:rsid w:val="00E22752"/>
    <w:rsid w:val="00E22B14"/>
    <w:rsid w:val="00E22B75"/>
    <w:rsid w:val="00E22CAC"/>
    <w:rsid w:val="00E22F47"/>
    <w:rsid w:val="00E22FAC"/>
    <w:rsid w:val="00E2306B"/>
    <w:rsid w:val="00E23449"/>
    <w:rsid w:val="00E2358C"/>
    <w:rsid w:val="00E2383C"/>
    <w:rsid w:val="00E23959"/>
    <w:rsid w:val="00E23C4C"/>
    <w:rsid w:val="00E245EA"/>
    <w:rsid w:val="00E24AEB"/>
    <w:rsid w:val="00E24CC1"/>
    <w:rsid w:val="00E24E47"/>
    <w:rsid w:val="00E25017"/>
    <w:rsid w:val="00E2502C"/>
    <w:rsid w:val="00E250F9"/>
    <w:rsid w:val="00E252FB"/>
    <w:rsid w:val="00E25673"/>
    <w:rsid w:val="00E25702"/>
    <w:rsid w:val="00E25720"/>
    <w:rsid w:val="00E25B1E"/>
    <w:rsid w:val="00E25C8A"/>
    <w:rsid w:val="00E2639C"/>
    <w:rsid w:val="00E26401"/>
    <w:rsid w:val="00E264E8"/>
    <w:rsid w:val="00E267F1"/>
    <w:rsid w:val="00E26FCC"/>
    <w:rsid w:val="00E26FDB"/>
    <w:rsid w:val="00E27130"/>
    <w:rsid w:val="00E27187"/>
    <w:rsid w:val="00E27355"/>
    <w:rsid w:val="00E2775E"/>
    <w:rsid w:val="00E278AE"/>
    <w:rsid w:val="00E3015A"/>
    <w:rsid w:val="00E301BB"/>
    <w:rsid w:val="00E30229"/>
    <w:rsid w:val="00E3022D"/>
    <w:rsid w:val="00E30244"/>
    <w:rsid w:val="00E3025D"/>
    <w:rsid w:val="00E30667"/>
    <w:rsid w:val="00E3070F"/>
    <w:rsid w:val="00E30745"/>
    <w:rsid w:val="00E3076B"/>
    <w:rsid w:val="00E30AE8"/>
    <w:rsid w:val="00E30B78"/>
    <w:rsid w:val="00E30BB4"/>
    <w:rsid w:val="00E30EA2"/>
    <w:rsid w:val="00E3121F"/>
    <w:rsid w:val="00E3125E"/>
    <w:rsid w:val="00E3132F"/>
    <w:rsid w:val="00E315CB"/>
    <w:rsid w:val="00E3175C"/>
    <w:rsid w:val="00E317D0"/>
    <w:rsid w:val="00E317D5"/>
    <w:rsid w:val="00E31966"/>
    <w:rsid w:val="00E32090"/>
    <w:rsid w:val="00E320BB"/>
    <w:rsid w:val="00E320D9"/>
    <w:rsid w:val="00E321A4"/>
    <w:rsid w:val="00E322D8"/>
    <w:rsid w:val="00E322E4"/>
    <w:rsid w:val="00E326ED"/>
    <w:rsid w:val="00E3290B"/>
    <w:rsid w:val="00E32DBD"/>
    <w:rsid w:val="00E32E81"/>
    <w:rsid w:val="00E32EE0"/>
    <w:rsid w:val="00E32EFD"/>
    <w:rsid w:val="00E32FA2"/>
    <w:rsid w:val="00E33065"/>
    <w:rsid w:val="00E3313C"/>
    <w:rsid w:val="00E331E9"/>
    <w:rsid w:val="00E332C6"/>
    <w:rsid w:val="00E33425"/>
    <w:rsid w:val="00E33790"/>
    <w:rsid w:val="00E337C3"/>
    <w:rsid w:val="00E3389F"/>
    <w:rsid w:val="00E33B87"/>
    <w:rsid w:val="00E33E64"/>
    <w:rsid w:val="00E33E67"/>
    <w:rsid w:val="00E33FC3"/>
    <w:rsid w:val="00E34021"/>
    <w:rsid w:val="00E3445C"/>
    <w:rsid w:val="00E3451A"/>
    <w:rsid w:val="00E345CD"/>
    <w:rsid w:val="00E34842"/>
    <w:rsid w:val="00E34868"/>
    <w:rsid w:val="00E3499E"/>
    <w:rsid w:val="00E34AB3"/>
    <w:rsid w:val="00E34AD3"/>
    <w:rsid w:val="00E34E31"/>
    <w:rsid w:val="00E34E87"/>
    <w:rsid w:val="00E34EC6"/>
    <w:rsid w:val="00E34EFE"/>
    <w:rsid w:val="00E35441"/>
    <w:rsid w:val="00E35992"/>
    <w:rsid w:val="00E35B38"/>
    <w:rsid w:val="00E35B58"/>
    <w:rsid w:val="00E35E9C"/>
    <w:rsid w:val="00E35FE6"/>
    <w:rsid w:val="00E3624E"/>
    <w:rsid w:val="00E364E6"/>
    <w:rsid w:val="00E3688C"/>
    <w:rsid w:val="00E36CEA"/>
    <w:rsid w:val="00E36EE8"/>
    <w:rsid w:val="00E376D2"/>
    <w:rsid w:val="00E377BA"/>
    <w:rsid w:val="00E378EE"/>
    <w:rsid w:val="00E3794D"/>
    <w:rsid w:val="00E37D46"/>
    <w:rsid w:val="00E37DFD"/>
    <w:rsid w:val="00E37E71"/>
    <w:rsid w:val="00E40122"/>
    <w:rsid w:val="00E4022D"/>
    <w:rsid w:val="00E40287"/>
    <w:rsid w:val="00E404EE"/>
    <w:rsid w:val="00E4051F"/>
    <w:rsid w:val="00E4059E"/>
    <w:rsid w:val="00E40790"/>
    <w:rsid w:val="00E4093E"/>
    <w:rsid w:val="00E40A7D"/>
    <w:rsid w:val="00E40AE3"/>
    <w:rsid w:val="00E40B42"/>
    <w:rsid w:val="00E40C49"/>
    <w:rsid w:val="00E40CF7"/>
    <w:rsid w:val="00E40D2E"/>
    <w:rsid w:val="00E40D43"/>
    <w:rsid w:val="00E40E8C"/>
    <w:rsid w:val="00E41295"/>
    <w:rsid w:val="00E4154A"/>
    <w:rsid w:val="00E41684"/>
    <w:rsid w:val="00E416B7"/>
    <w:rsid w:val="00E4178B"/>
    <w:rsid w:val="00E41968"/>
    <w:rsid w:val="00E419C5"/>
    <w:rsid w:val="00E41C82"/>
    <w:rsid w:val="00E41CD4"/>
    <w:rsid w:val="00E41D2C"/>
    <w:rsid w:val="00E41F1B"/>
    <w:rsid w:val="00E4207B"/>
    <w:rsid w:val="00E426EC"/>
    <w:rsid w:val="00E42824"/>
    <w:rsid w:val="00E42946"/>
    <w:rsid w:val="00E42A62"/>
    <w:rsid w:val="00E42C00"/>
    <w:rsid w:val="00E42E0D"/>
    <w:rsid w:val="00E42E30"/>
    <w:rsid w:val="00E42EC2"/>
    <w:rsid w:val="00E42F18"/>
    <w:rsid w:val="00E4337C"/>
    <w:rsid w:val="00E435DB"/>
    <w:rsid w:val="00E439B9"/>
    <w:rsid w:val="00E43A1E"/>
    <w:rsid w:val="00E43B5C"/>
    <w:rsid w:val="00E43BCC"/>
    <w:rsid w:val="00E43C84"/>
    <w:rsid w:val="00E43D58"/>
    <w:rsid w:val="00E43E6E"/>
    <w:rsid w:val="00E43F01"/>
    <w:rsid w:val="00E4404A"/>
    <w:rsid w:val="00E44100"/>
    <w:rsid w:val="00E44253"/>
    <w:rsid w:val="00E4431E"/>
    <w:rsid w:val="00E443E9"/>
    <w:rsid w:val="00E44531"/>
    <w:rsid w:val="00E44731"/>
    <w:rsid w:val="00E4479A"/>
    <w:rsid w:val="00E44AA8"/>
    <w:rsid w:val="00E44BF9"/>
    <w:rsid w:val="00E451F9"/>
    <w:rsid w:val="00E45366"/>
    <w:rsid w:val="00E4549A"/>
    <w:rsid w:val="00E45509"/>
    <w:rsid w:val="00E4565A"/>
    <w:rsid w:val="00E45C50"/>
    <w:rsid w:val="00E45C83"/>
    <w:rsid w:val="00E45D3B"/>
    <w:rsid w:val="00E45D5B"/>
    <w:rsid w:val="00E45D96"/>
    <w:rsid w:val="00E45DEA"/>
    <w:rsid w:val="00E45E12"/>
    <w:rsid w:val="00E45F31"/>
    <w:rsid w:val="00E4610F"/>
    <w:rsid w:val="00E462A1"/>
    <w:rsid w:val="00E46642"/>
    <w:rsid w:val="00E467E4"/>
    <w:rsid w:val="00E468DF"/>
    <w:rsid w:val="00E46B05"/>
    <w:rsid w:val="00E46B19"/>
    <w:rsid w:val="00E46BBD"/>
    <w:rsid w:val="00E46D5B"/>
    <w:rsid w:val="00E46E1F"/>
    <w:rsid w:val="00E46ED8"/>
    <w:rsid w:val="00E46F73"/>
    <w:rsid w:val="00E4714C"/>
    <w:rsid w:val="00E471A9"/>
    <w:rsid w:val="00E474D3"/>
    <w:rsid w:val="00E47596"/>
    <w:rsid w:val="00E4765E"/>
    <w:rsid w:val="00E47863"/>
    <w:rsid w:val="00E47ADD"/>
    <w:rsid w:val="00E47B62"/>
    <w:rsid w:val="00E47CB5"/>
    <w:rsid w:val="00E47F72"/>
    <w:rsid w:val="00E50000"/>
    <w:rsid w:val="00E5019C"/>
    <w:rsid w:val="00E50654"/>
    <w:rsid w:val="00E506DB"/>
    <w:rsid w:val="00E5084B"/>
    <w:rsid w:val="00E50869"/>
    <w:rsid w:val="00E5086E"/>
    <w:rsid w:val="00E5090E"/>
    <w:rsid w:val="00E5097A"/>
    <w:rsid w:val="00E50A05"/>
    <w:rsid w:val="00E50A1C"/>
    <w:rsid w:val="00E50A8A"/>
    <w:rsid w:val="00E50CB8"/>
    <w:rsid w:val="00E50CDF"/>
    <w:rsid w:val="00E50E66"/>
    <w:rsid w:val="00E51166"/>
    <w:rsid w:val="00E5117A"/>
    <w:rsid w:val="00E5117D"/>
    <w:rsid w:val="00E511E4"/>
    <w:rsid w:val="00E51240"/>
    <w:rsid w:val="00E51246"/>
    <w:rsid w:val="00E51C9E"/>
    <w:rsid w:val="00E51EC8"/>
    <w:rsid w:val="00E520E8"/>
    <w:rsid w:val="00E52268"/>
    <w:rsid w:val="00E5251B"/>
    <w:rsid w:val="00E5254D"/>
    <w:rsid w:val="00E52567"/>
    <w:rsid w:val="00E529A4"/>
    <w:rsid w:val="00E52F90"/>
    <w:rsid w:val="00E5303D"/>
    <w:rsid w:val="00E53221"/>
    <w:rsid w:val="00E53712"/>
    <w:rsid w:val="00E53A00"/>
    <w:rsid w:val="00E53A7F"/>
    <w:rsid w:val="00E53C47"/>
    <w:rsid w:val="00E53CEC"/>
    <w:rsid w:val="00E53F2C"/>
    <w:rsid w:val="00E53F6F"/>
    <w:rsid w:val="00E53FF2"/>
    <w:rsid w:val="00E544A3"/>
    <w:rsid w:val="00E54722"/>
    <w:rsid w:val="00E54864"/>
    <w:rsid w:val="00E548FF"/>
    <w:rsid w:val="00E549DC"/>
    <w:rsid w:val="00E54A9C"/>
    <w:rsid w:val="00E54AA6"/>
    <w:rsid w:val="00E54B6B"/>
    <w:rsid w:val="00E54DEA"/>
    <w:rsid w:val="00E54EB2"/>
    <w:rsid w:val="00E54ECF"/>
    <w:rsid w:val="00E550EF"/>
    <w:rsid w:val="00E55249"/>
    <w:rsid w:val="00E55270"/>
    <w:rsid w:val="00E55413"/>
    <w:rsid w:val="00E55452"/>
    <w:rsid w:val="00E5586A"/>
    <w:rsid w:val="00E55A83"/>
    <w:rsid w:val="00E55B73"/>
    <w:rsid w:val="00E55CD7"/>
    <w:rsid w:val="00E55E02"/>
    <w:rsid w:val="00E56094"/>
    <w:rsid w:val="00E56320"/>
    <w:rsid w:val="00E56444"/>
    <w:rsid w:val="00E56446"/>
    <w:rsid w:val="00E5646C"/>
    <w:rsid w:val="00E565F0"/>
    <w:rsid w:val="00E565F3"/>
    <w:rsid w:val="00E56694"/>
    <w:rsid w:val="00E56F08"/>
    <w:rsid w:val="00E56FB3"/>
    <w:rsid w:val="00E57078"/>
    <w:rsid w:val="00E57187"/>
    <w:rsid w:val="00E572B7"/>
    <w:rsid w:val="00E574DB"/>
    <w:rsid w:val="00E576B2"/>
    <w:rsid w:val="00E577EA"/>
    <w:rsid w:val="00E57815"/>
    <w:rsid w:val="00E57A37"/>
    <w:rsid w:val="00E57C19"/>
    <w:rsid w:val="00E6002B"/>
    <w:rsid w:val="00E60333"/>
    <w:rsid w:val="00E60491"/>
    <w:rsid w:val="00E6058D"/>
    <w:rsid w:val="00E60664"/>
    <w:rsid w:val="00E607AE"/>
    <w:rsid w:val="00E60AAD"/>
    <w:rsid w:val="00E610B3"/>
    <w:rsid w:val="00E6151E"/>
    <w:rsid w:val="00E61663"/>
    <w:rsid w:val="00E61846"/>
    <w:rsid w:val="00E61A01"/>
    <w:rsid w:val="00E61B24"/>
    <w:rsid w:val="00E61B78"/>
    <w:rsid w:val="00E61D3F"/>
    <w:rsid w:val="00E62029"/>
    <w:rsid w:val="00E62357"/>
    <w:rsid w:val="00E624B1"/>
    <w:rsid w:val="00E626C6"/>
    <w:rsid w:val="00E62A48"/>
    <w:rsid w:val="00E62EB1"/>
    <w:rsid w:val="00E63429"/>
    <w:rsid w:val="00E6346A"/>
    <w:rsid w:val="00E6364E"/>
    <w:rsid w:val="00E63676"/>
    <w:rsid w:val="00E63A92"/>
    <w:rsid w:val="00E63B9D"/>
    <w:rsid w:val="00E63E20"/>
    <w:rsid w:val="00E63F1B"/>
    <w:rsid w:val="00E640C1"/>
    <w:rsid w:val="00E64528"/>
    <w:rsid w:val="00E64877"/>
    <w:rsid w:val="00E64B64"/>
    <w:rsid w:val="00E64DD0"/>
    <w:rsid w:val="00E64EA7"/>
    <w:rsid w:val="00E651BB"/>
    <w:rsid w:val="00E65539"/>
    <w:rsid w:val="00E65555"/>
    <w:rsid w:val="00E65564"/>
    <w:rsid w:val="00E655C8"/>
    <w:rsid w:val="00E6579A"/>
    <w:rsid w:val="00E65976"/>
    <w:rsid w:val="00E65AD6"/>
    <w:rsid w:val="00E65C72"/>
    <w:rsid w:val="00E65F7D"/>
    <w:rsid w:val="00E6628B"/>
    <w:rsid w:val="00E6634E"/>
    <w:rsid w:val="00E667BE"/>
    <w:rsid w:val="00E66A48"/>
    <w:rsid w:val="00E66CED"/>
    <w:rsid w:val="00E66D42"/>
    <w:rsid w:val="00E66D8D"/>
    <w:rsid w:val="00E67192"/>
    <w:rsid w:val="00E6721F"/>
    <w:rsid w:val="00E672E5"/>
    <w:rsid w:val="00E673D1"/>
    <w:rsid w:val="00E67978"/>
    <w:rsid w:val="00E67AE4"/>
    <w:rsid w:val="00E67CA2"/>
    <w:rsid w:val="00E67CCE"/>
    <w:rsid w:val="00E67F3C"/>
    <w:rsid w:val="00E701EB"/>
    <w:rsid w:val="00E704A7"/>
    <w:rsid w:val="00E70503"/>
    <w:rsid w:val="00E7055C"/>
    <w:rsid w:val="00E70657"/>
    <w:rsid w:val="00E708F6"/>
    <w:rsid w:val="00E70BF7"/>
    <w:rsid w:val="00E70D40"/>
    <w:rsid w:val="00E70D5D"/>
    <w:rsid w:val="00E70E26"/>
    <w:rsid w:val="00E71171"/>
    <w:rsid w:val="00E712F7"/>
    <w:rsid w:val="00E714CB"/>
    <w:rsid w:val="00E7188A"/>
    <w:rsid w:val="00E71C35"/>
    <w:rsid w:val="00E71C43"/>
    <w:rsid w:val="00E71F71"/>
    <w:rsid w:val="00E72062"/>
    <w:rsid w:val="00E720A6"/>
    <w:rsid w:val="00E72230"/>
    <w:rsid w:val="00E72485"/>
    <w:rsid w:val="00E724F7"/>
    <w:rsid w:val="00E725F2"/>
    <w:rsid w:val="00E72696"/>
    <w:rsid w:val="00E727D2"/>
    <w:rsid w:val="00E7287B"/>
    <w:rsid w:val="00E72C54"/>
    <w:rsid w:val="00E72CBD"/>
    <w:rsid w:val="00E72F66"/>
    <w:rsid w:val="00E7336E"/>
    <w:rsid w:val="00E73388"/>
    <w:rsid w:val="00E7372A"/>
    <w:rsid w:val="00E73780"/>
    <w:rsid w:val="00E73790"/>
    <w:rsid w:val="00E73D21"/>
    <w:rsid w:val="00E74312"/>
    <w:rsid w:val="00E743F2"/>
    <w:rsid w:val="00E744B9"/>
    <w:rsid w:val="00E744E7"/>
    <w:rsid w:val="00E74660"/>
    <w:rsid w:val="00E74760"/>
    <w:rsid w:val="00E74766"/>
    <w:rsid w:val="00E74CA5"/>
    <w:rsid w:val="00E74D02"/>
    <w:rsid w:val="00E74FA0"/>
    <w:rsid w:val="00E7524F"/>
    <w:rsid w:val="00E75661"/>
    <w:rsid w:val="00E757C1"/>
    <w:rsid w:val="00E757D5"/>
    <w:rsid w:val="00E7582F"/>
    <w:rsid w:val="00E75886"/>
    <w:rsid w:val="00E75888"/>
    <w:rsid w:val="00E759A4"/>
    <w:rsid w:val="00E759BA"/>
    <w:rsid w:val="00E75D52"/>
    <w:rsid w:val="00E75D6C"/>
    <w:rsid w:val="00E762A7"/>
    <w:rsid w:val="00E7662A"/>
    <w:rsid w:val="00E7688D"/>
    <w:rsid w:val="00E7692D"/>
    <w:rsid w:val="00E76BCB"/>
    <w:rsid w:val="00E76C20"/>
    <w:rsid w:val="00E76C50"/>
    <w:rsid w:val="00E76DD4"/>
    <w:rsid w:val="00E76DE6"/>
    <w:rsid w:val="00E76E95"/>
    <w:rsid w:val="00E77046"/>
    <w:rsid w:val="00E77148"/>
    <w:rsid w:val="00E77357"/>
    <w:rsid w:val="00E773E5"/>
    <w:rsid w:val="00E7780B"/>
    <w:rsid w:val="00E77839"/>
    <w:rsid w:val="00E77C92"/>
    <w:rsid w:val="00E77CAB"/>
    <w:rsid w:val="00E77CDA"/>
    <w:rsid w:val="00E77D66"/>
    <w:rsid w:val="00E77DE9"/>
    <w:rsid w:val="00E77EB5"/>
    <w:rsid w:val="00E802AC"/>
    <w:rsid w:val="00E80415"/>
    <w:rsid w:val="00E8048F"/>
    <w:rsid w:val="00E8049F"/>
    <w:rsid w:val="00E80851"/>
    <w:rsid w:val="00E80886"/>
    <w:rsid w:val="00E80949"/>
    <w:rsid w:val="00E813E6"/>
    <w:rsid w:val="00E815E7"/>
    <w:rsid w:val="00E81671"/>
    <w:rsid w:val="00E81A44"/>
    <w:rsid w:val="00E81B4E"/>
    <w:rsid w:val="00E821D6"/>
    <w:rsid w:val="00E8239C"/>
    <w:rsid w:val="00E8248A"/>
    <w:rsid w:val="00E82514"/>
    <w:rsid w:val="00E825BA"/>
    <w:rsid w:val="00E82811"/>
    <w:rsid w:val="00E82866"/>
    <w:rsid w:val="00E828C7"/>
    <w:rsid w:val="00E82D28"/>
    <w:rsid w:val="00E82E09"/>
    <w:rsid w:val="00E82FBE"/>
    <w:rsid w:val="00E83220"/>
    <w:rsid w:val="00E8328B"/>
    <w:rsid w:val="00E832FF"/>
    <w:rsid w:val="00E83612"/>
    <w:rsid w:val="00E83654"/>
    <w:rsid w:val="00E837C5"/>
    <w:rsid w:val="00E83A59"/>
    <w:rsid w:val="00E83DF4"/>
    <w:rsid w:val="00E83E84"/>
    <w:rsid w:val="00E8405C"/>
    <w:rsid w:val="00E84114"/>
    <w:rsid w:val="00E843FB"/>
    <w:rsid w:val="00E8446E"/>
    <w:rsid w:val="00E84672"/>
    <w:rsid w:val="00E846F6"/>
    <w:rsid w:val="00E847E8"/>
    <w:rsid w:val="00E84847"/>
    <w:rsid w:val="00E849A9"/>
    <w:rsid w:val="00E84AA6"/>
    <w:rsid w:val="00E84E7E"/>
    <w:rsid w:val="00E85087"/>
    <w:rsid w:val="00E85508"/>
    <w:rsid w:val="00E8554B"/>
    <w:rsid w:val="00E85592"/>
    <w:rsid w:val="00E856DE"/>
    <w:rsid w:val="00E85803"/>
    <w:rsid w:val="00E858D0"/>
    <w:rsid w:val="00E859E5"/>
    <w:rsid w:val="00E859F0"/>
    <w:rsid w:val="00E85AB6"/>
    <w:rsid w:val="00E85C35"/>
    <w:rsid w:val="00E85C68"/>
    <w:rsid w:val="00E85CAF"/>
    <w:rsid w:val="00E85ED9"/>
    <w:rsid w:val="00E85FA6"/>
    <w:rsid w:val="00E860C4"/>
    <w:rsid w:val="00E86169"/>
    <w:rsid w:val="00E8617F"/>
    <w:rsid w:val="00E86281"/>
    <w:rsid w:val="00E862FF"/>
    <w:rsid w:val="00E863FB"/>
    <w:rsid w:val="00E86663"/>
    <w:rsid w:val="00E866AE"/>
    <w:rsid w:val="00E86FF3"/>
    <w:rsid w:val="00E87006"/>
    <w:rsid w:val="00E87305"/>
    <w:rsid w:val="00E8737B"/>
    <w:rsid w:val="00E8762F"/>
    <w:rsid w:val="00E87766"/>
    <w:rsid w:val="00E877DD"/>
    <w:rsid w:val="00E87880"/>
    <w:rsid w:val="00E8793D"/>
    <w:rsid w:val="00E87A6C"/>
    <w:rsid w:val="00E87ACD"/>
    <w:rsid w:val="00E87C75"/>
    <w:rsid w:val="00E87DE8"/>
    <w:rsid w:val="00E87F47"/>
    <w:rsid w:val="00E90043"/>
    <w:rsid w:val="00E901C4"/>
    <w:rsid w:val="00E90314"/>
    <w:rsid w:val="00E90385"/>
    <w:rsid w:val="00E9038D"/>
    <w:rsid w:val="00E90556"/>
    <w:rsid w:val="00E905BF"/>
    <w:rsid w:val="00E90B34"/>
    <w:rsid w:val="00E90BE7"/>
    <w:rsid w:val="00E90CEF"/>
    <w:rsid w:val="00E90EED"/>
    <w:rsid w:val="00E91171"/>
    <w:rsid w:val="00E913AA"/>
    <w:rsid w:val="00E9142D"/>
    <w:rsid w:val="00E91466"/>
    <w:rsid w:val="00E9155B"/>
    <w:rsid w:val="00E9155D"/>
    <w:rsid w:val="00E91697"/>
    <w:rsid w:val="00E916C8"/>
    <w:rsid w:val="00E919C9"/>
    <w:rsid w:val="00E91AB2"/>
    <w:rsid w:val="00E91C7C"/>
    <w:rsid w:val="00E91CE5"/>
    <w:rsid w:val="00E91CEF"/>
    <w:rsid w:val="00E91EE6"/>
    <w:rsid w:val="00E91F39"/>
    <w:rsid w:val="00E91FB3"/>
    <w:rsid w:val="00E92532"/>
    <w:rsid w:val="00E9267B"/>
    <w:rsid w:val="00E92998"/>
    <w:rsid w:val="00E929AB"/>
    <w:rsid w:val="00E92B3B"/>
    <w:rsid w:val="00E92B85"/>
    <w:rsid w:val="00E92C37"/>
    <w:rsid w:val="00E92C52"/>
    <w:rsid w:val="00E92CE0"/>
    <w:rsid w:val="00E93088"/>
    <w:rsid w:val="00E930AA"/>
    <w:rsid w:val="00E93187"/>
    <w:rsid w:val="00E932BC"/>
    <w:rsid w:val="00E93338"/>
    <w:rsid w:val="00E93599"/>
    <w:rsid w:val="00E93904"/>
    <w:rsid w:val="00E93BA4"/>
    <w:rsid w:val="00E93FCF"/>
    <w:rsid w:val="00E942A8"/>
    <w:rsid w:val="00E944AD"/>
    <w:rsid w:val="00E94663"/>
    <w:rsid w:val="00E94880"/>
    <w:rsid w:val="00E94986"/>
    <w:rsid w:val="00E94A9D"/>
    <w:rsid w:val="00E94D42"/>
    <w:rsid w:val="00E94D4D"/>
    <w:rsid w:val="00E94F2F"/>
    <w:rsid w:val="00E94F95"/>
    <w:rsid w:val="00E9537B"/>
    <w:rsid w:val="00E95651"/>
    <w:rsid w:val="00E956F9"/>
    <w:rsid w:val="00E95AB9"/>
    <w:rsid w:val="00E95AC9"/>
    <w:rsid w:val="00E95C8F"/>
    <w:rsid w:val="00E95E54"/>
    <w:rsid w:val="00E95E9B"/>
    <w:rsid w:val="00E96586"/>
    <w:rsid w:val="00E9666C"/>
    <w:rsid w:val="00E966A8"/>
    <w:rsid w:val="00E96825"/>
    <w:rsid w:val="00E96A91"/>
    <w:rsid w:val="00E96A94"/>
    <w:rsid w:val="00E96D80"/>
    <w:rsid w:val="00E97468"/>
    <w:rsid w:val="00E977CF"/>
    <w:rsid w:val="00E97A61"/>
    <w:rsid w:val="00E97B2D"/>
    <w:rsid w:val="00E97FE7"/>
    <w:rsid w:val="00EA006A"/>
    <w:rsid w:val="00EA01C3"/>
    <w:rsid w:val="00EA02CB"/>
    <w:rsid w:val="00EA04BD"/>
    <w:rsid w:val="00EA0689"/>
    <w:rsid w:val="00EA0866"/>
    <w:rsid w:val="00EA0977"/>
    <w:rsid w:val="00EA0B1E"/>
    <w:rsid w:val="00EA0C01"/>
    <w:rsid w:val="00EA0CCF"/>
    <w:rsid w:val="00EA0CD0"/>
    <w:rsid w:val="00EA0DA9"/>
    <w:rsid w:val="00EA0DD1"/>
    <w:rsid w:val="00EA0E45"/>
    <w:rsid w:val="00EA0FDA"/>
    <w:rsid w:val="00EA1190"/>
    <w:rsid w:val="00EA13F0"/>
    <w:rsid w:val="00EA19D6"/>
    <w:rsid w:val="00EA1C5F"/>
    <w:rsid w:val="00EA1C83"/>
    <w:rsid w:val="00EA1E7E"/>
    <w:rsid w:val="00EA1EA5"/>
    <w:rsid w:val="00EA1EC9"/>
    <w:rsid w:val="00EA1FE8"/>
    <w:rsid w:val="00EA23E4"/>
    <w:rsid w:val="00EA242C"/>
    <w:rsid w:val="00EA24F4"/>
    <w:rsid w:val="00EA250C"/>
    <w:rsid w:val="00EA2585"/>
    <w:rsid w:val="00EA2BBD"/>
    <w:rsid w:val="00EA2C02"/>
    <w:rsid w:val="00EA2D5A"/>
    <w:rsid w:val="00EA2E22"/>
    <w:rsid w:val="00EA31A1"/>
    <w:rsid w:val="00EA3297"/>
    <w:rsid w:val="00EA34E2"/>
    <w:rsid w:val="00EA356C"/>
    <w:rsid w:val="00EA38FF"/>
    <w:rsid w:val="00EA393F"/>
    <w:rsid w:val="00EA3A26"/>
    <w:rsid w:val="00EA3FE0"/>
    <w:rsid w:val="00EA40B9"/>
    <w:rsid w:val="00EA40C1"/>
    <w:rsid w:val="00EA40F6"/>
    <w:rsid w:val="00EA4134"/>
    <w:rsid w:val="00EA4158"/>
    <w:rsid w:val="00EA423F"/>
    <w:rsid w:val="00EA43DF"/>
    <w:rsid w:val="00EA4527"/>
    <w:rsid w:val="00EA4937"/>
    <w:rsid w:val="00EA4974"/>
    <w:rsid w:val="00EA4E91"/>
    <w:rsid w:val="00EA4FE9"/>
    <w:rsid w:val="00EA5360"/>
    <w:rsid w:val="00EA54C3"/>
    <w:rsid w:val="00EA5549"/>
    <w:rsid w:val="00EA59F6"/>
    <w:rsid w:val="00EA606E"/>
    <w:rsid w:val="00EA6089"/>
    <w:rsid w:val="00EA611B"/>
    <w:rsid w:val="00EA64DB"/>
    <w:rsid w:val="00EA6771"/>
    <w:rsid w:val="00EA6792"/>
    <w:rsid w:val="00EA67A5"/>
    <w:rsid w:val="00EA6830"/>
    <w:rsid w:val="00EA687B"/>
    <w:rsid w:val="00EA69C0"/>
    <w:rsid w:val="00EA6A16"/>
    <w:rsid w:val="00EA6B1E"/>
    <w:rsid w:val="00EA6F29"/>
    <w:rsid w:val="00EA6F3F"/>
    <w:rsid w:val="00EA7487"/>
    <w:rsid w:val="00EA76B8"/>
    <w:rsid w:val="00EA790B"/>
    <w:rsid w:val="00EA7A3F"/>
    <w:rsid w:val="00EA7BD4"/>
    <w:rsid w:val="00EA7BE5"/>
    <w:rsid w:val="00EA7C37"/>
    <w:rsid w:val="00EA7F1C"/>
    <w:rsid w:val="00EB00E9"/>
    <w:rsid w:val="00EB00FA"/>
    <w:rsid w:val="00EB0116"/>
    <w:rsid w:val="00EB01FA"/>
    <w:rsid w:val="00EB02A9"/>
    <w:rsid w:val="00EB03A4"/>
    <w:rsid w:val="00EB054A"/>
    <w:rsid w:val="00EB0836"/>
    <w:rsid w:val="00EB09C2"/>
    <w:rsid w:val="00EB0A13"/>
    <w:rsid w:val="00EB0C24"/>
    <w:rsid w:val="00EB0F4D"/>
    <w:rsid w:val="00EB1374"/>
    <w:rsid w:val="00EB14A2"/>
    <w:rsid w:val="00EB15FD"/>
    <w:rsid w:val="00EB2464"/>
    <w:rsid w:val="00EB271D"/>
    <w:rsid w:val="00EB27EF"/>
    <w:rsid w:val="00EB2BAF"/>
    <w:rsid w:val="00EB2BB8"/>
    <w:rsid w:val="00EB2D98"/>
    <w:rsid w:val="00EB2F5F"/>
    <w:rsid w:val="00EB3352"/>
    <w:rsid w:val="00EB338A"/>
    <w:rsid w:val="00EB3762"/>
    <w:rsid w:val="00EB380E"/>
    <w:rsid w:val="00EB3A08"/>
    <w:rsid w:val="00EB3BF3"/>
    <w:rsid w:val="00EB40ED"/>
    <w:rsid w:val="00EB444C"/>
    <w:rsid w:val="00EB44A2"/>
    <w:rsid w:val="00EB45E6"/>
    <w:rsid w:val="00EB463D"/>
    <w:rsid w:val="00EB48D4"/>
    <w:rsid w:val="00EB4AD1"/>
    <w:rsid w:val="00EB4C04"/>
    <w:rsid w:val="00EB4E36"/>
    <w:rsid w:val="00EB4ED5"/>
    <w:rsid w:val="00EB4FF4"/>
    <w:rsid w:val="00EB505C"/>
    <w:rsid w:val="00EB5186"/>
    <w:rsid w:val="00EB527F"/>
    <w:rsid w:val="00EB534F"/>
    <w:rsid w:val="00EB5625"/>
    <w:rsid w:val="00EB581E"/>
    <w:rsid w:val="00EB58A7"/>
    <w:rsid w:val="00EB5988"/>
    <w:rsid w:val="00EB59CF"/>
    <w:rsid w:val="00EB5AC3"/>
    <w:rsid w:val="00EB5BBC"/>
    <w:rsid w:val="00EB5D2B"/>
    <w:rsid w:val="00EB60AC"/>
    <w:rsid w:val="00EB630A"/>
    <w:rsid w:val="00EB6435"/>
    <w:rsid w:val="00EB6930"/>
    <w:rsid w:val="00EB6A9C"/>
    <w:rsid w:val="00EB6B10"/>
    <w:rsid w:val="00EB6E2F"/>
    <w:rsid w:val="00EB7195"/>
    <w:rsid w:val="00EB73FF"/>
    <w:rsid w:val="00EB746A"/>
    <w:rsid w:val="00EB74F6"/>
    <w:rsid w:val="00EB753F"/>
    <w:rsid w:val="00EB76E0"/>
    <w:rsid w:val="00EB7A56"/>
    <w:rsid w:val="00EB7B8F"/>
    <w:rsid w:val="00EB7DC8"/>
    <w:rsid w:val="00EB7F79"/>
    <w:rsid w:val="00EB97BB"/>
    <w:rsid w:val="00EC0133"/>
    <w:rsid w:val="00EC0177"/>
    <w:rsid w:val="00EC086E"/>
    <w:rsid w:val="00EC092A"/>
    <w:rsid w:val="00EC0A75"/>
    <w:rsid w:val="00EC0CA1"/>
    <w:rsid w:val="00EC0FE8"/>
    <w:rsid w:val="00EC14E2"/>
    <w:rsid w:val="00EC18DC"/>
    <w:rsid w:val="00EC1B02"/>
    <w:rsid w:val="00EC1BDF"/>
    <w:rsid w:val="00EC1D5A"/>
    <w:rsid w:val="00EC24CC"/>
    <w:rsid w:val="00EC294A"/>
    <w:rsid w:val="00EC2A68"/>
    <w:rsid w:val="00EC2A83"/>
    <w:rsid w:val="00EC2F4A"/>
    <w:rsid w:val="00EC2F61"/>
    <w:rsid w:val="00EC2FC1"/>
    <w:rsid w:val="00EC34B7"/>
    <w:rsid w:val="00EC36D8"/>
    <w:rsid w:val="00EC37C5"/>
    <w:rsid w:val="00EC3AA3"/>
    <w:rsid w:val="00EC3CC8"/>
    <w:rsid w:val="00EC3D14"/>
    <w:rsid w:val="00EC3D6B"/>
    <w:rsid w:val="00EC41D2"/>
    <w:rsid w:val="00EC41F1"/>
    <w:rsid w:val="00EC4303"/>
    <w:rsid w:val="00EC447B"/>
    <w:rsid w:val="00EC44A9"/>
    <w:rsid w:val="00EC4570"/>
    <w:rsid w:val="00EC45CC"/>
    <w:rsid w:val="00EC464F"/>
    <w:rsid w:val="00EC47A3"/>
    <w:rsid w:val="00EC4848"/>
    <w:rsid w:val="00EC485D"/>
    <w:rsid w:val="00EC4A67"/>
    <w:rsid w:val="00EC4B3B"/>
    <w:rsid w:val="00EC4D5B"/>
    <w:rsid w:val="00EC4DA6"/>
    <w:rsid w:val="00EC4F25"/>
    <w:rsid w:val="00EC5090"/>
    <w:rsid w:val="00EC51A8"/>
    <w:rsid w:val="00EC5258"/>
    <w:rsid w:val="00EC5875"/>
    <w:rsid w:val="00EC58A7"/>
    <w:rsid w:val="00EC5E4F"/>
    <w:rsid w:val="00EC5F6E"/>
    <w:rsid w:val="00EC6033"/>
    <w:rsid w:val="00EC6177"/>
    <w:rsid w:val="00EC619E"/>
    <w:rsid w:val="00EC61B8"/>
    <w:rsid w:val="00EC6334"/>
    <w:rsid w:val="00EC655D"/>
    <w:rsid w:val="00EC66A9"/>
    <w:rsid w:val="00EC6789"/>
    <w:rsid w:val="00EC68D1"/>
    <w:rsid w:val="00EC69F9"/>
    <w:rsid w:val="00EC6AF3"/>
    <w:rsid w:val="00EC6B9A"/>
    <w:rsid w:val="00EC6BAC"/>
    <w:rsid w:val="00EC6C15"/>
    <w:rsid w:val="00EC6DEE"/>
    <w:rsid w:val="00EC6E05"/>
    <w:rsid w:val="00EC6E55"/>
    <w:rsid w:val="00EC6F2A"/>
    <w:rsid w:val="00EC7005"/>
    <w:rsid w:val="00EC710F"/>
    <w:rsid w:val="00EC73F3"/>
    <w:rsid w:val="00EC759E"/>
    <w:rsid w:val="00EC7732"/>
    <w:rsid w:val="00EC7913"/>
    <w:rsid w:val="00EC7A9C"/>
    <w:rsid w:val="00EC7ACB"/>
    <w:rsid w:val="00EC7B65"/>
    <w:rsid w:val="00EC7C04"/>
    <w:rsid w:val="00EC7C42"/>
    <w:rsid w:val="00EC7E5F"/>
    <w:rsid w:val="00EC7EB8"/>
    <w:rsid w:val="00EC7EBA"/>
    <w:rsid w:val="00EC7F0A"/>
    <w:rsid w:val="00EC7FE5"/>
    <w:rsid w:val="00EC9EA0"/>
    <w:rsid w:val="00ED02D8"/>
    <w:rsid w:val="00ED03BF"/>
    <w:rsid w:val="00ED07D9"/>
    <w:rsid w:val="00ED0939"/>
    <w:rsid w:val="00ED0974"/>
    <w:rsid w:val="00ED0991"/>
    <w:rsid w:val="00ED0B73"/>
    <w:rsid w:val="00ED0E6B"/>
    <w:rsid w:val="00ED0ECF"/>
    <w:rsid w:val="00ED10C7"/>
    <w:rsid w:val="00ED1331"/>
    <w:rsid w:val="00ED15FB"/>
    <w:rsid w:val="00ED1835"/>
    <w:rsid w:val="00ED1AED"/>
    <w:rsid w:val="00ED1B87"/>
    <w:rsid w:val="00ED1D90"/>
    <w:rsid w:val="00ED1DDA"/>
    <w:rsid w:val="00ED1E51"/>
    <w:rsid w:val="00ED1FB7"/>
    <w:rsid w:val="00ED2351"/>
    <w:rsid w:val="00ED270D"/>
    <w:rsid w:val="00ED277E"/>
    <w:rsid w:val="00ED27F2"/>
    <w:rsid w:val="00ED281E"/>
    <w:rsid w:val="00ED28DE"/>
    <w:rsid w:val="00ED2C22"/>
    <w:rsid w:val="00ED2D21"/>
    <w:rsid w:val="00ED33C0"/>
    <w:rsid w:val="00ED33D6"/>
    <w:rsid w:val="00ED3555"/>
    <w:rsid w:val="00ED362E"/>
    <w:rsid w:val="00ED38C1"/>
    <w:rsid w:val="00ED3957"/>
    <w:rsid w:val="00ED3C70"/>
    <w:rsid w:val="00ED3D09"/>
    <w:rsid w:val="00ED3F74"/>
    <w:rsid w:val="00ED417D"/>
    <w:rsid w:val="00ED42F6"/>
    <w:rsid w:val="00ED4434"/>
    <w:rsid w:val="00ED45F3"/>
    <w:rsid w:val="00ED4760"/>
    <w:rsid w:val="00ED47AE"/>
    <w:rsid w:val="00ED48AB"/>
    <w:rsid w:val="00ED4B90"/>
    <w:rsid w:val="00ED4EFC"/>
    <w:rsid w:val="00ED5117"/>
    <w:rsid w:val="00ED511D"/>
    <w:rsid w:val="00ED530B"/>
    <w:rsid w:val="00ED530E"/>
    <w:rsid w:val="00ED53FC"/>
    <w:rsid w:val="00ED550E"/>
    <w:rsid w:val="00ED552F"/>
    <w:rsid w:val="00ED57FB"/>
    <w:rsid w:val="00ED5928"/>
    <w:rsid w:val="00ED5952"/>
    <w:rsid w:val="00ED5A26"/>
    <w:rsid w:val="00ED5A4E"/>
    <w:rsid w:val="00ED5B4E"/>
    <w:rsid w:val="00ED5B89"/>
    <w:rsid w:val="00ED5C4E"/>
    <w:rsid w:val="00ED5D39"/>
    <w:rsid w:val="00ED5E44"/>
    <w:rsid w:val="00ED5ED9"/>
    <w:rsid w:val="00ED6171"/>
    <w:rsid w:val="00ED61CE"/>
    <w:rsid w:val="00ED62ED"/>
    <w:rsid w:val="00ED6763"/>
    <w:rsid w:val="00ED6924"/>
    <w:rsid w:val="00ED6973"/>
    <w:rsid w:val="00ED6F64"/>
    <w:rsid w:val="00ED7245"/>
    <w:rsid w:val="00ED7518"/>
    <w:rsid w:val="00ED75C8"/>
    <w:rsid w:val="00ED7743"/>
    <w:rsid w:val="00ED774F"/>
    <w:rsid w:val="00ED7774"/>
    <w:rsid w:val="00ED7AD5"/>
    <w:rsid w:val="00ED7AF3"/>
    <w:rsid w:val="00ED7C07"/>
    <w:rsid w:val="00ED7F90"/>
    <w:rsid w:val="00ED7FFE"/>
    <w:rsid w:val="00EE00B7"/>
    <w:rsid w:val="00EE02F9"/>
    <w:rsid w:val="00EE061A"/>
    <w:rsid w:val="00EE0696"/>
    <w:rsid w:val="00EE071B"/>
    <w:rsid w:val="00EE0B64"/>
    <w:rsid w:val="00EE0BAF"/>
    <w:rsid w:val="00EE0DC0"/>
    <w:rsid w:val="00EE0E8C"/>
    <w:rsid w:val="00EE0F01"/>
    <w:rsid w:val="00EE0FB9"/>
    <w:rsid w:val="00EE104C"/>
    <w:rsid w:val="00EE1250"/>
    <w:rsid w:val="00EE125F"/>
    <w:rsid w:val="00EE1636"/>
    <w:rsid w:val="00EE1C7D"/>
    <w:rsid w:val="00EE1F82"/>
    <w:rsid w:val="00EE1FF9"/>
    <w:rsid w:val="00EE202F"/>
    <w:rsid w:val="00EE226E"/>
    <w:rsid w:val="00EE26C1"/>
    <w:rsid w:val="00EE26E5"/>
    <w:rsid w:val="00EE278B"/>
    <w:rsid w:val="00EE28BA"/>
    <w:rsid w:val="00EE2ED5"/>
    <w:rsid w:val="00EE2F8B"/>
    <w:rsid w:val="00EE3126"/>
    <w:rsid w:val="00EE3217"/>
    <w:rsid w:val="00EE33CB"/>
    <w:rsid w:val="00EE3A9E"/>
    <w:rsid w:val="00EE3BEE"/>
    <w:rsid w:val="00EE3E0E"/>
    <w:rsid w:val="00EE3E49"/>
    <w:rsid w:val="00EE46C9"/>
    <w:rsid w:val="00EE473B"/>
    <w:rsid w:val="00EE475D"/>
    <w:rsid w:val="00EE47A2"/>
    <w:rsid w:val="00EE47BD"/>
    <w:rsid w:val="00EE4804"/>
    <w:rsid w:val="00EE4871"/>
    <w:rsid w:val="00EE4A2F"/>
    <w:rsid w:val="00EE4A70"/>
    <w:rsid w:val="00EE4C64"/>
    <w:rsid w:val="00EE4C90"/>
    <w:rsid w:val="00EE4D4D"/>
    <w:rsid w:val="00EE4F2B"/>
    <w:rsid w:val="00EE5183"/>
    <w:rsid w:val="00EE5314"/>
    <w:rsid w:val="00EE53D3"/>
    <w:rsid w:val="00EE57AB"/>
    <w:rsid w:val="00EE5AD4"/>
    <w:rsid w:val="00EE5D90"/>
    <w:rsid w:val="00EE5EEF"/>
    <w:rsid w:val="00EE6080"/>
    <w:rsid w:val="00EE617C"/>
    <w:rsid w:val="00EE65B1"/>
    <w:rsid w:val="00EE65B2"/>
    <w:rsid w:val="00EE670F"/>
    <w:rsid w:val="00EE6847"/>
    <w:rsid w:val="00EE68F8"/>
    <w:rsid w:val="00EE6B02"/>
    <w:rsid w:val="00EE6B3A"/>
    <w:rsid w:val="00EE6B84"/>
    <w:rsid w:val="00EE6C1C"/>
    <w:rsid w:val="00EE6F13"/>
    <w:rsid w:val="00EE74A8"/>
    <w:rsid w:val="00EE74CA"/>
    <w:rsid w:val="00EE75DD"/>
    <w:rsid w:val="00EE7613"/>
    <w:rsid w:val="00EE779A"/>
    <w:rsid w:val="00EE7CEE"/>
    <w:rsid w:val="00EE7F88"/>
    <w:rsid w:val="00EF01BC"/>
    <w:rsid w:val="00EF01C8"/>
    <w:rsid w:val="00EF02AC"/>
    <w:rsid w:val="00EF067D"/>
    <w:rsid w:val="00EF0A83"/>
    <w:rsid w:val="00EF0BAF"/>
    <w:rsid w:val="00EF0CC2"/>
    <w:rsid w:val="00EF0F23"/>
    <w:rsid w:val="00EF0FD6"/>
    <w:rsid w:val="00EF10E7"/>
    <w:rsid w:val="00EF11EB"/>
    <w:rsid w:val="00EF12A5"/>
    <w:rsid w:val="00EF1326"/>
    <w:rsid w:val="00EF148B"/>
    <w:rsid w:val="00EF15CE"/>
    <w:rsid w:val="00EF15FE"/>
    <w:rsid w:val="00EF1669"/>
    <w:rsid w:val="00EF1698"/>
    <w:rsid w:val="00EF17AE"/>
    <w:rsid w:val="00EF1895"/>
    <w:rsid w:val="00EF18F8"/>
    <w:rsid w:val="00EF19F0"/>
    <w:rsid w:val="00EF1B75"/>
    <w:rsid w:val="00EF1BEA"/>
    <w:rsid w:val="00EF1C92"/>
    <w:rsid w:val="00EF1D70"/>
    <w:rsid w:val="00EF1DE2"/>
    <w:rsid w:val="00EF1FDE"/>
    <w:rsid w:val="00EF279C"/>
    <w:rsid w:val="00EF27D1"/>
    <w:rsid w:val="00EF2926"/>
    <w:rsid w:val="00EF2938"/>
    <w:rsid w:val="00EF2A48"/>
    <w:rsid w:val="00EF2A4F"/>
    <w:rsid w:val="00EF2B16"/>
    <w:rsid w:val="00EF2E97"/>
    <w:rsid w:val="00EF317C"/>
    <w:rsid w:val="00EF323D"/>
    <w:rsid w:val="00EF33BD"/>
    <w:rsid w:val="00EF3564"/>
    <w:rsid w:val="00EF387E"/>
    <w:rsid w:val="00EF38EE"/>
    <w:rsid w:val="00EF38F1"/>
    <w:rsid w:val="00EF394E"/>
    <w:rsid w:val="00EF3EA3"/>
    <w:rsid w:val="00EF3FB7"/>
    <w:rsid w:val="00EF3FE8"/>
    <w:rsid w:val="00EF4078"/>
    <w:rsid w:val="00EF415A"/>
    <w:rsid w:val="00EF41A9"/>
    <w:rsid w:val="00EF420B"/>
    <w:rsid w:val="00EF43B6"/>
    <w:rsid w:val="00EF446B"/>
    <w:rsid w:val="00EF44AC"/>
    <w:rsid w:val="00EF44CB"/>
    <w:rsid w:val="00EF4742"/>
    <w:rsid w:val="00EF4795"/>
    <w:rsid w:val="00EF4956"/>
    <w:rsid w:val="00EF49DE"/>
    <w:rsid w:val="00EF4B51"/>
    <w:rsid w:val="00EF52EB"/>
    <w:rsid w:val="00EF550E"/>
    <w:rsid w:val="00EF5619"/>
    <w:rsid w:val="00EF5630"/>
    <w:rsid w:val="00EF56A3"/>
    <w:rsid w:val="00EF5BDE"/>
    <w:rsid w:val="00EF5C6C"/>
    <w:rsid w:val="00EF5DA5"/>
    <w:rsid w:val="00EF5E0C"/>
    <w:rsid w:val="00EF6033"/>
    <w:rsid w:val="00EF608B"/>
    <w:rsid w:val="00EF60AD"/>
    <w:rsid w:val="00EF6155"/>
    <w:rsid w:val="00EF62D8"/>
    <w:rsid w:val="00EF62E7"/>
    <w:rsid w:val="00EF633F"/>
    <w:rsid w:val="00EF662F"/>
    <w:rsid w:val="00EF674B"/>
    <w:rsid w:val="00EF6A03"/>
    <w:rsid w:val="00EF6C4D"/>
    <w:rsid w:val="00EF6D83"/>
    <w:rsid w:val="00EF6E86"/>
    <w:rsid w:val="00EF6ED0"/>
    <w:rsid w:val="00EF6F87"/>
    <w:rsid w:val="00EF707C"/>
    <w:rsid w:val="00EF717A"/>
    <w:rsid w:val="00EF7289"/>
    <w:rsid w:val="00EF741F"/>
    <w:rsid w:val="00EF7429"/>
    <w:rsid w:val="00EF74DF"/>
    <w:rsid w:val="00EF75FF"/>
    <w:rsid w:val="00EF76CE"/>
    <w:rsid w:val="00EF7723"/>
    <w:rsid w:val="00EF77DE"/>
    <w:rsid w:val="00EF79DB"/>
    <w:rsid w:val="00EF7CC1"/>
    <w:rsid w:val="00EF7CDB"/>
    <w:rsid w:val="00EF7D38"/>
    <w:rsid w:val="00EF7D3E"/>
    <w:rsid w:val="00EF7E1D"/>
    <w:rsid w:val="00EF9AD8"/>
    <w:rsid w:val="00F002F9"/>
    <w:rsid w:val="00F00463"/>
    <w:rsid w:val="00F00798"/>
    <w:rsid w:val="00F007B0"/>
    <w:rsid w:val="00F0090A"/>
    <w:rsid w:val="00F00A5B"/>
    <w:rsid w:val="00F00ACB"/>
    <w:rsid w:val="00F00BA0"/>
    <w:rsid w:val="00F00D24"/>
    <w:rsid w:val="00F00EF9"/>
    <w:rsid w:val="00F011E2"/>
    <w:rsid w:val="00F01495"/>
    <w:rsid w:val="00F016B0"/>
    <w:rsid w:val="00F01792"/>
    <w:rsid w:val="00F017A5"/>
    <w:rsid w:val="00F01A55"/>
    <w:rsid w:val="00F01A73"/>
    <w:rsid w:val="00F01BE5"/>
    <w:rsid w:val="00F01C4F"/>
    <w:rsid w:val="00F01CB7"/>
    <w:rsid w:val="00F01DFB"/>
    <w:rsid w:val="00F0204F"/>
    <w:rsid w:val="00F0247B"/>
    <w:rsid w:val="00F024AD"/>
    <w:rsid w:val="00F024EC"/>
    <w:rsid w:val="00F02940"/>
    <w:rsid w:val="00F02BE7"/>
    <w:rsid w:val="00F02CEE"/>
    <w:rsid w:val="00F02FC8"/>
    <w:rsid w:val="00F031AB"/>
    <w:rsid w:val="00F03334"/>
    <w:rsid w:val="00F033BC"/>
    <w:rsid w:val="00F03473"/>
    <w:rsid w:val="00F035F7"/>
    <w:rsid w:val="00F036CF"/>
    <w:rsid w:val="00F036EC"/>
    <w:rsid w:val="00F03726"/>
    <w:rsid w:val="00F038E6"/>
    <w:rsid w:val="00F03B2D"/>
    <w:rsid w:val="00F03BF4"/>
    <w:rsid w:val="00F03CD7"/>
    <w:rsid w:val="00F03FFC"/>
    <w:rsid w:val="00F045CA"/>
    <w:rsid w:val="00F04A79"/>
    <w:rsid w:val="00F04D1F"/>
    <w:rsid w:val="00F04F1E"/>
    <w:rsid w:val="00F0506B"/>
    <w:rsid w:val="00F052C4"/>
    <w:rsid w:val="00F05749"/>
    <w:rsid w:val="00F0583D"/>
    <w:rsid w:val="00F05974"/>
    <w:rsid w:val="00F059DD"/>
    <w:rsid w:val="00F05A6C"/>
    <w:rsid w:val="00F05A9C"/>
    <w:rsid w:val="00F05C8D"/>
    <w:rsid w:val="00F05EA0"/>
    <w:rsid w:val="00F05EA2"/>
    <w:rsid w:val="00F0616D"/>
    <w:rsid w:val="00F063BD"/>
    <w:rsid w:val="00F0658B"/>
    <w:rsid w:val="00F0669B"/>
    <w:rsid w:val="00F0687A"/>
    <w:rsid w:val="00F06881"/>
    <w:rsid w:val="00F06A5C"/>
    <w:rsid w:val="00F06B34"/>
    <w:rsid w:val="00F06D3A"/>
    <w:rsid w:val="00F07105"/>
    <w:rsid w:val="00F07118"/>
    <w:rsid w:val="00F07214"/>
    <w:rsid w:val="00F072B5"/>
    <w:rsid w:val="00F07405"/>
    <w:rsid w:val="00F07522"/>
    <w:rsid w:val="00F0766E"/>
    <w:rsid w:val="00F07C9B"/>
    <w:rsid w:val="00F10074"/>
    <w:rsid w:val="00F100A4"/>
    <w:rsid w:val="00F1027D"/>
    <w:rsid w:val="00F1035D"/>
    <w:rsid w:val="00F10840"/>
    <w:rsid w:val="00F10859"/>
    <w:rsid w:val="00F108D9"/>
    <w:rsid w:val="00F10B30"/>
    <w:rsid w:val="00F10DA9"/>
    <w:rsid w:val="00F10EA8"/>
    <w:rsid w:val="00F10EBF"/>
    <w:rsid w:val="00F11014"/>
    <w:rsid w:val="00F11066"/>
    <w:rsid w:val="00F11188"/>
    <w:rsid w:val="00F113F4"/>
    <w:rsid w:val="00F116D1"/>
    <w:rsid w:val="00F11A0F"/>
    <w:rsid w:val="00F11A16"/>
    <w:rsid w:val="00F11BD5"/>
    <w:rsid w:val="00F11C03"/>
    <w:rsid w:val="00F11CF8"/>
    <w:rsid w:val="00F11D3C"/>
    <w:rsid w:val="00F120B7"/>
    <w:rsid w:val="00F12272"/>
    <w:rsid w:val="00F1242B"/>
    <w:rsid w:val="00F12656"/>
    <w:rsid w:val="00F126A4"/>
    <w:rsid w:val="00F128FA"/>
    <w:rsid w:val="00F12B2F"/>
    <w:rsid w:val="00F12F44"/>
    <w:rsid w:val="00F13140"/>
    <w:rsid w:val="00F13246"/>
    <w:rsid w:val="00F1363E"/>
    <w:rsid w:val="00F136A0"/>
    <w:rsid w:val="00F13887"/>
    <w:rsid w:val="00F139EC"/>
    <w:rsid w:val="00F13D4B"/>
    <w:rsid w:val="00F13DCD"/>
    <w:rsid w:val="00F1414F"/>
    <w:rsid w:val="00F141F5"/>
    <w:rsid w:val="00F14474"/>
    <w:rsid w:val="00F14495"/>
    <w:rsid w:val="00F14547"/>
    <w:rsid w:val="00F1456A"/>
    <w:rsid w:val="00F1463D"/>
    <w:rsid w:val="00F148FD"/>
    <w:rsid w:val="00F149C2"/>
    <w:rsid w:val="00F14CF2"/>
    <w:rsid w:val="00F14D1D"/>
    <w:rsid w:val="00F14DCA"/>
    <w:rsid w:val="00F14F6A"/>
    <w:rsid w:val="00F15252"/>
    <w:rsid w:val="00F152AC"/>
    <w:rsid w:val="00F152F8"/>
    <w:rsid w:val="00F15309"/>
    <w:rsid w:val="00F15352"/>
    <w:rsid w:val="00F15472"/>
    <w:rsid w:val="00F155DC"/>
    <w:rsid w:val="00F157A0"/>
    <w:rsid w:val="00F15A06"/>
    <w:rsid w:val="00F15AFA"/>
    <w:rsid w:val="00F15B3C"/>
    <w:rsid w:val="00F15C42"/>
    <w:rsid w:val="00F15DFA"/>
    <w:rsid w:val="00F15E3C"/>
    <w:rsid w:val="00F16046"/>
    <w:rsid w:val="00F1648E"/>
    <w:rsid w:val="00F16529"/>
    <w:rsid w:val="00F1668A"/>
    <w:rsid w:val="00F16879"/>
    <w:rsid w:val="00F1699F"/>
    <w:rsid w:val="00F16AEF"/>
    <w:rsid w:val="00F16B1E"/>
    <w:rsid w:val="00F16CC4"/>
    <w:rsid w:val="00F16D29"/>
    <w:rsid w:val="00F16EFD"/>
    <w:rsid w:val="00F16FF1"/>
    <w:rsid w:val="00F1705C"/>
    <w:rsid w:val="00F1708C"/>
    <w:rsid w:val="00F17149"/>
    <w:rsid w:val="00F17152"/>
    <w:rsid w:val="00F1732C"/>
    <w:rsid w:val="00F1749D"/>
    <w:rsid w:val="00F1783E"/>
    <w:rsid w:val="00F17967"/>
    <w:rsid w:val="00F17B67"/>
    <w:rsid w:val="00F17E14"/>
    <w:rsid w:val="00F17FFD"/>
    <w:rsid w:val="00F20114"/>
    <w:rsid w:val="00F20246"/>
    <w:rsid w:val="00F2026D"/>
    <w:rsid w:val="00F20308"/>
    <w:rsid w:val="00F20365"/>
    <w:rsid w:val="00F20366"/>
    <w:rsid w:val="00F2036F"/>
    <w:rsid w:val="00F20374"/>
    <w:rsid w:val="00F2037B"/>
    <w:rsid w:val="00F20A94"/>
    <w:rsid w:val="00F20FA1"/>
    <w:rsid w:val="00F2103C"/>
    <w:rsid w:val="00F21086"/>
    <w:rsid w:val="00F2122A"/>
    <w:rsid w:val="00F214DA"/>
    <w:rsid w:val="00F21509"/>
    <w:rsid w:val="00F2150B"/>
    <w:rsid w:val="00F21666"/>
    <w:rsid w:val="00F21869"/>
    <w:rsid w:val="00F2188F"/>
    <w:rsid w:val="00F21A00"/>
    <w:rsid w:val="00F21A67"/>
    <w:rsid w:val="00F21C55"/>
    <w:rsid w:val="00F21CAB"/>
    <w:rsid w:val="00F21FE8"/>
    <w:rsid w:val="00F2213A"/>
    <w:rsid w:val="00F2235C"/>
    <w:rsid w:val="00F223D9"/>
    <w:rsid w:val="00F22571"/>
    <w:rsid w:val="00F22736"/>
    <w:rsid w:val="00F22828"/>
    <w:rsid w:val="00F22A80"/>
    <w:rsid w:val="00F22C3B"/>
    <w:rsid w:val="00F22C45"/>
    <w:rsid w:val="00F22FA4"/>
    <w:rsid w:val="00F2326F"/>
    <w:rsid w:val="00F23299"/>
    <w:rsid w:val="00F23371"/>
    <w:rsid w:val="00F23473"/>
    <w:rsid w:val="00F234D0"/>
    <w:rsid w:val="00F239F8"/>
    <w:rsid w:val="00F23ACA"/>
    <w:rsid w:val="00F23B37"/>
    <w:rsid w:val="00F23D45"/>
    <w:rsid w:val="00F23D97"/>
    <w:rsid w:val="00F23FBF"/>
    <w:rsid w:val="00F24075"/>
    <w:rsid w:val="00F240A7"/>
    <w:rsid w:val="00F240CE"/>
    <w:rsid w:val="00F24312"/>
    <w:rsid w:val="00F24318"/>
    <w:rsid w:val="00F243BD"/>
    <w:rsid w:val="00F24DAA"/>
    <w:rsid w:val="00F24E1D"/>
    <w:rsid w:val="00F24F44"/>
    <w:rsid w:val="00F2504B"/>
    <w:rsid w:val="00F2520B"/>
    <w:rsid w:val="00F2573C"/>
    <w:rsid w:val="00F25880"/>
    <w:rsid w:val="00F25951"/>
    <w:rsid w:val="00F25B98"/>
    <w:rsid w:val="00F26058"/>
    <w:rsid w:val="00F26129"/>
    <w:rsid w:val="00F26247"/>
    <w:rsid w:val="00F262B8"/>
    <w:rsid w:val="00F26404"/>
    <w:rsid w:val="00F2641A"/>
    <w:rsid w:val="00F26457"/>
    <w:rsid w:val="00F264D8"/>
    <w:rsid w:val="00F2657E"/>
    <w:rsid w:val="00F266E7"/>
    <w:rsid w:val="00F26AA9"/>
    <w:rsid w:val="00F26B57"/>
    <w:rsid w:val="00F26C8D"/>
    <w:rsid w:val="00F26CF5"/>
    <w:rsid w:val="00F26DFB"/>
    <w:rsid w:val="00F26E5C"/>
    <w:rsid w:val="00F26F19"/>
    <w:rsid w:val="00F2711C"/>
    <w:rsid w:val="00F27224"/>
    <w:rsid w:val="00F272A9"/>
    <w:rsid w:val="00F2786A"/>
    <w:rsid w:val="00F27A1A"/>
    <w:rsid w:val="00F27A7F"/>
    <w:rsid w:val="00F27AD9"/>
    <w:rsid w:val="00F27BEE"/>
    <w:rsid w:val="00F27E8F"/>
    <w:rsid w:val="00F27F56"/>
    <w:rsid w:val="00F27F61"/>
    <w:rsid w:val="00F3006B"/>
    <w:rsid w:val="00F30391"/>
    <w:rsid w:val="00F304E7"/>
    <w:rsid w:val="00F307F0"/>
    <w:rsid w:val="00F307F7"/>
    <w:rsid w:val="00F30CCF"/>
    <w:rsid w:val="00F30E02"/>
    <w:rsid w:val="00F30E33"/>
    <w:rsid w:val="00F30EE3"/>
    <w:rsid w:val="00F31042"/>
    <w:rsid w:val="00F311F4"/>
    <w:rsid w:val="00F31311"/>
    <w:rsid w:val="00F3152F"/>
    <w:rsid w:val="00F319C8"/>
    <w:rsid w:val="00F319E0"/>
    <w:rsid w:val="00F31A13"/>
    <w:rsid w:val="00F31C3D"/>
    <w:rsid w:val="00F31C97"/>
    <w:rsid w:val="00F31D9E"/>
    <w:rsid w:val="00F31F99"/>
    <w:rsid w:val="00F321DB"/>
    <w:rsid w:val="00F32438"/>
    <w:rsid w:val="00F32513"/>
    <w:rsid w:val="00F3253E"/>
    <w:rsid w:val="00F32802"/>
    <w:rsid w:val="00F329B7"/>
    <w:rsid w:val="00F32AD6"/>
    <w:rsid w:val="00F32C49"/>
    <w:rsid w:val="00F32D76"/>
    <w:rsid w:val="00F32F77"/>
    <w:rsid w:val="00F3338E"/>
    <w:rsid w:val="00F333CD"/>
    <w:rsid w:val="00F33429"/>
    <w:rsid w:val="00F33702"/>
    <w:rsid w:val="00F33778"/>
    <w:rsid w:val="00F3379C"/>
    <w:rsid w:val="00F338FF"/>
    <w:rsid w:val="00F339C9"/>
    <w:rsid w:val="00F33D84"/>
    <w:rsid w:val="00F33E3C"/>
    <w:rsid w:val="00F33F2B"/>
    <w:rsid w:val="00F33F39"/>
    <w:rsid w:val="00F33FD9"/>
    <w:rsid w:val="00F340C3"/>
    <w:rsid w:val="00F3413F"/>
    <w:rsid w:val="00F34215"/>
    <w:rsid w:val="00F34259"/>
    <w:rsid w:val="00F343BF"/>
    <w:rsid w:val="00F349B0"/>
    <w:rsid w:val="00F34B71"/>
    <w:rsid w:val="00F34CC1"/>
    <w:rsid w:val="00F34E00"/>
    <w:rsid w:val="00F34E8A"/>
    <w:rsid w:val="00F34F45"/>
    <w:rsid w:val="00F35057"/>
    <w:rsid w:val="00F3544C"/>
    <w:rsid w:val="00F3548D"/>
    <w:rsid w:val="00F35594"/>
    <w:rsid w:val="00F356B5"/>
    <w:rsid w:val="00F35B74"/>
    <w:rsid w:val="00F360CD"/>
    <w:rsid w:val="00F362B3"/>
    <w:rsid w:val="00F36458"/>
    <w:rsid w:val="00F364E0"/>
    <w:rsid w:val="00F3661A"/>
    <w:rsid w:val="00F3681E"/>
    <w:rsid w:val="00F369E5"/>
    <w:rsid w:val="00F36CB1"/>
    <w:rsid w:val="00F36F2A"/>
    <w:rsid w:val="00F3719D"/>
    <w:rsid w:val="00F372F7"/>
    <w:rsid w:val="00F37513"/>
    <w:rsid w:val="00F37780"/>
    <w:rsid w:val="00F3780B"/>
    <w:rsid w:val="00F37A19"/>
    <w:rsid w:val="00F37A86"/>
    <w:rsid w:val="00F37B88"/>
    <w:rsid w:val="00F37B9F"/>
    <w:rsid w:val="00F40056"/>
    <w:rsid w:val="00F400E7"/>
    <w:rsid w:val="00F40457"/>
    <w:rsid w:val="00F4052F"/>
    <w:rsid w:val="00F40554"/>
    <w:rsid w:val="00F4058F"/>
    <w:rsid w:val="00F40655"/>
    <w:rsid w:val="00F40BCC"/>
    <w:rsid w:val="00F40FD9"/>
    <w:rsid w:val="00F41349"/>
    <w:rsid w:val="00F413C4"/>
    <w:rsid w:val="00F413C6"/>
    <w:rsid w:val="00F41800"/>
    <w:rsid w:val="00F41835"/>
    <w:rsid w:val="00F42260"/>
    <w:rsid w:val="00F42369"/>
    <w:rsid w:val="00F42411"/>
    <w:rsid w:val="00F42BA3"/>
    <w:rsid w:val="00F42D22"/>
    <w:rsid w:val="00F42ECE"/>
    <w:rsid w:val="00F42EF4"/>
    <w:rsid w:val="00F4320D"/>
    <w:rsid w:val="00F432EB"/>
    <w:rsid w:val="00F4339C"/>
    <w:rsid w:val="00F435A5"/>
    <w:rsid w:val="00F4390E"/>
    <w:rsid w:val="00F43ACD"/>
    <w:rsid w:val="00F43E81"/>
    <w:rsid w:val="00F4407E"/>
    <w:rsid w:val="00F44083"/>
    <w:rsid w:val="00F440B4"/>
    <w:rsid w:val="00F44132"/>
    <w:rsid w:val="00F44139"/>
    <w:rsid w:val="00F4416D"/>
    <w:rsid w:val="00F4426D"/>
    <w:rsid w:val="00F44333"/>
    <w:rsid w:val="00F44684"/>
    <w:rsid w:val="00F44774"/>
    <w:rsid w:val="00F4483D"/>
    <w:rsid w:val="00F4496B"/>
    <w:rsid w:val="00F44A36"/>
    <w:rsid w:val="00F44A3E"/>
    <w:rsid w:val="00F44B80"/>
    <w:rsid w:val="00F44D67"/>
    <w:rsid w:val="00F45303"/>
    <w:rsid w:val="00F453D0"/>
    <w:rsid w:val="00F4543A"/>
    <w:rsid w:val="00F45871"/>
    <w:rsid w:val="00F45B9E"/>
    <w:rsid w:val="00F45BDF"/>
    <w:rsid w:val="00F46280"/>
    <w:rsid w:val="00F46372"/>
    <w:rsid w:val="00F46ACF"/>
    <w:rsid w:val="00F46AE5"/>
    <w:rsid w:val="00F46B50"/>
    <w:rsid w:val="00F46C52"/>
    <w:rsid w:val="00F46DDD"/>
    <w:rsid w:val="00F46E2B"/>
    <w:rsid w:val="00F46ED9"/>
    <w:rsid w:val="00F46EE5"/>
    <w:rsid w:val="00F46FAB"/>
    <w:rsid w:val="00F47421"/>
    <w:rsid w:val="00F4742E"/>
    <w:rsid w:val="00F474C8"/>
    <w:rsid w:val="00F474D2"/>
    <w:rsid w:val="00F47522"/>
    <w:rsid w:val="00F47623"/>
    <w:rsid w:val="00F47627"/>
    <w:rsid w:val="00F476AC"/>
    <w:rsid w:val="00F476DA"/>
    <w:rsid w:val="00F47AAB"/>
    <w:rsid w:val="00F47D27"/>
    <w:rsid w:val="00F47D5F"/>
    <w:rsid w:val="00F47E1D"/>
    <w:rsid w:val="00F50010"/>
    <w:rsid w:val="00F50327"/>
    <w:rsid w:val="00F5037E"/>
    <w:rsid w:val="00F50445"/>
    <w:rsid w:val="00F50450"/>
    <w:rsid w:val="00F50565"/>
    <w:rsid w:val="00F505C2"/>
    <w:rsid w:val="00F506A6"/>
    <w:rsid w:val="00F506AE"/>
    <w:rsid w:val="00F50713"/>
    <w:rsid w:val="00F5090B"/>
    <w:rsid w:val="00F50BCC"/>
    <w:rsid w:val="00F50D01"/>
    <w:rsid w:val="00F510FA"/>
    <w:rsid w:val="00F511A3"/>
    <w:rsid w:val="00F511E7"/>
    <w:rsid w:val="00F51397"/>
    <w:rsid w:val="00F51443"/>
    <w:rsid w:val="00F516EF"/>
    <w:rsid w:val="00F5185B"/>
    <w:rsid w:val="00F51C2C"/>
    <w:rsid w:val="00F51F83"/>
    <w:rsid w:val="00F522FE"/>
    <w:rsid w:val="00F5246B"/>
    <w:rsid w:val="00F52485"/>
    <w:rsid w:val="00F52495"/>
    <w:rsid w:val="00F52858"/>
    <w:rsid w:val="00F52862"/>
    <w:rsid w:val="00F52B53"/>
    <w:rsid w:val="00F52BAB"/>
    <w:rsid w:val="00F52BB6"/>
    <w:rsid w:val="00F52C99"/>
    <w:rsid w:val="00F52C9C"/>
    <w:rsid w:val="00F52D97"/>
    <w:rsid w:val="00F52EAC"/>
    <w:rsid w:val="00F530BE"/>
    <w:rsid w:val="00F532DA"/>
    <w:rsid w:val="00F5352E"/>
    <w:rsid w:val="00F53753"/>
    <w:rsid w:val="00F539F0"/>
    <w:rsid w:val="00F5402F"/>
    <w:rsid w:val="00F541A6"/>
    <w:rsid w:val="00F54209"/>
    <w:rsid w:val="00F5432D"/>
    <w:rsid w:val="00F54AB9"/>
    <w:rsid w:val="00F54CC8"/>
    <w:rsid w:val="00F54EA7"/>
    <w:rsid w:val="00F54F85"/>
    <w:rsid w:val="00F55291"/>
    <w:rsid w:val="00F55355"/>
    <w:rsid w:val="00F553E0"/>
    <w:rsid w:val="00F55964"/>
    <w:rsid w:val="00F55CD7"/>
    <w:rsid w:val="00F55CE4"/>
    <w:rsid w:val="00F55E2B"/>
    <w:rsid w:val="00F561B2"/>
    <w:rsid w:val="00F56216"/>
    <w:rsid w:val="00F56626"/>
    <w:rsid w:val="00F56707"/>
    <w:rsid w:val="00F567A1"/>
    <w:rsid w:val="00F568D8"/>
    <w:rsid w:val="00F56B7E"/>
    <w:rsid w:val="00F56B83"/>
    <w:rsid w:val="00F56C88"/>
    <w:rsid w:val="00F56E15"/>
    <w:rsid w:val="00F572B7"/>
    <w:rsid w:val="00F575B2"/>
    <w:rsid w:val="00F57645"/>
    <w:rsid w:val="00F57648"/>
    <w:rsid w:val="00F57841"/>
    <w:rsid w:val="00F578ED"/>
    <w:rsid w:val="00F57C56"/>
    <w:rsid w:val="00F57DBB"/>
    <w:rsid w:val="00F57FBD"/>
    <w:rsid w:val="00F60102"/>
    <w:rsid w:val="00F6013B"/>
    <w:rsid w:val="00F60265"/>
    <w:rsid w:val="00F60432"/>
    <w:rsid w:val="00F607E6"/>
    <w:rsid w:val="00F608C0"/>
    <w:rsid w:val="00F60981"/>
    <w:rsid w:val="00F60CC3"/>
    <w:rsid w:val="00F60D28"/>
    <w:rsid w:val="00F60DA9"/>
    <w:rsid w:val="00F60DAC"/>
    <w:rsid w:val="00F60E31"/>
    <w:rsid w:val="00F60FED"/>
    <w:rsid w:val="00F610C5"/>
    <w:rsid w:val="00F613FA"/>
    <w:rsid w:val="00F6160E"/>
    <w:rsid w:val="00F61649"/>
    <w:rsid w:val="00F6164C"/>
    <w:rsid w:val="00F6171F"/>
    <w:rsid w:val="00F61962"/>
    <w:rsid w:val="00F619E4"/>
    <w:rsid w:val="00F61A0E"/>
    <w:rsid w:val="00F61B03"/>
    <w:rsid w:val="00F61B25"/>
    <w:rsid w:val="00F61FC7"/>
    <w:rsid w:val="00F6204C"/>
    <w:rsid w:val="00F62279"/>
    <w:rsid w:val="00F6228D"/>
    <w:rsid w:val="00F622BA"/>
    <w:rsid w:val="00F6286C"/>
    <w:rsid w:val="00F62908"/>
    <w:rsid w:val="00F62E61"/>
    <w:rsid w:val="00F632F9"/>
    <w:rsid w:val="00F633CC"/>
    <w:rsid w:val="00F63442"/>
    <w:rsid w:val="00F63475"/>
    <w:rsid w:val="00F634AF"/>
    <w:rsid w:val="00F6350D"/>
    <w:rsid w:val="00F63B6C"/>
    <w:rsid w:val="00F63B84"/>
    <w:rsid w:val="00F63BEA"/>
    <w:rsid w:val="00F63DBE"/>
    <w:rsid w:val="00F64001"/>
    <w:rsid w:val="00F64309"/>
    <w:rsid w:val="00F64571"/>
    <w:rsid w:val="00F64592"/>
    <w:rsid w:val="00F645D0"/>
    <w:rsid w:val="00F64B97"/>
    <w:rsid w:val="00F64CE4"/>
    <w:rsid w:val="00F64D15"/>
    <w:rsid w:val="00F64D4D"/>
    <w:rsid w:val="00F64DB9"/>
    <w:rsid w:val="00F64E67"/>
    <w:rsid w:val="00F651F5"/>
    <w:rsid w:val="00F653C0"/>
    <w:rsid w:val="00F65A83"/>
    <w:rsid w:val="00F65CBF"/>
    <w:rsid w:val="00F65CD8"/>
    <w:rsid w:val="00F65FC1"/>
    <w:rsid w:val="00F6603F"/>
    <w:rsid w:val="00F66236"/>
    <w:rsid w:val="00F6629E"/>
    <w:rsid w:val="00F6653D"/>
    <w:rsid w:val="00F66553"/>
    <w:rsid w:val="00F669AD"/>
    <w:rsid w:val="00F66B2A"/>
    <w:rsid w:val="00F66C4F"/>
    <w:rsid w:val="00F66CCA"/>
    <w:rsid w:val="00F66D2E"/>
    <w:rsid w:val="00F66DD1"/>
    <w:rsid w:val="00F66DE4"/>
    <w:rsid w:val="00F66E30"/>
    <w:rsid w:val="00F66F4D"/>
    <w:rsid w:val="00F66F7B"/>
    <w:rsid w:val="00F6710D"/>
    <w:rsid w:val="00F672D7"/>
    <w:rsid w:val="00F675B3"/>
    <w:rsid w:val="00F675CC"/>
    <w:rsid w:val="00F675D2"/>
    <w:rsid w:val="00F6760B"/>
    <w:rsid w:val="00F676B4"/>
    <w:rsid w:val="00F676C0"/>
    <w:rsid w:val="00F67BC1"/>
    <w:rsid w:val="00F67D7B"/>
    <w:rsid w:val="00F67EC0"/>
    <w:rsid w:val="00F6E8D4"/>
    <w:rsid w:val="00F70055"/>
    <w:rsid w:val="00F7005A"/>
    <w:rsid w:val="00F702C7"/>
    <w:rsid w:val="00F70374"/>
    <w:rsid w:val="00F708B0"/>
    <w:rsid w:val="00F70A7F"/>
    <w:rsid w:val="00F70B37"/>
    <w:rsid w:val="00F70CC0"/>
    <w:rsid w:val="00F70FCF"/>
    <w:rsid w:val="00F712DC"/>
    <w:rsid w:val="00F7173F"/>
    <w:rsid w:val="00F718F6"/>
    <w:rsid w:val="00F71B38"/>
    <w:rsid w:val="00F71B43"/>
    <w:rsid w:val="00F71B65"/>
    <w:rsid w:val="00F71BFC"/>
    <w:rsid w:val="00F71C47"/>
    <w:rsid w:val="00F71C8C"/>
    <w:rsid w:val="00F71D03"/>
    <w:rsid w:val="00F71DDD"/>
    <w:rsid w:val="00F71E76"/>
    <w:rsid w:val="00F7201D"/>
    <w:rsid w:val="00F7207B"/>
    <w:rsid w:val="00F721F7"/>
    <w:rsid w:val="00F72275"/>
    <w:rsid w:val="00F72351"/>
    <w:rsid w:val="00F7236D"/>
    <w:rsid w:val="00F72375"/>
    <w:rsid w:val="00F72491"/>
    <w:rsid w:val="00F724C8"/>
    <w:rsid w:val="00F72723"/>
    <w:rsid w:val="00F72758"/>
    <w:rsid w:val="00F727D3"/>
    <w:rsid w:val="00F7285A"/>
    <w:rsid w:val="00F7296A"/>
    <w:rsid w:val="00F72998"/>
    <w:rsid w:val="00F72A67"/>
    <w:rsid w:val="00F72D33"/>
    <w:rsid w:val="00F72D4E"/>
    <w:rsid w:val="00F73206"/>
    <w:rsid w:val="00F7322F"/>
    <w:rsid w:val="00F73232"/>
    <w:rsid w:val="00F73368"/>
    <w:rsid w:val="00F7349C"/>
    <w:rsid w:val="00F73841"/>
    <w:rsid w:val="00F73906"/>
    <w:rsid w:val="00F740A1"/>
    <w:rsid w:val="00F740F6"/>
    <w:rsid w:val="00F742FC"/>
    <w:rsid w:val="00F74388"/>
    <w:rsid w:val="00F743E8"/>
    <w:rsid w:val="00F744A7"/>
    <w:rsid w:val="00F74522"/>
    <w:rsid w:val="00F74B0C"/>
    <w:rsid w:val="00F74B5E"/>
    <w:rsid w:val="00F74C52"/>
    <w:rsid w:val="00F74E72"/>
    <w:rsid w:val="00F74F2B"/>
    <w:rsid w:val="00F75481"/>
    <w:rsid w:val="00F75902"/>
    <w:rsid w:val="00F7597E"/>
    <w:rsid w:val="00F75C7A"/>
    <w:rsid w:val="00F75CA1"/>
    <w:rsid w:val="00F75D77"/>
    <w:rsid w:val="00F763BC"/>
    <w:rsid w:val="00F76431"/>
    <w:rsid w:val="00F768F5"/>
    <w:rsid w:val="00F76DB5"/>
    <w:rsid w:val="00F76DB7"/>
    <w:rsid w:val="00F76EDA"/>
    <w:rsid w:val="00F76F19"/>
    <w:rsid w:val="00F770D6"/>
    <w:rsid w:val="00F77349"/>
    <w:rsid w:val="00F77611"/>
    <w:rsid w:val="00F77690"/>
    <w:rsid w:val="00F77897"/>
    <w:rsid w:val="00F77A79"/>
    <w:rsid w:val="00F77AF9"/>
    <w:rsid w:val="00F77BC7"/>
    <w:rsid w:val="00F77C92"/>
    <w:rsid w:val="00F77CCE"/>
    <w:rsid w:val="00F77CEB"/>
    <w:rsid w:val="00F77E19"/>
    <w:rsid w:val="00F77E81"/>
    <w:rsid w:val="00F77EE4"/>
    <w:rsid w:val="00F804C3"/>
    <w:rsid w:val="00F808DE"/>
    <w:rsid w:val="00F80A85"/>
    <w:rsid w:val="00F80B49"/>
    <w:rsid w:val="00F80C99"/>
    <w:rsid w:val="00F80DE9"/>
    <w:rsid w:val="00F80FE8"/>
    <w:rsid w:val="00F8104C"/>
    <w:rsid w:val="00F813BD"/>
    <w:rsid w:val="00F814BB"/>
    <w:rsid w:val="00F81588"/>
    <w:rsid w:val="00F8166A"/>
    <w:rsid w:val="00F81AB9"/>
    <w:rsid w:val="00F81AD6"/>
    <w:rsid w:val="00F81B0B"/>
    <w:rsid w:val="00F81B52"/>
    <w:rsid w:val="00F81B60"/>
    <w:rsid w:val="00F81C92"/>
    <w:rsid w:val="00F81CDF"/>
    <w:rsid w:val="00F81FDF"/>
    <w:rsid w:val="00F822A7"/>
    <w:rsid w:val="00F822DF"/>
    <w:rsid w:val="00F8248C"/>
    <w:rsid w:val="00F824F4"/>
    <w:rsid w:val="00F82517"/>
    <w:rsid w:val="00F82791"/>
    <w:rsid w:val="00F8294C"/>
    <w:rsid w:val="00F82AD5"/>
    <w:rsid w:val="00F82B03"/>
    <w:rsid w:val="00F82DC3"/>
    <w:rsid w:val="00F83003"/>
    <w:rsid w:val="00F832A0"/>
    <w:rsid w:val="00F83357"/>
    <w:rsid w:val="00F834D6"/>
    <w:rsid w:val="00F834F3"/>
    <w:rsid w:val="00F837DC"/>
    <w:rsid w:val="00F83963"/>
    <w:rsid w:val="00F83D0D"/>
    <w:rsid w:val="00F83F38"/>
    <w:rsid w:val="00F83FBC"/>
    <w:rsid w:val="00F8461C"/>
    <w:rsid w:val="00F846DD"/>
    <w:rsid w:val="00F84BAA"/>
    <w:rsid w:val="00F84BB3"/>
    <w:rsid w:val="00F84BD0"/>
    <w:rsid w:val="00F84BD2"/>
    <w:rsid w:val="00F84F9E"/>
    <w:rsid w:val="00F85066"/>
    <w:rsid w:val="00F85425"/>
    <w:rsid w:val="00F854E3"/>
    <w:rsid w:val="00F8556E"/>
    <w:rsid w:val="00F859F5"/>
    <w:rsid w:val="00F85A68"/>
    <w:rsid w:val="00F85B84"/>
    <w:rsid w:val="00F85BAC"/>
    <w:rsid w:val="00F85C37"/>
    <w:rsid w:val="00F85ED7"/>
    <w:rsid w:val="00F8627C"/>
    <w:rsid w:val="00F86356"/>
    <w:rsid w:val="00F86738"/>
    <w:rsid w:val="00F86787"/>
    <w:rsid w:val="00F868F8"/>
    <w:rsid w:val="00F86BAC"/>
    <w:rsid w:val="00F86C8A"/>
    <w:rsid w:val="00F87139"/>
    <w:rsid w:val="00F87206"/>
    <w:rsid w:val="00F872CB"/>
    <w:rsid w:val="00F873EB"/>
    <w:rsid w:val="00F87433"/>
    <w:rsid w:val="00F875BC"/>
    <w:rsid w:val="00F875BF"/>
    <w:rsid w:val="00F87656"/>
    <w:rsid w:val="00F87661"/>
    <w:rsid w:val="00F8789C"/>
    <w:rsid w:val="00F87BA7"/>
    <w:rsid w:val="00F87C3A"/>
    <w:rsid w:val="00F87C69"/>
    <w:rsid w:val="00F87D2E"/>
    <w:rsid w:val="00F87DB2"/>
    <w:rsid w:val="00F87DCD"/>
    <w:rsid w:val="00F87E62"/>
    <w:rsid w:val="00F87EE3"/>
    <w:rsid w:val="00F90012"/>
    <w:rsid w:val="00F9015D"/>
    <w:rsid w:val="00F9019F"/>
    <w:rsid w:val="00F901F3"/>
    <w:rsid w:val="00F9043A"/>
    <w:rsid w:val="00F90710"/>
    <w:rsid w:val="00F90721"/>
    <w:rsid w:val="00F9079C"/>
    <w:rsid w:val="00F907E1"/>
    <w:rsid w:val="00F90A53"/>
    <w:rsid w:val="00F90A91"/>
    <w:rsid w:val="00F90B54"/>
    <w:rsid w:val="00F90B6D"/>
    <w:rsid w:val="00F90CB4"/>
    <w:rsid w:val="00F90E85"/>
    <w:rsid w:val="00F90FDD"/>
    <w:rsid w:val="00F91101"/>
    <w:rsid w:val="00F9117E"/>
    <w:rsid w:val="00F91343"/>
    <w:rsid w:val="00F9165D"/>
    <w:rsid w:val="00F916B2"/>
    <w:rsid w:val="00F91731"/>
    <w:rsid w:val="00F917C3"/>
    <w:rsid w:val="00F91874"/>
    <w:rsid w:val="00F91AD0"/>
    <w:rsid w:val="00F91F5A"/>
    <w:rsid w:val="00F9224E"/>
    <w:rsid w:val="00F92334"/>
    <w:rsid w:val="00F92392"/>
    <w:rsid w:val="00F9242D"/>
    <w:rsid w:val="00F92437"/>
    <w:rsid w:val="00F92465"/>
    <w:rsid w:val="00F92466"/>
    <w:rsid w:val="00F924BB"/>
    <w:rsid w:val="00F92523"/>
    <w:rsid w:val="00F92781"/>
    <w:rsid w:val="00F928C9"/>
    <w:rsid w:val="00F92C1D"/>
    <w:rsid w:val="00F92C79"/>
    <w:rsid w:val="00F92C90"/>
    <w:rsid w:val="00F92CB5"/>
    <w:rsid w:val="00F92CDB"/>
    <w:rsid w:val="00F92E22"/>
    <w:rsid w:val="00F930B6"/>
    <w:rsid w:val="00F93465"/>
    <w:rsid w:val="00F93897"/>
    <w:rsid w:val="00F93B1D"/>
    <w:rsid w:val="00F93C63"/>
    <w:rsid w:val="00F93D35"/>
    <w:rsid w:val="00F93D74"/>
    <w:rsid w:val="00F93DB4"/>
    <w:rsid w:val="00F93E78"/>
    <w:rsid w:val="00F93EF0"/>
    <w:rsid w:val="00F93EF1"/>
    <w:rsid w:val="00F93F7F"/>
    <w:rsid w:val="00F93F80"/>
    <w:rsid w:val="00F94000"/>
    <w:rsid w:val="00F94131"/>
    <w:rsid w:val="00F94470"/>
    <w:rsid w:val="00F94513"/>
    <w:rsid w:val="00F94529"/>
    <w:rsid w:val="00F948BB"/>
    <w:rsid w:val="00F949C0"/>
    <w:rsid w:val="00F94A84"/>
    <w:rsid w:val="00F94C36"/>
    <w:rsid w:val="00F94CD2"/>
    <w:rsid w:val="00F95511"/>
    <w:rsid w:val="00F956C6"/>
    <w:rsid w:val="00F957B5"/>
    <w:rsid w:val="00F957CE"/>
    <w:rsid w:val="00F957F2"/>
    <w:rsid w:val="00F958DE"/>
    <w:rsid w:val="00F9594E"/>
    <w:rsid w:val="00F95B15"/>
    <w:rsid w:val="00F95C39"/>
    <w:rsid w:val="00F95CC8"/>
    <w:rsid w:val="00F95D72"/>
    <w:rsid w:val="00F95EAF"/>
    <w:rsid w:val="00F95FBB"/>
    <w:rsid w:val="00F95FD0"/>
    <w:rsid w:val="00F962EA"/>
    <w:rsid w:val="00F9635A"/>
    <w:rsid w:val="00F96497"/>
    <w:rsid w:val="00F96516"/>
    <w:rsid w:val="00F96626"/>
    <w:rsid w:val="00F96C76"/>
    <w:rsid w:val="00F96CD1"/>
    <w:rsid w:val="00F96E72"/>
    <w:rsid w:val="00F97104"/>
    <w:rsid w:val="00F97247"/>
    <w:rsid w:val="00F977D6"/>
    <w:rsid w:val="00F97BF6"/>
    <w:rsid w:val="00F97C8C"/>
    <w:rsid w:val="00F97DEE"/>
    <w:rsid w:val="00F97E86"/>
    <w:rsid w:val="00F97FA1"/>
    <w:rsid w:val="00FA0366"/>
    <w:rsid w:val="00FA0654"/>
    <w:rsid w:val="00FA0704"/>
    <w:rsid w:val="00FA09B3"/>
    <w:rsid w:val="00FA0A95"/>
    <w:rsid w:val="00FA0E78"/>
    <w:rsid w:val="00FA0F6B"/>
    <w:rsid w:val="00FA13A2"/>
    <w:rsid w:val="00FA14CD"/>
    <w:rsid w:val="00FA18EF"/>
    <w:rsid w:val="00FA1AE5"/>
    <w:rsid w:val="00FA1CD5"/>
    <w:rsid w:val="00FA1CEE"/>
    <w:rsid w:val="00FA1DB0"/>
    <w:rsid w:val="00FA1F1C"/>
    <w:rsid w:val="00FA21A6"/>
    <w:rsid w:val="00FA229C"/>
    <w:rsid w:val="00FA23A2"/>
    <w:rsid w:val="00FA2404"/>
    <w:rsid w:val="00FA2543"/>
    <w:rsid w:val="00FA2550"/>
    <w:rsid w:val="00FA264C"/>
    <w:rsid w:val="00FA2945"/>
    <w:rsid w:val="00FA2B11"/>
    <w:rsid w:val="00FA2FBB"/>
    <w:rsid w:val="00FA301D"/>
    <w:rsid w:val="00FA3035"/>
    <w:rsid w:val="00FA3532"/>
    <w:rsid w:val="00FA35A1"/>
    <w:rsid w:val="00FA371B"/>
    <w:rsid w:val="00FA3B9A"/>
    <w:rsid w:val="00FA3E43"/>
    <w:rsid w:val="00FA3FDC"/>
    <w:rsid w:val="00FA40A9"/>
    <w:rsid w:val="00FA41AE"/>
    <w:rsid w:val="00FA41B3"/>
    <w:rsid w:val="00FA41BE"/>
    <w:rsid w:val="00FA41C4"/>
    <w:rsid w:val="00FA47B0"/>
    <w:rsid w:val="00FA49F3"/>
    <w:rsid w:val="00FA4B7B"/>
    <w:rsid w:val="00FA4E1F"/>
    <w:rsid w:val="00FA4E5D"/>
    <w:rsid w:val="00FA4E5E"/>
    <w:rsid w:val="00FA4ED0"/>
    <w:rsid w:val="00FA5040"/>
    <w:rsid w:val="00FA51BE"/>
    <w:rsid w:val="00FA5247"/>
    <w:rsid w:val="00FA533E"/>
    <w:rsid w:val="00FA5A07"/>
    <w:rsid w:val="00FA618F"/>
    <w:rsid w:val="00FA6220"/>
    <w:rsid w:val="00FA6228"/>
    <w:rsid w:val="00FA64A4"/>
    <w:rsid w:val="00FA65FA"/>
    <w:rsid w:val="00FA67E1"/>
    <w:rsid w:val="00FA67E6"/>
    <w:rsid w:val="00FA6817"/>
    <w:rsid w:val="00FA6B63"/>
    <w:rsid w:val="00FA6EC7"/>
    <w:rsid w:val="00FA709C"/>
    <w:rsid w:val="00FA7961"/>
    <w:rsid w:val="00FA79FD"/>
    <w:rsid w:val="00FB0046"/>
    <w:rsid w:val="00FB0051"/>
    <w:rsid w:val="00FB014D"/>
    <w:rsid w:val="00FB048B"/>
    <w:rsid w:val="00FB0754"/>
    <w:rsid w:val="00FB07A2"/>
    <w:rsid w:val="00FB07BC"/>
    <w:rsid w:val="00FB0815"/>
    <w:rsid w:val="00FB0B45"/>
    <w:rsid w:val="00FB0B83"/>
    <w:rsid w:val="00FB0FAC"/>
    <w:rsid w:val="00FB0FFA"/>
    <w:rsid w:val="00FB158F"/>
    <w:rsid w:val="00FB15B1"/>
    <w:rsid w:val="00FB199B"/>
    <w:rsid w:val="00FB1BC0"/>
    <w:rsid w:val="00FB1D3E"/>
    <w:rsid w:val="00FB1E36"/>
    <w:rsid w:val="00FB1FB5"/>
    <w:rsid w:val="00FB2018"/>
    <w:rsid w:val="00FB22A4"/>
    <w:rsid w:val="00FB2677"/>
    <w:rsid w:val="00FB2932"/>
    <w:rsid w:val="00FB298E"/>
    <w:rsid w:val="00FB3164"/>
    <w:rsid w:val="00FB3246"/>
    <w:rsid w:val="00FB326D"/>
    <w:rsid w:val="00FB376F"/>
    <w:rsid w:val="00FB38C6"/>
    <w:rsid w:val="00FB3DDE"/>
    <w:rsid w:val="00FB4165"/>
    <w:rsid w:val="00FB46FA"/>
    <w:rsid w:val="00FB48F8"/>
    <w:rsid w:val="00FB490A"/>
    <w:rsid w:val="00FB4951"/>
    <w:rsid w:val="00FB4AA8"/>
    <w:rsid w:val="00FB4B1C"/>
    <w:rsid w:val="00FB4CEF"/>
    <w:rsid w:val="00FB4D44"/>
    <w:rsid w:val="00FB4DBB"/>
    <w:rsid w:val="00FB5197"/>
    <w:rsid w:val="00FB520C"/>
    <w:rsid w:val="00FB53AB"/>
    <w:rsid w:val="00FB5473"/>
    <w:rsid w:val="00FB551A"/>
    <w:rsid w:val="00FB5616"/>
    <w:rsid w:val="00FB58DE"/>
    <w:rsid w:val="00FB5904"/>
    <w:rsid w:val="00FB59B9"/>
    <w:rsid w:val="00FB5AA4"/>
    <w:rsid w:val="00FB5B40"/>
    <w:rsid w:val="00FB5D3C"/>
    <w:rsid w:val="00FB5FE4"/>
    <w:rsid w:val="00FB608A"/>
    <w:rsid w:val="00FB6215"/>
    <w:rsid w:val="00FB6377"/>
    <w:rsid w:val="00FB65A5"/>
    <w:rsid w:val="00FB6608"/>
    <w:rsid w:val="00FB663B"/>
    <w:rsid w:val="00FB66BF"/>
    <w:rsid w:val="00FB6956"/>
    <w:rsid w:val="00FB6977"/>
    <w:rsid w:val="00FB69B9"/>
    <w:rsid w:val="00FB6E76"/>
    <w:rsid w:val="00FB6F61"/>
    <w:rsid w:val="00FB6FAF"/>
    <w:rsid w:val="00FB72DC"/>
    <w:rsid w:val="00FB72EE"/>
    <w:rsid w:val="00FB7313"/>
    <w:rsid w:val="00FB73FF"/>
    <w:rsid w:val="00FB770E"/>
    <w:rsid w:val="00FB771B"/>
    <w:rsid w:val="00FB7887"/>
    <w:rsid w:val="00FB79A6"/>
    <w:rsid w:val="00FB7ABE"/>
    <w:rsid w:val="00FB7AF7"/>
    <w:rsid w:val="00FB7C4D"/>
    <w:rsid w:val="00FB7D6D"/>
    <w:rsid w:val="00FB7E13"/>
    <w:rsid w:val="00FB7F1D"/>
    <w:rsid w:val="00FC03B4"/>
    <w:rsid w:val="00FC04F8"/>
    <w:rsid w:val="00FC060D"/>
    <w:rsid w:val="00FC07A1"/>
    <w:rsid w:val="00FC09FA"/>
    <w:rsid w:val="00FC0A84"/>
    <w:rsid w:val="00FC0B61"/>
    <w:rsid w:val="00FC0B7E"/>
    <w:rsid w:val="00FC0B85"/>
    <w:rsid w:val="00FC0ECD"/>
    <w:rsid w:val="00FC0FF8"/>
    <w:rsid w:val="00FC113C"/>
    <w:rsid w:val="00FC1173"/>
    <w:rsid w:val="00FC126C"/>
    <w:rsid w:val="00FC14BB"/>
    <w:rsid w:val="00FC1516"/>
    <w:rsid w:val="00FC173F"/>
    <w:rsid w:val="00FC1C18"/>
    <w:rsid w:val="00FC222F"/>
    <w:rsid w:val="00FC246E"/>
    <w:rsid w:val="00FC283E"/>
    <w:rsid w:val="00FC2853"/>
    <w:rsid w:val="00FC289E"/>
    <w:rsid w:val="00FC2A0C"/>
    <w:rsid w:val="00FC2B10"/>
    <w:rsid w:val="00FC2E26"/>
    <w:rsid w:val="00FC2F40"/>
    <w:rsid w:val="00FC2F4A"/>
    <w:rsid w:val="00FC3088"/>
    <w:rsid w:val="00FC32C2"/>
    <w:rsid w:val="00FC3518"/>
    <w:rsid w:val="00FC358B"/>
    <w:rsid w:val="00FC36AE"/>
    <w:rsid w:val="00FC373E"/>
    <w:rsid w:val="00FC397A"/>
    <w:rsid w:val="00FC39DD"/>
    <w:rsid w:val="00FC3A64"/>
    <w:rsid w:val="00FC3BF0"/>
    <w:rsid w:val="00FC3DED"/>
    <w:rsid w:val="00FC3E0B"/>
    <w:rsid w:val="00FC3FB9"/>
    <w:rsid w:val="00FC40F1"/>
    <w:rsid w:val="00FC4260"/>
    <w:rsid w:val="00FC428B"/>
    <w:rsid w:val="00FC42D4"/>
    <w:rsid w:val="00FC44DB"/>
    <w:rsid w:val="00FC45A0"/>
    <w:rsid w:val="00FC45B2"/>
    <w:rsid w:val="00FC45F8"/>
    <w:rsid w:val="00FC4601"/>
    <w:rsid w:val="00FC46E3"/>
    <w:rsid w:val="00FC47F4"/>
    <w:rsid w:val="00FC4872"/>
    <w:rsid w:val="00FC4BC4"/>
    <w:rsid w:val="00FC4BDF"/>
    <w:rsid w:val="00FC500A"/>
    <w:rsid w:val="00FC50D8"/>
    <w:rsid w:val="00FC5224"/>
    <w:rsid w:val="00FC5235"/>
    <w:rsid w:val="00FC541A"/>
    <w:rsid w:val="00FC575A"/>
    <w:rsid w:val="00FC57A9"/>
    <w:rsid w:val="00FC5BA6"/>
    <w:rsid w:val="00FC5BBF"/>
    <w:rsid w:val="00FC5C5D"/>
    <w:rsid w:val="00FC5F65"/>
    <w:rsid w:val="00FC61C6"/>
    <w:rsid w:val="00FC62F5"/>
    <w:rsid w:val="00FC631E"/>
    <w:rsid w:val="00FC65EB"/>
    <w:rsid w:val="00FC6885"/>
    <w:rsid w:val="00FC6918"/>
    <w:rsid w:val="00FC6AD3"/>
    <w:rsid w:val="00FC6C82"/>
    <w:rsid w:val="00FC6F8A"/>
    <w:rsid w:val="00FC7031"/>
    <w:rsid w:val="00FC7054"/>
    <w:rsid w:val="00FC7086"/>
    <w:rsid w:val="00FC74D3"/>
    <w:rsid w:val="00FC7663"/>
    <w:rsid w:val="00FC7E27"/>
    <w:rsid w:val="00FC7EBC"/>
    <w:rsid w:val="00FD00BD"/>
    <w:rsid w:val="00FD0182"/>
    <w:rsid w:val="00FD04D1"/>
    <w:rsid w:val="00FD06B4"/>
    <w:rsid w:val="00FD073B"/>
    <w:rsid w:val="00FD0774"/>
    <w:rsid w:val="00FD0902"/>
    <w:rsid w:val="00FD0926"/>
    <w:rsid w:val="00FD0983"/>
    <w:rsid w:val="00FD0A59"/>
    <w:rsid w:val="00FD0B43"/>
    <w:rsid w:val="00FD0C2B"/>
    <w:rsid w:val="00FD0C42"/>
    <w:rsid w:val="00FD0D33"/>
    <w:rsid w:val="00FD0DD3"/>
    <w:rsid w:val="00FD0F1D"/>
    <w:rsid w:val="00FD0FB1"/>
    <w:rsid w:val="00FD0FE8"/>
    <w:rsid w:val="00FD114E"/>
    <w:rsid w:val="00FD1D1F"/>
    <w:rsid w:val="00FD1DA0"/>
    <w:rsid w:val="00FD1DE1"/>
    <w:rsid w:val="00FD1F24"/>
    <w:rsid w:val="00FD1F84"/>
    <w:rsid w:val="00FD20AB"/>
    <w:rsid w:val="00FD2265"/>
    <w:rsid w:val="00FD253D"/>
    <w:rsid w:val="00FD26C1"/>
    <w:rsid w:val="00FD27D1"/>
    <w:rsid w:val="00FD27F5"/>
    <w:rsid w:val="00FD29EE"/>
    <w:rsid w:val="00FD2ADB"/>
    <w:rsid w:val="00FD2DDA"/>
    <w:rsid w:val="00FD2E3C"/>
    <w:rsid w:val="00FD3077"/>
    <w:rsid w:val="00FD3131"/>
    <w:rsid w:val="00FD315A"/>
    <w:rsid w:val="00FD31D1"/>
    <w:rsid w:val="00FD3202"/>
    <w:rsid w:val="00FD32CA"/>
    <w:rsid w:val="00FD3556"/>
    <w:rsid w:val="00FD3691"/>
    <w:rsid w:val="00FD3814"/>
    <w:rsid w:val="00FD3823"/>
    <w:rsid w:val="00FD383F"/>
    <w:rsid w:val="00FD39D2"/>
    <w:rsid w:val="00FD3BC9"/>
    <w:rsid w:val="00FD3BD4"/>
    <w:rsid w:val="00FD4297"/>
    <w:rsid w:val="00FD42B8"/>
    <w:rsid w:val="00FD45B2"/>
    <w:rsid w:val="00FD4632"/>
    <w:rsid w:val="00FD4695"/>
    <w:rsid w:val="00FD47B4"/>
    <w:rsid w:val="00FD4EBB"/>
    <w:rsid w:val="00FD50CE"/>
    <w:rsid w:val="00FD52AC"/>
    <w:rsid w:val="00FD5362"/>
    <w:rsid w:val="00FD5409"/>
    <w:rsid w:val="00FD5460"/>
    <w:rsid w:val="00FD55B0"/>
    <w:rsid w:val="00FD55FF"/>
    <w:rsid w:val="00FD560C"/>
    <w:rsid w:val="00FD57A8"/>
    <w:rsid w:val="00FD57B8"/>
    <w:rsid w:val="00FD5848"/>
    <w:rsid w:val="00FD5A36"/>
    <w:rsid w:val="00FD5A74"/>
    <w:rsid w:val="00FD5A92"/>
    <w:rsid w:val="00FD5C34"/>
    <w:rsid w:val="00FD5C7B"/>
    <w:rsid w:val="00FD5DB7"/>
    <w:rsid w:val="00FD5E54"/>
    <w:rsid w:val="00FD5F8E"/>
    <w:rsid w:val="00FD6393"/>
    <w:rsid w:val="00FD63D4"/>
    <w:rsid w:val="00FD659E"/>
    <w:rsid w:val="00FD6620"/>
    <w:rsid w:val="00FD6668"/>
    <w:rsid w:val="00FD6A85"/>
    <w:rsid w:val="00FD6D02"/>
    <w:rsid w:val="00FD6D78"/>
    <w:rsid w:val="00FD6DBD"/>
    <w:rsid w:val="00FD6E62"/>
    <w:rsid w:val="00FD6ECA"/>
    <w:rsid w:val="00FD6F3C"/>
    <w:rsid w:val="00FD739D"/>
    <w:rsid w:val="00FD73CD"/>
    <w:rsid w:val="00FD7495"/>
    <w:rsid w:val="00FD7613"/>
    <w:rsid w:val="00FD78D6"/>
    <w:rsid w:val="00FD7A7B"/>
    <w:rsid w:val="00FD7D82"/>
    <w:rsid w:val="00FD7E6A"/>
    <w:rsid w:val="00FE01F4"/>
    <w:rsid w:val="00FE0400"/>
    <w:rsid w:val="00FE046A"/>
    <w:rsid w:val="00FE04AF"/>
    <w:rsid w:val="00FE0818"/>
    <w:rsid w:val="00FE0954"/>
    <w:rsid w:val="00FE0A19"/>
    <w:rsid w:val="00FE0C0B"/>
    <w:rsid w:val="00FE0D1C"/>
    <w:rsid w:val="00FE0D35"/>
    <w:rsid w:val="00FE0D51"/>
    <w:rsid w:val="00FE0D59"/>
    <w:rsid w:val="00FE0D63"/>
    <w:rsid w:val="00FE0FD2"/>
    <w:rsid w:val="00FE10B2"/>
    <w:rsid w:val="00FE1329"/>
    <w:rsid w:val="00FE1417"/>
    <w:rsid w:val="00FE16C6"/>
    <w:rsid w:val="00FE184A"/>
    <w:rsid w:val="00FE185F"/>
    <w:rsid w:val="00FE19B1"/>
    <w:rsid w:val="00FE19D2"/>
    <w:rsid w:val="00FE1CAB"/>
    <w:rsid w:val="00FE1CE9"/>
    <w:rsid w:val="00FE1DD8"/>
    <w:rsid w:val="00FE1E67"/>
    <w:rsid w:val="00FE1E68"/>
    <w:rsid w:val="00FE21BD"/>
    <w:rsid w:val="00FE233B"/>
    <w:rsid w:val="00FE25F0"/>
    <w:rsid w:val="00FE2715"/>
    <w:rsid w:val="00FE2A6A"/>
    <w:rsid w:val="00FE2C8A"/>
    <w:rsid w:val="00FE2CD1"/>
    <w:rsid w:val="00FE2D6A"/>
    <w:rsid w:val="00FE2E80"/>
    <w:rsid w:val="00FE2E87"/>
    <w:rsid w:val="00FE3038"/>
    <w:rsid w:val="00FE30B0"/>
    <w:rsid w:val="00FE35A1"/>
    <w:rsid w:val="00FE37C5"/>
    <w:rsid w:val="00FE3894"/>
    <w:rsid w:val="00FE3E7D"/>
    <w:rsid w:val="00FE3FE7"/>
    <w:rsid w:val="00FE41AE"/>
    <w:rsid w:val="00FE41E5"/>
    <w:rsid w:val="00FE42FE"/>
    <w:rsid w:val="00FE43A5"/>
    <w:rsid w:val="00FE4405"/>
    <w:rsid w:val="00FE4496"/>
    <w:rsid w:val="00FE45DF"/>
    <w:rsid w:val="00FE46D6"/>
    <w:rsid w:val="00FE4CD1"/>
    <w:rsid w:val="00FE4F9C"/>
    <w:rsid w:val="00FE4FD9"/>
    <w:rsid w:val="00FE5053"/>
    <w:rsid w:val="00FE5101"/>
    <w:rsid w:val="00FE5128"/>
    <w:rsid w:val="00FE52E7"/>
    <w:rsid w:val="00FE55AF"/>
    <w:rsid w:val="00FE5C93"/>
    <w:rsid w:val="00FE5D0B"/>
    <w:rsid w:val="00FE5DD0"/>
    <w:rsid w:val="00FE5E5C"/>
    <w:rsid w:val="00FE603D"/>
    <w:rsid w:val="00FE6044"/>
    <w:rsid w:val="00FE6098"/>
    <w:rsid w:val="00FE63E6"/>
    <w:rsid w:val="00FE665C"/>
    <w:rsid w:val="00FE66B1"/>
    <w:rsid w:val="00FE686B"/>
    <w:rsid w:val="00FE6A36"/>
    <w:rsid w:val="00FE6B56"/>
    <w:rsid w:val="00FE6FB7"/>
    <w:rsid w:val="00FE719A"/>
    <w:rsid w:val="00FE73CB"/>
    <w:rsid w:val="00FE73DC"/>
    <w:rsid w:val="00FE7505"/>
    <w:rsid w:val="00FE7847"/>
    <w:rsid w:val="00FE7B76"/>
    <w:rsid w:val="00FE7CDC"/>
    <w:rsid w:val="00FE7EB0"/>
    <w:rsid w:val="00FE7FCD"/>
    <w:rsid w:val="00FF004B"/>
    <w:rsid w:val="00FF07E1"/>
    <w:rsid w:val="00FF09E7"/>
    <w:rsid w:val="00FF0AEE"/>
    <w:rsid w:val="00FF0BC7"/>
    <w:rsid w:val="00FF0C52"/>
    <w:rsid w:val="00FF11CA"/>
    <w:rsid w:val="00FF1457"/>
    <w:rsid w:val="00FF17D3"/>
    <w:rsid w:val="00FF1ADA"/>
    <w:rsid w:val="00FF1BC6"/>
    <w:rsid w:val="00FF1F4A"/>
    <w:rsid w:val="00FF2143"/>
    <w:rsid w:val="00FF21AE"/>
    <w:rsid w:val="00FF21E3"/>
    <w:rsid w:val="00FF22C8"/>
    <w:rsid w:val="00FF233B"/>
    <w:rsid w:val="00FF2487"/>
    <w:rsid w:val="00FF24A6"/>
    <w:rsid w:val="00FF2A78"/>
    <w:rsid w:val="00FF2ACD"/>
    <w:rsid w:val="00FF2B75"/>
    <w:rsid w:val="00FF2E08"/>
    <w:rsid w:val="00FF2EDE"/>
    <w:rsid w:val="00FF2F4F"/>
    <w:rsid w:val="00FF2F6D"/>
    <w:rsid w:val="00FF2FE8"/>
    <w:rsid w:val="00FF30EE"/>
    <w:rsid w:val="00FF31CB"/>
    <w:rsid w:val="00FF31DC"/>
    <w:rsid w:val="00FF332E"/>
    <w:rsid w:val="00FF333E"/>
    <w:rsid w:val="00FF33B7"/>
    <w:rsid w:val="00FF3563"/>
    <w:rsid w:val="00FF35C9"/>
    <w:rsid w:val="00FF3760"/>
    <w:rsid w:val="00FF3A9D"/>
    <w:rsid w:val="00FF3BAB"/>
    <w:rsid w:val="00FF3D5D"/>
    <w:rsid w:val="00FF3D6B"/>
    <w:rsid w:val="00FF3DD2"/>
    <w:rsid w:val="00FF3FB0"/>
    <w:rsid w:val="00FF4126"/>
    <w:rsid w:val="00FF415F"/>
    <w:rsid w:val="00FF4420"/>
    <w:rsid w:val="00FF4550"/>
    <w:rsid w:val="00FF45E5"/>
    <w:rsid w:val="00FF481F"/>
    <w:rsid w:val="00FF5111"/>
    <w:rsid w:val="00FF53E5"/>
    <w:rsid w:val="00FF54CA"/>
    <w:rsid w:val="00FF5600"/>
    <w:rsid w:val="00FF5729"/>
    <w:rsid w:val="00FF578D"/>
    <w:rsid w:val="00FF596A"/>
    <w:rsid w:val="00FF5B5B"/>
    <w:rsid w:val="00FF5D63"/>
    <w:rsid w:val="00FF5D7F"/>
    <w:rsid w:val="00FF5E9B"/>
    <w:rsid w:val="00FF61B5"/>
    <w:rsid w:val="00FF6219"/>
    <w:rsid w:val="00FF6540"/>
    <w:rsid w:val="00FF6887"/>
    <w:rsid w:val="00FF6B97"/>
    <w:rsid w:val="00FF6CD5"/>
    <w:rsid w:val="00FF6D26"/>
    <w:rsid w:val="00FF6D91"/>
    <w:rsid w:val="00FF6E94"/>
    <w:rsid w:val="00FF71F3"/>
    <w:rsid w:val="00FF7297"/>
    <w:rsid w:val="00FF73F5"/>
    <w:rsid w:val="00FF742C"/>
    <w:rsid w:val="00FF7865"/>
    <w:rsid w:val="00FF7A53"/>
    <w:rsid w:val="00FF7B27"/>
    <w:rsid w:val="010E55FF"/>
    <w:rsid w:val="011074E5"/>
    <w:rsid w:val="01186515"/>
    <w:rsid w:val="01208F02"/>
    <w:rsid w:val="012E0794"/>
    <w:rsid w:val="012FDD77"/>
    <w:rsid w:val="0134C425"/>
    <w:rsid w:val="013BB96E"/>
    <w:rsid w:val="014D0611"/>
    <w:rsid w:val="014EE998"/>
    <w:rsid w:val="0156901F"/>
    <w:rsid w:val="015C9A2D"/>
    <w:rsid w:val="015EC289"/>
    <w:rsid w:val="0164917F"/>
    <w:rsid w:val="016A7427"/>
    <w:rsid w:val="01782C20"/>
    <w:rsid w:val="01788908"/>
    <w:rsid w:val="017A224A"/>
    <w:rsid w:val="0193ED2F"/>
    <w:rsid w:val="019C2421"/>
    <w:rsid w:val="019D418A"/>
    <w:rsid w:val="01AADFC9"/>
    <w:rsid w:val="01AF929B"/>
    <w:rsid w:val="01B6A700"/>
    <w:rsid w:val="01B7D46F"/>
    <w:rsid w:val="01B91406"/>
    <w:rsid w:val="01BD33FA"/>
    <w:rsid w:val="01BDA38D"/>
    <w:rsid w:val="01C839AC"/>
    <w:rsid w:val="01C8737A"/>
    <w:rsid w:val="01CAC735"/>
    <w:rsid w:val="01DB5052"/>
    <w:rsid w:val="01E21262"/>
    <w:rsid w:val="01EC7E8F"/>
    <w:rsid w:val="01EC93AA"/>
    <w:rsid w:val="01F774E6"/>
    <w:rsid w:val="01FB9B74"/>
    <w:rsid w:val="0204AA7A"/>
    <w:rsid w:val="02070837"/>
    <w:rsid w:val="020812E0"/>
    <w:rsid w:val="020A5392"/>
    <w:rsid w:val="020BC4C8"/>
    <w:rsid w:val="020F878F"/>
    <w:rsid w:val="0214615B"/>
    <w:rsid w:val="0219EA03"/>
    <w:rsid w:val="021E431B"/>
    <w:rsid w:val="0224AB2D"/>
    <w:rsid w:val="0228EA36"/>
    <w:rsid w:val="023116C8"/>
    <w:rsid w:val="0246BB5F"/>
    <w:rsid w:val="024E8FD8"/>
    <w:rsid w:val="02638567"/>
    <w:rsid w:val="026CA6D6"/>
    <w:rsid w:val="0274EDA9"/>
    <w:rsid w:val="0277BB48"/>
    <w:rsid w:val="0279B48A"/>
    <w:rsid w:val="027A0A43"/>
    <w:rsid w:val="027BB9BA"/>
    <w:rsid w:val="028DC34F"/>
    <w:rsid w:val="02920E23"/>
    <w:rsid w:val="029653B2"/>
    <w:rsid w:val="029904ED"/>
    <w:rsid w:val="029D2964"/>
    <w:rsid w:val="02AD18EE"/>
    <w:rsid w:val="02BA6064"/>
    <w:rsid w:val="02BD6C82"/>
    <w:rsid w:val="02C22421"/>
    <w:rsid w:val="02C991FC"/>
    <w:rsid w:val="02D12ECA"/>
    <w:rsid w:val="02D1AB5F"/>
    <w:rsid w:val="02EF3463"/>
    <w:rsid w:val="02F7083E"/>
    <w:rsid w:val="0309B39C"/>
    <w:rsid w:val="031209CD"/>
    <w:rsid w:val="031372AD"/>
    <w:rsid w:val="0315FFC2"/>
    <w:rsid w:val="0316EA1E"/>
    <w:rsid w:val="031733B7"/>
    <w:rsid w:val="031D4DF4"/>
    <w:rsid w:val="0323CFF6"/>
    <w:rsid w:val="03252C02"/>
    <w:rsid w:val="03376A0F"/>
    <w:rsid w:val="03417A3F"/>
    <w:rsid w:val="03423B2B"/>
    <w:rsid w:val="034240E0"/>
    <w:rsid w:val="03470D16"/>
    <w:rsid w:val="034E3497"/>
    <w:rsid w:val="03512063"/>
    <w:rsid w:val="0354700F"/>
    <w:rsid w:val="0367E30F"/>
    <w:rsid w:val="03753F1B"/>
    <w:rsid w:val="037AE6D3"/>
    <w:rsid w:val="038204F6"/>
    <w:rsid w:val="038438E5"/>
    <w:rsid w:val="03846678"/>
    <w:rsid w:val="0386DFC9"/>
    <w:rsid w:val="0387EAF9"/>
    <w:rsid w:val="0392F0A3"/>
    <w:rsid w:val="03A02802"/>
    <w:rsid w:val="03A9B0E7"/>
    <w:rsid w:val="03BDE2F5"/>
    <w:rsid w:val="03D81592"/>
    <w:rsid w:val="03DE7F72"/>
    <w:rsid w:val="03E25190"/>
    <w:rsid w:val="03F52078"/>
    <w:rsid w:val="03F981A8"/>
    <w:rsid w:val="03FFBB60"/>
    <w:rsid w:val="0402AE8E"/>
    <w:rsid w:val="0405C7BA"/>
    <w:rsid w:val="0411C8AB"/>
    <w:rsid w:val="0412BC06"/>
    <w:rsid w:val="0416B1B8"/>
    <w:rsid w:val="0416BACB"/>
    <w:rsid w:val="041996DC"/>
    <w:rsid w:val="041A7171"/>
    <w:rsid w:val="041A7B3A"/>
    <w:rsid w:val="041EBDBB"/>
    <w:rsid w:val="04283CE4"/>
    <w:rsid w:val="044884BE"/>
    <w:rsid w:val="04577A92"/>
    <w:rsid w:val="0460BBD9"/>
    <w:rsid w:val="0467F4B6"/>
    <w:rsid w:val="0473B994"/>
    <w:rsid w:val="047479F8"/>
    <w:rsid w:val="047CCABF"/>
    <w:rsid w:val="0484767A"/>
    <w:rsid w:val="04877CEE"/>
    <w:rsid w:val="04880AC5"/>
    <w:rsid w:val="0489E846"/>
    <w:rsid w:val="04920536"/>
    <w:rsid w:val="04931DD1"/>
    <w:rsid w:val="0493745F"/>
    <w:rsid w:val="049D4168"/>
    <w:rsid w:val="04AB2A00"/>
    <w:rsid w:val="04ACBDC9"/>
    <w:rsid w:val="04AE7717"/>
    <w:rsid w:val="04B9CC8E"/>
    <w:rsid w:val="04C821DD"/>
    <w:rsid w:val="04CCE288"/>
    <w:rsid w:val="04D7B31C"/>
    <w:rsid w:val="04DABE06"/>
    <w:rsid w:val="04DEE3D3"/>
    <w:rsid w:val="04E78798"/>
    <w:rsid w:val="04F054F3"/>
    <w:rsid w:val="04F7B1E4"/>
    <w:rsid w:val="04FAA586"/>
    <w:rsid w:val="050A9037"/>
    <w:rsid w:val="050B8B2F"/>
    <w:rsid w:val="050CCABD"/>
    <w:rsid w:val="0512426F"/>
    <w:rsid w:val="0515FAEF"/>
    <w:rsid w:val="05194800"/>
    <w:rsid w:val="051BAB85"/>
    <w:rsid w:val="052ED178"/>
    <w:rsid w:val="053469A0"/>
    <w:rsid w:val="05354194"/>
    <w:rsid w:val="05398605"/>
    <w:rsid w:val="053A7A27"/>
    <w:rsid w:val="0542D150"/>
    <w:rsid w:val="054507BE"/>
    <w:rsid w:val="05479B67"/>
    <w:rsid w:val="054832B9"/>
    <w:rsid w:val="054981AA"/>
    <w:rsid w:val="05515674"/>
    <w:rsid w:val="05537C5D"/>
    <w:rsid w:val="055D22B6"/>
    <w:rsid w:val="05656755"/>
    <w:rsid w:val="0573185D"/>
    <w:rsid w:val="058FF029"/>
    <w:rsid w:val="0592FA0F"/>
    <w:rsid w:val="0596388D"/>
    <w:rsid w:val="059BF306"/>
    <w:rsid w:val="059EFB5F"/>
    <w:rsid w:val="059F451C"/>
    <w:rsid w:val="05A34042"/>
    <w:rsid w:val="05A78EAA"/>
    <w:rsid w:val="05AE3A47"/>
    <w:rsid w:val="05CD240F"/>
    <w:rsid w:val="05DB3ACF"/>
    <w:rsid w:val="05DCE45A"/>
    <w:rsid w:val="05DFAE9B"/>
    <w:rsid w:val="05DFB4BF"/>
    <w:rsid w:val="05EB4B65"/>
    <w:rsid w:val="05ED9D81"/>
    <w:rsid w:val="05F3C459"/>
    <w:rsid w:val="05FCEE25"/>
    <w:rsid w:val="05FD1B92"/>
    <w:rsid w:val="05FEF798"/>
    <w:rsid w:val="0612F5BA"/>
    <w:rsid w:val="0615BDBE"/>
    <w:rsid w:val="0619E2ED"/>
    <w:rsid w:val="061CA96C"/>
    <w:rsid w:val="06250954"/>
    <w:rsid w:val="0634DA90"/>
    <w:rsid w:val="063F120F"/>
    <w:rsid w:val="063F18CE"/>
    <w:rsid w:val="0641CCC3"/>
    <w:rsid w:val="0644B02A"/>
    <w:rsid w:val="064F0517"/>
    <w:rsid w:val="06521A80"/>
    <w:rsid w:val="0653968B"/>
    <w:rsid w:val="0669F319"/>
    <w:rsid w:val="06724C40"/>
    <w:rsid w:val="0673924F"/>
    <w:rsid w:val="06785A2E"/>
    <w:rsid w:val="06787C84"/>
    <w:rsid w:val="068673D1"/>
    <w:rsid w:val="06869443"/>
    <w:rsid w:val="068C6BFE"/>
    <w:rsid w:val="0695536B"/>
    <w:rsid w:val="069D38EF"/>
    <w:rsid w:val="069DDEEF"/>
    <w:rsid w:val="06AF1AB9"/>
    <w:rsid w:val="06AF8ADE"/>
    <w:rsid w:val="06B3E47F"/>
    <w:rsid w:val="06B905C1"/>
    <w:rsid w:val="06BD42E6"/>
    <w:rsid w:val="06BDF7E3"/>
    <w:rsid w:val="06C95DEB"/>
    <w:rsid w:val="06CEB0A6"/>
    <w:rsid w:val="06DBF064"/>
    <w:rsid w:val="06E97C7E"/>
    <w:rsid w:val="06F4F1A1"/>
    <w:rsid w:val="06FDBCBF"/>
    <w:rsid w:val="070462E0"/>
    <w:rsid w:val="07112623"/>
    <w:rsid w:val="071A6D53"/>
    <w:rsid w:val="071DEFE2"/>
    <w:rsid w:val="07202903"/>
    <w:rsid w:val="07247F9A"/>
    <w:rsid w:val="07278A0B"/>
    <w:rsid w:val="07310512"/>
    <w:rsid w:val="073603BF"/>
    <w:rsid w:val="0738937D"/>
    <w:rsid w:val="0740F7EB"/>
    <w:rsid w:val="07538252"/>
    <w:rsid w:val="075AF7D0"/>
    <w:rsid w:val="0762D6F1"/>
    <w:rsid w:val="076F68A4"/>
    <w:rsid w:val="076F7A41"/>
    <w:rsid w:val="07754622"/>
    <w:rsid w:val="077591F7"/>
    <w:rsid w:val="07840E1E"/>
    <w:rsid w:val="0794E4B5"/>
    <w:rsid w:val="079B1320"/>
    <w:rsid w:val="07A1C080"/>
    <w:rsid w:val="07A486AF"/>
    <w:rsid w:val="07B02F24"/>
    <w:rsid w:val="07C0AA51"/>
    <w:rsid w:val="07C11C3F"/>
    <w:rsid w:val="07CD5CBF"/>
    <w:rsid w:val="07D05CB4"/>
    <w:rsid w:val="07D130A7"/>
    <w:rsid w:val="07D59D49"/>
    <w:rsid w:val="07E063B3"/>
    <w:rsid w:val="07E88C20"/>
    <w:rsid w:val="07EB8D0E"/>
    <w:rsid w:val="07F394B4"/>
    <w:rsid w:val="07F6D4A9"/>
    <w:rsid w:val="07FBC39E"/>
    <w:rsid w:val="07FD6854"/>
    <w:rsid w:val="0801A832"/>
    <w:rsid w:val="08036BDF"/>
    <w:rsid w:val="08088EBC"/>
    <w:rsid w:val="080C8ACF"/>
    <w:rsid w:val="08127EB4"/>
    <w:rsid w:val="0815AF1A"/>
    <w:rsid w:val="081E251C"/>
    <w:rsid w:val="0828F3D5"/>
    <w:rsid w:val="082BE16F"/>
    <w:rsid w:val="08354524"/>
    <w:rsid w:val="084DFC83"/>
    <w:rsid w:val="085176B0"/>
    <w:rsid w:val="0854C2E9"/>
    <w:rsid w:val="0857CF92"/>
    <w:rsid w:val="086288A1"/>
    <w:rsid w:val="08697620"/>
    <w:rsid w:val="086C229B"/>
    <w:rsid w:val="08753684"/>
    <w:rsid w:val="0876E5D8"/>
    <w:rsid w:val="0878294C"/>
    <w:rsid w:val="0879CFEC"/>
    <w:rsid w:val="0879FD32"/>
    <w:rsid w:val="0880D929"/>
    <w:rsid w:val="08868E39"/>
    <w:rsid w:val="088C5B87"/>
    <w:rsid w:val="088D8300"/>
    <w:rsid w:val="0894B43B"/>
    <w:rsid w:val="0895E428"/>
    <w:rsid w:val="0898896F"/>
    <w:rsid w:val="08A1371A"/>
    <w:rsid w:val="08ADFADE"/>
    <w:rsid w:val="08AF3C91"/>
    <w:rsid w:val="08B219A8"/>
    <w:rsid w:val="08B3840F"/>
    <w:rsid w:val="08B837D2"/>
    <w:rsid w:val="08CD0750"/>
    <w:rsid w:val="08CDC82C"/>
    <w:rsid w:val="08D1435C"/>
    <w:rsid w:val="08D7D963"/>
    <w:rsid w:val="08E9740F"/>
    <w:rsid w:val="08FD342D"/>
    <w:rsid w:val="09012F79"/>
    <w:rsid w:val="0901F5AF"/>
    <w:rsid w:val="0902321F"/>
    <w:rsid w:val="09086F67"/>
    <w:rsid w:val="091054DF"/>
    <w:rsid w:val="091605DB"/>
    <w:rsid w:val="0917D010"/>
    <w:rsid w:val="091ED958"/>
    <w:rsid w:val="09225E0A"/>
    <w:rsid w:val="09239612"/>
    <w:rsid w:val="09399C74"/>
    <w:rsid w:val="0949770C"/>
    <w:rsid w:val="0949DBCB"/>
    <w:rsid w:val="094B64BF"/>
    <w:rsid w:val="0950B5A2"/>
    <w:rsid w:val="095F962F"/>
    <w:rsid w:val="0962F330"/>
    <w:rsid w:val="0964B7FF"/>
    <w:rsid w:val="0966ED3B"/>
    <w:rsid w:val="096B4163"/>
    <w:rsid w:val="09733398"/>
    <w:rsid w:val="09795CF7"/>
    <w:rsid w:val="0979C27E"/>
    <w:rsid w:val="0981FF77"/>
    <w:rsid w:val="0984A672"/>
    <w:rsid w:val="099C1A43"/>
    <w:rsid w:val="099F6A5D"/>
    <w:rsid w:val="09A4AE6D"/>
    <w:rsid w:val="09A508FF"/>
    <w:rsid w:val="09A5091B"/>
    <w:rsid w:val="09AF1980"/>
    <w:rsid w:val="09AF8BE6"/>
    <w:rsid w:val="09B42F3B"/>
    <w:rsid w:val="09C7FBEB"/>
    <w:rsid w:val="09CB8FBF"/>
    <w:rsid w:val="09E1CFA5"/>
    <w:rsid w:val="09E2DCD3"/>
    <w:rsid w:val="09F2E37B"/>
    <w:rsid w:val="09F4D8AF"/>
    <w:rsid w:val="09F78968"/>
    <w:rsid w:val="09F87B96"/>
    <w:rsid w:val="0A048A89"/>
    <w:rsid w:val="0A0E254E"/>
    <w:rsid w:val="0A19AF29"/>
    <w:rsid w:val="0A1EA92F"/>
    <w:rsid w:val="0A274752"/>
    <w:rsid w:val="0A2E8DA1"/>
    <w:rsid w:val="0A3F64FB"/>
    <w:rsid w:val="0A4D2574"/>
    <w:rsid w:val="0A4EA804"/>
    <w:rsid w:val="0A60FE02"/>
    <w:rsid w:val="0A620667"/>
    <w:rsid w:val="0A623997"/>
    <w:rsid w:val="0A62BCFC"/>
    <w:rsid w:val="0A6DBB41"/>
    <w:rsid w:val="0A7903B6"/>
    <w:rsid w:val="0A79103B"/>
    <w:rsid w:val="0A917343"/>
    <w:rsid w:val="0A942E07"/>
    <w:rsid w:val="0AA42A29"/>
    <w:rsid w:val="0AA60563"/>
    <w:rsid w:val="0AA66C8F"/>
    <w:rsid w:val="0AAA059C"/>
    <w:rsid w:val="0ABDED68"/>
    <w:rsid w:val="0AD0D4B7"/>
    <w:rsid w:val="0AD32C8D"/>
    <w:rsid w:val="0AD701FC"/>
    <w:rsid w:val="0AE22F0D"/>
    <w:rsid w:val="0AE79931"/>
    <w:rsid w:val="0AE9B45E"/>
    <w:rsid w:val="0AEDF2C0"/>
    <w:rsid w:val="0AEFE594"/>
    <w:rsid w:val="0AEFE824"/>
    <w:rsid w:val="0AF4AC52"/>
    <w:rsid w:val="0AF832EA"/>
    <w:rsid w:val="0AFC2920"/>
    <w:rsid w:val="0AFF30B4"/>
    <w:rsid w:val="0B06E8E4"/>
    <w:rsid w:val="0B08DBA8"/>
    <w:rsid w:val="0B0C7FB8"/>
    <w:rsid w:val="0B0CB2C3"/>
    <w:rsid w:val="0B0CCB7C"/>
    <w:rsid w:val="0B1520C2"/>
    <w:rsid w:val="0B152E53"/>
    <w:rsid w:val="0B1980A8"/>
    <w:rsid w:val="0B1C3AB3"/>
    <w:rsid w:val="0B20B84D"/>
    <w:rsid w:val="0B28A281"/>
    <w:rsid w:val="0B2B823C"/>
    <w:rsid w:val="0B2F285B"/>
    <w:rsid w:val="0B30A5EC"/>
    <w:rsid w:val="0B46E59C"/>
    <w:rsid w:val="0B4712AC"/>
    <w:rsid w:val="0B4B35DB"/>
    <w:rsid w:val="0B534A0A"/>
    <w:rsid w:val="0B570827"/>
    <w:rsid w:val="0B59CEE2"/>
    <w:rsid w:val="0B5BF88B"/>
    <w:rsid w:val="0B5E0200"/>
    <w:rsid w:val="0B765CA6"/>
    <w:rsid w:val="0B7AEC46"/>
    <w:rsid w:val="0B7B6CC2"/>
    <w:rsid w:val="0B8DCA35"/>
    <w:rsid w:val="0B8DDF69"/>
    <w:rsid w:val="0B9464FC"/>
    <w:rsid w:val="0B974B32"/>
    <w:rsid w:val="0B9B40A8"/>
    <w:rsid w:val="0B9B9510"/>
    <w:rsid w:val="0BA4F244"/>
    <w:rsid w:val="0BAABEA7"/>
    <w:rsid w:val="0BB2A9E1"/>
    <w:rsid w:val="0BBE9B17"/>
    <w:rsid w:val="0BD29BE7"/>
    <w:rsid w:val="0BDBCFC4"/>
    <w:rsid w:val="0BDC09F5"/>
    <w:rsid w:val="0BDDCE37"/>
    <w:rsid w:val="0BE2D2CC"/>
    <w:rsid w:val="0BF03D09"/>
    <w:rsid w:val="0BF4CF2A"/>
    <w:rsid w:val="0BF76339"/>
    <w:rsid w:val="0C010187"/>
    <w:rsid w:val="0C0C2D44"/>
    <w:rsid w:val="0C0EAA73"/>
    <w:rsid w:val="0C3B0F08"/>
    <w:rsid w:val="0C3DA553"/>
    <w:rsid w:val="0C3FBA1F"/>
    <w:rsid w:val="0C4253A0"/>
    <w:rsid w:val="0C61B9FE"/>
    <w:rsid w:val="0C61BE76"/>
    <w:rsid w:val="0C63CAD4"/>
    <w:rsid w:val="0C7236F7"/>
    <w:rsid w:val="0C76090E"/>
    <w:rsid w:val="0C762905"/>
    <w:rsid w:val="0C867BFF"/>
    <w:rsid w:val="0C922D26"/>
    <w:rsid w:val="0C969BED"/>
    <w:rsid w:val="0C9B73D6"/>
    <w:rsid w:val="0C9C40AC"/>
    <w:rsid w:val="0CA67AA6"/>
    <w:rsid w:val="0CAB448D"/>
    <w:rsid w:val="0CAD917E"/>
    <w:rsid w:val="0CAE73DA"/>
    <w:rsid w:val="0CB02B7A"/>
    <w:rsid w:val="0CBF5F72"/>
    <w:rsid w:val="0CE6904C"/>
    <w:rsid w:val="0CFF09AC"/>
    <w:rsid w:val="0D040F68"/>
    <w:rsid w:val="0D059F16"/>
    <w:rsid w:val="0D0BA982"/>
    <w:rsid w:val="0D0BC481"/>
    <w:rsid w:val="0D1406DA"/>
    <w:rsid w:val="0D14B2D4"/>
    <w:rsid w:val="0D2BE3EB"/>
    <w:rsid w:val="0D2EEC70"/>
    <w:rsid w:val="0D39EBFA"/>
    <w:rsid w:val="0D4360A7"/>
    <w:rsid w:val="0D45F092"/>
    <w:rsid w:val="0D4CC22C"/>
    <w:rsid w:val="0D52DDC8"/>
    <w:rsid w:val="0D55169F"/>
    <w:rsid w:val="0D57CEBD"/>
    <w:rsid w:val="0D59D87E"/>
    <w:rsid w:val="0D5ABDAE"/>
    <w:rsid w:val="0D604876"/>
    <w:rsid w:val="0D60D834"/>
    <w:rsid w:val="0D77944F"/>
    <w:rsid w:val="0D78A8F6"/>
    <w:rsid w:val="0D78C6BE"/>
    <w:rsid w:val="0D8E2EEF"/>
    <w:rsid w:val="0D9D2F32"/>
    <w:rsid w:val="0DA26FE7"/>
    <w:rsid w:val="0DA963F4"/>
    <w:rsid w:val="0DAE2D75"/>
    <w:rsid w:val="0DBA4878"/>
    <w:rsid w:val="0DC2E5C3"/>
    <w:rsid w:val="0DC41558"/>
    <w:rsid w:val="0DC6A7F7"/>
    <w:rsid w:val="0DC70615"/>
    <w:rsid w:val="0DC83DB2"/>
    <w:rsid w:val="0DCCE881"/>
    <w:rsid w:val="0DD12DB0"/>
    <w:rsid w:val="0DD423C6"/>
    <w:rsid w:val="0DD470CE"/>
    <w:rsid w:val="0DD7EE86"/>
    <w:rsid w:val="0DDE5702"/>
    <w:rsid w:val="0DDE6C85"/>
    <w:rsid w:val="0DE4AFAC"/>
    <w:rsid w:val="0DE5241B"/>
    <w:rsid w:val="0DE6A366"/>
    <w:rsid w:val="0DE7643F"/>
    <w:rsid w:val="0DE9FFA6"/>
    <w:rsid w:val="0DF5D595"/>
    <w:rsid w:val="0E01C535"/>
    <w:rsid w:val="0E0B11FB"/>
    <w:rsid w:val="0E0DB08D"/>
    <w:rsid w:val="0E10CBF5"/>
    <w:rsid w:val="0E12A8C9"/>
    <w:rsid w:val="0E17E38F"/>
    <w:rsid w:val="0E1947D8"/>
    <w:rsid w:val="0E1B47E2"/>
    <w:rsid w:val="0E1F4918"/>
    <w:rsid w:val="0E289546"/>
    <w:rsid w:val="0E2B4A64"/>
    <w:rsid w:val="0E31A5F2"/>
    <w:rsid w:val="0E366686"/>
    <w:rsid w:val="0E3DAC0A"/>
    <w:rsid w:val="0E495E72"/>
    <w:rsid w:val="0E4EECB3"/>
    <w:rsid w:val="0E4F60F7"/>
    <w:rsid w:val="0E548801"/>
    <w:rsid w:val="0E56F7F4"/>
    <w:rsid w:val="0E60295F"/>
    <w:rsid w:val="0E6C00CD"/>
    <w:rsid w:val="0E6CD794"/>
    <w:rsid w:val="0E6CDDB7"/>
    <w:rsid w:val="0E703E33"/>
    <w:rsid w:val="0E77F983"/>
    <w:rsid w:val="0E8F0544"/>
    <w:rsid w:val="0EA14906"/>
    <w:rsid w:val="0EA34802"/>
    <w:rsid w:val="0EACE63F"/>
    <w:rsid w:val="0EAFEB79"/>
    <w:rsid w:val="0EB17269"/>
    <w:rsid w:val="0EC078AE"/>
    <w:rsid w:val="0EC8DE94"/>
    <w:rsid w:val="0ED16FB5"/>
    <w:rsid w:val="0EE1AA39"/>
    <w:rsid w:val="0EE51243"/>
    <w:rsid w:val="0EE6C177"/>
    <w:rsid w:val="0EEBAD62"/>
    <w:rsid w:val="0EEF3AAA"/>
    <w:rsid w:val="0EF26334"/>
    <w:rsid w:val="0F061827"/>
    <w:rsid w:val="0F15551B"/>
    <w:rsid w:val="0F19D76E"/>
    <w:rsid w:val="0F2287D2"/>
    <w:rsid w:val="0F274951"/>
    <w:rsid w:val="0F2C1EA8"/>
    <w:rsid w:val="0F324523"/>
    <w:rsid w:val="0F32E994"/>
    <w:rsid w:val="0F34DFB1"/>
    <w:rsid w:val="0F473646"/>
    <w:rsid w:val="0F531E59"/>
    <w:rsid w:val="0F56ABCC"/>
    <w:rsid w:val="0F62DCF4"/>
    <w:rsid w:val="0F688C34"/>
    <w:rsid w:val="0F6FFABB"/>
    <w:rsid w:val="0F729012"/>
    <w:rsid w:val="0F7C4309"/>
    <w:rsid w:val="0F84BFAB"/>
    <w:rsid w:val="0F87A0C1"/>
    <w:rsid w:val="0F8979AC"/>
    <w:rsid w:val="0F9052D1"/>
    <w:rsid w:val="0F920E89"/>
    <w:rsid w:val="0F940BB5"/>
    <w:rsid w:val="0F9E3CE1"/>
    <w:rsid w:val="0FAB02F8"/>
    <w:rsid w:val="0FAF55A7"/>
    <w:rsid w:val="0FB2B1CB"/>
    <w:rsid w:val="0FB4C92E"/>
    <w:rsid w:val="0FC41640"/>
    <w:rsid w:val="0FD3A7E3"/>
    <w:rsid w:val="0FDFCAF8"/>
    <w:rsid w:val="0FE3DDAF"/>
    <w:rsid w:val="0FECC14A"/>
    <w:rsid w:val="0FEE5CAD"/>
    <w:rsid w:val="0FF4A0C6"/>
    <w:rsid w:val="100C99E3"/>
    <w:rsid w:val="100C9E75"/>
    <w:rsid w:val="1015317D"/>
    <w:rsid w:val="101780C0"/>
    <w:rsid w:val="103050D4"/>
    <w:rsid w:val="103CDD1D"/>
    <w:rsid w:val="103EDACD"/>
    <w:rsid w:val="10456118"/>
    <w:rsid w:val="1049B6CE"/>
    <w:rsid w:val="104F2C79"/>
    <w:rsid w:val="105491CE"/>
    <w:rsid w:val="1058CC55"/>
    <w:rsid w:val="10665FCC"/>
    <w:rsid w:val="106CD39F"/>
    <w:rsid w:val="107748A7"/>
    <w:rsid w:val="1077D2A1"/>
    <w:rsid w:val="10792A3F"/>
    <w:rsid w:val="107E00BE"/>
    <w:rsid w:val="10825221"/>
    <w:rsid w:val="10871AB3"/>
    <w:rsid w:val="1087EB92"/>
    <w:rsid w:val="10908EF8"/>
    <w:rsid w:val="1099F3FF"/>
    <w:rsid w:val="10A8DACE"/>
    <w:rsid w:val="10A9CF03"/>
    <w:rsid w:val="10AE86CE"/>
    <w:rsid w:val="10AFE99B"/>
    <w:rsid w:val="10B1B57A"/>
    <w:rsid w:val="10B2B895"/>
    <w:rsid w:val="10B4426B"/>
    <w:rsid w:val="10BA1CB1"/>
    <w:rsid w:val="10BD2D82"/>
    <w:rsid w:val="10C3DACB"/>
    <w:rsid w:val="10C6B924"/>
    <w:rsid w:val="10C8A97E"/>
    <w:rsid w:val="10CD64AA"/>
    <w:rsid w:val="10D6C6CA"/>
    <w:rsid w:val="10DD41E6"/>
    <w:rsid w:val="10E1AAA3"/>
    <w:rsid w:val="10E26B6A"/>
    <w:rsid w:val="10E2C195"/>
    <w:rsid w:val="10E2D870"/>
    <w:rsid w:val="10E59CB8"/>
    <w:rsid w:val="10E94205"/>
    <w:rsid w:val="10F17BAE"/>
    <w:rsid w:val="10F80ADB"/>
    <w:rsid w:val="11083E5C"/>
    <w:rsid w:val="110F9EC6"/>
    <w:rsid w:val="1125F428"/>
    <w:rsid w:val="1131BC39"/>
    <w:rsid w:val="1135D98E"/>
    <w:rsid w:val="113F0BD6"/>
    <w:rsid w:val="113FCFF6"/>
    <w:rsid w:val="114D31AC"/>
    <w:rsid w:val="114E8987"/>
    <w:rsid w:val="1152EDF0"/>
    <w:rsid w:val="11584273"/>
    <w:rsid w:val="115982CA"/>
    <w:rsid w:val="11661521"/>
    <w:rsid w:val="116842CD"/>
    <w:rsid w:val="11708167"/>
    <w:rsid w:val="11708FAC"/>
    <w:rsid w:val="117D5CA9"/>
    <w:rsid w:val="117EE174"/>
    <w:rsid w:val="117F0C80"/>
    <w:rsid w:val="118B0603"/>
    <w:rsid w:val="118CD5DB"/>
    <w:rsid w:val="1190AA8E"/>
    <w:rsid w:val="11A14D91"/>
    <w:rsid w:val="11A4AF4A"/>
    <w:rsid w:val="11AF4A05"/>
    <w:rsid w:val="11B119A2"/>
    <w:rsid w:val="11B4057D"/>
    <w:rsid w:val="11D0E245"/>
    <w:rsid w:val="11DEEAE6"/>
    <w:rsid w:val="11EE96B5"/>
    <w:rsid w:val="11EFD8DA"/>
    <w:rsid w:val="11F34F17"/>
    <w:rsid w:val="11F99419"/>
    <w:rsid w:val="1205D1E8"/>
    <w:rsid w:val="120C3934"/>
    <w:rsid w:val="1213975A"/>
    <w:rsid w:val="121443DB"/>
    <w:rsid w:val="121DA1A9"/>
    <w:rsid w:val="1224407D"/>
    <w:rsid w:val="122CD0C8"/>
    <w:rsid w:val="1234086E"/>
    <w:rsid w:val="1235F9AF"/>
    <w:rsid w:val="1237D154"/>
    <w:rsid w:val="123C20F9"/>
    <w:rsid w:val="12414F4B"/>
    <w:rsid w:val="124E130C"/>
    <w:rsid w:val="1261BA85"/>
    <w:rsid w:val="1266C004"/>
    <w:rsid w:val="127382FF"/>
    <w:rsid w:val="1277BD4B"/>
    <w:rsid w:val="12793369"/>
    <w:rsid w:val="12840B7A"/>
    <w:rsid w:val="12846D0D"/>
    <w:rsid w:val="129B8777"/>
    <w:rsid w:val="129C3B7F"/>
    <w:rsid w:val="12A29AFC"/>
    <w:rsid w:val="12A421A3"/>
    <w:rsid w:val="12AB4336"/>
    <w:rsid w:val="12AF28FE"/>
    <w:rsid w:val="12B24AB8"/>
    <w:rsid w:val="12B5B1B3"/>
    <w:rsid w:val="12B94BEC"/>
    <w:rsid w:val="12C70D06"/>
    <w:rsid w:val="12C779D2"/>
    <w:rsid w:val="12CA520E"/>
    <w:rsid w:val="12CD0F4D"/>
    <w:rsid w:val="12CDF9ED"/>
    <w:rsid w:val="12D2C7AC"/>
    <w:rsid w:val="12D8D3EF"/>
    <w:rsid w:val="12DD3716"/>
    <w:rsid w:val="12E29057"/>
    <w:rsid w:val="12E967A6"/>
    <w:rsid w:val="12F80333"/>
    <w:rsid w:val="12FD9F06"/>
    <w:rsid w:val="130870BB"/>
    <w:rsid w:val="1310C8A4"/>
    <w:rsid w:val="13140D54"/>
    <w:rsid w:val="13152334"/>
    <w:rsid w:val="1324AE4D"/>
    <w:rsid w:val="133037EB"/>
    <w:rsid w:val="1332EF2C"/>
    <w:rsid w:val="13434A85"/>
    <w:rsid w:val="13473B92"/>
    <w:rsid w:val="1352AFDD"/>
    <w:rsid w:val="1355A972"/>
    <w:rsid w:val="135CE31F"/>
    <w:rsid w:val="13640B27"/>
    <w:rsid w:val="1365A3DD"/>
    <w:rsid w:val="136F1E59"/>
    <w:rsid w:val="13738E4C"/>
    <w:rsid w:val="137611B9"/>
    <w:rsid w:val="137C5172"/>
    <w:rsid w:val="137CEFC0"/>
    <w:rsid w:val="137F1352"/>
    <w:rsid w:val="138B4427"/>
    <w:rsid w:val="13A2E17F"/>
    <w:rsid w:val="13A9ECD8"/>
    <w:rsid w:val="13AD3B7C"/>
    <w:rsid w:val="13B1FB73"/>
    <w:rsid w:val="13B58A35"/>
    <w:rsid w:val="13C4B4DE"/>
    <w:rsid w:val="13CFE773"/>
    <w:rsid w:val="13D2977F"/>
    <w:rsid w:val="13DC4D1D"/>
    <w:rsid w:val="13E007B4"/>
    <w:rsid w:val="13EF5176"/>
    <w:rsid w:val="1403286D"/>
    <w:rsid w:val="1413B589"/>
    <w:rsid w:val="141AF029"/>
    <w:rsid w:val="141AFAB5"/>
    <w:rsid w:val="141E9A75"/>
    <w:rsid w:val="142251E5"/>
    <w:rsid w:val="1423A239"/>
    <w:rsid w:val="1424078B"/>
    <w:rsid w:val="14243C25"/>
    <w:rsid w:val="142766C7"/>
    <w:rsid w:val="1431520B"/>
    <w:rsid w:val="1436A5C9"/>
    <w:rsid w:val="1458FD50"/>
    <w:rsid w:val="145E5D30"/>
    <w:rsid w:val="146EF002"/>
    <w:rsid w:val="147413B2"/>
    <w:rsid w:val="1483A32E"/>
    <w:rsid w:val="14873C3B"/>
    <w:rsid w:val="148C72A8"/>
    <w:rsid w:val="148FE2A0"/>
    <w:rsid w:val="1491E51F"/>
    <w:rsid w:val="1495A683"/>
    <w:rsid w:val="14A378B6"/>
    <w:rsid w:val="14A9235B"/>
    <w:rsid w:val="14B5B300"/>
    <w:rsid w:val="14CF415A"/>
    <w:rsid w:val="14CF8C13"/>
    <w:rsid w:val="14D0BD4A"/>
    <w:rsid w:val="14D41FBD"/>
    <w:rsid w:val="14DDF39A"/>
    <w:rsid w:val="14E13861"/>
    <w:rsid w:val="14F34E56"/>
    <w:rsid w:val="1503A9EB"/>
    <w:rsid w:val="150DA0D8"/>
    <w:rsid w:val="150E1D3C"/>
    <w:rsid w:val="15109AE3"/>
    <w:rsid w:val="1511E7C6"/>
    <w:rsid w:val="151D8093"/>
    <w:rsid w:val="1521835E"/>
    <w:rsid w:val="1523146E"/>
    <w:rsid w:val="152876EF"/>
    <w:rsid w:val="152C77AB"/>
    <w:rsid w:val="1531CA14"/>
    <w:rsid w:val="153DF981"/>
    <w:rsid w:val="1544B3A5"/>
    <w:rsid w:val="15477C43"/>
    <w:rsid w:val="1550ECB6"/>
    <w:rsid w:val="15528A53"/>
    <w:rsid w:val="1555DACE"/>
    <w:rsid w:val="1556B7F7"/>
    <w:rsid w:val="155C5B52"/>
    <w:rsid w:val="155D7D54"/>
    <w:rsid w:val="15857F71"/>
    <w:rsid w:val="158C3B64"/>
    <w:rsid w:val="158E9F2B"/>
    <w:rsid w:val="1596C665"/>
    <w:rsid w:val="15A5A77F"/>
    <w:rsid w:val="15B21105"/>
    <w:rsid w:val="15B50837"/>
    <w:rsid w:val="15B93743"/>
    <w:rsid w:val="15B95D78"/>
    <w:rsid w:val="15C0E638"/>
    <w:rsid w:val="15C5C480"/>
    <w:rsid w:val="15CAFF40"/>
    <w:rsid w:val="15D0B6EF"/>
    <w:rsid w:val="15D31CEE"/>
    <w:rsid w:val="15DDA15A"/>
    <w:rsid w:val="15EBFF1A"/>
    <w:rsid w:val="160A65B2"/>
    <w:rsid w:val="160F14FF"/>
    <w:rsid w:val="162A9747"/>
    <w:rsid w:val="162F283C"/>
    <w:rsid w:val="1631088C"/>
    <w:rsid w:val="16327FBD"/>
    <w:rsid w:val="16373E51"/>
    <w:rsid w:val="16440787"/>
    <w:rsid w:val="1646A372"/>
    <w:rsid w:val="165D1C5F"/>
    <w:rsid w:val="165DDD2C"/>
    <w:rsid w:val="16662837"/>
    <w:rsid w:val="166B9FB7"/>
    <w:rsid w:val="167F1C36"/>
    <w:rsid w:val="16838D2E"/>
    <w:rsid w:val="168BD924"/>
    <w:rsid w:val="16912ED9"/>
    <w:rsid w:val="1695FF8A"/>
    <w:rsid w:val="1696E777"/>
    <w:rsid w:val="169DBBFB"/>
    <w:rsid w:val="16A6E162"/>
    <w:rsid w:val="16BB2F7C"/>
    <w:rsid w:val="16BFC981"/>
    <w:rsid w:val="16D30543"/>
    <w:rsid w:val="16D53A20"/>
    <w:rsid w:val="16D54321"/>
    <w:rsid w:val="16D9FCB6"/>
    <w:rsid w:val="16DBFEBA"/>
    <w:rsid w:val="16DE020A"/>
    <w:rsid w:val="16E5B24F"/>
    <w:rsid w:val="16E68B5D"/>
    <w:rsid w:val="16E84B9D"/>
    <w:rsid w:val="1705D959"/>
    <w:rsid w:val="170A0BA9"/>
    <w:rsid w:val="170E8243"/>
    <w:rsid w:val="170F97DA"/>
    <w:rsid w:val="17181F44"/>
    <w:rsid w:val="1718825F"/>
    <w:rsid w:val="1720988C"/>
    <w:rsid w:val="1728ABE2"/>
    <w:rsid w:val="173FDD59"/>
    <w:rsid w:val="1754EC0B"/>
    <w:rsid w:val="17563B6D"/>
    <w:rsid w:val="1769E29E"/>
    <w:rsid w:val="176C986A"/>
    <w:rsid w:val="176E5BFC"/>
    <w:rsid w:val="176EBA96"/>
    <w:rsid w:val="177202BB"/>
    <w:rsid w:val="17762550"/>
    <w:rsid w:val="1779F5CB"/>
    <w:rsid w:val="177A92B7"/>
    <w:rsid w:val="177C87E3"/>
    <w:rsid w:val="1780C89C"/>
    <w:rsid w:val="178FA895"/>
    <w:rsid w:val="179E7FC4"/>
    <w:rsid w:val="179F0064"/>
    <w:rsid w:val="17A98DC1"/>
    <w:rsid w:val="17B11125"/>
    <w:rsid w:val="17B48B92"/>
    <w:rsid w:val="17B8743B"/>
    <w:rsid w:val="17B900F1"/>
    <w:rsid w:val="17B9C1A4"/>
    <w:rsid w:val="17D274AF"/>
    <w:rsid w:val="17D6623E"/>
    <w:rsid w:val="17E0D9F0"/>
    <w:rsid w:val="17F52C36"/>
    <w:rsid w:val="17F6A8E6"/>
    <w:rsid w:val="17FAF160"/>
    <w:rsid w:val="17FB95B7"/>
    <w:rsid w:val="17FD17F9"/>
    <w:rsid w:val="17FF5925"/>
    <w:rsid w:val="180F593F"/>
    <w:rsid w:val="181545CB"/>
    <w:rsid w:val="181B161C"/>
    <w:rsid w:val="182345B7"/>
    <w:rsid w:val="182963F3"/>
    <w:rsid w:val="183A2D6C"/>
    <w:rsid w:val="183FF5DF"/>
    <w:rsid w:val="18415F02"/>
    <w:rsid w:val="1842B762"/>
    <w:rsid w:val="184D31A2"/>
    <w:rsid w:val="184E2655"/>
    <w:rsid w:val="1850BA24"/>
    <w:rsid w:val="185583E8"/>
    <w:rsid w:val="185F1946"/>
    <w:rsid w:val="18723A47"/>
    <w:rsid w:val="187F6B2B"/>
    <w:rsid w:val="188351EF"/>
    <w:rsid w:val="18841547"/>
    <w:rsid w:val="1887AAEF"/>
    <w:rsid w:val="18981312"/>
    <w:rsid w:val="18A1C7E7"/>
    <w:rsid w:val="18B3D1E8"/>
    <w:rsid w:val="18BA6F47"/>
    <w:rsid w:val="18DB2196"/>
    <w:rsid w:val="18ECCA8D"/>
    <w:rsid w:val="18EE4A0C"/>
    <w:rsid w:val="18F68149"/>
    <w:rsid w:val="18F90EF0"/>
    <w:rsid w:val="190C79AA"/>
    <w:rsid w:val="1914D5F1"/>
    <w:rsid w:val="19177166"/>
    <w:rsid w:val="1919E014"/>
    <w:rsid w:val="191AEE6C"/>
    <w:rsid w:val="192B2724"/>
    <w:rsid w:val="193741F0"/>
    <w:rsid w:val="193EC4C3"/>
    <w:rsid w:val="193F8538"/>
    <w:rsid w:val="19419336"/>
    <w:rsid w:val="1953A8F7"/>
    <w:rsid w:val="195D1958"/>
    <w:rsid w:val="1961313C"/>
    <w:rsid w:val="196E5EEE"/>
    <w:rsid w:val="196FE87C"/>
    <w:rsid w:val="197AA556"/>
    <w:rsid w:val="197B607F"/>
    <w:rsid w:val="197D1F46"/>
    <w:rsid w:val="197EE18A"/>
    <w:rsid w:val="198A5E2F"/>
    <w:rsid w:val="1993BCFE"/>
    <w:rsid w:val="199893D1"/>
    <w:rsid w:val="199D9B22"/>
    <w:rsid w:val="199E29B8"/>
    <w:rsid w:val="199F3300"/>
    <w:rsid w:val="19A4332A"/>
    <w:rsid w:val="19A5E538"/>
    <w:rsid w:val="19A9FF31"/>
    <w:rsid w:val="19AB1E9F"/>
    <w:rsid w:val="19ACEDAA"/>
    <w:rsid w:val="19B25CB8"/>
    <w:rsid w:val="19BC64DD"/>
    <w:rsid w:val="19D546DC"/>
    <w:rsid w:val="19E376A5"/>
    <w:rsid w:val="19EB4F4B"/>
    <w:rsid w:val="19EF29D5"/>
    <w:rsid w:val="19EFBAC8"/>
    <w:rsid w:val="19F174B0"/>
    <w:rsid w:val="19F63B07"/>
    <w:rsid w:val="1A085320"/>
    <w:rsid w:val="1A1520A8"/>
    <w:rsid w:val="1A1C1D5C"/>
    <w:rsid w:val="1A202362"/>
    <w:rsid w:val="1A24669A"/>
    <w:rsid w:val="1A28B26B"/>
    <w:rsid w:val="1A2927F5"/>
    <w:rsid w:val="1A2C59F7"/>
    <w:rsid w:val="1A2E4479"/>
    <w:rsid w:val="1A32C7C0"/>
    <w:rsid w:val="1A4A616F"/>
    <w:rsid w:val="1A4F74BF"/>
    <w:rsid w:val="1A4F8681"/>
    <w:rsid w:val="1A5B5A75"/>
    <w:rsid w:val="1A5DC695"/>
    <w:rsid w:val="1A69FE83"/>
    <w:rsid w:val="1A6CF63C"/>
    <w:rsid w:val="1A6EEA0C"/>
    <w:rsid w:val="1A6F90DB"/>
    <w:rsid w:val="1A708349"/>
    <w:rsid w:val="1A7FD0FE"/>
    <w:rsid w:val="1A82AE41"/>
    <w:rsid w:val="1A8B8F96"/>
    <w:rsid w:val="1A953D9A"/>
    <w:rsid w:val="1AA29741"/>
    <w:rsid w:val="1AA4FCAA"/>
    <w:rsid w:val="1AA57EBB"/>
    <w:rsid w:val="1AA85141"/>
    <w:rsid w:val="1AB88B8A"/>
    <w:rsid w:val="1ABB77B4"/>
    <w:rsid w:val="1AD619F3"/>
    <w:rsid w:val="1AD89A46"/>
    <w:rsid w:val="1AE812F6"/>
    <w:rsid w:val="1AEED27A"/>
    <w:rsid w:val="1AF2166F"/>
    <w:rsid w:val="1B02FDB8"/>
    <w:rsid w:val="1B079F32"/>
    <w:rsid w:val="1B1690E3"/>
    <w:rsid w:val="1B23E59B"/>
    <w:rsid w:val="1B2D1998"/>
    <w:rsid w:val="1B49A669"/>
    <w:rsid w:val="1B49D80A"/>
    <w:rsid w:val="1B560448"/>
    <w:rsid w:val="1B5899D4"/>
    <w:rsid w:val="1B5B0FFC"/>
    <w:rsid w:val="1B5BC560"/>
    <w:rsid w:val="1B611AFE"/>
    <w:rsid w:val="1B6A92F1"/>
    <w:rsid w:val="1B72343F"/>
    <w:rsid w:val="1B7B7A90"/>
    <w:rsid w:val="1B91AB4A"/>
    <w:rsid w:val="1B91D523"/>
    <w:rsid w:val="1B92A876"/>
    <w:rsid w:val="1B94E507"/>
    <w:rsid w:val="1B9A2B75"/>
    <w:rsid w:val="1B9B4DB7"/>
    <w:rsid w:val="1BA377FA"/>
    <w:rsid w:val="1BB0D9C6"/>
    <w:rsid w:val="1BBA27E2"/>
    <w:rsid w:val="1BBDBB10"/>
    <w:rsid w:val="1BBEDEC1"/>
    <w:rsid w:val="1BBF97DF"/>
    <w:rsid w:val="1BD1B75D"/>
    <w:rsid w:val="1BD66779"/>
    <w:rsid w:val="1BDA8C9C"/>
    <w:rsid w:val="1BEC83FF"/>
    <w:rsid w:val="1BEE7F11"/>
    <w:rsid w:val="1BF4AA28"/>
    <w:rsid w:val="1BF76D36"/>
    <w:rsid w:val="1BF8BF99"/>
    <w:rsid w:val="1BF93F23"/>
    <w:rsid w:val="1BFBFB1F"/>
    <w:rsid w:val="1C0A6984"/>
    <w:rsid w:val="1C0C23A1"/>
    <w:rsid w:val="1C0D0D99"/>
    <w:rsid w:val="1C11291C"/>
    <w:rsid w:val="1C1BD50D"/>
    <w:rsid w:val="1C1CB73C"/>
    <w:rsid w:val="1C1F82BD"/>
    <w:rsid w:val="1C2BF5C9"/>
    <w:rsid w:val="1C2C4E42"/>
    <w:rsid w:val="1C2D6430"/>
    <w:rsid w:val="1C2F5291"/>
    <w:rsid w:val="1C30426F"/>
    <w:rsid w:val="1C33F28A"/>
    <w:rsid w:val="1C37AFCE"/>
    <w:rsid w:val="1C3C6E20"/>
    <w:rsid w:val="1C3FE66B"/>
    <w:rsid w:val="1C408261"/>
    <w:rsid w:val="1C531F4A"/>
    <w:rsid w:val="1C53549C"/>
    <w:rsid w:val="1C6238D1"/>
    <w:rsid w:val="1C71B7C9"/>
    <w:rsid w:val="1C748963"/>
    <w:rsid w:val="1C75ACBE"/>
    <w:rsid w:val="1C76AD3C"/>
    <w:rsid w:val="1C7A4C21"/>
    <w:rsid w:val="1C816C57"/>
    <w:rsid w:val="1C876AB6"/>
    <w:rsid w:val="1C97794F"/>
    <w:rsid w:val="1C97A034"/>
    <w:rsid w:val="1C984BAB"/>
    <w:rsid w:val="1C9B32A5"/>
    <w:rsid w:val="1CA7946C"/>
    <w:rsid w:val="1CADB667"/>
    <w:rsid w:val="1CC21C8F"/>
    <w:rsid w:val="1CD31AA8"/>
    <w:rsid w:val="1CD76808"/>
    <w:rsid w:val="1CDCED7E"/>
    <w:rsid w:val="1CE51312"/>
    <w:rsid w:val="1CEBBAE4"/>
    <w:rsid w:val="1D166AFD"/>
    <w:rsid w:val="1D168798"/>
    <w:rsid w:val="1D2B0F1F"/>
    <w:rsid w:val="1D31694F"/>
    <w:rsid w:val="1D35270C"/>
    <w:rsid w:val="1D3F7E16"/>
    <w:rsid w:val="1D4AA13C"/>
    <w:rsid w:val="1D4ECB2C"/>
    <w:rsid w:val="1D52A812"/>
    <w:rsid w:val="1D629D25"/>
    <w:rsid w:val="1D6B7DBA"/>
    <w:rsid w:val="1D6BDA63"/>
    <w:rsid w:val="1D6E4F22"/>
    <w:rsid w:val="1D74F0BC"/>
    <w:rsid w:val="1D7C8144"/>
    <w:rsid w:val="1D877E50"/>
    <w:rsid w:val="1D91256E"/>
    <w:rsid w:val="1D9A6413"/>
    <w:rsid w:val="1DA4DD43"/>
    <w:rsid w:val="1DA7B1FD"/>
    <w:rsid w:val="1DBD32AB"/>
    <w:rsid w:val="1DCC52C8"/>
    <w:rsid w:val="1DCFBF94"/>
    <w:rsid w:val="1DD07C24"/>
    <w:rsid w:val="1DE0E082"/>
    <w:rsid w:val="1DE2F697"/>
    <w:rsid w:val="1DF041AF"/>
    <w:rsid w:val="1DF413B8"/>
    <w:rsid w:val="1DF5722E"/>
    <w:rsid w:val="1DF77393"/>
    <w:rsid w:val="1E03FF0C"/>
    <w:rsid w:val="1E0B34E7"/>
    <w:rsid w:val="1E18F4F2"/>
    <w:rsid w:val="1E1AD069"/>
    <w:rsid w:val="1E1D7975"/>
    <w:rsid w:val="1E251A67"/>
    <w:rsid w:val="1E3D6004"/>
    <w:rsid w:val="1E3FB839"/>
    <w:rsid w:val="1E418F51"/>
    <w:rsid w:val="1E527830"/>
    <w:rsid w:val="1E5664A5"/>
    <w:rsid w:val="1E594881"/>
    <w:rsid w:val="1E61239D"/>
    <w:rsid w:val="1E697892"/>
    <w:rsid w:val="1E6A3573"/>
    <w:rsid w:val="1E78ABF7"/>
    <w:rsid w:val="1E79B089"/>
    <w:rsid w:val="1E7AEFC0"/>
    <w:rsid w:val="1E7C94CB"/>
    <w:rsid w:val="1E8DAA4D"/>
    <w:rsid w:val="1E8F1C94"/>
    <w:rsid w:val="1E91445E"/>
    <w:rsid w:val="1E93182E"/>
    <w:rsid w:val="1E95A9A7"/>
    <w:rsid w:val="1E9ED84C"/>
    <w:rsid w:val="1EB52FCB"/>
    <w:rsid w:val="1EBFBAF5"/>
    <w:rsid w:val="1EC86579"/>
    <w:rsid w:val="1ED03D60"/>
    <w:rsid w:val="1ED2FC94"/>
    <w:rsid w:val="1ED99C90"/>
    <w:rsid w:val="1EDE8B03"/>
    <w:rsid w:val="1EE5A2AB"/>
    <w:rsid w:val="1EED0445"/>
    <w:rsid w:val="1EEF47C3"/>
    <w:rsid w:val="1EF02380"/>
    <w:rsid w:val="1EF5918C"/>
    <w:rsid w:val="1EFBEADD"/>
    <w:rsid w:val="1EFCC13D"/>
    <w:rsid w:val="1F00675C"/>
    <w:rsid w:val="1F01382B"/>
    <w:rsid w:val="1F073D12"/>
    <w:rsid w:val="1F0A2E4C"/>
    <w:rsid w:val="1F0B1B08"/>
    <w:rsid w:val="1F0BE6E2"/>
    <w:rsid w:val="1F18DC1B"/>
    <w:rsid w:val="1F1B1425"/>
    <w:rsid w:val="1F2FF5F2"/>
    <w:rsid w:val="1F319C41"/>
    <w:rsid w:val="1F44AB52"/>
    <w:rsid w:val="1F4719D8"/>
    <w:rsid w:val="1F579CB3"/>
    <w:rsid w:val="1F57A147"/>
    <w:rsid w:val="1F59304A"/>
    <w:rsid w:val="1F6B7024"/>
    <w:rsid w:val="1F74F0D6"/>
    <w:rsid w:val="1F767BE8"/>
    <w:rsid w:val="1F7DC23A"/>
    <w:rsid w:val="1F7FD0D2"/>
    <w:rsid w:val="1F893613"/>
    <w:rsid w:val="1F8FDC09"/>
    <w:rsid w:val="1F917CED"/>
    <w:rsid w:val="1F9731FA"/>
    <w:rsid w:val="1F9BC39B"/>
    <w:rsid w:val="1FC66C60"/>
    <w:rsid w:val="1FDB9358"/>
    <w:rsid w:val="1FDE4CD7"/>
    <w:rsid w:val="1FE4960C"/>
    <w:rsid w:val="1FE57F72"/>
    <w:rsid w:val="1FEA0A9F"/>
    <w:rsid w:val="1FEE8EEB"/>
    <w:rsid w:val="1FEEA39C"/>
    <w:rsid w:val="20014FEE"/>
    <w:rsid w:val="2011EB76"/>
    <w:rsid w:val="2016580F"/>
    <w:rsid w:val="2017A0C9"/>
    <w:rsid w:val="2017E6A3"/>
    <w:rsid w:val="201D96D7"/>
    <w:rsid w:val="2032B4E3"/>
    <w:rsid w:val="20359C35"/>
    <w:rsid w:val="2035BD7C"/>
    <w:rsid w:val="203A5865"/>
    <w:rsid w:val="20408C33"/>
    <w:rsid w:val="204EFD65"/>
    <w:rsid w:val="20531CB6"/>
    <w:rsid w:val="205A3DAA"/>
    <w:rsid w:val="205C53BA"/>
    <w:rsid w:val="2062453A"/>
    <w:rsid w:val="207ACA8C"/>
    <w:rsid w:val="207CD62A"/>
    <w:rsid w:val="207DEFFC"/>
    <w:rsid w:val="208A3462"/>
    <w:rsid w:val="208B2C4B"/>
    <w:rsid w:val="208C4163"/>
    <w:rsid w:val="2090F6A1"/>
    <w:rsid w:val="20999290"/>
    <w:rsid w:val="2099FE0E"/>
    <w:rsid w:val="20AB92FC"/>
    <w:rsid w:val="20B074D2"/>
    <w:rsid w:val="20B27131"/>
    <w:rsid w:val="20B492FB"/>
    <w:rsid w:val="20C51157"/>
    <w:rsid w:val="20C79657"/>
    <w:rsid w:val="20CBB87F"/>
    <w:rsid w:val="20D2A638"/>
    <w:rsid w:val="20D384CC"/>
    <w:rsid w:val="20D4BB92"/>
    <w:rsid w:val="20D5ED26"/>
    <w:rsid w:val="20DC1404"/>
    <w:rsid w:val="20DCB6D0"/>
    <w:rsid w:val="20DD9FA6"/>
    <w:rsid w:val="20E8AB04"/>
    <w:rsid w:val="20E8FAFF"/>
    <w:rsid w:val="20EC1246"/>
    <w:rsid w:val="20F396EE"/>
    <w:rsid w:val="20F9192B"/>
    <w:rsid w:val="21026278"/>
    <w:rsid w:val="2102A161"/>
    <w:rsid w:val="211147A6"/>
    <w:rsid w:val="21125D11"/>
    <w:rsid w:val="211633A9"/>
    <w:rsid w:val="21185924"/>
    <w:rsid w:val="21195E4D"/>
    <w:rsid w:val="212527AE"/>
    <w:rsid w:val="21291D04"/>
    <w:rsid w:val="212AEE4D"/>
    <w:rsid w:val="2130D712"/>
    <w:rsid w:val="2138C3EC"/>
    <w:rsid w:val="2139F5B6"/>
    <w:rsid w:val="213E82F3"/>
    <w:rsid w:val="214222CD"/>
    <w:rsid w:val="2147E76B"/>
    <w:rsid w:val="2149B2EE"/>
    <w:rsid w:val="2149DA7E"/>
    <w:rsid w:val="214BC50B"/>
    <w:rsid w:val="21509F3F"/>
    <w:rsid w:val="215342D8"/>
    <w:rsid w:val="2158A1E2"/>
    <w:rsid w:val="215B75DB"/>
    <w:rsid w:val="216358F5"/>
    <w:rsid w:val="216AA807"/>
    <w:rsid w:val="217088FC"/>
    <w:rsid w:val="21776B13"/>
    <w:rsid w:val="21867D3B"/>
    <w:rsid w:val="2188882A"/>
    <w:rsid w:val="218CF8ED"/>
    <w:rsid w:val="21A24F74"/>
    <w:rsid w:val="21AF933D"/>
    <w:rsid w:val="21B2865B"/>
    <w:rsid w:val="21C17C22"/>
    <w:rsid w:val="21D06C6D"/>
    <w:rsid w:val="21D10F8B"/>
    <w:rsid w:val="21D169D8"/>
    <w:rsid w:val="21D6939D"/>
    <w:rsid w:val="21DC80DD"/>
    <w:rsid w:val="21EE5E47"/>
    <w:rsid w:val="21EFE3AD"/>
    <w:rsid w:val="21F05297"/>
    <w:rsid w:val="21F87137"/>
    <w:rsid w:val="22033418"/>
    <w:rsid w:val="22054EA8"/>
    <w:rsid w:val="2208BE8D"/>
    <w:rsid w:val="2226C8E1"/>
    <w:rsid w:val="222B2231"/>
    <w:rsid w:val="222C82A9"/>
    <w:rsid w:val="222E8B4E"/>
    <w:rsid w:val="2230E0EF"/>
    <w:rsid w:val="2239A53E"/>
    <w:rsid w:val="2240ECA9"/>
    <w:rsid w:val="2241DC29"/>
    <w:rsid w:val="22590920"/>
    <w:rsid w:val="22596C5E"/>
    <w:rsid w:val="225B2A9B"/>
    <w:rsid w:val="22639C58"/>
    <w:rsid w:val="226CFF46"/>
    <w:rsid w:val="227548E2"/>
    <w:rsid w:val="2275FB86"/>
    <w:rsid w:val="2276B457"/>
    <w:rsid w:val="2299975A"/>
    <w:rsid w:val="22A449AC"/>
    <w:rsid w:val="22AAF829"/>
    <w:rsid w:val="22AE6FD6"/>
    <w:rsid w:val="22AECD00"/>
    <w:rsid w:val="22BBC922"/>
    <w:rsid w:val="22BC1EFE"/>
    <w:rsid w:val="22C8E074"/>
    <w:rsid w:val="22C96299"/>
    <w:rsid w:val="22D594E9"/>
    <w:rsid w:val="22D6BF14"/>
    <w:rsid w:val="22D6C4B2"/>
    <w:rsid w:val="22E4CED9"/>
    <w:rsid w:val="22E8363D"/>
    <w:rsid w:val="22E88064"/>
    <w:rsid w:val="22F0628F"/>
    <w:rsid w:val="22F5FA38"/>
    <w:rsid w:val="22FA6B1C"/>
    <w:rsid w:val="22FBE5C8"/>
    <w:rsid w:val="230A3636"/>
    <w:rsid w:val="230A7AD3"/>
    <w:rsid w:val="230BB171"/>
    <w:rsid w:val="2315ED6B"/>
    <w:rsid w:val="231A0D6A"/>
    <w:rsid w:val="2329C831"/>
    <w:rsid w:val="2339FECB"/>
    <w:rsid w:val="2341A9C5"/>
    <w:rsid w:val="23432F68"/>
    <w:rsid w:val="234A2D86"/>
    <w:rsid w:val="234B75FF"/>
    <w:rsid w:val="234D2200"/>
    <w:rsid w:val="2358A84C"/>
    <w:rsid w:val="23600D76"/>
    <w:rsid w:val="23648D88"/>
    <w:rsid w:val="2373DB4B"/>
    <w:rsid w:val="23748EB6"/>
    <w:rsid w:val="237838D6"/>
    <w:rsid w:val="237FA182"/>
    <w:rsid w:val="2380224A"/>
    <w:rsid w:val="238BB336"/>
    <w:rsid w:val="239250F5"/>
    <w:rsid w:val="239DEC07"/>
    <w:rsid w:val="239E1503"/>
    <w:rsid w:val="23AAF902"/>
    <w:rsid w:val="23B3A7BD"/>
    <w:rsid w:val="23B7B0B6"/>
    <w:rsid w:val="23B8A4C8"/>
    <w:rsid w:val="23B8AB3C"/>
    <w:rsid w:val="23B8B95B"/>
    <w:rsid w:val="23BAA1E0"/>
    <w:rsid w:val="23BB6DCE"/>
    <w:rsid w:val="23CA4A04"/>
    <w:rsid w:val="23D7EB43"/>
    <w:rsid w:val="23D9356A"/>
    <w:rsid w:val="23EE1EAC"/>
    <w:rsid w:val="23EEA8A8"/>
    <w:rsid w:val="23EEC880"/>
    <w:rsid w:val="23F863DF"/>
    <w:rsid w:val="23FBF5A9"/>
    <w:rsid w:val="240CB880"/>
    <w:rsid w:val="240E2644"/>
    <w:rsid w:val="240FEAA6"/>
    <w:rsid w:val="2421ADFF"/>
    <w:rsid w:val="2422C162"/>
    <w:rsid w:val="2424658F"/>
    <w:rsid w:val="242610AE"/>
    <w:rsid w:val="2428480C"/>
    <w:rsid w:val="242F95D8"/>
    <w:rsid w:val="243366A6"/>
    <w:rsid w:val="24363FF3"/>
    <w:rsid w:val="24373139"/>
    <w:rsid w:val="2437D98A"/>
    <w:rsid w:val="2447B768"/>
    <w:rsid w:val="24572EF2"/>
    <w:rsid w:val="245917EC"/>
    <w:rsid w:val="24667672"/>
    <w:rsid w:val="2469E0D3"/>
    <w:rsid w:val="24730703"/>
    <w:rsid w:val="24731698"/>
    <w:rsid w:val="2475573F"/>
    <w:rsid w:val="2478BC35"/>
    <w:rsid w:val="24803AD5"/>
    <w:rsid w:val="248FF94D"/>
    <w:rsid w:val="2491B80A"/>
    <w:rsid w:val="249496DC"/>
    <w:rsid w:val="24BA82B4"/>
    <w:rsid w:val="24D424C8"/>
    <w:rsid w:val="24DEDB76"/>
    <w:rsid w:val="24E95EC6"/>
    <w:rsid w:val="24ED6963"/>
    <w:rsid w:val="24F46611"/>
    <w:rsid w:val="24F9826E"/>
    <w:rsid w:val="25079804"/>
    <w:rsid w:val="250E5879"/>
    <w:rsid w:val="251B9D48"/>
    <w:rsid w:val="2528837D"/>
    <w:rsid w:val="252FFEA1"/>
    <w:rsid w:val="2532B21C"/>
    <w:rsid w:val="2537AB6C"/>
    <w:rsid w:val="253D96CC"/>
    <w:rsid w:val="253F7CA1"/>
    <w:rsid w:val="25419967"/>
    <w:rsid w:val="2542A66E"/>
    <w:rsid w:val="254E35A6"/>
    <w:rsid w:val="2555F8D8"/>
    <w:rsid w:val="255AFE0F"/>
    <w:rsid w:val="255E22B0"/>
    <w:rsid w:val="256CD771"/>
    <w:rsid w:val="256E1B81"/>
    <w:rsid w:val="25767CCD"/>
    <w:rsid w:val="2583A1E9"/>
    <w:rsid w:val="25859FF4"/>
    <w:rsid w:val="25875852"/>
    <w:rsid w:val="259EEE9D"/>
    <w:rsid w:val="25A15411"/>
    <w:rsid w:val="25A56B5D"/>
    <w:rsid w:val="25AEF6B6"/>
    <w:rsid w:val="25B222D6"/>
    <w:rsid w:val="25B65277"/>
    <w:rsid w:val="25BC38EF"/>
    <w:rsid w:val="25BD0FF3"/>
    <w:rsid w:val="25D39509"/>
    <w:rsid w:val="25D9DA5C"/>
    <w:rsid w:val="25DD49B7"/>
    <w:rsid w:val="25DFD2FD"/>
    <w:rsid w:val="25E63243"/>
    <w:rsid w:val="25EF82BF"/>
    <w:rsid w:val="25F2C7EE"/>
    <w:rsid w:val="25F7D01F"/>
    <w:rsid w:val="26126214"/>
    <w:rsid w:val="261293AA"/>
    <w:rsid w:val="2612D2D1"/>
    <w:rsid w:val="2620B9A6"/>
    <w:rsid w:val="26244D24"/>
    <w:rsid w:val="263B4103"/>
    <w:rsid w:val="263CC237"/>
    <w:rsid w:val="263F7646"/>
    <w:rsid w:val="26441E9A"/>
    <w:rsid w:val="26457682"/>
    <w:rsid w:val="2650B1E4"/>
    <w:rsid w:val="2652621A"/>
    <w:rsid w:val="2654674A"/>
    <w:rsid w:val="265621EA"/>
    <w:rsid w:val="2656BA6B"/>
    <w:rsid w:val="26582ACF"/>
    <w:rsid w:val="2662A91B"/>
    <w:rsid w:val="26663AE1"/>
    <w:rsid w:val="266E1FF7"/>
    <w:rsid w:val="267EA81B"/>
    <w:rsid w:val="268913F9"/>
    <w:rsid w:val="26A8E41B"/>
    <w:rsid w:val="26A9583D"/>
    <w:rsid w:val="26B06FD1"/>
    <w:rsid w:val="26B24EB0"/>
    <w:rsid w:val="26B65266"/>
    <w:rsid w:val="26B7AF45"/>
    <w:rsid w:val="26B83F71"/>
    <w:rsid w:val="26B89A95"/>
    <w:rsid w:val="26C490DF"/>
    <w:rsid w:val="26C5BE28"/>
    <w:rsid w:val="26C62800"/>
    <w:rsid w:val="26C8E446"/>
    <w:rsid w:val="26E01DCD"/>
    <w:rsid w:val="26E2A607"/>
    <w:rsid w:val="26E3B55F"/>
    <w:rsid w:val="26EB5B08"/>
    <w:rsid w:val="27087C40"/>
    <w:rsid w:val="27142299"/>
    <w:rsid w:val="2717C0E3"/>
    <w:rsid w:val="2718A9FC"/>
    <w:rsid w:val="2721BB45"/>
    <w:rsid w:val="273521E0"/>
    <w:rsid w:val="27371B71"/>
    <w:rsid w:val="2738BCB2"/>
    <w:rsid w:val="273F2E46"/>
    <w:rsid w:val="274300E7"/>
    <w:rsid w:val="274FB4BD"/>
    <w:rsid w:val="27577199"/>
    <w:rsid w:val="275A25DE"/>
    <w:rsid w:val="275E2F17"/>
    <w:rsid w:val="2769384B"/>
    <w:rsid w:val="27712B49"/>
    <w:rsid w:val="2781370C"/>
    <w:rsid w:val="27824E27"/>
    <w:rsid w:val="27837278"/>
    <w:rsid w:val="279421B8"/>
    <w:rsid w:val="27978DDA"/>
    <w:rsid w:val="279C340F"/>
    <w:rsid w:val="27A5D2CD"/>
    <w:rsid w:val="27A69647"/>
    <w:rsid w:val="27B6BA40"/>
    <w:rsid w:val="27BF0C0E"/>
    <w:rsid w:val="27C0B6C1"/>
    <w:rsid w:val="27C65BB7"/>
    <w:rsid w:val="27D6152C"/>
    <w:rsid w:val="27E2009D"/>
    <w:rsid w:val="27E9D974"/>
    <w:rsid w:val="27E9DEEF"/>
    <w:rsid w:val="27F7F858"/>
    <w:rsid w:val="280AD4BF"/>
    <w:rsid w:val="280B3901"/>
    <w:rsid w:val="28179A43"/>
    <w:rsid w:val="282C2FD0"/>
    <w:rsid w:val="282DF351"/>
    <w:rsid w:val="284717C4"/>
    <w:rsid w:val="284D6B3F"/>
    <w:rsid w:val="28538284"/>
    <w:rsid w:val="2854E60E"/>
    <w:rsid w:val="2855E409"/>
    <w:rsid w:val="285BC884"/>
    <w:rsid w:val="285E7153"/>
    <w:rsid w:val="28698300"/>
    <w:rsid w:val="286BD6A4"/>
    <w:rsid w:val="286C7A81"/>
    <w:rsid w:val="2870FC57"/>
    <w:rsid w:val="2876A7A3"/>
    <w:rsid w:val="2881FAC0"/>
    <w:rsid w:val="2883EEF0"/>
    <w:rsid w:val="2885FA93"/>
    <w:rsid w:val="28A05016"/>
    <w:rsid w:val="28A0F172"/>
    <w:rsid w:val="28A2085E"/>
    <w:rsid w:val="28A3DCB4"/>
    <w:rsid w:val="28B2574C"/>
    <w:rsid w:val="28C378DA"/>
    <w:rsid w:val="28C3A0D8"/>
    <w:rsid w:val="28CB1402"/>
    <w:rsid w:val="28D00E35"/>
    <w:rsid w:val="28D3090F"/>
    <w:rsid w:val="28D90727"/>
    <w:rsid w:val="28D9368C"/>
    <w:rsid w:val="28E24FB1"/>
    <w:rsid w:val="28E56872"/>
    <w:rsid w:val="28E8EA62"/>
    <w:rsid w:val="28EFBD0C"/>
    <w:rsid w:val="28F1DA3F"/>
    <w:rsid w:val="28F69B8F"/>
    <w:rsid w:val="28F82900"/>
    <w:rsid w:val="28FF8FE3"/>
    <w:rsid w:val="2900A706"/>
    <w:rsid w:val="29071A17"/>
    <w:rsid w:val="290A4A16"/>
    <w:rsid w:val="290AD256"/>
    <w:rsid w:val="290B46E0"/>
    <w:rsid w:val="2918A096"/>
    <w:rsid w:val="291E3CAB"/>
    <w:rsid w:val="2920FA1B"/>
    <w:rsid w:val="292243D1"/>
    <w:rsid w:val="29254A1A"/>
    <w:rsid w:val="29298E72"/>
    <w:rsid w:val="294115F5"/>
    <w:rsid w:val="29455C14"/>
    <w:rsid w:val="2949F6CE"/>
    <w:rsid w:val="294DAF30"/>
    <w:rsid w:val="294EAEF0"/>
    <w:rsid w:val="29516D5F"/>
    <w:rsid w:val="295C8B2C"/>
    <w:rsid w:val="29624D5A"/>
    <w:rsid w:val="29640BA0"/>
    <w:rsid w:val="296BE6C9"/>
    <w:rsid w:val="297491E3"/>
    <w:rsid w:val="298337C4"/>
    <w:rsid w:val="2983F2D2"/>
    <w:rsid w:val="2988B38C"/>
    <w:rsid w:val="298D97FD"/>
    <w:rsid w:val="298ED441"/>
    <w:rsid w:val="2990D1C5"/>
    <w:rsid w:val="29973802"/>
    <w:rsid w:val="299F3080"/>
    <w:rsid w:val="29B1345C"/>
    <w:rsid w:val="29B3A74E"/>
    <w:rsid w:val="29B6AD24"/>
    <w:rsid w:val="29B795E5"/>
    <w:rsid w:val="29BCBB0C"/>
    <w:rsid w:val="29C69F1E"/>
    <w:rsid w:val="29D6D757"/>
    <w:rsid w:val="29D7FC90"/>
    <w:rsid w:val="29DF4F04"/>
    <w:rsid w:val="29DFB9BA"/>
    <w:rsid w:val="29EB15F1"/>
    <w:rsid w:val="29F66C93"/>
    <w:rsid w:val="29F909FC"/>
    <w:rsid w:val="29FB853B"/>
    <w:rsid w:val="29FBA7CE"/>
    <w:rsid w:val="29FD6CB1"/>
    <w:rsid w:val="2A01FA61"/>
    <w:rsid w:val="2A022677"/>
    <w:rsid w:val="2A033DF9"/>
    <w:rsid w:val="2A081989"/>
    <w:rsid w:val="2A086056"/>
    <w:rsid w:val="2A1468E6"/>
    <w:rsid w:val="2A15A027"/>
    <w:rsid w:val="2A267EBB"/>
    <w:rsid w:val="2A2CA521"/>
    <w:rsid w:val="2A2E6E84"/>
    <w:rsid w:val="2A3D51DF"/>
    <w:rsid w:val="2A3E1704"/>
    <w:rsid w:val="2A5E5AAF"/>
    <w:rsid w:val="2A607261"/>
    <w:rsid w:val="2A62EB63"/>
    <w:rsid w:val="2A6B38F4"/>
    <w:rsid w:val="2A7453B7"/>
    <w:rsid w:val="2A75A02B"/>
    <w:rsid w:val="2A7A208A"/>
    <w:rsid w:val="2A8887C8"/>
    <w:rsid w:val="2A8983BF"/>
    <w:rsid w:val="2A8D5CB3"/>
    <w:rsid w:val="2A9BB933"/>
    <w:rsid w:val="2AA40CBA"/>
    <w:rsid w:val="2AACB4BF"/>
    <w:rsid w:val="2AB3E3DD"/>
    <w:rsid w:val="2AC2AA7B"/>
    <w:rsid w:val="2AC37F79"/>
    <w:rsid w:val="2AC82A90"/>
    <w:rsid w:val="2AC87B7A"/>
    <w:rsid w:val="2AD4C05E"/>
    <w:rsid w:val="2AD6C69D"/>
    <w:rsid w:val="2AD8FD18"/>
    <w:rsid w:val="2AE059AB"/>
    <w:rsid w:val="2AE4CBB4"/>
    <w:rsid w:val="2AE9A17C"/>
    <w:rsid w:val="2AEBD0F3"/>
    <w:rsid w:val="2AEC3AB5"/>
    <w:rsid w:val="2AF47D0D"/>
    <w:rsid w:val="2B08A4A4"/>
    <w:rsid w:val="2B216DA5"/>
    <w:rsid w:val="2B2AAED2"/>
    <w:rsid w:val="2B3059A0"/>
    <w:rsid w:val="2B436BF0"/>
    <w:rsid w:val="2B4A2A66"/>
    <w:rsid w:val="2B4B3A30"/>
    <w:rsid w:val="2B502B1E"/>
    <w:rsid w:val="2B5A4C81"/>
    <w:rsid w:val="2B5B6110"/>
    <w:rsid w:val="2B5E2B58"/>
    <w:rsid w:val="2B63093F"/>
    <w:rsid w:val="2B685CA7"/>
    <w:rsid w:val="2B6AF790"/>
    <w:rsid w:val="2B6D4B4D"/>
    <w:rsid w:val="2B6F704C"/>
    <w:rsid w:val="2B709656"/>
    <w:rsid w:val="2B7A8A50"/>
    <w:rsid w:val="2B808DC4"/>
    <w:rsid w:val="2B8E0DAC"/>
    <w:rsid w:val="2BA5EE8A"/>
    <w:rsid w:val="2BA9C51B"/>
    <w:rsid w:val="2BAA8103"/>
    <w:rsid w:val="2BB7F977"/>
    <w:rsid w:val="2BB8F7CF"/>
    <w:rsid w:val="2BB9F0B7"/>
    <w:rsid w:val="2BBB1637"/>
    <w:rsid w:val="2BCF4180"/>
    <w:rsid w:val="2BD201D5"/>
    <w:rsid w:val="2BD44BB1"/>
    <w:rsid w:val="2BDBD15F"/>
    <w:rsid w:val="2BE7F4F5"/>
    <w:rsid w:val="2BEC6B51"/>
    <w:rsid w:val="2BEE0D6C"/>
    <w:rsid w:val="2BFAEB97"/>
    <w:rsid w:val="2C064C2B"/>
    <w:rsid w:val="2C078E2D"/>
    <w:rsid w:val="2C07F908"/>
    <w:rsid w:val="2C0CCA29"/>
    <w:rsid w:val="2C1B7C11"/>
    <w:rsid w:val="2C1BB253"/>
    <w:rsid w:val="2C1F1F41"/>
    <w:rsid w:val="2C21D11A"/>
    <w:rsid w:val="2C2286EC"/>
    <w:rsid w:val="2C28CB05"/>
    <w:rsid w:val="2C2D58DF"/>
    <w:rsid w:val="2C317133"/>
    <w:rsid w:val="2C386B3B"/>
    <w:rsid w:val="2C4101D6"/>
    <w:rsid w:val="2C439493"/>
    <w:rsid w:val="2C46BE58"/>
    <w:rsid w:val="2C560E19"/>
    <w:rsid w:val="2C5766AA"/>
    <w:rsid w:val="2C69E330"/>
    <w:rsid w:val="2C7A96E1"/>
    <w:rsid w:val="2C7F4C96"/>
    <w:rsid w:val="2C8B72CE"/>
    <w:rsid w:val="2C9904D9"/>
    <w:rsid w:val="2CADD33C"/>
    <w:rsid w:val="2CADE4E1"/>
    <w:rsid w:val="2CB80878"/>
    <w:rsid w:val="2CD04EEB"/>
    <w:rsid w:val="2CD336B7"/>
    <w:rsid w:val="2CD4B62C"/>
    <w:rsid w:val="2CD59F2E"/>
    <w:rsid w:val="2CD62DAC"/>
    <w:rsid w:val="2CD6E2CD"/>
    <w:rsid w:val="2CD9309E"/>
    <w:rsid w:val="2CFA35BD"/>
    <w:rsid w:val="2D05A0CF"/>
    <w:rsid w:val="2D0FEF98"/>
    <w:rsid w:val="2D1158DC"/>
    <w:rsid w:val="2D159AAD"/>
    <w:rsid w:val="2D1CBC26"/>
    <w:rsid w:val="2D1F0D64"/>
    <w:rsid w:val="2D20C61A"/>
    <w:rsid w:val="2D2F7FC7"/>
    <w:rsid w:val="2D324826"/>
    <w:rsid w:val="2D41C5E6"/>
    <w:rsid w:val="2D4F4B6C"/>
    <w:rsid w:val="2D5228CE"/>
    <w:rsid w:val="2D5B620A"/>
    <w:rsid w:val="2D5F530E"/>
    <w:rsid w:val="2D5FD208"/>
    <w:rsid w:val="2D68CF87"/>
    <w:rsid w:val="2D6DD170"/>
    <w:rsid w:val="2D6F7921"/>
    <w:rsid w:val="2D71FC24"/>
    <w:rsid w:val="2D79172E"/>
    <w:rsid w:val="2D7CA43C"/>
    <w:rsid w:val="2D7CD6D4"/>
    <w:rsid w:val="2D7E9EE9"/>
    <w:rsid w:val="2D8C928E"/>
    <w:rsid w:val="2D8DE22F"/>
    <w:rsid w:val="2D8DF3EF"/>
    <w:rsid w:val="2D9162D2"/>
    <w:rsid w:val="2D99329A"/>
    <w:rsid w:val="2D9A1A32"/>
    <w:rsid w:val="2D9CC2CD"/>
    <w:rsid w:val="2DA475BD"/>
    <w:rsid w:val="2DA57C24"/>
    <w:rsid w:val="2DAE343C"/>
    <w:rsid w:val="2DB99B05"/>
    <w:rsid w:val="2DD041F4"/>
    <w:rsid w:val="2DD4FD7B"/>
    <w:rsid w:val="2DD6A37B"/>
    <w:rsid w:val="2DD9B034"/>
    <w:rsid w:val="2DE0A1FB"/>
    <w:rsid w:val="2DEEA161"/>
    <w:rsid w:val="2DEFA6EA"/>
    <w:rsid w:val="2DF3AB7B"/>
    <w:rsid w:val="2DF75550"/>
    <w:rsid w:val="2E037301"/>
    <w:rsid w:val="2E03D8BA"/>
    <w:rsid w:val="2E052E48"/>
    <w:rsid w:val="2E0AADBA"/>
    <w:rsid w:val="2E0AB46E"/>
    <w:rsid w:val="2E13372F"/>
    <w:rsid w:val="2E2141B1"/>
    <w:rsid w:val="2E2F2E71"/>
    <w:rsid w:val="2E439978"/>
    <w:rsid w:val="2E4D1304"/>
    <w:rsid w:val="2E55220B"/>
    <w:rsid w:val="2E5A7ADF"/>
    <w:rsid w:val="2E5B15CA"/>
    <w:rsid w:val="2E5CF82C"/>
    <w:rsid w:val="2E68BFB4"/>
    <w:rsid w:val="2E6BC331"/>
    <w:rsid w:val="2E795A5C"/>
    <w:rsid w:val="2E83654C"/>
    <w:rsid w:val="2E937DC2"/>
    <w:rsid w:val="2E954003"/>
    <w:rsid w:val="2E9655E8"/>
    <w:rsid w:val="2E97282D"/>
    <w:rsid w:val="2E97BF61"/>
    <w:rsid w:val="2E986A19"/>
    <w:rsid w:val="2E98E92D"/>
    <w:rsid w:val="2E9B32D6"/>
    <w:rsid w:val="2E9B9282"/>
    <w:rsid w:val="2E9C5261"/>
    <w:rsid w:val="2EA42007"/>
    <w:rsid w:val="2EA70F7B"/>
    <w:rsid w:val="2EB6D373"/>
    <w:rsid w:val="2EBA33C7"/>
    <w:rsid w:val="2EBB3D2E"/>
    <w:rsid w:val="2EC741BD"/>
    <w:rsid w:val="2ECB6876"/>
    <w:rsid w:val="2ED7A05E"/>
    <w:rsid w:val="2ED89B04"/>
    <w:rsid w:val="2EE2F907"/>
    <w:rsid w:val="2EE3A90A"/>
    <w:rsid w:val="2EE4FA6F"/>
    <w:rsid w:val="2EE532D6"/>
    <w:rsid w:val="2EF618C2"/>
    <w:rsid w:val="2EF64D87"/>
    <w:rsid w:val="2EFC217D"/>
    <w:rsid w:val="2F11A57B"/>
    <w:rsid w:val="2F1C8E85"/>
    <w:rsid w:val="2F2BA921"/>
    <w:rsid w:val="2F309D84"/>
    <w:rsid w:val="2F34DDF9"/>
    <w:rsid w:val="2F3A3A96"/>
    <w:rsid w:val="2F4280A5"/>
    <w:rsid w:val="2F490D2F"/>
    <w:rsid w:val="2F54AEF4"/>
    <w:rsid w:val="2F5B039A"/>
    <w:rsid w:val="2F6718A7"/>
    <w:rsid w:val="2F76E5E1"/>
    <w:rsid w:val="2F7B90AB"/>
    <w:rsid w:val="2F7E7813"/>
    <w:rsid w:val="2F87FFF9"/>
    <w:rsid w:val="2F8AF44D"/>
    <w:rsid w:val="2F8F54D2"/>
    <w:rsid w:val="2F927092"/>
    <w:rsid w:val="2F97A453"/>
    <w:rsid w:val="2FA3128F"/>
    <w:rsid w:val="2FAD6F23"/>
    <w:rsid w:val="2FB12BAC"/>
    <w:rsid w:val="2FBF6BD1"/>
    <w:rsid w:val="2FC99236"/>
    <w:rsid w:val="2FCA2D11"/>
    <w:rsid w:val="2FD0EA08"/>
    <w:rsid w:val="2FD0EF5B"/>
    <w:rsid w:val="2FDC77B2"/>
    <w:rsid w:val="2FDCAC2A"/>
    <w:rsid w:val="2FE6AB4E"/>
    <w:rsid w:val="2FEFBD21"/>
    <w:rsid w:val="2FF666FB"/>
    <w:rsid w:val="3023EE43"/>
    <w:rsid w:val="30288ED7"/>
    <w:rsid w:val="302A326B"/>
    <w:rsid w:val="303286E4"/>
    <w:rsid w:val="304B4669"/>
    <w:rsid w:val="305551A0"/>
    <w:rsid w:val="3060FD6B"/>
    <w:rsid w:val="306865CF"/>
    <w:rsid w:val="306E96AE"/>
    <w:rsid w:val="306FEF71"/>
    <w:rsid w:val="3072D456"/>
    <w:rsid w:val="307F91FF"/>
    <w:rsid w:val="30805B7C"/>
    <w:rsid w:val="3085243A"/>
    <w:rsid w:val="30889A7F"/>
    <w:rsid w:val="3089109E"/>
    <w:rsid w:val="30996BD5"/>
    <w:rsid w:val="3099F584"/>
    <w:rsid w:val="30A167C1"/>
    <w:rsid w:val="30B9CB18"/>
    <w:rsid w:val="30BA1B9A"/>
    <w:rsid w:val="30BC9968"/>
    <w:rsid w:val="30C4AC6E"/>
    <w:rsid w:val="30C7862A"/>
    <w:rsid w:val="30DBFC3E"/>
    <w:rsid w:val="30E398DB"/>
    <w:rsid w:val="30E43E54"/>
    <w:rsid w:val="30ECD74F"/>
    <w:rsid w:val="30EE1C1A"/>
    <w:rsid w:val="30EEB581"/>
    <w:rsid w:val="30F2280C"/>
    <w:rsid w:val="30F6E465"/>
    <w:rsid w:val="30F702BE"/>
    <w:rsid w:val="31004D36"/>
    <w:rsid w:val="3101B133"/>
    <w:rsid w:val="31052FC0"/>
    <w:rsid w:val="31068AA0"/>
    <w:rsid w:val="311731E9"/>
    <w:rsid w:val="311858AC"/>
    <w:rsid w:val="3119AB8A"/>
    <w:rsid w:val="3119BD63"/>
    <w:rsid w:val="31235343"/>
    <w:rsid w:val="314E04F7"/>
    <w:rsid w:val="314EBBBC"/>
    <w:rsid w:val="31586F6D"/>
    <w:rsid w:val="3158E553"/>
    <w:rsid w:val="31595C79"/>
    <w:rsid w:val="315E9B91"/>
    <w:rsid w:val="3168CD2F"/>
    <w:rsid w:val="316D4A6E"/>
    <w:rsid w:val="316FA439"/>
    <w:rsid w:val="31717296"/>
    <w:rsid w:val="31732D2C"/>
    <w:rsid w:val="31747D4A"/>
    <w:rsid w:val="317B1672"/>
    <w:rsid w:val="317D00AF"/>
    <w:rsid w:val="317FB409"/>
    <w:rsid w:val="3198AB39"/>
    <w:rsid w:val="319FDDD5"/>
    <w:rsid w:val="31A66E71"/>
    <w:rsid w:val="31B2D445"/>
    <w:rsid w:val="31BA086B"/>
    <w:rsid w:val="31BADEAF"/>
    <w:rsid w:val="31BF5240"/>
    <w:rsid w:val="31C1997A"/>
    <w:rsid w:val="31C7C422"/>
    <w:rsid w:val="31D085DF"/>
    <w:rsid w:val="31D768B7"/>
    <w:rsid w:val="31D99113"/>
    <w:rsid w:val="31E05824"/>
    <w:rsid w:val="31E36E62"/>
    <w:rsid w:val="31F08A71"/>
    <w:rsid w:val="31F392DA"/>
    <w:rsid w:val="31F4B816"/>
    <w:rsid w:val="31FB9F38"/>
    <w:rsid w:val="320F3C4F"/>
    <w:rsid w:val="32179A5A"/>
    <w:rsid w:val="321EEBAC"/>
    <w:rsid w:val="32345027"/>
    <w:rsid w:val="3239A466"/>
    <w:rsid w:val="323AB3D1"/>
    <w:rsid w:val="32410BD2"/>
    <w:rsid w:val="324478BD"/>
    <w:rsid w:val="3247859B"/>
    <w:rsid w:val="32498A04"/>
    <w:rsid w:val="3249A8CA"/>
    <w:rsid w:val="3252CEE9"/>
    <w:rsid w:val="3253F7E6"/>
    <w:rsid w:val="3257628F"/>
    <w:rsid w:val="325F373F"/>
    <w:rsid w:val="32676C26"/>
    <w:rsid w:val="326AB638"/>
    <w:rsid w:val="32722C79"/>
    <w:rsid w:val="32732C94"/>
    <w:rsid w:val="3277ED89"/>
    <w:rsid w:val="327E9B72"/>
    <w:rsid w:val="327F8107"/>
    <w:rsid w:val="3280862C"/>
    <w:rsid w:val="32830166"/>
    <w:rsid w:val="3289FBC4"/>
    <w:rsid w:val="3290039F"/>
    <w:rsid w:val="3291E7C9"/>
    <w:rsid w:val="329CBD52"/>
    <w:rsid w:val="329DEC0B"/>
    <w:rsid w:val="32A8D2FF"/>
    <w:rsid w:val="32BBE992"/>
    <w:rsid w:val="32BE0DD7"/>
    <w:rsid w:val="32BE9BBD"/>
    <w:rsid w:val="32C1F4DD"/>
    <w:rsid w:val="32CE2967"/>
    <w:rsid w:val="32D7FABF"/>
    <w:rsid w:val="32DB31AA"/>
    <w:rsid w:val="32E4E41E"/>
    <w:rsid w:val="32EA4960"/>
    <w:rsid w:val="32F10CDE"/>
    <w:rsid w:val="32FDD22E"/>
    <w:rsid w:val="32FE6F6A"/>
    <w:rsid w:val="33001296"/>
    <w:rsid w:val="3306133B"/>
    <w:rsid w:val="3310FD42"/>
    <w:rsid w:val="3312EC4A"/>
    <w:rsid w:val="331B4C6A"/>
    <w:rsid w:val="333B947E"/>
    <w:rsid w:val="333E2DFF"/>
    <w:rsid w:val="334DBFCA"/>
    <w:rsid w:val="335305AF"/>
    <w:rsid w:val="33572379"/>
    <w:rsid w:val="336018AF"/>
    <w:rsid w:val="3363D64E"/>
    <w:rsid w:val="3367ACC9"/>
    <w:rsid w:val="336A5A9E"/>
    <w:rsid w:val="3374B506"/>
    <w:rsid w:val="3375807A"/>
    <w:rsid w:val="33835B85"/>
    <w:rsid w:val="3384C165"/>
    <w:rsid w:val="338FA22D"/>
    <w:rsid w:val="33944DC3"/>
    <w:rsid w:val="33CB211F"/>
    <w:rsid w:val="33CE7DC7"/>
    <w:rsid w:val="33EF134E"/>
    <w:rsid w:val="33EF7801"/>
    <w:rsid w:val="33F08528"/>
    <w:rsid w:val="33F18F6C"/>
    <w:rsid w:val="34030407"/>
    <w:rsid w:val="340C9E85"/>
    <w:rsid w:val="34153073"/>
    <w:rsid w:val="341B71C1"/>
    <w:rsid w:val="342EA1E1"/>
    <w:rsid w:val="343E49E1"/>
    <w:rsid w:val="344AAE89"/>
    <w:rsid w:val="344C6E29"/>
    <w:rsid w:val="34553CFA"/>
    <w:rsid w:val="3469CC5E"/>
    <w:rsid w:val="346D3A0A"/>
    <w:rsid w:val="34706273"/>
    <w:rsid w:val="34858E3D"/>
    <w:rsid w:val="34868EA8"/>
    <w:rsid w:val="34988A7A"/>
    <w:rsid w:val="34AE2AA6"/>
    <w:rsid w:val="34AE3FAE"/>
    <w:rsid w:val="34B2B30A"/>
    <w:rsid w:val="34B6C503"/>
    <w:rsid w:val="34CD2867"/>
    <w:rsid w:val="34CFDBA4"/>
    <w:rsid w:val="34DA25B0"/>
    <w:rsid w:val="34E1CF51"/>
    <w:rsid w:val="34E77D41"/>
    <w:rsid w:val="34E78B0C"/>
    <w:rsid w:val="34E84CB2"/>
    <w:rsid w:val="34EC3C93"/>
    <w:rsid w:val="34F0AAFB"/>
    <w:rsid w:val="3505A3A6"/>
    <w:rsid w:val="35111701"/>
    <w:rsid w:val="351ADEAA"/>
    <w:rsid w:val="35222EC5"/>
    <w:rsid w:val="3529EB85"/>
    <w:rsid w:val="3539CDE2"/>
    <w:rsid w:val="353A13AA"/>
    <w:rsid w:val="354B9DB5"/>
    <w:rsid w:val="3556C1B4"/>
    <w:rsid w:val="35649656"/>
    <w:rsid w:val="3564D844"/>
    <w:rsid w:val="3567742D"/>
    <w:rsid w:val="3568381B"/>
    <w:rsid w:val="3569A800"/>
    <w:rsid w:val="356BAC26"/>
    <w:rsid w:val="35782B74"/>
    <w:rsid w:val="3579EDA8"/>
    <w:rsid w:val="3581568F"/>
    <w:rsid w:val="358290F2"/>
    <w:rsid w:val="3582FA58"/>
    <w:rsid w:val="358FE6E0"/>
    <w:rsid w:val="3597C451"/>
    <w:rsid w:val="359E7B4F"/>
    <w:rsid w:val="35A07130"/>
    <w:rsid w:val="35A1B68A"/>
    <w:rsid w:val="35A3465F"/>
    <w:rsid w:val="35A4D10C"/>
    <w:rsid w:val="35A5E787"/>
    <w:rsid w:val="35A84533"/>
    <w:rsid w:val="35AB9A31"/>
    <w:rsid w:val="35B31E75"/>
    <w:rsid w:val="35BD94CD"/>
    <w:rsid w:val="35CF7172"/>
    <w:rsid w:val="35D2CB1C"/>
    <w:rsid w:val="35D5336E"/>
    <w:rsid w:val="35D62594"/>
    <w:rsid w:val="35D98AC9"/>
    <w:rsid w:val="35DE59C1"/>
    <w:rsid w:val="35EFABAF"/>
    <w:rsid w:val="35FEFE8D"/>
    <w:rsid w:val="3601A72C"/>
    <w:rsid w:val="3602C9DD"/>
    <w:rsid w:val="36083081"/>
    <w:rsid w:val="3608579F"/>
    <w:rsid w:val="360A4F75"/>
    <w:rsid w:val="360A52A0"/>
    <w:rsid w:val="36172E6A"/>
    <w:rsid w:val="361C62AE"/>
    <w:rsid w:val="361DDF84"/>
    <w:rsid w:val="361E55D0"/>
    <w:rsid w:val="362322B0"/>
    <w:rsid w:val="36301122"/>
    <w:rsid w:val="3634E384"/>
    <w:rsid w:val="363611F7"/>
    <w:rsid w:val="3636D33E"/>
    <w:rsid w:val="36534C33"/>
    <w:rsid w:val="36569F42"/>
    <w:rsid w:val="3656E148"/>
    <w:rsid w:val="36597866"/>
    <w:rsid w:val="365C218D"/>
    <w:rsid w:val="365D3D58"/>
    <w:rsid w:val="3665EE42"/>
    <w:rsid w:val="3667E944"/>
    <w:rsid w:val="366ECBBC"/>
    <w:rsid w:val="367AAC75"/>
    <w:rsid w:val="368737F4"/>
    <w:rsid w:val="368B7574"/>
    <w:rsid w:val="369222C8"/>
    <w:rsid w:val="3695CA65"/>
    <w:rsid w:val="3695FF47"/>
    <w:rsid w:val="36A23D71"/>
    <w:rsid w:val="36A5F016"/>
    <w:rsid w:val="36A82C41"/>
    <w:rsid w:val="36A83CA0"/>
    <w:rsid w:val="36B08F16"/>
    <w:rsid w:val="36C31C5C"/>
    <w:rsid w:val="36CDD3BC"/>
    <w:rsid w:val="36D5B671"/>
    <w:rsid w:val="36E02E7D"/>
    <w:rsid w:val="36EB3505"/>
    <w:rsid w:val="36F15C22"/>
    <w:rsid w:val="36FB0C3A"/>
    <w:rsid w:val="36FF236B"/>
    <w:rsid w:val="36FF6BEC"/>
    <w:rsid w:val="370219B7"/>
    <w:rsid w:val="37067591"/>
    <w:rsid w:val="370A8869"/>
    <w:rsid w:val="3715DB7C"/>
    <w:rsid w:val="371B918C"/>
    <w:rsid w:val="37256132"/>
    <w:rsid w:val="3729828C"/>
    <w:rsid w:val="37309BA8"/>
    <w:rsid w:val="3735CD44"/>
    <w:rsid w:val="373B1645"/>
    <w:rsid w:val="373CFD1A"/>
    <w:rsid w:val="373D6D5D"/>
    <w:rsid w:val="373FC175"/>
    <w:rsid w:val="374C2F34"/>
    <w:rsid w:val="37502E19"/>
    <w:rsid w:val="3752FED6"/>
    <w:rsid w:val="3758B8AE"/>
    <w:rsid w:val="3763C080"/>
    <w:rsid w:val="37749FA0"/>
    <w:rsid w:val="37755F45"/>
    <w:rsid w:val="3779C3E9"/>
    <w:rsid w:val="377B9433"/>
    <w:rsid w:val="378C71A5"/>
    <w:rsid w:val="378EAF30"/>
    <w:rsid w:val="379D217C"/>
    <w:rsid w:val="37A15F35"/>
    <w:rsid w:val="37B7F6AB"/>
    <w:rsid w:val="37C25085"/>
    <w:rsid w:val="37C32013"/>
    <w:rsid w:val="37C5AA95"/>
    <w:rsid w:val="37CF2706"/>
    <w:rsid w:val="37E159A6"/>
    <w:rsid w:val="37E1847D"/>
    <w:rsid w:val="37E7FC2F"/>
    <w:rsid w:val="37F6973C"/>
    <w:rsid w:val="37FA493A"/>
    <w:rsid w:val="37FCD32E"/>
    <w:rsid w:val="380A12F5"/>
    <w:rsid w:val="38116949"/>
    <w:rsid w:val="38138F99"/>
    <w:rsid w:val="381F3BE4"/>
    <w:rsid w:val="382A405F"/>
    <w:rsid w:val="382BC8A9"/>
    <w:rsid w:val="382F30AB"/>
    <w:rsid w:val="383F28BC"/>
    <w:rsid w:val="384FCB6D"/>
    <w:rsid w:val="3853DDE3"/>
    <w:rsid w:val="385C38DF"/>
    <w:rsid w:val="385F5D9E"/>
    <w:rsid w:val="386D0E85"/>
    <w:rsid w:val="3884799A"/>
    <w:rsid w:val="3884A005"/>
    <w:rsid w:val="3886910D"/>
    <w:rsid w:val="388AFF12"/>
    <w:rsid w:val="388C9CD2"/>
    <w:rsid w:val="388FFB85"/>
    <w:rsid w:val="3895C938"/>
    <w:rsid w:val="3895CC7D"/>
    <w:rsid w:val="3897F1A5"/>
    <w:rsid w:val="389AFF20"/>
    <w:rsid w:val="38B29839"/>
    <w:rsid w:val="38B86428"/>
    <w:rsid w:val="38BABD40"/>
    <w:rsid w:val="38C72B3C"/>
    <w:rsid w:val="38CCB0E7"/>
    <w:rsid w:val="38CE8B48"/>
    <w:rsid w:val="38D8E6C7"/>
    <w:rsid w:val="38D9921B"/>
    <w:rsid w:val="38E50E1B"/>
    <w:rsid w:val="38EA2007"/>
    <w:rsid w:val="38F79998"/>
    <w:rsid w:val="38FA9EDE"/>
    <w:rsid w:val="3901263E"/>
    <w:rsid w:val="3901A390"/>
    <w:rsid w:val="390F4C02"/>
    <w:rsid w:val="39132F2F"/>
    <w:rsid w:val="39138DBD"/>
    <w:rsid w:val="391B9994"/>
    <w:rsid w:val="3933A832"/>
    <w:rsid w:val="393FCBB7"/>
    <w:rsid w:val="3940E65D"/>
    <w:rsid w:val="3942442B"/>
    <w:rsid w:val="39464B06"/>
    <w:rsid w:val="39513DF4"/>
    <w:rsid w:val="3952640F"/>
    <w:rsid w:val="39584C98"/>
    <w:rsid w:val="395B8C71"/>
    <w:rsid w:val="395C3DE1"/>
    <w:rsid w:val="395DB8CE"/>
    <w:rsid w:val="395EF8CC"/>
    <w:rsid w:val="396B6E66"/>
    <w:rsid w:val="396D2471"/>
    <w:rsid w:val="3970618E"/>
    <w:rsid w:val="3970ED77"/>
    <w:rsid w:val="3978EEF5"/>
    <w:rsid w:val="39795218"/>
    <w:rsid w:val="39805227"/>
    <w:rsid w:val="39837D89"/>
    <w:rsid w:val="398BE73F"/>
    <w:rsid w:val="398BEB14"/>
    <w:rsid w:val="3998EA59"/>
    <w:rsid w:val="399B8B2F"/>
    <w:rsid w:val="39A4776C"/>
    <w:rsid w:val="39AB3BBF"/>
    <w:rsid w:val="39B33375"/>
    <w:rsid w:val="39B53C1C"/>
    <w:rsid w:val="39B88B92"/>
    <w:rsid w:val="39BB8BC2"/>
    <w:rsid w:val="39BD3D4E"/>
    <w:rsid w:val="39D70FE6"/>
    <w:rsid w:val="39D740EC"/>
    <w:rsid w:val="39E17B25"/>
    <w:rsid w:val="39E7F382"/>
    <w:rsid w:val="39EC7BF0"/>
    <w:rsid w:val="39EF1DCC"/>
    <w:rsid w:val="39F409C1"/>
    <w:rsid w:val="39F87637"/>
    <w:rsid w:val="39FFED3C"/>
    <w:rsid w:val="3A13C4B8"/>
    <w:rsid w:val="3A163BD0"/>
    <w:rsid w:val="3A1C81C6"/>
    <w:rsid w:val="3A21538E"/>
    <w:rsid w:val="3A22DAE0"/>
    <w:rsid w:val="3A25E7D4"/>
    <w:rsid w:val="3A288EBA"/>
    <w:rsid w:val="3A332DAD"/>
    <w:rsid w:val="3A370188"/>
    <w:rsid w:val="3A3B17F0"/>
    <w:rsid w:val="3A3DE4C3"/>
    <w:rsid w:val="3A3EE7D0"/>
    <w:rsid w:val="3A42AE8C"/>
    <w:rsid w:val="3A4937DA"/>
    <w:rsid w:val="3A4A4570"/>
    <w:rsid w:val="3A4AD6AF"/>
    <w:rsid w:val="3A4C50A2"/>
    <w:rsid w:val="3A52A9DC"/>
    <w:rsid w:val="3A5B4CCA"/>
    <w:rsid w:val="3A5DE8F8"/>
    <w:rsid w:val="3A73D214"/>
    <w:rsid w:val="3A822120"/>
    <w:rsid w:val="3A84B872"/>
    <w:rsid w:val="3A92F7C6"/>
    <w:rsid w:val="3A9617FA"/>
    <w:rsid w:val="3A972D8A"/>
    <w:rsid w:val="3AADA4AC"/>
    <w:rsid w:val="3AAE6512"/>
    <w:rsid w:val="3AB045FA"/>
    <w:rsid w:val="3AB34941"/>
    <w:rsid w:val="3AB59072"/>
    <w:rsid w:val="3ABB23CD"/>
    <w:rsid w:val="3AC1AF66"/>
    <w:rsid w:val="3AC658C0"/>
    <w:rsid w:val="3AD5D739"/>
    <w:rsid w:val="3AD667DE"/>
    <w:rsid w:val="3AE6F840"/>
    <w:rsid w:val="3AE7824F"/>
    <w:rsid w:val="3AE8BF47"/>
    <w:rsid w:val="3AE9C8D1"/>
    <w:rsid w:val="3AF04C09"/>
    <w:rsid w:val="3AF5B6EC"/>
    <w:rsid w:val="3AFD9178"/>
    <w:rsid w:val="3B0206D8"/>
    <w:rsid w:val="3B0AB131"/>
    <w:rsid w:val="3B1AE4C2"/>
    <w:rsid w:val="3B1C5C54"/>
    <w:rsid w:val="3B20D398"/>
    <w:rsid w:val="3B28D5FA"/>
    <w:rsid w:val="3B31DBAB"/>
    <w:rsid w:val="3B38048B"/>
    <w:rsid w:val="3B3D5645"/>
    <w:rsid w:val="3B40FCB3"/>
    <w:rsid w:val="3B41E779"/>
    <w:rsid w:val="3B5FB5AD"/>
    <w:rsid w:val="3B609CA2"/>
    <w:rsid w:val="3B67771C"/>
    <w:rsid w:val="3B694D35"/>
    <w:rsid w:val="3B69D728"/>
    <w:rsid w:val="3B74A62A"/>
    <w:rsid w:val="3B7510BE"/>
    <w:rsid w:val="3B760DE2"/>
    <w:rsid w:val="3B78B998"/>
    <w:rsid w:val="3B7925C3"/>
    <w:rsid w:val="3B7F65AB"/>
    <w:rsid w:val="3B82EB47"/>
    <w:rsid w:val="3B9519ED"/>
    <w:rsid w:val="3B975ECC"/>
    <w:rsid w:val="3B9E2AD0"/>
    <w:rsid w:val="3BA53C5F"/>
    <w:rsid w:val="3BA555A3"/>
    <w:rsid w:val="3BB799C2"/>
    <w:rsid w:val="3BB96E93"/>
    <w:rsid w:val="3BBC397E"/>
    <w:rsid w:val="3BBC7A83"/>
    <w:rsid w:val="3BBCC502"/>
    <w:rsid w:val="3BC1256A"/>
    <w:rsid w:val="3BC69C43"/>
    <w:rsid w:val="3BDA6652"/>
    <w:rsid w:val="3BDA6B6F"/>
    <w:rsid w:val="3BE12DF4"/>
    <w:rsid w:val="3BE3A1DD"/>
    <w:rsid w:val="3BED7B76"/>
    <w:rsid w:val="3BEF2A5B"/>
    <w:rsid w:val="3C045922"/>
    <w:rsid w:val="3C04A3C5"/>
    <w:rsid w:val="3C140A05"/>
    <w:rsid w:val="3C189D45"/>
    <w:rsid w:val="3C18DC6B"/>
    <w:rsid w:val="3C1C4558"/>
    <w:rsid w:val="3C1CC7BB"/>
    <w:rsid w:val="3C289C1A"/>
    <w:rsid w:val="3C356DCC"/>
    <w:rsid w:val="3C3647AD"/>
    <w:rsid w:val="3C40E6D6"/>
    <w:rsid w:val="3C422C17"/>
    <w:rsid w:val="3C441B49"/>
    <w:rsid w:val="3C598212"/>
    <w:rsid w:val="3C5AEF34"/>
    <w:rsid w:val="3C60E6AF"/>
    <w:rsid w:val="3C636143"/>
    <w:rsid w:val="3C722FB3"/>
    <w:rsid w:val="3C734E1A"/>
    <w:rsid w:val="3C7D549D"/>
    <w:rsid w:val="3C95C82C"/>
    <w:rsid w:val="3CA49948"/>
    <w:rsid w:val="3CAAF259"/>
    <w:rsid w:val="3CAB2B4F"/>
    <w:rsid w:val="3CAE77B1"/>
    <w:rsid w:val="3CB01CF1"/>
    <w:rsid w:val="3CB3B8E4"/>
    <w:rsid w:val="3CB8BC32"/>
    <w:rsid w:val="3CC02D6E"/>
    <w:rsid w:val="3CD5C939"/>
    <w:rsid w:val="3CDBF45F"/>
    <w:rsid w:val="3CEC0392"/>
    <w:rsid w:val="3CF898CE"/>
    <w:rsid w:val="3CFA4BF0"/>
    <w:rsid w:val="3CFE1B39"/>
    <w:rsid w:val="3D032370"/>
    <w:rsid w:val="3D14C73C"/>
    <w:rsid w:val="3D216B1C"/>
    <w:rsid w:val="3D220AD7"/>
    <w:rsid w:val="3D267E8D"/>
    <w:rsid w:val="3D2B778C"/>
    <w:rsid w:val="3D3AF024"/>
    <w:rsid w:val="3D47B4E0"/>
    <w:rsid w:val="3D47C075"/>
    <w:rsid w:val="3D48F4BE"/>
    <w:rsid w:val="3D4F8B30"/>
    <w:rsid w:val="3D559773"/>
    <w:rsid w:val="3D560EB7"/>
    <w:rsid w:val="3D602831"/>
    <w:rsid w:val="3D620740"/>
    <w:rsid w:val="3D650FC5"/>
    <w:rsid w:val="3D6B3391"/>
    <w:rsid w:val="3D701DCC"/>
    <w:rsid w:val="3D707679"/>
    <w:rsid w:val="3D88733C"/>
    <w:rsid w:val="3D8EFCB9"/>
    <w:rsid w:val="3D9DDDA5"/>
    <w:rsid w:val="3DA32351"/>
    <w:rsid w:val="3DA7D549"/>
    <w:rsid w:val="3DA96CD9"/>
    <w:rsid w:val="3DABC68D"/>
    <w:rsid w:val="3DB00E40"/>
    <w:rsid w:val="3DB232E2"/>
    <w:rsid w:val="3DBACB50"/>
    <w:rsid w:val="3DBBCE54"/>
    <w:rsid w:val="3DC1BF57"/>
    <w:rsid w:val="3DC808E3"/>
    <w:rsid w:val="3DDE1375"/>
    <w:rsid w:val="3DECA6B7"/>
    <w:rsid w:val="3DECC292"/>
    <w:rsid w:val="3DFA9D1D"/>
    <w:rsid w:val="3E01471B"/>
    <w:rsid w:val="3E030486"/>
    <w:rsid w:val="3E03423B"/>
    <w:rsid w:val="3E0537D0"/>
    <w:rsid w:val="3E05EA0A"/>
    <w:rsid w:val="3E0618E2"/>
    <w:rsid w:val="3E09067A"/>
    <w:rsid w:val="3E091135"/>
    <w:rsid w:val="3E20F842"/>
    <w:rsid w:val="3E2A824A"/>
    <w:rsid w:val="3E3191AE"/>
    <w:rsid w:val="3E32B69A"/>
    <w:rsid w:val="3E37EA77"/>
    <w:rsid w:val="3E3FAE04"/>
    <w:rsid w:val="3E53E50D"/>
    <w:rsid w:val="3E585BD6"/>
    <w:rsid w:val="3E5A1D34"/>
    <w:rsid w:val="3E5F9496"/>
    <w:rsid w:val="3E6909D9"/>
    <w:rsid w:val="3E6932FB"/>
    <w:rsid w:val="3E6BBB2E"/>
    <w:rsid w:val="3E83C3A4"/>
    <w:rsid w:val="3E86FC02"/>
    <w:rsid w:val="3E8C75A9"/>
    <w:rsid w:val="3E8CCA69"/>
    <w:rsid w:val="3E938085"/>
    <w:rsid w:val="3E9A4EA4"/>
    <w:rsid w:val="3E9BB7E6"/>
    <w:rsid w:val="3E9E7962"/>
    <w:rsid w:val="3EA6B090"/>
    <w:rsid w:val="3EA92F22"/>
    <w:rsid w:val="3EABB15C"/>
    <w:rsid w:val="3EB05D08"/>
    <w:rsid w:val="3EB30059"/>
    <w:rsid w:val="3EB7DD7C"/>
    <w:rsid w:val="3EBB097B"/>
    <w:rsid w:val="3EC28D4A"/>
    <w:rsid w:val="3ED31752"/>
    <w:rsid w:val="3ED5EDC7"/>
    <w:rsid w:val="3EDDAA80"/>
    <w:rsid w:val="3EE8BD9B"/>
    <w:rsid w:val="3EEA5B76"/>
    <w:rsid w:val="3EEF022D"/>
    <w:rsid w:val="3EFF6BB9"/>
    <w:rsid w:val="3F03EBCD"/>
    <w:rsid w:val="3F1726CC"/>
    <w:rsid w:val="3F17D24A"/>
    <w:rsid w:val="3F1BB882"/>
    <w:rsid w:val="3F2BFA62"/>
    <w:rsid w:val="3F31EA39"/>
    <w:rsid w:val="3F3372DE"/>
    <w:rsid w:val="3F423EDC"/>
    <w:rsid w:val="3F43F6DD"/>
    <w:rsid w:val="3F44EF97"/>
    <w:rsid w:val="3F468821"/>
    <w:rsid w:val="3F49E55B"/>
    <w:rsid w:val="3F5238FE"/>
    <w:rsid w:val="3F56FACF"/>
    <w:rsid w:val="3F57AFD6"/>
    <w:rsid w:val="3F5927F2"/>
    <w:rsid w:val="3F5A395E"/>
    <w:rsid w:val="3F6444C1"/>
    <w:rsid w:val="3F6477BB"/>
    <w:rsid w:val="3F660762"/>
    <w:rsid w:val="3F69DAF6"/>
    <w:rsid w:val="3F6F181B"/>
    <w:rsid w:val="3F73E252"/>
    <w:rsid w:val="3F751A9C"/>
    <w:rsid w:val="3F780CD9"/>
    <w:rsid w:val="3F852BD7"/>
    <w:rsid w:val="3F94A13D"/>
    <w:rsid w:val="3F9590ED"/>
    <w:rsid w:val="3F985F31"/>
    <w:rsid w:val="3F9B87D6"/>
    <w:rsid w:val="3F9E333A"/>
    <w:rsid w:val="3FA2A765"/>
    <w:rsid w:val="3FB11BDD"/>
    <w:rsid w:val="3FBA4FDB"/>
    <w:rsid w:val="3FBBB091"/>
    <w:rsid w:val="3FBDB765"/>
    <w:rsid w:val="3FBDFD8D"/>
    <w:rsid w:val="3FC0DA31"/>
    <w:rsid w:val="3FD4D897"/>
    <w:rsid w:val="3FE15D7F"/>
    <w:rsid w:val="3FE39BF2"/>
    <w:rsid w:val="3FE60084"/>
    <w:rsid w:val="3FEEB8E0"/>
    <w:rsid w:val="3FF14034"/>
    <w:rsid w:val="40028A9D"/>
    <w:rsid w:val="400ADC19"/>
    <w:rsid w:val="4015DBAD"/>
    <w:rsid w:val="4018EB17"/>
    <w:rsid w:val="40193EEC"/>
    <w:rsid w:val="401CE90A"/>
    <w:rsid w:val="4027541D"/>
    <w:rsid w:val="4027A2EE"/>
    <w:rsid w:val="402CE498"/>
    <w:rsid w:val="403750B4"/>
    <w:rsid w:val="403A022E"/>
    <w:rsid w:val="403A363E"/>
    <w:rsid w:val="403A53FE"/>
    <w:rsid w:val="403B5639"/>
    <w:rsid w:val="403C845E"/>
    <w:rsid w:val="404507EA"/>
    <w:rsid w:val="404525F3"/>
    <w:rsid w:val="4045D652"/>
    <w:rsid w:val="4046C408"/>
    <w:rsid w:val="40473CE5"/>
    <w:rsid w:val="404768A2"/>
    <w:rsid w:val="40487731"/>
    <w:rsid w:val="404DCBF8"/>
    <w:rsid w:val="404E1B50"/>
    <w:rsid w:val="404FC9F6"/>
    <w:rsid w:val="40507492"/>
    <w:rsid w:val="40542C5B"/>
    <w:rsid w:val="405512AE"/>
    <w:rsid w:val="40557037"/>
    <w:rsid w:val="405F6192"/>
    <w:rsid w:val="40765AF7"/>
    <w:rsid w:val="4079625D"/>
    <w:rsid w:val="408762AD"/>
    <w:rsid w:val="40896536"/>
    <w:rsid w:val="4089F363"/>
    <w:rsid w:val="408AB099"/>
    <w:rsid w:val="409BEF8C"/>
    <w:rsid w:val="409CDDE2"/>
    <w:rsid w:val="40AD9BFD"/>
    <w:rsid w:val="40B732A1"/>
    <w:rsid w:val="40BDAEDF"/>
    <w:rsid w:val="40C25533"/>
    <w:rsid w:val="40C3D3E8"/>
    <w:rsid w:val="40D1F010"/>
    <w:rsid w:val="40DFF91E"/>
    <w:rsid w:val="40E3841A"/>
    <w:rsid w:val="40E4F067"/>
    <w:rsid w:val="40EF3356"/>
    <w:rsid w:val="40EF3D51"/>
    <w:rsid w:val="40F05DB7"/>
    <w:rsid w:val="40FBD68E"/>
    <w:rsid w:val="40FED401"/>
    <w:rsid w:val="41008910"/>
    <w:rsid w:val="410C3F13"/>
    <w:rsid w:val="4114FBE8"/>
    <w:rsid w:val="4115DC8C"/>
    <w:rsid w:val="411DF8B0"/>
    <w:rsid w:val="411F9807"/>
    <w:rsid w:val="4123C510"/>
    <w:rsid w:val="41293E4D"/>
    <w:rsid w:val="412B355C"/>
    <w:rsid w:val="412DE000"/>
    <w:rsid w:val="413F5528"/>
    <w:rsid w:val="4143EBA6"/>
    <w:rsid w:val="414436C6"/>
    <w:rsid w:val="41540315"/>
    <w:rsid w:val="4155A898"/>
    <w:rsid w:val="416B50EE"/>
    <w:rsid w:val="4175FC4B"/>
    <w:rsid w:val="417C075D"/>
    <w:rsid w:val="417E1ED9"/>
    <w:rsid w:val="41844DE6"/>
    <w:rsid w:val="4187293E"/>
    <w:rsid w:val="4187C2AA"/>
    <w:rsid w:val="41885477"/>
    <w:rsid w:val="418A164D"/>
    <w:rsid w:val="418FD578"/>
    <w:rsid w:val="41A44220"/>
    <w:rsid w:val="41A565C7"/>
    <w:rsid w:val="41A60838"/>
    <w:rsid w:val="41AB1222"/>
    <w:rsid w:val="41AC822A"/>
    <w:rsid w:val="41AE0343"/>
    <w:rsid w:val="41B65096"/>
    <w:rsid w:val="41C29591"/>
    <w:rsid w:val="41C6E0DF"/>
    <w:rsid w:val="41C90165"/>
    <w:rsid w:val="41C93531"/>
    <w:rsid w:val="41CACE01"/>
    <w:rsid w:val="41CD82CD"/>
    <w:rsid w:val="41CE9B58"/>
    <w:rsid w:val="41D3B9D7"/>
    <w:rsid w:val="41D5764B"/>
    <w:rsid w:val="41DB745B"/>
    <w:rsid w:val="41ECBE6F"/>
    <w:rsid w:val="41ED96C0"/>
    <w:rsid w:val="41EF7469"/>
    <w:rsid w:val="41F582CA"/>
    <w:rsid w:val="41F8A146"/>
    <w:rsid w:val="41F91A6E"/>
    <w:rsid w:val="4201FBD6"/>
    <w:rsid w:val="4204AB67"/>
    <w:rsid w:val="420A8CAB"/>
    <w:rsid w:val="420D9D30"/>
    <w:rsid w:val="420E3382"/>
    <w:rsid w:val="421AA142"/>
    <w:rsid w:val="42219193"/>
    <w:rsid w:val="4229253D"/>
    <w:rsid w:val="4229FCB3"/>
    <w:rsid w:val="42397903"/>
    <w:rsid w:val="423AA8BE"/>
    <w:rsid w:val="4246022A"/>
    <w:rsid w:val="42484BDC"/>
    <w:rsid w:val="424B9787"/>
    <w:rsid w:val="425CFECD"/>
    <w:rsid w:val="4260F3CB"/>
    <w:rsid w:val="42805361"/>
    <w:rsid w:val="4289B89E"/>
    <w:rsid w:val="428BFBD5"/>
    <w:rsid w:val="428F5DA4"/>
    <w:rsid w:val="42907EEE"/>
    <w:rsid w:val="4291B31A"/>
    <w:rsid w:val="429AD3A3"/>
    <w:rsid w:val="42A85CD0"/>
    <w:rsid w:val="42B616A6"/>
    <w:rsid w:val="42BBCA72"/>
    <w:rsid w:val="42C6F59A"/>
    <w:rsid w:val="42D133B6"/>
    <w:rsid w:val="42E8A972"/>
    <w:rsid w:val="42EBEB67"/>
    <w:rsid w:val="42F1441A"/>
    <w:rsid w:val="43023AA6"/>
    <w:rsid w:val="4309205B"/>
    <w:rsid w:val="430C1ABF"/>
    <w:rsid w:val="430FEF08"/>
    <w:rsid w:val="4315C47F"/>
    <w:rsid w:val="43235612"/>
    <w:rsid w:val="4327BDBB"/>
    <w:rsid w:val="4327CD82"/>
    <w:rsid w:val="43337FD3"/>
    <w:rsid w:val="4343490B"/>
    <w:rsid w:val="434786BE"/>
    <w:rsid w:val="434871AB"/>
    <w:rsid w:val="434DBDAF"/>
    <w:rsid w:val="43561B33"/>
    <w:rsid w:val="4356F063"/>
    <w:rsid w:val="435E39A9"/>
    <w:rsid w:val="436B5E80"/>
    <w:rsid w:val="436E33A6"/>
    <w:rsid w:val="4373360B"/>
    <w:rsid w:val="437AAA5E"/>
    <w:rsid w:val="437AF3CF"/>
    <w:rsid w:val="43875E4F"/>
    <w:rsid w:val="438E865E"/>
    <w:rsid w:val="43981363"/>
    <w:rsid w:val="4399B263"/>
    <w:rsid w:val="439C1B2A"/>
    <w:rsid w:val="43A62418"/>
    <w:rsid w:val="43A81CC6"/>
    <w:rsid w:val="43AE1C0A"/>
    <w:rsid w:val="43B246B8"/>
    <w:rsid w:val="43BF313E"/>
    <w:rsid w:val="43BFDECF"/>
    <w:rsid w:val="43C788F8"/>
    <w:rsid w:val="43CD46E6"/>
    <w:rsid w:val="43D51233"/>
    <w:rsid w:val="43D719C4"/>
    <w:rsid w:val="43E4F0F8"/>
    <w:rsid w:val="43F4986C"/>
    <w:rsid w:val="4405BEFE"/>
    <w:rsid w:val="44077157"/>
    <w:rsid w:val="4416045F"/>
    <w:rsid w:val="441B9DAC"/>
    <w:rsid w:val="442407AB"/>
    <w:rsid w:val="4425C7A2"/>
    <w:rsid w:val="4427E2EF"/>
    <w:rsid w:val="4433666D"/>
    <w:rsid w:val="44351447"/>
    <w:rsid w:val="44372FA9"/>
    <w:rsid w:val="443A7AAE"/>
    <w:rsid w:val="443C628F"/>
    <w:rsid w:val="443FBEAD"/>
    <w:rsid w:val="4445AB8A"/>
    <w:rsid w:val="44468A9F"/>
    <w:rsid w:val="444AF9EB"/>
    <w:rsid w:val="444BFF02"/>
    <w:rsid w:val="445898F0"/>
    <w:rsid w:val="446697AB"/>
    <w:rsid w:val="446FE9FD"/>
    <w:rsid w:val="447086C0"/>
    <w:rsid w:val="4472F0B0"/>
    <w:rsid w:val="4473BA58"/>
    <w:rsid w:val="447AF140"/>
    <w:rsid w:val="447FD08D"/>
    <w:rsid w:val="4484826C"/>
    <w:rsid w:val="448934F4"/>
    <w:rsid w:val="4492B070"/>
    <w:rsid w:val="44991C5A"/>
    <w:rsid w:val="449BB9B2"/>
    <w:rsid w:val="44A2A7F5"/>
    <w:rsid w:val="44A7984E"/>
    <w:rsid w:val="44A89503"/>
    <w:rsid w:val="44AA3803"/>
    <w:rsid w:val="44AF4BB2"/>
    <w:rsid w:val="44B341F8"/>
    <w:rsid w:val="44B499F1"/>
    <w:rsid w:val="44BC68E8"/>
    <w:rsid w:val="44C06609"/>
    <w:rsid w:val="44C0F411"/>
    <w:rsid w:val="44C5F07B"/>
    <w:rsid w:val="44CB5C8B"/>
    <w:rsid w:val="44D5200E"/>
    <w:rsid w:val="44D64660"/>
    <w:rsid w:val="44D77777"/>
    <w:rsid w:val="44DE815C"/>
    <w:rsid w:val="44E18033"/>
    <w:rsid w:val="44F6555F"/>
    <w:rsid w:val="44FA19BB"/>
    <w:rsid w:val="44FF8DBC"/>
    <w:rsid w:val="4504DEF8"/>
    <w:rsid w:val="4509092C"/>
    <w:rsid w:val="450940E7"/>
    <w:rsid w:val="45094C39"/>
    <w:rsid w:val="450C15E5"/>
    <w:rsid w:val="45110829"/>
    <w:rsid w:val="4512C7D4"/>
    <w:rsid w:val="451D39A2"/>
    <w:rsid w:val="45233CAF"/>
    <w:rsid w:val="4529D596"/>
    <w:rsid w:val="452BC611"/>
    <w:rsid w:val="452E8377"/>
    <w:rsid w:val="4534644F"/>
    <w:rsid w:val="4535BEB9"/>
    <w:rsid w:val="45386A7C"/>
    <w:rsid w:val="4545966A"/>
    <w:rsid w:val="456F777B"/>
    <w:rsid w:val="4576C30D"/>
    <w:rsid w:val="4577F917"/>
    <w:rsid w:val="457CCBF4"/>
    <w:rsid w:val="4584E3F7"/>
    <w:rsid w:val="45958154"/>
    <w:rsid w:val="45A56191"/>
    <w:rsid w:val="45A8552D"/>
    <w:rsid w:val="45AAC8F3"/>
    <w:rsid w:val="45B84D82"/>
    <w:rsid w:val="45B94E1D"/>
    <w:rsid w:val="45BF9D0D"/>
    <w:rsid w:val="45C89885"/>
    <w:rsid w:val="45D41ACA"/>
    <w:rsid w:val="45D54A68"/>
    <w:rsid w:val="45D8E376"/>
    <w:rsid w:val="45D8F17F"/>
    <w:rsid w:val="45DE090F"/>
    <w:rsid w:val="45E452D5"/>
    <w:rsid w:val="45E45FBB"/>
    <w:rsid w:val="45E5C0C5"/>
    <w:rsid w:val="45EE5BCB"/>
    <w:rsid w:val="45F46698"/>
    <w:rsid w:val="460117E7"/>
    <w:rsid w:val="4605C968"/>
    <w:rsid w:val="461A72AB"/>
    <w:rsid w:val="462312E4"/>
    <w:rsid w:val="46303837"/>
    <w:rsid w:val="463175E6"/>
    <w:rsid w:val="463585FE"/>
    <w:rsid w:val="4635C749"/>
    <w:rsid w:val="4637442C"/>
    <w:rsid w:val="463DF901"/>
    <w:rsid w:val="46458DDE"/>
    <w:rsid w:val="4651779E"/>
    <w:rsid w:val="46544E66"/>
    <w:rsid w:val="465D32C7"/>
    <w:rsid w:val="4663F276"/>
    <w:rsid w:val="4665BF70"/>
    <w:rsid w:val="466B79EA"/>
    <w:rsid w:val="466D3B3E"/>
    <w:rsid w:val="466F9B1E"/>
    <w:rsid w:val="4675A523"/>
    <w:rsid w:val="4678BC66"/>
    <w:rsid w:val="4679C59E"/>
    <w:rsid w:val="468AAE20"/>
    <w:rsid w:val="468F6A2C"/>
    <w:rsid w:val="46A14C84"/>
    <w:rsid w:val="46A96B4A"/>
    <w:rsid w:val="46AB743A"/>
    <w:rsid w:val="46AC4679"/>
    <w:rsid w:val="46BE3B4E"/>
    <w:rsid w:val="46C3F5F2"/>
    <w:rsid w:val="46CA1EA6"/>
    <w:rsid w:val="46D6BFB8"/>
    <w:rsid w:val="46E257F8"/>
    <w:rsid w:val="46E65D88"/>
    <w:rsid w:val="46F517AA"/>
    <w:rsid w:val="46FD8A27"/>
    <w:rsid w:val="4703E670"/>
    <w:rsid w:val="4704AE6A"/>
    <w:rsid w:val="47078AED"/>
    <w:rsid w:val="470A1886"/>
    <w:rsid w:val="470C1D8A"/>
    <w:rsid w:val="470CEE3E"/>
    <w:rsid w:val="4716E8A3"/>
    <w:rsid w:val="4728C373"/>
    <w:rsid w:val="472C0094"/>
    <w:rsid w:val="472FF01A"/>
    <w:rsid w:val="473181A2"/>
    <w:rsid w:val="473FC77D"/>
    <w:rsid w:val="4750C9BE"/>
    <w:rsid w:val="475334FF"/>
    <w:rsid w:val="4754FD8D"/>
    <w:rsid w:val="475810C4"/>
    <w:rsid w:val="4764F1E2"/>
    <w:rsid w:val="4766EA45"/>
    <w:rsid w:val="476C25DE"/>
    <w:rsid w:val="4770B295"/>
    <w:rsid w:val="47731E89"/>
    <w:rsid w:val="477C8063"/>
    <w:rsid w:val="478C47D0"/>
    <w:rsid w:val="478E80F6"/>
    <w:rsid w:val="478EC32D"/>
    <w:rsid w:val="4795C6F3"/>
    <w:rsid w:val="47A3674B"/>
    <w:rsid w:val="47A5954C"/>
    <w:rsid w:val="47A5E65C"/>
    <w:rsid w:val="47A855E4"/>
    <w:rsid w:val="47B0D404"/>
    <w:rsid w:val="47B4117B"/>
    <w:rsid w:val="47C4EDF4"/>
    <w:rsid w:val="47C52346"/>
    <w:rsid w:val="47C5CC0E"/>
    <w:rsid w:val="47C611F4"/>
    <w:rsid w:val="47DB4D44"/>
    <w:rsid w:val="47E64D7F"/>
    <w:rsid w:val="47E6ACEB"/>
    <w:rsid w:val="47E6B2AC"/>
    <w:rsid w:val="47E73546"/>
    <w:rsid w:val="47FB8D1A"/>
    <w:rsid w:val="47FD0F11"/>
    <w:rsid w:val="4803E015"/>
    <w:rsid w:val="480460AB"/>
    <w:rsid w:val="4811CF3F"/>
    <w:rsid w:val="481484CC"/>
    <w:rsid w:val="48175379"/>
    <w:rsid w:val="4822C1C1"/>
    <w:rsid w:val="4824C390"/>
    <w:rsid w:val="482563A1"/>
    <w:rsid w:val="482E54B2"/>
    <w:rsid w:val="482F1153"/>
    <w:rsid w:val="48305DC9"/>
    <w:rsid w:val="4831B51C"/>
    <w:rsid w:val="4834C927"/>
    <w:rsid w:val="483FA126"/>
    <w:rsid w:val="48429764"/>
    <w:rsid w:val="4847E712"/>
    <w:rsid w:val="4848A012"/>
    <w:rsid w:val="4848E1D9"/>
    <w:rsid w:val="484CA283"/>
    <w:rsid w:val="4853D85A"/>
    <w:rsid w:val="4855836C"/>
    <w:rsid w:val="485A3DE6"/>
    <w:rsid w:val="485AC37D"/>
    <w:rsid w:val="48608E6C"/>
    <w:rsid w:val="486171F3"/>
    <w:rsid w:val="48632207"/>
    <w:rsid w:val="486A3170"/>
    <w:rsid w:val="487040BA"/>
    <w:rsid w:val="487572E9"/>
    <w:rsid w:val="4876F7CA"/>
    <w:rsid w:val="4877731C"/>
    <w:rsid w:val="4881D2AC"/>
    <w:rsid w:val="4882C2E2"/>
    <w:rsid w:val="488710D2"/>
    <w:rsid w:val="488B9E05"/>
    <w:rsid w:val="4894A97A"/>
    <w:rsid w:val="48AC04E0"/>
    <w:rsid w:val="48ACD7F5"/>
    <w:rsid w:val="48B204AD"/>
    <w:rsid w:val="48B2E913"/>
    <w:rsid w:val="48B848B9"/>
    <w:rsid w:val="48BD4A3F"/>
    <w:rsid w:val="48C02C8C"/>
    <w:rsid w:val="48D1CB37"/>
    <w:rsid w:val="48E51B3D"/>
    <w:rsid w:val="48E9FA6B"/>
    <w:rsid w:val="48EA0E76"/>
    <w:rsid w:val="48F6B916"/>
    <w:rsid w:val="48FB857D"/>
    <w:rsid w:val="4903F7CE"/>
    <w:rsid w:val="490B632C"/>
    <w:rsid w:val="49175E77"/>
    <w:rsid w:val="4918DC9B"/>
    <w:rsid w:val="491B918C"/>
    <w:rsid w:val="491CB816"/>
    <w:rsid w:val="491F6CDF"/>
    <w:rsid w:val="49325863"/>
    <w:rsid w:val="4934C347"/>
    <w:rsid w:val="49353977"/>
    <w:rsid w:val="493B12DD"/>
    <w:rsid w:val="493C9013"/>
    <w:rsid w:val="49400E91"/>
    <w:rsid w:val="49428A48"/>
    <w:rsid w:val="49433F4B"/>
    <w:rsid w:val="4948DE1B"/>
    <w:rsid w:val="495C939A"/>
    <w:rsid w:val="49614844"/>
    <w:rsid w:val="49676D67"/>
    <w:rsid w:val="497237AA"/>
    <w:rsid w:val="4974367E"/>
    <w:rsid w:val="497B8633"/>
    <w:rsid w:val="4986ABED"/>
    <w:rsid w:val="499102D2"/>
    <w:rsid w:val="49929B4E"/>
    <w:rsid w:val="49987198"/>
    <w:rsid w:val="49997E20"/>
    <w:rsid w:val="499C3623"/>
    <w:rsid w:val="49A75A99"/>
    <w:rsid w:val="49AFBE42"/>
    <w:rsid w:val="49B3027B"/>
    <w:rsid w:val="49B44166"/>
    <w:rsid w:val="49B5E63C"/>
    <w:rsid w:val="49D86DC6"/>
    <w:rsid w:val="49D8E6CD"/>
    <w:rsid w:val="49DEDA0B"/>
    <w:rsid w:val="49E00A5F"/>
    <w:rsid w:val="49EF0DBC"/>
    <w:rsid w:val="49F0D554"/>
    <w:rsid w:val="49FDE9A2"/>
    <w:rsid w:val="4A04F502"/>
    <w:rsid w:val="4A0FDA22"/>
    <w:rsid w:val="4A149796"/>
    <w:rsid w:val="4A1578D6"/>
    <w:rsid w:val="4A17B2FF"/>
    <w:rsid w:val="4A18535E"/>
    <w:rsid w:val="4A193800"/>
    <w:rsid w:val="4A232F2F"/>
    <w:rsid w:val="4A2989F0"/>
    <w:rsid w:val="4A2CF327"/>
    <w:rsid w:val="4A2E974C"/>
    <w:rsid w:val="4A3895E4"/>
    <w:rsid w:val="4A433874"/>
    <w:rsid w:val="4A438AEA"/>
    <w:rsid w:val="4A4B3B6A"/>
    <w:rsid w:val="4A4FF84A"/>
    <w:rsid w:val="4A56FAEB"/>
    <w:rsid w:val="4A5CAAB5"/>
    <w:rsid w:val="4A5ECE16"/>
    <w:rsid w:val="4A6ED1C9"/>
    <w:rsid w:val="4A727D38"/>
    <w:rsid w:val="4A73A431"/>
    <w:rsid w:val="4A7D7F86"/>
    <w:rsid w:val="4A830DE4"/>
    <w:rsid w:val="4A9954F3"/>
    <w:rsid w:val="4AA4BD3F"/>
    <w:rsid w:val="4AA6CBC2"/>
    <w:rsid w:val="4AABE6E9"/>
    <w:rsid w:val="4AAD3727"/>
    <w:rsid w:val="4AAF77ED"/>
    <w:rsid w:val="4AB5D112"/>
    <w:rsid w:val="4ABE4B84"/>
    <w:rsid w:val="4ABE85B3"/>
    <w:rsid w:val="4AC38A1F"/>
    <w:rsid w:val="4ACEF85F"/>
    <w:rsid w:val="4ADA3B0E"/>
    <w:rsid w:val="4ADBAF47"/>
    <w:rsid w:val="4ADE14B5"/>
    <w:rsid w:val="4AE29CB9"/>
    <w:rsid w:val="4AE3CE16"/>
    <w:rsid w:val="4AECF1B1"/>
    <w:rsid w:val="4AEE90A1"/>
    <w:rsid w:val="4AEF111D"/>
    <w:rsid w:val="4AF21527"/>
    <w:rsid w:val="4AFC1221"/>
    <w:rsid w:val="4B141617"/>
    <w:rsid w:val="4B25855F"/>
    <w:rsid w:val="4B25C42F"/>
    <w:rsid w:val="4B2AF1E3"/>
    <w:rsid w:val="4B2F07FE"/>
    <w:rsid w:val="4B31879F"/>
    <w:rsid w:val="4B3BB88F"/>
    <w:rsid w:val="4B3ECD3E"/>
    <w:rsid w:val="4B484146"/>
    <w:rsid w:val="4B4D8247"/>
    <w:rsid w:val="4B502E5C"/>
    <w:rsid w:val="4B55615D"/>
    <w:rsid w:val="4B662251"/>
    <w:rsid w:val="4B804779"/>
    <w:rsid w:val="4B8C06A2"/>
    <w:rsid w:val="4B9225D8"/>
    <w:rsid w:val="4B976537"/>
    <w:rsid w:val="4B97EEB2"/>
    <w:rsid w:val="4BA5B9E2"/>
    <w:rsid w:val="4BA820FD"/>
    <w:rsid w:val="4BAB5168"/>
    <w:rsid w:val="4BAE0154"/>
    <w:rsid w:val="4BB7C07B"/>
    <w:rsid w:val="4BB7C0BA"/>
    <w:rsid w:val="4BBABF0D"/>
    <w:rsid w:val="4BBB49BA"/>
    <w:rsid w:val="4BBE3764"/>
    <w:rsid w:val="4BBED1F1"/>
    <w:rsid w:val="4BC1A627"/>
    <w:rsid w:val="4BCFDB41"/>
    <w:rsid w:val="4BD7C64F"/>
    <w:rsid w:val="4BDC81EA"/>
    <w:rsid w:val="4BDEB0B1"/>
    <w:rsid w:val="4C03DE88"/>
    <w:rsid w:val="4C0B8552"/>
    <w:rsid w:val="4C0CE082"/>
    <w:rsid w:val="4C0FDB57"/>
    <w:rsid w:val="4C17A22B"/>
    <w:rsid w:val="4C21642C"/>
    <w:rsid w:val="4C21C7FB"/>
    <w:rsid w:val="4C2DAFA0"/>
    <w:rsid w:val="4C2FA819"/>
    <w:rsid w:val="4C3B0357"/>
    <w:rsid w:val="4C49DC9D"/>
    <w:rsid w:val="4C4A1A4A"/>
    <w:rsid w:val="4C4EF644"/>
    <w:rsid w:val="4C515143"/>
    <w:rsid w:val="4C54002F"/>
    <w:rsid w:val="4C76C3EF"/>
    <w:rsid w:val="4C76EDDB"/>
    <w:rsid w:val="4C8BCB79"/>
    <w:rsid w:val="4C94B222"/>
    <w:rsid w:val="4C95032D"/>
    <w:rsid w:val="4C9708CB"/>
    <w:rsid w:val="4C97442F"/>
    <w:rsid w:val="4C9EBA98"/>
    <w:rsid w:val="4CA328A7"/>
    <w:rsid w:val="4CA99F16"/>
    <w:rsid w:val="4CAE6949"/>
    <w:rsid w:val="4CAF52C2"/>
    <w:rsid w:val="4CB6F05F"/>
    <w:rsid w:val="4CB7295D"/>
    <w:rsid w:val="4CBBF860"/>
    <w:rsid w:val="4CBD0881"/>
    <w:rsid w:val="4CCAEC28"/>
    <w:rsid w:val="4CCB6042"/>
    <w:rsid w:val="4CCD7722"/>
    <w:rsid w:val="4CD018B4"/>
    <w:rsid w:val="4CD6430C"/>
    <w:rsid w:val="4CDFE56A"/>
    <w:rsid w:val="4CE1EB03"/>
    <w:rsid w:val="4CEED27D"/>
    <w:rsid w:val="4CF7E6E7"/>
    <w:rsid w:val="4CFFFA93"/>
    <w:rsid w:val="4D08EE84"/>
    <w:rsid w:val="4D0A517A"/>
    <w:rsid w:val="4D0DB421"/>
    <w:rsid w:val="4D0E60CC"/>
    <w:rsid w:val="4D1174EF"/>
    <w:rsid w:val="4D2ADCD6"/>
    <w:rsid w:val="4D2BA9F5"/>
    <w:rsid w:val="4D2BB587"/>
    <w:rsid w:val="4D2D3A5D"/>
    <w:rsid w:val="4D3A1ED8"/>
    <w:rsid w:val="4D43E5F5"/>
    <w:rsid w:val="4D4BA8B5"/>
    <w:rsid w:val="4D4C08D7"/>
    <w:rsid w:val="4D4CC92E"/>
    <w:rsid w:val="4D5371A2"/>
    <w:rsid w:val="4D5AF61E"/>
    <w:rsid w:val="4D67F98C"/>
    <w:rsid w:val="4D757E11"/>
    <w:rsid w:val="4D79AD94"/>
    <w:rsid w:val="4D7B4792"/>
    <w:rsid w:val="4D81394A"/>
    <w:rsid w:val="4D917EAB"/>
    <w:rsid w:val="4D96FEA3"/>
    <w:rsid w:val="4DA8163B"/>
    <w:rsid w:val="4DA8E7A2"/>
    <w:rsid w:val="4DAC234A"/>
    <w:rsid w:val="4DAD5A41"/>
    <w:rsid w:val="4DB47177"/>
    <w:rsid w:val="4DBB995D"/>
    <w:rsid w:val="4DD536A5"/>
    <w:rsid w:val="4DDAFD09"/>
    <w:rsid w:val="4DE50843"/>
    <w:rsid w:val="4DEC71B0"/>
    <w:rsid w:val="4DEF7993"/>
    <w:rsid w:val="4DF09895"/>
    <w:rsid w:val="4DFC5FB8"/>
    <w:rsid w:val="4DFCB6C0"/>
    <w:rsid w:val="4E03C62D"/>
    <w:rsid w:val="4E0EA123"/>
    <w:rsid w:val="4E12EC22"/>
    <w:rsid w:val="4E192928"/>
    <w:rsid w:val="4E20E665"/>
    <w:rsid w:val="4E234C03"/>
    <w:rsid w:val="4E270CBF"/>
    <w:rsid w:val="4E2F52A1"/>
    <w:rsid w:val="4E38B3FA"/>
    <w:rsid w:val="4E3ADC4E"/>
    <w:rsid w:val="4E45DFB0"/>
    <w:rsid w:val="4E4755CE"/>
    <w:rsid w:val="4E597A78"/>
    <w:rsid w:val="4E5DB78C"/>
    <w:rsid w:val="4E60C100"/>
    <w:rsid w:val="4E736CF8"/>
    <w:rsid w:val="4E7887DB"/>
    <w:rsid w:val="4E7FE401"/>
    <w:rsid w:val="4E8A5239"/>
    <w:rsid w:val="4E9E9DF0"/>
    <w:rsid w:val="4EA0FF86"/>
    <w:rsid w:val="4EA6BA3F"/>
    <w:rsid w:val="4EAA1BEA"/>
    <w:rsid w:val="4EAC9580"/>
    <w:rsid w:val="4EB62969"/>
    <w:rsid w:val="4EB82D32"/>
    <w:rsid w:val="4EB985E1"/>
    <w:rsid w:val="4EBA3D73"/>
    <w:rsid w:val="4EBB496B"/>
    <w:rsid w:val="4EC4BD61"/>
    <w:rsid w:val="4EC80886"/>
    <w:rsid w:val="4ECDB7E4"/>
    <w:rsid w:val="4EEB8976"/>
    <w:rsid w:val="4EFA81F0"/>
    <w:rsid w:val="4F02CFE0"/>
    <w:rsid w:val="4F0870B7"/>
    <w:rsid w:val="4F0A8FBD"/>
    <w:rsid w:val="4F15FF4D"/>
    <w:rsid w:val="4F1EA567"/>
    <w:rsid w:val="4F2F72DD"/>
    <w:rsid w:val="4F330899"/>
    <w:rsid w:val="4F3C8F4A"/>
    <w:rsid w:val="4F419CE0"/>
    <w:rsid w:val="4F422925"/>
    <w:rsid w:val="4F42DD04"/>
    <w:rsid w:val="4F49C2FD"/>
    <w:rsid w:val="4F4FF258"/>
    <w:rsid w:val="4F54758C"/>
    <w:rsid w:val="4F5941E0"/>
    <w:rsid w:val="4F5BD68E"/>
    <w:rsid w:val="4F65E308"/>
    <w:rsid w:val="4F66CA9B"/>
    <w:rsid w:val="4F6A27A3"/>
    <w:rsid w:val="4F74F99B"/>
    <w:rsid w:val="4F7DD47D"/>
    <w:rsid w:val="4F7DF9A5"/>
    <w:rsid w:val="4F870881"/>
    <w:rsid w:val="4F8C0AE5"/>
    <w:rsid w:val="4F902B16"/>
    <w:rsid w:val="4FB518B1"/>
    <w:rsid w:val="4FBB0D22"/>
    <w:rsid w:val="4FBB4B05"/>
    <w:rsid w:val="4FC36A9D"/>
    <w:rsid w:val="4FC982B8"/>
    <w:rsid w:val="4FCD5F93"/>
    <w:rsid w:val="4FCE4E90"/>
    <w:rsid w:val="4FD0516F"/>
    <w:rsid w:val="4FDE41BE"/>
    <w:rsid w:val="4FDE449D"/>
    <w:rsid w:val="4FE1EDC3"/>
    <w:rsid w:val="4FE42A12"/>
    <w:rsid w:val="4FE8A26C"/>
    <w:rsid w:val="4FEAC1D6"/>
    <w:rsid w:val="4FEB8240"/>
    <w:rsid w:val="4FF084B7"/>
    <w:rsid w:val="4FFD0B15"/>
    <w:rsid w:val="500EA238"/>
    <w:rsid w:val="5014D822"/>
    <w:rsid w:val="50160318"/>
    <w:rsid w:val="50167E88"/>
    <w:rsid w:val="501AF9F6"/>
    <w:rsid w:val="501B12C0"/>
    <w:rsid w:val="5027DE55"/>
    <w:rsid w:val="503A0644"/>
    <w:rsid w:val="5049E336"/>
    <w:rsid w:val="5056BEDF"/>
    <w:rsid w:val="50573985"/>
    <w:rsid w:val="505BA75D"/>
    <w:rsid w:val="505FD1E9"/>
    <w:rsid w:val="5063909C"/>
    <w:rsid w:val="507F0951"/>
    <w:rsid w:val="5080C55F"/>
    <w:rsid w:val="50861A47"/>
    <w:rsid w:val="508A4984"/>
    <w:rsid w:val="50915AB3"/>
    <w:rsid w:val="5095DAC8"/>
    <w:rsid w:val="509C0F16"/>
    <w:rsid w:val="50A13151"/>
    <w:rsid w:val="50ACDB34"/>
    <w:rsid w:val="50B0C389"/>
    <w:rsid w:val="50B304E8"/>
    <w:rsid w:val="50B9E3EB"/>
    <w:rsid w:val="50C1143D"/>
    <w:rsid w:val="50C46F14"/>
    <w:rsid w:val="50C7C4A7"/>
    <w:rsid w:val="50CA29A9"/>
    <w:rsid w:val="50D2C2DE"/>
    <w:rsid w:val="50DD165A"/>
    <w:rsid w:val="50DD8A28"/>
    <w:rsid w:val="50E32E81"/>
    <w:rsid w:val="50E360A8"/>
    <w:rsid w:val="50E51A7C"/>
    <w:rsid w:val="50EA6793"/>
    <w:rsid w:val="50EBFF78"/>
    <w:rsid w:val="50F79137"/>
    <w:rsid w:val="50FDD8DB"/>
    <w:rsid w:val="50FFF4FD"/>
    <w:rsid w:val="510410D1"/>
    <w:rsid w:val="5124941B"/>
    <w:rsid w:val="51282E11"/>
    <w:rsid w:val="512DBE84"/>
    <w:rsid w:val="51347421"/>
    <w:rsid w:val="51365851"/>
    <w:rsid w:val="514CFA0E"/>
    <w:rsid w:val="51629400"/>
    <w:rsid w:val="5166AB7A"/>
    <w:rsid w:val="5167A6CE"/>
    <w:rsid w:val="5170DD78"/>
    <w:rsid w:val="51793D8D"/>
    <w:rsid w:val="517AA44D"/>
    <w:rsid w:val="517D0976"/>
    <w:rsid w:val="517E18F9"/>
    <w:rsid w:val="517EBCE7"/>
    <w:rsid w:val="5187DD5B"/>
    <w:rsid w:val="5190161D"/>
    <w:rsid w:val="51903844"/>
    <w:rsid w:val="51919166"/>
    <w:rsid w:val="51987CBB"/>
    <w:rsid w:val="51AB6D15"/>
    <w:rsid w:val="51BEA1CC"/>
    <w:rsid w:val="51D6D7CC"/>
    <w:rsid w:val="51DB883D"/>
    <w:rsid w:val="51F6AF43"/>
    <w:rsid w:val="51F768FA"/>
    <w:rsid w:val="520246C5"/>
    <w:rsid w:val="520534EA"/>
    <w:rsid w:val="52054720"/>
    <w:rsid w:val="52140F5E"/>
    <w:rsid w:val="521A5828"/>
    <w:rsid w:val="521A9908"/>
    <w:rsid w:val="5222E6F7"/>
    <w:rsid w:val="5224D406"/>
    <w:rsid w:val="523A7632"/>
    <w:rsid w:val="524964E3"/>
    <w:rsid w:val="524F9DB1"/>
    <w:rsid w:val="5254AD56"/>
    <w:rsid w:val="5256E7AE"/>
    <w:rsid w:val="52623776"/>
    <w:rsid w:val="52632C98"/>
    <w:rsid w:val="52653C18"/>
    <w:rsid w:val="526C0E61"/>
    <w:rsid w:val="526C9629"/>
    <w:rsid w:val="5270E3D1"/>
    <w:rsid w:val="527780EA"/>
    <w:rsid w:val="527AE4F3"/>
    <w:rsid w:val="5283F205"/>
    <w:rsid w:val="52AC15CC"/>
    <w:rsid w:val="52ACB470"/>
    <w:rsid w:val="52B14E67"/>
    <w:rsid w:val="52B288C9"/>
    <w:rsid w:val="52BC65F8"/>
    <w:rsid w:val="52BEA981"/>
    <w:rsid w:val="52BEE620"/>
    <w:rsid w:val="52C59677"/>
    <w:rsid w:val="52C75759"/>
    <w:rsid w:val="52C9A324"/>
    <w:rsid w:val="52D7D220"/>
    <w:rsid w:val="52E743FE"/>
    <w:rsid w:val="52EC53E6"/>
    <w:rsid w:val="52FE39A1"/>
    <w:rsid w:val="53007AF3"/>
    <w:rsid w:val="5304D59E"/>
    <w:rsid w:val="530CFCA0"/>
    <w:rsid w:val="530FE3CB"/>
    <w:rsid w:val="5315408E"/>
    <w:rsid w:val="5316F969"/>
    <w:rsid w:val="531AB40E"/>
    <w:rsid w:val="533507D4"/>
    <w:rsid w:val="5336A40C"/>
    <w:rsid w:val="534F2130"/>
    <w:rsid w:val="535093E3"/>
    <w:rsid w:val="53548889"/>
    <w:rsid w:val="53581672"/>
    <w:rsid w:val="535ECD88"/>
    <w:rsid w:val="53612315"/>
    <w:rsid w:val="53673323"/>
    <w:rsid w:val="5368E57B"/>
    <w:rsid w:val="5369B0FA"/>
    <w:rsid w:val="536A8C6E"/>
    <w:rsid w:val="53728D59"/>
    <w:rsid w:val="5373047A"/>
    <w:rsid w:val="53762F47"/>
    <w:rsid w:val="5377EA47"/>
    <w:rsid w:val="538581B0"/>
    <w:rsid w:val="53865ABC"/>
    <w:rsid w:val="5391C5F3"/>
    <w:rsid w:val="53982EF9"/>
    <w:rsid w:val="5398F5B4"/>
    <w:rsid w:val="539939E8"/>
    <w:rsid w:val="539E496F"/>
    <w:rsid w:val="53A3E47F"/>
    <w:rsid w:val="53A46EEE"/>
    <w:rsid w:val="53AB1728"/>
    <w:rsid w:val="53AE23CB"/>
    <w:rsid w:val="53B0F7D8"/>
    <w:rsid w:val="53B6446F"/>
    <w:rsid w:val="53B8E78B"/>
    <w:rsid w:val="53C10738"/>
    <w:rsid w:val="53C3977D"/>
    <w:rsid w:val="53CA5A3C"/>
    <w:rsid w:val="53CF9605"/>
    <w:rsid w:val="53D237F4"/>
    <w:rsid w:val="53D3DEBC"/>
    <w:rsid w:val="53DA0280"/>
    <w:rsid w:val="53DC54F2"/>
    <w:rsid w:val="53E262D4"/>
    <w:rsid w:val="53E4B61B"/>
    <w:rsid w:val="53E52668"/>
    <w:rsid w:val="53F02F33"/>
    <w:rsid w:val="53F0C594"/>
    <w:rsid w:val="53F338A6"/>
    <w:rsid w:val="53F5A116"/>
    <w:rsid w:val="53FB828B"/>
    <w:rsid w:val="5409A759"/>
    <w:rsid w:val="5411CC1F"/>
    <w:rsid w:val="541B7F56"/>
    <w:rsid w:val="54246B5A"/>
    <w:rsid w:val="542D37AB"/>
    <w:rsid w:val="543694E2"/>
    <w:rsid w:val="543AB80B"/>
    <w:rsid w:val="54439DC2"/>
    <w:rsid w:val="54484DF8"/>
    <w:rsid w:val="544A5F05"/>
    <w:rsid w:val="54555588"/>
    <w:rsid w:val="545DC9EA"/>
    <w:rsid w:val="54656761"/>
    <w:rsid w:val="546ED324"/>
    <w:rsid w:val="54723478"/>
    <w:rsid w:val="5483D8FD"/>
    <w:rsid w:val="5486DDBC"/>
    <w:rsid w:val="548EA629"/>
    <w:rsid w:val="54929D0F"/>
    <w:rsid w:val="5496D160"/>
    <w:rsid w:val="549E0B5D"/>
    <w:rsid w:val="54A3BD38"/>
    <w:rsid w:val="54A4FCF7"/>
    <w:rsid w:val="54A78056"/>
    <w:rsid w:val="54C7435C"/>
    <w:rsid w:val="54CE7C07"/>
    <w:rsid w:val="54D59F0D"/>
    <w:rsid w:val="54D6FE7A"/>
    <w:rsid w:val="54DA3CF9"/>
    <w:rsid w:val="54E7F708"/>
    <w:rsid w:val="54F4C135"/>
    <w:rsid w:val="54FA1772"/>
    <w:rsid w:val="550A75C6"/>
    <w:rsid w:val="550A8DAD"/>
    <w:rsid w:val="550D6F7D"/>
    <w:rsid w:val="551737B6"/>
    <w:rsid w:val="551C7E7F"/>
    <w:rsid w:val="55243E14"/>
    <w:rsid w:val="5529C8C9"/>
    <w:rsid w:val="552E0606"/>
    <w:rsid w:val="552FDE1B"/>
    <w:rsid w:val="5531A681"/>
    <w:rsid w:val="55344708"/>
    <w:rsid w:val="553DE5A1"/>
    <w:rsid w:val="5540B8E9"/>
    <w:rsid w:val="5540EEEB"/>
    <w:rsid w:val="55435140"/>
    <w:rsid w:val="5547CB8C"/>
    <w:rsid w:val="555336A7"/>
    <w:rsid w:val="5556522F"/>
    <w:rsid w:val="55567D10"/>
    <w:rsid w:val="555931AB"/>
    <w:rsid w:val="55661F52"/>
    <w:rsid w:val="5566DDDA"/>
    <w:rsid w:val="5581E76C"/>
    <w:rsid w:val="55850F37"/>
    <w:rsid w:val="559495CC"/>
    <w:rsid w:val="559C72C7"/>
    <w:rsid w:val="559E5FB6"/>
    <w:rsid w:val="55A12DC0"/>
    <w:rsid w:val="55A3B413"/>
    <w:rsid w:val="55B67DF8"/>
    <w:rsid w:val="55BB88DD"/>
    <w:rsid w:val="55C48E95"/>
    <w:rsid w:val="55C81BD7"/>
    <w:rsid w:val="55CB90ED"/>
    <w:rsid w:val="55CE6883"/>
    <w:rsid w:val="55DA89D0"/>
    <w:rsid w:val="55EC24C7"/>
    <w:rsid w:val="56094142"/>
    <w:rsid w:val="560BEED0"/>
    <w:rsid w:val="560EA735"/>
    <w:rsid w:val="56177A44"/>
    <w:rsid w:val="5617F175"/>
    <w:rsid w:val="561A5131"/>
    <w:rsid w:val="561C6A93"/>
    <w:rsid w:val="562D5077"/>
    <w:rsid w:val="56316F31"/>
    <w:rsid w:val="563250D9"/>
    <w:rsid w:val="5632DD8D"/>
    <w:rsid w:val="5634C392"/>
    <w:rsid w:val="5649F2A6"/>
    <w:rsid w:val="5655C467"/>
    <w:rsid w:val="56572230"/>
    <w:rsid w:val="56579253"/>
    <w:rsid w:val="566382E8"/>
    <w:rsid w:val="567741BD"/>
    <w:rsid w:val="56776AA0"/>
    <w:rsid w:val="567E24D2"/>
    <w:rsid w:val="56AED809"/>
    <w:rsid w:val="56B4DCDC"/>
    <w:rsid w:val="56B7E9A6"/>
    <w:rsid w:val="56B9908A"/>
    <w:rsid w:val="56BBAB8D"/>
    <w:rsid w:val="56BBC1EA"/>
    <w:rsid w:val="56BD2ABA"/>
    <w:rsid w:val="56C06F5C"/>
    <w:rsid w:val="56CD83EF"/>
    <w:rsid w:val="56D13BEA"/>
    <w:rsid w:val="56D3C1A4"/>
    <w:rsid w:val="56D81B53"/>
    <w:rsid w:val="56D8CBF6"/>
    <w:rsid w:val="56DE9795"/>
    <w:rsid w:val="56F031D9"/>
    <w:rsid w:val="56FE3162"/>
    <w:rsid w:val="56FE6199"/>
    <w:rsid w:val="5705D992"/>
    <w:rsid w:val="57106FDE"/>
    <w:rsid w:val="5714E01C"/>
    <w:rsid w:val="5714F278"/>
    <w:rsid w:val="5716A22C"/>
    <w:rsid w:val="57188F1E"/>
    <w:rsid w:val="572384A1"/>
    <w:rsid w:val="57255743"/>
    <w:rsid w:val="57268C36"/>
    <w:rsid w:val="5726A6BA"/>
    <w:rsid w:val="5728C288"/>
    <w:rsid w:val="572FEFB1"/>
    <w:rsid w:val="57325A02"/>
    <w:rsid w:val="573375D2"/>
    <w:rsid w:val="57356CDE"/>
    <w:rsid w:val="5739A143"/>
    <w:rsid w:val="573A26E8"/>
    <w:rsid w:val="573E9C7C"/>
    <w:rsid w:val="57405545"/>
    <w:rsid w:val="574C8DC9"/>
    <w:rsid w:val="5757A035"/>
    <w:rsid w:val="575D5F1C"/>
    <w:rsid w:val="5777D24B"/>
    <w:rsid w:val="578A8087"/>
    <w:rsid w:val="578AE57C"/>
    <w:rsid w:val="5795DBA8"/>
    <w:rsid w:val="579AA33E"/>
    <w:rsid w:val="579AB32E"/>
    <w:rsid w:val="579C5048"/>
    <w:rsid w:val="57A0BA4B"/>
    <w:rsid w:val="57A59589"/>
    <w:rsid w:val="57A5FE2F"/>
    <w:rsid w:val="57A62693"/>
    <w:rsid w:val="57A7AE15"/>
    <w:rsid w:val="57B2F603"/>
    <w:rsid w:val="57B72290"/>
    <w:rsid w:val="57B754A8"/>
    <w:rsid w:val="57C34642"/>
    <w:rsid w:val="57C9D976"/>
    <w:rsid w:val="57CB68CB"/>
    <w:rsid w:val="57CF8ADA"/>
    <w:rsid w:val="57D05CA7"/>
    <w:rsid w:val="57D076F5"/>
    <w:rsid w:val="57D3B2DB"/>
    <w:rsid w:val="57D68631"/>
    <w:rsid w:val="57DB8AEB"/>
    <w:rsid w:val="57DBFB59"/>
    <w:rsid w:val="57DCC0B7"/>
    <w:rsid w:val="57DCF94D"/>
    <w:rsid w:val="57E13E19"/>
    <w:rsid w:val="57E551FB"/>
    <w:rsid w:val="57F0F827"/>
    <w:rsid w:val="57FA039F"/>
    <w:rsid w:val="580C06DC"/>
    <w:rsid w:val="581B1877"/>
    <w:rsid w:val="582047FA"/>
    <w:rsid w:val="5823F2FE"/>
    <w:rsid w:val="582CE44D"/>
    <w:rsid w:val="58329334"/>
    <w:rsid w:val="58385FB2"/>
    <w:rsid w:val="583D835C"/>
    <w:rsid w:val="583E9346"/>
    <w:rsid w:val="5850B1FD"/>
    <w:rsid w:val="58603CB9"/>
    <w:rsid w:val="586DADFC"/>
    <w:rsid w:val="5872D8A3"/>
    <w:rsid w:val="587BAE3D"/>
    <w:rsid w:val="587DE372"/>
    <w:rsid w:val="5884A862"/>
    <w:rsid w:val="5885BD9D"/>
    <w:rsid w:val="58895EFF"/>
    <w:rsid w:val="588C5B7A"/>
    <w:rsid w:val="5893D1C0"/>
    <w:rsid w:val="58958A8F"/>
    <w:rsid w:val="589A7395"/>
    <w:rsid w:val="589D55A4"/>
    <w:rsid w:val="58A1A042"/>
    <w:rsid w:val="58A94A97"/>
    <w:rsid w:val="58BF7146"/>
    <w:rsid w:val="58C556D8"/>
    <w:rsid w:val="58C83B2A"/>
    <w:rsid w:val="58E05A75"/>
    <w:rsid w:val="58E97B5F"/>
    <w:rsid w:val="58EC58A5"/>
    <w:rsid w:val="58FE0515"/>
    <w:rsid w:val="59082E38"/>
    <w:rsid w:val="590C10C2"/>
    <w:rsid w:val="5913D9AE"/>
    <w:rsid w:val="59294469"/>
    <w:rsid w:val="5929D26D"/>
    <w:rsid w:val="5946823C"/>
    <w:rsid w:val="594D222F"/>
    <w:rsid w:val="594F9DA5"/>
    <w:rsid w:val="5952E3D3"/>
    <w:rsid w:val="5955B14A"/>
    <w:rsid w:val="5957F972"/>
    <w:rsid w:val="595AD761"/>
    <w:rsid w:val="595C10C1"/>
    <w:rsid w:val="595E166C"/>
    <w:rsid w:val="5962B7E0"/>
    <w:rsid w:val="59635DC4"/>
    <w:rsid w:val="596965C3"/>
    <w:rsid w:val="596C4CB1"/>
    <w:rsid w:val="59711B6B"/>
    <w:rsid w:val="5975E1ED"/>
    <w:rsid w:val="599A9241"/>
    <w:rsid w:val="599B9E7B"/>
    <w:rsid w:val="59A41790"/>
    <w:rsid w:val="59B92CDC"/>
    <w:rsid w:val="59C2BE29"/>
    <w:rsid w:val="59C7F9D2"/>
    <w:rsid w:val="59C99855"/>
    <w:rsid w:val="59C99876"/>
    <w:rsid w:val="59CE59AC"/>
    <w:rsid w:val="59D49690"/>
    <w:rsid w:val="59DE0961"/>
    <w:rsid w:val="59F1D888"/>
    <w:rsid w:val="59F2FA9D"/>
    <w:rsid w:val="5A00D9F9"/>
    <w:rsid w:val="5A024C7F"/>
    <w:rsid w:val="5A218FF8"/>
    <w:rsid w:val="5A22F3BA"/>
    <w:rsid w:val="5A2619D5"/>
    <w:rsid w:val="5A27D53F"/>
    <w:rsid w:val="5A27EA63"/>
    <w:rsid w:val="5A289266"/>
    <w:rsid w:val="5A2E6DC9"/>
    <w:rsid w:val="5A3231D2"/>
    <w:rsid w:val="5A3D760B"/>
    <w:rsid w:val="5A461659"/>
    <w:rsid w:val="5A461C11"/>
    <w:rsid w:val="5A46B857"/>
    <w:rsid w:val="5A479616"/>
    <w:rsid w:val="5A4F49F6"/>
    <w:rsid w:val="5A54FF60"/>
    <w:rsid w:val="5A55706C"/>
    <w:rsid w:val="5A56011B"/>
    <w:rsid w:val="5A6E606A"/>
    <w:rsid w:val="5A7022CB"/>
    <w:rsid w:val="5A773161"/>
    <w:rsid w:val="5A77E6DA"/>
    <w:rsid w:val="5A7976B5"/>
    <w:rsid w:val="5A7DEAC4"/>
    <w:rsid w:val="5A81FC33"/>
    <w:rsid w:val="5A825C45"/>
    <w:rsid w:val="5A9940CE"/>
    <w:rsid w:val="5A9C4607"/>
    <w:rsid w:val="5AA0C667"/>
    <w:rsid w:val="5AA19521"/>
    <w:rsid w:val="5AA1BFA5"/>
    <w:rsid w:val="5AA26370"/>
    <w:rsid w:val="5AA4F1A9"/>
    <w:rsid w:val="5AA6B384"/>
    <w:rsid w:val="5AB65367"/>
    <w:rsid w:val="5AB78A93"/>
    <w:rsid w:val="5AB9A8AA"/>
    <w:rsid w:val="5AC0B3C0"/>
    <w:rsid w:val="5AC2A26B"/>
    <w:rsid w:val="5AC6D449"/>
    <w:rsid w:val="5ACC5FED"/>
    <w:rsid w:val="5AD1C0DB"/>
    <w:rsid w:val="5AD74DA5"/>
    <w:rsid w:val="5ADEB9F0"/>
    <w:rsid w:val="5AE46171"/>
    <w:rsid w:val="5AE52438"/>
    <w:rsid w:val="5AE9C222"/>
    <w:rsid w:val="5AEB6F3C"/>
    <w:rsid w:val="5AEC0E9F"/>
    <w:rsid w:val="5AF04345"/>
    <w:rsid w:val="5AF0ADDF"/>
    <w:rsid w:val="5AF61899"/>
    <w:rsid w:val="5AF859C0"/>
    <w:rsid w:val="5AFB513C"/>
    <w:rsid w:val="5AFCE7B9"/>
    <w:rsid w:val="5AFF3717"/>
    <w:rsid w:val="5B00279B"/>
    <w:rsid w:val="5B02A9C3"/>
    <w:rsid w:val="5B056078"/>
    <w:rsid w:val="5B2641C0"/>
    <w:rsid w:val="5B2A440D"/>
    <w:rsid w:val="5B2ABA74"/>
    <w:rsid w:val="5B2C9B0C"/>
    <w:rsid w:val="5B2E79AD"/>
    <w:rsid w:val="5B39E58E"/>
    <w:rsid w:val="5B3E172B"/>
    <w:rsid w:val="5B4268AD"/>
    <w:rsid w:val="5B4DBD30"/>
    <w:rsid w:val="5B56D268"/>
    <w:rsid w:val="5B572379"/>
    <w:rsid w:val="5B57F195"/>
    <w:rsid w:val="5B6042BB"/>
    <w:rsid w:val="5B60E23C"/>
    <w:rsid w:val="5B7064D4"/>
    <w:rsid w:val="5B755620"/>
    <w:rsid w:val="5B770519"/>
    <w:rsid w:val="5B7A9011"/>
    <w:rsid w:val="5B81ACD1"/>
    <w:rsid w:val="5B876253"/>
    <w:rsid w:val="5B918F66"/>
    <w:rsid w:val="5B938253"/>
    <w:rsid w:val="5B9EDAD8"/>
    <w:rsid w:val="5BA27B9A"/>
    <w:rsid w:val="5BA2BE6F"/>
    <w:rsid w:val="5BA4701D"/>
    <w:rsid w:val="5BAB0D63"/>
    <w:rsid w:val="5BADBACF"/>
    <w:rsid w:val="5BBFB9EC"/>
    <w:rsid w:val="5BC42927"/>
    <w:rsid w:val="5BC51A04"/>
    <w:rsid w:val="5BD4F5E5"/>
    <w:rsid w:val="5BDB8DD4"/>
    <w:rsid w:val="5BE1ED30"/>
    <w:rsid w:val="5BE22F20"/>
    <w:rsid w:val="5BE6B0A2"/>
    <w:rsid w:val="5BE9ED8B"/>
    <w:rsid w:val="5BEEF4E3"/>
    <w:rsid w:val="5BF64C6B"/>
    <w:rsid w:val="5C02DC54"/>
    <w:rsid w:val="5C055240"/>
    <w:rsid w:val="5C1C45E2"/>
    <w:rsid w:val="5C205BFC"/>
    <w:rsid w:val="5C2E01B0"/>
    <w:rsid w:val="5C3A4095"/>
    <w:rsid w:val="5C3F9E9F"/>
    <w:rsid w:val="5C42F70E"/>
    <w:rsid w:val="5C47C934"/>
    <w:rsid w:val="5C496075"/>
    <w:rsid w:val="5C4C0919"/>
    <w:rsid w:val="5C4C58B4"/>
    <w:rsid w:val="5C5632EF"/>
    <w:rsid w:val="5C56F06B"/>
    <w:rsid w:val="5C5992AE"/>
    <w:rsid w:val="5C5B7072"/>
    <w:rsid w:val="5C61ACEA"/>
    <w:rsid w:val="5C68DE67"/>
    <w:rsid w:val="5C696342"/>
    <w:rsid w:val="5C6EBDBE"/>
    <w:rsid w:val="5C722FBE"/>
    <w:rsid w:val="5C74FA8F"/>
    <w:rsid w:val="5C7EDC0D"/>
    <w:rsid w:val="5C9630CD"/>
    <w:rsid w:val="5C9AB679"/>
    <w:rsid w:val="5C9B8E16"/>
    <w:rsid w:val="5C9CF4E6"/>
    <w:rsid w:val="5C9D4CD8"/>
    <w:rsid w:val="5CA0971B"/>
    <w:rsid w:val="5CA71DB2"/>
    <w:rsid w:val="5CA912CF"/>
    <w:rsid w:val="5CAA4ED6"/>
    <w:rsid w:val="5CAFE2A4"/>
    <w:rsid w:val="5CBB26DB"/>
    <w:rsid w:val="5CC6A8C4"/>
    <w:rsid w:val="5CCD42C6"/>
    <w:rsid w:val="5CCDEE48"/>
    <w:rsid w:val="5CD53F8E"/>
    <w:rsid w:val="5CDF3E0B"/>
    <w:rsid w:val="5CE970A3"/>
    <w:rsid w:val="5CE97695"/>
    <w:rsid w:val="5D04CAD8"/>
    <w:rsid w:val="5D09BA85"/>
    <w:rsid w:val="5D0B9280"/>
    <w:rsid w:val="5D0DBB5A"/>
    <w:rsid w:val="5D0F7004"/>
    <w:rsid w:val="5D138B56"/>
    <w:rsid w:val="5D1663A3"/>
    <w:rsid w:val="5D2E331D"/>
    <w:rsid w:val="5D331B7C"/>
    <w:rsid w:val="5D33D6F1"/>
    <w:rsid w:val="5D409731"/>
    <w:rsid w:val="5D409B1D"/>
    <w:rsid w:val="5D47EAD0"/>
    <w:rsid w:val="5D4AA9BE"/>
    <w:rsid w:val="5D4D4497"/>
    <w:rsid w:val="5D54C699"/>
    <w:rsid w:val="5D5E7F55"/>
    <w:rsid w:val="5D68FB37"/>
    <w:rsid w:val="5D691AD0"/>
    <w:rsid w:val="5D6FB09E"/>
    <w:rsid w:val="5D87BF24"/>
    <w:rsid w:val="5D892C1A"/>
    <w:rsid w:val="5D8DED9F"/>
    <w:rsid w:val="5D8E9F9E"/>
    <w:rsid w:val="5D95A448"/>
    <w:rsid w:val="5D983732"/>
    <w:rsid w:val="5D9D24B3"/>
    <w:rsid w:val="5D9E5A1C"/>
    <w:rsid w:val="5DA0B4B2"/>
    <w:rsid w:val="5DA93745"/>
    <w:rsid w:val="5DAB9E14"/>
    <w:rsid w:val="5DAF1142"/>
    <w:rsid w:val="5DAF68E2"/>
    <w:rsid w:val="5DB1CC42"/>
    <w:rsid w:val="5DB9CD0A"/>
    <w:rsid w:val="5DBC43D2"/>
    <w:rsid w:val="5DCACD23"/>
    <w:rsid w:val="5DD4EE82"/>
    <w:rsid w:val="5DE547ED"/>
    <w:rsid w:val="5DE901DB"/>
    <w:rsid w:val="5DEFAB04"/>
    <w:rsid w:val="5DF00BA8"/>
    <w:rsid w:val="5DF68E6A"/>
    <w:rsid w:val="5DFA370B"/>
    <w:rsid w:val="5DFA6D85"/>
    <w:rsid w:val="5DFFA264"/>
    <w:rsid w:val="5E090DCE"/>
    <w:rsid w:val="5E0CAC3C"/>
    <w:rsid w:val="5E258A86"/>
    <w:rsid w:val="5E275115"/>
    <w:rsid w:val="5E28846A"/>
    <w:rsid w:val="5E32FE4B"/>
    <w:rsid w:val="5E3D7BDB"/>
    <w:rsid w:val="5E3EAD71"/>
    <w:rsid w:val="5E426725"/>
    <w:rsid w:val="5E4D2A02"/>
    <w:rsid w:val="5E65A396"/>
    <w:rsid w:val="5E6A0C25"/>
    <w:rsid w:val="5E6F08F6"/>
    <w:rsid w:val="5E7459BA"/>
    <w:rsid w:val="5E7FB0BC"/>
    <w:rsid w:val="5E90B040"/>
    <w:rsid w:val="5EA34312"/>
    <w:rsid w:val="5EAE3D0D"/>
    <w:rsid w:val="5EB68DEE"/>
    <w:rsid w:val="5EBC91E4"/>
    <w:rsid w:val="5EBCA717"/>
    <w:rsid w:val="5EBE5907"/>
    <w:rsid w:val="5EC7D2E8"/>
    <w:rsid w:val="5EC943D0"/>
    <w:rsid w:val="5ED1FFFC"/>
    <w:rsid w:val="5ED249B2"/>
    <w:rsid w:val="5EDBFBE3"/>
    <w:rsid w:val="5EDEF912"/>
    <w:rsid w:val="5EF7B806"/>
    <w:rsid w:val="5EF9C0A7"/>
    <w:rsid w:val="5F02DFB0"/>
    <w:rsid w:val="5F05C15B"/>
    <w:rsid w:val="5F066243"/>
    <w:rsid w:val="5F08D88A"/>
    <w:rsid w:val="5F19B5F0"/>
    <w:rsid w:val="5F209359"/>
    <w:rsid w:val="5F22396E"/>
    <w:rsid w:val="5F22FE8A"/>
    <w:rsid w:val="5F374D25"/>
    <w:rsid w:val="5F38BCBE"/>
    <w:rsid w:val="5F3ABC75"/>
    <w:rsid w:val="5F497A27"/>
    <w:rsid w:val="5F4E3390"/>
    <w:rsid w:val="5F4E6F24"/>
    <w:rsid w:val="5F51DBAA"/>
    <w:rsid w:val="5F51E2E4"/>
    <w:rsid w:val="5F55401C"/>
    <w:rsid w:val="5F56229E"/>
    <w:rsid w:val="5F5F7926"/>
    <w:rsid w:val="5F657735"/>
    <w:rsid w:val="5F6AE8F2"/>
    <w:rsid w:val="5F723120"/>
    <w:rsid w:val="5F738B01"/>
    <w:rsid w:val="5F795448"/>
    <w:rsid w:val="5F813A3E"/>
    <w:rsid w:val="5F89043E"/>
    <w:rsid w:val="5F8C032C"/>
    <w:rsid w:val="5F8E10C4"/>
    <w:rsid w:val="5F91E26B"/>
    <w:rsid w:val="5FB11AEB"/>
    <w:rsid w:val="5FB46796"/>
    <w:rsid w:val="5FB53763"/>
    <w:rsid w:val="5FB7643A"/>
    <w:rsid w:val="5FBAB051"/>
    <w:rsid w:val="5FBB5570"/>
    <w:rsid w:val="5FBF1148"/>
    <w:rsid w:val="5FC70F2A"/>
    <w:rsid w:val="5FC72C06"/>
    <w:rsid w:val="5FC7564F"/>
    <w:rsid w:val="5FC7C768"/>
    <w:rsid w:val="5FD060AF"/>
    <w:rsid w:val="5FD94AA1"/>
    <w:rsid w:val="5FE24F43"/>
    <w:rsid w:val="5FE7C7B8"/>
    <w:rsid w:val="5FECE256"/>
    <w:rsid w:val="5FF2EAEF"/>
    <w:rsid w:val="6002CA63"/>
    <w:rsid w:val="6008C0C9"/>
    <w:rsid w:val="6014501E"/>
    <w:rsid w:val="60160889"/>
    <w:rsid w:val="6017443B"/>
    <w:rsid w:val="6019E166"/>
    <w:rsid w:val="601A7313"/>
    <w:rsid w:val="601FF458"/>
    <w:rsid w:val="6035A5E3"/>
    <w:rsid w:val="6036222E"/>
    <w:rsid w:val="6038A9AE"/>
    <w:rsid w:val="604CCA2D"/>
    <w:rsid w:val="60568CD0"/>
    <w:rsid w:val="6065A3A0"/>
    <w:rsid w:val="60679A40"/>
    <w:rsid w:val="606A070B"/>
    <w:rsid w:val="606D4098"/>
    <w:rsid w:val="607AE8FC"/>
    <w:rsid w:val="607DA9D2"/>
    <w:rsid w:val="607E317C"/>
    <w:rsid w:val="60851FC1"/>
    <w:rsid w:val="608BE503"/>
    <w:rsid w:val="608E6A37"/>
    <w:rsid w:val="60909F5B"/>
    <w:rsid w:val="6091E5D6"/>
    <w:rsid w:val="60A10AE1"/>
    <w:rsid w:val="60A19688"/>
    <w:rsid w:val="60A8E472"/>
    <w:rsid w:val="60AF8337"/>
    <w:rsid w:val="60B1EE37"/>
    <w:rsid w:val="60CA3D10"/>
    <w:rsid w:val="60CBCFB2"/>
    <w:rsid w:val="60CCA24B"/>
    <w:rsid w:val="60D14CF5"/>
    <w:rsid w:val="60DEA63E"/>
    <w:rsid w:val="60DF17F0"/>
    <w:rsid w:val="60E5E8C6"/>
    <w:rsid w:val="60ED6C4C"/>
    <w:rsid w:val="60F44B9E"/>
    <w:rsid w:val="60F7B1C3"/>
    <w:rsid w:val="60F925A6"/>
    <w:rsid w:val="60FAAD0C"/>
    <w:rsid w:val="60FF198A"/>
    <w:rsid w:val="610442D2"/>
    <w:rsid w:val="6105FD80"/>
    <w:rsid w:val="6108504A"/>
    <w:rsid w:val="610927F9"/>
    <w:rsid w:val="610D9BF7"/>
    <w:rsid w:val="61101C6F"/>
    <w:rsid w:val="6115EE1D"/>
    <w:rsid w:val="6122038F"/>
    <w:rsid w:val="6128CA87"/>
    <w:rsid w:val="612D2EDD"/>
    <w:rsid w:val="61311887"/>
    <w:rsid w:val="613AF6CC"/>
    <w:rsid w:val="61424F87"/>
    <w:rsid w:val="61439CE8"/>
    <w:rsid w:val="6147ACE8"/>
    <w:rsid w:val="614F2443"/>
    <w:rsid w:val="615928EA"/>
    <w:rsid w:val="615A0F17"/>
    <w:rsid w:val="615BE9BC"/>
    <w:rsid w:val="615D092B"/>
    <w:rsid w:val="616CB6E2"/>
    <w:rsid w:val="6177A68C"/>
    <w:rsid w:val="617E84CB"/>
    <w:rsid w:val="6180A7A2"/>
    <w:rsid w:val="619F138A"/>
    <w:rsid w:val="61A65640"/>
    <w:rsid w:val="61A972CD"/>
    <w:rsid w:val="61AA7A5A"/>
    <w:rsid w:val="61B041FA"/>
    <w:rsid w:val="61B0EC92"/>
    <w:rsid w:val="61B3DE33"/>
    <w:rsid w:val="61C32D92"/>
    <w:rsid w:val="61C6125B"/>
    <w:rsid w:val="61C75587"/>
    <w:rsid w:val="61CFA25E"/>
    <w:rsid w:val="61E4C7DC"/>
    <w:rsid w:val="61FB5312"/>
    <w:rsid w:val="61FBEA6C"/>
    <w:rsid w:val="62034A16"/>
    <w:rsid w:val="6204AE72"/>
    <w:rsid w:val="6206F8D5"/>
    <w:rsid w:val="62082F96"/>
    <w:rsid w:val="620C68CF"/>
    <w:rsid w:val="6218C94B"/>
    <w:rsid w:val="621A683E"/>
    <w:rsid w:val="6228E64C"/>
    <w:rsid w:val="622EF736"/>
    <w:rsid w:val="6233A4FA"/>
    <w:rsid w:val="62357B6E"/>
    <w:rsid w:val="6237280E"/>
    <w:rsid w:val="623792F7"/>
    <w:rsid w:val="623C4784"/>
    <w:rsid w:val="62401AE1"/>
    <w:rsid w:val="62480C57"/>
    <w:rsid w:val="625545D4"/>
    <w:rsid w:val="6259E355"/>
    <w:rsid w:val="62735620"/>
    <w:rsid w:val="6279719F"/>
    <w:rsid w:val="627EEF17"/>
    <w:rsid w:val="6281076E"/>
    <w:rsid w:val="628281A5"/>
    <w:rsid w:val="628D9D75"/>
    <w:rsid w:val="62903E7F"/>
    <w:rsid w:val="62986A1E"/>
    <w:rsid w:val="6298CF40"/>
    <w:rsid w:val="629BCF29"/>
    <w:rsid w:val="62A35920"/>
    <w:rsid w:val="62A81CA4"/>
    <w:rsid w:val="62AC29DD"/>
    <w:rsid w:val="62BF3DEE"/>
    <w:rsid w:val="62C31BCC"/>
    <w:rsid w:val="62CC050A"/>
    <w:rsid w:val="62D7BCBE"/>
    <w:rsid w:val="62D7DB0E"/>
    <w:rsid w:val="62DBA381"/>
    <w:rsid w:val="62FCEAFB"/>
    <w:rsid w:val="62FDA187"/>
    <w:rsid w:val="62FE0929"/>
    <w:rsid w:val="6302374C"/>
    <w:rsid w:val="630460BD"/>
    <w:rsid w:val="63124640"/>
    <w:rsid w:val="63166022"/>
    <w:rsid w:val="631DA691"/>
    <w:rsid w:val="6320EF60"/>
    <w:rsid w:val="6321F631"/>
    <w:rsid w:val="632503CE"/>
    <w:rsid w:val="632637B8"/>
    <w:rsid w:val="632A4FE7"/>
    <w:rsid w:val="6332AEFF"/>
    <w:rsid w:val="6335D922"/>
    <w:rsid w:val="633EF4E4"/>
    <w:rsid w:val="63450659"/>
    <w:rsid w:val="63545908"/>
    <w:rsid w:val="6359DCBB"/>
    <w:rsid w:val="635B8013"/>
    <w:rsid w:val="635C3EBD"/>
    <w:rsid w:val="636711ED"/>
    <w:rsid w:val="636F37A7"/>
    <w:rsid w:val="6371DF97"/>
    <w:rsid w:val="63736057"/>
    <w:rsid w:val="6383701E"/>
    <w:rsid w:val="638ECE5C"/>
    <w:rsid w:val="63963B0B"/>
    <w:rsid w:val="63BB18D3"/>
    <w:rsid w:val="63C75C07"/>
    <w:rsid w:val="63D3708E"/>
    <w:rsid w:val="63DC1075"/>
    <w:rsid w:val="63DEF1E4"/>
    <w:rsid w:val="63E7D6B6"/>
    <w:rsid w:val="63EC22AB"/>
    <w:rsid w:val="63F613FE"/>
    <w:rsid w:val="63F74017"/>
    <w:rsid w:val="63FB7BFB"/>
    <w:rsid w:val="6407959D"/>
    <w:rsid w:val="64089386"/>
    <w:rsid w:val="6409C26B"/>
    <w:rsid w:val="640B8F46"/>
    <w:rsid w:val="6412C0DD"/>
    <w:rsid w:val="641CC4A4"/>
    <w:rsid w:val="642E57AF"/>
    <w:rsid w:val="6436303D"/>
    <w:rsid w:val="6438134D"/>
    <w:rsid w:val="643C6253"/>
    <w:rsid w:val="64437B8D"/>
    <w:rsid w:val="6448EEED"/>
    <w:rsid w:val="644EB881"/>
    <w:rsid w:val="6465E9E1"/>
    <w:rsid w:val="646BE2A5"/>
    <w:rsid w:val="646BF117"/>
    <w:rsid w:val="646CB8B1"/>
    <w:rsid w:val="64801984"/>
    <w:rsid w:val="648E5915"/>
    <w:rsid w:val="64972CCB"/>
    <w:rsid w:val="649976E5"/>
    <w:rsid w:val="649B2D39"/>
    <w:rsid w:val="649EAE05"/>
    <w:rsid w:val="64A3C03D"/>
    <w:rsid w:val="64AEC939"/>
    <w:rsid w:val="64AF31D0"/>
    <w:rsid w:val="64B1899A"/>
    <w:rsid w:val="64B62DEB"/>
    <w:rsid w:val="64C1E754"/>
    <w:rsid w:val="64C3F9D6"/>
    <w:rsid w:val="64C405C1"/>
    <w:rsid w:val="64C5F779"/>
    <w:rsid w:val="64C8CF54"/>
    <w:rsid w:val="64CB6A7D"/>
    <w:rsid w:val="64CF8002"/>
    <w:rsid w:val="64D15761"/>
    <w:rsid w:val="64D3210E"/>
    <w:rsid w:val="64D7F979"/>
    <w:rsid w:val="64DC04F1"/>
    <w:rsid w:val="64E0A33B"/>
    <w:rsid w:val="64E93E87"/>
    <w:rsid w:val="64EC3609"/>
    <w:rsid w:val="64EC84AF"/>
    <w:rsid w:val="64F64879"/>
    <w:rsid w:val="64FAECD9"/>
    <w:rsid w:val="64FAFBA9"/>
    <w:rsid w:val="6501D64D"/>
    <w:rsid w:val="6511F8CB"/>
    <w:rsid w:val="6512023A"/>
    <w:rsid w:val="651B0168"/>
    <w:rsid w:val="651B2455"/>
    <w:rsid w:val="6526EBBF"/>
    <w:rsid w:val="652D2141"/>
    <w:rsid w:val="652FAB8A"/>
    <w:rsid w:val="65342B8B"/>
    <w:rsid w:val="65397041"/>
    <w:rsid w:val="656E6E56"/>
    <w:rsid w:val="657AD66A"/>
    <w:rsid w:val="658742F2"/>
    <w:rsid w:val="65874A3E"/>
    <w:rsid w:val="65882BFF"/>
    <w:rsid w:val="65887EBA"/>
    <w:rsid w:val="658B7435"/>
    <w:rsid w:val="658D71FD"/>
    <w:rsid w:val="659548A0"/>
    <w:rsid w:val="6597AB0D"/>
    <w:rsid w:val="659D0678"/>
    <w:rsid w:val="65AC59A1"/>
    <w:rsid w:val="65B6D8DF"/>
    <w:rsid w:val="65B78398"/>
    <w:rsid w:val="65BD59C7"/>
    <w:rsid w:val="65BD78A8"/>
    <w:rsid w:val="65BEFC0F"/>
    <w:rsid w:val="65D42599"/>
    <w:rsid w:val="65D92297"/>
    <w:rsid w:val="65DE0356"/>
    <w:rsid w:val="65E59E2B"/>
    <w:rsid w:val="65EBAB98"/>
    <w:rsid w:val="65EE3BDF"/>
    <w:rsid w:val="65FC0584"/>
    <w:rsid w:val="6605FB95"/>
    <w:rsid w:val="66084CEC"/>
    <w:rsid w:val="660BD415"/>
    <w:rsid w:val="66115C56"/>
    <w:rsid w:val="66151D15"/>
    <w:rsid w:val="6617426F"/>
    <w:rsid w:val="6631EAC9"/>
    <w:rsid w:val="6637E748"/>
    <w:rsid w:val="663D4A9C"/>
    <w:rsid w:val="664420FB"/>
    <w:rsid w:val="664B90E0"/>
    <w:rsid w:val="666275FE"/>
    <w:rsid w:val="6667CE38"/>
    <w:rsid w:val="66697617"/>
    <w:rsid w:val="667B56EC"/>
    <w:rsid w:val="667B5AFE"/>
    <w:rsid w:val="66876422"/>
    <w:rsid w:val="668B37E4"/>
    <w:rsid w:val="668CD8DE"/>
    <w:rsid w:val="669468B1"/>
    <w:rsid w:val="669D863D"/>
    <w:rsid w:val="66AA8E0B"/>
    <w:rsid w:val="66ABE686"/>
    <w:rsid w:val="66B49449"/>
    <w:rsid w:val="66B7D774"/>
    <w:rsid w:val="66BB9B54"/>
    <w:rsid w:val="66BE97D4"/>
    <w:rsid w:val="66C0BC15"/>
    <w:rsid w:val="66CB1728"/>
    <w:rsid w:val="66CEA03E"/>
    <w:rsid w:val="66D0C91F"/>
    <w:rsid w:val="66E8A313"/>
    <w:rsid w:val="66E8D69C"/>
    <w:rsid w:val="66FA9CF3"/>
    <w:rsid w:val="670578B9"/>
    <w:rsid w:val="670AE009"/>
    <w:rsid w:val="671ABA6A"/>
    <w:rsid w:val="6728C644"/>
    <w:rsid w:val="673CA36D"/>
    <w:rsid w:val="674132BA"/>
    <w:rsid w:val="6744474E"/>
    <w:rsid w:val="674ED9C2"/>
    <w:rsid w:val="676DDA7E"/>
    <w:rsid w:val="676E71E6"/>
    <w:rsid w:val="67834AE0"/>
    <w:rsid w:val="678A5CC9"/>
    <w:rsid w:val="678B1BF5"/>
    <w:rsid w:val="678EA269"/>
    <w:rsid w:val="679441F3"/>
    <w:rsid w:val="679CD14A"/>
    <w:rsid w:val="67A88395"/>
    <w:rsid w:val="67AB9839"/>
    <w:rsid w:val="67B14A2B"/>
    <w:rsid w:val="67BD177A"/>
    <w:rsid w:val="67C1C9AE"/>
    <w:rsid w:val="67CC0060"/>
    <w:rsid w:val="67CFEFC5"/>
    <w:rsid w:val="67D12E6D"/>
    <w:rsid w:val="67D7B8DC"/>
    <w:rsid w:val="67DD1EE2"/>
    <w:rsid w:val="67DE4E80"/>
    <w:rsid w:val="67E621F2"/>
    <w:rsid w:val="67F096DA"/>
    <w:rsid w:val="67FDDDF4"/>
    <w:rsid w:val="6801242A"/>
    <w:rsid w:val="6809EBC6"/>
    <w:rsid w:val="681B73E6"/>
    <w:rsid w:val="6820ADAD"/>
    <w:rsid w:val="682C954C"/>
    <w:rsid w:val="6830D1EA"/>
    <w:rsid w:val="683CC273"/>
    <w:rsid w:val="6840FB7F"/>
    <w:rsid w:val="6841B200"/>
    <w:rsid w:val="684B10D5"/>
    <w:rsid w:val="6850D889"/>
    <w:rsid w:val="68517CC0"/>
    <w:rsid w:val="6854BCCB"/>
    <w:rsid w:val="685B87AB"/>
    <w:rsid w:val="685BE48C"/>
    <w:rsid w:val="685F4DF0"/>
    <w:rsid w:val="68606CD7"/>
    <w:rsid w:val="687F501E"/>
    <w:rsid w:val="687F7AAD"/>
    <w:rsid w:val="68812F7F"/>
    <w:rsid w:val="68830C77"/>
    <w:rsid w:val="68873343"/>
    <w:rsid w:val="68938B0F"/>
    <w:rsid w:val="68B67DFC"/>
    <w:rsid w:val="68B69E3C"/>
    <w:rsid w:val="68D642DD"/>
    <w:rsid w:val="68DAFEBC"/>
    <w:rsid w:val="68DDD5A5"/>
    <w:rsid w:val="68E4754F"/>
    <w:rsid w:val="68E961E4"/>
    <w:rsid w:val="68EB3F05"/>
    <w:rsid w:val="691BAEC2"/>
    <w:rsid w:val="692B0993"/>
    <w:rsid w:val="693313AE"/>
    <w:rsid w:val="693F99CB"/>
    <w:rsid w:val="6940E480"/>
    <w:rsid w:val="69487605"/>
    <w:rsid w:val="6949D8DF"/>
    <w:rsid w:val="695761B6"/>
    <w:rsid w:val="695DC55B"/>
    <w:rsid w:val="695DD18C"/>
    <w:rsid w:val="695FE74A"/>
    <w:rsid w:val="69712B7C"/>
    <w:rsid w:val="6975E91A"/>
    <w:rsid w:val="6978C6D4"/>
    <w:rsid w:val="697E03CD"/>
    <w:rsid w:val="6981C191"/>
    <w:rsid w:val="699C3D50"/>
    <w:rsid w:val="69A4C594"/>
    <w:rsid w:val="69AC299E"/>
    <w:rsid w:val="69ADDC63"/>
    <w:rsid w:val="69AE3022"/>
    <w:rsid w:val="69AF2CBE"/>
    <w:rsid w:val="69B50B99"/>
    <w:rsid w:val="69BEEEEA"/>
    <w:rsid w:val="69C344C2"/>
    <w:rsid w:val="69CA6DD3"/>
    <w:rsid w:val="69CE9C78"/>
    <w:rsid w:val="69D0B31E"/>
    <w:rsid w:val="69D6F7D4"/>
    <w:rsid w:val="69D9A8CC"/>
    <w:rsid w:val="69DC8313"/>
    <w:rsid w:val="69E71508"/>
    <w:rsid w:val="69E83883"/>
    <w:rsid w:val="69EBB218"/>
    <w:rsid w:val="69F36EB9"/>
    <w:rsid w:val="69F6C11D"/>
    <w:rsid w:val="69FCE795"/>
    <w:rsid w:val="6A068773"/>
    <w:rsid w:val="6A0813CD"/>
    <w:rsid w:val="6A0C7A1B"/>
    <w:rsid w:val="6A131E63"/>
    <w:rsid w:val="6A286B68"/>
    <w:rsid w:val="6A287F7C"/>
    <w:rsid w:val="6A34C201"/>
    <w:rsid w:val="6A3CC84D"/>
    <w:rsid w:val="6A3FCD1C"/>
    <w:rsid w:val="6A45325A"/>
    <w:rsid w:val="6A531DFF"/>
    <w:rsid w:val="6A5375AD"/>
    <w:rsid w:val="6A56B2C3"/>
    <w:rsid w:val="6A5A668A"/>
    <w:rsid w:val="6A5B5AC6"/>
    <w:rsid w:val="6A5E33ED"/>
    <w:rsid w:val="6A631C87"/>
    <w:rsid w:val="6A68DC4C"/>
    <w:rsid w:val="6A6B41DE"/>
    <w:rsid w:val="6A6C3D45"/>
    <w:rsid w:val="6A6E884D"/>
    <w:rsid w:val="6A71771F"/>
    <w:rsid w:val="6A71BA92"/>
    <w:rsid w:val="6A771FA5"/>
    <w:rsid w:val="6A7961D2"/>
    <w:rsid w:val="6A7B4A1C"/>
    <w:rsid w:val="6A7E1537"/>
    <w:rsid w:val="6A7FBAF0"/>
    <w:rsid w:val="6A814D8D"/>
    <w:rsid w:val="6A88CF9E"/>
    <w:rsid w:val="6A8BCF36"/>
    <w:rsid w:val="6A8E6FB1"/>
    <w:rsid w:val="6A9872E5"/>
    <w:rsid w:val="6A99A684"/>
    <w:rsid w:val="6AA38AD1"/>
    <w:rsid w:val="6AA4C2A9"/>
    <w:rsid w:val="6AB3F4E7"/>
    <w:rsid w:val="6AB8AA0F"/>
    <w:rsid w:val="6AC07031"/>
    <w:rsid w:val="6AC53F8B"/>
    <w:rsid w:val="6AC5E1F2"/>
    <w:rsid w:val="6ACFE7D1"/>
    <w:rsid w:val="6AD7E376"/>
    <w:rsid w:val="6AD81B02"/>
    <w:rsid w:val="6ADE67EB"/>
    <w:rsid w:val="6AE15ECB"/>
    <w:rsid w:val="6AE620FE"/>
    <w:rsid w:val="6AE7C1B1"/>
    <w:rsid w:val="6AEF72B3"/>
    <w:rsid w:val="6AF4C343"/>
    <w:rsid w:val="6B0276BB"/>
    <w:rsid w:val="6B0A2702"/>
    <w:rsid w:val="6B0F7966"/>
    <w:rsid w:val="6B0F86B7"/>
    <w:rsid w:val="6B20E4D1"/>
    <w:rsid w:val="6B22D2D4"/>
    <w:rsid w:val="6B2C0AE3"/>
    <w:rsid w:val="6B3398CA"/>
    <w:rsid w:val="6B3AAC7D"/>
    <w:rsid w:val="6B40C5CB"/>
    <w:rsid w:val="6B4444CC"/>
    <w:rsid w:val="6B5272DA"/>
    <w:rsid w:val="6B533A68"/>
    <w:rsid w:val="6B544578"/>
    <w:rsid w:val="6B68636B"/>
    <w:rsid w:val="6B6C7ED1"/>
    <w:rsid w:val="6B7BA5A4"/>
    <w:rsid w:val="6B804A79"/>
    <w:rsid w:val="6B879302"/>
    <w:rsid w:val="6B891795"/>
    <w:rsid w:val="6B92789B"/>
    <w:rsid w:val="6B959C9F"/>
    <w:rsid w:val="6B9D75FD"/>
    <w:rsid w:val="6BA2F3B7"/>
    <w:rsid w:val="6BAFE413"/>
    <w:rsid w:val="6BB6A128"/>
    <w:rsid w:val="6BB6CA9A"/>
    <w:rsid w:val="6BB9C286"/>
    <w:rsid w:val="6BBA40D4"/>
    <w:rsid w:val="6BC26194"/>
    <w:rsid w:val="6BC3E923"/>
    <w:rsid w:val="6BDAE343"/>
    <w:rsid w:val="6BDBA96E"/>
    <w:rsid w:val="6BEA9C62"/>
    <w:rsid w:val="6BEE567D"/>
    <w:rsid w:val="6BFBEB88"/>
    <w:rsid w:val="6C081268"/>
    <w:rsid w:val="6C0C37E1"/>
    <w:rsid w:val="6C0E1868"/>
    <w:rsid w:val="6C15956A"/>
    <w:rsid w:val="6C1E578E"/>
    <w:rsid w:val="6C27D6A7"/>
    <w:rsid w:val="6C3196B6"/>
    <w:rsid w:val="6C33FD38"/>
    <w:rsid w:val="6C3628C2"/>
    <w:rsid w:val="6C3B4EA4"/>
    <w:rsid w:val="6C434231"/>
    <w:rsid w:val="6C53F8A0"/>
    <w:rsid w:val="6C568446"/>
    <w:rsid w:val="6C5CD073"/>
    <w:rsid w:val="6C5EF49A"/>
    <w:rsid w:val="6C675DA1"/>
    <w:rsid w:val="6C6F2696"/>
    <w:rsid w:val="6C79511E"/>
    <w:rsid w:val="6C7D3BF6"/>
    <w:rsid w:val="6C90AAC4"/>
    <w:rsid w:val="6CAB565D"/>
    <w:rsid w:val="6CAF2903"/>
    <w:rsid w:val="6CBFB8B6"/>
    <w:rsid w:val="6CCAC435"/>
    <w:rsid w:val="6CCF32AB"/>
    <w:rsid w:val="6CD02CCD"/>
    <w:rsid w:val="6CD387FC"/>
    <w:rsid w:val="6CE149C1"/>
    <w:rsid w:val="6CE332A7"/>
    <w:rsid w:val="6CF76111"/>
    <w:rsid w:val="6CF76A4F"/>
    <w:rsid w:val="6CFCFED0"/>
    <w:rsid w:val="6D02514F"/>
    <w:rsid w:val="6D0A456F"/>
    <w:rsid w:val="6D132AA0"/>
    <w:rsid w:val="6D2A0E40"/>
    <w:rsid w:val="6D2DF860"/>
    <w:rsid w:val="6D43F976"/>
    <w:rsid w:val="6D4764C5"/>
    <w:rsid w:val="6D495862"/>
    <w:rsid w:val="6D5E96D7"/>
    <w:rsid w:val="6D640388"/>
    <w:rsid w:val="6D64A542"/>
    <w:rsid w:val="6D6A4E61"/>
    <w:rsid w:val="6D6C01BF"/>
    <w:rsid w:val="6D735EFB"/>
    <w:rsid w:val="6D7B172D"/>
    <w:rsid w:val="6D7D3896"/>
    <w:rsid w:val="6D8487AD"/>
    <w:rsid w:val="6D875548"/>
    <w:rsid w:val="6D87C060"/>
    <w:rsid w:val="6D8B9A22"/>
    <w:rsid w:val="6D8C169A"/>
    <w:rsid w:val="6D96F27E"/>
    <w:rsid w:val="6D97F807"/>
    <w:rsid w:val="6DA53D82"/>
    <w:rsid w:val="6DB3E48F"/>
    <w:rsid w:val="6DC9B778"/>
    <w:rsid w:val="6DCA6AC8"/>
    <w:rsid w:val="6DCC9402"/>
    <w:rsid w:val="6DD1B48F"/>
    <w:rsid w:val="6DD4DF6D"/>
    <w:rsid w:val="6DDACB7B"/>
    <w:rsid w:val="6DECAFB5"/>
    <w:rsid w:val="6DEEB403"/>
    <w:rsid w:val="6DF2679F"/>
    <w:rsid w:val="6DF571DC"/>
    <w:rsid w:val="6E02527A"/>
    <w:rsid w:val="6E06508B"/>
    <w:rsid w:val="6E0E6DA4"/>
    <w:rsid w:val="6E1DC0CC"/>
    <w:rsid w:val="6E217F0D"/>
    <w:rsid w:val="6E2221E6"/>
    <w:rsid w:val="6E23D1C3"/>
    <w:rsid w:val="6E2A973E"/>
    <w:rsid w:val="6E37973A"/>
    <w:rsid w:val="6E3CC276"/>
    <w:rsid w:val="6E3DA746"/>
    <w:rsid w:val="6E4AFE50"/>
    <w:rsid w:val="6E5BE659"/>
    <w:rsid w:val="6E6A3DE0"/>
    <w:rsid w:val="6E6B91F8"/>
    <w:rsid w:val="6E6BDA37"/>
    <w:rsid w:val="6E7AC353"/>
    <w:rsid w:val="6E7C58A6"/>
    <w:rsid w:val="6E7CE133"/>
    <w:rsid w:val="6E8CAB50"/>
    <w:rsid w:val="6EA06D03"/>
    <w:rsid w:val="6EBED665"/>
    <w:rsid w:val="6EC4D17F"/>
    <w:rsid w:val="6EC7D58C"/>
    <w:rsid w:val="6ECAAF45"/>
    <w:rsid w:val="6ED227BB"/>
    <w:rsid w:val="6EE11DEB"/>
    <w:rsid w:val="6EE665B3"/>
    <w:rsid w:val="6EE6B8A4"/>
    <w:rsid w:val="6EE946A6"/>
    <w:rsid w:val="6EEA712B"/>
    <w:rsid w:val="6EF30665"/>
    <w:rsid w:val="6EF49085"/>
    <w:rsid w:val="6EFAD74D"/>
    <w:rsid w:val="6EFD59E0"/>
    <w:rsid w:val="6F07F152"/>
    <w:rsid w:val="6F09FD84"/>
    <w:rsid w:val="6F0F88AA"/>
    <w:rsid w:val="6F1FFA1B"/>
    <w:rsid w:val="6F21BC6D"/>
    <w:rsid w:val="6F21EE0C"/>
    <w:rsid w:val="6F2AE305"/>
    <w:rsid w:val="6F2D4E8B"/>
    <w:rsid w:val="6F3909BB"/>
    <w:rsid w:val="6F3CF893"/>
    <w:rsid w:val="6F42B994"/>
    <w:rsid w:val="6F48B986"/>
    <w:rsid w:val="6F5395AC"/>
    <w:rsid w:val="6F5C756F"/>
    <w:rsid w:val="6F5CA1F5"/>
    <w:rsid w:val="6F620AE9"/>
    <w:rsid w:val="6F80379B"/>
    <w:rsid w:val="6F8A241F"/>
    <w:rsid w:val="6F90288B"/>
    <w:rsid w:val="6F99E0A7"/>
    <w:rsid w:val="6F9A9A68"/>
    <w:rsid w:val="6F9ACC0C"/>
    <w:rsid w:val="6F9E627F"/>
    <w:rsid w:val="6FA4A26A"/>
    <w:rsid w:val="6FA84BFE"/>
    <w:rsid w:val="6FAD22F2"/>
    <w:rsid w:val="6FB13490"/>
    <w:rsid w:val="6FBC14AA"/>
    <w:rsid w:val="6FBD3F23"/>
    <w:rsid w:val="6FC302E6"/>
    <w:rsid w:val="6FD33A08"/>
    <w:rsid w:val="6FE1CC3F"/>
    <w:rsid w:val="6FE5CABA"/>
    <w:rsid w:val="6FE77ED7"/>
    <w:rsid w:val="6FEB8FE0"/>
    <w:rsid w:val="6FED88FC"/>
    <w:rsid w:val="6FF1E5F5"/>
    <w:rsid w:val="6FF904A5"/>
    <w:rsid w:val="70030F1B"/>
    <w:rsid w:val="7003308A"/>
    <w:rsid w:val="70044DD8"/>
    <w:rsid w:val="7008C89B"/>
    <w:rsid w:val="70118C94"/>
    <w:rsid w:val="701783F2"/>
    <w:rsid w:val="7019E072"/>
    <w:rsid w:val="7019FBE9"/>
    <w:rsid w:val="701DDC2B"/>
    <w:rsid w:val="7024B790"/>
    <w:rsid w:val="702510F6"/>
    <w:rsid w:val="702C65F1"/>
    <w:rsid w:val="70303EAC"/>
    <w:rsid w:val="70366315"/>
    <w:rsid w:val="703ED4CA"/>
    <w:rsid w:val="704427E5"/>
    <w:rsid w:val="70548145"/>
    <w:rsid w:val="706333BD"/>
    <w:rsid w:val="7065DB4D"/>
    <w:rsid w:val="7066CAF3"/>
    <w:rsid w:val="7068E06A"/>
    <w:rsid w:val="706BD29F"/>
    <w:rsid w:val="706D154B"/>
    <w:rsid w:val="70736E4D"/>
    <w:rsid w:val="707AA98C"/>
    <w:rsid w:val="7084179D"/>
    <w:rsid w:val="7087A8F3"/>
    <w:rsid w:val="708AAC5D"/>
    <w:rsid w:val="7090770E"/>
    <w:rsid w:val="709A59FF"/>
    <w:rsid w:val="709D77AB"/>
    <w:rsid w:val="709FD93E"/>
    <w:rsid w:val="70A0471C"/>
    <w:rsid w:val="70A98072"/>
    <w:rsid w:val="70B9802B"/>
    <w:rsid w:val="70C3848F"/>
    <w:rsid w:val="70C66C23"/>
    <w:rsid w:val="70C866FB"/>
    <w:rsid w:val="70CF631B"/>
    <w:rsid w:val="70EB92D9"/>
    <w:rsid w:val="70FBBB36"/>
    <w:rsid w:val="71084523"/>
    <w:rsid w:val="710946F1"/>
    <w:rsid w:val="710963B7"/>
    <w:rsid w:val="71107BCA"/>
    <w:rsid w:val="711276D0"/>
    <w:rsid w:val="7119C0B3"/>
    <w:rsid w:val="7119C7E8"/>
    <w:rsid w:val="711F97A8"/>
    <w:rsid w:val="71217168"/>
    <w:rsid w:val="71267B8C"/>
    <w:rsid w:val="7130E2F2"/>
    <w:rsid w:val="71385292"/>
    <w:rsid w:val="713FE9C8"/>
    <w:rsid w:val="714365CC"/>
    <w:rsid w:val="7153DA8D"/>
    <w:rsid w:val="715CDC50"/>
    <w:rsid w:val="71643E60"/>
    <w:rsid w:val="71650E60"/>
    <w:rsid w:val="718104F9"/>
    <w:rsid w:val="7183F30B"/>
    <w:rsid w:val="7184CDB1"/>
    <w:rsid w:val="71889EBA"/>
    <w:rsid w:val="718BD145"/>
    <w:rsid w:val="71953CB3"/>
    <w:rsid w:val="719E52D2"/>
    <w:rsid w:val="71ADA691"/>
    <w:rsid w:val="71B8A5FD"/>
    <w:rsid w:val="71C1F75E"/>
    <w:rsid w:val="71C6D69A"/>
    <w:rsid w:val="71D12E6F"/>
    <w:rsid w:val="71E031A0"/>
    <w:rsid w:val="71E49ACE"/>
    <w:rsid w:val="71E7A21C"/>
    <w:rsid w:val="71EB7953"/>
    <w:rsid w:val="71EF71FF"/>
    <w:rsid w:val="71F2F32A"/>
    <w:rsid w:val="71F4BDAE"/>
    <w:rsid w:val="71F56985"/>
    <w:rsid w:val="71FD7529"/>
    <w:rsid w:val="720425C9"/>
    <w:rsid w:val="7205198A"/>
    <w:rsid w:val="7206D0E7"/>
    <w:rsid w:val="722229B3"/>
    <w:rsid w:val="722B177E"/>
    <w:rsid w:val="722C963E"/>
    <w:rsid w:val="722FDA49"/>
    <w:rsid w:val="72371F45"/>
    <w:rsid w:val="724E1DE4"/>
    <w:rsid w:val="724F69C3"/>
    <w:rsid w:val="72531FEF"/>
    <w:rsid w:val="7256ED8F"/>
    <w:rsid w:val="725A7889"/>
    <w:rsid w:val="725CEF7E"/>
    <w:rsid w:val="725E49EA"/>
    <w:rsid w:val="725E776E"/>
    <w:rsid w:val="725FE1F4"/>
    <w:rsid w:val="7264B715"/>
    <w:rsid w:val="72683BC8"/>
    <w:rsid w:val="726F7238"/>
    <w:rsid w:val="72748568"/>
    <w:rsid w:val="7275296E"/>
    <w:rsid w:val="727F6224"/>
    <w:rsid w:val="72827B91"/>
    <w:rsid w:val="728767AC"/>
    <w:rsid w:val="72953AEA"/>
    <w:rsid w:val="7298C839"/>
    <w:rsid w:val="729ABA99"/>
    <w:rsid w:val="72AE6210"/>
    <w:rsid w:val="72B012DE"/>
    <w:rsid w:val="72C3AF12"/>
    <w:rsid w:val="72C86AD1"/>
    <w:rsid w:val="72C89565"/>
    <w:rsid w:val="72C91D2A"/>
    <w:rsid w:val="72CD4615"/>
    <w:rsid w:val="72D08460"/>
    <w:rsid w:val="72DE57FD"/>
    <w:rsid w:val="72DF4D4A"/>
    <w:rsid w:val="72E8EE78"/>
    <w:rsid w:val="72F1AEC7"/>
    <w:rsid w:val="7303530E"/>
    <w:rsid w:val="73036BCB"/>
    <w:rsid w:val="7308057F"/>
    <w:rsid w:val="7308CF1F"/>
    <w:rsid w:val="7309D556"/>
    <w:rsid w:val="7317DD5D"/>
    <w:rsid w:val="731DE37B"/>
    <w:rsid w:val="73253452"/>
    <w:rsid w:val="7328917F"/>
    <w:rsid w:val="733140CA"/>
    <w:rsid w:val="73359116"/>
    <w:rsid w:val="73556B8A"/>
    <w:rsid w:val="736DF5C0"/>
    <w:rsid w:val="737ECC14"/>
    <w:rsid w:val="73820A92"/>
    <w:rsid w:val="7387C9DB"/>
    <w:rsid w:val="739351E4"/>
    <w:rsid w:val="7397A59E"/>
    <w:rsid w:val="7398982A"/>
    <w:rsid w:val="73991920"/>
    <w:rsid w:val="7399A936"/>
    <w:rsid w:val="739F4A5E"/>
    <w:rsid w:val="73AA680C"/>
    <w:rsid w:val="73AAA601"/>
    <w:rsid w:val="73B38195"/>
    <w:rsid w:val="73BF8F2D"/>
    <w:rsid w:val="73C0420E"/>
    <w:rsid w:val="73C1FC13"/>
    <w:rsid w:val="73C6F970"/>
    <w:rsid w:val="73C8F003"/>
    <w:rsid w:val="73CF90D7"/>
    <w:rsid w:val="73D270CC"/>
    <w:rsid w:val="73E23EEC"/>
    <w:rsid w:val="73E79E87"/>
    <w:rsid w:val="73ECF865"/>
    <w:rsid w:val="73F67EB1"/>
    <w:rsid w:val="73F6C98C"/>
    <w:rsid w:val="73F7F0FE"/>
    <w:rsid w:val="73FAA2F3"/>
    <w:rsid w:val="73FAC5CA"/>
    <w:rsid w:val="73FE929C"/>
    <w:rsid w:val="73FEFC48"/>
    <w:rsid w:val="73FF3BE9"/>
    <w:rsid w:val="73FFAC5F"/>
    <w:rsid w:val="74101DE0"/>
    <w:rsid w:val="74295BB8"/>
    <w:rsid w:val="742AE192"/>
    <w:rsid w:val="743D9015"/>
    <w:rsid w:val="744071A8"/>
    <w:rsid w:val="744A6D99"/>
    <w:rsid w:val="745285CE"/>
    <w:rsid w:val="7458E84E"/>
    <w:rsid w:val="745C22A6"/>
    <w:rsid w:val="746270DC"/>
    <w:rsid w:val="747A55AA"/>
    <w:rsid w:val="7481FFBE"/>
    <w:rsid w:val="74871F6F"/>
    <w:rsid w:val="7489E161"/>
    <w:rsid w:val="748E1E0D"/>
    <w:rsid w:val="74901893"/>
    <w:rsid w:val="74928DD0"/>
    <w:rsid w:val="7497B2B6"/>
    <w:rsid w:val="74A260AA"/>
    <w:rsid w:val="74A29038"/>
    <w:rsid w:val="74AC5D33"/>
    <w:rsid w:val="74B954BA"/>
    <w:rsid w:val="74BC3910"/>
    <w:rsid w:val="74C46689"/>
    <w:rsid w:val="74C9679D"/>
    <w:rsid w:val="74D558DD"/>
    <w:rsid w:val="74F3C12C"/>
    <w:rsid w:val="74F6436C"/>
    <w:rsid w:val="74FEE060"/>
    <w:rsid w:val="7502F874"/>
    <w:rsid w:val="750D5C83"/>
    <w:rsid w:val="751A3EC9"/>
    <w:rsid w:val="752062B6"/>
    <w:rsid w:val="752CABDA"/>
    <w:rsid w:val="75427CB9"/>
    <w:rsid w:val="75465BC3"/>
    <w:rsid w:val="75505377"/>
    <w:rsid w:val="755C4C42"/>
    <w:rsid w:val="7561263C"/>
    <w:rsid w:val="756B9C84"/>
    <w:rsid w:val="757D6EF5"/>
    <w:rsid w:val="757DF316"/>
    <w:rsid w:val="757F47E7"/>
    <w:rsid w:val="7585E9E7"/>
    <w:rsid w:val="75920752"/>
    <w:rsid w:val="75925B1D"/>
    <w:rsid w:val="75987B66"/>
    <w:rsid w:val="75AC9F18"/>
    <w:rsid w:val="75AD1C1D"/>
    <w:rsid w:val="75AE4401"/>
    <w:rsid w:val="75B1835F"/>
    <w:rsid w:val="75B580F5"/>
    <w:rsid w:val="75BA9F14"/>
    <w:rsid w:val="75BCB25D"/>
    <w:rsid w:val="75D01196"/>
    <w:rsid w:val="75D3660C"/>
    <w:rsid w:val="75D85682"/>
    <w:rsid w:val="75DA262A"/>
    <w:rsid w:val="75E4542D"/>
    <w:rsid w:val="75E4A608"/>
    <w:rsid w:val="75F059B9"/>
    <w:rsid w:val="75F49D25"/>
    <w:rsid w:val="761ABD00"/>
    <w:rsid w:val="7621BB5D"/>
    <w:rsid w:val="762E7234"/>
    <w:rsid w:val="7645B7E1"/>
    <w:rsid w:val="764898EC"/>
    <w:rsid w:val="7648E3BC"/>
    <w:rsid w:val="7649355D"/>
    <w:rsid w:val="764A6103"/>
    <w:rsid w:val="7655265D"/>
    <w:rsid w:val="7655B429"/>
    <w:rsid w:val="76592310"/>
    <w:rsid w:val="765ABBEF"/>
    <w:rsid w:val="765E2D56"/>
    <w:rsid w:val="7663AA5D"/>
    <w:rsid w:val="7668F0EF"/>
    <w:rsid w:val="766B1150"/>
    <w:rsid w:val="76827F1F"/>
    <w:rsid w:val="769AB51C"/>
    <w:rsid w:val="76A81E50"/>
    <w:rsid w:val="76A978FE"/>
    <w:rsid w:val="76AB3738"/>
    <w:rsid w:val="76B0905A"/>
    <w:rsid w:val="76B4C67E"/>
    <w:rsid w:val="76B4DDFE"/>
    <w:rsid w:val="76B50851"/>
    <w:rsid w:val="76B6FD01"/>
    <w:rsid w:val="76C81B3A"/>
    <w:rsid w:val="76CE8271"/>
    <w:rsid w:val="76D13462"/>
    <w:rsid w:val="76D6F746"/>
    <w:rsid w:val="76D8C224"/>
    <w:rsid w:val="76DF87CC"/>
    <w:rsid w:val="76F6F6CA"/>
    <w:rsid w:val="770E6923"/>
    <w:rsid w:val="7714B263"/>
    <w:rsid w:val="771A1B88"/>
    <w:rsid w:val="773127BC"/>
    <w:rsid w:val="77333B45"/>
    <w:rsid w:val="77515F68"/>
    <w:rsid w:val="77533777"/>
    <w:rsid w:val="775A4ABE"/>
    <w:rsid w:val="775DD1D0"/>
    <w:rsid w:val="7763BE82"/>
    <w:rsid w:val="776CA8C8"/>
    <w:rsid w:val="776CABF4"/>
    <w:rsid w:val="777C6777"/>
    <w:rsid w:val="7788B3A4"/>
    <w:rsid w:val="778F82DF"/>
    <w:rsid w:val="77943456"/>
    <w:rsid w:val="7797BC7B"/>
    <w:rsid w:val="7797E11C"/>
    <w:rsid w:val="7798C5F7"/>
    <w:rsid w:val="77A7B5C0"/>
    <w:rsid w:val="77A82E98"/>
    <w:rsid w:val="77A885E0"/>
    <w:rsid w:val="77AC0C44"/>
    <w:rsid w:val="77AF037A"/>
    <w:rsid w:val="77C63142"/>
    <w:rsid w:val="77D1A78B"/>
    <w:rsid w:val="77D25EAB"/>
    <w:rsid w:val="77DD13D7"/>
    <w:rsid w:val="77E112FD"/>
    <w:rsid w:val="77E545BE"/>
    <w:rsid w:val="77F46273"/>
    <w:rsid w:val="77FC1376"/>
    <w:rsid w:val="77FE19FD"/>
    <w:rsid w:val="77FF5C44"/>
    <w:rsid w:val="780987AE"/>
    <w:rsid w:val="780A7018"/>
    <w:rsid w:val="782D379D"/>
    <w:rsid w:val="78399BAD"/>
    <w:rsid w:val="7839C4B8"/>
    <w:rsid w:val="783E5646"/>
    <w:rsid w:val="783E6CEB"/>
    <w:rsid w:val="7840C548"/>
    <w:rsid w:val="78460181"/>
    <w:rsid w:val="784D28D4"/>
    <w:rsid w:val="784FA2A6"/>
    <w:rsid w:val="785643D2"/>
    <w:rsid w:val="7858D1DC"/>
    <w:rsid w:val="785F1936"/>
    <w:rsid w:val="7861EDBD"/>
    <w:rsid w:val="78751ADB"/>
    <w:rsid w:val="7878D67A"/>
    <w:rsid w:val="7879D9DE"/>
    <w:rsid w:val="7884E910"/>
    <w:rsid w:val="78863268"/>
    <w:rsid w:val="788783D0"/>
    <w:rsid w:val="7892BEDD"/>
    <w:rsid w:val="789DFF4A"/>
    <w:rsid w:val="78A03203"/>
    <w:rsid w:val="78A208FF"/>
    <w:rsid w:val="78A6349D"/>
    <w:rsid w:val="78A74DF0"/>
    <w:rsid w:val="78ABAB75"/>
    <w:rsid w:val="78B64241"/>
    <w:rsid w:val="78B8282C"/>
    <w:rsid w:val="78BED8FC"/>
    <w:rsid w:val="78C55715"/>
    <w:rsid w:val="78CB0F9F"/>
    <w:rsid w:val="78CBB9D2"/>
    <w:rsid w:val="78D2F3B9"/>
    <w:rsid w:val="78DC9CED"/>
    <w:rsid w:val="78DE90B3"/>
    <w:rsid w:val="78E040EF"/>
    <w:rsid w:val="78EEAF71"/>
    <w:rsid w:val="78F41BD0"/>
    <w:rsid w:val="78FE1624"/>
    <w:rsid w:val="790A6A32"/>
    <w:rsid w:val="791751F0"/>
    <w:rsid w:val="79324A5B"/>
    <w:rsid w:val="793476D5"/>
    <w:rsid w:val="7937D336"/>
    <w:rsid w:val="7937E81A"/>
    <w:rsid w:val="79386503"/>
    <w:rsid w:val="793CB6C0"/>
    <w:rsid w:val="79412F57"/>
    <w:rsid w:val="794B8CAC"/>
    <w:rsid w:val="794CF694"/>
    <w:rsid w:val="794F007E"/>
    <w:rsid w:val="7955A0B4"/>
    <w:rsid w:val="7961BD94"/>
    <w:rsid w:val="7966AE34"/>
    <w:rsid w:val="7973D8F6"/>
    <w:rsid w:val="797E9D96"/>
    <w:rsid w:val="7983B12F"/>
    <w:rsid w:val="79882CC3"/>
    <w:rsid w:val="79A78D1E"/>
    <w:rsid w:val="79B3CA8F"/>
    <w:rsid w:val="79B60128"/>
    <w:rsid w:val="79BEE6ED"/>
    <w:rsid w:val="79BF4BC4"/>
    <w:rsid w:val="79C01EBD"/>
    <w:rsid w:val="79C34B8C"/>
    <w:rsid w:val="79CA4C2C"/>
    <w:rsid w:val="79CFCE71"/>
    <w:rsid w:val="79D1828C"/>
    <w:rsid w:val="79D47187"/>
    <w:rsid w:val="79D4A66E"/>
    <w:rsid w:val="79F63E0C"/>
    <w:rsid w:val="79F7DFAC"/>
    <w:rsid w:val="79F9098C"/>
    <w:rsid w:val="79F99240"/>
    <w:rsid w:val="79FD567C"/>
    <w:rsid w:val="79FFCC71"/>
    <w:rsid w:val="7A07D8A8"/>
    <w:rsid w:val="7A0C2C11"/>
    <w:rsid w:val="7A0CD0BC"/>
    <w:rsid w:val="7A15533C"/>
    <w:rsid w:val="7A19C764"/>
    <w:rsid w:val="7A21E349"/>
    <w:rsid w:val="7A2C19EF"/>
    <w:rsid w:val="7A347ED4"/>
    <w:rsid w:val="7A38B02D"/>
    <w:rsid w:val="7A390ED6"/>
    <w:rsid w:val="7A3CFCC3"/>
    <w:rsid w:val="7A3FAFCE"/>
    <w:rsid w:val="7A40974B"/>
    <w:rsid w:val="7A4357A5"/>
    <w:rsid w:val="7A4BCBD1"/>
    <w:rsid w:val="7A4F01D9"/>
    <w:rsid w:val="7A5224D0"/>
    <w:rsid w:val="7A5379DF"/>
    <w:rsid w:val="7A6A4586"/>
    <w:rsid w:val="7A6AFF32"/>
    <w:rsid w:val="7A7E187C"/>
    <w:rsid w:val="7A85B193"/>
    <w:rsid w:val="7A917541"/>
    <w:rsid w:val="7A974BBE"/>
    <w:rsid w:val="7AA9470A"/>
    <w:rsid w:val="7AAB068F"/>
    <w:rsid w:val="7AAC14DF"/>
    <w:rsid w:val="7AAFD3A6"/>
    <w:rsid w:val="7ABD831A"/>
    <w:rsid w:val="7AD4374E"/>
    <w:rsid w:val="7AD78721"/>
    <w:rsid w:val="7AD81C42"/>
    <w:rsid w:val="7ADA416A"/>
    <w:rsid w:val="7ADCABA6"/>
    <w:rsid w:val="7ADDB42D"/>
    <w:rsid w:val="7ADED930"/>
    <w:rsid w:val="7AE14E8A"/>
    <w:rsid w:val="7AE229B1"/>
    <w:rsid w:val="7AE897E9"/>
    <w:rsid w:val="7AE8D6CB"/>
    <w:rsid w:val="7AED656A"/>
    <w:rsid w:val="7AF3FC3A"/>
    <w:rsid w:val="7AF61757"/>
    <w:rsid w:val="7B00F157"/>
    <w:rsid w:val="7B05434B"/>
    <w:rsid w:val="7B061EA2"/>
    <w:rsid w:val="7B06F03D"/>
    <w:rsid w:val="7B0D77E3"/>
    <w:rsid w:val="7B0DCB91"/>
    <w:rsid w:val="7B1158D3"/>
    <w:rsid w:val="7B13631F"/>
    <w:rsid w:val="7B28B280"/>
    <w:rsid w:val="7B302A8D"/>
    <w:rsid w:val="7B3C756D"/>
    <w:rsid w:val="7B420B72"/>
    <w:rsid w:val="7B480E4B"/>
    <w:rsid w:val="7B4B90A0"/>
    <w:rsid w:val="7B4C5DE2"/>
    <w:rsid w:val="7B521A11"/>
    <w:rsid w:val="7B564C5E"/>
    <w:rsid w:val="7B56FA85"/>
    <w:rsid w:val="7B5808F4"/>
    <w:rsid w:val="7B5AEDC6"/>
    <w:rsid w:val="7B650A1C"/>
    <w:rsid w:val="7B69ECCF"/>
    <w:rsid w:val="7B6A0B0A"/>
    <w:rsid w:val="7B75E196"/>
    <w:rsid w:val="7B767916"/>
    <w:rsid w:val="7B896F9D"/>
    <w:rsid w:val="7B93A190"/>
    <w:rsid w:val="7BB02994"/>
    <w:rsid w:val="7BB14B6F"/>
    <w:rsid w:val="7BB8687E"/>
    <w:rsid w:val="7BB86F30"/>
    <w:rsid w:val="7BC0C4A8"/>
    <w:rsid w:val="7BC23154"/>
    <w:rsid w:val="7BD42FE3"/>
    <w:rsid w:val="7BDDD7BA"/>
    <w:rsid w:val="7BEFC387"/>
    <w:rsid w:val="7BFE4181"/>
    <w:rsid w:val="7C06E45A"/>
    <w:rsid w:val="7C0A51F2"/>
    <w:rsid w:val="7C0D8A58"/>
    <w:rsid w:val="7C0FE706"/>
    <w:rsid w:val="7C154301"/>
    <w:rsid w:val="7C3348BC"/>
    <w:rsid w:val="7C35A28C"/>
    <w:rsid w:val="7C393F18"/>
    <w:rsid w:val="7C3947CE"/>
    <w:rsid w:val="7C3BB723"/>
    <w:rsid w:val="7C4C8643"/>
    <w:rsid w:val="7C4E0D65"/>
    <w:rsid w:val="7C4F2A50"/>
    <w:rsid w:val="7C4F62C0"/>
    <w:rsid w:val="7C537F3D"/>
    <w:rsid w:val="7C54DE7A"/>
    <w:rsid w:val="7C5C4547"/>
    <w:rsid w:val="7C60B367"/>
    <w:rsid w:val="7C775D7F"/>
    <w:rsid w:val="7C775E5A"/>
    <w:rsid w:val="7C7F7688"/>
    <w:rsid w:val="7C89718C"/>
    <w:rsid w:val="7C926556"/>
    <w:rsid w:val="7C96016A"/>
    <w:rsid w:val="7C976231"/>
    <w:rsid w:val="7C99632F"/>
    <w:rsid w:val="7CA8409B"/>
    <w:rsid w:val="7CAB428D"/>
    <w:rsid w:val="7CAE705B"/>
    <w:rsid w:val="7CAF336F"/>
    <w:rsid w:val="7CB02CA1"/>
    <w:rsid w:val="7CB1268C"/>
    <w:rsid w:val="7CB42DF5"/>
    <w:rsid w:val="7CB689F3"/>
    <w:rsid w:val="7CBA3804"/>
    <w:rsid w:val="7CBED923"/>
    <w:rsid w:val="7CC75900"/>
    <w:rsid w:val="7CC85F29"/>
    <w:rsid w:val="7CCAC546"/>
    <w:rsid w:val="7CDDBBF5"/>
    <w:rsid w:val="7CE94597"/>
    <w:rsid w:val="7CE974CE"/>
    <w:rsid w:val="7CEE0FA0"/>
    <w:rsid w:val="7CF27D17"/>
    <w:rsid w:val="7CFDDCE7"/>
    <w:rsid w:val="7D023AC2"/>
    <w:rsid w:val="7D0513B3"/>
    <w:rsid w:val="7D0550B9"/>
    <w:rsid w:val="7D089D0E"/>
    <w:rsid w:val="7D0FFA49"/>
    <w:rsid w:val="7D101730"/>
    <w:rsid w:val="7D151F15"/>
    <w:rsid w:val="7D1A2F58"/>
    <w:rsid w:val="7D212203"/>
    <w:rsid w:val="7D23C86E"/>
    <w:rsid w:val="7D29081E"/>
    <w:rsid w:val="7D2F02D8"/>
    <w:rsid w:val="7D3386A2"/>
    <w:rsid w:val="7D347D90"/>
    <w:rsid w:val="7D4ED308"/>
    <w:rsid w:val="7D530DEE"/>
    <w:rsid w:val="7D631D50"/>
    <w:rsid w:val="7D67B278"/>
    <w:rsid w:val="7D76F959"/>
    <w:rsid w:val="7D78E1B1"/>
    <w:rsid w:val="7D7A799A"/>
    <w:rsid w:val="7D7ADE03"/>
    <w:rsid w:val="7D7E98F5"/>
    <w:rsid w:val="7D80C5AD"/>
    <w:rsid w:val="7D87AE18"/>
    <w:rsid w:val="7D8A1467"/>
    <w:rsid w:val="7D8D20F7"/>
    <w:rsid w:val="7D9285C5"/>
    <w:rsid w:val="7D966516"/>
    <w:rsid w:val="7D96BBAD"/>
    <w:rsid w:val="7D9B2C8E"/>
    <w:rsid w:val="7D9CF950"/>
    <w:rsid w:val="7DA716E7"/>
    <w:rsid w:val="7DA9A273"/>
    <w:rsid w:val="7DACEE0A"/>
    <w:rsid w:val="7DB1E17A"/>
    <w:rsid w:val="7DC8E571"/>
    <w:rsid w:val="7DCCCFD0"/>
    <w:rsid w:val="7DD43D6A"/>
    <w:rsid w:val="7DE2C908"/>
    <w:rsid w:val="7DE99B0B"/>
    <w:rsid w:val="7DF1333B"/>
    <w:rsid w:val="7DFBBD47"/>
    <w:rsid w:val="7E00803B"/>
    <w:rsid w:val="7E05FDD3"/>
    <w:rsid w:val="7E087CFA"/>
    <w:rsid w:val="7E0BDCD5"/>
    <w:rsid w:val="7E22466C"/>
    <w:rsid w:val="7E311BF8"/>
    <w:rsid w:val="7E3B66B7"/>
    <w:rsid w:val="7E41CBD9"/>
    <w:rsid w:val="7E4A1B87"/>
    <w:rsid w:val="7E4CAA17"/>
    <w:rsid w:val="7E4CB2C2"/>
    <w:rsid w:val="7E4D447F"/>
    <w:rsid w:val="7E5A835E"/>
    <w:rsid w:val="7E5ED781"/>
    <w:rsid w:val="7E646446"/>
    <w:rsid w:val="7E64CE4E"/>
    <w:rsid w:val="7E682C64"/>
    <w:rsid w:val="7E6B528C"/>
    <w:rsid w:val="7E7195EB"/>
    <w:rsid w:val="7E849BC2"/>
    <w:rsid w:val="7E8E33B9"/>
    <w:rsid w:val="7E91F8A4"/>
    <w:rsid w:val="7E96B3BF"/>
    <w:rsid w:val="7EA947B8"/>
    <w:rsid w:val="7EA98F47"/>
    <w:rsid w:val="7EB2A2EF"/>
    <w:rsid w:val="7EC3D794"/>
    <w:rsid w:val="7EC69E60"/>
    <w:rsid w:val="7ED008C6"/>
    <w:rsid w:val="7ED584B7"/>
    <w:rsid w:val="7EDC8E98"/>
    <w:rsid w:val="7EE42C82"/>
    <w:rsid w:val="7EE58A09"/>
    <w:rsid w:val="7EEA50E8"/>
    <w:rsid w:val="7EED39C9"/>
    <w:rsid w:val="7EF31056"/>
    <w:rsid w:val="7EF3E9EF"/>
    <w:rsid w:val="7EFFF4C6"/>
    <w:rsid w:val="7F0B9517"/>
    <w:rsid w:val="7F1C6906"/>
    <w:rsid w:val="7F20C03F"/>
    <w:rsid w:val="7F2D70B5"/>
    <w:rsid w:val="7F369022"/>
    <w:rsid w:val="7F38C136"/>
    <w:rsid w:val="7F54BCBF"/>
    <w:rsid w:val="7F5F1412"/>
    <w:rsid w:val="7F659D10"/>
    <w:rsid w:val="7F6CF563"/>
    <w:rsid w:val="7F786232"/>
    <w:rsid w:val="7F7A72B8"/>
    <w:rsid w:val="7F7B9641"/>
    <w:rsid w:val="7F7C4F4D"/>
    <w:rsid w:val="7F8E4335"/>
    <w:rsid w:val="7F929DCB"/>
    <w:rsid w:val="7F96CD73"/>
    <w:rsid w:val="7F96F27D"/>
    <w:rsid w:val="7F9E5228"/>
    <w:rsid w:val="7FA9E49D"/>
    <w:rsid w:val="7FAF46DC"/>
    <w:rsid w:val="7FC02582"/>
    <w:rsid w:val="7FCA48F5"/>
    <w:rsid w:val="7FDB5B4F"/>
    <w:rsid w:val="7FE2FA16"/>
    <w:rsid w:val="7FE69522"/>
    <w:rsid w:val="7FE9466A"/>
    <w:rsid w:val="7FEAEA76"/>
    <w:rsid w:val="7FFFF73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324909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7CBA"/>
    <w:pPr>
      <w:spacing w:after="240" w:line="240" w:lineRule="auto"/>
      <w:jc w:val="both"/>
    </w:pPr>
    <w:rPr>
      <w:rFonts w:ascii="Times New Roman" w:eastAsia="Times New Roman" w:hAnsi="Times New Roman" w:cs="Times New Roman"/>
      <w:spacing w:val="-6"/>
      <w:sz w:val="24"/>
      <w:szCs w:val="24"/>
    </w:rPr>
  </w:style>
  <w:style w:type="paragraph" w:styleId="Heading10">
    <w:name w:val="heading 1"/>
    <w:basedOn w:val="Normal"/>
    <w:next w:val="Normal"/>
    <w:link w:val="Heading1Char"/>
    <w:qFormat/>
    <w:rsid w:val="00691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100DD7"/>
    <w:pPr>
      <w:keepNext/>
      <w:keepLines/>
      <w:tabs>
        <w:tab w:val="left" w:pos="720"/>
        <w:tab w:val="left" w:pos="1440"/>
        <w:tab w:val="left" w:pos="2160"/>
        <w:tab w:val="left" w:pos="2880"/>
        <w:tab w:val="left" w:pos="3600"/>
        <w:tab w:val="left" w:pos="8907"/>
      </w:tabs>
      <w:spacing w:before="160" w:after="80"/>
      <w:outlineLvl w:val="1"/>
    </w:pPr>
    <w:rPr>
      <w:rFonts w:eastAsiaTheme="majorEastAsia"/>
      <w:b/>
      <w:bCs/>
      <w:color w:val="000000" w:themeColor="text1"/>
    </w:rPr>
  </w:style>
  <w:style w:type="paragraph" w:styleId="Heading3">
    <w:name w:val="heading 3"/>
    <w:basedOn w:val="Normal"/>
    <w:next w:val="Normal"/>
    <w:link w:val="Heading3Char"/>
    <w:uiPriority w:val="9"/>
    <w:unhideWhenUsed/>
    <w:qFormat/>
    <w:rsid w:val="00483AF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483AF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semiHidden/>
    <w:unhideWhenUsed/>
    <w:qFormat/>
    <w:rsid w:val="00483AF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semiHidden/>
    <w:unhideWhenUsed/>
    <w:qFormat/>
    <w:rsid w:val="00483A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semiHidden/>
    <w:unhideWhenUsed/>
    <w:qFormat/>
    <w:rsid w:val="00483A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semiHidden/>
    <w:unhideWhenUsed/>
    <w:qFormat/>
    <w:rsid w:val="00483A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semiHidden/>
    <w:unhideWhenUsed/>
    <w:qFormat/>
    <w:rsid w:val="00483A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0"/>
    <w:rsid w:val="00571CB2"/>
    <w:rPr>
      <w:rFonts w:asciiTheme="majorHAnsi" w:eastAsiaTheme="majorEastAsia" w:hAnsiTheme="majorHAnsi" w:cstheme="majorBidi"/>
      <w:color w:val="0F4761" w:themeColor="accent1" w:themeShade="BF"/>
      <w:spacing w:val="-6"/>
      <w:sz w:val="40"/>
      <w:szCs w:val="40"/>
      <w:lang w:val="fr-FR"/>
    </w:rPr>
  </w:style>
  <w:style w:type="character" w:customStyle="1" w:styleId="Heading2Char">
    <w:name w:val="Heading 2 Char"/>
    <w:basedOn w:val="DefaultParagraphFont"/>
    <w:link w:val="Heading2"/>
    <w:rsid w:val="00100DD7"/>
    <w:rPr>
      <w:rFonts w:ascii="Times New Roman" w:eastAsiaTheme="majorEastAsia" w:hAnsi="Times New Roman" w:cs="Times New Roman"/>
      <w:b/>
      <w:bCs/>
      <w:color w:val="000000" w:themeColor="text1"/>
      <w:spacing w:val="-6"/>
      <w:sz w:val="24"/>
      <w:szCs w:val="24"/>
      <w:lang w:val="fr-FR"/>
    </w:rPr>
  </w:style>
  <w:style w:type="character" w:customStyle="1" w:styleId="Heading3Char">
    <w:name w:val="Heading 3 Char"/>
    <w:basedOn w:val="DefaultParagraphFont"/>
    <w:link w:val="Heading3"/>
    <w:uiPriority w:val="9"/>
    <w:rsid w:val="00483AF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483AF2"/>
    <w:rPr>
      <w:rFonts w:eastAsiaTheme="majorEastAsia" w:cstheme="majorBidi"/>
      <w:i/>
      <w:iCs/>
      <w:color w:val="0F4761" w:themeColor="accent1" w:themeShade="BF"/>
    </w:rPr>
  </w:style>
  <w:style w:type="character" w:customStyle="1" w:styleId="Heading5Char">
    <w:name w:val="Heading 5 Char"/>
    <w:basedOn w:val="DefaultParagraphFont"/>
    <w:link w:val="Heading5"/>
    <w:semiHidden/>
    <w:rsid w:val="00483AF2"/>
    <w:rPr>
      <w:rFonts w:eastAsiaTheme="majorEastAsia" w:cstheme="majorBidi"/>
      <w:color w:val="0F4761" w:themeColor="accent1" w:themeShade="BF"/>
    </w:rPr>
  </w:style>
  <w:style w:type="character" w:customStyle="1" w:styleId="Heading6Char">
    <w:name w:val="Heading 6 Char"/>
    <w:basedOn w:val="DefaultParagraphFont"/>
    <w:link w:val="Heading6"/>
    <w:semiHidden/>
    <w:rsid w:val="00483AF2"/>
    <w:rPr>
      <w:rFonts w:eastAsiaTheme="majorEastAsia" w:cstheme="majorBidi"/>
      <w:i/>
      <w:iCs/>
      <w:color w:val="595959" w:themeColor="text1" w:themeTint="A6"/>
    </w:rPr>
  </w:style>
  <w:style w:type="character" w:customStyle="1" w:styleId="Heading7Char">
    <w:name w:val="Heading 7 Char"/>
    <w:basedOn w:val="DefaultParagraphFont"/>
    <w:link w:val="Heading7"/>
    <w:semiHidden/>
    <w:rsid w:val="00483AF2"/>
    <w:rPr>
      <w:rFonts w:eastAsiaTheme="majorEastAsia" w:cstheme="majorBidi"/>
      <w:color w:val="595959" w:themeColor="text1" w:themeTint="A6"/>
    </w:rPr>
  </w:style>
  <w:style w:type="character" w:customStyle="1" w:styleId="Heading8Char">
    <w:name w:val="Heading 8 Char"/>
    <w:basedOn w:val="DefaultParagraphFont"/>
    <w:link w:val="Heading8"/>
    <w:semiHidden/>
    <w:rsid w:val="00483AF2"/>
    <w:rPr>
      <w:rFonts w:eastAsiaTheme="majorEastAsia" w:cstheme="majorBidi"/>
      <w:i/>
      <w:iCs/>
      <w:color w:val="272727" w:themeColor="text1" w:themeTint="D8"/>
    </w:rPr>
  </w:style>
  <w:style w:type="character" w:customStyle="1" w:styleId="Heading9Char">
    <w:name w:val="Heading 9 Char"/>
    <w:basedOn w:val="DefaultParagraphFont"/>
    <w:link w:val="Heading9"/>
    <w:semiHidden/>
    <w:rsid w:val="00483AF2"/>
    <w:rPr>
      <w:rFonts w:eastAsiaTheme="majorEastAsia" w:cstheme="majorBidi"/>
      <w:color w:val="272727" w:themeColor="text1" w:themeTint="D8"/>
    </w:rPr>
  </w:style>
  <w:style w:type="paragraph" w:styleId="Title">
    <w:name w:val="Title"/>
    <w:basedOn w:val="Normal"/>
    <w:next w:val="Normal"/>
    <w:link w:val="TitleChar"/>
    <w:uiPriority w:val="10"/>
    <w:qFormat/>
    <w:rsid w:val="0069197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13C"/>
    <w:rPr>
      <w:rFonts w:asciiTheme="majorHAnsi" w:eastAsiaTheme="majorEastAsia" w:hAnsiTheme="majorHAnsi" w:cstheme="majorBidi"/>
      <w:spacing w:val="-10"/>
      <w:kern w:val="28"/>
      <w:sz w:val="56"/>
      <w:szCs w:val="56"/>
      <w:lang w:val="fr-FR"/>
    </w:rPr>
  </w:style>
  <w:style w:type="paragraph" w:styleId="Subtitle">
    <w:name w:val="Subtitle"/>
    <w:basedOn w:val="Normal"/>
    <w:next w:val="Normal"/>
    <w:link w:val="SubtitleChar"/>
    <w:uiPriority w:val="11"/>
    <w:qFormat/>
    <w:rsid w:val="00483A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83A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83AF2"/>
    <w:pPr>
      <w:spacing w:before="160"/>
      <w:jc w:val="center"/>
    </w:pPr>
    <w:rPr>
      <w:i/>
      <w:iCs/>
      <w:color w:val="404040" w:themeColor="text1" w:themeTint="BF"/>
    </w:rPr>
  </w:style>
  <w:style w:type="character" w:customStyle="1" w:styleId="QuoteChar">
    <w:name w:val="Quote Char"/>
    <w:basedOn w:val="DefaultParagraphFont"/>
    <w:link w:val="Quote"/>
    <w:uiPriority w:val="29"/>
    <w:rsid w:val="00483AF2"/>
    <w:rPr>
      <w:i/>
      <w:iCs/>
      <w:color w:val="404040" w:themeColor="text1" w:themeTint="BF"/>
    </w:rPr>
  </w:style>
  <w:style w:type="paragraph" w:styleId="ListParagraph">
    <w:name w:val="List Paragraph"/>
    <w:aliases w:val="Listaszerű bekezdés1,List Paragraph à moi,Colorful List - Accent 11,Medium Grid 1 - Accent 21,Listaszeru bekezdés1,Colorful List - Accent 111,Dot pt,F5 List Paragraph,List Paragraph1,No Spacing1,List Paragraph Char Char Char,Bullets,L,3,2"/>
    <w:basedOn w:val="Normal"/>
    <w:link w:val="ListParagraphChar"/>
    <w:uiPriority w:val="34"/>
    <w:qFormat/>
    <w:rsid w:val="00483AF2"/>
    <w:pPr>
      <w:ind w:left="720"/>
      <w:contextualSpacing/>
    </w:pPr>
  </w:style>
  <w:style w:type="character" w:styleId="IntenseEmphasis">
    <w:name w:val="Intense Emphasis"/>
    <w:basedOn w:val="DefaultParagraphFont"/>
    <w:uiPriority w:val="21"/>
    <w:qFormat/>
    <w:rsid w:val="00483AF2"/>
    <w:rPr>
      <w:i/>
      <w:iCs/>
      <w:color w:val="0F4761" w:themeColor="accent1" w:themeShade="BF"/>
    </w:rPr>
  </w:style>
  <w:style w:type="paragraph" w:styleId="IntenseQuote">
    <w:name w:val="Intense Quote"/>
    <w:basedOn w:val="Normal"/>
    <w:next w:val="Normal"/>
    <w:link w:val="IntenseQuoteChar"/>
    <w:uiPriority w:val="30"/>
    <w:qFormat/>
    <w:rsid w:val="00483AF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83AF2"/>
    <w:rPr>
      <w:i/>
      <w:iCs/>
      <w:color w:val="0F4761" w:themeColor="accent1" w:themeShade="BF"/>
    </w:rPr>
  </w:style>
  <w:style w:type="character" w:styleId="IntenseReference">
    <w:name w:val="Intense Reference"/>
    <w:basedOn w:val="DefaultParagraphFont"/>
    <w:uiPriority w:val="32"/>
    <w:qFormat/>
    <w:rsid w:val="00483AF2"/>
    <w:rPr>
      <w:b/>
      <w:bCs/>
      <w:smallCaps/>
      <w:color w:val="0F4761" w:themeColor="accent1" w:themeShade="BF"/>
      <w:spacing w:val="5"/>
    </w:rPr>
  </w:style>
  <w:style w:type="character" w:customStyle="1" w:styleId="Marker">
    <w:name w:val="Marker"/>
    <w:basedOn w:val="DefaultParagraphFont"/>
    <w:rsid w:val="00483AF2"/>
    <w:rPr>
      <w:color w:val="0000FF"/>
      <w:shd w:val="clear" w:color="auto" w:fill="auto"/>
    </w:rPr>
  </w:style>
  <w:style w:type="paragraph" w:styleId="Header">
    <w:name w:val="header"/>
    <w:basedOn w:val="Normal"/>
    <w:link w:val="HeaderChar"/>
    <w:uiPriority w:val="99"/>
    <w:unhideWhenUsed/>
    <w:rsid w:val="00483AF2"/>
    <w:pPr>
      <w:tabs>
        <w:tab w:val="center" w:pos="4513"/>
        <w:tab w:val="right" w:pos="9026"/>
      </w:tabs>
      <w:spacing w:after="0"/>
    </w:pPr>
  </w:style>
  <w:style w:type="character" w:customStyle="1" w:styleId="HeaderChar">
    <w:name w:val="Header Char"/>
    <w:basedOn w:val="DefaultParagraphFont"/>
    <w:link w:val="Header"/>
    <w:uiPriority w:val="99"/>
    <w:rsid w:val="00483AF2"/>
  </w:style>
  <w:style w:type="paragraph" w:styleId="Footer">
    <w:name w:val="footer"/>
    <w:basedOn w:val="Normal"/>
    <w:link w:val="FooterChar"/>
    <w:uiPriority w:val="99"/>
    <w:unhideWhenUsed/>
    <w:rsid w:val="00483AF2"/>
    <w:pPr>
      <w:tabs>
        <w:tab w:val="center" w:pos="4513"/>
        <w:tab w:val="right" w:pos="9026"/>
      </w:tabs>
      <w:spacing w:after="0"/>
    </w:pPr>
  </w:style>
  <w:style w:type="character" w:customStyle="1" w:styleId="FooterChar">
    <w:name w:val="Footer Char"/>
    <w:basedOn w:val="DefaultParagraphFont"/>
    <w:link w:val="Footer"/>
    <w:uiPriority w:val="99"/>
    <w:rsid w:val="00483AF2"/>
  </w:style>
  <w:style w:type="paragraph" w:customStyle="1" w:styleId="Pagedecouverture">
    <w:name w:val="Page de couverture"/>
    <w:basedOn w:val="Normal"/>
    <w:next w:val="Normal"/>
    <w:rsid w:val="00483AF2"/>
    <w:pPr>
      <w:spacing w:after="0"/>
    </w:pPr>
  </w:style>
  <w:style w:type="paragraph" w:customStyle="1" w:styleId="FooterCoverPage">
    <w:name w:val="Footer Cover Page"/>
    <w:basedOn w:val="Normal"/>
    <w:link w:val="FooterCoverPageChar"/>
    <w:rsid w:val="00483AF2"/>
    <w:pP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sid w:val="00483AF2"/>
    <w:rPr>
      <w:rFonts w:ascii="Times New Roman" w:eastAsia="Times New Roman" w:hAnsi="Times New Roman" w:cs="Times New Roman"/>
      <w:spacing w:val="-6"/>
      <w:sz w:val="24"/>
      <w:szCs w:val="24"/>
    </w:rPr>
  </w:style>
  <w:style w:type="paragraph" w:customStyle="1" w:styleId="FooterSensitivity">
    <w:name w:val="Footer Sensitivity"/>
    <w:basedOn w:val="Normal"/>
    <w:link w:val="FooterSensitivityChar"/>
    <w:rsid w:val="00483AF2"/>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DefaultParagraphFont"/>
    <w:link w:val="FooterSensitivity"/>
    <w:rsid w:val="00483AF2"/>
    <w:rPr>
      <w:rFonts w:ascii="Times New Roman" w:eastAsia="Times New Roman" w:hAnsi="Times New Roman" w:cs="Times New Roman"/>
      <w:b/>
      <w:spacing w:val="-6"/>
      <w:sz w:val="32"/>
      <w:szCs w:val="24"/>
    </w:rPr>
  </w:style>
  <w:style w:type="paragraph" w:customStyle="1" w:styleId="HeaderCoverPage">
    <w:name w:val="Header Cover Page"/>
    <w:basedOn w:val="Normal"/>
    <w:link w:val="HeaderCoverPageChar"/>
    <w:rsid w:val="00483AF2"/>
    <w:pPr>
      <w:tabs>
        <w:tab w:val="center" w:pos="4535"/>
        <w:tab w:val="right" w:pos="9071"/>
      </w:tabs>
      <w:spacing w:after="120"/>
    </w:pPr>
  </w:style>
  <w:style w:type="character" w:customStyle="1" w:styleId="HeaderCoverPageChar">
    <w:name w:val="Header Cover Page Char"/>
    <w:basedOn w:val="DefaultParagraphFont"/>
    <w:link w:val="HeaderCoverPage"/>
    <w:rsid w:val="00483AF2"/>
    <w:rPr>
      <w:rFonts w:ascii="Times New Roman" w:eastAsia="Times New Roman" w:hAnsi="Times New Roman" w:cs="Times New Roman"/>
      <w:spacing w:val="-6"/>
      <w:sz w:val="24"/>
      <w:szCs w:val="24"/>
    </w:rPr>
  </w:style>
  <w:style w:type="paragraph" w:customStyle="1" w:styleId="HeaderSensitivity">
    <w:name w:val="Header Sensitivity"/>
    <w:basedOn w:val="Normal"/>
    <w:link w:val="HeaderSensitivityChar"/>
    <w:rsid w:val="00483AF2"/>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DefaultParagraphFont"/>
    <w:link w:val="HeaderSensitivity"/>
    <w:rsid w:val="00483AF2"/>
    <w:rPr>
      <w:rFonts w:ascii="Times New Roman" w:eastAsia="Times New Roman" w:hAnsi="Times New Roman" w:cs="Times New Roman"/>
      <w:b/>
      <w:spacing w:val="-6"/>
      <w:sz w:val="32"/>
      <w:szCs w:val="24"/>
    </w:rPr>
  </w:style>
  <w:style w:type="paragraph" w:customStyle="1" w:styleId="HeaderSensitivityRight">
    <w:name w:val="Header Sensitivity Right"/>
    <w:basedOn w:val="Normal"/>
    <w:link w:val="HeaderSensitivityRightChar"/>
    <w:rsid w:val="006E2A08"/>
    <w:pPr>
      <w:spacing w:after="120"/>
      <w:jc w:val="right"/>
    </w:pPr>
    <w:rPr>
      <w:sz w:val="28"/>
    </w:rPr>
  </w:style>
  <w:style w:type="character" w:customStyle="1" w:styleId="HeaderSensitivityRightChar">
    <w:name w:val="Header Sensitivity Right Char"/>
    <w:basedOn w:val="DefaultParagraphFont"/>
    <w:link w:val="HeaderSensitivityRight"/>
    <w:rsid w:val="00483AF2"/>
    <w:rPr>
      <w:rFonts w:ascii="Times New Roman" w:eastAsia="Times New Roman" w:hAnsi="Times New Roman" w:cs="Times New Roman"/>
      <w:spacing w:val="-6"/>
      <w:sz w:val="28"/>
      <w:szCs w:val="24"/>
    </w:rPr>
  </w:style>
  <w:style w:type="paragraph" w:customStyle="1" w:styleId="Default">
    <w:name w:val="Default"/>
    <w:rsid w:val="00483AF2"/>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ListParagraphChar">
    <w:name w:val="List Paragraph Char"/>
    <w:aliases w:val="Listaszerű bekezdés1 Char,List Paragraph à moi Char,Colorful List - Accent 11 Char,Medium Grid 1 - Accent 21 Char,Listaszeru bekezdés1 Char,Colorful List - Accent 111 Char,Dot pt Char,F5 List Paragraph Char,List Paragraph1 Char"/>
    <w:link w:val="ListParagraph"/>
    <w:uiPriority w:val="34"/>
    <w:qFormat/>
    <w:locked/>
    <w:rsid w:val="00483AF2"/>
  </w:style>
  <w:style w:type="paragraph" w:customStyle="1" w:styleId="HEADING1">
    <w:name w:val="HEADING1"/>
    <w:basedOn w:val="ListParagraph"/>
    <w:qFormat/>
    <w:rsid w:val="00691979"/>
    <w:pPr>
      <w:numPr>
        <w:numId w:val="66"/>
      </w:numPr>
      <w:contextualSpacing w:val="0"/>
    </w:pPr>
    <w:rPr>
      <w:b/>
      <w:bCs/>
      <w:smallCaps/>
    </w:rPr>
  </w:style>
  <w:style w:type="paragraph" w:customStyle="1" w:styleId="Heading30">
    <w:name w:val="Heading3"/>
    <w:basedOn w:val="Heading3"/>
    <w:rsid w:val="00691979"/>
    <w:pPr>
      <w:spacing w:before="40" w:after="0"/>
    </w:pPr>
    <w:rPr>
      <w:rFonts w:asciiTheme="majorHAnsi" w:hAnsiTheme="majorHAnsi"/>
      <w:color w:val="0A2F40" w:themeColor="accent1" w:themeShade="7F"/>
      <w:sz w:val="24"/>
      <w:szCs w:val="24"/>
    </w:rPr>
  </w:style>
  <w:style w:type="character" w:styleId="Hyperlink">
    <w:name w:val="Hyperlink"/>
    <w:basedOn w:val="DefaultParagraphFont"/>
    <w:uiPriority w:val="99"/>
    <w:unhideWhenUsed/>
    <w:rsid w:val="00483AF2"/>
    <w:rPr>
      <w:color w:val="0000FF"/>
      <w:u w:val="single"/>
    </w:rPr>
  </w:style>
  <w:style w:type="paragraph" w:styleId="FootnoteText">
    <w:name w:val="footnote text"/>
    <w:aliases w:val="Footnote Text Char1 Char,Footnote Text Char Char Char,Footnote Text Char1 Char Char Char,Footnote Text Char Char Char Char Char,Footnote Text Char1 Char1 Char,Footnote Text Char Char Char1 Char,single space,fn,ft,Fußnote,Char,footnote text"/>
    <w:basedOn w:val="Normal"/>
    <w:link w:val="FootnoteTextChar"/>
    <w:uiPriority w:val="99"/>
    <w:unhideWhenUsed/>
    <w:qFormat/>
    <w:rsid w:val="00483AF2"/>
    <w:pPr>
      <w:spacing w:after="0"/>
    </w:pPr>
    <w:rPr>
      <w:sz w:val="20"/>
      <w:szCs w:val="20"/>
    </w:rPr>
  </w:style>
  <w:style w:type="character" w:customStyle="1" w:styleId="FootnoteTextChar">
    <w:name w:val="Footnote Text Char"/>
    <w:aliases w:val="Footnote Text Char1 Char Char,Footnote Text Char Char Char Char,Footnote Text Char1 Char Char Char Char,Footnote Text Char Char Char Char Char Char,Footnote Text Char1 Char1 Char Char,Footnote Text Char Char Char1 Char Char,fn Char"/>
    <w:basedOn w:val="DefaultParagraphFont"/>
    <w:link w:val="FootnoteText"/>
    <w:uiPriority w:val="99"/>
    <w:rsid w:val="00483AF2"/>
    <w:rPr>
      <w:sz w:val="20"/>
      <w:szCs w:val="20"/>
    </w:rPr>
  </w:style>
  <w:style w:type="character" w:styleId="FootnoteReference">
    <w:name w:val="footnote reference"/>
    <w:aliases w:val="Footnote Refernece,BVI fnr,callout,16 Point,Superscript 6 Point,Odwołanie przypisu,Footnote symbol,Footnote Reference Number,Footnote Reference Superscript,SUPERS,Times 10 Point,Exposant 3 Point,Ref,de nota al pie,number, BVI fnr,FR,E"/>
    <w:basedOn w:val="DefaultParagraphFont"/>
    <w:uiPriority w:val="99"/>
    <w:unhideWhenUsed/>
    <w:qFormat/>
    <w:rsid w:val="00483AF2"/>
    <w:rPr>
      <w:vertAlign w:val="superscript"/>
    </w:rPr>
  </w:style>
  <w:style w:type="paragraph" w:styleId="CommentText">
    <w:name w:val="annotation text"/>
    <w:basedOn w:val="Normal"/>
    <w:link w:val="CommentTextChar"/>
    <w:uiPriority w:val="99"/>
    <w:unhideWhenUsed/>
    <w:rsid w:val="00483AF2"/>
    <w:rPr>
      <w:sz w:val="20"/>
      <w:szCs w:val="20"/>
    </w:rPr>
  </w:style>
  <w:style w:type="character" w:customStyle="1" w:styleId="CommentTextChar">
    <w:name w:val="Comment Text Char"/>
    <w:basedOn w:val="DefaultParagraphFont"/>
    <w:link w:val="CommentText"/>
    <w:uiPriority w:val="99"/>
    <w:rsid w:val="00483AF2"/>
    <w:rPr>
      <w:sz w:val="20"/>
      <w:szCs w:val="20"/>
    </w:rPr>
  </w:style>
  <w:style w:type="paragraph" w:styleId="NormalWeb">
    <w:name w:val="Normal (Web)"/>
    <w:basedOn w:val="Normal"/>
    <w:uiPriority w:val="99"/>
    <w:unhideWhenUsed/>
    <w:rsid w:val="00483AF2"/>
    <w:pPr>
      <w:spacing w:before="100" w:beforeAutospacing="1" w:after="100" w:afterAutospacing="1"/>
    </w:pPr>
    <w:rPr>
      <w:lang w:eastAsia="en-GB"/>
    </w:rPr>
  </w:style>
  <w:style w:type="numbering" w:customStyle="1" w:styleId="NoList1">
    <w:name w:val="No List1"/>
    <w:next w:val="NoList"/>
    <w:uiPriority w:val="99"/>
    <w:semiHidden/>
    <w:unhideWhenUsed/>
    <w:rsid w:val="00483AF2"/>
  </w:style>
  <w:style w:type="paragraph" w:customStyle="1" w:styleId="Text1">
    <w:name w:val="Text 1"/>
    <w:basedOn w:val="Normal"/>
    <w:rsid w:val="00483AF2"/>
    <w:pPr>
      <w:spacing w:before="120" w:after="120"/>
      <w:ind w:left="850"/>
    </w:pPr>
  </w:style>
  <w:style w:type="paragraph" w:customStyle="1" w:styleId="Text2">
    <w:name w:val="Text 2"/>
    <w:basedOn w:val="Normal"/>
    <w:rsid w:val="00483AF2"/>
    <w:pPr>
      <w:spacing w:before="120" w:after="120"/>
      <w:ind w:left="850"/>
    </w:pPr>
  </w:style>
  <w:style w:type="paragraph" w:customStyle="1" w:styleId="Text4">
    <w:name w:val="Text 4"/>
    <w:basedOn w:val="Normal"/>
    <w:rsid w:val="00483AF2"/>
    <w:pPr>
      <w:spacing w:before="120" w:after="120"/>
      <w:ind w:left="850"/>
    </w:pPr>
  </w:style>
  <w:style w:type="paragraph" w:customStyle="1" w:styleId="Tiret2">
    <w:name w:val="Tiret 2"/>
    <w:basedOn w:val="Normal"/>
    <w:rsid w:val="00691979"/>
    <w:pPr>
      <w:numPr>
        <w:numId w:val="12"/>
      </w:numPr>
      <w:spacing w:before="120" w:after="120"/>
    </w:pPr>
    <w:rPr>
      <w:lang w:eastAsia="de-DE"/>
    </w:rPr>
  </w:style>
  <w:style w:type="paragraph" w:customStyle="1" w:styleId="TableTitle">
    <w:name w:val="Table Title"/>
    <w:basedOn w:val="Normal"/>
    <w:next w:val="Normal"/>
    <w:rsid w:val="00483AF2"/>
    <w:pPr>
      <w:spacing w:before="120" w:after="120"/>
      <w:jc w:val="center"/>
    </w:pPr>
    <w:rPr>
      <w:b/>
    </w:rPr>
  </w:style>
  <w:style w:type="paragraph" w:customStyle="1" w:styleId="Fichedinformationtitre">
    <w:name w:val="Fiche d'information titre"/>
    <w:basedOn w:val="Normal"/>
    <w:next w:val="Normal"/>
    <w:rsid w:val="00483AF2"/>
    <w:pPr>
      <w:spacing w:before="120" w:after="120"/>
      <w:jc w:val="center"/>
    </w:pPr>
    <w:rPr>
      <w:b/>
      <w:u w:val="single"/>
    </w:rPr>
  </w:style>
  <w:style w:type="table" w:styleId="TableGrid">
    <w:name w:val="Table Grid"/>
    <w:basedOn w:val="TableNormal"/>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rsid w:val="00483AF2"/>
    <w:pPr>
      <w:spacing w:after="0"/>
    </w:pPr>
    <w:rPr>
      <w:rFonts w:ascii="Tahoma" w:hAnsi="Tahoma" w:cs="Tahoma"/>
      <w:sz w:val="16"/>
      <w:szCs w:val="16"/>
      <w:lang w:eastAsia="en-GB"/>
    </w:rPr>
  </w:style>
  <w:style w:type="character" w:customStyle="1" w:styleId="BalloonTextChar">
    <w:name w:val="Balloon Text Char"/>
    <w:basedOn w:val="DefaultParagraphFont"/>
    <w:link w:val="BalloonText"/>
    <w:uiPriority w:val="99"/>
    <w:rsid w:val="00483AF2"/>
    <w:rPr>
      <w:rFonts w:ascii="Tahoma" w:eastAsia="Times New Roman" w:hAnsi="Tahoma" w:cs="Tahoma"/>
      <w:sz w:val="16"/>
      <w:szCs w:val="16"/>
      <w:lang w:eastAsia="en-GB"/>
    </w:rPr>
  </w:style>
  <w:style w:type="paragraph" w:customStyle="1" w:styleId="ListDash1">
    <w:name w:val="List Dash 1"/>
    <w:basedOn w:val="Normal"/>
    <w:rsid w:val="00691979"/>
    <w:pPr>
      <w:numPr>
        <w:numId w:val="13"/>
      </w:numPr>
      <w:spacing w:before="120" w:after="120"/>
    </w:pPr>
    <w:rPr>
      <w:lang w:eastAsia="de-DE"/>
    </w:rPr>
  </w:style>
  <w:style w:type="character" w:styleId="CommentReference">
    <w:name w:val="annotation reference"/>
    <w:uiPriority w:val="99"/>
    <w:rsid w:val="00483AF2"/>
    <w:rPr>
      <w:sz w:val="16"/>
      <w:szCs w:val="16"/>
    </w:rPr>
  </w:style>
  <w:style w:type="paragraph" w:styleId="CommentSubject">
    <w:name w:val="annotation subject"/>
    <w:basedOn w:val="CommentText"/>
    <w:next w:val="CommentText"/>
    <w:link w:val="CommentSubjectChar"/>
    <w:uiPriority w:val="99"/>
    <w:rsid w:val="00483AF2"/>
    <w:pPr>
      <w:spacing w:after="0"/>
    </w:pPr>
    <w:rPr>
      <w:b/>
      <w:bCs/>
      <w:lang w:eastAsia="en-GB"/>
    </w:rPr>
  </w:style>
  <w:style w:type="character" w:customStyle="1" w:styleId="CommentSubjectChar">
    <w:name w:val="Comment Subject Char"/>
    <w:basedOn w:val="CommentTextChar"/>
    <w:link w:val="CommentSubject"/>
    <w:uiPriority w:val="99"/>
    <w:rsid w:val="00483AF2"/>
    <w:rPr>
      <w:rFonts w:ascii="Times New Roman" w:eastAsia="Times New Roman" w:hAnsi="Times New Roman" w:cs="Times New Roman"/>
      <w:b/>
      <w:bCs/>
      <w:sz w:val="20"/>
      <w:szCs w:val="20"/>
      <w:lang w:eastAsia="en-GB"/>
    </w:rPr>
  </w:style>
  <w:style w:type="paragraph" w:styleId="Revision">
    <w:name w:val="Revision"/>
    <w:hidden/>
    <w:uiPriority w:val="99"/>
    <w:semiHidden/>
    <w:rsid w:val="00483AF2"/>
    <w:pPr>
      <w:spacing w:after="0" w:line="240" w:lineRule="auto"/>
    </w:pPr>
    <w:rPr>
      <w:rFonts w:ascii="Times New Roman" w:eastAsia="Times New Roman" w:hAnsi="Times New Roman" w:cs="Times New Roman"/>
      <w:sz w:val="24"/>
      <w:szCs w:val="24"/>
      <w:lang w:eastAsia="en-GB"/>
    </w:rPr>
  </w:style>
  <w:style w:type="paragraph" w:styleId="ListNumber2">
    <w:name w:val="List Number 2"/>
    <w:basedOn w:val="Normal"/>
    <w:unhideWhenUsed/>
    <w:rsid w:val="00691979"/>
    <w:pPr>
      <w:numPr>
        <w:numId w:val="14"/>
      </w:numPr>
      <w:spacing w:before="120" w:after="120"/>
    </w:pPr>
    <w:rPr>
      <w:lang w:eastAsia="de-DE"/>
    </w:rPr>
  </w:style>
  <w:style w:type="paragraph" w:customStyle="1" w:styleId="Text3">
    <w:name w:val="Text 3"/>
    <w:basedOn w:val="Normal"/>
    <w:rsid w:val="00483AF2"/>
    <w:pPr>
      <w:spacing w:before="120" w:after="120"/>
      <w:ind w:left="850"/>
    </w:pPr>
    <w:rPr>
      <w:lang w:eastAsia="de-DE"/>
    </w:rPr>
  </w:style>
  <w:style w:type="paragraph" w:customStyle="1" w:styleId="ListNumber2Level2">
    <w:name w:val="List Number 2 (Level 2)"/>
    <w:basedOn w:val="Text2"/>
    <w:rsid w:val="00483AF2"/>
    <w:pPr>
      <w:numPr>
        <w:ilvl w:val="1"/>
        <w:numId w:val="14"/>
      </w:numPr>
    </w:pPr>
    <w:rPr>
      <w:lang w:eastAsia="de-DE"/>
    </w:rPr>
  </w:style>
  <w:style w:type="paragraph" w:customStyle="1" w:styleId="ListNumber2Level3">
    <w:name w:val="List Number 2 (Level 3)"/>
    <w:basedOn w:val="Text2"/>
    <w:rsid w:val="00483AF2"/>
    <w:pPr>
      <w:numPr>
        <w:ilvl w:val="2"/>
        <w:numId w:val="14"/>
      </w:numPr>
    </w:pPr>
    <w:rPr>
      <w:lang w:eastAsia="de-DE"/>
    </w:rPr>
  </w:style>
  <w:style w:type="paragraph" w:customStyle="1" w:styleId="ListNumber2Level4">
    <w:name w:val="List Number 2 (Level 4)"/>
    <w:basedOn w:val="Text2"/>
    <w:rsid w:val="00483AF2"/>
    <w:pPr>
      <w:numPr>
        <w:ilvl w:val="3"/>
        <w:numId w:val="14"/>
      </w:numPr>
    </w:pPr>
    <w:rPr>
      <w:lang w:eastAsia="de-DE"/>
    </w:rPr>
  </w:style>
  <w:style w:type="character" w:styleId="Strong">
    <w:name w:val="Strong"/>
    <w:uiPriority w:val="22"/>
    <w:qFormat/>
    <w:rsid w:val="00483AF2"/>
    <w:rPr>
      <w:b/>
      <w:bCs/>
    </w:rPr>
  </w:style>
  <w:style w:type="paragraph" w:styleId="ListBullet">
    <w:name w:val="List Bullet"/>
    <w:basedOn w:val="Normal"/>
    <w:rsid w:val="00691979"/>
    <w:pPr>
      <w:numPr>
        <w:numId w:val="15"/>
      </w:numPr>
      <w:spacing w:after="0"/>
      <w:contextualSpacing/>
    </w:pPr>
    <w:rPr>
      <w:szCs w:val="20"/>
      <w:lang w:eastAsia="fr-FR"/>
    </w:rPr>
  </w:style>
  <w:style w:type="paragraph" w:customStyle="1" w:styleId="ListNumber1">
    <w:name w:val="List Number 1"/>
    <w:basedOn w:val="Text1"/>
    <w:rsid w:val="00691979"/>
    <w:pPr>
      <w:numPr>
        <w:numId w:val="16"/>
      </w:numPr>
    </w:pPr>
    <w:rPr>
      <w:szCs w:val="20"/>
      <w:lang w:eastAsia="zh-CN"/>
    </w:rPr>
  </w:style>
  <w:style w:type="paragraph" w:customStyle="1" w:styleId="ListNumber1Level2">
    <w:name w:val="List Number 1 (Level 2)"/>
    <w:basedOn w:val="Text1"/>
    <w:rsid w:val="00483AF2"/>
    <w:pPr>
      <w:numPr>
        <w:ilvl w:val="1"/>
        <w:numId w:val="16"/>
      </w:numPr>
    </w:pPr>
    <w:rPr>
      <w:lang w:eastAsia="de-DE"/>
    </w:rPr>
  </w:style>
  <w:style w:type="paragraph" w:customStyle="1" w:styleId="ListNumber1Level3">
    <w:name w:val="List Number 1 (Level 3)"/>
    <w:basedOn w:val="Text1"/>
    <w:rsid w:val="00483AF2"/>
    <w:pPr>
      <w:numPr>
        <w:ilvl w:val="2"/>
        <w:numId w:val="16"/>
      </w:numPr>
    </w:pPr>
    <w:rPr>
      <w:szCs w:val="20"/>
      <w:lang w:eastAsia="zh-CN"/>
    </w:rPr>
  </w:style>
  <w:style w:type="paragraph" w:customStyle="1" w:styleId="ListNumber1Level4">
    <w:name w:val="List Number 1 (Level 4)"/>
    <w:basedOn w:val="Text1"/>
    <w:rsid w:val="00483AF2"/>
    <w:pPr>
      <w:numPr>
        <w:ilvl w:val="3"/>
        <w:numId w:val="16"/>
      </w:numPr>
    </w:pPr>
    <w:rPr>
      <w:szCs w:val="20"/>
      <w:lang w:eastAsia="zh-CN"/>
    </w:rPr>
  </w:style>
  <w:style w:type="paragraph" w:customStyle="1" w:styleId="ZDGName">
    <w:name w:val="Z_DGName"/>
    <w:basedOn w:val="Normal"/>
    <w:rsid w:val="00483AF2"/>
    <w:pPr>
      <w:widowControl w:val="0"/>
      <w:snapToGrid w:val="0"/>
      <w:spacing w:after="0"/>
      <w:ind w:right="85"/>
    </w:pPr>
    <w:rPr>
      <w:rFonts w:ascii="Arial" w:hAnsi="Arial"/>
      <w:sz w:val="16"/>
      <w:szCs w:val="20"/>
    </w:rPr>
  </w:style>
  <w:style w:type="paragraph" w:customStyle="1" w:styleId="ZCom">
    <w:name w:val="Z_Com"/>
    <w:basedOn w:val="Normal"/>
    <w:next w:val="ZDGName"/>
    <w:rsid w:val="00483AF2"/>
    <w:pPr>
      <w:widowControl w:val="0"/>
      <w:snapToGrid w:val="0"/>
      <w:spacing w:after="0"/>
      <w:ind w:right="85"/>
    </w:pPr>
    <w:rPr>
      <w:rFonts w:ascii="Arial" w:hAnsi="Arial"/>
      <w:szCs w:val="20"/>
    </w:rPr>
  </w:style>
  <w:style w:type="paragraph" w:styleId="ListBullet3">
    <w:name w:val="List Bullet 3"/>
    <w:basedOn w:val="Normal"/>
    <w:autoRedefine/>
    <w:rsid w:val="00691979"/>
    <w:pPr>
      <w:numPr>
        <w:numId w:val="17"/>
      </w:numPr>
    </w:pPr>
    <w:rPr>
      <w:szCs w:val="20"/>
      <w:lang w:eastAsia="fr-FR"/>
    </w:rPr>
  </w:style>
  <w:style w:type="character" w:styleId="Emphasis">
    <w:name w:val="Emphasis"/>
    <w:uiPriority w:val="20"/>
    <w:qFormat/>
    <w:rsid w:val="00483AF2"/>
    <w:rPr>
      <w:i/>
      <w:iCs/>
    </w:rPr>
  </w:style>
  <w:style w:type="paragraph" w:styleId="TOCHeading">
    <w:name w:val="TOC Heading"/>
    <w:basedOn w:val="Heading10"/>
    <w:next w:val="Normal"/>
    <w:uiPriority w:val="39"/>
    <w:unhideWhenUsed/>
    <w:qFormat/>
    <w:rsid w:val="00691979"/>
    <w:pPr>
      <w:keepNext w:val="0"/>
      <w:keepLines w:val="0"/>
      <w:spacing w:before="480" w:after="0" w:line="276" w:lineRule="auto"/>
      <w:ind w:left="360" w:hanging="432"/>
      <w:outlineLvl w:val="9"/>
    </w:pPr>
    <w:rPr>
      <w:rFonts w:ascii="Cambria" w:eastAsia="MS Gothic" w:hAnsi="Cambria" w:cs="Times New Roman"/>
      <w:smallCaps/>
      <w:noProof/>
      <w:color w:val="365F91"/>
      <w:sz w:val="28"/>
      <w:szCs w:val="28"/>
      <w:lang w:eastAsia="ja-JP"/>
    </w:rPr>
  </w:style>
  <w:style w:type="paragraph" w:styleId="ListNumber">
    <w:name w:val="List Number"/>
    <w:basedOn w:val="Normal"/>
    <w:rsid w:val="00691979"/>
    <w:pPr>
      <w:numPr>
        <w:numId w:val="18"/>
      </w:numPr>
      <w:spacing w:after="0"/>
      <w:contextualSpacing/>
    </w:pPr>
    <w:rPr>
      <w:lang w:eastAsia="en-GB"/>
    </w:rPr>
  </w:style>
  <w:style w:type="paragraph" w:styleId="TOC1">
    <w:name w:val="toc 1"/>
    <w:basedOn w:val="Normal"/>
    <w:next w:val="Normal"/>
    <w:autoRedefine/>
    <w:uiPriority w:val="39"/>
    <w:rsid w:val="00483AF2"/>
    <w:pPr>
      <w:tabs>
        <w:tab w:val="right" w:leader="dot" w:pos="9639"/>
      </w:tabs>
      <w:spacing w:after="0"/>
    </w:pPr>
    <w:rPr>
      <w:lang w:eastAsia="en-GB"/>
    </w:rPr>
  </w:style>
  <w:style w:type="paragraph" w:styleId="TOC2">
    <w:name w:val="toc 2"/>
    <w:basedOn w:val="Normal"/>
    <w:next w:val="Normal"/>
    <w:autoRedefine/>
    <w:uiPriority w:val="39"/>
    <w:rsid w:val="00483AF2"/>
    <w:pPr>
      <w:tabs>
        <w:tab w:val="right" w:leader="dot" w:pos="9639"/>
      </w:tabs>
      <w:spacing w:after="0"/>
      <w:ind w:left="240"/>
    </w:pPr>
    <w:rPr>
      <w:lang w:eastAsia="en-GB"/>
    </w:rPr>
  </w:style>
  <w:style w:type="paragraph" w:styleId="TOC3">
    <w:name w:val="toc 3"/>
    <w:basedOn w:val="Normal"/>
    <w:next w:val="Normal"/>
    <w:autoRedefine/>
    <w:uiPriority w:val="39"/>
    <w:rsid w:val="00483AF2"/>
    <w:pPr>
      <w:tabs>
        <w:tab w:val="right" w:leader="dot" w:pos="9639"/>
      </w:tabs>
      <w:spacing w:after="0"/>
      <w:ind w:left="480"/>
    </w:pPr>
    <w:rPr>
      <w:lang w:eastAsia="en-GB"/>
    </w:rPr>
  </w:style>
  <w:style w:type="paragraph" w:customStyle="1" w:styleId="Contact">
    <w:name w:val="Contact"/>
    <w:basedOn w:val="Normal"/>
    <w:next w:val="Normal"/>
    <w:uiPriority w:val="99"/>
    <w:rsid w:val="00483AF2"/>
    <w:pPr>
      <w:spacing w:before="480" w:after="0"/>
      <w:ind w:left="567" w:hanging="567"/>
    </w:pPr>
    <w:rPr>
      <w:szCs w:val="20"/>
    </w:rPr>
  </w:style>
  <w:style w:type="character" w:customStyle="1" w:styleId="st">
    <w:name w:val="st"/>
    <w:rsid w:val="00483AF2"/>
  </w:style>
  <w:style w:type="paragraph" w:customStyle="1" w:styleId="m1102435063313398653p1">
    <w:name w:val="m_1102435063313398653p1"/>
    <w:basedOn w:val="Normal"/>
    <w:rsid w:val="00483AF2"/>
    <w:pPr>
      <w:spacing w:before="100" w:beforeAutospacing="1" w:after="100" w:afterAutospacing="1"/>
    </w:pPr>
    <w:rPr>
      <w:lang w:eastAsia="en-GB"/>
    </w:rPr>
  </w:style>
  <w:style w:type="character" w:customStyle="1" w:styleId="m1102435063313398653s1">
    <w:name w:val="m_1102435063313398653s1"/>
    <w:basedOn w:val="DefaultParagraphFont"/>
    <w:rsid w:val="00483AF2"/>
  </w:style>
  <w:style w:type="character" w:customStyle="1" w:styleId="m1102435063313398653apple-converted-space">
    <w:name w:val="m_1102435063313398653apple-converted-space"/>
    <w:basedOn w:val="DefaultParagraphFont"/>
    <w:rsid w:val="00483AF2"/>
  </w:style>
  <w:style w:type="paragraph" w:customStyle="1" w:styleId="Typedudocument">
    <w:name w:val="Type du document"/>
    <w:basedOn w:val="Normal"/>
    <w:next w:val="Normal"/>
    <w:link w:val="TypedudocumentChar"/>
    <w:rsid w:val="00483AF2"/>
    <w:pPr>
      <w:spacing w:before="360" w:after="0"/>
      <w:jc w:val="center"/>
    </w:pPr>
    <w:rPr>
      <w:b/>
    </w:rPr>
  </w:style>
  <w:style w:type="paragraph" w:customStyle="1" w:styleId="Titreobjet">
    <w:name w:val="Titre objet"/>
    <w:basedOn w:val="Normal"/>
    <w:next w:val="Normal"/>
    <w:rsid w:val="00483AF2"/>
    <w:pPr>
      <w:spacing w:before="360" w:after="360"/>
      <w:jc w:val="center"/>
    </w:pPr>
    <w:rPr>
      <w:b/>
    </w:rPr>
  </w:style>
  <w:style w:type="character" w:customStyle="1" w:styleId="TypedudocumentChar">
    <w:name w:val="Type du document Char"/>
    <w:basedOn w:val="DefaultParagraphFont"/>
    <w:link w:val="Typedudocument"/>
    <w:rsid w:val="00483AF2"/>
    <w:rPr>
      <w:rFonts w:ascii="Times New Roman" w:hAnsi="Times New Roman" w:cs="Times New Roman"/>
      <w:b/>
      <w:sz w:val="24"/>
    </w:rPr>
  </w:style>
  <w:style w:type="table" w:customStyle="1" w:styleId="TableGrid1">
    <w:name w:val="Table Grid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83AF2"/>
    <w:pPr>
      <w:spacing w:after="200"/>
    </w:pPr>
    <w:rPr>
      <w:b/>
      <w:bCs/>
      <w:color w:val="156082" w:themeColor="accent1"/>
      <w:sz w:val="18"/>
      <w:szCs w:val="18"/>
    </w:rPr>
  </w:style>
  <w:style w:type="paragraph" w:styleId="NoSpacing">
    <w:name w:val="No Spacing"/>
    <w:uiPriority w:val="1"/>
    <w:qFormat/>
    <w:rsid w:val="00483AF2"/>
    <w:pPr>
      <w:spacing w:after="0" w:line="240" w:lineRule="auto"/>
    </w:pPr>
  </w:style>
  <w:style w:type="character" w:styleId="FollowedHyperlink">
    <w:name w:val="FollowedHyperlink"/>
    <w:basedOn w:val="DefaultParagraphFont"/>
    <w:uiPriority w:val="99"/>
    <w:semiHidden/>
    <w:unhideWhenUsed/>
    <w:rsid w:val="00483AF2"/>
    <w:rPr>
      <w:color w:val="96607D" w:themeColor="followedHyperlink"/>
      <w:u w:val="single"/>
    </w:rPr>
  </w:style>
  <w:style w:type="character" w:styleId="PageNumber">
    <w:name w:val="page number"/>
    <w:basedOn w:val="DefaultParagraphFont"/>
    <w:rsid w:val="00483AF2"/>
  </w:style>
  <w:style w:type="character" w:customStyle="1" w:styleId="FootnoteTextChar1">
    <w:name w:val="Footnote Text Char1"/>
    <w:basedOn w:val="DefaultParagraphFont"/>
    <w:uiPriority w:val="99"/>
    <w:semiHidden/>
    <w:rsid w:val="00483AF2"/>
    <w:rPr>
      <w:rFonts w:ascii="Times New Roman" w:eastAsia="Times New Roman" w:hAnsi="Times New Roman" w:cs="Times New Roman"/>
      <w:sz w:val="20"/>
      <w:szCs w:val="20"/>
      <w:lang w:eastAsia="en-GB"/>
    </w:rPr>
  </w:style>
  <w:style w:type="character" w:customStyle="1" w:styleId="ng-binding">
    <w:name w:val="ng-binding"/>
    <w:basedOn w:val="DefaultParagraphFont"/>
    <w:rsid w:val="00483AF2"/>
  </w:style>
  <w:style w:type="character" w:customStyle="1" w:styleId="itemtitlepart0">
    <w:name w:val="item_title_part_0"/>
    <w:basedOn w:val="DefaultParagraphFont"/>
    <w:rsid w:val="00483AF2"/>
  </w:style>
  <w:style w:type="character" w:customStyle="1" w:styleId="itemtitlepart1">
    <w:name w:val="item_title_part_1"/>
    <w:basedOn w:val="DefaultParagraphFont"/>
    <w:rsid w:val="00483AF2"/>
  </w:style>
  <w:style w:type="character" w:customStyle="1" w:styleId="itemtitlepart2">
    <w:name w:val="item_title_part_2"/>
    <w:basedOn w:val="DefaultParagraphFont"/>
    <w:rsid w:val="00483AF2"/>
  </w:style>
  <w:style w:type="character" w:customStyle="1" w:styleId="itemtitlepart3">
    <w:name w:val="item_title_part_3"/>
    <w:basedOn w:val="DefaultParagraphFont"/>
    <w:rsid w:val="00483AF2"/>
  </w:style>
  <w:style w:type="character" w:customStyle="1" w:styleId="itemtitlepart4">
    <w:name w:val="item_title_part_4"/>
    <w:basedOn w:val="DefaultParagraphFont"/>
    <w:rsid w:val="00483AF2"/>
  </w:style>
  <w:style w:type="character" w:customStyle="1" w:styleId="itemtitlepart5">
    <w:name w:val="item_title_part_5"/>
    <w:basedOn w:val="DefaultParagraphFont"/>
    <w:rsid w:val="00483AF2"/>
  </w:style>
  <w:style w:type="character" w:customStyle="1" w:styleId="itemtitlepart6">
    <w:name w:val="item_title_part_6"/>
    <w:basedOn w:val="DefaultParagraphFont"/>
    <w:rsid w:val="00483AF2"/>
  </w:style>
  <w:style w:type="character" w:customStyle="1" w:styleId="itemtitlepart7">
    <w:name w:val="item_title_part_7"/>
    <w:basedOn w:val="DefaultParagraphFont"/>
    <w:rsid w:val="00483AF2"/>
  </w:style>
  <w:style w:type="character" w:customStyle="1" w:styleId="itemtitlepart8">
    <w:name w:val="item_title_part_8"/>
    <w:basedOn w:val="DefaultParagraphFont"/>
    <w:rsid w:val="00483AF2"/>
  </w:style>
  <w:style w:type="character" w:customStyle="1" w:styleId="itemtitlepart9">
    <w:name w:val="item_title_part_9"/>
    <w:basedOn w:val="DefaultParagraphFont"/>
    <w:rsid w:val="00483AF2"/>
  </w:style>
  <w:style w:type="character" w:customStyle="1" w:styleId="itemtitlepart10">
    <w:name w:val="item_title_part_10"/>
    <w:basedOn w:val="DefaultParagraphFont"/>
    <w:rsid w:val="00483AF2"/>
  </w:style>
  <w:style w:type="paragraph" w:styleId="BodyText">
    <w:name w:val="Body Text"/>
    <w:link w:val="BodyTextChar"/>
    <w:uiPriority w:val="1"/>
    <w:unhideWhenUsed/>
    <w:qFormat/>
    <w:rsid w:val="00483AF2"/>
    <w:pPr>
      <w:jc w:val="both"/>
    </w:pPr>
    <w:rPr>
      <w:rFonts w:eastAsia="ヒラギノ角ゴ Pro W3" w:cs="Times New Roman"/>
      <w:color w:val="000000"/>
      <w:szCs w:val="24"/>
    </w:rPr>
  </w:style>
  <w:style w:type="character" w:customStyle="1" w:styleId="BodyTextChar">
    <w:name w:val="Body Text Char"/>
    <w:basedOn w:val="DefaultParagraphFont"/>
    <w:link w:val="BodyText"/>
    <w:uiPriority w:val="1"/>
    <w:rsid w:val="00483AF2"/>
    <w:rPr>
      <w:rFonts w:eastAsia="ヒラギノ角ゴ Pro W3" w:cs="Times New Roman"/>
      <w:color w:val="000000"/>
      <w:szCs w:val="24"/>
    </w:rPr>
  </w:style>
  <w:style w:type="paragraph" w:customStyle="1" w:styleId="bodytext0">
    <w:name w:val="bodytext"/>
    <w:basedOn w:val="Normal"/>
    <w:rsid w:val="00483AF2"/>
    <w:pPr>
      <w:spacing w:before="100" w:beforeAutospacing="1" w:after="100" w:afterAutospacing="1"/>
    </w:pPr>
    <w:rPr>
      <w:lang w:eastAsia="en-GB"/>
    </w:rPr>
  </w:style>
  <w:style w:type="paragraph" w:customStyle="1" w:styleId="m-6764165807116810205msolistparagraph">
    <w:name w:val="m_-6764165807116810205msolistparagraph"/>
    <w:basedOn w:val="Normal"/>
    <w:rsid w:val="00483AF2"/>
    <w:pPr>
      <w:spacing w:before="100" w:beforeAutospacing="1" w:after="100" w:afterAutospacing="1"/>
    </w:pPr>
  </w:style>
  <w:style w:type="paragraph" w:customStyle="1" w:styleId="SecurityMarking">
    <w:name w:val="SecurityMarking"/>
    <w:basedOn w:val="Normal"/>
    <w:rsid w:val="006E2A08"/>
    <w:pPr>
      <w:spacing w:after="0" w:line="276" w:lineRule="auto"/>
      <w:ind w:left="5103"/>
      <w:jc w:val="left"/>
    </w:pPr>
    <w:rPr>
      <w:rFonts w:eastAsiaTheme="minorHAnsi"/>
      <w:spacing w:val="0"/>
      <w:sz w:val="28"/>
      <w:szCs w:val="22"/>
    </w:rPr>
  </w:style>
  <w:style w:type="paragraph" w:customStyle="1" w:styleId="DateMarking">
    <w:name w:val="DateMarking"/>
    <w:basedOn w:val="Normal"/>
    <w:rsid w:val="006E2A08"/>
    <w:pPr>
      <w:spacing w:after="0" w:line="276" w:lineRule="auto"/>
      <w:ind w:left="5103"/>
      <w:jc w:val="left"/>
    </w:pPr>
    <w:rPr>
      <w:rFonts w:eastAsiaTheme="minorHAnsi"/>
      <w:i/>
      <w:spacing w:val="0"/>
      <w:sz w:val="28"/>
      <w:szCs w:val="22"/>
    </w:rPr>
  </w:style>
  <w:style w:type="paragraph" w:customStyle="1" w:styleId="ReleasableTo">
    <w:name w:val="ReleasableTo"/>
    <w:basedOn w:val="Normal"/>
    <w:rsid w:val="006E2A08"/>
    <w:pPr>
      <w:spacing w:after="0" w:line="276" w:lineRule="auto"/>
      <w:ind w:left="5103"/>
      <w:jc w:val="left"/>
    </w:pPr>
    <w:rPr>
      <w:rFonts w:eastAsiaTheme="minorHAnsi"/>
      <w:i/>
      <w:spacing w:val="0"/>
      <w:sz w:val="28"/>
      <w:szCs w:val="22"/>
    </w:rPr>
  </w:style>
  <w:style w:type="character" w:customStyle="1" w:styleId="UnresolvedMention1">
    <w:name w:val="Unresolved Mention1"/>
    <w:basedOn w:val="DefaultParagraphFont"/>
    <w:uiPriority w:val="99"/>
    <w:semiHidden/>
    <w:unhideWhenUsed/>
    <w:rsid w:val="00483AF2"/>
    <w:rPr>
      <w:color w:val="605E5C"/>
      <w:shd w:val="clear" w:color="auto" w:fill="E1DFDD"/>
    </w:rPr>
  </w:style>
  <w:style w:type="paragraph" w:customStyle="1" w:styleId="xmsonormal">
    <w:name w:val="x_msonormal"/>
    <w:basedOn w:val="Normal"/>
    <w:uiPriority w:val="99"/>
    <w:rsid w:val="00483AF2"/>
    <w:pPr>
      <w:spacing w:after="0"/>
    </w:pPr>
    <w:rPr>
      <w:rFonts w:ascii="Calibri" w:hAnsi="Calibri" w:cs="Calibri"/>
    </w:rPr>
  </w:style>
  <w:style w:type="paragraph" w:styleId="EndnoteText">
    <w:name w:val="endnote text"/>
    <w:basedOn w:val="Normal"/>
    <w:link w:val="EndnoteTextChar"/>
    <w:uiPriority w:val="99"/>
    <w:semiHidden/>
    <w:unhideWhenUsed/>
    <w:rsid w:val="00483AF2"/>
    <w:pPr>
      <w:spacing w:after="0"/>
    </w:pPr>
    <w:rPr>
      <w:sz w:val="20"/>
      <w:szCs w:val="20"/>
    </w:rPr>
  </w:style>
  <w:style w:type="character" w:customStyle="1" w:styleId="EndnoteTextChar">
    <w:name w:val="Endnote Text Char"/>
    <w:basedOn w:val="DefaultParagraphFont"/>
    <w:link w:val="EndnoteText"/>
    <w:uiPriority w:val="99"/>
    <w:semiHidden/>
    <w:rsid w:val="00483AF2"/>
    <w:rPr>
      <w:sz w:val="20"/>
      <w:szCs w:val="20"/>
    </w:rPr>
  </w:style>
  <w:style w:type="character" w:styleId="EndnoteReference">
    <w:name w:val="endnote reference"/>
    <w:basedOn w:val="DefaultParagraphFont"/>
    <w:uiPriority w:val="99"/>
    <w:semiHidden/>
    <w:unhideWhenUsed/>
    <w:rsid w:val="00483AF2"/>
    <w:rPr>
      <w:vertAlign w:val="superscript"/>
    </w:rPr>
  </w:style>
  <w:style w:type="character" w:customStyle="1" w:styleId="hgkelc">
    <w:name w:val="hgkelc"/>
    <w:basedOn w:val="DefaultParagraphFont"/>
    <w:rsid w:val="00483AF2"/>
  </w:style>
  <w:style w:type="character" w:customStyle="1" w:styleId="normaltextrun">
    <w:name w:val="normaltextrun"/>
    <w:basedOn w:val="DefaultParagraphFont"/>
    <w:rsid w:val="00483AF2"/>
  </w:style>
  <w:style w:type="numbering" w:customStyle="1" w:styleId="NoList2">
    <w:name w:val="No List2"/>
    <w:next w:val="NoList"/>
    <w:uiPriority w:val="99"/>
    <w:semiHidden/>
    <w:unhideWhenUsed/>
    <w:rsid w:val="00483AF2"/>
  </w:style>
  <w:style w:type="numbering" w:customStyle="1" w:styleId="NoList11">
    <w:name w:val="No List11"/>
    <w:next w:val="NoList"/>
    <w:uiPriority w:val="99"/>
    <w:semiHidden/>
    <w:unhideWhenUsed/>
    <w:rsid w:val="00483AF2"/>
  </w:style>
  <w:style w:type="table" w:customStyle="1" w:styleId="TableGrid2">
    <w:name w:val="Table Grid2"/>
    <w:basedOn w:val="TableNormal"/>
    <w:next w:val="TableGrid"/>
    <w:uiPriority w:val="5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483AF2"/>
    <w:pPr>
      <w:spacing w:before="120" w:after="120" w:line="240" w:lineRule="auto"/>
      <w:jc w:val="both"/>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483AF2"/>
    <w:rPr>
      <w:color w:val="605E5C"/>
      <w:shd w:val="clear" w:color="auto" w:fill="E1DFDD"/>
    </w:rPr>
  </w:style>
  <w:style w:type="paragraph" w:customStyle="1" w:styleId="Body">
    <w:name w:val="Body"/>
    <w:basedOn w:val="Normal"/>
    <w:link w:val="BodyChar"/>
    <w:qFormat/>
    <w:rsid w:val="00483AF2"/>
    <w:pPr>
      <w:spacing w:before="120" w:after="120"/>
    </w:pPr>
    <w:rPr>
      <w:rFonts w:ascii="EC Square Sans Pro" w:hAnsi="EC Square Sans Pro"/>
      <w14:ligatures w14:val="standardContextual"/>
    </w:rPr>
  </w:style>
  <w:style w:type="character" w:customStyle="1" w:styleId="BodyChar">
    <w:name w:val="Body Char"/>
    <w:link w:val="Body"/>
    <w:rsid w:val="00483AF2"/>
    <w:rPr>
      <w:rFonts w:ascii="EC Square Sans Pro" w:eastAsia="Times New Roman" w:hAnsi="EC Square Sans Pro" w:cs="Times New Roman"/>
      <w:sz w:val="24"/>
      <w:szCs w:val="24"/>
      <w14:ligatures w14:val="standardContextual"/>
    </w:rPr>
  </w:style>
  <w:style w:type="character" w:customStyle="1" w:styleId="eop">
    <w:name w:val="eop"/>
    <w:basedOn w:val="DefaultParagraphFont"/>
    <w:rsid w:val="00483AF2"/>
  </w:style>
  <w:style w:type="character" w:customStyle="1" w:styleId="UnresolvedMention3">
    <w:name w:val="Unresolved Mention3"/>
    <w:basedOn w:val="DefaultParagraphFont"/>
    <w:uiPriority w:val="99"/>
    <w:semiHidden/>
    <w:unhideWhenUsed/>
    <w:rsid w:val="006A1A23"/>
    <w:rPr>
      <w:color w:val="605E5C"/>
      <w:shd w:val="clear" w:color="auto" w:fill="E1DFDD"/>
    </w:rPr>
  </w:style>
  <w:style w:type="numbering" w:customStyle="1" w:styleId="ImportedStyle1">
    <w:name w:val="Imported Style 1"/>
    <w:rsid w:val="00D60797"/>
    <w:pPr>
      <w:numPr>
        <w:numId w:val="23"/>
      </w:numPr>
    </w:pPr>
  </w:style>
  <w:style w:type="character" w:customStyle="1" w:styleId="Mention1">
    <w:name w:val="Mention1"/>
    <w:basedOn w:val="DefaultParagraphFont"/>
    <w:uiPriority w:val="99"/>
    <w:unhideWhenUsed/>
    <w:rsid w:val="006F43DB"/>
    <w:rPr>
      <w:color w:val="2B579A"/>
      <w:shd w:val="clear" w:color="auto" w:fill="E1DFDD"/>
    </w:rPr>
  </w:style>
  <w:style w:type="character" w:customStyle="1" w:styleId="Mention2">
    <w:name w:val="Mention2"/>
    <w:basedOn w:val="DefaultParagraphFont"/>
    <w:uiPriority w:val="99"/>
    <w:unhideWhenUsed/>
    <w:rsid w:val="00C86C95"/>
    <w:rPr>
      <w:color w:val="2B579A"/>
      <w:shd w:val="clear" w:color="auto" w:fill="E1DFDD"/>
    </w:rPr>
  </w:style>
  <w:style w:type="character" w:customStyle="1" w:styleId="UnresolvedMention4">
    <w:name w:val="Unresolved Mention4"/>
    <w:basedOn w:val="DefaultParagraphFont"/>
    <w:uiPriority w:val="99"/>
    <w:semiHidden/>
    <w:unhideWhenUsed/>
    <w:rsid w:val="00437405"/>
    <w:rPr>
      <w:color w:val="605E5C"/>
      <w:shd w:val="clear" w:color="auto" w:fill="E1DFDD"/>
    </w:rPr>
  </w:style>
  <w:style w:type="character" w:customStyle="1" w:styleId="UnresolvedMention5">
    <w:name w:val="Unresolved Mention5"/>
    <w:basedOn w:val="DefaultParagraphFont"/>
    <w:uiPriority w:val="99"/>
    <w:semiHidden/>
    <w:unhideWhenUsed/>
    <w:rsid w:val="00520FC6"/>
    <w:rPr>
      <w:color w:val="605E5C"/>
      <w:shd w:val="clear" w:color="auto" w:fill="E1DFDD"/>
    </w:rPr>
  </w:style>
  <w:style w:type="character" w:customStyle="1" w:styleId="Mention3">
    <w:name w:val="Mention3"/>
    <w:basedOn w:val="DefaultParagraphFont"/>
    <w:uiPriority w:val="99"/>
    <w:unhideWhenUsed/>
    <w:rsid w:val="00ED38C1"/>
    <w:rPr>
      <w:color w:val="2B579A"/>
      <w:shd w:val="clear" w:color="auto" w:fill="E1DFDD"/>
    </w:rPr>
  </w:style>
  <w:style w:type="character" w:customStyle="1" w:styleId="UnresolvedMention6">
    <w:name w:val="Unresolved Mention6"/>
    <w:basedOn w:val="DefaultParagraphFont"/>
    <w:uiPriority w:val="99"/>
    <w:semiHidden/>
    <w:unhideWhenUsed/>
    <w:rsid w:val="00151B55"/>
    <w:rPr>
      <w:color w:val="605E5C"/>
      <w:shd w:val="clear" w:color="auto" w:fill="E1DFDD"/>
    </w:rPr>
  </w:style>
  <w:style w:type="character" w:customStyle="1" w:styleId="UnresolvedMention7">
    <w:name w:val="Unresolved Mention7"/>
    <w:basedOn w:val="DefaultParagraphFont"/>
    <w:uiPriority w:val="99"/>
    <w:semiHidden/>
    <w:unhideWhenUsed/>
    <w:rsid w:val="00F40655"/>
    <w:rPr>
      <w:color w:val="605E5C"/>
      <w:shd w:val="clear" w:color="auto" w:fill="E1DFDD"/>
    </w:rPr>
  </w:style>
  <w:style w:type="character" w:customStyle="1" w:styleId="UnresolvedMention70">
    <w:name w:val="Unresolved Mention70"/>
    <w:basedOn w:val="DefaultParagraphFont"/>
    <w:uiPriority w:val="99"/>
    <w:semiHidden/>
    <w:unhideWhenUsed/>
    <w:rsid w:val="00F1363E"/>
    <w:rPr>
      <w:color w:val="605E5C"/>
      <w:shd w:val="clear" w:color="auto" w:fill="E1DFDD"/>
    </w:rPr>
  </w:style>
  <w:style w:type="character" w:customStyle="1" w:styleId="Mention4">
    <w:name w:val="Mention4"/>
    <w:basedOn w:val="DefaultParagraphFont"/>
    <w:uiPriority w:val="99"/>
    <w:unhideWhenUsed/>
    <w:rsid w:val="00A36D58"/>
    <w:rPr>
      <w:color w:val="2B579A"/>
      <w:shd w:val="clear" w:color="auto" w:fill="E1DFDD"/>
    </w:rPr>
  </w:style>
  <w:style w:type="paragraph" w:customStyle="1" w:styleId="Briefingtext">
    <w:name w:val="Briefing text"/>
    <w:basedOn w:val="Normal"/>
    <w:link w:val="BriefingtextChar"/>
    <w:qFormat/>
    <w:rsid w:val="00A36D58"/>
    <w:pPr>
      <w:spacing w:after="120"/>
    </w:pPr>
    <w:rPr>
      <w:rFonts w:ascii="Arial" w:hAnsi="Arial" w:cs="Arial"/>
      <w:spacing w:val="0"/>
      <w:sz w:val="22"/>
    </w:rPr>
  </w:style>
  <w:style w:type="character" w:customStyle="1" w:styleId="BriefingtextChar">
    <w:name w:val="Briefing text Char"/>
    <w:link w:val="Briefingtext"/>
    <w:qFormat/>
    <w:rsid w:val="00A36D58"/>
    <w:rPr>
      <w:rFonts w:ascii="Arial" w:eastAsia="Times New Roman" w:hAnsi="Arial" w:cs="Arial"/>
      <w:szCs w:val="24"/>
    </w:rPr>
  </w:style>
  <w:style w:type="character" w:customStyle="1" w:styleId="UnresolvedMention8">
    <w:name w:val="Unresolved Mention8"/>
    <w:basedOn w:val="DefaultParagraphFont"/>
    <w:uiPriority w:val="99"/>
    <w:semiHidden/>
    <w:unhideWhenUsed/>
    <w:rsid w:val="004663E6"/>
    <w:rPr>
      <w:color w:val="605E5C"/>
      <w:shd w:val="clear" w:color="auto" w:fill="E1DFDD"/>
    </w:rPr>
  </w:style>
  <w:style w:type="character" w:customStyle="1" w:styleId="UnresolvedMention700">
    <w:name w:val="Unresolved Mention700"/>
    <w:basedOn w:val="DefaultParagraphFont"/>
    <w:uiPriority w:val="99"/>
    <w:semiHidden/>
    <w:unhideWhenUsed/>
    <w:rsid w:val="008E3E23"/>
    <w:rPr>
      <w:color w:val="605E5C"/>
      <w:shd w:val="clear" w:color="auto" w:fill="E1DFDD"/>
    </w:rPr>
  </w:style>
  <w:style w:type="character" w:customStyle="1" w:styleId="UnresolvedMention7000">
    <w:name w:val="Unresolved Mention7000"/>
    <w:basedOn w:val="DefaultParagraphFont"/>
    <w:uiPriority w:val="99"/>
    <w:semiHidden/>
    <w:unhideWhenUsed/>
    <w:rsid w:val="00B26DD7"/>
    <w:rPr>
      <w:color w:val="605E5C"/>
      <w:shd w:val="clear" w:color="auto" w:fill="E1DFDD"/>
    </w:rPr>
  </w:style>
  <w:style w:type="character" w:customStyle="1" w:styleId="UnresolvedMention70000">
    <w:name w:val="Unresolved Mention70000"/>
    <w:basedOn w:val="DefaultParagraphFont"/>
    <w:uiPriority w:val="99"/>
    <w:semiHidden/>
    <w:unhideWhenUsed/>
    <w:rsid w:val="00573BFE"/>
    <w:rPr>
      <w:color w:val="605E5C"/>
      <w:shd w:val="clear" w:color="auto" w:fill="E1DFDD"/>
    </w:rPr>
  </w:style>
  <w:style w:type="character" w:customStyle="1" w:styleId="UnresolvedMention700000">
    <w:name w:val="Unresolved Mention700000"/>
    <w:basedOn w:val="DefaultParagraphFont"/>
    <w:uiPriority w:val="99"/>
    <w:semiHidden/>
    <w:unhideWhenUsed/>
    <w:rsid w:val="004A781B"/>
    <w:rPr>
      <w:color w:val="605E5C"/>
      <w:shd w:val="clear" w:color="auto" w:fill="E1DFDD"/>
    </w:rPr>
  </w:style>
  <w:style w:type="character" w:customStyle="1" w:styleId="UnresolvedMention7000000">
    <w:name w:val="Unresolved Mention7000000"/>
    <w:basedOn w:val="DefaultParagraphFont"/>
    <w:uiPriority w:val="99"/>
    <w:semiHidden/>
    <w:unhideWhenUsed/>
    <w:rsid w:val="00AA5872"/>
    <w:rPr>
      <w:color w:val="605E5C"/>
      <w:shd w:val="clear" w:color="auto" w:fill="E1DFDD"/>
    </w:rPr>
  </w:style>
  <w:style w:type="character" w:customStyle="1" w:styleId="UnresolvedMention70000000">
    <w:name w:val="Unresolved Mention70000000"/>
    <w:basedOn w:val="DefaultParagraphFont"/>
    <w:uiPriority w:val="99"/>
    <w:semiHidden/>
    <w:unhideWhenUsed/>
    <w:rsid w:val="009B74A1"/>
    <w:rPr>
      <w:color w:val="605E5C"/>
      <w:shd w:val="clear" w:color="auto" w:fill="E1DFDD"/>
    </w:rPr>
  </w:style>
  <w:style w:type="character" w:customStyle="1" w:styleId="UnresolvedMention700000000">
    <w:name w:val="Unresolved Mention700000000"/>
    <w:basedOn w:val="DefaultParagraphFont"/>
    <w:uiPriority w:val="99"/>
    <w:semiHidden/>
    <w:unhideWhenUsed/>
    <w:rsid w:val="00F740F6"/>
    <w:rPr>
      <w:color w:val="605E5C"/>
      <w:shd w:val="clear" w:color="auto" w:fill="E1DFDD"/>
    </w:rPr>
  </w:style>
  <w:style w:type="character" w:customStyle="1" w:styleId="UnresolvedMention9">
    <w:name w:val="Unresolved Mention9"/>
    <w:basedOn w:val="DefaultParagraphFont"/>
    <w:uiPriority w:val="99"/>
    <w:semiHidden/>
    <w:unhideWhenUsed/>
    <w:rsid w:val="007006BF"/>
    <w:rPr>
      <w:color w:val="605E5C"/>
      <w:shd w:val="clear" w:color="auto" w:fill="E1DFDD"/>
    </w:rPr>
  </w:style>
  <w:style w:type="character" w:customStyle="1" w:styleId="UnresolvedMention10">
    <w:name w:val="Unresolved Mention10"/>
    <w:basedOn w:val="DefaultParagraphFont"/>
    <w:uiPriority w:val="99"/>
    <w:semiHidden/>
    <w:unhideWhenUsed/>
    <w:rsid w:val="00B857E3"/>
    <w:rPr>
      <w:color w:val="605E5C"/>
      <w:shd w:val="clear" w:color="auto" w:fill="E1DFDD"/>
    </w:rPr>
  </w:style>
  <w:style w:type="paragraph" w:customStyle="1" w:styleId="INTspeakingpoints1">
    <w:name w:val="INT speaking points 1"/>
    <w:basedOn w:val="ListBullet"/>
    <w:link w:val="INTspeakingpoints1Char"/>
    <w:qFormat/>
    <w:rsid w:val="00461E30"/>
    <w:pPr>
      <w:keepLines/>
      <w:numPr>
        <w:numId w:val="0"/>
      </w:numPr>
      <w:contextualSpacing w:val="0"/>
      <w:jc w:val="left"/>
    </w:pPr>
    <w:rPr>
      <w:rFonts w:ascii="Arial" w:hAnsi="Arial"/>
      <w:spacing w:val="0"/>
      <w:sz w:val="40"/>
      <w:szCs w:val="24"/>
      <w:lang w:eastAsia="en-US"/>
    </w:rPr>
  </w:style>
  <w:style w:type="character" w:customStyle="1" w:styleId="INTspeakingpoints1Char">
    <w:name w:val="INT speaking points 1 Char"/>
    <w:basedOn w:val="DefaultParagraphFont"/>
    <w:link w:val="INTspeakingpoints1"/>
    <w:rsid w:val="00461E30"/>
    <w:rPr>
      <w:rFonts w:ascii="Arial" w:eastAsia="Times New Roman" w:hAnsi="Arial" w:cs="Times New Roman"/>
      <w:sz w:val="40"/>
      <w:szCs w:val="24"/>
    </w:rPr>
  </w:style>
  <w:style w:type="paragraph" w:customStyle="1" w:styleId="Briefinglist1">
    <w:name w:val="Briefing list 1"/>
    <w:basedOn w:val="Briefingtext"/>
    <w:link w:val="Briefinglist1Char"/>
    <w:qFormat/>
    <w:rsid w:val="00C31843"/>
    <w:pPr>
      <w:keepLines/>
      <w:numPr>
        <w:numId w:val="77"/>
      </w:numPr>
    </w:pPr>
  </w:style>
  <w:style w:type="character" w:customStyle="1" w:styleId="Briefinglist1Char">
    <w:name w:val="Briefing list 1 Char"/>
    <w:link w:val="Briefinglist1"/>
    <w:rsid w:val="00C31843"/>
    <w:rPr>
      <w:rFonts w:ascii="Arial" w:eastAsia="Times New Roman" w:hAnsi="Arial" w:cs="Arial"/>
      <w:szCs w:val="24"/>
    </w:rPr>
  </w:style>
  <w:style w:type="paragraph" w:customStyle="1" w:styleId="Disclaimer">
    <w:name w:val="Disclaimer"/>
    <w:basedOn w:val="Normal"/>
    <w:rsid w:val="006E2A08"/>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pacing w:val="0"/>
      <w:szCs w:val="22"/>
    </w:rPr>
  </w:style>
  <w:style w:type="character" w:customStyle="1" w:styleId="UnresolvedMention11">
    <w:name w:val="Unresolved Mention11"/>
    <w:basedOn w:val="DefaultParagraphFont"/>
    <w:uiPriority w:val="99"/>
    <w:semiHidden/>
    <w:unhideWhenUsed/>
    <w:rsid w:val="00FA1CD5"/>
    <w:rPr>
      <w:color w:val="605E5C"/>
      <w:shd w:val="clear" w:color="auto" w:fill="E1DFDD"/>
    </w:rPr>
  </w:style>
  <w:style w:type="character" w:customStyle="1" w:styleId="UnresolvedMention">
    <w:name w:val="Unresolved Mention"/>
    <w:basedOn w:val="DefaultParagraphFont"/>
    <w:uiPriority w:val="99"/>
    <w:semiHidden/>
    <w:unhideWhenUsed/>
    <w:rsid w:val="00F601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81158">
      <w:bodyDiv w:val="1"/>
      <w:marLeft w:val="0"/>
      <w:marRight w:val="0"/>
      <w:marTop w:val="0"/>
      <w:marBottom w:val="0"/>
      <w:divBdr>
        <w:top w:val="none" w:sz="0" w:space="0" w:color="auto"/>
        <w:left w:val="none" w:sz="0" w:space="0" w:color="auto"/>
        <w:bottom w:val="none" w:sz="0" w:space="0" w:color="auto"/>
        <w:right w:val="none" w:sz="0" w:space="0" w:color="auto"/>
      </w:divBdr>
    </w:div>
    <w:div w:id="119228185">
      <w:bodyDiv w:val="1"/>
      <w:marLeft w:val="0"/>
      <w:marRight w:val="0"/>
      <w:marTop w:val="0"/>
      <w:marBottom w:val="0"/>
      <w:divBdr>
        <w:top w:val="none" w:sz="0" w:space="0" w:color="auto"/>
        <w:left w:val="none" w:sz="0" w:space="0" w:color="auto"/>
        <w:bottom w:val="none" w:sz="0" w:space="0" w:color="auto"/>
        <w:right w:val="none" w:sz="0" w:space="0" w:color="auto"/>
      </w:divBdr>
    </w:div>
    <w:div w:id="134030070">
      <w:bodyDiv w:val="1"/>
      <w:marLeft w:val="0"/>
      <w:marRight w:val="0"/>
      <w:marTop w:val="0"/>
      <w:marBottom w:val="0"/>
      <w:divBdr>
        <w:top w:val="none" w:sz="0" w:space="0" w:color="auto"/>
        <w:left w:val="none" w:sz="0" w:space="0" w:color="auto"/>
        <w:bottom w:val="none" w:sz="0" w:space="0" w:color="auto"/>
        <w:right w:val="none" w:sz="0" w:space="0" w:color="auto"/>
      </w:divBdr>
    </w:div>
    <w:div w:id="163478703">
      <w:bodyDiv w:val="1"/>
      <w:marLeft w:val="0"/>
      <w:marRight w:val="0"/>
      <w:marTop w:val="0"/>
      <w:marBottom w:val="0"/>
      <w:divBdr>
        <w:top w:val="none" w:sz="0" w:space="0" w:color="auto"/>
        <w:left w:val="none" w:sz="0" w:space="0" w:color="auto"/>
        <w:bottom w:val="none" w:sz="0" w:space="0" w:color="auto"/>
        <w:right w:val="none" w:sz="0" w:space="0" w:color="auto"/>
      </w:divBdr>
    </w:div>
    <w:div w:id="178784515">
      <w:bodyDiv w:val="1"/>
      <w:marLeft w:val="0"/>
      <w:marRight w:val="0"/>
      <w:marTop w:val="0"/>
      <w:marBottom w:val="0"/>
      <w:divBdr>
        <w:top w:val="none" w:sz="0" w:space="0" w:color="auto"/>
        <w:left w:val="none" w:sz="0" w:space="0" w:color="auto"/>
        <w:bottom w:val="none" w:sz="0" w:space="0" w:color="auto"/>
        <w:right w:val="none" w:sz="0" w:space="0" w:color="auto"/>
      </w:divBdr>
    </w:div>
    <w:div w:id="180823083">
      <w:bodyDiv w:val="1"/>
      <w:marLeft w:val="0"/>
      <w:marRight w:val="0"/>
      <w:marTop w:val="0"/>
      <w:marBottom w:val="0"/>
      <w:divBdr>
        <w:top w:val="none" w:sz="0" w:space="0" w:color="auto"/>
        <w:left w:val="none" w:sz="0" w:space="0" w:color="auto"/>
        <w:bottom w:val="none" w:sz="0" w:space="0" w:color="auto"/>
        <w:right w:val="none" w:sz="0" w:space="0" w:color="auto"/>
      </w:divBdr>
    </w:div>
    <w:div w:id="197932012">
      <w:bodyDiv w:val="1"/>
      <w:marLeft w:val="0"/>
      <w:marRight w:val="0"/>
      <w:marTop w:val="0"/>
      <w:marBottom w:val="0"/>
      <w:divBdr>
        <w:top w:val="none" w:sz="0" w:space="0" w:color="auto"/>
        <w:left w:val="none" w:sz="0" w:space="0" w:color="auto"/>
        <w:bottom w:val="none" w:sz="0" w:space="0" w:color="auto"/>
        <w:right w:val="none" w:sz="0" w:space="0" w:color="auto"/>
      </w:divBdr>
    </w:div>
    <w:div w:id="217480700">
      <w:bodyDiv w:val="1"/>
      <w:marLeft w:val="0"/>
      <w:marRight w:val="0"/>
      <w:marTop w:val="0"/>
      <w:marBottom w:val="0"/>
      <w:divBdr>
        <w:top w:val="none" w:sz="0" w:space="0" w:color="auto"/>
        <w:left w:val="none" w:sz="0" w:space="0" w:color="auto"/>
        <w:bottom w:val="none" w:sz="0" w:space="0" w:color="auto"/>
        <w:right w:val="none" w:sz="0" w:space="0" w:color="auto"/>
      </w:divBdr>
    </w:div>
    <w:div w:id="231241108">
      <w:bodyDiv w:val="1"/>
      <w:marLeft w:val="0"/>
      <w:marRight w:val="0"/>
      <w:marTop w:val="0"/>
      <w:marBottom w:val="0"/>
      <w:divBdr>
        <w:top w:val="none" w:sz="0" w:space="0" w:color="auto"/>
        <w:left w:val="none" w:sz="0" w:space="0" w:color="auto"/>
        <w:bottom w:val="none" w:sz="0" w:space="0" w:color="auto"/>
        <w:right w:val="none" w:sz="0" w:space="0" w:color="auto"/>
      </w:divBdr>
    </w:div>
    <w:div w:id="256209301">
      <w:bodyDiv w:val="1"/>
      <w:marLeft w:val="0"/>
      <w:marRight w:val="0"/>
      <w:marTop w:val="0"/>
      <w:marBottom w:val="0"/>
      <w:divBdr>
        <w:top w:val="none" w:sz="0" w:space="0" w:color="auto"/>
        <w:left w:val="none" w:sz="0" w:space="0" w:color="auto"/>
        <w:bottom w:val="none" w:sz="0" w:space="0" w:color="auto"/>
        <w:right w:val="none" w:sz="0" w:space="0" w:color="auto"/>
      </w:divBdr>
    </w:div>
    <w:div w:id="384136122">
      <w:bodyDiv w:val="1"/>
      <w:marLeft w:val="0"/>
      <w:marRight w:val="0"/>
      <w:marTop w:val="0"/>
      <w:marBottom w:val="0"/>
      <w:divBdr>
        <w:top w:val="none" w:sz="0" w:space="0" w:color="auto"/>
        <w:left w:val="none" w:sz="0" w:space="0" w:color="auto"/>
        <w:bottom w:val="none" w:sz="0" w:space="0" w:color="auto"/>
        <w:right w:val="none" w:sz="0" w:space="0" w:color="auto"/>
      </w:divBdr>
    </w:div>
    <w:div w:id="385177732">
      <w:bodyDiv w:val="1"/>
      <w:marLeft w:val="0"/>
      <w:marRight w:val="0"/>
      <w:marTop w:val="0"/>
      <w:marBottom w:val="0"/>
      <w:divBdr>
        <w:top w:val="none" w:sz="0" w:space="0" w:color="auto"/>
        <w:left w:val="none" w:sz="0" w:space="0" w:color="auto"/>
        <w:bottom w:val="none" w:sz="0" w:space="0" w:color="auto"/>
        <w:right w:val="none" w:sz="0" w:space="0" w:color="auto"/>
      </w:divBdr>
    </w:div>
    <w:div w:id="386030293">
      <w:bodyDiv w:val="1"/>
      <w:marLeft w:val="0"/>
      <w:marRight w:val="0"/>
      <w:marTop w:val="0"/>
      <w:marBottom w:val="0"/>
      <w:divBdr>
        <w:top w:val="none" w:sz="0" w:space="0" w:color="auto"/>
        <w:left w:val="none" w:sz="0" w:space="0" w:color="auto"/>
        <w:bottom w:val="none" w:sz="0" w:space="0" w:color="auto"/>
        <w:right w:val="none" w:sz="0" w:space="0" w:color="auto"/>
      </w:divBdr>
    </w:div>
    <w:div w:id="434836346">
      <w:bodyDiv w:val="1"/>
      <w:marLeft w:val="0"/>
      <w:marRight w:val="0"/>
      <w:marTop w:val="0"/>
      <w:marBottom w:val="0"/>
      <w:divBdr>
        <w:top w:val="none" w:sz="0" w:space="0" w:color="auto"/>
        <w:left w:val="none" w:sz="0" w:space="0" w:color="auto"/>
        <w:bottom w:val="none" w:sz="0" w:space="0" w:color="auto"/>
        <w:right w:val="none" w:sz="0" w:space="0" w:color="auto"/>
      </w:divBdr>
    </w:div>
    <w:div w:id="459374024">
      <w:bodyDiv w:val="1"/>
      <w:marLeft w:val="0"/>
      <w:marRight w:val="0"/>
      <w:marTop w:val="0"/>
      <w:marBottom w:val="0"/>
      <w:divBdr>
        <w:top w:val="none" w:sz="0" w:space="0" w:color="auto"/>
        <w:left w:val="none" w:sz="0" w:space="0" w:color="auto"/>
        <w:bottom w:val="none" w:sz="0" w:space="0" w:color="auto"/>
        <w:right w:val="none" w:sz="0" w:space="0" w:color="auto"/>
      </w:divBdr>
    </w:div>
    <w:div w:id="471215154">
      <w:bodyDiv w:val="1"/>
      <w:marLeft w:val="0"/>
      <w:marRight w:val="0"/>
      <w:marTop w:val="0"/>
      <w:marBottom w:val="0"/>
      <w:divBdr>
        <w:top w:val="none" w:sz="0" w:space="0" w:color="auto"/>
        <w:left w:val="none" w:sz="0" w:space="0" w:color="auto"/>
        <w:bottom w:val="none" w:sz="0" w:space="0" w:color="auto"/>
        <w:right w:val="none" w:sz="0" w:space="0" w:color="auto"/>
      </w:divBdr>
    </w:div>
    <w:div w:id="550045126">
      <w:bodyDiv w:val="1"/>
      <w:marLeft w:val="0"/>
      <w:marRight w:val="0"/>
      <w:marTop w:val="0"/>
      <w:marBottom w:val="0"/>
      <w:divBdr>
        <w:top w:val="none" w:sz="0" w:space="0" w:color="auto"/>
        <w:left w:val="none" w:sz="0" w:space="0" w:color="auto"/>
        <w:bottom w:val="none" w:sz="0" w:space="0" w:color="auto"/>
        <w:right w:val="none" w:sz="0" w:space="0" w:color="auto"/>
      </w:divBdr>
    </w:div>
    <w:div w:id="562377566">
      <w:bodyDiv w:val="1"/>
      <w:marLeft w:val="0"/>
      <w:marRight w:val="0"/>
      <w:marTop w:val="0"/>
      <w:marBottom w:val="0"/>
      <w:divBdr>
        <w:top w:val="none" w:sz="0" w:space="0" w:color="auto"/>
        <w:left w:val="none" w:sz="0" w:space="0" w:color="auto"/>
        <w:bottom w:val="none" w:sz="0" w:space="0" w:color="auto"/>
        <w:right w:val="none" w:sz="0" w:space="0" w:color="auto"/>
      </w:divBdr>
    </w:div>
    <w:div w:id="575897218">
      <w:bodyDiv w:val="1"/>
      <w:marLeft w:val="0"/>
      <w:marRight w:val="0"/>
      <w:marTop w:val="0"/>
      <w:marBottom w:val="0"/>
      <w:divBdr>
        <w:top w:val="none" w:sz="0" w:space="0" w:color="auto"/>
        <w:left w:val="none" w:sz="0" w:space="0" w:color="auto"/>
        <w:bottom w:val="none" w:sz="0" w:space="0" w:color="auto"/>
        <w:right w:val="none" w:sz="0" w:space="0" w:color="auto"/>
      </w:divBdr>
    </w:div>
    <w:div w:id="576090717">
      <w:bodyDiv w:val="1"/>
      <w:marLeft w:val="0"/>
      <w:marRight w:val="0"/>
      <w:marTop w:val="0"/>
      <w:marBottom w:val="0"/>
      <w:divBdr>
        <w:top w:val="none" w:sz="0" w:space="0" w:color="auto"/>
        <w:left w:val="none" w:sz="0" w:space="0" w:color="auto"/>
        <w:bottom w:val="none" w:sz="0" w:space="0" w:color="auto"/>
        <w:right w:val="none" w:sz="0" w:space="0" w:color="auto"/>
      </w:divBdr>
    </w:div>
    <w:div w:id="618410712">
      <w:bodyDiv w:val="1"/>
      <w:marLeft w:val="0"/>
      <w:marRight w:val="0"/>
      <w:marTop w:val="0"/>
      <w:marBottom w:val="0"/>
      <w:divBdr>
        <w:top w:val="none" w:sz="0" w:space="0" w:color="auto"/>
        <w:left w:val="none" w:sz="0" w:space="0" w:color="auto"/>
        <w:bottom w:val="none" w:sz="0" w:space="0" w:color="auto"/>
        <w:right w:val="none" w:sz="0" w:space="0" w:color="auto"/>
      </w:divBdr>
    </w:div>
    <w:div w:id="624851330">
      <w:bodyDiv w:val="1"/>
      <w:marLeft w:val="0"/>
      <w:marRight w:val="0"/>
      <w:marTop w:val="0"/>
      <w:marBottom w:val="0"/>
      <w:divBdr>
        <w:top w:val="none" w:sz="0" w:space="0" w:color="auto"/>
        <w:left w:val="none" w:sz="0" w:space="0" w:color="auto"/>
        <w:bottom w:val="none" w:sz="0" w:space="0" w:color="auto"/>
        <w:right w:val="none" w:sz="0" w:space="0" w:color="auto"/>
      </w:divBdr>
    </w:div>
    <w:div w:id="642580859">
      <w:bodyDiv w:val="1"/>
      <w:marLeft w:val="0"/>
      <w:marRight w:val="0"/>
      <w:marTop w:val="0"/>
      <w:marBottom w:val="0"/>
      <w:divBdr>
        <w:top w:val="none" w:sz="0" w:space="0" w:color="auto"/>
        <w:left w:val="none" w:sz="0" w:space="0" w:color="auto"/>
        <w:bottom w:val="none" w:sz="0" w:space="0" w:color="auto"/>
        <w:right w:val="none" w:sz="0" w:space="0" w:color="auto"/>
      </w:divBdr>
    </w:div>
    <w:div w:id="657657810">
      <w:bodyDiv w:val="1"/>
      <w:marLeft w:val="0"/>
      <w:marRight w:val="0"/>
      <w:marTop w:val="0"/>
      <w:marBottom w:val="0"/>
      <w:divBdr>
        <w:top w:val="none" w:sz="0" w:space="0" w:color="auto"/>
        <w:left w:val="none" w:sz="0" w:space="0" w:color="auto"/>
        <w:bottom w:val="none" w:sz="0" w:space="0" w:color="auto"/>
        <w:right w:val="none" w:sz="0" w:space="0" w:color="auto"/>
      </w:divBdr>
    </w:div>
    <w:div w:id="668563028">
      <w:bodyDiv w:val="1"/>
      <w:marLeft w:val="0"/>
      <w:marRight w:val="0"/>
      <w:marTop w:val="0"/>
      <w:marBottom w:val="0"/>
      <w:divBdr>
        <w:top w:val="none" w:sz="0" w:space="0" w:color="auto"/>
        <w:left w:val="none" w:sz="0" w:space="0" w:color="auto"/>
        <w:bottom w:val="none" w:sz="0" w:space="0" w:color="auto"/>
        <w:right w:val="none" w:sz="0" w:space="0" w:color="auto"/>
      </w:divBdr>
    </w:div>
    <w:div w:id="783622689">
      <w:bodyDiv w:val="1"/>
      <w:marLeft w:val="0"/>
      <w:marRight w:val="0"/>
      <w:marTop w:val="0"/>
      <w:marBottom w:val="0"/>
      <w:divBdr>
        <w:top w:val="none" w:sz="0" w:space="0" w:color="auto"/>
        <w:left w:val="none" w:sz="0" w:space="0" w:color="auto"/>
        <w:bottom w:val="none" w:sz="0" w:space="0" w:color="auto"/>
        <w:right w:val="none" w:sz="0" w:space="0" w:color="auto"/>
      </w:divBdr>
    </w:div>
    <w:div w:id="801852370">
      <w:bodyDiv w:val="1"/>
      <w:marLeft w:val="0"/>
      <w:marRight w:val="0"/>
      <w:marTop w:val="0"/>
      <w:marBottom w:val="0"/>
      <w:divBdr>
        <w:top w:val="none" w:sz="0" w:space="0" w:color="auto"/>
        <w:left w:val="none" w:sz="0" w:space="0" w:color="auto"/>
        <w:bottom w:val="none" w:sz="0" w:space="0" w:color="auto"/>
        <w:right w:val="none" w:sz="0" w:space="0" w:color="auto"/>
      </w:divBdr>
    </w:div>
    <w:div w:id="833839661">
      <w:bodyDiv w:val="1"/>
      <w:marLeft w:val="0"/>
      <w:marRight w:val="0"/>
      <w:marTop w:val="0"/>
      <w:marBottom w:val="0"/>
      <w:divBdr>
        <w:top w:val="none" w:sz="0" w:space="0" w:color="auto"/>
        <w:left w:val="none" w:sz="0" w:space="0" w:color="auto"/>
        <w:bottom w:val="none" w:sz="0" w:space="0" w:color="auto"/>
        <w:right w:val="none" w:sz="0" w:space="0" w:color="auto"/>
      </w:divBdr>
    </w:div>
    <w:div w:id="890655355">
      <w:bodyDiv w:val="1"/>
      <w:marLeft w:val="0"/>
      <w:marRight w:val="0"/>
      <w:marTop w:val="0"/>
      <w:marBottom w:val="0"/>
      <w:divBdr>
        <w:top w:val="none" w:sz="0" w:space="0" w:color="auto"/>
        <w:left w:val="none" w:sz="0" w:space="0" w:color="auto"/>
        <w:bottom w:val="none" w:sz="0" w:space="0" w:color="auto"/>
        <w:right w:val="none" w:sz="0" w:space="0" w:color="auto"/>
      </w:divBdr>
    </w:div>
    <w:div w:id="902956049">
      <w:bodyDiv w:val="1"/>
      <w:marLeft w:val="0"/>
      <w:marRight w:val="0"/>
      <w:marTop w:val="0"/>
      <w:marBottom w:val="0"/>
      <w:divBdr>
        <w:top w:val="none" w:sz="0" w:space="0" w:color="auto"/>
        <w:left w:val="none" w:sz="0" w:space="0" w:color="auto"/>
        <w:bottom w:val="none" w:sz="0" w:space="0" w:color="auto"/>
        <w:right w:val="none" w:sz="0" w:space="0" w:color="auto"/>
      </w:divBdr>
    </w:div>
    <w:div w:id="930503891">
      <w:bodyDiv w:val="1"/>
      <w:marLeft w:val="0"/>
      <w:marRight w:val="0"/>
      <w:marTop w:val="0"/>
      <w:marBottom w:val="0"/>
      <w:divBdr>
        <w:top w:val="none" w:sz="0" w:space="0" w:color="auto"/>
        <w:left w:val="none" w:sz="0" w:space="0" w:color="auto"/>
        <w:bottom w:val="none" w:sz="0" w:space="0" w:color="auto"/>
        <w:right w:val="none" w:sz="0" w:space="0" w:color="auto"/>
      </w:divBdr>
    </w:div>
    <w:div w:id="940987146">
      <w:bodyDiv w:val="1"/>
      <w:marLeft w:val="0"/>
      <w:marRight w:val="0"/>
      <w:marTop w:val="0"/>
      <w:marBottom w:val="0"/>
      <w:divBdr>
        <w:top w:val="none" w:sz="0" w:space="0" w:color="auto"/>
        <w:left w:val="none" w:sz="0" w:space="0" w:color="auto"/>
        <w:bottom w:val="none" w:sz="0" w:space="0" w:color="auto"/>
        <w:right w:val="none" w:sz="0" w:space="0" w:color="auto"/>
      </w:divBdr>
    </w:div>
    <w:div w:id="1067845021">
      <w:bodyDiv w:val="1"/>
      <w:marLeft w:val="0"/>
      <w:marRight w:val="0"/>
      <w:marTop w:val="0"/>
      <w:marBottom w:val="0"/>
      <w:divBdr>
        <w:top w:val="none" w:sz="0" w:space="0" w:color="auto"/>
        <w:left w:val="none" w:sz="0" w:space="0" w:color="auto"/>
        <w:bottom w:val="none" w:sz="0" w:space="0" w:color="auto"/>
        <w:right w:val="none" w:sz="0" w:space="0" w:color="auto"/>
      </w:divBdr>
    </w:div>
    <w:div w:id="1072699019">
      <w:bodyDiv w:val="1"/>
      <w:marLeft w:val="0"/>
      <w:marRight w:val="0"/>
      <w:marTop w:val="0"/>
      <w:marBottom w:val="0"/>
      <w:divBdr>
        <w:top w:val="none" w:sz="0" w:space="0" w:color="auto"/>
        <w:left w:val="none" w:sz="0" w:space="0" w:color="auto"/>
        <w:bottom w:val="none" w:sz="0" w:space="0" w:color="auto"/>
        <w:right w:val="none" w:sz="0" w:space="0" w:color="auto"/>
      </w:divBdr>
    </w:div>
    <w:div w:id="1101608556">
      <w:bodyDiv w:val="1"/>
      <w:marLeft w:val="0"/>
      <w:marRight w:val="0"/>
      <w:marTop w:val="0"/>
      <w:marBottom w:val="0"/>
      <w:divBdr>
        <w:top w:val="none" w:sz="0" w:space="0" w:color="auto"/>
        <w:left w:val="none" w:sz="0" w:space="0" w:color="auto"/>
        <w:bottom w:val="none" w:sz="0" w:space="0" w:color="auto"/>
        <w:right w:val="none" w:sz="0" w:space="0" w:color="auto"/>
      </w:divBdr>
    </w:div>
    <w:div w:id="1114397728">
      <w:bodyDiv w:val="1"/>
      <w:marLeft w:val="0"/>
      <w:marRight w:val="0"/>
      <w:marTop w:val="0"/>
      <w:marBottom w:val="0"/>
      <w:divBdr>
        <w:top w:val="none" w:sz="0" w:space="0" w:color="auto"/>
        <w:left w:val="none" w:sz="0" w:space="0" w:color="auto"/>
        <w:bottom w:val="none" w:sz="0" w:space="0" w:color="auto"/>
        <w:right w:val="none" w:sz="0" w:space="0" w:color="auto"/>
      </w:divBdr>
    </w:div>
    <w:div w:id="1176505475">
      <w:bodyDiv w:val="1"/>
      <w:marLeft w:val="0"/>
      <w:marRight w:val="0"/>
      <w:marTop w:val="0"/>
      <w:marBottom w:val="0"/>
      <w:divBdr>
        <w:top w:val="none" w:sz="0" w:space="0" w:color="auto"/>
        <w:left w:val="none" w:sz="0" w:space="0" w:color="auto"/>
        <w:bottom w:val="none" w:sz="0" w:space="0" w:color="auto"/>
        <w:right w:val="none" w:sz="0" w:space="0" w:color="auto"/>
      </w:divBdr>
    </w:div>
    <w:div w:id="1187209691">
      <w:bodyDiv w:val="1"/>
      <w:marLeft w:val="0"/>
      <w:marRight w:val="0"/>
      <w:marTop w:val="0"/>
      <w:marBottom w:val="0"/>
      <w:divBdr>
        <w:top w:val="none" w:sz="0" w:space="0" w:color="auto"/>
        <w:left w:val="none" w:sz="0" w:space="0" w:color="auto"/>
        <w:bottom w:val="none" w:sz="0" w:space="0" w:color="auto"/>
        <w:right w:val="none" w:sz="0" w:space="0" w:color="auto"/>
      </w:divBdr>
    </w:div>
    <w:div w:id="1198007964">
      <w:bodyDiv w:val="1"/>
      <w:marLeft w:val="0"/>
      <w:marRight w:val="0"/>
      <w:marTop w:val="0"/>
      <w:marBottom w:val="0"/>
      <w:divBdr>
        <w:top w:val="none" w:sz="0" w:space="0" w:color="auto"/>
        <w:left w:val="none" w:sz="0" w:space="0" w:color="auto"/>
        <w:bottom w:val="none" w:sz="0" w:space="0" w:color="auto"/>
        <w:right w:val="none" w:sz="0" w:space="0" w:color="auto"/>
      </w:divBdr>
    </w:div>
    <w:div w:id="1203130785">
      <w:bodyDiv w:val="1"/>
      <w:marLeft w:val="0"/>
      <w:marRight w:val="0"/>
      <w:marTop w:val="0"/>
      <w:marBottom w:val="0"/>
      <w:divBdr>
        <w:top w:val="none" w:sz="0" w:space="0" w:color="auto"/>
        <w:left w:val="none" w:sz="0" w:space="0" w:color="auto"/>
        <w:bottom w:val="none" w:sz="0" w:space="0" w:color="auto"/>
        <w:right w:val="none" w:sz="0" w:space="0" w:color="auto"/>
      </w:divBdr>
    </w:div>
    <w:div w:id="1214079967">
      <w:bodyDiv w:val="1"/>
      <w:marLeft w:val="0"/>
      <w:marRight w:val="0"/>
      <w:marTop w:val="0"/>
      <w:marBottom w:val="0"/>
      <w:divBdr>
        <w:top w:val="none" w:sz="0" w:space="0" w:color="auto"/>
        <w:left w:val="none" w:sz="0" w:space="0" w:color="auto"/>
        <w:bottom w:val="none" w:sz="0" w:space="0" w:color="auto"/>
        <w:right w:val="none" w:sz="0" w:space="0" w:color="auto"/>
      </w:divBdr>
    </w:div>
    <w:div w:id="1234967372">
      <w:bodyDiv w:val="1"/>
      <w:marLeft w:val="0"/>
      <w:marRight w:val="0"/>
      <w:marTop w:val="0"/>
      <w:marBottom w:val="0"/>
      <w:divBdr>
        <w:top w:val="none" w:sz="0" w:space="0" w:color="auto"/>
        <w:left w:val="none" w:sz="0" w:space="0" w:color="auto"/>
        <w:bottom w:val="none" w:sz="0" w:space="0" w:color="auto"/>
        <w:right w:val="none" w:sz="0" w:space="0" w:color="auto"/>
      </w:divBdr>
    </w:div>
    <w:div w:id="1263876687">
      <w:bodyDiv w:val="1"/>
      <w:marLeft w:val="0"/>
      <w:marRight w:val="0"/>
      <w:marTop w:val="0"/>
      <w:marBottom w:val="0"/>
      <w:divBdr>
        <w:top w:val="none" w:sz="0" w:space="0" w:color="auto"/>
        <w:left w:val="none" w:sz="0" w:space="0" w:color="auto"/>
        <w:bottom w:val="none" w:sz="0" w:space="0" w:color="auto"/>
        <w:right w:val="none" w:sz="0" w:space="0" w:color="auto"/>
      </w:divBdr>
    </w:div>
    <w:div w:id="1300648084">
      <w:bodyDiv w:val="1"/>
      <w:marLeft w:val="0"/>
      <w:marRight w:val="0"/>
      <w:marTop w:val="0"/>
      <w:marBottom w:val="0"/>
      <w:divBdr>
        <w:top w:val="none" w:sz="0" w:space="0" w:color="auto"/>
        <w:left w:val="none" w:sz="0" w:space="0" w:color="auto"/>
        <w:bottom w:val="none" w:sz="0" w:space="0" w:color="auto"/>
        <w:right w:val="none" w:sz="0" w:space="0" w:color="auto"/>
      </w:divBdr>
    </w:div>
    <w:div w:id="1319916788">
      <w:bodyDiv w:val="1"/>
      <w:marLeft w:val="0"/>
      <w:marRight w:val="0"/>
      <w:marTop w:val="0"/>
      <w:marBottom w:val="0"/>
      <w:divBdr>
        <w:top w:val="none" w:sz="0" w:space="0" w:color="auto"/>
        <w:left w:val="none" w:sz="0" w:space="0" w:color="auto"/>
        <w:bottom w:val="none" w:sz="0" w:space="0" w:color="auto"/>
        <w:right w:val="none" w:sz="0" w:space="0" w:color="auto"/>
      </w:divBdr>
    </w:div>
    <w:div w:id="1354574833">
      <w:bodyDiv w:val="1"/>
      <w:marLeft w:val="0"/>
      <w:marRight w:val="0"/>
      <w:marTop w:val="0"/>
      <w:marBottom w:val="0"/>
      <w:divBdr>
        <w:top w:val="none" w:sz="0" w:space="0" w:color="auto"/>
        <w:left w:val="none" w:sz="0" w:space="0" w:color="auto"/>
        <w:bottom w:val="none" w:sz="0" w:space="0" w:color="auto"/>
        <w:right w:val="none" w:sz="0" w:space="0" w:color="auto"/>
      </w:divBdr>
    </w:div>
    <w:div w:id="1365791120">
      <w:bodyDiv w:val="1"/>
      <w:marLeft w:val="0"/>
      <w:marRight w:val="0"/>
      <w:marTop w:val="0"/>
      <w:marBottom w:val="0"/>
      <w:divBdr>
        <w:top w:val="none" w:sz="0" w:space="0" w:color="auto"/>
        <w:left w:val="none" w:sz="0" w:space="0" w:color="auto"/>
        <w:bottom w:val="none" w:sz="0" w:space="0" w:color="auto"/>
        <w:right w:val="none" w:sz="0" w:space="0" w:color="auto"/>
      </w:divBdr>
    </w:div>
    <w:div w:id="1458989151">
      <w:bodyDiv w:val="1"/>
      <w:marLeft w:val="0"/>
      <w:marRight w:val="0"/>
      <w:marTop w:val="0"/>
      <w:marBottom w:val="0"/>
      <w:divBdr>
        <w:top w:val="none" w:sz="0" w:space="0" w:color="auto"/>
        <w:left w:val="none" w:sz="0" w:space="0" w:color="auto"/>
        <w:bottom w:val="none" w:sz="0" w:space="0" w:color="auto"/>
        <w:right w:val="none" w:sz="0" w:space="0" w:color="auto"/>
      </w:divBdr>
    </w:div>
    <w:div w:id="1461026058">
      <w:bodyDiv w:val="1"/>
      <w:marLeft w:val="0"/>
      <w:marRight w:val="0"/>
      <w:marTop w:val="0"/>
      <w:marBottom w:val="0"/>
      <w:divBdr>
        <w:top w:val="none" w:sz="0" w:space="0" w:color="auto"/>
        <w:left w:val="none" w:sz="0" w:space="0" w:color="auto"/>
        <w:bottom w:val="none" w:sz="0" w:space="0" w:color="auto"/>
        <w:right w:val="none" w:sz="0" w:space="0" w:color="auto"/>
      </w:divBdr>
    </w:div>
    <w:div w:id="1501968339">
      <w:bodyDiv w:val="1"/>
      <w:marLeft w:val="0"/>
      <w:marRight w:val="0"/>
      <w:marTop w:val="0"/>
      <w:marBottom w:val="0"/>
      <w:divBdr>
        <w:top w:val="none" w:sz="0" w:space="0" w:color="auto"/>
        <w:left w:val="none" w:sz="0" w:space="0" w:color="auto"/>
        <w:bottom w:val="none" w:sz="0" w:space="0" w:color="auto"/>
        <w:right w:val="none" w:sz="0" w:space="0" w:color="auto"/>
      </w:divBdr>
    </w:div>
    <w:div w:id="1506819552">
      <w:bodyDiv w:val="1"/>
      <w:marLeft w:val="0"/>
      <w:marRight w:val="0"/>
      <w:marTop w:val="0"/>
      <w:marBottom w:val="0"/>
      <w:divBdr>
        <w:top w:val="none" w:sz="0" w:space="0" w:color="auto"/>
        <w:left w:val="none" w:sz="0" w:space="0" w:color="auto"/>
        <w:bottom w:val="none" w:sz="0" w:space="0" w:color="auto"/>
        <w:right w:val="none" w:sz="0" w:space="0" w:color="auto"/>
      </w:divBdr>
    </w:div>
    <w:div w:id="1554150374">
      <w:bodyDiv w:val="1"/>
      <w:marLeft w:val="0"/>
      <w:marRight w:val="0"/>
      <w:marTop w:val="0"/>
      <w:marBottom w:val="0"/>
      <w:divBdr>
        <w:top w:val="none" w:sz="0" w:space="0" w:color="auto"/>
        <w:left w:val="none" w:sz="0" w:space="0" w:color="auto"/>
        <w:bottom w:val="none" w:sz="0" w:space="0" w:color="auto"/>
        <w:right w:val="none" w:sz="0" w:space="0" w:color="auto"/>
      </w:divBdr>
    </w:div>
    <w:div w:id="1603999273">
      <w:bodyDiv w:val="1"/>
      <w:marLeft w:val="0"/>
      <w:marRight w:val="0"/>
      <w:marTop w:val="0"/>
      <w:marBottom w:val="0"/>
      <w:divBdr>
        <w:top w:val="none" w:sz="0" w:space="0" w:color="auto"/>
        <w:left w:val="none" w:sz="0" w:space="0" w:color="auto"/>
        <w:bottom w:val="none" w:sz="0" w:space="0" w:color="auto"/>
        <w:right w:val="none" w:sz="0" w:space="0" w:color="auto"/>
      </w:divBdr>
    </w:div>
    <w:div w:id="1689327360">
      <w:bodyDiv w:val="1"/>
      <w:marLeft w:val="0"/>
      <w:marRight w:val="0"/>
      <w:marTop w:val="0"/>
      <w:marBottom w:val="0"/>
      <w:divBdr>
        <w:top w:val="none" w:sz="0" w:space="0" w:color="auto"/>
        <w:left w:val="none" w:sz="0" w:space="0" w:color="auto"/>
        <w:bottom w:val="none" w:sz="0" w:space="0" w:color="auto"/>
        <w:right w:val="none" w:sz="0" w:space="0" w:color="auto"/>
      </w:divBdr>
    </w:div>
    <w:div w:id="1699508728">
      <w:bodyDiv w:val="1"/>
      <w:marLeft w:val="0"/>
      <w:marRight w:val="0"/>
      <w:marTop w:val="0"/>
      <w:marBottom w:val="0"/>
      <w:divBdr>
        <w:top w:val="none" w:sz="0" w:space="0" w:color="auto"/>
        <w:left w:val="none" w:sz="0" w:space="0" w:color="auto"/>
        <w:bottom w:val="none" w:sz="0" w:space="0" w:color="auto"/>
        <w:right w:val="none" w:sz="0" w:space="0" w:color="auto"/>
      </w:divBdr>
    </w:div>
    <w:div w:id="1743219063">
      <w:bodyDiv w:val="1"/>
      <w:marLeft w:val="0"/>
      <w:marRight w:val="0"/>
      <w:marTop w:val="0"/>
      <w:marBottom w:val="0"/>
      <w:divBdr>
        <w:top w:val="none" w:sz="0" w:space="0" w:color="auto"/>
        <w:left w:val="none" w:sz="0" w:space="0" w:color="auto"/>
        <w:bottom w:val="none" w:sz="0" w:space="0" w:color="auto"/>
        <w:right w:val="none" w:sz="0" w:space="0" w:color="auto"/>
      </w:divBdr>
    </w:div>
    <w:div w:id="1762021131">
      <w:bodyDiv w:val="1"/>
      <w:marLeft w:val="0"/>
      <w:marRight w:val="0"/>
      <w:marTop w:val="0"/>
      <w:marBottom w:val="0"/>
      <w:divBdr>
        <w:top w:val="none" w:sz="0" w:space="0" w:color="auto"/>
        <w:left w:val="none" w:sz="0" w:space="0" w:color="auto"/>
        <w:bottom w:val="none" w:sz="0" w:space="0" w:color="auto"/>
        <w:right w:val="none" w:sz="0" w:space="0" w:color="auto"/>
      </w:divBdr>
    </w:div>
    <w:div w:id="1778525163">
      <w:bodyDiv w:val="1"/>
      <w:marLeft w:val="0"/>
      <w:marRight w:val="0"/>
      <w:marTop w:val="0"/>
      <w:marBottom w:val="0"/>
      <w:divBdr>
        <w:top w:val="none" w:sz="0" w:space="0" w:color="auto"/>
        <w:left w:val="none" w:sz="0" w:space="0" w:color="auto"/>
        <w:bottom w:val="none" w:sz="0" w:space="0" w:color="auto"/>
        <w:right w:val="none" w:sz="0" w:space="0" w:color="auto"/>
      </w:divBdr>
    </w:div>
    <w:div w:id="1831629129">
      <w:bodyDiv w:val="1"/>
      <w:marLeft w:val="0"/>
      <w:marRight w:val="0"/>
      <w:marTop w:val="0"/>
      <w:marBottom w:val="0"/>
      <w:divBdr>
        <w:top w:val="none" w:sz="0" w:space="0" w:color="auto"/>
        <w:left w:val="none" w:sz="0" w:space="0" w:color="auto"/>
        <w:bottom w:val="none" w:sz="0" w:space="0" w:color="auto"/>
        <w:right w:val="none" w:sz="0" w:space="0" w:color="auto"/>
      </w:divBdr>
    </w:div>
    <w:div w:id="1833716324">
      <w:bodyDiv w:val="1"/>
      <w:marLeft w:val="0"/>
      <w:marRight w:val="0"/>
      <w:marTop w:val="0"/>
      <w:marBottom w:val="0"/>
      <w:divBdr>
        <w:top w:val="none" w:sz="0" w:space="0" w:color="auto"/>
        <w:left w:val="none" w:sz="0" w:space="0" w:color="auto"/>
        <w:bottom w:val="none" w:sz="0" w:space="0" w:color="auto"/>
        <w:right w:val="none" w:sz="0" w:space="0" w:color="auto"/>
      </w:divBdr>
    </w:div>
    <w:div w:id="1835679281">
      <w:bodyDiv w:val="1"/>
      <w:marLeft w:val="0"/>
      <w:marRight w:val="0"/>
      <w:marTop w:val="0"/>
      <w:marBottom w:val="0"/>
      <w:divBdr>
        <w:top w:val="none" w:sz="0" w:space="0" w:color="auto"/>
        <w:left w:val="none" w:sz="0" w:space="0" w:color="auto"/>
        <w:bottom w:val="none" w:sz="0" w:space="0" w:color="auto"/>
        <w:right w:val="none" w:sz="0" w:space="0" w:color="auto"/>
      </w:divBdr>
    </w:div>
    <w:div w:id="1836653595">
      <w:bodyDiv w:val="1"/>
      <w:marLeft w:val="0"/>
      <w:marRight w:val="0"/>
      <w:marTop w:val="0"/>
      <w:marBottom w:val="0"/>
      <w:divBdr>
        <w:top w:val="none" w:sz="0" w:space="0" w:color="auto"/>
        <w:left w:val="none" w:sz="0" w:space="0" w:color="auto"/>
        <w:bottom w:val="none" w:sz="0" w:space="0" w:color="auto"/>
        <w:right w:val="none" w:sz="0" w:space="0" w:color="auto"/>
      </w:divBdr>
    </w:div>
    <w:div w:id="1865822572">
      <w:bodyDiv w:val="1"/>
      <w:marLeft w:val="0"/>
      <w:marRight w:val="0"/>
      <w:marTop w:val="0"/>
      <w:marBottom w:val="0"/>
      <w:divBdr>
        <w:top w:val="none" w:sz="0" w:space="0" w:color="auto"/>
        <w:left w:val="none" w:sz="0" w:space="0" w:color="auto"/>
        <w:bottom w:val="none" w:sz="0" w:space="0" w:color="auto"/>
        <w:right w:val="none" w:sz="0" w:space="0" w:color="auto"/>
      </w:divBdr>
    </w:div>
    <w:div w:id="1886989504">
      <w:bodyDiv w:val="1"/>
      <w:marLeft w:val="0"/>
      <w:marRight w:val="0"/>
      <w:marTop w:val="0"/>
      <w:marBottom w:val="0"/>
      <w:divBdr>
        <w:top w:val="none" w:sz="0" w:space="0" w:color="auto"/>
        <w:left w:val="none" w:sz="0" w:space="0" w:color="auto"/>
        <w:bottom w:val="none" w:sz="0" w:space="0" w:color="auto"/>
        <w:right w:val="none" w:sz="0" w:space="0" w:color="auto"/>
      </w:divBdr>
    </w:div>
    <w:div w:id="1970162492">
      <w:bodyDiv w:val="1"/>
      <w:marLeft w:val="0"/>
      <w:marRight w:val="0"/>
      <w:marTop w:val="0"/>
      <w:marBottom w:val="0"/>
      <w:divBdr>
        <w:top w:val="none" w:sz="0" w:space="0" w:color="auto"/>
        <w:left w:val="none" w:sz="0" w:space="0" w:color="auto"/>
        <w:bottom w:val="none" w:sz="0" w:space="0" w:color="auto"/>
        <w:right w:val="none" w:sz="0" w:space="0" w:color="auto"/>
      </w:divBdr>
    </w:div>
    <w:div w:id="2005038974">
      <w:bodyDiv w:val="1"/>
      <w:marLeft w:val="0"/>
      <w:marRight w:val="0"/>
      <w:marTop w:val="0"/>
      <w:marBottom w:val="0"/>
      <w:divBdr>
        <w:top w:val="none" w:sz="0" w:space="0" w:color="auto"/>
        <w:left w:val="none" w:sz="0" w:space="0" w:color="auto"/>
        <w:bottom w:val="none" w:sz="0" w:space="0" w:color="auto"/>
        <w:right w:val="none" w:sz="0" w:space="0" w:color="auto"/>
      </w:divBdr>
    </w:div>
    <w:div w:id="2059627851">
      <w:bodyDiv w:val="1"/>
      <w:marLeft w:val="0"/>
      <w:marRight w:val="0"/>
      <w:marTop w:val="0"/>
      <w:marBottom w:val="0"/>
      <w:divBdr>
        <w:top w:val="none" w:sz="0" w:space="0" w:color="auto"/>
        <w:left w:val="none" w:sz="0" w:space="0" w:color="auto"/>
        <w:bottom w:val="none" w:sz="0" w:space="0" w:color="auto"/>
        <w:right w:val="none" w:sz="0" w:space="0" w:color="auto"/>
      </w:divBdr>
    </w:div>
    <w:div w:id="2128111375">
      <w:bodyDiv w:val="1"/>
      <w:marLeft w:val="0"/>
      <w:marRight w:val="0"/>
      <w:marTop w:val="0"/>
      <w:marBottom w:val="0"/>
      <w:divBdr>
        <w:top w:val="none" w:sz="0" w:space="0" w:color="auto"/>
        <w:left w:val="none" w:sz="0" w:space="0" w:color="auto"/>
        <w:bottom w:val="none" w:sz="0" w:space="0" w:color="auto"/>
        <w:right w:val="none" w:sz="0" w:space="0" w:color="auto"/>
      </w:divBdr>
    </w:div>
    <w:div w:id="2141532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nlargement.ec.europa.eu/news/commission-adopts-eu18-billion-support-package-underpin-moldovas-economic-growth-plan-its-path-eu-2024-10-10_en." TargetMode="External"/><Relationship Id="rId13" Type="http://schemas.openxmlformats.org/officeDocument/2006/relationships/hyperlink" Target="https://www.eea.europa.eu/en/analysis/indicators/european-sea-surface-temperature." TargetMode="External"/><Relationship Id="rId3" Type="http://schemas.openxmlformats.org/officeDocument/2006/relationships/hyperlink" Target="https://defence-industry-space.ec.europa.eu/document/download/30b50d2c-49aa-4250-9ca6-27a0347cf009_fr?filename=White%20Paper.pdf." TargetMode="External"/><Relationship Id="rId7" Type="http://schemas.openxmlformats.org/officeDocument/2006/relationships/hyperlink" Target="https://enlargement.ec.europa.eu/funding-technical-assistance/ukraine-facility_en." TargetMode="External"/><Relationship Id="rId12" Type="http://schemas.openxmlformats.org/officeDocument/2006/relationships/hyperlink" Target="https://www.eea.europa.eu/en/analysis/indicators/european-sea-surface-temperature." TargetMode="External"/><Relationship Id="rId2" Type="http://schemas.openxmlformats.org/officeDocument/2006/relationships/hyperlink" Target="https://www.sust-black.ro/Black%20Sea%20Strategic%20Research%20and%20Innovation%20Agenda.pdf" TargetMode="External"/><Relationship Id="rId1" Type="http://schemas.openxmlformats.org/officeDocument/2006/relationships/hyperlink" Target="https://www.consilium.europa.eu/fr/meetings/international-summit/2025/04/04/." TargetMode="External"/><Relationship Id="rId6" Type="http://schemas.openxmlformats.org/officeDocument/2006/relationships/hyperlink" Target="https://coastguard.europa.eu/index.php/cooperation-agreements/mechanisms/mediterranean-coast-guard-functions-forum-mcgff." TargetMode="External"/><Relationship Id="rId11" Type="http://schemas.openxmlformats.org/officeDocument/2006/relationships/hyperlink" Target="https://transport.ec.europa.eu/document/download/4360ea36-a75a-47e5-8b6f-84a9bde66a02_en?filename=Sustainable_transport_connections_between_Europe_and_Central_Asia.pdf." TargetMode="External"/><Relationship Id="rId5" Type="http://schemas.openxmlformats.org/officeDocument/2006/relationships/hyperlink" Target="https://coastguard.europa.eu/index.php/cooperation-agreements/mechanisms/mediterranean-coast-guard-functions-forum-mcgff." TargetMode="External"/><Relationship Id="rId15" Type="http://schemas.openxmlformats.org/officeDocument/2006/relationships/hyperlink" Target="https://marine.copernicus.eu/about/producers/bs-mfc." TargetMode="External"/><Relationship Id="rId10" Type="http://schemas.openxmlformats.org/officeDocument/2006/relationships/hyperlink" Target="https://transport.ec.europa.eu/ukraine/eu-ukraine-solidarity-lanes_fr." TargetMode="External"/><Relationship Id="rId4" Type="http://schemas.openxmlformats.org/officeDocument/2006/relationships/hyperlink" Target="https://www.emsa.europa.eu/copernicus.html." TargetMode="External"/><Relationship Id="rId9" Type="http://schemas.openxmlformats.org/officeDocument/2006/relationships/hyperlink" Target="https://enlargement.ec.europa.eu/news/press-statement-president-von-der-leyen-resilience-and-growth-plan-armenia-2024-04-05_en." TargetMode="External"/><Relationship Id="rId14" Type="http://schemas.openxmlformats.org/officeDocument/2006/relationships/hyperlink" Target="https://marine.copernicus.eu/about/producers/bs-mf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0623F7-2003-43F6-91BB-FFA5B7C8C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10114</Words>
  <Characters>57650</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67629</CharactersWithSpaces>
  <SharedDoc>false</SharedDoc>
  <HLinks>
    <vt:vector size="72" baseType="variant">
      <vt:variant>
        <vt:i4>7667759</vt:i4>
      </vt:variant>
      <vt:variant>
        <vt:i4>33</vt:i4>
      </vt:variant>
      <vt:variant>
        <vt:i4>0</vt:i4>
      </vt:variant>
      <vt:variant>
        <vt:i4>5</vt:i4>
      </vt:variant>
      <vt:variant>
        <vt:lpwstr>https://marine.copernicus.eu/about/producers/bs-mfc</vt:lpwstr>
      </vt:variant>
      <vt:variant>
        <vt:lpwstr/>
      </vt:variant>
      <vt:variant>
        <vt:i4>4587545</vt:i4>
      </vt:variant>
      <vt:variant>
        <vt:i4>30</vt:i4>
      </vt:variant>
      <vt:variant>
        <vt:i4>0</vt:i4>
      </vt:variant>
      <vt:variant>
        <vt:i4>5</vt:i4>
      </vt:variant>
      <vt:variant>
        <vt:lpwstr>https://www.eea.europa.eu/en/analysis/indicators/european-sea-surface-temperature</vt:lpwstr>
      </vt:variant>
      <vt:variant>
        <vt:lpwstr/>
      </vt:variant>
      <vt:variant>
        <vt:i4>1507449</vt:i4>
      </vt:variant>
      <vt:variant>
        <vt:i4>27</vt:i4>
      </vt:variant>
      <vt:variant>
        <vt:i4>0</vt:i4>
      </vt:variant>
      <vt:variant>
        <vt:i4>5</vt:i4>
      </vt:variant>
      <vt:variant>
        <vt:lpwstr>https://transport.ec.europa.eu/ukraine/eu-ukraine-solidarity-lanes_en</vt:lpwstr>
      </vt:variant>
      <vt:variant>
        <vt:lpwstr/>
      </vt:variant>
      <vt:variant>
        <vt:i4>1900661</vt:i4>
      </vt:variant>
      <vt:variant>
        <vt:i4>24</vt:i4>
      </vt:variant>
      <vt:variant>
        <vt:i4>0</vt:i4>
      </vt:variant>
      <vt:variant>
        <vt:i4>5</vt:i4>
      </vt:variant>
      <vt:variant>
        <vt:lpwstr>https://enlargement.ec.europa.eu/news/press-statement-president-von-der-leyen-resilience-and-growth-plan-armenia-2024-04-05_en</vt:lpwstr>
      </vt:variant>
      <vt:variant>
        <vt:lpwstr/>
      </vt:variant>
      <vt:variant>
        <vt:i4>5963876</vt:i4>
      </vt:variant>
      <vt:variant>
        <vt:i4>21</vt:i4>
      </vt:variant>
      <vt:variant>
        <vt:i4>0</vt:i4>
      </vt:variant>
      <vt:variant>
        <vt:i4>5</vt:i4>
      </vt:variant>
      <vt:variant>
        <vt:lpwstr>https://enlargement.ec.europa.eu/news/commission-adopts-eu18-billion-support-package-underpin-moldovas-economic-growth-plan-its-path-eu-2024-10-10_en</vt:lpwstr>
      </vt:variant>
      <vt:variant>
        <vt:lpwstr/>
      </vt:variant>
      <vt:variant>
        <vt:i4>196707</vt:i4>
      </vt:variant>
      <vt:variant>
        <vt:i4>18</vt:i4>
      </vt:variant>
      <vt:variant>
        <vt:i4>0</vt:i4>
      </vt:variant>
      <vt:variant>
        <vt:i4>5</vt:i4>
      </vt:variant>
      <vt:variant>
        <vt:lpwstr>https://enlargement.ec.europa.eu/funding-technical-assistance/ukraine-facility_en</vt:lpwstr>
      </vt:variant>
      <vt:variant>
        <vt:lpwstr/>
      </vt:variant>
      <vt:variant>
        <vt:i4>3342392</vt:i4>
      </vt:variant>
      <vt:variant>
        <vt:i4>12</vt:i4>
      </vt:variant>
      <vt:variant>
        <vt:i4>0</vt:i4>
      </vt:variant>
      <vt:variant>
        <vt:i4>5</vt:i4>
      </vt:variant>
      <vt:variant>
        <vt:lpwstr>https://www.emsa.europa.eu/copernicus.html</vt:lpwstr>
      </vt:variant>
      <vt:variant>
        <vt:lpwstr/>
      </vt:variant>
      <vt:variant>
        <vt:i4>5570615</vt:i4>
      </vt:variant>
      <vt:variant>
        <vt:i4>9</vt:i4>
      </vt:variant>
      <vt:variant>
        <vt:i4>0</vt:i4>
      </vt:variant>
      <vt:variant>
        <vt:i4>5</vt:i4>
      </vt:variant>
      <vt:variant>
        <vt:lpwstr>https://defence-industry-space.ec.europa.eu/document/download/30b50d2c-49aa-4250-9ca6-27a0347cf009_en?filename=White%20Paper.pdf</vt:lpwstr>
      </vt:variant>
      <vt:variant>
        <vt:lpwstr/>
      </vt:variant>
      <vt:variant>
        <vt:i4>720916</vt:i4>
      </vt:variant>
      <vt:variant>
        <vt:i4>6</vt:i4>
      </vt:variant>
      <vt:variant>
        <vt:i4>0</vt:i4>
      </vt:variant>
      <vt:variant>
        <vt:i4>5</vt:i4>
      </vt:variant>
      <vt:variant>
        <vt:lpwstr>https://data.europa.eu/doi/10.2777/935288</vt:lpwstr>
      </vt:variant>
      <vt:variant>
        <vt:lpwstr/>
      </vt:variant>
      <vt:variant>
        <vt:i4>2424919</vt:i4>
      </vt:variant>
      <vt:variant>
        <vt:i4>3</vt:i4>
      </vt:variant>
      <vt:variant>
        <vt:i4>0</vt:i4>
      </vt:variant>
      <vt:variant>
        <vt:i4>5</vt:i4>
      </vt:variant>
      <vt:variant>
        <vt:lpwstr>https://policy.trade.ec.europa.eu/eu-trade-relationships-country-and-region/countries-and-regions/turkiye_en</vt:lpwstr>
      </vt:variant>
      <vt:variant>
        <vt:lpwstr/>
      </vt:variant>
      <vt:variant>
        <vt:i4>5177417</vt:i4>
      </vt:variant>
      <vt:variant>
        <vt:i4>0</vt:i4>
      </vt:variant>
      <vt:variant>
        <vt:i4>0</vt:i4>
      </vt:variant>
      <vt:variant>
        <vt:i4>5</vt:i4>
      </vt:variant>
      <vt:variant>
        <vt:lpwstr>https://www.consilium.europa.eu/en/meetings/international-summit/2025/04/04/</vt:lpwstr>
      </vt:variant>
      <vt:variant>
        <vt:lpwstr/>
      </vt:variant>
      <vt:variant>
        <vt:i4>5046379</vt:i4>
      </vt:variant>
      <vt:variant>
        <vt:i4>0</vt:i4>
      </vt:variant>
      <vt:variant>
        <vt:i4>0</vt:i4>
      </vt:variant>
      <vt:variant>
        <vt:i4>5</vt:i4>
      </vt:variant>
      <vt:variant>
        <vt:lpwstr>https://urldefense.com/v3/__https:/data.emm4u.eu/Wires/afp-fr/250521/afp-fr-432f26d38782f5532cf92f7079c52647.html__;!!DOxrgLBm!GwXxInVJB5vpb2JTff-bJHUsoh-7PYDXaqUvKfyUCOAr7AHsn7GtaZhkNaTYljmfE0Lv-YfywPfXn3w8_gXxx2EscvCLJt-T7P7zhgg$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2025-06-10T16:24:00Z</dcterms:created>
  <dcterms:modified xsi:type="dcterms:W3CDTF">2025-06-19T09:07:00Z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fmtid="{D5CDD505-2E9C-101B-9397-08002B2CF9AE}" pid="6" name="CPTemplateID">
    <vt:lpwstr>CP-015</vt:lpwstr>
  </property>
  <property fmtid="{D5CDD505-2E9C-101B-9397-08002B2CF9AE}" pid="7" name="Last edited using">
    <vt:lpwstr>LW 9.1, Build 20240808</vt:lpwstr>
  </property>
  <property fmtid="{D5CDD505-2E9C-101B-9397-08002B2CF9AE}" pid="8" name="MSIP_Label_6bd9ddd1-4d20-43f6-abfa-fc3c07406f94_Enabled">
    <vt:lpwstr>true</vt:lpwstr>
  </property>
  <property fmtid="{D5CDD505-2E9C-101B-9397-08002B2CF9AE}" pid="9" name="MSIP_Label_6bd9ddd1-4d20-43f6-abfa-fc3c07406f94_SetDate">
    <vt:lpwstr>2025-05-27T10:39:44Z</vt:lpwstr>
  </property>
  <property fmtid="{D5CDD505-2E9C-101B-9397-08002B2CF9AE}" pid="10" name="MSIP_Label_6bd9ddd1-4d20-43f6-abfa-fc3c07406f94_Method">
    <vt:lpwstr>Standard</vt:lpwstr>
  </property>
  <property fmtid="{D5CDD505-2E9C-101B-9397-08002B2CF9AE}" pid="11" name="MSIP_Label_6bd9ddd1-4d20-43f6-abfa-fc3c07406f94_Name">
    <vt:lpwstr>Commission Use</vt:lpwstr>
  </property>
  <property fmtid="{D5CDD505-2E9C-101B-9397-08002B2CF9AE}" pid="12" name="MSIP_Label_6bd9ddd1-4d20-43f6-abfa-fc3c07406f94_SiteId">
    <vt:lpwstr>b24c8b06-522c-46fe-9080-70926f8dddb1</vt:lpwstr>
  </property>
  <property fmtid="{D5CDD505-2E9C-101B-9397-08002B2CF9AE}" pid="13" name="MSIP_Label_6bd9ddd1-4d20-43f6-abfa-fc3c07406f94_ActionId">
    <vt:lpwstr>c6fdd166-9bd3-44c7-af1e-f931a0944a76</vt:lpwstr>
  </property>
  <property fmtid="{D5CDD505-2E9C-101B-9397-08002B2CF9AE}" pid="14" name="MSIP_Label_6bd9ddd1-4d20-43f6-abfa-fc3c07406f94_ContentBits">
    <vt:lpwstr>0</vt:lpwstr>
  </property>
</Properties>
</file>