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5A6F54" w14:textId="55FCFDFD" w:rsidR="00664C5A" w:rsidRPr="00B13BA4" w:rsidRDefault="0044323E" w:rsidP="0044323E">
      <w:pPr>
        <w:pStyle w:val="Pagedecouverture"/>
        <w:rPr>
          <w:noProof/>
        </w:rPr>
      </w:pPr>
      <w:bookmarkStart w:id="0" w:name="LW_BM_COVERPAGE"/>
      <w:r>
        <w:rPr>
          <w:noProof/>
        </w:rPr>
        <w:pict w14:anchorId="771073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AFB6890-A2B2-4983-A07A-086E5648A113" style="width:455.25pt;height:296.25pt">
            <v:imagedata r:id="rId8" o:title=""/>
          </v:shape>
        </w:pict>
      </w:r>
    </w:p>
    <w:bookmarkEnd w:id="0"/>
    <w:p w14:paraId="04B7728F" w14:textId="77777777" w:rsidR="00664C5A" w:rsidRPr="00B13BA4" w:rsidRDefault="00664C5A" w:rsidP="00805EE0">
      <w:pPr>
        <w:spacing w:before="100" w:beforeAutospacing="1" w:after="100" w:afterAutospacing="1" w:line="240" w:lineRule="auto"/>
        <w:rPr>
          <w:rFonts w:ascii="Times New Roman" w:hAnsi="Times New Roman" w:cs="Times New Roman"/>
          <w:noProof/>
          <w:sz w:val="24"/>
          <w:szCs w:val="24"/>
          <w:lang w:val="en-IE"/>
        </w:rPr>
        <w:sectPr w:rsidR="00664C5A" w:rsidRPr="00B13BA4" w:rsidSect="0044323E">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41D8F3AE" w14:textId="41DE75CF" w:rsidR="00EA4148" w:rsidRPr="00B13BA4" w:rsidRDefault="1F4606E0" w:rsidP="00805EE0">
      <w:pPr>
        <w:spacing w:before="100" w:beforeAutospacing="1" w:after="100" w:afterAutospacing="1" w:line="240" w:lineRule="auto"/>
        <w:jc w:val="center"/>
        <w:rPr>
          <w:rFonts w:ascii="Times New Roman" w:hAnsi="Times New Roman" w:cs="Times New Roman"/>
          <w:b/>
          <w:bCs/>
          <w:noProof/>
          <w:sz w:val="24"/>
          <w:szCs w:val="24"/>
        </w:rPr>
      </w:pPr>
      <w:bookmarkStart w:id="1" w:name="_GoBack"/>
      <w:bookmarkEnd w:id="1"/>
      <w:r>
        <w:rPr>
          <w:rFonts w:ascii="Times New Roman" w:hAnsi="Times New Roman"/>
          <w:b/>
          <w:noProof/>
          <w:sz w:val="24"/>
        </w:rPr>
        <w:lastRenderedPageBreak/>
        <w:t>Une stratégie numérique internationale pour l’Union européenne</w:t>
      </w:r>
    </w:p>
    <w:p w14:paraId="1570B5A8" w14:textId="77777777" w:rsidR="00AC1A20" w:rsidRPr="00C32F8C" w:rsidRDefault="00AC1A20" w:rsidP="00F0622D">
      <w:pPr>
        <w:spacing w:before="100" w:beforeAutospacing="1" w:after="100" w:afterAutospacing="1" w:line="240" w:lineRule="auto"/>
        <w:jc w:val="both"/>
        <w:rPr>
          <w:rFonts w:ascii="Times New Roman" w:hAnsi="Times New Roman" w:cs="Times New Roman"/>
          <w:noProof/>
          <w:sz w:val="24"/>
          <w:szCs w:val="24"/>
          <w:lang w:val="fr-BE"/>
        </w:rPr>
      </w:pPr>
    </w:p>
    <w:p w14:paraId="5F755BAC" w14:textId="12EE67B7" w:rsidR="00E97B4C" w:rsidRPr="00D01387" w:rsidRDefault="00E97B4C" w:rsidP="00F0622D">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En Europe et dans le monde, la révolution liée aux technologies numériques et à l’intelligence artificielle (IA) remodèle les économies et les sociétés. Les acteurs économiques et les pays qui sont en mesure de maîtriser ces technologies bénéficient d’un avantage économique décisif au niveau de leur compétitivité et de leur efficacité, mais ils peuvent également les utiliser pour renforcer leur défense et leur sécurité nationales, ainsi que pour veiller à ce qu’elles soient alignées sur les valeurs fondamentales de leur société. À l’inverse, une adoption tardive de ces technologies risque d’entraîner un retard économique et de compromettre la souveraineté nationale.</w:t>
      </w:r>
    </w:p>
    <w:p w14:paraId="6CCC7945" w14:textId="47106360" w:rsidR="00FE5677" w:rsidRDefault="00FE5677" w:rsidP="00067C43">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Dans ce contexte, l’Union européenne (UE) est déterminée à renforcer sa compétitivité technologique et sa capacité d’innovation tout en collaborant avec ses partenaires et alliés afin de les aider dans leur propre transition numérique. Aucun pays ni aucune région ne peut faire face isolément à la révolution numérique et à la révolution de l’IA. L’UE reste attachée à l’ordre mondial fondé sur des règles et à la défense de ses valeurs fondamentales.</w:t>
      </w:r>
    </w:p>
    <w:p w14:paraId="7AD95A80" w14:textId="274D9705" w:rsidR="00793970" w:rsidRDefault="00793970" w:rsidP="00BB6DC2">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Pour la compétitivité, la sécurité économique et la capacité de défense de l’UE, il est essentiel de coopérer étroitement avec nos partenaires et nos alliés technologiques afin de renforcer la capacité des entreprises technologiques européennes à innover et à prospérer à l’échelle mondiale. Des efforts concertés de l’UE sont nécessaires pour que celle-ci puisse défendre ses intérêts et ses valeurs fondamentales dans le cadre de la gouvernance numérique mondiale.</w:t>
      </w:r>
    </w:p>
    <w:p w14:paraId="073B673F" w14:textId="2D270234" w:rsidR="00346048" w:rsidRPr="00BB6DC2" w:rsidRDefault="00AB01A3" w:rsidP="00BB6DC2">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La présente stratégie définit la base sur laquelle l’UE, selon une démarche concertée, s’appuiera pour atteindre ces objectifs.</w:t>
      </w:r>
    </w:p>
    <w:p w14:paraId="2C2F3828" w14:textId="6D6D07FB" w:rsidR="00AE26B1" w:rsidRPr="00B13BA4" w:rsidRDefault="00935817" w:rsidP="00D07FC0">
      <w:pPr>
        <w:pStyle w:val="Heading1"/>
        <w:rPr>
          <w:noProof/>
        </w:rPr>
      </w:pPr>
      <w:r>
        <w:rPr>
          <w:noProof/>
        </w:rPr>
        <w:t>Le numérique en tant qu’élément central de l’action extérieure de l’UE</w:t>
      </w:r>
    </w:p>
    <w:p w14:paraId="53AD4E16" w14:textId="66A7679E" w:rsidR="00BE3EC8" w:rsidRDefault="0048795C" w:rsidP="008F7E97">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Dans le contexte géopolitique actuel, l’UE demeure un partenaire fiable et prévisible, déterminé à renforcer ses relations existantes avec ses alliés internationaux et à établir de nouveaux partenariats mutuellement bénéfiques avec les acteurs qui souhaitent œuvrer à la réalisation d’objectifs communs. Le soutien de l’UE à un ordre mondial fondé sur des règles et aligné sur les valeurs de démocratie, d’état de droit et de droits fondamentaux est inébranlable.</w:t>
      </w:r>
    </w:p>
    <w:p w14:paraId="7D05A876" w14:textId="343F1FBD" w:rsidR="00DB3AC8" w:rsidRPr="00B13BA4" w:rsidRDefault="008F7E97" w:rsidP="0884A574">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Le réseau de partenariats bilatéraux et régionaux que l’UE ne cesse de tisser lui permet d’être plus forte sur la scène mondiale, en créant des coalitions pour la réalisation d’objectifs communs au sein des principales enceintes et organisations internationales. Qu’il s’agisse de contribuer à l’élaboration des normes dans les enceintes multilatérales ou de renforcer ses partenariats bilatéraux, l’UE entend avancer dans la réalisation de priorités concrètes et immédiates, tout en protégeant et défendant ses intérêts stratégiques</w:t>
      </w:r>
      <w:r>
        <w:rPr>
          <w:rStyle w:val="FootnoteReference"/>
          <w:rFonts w:ascii="Times New Roman" w:hAnsi="Times New Roman" w:cs="Times New Roman"/>
          <w:noProof/>
          <w:sz w:val="24"/>
          <w:szCs w:val="24"/>
          <w:lang w:val="en-IE"/>
        </w:rPr>
        <w:footnoteReference w:id="2"/>
      </w:r>
      <w:r>
        <w:rPr>
          <w:noProof/>
        </w:rPr>
        <w:t>.</w:t>
      </w:r>
    </w:p>
    <w:p w14:paraId="01B7EA85" w14:textId="0A19A793" w:rsidR="0025159C" w:rsidRPr="00B13BA4" w:rsidRDefault="3B60D8D9" w:rsidP="30C9F5EF">
      <w:pPr>
        <w:spacing w:before="100" w:beforeAutospacing="1" w:after="100" w:afterAutospacing="1" w:line="240" w:lineRule="auto"/>
        <w:jc w:val="both"/>
        <w:rPr>
          <w:rFonts w:ascii="Times New Roman" w:eastAsia="Times New Roman" w:hAnsi="Times New Roman" w:cs="Times New Roman"/>
          <w:noProof/>
          <w:sz w:val="24"/>
          <w:szCs w:val="24"/>
          <w:u w:val="single"/>
        </w:rPr>
      </w:pPr>
      <w:r>
        <w:rPr>
          <w:rFonts w:ascii="Times New Roman" w:hAnsi="Times New Roman"/>
          <w:noProof/>
          <w:sz w:val="24"/>
        </w:rPr>
        <w:t>Comme le souligne le rapport de M. Draghi</w:t>
      </w:r>
      <w:r>
        <w:rPr>
          <w:rStyle w:val="FootnoteReference"/>
          <w:rFonts w:ascii="Times New Roman" w:hAnsi="Times New Roman" w:cs="Times New Roman"/>
          <w:noProof/>
          <w:sz w:val="24"/>
          <w:szCs w:val="24"/>
          <w:lang w:val="en-IE"/>
        </w:rPr>
        <w:footnoteReference w:id="3"/>
      </w:r>
      <w:r>
        <w:rPr>
          <w:rFonts w:ascii="Times New Roman" w:hAnsi="Times New Roman"/>
          <w:noProof/>
          <w:sz w:val="24"/>
        </w:rPr>
        <w:t>, l’écart de productivité entre l’UE et les États-Unis qui se creuse depuis le milieu des années 1990 s’explique en grande partie par la plus grande capacité des États-Unis en matière d’innovation, d’expansion à l’échelle mondiale et de réussite dans le secteur technologique. L’UE est par ailleurs confrontée au risque d’instrumentalisation de ses dépendances technologiques et économiques et au risque de fuite de technologies critiques. Comme indiqué dans la stratégie ProtectEU</w:t>
      </w:r>
      <w:r>
        <w:rPr>
          <w:rStyle w:val="FootnoteReference"/>
          <w:rFonts w:ascii="Times New Roman" w:hAnsi="Times New Roman" w:cs="Times New Roman"/>
          <w:noProof/>
          <w:sz w:val="24"/>
          <w:szCs w:val="24"/>
          <w:lang w:val="en-IE"/>
        </w:rPr>
        <w:footnoteReference w:id="4"/>
      </w:r>
      <w:r>
        <w:rPr>
          <w:rFonts w:ascii="Times New Roman" w:hAnsi="Times New Roman"/>
          <w:noProof/>
          <w:sz w:val="24"/>
        </w:rPr>
        <w:t xml:space="preserve">, la frontière entre les menaces hors ligne et les menaces en ligne est de plus en plus floue et l’UE doit mieux coopérer avec ses partenaires pour lutter contre l’utilisation abusive des technologies. </w:t>
      </w:r>
    </w:p>
    <w:p w14:paraId="6BA95B87" w14:textId="1C3053B1" w:rsidR="0025159C" w:rsidRPr="00B13BA4" w:rsidRDefault="0025159C" w:rsidP="57C521E8">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L’UE peut compter sur plusieurs atouts pour renforcer sa compétitivité technologique et sa capacité d’innovation, comme indiqué dans la boussole pour la compétitivité de l’UE</w:t>
      </w:r>
      <w:r>
        <w:rPr>
          <w:rStyle w:val="FootnoteReference"/>
          <w:rFonts w:ascii="Times New Roman" w:hAnsi="Times New Roman" w:cs="Times New Roman"/>
          <w:noProof/>
          <w:sz w:val="24"/>
          <w:szCs w:val="24"/>
          <w:lang w:val="en-IE"/>
        </w:rPr>
        <w:footnoteReference w:id="5"/>
      </w:r>
      <w:r>
        <w:rPr>
          <w:rFonts w:ascii="Times New Roman" w:hAnsi="Times New Roman"/>
          <w:noProof/>
          <w:sz w:val="24"/>
        </w:rPr>
        <w:t>. Elle dispose d’un marché unique numérique vaste et intégré et est le plus grand importateur et exportateur mondial de services fournis par voie numérique</w:t>
      </w:r>
      <w:r>
        <w:rPr>
          <w:rStyle w:val="FootnoteReference"/>
          <w:rFonts w:ascii="Times New Roman" w:hAnsi="Times New Roman" w:cs="Times New Roman"/>
          <w:noProof/>
          <w:sz w:val="24"/>
          <w:szCs w:val="24"/>
          <w:lang w:val="en-IE"/>
        </w:rPr>
        <w:footnoteReference w:id="6"/>
      </w:r>
      <w:r>
        <w:rPr>
          <w:rFonts w:ascii="Times New Roman" w:hAnsi="Times New Roman"/>
          <w:noProof/>
          <w:sz w:val="24"/>
        </w:rPr>
        <w:t>. Elle accueille des entreprises qui sont des fers de lance technologiques au niveau mondial et de plus en plus de jeunes pousses technologiques y démarrent leurs activités</w:t>
      </w:r>
      <w:r>
        <w:rPr>
          <w:rStyle w:val="FootnoteReference"/>
          <w:rFonts w:ascii="Times New Roman" w:hAnsi="Times New Roman" w:cs="Times New Roman"/>
          <w:noProof/>
          <w:sz w:val="24"/>
          <w:szCs w:val="24"/>
          <w:lang w:val="en-IE"/>
        </w:rPr>
        <w:footnoteReference w:id="7"/>
      </w:r>
      <w:r>
        <w:rPr>
          <w:rFonts w:ascii="Times New Roman" w:hAnsi="Times New Roman"/>
          <w:noProof/>
          <w:sz w:val="24"/>
        </w:rPr>
        <w:t xml:space="preserve">. Elle peut tirer parti d’activités de recherche et d’innovation d’envergure mondiale et a la capacité de fournir des solutions technologiques intégrées aux pays partenaires qui cherchent à préserver leur souveraineté numérique et à mettre en œuvre une transformation numérique centrée sur l’humain. </w:t>
      </w:r>
    </w:p>
    <w:p w14:paraId="1F44AC81" w14:textId="3877F597" w:rsidR="0025159C" w:rsidRPr="00B13BA4" w:rsidRDefault="0025159C" w:rsidP="7E8CDF2B">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Dans le cadre de son programme d’action pour la décennie numérique à l’horizon 2030</w:t>
      </w:r>
      <w:r>
        <w:rPr>
          <w:rStyle w:val="FootnoteReference"/>
          <w:rFonts w:ascii="Times New Roman" w:eastAsia="Times New Roman" w:hAnsi="Times New Roman" w:cs="Times New Roman"/>
          <w:noProof/>
          <w:sz w:val="24"/>
          <w:szCs w:val="24"/>
          <w:lang w:val="en-IE"/>
        </w:rPr>
        <w:footnoteReference w:id="8"/>
      </w:r>
      <w:r>
        <w:rPr>
          <w:rFonts w:ascii="Times New Roman" w:hAnsi="Times New Roman"/>
          <w:noProof/>
          <w:sz w:val="24"/>
        </w:rPr>
        <w:t>, l’UE vise à stimuler les investissements dans les infrastructures de connectivité, les compétences et la recherche</w:t>
      </w:r>
      <w:r>
        <w:rPr>
          <w:rStyle w:val="FootnoteReference"/>
          <w:rFonts w:ascii="Times New Roman" w:eastAsia="Times New Roman" w:hAnsi="Times New Roman" w:cs="Times New Roman"/>
          <w:noProof/>
          <w:sz w:val="24"/>
          <w:szCs w:val="24"/>
          <w:lang w:val="en-IE"/>
        </w:rPr>
        <w:footnoteReference w:id="9"/>
      </w:r>
      <w:r>
        <w:rPr>
          <w:rFonts w:ascii="Times New Roman" w:hAnsi="Times New Roman"/>
          <w:noProof/>
          <w:sz w:val="24"/>
        </w:rPr>
        <w:t xml:space="preserve">, ainsi qu’à créer des conditions plus propices à l’émergence et à l’expansion de jeunes pousses de rupture européennes. Étant donné que les technologies telles que l’IA, les semi-conducteurs, l’informatique en nuage et l’informatique quantique modifient fondamentalement le paysage industriel ainsi que celui de la défense et de la sécurité, l’Europe a besoin d’une industrie capable de concevoir, de développer, de fabriquer et de fournir ces technologies et ces produits plus rapidement et à grande échelle. </w:t>
      </w:r>
    </w:p>
    <w:p w14:paraId="1436A901" w14:textId="3FB56F50" w:rsidR="009F5B77" w:rsidRDefault="0025159C" w:rsidP="30C9F5EF">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En menant une </w:t>
      </w:r>
      <w:r>
        <w:rPr>
          <w:rFonts w:ascii="Times New Roman" w:hAnsi="Times New Roman"/>
          <w:b/>
          <w:noProof/>
          <w:sz w:val="24"/>
        </w:rPr>
        <w:t>diplomatie numérique</w:t>
      </w:r>
      <w:r>
        <w:rPr>
          <w:rFonts w:ascii="Times New Roman" w:hAnsi="Times New Roman"/>
          <w:noProof/>
          <w:sz w:val="24"/>
        </w:rPr>
        <w:t xml:space="preserve"> de plus en plus active, l’UE a pu s’appuyer sur ces fondements solides qui la caractérisent pour faire progresser ses priorités internationales et établir des partenariats</w:t>
      </w:r>
      <w:r>
        <w:rPr>
          <w:rStyle w:val="FootnoteReference"/>
          <w:rFonts w:ascii="Times New Roman" w:hAnsi="Times New Roman" w:cs="Times New Roman"/>
          <w:noProof/>
          <w:sz w:val="24"/>
          <w:szCs w:val="24"/>
          <w:lang w:val="en-IE"/>
        </w:rPr>
        <w:footnoteReference w:id="10"/>
      </w:r>
      <w:r>
        <w:rPr>
          <w:rFonts w:ascii="Times New Roman" w:hAnsi="Times New Roman"/>
          <w:noProof/>
          <w:sz w:val="24"/>
        </w:rPr>
        <w:t>. Les investissements et les initiatives lancés dans le cadre de la stratégie «</w:t>
      </w:r>
      <w:r>
        <w:rPr>
          <w:rFonts w:ascii="Times New Roman" w:hAnsi="Times New Roman"/>
          <w:b/>
          <w:bCs/>
          <w:noProof/>
          <w:sz w:val="24"/>
        </w:rPr>
        <w:t>Global Gateway</w:t>
      </w:r>
      <w:r>
        <w:rPr>
          <w:rFonts w:ascii="Times New Roman" w:hAnsi="Times New Roman"/>
          <w:noProof/>
          <w:sz w:val="24"/>
        </w:rPr>
        <w:t>», y compris dans les pays concernés par l’élargissement et les pays voisins, notamment les plans de croissance de l’UE, démontrent l’importance stratégique du secteur numérique d’un point de vue géopolitique, sécuritaire et économique.</w:t>
      </w:r>
      <w:r>
        <w:rPr>
          <w:noProof/>
        </w:rPr>
        <w:t xml:space="preserve"> </w:t>
      </w:r>
    </w:p>
    <w:p w14:paraId="6755736C" w14:textId="6B5A7499" w:rsidR="0025159C" w:rsidRPr="00B13BA4" w:rsidRDefault="0025159C" w:rsidP="30C9F5EF">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À la lumière des atouts et des politiques et actions internes de l’UE, la stratégie numérique internationale pour l’Union européenne sera donc axée sur les objectifs suivants:</w:t>
      </w:r>
    </w:p>
    <w:p w14:paraId="0B84951F" w14:textId="5EB9D280" w:rsidR="0025159C" w:rsidRPr="00B13BA4" w:rsidRDefault="0025159C" w:rsidP="00110C84">
      <w:pPr>
        <w:pStyle w:val="ListParagraph"/>
        <w:numPr>
          <w:ilvl w:val="0"/>
          <w:numId w:val="8"/>
        </w:numPr>
        <w:spacing w:before="100" w:beforeAutospacing="1" w:after="100" w:afterAutospacing="1" w:line="240" w:lineRule="auto"/>
        <w:contextualSpacing w:val="0"/>
        <w:jc w:val="both"/>
        <w:rPr>
          <w:rFonts w:ascii="Times New Roman" w:hAnsi="Times New Roman" w:cs="Times New Roman"/>
          <w:noProof/>
          <w:sz w:val="24"/>
          <w:szCs w:val="24"/>
        </w:rPr>
      </w:pPr>
      <w:r>
        <w:rPr>
          <w:rFonts w:ascii="Times New Roman" w:hAnsi="Times New Roman"/>
          <w:b/>
          <w:noProof/>
          <w:sz w:val="24"/>
        </w:rPr>
        <w:t>stimuler la compétitivité technologique de l’UE grâce à la coopération économique et commerciale.</w:t>
      </w:r>
      <w:r>
        <w:rPr>
          <w:rFonts w:ascii="Times New Roman" w:hAnsi="Times New Roman"/>
          <w:noProof/>
          <w:sz w:val="24"/>
        </w:rPr>
        <w:t xml:space="preserve"> L’UE continuera de coopérer avec des partenaires de confiance afin de renforcer son rôle de chef de file dans le domaine des technologies émergentes, notamment par la recherche et l’innovation et en attirant les investissements et les talents étrangers; utilisera ses outils internationaux pour élaborer ses propres solutions technologiques et les promouvoir dans le monde entier; et élargira encore son réseau d’accords sur le commerce numérique;</w:t>
      </w:r>
    </w:p>
    <w:p w14:paraId="4A84018C" w14:textId="175CB837" w:rsidR="0025159C" w:rsidRPr="00B13BA4" w:rsidRDefault="0025159C" w:rsidP="00110C84">
      <w:pPr>
        <w:pStyle w:val="ListParagraph"/>
        <w:numPr>
          <w:ilvl w:val="0"/>
          <w:numId w:val="8"/>
        </w:numPr>
        <w:spacing w:before="100" w:beforeAutospacing="1" w:after="100" w:afterAutospacing="1" w:line="240" w:lineRule="auto"/>
        <w:contextualSpacing w:val="0"/>
        <w:jc w:val="both"/>
        <w:rPr>
          <w:rFonts w:ascii="Times New Roman" w:hAnsi="Times New Roman" w:cs="Times New Roman"/>
          <w:noProof/>
          <w:sz w:val="24"/>
          <w:szCs w:val="24"/>
        </w:rPr>
      </w:pPr>
      <w:r>
        <w:rPr>
          <w:rFonts w:ascii="Times New Roman" w:hAnsi="Times New Roman"/>
          <w:b/>
          <w:noProof/>
          <w:sz w:val="24"/>
        </w:rPr>
        <w:t>promouvoir un niveau élevé de sécurité pour l’UE et ses partenaires.</w:t>
      </w:r>
      <w:r>
        <w:rPr>
          <w:rFonts w:ascii="Times New Roman" w:hAnsi="Times New Roman"/>
          <w:noProof/>
          <w:sz w:val="24"/>
        </w:rPr>
        <w:t xml:space="preserve"> Conformément aux engagements existants</w:t>
      </w:r>
      <w:r>
        <w:rPr>
          <w:rStyle w:val="FootnoteReference"/>
          <w:rFonts w:ascii="Times New Roman" w:hAnsi="Times New Roman" w:cs="Times New Roman"/>
          <w:noProof/>
          <w:sz w:val="24"/>
          <w:szCs w:val="24"/>
          <w:lang w:val="en-IE"/>
        </w:rPr>
        <w:footnoteReference w:id="11"/>
      </w:r>
      <w:r>
        <w:rPr>
          <w:rFonts w:ascii="Times New Roman" w:hAnsi="Times New Roman"/>
          <w:noProof/>
          <w:sz w:val="24"/>
        </w:rPr>
        <w:t>, l’UE continuera de renforcer sa cybersécurité et sa cyberdéfense, en particulier en ce qui concerne les infrastructures critiques essentielles; renforcera la sécurité de la recherche tout en intensifiant la recherche dans les domaines liés à la sécurité; luttera contre les menaces hybrides et les activités de manipulation de l’information et d’ingérence menées depuis l’étranger; renforcera la résilience, la sécurité et la stabilité des chaînes d’approvisionnement des TIC, y compris au-delà de ses frontières; luttera contre la cybercriminalité au moyen d’opérations conjointes</w:t>
      </w:r>
      <w:r>
        <w:rPr>
          <w:rStyle w:val="FootnoteReference"/>
          <w:rFonts w:ascii="Times New Roman" w:hAnsi="Times New Roman" w:cs="Times New Roman"/>
          <w:noProof/>
          <w:sz w:val="24"/>
          <w:szCs w:val="24"/>
          <w:lang w:val="en-IE"/>
        </w:rPr>
        <w:footnoteReference w:id="12"/>
      </w:r>
      <w:r>
        <w:rPr>
          <w:rFonts w:ascii="Times New Roman" w:hAnsi="Times New Roman"/>
          <w:noProof/>
          <w:sz w:val="24"/>
        </w:rPr>
        <w:t>, y compris dans le cadre d’une coopération bilatérale et multilatérale; et favorisera l’essor de fournisseurs fiables de technologies numériques, y compris dans le domaine des technologies à double usage telles que l’IA et l’informatique quantique;</w:t>
      </w:r>
    </w:p>
    <w:p w14:paraId="0F41D4CB" w14:textId="4954452C" w:rsidR="0025159C" w:rsidRPr="00B13BA4" w:rsidRDefault="0025159C" w:rsidP="00110C84">
      <w:pPr>
        <w:pStyle w:val="ListParagraph"/>
        <w:numPr>
          <w:ilvl w:val="0"/>
          <w:numId w:val="8"/>
        </w:numPr>
        <w:spacing w:before="100" w:beforeAutospacing="1" w:after="100" w:afterAutospacing="1" w:line="240" w:lineRule="auto"/>
        <w:contextualSpacing w:val="0"/>
        <w:jc w:val="both"/>
        <w:rPr>
          <w:rFonts w:ascii="Times New Roman" w:hAnsi="Times New Roman" w:cs="Times New Roman"/>
          <w:noProof/>
          <w:sz w:val="24"/>
          <w:szCs w:val="24"/>
        </w:rPr>
      </w:pPr>
      <w:r>
        <w:rPr>
          <w:rFonts w:ascii="Times New Roman" w:hAnsi="Times New Roman"/>
          <w:b/>
          <w:noProof/>
          <w:sz w:val="24"/>
        </w:rPr>
        <w:t>façonner la gouvernance numérique mondiale et ses normes avec un réseau de partenaires.</w:t>
      </w:r>
      <w:r>
        <w:rPr>
          <w:rFonts w:ascii="Times New Roman" w:hAnsi="Times New Roman"/>
          <w:noProof/>
          <w:sz w:val="24"/>
        </w:rPr>
        <w:t xml:space="preserve"> L’UE continuera de défendre son approche fondée sur des valeurs pour la gouvernance numérique et les normes numériques afin de faire en sorte que la transformation numérique mondiale soit centrée sur l’humain, digne de confiance et respectueuse des droits de l’homme et des libertés fondamentales. En agissant avec détermination, l’UE peut être un acteur de premier plan pour faire avancer de façon responsable le progrès technologique au niveau mondial.</w:t>
      </w:r>
    </w:p>
    <w:p w14:paraId="17F06A95" w14:textId="4A348EC0" w:rsidR="0025159C" w:rsidRPr="00B13BA4" w:rsidRDefault="0025159C" w:rsidP="00D07FC0">
      <w:pPr>
        <w:pStyle w:val="Heading1"/>
        <w:rPr>
          <w:noProof/>
        </w:rPr>
      </w:pPr>
      <w:r>
        <w:rPr>
          <w:noProof/>
        </w:rPr>
        <w:t xml:space="preserve">Élargir le réseau de partenaires internationaux de l’UE </w:t>
      </w:r>
    </w:p>
    <w:p w14:paraId="5832FAA3" w14:textId="0B16BE97" w:rsidR="000B0606" w:rsidRDefault="0025159C" w:rsidP="30C9F5EF">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Grâce aux Conseils ministériels du commerce et des technologies</w:t>
      </w:r>
      <w:r>
        <w:rPr>
          <w:rStyle w:val="FootnoteReference"/>
          <w:rFonts w:ascii="Times New Roman" w:hAnsi="Times New Roman" w:cs="Times New Roman"/>
          <w:noProof/>
          <w:sz w:val="24"/>
          <w:szCs w:val="24"/>
          <w:lang w:val="en-IE"/>
        </w:rPr>
        <w:footnoteReference w:id="13"/>
      </w:r>
      <w:r>
        <w:rPr>
          <w:rFonts w:ascii="Times New Roman" w:hAnsi="Times New Roman"/>
          <w:noProof/>
          <w:sz w:val="24"/>
        </w:rPr>
        <w:t>, aux partenariats numériques</w:t>
      </w:r>
      <w:r>
        <w:rPr>
          <w:rStyle w:val="FootnoteReference"/>
          <w:rFonts w:ascii="Times New Roman" w:hAnsi="Times New Roman" w:cs="Times New Roman"/>
          <w:noProof/>
          <w:sz w:val="24"/>
          <w:szCs w:val="24"/>
          <w:lang w:val="en-IE"/>
        </w:rPr>
        <w:footnoteReference w:id="14"/>
      </w:r>
      <w:r>
        <w:rPr>
          <w:rFonts w:ascii="Times New Roman" w:hAnsi="Times New Roman"/>
          <w:noProof/>
          <w:sz w:val="24"/>
        </w:rPr>
        <w:t xml:space="preserve"> et aux dialogues numériques</w:t>
      </w:r>
      <w:r>
        <w:rPr>
          <w:rStyle w:val="FootnoteReference"/>
          <w:rFonts w:ascii="Times New Roman" w:hAnsi="Times New Roman" w:cs="Times New Roman"/>
          <w:noProof/>
          <w:sz w:val="24"/>
          <w:szCs w:val="24"/>
          <w:lang w:val="en-IE"/>
        </w:rPr>
        <w:footnoteReference w:id="15"/>
      </w:r>
      <w:r>
        <w:rPr>
          <w:rFonts w:ascii="Times New Roman" w:hAnsi="Times New Roman"/>
          <w:noProof/>
          <w:sz w:val="24"/>
        </w:rPr>
        <w:t xml:space="preserve">, l’UE a mis en place une </w:t>
      </w:r>
      <w:r>
        <w:rPr>
          <w:rFonts w:ascii="Times New Roman" w:hAnsi="Times New Roman"/>
          <w:b/>
          <w:bCs/>
          <w:noProof/>
          <w:sz w:val="24"/>
        </w:rPr>
        <w:t>coopération numérique régionale et bilatérale forte avec ses partenaires</w:t>
      </w:r>
      <w:r>
        <w:rPr>
          <w:rFonts w:ascii="Times New Roman" w:hAnsi="Times New Roman"/>
          <w:noProof/>
          <w:sz w:val="24"/>
        </w:rPr>
        <w:t>. Elle entretient des dialogues sur le cyberespace avec un large éventail de partenaires</w:t>
      </w:r>
      <w:r>
        <w:rPr>
          <w:rStyle w:val="FootnoteReference"/>
          <w:rFonts w:ascii="Times New Roman" w:hAnsi="Times New Roman" w:cs="Times New Roman"/>
          <w:noProof/>
          <w:sz w:val="24"/>
          <w:szCs w:val="24"/>
          <w:lang w:val="en-IE"/>
        </w:rPr>
        <w:footnoteReference w:id="16"/>
      </w:r>
      <w:r>
        <w:rPr>
          <w:rFonts w:ascii="Times New Roman" w:hAnsi="Times New Roman"/>
          <w:noProof/>
          <w:sz w:val="24"/>
        </w:rPr>
        <w:t>, et les questions numériques sont une considération de plus en plus importante dans les partenariats globaux et stratégiques sur mesure</w:t>
      </w:r>
      <w:r>
        <w:rPr>
          <w:rStyle w:val="FootnoteReference"/>
          <w:rFonts w:ascii="Times New Roman" w:hAnsi="Times New Roman" w:cs="Times New Roman"/>
          <w:noProof/>
          <w:sz w:val="24"/>
          <w:szCs w:val="24"/>
          <w:lang w:val="en-IE"/>
        </w:rPr>
        <w:footnoteReference w:id="17"/>
      </w:r>
      <w:r>
        <w:rPr>
          <w:rFonts w:ascii="Times New Roman" w:hAnsi="Times New Roman"/>
          <w:noProof/>
          <w:sz w:val="24"/>
        </w:rPr>
        <w:t xml:space="preserve">. </w:t>
      </w:r>
    </w:p>
    <w:p w14:paraId="6D56E335" w14:textId="55EBF56B" w:rsidR="0025159C" w:rsidRPr="00B13BA4" w:rsidRDefault="0025159C" w:rsidP="30C9F5EF">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De plus, la coopération numérique s’appuie également sur l’association des pays partenaires à des programmes clés de l’UE, notamment Horizon Europe</w:t>
      </w:r>
      <w:r>
        <w:rPr>
          <w:rStyle w:val="FootnoteReference"/>
          <w:rFonts w:ascii="Times New Roman" w:hAnsi="Times New Roman" w:cs="Times New Roman"/>
          <w:noProof/>
          <w:sz w:val="24"/>
          <w:szCs w:val="24"/>
          <w:lang w:val="en-IE"/>
        </w:rPr>
        <w:footnoteReference w:id="18"/>
      </w:r>
      <w:r>
        <w:rPr>
          <w:rFonts w:ascii="Times New Roman" w:hAnsi="Times New Roman"/>
          <w:noProof/>
          <w:sz w:val="24"/>
        </w:rPr>
        <w:t xml:space="preserve"> et le programme pour une Europe numérique</w:t>
      </w:r>
      <w:r>
        <w:rPr>
          <w:rStyle w:val="FootnoteReference"/>
          <w:rFonts w:ascii="Times New Roman" w:hAnsi="Times New Roman" w:cs="Times New Roman"/>
          <w:noProof/>
          <w:sz w:val="24"/>
          <w:szCs w:val="24"/>
          <w:lang w:val="en-IE"/>
        </w:rPr>
        <w:footnoteReference w:id="19"/>
      </w:r>
      <w:r>
        <w:rPr>
          <w:rFonts w:ascii="Times New Roman" w:hAnsi="Times New Roman"/>
          <w:noProof/>
          <w:sz w:val="24"/>
        </w:rPr>
        <w:t>, pour la coopération en matière de recherche et d’innovation avancées et le déploiement des technologies numériques.</w:t>
      </w:r>
    </w:p>
    <w:p w14:paraId="77FEA7EF" w14:textId="6D157D1E" w:rsidR="0025159C" w:rsidRDefault="00FC5200" w:rsidP="30C9F5EF">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L’harmonisation des principales politiques en matière de transformation numérique, l’investissement dans une connectivité numérique sécurisée et la stimulation de l’innovation sont également au cœur de la coopération de l’UE avec </w:t>
      </w:r>
      <w:r>
        <w:rPr>
          <w:rFonts w:ascii="Times New Roman" w:hAnsi="Times New Roman"/>
          <w:b/>
          <w:bCs/>
          <w:noProof/>
          <w:sz w:val="24"/>
        </w:rPr>
        <w:t>les pays concernés par l’élargissement et les pays voisins</w:t>
      </w:r>
      <w:r>
        <w:rPr>
          <w:rFonts w:ascii="Times New Roman" w:hAnsi="Times New Roman"/>
          <w:noProof/>
          <w:sz w:val="24"/>
        </w:rPr>
        <w:t>, et ce dans le cadre d’instruments tels que les accords de libre-échange approfondis et complets ou les accords de stabilisation et d’association. Ces accords commerciaux et d’autres instruments connexes, tels que les plans de croissance pour les Balkans occidentaux</w:t>
      </w:r>
      <w:r>
        <w:rPr>
          <w:rStyle w:val="FootnoteReference"/>
          <w:rFonts w:ascii="Times New Roman" w:eastAsia="Times New Roman" w:hAnsi="Times New Roman" w:cs="Times New Roman"/>
          <w:noProof/>
          <w:sz w:val="24"/>
          <w:szCs w:val="24"/>
          <w:lang w:val="en-IE"/>
        </w:rPr>
        <w:footnoteReference w:id="20"/>
      </w:r>
      <w:r>
        <w:rPr>
          <w:rFonts w:ascii="Times New Roman" w:hAnsi="Times New Roman"/>
          <w:noProof/>
          <w:sz w:val="24"/>
        </w:rPr>
        <w:t>, la facilité pour les réformes et la croissance en faveur de la Moldavie</w:t>
      </w:r>
      <w:r>
        <w:rPr>
          <w:rStyle w:val="FootnoteReference"/>
          <w:rFonts w:ascii="Times New Roman" w:eastAsia="Times New Roman" w:hAnsi="Times New Roman" w:cs="Times New Roman"/>
          <w:noProof/>
          <w:sz w:val="24"/>
          <w:szCs w:val="24"/>
          <w:lang w:val="en-IE"/>
        </w:rPr>
        <w:footnoteReference w:id="21"/>
      </w:r>
      <w:r>
        <w:rPr>
          <w:rFonts w:ascii="Times New Roman" w:hAnsi="Times New Roman"/>
          <w:noProof/>
          <w:sz w:val="24"/>
        </w:rPr>
        <w:t xml:space="preserve"> et la facilité pour l’Ukraine</w:t>
      </w:r>
      <w:r>
        <w:rPr>
          <w:rStyle w:val="FootnoteReference"/>
          <w:rFonts w:ascii="Times New Roman" w:eastAsia="Times New Roman" w:hAnsi="Times New Roman" w:cs="Times New Roman"/>
          <w:noProof/>
          <w:sz w:val="24"/>
          <w:szCs w:val="24"/>
          <w:lang w:val="en-IE"/>
        </w:rPr>
        <w:footnoteReference w:id="22"/>
      </w:r>
      <w:r>
        <w:rPr>
          <w:rFonts w:ascii="Times New Roman" w:hAnsi="Times New Roman"/>
          <w:noProof/>
          <w:sz w:val="24"/>
        </w:rPr>
        <w:t>, constituent une base stratégique pour l’intégration progressive des pays candidats dans le marché unique numérique</w:t>
      </w:r>
      <w:r>
        <w:rPr>
          <w:rStyle w:val="FootnoteReference"/>
          <w:rFonts w:ascii="Times New Roman" w:eastAsia="Times New Roman" w:hAnsi="Times New Roman" w:cs="Times New Roman"/>
          <w:noProof/>
          <w:sz w:val="24"/>
          <w:szCs w:val="24"/>
          <w:lang w:val="en-IE"/>
        </w:rPr>
        <w:footnoteReference w:id="23"/>
      </w:r>
      <w:r>
        <w:rPr>
          <w:rFonts w:ascii="Times New Roman" w:hAnsi="Times New Roman"/>
          <w:noProof/>
          <w:sz w:val="24"/>
        </w:rPr>
        <w:t xml:space="preserve">. </w:t>
      </w:r>
    </w:p>
    <w:p w14:paraId="209797EA" w14:textId="4B0CF1A1" w:rsidR="00AD1EBC" w:rsidRPr="00B13BA4" w:rsidRDefault="00AD1EBC" w:rsidP="30C9F5EF">
      <w:pPr>
        <w:spacing w:before="100" w:beforeAutospacing="1" w:after="100" w:afterAutospacing="1" w:line="240" w:lineRule="auto"/>
        <w:jc w:val="both"/>
        <w:rPr>
          <w:rFonts w:ascii="Times New Roman" w:eastAsia="Times New Roman" w:hAnsi="Times New Roman" w:cs="Times New Roman"/>
          <w:noProof/>
          <w:sz w:val="24"/>
          <w:szCs w:val="24"/>
        </w:rPr>
      </w:pPr>
      <w:bookmarkStart w:id="2" w:name="_Hlk199330938"/>
      <w:r>
        <w:rPr>
          <w:rFonts w:ascii="Times New Roman" w:hAnsi="Times New Roman"/>
          <w:noProof/>
          <w:sz w:val="24"/>
        </w:rPr>
        <w:t xml:space="preserve">L’UE élabore actuellement un </w:t>
      </w:r>
      <w:r>
        <w:rPr>
          <w:rFonts w:ascii="Times New Roman" w:hAnsi="Times New Roman"/>
          <w:b/>
          <w:bCs/>
          <w:noProof/>
          <w:sz w:val="24"/>
        </w:rPr>
        <w:t>nouveau pacte pour la Méditerranée</w:t>
      </w:r>
      <w:r>
        <w:rPr>
          <w:rFonts w:ascii="Times New Roman" w:hAnsi="Times New Roman"/>
          <w:noProof/>
          <w:sz w:val="24"/>
        </w:rPr>
        <w:t xml:space="preserve"> avec des partenaires du voisinage méridional, en s’appuyant sur le programme pour la Méditerranée de 2021, afin d’approfondir son engagement politique et de renforcer la coopération dans des domaines d’intérêt mutuel, notamment dans le domaine numérique. </w:t>
      </w:r>
      <w:bookmarkEnd w:id="2"/>
    </w:p>
    <w:p w14:paraId="7941C7A3" w14:textId="0D52B8AC" w:rsidR="0025159C" w:rsidRPr="00B13BA4" w:rsidRDefault="0025159C" w:rsidP="30C9F5EF">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L’UE ne cesse d’élargir son réseau d’</w:t>
      </w:r>
      <w:r>
        <w:rPr>
          <w:rFonts w:ascii="Times New Roman" w:hAnsi="Times New Roman"/>
          <w:b/>
          <w:bCs/>
          <w:noProof/>
          <w:sz w:val="24"/>
        </w:rPr>
        <w:t>accords de libre-échange</w:t>
      </w:r>
      <w:r>
        <w:rPr>
          <w:rStyle w:val="FootnoteReference"/>
          <w:rFonts w:ascii="Times New Roman" w:hAnsi="Times New Roman" w:cs="Times New Roman"/>
          <w:noProof/>
          <w:sz w:val="24"/>
          <w:szCs w:val="24"/>
          <w:lang w:val="en-IE"/>
        </w:rPr>
        <w:footnoteReference w:id="24"/>
      </w:r>
      <w:r>
        <w:rPr>
          <w:rFonts w:ascii="Times New Roman" w:hAnsi="Times New Roman"/>
          <w:noProof/>
          <w:sz w:val="24"/>
        </w:rPr>
        <w:t xml:space="preserve"> et d’accords sur le commerce numérique</w:t>
      </w:r>
      <w:r>
        <w:rPr>
          <w:rStyle w:val="FootnoteReference"/>
          <w:rFonts w:ascii="Times New Roman" w:eastAsia="Times New Roman" w:hAnsi="Times New Roman" w:cs="Times New Roman"/>
          <w:noProof/>
          <w:sz w:val="24"/>
          <w:szCs w:val="24"/>
          <w:lang w:val="en-IE"/>
        </w:rPr>
        <w:footnoteReference w:id="25"/>
      </w:r>
      <w:r>
        <w:rPr>
          <w:rFonts w:ascii="Times New Roman" w:hAnsi="Times New Roman"/>
          <w:noProof/>
          <w:sz w:val="24"/>
        </w:rPr>
        <w:t>. Avec ceux-ci, elle vise, entre autres, à mettre en place des règles de haut niveau en matière de commerce numérique qui garantissent un environnement en ligne sécurisé et sûr pour les consommateurs, sont source de transparence, de prévisibilité et de sécurité juridique pour les entreprises, et évitent ou suppriment les obstacles injustifiés au commerce numérique, y compris pour les flux transfrontières de données. En outre, la Commission assure la liaison avec d’autres autorités de réglementation et de contrôle de premier plan, en mettant en place de nouveaux réseaux concernant les services numériques et l’IA.</w:t>
      </w:r>
    </w:p>
    <w:p w14:paraId="3C03C6DD" w14:textId="090566CC" w:rsidR="0025159C" w:rsidRPr="00B13BA4" w:rsidRDefault="0025159C" w:rsidP="7E8CDF2B">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La stratégie «Global Gateway» offre l’occasion d’approfondir les partenariats, dialogues stratégiques et investissements avec des pays du monde entier, notamment dans le cadre de l’alliance numérique UE-Amérique latine et Caraïbes</w:t>
      </w:r>
      <w:r>
        <w:rPr>
          <w:rStyle w:val="FootnoteReference"/>
          <w:rFonts w:ascii="Times New Roman" w:hAnsi="Times New Roman" w:cs="Times New Roman"/>
          <w:noProof/>
          <w:sz w:val="24"/>
          <w:szCs w:val="24"/>
          <w:lang w:val="en-IE"/>
        </w:rPr>
        <w:footnoteReference w:id="26"/>
      </w:r>
      <w:r>
        <w:rPr>
          <w:rFonts w:ascii="Times New Roman" w:hAnsi="Times New Roman"/>
          <w:noProof/>
          <w:sz w:val="24"/>
        </w:rPr>
        <w:t>, de l’arrangement administratif conclu avec Smart Africa</w:t>
      </w:r>
      <w:r>
        <w:rPr>
          <w:rStyle w:val="FootnoteReference"/>
          <w:rFonts w:ascii="Times New Roman" w:hAnsi="Times New Roman" w:cs="Times New Roman"/>
          <w:noProof/>
          <w:sz w:val="24"/>
          <w:szCs w:val="24"/>
          <w:lang w:val="en-IE"/>
        </w:rPr>
        <w:footnoteReference w:id="27"/>
      </w:r>
      <w:r>
        <w:rPr>
          <w:rFonts w:ascii="Times New Roman" w:hAnsi="Times New Roman"/>
          <w:noProof/>
          <w:sz w:val="24"/>
        </w:rPr>
        <w:t>, de l’initiative de l’Équipe Europe pour l’Asie centrale</w:t>
      </w:r>
      <w:r>
        <w:rPr>
          <w:rStyle w:val="FootnoteReference"/>
          <w:rFonts w:ascii="Times New Roman" w:hAnsi="Times New Roman" w:cs="Times New Roman"/>
          <w:noProof/>
          <w:sz w:val="24"/>
          <w:szCs w:val="24"/>
          <w:lang w:val="en-IE"/>
        </w:rPr>
        <w:footnoteReference w:id="28"/>
      </w:r>
      <w:r>
        <w:rPr>
          <w:rFonts w:ascii="Times New Roman" w:hAnsi="Times New Roman"/>
          <w:noProof/>
          <w:sz w:val="24"/>
        </w:rPr>
        <w:t xml:space="preserve"> et des trains de mesures sur l’économie numérique adoptés avec des partenaires d’Afrique, d’Asie et d’Amérique latine</w:t>
      </w:r>
      <w:r>
        <w:rPr>
          <w:rStyle w:val="FootnoteReference"/>
          <w:rFonts w:ascii="Times New Roman" w:eastAsia="Times New Roman" w:hAnsi="Times New Roman" w:cs="Times New Roman"/>
          <w:noProof/>
          <w:sz w:val="24"/>
          <w:szCs w:val="24"/>
          <w:lang w:val="en-IE"/>
        </w:rPr>
        <w:footnoteReference w:id="29"/>
      </w:r>
      <w:r>
        <w:rPr>
          <w:rFonts w:ascii="Times New Roman" w:hAnsi="Times New Roman"/>
          <w:noProof/>
          <w:sz w:val="24"/>
        </w:rPr>
        <w:t>, y compris avec les pays les moins avancés. Les partenariats pour des échanges et des investissements propres</w:t>
      </w:r>
      <w:r>
        <w:rPr>
          <w:rStyle w:val="FootnoteReference"/>
          <w:rFonts w:ascii="Times New Roman" w:eastAsia="Times New Roman" w:hAnsi="Times New Roman" w:cs="Times New Roman"/>
          <w:noProof/>
          <w:sz w:val="24"/>
          <w:szCs w:val="24"/>
          <w:lang w:val="en-IE"/>
        </w:rPr>
        <w:footnoteReference w:id="30"/>
      </w:r>
      <w:r>
        <w:rPr>
          <w:rFonts w:ascii="Times New Roman" w:hAnsi="Times New Roman"/>
          <w:noProof/>
          <w:sz w:val="24"/>
        </w:rPr>
        <w:t xml:space="preserve"> permettent à l’UE de tenir compte des liens qui existent entre les questions numériques, le commerce et les technologies propres. </w:t>
      </w:r>
    </w:p>
    <w:p w14:paraId="4660BB31" w14:textId="368DC0D3" w:rsidR="000561FB" w:rsidRPr="00B13BA4" w:rsidRDefault="0025159C" w:rsidP="0884A574">
      <w:pPr>
        <w:spacing w:before="100" w:beforeAutospacing="1" w:after="100" w:afterAutospacing="1" w:line="240" w:lineRule="auto"/>
        <w:jc w:val="both"/>
        <w:rPr>
          <w:rFonts w:ascii="Times New Roman" w:hAnsi="Times New Roman" w:cs="Times New Roman"/>
          <w:noProof/>
          <w:sz w:val="24"/>
          <w:szCs w:val="24"/>
        </w:rPr>
      </w:pPr>
      <w:bookmarkStart w:id="3" w:name="_Hlk197618305"/>
      <w:r>
        <w:rPr>
          <w:rFonts w:ascii="Times New Roman" w:hAnsi="Times New Roman"/>
          <w:noProof/>
          <w:sz w:val="24"/>
        </w:rPr>
        <w:t xml:space="preserve">La coopération numérique avec l’UE suscite de plus en plus d’intérêt dans le monde entier et, dans le paysage mondial actuel, de nouvelles formes de coopération, plus approfondies et plus souples, sont nécessaires pour favoriser des partenariats mutuellement bénéfiques en reconnaissant les progrès accomplis par bon nombre de nos partenaires dans le domaine numérique, qu’il s’agisse de la dématérialisation des services publics, de la facilitation des paiements électroniques, du soutien aux droits des citoyens ou du renforcement de la résilience locale. L’UE continuera de rechercher des formes de coopération, non seulement avec des partenaires de longue date qui partagent les mêmes valeurs, mais également avec tout pays désireux d’atteindre des objectifs communs. </w:t>
      </w:r>
    </w:p>
    <w:bookmarkEnd w:id="3"/>
    <w:p w14:paraId="653465C6" w14:textId="4DE41C8A" w:rsidR="0025159C" w:rsidRPr="00B13BA4" w:rsidRDefault="0025159C" w:rsidP="00805EE0">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Face à la nécessité d’accélérer sa transformation numérique dans un contexte géopolitique plus difficile, l’UE élargira donc son réseau de partenaires internationaux dans quatre directions:  </w:t>
      </w:r>
    </w:p>
    <w:p w14:paraId="025C5B35" w14:textId="656AE087" w:rsidR="0025159C" w:rsidRPr="00B13BA4" w:rsidRDefault="0025159C" w:rsidP="30C9F5EF">
      <w:pPr>
        <w:pStyle w:val="ListParagraph"/>
        <w:numPr>
          <w:ilvl w:val="0"/>
          <w:numId w:val="6"/>
        </w:num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l’UE </w:t>
      </w:r>
      <w:r>
        <w:rPr>
          <w:rFonts w:ascii="Times New Roman" w:hAnsi="Times New Roman"/>
          <w:b/>
          <w:noProof/>
          <w:sz w:val="24"/>
          <w:u w:val="single"/>
        </w:rPr>
        <w:t>approfondira</w:t>
      </w:r>
      <w:r>
        <w:rPr>
          <w:rFonts w:ascii="Times New Roman" w:hAnsi="Times New Roman"/>
          <w:noProof/>
          <w:sz w:val="24"/>
        </w:rPr>
        <w:t xml:space="preserve"> ses partenariats et dialogues numériques existants, afin de </w:t>
      </w:r>
      <w:r>
        <w:rPr>
          <w:rFonts w:ascii="Times New Roman" w:hAnsi="Times New Roman"/>
          <w:b/>
          <w:bCs/>
          <w:noProof/>
          <w:sz w:val="24"/>
        </w:rPr>
        <w:t>favoriser la coopération dans des domaines clés</w:t>
      </w:r>
      <w:r>
        <w:rPr>
          <w:rFonts w:ascii="Times New Roman" w:hAnsi="Times New Roman"/>
          <w:noProof/>
          <w:sz w:val="24"/>
        </w:rPr>
        <w:t xml:space="preserve">, tels que la recherche et l’innovation, la coopération industrielle et stratégique en matière de technologies émergentes, la transparence et la résilience des chaînes d’approvisionnement mondiales, la sécurité et la durabilité des infrastructures numériques, le déploiement de l’IA et l’innovation, en privilégiant les avantages économiques mutuels et le renforcement de la sécurité économique. Elle proposera que ces partenariats intègrent de façon plus poussée des priorités supplémentaires, telles que la cybersécurité, la sécurité de la recherche, la protection des technologies sensibles et les aspects liés aux technologies à double usage. Elle continuera de participer à des activités avancées de coopération réglementaire. L’approfondissement des partenariats et dialogues numériques supposera également de renforcer le rôle des entreprises de l’UE et des pays partenaires, de stimuler la coopération entre les entreprises ainsi qu’entre les entreprises et les pouvoirs publics, et de rechercher en priorité des possibilités d’investissement; </w:t>
      </w:r>
    </w:p>
    <w:p w14:paraId="0B65DB89" w14:textId="5034769B" w:rsidR="0025159C" w:rsidRPr="00B44802" w:rsidRDefault="0025159C" w:rsidP="30C9F5EF">
      <w:pPr>
        <w:pStyle w:val="ListParagraph"/>
        <w:numPr>
          <w:ilvl w:val="0"/>
          <w:numId w:val="6"/>
        </w:num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l’UE </w:t>
      </w:r>
      <w:r>
        <w:rPr>
          <w:rFonts w:ascii="Times New Roman" w:hAnsi="Times New Roman"/>
          <w:b/>
          <w:noProof/>
          <w:sz w:val="24"/>
          <w:u w:val="single"/>
        </w:rPr>
        <w:t>agrandira</w:t>
      </w:r>
      <w:r>
        <w:rPr>
          <w:rFonts w:ascii="Times New Roman" w:hAnsi="Times New Roman"/>
          <w:noProof/>
          <w:sz w:val="24"/>
        </w:rPr>
        <w:t xml:space="preserve"> le réseau de coopération existant en mettant en place de </w:t>
      </w:r>
      <w:r>
        <w:rPr>
          <w:rFonts w:ascii="Times New Roman" w:hAnsi="Times New Roman"/>
          <w:b/>
          <w:bCs/>
          <w:noProof/>
          <w:sz w:val="24"/>
        </w:rPr>
        <w:t>nouveaux partenariats et dialogues numériques</w:t>
      </w:r>
      <w:r>
        <w:rPr>
          <w:rFonts w:ascii="Times New Roman" w:hAnsi="Times New Roman"/>
          <w:noProof/>
          <w:sz w:val="24"/>
        </w:rPr>
        <w:t xml:space="preserve"> et en élargissant le réseau d’</w:t>
      </w:r>
      <w:r>
        <w:rPr>
          <w:rFonts w:ascii="Times New Roman" w:hAnsi="Times New Roman"/>
          <w:b/>
          <w:bCs/>
          <w:noProof/>
          <w:sz w:val="24"/>
        </w:rPr>
        <w:t>accords sur le commerce numérique</w:t>
      </w:r>
      <w:r>
        <w:rPr>
          <w:rFonts w:ascii="Times New Roman" w:hAnsi="Times New Roman"/>
          <w:noProof/>
          <w:sz w:val="24"/>
        </w:rPr>
        <w:t>. Des partenaires prioritaires seront choisis sur la base des priorités de l’UE et de la coopération bilatérale et régionale existante au niveau de l’UE et des États membres. Dans le cadre de la stratégie «Global Gateway», l’UE s’emploiera à accroître les investissements européens dans les pays partenaires, afin de renforcer ses liens avec les centres de croissance numérique et de contribuer à sa sécurité économique;</w:t>
      </w:r>
    </w:p>
    <w:p w14:paraId="453305D1" w14:textId="53A3D0FA" w:rsidR="0025159C" w:rsidRPr="00B44802" w:rsidRDefault="0025159C" w:rsidP="30C9F5EF">
      <w:pPr>
        <w:pStyle w:val="ListParagraph"/>
        <w:numPr>
          <w:ilvl w:val="0"/>
          <w:numId w:val="6"/>
        </w:num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l’UE </w:t>
      </w:r>
      <w:r>
        <w:rPr>
          <w:rFonts w:ascii="Times New Roman" w:hAnsi="Times New Roman"/>
          <w:b/>
          <w:noProof/>
          <w:sz w:val="24"/>
          <w:u w:val="single"/>
        </w:rPr>
        <w:t>reliera</w:t>
      </w:r>
      <w:r>
        <w:rPr>
          <w:rFonts w:ascii="Times New Roman" w:hAnsi="Times New Roman"/>
          <w:noProof/>
          <w:sz w:val="24"/>
        </w:rPr>
        <w:t xml:space="preserve"> ces partenariats pour leur permettre de </w:t>
      </w:r>
      <w:r>
        <w:rPr>
          <w:rFonts w:ascii="Times New Roman" w:hAnsi="Times New Roman"/>
          <w:b/>
          <w:bCs/>
          <w:noProof/>
          <w:sz w:val="24"/>
        </w:rPr>
        <w:t>fonctionner en réseau</w:t>
      </w:r>
      <w:r>
        <w:rPr>
          <w:rFonts w:ascii="Times New Roman" w:hAnsi="Times New Roman"/>
          <w:noProof/>
          <w:sz w:val="24"/>
        </w:rPr>
        <w:t>. Plus le réseau de partenariats s’élargira, plus il existera des possibilités de travailler ensemble à la réalisation d’intérêts communs. De même, la coopération est de plus en plus nécessaire étant donné que nous sommes confrontés à des défis communs. Elle pourrait consister en des échanges techniques réguliers sur des enjeux communs (par exemple, les technologies émergentes, la connectivité sécurisée et fiable, la normalisation ou la coopération réglementaire), en la préparation de projets communs (par exemple, une coopération en matière de recherche et d’innovation, des projets pilotes en matière d’interopérabilité, des projets communs dans des pays tiers) et en l’organisation d’un réseau rassemblant des représentants de haut niveau de l’UE, de ses États membres et de ses partenaires;</w:t>
      </w:r>
    </w:p>
    <w:p w14:paraId="46B4BE0D" w14:textId="212D47E7" w:rsidR="00603309" w:rsidRPr="00851A8D" w:rsidRDefault="0025159C" w:rsidP="30C9F5EF">
      <w:pPr>
        <w:pStyle w:val="ListParagraph"/>
        <w:numPr>
          <w:ilvl w:val="0"/>
          <w:numId w:val="6"/>
        </w:num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l’UE </w:t>
      </w:r>
      <w:r>
        <w:rPr>
          <w:rFonts w:ascii="Times New Roman" w:hAnsi="Times New Roman"/>
          <w:b/>
          <w:noProof/>
          <w:sz w:val="24"/>
          <w:u w:val="single"/>
        </w:rPr>
        <w:t>renforcera</w:t>
      </w:r>
      <w:r>
        <w:rPr>
          <w:rFonts w:ascii="Times New Roman" w:hAnsi="Times New Roman"/>
          <w:noProof/>
          <w:sz w:val="24"/>
        </w:rPr>
        <w:t xml:space="preserve"> les </w:t>
      </w:r>
      <w:r>
        <w:rPr>
          <w:rFonts w:ascii="Times New Roman" w:hAnsi="Times New Roman"/>
          <w:b/>
          <w:bCs/>
          <w:noProof/>
          <w:sz w:val="24"/>
        </w:rPr>
        <w:t>partenariats en matière de sécurité et de défense</w:t>
      </w:r>
      <w:r>
        <w:rPr>
          <w:rStyle w:val="FootnoteReference"/>
          <w:rFonts w:ascii="Times New Roman" w:hAnsi="Times New Roman" w:cs="Times New Roman"/>
          <w:noProof/>
          <w:sz w:val="24"/>
          <w:szCs w:val="24"/>
          <w:lang w:val="en-IE"/>
        </w:rPr>
        <w:footnoteReference w:id="31"/>
      </w:r>
      <w:r>
        <w:rPr>
          <w:rFonts w:ascii="Times New Roman" w:hAnsi="Times New Roman"/>
          <w:noProof/>
          <w:sz w:val="24"/>
        </w:rPr>
        <w:t xml:space="preserve"> en ce qui concerne les questions numériques, compte tenu de l’importance croissante des infrastructures et technologies numériques avancées. Mobiliser des investissements dans des capacités technologiques avancées à double usage et s’assurer que l’industrie des technologies de sécurité et de défense de l’UE devienne un partenaire central et un moteur de l’innovation dans le domaine de l’IA, des technologies quantiques et d’autres technologies émergentes sont des priorités dans ce domaine.</w:t>
      </w:r>
    </w:p>
    <w:p w14:paraId="536BE1BA" w14:textId="1CA548AE" w:rsidR="002F5F84" w:rsidRDefault="002F5F84" w:rsidP="00851A8D">
      <w:pPr>
        <w:spacing w:before="100" w:beforeAutospacing="1" w:after="100" w:afterAutospacing="1" w:line="240" w:lineRule="auto"/>
        <w:jc w:val="both"/>
        <w:divId w:val="1499727901"/>
        <w:rPr>
          <w:rFonts w:ascii="Times New Roman" w:hAnsi="Times New Roman" w:cs="Times New Roman"/>
          <w:noProof/>
          <w:sz w:val="24"/>
          <w:szCs w:val="24"/>
        </w:rPr>
      </w:pPr>
      <w:r>
        <w:rPr>
          <w:rFonts w:ascii="Times New Roman" w:hAnsi="Times New Roman"/>
          <w:noProof/>
          <w:sz w:val="24"/>
        </w:rPr>
        <w:t>L’UE est d’avis que le développement de l’IA est fondamental pour l’avenir de l’humanité et qu’il ne faut pas simplement y voir une lutte pour la suprématie entre les puissances à la pointe dans ce domaine. C’est pourquoi l’UE continuera de promouvoir son modèle ouvert et collaboratif pour le développement d’une IA digne de confiance, qui repose sur la participation des chercheurs et du secteur privé dans des «fabriques d’IA». À cet égard, la coopération avec des partenaires et alliés attachés aux mêmes principes qui partagent notre respect de l’état de droit et des valeurs fondamentales et démocratiques sera essentielle.</w:t>
      </w:r>
    </w:p>
    <w:p w14:paraId="4F989799" w14:textId="27D89C0D" w:rsidR="0025159C" w:rsidRPr="00FF2EA4" w:rsidRDefault="0025159C" w:rsidP="00805EE0">
      <w:pPr>
        <w:pBdr>
          <w:top w:val="single" w:sz="4" w:space="1" w:color="auto"/>
          <w:left w:val="single" w:sz="4" w:space="1" w:color="auto"/>
          <w:bottom w:val="single" w:sz="4" w:space="1" w:color="auto"/>
          <w:right w:val="single" w:sz="4" w:space="1" w:color="auto"/>
        </w:pBdr>
        <w:shd w:val="clear" w:color="auto" w:fill="D9D9D9" w:themeFill="background1" w:themeFillShade="D9"/>
        <w:spacing w:before="100" w:beforeAutospacing="1" w:after="100" w:afterAutospacing="1" w:line="240" w:lineRule="auto"/>
        <w:jc w:val="both"/>
        <w:rPr>
          <w:rFonts w:ascii="Times New Roman" w:hAnsi="Times New Roman" w:cs="Times New Roman"/>
          <w:b/>
          <w:bCs/>
          <w:noProof/>
          <w:sz w:val="24"/>
          <w:szCs w:val="24"/>
        </w:rPr>
      </w:pPr>
      <w:r>
        <w:rPr>
          <w:rFonts w:ascii="Times New Roman" w:hAnsi="Times New Roman"/>
          <w:b/>
          <w:noProof/>
          <w:sz w:val="24"/>
        </w:rPr>
        <w:t>Exemples de futures actions</w:t>
      </w:r>
    </w:p>
    <w:p w14:paraId="46D6CA2B" w14:textId="28CC701F" w:rsidR="0025159C" w:rsidRPr="00B13BA4" w:rsidRDefault="0025159C" w:rsidP="00FF2EA4">
      <w:pPr>
        <w:pStyle w:val="ListParagraph"/>
        <w:numPr>
          <w:ilvl w:val="0"/>
          <w:numId w:val="16"/>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Préparation de </w:t>
      </w:r>
      <w:r>
        <w:rPr>
          <w:rFonts w:ascii="Times New Roman" w:hAnsi="Times New Roman"/>
          <w:b/>
          <w:bCs/>
          <w:noProof/>
          <w:sz w:val="24"/>
        </w:rPr>
        <w:t>nouveaux partenariats et dialogues numériques</w:t>
      </w:r>
      <w:r>
        <w:rPr>
          <w:rFonts w:ascii="Times New Roman" w:hAnsi="Times New Roman"/>
          <w:noProof/>
          <w:sz w:val="24"/>
        </w:rPr>
        <w:t xml:space="preserve"> potentiels, dans le cadre d’une approche de l’Équipe Europe, pour assurer une coopération étroite avec les États membres, l’industrie, les parties prenantes et les pays partenaires, notamment dans le cadre de la coopération de l’UE avec les pays voisins.</w:t>
      </w:r>
    </w:p>
    <w:p w14:paraId="5D4C1F46" w14:textId="0BE202B2" w:rsidR="0025159C" w:rsidRPr="00B13BA4" w:rsidRDefault="0025159C" w:rsidP="00FF2EA4">
      <w:pPr>
        <w:pStyle w:val="ListParagraph"/>
        <w:numPr>
          <w:ilvl w:val="0"/>
          <w:numId w:val="16"/>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Mise en place d’un </w:t>
      </w:r>
      <w:r>
        <w:rPr>
          <w:rFonts w:ascii="Times New Roman" w:hAnsi="Times New Roman"/>
          <w:b/>
          <w:bCs/>
          <w:noProof/>
          <w:sz w:val="24"/>
        </w:rPr>
        <w:t>réseau de partenariat numérique</w:t>
      </w:r>
      <w:r>
        <w:rPr>
          <w:rFonts w:ascii="Times New Roman" w:hAnsi="Times New Roman"/>
          <w:noProof/>
          <w:sz w:val="24"/>
        </w:rPr>
        <w:t xml:space="preserve"> associant l’UE, ses États membres et ses partenaires.</w:t>
      </w:r>
    </w:p>
    <w:p w14:paraId="36295B63" w14:textId="60883630" w:rsidR="0025159C" w:rsidRPr="00B13BA4" w:rsidRDefault="0025159C" w:rsidP="00FF2EA4">
      <w:pPr>
        <w:pStyle w:val="ListParagraph"/>
        <w:numPr>
          <w:ilvl w:val="0"/>
          <w:numId w:val="16"/>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Renforcement de la coopération pour favoriser les </w:t>
      </w:r>
      <w:r>
        <w:rPr>
          <w:rFonts w:ascii="Times New Roman" w:hAnsi="Times New Roman"/>
          <w:b/>
          <w:bCs/>
          <w:noProof/>
          <w:sz w:val="24"/>
        </w:rPr>
        <w:t>synergies entre les partenariats numériques</w:t>
      </w:r>
      <w:r>
        <w:rPr>
          <w:rFonts w:ascii="Times New Roman" w:hAnsi="Times New Roman"/>
          <w:noProof/>
          <w:sz w:val="24"/>
        </w:rPr>
        <w:t xml:space="preserve"> et les questions technologiques relevant des </w:t>
      </w:r>
      <w:r>
        <w:rPr>
          <w:rFonts w:ascii="Times New Roman" w:hAnsi="Times New Roman"/>
          <w:b/>
          <w:bCs/>
          <w:noProof/>
          <w:sz w:val="24"/>
        </w:rPr>
        <w:t>partenariats de l’UE en matière de sécurité et de défense</w:t>
      </w:r>
      <w:r>
        <w:rPr>
          <w:rFonts w:ascii="Times New Roman" w:hAnsi="Times New Roman"/>
          <w:noProof/>
          <w:sz w:val="24"/>
        </w:rPr>
        <w:t xml:space="preserve">. </w:t>
      </w:r>
    </w:p>
    <w:p w14:paraId="41CBC65F" w14:textId="32A6E596" w:rsidR="0025159C" w:rsidRPr="00B13BA4" w:rsidRDefault="0025159C" w:rsidP="00FF2EA4">
      <w:pPr>
        <w:pStyle w:val="ListParagraph"/>
        <w:numPr>
          <w:ilvl w:val="0"/>
          <w:numId w:val="16"/>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Élargissement du réseau d’</w:t>
      </w:r>
      <w:r>
        <w:rPr>
          <w:rFonts w:ascii="Times New Roman" w:hAnsi="Times New Roman"/>
          <w:b/>
          <w:bCs/>
          <w:noProof/>
          <w:sz w:val="24"/>
        </w:rPr>
        <w:t>accords sur le commerce numérique</w:t>
      </w:r>
      <w:r>
        <w:rPr>
          <w:rFonts w:ascii="Times New Roman" w:hAnsi="Times New Roman"/>
          <w:noProof/>
          <w:sz w:val="24"/>
        </w:rPr>
        <w:t xml:space="preserve"> et poursuite des négociations en vue de la conclusion d’</w:t>
      </w:r>
      <w:r>
        <w:rPr>
          <w:rFonts w:ascii="Times New Roman" w:hAnsi="Times New Roman"/>
          <w:b/>
          <w:bCs/>
          <w:noProof/>
          <w:sz w:val="24"/>
        </w:rPr>
        <w:t>accords de libre-échange, y compris dans le domaine du commerce numérique</w:t>
      </w:r>
      <w:r>
        <w:rPr>
          <w:rFonts w:ascii="Times New Roman" w:hAnsi="Times New Roman"/>
          <w:noProof/>
          <w:sz w:val="24"/>
        </w:rPr>
        <w:t>.</w:t>
      </w:r>
    </w:p>
    <w:p w14:paraId="13BAA7F7" w14:textId="66859E1B" w:rsidR="0025159C" w:rsidRPr="00B13BA4" w:rsidRDefault="0025159C" w:rsidP="00D07FC0">
      <w:pPr>
        <w:pStyle w:val="Heading1"/>
        <w:rPr>
          <w:noProof/>
        </w:rPr>
      </w:pPr>
      <w:r>
        <w:rPr>
          <w:noProof/>
        </w:rPr>
        <w:t xml:space="preserve">L’offre de l’UE pour les entreprises technologiques </w:t>
      </w:r>
    </w:p>
    <w:p w14:paraId="33F002C9" w14:textId="7FB80B2C" w:rsidR="0025159C" w:rsidRPr="00B13BA4" w:rsidRDefault="0025159C" w:rsidP="30C9F5EF">
      <w:pPr>
        <w:spacing w:before="100" w:beforeAutospacing="1" w:after="100" w:afterAutospacing="1" w:line="240" w:lineRule="auto"/>
        <w:jc w:val="both"/>
        <w:rPr>
          <w:rFonts w:ascii="Times New Roman" w:eastAsia="Times New Roman" w:hAnsi="Times New Roman" w:cs="Times New Roman"/>
          <w:i/>
          <w:iCs/>
          <w:noProof/>
          <w:sz w:val="24"/>
          <w:szCs w:val="24"/>
          <w:highlight w:val="yellow"/>
        </w:rPr>
      </w:pPr>
      <w:r>
        <w:rPr>
          <w:rFonts w:ascii="Times New Roman" w:hAnsi="Times New Roman"/>
          <w:noProof/>
          <w:sz w:val="24"/>
        </w:rPr>
        <w:t xml:space="preserve">Afin de pouvoir dialoguer avec un ensemble plus large de partenaires de confiance, l’UE élaborera une </w:t>
      </w:r>
      <w:r>
        <w:rPr>
          <w:rFonts w:ascii="Times New Roman" w:hAnsi="Times New Roman"/>
          <w:b/>
          <w:bCs/>
          <w:noProof/>
          <w:sz w:val="24"/>
        </w:rPr>
        <w:t>offre intégrée pour les entreprises technologiques</w:t>
      </w:r>
      <w:r>
        <w:rPr>
          <w:rFonts w:ascii="Times New Roman" w:hAnsi="Times New Roman"/>
          <w:noProof/>
          <w:sz w:val="24"/>
        </w:rPr>
        <w:t xml:space="preserve">. Cette offre intégrée soutiendra entre autres le déploiement d’une connectivité, d’infrastructures publiques numériques, d’une IA et de solutions logicielles sûres et fiables. L’objectif sera d’adapter les volets liés aux technologies et de les regrouper dans le cadre d’une approche modulaire, en mettant en balance les intérêts des pays partenaires et de l’UE, afin de créer un </w:t>
      </w:r>
      <w:r>
        <w:rPr>
          <w:rFonts w:ascii="Times New Roman" w:hAnsi="Times New Roman"/>
          <w:b/>
          <w:bCs/>
          <w:noProof/>
          <w:sz w:val="24"/>
        </w:rPr>
        <w:t>ensemble d’avantages mutuels</w:t>
      </w:r>
      <w:r>
        <w:rPr>
          <w:rFonts w:ascii="Times New Roman" w:hAnsi="Times New Roman"/>
          <w:noProof/>
          <w:sz w:val="24"/>
        </w:rPr>
        <w:t>. Cette offre sera complétée par un renforcement des capacités et par des mesures visant à combler le déficit mondial de talents, et les efforts déployés pour la formation aux compétences numériques seront coordonnés avec les partenaires internationaux. L’UE promouvra activement des solutions numériques permettant une utilisation plus rationnelle de l’énergie et des ressources dans l’industrie manufacturière, les services et d’autres applications.</w:t>
      </w:r>
    </w:p>
    <w:p w14:paraId="628EB156" w14:textId="37170459" w:rsidR="0025159C" w:rsidRPr="00B13BA4" w:rsidRDefault="0025159C" w:rsidP="30C9F5EF">
      <w:pPr>
        <w:spacing w:line="240" w:lineRule="auto"/>
        <w:jc w:val="both"/>
        <w:rPr>
          <w:rFonts w:ascii="Times New Roman" w:hAnsi="Times New Roman" w:cs="Times New Roman"/>
          <w:noProof/>
          <w:sz w:val="24"/>
          <w:szCs w:val="24"/>
        </w:rPr>
      </w:pPr>
      <w:r>
        <w:rPr>
          <w:rFonts w:ascii="Times New Roman" w:hAnsi="Times New Roman"/>
          <w:noProof/>
          <w:sz w:val="24"/>
        </w:rPr>
        <w:t>L’offre pour les entreprises technologiques sera gérée conjointement par l’UE et ses États membres dans le cadre d’une approche «</w:t>
      </w:r>
      <w:r>
        <w:rPr>
          <w:rFonts w:ascii="Times New Roman" w:hAnsi="Times New Roman"/>
          <w:b/>
          <w:bCs/>
          <w:noProof/>
          <w:sz w:val="24"/>
        </w:rPr>
        <w:t>Équipe Europe pour les technologies</w:t>
      </w:r>
      <w:r>
        <w:rPr>
          <w:rFonts w:ascii="Times New Roman" w:hAnsi="Times New Roman"/>
          <w:noProof/>
          <w:sz w:val="24"/>
        </w:rPr>
        <w:t>» et les entreprises de l’UE</w:t>
      </w:r>
      <w:r>
        <w:rPr>
          <w:rStyle w:val="FootnoteReference"/>
          <w:rFonts w:ascii="Times New Roman" w:hAnsi="Times New Roman" w:cs="Times New Roman"/>
          <w:noProof/>
          <w:sz w:val="24"/>
          <w:szCs w:val="24"/>
          <w:lang w:val="en-IE"/>
        </w:rPr>
        <w:footnoteReference w:id="32"/>
      </w:r>
      <w:r>
        <w:rPr>
          <w:rFonts w:ascii="Times New Roman" w:hAnsi="Times New Roman"/>
          <w:noProof/>
          <w:sz w:val="24"/>
        </w:rPr>
        <w:t xml:space="preserve">, les institutions de financement du développement de l’UE et les organismes de crédit à l’exportation y seront étroitement associés, tandis que le </w:t>
      </w:r>
      <w:r>
        <w:rPr>
          <w:rFonts w:ascii="Times New Roman" w:hAnsi="Times New Roman"/>
          <w:b/>
          <w:bCs/>
          <w:noProof/>
          <w:sz w:val="24"/>
        </w:rPr>
        <w:t>D4D Hub</w:t>
      </w:r>
      <w:r>
        <w:rPr>
          <w:rStyle w:val="FootnoteReference"/>
          <w:rFonts w:ascii="Times New Roman" w:hAnsi="Times New Roman" w:cs="Times New Roman"/>
          <w:noProof/>
          <w:sz w:val="24"/>
          <w:szCs w:val="24"/>
          <w:lang w:val="en-IE"/>
        </w:rPr>
        <w:footnoteReference w:id="33"/>
      </w:r>
      <w:r>
        <w:rPr>
          <w:rFonts w:ascii="Times New Roman" w:hAnsi="Times New Roman"/>
          <w:noProof/>
          <w:sz w:val="24"/>
        </w:rPr>
        <w:t xml:space="preserve"> et l’initiative faîtière EU4Digital</w:t>
      </w:r>
      <w:r>
        <w:rPr>
          <w:rStyle w:val="FootnoteReference"/>
          <w:rFonts w:ascii="Times New Roman" w:hAnsi="Times New Roman" w:cs="Times New Roman"/>
          <w:noProof/>
          <w:sz w:val="24"/>
          <w:szCs w:val="24"/>
          <w:lang w:val="en-IE"/>
        </w:rPr>
        <w:footnoteReference w:id="34"/>
      </w:r>
      <w:r>
        <w:rPr>
          <w:rFonts w:ascii="Times New Roman" w:hAnsi="Times New Roman"/>
          <w:noProof/>
          <w:sz w:val="24"/>
        </w:rPr>
        <w:t xml:space="preserve"> joueront un important rôle de facilitateur. L’offre s’appuiera sur les instruments de financement extérieur existants et sur des investissements du secteur privé. Il sera essentiel de coordonner les investissements dans le cadre des différents programmes, entre le secteur public et le secteur privé, et de continuer à améliorer l’environnement des entreprises. Pour ce faire, une étroite coopération sera nécessaire avec les délégations de l’UE et les ambassades nationales, par exemple par l’intermédiaire des </w:t>
      </w:r>
      <w:r>
        <w:rPr>
          <w:rFonts w:ascii="Times New Roman" w:hAnsi="Times New Roman"/>
          <w:b/>
          <w:bCs/>
          <w:noProof/>
          <w:sz w:val="24"/>
        </w:rPr>
        <w:t>pôles numériques informels</w:t>
      </w:r>
      <w:r>
        <w:rPr>
          <w:rFonts w:ascii="Times New Roman" w:hAnsi="Times New Roman"/>
          <w:noProof/>
          <w:sz w:val="24"/>
        </w:rPr>
        <w:t xml:space="preserve"> que l’UE a mis en place dans un certain nombre de pays partenaires</w:t>
      </w:r>
      <w:r>
        <w:rPr>
          <w:rStyle w:val="FootnoteReference"/>
          <w:rFonts w:ascii="Times New Roman" w:hAnsi="Times New Roman" w:cs="Times New Roman"/>
          <w:noProof/>
          <w:sz w:val="24"/>
          <w:szCs w:val="24"/>
          <w:lang w:val="en-IE"/>
        </w:rPr>
        <w:footnoteReference w:id="35"/>
      </w:r>
      <w:r>
        <w:rPr>
          <w:rFonts w:ascii="Times New Roman" w:hAnsi="Times New Roman"/>
          <w:noProof/>
          <w:sz w:val="24"/>
        </w:rPr>
        <w:t xml:space="preserve"> pour promouvoir la coopération avec l’Équipe Europe. Dans les pays avec lesquels des partenariats stratégiques ont été conclus ou sont en cours de négociation, l’offre sera intégrée dans le cadre du partenariat existant ou négocié. </w:t>
      </w:r>
    </w:p>
    <w:p w14:paraId="3D28727B" w14:textId="0F5967E8" w:rsidR="0025159C" w:rsidRPr="00B13BA4" w:rsidRDefault="0025159C" w:rsidP="00D07FC0">
      <w:pPr>
        <w:pStyle w:val="Heading1"/>
        <w:rPr>
          <w:noProof/>
        </w:rPr>
      </w:pPr>
      <w:r>
        <w:rPr>
          <w:noProof/>
        </w:rPr>
        <w:t>Domaines prioritaires de la coopération avec les pays partenaires</w:t>
      </w:r>
    </w:p>
    <w:p w14:paraId="49698D81" w14:textId="25C81E80" w:rsidR="0025159C" w:rsidRPr="00B13BA4" w:rsidRDefault="0025159C" w:rsidP="00805EE0">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La coopération avec les pays partenaires couvrira les domaines ci-après.</w:t>
      </w:r>
    </w:p>
    <w:p w14:paraId="13BC8F42" w14:textId="77777777" w:rsidR="0025159C" w:rsidRPr="00B13BA4" w:rsidRDefault="0025159C" w:rsidP="0025159C">
      <w:pPr>
        <w:shd w:val="clear" w:color="auto" w:fill="FFFFFF" w:themeFill="background1"/>
        <w:tabs>
          <w:tab w:val="left" w:pos="1843"/>
        </w:tabs>
        <w:spacing w:before="100" w:beforeAutospacing="1" w:after="100" w:afterAutospacing="1" w:line="240" w:lineRule="auto"/>
        <w:jc w:val="both"/>
        <w:rPr>
          <w:rFonts w:ascii="Times New Roman" w:hAnsi="Times New Roman" w:cs="Times New Roman"/>
          <w:b/>
          <w:bCs/>
          <w:noProof/>
          <w:sz w:val="24"/>
          <w:szCs w:val="24"/>
        </w:rPr>
      </w:pPr>
      <w:r>
        <w:rPr>
          <w:rFonts w:ascii="Times New Roman" w:hAnsi="Times New Roman"/>
          <w:b/>
          <w:i/>
          <w:noProof/>
          <w:sz w:val="24"/>
        </w:rPr>
        <w:t>Infrastructures numériques sûres et fiables</w:t>
      </w:r>
    </w:p>
    <w:p w14:paraId="3F7CBC96" w14:textId="090EA7D9" w:rsidR="0025159C" w:rsidRPr="00B13BA4" w:rsidRDefault="0025159C" w:rsidP="30C9F5EF">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La sécurité et la résilience des réseaux et infrastructures numériques sont essentielles pour permettre des avancées dans des secteurs critiques tels que ceux de l’énergie, des transports, de la finance et de la santé. L’UE, qui a déjà joué un rôle de premier plan dans ce domaine, poursuivra ses efforts, en s’appuyant sur des instruments tels que la </w:t>
      </w:r>
      <w:r>
        <w:rPr>
          <w:rFonts w:ascii="Times New Roman" w:hAnsi="Times New Roman"/>
          <w:b/>
          <w:bCs/>
          <w:noProof/>
          <w:sz w:val="24"/>
        </w:rPr>
        <w:t>boîte à outils 5G</w:t>
      </w:r>
      <w:r>
        <w:rPr>
          <w:rStyle w:val="FootnoteReference"/>
          <w:rFonts w:ascii="Times New Roman" w:hAnsi="Times New Roman" w:cs="Times New Roman"/>
          <w:noProof/>
          <w:sz w:val="24"/>
          <w:szCs w:val="24"/>
          <w:lang w:val="en-IE"/>
        </w:rPr>
        <w:footnoteReference w:id="36"/>
      </w:r>
      <w:r>
        <w:rPr>
          <w:rFonts w:ascii="Times New Roman" w:hAnsi="Times New Roman"/>
          <w:noProof/>
          <w:sz w:val="24"/>
        </w:rPr>
        <w:t>, afin d’aider les pays partenaires qui sont tout aussi préoccupés par la nécessité d’asseoir leur économie numérique sur des bases sûres. Conformément à la récente communication relative au renforcement de la sécurité et de la résilience des câbles sous-marins</w:t>
      </w:r>
      <w:r>
        <w:rPr>
          <w:rStyle w:val="FootnoteReference"/>
          <w:rFonts w:ascii="Times New Roman" w:eastAsia="Times New Roman" w:hAnsi="Times New Roman" w:cs="Times New Roman"/>
          <w:noProof/>
          <w:sz w:val="24"/>
          <w:szCs w:val="24"/>
          <w:lang w:val="en-IE"/>
        </w:rPr>
        <w:footnoteReference w:id="37"/>
      </w:r>
      <w:r>
        <w:rPr>
          <w:rFonts w:ascii="Times New Roman" w:hAnsi="Times New Roman"/>
          <w:noProof/>
          <w:sz w:val="24"/>
        </w:rPr>
        <w:t>, cette approche pourrait être étendue aux câbles sous-marins et à d’autres infrastructures numériques critiques. Les efforts dans ce domaine pourraient faire l’objet d’une conférence annuelle visant à approfondir les contacts techniques et la compréhension des possibilités et des exigences en matière de sécurité pour les routes, les partenariats et les financements futurs, en contribuant au processus «Global Gateway».</w:t>
      </w:r>
    </w:p>
    <w:p w14:paraId="15A039C3" w14:textId="1249D753" w:rsidR="0025159C" w:rsidRPr="00B13BA4" w:rsidRDefault="0025159C" w:rsidP="30C9F5EF">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L’UE encouragera le déploiement d’une connectivité numérique sécurisée et d’infrastructures durables dans le monde entier, pour garantir en particulier la sécurité et la fiabilité des réseaux 5G, des câbles sous-marins et terrestres, de la connectivité par satellite, des infrastructures internet, des supercalculateurs et des centres de données. Elle s’emploiera également à soutenir la résilience de ses partenaires par la diversification et l’intégration des réseaux, notamment grâce à la connectivité par satellite et à d’autres formes de réseaux non terrestres. Elle œuvrera à la mise en place d’un réseau de câbles de communication sous-marins et terrestres sûrs</w:t>
      </w:r>
      <w:r>
        <w:rPr>
          <w:rStyle w:val="FootnoteReference"/>
          <w:rFonts w:ascii="Times New Roman" w:hAnsi="Times New Roman" w:cs="Times New Roman"/>
          <w:noProof/>
          <w:sz w:val="24"/>
          <w:szCs w:val="24"/>
          <w:lang w:val="en-IE"/>
        </w:rPr>
        <w:footnoteReference w:id="38"/>
      </w:r>
      <w:r>
        <w:rPr>
          <w:rFonts w:ascii="Times New Roman" w:hAnsi="Times New Roman"/>
          <w:noProof/>
          <w:sz w:val="24"/>
        </w:rPr>
        <w:t xml:space="preserve"> reliant l’UE aux pays partenaires, ainsi qu’à une connectivité spatiale souveraine et résiliente. Toutes ces mesures devraient permettre à l’UE de se positionner comme une plateforme internationale capable d’héberger des données et des capacités de calcul dans un espace résilient et fiable, en mesure d’exploiter les possibilités offertes par l’économie des données et d’attirer les investissements dans des centres de données, des capacités informatiques et des capacités d’IA durables.</w:t>
      </w:r>
      <w:r>
        <w:rPr>
          <w:rFonts w:ascii="Aptos" w:hAnsi="Aptos"/>
          <w:noProof/>
          <w:sz w:val="24"/>
        </w:rPr>
        <w:t xml:space="preserve"> </w:t>
      </w:r>
      <w:r>
        <w:rPr>
          <w:rFonts w:ascii="Times New Roman" w:hAnsi="Times New Roman"/>
          <w:noProof/>
          <w:sz w:val="24"/>
        </w:rPr>
        <w:t>En coopération avec les pays partenaires, l’UE s’efforcera activement de soutenir des solutions numériques permettant une utilisation plus rationnelle de l’énergie et des ressources dans l’industrie manufacturière, les services et d’autres applications, afin de réduire l’empreinte carbone et de faciliter l’adaptation au changement climatique et la résilience à celui-ci.</w:t>
      </w:r>
    </w:p>
    <w:tbl>
      <w:tblPr>
        <w:tblStyle w:val="TableGrid"/>
        <w:tblW w:w="0" w:type="auto"/>
        <w:shd w:val="clear" w:color="auto" w:fill="D9D9D9" w:themeFill="background1" w:themeFillShade="D9"/>
        <w:tblLook w:val="04A0" w:firstRow="1" w:lastRow="0" w:firstColumn="1" w:lastColumn="0" w:noHBand="0" w:noVBand="1"/>
      </w:tblPr>
      <w:tblGrid>
        <w:gridCol w:w="9060"/>
      </w:tblGrid>
      <w:tr w:rsidR="0025159C" w14:paraId="10E49EF6" w14:textId="77777777" w:rsidTr="00C6257E">
        <w:tc>
          <w:tcPr>
            <w:tcW w:w="9062" w:type="dxa"/>
            <w:shd w:val="clear" w:color="auto" w:fill="D9D9D9" w:themeFill="background1" w:themeFillShade="D9"/>
          </w:tcPr>
          <w:p w14:paraId="33B17566" w14:textId="77777777" w:rsidR="0025159C" w:rsidRDefault="0025159C" w:rsidP="00EA350A">
            <w:pPr>
              <w:jc w:val="both"/>
              <w:rPr>
                <w:rFonts w:ascii="Times New Roman" w:hAnsi="Times New Roman" w:cs="Times New Roman"/>
                <w:noProof/>
                <w:sz w:val="24"/>
                <w:szCs w:val="24"/>
              </w:rPr>
            </w:pPr>
            <w:r>
              <w:rPr>
                <w:rFonts w:ascii="Times New Roman" w:hAnsi="Times New Roman"/>
                <w:noProof/>
                <w:sz w:val="24"/>
              </w:rPr>
              <w:t xml:space="preserve">Exemples de futures actions dans le domaine de la </w:t>
            </w:r>
            <w:r>
              <w:rPr>
                <w:rFonts w:ascii="Times New Roman" w:hAnsi="Times New Roman"/>
                <w:b/>
                <w:bCs/>
                <w:noProof/>
                <w:sz w:val="24"/>
              </w:rPr>
              <w:t>connectivité sécurisée</w:t>
            </w:r>
          </w:p>
          <w:p w14:paraId="598FA055" w14:textId="77777777" w:rsidR="0025159C" w:rsidRPr="00121E67" w:rsidRDefault="0025159C" w:rsidP="00EA350A">
            <w:pPr>
              <w:jc w:val="both"/>
              <w:rPr>
                <w:rFonts w:ascii="Times New Roman" w:hAnsi="Times New Roman" w:cs="Times New Roman"/>
                <w:noProof/>
                <w:sz w:val="24"/>
                <w:szCs w:val="24"/>
              </w:rPr>
            </w:pPr>
          </w:p>
          <w:p w14:paraId="39F1985B" w14:textId="77777777" w:rsidR="0025159C" w:rsidRPr="00121E67" w:rsidRDefault="0025159C" w:rsidP="00FF2EA4">
            <w:pPr>
              <w:pStyle w:val="ListParagraph"/>
              <w:numPr>
                <w:ilvl w:val="0"/>
                <w:numId w:val="17"/>
              </w:numPr>
              <w:jc w:val="both"/>
              <w:rPr>
                <w:rFonts w:ascii="Times New Roman" w:hAnsi="Times New Roman" w:cs="Times New Roman"/>
                <w:noProof/>
                <w:sz w:val="24"/>
                <w:szCs w:val="24"/>
              </w:rPr>
            </w:pPr>
            <w:r>
              <w:rPr>
                <w:rFonts w:ascii="Times New Roman" w:hAnsi="Times New Roman"/>
                <w:noProof/>
                <w:sz w:val="24"/>
              </w:rPr>
              <w:t xml:space="preserve">La </w:t>
            </w:r>
            <w:r>
              <w:rPr>
                <w:rFonts w:ascii="Times New Roman" w:hAnsi="Times New Roman"/>
                <w:b/>
                <w:bCs/>
                <w:noProof/>
                <w:sz w:val="24"/>
              </w:rPr>
              <w:t>connectivité de l’Arctique</w:t>
            </w:r>
            <w:r>
              <w:rPr>
                <w:rFonts w:ascii="Times New Roman" w:hAnsi="Times New Roman"/>
                <w:noProof/>
                <w:sz w:val="24"/>
              </w:rPr>
              <w:t xml:space="preserve"> est une priorité stratégique pour l’UE, qui collaborera avec ses partenaires pour renforcer le soutien aux projets devant déboucher sur l’installation de nouvelles routes de câbles sous-marins dans la région, en utilisant le mécanisme pour l’interconnexion en Europe afin de catalyser les investissements publics et privés.</w:t>
            </w:r>
          </w:p>
          <w:p w14:paraId="046EADC9" w14:textId="77777777" w:rsidR="0025159C" w:rsidRDefault="0025159C" w:rsidP="00FF2EA4">
            <w:pPr>
              <w:pStyle w:val="ListParagraph"/>
              <w:numPr>
                <w:ilvl w:val="0"/>
                <w:numId w:val="17"/>
              </w:numPr>
              <w:jc w:val="both"/>
              <w:rPr>
                <w:rFonts w:ascii="Times New Roman" w:hAnsi="Times New Roman" w:cs="Times New Roman"/>
                <w:noProof/>
                <w:sz w:val="24"/>
                <w:szCs w:val="24"/>
              </w:rPr>
            </w:pPr>
            <w:r>
              <w:rPr>
                <w:rFonts w:ascii="Times New Roman" w:hAnsi="Times New Roman"/>
                <w:noProof/>
                <w:sz w:val="24"/>
              </w:rPr>
              <w:t>Un élément clé des investissements au titre de la stratégie «</w:t>
            </w:r>
            <w:r>
              <w:rPr>
                <w:rFonts w:ascii="Times New Roman" w:hAnsi="Times New Roman"/>
                <w:b/>
                <w:bCs/>
                <w:noProof/>
                <w:sz w:val="24"/>
              </w:rPr>
              <w:t>Global Gateway</w:t>
            </w:r>
            <w:r>
              <w:rPr>
                <w:rFonts w:ascii="Times New Roman" w:hAnsi="Times New Roman"/>
                <w:noProof/>
                <w:sz w:val="24"/>
              </w:rPr>
              <w:t xml:space="preserve">» dans le secteur numérique est la mise en place d’un réseau de projets stratégiques d’infrastructures de câbles de communication sous-marins afin de connecter de manière sûre et résiliente l’UE et les pays partenaires. Les investissements concernent notamment: </w:t>
            </w:r>
          </w:p>
          <w:p w14:paraId="5DAAFD86" w14:textId="77777777" w:rsidR="0025159C" w:rsidRPr="00121E67" w:rsidRDefault="0025159C" w:rsidP="00C6257E">
            <w:pPr>
              <w:pStyle w:val="ListParagraph"/>
              <w:jc w:val="both"/>
              <w:rPr>
                <w:rFonts w:ascii="Times New Roman" w:hAnsi="Times New Roman" w:cs="Times New Roman"/>
                <w:noProof/>
                <w:sz w:val="24"/>
                <w:szCs w:val="24"/>
              </w:rPr>
            </w:pPr>
          </w:p>
          <w:p w14:paraId="250D9984" w14:textId="77777777" w:rsidR="0025159C" w:rsidRPr="00121E67" w:rsidRDefault="0025159C" w:rsidP="00C6257E">
            <w:pPr>
              <w:pStyle w:val="ListParagraph"/>
              <w:numPr>
                <w:ilvl w:val="0"/>
                <w:numId w:val="13"/>
              </w:numPr>
              <w:jc w:val="both"/>
              <w:rPr>
                <w:rFonts w:ascii="Times New Roman" w:hAnsi="Times New Roman" w:cs="Times New Roman"/>
                <w:noProof/>
                <w:sz w:val="24"/>
                <w:szCs w:val="24"/>
              </w:rPr>
            </w:pPr>
            <w:r>
              <w:rPr>
                <w:rFonts w:ascii="Times New Roman" w:hAnsi="Times New Roman"/>
                <w:b/>
                <w:noProof/>
                <w:sz w:val="24"/>
              </w:rPr>
              <w:t>BELLA</w:t>
            </w:r>
            <w:r>
              <w:rPr>
                <w:rFonts w:ascii="Times New Roman" w:hAnsi="Times New Roman"/>
                <w:noProof/>
                <w:sz w:val="24"/>
              </w:rPr>
              <w:t>, le premier câble à fibres optiques transatlantique entre l’UE et l’Amérique latine et les Caraïbes, qui relie les instituts de recherche latino-américains, pour donner un accès rapide aux données d’observation de la Terre provenant de la composante Copernicus du programme spatial de l’UE. Ce projet sera élargi à l’Amérique centrale et aux Caraïbes et soutiendra le développement du calcul à haute performance dans la région;</w:t>
            </w:r>
          </w:p>
          <w:p w14:paraId="15C717DA" w14:textId="77777777" w:rsidR="0025159C" w:rsidRPr="00121E67" w:rsidRDefault="0025159C" w:rsidP="00C6257E">
            <w:pPr>
              <w:pStyle w:val="ListParagraph"/>
              <w:numPr>
                <w:ilvl w:val="0"/>
                <w:numId w:val="13"/>
              </w:numPr>
              <w:jc w:val="both"/>
              <w:rPr>
                <w:rFonts w:ascii="Times New Roman" w:hAnsi="Times New Roman" w:cs="Times New Roman"/>
                <w:noProof/>
                <w:sz w:val="24"/>
                <w:szCs w:val="24"/>
              </w:rPr>
            </w:pPr>
            <w:r>
              <w:rPr>
                <w:rFonts w:ascii="Times New Roman" w:hAnsi="Times New Roman"/>
                <w:noProof/>
                <w:sz w:val="24"/>
              </w:rPr>
              <w:t xml:space="preserve">le câble sous-marin </w:t>
            </w:r>
            <w:r>
              <w:rPr>
                <w:rFonts w:ascii="Times New Roman" w:hAnsi="Times New Roman"/>
                <w:b/>
                <w:bCs/>
                <w:noProof/>
                <w:sz w:val="24"/>
              </w:rPr>
              <w:t>MEDUSA</w:t>
            </w:r>
            <w:r>
              <w:rPr>
                <w:rFonts w:ascii="Times New Roman" w:hAnsi="Times New Roman"/>
                <w:noProof/>
                <w:sz w:val="24"/>
              </w:rPr>
              <w:t>, soutenu par la Commission européenne et BEI Monde, qui fournira une connectivité à haut débit entre le nord et le sud de la Méditerranée et sera élargi à l’Afrique de l’Ouest;</w:t>
            </w:r>
          </w:p>
          <w:p w14:paraId="11EAB0D5" w14:textId="1AFBBF49" w:rsidR="0025159C" w:rsidRDefault="0025159C" w:rsidP="00C6257E">
            <w:pPr>
              <w:pStyle w:val="ListParagraph"/>
              <w:numPr>
                <w:ilvl w:val="0"/>
                <w:numId w:val="13"/>
              </w:numPr>
              <w:jc w:val="both"/>
              <w:rPr>
                <w:rFonts w:ascii="Times New Roman" w:hAnsi="Times New Roman" w:cs="Times New Roman"/>
                <w:noProof/>
                <w:sz w:val="24"/>
                <w:szCs w:val="24"/>
              </w:rPr>
            </w:pPr>
            <w:r>
              <w:rPr>
                <w:rFonts w:ascii="Times New Roman" w:hAnsi="Times New Roman"/>
                <w:noProof/>
                <w:sz w:val="24"/>
              </w:rPr>
              <w:t xml:space="preserve">le projet </w:t>
            </w:r>
            <w:r>
              <w:rPr>
                <w:rFonts w:ascii="Times New Roman" w:hAnsi="Times New Roman"/>
                <w:b/>
                <w:bCs/>
                <w:noProof/>
                <w:sz w:val="24"/>
              </w:rPr>
              <w:t>Blue-Raman</w:t>
            </w:r>
            <w:r>
              <w:rPr>
                <w:rFonts w:ascii="Times New Roman" w:hAnsi="Times New Roman"/>
                <w:noProof/>
                <w:sz w:val="24"/>
              </w:rPr>
              <w:t>, un futur système de câbles sous-marins sûrs de 11 700 km reliant l’Europe à l’Inde et pour lequel des raccordements sont prévus au Moyen-Orient et en Afrique orientale, le long du corridor économique Inde - Moyen-Orient - Europe (IMEC). Grâce à sa forte dimension de connectivité reliant l’Europe et l’Inde via la région du Golfe, ce projet facilitera l’échange de données et renforcera la coopération avec les pays partenaires.</w:t>
            </w:r>
          </w:p>
          <w:p w14:paraId="64947990" w14:textId="77777777" w:rsidR="0025159C" w:rsidRPr="00121E67" w:rsidRDefault="0025159C" w:rsidP="00C6257E">
            <w:pPr>
              <w:pStyle w:val="ListParagraph"/>
              <w:jc w:val="both"/>
              <w:rPr>
                <w:rFonts w:ascii="Times New Roman" w:hAnsi="Times New Roman" w:cs="Times New Roman"/>
                <w:noProof/>
                <w:sz w:val="24"/>
                <w:szCs w:val="24"/>
              </w:rPr>
            </w:pPr>
          </w:p>
          <w:p w14:paraId="64A93D48" w14:textId="7C7959E0" w:rsidR="00105E59" w:rsidRPr="007F1280" w:rsidRDefault="00105E59" w:rsidP="00FF2EA4">
            <w:pPr>
              <w:pStyle w:val="ListParagraph"/>
              <w:numPr>
                <w:ilvl w:val="0"/>
                <w:numId w:val="18"/>
              </w:numPr>
              <w:rPr>
                <w:rFonts w:ascii="Times New Roman" w:hAnsi="Times New Roman" w:cs="Times New Roman"/>
                <w:noProof/>
                <w:sz w:val="24"/>
                <w:szCs w:val="24"/>
              </w:rPr>
            </w:pPr>
            <w:r>
              <w:rPr>
                <w:rFonts w:ascii="Times New Roman" w:hAnsi="Times New Roman"/>
                <w:noProof/>
                <w:sz w:val="24"/>
              </w:rPr>
              <w:t xml:space="preserve">La stratégie de l’UE pour la mer Noire reconnaît la </w:t>
            </w:r>
            <w:r>
              <w:rPr>
                <w:rFonts w:ascii="Times New Roman" w:hAnsi="Times New Roman"/>
                <w:b/>
                <w:bCs/>
                <w:noProof/>
                <w:sz w:val="24"/>
              </w:rPr>
              <w:t>mer Noire</w:t>
            </w:r>
            <w:r>
              <w:rPr>
                <w:rFonts w:ascii="Times New Roman" w:hAnsi="Times New Roman"/>
                <w:noProof/>
                <w:sz w:val="24"/>
              </w:rPr>
              <w:t xml:space="preserve"> comme une voie d’accès essentielle reliant l’Europe au Caucase du Sud, à l’Asie centrale et au-delà. Afin d’améliorer la connectivité et les échanges avec la région du </w:t>
            </w:r>
            <w:r>
              <w:rPr>
                <w:rFonts w:ascii="Times New Roman" w:hAnsi="Times New Roman"/>
                <w:b/>
                <w:bCs/>
                <w:noProof/>
                <w:sz w:val="24"/>
              </w:rPr>
              <w:t>partenariat oriental</w:t>
            </w:r>
            <w:r>
              <w:rPr>
                <w:rFonts w:ascii="Times New Roman" w:hAnsi="Times New Roman"/>
                <w:noProof/>
                <w:sz w:val="24"/>
              </w:rPr>
              <w:t>, l’UE soutiendra, si les conditions le permettent, des investissements ciblés dans des infrastructures numériques pour financer le développement de futures liaisons numériques en mer Noire garantissant une connexion internet sûre et à haute capacité.</w:t>
            </w:r>
          </w:p>
          <w:p w14:paraId="411381D3" w14:textId="422A1D0C" w:rsidR="0025159C" w:rsidRPr="00121E67" w:rsidRDefault="0025159C" w:rsidP="00FF2EA4">
            <w:pPr>
              <w:pStyle w:val="ListParagraph"/>
              <w:numPr>
                <w:ilvl w:val="0"/>
                <w:numId w:val="18"/>
              </w:numPr>
              <w:jc w:val="both"/>
              <w:rPr>
                <w:rFonts w:ascii="Times New Roman" w:hAnsi="Times New Roman" w:cs="Times New Roman"/>
                <w:noProof/>
                <w:sz w:val="24"/>
                <w:szCs w:val="24"/>
              </w:rPr>
            </w:pPr>
            <w:r>
              <w:rPr>
                <w:rFonts w:ascii="Times New Roman" w:hAnsi="Times New Roman"/>
                <w:noProof/>
                <w:sz w:val="24"/>
              </w:rPr>
              <w:t>L’</w:t>
            </w:r>
            <w:r>
              <w:rPr>
                <w:rFonts w:ascii="Times New Roman" w:hAnsi="Times New Roman"/>
                <w:b/>
                <w:bCs/>
                <w:noProof/>
                <w:sz w:val="24"/>
              </w:rPr>
              <w:t>initiative de l’Équipe Europe pour l’Asie centrale</w:t>
            </w:r>
            <w:r>
              <w:rPr>
                <w:rFonts w:ascii="Times New Roman" w:hAnsi="Times New Roman"/>
                <w:noProof/>
                <w:sz w:val="24"/>
              </w:rPr>
              <w:t xml:space="preserve"> permettra de rendre la connectivité plus sûre, principalement dans les zones non desservies et mal desservies d’Asie centrale, grâce à un satellite fourni par le secteur privé de l’UE.</w:t>
            </w:r>
          </w:p>
          <w:p w14:paraId="2468441C" w14:textId="77777777" w:rsidR="0025159C" w:rsidRPr="00121E67" w:rsidRDefault="0025159C" w:rsidP="00FF2EA4">
            <w:pPr>
              <w:pStyle w:val="ListParagraph"/>
              <w:numPr>
                <w:ilvl w:val="0"/>
                <w:numId w:val="19"/>
              </w:numPr>
              <w:jc w:val="both"/>
              <w:rPr>
                <w:rFonts w:ascii="Times New Roman" w:hAnsi="Times New Roman" w:cs="Times New Roman"/>
                <w:noProof/>
                <w:sz w:val="24"/>
                <w:szCs w:val="24"/>
              </w:rPr>
            </w:pPr>
            <w:r>
              <w:rPr>
                <w:rFonts w:ascii="Times New Roman" w:hAnsi="Times New Roman"/>
                <w:b/>
                <w:bCs/>
                <w:noProof/>
                <w:sz w:val="24"/>
              </w:rPr>
              <w:t>IRIS</w:t>
            </w:r>
            <w:r>
              <w:rPr>
                <w:rFonts w:ascii="Times New Roman" w:hAnsi="Times New Roman"/>
                <w:b/>
                <w:bCs/>
                <w:noProof/>
                <w:sz w:val="24"/>
                <w:vertAlign w:val="superscript"/>
              </w:rPr>
              <w:t>2</w:t>
            </w:r>
            <w:r>
              <w:rPr>
                <w:rFonts w:ascii="Times New Roman" w:hAnsi="Times New Roman"/>
                <w:noProof/>
                <w:sz w:val="24"/>
              </w:rPr>
              <w:t>, la nouvelle composante de connectivité sécurisée par satellite du programme spatial de l’UE, offrira une couverture mondiale lorsque l’ensemble de la constellation aura été déployé. Dans une première phase, des projets pilotes seront mis en place en Afrique subsaharienne.</w:t>
            </w:r>
          </w:p>
          <w:p w14:paraId="70B2A804" w14:textId="07B239D7" w:rsidR="0025159C" w:rsidRPr="00C6257E" w:rsidRDefault="0025159C" w:rsidP="00FF2EA4">
            <w:pPr>
              <w:pStyle w:val="ListParagraph"/>
              <w:numPr>
                <w:ilvl w:val="0"/>
                <w:numId w:val="19"/>
              </w:numPr>
              <w:jc w:val="both"/>
              <w:rPr>
                <w:rFonts w:ascii="Times New Roman" w:hAnsi="Times New Roman" w:cs="Times New Roman"/>
                <w:noProof/>
                <w:sz w:val="24"/>
                <w:szCs w:val="24"/>
              </w:rPr>
            </w:pPr>
            <w:r>
              <w:rPr>
                <w:rFonts w:ascii="Times New Roman" w:hAnsi="Times New Roman"/>
                <w:noProof/>
                <w:sz w:val="24"/>
              </w:rPr>
              <w:t>L’</w:t>
            </w:r>
            <w:r>
              <w:rPr>
                <w:rFonts w:ascii="Times New Roman" w:hAnsi="Times New Roman"/>
                <w:b/>
                <w:bCs/>
                <w:noProof/>
                <w:sz w:val="24"/>
              </w:rPr>
              <w:t>initiative de l’Équipe Europe pour une connectivité durable UE-ASEAN</w:t>
            </w:r>
            <w:r>
              <w:rPr>
                <w:rFonts w:ascii="Times New Roman" w:hAnsi="Times New Roman"/>
                <w:noProof/>
                <w:sz w:val="24"/>
              </w:rPr>
              <w:t xml:space="preserve"> dans le cadre de la stratégie «Global Gateway» comprend une composante numérique qui débouchera sur l’extension du site miroir Copernicus installé aux Philippines à d’autres pays de l’ASEAN, dont l’Indonésie et la Thaïlande.</w:t>
            </w:r>
          </w:p>
        </w:tc>
      </w:tr>
    </w:tbl>
    <w:p w14:paraId="4178CA76" w14:textId="3C1D6D5C" w:rsidR="0025159C" w:rsidRPr="00B13BA4" w:rsidRDefault="0025159C" w:rsidP="00805EE0">
      <w:pPr>
        <w:spacing w:before="100" w:beforeAutospacing="1" w:after="100" w:afterAutospacing="1" w:line="240" w:lineRule="auto"/>
        <w:jc w:val="both"/>
        <w:rPr>
          <w:rFonts w:ascii="Times New Roman" w:hAnsi="Times New Roman" w:cs="Times New Roman"/>
          <w:b/>
          <w:i/>
          <w:iCs/>
          <w:noProof/>
          <w:sz w:val="24"/>
          <w:szCs w:val="24"/>
        </w:rPr>
      </w:pPr>
      <w:r>
        <w:rPr>
          <w:rFonts w:ascii="Times New Roman" w:hAnsi="Times New Roman"/>
          <w:b/>
          <w:i/>
          <w:noProof/>
          <w:sz w:val="24"/>
        </w:rPr>
        <w:t>Technologies émergentes</w:t>
      </w:r>
    </w:p>
    <w:p w14:paraId="4D0926F0" w14:textId="08F20BA4" w:rsidR="0025159C" w:rsidRPr="00B13BA4" w:rsidRDefault="0025159C" w:rsidP="0884A574">
      <w:pPr>
        <w:numPr>
          <w:ilvl w:val="0"/>
          <w:numId w:val="7"/>
        </w:num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b/>
          <w:noProof/>
          <w:sz w:val="24"/>
        </w:rPr>
        <w:t>Intelligence artificielle</w:t>
      </w:r>
      <w:r>
        <w:rPr>
          <w:rFonts w:ascii="Times New Roman" w:hAnsi="Times New Roman"/>
          <w:noProof/>
          <w:sz w:val="24"/>
        </w:rPr>
        <w:t>: comme indiqué dans le plan d’action pour un continent de l’IA</w:t>
      </w:r>
      <w:r>
        <w:rPr>
          <w:rStyle w:val="FootnoteReference"/>
          <w:rFonts w:ascii="Times New Roman" w:eastAsia="Times New Roman" w:hAnsi="Times New Roman" w:cs="Times New Roman"/>
          <w:noProof/>
          <w:sz w:val="24"/>
          <w:szCs w:val="24"/>
          <w:lang w:val="en-IE"/>
        </w:rPr>
        <w:footnoteReference w:id="39"/>
      </w:r>
      <w:r>
        <w:rPr>
          <w:rFonts w:ascii="Times New Roman" w:hAnsi="Times New Roman"/>
          <w:noProof/>
          <w:sz w:val="24"/>
        </w:rPr>
        <w:t>, l’UE poursuivra ses discussions bilatérales, régionales et multilatérales avec des partenaires de confiance afin d’attirer des investissements dans l’UE, de soutenir la mise en place de conditions de concurrence équitables au niveau mondial pour une IA digne de confiance et de promouvoir la bonne gouvernance de l’IA à l’échelle mondiale. Elle agira également avec détermination pour se positionner comme un chef de file dans l’application de l’IA à la science pour sa propre compétitivité et pour amener des scientifiques de haut niveau à choisir l’Europe</w:t>
      </w:r>
      <w:r>
        <w:rPr>
          <w:rStyle w:val="FootnoteReference"/>
          <w:rFonts w:ascii="Times New Roman" w:hAnsi="Times New Roman" w:cs="Times New Roman"/>
          <w:noProof/>
          <w:sz w:val="24"/>
          <w:szCs w:val="24"/>
          <w:lang w:val="en-IE"/>
        </w:rPr>
        <w:footnoteReference w:id="40"/>
      </w:r>
      <w:r>
        <w:rPr>
          <w:rFonts w:ascii="Times New Roman" w:hAnsi="Times New Roman"/>
          <w:noProof/>
          <w:sz w:val="24"/>
        </w:rPr>
        <w:t>. L’UE continuera de rechercher des formes de coopération avec des partenaires de confiance, notamment en ce qui concerne les aspects de l’IA liés à l’innovation, et œuvrera ainsi, par exemple, au déploiement de fabriques d’IA en dehors de l’UE et à leur connexion au réseau des fabriques d’IA de l’UE. Cette coopération comprendra également la fourniture d’un accès aux modèles et algorithmes d’IA, en particulier dans le cadre de projets liés à l’IA au service du bien public (par exemple, la lutte contre le changement climatique et le soutien à la transition propre, l’amélioration des soins de santé ou l’agriculture). Elle permettra également de tirer parti des données et services satellitaires publics et commerciaux de l’UE pour améliorer les solutions fondées sur l’IA en vue de relever des défis mondiaux, tels que la surveillance de l’environnement et la réaction aux catastrophes.</w:t>
      </w:r>
      <w:r>
        <w:rPr>
          <w:rFonts w:ascii="Times New Roman" w:hAnsi="Times New Roman"/>
          <w:i/>
          <w:noProof/>
          <w:sz w:val="24"/>
        </w:rPr>
        <w:t xml:space="preserve"> </w:t>
      </w:r>
      <w:r>
        <w:rPr>
          <w:rFonts w:ascii="Times New Roman" w:hAnsi="Times New Roman"/>
          <w:noProof/>
          <w:sz w:val="24"/>
        </w:rPr>
        <w:t xml:space="preserve">Compte tenu de la nature à double usage de certaines applications d’IA, l’UE poursuivra ses travaux sur le rôle de l’intelligence artificielle dans la politique étrangère et de sécurité commune (PESC) et la politique de sécurité et de défense commune (PSDC), en coopérant avec les États membres pour faire en sorte que la PESC et la PSDC de l’UE puissent tirer parti des avancées technologiques de l’IA. </w:t>
      </w:r>
    </w:p>
    <w:p w14:paraId="4E7EFD51" w14:textId="08B520F2" w:rsidR="0025159C" w:rsidRPr="00977FEF" w:rsidRDefault="0025159C" w:rsidP="00977FEF">
      <w:pPr>
        <w:numPr>
          <w:ilvl w:val="0"/>
          <w:numId w:val="7"/>
        </w:num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b/>
          <w:bCs/>
          <w:noProof/>
          <w:sz w:val="24"/>
        </w:rPr>
        <w:t>5G et 6G</w:t>
      </w:r>
      <w:r>
        <w:rPr>
          <w:rFonts w:ascii="Times New Roman" w:hAnsi="Times New Roman"/>
          <w:noProof/>
          <w:sz w:val="24"/>
        </w:rPr>
        <w:t>: l’UE est la figure de proue mondiale de l’innovation dans le domaine de la connectivité avancée, comme la 5G et les solutions de réseaux fixes. L’objectif de parvenir à des normes communes pour la prochaine génération durable dès la conception (6G) nécessite une coopération avec des pays partageant les mêmes valeurs, coopération qui devra commencer dans la recherche et l’innovation et dans la normalisation. Le principal défi réside dans le développement et le choix des technologies 6G, notamment les technologies de réseau d’accès radioélectrique, y compris l’intégration des réseaux terrestres et non terrestres. L’industrie de l’UE peut jouer un rôle moteur pour que la 6G se développe conformément aux normes de l’UE, notamment en matière de cybersécurité, d’interopérabilité et de respect des normes légales en matière d’accès, et bénéficiera de la coopération avec des pays disposant d’atouts complémentaires dans la chaîne de valeur (microélectronique, appareils, informatique en nuage ou IA, par exemple).</w:t>
      </w:r>
    </w:p>
    <w:p w14:paraId="3781E491" w14:textId="75982A64" w:rsidR="0094131D" w:rsidRPr="0094131D" w:rsidRDefault="0094131D" w:rsidP="0094131D">
      <w:pPr>
        <w:numPr>
          <w:ilvl w:val="0"/>
          <w:numId w:val="7"/>
        </w:num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b/>
          <w:noProof/>
          <w:sz w:val="24"/>
        </w:rPr>
        <w:t>Semi-conducteurs</w:t>
      </w:r>
      <w:r>
        <w:rPr>
          <w:rFonts w:ascii="Times New Roman" w:hAnsi="Times New Roman"/>
          <w:noProof/>
          <w:sz w:val="24"/>
        </w:rPr>
        <w:t>: face à l’incertitude géopolitique et à la complexité croissante des chaînes d’approvisionnement des semi-conducteurs, une approche adaptée et propre à chaque pays s’impose, l’objectif étant de faire en sorte que l’UE s’allie à des leaders mondiaux de l’écosystème des semi-conducteurs tout en préservant ses propres intérêts technologiques, économiques et sécuritaires. L’UE continuera de dialoguer avec les pays avec lesquels la collaboration dans des domaines tels que la recherche et le développement préconcurrentiels et la résilience de la chaîne d’approvisionnement est mutuellement bénéfique. Conformément à la stratégie en matière de sécurité économique</w:t>
      </w:r>
      <w:r>
        <w:rPr>
          <w:rStyle w:val="FootnoteReference"/>
          <w:rFonts w:ascii="Times New Roman" w:hAnsi="Times New Roman" w:cs="Times New Roman"/>
          <w:noProof/>
          <w:sz w:val="24"/>
          <w:szCs w:val="24"/>
          <w:lang w:val="en-IE"/>
        </w:rPr>
        <w:footnoteReference w:id="41"/>
      </w:r>
      <w:r>
        <w:rPr>
          <w:rFonts w:ascii="Times New Roman" w:hAnsi="Times New Roman"/>
          <w:noProof/>
          <w:sz w:val="24"/>
        </w:rPr>
        <w:t>, l’UE défendra également ses intérêts en matière de sécurité économique, notamment dans le cadre de discussions bilatérales, régionales et multilatérales, en encourageant l’échange d’informations afin de prévenir les perturbations de la chaîne d’approvisionnement, en atténuant les risques et en attirant les talents mondiaux afin de combler le déficit de compétences dont pâtit l’écosystème européen des semi-conducteurs.</w:t>
      </w:r>
    </w:p>
    <w:p w14:paraId="59560C65" w14:textId="36E87B4A" w:rsidR="0025159C" w:rsidRPr="00B13BA4" w:rsidRDefault="0025159C" w:rsidP="30C9F5EF">
      <w:pPr>
        <w:numPr>
          <w:ilvl w:val="0"/>
          <w:numId w:val="7"/>
        </w:num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b/>
          <w:noProof/>
          <w:sz w:val="24"/>
        </w:rPr>
        <w:t>Technologies quantiques</w:t>
      </w:r>
      <w:r>
        <w:rPr>
          <w:rFonts w:ascii="Times New Roman" w:hAnsi="Times New Roman"/>
          <w:noProof/>
          <w:sz w:val="24"/>
        </w:rPr>
        <w:t>: l’adoption de normes et d’applications communes dans le domaine des technologies quantiques exige une collaboration internationale solide, en particulier en ce qui concerne la recherche et l’innovation. L’UE renforcera ses liens, sur une base réciproque, avec les pays qui peuvent lui offrir des atouts complémentaires dans la chaîne de valeur des technologies quantiques (informatique, détection, communication ou cryptographie post-quantique sûre, par exemple) et dans des domaines connexes. Elle reste attentive au rôle des technologies quantiques dans le futur paysage sécuritaire et entretient des contacts réguliers avec l’OTAN et d’autres partenaires concernés sur le terrain.  Elle unira ses forces à celles des pays partenaires pour trouver des applications concrètes des technologies quantiques dans les politiques sectorielles, par exemple pour le développement de nouveaux matériaux.</w:t>
      </w:r>
    </w:p>
    <w:p w14:paraId="6EFF04DD" w14:textId="77777777" w:rsidR="0025159C" w:rsidRPr="00B13BA4" w:rsidRDefault="0025159C" w:rsidP="00E758B6">
      <w:pPr>
        <w:pBdr>
          <w:top w:val="single" w:sz="4" w:space="1" w:color="auto"/>
          <w:left w:val="single" w:sz="4" w:space="4" w:color="auto"/>
          <w:bottom w:val="single" w:sz="4" w:space="0" w:color="auto"/>
          <w:right w:val="single" w:sz="4" w:space="4" w:color="auto"/>
        </w:pBdr>
        <w:shd w:val="clear" w:color="auto" w:fill="D9D9D9" w:themeFill="background1" w:themeFillShade="D9"/>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Exemples de futures actions dans le domaine des </w:t>
      </w:r>
      <w:r>
        <w:rPr>
          <w:rFonts w:ascii="Times New Roman" w:hAnsi="Times New Roman"/>
          <w:b/>
          <w:bCs/>
          <w:noProof/>
          <w:sz w:val="24"/>
        </w:rPr>
        <w:t>technologies émergentes</w:t>
      </w:r>
    </w:p>
    <w:p w14:paraId="3280593B" w14:textId="77777777" w:rsidR="0025159C" w:rsidRPr="00B13BA4" w:rsidRDefault="0025159C" w:rsidP="00FF2EA4">
      <w:pPr>
        <w:pStyle w:val="ListParagraph"/>
        <w:numPr>
          <w:ilvl w:val="0"/>
          <w:numId w:val="20"/>
        </w:numPr>
        <w:pBdr>
          <w:top w:val="single" w:sz="4" w:space="1" w:color="auto"/>
          <w:left w:val="single" w:sz="4" w:space="4" w:color="auto"/>
          <w:bottom w:val="single" w:sz="4" w:space="0" w:color="auto"/>
          <w:right w:val="single" w:sz="4" w:space="4" w:color="auto"/>
        </w:pBdr>
        <w:shd w:val="clear" w:color="auto" w:fill="D9D9D9" w:themeFill="background1" w:themeFillShade="D9"/>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L’UE mettra en œuvre des projets conjoints de recherche et d’innovation dans le domaine des technologies quantiques avec le </w:t>
      </w:r>
      <w:r>
        <w:rPr>
          <w:rFonts w:ascii="Times New Roman" w:hAnsi="Times New Roman"/>
          <w:b/>
          <w:bCs/>
          <w:noProof/>
          <w:sz w:val="24"/>
        </w:rPr>
        <w:t>Japon</w:t>
      </w:r>
      <w:r>
        <w:rPr>
          <w:rFonts w:ascii="Times New Roman" w:hAnsi="Times New Roman"/>
          <w:noProof/>
          <w:sz w:val="24"/>
        </w:rPr>
        <w:t xml:space="preserve">, la </w:t>
      </w:r>
      <w:r>
        <w:rPr>
          <w:rFonts w:ascii="Times New Roman" w:hAnsi="Times New Roman"/>
          <w:b/>
          <w:bCs/>
          <w:noProof/>
          <w:sz w:val="24"/>
        </w:rPr>
        <w:t>République de Corée</w:t>
      </w:r>
      <w:r>
        <w:rPr>
          <w:rFonts w:ascii="Times New Roman" w:hAnsi="Times New Roman"/>
          <w:noProof/>
          <w:sz w:val="24"/>
        </w:rPr>
        <w:t xml:space="preserve"> et le </w:t>
      </w:r>
      <w:r>
        <w:rPr>
          <w:rFonts w:ascii="Times New Roman" w:hAnsi="Times New Roman"/>
          <w:b/>
          <w:bCs/>
          <w:noProof/>
          <w:sz w:val="24"/>
        </w:rPr>
        <w:t>Canada</w:t>
      </w:r>
      <w:r>
        <w:rPr>
          <w:rFonts w:ascii="Times New Roman" w:hAnsi="Times New Roman"/>
          <w:noProof/>
          <w:sz w:val="24"/>
        </w:rPr>
        <w:t>.</w:t>
      </w:r>
    </w:p>
    <w:p w14:paraId="5B5EE4BB" w14:textId="77777777" w:rsidR="0025159C" w:rsidRPr="00B13BA4" w:rsidRDefault="0025159C" w:rsidP="00FF2EA4">
      <w:pPr>
        <w:pStyle w:val="ListParagraph"/>
        <w:numPr>
          <w:ilvl w:val="0"/>
          <w:numId w:val="20"/>
        </w:numPr>
        <w:pBdr>
          <w:top w:val="single" w:sz="4" w:space="1" w:color="auto"/>
          <w:left w:val="single" w:sz="4" w:space="4" w:color="auto"/>
          <w:bottom w:val="single" w:sz="4" w:space="0" w:color="auto"/>
          <w:right w:val="single" w:sz="4" w:space="4" w:color="auto"/>
        </w:pBdr>
        <w:shd w:val="clear" w:color="auto" w:fill="D9D9D9" w:themeFill="background1" w:themeFillShade="D9"/>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Dans le cadre du </w:t>
      </w:r>
      <w:r>
        <w:rPr>
          <w:rFonts w:ascii="Times New Roman" w:hAnsi="Times New Roman"/>
          <w:b/>
          <w:bCs/>
          <w:noProof/>
          <w:sz w:val="24"/>
        </w:rPr>
        <w:t>Conseil du commerce et des technologies UE-Inde</w:t>
      </w:r>
      <w:r>
        <w:rPr>
          <w:rFonts w:ascii="Times New Roman" w:hAnsi="Times New Roman"/>
          <w:noProof/>
          <w:sz w:val="24"/>
        </w:rPr>
        <w:t>, l’UE et l’Inde travaillent à l’élaboration d’un programme spécifique qui facilitera les échanges de talents et favorisera les compétences des étudiants et des jeunes professionnels dans le domaine des semi-conducteurs.</w:t>
      </w:r>
    </w:p>
    <w:p w14:paraId="288767DA" w14:textId="544FC63B" w:rsidR="0025159C" w:rsidRPr="00B13BA4" w:rsidRDefault="0025159C" w:rsidP="00FF2EA4">
      <w:pPr>
        <w:pStyle w:val="ListParagraph"/>
        <w:numPr>
          <w:ilvl w:val="0"/>
          <w:numId w:val="20"/>
        </w:numPr>
        <w:pBdr>
          <w:top w:val="single" w:sz="4" w:space="1" w:color="auto"/>
          <w:left w:val="single" w:sz="4" w:space="4" w:color="auto"/>
          <w:bottom w:val="single" w:sz="4" w:space="0" w:color="auto"/>
          <w:right w:val="single" w:sz="4" w:space="4" w:color="auto"/>
        </w:pBdr>
        <w:shd w:val="clear" w:color="auto" w:fill="D9D9D9" w:themeFill="background1" w:themeFillShade="D9"/>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Dans le cadre de l’alliance numérique UE-Amérique latine et Caraïbes, l’UE établira un partenariat solide pour fédérer des ressources afin de développer le calcul à haute performance </w:t>
      </w:r>
      <w:r>
        <w:rPr>
          <w:rFonts w:ascii="Times New Roman" w:hAnsi="Times New Roman"/>
          <w:b/>
          <w:bCs/>
          <w:noProof/>
          <w:sz w:val="24"/>
        </w:rPr>
        <w:t>en Amérique latine et dans les Caraïbes</w:t>
      </w:r>
      <w:r>
        <w:rPr>
          <w:rFonts w:ascii="Times New Roman" w:hAnsi="Times New Roman"/>
          <w:noProof/>
          <w:sz w:val="24"/>
        </w:rPr>
        <w:t xml:space="preserve"> et renforcer leur interopérabilité et leur intégration avec l’écosystème européen du calcul à haute performance.</w:t>
      </w:r>
    </w:p>
    <w:p w14:paraId="51A4E999" w14:textId="09A6FB76" w:rsidR="0025159C" w:rsidRPr="00B13BA4" w:rsidRDefault="0025159C" w:rsidP="00FF2EA4">
      <w:pPr>
        <w:pStyle w:val="ListParagraph"/>
        <w:numPr>
          <w:ilvl w:val="0"/>
          <w:numId w:val="20"/>
        </w:numPr>
        <w:pBdr>
          <w:top w:val="single" w:sz="4" w:space="1" w:color="auto"/>
          <w:left w:val="single" w:sz="4" w:space="4" w:color="auto"/>
          <w:bottom w:val="single" w:sz="4" w:space="0" w:color="auto"/>
          <w:right w:val="single" w:sz="4" w:space="4" w:color="auto"/>
        </w:pBdr>
        <w:shd w:val="clear" w:color="auto" w:fill="D9D9D9" w:themeFill="background1" w:themeFillShade="D9"/>
        <w:spacing w:beforeAutospacing="1" w:afterAutospacing="1" w:line="240" w:lineRule="auto"/>
        <w:jc w:val="both"/>
        <w:rPr>
          <w:rFonts w:ascii="Times New Roman" w:hAnsi="Times New Roman" w:cs="Times New Roman"/>
          <w:noProof/>
          <w:sz w:val="24"/>
          <w:szCs w:val="24"/>
        </w:rPr>
      </w:pPr>
      <w:r>
        <w:rPr>
          <w:rFonts w:ascii="Times New Roman" w:hAnsi="Times New Roman"/>
          <w:noProof/>
          <w:sz w:val="24"/>
        </w:rPr>
        <w:t xml:space="preserve">L’UE assurera le suivi des engagements pris lors de la </w:t>
      </w:r>
      <w:r>
        <w:rPr>
          <w:rFonts w:ascii="Times New Roman" w:hAnsi="Times New Roman"/>
          <w:b/>
          <w:bCs/>
          <w:noProof/>
          <w:sz w:val="24"/>
        </w:rPr>
        <w:t>réunion ministérielle UE-Union africaine</w:t>
      </w:r>
      <w:r>
        <w:rPr>
          <w:rFonts w:ascii="Times New Roman" w:hAnsi="Times New Roman"/>
          <w:noProof/>
          <w:sz w:val="24"/>
        </w:rPr>
        <w:t xml:space="preserve"> (mai 2025) en vue d’une collaboration destinée au développement d’écosystèmes d’innovation régionaux, à la mise en place de stratégies d’IA et de cadres de gouvernance numérique.</w:t>
      </w:r>
    </w:p>
    <w:p w14:paraId="7FE0DB20" w14:textId="546E75BD" w:rsidR="0025159C" w:rsidRPr="00B13BA4" w:rsidRDefault="0025159C" w:rsidP="00FF2EA4">
      <w:pPr>
        <w:pStyle w:val="ListParagraph"/>
        <w:numPr>
          <w:ilvl w:val="0"/>
          <w:numId w:val="20"/>
        </w:numPr>
        <w:pBdr>
          <w:top w:val="single" w:sz="4" w:space="1" w:color="auto"/>
          <w:left w:val="single" w:sz="4" w:space="4" w:color="auto"/>
          <w:bottom w:val="single" w:sz="4" w:space="0" w:color="auto"/>
          <w:right w:val="single" w:sz="4" w:space="4" w:color="auto"/>
        </w:pBdr>
        <w:shd w:val="clear" w:color="auto" w:fill="D9D9D9" w:themeFill="background1" w:themeFillShade="D9"/>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L’UE soutiendra le déploiement de </w:t>
      </w:r>
      <w:r>
        <w:rPr>
          <w:rFonts w:ascii="Times New Roman" w:hAnsi="Times New Roman"/>
          <w:b/>
          <w:bCs/>
          <w:noProof/>
          <w:sz w:val="24"/>
        </w:rPr>
        <w:t>fabriques d’IA</w:t>
      </w:r>
      <w:r>
        <w:rPr>
          <w:rFonts w:ascii="Times New Roman" w:hAnsi="Times New Roman"/>
          <w:noProof/>
          <w:sz w:val="24"/>
        </w:rPr>
        <w:t xml:space="preserve"> dans les pays partenaires fiables, en les aidant à développer leur infrastructure de calcul tout en les connectant de manière sécurisée à l’UE et à son écosystème de fabriques d’IA.</w:t>
      </w:r>
    </w:p>
    <w:p w14:paraId="4EC2259D" w14:textId="26147735" w:rsidR="0025159C" w:rsidRDefault="0025159C" w:rsidP="00FF2EA4">
      <w:pPr>
        <w:pStyle w:val="ListParagraph"/>
        <w:numPr>
          <w:ilvl w:val="0"/>
          <w:numId w:val="20"/>
        </w:numPr>
        <w:pBdr>
          <w:top w:val="single" w:sz="4" w:space="1" w:color="auto"/>
          <w:left w:val="single" w:sz="4" w:space="4" w:color="auto"/>
          <w:bottom w:val="single" w:sz="4" w:space="0" w:color="auto"/>
          <w:right w:val="single" w:sz="4" w:space="4" w:color="auto"/>
        </w:pBdr>
        <w:shd w:val="clear" w:color="auto" w:fill="D9D9D9" w:themeFill="background1" w:themeFillShade="D9"/>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L’UE collaborera avec les États membres pour définir les domaines dans lesquels l’</w:t>
      </w:r>
      <w:r>
        <w:rPr>
          <w:rFonts w:ascii="Times New Roman" w:hAnsi="Times New Roman"/>
          <w:b/>
          <w:bCs/>
          <w:noProof/>
          <w:sz w:val="24"/>
        </w:rPr>
        <w:t>intelligence artificielle</w:t>
      </w:r>
      <w:r>
        <w:rPr>
          <w:rFonts w:ascii="Times New Roman" w:hAnsi="Times New Roman"/>
          <w:noProof/>
          <w:sz w:val="24"/>
        </w:rPr>
        <w:t xml:space="preserve"> peut faciliter la mise en œuvre de la politique étrangère et de sécurité commune et de la politique de sécurité et de défense commune.</w:t>
      </w:r>
    </w:p>
    <w:p w14:paraId="1328BA51" w14:textId="51876595" w:rsidR="006B4611" w:rsidRDefault="006B4611" w:rsidP="00FF2EA4">
      <w:pPr>
        <w:pStyle w:val="ListParagraph"/>
        <w:numPr>
          <w:ilvl w:val="0"/>
          <w:numId w:val="20"/>
        </w:numPr>
        <w:pBdr>
          <w:top w:val="single" w:sz="4" w:space="1" w:color="auto"/>
          <w:left w:val="single" w:sz="4" w:space="4" w:color="auto"/>
          <w:bottom w:val="single" w:sz="4" w:space="0" w:color="auto"/>
          <w:right w:val="single" w:sz="4" w:space="4" w:color="auto"/>
        </w:pBdr>
        <w:shd w:val="clear" w:color="auto" w:fill="D9D9D9" w:themeFill="background1" w:themeFillShade="D9"/>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L’UE continuera de soutenir l’</w:t>
      </w:r>
      <w:r>
        <w:rPr>
          <w:rFonts w:ascii="Times New Roman" w:hAnsi="Times New Roman"/>
          <w:b/>
          <w:bCs/>
          <w:noProof/>
          <w:sz w:val="24"/>
        </w:rPr>
        <w:t>innovation dans le domaine de la défense</w:t>
      </w:r>
      <w:r>
        <w:rPr>
          <w:rFonts w:ascii="Times New Roman" w:hAnsi="Times New Roman"/>
          <w:noProof/>
          <w:sz w:val="24"/>
        </w:rPr>
        <w:t xml:space="preserve"> par l’intermédiaire de son </w:t>
      </w:r>
      <w:r>
        <w:rPr>
          <w:rFonts w:ascii="Times New Roman" w:hAnsi="Times New Roman"/>
          <w:b/>
          <w:bCs/>
          <w:noProof/>
          <w:sz w:val="24"/>
        </w:rPr>
        <w:t>programme d’innovation dans le domaine de la défense (EUDIS)</w:t>
      </w:r>
      <w:r>
        <w:rPr>
          <w:rFonts w:ascii="Times New Roman" w:hAnsi="Times New Roman"/>
          <w:noProof/>
          <w:sz w:val="24"/>
        </w:rPr>
        <w:t xml:space="preserve"> et étudiera les moyens de renforcer la collaboration avec l’Ukraine dans ce domaine.</w:t>
      </w:r>
    </w:p>
    <w:p w14:paraId="17E41049" w14:textId="1DF51028" w:rsidR="0025159C" w:rsidRPr="00B13BA4" w:rsidRDefault="0025159C" w:rsidP="00FF2EA4">
      <w:pPr>
        <w:pStyle w:val="ListParagraph"/>
        <w:numPr>
          <w:ilvl w:val="0"/>
          <w:numId w:val="20"/>
        </w:numPr>
        <w:pBdr>
          <w:top w:val="single" w:sz="4" w:space="1" w:color="auto"/>
          <w:left w:val="single" w:sz="4" w:space="4" w:color="auto"/>
          <w:bottom w:val="single" w:sz="4" w:space="0" w:color="auto"/>
          <w:right w:val="single" w:sz="4" w:space="4" w:color="auto"/>
        </w:pBdr>
        <w:shd w:val="clear" w:color="auto" w:fill="D9D9D9" w:themeFill="background1" w:themeFillShade="D9"/>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L’UE étudiera, en dialogue étroit avec des partenaires de confiance tels que la Norvège et l’Ukraine, de nouveaux moyens d’encourager les synergies avec le pôle d’innovation européenne dans le domaine de la défense (HEDI). </w:t>
      </w:r>
    </w:p>
    <w:p w14:paraId="21C82DC6" w14:textId="77777777" w:rsidR="0025159C" w:rsidRPr="00B13BA4" w:rsidRDefault="0025159C" w:rsidP="00805EE0">
      <w:pPr>
        <w:shd w:val="clear" w:color="auto" w:fill="FFFFFF" w:themeFill="background1"/>
        <w:spacing w:before="100" w:beforeAutospacing="1" w:after="100" w:afterAutospacing="1" w:line="240" w:lineRule="auto"/>
        <w:jc w:val="both"/>
        <w:rPr>
          <w:rFonts w:ascii="Times New Roman" w:hAnsi="Times New Roman" w:cs="Times New Roman"/>
          <w:b/>
          <w:bCs/>
          <w:i/>
          <w:noProof/>
          <w:sz w:val="24"/>
          <w:szCs w:val="24"/>
        </w:rPr>
      </w:pPr>
      <w:r>
        <w:rPr>
          <w:rFonts w:ascii="Times New Roman" w:hAnsi="Times New Roman"/>
          <w:b/>
          <w:i/>
          <w:noProof/>
          <w:sz w:val="24"/>
        </w:rPr>
        <w:t>Cybersécurité</w:t>
      </w:r>
    </w:p>
    <w:p w14:paraId="5A0D50F8" w14:textId="4D8CB754" w:rsidR="0025159C" w:rsidRPr="00B13BA4" w:rsidRDefault="0025159C" w:rsidP="30C9F5EF">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Dans le monde hyperconnecté d’aujourd’hui et dans le paysage géopolitique actuel en constante évolution, les cybermenaces émanant d’acteurs étatiques et non étatiques ne s’arrêtent pas aux frontières. Une cyberattaque ou un incident frappant un seul pays peut paralyser des entreprises et des infrastructures dans le monde entier, et nos citoyens et nos entreprises dépendent de produits et de solutions numériques qui proviennent de pays tiers. Le renforcement de la cybersécurité et de la cyberdéfense, y compris de la capacité à détecter les menaces et incidents de cybersécurité, à s’y préparer et à y réagir, et l’amélioration de l’échange d’informations sur les cybermenaces avec les partenaires internationaux afin d’améliorer le temps de réaction et la résilience sont des investissements qui bénéficient directement à la sécurité de l’UE. Cela se vérifie tout particulièrement dans le voisinage de l’UE, où cette dernière est pleinement déterminée à aider les pays concernés par l’élargissement à renforcer leurs capacités de cybersécurité et de cyberdéfense. </w:t>
      </w:r>
    </w:p>
    <w:p w14:paraId="3869D916" w14:textId="74BFB99A" w:rsidR="0025159C" w:rsidRPr="00B13BA4" w:rsidRDefault="0025159C" w:rsidP="30C9F5EF">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L’UE dispose également des outils nécessaires pour jouer un rôle de premier plan à l’échelle mondiale en matière de cybersécurité. Avec le règlement sur la cyberrésilience</w:t>
      </w:r>
      <w:r>
        <w:rPr>
          <w:rStyle w:val="FootnoteReference"/>
          <w:rFonts w:ascii="Times New Roman" w:hAnsi="Times New Roman" w:cs="Times New Roman"/>
          <w:noProof/>
          <w:sz w:val="24"/>
          <w:szCs w:val="24"/>
          <w:lang w:val="en-IE"/>
        </w:rPr>
        <w:footnoteReference w:id="42"/>
      </w:r>
      <w:r>
        <w:rPr>
          <w:rFonts w:ascii="Times New Roman" w:hAnsi="Times New Roman"/>
          <w:noProof/>
          <w:sz w:val="24"/>
        </w:rPr>
        <w:t>, l’UE montre une nouvelle fois la voie en ce qui concerne la sécurité des produits dès la conception. Alors que les pays du monde entier cherchent à sécuriser leurs chaînes d’approvisionnement, le savoir-faire de l’UE en matière de sécurité des produits constitue une base solide pour l’établissement de partenariats internationaux. Dans le même ordre d’idées, à un moment où les partenaires internationaux de l’UE investissent dans la sécurisation de leurs infrastructures critiques, des débouchés commerciaux émergent dans des domaines dans lesquels l’UE peut se prévaloir d’une industrie forte, comme la cryptographie et les produits numériques hautement sécurisés.</w:t>
      </w:r>
    </w:p>
    <w:p w14:paraId="487EFF3E" w14:textId="5E37075A" w:rsidR="0025159C" w:rsidRPr="00B13BA4" w:rsidRDefault="0025159C" w:rsidP="30C9F5EF">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Compte tenu de leur forte incidence sur les entreprises et les hôpitaux, les rançongiciels demeurent un fléau mondial, qu’aucun pays ne peut combattre seul. Conformément à la stratégie ProtectEU, l’UE plaidera en faveur d’une coopération internationale renforcée afin de démanteler les infrastructures qu’utilisent les groupes criminels menant des attaques par rançongiciel, de tarir leurs sources de revenus, de garantir des sanctions plus efficaces à l’encontre des auteurs et des facilitateurs et de traduire les cybercriminels en justice.</w:t>
      </w:r>
    </w:p>
    <w:p w14:paraId="2A69A27A" w14:textId="77777777" w:rsidR="0025159C" w:rsidRPr="00B13BA4" w:rsidRDefault="0025159C" w:rsidP="00805EE0">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Dans le cadre de ces efforts, l’UE encouragera également le renforcement de la cyberrésilience dans les secteurs qui dépendent de plus en plus des technologies numériques, telles que ceux des transports et de la mobilité intelligente, pour lesquels des infrastructures, des données et des services sûrs sont essentiels pour garantir la continuité opérationnelle et la confiance du public.</w:t>
      </w:r>
    </w:p>
    <w:p w14:paraId="7EE99B63" w14:textId="6FCACF23" w:rsidR="0025159C" w:rsidRPr="00B13BA4" w:rsidRDefault="0025159C" w:rsidP="30C9F5EF">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Les efforts déployés récemment ont permis aux pays candidats associés au programme pour une Europe numérique d’accéder à la réserve de cybersécurité créée au niveau de l’UE par le règlement sur la cybersolidarité</w:t>
      </w:r>
      <w:r>
        <w:rPr>
          <w:rStyle w:val="FootnoteReference"/>
          <w:rFonts w:ascii="Times New Roman" w:eastAsia="Times New Roman" w:hAnsi="Times New Roman" w:cs="Times New Roman"/>
          <w:noProof/>
          <w:sz w:val="24"/>
          <w:szCs w:val="24"/>
          <w:lang w:val="en-IE"/>
        </w:rPr>
        <w:footnoteReference w:id="43"/>
      </w:r>
      <w:r>
        <w:rPr>
          <w:rFonts w:ascii="Times New Roman" w:hAnsi="Times New Roman"/>
          <w:noProof/>
          <w:sz w:val="24"/>
        </w:rPr>
        <w:t>. En outre, l’Agence de l’Union européenne pour la cybersécurité (ENISA) poursuivra sa coopération en matière de cybersécurité avec les pays tiers concernés, y compris le renforcement des capacités dans les pays candidats et les pays voisins.</w:t>
      </w:r>
    </w:p>
    <w:p w14:paraId="679E270D" w14:textId="6FB9F305" w:rsidR="0025159C" w:rsidRPr="005D4721" w:rsidRDefault="0025159C" w:rsidP="005D4721">
      <w:pPr>
        <w:pBdr>
          <w:top w:val="single" w:sz="4" w:space="1" w:color="auto"/>
          <w:left w:val="single" w:sz="4" w:space="1" w:color="auto"/>
          <w:bottom w:val="single" w:sz="4" w:space="1" w:color="auto"/>
          <w:right w:val="single" w:sz="4" w:space="1" w:color="auto"/>
        </w:pBdr>
        <w:shd w:val="clear" w:color="auto" w:fill="D9D9D9" w:themeFill="background1" w:themeFillShade="D9"/>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Exemples de futures actions dans le domaine de la </w:t>
      </w:r>
      <w:r>
        <w:rPr>
          <w:rFonts w:ascii="Times New Roman" w:hAnsi="Times New Roman"/>
          <w:b/>
          <w:bCs/>
          <w:noProof/>
          <w:sz w:val="24"/>
        </w:rPr>
        <w:t>cybersécurité</w:t>
      </w:r>
    </w:p>
    <w:p w14:paraId="71F87BF5" w14:textId="44CF813F" w:rsidR="0025159C" w:rsidRPr="00B13BA4" w:rsidRDefault="0025159C" w:rsidP="00FF2EA4">
      <w:pPr>
        <w:pStyle w:val="ListParagraph"/>
        <w:numPr>
          <w:ilvl w:val="0"/>
          <w:numId w:val="21"/>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L’UE collaborera avec des partenaires pertinents pour étudier la possibilité de conclure des </w:t>
      </w:r>
      <w:r>
        <w:rPr>
          <w:rFonts w:ascii="Times New Roman" w:hAnsi="Times New Roman"/>
          <w:b/>
          <w:bCs/>
          <w:noProof/>
          <w:sz w:val="24"/>
        </w:rPr>
        <w:t>accords de reconnaissance mutuelle</w:t>
      </w:r>
      <w:r>
        <w:rPr>
          <w:rFonts w:ascii="Times New Roman" w:hAnsi="Times New Roman"/>
          <w:noProof/>
          <w:sz w:val="24"/>
        </w:rPr>
        <w:t xml:space="preserve"> concernant le règlement sur la cyberrésilience et les cadres respectifs de ces partenaires afin de faciliter le respect des exigences en matière de cybersécurité des produits.</w:t>
      </w:r>
    </w:p>
    <w:p w14:paraId="697157A7" w14:textId="1CCD5240" w:rsidR="0025159C" w:rsidRPr="00B13BA4" w:rsidRDefault="0025159C" w:rsidP="00FF2EA4">
      <w:pPr>
        <w:pStyle w:val="ListParagraph"/>
        <w:numPr>
          <w:ilvl w:val="0"/>
          <w:numId w:val="21"/>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L’UE continuera de coopérer avec les pays partenaires afin de renforcer la cyberrésilience à l’échelle mondiale et de contribuer à un cyberespace libre, ouvert, sûr et sécurisé. Solidement ancré dans la stratégie «Global Gateway», le soutien à la cybersécurité et au </w:t>
      </w:r>
      <w:r>
        <w:rPr>
          <w:rFonts w:ascii="Times New Roman" w:hAnsi="Times New Roman"/>
          <w:b/>
          <w:bCs/>
          <w:noProof/>
          <w:sz w:val="24"/>
        </w:rPr>
        <w:t>renforcement des capacités en matière de cybersécurité</w:t>
      </w:r>
      <w:r>
        <w:rPr>
          <w:rFonts w:ascii="Times New Roman" w:hAnsi="Times New Roman"/>
          <w:noProof/>
          <w:sz w:val="24"/>
        </w:rPr>
        <w:t xml:space="preserve"> sera axé sur la sécurisation des infrastructures critiques et le renforcement des cyberécosystèmes, notamment grâce à l’élaboration et à la mise en œuvre de cadres réglementaires et stratégiques pertinents, ainsi que sur l’hygiène informatique et la formation à la cybersécurité.</w:t>
      </w:r>
    </w:p>
    <w:p w14:paraId="7F884132" w14:textId="37FCB429" w:rsidR="0025159C" w:rsidRPr="00B13BA4" w:rsidRDefault="0025159C" w:rsidP="00FF2EA4">
      <w:pPr>
        <w:pStyle w:val="ListParagraph"/>
        <w:numPr>
          <w:ilvl w:val="0"/>
          <w:numId w:val="21"/>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Aux Nations unies et au sein des organes de sécurité régionaux, l’UE continuera de plaider pour un </w:t>
      </w:r>
      <w:r>
        <w:rPr>
          <w:rFonts w:ascii="Times New Roman" w:hAnsi="Times New Roman"/>
          <w:b/>
          <w:bCs/>
          <w:noProof/>
          <w:sz w:val="24"/>
        </w:rPr>
        <w:t>comportement responsable des États dans le cyberespace</w:t>
      </w:r>
      <w:r>
        <w:rPr>
          <w:rFonts w:ascii="Times New Roman" w:hAnsi="Times New Roman"/>
          <w:noProof/>
          <w:sz w:val="24"/>
        </w:rPr>
        <w:t>, sur la base du cadre approuvé par l’Assemblée générale des Nations unies. Il s’agit notamment de faire respecter le droit international, de se conformer aux normes de conduite des États en temps de paix acceptées au niveau mondial, d’élaborer des mesures de confiance et d’aider les États à renforcer leur capacité à mettre en œuvre ces éléments du cadre.</w:t>
      </w:r>
    </w:p>
    <w:p w14:paraId="00CFE025" w14:textId="12CBA785" w:rsidR="0025159C" w:rsidRPr="00B13BA4" w:rsidRDefault="0025159C" w:rsidP="00FF2EA4">
      <w:pPr>
        <w:pStyle w:val="ListParagraph"/>
        <w:numPr>
          <w:ilvl w:val="0"/>
          <w:numId w:val="21"/>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100" w:beforeAutospacing="1" w:after="100" w:afterAutospacing="1" w:line="240" w:lineRule="auto"/>
        <w:jc w:val="both"/>
        <w:rPr>
          <w:rFonts w:ascii="Times New Roman" w:hAnsi="Times New Roman" w:cs="Times New Roman"/>
          <w:b/>
          <w:bCs/>
          <w:noProof/>
          <w:sz w:val="24"/>
          <w:szCs w:val="24"/>
        </w:rPr>
      </w:pPr>
      <w:r>
        <w:rPr>
          <w:rFonts w:ascii="Times New Roman" w:hAnsi="Times New Roman"/>
          <w:noProof/>
          <w:sz w:val="24"/>
        </w:rPr>
        <w:t xml:space="preserve">L’UE améliorera l’imputation des </w:t>
      </w:r>
      <w:r>
        <w:rPr>
          <w:rFonts w:ascii="Times New Roman" w:hAnsi="Times New Roman"/>
          <w:b/>
          <w:bCs/>
          <w:noProof/>
          <w:sz w:val="24"/>
        </w:rPr>
        <w:t>cyberattaques</w:t>
      </w:r>
      <w:r>
        <w:rPr>
          <w:rFonts w:ascii="Times New Roman" w:hAnsi="Times New Roman"/>
          <w:noProof/>
          <w:sz w:val="24"/>
        </w:rPr>
        <w:t xml:space="preserve"> à des acteurs malveillants, y compris des acteurs étatiques, et continuera d’élaborer les </w:t>
      </w:r>
      <w:r>
        <w:rPr>
          <w:rFonts w:ascii="Times New Roman" w:hAnsi="Times New Roman"/>
          <w:b/>
          <w:bCs/>
          <w:noProof/>
          <w:sz w:val="24"/>
        </w:rPr>
        <w:t>mécanismes de sanctions</w:t>
      </w:r>
      <w:r>
        <w:rPr>
          <w:rFonts w:ascii="Times New Roman" w:hAnsi="Times New Roman"/>
          <w:noProof/>
          <w:sz w:val="24"/>
        </w:rPr>
        <w:t xml:space="preserve"> y afférents.</w:t>
      </w:r>
    </w:p>
    <w:p w14:paraId="160AC6BB" w14:textId="6DDEB7A1" w:rsidR="00A23C7D" w:rsidRPr="0013364A" w:rsidRDefault="00A23C7D" w:rsidP="0013364A">
      <w:pPr>
        <w:spacing w:before="100" w:beforeAutospacing="1" w:after="100" w:afterAutospacing="1" w:line="240" w:lineRule="auto"/>
        <w:jc w:val="both"/>
        <w:rPr>
          <w:rFonts w:ascii="Times New Roman" w:eastAsia="Times New Roman" w:hAnsi="Times New Roman" w:cs="Times New Roman"/>
          <w:b/>
          <w:i/>
          <w:noProof/>
          <w:sz w:val="24"/>
          <w:szCs w:val="24"/>
        </w:rPr>
      </w:pPr>
      <w:r>
        <w:rPr>
          <w:rFonts w:ascii="Times New Roman" w:hAnsi="Times New Roman"/>
          <w:b/>
          <w:i/>
          <w:noProof/>
          <w:sz w:val="24"/>
        </w:rPr>
        <w:t xml:space="preserve">Activités de manipulation de l’information et d’ingérence menées depuis l’étranger  </w:t>
      </w:r>
    </w:p>
    <w:p w14:paraId="3676AD1B" w14:textId="77777777" w:rsidR="00A23C7D" w:rsidRPr="0013364A" w:rsidRDefault="00A23C7D" w:rsidP="0013364A">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Avec ses partenaires, l’UE protégera également mieux les citoyens contre les campagnes de manipulation de l’information et d’ingérence menées depuis l’étranger ou contre d’autres risques pour la société découlant des plateformes en ligne. Dans ce but, et pour renforcer la responsabilité ainsi que la confiance du public, il est essentiel de garantir la transparence des algorithmes utilisés pour recommander et modérer les contenus. </w:t>
      </w:r>
    </w:p>
    <w:p w14:paraId="3BBBBD27" w14:textId="0A8CFD76" w:rsidR="00A23C7D" w:rsidRPr="00B13BA4" w:rsidRDefault="00A23C7D" w:rsidP="00A23C7D">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Cet objectif est également pertinent pour les pays candidats, les pays candidats potentiels et les pays voisins, compte tenu de leurs vulnérabilités spécifiques à la désinformation et aux activités d’ingérence menées depuis l’étranger, et cela permettra de renforcer notre résilience mutuelle, y compris notre résilience démocratique.</w:t>
      </w:r>
    </w:p>
    <w:p w14:paraId="2C5453F7" w14:textId="7B8AD37D" w:rsidR="00A23C7D" w:rsidRPr="00A23C7D" w:rsidRDefault="00A23C7D" w:rsidP="00A23C7D">
      <w:pPr>
        <w:pBdr>
          <w:top w:val="single" w:sz="4" w:space="1" w:color="auto"/>
          <w:left w:val="single" w:sz="4" w:space="1" w:color="auto"/>
          <w:bottom w:val="single" w:sz="4" w:space="1" w:color="auto"/>
          <w:right w:val="single" w:sz="4" w:space="1" w:color="auto"/>
        </w:pBdr>
        <w:shd w:val="clear" w:color="auto" w:fill="D9D9D9" w:themeFill="background1" w:themeFillShade="D9"/>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Exemples de futures actions dans le domaine des </w:t>
      </w:r>
      <w:r>
        <w:rPr>
          <w:rFonts w:ascii="Times New Roman" w:hAnsi="Times New Roman"/>
          <w:b/>
          <w:bCs/>
          <w:noProof/>
          <w:sz w:val="24"/>
        </w:rPr>
        <w:t>activités de manipulation de l’information et d’ingérence menées depuis l’étranger</w:t>
      </w:r>
    </w:p>
    <w:p w14:paraId="235AD46F" w14:textId="0B1D1F16" w:rsidR="00A23C7D" w:rsidRPr="0013364A" w:rsidRDefault="00A23C7D" w:rsidP="0013364A">
      <w:pPr>
        <w:pStyle w:val="ListParagraph"/>
        <w:numPr>
          <w:ilvl w:val="0"/>
          <w:numId w:val="9"/>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À la suite d’une intensification de ses travaux en matière d’imputation des cyberattaques à des acteurs précis, l’UE améliorera l’</w:t>
      </w:r>
      <w:r>
        <w:rPr>
          <w:rFonts w:ascii="Times New Roman" w:hAnsi="Times New Roman"/>
          <w:b/>
          <w:bCs/>
          <w:noProof/>
          <w:sz w:val="24"/>
        </w:rPr>
        <w:t>imputation des incidents</w:t>
      </w:r>
      <w:r>
        <w:rPr>
          <w:rFonts w:ascii="Times New Roman" w:hAnsi="Times New Roman"/>
          <w:noProof/>
          <w:sz w:val="24"/>
        </w:rPr>
        <w:t xml:space="preserve"> de manipulation de l’information et d’ingérence provoqués depuis l’étranger.</w:t>
      </w:r>
    </w:p>
    <w:p w14:paraId="3C1C2881" w14:textId="0AD4DE24" w:rsidR="0025159C" w:rsidRPr="00B13BA4" w:rsidRDefault="0025159C" w:rsidP="00805EE0">
      <w:pPr>
        <w:spacing w:before="100" w:beforeAutospacing="1" w:after="100" w:afterAutospacing="1" w:line="240" w:lineRule="auto"/>
        <w:jc w:val="both"/>
        <w:rPr>
          <w:rFonts w:ascii="Times New Roman" w:hAnsi="Times New Roman" w:cs="Times New Roman"/>
          <w:b/>
          <w:i/>
          <w:iCs/>
          <w:noProof/>
          <w:sz w:val="24"/>
          <w:szCs w:val="24"/>
        </w:rPr>
      </w:pPr>
      <w:r>
        <w:rPr>
          <w:rFonts w:ascii="Times New Roman" w:hAnsi="Times New Roman"/>
          <w:b/>
          <w:i/>
          <w:noProof/>
          <w:sz w:val="24"/>
        </w:rPr>
        <w:t>Identités numériques et infrastructures publiques numériques (IPN)</w:t>
      </w:r>
    </w:p>
    <w:p w14:paraId="417EB9E6" w14:textId="25E16BB2" w:rsidR="0025159C" w:rsidRPr="00B13BA4" w:rsidRDefault="0025159C" w:rsidP="30C9F5EF">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L’expérience que l’UE a acquise en ce qui concerne le développement de portefeuilles d’identité numérique open source et d’infrastructures publiques numériques sûres et conformes aux exigences de protection des données revêt une grande valeur qui dépasse ses frontières. La coopération internationale et les accords de reconnaissance mutuelle avec des partenaires clés peuvent simplifier les activités transfrontières des entreprises et faciliter la mobilité des citoyens. L’UE continuera notamment de rechercher des formes de coopération avec des pays tiers (tels que l’Ukraine, la Moldavie, les pays des Balkans occidentaux, le Japon, l’Inde et l’Égypte) afin de parvenir à une utilisation transfrontière fluide de services de confiance. Elle promouvra également le cadre d’interopérabilité européen</w:t>
      </w:r>
      <w:r>
        <w:rPr>
          <w:rStyle w:val="FootnoteReference"/>
          <w:rFonts w:ascii="Times New Roman" w:hAnsi="Times New Roman" w:cs="Times New Roman"/>
          <w:noProof/>
          <w:sz w:val="24"/>
          <w:szCs w:val="24"/>
          <w:lang w:val="en-IE"/>
        </w:rPr>
        <w:footnoteReference w:id="44"/>
      </w:r>
      <w:r>
        <w:rPr>
          <w:rFonts w:ascii="Times New Roman" w:hAnsi="Times New Roman"/>
          <w:noProof/>
          <w:sz w:val="24"/>
        </w:rPr>
        <w:t xml:space="preserve"> afin de soutenir la modernisation administrative et l’intégration numérique transfrontière des pays partenaires, y compris l’alignement sur les normes et pratiques de l’UE. Elle continuera de promouvoir l’utilisation de normes ouvertes et de spécifications communes afin de garantir l’interopérabilité, la transparence et la réutilisation</w:t>
      </w:r>
      <w:r>
        <w:rPr>
          <w:rStyle w:val="FootnoteReference"/>
          <w:rFonts w:ascii="Times New Roman" w:eastAsia="Times New Roman" w:hAnsi="Times New Roman" w:cs="Times New Roman"/>
          <w:noProof/>
          <w:sz w:val="24"/>
          <w:szCs w:val="24"/>
          <w:lang w:val="en-IE"/>
        </w:rPr>
        <w:footnoteReference w:id="45"/>
      </w:r>
      <w:r>
        <w:rPr>
          <w:noProof/>
        </w:rPr>
        <w:t>.</w:t>
      </w:r>
    </w:p>
    <w:p w14:paraId="78DC92D7" w14:textId="77777777" w:rsidR="0025159C" w:rsidRPr="00B13BA4" w:rsidRDefault="0025159C" w:rsidP="00E758B6">
      <w:pPr>
        <w:pBdr>
          <w:top w:val="single" w:sz="4" w:space="1" w:color="auto"/>
          <w:left w:val="single" w:sz="4" w:space="4" w:color="auto"/>
          <w:bottom w:val="single" w:sz="4" w:space="1" w:color="auto"/>
          <w:right w:val="single" w:sz="4" w:space="4" w:color="auto"/>
        </w:pBdr>
        <w:shd w:val="clear" w:color="auto" w:fill="D9D9D9" w:themeFill="background1" w:themeFillShade="D9"/>
        <w:spacing w:before="100" w:beforeAutospacing="1" w:after="100" w:afterAutospacing="1" w:line="240" w:lineRule="auto"/>
        <w:rPr>
          <w:rFonts w:ascii="Times New Roman" w:hAnsi="Times New Roman" w:cs="Times New Roman"/>
          <w:noProof/>
          <w:sz w:val="24"/>
          <w:szCs w:val="24"/>
        </w:rPr>
      </w:pPr>
      <w:r>
        <w:rPr>
          <w:rFonts w:ascii="Times New Roman" w:hAnsi="Times New Roman"/>
          <w:noProof/>
          <w:sz w:val="24"/>
        </w:rPr>
        <w:t xml:space="preserve">Exemples de futures actions dans le domaine des </w:t>
      </w:r>
      <w:r>
        <w:rPr>
          <w:rFonts w:ascii="Times New Roman" w:hAnsi="Times New Roman"/>
          <w:b/>
          <w:bCs/>
          <w:noProof/>
          <w:sz w:val="24"/>
        </w:rPr>
        <w:t>infrastructures publiques numériques</w:t>
      </w:r>
      <w:r>
        <w:rPr>
          <w:rFonts w:ascii="Times New Roman" w:hAnsi="Times New Roman"/>
          <w:noProof/>
          <w:sz w:val="24"/>
        </w:rPr>
        <w:t xml:space="preserve"> sûres</w:t>
      </w:r>
    </w:p>
    <w:p w14:paraId="4E89003A" w14:textId="1B33D9C3" w:rsidR="0025159C" w:rsidRPr="00B13BA4" w:rsidRDefault="0025159C" w:rsidP="0089043E">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L’UE soutiendra le développement de </w:t>
      </w:r>
      <w:r>
        <w:rPr>
          <w:rFonts w:ascii="Times New Roman" w:hAnsi="Times New Roman"/>
          <w:b/>
          <w:noProof/>
          <w:sz w:val="24"/>
        </w:rPr>
        <w:t>services et de solutions d’identité numérique fiables</w:t>
      </w:r>
      <w:r>
        <w:rPr>
          <w:rFonts w:ascii="Times New Roman" w:hAnsi="Times New Roman"/>
          <w:noProof/>
          <w:sz w:val="24"/>
        </w:rPr>
        <w:t xml:space="preserve"> (sur la base des </w:t>
      </w:r>
      <w:bookmarkStart w:id="4" w:name="_Hlk198146492"/>
      <w:r>
        <w:rPr>
          <w:rFonts w:ascii="Times New Roman" w:hAnsi="Times New Roman"/>
          <w:noProof/>
          <w:sz w:val="24"/>
        </w:rPr>
        <w:t>spécifications du portefeuille d’identité numérique de l’UE</w:t>
      </w:r>
      <w:bookmarkEnd w:id="4"/>
      <w:r>
        <w:rPr>
          <w:rFonts w:ascii="Times New Roman" w:hAnsi="Times New Roman"/>
          <w:noProof/>
          <w:sz w:val="24"/>
        </w:rPr>
        <w:t>), en les plaçant au cœur d’un ensemble interopérable et évolutif de modules et de solutions numériques, y compris open source, afin de soutenir la transformation numérique des administrations publiques et des entreprises des pays partenaires. Elle poursuivra également ses travaux avec l’Ukraine, la Moldavie et les Balkans occidentaux, afin de préparer leur intégration progressive dans le portefeuille d’identité numérique de l’UE.</w:t>
      </w:r>
    </w:p>
    <w:p w14:paraId="20A34BD5" w14:textId="6F5C53B2" w:rsidR="0025159C" w:rsidRPr="00B13BA4" w:rsidRDefault="0025159C" w:rsidP="0089043E">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L’UE coopérera avec des pays tels que l’Inde, l’Égypte, l’Uruguay et le Brésil dans le domaine </w:t>
      </w:r>
      <w:r>
        <w:rPr>
          <w:rFonts w:ascii="Times New Roman" w:hAnsi="Times New Roman"/>
          <w:b/>
          <w:bCs/>
          <w:noProof/>
          <w:sz w:val="24"/>
        </w:rPr>
        <w:t>des signatures électroniques et de l’interopérabilité des infrastructures publiques numériques</w:t>
      </w:r>
      <w:r>
        <w:rPr>
          <w:rFonts w:ascii="Times New Roman" w:hAnsi="Times New Roman"/>
          <w:noProof/>
          <w:sz w:val="24"/>
        </w:rPr>
        <w:t>, en vue de générer des avantages pour les entreprises et les citoyens, tant dans l’UE que dans les pays partenaires.</w:t>
      </w:r>
    </w:p>
    <w:p w14:paraId="1142626E" w14:textId="77777777" w:rsidR="0025159C" w:rsidRPr="00B13BA4" w:rsidRDefault="0025159C" w:rsidP="0089043E">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L’UE soutiendra une approche d’</w:t>
      </w:r>
      <w:r>
        <w:rPr>
          <w:rFonts w:ascii="Times New Roman" w:hAnsi="Times New Roman"/>
          <w:b/>
          <w:bCs/>
          <w:noProof/>
          <w:sz w:val="24"/>
        </w:rPr>
        <w:t>interopérabilité par défaut</w:t>
      </w:r>
      <w:r>
        <w:rPr>
          <w:rFonts w:ascii="Times New Roman" w:hAnsi="Times New Roman"/>
          <w:noProof/>
          <w:sz w:val="24"/>
        </w:rPr>
        <w:t xml:space="preserve"> fondée sur le cadre d’interopérabilité européen, afin de faciliter l’échange continu de données par-delà les frontières.</w:t>
      </w:r>
    </w:p>
    <w:p w14:paraId="597C1E6A" w14:textId="3D17089E" w:rsidR="0025159C" w:rsidRPr="00B13BA4" w:rsidRDefault="0025159C" w:rsidP="0089043E">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L’UE continuera de collaborer avec ses principaux partenaires internationaux (Japon, Inde, Singapour, Australie, Nouvelle-Zélande et Malaisie) afin de promouvoir le modèle de </w:t>
      </w:r>
      <w:r>
        <w:rPr>
          <w:rFonts w:ascii="Times New Roman" w:hAnsi="Times New Roman"/>
          <w:b/>
          <w:bCs/>
          <w:noProof/>
          <w:sz w:val="24"/>
        </w:rPr>
        <w:t>facturation électronique</w:t>
      </w:r>
      <w:r>
        <w:rPr>
          <w:rFonts w:ascii="Times New Roman" w:hAnsi="Times New Roman"/>
          <w:noProof/>
          <w:sz w:val="24"/>
        </w:rPr>
        <w:t xml:space="preserve"> de l’UE, sur la base de la norme européenne en la matière et de spécifications techniques interopérables.</w:t>
      </w:r>
    </w:p>
    <w:p w14:paraId="47714F02" w14:textId="3D483A49" w:rsidR="0025159C" w:rsidRPr="00B13BA4" w:rsidRDefault="0025159C" w:rsidP="00805EE0">
      <w:pPr>
        <w:spacing w:before="100" w:beforeAutospacing="1" w:after="100" w:afterAutospacing="1" w:line="240" w:lineRule="auto"/>
        <w:jc w:val="both"/>
        <w:rPr>
          <w:rFonts w:ascii="Times New Roman" w:hAnsi="Times New Roman" w:cs="Times New Roman"/>
          <w:b/>
          <w:i/>
          <w:iCs/>
          <w:noProof/>
          <w:sz w:val="24"/>
          <w:szCs w:val="24"/>
        </w:rPr>
      </w:pPr>
      <w:r>
        <w:rPr>
          <w:rFonts w:ascii="Times New Roman" w:hAnsi="Times New Roman"/>
          <w:b/>
          <w:i/>
          <w:noProof/>
          <w:sz w:val="24"/>
        </w:rPr>
        <w:t xml:space="preserve">Plateformes en ligne </w:t>
      </w:r>
    </w:p>
    <w:p w14:paraId="54A1459F" w14:textId="6D031D27" w:rsidR="0025159C" w:rsidRPr="0048400A" w:rsidRDefault="0025159C" w:rsidP="757691D8">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Le règlement de l’UE sur les services numériques</w:t>
      </w:r>
      <w:r>
        <w:rPr>
          <w:rStyle w:val="FootnoteReference"/>
          <w:rFonts w:ascii="Times New Roman" w:eastAsia="Times New Roman" w:hAnsi="Times New Roman" w:cs="Times New Roman"/>
          <w:noProof/>
          <w:sz w:val="24"/>
          <w:szCs w:val="24"/>
          <w:lang w:val="en-IE"/>
        </w:rPr>
        <w:footnoteReference w:id="46"/>
      </w:r>
      <w:r>
        <w:rPr>
          <w:rFonts w:ascii="Times New Roman" w:hAnsi="Times New Roman"/>
          <w:noProof/>
          <w:sz w:val="24"/>
        </w:rPr>
        <w:t xml:space="preserve"> protège la démocratie, la liberté d’expression, la vie privée, la sûreté et la sécurité des enfants en ligne et fournit un cadre sûr pour la vente de biens conformes à la législation. Le règlement sur les marchés numériques</w:t>
      </w:r>
      <w:r>
        <w:rPr>
          <w:rStyle w:val="FootnoteReference"/>
          <w:rFonts w:ascii="Times New Roman" w:hAnsi="Times New Roman" w:cs="Times New Roman"/>
          <w:noProof/>
          <w:sz w:val="24"/>
          <w:szCs w:val="24"/>
          <w:lang w:val="en-IE"/>
        </w:rPr>
        <w:footnoteReference w:id="47"/>
      </w:r>
      <w:r>
        <w:rPr>
          <w:rFonts w:ascii="Times New Roman" w:hAnsi="Times New Roman"/>
          <w:noProof/>
          <w:sz w:val="24"/>
        </w:rPr>
        <w:t xml:space="preserve"> et la politique de concurrence de l’UE favorisent la contestabilité des marchés numériques, des conditions de concurrence équitables et une concurrence loyale entre les acteurs numériques. Ces actes complètent la protection assurée dans l’environnement numérique par le RGPD</w:t>
      </w:r>
      <w:r>
        <w:rPr>
          <w:rStyle w:val="FootnoteReference"/>
          <w:rFonts w:ascii="Times New Roman" w:eastAsia="Times New Roman" w:hAnsi="Times New Roman" w:cs="Times New Roman"/>
          <w:noProof/>
          <w:sz w:val="24"/>
          <w:szCs w:val="24"/>
          <w:lang w:val="en-IE"/>
        </w:rPr>
        <w:footnoteReference w:id="48"/>
      </w:r>
      <w:r>
        <w:rPr>
          <w:rFonts w:ascii="Times New Roman" w:hAnsi="Times New Roman"/>
          <w:noProof/>
          <w:sz w:val="24"/>
        </w:rPr>
        <w:t xml:space="preserve"> et la législation en matière de protection des consommateurs.</w:t>
      </w:r>
    </w:p>
    <w:p w14:paraId="520BC431" w14:textId="23B4C175" w:rsidR="0025159C" w:rsidRPr="00B13BA4" w:rsidRDefault="0025159C" w:rsidP="30C9F5EF">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La protection et l’autonomisation des mineurs en ligne sont des priorités mondiales. En vertu du règlement sur les services numériques, toutes les plateformes en ligne doivent garantir un niveau élevé de protection de la vie privée, de sûreté et de sécurité des mineurs sur leurs services. En outre, les plus grandes plateformes en ligne doivent évaluer et atténuer chaque année tout risque systémique que leurs services présentent, y compris pour le respect des droits de l’enfant et, plus généralement, pour la protection des mineurs. Le règlement sur les services numériques est soutenu et complété par la stratégie pour un internet mieux adapté aux enfants. En particulier, l’UE cofinance le réseau de lignes d’appel d’urgence mis en place dans les États membres pour lutter contre la diffusion de matériel pédopornographique en ligne. La coopération internationale est assurée par l’intermédiaire du réseau INHOPE, qui regroupe 55 lignes d’appel d’urgence opérant dans le monde entier.</w:t>
      </w:r>
    </w:p>
    <w:p w14:paraId="118D7B96" w14:textId="76A5BF70" w:rsidR="0025159C" w:rsidRPr="00B13BA4" w:rsidRDefault="0025159C" w:rsidP="0078457F">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La protection forte et constante des consommateurs sur les places de marché en ligne est une autre priorité que l’UE partage avec bon nombre de ses partenaires internationaux et est une considération essentielle du règlement sur les services numériques, ainsi que des cadres en matière de protection des consommateurs et de sécurité des produits. En vertu du règlement sur les services numériques, toutes les places de marché en ligne sont tenues de respecter des normes strictes en matière de sécurité, de transparence et de responsabilité afin de garantir que leurs services ne servent pas à la vente de produits illégaux et dangereux aux consommateurs de l’UE. La communication de 2025 sur le commerce électronique</w:t>
      </w:r>
      <w:r>
        <w:rPr>
          <w:rStyle w:val="FootnoteReference"/>
          <w:rFonts w:ascii="Times New Roman" w:hAnsi="Times New Roman" w:cs="Times New Roman"/>
          <w:noProof/>
          <w:sz w:val="24"/>
          <w:szCs w:val="24"/>
          <w:lang w:val="en-IE"/>
        </w:rPr>
        <w:footnoteReference w:id="49"/>
      </w:r>
      <w:r>
        <w:rPr>
          <w:rFonts w:ascii="Times New Roman" w:hAnsi="Times New Roman"/>
          <w:noProof/>
          <w:sz w:val="24"/>
        </w:rPr>
        <w:t xml:space="preserve"> complète ces règles en définissant de nouvelles mesures pour relever les défis liés à la multiplication des produits dangereux, contrefaits et autrement illicites vendus par l’intermédiaire des plateformes en ligne. L’UE accordera la priorité à la coopération avec les pays partenaires et au sein des enceintes multilatérales afin de trouver des solutions conjointes aux risques communs pour la sécurité des consommateurs qui sont liés aux places de marché en ligne.</w:t>
      </w:r>
    </w:p>
    <w:p w14:paraId="590A72C0" w14:textId="77777777" w:rsidR="0025159C" w:rsidRPr="00B13BA4" w:rsidRDefault="0025159C" w:rsidP="00E758B6">
      <w:pPr>
        <w:pBdr>
          <w:top w:val="single" w:sz="4" w:space="1" w:color="auto"/>
          <w:left w:val="single" w:sz="4" w:space="4" w:color="auto"/>
          <w:bottom w:val="single" w:sz="4" w:space="1" w:color="auto"/>
          <w:right w:val="single" w:sz="4" w:space="4" w:color="auto"/>
        </w:pBdr>
        <w:shd w:val="clear" w:color="auto" w:fill="D9D9D9" w:themeFill="background1" w:themeFillShade="D9"/>
        <w:spacing w:before="100" w:beforeAutospacing="1" w:after="100" w:afterAutospacing="1" w:line="240" w:lineRule="auto"/>
        <w:rPr>
          <w:rFonts w:ascii="Times New Roman" w:hAnsi="Times New Roman" w:cs="Times New Roman"/>
          <w:b/>
          <w:noProof/>
          <w:sz w:val="24"/>
          <w:szCs w:val="24"/>
        </w:rPr>
      </w:pPr>
      <w:r>
        <w:rPr>
          <w:rFonts w:ascii="Times New Roman" w:hAnsi="Times New Roman"/>
          <w:noProof/>
          <w:sz w:val="24"/>
        </w:rPr>
        <w:t xml:space="preserve">Exemples de futures actions dans le domaine des </w:t>
      </w:r>
      <w:r>
        <w:rPr>
          <w:rFonts w:ascii="Times New Roman" w:hAnsi="Times New Roman"/>
          <w:b/>
          <w:bCs/>
          <w:noProof/>
          <w:sz w:val="24"/>
        </w:rPr>
        <w:t>plateformes en ligne</w:t>
      </w:r>
    </w:p>
    <w:p w14:paraId="15A2F331" w14:textId="4FAE3003" w:rsidR="0025159C" w:rsidRPr="00B13BA4" w:rsidRDefault="0025159C" w:rsidP="30C9F5EF">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00" w:beforeAutospacing="1" w:after="100" w:afterAutospacing="1" w:line="240" w:lineRule="auto"/>
        <w:rPr>
          <w:rFonts w:ascii="Times New Roman" w:hAnsi="Times New Roman" w:cs="Times New Roman"/>
          <w:b/>
          <w:bCs/>
          <w:noProof/>
          <w:sz w:val="24"/>
          <w:szCs w:val="24"/>
        </w:rPr>
      </w:pPr>
      <w:r>
        <w:rPr>
          <w:rFonts w:ascii="Times New Roman" w:hAnsi="Times New Roman"/>
          <w:noProof/>
          <w:sz w:val="24"/>
        </w:rPr>
        <w:t>L’UE continuera de promouvoir son approche réglementaire et les principes qui la sous-tendent au niveau bilatéral et multilatéral et de partager son expérience dans leur mise en œuvre.</w:t>
      </w:r>
    </w:p>
    <w:p w14:paraId="1F4B3570" w14:textId="008551E2" w:rsidR="0025159C" w:rsidRPr="00B13BA4" w:rsidRDefault="0025159C" w:rsidP="30C9F5EF">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00" w:beforeAutospacing="1" w:after="100" w:afterAutospacing="1" w:line="240" w:lineRule="auto"/>
        <w:rPr>
          <w:rFonts w:ascii="Times New Roman" w:hAnsi="Times New Roman" w:cs="Times New Roman"/>
          <w:b/>
          <w:bCs/>
          <w:noProof/>
          <w:sz w:val="24"/>
          <w:szCs w:val="24"/>
        </w:rPr>
      </w:pPr>
      <w:r>
        <w:rPr>
          <w:rFonts w:ascii="Times New Roman" w:hAnsi="Times New Roman"/>
          <w:noProof/>
          <w:sz w:val="24"/>
        </w:rPr>
        <w:t xml:space="preserve">L’UE organisera des </w:t>
      </w:r>
      <w:r>
        <w:rPr>
          <w:rFonts w:ascii="Times New Roman" w:hAnsi="Times New Roman"/>
          <w:b/>
          <w:bCs/>
          <w:noProof/>
          <w:sz w:val="24"/>
        </w:rPr>
        <w:t>événements régionaux</w:t>
      </w:r>
      <w:r>
        <w:rPr>
          <w:rFonts w:ascii="Times New Roman" w:hAnsi="Times New Roman"/>
          <w:noProof/>
          <w:sz w:val="24"/>
        </w:rPr>
        <w:t xml:space="preserve"> avec des organisations internationales, des législateurs de pays tiers, des autorités de réglementation et la société civile afin de promouvoir la liberté d’expression et la sécurité en ligne.</w:t>
      </w:r>
    </w:p>
    <w:p w14:paraId="2A922F64" w14:textId="37293674" w:rsidR="0025159C" w:rsidRPr="00B13BA4" w:rsidRDefault="0025159C" w:rsidP="00D07FC0">
      <w:pPr>
        <w:pStyle w:val="Heading1"/>
        <w:rPr>
          <w:noProof/>
        </w:rPr>
      </w:pPr>
      <w:r>
        <w:rPr>
          <w:noProof/>
        </w:rPr>
        <w:t xml:space="preserve">Gouvernance numérique mondiale </w:t>
      </w:r>
    </w:p>
    <w:p w14:paraId="616FFFE6" w14:textId="6C64FC6B" w:rsidR="0025159C" w:rsidRPr="00B13BA4" w:rsidRDefault="0025159C" w:rsidP="30C9F5EF">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Pour la réalisation de ses objectifs dans le domaine numérique, l’UE continuera de suivre une </w:t>
      </w:r>
      <w:r>
        <w:rPr>
          <w:rFonts w:ascii="Times New Roman" w:hAnsi="Times New Roman"/>
          <w:b/>
          <w:bCs/>
          <w:noProof/>
          <w:sz w:val="24"/>
        </w:rPr>
        <w:t>approche multilatérale et</w:t>
      </w:r>
      <w:r>
        <w:rPr>
          <w:rFonts w:ascii="Times New Roman" w:hAnsi="Times New Roman"/>
          <w:noProof/>
          <w:sz w:val="24"/>
        </w:rPr>
        <w:t xml:space="preserve"> </w:t>
      </w:r>
      <w:r>
        <w:rPr>
          <w:rFonts w:ascii="Times New Roman" w:hAnsi="Times New Roman"/>
          <w:b/>
          <w:bCs/>
          <w:noProof/>
          <w:sz w:val="24"/>
        </w:rPr>
        <w:t>multipartite</w:t>
      </w:r>
      <w:r>
        <w:rPr>
          <w:rFonts w:ascii="Times New Roman" w:hAnsi="Times New Roman"/>
          <w:noProof/>
          <w:sz w:val="24"/>
        </w:rPr>
        <w:t xml:space="preserve"> et garantira une participation significative des parties prenantes concernées, y compris la société civile, le monde universitaire et le secteur privé, en s’appuyant sur les liens forts qui existent avec les pays partenaires. </w:t>
      </w:r>
    </w:p>
    <w:p w14:paraId="3DD88A0E" w14:textId="686E6E2F" w:rsidR="0025159C" w:rsidRPr="00B13BA4" w:rsidRDefault="0025159C" w:rsidP="30C9F5EF">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Les partenariats et dialogues numériques de l’UE permettent une </w:t>
      </w:r>
      <w:r>
        <w:rPr>
          <w:rFonts w:ascii="Times New Roman" w:hAnsi="Times New Roman"/>
          <w:b/>
          <w:bCs/>
          <w:noProof/>
          <w:sz w:val="24"/>
        </w:rPr>
        <w:t>coordination</w:t>
      </w:r>
      <w:r>
        <w:rPr>
          <w:rFonts w:ascii="Times New Roman" w:hAnsi="Times New Roman"/>
          <w:noProof/>
          <w:sz w:val="24"/>
        </w:rPr>
        <w:t xml:space="preserve"> en amont des discussions dans les enceintes multilatérales et régionales, l’UE pouvant créer des coalitions fortes en vue de la réalisation d’objectifs communs au sein des principales enceintes et organisations internationales, telles que les Nations unies, le G7, le G20, l’OCDE et le Conseil de l’Europe, ainsi que dans le cadre des institutions mondiales de gouvernance de l’internet. En particulier, avec ses partenaires du G7, l’UE continuera d’œuvrer à l’élaboration et à l’adoption de </w:t>
      </w:r>
      <w:r>
        <w:rPr>
          <w:rFonts w:ascii="Times New Roman" w:hAnsi="Times New Roman"/>
          <w:b/>
          <w:bCs/>
          <w:noProof/>
          <w:sz w:val="24"/>
        </w:rPr>
        <w:t>normes de sécurité économique</w:t>
      </w:r>
      <w:r>
        <w:rPr>
          <w:rFonts w:ascii="Times New Roman" w:hAnsi="Times New Roman"/>
          <w:noProof/>
          <w:sz w:val="24"/>
        </w:rPr>
        <w:t xml:space="preserve"> – y compris, le cas échéant, pour les technologies numériques –, en tenant compte de divers critères tels que la transparence, la diversification de l’approvisionnement, la sécurité, la durabilité, la confiance et la fiabilité.</w:t>
      </w:r>
    </w:p>
    <w:p w14:paraId="383795DC" w14:textId="2EA55ECD" w:rsidR="0025159C" w:rsidRPr="00B13BA4" w:rsidRDefault="0025159C" w:rsidP="7E8CDF2B">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 </w:t>
      </w:r>
      <w:r>
        <w:rPr>
          <w:rFonts w:ascii="Times New Roman" w:hAnsi="Times New Roman"/>
          <w:b/>
          <w:bCs/>
          <w:noProof/>
          <w:sz w:val="24"/>
        </w:rPr>
        <w:t>pacte numérique mondial</w:t>
      </w:r>
      <w:r>
        <w:rPr>
          <w:rFonts w:ascii="Times New Roman" w:hAnsi="Times New Roman"/>
          <w:noProof/>
          <w:sz w:val="24"/>
        </w:rPr>
        <w:t xml:space="preserve"> des Nations unies a été adopté par consensus en tant que premier cadre global pour la gouvernance numérique mondiale. Il définit les objectifs, les principes, les engagements et les actions qui devront déboucher sur un avenir numérique ouvert, libre et sûr pour tous. L’UE continuera de participer activement aux travaux de mise en œuvre du pacte numérique mondial afin de défendre ses réalisations, tout en veillant à ce que les efforts ne se chevauchent pas et en maximisant les synergies avec l’architecture numérique mondiale existante, y compris le cadre de gouvernance de l’internet.</w:t>
      </w:r>
    </w:p>
    <w:p w14:paraId="77F93FEB" w14:textId="6F85E241" w:rsidR="0025159C" w:rsidRPr="00B13BA4" w:rsidRDefault="0025159C" w:rsidP="30C9F5EF">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Outre ces processus, l’UE privilégiera la </w:t>
      </w:r>
      <w:r>
        <w:rPr>
          <w:rFonts w:ascii="Times New Roman" w:hAnsi="Times New Roman"/>
          <w:b/>
          <w:bCs/>
          <w:noProof/>
          <w:sz w:val="24"/>
        </w:rPr>
        <w:t>normalisation</w:t>
      </w:r>
      <w:r>
        <w:rPr>
          <w:rFonts w:ascii="Times New Roman" w:hAnsi="Times New Roman"/>
          <w:noProof/>
          <w:sz w:val="24"/>
        </w:rPr>
        <w:t xml:space="preserve"> en tant qu’outil essentiel pour faire progresser ses objectifs. Elle peut compter sur plusieurs atouts, notamment une solide base de recherche et d’innovation, des entreprises qui sont des fers de lance technologiques au niveau mondial et de nombreuses PME et jeunes pousses innovantes qu’il y a lieu d’encourager à participer à l’élaboration de normes internationales. En tirant parti de son système de normalisation afin d’accroître son influence dans le processus d’élaboration de normes internationales applicables aux principales technologies numériques, l’UE entendra renforcer la compétitivité de son industrie, favoriser la souveraineté numérique et technologique et protéger et défendre ses valeurs et intérêts fondamentaux tout en œuvrant à une coopération internationale en matière de normalisation. L’UE reconnaît le rôle important de l’Union internationale des télécommunications (UIT) dans le contexte de la normalisation mondiale.</w:t>
      </w:r>
    </w:p>
    <w:p w14:paraId="102D220D" w14:textId="6F915B10" w:rsidR="0025159C" w:rsidRPr="00B13BA4" w:rsidRDefault="0025159C" w:rsidP="30C9F5EF">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Reconnaissant que le spectre radioélectrique est une ressource naturelle rare dont dépendent toutes les applications numériques sans fil, l’UE continuera également de défendre dans le cadre mondial de l’UIT une répartition des </w:t>
      </w:r>
      <w:r>
        <w:rPr>
          <w:rFonts w:ascii="Times New Roman" w:hAnsi="Times New Roman"/>
          <w:b/>
          <w:bCs/>
          <w:noProof/>
          <w:sz w:val="24"/>
        </w:rPr>
        <w:t>radiofréquences</w:t>
      </w:r>
      <w:r>
        <w:rPr>
          <w:rFonts w:ascii="Times New Roman" w:hAnsi="Times New Roman"/>
          <w:noProof/>
          <w:sz w:val="24"/>
        </w:rPr>
        <w:t xml:space="preserve"> équitable et fondée sur des règles. </w:t>
      </w:r>
    </w:p>
    <w:p w14:paraId="1F210F45" w14:textId="21C36B63" w:rsidR="0025159C" w:rsidRPr="00B13BA4" w:rsidRDefault="0025159C" w:rsidP="30C9F5EF">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La coopération multilatérale est également essentielle pour traiter les aspects numériques d’autres secteurs, notamment le secteur de l’énergie, en raison de l’augmentation rapide de la demande d’énergie de l’IA. L’UE participe à des </w:t>
      </w:r>
      <w:r>
        <w:rPr>
          <w:rFonts w:ascii="Times New Roman" w:hAnsi="Times New Roman"/>
          <w:b/>
          <w:bCs/>
          <w:noProof/>
          <w:sz w:val="24"/>
        </w:rPr>
        <w:t>initiatives internationales dans le domaine de l’énergie</w:t>
      </w:r>
      <w:r>
        <w:rPr>
          <w:rFonts w:ascii="Times New Roman" w:hAnsi="Times New Roman"/>
          <w:noProof/>
          <w:sz w:val="24"/>
        </w:rPr>
        <w:t xml:space="preserve">, telles que la conférence ministérielle sur l’énergie propre, qui élaborent des approches collaboratives pour relever ces défis.    </w:t>
      </w:r>
    </w:p>
    <w:p w14:paraId="391AFA4C" w14:textId="0249A54B" w:rsidR="00D07FC0" w:rsidRDefault="0025159C" w:rsidP="00805EE0">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Alors que les technologies numériques continuent d’évoluer rapidement, la </w:t>
      </w:r>
      <w:r>
        <w:rPr>
          <w:rFonts w:ascii="Times New Roman" w:hAnsi="Times New Roman"/>
          <w:b/>
          <w:bCs/>
          <w:noProof/>
          <w:sz w:val="24"/>
        </w:rPr>
        <w:t>gouvernance mondiale de l’internet</w:t>
      </w:r>
      <w:r>
        <w:rPr>
          <w:rFonts w:ascii="Times New Roman" w:hAnsi="Times New Roman"/>
          <w:noProof/>
          <w:sz w:val="24"/>
        </w:rPr>
        <w:t xml:space="preserve"> doit s’adapter aux nouveaux défis géopolitiques, tels que les risques de fragmentation, l’augmentation de l’utilisation abusive des outils numériques pour des pratiques telles que les coupures et la censure de l’internet et l’élargissement des fractures numériques. En outre, avec la transition vers le </w:t>
      </w:r>
      <w:r>
        <w:rPr>
          <w:rFonts w:ascii="Times New Roman" w:hAnsi="Times New Roman"/>
          <w:b/>
          <w:bCs/>
          <w:noProof/>
          <w:sz w:val="24"/>
        </w:rPr>
        <w:t>web 4.0</w:t>
      </w:r>
      <w:r>
        <w:rPr>
          <w:rFonts w:ascii="Times New Roman" w:hAnsi="Times New Roman"/>
          <w:noProof/>
          <w:sz w:val="24"/>
        </w:rPr>
        <w:t xml:space="preserve"> – mue par des technologies de base telles que l’intelligence artificielle, la réalité étendue et la réalité virtuelle, les chaînes de blocs et l’informatique quantique –, la gouvernance est confrontée à de nouvelles complexités qui nécessitent des cadres multipartites actualisés, efficaces et inclusifs. L’UE continuera de façonner l’approche multipartite et inclusive de la gouvernance de l’internet et s’engage à améliorer en permanence son efficacité, en s’opposant aux initiatives en faveur d’architectures internet contrôlées par les États, qui pourraient fragmenter l’internet et compromettre l’ouverture et la sécurité qui le caractérisent depuis l’Agenda de Tunis</w:t>
      </w:r>
      <w:r>
        <w:rPr>
          <w:rStyle w:val="FootnoteReference"/>
          <w:rFonts w:ascii="Times New Roman" w:hAnsi="Times New Roman" w:cs="Times New Roman"/>
          <w:noProof/>
          <w:sz w:val="24"/>
          <w:szCs w:val="24"/>
          <w:lang w:val="en-IE"/>
        </w:rPr>
        <w:footnoteReference w:id="50"/>
      </w:r>
      <w:r>
        <w:rPr>
          <w:rFonts w:ascii="Times New Roman" w:hAnsi="Times New Roman"/>
          <w:noProof/>
          <w:sz w:val="24"/>
        </w:rPr>
        <w:t xml:space="preserve">. </w:t>
      </w:r>
    </w:p>
    <w:p w14:paraId="3C982F2B" w14:textId="43837E5C" w:rsidR="00D07FC0" w:rsidRPr="00B13BA4" w:rsidRDefault="00D07FC0" w:rsidP="00805EE0">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L’UE continuera de défendre de manière proactive la disponibilité et l’intégrité générales de l’internet en tant que réseau de réseaux mondial et interopérable, en promouvant l’importance du modèle multipartite de gouvernance de l’internet, par exemple lors des prochaines éditions du Forum sur la gouvernance de l’internet et des négociations à l’occasion du bilan des vingt ans du Sommet mondial sur la société de l’information (</w:t>
      </w:r>
      <w:r>
        <w:rPr>
          <w:rFonts w:ascii="Times New Roman" w:hAnsi="Times New Roman"/>
          <w:b/>
          <w:bCs/>
          <w:noProof/>
          <w:sz w:val="24"/>
        </w:rPr>
        <w:t>SMSI+20</w:t>
      </w:r>
      <w:r>
        <w:rPr>
          <w:rFonts w:ascii="Times New Roman" w:hAnsi="Times New Roman"/>
          <w:noProof/>
          <w:sz w:val="24"/>
        </w:rPr>
        <w:t>). L’UE reconnaît le rôle central de l’ICANN dans la gestion des fondements de l’architecture internet.</w:t>
      </w:r>
    </w:p>
    <w:p w14:paraId="6C80E3CD" w14:textId="2F29C23E" w:rsidR="00E758B6" w:rsidRPr="00B13BA4" w:rsidRDefault="00D07FC0" w:rsidP="757691D8">
      <w:pPr>
        <w:pBdr>
          <w:top w:val="single" w:sz="4" w:space="1" w:color="auto"/>
          <w:left w:val="single" w:sz="4" w:space="4" w:color="auto"/>
          <w:bottom w:val="single" w:sz="4" w:space="1" w:color="auto"/>
          <w:right w:val="single" w:sz="4" w:space="4" w:color="auto"/>
        </w:pBdr>
        <w:shd w:val="clear" w:color="auto" w:fill="D9D9D9" w:themeFill="background1" w:themeFillShade="D9"/>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Exemples de futures actions dans le domaine de la </w:t>
      </w:r>
      <w:r>
        <w:rPr>
          <w:rFonts w:ascii="Times New Roman" w:hAnsi="Times New Roman"/>
          <w:b/>
          <w:bCs/>
          <w:noProof/>
          <w:sz w:val="24"/>
        </w:rPr>
        <w:t>gouvernance numérique mondiale</w:t>
      </w:r>
      <w:r>
        <w:rPr>
          <w:rFonts w:ascii="Times New Roman" w:hAnsi="Times New Roman"/>
          <w:noProof/>
          <w:sz w:val="24"/>
        </w:rPr>
        <w:t xml:space="preserve"> </w:t>
      </w:r>
    </w:p>
    <w:p w14:paraId="76A21DD1" w14:textId="27A55BE4" w:rsidR="00E758B6" w:rsidRPr="00B13BA4" w:rsidRDefault="00D07FC0" w:rsidP="00110C84">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L’UE s’emploiera à assurer un suivi et un réexamen </w:t>
      </w:r>
      <w:r>
        <w:rPr>
          <w:rFonts w:ascii="Times New Roman" w:hAnsi="Times New Roman"/>
          <w:b/>
          <w:bCs/>
          <w:noProof/>
          <w:sz w:val="24"/>
        </w:rPr>
        <w:t>appropriés</w:t>
      </w:r>
      <w:r>
        <w:rPr>
          <w:rFonts w:ascii="Times New Roman" w:hAnsi="Times New Roman"/>
          <w:noProof/>
          <w:sz w:val="24"/>
        </w:rPr>
        <w:t xml:space="preserve"> de la mise en œuvre des engagements pris dans le cadre du </w:t>
      </w:r>
      <w:r>
        <w:rPr>
          <w:rFonts w:ascii="Times New Roman" w:hAnsi="Times New Roman"/>
          <w:b/>
          <w:bCs/>
          <w:noProof/>
          <w:sz w:val="24"/>
        </w:rPr>
        <w:t>pacte numérique mondial</w:t>
      </w:r>
      <w:r>
        <w:rPr>
          <w:rFonts w:ascii="Times New Roman" w:hAnsi="Times New Roman"/>
          <w:noProof/>
          <w:sz w:val="24"/>
        </w:rPr>
        <w:t>.</w:t>
      </w:r>
    </w:p>
    <w:p w14:paraId="355664E8" w14:textId="688FFB21" w:rsidR="00D07FC0" w:rsidRDefault="00D07FC0" w:rsidP="00110C84">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L’UE travaillera selon une approche «Équipe Europe» pour garantir un résultat approprié lors des négociations à l’occasion du </w:t>
      </w:r>
      <w:r>
        <w:rPr>
          <w:rFonts w:ascii="Times New Roman" w:hAnsi="Times New Roman"/>
          <w:b/>
          <w:bCs/>
          <w:noProof/>
          <w:sz w:val="24"/>
        </w:rPr>
        <w:t>bilan du Sommet mondial sur la société de l’information (SMSI+20)</w:t>
      </w:r>
      <w:r>
        <w:rPr>
          <w:rFonts w:ascii="Times New Roman" w:hAnsi="Times New Roman"/>
          <w:noProof/>
          <w:sz w:val="24"/>
        </w:rPr>
        <w:t>.</w:t>
      </w:r>
    </w:p>
    <w:p w14:paraId="08158B5E" w14:textId="5693C2F1" w:rsidR="006B5E57" w:rsidRPr="00B13BA4" w:rsidRDefault="006B5E57" w:rsidP="00110C84">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L’UE soutiendra l’extension et l’élargissement à l’échelle internationale de la </w:t>
      </w:r>
      <w:r>
        <w:rPr>
          <w:rFonts w:ascii="Times New Roman" w:hAnsi="Times New Roman"/>
          <w:b/>
          <w:bCs/>
          <w:noProof/>
          <w:sz w:val="24"/>
        </w:rPr>
        <w:t>pile de protocoles de l’internet ouvert</w:t>
      </w:r>
      <w:r>
        <w:rPr>
          <w:rFonts w:ascii="Times New Roman" w:hAnsi="Times New Roman"/>
          <w:noProof/>
          <w:sz w:val="24"/>
        </w:rPr>
        <w:t xml:space="preserve"> (la structure fondamentale des protocoles qui permettent la communication et l’échange d’informations sur l’internet), afin de répondre aux besoins des pays partenaires, notamment pour renforcer la confiance et la sécurité.</w:t>
      </w:r>
    </w:p>
    <w:p w14:paraId="31814E63" w14:textId="37CB108D" w:rsidR="00D07FC0" w:rsidRPr="00B13BA4" w:rsidRDefault="00D07FC0" w:rsidP="00D07FC0">
      <w:pPr>
        <w:pStyle w:val="Heading1"/>
        <w:rPr>
          <w:noProof/>
        </w:rPr>
      </w:pPr>
      <w:r>
        <w:rPr>
          <w:noProof/>
        </w:rPr>
        <w:t>Une Europe compétitive et sûre, ouverte aux entreprises et connectée au monde</w:t>
      </w:r>
    </w:p>
    <w:p w14:paraId="5E5FAD21" w14:textId="6BDA4509" w:rsidR="00D07FC0" w:rsidRPr="00B13BA4" w:rsidRDefault="00D07FC0" w:rsidP="0884A574">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Dans un monde instable, l’UE est un partenaire constant, prévisible et fiable. Face à la complexité des chaînes de valeur technologiques, aucun pays ni aucune région ne peut exploiter isolément le potentiel de la révolution numérique et de la révolution de l’IA. Les efforts dans le domaine numérique que l’UE déploie en son sein et au-delà de ses frontières sont étroitement liés et se renforcent mutuellement. C’est pourquoi, au lieu de se limiter à stimuler son propre secteur numérique, depuis les fabriques d’IA jusqu’aux technologies de la défense, l’UE conclut également des partenariats d’ampleur qui apportent des avantages visibles à ses citoyens et à ses entreprises ainsi qu’à ses partenaires. </w:t>
      </w:r>
    </w:p>
    <w:p w14:paraId="44C6A669" w14:textId="77777777" w:rsidR="00C6257E" w:rsidRDefault="52B96291" w:rsidP="00805EE0">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L’UE, qui plaide toujours pour que des solutions multilatérales soient trouvées aux défis mondiaux, continuera d’apporter un soutien sans faille aux Nations unies, au G7, au G20, à l’OCDE et aux autres organismes qui nous permettent de relever ensemble les défis majeurs de notre époque. </w:t>
      </w:r>
    </w:p>
    <w:p w14:paraId="13BBE4DE" w14:textId="44CC9C9B" w:rsidR="00D07FC0" w:rsidRPr="00B13BA4" w:rsidRDefault="00D07FC0" w:rsidP="00805EE0">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L’UE est prête à unir ses forces à celles de ses partenaires pour trouver de nouvelles formes de coopération, plus approfondies et souples, propices à des partenariats mutuellement bénéfiques, afin de renforcer la compétitivité et la sécurité de l’Europe. Elle continuera d’agir de manière constructive dans le respect de l’ordre international fondé sur des règles.</w:t>
      </w:r>
    </w:p>
    <w:sectPr w:rsidR="00D07FC0" w:rsidRPr="00B13BA4" w:rsidSect="00F4582C">
      <w:headerReference w:type="even" r:id="rId15"/>
      <w:headerReference w:type="default" r:id="rId16"/>
      <w:footerReference w:type="even" r:id="rId17"/>
      <w:footerReference w:type="default" r:id="rId18"/>
      <w:headerReference w:type="first" r:id="rId19"/>
      <w:footerReference w:type="first" r:id="rId20"/>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679636" w14:textId="77777777" w:rsidR="00CC4D1C" w:rsidRDefault="00CC4D1C" w:rsidP="00EA4148">
      <w:pPr>
        <w:spacing w:after="0" w:line="240" w:lineRule="auto"/>
      </w:pPr>
      <w:r>
        <w:separator/>
      </w:r>
    </w:p>
  </w:endnote>
  <w:endnote w:type="continuationSeparator" w:id="0">
    <w:p w14:paraId="7522E93D" w14:textId="77777777" w:rsidR="00CC4D1C" w:rsidRDefault="00CC4D1C" w:rsidP="00EA4148">
      <w:pPr>
        <w:spacing w:after="0" w:line="240" w:lineRule="auto"/>
      </w:pPr>
      <w:r>
        <w:continuationSeparator/>
      </w:r>
    </w:p>
  </w:endnote>
  <w:endnote w:type="continuationNotice" w:id="1">
    <w:p w14:paraId="4CE3D4E2" w14:textId="77777777" w:rsidR="00CC4D1C" w:rsidRDefault="00CC4D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New Roman Bold">
    <w:altName w:val="Times New Roman"/>
    <w:panose1 w:val="02020803070505020304"/>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pleSystemUIFont">
    <w:altName w:val="Cambria"/>
    <w:charset w:val="00"/>
    <w:family w:val="roman"/>
    <w:pitch w:val="default"/>
  </w:font>
  <w:font w:name="MS Mincho">
    <w:altName w:val="Yu Gothic UI"/>
    <w:panose1 w:val="02020609040205080304"/>
    <w:charset w:val="80"/>
    <w:family w:val="modern"/>
    <w:pitch w:val="fixed"/>
    <w:sig w:usb0="E00002FF" w:usb1="6AC7FDFB" w:usb2="08000012" w:usb3="00000000" w:csb0="0002009F" w:csb1="00000000"/>
  </w:font>
  <w:font w:name="UICTFontTextStyleBody">
    <w:altName w:val="Cambria"/>
    <w:charset w:val="00"/>
    <w:family w:val="roman"/>
    <w:pitch w:val="default"/>
  </w:font>
  <w:font w:name="Aptos">
    <w:altName w:val="Arial"/>
    <w:charset w:val="00"/>
    <w:family w:val="swiss"/>
    <w:pitch w:val="variable"/>
    <w:sig w:usb0="00000001"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B484D2" w14:textId="08BBC58F" w:rsidR="0044323E" w:rsidRPr="0044323E" w:rsidRDefault="0044323E" w:rsidP="0044323E">
    <w:pPr>
      <w:pStyle w:val="FooterCoverPage"/>
      <w:rPr>
        <w:rFonts w:ascii="Arial" w:hAnsi="Arial" w:cs="Arial"/>
        <w:b/>
        <w:sz w:val="48"/>
      </w:rPr>
    </w:pPr>
    <w:r w:rsidRPr="0044323E">
      <w:rPr>
        <w:rFonts w:ascii="Arial" w:hAnsi="Arial" w:cs="Arial"/>
        <w:b/>
        <w:sz w:val="48"/>
      </w:rPr>
      <w:t>FR</w:t>
    </w:r>
    <w:r w:rsidRPr="0044323E">
      <w:rPr>
        <w:rFonts w:ascii="Arial" w:hAnsi="Arial" w:cs="Arial"/>
        <w:b/>
        <w:sz w:val="48"/>
      </w:rPr>
      <w:tab/>
    </w:r>
    <w:r w:rsidRPr="0044323E">
      <w:rPr>
        <w:rFonts w:ascii="Arial" w:hAnsi="Arial" w:cs="Arial"/>
        <w:b/>
        <w:sz w:val="48"/>
      </w:rPr>
      <w:tab/>
    </w:r>
    <w:r w:rsidRPr="0044323E">
      <w:tab/>
    </w:r>
    <w:r w:rsidRPr="0044323E">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ADC08D" w14:textId="24E546EF" w:rsidR="0044323E" w:rsidRPr="0044323E" w:rsidRDefault="0044323E" w:rsidP="0044323E">
    <w:pPr>
      <w:pStyle w:val="FooterCoverPage"/>
      <w:rPr>
        <w:rFonts w:ascii="Arial" w:hAnsi="Arial" w:cs="Arial"/>
        <w:b/>
        <w:sz w:val="48"/>
      </w:rPr>
    </w:pPr>
    <w:r w:rsidRPr="0044323E">
      <w:rPr>
        <w:rFonts w:ascii="Arial" w:hAnsi="Arial" w:cs="Arial"/>
        <w:b/>
        <w:sz w:val="48"/>
      </w:rPr>
      <w:t>FR</w:t>
    </w:r>
    <w:r w:rsidRPr="0044323E">
      <w:rPr>
        <w:rFonts w:ascii="Arial" w:hAnsi="Arial" w:cs="Arial"/>
        <w:b/>
        <w:sz w:val="48"/>
      </w:rPr>
      <w:tab/>
    </w:r>
    <w:r w:rsidRPr="0044323E">
      <w:rPr>
        <w:rFonts w:ascii="Arial" w:hAnsi="Arial" w:cs="Arial"/>
        <w:b/>
        <w:sz w:val="48"/>
      </w:rPr>
      <w:tab/>
    </w:r>
    <w:r w:rsidRPr="0044323E">
      <w:tab/>
    </w:r>
    <w:r w:rsidRPr="0044323E">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D705E" w14:textId="77777777" w:rsidR="0044323E" w:rsidRPr="0044323E" w:rsidRDefault="0044323E" w:rsidP="0044323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929A93" w14:textId="77777777" w:rsidR="00FF11D7" w:rsidRPr="00052523" w:rsidRDefault="00FF11D7" w:rsidP="00052523">
    <w:pPr>
      <w:pStyle w:val="FooterCoverPage"/>
      <w:rPr>
        <w:rFonts w:ascii="Arial" w:hAnsi="Arial" w:cs="Arial"/>
        <w:b/>
        <w:sz w:val="48"/>
      </w:rPr>
    </w:pPr>
    <w:r>
      <w:rPr>
        <w:rFonts w:ascii="Arial" w:hAnsi="Arial"/>
        <w:b/>
        <w:sz w:val="48"/>
      </w:rPr>
      <w:t>FR</w:t>
    </w:r>
    <w:r>
      <w:tab/>
    </w:r>
    <w:r>
      <w:tab/>
    </w:r>
    <w:r>
      <w:tab/>
    </w:r>
    <w:r>
      <w:rPr>
        <w:rFonts w:ascii="Arial" w:hAnsi="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2000482"/>
      <w:docPartObj>
        <w:docPartGallery w:val="Page Numbers (Bottom of Page)"/>
        <w:docPartUnique/>
      </w:docPartObj>
    </w:sdtPr>
    <w:sdtEndPr>
      <w:rPr>
        <w:rFonts w:ascii="Times New Roman" w:hAnsi="Times New Roman" w:cs="Times New Roman"/>
        <w:noProof/>
      </w:rPr>
    </w:sdtEndPr>
    <w:sdtContent>
      <w:p w14:paraId="488F99FF" w14:textId="4E96722B" w:rsidR="00FD5DA3" w:rsidRPr="00791706" w:rsidRDefault="00FD5DA3">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44323E">
          <w:rPr>
            <w:rFonts w:ascii="Times New Roman" w:hAnsi="Times New Roman" w:cs="Times New Roman"/>
            <w:noProof/>
          </w:rPr>
          <w:t>1</w:t>
        </w:r>
        <w:r>
          <w:rPr>
            <w:rFonts w:ascii="Times New Roman" w:hAnsi="Times New Roman" w:cs="Times New Roman"/>
          </w:rPr>
          <w:fldChar w:fldCharType="end"/>
        </w:r>
      </w:p>
    </w:sdtContent>
  </w:sdt>
  <w:p w14:paraId="4813AD91" w14:textId="77777777" w:rsidR="00FD5DA3" w:rsidRDefault="00FD5DA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9BE1B" w14:textId="77777777" w:rsidR="00FF11D7" w:rsidRPr="00052523" w:rsidRDefault="00FF11D7" w:rsidP="00052523">
    <w:pPr>
      <w:pStyle w:val="FooterCover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D37FCE" w14:textId="77777777" w:rsidR="00CC4D1C" w:rsidRDefault="00CC4D1C" w:rsidP="00EA4148">
      <w:pPr>
        <w:spacing w:after="0" w:line="240" w:lineRule="auto"/>
      </w:pPr>
      <w:r>
        <w:separator/>
      </w:r>
    </w:p>
  </w:footnote>
  <w:footnote w:type="continuationSeparator" w:id="0">
    <w:p w14:paraId="43C9EE00" w14:textId="77777777" w:rsidR="00CC4D1C" w:rsidRDefault="00CC4D1C" w:rsidP="00EA4148">
      <w:pPr>
        <w:spacing w:after="0" w:line="240" w:lineRule="auto"/>
      </w:pPr>
      <w:r>
        <w:continuationSeparator/>
      </w:r>
    </w:p>
  </w:footnote>
  <w:footnote w:type="continuationNotice" w:id="1">
    <w:p w14:paraId="35BA6F03" w14:textId="77777777" w:rsidR="00CC4D1C" w:rsidRDefault="00CC4D1C">
      <w:pPr>
        <w:spacing w:after="0" w:line="240" w:lineRule="auto"/>
      </w:pPr>
    </w:p>
  </w:footnote>
  <w:footnote w:id="2">
    <w:p w14:paraId="34D8CADD" w14:textId="36EEA3DF" w:rsidR="00C068EF" w:rsidRPr="00AC1A20" w:rsidRDefault="00C068EF" w:rsidP="00C068EF">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Voir </w:t>
      </w:r>
      <w:hyperlink r:id="rId1" w:history="1">
        <w:r>
          <w:rPr>
            <w:rStyle w:val="Hyperlink"/>
            <w:rFonts w:ascii="Times New Roman" w:hAnsi="Times New Roman"/>
          </w:rPr>
          <w:t>conclusions</w:t>
        </w:r>
      </w:hyperlink>
      <w:r>
        <w:rPr>
          <w:rFonts w:ascii="Times New Roman" w:hAnsi="Times New Roman"/>
        </w:rPr>
        <w:t xml:space="preserve"> du Conseil européen du 17 avril 2024: «</w:t>
      </w:r>
      <w:r>
        <w:rPr>
          <w:rFonts w:ascii="Times New Roman" w:hAnsi="Times New Roman"/>
          <w:i/>
          <w:iCs/>
        </w:rPr>
        <w:t>Le Conseil européen souligne en outre la nécessité de renforcer le rôle de chef de file de l’UE dans les affaires numériques mondiales et invite la Commission et le haut représentant à élaborer une communication conjointe sur le sujet</w:t>
      </w:r>
      <w:r>
        <w:rPr>
          <w:rFonts w:ascii="Times New Roman" w:hAnsi="Times New Roman"/>
        </w:rPr>
        <w:t>» (p. 10).</w:t>
      </w:r>
    </w:p>
  </w:footnote>
  <w:footnote w:id="3">
    <w:p w14:paraId="07AC9C87" w14:textId="7D44091F" w:rsidR="0025159C" w:rsidRPr="00AC6C48" w:rsidRDefault="0025159C" w:rsidP="00F32A5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«L’avenir de la compétitivité européenne», rapport de Mario Draghi, 2024.</w:t>
      </w:r>
    </w:p>
  </w:footnote>
  <w:footnote w:id="4">
    <w:p w14:paraId="32A5E126" w14:textId="1EF76241" w:rsidR="0025159C" w:rsidRPr="00AC6C48" w:rsidRDefault="0025159C" w:rsidP="00F32A5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Communication intitulée «ProtectEU: une </w:t>
      </w:r>
      <w:hyperlink r:id="rId2" w:history="1">
        <w:r>
          <w:rPr>
            <w:rStyle w:val="Hyperlink"/>
            <w:rFonts w:ascii="Times New Roman" w:hAnsi="Times New Roman"/>
          </w:rPr>
          <w:t>stratégie européenne de sécurité intérieure</w:t>
        </w:r>
      </w:hyperlink>
      <w:r>
        <w:rPr>
          <w:rFonts w:ascii="Times New Roman" w:hAnsi="Times New Roman"/>
        </w:rPr>
        <w:t>» [COM(2025) 148].</w:t>
      </w:r>
    </w:p>
  </w:footnote>
  <w:footnote w:id="5">
    <w:p w14:paraId="7387E2C7" w14:textId="1381217F" w:rsidR="0025159C" w:rsidRPr="00AC6C48" w:rsidRDefault="0025159C" w:rsidP="00F32A5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Communication intitulée «Une boussole pour la compétitivité de l’UE» [COM(2025) 30 final].</w:t>
      </w:r>
    </w:p>
  </w:footnote>
  <w:footnote w:id="6">
    <w:p w14:paraId="7A106EEE" w14:textId="5BEEBC5C" w:rsidR="0025159C" w:rsidRPr="00D2147F" w:rsidRDefault="0025159C" w:rsidP="00F32A56">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Voir source </w:t>
      </w:r>
      <w:hyperlink r:id="rId3" w:history="1">
        <w:r>
          <w:rPr>
            <w:rStyle w:val="Hyperlink"/>
            <w:rFonts w:ascii="Times New Roman" w:hAnsi="Times New Roman"/>
          </w:rPr>
          <w:t>OMC</w:t>
        </w:r>
      </w:hyperlink>
      <w:r>
        <w:t>.</w:t>
      </w:r>
      <w:r>
        <w:rPr>
          <w:rFonts w:ascii="Times New Roman" w:hAnsi="Times New Roman"/>
        </w:rPr>
        <w:t xml:space="preserve"> </w:t>
      </w:r>
    </w:p>
  </w:footnote>
  <w:footnote w:id="7">
    <w:p w14:paraId="72540737" w14:textId="4A0370FE" w:rsidR="00B978A8" w:rsidRPr="007F1280" w:rsidRDefault="00B978A8" w:rsidP="007F1280">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COM(2025) 270 du 28.5.2025 – «Stratégie de l’UE en faveur des start-up et des scale-up». </w:t>
      </w:r>
    </w:p>
  </w:footnote>
  <w:footnote w:id="8">
    <w:p w14:paraId="2AF306E0" w14:textId="4BD987B2" w:rsidR="0025159C" w:rsidRPr="00AC6C48" w:rsidRDefault="0025159C" w:rsidP="00F32A56">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Voir texte complet du </w:t>
      </w:r>
      <w:hyperlink r:id="rId4" w:history="1">
        <w:r>
          <w:rPr>
            <w:rStyle w:val="Hyperlink"/>
            <w:rFonts w:ascii="Times New Roman" w:hAnsi="Times New Roman"/>
          </w:rPr>
          <w:t>programme d’action pour la décennie numérique</w:t>
        </w:r>
      </w:hyperlink>
      <w:r>
        <w:t>.</w:t>
      </w:r>
      <w:r>
        <w:rPr>
          <w:rFonts w:ascii="Times New Roman" w:hAnsi="Times New Roman"/>
        </w:rPr>
        <w:t xml:space="preserve"> </w:t>
      </w:r>
    </w:p>
  </w:footnote>
  <w:footnote w:id="9">
    <w:p w14:paraId="321FC01A" w14:textId="36ECB561" w:rsidR="0025159C" w:rsidRPr="00AC6C48" w:rsidRDefault="0025159C" w:rsidP="00F32A56">
      <w:pPr>
        <w:pStyle w:val="FootnoteText"/>
        <w:ind w:left="284" w:hanging="284"/>
        <w:rPr>
          <w:rFonts w:ascii="Times New Roman" w:hAnsi="Times New Roman" w:cs="Times New Roman"/>
          <w:i/>
          <w:iCs/>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Comme indiqué dans la communication sur l’union des compétences [COM(2025) 90 final].</w:t>
      </w:r>
    </w:p>
  </w:footnote>
  <w:footnote w:id="10">
    <w:p w14:paraId="6116508E" w14:textId="4C6028E1" w:rsidR="00035F34" w:rsidRPr="00AC6C48" w:rsidRDefault="00035F34" w:rsidP="00F32A5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Comme indiqué dans les </w:t>
      </w:r>
      <w:hyperlink r:id="rId5" w:history="1">
        <w:r>
          <w:rPr>
            <w:rStyle w:val="Hyperlink"/>
            <w:rFonts w:ascii="Times New Roman" w:hAnsi="Times New Roman"/>
          </w:rPr>
          <w:t>conclusions du Conseil des affaires étrangères sur la diplomatie numérique</w:t>
        </w:r>
      </w:hyperlink>
      <w:r>
        <w:rPr>
          <w:rFonts w:ascii="Times New Roman" w:hAnsi="Times New Roman"/>
        </w:rPr>
        <w:t xml:space="preserve"> de juin 2023.</w:t>
      </w:r>
    </w:p>
  </w:footnote>
  <w:footnote w:id="11">
    <w:p w14:paraId="3BCE4C17" w14:textId="6CB0C22D" w:rsidR="0025159C" w:rsidRPr="00AC6C48" w:rsidRDefault="0025159C" w:rsidP="00F32A56">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La </w:t>
      </w:r>
      <w:hyperlink r:id="rId6" w:history="1">
        <w:r>
          <w:rPr>
            <w:rStyle w:val="Hyperlink"/>
            <w:rFonts w:ascii="Times New Roman" w:hAnsi="Times New Roman"/>
          </w:rPr>
          <w:t>stratégie ProtectEU</w:t>
        </w:r>
      </w:hyperlink>
      <w:r>
        <w:rPr>
          <w:rFonts w:ascii="Times New Roman" w:hAnsi="Times New Roman"/>
        </w:rPr>
        <w:t xml:space="preserve"> [COM(2025) 148], le </w:t>
      </w:r>
      <w:hyperlink r:id="rId7" w:history="1">
        <w:r>
          <w:rPr>
            <w:rStyle w:val="Hyperlink"/>
            <w:rFonts w:ascii="Times New Roman" w:hAnsi="Times New Roman"/>
          </w:rPr>
          <w:t>livre blanc conjoint pour une défense européenne – Préparation à l’horizon 2030</w:t>
        </w:r>
      </w:hyperlink>
      <w:r>
        <w:rPr>
          <w:rFonts w:ascii="Times New Roman" w:hAnsi="Times New Roman"/>
        </w:rPr>
        <w:t xml:space="preserve">, la stratégie européenne pour une union de la préparation [JOIN(2025) 130] et la </w:t>
      </w:r>
      <w:hyperlink r:id="rId8">
        <w:r>
          <w:rPr>
            <w:rStyle w:val="Hyperlink"/>
            <w:rFonts w:ascii="Times New Roman" w:hAnsi="Times New Roman"/>
          </w:rPr>
          <w:t>boussole stratégique</w:t>
        </w:r>
      </w:hyperlink>
      <w:r>
        <w:rPr>
          <w:rFonts w:ascii="Times New Roman" w:hAnsi="Times New Roman"/>
        </w:rPr>
        <w:t xml:space="preserve"> (7371/22)</w:t>
      </w:r>
      <w:r>
        <w:t>.</w:t>
      </w:r>
      <w:r>
        <w:rPr>
          <w:rFonts w:ascii="Times New Roman" w:hAnsi="Times New Roman"/>
        </w:rPr>
        <w:t xml:space="preserve"> </w:t>
      </w:r>
    </w:p>
  </w:footnote>
  <w:footnote w:id="12">
    <w:p w14:paraId="6A1C964B" w14:textId="54161BDA" w:rsidR="0025159C" w:rsidRPr="00AC6C48" w:rsidRDefault="0025159C" w:rsidP="00F32A56">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Par exemple: </w:t>
      </w:r>
      <w:hyperlink r:id="rId9" w:history="1">
        <w:r>
          <w:rPr>
            <w:rStyle w:val="Hyperlink"/>
            <w:rFonts w:ascii="Times New Roman" w:hAnsi="Times New Roman"/>
          </w:rPr>
          <w:t>Europol</w:t>
        </w:r>
      </w:hyperlink>
      <w:r>
        <w:t>.</w:t>
      </w:r>
    </w:p>
  </w:footnote>
  <w:footnote w:id="13">
    <w:p w14:paraId="2D5C5E0F" w14:textId="4A0BC4B8" w:rsidR="0025159C" w:rsidRPr="00AC6C48" w:rsidRDefault="0025159C" w:rsidP="00F32A56">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Avec les États-Unis et l’Inde.</w:t>
      </w:r>
    </w:p>
  </w:footnote>
  <w:footnote w:id="14">
    <w:p w14:paraId="634CCC5C" w14:textId="6F375C6C" w:rsidR="0025159C" w:rsidRPr="00AC6C48" w:rsidRDefault="0025159C" w:rsidP="00F32A5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Avec le Japon, la République de Corée, Singapour et le Canada.</w:t>
      </w:r>
    </w:p>
  </w:footnote>
  <w:footnote w:id="15">
    <w:p w14:paraId="4A640958" w14:textId="28BADC0B" w:rsidR="0025159C" w:rsidRPr="00AC6C48" w:rsidRDefault="0025159C" w:rsidP="00F32A5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Avec le Brésil, le Mexique, l’Argentine, l’Australie et les Balkans occidentaux. </w:t>
      </w:r>
    </w:p>
  </w:footnote>
  <w:footnote w:id="16">
    <w:p w14:paraId="5F52B888" w14:textId="2DF4CDEB" w:rsidR="0025159C" w:rsidRPr="00AC6C48" w:rsidRDefault="0025159C" w:rsidP="00F32A56">
      <w:pPr>
        <w:tabs>
          <w:tab w:val="left" w:pos="6891"/>
        </w:tabs>
        <w:spacing w:after="0" w:line="240" w:lineRule="auto"/>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sz w:val="20"/>
        </w:rPr>
        <w:t>L’Inde, le Japon, la République de Corée, le Brésil, les États-Unis, l’Ukraine et le Royaume-Uni.</w:t>
      </w:r>
      <w:r>
        <w:tab/>
      </w:r>
    </w:p>
  </w:footnote>
  <w:footnote w:id="17">
    <w:p w14:paraId="3DC2B037" w14:textId="1FD580D9" w:rsidR="0025159C" w:rsidRPr="00AC6C48" w:rsidRDefault="0025159C" w:rsidP="00F32A56">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Avec des partenaires tels que la Tunisie, l’Égypte ou la Jordanie.</w:t>
      </w:r>
    </w:p>
  </w:footnote>
  <w:footnote w:id="18">
    <w:p w14:paraId="53A4CCEF" w14:textId="5CBCBE3A" w:rsidR="0025159C" w:rsidRPr="00AC6C48" w:rsidRDefault="0025159C" w:rsidP="00F32A5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Dix-neuf pays sont actuellement associés à Horizon Europe: voir liste </w:t>
      </w:r>
      <w:hyperlink r:id="rId10" w:history="1">
        <w:r>
          <w:rPr>
            <w:rStyle w:val="Hyperlink"/>
            <w:rFonts w:ascii="Times New Roman" w:hAnsi="Times New Roman"/>
          </w:rPr>
          <w:t>ici</w:t>
        </w:r>
      </w:hyperlink>
      <w:r>
        <w:rPr>
          <w:rFonts w:ascii="Times New Roman" w:hAnsi="Times New Roman"/>
        </w:rPr>
        <w:t xml:space="preserve">. En outre, la Suisse, la République de Corée et l’Égypte devraient devenir des pays associés en 2025, tandis que les négociations d’association progressent avec le Japon. </w:t>
      </w:r>
    </w:p>
  </w:footnote>
  <w:footnote w:id="19">
    <w:p w14:paraId="302A252D" w14:textId="1706B10F" w:rsidR="0025159C" w:rsidRPr="00AC6C48" w:rsidRDefault="0025159C" w:rsidP="00F32A56">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Les pays associés au programme pour une Europe numérique sont énumérés </w:t>
      </w:r>
      <w:hyperlink r:id="rId11" w:history="1">
        <w:r>
          <w:rPr>
            <w:rStyle w:val="Hyperlink"/>
            <w:rFonts w:ascii="Times New Roman" w:hAnsi="Times New Roman"/>
          </w:rPr>
          <w:t>ici</w:t>
        </w:r>
      </w:hyperlink>
      <w:r>
        <w:t>.</w:t>
      </w:r>
    </w:p>
  </w:footnote>
  <w:footnote w:id="20">
    <w:p w14:paraId="1A1768B2" w14:textId="6B85A029" w:rsidR="0025159C" w:rsidRPr="00AC6C48" w:rsidRDefault="0025159C" w:rsidP="00F32A56">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Communication intitulée «Un nouveau plan de croissance pour les Balkans occidentaux» [COM(2023) 691].</w:t>
      </w:r>
    </w:p>
  </w:footnote>
  <w:footnote w:id="21">
    <w:p w14:paraId="6E70B6E0" w14:textId="0B691275" w:rsidR="0025159C" w:rsidRPr="00F472DE" w:rsidRDefault="0025159C" w:rsidP="00F32A56">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De plus amples informations sur la facilité pour les réformes et la croissance en faveur de la Moldavie sont disponibles </w:t>
      </w:r>
      <w:hyperlink r:id="rId12" w:history="1">
        <w:r>
          <w:rPr>
            <w:rStyle w:val="Hyperlink"/>
            <w:rFonts w:ascii="Times New Roman" w:hAnsi="Times New Roman"/>
          </w:rPr>
          <w:t>ici</w:t>
        </w:r>
      </w:hyperlink>
      <w:r>
        <w:t>.</w:t>
      </w:r>
    </w:p>
  </w:footnote>
  <w:footnote w:id="22">
    <w:p w14:paraId="0E044147" w14:textId="617A8C3E" w:rsidR="0025159C" w:rsidRPr="00AC6C48" w:rsidRDefault="0025159C" w:rsidP="00F32A56">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13" w:history="1">
        <w:r>
          <w:rPr>
            <w:rStyle w:val="Hyperlink"/>
            <w:rFonts w:ascii="Times New Roman" w:hAnsi="Times New Roman"/>
          </w:rPr>
          <w:t>Facilité pour l’Ukraine – Commission européenne</w:t>
        </w:r>
      </w:hyperlink>
      <w:r>
        <w:t>.</w:t>
      </w:r>
      <w:r>
        <w:rPr>
          <w:rFonts w:ascii="Times New Roman" w:hAnsi="Times New Roman"/>
        </w:rPr>
        <w:t xml:space="preserve"> </w:t>
      </w:r>
    </w:p>
  </w:footnote>
  <w:footnote w:id="23">
    <w:p w14:paraId="72DC3DF2" w14:textId="0FBF4344" w:rsidR="0025159C" w:rsidRPr="00AC6C48" w:rsidRDefault="0025159C" w:rsidP="00F32A56">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Par exemple, après avoir transposé l’acquis pertinent de l’UE, l’Ukraine et la Moldavie sont en bonne voie pour se voir accorder un traitement mutuel sur le marché intérieur de l’itinérance.</w:t>
      </w:r>
    </w:p>
  </w:footnote>
  <w:footnote w:id="24">
    <w:p w14:paraId="7BB1CF42" w14:textId="37844D2A" w:rsidR="0025159C" w:rsidRPr="00AC6C48" w:rsidRDefault="0025159C" w:rsidP="00F32A5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Des accords de libre-échange comportant des chapitres complets sur le commerce numérique ont été conclus avec le Royaume-Uni, la Nouvelle-Zélande et le Chili et sont en cours de négociation avec l’Inde, l’Indonésie, la Thaïlande, les Philippines et la Malaisie.</w:t>
      </w:r>
    </w:p>
  </w:footnote>
  <w:footnote w:id="25">
    <w:p w14:paraId="6CDB1E0D" w14:textId="5D96F35B" w:rsidR="0025159C" w:rsidRPr="00AC6C48" w:rsidRDefault="0025159C" w:rsidP="00F32A5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L’accord sur le commerce numérique entre l’UE et Singapour a été signé le 7 mai 2025. Les négociations en vue de la conclusion d’un accord sur le commerce numérique avec la Corée se sont achevées en mars 2025. Les règles relatives aux flux transfrontières de données avec le Japon, qui complètent l’accord de libre-échange UE-Japon, sont entrées en vigueur en juillet 2024.</w:t>
      </w:r>
    </w:p>
  </w:footnote>
  <w:footnote w:id="26">
    <w:p w14:paraId="0429D8D7" w14:textId="59B0030C" w:rsidR="0025159C" w:rsidRPr="00AC6C48" w:rsidRDefault="0025159C" w:rsidP="00F32A56">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14" w:history="1">
        <w:r>
          <w:rPr>
            <w:rStyle w:val="Hyperlink"/>
            <w:rFonts w:ascii="Times New Roman" w:hAnsi="Times New Roman"/>
          </w:rPr>
          <w:t>https://international-partnerships.ec.europa.eu/policies/global-gateway/eu-latin-america-and-caribbean-digital-alliance_en</w:t>
        </w:r>
      </w:hyperlink>
      <w:r>
        <w:t>.</w:t>
      </w:r>
      <w:r>
        <w:rPr>
          <w:rFonts w:ascii="Times New Roman" w:hAnsi="Times New Roman"/>
        </w:rPr>
        <w:t xml:space="preserve"> </w:t>
      </w:r>
    </w:p>
  </w:footnote>
  <w:footnote w:id="27">
    <w:p w14:paraId="46BE32DB" w14:textId="5B92EBA8" w:rsidR="0025159C" w:rsidRPr="00AC6C48" w:rsidRDefault="0025159C" w:rsidP="00F32A56">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15" w:history="1">
        <w:r>
          <w:rPr>
            <w:rStyle w:val="Hyperlink"/>
            <w:rFonts w:ascii="Times New Roman" w:hAnsi="Times New Roman"/>
          </w:rPr>
          <w:t>https://digital-strategy.ec.europa.eu/en/news/eu-and-africa-strengthen-cooperation-digital-transformation</w:t>
        </w:r>
      </w:hyperlink>
      <w:r>
        <w:t>.</w:t>
      </w:r>
      <w:r>
        <w:rPr>
          <w:rFonts w:ascii="Times New Roman" w:hAnsi="Times New Roman"/>
        </w:rPr>
        <w:t xml:space="preserve"> </w:t>
      </w:r>
    </w:p>
  </w:footnote>
  <w:footnote w:id="28">
    <w:p w14:paraId="354AE417" w14:textId="11AE9CFB" w:rsidR="0025159C" w:rsidRPr="00AC6C48" w:rsidRDefault="0025159C" w:rsidP="00F32A56">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16" w:history="1">
        <w:r>
          <w:rPr>
            <w:rStyle w:val="Hyperlink"/>
            <w:rFonts w:ascii="Times New Roman" w:hAnsi="Times New Roman"/>
          </w:rPr>
          <w:t>https://ec.europa.eu/commission/presscorner/detail/fr/ip_22_6963</w:t>
        </w:r>
      </w:hyperlink>
      <w:r>
        <w:t>.</w:t>
      </w:r>
      <w:r>
        <w:rPr>
          <w:rFonts w:ascii="Times New Roman" w:hAnsi="Times New Roman"/>
        </w:rPr>
        <w:t xml:space="preserve"> </w:t>
      </w:r>
    </w:p>
  </w:footnote>
  <w:footnote w:id="29">
    <w:p w14:paraId="2EAE62A2" w14:textId="3563011D" w:rsidR="0025159C" w:rsidRPr="00AC6C48" w:rsidRDefault="0025159C" w:rsidP="00F32A56">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Depuis 2022, l’UE a lancé des trains de mesures sur l’économie numérique au Nigeria, en Colombie, en République démocratique du Congo, au Kenya et aux Philippines.</w:t>
      </w:r>
    </w:p>
  </w:footnote>
  <w:footnote w:id="30">
    <w:p w14:paraId="278DBC55" w14:textId="33A25F7E" w:rsidR="0025159C" w:rsidRPr="00AC6C48" w:rsidRDefault="0025159C" w:rsidP="00F32A56">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17" w:history="1">
        <w:r>
          <w:rPr>
            <w:rStyle w:val="Hyperlink"/>
            <w:rFonts w:ascii="Times New Roman" w:hAnsi="Times New Roman"/>
          </w:rPr>
          <w:t>https://commission.europa.eu/topics/eu-competitiveness/clean-industrial-deal_fr</w:t>
        </w:r>
      </w:hyperlink>
      <w:r>
        <w:t>.</w:t>
      </w:r>
      <w:r>
        <w:rPr>
          <w:rFonts w:ascii="Times New Roman" w:hAnsi="Times New Roman"/>
        </w:rPr>
        <w:t xml:space="preserve"> </w:t>
      </w:r>
    </w:p>
  </w:footnote>
  <w:footnote w:id="31">
    <w:p w14:paraId="6A385C98" w14:textId="257D6E68" w:rsidR="0025159C" w:rsidRPr="00AC6C48" w:rsidRDefault="0025159C" w:rsidP="00F32A56">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L’UE a conclu de tels partenariats avec le Royaume-Uni, la Norvège, la Moldavie, la Corée du Sud, le Japon, l’Albanie et la Macédoine du Nord.</w:t>
      </w:r>
    </w:p>
  </w:footnote>
  <w:footnote w:id="32">
    <w:p w14:paraId="287891B4" w14:textId="2457F453" w:rsidR="0025159C" w:rsidRPr="00AC6C48" w:rsidRDefault="0025159C" w:rsidP="00F32A56">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Notamment par l’intermédiaire du </w:t>
      </w:r>
      <w:hyperlink r:id="rId18" w:history="1">
        <w:r>
          <w:rPr>
            <w:rStyle w:val="Hyperlink"/>
            <w:rFonts w:ascii="Times New Roman" w:hAnsi="Times New Roman"/>
          </w:rPr>
          <w:t>groupe consultatif des acteurs du marché sur la stratégie «Global Gateway»</w:t>
        </w:r>
      </w:hyperlink>
      <w:r>
        <w:t>.</w:t>
      </w:r>
    </w:p>
  </w:footnote>
  <w:footnote w:id="33">
    <w:p w14:paraId="6653035A" w14:textId="0260513A" w:rsidR="0025159C" w:rsidRPr="005533AF" w:rsidRDefault="0025159C" w:rsidP="00F32A5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Le </w:t>
      </w:r>
      <w:hyperlink r:id="rId19" w:tgtFrame="_blank" w:tooltip="https://d4dhub.eu/" w:history="1">
        <w:r>
          <w:rPr>
            <w:rStyle w:val="Hyperlink"/>
            <w:rFonts w:ascii="Times New Roman" w:hAnsi="Times New Roman"/>
          </w:rPr>
          <w:t>Digital for Development (D4D) Hub</w:t>
        </w:r>
      </w:hyperlink>
      <w:r>
        <w:rPr>
          <w:rFonts w:ascii="Times New Roman" w:hAnsi="Times New Roman"/>
        </w:rPr>
        <w:t xml:space="preserve"> est une plateforme qui vise à renforcer la coopération et la coordination numériques entre l’Union européenne et ses États membres et les partenaires d’Afrique, d’Asie-Pacifique, d’Amérique latine et des Caraïbes, ainsi que les pays voisins de l’UE.</w:t>
      </w:r>
    </w:p>
  </w:footnote>
  <w:footnote w:id="34">
    <w:p w14:paraId="20F82D82" w14:textId="5C75A74D" w:rsidR="002B74F7" w:rsidRPr="007C4DA6" w:rsidRDefault="002B74F7" w:rsidP="007F1280">
      <w:pPr>
        <w:pStyle w:val="FootnoteText"/>
        <w:ind w:left="284" w:hanging="284"/>
        <w:jc w:val="both"/>
      </w:pPr>
      <w:r>
        <w:rPr>
          <w:rStyle w:val="FootnoteReference"/>
        </w:rPr>
        <w:footnoteRef/>
      </w:r>
      <w:r>
        <w:t xml:space="preserve"> </w:t>
      </w:r>
      <w:r>
        <w:tab/>
      </w:r>
      <w:r>
        <w:rPr>
          <w:rFonts w:ascii="Times New Roman" w:hAnsi="Times New Roman"/>
        </w:rPr>
        <w:t xml:space="preserve">L’initiative faîtière EU4Digital regroupe les programmes financés par l’UE visant à étendre les avantages du marché unique numérique aux pays du </w:t>
      </w:r>
      <w:hyperlink r:id="rId20" w:history="1">
        <w:r>
          <w:rPr>
            <w:rStyle w:val="Hyperlink"/>
            <w:rFonts w:ascii="Times New Roman" w:hAnsi="Times New Roman"/>
          </w:rPr>
          <w:t>partenariat oriental</w:t>
        </w:r>
      </w:hyperlink>
      <w:r>
        <w:rPr>
          <w:rFonts w:ascii="Times New Roman" w:hAnsi="Times New Roman"/>
        </w:rPr>
        <w:t xml:space="preserve"> et aux Balkans occidentaux.</w:t>
      </w:r>
    </w:p>
  </w:footnote>
  <w:footnote w:id="35">
    <w:p w14:paraId="7E7BC891" w14:textId="52EE532F" w:rsidR="005533AF" w:rsidRPr="007F1280" w:rsidRDefault="005533AF" w:rsidP="007F1280">
      <w:pPr>
        <w:pStyle w:val="FootnoteText"/>
        <w:ind w:left="284" w:hanging="284"/>
        <w:jc w:val="both"/>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Au Kenya, en Tanzanie, au Nigeria, en Colombie et au Brésil.</w:t>
      </w:r>
      <w:r>
        <w:t xml:space="preserve"> </w:t>
      </w:r>
    </w:p>
  </w:footnote>
  <w:footnote w:id="36">
    <w:p w14:paraId="3E01159E" w14:textId="4AE8296E" w:rsidR="00974B11" w:rsidRPr="00C32F8C" w:rsidRDefault="00974B11">
      <w:pPr>
        <w:pStyle w:val="FootnoteText"/>
        <w:rPr>
          <w:rFonts w:ascii="Times New Roman" w:hAnsi="Times New Roman" w:cs="Times New Roman"/>
          <w:lang w:val="en-IE"/>
        </w:rPr>
      </w:pPr>
      <w:r>
        <w:rPr>
          <w:rStyle w:val="FootnoteReference"/>
          <w:rFonts w:ascii="Times New Roman" w:hAnsi="Times New Roman" w:cs="Times New Roman"/>
        </w:rPr>
        <w:footnoteRef/>
      </w:r>
      <w:r w:rsidRPr="00C32F8C">
        <w:rPr>
          <w:rFonts w:ascii="Times New Roman" w:hAnsi="Times New Roman"/>
          <w:lang w:val="en-IE"/>
        </w:rPr>
        <w:t xml:space="preserve">  </w:t>
      </w:r>
      <w:hyperlink r:id="rId21" w:history="1">
        <w:r w:rsidRPr="00C32F8C">
          <w:rPr>
            <w:rStyle w:val="Hyperlink"/>
            <w:rFonts w:ascii="Times New Roman" w:hAnsi="Times New Roman"/>
            <w:lang w:val="en-IE"/>
          </w:rPr>
          <w:t>Cybersecurity of 5G networks - EU Toolbox of risk mitigating measures</w:t>
        </w:r>
      </w:hyperlink>
      <w:r w:rsidRPr="00C32F8C">
        <w:rPr>
          <w:lang w:val="en-IE"/>
        </w:rPr>
        <w:t>.</w:t>
      </w:r>
    </w:p>
  </w:footnote>
  <w:footnote w:id="37">
    <w:p w14:paraId="554385B8" w14:textId="000EF8FD" w:rsidR="0025159C" w:rsidRPr="00AC6C48" w:rsidRDefault="0025159C" w:rsidP="00F32A56">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22" w:history="1">
        <w:r>
          <w:rPr>
            <w:rStyle w:val="Hyperlink"/>
            <w:rFonts w:ascii="Times New Roman" w:hAnsi="Times New Roman"/>
          </w:rPr>
          <w:t>Communication conjointe intitulée «Plan d’action de l’UE sur la sécurité des câbles»</w:t>
        </w:r>
      </w:hyperlink>
      <w:r>
        <w:rPr>
          <w:rFonts w:ascii="Times New Roman" w:hAnsi="Times New Roman"/>
        </w:rPr>
        <w:t xml:space="preserve"> [JOIN(2025) 9 final].</w:t>
      </w:r>
    </w:p>
  </w:footnote>
  <w:footnote w:id="38">
    <w:p w14:paraId="58D98868" w14:textId="1F68A940" w:rsidR="0025159C" w:rsidRPr="00AC6C48" w:rsidRDefault="0025159C" w:rsidP="00F32A5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Conformément à la </w:t>
      </w:r>
      <w:hyperlink r:id="rId23" w:history="1">
        <w:r>
          <w:rPr>
            <w:rStyle w:val="Hyperlink"/>
            <w:rFonts w:ascii="Times New Roman" w:hAnsi="Times New Roman"/>
          </w:rPr>
          <w:t>recommandation de la Commission pour des infrastructures de câbles sous-marins sûres et résilientes</w:t>
        </w:r>
      </w:hyperlink>
      <w:r>
        <w:rPr>
          <w:rFonts w:ascii="Times New Roman" w:hAnsi="Times New Roman"/>
        </w:rPr>
        <w:t xml:space="preserve"> [C(2024) 1181] et à la </w:t>
      </w:r>
      <w:hyperlink r:id="rId24" w:history="1">
        <w:r>
          <w:rPr>
            <w:rStyle w:val="Hyperlink"/>
            <w:rFonts w:ascii="Times New Roman" w:hAnsi="Times New Roman"/>
          </w:rPr>
          <w:t>communication conjointe relative au renforcement de la sécurité et de la résilience des câbles sous-marins</w:t>
        </w:r>
      </w:hyperlink>
      <w:r>
        <w:rPr>
          <w:rFonts w:ascii="Times New Roman" w:hAnsi="Times New Roman"/>
        </w:rPr>
        <w:t xml:space="preserve"> [JOIN(2025) 9].</w:t>
      </w:r>
    </w:p>
  </w:footnote>
  <w:footnote w:id="39">
    <w:p w14:paraId="019E33D4" w14:textId="1590A232" w:rsidR="0025159C" w:rsidRPr="0069152C" w:rsidRDefault="0025159C" w:rsidP="00F32A56">
      <w:pPr>
        <w:spacing w:after="0" w:line="240" w:lineRule="auto"/>
        <w:ind w:left="284" w:hanging="284"/>
        <w:rPr>
          <w:rFonts w:ascii="Times New Roman" w:eastAsia="Times New Roman" w:hAnsi="Times New Roman" w:cs="Times New Roman"/>
          <w:sz w:val="20"/>
          <w:szCs w:val="20"/>
        </w:rPr>
      </w:pPr>
      <w:r>
        <w:rPr>
          <w:rStyle w:val="FootnoteReference"/>
          <w:rFonts w:ascii="Times New Roman" w:hAnsi="Times New Roman" w:cs="Times New Roman"/>
        </w:rPr>
        <w:footnoteRef/>
      </w:r>
      <w:r>
        <w:rPr>
          <w:rFonts w:ascii="Times New Roman" w:hAnsi="Times New Roman"/>
        </w:rPr>
        <w:t xml:space="preserve"> </w:t>
      </w:r>
      <w:r>
        <w:tab/>
      </w:r>
      <w:hyperlink r:id="rId25" w:history="1">
        <w:r>
          <w:rPr>
            <w:rStyle w:val="Hyperlink"/>
            <w:rFonts w:ascii="Times New Roman" w:hAnsi="Times New Roman"/>
            <w:sz w:val="20"/>
          </w:rPr>
          <w:t>Communication intitulée «Plan d’action pour un continent de l’IA»</w:t>
        </w:r>
      </w:hyperlink>
      <w:r>
        <w:rPr>
          <w:rFonts w:ascii="Times New Roman" w:hAnsi="Times New Roman"/>
          <w:sz w:val="20"/>
        </w:rPr>
        <w:t xml:space="preserve"> [COM(2025) 165].</w:t>
      </w:r>
    </w:p>
  </w:footnote>
  <w:footnote w:id="40">
    <w:p w14:paraId="3DDFCA7D" w14:textId="1DDC1669" w:rsidR="002149B9" w:rsidRPr="00FF2EA4" w:rsidRDefault="002149B9" w:rsidP="007F1280">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26" w:history="1">
        <w:r>
          <w:rPr>
            <w:rStyle w:val="Hyperlink"/>
            <w:rFonts w:ascii="Times New Roman" w:hAnsi="Times New Roman"/>
          </w:rPr>
          <w:t>Choisissez l’Europe:</w:t>
        </w:r>
      </w:hyperlink>
      <w:hyperlink r:id="rId27" w:history="1">
        <w:r>
          <w:rPr>
            <w:rStyle w:val="Hyperlink"/>
            <w:rFonts w:ascii="Times New Roman" w:hAnsi="Times New Roman"/>
          </w:rPr>
          <w:t xml:space="preserve"> faites progresser votre carrière dans la recherche dans l’UE</w:t>
        </w:r>
      </w:hyperlink>
      <w:r>
        <w:t>.</w:t>
      </w:r>
    </w:p>
  </w:footnote>
  <w:footnote w:id="41">
    <w:p w14:paraId="774E8B14" w14:textId="5BE043DA" w:rsidR="00CB338B" w:rsidRPr="007F1280" w:rsidRDefault="00CB338B" w:rsidP="007F1280">
      <w:pPr>
        <w:pStyle w:val="FootnoteText"/>
        <w:ind w:left="284" w:hanging="284"/>
        <w:jc w:val="both"/>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Communication relative à la stratégie européenne en matière de sécurité économique [JOIN(2023) 20 final].</w:t>
      </w:r>
    </w:p>
  </w:footnote>
  <w:footnote w:id="42">
    <w:p w14:paraId="7E79C67A" w14:textId="7A2313BB" w:rsidR="0025159C" w:rsidRPr="00AC6C48" w:rsidRDefault="0025159C" w:rsidP="00F32A5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Règlement (UE) 2024/2847.</w:t>
      </w:r>
    </w:p>
  </w:footnote>
  <w:footnote w:id="43">
    <w:p w14:paraId="213CEF7A" w14:textId="0FA2E50F" w:rsidR="0025159C" w:rsidRPr="00AC6C48" w:rsidRDefault="0025159C" w:rsidP="00F32A56">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Règlement (UE) 2021/694.</w:t>
      </w:r>
    </w:p>
  </w:footnote>
  <w:footnote w:id="44">
    <w:p w14:paraId="226A2CD4" w14:textId="316C8043" w:rsidR="0025159C" w:rsidRPr="00AC6C48" w:rsidRDefault="0025159C" w:rsidP="00F32A5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Qui fait partie de la communication intitulée «Cadre d’interopérabilité européen – Stratégie de mise en œuvre»</w:t>
      </w:r>
      <w:hyperlink r:id="rId28" w:history="1">
        <w:r>
          <w:rPr>
            <w:rStyle w:val="Hyperlink"/>
            <w:rFonts w:ascii="Times New Roman" w:hAnsi="Times New Roman"/>
          </w:rPr>
          <w:t>,</w:t>
        </w:r>
      </w:hyperlink>
      <w:r>
        <w:rPr>
          <w:rFonts w:ascii="Times New Roman" w:hAnsi="Times New Roman"/>
        </w:rPr>
        <w:t xml:space="preserve"> [COM(2017) 134].</w:t>
      </w:r>
    </w:p>
  </w:footnote>
  <w:footnote w:id="45">
    <w:p w14:paraId="77965AAD" w14:textId="538BA487" w:rsidR="0025159C" w:rsidRPr="00AC6C48" w:rsidRDefault="0025159C" w:rsidP="00F32A5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On peut citer comme exemple pertinent le </w:t>
      </w:r>
      <w:hyperlink r:id="rId29" w:history="1">
        <w:r>
          <w:rPr>
            <w:rStyle w:val="Hyperlink"/>
            <w:rFonts w:ascii="Times New Roman" w:hAnsi="Times New Roman"/>
          </w:rPr>
          <w:t>profil d’application DCAT (pour «Data Catalog Vocabulary» – vocabulaire du catalogage de données)</w:t>
        </w:r>
      </w:hyperlink>
      <w:r>
        <w:rPr>
          <w:rFonts w:ascii="Times New Roman" w:hAnsi="Times New Roman"/>
        </w:rPr>
        <w:t>, devenu une norme de fait, qui facilite l’harmonisation des descriptions des métadonnées et l’échange continu de données par-delà les frontières.</w:t>
      </w:r>
    </w:p>
  </w:footnote>
  <w:footnote w:id="46">
    <w:p w14:paraId="3CBBCE27" w14:textId="69910658" w:rsidR="0025159C" w:rsidRPr="00AC6C48" w:rsidRDefault="0025159C" w:rsidP="00F32A5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Règlement (UE) 2022/2065 relatif à un marché unique des services numériques et modifiant la directive 2000/31/CE (règlement sur les services numériques) (JO L 277 du 27.10.2022, p. 1).</w:t>
      </w:r>
    </w:p>
  </w:footnote>
  <w:footnote w:id="47">
    <w:p w14:paraId="77FD6D75" w14:textId="7351C818" w:rsidR="0025159C" w:rsidRPr="00AC6C48" w:rsidRDefault="0025159C" w:rsidP="00F32A5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Règlement (UE) 2020/1828.</w:t>
      </w:r>
    </w:p>
  </w:footnote>
  <w:footnote w:id="48">
    <w:p w14:paraId="2EB3766E" w14:textId="7BAD3FBF" w:rsidR="00E02817" w:rsidRPr="00FF2EA4" w:rsidRDefault="00E02817" w:rsidP="00FF2EA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Règlement (UE) 2016/679.</w:t>
      </w:r>
    </w:p>
  </w:footnote>
  <w:footnote w:id="49">
    <w:p w14:paraId="616815FB" w14:textId="1442ABE7" w:rsidR="0025159C" w:rsidRPr="00AC6C48" w:rsidRDefault="0025159C" w:rsidP="00F32A56">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Une boîte à outils complète de l’UE pour un commerce électronique sûr et durable [COM(2025) 37 final].</w:t>
      </w:r>
    </w:p>
  </w:footnote>
  <w:footnote w:id="50">
    <w:p w14:paraId="53BA54F0" w14:textId="17A49DA4" w:rsidR="0025159C" w:rsidRPr="00AC6C48" w:rsidRDefault="0025159C" w:rsidP="00F32A5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30" w:history="1">
        <w:r>
          <w:rPr>
            <w:rStyle w:val="Hyperlink"/>
            <w:rFonts w:ascii="Times New Roman" w:hAnsi="Times New Roman"/>
          </w:rPr>
          <w:t>Agenda de Tunis pour la société de l’information</w:t>
        </w:r>
      </w:hyperlink>
      <w:r>
        <w:rPr>
          <w:rFonts w:ascii="Times New Roman" w:hAnsi="Times New Roman"/>
        </w:rPr>
        <w:t xml:space="preserve">, 18 novembre 2005.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8FEA0A" w14:textId="77777777" w:rsidR="0044323E" w:rsidRPr="0044323E" w:rsidRDefault="0044323E" w:rsidP="0044323E">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2DC3D" w14:textId="77777777" w:rsidR="0044323E" w:rsidRPr="0044323E" w:rsidRDefault="0044323E" w:rsidP="0044323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0C4690" w14:textId="77777777" w:rsidR="0044323E" w:rsidRPr="0044323E" w:rsidRDefault="0044323E" w:rsidP="0044323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3EED78" w14:textId="77777777" w:rsidR="00FF11D7" w:rsidRPr="00052523" w:rsidRDefault="00FF11D7" w:rsidP="00052523">
    <w:pPr>
      <w:pStyle w:val="HeaderCoverPage"/>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0821FA" w14:textId="2D5810B8" w:rsidR="00FD5DA3" w:rsidRDefault="00FD5DA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0C2E74" w14:textId="77777777" w:rsidR="00FF11D7" w:rsidRPr="00052523" w:rsidRDefault="00FF11D7" w:rsidP="00052523">
    <w:pPr>
      <w:pStyle w:val="HeaderCoverPag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4224D4B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A414A3"/>
    <w:multiLevelType w:val="multilevel"/>
    <w:tmpl w:val="59687E0C"/>
    <w:lvl w:ilvl="0">
      <w:start w:val="1"/>
      <w:numFmt w:val="decimal"/>
      <w:lvlText w:val="%1."/>
      <w:lvlJc w:val="left"/>
      <w:pPr>
        <w:ind w:left="5605" w:hanging="360"/>
      </w:pPr>
    </w:lvl>
    <w:lvl w:ilvl="1">
      <w:start w:val="1"/>
      <w:numFmt w:val="decimal"/>
      <w:pStyle w:val="Heading2"/>
      <w:lvlText w:val="%1.%2."/>
      <w:lvlJc w:val="left"/>
      <w:pPr>
        <w:ind w:left="99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FA43DF5"/>
    <w:multiLevelType w:val="hybridMultilevel"/>
    <w:tmpl w:val="0D502778"/>
    <w:lvl w:ilvl="0" w:tplc="18090001">
      <w:start w:val="1"/>
      <w:numFmt w:val="bullet"/>
      <w:lvlText w:val=""/>
      <w:lvlJc w:val="left"/>
      <w:pPr>
        <w:ind w:left="360" w:hanging="360"/>
      </w:pPr>
      <w:rPr>
        <w:rFonts w:ascii="Symbol" w:hAnsi="Symbol" w:hint="default"/>
      </w:rPr>
    </w:lvl>
    <w:lvl w:ilvl="1" w:tplc="CAE8BD30">
      <w:start w:val="1"/>
      <w:numFmt w:val="bullet"/>
      <w:lvlText w:val="-"/>
      <w:lvlJc w:val="left"/>
      <w:pPr>
        <w:ind w:left="1080" w:hanging="360"/>
      </w:pPr>
      <w:rPr>
        <w:rFonts w:ascii="Arial" w:hAnsi="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019308C"/>
    <w:multiLevelType w:val="hybridMultilevel"/>
    <w:tmpl w:val="D57A3B84"/>
    <w:lvl w:ilvl="0" w:tplc="18090001">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Arial" w:hAnsi="Aria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4CC1933"/>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0593C91"/>
    <w:multiLevelType w:val="hybridMultilevel"/>
    <w:tmpl w:val="9DDA466E"/>
    <w:lvl w:ilvl="0" w:tplc="CAE8BD30">
      <w:start w:val="1"/>
      <w:numFmt w:val="bullet"/>
      <w:lvlText w:val="-"/>
      <w:lvlJc w:val="left"/>
      <w:pPr>
        <w:ind w:left="720" w:hanging="360"/>
      </w:pPr>
      <w:rPr>
        <w:rFonts w:ascii="Arial" w:hAnsi="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06630E3"/>
    <w:multiLevelType w:val="hybridMultilevel"/>
    <w:tmpl w:val="4CC48026"/>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1492517"/>
    <w:multiLevelType w:val="hybridMultilevel"/>
    <w:tmpl w:val="BE3464E2"/>
    <w:lvl w:ilvl="0" w:tplc="FFFFFFFF">
      <w:start w:val="1"/>
      <w:numFmt w:val="decimal"/>
      <w:lvlText w:val="%1."/>
      <w:lvlJc w:val="left"/>
      <w:pPr>
        <w:ind w:left="420" w:hanging="360"/>
      </w:p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8" w15:restartNumberingAfterBreak="0">
    <w:nsid w:val="24034557"/>
    <w:multiLevelType w:val="hybridMultilevel"/>
    <w:tmpl w:val="43F4325E"/>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12DEEBB"/>
    <w:multiLevelType w:val="hybridMultilevel"/>
    <w:tmpl w:val="FFFFFFFF"/>
    <w:lvl w:ilvl="0" w:tplc="5DB2D7B8">
      <w:start w:val="1"/>
      <w:numFmt w:val="bullet"/>
      <w:lvlText w:val="o"/>
      <w:lvlJc w:val="left"/>
      <w:pPr>
        <w:ind w:left="720" w:hanging="360"/>
      </w:pPr>
      <w:rPr>
        <w:rFonts w:ascii="Courier New" w:hAnsi="Courier New" w:hint="default"/>
      </w:rPr>
    </w:lvl>
    <w:lvl w:ilvl="1" w:tplc="6FD475BC">
      <w:start w:val="1"/>
      <w:numFmt w:val="bullet"/>
      <w:lvlText w:val="o"/>
      <w:lvlJc w:val="left"/>
      <w:pPr>
        <w:ind w:left="1440" w:hanging="360"/>
      </w:pPr>
      <w:rPr>
        <w:rFonts w:ascii="Courier New" w:hAnsi="Courier New" w:hint="default"/>
      </w:rPr>
    </w:lvl>
    <w:lvl w:ilvl="2" w:tplc="2886FBDC">
      <w:start w:val="1"/>
      <w:numFmt w:val="bullet"/>
      <w:lvlText w:val=""/>
      <w:lvlJc w:val="left"/>
      <w:pPr>
        <w:ind w:left="2160" w:hanging="360"/>
      </w:pPr>
      <w:rPr>
        <w:rFonts w:ascii="Wingdings" w:hAnsi="Wingdings" w:hint="default"/>
      </w:rPr>
    </w:lvl>
    <w:lvl w:ilvl="3" w:tplc="DFFC5398">
      <w:start w:val="1"/>
      <w:numFmt w:val="bullet"/>
      <w:lvlText w:val=""/>
      <w:lvlJc w:val="left"/>
      <w:pPr>
        <w:ind w:left="2880" w:hanging="360"/>
      </w:pPr>
      <w:rPr>
        <w:rFonts w:ascii="Symbol" w:hAnsi="Symbol" w:hint="default"/>
      </w:rPr>
    </w:lvl>
    <w:lvl w:ilvl="4" w:tplc="7E42523C">
      <w:start w:val="1"/>
      <w:numFmt w:val="bullet"/>
      <w:lvlText w:val="o"/>
      <w:lvlJc w:val="left"/>
      <w:pPr>
        <w:ind w:left="3600" w:hanging="360"/>
      </w:pPr>
      <w:rPr>
        <w:rFonts w:ascii="Courier New" w:hAnsi="Courier New" w:hint="default"/>
      </w:rPr>
    </w:lvl>
    <w:lvl w:ilvl="5" w:tplc="1B92FF34">
      <w:start w:val="1"/>
      <w:numFmt w:val="bullet"/>
      <w:lvlText w:val=""/>
      <w:lvlJc w:val="left"/>
      <w:pPr>
        <w:ind w:left="4320" w:hanging="360"/>
      </w:pPr>
      <w:rPr>
        <w:rFonts w:ascii="Wingdings" w:hAnsi="Wingdings" w:hint="default"/>
      </w:rPr>
    </w:lvl>
    <w:lvl w:ilvl="6" w:tplc="14AC63E0">
      <w:start w:val="1"/>
      <w:numFmt w:val="bullet"/>
      <w:lvlText w:val=""/>
      <w:lvlJc w:val="left"/>
      <w:pPr>
        <w:ind w:left="5040" w:hanging="360"/>
      </w:pPr>
      <w:rPr>
        <w:rFonts w:ascii="Symbol" w:hAnsi="Symbol" w:hint="default"/>
      </w:rPr>
    </w:lvl>
    <w:lvl w:ilvl="7" w:tplc="2158B4FE">
      <w:start w:val="1"/>
      <w:numFmt w:val="bullet"/>
      <w:lvlText w:val="o"/>
      <w:lvlJc w:val="left"/>
      <w:pPr>
        <w:ind w:left="5760" w:hanging="360"/>
      </w:pPr>
      <w:rPr>
        <w:rFonts w:ascii="Courier New" w:hAnsi="Courier New" w:hint="default"/>
      </w:rPr>
    </w:lvl>
    <w:lvl w:ilvl="8" w:tplc="F1468BCA">
      <w:start w:val="1"/>
      <w:numFmt w:val="bullet"/>
      <w:lvlText w:val=""/>
      <w:lvlJc w:val="left"/>
      <w:pPr>
        <w:ind w:left="6480" w:hanging="360"/>
      </w:pPr>
      <w:rPr>
        <w:rFonts w:ascii="Wingdings" w:hAnsi="Wingdings" w:hint="default"/>
      </w:rPr>
    </w:lvl>
  </w:abstractNum>
  <w:abstractNum w:abstractNumId="10" w15:restartNumberingAfterBreak="0">
    <w:nsid w:val="32756818"/>
    <w:multiLevelType w:val="hybridMultilevel"/>
    <w:tmpl w:val="BE3464E2"/>
    <w:lvl w:ilvl="0" w:tplc="0809000F">
      <w:start w:val="1"/>
      <w:numFmt w:val="decimal"/>
      <w:lvlText w:val="%1."/>
      <w:lvlJc w:val="left"/>
      <w:pPr>
        <w:ind w:left="420" w:hanging="360"/>
      </w:p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1" w15:restartNumberingAfterBreak="0">
    <w:nsid w:val="34F557CB"/>
    <w:multiLevelType w:val="hybridMultilevel"/>
    <w:tmpl w:val="5412A2E0"/>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26E28EA"/>
    <w:multiLevelType w:val="hybridMultilevel"/>
    <w:tmpl w:val="C8748988"/>
    <w:lvl w:ilvl="0" w:tplc="CAE8BD30">
      <w:start w:val="1"/>
      <w:numFmt w:val="bullet"/>
      <w:lvlText w:val="-"/>
      <w:lvlJc w:val="left"/>
      <w:pPr>
        <w:ind w:left="720" w:hanging="360"/>
      </w:pPr>
      <w:rPr>
        <w:rFonts w:ascii="Arial" w:hAnsi="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F716F84"/>
    <w:multiLevelType w:val="multilevel"/>
    <w:tmpl w:val="C7A22278"/>
    <w:lvl w:ilvl="0">
      <w:start w:val="3"/>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pStyle w:val="Heading3"/>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55806793"/>
    <w:multiLevelType w:val="hybridMultilevel"/>
    <w:tmpl w:val="F932A50C"/>
    <w:lvl w:ilvl="0" w:tplc="18090001">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Arial" w:hAnsi="Aria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59270026"/>
    <w:multiLevelType w:val="hybridMultilevel"/>
    <w:tmpl w:val="066E0B1A"/>
    <w:lvl w:ilvl="0" w:tplc="18090011">
      <w:start w:val="1"/>
      <w:numFmt w:val="decimal"/>
      <w:lvlText w:val="%1)"/>
      <w:lvlJc w:val="left"/>
      <w:pPr>
        <w:ind w:left="720" w:hanging="360"/>
      </w:pPr>
    </w:lvl>
    <w:lvl w:ilvl="1" w:tplc="76BEF008">
      <w:numFmt w:val="bullet"/>
      <w:lvlText w:val="-"/>
      <w:lvlJc w:val="left"/>
      <w:pPr>
        <w:ind w:left="1440" w:hanging="360"/>
      </w:pPr>
      <w:rPr>
        <w:rFonts w:ascii="Times New Roman" w:eastAsiaTheme="minorHAns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BD51AA5"/>
    <w:multiLevelType w:val="hybridMultilevel"/>
    <w:tmpl w:val="0A7A26A6"/>
    <w:lvl w:ilvl="0" w:tplc="080C0011">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7" w15:restartNumberingAfterBreak="0">
    <w:nsid w:val="6EF74E47"/>
    <w:multiLevelType w:val="hybridMultilevel"/>
    <w:tmpl w:val="4C4216A6"/>
    <w:lvl w:ilvl="0" w:tplc="18090001">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Arial" w:hAnsi="Aria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79591FDB"/>
    <w:multiLevelType w:val="hybridMultilevel"/>
    <w:tmpl w:val="472606B6"/>
    <w:lvl w:ilvl="0" w:tplc="B4049E3C">
      <w:start w:val="1"/>
      <w:numFmt w:val="decimal"/>
      <w:pStyle w:val="Heading1"/>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9" w15:restartNumberingAfterBreak="0">
    <w:nsid w:val="7C517CCD"/>
    <w:multiLevelType w:val="hybridMultilevel"/>
    <w:tmpl w:val="6D8293DE"/>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7F360138"/>
    <w:multiLevelType w:val="hybridMultilevel"/>
    <w:tmpl w:val="A8066C62"/>
    <w:lvl w:ilvl="0" w:tplc="080C0017">
      <w:start w:val="1"/>
      <w:numFmt w:val="lowerLetter"/>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num w:numId="1">
    <w:abstractNumId w:val="9"/>
  </w:num>
  <w:num w:numId="2">
    <w:abstractNumId w:val="0"/>
  </w:num>
  <w:num w:numId="3">
    <w:abstractNumId w:val="18"/>
  </w:num>
  <w:num w:numId="4">
    <w:abstractNumId w:val="1"/>
  </w:num>
  <w:num w:numId="5">
    <w:abstractNumId w:val="13"/>
  </w:num>
  <w:num w:numId="6">
    <w:abstractNumId w:val="15"/>
  </w:num>
  <w:num w:numId="7">
    <w:abstractNumId w:val="19"/>
  </w:num>
  <w:num w:numId="8">
    <w:abstractNumId w:val="20"/>
  </w:num>
  <w:num w:numId="9">
    <w:abstractNumId w:val="2"/>
  </w:num>
  <w:num w:numId="10">
    <w:abstractNumId w:val="4"/>
  </w:num>
  <w:num w:numId="11">
    <w:abstractNumId w:val="10"/>
  </w:num>
  <w:num w:numId="12">
    <w:abstractNumId w:val="7"/>
  </w:num>
  <w:num w:numId="13">
    <w:abstractNumId w:val="16"/>
  </w:num>
  <w:num w:numId="14">
    <w:abstractNumId w:val="5"/>
  </w:num>
  <w:num w:numId="15">
    <w:abstractNumId w:val="12"/>
  </w:num>
  <w:num w:numId="16">
    <w:abstractNumId w:val="3"/>
  </w:num>
  <w:num w:numId="17">
    <w:abstractNumId w:val="8"/>
  </w:num>
  <w:num w:numId="18">
    <w:abstractNumId w:val="6"/>
  </w:num>
  <w:num w:numId="19">
    <w:abstractNumId w:val="11"/>
  </w:num>
  <w:num w:numId="20">
    <w:abstractNumId w:val="14"/>
  </w:num>
  <w:num w:numId="21">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r-BE" w:vendorID="64" w:dllVersion="0" w:nlCheck="1" w:checkStyle="0"/>
  <w:activeWritingStyle w:appName="MSWord" w:lang="en-IE" w:vendorID="64" w:dllVersion="0" w:nlCheck="1" w:checkStyle="0"/>
  <w:activeWritingStyle w:appName="MSWord" w:lang="en-GB" w:vendorID="64" w:dllVersion="0" w:nlCheck="1" w:checkStyle="0"/>
  <w:activeWritingStyle w:appName="MSWord" w:lang="en-IE" w:vendorID="64" w:dllVersion="6" w:nlCheck="1" w:checkStyle="1"/>
  <w:activeWritingStyle w:appName="MSWord" w:lang="en-GB" w:vendorID="64" w:dllVersion="6" w:nlCheck="1" w:checkStyle="1"/>
  <w:activeWritingStyle w:appName="MSWord" w:lang="en-US" w:vendorID="64" w:dllVersion="0" w:nlCheck="1" w:checkStyle="0"/>
  <w:activeWritingStyle w:appName="MSWord" w:lang="it-IT" w:vendorID="64" w:dllVersion="0" w:nlCheck="1" w:checkStyle="0"/>
  <w:activeWritingStyle w:appName="MSWord" w:lang="fr-FR"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CAFB6890-A2B2-4983-A07A-086E5648A113"/>
    <w:docVar w:name="LW_COVERPAGE_TYPE" w:val="1"/>
    <w:docVar w:name="LW_CROSSREFERENCE" w:val="&lt;UNUSED&gt;"/>
    <w:docVar w:name="LW_DocType" w:val="NORMAL"/>
    <w:docVar w:name="LW_EMISSION" w:val="5.6.2025"/>
    <w:docVar w:name="LW_EMISSION_ISODATE" w:val="2025-06-05"/>
    <w:docVar w:name="LW_EMISSION_LOCATION" w:val="BRX"/>
    <w:docVar w:name="LW_EMISSION_PREFIX" w:val="Bruxelles, le "/>
    <w:docVar w:name="LW_EMISSION_SUFFIX" w:val=" "/>
    <w:docVar w:name="LW_ID_DOCTYPE_NONLW" w:val="CP-015"/>
    <w:docVar w:name="LW_LANGUE" w:val="FR"/>
    <w:docVar w:name="LW_LEVEL_OF_SENSITIVITY" w:val="Standard treatment"/>
    <w:docVar w:name="LW_NOM.INST" w:val="COMMISSION EUROPÉENNE"/>
    <w:docVar w:name="LW_NOM.INST_JOINTDOC" w:val="LE HAUT REPRÉSENTANT DE_x000b_L'UNION POUR LES AFFAIRES_x000b_ÉTRANGÈRES ET LA_x000b_POLITIQUE DE SÉCURITÉ"/>
    <w:docVar w:name="LW_PART_NBR" w:val="1"/>
    <w:docVar w:name="LW_PART_NBR_TOTAL" w:val="1"/>
    <w:docVar w:name="LW_REF.INST.NEW" w:val="JOIN"/>
    <w:docVar w:name="LW_REF.INST.NEW_ADOPTED" w:val="final"/>
    <w:docVar w:name="LW_REF.INST.NEW_TEXT" w:val="(2025) 14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Une stratégie numérique internationale pour l\u8217?Union européenne&lt;/FMT&gt;"/>
    <w:docVar w:name="LW_TYPE.DOC.CP" w:val="COMMUNICATION CONJOINTE AU PARLEMENT EUROPÉEN ET AU CONSEIL"/>
    <w:docVar w:name="LW_TYPE.DOC.CP.USERTEXT" w:val="&lt;EMPTY&gt;"/>
    <w:docVar w:name="LwApiVersions" w:val="LW4CoDe 1.24.5.0; LW 9.0, Build 20240221"/>
  </w:docVars>
  <w:rsids>
    <w:rsidRoot w:val="00A81B2C"/>
    <w:rsid w:val="0000033F"/>
    <w:rsid w:val="0000051B"/>
    <w:rsid w:val="000005BE"/>
    <w:rsid w:val="00001639"/>
    <w:rsid w:val="000017E3"/>
    <w:rsid w:val="00001968"/>
    <w:rsid w:val="00001BA0"/>
    <w:rsid w:val="00001EE7"/>
    <w:rsid w:val="0000282F"/>
    <w:rsid w:val="00002EC9"/>
    <w:rsid w:val="00003394"/>
    <w:rsid w:val="000037DD"/>
    <w:rsid w:val="000038B8"/>
    <w:rsid w:val="0000401B"/>
    <w:rsid w:val="0000432D"/>
    <w:rsid w:val="0000468B"/>
    <w:rsid w:val="00004C88"/>
    <w:rsid w:val="00004CBB"/>
    <w:rsid w:val="000056E8"/>
    <w:rsid w:val="000057E4"/>
    <w:rsid w:val="00005853"/>
    <w:rsid w:val="00005E29"/>
    <w:rsid w:val="00006096"/>
    <w:rsid w:val="00006176"/>
    <w:rsid w:val="00006234"/>
    <w:rsid w:val="000063D5"/>
    <w:rsid w:val="00006CF5"/>
    <w:rsid w:val="00007132"/>
    <w:rsid w:val="0000740E"/>
    <w:rsid w:val="0000747E"/>
    <w:rsid w:val="000076A0"/>
    <w:rsid w:val="00007DA0"/>
    <w:rsid w:val="0001082A"/>
    <w:rsid w:val="00010B0F"/>
    <w:rsid w:val="00010E37"/>
    <w:rsid w:val="000121C3"/>
    <w:rsid w:val="0001275D"/>
    <w:rsid w:val="000139F0"/>
    <w:rsid w:val="00014531"/>
    <w:rsid w:val="00014642"/>
    <w:rsid w:val="0001465B"/>
    <w:rsid w:val="00014C64"/>
    <w:rsid w:val="00015017"/>
    <w:rsid w:val="00015F4A"/>
    <w:rsid w:val="00016789"/>
    <w:rsid w:val="000168F5"/>
    <w:rsid w:val="000176D8"/>
    <w:rsid w:val="00017EB7"/>
    <w:rsid w:val="000204C9"/>
    <w:rsid w:val="000204D2"/>
    <w:rsid w:val="0002095C"/>
    <w:rsid w:val="00020DAD"/>
    <w:rsid w:val="00020F19"/>
    <w:rsid w:val="00021416"/>
    <w:rsid w:val="000222CA"/>
    <w:rsid w:val="00022F8E"/>
    <w:rsid w:val="000230AD"/>
    <w:rsid w:val="000230B1"/>
    <w:rsid w:val="00023149"/>
    <w:rsid w:val="00023A11"/>
    <w:rsid w:val="00023F17"/>
    <w:rsid w:val="00024465"/>
    <w:rsid w:val="00024764"/>
    <w:rsid w:val="00024A95"/>
    <w:rsid w:val="00024C85"/>
    <w:rsid w:val="00025389"/>
    <w:rsid w:val="0002552B"/>
    <w:rsid w:val="00025BDE"/>
    <w:rsid w:val="00025CC0"/>
    <w:rsid w:val="00025F8E"/>
    <w:rsid w:val="00026048"/>
    <w:rsid w:val="0002634A"/>
    <w:rsid w:val="000266FA"/>
    <w:rsid w:val="00026CD4"/>
    <w:rsid w:val="00026D92"/>
    <w:rsid w:val="00026FE0"/>
    <w:rsid w:val="000307A9"/>
    <w:rsid w:val="00031AC7"/>
    <w:rsid w:val="00031D3E"/>
    <w:rsid w:val="00032440"/>
    <w:rsid w:val="00033658"/>
    <w:rsid w:val="00033A74"/>
    <w:rsid w:val="00033D2F"/>
    <w:rsid w:val="000345A0"/>
    <w:rsid w:val="00035F34"/>
    <w:rsid w:val="0003654B"/>
    <w:rsid w:val="00036C69"/>
    <w:rsid w:val="00037300"/>
    <w:rsid w:val="00037B33"/>
    <w:rsid w:val="00037DAF"/>
    <w:rsid w:val="0004033D"/>
    <w:rsid w:val="00040B40"/>
    <w:rsid w:val="0004296F"/>
    <w:rsid w:val="000430BE"/>
    <w:rsid w:val="000437C8"/>
    <w:rsid w:val="00043D6E"/>
    <w:rsid w:val="00044162"/>
    <w:rsid w:val="0004418D"/>
    <w:rsid w:val="00044346"/>
    <w:rsid w:val="00044DDB"/>
    <w:rsid w:val="00045267"/>
    <w:rsid w:val="000459A1"/>
    <w:rsid w:val="00045CFB"/>
    <w:rsid w:val="0004656D"/>
    <w:rsid w:val="000465F7"/>
    <w:rsid w:val="00046BB5"/>
    <w:rsid w:val="00046E67"/>
    <w:rsid w:val="0004741E"/>
    <w:rsid w:val="00047824"/>
    <w:rsid w:val="00047B51"/>
    <w:rsid w:val="00047F57"/>
    <w:rsid w:val="00050365"/>
    <w:rsid w:val="00050993"/>
    <w:rsid w:val="00051153"/>
    <w:rsid w:val="0005134A"/>
    <w:rsid w:val="00051798"/>
    <w:rsid w:val="0005191B"/>
    <w:rsid w:val="00051B05"/>
    <w:rsid w:val="00051ED3"/>
    <w:rsid w:val="00051ED4"/>
    <w:rsid w:val="00052451"/>
    <w:rsid w:val="00052523"/>
    <w:rsid w:val="00052FA8"/>
    <w:rsid w:val="00053187"/>
    <w:rsid w:val="000533A5"/>
    <w:rsid w:val="0005351F"/>
    <w:rsid w:val="000535E9"/>
    <w:rsid w:val="00053989"/>
    <w:rsid w:val="00053BCE"/>
    <w:rsid w:val="00053CEB"/>
    <w:rsid w:val="00054166"/>
    <w:rsid w:val="0005531A"/>
    <w:rsid w:val="00055527"/>
    <w:rsid w:val="00055AB3"/>
    <w:rsid w:val="00055D2A"/>
    <w:rsid w:val="000561FB"/>
    <w:rsid w:val="000568CE"/>
    <w:rsid w:val="00056C3B"/>
    <w:rsid w:val="00056DB3"/>
    <w:rsid w:val="00057129"/>
    <w:rsid w:val="00057345"/>
    <w:rsid w:val="000601BD"/>
    <w:rsid w:val="0006031D"/>
    <w:rsid w:val="0006061D"/>
    <w:rsid w:val="000616E4"/>
    <w:rsid w:val="00061E39"/>
    <w:rsid w:val="00061E5D"/>
    <w:rsid w:val="000620DB"/>
    <w:rsid w:val="000623A4"/>
    <w:rsid w:val="0006277C"/>
    <w:rsid w:val="000628EA"/>
    <w:rsid w:val="000633D7"/>
    <w:rsid w:val="000636E5"/>
    <w:rsid w:val="00064912"/>
    <w:rsid w:val="0006588E"/>
    <w:rsid w:val="00065ECA"/>
    <w:rsid w:val="000666ED"/>
    <w:rsid w:val="000667A2"/>
    <w:rsid w:val="00066DED"/>
    <w:rsid w:val="000676D5"/>
    <w:rsid w:val="0006796E"/>
    <w:rsid w:val="00067C43"/>
    <w:rsid w:val="00067FEC"/>
    <w:rsid w:val="000700FD"/>
    <w:rsid w:val="0007067D"/>
    <w:rsid w:val="00070750"/>
    <w:rsid w:val="00070CB6"/>
    <w:rsid w:val="00070EE1"/>
    <w:rsid w:val="00071457"/>
    <w:rsid w:val="00073535"/>
    <w:rsid w:val="00075064"/>
    <w:rsid w:val="000757EE"/>
    <w:rsid w:val="00075861"/>
    <w:rsid w:val="00075975"/>
    <w:rsid w:val="00075C4A"/>
    <w:rsid w:val="00075CF7"/>
    <w:rsid w:val="00075DA4"/>
    <w:rsid w:val="00075F9A"/>
    <w:rsid w:val="00075FE9"/>
    <w:rsid w:val="00076351"/>
    <w:rsid w:val="0007653C"/>
    <w:rsid w:val="000765BA"/>
    <w:rsid w:val="00077174"/>
    <w:rsid w:val="00077869"/>
    <w:rsid w:val="00077A24"/>
    <w:rsid w:val="0008010B"/>
    <w:rsid w:val="000803B8"/>
    <w:rsid w:val="00081385"/>
    <w:rsid w:val="00081553"/>
    <w:rsid w:val="0008273F"/>
    <w:rsid w:val="00082EA5"/>
    <w:rsid w:val="0008330C"/>
    <w:rsid w:val="000837E6"/>
    <w:rsid w:val="00083B55"/>
    <w:rsid w:val="00083BC3"/>
    <w:rsid w:val="0008414C"/>
    <w:rsid w:val="00084CA1"/>
    <w:rsid w:val="0008549F"/>
    <w:rsid w:val="00085DD8"/>
    <w:rsid w:val="00085F35"/>
    <w:rsid w:val="0008613B"/>
    <w:rsid w:val="000864E7"/>
    <w:rsid w:val="00086599"/>
    <w:rsid w:val="00086621"/>
    <w:rsid w:val="00086898"/>
    <w:rsid w:val="000868F0"/>
    <w:rsid w:val="00086D4E"/>
    <w:rsid w:val="00086D81"/>
    <w:rsid w:val="00087D7A"/>
    <w:rsid w:val="00090025"/>
    <w:rsid w:val="000900DB"/>
    <w:rsid w:val="0009094D"/>
    <w:rsid w:val="00090FE6"/>
    <w:rsid w:val="0009135D"/>
    <w:rsid w:val="000916D1"/>
    <w:rsid w:val="00091C63"/>
    <w:rsid w:val="000933E6"/>
    <w:rsid w:val="00093856"/>
    <w:rsid w:val="00093909"/>
    <w:rsid w:val="00093A19"/>
    <w:rsid w:val="00093F59"/>
    <w:rsid w:val="000941DD"/>
    <w:rsid w:val="000944A4"/>
    <w:rsid w:val="00095DD1"/>
    <w:rsid w:val="00096A9E"/>
    <w:rsid w:val="000972C3"/>
    <w:rsid w:val="00097A9B"/>
    <w:rsid w:val="00097E7D"/>
    <w:rsid w:val="000A0D39"/>
    <w:rsid w:val="000A13E8"/>
    <w:rsid w:val="000A142F"/>
    <w:rsid w:val="000A24FF"/>
    <w:rsid w:val="000A2668"/>
    <w:rsid w:val="000A27EC"/>
    <w:rsid w:val="000A34C2"/>
    <w:rsid w:val="000A367D"/>
    <w:rsid w:val="000A67E0"/>
    <w:rsid w:val="000A6FA3"/>
    <w:rsid w:val="000A7279"/>
    <w:rsid w:val="000A730E"/>
    <w:rsid w:val="000A7F61"/>
    <w:rsid w:val="000B0606"/>
    <w:rsid w:val="000B0792"/>
    <w:rsid w:val="000B08C5"/>
    <w:rsid w:val="000B09D7"/>
    <w:rsid w:val="000B0A2D"/>
    <w:rsid w:val="000B11A8"/>
    <w:rsid w:val="000B12BB"/>
    <w:rsid w:val="000B1463"/>
    <w:rsid w:val="000B2364"/>
    <w:rsid w:val="000B2BC2"/>
    <w:rsid w:val="000B303F"/>
    <w:rsid w:val="000B3132"/>
    <w:rsid w:val="000B3148"/>
    <w:rsid w:val="000B354C"/>
    <w:rsid w:val="000B3615"/>
    <w:rsid w:val="000B3902"/>
    <w:rsid w:val="000B3D7A"/>
    <w:rsid w:val="000B3E6E"/>
    <w:rsid w:val="000B4069"/>
    <w:rsid w:val="000B4E98"/>
    <w:rsid w:val="000B52C1"/>
    <w:rsid w:val="000B550E"/>
    <w:rsid w:val="000B5B4D"/>
    <w:rsid w:val="000B5F8B"/>
    <w:rsid w:val="000B619F"/>
    <w:rsid w:val="000B6B49"/>
    <w:rsid w:val="000B705E"/>
    <w:rsid w:val="000B71FF"/>
    <w:rsid w:val="000B75DC"/>
    <w:rsid w:val="000C04E7"/>
    <w:rsid w:val="000C084F"/>
    <w:rsid w:val="000C0A1D"/>
    <w:rsid w:val="000C0CF6"/>
    <w:rsid w:val="000C16E7"/>
    <w:rsid w:val="000C1ABE"/>
    <w:rsid w:val="000C2028"/>
    <w:rsid w:val="000C2BE5"/>
    <w:rsid w:val="000C2E08"/>
    <w:rsid w:val="000C3735"/>
    <w:rsid w:val="000C3A05"/>
    <w:rsid w:val="000C3D20"/>
    <w:rsid w:val="000C41C9"/>
    <w:rsid w:val="000C54F8"/>
    <w:rsid w:val="000C5B8C"/>
    <w:rsid w:val="000C5EB8"/>
    <w:rsid w:val="000C5EF9"/>
    <w:rsid w:val="000C62B5"/>
    <w:rsid w:val="000C7024"/>
    <w:rsid w:val="000C730B"/>
    <w:rsid w:val="000C7B29"/>
    <w:rsid w:val="000D0397"/>
    <w:rsid w:val="000D08CE"/>
    <w:rsid w:val="000D1184"/>
    <w:rsid w:val="000D11FB"/>
    <w:rsid w:val="000D1397"/>
    <w:rsid w:val="000D2C32"/>
    <w:rsid w:val="000D3D59"/>
    <w:rsid w:val="000D42CA"/>
    <w:rsid w:val="000D42D4"/>
    <w:rsid w:val="000D435C"/>
    <w:rsid w:val="000D4602"/>
    <w:rsid w:val="000D4609"/>
    <w:rsid w:val="000D5E35"/>
    <w:rsid w:val="000D6072"/>
    <w:rsid w:val="000D61EF"/>
    <w:rsid w:val="000D6FA0"/>
    <w:rsid w:val="000D7343"/>
    <w:rsid w:val="000D765E"/>
    <w:rsid w:val="000E1260"/>
    <w:rsid w:val="000E1D13"/>
    <w:rsid w:val="000E2A1B"/>
    <w:rsid w:val="000E2C11"/>
    <w:rsid w:val="000E2C4D"/>
    <w:rsid w:val="000E2C9E"/>
    <w:rsid w:val="000E2D21"/>
    <w:rsid w:val="000E3251"/>
    <w:rsid w:val="000E3A7A"/>
    <w:rsid w:val="000E3D48"/>
    <w:rsid w:val="000E3FD2"/>
    <w:rsid w:val="000E4DBB"/>
    <w:rsid w:val="000E5047"/>
    <w:rsid w:val="000E5719"/>
    <w:rsid w:val="000E5805"/>
    <w:rsid w:val="000E66BF"/>
    <w:rsid w:val="000E6B24"/>
    <w:rsid w:val="000E70AD"/>
    <w:rsid w:val="000E770C"/>
    <w:rsid w:val="000E77FE"/>
    <w:rsid w:val="000E7BC0"/>
    <w:rsid w:val="000F019C"/>
    <w:rsid w:val="000F0232"/>
    <w:rsid w:val="000F0FE3"/>
    <w:rsid w:val="000F119D"/>
    <w:rsid w:val="000F1446"/>
    <w:rsid w:val="000F1573"/>
    <w:rsid w:val="000F1699"/>
    <w:rsid w:val="000F194A"/>
    <w:rsid w:val="000F26EE"/>
    <w:rsid w:val="000F2884"/>
    <w:rsid w:val="000F30D8"/>
    <w:rsid w:val="000F391A"/>
    <w:rsid w:val="000F3CFC"/>
    <w:rsid w:val="000F51E1"/>
    <w:rsid w:val="000F5805"/>
    <w:rsid w:val="000F5ED0"/>
    <w:rsid w:val="000F6011"/>
    <w:rsid w:val="000F60DD"/>
    <w:rsid w:val="000F64B6"/>
    <w:rsid w:val="001004FE"/>
    <w:rsid w:val="0010109C"/>
    <w:rsid w:val="001015CB"/>
    <w:rsid w:val="0010177B"/>
    <w:rsid w:val="00102216"/>
    <w:rsid w:val="001024BD"/>
    <w:rsid w:val="00102BEB"/>
    <w:rsid w:val="00102C2C"/>
    <w:rsid w:val="00103EBF"/>
    <w:rsid w:val="0010438A"/>
    <w:rsid w:val="00104566"/>
    <w:rsid w:val="001047DE"/>
    <w:rsid w:val="00104A08"/>
    <w:rsid w:val="00104B90"/>
    <w:rsid w:val="00104D3B"/>
    <w:rsid w:val="00104DEA"/>
    <w:rsid w:val="0010543F"/>
    <w:rsid w:val="00105485"/>
    <w:rsid w:val="001057D1"/>
    <w:rsid w:val="001059EF"/>
    <w:rsid w:val="00105E59"/>
    <w:rsid w:val="00105F49"/>
    <w:rsid w:val="001067A8"/>
    <w:rsid w:val="00106BC7"/>
    <w:rsid w:val="00106C7D"/>
    <w:rsid w:val="00107655"/>
    <w:rsid w:val="0010769D"/>
    <w:rsid w:val="00107C27"/>
    <w:rsid w:val="001108C5"/>
    <w:rsid w:val="00110C84"/>
    <w:rsid w:val="00110EB2"/>
    <w:rsid w:val="00111295"/>
    <w:rsid w:val="00112097"/>
    <w:rsid w:val="00113376"/>
    <w:rsid w:val="00113AEF"/>
    <w:rsid w:val="00113DB9"/>
    <w:rsid w:val="00114376"/>
    <w:rsid w:val="00115FE1"/>
    <w:rsid w:val="00116767"/>
    <w:rsid w:val="00116791"/>
    <w:rsid w:val="00116CD6"/>
    <w:rsid w:val="00116CD9"/>
    <w:rsid w:val="00116DB0"/>
    <w:rsid w:val="00117562"/>
    <w:rsid w:val="001175CA"/>
    <w:rsid w:val="00117760"/>
    <w:rsid w:val="001200B0"/>
    <w:rsid w:val="00120E19"/>
    <w:rsid w:val="001213CE"/>
    <w:rsid w:val="001216E7"/>
    <w:rsid w:val="001218BD"/>
    <w:rsid w:val="001223F7"/>
    <w:rsid w:val="00122776"/>
    <w:rsid w:val="00122A0E"/>
    <w:rsid w:val="00122BCB"/>
    <w:rsid w:val="00122DAB"/>
    <w:rsid w:val="0012365A"/>
    <w:rsid w:val="00123881"/>
    <w:rsid w:val="001242A6"/>
    <w:rsid w:val="0012436B"/>
    <w:rsid w:val="00125628"/>
    <w:rsid w:val="0012634E"/>
    <w:rsid w:val="0012665E"/>
    <w:rsid w:val="00126708"/>
    <w:rsid w:val="0012673E"/>
    <w:rsid w:val="00126DC3"/>
    <w:rsid w:val="00126F16"/>
    <w:rsid w:val="00126FE4"/>
    <w:rsid w:val="00127653"/>
    <w:rsid w:val="00127C5A"/>
    <w:rsid w:val="00127CD2"/>
    <w:rsid w:val="0013028B"/>
    <w:rsid w:val="00130C33"/>
    <w:rsid w:val="00131E96"/>
    <w:rsid w:val="0013364A"/>
    <w:rsid w:val="001338E8"/>
    <w:rsid w:val="00134AAB"/>
    <w:rsid w:val="00134BEA"/>
    <w:rsid w:val="0013683E"/>
    <w:rsid w:val="00136A9B"/>
    <w:rsid w:val="00136C99"/>
    <w:rsid w:val="00137AFC"/>
    <w:rsid w:val="0014028A"/>
    <w:rsid w:val="00140774"/>
    <w:rsid w:val="00140C4C"/>
    <w:rsid w:val="00141054"/>
    <w:rsid w:val="00141A2F"/>
    <w:rsid w:val="00141B77"/>
    <w:rsid w:val="00141F02"/>
    <w:rsid w:val="00142904"/>
    <w:rsid w:val="00142C85"/>
    <w:rsid w:val="0014304E"/>
    <w:rsid w:val="00143051"/>
    <w:rsid w:val="001432EC"/>
    <w:rsid w:val="00143378"/>
    <w:rsid w:val="00143628"/>
    <w:rsid w:val="00143F2A"/>
    <w:rsid w:val="001440CC"/>
    <w:rsid w:val="00145419"/>
    <w:rsid w:val="00145420"/>
    <w:rsid w:val="0014571C"/>
    <w:rsid w:val="0014572F"/>
    <w:rsid w:val="00145E4F"/>
    <w:rsid w:val="001460EE"/>
    <w:rsid w:val="0014643E"/>
    <w:rsid w:val="00146487"/>
    <w:rsid w:val="001470BD"/>
    <w:rsid w:val="0014747F"/>
    <w:rsid w:val="001475A6"/>
    <w:rsid w:val="0014790B"/>
    <w:rsid w:val="001479C2"/>
    <w:rsid w:val="00147AF3"/>
    <w:rsid w:val="00147D0E"/>
    <w:rsid w:val="001506AF"/>
    <w:rsid w:val="001507A1"/>
    <w:rsid w:val="0015179F"/>
    <w:rsid w:val="0015188F"/>
    <w:rsid w:val="00151C69"/>
    <w:rsid w:val="00152EB8"/>
    <w:rsid w:val="001531DE"/>
    <w:rsid w:val="001532D6"/>
    <w:rsid w:val="00154280"/>
    <w:rsid w:val="00154328"/>
    <w:rsid w:val="0015539E"/>
    <w:rsid w:val="001556B6"/>
    <w:rsid w:val="00155D1B"/>
    <w:rsid w:val="001563AA"/>
    <w:rsid w:val="00157649"/>
    <w:rsid w:val="001576A7"/>
    <w:rsid w:val="00157B6D"/>
    <w:rsid w:val="00157BDF"/>
    <w:rsid w:val="0015B97D"/>
    <w:rsid w:val="00160939"/>
    <w:rsid w:val="00160B39"/>
    <w:rsid w:val="00160C43"/>
    <w:rsid w:val="00161128"/>
    <w:rsid w:val="00161408"/>
    <w:rsid w:val="00161966"/>
    <w:rsid w:val="00161A1B"/>
    <w:rsid w:val="00161C0A"/>
    <w:rsid w:val="00161F2F"/>
    <w:rsid w:val="00162003"/>
    <w:rsid w:val="001623EF"/>
    <w:rsid w:val="00162CA8"/>
    <w:rsid w:val="00162CD5"/>
    <w:rsid w:val="00162EFD"/>
    <w:rsid w:val="00163589"/>
    <w:rsid w:val="001637A8"/>
    <w:rsid w:val="00163EB9"/>
    <w:rsid w:val="001642DD"/>
    <w:rsid w:val="00164360"/>
    <w:rsid w:val="00165011"/>
    <w:rsid w:val="0016774C"/>
    <w:rsid w:val="0016775B"/>
    <w:rsid w:val="00167A40"/>
    <w:rsid w:val="00167B24"/>
    <w:rsid w:val="00170174"/>
    <w:rsid w:val="00170241"/>
    <w:rsid w:val="0017076C"/>
    <w:rsid w:val="00170B37"/>
    <w:rsid w:val="00170C34"/>
    <w:rsid w:val="00170FA6"/>
    <w:rsid w:val="00171B82"/>
    <w:rsid w:val="00171B9F"/>
    <w:rsid w:val="00171E6D"/>
    <w:rsid w:val="00172325"/>
    <w:rsid w:val="00172444"/>
    <w:rsid w:val="00172649"/>
    <w:rsid w:val="001739B2"/>
    <w:rsid w:val="00173C3E"/>
    <w:rsid w:val="00173F22"/>
    <w:rsid w:val="00174102"/>
    <w:rsid w:val="001750D3"/>
    <w:rsid w:val="001751E0"/>
    <w:rsid w:val="0017524E"/>
    <w:rsid w:val="00175511"/>
    <w:rsid w:val="00176599"/>
    <w:rsid w:val="00176A32"/>
    <w:rsid w:val="00177301"/>
    <w:rsid w:val="0017788E"/>
    <w:rsid w:val="00180132"/>
    <w:rsid w:val="00180894"/>
    <w:rsid w:val="00180A35"/>
    <w:rsid w:val="00180DFE"/>
    <w:rsid w:val="00180E78"/>
    <w:rsid w:val="0018124E"/>
    <w:rsid w:val="00181272"/>
    <w:rsid w:val="001813FF"/>
    <w:rsid w:val="00181616"/>
    <w:rsid w:val="00181804"/>
    <w:rsid w:val="00182036"/>
    <w:rsid w:val="0018216B"/>
    <w:rsid w:val="00182677"/>
    <w:rsid w:val="00182E62"/>
    <w:rsid w:val="00183062"/>
    <w:rsid w:val="001832A6"/>
    <w:rsid w:val="00184564"/>
    <w:rsid w:val="001849B0"/>
    <w:rsid w:val="00184BB5"/>
    <w:rsid w:val="00184E7A"/>
    <w:rsid w:val="001852B5"/>
    <w:rsid w:val="0018686B"/>
    <w:rsid w:val="0018730C"/>
    <w:rsid w:val="0018744C"/>
    <w:rsid w:val="00187F8A"/>
    <w:rsid w:val="00190376"/>
    <w:rsid w:val="00190457"/>
    <w:rsid w:val="0019067E"/>
    <w:rsid w:val="001914DE"/>
    <w:rsid w:val="0019171B"/>
    <w:rsid w:val="001919DC"/>
    <w:rsid w:val="001919E3"/>
    <w:rsid w:val="00191CFB"/>
    <w:rsid w:val="00191DCE"/>
    <w:rsid w:val="00191E1B"/>
    <w:rsid w:val="00193ADB"/>
    <w:rsid w:val="00193B78"/>
    <w:rsid w:val="00194198"/>
    <w:rsid w:val="00194C01"/>
    <w:rsid w:val="00194C3C"/>
    <w:rsid w:val="0019511E"/>
    <w:rsid w:val="00195A90"/>
    <w:rsid w:val="00195C36"/>
    <w:rsid w:val="00196005"/>
    <w:rsid w:val="0019671C"/>
    <w:rsid w:val="00196913"/>
    <w:rsid w:val="0019697B"/>
    <w:rsid w:val="00197352"/>
    <w:rsid w:val="0019739F"/>
    <w:rsid w:val="001A023D"/>
    <w:rsid w:val="001A076A"/>
    <w:rsid w:val="001A0EFC"/>
    <w:rsid w:val="001A105A"/>
    <w:rsid w:val="001A1B7B"/>
    <w:rsid w:val="001A1FD1"/>
    <w:rsid w:val="001A2188"/>
    <w:rsid w:val="001A2569"/>
    <w:rsid w:val="001A2924"/>
    <w:rsid w:val="001A2E2C"/>
    <w:rsid w:val="001A2E68"/>
    <w:rsid w:val="001A2F92"/>
    <w:rsid w:val="001A324F"/>
    <w:rsid w:val="001A4506"/>
    <w:rsid w:val="001A451C"/>
    <w:rsid w:val="001A4FE2"/>
    <w:rsid w:val="001A51BE"/>
    <w:rsid w:val="001A51C6"/>
    <w:rsid w:val="001A554B"/>
    <w:rsid w:val="001A59FE"/>
    <w:rsid w:val="001A62C0"/>
    <w:rsid w:val="001A6A3C"/>
    <w:rsid w:val="001A6F3B"/>
    <w:rsid w:val="001A7A16"/>
    <w:rsid w:val="001B126E"/>
    <w:rsid w:val="001B12AB"/>
    <w:rsid w:val="001B1BA1"/>
    <w:rsid w:val="001B225B"/>
    <w:rsid w:val="001B2972"/>
    <w:rsid w:val="001B2B36"/>
    <w:rsid w:val="001B4083"/>
    <w:rsid w:val="001B42B7"/>
    <w:rsid w:val="001B4935"/>
    <w:rsid w:val="001B5411"/>
    <w:rsid w:val="001B5673"/>
    <w:rsid w:val="001B5D2E"/>
    <w:rsid w:val="001B6C51"/>
    <w:rsid w:val="001B6C64"/>
    <w:rsid w:val="001B7869"/>
    <w:rsid w:val="001B7CD2"/>
    <w:rsid w:val="001B7DD2"/>
    <w:rsid w:val="001C0BBB"/>
    <w:rsid w:val="001C0E87"/>
    <w:rsid w:val="001C1384"/>
    <w:rsid w:val="001C25E1"/>
    <w:rsid w:val="001C28A0"/>
    <w:rsid w:val="001C2ABA"/>
    <w:rsid w:val="001C3B92"/>
    <w:rsid w:val="001C3DFC"/>
    <w:rsid w:val="001C3E48"/>
    <w:rsid w:val="001C478F"/>
    <w:rsid w:val="001C493D"/>
    <w:rsid w:val="001C4CE8"/>
    <w:rsid w:val="001C5342"/>
    <w:rsid w:val="001C5F35"/>
    <w:rsid w:val="001C5FE8"/>
    <w:rsid w:val="001C618A"/>
    <w:rsid w:val="001C63D6"/>
    <w:rsid w:val="001C7A5E"/>
    <w:rsid w:val="001C7C51"/>
    <w:rsid w:val="001D06CF"/>
    <w:rsid w:val="001D0AB4"/>
    <w:rsid w:val="001D166B"/>
    <w:rsid w:val="001D16EF"/>
    <w:rsid w:val="001D198E"/>
    <w:rsid w:val="001D2271"/>
    <w:rsid w:val="001D32F6"/>
    <w:rsid w:val="001D3399"/>
    <w:rsid w:val="001D3916"/>
    <w:rsid w:val="001D3ACA"/>
    <w:rsid w:val="001D43AA"/>
    <w:rsid w:val="001D459A"/>
    <w:rsid w:val="001D4708"/>
    <w:rsid w:val="001D4C3A"/>
    <w:rsid w:val="001D52E5"/>
    <w:rsid w:val="001D546F"/>
    <w:rsid w:val="001D5E4D"/>
    <w:rsid w:val="001D5E6E"/>
    <w:rsid w:val="001D5E77"/>
    <w:rsid w:val="001D640C"/>
    <w:rsid w:val="001D6773"/>
    <w:rsid w:val="001D6782"/>
    <w:rsid w:val="001D6B4F"/>
    <w:rsid w:val="001D6D60"/>
    <w:rsid w:val="001D70E4"/>
    <w:rsid w:val="001D75A4"/>
    <w:rsid w:val="001D75CC"/>
    <w:rsid w:val="001D7888"/>
    <w:rsid w:val="001D7C1E"/>
    <w:rsid w:val="001E00AD"/>
    <w:rsid w:val="001E01FD"/>
    <w:rsid w:val="001E02E3"/>
    <w:rsid w:val="001E07EB"/>
    <w:rsid w:val="001E0908"/>
    <w:rsid w:val="001E0D3F"/>
    <w:rsid w:val="001E0F42"/>
    <w:rsid w:val="001E120C"/>
    <w:rsid w:val="001E1278"/>
    <w:rsid w:val="001E1CF1"/>
    <w:rsid w:val="001E230E"/>
    <w:rsid w:val="001E296B"/>
    <w:rsid w:val="001E2A8D"/>
    <w:rsid w:val="001E341F"/>
    <w:rsid w:val="001E34BC"/>
    <w:rsid w:val="001E3693"/>
    <w:rsid w:val="001E3945"/>
    <w:rsid w:val="001E3A99"/>
    <w:rsid w:val="001E421E"/>
    <w:rsid w:val="001E42E2"/>
    <w:rsid w:val="001E483E"/>
    <w:rsid w:val="001E4B5B"/>
    <w:rsid w:val="001E52FB"/>
    <w:rsid w:val="001E5896"/>
    <w:rsid w:val="001E6071"/>
    <w:rsid w:val="001E66CF"/>
    <w:rsid w:val="001E6D96"/>
    <w:rsid w:val="001E70CC"/>
    <w:rsid w:val="001E70F9"/>
    <w:rsid w:val="001E7340"/>
    <w:rsid w:val="001E7969"/>
    <w:rsid w:val="001E7B09"/>
    <w:rsid w:val="001E7B2E"/>
    <w:rsid w:val="001F0973"/>
    <w:rsid w:val="001F14EE"/>
    <w:rsid w:val="001F2A8D"/>
    <w:rsid w:val="001F3CA0"/>
    <w:rsid w:val="001F3FAE"/>
    <w:rsid w:val="001F406B"/>
    <w:rsid w:val="001F4073"/>
    <w:rsid w:val="001F460C"/>
    <w:rsid w:val="001F46CD"/>
    <w:rsid w:val="001F5020"/>
    <w:rsid w:val="001F5076"/>
    <w:rsid w:val="001F5A70"/>
    <w:rsid w:val="001F5CB8"/>
    <w:rsid w:val="001F6197"/>
    <w:rsid w:val="001F6682"/>
    <w:rsid w:val="00200124"/>
    <w:rsid w:val="00200ED1"/>
    <w:rsid w:val="002016B5"/>
    <w:rsid w:val="0020206C"/>
    <w:rsid w:val="00202B65"/>
    <w:rsid w:val="0020374F"/>
    <w:rsid w:val="00203A23"/>
    <w:rsid w:val="00204135"/>
    <w:rsid w:val="0020413C"/>
    <w:rsid w:val="00204297"/>
    <w:rsid w:val="00204826"/>
    <w:rsid w:val="00204C8D"/>
    <w:rsid w:val="00204D6A"/>
    <w:rsid w:val="00205071"/>
    <w:rsid w:val="00205B12"/>
    <w:rsid w:val="00205EEB"/>
    <w:rsid w:val="00205F78"/>
    <w:rsid w:val="00206328"/>
    <w:rsid w:val="00206444"/>
    <w:rsid w:val="002066F9"/>
    <w:rsid w:val="00207083"/>
    <w:rsid w:val="00207735"/>
    <w:rsid w:val="00207C33"/>
    <w:rsid w:val="00207D2A"/>
    <w:rsid w:val="0021028D"/>
    <w:rsid w:val="0021061B"/>
    <w:rsid w:val="00210FA0"/>
    <w:rsid w:val="00211008"/>
    <w:rsid w:val="002112BE"/>
    <w:rsid w:val="002114EB"/>
    <w:rsid w:val="002119BB"/>
    <w:rsid w:val="00211C39"/>
    <w:rsid w:val="002125FA"/>
    <w:rsid w:val="00213136"/>
    <w:rsid w:val="0021319E"/>
    <w:rsid w:val="00213A6A"/>
    <w:rsid w:val="002143E4"/>
    <w:rsid w:val="002144D1"/>
    <w:rsid w:val="00214541"/>
    <w:rsid w:val="002149B9"/>
    <w:rsid w:val="00214B63"/>
    <w:rsid w:val="00214DE1"/>
    <w:rsid w:val="00214E77"/>
    <w:rsid w:val="00214E96"/>
    <w:rsid w:val="002160E7"/>
    <w:rsid w:val="00216308"/>
    <w:rsid w:val="00216F70"/>
    <w:rsid w:val="002172D9"/>
    <w:rsid w:val="00217768"/>
    <w:rsid w:val="002201C6"/>
    <w:rsid w:val="0022030B"/>
    <w:rsid w:val="00221424"/>
    <w:rsid w:val="00221510"/>
    <w:rsid w:val="00221C30"/>
    <w:rsid w:val="00222423"/>
    <w:rsid w:val="002227E7"/>
    <w:rsid w:val="00222817"/>
    <w:rsid w:val="00223489"/>
    <w:rsid w:val="00223515"/>
    <w:rsid w:val="00224252"/>
    <w:rsid w:val="002248FD"/>
    <w:rsid w:val="00224982"/>
    <w:rsid w:val="00224E4F"/>
    <w:rsid w:val="00225563"/>
    <w:rsid w:val="00225743"/>
    <w:rsid w:val="002258B1"/>
    <w:rsid w:val="002263B2"/>
    <w:rsid w:val="0022715D"/>
    <w:rsid w:val="002273FA"/>
    <w:rsid w:val="00227642"/>
    <w:rsid w:val="00227A29"/>
    <w:rsid w:val="00227B3D"/>
    <w:rsid w:val="00230FA6"/>
    <w:rsid w:val="002313BA"/>
    <w:rsid w:val="00231969"/>
    <w:rsid w:val="00231D22"/>
    <w:rsid w:val="00232481"/>
    <w:rsid w:val="00232AEB"/>
    <w:rsid w:val="00233179"/>
    <w:rsid w:val="002339AC"/>
    <w:rsid w:val="00234F4E"/>
    <w:rsid w:val="002355CB"/>
    <w:rsid w:val="00235B1C"/>
    <w:rsid w:val="00235CFB"/>
    <w:rsid w:val="0023620F"/>
    <w:rsid w:val="00236232"/>
    <w:rsid w:val="00236FBA"/>
    <w:rsid w:val="00236FDD"/>
    <w:rsid w:val="0024023F"/>
    <w:rsid w:val="002402D7"/>
    <w:rsid w:val="002405E2"/>
    <w:rsid w:val="002410D0"/>
    <w:rsid w:val="0024129F"/>
    <w:rsid w:val="002414E2"/>
    <w:rsid w:val="00241949"/>
    <w:rsid w:val="00241C45"/>
    <w:rsid w:val="00242D1C"/>
    <w:rsid w:val="002436D4"/>
    <w:rsid w:val="00243B74"/>
    <w:rsid w:val="00243BF6"/>
    <w:rsid w:val="00244454"/>
    <w:rsid w:val="00244E76"/>
    <w:rsid w:val="00245A53"/>
    <w:rsid w:val="00245CD1"/>
    <w:rsid w:val="00246188"/>
    <w:rsid w:val="002462AC"/>
    <w:rsid w:val="00246589"/>
    <w:rsid w:val="002467CD"/>
    <w:rsid w:val="00246C7C"/>
    <w:rsid w:val="00246FB6"/>
    <w:rsid w:val="0025159C"/>
    <w:rsid w:val="00251DFD"/>
    <w:rsid w:val="00252749"/>
    <w:rsid w:val="00252E78"/>
    <w:rsid w:val="00252F6C"/>
    <w:rsid w:val="002530BE"/>
    <w:rsid w:val="00254431"/>
    <w:rsid w:val="002544B1"/>
    <w:rsid w:val="00254797"/>
    <w:rsid w:val="0025481C"/>
    <w:rsid w:val="00254A94"/>
    <w:rsid w:val="00254FBC"/>
    <w:rsid w:val="00255029"/>
    <w:rsid w:val="00255487"/>
    <w:rsid w:val="00255592"/>
    <w:rsid w:val="00255736"/>
    <w:rsid w:val="002559AA"/>
    <w:rsid w:val="00255B77"/>
    <w:rsid w:val="00255D39"/>
    <w:rsid w:val="002563AB"/>
    <w:rsid w:val="002563BA"/>
    <w:rsid w:val="00256907"/>
    <w:rsid w:val="00256B8A"/>
    <w:rsid w:val="002571B0"/>
    <w:rsid w:val="0025750A"/>
    <w:rsid w:val="002575A4"/>
    <w:rsid w:val="00257C96"/>
    <w:rsid w:val="00257F1B"/>
    <w:rsid w:val="0025DC3D"/>
    <w:rsid w:val="00260945"/>
    <w:rsid w:val="00260CFB"/>
    <w:rsid w:val="00260F08"/>
    <w:rsid w:val="0026131B"/>
    <w:rsid w:val="00261697"/>
    <w:rsid w:val="00261BD7"/>
    <w:rsid w:val="0026280A"/>
    <w:rsid w:val="00262BD6"/>
    <w:rsid w:val="0026327A"/>
    <w:rsid w:val="00263673"/>
    <w:rsid w:val="00263809"/>
    <w:rsid w:val="00263B1A"/>
    <w:rsid w:val="00263E50"/>
    <w:rsid w:val="00264475"/>
    <w:rsid w:val="0026452D"/>
    <w:rsid w:val="00264C1C"/>
    <w:rsid w:val="0026551D"/>
    <w:rsid w:val="00265633"/>
    <w:rsid w:val="00265C43"/>
    <w:rsid w:val="0026620E"/>
    <w:rsid w:val="00266837"/>
    <w:rsid w:val="00267DB5"/>
    <w:rsid w:val="00267E0C"/>
    <w:rsid w:val="00270282"/>
    <w:rsid w:val="002707AE"/>
    <w:rsid w:val="0027086A"/>
    <w:rsid w:val="002709AE"/>
    <w:rsid w:val="00270AC2"/>
    <w:rsid w:val="00270C5A"/>
    <w:rsid w:val="00270E40"/>
    <w:rsid w:val="002710AA"/>
    <w:rsid w:val="0027163B"/>
    <w:rsid w:val="002720A2"/>
    <w:rsid w:val="00272ACA"/>
    <w:rsid w:val="00273204"/>
    <w:rsid w:val="00273882"/>
    <w:rsid w:val="002739B5"/>
    <w:rsid w:val="002744F7"/>
    <w:rsid w:val="002748E8"/>
    <w:rsid w:val="00274C8D"/>
    <w:rsid w:val="0027571F"/>
    <w:rsid w:val="00275C58"/>
    <w:rsid w:val="0027679B"/>
    <w:rsid w:val="00276A41"/>
    <w:rsid w:val="00276CAB"/>
    <w:rsid w:val="00276E50"/>
    <w:rsid w:val="00276F76"/>
    <w:rsid w:val="00277296"/>
    <w:rsid w:val="002775FF"/>
    <w:rsid w:val="00277A24"/>
    <w:rsid w:val="00277E4E"/>
    <w:rsid w:val="00277F48"/>
    <w:rsid w:val="002800B8"/>
    <w:rsid w:val="00280E21"/>
    <w:rsid w:val="00280F46"/>
    <w:rsid w:val="0028179D"/>
    <w:rsid w:val="00282812"/>
    <w:rsid w:val="00282A01"/>
    <w:rsid w:val="00282BA5"/>
    <w:rsid w:val="00282F7A"/>
    <w:rsid w:val="00283216"/>
    <w:rsid w:val="0028380F"/>
    <w:rsid w:val="00283C79"/>
    <w:rsid w:val="00283F5C"/>
    <w:rsid w:val="002846C1"/>
    <w:rsid w:val="00286102"/>
    <w:rsid w:val="00286620"/>
    <w:rsid w:val="00286FCD"/>
    <w:rsid w:val="00287518"/>
    <w:rsid w:val="002878E5"/>
    <w:rsid w:val="00287FDC"/>
    <w:rsid w:val="00290F5F"/>
    <w:rsid w:val="002918FC"/>
    <w:rsid w:val="0029292F"/>
    <w:rsid w:val="00293780"/>
    <w:rsid w:val="00293EC7"/>
    <w:rsid w:val="002940AA"/>
    <w:rsid w:val="00294241"/>
    <w:rsid w:val="00295009"/>
    <w:rsid w:val="00295114"/>
    <w:rsid w:val="00295640"/>
    <w:rsid w:val="00295981"/>
    <w:rsid w:val="00295CBF"/>
    <w:rsid w:val="00295E52"/>
    <w:rsid w:val="00296AD9"/>
    <w:rsid w:val="00296B95"/>
    <w:rsid w:val="00296EBD"/>
    <w:rsid w:val="00297C32"/>
    <w:rsid w:val="00297E23"/>
    <w:rsid w:val="002A0541"/>
    <w:rsid w:val="002A0927"/>
    <w:rsid w:val="002A0B2F"/>
    <w:rsid w:val="002A0CEC"/>
    <w:rsid w:val="002A152B"/>
    <w:rsid w:val="002A1FC7"/>
    <w:rsid w:val="002A2234"/>
    <w:rsid w:val="002A314C"/>
    <w:rsid w:val="002A35D1"/>
    <w:rsid w:val="002A3685"/>
    <w:rsid w:val="002A443D"/>
    <w:rsid w:val="002A447C"/>
    <w:rsid w:val="002A4CAC"/>
    <w:rsid w:val="002A5135"/>
    <w:rsid w:val="002A5484"/>
    <w:rsid w:val="002A5A5A"/>
    <w:rsid w:val="002A6109"/>
    <w:rsid w:val="002A62C5"/>
    <w:rsid w:val="002A6803"/>
    <w:rsid w:val="002B066D"/>
    <w:rsid w:val="002B0FAC"/>
    <w:rsid w:val="002B1269"/>
    <w:rsid w:val="002B1689"/>
    <w:rsid w:val="002B20D1"/>
    <w:rsid w:val="002B281E"/>
    <w:rsid w:val="002B343A"/>
    <w:rsid w:val="002B3721"/>
    <w:rsid w:val="002B3B5A"/>
    <w:rsid w:val="002B3FF5"/>
    <w:rsid w:val="002B416E"/>
    <w:rsid w:val="002B469E"/>
    <w:rsid w:val="002B48C5"/>
    <w:rsid w:val="002B4DC7"/>
    <w:rsid w:val="002B5C6A"/>
    <w:rsid w:val="002B62DD"/>
    <w:rsid w:val="002B70B5"/>
    <w:rsid w:val="002B74F7"/>
    <w:rsid w:val="002B779A"/>
    <w:rsid w:val="002B7BAE"/>
    <w:rsid w:val="002B7E4E"/>
    <w:rsid w:val="002C0776"/>
    <w:rsid w:val="002C0AFA"/>
    <w:rsid w:val="002C1433"/>
    <w:rsid w:val="002C1933"/>
    <w:rsid w:val="002C21B8"/>
    <w:rsid w:val="002C235A"/>
    <w:rsid w:val="002C294A"/>
    <w:rsid w:val="002C2C2B"/>
    <w:rsid w:val="002C3316"/>
    <w:rsid w:val="002C3A8C"/>
    <w:rsid w:val="002C3AAB"/>
    <w:rsid w:val="002C3ECD"/>
    <w:rsid w:val="002C4534"/>
    <w:rsid w:val="002C4E04"/>
    <w:rsid w:val="002C5524"/>
    <w:rsid w:val="002C5605"/>
    <w:rsid w:val="002C60E5"/>
    <w:rsid w:val="002C6706"/>
    <w:rsid w:val="002C69B2"/>
    <w:rsid w:val="002C7AA8"/>
    <w:rsid w:val="002C7F0B"/>
    <w:rsid w:val="002D1496"/>
    <w:rsid w:val="002D1629"/>
    <w:rsid w:val="002D1634"/>
    <w:rsid w:val="002D1ED1"/>
    <w:rsid w:val="002D2A79"/>
    <w:rsid w:val="002D2F1A"/>
    <w:rsid w:val="002D3349"/>
    <w:rsid w:val="002D359B"/>
    <w:rsid w:val="002D3801"/>
    <w:rsid w:val="002D3AEE"/>
    <w:rsid w:val="002D433B"/>
    <w:rsid w:val="002D49EB"/>
    <w:rsid w:val="002D4C0E"/>
    <w:rsid w:val="002D50A2"/>
    <w:rsid w:val="002D58C9"/>
    <w:rsid w:val="002D5C93"/>
    <w:rsid w:val="002D5EDB"/>
    <w:rsid w:val="002D630E"/>
    <w:rsid w:val="002D6BAD"/>
    <w:rsid w:val="002D6D6F"/>
    <w:rsid w:val="002D6D89"/>
    <w:rsid w:val="002D7224"/>
    <w:rsid w:val="002D74C2"/>
    <w:rsid w:val="002D7930"/>
    <w:rsid w:val="002D7BA3"/>
    <w:rsid w:val="002E06E6"/>
    <w:rsid w:val="002E0A91"/>
    <w:rsid w:val="002E2133"/>
    <w:rsid w:val="002E2956"/>
    <w:rsid w:val="002E2B72"/>
    <w:rsid w:val="002E342E"/>
    <w:rsid w:val="002E37F0"/>
    <w:rsid w:val="002E38D8"/>
    <w:rsid w:val="002E40D4"/>
    <w:rsid w:val="002E42AB"/>
    <w:rsid w:val="002E5142"/>
    <w:rsid w:val="002E5435"/>
    <w:rsid w:val="002E54A9"/>
    <w:rsid w:val="002E5B79"/>
    <w:rsid w:val="002E5EF7"/>
    <w:rsid w:val="002E6224"/>
    <w:rsid w:val="002E6314"/>
    <w:rsid w:val="002E665E"/>
    <w:rsid w:val="002E678B"/>
    <w:rsid w:val="002E6B4F"/>
    <w:rsid w:val="002E6F34"/>
    <w:rsid w:val="002E74AD"/>
    <w:rsid w:val="002E7D11"/>
    <w:rsid w:val="002F0A45"/>
    <w:rsid w:val="002F3359"/>
    <w:rsid w:val="002F4816"/>
    <w:rsid w:val="002F49AD"/>
    <w:rsid w:val="002F4EF6"/>
    <w:rsid w:val="002F5717"/>
    <w:rsid w:val="002F571D"/>
    <w:rsid w:val="002F57B1"/>
    <w:rsid w:val="002F57D2"/>
    <w:rsid w:val="002F58F1"/>
    <w:rsid w:val="002F5BE4"/>
    <w:rsid w:val="002F5DE2"/>
    <w:rsid w:val="002F5F84"/>
    <w:rsid w:val="002F6271"/>
    <w:rsid w:val="002F6373"/>
    <w:rsid w:val="002F6A37"/>
    <w:rsid w:val="002F6AA6"/>
    <w:rsid w:val="002F6AC3"/>
    <w:rsid w:val="002F755D"/>
    <w:rsid w:val="002F7791"/>
    <w:rsid w:val="0030041C"/>
    <w:rsid w:val="00300FA4"/>
    <w:rsid w:val="00301169"/>
    <w:rsid w:val="003017E2"/>
    <w:rsid w:val="00301F0A"/>
    <w:rsid w:val="003033DA"/>
    <w:rsid w:val="003037D0"/>
    <w:rsid w:val="00303C23"/>
    <w:rsid w:val="00303D26"/>
    <w:rsid w:val="0030438C"/>
    <w:rsid w:val="003049F2"/>
    <w:rsid w:val="003058F9"/>
    <w:rsid w:val="003061B6"/>
    <w:rsid w:val="00306678"/>
    <w:rsid w:val="0030682D"/>
    <w:rsid w:val="00307740"/>
    <w:rsid w:val="00310380"/>
    <w:rsid w:val="00310478"/>
    <w:rsid w:val="00310AE4"/>
    <w:rsid w:val="00310F47"/>
    <w:rsid w:val="00312100"/>
    <w:rsid w:val="00312DF2"/>
    <w:rsid w:val="00313790"/>
    <w:rsid w:val="00313B42"/>
    <w:rsid w:val="00313BD2"/>
    <w:rsid w:val="00314AD0"/>
    <w:rsid w:val="00314FF6"/>
    <w:rsid w:val="00315208"/>
    <w:rsid w:val="00315E3B"/>
    <w:rsid w:val="00316380"/>
    <w:rsid w:val="003168A1"/>
    <w:rsid w:val="00316A9E"/>
    <w:rsid w:val="00316C22"/>
    <w:rsid w:val="0031753D"/>
    <w:rsid w:val="00317B3F"/>
    <w:rsid w:val="00317B50"/>
    <w:rsid w:val="0032047E"/>
    <w:rsid w:val="0032169C"/>
    <w:rsid w:val="00321745"/>
    <w:rsid w:val="003219DF"/>
    <w:rsid w:val="00321B6D"/>
    <w:rsid w:val="00321D35"/>
    <w:rsid w:val="00321EEC"/>
    <w:rsid w:val="00322009"/>
    <w:rsid w:val="00322095"/>
    <w:rsid w:val="00322B50"/>
    <w:rsid w:val="00322D49"/>
    <w:rsid w:val="00323281"/>
    <w:rsid w:val="0032331B"/>
    <w:rsid w:val="00323359"/>
    <w:rsid w:val="0032341D"/>
    <w:rsid w:val="00323448"/>
    <w:rsid w:val="00323C51"/>
    <w:rsid w:val="0032405E"/>
    <w:rsid w:val="003249EC"/>
    <w:rsid w:val="00324BEC"/>
    <w:rsid w:val="0032640F"/>
    <w:rsid w:val="00327908"/>
    <w:rsid w:val="00327968"/>
    <w:rsid w:val="00330D5E"/>
    <w:rsid w:val="00331283"/>
    <w:rsid w:val="00331C8F"/>
    <w:rsid w:val="00331CA1"/>
    <w:rsid w:val="0033239B"/>
    <w:rsid w:val="003323C1"/>
    <w:rsid w:val="003326F5"/>
    <w:rsid w:val="003327CC"/>
    <w:rsid w:val="00332AF8"/>
    <w:rsid w:val="003334A7"/>
    <w:rsid w:val="00333E78"/>
    <w:rsid w:val="003340F7"/>
    <w:rsid w:val="00334453"/>
    <w:rsid w:val="0033449E"/>
    <w:rsid w:val="00334AA4"/>
    <w:rsid w:val="00334B3A"/>
    <w:rsid w:val="003354E7"/>
    <w:rsid w:val="003370BD"/>
    <w:rsid w:val="00337573"/>
    <w:rsid w:val="00337694"/>
    <w:rsid w:val="00337767"/>
    <w:rsid w:val="00337890"/>
    <w:rsid w:val="003378BD"/>
    <w:rsid w:val="00337EAD"/>
    <w:rsid w:val="00340285"/>
    <w:rsid w:val="00340BA0"/>
    <w:rsid w:val="00341066"/>
    <w:rsid w:val="00341097"/>
    <w:rsid w:val="00341EF0"/>
    <w:rsid w:val="00342500"/>
    <w:rsid w:val="0034279C"/>
    <w:rsid w:val="00342A8C"/>
    <w:rsid w:val="00343BDB"/>
    <w:rsid w:val="00344469"/>
    <w:rsid w:val="00345152"/>
    <w:rsid w:val="0034520D"/>
    <w:rsid w:val="003459FC"/>
    <w:rsid w:val="00345B79"/>
    <w:rsid w:val="00346048"/>
    <w:rsid w:val="003461F5"/>
    <w:rsid w:val="003464C1"/>
    <w:rsid w:val="003472F9"/>
    <w:rsid w:val="0034753E"/>
    <w:rsid w:val="00347617"/>
    <w:rsid w:val="00347C7A"/>
    <w:rsid w:val="003509C0"/>
    <w:rsid w:val="00350E0F"/>
    <w:rsid w:val="00351003"/>
    <w:rsid w:val="0035129A"/>
    <w:rsid w:val="00351922"/>
    <w:rsid w:val="003525D1"/>
    <w:rsid w:val="0035269A"/>
    <w:rsid w:val="00352F82"/>
    <w:rsid w:val="0035481B"/>
    <w:rsid w:val="0035501B"/>
    <w:rsid w:val="00355903"/>
    <w:rsid w:val="00355A0B"/>
    <w:rsid w:val="00355E0A"/>
    <w:rsid w:val="00356A63"/>
    <w:rsid w:val="00356B38"/>
    <w:rsid w:val="0035706B"/>
    <w:rsid w:val="00357DB1"/>
    <w:rsid w:val="00360683"/>
    <w:rsid w:val="00360AFE"/>
    <w:rsid w:val="00361161"/>
    <w:rsid w:val="003617FF"/>
    <w:rsid w:val="00361847"/>
    <w:rsid w:val="0036246E"/>
    <w:rsid w:val="003626EA"/>
    <w:rsid w:val="00362C3C"/>
    <w:rsid w:val="00362FE9"/>
    <w:rsid w:val="00364203"/>
    <w:rsid w:val="003648C7"/>
    <w:rsid w:val="003650B1"/>
    <w:rsid w:val="00365257"/>
    <w:rsid w:val="00365F7A"/>
    <w:rsid w:val="0036736D"/>
    <w:rsid w:val="00367453"/>
    <w:rsid w:val="00367B21"/>
    <w:rsid w:val="00370CC1"/>
    <w:rsid w:val="0037118B"/>
    <w:rsid w:val="00371945"/>
    <w:rsid w:val="00371F33"/>
    <w:rsid w:val="00372023"/>
    <w:rsid w:val="00372BAA"/>
    <w:rsid w:val="003733FC"/>
    <w:rsid w:val="0037353E"/>
    <w:rsid w:val="00373EF9"/>
    <w:rsid w:val="00373F0E"/>
    <w:rsid w:val="00374132"/>
    <w:rsid w:val="0037432E"/>
    <w:rsid w:val="003745C2"/>
    <w:rsid w:val="003750DB"/>
    <w:rsid w:val="00375205"/>
    <w:rsid w:val="00375C06"/>
    <w:rsid w:val="003763ED"/>
    <w:rsid w:val="0037763D"/>
    <w:rsid w:val="003777F2"/>
    <w:rsid w:val="0037784F"/>
    <w:rsid w:val="00377879"/>
    <w:rsid w:val="00377E20"/>
    <w:rsid w:val="00377F52"/>
    <w:rsid w:val="00380074"/>
    <w:rsid w:val="00380314"/>
    <w:rsid w:val="00380538"/>
    <w:rsid w:val="00380740"/>
    <w:rsid w:val="00381F56"/>
    <w:rsid w:val="003820DA"/>
    <w:rsid w:val="00382885"/>
    <w:rsid w:val="00382B2D"/>
    <w:rsid w:val="00382D48"/>
    <w:rsid w:val="00383C44"/>
    <w:rsid w:val="00384194"/>
    <w:rsid w:val="0038434F"/>
    <w:rsid w:val="003857BB"/>
    <w:rsid w:val="00385AC1"/>
    <w:rsid w:val="003862A4"/>
    <w:rsid w:val="0038654E"/>
    <w:rsid w:val="0038666B"/>
    <w:rsid w:val="003876C0"/>
    <w:rsid w:val="00387739"/>
    <w:rsid w:val="00387C0C"/>
    <w:rsid w:val="00387C3F"/>
    <w:rsid w:val="00387DA1"/>
    <w:rsid w:val="00390001"/>
    <w:rsid w:val="0039055F"/>
    <w:rsid w:val="00390A11"/>
    <w:rsid w:val="00390BB2"/>
    <w:rsid w:val="003912D6"/>
    <w:rsid w:val="0039163B"/>
    <w:rsid w:val="00391B5E"/>
    <w:rsid w:val="003927AE"/>
    <w:rsid w:val="00393234"/>
    <w:rsid w:val="003935E6"/>
    <w:rsid w:val="003936D4"/>
    <w:rsid w:val="003943C9"/>
    <w:rsid w:val="0039457A"/>
    <w:rsid w:val="00394721"/>
    <w:rsid w:val="00394AB7"/>
    <w:rsid w:val="00394FD4"/>
    <w:rsid w:val="00395385"/>
    <w:rsid w:val="00395B54"/>
    <w:rsid w:val="00395D1F"/>
    <w:rsid w:val="00395E22"/>
    <w:rsid w:val="003966E0"/>
    <w:rsid w:val="003969A7"/>
    <w:rsid w:val="00396CEC"/>
    <w:rsid w:val="00397184"/>
    <w:rsid w:val="0039790E"/>
    <w:rsid w:val="003979A1"/>
    <w:rsid w:val="003979A6"/>
    <w:rsid w:val="00397B17"/>
    <w:rsid w:val="00397B40"/>
    <w:rsid w:val="003A019F"/>
    <w:rsid w:val="003A12D3"/>
    <w:rsid w:val="003A17FB"/>
    <w:rsid w:val="003A186C"/>
    <w:rsid w:val="003A1AF3"/>
    <w:rsid w:val="003A2006"/>
    <w:rsid w:val="003A202B"/>
    <w:rsid w:val="003A2525"/>
    <w:rsid w:val="003A253F"/>
    <w:rsid w:val="003A258F"/>
    <w:rsid w:val="003A2614"/>
    <w:rsid w:val="003A26FB"/>
    <w:rsid w:val="003A2CA7"/>
    <w:rsid w:val="003A2D48"/>
    <w:rsid w:val="003A308D"/>
    <w:rsid w:val="003A325A"/>
    <w:rsid w:val="003A356E"/>
    <w:rsid w:val="003A3CDC"/>
    <w:rsid w:val="003A3E0D"/>
    <w:rsid w:val="003A3E4D"/>
    <w:rsid w:val="003A43CF"/>
    <w:rsid w:val="003A4CE0"/>
    <w:rsid w:val="003A52CA"/>
    <w:rsid w:val="003A5359"/>
    <w:rsid w:val="003A5CD2"/>
    <w:rsid w:val="003A6201"/>
    <w:rsid w:val="003A6452"/>
    <w:rsid w:val="003A6C2B"/>
    <w:rsid w:val="003A71C5"/>
    <w:rsid w:val="003A79B6"/>
    <w:rsid w:val="003A7BCF"/>
    <w:rsid w:val="003A7E04"/>
    <w:rsid w:val="003B0E6C"/>
    <w:rsid w:val="003B0F7B"/>
    <w:rsid w:val="003B1596"/>
    <w:rsid w:val="003B187F"/>
    <w:rsid w:val="003B1915"/>
    <w:rsid w:val="003B2440"/>
    <w:rsid w:val="003B24C1"/>
    <w:rsid w:val="003B2A0F"/>
    <w:rsid w:val="003B2A28"/>
    <w:rsid w:val="003B379F"/>
    <w:rsid w:val="003B3D5F"/>
    <w:rsid w:val="003B3F1F"/>
    <w:rsid w:val="003B3F8C"/>
    <w:rsid w:val="003B400C"/>
    <w:rsid w:val="003B463E"/>
    <w:rsid w:val="003B47BD"/>
    <w:rsid w:val="003B5646"/>
    <w:rsid w:val="003B5664"/>
    <w:rsid w:val="003B5A9F"/>
    <w:rsid w:val="003B5D3D"/>
    <w:rsid w:val="003B5E96"/>
    <w:rsid w:val="003B5F1C"/>
    <w:rsid w:val="003B5FC5"/>
    <w:rsid w:val="003B60EA"/>
    <w:rsid w:val="003B6728"/>
    <w:rsid w:val="003B696D"/>
    <w:rsid w:val="003B69AF"/>
    <w:rsid w:val="003B6E90"/>
    <w:rsid w:val="003B7220"/>
    <w:rsid w:val="003B7400"/>
    <w:rsid w:val="003B7E69"/>
    <w:rsid w:val="003B7F46"/>
    <w:rsid w:val="003C01BD"/>
    <w:rsid w:val="003C0494"/>
    <w:rsid w:val="003C0C45"/>
    <w:rsid w:val="003C1BF5"/>
    <w:rsid w:val="003C29D0"/>
    <w:rsid w:val="003C391C"/>
    <w:rsid w:val="003C4216"/>
    <w:rsid w:val="003C48FC"/>
    <w:rsid w:val="003C49E8"/>
    <w:rsid w:val="003C4BBB"/>
    <w:rsid w:val="003C5014"/>
    <w:rsid w:val="003C52CC"/>
    <w:rsid w:val="003C57E2"/>
    <w:rsid w:val="003C6405"/>
    <w:rsid w:val="003C6B8E"/>
    <w:rsid w:val="003C76AE"/>
    <w:rsid w:val="003D05FA"/>
    <w:rsid w:val="003D1042"/>
    <w:rsid w:val="003D19D5"/>
    <w:rsid w:val="003D1A17"/>
    <w:rsid w:val="003D1CCC"/>
    <w:rsid w:val="003D20CF"/>
    <w:rsid w:val="003D27A3"/>
    <w:rsid w:val="003D2F4E"/>
    <w:rsid w:val="003D32C9"/>
    <w:rsid w:val="003D35BB"/>
    <w:rsid w:val="003D35EA"/>
    <w:rsid w:val="003D39E0"/>
    <w:rsid w:val="003D3FCB"/>
    <w:rsid w:val="003D4133"/>
    <w:rsid w:val="003D4169"/>
    <w:rsid w:val="003D438C"/>
    <w:rsid w:val="003D44DC"/>
    <w:rsid w:val="003D5921"/>
    <w:rsid w:val="003D596E"/>
    <w:rsid w:val="003D5FA1"/>
    <w:rsid w:val="003D63DF"/>
    <w:rsid w:val="003D6604"/>
    <w:rsid w:val="003D7278"/>
    <w:rsid w:val="003D7A9E"/>
    <w:rsid w:val="003D7B05"/>
    <w:rsid w:val="003D7B3A"/>
    <w:rsid w:val="003D7C77"/>
    <w:rsid w:val="003E0658"/>
    <w:rsid w:val="003E0F27"/>
    <w:rsid w:val="003E111E"/>
    <w:rsid w:val="003E214F"/>
    <w:rsid w:val="003E262D"/>
    <w:rsid w:val="003E2CC4"/>
    <w:rsid w:val="003E2D3A"/>
    <w:rsid w:val="003E335A"/>
    <w:rsid w:val="003E354A"/>
    <w:rsid w:val="003E355B"/>
    <w:rsid w:val="003E3D1B"/>
    <w:rsid w:val="003E3D35"/>
    <w:rsid w:val="003E3E56"/>
    <w:rsid w:val="003E45AF"/>
    <w:rsid w:val="003E4B36"/>
    <w:rsid w:val="003E4B43"/>
    <w:rsid w:val="003E4EA6"/>
    <w:rsid w:val="003E55B6"/>
    <w:rsid w:val="003E5A06"/>
    <w:rsid w:val="003E5A1A"/>
    <w:rsid w:val="003E6F62"/>
    <w:rsid w:val="003E75A2"/>
    <w:rsid w:val="003E7D6C"/>
    <w:rsid w:val="003F070D"/>
    <w:rsid w:val="003F080E"/>
    <w:rsid w:val="003F088D"/>
    <w:rsid w:val="003F0A9F"/>
    <w:rsid w:val="003F0DBC"/>
    <w:rsid w:val="003F100D"/>
    <w:rsid w:val="003F12B3"/>
    <w:rsid w:val="003F18DC"/>
    <w:rsid w:val="003F1906"/>
    <w:rsid w:val="003F1A07"/>
    <w:rsid w:val="003F1B56"/>
    <w:rsid w:val="003F2043"/>
    <w:rsid w:val="003F229E"/>
    <w:rsid w:val="003F2C0E"/>
    <w:rsid w:val="003F2EB6"/>
    <w:rsid w:val="003F3044"/>
    <w:rsid w:val="003F32EE"/>
    <w:rsid w:val="003F373B"/>
    <w:rsid w:val="003F38D0"/>
    <w:rsid w:val="003F3E09"/>
    <w:rsid w:val="003F3EC8"/>
    <w:rsid w:val="003F5065"/>
    <w:rsid w:val="003F5090"/>
    <w:rsid w:val="003F5929"/>
    <w:rsid w:val="003F5CD5"/>
    <w:rsid w:val="003F6069"/>
    <w:rsid w:val="003F636C"/>
    <w:rsid w:val="003F6602"/>
    <w:rsid w:val="003F6A49"/>
    <w:rsid w:val="003F71FC"/>
    <w:rsid w:val="003F7665"/>
    <w:rsid w:val="00400611"/>
    <w:rsid w:val="00400CB3"/>
    <w:rsid w:val="00401F95"/>
    <w:rsid w:val="00402354"/>
    <w:rsid w:val="004023FB"/>
    <w:rsid w:val="0040258D"/>
    <w:rsid w:val="004026C7"/>
    <w:rsid w:val="00402D39"/>
    <w:rsid w:val="00403282"/>
    <w:rsid w:val="004037AC"/>
    <w:rsid w:val="00404A26"/>
    <w:rsid w:val="00404ECD"/>
    <w:rsid w:val="00404F8E"/>
    <w:rsid w:val="004053D6"/>
    <w:rsid w:val="00405868"/>
    <w:rsid w:val="00405D82"/>
    <w:rsid w:val="00405E70"/>
    <w:rsid w:val="004061A4"/>
    <w:rsid w:val="0040652F"/>
    <w:rsid w:val="00406C30"/>
    <w:rsid w:val="004072EA"/>
    <w:rsid w:val="00407396"/>
    <w:rsid w:val="00410BFE"/>
    <w:rsid w:val="00410E9C"/>
    <w:rsid w:val="004118A0"/>
    <w:rsid w:val="0041222C"/>
    <w:rsid w:val="004122E2"/>
    <w:rsid w:val="00414006"/>
    <w:rsid w:val="004142AB"/>
    <w:rsid w:val="0041502A"/>
    <w:rsid w:val="00415DEA"/>
    <w:rsid w:val="00415E97"/>
    <w:rsid w:val="004167C2"/>
    <w:rsid w:val="00416881"/>
    <w:rsid w:val="004168F5"/>
    <w:rsid w:val="00416B4E"/>
    <w:rsid w:val="0041757E"/>
    <w:rsid w:val="004175D1"/>
    <w:rsid w:val="004178F8"/>
    <w:rsid w:val="00417B24"/>
    <w:rsid w:val="00417DF1"/>
    <w:rsid w:val="0042006C"/>
    <w:rsid w:val="00420274"/>
    <w:rsid w:val="0042111C"/>
    <w:rsid w:val="0042134B"/>
    <w:rsid w:val="004214FD"/>
    <w:rsid w:val="004218CE"/>
    <w:rsid w:val="00421A5C"/>
    <w:rsid w:val="00421CBD"/>
    <w:rsid w:val="0042260C"/>
    <w:rsid w:val="00422A97"/>
    <w:rsid w:val="00423C51"/>
    <w:rsid w:val="00423EA3"/>
    <w:rsid w:val="00423ECF"/>
    <w:rsid w:val="00424897"/>
    <w:rsid w:val="00424C11"/>
    <w:rsid w:val="004252E8"/>
    <w:rsid w:val="004253AA"/>
    <w:rsid w:val="00426029"/>
    <w:rsid w:val="0042624E"/>
    <w:rsid w:val="004264D1"/>
    <w:rsid w:val="004264D9"/>
    <w:rsid w:val="00426F3E"/>
    <w:rsid w:val="0042724F"/>
    <w:rsid w:val="00427540"/>
    <w:rsid w:val="0042754F"/>
    <w:rsid w:val="004277E8"/>
    <w:rsid w:val="0043099C"/>
    <w:rsid w:val="00431508"/>
    <w:rsid w:val="00432A9C"/>
    <w:rsid w:val="00432ED3"/>
    <w:rsid w:val="00432F07"/>
    <w:rsid w:val="004330C1"/>
    <w:rsid w:val="004332AF"/>
    <w:rsid w:val="004338F5"/>
    <w:rsid w:val="00433FEC"/>
    <w:rsid w:val="00434438"/>
    <w:rsid w:val="00434A71"/>
    <w:rsid w:val="0043566E"/>
    <w:rsid w:val="00435C6B"/>
    <w:rsid w:val="00435FAC"/>
    <w:rsid w:val="00437D90"/>
    <w:rsid w:val="0044025F"/>
    <w:rsid w:val="004404F8"/>
    <w:rsid w:val="00440548"/>
    <w:rsid w:val="00440D19"/>
    <w:rsid w:val="004411CD"/>
    <w:rsid w:val="00441363"/>
    <w:rsid w:val="004418D0"/>
    <w:rsid w:val="00441B0D"/>
    <w:rsid w:val="00441D08"/>
    <w:rsid w:val="00442A30"/>
    <w:rsid w:val="00442D3C"/>
    <w:rsid w:val="0044323E"/>
    <w:rsid w:val="00443753"/>
    <w:rsid w:val="0044400F"/>
    <w:rsid w:val="0044528B"/>
    <w:rsid w:val="00445374"/>
    <w:rsid w:val="00445895"/>
    <w:rsid w:val="00445EF0"/>
    <w:rsid w:val="0044713D"/>
    <w:rsid w:val="004473B7"/>
    <w:rsid w:val="004478CF"/>
    <w:rsid w:val="004479C4"/>
    <w:rsid w:val="00450473"/>
    <w:rsid w:val="004506CB"/>
    <w:rsid w:val="004508B5"/>
    <w:rsid w:val="00450CD4"/>
    <w:rsid w:val="00450FC0"/>
    <w:rsid w:val="004512C7"/>
    <w:rsid w:val="00451B25"/>
    <w:rsid w:val="00451F9A"/>
    <w:rsid w:val="004520BF"/>
    <w:rsid w:val="004534A8"/>
    <w:rsid w:val="004540C8"/>
    <w:rsid w:val="0045449C"/>
    <w:rsid w:val="00455456"/>
    <w:rsid w:val="004559E3"/>
    <w:rsid w:val="004567A3"/>
    <w:rsid w:val="00456A91"/>
    <w:rsid w:val="00456B8D"/>
    <w:rsid w:val="00457189"/>
    <w:rsid w:val="004576E4"/>
    <w:rsid w:val="00460606"/>
    <w:rsid w:val="00460989"/>
    <w:rsid w:val="00460B1B"/>
    <w:rsid w:val="00460CFE"/>
    <w:rsid w:val="00461A02"/>
    <w:rsid w:val="004621A5"/>
    <w:rsid w:val="004621D4"/>
    <w:rsid w:val="00462CD6"/>
    <w:rsid w:val="00462F72"/>
    <w:rsid w:val="004630F7"/>
    <w:rsid w:val="004632D1"/>
    <w:rsid w:val="004634E5"/>
    <w:rsid w:val="00463A3A"/>
    <w:rsid w:val="00463C2B"/>
    <w:rsid w:val="0046423B"/>
    <w:rsid w:val="00464379"/>
    <w:rsid w:val="00464872"/>
    <w:rsid w:val="00464987"/>
    <w:rsid w:val="00464FA5"/>
    <w:rsid w:val="0046507A"/>
    <w:rsid w:val="0046508B"/>
    <w:rsid w:val="004655AD"/>
    <w:rsid w:val="00465EE4"/>
    <w:rsid w:val="0046608F"/>
    <w:rsid w:val="00466138"/>
    <w:rsid w:val="00466264"/>
    <w:rsid w:val="00467100"/>
    <w:rsid w:val="004671FF"/>
    <w:rsid w:val="0046753C"/>
    <w:rsid w:val="00467622"/>
    <w:rsid w:val="00467D82"/>
    <w:rsid w:val="00467E51"/>
    <w:rsid w:val="004701D7"/>
    <w:rsid w:val="00470D43"/>
    <w:rsid w:val="00471176"/>
    <w:rsid w:val="00471477"/>
    <w:rsid w:val="00471689"/>
    <w:rsid w:val="00472CFF"/>
    <w:rsid w:val="00472D2E"/>
    <w:rsid w:val="00472EE3"/>
    <w:rsid w:val="00472EF2"/>
    <w:rsid w:val="0047338C"/>
    <w:rsid w:val="00473400"/>
    <w:rsid w:val="0047354B"/>
    <w:rsid w:val="004737B2"/>
    <w:rsid w:val="00473876"/>
    <w:rsid w:val="0047455F"/>
    <w:rsid w:val="00474EF8"/>
    <w:rsid w:val="004752F9"/>
    <w:rsid w:val="00475CAB"/>
    <w:rsid w:val="004766AC"/>
    <w:rsid w:val="004767B9"/>
    <w:rsid w:val="00476834"/>
    <w:rsid w:val="00476E8D"/>
    <w:rsid w:val="00477889"/>
    <w:rsid w:val="00477A5D"/>
    <w:rsid w:val="004800D0"/>
    <w:rsid w:val="0048074F"/>
    <w:rsid w:val="00480BC7"/>
    <w:rsid w:val="00480E9E"/>
    <w:rsid w:val="004812A1"/>
    <w:rsid w:val="004817F6"/>
    <w:rsid w:val="004818BC"/>
    <w:rsid w:val="004823D1"/>
    <w:rsid w:val="00482817"/>
    <w:rsid w:val="00483819"/>
    <w:rsid w:val="00483EF1"/>
    <w:rsid w:val="00483FBA"/>
    <w:rsid w:val="0048400A"/>
    <w:rsid w:val="0048437B"/>
    <w:rsid w:val="004846EC"/>
    <w:rsid w:val="0048491D"/>
    <w:rsid w:val="00484C2F"/>
    <w:rsid w:val="004850BE"/>
    <w:rsid w:val="004857AC"/>
    <w:rsid w:val="00485D7D"/>
    <w:rsid w:val="004868BB"/>
    <w:rsid w:val="00486DC0"/>
    <w:rsid w:val="00487953"/>
    <w:rsid w:val="0048795C"/>
    <w:rsid w:val="00487AB6"/>
    <w:rsid w:val="0049007B"/>
    <w:rsid w:val="0049066A"/>
    <w:rsid w:val="00491738"/>
    <w:rsid w:val="00491B07"/>
    <w:rsid w:val="00491BCA"/>
    <w:rsid w:val="00491C66"/>
    <w:rsid w:val="00492336"/>
    <w:rsid w:val="00492D1C"/>
    <w:rsid w:val="00492DB7"/>
    <w:rsid w:val="00492E7A"/>
    <w:rsid w:val="00493227"/>
    <w:rsid w:val="004932D8"/>
    <w:rsid w:val="00493D25"/>
    <w:rsid w:val="00493F26"/>
    <w:rsid w:val="00494193"/>
    <w:rsid w:val="0049474A"/>
    <w:rsid w:val="00494BE5"/>
    <w:rsid w:val="0049658C"/>
    <w:rsid w:val="00496CAB"/>
    <w:rsid w:val="00496D4A"/>
    <w:rsid w:val="00496E3E"/>
    <w:rsid w:val="00497315"/>
    <w:rsid w:val="004A0467"/>
    <w:rsid w:val="004A048D"/>
    <w:rsid w:val="004A0D75"/>
    <w:rsid w:val="004A0D8D"/>
    <w:rsid w:val="004A1D46"/>
    <w:rsid w:val="004A379E"/>
    <w:rsid w:val="004A37AB"/>
    <w:rsid w:val="004A3EE5"/>
    <w:rsid w:val="004A41C6"/>
    <w:rsid w:val="004A451F"/>
    <w:rsid w:val="004A461B"/>
    <w:rsid w:val="004A47CC"/>
    <w:rsid w:val="004A4ABE"/>
    <w:rsid w:val="004A4B30"/>
    <w:rsid w:val="004A4F17"/>
    <w:rsid w:val="004A571D"/>
    <w:rsid w:val="004A59A4"/>
    <w:rsid w:val="004A5D7B"/>
    <w:rsid w:val="004A65E2"/>
    <w:rsid w:val="004B0028"/>
    <w:rsid w:val="004B00DC"/>
    <w:rsid w:val="004B192A"/>
    <w:rsid w:val="004B1EA5"/>
    <w:rsid w:val="004B2D1F"/>
    <w:rsid w:val="004B2EEE"/>
    <w:rsid w:val="004B3825"/>
    <w:rsid w:val="004B3844"/>
    <w:rsid w:val="004B38BB"/>
    <w:rsid w:val="004B4018"/>
    <w:rsid w:val="004B4218"/>
    <w:rsid w:val="004B4419"/>
    <w:rsid w:val="004B4530"/>
    <w:rsid w:val="004B4D55"/>
    <w:rsid w:val="004B4F06"/>
    <w:rsid w:val="004B4F1E"/>
    <w:rsid w:val="004B55A5"/>
    <w:rsid w:val="004B5A61"/>
    <w:rsid w:val="004B7BEB"/>
    <w:rsid w:val="004C079B"/>
    <w:rsid w:val="004C137B"/>
    <w:rsid w:val="004C18D4"/>
    <w:rsid w:val="004C1C45"/>
    <w:rsid w:val="004C1EB7"/>
    <w:rsid w:val="004C2673"/>
    <w:rsid w:val="004C2B6D"/>
    <w:rsid w:val="004C2E88"/>
    <w:rsid w:val="004C3141"/>
    <w:rsid w:val="004C332E"/>
    <w:rsid w:val="004C367B"/>
    <w:rsid w:val="004C3D1F"/>
    <w:rsid w:val="004C3E1F"/>
    <w:rsid w:val="004C3E65"/>
    <w:rsid w:val="004C46C0"/>
    <w:rsid w:val="004C4787"/>
    <w:rsid w:val="004C4F5E"/>
    <w:rsid w:val="004C502C"/>
    <w:rsid w:val="004C5189"/>
    <w:rsid w:val="004C53BC"/>
    <w:rsid w:val="004C5607"/>
    <w:rsid w:val="004C5652"/>
    <w:rsid w:val="004C59FE"/>
    <w:rsid w:val="004C67E2"/>
    <w:rsid w:val="004C67E6"/>
    <w:rsid w:val="004C69A3"/>
    <w:rsid w:val="004C6E51"/>
    <w:rsid w:val="004C7175"/>
    <w:rsid w:val="004C7233"/>
    <w:rsid w:val="004D0BDD"/>
    <w:rsid w:val="004D0C76"/>
    <w:rsid w:val="004D0CEB"/>
    <w:rsid w:val="004D0CF3"/>
    <w:rsid w:val="004D116F"/>
    <w:rsid w:val="004D2001"/>
    <w:rsid w:val="004D2561"/>
    <w:rsid w:val="004D2A4E"/>
    <w:rsid w:val="004D2A9E"/>
    <w:rsid w:val="004D2D90"/>
    <w:rsid w:val="004D3025"/>
    <w:rsid w:val="004D317C"/>
    <w:rsid w:val="004D3228"/>
    <w:rsid w:val="004D4B0B"/>
    <w:rsid w:val="004D5F09"/>
    <w:rsid w:val="004D69AD"/>
    <w:rsid w:val="004D6B1D"/>
    <w:rsid w:val="004D72C0"/>
    <w:rsid w:val="004D79E4"/>
    <w:rsid w:val="004D7B6C"/>
    <w:rsid w:val="004D7F70"/>
    <w:rsid w:val="004E0154"/>
    <w:rsid w:val="004E0781"/>
    <w:rsid w:val="004E0AB0"/>
    <w:rsid w:val="004E0DAD"/>
    <w:rsid w:val="004E16F9"/>
    <w:rsid w:val="004E17C8"/>
    <w:rsid w:val="004E1970"/>
    <w:rsid w:val="004E2014"/>
    <w:rsid w:val="004E2275"/>
    <w:rsid w:val="004E22C8"/>
    <w:rsid w:val="004E32EA"/>
    <w:rsid w:val="004E3390"/>
    <w:rsid w:val="004E3A05"/>
    <w:rsid w:val="004E3C37"/>
    <w:rsid w:val="004E3E97"/>
    <w:rsid w:val="004E3FB9"/>
    <w:rsid w:val="004E4414"/>
    <w:rsid w:val="004E4BFE"/>
    <w:rsid w:val="004E4EB6"/>
    <w:rsid w:val="004E5990"/>
    <w:rsid w:val="004E5FBB"/>
    <w:rsid w:val="004E6073"/>
    <w:rsid w:val="004E6B5F"/>
    <w:rsid w:val="004E6C6C"/>
    <w:rsid w:val="004E6CCF"/>
    <w:rsid w:val="004E729A"/>
    <w:rsid w:val="004E74A0"/>
    <w:rsid w:val="004E7856"/>
    <w:rsid w:val="004E7F0A"/>
    <w:rsid w:val="004E7F7D"/>
    <w:rsid w:val="004F086D"/>
    <w:rsid w:val="004F0BB4"/>
    <w:rsid w:val="004F1CD0"/>
    <w:rsid w:val="004F26B8"/>
    <w:rsid w:val="004F2FAC"/>
    <w:rsid w:val="004F30B7"/>
    <w:rsid w:val="004F397C"/>
    <w:rsid w:val="004F3FA7"/>
    <w:rsid w:val="004F47B7"/>
    <w:rsid w:val="004F51B3"/>
    <w:rsid w:val="004F58E5"/>
    <w:rsid w:val="004F5A14"/>
    <w:rsid w:val="004F62D1"/>
    <w:rsid w:val="004F65C0"/>
    <w:rsid w:val="004F68B2"/>
    <w:rsid w:val="004F6DB8"/>
    <w:rsid w:val="004F788C"/>
    <w:rsid w:val="004F7CFC"/>
    <w:rsid w:val="004F7D42"/>
    <w:rsid w:val="004F7DF1"/>
    <w:rsid w:val="0050041D"/>
    <w:rsid w:val="00501445"/>
    <w:rsid w:val="005019AA"/>
    <w:rsid w:val="00501D9F"/>
    <w:rsid w:val="00502930"/>
    <w:rsid w:val="00502948"/>
    <w:rsid w:val="00502F67"/>
    <w:rsid w:val="00503452"/>
    <w:rsid w:val="00503AD6"/>
    <w:rsid w:val="00504254"/>
    <w:rsid w:val="00504EAC"/>
    <w:rsid w:val="005053CA"/>
    <w:rsid w:val="00505918"/>
    <w:rsid w:val="00505B36"/>
    <w:rsid w:val="00506916"/>
    <w:rsid w:val="005070AF"/>
    <w:rsid w:val="00510262"/>
    <w:rsid w:val="00510994"/>
    <w:rsid w:val="005109B2"/>
    <w:rsid w:val="00510C41"/>
    <w:rsid w:val="005110AA"/>
    <w:rsid w:val="005112EB"/>
    <w:rsid w:val="005114F2"/>
    <w:rsid w:val="0051150D"/>
    <w:rsid w:val="00511690"/>
    <w:rsid w:val="00511759"/>
    <w:rsid w:val="00511C28"/>
    <w:rsid w:val="0051213D"/>
    <w:rsid w:val="00512169"/>
    <w:rsid w:val="005124D9"/>
    <w:rsid w:val="0051266E"/>
    <w:rsid w:val="005127A0"/>
    <w:rsid w:val="00512A3F"/>
    <w:rsid w:val="00512DD4"/>
    <w:rsid w:val="00512EA3"/>
    <w:rsid w:val="005135E0"/>
    <w:rsid w:val="00513FD1"/>
    <w:rsid w:val="0051473C"/>
    <w:rsid w:val="005147B2"/>
    <w:rsid w:val="00514CFC"/>
    <w:rsid w:val="00514DFD"/>
    <w:rsid w:val="005159D7"/>
    <w:rsid w:val="00515C85"/>
    <w:rsid w:val="0051683A"/>
    <w:rsid w:val="0051688C"/>
    <w:rsid w:val="00516ACA"/>
    <w:rsid w:val="0052015C"/>
    <w:rsid w:val="00520418"/>
    <w:rsid w:val="00520940"/>
    <w:rsid w:val="00520DBE"/>
    <w:rsid w:val="00521981"/>
    <w:rsid w:val="00521F61"/>
    <w:rsid w:val="00522C02"/>
    <w:rsid w:val="00523117"/>
    <w:rsid w:val="005232B6"/>
    <w:rsid w:val="005234CE"/>
    <w:rsid w:val="005237B4"/>
    <w:rsid w:val="005241D4"/>
    <w:rsid w:val="00524249"/>
    <w:rsid w:val="0052465D"/>
    <w:rsid w:val="00524A46"/>
    <w:rsid w:val="00524BFD"/>
    <w:rsid w:val="00525193"/>
    <w:rsid w:val="00525686"/>
    <w:rsid w:val="0052649C"/>
    <w:rsid w:val="0052660D"/>
    <w:rsid w:val="00526C98"/>
    <w:rsid w:val="00526E68"/>
    <w:rsid w:val="0052738B"/>
    <w:rsid w:val="0052756C"/>
    <w:rsid w:val="00527830"/>
    <w:rsid w:val="00531229"/>
    <w:rsid w:val="0053129A"/>
    <w:rsid w:val="005312A2"/>
    <w:rsid w:val="005321BE"/>
    <w:rsid w:val="0053231A"/>
    <w:rsid w:val="00532A97"/>
    <w:rsid w:val="00533028"/>
    <w:rsid w:val="00533707"/>
    <w:rsid w:val="00533B99"/>
    <w:rsid w:val="005345C7"/>
    <w:rsid w:val="005346D6"/>
    <w:rsid w:val="00534A0E"/>
    <w:rsid w:val="00534B0D"/>
    <w:rsid w:val="00534E1B"/>
    <w:rsid w:val="005361A9"/>
    <w:rsid w:val="00536700"/>
    <w:rsid w:val="00537209"/>
    <w:rsid w:val="00537922"/>
    <w:rsid w:val="00537E5B"/>
    <w:rsid w:val="005410CC"/>
    <w:rsid w:val="00541A9E"/>
    <w:rsid w:val="00541C0C"/>
    <w:rsid w:val="00542876"/>
    <w:rsid w:val="005437CE"/>
    <w:rsid w:val="00543E6A"/>
    <w:rsid w:val="005446D4"/>
    <w:rsid w:val="0054582B"/>
    <w:rsid w:val="00545A69"/>
    <w:rsid w:val="005468B1"/>
    <w:rsid w:val="00546934"/>
    <w:rsid w:val="00546998"/>
    <w:rsid w:val="005478F4"/>
    <w:rsid w:val="00547A93"/>
    <w:rsid w:val="00547FF7"/>
    <w:rsid w:val="00550021"/>
    <w:rsid w:val="005501E9"/>
    <w:rsid w:val="005506FB"/>
    <w:rsid w:val="00551AEE"/>
    <w:rsid w:val="00551B1A"/>
    <w:rsid w:val="00551B27"/>
    <w:rsid w:val="00552032"/>
    <w:rsid w:val="0055233C"/>
    <w:rsid w:val="00552624"/>
    <w:rsid w:val="005529A6"/>
    <w:rsid w:val="00552C87"/>
    <w:rsid w:val="005530DB"/>
    <w:rsid w:val="005533AF"/>
    <w:rsid w:val="005535ED"/>
    <w:rsid w:val="00553707"/>
    <w:rsid w:val="00553C8A"/>
    <w:rsid w:val="005542C2"/>
    <w:rsid w:val="00554637"/>
    <w:rsid w:val="00554E77"/>
    <w:rsid w:val="00554F9F"/>
    <w:rsid w:val="005550CF"/>
    <w:rsid w:val="00555A16"/>
    <w:rsid w:val="00555FE9"/>
    <w:rsid w:val="0055622A"/>
    <w:rsid w:val="005563B1"/>
    <w:rsid w:val="00556732"/>
    <w:rsid w:val="00556734"/>
    <w:rsid w:val="00556AFD"/>
    <w:rsid w:val="00556CAD"/>
    <w:rsid w:val="005576C8"/>
    <w:rsid w:val="00557986"/>
    <w:rsid w:val="00557B5F"/>
    <w:rsid w:val="00557DD8"/>
    <w:rsid w:val="005601C4"/>
    <w:rsid w:val="005607C6"/>
    <w:rsid w:val="00560C09"/>
    <w:rsid w:val="0056179F"/>
    <w:rsid w:val="00562CBA"/>
    <w:rsid w:val="005638D2"/>
    <w:rsid w:val="0056395F"/>
    <w:rsid w:val="00563C35"/>
    <w:rsid w:val="00563DF0"/>
    <w:rsid w:val="00563E69"/>
    <w:rsid w:val="005643B6"/>
    <w:rsid w:val="005646B8"/>
    <w:rsid w:val="005649FA"/>
    <w:rsid w:val="00565005"/>
    <w:rsid w:val="00565ED6"/>
    <w:rsid w:val="00567739"/>
    <w:rsid w:val="005677B3"/>
    <w:rsid w:val="005700B9"/>
    <w:rsid w:val="0057206F"/>
    <w:rsid w:val="005724E4"/>
    <w:rsid w:val="00572645"/>
    <w:rsid w:val="00572D82"/>
    <w:rsid w:val="00572FB2"/>
    <w:rsid w:val="0057385C"/>
    <w:rsid w:val="00573988"/>
    <w:rsid w:val="00573EB8"/>
    <w:rsid w:val="00574CF3"/>
    <w:rsid w:val="00575A0F"/>
    <w:rsid w:val="00576ECA"/>
    <w:rsid w:val="005778F5"/>
    <w:rsid w:val="00577907"/>
    <w:rsid w:val="00577A71"/>
    <w:rsid w:val="00577EF4"/>
    <w:rsid w:val="0058056A"/>
    <w:rsid w:val="00580E56"/>
    <w:rsid w:val="0058111F"/>
    <w:rsid w:val="005816F2"/>
    <w:rsid w:val="005825E6"/>
    <w:rsid w:val="0058279D"/>
    <w:rsid w:val="005827E4"/>
    <w:rsid w:val="005829C9"/>
    <w:rsid w:val="00582ABC"/>
    <w:rsid w:val="00583590"/>
    <w:rsid w:val="00583679"/>
    <w:rsid w:val="0058378F"/>
    <w:rsid w:val="0058395F"/>
    <w:rsid w:val="0058417B"/>
    <w:rsid w:val="00584754"/>
    <w:rsid w:val="00584A81"/>
    <w:rsid w:val="00584AE9"/>
    <w:rsid w:val="00584CF8"/>
    <w:rsid w:val="00584E04"/>
    <w:rsid w:val="00585340"/>
    <w:rsid w:val="00586472"/>
    <w:rsid w:val="005864CD"/>
    <w:rsid w:val="00586534"/>
    <w:rsid w:val="00586B9A"/>
    <w:rsid w:val="005875F3"/>
    <w:rsid w:val="0058784B"/>
    <w:rsid w:val="00587C03"/>
    <w:rsid w:val="00587CD8"/>
    <w:rsid w:val="0058F0A5"/>
    <w:rsid w:val="005903C8"/>
    <w:rsid w:val="005904EA"/>
    <w:rsid w:val="00590937"/>
    <w:rsid w:val="00591909"/>
    <w:rsid w:val="00591A4F"/>
    <w:rsid w:val="0059271E"/>
    <w:rsid w:val="005929C8"/>
    <w:rsid w:val="00592C4D"/>
    <w:rsid w:val="00593DE2"/>
    <w:rsid w:val="00594324"/>
    <w:rsid w:val="00594751"/>
    <w:rsid w:val="005947E4"/>
    <w:rsid w:val="00594CF6"/>
    <w:rsid w:val="0059541A"/>
    <w:rsid w:val="005959D7"/>
    <w:rsid w:val="00596191"/>
    <w:rsid w:val="00596E96"/>
    <w:rsid w:val="005A00BC"/>
    <w:rsid w:val="005A0820"/>
    <w:rsid w:val="005A0D6A"/>
    <w:rsid w:val="005A1EE1"/>
    <w:rsid w:val="005A2137"/>
    <w:rsid w:val="005A27FC"/>
    <w:rsid w:val="005A2C37"/>
    <w:rsid w:val="005A2D6D"/>
    <w:rsid w:val="005A3C53"/>
    <w:rsid w:val="005A4453"/>
    <w:rsid w:val="005A4C13"/>
    <w:rsid w:val="005A5226"/>
    <w:rsid w:val="005A56D5"/>
    <w:rsid w:val="005A5A2B"/>
    <w:rsid w:val="005A5E9E"/>
    <w:rsid w:val="005A6897"/>
    <w:rsid w:val="005A6DE1"/>
    <w:rsid w:val="005A7386"/>
    <w:rsid w:val="005A7EBC"/>
    <w:rsid w:val="005B0233"/>
    <w:rsid w:val="005B0547"/>
    <w:rsid w:val="005B09FF"/>
    <w:rsid w:val="005B0B85"/>
    <w:rsid w:val="005B1487"/>
    <w:rsid w:val="005B1ABE"/>
    <w:rsid w:val="005B2812"/>
    <w:rsid w:val="005B2B97"/>
    <w:rsid w:val="005B3418"/>
    <w:rsid w:val="005B3495"/>
    <w:rsid w:val="005B35C4"/>
    <w:rsid w:val="005B376E"/>
    <w:rsid w:val="005B3B1B"/>
    <w:rsid w:val="005B3CE9"/>
    <w:rsid w:val="005B4044"/>
    <w:rsid w:val="005B4107"/>
    <w:rsid w:val="005B4BF6"/>
    <w:rsid w:val="005B4E79"/>
    <w:rsid w:val="005B54FB"/>
    <w:rsid w:val="005B55B2"/>
    <w:rsid w:val="005B5808"/>
    <w:rsid w:val="005B5B2B"/>
    <w:rsid w:val="005B5C6A"/>
    <w:rsid w:val="005B6A66"/>
    <w:rsid w:val="005B7364"/>
    <w:rsid w:val="005B7DF9"/>
    <w:rsid w:val="005C00CE"/>
    <w:rsid w:val="005C1427"/>
    <w:rsid w:val="005C1F71"/>
    <w:rsid w:val="005C253C"/>
    <w:rsid w:val="005C2829"/>
    <w:rsid w:val="005C29F6"/>
    <w:rsid w:val="005C2E83"/>
    <w:rsid w:val="005C3492"/>
    <w:rsid w:val="005C3812"/>
    <w:rsid w:val="005C4037"/>
    <w:rsid w:val="005C4132"/>
    <w:rsid w:val="005C47B6"/>
    <w:rsid w:val="005C4CED"/>
    <w:rsid w:val="005C5400"/>
    <w:rsid w:val="005C5714"/>
    <w:rsid w:val="005C5CE3"/>
    <w:rsid w:val="005C5EE6"/>
    <w:rsid w:val="005C6192"/>
    <w:rsid w:val="005C6422"/>
    <w:rsid w:val="005C67B6"/>
    <w:rsid w:val="005C681F"/>
    <w:rsid w:val="005C6EF0"/>
    <w:rsid w:val="005C7634"/>
    <w:rsid w:val="005D0132"/>
    <w:rsid w:val="005D0470"/>
    <w:rsid w:val="005D0637"/>
    <w:rsid w:val="005D0D82"/>
    <w:rsid w:val="005D156B"/>
    <w:rsid w:val="005D2421"/>
    <w:rsid w:val="005D2D36"/>
    <w:rsid w:val="005D324C"/>
    <w:rsid w:val="005D3496"/>
    <w:rsid w:val="005D3C0A"/>
    <w:rsid w:val="005D3FEA"/>
    <w:rsid w:val="005D455F"/>
    <w:rsid w:val="005D4721"/>
    <w:rsid w:val="005D501B"/>
    <w:rsid w:val="005D5623"/>
    <w:rsid w:val="005D61D4"/>
    <w:rsid w:val="005D6413"/>
    <w:rsid w:val="005D67D5"/>
    <w:rsid w:val="005D6D1B"/>
    <w:rsid w:val="005E00AC"/>
    <w:rsid w:val="005E01CD"/>
    <w:rsid w:val="005E0543"/>
    <w:rsid w:val="005E08F7"/>
    <w:rsid w:val="005E0E6F"/>
    <w:rsid w:val="005E1A61"/>
    <w:rsid w:val="005E1B7C"/>
    <w:rsid w:val="005E1DD0"/>
    <w:rsid w:val="005E226D"/>
    <w:rsid w:val="005E25E1"/>
    <w:rsid w:val="005E2607"/>
    <w:rsid w:val="005E275A"/>
    <w:rsid w:val="005E2C5B"/>
    <w:rsid w:val="005E2E07"/>
    <w:rsid w:val="005E2E3F"/>
    <w:rsid w:val="005E330B"/>
    <w:rsid w:val="005E36F1"/>
    <w:rsid w:val="005E37AD"/>
    <w:rsid w:val="005E3CA5"/>
    <w:rsid w:val="005E3E85"/>
    <w:rsid w:val="005E4A2F"/>
    <w:rsid w:val="005E4B14"/>
    <w:rsid w:val="005E524F"/>
    <w:rsid w:val="005E52D1"/>
    <w:rsid w:val="005E55DF"/>
    <w:rsid w:val="005E5B5C"/>
    <w:rsid w:val="005E6030"/>
    <w:rsid w:val="005E6A6B"/>
    <w:rsid w:val="005E6DAA"/>
    <w:rsid w:val="005E6F9A"/>
    <w:rsid w:val="005E76B0"/>
    <w:rsid w:val="005E7AEC"/>
    <w:rsid w:val="005E7BBC"/>
    <w:rsid w:val="005F0002"/>
    <w:rsid w:val="005F0C3C"/>
    <w:rsid w:val="005F0CB3"/>
    <w:rsid w:val="005F1096"/>
    <w:rsid w:val="005F2533"/>
    <w:rsid w:val="005F2DAC"/>
    <w:rsid w:val="005F3481"/>
    <w:rsid w:val="005F3F32"/>
    <w:rsid w:val="005F4349"/>
    <w:rsid w:val="005F4C89"/>
    <w:rsid w:val="005F4E77"/>
    <w:rsid w:val="005F51AF"/>
    <w:rsid w:val="005F54B1"/>
    <w:rsid w:val="005F55D3"/>
    <w:rsid w:val="005F5686"/>
    <w:rsid w:val="005F5A25"/>
    <w:rsid w:val="005F5B4E"/>
    <w:rsid w:val="005F64E4"/>
    <w:rsid w:val="005F677B"/>
    <w:rsid w:val="005F6929"/>
    <w:rsid w:val="005F6AF5"/>
    <w:rsid w:val="005F7C91"/>
    <w:rsid w:val="00600708"/>
    <w:rsid w:val="00600FC5"/>
    <w:rsid w:val="00601282"/>
    <w:rsid w:val="00601340"/>
    <w:rsid w:val="006013CB"/>
    <w:rsid w:val="006014A4"/>
    <w:rsid w:val="00601B7D"/>
    <w:rsid w:val="00601BB5"/>
    <w:rsid w:val="00601E19"/>
    <w:rsid w:val="0060229E"/>
    <w:rsid w:val="006023F8"/>
    <w:rsid w:val="006028B2"/>
    <w:rsid w:val="00602F7A"/>
    <w:rsid w:val="00603309"/>
    <w:rsid w:val="00603B50"/>
    <w:rsid w:val="006049AA"/>
    <w:rsid w:val="00604DEF"/>
    <w:rsid w:val="0060511B"/>
    <w:rsid w:val="006053EF"/>
    <w:rsid w:val="00607946"/>
    <w:rsid w:val="00607B07"/>
    <w:rsid w:val="00610198"/>
    <w:rsid w:val="006105E6"/>
    <w:rsid w:val="00610743"/>
    <w:rsid w:val="0061169A"/>
    <w:rsid w:val="00612837"/>
    <w:rsid w:val="006129E1"/>
    <w:rsid w:val="00612B44"/>
    <w:rsid w:val="00612B7E"/>
    <w:rsid w:val="00613369"/>
    <w:rsid w:val="00613690"/>
    <w:rsid w:val="00613DB2"/>
    <w:rsid w:val="0061433A"/>
    <w:rsid w:val="0061452E"/>
    <w:rsid w:val="00614E17"/>
    <w:rsid w:val="00614FA1"/>
    <w:rsid w:val="00615378"/>
    <w:rsid w:val="00615B9E"/>
    <w:rsid w:val="00615EA8"/>
    <w:rsid w:val="006162D5"/>
    <w:rsid w:val="0061641B"/>
    <w:rsid w:val="00616CE4"/>
    <w:rsid w:val="00616E20"/>
    <w:rsid w:val="006172BF"/>
    <w:rsid w:val="006174B3"/>
    <w:rsid w:val="006175BE"/>
    <w:rsid w:val="00617BBB"/>
    <w:rsid w:val="00620AE5"/>
    <w:rsid w:val="006218EE"/>
    <w:rsid w:val="00621AA5"/>
    <w:rsid w:val="00621CBD"/>
    <w:rsid w:val="00621F74"/>
    <w:rsid w:val="00622951"/>
    <w:rsid w:val="00622EDF"/>
    <w:rsid w:val="00623194"/>
    <w:rsid w:val="00623CDB"/>
    <w:rsid w:val="00623D7F"/>
    <w:rsid w:val="00624711"/>
    <w:rsid w:val="0062471F"/>
    <w:rsid w:val="00624792"/>
    <w:rsid w:val="00624BBD"/>
    <w:rsid w:val="006251A2"/>
    <w:rsid w:val="006257B0"/>
    <w:rsid w:val="006257F6"/>
    <w:rsid w:val="00626C45"/>
    <w:rsid w:val="00626D90"/>
    <w:rsid w:val="00627218"/>
    <w:rsid w:val="00627781"/>
    <w:rsid w:val="006301E9"/>
    <w:rsid w:val="00630568"/>
    <w:rsid w:val="006305C0"/>
    <w:rsid w:val="00630AC1"/>
    <w:rsid w:val="00630B49"/>
    <w:rsid w:val="00630E0B"/>
    <w:rsid w:val="006316F1"/>
    <w:rsid w:val="00631E73"/>
    <w:rsid w:val="00632452"/>
    <w:rsid w:val="00633119"/>
    <w:rsid w:val="00633A5E"/>
    <w:rsid w:val="00633C74"/>
    <w:rsid w:val="00633D94"/>
    <w:rsid w:val="00633ED9"/>
    <w:rsid w:val="006346C7"/>
    <w:rsid w:val="0063489B"/>
    <w:rsid w:val="00635927"/>
    <w:rsid w:val="00637A90"/>
    <w:rsid w:val="00637AE2"/>
    <w:rsid w:val="00637CF8"/>
    <w:rsid w:val="00640ACA"/>
    <w:rsid w:val="00640D6B"/>
    <w:rsid w:val="00641424"/>
    <w:rsid w:val="00641BE2"/>
    <w:rsid w:val="006421D3"/>
    <w:rsid w:val="00642354"/>
    <w:rsid w:val="006424D1"/>
    <w:rsid w:val="00642B5D"/>
    <w:rsid w:val="006431EF"/>
    <w:rsid w:val="0064399A"/>
    <w:rsid w:val="00643A50"/>
    <w:rsid w:val="00643E4C"/>
    <w:rsid w:val="006455F8"/>
    <w:rsid w:val="00645B05"/>
    <w:rsid w:val="00645BD5"/>
    <w:rsid w:val="00646133"/>
    <w:rsid w:val="00646A7E"/>
    <w:rsid w:val="00646D75"/>
    <w:rsid w:val="00647255"/>
    <w:rsid w:val="0064786C"/>
    <w:rsid w:val="00647DC2"/>
    <w:rsid w:val="00650929"/>
    <w:rsid w:val="00650A54"/>
    <w:rsid w:val="00650B1E"/>
    <w:rsid w:val="00650EE6"/>
    <w:rsid w:val="0065244D"/>
    <w:rsid w:val="00653096"/>
    <w:rsid w:val="006530C2"/>
    <w:rsid w:val="006530F4"/>
    <w:rsid w:val="0065359E"/>
    <w:rsid w:val="006535CB"/>
    <w:rsid w:val="00653635"/>
    <w:rsid w:val="00653BEA"/>
    <w:rsid w:val="00653FEA"/>
    <w:rsid w:val="00654413"/>
    <w:rsid w:val="00654517"/>
    <w:rsid w:val="0065471A"/>
    <w:rsid w:val="00654858"/>
    <w:rsid w:val="006548A9"/>
    <w:rsid w:val="00654E07"/>
    <w:rsid w:val="00655157"/>
    <w:rsid w:val="0065783A"/>
    <w:rsid w:val="006600B7"/>
    <w:rsid w:val="00660308"/>
    <w:rsid w:val="0066040E"/>
    <w:rsid w:val="0066077D"/>
    <w:rsid w:val="00660D2E"/>
    <w:rsid w:val="00660DBF"/>
    <w:rsid w:val="00661534"/>
    <w:rsid w:val="0066204D"/>
    <w:rsid w:val="00662059"/>
    <w:rsid w:val="006627AC"/>
    <w:rsid w:val="006627F7"/>
    <w:rsid w:val="00662A05"/>
    <w:rsid w:val="00663484"/>
    <w:rsid w:val="006639DD"/>
    <w:rsid w:val="006639F3"/>
    <w:rsid w:val="00663E01"/>
    <w:rsid w:val="00664529"/>
    <w:rsid w:val="00664C5A"/>
    <w:rsid w:val="00665753"/>
    <w:rsid w:val="006664BF"/>
    <w:rsid w:val="006664D9"/>
    <w:rsid w:val="00666718"/>
    <w:rsid w:val="00666BD4"/>
    <w:rsid w:val="0066726A"/>
    <w:rsid w:val="00667DEB"/>
    <w:rsid w:val="006702CD"/>
    <w:rsid w:val="00670755"/>
    <w:rsid w:val="006713F3"/>
    <w:rsid w:val="00671719"/>
    <w:rsid w:val="0067230C"/>
    <w:rsid w:val="006724C5"/>
    <w:rsid w:val="006727B9"/>
    <w:rsid w:val="006728EA"/>
    <w:rsid w:val="00672AD6"/>
    <w:rsid w:val="00672CE8"/>
    <w:rsid w:val="00673D70"/>
    <w:rsid w:val="00673F79"/>
    <w:rsid w:val="00675315"/>
    <w:rsid w:val="006753CB"/>
    <w:rsid w:val="00675430"/>
    <w:rsid w:val="00675E94"/>
    <w:rsid w:val="006762AB"/>
    <w:rsid w:val="006765E6"/>
    <w:rsid w:val="00676C43"/>
    <w:rsid w:val="006776C8"/>
    <w:rsid w:val="0067770B"/>
    <w:rsid w:val="00677F64"/>
    <w:rsid w:val="00681051"/>
    <w:rsid w:val="006815F2"/>
    <w:rsid w:val="006817FD"/>
    <w:rsid w:val="00681B83"/>
    <w:rsid w:val="00682026"/>
    <w:rsid w:val="006822BB"/>
    <w:rsid w:val="00682D20"/>
    <w:rsid w:val="00682F5B"/>
    <w:rsid w:val="00683638"/>
    <w:rsid w:val="00683A0B"/>
    <w:rsid w:val="00683DC9"/>
    <w:rsid w:val="0068473D"/>
    <w:rsid w:val="00684D35"/>
    <w:rsid w:val="00684DBC"/>
    <w:rsid w:val="0068567F"/>
    <w:rsid w:val="00685769"/>
    <w:rsid w:val="0068609F"/>
    <w:rsid w:val="00690387"/>
    <w:rsid w:val="0069152C"/>
    <w:rsid w:val="00691711"/>
    <w:rsid w:val="00691792"/>
    <w:rsid w:val="00691A03"/>
    <w:rsid w:val="00692565"/>
    <w:rsid w:val="0069398F"/>
    <w:rsid w:val="00693E68"/>
    <w:rsid w:val="0069437C"/>
    <w:rsid w:val="00694A7A"/>
    <w:rsid w:val="00694DF7"/>
    <w:rsid w:val="006952CB"/>
    <w:rsid w:val="00695346"/>
    <w:rsid w:val="006955C4"/>
    <w:rsid w:val="00695789"/>
    <w:rsid w:val="00696235"/>
    <w:rsid w:val="00696F0F"/>
    <w:rsid w:val="00697361"/>
    <w:rsid w:val="00697D74"/>
    <w:rsid w:val="006A01F6"/>
    <w:rsid w:val="006A01FA"/>
    <w:rsid w:val="006A0E54"/>
    <w:rsid w:val="006A1327"/>
    <w:rsid w:val="006A1BD0"/>
    <w:rsid w:val="006A2149"/>
    <w:rsid w:val="006A2536"/>
    <w:rsid w:val="006A2552"/>
    <w:rsid w:val="006A2E00"/>
    <w:rsid w:val="006A2F4F"/>
    <w:rsid w:val="006A305E"/>
    <w:rsid w:val="006A37EB"/>
    <w:rsid w:val="006A3AC2"/>
    <w:rsid w:val="006A3E06"/>
    <w:rsid w:val="006A3F41"/>
    <w:rsid w:val="006A3FA5"/>
    <w:rsid w:val="006A41E0"/>
    <w:rsid w:val="006A4888"/>
    <w:rsid w:val="006A4D1D"/>
    <w:rsid w:val="006A55CC"/>
    <w:rsid w:val="006A6265"/>
    <w:rsid w:val="006A63A9"/>
    <w:rsid w:val="006A6708"/>
    <w:rsid w:val="006A67E8"/>
    <w:rsid w:val="006A68B9"/>
    <w:rsid w:val="006A6C0A"/>
    <w:rsid w:val="006A7ECD"/>
    <w:rsid w:val="006B01A5"/>
    <w:rsid w:val="006B049B"/>
    <w:rsid w:val="006B0764"/>
    <w:rsid w:val="006B0846"/>
    <w:rsid w:val="006B18A6"/>
    <w:rsid w:val="006B18C5"/>
    <w:rsid w:val="006B1D93"/>
    <w:rsid w:val="006B22AD"/>
    <w:rsid w:val="006B2399"/>
    <w:rsid w:val="006B27CB"/>
    <w:rsid w:val="006B29B3"/>
    <w:rsid w:val="006B31AC"/>
    <w:rsid w:val="006B373F"/>
    <w:rsid w:val="006B433D"/>
    <w:rsid w:val="006B4611"/>
    <w:rsid w:val="006B51B5"/>
    <w:rsid w:val="006B59C3"/>
    <w:rsid w:val="006B5E57"/>
    <w:rsid w:val="006B5E5A"/>
    <w:rsid w:val="006B6085"/>
    <w:rsid w:val="006B62DB"/>
    <w:rsid w:val="006B6EB1"/>
    <w:rsid w:val="006B741A"/>
    <w:rsid w:val="006B7583"/>
    <w:rsid w:val="006B7DE6"/>
    <w:rsid w:val="006B7F05"/>
    <w:rsid w:val="006C02CC"/>
    <w:rsid w:val="006C0373"/>
    <w:rsid w:val="006C09D7"/>
    <w:rsid w:val="006C0A77"/>
    <w:rsid w:val="006C142B"/>
    <w:rsid w:val="006C188E"/>
    <w:rsid w:val="006C19E3"/>
    <w:rsid w:val="006C2319"/>
    <w:rsid w:val="006C3EF0"/>
    <w:rsid w:val="006C3FBA"/>
    <w:rsid w:val="006C40FF"/>
    <w:rsid w:val="006C4396"/>
    <w:rsid w:val="006C45F1"/>
    <w:rsid w:val="006C49FC"/>
    <w:rsid w:val="006C4E39"/>
    <w:rsid w:val="006C5097"/>
    <w:rsid w:val="006C5359"/>
    <w:rsid w:val="006C5463"/>
    <w:rsid w:val="006C5999"/>
    <w:rsid w:val="006C5BA3"/>
    <w:rsid w:val="006C5CB9"/>
    <w:rsid w:val="006C62F2"/>
    <w:rsid w:val="006C76BD"/>
    <w:rsid w:val="006D0155"/>
    <w:rsid w:val="006D0337"/>
    <w:rsid w:val="006D064B"/>
    <w:rsid w:val="006D085C"/>
    <w:rsid w:val="006D1257"/>
    <w:rsid w:val="006D167A"/>
    <w:rsid w:val="006D1788"/>
    <w:rsid w:val="006D1CEC"/>
    <w:rsid w:val="006D2548"/>
    <w:rsid w:val="006D2D74"/>
    <w:rsid w:val="006D2E27"/>
    <w:rsid w:val="006D306B"/>
    <w:rsid w:val="006D3353"/>
    <w:rsid w:val="006D34C4"/>
    <w:rsid w:val="006D3655"/>
    <w:rsid w:val="006D3762"/>
    <w:rsid w:val="006D3E82"/>
    <w:rsid w:val="006D3EDB"/>
    <w:rsid w:val="006D4235"/>
    <w:rsid w:val="006D4400"/>
    <w:rsid w:val="006D4944"/>
    <w:rsid w:val="006D51E3"/>
    <w:rsid w:val="006D547F"/>
    <w:rsid w:val="006D5696"/>
    <w:rsid w:val="006D5F06"/>
    <w:rsid w:val="006D6426"/>
    <w:rsid w:val="006D6C1F"/>
    <w:rsid w:val="006D6D38"/>
    <w:rsid w:val="006D704D"/>
    <w:rsid w:val="006D7159"/>
    <w:rsid w:val="006D71C7"/>
    <w:rsid w:val="006D72CF"/>
    <w:rsid w:val="006D768E"/>
    <w:rsid w:val="006D7B48"/>
    <w:rsid w:val="006D7DAA"/>
    <w:rsid w:val="006E008B"/>
    <w:rsid w:val="006E03D3"/>
    <w:rsid w:val="006E04ED"/>
    <w:rsid w:val="006E0A8E"/>
    <w:rsid w:val="006E10CD"/>
    <w:rsid w:val="006E10EF"/>
    <w:rsid w:val="006E1267"/>
    <w:rsid w:val="006E1914"/>
    <w:rsid w:val="006E1F16"/>
    <w:rsid w:val="006E1FE9"/>
    <w:rsid w:val="006E2E7C"/>
    <w:rsid w:val="006E568C"/>
    <w:rsid w:val="006E658D"/>
    <w:rsid w:val="006E6594"/>
    <w:rsid w:val="006E7131"/>
    <w:rsid w:val="006E75EF"/>
    <w:rsid w:val="006E7A31"/>
    <w:rsid w:val="006E7F6F"/>
    <w:rsid w:val="006F0003"/>
    <w:rsid w:val="006F02E5"/>
    <w:rsid w:val="006F0424"/>
    <w:rsid w:val="006F0590"/>
    <w:rsid w:val="006F0A3F"/>
    <w:rsid w:val="006F0BCC"/>
    <w:rsid w:val="006F13FC"/>
    <w:rsid w:val="006F17F4"/>
    <w:rsid w:val="006F2ECA"/>
    <w:rsid w:val="006F3617"/>
    <w:rsid w:val="006F3CD2"/>
    <w:rsid w:val="006F3FB8"/>
    <w:rsid w:val="006F4376"/>
    <w:rsid w:val="006F44C9"/>
    <w:rsid w:val="006F44CB"/>
    <w:rsid w:val="006F4548"/>
    <w:rsid w:val="006F4CFC"/>
    <w:rsid w:val="006F4E3F"/>
    <w:rsid w:val="006F4FB9"/>
    <w:rsid w:val="006F5063"/>
    <w:rsid w:val="006F52C1"/>
    <w:rsid w:val="006F53B0"/>
    <w:rsid w:val="006F5516"/>
    <w:rsid w:val="006F5D6F"/>
    <w:rsid w:val="006F71F9"/>
    <w:rsid w:val="006FE9B8"/>
    <w:rsid w:val="00700169"/>
    <w:rsid w:val="00700411"/>
    <w:rsid w:val="00700ACD"/>
    <w:rsid w:val="00700AD0"/>
    <w:rsid w:val="00700CC4"/>
    <w:rsid w:val="00700D09"/>
    <w:rsid w:val="007012DC"/>
    <w:rsid w:val="007018BA"/>
    <w:rsid w:val="00701976"/>
    <w:rsid w:val="00702822"/>
    <w:rsid w:val="00702AB7"/>
    <w:rsid w:val="007035D3"/>
    <w:rsid w:val="007050CF"/>
    <w:rsid w:val="007051B2"/>
    <w:rsid w:val="00705656"/>
    <w:rsid w:val="007059A5"/>
    <w:rsid w:val="00705B1D"/>
    <w:rsid w:val="00705F33"/>
    <w:rsid w:val="0070600D"/>
    <w:rsid w:val="00706249"/>
    <w:rsid w:val="00706B9C"/>
    <w:rsid w:val="007072F1"/>
    <w:rsid w:val="0070753E"/>
    <w:rsid w:val="007076C4"/>
    <w:rsid w:val="00707F1F"/>
    <w:rsid w:val="007102A5"/>
    <w:rsid w:val="007106C6"/>
    <w:rsid w:val="0071073B"/>
    <w:rsid w:val="00710FA1"/>
    <w:rsid w:val="00711007"/>
    <w:rsid w:val="00712E30"/>
    <w:rsid w:val="00713087"/>
    <w:rsid w:val="00713BAE"/>
    <w:rsid w:val="00713C5F"/>
    <w:rsid w:val="007146E7"/>
    <w:rsid w:val="00714C66"/>
    <w:rsid w:val="00715425"/>
    <w:rsid w:val="00715469"/>
    <w:rsid w:val="00715D40"/>
    <w:rsid w:val="007164C1"/>
    <w:rsid w:val="00716634"/>
    <w:rsid w:val="007167E8"/>
    <w:rsid w:val="00716E13"/>
    <w:rsid w:val="00717AD8"/>
    <w:rsid w:val="00717B9F"/>
    <w:rsid w:val="00717F16"/>
    <w:rsid w:val="00720349"/>
    <w:rsid w:val="00720E86"/>
    <w:rsid w:val="0072150B"/>
    <w:rsid w:val="00721541"/>
    <w:rsid w:val="0072167E"/>
    <w:rsid w:val="00721F75"/>
    <w:rsid w:val="00722746"/>
    <w:rsid w:val="00722826"/>
    <w:rsid w:val="00723C87"/>
    <w:rsid w:val="00724583"/>
    <w:rsid w:val="0072466C"/>
    <w:rsid w:val="00724683"/>
    <w:rsid w:val="00724C09"/>
    <w:rsid w:val="00725060"/>
    <w:rsid w:val="00725550"/>
    <w:rsid w:val="007255A4"/>
    <w:rsid w:val="007263DE"/>
    <w:rsid w:val="00726505"/>
    <w:rsid w:val="007265A5"/>
    <w:rsid w:val="00726F61"/>
    <w:rsid w:val="00727586"/>
    <w:rsid w:val="00727DB7"/>
    <w:rsid w:val="00730AF9"/>
    <w:rsid w:val="00731906"/>
    <w:rsid w:val="00731D5B"/>
    <w:rsid w:val="00732A06"/>
    <w:rsid w:val="00733096"/>
    <w:rsid w:val="007338B2"/>
    <w:rsid w:val="00733C28"/>
    <w:rsid w:val="00733EC5"/>
    <w:rsid w:val="00733F15"/>
    <w:rsid w:val="0073435B"/>
    <w:rsid w:val="00734B72"/>
    <w:rsid w:val="00734C56"/>
    <w:rsid w:val="00734DA9"/>
    <w:rsid w:val="007351D7"/>
    <w:rsid w:val="00735510"/>
    <w:rsid w:val="0073558F"/>
    <w:rsid w:val="00735639"/>
    <w:rsid w:val="00735909"/>
    <w:rsid w:val="00735A8F"/>
    <w:rsid w:val="00735DA8"/>
    <w:rsid w:val="00736181"/>
    <w:rsid w:val="00736257"/>
    <w:rsid w:val="0073628F"/>
    <w:rsid w:val="0073681C"/>
    <w:rsid w:val="00736BA2"/>
    <w:rsid w:val="00736C1C"/>
    <w:rsid w:val="00737A79"/>
    <w:rsid w:val="00737FE5"/>
    <w:rsid w:val="00740536"/>
    <w:rsid w:val="0074124B"/>
    <w:rsid w:val="007418DD"/>
    <w:rsid w:val="00741A63"/>
    <w:rsid w:val="00741BE7"/>
    <w:rsid w:val="00743868"/>
    <w:rsid w:val="007441E1"/>
    <w:rsid w:val="007449AD"/>
    <w:rsid w:val="00744BFF"/>
    <w:rsid w:val="00744C8B"/>
    <w:rsid w:val="007452EC"/>
    <w:rsid w:val="0074588D"/>
    <w:rsid w:val="00746155"/>
    <w:rsid w:val="00746D00"/>
    <w:rsid w:val="00746E58"/>
    <w:rsid w:val="00747804"/>
    <w:rsid w:val="00747A40"/>
    <w:rsid w:val="0075001B"/>
    <w:rsid w:val="00750288"/>
    <w:rsid w:val="00750E13"/>
    <w:rsid w:val="007511A9"/>
    <w:rsid w:val="0075160B"/>
    <w:rsid w:val="007521E6"/>
    <w:rsid w:val="00752633"/>
    <w:rsid w:val="00752D9B"/>
    <w:rsid w:val="0075379C"/>
    <w:rsid w:val="007539EA"/>
    <w:rsid w:val="00754890"/>
    <w:rsid w:val="00754DC0"/>
    <w:rsid w:val="0075662B"/>
    <w:rsid w:val="007572D3"/>
    <w:rsid w:val="007603A8"/>
    <w:rsid w:val="007608F2"/>
    <w:rsid w:val="0076117C"/>
    <w:rsid w:val="00761633"/>
    <w:rsid w:val="00761D87"/>
    <w:rsid w:val="00761E75"/>
    <w:rsid w:val="007628F0"/>
    <w:rsid w:val="0076292B"/>
    <w:rsid w:val="00763115"/>
    <w:rsid w:val="007636CE"/>
    <w:rsid w:val="00764269"/>
    <w:rsid w:val="00764497"/>
    <w:rsid w:val="007645F2"/>
    <w:rsid w:val="00764E48"/>
    <w:rsid w:val="0076531C"/>
    <w:rsid w:val="0076554D"/>
    <w:rsid w:val="00765FC8"/>
    <w:rsid w:val="007700DC"/>
    <w:rsid w:val="007705C2"/>
    <w:rsid w:val="00770A28"/>
    <w:rsid w:val="00770A7D"/>
    <w:rsid w:val="00770C9E"/>
    <w:rsid w:val="00771116"/>
    <w:rsid w:val="00771523"/>
    <w:rsid w:val="00771640"/>
    <w:rsid w:val="00771DD4"/>
    <w:rsid w:val="0077258B"/>
    <w:rsid w:val="007725E0"/>
    <w:rsid w:val="00772946"/>
    <w:rsid w:val="00772C5F"/>
    <w:rsid w:val="00772EA5"/>
    <w:rsid w:val="007738E2"/>
    <w:rsid w:val="00773A89"/>
    <w:rsid w:val="00773AAC"/>
    <w:rsid w:val="00773C2D"/>
    <w:rsid w:val="007740DA"/>
    <w:rsid w:val="00774D31"/>
    <w:rsid w:val="00774D7E"/>
    <w:rsid w:val="00774DDF"/>
    <w:rsid w:val="007758AC"/>
    <w:rsid w:val="007759B8"/>
    <w:rsid w:val="0077623D"/>
    <w:rsid w:val="00776470"/>
    <w:rsid w:val="00777762"/>
    <w:rsid w:val="00780529"/>
    <w:rsid w:val="007808C5"/>
    <w:rsid w:val="007810B1"/>
    <w:rsid w:val="007811B3"/>
    <w:rsid w:val="0078133C"/>
    <w:rsid w:val="007813F1"/>
    <w:rsid w:val="00781531"/>
    <w:rsid w:val="0078198B"/>
    <w:rsid w:val="00782B61"/>
    <w:rsid w:val="00783CFB"/>
    <w:rsid w:val="00783DC0"/>
    <w:rsid w:val="00784468"/>
    <w:rsid w:val="0078457F"/>
    <w:rsid w:val="00784CF6"/>
    <w:rsid w:val="007851BB"/>
    <w:rsid w:val="00785BF6"/>
    <w:rsid w:val="00785F82"/>
    <w:rsid w:val="0078798C"/>
    <w:rsid w:val="007904E8"/>
    <w:rsid w:val="00790CC5"/>
    <w:rsid w:val="00790F2A"/>
    <w:rsid w:val="0079127F"/>
    <w:rsid w:val="0079168F"/>
    <w:rsid w:val="00791706"/>
    <w:rsid w:val="00791729"/>
    <w:rsid w:val="007922CB"/>
    <w:rsid w:val="007929D9"/>
    <w:rsid w:val="0079309C"/>
    <w:rsid w:val="00793176"/>
    <w:rsid w:val="007932F8"/>
    <w:rsid w:val="00793910"/>
    <w:rsid w:val="00793970"/>
    <w:rsid w:val="00793FEC"/>
    <w:rsid w:val="00794DC6"/>
    <w:rsid w:val="007957CF"/>
    <w:rsid w:val="00795991"/>
    <w:rsid w:val="00796582"/>
    <w:rsid w:val="00796BB7"/>
    <w:rsid w:val="00796D1E"/>
    <w:rsid w:val="007A031E"/>
    <w:rsid w:val="007A03E3"/>
    <w:rsid w:val="007A0CC6"/>
    <w:rsid w:val="007A0E10"/>
    <w:rsid w:val="007A3C85"/>
    <w:rsid w:val="007A4079"/>
    <w:rsid w:val="007A46C3"/>
    <w:rsid w:val="007A4778"/>
    <w:rsid w:val="007A4F2D"/>
    <w:rsid w:val="007A524C"/>
    <w:rsid w:val="007A5641"/>
    <w:rsid w:val="007A568C"/>
    <w:rsid w:val="007A5E07"/>
    <w:rsid w:val="007A6009"/>
    <w:rsid w:val="007A6921"/>
    <w:rsid w:val="007A6BF8"/>
    <w:rsid w:val="007A6F73"/>
    <w:rsid w:val="007A7494"/>
    <w:rsid w:val="007B06B0"/>
    <w:rsid w:val="007B06ED"/>
    <w:rsid w:val="007B1381"/>
    <w:rsid w:val="007B1CB0"/>
    <w:rsid w:val="007B21D5"/>
    <w:rsid w:val="007B3101"/>
    <w:rsid w:val="007B3854"/>
    <w:rsid w:val="007B3BED"/>
    <w:rsid w:val="007B461A"/>
    <w:rsid w:val="007B47F2"/>
    <w:rsid w:val="007B4D99"/>
    <w:rsid w:val="007B51C3"/>
    <w:rsid w:val="007B5492"/>
    <w:rsid w:val="007B54EC"/>
    <w:rsid w:val="007B584F"/>
    <w:rsid w:val="007B5A4F"/>
    <w:rsid w:val="007B5F71"/>
    <w:rsid w:val="007B6056"/>
    <w:rsid w:val="007B6088"/>
    <w:rsid w:val="007B6C5E"/>
    <w:rsid w:val="007B7A31"/>
    <w:rsid w:val="007C05A1"/>
    <w:rsid w:val="007C0B73"/>
    <w:rsid w:val="007C0CE5"/>
    <w:rsid w:val="007C1509"/>
    <w:rsid w:val="007C2789"/>
    <w:rsid w:val="007C325A"/>
    <w:rsid w:val="007C33F2"/>
    <w:rsid w:val="007C3712"/>
    <w:rsid w:val="007C3AB6"/>
    <w:rsid w:val="007C4072"/>
    <w:rsid w:val="007C44E5"/>
    <w:rsid w:val="007C50E6"/>
    <w:rsid w:val="007C5AA3"/>
    <w:rsid w:val="007C6103"/>
    <w:rsid w:val="007C62A7"/>
    <w:rsid w:val="007C7EFA"/>
    <w:rsid w:val="007C7F6C"/>
    <w:rsid w:val="007D00AA"/>
    <w:rsid w:val="007D06D9"/>
    <w:rsid w:val="007D0795"/>
    <w:rsid w:val="007D0A84"/>
    <w:rsid w:val="007D1376"/>
    <w:rsid w:val="007D1C97"/>
    <w:rsid w:val="007D2155"/>
    <w:rsid w:val="007D25CF"/>
    <w:rsid w:val="007D3B3F"/>
    <w:rsid w:val="007D3C18"/>
    <w:rsid w:val="007D3E0E"/>
    <w:rsid w:val="007D485C"/>
    <w:rsid w:val="007D49DF"/>
    <w:rsid w:val="007D4A40"/>
    <w:rsid w:val="007D4A89"/>
    <w:rsid w:val="007D5293"/>
    <w:rsid w:val="007D5BB3"/>
    <w:rsid w:val="007D6503"/>
    <w:rsid w:val="007D7CDB"/>
    <w:rsid w:val="007D7E70"/>
    <w:rsid w:val="007D7EE2"/>
    <w:rsid w:val="007E0048"/>
    <w:rsid w:val="007E0B10"/>
    <w:rsid w:val="007E1388"/>
    <w:rsid w:val="007E1451"/>
    <w:rsid w:val="007E17AD"/>
    <w:rsid w:val="007E20F9"/>
    <w:rsid w:val="007E2443"/>
    <w:rsid w:val="007E26F9"/>
    <w:rsid w:val="007E2E6F"/>
    <w:rsid w:val="007E32A9"/>
    <w:rsid w:val="007E3992"/>
    <w:rsid w:val="007E41CA"/>
    <w:rsid w:val="007E499B"/>
    <w:rsid w:val="007E4DF1"/>
    <w:rsid w:val="007E5C36"/>
    <w:rsid w:val="007E6250"/>
    <w:rsid w:val="007E6A7D"/>
    <w:rsid w:val="007E70A6"/>
    <w:rsid w:val="007E7277"/>
    <w:rsid w:val="007E7742"/>
    <w:rsid w:val="007E7805"/>
    <w:rsid w:val="007E7875"/>
    <w:rsid w:val="007F0A57"/>
    <w:rsid w:val="007F0E50"/>
    <w:rsid w:val="007F0EF1"/>
    <w:rsid w:val="007F11CF"/>
    <w:rsid w:val="007F1280"/>
    <w:rsid w:val="007F140A"/>
    <w:rsid w:val="007F1F8F"/>
    <w:rsid w:val="007F2224"/>
    <w:rsid w:val="007F2B60"/>
    <w:rsid w:val="007F3783"/>
    <w:rsid w:val="007F3A1E"/>
    <w:rsid w:val="007F3A65"/>
    <w:rsid w:val="007F5085"/>
    <w:rsid w:val="007F509D"/>
    <w:rsid w:val="007F5D36"/>
    <w:rsid w:val="007F63EB"/>
    <w:rsid w:val="007F6474"/>
    <w:rsid w:val="007F650C"/>
    <w:rsid w:val="007F6628"/>
    <w:rsid w:val="007F6F59"/>
    <w:rsid w:val="007F721C"/>
    <w:rsid w:val="007F76FB"/>
    <w:rsid w:val="007F7772"/>
    <w:rsid w:val="007F7F28"/>
    <w:rsid w:val="008000C3"/>
    <w:rsid w:val="008000F2"/>
    <w:rsid w:val="00800696"/>
    <w:rsid w:val="00800715"/>
    <w:rsid w:val="00800904"/>
    <w:rsid w:val="008015DC"/>
    <w:rsid w:val="00801B15"/>
    <w:rsid w:val="008020FE"/>
    <w:rsid w:val="00802164"/>
    <w:rsid w:val="00803381"/>
    <w:rsid w:val="00804139"/>
    <w:rsid w:val="00805428"/>
    <w:rsid w:val="00805E6F"/>
    <w:rsid w:val="00805EE0"/>
    <w:rsid w:val="0080668F"/>
    <w:rsid w:val="008067B6"/>
    <w:rsid w:val="00806A1A"/>
    <w:rsid w:val="00806FDF"/>
    <w:rsid w:val="00807590"/>
    <w:rsid w:val="0081027C"/>
    <w:rsid w:val="008103B5"/>
    <w:rsid w:val="0081068C"/>
    <w:rsid w:val="00810D4E"/>
    <w:rsid w:val="008111CD"/>
    <w:rsid w:val="00811603"/>
    <w:rsid w:val="00811B8F"/>
    <w:rsid w:val="0081344D"/>
    <w:rsid w:val="00813688"/>
    <w:rsid w:val="00813D78"/>
    <w:rsid w:val="00813FCE"/>
    <w:rsid w:val="00814409"/>
    <w:rsid w:val="00814419"/>
    <w:rsid w:val="008146E8"/>
    <w:rsid w:val="00814AE4"/>
    <w:rsid w:val="00815187"/>
    <w:rsid w:val="008158BE"/>
    <w:rsid w:val="00815BE2"/>
    <w:rsid w:val="00816948"/>
    <w:rsid w:val="0081763B"/>
    <w:rsid w:val="00817A65"/>
    <w:rsid w:val="00817E8A"/>
    <w:rsid w:val="00820296"/>
    <w:rsid w:val="00820650"/>
    <w:rsid w:val="008213B8"/>
    <w:rsid w:val="00822BBE"/>
    <w:rsid w:val="00822E22"/>
    <w:rsid w:val="00823027"/>
    <w:rsid w:val="00823E9C"/>
    <w:rsid w:val="00824021"/>
    <w:rsid w:val="0082409E"/>
    <w:rsid w:val="0082416F"/>
    <w:rsid w:val="00824617"/>
    <w:rsid w:val="0082465B"/>
    <w:rsid w:val="008247FF"/>
    <w:rsid w:val="00824B58"/>
    <w:rsid w:val="00825C25"/>
    <w:rsid w:val="00825CE2"/>
    <w:rsid w:val="00826009"/>
    <w:rsid w:val="00826232"/>
    <w:rsid w:val="00826734"/>
    <w:rsid w:val="00826DAF"/>
    <w:rsid w:val="00827479"/>
    <w:rsid w:val="00827B74"/>
    <w:rsid w:val="00827E78"/>
    <w:rsid w:val="00827F16"/>
    <w:rsid w:val="00830B12"/>
    <w:rsid w:val="0083113E"/>
    <w:rsid w:val="00831405"/>
    <w:rsid w:val="00831807"/>
    <w:rsid w:val="00831D13"/>
    <w:rsid w:val="00832317"/>
    <w:rsid w:val="008324DC"/>
    <w:rsid w:val="00832920"/>
    <w:rsid w:val="00833364"/>
    <w:rsid w:val="00833732"/>
    <w:rsid w:val="0083390E"/>
    <w:rsid w:val="0083394B"/>
    <w:rsid w:val="00834C21"/>
    <w:rsid w:val="00835C5F"/>
    <w:rsid w:val="00836380"/>
    <w:rsid w:val="008369D5"/>
    <w:rsid w:val="00836C89"/>
    <w:rsid w:val="00836CEB"/>
    <w:rsid w:val="00836DA6"/>
    <w:rsid w:val="00836FC8"/>
    <w:rsid w:val="00836FDA"/>
    <w:rsid w:val="00837820"/>
    <w:rsid w:val="00837C61"/>
    <w:rsid w:val="00837DC8"/>
    <w:rsid w:val="00840A46"/>
    <w:rsid w:val="00840B44"/>
    <w:rsid w:val="00840BD3"/>
    <w:rsid w:val="00841469"/>
    <w:rsid w:val="008418B3"/>
    <w:rsid w:val="0084194C"/>
    <w:rsid w:val="00843690"/>
    <w:rsid w:val="00843A28"/>
    <w:rsid w:val="00843BC5"/>
    <w:rsid w:val="00843F88"/>
    <w:rsid w:val="00844584"/>
    <w:rsid w:val="0084466C"/>
    <w:rsid w:val="00844D14"/>
    <w:rsid w:val="00844D8C"/>
    <w:rsid w:val="00844E17"/>
    <w:rsid w:val="008451D5"/>
    <w:rsid w:val="00845310"/>
    <w:rsid w:val="0084557D"/>
    <w:rsid w:val="00845BC7"/>
    <w:rsid w:val="00845D0D"/>
    <w:rsid w:val="00846012"/>
    <w:rsid w:val="0084614B"/>
    <w:rsid w:val="00846654"/>
    <w:rsid w:val="00847157"/>
    <w:rsid w:val="008475A1"/>
    <w:rsid w:val="00847715"/>
    <w:rsid w:val="00847948"/>
    <w:rsid w:val="008479CD"/>
    <w:rsid w:val="00850AB3"/>
    <w:rsid w:val="00850C35"/>
    <w:rsid w:val="00851040"/>
    <w:rsid w:val="008517CF"/>
    <w:rsid w:val="00851A8D"/>
    <w:rsid w:val="00851BC4"/>
    <w:rsid w:val="00851F2B"/>
    <w:rsid w:val="00852045"/>
    <w:rsid w:val="008521F9"/>
    <w:rsid w:val="00853A24"/>
    <w:rsid w:val="00853FB3"/>
    <w:rsid w:val="00854897"/>
    <w:rsid w:val="00854E60"/>
    <w:rsid w:val="00855094"/>
    <w:rsid w:val="008555B6"/>
    <w:rsid w:val="00855B3A"/>
    <w:rsid w:val="00856198"/>
    <w:rsid w:val="008561A8"/>
    <w:rsid w:val="0085642C"/>
    <w:rsid w:val="00856488"/>
    <w:rsid w:val="00856834"/>
    <w:rsid w:val="00856BAC"/>
    <w:rsid w:val="00856D6A"/>
    <w:rsid w:val="00857463"/>
    <w:rsid w:val="008575B1"/>
    <w:rsid w:val="00857674"/>
    <w:rsid w:val="00857823"/>
    <w:rsid w:val="00857E53"/>
    <w:rsid w:val="0086012F"/>
    <w:rsid w:val="008608ED"/>
    <w:rsid w:val="00860975"/>
    <w:rsid w:val="00860DE5"/>
    <w:rsid w:val="008611E7"/>
    <w:rsid w:val="0086133B"/>
    <w:rsid w:val="00861CC3"/>
    <w:rsid w:val="00862303"/>
    <w:rsid w:val="0086250D"/>
    <w:rsid w:val="00862C1A"/>
    <w:rsid w:val="00862FEA"/>
    <w:rsid w:val="00863609"/>
    <w:rsid w:val="00863B0E"/>
    <w:rsid w:val="00864872"/>
    <w:rsid w:val="00864E45"/>
    <w:rsid w:val="008651C1"/>
    <w:rsid w:val="00865341"/>
    <w:rsid w:val="0086567F"/>
    <w:rsid w:val="008665AF"/>
    <w:rsid w:val="00866E46"/>
    <w:rsid w:val="008703C5"/>
    <w:rsid w:val="008714D8"/>
    <w:rsid w:val="00871885"/>
    <w:rsid w:val="00871EDD"/>
    <w:rsid w:val="0087254F"/>
    <w:rsid w:val="00872707"/>
    <w:rsid w:val="00872C38"/>
    <w:rsid w:val="00873C19"/>
    <w:rsid w:val="00873C74"/>
    <w:rsid w:val="0087468E"/>
    <w:rsid w:val="008748EA"/>
    <w:rsid w:val="00874B54"/>
    <w:rsid w:val="00875DDD"/>
    <w:rsid w:val="00875FE7"/>
    <w:rsid w:val="0087655E"/>
    <w:rsid w:val="008765FF"/>
    <w:rsid w:val="00876738"/>
    <w:rsid w:val="00876C87"/>
    <w:rsid w:val="00876E68"/>
    <w:rsid w:val="00877313"/>
    <w:rsid w:val="0087738A"/>
    <w:rsid w:val="00877711"/>
    <w:rsid w:val="008777FE"/>
    <w:rsid w:val="00877B91"/>
    <w:rsid w:val="00880007"/>
    <w:rsid w:val="0088023D"/>
    <w:rsid w:val="00880409"/>
    <w:rsid w:val="008814F2"/>
    <w:rsid w:val="008819A5"/>
    <w:rsid w:val="00881E74"/>
    <w:rsid w:val="0088244A"/>
    <w:rsid w:val="00882F1F"/>
    <w:rsid w:val="00883883"/>
    <w:rsid w:val="00885358"/>
    <w:rsid w:val="008868B7"/>
    <w:rsid w:val="00886D2A"/>
    <w:rsid w:val="00886E4F"/>
    <w:rsid w:val="00886F9C"/>
    <w:rsid w:val="00886FB2"/>
    <w:rsid w:val="008875FB"/>
    <w:rsid w:val="00887787"/>
    <w:rsid w:val="00887A6B"/>
    <w:rsid w:val="00887E16"/>
    <w:rsid w:val="0089024E"/>
    <w:rsid w:val="0089043E"/>
    <w:rsid w:val="00890AE0"/>
    <w:rsid w:val="008911A8"/>
    <w:rsid w:val="00892266"/>
    <w:rsid w:val="00892E17"/>
    <w:rsid w:val="00893626"/>
    <w:rsid w:val="00893E52"/>
    <w:rsid w:val="0089464A"/>
    <w:rsid w:val="00894D58"/>
    <w:rsid w:val="0089563A"/>
    <w:rsid w:val="00895669"/>
    <w:rsid w:val="00895B11"/>
    <w:rsid w:val="008962DD"/>
    <w:rsid w:val="008967D8"/>
    <w:rsid w:val="00896932"/>
    <w:rsid w:val="00896A4A"/>
    <w:rsid w:val="008979F3"/>
    <w:rsid w:val="008A0014"/>
    <w:rsid w:val="008A014F"/>
    <w:rsid w:val="008A046F"/>
    <w:rsid w:val="008A0781"/>
    <w:rsid w:val="008A1765"/>
    <w:rsid w:val="008A19F3"/>
    <w:rsid w:val="008A1B8E"/>
    <w:rsid w:val="008A1ECF"/>
    <w:rsid w:val="008A206F"/>
    <w:rsid w:val="008A2944"/>
    <w:rsid w:val="008A3D1C"/>
    <w:rsid w:val="008A423D"/>
    <w:rsid w:val="008A46B8"/>
    <w:rsid w:val="008A4753"/>
    <w:rsid w:val="008A4A0C"/>
    <w:rsid w:val="008A5F3A"/>
    <w:rsid w:val="008A6334"/>
    <w:rsid w:val="008A6CDD"/>
    <w:rsid w:val="008A7861"/>
    <w:rsid w:val="008A78A6"/>
    <w:rsid w:val="008A7B16"/>
    <w:rsid w:val="008A7FDC"/>
    <w:rsid w:val="008B024D"/>
    <w:rsid w:val="008B0380"/>
    <w:rsid w:val="008B0483"/>
    <w:rsid w:val="008B06CE"/>
    <w:rsid w:val="008B0EBB"/>
    <w:rsid w:val="008B0F56"/>
    <w:rsid w:val="008B1425"/>
    <w:rsid w:val="008B1511"/>
    <w:rsid w:val="008B1968"/>
    <w:rsid w:val="008B1974"/>
    <w:rsid w:val="008B1AFF"/>
    <w:rsid w:val="008B36D4"/>
    <w:rsid w:val="008B382E"/>
    <w:rsid w:val="008B3898"/>
    <w:rsid w:val="008B3C7F"/>
    <w:rsid w:val="008B545A"/>
    <w:rsid w:val="008B54AF"/>
    <w:rsid w:val="008B54DB"/>
    <w:rsid w:val="008B5DD7"/>
    <w:rsid w:val="008B6238"/>
    <w:rsid w:val="008B6B51"/>
    <w:rsid w:val="008B7635"/>
    <w:rsid w:val="008C0356"/>
    <w:rsid w:val="008C089C"/>
    <w:rsid w:val="008C0989"/>
    <w:rsid w:val="008C0B42"/>
    <w:rsid w:val="008C109C"/>
    <w:rsid w:val="008C10A6"/>
    <w:rsid w:val="008C1A91"/>
    <w:rsid w:val="008C1CE7"/>
    <w:rsid w:val="008C1D51"/>
    <w:rsid w:val="008C1FD8"/>
    <w:rsid w:val="008C1FE1"/>
    <w:rsid w:val="008C20D8"/>
    <w:rsid w:val="008C23A8"/>
    <w:rsid w:val="008C2501"/>
    <w:rsid w:val="008C2F7E"/>
    <w:rsid w:val="008C401D"/>
    <w:rsid w:val="008C493A"/>
    <w:rsid w:val="008C4984"/>
    <w:rsid w:val="008C4D72"/>
    <w:rsid w:val="008C541E"/>
    <w:rsid w:val="008C5AFB"/>
    <w:rsid w:val="008C61F1"/>
    <w:rsid w:val="008C7757"/>
    <w:rsid w:val="008C7FA9"/>
    <w:rsid w:val="008D0045"/>
    <w:rsid w:val="008D0C2E"/>
    <w:rsid w:val="008D0F16"/>
    <w:rsid w:val="008D1412"/>
    <w:rsid w:val="008D193A"/>
    <w:rsid w:val="008D265F"/>
    <w:rsid w:val="008D2F2A"/>
    <w:rsid w:val="008D3126"/>
    <w:rsid w:val="008D401A"/>
    <w:rsid w:val="008D41EB"/>
    <w:rsid w:val="008D45D5"/>
    <w:rsid w:val="008D4866"/>
    <w:rsid w:val="008D4912"/>
    <w:rsid w:val="008D4A94"/>
    <w:rsid w:val="008D52D7"/>
    <w:rsid w:val="008D5399"/>
    <w:rsid w:val="008D5806"/>
    <w:rsid w:val="008D6234"/>
    <w:rsid w:val="008D687F"/>
    <w:rsid w:val="008D6904"/>
    <w:rsid w:val="008D699F"/>
    <w:rsid w:val="008D74C5"/>
    <w:rsid w:val="008E00C3"/>
    <w:rsid w:val="008E031B"/>
    <w:rsid w:val="008E090C"/>
    <w:rsid w:val="008E0EA8"/>
    <w:rsid w:val="008E113C"/>
    <w:rsid w:val="008E1A01"/>
    <w:rsid w:val="008E1DDC"/>
    <w:rsid w:val="008E1F23"/>
    <w:rsid w:val="008E221F"/>
    <w:rsid w:val="008E228D"/>
    <w:rsid w:val="008E345F"/>
    <w:rsid w:val="008E373D"/>
    <w:rsid w:val="008E3F12"/>
    <w:rsid w:val="008E4BD2"/>
    <w:rsid w:val="008E576E"/>
    <w:rsid w:val="008E59CD"/>
    <w:rsid w:val="008E61B8"/>
    <w:rsid w:val="008E6C1C"/>
    <w:rsid w:val="008E6D03"/>
    <w:rsid w:val="008E6D94"/>
    <w:rsid w:val="008E6F00"/>
    <w:rsid w:val="008E7306"/>
    <w:rsid w:val="008F02C9"/>
    <w:rsid w:val="008F04CB"/>
    <w:rsid w:val="008F05AD"/>
    <w:rsid w:val="008F05EC"/>
    <w:rsid w:val="008F0705"/>
    <w:rsid w:val="008F0747"/>
    <w:rsid w:val="008F0961"/>
    <w:rsid w:val="008F0E8B"/>
    <w:rsid w:val="008F0F6F"/>
    <w:rsid w:val="008F1341"/>
    <w:rsid w:val="008F172E"/>
    <w:rsid w:val="008F232E"/>
    <w:rsid w:val="008F2A11"/>
    <w:rsid w:val="008F3234"/>
    <w:rsid w:val="008F3753"/>
    <w:rsid w:val="008F46D5"/>
    <w:rsid w:val="008F5051"/>
    <w:rsid w:val="008F5218"/>
    <w:rsid w:val="008F525F"/>
    <w:rsid w:val="008F574A"/>
    <w:rsid w:val="008F5B22"/>
    <w:rsid w:val="008F5B39"/>
    <w:rsid w:val="008F5B6B"/>
    <w:rsid w:val="008F5BE2"/>
    <w:rsid w:val="008F5E4F"/>
    <w:rsid w:val="008F659E"/>
    <w:rsid w:val="008F6A56"/>
    <w:rsid w:val="008F7252"/>
    <w:rsid w:val="008F748F"/>
    <w:rsid w:val="008F7BAD"/>
    <w:rsid w:val="008F7E97"/>
    <w:rsid w:val="009008CE"/>
    <w:rsid w:val="00900F5D"/>
    <w:rsid w:val="0090134E"/>
    <w:rsid w:val="00901815"/>
    <w:rsid w:val="00901966"/>
    <w:rsid w:val="00901BB3"/>
    <w:rsid w:val="00902554"/>
    <w:rsid w:val="009026DB"/>
    <w:rsid w:val="009027CC"/>
    <w:rsid w:val="00902EE0"/>
    <w:rsid w:val="0090321F"/>
    <w:rsid w:val="00903523"/>
    <w:rsid w:val="0090355E"/>
    <w:rsid w:val="009035F6"/>
    <w:rsid w:val="0090386F"/>
    <w:rsid w:val="009039DB"/>
    <w:rsid w:val="00903B87"/>
    <w:rsid w:val="00903EF3"/>
    <w:rsid w:val="009045BB"/>
    <w:rsid w:val="009048FD"/>
    <w:rsid w:val="00904CD3"/>
    <w:rsid w:val="00905E29"/>
    <w:rsid w:val="00905E99"/>
    <w:rsid w:val="0090658A"/>
    <w:rsid w:val="00906FA6"/>
    <w:rsid w:val="00907656"/>
    <w:rsid w:val="00907D6C"/>
    <w:rsid w:val="00907F99"/>
    <w:rsid w:val="00911990"/>
    <w:rsid w:val="00912066"/>
    <w:rsid w:val="0091271C"/>
    <w:rsid w:val="0091275F"/>
    <w:rsid w:val="00912935"/>
    <w:rsid w:val="0091312A"/>
    <w:rsid w:val="00913696"/>
    <w:rsid w:val="00913B62"/>
    <w:rsid w:val="00913CE3"/>
    <w:rsid w:val="00913D6C"/>
    <w:rsid w:val="009142B9"/>
    <w:rsid w:val="009143FC"/>
    <w:rsid w:val="009144BC"/>
    <w:rsid w:val="00915194"/>
    <w:rsid w:val="00915456"/>
    <w:rsid w:val="00915D92"/>
    <w:rsid w:val="0091600E"/>
    <w:rsid w:val="009168A6"/>
    <w:rsid w:val="00916A9C"/>
    <w:rsid w:val="00916B40"/>
    <w:rsid w:val="00916F4E"/>
    <w:rsid w:val="009171DD"/>
    <w:rsid w:val="00917D6B"/>
    <w:rsid w:val="0091B0F9"/>
    <w:rsid w:val="00920E29"/>
    <w:rsid w:val="009211A4"/>
    <w:rsid w:val="009217F9"/>
    <w:rsid w:val="00921A13"/>
    <w:rsid w:val="00921C8B"/>
    <w:rsid w:val="00921D99"/>
    <w:rsid w:val="00921DC0"/>
    <w:rsid w:val="00921F05"/>
    <w:rsid w:val="009225CE"/>
    <w:rsid w:val="009227DC"/>
    <w:rsid w:val="00922ED6"/>
    <w:rsid w:val="0092303B"/>
    <w:rsid w:val="00923257"/>
    <w:rsid w:val="00923633"/>
    <w:rsid w:val="0092402F"/>
    <w:rsid w:val="009247E6"/>
    <w:rsid w:val="00924D4F"/>
    <w:rsid w:val="00924E03"/>
    <w:rsid w:val="009256ED"/>
    <w:rsid w:val="00925A25"/>
    <w:rsid w:val="00925ACD"/>
    <w:rsid w:val="00926044"/>
    <w:rsid w:val="00926431"/>
    <w:rsid w:val="009266A3"/>
    <w:rsid w:val="00926E02"/>
    <w:rsid w:val="0092722B"/>
    <w:rsid w:val="009273C4"/>
    <w:rsid w:val="00927445"/>
    <w:rsid w:val="00927449"/>
    <w:rsid w:val="009278F3"/>
    <w:rsid w:val="00927BAE"/>
    <w:rsid w:val="00927EDA"/>
    <w:rsid w:val="00927F36"/>
    <w:rsid w:val="00927FC6"/>
    <w:rsid w:val="00930180"/>
    <w:rsid w:val="009302B5"/>
    <w:rsid w:val="009304EA"/>
    <w:rsid w:val="009308EC"/>
    <w:rsid w:val="00930F03"/>
    <w:rsid w:val="0093168B"/>
    <w:rsid w:val="00931E84"/>
    <w:rsid w:val="009324AD"/>
    <w:rsid w:val="00932B4F"/>
    <w:rsid w:val="0093329E"/>
    <w:rsid w:val="009337D8"/>
    <w:rsid w:val="00933CE1"/>
    <w:rsid w:val="00934437"/>
    <w:rsid w:val="00934B6D"/>
    <w:rsid w:val="00934FB2"/>
    <w:rsid w:val="009350CC"/>
    <w:rsid w:val="00935330"/>
    <w:rsid w:val="00935817"/>
    <w:rsid w:val="00936ACD"/>
    <w:rsid w:val="00937641"/>
    <w:rsid w:val="00937877"/>
    <w:rsid w:val="00937C59"/>
    <w:rsid w:val="0094084D"/>
    <w:rsid w:val="009411A5"/>
    <w:rsid w:val="0094131D"/>
    <w:rsid w:val="0094174E"/>
    <w:rsid w:val="00941944"/>
    <w:rsid w:val="00941A01"/>
    <w:rsid w:val="0094254C"/>
    <w:rsid w:val="00942777"/>
    <w:rsid w:val="009427F3"/>
    <w:rsid w:val="00942971"/>
    <w:rsid w:val="009429AE"/>
    <w:rsid w:val="00942FBE"/>
    <w:rsid w:val="0094366F"/>
    <w:rsid w:val="00943C6E"/>
    <w:rsid w:val="009443CC"/>
    <w:rsid w:val="009444E3"/>
    <w:rsid w:val="00945762"/>
    <w:rsid w:val="0094633F"/>
    <w:rsid w:val="009464EC"/>
    <w:rsid w:val="00946DD0"/>
    <w:rsid w:val="00947635"/>
    <w:rsid w:val="00947D96"/>
    <w:rsid w:val="0095045A"/>
    <w:rsid w:val="00950704"/>
    <w:rsid w:val="009507B6"/>
    <w:rsid w:val="009508BC"/>
    <w:rsid w:val="00952014"/>
    <w:rsid w:val="00952715"/>
    <w:rsid w:val="0095283E"/>
    <w:rsid w:val="0095293A"/>
    <w:rsid w:val="00952AD6"/>
    <w:rsid w:val="0095327A"/>
    <w:rsid w:val="009536BE"/>
    <w:rsid w:val="00953983"/>
    <w:rsid w:val="00953ED7"/>
    <w:rsid w:val="00953F84"/>
    <w:rsid w:val="00954DBC"/>
    <w:rsid w:val="00954DCA"/>
    <w:rsid w:val="0095576A"/>
    <w:rsid w:val="00955791"/>
    <w:rsid w:val="009558DA"/>
    <w:rsid w:val="009559CC"/>
    <w:rsid w:val="00955E7C"/>
    <w:rsid w:val="009562FF"/>
    <w:rsid w:val="009566B5"/>
    <w:rsid w:val="00956B71"/>
    <w:rsid w:val="00956C96"/>
    <w:rsid w:val="00957026"/>
    <w:rsid w:val="0095731D"/>
    <w:rsid w:val="009574A9"/>
    <w:rsid w:val="009577BD"/>
    <w:rsid w:val="009577C0"/>
    <w:rsid w:val="00957DEF"/>
    <w:rsid w:val="00960818"/>
    <w:rsid w:val="00960923"/>
    <w:rsid w:val="009609E1"/>
    <w:rsid w:val="00961399"/>
    <w:rsid w:val="00961589"/>
    <w:rsid w:val="009619E0"/>
    <w:rsid w:val="009622B0"/>
    <w:rsid w:val="00962404"/>
    <w:rsid w:val="009625A5"/>
    <w:rsid w:val="009627D6"/>
    <w:rsid w:val="00962CB4"/>
    <w:rsid w:val="00962DBC"/>
    <w:rsid w:val="00962F22"/>
    <w:rsid w:val="00963488"/>
    <w:rsid w:val="00963596"/>
    <w:rsid w:val="00963BDC"/>
    <w:rsid w:val="0096418A"/>
    <w:rsid w:val="00964341"/>
    <w:rsid w:val="009644F2"/>
    <w:rsid w:val="0096457E"/>
    <w:rsid w:val="0096515B"/>
    <w:rsid w:val="009652C4"/>
    <w:rsid w:val="00965E14"/>
    <w:rsid w:val="00965F06"/>
    <w:rsid w:val="00966114"/>
    <w:rsid w:val="00966DA5"/>
    <w:rsid w:val="009702DF"/>
    <w:rsid w:val="0097089D"/>
    <w:rsid w:val="009709E4"/>
    <w:rsid w:val="0097122B"/>
    <w:rsid w:val="00972158"/>
    <w:rsid w:val="009725BA"/>
    <w:rsid w:val="00972981"/>
    <w:rsid w:val="00972A9D"/>
    <w:rsid w:val="00972C33"/>
    <w:rsid w:val="00973465"/>
    <w:rsid w:val="009738BB"/>
    <w:rsid w:val="00973960"/>
    <w:rsid w:val="00973A18"/>
    <w:rsid w:val="00974138"/>
    <w:rsid w:val="009745EE"/>
    <w:rsid w:val="00974B11"/>
    <w:rsid w:val="00974E20"/>
    <w:rsid w:val="009760CA"/>
    <w:rsid w:val="009769D6"/>
    <w:rsid w:val="00976DCF"/>
    <w:rsid w:val="009770DD"/>
    <w:rsid w:val="00977FEF"/>
    <w:rsid w:val="0098034A"/>
    <w:rsid w:val="00980BC7"/>
    <w:rsid w:val="00980D19"/>
    <w:rsid w:val="0098125F"/>
    <w:rsid w:val="0098131E"/>
    <w:rsid w:val="009816A8"/>
    <w:rsid w:val="009825EF"/>
    <w:rsid w:val="00982853"/>
    <w:rsid w:val="00982E3F"/>
    <w:rsid w:val="0098321C"/>
    <w:rsid w:val="00983671"/>
    <w:rsid w:val="00984873"/>
    <w:rsid w:val="00984F8B"/>
    <w:rsid w:val="0098501D"/>
    <w:rsid w:val="00985204"/>
    <w:rsid w:val="00985263"/>
    <w:rsid w:val="00986239"/>
    <w:rsid w:val="00986688"/>
    <w:rsid w:val="009879C6"/>
    <w:rsid w:val="00987E15"/>
    <w:rsid w:val="00987E8F"/>
    <w:rsid w:val="0099007C"/>
    <w:rsid w:val="0099037E"/>
    <w:rsid w:val="0099047A"/>
    <w:rsid w:val="0099066A"/>
    <w:rsid w:val="009906FE"/>
    <w:rsid w:val="00990807"/>
    <w:rsid w:val="00991942"/>
    <w:rsid w:val="00991AF1"/>
    <w:rsid w:val="009922FA"/>
    <w:rsid w:val="00992D61"/>
    <w:rsid w:val="00992EEB"/>
    <w:rsid w:val="0099349E"/>
    <w:rsid w:val="0099393E"/>
    <w:rsid w:val="00994072"/>
    <w:rsid w:val="00994344"/>
    <w:rsid w:val="00994973"/>
    <w:rsid w:val="00994D83"/>
    <w:rsid w:val="00994E5C"/>
    <w:rsid w:val="00995136"/>
    <w:rsid w:val="00995191"/>
    <w:rsid w:val="00995438"/>
    <w:rsid w:val="0099560E"/>
    <w:rsid w:val="009958DD"/>
    <w:rsid w:val="00995EB7"/>
    <w:rsid w:val="00996111"/>
    <w:rsid w:val="009968D0"/>
    <w:rsid w:val="00996920"/>
    <w:rsid w:val="00996CA6"/>
    <w:rsid w:val="00996FCB"/>
    <w:rsid w:val="00997239"/>
    <w:rsid w:val="00997AF9"/>
    <w:rsid w:val="009A023C"/>
    <w:rsid w:val="009A0414"/>
    <w:rsid w:val="009A0766"/>
    <w:rsid w:val="009A0988"/>
    <w:rsid w:val="009A1C1F"/>
    <w:rsid w:val="009A1D89"/>
    <w:rsid w:val="009A1F06"/>
    <w:rsid w:val="009A21DA"/>
    <w:rsid w:val="009A2A19"/>
    <w:rsid w:val="009A2BB9"/>
    <w:rsid w:val="009A2DBA"/>
    <w:rsid w:val="009A30DC"/>
    <w:rsid w:val="009A32F1"/>
    <w:rsid w:val="009A3401"/>
    <w:rsid w:val="009A34F6"/>
    <w:rsid w:val="009A3758"/>
    <w:rsid w:val="009A3A19"/>
    <w:rsid w:val="009A4136"/>
    <w:rsid w:val="009A43F9"/>
    <w:rsid w:val="009A4703"/>
    <w:rsid w:val="009A489B"/>
    <w:rsid w:val="009A498A"/>
    <w:rsid w:val="009A5542"/>
    <w:rsid w:val="009A56F9"/>
    <w:rsid w:val="009A62DF"/>
    <w:rsid w:val="009A6436"/>
    <w:rsid w:val="009A6851"/>
    <w:rsid w:val="009A6EC9"/>
    <w:rsid w:val="009A7AE7"/>
    <w:rsid w:val="009B0168"/>
    <w:rsid w:val="009B0737"/>
    <w:rsid w:val="009B0927"/>
    <w:rsid w:val="009B1805"/>
    <w:rsid w:val="009B1890"/>
    <w:rsid w:val="009B250A"/>
    <w:rsid w:val="009B2734"/>
    <w:rsid w:val="009B3648"/>
    <w:rsid w:val="009B3B62"/>
    <w:rsid w:val="009B3C27"/>
    <w:rsid w:val="009B48E9"/>
    <w:rsid w:val="009B4995"/>
    <w:rsid w:val="009B4C8E"/>
    <w:rsid w:val="009B4D8B"/>
    <w:rsid w:val="009B507B"/>
    <w:rsid w:val="009B5548"/>
    <w:rsid w:val="009B59CD"/>
    <w:rsid w:val="009B64A2"/>
    <w:rsid w:val="009B65F7"/>
    <w:rsid w:val="009B677A"/>
    <w:rsid w:val="009B69E6"/>
    <w:rsid w:val="009B6FDE"/>
    <w:rsid w:val="009B7AEE"/>
    <w:rsid w:val="009B7BBB"/>
    <w:rsid w:val="009C12E6"/>
    <w:rsid w:val="009C24CA"/>
    <w:rsid w:val="009C25CB"/>
    <w:rsid w:val="009C2BF4"/>
    <w:rsid w:val="009C3663"/>
    <w:rsid w:val="009C4230"/>
    <w:rsid w:val="009C432B"/>
    <w:rsid w:val="009C47F1"/>
    <w:rsid w:val="009C50A4"/>
    <w:rsid w:val="009C5112"/>
    <w:rsid w:val="009C5452"/>
    <w:rsid w:val="009C5675"/>
    <w:rsid w:val="009C5A71"/>
    <w:rsid w:val="009C689A"/>
    <w:rsid w:val="009C6B8D"/>
    <w:rsid w:val="009C74B7"/>
    <w:rsid w:val="009C791A"/>
    <w:rsid w:val="009C7F7C"/>
    <w:rsid w:val="009D03CF"/>
    <w:rsid w:val="009D08B2"/>
    <w:rsid w:val="009D0C74"/>
    <w:rsid w:val="009D1333"/>
    <w:rsid w:val="009D1858"/>
    <w:rsid w:val="009D27EC"/>
    <w:rsid w:val="009D32FB"/>
    <w:rsid w:val="009D383D"/>
    <w:rsid w:val="009D3E3C"/>
    <w:rsid w:val="009D461A"/>
    <w:rsid w:val="009D5514"/>
    <w:rsid w:val="009D55D6"/>
    <w:rsid w:val="009D6007"/>
    <w:rsid w:val="009D6352"/>
    <w:rsid w:val="009D6376"/>
    <w:rsid w:val="009D666A"/>
    <w:rsid w:val="009D6F79"/>
    <w:rsid w:val="009D7711"/>
    <w:rsid w:val="009D7B7C"/>
    <w:rsid w:val="009D7E89"/>
    <w:rsid w:val="009E0A40"/>
    <w:rsid w:val="009E11AA"/>
    <w:rsid w:val="009E1618"/>
    <w:rsid w:val="009E1799"/>
    <w:rsid w:val="009E1934"/>
    <w:rsid w:val="009E20DF"/>
    <w:rsid w:val="009E220A"/>
    <w:rsid w:val="009E2C6C"/>
    <w:rsid w:val="009E3C26"/>
    <w:rsid w:val="009E4327"/>
    <w:rsid w:val="009E55CE"/>
    <w:rsid w:val="009E6048"/>
    <w:rsid w:val="009E63FD"/>
    <w:rsid w:val="009E6538"/>
    <w:rsid w:val="009E7008"/>
    <w:rsid w:val="009E78FF"/>
    <w:rsid w:val="009F0201"/>
    <w:rsid w:val="009F0243"/>
    <w:rsid w:val="009F0249"/>
    <w:rsid w:val="009F02B7"/>
    <w:rsid w:val="009F065D"/>
    <w:rsid w:val="009F067D"/>
    <w:rsid w:val="009F0A1F"/>
    <w:rsid w:val="009F139D"/>
    <w:rsid w:val="009F1948"/>
    <w:rsid w:val="009F1CB1"/>
    <w:rsid w:val="009F2A59"/>
    <w:rsid w:val="009F396C"/>
    <w:rsid w:val="009F443D"/>
    <w:rsid w:val="009F44A8"/>
    <w:rsid w:val="009F45B2"/>
    <w:rsid w:val="009F4E6C"/>
    <w:rsid w:val="009F5791"/>
    <w:rsid w:val="009F5AAA"/>
    <w:rsid w:val="009F5B77"/>
    <w:rsid w:val="009F5F01"/>
    <w:rsid w:val="009F662F"/>
    <w:rsid w:val="009F6CC2"/>
    <w:rsid w:val="009F720E"/>
    <w:rsid w:val="009F72FC"/>
    <w:rsid w:val="009F7864"/>
    <w:rsid w:val="00A00313"/>
    <w:rsid w:val="00A014B0"/>
    <w:rsid w:val="00A0155A"/>
    <w:rsid w:val="00A0170D"/>
    <w:rsid w:val="00A017B0"/>
    <w:rsid w:val="00A02906"/>
    <w:rsid w:val="00A02BC0"/>
    <w:rsid w:val="00A02C80"/>
    <w:rsid w:val="00A02FB1"/>
    <w:rsid w:val="00A032F6"/>
    <w:rsid w:val="00A040B4"/>
    <w:rsid w:val="00A04204"/>
    <w:rsid w:val="00A04335"/>
    <w:rsid w:val="00A04A17"/>
    <w:rsid w:val="00A05272"/>
    <w:rsid w:val="00A05ABC"/>
    <w:rsid w:val="00A05BEC"/>
    <w:rsid w:val="00A05D2E"/>
    <w:rsid w:val="00A078C1"/>
    <w:rsid w:val="00A07B21"/>
    <w:rsid w:val="00A10CD1"/>
    <w:rsid w:val="00A113D7"/>
    <w:rsid w:val="00A115B9"/>
    <w:rsid w:val="00A11667"/>
    <w:rsid w:val="00A11972"/>
    <w:rsid w:val="00A11CEB"/>
    <w:rsid w:val="00A1218E"/>
    <w:rsid w:val="00A12859"/>
    <w:rsid w:val="00A13AFD"/>
    <w:rsid w:val="00A13BBA"/>
    <w:rsid w:val="00A150DA"/>
    <w:rsid w:val="00A16016"/>
    <w:rsid w:val="00A165AF"/>
    <w:rsid w:val="00A16624"/>
    <w:rsid w:val="00A16828"/>
    <w:rsid w:val="00A16B71"/>
    <w:rsid w:val="00A16D85"/>
    <w:rsid w:val="00A1748E"/>
    <w:rsid w:val="00A17534"/>
    <w:rsid w:val="00A17536"/>
    <w:rsid w:val="00A1777F"/>
    <w:rsid w:val="00A17B63"/>
    <w:rsid w:val="00A17E17"/>
    <w:rsid w:val="00A20539"/>
    <w:rsid w:val="00A206E1"/>
    <w:rsid w:val="00A213A4"/>
    <w:rsid w:val="00A21531"/>
    <w:rsid w:val="00A21B8B"/>
    <w:rsid w:val="00A22585"/>
    <w:rsid w:val="00A23555"/>
    <w:rsid w:val="00A235CF"/>
    <w:rsid w:val="00A23AA1"/>
    <w:rsid w:val="00A23C7D"/>
    <w:rsid w:val="00A245F3"/>
    <w:rsid w:val="00A246DC"/>
    <w:rsid w:val="00A24C66"/>
    <w:rsid w:val="00A24C81"/>
    <w:rsid w:val="00A25240"/>
    <w:rsid w:val="00A254B7"/>
    <w:rsid w:val="00A2601D"/>
    <w:rsid w:val="00A26C62"/>
    <w:rsid w:val="00A26C7A"/>
    <w:rsid w:val="00A26F07"/>
    <w:rsid w:val="00A2749D"/>
    <w:rsid w:val="00A2758D"/>
    <w:rsid w:val="00A279F9"/>
    <w:rsid w:val="00A27B7C"/>
    <w:rsid w:val="00A314E1"/>
    <w:rsid w:val="00A315EB"/>
    <w:rsid w:val="00A317A7"/>
    <w:rsid w:val="00A31C99"/>
    <w:rsid w:val="00A322C8"/>
    <w:rsid w:val="00A329C4"/>
    <w:rsid w:val="00A32CF9"/>
    <w:rsid w:val="00A335B8"/>
    <w:rsid w:val="00A33613"/>
    <w:rsid w:val="00A33CCF"/>
    <w:rsid w:val="00A34957"/>
    <w:rsid w:val="00A34EFD"/>
    <w:rsid w:val="00A34F98"/>
    <w:rsid w:val="00A34FC6"/>
    <w:rsid w:val="00A35DFF"/>
    <w:rsid w:val="00A360A0"/>
    <w:rsid w:val="00A3697D"/>
    <w:rsid w:val="00A36AB0"/>
    <w:rsid w:val="00A37A8F"/>
    <w:rsid w:val="00A37C81"/>
    <w:rsid w:val="00A40919"/>
    <w:rsid w:val="00A41044"/>
    <w:rsid w:val="00A41AB7"/>
    <w:rsid w:val="00A4257C"/>
    <w:rsid w:val="00A42BD9"/>
    <w:rsid w:val="00A42EE9"/>
    <w:rsid w:val="00A42F40"/>
    <w:rsid w:val="00A43446"/>
    <w:rsid w:val="00A43AA9"/>
    <w:rsid w:val="00A43B1A"/>
    <w:rsid w:val="00A44B3F"/>
    <w:rsid w:val="00A45050"/>
    <w:rsid w:val="00A454D8"/>
    <w:rsid w:val="00A462F2"/>
    <w:rsid w:val="00A46ED9"/>
    <w:rsid w:val="00A472EE"/>
    <w:rsid w:val="00A4772B"/>
    <w:rsid w:val="00A47F7D"/>
    <w:rsid w:val="00A47FED"/>
    <w:rsid w:val="00A4B27C"/>
    <w:rsid w:val="00A5042B"/>
    <w:rsid w:val="00A504BD"/>
    <w:rsid w:val="00A50561"/>
    <w:rsid w:val="00A50634"/>
    <w:rsid w:val="00A50F48"/>
    <w:rsid w:val="00A51049"/>
    <w:rsid w:val="00A51850"/>
    <w:rsid w:val="00A519ED"/>
    <w:rsid w:val="00A51CF4"/>
    <w:rsid w:val="00A53B9A"/>
    <w:rsid w:val="00A53E01"/>
    <w:rsid w:val="00A544AA"/>
    <w:rsid w:val="00A55AA9"/>
    <w:rsid w:val="00A571FB"/>
    <w:rsid w:val="00A575DA"/>
    <w:rsid w:val="00A57C0D"/>
    <w:rsid w:val="00A606FA"/>
    <w:rsid w:val="00A60A65"/>
    <w:rsid w:val="00A61222"/>
    <w:rsid w:val="00A6168A"/>
    <w:rsid w:val="00A61A29"/>
    <w:rsid w:val="00A6242C"/>
    <w:rsid w:val="00A62F82"/>
    <w:rsid w:val="00A6347E"/>
    <w:rsid w:val="00A63818"/>
    <w:rsid w:val="00A63E60"/>
    <w:rsid w:val="00A642F1"/>
    <w:rsid w:val="00A643B2"/>
    <w:rsid w:val="00A64435"/>
    <w:rsid w:val="00A646CF"/>
    <w:rsid w:val="00A64AE8"/>
    <w:rsid w:val="00A678D3"/>
    <w:rsid w:val="00A678FB"/>
    <w:rsid w:val="00A67F3B"/>
    <w:rsid w:val="00A705A4"/>
    <w:rsid w:val="00A70D39"/>
    <w:rsid w:val="00A71D89"/>
    <w:rsid w:val="00A72A08"/>
    <w:rsid w:val="00A72B0B"/>
    <w:rsid w:val="00A72CF2"/>
    <w:rsid w:val="00A73167"/>
    <w:rsid w:val="00A7327B"/>
    <w:rsid w:val="00A73626"/>
    <w:rsid w:val="00A73E4D"/>
    <w:rsid w:val="00A74157"/>
    <w:rsid w:val="00A743DC"/>
    <w:rsid w:val="00A747AC"/>
    <w:rsid w:val="00A74C67"/>
    <w:rsid w:val="00A7555C"/>
    <w:rsid w:val="00A75980"/>
    <w:rsid w:val="00A76655"/>
    <w:rsid w:val="00A77262"/>
    <w:rsid w:val="00A776D3"/>
    <w:rsid w:val="00A77BEF"/>
    <w:rsid w:val="00A80BD3"/>
    <w:rsid w:val="00A81510"/>
    <w:rsid w:val="00A81B2C"/>
    <w:rsid w:val="00A81EB0"/>
    <w:rsid w:val="00A822A6"/>
    <w:rsid w:val="00A8307C"/>
    <w:rsid w:val="00A830D4"/>
    <w:rsid w:val="00A830D6"/>
    <w:rsid w:val="00A8362E"/>
    <w:rsid w:val="00A8374A"/>
    <w:rsid w:val="00A83E1A"/>
    <w:rsid w:val="00A8404D"/>
    <w:rsid w:val="00A844CF"/>
    <w:rsid w:val="00A84D16"/>
    <w:rsid w:val="00A85020"/>
    <w:rsid w:val="00A855C9"/>
    <w:rsid w:val="00A856AB"/>
    <w:rsid w:val="00A86031"/>
    <w:rsid w:val="00A86964"/>
    <w:rsid w:val="00A86B52"/>
    <w:rsid w:val="00A87B00"/>
    <w:rsid w:val="00A90BBE"/>
    <w:rsid w:val="00A90D1C"/>
    <w:rsid w:val="00A90EF9"/>
    <w:rsid w:val="00A91432"/>
    <w:rsid w:val="00A92993"/>
    <w:rsid w:val="00A92EE7"/>
    <w:rsid w:val="00A93652"/>
    <w:rsid w:val="00A9386A"/>
    <w:rsid w:val="00A939E0"/>
    <w:rsid w:val="00A94238"/>
    <w:rsid w:val="00A94CFA"/>
    <w:rsid w:val="00A95757"/>
    <w:rsid w:val="00A9586B"/>
    <w:rsid w:val="00A95DA1"/>
    <w:rsid w:val="00A96141"/>
    <w:rsid w:val="00A963A7"/>
    <w:rsid w:val="00A96C5F"/>
    <w:rsid w:val="00A96F0B"/>
    <w:rsid w:val="00A97770"/>
    <w:rsid w:val="00AA0A32"/>
    <w:rsid w:val="00AA10DC"/>
    <w:rsid w:val="00AA1748"/>
    <w:rsid w:val="00AA1BFE"/>
    <w:rsid w:val="00AA3314"/>
    <w:rsid w:val="00AA33E7"/>
    <w:rsid w:val="00AA3714"/>
    <w:rsid w:val="00AA3A50"/>
    <w:rsid w:val="00AA49F1"/>
    <w:rsid w:val="00AA5018"/>
    <w:rsid w:val="00AA506A"/>
    <w:rsid w:val="00AA514F"/>
    <w:rsid w:val="00AA51D7"/>
    <w:rsid w:val="00AA5B5F"/>
    <w:rsid w:val="00AA5E0E"/>
    <w:rsid w:val="00AA711D"/>
    <w:rsid w:val="00AA7665"/>
    <w:rsid w:val="00AA7CB1"/>
    <w:rsid w:val="00AA7EC3"/>
    <w:rsid w:val="00AB0004"/>
    <w:rsid w:val="00AB01A3"/>
    <w:rsid w:val="00AB0353"/>
    <w:rsid w:val="00AB0379"/>
    <w:rsid w:val="00AB170D"/>
    <w:rsid w:val="00AB18EB"/>
    <w:rsid w:val="00AB1C9A"/>
    <w:rsid w:val="00AB2A14"/>
    <w:rsid w:val="00AB2A8D"/>
    <w:rsid w:val="00AB2C30"/>
    <w:rsid w:val="00AB3167"/>
    <w:rsid w:val="00AB31DA"/>
    <w:rsid w:val="00AB3BE0"/>
    <w:rsid w:val="00AB3C3C"/>
    <w:rsid w:val="00AB4551"/>
    <w:rsid w:val="00AB45F1"/>
    <w:rsid w:val="00AB46C2"/>
    <w:rsid w:val="00AB4C4F"/>
    <w:rsid w:val="00AB4DE4"/>
    <w:rsid w:val="00AB4E35"/>
    <w:rsid w:val="00AB4F93"/>
    <w:rsid w:val="00AB5347"/>
    <w:rsid w:val="00AB5650"/>
    <w:rsid w:val="00AB60B9"/>
    <w:rsid w:val="00AB6381"/>
    <w:rsid w:val="00AB660B"/>
    <w:rsid w:val="00AB682B"/>
    <w:rsid w:val="00AB68A5"/>
    <w:rsid w:val="00AB6D61"/>
    <w:rsid w:val="00AB6F33"/>
    <w:rsid w:val="00AB6FF1"/>
    <w:rsid w:val="00AB7757"/>
    <w:rsid w:val="00AB7BA8"/>
    <w:rsid w:val="00AC038B"/>
    <w:rsid w:val="00AC0AFB"/>
    <w:rsid w:val="00AC0E6A"/>
    <w:rsid w:val="00AC140A"/>
    <w:rsid w:val="00AC1A20"/>
    <w:rsid w:val="00AC1C1C"/>
    <w:rsid w:val="00AC34CA"/>
    <w:rsid w:val="00AC3A98"/>
    <w:rsid w:val="00AC4300"/>
    <w:rsid w:val="00AC448A"/>
    <w:rsid w:val="00AC4B8A"/>
    <w:rsid w:val="00AC4C81"/>
    <w:rsid w:val="00AC5A9A"/>
    <w:rsid w:val="00AC60AD"/>
    <w:rsid w:val="00AC6C48"/>
    <w:rsid w:val="00AC700B"/>
    <w:rsid w:val="00AC70CF"/>
    <w:rsid w:val="00AC75F0"/>
    <w:rsid w:val="00AC7D8E"/>
    <w:rsid w:val="00AD02D3"/>
    <w:rsid w:val="00AD04D0"/>
    <w:rsid w:val="00AD09B7"/>
    <w:rsid w:val="00AD0C10"/>
    <w:rsid w:val="00AD1080"/>
    <w:rsid w:val="00AD1EBC"/>
    <w:rsid w:val="00AD226D"/>
    <w:rsid w:val="00AD2340"/>
    <w:rsid w:val="00AD25F4"/>
    <w:rsid w:val="00AD28D3"/>
    <w:rsid w:val="00AD2988"/>
    <w:rsid w:val="00AD2D14"/>
    <w:rsid w:val="00AD306B"/>
    <w:rsid w:val="00AD3442"/>
    <w:rsid w:val="00AD352D"/>
    <w:rsid w:val="00AD3976"/>
    <w:rsid w:val="00AD39A6"/>
    <w:rsid w:val="00AD3B70"/>
    <w:rsid w:val="00AD4B0E"/>
    <w:rsid w:val="00AD4C71"/>
    <w:rsid w:val="00AD531C"/>
    <w:rsid w:val="00AD57FD"/>
    <w:rsid w:val="00AD5C59"/>
    <w:rsid w:val="00AD6084"/>
    <w:rsid w:val="00AD686E"/>
    <w:rsid w:val="00AD6A98"/>
    <w:rsid w:val="00AD6F02"/>
    <w:rsid w:val="00AD7697"/>
    <w:rsid w:val="00AD7ABE"/>
    <w:rsid w:val="00AD7C24"/>
    <w:rsid w:val="00AE0B44"/>
    <w:rsid w:val="00AE17DB"/>
    <w:rsid w:val="00AE19F2"/>
    <w:rsid w:val="00AE1F96"/>
    <w:rsid w:val="00AE24D7"/>
    <w:rsid w:val="00AE26B1"/>
    <w:rsid w:val="00AE2A16"/>
    <w:rsid w:val="00AE2EB7"/>
    <w:rsid w:val="00AE2EF4"/>
    <w:rsid w:val="00AE31AD"/>
    <w:rsid w:val="00AE3B4D"/>
    <w:rsid w:val="00AE3E0B"/>
    <w:rsid w:val="00AE3F72"/>
    <w:rsid w:val="00AE450A"/>
    <w:rsid w:val="00AE4889"/>
    <w:rsid w:val="00AE499F"/>
    <w:rsid w:val="00AE4C29"/>
    <w:rsid w:val="00AE4D32"/>
    <w:rsid w:val="00AE53DD"/>
    <w:rsid w:val="00AE57CB"/>
    <w:rsid w:val="00AE5969"/>
    <w:rsid w:val="00AE5A48"/>
    <w:rsid w:val="00AE5A7F"/>
    <w:rsid w:val="00AE5F88"/>
    <w:rsid w:val="00AE64C4"/>
    <w:rsid w:val="00AE785F"/>
    <w:rsid w:val="00AE7EAB"/>
    <w:rsid w:val="00AF027C"/>
    <w:rsid w:val="00AF027D"/>
    <w:rsid w:val="00AF1856"/>
    <w:rsid w:val="00AF19BB"/>
    <w:rsid w:val="00AF1BBE"/>
    <w:rsid w:val="00AF1D2E"/>
    <w:rsid w:val="00AF1EBF"/>
    <w:rsid w:val="00AF24E7"/>
    <w:rsid w:val="00AF25AE"/>
    <w:rsid w:val="00AF2D1D"/>
    <w:rsid w:val="00AF3B66"/>
    <w:rsid w:val="00AF3CD7"/>
    <w:rsid w:val="00AF40C4"/>
    <w:rsid w:val="00AF4E39"/>
    <w:rsid w:val="00AF56E2"/>
    <w:rsid w:val="00AF5838"/>
    <w:rsid w:val="00AF58C1"/>
    <w:rsid w:val="00AF62FA"/>
    <w:rsid w:val="00AF63AA"/>
    <w:rsid w:val="00AF6507"/>
    <w:rsid w:val="00AF735A"/>
    <w:rsid w:val="00AF7809"/>
    <w:rsid w:val="00B006EA"/>
    <w:rsid w:val="00B0199D"/>
    <w:rsid w:val="00B01CE7"/>
    <w:rsid w:val="00B01F7A"/>
    <w:rsid w:val="00B02E45"/>
    <w:rsid w:val="00B02FF6"/>
    <w:rsid w:val="00B03E8B"/>
    <w:rsid w:val="00B0412B"/>
    <w:rsid w:val="00B043E0"/>
    <w:rsid w:val="00B063F7"/>
    <w:rsid w:val="00B06C37"/>
    <w:rsid w:val="00B071D7"/>
    <w:rsid w:val="00B07435"/>
    <w:rsid w:val="00B07600"/>
    <w:rsid w:val="00B079E1"/>
    <w:rsid w:val="00B07BCD"/>
    <w:rsid w:val="00B07D85"/>
    <w:rsid w:val="00B100D4"/>
    <w:rsid w:val="00B10491"/>
    <w:rsid w:val="00B10810"/>
    <w:rsid w:val="00B11920"/>
    <w:rsid w:val="00B1199D"/>
    <w:rsid w:val="00B11C52"/>
    <w:rsid w:val="00B1202C"/>
    <w:rsid w:val="00B127AF"/>
    <w:rsid w:val="00B12D95"/>
    <w:rsid w:val="00B12F62"/>
    <w:rsid w:val="00B1318F"/>
    <w:rsid w:val="00B13284"/>
    <w:rsid w:val="00B13303"/>
    <w:rsid w:val="00B13BA4"/>
    <w:rsid w:val="00B147B5"/>
    <w:rsid w:val="00B14834"/>
    <w:rsid w:val="00B1489C"/>
    <w:rsid w:val="00B14CBA"/>
    <w:rsid w:val="00B151DB"/>
    <w:rsid w:val="00B153E9"/>
    <w:rsid w:val="00B159C4"/>
    <w:rsid w:val="00B160FF"/>
    <w:rsid w:val="00B161D3"/>
    <w:rsid w:val="00B16DBD"/>
    <w:rsid w:val="00B1753E"/>
    <w:rsid w:val="00B177DE"/>
    <w:rsid w:val="00B17D6E"/>
    <w:rsid w:val="00B17E51"/>
    <w:rsid w:val="00B2031B"/>
    <w:rsid w:val="00B20364"/>
    <w:rsid w:val="00B2081D"/>
    <w:rsid w:val="00B20B0D"/>
    <w:rsid w:val="00B20C2A"/>
    <w:rsid w:val="00B20F0A"/>
    <w:rsid w:val="00B2113E"/>
    <w:rsid w:val="00B214D0"/>
    <w:rsid w:val="00B21F9E"/>
    <w:rsid w:val="00B22CAC"/>
    <w:rsid w:val="00B22CD2"/>
    <w:rsid w:val="00B231C6"/>
    <w:rsid w:val="00B23839"/>
    <w:rsid w:val="00B23CEE"/>
    <w:rsid w:val="00B23FFD"/>
    <w:rsid w:val="00B243A2"/>
    <w:rsid w:val="00B248F1"/>
    <w:rsid w:val="00B24DF5"/>
    <w:rsid w:val="00B250AB"/>
    <w:rsid w:val="00B25208"/>
    <w:rsid w:val="00B25448"/>
    <w:rsid w:val="00B26657"/>
    <w:rsid w:val="00B266A5"/>
    <w:rsid w:val="00B26861"/>
    <w:rsid w:val="00B26A8F"/>
    <w:rsid w:val="00B270A5"/>
    <w:rsid w:val="00B2756D"/>
    <w:rsid w:val="00B27999"/>
    <w:rsid w:val="00B27C6C"/>
    <w:rsid w:val="00B300E1"/>
    <w:rsid w:val="00B30794"/>
    <w:rsid w:val="00B30867"/>
    <w:rsid w:val="00B30D9F"/>
    <w:rsid w:val="00B30F4B"/>
    <w:rsid w:val="00B31A46"/>
    <w:rsid w:val="00B32478"/>
    <w:rsid w:val="00B32682"/>
    <w:rsid w:val="00B33EA5"/>
    <w:rsid w:val="00B34497"/>
    <w:rsid w:val="00B34642"/>
    <w:rsid w:val="00B34997"/>
    <w:rsid w:val="00B34E4A"/>
    <w:rsid w:val="00B3510B"/>
    <w:rsid w:val="00B35260"/>
    <w:rsid w:val="00B3545E"/>
    <w:rsid w:val="00B359F6"/>
    <w:rsid w:val="00B35C5A"/>
    <w:rsid w:val="00B35CF8"/>
    <w:rsid w:val="00B368E9"/>
    <w:rsid w:val="00B3743F"/>
    <w:rsid w:val="00B404FA"/>
    <w:rsid w:val="00B40A67"/>
    <w:rsid w:val="00B40B01"/>
    <w:rsid w:val="00B40BA3"/>
    <w:rsid w:val="00B40C54"/>
    <w:rsid w:val="00B40DB2"/>
    <w:rsid w:val="00B41140"/>
    <w:rsid w:val="00B415ED"/>
    <w:rsid w:val="00B41C09"/>
    <w:rsid w:val="00B42924"/>
    <w:rsid w:val="00B42A87"/>
    <w:rsid w:val="00B42C56"/>
    <w:rsid w:val="00B4388E"/>
    <w:rsid w:val="00B43D82"/>
    <w:rsid w:val="00B44534"/>
    <w:rsid w:val="00B44653"/>
    <w:rsid w:val="00B4473A"/>
    <w:rsid w:val="00B44802"/>
    <w:rsid w:val="00B448BB"/>
    <w:rsid w:val="00B44A9D"/>
    <w:rsid w:val="00B46A20"/>
    <w:rsid w:val="00B46B22"/>
    <w:rsid w:val="00B46B89"/>
    <w:rsid w:val="00B46C5B"/>
    <w:rsid w:val="00B474F1"/>
    <w:rsid w:val="00B4756E"/>
    <w:rsid w:val="00B47950"/>
    <w:rsid w:val="00B479E4"/>
    <w:rsid w:val="00B47A3E"/>
    <w:rsid w:val="00B47D70"/>
    <w:rsid w:val="00B50006"/>
    <w:rsid w:val="00B50C2E"/>
    <w:rsid w:val="00B51242"/>
    <w:rsid w:val="00B5141B"/>
    <w:rsid w:val="00B51446"/>
    <w:rsid w:val="00B514FC"/>
    <w:rsid w:val="00B5249F"/>
    <w:rsid w:val="00B525F9"/>
    <w:rsid w:val="00B52612"/>
    <w:rsid w:val="00B5282B"/>
    <w:rsid w:val="00B53351"/>
    <w:rsid w:val="00B5369F"/>
    <w:rsid w:val="00B53D76"/>
    <w:rsid w:val="00B544A9"/>
    <w:rsid w:val="00B544FE"/>
    <w:rsid w:val="00B54E49"/>
    <w:rsid w:val="00B55062"/>
    <w:rsid w:val="00B551CA"/>
    <w:rsid w:val="00B551E5"/>
    <w:rsid w:val="00B557DF"/>
    <w:rsid w:val="00B5610D"/>
    <w:rsid w:val="00B56304"/>
    <w:rsid w:val="00B57538"/>
    <w:rsid w:val="00B57B71"/>
    <w:rsid w:val="00B600F2"/>
    <w:rsid w:val="00B615E6"/>
    <w:rsid w:val="00B6203A"/>
    <w:rsid w:val="00B625AC"/>
    <w:rsid w:val="00B63127"/>
    <w:rsid w:val="00B63B92"/>
    <w:rsid w:val="00B64463"/>
    <w:rsid w:val="00B64B13"/>
    <w:rsid w:val="00B65700"/>
    <w:rsid w:val="00B65DBA"/>
    <w:rsid w:val="00B65EC3"/>
    <w:rsid w:val="00B66654"/>
    <w:rsid w:val="00B669E7"/>
    <w:rsid w:val="00B66CC1"/>
    <w:rsid w:val="00B67325"/>
    <w:rsid w:val="00B673BD"/>
    <w:rsid w:val="00B674FF"/>
    <w:rsid w:val="00B7041F"/>
    <w:rsid w:val="00B70780"/>
    <w:rsid w:val="00B70905"/>
    <w:rsid w:val="00B717A9"/>
    <w:rsid w:val="00B71AAE"/>
    <w:rsid w:val="00B7241C"/>
    <w:rsid w:val="00B72A30"/>
    <w:rsid w:val="00B72DBC"/>
    <w:rsid w:val="00B72FC6"/>
    <w:rsid w:val="00B73048"/>
    <w:rsid w:val="00B73374"/>
    <w:rsid w:val="00B73388"/>
    <w:rsid w:val="00B7390F"/>
    <w:rsid w:val="00B73A00"/>
    <w:rsid w:val="00B73CC9"/>
    <w:rsid w:val="00B73F5C"/>
    <w:rsid w:val="00B74181"/>
    <w:rsid w:val="00B74B05"/>
    <w:rsid w:val="00B74CA2"/>
    <w:rsid w:val="00B74E9F"/>
    <w:rsid w:val="00B74EF2"/>
    <w:rsid w:val="00B75E9D"/>
    <w:rsid w:val="00B76224"/>
    <w:rsid w:val="00B76320"/>
    <w:rsid w:val="00B76512"/>
    <w:rsid w:val="00B76FBA"/>
    <w:rsid w:val="00B77C6B"/>
    <w:rsid w:val="00B80258"/>
    <w:rsid w:val="00B804EF"/>
    <w:rsid w:val="00B820A9"/>
    <w:rsid w:val="00B820F7"/>
    <w:rsid w:val="00B82757"/>
    <w:rsid w:val="00B827FD"/>
    <w:rsid w:val="00B82F34"/>
    <w:rsid w:val="00B834F9"/>
    <w:rsid w:val="00B843E5"/>
    <w:rsid w:val="00B844E2"/>
    <w:rsid w:val="00B84B84"/>
    <w:rsid w:val="00B84C7B"/>
    <w:rsid w:val="00B853AD"/>
    <w:rsid w:val="00B853B8"/>
    <w:rsid w:val="00B85402"/>
    <w:rsid w:val="00B85B51"/>
    <w:rsid w:val="00B86017"/>
    <w:rsid w:val="00B8635A"/>
    <w:rsid w:val="00B863F8"/>
    <w:rsid w:val="00B87769"/>
    <w:rsid w:val="00B87B09"/>
    <w:rsid w:val="00B87E8C"/>
    <w:rsid w:val="00B87E8F"/>
    <w:rsid w:val="00B87FE7"/>
    <w:rsid w:val="00B90EB7"/>
    <w:rsid w:val="00B91F25"/>
    <w:rsid w:val="00B931E8"/>
    <w:rsid w:val="00B938D4"/>
    <w:rsid w:val="00B93C93"/>
    <w:rsid w:val="00B93F3A"/>
    <w:rsid w:val="00B94BA7"/>
    <w:rsid w:val="00B94C2C"/>
    <w:rsid w:val="00B95097"/>
    <w:rsid w:val="00B95679"/>
    <w:rsid w:val="00B95FAD"/>
    <w:rsid w:val="00B96CA0"/>
    <w:rsid w:val="00B96F32"/>
    <w:rsid w:val="00B977FA"/>
    <w:rsid w:val="00B978A8"/>
    <w:rsid w:val="00B97C19"/>
    <w:rsid w:val="00B97D88"/>
    <w:rsid w:val="00BA0158"/>
    <w:rsid w:val="00BA0225"/>
    <w:rsid w:val="00BA0246"/>
    <w:rsid w:val="00BA03DA"/>
    <w:rsid w:val="00BA1195"/>
    <w:rsid w:val="00BA11D1"/>
    <w:rsid w:val="00BA16FE"/>
    <w:rsid w:val="00BA1AA6"/>
    <w:rsid w:val="00BA1AAF"/>
    <w:rsid w:val="00BA1CFD"/>
    <w:rsid w:val="00BA2FC2"/>
    <w:rsid w:val="00BA357A"/>
    <w:rsid w:val="00BA35AF"/>
    <w:rsid w:val="00BA3F76"/>
    <w:rsid w:val="00BA4503"/>
    <w:rsid w:val="00BA4650"/>
    <w:rsid w:val="00BA467C"/>
    <w:rsid w:val="00BA506E"/>
    <w:rsid w:val="00BA58E4"/>
    <w:rsid w:val="00BA5BDE"/>
    <w:rsid w:val="00BA5EB2"/>
    <w:rsid w:val="00BA5F09"/>
    <w:rsid w:val="00BA66F8"/>
    <w:rsid w:val="00BA671A"/>
    <w:rsid w:val="00BA679B"/>
    <w:rsid w:val="00BA6992"/>
    <w:rsid w:val="00BA78F6"/>
    <w:rsid w:val="00BAE9A1"/>
    <w:rsid w:val="00BB0162"/>
    <w:rsid w:val="00BB0302"/>
    <w:rsid w:val="00BB08AF"/>
    <w:rsid w:val="00BB0EED"/>
    <w:rsid w:val="00BB1949"/>
    <w:rsid w:val="00BB1BA8"/>
    <w:rsid w:val="00BB20B9"/>
    <w:rsid w:val="00BB287E"/>
    <w:rsid w:val="00BB2A87"/>
    <w:rsid w:val="00BB2C65"/>
    <w:rsid w:val="00BB2D55"/>
    <w:rsid w:val="00BB3193"/>
    <w:rsid w:val="00BB32BA"/>
    <w:rsid w:val="00BB36BE"/>
    <w:rsid w:val="00BB3AD7"/>
    <w:rsid w:val="00BB3B1D"/>
    <w:rsid w:val="00BB3BC9"/>
    <w:rsid w:val="00BB4179"/>
    <w:rsid w:val="00BB443F"/>
    <w:rsid w:val="00BB4867"/>
    <w:rsid w:val="00BB4FE6"/>
    <w:rsid w:val="00BB5DA8"/>
    <w:rsid w:val="00BB63D1"/>
    <w:rsid w:val="00BB6B7B"/>
    <w:rsid w:val="00BB6DC2"/>
    <w:rsid w:val="00BB720A"/>
    <w:rsid w:val="00BB7356"/>
    <w:rsid w:val="00BB74E8"/>
    <w:rsid w:val="00BC10C6"/>
    <w:rsid w:val="00BC1496"/>
    <w:rsid w:val="00BC1CA0"/>
    <w:rsid w:val="00BC1D69"/>
    <w:rsid w:val="00BC1DF3"/>
    <w:rsid w:val="00BC1F33"/>
    <w:rsid w:val="00BC1FFE"/>
    <w:rsid w:val="00BC29F0"/>
    <w:rsid w:val="00BC2BF9"/>
    <w:rsid w:val="00BC3857"/>
    <w:rsid w:val="00BC441A"/>
    <w:rsid w:val="00BC4A2D"/>
    <w:rsid w:val="00BC4AD4"/>
    <w:rsid w:val="00BC4E89"/>
    <w:rsid w:val="00BC517E"/>
    <w:rsid w:val="00BC545A"/>
    <w:rsid w:val="00BC57A9"/>
    <w:rsid w:val="00BC5CCB"/>
    <w:rsid w:val="00BC5E8B"/>
    <w:rsid w:val="00BC5FD8"/>
    <w:rsid w:val="00BC64D6"/>
    <w:rsid w:val="00BC6816"/>
    <w:rsid w:val="00BC69F1"/>
    <w:rsid w:val="00BC710E"/>
    <w:rsid w:val="00BC7A52"/>
    <w:rsid w:val="00BD002F"/>
    <w:rsid w:val="00BD07E4"/>
    <w:rsid w:val="00BD08B7"/>
    <w:rsid w:val="00BD08E9"/>
    <w:rsid w:val="00BD0ABB"/>
    <w:rsid w:val="00BD1293"/>
    <w:rsid w:val="00BD159C"/>
    <w:rsid w:val="00BD18B0"/>
    <w:rsid w:val="00BD18EE"/>
    <w:rsid w:val="00BD1B8E"/>
    <w:rsid w:val="00BD1CFA"/>
    <w:rsid w:val="00BD22B8"/>
    <w:rsid w:val="00BD2364"/>
    <w:rsid w:val="00BD24FB"/>
    <w:rsid w:val="00BD28ED"/>
    <w:rsid w:val="00BD34F1"/>
    <w:rsid w:val="00BD3722"/>
    <w:rsid w:val="00BD3FE1"/>
    <w:rsid w:val="00BD4332"/>
    <w:rsid w:val="00BD4750"/>
    <w:rsid w:val="00BD4B6F"/>
    <w:rsid w:val="00BD4DBC"/>
    <w:rsid w:val="00BD5104"/>
    <w:rsid w:val="00BD550B"/>
    <w:rsid w:val="00BD56BE"/>
    <w:rsid w:val="00BD580B"/>
    <w:rsid w:val="00BD5C66"/>
    <w:rsid w:val="00BD611C"/>
    <w:rsid w:val="00BD6CDF"/>
    <w:rsid w:val="00BD73BC"/>
    <w:rsid w:val="00BD7533"/>
    <w:rsid w:val="00BD7686"/>
    <w:rsid w:val="00BE004B"/>
    <w:rsid w:val="00BE0244"/>
    <w:rsid w:val="00BE0687"/>
    <w:rsid w:val="00BE134D"/>
    <w:rsid w:val="00BE27A7"/>
    <w:rsid w:val="00BE3066"/>
    <w:rsid w:val="00BE31B0"/>
    <w:rsid w:val="00BE3277"/>
    <w:rsid w:val="00BE33D3"/>
    <w:rsid w:val="00BE3EC8"/>
    <w:rsid w:val="00BE3FB3"/>
    <w:rsid w:val="00BE48CD"/>
    <w:rsid w:val="00BE4971"/>
    <w:rsid w:val="00BE4C49"/>
    <w:rsid w:val="00BE4C7B"/>
    <w:rsid w:val="00BE4CA4"/>
    <w:rsid w:val="00BE544A"/>
    <w:rsid w:val="00BE5AD0"/>
    <w:rsid w:val="00BE6382"/>
    <w:rsid w:val="00BE6B0D"/>
    <w:rsid w:val="00BE6EB8"/>
    <w:rsid w:val="00BE7752"/>
    <w:rsid w:val="00BE7EAB"/>
    <w:rsid w:val="00BE7FA2"/>
    <w:rsid w:val="00BF0CAB"/>
    <w:rsid w:val="00BF0F5B"/>
    <w:rsid w:val="00BF1B6A"/>
    <w:rsid w:val="00BF1D20"/>
    <w:rsid w:val="00BF29A1"/>
    <w:rsid w:val="00BF303A"/>
    <w:rsid w:val="00BF3215"/>
    <w:rsid w:val="00BF362A"/>
    <w:rsid w:val="00BF3C4D"/>
    <w:rsid w:val="00BF42CE"/>
    <w:rsid w:val="00BF575F"/>
    <w:rsid w:val="00BF5E7C"/>
    <w:rsid w:val="00BF5EFF"/>
    <w:rsid w:val="00BF67B7"/>
    <w:rsid w:val="00BF7429"/>
    <w:rsid w:val="00BF74CC"/>
    <w:rsid w:val="00BF7840"/>
    <w:rsid w:val="00C0029A"/>
    <w:rsid w:val="00C0164E"/>
    <w:rsid w:val="00C01B4A"/>
    <w:rsid w:val="00C020E8"/>
    <w:rsid w:val="00C02681"/>
    <w:rsid w:val="00C029CE"/>
    <w:rsid w:val="00C03449"/>
    <w:rsid w:val="00C03ACC"/>
    <w:rsid w:val="00C03C9D"/>
    <w:rsid w:val="00C04089"/>
    <w:rsid w:val="00C0462F"/>
    <w:rsid w:val="00C04DAF"/>
    <w:rsid w:val="00C04F64"/>
    <w:rsid w:val="00C058F2"/>
    <w:rsid w:val="00C05EAE"/>
    <w:rsid w:val="00C06205"/>
    <w:rsid w:val="00C067BF"/>
    <w:rsid w:val="00C068EF"/>
    <w:rsid w:val="00C06A96"/>
    <w:rsid w:val="00C06C98"/>
    <w:rsid w:val="00C06D15"/>
    <w:rsid w:val="00C06D9F"/>
    <w:rsid w:val="00C073B3"/>
    <w:rsid w:val="00C07418"/>
    <w:rsid w:val="00C074B0"/>
    <w:rsid w:val="00C07B40"/>
    <w:rsid w:val="00C07E2C"/>
    <w:rsid w:val="00C0D063"/>
    <w:rsid w:val="00C10C7E"/>
    <w:rsid w:val="00C10D26"/>
    <w:rsid w:val="00C11032"/>
    <w:rsid w:val="00C11981"/>
    <w:rsid w:val="00C11BF4"/>
    <w:rsid w:val="00C11C7B"/>
    <w:rsid w:val="00C11D61"/>
    <w:rsid w:val="00C125AD"/>
    <w:rsid w:val="00C1320A"/>
    <w:rsid w:val="00C1329D"/>
    <w:rsid w:val="00C13918"/>
    <w:rsid w:val="00C13FFC"/>
    <w:rsid w:val="00C1446A"/>
    <w:rsid w:val="00C149C5"/>
    <w:rsid w:val="00C14BDB"/>
    <w:rsid w:val="00C14CFE"/>
    <w:rsid w:val="00C155F2"/>
    <w:rsid w:val="00C16847"/>
    <w:rsid w:val="00C1756F"/>
    <w:rsid w:val="00C175BE"/>
    <w:rsid w:val="00C17824"/>
    <w:rsid w:val="00C17CE0"/>
    <w:rsid w:val="00C20292"/>
    <w:rsid w:val="00C20536"/>
    <w:rsid w:val="00C210B8"/>
    <w:rsid w:val="00C21A36"/>
    <w:rsid w:val="00C21AB3"/>
    <w:rsid w:val="00C22696"/>
    <w:rsid w:val="00C22DF1"/>
    <w:rsid w:val="00C23FC5"/>
    <w:rsid w:val="00C241AF"/>
    <w:rsid w:val="00C24228"/>
    <w:rsid w:val="00C24E1E"/>
    <w:rsid w:val="00C2523E"/>
    <w:rsid w:val="00C269B4"/>
    <w:rsid w:val="00C273D4"/>
    <w:rsid w:val="00C27A97"/>
    <w:rsid w:val="00C30529"/>
    <w:rsid w:val="00C30CA2"/>
    <w:rsid w:val="00C314F0"/>
    <w:rsid w:val="00C31662"/>
    <w:rsid w:val="00C31FA0"/>
    <w:rsid w:val="00C3257C"/>
    <w:rsid w:val="00C32F8C"/>
    <w:rsid w:val="00C34A26"/>
    <w:rsid w:val="00C3524B"/>
    <w:rsid w:val="00C35790"/>
    <w:rsid w:val="00C36811"/>
    <w:rsid w:val="00C36BB0"/>
    <w:rsid w:val="00C37420"/>
    <w:rsid w:val="00C3766C"/>
    <w:rsid w:val="00C37BDD"/>
    <w:rsid w:val="00C3F410"/>
    <w:rsid w:val="00C40E7C"/>
    <w:rsid w:val="00C4102E"/>
    <w:rsid w:val="00C41516"/>
    <w:rsid w:val="00C416AF"/>
    <w:rsid w:val="00C42456"/>
    <w:rsid w:val="00C426E6"/>
    <w:rsid w:val="00C43149"/>
    <w:rsid w:val="00C43645"/>
    <w:rsid w:val="00C438F3"/>
    <w:rsid w:val="00C4410B"/>
    <w:rsid w:val="00C4420A"/>
    <w:rsid w:val="00C442DE"/>
    <w:rsid w:val="00C44542"/>
    <w:rsid w:val="00C44D36"/>
    <w:rsid w:val="00C44E40"/>
    <w:rsid w:val="00C45B9F"/>
    <w:rsid w:val="00C46030"/>
    <w:rsid w:val="00C46387"/>
    <w:rsid w:val="00C46B46"/>
    <w:rsid w:val="00C4758A"/>
    <w:rsid w:val="00C475F4"/>
    <w:rsid w:val="00C47AE3"/>
    <w:rsid w:val="00C501DC"/>
    <w:rsid w:val="00C50713"/>
    <w:rsid w:val="00C50A21"/>
    <w:rsid w:val="00C513CD"/>
    <w:rsid w:val="00C51A36"/>
    <w:rsid w:val="00C51E63"/>
    <w:rsid w:val="00C524F3"/>
    <w:rsid w:val="00C52AB2"/>
    <w:rsid w:val="00C5388F"/>
    <w:rsid w:val="00C5498F"/>
    <w:rsid w:val="00C549F8"/>
    <w:rsid w:val="00C54B39"/>
    <w:rsid w:val="00C54BBC"/>
    <w:rsid w:val="00C5593C"/>
    <w:rsid w:val="00C570E7"/>
    <w:rsid w:val="00C571E8"/>
    <w:rsid w:val="00C57634"/>
    <w:rsid w:val="00C602E1"/>
    <w:rsid w:val="00C60384"/>
    <w:rsid w:val="00C60839"/>
    <w:rsid w:val="00C61096"/>
    <w:rsid w:val="00C61248"/>
    <w:rsid w:val="00C61652"/>
    <w:rsid w:val="00C6257E"/>
    <w:rsid w:val="00C62A99"/>
    <w:rsid w:val="00C63392"/>
    <w:rsid w:val="00C63616"/>
    <w:rsid w:val="00C63631"/>
    <w:rsid w:val="00C63827"/>
    <w:rsid w:val="00C63B07"/>
    <w:rsid w:val="00C63C74"/>
    <w:rsid w:val="00C64731"/>
    <w:rsid w:val="00C649C1"/>
    <w:rsid w:val="00C64A71"/>
    <w:rsid w:val="00C64E5E"/>
    <w:rsid w:val="00C64F46"/>
    <w:rsid w:val="00C65668"/>
    <w:rsid w:val="00C657B5"/>
    <w:rsid w:val="00C65989"/>
    <w:rsid w:val="00C65B4C"/>
    <w:rsid w:val="00C65E53"/>
    <w:rsid w:val="00C665E4"/>
    <w:rsid w:val="00C67062"/>
    <w:rsid w:val="00C67137"/>
    <w:rsid w:val="00C67643"/>
    <w:rsid w:val="00C67DE6"/>
    <w:rsid w:val="00C6E756"/>
    <w:rsid w:val="00C70B15"/>
    <w:rsid w:val="00C70B6E"/>
    <w:rsid w:val="00C7118A"/>
    <w:rsid w:val="00C71AA8"/>
    <w:rsid w:val="00C71FEB"/>
    <w:rsid w:val="00C720A9"/>
    <w:rsid w:val="00C720EF"/>
    <w:rsid w:val="00C72278"/>
    <w:rsid w:val="00C72E73"/>
    <w:rsid w:val="00C7357E"/>
    <w:rsid w:val="00C739BF"/>
    <w:rsid w:val="00C73AB3"/>
    <w:rsid w:val="00C73C6E"/>
    <w:rsid w:val="00C74A3D"/>
    <w:rsid w:val="00C74A98"/>
    <w:rsid w:val="00C74AE1"/>
    <w:rsid w:val="00C74C04"/>
    <w:rsid w:val="00C74F8E"/>
    <w:rsid w:val="00C75FFA"/>
    <w:rsid w:val="00C76C86"/>
    <w:rsid w:val="00C77145"/>
    <w:rsid w:val="00C775DB"/>
    <w:rsid w:val="00C77C1F"/>
    <w:rsid w:val="00C80669"/>
    <w:rsid w:val="00C813A6"/>
    <w:rsid w:val="00C81460"/>
    <w:rsid w:val="00C81DC3"/>
    <w:rsid w:val="00C82100"/>
    <w:rsid w:val="00C82850"/>
    <w:rsid w:val="00C82C7C"/>
    <w:rsid w:val="00C82EB0"/>
    <w:rsid w:val="00C83206"/>
    <w:rsid w:val="00C832CA"/>
    <w:rsid w:val="00C83356"/>
    <w:rsid w:val="00C83518"/>
    <w:rsid w:val="00C836F0"/>
    <w:rsid w:val="00C83B2A"/>
    <w:rsid w:val="00C84048"/>
    <w:rsid w:val="00C84240"/>
    <w:rsid w:val="00C84262"/>
    <w:rsid w:val="00C84803"/>
    <w:rsid w:val="00C84B57"/>
    <w:rsid w:val="00C854DC"/>
    <w:rsid w:val="00C85AB5"/>
    <w:rsid w:val="00C865F2"/>
    <w:rsid w:val="00C86F92"/>
    <w:rsid w:val="00C87158"/>
    <w:rsid w:val="00C87C36"/>
    <w:rsid w:val="00C904EA"/>
    <w:rsid w:val="00C9051F"/>
    <w:rsid w:val="00C9074E"/>
    <w:rsid w:val="00C9084A"/>
    <w:rsid w:val="00C90CFA"/>
    <w:rsid w:val="00C9175F"/>
    <w:rsid w:val="00C91765"/>
    <w:rsid w:val="00C917C8"/>
    <w:rsid w:val="00C91822"/>
    <w:rsid w:val="00C9185C"/>
    <w:rsid w:val="00C91895"/>
    <w:rsid w:val="00C919F2"/>
    <w:rsid w:val="00C91BC4"/>
    <w:rsid w:val="00C922FC"/>
    <w:rsid w:val="00C92A16"/>
    <w:rsid w:val="00C92A63"/>
    <w:rsid w:val="00C92BAF"/>
    <w:rsid w:val="00C92F25"/>
    <w:rsid w:val="00C93C90"/>
    <w:rsid w:val="00C941E0"/>
    <w:rsid w:val="00C942AB"/>
    <w:rsid w:val="00C9482F"/>
    <w:rsid w:val="00C9543B"/>
    <w:rsid w:val="00C95691"/>
    <w:rsid w:val="00C95A14"/>
    <w:rsid w:val="00C95EEB"/>
    <w:rsid w:val="00C9600A"/>
    <w:rsid w:val="00C96220"/>
    <w:rsid w:val="00C96431"/>
    <w:rsid w:val="00C96A93"/>
    <w:rsid w:val="00C96AB4"/>
    <w:rsid w:val="00C96B9F"/>
    <w:rsid w:val="00C96DAF"/>
    <w:rsid w:val="00C96DB5"/>
    <w:rsid w:val="00C970A6"/>
    <w:rsid w:val="00C97778"/>
    <w:rsid w:val="00C97BB4"/>
    <w:rsid w:val="00C97C34"/>
    <w:rsid w:val="00CA0431"/>
    <w:rsid w:val="00CA0FE0"/>
    <w:rsid w:val="00CA1F0F"/>
    <w:rsid w:val="00CA1F3C"/>
    <w:rsid w:val="00CA2EBF"/>
    <w:rsid w:val="00CA3331"/>
    <w:rsid w:val="00CA3827"/>
    <w:rsid w:val="00CA3AA6"/>
    <w:rsid w:val="00CA3FDE"/>
    <w:rsid w:val="00CA4349"/>
    <w:rsid w:val="00CA43D1"/>
    <w:rsid w:val="00CA47C0"/>
    <w:rsid w:val="00CA5421"/>
    <w:rsid w:val="00CA5526"/>
    <w:rsid w:val="00CA61D0"/>
    <w:rsid w:val="00CA635C"/>
    <w:rsid w:val="00CA6578"/>
    <w:rsid w:val="00CA72C4"/>
    <w:rsid w:val="00CA7E20"/>
    <w:rsid w:val="00CA7E7A"/>
    <w:rsid w:val="00CB06A9"/>
    <w:rsid w:val="00CB0DFE"/>
    <w:rsid w:val="00CB1316"/>
    <w:rsid w:val="00CB17FC"/>
    <w:rsid w:val="00CB2412"/>
    <w:rsid w:val="00CB27C1"/>
    <w:rsid w:val="00CB292B"/>
    <w:rsid w:val="00CB2E24"/>
    <w:rsid w:val="00CB31C3"/>
    <w:rsid w:val="00CB338B"/>
    <w:rsid w:val="00CB3474"/>
    <w:rsid w:val="00CB4BBE"/>
    <w:rsid w:val="00CB5D95"/>
    <w:rsid w:val="00CB6B55"/>
    <w:rsid w:val="00CB6CF9"/>
    <w:rsid w:val="00CB76CB"/>
    <w:rsid w:val="00CB7CAF"/>
    <w:rsid w:val="00CB7EA1"/>
    <w:rsid w:val="00CC004E"/>
    <w:rsid w:val="00CC01F8"/>
    <w:rsid w:val="00CC1B03"/>
    <w:rsid w:val="00CC1C6E"/>
    <w:rsid w:val="00CC1F0D"/>
    <w:rsid w:val="00CC2641"/>
    <w:rsid w:val="00CC2816"/>
    <w:rsid w:val="00CC3CDF"/>
    <w:rsid w:val="00CC477F"/>
    <w:rsid w:val="00CC4D1C"/>
    <w:rsid w:val="00CC4F2C"/>
    <w:rsid w:val="00CC55B4"/>
    <w:rsid w:val="00CC55F5"/>
    <w:rsid w:val="00CC56A5"/>
    <w:rsid w:val="00CC57E9"/>
    <w:rsid w:val="00CC589E"/>
    <w:rsid w:val="00CC5FE7"/>
    <w:rsid w:val="00CC6A86"/>
    <w:rsid w:val="00CC6B85"/>
    <w:rsid w:val="00CC71BE"/>
    <w:rsid w:val="00CC731D"/>
    <w:rsid w:val="00CC7712"/>
    <w:rsid w:val="00CC7F2B"/>
    <w:rsid w:val="00CD03A1"/>
    <w:rsid w:val="00CD05E9"/>
    <w:rsid w:val="00CD097C"/>
    <w:rsid w:val="00CD10E0"/>
    <w:rsid w:val="00CD1181"/>
    <w:rsid w:val="00CD1824"/>
    <w:rsid w:val="00CD1A59"/>
    <w:rsid w:val="00CD3754"/>
    <w:rsid w:val="00CD3F03"/>
    <w:rsid w:val="00CD452C"/>
    <w:rsid w:val="00CD4758"/>
    <w:rsid w:val="00CD4767"/>
    <w:rsid w:val="00CD518F"/>
    <w:rsid w:val="00CD5E6A"/>
    <w:rsid w:val="00CD608F"/>
    <w:rsid w:val="00CD6703"/>
    <w:rsid w:val="00CD6F8E"/>
    <w:rsid w:val="00CD7413"/>
    <w:rsid w:val="00CE00A3"/>
    <w:rsid w:val="00CE0722"/>
    <w:rsid w:val="00CE0CE1"/>
    <w:rsid w:val="00CE10B9"/>
    <w:rsid w:val="00CE11B5"/>
    <w:rsid w:val="00CE1273"/>
    <w:rsid w:val="00CE2C6C"/>
    <w:rsid w:val="00CE2F84"/>
    <w:rsid w:val="00CE3AB0"/>
    <w:rsid w:val="00CE3DB3"/>
    <w:rsid w:val="00CE4537"/>
    <w:rsid w:val="00CE5780"/>
    <w:rsid w:val="00CE59DE"/>
    <w:rsid w:val="00CE5B79"/>
    <w:rsid w:val="00CE5D39"/>
    <w:rsid w:val="00CE653B"/>
    <w:rsid w:val="00CE6F89"/>
    <w:rsid w:val="00CE78B0"/>
    <w:rsid w:val="00CF05F2"/>
    <w:rsid w:val="00CF123A"/>
    <w:rsid w:val="00CF179C"/>
    <w:rsid w:val="00CF1973"/>
    <w:rsid w:val="00CF1984"/>
    <w:rsid w:val="00CF3359"/>
    <w:rsid w:val="00CF4066"/>
    <w:rsid w:val="00CF4370"/>
    <w:rsid w:val="00CF4AF9"/>
    <w:rsid w:val="00CF5D52"/>
    <w:rsid w:val="00CF67E0"/>
    <w:rsid w:val="00CF7283"/>
    <w:rsid w:val="00CF78C0"/>
    <w:rsid w:val="00CF7960"/>
    <w:rsid w:val="00D0005D"/>
    <w:rsid w:val="00D00527"/>
    <w:rsid w:val="00D0060B"/>
    <w:rsid w:val="00D00DAB"/>
    <w:rsid w:val="00D00FA0"/>
    <w:rsid w:val="00D00FB4"/>
    <w:rsid w:val="00D010D4"/>
    <w:rsid w:val="00D012A9"/>
    <w:rsid w:val="00D0137F"/>
    <w:rsid w:val="00D01387"/>
    <w:rsid w:val="00D01A4F"/>
    <w:rsid w:val="00D024FF"/>
    <w:rsid w:val="00D03268"/>
    <w:rsid w:val="00D03308"/>
    <w:rsid w:val="00D0333A"/>
    <w:rsid w:val="00D0342D"/>
    <w:rsid w:val="00D03430"/>
    <w:rsid w:val="00D03512"/>
    <w:rsid w:val="00D03F6B"/>
    <w:rsid w:val="00D0452D"/>
    <w:rsid w:val="00D04D8F"/>
    <w:rsid w:val="00D04F87"/>
    <w:rsid w:val="00D0524E"/>
    <w:rsid w:val="00D05409"/>
    <w:rsid w:val="00D0588C"/>
    <w:rsid w:val="00D05DC5"/>
    <w:rsid w:val="00D072B0"/>
    <w:rsid w:val="00D07310"/>
    <w:rsid w:val="00D077AF"/>
    <w:rsid w:val="00D077D5"/>
    <w:rsid w:val="00D07919"/>
    <w:rsid w:val="00D07FC0"/>
    <w:rsid w:val="00D108B9"/>
    <w:rsid w:val="00D1164F"/>
    <w:rsid w:val="00D11676"/>
    <w:rsid w:val="00D11932"/>
    <w:rsid w:val="00D11ACC"/>
    <w:rsid w:val="00D11B9A"/>
    <w:rsid w:val="00D124BC"/>
    <w:rsid w:val="00D12745"/>
    <w:rsid w:val="00D128D1"/>
    <w:rsid w:val="00D12BB7"/>
    <w:rsid w:val="00D12DD4"/>
    <w:rsid w:val="00D12EA1"/>
    <w:rsid w:val="00D1325C"/>
    <w:rsid w:val="00D13702"/>
    <w:rsid w:val="00D13B08"/>
    <w:rsid w:val="00D144FB"/>
    <w:rsid w:val="00D146A4"/>
    <w:rsid w:val="00D14B29"/>
    <w:rsid w:val="00D15001"/>
    <w:rsid w:val="00D15195"/>
    <w:rsid w:val="00D1536A"/>
    <w:rsid w:val="00D15506"/>
    <w:rsid w:val="00D15B86"/>
    <w:rsid w:val="00D15CA7"/>
    <w:rsid w:val="00D161D1"/>
    <w:rsid w:val="00D161EA"/>
    <w:rsid w:val="00D165CA"/>
    <w:rsid w:val="00D173EF"/>
    <w:rsid w:val="00D17CAD"/>
    <w:rsid w:val="00D17FC6"/>
    <w:rsid w:val="00D20584"/>
    <w:rsid w:val="00D206F6"/>
    <w:rsid w:val="00D2098D"/>
    <w:rsid w:val="00D20AF1"/>
    <w:rsid w:val="00D20C62"/>
    <w:rsid w:val="00D20DEA"/>
    <w:rsid w:val="00D21169"/>
    <w:rsid w:val="00D2147F"/>
    <w:rsid w:val="00D218E1"/>
    <w:rsid w:val="00D22922"/>
    <w:rsid w:val="00D2315D"/>
    <w:rsid w:val="00D23641"/>
    <w:rsid w:val="00D23F38"/>
    <w:rsid w:val="00D24D6A"/>
    <w:rsid w:val="00D253B4"/>
    <w:rsid w:val="00D2546E"/>
    <w:rsid w:val="00D26056"/>
    <w:rsid w:val="00D264E5"/>
    <w:rsid w:val="00D265BD"/>
    <w:rsid w:val="00D26DF7"/>
    <w:rsid w:val="00D26E3C"/>
    <w:rsid w:val="00D2732A"/>
    <w:rsid w:val="00D27968"/>
    <w:rsid w:val="00D279BE"/>
    <w:rsid w:val="00D27BB3"/>
    <w:rsid w:val="00D27E93"/>
    <w:rsid w:val="00D30643"/>
    <w:rsid w:val="00D307B4"/>
    <w:rsid w:val="00D30F52"/>
    <w:rsid w:val="00D310DC"/>
    <w:rsid w:val="00D31FB9"/>
    <w:rsid w:val="00D328D6"/>
    <w:rsid w:val="00D34CC7"/>
    <w:rsid w:val="00D35285"/>
    <w:rsid w:val="00D35C7B"/>
    <w:rsid w:val="00D35F4E"/>
    <w:rsid w:val="00D36070"/>
    <w:rsid w:val="00D364B1"/>
    <w:rsid w:val="00D366D6"/>
    <w:rsid w:val="00D366E0"/>
    <w:rsid w:val="00D36DD4"/>
    <w:rsid w:val="00D36EA3"/>
    <w:rsid w:val="00D37DD2"/>
    <w:rsid w:val="00D37E2B"/>
    <w:rsid w:val="00D4000E"/>
    <w:rsid w:val="00D4005F"/>
    <w:rsid w:val="00D40067"/>
    <w:rsid w:val="00D4015B"/>
    <w:rsid w:val="00D4035D"/>
    <w:rsid w:val="00D405DC"/>
    <w:rsid w:val="00D41834"/>
    <w:rsid w:val="00D419FC"/>
    <w:rsid w:val="00D426F6"/>
    <w:rsid w:val="00D42816"/>
    <w:rsid w:val="00D42A19"/>
    <w:rsid w:val="00D42C4D"/>
    <w:rsid w:val="00D42F47"/>
    <w:rsid w:val="00D43356"/>
    <w:rsid w:val="00D43E3F"/>
    <w:rsid w:val="00D44432"/>
    <w:rsid w:val="00D44B9C"/>
    <w:rsid w:val="00D44E48"/>
    <w:rsid w:val="00D4573B"/>
    <w:rsid w:val="00D45EBD"/>
    <w:rsid w:val="00D46023"/>
    <w:rsid w:val="00D460F9"/>
    <w:rsid w:val="00D463CD"/>
    <w:rsid w:val="00D46970"/>
    <w:rsid w:val="00D50659"/>
    <w:rsid w:val="00D509C7"/>
    <w:rsid w:val="00D50D8A"/>
    <w:rsid w:val="00D50E54"/>
    <w:rsid w:val="00D51508"/>
    <w:rsid w:val="00D51DE4"/>
    <w:rsid w:val="00D5213A"/>
    <w:rsid w:val="00D52879"/>
    <w:rsid w:val="00D5415E"/>
    <w:rsid w:val="00D54779"/>
    <w:rsid w:val="00D54F68"/>
    <w:rsid w:val="00D55174"/>
    <w:rsid w:val="00D557E9"/>
    <w:rsid w:val="00D5663C"/>
    <w:rsid w:val="00D56781"/>
    <w:rsid w:val="00D56A97"/>
    <w:rsid w:val="00D56CA7"/>
    <w:rsid w:val="00D56E85"/>
    <w:rsid w:val="00D60225"/>
    <w:rsid w:val="00D60D1D"/>
    <w:rsid w:val="00D614C9"/>
    <w:rsid w:val="00D61A4D"/>
    <w:rsid w:val="00D61CE3"/>
    <w:rsid w:val="00D61D98"/>
    <w:rsid w:val="00D629F8"/>
    <w:rsid w:val="00D63E73"/>
    <w:rsid w:val="00D647E6"/>
    <w:rsid w:val="00D648FF"/>
    <w:rsid w:val="00D64C67"/>
    <w:rsid w:val="00D6523F"/>
    <w:rsid w:val="00D65274"/>
    <w:rsid w:val="00D65302"/>
    <w:rsid w:val="00D65752"/>
    <w:rsid w:val="00D6580A"/>
    <w:rsid w:val="00D6589F"/>
    <w:rsid w:val="00D658B2"/>
    <w:rsid w:val="00D66133"/>
    <w:rsid w:val="00D661A8"/>
    <w:rsid w:val="00D67F19"/>
    <w:rsid w:val="00D7077A"/>
    <w:rsid w:val="00D70E07"/>
    <w:rsid w:val="00D70FD3"/>
    <w:rsid w:val="00D71304"/>
    <w:rsid w:val="00D7149C"/>
    <w:rsid w:val="00D7267A"/>
    <w:rsid w:val="00D72CD1"/>
    <w:rsid w:val="00D73B83"/>
    <w:rsid w:val="00D73D01"/>
    <w:rsid w:val="00D7430E"/>
    <w:rsid w:val="00D74E45"/>
    <w:rsid w:val="00D74F7A"/>
    <w:rsid w:val="00D75386"/>
    <w:rsid w:val="00D75981"/>
    <w:rsid w:val="00D75C46"/>
    <w:rsid w:val="00D75D55"/>
    <w:rsid w:val="00D76E58"/>
    <w:rsid w:val="00D772BC"/>
    <w:rsid w:val="00D7791E"/>
    <w:rsid w:val="00D8005B"/>
    <w:rsid w:val="00D806DC"/>
    <w:rsid w:val="00D80BB7"/>
    <w:rsid w:val="00D8144E"/>
    <w:rsid w:val="00D81823"/>
    <w:rsid w:val="00D81D74"/>
    <w:rsid w:val="00D81F4E"/>
    <w:rsid w:val="00D82048"/>
    <w:rsid w:val="00D82166"/>
    <w:rsid w:val="00D825D7"/>
    <w:rsid w:val="00D82968"/>
    <w:rsid w:val="00D8315B"/>
    <w:rsid w:val="00D836CF"/>
    <w:rsid w:val="00D8380F"/>
    <w:rsid w:val="00D8420A"/>
    <w:rsid w:val="00D84FDF"/>
    <w:rsid w:val="00D8534F"/>
    <w:rsid w:val="00D857A1"/>
    <w:rsid w:val="00D85C1A"/>
    <w:rsid w:val="00D85FFF"/>
    <w:rsid w:val="00D86856"/>
    <w:rsid w:val="00D87005"/>
    <w:rsid w:val="00D87B13"/>
    <w:rsid w:val="00D87BEC"/>
    <w:rsid w:val="00D87EA1"/>
    <w:rsid w:val="00D87EAA"/>
    <w:rsid w:val="00D9020D"/>
    <w:rsid w:val="00D9031B"/>
    <w:rsid w:val="00D90D84"/>
    <w:rsid w:val="00D91959"/>
    <w:rsid w:val="00D91B92"/>
    <w:rsid w:val="00D91F50"/>
    <w:rsid w:val="00D92413"/>
    <w:rsid w:val="00D9367C"/>
    <w:rsid w:val="00D941DD"/>
    <w:rsid w:val="00D95170"/>
    <w:rsid w:val="00D95283"/>
    <w:rsid w:val="00D956EE"/>
    <w:rsid w:val="00D95818"/>
    <w:rsid w:val="00D96370"/>
    <w:rsid w:val="00D966F8"/>
    <w:rsid w:val="00D969C1"/>
    <w:rsid w:val="00D96CDA"/>
    <w:rsid w:val="00D974A9"/>
    <w:rsid w:val="00D97559"/>
    <w:rsid w:val="00D978AA"/>
    <w:rsid w:val="00DA0367"/>
    <w:rsid w:val="00DA12D4"/>
    <w:rsid w:val="00DA1B67"/>
    <w:rsid w:val="00DA1D3D"/>
    <w:rsid w:val="00DA1DA3"/>
    <w:rsid w:val="00DA1DFF"/>
    <w:rsid w:val="00DA2208"/>
    <w:rsid w:val="00DA2B76"/>
    <w:rsid w:val="00DA3514"/>
    <w:rsid w:val="00DA3718"/>
    <w:rsid w:val="00DA4231"/>
    <w:rsid w:val="00DA465B"/>
    <w:rsid w:val="00DA4D76"/>
    <w:rsid w:val="00DA51F5"/>
    <w:rsid w:val="00DA545C"/>
    <w:rsid w:val="00DA54B6"/>
    <w:rsid w:val="00DA565F"/>
    <w:rsid w:val="00DA630B"/>
    <w:rsid w:val="00DA6443"/>
    <w:rsid w:val="00DA6642"/>
    <w:rsid w:val="00DA6ABB"/>
    <w:rsid w:val="00DA70C6"/>
    <w:rsid w:val="00DA71DD"/>
    <w:rsid w:val="00DB035A"/>
    <w:rsid w:val="00DB0365"/>
    <w:rsid w:val="00DB04E7"/>
    <w:rsid w:val="00DB103C"/>
    <w:rsid w:val="00DB11E9"/>
    <w:rsid w:val="00DB20DB"/>
    <w:rsid w:val="00DB270D"/>
    <w:rsid w:val="00DB2C9C"/>
    <w:rsid w:val="00DB3406"/>
    <w:rsid w:val="00DB3AC8"/>
    <w:rsid w:val="00DB403D"/>
    <w:rsid w:val="00DB4F48"/>
    <w:rsid w:val="00DB55D7"/>
    <w:rsid w:val="00DB5D46"/>
    <w:rsid w:val="00DB6B65"/>
    <w:rsid w:val="00DB6FA4"/>
    <w:rsid w:val="00DB7232"/>
    <w:rsid w:val="00DB78ED"/>
    <w:rsid w:val="00DB7E55"/>
    <w:rsid w:val="00DC01A6"/>
    <w:rsid w:val="00DC0334"/>
    <w:rsid w:val="00DC0701"/>
    <w:rsid w:val="00DC07E7"/>
    <w:rsid w:val="00DC0C5E"/>
    <w:rsid w:val="00DC0E2F"/>
    <w:rsid w:val="00DC0E39"/>
    <w:rsid w:val="00DC1A5B"/>
    <w:rsid w:val="00DC1E82"/>
    <w:rsid w:val="00DC201E"/>
    <w:rsid w:val="00DC2281"/>
    <w:rsid w:val="00DC2491"/>
    <w:rsid w:val="00DC2550"/>
    <w:rsid w:val="00DC26B7"/>
    <w:rsid w:val="00DC2836"/>
    <w:rsid w:val="00DC2B98"/>
    <w:rsid w:val="00DC2D90"/>
    <w:rsid w:val="00DC2DCF"/>
    <w:rsid w:val="00DC2F21"/>
    <w:rsid w:val="00DC3BFF"/>
    <w:rsid w:val="00DC3D2F"/>
    <w:rsid w:val="00DC4172"/>
    <w:rsid w:val="00DC4937"/>
    <w:rsid w:val="00DC4D4A"/>
    <w:rsid w:val="00DC513D"/>
    <w:rsid w:val="00DC5279"/>
    <w:rsid w:val="00DC5884"/>
    <w:rsid w:val="00DC606D"/>
    <w:rsid w:val="00DC60D8"/>
    <w:rsid w:val="00DC64B8"/>
    <w:rsid w:val="00DC7496"/>
    <w:rsid w:val="00DC7634"/>
    <w:rsid w:val="00DC7882"/>
    <w:rsid w:val="00DC7DDB"/>
    <w:rsid w:val="00DD0961"/>
    <w:rsid w:val="00DD0F27"/>
    <w:rsid w:val="00DD1124"/>
    <w:rsid w:val="00DD167B"/>
    <w:rsid w:val="00DD1924"/>
    <w:rsid w:val="00DD1DB6"/>
    <w:rsid w:val="00DD2C59"/>
    <w:rsid w:val="00DD3811"/>
    <w:rsid w:val="00DD3BE3"/>
    <w:rsid w:val="00DD4000"/>
    <w:rsid w:val="00DD433A"/>
    <w:rsid w:val="00DD5324"/>
    <w:rsid w:val="00DD5A4A"/>
    <w:rsid w:val="00DD5B0E"/>
    <w:rsid w:val="00DD5C24"/>
    <w:rsid w:val="00DD621E"/>
    <w:rsid w:val="00DD646E"/>
    <w:rsid w:val="00DD6C70"/>
    <w:rsid w:val="00DD706C"/>
    <w:rsid w:val="00DD71FE"/>
    <w:rsid w:val="00DD7707"/>
    <w:rsid w:val="00DD79E6"/>
    <w:rsid w:val="00DE0055"/>
    <w:rsid w:val="00DE0086"/>
    <w:rsid w:val="00DE01C6"/>
    <w:rsid w:val="00DE029A"/>
    <w:rsid w:val="00DE0A5F"/>
    <w:rsid w:val="00DE22EA"/>
    <w:rsid w:val="00DE2400"/>
    <w:rsid w:val="00DE293E"/>
    <w:rsid w:val="00DE37AF"/>
    <w:rsid w:val="00DE3EFF"/>
    <w:rsid w:val="00DE4337"/>
    <w:rsid w:val="00DE4564"/>
    <w:rsid w:val="00DE4E45"/>
    <w:rsid w:val="00DE4FBD"/>
    <w:rsid w:val="00DE51E6"/>
    <w:rsid w:val="00DE52C3"/>
    <w:rsid w:val="00DE5727"/>
    <w:rsid w:val="00DE5F3B"/>
    <w:rsid w:val="00DE6512"/>
    <w:rsid w:val="00DE67E1"/>
    <w:rsid w:val="00DE6E3D"/>
    <w:rsid w:val="00DE747C"/>
    <w:rsid w:val="00DE76F3"/>
    <w:rsid w:val="00DF0043"/>
    <w:rsid w:val="00DF004C"/>
    <w:rsid w:val="00DF0204"/>
    <w:rsid w:val="00DF0B9B"/>
    <w:rsid w:val="00DF0CC5"/>
    <w:rsid w:val="00DF0D23"/>
    <w:rsid w:val="00DF113C"/>
    <w:rsid w:val="00DF1871"/>
    <w:rsid w:val="00DF1E44"/>
    <w:rsid w:val="00DF251B"/>
    <w:rsid w:val="00DF2750"/>
    <w:rsid w:val="00DF2A61"/>
    <w:rsid w:val="00DF38AE"/>
    <w:rsid w:val="00DF3966"/>
    <w:rsid w:val="00DF3AD6"/>
    <w:rsid w:val="00DF47CC"/>
    <w:rsid w:val="00DF4865"/>
    <w:rsid w:val="00DF5170"/>
    <w:rsid w:val="00DF55DC"/>
    <w:rsid w:val="00DF5994"/>
    <w:rsid w:val="00DF607C"/>
    <w:rsid w:val="00DF6216"/>
    <w:rsid w:val="00DF6641"/>
    <w:rsid w:val="00DF6EB4"/>
    <w:rsid w:val="00DF70AE"/>
    <w:rsid w:val="00DF7A60"/>
    <w:rsid w:val="00DF7D02"/>
    <w:rsid w:val="00E00162"/>
    <w:rsid w:val="00E00B44"/>
    <w:rsid w:val="00E020C1"/>
    <w:rsid w:val="00E026B1"/>
    <w:rsid w:val="00E02817"/>
    <w:rsid w:val="00E02E88"/>
    <w:rsid w:val="00E02F8C"/>
    <w:rsid w:val="00E039BD"/>
    <w:rsid w:val="00E050EA"/>
    <w:rsid w:val="00E05878"/>
    <w:rsid w:val="00E06190"/>
    <w:rsid w:val="00E061D9"/>
    <w:rsid w:val="00E06BCC"/>
    <w:rsid w:val="00E06DEB"/>
    <w:rsid w:val="00E07E92"/>
    <w:rsid w:val="00E1073E"/>
    <w:rsid w:val="00E108D6"/>
    <w:rsid w:val="00E10F4F"/>
    <w:rsid w:val="00E11051"/>
    <w:rsid w:val="00E116F1"/>
    <w:rsid w:val="00E122A7"/>
    <w:rsid w:val="00E12C0C"/>
    <w:rsid w:val="00E135EE"/>
    <w:rsid w:val="00E13A1C"/>
    <w:rsid w:val="00E13C85"/>
    <w:rsid w:val="00E13E57"/>
    <w:rsid w:val="00E141AF"/>
    <w:rsid w:val="00E1450F"/>
    <w:rsid w:val="00E14694"/>
    <w:rsid w:val="00E14A90"/>
    <w:rsid w:val="00E14C83"/>
    <w:rsid w:val="00E15102"/>
    <w:rsid w:val="00E1543B"/>
    <w:rsid w:val="00E15C45"/>
    <w:rsid w:val="00E166DB"/>
    <w:rsid w:val="00E16E18"/>
    <w:rsid w:val="00E16EDE"/>
    <w:rsid w:val="00E171F7"/>
    <w:rsid w:val="00E17996"/>
    <w:rsid w:val="00E17E83"/>
    <w:rsid w:val="00E2009D"/>
    <w:rsid w:val="00E2010B"/>
    <w:rsid w:val="00E20F6F"/>
    <w:rsid w:val="00E215AC"/>
    <w:rsid w:val="00E21A95"/>
    <w:rsid w:val="00E220C3"/>
    <w:rsid w:val="00E22174"/>
    <w:rsid w:val="00E22621"/>
    <w:rsid w:val="00E22DFF"/>
    <w:rsid w:val="00E22FA1"/>
    <w:rsid w:val="00E23643"/>
    <w:rsid w:val="00E23D74"/>
    <w:rsid w:val="00E24514"/>
    <w:rsid w:val="00E24D9E"/>
    <w:rsid w:val="00E2532A"/>
    <w:rsid w:val="00E25A9D"/>
    <w:rsid w:val="00E25BA2"/>
    <w:rsid w:val="00E25F90"/>
    <w:rsid w:val="00E271B5"/>
    <w:rsid w:val="00E27298"/>
    <w:rsid w:val="00E2734D"/>
    <w:rsid w:val="00E27943"/>
    <w:rsid w:val="00E27954"/>
    <w:rsid w:val="00E27972"/>
    <w:rsid w:val="00E27A2A"/>
    <w:rsid w:val="00E302BF"/>
    <w:rsid w:val="00E30602"/>
    <w:rsid w:val="00E30AEA"/>
    <w:rsid w:val="00E31698"/>
    <w:rsid w:val="00E31AE8"/>
    <w:rsid w:val="00E31B3B"/>
    <w:rsid w:val="00E31C80"/>
    <w:rsid w:val="00E320C8"/>
    <w:rsid w:val="00E3253F"/>
    <w:rsid w:val="00E33CC4"/>
    <w:rsid w:val="00E341BD"/>
    <w:rsid w:val="00E34605"/>
    <w:rsid w:val="00E349A2"/>
    <w:rsid w:val="00E34CB7"/>
    <w:rsid w:val="00E3605D"/>
    <w:rsid w:val="00E36203"/>
    <w:rsid w:val="00E36301"/>
    <w:rsid w:val="00E366AB"/>
    <w:rsid w:val="00E3748A"/>
    <w:rsid w:val="00E379D6"/>
    <w:rsid w:val="00E4016F"/>
    <w:rsid w:val="00E407C1"/>
    <w:rsid w:val="00E40DED"/>
    <w:rsid w:val="00E40DFC"/>
    <w:rsid w:val="00E4154C"/>
    <w:rsid w:val="00E4156E"/>
    <w:rsid w:val="00E41CC8"/>
    <w:rsid w:val="00E41E03"/>
    <w:rsid w:val="00E41FFD"/>
    <w:rsid w:val="00E42209"/>
    <w:rsid w:val="00E42350"/>
    <w:rsid w:val="00E4276D"/>
    <w:rsid w:val="00E42FA2"/>
    <w:rsid w:val="00E42FCA"/>
    <w:rsid w:val="00E431F1"/>
    <w:rsid w:val="00E4331F"/>
    <w:rsid w:val="00E43566"/>
    <w:rsid w:val="00E4379F"/>
    <w:rsid w:val="00E4401A"/>
    <w:rsid w:val="00E44A0D"/>
    <w:rsid w:val="00E44F0A"/>
    <w:rsid w:val="00E44F20"/>
    <w:rsid w:val="00E44F9F"/>
    <w:rsid w:val="00E44FD2"/>
    <w:rsid w:val="00E4522B"/>
    <w:rsid w:val="00E458C6"/>
    <w:rsid w:val="00E4643C"/>
    <w:rsid w:val="00E466B9"/>
    <w:rsid w:val="00E46900"/>
    <w:rsid w:val="00E46A28"/>
    <w:rsid w:val="00E46D19"/>
    <w:rsid w:val="00E46E7B"/>
    <w:rsid w:val="00E4750F"/>
    <w:rsid w:val="00E507BF"/>
    <w:rsid w:val="00E50825"/>
    <w:rsid w:val="00E5129A"/>
    <w:rsid w:val="00E532E2"/>
    <w:rsid w:val="00E533E1"/>
    <w:rsid w:val="00E539B5"/>
    <w:rsid w:val="00E53C6E"/>
    <w:rsid w:val="00E54336"/>
    <w:rsid w:val="00E54882"/>
    <w:rsid w:val="00E54FFC"/>
    <w:rsid w:val="00E551B6"/>
    <w:rsid w:val="00E5531B"/>
    <w:rsid w:val="00E55BEE"/>
    <w:rsid w:val="00E55F4C"/>
    <w:rsid w:val="00E561E5"/>
    <w:rsid w:val="00E5636B"/>
    <w:rsid w:val="00E56B4B"/>
    <w:rsid w:val="00E57595"/>
    <w:rsid w:val="00E57E88"/>
    <w:rsid w:val="00E604A4"/>
    <w:rsid w:val="00E60B73"/>
    <w:rsid w:val="00E60E4D"/>
    <w:rsid w:val="00E61E78"/>
    <w:rsid w:val="00E622E9"/>
    <w:rsid w:val="00E62DE0"/>
    <w:rsid w:val="00E63104"/>
    <w:rsid w:val="00E6325A"/>
    <w:rsid w:val="00E63628"/>
    <w:rsid w:val="00E64C5C"/>
    <w:rsid w:val="00E64DC7"/>
    <w:rsid w:val="00E65194"/>
    <w:rsid w:val="00E6542E"/>
    <w:rsid w:val="00E6543D"/>
    <w:rsid w:val="00E6563E"/>
    <w:rsid w:val="00E6575B"/>
    <w:rsid w:val="00E662CD"/>
    <w:rsid w:val="00E664D7"/>
    <w:rsid w:val="00E66563"/>
    <w:rsid w:val="00E667CB"/>
    <w:rsid w:val="00E669CE"/>
    <w:rsid w:val="00E66B66"/>
    <w:rsid w:val="00E66C4F"/>
    <w:rsid w:val="00E6717D"/>
    <w:rsid w:val="00E67906"/>
    <w:rsid w:val="00E67CC2"/>
    <w:rsid w:val="00E7026B"/>
    <w:rsid w:val="00E70D02"/>
    <w:rsid w:val="00E70DDC"/>
    <w:rsid w:val="00E70FB7"/>
    <w:rsid w:val="00E71373"/>
    <w:rsid w:val="00E714FE"/>
    <w:rsid w:val="00E719F8"/>
    <w:rsid w:val="00E71A44"/>
    <w:rsid w:val="00E71D59"/>
    <w:rsid w:val="00E72070"/>
    <w:rsid w:val="00E721B8"/>
    <w:rsid w:val="00E72358"/>
    <w:rsid w:val="00E727C9"/>
    <w:rsid w:val="00E733BE"/>
    <w:rsid w:val="00E74086"/>
    <w:rsid w:val="00E74132"/>
    <w:rsid w:val="00E755B0"/>
    <w:rsid w:val="00E758B6"/>
    <w:rsid w:val="00E75D4E"/>
    <w:rsid w:val="00E765BC"/>
    <w:rsid w:val="00E76684"/>
    <w:rsid w:val="00E76DDA"/>
    <w:rsid w:val="00E76EAA"/>
    <w:rsid w:val="00E7713E"/>
    <w:rsid w:val="00E7721F"/>
    <w:rsid w:val="00E776D9"/>
    <w:rsid w:val="00E804A7"/>
    <w:rsid w:val="00E8087A"/>
    <w:rsid w:val="00E80B02"/>
    <w:rsid w:val="00E80F35"/>
    <w:rsid w:val="00E8169B"/>
    <w:rsid w:val="00E8177C"/>
    <w:rsid w:val="00E822B1"/>
    <w:rsid w:val="00E82725"/>
    <w:rsid w:val="00E82F2B"/>
    <w:rsid w:val="00E83216"/>
    <w:rsid w:val="00E832E1"/>
    <w:rsid w:val="00E83594"/>
    <w:rsid w:val="00E83915"/>
    <w:rsid w:val="00E8417D"/>
    <w:rsid w:val="00E84709"/>
    <w:rsid w:val="00E84785"/>
    <w:rsid w:val="00E8480E"/>
    <w:rsid w:val="00E84D85"/>
    <w:rsid w:val="00E851FD"/>
    <w:rsid w:val="00E8623A"/>
    <w:rsid w:val="00E86FC1"/>
    <w:rsid w:val="00E8756A"/>
    <w:rsid w:val="00E87626"/>
    <w:rsid w:val="00E87F0D"/>
    <w:rsid w:val="00E87FA4"/>
    <w:rsid w:val="00E911E1"/>
    <w:rsid w:val="00E9129C"/>
    <w:rsid w:val="00E91D97"/>
    <w:rsid w:val="00E925F4"/>
    <w:rsid w:val="00E92D37"/>
    <w:rsid w:val="00E92D71"/>
    <w:rsid w:val="00E92FAB"/>
    <w:rsid w:val="00E935D5"/>
    <w:rsid w:val="00E93AF4"/>
    <w:rsid w:val="00E94324"/>
    <w:rsid w:val="00E9557A"/>
    <w:rsid w:val="00E95DDE"/>
    <w:rsid w:val="00E95E90"/>
    <w:rsid w:val="00E96124"/>
    <w:rsid w:val="00E9647F"/>
    <w:rsid w:val="00E964FF"/>
    <w:rsid w:val="00E967A9"/>
    <w:rsid w:val="00E97281"/>
    <w:rsid w:val="00E972FA"/>
    <w:rsid w:val="00E97B4C"/>
    <w:rsid w:val="00E97BF5"/>
    <w:rsid w:val="00E97D9A"/>
    <w:rsid w:val="00E97ECD"/>
    <w:rsid w:val="00EA00B5"/>
    <w:rsid w:val="00EA06C2"/>
    <w:rsid w:val="00EA1495"/>
    <w:rsid w:val="00EA1E60"/>
    <w:rsid w:val="00EA201A"/>
    <w:rsid w:val="00EA251E"/>
    <w:rsid w:val="00EA2978"/>
    <w:rsid w:val="00EA3362"/>
    <w:rsid w:val="00EA3367"/>
    <w:rsid w:val="00EA366F"/>
    <w:rsid w:val="00EA3923"/>
    <w:rsid w:val="00EA40C6"/>
    <w:rsid w:val="00EA4148"/>
    <w:rsid w:val="00EA480C"/>
    <w:rsid w:val="00EA5371"/>
    <w:rsid w:val="00EA5568"/>
    <w:rsid w:val="00EA56D0"/>
    <w:rsid w:val="00EA5FD0"/>
    <w:rsid w:val="00EA5FE7"/>
    <w:rsid w:val="00EA6540"/>
    <w:rsid w:val="00EA6900"/>
    <w:rsid w:val="00EA6AE5"/>
    <w:rsid w:val="00EA74B0"/>
    <w:rsid w:val="00EB0986"/>
    <w:rsid w:val="00EB0AE2"/>
    <w:rsid w:val="00EB110C"/>
    <w:rsid w:val="00EB22BB"/>
    <w:rsid w:val="00EB27CC"/>
    <w:rsid w:val="00EB2C1C"/>
    <w:rsid w:val="00EB3EB0"/>
    <w:rsid w:val="00EB4141"/>
    <w:rsid w:val="00EB4232"/>
    <w:rsid w:val="00EB443B"/>
    <w:rsid w:val="00EB4541"/>
    <w:rsid w:val="00EB4AAA"/>
    <w:rsid w:val="00EB4E5B"/>
    <w:rsid w:val="00EB56EF"/>
    <w:rsid w:val="00EB5725"/>
    <w:rsid w:val="00EB6DD8"/>
    <w:rsid w:val="00EB7540"/>
    <w:rsid w:val="00EB776D"/>
    <w:rsid w:val="00EB7ABF"/>
    <w:rsid w:val="00EC09A0"/>
    <w:rsid w:val="00EC09AD"/>
    <w:rsid w:val="00EC0F32"/>
    <w:rsid w:val="00EC0F76"/>
    <w:rsid w:val="00EC119D"/>
    <w:rsid w:val="00EC1592"/>
    <w:rsid w:val="00EC1637"/>
    <w:rsid w:val="00EC208D"/>
    <w:rsid w:val="00EC278D"/>
    <w:rsid w:val="00EC2801"/>
    <w:rsid w:val="00EC2F21"/>
    <w:rsid w:val="00EC415E"/>
    <w:rsid w:val="00EC48CA"/>
    <w:rsid w:val="00EC6429"/>
    <w:rsid w:val="00EC6A22"/>
    <w:rsid w:val="00EC7B39"/>
    <w:rsid w:val="00EC7CC3"/>
    <w:rsid w:val="00EC7FF9"/>
    <w:rsid w:val="00ED03B2"/>
    <w:rsid w:val="00ED0491"/>
    <w:rsid w:val="00ED0567"/>
    <w:rsid w:val="00ED0B96"/>
    <w:rsid w:val="00ED155E"/>
    <w:rsid w:val="00ED18FE"/>
    <w:rsid w:val="00ED1D63"/>
    <w:rsid w:val="00ED20EA"/>
    <w:rsid w:val="00ED214F"/>
    <w:rsid w:val="00ED2734"/>
    <w:rsid w:val="00ED2804"/>
    <w:rsid w:val="00ED2A53"/>
    <w:rsid w:val="00ED31C8"/>
    <w:rsid w:val="00ED3238"/>
    <w:rsid w:val="00ED332D"/>
    <w:rsid w:val="00ED347C"/>
    <w:rsid w:val="00ED371B"/>
    <w:rsid w:val="00ED4222"/>
    <w:rsid w:val="00ED55AD"/>
    <w:rsid w:val="00ED5833"/>
    <w:rsid w:val="00ED5E9F"/>
    <w:rsid w:val="00ED62E8"/>
    <w:rsid w:val="00ED6406"/>
    <w:rsid w:val="00ED66EC"/>
    <w:rsid w:val="00ED6797"/>
    <w:rsid w:val="00ED67FF"/>
    <w:rsid w:val="00ED7D76"/>
    <w:rsid w:val="00EE0FAC"/>
    <w:rsid w:val="00EE11AC"/>
    <w:rsid w:val="00EE1A39"/>
    <w:rsid w:val="00EE1C54"/>
    <w:rsid w:val="00EE243B"/>
    <w:rsid w:val="00EE37A7"/>
    <w:rsid w:val="00EE49BD"/>
    <w:rsid w:val="00EE676B"/>
    <w:rsid w:val="00EE6D16"/>
    <w:rsid w:val="00EE7B0C"/>
    <w:rsid w:val="00EF05BC"/>
    <w:rsid w:val="00EF097A"/>
    <w:rsid w:val="00EF09E4"/>
    <w:rsid w:val="00EF0A28"/>
    <w:rsid w:val="00EF1064"/>
    <w:rsid w:val="00EF1821"/>
    <w:rsid w:val="00EF1E74"/>
    <w:rsid w:val="00EF1EF9"/>
    <w:rsid w:val="00EF2624"/>
    <w:rsid w:val="00EF2FCE"/>
    <w:rsid w:val="00EF3F0E"/>
    <w:rsid w:val="00EF409C"/>
    <w:rsid w:val="00EF41A4"/>
    <w:rsid w:val="00EF440D"/>
    <w:rsid w:val="00EF4A55"/>
    <w:rsid w:val="00EF4FFE"/>
    <w:rsid w:val="00EF5B65"/>
    <w:rsid w:val="00EF5E44"/>
    <w:rsid w:val="00EF71E6"/>
    <w:rsid w:val="00EF750A"/>
    <w:rsid w:val="00EF7E84"/>
    <w:rsid w:val="00EF7EDB"/>
    <w:rsid w:val="00F0071A"/>
    <w:rsid w:val="00F015B1"/>
    <w:rsid w:val="00F01D20"/>
    <w:rsid w:val="00F0220D"/>
    <w:rsid w:val="00F039BD"/>
    <w:rsid w:val="00F03D12"/>
    <w:rsid w:val="00F044F4"/>
    <w:rsid w:val="00F05023"/>
    <w:rsid w:val="00F050E1"/>
    <w:rsid w:val="00F058F9"/>
    <w:rsid w:val="00F05A22"/>
    <w:rsid w:val="00F05EBB"/>
    <w:rsid w:val="00F05F21"/>
    <w:rsid w:val="00F06532"/>
    <w:rsid w:val="00F065B3"/>
    <w:rsid w:val="00F0724D"/>
    <w:rsid w:val="00F0754A"/>
    <w:rsid w:val="00F078B5"/>
    <w:rsid w:val="00F07FC6"/>
    <w:rsid w:val="00F11838"/>
    <w:rsid w:val="00F118E5"/>
    <w:rsid w:val="00F11ADF"/>
    <w:rsid w:val="00F11C51"/>
    <w:rsid w:val="00F11DB8"/>
    <w:rsid w:val="00F11E2B"/>
    <w:rsid w:val="00F1205E"/>
    <w:rsid w:val="00F12FD7"/>
    <w:rsid w:val="00F139FA"/>
    <w:rsid w:val="00F13DB3"/>
    <w:rsid w:val="00F142DB"/>
    <w:rsid w:val="00F14859"/>
    <w:rsid w:val="00F1498D"/>
    <w:rsid w:val="00F14EC5"/>
    <w:rsid w:val="00F152EA"/>
    <w:rsid w:val="00F15D0D"/>
    <w:rsid w:val="00F17398"/>
    <w:rsid w:val="00F174B6"/>
    <w:rsid w:val="00F17F8F"/>
    <w:rsid w:val="00F2073D"/>
    <w:rsid w:val="00F20B8E"/>
    <w:rsid w:val="00F212BA"/>
    <w:rsid w:val="00F216EA"/>
    <w:rsid w:val="00F224F7"/>
    <w:rsid w:val="00F228D4"/>
    <w:rsid w:val="00F22C20"/>
    <w:rsid w:val="00F23619"/>
    <w:rsid w:val="00F237B6"/>
    <w:rsid w:val="00F23866"/>
    <w:rsid w:val="00F23B1C"/>
    <w:rsid w:val="00F24166"/>
    <w:rsid w:val="00F2439E"/>
    <w:rsid w:val="00F25EC1"/>
    <w:rsid w:val="00F265F3"/>
    <w:rsid w:val="00F2704C"/>
    <w:rsid w:val="00F27D55"/>
    <w:rsid w:val="00F27DE9"/>
    <w:rsid w:val="00F30C87"/>
    <w:rsid w:val="00F314D7"/>
    <w:rsid w:val="00F3167B"/>
    <w:rsid w:val="00F31A6C"/>
    <w:rsid w:val="00F31F04"/>
    <w:rsid w:val="00F32A56"/>
    <w:rsid w:val="00F337B6"/>
    <w:rsid w:val="00F33C4E"/>
    <w:rsid w:val="00F33FAE"/>
    <w:rsid w:val="00F3409F"/>
    <w:rsid w:val="00F34184"/>
    <w:rsid w:val="00F341F7"/>
    <w:rsid w:val="00F344D7"/>
    <w:rsid w:val="00F346AA"/>
    <w:rsid w:val="00F36027"/>
    <w:rsid w:val="00F3675C"/>
    <w:rsid w:val="00F36C68"/>
    <w:rsid w:val="00F36D1D"/>
    <w:rsid w:val="00F370BE"/>
    <w:rsid w:val="00F370F3"/>
    <w:rsid w:val="00F37282"/>
    <w:rsid w:val="00F37ACB"/>
    <w:rsid w:val="00F37B41"/>
    <w:rsid w:val="00F405A2"/>
    <w:rsid w:val="00F40B69"/>
    <w:rsid w:val="00F42157"/>
    <w:rsid w:val="00F43650"/>
    <w:rsid w:val="00F44018"/>
    <w:rsid w:val="00F4422D"/>
    <w:rsid w:val="00F4426B"/>
    <w:rsid w:val="00F4582C"/>
    <w:rsid w:val="00F45833"/>
    <w:rsid w:val="00F45BCA"/>
    <w:rsid w:val="00F45C9B"/>
    <w:rsid w:val="00F45DF3"/>
    <w:rsid w:val="00F46C1E"/>
    <w:rsid w:val="00F4723B"/>
    <w:rsid w:val="00F472DE"/>
    <w:rsid w:val="00F477BC"/>
    <w:rsid w:val="00F50B67"/>
    <w:rsid w:val="00F50E63"/>
    <w:rsid w:val="00F50F9B"/>
    <w:rsid w:val="00F5142C"/>
    <w:rsid w:val="00F516AA"/>
    <w:rsid w:val="00F5209C"/>
    <w:rsid w:val="00F5277D"/>
    <w:rsid w:val="00F528CD"/>
    <w:rsid w:val="00F52C97"/>
    <w:rsid w:val="00F53142"/>
    <w:rsid w:val="00F53291"/>
    <w:rsid w:val="00F53902"/>
    <w:rsid w:val="00F54240"/>
    <w:rsid w:val="00F54EE4"/>
    <w:rsid w:val="00F550B0"/>
    <w:rsid w:val="00F55378"/>
    <w:rsid w:val="00F559DB"/>
    <w:rsid w:val="00F5634C"/>
    <w:rsid w:val="00F56750"/>
    <w:rsid w:val="00F56D07"/>
    <w:rsid w:val="00F57831"/>
    <w:rsid w:val="00F579E1"/>
    <w:rsid w:val="00F57E1E"/>
    <w:rsid w:val="00F5A3B4"/>
    <w:rsid w:val="00F6025C"/>
    <w:rsid w:val="00F6034B"/>
    <w:rsid w:val="00F608AC"/>
    <w:rsid w:val="00F60CC4"/>
    <w:rsid w:val="00F60DE8"/>
    <w:rsid w:val="00F612DE"/>
    <w:rsid w:val="00F619ED"/>
    <w:rsid w:val="00F61CA6"/>
    <w:rsid w:val="00F62469"/>
    <w:rsid w:val="00F625CE"/>
    <w:rsid w:val="00F62841"/>
    <w:rsid w:val="00F62B28"/>
    <w:rsid w:val="00F630AF"/>
    <w:rsid w:val="00F642D6"/>
    <w:rsid w:val="00F6483F"/>
    <w:rsid w:val="00F64866"/>
    <w:rsid w:val="00F64EA6"/>
    <w:rsid w:val="00F6578F"/>
    <w:rsid w:val="00F65E69"/>
    <w:rsid w:val="00F664AE"/>
    <w:rsid w:val="00F6697D"/>
    <w:rsid w:val="00F66F87"/>
    <w:rsid w:val="00F6727E"/>
    <w:rsid w:val="00F672B2"/>
    <w:rsid w:val="00F6736F"/>
    <w:rsid w:val="00F676BC"/>
    <w:rsid w:val="00F6775D"/>
    <w:rsid w:val="00F67AAE"/>
    <w:rsid w:val="00F67B00"/>
    <w:rsid w:val="00F67FED"/>
    <w:rsid w:val="00F7054E"/>
    <w:rsid w:val="00F70F16"/>
    <w:rsid w:val="00F71158"/>
    <w:rsid w:val="00F7153C"/>
    <w:rsid w:val="00F71832"/>
    <w:rsid w:val="00F718F1"/>
    <w:rsid w:val="00F72245"/>
    <w:rsid w:val="00F72273"/>
    <w:rsid w:val="00F7277E"/>
    <w:rsid w:val="00F729AB"/>
    <w:rsid w:val="00F72A2C"/>
    <w:rsid w:val="00F72CBA"/>
    <w:rsid w:val="00F72F44"/>
    <w:rsid w:val="00F732EB"/>
    <w:rsid w:val="00F73525"/>
    <w:rsid w:val="00F7352A"/>
    <w:rsid w:val="00F7450E"/>
    <w:rsid w:val="00F74E46"/>
    <w:rsid w:val="00F7600B"/>
    <w:rsid w:val="00F76186"/>
    <w:rsid w:val="00F767AE"/>
    <w:rsid w:val="00F7681C"/>
    <w:rsid w:val="00F7748C"/>
    <w:rsid w:val="00F77B02"/>
    <w:rsid w:val="00F77B94"/>
    <w:rsid w:val="00F77F91"/>
    <w:rsid w:val="00F802CB"/>
    <w:rsid w:val="00F802D6"/>
    <w:rsid w:val="00F803C2"/>
    <w:rsid w:val="00F80626"/>
    <w:rsid w:val="00F80F86"/>
    <w:rsid w:val="00F8135C"/>
    <w:rsid w:val="00F81CB0"/>
    <w:rsid w:val="00F8217B"/>
    <w:rsid w:val="00F830E3"/>
    <w:rsid w:val="00F831D4"/>
    <w:rsid w:val="00F8471B"/>
    <w:rsid w:val="00F84D4B"/>
    <w:rsid w:val="00F84F6D"/>
    <w:rsid w:val="00F85910"/>
    <w:rsid w:val="00F865D8"/>
    <w:rsid w:val="00F86938"/>
    <w:rsid w:val="00F86A9D"/>
    <w:rsid w:val="00F86EFA"/>
    <w:rsid w:val="00F8783C"/>
    <w:rsid w:val="00F9003F"/>
    <w:rsid w:val="00F90D69"/>
    <w:rsid w:val="00F90E02"/>
    <w:rsid w:val="00F91168"/>
    <w:rsid w:val="00F91288"/>
    <w:rsid w:val="00F91530"/>
    <w:rsid w:val="00F91999"/>
    <w:rsid w:val="00F91D60"/>
    <w:rsid w:val="00F93BD0"/>
    <w:rsid w:val="00F93D28"/>
    <w:rsid w:val="00F93E9F"/>
    <w:rsid w:val="00F9400F"/>
    <w:rsid w:val="00F94875"/>
    <w:rsid w:val="00F94B18"/>
    <w:rsid w:val="00F94CFA"/>
    <w:rsid w:val="00F95B49"/>
    <w:rsid w:val="00F95EAF"/>
    <w:rsid w:val="00F960B6"/>
    <w:rsid w:val="00F96264"/>
    <w:rsid w:val="00F968BF"/>
    <w:rsid w:val="00F96A05"/>
    <w:rsid w:val="00F970A6"/>
    <w:rsid w:val="00F970DE"/>
    <w:rsid w:val="00FA024C"/>
    <w:rsid w:val="00FA0335"/>
    <w:rsid w:val="00FA055E"/>
    <w:rsid w:val="00FA0765"/>
    <w:rsid w:val="00FA0CA3"/>
    <w:rsid w:val="00FA1531"/>
    <w:rsid w:val="00FA1FB3"/>
    <w:rsid w:val="00FA2278"/>
    <w:rsid w:val="00FA2523"/>
    <w:rsid w:val="00FA26FD"/>
    <w:rsid w:val="00FA2828"/>
    <w:rsid w:val="00FA2ECC"/>
    <w:rsid w:val="00FA378C"/>
    <w:rsid w:val="00FA3B61"/>
    <w:rsid w:val="00FA3BAD"/>
    <w:rsid w:val="00FA4054"/>
    <w:rsid w:val="00FA4139"/>
    <w:rsid w:val="00FA4A93"/>
    <w:rsid w:val="00FA5085"/>
    <w:rsid w:val="00FA5839"/>
    <w:rsid w:val="00FA588B"/>
    <w:rsid w:val="00FA6ABC"/>
    <w:rsid w:val="00FA6BAD"/>
    <w:rsid w:val="00FA6C5D"/>
    <w:rsid w:val="00FA77BC"/>
    <w:rsid w:val="00FA7AF1"/>
    <w:rsid w:val="00FA7F08"/>
    <w:rsid w:val="00FB002D"/>
    <w:rsid w:val="00FB025B"/>
    <w:rsid w:val="00FB0855"/>
    <w:rsid w:val="00FB0A35"/>
    <w:rsid w:val="00FB0E29"/>
    <w:rsid w:val="00FB1552"/>
    <w:rsid w:val="00FB29BC"/>
    <w:rsid w:val="00FB2BC5"/>
    <w:rsid w:val="00FB3453"/>
    <w:rsid w:val="00FB3530"/>
    <w:rsid w:val="00FB4C59"/>
    <w:rsid w:val="00FB4CD2"/>
    <w:rsid w:val="00FB5655"/>
    <w:rsid w:val="00FB5854"/>
    <w:rsid w:val="00FB5C79"/>
    <w:rsid w:val="00FB5EC5"/>
    <w:rsid w:val="00FB6135"/>
    <w:rsid w:val="00FB684F"/>
    <w:rsid w:val="00FB6A21"/>
    <w:rsid w:val="00FB6A24"/>
    <w:rsid w:val="00FB6B5B"/>
    <w:rsid w:val="00FB704E"/>
    <w:rsid w:val="00FB724A"/>
    <w:rsid w:val="00FB73C9"/>
    <w:rsid w:val="00FB7F0F"/>
    <w:rsid w:val="00FB7F15"/>
    <w:rsid w:val="00FC0D4C"/>
    <w:rsid w:val="00FC0DA2"/>
    <w:rsid w:val="00FC13EC"/>
    <w:rsid w:val="00FC147E"/>
    <w:rsid w:val="00FC159A"/>
    <w:rsid w:val="00FC25AA"/>
    <w:rsid w:val="00FC27D7"/>
    <w:rsid w:val="00FC2A7C"/>
    <w:rsid w:val="00FC2BEB"/>
    <w:rsid w:val="00FC2C42"/>
    <w:rsid w:val="00FC37A4"/>
    <w:rsid w:val="00FC3B57"/>
    <w:rsid w:val="00FC4019"/>
    <w:rsid w:val="00FC4C5D"/>
    <w:rsid w:val="00FC5200"/>
    <w:rsid w:val="00FC52E5"/>
    <w:rsid w:val="00FC5341"/>
    <w:rsid w:val="00FC5379"/>
    <w:rsid w:val="00FC56DA"/>
    <w:rsid w:val="00FC59AF"/>
    <w:rsid w:val="00FC5DAC"/>
    <w:rsid w:val="00FC5DCE"/>
    <w:rsid w:val="00FC6004"/>
    <w:rsid w:val="00FC67E0"/>
    <w:rsid w:val="00FC70DA"/>
    <w:rsid w:val="00FC75EF"/>
    <w:rsid w:val="00FD0370"/>
    <w:rsid w:val="00FD04E2"/>
    <w:rsid w:val="00FD05C1"/>
    <w:rsid w:val="00FD092B"/>
    <w:rsid w:val="00FD0C01"/>
    <w:rsid w:val="00FD0F8A"/>
    <w:rsid w:val="00FD10FE"/>
    <w:rsid w:val="00FD16A5"/>
    <w:rsid w:val="00FD18DA"/>
    <w:rsid w:val="00FD1E59"/>
    <w:rsid w:val="00FD23EF"/>
    <w:rsid w:val="00FD251F"/>
    <w:rsid w:val="00FD2670"/>
    <w:rsid w:val="00FD337D"/>
    <w:rsid w:val="00FD3DA6"/>
    <w:rsid w:val="00FD42AC"/>
    <w:rsid w:val="00FD43AA"/>
    <w:rsid w:val="00FD5238"/>
    <w:rsid w:val="00FD59C5"/>
    <w:rsid w:val="00FD5DA3"/>
    <w:rsid w:val="00FD60ED"/>
    <w:rsid w:val="00FD632E"/>
    <w:rsid w:val="00FD66DE"/>
    <w:rsid w:val="00FD6863"/>
    <w:rsid w:val="00FD6868"/>
    <w:rsid w:val="00FD6B69"/>
    <w:rsid w:val="00FD6F8F"/>
    <w:rsid w:val="00FD712F"/>
    <w:rsid w:val="00FD7CFC"/>
    <w:rsid w:val="00FD7FCB"/>
    <w:rsid w:val="00FE0AB5"/>
    <w:rsid w:val="00FE19B1"/>
    <w:rsid w:val="00FE1A59"/>
    <w:rsid w:val="00FE1BF8"/>
    <w:rsid w:val="00FE25DF"/>
    <w:rsid w:val="00FE2D67"/>
    <w:rsid w:val="00FE4456"/>
    <w:rsid w:val="00FE45E3"/>
    <w:rsid w:val="00FE4642"/>
    <w:rsid w:val="00FE5089"/>
    <w:rsid w:val="00FE5093"/>
    <w:rsid w:val="00FE5677"/>
    <w:rsid w:val="00FE5C5E"/>
    <w:rsid w:val="00FE64F1"/>
    <w:rsid w:val="00FE6CC7"/>
    <w:rsid w:val="00FE6CF2"/>
    <w:rsid w:val="00FE73B6"/>
    <w:rsid w:val="00FE7408"/>
    <w:rsid w:val="00FE796E"/>
    <w:rsid w:val="00FE7ACE"/>
    <w:rsid w:val="00FF0113"/>
    <w:rsid w:val="00FF04C0"/>
    <w:rsid w:val="00FF081B"/>
    <w:rsid w:val="00FF0B46"/>
    <w:rsid w:val="00FF0DB7"/>
    <w:rsid w:val="00FF0F3F"/>
    <w:rsid w:val="00FF11D7"/>
    <w:rsid w:val="00FF1BA8"/>
    <w:rsid w:val="00FF2634"/>
    <w:rsid w:val="00FF2D6B"/>
    <w:rsid w:val="00FF2E63"/>
    <w:rsid w:val="00FF2EA4"/>
    <w:rsid w:val="00FF331C"/>
    <w:rsid w:val="00FF3380"/>
    <w:rsid w:val="00FF36A6"/>
    <w:rsid w:val="00FF399A"/>
    <w:rsid w:val="00FF4467"/>
    <w:rsid w:val="00FF490D"/>
    <w:rsid w:val="00FF4ECD"/>
    <w:rsid w:val="00FF5626"/>
    <w:rsid w:val="00FF576C"/>
    <w:rsid w:val="00FF78BB"/>
    <w:rsid w:val="00FFF744"/>
    <w:rsid w:val="0100E463"/>
    <w:rsid w:val="010EB8DA"/>
    <w:rsid w:val="0111FE27"/>
    <w:rsid w:val="01229CA9"/>
    <w:rsid w:val="013D42A9"/>
    <w:rsid w:val="014098CA"/>
    <w:rsid w:val="01418A9C"/>
    <w:rsid w:val="01455B0D"/>
    <w:rsid w:val="014D7102"/>
    <w:rsid w:val="0158AE8F"/>
    <w:rsid w:val="0159131C"/>
    <w:rsid w:val="015934E8"/>
    <w:rsid w:val="015D86B2"/>
    <w:rsid w:val="01721A68"/>
    <w:rsid w:val="0177A216"/>
    <w:rsid w:val="017A3486"/>
    <w:rsid w:val="017EECF2"/>
    <w:rsid w:val="0187D65C"/>
    <w:rsid w:val="019A95F5"/>
    <w:rsid w:val="019DD39B"/>
    <w:rsid w:val="01A261D3"/>
    <w:rsid w:val="01AB2771"/>
    <w:rsid w:val="01C3B44F"/>
    <w:rsid w:val="01C7342A"/>
    <w:rsid w:val="01C917B7"/>
    <w:rsid w:val="01EAD27E"/>
    <w:rsid w:val="01F60084"/>
    <w:rsid w:val="02061754"/>
    <w:rsid w:val="02333CC6"/>
    <w:rsid w:val="023C9925"/>
    <w:rsid w:val="0245BB07"/>
    <w:rsid w:val="0261CA00"/>
    <w:rsid w:val="02662530"/>
    <w:rsid w:val="026A7B95"/>
    <w:rsid w:val="026BCC78"/>
    <w:rsid w:val="02787DA1"/>
    <w:rsid w:val="02808B41"/>
    <w:rsid w:val="0283D024"/>
    <w:rsid w:val="028873CF"/>
    <w:rsid w:val="028ADFBC"/>
    <w:rsid w:val="0297BD0E"/>
    <w:rsid w:val="02A462F4"/>
    <w:rsid w:val="02AD9351"/>
    <w:rsid w:val="02BAC9CE"/>
    <w:rsid w:val="02BB7710"/>
    <w:rsid w:val="02C47E61"/>
    <w:rsid w:val="02D3B76C"/>
    <w:rsid w:val="02DAE8EB"/>
    <w:rsid w:val="02E2E1AA"/>
    <w:rsid w:val="02E73435"/>
    <w:rsid w:val="02EFDF44"/>
    <w:rsid w:val="02F658CC"/>
    <w:rsid w:val="030106AE"/>
    <w:rsid w:val="03037846"/>
    <w:rsid w:val="030495CD"/>
    <w:rsid w:val="03055539"/>
    <w:rsid w:val="030859C2"/>
    <w:rsid w:val="031AB294"/>
    <w:rsid w:val="03203C9D"/>
    <w:rsid w:val="0320A876"/>
    <w:rsid w:val="033449D9"/>
    <w:rsid w:val="033AE928"/>
    <w:rsid w:val="033E5553"/>
    <w:rsid w:val="0342F55B"/>
    <w:rsid w:val="03506815"/>
    <w:rsid w:val="0351D10E"/>
    <w:rsid w:val="035F5ED5"/>
    <w:rsid w:val="03646B33"/>
    <w:rsid w:val="036BBD98"/>
    <w:rsid w:val="03728DBC"/>
    <w:rsid w:val="0373BCDF"/>
    <w:rsid w:val="037D90ED"/>
    <w:rsid w:val="038297D1"/>
    <w:rsid w:val="03833F4A"/>
    <w:rsid w:val="03A96099"/>
    <w:rsid w:val="03B3CDE4"/>
    <w:rsid w:val="03B6F601"/>
    <w:rsid w:val="03B734E0"/>
    <w:rsid w:val="03C19D98"/>
    <w:rsid w:val="03C65C24"/>
    <w:rsid w:val="03CC8CD4"/>
    <w:rsid w:val="03D12D56"/>
    <w:rsid w:val="03D208AD"/>
    <w:rsid w:val="03D77AA2"/>
    <w:rsid w:val="03F1BE3F"/>
    <w:rsid w:val="03F1EEB3"/>
    <w:rsid w:val="03F618DE"/>
    <w:rsid w:val="041A2D64"/>
    <w:rsid w:val="041A8DE7"/>
    <w:rsid w:val="041B7C51"/>
    <w:rsid w:val="041CBEC3"/>
    <w:rsid w:val="042A4A5A"/>
    <w:rsid w:val="04306D7C"/>
    <w:rsid w:val="04340E0B"/>
    <w:rsid w:val="043BEFDC"/>
    <w:rsid w:val="043FBF7E"/>
    <w:rsid w:val="044FCB12"/>
    <w:rsid w:val="0453C63E"/>
    <w:rsid w:val="04764CE3"/>
    <w:rsid w:val="04826C5E"/>
    <w:rsid w:val="0496305B"/>
    <w:rsid w:val="04AA2384"/>
    <w:rsid w:val="04ACA234"/>
    <w:rsid w:val="04AD0CAF"/>
    <w:rsid w:val="04B401AD"/>
    <w:rsid w:val="04B7483D"/>
    <w:rsid w:val="04BD952D"/>
    <w:rsid w:val="04BECAE4"/>
    <w:rsid w:val="04C7595B"/>
    <w:rsid w:val="04C9430C"/>
    <w:rsid w:val="04CF3050"/>
    <w:rsid w:val="04D3EDA4"/>
    <w:rsid w:val="04DE32AB"/>
    <w:rsid w:val="04DF0690"/>
    <w:rsid w:val="05016E6A"/>
    <w:rsid w:val="05050CB7"/>
    <w:rsid w:val="050FD51A"/>
    <w:rsid w:val="05123CBB"/>
    <w:rsid w:val="051DE3A3"/>
    <w:rsid w:val="0526D781"/>
    <w:rsid w:val="052AD915"/>
    <w:rsid w:val="052D0D6E"/>
    <w:rsid w:val="052D15CD"/>
    <w:rsid w:val="052EBA04"/>
    <w:rsid w:val="052F85CF"/>
    <w:rsid w:val="05363FB2"/>
    <w:rsid w:val="0545E4FD"/>
    <w:rsid w:val="05597ACF"/>
    <w:rsid w:val="055DD107"/>
    <w:rsid w:val="0561DB08"/>
    <w:rsid w:val="056DF506"/>
    <w:rsid w:val="056EA61B"/>
    <w:rsid w:val="0571A7A7"/>
    <w:rsid w:val="057A1D78"/>
    <w:rsid w:val="0584FF7D"/>
    <w:rsid w:val="058A553F"/>
    <w:rsid w:val="0595BBBD"/>
    <w:rsid w:val="05A354BA"/>
    <w:rsid w:val="05A66E94"/>
    <w:rsid w:val="05AF9E2C"/>
    <w:rsid w:val="05CE831C"/>
    <w:rsid w:val="05D53EEE"/>
    <w:rsid w:val="05DE6F10"/>
    <w:rsid w:val="05DF9E33"/>
    <w:rsid w:val="05E340B4"/>
    <w:rsid w:val="05E6AEF2"/>
    <w:rsid w:val="05E6D953"/>
    <w:rsid w:val="05EBCD39"/>
    <w:rsid w:val="05EBF1DA"/>
    <w:rsid w:val="05ECFDD2"/>
    <w:rsid w:val="05F7E6AE"/>
    <w:rsid w:val="05F80838"/>
    <w:rsid w:val="06074CDC"/>
    <w:rsid w:val="060BC6E6"/>
    <w:rsid w:val="060D2ACA"/>
    <w:rsid w:val="060EB5EC"/>
    <w:rsid w:val="0611CA9C"/>
    <w:rsid w:val="06168095"/>
    <w:rsid w:val="0619D8DB"/>
    <w:rsid w:val="0624CBD6"/>
    <w:rsid w:val="0626FA1F"/>
    <w:rsid w:val="0632111E"/>
    <w:rsid w:val="06369AB4"/>
    <w:rsid w:val="063D44CD"/>
    <w:rsid w:val="063F1DB5"/>
    <w:rsid w:val="0647615F"/>
    <w:rsid w:val="0653114C"/>
    <w:rsid w:val="065C7923"/>
    <w:rsid w:val="066C3849"/>
    <w:rsid w:val="06862EFC"/>
    <w:rsid w:val="068712BA"/>
    <w:rsid w:val="06876534"/>
    <w:rsid w:val="068884A7"/>
    <w:rsid w:val="068B8F8F"/>
    <w:rsid w:val="069755D5"/>
    <w:rsid w:val="06ACD56F"/>
    <w:rsid w:val="06AE1250"/>
    <w:rsid w:val="06BF3A34"/>
    <w:rsid w:val="06C63EFC"/>
    <w:rsid w:val="06C9EF3A"/>
    <w:rsid w:val="06CED521"/>
    <w:rsid w:val="06D05D4C"/>
    <w:rsid w:val="06F2871F"/>
    <w:rsid w:val="06F6BA62"/>
    <w:rsid w:val="07050679"/>
    <w:rsid w:val="0705B980"/>
    <w:rsid w:val="070CC66F"/>
    <w:rsid w:val="0716630B"/>
    <w:rsid w:val="07189904"/>
    <w:rsid w:val="07189BB8"/>
    <w:rsid w:val="0721572E"/>
    <w:rsid w:val="072EC4CF"/>
    <w:rsid w:val="0737577F"/>
    <w:rsid w:val="074AD156"/>
    <w:rsid w:val="07501E55"/>
    <w:rsid w:val="075C3974"/>
    <w:rsid w:val="075E0294"/>
    <w:rsid w:val="076AE73B"/>
    <w:rsid w:val="076D085D"/>
    <w:rsid w:val="0771C9D8"/>
    <w:rsid w:val="0782E921"/>
    <w:rsid w:val="0788606C"/>
    <w:rsid w:val="078E41F8"/>
    <w:rsid w:val="0796264E"/>
    <w:rsid w:val="079C565B"/>
    <w:rsid w:val="07B1CC27"/>
    <w:rsid w:val="07B6B2A9"/>
    <w:rsid w:val="07B8E3D2"/>
    <w:rsid w:val="07C17EE2"/>
    <w:rsid w:val="07D376C2"/>
    <w:rsid w:val="07E55E81"/>
    <w:rsid w:val="07E767F1"/>
    <w:rsid w:val="07E7B005"/>
    <w:rsid w:val="07E8687A"/>
    <w:rsid w:val="080ACB4C"/>
    <w:rsid w:val="08116151"/>
    <w:rsid w:val="08126996"/>
    <w:rsid w:val="081275C7"/>
    <w:rsid w:val="0813D010"/>
    <w:rsid w:val="081A41BD"/>
    <w:rsid w:val="081ACC7D"/>
    <w:rsid w:val="081E27C3"/>
    <w:rsid w:val="08218A19"/>
    <w:rsid w:val="0824F09A"/>
    <w:rsid w:val="082648B8"/>
    <w:rsid w:val="083DFA4A"/>
    <w:rsid w:val="084085D1"/>
    <w:rsid w:val="08637E42"/>
    <w:rsid w:val="0865D141"/>
    <w:rsid w:val="086729FF"/>
    <w:rsid w:val="0867DD9C"/>
    <w:rsid w:val="086D6BD0"/>
    <w:rsid w:val="087C6B6A"/>
    <w:rsid w:val="0884A574"/>
    <w:rsid w:val="08873E5A"/>
    <w:rsid w:val="08883CD3"/>
    <w:rsid w:val="08925EAA"/>
    <w:rsid w:val="089556A2"/>
    <w:rsid w:val="089FF261"/>
    <w:rsid w:val="08A08FA8"/>
    <w:rsid w:val="08B12647"/>
    <w:rsid w:val="08C13AF4"/>
    <w:rsid w:val="08CD5153"/>
    <w:rsid w:val="08CE63EE"/>
    <w:rsid w:val="08D4FC70"/>
    <w:rsid w:val="08E40C13"/>
    <w:rsid w:val="08EB2A4D"/>
    <w:rsid w:val="08F001A7"/>
    <w:rsid w:val="08F3B3E9"/>
    <w:rsid w:val="08F85423"/>
    <w:rsid w:val="09023127"/>
    <w:rsid w:val="090CDD21"/>
    <w:rsid w:val="091FF3A6"/>
    <w:rsid w:val="09247B0E"/>
    <w:rsid w:val="092D50CF"/>
    <w:rsid w:val="092D77FB"/>
    <w:rsid w:val="093B401D"/>
    <w:rsid w:val="09423D64"/>
    <w:rsid w:val="0945FC3A"/>
    <w:rsid w:val="0947AB21"/>
    <w:rsid w:val="094E728B"/>
    <w:rsid w:val="094FD923"/>
    <w:rsid w:val="095182E1"/>
    <w:rsid w:val="09535322"/>
    <w:rsid w:val="095C9F5F"/>
    <w:rsid w:val="095E598A"/>
    <w:rsid w:val="095E7CC5"/>
    <w:rsid w:val="096C88EF"/>
    <w:rsid w:val="096CD080"/>
    <w:rsid w:val="096D9F85"/>
    <w:rsid w:val="096E2FE3"/>
    <w:rsid w:val="097007D0"/>
    <w:rsid w:val="0972B583"/>
    <w:rsid w:val="0978F6E3"/>
    <w:rsid w:val="0978F7BA"/>
    <w:rsid w:val="097C339E"/>
    <w:rsid w:val="097D321E"/>
    <w:rsid w:val="097D560A"/>
    <w:rsid w:val="09804B9B"/>
    <w:rsid w:val="09810635"/>
    <w:rsid w:val="098F4D76"/>
    <w:rsid w:val="09906FD5"/>
    <w:rsid w:val="09B12E01"/>
    <w:rsid w:val="09C3B963"/>
    <w:rsid w:val="09D84B27"/>
    <w:rsid w:val="09E13492"/>
    <w:rsid w:val="09E1D054"/>
    <w:rsid w:val="09EABC04"/>
    <w:rsid w:val="09EB69FC"/>
    <w:rsid w:val="09F4A2F2"/>
    <w:rsid w:val="09F575D2"/>
    <w:rsid w:val="09F69702"/>
    <w:rsid w:val="0A098055"/>
    <w:rsid w:val="0A138BAA"/>
    <w:rsid w:val="0A237EBC"/>
    <w:rsid w:val="0A30C6C4"/>
    <w:rsid w:val="0A398B5F"/>
    <w:rsid w:val="0A3A25AE"/>
    <w:rsid w:val="0A42A7AF"/>
    <w:rsid w:val="0A43FE7C"/>
    <w:rsid w:val="0A468B0C"/>
    <w:rsid w:val="0A481405"/>
    <w:rsid w:val="0A4C990D"/>
    <w:rsid w:val="0A66F12B"/>
    <w:rsid w:val="0A67AFDA"/>
    <w:rsid w:val="0A68AA07"/>
    <w:rsid w:val="0A71C7B4"/>
    <w:rsid w:val="0A78FB97"/>
    <w:rsid w:val="0A84A3A8"/>
    <w:rsid w:val="0A8E2BE6"/>
    <w:rsid w:val="0AA7451F"/>
    <w:rsid w:val="0AA7F10B"/>
    <w:rsid w:val="0AA838E3"/>
    <w:rsid w:val="0AA84E41"/>
    <w:rsid w:val="0ABAD2E7"/>
    <w:rsid w:val="0AD28594"/>
    <w:rsid w:val="0AE02DC3"/>
    <w:rsid w:val="0AEA878D"/>
    <w:rsid w:val="0AEC8E44"/>
    <w:rsid w:val="0AED1BE3"/>
    <w:rsid w:val="0AF0A2C5"/>
    <w:rsid w:val="0AF9B5B4"/>
    <w:rsid w:val="0B02C2BB"/>
    <w:rsid w:val="0B0C0A9A"/>
    <w:rsid w:val="0B252C8A"/>
    <w:rsid w:val="0B29BEEF"/>
    <w:rsid w:val="0B32F6CF"/>
    <w:rsid w:val="0B3D1BF0"/>
    <w:rsid w:val="0B4015D1"/>
    <w:rsid w:val="0B40B9A3"/>
    <w:rsid w:val="0B420A59"/>
    <w:rsid w:val="0B448D6E"/>
    <w:rsid w:val="0B545079"/>
    <w:rsid w:val="0B59D952"/>
    <w:rsid w:val="0B6E51F4"/>
    <w:rsid w:val="0B852A0E"/>
    <w:rsid w:val="0B8622B5"/>
    <w:rsid w:val="0B8CA035"/>
    <w:rsid w:val="0B948892"/>
    <w:rsid w:val="0BA4D506"/>
    <w:rsid w:val="0BA6E7E4"/>
    <w:rsid w:val="0BABE1BF"/>
    <w:rsid w:val="0BB2D9EF"/>
    <w:rsid w:val="0BC43B0C"/>
    <w:rsid w:val="0BE24C3C"/>
    <w:rsid w:val="0BE43DFA"/>
    <w:rsid w:val="0BEA61DF"/>
    <w:rsid w:val="0BED0B48"/>
    <w:rsid w:val="0BF132C7"/>
    <w:rsid w:val="0BFC6920"/>
    <w:rsid w:val="0C023B81"/>
    <w:rsid w:val="0C05C3CF"/>
    <w:rsid w:val="0C0EDBEE"/>
    <w:rsid w:val="0C0F3443"/>
    <w:rsid w:val="0C1268B4"/>
    <w:rsid w:val="0C15740F"/>
    <w:rsid w:val="0C1E48E0"/>
    <w:rsid w:val="0C3345F0"/>
    <w:rsid w:val="0C3B72C8"/>
    <w:rsid w:val="0C40BF89"/>
    <w:rsid w:val="0C44ECD1"/>
    <w:rsid w:val="0C4BB19E"/>
    <w:rsid w:val="0C57AF6B"/>
    <w:rsid w:val="0C58B46D"/>
    <w:rsid w:val="0C599E75"/>
    <w:rsid w:val="0C5D7A42"/>
    <w:rsid w:val="0C62F37B"/>
    <w:rsid w:val="0C675967"/>
    <w:rsid w:val="0C68B1D1"/>
    <w:rsid w:val="0C83A949"/>
    <w:rsid w:val="0C9510C0"/>
    <w:rsid w:val="0C95B255"/>
    <w:rsid w:val="0C9884DE"/>
    <w:rsid w:val="0C9C2AE3"/>
    <w:rsid w:val="0CAA55CC"/>
    <w:rsid w:val="0CBE6F7F"/>
    <w:rsid w:val="0CE044CF"/>
    <w:rsid w:val="0CECEF51"/>
    <w:rsid w:val="0CF1FCD1"/>
    <w:rsid w:val="0CFCAF6F"/>
    <w:rsid w:val="0D0197F3"/>
    <w:rsid w:val="0D09D4AB"/>
    <w:rsid w:val="0D18C23F"/>
    <w:rsid w:val="0D26A32D"/>
    <w:rsid w:val="0D2E2A11"/>
    <w:rsid w:val="0D3A19BC"/>
    <w:rsid w:val="0D4C7F3B"/>
    <w:rsid w:val="0D65EBF0"/>
    <w:rsid w:val="0D680FF9"/>
    <w:rsid w:val="0D725EF5"/>
    <w:rsid w:val="0D7C91E3"/>
    <w:rsid w:val="0D81BC00"/>
    <w:rsid w:val="0D85ECC4"/>
    <w:rsid w:val="0DA842C6"/>
    <w:rsid w:val="0DA9D185"/>
    <w:rsid w:val="0DB3E00C"/>
    <w:rsid w:val="0DB49708"/>
    <w:rsid w:val="0DC30DCA"/>
    <w:rsid w:val="0DC54B95"/>
    <w:rsid w:val="0DC7F042"/>
    <w:rsid w:val="0DC9610F"/>
    <w:rsid w:val="0DD0F1B7"/>
    <w:rsid w:val="0DD21439"/>
    <w:rsid w:val="0DE9B0FC"/>
    <w:rsid w:val="0DECAE4C"/>
    <w:rsid w:val="0DEDD9C5"/>
    <w:rsid w:val="0DF3CC9F"/>
    <w:rsid w:val="0DF6CEE7"/>
    <w:rsid w:val="0DFBDE6D"/>
    <w:rsid w:val="0E18BA30"/>
    <w:rsid w:val="0E24CDB4"/>
    <w:rsid w:val="0E36BC0F"/>
    <w:rsid w:val="0E3C31CA"/>
    <w:rsid w:val="0E4833D8"/>
    <w:rsid w:val="0E643ABB"/>
    <w:rsid w:val="0E85691B"/>
    <w:rsid w:val="0E8DE6AD"/>
    <w:rsid w:val="0E9017C1"/>
    <w:rsid w:val="0EB2857E"/>
    <w:rsid w:val="0EBD51F5"/>
    <w:rsid w:val="0EBDFDC7"/>
    <w:rsid w:val="0EC11256"/>
    <w:rsid w:val="0EC50E65"/>
    <w:rsid w:val="0EDC385E"/>
    <w:rsid w:val="0EDFCAFD"/>
    <w:rsid w:val="0EEDB3C5"/>
    <w:rsid w:val="0EEDEA6B"/>
    <w:rsid w:val="0EF39EA5"/>
    <w:rsid w:val="0F030034"/>
    <w:rsid w:val="0F14FE53"/>
    <w:rsid w:val="0F242920"/>
    <w:rsid w:val="0F24C96A"/>
    <w:rsid w:val="0F2C2D39"/>
    <w:rsid w:val="0F2EEDF0"/>
    <w:rsid w:val="0F3067BA"/>
    <w:rsid w:val="0F371B2A"/>
    <w:rsid w:val="0F38C0A4"/>
    <w:rsid w:val="0F39EB5F"/>
    <w:rsid w:val="0F3E52AB"/>
    <w:rsid w:val="0F41848A"/>
    <w:rsid w:val="0F47DEAF"/>
    <w:rsid w:val="0F49D050"/>
    <w:rsid w:val="0F4D0494"/>
    <w:rsid w:val="0F51E837"/>
    <w:rsid w:val="0F54CF2A"/>
    <w:rsid w:val="0F5ABE8A"/>
    <w:rsid w:val="0F67DF9A"/>
    <w:rsid w:val="0F6B536A"/>
    <w:rsid w:val="0F74F241"/>
    <w:rsid w:val="0F757F51"/>
    <w:rsid w:val="0F77E235"/>
    <w:rsid w:val="0F9EE0AF"/>
    <w:rsid w:val="0FA58CF7"/>
    <w:rsid w:val="0FA899EB"/>
    <w:rsid w:val="0FBAA16B"/>
    <w:rsid w:val="0FBD8501"/>
    <w:rsid w:val="0FC09E3B"/>
    <w:rsid w:val="0FC3AF0D"/>
    <w:rsid w:val="0FCEA222"/>
    <w:rsid w:val="0FD5CAF1"/>
    <w:rsid w:val="0FF80C5B"/>
    <w:rsid w:val="0FF83B78"/>
    <w:rsid w:val="0FFCE2E9"/>
    <w:rsid w:val="1000709C"/>
    <w:rsid w:val="101817FD"/>
    <w:rsid w:val="101C7DD9"/>
    <w:rsid w:val="10275B8D"/>
    <w:rsid w:val="103C5F51"/>
    <w:rsid w:val="104188F3"/>
    <w:rsid w:val="104610AD"/>
    <w:rsid w:val="10477D04"/>
    <w:rsid w:val="104920F6"/>
    <w:rsid w:val="1050CFEE"/>
    <w:rsid w:val="10522811"/>
    <w:rsid w:val="105AA0AB"/>
    <w:rsid w:val="1063F854"/>
    <w:rsid w:val="10769374"/>
    <w:rsid w:val="10770B56"/>
    <w:rsid w:val="1093AE24"/>
    <w:rsid w:val="109A5C65"/>
    <w:rsid w:val="10A0958D"/>
    <w:rsid w:val="10A13A01"/>
    <w:rsid w:val="10A2AF62"/>
    <w:rsid w:val="10ABFC2C"/>
    <w:rsid w:val="10AEDDB7"/>
    <w:rsid w:val="10BCD2AC"/>
    <w:rsid w:val="10BF944B"/>
    <w:rsid w:val="10F28F44"/>
    <w:rsid w:val="10FFE415"/>
    <w:rsid w:val="1111FE2C"/>
    <w:rsid w:val="1119C23E"/>
    <w:rsid w:val="114AC7F4"/>
    <w:rsid w:val="115CE4F6"/>
    <w:rsid w:val="116A9E93"/>
    <w:rsid w:val="1172D187"/>
    <w:rsid w:val="117C0C47"/>
    <w:rsid w:val="117D9E2D"/>
    <w:rsid w:val="11888D7A"/>
    <w:rsid w:val="118DF0AF"/>
    <w:rsid w:val="118DFCBF"/>
    <w:rsid w:val="119562F8"/>
    <w:rsid w:val="119955F2"/>
    <w:rsid w:val="11B4F9DB"/>
    <w:rsid w:val="11BD51C3"/>
    <w:rsid w:val="11C2D646"/>
    <w:rsid w:val="11C314AD"/>
    <w:rsid w:val="11D002FD"/>
    <w:rsid w:val="11D504B1"/>
    <w:rsid w:val="11D9D2D2"/>
    <w:rsid w:val="11E14820"/>
    <w:rsid w:val="11EC19A1"/>
    <w:rsid w:val="11F090AA"/>
    <w:rsid w:val="120304C0"/>
    <w:rsid w:val="120B6762"/>
    <w:rsid w:val="12139B5C"/>
    <w:rsid w:val="12204D86"/>
    <w:rsid w:val="122E29CB"/>
    <w:rsid w:val="123E581A"/>
    <w:rsid w:val="124CCBAB"/>
    <w:rsid w:val="124FD1C6"/>
    <w:rsid w:val="12643038"/>
    <w:rsid w:val="12838479"/>
    <w:rsid w:val="1284BDE0"/>
    <w:rsid w:val="128ED030"/>
    <w:rsid w:val="1290563B"/>
    <w:rsid w:val="12A33941"/>
    <w:rsid w:val="12A3C16C"/>
    <w:rsid w:val="12A61844"/>
    <w:rsid w:val="12B347EC"/>
    <w:rsid w:val="12B818BF"/>
    <w:rsid w:val="12BD79C6"/>
    <w:rsid w:val="12BF4484"/>
    <w:rsid w:val="12C7C5E6"/>
    <w:rsid w:val="12C87991"/>
    <w:rsid w:val="12DC655F"/>
    <w:rsid w:val="12EE2197"/>
    <w:rsid w:val="12EECB81"/>
    <w:rsid w:val="12F0AF51"/>
    <w:rsid w:val="12F9C07C"/>
    <w:rsid w:val="1310098D"/>
    <w:rsid w:val="13126F8A"/>
    <w:rsid w:val="13182171"/>
    <w:rsid w:val="13218481"/>
    <w:rsid w:val="13299079"/>
    <w:rsid w:val="13308A35"/>
    <w:rsid w:val="134B4E50"/>
    <w:rsid w:val="134BEB0E"/>
    <w:rsid w:val="135512B2"/>
    <w:rsid w:val="136842DB"/>
    <w:rsid w:val="13691F12"/>
    <w:rsid w:val="13848CA4"/>
    <w:rsid w:val="138C7AF0"/>
    <w:rsid w:val="139B51D4"/>
    <w:rsid w:val="139D26C8"/>
    <w:rsid w:val="13B16A46"/>
    <w:rsid w:val="13B6C79B"/>
    <w:rsid w:val="13CC2668"/>
    <w:rsid w:val="13CC6D86"/>
    <w:rsid w:val="13D0C5CF"/>
    <w:rsid w:val="13DA6717"/>
    <w:rsid w:val="13DAA7E4"/>
    <w:rsid w:val="13DFE13B"/>
    <w:rsid w:val="13E46010"/>
    <w:rsid w:val="13F44DE1"/>
    <w:rsid w:val="13F677F9"/>
    <w:rsid w:val="13F67BB4"/>
    <w:rsid w:val="13F6B3B6"/>
    <w:rsid w:val="140A3C6C"/>
    <w:rsid w:val="141D3D1F"/>
    <w:rsid w:val="142222B2"/>
    <w:rsid w:val="1423B48E"/>
    <w:rsid w:val="142B3A24"/>
    <w:rsid w:val="143FF5F6"/>
    <w:rsid w:val="1441D7B4"/>
    <w:rsid w:val="14517C09"/>
    <w:rsid w:val="14948538"/>
    <w:rsid w:val="14A91D76"/>
    <w:rsid w:val="14AEA860"/>
    <w:rsid w:val="14B6942B"/>
    <w:rsid w:val="14BF942D"/>
    <w:rsid w:val="14DD08AA"/>
    <w:rsid w:val="14F54B2A"/>
    <w:rsid w:val="14F96C92"/>
    <w:rsid w:val="14FD3692"/>
    <w:rsid w:val="1508706C"/>
    <w:rsid w:val="1511DE8F"/>
    <w:rsid w:val="151CAE18"/>
    <w:rsid w:val="15212B7F"/>
    <w:rsid w:val="152A30C4"/>
    <w:rsid w:val="1549A8CC"/>
    <w:rsid w:val="15546F36"/>
    <w:rsid w:val="15679480"/>
    <w:rsid w:val="1569AADF"/>
    <w:rsid w:val="15768194"/>
    <w:rsid w:val="157DD022"/>
    <w:rsid w:val="1585CBEC"/>
    <w:rsid w:val="159EA293"/>
    <w:rsid w:val="159F1C83"/>
    <w:rsid w:val="15B5023C"/>
    <w:rsid w:val="15C4D724"/>
    <w:rsid w:val="15C892DF"/>
    <w:rsid w:val="15D010C8"/>
    <w:rsid w:val="15D13FBB"/>
    <w:rsid w:val="15D4E20B"/>
    <w:rsid w:val="15DB7BA9"/>
    <w:rsid w:val="15DDFDAC"/>
    <w:rsid w:val="15EE1A03"/>
    <w:rsid w:val="15F1F49D"/>
    <w:rsid w:val="1603CA91"/>
    <w:rsid w:val="161AA139"/>
    <w:rsid w:val="16226DF2"/>
    <w:rsid w:val="1625913F"/>
    <w:rsid w:val="162F2FDA"/>
    <w:rsid w:val="1638C179"/>
    <w:rsid w:val="16496F60"/>
    <w:rsid w:val="1649872E"/>
    <w:rsid w:val="164DE336"/>
    <w:rsid w:val="16530D7B"/>
    <w:rsid w:val="16582D63"/>
    <w:rsid w:val="16707D5A"/>
    <w:rsid w:val="1674C6BE"/>
    <w:rsid w:val="167F8F8E"/>
    <w:rsid w:val="167FA0ED"/>
    <w:rsid w:val="16988A35"/>
    <w:rsid w:val="16A2808F"/>
    <w:rsid w:val="16A65B2D"/>
    <w:rsid w:val="16AE6E75"/>
    <w:rsid w:val="16B08F15"/>
    <w:rsid w:val="16CC02C4"/>
    <w:rsid w:val="16D4F2D9"/>
    <w:rsid w:val="16D612B7"/>
    <w:rsid w:val="16DA4369"/>
    <w:rsid w:val="17066426"/>
    <w:rsid w:val="170D6B79"/>
    <w:rsid w:val="17102EC5"/>
    <w:rsid w:val="1719173A"/>
    <w:rsid w:val="171BB6CA"/>
    <w:rsid w:val="171D010C"/>
    <w:rsid w:val="1721A955"/>
    <w:rsid w:val="17255E14"/>
    <w:rsid w:val="1729C4C9"/>
    <w:rsid w:val="173036B0"/>
    <w:rsid w:val="173EE07A"/>
    <w:rsid w:val="1745A8E7"/>
    <w:rsid w:val="1746AB9A"/>
    <w:rsid w:val="17506AA6"/>
    <w:rsid w:val="1759285A"/>
    <w:rsid w:val="1783FBD4"/>
    <w:rsid w:val="1787D6F8"/>
    <w:rsid w:val="17939D46"/>
    <w:rsid w:val="1799AEE7"/>
    <w:rsid w:val="179A2608"/>
    <w:rsid w:val="179BC6A5"/>
    <w:rsid w:val="179FF67E"/>
    <w:rsid w:val="17A36677"/>
    <w:rsid w:val="17A97A5C"/>
    <w:rsid w:val="17B8FAB8"/>
    <w:rsid w:val="17C97578"/>
    <w:rsid w:val="17E469B3"/>
    <w:rsid w:val="17E87C4D"/>
    <w:rsid w:val="17ED86BD"/>
    <w:rsid w:val="17F95A92"/>
    <w:rsid w:val="17FA8B88"/>
    <w:rsid w:val="17FB77AA"/>
    <w:rsid w:val="17FCE215"/>
    <w:rsid w:val="1807E574"/>
    <w:rsid w:val="180EF778"/>
    <w:rsid w:val="1811ADAD"/>
    <w:rsid w:val="181FC822"/>
    <w:rsid w:val="18327474"/>
    <w:rsid w:val="1836DE6D"/>
    <w:rsid w:val="183B98C8"/>
    <w:rsid w:val="184F4E4E"/>
    <w:rsid w:val="185CF0CA"/>
    <w:rsid w:val="185E7EF8"/>
    <w:rsid w:val="1863DF34"/>
    <w:rsid w:val="18655670"/>
    <w:rsid w:val="186DE6EA"/>
    <w:rsid w:val="18778256"/>
    <w:rsid w:val="18847AC0"/>
    <w:rsid w:val="188526DA"/>
    <w:rsid w:val="1888C55F"/>
    <w:rsid w:val="189247F9"/>
    <w:rsid w:val="189B884A"/>
    <w:rsid w:val="189BEEEB"/>
    <w:rsid w:val="18A4E5D1"/>
    <w:rsid w:val="18B4E78A"/>
    <w:rsid w:val="18C4BF7D"/>
    <w:rsid w:val="18C72E1F"/>
    <w:rsid w:val="18C93EB5"/>
    <w:rsid w:val="18CAAA52"/>
    <w:rsid w:val="18CAD6DB"/>
    <w:rsid w:val="18CCAD65"/>
    <w:rsid w:val="18DCBFC9"/>
    <w:rsid w:val="18E3C953"/>
    <w:rsid w:val="18E6E2C3"/>
    <w:rsid w:val="18E7AA20"/>
    <w:rsid w:val="18F66B2B"/>
    <w:rsid w:val="1907FD92"/>
    <w:rsid w:val="1908D55A"/>
    <w:rsid w:val="190CDBDC"/>
    <w:rsid w:val="1915DFAB"/>
    <w:rsid w:val="19263817"/>
    <w:rsid w:val="1933EE20"/>
    <w:rsid w:val="1942EEDB"/>
    <w:rsid w:val="1950EFCD"/>
    <w:rsid w:val="195151D6"/>
    <w:rsid w:val="1958CCE9"/>
    <w:rsid w:val="195E3031"/>
    <w:rsid w:val="197A6CB1"/>
    <w:rsid w:val="1981F3DA"/>
    <w:rsid w:val="19826298"/>
    <w:rsid w:val="19895F50"/>
    <w:rsid w:val="198AA176"/>
    <w:rsid w:val="19936EFD"/>
    <w:rsid w:val="199431DB"/>
    <w:rsid w:val="199633EC"/>
    <w:rsid w:val="1999BD91"/>
    <w:rsid w:val="199FCA21"/>
    <w:rsid w:val="19A45A84"/>
    <w:rsid w:val="19CBD790"/>
    <w:rsid w:val="19D1B40A"/>
    <w:rsid w:val="19D87E39"/>
    <w:rsid w:val="19DC6628"/>
    <w:rsid w:val="19F2DA1F"/>
    <w:rsid w:val="19FD76F7"/>
    <w:rsid w:val="1A055DFE"/>
    <w:rsid w:val="1A0D452E"/>
    <w:rsid w:val="1A14564F"/>
    <w:rsid w:val="1A1DF68D"/>
    <w:rsid w:val="1A202E4F"/>
    <w:rsid w:val="1A36EF34"/>
    <w:rsid w:val="1A382F63"/>
    <w:rsid w:val="1A49480B"/>
    <w:rsid w:val="1A4CF020"/>
    <w:rsid w:val="1A79BC8B"/>
    <w:rsid w:val="1A805F21"/>
    <w:rsid w:val="1A816907"/>
    <w:rsid w:val="1A84D1AB"/>
    <w:rsid w:val="1A8DB3FA"/>
    <w:rsid w:val="1A8DF334"/>
    <w:rsid w:val="1AAB1E04"/>
    <w:rsid w:val="1AB19DE1"/>
    <w:rsid w:val="1ABBEFB8"/>
    <w:rsid w:val="1AC5859C"/>
    <w:rsid w:val="1ADD4FD1"/>
    <w:rsid w:val="1ADD62DC"/>
    <w:rsid w:val="1AE166B5"/>
    <w:rsid w:val="1AE2BB53"/>
    <w:rsid w:val="1AEEF13D"/>
    <w:rsid w:val="1AF0DAC8"/>
    <w:rsid w:val="1AF406BC"/>
    <w:rsid w:val="1AF43F61"/>
    <w:rsid w:val="1AFC3AE3"/>
    <w:rsid w:val="1AFF2BBA"/>
    <w:rsid w:val="1AFF75A0"/>
    <w:rsid w:val="1B0DCB9E"/>
    <w:rsid w:val="1B13A823"/>
    <w:rsid w:val="1B1631B7"/>
    <w:rsid w:val="1B1856DC"/>
    <w:rsid w:val="1B2EF454"/>
    <w:rsid w:val="1B336BD2"/>
    <w:rsid w:val="1B3CD15B"/>
    <w:rsid w:val="1B434D9A"/>
    <w:rsid w:val="1B51CAA2"/>
    <w:rsid w:val="1B631C7F"/>
    <w:rsid w:val="1B6C987F"/>
    <w:rsid w:val="1B8F0BD6"/>
    <w:rsid w:val="1B8F1B5E"/>
    <w:rsid w:val="1B9EC487"/>
    <w:rsid w:val="1B9F210F"/>
    <w:rsid w:val="1BB11AA7"/>
    <w:rsid w:val="1BB286D7"/>
    <w:rsid w:val="1BBACB31"/>
    <w:rsid w:val="1BBD8048"/>
    <w:rsid w:val="1BBE32AB"/>
    <w:rsid w:val="1BC0D4AE"/>
    <w:rsid w:val="1BC766CE"/>
    <w:rsid w:val="1BCCAC85"/>
    <w:rsid w:val="1BCCD2B4"/>
    <w:rsid w:val="1BD4CDA3"/>
    <w:rsid w:val="1BE9B2E7"/>
    <w:rsid w:val="1BEFFFC3"/>
    <w:rsid w:val="1C024F73"/>
    <w:rsid w:val="1C06176F"/>
    <w:rsid w:val="1C06FB86"/>
    <w:rsid w:val="1C152A4E"/>
    <w:rsid w:val="1C160315"/>
    <w:rsid w:val="1C17F6B9"/>
    <w:rsid w:val="1C1E0AE9"/>
    <w:rsid w:val="1C25A21E"/>
    <w:rsid w:val="1C332374"/>
    <w:rsid w:val="1C3ABA05"/>
    <w:rsid w:val="1C3B02E4"/>
    <w:rsid w:val="1C4022A8"/>
    <w:rsid w:val="1C45C1A2"/>
    <w:rsid w:val="1C48B1DE"/>
    <w:rsid w:val="1C4CB311"/>
    <w:rsid w:val="1C51A1A5"/>
    <w:rsid w:val="1C576CCD"/>
    <w:rsid w:val="1C611DB5"/>
    <w:rsid w:val="1C73B51A"/>
    <w:rsid w:val="1C744834"/>
    <w:rsid w:val="1C76ED4A"/>
    <w:rsid w:val="1C7803A3"/>
    <w:rsid w:val="1C8836FB"/>
    <w:rsid w:val="1C98A6BC"/>
    <w:rsid w:val="1CA1C80A"/>
    <w:rsid w:val="1CA3FEF0"/>
    <w:rsid w:val="1CAACB2B"/>
    <w:rsid w:val="1CAB019A"/>
    <w:rsid w:val="1CB77A7F"/>
    <w:rsid w:val="1CBA2ED8"/>
    <w:rsid w:val="1CD48423"/>
    <w:rsid w:val="1CE45657"/>
    <w:rsid w:val="1CE91B43"/>
    <w:rsid w:val="1CEF2CA6"/>
    <w:rsid w:val="1CEFD0CB"/>
    <w:rsid w:val="1CF7BE2D"/>
    <w:rsid w:val="1CFD291D"/>
    <w:rsid w:val="1D049021"/>
    <w:rsid w:val="1D0A1504"/>
    <w:rsid w:val="1D1D9E7F"/>
    <w:rsid w:val="1D1E93C2"/>
    <w:rsid w:val="1D26C01E"/>
    <w:rsid w:val="1D315201"/>
    <w:rsid w:val="1D33427B"/>
    <w:rsid w:val="1D39F803"/>
    <w:rsid w:val="1D4FED20"/>
    <w:rsid w:val="1D51F2CB"/>
    <w:rsid w:val="1D5898B6"/>
    <w:rsid w:val="1D59AB00"/>
    <w:rsid w:val="1D68C83F"/>
    <w:rsid w:val="1D8374C8"/>
    <w:rsid w:val="1D84CBA3"/>
    <w:rsid w:val="1D8B4965"/>
    <w:rsid w:val="1D95E41E"/>
    <w:rsid w:val="1D9FB5CC"/>
    <w:rsid w:val="1DACE3C9"/>
    <w:rsid w:val="1DAF05D2"/>
    <w:rsid w:val="1DB40197"/>
    <w:rsid w:val="1DB82526"/>
    <w:rsid w:val="1DBB1E12"/>
    <w:rsid w:val="1DC04105"/>
    <w:rsid w:val="1DC97E57"/>
    <w:rsid w:val="1DCAF027"/>
    <w:rsid w:val="1DCCF24C"/>
    <w:rsid w:val="1DD9D849"/>
    <w:rsid w:val="1DEF31C5"/>
    <w:rsid w:val="1DEF8912"/>
    <w:rsid w:val="1DFFCC0C"/>
    <w:rsid w:val="1E01611A"/>
    <w:rsid w:val="1E039645"/>
    <w:rsid w:val="1E0C5791"/>
    <w:rsid w:val="1E116AA3"/>
    <w:rsid w:val="1E28BC1A"/>
    <w:rsid w:val="1E351D9D"/>
    <w:rsid w:val="1E3BC6C3"/>
    <w:rsid w:val="1E3D1463"/>
    <w:rsid w:val="1E4C803F"/>
    <w:rsid w:val="1E52DFD0"/>
    <w:rsid w:val="1E55833E"/>
    <w:rsid w:val="1E582D59"/>
    <w:rsid w:val="1E5D0E4C"/>
    <w:rsid w:val="1E5DFD58"/>
    <w:rsid w:val="1E649C10"/>
    <w:rsid w:val="1E6FE308"/>
    <w:rsid w:val="1E711D0F"/>
    <w:rsid w:val="1E7A9D83"/>
    <w:rsid w:val="1E7CD046"/>
    <w:rsid w:val="1E7D7975"/>
    <w:rsid w:val="1E81818A"/>
    <w:rsid w:val="1E97418C"/>
    <w:rsid w:val="1E9BF68F"/>
    <w:rsid w:val="1E9C4AC1"/>
    <w:rsid w:val="1EA8E6C2"/>
    <w:rsid w:val="1EAA3EB1"/>
    <w:rsid w:val="1EBA7D8F"/>
    <w:rsid w:val="1EC01578"/>
    <w:rsid w:val="1EC413F4"/>
    <w:rsid w:val="1ED9796A"/>
    <w:rsid w:val="1EEE35B6"/>
    <w:rsid w:val="1F0B2641"/>
    <w:rsid w:val="1F2F58DD"/>
    <w:rsid w:val="1F457398"/>
    <w:rsid w:val="1F4606E0"/>
    <w:rsid w:val="1F4C29AB"/>
    <w:rsid w:val="1F55FB4C"/>
    <w:rsid w:val="1F6CF2DC"/>
    <w:rsid w:val="1F739D7D"/>
    <w:rsid w:val="1F7CBF1D"/>
    <w:rsid w:val="1F80D161"/>
    <w:rsid w:val="1F9ABAA1"/>
    <w:rsid w:val="1F9E7400"/>
    <w:rsid w:val="1FA7D5E3"/>
    <w:rsid w:val="1FB1557F"/>
    <w:rsid w:val="1FC51A7C"/>
    <w:rsid w:val="1FD13B81"/>
    <w:rsid w:val="1FDCF800"/>
    <w:rsid w:val="1FEB128B"/>
    <w:rsid w:val="1FF4B2BA"/>
    <w:rsid w:val="1FF5CD41"/>
    <w:rsid w:val="1FFAB27A"/>
    <w:rsid w:val="1FFC5657"/>
    <w:rsid w:val="200142A9"/>
    <w:rsid w:val="2002B8F0"/>
    <w:rsid w:val="201182CC"/>
    <w:rsid w:val="2013A79C"/>
    <w:rsid w:val="202F2113"/>
    <w:rsid w:val="2039F8EC"/>
    <w:rsid w:val="204B9139"/>
    <w:rsid w:val="204DB605"/>
    <w:rsid w:val="20508AA1"/>
    <w:rsid w:val="205160BE"/>
    <w:rsid w:val="2053FFF5"/>
    <w:rsid w:val="205D341C"/>
    <w:rsid w:val="205D381D"/>
    <w:rsid w:val="205FCF5D"/>
    <w:rsid w:val="2063A417"/>
    <w:rsid w:val="2063CC1E"/>
    <w:rsid w:val="20678E26"/>
    <w:rsid w:val="207E7D59"/>
    <w:rsid w:val="20897EA8"/>
    <w:rsid w:val="208A1713"/>
    <w:rsid w:val="208C34FF"/>
    <w:rsid w:val="2093B6CA"/>
    <w:rsid w:val="20A8612B"/>
    <w:rsid w:val="20AE3CA5"/>
    <w:rsid w:val="20AEBC78"/>
    <w:rsid w:val="20BE470D"/>
    <w:rsid w:val="20BF6E4B"/>
    <w:rsid w:val="20C7E639"/>
    <w:rsid w:val="20C960D6"/>
    <w:rsid w:val="20CFCA47"/>
    <w:rsid w:val="20DC539E"/>
    <w:rsid w:val="210A57B1"/>
    <w:rsid w:val="210A6C89"/>
    <w:rsid w:val="210A9223"/>
    <w:rsid w:val="210A9E74"/>
    <w:rsid w:val="210F00AA"/>
    <w:rsid w:val="2118AC9E"/>
    <w:rsid w:val="2122D656"/>
    <w:rsid w:val="212376A0"/>
    <w:rsid w:val="2124E0A1"/>
    <w:rsid w:val="214975DA"/>
    <w:rsid w:val="215DEB4A"/>
    <w:rsid w:val="215EFA69"/>
    <w:rsid w:val="2160CB81"/>
    <w:rsid w:val="21629887"/>
    <w:rsid w:val="217245C8"/>
    <w:rsid w:val="2179A7B4"/>
    <w:rsid w:val="217A30BE"/>
    <w:rsid w:val="21848B31"/>
    <w:rsid w:val="21993859"/>
    <w:rsid w:val="219BBEDA"/>
    <w:rsid w:val="21A56E01"/>
    <w:rsid w:val="21B32DB1"/>
    <w:rsid w:val="21B3F67C"/>
    <w:rsid w:val="21CB9A54"/>
    <w:rsid w:val="21D4303D"/>
    <w:rsid w:val="21D5900A"/>
    <w:rsid w:val="21D6428A"/>
    <w:rsid w:val="21E7FBFF"/>
    <w:rsid w:val="21E88052"/>
    <w:rsid w:val="21E97AFB"/>
    <w:rsid w:val="21F799EB"/>
    <w:rsid w:val="22057B6B"/>
    <w:rsid w:val="2208477D"/>
    <w:rsid w:val="22165F7D"/>
    <w:rsid w:val="22190E10"/>
    <w:rsid w:val="22240531"/>
    <w:rsid w:val="2224C7DC"/>
    <w:rsid w:val="2230DEB2"/>
    <w:rsid w:val="2236868A"/>
    <w:rsid w:val="22503D56"/>
    <w:rsid w:val="2278008A"/>
    <w:rsid w:val="227A71B6"/>
    <w:rsid w:val="22957919"/>
    <w:rsid w:val="229DF559"/>
    <w:rsid w:val="22A929D8"/>
    <w:rsid w:val="22ABF3FD"/>
    <w:rsid w:val="22AC4BEC"/>
    <w:rsid w:val="22CB1016"/>
    <w:rsid w:val="22CD9EB0"/>
    <w:rsid w:val="22CE7023"/>
    <w:rsid w:val="22E12E72"/>
    <w:rsid w:val="22E2398E"/>
    <w:rsid w:val="22F25B5A"/>
    <w:rsid w:val="22F2CF10"/>
    <w:rsid w:val="22F4D5A7"/>
    <w:rsid w:val="22FE490D"/>
    <w:rsid w:val="23058FF0"/>
    <w:rsid w:val="23075317"/>
    <w:rsid w:val="230BCBFC"/>
    <w:rsid w:val="23187C40"/>
    <w:rsid w:val="231B7DAA"/>
    <w:rsid w:val="231C5D01"/>
    <w:rsid w:val="231F0CAF"/>
    <w:rsid w:val="23222DFD"/>
    <w:rsid w:val="2323DA91"/>
    <w:rsid w:val="23260C30"/>
    <w:rsid w:val="23297370"/>
    <w:rsid w:val="23314808"/>
    <w:rsid w:val="233307C9"/>
    <w:rsid w:val="2336E76A"/>
    <w:rsid w:val="233D5550"/>
    <w:rsid w:val="2346C62D"/>
    <w:rsid w:val="2347A540"/>
    <w:rsid w:val="2348CD7E"/>
    <w:rsid w:val="2363A675"/>
    <w:rsid w:val="2368CE28"/>
    <w:rsid w:val="23776BD0"/>
    <w:rsid w:val="2380A299"/>
    <w:rsid w:val="2386121D"/>
    <w:rsid w:val="2399882F"/>
    <w:rsid w:val="239A102D"/>
    <w:rsid w:val="23A32589"/>
    <w:rsid w:val="23AECB19"/>
    <w:rsid w:val="23B88D6A"/>
    <w:rsid w:val="23B8E118"/>
    <w:rsid w:val="23B8F975"/>
    <w:rsid w:val="23BB82FB"/>
    <w:rsid w:val="23C3204A"/>
    <w:rsid w:val="23D3A246"/>
    <w:rsid w:val="23DBED66"/>
    <w:rsid w:val="23DC797D"/>
    <w:rsid w:val="23DCB990"/>
    <w:rsid w:val="23DEB51A"/>
    <w:rsid w:val="23DFBEF9"/>
    <w:rsid w:val="23E02EB9"/>
    <w:rsid w:val="23E06C5B"/>
    <w:rsid w:val="23E26E0A"/>
    <w:rsid w:val="23E45AE0"/>
    <w:rsid w:val="23E527DC"/>
    <w:rsid w:val="23E573A3"/>
    <w:rsid w:val="23EC1225"/>
    <w:rsid w:val="23EE36EE"/>
    <w:rsid w:val="24047DF9"/>
    <w:rsid w:val="240DF3F8"/>
    <w:rsid w:val="2417004D"/>
    <w:rsid w:val="241BDE9E"/>
    <w:rsid w:val="2425E74A"/>
    <w:rsid w:val="242DDC3E"/>
    <w:rsid w:val="24325D4F"/>
    <w:rsid w:val="243AD1B3"/>
    <w:rsid w:val="244B04AF"/>
    <w:rsid w:val="244E3575"/>
    <w:rsid w:val="2452189E"/>
    <w:rsid w:val="24563CC8"/>
    <w:rsid w:val="245E036F"/>
    <w:rsid w:val="245E2F7C"/>
    <w:rsid w:val="245E4FA4"/>
    <w:rsid w:val="2468739E"/>
    <w:rsid w:val="246BA766"/>
    <w:rsid w:val="246EAC2E"/>
    <w:rsid w:val="2476412A"/>
    <w:rsid w:val="2479778D"/>
    <w:rsid w:val="2484E4B2"/>
    <w:rsid w:val="24883FE3"/>
    <w:rsid w:val="2495CD30"/>
    <w:rsid w:val="24A11145"/>
    <w:rsid w:val="24A7FD25"/>
    <w:rsid w:val="24BCE297"/>
    <w:rsid w:val="24BE13C5"/>
    <w:rsid w:val="24C52804"/>
    <w:rsid w:val="24C669A2"/>
    <w:rsid w:val="24C83647"/>
    <w:rsid w:val="24CFCCEE"/>
    <w:rsid w:val="24D0E424"/>
    <w:rsid w:val="24E763C7"/>
    <w:rsid w:val="24F52E36"/>
    <w:rsid w:val="24FEC5F3"/>
    <w:rsid w:val="25002A9B"/>
    <w:rsid w:val="252B04BD"/>
    <w:rsid w:val="252F268C"/>
    <w:rsid w:val="2535156D"/>
    <w:rsid w:val="2535408A"/>
    <w:rsid w:val="25355DB4"/>
    <w:rsid w:val="25389BC0"/>
    <w:rsid w:val="25446CE2"/>
    <w:rsid w:val="255C2B76"/>
    <w:rsid w:val="2564A90E"/>
    <w:rsid w:val="2572FC6B"/>
    <w:rsid w:val="2580A13A"/>
    <w:rsid w:val="258607CC"/>
    <w:rsid w:val="259575AC"/>
    <w:rsid w:val="25D946F8"/>
    <w:rsid w:val="25E3BB93"/>
    <w:rsid w:val="25E8664C"/>
    <w:rsid w:val="25ED1648"/>
    <w:rsid w:val="26226459"/>
    <w:rsid w:val="26246592"/>
    <w:rsid w:val="2626AB63"/>
    <w:rsid w:val="262AF0C1"/>
    <w:rsid w:val="264473F7"/>
    <w:rsid w:val="26625695"/>
    <w:rsid w:val="2663C3B6"/>
    <w:rsid w:val="26751EC2"/>
    <w:rsid w:val="2690E78E"/>
    <w:rsid w:val="26931AA7"/>
    <w:rsid w:val="26A66D63"/>
    <w:rsid w:val="26AAB4E2"/>
    <w:rsid w:val="26AAF082"/>
    <w:rsid w:val="26AC7E88"/>
    <w:rsid w:val="26B8FFD6"/>
    <w:rsid w:val="26C9739E"/>
    <w:rsid w:val="26D7DA1C"/>
    <w:rsid w:val="26E97C75"/>
    <w:rsid w:val="26EA1767"/>
    <w:rsid w:val="26ECF723"/>
    <w:rsid w:val="26EE4D13"/>
    <w:rsid w:val="26F80129"/>
    <w:rsid w:val="27036E0E"/>
    <w:rsid w:val="27037FC7"/>
    <w:rsid w:val="271845ED"/>
    <w:rsid w:val="271F40CB"/>
    <w:rsid w:val="2725A2BE"/>
    <w:rsid w:val="272916BC"/>
    <w:rsid w:val="27326364"/>
    <w:rsid w:val="2761F865"/>
    <w:rsid w:val="2765BDD1"/>
    <w:rsid w:val="2766C2E6"/>
    <w:rsid w:val="2767351B"/>
    <w:rsid w:val="276FD3A3"/>
    <w:rsid w:val="27731486"/>
    <w:rsid w:val="277789EF"/>
    <w:rsid w:val="278A90E7"/>
    <w:rsid w:val="27991B76"/>
    <w:rsid w:val="27A91236"/>
    <w:rsid w:val="27C8C5BA"/>
    <w:rsid w:val="27D1304B"/>
    <w:rsid w:val="27D480E8"/>
    <w:rsid w:val="27D55B54"/>
    <w:rsid w:val="27F8BED3"/>
    <w:rsid w:val="27FD6102"/>
    <w:rsid w:val="2805DF08"/>
    <w:rsid w:val="2808DF50"/>
    <w:rsid w:val="28114FF2"/>
    <w:rsid w:val="281E6208"/>
    <w:rsid w:val="282A1A04"/>
    <w:rsid w:val="282AF70A"/>
    <w:rsid w:val="282C56C8"/>
    <w:rsid w:val="283134D3"/>
    <w:rsid w:val="2835CE24"/>
    <w:rsid w:val="283A6C87"/>
    <w:rsid w:val="284C36E2"/>
    <w:rsid w:val="284F7E3A"/>
    <w:rsid w:val="285A0F1F"/>
    <w:rsid w:val="285F1E1C"/>
    <w:rsid w:val="286DFABD"/>
    <w:rsid w:val="28700FD4"/>
    <w:rsid w:val="28830214"/>
    <w:rsid w:val="2886814A"/>
    <w:rsid w:val="289A22A8"/>
    <w:rsid w:val="28A1CCD4"/>
    <w:rsid w:val="28A41236"/>
    <w:rsid w:val="28A5BE70"/>
    <w:rsid w:val="28B7F533"/>
    <w:rsid w:val="28BA75D2"/>
    <w:rsid w:val="28BEFD88"/>
    <w:rsid w:val="28C06293"/>
    <w:rsid w:val="28C0AA3D"/>
    <w:rsid w:val="28CD24B1"/>
    <w:rsid w:val="28D424B9"/>
    <w:rsid w:val="28DDCCC2"/>
    <w:rsid w:val="28E04445"/>
    <w:rsid w:val="28E0E763"/>
    <w:rsid w:val="28EAE0A7"/>
    <w:rsid w:val="28F124FE"/>
    <w:rsid w:val="28F5FFCD"/>
    <w:rsid w:val="291EA1B1"/>
    <w:rsid w:val="2928727A"/>
    <w:rsid w:val="2929C927"/>
    <w:rsid w:val="292CD98E"/>
    <w:rsid w:val="292D959D"/>
    <w:rsid w:val="292DD230"/>
    <w:rsid w:val="29307408"/>
    <w:rsid w:val="29325929"/>
    <w:rsid w:val="2940EDE3"/>
    <w:rsid w:val="29510850"/>
    <w:rsid w:val="29562971"/>
    <w:rsid w:val="295E299E"/>
    <w:rsid w:val="296DCBCC"/>
    <w:rsid w:val="2981D0DB"/>
    <w:rsid w:val="298427AF"/>
    <w:rsid w:val="298CA28A"/>
    <w:rsid w:val="298CFAED"/>
    <w:rsid w:val="299179FA"/>
    <w:rsid w:val="2998D4B3"/>
    <w:rsid w:val="2999C532"/>
    <w:rsid w:val="299DB4CA"/>
    <w:rsid w:val="29B6EE1B"/>
    <w:rsid w:val="29C15E3C"/>
    <w:rsid w:val="29D39302"/>
    <w:rsid w:val="29D5B796"/>
    <w:rsid w:val="29D9B71B"/>
    <w:rsid w:val="29DBFB1C"/>
    <w:rsid w:val="29E4481E"/>
    <w:rsid w:val="29E9B2D2"/>
    <w:rsid w:val="29ED5BA9"/>
    <w:rsid w:val="29F6004F"/>
    <w:rsid w:val="29F75BCF"/>
    <w:rsid w:val="29F99211"/>
    <w:rsid w:val="2A032486"/>
    <w:rsid w:val="2A15A354"/>
    <w:rsid w:val="2A330D29"/>
    <w:rsid w:val="2A3AB877"/>
    <w:rsid w:val="2A3E89E6"/>
    <w:rsid w:val="2A46E72F"/>
    <w:rsid w:val="2A5D0342"/>
    <w:rsid w:val="2A661EBD"/>
    <w:rsid w:val="2A6A8F12"/>
    <w:rsid w:val="2A6DF341"/>
    <w:rsid w:val="2A6FE9E6"/>
    <w:rsid w:val="2A87C0D7"/>
    <w:rsid w:val="2A8AA754"/>
    <w:rsid w:val="2A92BF87"/>
    <w:rsid w:val="2A94CD6A"/>
    <w:rsid w:val="2A9ED5C4"/>
    <w:rsid w:val="2AA12EA7"/>
    <w:rsid w:val="2AAC8C20"/>
    <w:rsid w:val="2AAF9ECA"/>
    <w:rsid w:val="2AB32220"/>
    <w:rsid w:val="2AC3F7B4"/>
    <w:rsid w:val="2AC9B63E"/>
    <w:rsid w:val="2AD0FB62"/>
    <w:rsid w:val="2AD856B4"/>
    <w:rsid w:val="2AE02B9E"/>
    <w:rsid w:val="2AE3C3C8"/>
    <w:rsid w:val="2AF047C0"/>
    <w:rsid w:val="2AF14C8F"/>
    <w:rsid w:val="2AFDC8B5"/>
    <w:rsid w:val="2B165533"/>
    <w:rsid w:val="2B1C700E"/>
    <w:rsid w:val="2B1D2150"/>
    <w:rsid w:val="2B39E83D"/>
    <w:rsid w:val="2B4EA3B9"/>
    <w:rsid w:val="2B50353D"/>
    <w:rsid w:val="2B52C5DD"/>
    <w:rsid w:val="2B57A5A7"/>
    <w:rsid w:val="2B6960CC"/>
    <w:rsid w:val="2B73DB35"/>
    <w:rsid w:val="2B80F9F9"/>
    <w:rsid w:val="2B94A97A"/>
    <w:rsid w:val="2B97C9D5"/>
    <w:rsid w:val="2B98C3E2"/>
    <w:rsid w:val="2B9A85B0"/>
    <w:rsid w:val="2BA59E36"/>
    <w:rsid w:val="2BA7A3AA"/>
    <w:rsid w:val="2BB81A5B"/>
    <w:rsid w:val="2BBC24F7"/>
    <w:rsid w:val="2BBEE5F4"/>
    <w:rsid w:val="2BD14031"/>
    <w:rsid w:val="2BD3A82B"/>
    <w:rsid w:val="2BD80D92"/>
    <w:rsid w:val="2BD817C7"/>
    <w:rsid w:val="2BDAC748"/>
    <w:rsid w:val="2BECA7C5"/>
    <w:rsid w:val="2BECC0C7"/>
    <w:rsid w:val="2BF7FA7E"/>
    <w:rsid w:val="2BFA58D6"/>
    <w:rsid w:val="2C0DDAFB"/>
    <w:rsid w:val="2C242F8C"/>
    <w:rsid w:val="2C253B41"/>
    <w:rsid w:val="2C253BEB"/>
    <w:rsid w:val="2C25917C"/>
    <w:rsid w:val="2C261EDE"/>
    <w:rsid w:val="2C33CECE"/>
    <w:rsid w:val="2C343148"/>
    <w:rsid w:val="2C466669"/>
    <w:rsid w:val="2C4FD62B"/>
    <w:rsid w:val="2C5061DE"/>
    <w:rsid w:val="2C5194A7"/>
    <w:rsid w:val="2C5AF5BB"/>
    <w:rsid w:val="2C6003F5"/>
    <w:rsid w:val="2C62323E"/>
    <w:rsid w:val="2C635D04"/>
    <w:rsid w:val="2C637633"/>
    <w:rsid w:val="2C70B96D"/>
    <w:rsid w:val="2C7AD78D"/>
    <w:rsid w:val="2C978098"/>
    <w:rsid w:val="2C9BE1EC"/>
    <w:rsid w:val="2C9C5483"/>
    <w:rsid w:val="2CA61DE8"/>
    <w:rsid w:val="2CA99B63"/>
    <w:rsid w:val="2CACD320"/>
    <w:rsid w:val="2CB01863"/>
    <w:rsid w:val="2CB436C1"/>
    <w:rsid w:val="2CB494A2"/>
    <w:rsid w:val="2CB982DD"/>
    <w:rsid w:val="2CBB2551"/>
    <w:rsid w:val="2CD9B96E"/>
    <w:rsid w:val="2CF93854"/>
    <w:rsid w:val="2D18B62A"/>
    <w:rsid w:val="2D1A51DE"/>
    <w:rsid w:val="2D344DDE"/>
    <w:rsid w:val="2D3E9714"/>
    <w:rsid w:val="2D4176AF"/>
    <w:rsid w:val="2D609DD9"/>
    <w:rsid w:val="2D643EDD"/>
    <w:rsid w:val="2D74317E"/>
    <w:rsid w:val="2D7DFB3E"/>
    <w:rsid w:val="2D938691"/>
    <w:rsid w:val="2D9B929E"/>
    <w:rsid w:val="2D9CF1BE"/>
    <w:rsid w:val="2DA0A942"/>
    <w:rsid w:val="2DB528AA"/>
    <w:rsid w:val="2DBFA1B0"/>
    <w:rsid w:val="2DC8B385"/>
    <w:rsid w:val="2DCBC623"/>
    <w:rsid w:val="2DCD0E32"/>
    <w:rsid w:val="2DD27ABF"/>
    <w:rsid w:val="2DD2F83C"/>
    <w:rsid w:val="2DD37A2B"/>
    <w:rsid w:val="2DDC874C"/>
    <w:rsid w:val="2DE00163"/>
    <w:rsid w:val="2DE03C03"/>
    <w:rsid w:val="2DE709A5"/>
    <w:rsid w:val="2DEC40B8"/>
    <w:rsid w:val="2DEF8290"/>
    <w:rsid w:val="2DEFE24B"/>
    <w:rsid w:val="2DF12752"/>
    <w:rsid w:val="2DF2EBE1"/>
    <w:rsid w:val="2DF4BC5F"/>
    <w:rsid w:val="2E18262F"/>
    <w:rsid w:val="2E232A08"/>
    <w:rsid w:val="2E245538"/>
    <w:rsid w:val="2E2B9A9B"/>
    <w:rsid w:val="2E2ED8C9"/>
    <w:rsid w:val="2E33BD66"/>
    <w:rsid w:val="2E39F27E"/>
    <w:rsid w:val="2E4051D5"/>
    <w:rsid w:val="2E59FE7B"/>
    <w:rsid w:val="2E6BA267"/>
    <w:rsid w:val="2E70C586"/>
    <w:rsid w:val="2E74D3D0"/>
    <w:rsid w:val="2E7B5194"/>
    <w:rsid w:val="2E7BC485"/>
    <w:rsid w:val="2E875501"/>
    <w:rsid w:val="2E87D4E7"/>
    <w:rsid w:val="2E8CFDD3"/>
    <w:rsid w:val="2E8D29A3"/>
    <w:rsid w:val="2E8F0912"/>
    <w:rsid w:val="2E9981A1"/>
    <w:rsid w:val="2EA4C4E4"/>
    <w:rsid w:val="2EA5CBA9"/>
    <w:rsid w:val="2EDB8DA5"/>
    <w:rsid w:val="2EDD666C"/>
    <w:rsid w:val="2EE3EFF0"/>
    <w:rsid w:val="2EF125FE"/>
    <w:rsid w:val="2F200EBF"/>
    <w:rsid w:val="2F2906E1"/>
    <w:rsid w:val="2F2CA936"/>
    <w:rsid w:val="2F2DED34"/>
    <w:rsid w:val="2F2E206C"/>
    <w:rsid w:val="2F303F46"/>
    <w:rsid w:val="2F3208F2"/>
    <w:rsid w:val="2F36B718"/>
    <w:rsid w:val="2F379F6F"/>
    <w:rsid w:val="2F411A08"/>
    <w:rsid w:val="2F43F50E"/>
    <w:rsid w:val="2F4E5EB9"/>
    <w:rsid w:val="2F601557"/>
    <w:rsid w:val="2F61AE8C"/>
    <w:rsid w:val="2F64EF77"/>
    <w:rsid w:val="2F650661"/>
    <w:rsid w:val="2F797CA5"/>
    <w:rsid w:val="2F7FD81F"/>
    <w:rsid w:val="2F7FF6FC"/>
    <w:rsid w:val="2F815284"/>
    <w:rsid w:val="2F94696F"/>
    <w:rsid w:val="2F95E701"/>
    <w:rsid w:val="2F9ECB78"/>
    <w:rsid w:val="2F9EE11D"/>
    <w:rsid w:val="2FB5179A"/>
    <w:rsid w:val="2FC2FF87"/>
    <w:rsid w:val="2FCF77CB"/>
    <w:rsid w:val="2FD2E609"/>
    <w:rsid w:val="2FD36080"/>
    <w:rsid w:val="2FE80698"/>
    <w:rsid w:val="2FED87AE"/>
    <w:rsid w:val="2FEE146F"/>
    <w:rsid w:val="2FF41852"/>
    <w:rsid w:val="2FFFE68B"/>
    <w:rsid w:val="30008D58"/>
    <w:rsid w:val="3000BD6E"/>
    <w:rsid w:val="300183A8"/>
    <w:rsid w:val="300BFCDD"/>
    <w:rsid w:val="3018EA71"/>
    <w:rsid w:val="301A5AC6"/>
    <w:rsid w:val="30221D87"/>
    <w:rsid w:val="30236763"/>
    <w:rsid w:val="302F6CB1"/>
    <w:rsid w:val="304D5BBC"/>
    <w:rsid w:val="304E3798"/>
    <w:rsid w:val="305AF267"/>
    <w:rsid w:val="306FEBBD"/>
    <w:rsid w:val="3077BB71"/>
    <w:rsid w:val="307ACD6F"/>
    <w:rsid w:val="307C43BA"/>
    <w:rsid w:val="309CE344"/>
    <w:rsid w:val="30A0B1A8"/>
    <w:rsid w:val="30A3E2CB"/>
    <w:rsid w:val="30BD9A94"/>
    <w:rsid w:val="30BDA269"/>
    <w:rsid w:val="30C9F5EF"/>
    <w:rsid w:val="30D9AB4B"/>
    <w:rsid w:val="30DDDAF2"/>
    <w:rsid w:val="30DE2EDB"/>
    <w:rsid w:val="30DFC350"/>
    <w:rsid w:val="30E22FD8"/>
    <w:rsid w:val="30EAA366"/>
    <w:rsid w:val="30EAB4DC"/>
    <w:rsid w:val="30ED1360"/>
    <w:rsid w:val="31062928"/>
    <w:rsid w:val="311F0362"/>
    <w:rsid w:val="312844F2"/>
    <w:rsid w:val="312B9134"/>
    <w:rsid w:val="312F99C5"/>
    <w:rsid w:val="31382AD2"/>
    <w:rsid w:val="313C0B76"/>
    <w:rsid w:val="313FD894"/>
    <w:rsid w:val="31402F2E"/>
    <w:rsid w:val="31403BDA"/>
    <w:rsid w:val="3159A77B"/>
    <w:rsid w:val="31624293"/>
    <w:rsid w:val="31631334"/>
    <w:rsid w:val="316AFE07"/>
    <w:rsid w:val="316B93E4"/>
    <w:rsid w:val="3171732F"/>
    <w:rsid w:val="317572F5"/>
    <w:rsid w:val="31859B53"/>
    <w:rsid w:val="3190F395"/>
    <w:rsid w:val="31BA13DD"/>
    <w:rsid w:val="31BC9403"/>
    <w:rsid w:val="31C3B344"/>
    <w:rsid w:val="31C4E832"/>
    <w:rsid w:val="31E2D7F7"/>
    <w:rsid w:val="31F1BEC5"/>
    <w:rsid w:val="31FE1B4E"/>
    <w:rsid w:val="320C7F79"/>
    <w:rsid w:val="321E1E16"/>
    <w:rsid w:val="32206AC9"/>
    <w:rsid w:val="3225787C"/>
    <w:rsid w:val="322CDEDB"/>
    <w:rsid w:val="322F734F"/>
    <w:rsid w:val="323078CB"/>
    <w:rsid w:val="323AD13A"/>
    <w:rsid w:val="324B1828"/>
    <w:rsid w:val="324DBC1C"/>
    <w:rsid w:val="32678851"/>
    <w:rsid w:val="327136AA"/>
    <w:rsid w:val="3278840D"/>
    <w:rsid w:val="32793EBB"/>
    <w:rsid w:val="327E58A1"/>
    <w:rsid w:val="328EDF76"/>
    <w:rsid w:val="328F204D"/>
    <w:rsid w:val="32965392"/>
    <w:rsid w:val="329B31A6"/>
    <w:rsid w:val="329C18E9"/>
    <w:rsid w:val="329EE7B4"/>
    <w:rsid w:val="32A2CC7E"/>
    <w:rsid w:val="32A8713C"/>
    <w:rsid w:val="32BDDD57"/>
    <w:rsid w:val="32CB165A"/>
    <w:rsid w:val="32E8224A"/>
    <w:rsid w:val="32EB61F6"/>
    <w:rsid w:val="32F97463"/>
    <w:rsid w:val="32FAD752"/>
    <w:rsid w:val="32FC4B47"/>
    <w:rsid w:val="32FFC13F"/>
    <w:rsid w:val="330254CB"/>
    <w:rsid w:val="3310477D"/>
    <w:rsid w:val="33136EE9"/>
    <w:rsid w:val="331BCBA2"/>
    <w:rsid w:val="331D1D18"/>
    <w:rsid w:val="332AB61E"/>
    <w:rsid w:val="33384D54"/>
    <w:rsid w:val="333C7FC8"/>
    <w:rsid w:val="3340104E"/>
    <w:rsid w:val="334A93C5"/>
    <w:rsid w:val="3350FE0F"/>
    <w:rsid w:val="33631563"/>
    <w:rsid w:val="33678EC3"/>
    <w:rsid w:val="33725EA3"/>
    <w:rsid w:val="3372E147"/>
    <w:rsid w:val="3376C5E1"/>
    <w:rsid w:val="3383A77A"/>
    <w:rsid w:val="3385E9AE"/>
    <w:rsid w:val="338D5C33"/>
    <w:rsid w:val="3395902E"/>
    <w:rsid w:val="33B1E4DA"/>
    <w:rsid w:val="33B2A5F6"/>
    <w:rsid w:val="33C69753"/>
    <w:rsid w:val="33CEC6C8"/>
    <w:rsid w:val="33D00446"/>
    <w:rsid w:val="33D53960"/>
    <w:rsid w:val="33D6738C"/>
    <w:rsid w:val="33D7A7A0"/>
    <w:rsid w:val="33DE52B0"/>
    <w:rsid w:val="33E122D4"/>
    <w:rsid w:val="33EF4429"/>
    <w:rsid w:val="33F5144B"/>
    <w:rsid w:val="33F79F0C"/>
    <w:rsid w:val="3409974F"/>
    <w:rsid w:val="3409D79F"/>
    <w:rsid w:val="3409F599"/>
    <w:rsid w:val="341A2D3C"/>
    <w:rsid w:val="341B2764"/>
    <w:rsid w:val="3422B700"/>
    <w:rsid w:val="3427CE0E"/>
    <w:rsid w:val="342D7BA0"/>
    <w:rsid w:val="3430BC0B"/>
    <w:rsid w:val="343ED109"/>
    <w:rsid w:val="344C084D"/>
    <w:rsid w:val="346A374B"/>
    <w:rsid w:val="347A007C"/>
    <w:rsid w:val="347FED69"/>
    <w:rsid w:val="34874ADE"/>
    <w:rsid w:val="34944C7F"/>
    <w:rsid w:val="349E3938"/>
    <w:rsid w:val="34A61836"/>
    <w:rsid w:val="34AE8A08"/>
    <w:rsid w:val="34B49821"/>
    <w:rsid w:val="34C4C15D"/>
    <w:rsid w:val="34FA64EE"/>
    <w:rsid w:val="34FF3062"/>
    <w:rsid w:val="350BF3B0"/>
    <w:rsid w:val="350F7636"/>
    <w:rsid w:val="351C7EE1"/>
    <w:rsid w:val="3529A3A0"/>
    <w:rsid w:val="35369C36"/>
    <w:rsid w:val="35386D95"/>
    <w:rsid w:val="3539AC9D"/>
    <w:rsid w:val="353EB7B2"/>
    <w:rsid w:val="354852FF"/>
    <w:rsid w:val="3549CFD9"/>
    <w:rsid w:val="354B9367"/>
    <w:rsid w:val="35536184"/>
    <w:rsid w:val="3556010E"/>
    <w:rsid w:val="35598291"/>
    <w:rsid w:val="355C2093"/>
    <w:rsid w:val="3562ACF4"/>
    <w:rsid w:val="356313A8"/>
    <w:rsid w:val="3578972C"/>
    <w:rsid w:val="357FAA58"/>
    <w:rsid w:val="359AB8C6"/>
    <w:rsid w:val="359E1768"/>
    <w:rsid w:val="35A2D0CE"/>
    <w:rsid w:val="35AA51F6"/>
    <w:rsid w:val="35C8B706"/>
    <w:rsid w:val="35CCAFBB"/>
    <w:rsid w:val="35F1FE85"/>
    <w:rsid w:val="35F92A01"/>
    <w:rsid w:val="35FC963A"/>
    <w:rsid w:val="36035935"/>
    <w:rsid w:val="36050CEF"/>
    <w:rsid w:val="3606839B"/>
    <w:rsid w:val="360753D4"/>
    <w:rsid w:val="36137B83"/>
    <w:rsid w:val="3616FB8A"/>
    <w:rsid w:val="3628153E"/>
    <w:rsid w:val="3638350B"/>
    <w:rsid w:val="363AE4BE"/>
    <w:rsid w:val="364096F6"/>
    <w:rsid w:val="364E5D1D"/>
    <w:rsid w:val="3651A0E0"/>
    <w:rsid w:val="36563C2C"/>
    <w:rsid w:val="36612DF7"/>
    <w:rsid w:val="36688AA3"/>
    <w:rsid w:val="366E463F"/>
    <w:rsid w:val="368FD69D"/>
    <w:rsid w:val="369853B8"/>
    <w:rsid w:val="369D378B"/>
    <w:rsid w:val="36A08752"/>
    <w:rsid w:val="36A1421F"/>
    <w:rsid w:val="36A3E30D"/>
    <w:rsid w:val="36AB4B30"/>
    <w:rsid w:val="36B80EED"/>
    <w:rsid w:val="36BBFEA0"/>
    <w:rsid w:val="36BCCB23"/>
    <w:rsid w:val="36BECF0B"/>
    <w:rsid w:val="36BEFA9B"/>
    <w:rsid w:val="36CFCF87"/>
    <w:rsid w:val="36D42C8B"/>
    <w:rsid w:val="36D59F0C"/>
    <w:rsid w:val="36E340BD"/>
    <w:rsid w:val="36E5B24D"/>
    <w:rsid w:val="36F2F06F"/>
    <w:rsid w:val="36FA2D74"/>
    <w:rsid w:val="36FF4B70"/>
    <w:rsid w:val="370EB724"/>
    <w:rsid w:val="371ACF51"/>
    <w:rsid w:val="3725CFA4"/>
    <w:rsid w:val="3735A61E"/>
    <w:rsid w:val="374E5FEE"/>
    <w:rsid w:val="37518B58"/>
    <w:rsid w:val="3752B368"/>
    <w:rsid w:val="375A5BCE"/>
    <w:rsid w:val="376709AD"/>
    <w:rsid w:val="376B9491"/>
    <w:rsid w:val="376BC19E"/>
    <w:rsid w:val="37862DD1"/>
    <w:rsid w:val="37873AB9"/>
    <w:rsid w:val="37912C04"/>
    <w:rsid w:val="379D3608"/>
    <w:rsid w:val="379DA69C"/>
    <w:rsid w:val="37A1FD1D"/>
    <w:rsid w:val="37A6FE2B"/>
    <w:rsid w:val="37AB3CB1"/>
    <w:rsid w:val="37AFCC8A"/>
    <w:rsid w:val="37B7512D"/>
    <w:rsid w:val="37BB151E"/>
    <w:rsid w:val="37BBA52F"/>
    <w:rsid w:val="37BE87DE"/>
    <w:rsid w:val="37C01F85"/>
    <w:rsid w:val="37C97121"/>
    <w:rsid w:val="38157AB6"/>
    <w:rsid w:val="3817EA19"/>
    <w:rsid w:val="38213BA0"/>
    <w:rsid w:val="382861BA"/>
    <w:rsid w:val="382C623D"/>
    <w:rsid w:val="38325F4E"/>
    <w:rsid w:val="384362CE"/>
    <w:rsid w:val="385AAC15"/>
    <w:rsid w:val="3863CD2F"/>
    <w:rsid w:val="386B1B94"/>
    <w:rsid w:val="386C0E31"/>
    <w:rsid w:val="386C8799"/>
    <w:rsid w:val="3876EED0"/>
    <w:rsid w:val="387813C0"/>
    <w:rsid w:val="387B5A1C"/>
    <w:rsid w:val="387B7213"/>
    <w:rsid w:val="387E400E"/>
    <w:rsid w:val="3894373B"/>
    <w:rsid w:val="38A0F62B"/>
    <w:rsid w:val="38A703F7"/>
    <w:rsid w:val="38BF7B41"/>
    <w:rsid w:val="38C12BE2"/>
    <w:rsid w:val="38D01B3B"/>
    <w:rsid w:val="38DFBABA"/>
    <w:rsid w:val="38E4CAFB"/>
    <w:rsid w:val="38E8964C"/>
    <w:rsid w:val="38F3ED87"/>
    <w:rsid w:val="38F99328"/>
    <w:rsid w:val="38FD6F01"/>
    <w:rsid w:val="39184668"/>
    <w:rsid w:val="391859C5"/>
    <w:rsid w:val="3919652A"/>
    <w:rsid w:val="39198229"/>
    <w:rsid w:val="391B4B64"/>
    <w:rsid w:val="391BEA9C"/>
    <w:rsid w:val="3922A885"/>
    <w:rsid w:val="392A8E1E"/>
    <w:rsid w:val="39339E86"/>
    <w:rsid w:val="3934E06E"/>
    <w:rsid w:val="3936FA8A"/>
    <w:rsid w:val="3942254E"/>
    <w:rsid w:val="3945D64C"/>
    <w:rsid w:val="39472655"/>
    <w:rsid w:val="39492DC9"/>
    <w:rsid w:val="394D4EDA"/>
    <w:rsid w:val="39502C3F"/>
    <w:rsid w:val="39518F84"/>
    <w:rsid w:val="39552ADA"/>
    <w:rsid w:val="3956B021"/>
    <w:rsid w:val="3962BC27"/>
    <w:rsid w:val="396BCD6B"/>
    <w:rsid w:val="3981509F"/>
    <w:rsid w:val="3981C8BE"/>
    <w:rsid w:val="398AFF18"/>
    <w:rsid w:val="399B88CA"/>
    <w:rsid w:val="399C66C9"/>
    <w:rsid w:val="39E14EF1"/>
    <w:rsid w:val="39E9AAD4"/>
    <w:rsid w:val="39F747CC"/>
    <w:rsid w:val="3A1721EF"/>
    <w:rsid w:val="3A2E9227"/>
    <w:rsid w:val="3A3BB0B0"/>
    <w:rsid w:val="3A3D3BBB"/>
    <w:rsid w:val="3A49AA9C"/>
    <w:rsid w:val="3A54E709"/>
    <w:rsid w:val="3A59909C"/>
    <w:rsid w:val="3A6D6696"/>
    <w:rsid w:val="3A7230C3"/>
    <w:rsid w:val="3A7799CB"/>
    <w:rsid w:val="3A77A982"/>
    <w:rsid w:val="3A82AFE9"/>
    <w:rsid w:val="3A88F6B6"/>
    <w:rsid w:val="3A8F550E"/>
    <w:rsid w:val="3A92055D"/>
    <w:rsid w:val="3A9D3522"/>
    <w:rsid w:val="3AA149BA"/>
    <w:rsid w:val="3AA8B5EA"/>
    <w:rsid w:val="3AADE288"/>
    <w:rsid w:val="3AAFE89C"/>
    <w:rsid w:val="3AB366BC"/>
    <w:rsid w:val="3ACD671D"/>
    <w:rsid w:val="3AD0C875"/>
    <w:rsid w:val="3B0BCCE6"/>
    <w:rsid w:val="3B0EBB34"/>
    <w:rsid w:val="3B1511D4"/>
    <w:rsid w:val="3B192A87"/>
    <w:rsid w:val="3B1E6AF4"/>
    <w:rsid w:val="3B27EE25"/>
    <w:rsid w:val="3B364325"/>
    <w:rsid w:val="3B37EA23"/>
    <w:rsid w:val="3B4C4E95"/>
    <w:rsid w:val="3B5CA0B6"/>
    <w:rsid w:val="3B60D8D9"/>
    <w:rsid w:val="3B6B5FCC"/>
    <w:rsid w:val="3B6D5E72"/>
    <w:rsid w:val="3B843969"/>
    <w:rsid w:val="3B8C422F"/>
    <w:rsid w:val="3B94AC94"/>
    <w:rsid w:val="3BA72FDE"/>
    <w:rsid w:val="3BAAF1C4"/>
    <w:rsid w:val="3BB23B69"/>
    <w:rsid w:val="3BB251FF"/>
    <w:rsid w:val="3BB42137"/>
    <w:rsid w:val="3BB6BC95"/>
    <w:rsid w:val="3BB7FC77"/>
    <w:rsid w:val="3BC16349"/>
    <w:rsid w:val="3BC55F53"/>
    <w:rsid w:val="3BD361CB"/>
    <w:rsid w:val="3BDDE621"/>
    <w:rsid w:val="3BE75F80"/>
    <w:rsid w:val="3BF6EE14"/>
    <w:rsid w:val="3C1A1C13"/>
    <w:rsid w:val="3C2F309C"/>
    <w:rsid w:val="3C310E9E"/>
    <w:rsid w:val="3C3B17BD"/>
    <w:rsid w:val="3C3EECF8"/>
    <w:rsid w:val="3C3F48A1"/>
    <w:rsid w:val="3C428A72"/>
    <w:rsid w:val="3C475189"/>
    <w:rsid w:val="3C4BCBB1"/>
    <w:rsid w:val="3C6A151B"/>
    <w:rsid w:val="3C7457A2"/>
    <w:rsid w:val="3C86953B"/>
    <w:rsid w:val="3C8906A9"/>
    <w:rsid w:val="3C8C597C"/>
    <w:rsid w:val="3C95BD18"/>
    <w:rsid w:val="3C99DBC5"/>
    <w:rsid w:val="3C9A1629"/>
    <w:rsid w:val="3CA16C1D"/>
    <w:rsid w:val="3CA6DD8D"/>
    <w:rsid w:val="3CB63A57"/>
    <w:rsid w:val="3CB74FC2"/>
    <w:rsid w:val="3CC84D5E"/>
    <w:rsid w:val="3CD3CD8F"/>
    <w:rsid w:val="3CD4ADB7"/>
    <w:rsid w:val="3CDC6A95"/>
    <w:rsid w:val="3CDD0271"/>
    <w:rsid w:val="3CDF4D0E"/>
    <w:rsid w:val="3CE82E06"/>
    <w:rsid w:val="3CF14CE1"/>
    <w:rsid w:val="3CF7271F"/>
    <w:rsid w:val="3CF89777"/>
    <w:rsid w:val="3CFB87ED"/>
    <w:rsid w:val="3CFD2EF4"/>
    <w:rsid w:val="3D0409FE"/>
    <w:rsid w:val="3D052123"/>
    <w:rsid w:val="3D0DD65B"/>
    <w:rsid w:val="3D1485B5"/>
    <w:rsid w:val="3D17C8C6"/>
    <w:rsid w:val="3D1DB360"/>
    <w:rsid w:val="3D1E200E"/>
    <w:rsid w:val="3D1EA280"/>
    <w:rsid w:val="3D27BD07"/>
    <w:rsid w:val="3D2E4337"/>
    <w:rsid w:val="3D3A7647"/>
    <w:rsid w:val="3D3B163B"/>
    <w:rsid w:val="3D44AF61"/>
    <w:rsid w:val="3D55F952"/>
    <w:rsid w:val="3D5AD03B"/>
    <w:rsid w:val="3D5E2FA0"/>
    <w:rsid w:val="3D62B939"/>
    <w:rsid w:val="3D673137"/>
    <w:rsid w:val="3D6B6C47"/>
    <w:rsid w:val="3D6D2895"/>
    <w:rsid w:val="3D7552D9"/>
    <w:rsid w:val="3D855473"/>
    <w:rsid w:val="3D895228"/>
    <w:rsid w:val="3D8AB077"/>
    <w:rsid w:val="3D8F77EB"/>
    <w:rsid w:val="3D9C3BB5"/>
    <w:rsid w:val="3DA00247"/>
    <w:rsid w:val="3DAAB846"/>
    <w:rsid w:val="3DB19BB9"/>
    <w:rsid w:val="3DB27992"/>
    <w:rsid w:val="3DB7188C"/>
    <w:rsid w:val="3DBFCB0F"/>
    <w:rsid w:val="3DC07E32"/>
    <w:rsid w:val="3DCB490E"/>
    <w:rsid w:val="3DDD73FB"/>
    <w:rsid w:val="3DE29087"/>
    <w:rsid w:val="3DE36469"/>
    <w:rsid w:val="3DEB5B60"/>
    <w:rsid w:val="3DEF2209"/>
    <w:rsid w:val="3DF8CEB0"/>
    <w:rsid w:val="3E140746"/>
    <w:rsid w:val="3E163C8B"/>
    <w:rsid w:val="3E166AA7"/>
    <w:rsid w:val="3E18BC70"/>
    <w:rsid w:val="3E198614"/>
    <w:rsid w:val="3E33DE75"/>
    <w:rsid w:val="3E3FA720"/>
    <w:rsid w:val="3E483C6E"/>
    <w:rsid w:val="3E4C1CF5"/>
    <w:rsid w:val="3E65EB39"/>
    <w:rsid w:val="3E6B7B37"/>
    <w:rsid w:val="3E6C94B3"/>
    <w:rsid w:val="3E6D88CB"/>
    <w:rsid w:val="3E89ECD3"/>
    <w:rsid w:val="3E96068B"/>
    <w:rsid w:val="3EA9FAA1"/>
    <w:rsid w:val="3EBA65EF"/>
    <w:rsid w:val="3EC97260"/>
    <w:rsid w:val="3ED0F6CB"/>
    <w:rsid w:val="3EE09F8D"/>
    <w:rsid w:val="3EE43C8C"/>
    <w:rsid w:val="3EE747F4"/>
    <w:rsid w:val="3EEA7831"/>
    <w:rsid w:val="3EF1E7D7"/>
    <w:rsid w:val="3EF971D6"/>
    <w:rsid w:val="3EFE5DB8"/>
    <w:rsid w:val="3F0B2E7A"/>
    <w:rsid w:val="3F26C932"/>
    <w:rsid w:val="3F2721BD"/>
    <w:rsid w:val="3F2A3169"/>
    <w:rsid w:val="3F3495B9"/>
    <w:rsid w:val="3F3B3188"/>
    <w:rsid w:val="3F402E31"/>
    <w:rsid w:val="3F49EBE7"/>
    <w:rsid w:val="3F4CB685"/>
    <w:rsid w:val="3F53A9DA"/>
    <w:rsid w:val="3F57F609"/>
    <w:rsid w:val="3F68F3D7"/>
    <w:rsid w:val="3F7DE83B"/>
    <w:rsid w:val="3F81DD27"/>
    <w:rsid w:val="3F8214B2"/>
    <w:rsid w:val="3F84B549"/>
    <w:rsid w:val="3F878959"/>
    <w:rsid w:val="3F910A0E"/>
    <w:rsid w:val="3F931C88"/>
    <w:rsid w:val="3FA4F4F3"/>
    <w:rsid w:val="3FC78563"/>
    <w:rsid w:val="3FCBD128"/>
    <w:rsid w:val="3FD3ABF4"/>
    <w:rsid w:val="3FE4AC8E"/>
    <w:rsid w:val="3FEF95D5"/>
    <w:rsid w:val="3FF815A4"/>
    <w:rsid w:val="3FFA5E66"/>
    <w:rsid w:val="4000059B"/>
    <w:rsid w:val="400426F0"/>
    <w:rsid w:val="40051CC4"/>
    <w:rsid w:val="400A9AC9"/>
    <w:rsid w:val="40210FFA"/>
    <w:rsid w:val="402A0C79"/>
    <w:rsid w:val="403562DD"/>
    <w:rsid w:val="4038EBC5"/>
    <w:rsid w:val="403971DE"/>
    <w:rsid w:val="406EF138"/>
    <w:rsid w:val="40790223"/>
    <w:rsid w:val="407BFBC5"/>
    <w:rsid w:val="4094953C"/>
    <w:rsid w:val="409A3FDF"/>
    <w:rsid w:val="40A05DDF"/>
    <w:rsid w:val="40A14AA3"/>
    <w:rsid w:val="40A6E78A"/>
    <w:rsid w:val="40AFD3BC"/>
    <w:rsid w:val="40BAA976"/>
    <w:rsid w:val="40BD2AD5"/>
    <w:rsid w:val="40BFD7B1"/>
    <w:rsid w:val="40C4675C"/>
    <w:rsid w:val="40D3CDA0"/>
    <w:rsid w:val="40E62276"/>
    <w:rsid w:val="40F28F8F"/>
    <w:rsid w:val="40FCA4B7"/>
    <w:rsid w:val="4106B483"/>
    <w:rsid w:val="410960C5"/>
    <w:rsid w:val="412460C3"/>
    <w:rsid w:val="412F23AD"/>
    <w:rsid w:val="413A1499"/>
    <w:rsid w:val="415CBF75"/>
    <w:rsid w:val="416BB582"/>
    <w:rsid w:val="417299E1"/>
    <w:rsid w:val="4177AAC0"/>
    <w:rsid w:val="41795B64"/>
    <w:rsid w:val="417F974D"/>
    <w:rsid w:val="4181A326"/>
    <w:rsid w:val="418498FD"/>
    <w:rsid w:val="418A12AD"/>
    <w:rsid w:val="4196322A"/>
    <w:rsid w:val="419D37D4"/>
    <w:rsid w:val="419FD800"/>
    <w:rsid w:val="41A35A47"/>
    <w:rsid w:val="41BE25A2"/>
    <w:rsid w:val="41C0C42D"/>
    <w:rsid w:val="41C70F35"/>
    <w:rsid w:val="41C71EB4"/>
    <w:rsid w:val="41CCA765"/>
    <w:rsid w:val="41D86E2D"/>
    <w:rsid w:val="41D873FE"/>
    <w:rsid w:val="41D901F3"/>
    <w:rsid w:val="41DABE00"/>
    <w:rsid w:val="41DC926F"/>
    <w:rsid w:val="41DCB1CE"/>
    <w:rsid w:val="41E341C0"/>
    <w:rsid w:val="41F1FAC6"/>
    <w:rsid w:val="41F93EF2"/>
    <w:rsid w:val="420078A1"/>
    <w:rsid w:val="4201FB3C"/>
    <w:rsid w:val="42223873"/>
    <w:rsid w:val="4223889F"/>
    <w:rsid w:val="4249EABE"/>
    <w:rsid w:val="4254A41F"/>
    <w:rsid w:val="426E63A0"/>
    <w:rsid w:val="429CEB0D"/>
    <w:rsid w:val="42ADCBDC"/>
    <w:rsid w:val="42AE1E08"/>
    <w:rsid w:val="42B109FF"/>
    <w:rsid w:val="42B44D5F"/>
    <w:rsid w:val="42B739E3"/>
    <w:rsid w:val="42B80732"/>
    <w:rsid w:val="42C1D35E"/>
    <w:rsid w:val="42D16C65"/>
    <w:rsid w:val="42DBFEAF"/>
    <w:rsid w:val="42EDB35D"/>
    <w:rsid w:val="42EE7159"/>
    <w:rsid w:val="42F8553A"/>
    <w:rsid w:val="43031B6C"/>
    <w:rsid w:val="43042E6D"/>
    <w:rsid w:val="4308514F"/>
    <w:rsid w:val="43107445"/>
    <w:rsid w:val="43196C3F"/>
    <w:rsid w:val="43256530"/>
    <w:rsid w:val="432AF38A"/>
    <w:rsid w:val="432F0F8B"/>
    <w:rsid w:val="4331FE1F"/>
    <w:rsid w:val="43372D2B"/>
    <w:rsid w:val="433C2FC2"/>
    <w:rsid w:val="43481F9B"/>
    <w:rsid w:val="434D5B6F"/>
    <w:rsid w:val="4353EDDF"/>
    <w:rsid w:val="435FDA94"/>
    <w:rsid w:val="43651615"/>
    <w:rsid w:val="436B604E"/>
    <w:rsid w:val="43710660"/>
    <w:rsid w:val="43774360"/>
    <w:rsid w:val="437DC7F1"/>
    <w:rsid w:val="437EAD5C"/>
    <w:rsid w:val="4390BE26"/>
    <w:rsid w:val="43940C66"/>
    <w:rsid w:val="439A7D42"/>
    <w:rsid w:val="43B002FE"/>
    <w:rsid w:val="43B517F6"/>
    <w:rsid w:val="43B901F6"/>
    <w:rsid w:val="43BA72D6"/>
    <w:rsid w:val="43BA7F6B"/>
    <w:rsid w:val="43BAFD3E"/>
    <w:rsid w:val="43BE206D"/>
    <w:rsid w:val="43C5AF56"/>
    <w:rsid w:val="43C6A2F6"/>
    <w:rsid w:val="43D4622A"/>
    <w:rsid w:val="43E0CF64"/>
    <w:rsid w:val="43E4D39F"/>
    <w:rsid w:val="43E9C685"/>
    <w:rsid w:val="43EE0F62"/>
    <w:rsid w:val="43F253E9"/>
    <w:rsid w:val="43FC277D"/>
    <w:rsid w:val="4413D9E4"/>
    <w:rsid w:val="4418DA59"/>
    <w:rsid w:val="441C884E"/>
    <w:rsid w:val="442DA1B0"/>
    <w:rsid w:val="4434DDA8"/>
    <w:rsid w:val="4444B218"/>
    <w:rsid w:val="44465C91"/>
    <w:rsid w:val="444AB231"/>
    <w:rsid w:val="444E8B83"/>
    <w:rsid w:val="444F57DF"/>
    <w:rsid w:val="444F671C"/>
    <w:rsid w:val="445380F6"/>
    <w:rsid w:val="445F52E9"/>
    <w:rsid w:val="44652225"/>
    <w:rsid w:val="4468DD8B"/>
    <w:rsid w:val="4469CA97"/>
    <w:rsid w:val="446B14E4"/>
    <w:rsid w:val="446B7564"/>
    <w:rsid w:val="446EF6D8"/>
    <w:rsid w:val="4472DD3D"/>
    <w:rsid w:val="447D0647"/>
    <w:rsid w:val="44905269"/>
    <w:rsid w:val="449C2444"/>
    <w:rsid w:val="44A14942"/>
    <w:rsid w:val="44B0C23B"/>
    <w:rsid w:val="44BBF6BD"/>
    <w:rsid w:val="44C39EB5"/>
    <w:rsid w:val="44C64FB7"/>
    <w:rsid w:val="44C83911"/>
    <w:rsid w:val="44C9DD87"/>
    <w:rsid w:val="44D4D9F6"/>
    <w:rsid w:val="44E4E16D"/>
    <w:rsid w:val="44FFE61C"/>
    <w:rsid w:val="4507924B"/>
    <w:rsid w:val="451280C4"/>
    <w:rsid w:val="451F326B"/>
    <w:rsid w:val="45221AFB"/>
    <w:rsid w:val="4523D855"/>
    <w:rsid w:val="452629A8"/>
    <w:rsid w:val="452C5829"/>
    <w:rsid w:val="452FB327"/>
    <w:rsid w:val="455628F7"/>
    <w:rsid w:val="45590CA9"/>
    <w:rsid w:val="456822C2"/>
    <w:rsid w:val="456AD5C9"/>
    <w:rsid w:val="456D4062"/>
    <w:rsid w:val="4570930A"/>
    <w:rsid w:val="45725B93"/>
    <w:rsid w:val="4576D278"/>
    <w:rsid w:val="4585CE60"/>
    <w:rsid w:val="459596D7"/>
    <w:rsid w:val="45A09AF3"/>
    <w:rsid w:val="45A2D7E0"/>
    <w:rsid w:val="45AB9451"/>
    <w:rsid w:val="45B60D35"/>
    <w:rsid w:val="45B61232"/>
    <w:rsid w:val="45BE25C1"/>
    <w:rsid w:val="45BE6F74"/>
    <w:rsid w:val="45C1BBAC"/>
    <w:rsid w:val="45CF5604"/>
    <w:rsid w:val="45D4A425"/>
    <w:rsid w:val="45DEC320"/>
    <w:rsid w:val="45E5765D"/>
    <w:rsid w:val="45EC527B"/>
    <w:rsid w:val="45EDE2F6"/>
    <w:rsid w:val="45F7AEF1"/>
    <w:rsid w:val="45FF0BDE"/>
    <w:rsid w:val="4605A480"/>
    <w:rsid w:val="461CC33F"/>
    <w:rsid w:val="46210F5C"/>
    <w:rsid w:val="462414EF"/>
    <w:rsid w:val="463FD099"/>
    <w:rsid w:val="46478A8E"/>
    <w:rsid w:val="46487BCB"/>
    <w:rsid w:val="4686836A"/>
    <w:rsid w:val="4686E40C"/>
    <w:rsid w:val="468DF92B"/>
    <w:rsid w:val="46908E68"/>
    <w:rsid w:val="46B28A77"/>
    <w:rsid w:val="46B803CD"/>
    <w:rsid w:val="46BF45FA"/>
    <w:rsid w:val="46C05B16"/>
    <w:rsid w:val="46C7DA33"/>
    <w:rsid w:val="46CAE4CD"/>
    <w:rsid w:val="46CB0385"/>
    <w:rsid w:val="46D4433F"/>
    <w:rsid w:val="46DD34C7"/>
    <w:rsid w:val="46E23BDB"/>
    <w:rsid w:val="46ECF5BC"/>
    <w:rsid w:val="46ED6D7E"/>
    <w:rsid w:val="46F9CE74"/>
    <w:rsid w:val="47045F9C"/>
    <w:rsid w:val="4706298A"/>
    <w:rsid w:val="470C319D"/>
    <w:rsid w:val="47100542"/>
    <w:rsid w:val="4722168A"/>
    <w:rsid w:val="472597BC"/>
    <w:rsid w:val="4725FD95"/>
    <w:rsid w:val="4727B6B3"/>
    <w:rsid w:val="4727EC08"/>
    <w:rsid w:val="4728E596"/>
    <w:rsid w:val="47439B99"/>
    <w:rsid w:val="4744B403"/>
    <w:rsid w:val="47489C08"/>
    <w:rsid w:val="4752457B"/>
    <w:rsid w:val="47529DA7"/>
    <w:rsid w:val="475E2C13"/>
    <w:rsid w:val="475F3C9C"/>
    <w:rsid w:val="4773B785"/>
    <w:rsid w:val="4775C41B"/>
    <w:rsid w:val="47885BF5"/>
    <w:rsid w:val="478B80A7"/>
    <w:rsid w:val="478E92EB"/>
    <w:rsid w:val="479087EE"/>
    <w:rsid w:val="47949C2D"/>
    <w:rsid w:val="479B5573"/>
    <w:rsid w:val="479EE79E"/>
    <w:rsid w:val="47A9AB74"/>
    <w:rsid w:val="47BB84AC"/>
    <w:rsid w:val="47C446F5"/>
    <w:rsid w:val="47C90346"/>
    <w:rsid w:val="47EFB070"/>
    <w:rsid w:val="47F09B83"/>
    <w:rsid w:val="47F5F4B0"/>
    <w:rsid w:val="47F7E385"/>
    <w:rsid w:val="47F988C5"/>
    <w:rsid w:val="47FB1ABA"/>
    <w:rsid w:val="47FE49DF"/>
    <w:rsid w:val="480F4BDA"/>
    <w:rsid w:val="48159C0A"/>
    <w:rsid w:val="481C1141"/>
    <w:rsid w:val="481E65F7"/>
    <w:rsid w:val="482218F0"/>
    <w:rsid w:val="483BEA65"/>
    <w:rsid w:val="483F8223"/>
    <w:rsid w:val="4847772D"/>
    <w:rsid w:val="48479E72"/>
    <w:rsid w:val="48542F7F"/>
    <w:rsid w:val="48577F87"/>
    <w:rsid w:val="4857B221"/>
    <w:rsid w:val="485F6A50"/>
    <w:rsid w:val="4876FBC0"/>
    <w:rsid w:val="4885CB1E"/>
    <w:rsid w:val="488723D1"/>
    <w:rsid w:val="4888D76D"/>
    <w:rsid w:val="48A46BF4"/>
    <w:rsid w:val="48B26ABD"/>
    <w:rsid w:val="48B2ADF6"/>
    <w:rsid w:val="48C24B7B"/>
    <w:rsid w:val="48E9858E"/>
    <w:rsid w:val="48ED3768"/>
    <w:rsid w:val="48F2BBCB"/>
    <w:rsid w:val="49076E47"/>
    <w:rsid w:val="49174BFD"/>
    <w:rsid w:val="49186F71"/>
    <w:rsid w:val="4928FB88"/>
    <w:rsid w:val="492A08E1"/>
    <w:rsid w:val="49340A97"/>
    <w:rsid w:val="493BD714"/>
    <w:rsid w:val="49505DCE"/>
    <w:rsid w:val="495A8C7B"/>
    <w:rsid w:val="49766C63"/>
    <w:rsid w:val="49844B33"/>
    <w:rsid w:val="4987C5BE"/>
    <w:rsid w:val="49B2F2FA"/>
    <w:rsid w:val="49B620C9"/>
    <w:rsid w:val="49C274C9"/>
    <w:rsid w:val="49C5CBDF"/>
    <w:rsid w:val="49D6EA50"/>
    <w:rsid w:val="49D808BB"/>
    <w:rsid w:val="49F1FB60"/>
    <w:rsid w:val="49F34BDF"/>
    <w:rsid w:val="49F43E6F"/>
    <w:rsid w:val="49FD80DB"/>
    <w:rsid w:val="4A058ED1"/>
    <w:rsid w:val="4A19B828"/>
    <w:rsid w:val="4A1D3DF5"/>
    <w:rsid w:val="4A2A3445"/>
    <w:rsid w:val="4A2F2170"/>
    <w:rsid w:val="4A36514B"/>
    <w:rsid w:val="4A373E30"/>
    <w:rsid w:val="4A3929E7"/>
    <w:rsid w:val="4A39D011"/>
    <w:rsid w:val="4A3A2509"/>
    <w:rsid w:val="4A3EE32D"/>
    <w:rsid w:val="4A453C51"/>
    <w:rsid w:val="4A4645BE"/>
    <w:rsid w:val="4A4CAF20"/>
    <w:rsid w:val="4A4DD944"/>
    <w:rsid w:val="4A540840"/>
    <w:rsid w:val="4A6105C6"/>
    <w:rsid w:val="4A6BBCB2"/>
    <w:rsid w:val="4A6F6A3C"/>
    <w:rsid w:val="4A7B6136"/>
    <w:rsid w:val="4A7CB07F"/>
    <w:rsid w:val="4A813853"/>
    <w:rsid w:val="4A832AC5"/>
    <w:rsid w:val="4A8ACA61"/>
    <w:rsid w:val="4A8D9815"/>
    <w:rsid w:val="4A8E43CF"/>
    <w:rsid w:val="4A9C149B"/>
    <w:rsid w:val="4A9F4E70"/>
    <w:rsid w:val="4AA31ED4"/>
    <w:rsid w:val="4AA68CB0"/>
    <w:rsid w:val="4AA96DCE"/>
    <w:rsid w:val="4AB166CA"/>
    <w:rsid w:val="4AB1A6F3"/>
    <w:rsid w:val="4AB5A475"/>
    <w:rsid w:val="4AC8B15A"/>
    <w:rsid w:val="4ADC87E9"/>
    <w:rsid w:val="4AE84D8E"/>
    <w:rsid w:val="4B178DD0"/>
    <w:rsid w:val="4B1DC872"/>
    <w:rsid w:val="4B1F59C8"/>
    <w:rsid w:val="4B2A1620"/>
    <w:rsid w:val="4B37970F"/>
    <w:rsid w:val="4B3C1B12"/>
    <w:rsid w:val="4B4973AC"/>
    <w:rsid w:val="4B4FB7FD"/>
    <w:rsid w:val="4B577C85"/>
    <w:rsid w:val="4B5CEC8D"/>
    <w:rsid w:val="4B6CDF1B"/>
    <w:rsid w:val="4B752120"/>
    <w:rsid w:val="4B76456B"/>
    <w:rsid w:val="4B7CAFEF"/>
    <w:rsid w:val="4B7DF3AB"/>
    <w:rsid w:val="4B7EC8CB"/>
    <w:rsid w:val="4B841B33"/>
    <w:rsid w:val="4B90C47C"/>
    <w:rsid w:val="4BA92750"/>
    <w:rsid w:val="4BB3E7B1"/>
    <w:rsid w:val="4BD823DB"/>
    <w:rsid w:val="4BD9A993"/>
    <w:rsid w:val="4BDFD98D"/>
    <w:rsid w:val="4BE182EE"/>
    <w:rsid w:val="4BE9E038"/>
    <w:rsid w:val="4BEB0639"/>
    <w:rsid w:val="4BF07E45"/>
    <w:rsid w:val="4BF41D73"/>
    <w:rsid w:val="4BF6A671"/>
    <w:rsid w:val="4BFC92F8"/>
    <w:rsid w:val="4C002B50"/>
    <w:rsid w:val="4C00EE50"/>
    <w:rsid w:val="4C09B6EC"/>
    <w:rsid w:val="4C126F56"/>
    <w:rsid w:val="4C1D20A7"/>
    <w:rsid w:val="4C1FB629"/>
    <w:rsid w:val="4C255137"/>
    <w:rsid w:val="4C2DD3F1"/>
    <w:rsid w:val="4C320798"/>
    <w:rsid w:val="4C32E9CE"/>
    <w:rsid w:val="4C384DFD"/>
    <w:rsid w:val="4C47A656"/>
    <w:rsid w:val="4C480877"/>
    <w:rsid w:val="4C60CE95"/>
    <w:rsid w:val="4C62BE9D"/>
    <w:rsid w:val="4C6740F5"/>
    <w:rsid w:val="4C6B6156"/>
    <w:rsid w:val="4C71D68D"/>
    <w:rsid w:val="4C7CFD9E"/>
    <w:rsid w:val="4C8CF148"/>
    <w:rsid w:val="4C8F58F6"/>
    <w:rsid w:val="4C910FFE"/>
    <w:rsid w:val="4C9F8629"/>
    <w:rsid w:val="4CA0EFD9"/>
    <w:rsid w:val="4CA4C11A"/>
    <w:rsid w:val="4CA5FA8E"/>
    <w:rsid w:val="4CA790C9"/>
    <w:rsid w:val="4CADA347"/>
    <w:rsid w:val="4CB51C57"/>
    <w:rsid w:val="4CD23FB7"/>
    <w:rsid w:val="4CD52209"/>
    <w:rsid w:val="4CD7CED1"/>
    <w:rsid w:val="4CD9B6D1"/>
    <w:rsid w:val="4CE9D216"/>
    <w:rsid w:val="4CEA8445"/>
    <w:rsid w:val="4CEB905E"/>
    <w:rsid w:val="4CF34A3E"/>
    <w:rsid w:val="4CF61E7D"/>
    <w:rsid w:val="4CF93986"/>
    <w:rsid w:val="4CFBA07F"/>
    <w:rsid w:val="4D0B2512"/>
    <w:rsid w:val="4D0DC521"/>
    <w:rsid w:val="4D106095"/>
    <w:rsid w:val="4D12FDC7"/>
    <w:rsid w:val="4D1F221F"/>
    <w:rsid w:val="4D23877B"/>
    <w:rsid w:val="4D2AFFDB"/>
    <w:rsid w:val="4D32E9B7"/>
    <w:rsid w:val="4D34F39F"/>
    <w:rsid w:val="4D36322F"/>
    <w:rsid w:val="4D424B09"/>
    <w:rsid w:val="4D48AF11"/>
    <w:rsid w:val="4D498C2E"/>
    <w:rsid w:val="4D4C3DE3"/>
    <w:rsid w:val="4D5465DB"/>
    <w:rsid w:val="4D6467E5"/>
    <w:rsid w:val="4D7AF725"/>
    <w:rsid w:val="4D94CA10"/>
    <w:rsid w:val="4D9A62DC"/>
    <w:rsid w:val="4D9C414B"/>
    <w:rsid w:val="4D9DC149"/>
    <w:rsid w:val="4DAC66C4"/>
    <w:rsid w:val="4DAF75D3"/>
    <w:rsid w:val="4DB99E43"/>
    <w:rsid w:val="4DBCFE44"/>
    <w:rsid w:val="4DBFD344"/>
    <w:rsid w:val="4DD44900"/>
    <w:rsid w:val="4DE58937"/>
    <w:rsid w:val="4DEFB488"/>
    <w:rsid w:val="4E0CE1A5"/>
    <w:rsid w:val="4E1A3A87"/>
    <w:rsid w:val="4E1C875A"/>
    <w:rsid w:val="4E279A87"/>
    <w:rsid w:val="4E2D5652"/>
    <w:rsid w:val="4E3A70DA"/>
    <w:rsid w:val="4E3B8204"/>
    <w:rsid w:val="4E403D35"/>
    <w:rsid w:val="4E4E1FAC"/>
    <w:rsid w:val="4E561A7C"/>
    <w:rsid w:val="4E600534"/>
    <w:rsid w:val="4E6828FB"/>
    <w:rsid w:val="4E69EAC6"/>
    <w:rsid w:val="4E74EF7B"/>
    <w:rsid w:val="4E7D11B8"/>
    <w:rsid w:val="4E7D1E20"/>
    <w:rsid w:val="4E7ED214"/>
    <w:rsid w:val="4E80B66A"/>
    <w:rsid w:val="4E8C861B"/>
    <w:rsid w:val="4E99799F"/>
    <w:rsid w:val="4E9CCA02"/>
    <w:rsid w:val="4E9DF8C0"/>
    <w:rsid w:val="4EA32BF9"/>
    <w:rsid w:val="4EA3C00F"/>
    <w:rsid w:val="4EA819E8"/>
    <w:rsid w:val="4EB28679"/>
    <w:rsid w:val="4EC45F1A"/>
    <w:rsid w:val="4EC4CC28"/>
    <w:rsid w:val="4ECA1960"/>
    <w:rsid w:val="4ECB71D5"/>
    <w:rsid w:val="4ED4D074"/>
    <w:rsid w:val="4ED9712E"/>
    <w:rsid w:val="4EDFC0BB"/>
    <w:rsid w:val="4EE4000D"/>
    <w:rsid w:val="4EEC9CA1"/>
    <w:rsid w:val="4EF426A0"/>
    <w:rsid w:val="4EF8033F"/>
    <w:rsid w:val="4F03D496"/>
    <w:rsid w:val="4F04535D"/>
    <w:rsid w:val="4F08D9F3"/>
    <w:rsid w:val="4F0DFBA9"/>
    <w:rsid w:val="4F128361"/>
    <w:rsid w:val="4F12F888"/>
    <w:rsid w:val="4F1A263D"/>
    <w:rsid w:val="4F3CBFD6"/>
    <w:rsid w:val="4F3D32E8"/>
    <w:rsid w:val="4F3F751B"/>
    <w:rsid w:val="4F4F1AA2"/>
    <w:rsid w:val="4F5C0FDF"/>
    <w:rsid w:val="4F5E1B86"/>
    <w:rsid w:val="4F60EA73"/>
    <w:rsid w:val="4F71763B"/>
    <w:rsid w:val="4F95A5F1"/>
    <w:rsid w:val="4F9BD7F4"/>
    <w:rsid w:val="4F9E536D"/>
    <w:rsid w:val="4FA0E683"/>
    <w:rsid w:val="4FA1DC6E"/>
    <w:rsid w:val="4FA6156B"/>
    <w:rsid w:val="4FB0C8B6"/>
    <w:rsid w:val="4FB755AA"/>
    <w:rsid w:val="4FC1C47E"/>
    <w:rsid w:val="4FC2F76D"/>
    <w:rsid w:val="4FD3EFCE"/>
    <w:rsid w:val="4FE57126"/>
    <w:rsid w:val="4FEC772D"/>
    <w:rsid w:val="5007FF10"/>
    <w:rsid w:val="5009B3E9"/>
    <w:rsid w:val="500A7609"/>
    <w:rsid w:val="500B149F"/>
    <w:rsid w:val="5019C253"/>
    <w:rsid w:val="502028CA"/>
    <w:rsid w:val="502126FD"/>
    <w:rsid w:val="502DF126"/>
    <w:rsid w:val="50360436"/>
    <w:rsid w:val="503BDBBB"/>
    <w:rsid w:val="5046FC4D"/>
    <w:rsid w:val="50474074"/>
    <w:rsid w:val="50476B67"/>
    <w:rsid w:val="504BB95A"/>
    <w:rsid w:val="505CEE65"/>
    <w:rsid w:val="505EA1A2"/>
    <w:rsid w:val="50664A1E"/>
    <w:rsid w:val="5067DF5E"/>
    <w:rsid w:val="506C5F8A"/>
    <w:rsid w:val="506E04EC"/>
    <w:rsid w:val="506F7537"/>
    <w:rsid w:val="507328D7"/>
    <w:rsid w:val="507C6C17"/>
    <w:rsid w:val="508989BF"/>
    <w:rsid w:val="50A4FF9E"/>
    <w:rsid w:val="50A8671A"/>
    <w:rsid w:val="50B5301B"/>
    <w:rsid w:val="50C28B07"/>
    <w:rsid w:val="50C941A0"/>
    <w:rsid w:val="50CA1DF6"/>
    <w:rsid w:val="50CF7293"/>
    <w:rsid w:val="50D485A5"/>
    <w:rsid w:val="50E73CBB"/>
    <w:rsid w:val="50E7F0E8"/>
    <w:rsid w:val="50EAE679"/>
    <w:rsid w:val="50F12890"/>
    <w:rsid w:val="50F356E6"/>
    <w:rsid w:val="5110CB67"/>
    <w:rsid w:val="5112693A"/>
    <w:rsid w:val="5118DAC1"/>
    <w:rsid w:val="51270EC0"/>
    <w:rsid w:val="5129D32F"/>
    <w:rsid w:val="513B38A9"/>
    <w:rsid w:val="5146437A"/>
    <w:rsid w:val="5151C39F"/>
    <w:rsid w:val="516155D6"/>
    <w:rsid w:val="516C0ED8"/>
    <w:rsid w:val="516CEDC7"/>
    <w:rsid w:val="516D40C8"/>
    <w:rsid w:val="517A5BC6"/>
    <w:rsid w:val="51818513"/>
    <w:rsid w:val="51901BAA"/>
    <w:rsid w:val="519363A0"/>
    <w:rsid w:val="519CAD54"/>
    <w:rsid w:val="51A50EE2"/>
    <w:rsid w:val="51A7AA44"/>
    <w:rsid w:val="51B55A4E"/>
    <w:rsid w:val="51C7B34E"/>
    <w:rsid w:val="51C822DB"/>
    <w:rsid w:val="51D635B7"/>
    <w:rsid w:val="51E0D7AE"/>
    <w:rsid w:val="51E2F776"/>
    <w:rsid w:val="51EC7442"/>
    <w:rsid w:val="51F910EA"/>
    <w:rsid w:val="5205EBCC"/>
    <w:rsid w:val="520D2694"/>
    <w:rsid w:val="521772EB"/>
    <w:rsid w:val="5218BED3"/>
    <w:rsid w:val="5229A2A5"/>
    <w:rsid w:val="522BF533"/>
    <w:rsid w:val="52448604"/>
    <w:rsid w:val="52575DC6"/>
    <w:rsid w:val="52622D7F"/>
    <w:rsid w:val="52682C0F"/>
    <w:rsid w:val="52697321"/>
    <w:rsid w:val="5275C45B"/>
    <w:rsid w:val="527F3D96"/>
    <w:rsid w:val="52835ED0"/>
    <w:rsid w:val="52874DCC"/>
    <w:rsid w:val="528D1E35"/>
    <w:rsid w:val="5292746D"/>
    <w:rsid w:val="529BFCC5"/>
    <w:rsid w:val="52A2E38B"/>
    <w:rsid w:val="52A926BF"/>
    <w:rsid w:val="52AC3B96"/>
    <w:rsid w:val="52B11712"/>
    <w:rsid w:val="52B2C269"/>
    <w:rsid w:val="52B96291"/>
    <w:rsid w:val="52C90015"/>
    <w:rsid w:val="52EC0763"/>
    <w:rsid w:val="52F2F6CF"/>
    <w:rsid w:val="52F4D2EB"/>
    <w:rsid w:val="5314C7D0"/>
    <w:rsid w:val="532DE056"/>
    <w:rsid w:val="533E6EA5"/>
    <w:rsid w:val="533FEB38"/>
    <w:rsid w:val="53405AE0"/>
    <w:rsid w:val="53509B8C"/>
    <w:rsid w:val="5354DE9C"/>
    <w:rsid w:val="535C96C3"/>
    <w:rsid w:val="535ED569"/>
    <w:rsid w:val="5386CECB"/>
    <w:rsid w:val="5389B594"/>
    <w:rsid w:val="5389E919"/>
    <w:rsid w:val="53925F10"/>
    <w:rsid w:val="539908C6"/>
    <w:rsid w:val="539CA605"/>
    <w:rsid w:val="53B01592"/>
    <w:rsid w:val="53C89E68"/>
    <w:rsid w:val="53D82D88"/>
    <w:rsid w:val="53D9A869"/>
    <w:rsid w:val="53DD5F3E"/>
    <w:rsid w:val="53E14270"/>
    <w:rsid w:val="53E6C015"/>
    <w:rsid w:val="53F1DCF5"/>
    <w:rsid w:val="53FE6D31"/>
    <w:rsid w:val="540C8910"/>
    <w:rsid w:val="541EDA5A"/>
    <w:rsid w:val="541FAF66"/>
    <w:rsid w:val="5421C196"/>
    <w:rsid w:val="5422C206"/>
    <w:rsid w:val="54296985"/>
    <w:rsid w:val="542A0E50"/>
    <w:rsid w:val="542C0EF6"/>
    <w:rsid w:val="54554B2F"/>
    <w:rsid w:val="54653405"/>
    <w:rsid w:val="5472DA47"/>
    <w:rsid w:val="54808D75"/>
    <w:rsid w:val="54A120DC"/>
    <w:rsid w:val="54BA4357"/>
    <w:rsid w:val="54BBFF5E"/>
    <w:rsid w:val="54C5C0B5"/>
    <w:rsid w:val="54C98568"/>
    <w:rsid w:val="54C9BE20"/>
    <w:rsid w:val="54D0B02F"/>
    <w:rsid w:val="54E508A8"/>
    <w:rsid w:val="54E6E7E1"/>
    <w:rsid w:val="55018D14"/>
    <w:rsid w:val="550596F3"/>
    <w:rsid w:val="550735B1"/>
    <w:rsid w:val="5507D8B0"/>
    <w:rsid w:val="550D4634"/>
    <w:rsid w:val="55151A03"/>
    <w:rsid w:val="55194B4A"/>
    <w:rsid w:val="551B274D"/>
    <w:rsid w:val="55217655"/>
    <w:rsid w:val="5534C927"/>
    <w:rsid w:val="553621D2"/>
    <w:rsid w:val="5536A307"/>
    <w:rsid w:val="55411633"/>
    <w:rsid w:val="55468693"/>
    <w:rsid w:val="55531287"/>
    <w:rsid w:val="55669795"/>
    <w:rsid w:val="556C5C91"/>
    <w:rsid w:val="556D3FD0"/>
    <w:rsid w:val="55715179"/>
    <w:rsid w:val="557A6161"/>
    <w:rsid w:val="5581A64F"/>
    <w:rsid w:val="5584B277"/>
    <w:rsid w:val="5594F923"/>
    <w:rsid w:val="559708D4"/>
    <w:rsid w:val="55991C90"/>
    <w:rsid w:val="559F8CEE"/>
    <w:rsid w:val="55A37147"/>
    <w:rsid w:val="55AB84A1"/>
    <w:rsid w:val="55BCE155"/>
    <w:rsid w:val="55C2113D"/>
    <w:rsid w:val="55C43DF9"/>
    <w:rsid w:val="55C715C7"/>
    <w:rsid w:val="55C92B25"/>
    <w:rsid w:val="55C92DA3"/>
    <w:rsid w:val="55CFF3A4"/>
    <w:rsid w:val="55D23790"/>
    <w:rsid w:val="55DA4137"/>
    <w:rsid w:val="55DD54AD"/>
    <w:rsid w:val="5607E969"/>
    <w:rsid w:val="5610F6BF"/>
    <w:rsid w:val="561134A3"/>
    <w:rsid w:val="56197DC5"/>
    <w:rsid w:val="56216868"/>
    <w:rsid w:val="56254F67"/>
    <w:rsid w:val="5625691D"/>
    <w:rsid w:val="562DC432"/>
    <w:rsid w:val="563262E3"/>
    <w:rsid w:val="5632C616"/>
    <w:rsid w:val="5636D21D"/>
    <w:rsid w:val="563959C9"/>
    <w:rsid w:val="563A6C38"/>
    <w:rsid w:val="563C4103"/>
    <w:rsid w:val="563C4978"/>
    <w:rsid w:val="56401B40"/>
    <w:rsid w:val="5643987F"/>
    <w:rsid w:val="564B89AD"/>
    <w:rsid w:val="564C2AEE"/>
    <w:rsid w:val="56519E8E"/>
    <w:rsid w:val="5660EE0C"/>
    <w:rsid w:val="567659DD"/>
    <w:rsid w:val="56785BFB"/>
    <w:rsid w:val="567B4DA3"/>
    <w:rsid w:val="567D4977"/>
    <w:rsid w:val="568407F7"/>
    <w:rsid w:val="568ED212"/>
    <w:rsid w:val="569F42C5"/>
    <w:rsid w:val="569F53F9"/>
    <w:rsid w:val="56A2350A"/>
    <w:rsid w:val="56A43586"/>
    <w:rsid w:val="56A68796"/>
    <w:rsid w:val="56B098E7"/>
    <w:rsid w:val="56B1D65A"/>
    <w:rsid w:val="56B54FBA"/>
    <w:rsid w:val="56BAF01F"/>
    <w:rsid w:val="56BFB0E1"/>
    <w:rsid w:val="56C196BF"/>
    <w:rsid w:val="56C7A8C3"/>
    <w:rsid w:val="56CEC167"/>
    <w:rsid w:val="56D4D2AD"/>
    <w:rsid w:val="56EF4ACA"/>
    <w:rsid w:val="57032341"/>
    <w:rsid w:val="57052580"/>
    <w:rsid w:val="5716BFF9"/>
    <w:rsid w:val="5719892E"/>
    <w:rsid w:val="5720708D"/>
    <w:rsid w:val="572328E2"/>
    <w:rsid w:val="572AAD8C"/>
    <w:rsid w:val="5731F205"/>
    <w:rsid w:val="573695C3"/>
    <w:rsid w:val="573D1DD4"/>
    <w:rsid w:val="573EF3A2"/>
    <w:rsid w:val="5754DAC2"/>
    <w:rsid w:val="5754E7F7"/>
    <w:rsid w:val="576642A2"/>
    <w:rsid w:val="5769BB15"/>
    <w:rsid w:val="576E9227"/>
    <w:rsid w:val="5775DA48"/>
    <w:rsid w:val="578E8974"/>
    <w:rsid w:val="57984CC2"/>
    <w:rsid w:val="579C16E4"/>
    <w:rsid w:val="57A47A5D"/>
    <w:rsid w:val="57A53D98"/>
    <w:rsid w:val="57ABADFF"/>
    <w:rsid w:val="57ADA07B"/>
    <w:rsid w:val="57B67BCA"/>
    <w:rsid w:val="57BAAF9C"/>
    <w:rsid w:val="57C521E8"/>
    <w:rsid w:val="57CE3555"/>
    <w:rsid w:val="57E826BB"/>
    <w:rsid w:val="57F0CBB4"/>
    <w:rsid w:val="57F169E2"/>
    <w:rsid w:val="57F6D22C"/>
    <w:rsid w:val="57F8FFD0"/>
    <w:rsid w:val="58015351"/>
    <w:rsid w:val="5805CBC6"/>
    <w:rsid w:val="580EB096"/>
    <w:rsid w:val="58133FC8"/>
    <w:rsid w:val="581D1F72"/>
    <w:rsid w:val="5823D366"/>
    <w:rsid w:val="5825ECEA"/>
    <w:rsid w:val="582A61D0"/>
    <w:rsid w:val="582FB1F7"/>
    <w:rsid w:val="58300F24"/>
    <w:rsid w:val="583119BF"/>
    <w:rsid w:val="58399B1F"/>
    <w:rsid w:val="5839DAE1"/>
    <w:rsid w:val="58462DF5"/>
    <w:rsid w:val="58474BB5"/>
    <w:rsid w:val="5857CB1B"/>
    <w:rsid w:val="58596C1D"/>
    <w:rsid w:val="585BA1C1"/>
    <w:rsid w:val="585BC9D9"/>
    <w:rsid w:val="585F95C7"/>
    <w:rsid w:val="5863C80A"/>
    <w:rsid w:val="586727FB"/>
    <w:rsid w:val="5867AFA6"/>
    <w:rsid w:val="587B0373"/>
    <w:rsid w:val="588635E3"/>
    <w:rsid w:val="588C5626"/>
    <w:rsid w:val="588C6C27"/>
    <w:rsid w:val="58B2075B"/>
    <w:rsid w:val="58BA32DA"/>
    <w:rsid w:val="58BF6C87"/>
    <w:rsid w:val="58C278B2"/>
    <w:rsid w:val="58C473E7"/>
    <w:rsid w:val="58DBE28F"/>
    <w:rsid w:val="58DCAC70"/>
    <w:rsid w:val="58DE5B4E"/>
    <w:rsid w:val="58E80649"/>
    <w:rsid w:val="58F6D906"/>
    <w:rsid w:val="58FF6EC2"/>
    <w:rsid w:val="5903370E"/>
    <w:rsid w:val="590C7446"/>
    <w:rsid w:val="591115AC"/>
    <w:rsid w:val="5917A3C1"/>
    <w:rsid w:val="592E3A18"/>
    <w:rsid w:val="5931C78C"/>
    <w:rsid w:val="593CB4A2"/>
    <w:rsid w:val="593D122D"/>
    <w:rsid w:val="5946D0A1"/>
    <w:rsid w:val="59578C70"/>
    <w:rsid w:val="595C11E1"/>
    <w:rsid w:val="59677725"/>
    <w:rsid w:val="5973CB4A"/>
    <w:rsid w:val="5976DFA7"/>
    <w:rsid w:val="597BABD0"/>
    <w:rsid w:val="5980ABCF"/>
    <w:rsid w:val="5988BF38"/>
    <w:rsid w:val="599313F7"/>
    <w:rsid w:val="599C164F"/>
    <w:rsid w:val="59AACF0E"/>
    <w:rsid w:val="59B043FB"/>
    <w:rsid w:val="59E9F715"/>
    <w:rsid w:val="59EE150C"/>
    <w:rsid w:val="59F25BB0"/>
    <w:rsid w:val="59FC4411"/>
    <w:rsid w:val="59FEA5D2"/>
    <w:rsid w:val="5A00B14D"/>
    <w:rsid w:val="5A09B540"/>
    <w:rsid w:val="5A0B41A5"/>
    <w:rsid w:val="5A12A061"/>
    <w:rsid w:val="5A172256"/>
    <w:rsid w:val="5A1E1845"/>
    <w:rsid w:val="5A2DBC4D"/>
    <w:rsid w:val="5A40F064"/>
    <w:rsid w:val="5A6FB3DA"/>
    <w:rsid w:val="5A75E458"/>
    <w:rsid w:val="5A7DCA6C"/>
    <w:rsid w:val="5A8829EA"/>
    <w:rsid w:val="5A9844ED"/>
    <w:rsid w:val="5A99F7E4"/>
    <w:rsid w:val="5A9C89D8"/>
    <w:rsid w:val="5A9FFB19"/>
    <w:rsid w:val="5AABA11E"/>
    <w:rsid w:val="5AACA5DA"/>
    <w:rsid w:val="5AB68644"/>
    <w:rsid w:val="5AC64254"/>
    <w:rsid w:val="5ACB06BB"/>
    <w:rsid w:val="5ACEB6B2"/>
    <w:rsid w:val="5AD47640"/>
    <w:rsid w:val="5ADBB4C1"/>
    <w:rsid w:val="5AE429E5"/>
    <w:rsid w:val="5AECF8F1"/>
    <w:rsid w:val="5AEF1EDB"/>
    <w:rsid w:val="5AF1688B"/>
    <w:rsid w:val="5AF54F3F"/>
    <w:rsid w:val="5AF7E219"/>
    <w:rsid w:val="5AFA4A43"/>
    <w:rsid w:val="5AFC1010"/>
    <w:rsid w:val="5AFCFE67"/>
    <w:rsid w:val="5B10F4F2"/>
    <w:rsid w:val="5B12FEE6"/>
    <w:rsid w:val="5B1677B9"/>
    <w:rsid w:val="5B24E90A"/>
    <w:rsid w:val="5B26F557"/>
    <w:rsid w:val="5B284389"/>
    <w:rsid w:val="5B2CD713"/>
    <w:rsid w:val="5B317837"/>
    <w:rsid w:val="5B36DCD0"/>
    <w:rsid w:val="5B3FF769"/>
    <w:rsid w:val="5B5300ED"/>
    <w:rsid w:val="5B64FDAD"/>
    <w:rsid w:val="5B6B95E9"/>
    <w:rsid w:val="5B70B785"/>
    <w:rsid w:val="5B7E2D8A"/>
    <w:rsid w:val="5B81A21B"/>
    <w:rsid w:val="5B82EB42"/>
    <w:rsid w:val="5B876DC1"/>
    <w:rsid w:val="5B8B0B3A"/>
    <w:rsid w:val="5B8FE833"/>
    <w:rsid w:val="5B9043B3"/>
    <w:rsid w:val="5B90D317"/>
    <w:rsid w:val="5B9A955C"/>
    <w:rsid w:val="5BABAE60"/>
    <w:rsid w:val="5BBEBE5E"/>
    <w:rsid w:val="5BBFB21F"/>
    <w:rsid w:val="5BC025D1"/>
    <w:rsid w:val="5BC35345"/>
    <w:rsid w:val="5BC6790A"/>
    <w:rsid w:val="5BD09133"/>
    <w:rsid w:val="5BD86148"/>
    <w:rsid w:val="5BD87F6C"/>
    <w:rsid w:val="5BD8B12A"/>
    <w:rsid w:val="5BD8E08C"/>
    <w:rsid w:val="5BEB0387"/>
    <w:rsid w:val="5BFCD605"/>
    <w:rsid w:val="5BFF92EC"/>
    <w:rsid w:val="5C0BACF4"/>
    <w:rsid w:val="5C0E8BAB"/>
    <w:rsid w:val="5C103F4F"/>
    <w:rsid w:val="5C1103ED"/>
    <w:rsid w:val="5C140DC2"/>
    <w:rsid w:val="5C172E28"/>
    <w:rsid w:val="5C1FA1D2"/>
    <w:rsid w:val="5C2AAF94"/>
    <w:rsid w:val="5C2F4D10"/>
    <w:rsid w:val="5C3FBEF1"/>
    <w:rsid w:val="5C45778A"/>
    <w:rsid w:val="5C49FD84"/>
    <w:rsid w:val="5C4C5A92"/>
    <w:rsid w:val="5C5E8D59"/>
    <w:rsid w:val="5C6C066D"/>
    <w:rsid w:val="5C710715"/>
    <w:rsid w:val="5C8215C1"/>
    <w:rsid w:val="5C8A4F0B"/>
    <w:rsid w:val="5C921ABA"/>
    <w:rsid w:val="5C93673C"/>
    <w:rsid w:val="5C984914"/>
    <w:rsid w:val="5CA5D790"/>
    <w:rsid w:val="5CB753FC"/>
    <w:rsid w:val="5CB76AE2"/>
    <w:rsid w:val="5CB80F10"/>
    <w:rsid w:val="5CCB13E1"/>
    <w:rsid w:val="5CCBBC60"/>
    <w:rsid w:val="5CCD2264"/>
    <w:rsid w:val="5CD53703"/>
    <w:rsid w:val="5CD7682C"/>
    <w:rsid w:val="5CD7FABD"/>
    <w:rsid w:val="5CDC7FB8"/>
    <w:rsid w:val="5CE7E4C5"/>
    <w:rsid w:val="5CF0E9E0"/>
    <w:rsid w:val="5CF388F7"/>
    <w:rsid w:val="5D06F23D"/>
    <w:rsid w:val="5D2D7299"/>
    <w:rsid w:val="5D2FE3F3"/>
    <w:rsid w:val="5D328137"/>
    <w:rsid w:val="5D35E6D0"/>
    <w:rsid w:val="5D3E3436"/>
    <w:rsid w:val="5D4D25D4"/>
    <w:rsid w:val="5D55AC10"/>
    <w:rsid w:val="5D57C4BC"/>
    <w:rsid w:val="5D5A5888"/>
    <w:rsid w:val="5D5AD1D6"/>
    <w:rsid w:val="5D5D2960"/>
    <w:rsid w:val="5D772AF0"/>
    <w:rsid w:val="5D7F3596"/>
    <w:rsid w:val="5D857C80"/>
    <w:rsid w:val="5D925359"/>
    <w:rsid w:val="5DA1BC8A"/>
    <w:rsid w:val="5DA555B0"/>
    <w:rsid w:val="5DA57B77"/>
    <w:rsid w:val="5DBAF0D6"/>
    <w:rsid w:val="5DBE2B45"/>
    <w:rsid w:val="5DCB69A2"/>
    <w:rsid w:val="5DD0146C"/>
    <w:rsid w:val="5DD8632F"/>
    <w:rsid w:val="5DDCF58C"/>
    <w:rsid w:val="5DE40FEA"/>
    <w:rsid w:val="5DE85A67"/>
    <w:rsid w:val="5DE94454"/>
    <w:rsid w:val="5DF4DAAE"/>
    <w:rsid w:val="5DF91DFB"/>
    <w:rsid w:val="5DFEE3BB"/>
    <w:rsid w:val="5DFF81F2"/>
    <w:rsid w:val="5E01322C"/>
    <w:rsid w:val="5E019ADB"/>
    <w:rsid w:val="5E0B5863"/>
    <w:rsid w:val="5E12E5E5"/>
    <w:rsid w:val="5E15DF94"/>
    <w:rsid w:val="5E24D819"/>
    <w:rsid w:val="5E2A6111"/>
    <w:rsid w:val="5E2E0ED7"/>
    <w:rsid w:val="5E3605C6"/>
    <w:rsid w:val="5E51E8E3"/>
    <w:rsid w:val="5E5D7D07"/>
    <w:rsid w:val="5E69C9D1"/>
    <w:rsid w:val="5E734C5F"/>
    <w:rsid w:val="5E887B64"/>
    <w:rsid w:val="5E912A7E"/>
    <w:rsid w:val="5E91F4C0"/>
    <w:rsid w:val="5EAA79DC"/>
    <w:rsid w:val="5EB161AE"/>
    <w:rsid w:val="5EB747E3"/>
    <w:rsid w:val="5EBE65CF"/>
    <w:rsid w:val="5EC362DE"/>
    <w:rsid w:val="5EC549CC"/>
    <w:rsid w:val="5EC62D07"/>
    <w:rsid w:val="5ECAF8DF"/>
    <w:rsid w:val="5ED7427D"/>
    <w:rsid w:val="5EE6221C"/>
    <w:rsid w:val="5EE703EC"/>
    <w:rsid w:val="5EED448C"/>
    <w:rsid w:val="5EF46169"/>
    <w:rsid w:val="5EF5F419"/>
    <w:rsid w:val="5EFF2166"/>
    <w:rsid w:val="5F0073AB"/>
    <w:rsid w:val="5F02DF99"/>
    <w:rsid w:val="5F070BDC"/>
    <w:rsid w:val="5F18C4F4"/>
    <w:rsid w:val="5F1DCE35"/>
    <w:rsid w:val="5F33B532"/>
    <w:rsid w:val="5F352204"/>
    <w:rsid w:val="5F475D0A"/>
    <w:rsid w:val="5F482CD7"/>
    <w:rsid w:val="5F4A3962"/>
    <w:rsid w:val="5F550286"/>
    <w:rsid w:val="5F5616FA"/>
    <w:rsid w:val="5F638C5B"/>
    <w:rsid w:val="5F778099"/>
    <w:rsid w:val="5F793943"/>
    <w:rsid w:val="5F7DC9DE"/>
    <w:rsid w:val="5F83141D"/>
    <w:rsid w:val="5F860A35"/>
    <w:rsid w:val="5F986BE8"/>
    <w:rsid w:val="5F9933EE"/>
    <w:rsid w:val="5F9ED481"/>
    <w:rsid w:val="5FAEC5E2"/>
    <w:rsid w:val="5FBD59F9"/>
    <w:rsid w:val="5FBEBBB6"/>
    <w:rsid w:val="5FE758DE"/>
    <w:rsid w:val="5FEF9F48"/>
    <w:rsid w:val="5FF5A3AC"/>
    <w:rsid w:val="5FF5F6AB"/>
    <w:rsid w:val="60061BA3"/>
    <w:rsid w:val="60099E42"/>
    <w:rsid w:val="600DC3E7"/>
    <w:rsid w:val="60196F74"/>
    <w:rsid w:val="601EC6F6"/>
    <w:rsid w:val="6020AE09"/>
    <w:rsid w:val="6023B573"/>
    <w:rsid w:val="602AB979"/>
    <w:rsid w:val="602B2AE9"/>
    <w:rsid w:val="6031B614"/>
    <w:rsid w:val="6035FDDF"/>
    <w:rsid w:val="603B145B"/>
    <w:rsid w:val="60409EFD"/>
    <w:rsid w:val="60483C31"/>
    <w:rsid w:val="6050C7C9"/>
    <w:rsid w:val="6057DC64"/>
    <w:rsid w:val="60620E95"/>
    <w:rsid w:val="6069C965"/>
    <w:rsid w:val="607957E7"/>
    <w:rsid w:val="607D8B60"/>
    <w:rsid w:val="60978BD1"/>
    <w:rsid w:val="609BF002"/>
    <w:rsid w:val="60A287EB"/>
    <w:rsid w:val="60A31FAB"/>
    <w:rsid w:val="60AB8783"/>
    <w:rsid w:val="60BA2F82"/>
    <w:rsid w:val="60BD0381"/>
    <w:rsid w:val="60C1F67F"/>
    <w:rsid w:val="60D4BA46"/>
    <w:rsid w:val="60D6846C"/>
    <w:rsid w:val="60D82314"/>
    <w:rsid w:val="60F2458F"/>
    <w:rsid w:val="60FC5836"/>
    <w:rsid w:val="610E16C1"/>
    <w:rsid w:val="610E27B8"/>
    <w:rsid w:val="61161FFC"/>
    <w:rsid w:val="61191208"/>
    <w:rsid w:val="611B1879"/>
    <w:rsid w:val="611F399B"/>
    <w:rsid w:val="611F9C33"/>
    <w:rsid w:val="6132724B"/>
    <w:rsid w:val="61389F4A"/>
    <w:rsid w:val="61434EB2"/>
    <w:rsid w:val="614DD699"/>
    <w:rsid w:val="61651677"/>
    <w:rsid w:val="61700037"/>
    <w:rsid w:val="6177B592"/>
    <w:rsid w:val="617C09AD"/>
    <w:rsid w:val="61802FA8"/>
    <w:rsid w:val="618361E1"/>
    <w:rsid w:val="618D5B08"/>
    <w:rsid w:val="618F8E64"/>
    <w:rsid w:val="61980384"/>
    <w:rsid w:val="61A10C59"/>
    <w:rsid w:val="61B77FEF"/>
    <w:rsid w:val="61BE8540"/>
    <w:rsid w:val="61C2026F"/>
    <w:rsid w:val="61C983D5"/>
    <w:rsid w:val="61D6562A"/>
    <w:rsid w:val="61DBB575"/>
    <w:rsid w:val="61E3AFC1"/>
    <w:rsid w:val="61F9D688"/>
    <w:rsid w:val="61FD046B"/>
    <w:rsid w:val="6201979F"/>
    <w:rsid w:val="6201B681"/>
    <w:rsid w:val="62050EA9"/>
    <w:rsid w:val="622457D9"/>
    <w:rsid w:val="622B1BF9"/>
    <w:rsid w:val="6235A6BF"/>
    <w:rsid w:val="623841BC"/>
    <w:rsid w:val="62398CA4"/>
    <w:rsid w:val="624AD4C0"/>
    <w:rsid w:val="624B5F17"/>
    <w:rsid w:val="62603098"/>
    <w:rsid w:val="6262C79F"/>
    <w:rsid w:val="6270FD67"/>
    <w:rsid w:val="627B909F"/>
    <w:rsid w:val="627E7A7D"/>
    <w:rsid w:val="628267E5"/>
    <w:rsid w:val="6286EBDC"/>
    <w:rsid w:val="62A68A62"/>
    <w:rsid w:val="62AF2581"/>
    <w:rsid w:val="62BBD4EE"/>
    <w:rsid w:val="62D19BAD"/>
    <w:rsid w:val="62D2B570"/>
    <w:rsid w:val="62D45F11"/>
    <w:rsid w:val="62DB32A8"/>
    <w:rsid w:val="62E39CC0"/>
    <w:rsid w:val="62E4328A"/>
    <w:rsid w:val="62E4B388"/>
    <w:rsid w:val="63076DE8"/>
    <w:rsid w:val="631AAB0F"/>
    <w:rsid w:val="631C6950"/>
    <w:rsid w:val="631DD072"/>
    <w:rsid w:val="632991E0"/>
    <w:rsid w:val="632DA35C"/>
    <w:rsid w:val="633013A6"/>
    <w:rsid w:val="633BD6F1"/>
    <w:rsid w:val="633D7EDA"/>
    <w:rsid w:val="63462604"/>
    <w:rsid w:val="63492066"/>
    <w:rsid w:val="63583E89"/>
    <w:rsid w:val="635D8755"/>
    <w:rsid w:val="6362C1D4"/>
    <w:rsid w:val="636A0F0B"/>
    <w:rsid w:val="636EC798"/>
    <w:rsid w:val="637EFAEC"/>
    <w:rsid w:val="6380404D"/>
    <w:rsid w:val="638B96C4"/>
    <w:rsid w:val="63A25F31"/>
    <w:rsid w:val="63A82233"/>
    <w:rsid w:val="63CA214C"/>
    <w:rsid w:val="63D6EBCE"/>
    <w:rsid w:val="63D78ABE"/>
    <w:rsid w:val="63E871FC"/>
    <w:rsid w:val="63F4EC5D"/>
    <w:rsid w:val="6400153F"/>
    <w:rsid w:val="6400777D"/>
    <w:rsid w:val="64011B86"/>
    <w:rsid w:val="640261B0"/>
    <w:rsid w:val="642519DA"/>
    <w:rsid w:val="64294586"/>
    <w:rsid w:val="643059E2"/>
    <w:rsid w:val="6434209F"/>
    <w:rsid w:val="644AEA72"/>
    <w:rsid w:val="645FE72F"/>
    <w:rsid w:val="646E4539"/>
    <w:rsid w:val="647636BB"/>
    <w:rsid w:val="648A558A"/>
    <w:rsid w:val="648BCE90"/>
    <w:rsid w:val="648F12F1"/>
    <w:rsid w:val="649677FA"/>
    <w:rsid w:val="64A796B8"/>
    <w:rsid w:val="64C47CD7"/>
    <w:rsid w:val="64C8F123"/>
    <w:rsid w:val="64CB83A3"/>
    <w:rsid w:val="64E23F0C"/>
    <w:rsid w:val="64EEB1C9"/>
    <w:rsid w:val="64FF0209"/>
    <w:rsid w:val="65010F26"/>
    <w:rsid w:val="65066FD0"/>
    <w:rsid w:val="650D9E23"/>
    <w:rsid w:val="65166A1F"/>
    <w:rsid w:val="6517A236"/>
    <w:rsid w:val="65269F6D"/>
    <w:rsid w:val="65275E57"/>
    <w:rsid w:val="65292A67"/>
    <w:rsid w:val="652CD4F3"/>
    <w:rsid w:val="652E4A93"/>
    <w:rsid w:val="65324F71"/>
    <w:rsid w:val="6534A092"/>
    <w:rsid w:val="6537C3E1"/>
    <w:rsid w:val="653C49D6"/>
    <w:rsid w:val="655F0974"/>
    <w:rsid w:val="655FC082"/>
    <w:rsid w:val="656BFE11"/>
    <w:rsid w:val="657CA310"/>
    <w:rsid w:val="6589A32C"/>
    <w:rsid w:val="65931EFD"/>
    <w:rsid w:val="6593EF83"/>
    <w:rsid w:val="659DA482"/>
    <w:rsid w:val="65A66FFC"/>
    <w:rsid w:val="65A9B6D9"/>
    <w:rsid w:val="65B969FB"/>
    <w:rsid w:val="65BCA492"/>
    <w:rsid w:val="65CDE438"/>
    <w:rsid w:val="65D8D195"/>
    <w:rsid w:val="65E7E303"/>
    <w:rsid w:val="65E934AD"/>
    <w:rsid w:val="65F8418A"/>
    <w:rsid w:val="65F95DD1"/>
    <w:rsid w:val="6600AAF7"/>
    <w:rsid w:val="66137C41"/>
    <w:rsid w:val="661E1F6A"/>
    <w:rsid w:val="6626B094"/>
    <w:rsid w:val="662968DE"/>
    <w:rsid w:val="663122D3"/>
    <w:rsid w:val="663B01A7"/>
    <w:rsid w:val="6647F564"/>
    <w:rsid w:val="6648481A"/>
    <w:rsid w:val="6651A87C"/>
    <w:rsid w:val="6657DEFD"/>
    <w:rsid w:val="665CB240"/>
    <w:rsid w:val="666C1E1B"/>
    <w:rsid w:val="66747BAB"/>
    <w:rsid w:val="667909FF"/>
    <w:rsid w:val="6687BC78"/>
    <w:rsid w:val="668DF80E"/>
    <w:rsid w:val="6698D63C"/>
    <w:rsid w:val="66C69274"/>
    <w:rsid w:val="66F022E7"/>
    <w:rsid w:val="66F63A0B"/>
    <w:rsid w:val="671BC17C"/>
    <w:rsid w:val="672279FA"/>
    <w:rsid w:val="67295F25"/>
    <w:rsid w:val="672B09A9"/>
    <w:rsid w:val="67304C29"/>
    <w:rsid w:val="6753D1C4"/>
    <w:rsid w:val="6753D852"/>
    <w:rsid w:val="6760FCC3"/>
    <w:rsid w:val="67637AA6"/>
    <w:rsid w:val="6763A028"/>
    <w:rsid w:val="676B5AA8"/>
    <w:rsid w:val="6771E944"/>
    <w:rsid w:val="67726903"/>
    <w:rsid w:val="677DEB72"/>
    <w:rsid w:val="677F5719"/>
    <w:rsid w:val="67809A8A"/>
    <w:rsid w:val="67837EA2"/>
    <w:rsid w:val="6786D65C"/>
    <w:rsid w:val="6789AF08"/>
    <w:rsid w:val="679FABA4"/>
    <w:rsid w:val="67AF7C56"/>
    <w:rsid w:val="67B8EEC1"/>
    <w:rsid w:val="67C38293"/>
    <w:rsid w:val="67C3919B"/>
    <w:rsid w:val="67C9368A"/>
    <w:rsid w:val="67D704C2"/>
    <w:rsid w:val="67E909E9"/>
    <w:rsid w:val="67F1E66A"/>
    <w:rsid w:val="67F31026"/>
    <w:rsid w:val="67F37593"/>
    <w:rsid w:val="67FBB01B"/>
    <w:rsid w:val="680DE125"/>
    <w:rsid w:val="6815AFEE"/>
    <w:rsid w:val="681B3D14"/>
    <w:rsid w:val="6820D3E1"/>
    <w:rsid w:val="6830686A"/>
    <w:rsid w:val="683FD1F7"/>
    <w:rsid w:val="68506A30"/>
    <w:rsid w:val="68515A0D"/>
    <w:rsid w:val="6855EA3D"/>
    <w:rsid w:val="6878DD59"/>
    <w:rsid w:val="688385FD"/>
    <w:rsid w:val="68858AF9"/>
    <w:rsid w:val="6885AF55"/>
    <w:rsid w:val="688891F6"/>
    <w:rsid w:val="688E3710"/>
    <w:rsid w:val="6891F8A6"/>
    <w:rsid w:val="6893C9AD"/>
    <w:rsid w:val="68B93408"/>
    <w:rsid w:val="68C0D635"/>
    <w:rsid w:val="68D2F9B9"/>
    <w:rsid w:val="68D6D784"/>
    <w:rsid w:val="68D70EDC"/>
    <w:rsid w:val="68E0807B"/>
    <w:rsid w:val="68E356BA"/>
    <w:rsid w:val="68F42104"/>
    <w:rsid w:val="68F7C5BE"/>
    <w:rsid w:val="69024C2E"/>
    <w:rsid w:val="69049D31"/>
    <w:rsid w:val="690CC41F"/>
    <w:rsid w:val="69249420"/>
    <w:rsid w:val="6928262E"/>
    <w:rsid w:val="6930A048"/>
    <w:rsid w:val="693508EE"/>
    <w:rsid w:val="6945B7E4"/>
    <w:rsid w:val="6950FA1A"/>
    <w:rsid w:val="6955A46D"/>
    <w:rsid w:val="695606C3"/>
    <w:rsid w:val="6958E0EE"/>
    <w:rsid w:val="695EF4A3"/>
    <w:rsid w:val="6965EDB6"/>
    <w:rsid w:val="696D8BE7"/>
    <w:rsid w:val="696DF98E"/>
    <w:rsid w:val="69790E93"/>
    <w:rsid w:val="697C2661"/>
    <w:rsid w:val="698110B3"/>
    <w:rsid w:val="69AB5225"/>
    <w:rsid w:val="69AD78B7"/>
    <w:rsid w:val="69B185B0"/>
    <w:rsid w:val="69C76B5B"/>
    <w:rsid w:val="69DA3E78"/>
    <w:rsid w:val="69DE1B44"/>
    <w:rsid w:val="69E38D20"/>
    <w:rsid w:val="69F281DB"/>
    <w:rsid w:val="69F3BC8E"/>
    <w:rsid w:val="6A0380C9"/>
    <w:rsid w:val="6A0D4E28"/>
    <w:rsid w:val="6A103EB0"/>
    <w:rsid w:val="6A2064BD"/>
    <w:rsid w:val="6A21FE65"/>
    <w:rsid w:val="6A323555"/>
    <w:rsid w:val="6A4A5A58"/>
    <w:rsid w:val="6A70EC23"/>
    <w:rsid w:val="6A72FFB6"/>
    <w:rsid w:val="6A94F612"/>
    <w:rsid w:val="6AA197D7"/>
    <w:rsid w:val="6ABD2581"/>
    <w:rsid w:val="6AC3B936"/>
    <w:rsid w:val="6AD9CD04"/>
    <w:rsid w:val="6AE8D134"/>
    <w:rsid w:val="6AF09BDA"/>
    <w:rsid w:val="6AF75558"/>
    <w:rsid w:val="6AF8BB1B"/>
    <w:rsid w:val="6B07B6FF"/>
    <w:rsid w:val="6B0D83D8"/>
    <w:rsid w:val="6B0DE271"/>
    <w:rsid w:val="6B13C12B"/>
    <w:rsid w:val="6B1B2C30"/>
    <w:rsid w:val="6B1F18FC"/>
    <w:rsid w:val="6B202E1B"/>
    <w:rsid w:val="6B29B889"/>
    <w:rsid w:val="6B2BE3F5"/>
    <w:rsid w:val="6B334373"/>
    <w:rsid w:val="6B35291B"/>
    <w:rsid w:val="6B38C228"/>
    <w:rsid w:val="6B3AB3BE"/>
    <w:rsid w:val="6B3D693C"/>
    <w:rsid w:val="6B485127"/>
    <w:rsid w:val="6B4D1EF6"/>
    <w:rsid w:val="6B55FC08"/>
    <w:rsid w:val="6B5AEE90"/>
    <w:rsid w:val="6B6E5F69"/>
    <w:rsid w:val="6B7210F5"/>
    <w:rsid w:val="6B8519BB"/>
    <w:rsid w:val="6B854D92"/>
    <w:rsid w:val="6B8F01D5"/>
    <w:rsid w:val="6B9276C3"/>
    <w:rsid w:val="6BA0DF5C"/>
    <w:rsid w:val="6BAD627C"/>
    <w:rsid w:val="6BBB7CBB"/>
    <w:rsid w:val="6BBCDAC1"/>
    <w:rsid w:val="6BBE01F2"/>
    <w:rsid w:val="6BC03D59"/>
    <w:rsid w:val="6BC0C0CB"/>
    <w:rsid w:val="6BC5AD24"/>
    <w:rsid w:val="6BCB254E"/>
    <w:rsid w:val="6BCFAA05"/>
    <w:rsid w:val="6BD93BC6"/>
    <w:rsid w:val="6BE59112"/>
    <w:rsid w:val="6BEDC570"/>
    <w:rsid w:val="6BF4562B"/>
    <w:rsid w:val="6BF58D5B"/>
    <w:rsid w:val="6BFB9B88"/>
    <w:rsid w:val="6BFBD480"/>
    <w:rsid w:val="6C113DFD"/>
    <w:rsid w:val="6C16C2AD"/>
    <w:rsid w:val="6C1BDF2F"/>
    <w:rsid w:val="6C3652F2"/>
    <w:rsid w:val="6C4586D6"/>
    <w:rsid w:val="6C465FA6"/>
    <w:rsid w:val="6C47C9BF"/>
    <w:rsid w:val="6C56CB91"/>
    <w:rsid w:val="6C63253F"/>
    <w:rsid w:val="6C641DBE"/>
    <w:rsid w:val="6C67AC39"/>
    <w:rsid w:val="6C7EDABC"/>
    <w:rsid w:val="6C8E16B6"/>
    <w:rsid w:val="6C925B97"/>
    <w:rsid w:val="6C9542B5"/>
    <w:rsid w:val="6C993C59"/>
    <w:rsid w:val="6CA0CB52"/>
    <w:rsid w:val="6CA392E2"/>
    <w:rsid w:val="6CA5B7EE"/>
    <w:rsid w:val="6CB0A921"/>
    <w:rsid w:val="6CB1C052"/>
    <w:rsid w:val="6CB532F6"/>
    <w:rsid w:val="6CBC08FD"/>
    <w:rsid w:val="6CD8426E"/>
    <w:rsid w:val="6CDB75C8"/>
    <w:rsid w:val="6CE48B50"/>
    <w:rsid w:val="6CEA72AE"/>
    <w:rsid w:val="6CED9024"/>
    <w:rsid w:val="6CF4C1D3"/>
    <w:rsid w:val="6CF94BE7"/>
    <w:rsid w:val="6D02D5AB"/>
    <w:rsid w:val="6D0A109E"/>
    <w:rsid w:val="6D16ADC6"/>
    <w:rsid w:val="6D373D3E"/>
    <w:rsid w:val="6D394364"/>
    <w:rsid w:val="6D39B2D2"/>
    <w:rsid w:val="6D3D265E"/>
    <w:rsid w:val="6D45012A"/>
    <w:rsid w:val="6D55BCCA"/>
    <w:rsid w:val="6D610408"/>
    <w:rsid w:val="6D736C27"/>
    <w:rsid w:val="6D754B5A"/>
    <w:rsid w:val="6D75CB12"/>
    <w:rsid w:val="6D81A4D0"/>
    <w:rsid w:val="6D83897E"/>
    <w:rsid w:val="6D8566BA"/>
    <w:rsid w:val="6D85E7F6"/>
    <w:rsid w:val="6D878A5F"/>
    <w:rsid w:val="6D8AD854"/>
    <w:rsid w:val="6D8CB2EC"/>
    <w:rsid w:val="6DB1A907"/>
    <w:rsid w:val="6DB554B1"/>
    <w:rsid w:val="6DBE5063"/>
    <w:rsid w:val="6DC0EDA1"/>
    <w:rsid w:val="6DC64A64"/>
    <w:rsid w:val="6DCE82BE"/>
    <w:rsid w:val="6DD0AEFF"/>
    <w:rsid w:val="6DD6D801"/>
    <w:rsid w:val="6DD89E87"/>
    <w:rsid w:val="6DD8EE41"/>
    <w:rsid w:val="6DDD8DA1"/>
    <w:rsid w:val="6DF80A13"/>
    <w:rsid w:val="6DF81D1F"/>
    <w:rsid w:val="6DF8A408"/>
    <w:rsid w:val="6E13C37B"/>
    <w:rsid w:val="6E2B746C"/>
    <w:rsid w:val="6E2ED9B3"/>
    <w:rsid w:val="6E31A085"/>
    <w:rsid w:val="6E32DF55"/>
    <w:rsid w:val="6E367429"/>
    <w:rsid w:val="6E3A8DD8"/>
    <w:rsid w:val="6E47C6B0"/>
    <w:rsid w:val="6E54BCED"/>
    <w:rsid w:val="6E593CB2"/>
    <w:rsid w:val="6E5A4E62"/>
    <w:rsid w:val="6E7AAA90"/>
    <w:rsid w:val="6E855160"/>
    <w:rsid w:val="6E85EFBD"/>
    <w:rsid w:val="6E8F268C"/>
    <w:rsid w:val="6E93A214"/>
    <w:rsid w:val="6E9AE0B2"/>
    <w:rsid w:val="6E9C820F"/>
    <w:rsid w:val="6EA21673"/>
    <w:rsid w:val="6EA2AF10"/>
    <w:rsid w:val="6EA31AA4"/>
    <w:rsid w:val="6EADB031"/>
    <w:rsid w:val="6EC2A65C"/>
    <w:rsid w:val="6EC482F9"/>
    <w:rsid w:val="6EC4F208"/>
    <w:rsid w:val="6ECDC8B8"/>
    <w:rsid w:val="6ECFE3BF"/>
    <w:rsid w:val="6EDC4AD9"/>
    <w:rsid w:val="6EFF486F"/>
    <w:rsid w:val="6F0408E9"/>
    <w:rsid w:val="6F09D700"/>
    <w:rsid w:val="6F1069AB"/>
    <w:rsid w:val="6F15E60B"/>
    <w:rsid w:val="6F21FCCB"/>
    <w:rsid w:val="6F324119"/>
    <w:rsid w:val="6F3302DC"/>
    <w:rsid w:val="6F352A74"/>
    <w:rsid w:val="6F3B18DF"/>
    <w:rsid w:val="6F41247D"/>
    <w:rsid w:val="6F4426D9"/>
    <w:rsid w:val="6F476875"/>
    <w:rsid w:val="6F49DE12"/>
    <w:rsid w:val="6F4CBF29"/>
    <w:rsid w:val="6F5067D2"/>
    <w:rsid w:val="6F54B4BB"/>
    <w:rsid w:val="6F61DAB3"/>
    <w:rsid w:val="6F71CA19"/>
    <w:rsid w:val="6F7D9DCC"/>
    <w:rsid w:val="6F8911B4"/>
    <w:rsid w:val="6F937E08"/>
    <w:rsid w:val="6F974083"/>
    <w:rsid w:val="6FA9BDFD"/>
    <w:rsid w:val="6FA9EEC5"/>
    <w:rsid w:val="6FA9FA28"/>
    <w:rsid w:val="6FAEFFBE"/>
    <w:rsid w:val="6FD7930B"/>
    <w:rsid w:val="6FE3EDB2"/>
    <w:rsid w:val="6FE6695B"/>
    <w:rsid w:val="6FEF46B0"/>
    <w:rsid w:val="6FF48EF7"/>
    <w:rsid w:val="70081628"/>
    <w:rsid w:val="7015E587"/>
    <w:rsid w:val="701A3ECF"/>
    <w:rsid w:val="701B3715"/>
    <w:rsid w:val="70224ABD"/>
    <w:rsid w:val="70272132"/>
    <w:rsid w:val="7028D195"/>
    <w:rsid w:val="70316BE3"/>
    <w:rsid w:val="704EC707"/>
    <w:rsid w:val="705E5089"/>
    <w:rsid w:val="70630AD5"/>
    <w:rsid w:val="70685B94"/>
    <w:rsid w:val="706D81F1"/>
    <w:rsid w:val="707DEA6F"/>
    <w:rsid w:val="707E529B"/>
    <w:rsid w:val="708285F5"/>
    <w:rsid w:val="70866B89"/>
    <w:rsid w:val="7086B268"/>
    <w:rsid w:val="7087638A"/>
    <w:rsid w:val="708DD155"/>
    <w:rsid w:val="7092B5CB"/>
    <w:rsid w:val="70941000"/>
    <w:rsid w:val="7095F2B5"/>
    <w:rsid w:val="709A37DE"/>
    <w:rsid w:val="70A92AB6"/>
    <w:rsid w:val="70ABC746"/>
    <w:rsid w:val="70B83BDC"/>
    <w:rsid w:val="70B98561"/>
    <w:rsid w:val="70BD9159"/>
    <w:rsid w:val="70BE4E27"/>
    <w:rsid w:val="70C418C6"/>
    <w:rsid w:val="70C4875B"/>
    <w:rsid w:val="70C662CC"/>
    <w:rsid w:val="71007189"/>
    <w:rsid w:val="711B915D"/>
    <w:rsid w:val="7131BCC3"/>
    <w:rsid w:val="7131C9CB"/>
    <w:rsid w:val="7135E46E"/>
    <w:rsid w:val="713A5B82"/>
    <w:rsid w:val="713D9670"/>
    <w:rsid w:val="714EBF3C"/>
    <w:rsid w:val="715A0EE4"/>
    <w:rsid w:val="716BAA12"/>
    <w:rsid w:val="7173CC1A"/>
    <w:rsid w:val="71770F0D"/>
    <w:rsid w:val="71770F75"/>
    <w:rsid w:val="718117DF"/>
    <w:rsid w:val="718F4A60"/>
    <w:rsid w:val="7195DBA5"/>
    <w:rsid w:val="719797E3"/>
    <w:rsid w:val="71A182CD"/>
    <w:rsid w:val="71B089D3"/>
    <w:rsid w:val="71B0D931"/>
    <w:rsid w:val="71D708AA"/>
    <w:rsid w:val="71D7CE00"/>
    <w:rsid w:val="71F82617"/>
    <w:rsid w:val="71FAD18D"/>
    <w:rsid w:val="71FEAAEA"/>
    <w:rsid w:val="71FF3AE3"/>
    <w:rsid w:val="7200EB88"/>
    <w:rsid w:val="7206AAB5"/>
    <w:rsid w:val="720761DC"/>
    <w:rsid w:val="7209DA4D"/>
    <w:rsid w:val="720F199F"/>
    <w:rsid w:val="720F9263"/>
    <w:rsid w:val="7216B5C4"/>
    <w:rsid w:val="7218E881"/>
    <w:rsid w:val="72206257"/>
    <w:rsid w:val="722FC74A"/>
    <w:rsid w:val="724557AF"/>
    <w:rsid w:val="72547FD2"/>
    <w:rsid w:val="725FAE3A"/>
    <w:rsid w:val="72602479"/>
    <w:rsid w:val="72603DD9"/>
    <w:rsid w:val="72611A7B"/>
    <w:rsid w:val="7264AFA6"/>
    <w:rsid w:val="727A522F"/>
    <w:rsid w:val="727EE081"/>
    <w:rsid w:val="729282FE"/>
    <w:rsid w:val="7293E504"/>
    <w:rsid w:val="7299D3CD"/>
    <w:rsid w:val="729C212F"/>
    <w:rsid w:val="729D435B"/>
    <w:rsid w:val="729DFB68"/>
    <w:rsid w:val="729F400C"/>
    <w:rsid w:val="72B0F49C"/>
    <w:rsid w:val="72B3500B"/>
    <w:rsid w:val="72B9CAB3"/>
    <w:rsid w:val="72C89AFC"/>
    <w:rsid w:val="72D427FB"/>
    <w:rsid w:val="72DEA2B2"/>
    <w:rsid w:val="72E9C9D8"/>
    <w:rsid w:val="72F17A31"/>
    <w:rsid w:val="72F2BF12"/>
    <w:rsid w:val="72F883B7"/>
    <w:rsid w:val="7300E2BC"/>
    <w:rsid w:val="73026B5E"/>
    <w:rsid w:val="7305760B"/>
    <w:rsid w:val="7316A025"/>
    <w:rsid w:val="73180385"/>
    <w:rsid w:val="732F0754"/>
    <w:rsid w:val="733007B5"/>
    <w:rsid w:val="73348AB9"/>
    <w:rsid w:val="734019C3"/>
    <w:rsid w:val="73435F93"/>
    <w:rsid w:val="7353F085"/>
    <w:rsid w:val="7354CB1E"/>
    <w:rsid w:val="7357EC31"/>
    <w:rsid w:val="735F57F5"/>
    <w:rsid w:val="737C1306"/>
    <w:rsid w:val="737D5D41"/>
    <w:rsid w:val="737D9F12"/>
    <w:rsid w:val="737F458F"/>
    <w:rsid w:val="73852EF2"/>
    <w:rsid w:val="738A87EB"/>
    <w:rsid w:val="738AE7B6"/>
    <w:rsid w:val="738D5B38"/>
    <w:rsid w:val="73915A04"/>
    <w:rsid w:val="739A78E3"/>
    <w:rsid w:val="73BADC0F"/>
    <w:rsid w:val="73BE281A"/>
    <w:rsid w:val="73C56109"/>
    <w:rsid w:val="73C919E2"/>
    <w:rsid w:val="73DA59E3"/>
    <w:rsid w:val="73F37670"/>
    <w:rsid w:val="73F75F15"/>
    <w:rsid w:val="73F8BDF9"/>
    <w:rsid w:val="740199A2"/>
    <w:rsid w:val="7403D754"/>
    <w:rsid w:val="7409B74A"/>
    <w:rsid w:val="7409DCBB"/>
    <w:rsid w:val="740B189B"/>
    <w:rsid w:val="74112CBF"/>
    <w:rsid w:val="741286C0"/>
    <w:rsid w:val="7413391A"/>
    <w:rsid w:val="742093BC"/>
    <w:rsid w:val="7440B363"/>
    <w:rsid w:val="74468B56"/>
    <w:rsid w:val="744A8C53"/>
    <w:rsid w:val="746101BD"/>
    <w:rsid w:val="7463FC42"/>
    <w:rsid w:val="74688FBA"/>
    <w:rsid w:val="746930AF"/>
    <w:rsid w:val="746C831D"/>
    <w:rsid w:val="746DF6FE"/>
    <w:rsid w:val="7473B67E"/>
    <w:rsid w:val="74772B21"/>
    <w:rsid w:val="747C6903"/>
    <w:rsid w:val="748CBB1D"/>
    <w:rsid w:val="748F4066"/>
    <w:rsid w:val="74A10E3F"/>
    <w:rsid w:val="74AD91E2"/>
    <w:rsid w:val="74B73EBA"/>
    <w:rsid w:val="74B9A215"/>
    <w:rsid w:val="74CD573F"/>
    <w:rsid w:val="74D476D1"/>
    <w:rsid w:val="74DB4347"/>
    <w:rsid w:val="74E011C9"/>
    <w:rsid w:val="74E9AC9D"/>
    <w:rsid w:val="74FACA56"/>
    <w:rsid w:val="75013E8F"/>
    <w:rsid w:val="750D7E1D"/>
    <w:rsid w:val="75100AAC"/>
    <w:rsid w:val="751417F9"/>
    <w:rsid w:val="751B7D88"/>
    <w:rsid w:val="75200B20"/>
    <w:rsid w:val="75260943"/>
    <w:rsid w:val="75431417"/>
    <w:rsid w:val="75495D5B"/>
    <w:rsid w:val="755C4585"/>
    <w:rsid w:val="7564AAC4"/>
    <w:rsid w:val="7574955C"/>
    <w:rsid w:val="757691D8"/>
    <w:rsid w:val="75822FB0"/>
    <w:rsid w:val="75827F94"/>
    <w:rsid w:val="75872FFC"/>
    <w:rsid w:val="758A827D"/>
    <w:rsid w:val="759942B0"/>
    <w:rsid w:val="75A2DFB0"/>
    <w:rsid w:val="75A48C5C"/>
    <w:rsid w:val="75BC6390"/>
    <w:rsid w:val="75C797C4"/>
    <w:rsid w:val="75C85747"/>
    <w:rsid w:val="75C914A9"/>
    <w:rsid w:val="75CD1D36"/>
    <w:rsid w:val="75DFD310"/>
    <w:rsid w:val="75E1D709"/>
    <w:rsid w:val="75F82B3F"/>
    <w:rsid w:val="7606318B"/>
    <w:rsid w:val="76111143"/>
    <w:rsid w:val="76124D8F"/>
    <w:rsid w:val="76191755"/>
    <w:rsid w:val="7624C212"/>
    <w:rsid w:val="76332F6C"/>
    <w:rsid w:val="76470401"/>
    <w:rsid w:val="76579D5E"/>
    <w:rsid w:val="76598960"/>
    <w:rsid w:val="76919858"/>
    <w:rsid w:val="7697EB9A"/>
    <w:rsid w:val="769A2DB4"/>
    <w:rsid w:val="769E9F44"/>
    <w:rsid w:val="76A3D4A8"/>
    <w:rsid w:val="76A646AD"/>
    <w:rsid w:val="76B00987"/>
    <w:rsid w:val="76BF3BFC"/>
    <w:rsid w:val="76BF9510"/>
    <w:rsid w:val="76CC7ADB"/>
    <w:rsid w:val="76CFBFA8"/>
    <w:rsid w:val="76D249E3"/>
    <w:rsid w:val="76D2C3B2"/>
    <w:rsid w:val="76D4C81D"/>
    <w:rsid w:val="76D5ABC4"/>
    <w:rsid w:val="76DFEF09"/>
    <w:rsid w:val="76EBCC77"/>
    <w:rsid w:val="76F75E94"/>
    <w:rsid w:val="770E7872"/>
    <w:rsid w:val="772F2D72"/>
    <w:rsid w:val="7736852F"/>
    <w:rsid w:val="774AF95D"/>
    <w:rsid w:val="7758C56D"/>
    <w:rsid w:val="775C02B2"/>
    <w:rsid w:val="7760BC8B"/>
    <w:rsid w:val="7763E7F6"/>
    <w:rsid w:val="776446AE"/>
    <w:rsid w:val="776EB917"/>
    <w:rsid w:val="777327C2"/>
    <w:rsid w:val="7780F992"/>
    <w:rsid w:val="778E60C1"/>
    <w:rsid w:val="77913F7B"/>
    <w:rsid w:val="77ADFCB7"/>
    <w:rsid w:val="77BE5001"/>
    <w:rsid w:val="77C12D92"/>
    <w:rsid w:val="77CCF9E3"/>
    <w:rsid w:val="77D2AE4D"/>
    <w:rsid w:val="77D2EE16"/>
    <w:rsid w:val="77D516C5"/>
    <w:rsid w:val="77E0E620"/>
    <w:rsid w:val="77ECF996"/>
    <w:rsid w:val="78055616"/>
    <w:rsid w:val="78089BF8"/>
    <w:rsid w:val="7812125F"/>
    <w:rsid w:val="781CA510"/>
    <w:rsid w:val="7820D9AC"/>
    <w:rsid w:val="7826D8D1"/>
    <w:rsid w:val="7832359B"/>
    <w:rsid w:val="783597ED"/>
    <w:rsid w:val="785D6B87"/>
    <w:rsid w:val="786013B7"/>
    <w:rsid w:val="7866C0EE"/>
    <w:rsid w:val="7871833E"/>
    <w:rsid w:val="7872FF8F"/>
    <w:rsid w:val="7874923E"/>
    <w:rsid w:val="78764FB5"/>
    <w:rsid w:val="787A6A45"/>
    <w:rsid w:val="7885D5B8"/>
    <w:rsid w:val="78987564"/>
    <w:rsid w:val="78AE5A99"/>
    <w:rsid w:val="78AFBBD2"/>
    <w:rsid w:val="78C17364"/>
    <w:rsid w:val="78C50981"/>
    <w:rsid w:val="78C65684"/>
    <w:rsid w:val="78DD24E3"/>
    <w:rsid w:val="78E2B772"/>
    <w:rsid w:val="78EC68CF"/>
    <w:rsid w:val="78F0CE6F"/>
    <w:rsid w:val="7911C204"/>
    <w:rsid w:val="791367AD"/>
    <w:rsid w:val="79230649"/>
    <w:rsid w:val="7926D044"/>
    <w:rsid w:val="792A0E8B"/>
    <w:rsid w:val="792D04D3"/>
    <w:rsid w:val="79311659"/>
    <w:rsid w:val="7934E171"/>
    <w:rsid w:val="79528AB2"/>
    <w:rsid w:val="7953820B"/>
    <w:rsid w:val="7969BCAB"/>
    <w:rsid w:val="797873C6"/>
    <w:rsid w:val="798F3183"/>
    <w:rsid w:val="7997B9B0"/>
    <w:rsid w:val="799C190E"/>
    <w:rsid w:val="79A5EA8F"/>
    <w:rsid w:val="79C93CB0"/>
    <w:rsid w:val="79D1E5B8"/>
    <w:rsid w:val="79D2BD40"/>
    <w:rsid w:val="79D97D19"/>
    <w:rsid w:val="79E0C9A1"/>
    <w:rsid w:val="79E95FE6"/>
    <w:rsid w:val="79ECD2AC"/>
    <w:rsid w:val="79EF1B11"/>
    <w:rsid w:val="79F5A82E"/>
    <w:rsid w:val="7A007E21"/>
    <w:rsid w:val="7A12F719"/>
    <w:rsid w:val="7A21BA1A"/>
    <w:rsid w:val="7A3DE61A"/>
    <w:rsid w:val="7A517629"/>
    <w:rsid w:val="7A53DE5E"/>
    <w:rsid w:val="7A57479E"/>
    <w:rsid w:val="7A6B38E7"/>
    <w:rsid w:val="7A6BA3F4"/>
    <w:rsid w:val="7A8A6E1E"/>
    <w:rsid w:val="7A90C426"/>
    <w:rsid w:val="7AA9941E"/>
    <w:rsid w:val="7AB0A32E"/>
    <w:rsid w:val="7AB7806F"/>
    <w:rsid w:val="7ABBB167"/>
    <w:rsid w:val="7AC52374"/>
    <w:rsid w:val="7AF086E8"/>
    <w:rsid w:val="7AFFFFDA"/>
    <w:rsid w:val="7B032823"/>
    <w:rsid w:val="7B22CF7E"/>
    <w:rsid w:val="7B2A9DD8"/>
    <w:rsid w:val="7B2CC7B2"/>
    <w:rsid w:val="7B3A89C6"/>
    <w:rsid w:val="7B44812E"/>
    <w:rsid w:val="7B51F09F"/>
    <w:rsid w:val="7B5295DA"/>
    <w:rsid w:val="7B571CA6"/>
    <w:rsid w:val="7B58BD79"/>
    <w:rsid w:val="7B5D73B6"/>
    <w:rsid w:val="7B66A9E8"/>
    <w:rsid w:val="7B69A694"/>
    <w:rsid w:val="7B6C5059"/>
    <w:rsid w:val="7B7197BF"/>
    <w:rsid w:val="7B80EDE2"/>
    <w:rsid w:val="7B84A16F"/>
    <w:rsid w:val="7B86774F"/>
    <w:rsid w:val="7B8C9669"/>
    <w:rsid w:val="7B8CC694"/>
    <w:rsid w:val="7B934575"/>
    <w:rsid w:val="7B9601E9"/>
    <w:rsid w:val="7B9902E2"/>
    <w:rsid w:val="7B99570D"/>
    <w:rsid w:val="7BB9C72F"/>
    <w:rsid w:val="7BC15357"/>
    <w:rsid w:val="7BC5D587"/>
    <w:rsid w:val="7BE67145"/>
    <w:rsid w:val="7BF180C3"/>
    <w:rsid w:val="7C0FEF27"/>
    <w:rsid w:val="7C0FF1E2"/>
    <w:rsid w:val="7C155B11"/>
    <w:rsid w:val="7C15DC3A"/>
    <w:rsid w:val="7C1737BE"/>
    <w:rsid w:val="7C1E0B09"/>
    <w:rsid w:val="7C1E8455"/>
    <w:rsid w:val="7C2386E1"/>
    <w:rsid w:val="7C248837"/>
    <w:rsid w:val="7C2E1DDB"/>
    <w:rsid w:val="7C30E7D6"/>
    <w:rsid w:val="7C363AE2"/>
    <w:rsid w:val="7C39727F"/>
    <w:rsid w:val="7C3AB7F0"/>
    <w:rsid w:val="7C3D6C6A"/>
    <w:rsid w:val="7C5C964B"/>
    <w:rsid w:val="7C5DC6AD"/>
    <w:rsid w:val="7C62079A"/>
    <w:rsid w:val="7C647B37"/>
    <w:rsid w:val="7C76EA88"/>
    <w:rsid w:val="7C89B528"/>
    <w:rsid w:val="7C8B4409"/>
    <w:rsid w:val="7C91E574"/>
    <w:rsid w:val="7CB013F0"/>
    <w:rsid w:val="7CB5633B"/>
    <w:rsid w:val="7CB94DF2"/>
    <w:rsid w:val="7CBCB6C9"/>
    <w:rsid w:val="7CBEC0DE"/>
    <w:rsid w:val="7CC7D84A"/>
    <w:rsid w:val="7CDAD95C"/>
    <w:rsid w:val="7CEFD368"/>
    <w:rsid w:val="7CF2EEB1"/>
    <w:rsid w:val="7CF88F06"/>
    <w:rsid w:val="7D0D014E"/>
    <w:rsid w:val="7D103B53"/>
    <w:rsid w:val="7D1F9731"/>
    <w:rsid w:val="7D239E53"/>
    <w:rsid w:val="7D2669F6"/>
    <w:rsid w:val="7D378EE0"/>
    <w:rsid w:val="7D37E197"/>
    <w:rsid w:val="7D3F293B"/>
    <w:rsid w:val="7D49A5D7"/>
    <w:rsid w:val="7D4D1971"/>
    <w:rsid w:val="7D5D935B"/>
    <w:rsid w:val="7D61D222"/>
    <w:rsid w:val="7D656AD9"/>
    <w:rsid w:val="7D699D35"/>
    <w:rsid w:val="7D7BFF45"/>
    <w:rsid w:val="7D7ECCA6"/>
    <w:rsid w:val="7D83B186"/>
    <w:rsid w:val="7D8F345A"/>
    <w:rsid w:val="7D904D5A"/>
    <w:rsid w:val="7DA81E62"/>
    <w:rsid w:val="7DB46F12"/>
    <w:rsid w:val="7DC3A686"/>
    <w:rsid w:val="7DCA565C"/>
    <w:rsid w:val="7DD0452F"/>
    <w:rsid w:val="7DD4939E"/>
    <w:rsid w:val="7DE13042"/>
    <w:rsid w:val="7DE1B874"/>
    <w:rsid w:val="7DE97631"/>
    <w:rsid w:val="7DF11993"/>
    <w:rsid w:val="7DF4702D"/>
    <w:rsid w:val="7E035982"/>
    <w:rsid w:val="7E104CAC"/>
    <w:rsid w:val="7E1F9732"/>
    <w:rsid w:val="7E4649FE"/>
    <w:rsid w:val="7E57DA64"/>
    <w:rsid w:val="7E5E8E3F"/>
    <w:rsid w:val="7E5FC1E2"/>
    <w:rsid w:val="7E634F1B"/>
    <w:rsid w:val="7E6423D4"/>
    <w:rsid w:val="7E6761AC"/>
    <w:rsid w:val="7E68AE4E"/>
    <w:rsid w:val="7E7C7B72"/>
    <w:rsid w:val="7E8A7100"/>
    <w:rsid w:val="7E8B87ED"/>
    <w:rsid w:val="7E8CDF2B"/>
    <w:rsid w:val="7EA8B2BE"/>
    <w:rsid w:val="7EAFAD00"/>
    <w:rsid w:val="7EB2B31C"/>
    <w:rsid w:val="7EB44437"/>
    <w:rsid w:val="7EBE93A2"/>
    <w:rsid w:val="7EC2D134"/>
    <w:rsid w:val="7ECA1B0A"/>
    <w:rsid w:val="7ED866F6"/>
    <w:rsid w:val="7EE324D9"/>
    <w:rsid w:val="7EEF5D0E"/>
    <w:rsid w:val="7EEFF0A9"/>
    <w:rsid w:val="7EF064C2"/>
    <w:rsid w:val="7EF69D1B"/>
    <w:rsid w:val="7EF9E13A"/>
    <w:rsid w:val="7F0E5C32"/>
    <w:rsid w:val="7F22AA56"/>
    <w:rsid w:val="7F2692B2"/>
    <w:rsid w:val="7F2933B9"/>
    <w:rsid w:val="7F313D8A"/>
    <w:rsid w:val="7F3C49A3"/>
    <w:rsid w:val="7F408022"/>
    <w:rsid w:val="7F548AF3"/>
    <w:rsid w:val="7F575EC0"/>
    <w:rsid w:val="7F59C124"/>
    <w:rsid w:val="7F5AF036"/>
    <w:rsid w:val="7F5AF6C0"/>
    <w:rsid w:val="7F5B8CA6"/>
    <w:rsid w:val="7F5F82FD"/>
    <w:rsid w:val="7F6EB5F8"/>
    <w:rsid w:val="7F6F7366"/>
    <w:rsid w:val="7F90A853"/>
    <w:rsid w:val="7F957747"/>
    <w:rsid w:val="7FA5C294"/>
    <w:rsid w:val="7FAA828F"/>
    <w:rsid w:val="7FAC05CB"/>
    <w:rsid w:val="7FB3920C"/>
    <w:rsid w:val="7FB49231"/>
    <w:rsid w:val="7FB63A8A"/>
    <w:rsid w:val="7FBCCE37"/>
    <w:rsid w:val="7FBE6C8D"/>
    <w:rsid w:val="7FD500AE"/>
    <w:rsid w:val="7FD963F4"/>
    <w:rsid w:val="7FE05EED"/>
    <w:rsid w:val="7FFDEB8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8CBA5A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ListParagraph"/>
    <w:next w:val="Normal"/>
    <w:link w:val="Heading1Char"/>
    <w:uiPriority w:val="9"/>
    <w:qFormat/>
    <w:rsid w:val="00D07FC0"/>
    <w:pPr>
      <w:numPr>
        <w:numId w:val="3"/>
      </w:numPr>
      <w:spacing w:before="360" w:after="360" w:line="240" w:lineRule="auto"/>
      <w:ind w:left="357" w:hanging="357"/>
      <w:contextualSpacing w:val="0"/>
      <w:jc w:val="both"/>
      <w:outlineLvl w:val="0"/>
    </w:pPr>
    <w:rPr>
      <w:rFonts w:ascii="Times New Roman Bold" w:hAnsi="Times New Roman Bold" w:cs="Times New Roman"/>
      <w:b/>
      <w:bCs/>
      <w:smallCaps/>
      <w:sz w:val="24"/>
      <w:szCs w:val="24"/>
    </w:rPr>
  </w:style>
  <w:style w:type="paragraph" w:styleId="Heading2">
    <w:name w:val="heading 2"/>
    <w:basedOn w:val="Normal"/>
    <w:next w:val="Normal"/>
    <w:link w:val="Heading2Char"/>
    <w:uiPriority w:val="9"/>
    <w:unhideWhenUsed/>
    <w:qFormat/>
    <w:rsid w:val="0088244A"/>
    <w:pPr>
      <w:keepNext/>
      <w:keepLines/>
      <w:numPr>
        <w:ilvl w:val="1"/>
        <w:numId w:val="4"/>
      </w:numPr>
      <w:spacing w:before="120" w:after="120" w:line="240" w:lineRule="auto"/>
      <w:ind w:left="788" w:hanging="431"/>
      <w:jc w:val="both"/>
      <w:outlineLvl w:val="1"/>
    </w:pPr>
    <w:rPr>
      <w:rFonts w:ascii="Times New Roman" w:eastAsiaTheme="majorEastAsia" w:hAnsi="Times New Roman" w:cs="Times New Roman"/>
      <w:b/>
      <w:i/>
      <w:sz w:val="24"/>
      <w:szCs w:val="24"/>
    </w:rPr>
  </w:style>
  <w:style w:type="paragraph" w:styleId="Heading3">
    <w:name w:val="heading 3"/>
    <w:basedOn w:val="ListParagraph"/>
    <w:next w:val="Normal"/>
    <w:link w:val="Heading3Char"/>
    <w:uiPriority w:val="9"/>
    <w:unhideWhenUsed/>
    <w:qFormat/>
    <w:rsid w:val="009A2A19"/>
    <w:pPr>
      <w:numPr>
        <w:ilvl w:val="2"/>
        <w:numId w:val="5"/>
      </w:numPr>
      <w:spacing w:before="100" w:beforeAutospacing="1" w:after="100" w:afterAutospacing="1" w:line="240" w:lineRule="auto"/>
      <w:contextualSpacing w:val="0"/>
      <w:outlineLvl w:val="2"/>
    </w:pPr>
    <w:rPr>
      <w:rFonts w:ascii="Calibri" w:hAnsi="Calibri" w:cs="Calibri"/>
      <w:b/>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7FC0"/>
    <w:rPr>
      <w:rFonts w:ascii="Times New Roman Bold" w:hAnsi="Times New Roman Bold" w:cs="Times New Roman"/>
      <w:b/>
      <w:bCs/>
      <w:smallCaps/>
      <w:sz w:val="24"/>
      <w:szCs w:val="24"/>
    </w:rPr>
  </w:style>
  <w:style w:type="character" w:customStyle="1" w:styleId="Heading2Char">
    <w:name w:val="Heading 2 Char"/>
    <w:basedOn w:val="DefaultParagraphFont"/>
    <w:link w:val="Heading2"/>
    <w:uiPriority w:val="9"/>
    <w:rsid w:val="00E714FE"/>
    <w:rPr>
      <w:rFonts w:ascii="Times New Roman" w:eastAsiaTheme="majorEastAsia" w:hAnsi="Times New Roman" w:cs="Times New Roman"/>
      <w:b/>
      <w:i/>
      <w:sz w:val="24"/>
      <w:szCs w:val="24"/>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L"/>
    <w:basedOn w:val="Normal"/>
    <w:link w:val="ListParagraphChar"/>
    <w:uiPriority w:val="34"/>
    <w:qFormat/>
    <w:rsid w:val="00DA465B"/>
    <w:pPr>
      <w:ind w:left="720"/>
      <w:contextualSpacing/>
    </w:p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rsid w:val="001E0D3F"/>
  </w:style>
  <w:style w:type="character" w:customStyle="1" w:styleId="Heading3Char">
    <w:name w:val="Heading 3 Char"/>
    <w:basedOn w:val="DefaultParagraphFont"/>
    <w:link w:val="Heading3"/>
    <w:uiPriority w:val="9"/>
    <w:rsid w:val="009A2A19"/>
    <w:rPr>
      <w:rFonts w:ascii="Calibri" w:hAnsi="Calibri" w:cs="Calibri"/>
      <w:b/>
      <w:lang w:eastAsia="en-GB"/>
    </w:rPr>
  </w:style>
  <w:style w:type="paragraph" w:styleId="Header">
    <w:name w:val="header"/>
    <w:basedOn w:val="Normal"/>
    <w:link w:val="HeaderChar"/>
    <w:uiPriority w:val="99"/>
    <w:unhideWhenUsed/>
    <w:rsid w:val="00EA41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4148"/>
  </w:style>
  <w:style w:type="paragraph" w:styleId="Footer">
    <w:name w:val="footer"/>
    <w:basedOn w:val="Normal"/>
    <w:link w:val="FooterChar"/>
    <w:uiPriority w:val="99"/>
    <w:unhideWhenUsed/>
    <w:rsid w:val="00EA41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4148"/>
  </w:style>
  <w:style w:type="paragraph" w:styleId="FootnoteText">
    <w:name w:val="footnote text"/>
    <w:aliases w:val="Schriftart: 9 pt,Schriftart: 10 pt,Schriftart: 8 pt,WB-Fußnotentext,fn,Footnotes,Footnote ak,RSC_WP (footnotes),Footnote Text Char3,Footnote Text Char1 Char1,Footnote Text Char2 Char Char,Footnote Text Char1 Char1 Char Char,FoodNote"/>
    <w:basedOn w:val="Normal"/>
    <w:link w:val="FootnoteTextChar"/>
    <w:uiPriority w:val="99"/>
    <w:unhideWhenUsed/>
    <w:qFormat/>
    <w:rsid w:val="00921A13"/>
    <w:pPr>
      <w:spacing w:after="0" w:line="240" w:lineRule="auto"/>
    </w:pPr>
    <w:rPr>
      <w:sz w:val="20"/>
      <w:szCs w:val="20"/>
    </w:rPr>
  </w:style>
  <w:style w:type="character" w:customStyle="1" w:styleId="FootnoteTextChar">
    <w:name w:val="Footnote Text Char"/>
    <w:aliases w:val="Schriftart: 9 pt Char,Schriftart: 10 pt Char,Schriftart: 8 pt Char,WB-Fußnotentext Char,fn Char,Footnotes Char,Footnote ak Char,RSC_WP (footnotes) Char,Footnote Text Char3 Char,Footnote Text Char1 Char1 Char,FoodNote Char"/>
    <w:basedOn w:val="DefaultParagraphFont"/>
    <w:link w:val="FootnoteText"/>
    <w:uiPriority w:val="99"/>
    <w:qFormat/>
    <w:rsid w:val="00921A13"/>
    <w:rPr>
      <w:sz w:val="20"/>
      <w:szCs w:val="20"/>
    </w:rPr>
  </w:style>
  <w:style w:type="character" w:styleId="FootnoteReference">
    <w:name w:val="footnote reference"/>
    <w:aliases w:val="Footnote symbol,Footnote,RSC_WP (footnote reference),number,Footnote reference number,note TESI,-E Fußnotenzeichen,SUPERS,Times 10 Point,Exposant 3 Point, Exposant 3 Point,Footnote number,Footnote Reference Number,fr,R"/>
    <w:basedOn w:val="DefaultParagraphFont"/>
    <w:link w:val="FootnotesymbolCarZchn"/>
    <w:uiPriority w:val="99"/>
    <w:unhideWhenUsed/>
    <w:qFormat/>
    <w:rsid w:val="00921A13"/>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9A2A19"/>
    <w:pPr>
      <w:spacing w:after="160" w:line="240" w:lineRule="exact"/>
      <w:jc w:val="both"/>
    </w:pPr>
    <w:rPr>
      <w:vertAlign w:val="superscript"/>
    </w:rPr>
  </w:style>
  <w:style w:type="character" w:styleId="Hyperlink">
    <w:name w:val="Hyperlink"/>
    <w:basedOn w:val="DefaultParagraphFont"/>
    <w:uiPriority w:val="99"/>
    <w:unhideWhenUsed/>
    <w:rsid w:val="00921A13"/>
    <w:rPr>
      <w:color w:val="0000FF" w:themeColor="hyperlink"/>
      <w:u w:val="single"/>
    </w:rPr>
  </w:style>
  <w:style w:type="character" w:customStyle="1" w:styleId="UnresolvedMention1">
    <w:name w:val="Unresolved Mention1"/>
    <w:basedOn w:val="DefaultParagraphFont"/>
    <w:uiPriority w:val="99"/>
    <w:semiHidden/>
    <w:unhideWhenUsed/>
    <w:rsid w:val="00921A13"/>
    <w:rPr>
      <w:color w:val="605E5C"/>
      <w:shd w:val="clear" w:color="auto" w:fill="E1DFDD"/>
    </w:rPr>
  </w:style>
  <w:style w:type="table" w:styleId="TableGrid">
    <w:name w:val="Table Grid"/>
    <w:basedOn w:val="TableNormal"/>
    <w:uiPriority w:val="59"/>
    <w:rsid w:val="007A03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5649FA"/>
    <w:pPr>
      <w:numPr>
        <w:numId w:val="2"/>
      </w:numPr>
      <w:contextualSpacing/>
    </w:pPr>
  </w:style>
  <w:style w:type="character" w:styleId="CommentReference">
    <w:name w:val="annotation reference"/>
    <w:basedOn w:val="DefaultParagraphFont"/>
    <w:uiPriority w:val="99"/>
    <w:semiHidden/>
    <w:unhideWhenUsed/>
    <w:rsid w:val="00D75981"/>
    <w:rPr>
      <w:sz w:val="16"/>
      <w:szCs w:val="16"/>
    </w:rPr>
  </w:style>
  <w:style w:type="paragraph" w:styleId="CommentText">
    <w:name w:val="annotation text"/>
    <w:basedOn w:val="Normal"/>
    <w:link w:val="CommentTextChar"/>
    <w:uiPriority w:val="99"/>
    <w:unhideWhenUsed/>
    <w:rsid w:val="00D75981"/>
    <w:pPr>
      <w:spacing w:line="240" w:lineRule="auto"/>
    </w:pPr>
    <w:rPr>
      <w:sz w:val="20"/>
      <w:szCs w:val="20"/>
    </w:rPr>
  </w:style>
  <w:style w:type="character" w:customStyle="1" w:styleId="CommentTextChar">
    <w:name w:val="Comment Text Char"/>
    <w:basedOn w:val="DefaultParagraphFont"/>
    <w:link w:val="CommentText"/>
    <w:uiPriority w:val="99"/>
    <w:rsid w:val="00D75981"/>
    <w:rPr>
      <w:sz w:val="20"/>
      <w:szCs w:val="20"/>
    </w:rPr>
  </w:style>
  <w:style w:type="paragraph" w:styleId="CommentSubject">
    <w:name w:val="annotation subject"/>
    <w:basedOn w:val="CommentText"/>
    <w:next w:val="CommentText"/>
    <w:link w:val="CommentSubjectChar"/>
    <w:uiPriority w:val="99"/>
    <w:semiHidden/>
    <w:unhideWhenUsed/>
    <w:rsid w:val="00D75981"/>
    <w:rPr>
      <w:b/>
      <w:bCs/>
    </w:rPr>
  </w:style>
  <w:style w:type="character" w:customStyle="1" w:styleId="CommentSubjectChar">
    <w:name w:val="Comment Subject Char"/>
    <w:basedOn w:val="CommentTextChar"/>
    <w:link w:val="CommentSubject"/>
    <w:uiPriority w:val="99"/>
    <w:semiHidden/>
    <w:rsid w:val="00D75981"/>
    <w:rPr>
      <w:b/>
      <w:bCs/>
      <w:sz w:val="20"/>
      <w:szCs w:val="20"/>
    </w:rPr>
  </w:style>
  <w:style w:type="paragraph" w:styleId="BalloonText">
    <w:name w:val="Balloon Text"/>
    <w:basedOn w:val="Normal"/>
    <w:link w:val="BalloonTextChar"/>
    <w:uiPriority w:val="99"/>
    <w:semiHidden/>
    <w:unhideWhenUsed/>
    <w:rsid w:val="00D759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5981"/>
    <w:rPr>
      <w:rFonts w:ascii="Segoe UI" w:hAnsi="Segoe UI" w:cs="Segoe UI"/>
      <w:sz w:val="18"/>
      <w:szCs w:val="18"/>
    </w:rPr>
  </w:style>
  <w:style w:type="paragraph" w:styleId="NormalWeb">
    <w:name w:val="Normal (Web)"/>
    <w:basedOn w:val="Normal"/>
    <w:link w:val="NormalWebChar"/>
    <w:uiPriority w:val="99"/>
    <w:unhideWhenUsed/>
    <w:rsid w:val="009A2A1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WebChar">
    <w:name w:val="Normal (Web) Char"/>
    <w:link w:val="NormalWeb"/>
    <w:uiPriority w:val="99"/>
    <w:rsid w:val="009A2A19"/>
    <w:rPr>
      <w:rFonts w:ascii="Times New Roman" w:eastAsia="Times New Roman" w:hAnsi="Times New Roman" w:cs="Times New Roman"/>
      <w:sz w:val="24"/>
      <w:szCs w:val="24"/>
      <w:lang w:eastAsia="en-GB"/>
    </w:rPr>
  </w:style>
  <w:style w:type="character" w:styleId="Strong">
    <w:name w:val="Strong"/>
    <w:uiPriority w:val="22"/>
    <w:qFormat/>
    <w:rsid w:val="009A2A19"/>
    <w:rPr>
      <w:b/>
      <w:bCs/>
    </w:rPr>
  </w:style>
  <w:style w:type="character" w:styleId="Emphasis">
    <w:name w:val="Emphasis"/>
    <w:basedOn w:val="DefaultParagraphFont"/>
    <w:uiPriority w:val="20"/>
    <w:qFormat/>
    <w:rsid w:val="009A2A19"/>
    <w:rPr>
      <w:i/>
      <w:iCs/>
    </w:rPr>
  </w:style>
  <w:style w:type="paragraph" w:styleId="HTMLPreformatted">
    <w:name w:val="HTML Preformatted"/>
    <w:basedOn w:val="Normal"/>
    <w:link w:val="HTMLPreformattedChar"/>
    <w:uiPriority w:val="99"/>
    <w:unhideWhenUsed/>
    <w:rsid w:val="009A2A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9A2A19"/>
    <w:rPr>
      <w:rFonts w:ascii="Courier New" w:hAnsi="Courier New" w:cs="Courier New"/>
      <w:sz w:val="20"/>
      <w:szCs w:val="20"/>
      <w:lang w:eastAsia="en-GB"/>
    </w:rPr>
  </w:style>
  <w:style w:type="paragraph" w:customStyle="1" w:styleId="paragraph">
    <w:name w:val="paragraph"/>
    <w:basedOn w:val="Normal"/>
    <w:rsid w:val="009A2A19"/>
    <w:pPr>
      <w:spacing w:before="100" w:beforeAutospacing="1" w:after="100" w:afterAutospacing="1" w:line="240" w:lineRule="auto"/>
    </w:pPr>
    <w:rPr>
      <w:rFonts w:ascii="Calibri" w:hAnsi="Calibri" w:cs="Calibri"/>
      <w:lang w:eastAsia="en-GB"/>
    </w:rPr>
  </w:style>
  <w:style w:type="paragraph" w:customStyle="1" w:styleId="ydp5e2b06f7yiv2024158310msonormal">
    <w:name w:val="ydp5e2b06f7yiv2024158310msonormal"/>
    <w:basedOn w:val="Normal"/>
    <w:rsid w:val="009A2A19"/>
    <w:pPr>
      <w:spacing w:before="100" w:beforeAutospacing="1" w:after="100" w:afterAutospacing="1" w:line="240" w:lineRule="auto"/>
    </w:pPr>
    <w:rPr>
      <w:rFonts w:ascii="Times New Roman" w:hAnsi="Times New Roman" w:cs="Times New Roman"/>
      <w:sz w:val="24"/>
      <w:szCs w:val="24"/>
      <w:lang w:eastAsia="en-GB"/>
    </w:rPr>
  </w:style>
  <w:style w:type="paragraph" w:customStyle="1" w:styleId="Default">
    <w:name w:val="Default"/>
    <w:rsid w:val="009A2A1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BVIfnrCarCar">
    <w:name w:val="BVI fnr Car Car"/>
    <w:aliases w:val="BVI fnr Car,BVI fnr Car Car Car Car,BVI fnr Char Char Char Char Char Char Char"/>
    <w:basedOn w:val="Normal"/>
    <w:uiPriority w:val="99"/>
    <w:rsid w:val="009A2A19"/>
    <w:pPr>
      <w:spacing w:before="120" w:after="160" w:line="240" w:lineRule="exact"/>
    </w:pPr>
    <w:rPr>
      <w:vertAlign w:val="superscript"/>
    </w:rPr>
  </w:style>
  <w:style w:type="paragraph" w:customStyle="1" w:styleId="default0">
    <w:name w:val="default"/>
    <w:basedOn w:val="Normal"/>
    <w:rsid w:val="009A2A19"/>
    <w:pPr>
      <w:spacing w:after="0" w:line="240" w:lineRule="auto"/>
    </w:pPr>
    <w:rPr>
      <w:rFonts w:ascii="Times New Roman" w:hAnsi="Times New Roman" w:cs="Times New Roman"/>
      <w:color w:val="000000"/>
      <w:sz w:val="24"/>
      <w:szCs w:val="24"/>
      <w:lang w:eastAsia="en-GB"/>
    </w:rPr>
  </w:style>
  <w:style w:type="character" w:customStyle="1" w:styleId="y2iqfc">
    <w:name w:val="y2iqfc"/>
    <w:basedOn w:val="DefaultParagraphFont"/>
    <w:rsid w:val="009A2A19"/>
  </w:style>
  <w:style w:type="character" w:customStyle="1" w:styleId="null">
    <w:name w:val="null"/>
    <w:basedOn w:val="DefaultParagraphFont"/>
    <w:rsid w:val="009A2A19"/>
  </w:style>
  <w:style w:type="paragraph" w:styleId="TOCHeading">
    <w:name w:val="TOC Heading"/>
    <w:basedOn w:val="Heading1"/>
    <w:next w:val="Normal"/>
    <w:uiPriority w:val="39"/>
    <w:unhideWhenUsed/>
    <w:qFormat/>
    <w:rsid w:val="009A2A19"/>
    <w:pPr>
      <w:outlineLvl w:val="9"/>
    </w:pPr>
  </w:style>
  <w:style w:type="paragraph" w:styleId="TOC2">
    <w:name w:val="toc 2"/>
    <w:basedOn w:val="Normal"/>
    <w:next w:val="Normal"/>
    <w:autoRedefine/>
    <w:uiPriority w:val="39"/>
    <w:unhideWhenUsed/>
    <w:rsid w:val="009A2A19"/>
    <w:pPr>
      <w:spacing w:after="100" w:line="259" w:lineRule="auto"/>
      <w:ind w:left="220"/>
    </w:pPr>
  </w:style>
  <w:style w:type="paragraph" w:styleId="TOC3">
    <w:name w:val="toc 3"/>
    <w:basedOn w:val="Normal"/>
    <w:next w:val="Normal"/>
    <w:autoRedefine/>
    <w:uiPriority w:val="39"/>
    <w:unhideWhenUsed/>
    <w:rsid w:val="009A2A19"/>
    <w:pPr>
      <w:spacing w:after="100" w:line="259" w:lineRule="auto"/>
      <w:ind w:left="440"/>
    </w:pPr>
  </w:style>
  <w:style w:type="paragraph" w:styleId="TOC1">
    <w:name w:val="toc 1"/>
    <w:basedOn w:val="Normal"/>
    <w:next w:val="Normal"/>
    <w:autoRedefine/>
    <w:uiPriority w:val="39"/>
    <w:unhideWhenUsed/>
    <w:rsid w:val="009A2A19"/>
    <w:pPr>
      <w:spacing w:after="100" w:line="259" w:lineRule="auto"/>
    </w:pPr>
  </w:style>
  <w:style w:type="character" w:customStyle="1" w:styleId="InternetLink">
    <w:name w:val="Internet Link"/>
    <w:basedOn w:val="DefaultParagraphFont"/>
    <w:uiPriority w:val="99"/>
    <w:unhideWhenUsed/>
    <w:rsid w:val="009A2A19"/>
    <w:rPr>
      <w:color w:val="0000FF" w:themeColor="hyperlink"/>
      <w:u w:val="single"/>
    </w:rPr>
  </w:style>
  <w:style w:type="paragraph" w:styleId="PlainText">
    <w:name w:val="Plain Text"/>
    <w:basedOn w:val="Normal"/>
    <w:link w:val="PlainTextChar"/>
    <w:uiPriority w:val="99"/>
    <w:unhideWhenUsed/>
    <w:rsid w:val="009A2A19"/>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9A2A19"/>
    <w:rPr>
      <w:rFonts w:ascii="Calibri" w:hAnsi="Calibri"/>
      <w:szCs w:val="21"/>
    </w:rPr>
  </w:style>
  <w:style w:type="character" w:customStyle="1" w:styleId="ui-provider">
    <w:name w:val="ui-provider"/>
    <w:basedOn w:val="DefaultParagraphFont"/>
    <w:rsid w:val="009A2A19"/>
  </w:style>
  <w:style w:type="character" w:customStyle="1" w:styleId="UnresolvedMention10">
    <w:name w:val="Unresolved Mention10"/>
    <w:basedOn w:val="DefaultParagraphFont"/>
    <w:uiPriority w:val="99"/>
    <w:semiHidden/>
    <w:unhideWhenUsed/>
    <w:rsid w:val="009A2A19"/>
    <w:rPr>
      <w:color w:val="605E5C"/>
      <w:shd w:val="clear" w:color="auto" w:fill="E1DFDD"/>
    </w:rPr>
  </w:style>
  <w:style w:type="character" w:customStyle="1" w:styleId="ecl-linklabel">
    <w:name w:val="ecl-link__label"/>
    <w:basedOn w:val="DefaultParagraphFont"/>
    <w:rsid w:val="009A2A19"/>
  </w:style>
  <w:style w:type="paragraph" w:styleId="NoSpacing">
    <w:name w:val="No Spacing"/>
    <w:uiPriority w:val="1"/>
    <w:qFormat/>
    <w:rsid w:val="009A2A19"/>
    <w:pPr>
      <w:spacing w:after="0" w:line="240" w:lineRule="auto"/>
    </w:pPr>
  </w:style>
  <w:style w:type="character" w:customStyle="1" w:styleId="hidden">
    <w:name w:val="hidden"/>
    <w:basedOn w:val="DefaultParagraphFont"/>
    <w:rsid w:val="009A2A19"/>
  </w:style>
  <w:style w:type="character" w:customStyle="1" w:styleId="null1">
    <w:name w:val="null1"/>
    <w:basedOn w:val="DefaultParagraphFont"/>
    <w:rsid w:val="009A2A19"/>
  </w:style>
  <w:style w:type="character" w:customStyle="1" w:styleId="EndnoteTextChar">
    <w:name w:val="Endnote Text Char"/>
    <w:basedOn w:val="DefaultParagraphFont"/>
    <w:link w:val="EndnoteText"/>
    <w:uiPriority w:val="99"/>
    <w:semiHidden/>
    <w:rsid w:val="009A2A19"/>
    <w:rPr>
      <w:sz w:val="20"/>
      <w:szCs w:val="20"/>
    </w:rPr>
  </w:style>
  <w:style w:type="paragraph" w:styleId="EndnoteText">
    <w:name w:val="endnote text"/>
    <w:basedOn w:val="Normal"/>
    <w:link w:val="EndnoteTextChar"/>
    <w:uiPriority w:val="99"/>
    <w:semiHidden/>
    <w:unhideWhenUsed/>
    <w:rsid w:val="009A2A19"/>
    <w:pPr>
      <w:spacing w:after="0" w:line="240" w:lineRule="auto"/>
    </w:pPr>
    <w:rPr>
      <w:sz w:val="20"/>
      <w:szCs w:val="20"/>
    </w:rPr>
  </w:style>
  <w:style w:type="character" w:customStyle="1" w:styleId="ao3e">
    <w:name w:val="ao3e"/>
    <w:basedOn w:val="DefaultParagraphFont"/>
    <w:rsid w:val="009A2A19"/>
  </w:style>
  <w:style w:type="paragraph" w:styleId="Revision">
    <w:name w:val="Revision"/>
    <w:hidden/>
    <w:uiPriority w:val="99"/>
    <w:semiHidden/>
    <w:rsid w:val="00FA4A93"/>
    <w:pPr>
      <w:spacing w:after="0" w:line="240" w:lineRule="auto"/>
    </w:pPr>
  </w:style>
  <w:style w:type="character" w:styleId="FollowedHyperlink">
    <w:name w:val="FollowedHyperlink"/>
    <w:basedOn w:val="DefaultParagraphFont"/>
    <w:uiPriority w:val="99"/>
    <w:semiHidden/>
    <w:unhideWhenUsed/>
    <w:rsid w:val="00397B17"/>
    <w:rPr>
      <w:color w:val="800080" w:themeColor="followedHyperlink"/>
      <w:u w:val="single"/>
    </w:rPr>
  </w:style>
  <w:style w:type="character" w:customStyle="1" w:styleId="UnresolvedMention2">
    <w:name w:val="Unresolved Mention2"/>
    <w:basedOn w:val="DefaultParagraphFont"/>
    <w:uiPriority w:val="99"/>
    <w:semiHidden/>
    <w:unhideWhenUsed/>
    <w:rsid w:val="002D6BAD"/>
    <w:rPr>
      <w:color w:val="605E5C"/>
      <w:shd w:val="clear" w:color="auto" w:fill="E1DFDD"/>
    </w:rPr>
  </w:style>
  <w:style w:type="character" w:customStyle="1" w:styleId="normaltextrun">
    <w:name w:val="normaltextrun"/>
    <w:basedOn w:val="DefaultParagraphFont"/>
    <w:rsid w:val="001470BD"/>
  </w:style>
  <w:style w:type="character" w:customStyle="1" w:styleId="scxw145539810">
    <w:name w:val="scxw145539810"/>
    <w:basedOn w:val="DefaultParagraphFont"/>
    <w:rsid w:val="001470BD"/>
  </w:style>
  <w:style w:type="character" w:customStyle="1" w:styleId="eop">
    <w:name w:val="eop"/>
    <w:basedOn w:val="DefaultParagraphFont"/>
    <w:rsid w:val="001470BD"/>
  </w:style>
  <w:style w:type="character" w:customStyle="1" w:styleId="Mention1">
    <w:name w:val="Mention1"/>
    <w:basedOn w:val="DefaultParagraphFont"/>
    <w:uiPriority w:val="99"/>
    <w:unhideWhenUsed/>
    <w:rsid w:val="00DF2A61"/>
    <w:rPr>
      <w:color w:val="2B579A"/>
      <w:shd w:val="clear" w:color="auto" w:fill="E1DFDD"/>
    </w:rPr>
  </w:style>
  <w:style w:type="table" w:styleId="TableGridLight">
    <w:name w:val="Grid Table Light"/>
    <w:basedOn w:val="TableNormal"/>
    <w:uiPriority w:val="40"/>
    <w:rsid w:val="00D61D9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nresolvedMention100">
    <w:name w:val="Unresolved Mention100"/>
    <w:basedOn w:val="DefaultParagraphFont"/>
    <w:uiPriority w:val="99"/>
    <w:semiHidden/>
    <w:unhideWhenUsed/>
    <w:rsid w:val="00435FAC"/>
    <w:rPr>
      <w:color w:val="605E5C"/>
      <w:shd w:val="clear" w:color="auto" w:fill="E1DFDD"/>
    </w:rPr>
  </w:style>
  <w:style w:type="character" w:customStyle="1" w:styleId="UnresolvedMention3">
    <w:name w:val="Unresolved Mention3"/>
    <w:basedOn w:val="DefaultParagraphFont"/>
    <w:uiPriority w:val="99"/>
    <w:semiHidden/>
    <w:unhideWhenUsed/>
    <w:rsid w:val="00435FAC"/>
    <w:rPr>
      <w:color w:val="605E5C"/>
      <w:shd w:val="clear" w:color="auto" w:fill="E1DFDD"/>
    </w:rPr>
  </w:style>
  <w:style w:type="character" w:customStyle="1" w:styleId="Mention2">
    <w:name w:val="Mention2"/>
    <w:basedOn w:val="DefaultParagraphFont"/>
    <w:uiPriority w:val="99"/>
    <w:unhideWhenUsed/>
    <w:rsid w:val="00435FAC"/>
    <w:rPr>
      <w:color w:val="2B579A"/>
      <w:shd w:val="clear" w:color="auto" w:fill="E1DFDD"/>
    </w:rPr>
  </w:style>
  <w:style w:type="character" w:customStyle="1" w:styleId="UnresolvedMention1000">
    <w:name w:val="Unresolved Mention1000"/>
    <w:basedOn w:val="DefaultParagraphFont"/>
    <w:uiPriority w:val="99"/>
    <w:semiHidden/>
    <w:unhideWhenUsed/>
    <w:rsid w:val="00B82757"/>
    <w:rPr>
      <w:color w:val="605E5C"/>
      <w:shd w:val="clear" w:color="auto" w:fill="E1DFDD"/>
    </w:rPr>
  </w:style>
  <w:style w:type="character" w:customStyle="1" w:styleId="UnresolvedMention10000">
    <w:name w:val="Unresolved Mention10000"/>
    <w:basedOn w:val="DefaultParagraphFont"/>
    <w:uiPriority w:val="99"/>
    <w:semiHidden/>
    <w:unhideWhenUsed/>
    <w:rsid w:val="00B82757"/>
    <w:rPr>
      <w:color w:val="605E5C"/>
      <w:shd w:val="clear" w:color="auto" w:fill="E1DFDD"/>
    </w:rPr>
  </w:style>
  <w:style w:type="character" w:customStyle="1" w:styleId="UnresolvedMention100000">
    <w:name w:val="Unresolved Mention100000"/>
    <w:basedOn w:val="DefaultParagraphFont"/>
    <w:uiPriority w:val="99"/>
    <w:semiHidden/>
    <w:unhideWhenUsed/>
    <w:rsid w:val="00B82757"/>
    <w:rPr>
      <w:color w:val="605E5C"/>
      <w:shd w:val="clear" w:color="auto" w:fill="E1DFDD"/>
    </w:rPr>
  </w:style>
  <w:style w:type="character" w:customStyle="1" w:styleId="UnresolvedMention1000000">
    <w:name w:val="Unresolved Mention1000000"/>
    <w:basedOn w:val="DefaultParagraphFont"/>
    <w:uiPriority w:val="99"/>
    <w:semiHidden/>
    <w:unhideWhenUsed/>
    <w:rsid w:val="00B82757"/>
    <w:rPr>
      <w:color w:val="605E5C"/>
      <w:shd w:val="clear" w:color="auto" w:fill="E1DFDD"/>
    </w:rPr>
  </w:style>
  <w:style w:type="character" w:customStyle="1" w:styleId="UnresolvedMention10000000">
    <w:name w:val="Unresolved Mention10000000"/>
    <w:basedOn w:val="DefaultParagraphFont"/>
    <w:uiPriority w:val="99"/>
    <w:semiHidden/>
    <w:unhideWhenUsed/>
    <w:rsid w:val="00B82757"/>
    <w:rPr>
      <w:color w:val="605E5C"/>
      <w:shd w:val="clear" w:color="auto" w:fill="E1DFDD"/>
    </w:rPr>
  </w:style>
  <w:style w:type="character" w:customStyle="1" w:styleId="UnresolvedMention100000000">
    <w:name w:val="Unresolved Mention100000000"/>
    <w:basedOn w:val="DefaultParagraphFont"/>
    <w:uiPriority w:val="99"/>
    <w:semiHidden/>
    <w:unhideWhenUsed/>
    <w:rsid w:val="00B82757"/>
    <w:rPr>
      <w:color w:val="605E5C"/>
      <w:shd w:val="clear" w:color="auto" w:fill="E1DFDD"/>
    </w:rPr>
  </w:style>
  <w:style w:type="character" w:customStyle="1" w:styleId="UnresolvedMention1000000000">
    <w:name w:val="Unresolved Mention1000000000"/>
    <w:basedOn w:val="DefaultParagraphFont"/>
    <w:uiPriority w:val="99"/>
    <w:semiHidden/>
    <w:unhideWhenUsed/>
    <w:rsid w:val="00B82757"/>
    <w:rPr>
      <w:color w:val="605E5C"/>
      <w:shd w:val="clear" w:color="auto" w:fill="E1DFDD"/>
    </w:rPr>
  </w:style>
  <w:style w:type="character" w:customStyle="1" w:styleId="UnresolvedMention10000000000">
    <w:name w:val="Unresolved Mention10000000000"/>
    <w:basedOn w:val="DefaultParagraphFont"/>
    <w:uiPriority w:val="99"/>
    <w:semiHidden/>
    <w:unhideWhenUsed/>
    <w:rsid w:val="00B82757"/>
    <w:rPr>
      <w:color w:val="605E5C"/>
      <w:shd w:val="clear" w:color="auto" w:fill="E1DFDD"/>
    </w:rPr>
  </w:style>
  <w:style w:type="character" w:customStyle="1" w:styleId="UnresolvedMention100000000000">
    <w:name w:val="Unresolved Mention100000000000"/>
    <w:basedOn w:val="DefaultParagraphFont"/>
    <w:uiPriority w:val="99"/>
    <w:semiHidden/>
    <w:unhideWhenUsed/>
    <w:rsid w:val="00B82757"/>
    <w:rPr>
      <w:color w:val="605E5C"/>
      <w:shd w:val="clear" w:color="auto" w:fill="E1DFDD"/>
    </w:rPr>
  </w:style>
  <w:style w:type="character" w:customStyle="1" w:styleId="UnresolvedMention1000000000000">
    <w:name w:val="Unresolved Mention1000000000000"/>
    <w:basedOn w:val="DefaultParagraphFont"/>
    <w:uiPriority w:val="99"/>
    <w:semiHidden/>
    <w:unhideWhenUsed/>
    <w:rsid w:val="00B82757"/>
    <w:rPr>
      <w:color w:val="605E5C"/>
      <w:shd w:val="clear" w:color="auto" w:fill="E1DFDD"/>
    </w:rPr>
  </w:style>
  <w:style w:type="character" w:customStyle="1" w:styleId="UnresolvedMention10000000000000">
    <w:name w:val="Unresolved Mention10000000000000"/>
    <w:basedOn w:val="DefaultParagraphFont"/>
    <w:uiPriority w:val="99"/>
    <w:semiHidden/>
    <w:unhideWhenUsed/>
    <w:rsid w:val="00B82757"/>
    <w:rPr>
      <w:color w:val="605E5C"/>
      <w:shd w:val="clear" w:color="auto" w:fill="E1DFDD"/>
    </w:rPr>
  </w:style>
  <w:style w:type="character" w:customStyle="1" w:styleId="UnresolvedMention100000000000000">
    <w:name w:val="Unresolved Mention100000000000000"/>
    <w:basedOn w:val="DefaultParagraphFont"/>
    <w:uiPriority w:val="99"/>
    <w:semiHidden/>
    <w:unhideWhenUsed/>
    <w:rsid w:val="00B82757"/>
    <w:rPr>
      <w:color w:val="605E5C"/>
      <w:shd w:val="clear" w:color="auto" w:fill="E1DFDD"/>
    </w:rPr>
  </w:style>
  <w:style w:type="character" w:customStyle="1" w:styleId="UnresolvedMention4">
    <w:name w:val="Unresolved Mention4"/>
    <w:basedOn w:val="DefaultParagraphFont"/>
    <w:uiPriority w:val="99"/>
    <w:semiHidden/>
    <w:unhideWhenUsed/>
    <w:rsid w:val="009C5112"/>
    <w:rPr>
      <w:color w:val="605E5C"/>
      <w:shd w:val="clear" w:color="auto" w:fill="E1DFDD"/>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uiPriority w:val="99"/>
    <w:qFormat/>
    <w:rsid w:val="00B0412B"/>
    <w:pPr>
      <w:spacing w:before="60" w:after="160" w:line="240" w:lineRule="exact"/>
      <w:jc w:val="both"/>
    </w:pPr>
    <w:rPr>
      <w:rFonts w:ascii="Times New Roman" w:eastAsia="Times New Roman" w:hAnsi="Times New Roman" w:cs="Times New Roman"/>
      <w:sz w:val="24"/>
      <w:szCs w:val="20"/>
      <w:vertAlign w:val="superscript"/>
      <w:lang w:eastAsia="en-GB"/>
    </w:rPr>
  </w:style>
  <w:style w:type="paragraph" w:customStyle="1" w:styleId="pf0">
    <w:name w:val="pf0"/>
    <w:basedOn w:val="Normal"/>
    <w:rsid w:val="00B0412B"/>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cf01">
    <w:name w:val="cf01"/>
    <w:basedOn w:val="DefaultParagraphFont"/>
    <w:rsid w:val="00B0412B"/>
    <w:rPr>
      <w:rFonts w:ascii="Segoe UI" w:hAnsi="Segoe UI" w:cs="Segoe UI" w:hint="default"/>
      <w:sz w:val="18"/>
      <w:szCs w:val="18"/>
    </w:rPr>
  </w:style>
  <w:style w:type="character" w:customStyle="1" w:styleId="Marker">
    <w:name w:val="Marker"/>
    <w:basedOn w:val="DefaultParagraphFont"/>
    <w:rsid w:val="00664C5A"/>
    <w:rPr>
      <w:color w:val="0000FF"/>
      <w:shd w:val="clear" w:color="auto" w:fill="auto"/>
    </w:rPr>
  </w:style>
  <w:style w:type="paragraph" w:customStyle="1" w:styleId="Pagedecouverture">
    <w:name w:val="Page de couverture"/>
    <w:basedOn w:val="Normal"/>
    <w:next w:val="Normal"/>
    <w:rsid w:val="00664C5A"/>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664C5A"/>
    <w:pPr>
      <w:tabs>
        <w:tab w:val="center" w:pos="4535"/>
        <w:tab w:val="right" w:pos="9071"/>
        <w:tab w:val="right" w:pos="9921"/>
      </w:tabs>
      <w:spacing w:before="360" w:beforeAutospacing="1" w:after="0" w:afterAutospacing="1"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664C5A"/>
    <w:rPr>
      <w:rFonts w:ascii="Times New Roman" w:hAnsi="Times New Roman" w:cs="Times New Roman"/>
      <w:sz w:val="24"/>
    </w:rPr>
  </w:style>
  <w:style w:type="paragraph" w:customStyle="1" w:styleId="FooterSensitivity">
    <w:name w:val="Footer Sensitivity"/>
    <w:basedOn w:val="Normal"/>
    <w:link w:val="FooterSensitivityChar"/>
    <w:rsid w:val="00664C5A"/>
    <w:pPr>
      <w:pBdr>
        <w:top w:val="single" w:sz="4" w:space="1" w:color="auto"/>
        <w:left w:val="single" w:sz="4" w:space="4" w:color="auto"/>
        <w:bottom w:val="single" w:sz="4" w:space="1" w:color="auto"/>
        <w:right w:val="single" w:sz="4" w:space="4" w:color="auto"/>
      </w:pBdr>
      <w:spacing w:before="360" w:beforeAutospacing="1" w:after="0" w:afterAutospacing="1"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664C5A"/>
    <w:rPr>
      <w:rFonts w:ascii="Times New Roman" w:hAnsi="Times New Roman" w:cs="Times New Roman"/>
      <w:b/>
      <w:sz w:val="32"/>
    </w:rPr>
  </w:style>
  <w:style w:type="paragraph" w:customStyle="1" w:styleId="HeaderCoverPage">
    <w:name w:val="Header Cover Page"/>
    <w:basedOn w:val="Normal"/>
    <w:link w:val="HeaderCoverPageChar"/>
    <w:rsid w:val="00664C5A"/>
    <w:pPr>
      <w:tabs>
        <w:tab w:val="center" w:pos="4535"/>
        <w:tab w:val="right" w:pos="9071"/>
      </w:tabs>
      <w:spacing w:beforeAutospacing="1" w:after="120" w:afterAutospacing="1"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664C5A"/>
    <w:rPr>
      <w:rFonts w:ascii="Times New Roman" w:hAnsi="Times New Roman" w:cs="Times New Roman"/>
      <w:sz w:val="24"/>
    </w:rPr>
  </w:style>
  <w:style w:type="paragraph" w:customStyle="1" w:styleId="HeaderSensitivity">
    <w:name w:val="Header Sensitivity"/>
    <w:basedOn w:val="Normal"/>
    <w:link w:val="HeaderSensitivityChar"/>
    <w:rsid w:val="00664C5A"/>
    <w:pPr>
      <w:pBdr>
        <w:top w:val="single" w:sz="4" w:space="1" w:color="auto"/>
        <w:left w:val="single" w:sz="4" w:space="4" w:color="auto"/>
        <w:bottom w:val="single" w:sz="4" w:space="1" w:color="auto"/>
        <w:right w:val="single" w:sz="4" w:space="4" w:color="auto"/>
      </w:pBdr>
      <w:spacing w:beforeAutospacing="1" w:after="120" w:afterAutospacing="1"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664C5A"/>
    <w:rPr>
      <w:rFonts w:ascii="Times New Roman" w:hAnsi="Times New Roman" w:cs="Times New Roman"/>
      <w:b/>
      <w:sz w:val="32"/>
    </w:rPr>
  </w:style>
  <w:style w:type="paragraph" w:customStyle="1" w:styleId="HeaderSensitivityRight">
    <w:name w:val="Header Sensitivity Right"/>
    <w:basedOn w:val="Normal"/>
    <w:link w:val="HeaderSensitivityRightChar"/>
    <w:rsid w:val="005E275A"/>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664C5A"/>
    <w:rPr>
      <w:rFonts w:ascii="Times New Roman" w:hAnsi="Times New Roman" w:cs="Times New Roman"/>
      <w:sz w:val="28"/>
    </w:rPr>
  </w:style>
  <w:style w:type="character" w:styleId="EndnoteReference">
    <w:name w:val="endnote reference"/>
    <w:basedOn w:val="DefaultParagraphFont"/>
    <w:uiPriority w:val="99"/>
    <w:semiHidden/>
    <w:unhideWhenUsed/>
    <w:rsid w:val="008765FF"/>
    <w:rPr>
      <w:vertAlign w:val="superscript"/>
    </w:rPr>
  </w:style>
  <w:style w:type="character" w:customStyle="1" w:styleId="UnresolvedMention5">
    <w:name w:val="Unresolved Mention5"/>
    <w:basedOn w:val="DefaultParagraphFont"/>
    <w:uiPriority w:val="99"/>
    <w:semiHidden/>
    <w:unhideWhenUsed/>
    <w:rsid w:val="008765FF"/>
    <w:rPr>
      <w:color w:val="605E5C"/>
      <w:shd w:val="clear" w:color="auto" w:fill="E1DFDD"/>
    </w:rPr>
  </w:style>
  <w:style w:type="numbering" w:styleId="111111">
    <w:name w:val="Outline List 2"/>
    <w:basedOn w:val="NoList"/>
    <w:uiPriority w:val="99"/>
    <w:semiHidden/>
    <w:unhideWhenUsed/>
    <w:rsid w:val="006A0E54"/>
    <w:pPr>
      <w:numPr>
        <w:numId w:val="10"/>
      </w:numPr>
    </w:pPr>
  </w:style>
  <w:style w:type="character" w:customStyle="1" w:styleId="UnresolvedMention6">
    <w:name w:val="Unresolved Mention6"/>
    <w:basedOn w:val="DefaultParagraphFont"/>
    <w:uiPriority w:val="99"/>
    <w:semiHidden/>
    <w:unhideWhenUsed/>
    <w:rsid w:val="00BF3C4D"/>
    <w:rPr>
      <w:color w:val="605E5C"/>
      <w:shd w:val="clear" w:color="auto" w:fill="E1DFDD"/>
    </w:rPr>
  </w:style>
  <w:style w:type="paragraph" w:customStyle="1" w:styleId="p1">
    <w:name w:val="p1"/>
    <w:basedOn w:val="Normal"/>
    <w:rsid w:val="00603309"/>
    <w:pPr>
      <w:spacing w:after="0" w:line="240" w:lineRule="auto"/>
    </w:pPr>
    <w:rPr>
      <w:rFonts w:ascii=".AppleSystemUIFont" w:eastAsiaTheme="minorEastAsia" w:hAnsi=".AppleSystemUIFont" w:cs="Times New Roman"/>
      <w:sz w:val="26"/>
      <w:szCs w:val="26"/>
      <w:lang w:eastAsia="fr-FR"/>
    </w:rPr>
  </w:style>
  <w:style w:type="character" w:customStyle="1" w:styleId="s1">
    <w:name w:val="s1"/>
    <w:basedOn w:val="DefaultParagraphFont"/>
    <w:rsid w:val="00603309"/>
    <w:rPr>
      <w:rFonts w:ascii="UICTFontTextStyleBody" w:hAnsi="UICTFontTextStyleBody" w:hint="default"/>
      <w:b w:val="0"/>
      <w:bCs w:val="0"/>
      <w:i w:val="0"/>
      <w:iCs w:val="0"/>
      <w:sz w:val="26"/>
      <w:szCs w:val="26"/>
    </w:rPr>
  </w:style>
  <w:style w:type="paragraph" w:customStyle="1" w:styleId="Disclaimer">
    <w:name w:val="Disclaimer"/>
    <w:basedOn w:val="Normal"/>
    <w:rsid w:val="005E275A"/>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5E275A"/>
    <w:pPr>
      <w:spacing w:after="0"/>
      <w:ind w:left="5103"/>
    </w:pPr>
    <w:rPr>
      <w:rFonts w:ascii="Times New Roman" w:hAnsi="Times New Roman" w:cs="Times New Roman"/>
      <w:sz w:val="28"/>
    </w:rPr>
  </w:style>
  <w:style w:type="paragraph" w:customStyle="1" w:styleId="DateMarking">
    <w:name w:val="DateMarking"/>
    <w:basedOn w:val="Normal"/>
    <w:rsid w:val="005E275A"/>
    <w:pPr>
      <w:spacing w:after="0"/>
      <w:ind w:left="5103"/>
    </w:pPr>
    <w:rPr>
      <w:rFonts w:ascii="Times New Roman" w:hAnsi="Times New Roman" w:cs="Times New Roman"/>
      <w:i/>
      <w:sz w:val="28"/>
    </w:rPr>
  </w:style>
  <w:style w:type="paragraph" w:customStyle="1" w:styleId="ReleasableTo">
    <w:name w:val="ReleasableTo"/>
    <w:basedOn w:val="Normal"/>
    <w:rsid w:val="005E275A"/>
    <w:pPr>
      <w:spacing w:after="0"/>
      <w:ind w:left="5103"/>
    </w:pPr>
    <w:rPr>
      <w:rFonts w:ascii="Times New Roman" w:hAnsi="Times New Roman" w:cs="Times New Roman"/>
      <w:i/>
      <w:sz w:val="28"/>
    </w:rPr>
  </w:style>
  <w:style w:type="character" w:customStyle="1" w:styleId="UnresolvedMention7">
    <w:name w:val="Unresolved Mention7"/>
    <w:basedOn w:val="DefaultParagraphFont"/>
    <w:uiPriority w:val="99"/>
    <w:semiHidden/>
    <w:unhideWhenUsed/>
    <w:rsid w:val="002149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795793">
      <w:bodyDiv w:val="1"/>
      <w:marLeft w:val="0"/>
      <w:marRight w:val="0"/>
      <w:marTop w:val="0"/>
      <w:marBottom w:val="0"/>
      <w:divBdr>
        <w:top w:val="none" w:sz="0" w:space="0" w:color="auto"/>
        <w:left w:val="none" w:sz="0" w:space="0" w:color="auto"/>
        <w:bottom w:val="none" w:sz="0" w:space="0" w:color="auto"/>
        <w:right w:val="none" w:sz="0" w:space="0" w:color="auto"/>
      </w:divBdr>
    </w:div>
    <w:div w:id="132139568">
      <w:bodyDiv w:val="1"/>
      <w:marLeft w:val="0"/>
      <w:marRight w:val="0"/>
      <w:marTop w:val="0"/>
      <w:marBottom w:val="0"/>
      <w:divBdr>
        <w:top w:val="none" w:sz="0" w:space="0" w:color="auto"/>
        <w:left w:val="none" w:sz="0" w:space="0" w:color="auto"/>
        <w:bottom w:val="none" w:sz="0" w:space="0" w:color="auto"/>
        <w:right w:val="none" w:sz="0" w:space="0" w:color="auto"/>
      </w:divBdr>
    </w:div>
    <w:div w:id="214243956">
      <w:bodyDiv w:val="1"/>
      <w:marLeft w:val="0"/>
      <w:marRight w:val="0"/>
      <w:marTop w:val="0"/>
      <w:marBottom w:val="0"/>
      <w:divBdr>
        <w:top w:val="none" w:sz="0" w:space="0" w:color="auto"/>
        <w:left w:val="none" w:sz="0" w:space="0" w:color="auto"/>
        <w:bottom w:val="none" w:sz="0" w:space="0" w:color="auto"/>
        <w:right w:val="none" w:sz="0" w:space="0" w:color="auto"/>
      </w:divBdr>
    </w:div>
    <w:div w:id="240724888">
      <w:bodyDiv w:val="1"/>
      <w:marLeft w:val="0"/>
      <w:marRight w:val="0"/>
      <w:marTop w:val="0"/>
      <w:marBottom w:val="0"/>
      <w:divBdr>
        <w:top w:val="none" w:sz="0" w:space="0" w:color="auto"/>
        <w:left w:val="none" w:sz="0" w:space="0" w:color="auto"/>
        <w:bottom w:val="none" w:sz="0" w:space="0" w:color="auto"/>
        <w:right w:val="none" w:sz="0" w:space="0" w:color="auto"/>
      </w:divBdr>
    </w:div>
    <w:div w:id="295767929">
      <w:bodyDiv w:val="1"/>
      <w:marLeft w:val="0"/>
      <w:marRight w:val="0"/>
      <w:marTop w:val="0"/>
      <w:marBottom w:val="0"/>
      <w:divBdr>
        <w:top w:val="none" w:sz="0" w:space="0" w:color="auto"/>
        <w:left w:val="none" w:sz="0" w:space="0" w:color="auto"/>
        <w:bottom w:val="none" w:sz="0" w:space="0" w:color="auto"/>
        <w:right w:val="none" w:sz="0" w:space="0" w:color="auto"/>
      </w:divBdr>
    </w:div>
    <w:div w:id="301471367">
      <w:bodyDiv w:val="1"/>
      <w:marLeft w:val="0"/>
      <w:marRight w:val="0"/>
      <w:marTop w:val="0"/>
      <w:marBottom w:val="0"/>
      <w:divBdr>
        <w:top w:val="none" w:sz="0" w:space="0" w:color="auto"/>
        <w:left w:val="none" w:sz="0" w:space="0" w:color="auto"/>
        <w:bottom w:val="none" w:sz="0" w:space="0" w:color="auto"/>
        <w:right w:val="none" w:sz="0" w:space="0" w:color="auto"/>
      </w:divBdr>
    </w:div>
    <w:div w:id="340284284">
      <w:bodyDiv w:val="1"/>
      <w:marLeft w:val="0"/>
      <w:marRight w:val="0"/>
      <w:marTop w:val="0"/>
      <w:marBottom w:val="0"/>
      <w:divBdr>
        <w:top w:val="none" w:sz="0" w:space="0" w:color="auto"/>
        <w:left w:val="none" w:sz="0" w:space="0" w:color="auto"/>
        <w:bottom w:val="none" w:sz="0" w:space="0" w:color="auto"/>
        <w:right w:val="none" w:sz="0" w:space="0" w:color="auto"/>
      </w:divBdr>
    </w:div>
    <w:div w:id="363361602">
      <w:bodyDiv w:val="1"/>
      <w:marLeft w:val="0"/>
      <w:marRight w:val="0"/>
      <w:marTop w:val="0"/>
      <w:marBottom w:val="0"/>
      <w:divBdr>
        <w:top w:val="none" w:sz="0" w:space="0" w:color="auto"/>
        <w:left w:val="none" w:sz="0" w:space="0" w:color="auto"/>
        <w:bottom w:val="none" w:sz="0" w:space="0" w:color="auto"/>
        <w:right w:val="none" w:sz="0" w:space="0" w:color="auto"/>
      </w:divBdr>
    </w:div>
    <w:div w:id="381443339">
      <w:bodyDiv w:val="1"/>
      <w:marLeft w:val="0"/>
      <w:marRight w:val="0"/>
      <w:marTop w:val="0"/>
      <w:marBottom w:val="0"/>
      <w:divBdr>
        <w:top w:val="none" w:sz="0" w:space="0" w:color="auto"/>
        <w:left w:val="none" w:sz="0" w:space="0" w:color="auto"/>
        <w:bottom w:val="none" w:sz="0" w:space="0" w:color="auto"/>
        <w:right w:val="none" w:sz="0" w:space="0" w:color="auto"/>
      </w:divBdr>
    </w:div>
    <w:div w:id="437408939">
      <w:bodyDiv w:val="1"/>
      <w:marLeft w:val="0"/>
      <w:marRight w:val="0"/>
      <w:marTop w:val="0"/>
      <w:marBottom w:val="0"/>
      <w:divBdr>
        <w:top w:val="none" w:sz="0" w:space="0" w:color="auto"/>
        <w:left w:val="none" w:sz="0" w:space="0" w:color="auto"/>
        <w:bottom w:val="none" w:sz="0" w:space="0" w:color="auto"/>
        <w:right w:val="none" w:sz="0" w:space="0" w:color="auto"/>
      </w:divBdr>
    </w:div>
    <w:div w:id="497843992">
      <w:bodyDiv w:val="1"/>
      <w:marLeft w:val="0"/>
      <w:marRight w:val="0"/>
      <w:marTop w:val="0"/>
      <w:marBottom w:val="0"/>
      <w:divBdr>
        <w:top w:val="none" w:sz="0" w:space="0" w:color="auto"/>
        <w:left w:val="none" w:sz="0" w:space="0" w:color="auto"/>
        <w:bottom w:val="none" w:sz="0" w:space="0" w:color="auto"/>
        <w:right w:val="none" w:sz="0" w:space="0" w:color="auto"/>
      </w:divBdr>
    </w:div>
    <w:div w:id="585650755">
      <w:bodyDiv w:val="1"/>
      <w:marLeft w:val="0"/>
      <w:marRight w:val="0"/>
      <w:marTop w:val="0"/>
      <w:marBottom w:val="0"/>
      <w:divBdr>
        <w:top w:val="none" w:sz="0" w:space="0" w:color="auto"/>
        <w:left w:val="none" w:sz="0" w:space="0" w:color="auto"/>
        <w:bottom w:val="none" w:sz="0" w:space="0" w:color="auto"/>
        <w:right w:val="none" w:sz="0" w:space="0" w:color="auto"/>
      </w:divBdr>
    </w:div>
    <w:div w:id="602035389">
      <w:bodyDiv w:val="1"/>
      <w:marLeft w:val="0"/>
      <w:marRight w:val="0"/>
      <w:marTop w:val="0"/>
      <w:marBottom w:val="0"/>
      <w:divBdr>
        <w:top w:val="none" w:sz="0" w:space="0" w:color="auto"/>
        <w:left w:val="none" w:sz="0" w:space="0" w:color="auto"/>
        <w:bottom w:val="none" w:sz="0" w:space="0" w:color="auto"/>
        <w:right w:val="none" w:sz="0" w:space="0" w:color="auto"/>
      </w:divBdr>
    </w:div>
    <w:div w:id="618992332">
      <w:bodyDiv w:val="1"/>
      <w:marLeft w:val="0"/>
      <w:marRight w:val="0"/>
      <w:marTop w:val="0"/>
      <w:marBottom w:val="0"/>
      <w:divBdr>
        <w:top w:val="none" w:sz="0" w:space="0" w:color="auto"/>
        <w:left w:val="none" w:sz="0" w:space="0" w:color="auto"/>
        <w:bottom w:val="none" w:sz="0" w:space="0" w:color="auto"/>
        <w:right w:val="none" w:sz="0" w:space="0" w:color="auto"/>
      </w:divBdr>
      <w:divsChild>
        <w:div w:id="1433352470">
          <w:marLeft w:val="0"/>
          <w:marRight w:val="0"/>
          <w:marTop w:val="0"/>
          <w:marBottom w:val="0"/>
          <w:divBdr>
            <w:top w:val="none" w:sz="0" w:space="0" w:color="auto"/>
            <w:left w:val="none" w:sz="0" w:space="0" w:color="auto"/>
            <w:bottom w:val="none" w:sz="0" w:space="0" w:color="auto"/>
            <w:right w:val="none" w:sz="0" w:space="0" w:color="auto"/>
          </w:divBdr>
        </w:div>
        <w:div w:id="1854411910">
          <w:marLeft w:val="0"/>
          <w:marRight w:val="0"/>
          <w:marTop w:val="0"/>
          <w:marBottom w:val="0"/>
          <w:divBdr>
            <w:top w:val="none" w:sz="0" w:space="0" w:color="auto"/>
            <w:left w:val="none" w:sz="0" w:space="0" w:color="auto"/>
            <w:bottom w:val="none" w:sz="0" w:space="0" w:color="auto"/>
            <w:right w:val="none" w:sz="0" w:space="0" w:color="auto"/>
          </w:divBdr>
        </w:div>
      </w:divsChild>
    </w:div>
    <w:div w:id="639267253">
      <w:bodyDiv w:val="1"/>
      <w:marLeft w:val="0"/>
      <w:marRight w:val="0"/>
      <w:marTop w:val="0"/>
      <w:marBottom w:val="0"/>
      <w:divBdr>
        <w:top w:val="none" w:sz="0" w:space="0" w:color="auto"/>
        <w:left w:val="none" w:sz="0" w:space="0" w:color="auto"/>
        <w:bottom w:val="none" w:sz="0" w:space="0" w:color="auto"/>
        <w:right w:val="none" w:sz="0" w:space="0" w:color="auto"/>
      </w:divBdr>
    </w:div>
    <w:div w:id="653073778">
      <w:bodyDiv w:val="1"/>
      <w:marLeft w:val="0"/>
      <w:marRight w:val="0"/>
      <w:marTop w:val="0"/>
      <w:marBottom w:val="0"/>
      <w:divBdr>
        <w:top w:val="none" w:sz="0" w:space="0" w:color="auto"/>
        <w:left w:val="none" w:sz="0" w:space="0" w:color="auto"/>
        <w:bottom w:val="none" w:sz="0" w:space="0" w:color="auto"/>
        <w:right w:val="none" w:sz="0" w:space="0" w:color="auto"/>
      </w:divBdr>
    </w:div>
    <w:div w:id="671569144">
      <w:bodyDiv w:val="1"/>
      <w:marLeft w:val="0"/>
      <w:marRight w:val="0"/>
      <w:marTop w:val="0"/>
      <w:marBottom w:val="0"/>
      <w:divBdr>
        <w:top w:val="none" w:sz="0" w:space="0" w:color="auto"/>
        <w:left w:val="none" w:sz="0" w:space="0" w:color="auto"/>
        <w:bottom w:val="none" w:sz="0" w:space="0" w:color="auto"/>
        <w:right w:val="none" w:sz="0" w:space="0" w:color="auto"/>
      </w:divBdr>
    </w:div>
    <w:div w:id="676810397">
      <w:bodyDiv w:val="1"/>
      <w:marLeft w:val="0"/>
      <w:marRight w:val="0"/>
      <w:marTop w:val="0"/>
      <w:marBottom w:val="0"/>
      <w:divBdr>
        <w:top w:val="none" w:sz="0" w:space="0" w:color="auto"/>
        <w:left w:val="none" w:sz="0" w:space="0" w:color="auto"/>
        <w:bottom w:val="none" w:sz="0" w:space="0" w:color="auto"/>
        <w:right w:val="none" w:sz="0" w:space="0" w:color="auto"/>
      </w:divBdr>
    </w:div>
    <w:div w:id="708804428">
      <w:bodyDiv w:val="1"/>
      <w:marLeft w:val="0"/>
      <w:marRight w:val="0"/>
      <w:marTop w:val="0"/>
      <w:marBottom w:val="0"/>
      <w:divBdr>
        <w:top w:val="none" w:sz="0" w:space="0" w:color="auto"/>
        <w:left w:val="none" w:sz="0" w:space="0" w:color="auto"/>
        <w:bottom w:val="none" w:sz="0" w:space="0" w:color="auto"/>
        <w:right w:val="none" w:sz="0" w:space="0" w:color="auto"/>
      </w:divBdr>
    </w:div>
    <w:div w:id="709647622">
      <w:bodyDiv w:val="1"/>
      <w:marLeft w:val="0"/>
      <w:marRight w:val="0"/>
      <w:marTop w:val="0"/>
      <w:marBottom w:val="0"/>
      <w:divBdr>
        <w:top w:val="none" w:sz="0" w:space="0" w:color="auto"/>
        <w:left w:val="none" w:sz="0" w:space="0" w:color="auto"/>
        <w:bottom w:val="none" w:sz="0" w:space="0" w:color="auto"/>
        <w:right w:val="none" w:sz="0" w:space="0" w:color="auto"/>
      </w:divBdr>
      <w:divsChild>
        <w:div w:id="89543394">
          <w:marLeft w:val="0"/>
          <w:marRight w:val="0"/>
          <w:marTop w:val="0"/>
          <w:marBottom w:val="0"/>
          <w:divBdr>
            <w:top w:val="none" w:sz="0" w:space="0" w:color="auto"/>
            <w:left w:val="none" w:sz="0" w:space="0" w:color="auto"/>
            <w:bottom w:val="none" w:sz="0" w:space="0" w:color="auto"/>
            <w:right w:val="none" w:sz="0" w:space="0" w:color="auto"/>
          </w:divBdr>
        </w:div>
        <w:div w:id="1274750162">
          <w:marLeft w:val="0"/>
          <w:marRight w:val="0"/>
          <w:marTop w:val="0"/>
          <w:marBottom w:val="0"/>
          <w:divBdr>
            <w:top w:val="none" w:sz="0" w:space="0" w:color="auto"/>
            <w:left w:val="none" w:sz="0" w:space="0" w:color="auto"/>
            <w:bottom w:val="none" w:sz="0" w:space="0" w:color="auto"/>
            <w:right w:val="none" w:sz="0" w:space="0" w:color="auto"/>
          </w:divBdr>
        </w:div>
        <w:div w:id="1292710163">
          <w:marLeft w:val="0"/>
          <w:marRight w:val="0"/>
          <w:marTop w:val="0"/>
          <w:marBottom w:val="0"/>
          <w:divBdr>
            <w:top w:val="none" w:sz="0" w:space="0" w:color="auto"/>
            <w:left w:val="none" w:sz="0" w:space="0" w:color="auto"/>
            <w:bottom w:val="none" w:sz="0" w:space="0" w:color="auto"/>
            <w:right w:val="none" w:sz="0" w:space="0" w:color="auto"/>
          </w:divBdr>
        </w:div>
      </w:divsChild>
    </w:div>
    <w:div w:id="772018534">
      <w:bodyDiv w:val="1"/>
      <w:marLeft w:val="0"/>
      <w:marRight w:val="0"/>
      <w:marTop w:val="0"/>
      <w:marBottom w:val="0"/>
      <w:divBdr>
        <w:top w:val="none" w:sz="0" w:space="0" w:color="auto"/>
        <w:left w:val="none" w:sz="0" w:space="0" w:color="auto"/>
        <w:bottom w:val="none" w:sz="0" w:space="0" w:color="auto"/>
        <w:right w:val="none" w:sz="0" w:space="0" w:color="auto"/>
      </w:divBdr>
    </w:div>
    <w:div w:id="779422320">
      <w:bodyDiv w:val="1"/>
      <w:marLeft w:val="0"/>
      <w:marRight w:val="0"/>
      <w:marTop w:val="0"/>
      <w:marBottom w:val="0"/>
      <w:divBdr>
        <w:top w:val="none" w:sz="0" w:space="0" w:color="auto"/>
        <w:left w:val="none" w:sz="0" w:space="0" w:color="auto"/>
        <w:bottom w:val="none" w:sz="0" w:space="0" w:color="auto"/>
        <w:right w:val="none" w:sz="0" w:space="0" w:color="auto"/>
      </w:divBdr>
      <w:divsChild>
        <w:div w:id="644628775">
          <w:marLeft w:val="0"/>
          <w:marRight w:val="0"/>
          <w:marTop w:val="0"/>
          <w:marBottom w:val="0"/>
          <w:divBdr>
            <w:top w:val="none" w:sz="0" w:space="0" w:color="auto"/>
            <w:left w:val="none" w:sz="0" w:space="0" w:color="auto"/>
            <w:bottom w:val="none" w:sz="0" w:space="0" w:color="auto"/>
            <w:right w:val="none" w:sz="0" w:space="0" w:color="auto"/>
          </w:divBdr>
        </w:div>
        <w:div w:id="791939260">
          <w:marLeft w:val="0"/>
          <w:marRight w:val="0"/>
          <w:marTop w:val="0"/>
          <w:marBottom w:val="0"/>
          <w:divBdr>
            <w:top w:val="none" w:sz="0" w:space="0" w:color="auto"/>
            <w:left w:val="none" w:sz="0" w:space="0" w:color="auto"/>
            <w:bottom w:val="none" w:sz="0" w:space="0" w:color="auto"/>
            <w:right w:val="none" w:sz="0" w:space="0" w:color="auto"/>
          </w:divBdr>
        </w:div>
        <w:div w:id="1466238457">
          <w:marLeft w:val="0"/>
          <w:marRight w:val="0"/>
          <w:marTop w:val="0"/>
          <w:marBottom w:val="0"/>
          <w:divBdr>
            <w:top w:val="none" w:sz="0" w:space="0" w:color="auto"/>
            <w:left w:val="none" w:sz="0" w:space="0" w:color="auto"/>
            <w:bottom w:val="none" w:sz="0" w:space="0" w:color="auto"/>
            <w:right w:val="none" w:sz="0" w:space="0" w:color="auto"/>
          </w:divBdr>
        </w:div>
        <w:div w:id="2129002517">
          <w:marLeft w:val="0"/>
          <w:marRight w:val="0"/>
          <w:marTop w:val="0"/>
          <w:marBottom w:val="0"/>
          <w:divBdr>
            <w:top w:val="none" w:sz="0" w:space="0" w:color="auto"/>
            <w:left w:val="none" w:sz="0" w:space="0" w:color="auto"/>
            <w:bottom w:val="none" w:sz="0" w:space="0" w:color="auto"/>
            <w:right w:val="none" w:sz="0" w:space="0" w:color="auto"/>
          </w:divBdr>
        </w:div>
      </w:divsChild>
    </w:div>
    <w:div w:id="827482737">
      <w:bodyDiv w:val="1"/>
      <w:marLeft w:val="0"/>
      <w:marRight w:val="0"/>
      <w:marTop w:val="0"/>
      <w:marBottom w:val="0"/>
      <w:divBdr>
        <w:top w:val="none" w:sz="0" w:space="0" w:color="auto"/>
        <w:left w:val="none" w:sz="0" w:space="0" w:color="auto"/>
        <w:bottom w:val="none" w:sz="0" w:space="0" w:color="auto"/>
        <w:right w:val="none" w:sz="0" w:space="0" w:color="auto"/>
      </w:divBdr>
    </w:div>
    <w:div w:id="922422503">
      <w:bodyDiv w:val="1"/>
      <w:marLeft w:val="0"/>
      <w:marRight w:val="0"/>
      <w:marTop w:val="0"/>
      <w:marBottom w:val="0"/>
      <w:divBdr>
        <w:top w:val="none" w:sz="0" w:space="0" w:color="auto"/>
        <w:left w:val="none" w:sz="0" w:space="0" w:color="auto"/>
        <w:bottom w:val="none" w:sz="0" w:space="0" w:color="auto"/>
        <w:right w:val="none" w:sz="0" w:space="0" w:color="auto"/>
      </w:divBdr>
    </w:div>
    <w:div w:id="931745092">
      <w:bodyDiv w:val="1"/>
      <w:marLeft w:val="0"/>
      <w:marRight w:val="0"/>
      <w:marTop w:val="0"/>
      <w:marBottom w:val="0"/>
      <w:divBdr>
        <w:top w:val="none" w:sz="0" w:space="0" w:color="auto"/>
        <w:left w:val="none" w:sz="0" w:space="0" w:color="auto"/>
        <w:bottom w:val="none" w:sz="0" w:space="0" w:color="auto"/>
        <w:right w:val="none" w:sz="0" w:space="0" w:color="auto"/>
      </w:divBdr>
    </w:div>
    <w:div w:id="940338467">
      <w:bodyDiv w:val="1"/>
      <w:marLeft w:val="0"/>
      <w:marRight w:val="0"/>
      <w:marTop w:val="0"/>
      <w:marBottom w:val="0"/>
      <w:divBdr>
        <w:top w:val="none" w:sz="0" w:space="0" w:color="auto"/>
        <w:left w:val="none" w:sz="0" w:space="0" w:color="auto"/>
        <w:bottom w:val="none" w:sz="0" w:space="0" w:color="auto"/>
        <w:right w:val="none" w:sz="0" w:space="0" w:color="auto"/>
      </w:divBdr>
    </w:div>
    <w:div w:id="959141574">
      <w:bodyDiv w:val="1"/>
      <w:marLeft w:val="0"/>
      <w:marRight w:val="0"/>
      <w:marTop w:val="0"/>
      <w:marBottom w:val="0"/>
      <w:divBdr>
        <w:top w:val="none" w:sz="0" w:space="0" w:color="auto"/>
        <w:left w:val="none" w:sz="0" w:space="0" w:color="auto"/>
        <w:bottom w:val="none" w:sz="0" w:space="0" w:color="auto"/>
        <w:right w:val="none" w:sz="0" w:space="0" w:color="auto"/>
      </w:divBdr>
    </w:div>
    <w:div w:id="973290738">
      <w:bodyDiv w:val="1"/>
      <w:marLeft w:val="0"/>
      <w:marRight w:val="0"/>
      <w:marTop w:val="0"/>
      <w:marBottom w:val="0"/>
      <w:divBdr>
        <w:top w:val="none" w:sz="0" w:space="0" w:color="auto"/>
        <w:left w:val="none" w:sz="0" w:space="0" w:color="auto"/>
        <w:bottom w:val="none" w:sz="0" w:space="0" w:color="auto"/>
        <w:right w:val="none" w:sz="0" w:space="0" w:color="auto"/>
      </w:divBdr>
      <w:divsChild>
        <w:div w:id="10887563">
          <w:marLeft w:val="0"/>
          <w:marRight w:val="0"/>
          <w:marTop w:val="0"/>
          <w:marBottom w:val="0"/>
          <w:divBdr>
            <w:top w:val="none" w:sz="0" w:space="0" w:color="auto"/>
            <w:left w:val="none" w:sz="0" w:space="0" w:color="auto"/>
            <w:bottom w:val="none" w:sz="0" w:space="0" w:color="auto"/>
            <w:right w:val="none" w:sz="0" w:space="0" w:color="auto"/>
          </w:divBdr>
          <w:divsChild>
            <w:div w:id="1272591921">
              <w:marLeft w:val="0"/>
              <w:marRight w:val="0"/>
              <w:marTop w:val="0"/>
              <w:marBottom w:val="0"/>
              <w:divBdr>
                <w:top w:val="none" w:sz="0" w:space="0" w:color="auto"/>
                <w:left w:val="none" w:sz="0" w:space="0" w:color="auto"/>
                <w:bottom w:val="none" w:sz="0" w:space="0" w:color="auto"/>
                <w:right w:val="none" w:sz="0" w:space="0" w:color="auto"/>
              </w:divBdr>
            </w:div>
          </w:divsChild>
        </w:div>
        <w:div w:id="284696926">
          <w:marLeft w:val="0"/>
          <w:marRight w:val="0"/>
          <w:marTop w:val="0"/>
          <w:marBottom w:val="0"/>
          <w:divBdr>
            <w:top w:val="none" w:sz="0" w:space="0" w:color="auto"/>
            <w:left w:val="none" w:sz="0" w:space="0" w:color="auto"/>
            <w:bottom w:val="none" w:sz="0" w:space="0" w:color="auto"/>
            <w:right w:val="none" w:sz="0" w:space="0" w:color="auto"/>
          </w:divBdr>
          <w:divsChild>
            <w:div w:id="410205232">
              <w:marLeft w:val="0"/>
              <w:marRight w:val="0"/>
              <w:marTop w:val="0"/>
              <w:marBottom w:val="0"/>
              <w:divBdr>
                <w:top w:val="none" w:sz="0" w:space="0" w:color="auto"/>
                <w:left w:val="none" w:sz="0" w:space="0" w:color="auto"/>
                <w:bottom w:val="none" w:sz="0" w:space="0" w:color="auto"/>
                <w:right w:val="none" w:sz="0" w:space="0" w:color="auto"/>
              </w:divBdr>
            </w:div>
          </w:divsChild>
        </w:div>
        <w:div w:id="324629991">
          <w:marLeft w:val="0"/>
          <w:marRight w:val="0"/>
          <w:marTop w:val="0"/>
          <w:marBottom w:val="0"/>
          <w:divBdr>
            <w:top w:val="none" w:sz="0" w:space="0" w:color="auto"/>
            <w:left w:val="none" w:sz="0" w:space="0" w:color="auto"/>
            <w:bottom w:val="none" w:sz="0" w:space="0" w:color="auto"/>
            <w:right w:val="none" w:sz="0" w:space="0" w:color="auto"/>
          </w:divBdr>
          <w:divsChild>
            <w:div w:id="1293555961">
              <w:marLeft w:val="0"/>
              <w:marRight w:val="0"/>
              <w:marTop w:val="0"/>
              <w:marBottom w:val="0"/>
              <w:divBdr>
                <w:top w:val="none" w:sz="0" w:space="0" w:color="auto"/>
                <w:left w:val="none" w:sz="0" w:space="0" w:color="auto"/>
                <w:bottom w:val="none" w:sz="0" w:space="0" w:color="auto"/>
                <w:right w:val="none" w:sz="0" w:space="0" w:color="auto"/>
              </w:divBdr>
            </w:div>
          </w:divsChild>
        </w:div>
        <w:div w:id="497119243">
          <w:marLeft w:val="0"/>
          <w:marRight w:val="0"/>
          <w:marTop w:val="0"/>
          <w:marBottom w:val="0"/>
          <w:divBdr>
            <w:top w:val="none" w:sz="0" w:space="0" w:color="auto"/>
            <w:left w:val="none" w:sz="0" w:space="0" w:color="auto"/>
            <w:bottom w:val="none" w:sz="0" w:space="0" w:color="auto"/>
            <w:right w:val="none" w:sz="0" w:space="0" w:color="auto"/>
          </w:divBdr>
          <w:divsChild>
            <w:div w:id="77599565">
              <w:marLeft w:val="0"/>
              <w:marRight w:val="0"/>
              <w:marTop w:val="0"/>
              <w:marBottom w:val="0"/>
              <w:divBdr>
                <w:top w:val="none" w:sz="0" w:space="0" w:color="auto"/>
                <w:left w:val="none" w:sz="0" w:space="0" w:color="auto"/>
                <w:bottom w:val="none" w:sz="0" w:space="0" w:color="auto"/>
                <w:right w:val="none" w:sz="0" w:space="0" w:color="auto"/>
              </w:divBdr>
            </w:div>
            <w:div w:id="96489010">
              <w:marLeft w:val="0"/>
              <w:marRight w:val="0"/>
              <w:marTop w:val="0"/>
              <w:marBottom w:val="0"/>
              <w:divBdr>
                <w:top w:val="none" w:sz="0" w:space="0" w:color="auto"/>
                <w:left w:val="none" w:sz="0" w:space="0" w:color="auto"/>
                <w:bottom w:val="none" w:sz="0" w:space="0" w:color="auto"/>
                <w:right w:val="none" w:sz="0" w:space="0" w:color="auto"/>
              </w:divBdr>
            </w:div>
            <w:div w:id="230582720">
              <w:marLeft w:val="0"/>
              <w:marRight w:val="0"/>
              <w:marTop w:val="0"/>
              <w:marBottom w:val="0"/>
              <w:divBdr>
                <w:top w:val="none" w:sz="0" w:space="0" w:color="auto"/>
                <w:left w:val="none" w:sz="0" w:space="0" w:color="auto"/>
                <w:bottom w:val="none" w:sz="0" w:space="0" w:color="auto"/>
                <w:right w:val="none" w:sz="0" w:space="0" w:color="auto"/>
              </w:divBdr>
            </w:div>
            <w:div w:id="912659249">
              <w:marLeft w:val="0"/>
              <w:marRight w:val="0"/>
              <w:marTop w:val="0"/>
              <w:marBottom w:val="0"/>
              <w:divBdr>
                <w:top w:val="none" w:sz="0" w:space="0" w:color="auto"/>
                <w:left w:val="none" w:sz="0" w:space="0" w:color="auto"/>
                <w:bottom w:val="none" w:sz="0" w:space="0" w:color="auto"/>
                <w:right w:val="none" w:sz="0" w:space="0" w:color="auto"/>
              </w:divBdr>
            </w:div>
            <w:div w:id="1577401395">
              <w:marLeft w:val="0"/>
              <w:marRight w:val="0"/>
              <w:marTop w:val="0"/>
              <w:marBottom w:val="0"/>
              <w:divBdr>
                <w:top w:val="none" w:sz="0" w:space="0" w:color="auto"/>
                <w:left w:val="none" w:sz="0" w:space="0" w:color="auto"/>
                <w:bottom w:val="none" w:sz="0" w:space="0" w:color="auto"/>
                <w:right w:val="none" w:sz="0" w:space="0" w:color="auto"/>
              </w:divBdr>
            </w:div>
            <w:div w:id="1887569491">
              <w:marLeft w:val="0"/>
              <w:marRight w:val="0"/>
              <w:marTop w:val="0"/>
              <w:marBottom w:val="0"/>
              <w:divBdr>
                <w:top w:val="none" w:sz="0" w:space="0" w:color="auto"/>
                <w:left w:val="none" w:sz="0" w:space="0" w:color="auto"/>
                <w:bottom w:val="none" w:sz="0" w:space="0" w:color="auto"/>
                <w:right w:val="none" w:sz="0" w:space="0" w:color="auto"/>
              </w:divBdr>
            </w:div>
          </w:divsChild>
        </w:div>
        <w:div w:id="560602261">
          <w:marLeft w:val="0"/>
          <w:marRight w:val="0"/>
          <w:marTop w:val="0"/>
          <w:marBottom w:val="0"/>
          <w:divBdr>
            <w:top w:val="none" w:sz="0" w:space="0" w:color="auto"/>
            <w:left w:val="none" w:sz="0" w:space="0" w:color="auto"/>
            <w:bottom w:val="none" w:sz="0" w:space="0" w:color="auto"/>
            <w:right w:val="none" w:sz="0" w:space="0" w:color="auto"/>
          </w:divBdr>
          <w:divsChild>
            <w:div w:id="1888179514">
              <w:marLeft w:val="0"/>
              <w:marRight w:val="0"/>
              <w:marTop w:val="0"/>
              <w:marBottom w:val="0"/>
              <w:divBdr>
                <w:top w:val="none" w:sz="0" w:space="0" w:color="auto"/>
                <w:left w:val="none" w:sz="0" w:space="0" w:color="auto"/>
                <w:bottom w:val="none" w:sz="0" w:space="0" w:color="auto"/>
                <w:right w:val="none" w:sz="0" w:space="0" w:color="auto"/>
              </w:divBdr>
            </w:div>
          </w:divsChild>
        </w:div>
        <w:div w:id="757094910">
          <w:marLeft w:val="0"/>
          <w:marRight w:val="0"/>
          <w:marTop w:val="0"/>
          <w:marBottom w:val="0"/>
          <w:divBdr>
            <w:top w:val="none" w:sz="0" w:space="0" w:color="auto"/>
            <w:left w:val="none" w:sz="0" w:space="0" w:color="auto"/>
            <w:bottom w:val="none" w:sz="0" w:space="0" w:color="auto"/>
            <w:right w:val="none" w:sz="0" w:space="0" w:color="auto"/>
          </w:divBdr>
          <w:divsChild>
            <w:div w:id="359356083">
              <w:marLeft w:val="0"/>
              <w:marRight w:val="0"/>
              <w:marTop w:val="0"/>
              <w:marBottom w:val="0"/>
              <w:divBdr>
                <w:top w:val="none" w:sz="0" w:space="0" w:color="auto"/>
                <w:left w:val="none" w:sz="0" w:space="0" w:color="auto"/>
                <w:bottom w:val="none" w:sz="0" w:space="0" w:color="auto"/>
                <w:right w:val="none" w:sz="0" w:space="0" w:color="auto"/>
              </w:divBdr>
            </w:div>
          </w:divsChild>
        </w:div>
        <w:div w:id="868641289">
          <w:marLeft w:val="0"/>
          <w:marRight w:val="0"/>
          <w:marTop w:val="0"/>
          <w:marBottom w:val="0"/>
          <w:divBdr>
            <w:top w:val="none" w:sz="0" w:space="0" w:color="auto"/>
            <w:left w:val="none" w:sz="0" w:space="0" w:color="auto"/>
            <w:bottom w:val="none" w:sz="0" w:space="0" w:color="auto"/>
            <w:right w:val="none" w:sz="0" w:space="0" w:color="auto"/>
          </w:divBdr>
          <w:divsChild>
            <w:div w:id="2111583634">
              <w:marLeft w:val="0"/>
              <w:marRight w:val="0"/>
              <w:marTop w:val="0"/>
              <w:marBottom w:val="0"/>
              <w:divBdr>
                <w:top w:val="none" w:sz="0" w:space="0" w:color="auto"/>
                <w:left w:val="none" w:sz="0" w:space="0" w:color="auto"/>
                <w:bottom w:val="none" w:sz="0" w:space="0" w:color="auto"/>
                <w:right w:val="none" w:sz="0" w:space="0" w:color="auto"/>
              </w:divBdr>
            </w:div>
          </w:divsChild>
        </w:div>
        <w:div w:id="928540225">
          <w:marLeft w:val="0"/>
          <w:marRight w:val="0"/>
          <w:marTop w:val="0"/>
          <w:marBottom w:val="0"/>
          <w:divBdr>
            <w:top w:val="none" w:sz="0" w:space="0" w:color="auto"/>
            <w:left w:val="none" w:sz="0" w:space="0" w:color="auto"/>
            <w:bottom w:val="none" w:sz="0" w:space="0" w:color="auto"/>
            <w:right w:val="none" w:sz="0" w:space="0" w:color="auto"/>
          </w:divBdr>
          <w:divsChild>
            <w:div w:id="1521043596">
              <w:marLeft w:val="0"/>
              <w:marRight w:val="0"/>
              <w:marTop w:val="0"/>
              <w:marBottom w:val="0"/>
              <w:divBdr>
                <w:top w:val="none" w:sz="0" w:space="0" w:color="auto"/>
                <w:left w:val="none" w:sz="0" w:space="0" w:color="auto"/>
                <w:bottom w:val="none" w:sz="0" w:space="0" w:color="auto"/>
                <w:right w:val="none" w:sz="0" w:space="0" w:color="auto"/>
              </w:divBdr>
            </w:div>
          </w:divsChild>
        </w:div>
        <w:div w:id="945694762">
          <w:marLeft w:val="0"/>
          <w:marRight w:val="0"/>
          <w:marTop w:val="0"/>
          <w:marBottom w:val="0"/>
          <w:divBdr>
            <w:top w:val="none" w:sz="0" w:space="0" w:color="auto"/>
            <w:left w:val="none" w:sz="0" w:space="0" w:color="auto"/>
            <w:bottom w:val="none" w:sz="0" w:space="0" w:color="auto"/>
            <w:right w:val="none" w:sz="0" w:space="0" w:color="auto"/>
          </w:divBdr>
          <w:divsChild>
            <w:div w:id="1431468953">
              <w:marLeft w:val="0"/>
              <w:marRight w:val="0"/>
              <w:marTop w:val="0"/>
              <w:marBottom w:val="0"/>
              <w:divBdr>
                <w:top w:val="none" w:sz="0" w:space="0" w:color="auto"/>
                <w:left w:val="none" w:sz="0" w:space="0" w:color="auto"/>
                <w:bottom w:val="none" w:sz="0" w:space="0" w:color="auto"/>
                <w:right w:val="none" w:sz="0" w:space="0" w:color="auto"/>
              </w:divBdr>
            </w:div>
          </w:divsChild>
        </w:div>
        <w:div w:id="977998639">
          <w:marLeft w:val="0"/>
          <w:marRight w:val="0"/>
          <w:marTop w:val="0"/>
          <w:marBottom w:val="0"/>
          <w:divBdr>
            <w:top w:val="none" w:sz="0" w:space="0" w:color="auto"/>
            <w:left w:val="none" w:sz="0" w:space="0" w:color="auto"/>
            <w:bottom w:val="none" w:sz="0" w:space="0" w:color="auto"/>
            <w:right w:val="none" w:sz="0" w:space="0" w:color="auto"/>
          </w:divBdr>
          <w:divsChild>
            <w:div w:id="1840999403">
              <w:marLeft w:val="0"/>
              <w:marRight w:val="0"/>
              <w:marTop w:val="0"/>
              <w:marBottom w:val="0"/>
              <w:divBdr>
                <w:top w:val="none" w:sz="0" w:space="0" w:color="auto"/>
                <w:left w:val="none" w:sz="0" w:space="0" w:color="auto"/>
                <w:bottom w:val="none" w:sz="0" w:space="0" w:color="auto"/>
                <w:right w:val="none" w:sz="0" w:space="0" w:color="auto"/>
              </w:divBdr>
            </w:div>
          </w:divsChild>
        </w:div>
        <w:div w:id="1165514757">
          <w:marLeft w:val="0"/>
          <w:marRight w:val="0"/>
          <w:marTop w:val="0"/>
          <w:marBottom w:val="0"/>
          <w:divBdr>
            <w:top w:val="none" w:sz="0" w:space="0" w:color="auto"/>
            <w:left w:val="none" w:sz="0" w:space="0" w:color="auto"/>
            <w:bottom w:val="none" w:sz="0" w:space="0" w:color="auto"/>
            <w:right w:val="none" w:sz="0" w:space="0" w:color="auto"/>
          </w:divBdr>
          <w:divsChild>
            <w:div w:id="192959812">
              <w:marLeft w:val="0"/>
              <w:marRight w:val="0"/>
              <w:marTop w:val="0"/>
              <w:marBottom w:val="0"/>
              <w:divBdr>
                <w:top w:val="none" w:sz="0" w:space="0" w:color="auto"/>
                <w:left w:val="none" w:sz="0" w:space="0" w:color="auto"/>
                <w:bottom w:val="none" w:sz="0" w:space="0" w:color="auto"/>
                <w:right w:val="none" w:sz="0" w:space="0" w:color="auto"/>
              </w:divBdr>
            </w:div>
          </w:divsChild>
        </w:div>
        <w:div w:id="1276139385">
          <w:marLeft w:val="0"/>
          <w:marRight w:val="0"/>
          <w:marTop w:val="0"/>
          <w:marBottom w:val="0"/>
          <w:divBdr>
            <w:top w:val="none" w:sz="0" w:space="0" w:color="auto"/>
            <w:left w:val="none" w:sz="0" w:space="0" w:color="auto"/>
            <w:bottom w:val="none" w:sz="0" w:space="0" w:color="auto"/>
            <w:right w:val="none" w:sz="0" w:space="0" w:color="auto"/>
          </w:divBdr>
          <w:divsChild>
            <w:div w:id="1707371763">
              <w:marLeft w:val="0"/>
              <w:marRight w:val="0"/>
              <w:marTop w:val="0"/>
              <w:marBottom w:val="0"/>
              <w:divBdr>
                <w:top w:val="none" w:sz="0" w:space="0" w:color="auto"/>
                <w:left w:val="none" w:sz="0" w:space="0" w:color="auto"/>
                <w:bottom w:val="none" w:sz="0" w:space="0" w:color="auto"/>
                <w:right w:val="none" w:sz="0" w:space="0" w:color="auto"/>
              </w:divBdr>
            </w:div>
          </w:divsChild>
        </w:div>
        <w:div w:id="1396010395">
          <w:marLeft w:val="0"/>
          <w:marRight w:val="0"/>
          <w:marTop w:val="0"/>
          <w:marBottom w:val="0"/>
          <w:divBdr>
            <w:top w:val="none" w:sz="0" w:space="0" w:color="auto"/>
            <w:left w:val="none" w:sz="0" w:space="0" w:color="auto"/>
            <w:bottom w:val="none" w:sz="0" w:space="0" w:color="auto"/>
            <w:right w:val="none" w:sz="0" w:space="0" w:color="auto"/>
          </w:divBdr>
          <w:divsChild>
            <w:div w:id="522788885">
              <w:marLeft w:val="0"/>
              <w:marRight w:val="0"/>
              <w:marTop w:val="0"/>
              <w:marBottom w:val="0"/>
              <w:divBdr>
                <w:top w:val="none" w:sz="0" w:space="0" w:color="auto"/>
                <w:left w:val="none" w:sz="0" w:space="0" w:color="auto"/>
                <w:bottom w:val="none" w:sz="0" w:space="0" w:color="auto"/>
                <w:right w:val="none" w:sz="0" w:space="0" w:color="auto"/>
              </w:divBdr>
            </w:div>
          </w:divsChild>
        </w:div>
        <w:div w:id="1428119536">
          <w:marLeft w:val="0"/>
          <w:marRight w:val="0"/>
          <w:marTop w:val="0"/>
          <w:marBottom w:val="0"/>
          <w:divBdr>
            <w:top w:val="none" w:sz="0" w:space="0" w:color="auto"/>
            <w:left w:val="none" w:sz="0" w:space="0" w:color="auto"/>
            <w:bottom w:val="none" w:sz="0" w:space="0" w:color="auto"/>
            <w:right w:val="none" w:sz="0" w:space="0" w:color="auto"/>
          </w:divBdr>
          <w:divsChild>
            <w:div w:id="83958641">
              <w:marLeft w:val="0"/>
              <w:marRight w:val="0"/>
              <w:marTop w:val="0"/>
              <w:marBottom w:val="0"/>
              <w:divBdr>
                <w:top w:val="none" w:sz="0" w:space="0" w:color="auto"/>
                <w:left w:val="none" w:sz="0" w:space="0" w:color="auto"/>
                <w:bottom w:val="none" w:sz="0" w:space="0" w:color="auto"/>
                <w:right w:val="none" w:sz="0" w:space="0" w:color="auto"/>
              </w:divBdr>
            </w:div>
            <w:div w:id="385107834">
              <w:marLeft w:val="0"/>
              <w:marRight w:val="0"/>
              <w:marTop w:val="0"/>
              <w:marBottom w:val="0"/>
              <w:divBdr>
                <w:top w:val="none" w:sz="0" w:space="0" w:color="auto"/>
                <w:left w:val="none" w:sz="0" w:space="0" w:color="auto"/>
                <w:bottom w:val="none" w:sz="0" w:space="0" w:color="auto"/>
                <w:right w:val="none" w:sz="0" w:space="0" w:color="auto"/>
              </w:divBdr>
            </w:div>
            <w:div w:id="678309623">
              <w:marLeft w:val="0"/>
              <w:marRight w:val="0"/>
              <w:marTop w:val="0"/>
              <w:marBottom w:val="0"/>
              <w:divBdr>
                <w:top w:val="none" w:sz="0" w:space="0" w:color="auto"/>
                <w:left w:val="none" w:sz="0" w:space="0" w:color="auto"/>
                <w:bottom w:val="none" w:sz="0" w:space="0" w:color="auto"/>
                <w:right w:val="none" w:sz="0" w:space="0" w:color="auto"/>
              </w:divBdr>
            </w:div>
            <w:div w:id="972367227">
              <w:marLeft w:val="0"/>
              <w:marRight w:val="0"/>
              <w:marTop w:val="0"/>
              <w:marBottom w:val="0"/>
              <w:divBdr>
                <w:top w:val="none" w:sz="0" w:space="0" w:color="auto"/>
                <w:left w:val="none" w:sz="0" w:space="0" w:color="auto"/>
                <w:bottom w:val="none" w:sz="0" w:space="0" w:color="auto"/>
                <w:right w:val="none" w:sz="0" w:space="0" w:color="auto"/>
              </w:divBdr>
            </w:div>
            <w:div w:id="1045527414">
              <w:marLeft w:val="0"/>
              <w:marRight w:val="0"/>
              <w:marTop w:val="0"/>
              <w:marBottom w:val="0"/>
              <w:divBdr>
                <w:top w:val="none" w:sz="0" w:space="0" w:color="auto"/>
                <w:left w:val="none" w:sz="0" w:space="0" w:color="auto"/>
                <w:bottom w:val="none" w:sz="0" w:space="0" w:color="auto"/>
                <w:right w:val="none" w:sz="0" w:space="0" w:color="auto"/>
              </w:divBdr>
            </w:div>
            <w:div w:id="1239172971">
              <w:marLeft w:val="0"/>
              <w:marRight w:val="0"/>
              <w:marTop w:val="0"/>
              <w:marBottom w:val="0"/>
              <w:divBdr>
                <w:top w:val="none" w:sz="0" w:space="0" w:color="auto"/>
                <w:left w:val="none" w:sz="0" w:space="0" w:color="auto"/>
                <w:bottom w:val="none" w:sz="0" w:space="0" w:color="auto"/>
                <w:right w:val="none" w:sz="0" w:space="0" w:color="auto"/>
              </w:divBdr>
            </w:div>
            <w:div w:id="1448161707">
              <w:marLeft w:val="0"/>
              <w:marRight w:val="0"/>
              <w:marTop w:val="0"/>
              <w:marBottom w:val="0"/>
              <w:divBdr>
                <w:top w:val="none" w:sz="0" w:space="0" w:color="auto"/>
                <w:left w:val="none" w:sz="0" w:space="0" w:color="auto"/>
                <w:bottom w:val="none" w:sz="0" w:space="0" w:color="auto"/>
                <w:right w:val="none" w:sz="0" w:space="0" w:color="auto"/>
              </w:divBdr>
            </w:div>
            <w:div w:id="1764691520">
              <w:marLeft w:val="0"/>
              <w:marRight w:val="0"/>
              <w:marTop w:val="0"/>
              <w:marBottom w:val="0"/>
              <w:divBdr>
                <w:top w:val="none" w:sz="0" w:space="0" w:color="auto"/>
                <w:left w:val="none" w:sz="0" w:space="0" w:color="auto"/>
                <w:bottom w:val="none" w:sz="0" w:space="0" w:color="auto"/>
                <w:right w:val="none" w:sz="0" w:space="0" w:color="auto"/>
              </w:divBdr>
            </w:div>
            <w:div w:id="1832284083">
              <w:marLeft w:val="0"/>
              <w:marRight w:val="0"/>
              <w:marTop w:val="0"/>
              <w:marBottom w:val="0"/>
              <w:divBdr>
                <w:top w:val="none" w:sz="0" w:space="0" w:color="auto"/>
                <w:left w:val="none" w:sz="0" w:space="0" w:color="auto"/>
                <w:bottom w:val="none" w:sz="0" w:space="0" w:color="auto"/>
                <w:right w:val="none" w:sz="0" w:space="0" w:color="auto"/>
              </w:divBdr>
            </w:div>
            <w:div w:id="1838765502">
              <w:marLeft w:val="0"/>
              <w:marRight w:val="0"/>
              <w:marTop w:val="0"/>
              <w:marBottom w:val="0"/>
              <w:divBdr>
                <w:top w:val="none" w:sz="0" w:space="0" w:color="auto"/>
                <w:left w:val="none" w:sz="0" w:space="0" w:color="auto"/>
                <w:bottom w:val="none" w:sz="0" w:space="0" w:color="auto"/>
                <w:right w:val="none" w:sz="0" w:space="0" w:color="auto"/>
              </w:divBdr>
            </w:div>
            <w:div w:id="1948737413">
              <w:marLeft w:val="0"/>
              <w:marRight w:val="0"/>
              <w:marTop w:val="0"/>
              <w:marBottom w:val="0"/>
              <w:divBdr>
                <w:top w:val="none" w:sz="0" w:space="0" w:color="auto"/>
                <w:left w:val="none" w:sz="0" w:space="0" w:color="auto"/>
                <w:bottom w:val="none" w:sz="0" w:space="0" w:color="auto"/>
                <w:right w:val="none" w:sz="0" w:space="0" w:color="auto"/>
              </w:divBdr>
            </w:div>
            <w:div w:id="2061443177">
              <w:marLeft w:val="0"/>
              <w:marRight w:val="0"/>
              <w:marTop w:val="0"/>
              <w:marBottom w:val="0"/>
              <w:divBdr>
                <w:top w:val="none" w:sz="0" w:space="0" w:color="auto"/>
                <w:left w:val="none" w:sz="0" w:space="0" w:color="auto"/>
                <w:bottom w:val="none" w:sz="0" w:space="0" w:color="auto"/>
                <w:right w:val="none" w:sz="0" w:space="0" w:color="auto"/>
              </w:divBdr>
            </w:div>
          </w:divsChild>
        </w:div>
        <w:div w:id="1641768320">
          <w:marLeft w:val="0"/>
          <w:marRight w:val="0"/>
          <w:marTop w:val="0"/>
          <w:marBottom w:val="0"/>
          <w:divBdr>
            <w:top w:val="none" w:sz="0" w:space="0" w:color="auto"/>
            <w:left w:val="none" w:sz="0" w:space="0" w:color="auto"/>
            <w:bottom w:val="none" w:sz="0" w:space="0" w:color="auto"/>
            <w:right w:val="none" w:sz="0" w:space="0" w:color="auto"/>
          </w:divBdr>
          <w:divsChild>
            <w:div w:id="2000497156">
              <w:marLeft w:val="0"/>
              <w:marRight w:val="0"/>
              <w:marTop w:val="0"/>
              <w:marBottom w:val="0"/>
              <w:divBdr>
                <w:top w:val="none" w:sz="0" w:space="0" w:color="auto"/>
                <w:left w:val="none" w:sz="0" w:space="0" w:color="auto"/>
                <w:bottom w:val="none" w:sz="0" w:space="0" w:color="auto"/>
                <w:right w:val="none" w:sz="0" w:space="0" w:color="auto"/>
              </w:divBdr>
            </w:div>
          </w:divsChild>
        </w:div>
        <w:div w:id="1702246180">
          <w:marLeft w:val="0"/>
          <w:marRight w:val="0"/>
          <w:marTop w:val="0"/>
          <w:marBottom w:val="0"/>
          <w:divBdr>
            <w:top w:val="none" w:sz="0" w:space="0" w:color="auto"/>
            <w:left w:val="none" w:sz="0" w:space="0" w:color="auto"/>
            <w:bottom w:val="none" w:sz="0" w:space="0" w:color="auto"/>
            <w:right w:val="none" w:sz="0" w:space="0" w:color="auto"/>
          </w:divBdr>
          <w:divsChild>
            <w:div w:id="1898275769">
              <w:marLeft w:val="0"/>
              <w:marRight w:val="0"/>
              <w:marTop w:val="0"/>
              <w:marBottom w:val="0"/>
              <w:divBdr>
                <w:top w:val="none" w:sz="0" w:space="0" w:color="auto"/>
                <w:left w:val="none" w:sz="0" w:space="0" w:color="auto"/>
                <w:bottom w:val="none" w:sz="0" w:space="0" w:color="auto"/>
                <w:right w:val="none" w:sz="0" w:space="0" w:color="auto"/>
              </w:divBdr>
            </w:div>
          </w:divsChild>
        </w:div>
        <w:div w:id="1806308455">
          <w:marLeft w:val="0"/>
          <w:marRight w:val="0"/>
          <w:marTop w:val="0"/>
          <w:marBottom w:val="0"/>
          <w:divBdr>
            <w:top w:val="none" w:sz="0" w:space="0" w:color="auto"/>
            <w:left w:val="none" w:sz="0" w:space="0" w:color="auto"/>
            <w:bottom w:val="none" w:sz="0" w:space="0" w:color="auto"/>
            <w:right w:val="none" w:sz="0" w:space="0" w:color="auto"/>
          </w:divBdr>
          <w:divsChild>
            <w:div w:id="203952064">
              <w:marLeft w:val="0"/>
              <w:marRight w:val="0"/>
              <w:marTop w:val="0"/>
              <w:marBottom w:val="0"/>
              <w:divBdr>
                <w:top w:val="none" w:sz="0" w:space="0" w:color="auto"/>
                <w:left w:val="none" w:sz="0" w:space="0" w:color="auto"/>
                <w:bottom w:val="none" w:sz="0" w:space="0" w:color="auto"/>
                <w:right w:val="none" w:sz="0" w:space="0" w:color="auto"/>
              </w:divBdr>
            </w:div>
            <w:div w:id="523518131">
              <w:marLeft w:val="0"/>
              <w:marRight w:val="0"/>
              <w:marTop w:val="0"/>
              <w:marBottom w:val="0"/>
              <w:divBdr>
                <w:top w:val="none" w:sz="0" w:space="0" w:color="auto"/>
                <w:left w:val="none" w:sz="0" w:space="0" w:color="auto"/>
                <w:bottom w:val="none" w:sz="0" w:space="0" w:color="auto"/>
                <w:right w:val="none" w:sz="0" w:space="0" w:color="auto"/>
              </w:divBdr>
            </w:div>
            <w:div w:id="637876193">
              <w:marLeft w:val="0"/>
              <w:marRight w:val="0"/>
              <w:marTop w:val="0"/>
              <w:marBottom w:val="0"/>
              <w:divBdr>
                <w:top w:val="none" w:sz="0" w:space="0" w:color="auto"/>
                <w:left w:val="none" w:sz="0" w:space="0" w:color="auto"/>
                <w:bottom w:val="none" w:sz="0" w:space="0" w:color="auto"/>
                <w:right w:val="none" w:sz="0" w:space="0" w:color="auto"/>
              </w:divBdr>
            </w:div>
            <w:div w:id="859316260">
              <w:marLeft w:val="0"/>
              <w:marRight w:val="0"/>
              <w:marTop w:val="0"/>
              <w:marBottom w:val="0"/>
              <w:divBdr>
                <w:top w:val="none" w:sz="0" w:space="0" w:color="auto"/>
                <w:left w:val="none" w:sz="0" w:space="0" w:color="auto"/>
                <w:bottom w:val="none" w:sz="0" w:space="0" w:color="auto"/>
                <w:right w:val="none" w:sz="0" w:space="0" w:color="auto"/>
              </w:divBdr>
            </w:div>
            <w:div w:id="862209246">
              <w:marLeft w:val="0"/>
              <w:marRight w:val="0"/>
              <w:marTop w:val="0"/>
              <w:marBottom w:val="0"/>
              <w:divBdr>
                <w:top w:val="none" w:sz="0" w:space="0" w:color="auto"/>
                <w:left w:val="none" w:sz="0" w:space="0" w:color="auto"/>
                <w:bottom w:val="none" w:sz="0" w:space="0" w:color="auto"/>
                <w:right w:val="none" w:sz="0" w:space="0" w:color="auto"/>
              </w:divBdr>
            </w:div>
            <w:div w:id="888299332">
              <w:marLeft w:val="0"/>
              <w:marRight w:val="0"/>
              <w:marTop w:val="0"/>
              <w:marBottom w:val="0"/>
              <w:divBdr>
                <w:top w:val="none" w:sz="0" w:space="0" w:color="auto"/>
                <w:left w:val="none" w:sz="0" w:space="0" w:color="auto"/>
                <w:bottom w:val="none" w:sz="0" w:space="0" w:color="auto"/>
                <w:right w:val="none" w:sz="0" w:space="0" w:color="auto"/>
              </w:divBdr>
            </w:div>
            <w:div w:id="920984574">
              <w:marLeft w:val="0"/>
              <w:marRight w:val="0"/>
              <w:marTop w:val="0"/>
              <w:marBottom w:val="0"/>
              <w:divBdr>
                <w:top w:val="none" w:sz="0" w:space="0" w:color="auto"/>
                <w:left w:val="none" w:sz="0" w:space="0" w:color="auto"/>
                <w:bottom w:val="none" w:sz="0" w:space="0" w:color="auto"/>
                <w:right w:val="none" w:sz="0" w:space="0" w:color="auto"/>
              </w:divBdr>
            </w:div>
            <w:div w:id="981350090">
              <w:marLeft w:val="0"/>
              <w:marRight w:val="0"/>
              <w:marTop w:val="0"/>
              <w:marBottom w:val="0"/>
              <w:divBdr>
                <w:top w:val="none" w:sz="0" w:space="0" w:color="auto"/>
                <w:left w:val="none" w:sz="0" w:space="0" w:color="auto"/>
                <w:bottom w:val="none" w:sz="0" w:space="0" w:color="auto"/>
                <w:right w:val="none" w:sz="0" w:space="0" w:color="auto"/>
              </w:divBdr>
            </w:div>
            <w:div w:id="1061174351">
              <w:marLeft w:val="0"/>
              <w:marRight w:val="0"/>
              <w:marTop w:val="0"/>
              <w:marBottom w:val="0"/>
              <w:divBdr>
                <w:top w:val="none" w:sz="0" w:space="0" w:color="auto"/>
                <w:left w:val="none" w:sz="0" w:space="0" w:color="auto"/>
                <w:bottom w:val="none" w:sz="0" w:space="0" w:color="auto"/>
                <w:right w:val="none" w:sz="0" w:space="0" w:color="auto"/>
              </w:divBdr>
            </w:div>
            <w:div w:id="1243415803">
              <w:marLeft w:val="0"/>
              <w:marRight w:val="0"/>
              <w:marTop w:val="0"/>
              <w:marBottom w:val="0"/>
              <w:divBdr>
                <w:top w:val="none" w:sz="0" w:space="0" w:color="auto"/>
                <w:left w:val="none" w:sz="0" w:space="0" w:color="auto"/>
                <w:bottom w:val="none" w:sz="0" w:space="0" w:color="auto"/>
                <w:right w:val="none" w:sz="0" w:space="0" w:color="auto"/>
              </w:divBdr>
            </w:div>
            <w:div w:id="1285304538">
              <w:marLeft w:val="0"/>
              <w:marRight w:val="0"/>
              <w:marTop w:val="0"/>
              <w:marBottom w:val="0"/>
              <w:divBdr>
                <w:top w:val="none" w:sz="0" w:space="0" w:color="auto"/>
                <w:left w:val="none" w:sz="0" w:space="0" w:color="auto"/>
                <w:bottom w:val="none" w:sz="0" w:space="0" w:color="auto"/>
                <w:right w:val="none" w:sz="0" w:space="0" w:color="auto"/>
              </w:divBdr>
            </w:div>
            <w:div w:id="1532691603">
              <w:marLeft w:val="0"/>
              <w:marRight w:val="0"/>
              <w:marTop w:val="0"/>
              <w:marBottom w:val="0"/>
              <w:divBdr>
                <w:top w:val="none" w:sz="0" w:space="0" w:color="auto"/>
                <w:left w:val="none" w:sz="0" w:space="0" w:color="auto"/>
                <w:bottom w:val="none" w:sz="0" w:space="0" w:color="auto"/>
                <w:right w:val="none" w:sz="0" w:space="0" w:color="auto"/>
              </w:divBdr>
            </w:div>
            <w:div w:id="1699236704">
              <w:marLeft w:val="0"/>
              <w:marRight w:val="0"/>
              <w:marTop w:val="0"/>
              <w:marBottom w:val="0"/>
              <w:divBdr>
                <w:top w:val="none" w:sz="0" w:space="0" w:color="auto"/>
                <w:left w:val="none" w:sz="0" w:space="0" w:color="auto"/>
                <w:bottom w:val="none" w:sz="0" w:space="0" w:color="auto"/>
                <w:right w:val="none" w:sz="0" w:space="0" w:color="auto"/>
              </w:divBdr>
            </w:div>
            <w:div w:id="1768885912">
              <w:marLeft w:val="0"/>
              <w:marRight w:val="0"/>
              <w:marTop w:val="0"/>
              <w:marBottom w:val="0"/>
              <w:divBdr>
                <w:top w:val="none" w:sz="0" w:space="0" w:color="auto"/>
                <w:left w:val="none" w:sz="0" w:space="0" w:color="auto"/>
                <w:bottom w:val="none" w:sz="0" w:space="0" w:color="auto"/>
                <w:right w:val="none" w:sz="0" w:space="0" w:color="auto"/>
              </w:divBdr>
            </w:div>
            <w:div w:id="1806041414">
              <w:marLeft w:val="0"/>
              <w:marRight w:val="0"/>
              <w:marTop w:val="0"/>
              <w:marBottom w:val="0"/>
              <w:divBdr>
                <w:top w:val="none" w:sz="0" w:space="0" w:color="auto"/>
                <w:left w:val="none" w:sz="0" w:space="0" w:color="auto"/>
                <w:bottom w:val="none" w:sz="0" w:space="0" w:color="auto"/>
                <w:right w:val="none" w:sz="0" w:space="0" w:color="auto"/>
              </w:divBdr>
            </w:div>
            <w:div w:id="1826706331">
              <w:marLeft w:val="0"/>
              <w:marRight w:val="0"/>
              <w:marTop w:val="0"/>
              <w:marBottom w:val="0"/>
              <w:divBdr>
                <w:top w:val="none" w:sz="0" w:space="0" w:color="auto"/>
                <w:left w:val="none" w:sz="0" w:space="0" w:color="auto"/>
                <w:bottom w:val="none" w:sz="0" w:space="0" w:color="auto"/>
                <w:right w:val="none" w:sz="0" w:space="0" w:color="auto"/>
              </w:divBdr>
            </w:div>
          </w:divsChild>
        </w:div>
        <w:div w:id="1836531516">
          <w:marLeft w:val="0"/>
          <w:marRight w:val="0"/>
          <w:marTop w:val="0"/>
          <w:marBottom w:val="0"/>
          <w:divBdr>
            <w:top w:val="none" w:sz="0" w:space="0" w:color="auto"/>
            <w:left w:val="none" w:sz="0" w:space="0" w:color="auto"/>
            <w:bottom w:val="none" w:sz="0" w:space="0" w:color="auto"/>
            <w:right w:val="none" w:sz="0" w:space="0" w:color="auto"/>
          </w:divBdr>
          <w:divsChild>
            <w:div w:id="1044211248">
              <w:marLeft w:val="0"/>
              <w:marRight w:val="0"/>
              <w:marTop w:val="0"/>
              <w:marBottom w:val="0"/>
              <w:divBdr>
                <w:top w:val="none" w:sz="0" w:space="0" w:color="auto"/>
                <w:left w:val="none" w:sz="0" w:space="0" w:color="auto"/>
                <w:bottom w:val="none" w:sz="0" w:space="0" w:color="auto"/>
                <w:right w:val="none" w:sz="0" w:space="0" w:color="auto"/>
              </w:divBdr>
            </w:div>
          </w:divsChild>
        </w:div>
        <w:div w:id="1839232187">
          <w:marLeft w:val="0"/>
          <w:marRight w:val="0"/>
          <w:marTop w:val="0"/>
          <w:marBottom w:val="0"/>
          <w:divBdr>
            <w:top w:val="none" w:sz="0" w:space="0" w:color="auto"/>
            <w:left w:val="none" w:sz="0" w:space="0" w:color="auto"/>
            <w:bottom w:val="none" w:sz="0" w:space="0" w:color="auto"/>
            <w:right w:val="none" w:sz="0" w:space="0" w:color="auto"/>
          </w:divBdr>
          <w:divsChild>
            <w:div w:id="581111765">
              <w:marLeft w:val="0"/>
              <w:marRight w:val="0"/>
              <w:marTop w:val="0"/>
              <w:marBottom w:val="0"/>
              <w:divBdr>
                <w:top w:val="none" w:sz="0" w:space="0" w:color="auto"/>
                <w:left w:val="none" w:sz="0" w:space="0" w:color="auto"/>
                <w:bottom w:val="none" w:sz="0" w:space="0" w:color="auto"/>
                <w:right w:val="none" w:sz="0" w:space="0" w:color="auto"/>
              </w:divBdr>
            </w:div>
            <w:div w:id="603151323">
              <w:marLeft w:val="0"/>
              <w:marRight w:val="0"/>
              <w:marTop w:val="0"/>
              <w:marBottom w:val="0"/>
              <w:divBdr>
                <w:top w:val="none" w:sz="0" w:space="0" w:color="auto"/>
                <w:left w:val="none" w:sz="0" w:space="0" w:color="auto"/>
                <w:bottom w:val="none" w:sz="0" w:space="0" w:color="auto"/>
                <w:right w:val="none" w:sz="0" w:space="0" w:color="auto"/>
              </w:divBdr>
            </w:div>
            <w:div w:id="1017541164">
              <w:marLeft w:val="0"/>
              <w:marRight w:val="0"/>
              <w:marTop w:val="0"/>
              <w:marBottom w:val="0"/>
              <w:divBdr>
                <w:top w:val="none" w:sz="0" w:space="0" w:color="auto"/>
                <w:left w:val="none" w:sz="0" w:space="0" w:color="auto"/>
                <w:bottom w:val="none" w:sz="0" w:space="0" w:color="auto"/>
                <w:right w:val="none" w:sz="0" w:space="0" w:color="auto"/>
              </w:divBdr>
            </w:div>
            <w:div w:id="1020274600">
              <w:marLeft w:val="0"/>
              <w:marRight w:val="0"/>
              <w:marTop w:val="0"/>
              <w:marBottom w:val="0"/>
              <w:divBdr>
                <w:top w:val="none" w:sz="0" w:space="0" w:color="auto"/>
                <w:left w:val="none" w:sz="0" w:space="0" w:color="auto"/>
                <w:bottom w:val="none" w:sz="0" w:space="0" w:color="auto"/>
                <w:right w:val="none" w:sz="0" w:space="0" w:color="auto"/>
              </w:divBdr>
            </w:div>
            <w:div w:id="1523009827">
              <w:marLeft w:val="0"/>
              <w:marRight w:val="0"/>
              <w:marTop w:val="0"/>
              <w:marBottom w:val="0"/>
              <w:divBdr>
                <w:top w:val="none" w:sz="0" w:space="0" w:color="auto"/>
                <w:left w:val="none" w:sz="0" w:space="0" w:color="auto"/>
                <w:bottom w:val="none" w:sz="0" w:space="0" w:color="auto"/>
                <w:right w:val="none" w:sz="0" w:space="0" w:color="auto"/>
              </w:divBdr>
            </w:div>
            <w:div w:id="1788307371">
              <w:marLeft w:val="0"/>
              <w:marRight w:val="0"/>
              <w:marTop w:val="0"/>
              <w:marBottom w:val="0"/>
              <w:divBdr>
                <w:top w:val="none" w:sz="0" w:space="0" w:color="auto"/>
                <w:left w:val="none" w:sz="0" w:space="0" w:color="auto"/>
                <w:bottom w:val="none" w:sz="0" w:space="0" w:color="auto"/>
                <w:right w:val="none" w:sz="0" w:space="0" w:color="auto"/>
              </w:divBdr>
            </w:div>
            <w:div w:id="1810005377">
              <w:marLeft w:val="0"/>
              <w:marRight w:val="0"/>
              <w:marTop w:val="0"/>
              <w:marBottom w:val="0"/>
              <w:divBdr>
                <w:top w:val="none" w:sz="0" w:space="0" w:color="auto"/>
                <w:left w:val="none" w:sz="0" w:space="0" w:color="auto"/>
                <w:bottom w:val="none" w:sz="0" w:space="0" w:color="auto"/>
                <w:right w:val="none" w:sz="0" w:space="0" w:color="auto"/>
              </w:divBdr>
            </w:div>
            <w:div w:id="2146242223">
              <w:marLeft w:val="0"/>
              <w:marRight w:val="0"/>
              <w:marTop w:val="0"/>
              <w:marBottom w:val="0"/>
              <w:divBdr>
                <w:top w:val="none" w:sz="0" w:space="0" w:color="auto"/>
                <w:left w:val="none" w:sz="0" w:space="0" w:color="auto"/>
                <w:bottom w:val="none" w:sz="0" w:space="0" w:color="auto"/>
                <w:right w:val="none" w:sz="0" w:space="0" w:color="auto"/>
              </w:divBdr>
            </w:div>
          </w:divsChild>
        </w:div>
        <w:div w:id="2092659952">
          <w:marLeft w:val="0"/>
          <w:marRight w:val="0"/>
          <w:marTop w:val="0"/>
          <w:marBottom w:val="0"/>
          <w:divBdr>
            <w:top w:val="none" w:sz="0" w:space="0" w:color="auto"/>
            <w:left w:val="none" w:sz="0" w:space="0" w:color="auto"/>
            <w:bottom w:val="none" w:sz="0" w:space="0" w:color="auto"/>
            <w:right w:val="none" w:sz="0" w:space="0" w:color="auto"/>
          </w:divBdr>
          <w:divsChild>
            <w:div w:id="6352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144012">
      <w:bodyDiv w:val="1"/>
      <w:marLeft w:val="0"/>
      <w:marRight w:val="0"/>
      <w:marTop w:val="0"/>
      <w:marBottom w:val="0"/>
      <w:divBdr>
        <w:top w:val="none" w:sz="0" w:space="0" w:color="auto"/>
        <w:left w:val="none" w:sz="0" w:space="0" w:color="auto"/>
        <w:bottom w:val="none" w:sz="0" w:space="0" w:color="auto"/>
        <w:right w:val="none" w:sz="0" w:space="0" w:color="auto"/>
      </w:divBdr>
      <w:divsChild>
        <w:div w:id="146745117">
          <w:marLeft w:val="0"/>
          <w:marRight w:val="0"/>
          <w:marTop w:val="0"/>
          <w:marBottom w:val="0"/>
          <w:divBdr>
            <w:top w:val="none" w:sz="0" w:space="0" w:color="auto"/>
            <w:left w:val="none" w:sz="0" w:space="0" w:color="auto"/>
            <w:bottom w:val="none" w:sz="0" w:space="0" w:color="auto"/>
            <w:right w:val="none" w:sz="0" w:space="0" w:color="auto"/>
          </w:divBdr>
        </w:div>
        <w:div w:id="302589604">
          <w:marLeft w:val="0"/>
          <w:marRight w:val="0"/>
          <w:marTop w:val="0"/>
          <w:marBottom w:val="0"/>
          <w:divBdr>
            <w:top w:val="none" w:sz="0" w:space="0" w:color="auto"/>
            <w:left w:val="none" w:sz="0" w:space="0" w:color="auto"/>
            <w:bottom w:val="none" w:sz="0" w:space="0" w:color="auto"/>
            <w:right w:val="none" w:sz="0" w:space="0" w:color="auto"/>
          </w:divBdr>
        </w:div>
        <w:div w:id="460071406">
          <w:marLeft w:val="0"/>
          <w:marRight w:val="0"/>
          <w:marTop w:val="0"/>
          <w:marBottom w:val="0"/>
          <w:divBdr>
            <w:top w:val="none" w:sz="0" w:space="0" w:color="auto"/>
            <w:left w:val="none" w:sz="0" w:space="0" w:color="auto"/>
            <w:bottom w:val="none" w:sz="0" w:space="0" w:color="auto"/>
            <w:right w:val="none" w:sz="0" w:space="0" w:color="auto"/>
          </w:divBdr>
        </w:div>
        <w:div w:id="636184705">
          <w:marLeft w:val="0"/>
          <w:marRight w:val="0"/>
          <w:marTop w:val="0"/>
          <w:marBottom w:val="0"/>
          <w:divBdr>
            <w:top w:val="none" w:sz="0" w:space="0" w:color="auto"/>
            <w:left w:val="none" w:sz="0" w:space="0" w:color="auto"/>
            <w:bottom w:val="none" w:sz="0" w:space="0" w:color="auto"/>
            <w:right w:val="none" w:sz="0" w:space="0" w:color="auto"/>
          </w:divBdr>
        </w:div>
        <w:div w:id="1109932775">
          <w:marLeft w:val="0"/>
          <w:marRight w:val="0"/>
          <w:marTop w:val="0"/>
          <w:marBottom w:val="0"/>
          <w:divBdr>
            <w:top w:val="none" w:sz="0" w:space="0" w:color="auto"/>
            <w:left w:val="none" w:sz="0" w:space="0" w:color="auto"/>
            <w:bottom w:val="none" w:sz="0" w:space="0" w:color="auto"/>
            <w:right w:val="none" w:sz="0" w:space="0" w:color="auto"/>
          </w:divBdr>
        </w:div>
        <w:div w:id="1748383651">
          <w:marLeft w:val="0"/>
          <w:marRight w:val="0"/>
          <w:marTop w:val="0"/>
          <w:marBottom w:val="0"/>
          <w:divBdr>
            <w:top w:val="none" w:sz="0" w:space="0" w:color="auto"/>
            <w:left w:val="none" w:sz="0" w:space="0" w:color="auto"/>
            <w:bottom w:val="none" w:sz="0" w:space="0" w:color="auto"/>
            <w:right w:val="none" w:sz="0" w:space="0" w:color="auto"/>
          </w:divBdr>
        </w:div>
        <w:div w:id="1859853437">
          <w:marLeft w:val="0"/>
          <w:marRight w:val="0"/>
          <w:marTop w:val="0"/>
          <w:marBottom w:val="0"/>
          <w:divBdr>
            <w:top w:val="none" w:sz="0" w:space="0" w:color="auto"/>
            <w:left w:val="none" w:sz="0" w:space="0" w:color="auto"/>
            <w:bottom w:val="none" w:sz="0" w:space="0" w:color="auto"/>
            <w:right w:val="none" w:sz="0" w:space="0" w:color="auto"/>
          </w:divBdr>
        </w:div>
      </w:divsChild>
    </w:div>
    <w:div w:id="1085957584">
      <w:bodyDiv w:val="1"/>
      <w:marLeft w:val="0"/>
      <w:marRight w:val="0"/>
      <w:marTop w:val="0"/>
      <w:marBottom w:val="0"/>
      <w:divBdr>
        <w:top w:val="none" w:sz="0" w:space="0" w:color="auto"/>
        <w:left w:val="none" w:sz="0" w:space="0" w:color="auto"/>
        <w:bottom w:val="none" w:sz="0" w:space="0" w:color="auto"/>
        <w:right w:val="none" w:sz="0" w:space="0" w:color="auto"/>
      </w:divBdr>
      <w:divsChild>
        <w:div w:id="419764577">
          <w:marLeft w:val="0"/>
          <w:marRight w:val="0"/>
          <w:marTop w:val="0"/>
          <w:marBottom w:val="0"/>
          <w:divBdr>
            <w:top w:val="none" w:sz="0" w:space="0" w:color="auto"/>
            <w:left w:val="none" w:sz="0" w:space="0" w:color="auto"/>
            <w:bottom w:val="none" w:sz="0" w:space="0" w:color="auto"/>
            <w:right w:val="none" w:sz="0" w:space="0" w:color="auto"/>
          </w:divBdr>
        </w:div>
        <w:div w:id="1072004883">
          <w:marLeft w:val="0"/>
          <w:marRight w:val="0"/>
          <w:marTop w:val="0"/>
          <w:marBottom w:val="0"/>
          <w:divBdr>
            <w:top w:val="none" w:sz="0" w:space="0" w:color="auto"/>
            <w:left w:val="none" w:sz="0" w:space="0" w:color="auto"/>
            <w:bottom w:val="none" w:sz="0" w:space="0" w:color="auto"/>
            <w:right w:val="none" w:sz="0" w:space="0" w:color="auto"/>
          </w:divBdr>
        </w:div>
      </w:divsChild>
    </w:div>
    <w:div w:id="1152792704">
      <w:bodyDiv w:val="1"/>
      <w:marLeft w:val="0"/>
      <w:marRight w:val="0"/>
      <w:marTop w:val="0"/>
      <w:marBottom w:val="0"/>
      <w:divBdr>
        <w:top w:val="none" w:sz="0" w:space="0" w:color="auto"/>
        <w:left w:val="none" w:sz="0" w:space="0" w:color="auto"/>
        <w:bottom w:val="none" w:sz="0" w:space="0" w:color="auto"/>
        <w:right w:val="none" w:sz="0" w:space="0" w:color="auto"/>
      </w:divBdr>
    </w:div>
    <w:div w:id="1161039796">
      <w:bodyDiv w:val="1"/>
      <w:marLeft w:val="0"/>
      <w:marRight w:val="0"/>
      <w:marTop w:val="0"/>
      <w:marBottom w:val="0"/>
      <w:divBdr>
        <w:top w:val="none" w:sz="0" w:space="0" w:color="auto"/>
        <w:left w:val="none" w:sz="0" w:space="0" w:color="auto"/>
        <w:bottom w:val="none" w:sz="0" w:space="0" w:color="auto"/>
        <w:right w:val="none" w:sz="0" w:space="0" w:color="auto"/>
      </w:divBdr>
    </w:div>
    <w:div w:id="1167405552">
      <w:bodyDiv w:val="1"/>
      <w:marLeft w:val="0"/>
      <w:marRight w:val="0"/>
      <w:marTop w:val="0"/>
      <w:marBottom w:val="0"/>
      <w:divBdr>
        <w:top w:val="none" w:sz="0" w:space="0" w:color="auto"/>
        <w:left w:val="none" w:sz="0" w:space="0" w:color="auto"/>
        <w:bottom w:val="none" w:sz="0" w:space="0" w:color="auto"/>
        <w:right w:val="none" w:sz="0" w:space="0" w:color="auto"/>
      </w:divBdr>
    </w:div>
    <w:div w:id="1179199152">
      <w:bodyDiv w:val="1"/>
      <w:marLeft w:val="0"/>
      <w:marRight w:val="0"/>
      <w:marTop w:val="0"/>
      <w:marBottom w:val="0"/>
      <w:divBdr>
        <w:top w:val="none" w:sz="0" w:space="0" w:color="auto"/>
        <w:left w:val="none" w:sz="0" w:space="0" w:color="auto"/>
        <w:bottom w:val="none" w:sz="0" w:space="0" w:color="auto"/>
        <w:right w:val="none" w:sz="0" w:space="0" w:color="auto"/>
      </w:divBdr>
    </w:div>
    <w:div w:id="1197036746">
      <w:bodyDiv w:val="1"/>
      <w:marLeft w:val="0"/>
      <w:marRight w:val="0"/>
      <w:marTop w:val="0"/>
      <w:marBottom w:val="0"/>
      <w:divBdr>
        <w:top w:val="none" w:sz="0" w:space="0" w:color="auto"/>
        <w:left w:val="none" w:sz="0" w:space="0" w:color="auto"/>
        <w:bottom w:val="none" w:sz="0" w:space="0" w:color="auto"/>
        <w:right w:val="none" w:sz="0" w:space="0" w:color="auto"/>
      </w:divBdr>
    </w:div>
    <w:div w:id="1205171275">
      <w:bodyDiv w:val="1"/>
      <w:marLeft w:val="0"/>
      <w:marRight w:val="0"/>
      <w:marTop w:val="0"/>
      <w:marBottom w:val="0"/>
      <w:divBdr>
        <w:top w:val="none" w:sz="0" w:space="0" w:color="auto"/>
        <w:left w:val="none" w:sz="0" w:space="0" w:color="auto"/>
        <w:bottom w:val="none" w:sz="0" w:space="0" w:color="auto"/>
        <w:right w:val="none" w:sz="0" w:space="0" w:color="auto"/>
      </w:divBdr>
      <w:divsChild>
        <w:div w:id="129518349">
          <w:marLeft w:val="0"/>
          <w:marRight w:val="0"/>
          <w:marTop w:val="0"/>
          <w:marBottom w:val="0"/>
          <w:divBdr>
            <w:top w:val="none" w:sz="0" w:space="0" w:color="auto"/>
            <w:left w:val="none" w:sz="0" w:space="0" w:color="auto"/>
            <w:bottom w:val="none" w:sz="0" w:space="0" w:color="auto"/>
            <w:right w:val="none" w:sz="0" w:space="0" w:color="auto"/>
          </w:divBdr>
        </w:div>
        <w:div w:id="1481921919">
          <w:marLeft w:val="0"/>
          <w:marRight w:val="0"/>
          <w:marTop w:val="0"/>
          <w:marBottom w:val="0"/>
          <w:divBdr>
            <w:top w:val="none" w:sz="0" w:space="0" w:color="auto"/>
            <w:left w:val="none" w:sz="0" w:space="0" w:color="auto"/>
            <w:bottom w:val="none" w:sz="0" w:space="0" w:color="auto"/>
            <w:right w:val="none" w:sz="0" w:space="0" w:color="auto"/>
          </w:divBdr>
        </w:div>
      </w:divsChild>
    </w:div>
    <w:div w:id="1257439361">
      <w:bodyDiv w:val="1"/>
      <w:marLeft w:val="0"/>
      <w:marRight w:val="0"/>
      <w:marTop w:val="0"/>
      <w:marBottom w:val="0"/>
      <w:divBdr>
        <w:top w:val="none" w:sz="0" w:space="0" w:color="auto"/>
        <w:left w:val="none" w:sz="0" w:space="0" w:color="auto"/>
        <w:bottom w:val="none" w:sz="0" w:space="0" w:color="auto"/>
        <w:right w:val="none" w:sz="0" w:space="0" w:color="auto"/>
      </w:divBdr>
    </w:div>
    <w:div w:id="1278564935">
      <w:bodyDiv w:val="1"/>
      <w:marLeft w:val="0"/>
      <w:marRight w:val="0"/>
      <w:marTop w:val="0"/>
      <w:marBottom w:val="0"/>
      <w:divBdr>
        <w:top w:val="none" w:sz="0" w:space="0" w:color="auto"/>
        <w:left w:val="none" w:sz="0" w:space="0" w:color="auto"/>
        <w:bottom w:val="none" w:sz="0" w:space="0" w:color="auto"/>
        <w:right w:val="none" w:sz="0" w:space="0" w:color="auto"/>
      </w:divBdr>
      <w:divsChild>
        <w:div w:id="67121320">
          <w:marLeft w:val="0"/>
          <w:marRight w:val="0"/>
          <w:marTop w:val="0"/>
          <w:marBottom w:val="0"/>
          <w:divBdr>
            <w:top w:val="none" w:sz="0" w:space="0" w:color="auto"/>
            <w:left w:val="none" w:sz="0" w:space="0" w:color="auto"/>
            <w:bottom w:val="none" w:sz="0" w:space="0" w:color="auto"/>
            <w:right w:val="none" w:sz="0" w:space="0" w:color="auto"/>
          </w:divBdr>
          <w:divsChild>
            <w:div w:id="200289110">
              <w:marLeft w:val="0"/>
              <w:marRight w:val="0"/>
              <w:marTop w:val="0"/>
              <w:marBottom w:val="0"/>
              <w:divBdr>
                <w:top w:val="none" w:sz="0" w:space="0" w:color="auto"/>
                <w:left w:val="none" w:sz="0" w:space="0" w:color="auto"/>
                <w:bottom w:val="none" w:sz="0" w:space="0" w:color="auto"/>
                <w:right w:val="none" w:sz="0" w:space="0" w:color="auto"/>
              </w:divBdr>
            </w:div>
          </w:divsChild>
        </w:div>
        <w:div w:id="166020214">
          <w:marLeft w:val="0"/>
          <w:marRight w:val="0"/>
          <w:marTop w:val="0"/>
          <w:marBottom w:val="0"/>
          <w:divBdr>
            <w:top w:val="none" w:sz="0" w:space="0" w:color="auto"/>
            <w:left w:val="none" w:sz="0" w:space="0" w:color="auto"/>
            <w:bottom w:val="none" w:sz="0" w:space="0" w:color="auto"/>
            <w:right w:val="none" w:sz="0" w:space="0" w:color="auto"/>
          </w:divBdr>
          <w:divsChild>
            <w:div w:id="329216365">
              <w:marLeft w:val="0"/>
              <w:marRight w:val="0"/>
              <w:marTop w:val="0"/>
              <w:marBottom w:val="0"/>
              <w:divBdr>
                <w:top w:val="none" w:sz="0" w:space="0" w:color="auto"/>
                <w:left w:val="none" w:sz="0" w:space="0" w:color="auto"/>
                <w:bottom w:val="none" w:sz="0" w:space="0" w:color="auto"/>
                <w:right w:val="none" w:sz="0" w:space="0" w:color="auto"/>
              </w:divBdr>
            </w:div>
          </w:divsChild>
        </w:div>
        <w:div w:id="513763123">
          <w:marLeft w:val="0"/>
          <w:marRight w:val="0"/>
          <w:marTop w:val="0"/>
          <w:marBottom w:val="0"/>
          <w:divBdr>
            <w:top w:val="none" w:sz="0" w:space="0" w:color="auto"/>
            <w:left w:val="none" w:sz="0" w:space="0" w:color="auto"/>
            <w:bottom w:val="none" w:sz="0" w:space="0" w:color="auto"/>
            <w:right w:val="none" w:sz="0" w:space="0" w:color="auto"/>
          </w:divBdr>
          <w:divsChild>
            <w:div w:id="1520505905">
              <w:marLeft w:val="0"/>
              <w:marRight w:val="0"/>
              <w:marTop w:val="0"/>
              <w:marBottom w:val="0"/>
              <w:divBdr>
                <w:top w:val="none" w:sz="0" w:space="0" w:color="auto"/>
                <w:left w:val="none" w:sz="0" w:space="0" w:color="auto"/>
                <w:bottom w:val="none" w:sz="0" w:space="0" w:color="auto"/>
                <w:right w:val="none" w:sz="0" w:space="0" w:color="auto"/>
              </w:divBdr>
            </w:div>
          </w:divsChild>
        </w:div>
        <w:div w:id="536238607">
          <w:marLeft w:val="0"/>
          <w:marRight w:val="0"/>
          <w:marTop w:val="0"/>
          <w:marBottom w:val="0"/>
          <w:divBdr>
            <w:top w:val="none" w:sz="0" w:space="0" w:color="auto"/>
            <w:left w:val="none" w:sz="0" w:space="0" w:color="auto"/>
            <w:bottom w:val="none" w:sz="0" w:space="0" w:color="auto"/>
            <w:right w:val="none" w:sz="0" w:space="0" w:color="auto"/>
          </w:divBdr>
          <w:divsChild>
            <w:div w:id="97062629">
              <w:marLeft w:val="0"/>
              <w:marRight w:val="0"/>
              <w:marTop w:val="0"/>
              <w:marBottom w:val="0"/>
              <w:divBdr>
                <w:top w:val="none" w:sz="0" w:space="0" w:color="auto"/>
                <w:left w:val="none" w:sz="0" w:space="0" w:color="auto"/>
                <w:bottom w:val="none" w:sz="0" w:space="0" w:color="auto"/>
                <w:right w:val="none" w:sz="0" w:space="0" w:color="auto"/>
              </w:divBdr>
            </w:div>
            <w:div w:id="420178761">
              <w:marLeft w:val="0"/>
              <w:marRight w:val="0"/>
              <w:marTop w:val="0"/>
              <w:marBottom w:val="0"/>
              <w:divBdr>
                <w:top w:val="none" w:sz="0" w:space="0" w:color="auto"/>
                <w:left w:val="none" w:sz="0" w:space="0" w:color="auto"/>
                <w:bottom w:val="none" w:sz="0" w:space="0" w:color="auto"/>
                <w:right w:val="none" w:sz="0" w:space="0" w:color="auto"/>
              </w:divBdr>
            </w:div>
            <w:div w:id="810757689">
              <w:marLeft w:val="0"/>
              <w:marRight w:val="0"/>
              <w:marTop w:val="0"/>
              <w:marBottom w:val="0"/>
              <w:divBdr>
                <w:top w:val="none" w:sz="0" w:space="0" w:color="auto"/>
                <w:left w:val="none" w:sz="0" w:space="0" w:color="auto"/>
                <w:bottom w:val="none" w:sz="0" w:space="0" w:color="auto"/>
                <w:right w:val="none" w:sz="0" w:space="0" w:color="auto"/>
              </w:divBdr>
            </w:div>
            <w:div w:id="1218739194">
              <w:marLeft w:val="0"/>
              <w:marRight w:val="0"/>
              <w:marTop w:val="0"/>
              <w:marBottom w:val="0"/>
              <w:divBdr>
                <w:top w:val="none" w:sz="0" w:space="0" w:color="auto"/>
                <w:left w:val="none" w:sz="0" w:space="0" w:color="auto"/>
                <w:bottom w:val="none" w:sz="0" w:space="0" w:color="auto"/>
                <w:right w:val="none" w:sz="0" w:space="0" w:color="auto"/>
              </w:divBdr>
            </w:div>
            <w:div w:id="1574973688">
              <w:marLeft w:val="0"/>
              <w:marRight w:val="0"/>
              <w:marTop w:val="0"/>
              <w:marBottom w:val="0"/>
              <w:divBdr>
                <w:top w:val="none" w:sz="0" w:space="0" w:color="auto"/>
                <w:left w:val="none" w:sz="0" w:space="0" w:color="auto"/>
                <w:bottom w:val="none" w:sz="0" w:space="0" w:color="auto"/>
                <w:right w:val="none" w:sz="0" w:space="0" w:color="auto"/>
              </w:divBdr>
            </w:div>
            <w:div w:id="1632126271">
              <w:marLeft w:val="0"/>
              <w:marRight w:val="0"/>
              <w:marTop w:val="0"/>
              <w:marBottom w:val="0"/>
              <w:divBdr>
                <w:top w:val="none" w:sz="0" w:space="0" w:color="auto"/>
                <w:left w:val="none" w:sz="0" w:space="0" w:color="auto"/>
                <w:bottom w:val="none" w:sz="0" w:space="0" w:color="auto"/>
                <w:right w:val="none" w:sz="0" w:space="0" w:color="auto"/>
              </w:divBdr>
            </w:div>
            <w:div w:id="1640839476">
              <w:marLeft w:val="0"/>
              <w:marRight w:val="0"/>
              <w:marTop w:val="0"/>
              <w:marBottom w:val="0"/>
              <w:divBdr>
                <w:top w:val="none" w:sz="0" w:space="0" w:color="auto"/>
                <w:left w:val="none" w:sz="0" w:space="0" w:color="auto"/>
                <w:bottom w:val="none" w:sz="0" w:space="0" w:color="auto"/>
                <w:right w:val="none" w:sz="0" w:space="0" w:color="auto"/>
              </w:divBdr>
            </w:div>
            <w:div w:id="1969509193">
              <w:marLeft w:val="0"/>
              <w:marRight w:val="0"/>
              <w:marTop w:val="0"/>
              <w:marBottom w:val="0"/>
              <w:divBdr>
                <w:top w:val="none" w:sz="0" w:space="0" w:color="auto"/>
                <w:left w:val="none" w:sz="0" w:space="0" w:color="auto"/>
                <w:bottom w:val="none" w:sz="0" w:space="0" w:color="auto"/>
                <w:right w:val="none" w:sz="0" w:space="0" w:color="auto"/>
              </w:divBdr>
            </w:div>
          </w:divsChild>
        </w:div>
        <w:div w:id="619412289">
          <w:marLeft w:val="0"/>
          <w:marRight w:val="0"/>
          <w:marTop w:val="0"/>
          <w:marBottom w:val="0"/>
          <w:divBdr>
            <w:top w:val="none" w:sz="0" w:space="0" w:color="auto"/>
            <w:left w:val="none" w:sz="0" w:space="0" w:color="auto"/>
            <w:bottom w:val="none" w:sz="0" w:space="0" w:color="auto"/>
            <w:right w:val="none" w:sz="0" w:space="0" w:color="auto"/>
          </w:divBdr>
          <w:divsChild>
            <w:div w:id="1904022420">
              <w:marLeft w:val="0"/>
              <w:marRight w:val="0"/>
              <w:marTop w:val="0"/>
              <w:marBottom w:val="0"/>
              <w:divBdr>
                <w:top w:val="none" w:sz="0" w:space="0" w:color="auto"/>
                <w:left w:val="none" w:sz="0" w:space="0" w:color="auto"/>
                <w:bottom w:val="none" w:sz="0" w:space="0" w:color="auto"/>
                <w:right w:val="none" w:sz="0" w:space="0" w:color="auto"/>
              </w:divBdr>
            </w:div>
          </w:divsChild>
        </w:div>
        <w:div w:id="675957107">
          <w:marLeft w:val="0"/>
          <w:marRight w:val="0"/>
          <w:marTop w:val="0"/>
          <w:marBottom w:val="0"/>
          <w:divBdr>
            <w:top w:val="none" w:sz="0" w:space="0" w:color="auto"/>
            <w:left w:val="none" w:sz="0" w:space="0" w:color="auto"/>
            <w:bottom w:val="none" w:sz="0" w:space="0" w:color="auto"/>
            <w:right w:val="none" w:sz="0" w:space="0" w:color="auto"/>
          </w:divBdr>
          <w:divsChild>
            <w:div w:id="2069571251">
              <w:marLeft w:val="0"/>
              <w:marRight w:val="0"/>
              <w:marTop w:val="0"/>
              <w:marBottom w:val="0"/>
              <w:divBdr>
                <w:top w:val="none" w:sz="0" w:space="0" w:color="auto"/>
                <w:left w:val="none" w:sz="0" w:space="0" w:color="auto"/>
                <w:bottom w:val="none" w:sz="0" w:space="0" w:color="auto"/>
                <w:right w:val="none" w:sz="0" w:space="0" w:color="auto"/>
              </w:divBdr>
            </w:div>
          </w:divsChild>
        </w:div>
        <w:div w:id="787819789">
          <w:marLeft w:val="0"/>
          <w:marRight w:val="0"/>
          <w:marTop w:val="0"/>
          <w:marBottom w:val="0"/>
          <w:divBdr>
            <w:top w:val="none" w:sz="0" w:space="0" w:color="auto"/>
            <w:left w:val="none" w:sz="0" w:space="0" w:color="auto"/>
            <w:bottom w:val="none" w:sz="0" w:space="0" w:color="auto"/>
            <w:right w:val="none" w:sz="0" w:space="0" w:color="auto"/>
          </w:divBdr>
          <w:divsChild>
            <w:div w:id="105545324">
              <w:marLeft w:val="0"/>
              <w:marRight w:val="0"/>
              <w:marTop w:val="0"/>
              <w:marBottom w:val="0"/>
              <w:divBdr>
                <w:top w:val="none" w:sz="0" w:space="0" w:color="auto"/>
                <w:left w:val="none" w:sz="0" w:space="0" w:color="auto"/>
                <w:bottom w:val="none" w:sz="0" w:space="0" w:color="auto"/>
                <w:right w:val="none" w:sz="0" w:space="0" w:color="auto"/>
              </w:divBdr>
            </w:div>
          </w:divsChild>
        </w:div>
        <w:div w:id="1129740840">
          <w:marLeft w:val="0"/>
          <w:marRight w:val="0"/>
          <w:marTop w:val="0"/>
          <w:marBottom w:val="0"/>
          <w:divBdr>
            <w:top w:val="none" w:sz="0" w:space="0" w:color="auto"/>
            <w:left w:val="none" w:sz="0" w:space="0" w:color="auto"/>
            <w:bottom w:val="none" w:sz="0" w:space="0" w:color="auto"/>
            <w:right w:val="none" w:sz="0" w:space="0" w:color="auto"/>
          </w:divBdr>
          <w:divsChild>
            <w:div w:id="1325478423">
              <w:marLeft w:val="0"/>
              <w:marRight w:val="0"/>
              <w:marTop w:val="0"/>
              <w:marBottom w:val="0"/>
              <w:divBdr>
                <w:top w:val="none" w:sz="0" w:space="0" w:color="auto"/>
                <w:left w:val="none" w:sz="0" w:space="0" w:color="auto"/>
                <w:bottom w:val="none" w:sz="0" w:space="0" w:color="auto"/>
                <w:right w:val="none" w:sz="0" w:space="0" w:color="auto"/>
              </w:divBdr>
            </w:div>
          </w:divsChild>
        </w:div>
        <w:div w:id="1227184888">
          <w:marLeft w:val="0"/>
          <w:marRight w:val="0"/>
          <w:marTop w:val="0"/>
          <w:marBottom w:val="0"/>
          <w:divBdr>
            <w:top w:val="none" w:sz="0" w:space="0" w:color="auto"/>
            <w:left w:val="none" w:sz="0" w:space="0" w:color="auto"/>
            <w:bottom w:val="none" w:sz="0" w:space="0" w:color="auto"/>
            <w:right w:val="none" w:sz="0" w:space="0" w:color="auto"/>
          </w:divBdr>
          <w:divsChild>
            <w:div w:id="881331396">
              <w:marLeft w:val="0"/>
              <w:marRight w:val="0"/>
              <w:marTop w:val="0"/>
              <w:marBottom w:val="0"/>
              <w:divBdr>
                <w:top w:val="none" w:sz="0" w:space="0" w:color="auto"/>
                <w:left w:val="none" w:sz="0" w:space="0" w:color="auto"/>
                <w:bottom w:val="none" w:sz="0" w:space="0" w:color="auto"/>
                <w:right w:val="none" w:sz="0" w:space="0" w:color="auto"/>
              </w:divBdr>
            </w:div>
          </w:divsChild>
        </w:div>
        <w:div w:id="1250775900">
          <w:marLeft w:val="0"/>
          <w:marRight w:val="0"/>
          <w:marTop w:val="0"/>
          <w:marBottom w:val="0"/>
          <w:divBdr>
            <w:top w:val="none" w:sz="0" w:space="0" w:color="auto"/>
            <w:left w:val="none" w:sz="0" w:space="0" w:color="auto"/>
            <w:bottom w:val="none" w:sz="0" w:space="0" w:color="auto"/>
            <w:right w:val="none" w:sz="0" w:space="0" w:color="auto"/>
          </w:divBdr>
          <w:divsChild>
            <w:div w:id="492181137">
              <w:marLeft w:val="0"/>
              <w:marRight w:val="0"/>
              <w:marTop w:val="0"/>
              <w:marBottom w:val="0"/>
              <w:divBdr>
                <w:top w:val="none" w:sz="0" w:space="0" w:color="auto"/>
                <w:left w:val="none" w:sz="0" w:space="0" w:color="auto"/>
                <w:bottom w:val="none" w:sz="0" w:space="0" w:color="auto"/>
                <w:right w:val="none" w:sz="0" w:space="0" w:color="auto"/>
              </w:divBdr>
            </w:div>
          </w:divsChild>
        </w:div>
        <w:div w:id="1271283903">
          <w:marLeft w:val="0"/>
          <w:marRight w:val="0"/>
          <w:marTop w:val="0"/>
          <w:marBottom w:val="0"/>
          <w:divBdr>
            <w:top w:val="none" w:sz="0" w:space="0" w:color="auto"/>
            <w:left w:val="none" w:sz="0" w:space="0" w:color="auto"/>
            <w:bottom w:val="none" w:sz="0" w:space="0" w:color="auto"/>
            <w:right w:val="none" w:sz="0" w:space="0" w:color="auto"/>
          </w:divBdr>
          <w:divsChild>
            <w:div w:id="2136025516">
              <w:marLeft w:val="0"/>
              <w:marRight w:val="0"/>
              <w:marTop w:val="0"/>
              <w:marBottom w:val="0"/>
              <w:divBdr>
                <w:top w:val="none" w:sz="0" w:space="0" w:color="auto"/>
                <w:left w:val="none" w:sz="0" w:space="0" w:color="auto"/>
                <w:bottom w:val="none" w:sz="0" w:space="0" w:color="auto"/>
                <w:right w:val="none" w:sz="0" w:space="0" w:color="auto"/>
              </w:divBdr>
            </w:div>
          </w:divsChild>
        </w:div>
        <w:div w:id="1288927870">
          <w:marLeft w:val="0"/>
          <w:marRight w:val="0"/>
          <w:marTop w:val="0"/>
          <w:marBottom w:val="0"/>
          <w:divBdr>
            <w:top w:val="none" w:sz="0" w:space="0" w:color="auto"/>
            <w:left w:val="none" w:sz="0" w:space="0" w:color="auto"/>
            <w:bottom w:val="none" w:sz="0" w:space="0" w:color="auto"/>
            <w:right w:val="none" w:sz="0" w:space="0" w:color="auto"/>
          </w:divBdr>
          <w:divsChild>
            <w:div w:id="1072699459">
              <w:marLeft w:val="0"/>
              <w:marRight w:val="0"/>
              <w:marTop w:val="0"/>
              <w:marBottom w:val="0"/>
              <w:divBdr>
                <w:top w:val="none" w:sz="0" w:space="0" w:color="auto"/>
                <w:left w:val="none" w:sz="0" w:space="0" w:color="auto"/>
                <w:bottom w:val="none" w:sz="0" w:space="0" w:color="auto"/>
                <w:right w:val="none" w:sz="0" w:space="0" w:color="auto"/>
              </w:divBdr>
            </w:div>
          </w:divsChild>
        </w:div>
        <w:div w:id="1310212507">
          <w:marLeft w:val="0"/>
          <w:marRight w:val="0"/>
          <w:marTop w:val="0"/>
          <w:marBottom w:val="0"/>
          <w:divBdr>
            <w:top w:val="none" w:sz="0" w:space="0" w:color="auto"/>
            <w:left w:val="none" w:sz="0" w:space="0" w:color="auto"/>
            <w:bottom w:val="none" w:sz="0" w:space="0" w:color="auto"/>
            <w:right w:val="none" w:sz="0" w:space="0" w:color="auto"/>
          </w:divBdr>
          <w:divsChild>
            <w:div w:id="1002658114">
              <w:marLeft w:val="0"/>
              <w:marRight w:val="0"/>
              <w:marTop w:val="0"/>
              <w:marBottom w:val="0"/>
              <w:divBdr>
                <w:top w:val="none" w:sz="0" w:space="0" w:color="auto"/>
                <w:left w:val="none" w:sz="0" w:space="0" w:color="auto"/>
                <w:bottom w:val="none" w:sz="0" w:space="0" w:color="auto"/>
                <w:right w:val="none" w:sz="0" w:space="0" w:color="auto"/>
              </w:divBdr>
            </w:div>
          </w:divsChild>
        </w:div>
        <w:div w:id="1477531901">
          <w:marLeft w:val="0"/>
          <w:marRight w:val="0"/>
          <w:marTop w:val="0"/>
          <w:marBottom w:val="0"/>
          <w:divBdr>
            <w:top w:val="none" w:sz="0" w:space="0" w:color="auto"/>
            <w:left w:val="none" w:sz="0" w:space="0" w:color="auto"/>
            <w:bottom w:val="none" w:sz="0" w:space="0" w:color="auto"/>
            <w:right w:val="none" w:sz="0" w:space="0" w:color="auto"/>
          </w:divBdr>
          <w:divsChild>
            <w:div w:id="1685399290">
              <w:marLeft w:val="0"/>
              <w:marRight w:val="0"/>
              <w:marTop w:val="0"/>
              <w:marBottom w:val="0"/>
              <w:divBdr>
                <w:top w:val="none" w:sz="0" w:space="0" w:color="auto"/>
                <w:left w:val="none" w:sz="0" w:space="0" w:color="auto"/>
                <w:bottom w:val="none" w:sz="0" w:space="0" w:color="auto"/>
                <w:right w:val="none" w:sz="0" w:space="0" w:color="auto"/>
              </w:divBdr>
            </w:div>
          </w:divsChild>
        </w:div>
        <w:div w:id="1708526404">
          <w:marLeft w:val="0"/>
          <w:marRight w:val="0"/>
          <w:marTop w:val="0"/>
          <w:marBottom w:val="0"/>
          <w:divBdr>
            <w:top w:val="none" w:sz="0" w:space="0" w:color="auto"/>
            <w:left w:val="none" w:sz="0" w:space="0" w:color="auto"/>
            <w:bottom w:val="none" w:sz="0" w:space="0" w:color="auto"/>
            <w:right w:val="none" w:sz="0" w:space="0" w:color="auto"/>
          </w:divBdr>
          <w:divsChild>
            <w:div w:id="222105185">
              <w:marLeft w:val="0"/>
              <w:marRight w:val="0"/>
              <w:marTop w:val="0"/>
              <w:marBottom w:val="0"/>
              <w:divBdr>
                <w:top w:val="none" w:sz="0" w:space="0" w:color="auto"/>
                <w:left w:val="none" w:sz="0" w:space="0" w:color="auto"/>
                <w:bottom w:val="none" w:sz="0" w:space="0" w:color="auto"/>
                <w:right w:val="none" w:sz="0" w:space="0" w:color="auto"/>
              </w:divBdr>
            </w:div>
            <w:div w:id="264072511">
              <w:marLeft w:val="0"/>
              <w:marRight w:val="0"/>
              <w:marTop w:val="0"/>
              <w:marBottom w:val="0"/>
              <w:divBdr>
                <w:top w:val="none" w:sz="0" w:space="0" w:color="auto"/>
                <w:left w:val="none" w:sz="0" w:space="0" w:color="auto"/>
                <w:bottom w:val="none" w:sz="0" w:space="0" w:color="auto"/>
                <w:right w:val="none" w:sz="0" w:space="0" w:color="auto"/>
              </w:divBdr>
            </w:div>
            <w:div w:id="402719261">
              <w:marLeft w:val="0"/>
              <w:marRight w:val="0"/>
              <w:marTop w:val="0"/>
              <w:marBottom w:val="0"/>
              <w:divBdr>
                <w:top w:val="none" w:sz="0" w:space="0" w:color="auto"/>
                <w:left w:val="none" w:sz="0" w:space="0" w:color="auto"/>
                <w:bottom w:val="none" w:sz="0" w:space="0" w:color="auto"/>
                <w:right w:val="none" w:sz="0" w:space="0" w:color="auto"/>
              </w:divBdr>
            </w:div>
            <w:div w:id="485166641">
              <w:marLeft w:val="0"/>
              <w:marRight w:val="0"/>
              <w:marTop w:val="0"/>
              <w:marBottom w:val="0"/>
              <w:divBdr>
                <w:top w:val="none" w:sz="0" w:space="0" w:color="auto"/>
                <w:left w:val="none" w:sz="0" w:space="0" w:color="auto"/>
                <w:bottom w:val="none" w:sz="0" w:space="0" w:color="auto"/>
                <w:right w:val="none" w:sz="0" w:space="0" w:color="auto"/>
              </w:divBdr>
            </w:div>
            <w:div w:id="705712370">
              <w:marLeft w:val="0"/>
              <w:marRight w:val="0"/>
              <w:marTop w:val="0"/>
              <w:marBottom w:val="0"/>
              <w:divBdr>
                <w:top w:val="none" w:sz="0" w:space="0" w:color="auto"/>
                <w:left w:val="none" w:sz="0" w:space="0" w:color="auto"/>
                <w:bottom w:val="none" w:sz="0" w:space="0" w:color="auto"/>
                <w:right w:val="none" w:sz="0" w:space="0" w:color="auto"/>
              </w:divBdr>
            </w:div>
            <w:div w:id="902760115">
              <w:marLeft w:val="0"/>
              <w:marRight w:val="0"/>
              <w:marTop w:val="0"/>
              <w:marBottom w:val="0"/>
              <w:divBdr>
                <w:top w:val="none" w:sz="0" w:space="0" w:color="auto"/>
                <w:left w:val="none" w:sz="0" w:space="0" w:color="auto"/>
                <w:bottom w:val="none" w:sz="0" w:space="0" w:color="auto"/>
                <w:right w:val="none" w:sz="0" w:space="0" w:color="auto"/>
              </w:divBdr>
            </w:div>
            <w:div w:id="1151291784">
              <w:marLeft w:val="0"/>
              <w:marRight w:val="0"/>
              <w:marTop w:val="0"/>
              <w:marBottom w:val="0"/>
              <w:divBdr>
                <w:top w:val="none" w:sz="0" w:space="0" w:color="auto"/>
                <w:left w:val="none" w:sz="0" w:space="0" w:color="auto"/>
                <w:bottom w:val="none" w:sz="0" w:space="0" w:color="auto"/>
                <w:right w:val="none" w:sz="0" w:space="0" w:color="auto"/>
              </w:divBdr>
            </w:div>
            <w:div w:id="1340549546">
              <w:marLeft w:val="0"/>
              <w:marRight w:val="0"/>
              <w:marTop w:val="0"/>
              <w:marBottom w:val="0"/>
              <w:divBdr>
                <w:top w:val="none" w:sz="0" w:space="0" w:color="auto"/>
                <w:left w:val="none" w:sz="0" w:space="0" w:color="auto"/>
                <w:bottom w:val="none" w:sz="0" w:space="0" w:color="auto"/>
                <w:right w:val="none" w:sz="0" w:space="0" w:color="auto"/>
              </w:divBdr>
            </w:div>
            <w:div w:id="1644264896">
              <w:marLeft w:val="0"/>
              <w:marRight w:val="0"/>
              <w:marTop w:val="0"/>
              <w:marBottom w:val="0"/>
              <w:divBdr>
                <w:top w:val="none" w:sz="0" w:space="0" w:color="auto"/>
                <w:left w:val="none" w:sz="0" w:space="0" w:color="auto"/>
                <w:bottom w:val="none" w:sz="0" w:space="0" w:color="auto"/>
                <w:right w:val="none" w:sz="0" w:space="0" w:color="auto"/>
              </w:divBdr>
            </w:div>
            <w:div w:id="1752727329">
              <w:marLeft w:val="0"/>
              <w:marRight w:val="0"/>
              <w:marTop w:val="0"/>
              <w:marBottom w:val="0"/>
              <w:divBdr>
                <w:top w:val="none" w:sz="0" w:space="0" w:color="auto"/>
                <w:left w:val="none" w:sz="0" w:space="0" w:color="auto"/>
                <w:bottom w:val="none" w:sz="0" w:space="0" w:color="auto"/>
                <w:right w:val="none" w:sz="0" w:space="0" w:color="auto"/>
              </w:divBdr>
            </w:div>
            <w:div w:id="1899050119">
              <w:marLeft w:val="0"/>
              <w:marRight w:val="0"/>
              <w:marTop w:val="0"/>
              <w:marBottom w:val="0"/>
              <w:divBdr>
                <w:top w:val="none" w:sz="0" w:space="0" w:color="auto"/>
                <w:left w:val="none" w:sz="0" w:space="0" w:color="auto"/>
                <w:bottom w:val="none" w:sz="0" w:space="0" w:color="auto"/>
                <w:right w:val="none" w:sz="0" w:space="0" w:color="auto"/>
              </w:divBdr>
            </w:div>
            <w:div w:id="2111853674">
              <w:marLeft w:val="0"/>
              <w:marRight w:val="0"/>
              <w:marTop w:val="0"/>
              <w:marBottom w:val="0"/>
              <w:divBdr>
                <w:top w:val="none" w:sz="0" w:space="0" w:color="auto"/>
                <w:left w:val="none" w:sz="0" w:space="0" w:color="auto"/>
                <w:bottom w:val="none" w:sz="0" w:space="0" w:color="auto"/>
                <w:right w:val="none" w:sz="0" w:space="0" w:color="auto"/>
              </w:divBdr>
            </w:div>
            <w:div w:id="2115399504">
              <w:marLeft w:val="0"/>
              <w:marRight w:val="0"/>
              <w:marTop w:val="0"/>
              <w:marBottom w:val="0"/>
              <w:divBdr>
                <w:top w:val="none" w:sz="0" w:space="0" w:color="auto"/>
                <w:left w:val="none" w:sz="0" w:space="0" w:color="auto"/>
                <w:bottom w:val="none" w:sz="0" w:space="0" w:color="auto"/>
                <w:right w:val="none" w:sz="0" w:space="0" w:color="auto"/>
              </w:divBdr>
            </w:div>
            <w:div w:id="2115585598">
              <w:marLeft w:val="0"/>
              <w:marRight w:val="0"/>
              <w:marTop w:val="0"/>
              <w:marBottom w:val="0"/>
              <w:divBdr>
                <w:top w:val="none" w:sz="0" w:space="0" w:color="auto"/>
                <w:left w:val="none" w:sz="0" w:space="0" w:color="auto"/>
                <w:bottom w:val="none" w:sz="0" w:space="0" w:color="auto"/>
                <w:right w:val="none" w:sz="0" w:space="0" w:color="auto"/>
              </w:divBdr>
            </w:div>
            <w:div w:id="2119182656">
              <w:marLeft w:val="0"/>
              <w:marRight w:val="0"/>
              <w:marTop w:val="0"/>
              <w:marBottom w:val="0"/>
              <w:divBdr>
                <w:top w:val="none" w:sz="0" w:space="0" w:color="auto"/>
                <w:left w:val="none" w:sz="0" w:space="0" w:color="auto"/>
                <w:bottom w:val="none" w:sz="0" w:space="0" w:color="auto"/>
                <w:right w:val="none" w:sz="0" w:space="0" w:color="auto"/>
              </w:divBdr>
            </w:div>
            <w:div w:id="2141337044">
              <w:marLeft w:val="0"/>
              <w:marRight w:val="0"/>
              <w:marTop w:val="0"/>
              <w:marBottom w:val="0"/>
              <w:divBdr>
                <w:top w:val="none" w:sz="0" w:space="0" w:color="auto"/>
                <w:left w:val="none" w:sz="0" w:space="0" w:color="auto"/>
                <w:bottom w:val="none" w:sz="0" w:space="0" w:color="auto"/>
                <w:right w:val="none" w:sz="0" w:space="0" w:color="auto"/>
              </w:divBdr>
            </w:div>
          </w:divsChild>
        </w:div>
        <w:div w:id="1804346159">
          <w:marLeft w:val="0"/>
          <w:marRight w:val="0"/>
          <w:marTop w:val="0"/>
          <w:marBottom w:val="0"/>
          <w:divBdr>
            <w:top w:val="none" w:sz="0" w:space="0" w:color="auto"/>
            <w:left w:val="none" w:sz="0" w:space="0" w:color="auto"/>
            <w:bottom w:val="none" w:sz="0" w:space="0" w:color="auto"/>
            <w:right w:val="none" w:sz="0" w:space="0" w:color="auto"/>
          </w:divBdr>
          <w:divsChild>
            <w:div w:id="442192172">
              <w:marLeft w:val="0"/>
              <w:marRight w:val="0"/>
              <w:marTop w:val="0"/>
              <w:marBottom w:val="0"/>
              <w:divBdr>
                <w:top w:val="none" w:sz="0" w:space="0" w:color="auto"/>
                <w:left w:val="none" w:sz="0" w:space="0" w:color="auto"/>
                <w:bottom w:val="none" w:sz="0" w:space="0" w:color="auto"/>
                <w:right w:val="none" w:sz="0" w:space="0" w:color="auto"/>
              </w:divBdr>
            </w:div>
            <w:div w:id="474028917">
              <w:marLeft w:val="0"/>
              <w:marRight w:val="0"/>
              <w:marTop w:val="0"/>
              <w:marBottom w:val="0"/>
              <w:divBdr>
                <w:top w:val="none" w:sz="0" w:space="0" w:color="auto"/>
                <w:left w:val="none" w:sz="0" w:space="0" w:color="auto"/>
                <w:bottom w:val="none" w:sz="0" w:space="0" w:color="auto"/>
                <w:right w:val="none" w:sz="0" w:space="0" w:color="auto"/>
              </w:divBdr>
            </w:div>
            <w:div w:id="729957726">
              <w:marLeft w:val="0"/>
              <w:marRight w:val="0"/>
              <w:marTop w:val="0"/>
              <w:marBottom w:val="0"/>
              <w:divBdr>
                <w:top w:val="none" w:sz="0" w:space="0" w:color="auto"/>
                <w:left w:val="none" w:sz="0" w:space="0" w:color="auto"/>
                <w:bottom w:val="none" w:sz="0" w:space="0" w:color="auto"/>
                <w:right w:val="none" w:sz="0" w:space="0" w:color="auto"/>
              </w:divBdr>
            </w:div>
            <w:div w:id="901793549">
              <w:marLeft w:val="0"/>
              <w:marRight w:val="0"/>
              <w:marTop w:val="0"/>
              <w:marBottom w:val="0"/>
              <w:divBdr>
                <w:top w:val="none" w:sz="0" w:space="0" w:color="auto"/>
                <w:left w:val="none" w:sz="0" w:space="0" w:color="auto"/>
                <w:bottom w:val="none" w:sz="0" w:space="0" w:color="auto"/>
                <w:right w:val="none" w:sz="0" w:space="0" w:color="auto"/>
              </w:divBdr>
            </w:div>
            <w:div w:id="986011631">
              <w:marLeft w:val="0"/>
              <w:marRight w:val="0"/>
              <w:marTop w:val="0"/>
              <w:marBottom w:val="0"/>
              <w:divBdr>
                <w:top w:val="none" w:sz="0" w:space="0" w:color="auto"/>
                <w:left w:val="none" w:sz="0" w:space="0" w:color="auto"/>
                <w:bottom w:val="none" w:sz="0" w:space="0" w:color="auto"/>
                <w:right w:val="none" w:sz="0" w:space="0" w:color="auto"/>
              </w:divBdr>
            </w:div>
            <w:div w:id="1367103634">
              <w:marLeft w:val="0"/>
              <w:marRight w:val="0"/>
              <w:marTop w:val="0"/>
              <w:marBottom w:val="0"/>
              <w:divBdr>
                <w:top w:val="none" w:sz="0" w:space="0" w:color="auto"/>
                <w:left w:val="none" w:sz="0" w:space="0" w:color="auto"/>
                <w:bottom w:val="none" w:sz="0" w:space="0" w:color="auto"/>
                <w:right w:val="none" w:sz="0" w:space="0" w:color="auto"/>
              </w:divBdr>
            </w:div>
            <w:div w:id="1569880525">
              <w:marLeft w:val="0"/>
              <w:marRight w:val="0"/>
              <w:marTop w:val="0"/>
              <w:marBottom w:val="0"/>
              <w:divBdr>
                <w:top w:val="none" w:sz="0" w:space="0" w:color="auto"/>
                <w:left w:val="none" w:sz="0" w:space="0" w:color="auto"/>
                <w:bottom w:val="none" w:sz="0" w:space="0" w:color="auto"/>
                <w:right w:val="none" w:sz="0" w:space="0" w:color="auto"/>
              </w:divBdr>
            </w:div>
            <w:div w:id="1626693151">
              <w:marLeft w:val="0"/>
              <w:marRight w:val="0"/>
              <w:marTop w:val="0"/>
              <w:marBottom w:val="0"/>
              <w:divBdr>
                <w:top w:val="none" w:sz="0" w:space="0" w:color="auto"/>
                <w:left w:val="none" w:sz="0" w:space="0" w:color="auto"/>
                <w:bottom w:val="none" w:sz="0" w:space="0" w:color="auto"/>
                <w:right w:val="none" w:sz="0" w:space="0" w:color="auto"/>
              </w:divBdr>
            </w:div>
            <w:div w:id="1643315209">
              <w:marLeft w:val="0"/>
              <w:marRight w:val="0"/>
              <w:marTop w:val="0"/>
              <w:marBottom w:val="0"/>
              <w:divBdr>
                <w:top w:val="none" w:sz="0" w:space="0" w:color="auto"/>
                <w:left w:val="none" w:sz="0" w:space="0" w:color="auto"/>
                <w:bottom w:val="none" w:sz="0" w:space="0" w:color="auto"/>
                <w:right w:val="none" w:sz="0" w:space="0" w:color="auto"/>
              </w:divBdr>
            </w:div>
            <w:div w:id="1693217647">
              <w:marLeft w:val="0"/>
              <w:marRight w:val="0"/>
              <w:marTop w:val="0"/>
              <w:marBottom w:val="0"/>
              <w:divBdr>
                <w:top w:val="none" w:sz="0" w:space="0" w:color="auto"/>
                <w:left w:val="none" w:sz="0" w:space="0" w:color="auto"/>
                <w:bottom w:val="none" w:sz="0" w:space="0" w:color="auto"/>
                <w:right w:val="none" w:sz="0" w:space="0" w:color="auto"/>
              </w:divBdr>
            </w:div>
            <w:div w:id="1711220257">
              <w:marLeft w:val="0"/>
              <w:marRight w:val="0"/>
              <w:marTop w:val="0"/>
              <w:marBottom w:val="0"/>
              <w:divBdr>
                <w:top w:val="none" w:sz="0" w:space="0" w:color="auto"/>
                <w:left w:val="none" w:sz="0" w:space="0" w:color="auto"/>
                <w:bottom w:val="none" w:sz="0" w:space="0" w:color="auto"/>
                <w:right w:val="none" w:sz="0" w:space="0" w:color="auto"/>
              </w:divBdr>
            </w:div>
            <w:div w:id="1822497594">
              <w:marLeft w:val="0"/>
              <w:marRight w:val="0"/>
              <w:marTop w:val="0"/>
              <w:marBottom w:val="0"/>
              <w:divBdr>
                <w:top w:val="none" w:sz="0" w:space="0" w:color="auto"/>
                <w:left w:val="none" w:sz="0" w:space="0" w:color="auto"/>
                <w:bottom w:val="none" w:sz="0" w:space="0" w:color="auto"/>
                <w:right w:val="none" w:sz="0" w:space="0" w:color="auto"/>
              </w:divBdr>
            </w:div>
          </w:divsChild>
        </w:div>
        <w:div w:id="1988969638">
          <w:marLeft w:val="0"/>
          <w:marRight w:val="0"/>
          <w:marTop w:val="0"/>
          <w:marBottom w:val="0"/>
          <w:divBdr>
            <w:top w:val="none" w:sz="0" w:space="0" w:color="auto"/>
            <w:left w:val="none" w:sz="0" w:space="0" w:color="auto"/>
            <w:bottom w:val="none" w:sz="0" w:space="0" w:color="auto"/>
            <w:right w:val="none" w:sz="0" w:space="0" w:color="auto"/>
          </w:divBdr>
          <w:divsChild>
            <w:div w:id="1050809275">
              <w:marLeft w:val="0"/>
              <w:marRight w:val="0"/>
              <w:marTop w:val="0"/>
              <w:marBottom w:val="0"/>
              <w:divBdr>
                <w:top w:val="none" w:sz="0" w:space="0" w:color="auto"/>
                <w:left w:val="none" w:sz="0" w:space="0" w:color="auto"/>
                <w:bottom w:val="none" w:sz="0" w:space="0" w:color="auto"/>
                <w:right w:val="none" w:sz="0" w:space="0" w:color="auto"/>
              </w:divBdr>
            </w:div>
          </w:divsChild>
        </w:div>
        <w:div w:id="1996836423">
          <w:marLeft w:val="0"/>
          <w:marRight w:val="0"/>
          <w:marTop w:val="0"/>
          <w:marBottom w:val="0"/>
          <w:divBdr>
            <w:top w:val="none" w:sz="0" w:space="0" w:color="auto"/>
            <w:left w:val="none" w:sz="0" w:space="0" w:color="auto"/>
            <w:bottom w:val="none" w:sz="0" w:space="0" w:color="auto"/>
            <w:right w:val="none" w:sz="0" w:space="0" w:color="auto"/>
          </w:divBdr>
          <w:divsChild>
            <w:div w:id="1995714780">
              <w:marLeft w:val="0"/>
              <w:marRight w:val="0"/>
              <w:marTop w:val="0"/>
              <w:marBottom w:val="0"/>
              <w:divBdr>
                <w:top w:val="none" w:sz="0" w:space="0" w:color="auto"/>
                <w:left w:val="none" w:sz="0" w:space="0" w:color="auto"/>
                <w:bottom w:val="none" w:sz="0" w:space="0" w:color="auto"/>
                <w:right w:val="none" w:sz="0" w:space="0" w:color="auto"/>
              </w:divBdr>
            </w:div>
          </w:divsChild>
        </w:div>
        <w:div w:id="2065712232">
          <w:marLeft w:val="0"/>
          <w:marRight w:val="0"/>
          <w:marTop w:val="0"/>
          <w:marBottom w:val="0"/>
          <w:divBdr>
            <w:top w:val="none" w:sz="0" w:space="0" w:color="auto"/>
            <w:left w:val="none" w:sz="0" w:space="0" w:color="auto"/>
            <w:bottom w:val="none" w:sz="0" w:space="0" w:color="auto"/>
            <w:right w:val="none" w:sz="0" w:space="0" w:color="auto"/>
          </w:divBdr>
          <w:divsChild>
            <w:div w:id="741561093">
              <w:marLeft w:val="0"/>
              <w:marRight w:val="0"/>
              <w:marTop w:val="0"/>
              <w:marBottom w:val="0"/>
              <w:divBdr>
                <w:top w:val="none" w:sz="0" w:space="0" w:color="auto"/>
                <w:left w:val="none" w:sz="0" w:space="0" w:color="auto"/>
                <w:bottom w:val="none" w:sz="0" w:space="0" w:color="auto"/>
                <w:right w:val="none" w:sz="0" w:space="0" w:color="auto"/>
              </w:divBdr>
            </w:div>
          </w:divsChild>
        </w:div>
        <w:div w:id="2104834731">
          <w:marLeft w:val="0"/>
          <w:marRight w:val="0"/>
          <w:marTop w:val="0"/>
          <w:marBottom w:val="0"/>
          <w:divBdr>
            <w:top w:val="none" w:sz="0" w:space="0" w:color="auto"/>
            <w:left w:val="none" w:sz="0" w:space="0" w:color="auto"/>
            <w:bottom w:val="none" w:sz="0" w:space="0" w:color="auto"/>
            <w:right w:val="none" w:sz="0" w:space="0" w:color="auto"/>
          </w:divBdr>
          <w:divsChild>
            <w:div w:id="165442162">
              <w:marLeft w:val="0"/>
              <w:marRight w:val="0"/>
              <w:marTop w:val="0"/>
              <w:marBottom w:val="0"/>
              <w:divBdr>
                <w:top w:val="none" w:sz="0" w:space="0" w:color="auto"/>
                <w:left w:val="none" w:sz="0" w:space="0" w:color="auto"/>
                <w:bottom w:val="none" w:sz="0" w:space="0" w:color="auto"/>
                <w:right w:val="none" w:sz="0" w:space="0" w:color="auto"/>
              </w:divBdr>
            </w:div>
            <w:div w:id="630982086">
              <w:marLeft w:val="0"/>
              <w:marRight w:val="0"/>
              <w:marTop w:val="0"/>
              <w:marBottom w:val="0"/>
              <w:divBdr>
                <w:top w:val="none" w:sz="0" w:space="0" w:color="auto"/>
                <w:left w:val="none" w:sz="0" w:space="0" w:color="auto"/>
                <w:bottom w:val="none" w:sz="0" w:space="0" w:color="auto"/>
                <w:right w:val="none" w:sz="0" w:space="0" w:color="auto"/>
              </w:divBdr>
            </w:div>
            <w:div w:id="939414757">
              <w:marLeft w:val="0"/>
              <w:marRight w:val="0"/>
              <w:marTop w:val="0"/>
              <w:marBottom w:val="0"/>
              <w:divBdr>
                <w:top w:val="none" w:sz="0" w:space="0" w:color="auto"/>
                <w:left w:val="none" w:sz="0" w:space="0" w:color="auto"/>
                <w:bottom w:val="none" w:sz="0" w:space="0" w:color="auto"/>
                <w:right w:val="none" w:sz="0" w:space="0" w:color="auto"/>
              </w:divBdr>
            </w:div>
            <w:div w:id="970210614">
              <w:marLeft w:val="0"/>
              <w:marRight w:val="0"/>
              <w:marTop w:val="0"/>
              <w:marBottom w:val="0"/>
              <w:divBdr>
                <w:top w:val="none" w:sz="0" w:space="0" w:color="auto"/>
                <w:left w:val="none" w:sz="0" w:space="0" w:color="auto"/>
                <w:bottom w:val="none" w:sz="0" w:space="0" w:color="auto"/>
                <w:right w:val="none" w:sz="0" w:space="0" w:color="auto"/>
              </w:divBdr>
            </w:div>
            <w:div w:id="1128739951">
              <w:marLeft w:val="0"/>
              <w:marRight w:val="0"/>
              <w:marTop w:val="0"/>
              <w:marBottom w:val="0"/>
              <w:divBdr>
                <w:top w:val="none" w:sz="0" w:space="0" w:color="auto"/>
                <w:left w:val="none" w:sz="0" w:space="0" w:color="auto"/>
                <w:bottom w:val="none" w:sz="0" w:space="0" w:color="auto"/>
                <w:right w:val="none" w:sz="0" w:space="0" w:color="auto"/>
              </w:divBdr>
            </w:div>
            <w:div w:id="164203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026322">
      <w:bodyDiv w:val="1"/>
      <w:marLeft w:val="0"/>
      <w:marRight w:val="0"/>
      <w:marTop w:val="0"/>
      <w:marBottom w:val="0"/>
      <w:divBdr>
        <w:top w:val="none" w:sz="0" w:space="0" w:color="auto"/>
        <w:left w:val="none" w:sz="0" w:space="0" w:color="auto"/>
        <w:bottom w:val="none" w:sz="0" w:space="0" w:color="auto"/>
        <w:right w:val="none" w:sz="0" w:space="0" w:color="auto"/>
      </w:divBdr>
    </w:div>
    <w:div w:id="1285770577">
      <w:bodyDiv w:val="1"/>
      <w:marLeft w:val="0"/>
      <w:marRight w:val="0"/>
      <w:marTop w:val="0"/>
      <w:marBottom w:val="0"/>
      <w:divBdr>
        <w:top w:val="none" w:sz="0" w:space="0" w:color="auto"/>
        <w:left w:val="none" w:sz="0" w:space="0" w:color="auto"/>
        <w:bottom w:val="none" w:sz="0" w:space="0" w:color="auto"/>
        <w:right w:val="none" w:sz="0" w:space="0" w:color="auto"/>
      </w:divBdr>
    </w:div>
    <w:div w:id="1357199387">
      <w:bodyDiv w:val="1"/>
      <w:marLeft w:val="0"/>
      <w:marRight w:val="0"/>
      <w:marTop w:val="0"/>
      <w:marBottom w:val="0"/>
      <w:divBdr>
        <w:top w:val="none" w:sz="0" w:space="0" w:color="auto"/>
        <w:left w:val="none" w:sz="0" w:space="0" w:color="auto"/>
        <w:bottom w:val="none" w:sz="0" w:space="0" w:color="auto"/>
        <w:right w:val="none" w:sz="0" w:space="0" w:color="auto"/>
      </w:divBdr>
      <w:divsChild>
        <w:div w:id="1364862531">
          <w:marLeft w:val="0"/>
          <w:marRight w:val="0"/>
          <w:marTop w:val="0"/>
          <w:marBottom w:val="0"/>
          <w:divBdr>
            <w:top w:val="none" w:sz="0" w:space="0" w:color="auto"/>
            <w:left w:val="none" w:sz="0" w:space="0" w:color="auto"/>
            <w:bottom w:val="none" w:sz="0" w:space="0" w:color="auto"/>
            <w:right w:val="none" w:sz="0" w:space="0" w:color="auto"/>
          </w:divBdr>
        </w:div>
        <w:div w:id="1595091062">
          <w:marLeft w:val="0"/>
          <w:marRight w:val="0"/>
          <w:marTop w:val="0"/>
          <w:marBottom w:val="0"/>
          <w:divBdr>
            <w:top w:val="none" w:sz="0" w:space="0" w:color="auto"/>
            <w:left w:val="none" w:sz="0" w:space="0" w:color="auto"/>
            <w:bottom w:val="none" w:sz="0" w:space="0" w:color="auto"/>
            <w:right w:val="none" w:sz="0" w:space="0" w:color="auto"/>
          </w:divBdr>
        </w:div>
        <w:div w:id="1613635708">
          <w:marLeft w:val="0"/>
          <w:marRight w:val="0"/>
          <w:marTop w:val="0"/>
          <w:marBottom w:val="0"/>
          <w:divBdr>
            <w:top w:val="none" w:sz="0" w:space="0" w:color="auto"/>
            <w:left w:val="none" w:sz="0" w:space="0" w:color="auto"/>
            <w:bottom w:val="none" w:sz="0" w:space="0" w:color="auto"/>
            <w:right w:val="none" w:sz="0" w:space="0" w:color="auto"/>
          </w:divBdr>
        </w:div>
      </w:divsChild>
    </w:div>
    <w:div w:id="1409116937">
      <w:bodyDiv w:val="1"/>
      <w:marLeft w:val="0"/>
      <w:marRight w:val="0"/>
      <w:marTop w:val="0"/>
      <w:marBottom w:val="0"/>
      <w:divBdr>
        <w:top w:val="none" w:sz="0" w:space="0" w:color="auto"/>
        <w:left w:val="none" w:sz="0" w:space="0" w:color="auto"/>
        <w:bottom w:val="none" w:sz="0" w:space="0" w:color="auto"/>
        <w:right w:val="none" w:sz="0" w:space="0" w:color="auto"/>
      </w:divBdr>
    </w:div>
    <w:div w:id="1422993693">
      <w:bodyDiv w:val="1"/>
      <w:marLeft w:val="0"/>
      <w:marRight w:val="0"/>
      <w:marTop w:val="0"/>
      <w:marBottom w:val="0"/>
      <w:divBdr>
        <w:top w:val="none" w:sz="0" w:space="0" w:color="auto"/>
        <w:left w:val="none" w:sz="0" w:space="0" w:color="auto"/>
        <w:bottom w:val="none" w:sz="0" w:space="0" w:color="auto"/>
        <w:right w:val="none" w:sz="0" w:space="0" w:color="auto"/>
      </w:divBdr>
      <w:divsChild>
        <w:div w:id="757098121">
          <w:marLeft w:val="0"/>
          <w:marRight w:val="0"/>
          <w:marTop w:val="0"/>
          <w:marBottom w:val="0"/>
          <w:divBdr>
            <w:top w:val="none" w:sz="0" w:space="0" w:color="auto"/>
            <w:left w:val="none" w:sz="0" w:space="0" w:color="auto"/>
            <w:bottom w:val="none" w:sz="0" w:space="0" w:color="auto"/>
            <w:right w:val="none" w:sz="0" w:space="0" w:color="auto"/>
          </w:divBdr>
          <w:divsChild>
            <w:div w:id="294651428">
              <w:marLeft w:val="0"/>
              <w:marRight w:val="0"/>
              <w:marTop w:val="0"/>
              <w:marBottom w:val="0"/>
              <w:divBdr>
                <w:top w:val="none" w:sz="0" w:space="0" w:color="auto"/>
                <w:left w:val="none" w:sz="0" w:space="0" w:color="auto"/>
                <w:bottom w:val="none" w:sz="0" w:space="0" w:color="auto"/>
                <w:right w:val="none" w:sz="0" w:space="0" w:color="auto"/>
              </w:divBdr>
            </w:div>
            <w:div w:id="384917959">
              <w:marLeft w:val="0"/>
              <w:marRight w:val="0"/>
              <w:marTop w:val="0"/>
              <w:marBottom w:val="0"/>
              <w:divBdr>
                <w:top w:val="none" w:sz="0" w:space="0" w:color="auto"/>
                <w:left w:val="none" w:sz="0" w:space="0" w:color="auto"/>
                <w:bottom w:val="none" w:sz="0" w:space="0" w:color="auto"/>
                <w:right w:val="none" w:sz="0" w:space="0" w:color="auto"/>
              </w:divBdr>
            </w:div>
            <w:div w:id="730923870">
              <w:marLeft w:val="0"/>
              <w:marRight w:val="0"/>
              <w:marTop w:val="0"/>
              <w:marBottom w:val="0"/>
              <w:divBdr>
                <w:top w:val="none" w:sz="0" w:space="0" w:color="auto"/>
                <w:left w:val="none" w:sz="0" w:space="0" w:color="auto"/>
                <w:bottom w:val="none" w:sz="0" w:space="0" w:color="auto"/>
                <w:right w:val="none" w:sz="0" w:space="0" w:color="auto"/>
              </w:divBdr>
            </w:div>
            <w:div w:id="938954798">
              <w:marLeft w:val="0"/>
              <w:marRight w:val="0"/>
              <w:marTop w:val="0"/>
              <w:marBottom w:val="0"/>
              <w:divBdr>
                <w:top w:val="none" w:sz="0" w:space="0" w:color="auto"/>
                <w:left w:val="none" w:sz="0" w:space="0" w:color="auto"/>
                <w:bottom w:val="none" w:sz="0" w:space="0" w:color="auto"/>
                <w:right w:val="none" w:sz="0" w:space="0" w:color="auto"/>
              </w:divBdr>
            </w:div>
            <w:div w:id="949093735">
              <w:marLeft w:val="0"/>
              <w:marRight w:val="0"/>
              <w:marTop w:val="0"/>
              <w:marBottom w:val="0"/>
              <w:divBdr>
                <w:top w:val="none" w:sz="0" w:space="0" w:color="auto"/>
                <w:left w:val="none" w:sz="0" w:space="0" w:color="auto"/>
                <w:bottom w:val="none" w:sz="0" w:space="0" w:color="auto"/>
                <w:right w:val="none" w:sz="0" w:space="0" w:color="auto"/>
              </w:divBdr>
            </w:div>
            <w:div w:id="964769553">
              <w:marLeft w:val="0"/>
              <w:marRight w:val="0"/>
              <w:marTop w:val="0"/>
              <w:marBottom w:val="0"/>
              <w:divBdr>
                <w:top w:val="none" w:sz="0" w:space="0" w:color="auto"/>
                <w:left w:val="none" w:sz="0" w:space="0" w:color="auto"/>
                <w:bottom w:val="none" w:sz="0" w:space="0" w:color="auto"/>
                <w:right w:val="none" w:sz="0" w:space="0" w:color="auto"/>
              </w:divBdr>
            </w:div>
            <w:div w:id="1034574298">
              <w:marLeft w:val="0"/>
              <w:marRight w:val="0"/>
              <w:marTop w:val="0"/>
              <w:marBottom w:val="0"/>
              <w:divBdr>
                <w:top w:val="none" w:sz="0" w:space="0" w:color="auto"/>
                <w:left w:val="none" w:sz="0" w:space="0" w:color="auto"/>
                <w:bottom w:val="none" w:sz="0" w:space="0" w:color="auto"/>
                <w:right w:val="none" w:sz="0" w:space="0" w:color="auto"/>
              </w:divBdr>
            </w:div>
            <w:div w:id="1035152356">
              <w:marLeft w:val="0"/>
              <w:marRight w:val="0"/>
              <w:marTop w:val="0"/>
              <w:marBottom w:val="0"/>
              <w:divBdr>
                <w:top w:val="none" w:sz="0" w:space="0" w:color="auto"/>
                <w:left w:val="none" w:sz="0" w:space="0" w:color="auto"/>
                <w:bottom w:val="none" w:sz="0" w:space="0" w:color="auto"/>
                <w:right w:val="none" w:sz="0" w:space="0" w:color="auto"/>
              </w:divBdr>
            </w:div>
            <w:div w:id="1344357763">
              <w:marLeft w:val="0"/>
              <w:marRight w:val="0"/>
              <w:marTop w:val="0"/>
              <w:marBottom w:val="0"/>
              <w:divBdr>
                <w:top w:val="none" w:sz="0" w:space="0" w:color="auto"/>
                <w:left w:val="none" w:sz="0" w:space="0" w:color="auto"/>
                <w:bottom w:val="none" w:sz="0" w:space="0" w:color="auto"/>
                <w:right w:val="none" w:sz="0" w:space="0" w:color="auto"/>
              </w:divBdr>
            </w:div>
            <w:div w:id="1358578494">
              <w:marLeft w:val="0"/>
              <w:marRight w:val="0"/>
              <w:marTop w:val="0"/>
              <w:marBottom w:val="0"/>
              <w:divBdr>
                <w:top w:val="none" w:sz="0" w:space="0" w:color="auto"/>
                <w:left w:val="none" w:sz="0" w:space="0" w:color="auto"/>
                <w:bottom w:val="none" w:sz="0" w:space="0" w:color="auto"/>
                <w:right w:val="none" w:sz="0" w:space="0" w:color="auto"/>
              </w:divBdr>
            </w:div>
            <w:div w:id="1594361765">
              <w:marLeft w:val="0"/>
              <w:marRight w:val="0"/>
              <w:marTop w:val="0"/>
              <w:marBottom w:val="0"/>
              <w:divBdr>
                <w:top w:val="none" w:sz="0" w:space="0" w:color="auto"/>
                <w:left w:val="none" w:sz="0" w:space="0" w:color="auto"/>
                <w:bottom w:val="none" w:sz="0" w:space="0" w:color="auto"/>
                <w:right w:val="none" w:sz="0" w:space="0" w:color="auto"/>
              </w:divBdr>
            </w:div>
            <w:div w:id="1738629322">
              <w:marLeft w:val="0"/>
              <w:marRight w:val="0"/>
              <w:marTop w:val="0"/>
              <w:marBottom w:val="0"/>
              <w:divBdr>
                <w:top w:val="none" w:sz="0" w:space="0" w:color="auto"/>
                <w:left w:val="none" w:sz="0" w:space="0" w:color="auto"/>
                <w:bottom w:val="none" w:sz="0" w:space="0" w:color="auto"/>
                <w:right w:val="none" w:sz="0" w:space="0" w:color="auto"/>
              </w:divBdr>
            </w:div>
            <w:div w:id="1799178229">
              <w:marLeft w:val="0"/>
              <w:marRight w:val="0"/>
              <w:marTop w:val="0"/>
              <w:marBottom w:val="0"/>
              <w:divBdr>
                <w:top w:val="none" w:sz="0" w:space="0" w:color="auto"/>
                <w:left w:val="none" w:sz="0" w:space="0" w:color="auto"/>
                <w:bottom w:val="none" w:sz="0" w:space="0" w:color="auto"/>
                <w:right w:val="none" w:sz="0" w:space="0" w:color="auto"/>
              </w:divBdr>
            </w:div>
            <w:div w:id="1910185249">
              <w:marLeft w:val="0"/>
              <w:marRight w:val="0"/>
              <w:marTop w:val="0"/>
              <w:marBottom w:val="0"/>
              <w:divBdr>
                <w:top w:val="none" w:sz="0" w:space="0" w:color="auto"/>
                <w:left w:val="none" w:sz="0" w:space="0" w:color="auto"/>
                <w:bottom w:val="none" w:sz="0" w:space="0" w:color="auto"/>
                <w:right w:val="none" w:sz="0" w:space="0" w:color="auto"/>
              </w:divBdr>
            </w:div>
            <w:div w:id="1968586869">
              <w:marLeft w:val="0"/>
              <w:marRight w:val="0"/>
              <w:marTop w:val="0"/>
              <w:marBottom w:val="0"/>
              <w:divBdr>
                <w:top w:val="none" w:sz="0" w:space="0" w:color="auto"/>
                <w:left w:val="none" w:sz="0" w:space="0" w:color="auto"/>
                <w:bottom w:val="none" w:sz="0" w:space="0" w:color="auto"/>
                <w:right w:val="none" w:sz="0" w:space="0" w:color="auto"/>
              </w:divBdr>
            </w:div>
            <w:div w:id="2055157055">
              <w:marLeft w:val="0"/>
              <w:marRight w:val="0"/>
              <w:marTop w:val="0"/>
              <w:marBottom w:val="0"/>
              <w:divBdr>
                <w:top w:val="none" w:sz="0" w:space="0" w:color="auto"/>
                <w:left w:val="none" w:sz="0" w:space="0" w:color="auto"/>
                <w:bottom w:val="none" w:sz="0" w:space="0" w:color="auto"/>
                <w:right w:val="none" w:sz="0" w:space="0" w:color="auto"/>
              </w:divBdr>
            </w:div>
          </w:divsChild>
        </w:div>
        <w:div w:id="802425039">
          <w:marLeft w:val="0"/>
          <w:marRight w:val="0"/>
          <w:marTop w:val="0"/>
          <w:marBottom w:val="0"/>
          <w:divBdr>
            <w:top w:val="none" w:sz="0" w:space="0" w:color="auto"/>
            <w:left w:val="none" w:sz="0" w:space="0" w:color="auto"/>
            <w:bottom w:val="none" w:sz="0" w:space="0" w:color="auto"/>
            <w:right w:val="none" w:sz="0" w:space="0" w:color="auto"/>
          </w:divBdr>
          <w:divsChild>
            <w:div w:id="1995523188">
              <w:marLeft w:val="0"/>
              <w:marRight w:val="0"/>
              <w:marTop w:val="0"/>
              <w:marBottom w:val="0"/>
              <w:divBdr>
                <w:top w:val="none" w:sz="0" w:space="0" w:color="auto"/>
                <w:left w:val="none" w:sz="0" w:space="0" w:color="auto"/>
                <w:bottom w:val="none" w:sz="0" w:space="0" w:color="auto"/>
                <w:right w:val="none" w:sz="0" w:space="0" w:color="auto"/>
              </w:divBdr>
            </w:div>
          </w:divsChild>
        </w:div>
        <w:div w:id="1083792852">
          <w:marLeft w:val="0"/>
          <w:marRight w:val="0"/>
          <w:marTop w:val="0"/>
          <w:marBottom w:val="0"/>
          <w:divBdr>
            <w:top w:val="none" w:sz="0" w:space="0" w:color="auto"/>
            <w:left w:val="none" w:sz="0" w:space="0" w:color="auto"/>
            <w:bottom w:val="none" w:sz="0" w:space="0" w:color="auto"/>
            <w:right w:val="none" w:sz="0" w:space="0" w:color="auto"/>
          </w:divBdr>
          <w:divsChild>
            <w:div w:id="1259748718">
              <w:marLeft w:val="0"/>
              <w:marRight w:val="0"/>
              <w:marTop w:val="0"/>
              <w:marBottom w:val="0"/>
              <w:divBdr>
                <w:top w:val="none" w:sz="0" w:space="0" w:color="auto"/>
                <w:left w:val="none" w:sz="0" w:space="0" w:color="auto"/>
                <w:bottom w:val="none" w:sz="0" w:space="0" w:color="auto"/>
                <w:right w:val="none" w:sz="0" w:space="0" w:color="auto"/>
              </w:divBdr>
            </w:div>
          </w:divsChild>
        </w:div>
        <w:div w:id="1889954785">
          <w:marLeft w:val="0"/>
          <w:marRight w:val="0"/>
          <w:marTop w:val="0"/>
          <w:marBottom w:val="0"/>
          <w:divBdr>
            <w:top w:val="none" w:sz="0" w:space="0" w:color="auto"/>
            <w:left w:val="none" w:sz="0" w:space="0" w:color="auto"/>
            <w:bottom w:val="none" w:sz="0" w:space="0" w:color="auto"/>
            <w:right w:val="none" w:sz="0" w:space="0" w:color="auto"/>
          </w:divBdr>
          <w:divsChild>
            <w:div w:id="1105616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919481">
      <w:bodyDiv w:val="1"/>
      <w:marLeft w:val="0"/>
      <w:marRight w:val="0"/>
      <w:marTop w:val="0"/>
      <w:marBottom w:val="0"/>
      <w:divBdr>
        <w:top w:val="none" w:sz="0" w:space="0" w:color="auto"/>
        <w:left w:val="none" w:sz="0" w:space="0" w:color="auto"/>
        <w:bottom w:val="none" w:sz="0" w:space="0" w:color="auto"/>
        <w:right w:val="none" w:sz="0" w:space="0" w:color="auto"/>
      </w:divBdr>
      <w:divsChild>
        <w:div w:id="135294105">
          <w:marLeft w:val="0"/>
          <w:marRight w:val="0"/>
          <w:marTop w:val="0"/>
          <w:marBottom w:val="0"/>
          <w:divBdr>
            <w:top w:val="none" w:sz="0" w:space="0" w:color="auto"/>
            <w:left w:val="none" w:sz="0" w:space="0" w:color="auto"/>
            <w:bottom w:val="none" w:sz="0" w:space="0" w:color="auto"/>
            <w:right w:val="none" w:sz="0" w:space="0" w:color="auto"/>
          </w:divBdr>
        </w:div>
        <w:div w:id="751244356">
          <w:marLeft w:val="0"/>
          <w:marRight w:val="0"/>
          <w:marTop w:val="0"/>
          <w:marBottom w:val="0"/>
          <w:divBdr>
            <w:top w:val="none" w:sz="0" w:space="0" w:color="auto"/>
            <w:left w:val="none" w:sz="0" w:space="0" w:color="auto"/>
            <w:bottom w:val="none" w:sz="0" w:space="0" w:color="auto"/>
            <w:right w:val="none" w:sz="0" w:space="0" w:color="auto"/>
          </w:divBdr>
        </w:div>
      </w:divsChild>
    </w:div>
    <w:div w:id="1499727901">
      <w:bodyDiv w:val="1"/>
      <w:marLeft w:val="0"/>
      <w:marRight w:val="0"/>
      <w:marTop w:val="0"/>
      <w:marBottom w:val="0"/>
      <w:divBdr>
        <w:top w:val="none" w:sz="0" w:space="0" w:color="auto"/>
        <w:left w:val="none" w:sz="0" w:space="0" w:color="auto"/>
        <w:bottom w:val="none" w:sz="0" w:space="0" w:color="auto"/>
        <w:right w:val="none" w:sz="0" w:space="0" w:color="auto"/>
      </w:divBdr>
    </w:div>
    <w:div w:id="1500610158">
      <w:bodyDiv w:val="1"/>
      <w:marLeft w:val="0"/>
      <w:marRight w:val="0"/>
      <w:marTop w:val="0"/>
      <w:marBottom w:val="0"/>
      <w:divBdr>
        <w:top w:val="none" w:sz="0" w:space="0" w:color="auto"/>
        <w:left w:val="none" w:sz="0" w:space="0" w:color="auto"/>
        <w:bottom w:val="none" w:sz="0" w:space="0" w:color="auto"/>
        <w:right w:val="none" w:sz="0" w:space="0" w:color="auto"/>
      </w:divBdr>
    </w:div>
    <w:div w:id="1514874279">
      <w:bodyDiv w:val="1"/>
      <w:marLeft w:val="0"/>
      <w:marRight w:val="0"/>
      <w:marTop w:val="0"/>
      <w:marBottom w:val="0"/>
      <w:divBdr>
        <w:top w:val="none" w:sz="0" w:space="0" w:color="auto"/>
        <w:left w:val="none" w:sz="0" w:space="0" w:color="auto"/>
        <w:bottom w:val="none" w:sz="0" w:space="0" w:color="auto"/>
        <w:right w:val="none" w:sz="0" w:space="0" w:color="auto"/>
      </w:divBdr>
    </w:div>
    <w:div w:id="1552839033">
      <w:bodyDiv w:val="1"/>
      <w:marLeft w:val="0"/>
      <w:marRight w:val="0"/>
      <w:marTop w:val="0"/>
      <w:marBottom w:val="0"/>
      <w:divBdr>
        <w:top w:val="none" w:sz="0" w:space="0" w:color="auto"/>
        <w:left w:val="none" w:sz="0" w:space="0" w:color="auto"/>
        <w:bottom w:val="none" w:sz="0" w:space="0" w:color="auto"/>
        <w:right w:val="none" w:sz="0" w:space="0" w:color="auto"/>
      </w:divBdr>
      <w:divsChild>
        <w:div w:id="585113671">
          <w:marLeft w:val="0"/>
          <w:marRight w:val="0"/>
          <w:marTop w:val="0"/>
          <w:marBottom w:val="0"/>
          <w:divBdr>
            <w:top w:val="none" w:sz="0" w:space="0" w:color="auto"/>
            <w:left w:val="none" w:sz="0" w:space="0" w:color="auto"/>
            <w:bottom w:val="none" w:sz="0" w:space="0" w:color="auto"/>
            <w:right w:val="none" w:sz="0" w:space="0" w:color="auto"/>
          </w:divBdr>
        </w:div>
        <w:div w:id="589387730">
          <w:marLeft w:val="0"/>
          <w:marRight w:val="0"/>
          <w:marTop w:val="0"/>
          <w:marBottom w:val="0"/>
          <w:divBdr>
            <w:top w:val="none" w:sz="0" w:space="0" w:color="auto"/>
            <w:left w:val="none" w:sz="0" w:space="0" w:color="auto"/>
            <w:bottom w:val="none" w:sz="0" w:space="0" w:color="auto"/>
            <w:right w:val="none" w:sz="0" w:space="0" w:color="auto"/>
          </w:divBdr>
        </w:div>
        <w:div w:id="863059819">
          <w:marLeft w:val="0"/>
          <w:marRight w:val="0"/>
          <w:marTop w:val="0"/>
          <w:marBottom w:val="0"/>
          <w:divBdr>
            <w:top w:val="none" w:sz="0" w:space="0" w:color="auto"/>
            <w:left w:val="none" w:sz="0" w:space="0" w:color="auto"/>
            <w:bottom w:val="none" w:sz="0" w:space="0" w:color="auto"/>
            <w:right w:val="none" w:sz="0" w:space="0" w:color="auto"/>
          </w:divBdr>
        </w:div>
        <w:div w:id="1016347538">
          <w:marLeft w:val="0"/>
          <w:marRight w:val="0"/>
          <w:marTop w:val="0"/>
          <w:marBottom w:val="0"/>
          <w:divBdr>
            <w:top w:val="none" w:sz="0" w:space="0" w:color="auto"/>
            <w:left w:val="none" w:sz="0" w:space="0" w:color="auto"/>
            <w:bottom w:val="none" w:sz="0" w:space="0" w:color="auto"/>
            <w:right w:val="none" w:sz="0" w:space="0" w:color="auto"/>
          </w:divBdr>
        </w:div>
        <w:div w:id="1337424043">
          <w:marLeft w:val="0"/>
          <w:marRight w:val="0"/>
          <w:marTop w:val="0"/>
          <w:marBottom w:val="0"/>
          <w:divBdr>
            <w:top w:val="none" w:sz="0" w:space="0" w:color="auto"/>
            <w:left w:val="none" w:sz="0" w:space="0" w:color="auto"/>
            <w:bottom w:val="none" w:sz="0" w:space="0" w:color="auto"/>
            <w:right w:val="none" w:sz="0" w:space="0" w:color="auto"/>
          </w:divBdr>
        </w:div>
        <w:div w:id="1384479154">
          <w:marLeft w:val="0"/>
          <w:marRight w:val="0"/>
          <w:marTop w:val="0"/>
          <w:marBottom w:val="0"/>
          <w:divBdr>
            <w:top w:val="none" w:sz="0" w:space="0" w:color="auto"/>
            <w:left w:val="none" w:sz="0" w:space="0" w:color="auto"/>
            <w:bottom w:val="none" w:sz="0" w:space="0" w:color="auto"/>
            <w:right w:val="none" w:sz="0" w:space="0" w:color="auto"/>
          </w:divBdr>
        </w:div>
        <w:div w:id="1979912804">
          <w:marLeft w:val="0"/>
          <w:marRight w:val="0"/>
          <w:marTop w:val="0"/>
          <w:marBottom w:val="0"/>
          <w:divBdr>
            <w:top w:val="none" w:sz="0" w:space="0" w:color="auto"/>
            <w:left w:val="none" w:sz="0" w:space="0" w:color="auto"/>
            <w:bottom w:val="none" w:sz="0" w:space="0" w:color="auto"/>
            <w:right w:val="none" w:sz="0" w:space="0" w:color="auto"/>
          </w:divBdr>
        </w:div>
      </w:divsChild>
    </w:div>
    <w:div w:id="1561555884">
      <w:bodyDiv w:val="1"/>
      <w:marLeft w:val="0"/>
      <w:marRight w:val="0"/>
      <w:marTop w:val="0"/>
      <w:marBottom w:val="0"/>
      <w:divBdr>
        <w:top w:val="none" w:sz="0" w:space="0" w:color="auto"/>
        <w:left w:val="none" w:sz="0" w:space="0" w:color="auto"/>
        <w:bottom w:val="none" w:sz="0" w:space="0" w:color="auto"/>
        <w:right w:val="none" w:sz="0" w:space="0" w:color="auto"/>
      </w:divBdr>
    </w:div>
    <w:div w:id="1582446287">
      <w:bodyDiv w:val="1"/>
      <w:marLeft w:val="0"/>
      <w:marRight w:val="0"/>
      <w:marTop w:val="0"/>
      <w:marBottom w:val="0"/>
      <w:divBdr>
        <w:top w:val="none" w:sz="0" w:space="0" w:color="auto"/>
        <w:left w:val="none" w:sz="0" w:space="0" w:color="auto"/>
        <w:bottom w:val="none" w:sz="0" w:space="0" w:color="auto"/>
        <w:right w:val="none" w:sz="0" w:space="0" w:color="auto"/>
      </w:divBdr>
      <w:divsChild>
        <w:div w:id="117845321">
          <w:marLeft w:val="0"/>
          <w:marRight w:val="0"/>
          <w:marTop w:val="0"/>
          <w:marBottom w:val="0"/>
          <w:divBdr>
            <w:top w:val="none" w:sz="0" w:space="0" w:color="auto"/>
            <w:left w:val="none" w:sz="0" w:space="0" w:color="auto"/>
            <w:bottom w:val="none" w:sz="0" w:space="0" w:color="auto"/>
            <w:right w:val="none" w:sz="0" w:space="0" w:color="auto"/>
          </w:divBdr>
        </w:div>
        <w:div w:id="1313948699">
          <w:marLeft w:val="0"/>
          <w:marRight w:val="0"/>
          <w:marTop w:val="0"/>
          <w:marBottom w:val="0"/>
          <w:divBdr>
            <w:top w:val="none" w:sz="0" w:space="0" w:color="auto"/>
            <w:left w:val="none" w:sz="0" w:space="0" w:color="auto"/>
            <w:bottom w:val="none" w:sz="0" w:space="0" w:color="auto"/>
            <w:right w:val="none" w:sz="0" w:space="0" w:color="auto"/>
          </w:divBdr>
        </w:div>
        <w:div w:id="1385593724">
          <w:marLeft w:val="0"/>
          <w:marRight w:val="0"/>
          <w:marTop w:val="0"/>
          <w:marBottom w:val="0"/>
          <w:divBdr>
            <w:top w:val="none" w:sz="0" w:space="0" w:color="auto"/>
            <w:left w:val="none" w:sz="0" w:space="0" w:color="auto"/>
            <w:bottom w:val="none" w:sz="0" w:space="0" w:color="auto"/>
            <w:right w:val="none" w:sz="0" w:space="0" w:color="auto"/>
          </w:divBdr>
        </w:div>
        <w:div w:id="1755013397">
          <w:marLeft w:val="0"/>
          <w:marRight w:val="0"/>
          <w:marTop w:val="0"/>
          <w:marBottom w:val="0"/>
          <w:divBdr>
            <w:top w:val="none" w:sz="0" w:space="0" w:color="auto"/>
            <w:left w:val="none" w:sz="0" w:space="0" w:color="auto"/>
            <w:bottom w:val="none" w:sz="0" w:space="0" w:color="auto"/>
            <w:right w:val="none" w:sz="0" w:space="0" w:color="auto"/>
          </w:divBdr>
        </w:div>
      </w:divsChild>
    </w:div>
    <w:div w:id="1595628170">
      <w:bodyDiv w:val="1"/>
      <w:marLeft w:val="0"/>
      <w:marRight w:val="0"/>
      <w:marTop w:val="0"/>
      <w:marBottom w:val="0"/>
      <w:divBdr>
        <w:top w:val="none" w:sz="0" w:space="0" w:color="auto"/>
        <w:left w:val="none" w:sz="0" w:space="0" w:color="auto"/>
        <w:bottom w:val="none" w:sz="0" w:space="0" w:color="auto"/>
        <w:right w:val="none" w:sz="0" w:space="0" w:color="auto"/>
      </w:divBdr>
    </w:div>
    <w:div w:id="1608346307">
      <w:bodyDiv w:val="1"/>
      <w:marLeft w:val="0"/>
      <w:marRight w:val="0"/>
      <w:marTop w:val="0"/>
      <w:marBottom w:val="0"/>
      <w:divBdr>
        <w:top w:val="none" w:sz="0" w:space="0" w:color="auto"/>
        <w:left w:val="none" w:sz="0" w:space="0" w:color="auto"/>
        <w:bottom w:val="none" w:sz="0" w:space="0" w:color="auto"/>
        <w:right w:val="none" w:sz="0" w:space="0" w:color="auto"/>
      </w:divBdr>
    </w:div>
    <w:div w:id="1631399094">
      <w:bodyDiv w:val="1"/>
      <w:marLeft w:val="0"/>
      <w:marRight w:val="0"/>
      <w:marTop w:val="0"/>
      <w:marBottom w:val="0"/>
      <w:divBdr>
        <w:top w:val="none" w:sz="0" w:space="0" w:color="auto"/>
        <w:left w:val="none" w:sz="0" w:space="0" w:color="auto"/>
        <w:bottom w:val="none" w:sz="0" w:space="0" w:color="auto"/>
        <w:right w:val="none" w:sz="0" w:space="0" w:color="auto"/>
      </w:divBdr>
    </w:div>
    <w:div w:id="1654481964">
      <w:bodyDiv w:val="1"/>
      <w:marLeft w:val="0"/>
      <w:marRight w:val="0"/>
      <w:marTop w:val="0"/>
      <w:marBottom w:val="0"/>
      <w:divBdr>
        <w:top w:val="none" w:sz="0" w:space="0" w:color="auto"/>
        <w:left w:val="none" w:sz="0" w:space="0" w:color="auto"/>
        <w:bottom w:val="none" w:sz="0" w:space="0" w:color="auto"/>
        <w:right w:val="none" w:sz="0" w:space="0" w:color="auto"/>
      </w:divBdr>
    </w:div>
    <w:div w:id="1713844453">
      <w:bodyDiv w:val="1"/>
      <w:marLeft w:val="0"/>
      <w:marRight w:val="0"/>
      <w:marTop w:val="0"/>
      <w:marBottom w:val="0"/>
      <w:divBdr>
        <w:top w:val="none" w:sz="0" w:space="0" w:color="auto"/>
        <w:left w:val="none" w:sz="0" w:space="0" w:color="auto"/>
        <w:bottom w:val="none" w:sz="0" w:space="0" w:color="auto"/>
        <w:right w:val="none" w:sz="0" w:space="0" w:color="auto"/>
      </w:divBdr>
    </w:div>
    <w:div w:id="1729066991">
      <w:bodyDiv w:val="1"/>
      <w:marLeft w:val="0"/>
      <w:marRight w:val="0"/>
      <w:marTop w:val="0"/>
      <w:marBottom w:val="0"/>
      <w:divBdr>
        <w:top w:val="none" w:sz="0" w:space="0" w:color="auto"/>
        <w:left w:val="none" w:sz="0" w:space="0" w:color="auto"/>
        <w:bottom w:val="none" w:sz="0" w:space="0" w:color="auto"/>
        <w:right w:val="none" w:sz="0" w:space="0" w:color="auto"/>
      </w:divBdr>
    </w:div>
    <w:div w:id="1774544218">
      <w:bodyDiv w:val="1"/>
      <w:marLeft w:val="0"/>
      <w:marRight w:val="0"/>
      <w:marTop w:val="0"/>
      <w:marBottom w:val="0"/>
      <w:divBdr>
        <w:top w:val="none" w:sz="0" w:space="0" w:color="auto"/>
        <w:left w:val="none" w:sz="0" w:space="0" w:color="auto"/>
        <w:bottom w:val="none" w:sz="0" w:space="0" w:color="auto"/>
        <w:right w:val="none" w:sz="0" w:space="0" w:color="auto"/>
      </w:divBdr>
    </w:div>
    <w:div w:id="1835953448">
      <w:bodyDiv w:val="1"/>
      <w:marLeft w:val="0"/>
      <w:marRight w:val="0"/>
      <w:marTop w:val="0"/>
      <w:marBottom w:val="0"/>
      <w:divBdr>
        <w:top w:val="none" w:sz="0" w:space="0" w:color="auto"/>
        <w:left w:val="none" w:sz="0" w:space="0" w:color="auto"/>
        <w:bottom w:val="none" w:sz="0" w:space="0" w:color="auto"/>
        <w:right w:val="none" w:sz="0" w:space="0" w:color="auto"/>
      </w:divBdr>
    </w:div>
    <w:div w:id="1871844183">
      <w:bodyDiv w:val="1"/>
      <w:marLeft w:val="0"/>
      <w:marRight w:val="0"/>
      <w:marTop w:val="0"/>
      <w:marBottom w:val="0"/>
      <w:divBdr>
        <w:top w:val="none" w:sz="0" w:space="0" w:color="auto"/>
        <w:left w:val="none" w:sz="0" w:space="0" w:color="auto"/>
        <w:bottom w:val="none" w:sz="0" w:space="0" w:color="auto"/>
        <w:right w:val="none" w:sz="0" w:space="0" w:color="auto"/>
      </w:divBdr>
    </w:div>
    <w:div w:id="1874926338">
      <w:bodyDiv w:val="1"/>
      <w:marLeft w:val="0"/>
      <w:marRight w:val="0"/>
      <w:marTop w:val="0"/>
      <w:marBottom w:val="0"/>
      <w:divBdr>
        <w:top w:val="none" w:sz="0" w:space="0" w:color="auto"/>
        <w:left w:val="none" w:sz="0" w:space="0" w:color="auto"/>
        <w:bottom w:val="none" w:sz="0" w:space="0" w:color="auto"/>
        <w:right w:val="none" w:sz="0" w:space="0" w:color="auto"/>
      </w:divBdr>
    </w:div>
    <w:div w:id="1891379524">
      <w:bodyDiv w:val="1"/>
      <w:marLeft w:val="0"/>
      <w:marRight w:val="0"/>
      <w:marTop w:val="0"/>
      <w:marBottom w:val="0"/>
      <w:divBdr>
        <w:top w:val="none" w:sz="0" w:space="0" w:color="auto"/>
        <w:left w:val="none" w:sz="0" w:space="0" w:color="auto"/>
        <w:bottom w:val="none" w:sz="0" w:space="0" w:color="auto"/>
        <w:right w:val="none" w:sz="0" w:space="0" w:color="auto"/>
      </w:divBdr>
      <w:divsChild>
        <w:div w:id="354692171">
          <w:marLeft w:val="0"/>
          <w:marRight w:val="0"/>
          <w:marTop w:val="0"/>
          <w:marBottom w:val="0"/>
          <w:divBdr>
            <w:top w:val="none" w:sz="0" w:space="0" w:color="auto"/>
            <w:left w:val="none" w:sz="0" w:space="0" w:color="auto"/>
            <w:bottom w:val="none" w:sz="0" w:space="0" w:color="auto"/>
            <w:right w:val="none" w:sz="0" w:space="0" w:color="auto"/>
          </w:divBdr>
        </w:div>
        <w:div w:id="427971826">
          <w:marLeft w:val="0"/>
          <w:marRight w:val="0"/>
          <w:marTop w:val="0"/>
          <w:marBottom w:val="0"/>
          <w:divBdr>
            <w:top w:val="none" w:sz="0" w:space="0" w:color="auto"/>
            <w:left w:val="none" w:sz="0" w:space="0" w:color="auto"/>
            <w:bottom w:val="none" w:sz="0" w:space="0" w:color="auto"/>
            <w:right w:val="none" w:sz="0" w:space="0" w:color="auto"/>
          </w:divBdr>
        </w:div>
        <w:div w:id="1439251876">
          <w:marLeft w:val="0"/>
          <w:marRight w:val="0"/>
          <w:marTop w:val="0"/>
          <w:marBottom w:val="0"/>
          <w:divBdr>
            <w:top w:val="none" w:sz="0" w:space="0" w:color="auto"/>
            <w:left w:val="none" w:sz="0" w:space="0" w:color="auto"/>
            <w:bottom w:val="none" w:sz="0" w:space="0" w:color="auto"/>
            <w:right w:val="none" w:sz="0" w:space="0" w:color="auto"/>
          </w:divBdr>
        </w:div>
        <w:div w:id="1681422665">
          <w:marLeft w:val="0"/>
          <w:marRight w:val="0"/>
          <w:marTop w:val="0"/>
          <w:marBottom w:val="0"/>
          <w:divBdr>
            <w:top w:val="none" w:sz="0" w:space="0" w:color="auto"/>
            <w:left w:val="none" w:sz="0" w:space="0" w:color="auto"/>
            <w:bottom w:val="none" w:sz="0" w:space="0" w:color="auto"/>
            <w:right w:val="none" w:sz="0" w:space="0" w:color="auto"/>
          </w:divBdr>
        </w:div>
      </w:divsChild>
    </w:div>
    <w:div w:id="1973518010">
      <w:bodyDiv w:val="1"/>
      <w:marLeft w:val="0"/>
      <w:marRight w:val="0"/>
      <w:marTop w:val="0"/>
      <w:marBottom w:val="0"/>
      <w:divBdr>
        <w:top w:val="none" w:sz="0" w:space="0" w:color="auto"/>
        <w:left w:val="none" w:sz="0" w:space="0" w:color="auto"/>
        <w:bottom w:val="none" w:sz="0" w:space="0" w:color="auto"/>
        <w:right w:val="none" w:sz="0" w:space="0" w:color="auto"/>
      </w:divBdr>
    </w:div>
    <w:div w:id="2031449920">
      <w:bodyDiv w:val="1"/>
      <w:marLeft w:val="0"/>
      <w:marRight w:val="0"/>
      <w:marTop w:val="0"/>
      <w:marBottom w:val="0"/>
      <w:divBdr>
        <w:top w:val="none" w:sz="0" w:space="0" w:color="auto"/>
        <w:left w:val="none" w:sz="0" w:space="0" w:color="auto"/>
        <w:bottom w:val="none" w:sz="0" w:space="0" w:color="auto"/>
        <w:right w:val="none" w:sz="0" w:space="0" w:color="auto"/>
      </w:divBdr>
    </w:div>
    <w:div w:id="2060743292">
      <w:bodyDiv w:val="1"/>
      <w:marLeft w:val="0"/>
      <w:marRight w:val="0"/>
      <w:marTop w:val="0"/>
      <w:marBottom w:val="0"/>
      <w:divBdr>
        <w:top w:val="none" w:sz="0" w:space="0" w:color="auto"/>
        <w:left w:val="none" w:sz="0" w:space="0" w:color="auto"/>
        <w:bottom w:val="none" w:sz="0" w:space="0" w:color="auto"/>
        <w:right w:val="none" w:sz="0" w:space="0" w:color="auto"/>
      </w:divBdr>
      <w:divsChild>
        <w:div w:id="4602566">
          <w:marLeft w:val="0"/>
          <w:marRight w:val="0"/>
          <w:marTop w:val="0"/>
          <w:marBottom w:val="0"/>
          <w:divBdr>
            <w:top w:val="none" w:sz="0" w:space="0" w:color="auto"/>
            <w:left w:val="none" w:sz="0" w:space="0" w:color="auto"/>
            <w:bottom w:val="none" w:sz="0" w:space="0" w:color="auto"/>
            <w:right w:val="none" w:sz="0" w:space="0" w:color="auto"/>
          </w:divBdr>
          <w:divsChild>
            <w:div w:id="333608012">
              <w:marLeft w:val="0"/>
              <w:marRight w:val="0"/>
              <w:marTop w:val="0"/>
              <w:marBottom w:val="0"/>
              <w:divBdr>
                <w:top w:val="none" w:sz="0" w:space="0" w:color="auto"/>
                <w:left w:val="none" w:sz="0" w:space="0" w:color="auto"/>
                <w:bottom w:val="none" w:sz="0" w:space="0" w:color="auto"/>
                <w:right w:val="none" w:sz="0" w:space="0" w:color="auto"/>
              </w:divBdr>
            </w:div>
            <w:div w:id="336614787">
              <w:marLeft w:val="0"/>
              <w:marRight w:val="0"/>
              <w:marTop w:val="0"/>
              <w:marBottom w:val="0"/>
              <w:divBdr>
                <w:top w:val="none" w:sz="0" w:space="0" w:color="auto"/>
                <w:left w:val="none" w:sz="0" w:space="0" w:color="auto"/>
                <w:bottom w:val="none" w:sz="0" w:space="0" w:color="auto"/>
                <w:right w:val="none" w:sz="0" w:space="0" w:color="auto"/>
              </w:divBdr>
            </w:div>
            <w:div w:id="442188763">
              <w:marLeft w:val="0"/>
              <w:marRight w:val="0"/>
              <w:marTop w:val="0"/>
              <w:marBottom w:val="0"/>
              <w:divBdr>
                <w:top w:val="none" w:sz="0" w:space="0" w:color="auto"/>
                <w:left w:val="none" w:sz="0" w:space="0" w:color="auto"/>
                <w:bottom w:val="none" w:sz="0" w:space="0" w:color="auto"/>
                <w:right w:val="none" w:sz="0" w:space="0" w:color="auto"/>
              </w:divBdr>
            </w:div>
            <w:div w:id="483274868">
              <w:marLeft w:val="0"/>
              <w:marRight w:val="0"/>
              <w:marTop w:val="0"/>
              <w:marBottom w:val="0"/>
              <w:divBdr>
                <w:top w:val="none" w:sz="0" w:space="0" w:color="auto"/>
                <w:left w:val="none" w:sz="0" w:space="0" w:color="auto"/>
                <w:bottom w:val="none" w:sz="0" w:space="0" w:color="auto"/>
                <w:right w:val="none" w:sz="0" w:space="0" w:color="auto"/>
              </w:divBdr>
            </w:div>
            <w:div w:id="533201702">
              <w:marLeft w:val="0"/>
              <w:marRight w:val="0"/>
              <w:marTop w:val="0"/>
              <w:marBottom w:val="0"/>
              <w:divBdr>
                <w:top w:val="none" w:sz="0" w:space="0" w:color="auto"/>
                <w:left w:val="none" w:sz="0" w:space="0" w:color="auto"/>
                <w:bottom w:val="none" w:sz="0" w:space="0" w:color="auto"/>
                <w:right w:val="none" w:sz="0" w:space="0" w:color="auto"/>
              </w:divBdr>
            </w:div>
            <w:div w:id="569080676">
              <w:marLeft w:val="0"/>
              <w:marRight w:val="0"/>
              <w:marTop w:val="0"/>
              <w:marBottom w:val="0"/>
              <w:divBdr>
                <w:top w:val="none" w:sz="0" w:space="0" w:color="auto"/>
                <w:left w:val="none" w:sz="0" w:space="0" w:color="auto"/>
                <w:bottom w:val="none" w:sz="0" w:space="0" w:color="auto"/>
                <w:right w:val="none" w:sz="0" w:space="0" w:color="auto"/>
              </w:divBdr>
            </w:div>
            <w:div w:id="1604649958">
              <w:marLeft w:val="0"/>
              <w:marRight w:val="0"/>
              <w:marTop w:val="0"/>
              <w:marBottom w:val="0"/>
              <w:divBdr>
                <w:top w:val="none" w:sz="0" w:space="0" w:color="auto"/>
                <w:left w:val="none" w:sz="0" w:space="0" w:color="auto"/>
                <w:bottom w:val="none" w:sz="0" w:space="0" w:color="auto"/>
                <w:right w:val="none" w:sz="0" w:space="0" w:color="auto"/>
              </w:divBdr>
            </w:div>
            <w:div w:id="1754742154">
              <w:marLeft w:val="0"/>
              <w:marRight w:val="0"/>
              <w:marTop w:val="0"/>
              <w:marBottom w:val="0"/>
              <w:divBdr>
                <w:top w:val="none" w:sz="0" w:space="0" w:color="auto"/>
                <w:left w:val="none" w:sz="0" w:space="0" w:color="auto"/>
                <w:bottom w:val="none" w:sz="0" w:space="0" w:color="auto"/>
                <w:right w:val="none" w:sz="0" w:space="0" w:color="auto"/>
              </w:divBdr>
            </w:div>
          </w:divsChild>
        </w:div>
        <w:div w:id="27027728">
          <w:marLeft w:val="0"/>
          <w:marRight w:val="0"/>
          <w:marTop w:val="0"/>
          <w:marBottom w:val="0"/>
          <w:divBdr>
            <w:top w:val="none" w:sz="0" w:space="0" w:color="auto"/>
            <w:left w:val="none" w:sz="0" w:space="0" w:color="auto"/>
            <w:bottom w:val="none" w:sz="0" w:space="0" w:color="auto"/>
            <w:right w:val="none" w:sz="0" w:space="0" w:color="auto"/>
          </w:divBdr>
          <w:divsChild>
            <w:div w:id="784735110">
              <w:marLeft w:val="0"/>
              <w:marRight w:val="0"/>
              <w:marTop w:val="0"/>
              <w:marBottom w:val="0"/>
              <w:divBdr>
                <w:top w:val="none" w:sz="0" w:space="0" w:color="auto"/>
                <w:left w:val="none" w:sz="0" w:space="0" w:color="auto"/>
                <w:bottom w:val="none" w:sz="0" w:space="0" w:color="auto"/>
                <w:right w:val="none" w:sz="0" w:space="0" w:color="auto"/>
              </w:divBdr>
            </w:div>
          </w:divsChild>
        </w:div>
        <w:div w:id="170216406">
          <w:marLeft w:val="0"/>
          <w:marRight w:val="0"/>
          <w:marTop w:val="0"/>
          <w:marBottom w:val="0"/>
          <w:divBdr>
            <w:top w:val="none" w:sz="0" w:space="0" w:color="auto"/>
            <w:left w:val="none" w:sz="0" w:space="0" w:color="auto"/>
            <w:bottom w:val="none" w:sz="0" w:space="0" w:color="auto"/>
            <w:right w:val="none" w:sz="0" w:space="0" w:color="auto"/>
          </w:divBdr>
          <w:divsChild>
            <w:div w:id="1693073112">
              <w:marLeft w:val="0"/>
              <w:marRight w:val="0"/>
              <w:marTop w:val="0"/>
              <w:marBottom w:val="0"/>
              <w:divBdr>
                <w:top w:val="none" w:sz="0" w:space="0" w:color="auto"/>
                <w:left w:val="none" w:sz="0" w:space="0" w:color="auto"/>
                <w:bottom w:val="none" w:sz="0" w:space="0" w:color="auto"/>
                <w:right w:val="none" w:sz="0" w:space="0" w:color="auto"/>
              </w:divBdr>
            </w:div>
          </w:divsChild>
        </w:div>
        <w:div w:id="231696444">
          <w:marLeft w:val="0"/>
          <w:marRight w:val="0"/>
          <w:marTop w:val="0"/>
          <w:marBottom w:val="0"/>
          <w:divBdr>
            <w:top w:val="none" w:sz="0" w:space="0" w:color="auto"/>
            <w:left w:val="none" w:sz="0" w:space="0" w:color="auto"/>
            <w:bottom w:val="none" w:sz="0" w:space="0" w:color="auto"/>
            <w:right w:val="none" w:sz="0" w:space="0" w:color="auto"/>
          </w:divBdr>
          <w:divsChild>
            <w:div w:id="2022851469">
              <w:marLeft w:val="0"/>
              <w:marRight w:val="0"/>
              <w:marTop w:val="0"/>
              <w:marBottom w:val="0"/>
              <w:divBdr>
                <w:top w:val="none" w:sz="0" w:space="0" w:color="auto"/>
                <w:left w:val="none" w:sz="0" w:space="0" w:color="auto"/>
                <w:bottom w:val="none" w:sz="0" w:space="0" w:color="auto"/>
                <w:right w:val="none" w:sz="0" w:space="0" w:color="auto"/>
              </w:divBdr>
            </w:div>
          </w:divsChild>
        </w:div>
        <w:div w:id="497813098">
          <w:marLeft w:val="0"/>
          <w:marRight w:val="0"/>
          <w:marTop w:val="0"/>
          <w:marBottom w:val="0"/>
          <w:divBdr>
            <w:top w:val="none" w:sz="0" w:space="0" w:color="auto"/>
            <w:left w:val="none" w:sz="0" w:space="0" w:color="auto"/>
            <w:bottom w:val="none" w:sz="0" w:space="0" w:color="auto"/>
            <w:right w:val="none" w:sz="0" w:space="0" w:color="auto"/>
          </w:divBdr>
          <w:divsChild>
            <w:div w:id="437021961">
              <w:marLeft w:val="0"/>
              <w:marRight w:val="0"/>
              <w:marTop w:val="0"/>
              <w:marBottom w:val="0"/>
              <w:divBdr>
                <w:top w:val="none" w:sz="0" w:space="0" w:color="auto"/>
                <w:left w:val="none" w:sz="0" w:space="0" w:color="auto"/>
                <w:bottom w:val="none" w:sz="0" w:space="0" w:color="auto"/>
                <w:right w:val="none" w:sz="0" w:space="0" w:color="auto"/>
              </w:divBdr>
            </w:div>
          </w:divsChild>
        </w:div>
        <w:div w:id="563837333">
          <w:marLeft w:val="0"/>
          <w:marRight w:val="0"/>
          <w:marTop w:val="0"/>
          <w:marBottom w:val="0"/>
          <w:divBdr>
            <w:top w:val="none" w:sz="0" w:space="0" w:color="auto"/>
            <w:left w:val="none" w:sz="0" w:space="0" w:color="auto"/>
            <w:bottom w:val="none" w:sz="0" w:space="0" w:color="auto"/>
            <w:right w:val="none" w:sz="0" w:space="0" w:color="auto"/>
          </w:divBdr>
          <w:divsChild>
            <w:div w:id="1681546614">
              <w:marLeft w:val="0"/>
              <w:marRight w:val="0"/>
              <w:marTop w:val="0"/>
              <w:marBottom w:val="0"/>
              <w:divBdr>
                <w:top w:val="none" w:sz="0" w:space="0" w:color="auto"/>
                <w:left w:val="none" w:sz="0" w:space="0" w:color="auto"/>
                <w:bottom w:val="none" w:sz="0" w:space="0" w:color="auto"/>
                <w:right w:val="none" w:sz="0" w:space="0" w:color="auto"/>
              </w:divBdr>
            </w:div>
          </w:divsChild>
        </w:div>
        <w:div w:id="613099144">
          <w:marLeft w:val="0"/>
          <w:marRight w:val="0"/>
          <w:marTop w:val="0"/>
          <w:marBottom w:val="0"/>
          <w:divBdr>
            <w:top w:val="none" w:sz="0" w:space="0" w:color="auto"/>
            <w:left w:val="none" w:sz="0" w:space="0" w:color="auto"/>
            <w:bottom w:val="none" w:sz="0" w:space="0" w:color="auto"/>
            <w:right w:val="none" w:sz="0" w:space="0" w:color="auto"/>
          </w:divBdr>
          <w:divsChild>
            <w:div w:id="2070565351">
              <w:marLeft w:val="0"/>
              <w:marRight w:val="0"/>
              <w:marTop w:val="0"/>
              <w:marBottom w:val="0"/>
              <w:divBdr>
                <w:top w:val="none" w:sz="0" w:space="0" w:color="auto"/>
                <w:left w:val="none" w:sz="0" w:space="0" w:color="auto"/>
                <w:bottom w:val="none" w:sz="0" w:space="0" w:color="auto"/>
                <w:right w:val="none" w:sz="0" w:space="0" w:color="auto"/>
              </w:divBdr>
            </w:div>
          </w:divsChild>
        </w:div>
        <w:div w:id="942033479">
          <w:marLeft w:val="0"/>
          <w:marRight w:val="0"/>
          <w:marTop w:val="0"/>
          <w:marBottom w:val="0"/>
          <w:divBdr>
            <w:top w:val="none" w:sz="0" w:space="0" w:color="auto"/>
            <w:left w:val="none" w:sz="0" w:space="0" w:color="auto"/>
            <w:bottom w:val="none" w:sz="0" w:space="0" w:color="auto"/>
            <w:right w:val="none" w:sz="0" w:space="0" w:color="auto"/>
          </w:divBdr>
          <w:divsChild>
            <w:div w:id="1594164035">
              <w:marLeft w:val="0"/>
              <w:marRight w:val="0"/>
              <w:marTop w:val="0"/>
              <w:marBottom w:val="0"/>
              <w:divBdr>
                <w:top w:val="none" w:sz="0" w:space="0" w:color="auto"/>
                <w:left w:val="none" w:sz="0" w:space="0" w:color="auto"/>
                <w:bottom w:val="none" w:sz="0" w:space="0" w:color="auto"/>
                <w:right w:val="none" w:sz="0" w:space="0" w:color="auto"/>
              </w:divBdr>
            </w:div>
          </w:divsChild>
        </w:div>
        <w:div w:id="979307945">
          <w:marLeft w:val="0"/>
          <w:marRight w:val="0"/>
          <w:marTop w:val="0"/>
          <w:marBottom w:val="0"/>
          <w:divBdr>
            <w:top w:val="none" w:sz="0" w:space="0" w:color="auto"/>
            <w:left w:val="none" w:sz="0" w:space="0" w:color="auto"/>
            <w:bottom w:val="none" w:sz="0" w:space="0" w:color="auto"/>
            <w:right w:val="none" w:sz="0" w:space="0" w:color="auto"/>
          </w:divBdr>
          <w:divsChild>
            <w:div w:id="272247776">
              <w:marLeft w:val="0"/>
              <w:marRight w:val="0"/>
              <w:marTop w:val="0"/>
              <w:marBottom w:val="0"/>
              <w:divBdr>
                <w:top w:val="none" w:sz="0" w:space="0" w:color="auto"/>
                <w:left w:val="none" w:sz="0" w:space="0" w:color="auto"/>
                <w:bottom w:val="none" w:sz="0" w:space="0" w:color="auto"/>
                <w:right w:val="none" w:sz="0" w:space="0" w:color="auto"/>
              </w:divBdr>
            </w:div>
          </w:divsChild>
        </w:div>
        <w:div w:id="992951814">
          <w:marLeft w:val="0"/>
          <w:marRight w:val="0"/>
          <w:marTop w:val="0"/>
          <w:marBottom w:val="0"/>
          <w:divBdr>
            <w:top w:val="none" w:sz="0" w:space="0" w:color="auto"/>
            <w:left w:val="none" w:sz="0" w:space="0" w:color="auto"/>
            <w:bottom w:val="none" w:sz="0" w:space="0" w:color="auto"/>
            <w:right w:val="none" w:sz="0" w:space="0" w:color="auto"/>
          </w:divBdr>
          <w:divsChild>
            <w:div w:id="398023637">
              <w:marLeft w:val="0"/>
              <w:marRight w:val="0"/>
              <w:marTop w:val="0"/>
              <w:marBottom w:val="0"/>
              <w:divBdr>
                <w:top w:val="none" w:sz="0" w:space="0" w:color="auto"/>
                <w:left w:val="none" w:sz="0" w:space="0" w:color="auto"/>
                <w:bottom w:val="none" w:sz="0" w:space="0" w:color="auto"/>
                <w:right w:val="none" w:sz="0" w:space="0" w:color="auto"/>
              </w:divBdr>
            </w:div>
            <w:div w:id="588076067">
              <w:marLeft w:val="0"/>
              <w:marRight w:val="0"/>
              <w:marTop w:val="0"/>
              <w:marBottom w:val="0"/>
              <w:divBdr>
                <w:top w:val="none" w:sz="0" w:space="0" w:color="auto"/>
                <w:left w:val="none" w:sz="0" w:space="0" w:color="auto"/>
                <w:bottom w:val="none" w:sz="0" w:space="0" w:color="auto"/>
                <w:right w:val="none" w:sz="0" w:space="0" w:color="auto"/>
              </w:divBdr>
            </w:div>
            <w:div w:id="658079380">
              <w:marLeft w:val="0"/>
              <w:marRight w:val="0"/>
              <w:marTop w:val="0"/>
              <w:marBottom w:val="0"/>
              <w:divBdr>
                <w:top w:val="none" w:sz="0" w:space="0" w:color="auto"/>
                <w:left w:val="none" w:sz="0" w:space="0" w:color="auto"/>
                <w:bottom w:val="none" w:sz="0" w:space="0" w:color="auto"/>
                <w:right w:val="none" w:sz="0" w:space="0" w:color="auto"/>
              </w:divBdr>
            </w:div>
            <w:div w:id="684020435">
              <w:marLeft w:val="0"/>
              <w:marRight w:val="0"/>
              <w:marTop w:val="0"/>
              <w:marBottom w:val="0"/>
              <w:divBdr>
                <w:top w:val="none" w:sz="0" w:space="0" w:color="auto"/>
                <w:left w:val="none" w:sz="0" w:space="0" w:color="auto"/>
                <w:bottom w:val="none" w:sz="0" w:space="0" w:color="auto"/>
                <w:right w:val="none" w:sz="0" w:space="0" w:color="auto"/>
              </w:divBdr>
            </w:div>
            <w:div w:id="968245588">
              <w:marLeft w:val="0"/>
              <w:marRight w:val="0"/>
              <w:marTop w:val="0"/>
              <w:marBottom w:val="0"/>
              <w:divBdr>
                <w:top w:val="none" w:sz="0" w:space="0" w:color="auto"/>
                <w:left w:val="none" w:sz="0" w:space="0" w:color="auto"/>
                <w:bottom w:val="none" w:sz="0" w:space="0" w:color="auto"/>
                <w:right w:val="none" w:sz="0" w:space="0" w:color="auto"/>
              </w:divBdr>
            </w:div>
            <w:div w:id="1109160056">
              <w:marLeft w:val="0"/>
              <w:marRight w:val="0"/>
              <w:marTop w:val="0"/>
              <w:marBottom w:val="0"/>
              <w:divBdr>
                <w:top w:val="none" w:sz="0" w:space="0" w:color="auto"/>
                <w:left w:val="none" w:sz="0" w:space="0" w:color="auto"/>
                <w:bottom w:val="none" w:sz="0" w:space="0" w:color="auto"/>
                <w:right w:val="none" w:sz="0" w:space="0" w:color="auto"/>
              </w:divBdr>
            </w:div>
            <w:div w:id="1110901708">
              <w:marLeft w:val="0"/>
              <w:marRight w:val="0"/>
              <w:marTop w:val="0"/>
              <w:marBottom w:val="0"/>
              <w:divBdr>
                <w:top w:val="none" w:sz="0" w:space="0" w:color="auto"/>
                <w:left w:val="none" w:sz="0" w:space="0" w:color="auto"/>
                <w:bottom w:val="none" w:sz="0" w:space="0" w:color="auto"/>
                <w:right w:val="none" w:sz="0" w:space="0" w:color="auto"/>
              </w:divBdr>
            </w:div>
            <w:div w:id="1206911742">
              <w:marLeft w:val="0"/>
              <w:marRight w:val="0"/>
              <w:marTop w:val="0"/>
              <w:marBottom w:val="0"/>
              <w:divBdr>
                <w:top w:val="none" w:sz="0" w:space="0" w:color="auto"/>
                <w:left w:val="none" w:sz="0" w:space="0" w:color="auto"/>
                <w:bottom w:val="none" w:sz="0" w:space="0" w:color="auto"/>
                <w:right w:val="none" w:sz="0" w:space="0" w:color="auto"/>
              </w:divBdr>
            </w:div>
            <w:div w:id="1703705345">
              <w:marLeft w:val="0"/>
              <w:marRight w:val="0"/>
              <w:marTop w:val="0"/>
              <w:marBottom w:val="0"/>
              <w:divBdr>
                <w:top w:val="none" w:sz="0" w:space="0" w:color="auto"/>
                <w:left w:val="none" w:sz="0" w:space="0" w:color="auto"/>
                <w:bottom w:val="none" w:sz="0" w:space="0" w:color="auto"/>
                <w:right w:val="none" w:sz="0" w:space="0" w:color="auto"/>
              </w:divBdr>
            </w:div>
            <w:div w:id="1738237977">
              <w:marLeft w:val="0"/>
              <w:marRight w:val="0"/>
              <w:marTop w:val="0"/>
              <w:marBottom w:val="0"/>
              <w:divBdr>
                <w:top w:val="none" w:sz="0" w:space="0" w:color="auto"/>
                <w:left w:val="none" w:sz="0" w:space="0" w:color="auto"/>
                <w:bottom w:val="none" w:sz="0" w:space="0" w:color="auto"/>
                <w:right w:val="none" w:sz="0" w:space="0" w:color="auto"/>
              </w:divBdr>
            </w:div>
            <w:div w:id="2047674990">
              <w:marLeft w:val="0"/>
              <w:marRight w:val="0"/>
              <w:marTop w:val="0"/>
              <w:marBottom w:val="0"/>
              <w:divBdr>
                <w:top w:val="none" w:sz="0" w:space="0" w:color="auto"/>
                <w:left w:val="none" w:sz="0" w:space="0" w:color="auto"/>
                <w:bottom w:val="none" w:sz="0" w:space="0" w:color="auto"/>
                <w:right w:val="none" w:sz="0" w:space="0" w:color="auto"/>
              </w:divBdr>
            </w:div>
            <w:div w:id="2146774945">
              <w:marLeft w:val="0"/>
              <w:marRight w:val="0"/>
              <w:marTop w:val="0"/>
              <w:marBottom w:val="0"/>
              <w:divBdr>
                <w:top w:val="none" w:sz="0" w:space="0" w:color="auto"/>
                <w:left w:val="none" w:sz="0" w:space="0" w:color="auto"/>
                <w:bottom w:val="none" w:sz="0" w:space="0" w:color="auto"/>
                <w:right w:val="none" w:sz="0" w:space="0" w:color="auto"/>
              </w:divBdr>
            </w:div>
          </w:divsChild>
        </w:div>
        <w:div w:id="1063410261">
          <w:marLeft w:val="0"/>
          <w:marRight w:val="0"/>
          <w:marTop w:val="0"/>
          <w:marBottom w:val="0"/>
          <w:divBdr>
            <w:top w:val="none" w:sz="0" w:space="0" w:color="auto"/>
            <w:left w:val="none" w:sz="0" w:space="0" w:color="auto"/>
            <w:bottom w:val="none" w:sz="0" w:space="0" w:color="auto"/>
            <w:right w:val="none" w:sz="0" w:space="0" w:color="auto"/>
          </w:divBdr>
          <w:divsChild>
            <w:div w:id="599265253">
              <w:marLeft w:val="0"/>
              <w:marRight w:val="0"/>
              <w:marTop w:val="0"/>
              <w:marBottom w:val="0"/>
              <w:divBdr>
                <w:top w:val="none" w:sz="0" w:space="0" w:color="auto"/>
                <w:left w:val="none" w:sz="0" w:space="0" w:color="auto"/>
                <w:bottom w:val="none" w:sz="0" w:space="0" w:color="auto"/>
                <w:right w:val="none" w:sz="0" w:space="0" w:color="auto"/>
              </w:divBdr>
            </w:div>
          </w:divsChild>
        </w:div>
        <w:div w:id="1157962434">
          <w:marLeft w:val="0"/>
          <w:marRight w:val="0"/>
          <w:marTop w:val="0"/>
          <w:marBottom w:val="0"/>
          <w:divBdr>
            <w:top w:val="none" w:sz="0" w:space="0" w:color="auto"/>
            <w:left w:val="none" w:sz="0" w:space="0" w:color="auto"/>
            <w:bottom w:val="none" w:sz="0" w:space="0" w:color="auto"/>
            <w:right w:val="none" w:sz="0" w:space="0" w:color="auto"/>
          </w:divBdr>
          <w:divsChild>
            <w:div w:id="1672877620">
              <w:marLeft w:val="0"/>
              <w:marRight w:val="0"/>
              <w:marTop w:val="0"/>
              <w:marBottom w:val="0"/>
              <w:divBdr>
                <w:top w:val="none" w:sz="0" w:space="0" w:color="auto"/>
                <w:left w:val="none" w:sz="0" w:space="0" w:color="auto"/>
                <w:bottom w:val="none" w:sz="0" w:space="0" w:color="auto"/>
                <w:right w:val="none" w:sz="0" w:space="0" w:color="auto"/>
              </w:divBdr>
            </w:div>
          </w:divsChild>
        </w:div>
        <w:div w:id="1313097447">
          <w:marLeft w:val="0"/>
          <w:marRight w:val="0"/>
          <w:marTop w:val="0"/>
          <w:marBottom w:val="0"/>
          <w:divBdr>
            <w:top w:val="none" w:sz="0" w:space="0" w:color="auto"/>
            <w:left w:val="none" w:sz="0" w:space="0" w:color="auto"/>
            <w:bottom w:val="none" w:sz="0" w:space="0" w:color="auto"/>
            <w:right w:val="none" w:sz="0" w:space="0" w:color="auto"/>
          </w:divBdr>
          <w:divsChild>
            <w:div w:id="88352201">
              <w:marLeft w:val="0"/>
              <w:marRight w:val="0"/>
              <w:marTop w:val="0"/>
              <w:marBottom w:val="0"/>
              <w:divBdr>
                <w:top w:val="none" w:sz="0" w:space="0" w:color="auto"/>
                <w:left w:val="none" w:sz="0" w:space="0" w:color="auto"/>
                <w:bottom w:val="none" w:sz="0" w:space="0" w:color="auto"/>
                <w:right w:val="none" w:sz="0" w:space="0" w:color="auto"/>
              </w:divBdr>
            </w:div>
            <w:div w:id="160437495">
              <w:marLeft w:val="0"/>
              <w:marRight w:val="0"/>
              <w:marTop w:val="0"/>
              <w:marBottom w:val="0"/>
              <w:divBdr>
                <w:top w:val="none" w:sz="0" w:space="0" w:color="auto"/>
                <w:left w:val="none" w:sz="0" w:space="0" w:color="auto"/>
                <w:bottom w:val="none" w:sz="0" w:space="0" w:color="auto"/>
                <w:right w:val="none" w:sz="0" w:space="0" w:color="auto"/>
              </w:divBdr>
            </w:div>
            <w:div w:id="200479957">
              <w:marLeft w:val="0"/>
              <w:marRight w:val="0"/>
              <w:marTop w:val="0"/>
              <w:marBottom w:val="0"/>
              <w:divBdr>
                <w:top w:val="none" w:sz="0" w:space="0" w:color="auto"/>
                <w:left w:val="none" w:sz="0" w:space="0" w:color="auto"/>
                <w:bottom w:val="none" w:sz="0" w:space="0" w:color="auto"/>
                <w:right w:val="none" w:sz="0" w:space="0" w:color="auto"/>
              </w:divBdr>
            </w:div>
            <w:div w:id="357043881">
              <w:marLeft w:val="0"/>
              <w:marRight w:val="0"/>
              <w:marTop w:val="0"/>
              <w:marBottom w:val="0"/>
              <w:divBdr>
                <w:top w:val="none" w:sz="0" w:space="0" w:color="auto"/>
                <w:left w:val="none" w:sz="0" w:space="0" w:color="auto"/>
                <w:bottom w:val="none" w:sz="0" w:space="0" w:color="auto"/>
                <w:right w:val="none" w:sz="0" w:space="0" w:color="auto"/>
              </w:divBdr>
            </w:div>
            <w:div w:id="539123130">
              <w:marLeft w:val="0"/>
              <w:marRight w:val="0"/>
              <w:marTop w:val="0"/>
              <w:marBottom w:val="0"/>
              <w:divBdr>
                <w:top w:val="none" w:sz="0" w:space="0" w:color="auto"/>
                <w:left w:val="none" w:sz="0" w:space="0" w:color="auto"/>
                <w:bottom w:val="none" w:sz="0" w:space="0" w:color="auto"/>
                <w:right w:val="none" w:sz="0" w:space="0" w:color="auto"/>
              </w:divBdr>
            </w:div>
            <w:div w:id="669211833">
              <w:marLeft w:val="0"/>
              <w:marRight w:val="0"/>
              <w:marTop w:val="0"/>
              <w:marBottom w:val="0"/>
              <w:divBdr>
                <w:top w:val="none" w:sz="0" w:space="0" w:color="auto"/>
                <w:left w:val="none" w:sz="0" w:space="0" w:color="auto"/>
                <w:bottom w:val="none" w:sz="0" w:space="0" w:color="auto"/>
                <w:right w:val="none" w:sz="0" w:space="0" w:color="auto"/>
              </w:divBdr>
            </w:div>
            <w:div w:id="706488408">
              <w:marLeft w:val="0"/>
              <w:marRight w:val="0"/>
              <w:marTop w:val="0"/>
              <w:marBottom w:val="0"/>
              <w:divBdr>
                <w:top w:val="none" w:sz="0" w:space="0" w:color="auto"/>
                <w:left w:val="none" w:sz="0" w:space="0" w:color="auto"/>
                <w:bottom w:val="none" w:sz="0" w:space="0" w:color="auto"/>
                <w:right w:val="none" w:sz="0" w:space="0" w:color="auto"/>
              </w:divBdr>
            </w:div>
            <w:div w:id="797142564">
              <w:marLeft w:val="0"/>
              <w:marRight w:val="0"/>
              <w:marTop w:val="0"/>
              <w:marBottom w:val="0"/>
              <w:divBdr>
                <w:top w:val="none" w:sz="0" w:space="0" w:color="auto"/>
                <w:left w:val="none" w:sz="0" w:space="0" w:color="auto"/>
                <w:bottom w:val="none" w:sz="0" w:space="0" w:color="auto"/>
                <w:right w:val="none" w:sz="0" w:space="0" w:color="auto"/>
              </w:divBdr>
            </w:div>
            <w:div w:id="1190215638">
              <w:marLeft w:val="0"/>
              <w:marRight w:val="0"/>
              <w:marTop w:val="0"/>
              <w:marBottom w:val="0"/>
              <w:divBdr>
                <w:top w:val="none" w:sz="0" w:space="0" w:color="auto"/>
                <w:left w:val="none" w:sz="0" w:space="0" w:color="auto"/>
                <w:bottom w:val="none" w:sz="0" w:space="0" w:color="auto"/>
                <w:right w:val="none" w:sz="0" w:space="0" w:color="auto"/>
              </w:divBdr>
            </w:div>
            <w:div w:id="1340615272">
              <w:marLeft w:val="0"/>
              <w:marRight w:val="0"/>
              <w:marTop w:val="0"/>
              <w:marBottom w:val="0"/>
              <w:divBdr>
                <w:top w:val="none" w:sz="0" w:space="0" w:color="auto"/>
                <w:left w:val="none" w:sz="0" w:space="0" w:color="auto"/>
                <w:bottom w:val="none" w:sz="0" w:space="0" w:color="auto"/>
                <w:right w:val="none" w:sz="0" w:space="0" w:color="auto"/>
              </w:divBdr>
            </w:div>
            <w:div w:id="1479492702">
              <w:marLeft w:val="0"/>
              <w:marRight w:val="0"/>
              <w:marTop w:val="0"/>
              <w:marBottom w:val="0"/>
              <w:divBdr>
                <w:top w:val="none" w:sz="0" w:space="0" w:color="auto"/>
                <w:left w:val="none" w:sz="0" w:space="0" w:color="auto"/>
                <w:bottom w:val="none" w:sz="0" w:space="0" w:color="auto"/>
                <w:right w:val="none" w:sz="0" w:space="0" w:color="auto"/>
              </w:divBdr>
            </w:div>
            <w:div w:id="1523057800">
              <w:marLeft w:val="0"/>
              <w:marRight w:val="0"/>
              <w:marTop w:val="0"/>
              <w:marBottom w:val="0"/>
              <w:divBdr>
                <w:top w:val="none" w:sz="0" w:space="0" w:color="auto"/>
                <w:left w:val="none" w:sz="0" w:space="0" w:color="auto"/>
                <w:bottom w:val="none" w:sz="0" w:space="0" w:color="auto"/>
                <w:right w:val="none" w:sz="0" w:space="0" w:color="auto"/>
              </w:divBdr>
            </w:div>
            <w:div w:id="1621032977">
              <w:marLeft w:val="0"/>
              <w:marRight w:val="0"/>
              <w:marTop w:val="0"/>
              <w:marBottom w:val="0"/>
              <w:divBdr>
                <w:top w:val="none" w:sz="0" w:space="0" w:color="auto"/>
                <w:left w:val="none" w:sz="0" w:space="0" w:color="auto"/>
                <w:bottom w:val="none" w:sz="0" w:space="0" w:color="auto"/>
                <w:right w:val="none" w:sz="0" w:space="0" w:color="auto"/>
              </w:divBdr>
            </w:div>
            <w:div w:id="1642880196">
              <w:marLeft w:val="0"/>
              <w:marRight w:val="0"/>
              <w:marTop w:val="0"/>
              <w:marBottom w:val="0"/>
              <w:divBdr>
                <w:top w:val="none" w:sz="0" w:space="0" w:color="auto"/>
                <w:left w:val="none" w:sz="0" w:space="0" w:color="auto"/>
                <w:bottom w:val="none" w:sz="0" w:space="0" w:color="auto"/>
                <w:right w:val="none" w:sz="0" w:space="0" w:color="auto"/>
              </w:divBdr>
            </w:div>
            <w:div w:id="1791589134">
              <w:marLeft w:val="0"/>
              <w:marRight w:val="0"/>
              <w:marTop w:val="0"/>
              <w:marBottom w:val="0"/>
              <w:divBdr>
                <w:top w:val="none" w:sz="0" w:space="0" w:color="auto"/>
                <w:left w:val="none" w:sz="0" w:space="0" w:color="auto"/>
                <w:bottom w:val="none" w:sz="0" w:space="0" w:color="auto"/>
                <w:right w:val="none" w:sz="0" w:space="0" w:color="auto"/>
              </w:divBdr>
            </w:div>
            <w:div w:id="1871333726">
              <w:marLeft w:val="0"/>
              <w:marRight w:val="0"/>
              <w:marTop w:val="0"/>
              <w:marBottom w:val="0"/>
              <w:divBdr>
                <w:top w:val="none" w:sz="0" w:space="0" w:color="auto"/>
                <w:left w:val="none" w:sz="0" w:space="0" w:color="auto"/>
                <w:bottom w:val="none" w:sz="0" w:space="0" w:color="auto"/>
                <w:right w:val="none" w:sz="0" w:space="0" w:color="auto"/>
              </w:divBdr>
            </w:div>
          </w:divsChild>
        </w:div>
        <w:div w:id="1363478773">
          <w:marLeft w:val="0"/>
          <w:marRight w:val="0"/>
          <w:marTop w:val="0"/>
          <w:marBottom w:val="0"/>
          <w:divBdr>
            <w:top w:val="none" w:sz="0" w:space="0" w:color="auto"/>
            <w:left w:val="none" w:sz="0" w:space="0" w:color="auto"/>
            <w:bottom w:val="none" w:sz="0" w:space="0" w:color="auto"/>
            <w:right w:val="none" w:sz="0" w:space="0" w:color="auto"/>
          </w:divBdr>
          <w:divsChild>
            <w:div w:id="1650863222">
              <w:marLeft w:val="0"/>
              <w:marRight w:val="0"/>
              <w:marTop w:val="0"/>
              <w:marBottom w:val="0"/>
              <w:divBdr>
                <w:top w:val="none" w:sz="0" w:space="0" w:color="auto"/>
                <w:left w:val="none" w:sz="0" w:space="0" w:color="auto"/>
                <w:bottom w:val="none" w:sz="0" w:space="0" w:color="auto"/>
                <w:right w:val="none" w:sz="0" w:space="0" w:color="auto"/>
              </w:divBdr>
            </w:div>
          </w:divsChild>
        </w:div>
        <w:div w:id="1393695729">
          <w:marLeft w:val="0"/>
          <w:marRight w:val="0"/>
          <w:marTop w:val="0"/>
          <w:marBottom w:val="0"/>
          <w:divBdr>
            <w:top w:val="none" w:sz="0" w:space="0" w:color="auto"/>
            <w:left w:val="none" w:sz="0" w:space="0" w:color="auto"/>
            <w:bottom w:val="none" w:sz="0" w:space="0" w:color="auto"/>
            <w:right w:val="none" w:sz="0" w:space="0" w:color="auto"/>
          </w:divBdr>
          <w:divsChild>
            <w:div w:id="1794981070">
              <w:marLeft w:val="0"/>
              <w:marRight w:val="0"/>
              <w:marTop w:val="0"/>
              <w:marBottom w:val="0"/>
              <w:divBdr>
                <w:top w:val="none" w:sz="0" w:space="0" w:color="auto"/>
                <w:left w:val="none" w:sz="0" w:space="0" w:color="auto"/>
                <w:bottom w:val="none" w:sz="0" w:space="0" w:color="auto"/>
                <w:right w:val="none" w:sz="0" w:space="0" w:color="auto"/>
              </w:divBdr>
            </w:div>
          </w:divsChild>
        </w:div>
        <w:div w:id="1477575808">
          <w:marLeft w:val="0"/>
          <w:marRight w:val="0"/>
          <w:marTop w:val="0"/>
          <w:marBottom w:val="0"/>
          <w:divBdr>
            <w:top w:val="none" w:sz="0" w:space="0" w:color="auto"/>
            <w:left w:val="none" w:sz="0" w:space="0" w:color="auto"/>
            <w:bottom w:val="none" w:sz="0" w:space="0" w:color="auto"/>
            <w:right w:val="none" w:sz="0" w:space="0" w:color="auto"/>
          </w:divBdr>
          <w:divsChild>
            <w:div w:id="51081106">
              <w:marLeft w:val="0"/>
              <w:marRight w:val="0"/>
              <w:marTop w:val="0"/>
              <w:marBottom w:val="0"/>
              <w:divBdr>
                <w:top w:val="none" w:sz="0" w:space="0" w:color="auto"/>
                <w:left w:val="none" w:sz="0" w:space="0" w:color="auto"/>
                <w:bottom w:val="none" w:sz="0" w:space="0" w:color="auto"/>
                <w:right w:val="none" w:sz="0" w:space="0" w:color="auto"/>
              </w:divBdr>
            </w:div>
          </w:divsChild>
        </w:div>
        <w:div w:id="1531452270">
          <w:marLeft w:val="0"/>
          <w:marRight w:val="0"/>
          <w:marTop w:val="0"/>
          <w:marBottom w:val="0"/>
          <w:divBdr>
            <w:top w:val="none" w:sz="0" w:space="0" w:color="auto"/>
            <w:left w:val="none" w:sz="0" w:space="0" w:color="auto"/>
            <w:bottom w:val="none" w:sz="0" w:space="0" w:color="auto"/>
            <w:right w:val="none" w:sz="0" w:space="0" w:color="auto"/>
          </w:divBdr>
          <w:divsChild>
            <w:div w:id="300186404">
              <w:marLeft w:val="0"/>
              <w:marRight w:val="0"/>
              <w:marTop w:val="0"/>
              <w:marBottom w:val="0"/>
              <w:divBdr>
                <w:top w:val="none" w:sz="0" w:space="0" w:color="auto"/>
                <w:left w:val="none" w:sz="0" w:space="0" w:color="auto"/>
                <w:bottom w:val="none" w:sz="0" w:space="0" w:color="auto"/>
                <w:right w:val="none" w:sz="0" w:space="0" w:color="auto"/>
              </w:divBdr>
            </w:div>
            <w:div w:id="775369336">
              <w:marLeft w:val="0"/>
              <w:marRight w:val="0"/>
              <w:marTop w:val="0"/>
              <w:marBottom w:val="0"/>
              <w:divBdr>
                <w:top w:val="none" w:sz="0" w:space="0" w:color="auto"/>
                <w:left w:val="none" w:sz="0" w:space="0" w:color="auto"/>
                <w:bottom w:val="none" w:sz="0" w:space="0" w:color="auto"/>
                <w:right w:val="none" w:sz="0" w:space="0" w:color="auto"/>
              </w:divBdr>
            </w:div>
            <w:div w:id="1262377606">
              <w:marLeft w:val="0"/>
              <w:marRight w:val="0"/>
              <w:marTop w:val="0"/>
              <w:marBottom w:val="0"/>
              <w:divBdr>
                <w:top w:val="none" w:sz="0" w:space="0" w:color="auto"/>
                <w:left w:val="none" w:sz="0" w:space="0" w:color="auto"/>
                <w:bottom w:val="none" w:sz="0" w:space="0" w:color="auto"/>
                <w:right w:val="none" w:sz="0" w:space="0" w:color="auto"/>
              </w:divBdr>
            </w:div>
            <w:div w:id="1409041025">
              <w:marLeft w:val="0"/>
              <w:marRight w:val="0"/>
              <w:marTop w:val="0"/>
              <w:marBottom w:val="0"/>
              <w:divBdr>
                <w:top w:val="none" w:sz="0" w:space="0" w:color="auto"/>
                <w:left w:val="none" w:sz="0" w:space="0" w:color="auto"/>
                <w:bottom w:val="none" w:sz="0" w:space="0" w:color="auto"/>
                <w:right w:val="none" w:sz="0" w:space="0" w:color="auto"/>
              </w:divBdr>
            </w:div>
            <w:div w:id="1620336642">
              <w:marLeft w:val="0"/>
              <w:marRight w:val="0"/>
              <w:marTop w:val="0"/>
              <w:marBottom w:val="0"/>
              <w:divBdr>
                <w:top w:val="none" w:sz="0" w:space="0" w:color="auto"/>
                <w:left w:val="none" w:sz="0" w:space="0" w:color="auto"/>
                <w:bottom w:val="none" w:sz="0" w:space="0" w:color="auto"/>
                <w:right w:val="none" w:sz="0" w:space="0" w:color="auto"/>
              </w:divBdr>
            </w:div>
            <w:div w:id="2080597321">
              <w:marLeft w:val="0"/>
              <w:marRight w:val="0"/>
              <w:marTop w:val="0"/>
              <w:marBottom w:val="0"/>
              <w:divBdr>
                <w:top w:val="none" w:sz="0" w:space="0" w:color="auto"/>
                <w:left w:val="none" w:sz="0" w:space="0" w:color="auto"/>
                <w:bottom w:val="none" w:sz="0" w:space="0" w:color="auto"/>
                <w:right w:val="none" w:sz="0" w:space="0" w:color="auto"/>
              </w:divBdr>
            </w:div>
          </w:divsChild>
        </w:div>
        <w:div w:id="1848711639">
          <w:marLeft w:val="0"/>
          <w:marRight w:val="0"/>
          <w:marTop w:val="0"/>
          <w:marBottom w:val="0"/>
          <w:divBdr>
            <w:top w:val="none" w:sz="0" w:space="0" w:color="auto"/>
            <w:left w:val="none" w:sz="0" w:space="0" w:color="auto"/>
            <w:bottom w:val="none" w:sz="0" w:space="0" w:color="auto"/>
            <w:right w:val="none" w:sz="0" w:space="0" w:color="auto"/>
          </w:divBdr>
          <w:divsChild>
            <w:div w:id="2017802670">
              <w:marLeft w:val="0"/>
              <w:marRight w:val="0"/>
              <w:marTop w:val="0"/>
              <w:marBottom w:val="0"/>
              <w:divBdr>
                <w:top w:val="none" w:sz="0" w:space="0" w:color="auto"/>
                <w:left w:val="none" w:sz="0" w:space="0" w:color="auto"/>
                <w:bottom w:val="none" w:sz="0" w:space="0" w:color="auto"/>
                <w:right w:val="none" w:sz="0" w:space="0" w:color="auto"/>
              </w:divBdr>
            </w:div>
          </w:divsChild>
        </w:div>
        <w:div w:id="2049909441">
          <w:marLeft w:val="0"/>
          <w:marRight w:val="0"/>
          <w:marTop w:val="0"/>
          <w:marBottom w:val="0"/>
          <w:divBdr>
            <w:top w:val="none" w:sz="0" w:space="0" w:color="auto"/>
            <w:left w:val="none" w:sz="0" w:space="0" w:color="auto"/>
            <w:bottom w:val="none" w:sz="0" w:space="0" w:color="auto"/>
            <w:right w:val="none" w:sz="0" w:space="0" w:color="auto"/>
          </w:divBdr>
          <w:divsChild>
            <w:div w:id="1427533371">
              <w:marLeft w:val="0"/>
              <w:marRight w:val="0"/>
              <w:marTop w:val="0"/>
              <w:marBottom w:val="0"/>
              <w:divBdr>
                <w:top w:val="none" w:sz="0" w:space="0" w:color="auto"/>
                <w:left w:val="none" w:sz="0" w:space="0" w:color="auto"/>
                <w:bottom w:val="none" w:sz="0" w:space="0" w:color="auto"/>
                <w:right w:val="none" w:sz="0" w:space="0" w:color="auto"/>
              </w:divBdr>
            </w:div>
          </w:divsChild>
        </w:div>
        <w:div w:id="2058432961">
          <w:marLeft w:val="0"/>
          <w:marRight w:val="0"/>
          <w:marTop w:val="0"/>
          <w:marBottom w:val="0"/>
          <w:divBdr>
            <w:top w:val="none" w:sz="0" w:space="0" w:color="auto"/>
            <w:left w:val="none" w:sz="0" w:space="0" w:color="auto"/>
            <w:bottom w:val="none" w:sz="0" w:space="0" w:color="auto"/>
            <w:right w:val="none" w:sz="0" w:space="0" w:color="auto"/>
          </w:divBdr>
          <w:divsChild>
            <w:div w:id="64454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173821">
      <w:bodyDiv w:val="1"/>
      <w:marLeft w:val="0"/>
      <w:marRight w:val="0"/>
      <w:marTop w:val="0"/>
      <w:marBottom w:val="0"/>
      <w:divBdr>
        <w:top w:val="none" w:sz="0" w:space="0" w:color="auto"/>
        <w:left w:val="none" w:sz="0" w:space="0" w:color="auto"/>
        <w:bottom w:val="none" w:sz="0" w:space="0" w:color="auto"/>
        <w:right w:val="none" w:sz="0" w:space="0" w:color="auto"/>
      </w:divBdr>
    </w:div>
    <w:div w:id="2098014569">
      <w:bodyDiv w:val="1"/>
      <w:marLeft w:val="0"/>
      <w:marRight w:val="0"/>
      <w:marTop w:val="0"/>
      <w:marBottom w:val="0"/>
      <w:divBdr>
        <w:top w:val="none" w:sz="0" w:space="0" w:color="auto"/>
        <w:left w:val="none" w:sz="0" w:space="0" w:color="auto"/>
        <w:bottom w:val="none" w:sz="0" w:space="0" w:color="auto"/>
        <w:right w:val="none" w:sz="0" w:space="0" w:color="auto"/>
      </w:divBdr>
    </w:div>
    <w:div w:id="2136558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eeas.europa.eu/eeas/strategic-compass-security-and-defence-1_en" TargetMode="External"/><Relationship Id="rId13" Type="http://schemas.openxmlformats.org/officeDocument/2006/relationships/hyperlink" Target="https://enlargement.ec.europa.eu/funding-technical-assistance/ukraine-facility_en" TargetMode="External"/><Relationship Id="rId18" Type="http://schemas.openxmlformats.org/officeDocument/2006/relationships/hyperlink" Target="https://international-partnerships.ec.europa.eu/policies/global-gateway/governance/global-gateway-business-advisory-group_en" TargetMode="External"/><Relationship Id="rId26" Type="http://schemas.openxmlformats.org/officeDocument/2006/relationships/hyperlink" Target="https://commission.europa.eu/topics/research-and-innovation/choose-europe_fr" TargetMode="External"/><Relationship Id="rId3" Type="http://schemas.openxmlformats.org/officeDocument/2006/relationships/hyperlink" Target="https://www.wto.org/english/res_e/statis_e/gstdh_digital_services_e.htm" TargetMode="External"/><Relationship Id="rId21" Type="http://schemas.openxmlformats.org/officeDocument/2006/relationships/hyperlink" Target="https://digital-strategy.ec.europa.eu/en/library/cybersecurity-5g-networks-eu-toolbox-risk-mitigating-measures" TargetMode="External"/><Relationship Id="rId7" Type="http://schemas.openxmlformats.org/officeDocument/2006/relationships/hyperlink" Target="https://www.eeas.europa.eu/eeas/white-paper-for-european-defence-readiness-2030_en" TargetMode="External"/><Relationship Id="rId12" Type="http://schemas.openxmlformats.org/officeDocument/2006/relationships/hyperlink" Target="https://ec.europa.eu/commission/presscorner/detail/fr/ip_25_568" TargetMode="External"/><Relationship Id="rId17" Type="http://schemas.openxmlformats.org/officeDocument/2006/relationships/hyperlink" Target="https://commission.europa.eu/topics/eu-competitiveness/clean-industrial-deal_fr" TargetMode="External"/><Relationship Id="rId25" Type="http://schemas.openxmlformats.org/officeDocument/2006/relationships/hyperlink" Target="https://digital-strategy.ec.europa.eu/en/library/ai-continent-action-plan" TargetMode="External"/><Relationship Id="rId2" Type="http://schemas.openxmlformats.org/officeDocument/2006/relationships/hyperlink" Target="https://eur-lex.europa.eu/legal-content/FR/TXT/?uri=CELEX:52025DC0148" TargetMode="External"/><Relationship Id="rId16" Type="http://schemas.openxmlformats.org/officeDocument/2006/relationships/hyperlink" Target="https://ec.europa.eu/commission/presscorner/detail/fr/ip_22_6963" TargetMode="External"/><Relationship Id="rId20" Type="http://schemas.openxmlformats.org/officeDocument/2006/relationships/hyperlink" Target="https://eufordigital.eu/" TargetMode="External"/><Relationship Id="rId29" Type="http://schemas.openxmlformats.org/officeDocument/2006/relationships/hyperlink" Target="https://op.europa.eu/en/web/eu-vocabularies/dcat-ap" TargetMode="External"/><Relationship Id="rId1" Type="http://schemas.openxmlformats.org/officeDocument/2006/relationships/hyperlink" Target="https://data.consilium.europa.eu/doc/document/ST-12-2024-INIT/fr/pdf" TargetMode="External"/><Relationship Id="rId6" Type="http://schemas.openxmlformats.org/officeDocument/2006/relationships/hyperlink" Target="https://ec.europa.eu/commission/presscorner/detail/fr/ip_25_920" TargetMode="External"/><Relationship Id="rId11" Type="http://schemas.openxmlformats.org/officeDocument/2006/relationships/hyperlink" Target="https://digital-strategy.ec.europa.eu/en/faqs/questions-and-answers-digital-europe-programme" TargetMode="External"/><Relationship Id="rId24" Type="http://schemas.openxmlformats.org/officeDocument/2006/relationships/hyperlink" Target="https://digital-strategy.ec.europa.eu/en/library/joint-communication-strengthen-security-and-resilience-submarine-cables" TargetMode="External"/><Relationship Id="rId5" Type="http://schemas.openxmlformats.org/officeDocument/2006/relationships/hyperlink" Target="https://www.consilium.europa.eu/fr/press/press-releases/2023/06/26/digital-diplomacy-council-sets-out-priority-actions-for-stronger-eu-action-in-global-digital-affairs/" TargetMode="External"/><Relationship Id="rId15" Type="http://schemas.openxmlformats.org/officeDocument/2006/relationships/hyperlink" Target="https://digital-strategy.ec.europa.eu/en/news/eu-and-africa-strengthen-cooperation-digital-transformation" TargetMode="External"/><Relationship Id="rId23" Type="http://schemas.openxmlformats.org/officeDocument/2006/relationships/hyperlink" Target="https://digital-strategy.ec.europa.eu/en/library/recommendation-security-and-resilience-submarine-cable-infrastructures" TargetMode="External"/><Relationship Id="rId28" Type="http://schemas.openxmlformats.org/officeDocument/2006/relationships/hyperlink" Target="https://eur-lex.europa.eu/resource.html?uri=cellar:2c2f2554-0faf-11e7-8a35-01aa75ed71a1.0019.02/DOC_1&amp;format=PDF" TargetMode="External"/><Relationship Id="rId10" Type="http://schemas.openxmlformats.org/officeDocument/2006/relationships/hyperlink" Target="https://research-and-innovation.ec.europa.eu/news/all-research-and-innovation-news/updates-association-third-countries-horizon-europe-2021-12-21_en" TargetMode="External"/><Relationship Id="rId19" Type="http://schemas.openxmlformats.org/officeDocument/2006/relationships/hyperlink" Target="https://d4dhub.eu/" TargetMode="External"/><Relationship Id="rId4" Type="http://schemas.openxmlformats.org/officeDocument/2006/relationships/hyperlink" Target="https://digital-strategy.ec.europa.eu/en/policies/europes-digital-decade" TargetMode="External"/><Relationship Id="rId9" Type="http://schemas.openxmlformats.org/officeDocument/2006/relationships/hyperlink" Target="https://www.europol.europa.eu/media-press/newsroom/news/operation-endgame-strikes-again-ransomware-kill-chain-broken-its-source" TargetMode="External"/><Relationship Id="rId14" Type="http://schemas.openxmlformats.org/officeDocument/2006/relationships/hyperlink" Target="https://international-partnerships.ec.europa.eu/policies/global-gateway/eu-latin-america-and-caribbean-digital-alliance_en" TargetMode="External"/><Relationship Id="rId22" Type="http://schemas.openxmlformats.org/officeDocument/2006/relationships/hyperlink" Target="https://digital-strategy.ec.europa.eu/en/library/joint-communication-strengthen-security-and-resilience-submarine-cables" TargetMode="External"/><Relationship Id="rId27" Type="http://schemas.openxmlformats.org/officeDocument/2006/relationships/hyperlink" Target="https://commission.europa.eu/topics/research-and-innovation/choose-europe_fr" TargetMode="External"/><Relationship Id="rId30" Type="http://schemas.openxmlformats.org/officeDocument/2006/relationships/hyperlink" Target="https://digitallibrary.un.org/record/565827?ln=fr&amp;v=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665D60-DBFB-4ECE-927A-8F9F562B5B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7725</Words>
  <Characters>44033</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2025-06-03T13:41:00Z</dcterms:created>
  <dcterms:modified xsi:type="dcterms:W3CDTF">2025-07-24T08:37:00Z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2025-05-28T06:58:34Z</vt:lpwstr>
  </property>
  <property fmtid="{D5CDD505-2E9C-101B-9397-08002B2CF9AE}" pid="4" name="MSIP_Label_6bd9ddd1-4d20-43f6-abfa-fc3c07406f94_Method">
    <vt:lpwstr>Privileged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236a56b0-4750-4e2f-8653-2a7d97177ec1</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9.1, Build 20240808</vt:lpwstr>
  </property>
  <property fmtid="{D5CDD505-2E9C-101B-9397-08002B2CF9AE}" pid="11" name="DocStatus">
    <vt:lpwstr>Green</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CP-015</vt:lpwstr>
  </property>
</Properties>
</file>